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header6.xml" ContentType="application/vnd.openxmlformats-officedocument.wordprocessingml.header+xml"/>
  <Override PartName="/word/footer15.xml" ContentType="application/vnd.openxmlformats-officedocument.wordprocessingml.footer+xml"/>
  <Override PartName="/word/header7.xml" ContentType="application/vnd.openxmlformats-officedocument.wordprocessingml.header+xml"/>
  <Override PartName="/word/footer16.xml" ContentType="application/vnd.openxmlformats-officedocument.wordprocessingml.footer+xml"/>
  <Override PartName="/word/header8.xml" ContentType="application/vnd.openxmlformats-officedocument.wordprocessingml.header+xml"/>
  <Override PartName="/word/footer17.xml" ContentType="application/vnd.openxmlformats-officedocument.wordprocessingml.footer+xml"/>
  <Override PartName="/word/header9.xml" ContentType="application/vnd.openxmlformats-officedocument.wordprocessingml.header+xml"/>
  <Override PartName="/word/footer18.xml" ContentType="application/vnd.openxmlformats-officedocument.wordprocessingml.footer+xml"/>
  <Default Extension="jpeg" ContentType="image/jpeg"/>
  <Override PartName="/word/header10.xml" ContentType="application/vnd.openxmlformats-officedocument.wordprocessingml.header+xml"/>
  <Override PartName="/word/footer19.xml" ContentType="application/vnd.openxmlformats-officedocument.wordprocessingml.footer+xml"/>
  <Override PartName="/word/header11.xml" ContentType="application/vnd.openxmlformats-officedocument.wordprocessingml.header+xml"/>
  <Override PartName="/word/footer20.xml" ContentType="application/vnd.openxmlformats-officedocument.wordprocessingml.footer+xml"/>
  <Override PartName="/word/header12.xml" ContentType="application/vnd.openxmlformats-officedocument.wordprocessingml.header+xml"/>
  <Override PartName="/word/footer21.xml" ContentType="application/vnd.openxmlformats-officedocument.wordprocessingml.footer+xml"/>
  <Override PartName="/word/header13.xml" ContentType="application/vnd.openxmlformats-officedocument.wordprocessingml.header+xml"/>
  <Override PartName="/word/footer22.xml" ContentType="application/vnd.openxmlformats-officedocument.wordprocessingml.footer+xml"/>
  <Override PartName="/word/header14.xml" ContentType="application/vnd.openxmlformats-officedocument.wordprocessingml.header+xml"/>
  <Override PartName="/word/footer23.xml" ContentType="application/vnd.openxmlformats-officedocument.wordprocessingml.footer+xml"/>
  <Override PartName="/word/header15.xml" ContentType="application/vnd.openxmlformats-officedocument.wordprocessingml.header+xml"/>
  <Override PartName="/word/footer24.xml" ContentType="application/vnd.openxmlformats-officedocument.wordprocessingml.footer+xml"/>
  <Override PartName="/word/header16.xml" ContentType="application/vnd.openxmlformats-officedocument.wordprocessingml.header+xml"/>
  <Override PartName="/word/footer25.xml" ContentType="application/vnd.openxmlformats-officedocument.wordprocessingml.footer+xml"/>
  <Override PartName="/word/header17.xml" ContentType="application/vnd.openxmlformats-officedocument.wordprocessingml.header+xml"/>
  <Override PartName="/word/footer26.xml" ContentType="application/vnd.openxmlformats-officedocument.wordprocessingml.footer+xml"/>
  <Override PartName="/word/header18.xml" ContentType="application/vnd.openxmlformats-officedocument.wordprocessingml.header+xml"/>
  <Override PartName="/word/footer27.xml" ContentType="application/vnd.openxmlformats-officedocument.wordprocessingml.footer+xml"/>
  <Override PartName="/word/header19.xml" ContentType="application/vnd.openxmlformats-officedocument.wordprocessingml.header+xml"/>
  <Override PartName="/word/footer28.xml" ContentType="application/vnd.openxmlformats-officedocument.wordprocessingml.footer+xml"/>
  <Override PartName="/word/header20.xml" ContentType="application/vnd.openxmlformats-officedocument.wordprocessingml.header+xml"/>
  <Override PartName="/word/footer29.xml" ContentType="application/vnd.openxmlformats-officedocument.wordprocessingml.footer+xml"/>
  <Override PartName="/word/header21.xml" ContentType="application/vnd.openxmlformats-officedocument.wordprocessingml.header+xml"/>
  <Override PartName="/word/footer30.xml" ContentType="application/vnd.openxmlformats-officedocument.wordprocessingml.footer+xml"/>
  <Override PartName="/word/header22.xml" ContentType="application/vnd.openxmlformats-officedocument.wordprocessingml.header+xml"/>
  <Override PartName="/word/footer31.xml" ContentType="application/vnd.openxmlformats-officedocument.wordprocessingml.footer+xml"/>
  <Override PartName="/word/header23.xml" ContentType="application/vnd.openxmlformats-officedocument.wordprocessingml.header+xml"/>
  <Override PartName="/word/footer32.xml" ContentType="application/vnd.openxmlformats-officedocument.wordprocessingml.footer+xml"/>
  <Override PartName="/word/header24.xml" ContentType="application/vnd.openxmlformats-officedocument.wordprocessingml.header+xml"/>
  <Override PartName="/word/footer33.xml" ContentType="application/vnd.openxmlformats-officedocument.wordprocessingml.footer+xml"/>
  <Override PartName="/word/header25.xml" ContentType="application/vnd.openxmlformats-officedocument.wordprocessingml.header+xml"/>
  <Override PartName="/word/footer34.xml" ContentType="application/vnd.openxmlformats-officedocument.wordprocessingml.footer+xml"/>
  <Override PartName="/word/header26.xml" ContentType="application/vnd.openxmlformats-officedocument.wordprocessingml.header+xml"/>
  <Override PartName="/word/footer35.xml" ContentType="application/vnd.openxmlformats-officedocument.wordprocessingml.footer+xml"/>
  <Override PartName="/word/header27.xml" ContentType="application/vnd.openxmlformats-officedocument.wordprocessingml.header+xml"/>
  <Override PartName="/word/footer36.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3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34.xml" ContentType="application/vnd.openxmlformats-officedocument.wordprocessingml.header+xml"/>
  <Override PartName="/word/footer42.xml" ContentType="application/vnd.openxmlformats-officedocument.wordprocessingml.footer+xml"/>
  <Override PartName="/word/header35.xml" ContentType="application/vnd.openxmlformats-officedocument.wordprocessingml.header+xml"/>
  <Override PartName="/word/footer43.xml" ContentType="application/vnd.openxmlformats-officedocument.wordprocessingml.footer+xml"/>
  <Override PartName="/word/header36.xml" ContentType="application/vnd.openxmlformats-officedocument.wordprocessingml.header+xml"/>
  <Override PartName="/word/footer44.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39.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51.xml" ContentType="application/vnd.openxmlformats-officedocument.wordprocessingml.footer+xml"/>
  <Override PartName="/word/header42.xml" ContentType="application/vnd.openxmlformats-officedocument.wordprocessingml.header+xml"/>
  <Override PartName="/word/footer5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header45.xml" ContentType="application/vnd.openxmlformats-officedocument.wordprocessingml.header+xml"/>
  <Override PartName="/word/header46.xml" ContentType="application/vnd.openxmlformats-officedocument.wordprocessingml.head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51.xml" ContentType="application/vnd.openxmlformats-officedocument.wordprocessingml.header+xml"/>
  <Override PartName="/word/footer63.xml" ContentType="application/vnd.openxmlformats-officedocument.wordprocessingml.footer+xml"/>
  <Override PartName="/word/header52.xml" ContentType="application/vnd.openxmlformats-officedocument.wordprocessingml.header+xml"/>
  <Override PartName="/word/footer64.xml" ContentType="application/vnd.openxmlformats-officedocument.wordprocessingml.footer+xml"/>
  <Override PartName="/word/header53.xml" ContentType="application/vnd.openxmlformats-officedocument.wordprocessingml.header+xml"/>
  <Override PartName="/word/header54.xml" ContentType="application/vnd.openxmlformats-officedocument.wordprocessingml.header+xml"/>
  <Override PartName="/word/footer65.xml" ContentType="application/vnd.openxmlformats-officedocument.wordprocessingml.footer+xml"/>
  <Override PartName="/word/footer66.xml" ContentType="application/vnd.openxmlformats-officedocument.wordprocessingml.footer+xml"/>
  <Override PartName="/word/header55.xml" ContentType="application/vnd.openxmlformats-officedocument.wordprocessingml.header+xml"/>
  <Override PartName="/word/footer67.xml" ContentType="application/vnd.openxmlformats-officedocument.wordprocessingml.footer+xml"/>
  <Override PartName="/word/header56.xml" ContentType="application/vnd.openxmlformats-officedocument.wordprocessingml.header+xml"/>
  <Override PartName="/word/footer68.xml" ContentType="application/vnd.openxmlformats-officedocument.wordprocessingml.footer+xml"/>
  <Override PartName="/word/header57.xml" ContentType="application/vnd.openxmlformats-officedocument.wordprocessingml.header+xml"/>
  <Override PartName="/word/footer69.xml" ContentType="application/vnd.openxmlformats-officedocument.wordprocessingml.footer+xml"/>
  <Override PartName="/word/header58.xml" ContentType="application/vnd.openxmlformats-officedocument.wordprocessingml.header+xml"/>
  <Override PartName="/word/footer70.xml" ContentType="application/vnd.openxmlformats-officedocument.wordprocessingml.footer+xml"/>
  <Override PartName="/word/header59.xml" ContentType="application/vnd.openxmlformats-officedocument.wordprocessingml.header+xml"/>
  <Override PartName="/word/footer71.xml" ContentType="application/vnd.openxmlformats-officedocument.wordprocessingml.footer+xml"/>
  <Override PartName="/word/footer72.xml" ContentType="application/vnd.openxmlformats-officedocument.wordprocessingml.footer+xml"/>
  <Override PartName="/word/header60.xml" ContentType="application/vnd.openxmlformats-officedocument.wordprocessingml.header+xml"/>
  <Override PartName="/word/header61.xml" ContentType="application/vnd.openxmlformats-officedocument.wordprocessingml.header+xml"/>
  <Override PartName="/word/footer73.xml" ContentType="application/vnd.openxmlformats-officedocument.wordprocessingml.footer+xml"/>
  <Override PartName="/word/footer74.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75.xml" ContentType="application/vnd.openxmlformats-officedocument.wordprocessingml.footer+xml"/>
  <Override PartName="/word/footer76.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77.xml" ContentType="application/vnd.openxmlformats-officedocument.wordprocessingml.footer+xml"/>
  <Override PartName="/word/footer78.xml" ContentType="application/vnd.openxmlformats-officedocument.wordprocessingml.footer+xml"/>
  <Override PartName="/word/header66.xml" ContentType="application/vnd.openxmlformats-officedocument.wordprocessingml.header+xml"/>
  <Override PartName="/word/header67.xml" ContentType="application/vnd.openxmlformats-officedocument.wordprocessingml.header+xml"/>
  <Override PartName="/word/footer79.xml" ContentType="application/vnd.openxmlformats-officedocument.wordprocessingml.footer+xml"/>
  <Override PartName="/word/footer80.xml" ContentType="application/vnd.openxmlformats-officedocument.wordprocessingml.footer+xml"/>
  <Override PartName="/word/header68.xml" ContentType="application/vnd.openxmlformats-officedocument.wordprocessingml.header+xml"/>
  <Override PartName="/word/header69.xml" ContentType="application/vnd.openxmlformats-officedocument.wordprocessingml.header+xml"/>
  <Override PartName="/word/footer81.xml" ContentType="application/vnd.openxmlformats-officedocument.wordprocessingml.footer+xml"/>
  <Override PartName="/word/header70.xml" ContentType="application/vnd.openxmlformats-officedocument.wordprocessingml.header+xml"/>
  <Override PartName="/word/footer82.xml" ContentType="application/vnd.openxmlformats-officedocument.wordprocessingml.footer+xml"/>
  <Override PartName="/word/header71.xml" ContentType="application/vnd.openxmlformats-officedocument.wordprocessingml.header+xml"/>
  <Override PartName="/word/footer83.xml" ContentType="application/vnd.openxmlformats-officedocument.wordprocessingml.footer+xml"/>
  <Override PartName="/word/footer84.xml" ContentType="application/vnd.openxmlformats-officedocument.wordprocessingml.footer+xml"/>
  <Override PartName="/word/header72.xml" ContentType="application/vnd.openxmlformats-officedocument.wordprocessingml.header+xml"/>
  <Override PartName="/word/header73.xml" ContentType="application/vnd.openxmlformats-officedocument.wordprocessingml.header+xml"/>
  <Override PartName="/word/footer85.xml" ContentType="application/vnd.openxmlformats-officedocument.wordprocessingml.footer+xml"/>
  <Override PartName="/word/footer86.xml" ContentType="application/vnd.openxmlformats-officedocument.wordprocessingml.foot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101.xml" ContentType="application/vnd.openxmlformats-officedocument.wordprocessingml.footer+xml"/>
  <Override PartName="/word/footer102.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footer103.xml" ContentType="application/vnd.openxmlformats-officedocument.wordprocessingml.footer+xml"/>
  <Override PartName="/word/footer104.xml" ContentType="application/vnd.openxmlformats-officedocument.wordprocessingml.footer+xml"/>
  <Override PartName="/word/header84.xml" ContentType="application/vnd.openxmlformats-officedocument.wordprocessingml.header+xml"/>
  <Override PartName="/word/header85.xml" ContentType="application/vnd.openxmlformats-officedocument.wordprocessingml.head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header86.xml" ContentType="application/vnd.openxmlformats-officedocument.wordprocessingml.header+xml"/>
  <Override PartName="/word/header87.xml" ContentType="application/vnd.openxmlformats-officedocument.wordprocessingml.head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footer127.xml" ContentType="application/vnd.openxmlformats-officedocument.wordprocessingml.footer+xml"/>
  <Override PartName="/word/footer128.xml" ContentType="application/vnd.openxmlformats-officedocument.wordprocessingml.footer+xml"/>
  <Override PartName="/word/header99.xml" ContentType="application/vnd.openxmlformats-officedocument.wordprocessingml.header+xml"/>
  <Override PartName="/word/header100.xml" ContentType="application/vnd.openxmlformats-officedocument.wordprocessingml.head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header101.xml" ContentType="application/vnd.openxmlformats-officedocument.wordprocessingml.header+xml"/>
  <Override PartName="/word/footer133.xml" ContentType="application/vnd.openxmlformats-officedocument.wordprocessingml.footer+xml"/>
  <Override PartName="/word/footer134.xml" ContentType="application/vnd.openxmlformats-officedocument.wordprocessingml.foot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footer141.xml" ContentType="application/vnd.openxmlformats-officedocument.wordprocessingml.footer+xml"/>
  <Override PartName="/word/footer142.xml" ContentType="application/vnd.openxmlformats-officedocument.wordprocessingml.foot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footer143.xml" ContentType="application/vnd.openxmlformats-officedocument.wordprocessingml.footer+xml"/>
  <Override PartName="/word/footer144.xml" ContentType="application/vnd.openxmlformats-officedocument.wordprocessingml.footer+xml"/>
  <Override PartName="/word/header112.xml" ContentType="application/vnd.openxmlformats-officedocument.wordprocessingml.header+xml"/>
  <Override PartName="/word/header113.xml" ContentType="application/vnd.openxmlformats-officedocument.wordprocessingml.header+xml"/>
  <Override PartName="/word/footer145.xml" ContentType="application/vnd.openxmlformats-officedocument.wordprocessingml.footer+xml"/>
  <Override PartName="/word/footer146.xml" ContentType="application/vnd.openxmlformats-officedocument.wordprocessingml.footer+xml"/>
  <Override PartName="/word/header114.xml" ContentType="application/vnd.openxmlformats-officedocument.wordprocessingml.header+xml"/>
  <Override PartName="/word/header115.xml" ContentType="application/vnd.openxmlformats-officedocument.wordprocessingml.header+xml"/>
  <Override PartName="/word/footer147.xml" ContentType="application/vnd.openxmlformats-officedocument.wordprocessingml.footer+xml"/>
  <Override PartName="/word/footer148.xml" ContentType="application/vnd.openxmlformats-officedocument.wordprocessingml.footer+xml"/>
  <Override PartName="/word/header116.xml" ContentType="application/vnd.openxmlformats-officedocument.wordprocessingml.header+xml"/>
  <Override PartName="/word/header117.xml" ContentType="application/vnd.openxmlformats-officedocument.wordprocessingml.header+xml"/>
  <Override PartName="/word/footer149.xml" ContentType="application/vnd.openxmlformats-officedocument.wordprocessingml.footer+xml"/>
  <Override PartName="/word/footer150.xml" ContentType="application/vnd.openxmlformats-officedocument.wordprocessingml.footer+xml"/>
  <Override PartName="/word/header118.xml" ContentType="application/vnd.openxmlformats-officedocument.wordprocessingml.head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3"/>
        <w:rPr>
          <w:rFonts w:ascii="Times New Roman" w:hAnsi="Times New Roman" w:cs="Times New Roman" w:eastAsia="Times New Roman" w:hint="default"/>
          <w:sz w:val="20"/>
          <w:szCs w:val="20"/>
        </w:rPr>
      </w:pPr>
    </w:p>
    <w:p>
      <w:pPr>
        <w:spacing w:after="0" w:line="240" w:lineRule="auto"/>
        <w:rPr>
          <w:rFonts w:ascii="Times New Roman" w:hAnsi="Times New Roman" w:cs="Times New Roman" w:eastAsia="Times New Roman" w:hint="default"/>
          <w:sz w:val="20"/>
          <w:szCs w:val="20"/>
        </w:rPr>
        <w:sectPr>
          <w:type w:val="continuous"/>
          <w:pgSz w:w="11910" w:h="16160"/>
          <w:pgMar w:top="1520" w:bottom="280" w:left="640" w:right="1680"/>
        </w:sectPr>
      </w:pPr>
    </w:p>
    <w:p>
      <w:pPr>
        <w:spacing w:line="1302" w:lineRule="exact" w:before="0"/>
        <w:ind w:left="107" w:right="0" w:firstLine="0"/>
        <w:jc w:val="left"/>
        <w:rPr>
          <w:rFonts w:ascii="Impact" w:hAnsi="Impact" w:cs="Impact" w:eastAsia="Impact" w:hint="default"/>
          <w:sz w:val="116"/>
          <w:szCs w:val="116"/>
        </w:rPr>
      </w:pPr>
      <w:bookmarkStart w:name="2018AR-前半部分.pdf" w:id="1"/>
      <w:bookmarkEnd w:id="1"/>
      <w:r>
        <w:rPr/>
      </w:r>
      <w:r>
        <w:rPr>
          <w:rFonts w:ascii="Impact"/>
          <w:color w:val="D7000F"/>
          <w:spacing w:val="28"/>
          <w:w w:val="95"/>
          <w:sz w:val="116"/>
        </w:rPr>
        <w:t>GIVE</w:t>
      </w:r>
      <w:r>
        <w:rPr>
          <w:rFonts w:ascii="Impact"/>
          <w:sz w:val="116"/>
        </w:rPr>
      </w:r>
    </w:p>
    <w:p>
      <w:pPr>
        <w:spacing w:line="240" w:lineRule="auto" w:before="3"/>
        <w:rPr>
          <w:rFonts w:ascii="Impact" w:hAnsi="Impact" w:cs="Impact" w:eastAsia="Impact" w:hint="default"/>
          <w:sz w:val="139"/>
          <w:szCs w:val="139"/>
        </w:rPr>
      </w:pPr>
      <w:r>
        <w:rPr/>
        <w:br w:type="column"/>
      </w:r>
      <w:r>
        <w:rPr>
          <w:rFonts w:ascii="Impact"/>
          <w:sz w:val="139"/>
        </w:rPr>
      </w:r>
    </w:p>
    <w:p>
      <w:pPr>
        <w:spacing w:before="0"/>
        <w:ind w:left="107" w:right="0" w:firstLine="0"/>
        <w:jc w:val="left"/>
        <w:rPr>
          <w:rFonts w:ascii="宋体" w:hAnsi="宋体" w:cs="宋体" w:eastAsia="宋体" w:hint="default"/>
          <w:sz w:val="103"/>
          <w:szCs w:val="103"/>
        </w:rPr>
      </w:pPr>
      <w:r>
        <w:rPr>
          <w:rFonts w:ascii="Times New Roman" w:hAnsi="Times New Roman" w:cs="Times New Roman" w:eastAsia="Times New Roman" w:hint="default"/>
          <w:color w:val="D7000F"/>
          <w:w w:val="94"/>
          <w:sz w:val="103"/>
          <w:szCs w:val="103"/>
        </w:rPr>
      </w:r>
      <w:r>
        <w:rPr>
          <w:rFonts w:ascii="Times New Roman" w:hAnsi="Times New Roman" w:cs="Times New Roman" w:eastAsia="Times New Roman" w:hint="default"/>
          <w:color w:val="D7000F"/>
          <w:w w:val="94"/>
          <w:sz w:val="103"/>
          <w:szCs w:val="103"/>
          <w:u w:val="thick" w:color="9C8758"/>
        </w:rPr>
        <w:t> </w:t>
      </w:r>
      <w:r>
        <w:rPr>
          <w:rFonts w:ascii="Times New Roman" w:hAnsi="Times New Roman" w:cs="Times New Roman" w:eastAsia="Times New Roman" w:hint="default"/>
          <w:color w:val="D7000F"/>
          <w:w w:val="94"/>
          <w:sz w:val="103"/>
          <w:szCs w:val="103"/>
        </w:rPr>
      </w:r>
      <w:r>
        <w:rPr>
          <w:rFonts w:ascii="Times New Roman" w:hAnsi="Times New Roman" w:cs="Times New Roman" w:eastAsia="Times New Roman" w:hint="default"/>
          <w:color w:val="D7000F"/>
          <w:spacing w:val="-87"/>
          <w:sz w:val="103"/>
          <w:szCs w:val="103"/>
        </w:rPr>
        <w:t> </w:t>
      </w:r>
      <w:r>
        <w:rPr>
          <w:rFonts w:ascii="宋体" w:hAnsi="宋体" w:cs="宋体" w:eastAsia="宋体" w:hint="default"/>
          <w:color w:val="D7000F"/>
          <w:sz w:val="103"/>
          <w:szCs w:val="103"/>
        </w:rPr>
        <w:t>联通</w:t>
      </w:r>
      <w:r>
        <w:rPr>
          <w:rFonts w:ascii="宋体" w:hAnsi="宋体" w:cs="宋体" w:eastAsia="宋体" w:hint="default"/>
          <w:sz w:val="103"/>
          <w:szCs w:val="103"/>
        </w:rPr>
      </w:r>
    </w:p>
    <w:p>
      <w:pPr>
        <w:spacing w:after="0"/>
        <w:jc w:val="left"/>
        <w:rPr>
          <w:rFonts w:ascii="宋体" w:hAnsi="宋体" w:cs="宋体" w:eastAsia="宋体" w:hint="default"/>
          <w:sz w:val="103"/>
          <w:szCs w:val="103"/>
        </w:rPr>
        <w:sectPr>
          <w:type w:val="continuous"/>
          <w:pgSz w:w="11910" w:h="16160"/>
          <w:pgMar w:top="1520" w:bottom="280" w:left="640" w:right="1680"/>
          <w:cols w:num="2" w:equalWidth="0">
            <w:col w:w="2282" w:space="2135"/>
            <w:col w:w="5173"/>
          </w:cols>
        </w:sectPr>
      </w:pPr>
    </w:p>
    <w:p>
      <w:pPr>
        <w:spacing w:line="240" w:lineRule="auto" w:before="0"/>
        <w:rPr>
          <w:rFonts w:ascii="宋体" w:hAnsi="宋体" w:cs="宋体" w:eastAsia="宋体" w:hint="default"/>
          <w:sz w:val="20"/>
          <w:szCs w:val="20"/>
        </w:rPr>
      </w:pPr>
      <w:r>
        <w:rPr/>
        <w:pict>
          <v:group style="position:absolute;margin-left:39.443501pt;margin-top:-.403506pt;width:556.6pt;height:710.5pt;mso-position-horizontal-relative:page;mso-position-vertical-relative:page;z-index:-968896" coordorigin="789,-8" coordsize="11132,14210">
            <v:group style="position:absolute;left:3409;top:10458;width:872;height:547" coordorigin="3409,10458" coordsize="872,547">
              <v:shape style="position:absolute;left:3409;top:10458;width:872;height:547" coordorigin="3409,10458" coordsize="872,547" path="m4281,10458l3409,11005e" filled="false" stroked="true" strokeweight=".995pt" strokecolor="#8c8f90">
                <v:path arrowok="t"/>
              </v:shape>
            </v:group>
            <v:group style="position:absolute;left:4142;top:10729;width:1396;height:1495" coordorigin="4142,10729" coordsize="1396,1495">
              <v:shape style="position:absolute;left:4142;top:10729;width:1396;height:1495" coordorigin="4142,10729" coordsize="1396,1495" path="m5538,10729l4142,12223e" filled="false" stroked="true" strokeweight=".995pt" strokecolor="#9c8758">
                <v:path arrowok="t"/>
              </v:shape>
            </v:group>
            <v:group style="position:absolute;left:4611;top:9660;width:944;height:592" coordorigin="4611,9660" coordsize="944,592">
              <v:shape style="position:absolute;left:4611;top:9660;width:944;height:592" coordorigin="4611,9660" coordsize="944,592" path="m5555,9660l4611,10251e" filled="false" stroked="true" strokeweight=".995pt" strokecolor="#8c8f90">
                <v:path arrowok="t"/>
              </v:shape>
            </v:group>
            <v:group style="position:absolute;left:3785;top:10165;width:1878;height:1652" coordorigin="3785,10165" coordsize="1878,1652">
              <v:shape style="position:absolute;left:3785;top:10165;width:1878;height:1652" coordorigin="3785,10165" coordsize="1878,1652" path="m5662,10165l3785,11816e" filled="false" stroked="true" strokeweight="1.493pt" strokecolor="#8c8f90">
                <v:path arrowok="t"/>
              </v:shape>
            </v:group>
            <v:group style="position:absolute;left:3258;top:9407;width:1806;height:778" coordorigin="3258,9407" coordsize="1806,778">
              <v:shape style="position:absolute;left:3258;top:9407;width:1806;height:778" coordorigin="3258,9407" coordsize="1806,778" path="m5063,9407l3258,10184e" filled="false" stroked="true" strokeweight=".498pt" strokecolor="#8c8f90">
                <v:path arrowok="t"/>
              </v:shape>
            </v:group>
            <v:group style="position:absolute;left:7085;top:14107;width:3;height:16" coordorigin="7085,14107" coordsize="3,16">
              <v:shape style="position:absolute;left:7085;top:14107;width:3;height:16" coordorigin="7085,14107" coordsize="3,16" path="m7087,14107l7085,14122e" filled="false" stroked="true" strokeweight=".498pt" strokecolor="#8c8f90">
                <v:path arrowok="t"/>
              </v:shape>
            </v:group>
            <v:group style="position:absolute;left:7087;top:11743;width:318;height:2364" coordorigin="7087,11743" coordsize="318,2364">
              <v:shape style="position:absolute;left:7087;top:11743;width:318;height:2364" coordorigin="7087,11743" coordsize="318,2364" path="m7405,11743l7087,14107e" filled="false" stroked="true" strokeweight=".498pt" strokecolor="#8c8f90">
                <v:path arrowok="t"/>
              </v:shape>
            </v:group>
            <v:group style="position:absolute;left:6636;top:11671;width:517;height:2343" coordorigin="6636,11671" coordsize="517,2343">
              <v:shape style="position:absolute;left:6636;top:11671;width:517;height:2343" coordorigin="6636,11671" coordsize="517,2343" path="m7152,11671l6636,14014e" filled="false" stroked="true" strokeweight=".498pt" strokecolor="#8c8f90">
                <v:path arrowok="t"/>
              </v:shape>
            </v:group>
            <v:group style="position:absolute;left:5700;top:11398;width:914;height:2246" coordorigin="5700,11398" coordsize="914,2246">
              <v:shape style="position:absolute;left:5700;top:11398;width:914;height:2246" coordorigin="5700,11398" coordsize="914,2246" path="m6613,11398l5700,13644e" filled="false" stroked="true" strokeweight=".249pt" strokecolor="#9c8758">
                <v:path arrowok="t"/>
              </v:shape>
            </v:group>
            <v:group style="position:absolute;left:6570;top:11660;width:544;height:2336" coordorigin="6570,11660" coordsize="544,2336">
              <v:shape style="position:absolute;left:6570;top:11660;width:544;height:2336" coordorigin="6570,11660" coordsize="544,2336" path="m7113,11660l6570,13995e" filled="false" stroked="true" strokeweight="1.493pt" strokecolor="#9c8758">
                <v:path arrowok="t"/>
              </v:shape>
            </v:group>
            <v:group style="position:absolute;left:3556;top:10943;width:591;height:434" coordorigin="3556,10943" coordsize="591,434">
              <v:shape style="position:absolute;left:3556;top:10943;width:591;height:434" coordorigin="3556,10943" coordsize="591,434" path="m4147,10943l3556,11376e" filled="false" stroked="true" strokeweight=".498pt" strokecolor="#9c8758">
                <v:path arrowok="t"/>
              </v:shape>
            </v:group>
            <v:group style="position:absolute;left:4281;top:9886;width:1308;height:959" coordorigin="4281,9886" coordsize="1308,959">
              <v:shape style="position:absolute;left:4281;top:9886;width:1308;height:959" coordorigin="4281,9886" coordsize="1308,959" path="m5589,9886l4281,10844e" filled="false" stroked="true" strokeweight=".498pt" strokecolor="#8c8f90">
                <v:path arrowok="t"/>
              </v:shape>
            </v:group>
            <v:group style="position:absolute;left:3365;top:9580;width:2184;height:1292" coordorigin="3365,9580" coordsize="2184,1292">
              <v:shape style="position:absolute;left:3365;top:9580;width:2184;height:1292" coordorigin="3365,9580" coordsize="2184,1292" path="m5548,9580l3365,10871e" filled="false" stroked="true" strokeweight=".498pt" strokecolor="#8c8f90">
                <v:path arrowok="t"/>
              </v:shape>
            </v:group>
            <v:group style="position:absolute;left:3249;top:9407;width:2131;height:1032" coordorigin="3249,9407" coordsize="2131,1032">
              <v:shape style="position:absolute;left:3249;top:9407;width:2131;height:1032" coordorigin="3249,9407" coordsize="2131,1032" path="m5379,9407l3249,10438e" filled="false" stroked="true" strokeweight=".249pt" strokecolor="#9c8758">
                <v:path arrowok="t"/>
              </v:shape>
            </v:group>
            <v:group style="position:absolute;left:3474;top:9764;width:2095;height:1414" coordorigin="3474,9764" coordsize="2095,1414">
              <v:shape style="position:absolute;left:3474;top:9764;width:2095;height:1414" coordorigin="3474,9764" coordsize="2095,1414" path="m5569,9764l3474,11178e" filled="false" stroked="true" strokeweight=".995pt" strokecolor="#9c8758">
                <v:path arrowok="t"/>
              </v:shape>
            </v:group>
            <v:group style="position:absolute;left:3738;top:11523;width:250;height:213" coordorigin="3738,11523" coordsize="250,213">
              <v:shape style="position:absolute;left:3738;top:11523;width:250;height:213" coordorigin="3738,11523" coordsize="250,213" path="m3987,11523l3738,11736e" filled="false" stroked="true" strokeweight="1.493pt" strokecolor="#8c8f90">
                <v:path arrowok="t"/>
              </v:shape>
            </v:group>
            <v:group style="position:absolute;left:4212;top:10112;width:1435;height:1221" coordorigin="4212,10112" coordsize="1435,1221">
              <v:shape style="position:absolute;left:4212;top:10112;width:1435;height:1221" coordorigin="4212,10112" coordsize="1435,1221" path="m5646,10112l4212,11332e" filled="false" stroked="true" strokeweight="1.493pt" strokecolor="#8c8f90">
                <v:path arrowok="t"/>
              </v:shape>
            </v:group>
            <v:group style="position:absolute;left:3922;top:10305;width:1795;height:1732" coordorigin="3922,10305" coordsize="1795,1732">
              <v:shape style="position:absolute;left:3922;top:10305;width:1795;height:1732" coordorigin="3922,10305" coordsize="1795,1732" path="m5716,10305l3922,12036e" filled="false" stroked="true" strokeweight="1.493pt" strokecolor="#9c8758">
                <v:path arrowok="t"/>
              </v:shape>
            </v:group>
            <v:group style="position:absolute;left:6342;top:11596;width:624;height:2335" coordorigin="6342,11596" coordsize="624,2335">
              <v:shape style="position:absolute;left:6342;top:11596;width:624;height:2335" coordorigin="6342,11596" coordsize="624,2335" path="m6965,11596l6342,13930e" filled="false" stroked="true" strokeweight=".995pt" strokecolor="#9c8758">
                <v:path arrowok="t"/>
              </v:shape>
            </v:group>
            <v:group style="position:absolute;left:5821;top:11445;width:862;height:2269" coordorigin="5821,11445" coordsize="862,2269">
              <v:shape style="position:absolute;left:5821;top:11445;width:862;height:2269" coordorigin="5821,11445" coordsize="862,2269" path="m6682,11445l5821,13713e" filled="false" stroked="true" strokeweight="1.493pt" strokecolor="#9c8758">
                <v:path arrowok="t"/>
              </v:shape>
            </v:group>
            <v:group style="position:absolute;left:6731;top:11688;width:479;height:2354" coordorigin="6731,11688" coordsize="479,2354">
              <v:shape style="position:absolute;left:6731;top:11688;width:479;height:2354" coordorigin="6731,11688" coordsize="479,2354" path="m7209,11688l6731,14042e" filled="false" stroked="true" strokeweight=".995pt" strokecolor="#9c8758">
                <v:path arrowok="t"/>
              </v:shape>
            </v:group>
            <v:group style="position:absolute;left:6151;top:11546;width:721;height:2308" coordorigin="6151,11546" coordsize="721,2308">
              <v:shape style="position:absolute;left:6151;top:11546;width:721;height:2308" coordorigin="6151,11546" coordsize="721,2308" path="m6871,11546l6151,13854e" filled="false" stroked="true" strokeweight="1.493pt" strokecolor="#8c8f90">
                <v:path arrowok="t"/>
              </v:shape>
            </v:group>
            <v:group style="position:absolute;left:4674;top:10406;width:1085;height:1118" coordorigin="4674,10406" coordsize="1085,1118">
              <v:shape style="position:absolute;left:4674;top:10406;width:1085;height:1118" coordorigin="4674,10406" coordsize="1085,1118" path="m4674,11523l5759,10406e" filled="false" stroked="true" strokeweight=".498pt" strokecolor="#9c8758">
                <v:path arrowok="t"/>
              </v:shape>
            </v:group>
            <v:group style="position:absolute;left:4026;top:11816;width:365;height:376" coordorigin="4026,11816" coordsize="365,376">
              <v:shape style="position:absolute;left:4026;top:11816;width:365;height:376" coordorigin="4026,11816" coordsize="365,376" path="m4026,12191l4390,11816e" filled="false" stroked="true" strokeweight=".498pt" strokecolor="#8c8f90">
                <v:path arrowok="t"/>
              </v:shape>
            </v:group>
            <v:group style="position:absolute;left:3791;top:10145;width:1865;height:1682" coordorigin="3791,10145" coordsize="1865,1682">
              <v:shape style="position:absolute;left:3791;top:10145;width:1865;height:1682" coordorigin="3791,10145" coordsize="1865,1682" path="m3791,11826l5655,10145e" filled="false" stroked="true" strokeweight=".249pt" strokecolor="#8c8f90">
                <v:path arrowok="t"/>
              </v:shape>
            </v:group>
            <v:group style="position:absolute;left:3584;top:9920;width:2014;height:1511" coordorigin="3584,9920" coordsize="2014,1511">
              <v:shape style="position:absolute;left:3584;top:9920;width:2014;height:1511" coordorigin="3584,9920" coordsize="2014,1511" path="m3584,11431l5597,9920e" filled="false" stroked="true" strokeweight=".249pt" strokecolor="#9c8758">
                <v:path arrowok="t"/>
              </v:shape>
            </v:group>
            <v:group style="position:absolute;left:3186;top:9407;width:1700;height:689" coordorigin="3186,9407" coordsize="1700,689">
              <v:shape style="position:absolute;left:3186;top:9407;width:1700;height:689" coordorigin="3186,9407" coordsize="1700,689" path="m4886,9407l3186,10096e" filled="false" stroked="true" strokeweight=".995pt" strokecolor="#8c8f90">
                <v:path arrowok="t"/>
              </v:shape>
            </v:group>
            <v:group style="position:absolute;left:3318;top:9407;width:374;height:109" coordorigin="3318,9407" coordsize="374,109">
              <v:shape style="position:absolute;left:3318;top:9407;width:374;height:109" coordorigin="3318,9407" coordsize="374,109" path="m3691,9407l3318,9516e" filled="false" stroked="true" strokeweight="1.493pt" strokecolor="#8c8f90">
                <v:path arrowok="t"/>
              </v:shape>
            </v:group>
            <v:group style="position:absolute;left:3138;top:9407;width:147;height:39" coordorigin="3138,9407" coordsize="147,39">
              <v:shape style="position:absolute;left:3138;top:9407;width:147;height:39" coordorigin="3138,9407" coordsize="147,39" path="m3285,9407l3138,9446e" filled="false" stroked="true" strokeweight=".995pt" strokecolor="#8c8f90">
                <v:path arrowok="t"/>
              </v:shape>
            </v:group>
            <v:group style="position:absolute;left:3150;top:9448;width:928;height:308" coordorigin="3150,9448" coordsize="928,308">
              <v:shape style="position:absolute;left:3150;top:9448;width:928;height:308" coordorigin="3150,9448" coordsize="928,308" path="m4078,9448l3150,9755e" filled="false" stroked="true" strokeweight=".995pt" strokecolor="#9c8758">
                <v:path arrowok="t"/>
              </v:shape>
            </v:group>
            <v:group style="position:absolute;left:3615;top:9959;width:1991;height:1533" coordorigin="3615,9959" coordsize="1991,1533">
              <v:shape style="position:absolute;left:3615;top:9959;width:1991;height:1533" coordorigin="3615,9959" coordsize="1991,1533" path="m5606,9959l3615,11491e" filled="false" stroked="true" strokeweight=".995pt" strokecolor="#9c8758">
                <v:path arrowok="t"/>
              </v:shape>
            </v:group>
            <v:group style="position:absolute;left:3475;top:9827;width:1719;height:1040" coordorigin="3475,9827" coordsize="1719,1040">
              <v:shape style="position:absolute;left:3475;top:9827;width:1719;height:1040" coordorigin="3475,9827" coordsize="1719,1040" path="m5194,9827l3475,10867e" filled="false" stroked="true" strokeweight="1.493pt" strokecolor="#8c8f90">
                <v:path arrowok="t"/>
              </v:shape>
            </v:group>
            <v:group style="position:absolute;left:5931;top:11485;width:814;height:2283" coordorigin="5931,11485" coordsize="814,2283">
              <v:shape style="position:absolute;left:5931;top:11485;width:814;height:2283" coordorigin="5931,11485" coordsize="814,2283" path="m6744,11485l5931,13767e" filled="false" stroked="true" strokeweight=".498pt" strokecolor="#8c8f90">
                <v:path arrowok="t"/>
              </v:shape>
            </v:group>
            <v:group style="position:absolute;left:5593;top:11358;width:962;height:2237" coordorigin="5593,11358" coordsize="962,2237">
              <v:shape style="position:absolute;left:5593;top:11358;width:962;height:2237" coordorigin="5593,11358" coordsize="962,2237" path="m6555,11358l5593,13595e" filled="false" stroked="true" strokeweight=".498pt" strokecolor="#9c8758">
                <v:path arrowok="t"/>
              </v:shape>
            </v:group>
            <v:group style="position:absolute;left:4619;top:10848;width:1408;height:2023" coordorigin="4619,10848" coordsize="1408,2023">
              <v:shape style="position:absolute;left:4619;top:10848;width:1408;height:2023" coordorigin="4619,10848" coordsize="1408,2023" path="m6027,10848l4619,12870e" filled="false" stroked="true" strokeweight=".249pt" strokecolor="#8c8f90">
                <v:path arrowok="t"/>
              </v:shape>
            </v:group>
            <v:group style="position:absolute;left:4738;top:11616;width:906;height:1366" coordorigin="4738,11616" coordsize="906,1366">
              <v:shape style="position:absolute;left:4738;top:11616;width:906;height:1366" coordorigin="4738,11616" coordsize="906,1366" path="m5643,11616l4738,12981e" filled="false" stroked="true" strokeweight=".995pt" strokecolor="#9c8758">
                <v:path arrowok="t"/>
              </v:shape>
            </v:group>
            <v:group style="position:absolute;left:5863;top:10937;width:231;height:348" coordorigin="5863,10937" coordsize="231,348">
              <v:shape style="position:absolute;left:5863;top:10937;width:231;height:348" coordorigin="5863,10937" coordsize="231,348" path="m6093,10937l5863,11284e" filled="false" stroked="true" strokeweight=".995pt" strokecolor="#9c8758">
                <v:path arrowok="t"/>
              </v:shape>
            </v:group>
            <v:group style="position:absolute;left:6021;top:11517;width:773;height:2286" coordorigin="6021,11517" coordsize="773,2286">
              <v:shape style="position:absolute;left:6021;top:11517;width:773;height:2286" coordorigin="6021,11517" coordsize="773,2286" path="m6794,11517l6021,13803e" filled="false" stroked="true" strokeweight=".995pt" strokecolor="#9c8758">
                <v:path arrowok="t"/>
              </v:shape>
            </v:group>
            <v:group style="position:absolute;left:4571;top:12760;width:47;height:65" coordorigin="4571,12760" coordsize="47,65">
              <v:shape style="position:absolute;left:4571;top:12760;width:47;height:65" coordorigin="4571,12760" coordsize="47,65" path="m4617,12760l4571,12824e" filled="false" stroked="true" strokeweight="1.493pt" strokecolor="#8c8f90">
                <v:path arrowok="t"/>
              </v:shape>
            </v:group>
            <v:group style="position:absolute;left:4859;top:10826;width:1153;height:1598" coordorigin="4859,10826" coordsize="1153,1598">
              <v:shape style="position:absolute;left:4859;top:10826;width:1153;height:1598" coordorigin="4859,10826" coordsize="1153,1598" path="m6012,10826l4859,12424e" filled="false" stroked="true" strokeweight="1.493pt" strokecolor="#8c8f90">
                <v:path arrowok="t"/>
              </v:shape>
            </v:group>
            <v:group style="position:absolute;left:5484;top:11314;width:1009;height:2211" coordorigin="5484,11314" coordsize="1009,2211">
              <v:shape style="position:absolute;left:5484;top:11314;width:1009;height:2211" coordorigin="5484,11314" coordsize="1009,2211" path="m6492,11314l5484,13524e" filled="false" stroked="true" strokeweight="1.493pt" strokecolor="#9c8758">
                <v:path arrowok="t"/>
              </v:shape>
            </v:group>
            <v:group style="position:absolute;left:5070;top:11123;width:1194;height:2121" coordorigin="5070,11123" coordsize="1194,2121">
              <v:shape style="position:absolute;left:5070;top:11123;width:1194;height:2121" coordorigin="5070,11123" coordsize="1194,2121" path="m6264,11123l5070,13244e" filled="false" stroked="true" strokeweight=".498pt" strokecolor="#9c8758">
                <v:path arrowok="t"/>
              </v:shape>
            </v:group>
            <v:group style="position:absolute;left:4271;top:10617;width:1592;height:1886" coordorigin="4271,10617" coordsize="1592,1886">
              <v:shape style="position:absolute;left:4271;top:10617;width:1592;height:1886" coordorigin="4271,10617" coordsize="1592,1886" path="m5863,10617l4271,12503e" filled="false" stroked="true" strokeweight=".249pt" strokecolor="#8c8f90">
                <v:path arrowok="t"/>
              </v:shape>
            </v:group>
            <v:group style="position:absolute;left:3345;top:9546;width:2201;height:1270" coordorigin="3345,9546" coordsize="2201,1270">
              <v:shape style="position:absolute;left:3345;top:9546;width:2201;height:1270" coordorigin="3345,9546" coordsize="2201,1270" path="m5546,9546l3345,10815e" filled="false" stroked="true" strokeweight=".995pt" strokecolor="#8c8f90">
                <v:path arrowok="t"/>
              </v:shape>
            </v:group>
            <v:group style="position:absolute;left:3564;top:9407;width:1666;height:762" coordorigin="3564,9407" coordsize="1666,762">
              <v:shape style="position:absolute;left:3564;top:9407;width:1666;height:762" coordorigin="3564,9407" coordsize="1666,762" path="m5230,9407l3564,10169e" filled="false" stroked="true" strokeweight="1.493pt" strokecolor="#9c8758">
                <v:path arrowok="t"/>
              </v:shape>
            </v:group>
            <v:group style="position:absolute;left:3151;top:9407;width:1045;height:362" coordorigin="3151,9407" coordsize="1045,362">
              <v:shape style="position:absolute;left:3151;top:9407;width:1045;height:362" coordorigin="3151,9407" coordsize="1045,362" path="m4196,9407l3151,9769e" filled="false" stroked="true" strokeweight=".498pt" strokecolor="#9c8758">
                <v:path arrowok="t"/>
              </v:shape>
            </v:group>
            <v:group style="position:absolute;left:3292;top:9407;width:2240;height:1215" coordorigin="3292,9407" coordsize="2240,1215">
              <v:shape style="position:absolute;left:3292;top:9407;width:2240;height:1215" coordorigin="3292,9407" coordsize="2240,1215" path="m3292,10621l5532,9407e" filled="false" stroked="true" strokeweight=".498pt" strokecolor="#9c8758">
                <v:path arrowok="t"/>
              </v:shape>
            </v:group>
            <v:group style="position:absolute;left:3840;top:10195;width:1835;height:1712" coordorigin="3840,10195" coordsize="1835,1712">
              <v:shape style="position:absolute;left:3840;top:10195;width:1835;height:1712" coordorigin="3840,10195" coordsize="1835,1712" path="m3840,11906l5674,10195e" filled="false" stroked="true" strokeweight=".249pt" strokecolor="#9c8758">
                <v:path arrowok="t"/>
              </v:shape>
            </v:group>
            <v:group style="position:absolute;left:3263;top:9407;width:2203;height:1105" coordorigin="3263,9407" coordsize="2203,1105">
              <v:shape style="position:absolute;left:3263;top:9407;width:2203;height:1105" coordorigin="3263,9407" coordsize="2203,1105" path="m3263,10511l5466,9407e" filled="false" stroked="true" strokeweight=".249pt" strokecolor="#8c8f90">
                <v:path arrowok="t"/>
              </v:shape>
            </v:group>
            <v:group style="position:absolute;left:3167;top:9685;width:717;height:268" coordorigin="3167,9685" coordsize="717,268">
              <v:shape style="position:absolute;left:3167;top:9685;width:717;height:268" coordorigin="3167,9685" coordsize="717,268" path="m3884,9685l3167,9953e" filled="false" stroked="true" strokeweight=".995pt" strokecolor="#9c8758">
                <v:path arrowok="t"/>
              </v:shape>
            </v:group>
            <v:group style="position:absolute;left:4290;top:9407;width:339;height:127" coordorigin="4290,9407" coordsize="339,127">
              <v:shape style="position:absolute;left:4290;top:9407;width:339;height:127" coordorigin="4290,9407" coordsize="339,127" path="m4628,9407l4290,9534e" filled="false" stroked="true" strokeweight=".995pt" strokecolor="#9c8758">
                <v:path arrowok="t"/>
              </v:shape>
            </v:group>
            <v:group style="position:absolute;left:3450;top:9726;width:2114;height:1390" coordorigin="3450,9726" coordsize="2114,1390">
              <v:shape style="position:absolute;left:3450;top:9726;width:2114;height:1390" coordorigin="3450,9726" coordsize="2114,1390" path="m5564,9726l3450,11115e" filled="false" stroked="true" strokeweight=".249pt" strokecolor="#9c8758">
                <v:path arrowok="t"/>
              </v:shape>
            </v:group>
            <v:group style="position:absolute;left:4886;top:12353;width:468;height:759" coordorigin="4886,12353" coordsize="468,759">
              <v:shape style="position:absolute;left:4886;top:12353;width:468;height:759" coordorigin="4886,12353" coordsize="468,759" path="m5353,12353l4886,13112e" filled="false" stroked="true" strokeweight=".995pt" strokecolor="#9c8758">
                <v:path arrowok="t"/>
              </v:shape>
            </v:group>
            <v:group style="position:absolute;left:5483;top:11026;width:687;height:1116" coordorigin="5483,11026" coordsize="687,1116">
              <v:shape style="position:absolute;left:5483;top:11026;width:687;height:1116" coordorigin="5483,11026" coordsize="687,1116" path="m6169,11026l5483,12141e" filled="false" stroked="true" strokeweight=".995pt" strokecolor="#8c8f90">
                <v:path arrowok="t"/>
              </v:shape>
            </v:group>
            <v:group style="position:absolute;left:5313;top:11247;width:1085;height:2185" coordorigin="5313,11247" coordsize="1085,2185">
              <v:shape style="position:absolute;left:5313;top:11247;width:1085;height:2185" coordorigin="5313,11247" coordsize="1085,2185" path="m6398,11247l5313,13431e" filled="false" stroked="true" strokeweight="1.493pt" strokecolor="#8c8f90">
                <v:path arrowok="t"/>
              </v:shape>
            </v:group>
            <v:group style="position:absolute;left:7467;top:14147;width:2;height:20" coordorigin="7467,14147" coordsize="2,20">
              <v:shape style="position:absolute;left:7467;top:14147;width:2;height:20" coordorigin="7467,14147" coordsize="2,20" path="m7469,14147l7467,14167e" filled="false" stroked="true" strokeweight=".249pt" strokecolor="#9c8758">
                <v:path arrowok="t"/>
              </v:shape>
            </v:group>
            <v:group style="position:absolute;left:7469;top:14107;width:3;height:40" coordorigin="7469,14107" coordsize="3,40">
              <v:shape style="position:absolute;left:7469;top:14107;width:3;height:40" coordorigin="7469,14107" coordsize="3,40" path="m7472,14107l7469,14147e" filled="false" stroked="true" strokeweight=".249pt" strokecolor="#9c8758">
                <v:path arrowok="t"/>
              </v:shape>
            </v:group>
            <v:group style="position:absolute;left:7733;top:14167;width:2;height:20" coordorigin="7733,14167" coordsize="2,20">
              <v:shape style="position:absolute;left:7733;top:14167;width:2;height:20" coordorigin="7733,14167" coordsize="1,20" path="m7734,14167l7733,14187e" filled="false" stroked="true" strokeweight="1.493pt" strokecolor="#8c8f90">
                <v:path arrowok="t"/>
              </v:shape>
            </v:group>
            <v:group style="position:absolute;left:7734;top:14147;width:2;height:20" coordorigin="7734,14147" coordsize="2,20">
              <v:shape style="position:absolute;left:7734;top:14147;width:2;height:20" coordorigin="7734,14147" coordsize="1,20" path="m7735,14147l7734,14167e" filled="false" stroked="true" strokeweight="1.493pt" strokecolor="#8c8f90">
                <v:path arrowok="t"/>
              </v:shape>
            </v:group>
            <v:group style="position:absolute;left:7735;top:14107;width:2;height:40" coordorigin="7735,14107" coordsize="2,40">
              <v:shape style="position:absolute;left:7735;top:14107;width:2;height:40" coordorigin="7735,14107" coordsize="2,40" path="m7736,14107l7735,14147e" filled="false" stroked="true" strokeweight="1.493pt" strokecolor="#8c8f90">
                <v:path arrowok="t"/>
              </v:shape>
            </v:group>
            <v:group style="position:absolute;left:7736;top:12532;width:50;height:1575" coordorigin="7736,12532" coordsize="50,1575">
              <v:shape style="position:absolute;left:7736;top:12532;width:50;height:1575" coordorigin="7736,12532" coordsize="50,1575" path="m7786,12532l7736,14107e" filled="false" stroked="true" strokeweight="1.493pt" strokecolor="#8c8f90">
                <v:path arrowok="t"/>
              </v:shape>
            </v:group>
            <v:group style="position:absolute;left:7798;top:11807;width:11;height:332" coordorigin="7798,11807" coordsize="11,332">
              <v:shape style="position:absolute;left:7798;top:11807;width:11;height:332" coordorigin="7798,11807" coordsize="11,332" path="m7809,11807l7798,12139e" filled="false" stroked="true" strokeweight="1.493pt" strokecolor="#8c8f90">
                <v:path arrowok="t"/>
              </v:shape>
            </v:group>
            <v:group style="position:absolute;left:7635;top:14167;width:2;height:20" coordorigin="7635,14167" coordsize="2,20">
              <v:shape style="position:absolute;left:7635;top:14167;width:2;height:20" coordorigin="7635,14167" coordsize="1,20" path="m7636,14167l7635,14187e" filled="false" stroked="true" strokeweight=".249pt" strokecolor="#8c8f90">
                <v:path arrowok="t"/>
              </v:shape>
            </v:group>
            <v:group style="position:absolute;left:7636;top:14147;width:2;height:20" coordorigin="7636,14147" coordsize="2,20">
              <v:shape style="position:absolute;left:7636;top:14147;width:2;height:20" coordorigin="7636,14147" coordsize="1,20" path="m7637,14147l7636,14167e" filled="false" stroked="true" strokeweight=".249pt" strokecolor="#8c8f90">
                <v:path arrowok="t"/>
              </v:shape>
            </v:group>
            <v:group style="position:absolute;left:7637;top:14107;width:2;height:40" coordorigin="7637,14107" coordsize="2,40">
              <v:shape style="position:absolute;left:7637;top:14107;width:2;height:40" coordorigin="7637,14107" coordsize="2,40" path="m7638,14107l7637,14147e" filled="false" stroked="true" strokeweight=".249pt" strokecolor="#8c8f90">
                <v:path arrowok="t"/>
              </v:shape>
            </v:group>
            <v:group style="position:absolute;left:7638;top:11798;width:111;height:2309" coordorigin="7638,11798" coordsize="111,2309">
              <v:shape style="position:absolute;left:7638;top:11798;width:111;height:2309" coordorigin="7638,11798" coordsize="111,2309" path="m7749,11798l7638,14107e" filled="false" stroked="true" strokeweight=".249pt" strokecolor="#8c8f90">
                <v:path arrowok="t"/>
              </v:shape>
            </v:group>
            <v:group style="position:absolute;left:7472;top:11787;width:163;height:2320" coordorigin="7472,11787" coordsize="163,2320">
              <v:shape style="position:absolute;left:7472;top:11787;width:163;height:2320" coordorigin="7472,11787" coordsize="163,2320" path="m7634,11787l7472,14107e" filled="false" stroked="true" strokeweight=".249pt" strokecolor="#9c8758">
                <v:path arrowok="t"/>
              </v:shape>
            </v:group>
            <v:group style="position:absolute;left:6911;top:11719;width:407;height:2375" coordorigin="6911,11719" coordsize="407,2375">
              <v:shape style="position:absolute;left:6911;top:11719;width:407;height:2375" coordorigin="6911,11719" coordsize="407,2375" path="m7318,11719l6911,14093e" filled="false" stroked="true" strokeweight=".249pt" strokecolor="#8c8f90">
                <v:path arrowok="t"/>
              </v:shape>
            </v:group>
            <v:group style="position:absolute;left:5222;top:10556;width:614;height:700" coordorigin="5222,10556" coordsize="614,700">
              <v:shape style="position:absolute;left:5222;top:10556;width:614;height:700" coordorigin="5222,10556" coordsize="614,700" path="m5222,11255l5835,10556e" filled="false" stroked="true" strokeweight=".995pt" strokecolor="#9c8758">
                <v:path arrowok="t"/>
              </v:shape>
            </v:group>
            <v:group style="position:absolute;left:4202;top:11531;width:779;height:888" coordorigin="4202,11531" coordsize="779,888">
              <v:shape style="position:absolute;left:4202;top:11531;width:779;height:888" coordorigin="4202,11531" coordsize="779,888" path="m4202,12418l4980,11531e" filled="false" stroked="true" strokeweight=".995pt" strokecolor="#8c8f90">
                <v:path arrowok="t"/>
              </v:shape>
            </v:group>
            <v:group style="position:absolute;left:7468;top:11778;width:132;height:1453" coordorigin="7468,11778" coordsize="132,1453">
              <v:shape style="position:absolute;left:7468;top:11778;width:132;height:1453" coordorigin="7468,11778" coordsize="132,1453" path="m7468,13231l7599,11778e" filled="false" stroked="true" strokeweight="1.493pt" strokecolor="#8c8f90">
                <v:path arrowok="t"/>
              </v:shape>
            </v:group>
            <v:group style="position:absolute;left:7383;top:14147;width:2;height:20" coordorigin="7383,14147" coordsize="2,20">
              <v:shape style="position:absolute;left:7383;top:14147;width:2;height:20" coordorigin="7383,14147" coordsize="2,20" path="m7383,14167l7385,14147e" filled="false" stroked="true" strokeweight="1.493pt" strokecolor="#9c8758">
                <v:path arrowok="t"/>
              </v:shape>
            </v:group>
            <v:group style="position:absolute;left:7385;top:14107;width:4;height:40" coordorigin="7385,14107" coordsize="4,40">
              <v:shape style="position:absolute;left:7385;top:14107;width:4;height:40" coordorigin="7385,14107" coordsize="4,40" path="m7385,14147l7389,14107e" filled="false" stroked="true" strokeweight="1.493pt" strokecolor="#9c8758">
                <v:path arrowok="t"/>
              </v:shape>
            </v:group>
            <v:group style="position:absolute;left:7389;top:13669;width:40;height:438" coordorigin="7389,13669" coordsize="40,438">
              <v:shape style="position:absolute;left:7389;top:13669;width:40;height:438" coordorigin="7389,13669" coordsize="40,438" path="m7389,14107l7428,13669e" filled="false" stroked="true" strokeweight="1.493pt" strokecolor="#9c8758">
                <v:path arrowok="t"/>
              </v:shape>
            </v:group>
            <v:group style="position:absolute;left:7242;top:14107;width:5;height:40" coordorigin="7242,14107" coordsize="5,40">
              <v:shape style="position:absolute;left:7242;top:14107;width:5;height:40" coordorigin="7242,14107" coordsize="5,40" path="m7242,14147l7247,14107e" filled="false" stroked="true" strokeweight=".995pt" strokecolor="#9c8758">
                <v:path arrowok="t"/>
              </v:shape>
            </v:group>
            <v:group style="position:absolute;left:7247;top:11767;width:267;height:2340" coordorigin="7247,11767" coordsize="267,2340">
              <v:shape style="position:absolute;left:7247;top:11767;width:267;height:2340" coordorigin="7247,11767" coordsize="267,2340" path="m7247,14107l7514,11767e" filled="false" stroked="true" strokeweight=".995pt" strokecolor="#9c8758">
                <v:path arrowok="t"/>
              </v:shape>
            </v:group>
            <v:group style="position:absolute;left:6752;top:11687;width:455;height:2361" coordorigin="6752,11687" coordsize="455,2361">
              <v:shape style="position:absolute;left:6752;top:11687;width:455;height:2361" coordorigin="6752,11687" coordsize="455,2361" path="m7206,11687l6752,14048e" filled="false" stroked="true" strokeweight=".249pt" strokecolor="#9c8758">
                <v:path arrowok="t"/>
              </v:shape>
            </v:group>
            <v:group style="position:absolute;left:6287;top:11591;width:663;height:2324" coordorigin="6287,11591" coordsize="663,2324">
              <v:shape style="position:absolute;left:6287;top:11591;width:663;height:2324" coordorigin="6287,11591" coordsize="663,2324" path="m6950,11591l6287,13915e" filled="false" stroked="true" strokeweight=".249pt" strokecolor="#9c8758">
                <v:path arrowok="t"/>
              </v:shape>
            </v:group>
            <v:group style="position:absolute;left:5087;top:10050;width:543;height:443" coordorigin="5087,10050" coordsize="543,443">
              <v:shape style="position:absolute;left:5087;top:10050;width:543;height:443" coordorigin="5087,10050" coordsize="543,443" path="m5087,10493l5629,10050e" filled="false" stroked="true" strokeweight=".995pt" strokecolor="#9c8758">
                <v:path arrowok="t"/>
              </v:shape>
            </v:group>
            <v:group style="position:absolute;left:3684;top:10838;width:982;height:802" coordorigin="3684,10838" coordsize="982,802">
              <v:shape style="position:absolute;left:3684;top:10838;width:982;height:802" coordorigin="3684,10838" coordsize="982,802" path="m3684,11640l4665,10838e" filled="false" stroked="true" strokeweight=".995pt" strokecolor="#8c8f90">
                <v:path arrowok="t"/>
              </v:shape>
            </v:group>
            <v:group style="position:absolute;left:6057;top:11529;width:759;height:2296" coordorigin="6057,11529" coordsize="759,2296">
              <v:shape style="position:absolute;left:6057;top:11529;width:759;height:2296" coordorigin="6057,11529" coordsize="759,2296" path="m6057,13825l6815,11529e" filled="false" stroked="true" strokeweight=".995pt" strokecolor="#9c8758">
                <v:path arrowok="t"/>
              </v:shape>
            </v:group>
            <v:group style="position:absolute;left:5396;top:11280;width:1048;height:2198" coordorigin="5396,11280" coordsize="1048,2198">
              <v:shape style="position:absolute;left:5396;top:11280;width:1048;height:2198" coordorigin="5396,11280" coordsize="1048,2198" path="m5396,13477l6444,11280e" filled="false" stroked="true" strokeweight=".995pt" strokecolor="#9c8758">
                <v:path arrowok="t"/>
              </v:shape>
            </v:group>
            <v:group style="position:absolute;left:5470;top:11691;width:644;height:1249" coordorigin="5470,11691" coordsize="644,1249">
              <v:shape style="position:absolute;left:5470;top:11691;width:644;height:1249" coordorigin="5470,11691" coordsize="644,1249" path="m5470,12940l6113,11691e" filled="false" stroked="true" strokeweight=".995pt" strokecolor="#8c8f90">
                <v:path arrowok="t"/>
              </v:shape>
            </v:group>
            <v:group style="position:absolute;left:5241;top:13244;width:72;height:139" coordorigin="5241,13244" coordsize="72,139">
              <v:shape style="position:absolute;left:5241;top:13244;width:72;height:139" coordorigin="5241,13244" coordsize="72,139" path="m5241,13383l5313,13244e" filled="false" stroked="true" strokeweight=".995pt" strokecolor="#9c8758">
                <v:path arrowok="t"/>
              </v:shape>
            </v:group>
            <v:group style="position:absolute;left:5416;top:10743;width:526;height:682" coordorigin="5416,10743" coordsize="526,682">
              <v:shape style="position:absolute;left:5416;top:10743;width:526;height:682" coordorigin="5416,10743" coordsize="526,682" path="m5416,11424l5942,10743e" filled="false" stroked="true" strokeweight=".995pt" strokecolor="#9c8758">
                <v:path arrowok="t"/>
              </v:shape>
            </v:group>
            <v:group style="position:absolute;left:4441;top:11714;width:751;height:974" coordorigin="4441,11714" coordsize="751,974">
              <v:shape style="position:absolute;left:4441;top:11714;width:751;height:974" coordorigin="4441,11714" coordsize="751,974" path="m4441,12688l5192,11714e" filled="false" stroked="true" strokeweight=".995pt" strokecolor="#9c8758">
                <v:path arrowok="t"/>
              </v:shape>
            </v:group>
            <v:group style="position:absolute;left:6965;top:11728;width:385;height:2380" coordorigin="6965,11728" coordsize="385,2380">
              <v:shape style="position:absolute;left:6965;top:11728;width:385;height:2380" coordorigin="6965,11728" coordsize="385,2380" path="m6965,14107l7350,11728e" filled="false" stroked="true" strokeweight="1.493pt" strokecolor="#9c8758">
                <v:path arrowok="t"/>
              </v:shape>
            </v:group>
            <v:group style="position:absolute;left:9196;top:6042;width:2131;height:1336" coordorigin="9196,6042" coordsize="2131,1336">
              <v:shape style="position:absolute;left:9196;top:6042;width:2131;height:1336" coordorigin="9196,6042" coordsize="2131,1336" path="m11326,6042l9196,7378e" filled="false" stroked="true" strokeweight=".995pt" strokecolor="#8c8f90">
                <v:path arrowok="t"/>
              </v:shape>
            </v:group>
            <v:group style="position:absolute;left:10290;top:5395;width:232;height:248" coordorigin="10290,5395" coordsize="232,248">
              <v:shape style="position:absolute;left:10290;top:5395;width:232;height:248" coordorigin="10290,5395" coordsize="232,248" path="m10522,5395l10290,5642e" filled="false" stroked="true" strokeweight=".995pt" strokecolor="#8c8f90">
                <v:path arrowok="t"/>
              </v:shape>
            </v:group>
            <v:group style="position:absolute;left:8966;top:5615;width:1868;height:1644" coordorigin="8966,5615" coordsize="1868,1644">
              <v:shape style="position:absolute;left:8966;top:5615;width:1868;height:1644" coordorigin="8966,5615" coordsize="1868,1644" path="m10833,5615l8966,7258e" filled="false" stroked="true" strokeweight="1.493pt" strokecolor="#8c8f90">
                <v:path arrowok="t"/>
              </v:shape>
            </v:group>
            <v:group style="position:absolute;left:9417;top:6529;width:2330;height:1003" coordorigin="9417,6529" coordsize="2330,1003">
              <v:shape style="position:absolute;left:9417;top:6529;width:2330;height:1003" coordorigin="9417,6529" coordsize="2330,1003" path="m11746,6529l9417,7532e" filled="false" stroked="true" strokeweight=".498pt" strokecolor="#8c8f90">
                <v:path arrowok="t"/>
              </v:shape>
            </v:group>
            <v:group style="position:absolute;left:9605;top:7138;width:2301;height:567" coordorigin="9605,7138" coordsize="2301,567">
              <v:shape style="position:absolute;left:9605;top:7138;width:2301;height:567" coordorigin="9605,7138" coordsize="2301,567" path="m11905,7138l9605,7705e" filled="false" stroked="true" strokeweight=".249pt" strokecolor="#9c8758">
                <v:path arrowok="t"/>
              </v:shape>
            </v:group>
            <v:group style="position:absolute;left:8039;top:4647;width:320;height:2380" coordorigin="8039,4647" coordsize="320,2380">
              <v:shape style="position:absolute;left:8039;top:4647;width:320;height:2380" coordorigin="8039,4647" coordsize="320,2380" path="m8359,4647l8039,7027e" filled="false" stroked="true" strokeweight=".498pt" strokecolor="#8c8f90">
                <v:path arrowok="t"/>
              </v:shape>
            </v:group>
            <v:group style="position:absolute;left:8176;top:4687;width:518;height:2345" coordorigin="8176,4687" coordsize="518,2345">
              <v:shape style="position:absolute;left:8176;top:4687;width:518;height:2345" coordorigin="8176,4687" coordsize="518,2345" path="m8693,4687l8176,7032e" filled="false" stroked="true" strokeweight=".498pt" strokecolor="#8c8f90">
                <v:path arrowok="t"/>
              </v:shape>
            </v:group>
            <v:group style="position:absolute;left:8375;top:4823;width:913;height:2244" coordorigin="8375,4823" coordsize="913,2244">
              <v:shape style="position:absolute;left:8375;top:4823;width:913;height:2244" coordorigin="8375,4823" coordsize="913,2244" path="m9287,4823l8375,7066e" filled="false" stroked="true" strokeweight=".249pt" strokecolor="#9c8758">
                <v:path arrowok="t"/>
              </v:shape>
            </v:group>
            <v:group style="position:absolute;left:8189;top:4690;width:546;height:2346" coordorigin="8189,4690" coordsize="546,2346">
              <v:shape style="position:absolute;left:8189;top:4690;width:546;height:2346" coordorigin="8189,4690" coordsize="546,2346" path="m8734,4690l8189,7035e" filled="false" stroked="true" strokeweight="1.493pt" strokecolor="#9c8758">
                <v:path arrowok="t"/>
              </v:shape>
            </v:group>
            <v:group style="position:absolute;left:9092;top:5842;width:2016;height:1477" coordorigin="9092,5842" coordsize="2016,1477">
              <v:shape style="position:absolute;left:9092;top:5842;width:2016;height:1477" coordorigin="9092,5842" coordsize="2016,1477" path="m11108,5842l9092,7319e" filled="false" stroked="true" strokeweight=".498pt" strokecolor="#8c8f90">
                <v:path arrowok="t"/>
              </v:shape>
            </v:group>
            <v:group style="position:absolute;left:9232;top:6121;width:2166;height:1281" coordorigin="9232,6121" coordsize="2166,1281">
              <v:shape style="position:absolute;left:9232;top:6121;width:2166;height:1281" coordorigin="9232,6121" coordsize="2166,1281" path="m11397,6121l9232,7402e" filled="false" stroked="true" strokeweight=".498pt" strokecolor="#8c8f90">
                <v:path arrowok="t"/>
              </v:shape>
            </v:group>
            <v:group style="position:absolute;left:9351;top:6381;width:2279;height:1104" coordorigin="9351,6381" coordsize="2279,1104">
              <v:shape style="position:absolute;left:9351;top:6381;width:2279;height:1104" coordorigin="9351,6381" coordsize="2279,1104" path="m11630,6381l9351,7484e" filled="false" stroked="true" strokeweight=".249pt" strokecolor="#9c8758">
                <v:path arrowok="t"/>
              </v:shape>
            </v:group>
            <v:group style="position:absolute;left:9150;top:5948;width:2075;height:1400" coordorigin="9150,5948" coordsize="2075,1400">
              <v:shape style="position:absolute;left:9150;top:5948;width:2075;height:1400" coordorigin="9150,5948" coordsize="2075,1400" path="m11225,5948l9150,7348e" filled="false" stroked="true" strokeweight=".995pt" strokecolor="#9c8758">
                <v:path arrowok="t"/>
              </v:shape>
            </v:group>
            <v:group style="position:absolute;left:8992;top:5654;width:1896;height:1613" coordorigin="8992,5654" coordsize="1896,1613">
              <v:shape style="position:absolute;left:8992;top:5654;width:1896;height:1613" coordorigin="8992,5654" coordsize="1896,1613" path="m10888,5654l8992,7267e" filled="false" stroked="true" strokeweight="1.493pt" strokecolor="#8c8f90">
                <v:path arrowok="t"/>
              </v:shape>
            </v:group>
            <v:group style="position:absolute;left:8902;top:5503;width:1791;height:1728" coordorigin="8902,5503" coordsize="1791,1728">
              <v:shape style="position:absolute;left:8902;top:5503;width:1791;height:1728" coordorigin="8902,5503" coordsize="1791,1728" path="m10693,5503l8902,7231e" filled="false" stroked="true" strokeweight="1.493pt" strokecolor="#9c8758">
                <v:path arrowok="t"/>
              </v:shape>
            </v:group>
            <v:group style="position:absolute;left:11719;top:7649;width:187;height:25" coordorigin="11719,7649" coordsize="187,25">
              <v:shape style="position:absolute;left:11719;top:7649;width:187;height:25" coordorigin="11719,7649" coordsize="187,25" path="m11906,7649l11719,7674e" filled="false" stroked="true" strokeweight=".995pt" strokecolor="#8c8f90">
                <v:path arrowok="t"/>
              </v:shape>
            </v:group>
            <v:group style="position:absolute;left:11324;top:7338;width:582;height:123" coordorigin="11324,7338" coordsize="582,123">
              <v:shape style="position:absolute;left:11324;top:7338;width:582;height:123" coordorigin="11324,7338" coordsize="582,123" path="m11906,7338l11324,7461e" filled="false" stroked="true" strokeweight="1.493pt" strokecolor="#9c8758">
                <v:path arrowok="t"/>
              </v:shape>
            </v:group>
            <v:group style="position:absolute;left:8183;top:4708;width:621;height:2326" coordorigin="8183,4708" coordsize="621,2326">
              <v:shape style="position:absolute;left:8183;top:4708;width:621;height:2326" coordorigin="8183,4708" coordsize="621,2326" path="m8804,4708l8183,7034e" filled="false" stroked="true" strokeweight=".995pt" strokecolor="#9c8758">
                <v:path arrowok="t"/>
              </v:shape>
            </v:group>
            <v:group style="position:absolute;left:8348;top:4794;width:860;height:2265" coordorigin="8348,4794" coordsize="860,2265">
              <v:shape style="position:absolute;left:8348;top:4794;width:860;height:2265" coordorigin="8348,4794" coordsize="860,2265" path="m9207,4794l8348,7058e" filled="false" stroked="true" strokeweight="1.493pt" strokecolor="#9c8758">
                <v:path arrowok="t"/>
              </v:shape>
            </v:group>
            <v:group style="position:absolute;left:8157;top:4684;width:477;height:2343" coordorigin="8157,4684" coordsize="477,2343">
              <v:shape style="position:absolute;left:8157;top:4684;width:477;height:2343" coordorigin="8157,4684" coordsize="477,2343" path="m8634,4684l8157,7027e" filled="false" stroked="true" strokeweight=".995pt" strokecolor="#9c8758">
                <v:path arrowok="t"/>
              </v:shape>
            </v:group>
            <v:group style="position:absolute;left:8276;top:4747;width:719;height:2300" coordorigin="8276,4747" coordsize="719,2300">
              <v:shape style="position:absolute;left:8276;top:4747;width:719;height:2300" coordorigin="8276,4747" coordsize="719,2300" path="m8994,4747l8276,7047e" filled="false" stroked="true" strokeweight="1.493pt" strokecolor="#8c8f90">
                <v:path arrowok="t"/>
              </v:shape>
            </v:group>
            <v:group style="position:absolute;left:8863;top:5434;width:1722;height:1774" coordorigin="8863,5434" coordsize="1722,1774">
              <v:shape style="position:absolute;left:8863;top:5434;width:1722;height:1774" coordorigin="8863,5434" coordsize="1722,1774" path="m8863,7207l10584,5434e" filled="false" stroked="true" strokeweight=".498pt" strokecolor="#9c8758">
                <v:path arrowok="t"/>
              </v:shape>
            </v:group>
            <v:group style="position:absolute;left:8892;top:5553;width:1854;height:1672" coordorigin="8892,5553" coordsize="1854,1672">
              <v:shape style="position:absolute;left:8892;top:5553;width:1854;height:1672" coordorigin="8892,5553" coordsize="1854,1672" path="m8892,7225l10746,5553e" filled="false" stroked="true" strokeweight=".249pt" strokecolor="#8c8f90">
                <v:path arrowok="t"/>
              </v:shape>
            </v:group>
            <v:group style="position:absolute;left:9074;top:5809;width:2004;height:1504" coordorigin="9074,5809" coordsize="2004,1504">
              <v:shape style="position:absolute;left:9074;top:5809;width:2004;height:1504" coordorigin="9074,5809" coordsize="2004,1504" path="m9074,7312l11077,5809e" filled="false" stroked="true" strokeweight=".249pt" strokecolor="#9c8758">
                <v:path arrowok="t"/>
              </v:shape>
            </v:group>
            <v:group style="position:absolute;left:9398;top:6556;width:2370;height:961" coordorigin="9398,6556" coordsize="2370,961">
              <v:shape style="position:absolute;left:9398;top:6556;width:2370;height:961" coordorigin="9398,6556" coordsize="2370,961" path="m11767,6556l9398,7517e" filled="false" stroked="true" strokeweight=".995pt" strokecolor="#8c8f90">
                <v:path arrowok="t"/>
              </v:shape>
            </v:group>
            <v:group style="position:absolute;left:9591;top:7016;width:2315;height:674" coordorigin="9591,7016" coordsize="2315,674">
              <v:shape style="position:absolute;left:9591;top:7016;width:2315;height:674" coordorigin="9591,7016" coordsize="2315,674" path="m11906,7016l9591,7690e" filled="false" stroked="true" strokeweight="1.493pt" strokecolor="#8c8f90">
                <v:path arrowok="t"/>
              </v:shape>
            </v:group>
            <v:group style="position:absolute;left:9854;top:7788;width:2052;height:200" coordorigin="9854,7788" coordsize="2052,200">
              <v:shape style="position:absolute;left:9854;top:7788;width:2052;height:200" coordorigin="9854,7788" coordsize="2052,200" path="m11905,7788l9854,7988e" filled="false" stroked="true" strokeweight=".249pt" strokecolor="#8c8f90">
                <v:path arrowok="t"/>
              </v:shape>
            </v:group>
            <v:group style="position:absolute;left:9809;top:7874;width:397;height:53" coordorigin="9809,7874" coordsize="397,53">
              <v:shape style="position:absolute;left:9809;top:7874;width:397;height:53" coordorigin="9809,7874" coordsize="397,53" path="m10206,7874l9809,7926e" filled="false" stroked="true" strokeweight=".995pt" strokecolor="#8c8f90">
                <v:path arrowok="t"/>
              </v:shape>
            </v:group>
            <v:group style="position:absolute;left:9909;top:8010;width:1997;height:59" coordorigin="9909,8010" coordsize="1997,59">
              <v:shape style="position:absolute;left:9909;top:8010;width:1997;height:59" coordorigin="9909,8010" coordsize="1997,59" path="m11905,8010l9909,8069e" filled="false" stroked="true" strokeweight="1.493pt" strokecolor="#8c8f90">
                <v:path arrowok="t"/>
              </v:shape>
            </v:group>
            <v:group style="position:absolute;left:9902;top:7941;width:2004;height:118" coordorigin="9902,7941" coordsize="2004,118">
              <v:shape style="position:absolute;left:9902;top:7941;width:2004;height:118" coordorigin="9902,7941" coordsize="2004,118" path="m11906,7941l9902,8059e" filled="false" stroked="true" strokeweight=".995pt" strokecolor="#8c8f90">
                <v:path arrowok="t"/>
              </v:shape>
            </v:group>
            <v:group style="position:absolute;left:9621;top:7118;width:2285;height:607" coordorigin="9621,7118" coordsize="2285,607">
              <v:shape style="position:absolute;left:9621;top:7118;width:2285;height:607" coordorigin="9621,7118" coordsize="2285,607" path="m11905,7118l9621,7725e" filled="false" stroked="true" strokeweight=".995pt" strokecolor="#8c8f90">
                <v:path arrowok="t"/>
              </v:shape>
            </v:group>
            <v:group style="position:absolute;left:9763;top:7543;width:2143;height:341" coordorigin="9763,7543" coordsize="2143,341">
              <v:shape style="position:absolute;left:9763;top:7543;width:2143;height:341" coordorigin="9763,7543" coordsize="2143,341" path="m11906,7543l9763,7883e" filled="false" stroked="true" strokeweight="1.493pt" strokecolor="#8c8f90">
                <v:path arrowok="t"/>
              </v:shape>
            </v:group>
            <v:group style="position:absolute;left:9885;top:7888;width:2021;height:146" coordorigin="9885,7888" coordsize="2021,146">
              <v:shape style="position:absolute;left:9885;top:7888;width:2021;height:146" coordorigin="9885,7888" coordsize="2021,146" path="m11906,7888l9885,8034e" filled="false" stroked="true" strokeweight="1.493pt" strokecolor="#9c8758">
                <v:path arrowok="t"/>
              </v:shape>
            </v:group>
            <v:group style="position:absolute;left:9538;top:6857;width:2368;height:784" coordorigin="9538,6857" coordsize="2368,784">
              <v:shape style="position:absolute;left:9538;top:6857;width:2368;height:784" coordorigin="9538,6857" coordsize="2368,784" path="m11906,6857l9538,7641e" filled="false" stroked="true" strokeweight=".995pt" strokecolor="#8c8f90">
                <v:path arrowok="t"/>
              </v:shape>
            </v:group>
            <v:group style="position:absolute;left:9054;top:5776;width:1987;height:1530" coordorigin="9054,5776" coordsize="1987,1530">
              <v:shape style="position:absolute;left:9054;top:5776;width:1987;height:1530" coordorigin="9054,5776" coordsize="1987,1530" path="m11040,5776l9054,7305e" filled="false" stroked="true" strokeweight=".995pt" strokecolor="#9c8758">
                <v:path arrowok="t"/>
              </v:shape>
            </v:group>
            <v:group style="position:absolute;left:9218;top:6090;width:2153;height:1303" coordorigin="9218,6090" coordsize="2153,1303">
              <v:shape style="position:absolute;left:9218;top:6090;width:2153;height:1303" coordorigin="9218,6090" coordsize="2153,1303" path="m11370,6090l9218,7392e" filled="false" stroked="true" strokeweight="1.493pt" strokecolor="#9c8758">
                <v:path arrowok="t"/>
              </v:shape>
            </v:group>
            <v:group style="position:absolute;left:8324;top:4775;width:812;height:2278" coordorigin="8324,4775" coordsize="812,2278">
              <v:shape style="position:absolute;left:8324;top:4775;width:812;height:2278" coordorigin="8324,4775" coordsize="812,2278" path="m9136,4775l8324,7052e" filled="false" stroked="true" strokeweight=".498pt" strokecolor="#8c8f90">
                <v:path arrowok="t"/>
              </v:shape>
            </v:group>
            <v:group style="position:absolute;left:8398;top:4853;width:955;height:2220" coordorigin="8398,4853" coordsize="955,2220">
              <v:shape style="position:absolute;left:8398;top:4853;width:955;height:2220" coordorigin="8398,4853" coordsize="955,2220" path="m9352,4853l8398,7072e" filled="false" stroked="true" strokeweight=".498pt" strokecolor="#9c8758">
                <v:path arrowok="t"/>
              </v:shape>
            </v:group>
            <v:group style="position:absolute;left:7577;top:4627;width:216;height:2400" coordorigin="7577,4627" coordsize="216,2400">
              <v:shape style="position:absolute;left:7577;top:4627;width:216;height:2400" coordorigin="7577,4627" coordsize="216,2400" path="m7577,4627l7792,7027e" filled="false" stroked="true" strokeweight=".995pt" strokecolor="#8c8f90">
                <v:path arrowok="t"/>
              </v:shape>
            </v:group>
            <v:group style="position:absolute;left:6011;top:3610;width:394;height:939" coordorigin="6011,3610" coordsize="394,939">
              <v:shape style="position:absolute;left:6011;top:3610;width:394;height:939" coordorigin="6011,3610" coordsize="394,939" path="m6011,3610l6405,4549e" filled="false" stroked="true" strokeweight=".995pt" strokecolor="#8c8f90">
                <v:path arrowok="t"/>
              </v:shape>
            </v:group>
            <v:group style="position:absolute;left:6437;top:4627;width:1006;height:2400" coordorigin="6437,4627" coordsize="1006,2400">
              <v:shape style="position:absolute;left:6437;top:4627;width:1006;height:2400" coordorigin="6437,4627" coordsize="1006,2400" path="m6437,4627l7443,7027e" filled="false" stroked="true" strokeweight=".995pt" strokecolor="#8c8f90">
                <v:path arrowok="t"/>
              </v:shape>
            </v:group>
            <v:group style="position:absolute;left:6846;top:4627;width:729;height:2400" coordorigin="6846,4627" coordsize="729,2400">
              <v:shape style="position:absolute;left:6846;top:4627;width:729;height:2400" coordorigin="6846,4627" coordsize="729,2400" path="m6846,4627l7575,7027e" filled="false" stroked="true" strokeweight="1.493pt" strokecolor="#9c8758">
                <v:path arrowok="t"/>
              </v:shape>
            </v:group>
            <v:group style="position:absolute;left:3807;top:6703;width:906;height:324" coordorigin="3807,6703" coordsize="906,324">
              <v:shape style="position:absolute;left:3807;top:6703;width:906;height:324" coordorigin="3807,6703" coordsize="906,324" path="m4712,7027l3807,6703e" filled="false" stroked="true" strokeweight=".498pt" strokecolor="#9c8758">
                <v:path arrowok="t"/>
              </v:shape>
            </v:group>
            <v:group style="position:absolute;left:3814;top:6605;width:1104;height:422" coordorigin="3814,6605" coordsize="1104,422">
              <v:shape style="position:absolute;left:3814;top:6605;width:1104;height:422" coordorigin="3814,6605" coordsize="1104,422" path="m4918,7027l3814,6605e" filled="false" stroked="true" strokeweight=".498pt" strokecolor="#8c8f90">
                <v:path arrowok="t"/>
              </v:shape>
            </v:group>
            <v:group style="position:absolute;left:3878;top:5783;width:2104;height:1244" coordorigin="3878,5783" coordsize="2104,1244">
              <v:shape style="position:absolute;left:3878;top:5783;width:2104;height:1244" coordorigin="3878,5783" coordsize="2104,1244" path="m5982,7027l3878,5783e" filled="false" stroked="true" strokeweight=".249pt" strokecolor="#8c8f90">
                <v:path arrowok="t"/>
              </v:shape>
            </v:group>
            <v:group style="position:absolute;left:4045;top:6936;width:284;height:91" coordorigin="4045,6936" coordsize="284,91">
              <v:shape style="position:absolute;left:4045;top:6936;width:284;height:91" coordorigin="4045,6936" coordsize="284,91" path="m4329,7027l4045,6936e" filled="false" stroked="true" strokeweight="1.493pt" strokecolor="#8c8f90">
                <v:path arrowok="t"/>
              </v:shape>
            </v:group>
            <v:group style="position:absolute;left:3793;top:6880;width:484;height:148" coordorigin="3793,6880" coordsize="484,148">
              <v:shape style="position:absolute;left:3793;top:6880;width:484;height:148" coordorigin="3793,6880" coordsize="484,148" path="m4276,7027l3793,6880e" filled="false" stroked="true" strokeweight=".498pt" strokecolor="#9c8758">
                <v:path arrowok="t"/>
              </v:shape>
            </v:group>
            <v:group style="position:absolute;left:4814;top:752;width:1024;height:2444" coordorigin="4814,752" coordsize="1024,2444">
              <v:shape style="position:absolute;left:4814;top:752;width:1024;height:2444" coordorigin="4814,752" coordsize="1024,2444" path="m4814,752l5837,3195e" filled="false" stroked="true" strokeweight=".995pt" strokecolor="#8c8f90">
                <v:path arrowok="t"/>
              </v:shape>
            </v:group>
            <v:group style="position:absolute;left:5662;top:727;width:832;height:2738" coordorigin="5662,727" coordsize="832,2738">
              <v:shape style="position:absolute;left:5662;top:727;width:832;height:2738" coordorigin="5662,727" coordsize="832,2738" path="m5662,727l6493,3464e" filled="false" stroked="true" strokeweight="1.493pt" strokecolor="#9c8758">
                <v:path arrowok="t"/>
              </v:shape>
            </v:group>
            <v:group style="position:absolute;left:5335;top:2911;width:2024;height:4117" coordorigin="5335,2911" coordsize="2024,4117">
              <v:shape style="position:absolute;left:5335;top:2911;width:2024;height:4117" coordorigin="5335,2911" coordsize="2024,4117" path="m5335,2911l7359,7027e" filled="false" stroked="true" strokeweight=".995pt" strokecolor="#8c8f90">
                <v:path arrowok="t"/>
              </v:shape>
            </v:group>
            <v:group style="position:absolute;left:4271;top:745;width:846;height:1720" coordorigin="4271,745" coordsize="846,1720">
              <v:shape style="position:absolute;left:4271;top:745;width:846;height:1720" coordorigin="4271,745" coordsize="846,1720" path="m4271,745l5116,2465e" filled="false" stroked="true" strokeweight=".995pt" strokecolor="#9c8758">
                <v:path arrowok="t"/>
              </v:shape>
            </v:group>
            <v:group style="position:absolute;left:7364;top:1941;width:57;height:626" coordorigin="7364,1941" coordsize="57,626">
              <v:shape style="position:absolute;left:7364;top:1941;width:57;height:626" coordorigin="7364,1941" coordsize="57,626" path="m7364,1941l7420,2567e" filled="false" stroked="true" strokeweight=".995pt" strokecolor="#8c8f90">
                <v:path arrowok="t"/>
              </v:shape>
            </v:group>
            <v:group style="position:absolute;left:4515;top:1790;width:2796;height:5238" coordorigin="4515,1790" coordsize="2796,5238">
              <v:shape style="position:absolute;left:4515;top:1790;width:2796;height:5238" coordorigin="4515,1790" coordsize="2796,5238" path="m4515,1790l7311,7027e" filled="false" stroked="true" strokeweight=".995pt" strokecolor="#8c8f90">
                <v:path arrowok="t"/>
              </v:shape>
            </v:group>
            <v:group style="position:absolute;left:4204;top:1607;width:3070;height:5420" coordorigin="4204,1607" coordsize="3070,5420">
              <v:shape style="position:absolute;left:4204;top:1607;width:3070;height:5420" coordorigin="4204,1607" coordsize="3070,5420" path="m4204,1607l7273,7027e" filled="false" stroked="true" strokeweight=".995pt" strokecolor="#9c8758">
                <v:path arrowok="t"/>
              </v:shape>
            </v:group>
            <v:group style="position:absolute;left:5593;top:1886;width:844;height:2276" coordorigin="5593,1886" coordsize="844,2276">
              <v:shape style="position:absolute;left:5593;top:1886;width:844;height:2276" coordorigin="5593,1886" coordsize="844,2276" path="m5593,1886l6436,4162e" filled="false" stroked="true" strokeweight="1.493pt" strokecolor="#9c8758">
                <v:path arrowok="t"/>
              </v:shape>
            </v:group>
            <v:group style="position:absolute;left:6608;top:4627;width:890;height:2400" coordorigin="6608,4627" coordsize="890,2400">
              <v:shape style="position:absolute;left:6608;top:4627;width:890;height:2400" coordorigin="6608,4627" coordsize="890,2400" path="m6608,4627l7498,7027e" filled="false" stroked="true" strokeweight="1.493pt" strokecolor="#9c8758">
                <v:path arrowok="t"/>
              </v:shape>
            </v:group>
            <v:group style="position:absolute;left:5444;top:7;width:34;height:112" coordorigin="5444,7" coordsize="34,112">
              <v:shape style="position:absolute;left:5444;top:7;width:34;height:112" coordorigin="5444,7" coordsize="34,112" path="m5444,7l5478,118e" filled="false" stroked="true" strokeweight="1.493pt" strokecolor="#8c8f90">
                <v:path arrowok="t"/>
              </v:shape>
            </v:group>
            <v:group style="position:absolute;left:4896;top:7;width:491;height:1325" coordorigin="4896,7" coordsize="491,1325">
              <v:shape style="position:absolute;left:4896;top:7;width:491;height:1325" coordorigin="4896,7" coordsize="491,1325" path="m4896,7l5387,1331e" filled="false" stroked="true" strokeweight="1.493pt" strokecolor="#9c8758">
                <v:path arrowok="t"/>
              </v:shape>
            </v:group>
            <v:group style="position:absolute;left:4000;top:4220;width:2795;height:2807" coordorigin="4000,4220" coordsize="2795,2807">
              <v:shape style="position:absolute;left:4000;top:4220;width:2795;height:2807" coordorigin="4000,4220" coordsize="2795,2807" path="m4000,4220l6795,7027e" filled="false" stroked="true" strokeweight=".498pt" strokecolor="#8c8f90">
                <v:path arrowok="t"/>
              </v:shape>
            </v:group>
            <v:group style="position:absolute;left:6234;top:6675;width:397;height:352" coordorigin="6234,6675" coordsize="397,352">
              <v:shape style="position:absolute;left:6234;top:6675;width:397;height:352" coordorigin="6234,6675" coordsize="397,352" path="m6234,6675l6630,7027e" filled="false" stroked="true" strokeweight="1.493pt" strokecolor="#8c8f90">
                <v:path arrowok="t"/>
              </v:shape>
            </v:group>
            <v:group style="position:absolute;left:3966;top:4662;width:1634;height:1450" coordorigin="3966,4662" coordsize="1634,1450">
              <v:shape style="position:absolute;left:3966;top:4662;width:1634;height:1450" coordorigin="3966,4662" coordsize="1634,1450" path="m3966,4662l5599,6111e" filled="false" stroked="true" strokeweight="1.493pt" strokecolor="#8c8f90">
                <v:path arrowok="t"/>
              </v:shape>
            </v:group>
            <v:group style="position:absolute;left:5114;top:7;width:1343;height:3905" coordorigin="5114,7" coordsize="1343,3905">
              <v:shape style="position:absolute;left:5114;top:7;width:1343;height:3905" coordorigin="5114,7" coordsize="1343,3905" path="m5114,7l6457,3911e" filled="false" stroked="true" strokeweight=".995pt" strokecolor="#9c8758">
                <v:path arrowok="t"/>
              </v:shape>
            </v:group>
            <v:group style="position:absolute;left:6703;top:4627;width:826;height:2400" coordorigin="6703,4627" coordsize="826,2400">
              <v:shape style="position:absolute;left:6703;top:4627;width:826;height:2400" coordorigin="6703,4627" coordsize="826,2400" path="m6703,4627l7529,7027e" filled="false" stroked="true" strokeweight=".995pt" strokecolor="#9c8758">
                <v:path arrowok="t"/>
              </v:shape>
            </v:group>
            <v:group style="position:absolute;left:4086;top:3115;width:2967;height:3912" coordorigin="4086,3115" coordsize="2967,3912">
              <v:shape style="position:absolute;left:4086;top:3115;width:2967;height:3912" coordorigin="4086,3115" coordsize="2967,3912" path="m4086,3115l7053,7027e" filled="false" stroked="true" strokeweight=".995pt" strokecolor="#8c8f90">
                <v:path arrowok="t"/>
              </v:shape>
            </v:group>
            <v:group style="position:absolute;left:5285;top:3926;width:1926;height:3101" coordorigin="5285,3926" coordsize="1926,3101">
              <v:shape style="position:absolute;left:5285;top:3926;width:1926;height:3101" coordorigin="5285,3926" coordsize="1926,3101" path="m5285,3926l7211,7027e" filled="false" stroked="true" strokeweight="1.493pt" strokecolor="#8c8f90">
                <v:path arrowok="t"/>
              </v:shape>
            </v:group>
            <v:group style="position:absolute;left:4164;top:2120;width:930;height:1498" coordorigin="4164,2120" coordsize="930,1498">
              <v:shape style="position:absolute;left:4164;top:2120;width:930;height:1498" coordorigin="4164,2120" coordsize="930,1498" path="m4164,2120l5093,3617e" filled="false" stroked="true" strokeweight="1.493pt" strokecolor="#8c8f90">
                <v:path arrowok="t"/>
              </v:shape>
            </v:group>
            <v:group style="position:absolute;left:4039;top:3727;width:1785;height:2043" coordorigin="4039,3727" coordsize="1785,2043">
              <v:shape style="position:absolute;left:4039;top:3727;width:1785;height:2043" coordorigin="4039,3727" coordsize="1785,2043" path="m4039,3727l5823,5770e" filled="false" stroked="true" strokeweight=".995pt" strokecolor="#9c8758">
                <v:path arrowok="t"/>
              </v:shape>
            </v:group>
            <v:group style="position:absolute;left:6273;top:5843;width:838;height:1184" coordorigin="6273,5843" coordsize="838,1184">
              <v:shape style="position:absolute;left:6273;top:5843;width:838;height:1184" coordorigin="6273,5843" coordsize="838,1184" path="m6273,5843l7111,7027e" filled="false" stroked="true" strokeweight="1.493pt" strokecolor="#8c8f90">
                <v:path arrowok="t"/>
              </v:shape>
            </v:group>
            <v:group style="position:absolute;left:4827;top:3799;width:588;height:830" coordorigin="4827,3799" coordsize="588,830">
              <v:shape style="position:absolute;left:4827;top:3799;width:588;height:830" coordorigin="4827,3799" coordsize="588,830" path="m4827,3799l5414,4629e" filled="false" stroked="true" strokeweight="1.493pt" strokecolor="#9c8758">
                <v:path arrowok="t"/>
              </v:shape>
            </v:group>
            <v:group style="position:absolute;left:4112;top:2789;width:501;height:707" coordorigin="4112,2789" coordsize="501,707">
              <v:shape style="position:absolute;left:4112;top:2789;width:501;height:707" coordorigin="4112,2789" coordsize="501,707" path="m4112,2789l4433,3243,4612,3496e" filled="false" stroked="true" strokeweight="1.493pt" strokecolor="#9c8758">
                <v:path arrowok="t"/>
              </v:shape>
            </v:group>
            <v:group style="position:absolute;left:3875;top:5822;width:2073;height:1205" coordorigin="3875,5822" coordsize="2073,1205">
              <v:shape style="position:absolute;left:3875;top:5822;width:2073;height:1205" coordorigin="3875,5822" coordsize="2073,1205" path="m3875,5822l5948,7027e" filled="false" stroked="true" strokeweight=".995pt" strokecolor="#8c8f90">
                <v:path arrowok="t"/>
              </v:shape>
            </v:group>
            <v:group style="position:absolute;left:4597;top:5757;width:1747;height:1270" coordorigin="4597,5757" coordsize="1747,1270">
              <v:shape style="position:absolute;left:4597;top:5757;width:1747;height:1270" coordorigin="4597,5757" coordsize="1747,1270" path="m4597,5757l6344,7027e" filled="false" stroked="true" strokeweight="1.493pt" strokecolor="#8c8f90">
                <v:path arrowok="t"/>
              </v:shape>
            </v:group>
            <v:group style="position:absolute;left:3919;top:5264;width:172;height:125" coordorigin="3919,5264" coordsize="172,125">
              <v:shape style="position:absolute;left:3919;top:5264;width:172;height:125" coordorigin="3919,5264" coordsize="172,125" path="m3919,5264l4090,5389e" filled="false" stroked="true" strokeweight="1.493pt" strokecolor="#8c8f90">
                <v:path arrowok="t"/>
              </v:shape>
            </v:group>
            <v:group style="position:absolute;left:6522;top:4627;width:939;height:2400" coordorigin="6522,4627" coordsize="939,2400">
              <v:shape style="position:absolute;left:6522;top:4627;width:939;height:2400" coordorigin="6522,4627" coordsize="939,2400" path="m7461,7027l6522,4627e" filled="false" stroked="true" strokeweight=".498pt" strokecolor="#9c8758">
                <v:path arrowok="t"/>
              </v:shape>
            </v:group>
            <v:group style="position:absolute;left:4502;top:7;width:169;height:403" coordorigin="4502,7" coordsize="169,403">
              <v:shape style="position:absolute;left:4502;top:7;width:169;height:403" coordorigin="4502,7" coordsize="169,403" path="m4502,7l4670,409e" filled="false" stroked="true" strokeweight=".995pt" strokecolor="#8c8f90">
                <v:path arrowok="t"/>
              </v:shape>
            </v:group>
            <v:group style="position:absolute;left:4716;top:7;width:1704;height:4358" coordorigin="4716,7" coordsize="1704,4358">
              <v:shape style="position:absolute;left:4716;top:7;width:1704;height:4358" coordorigin="4716,7" coordsize="1704,4358" path="m6420,4364l4716,7e" filled="false" stroked="true" strokeweight=".498pt" strokecolor="#9c8758">
                <v:path arrowok="t"/>
              </v:shape>
            </v:group>
            <v:group style="position:absolute;left:4304;top:323;width:377;height:818" coordorigin="4304,323" coordsize="377,818">
              <v:shape style="position:absolute;left:4304;top:323;width:377;height:818" coordorigin="4304,323" coordsize="377,818" path="m4681,1141l4304,323e" filled="false" stroked="true" strokeweight=".498pt" strokecolor="#9c8758">
                <v:path arrowok="t"/>
              </v:shape>
            </v:group>
            <v:group style="position:absolute;left:4948;top:1721;width:2447;height:5307" coordorigin="4948,1721" coordsize="2447,5307">
              <v:shape style="position:absolute;left:4948;top:1721;width:2447;height:5307" coordorigin="4948,1721" coordsize="2447,5307" path="m7394,7027l4948,1721e" filled="false" stroked="true" strokeweight=".498pt" strokecolor="#9c8758">
                <v:path arrowok="t"/>
              </v:shape>
            </v:group>
            <v:group style="position:absolute;left:7000;top:4627;width:625;height:2400" coordorigin="7000,4627" coordsize="625,2400">
              <v:shape style="position:absolute;left:7000;top:4627;width:625;height:2400" coordorigin="7000,4627" coordsize="625,2400" path="m7625,7027l7000,4627e" filled="false" stroked="true" strokeweight=".249pt" strokecolor="#8c8f90">
                <v:path arrowok="t"/>
              </v:shape>
            </v:group>
            <v:group style="position:absolute;left:5797;top:7;width:746;height:2864" coordorigin="5797,7" coordsize="746,2864">
              <v:shape style="position:absolute;left:5797;top:7;width:746;height:2864" coordorigin="5797,7" coordsize="746,2864" path="m6542,2870l5797,7e" filled="false" stroked="true" strokeweight=".249pt" strokecolor="#8c8f90">
                <v:path arrowok="t"/>
              </v:shape>
            </v:group>
            <v:group style="position:absolute;left:7271;top:4627;width:442;height:2400" coordorigin="7271,4627" coordsize="442,2400">
              <v:shape style="position:absolute;left:7271;top:4627;width:442;height:2400" coordorigin="7271,4627" coordsize="442,2400" path="m7713,7027l7271,4627e" filled="false" stroked="true" strokeweight=".249pt" strokecolor="#8c8f90">
                <v:path arrowok="t"/>
              </v:shape>
            </v:group>
            <v:group style="position:absolute;left:6422;top:7;width:471;height:2560" coordorigin="6422,7" coordsize="471,2560">
              <v:shape style="position:absolute;left:6422;top:7;width:471;height:2560" coordorigin="6422,7" coordsize="471,2560" path="m6893,2567l6422,7e" filled="false" stroked="true" strokeweight=".249pt" strokecolor="#8c8f90">
                <v:path arrowok="t"/>
              </v:shape>
            </v:group>
            <v:group style="position:absolute;left:7221;top:4627;width:475;height:2400" coordorigin="7221,4627" coordsize="475,2400">
              <v:shape style="position:absolute;left:7221;top:4627;width:475;height:2400" coordorigin="7221,4627" coordsize="475,2400" path="m7221,4627l7696,7027e" filled="false" stroked="true" strokeweight=".995pt" strokecolor="#9c8758">
                <v:path arrowok="t"/>
              </v:shape>
            </v:group>
            <v:group style="position:absolute;left:6338;top:165;width:476;height:2402" coordorigin="6338,165" coordsize="476,2402">
              <v:shape style="position:absolute;left:6338;top:165;width:476;height:2402" coordorigin="6338,165" coordsize="476,2402" path="m6338,165l6814,2567e" filled="false" stroked="true" strokeweight=".995pt" strokecolor="#8c8f90">
                <v:path arrowok="t"/>
              </v:shape>
            </v:group>
            <v:group style="position:absolute;left:7736;top:5603;width:104;height:1424" coordorigin="7736,5603" coordsize="104,1424">
              <v:shape style="position:absolute;left:7736;top:5603;width:104;height:1424" coordorigin="7736,5603" coordsize="104,1424" path="m7736,5603l7840,7027e" filled="false" stroked="true" strokeweight="1.493pt" strokecolor="#8c8f90">
                <v:path arrowok="t"/>
              </v:shape>
            </v:group>
            <v:group style="position:absolute;left:7380;top:705;width:127;height:1734" coordorigin="7380,705" coordsize="127,1734">
              <v:shape style="position:absolute;left:7380;top:705;width:127;height:1734" coordorigin="7380,705" coordsize="127,1734" path="m7380,705l7506,2438e" filled="false" stroked="true" strokeweight="1.493pt" strokecolor="#9c8758">
                <v:path arrowok="t"/>
              </v:shape>
            </v:group>
            <v:group style="position:absolute;left:7191;top:7;width:105;height:1166" coordorigin="7191,7" coordsize="105,1166">
              <v:shape style="position:absolute;left:7191;top:7;width:105;height:1166" coordorigin="7191,7" coordsize="105,1166" path="m7191,7l7295,1172e" filled="false" stroked="true" strokeweight=".995pt" strokecolor="#8c8f90">
                <v:path arrowok="t"/>
              </v:shape>
            </v:group>
            <v:group style="position:absolute;left:7329;top:7;width:26;height:352" coordorigin="7329,7" coordsize="26,352">
              <v:shape style="position:absolute;left:7329;top:7;width:26;height:352" coordorigin="7329,7" coordsize="26,352" path="m7329,7l7355,359e" filled="false" stroked="true" strokeweight="1.493pt" strokecolor="#8c8f90">
                <v:path arrowok="t"/>
              </v:shape>
            </v:group>
            <v:group style="position:absolute;left:7092;top:1593;width:124;height:974" coordorigin="7092,1593" coordsize="124,974">
              <v:shape style="position:absolute;left:7092;top:1593;width:124;height:974" coordorigin="7092,1593" coordsize="124,974" path="m7092,1593l7215,2567e" filled="false" stroked="true" strokeweight=".995pt" strokecolor="#9c8758">
                <v:path arrowok="t"/>
              </v:shape>
            </v:group>
            <v:group style="position:absolute;left:7475;top:4627;width:304;height:2400" coordorigin="7475,4627" coordsize="304,2400">
              <v:shape style="position:absolute;left:7475;top:4627;width:304;height:2400" coordorigin="7475,4627" coordsize="304,2400" path="m7475,4627l7778,7027e" filled="false" stroked="true" strokeweight=".995pt" strokecolor="#9c8758">
                <v:path arrowok="t"/>
              </v:shape>
            </v:group>
            <v:group style="position:absolute;left:6891;top:7;width:115;height:910" coordorigin="6891,7" coordsize="115,910">
              <v:shape style="position:absolute;left:6891;top:7;width:115;height:910" coordorigin="6891,7" coordsize="115,910" path="m6891,7l7006,916e" filled="false" stroked="true" strokeweight=".995pt" strokecolor="#9c8758">
                <v:path arrowok="t"/>
              </v:shape>
            </v:group>
            <v:group style="position:absolute;left:6349;top:1259;width:298;height:1308" coordorigin="6349,1259" coordsize="298,1308">
              <v:shape style="position:absolute;left:6349;top:1259;width:298;height:1308" coordorigin="6349,1259" coordsize="298,1308" path="m6349,1259l6647,2567e" filled="false" stroked="true" strokeweight=".995pt" strokecolor="#9c8758">
                <v:path arrowok="t"/>
              </v:shape>
            </v:group>
            <v:group style="position:absolute;left:7116;top:4627;width:547;height:2400" coordorigin="7116,4627" coordsize="547,2400">
              <v:shape style="position:absolute;left:7116;top:4627;width:547;height:2400" coordorigin="7116,4627" coordsize="547,2400" path="m7116,4627l7662,7027e" filled="false" stroked="true" strokeweight=".995pt" strokecolor="#9c8758">
                <v:path arrowok="t"/>
              </v:shape>
            </v:group>
            <v:group style="position:absolute;left:6064;top:7;width:80;height:351" coordorigin="6064,7" coordsize="80,351">
              <v:shape style="position:absolute;left:6064;top:7;width:80;height:351" coordorigin="6064,7" coordsize="80,351" path="m6064,7l6144,357e" filled="false" stroked="true" strokeweight=".995pt" strokecolor="#8c8f90">
                <v:path arrowok="t"/>
              </v:shape>
            </v:group>
            <v:group style="position:absolute;left:7777;top:1984;width:14;height:584" coordorigin="7777,1984" coordsize="14,584">
              <v:shape style="position:absolute;left:7777;top:1984;width:14;height:584" coordorigin="7777,1984" coordsize="14,584" path="m7777,1984l7790,2567e" filled="false" stroked="true" strokeweight="1.493pt" strokecolor="#9c8758">
                <v:path arrowok="t"/>
              </v:shape>
            </v:group>
            <v:group style="position:absolute;left:7839;top:4627;width:57;height:2400" coordorigin="7839,4627" coordsize="57,2400">
              <v:shape style="position:absolute;left:7839;top:4627;width:57;height:2400" coordorigin="7839,4627" coordsize="57,2400" path="m7839,4627l7896,7027e" filled="false" stroked="true" strokeweight="1.493pt" strokecolor="#9c8758">
                <v:path arrowok="t"/>
              </v:shape>
            </v:group>
            <v:group style="position:absolute;left:7730;top:7;width:33;height:1382" coordorigin="7730,7" coordsize="33,1382">
              <v:shape style="position:absolute;left:7730;top:7;width:33;height:1382" coordorigin="7730,7" coordsize="33,1382" path="m7730,7l7762,1389e" filled="false" stroked="true" strokeweight="1.493pt" strokecolor="#8c8f90">
                <v:path arrowok="t"/>
              </v:shape>
            </v:group>
            <v:group style="position:absolute;left:6315;top:2412;width:205;height:733" coordorigin="6315,2412" coordsize="205,733">
              <v:shape style="position:absolute;left:6315;top:2412;width:205;height:733" coordorigin="6315,2412" coordsize="205,733" path="m6315,2412l6520,3145e" filled="false" stroked="true" strokeweight=".995pt" strokecolor="#9c8758">
                <v:path arrowok="t"/>
              </v:shape>
            </v:group>
            <v:group style="position:absolute;left:6933;top:4627;width:670;height:2400" coordorigin="6933,4627" coordsize="670,2400">
              <v:shape style="position:absolute;left:6933;top:4627;width:670;height:2400" coordorigin="6933,4627" coordsize="670,2400" path="m6933,4627l7603,7027e" filled="false" stroked="true" strokeweight=".995pt" strokecolor="#9c8758">
                <v:path arrowok="t"/>
              </v:shape>
            </v:group>
            <v:group style="position:absolute;left:5644;top:7;width:553;height:1979" coordorigin="5644,7" coordsize="553,1979">
              <v:shape style="position:absolute;left:5644;top:7;width:553;height:1979" coordorigin="5644,7" coordsize="553,1979" path="m5644,7l6196,1985e" filled="false" stroked="true" strokeweight=".995pt" strokecolor="#8c8f90">
                <v:path arrowok="t"/>
              </v:shape>
            </v:group>
            <v:group style="position:absolute;left:7923;top:4627;width:2;height:2400" coordorigin="7923,4627" coordsize="2,2400">
              <v:shape style="position:absolute;left:7923;top:4627;width:2;height:2400" coordorigin="7923,4627" coordsize="1,2400" path="m7923,4627l7924,7027e" filled="false" stroked="true" strokeweight=".995pt" strokecolor="#8c8f90">
                <v:path arrowok="t"/>
              </v:shape>
            </v:group>
            <v:group style="position:absolute;left:7923;top:1025;width:2;height:1543" coordorigin="7923,1025" coordsize="2,1543">
              <v:shape style="position:absolute;left:7923;top:1025;width:2;height:1543" coordorigin="7923,1025" coordsize="1,1543" path="m7923,1025l7923,2567e" filled="false" stroked="true" strokeweight=".995pt" strokecolor="#8c8f90">
                <v:path arrowok="t"/>
              </v:shape>
            </v:group>
            <v:group style="position:absolute;left:7923;top:7;width:2;height:614" coordorigin="7923,7" coordsize="2,614">
              <v:shape style="position:absolute;left:7923;top:7;width:2;height:614" coordorigin="7923,7" coordsize="1,614" path="m7923,7l7923,621e" filled="false" stroked="true" strokeweight=".995pt" strokecolor="#8c8f90">
                <v:path arrowok="t"/>
              </v:shape>
            </v:group>
            <v:group style="position:absolute;left:7828;top:6598;width:26;height:429" coordorigin="7828,6598" coordsize="26,429">
              <v:shape style="position:absolute;left:7828;top:6598;width:26;height:429" coordorigin="7828,6598" coordsize="26,429" path="m7828,6598l7854,7027e" filled="false" stroked="true" strokeweight=".995pt" strokecolor="#8c8f90">
                <v:path arrowok="t"/>
              </v:shape>
            </v:group>
            <v:group style="position:absolute;left:7541;top:1838;width:44;height:729" coordorigin="7541,1838" coordsize="44,729">
              <v:shape style="position:absolute;left:7541;top:1838;width:44;height:729" coordorigin="7541,1838" coordsize="44,729" path="m7541,1838l7585,2567e" filled="false" stroked="true" strokeweight=".995pt" strokecolor="#8c8f90">
                <v:path arrowok="t"/>
              </v:shape>
            </v:group>
            <v:group style="position:absolute;left:7709;top:4627;width:41;height:669" coordorigin="7709,4627" coordsize="41,669">
              <v:shape style="position:absolute;left:7709;top:4627;width:41;height:669" coordorigin="7709,4627" coordsize="41,669" path="m7709,4627l7750,5295e" filled="false" stroked="true" strokeweight=".995pt" strokecolor="#8c8f90">
                <v:path arrowok="t"/>
              </v:shape>
            </v:group>
            <v:group style="position:absolute;left:7435;top:89;width:88;height:1452" coordorigin="7435,89" coordsize="88,1452">
              <v:shape style="position:absolute;left:7435;top:89;width:88;height:1452" coordorigin="7435,89" coordsize="88,1452" path="m7435,89l7523,1540e" filled="false" stroked="true" strokeweight=".995pt" strokecolor="#9c8758">
                <v:path arrowok="t"/>
              </v:shape>
            </v:group>
            <v:group style="position:absolute;left:5799;top:4558;width:1451;height:2470" coordorigin="5799,4558" coordsize="1451,2470">
              <v:shape style="position:absolute;left:5799;top:4558;width:1451;height:2470" coordorigin="5799,4558" coordsize="1451,2470" path="m5799,4558l7249,7027e" filled="false" stroked="true" strokeweight=".498pt" strokecolor="#9c8758">
                <v:path arrowok="t"/>
              </v:shape>
            </v:group>
            <v:group style="position:absolute;left:4187;top:1815;width:1411;height:2402" coordorigin="4187,1815" coordsize="1411,2402">
              <v:shape style="position:absolute;left:4187;top:1815;width:1411;height:2402" coordorigin="4187,1815" coordsize="1411,2402" path="m4187,1815l5598,4217e" filled="false" stroked="true" strokeweight=".498pt" strokecolor="#9c8758">
                <v:path arrowok="t"/>
              </v:shape>
            </v:group>
            <v:group style="position:absolute;left:7330;top:4627;width:402;height:2400" coordorigin="7330,4627" coordsize="402,2400">
              <v:shape style="position:absolute;left:7330;top:4627;width:402;height:2400" coordorigin="7330,4627" coordsize="402,2400" path="m7330,4627l7732,7027e" filled="false" stroked="true" strokeweight="1.493pt" strokecolor="#9c8758">
                <v:path arrowok="t"/>
              </v:shape>
            </v:group>
            <v:group style="position:absolute;left:6604;top:286;width:326;height:1949" coordorigin="6604,286" coordsize="326,1949">
              <v:shape style="position:absolute;left:6604;top:286;width:326;height:1949" coordorigin="6604,286" coordsize="326,1949" path="m6604,286l6930,2234e" filled="false" stroked="true" strokeweight="1.493pt" strokecolor="#9c8758">
                <v:path arrowok="t"/>
              </v:shape>
            </v:group>
            <v:group style="position:absolute;left:6558;top:7;width:13;height:77" coordorigin="6558,7" coordsize="13,77">
              <v:shape style="position:absolute;left:6558;top:7;width:13;height:77" coordorigin="6558,7" coordsize="13,77" path="m6558,7l6570,83e" filled="false" stroked="true" strokeweight="1.493pt" strokecolor="#8c8f90">
                <v:path arrowok="t"/>
              </v:shape>
            </v:group>
            <v:group style="position:absolute;left:7979;top:4627;width:116;height:2400" coordorigin="7979,4627" coordsize="116,2400">
              <v:shape style="position:absolute;left:7979;top:4627;width:116;height:2400" coordorigin="7979,4627" coordsize="116,2400" path="m8094,4627l7979,7027e" filled="false" stroked="true" strokeweight=".249pt" strokecolor="#8c8f90">
                <v:path arrowok="t"/>
              </v:shape>
            </v:group>
            <v:group style="position:absolute;left:11790;top:2402;width:116;height:166" coordorigin="11790,2402" coordsize="116,166">
              <v:shape style="position:absolute;left:11790;top:2402;width:116;height:166" coordorigin="11790,2402" coordsize="116,166" path="m11906,2402l11790,2567e" filled="false" stroked="true" strokeweight=".249pt" strokecolor="#8c8f90">
                <v:path arrowok="t"/>
              </v:shape>
            </v:group>
            <v:group style="position:absolute;left:8624;top:5111;width:1396;height:2005" coordorigin="8624,5111" coordsize="1396,2005">
              <v:shape style="position:absolute;left:8624;top:5111;width:1396;height:2005" coordorigin="8624,5111" coordsize="1396,2005" path="m10019,5111l8624,7116e" filled="false" stroked="true" strokeweight=".249pt" strokecolor="#8c8f90">
                <v:path arrowok="t"/>
              </v:shape>
            </v:group>
            <v:group style="position:absolute;left:11641;top:2168;width:265;height:399" coordorigin="11641,2168" coordsize="265,399">
              <v:shape style="position:absolute;left:11641;top:2168;width:265;height:399" coordorigin="11641,2168" coordsize="265,399" path="m11906,2168l11641,2567e" filled="false" stroked="true" strokeweight=".995pt" strokecolor="#9c8758">
                <v:path arrowok="t"/>
              </v:shape>
            </v:group>
            <v:group style="position:absolute;left:8625;top:5085;width:1347;height:2032" coordorigin="8625,5085" coordsize="1347,2032">
              <v:shape style="position:absolute;left:8625;top:5085;width:1347;height:2032" coordorigin="8625,5085" coordsize="1347,2032" path="m9972,5085l8625,7117e" filled="false" stroked="true" strokeweight=".995pt" strokecolor="#9c8758">
                <v:path arrowok="t"/>
              </v:shape>
            </v:group>
            <v:group style="position:absolute;left:8678;top:7;width:345;height:2560" coordorigin="8678,7" coordsize="345,2560">
              <v:shape style="position:absolute;left:8678;top:7;width:345;height:2560" coordorigin="8678,7" coordsize="345,2560" path="m9022,7l8678,2567e" filled="false" stroked="true" strokeweight=".498pt" strokecolor="#9c8758">
                <v:path arrowok="t"/>
              </v:shape>
            </v:group>
            <v:group style="position:absolute;left:9161;top:7;width:565;height:2560" coordorigin="9161,7" coordsize="565,2560">
              <v:shape style="position:absolute;left:9161;top:7;width:565;height:2560" coordorigin="9161,7" coordsize="565,2560" path="m9725,7l9161,2567e" filled="false" stroked="true" strokeweight=".498pt" strokecolor="#8c8f90">
                <v:path arrowok="t"/>
              </v:shape>
            </v:group>
            <v:group style="position:absolute;left:9650;top:7;width:789;height:2560" coordorigin="9650,7" coordsize="789,2560">
              <v:shape style="position:absolute;left:9650;top:7;width:789;height:2560" coordorigin="9650,7" coordsize="789,2560" path="m10438,7l9650,2567e" filled="false" stroked="true" strokeweight=".249pt" strokecolor="#8c8f90">
                <v:path arrowok="t"/>
              </v:shape>
            </v:group>
            <v:group style="position:absolute;left:10204;top:7;width:1041;height:2560" coordorigin="10204,7" coordsize="1041,2560">
              <v:shape style="position:absolute;left:10204;top:7;width:1041;height:2560" coordorigin="10204,7" coordsize="1041,2560" path="m11245,7l10204,2567e" filled="false" stroked="true" strokeweight=".249pt" strokecolor="#9c8758">
                <v:path arrowok="t"/>
              </v:shape>
            </v:group>
            <v:group style="position:absolute;left:9228;top:7;width:596;height:2560" coordorigin="9228,7" coordsize="596,2560">
              <v:shape style="position:absolute;left:9228;top:7;width:596;height:2560" coordorigin="9228,7" coordsize="596,2560" path="m9823,7l9228,2567e" filled="false" stroked="true" strokeweight="1.493pt" strokecolor="#9c8758">
                <v:path arrowok="t"/>
              </v:shape>
            </v:group>
            <v:group style="position:absolute;left:9421;top:2133;width:116;height:434" coordorigin="9421,2133" coordsize="116,434">
              <v:shape style="position:absolute;left:9421;top:2133;width:116;height:434" coordorigin="9421,2133" coordsize="116,434" path="m9536,2133l9421,2567e" filled="false" stroked="true" strokeweight=".995pt" strokecolor="#8c8f90">
                <v:path arrowok="t"/>
              </v:shape>
            </v:group>
            <v:group style="position:absolute;left:9645;top:216;width:403;height:1510" coordorigin="9645,216" coordsize="403,1510">
              <v:shape style="position:absolute;left:9645;top:216;width:403;height:1510" coordorigin="9645,216" coordsize="403,1510" path="m10048,216l9645,1725e" filled="false" stroked="true" strokeweight=".995pt" strokecolor="#9c8758">
                <v:path arrowok="t"/>
              </v:shape>
            </v:group>
            <v:group style="position:absolute;left:10053;top:1217;width:513;height:1351" coordorigin="10053,1217" coordsize="513,1351">
              <v:shape style="position:absolute;left:10053;top:1217;width:513;height:1351" coordorigin="10053,1217" coordsize="513,1351" path="m10565,1217l10053,2567e" filled="false" stroked="true" strokeweight="1.493pt" strokecolor="#8c8f90">
                <v:path arrowok="t"/>
              </v:shape>
            </v:group>
            <v:group style="position:absolute;left:10757;top:7;width:268;height:704" coordorigin="10757,7" coordsize="268,704">
              <v:shape style="position:absolute;left:10757;top:7;width:268;height:704" coordorigin="10757,7" coordsize="268,704" path="m11025,7l10757,711e" filled="false" stroked="true" strokeweight="1.493pt" strokecolor="#8c8f90">
                <v:path arrowok="t"/>
              </v:shape>
            </v:group>
            <v:group style="position:absolute;left:9064;top:731;width:374;height:1836" coordorigin="9064,731" coordsize="374,1836">
              <v:shape style="position:absolute;left:9064;top:731;width:374;height:1836" coordorigin="9064,731" coordsize="374,1836" path="m9438,731l9064,2567e" filled="false" stroked="true" strokeweight=".995pt" strokecolor="#9c8758">
                <v:path arrowok="t"/>
              </v:shape>
            </v:group>
            <v:group style="position:absolute;left:9524;top:7;width:61;height:298" coordorigin="9524,7" coordsize="61,298">
              <v:shape style="position:absolute;left:9524;top:7;width:61;height:298" coordorigin="9524,7" coordsize="61,298" path="m9585,7l9524,304e" filled="false" stroked="true" strokeweight=".995pt" strokecolor="#8c8f90">
                <v:path arrowok="t"/>
              </v:shape>
            </v:group>
            <v:group style="position:absolute;left:9675;top:614;width:610;height:1953" coordorigin="9675,614" coordsize="610,1953">
              <v:shape style="position:absolute;left:9675;top:614;width:610;height:1953" coordorigin="9675,614" coordsize="610,1953" path="m10284,614l9675,2567e" filled="false" stroked="true" strokeweight="1.493pt" strokecolor="#8c8f90">
                <v:path arrowok="t"/>
              </v:shape>
            </v:group>
            <v:group style="position:absolute;left:10393;top:7;width:81;height:259" coordorigin="10393,7" coordsize="81,259">
              <v:shape style="position:absolute;left:10393;top:7;width:81;height:259" coordorigin="10393,7" coordsize="81,259" path="m10474,7l10393,265e" filled="false" stroked="true" strokeweight="1.493pt" strokecolor="#8c8f90">
                <v:path arrowok="t"/>
              </v:shape>
            </v:group>
            <v:group style="position:absolute;left:9922;top:7;width:913;height:2560" coordorigin="9922,7" coordsize="913,2560">
              <v:shape style="position:absolute;left:9922;top:7;width:913;height:2560" coordorigin="9922,7" coordsize="913,2560" path="m10835,7l9922,2567e" filled="false" stroked="true" strokeweight=".498pt" strokecolor="#8c8f90">
                <v:path arrowok="t"/>
              </v:shape>
            </v:group>
            <v:group style="position:absolute;left:10335;top:7;width:1101;height:2560" coordorigin="10335,7" coordsize="1101,2560">
              <v:shape style="position:absolute;left:10335;top:7;width:1101;height:2560" coordorigin="10335,7" coordsize="1101,2560" path="m11436,7l10335,2567e" filled="false" stroked="true" strokeweight=".498pt" strokecolor="#9c8758">
                <v:path arrowok="t"/>
              </v:shape>
            </v:group>
            <v:group style="position:absolute;left:9819;top:7;width:866;height:2560" coordorigin="9819,7" coordsize="866,2560">
              <v:shape style="position:absolute;left:9819;top:7;width:866;height:2560" coordorigin="9819,7" coordsize="866,2560" path="m10685,7l9819,2567e" filled="false" stroked="true" strokeweight=".995pt" strokecolor="#9c8758">
                <v:path arrowok="t"/>
              </v:shape>
            </v:group>
            <v:group style="position:absolute;left:8305;top:4759;width:774;height:2288" coordorigin="8305,4759" coordsize="774,2288">
              <v:shape style="position:absolute;left:8305;top:4759;width:774;height:2288" coordorigin="8305,4759" coordsize="774,2288" path="m9078,4759l8305,7047e" filled="false" stroked="true" strokeweight=".995pt" strokecolor="#9c8758">
                <v:path arrowok="t"/>
              </v:shape>
            </v:group>
            <v:group style="position:absolute;left:8674;top:5766;width:987;height:1369" coordorigin="8674,5766" coordsize="987,1369">
              <v:shape style="position:absolute;left:8674;top:5766;width:987;height:1369" coordorigin="8674,5766" coordsize="987,1369" path="m9661,5766l8674,7135e" filled="false" stroked="true" strokeweight="1.493pt" strokecolor="#8c8f90">
                <v:path arrowok="t"/>
              </v:shape>
            </v:group>
            <v:group style="position:absolute;left:10075;top:5158;width:25;height:35" coordorigin="10075,5158" coordsize="25,35">
              <v:shape style="position:absolute;left:10075;top:5158;width:25;height:35" coordorigin="10075,5158" coordsize="25,35" path="m10099,5158l10075,5193e" filled="false" stroked="true" strokeweight="1.493pt" strokecolor="#8c8f90">
                <v:path arrowok="t"/>
              </v:shape>
            </v:group>
            <v:group style="position:absolute;left:10482;top:892;width:764;height:1675" coordorigin="10482,892" coordsize="764,1675">
              <v:shape style="position:absolute;left:10482;top:892;width:764;height:1675" coordorigin="10482,892" coordsize="764,1675" path="m11245,892l10482,2567e" filled="false" stroked="true" strokeweight="1.493pt" strokecolor="#9c8758">
                <v:path arrowok="t"/>
              </v:shape>
            </v:group>
            <v:group style="position:absolute;left:8423;top:4874;width:1007;height:2206" coordorigin="8423,4874" coordsize="1007,2206">
              <v:shape style="position:absolute;left:8423;top:4874;width:1007;height:2206" coordorigin="8423,4874" coordsize="1007,2206" path="m9430,4874l8423,7079e" filled="false" stroked="true" strokeweight="1.493pt" strokecolor="#9c8758">
                <v:path arrowok="t"/>
              </v:shape>
            </v:group>
            <v:group style="position:absolute;left:11552;top:7;width:98;height:215" coordorigin="11552,7" coordsize="98,215">
              <v:shape style="position:absolute;left:11552;top:7;width:98;height:215" coordorigin="11552,7" coordsize="98,215" path="m11649,7l11552,221e" filled="false" stroked="true" strokeweight="1.493pt" strokecolor="#8c8f90">
                <v:path arrowok="t"/>
              </v:shape>
            </v:group>
            <v:group style="position:absolute;left:8534;top:5187;width:1072;height:1904" coordorigin="8534,5187" coordsize="1072,1904">
              <v:shape style="position:absolute;left:8534;top:5187;width:1072;height:1904" coordorigin="8534,5187" coordsize="1072,1904" path="m9606,5187l8534,7091e" filled="false" stroked="true" strokeweight=".498pt" strokecolor="#9c8758">
                <v:path arrowok="t"/>
              </v:shape>
            </v:group>
            <v:group style="position:absolute;left:11081;top:2017;width:310;height:550" coordorigin="11081,2017" coordsize="310,550">
              <v:shape style="position:absolute;left:11081;top:2017;width:310;height:550" coordorigin="11081,2017" coordsize="310,550" path="m11391,2017l11081,2567e" filled="false" stroked="true" strokeweight=".498pt" strokecolor="#9c8758">
                <v:path arrowok="t"/>
              </v:shape>
            </v:group>
            <v:group style="position:absolute;left:11655;top:1103;width:251;height:446" coordorigin="11655,1103" coordsize="251,446">
              <v:shape style="position:absolute;left:11655;top:1103;width:251;height:446" coordorigin="11655,1103" coordsize="251,446" path="m11905,1103l11655,1548e" filled="false" stroked="true" strokeweight=".498pt" strokecolor="#8c8f90">
                <v:path arrowok="t"/>
              </v:shape>
            </v:group>
            <v:group style="position:absolute;left:8765;top:5333;width:1558;height:1845" coordorigin="8765,5333" coordsize="1558,1845">
              <v:shape style="position:absolute;left:8765;top:5333;width:1558;height:1845" coordorigin="8765,5333" coordsize="1558,1845" path="m10323,5333l8765,7178e" filled="false" stroked="true" strokeweight=".249pt" strokecolor="#8c8f90">
                <v:path arrowok="t"/>
              </v:shape>
            </v:group>
            <v:group style="position:absolute;left:9247;top:6155;width:2180;height:1257" coordorigin="9247,6155" coordsize="2180,1257">
              <v:shape style="position:absolute;left:9247;top:6155;width:2180;height:1257" coordorigin="9247,6155" coordsize="2180,1257" path="m11426,6155l9247,7412e" filled="false" stroked="true" strokeweight=".995pt" strokecolor="#8c8f90">
                <v:path arrowok="t"/>
              </v:shape>
            </v:group>
            <v:group style="position:absolute;left:9384;top:6454;width:2304;height:1054" coordorigin="9384,6454" coordsize="2304,1054">
              <v:shape style="position:absolute;left:9384;top:6454;width:2304;height:1054" coordorigin="9384,6454" coordsize="2304,1054" path="m11688,6454l9384,7507e" filled="false" stroked="true" strokeweight="1.493pt" strokecolor="#9c8758">
                <v:path arrowok="t"/>
              </v:shape>
            </v:group>
            <v:group style="position:absolute;left:9463;top:6742;width:2430;height:841" coordorigin="9463,6742" coordsize="2430,841">
              <v:shape style="position:absolute;left:9463;top:6742;width:2430;height:841" coordorigin="9463,6742" coordsize="2430,841" path="m11892,6742l9463,7583e" filled="false" stroked="true" strokeweight=".498pt" strokecolor="#9c8758">
                <v:path arrowok="t"/>
              </v:shape>
            </v:group>
            <v:group style="position:absolute;left:9231;top:6193;width:2228;height:1209" coordorigin="9231,6193" coordsize="2228,1209">
              <v:shape style="position:absolute;left:9231;top:6193;width:2228;height:1209" coordorigin="9231,6193" coordsize="2228,1209" path="m9231,7401l11459,6193e" filled="false" stroked="true" strokeweight=".498pt" strokecolor="#9c8758">
                <v:path arrowok="t"/>
              </v:shape>
            </v:group>
            <v:group style="position:absolute;left:8872;top:5508;width:1828;height:1705" coordorigin="8872,5508" coordsize="1828,1705">
              <v:shape style="position:absolute;left:8872;top:5508;width:1828;height:1705" coordorigin="8872,5508" coordsize="1828,1705" path="m8872,7213l10700,5508e" filled="false" stroked="true" strokeweight=".249pt" strokecolor="#9c8758">
                <v:path arrowok="t"/>
              </v:shape>
            </v:group>
            <v:group style="position:absolute;left:9331;top:6335;width:2263;height:1135" coordorigin="9331,6335" coordsize="2263,1135">
              <v:shape style="position:absolute;left:9331;top:6335;width:2263;height:1135" coordorigin="9331,6335" coordsize="2263,1135" path="m9331,7470l11594,6335e" filled="false" stroked="true" strokeweight=".249pt" strokecolor="#8c8f90">
                <v:path arrowok="t"/>
              </v:shape>
            </v:group>
            <v:group style="position:absolute;left:9477;top:6700;width:2394;height:895" coordorigin="9477,6700" coordsize="2394,895">
              <v:shape style="position:absolute;left:9477;top:6700;width:2394;height:895" coordorigin="9477,6700" coordsize="2394,895" path="m11870,6700l9477,7595e" filled="false" stroked="true" strokeweight=".995pt" strokecolor="#9c8758">
                <v:path arrowok="t"/>
              </v:shape>
            </v:group>
            <v:group style="position:absolute;left:9167;top:5984;width:2092;height:1375" coordorigin="9167,5984" coordsize="2092,1375">
              <v:shape style="position:absolute;left:9167;top:5984;width:2092;height:1375" coordorigin="9167,5984" coordsize="2092,1375" path="m11258,5984l9167,7358e" filled="false" stroked="true" strokeweight=".249pt" strokecolor="#9c8758">
                <v:path arrowok="t"/>
              </v:shape>
            </v:group>
            <v:group style="position:absolute;left:8582;top:5037;width:1273;height:2068" coordorigin="8582,5037" coordsize="1273,2068">
              <v:shape style="position:absolute;left:8582;top:5037;width:1273;height:2068" coordorigin="8582,5037" coordsize="1273,2068" path="m9855,5037l8582,7104e" filled="false" stroked="true" strokeweight=".995pt" strokecolor="#8c8f90">
                <v:path arrowok="t"/>
              </v:shape>
            </v:group>
            <v:group style="position:absolute;left:11375;top:1704;width:531;height:863" coordorigin="11375,1704" coordsize="531,863">
              <v:shape style="position:absolute;left:11375;top:1704;width:531;height:863" coordorigin="11375,1704" coordsize="531,863" path="m11906,1704l11375,2567e" filled="false" stroked="true" strokeweight=".995pt" strokecolor="#8c8f90">
                <v:path arrowok="t"/>
              </v:shape>
            </v:group>
            <v:group style="position:absolute;left:10709;top:2407;width:80;height:160" coordorigin="10709,2407" coordsize="80,160">
              <v:shape style="position:absolute;left:10709;top:2407;width:80;height:160" coordorigin="10709,2407" coordsize="80,160" path="m10788,2407l10709,2567e" filled="false" stroked="true" strokeweight="1.493pt" strokecolor="#9c8758">
                <v:path arrowok="t"/>
              </v:shape>
            </v:group>
            <v:group style="position:absolute;left:8464;top:4906;width:1084;height:2182" coordorigin="8464,4906" coordsize="1084,2182">
              <v:shape style="position:absolute;left:8464;top:4906;width:1084;height:2182" coordorigin="8464,4906" coordsize="1084,2182" path="m9547,4906l8464,7087e" filled="false" stroked="true" strokeweight="1.493pt" strokecolor="#9c8758">
                <v:path arrowok="t"/>
              </v:shape>
            </v:group>
            <v:group style="position:absolute;left:10969;top:893;width:571;height:1150" coordorigin="10969,893" coordsize="571,1150">
              <v:shape style="position:absolute;left:10969;top:893;width:571;height:1150" coordorigin="10969,893" coordsize="571,1150" path="m11540,893l10969,2042e" filled="false" stroked="true" strokeweight="1.493pt" strokecolor="#8c8f90">
                <v:path arrowok="t"/>
              </v:shape>
            </v:group>
            <v:group style="position:absolute;left:11655;top:157;width:251;height:504" coordorigin="11655,157" coordsize="251,504">
              <v:shape style="position:absolute;left:11655;top:157;width:251;height:504" coordorigin="11655,157" coordsize="251,504" path="m11906,157l11655,660e" filled="false" stroked="true" strokeweight="1.493pt" strokecolor="#8c8f90">
                <v:path arrowok="t"/>
              </v:shape>
            </v:group>
            <v:group style="position:absolute;left:3834;top:6349;width:1518;height:678" coordorigin="3834,6349" coordsize="1518,678">
              <v:shape style="position:absolute;left:3834;top:6349;width:1518;height:678" coordorigin="3834,6349" coordsize="1518,678" path="m5352,7027l3834,6349e" filled="false" stroked="true" strokeweight=".249pt" strokecolor="#8c8f90">
                <v:path arrowok="t"/>
              </v:shape>
            </v:group>
            <v:group style="position:absolute;left:4178;top:6063;width:1734;height:964" coordorigin="4178,6063" coordsize="1734,964">
              <v:shape style="position:absolute;left:4178;top:6063;width:1734;height:964" coordorigin="4178,6063" coordsize="1734,964" path="m5912,7027l4178,6063e" filled="false" stroked="true" strokeweight=".249pt" strokecolor="#8c8f90">
                <v:path arrowok="t"/>
              </v:shape>
            </v:group>
            <v:group style="position:absolute;left:3821;top:6526;width:1247;height:501" coordorigin="3821,6526" coordsize="1247,501">
              <v:shape style="position:absolute;left:3821;top:6526;width:1247;height:501" coordorigin="3821,6526" coordsize="1247,501" path="m5067,7027l3821,6526e" filled="false" stroked="true" strokeweight=".995pt" strokecolor="#9c8758">
                <v:path arrowok="t"/>
              </v:shape>
            </v:group>
            <v:group style="position:absolute;left:3859;top:6037;width:560;height:295" coordorigin="3859,6037" coordsize="560,295">
              <v:shape style="position:absolute;left:3859;top:6037;width:560;height:295" coordorigin="3859,6037" coordsize="560,295" path="m4418,6331l3859,6037e" filled="false" stroked="true" strokeweight="1.493pt" strokecolor="#8c8f90">
                <v:path arrowok="t"/>
              </v:shape>
            </v:group>
            <v:group style="position:absolute;left:4623;top:6439;width:1117;height:588" coordorigin="4623,6439" coordsize="1117,588">
              <v:shape style="position:absolute;left:4623;top:6439;width:1117;height:588" coordorigin="4623,6439" coordsize="1117,588" path="m5740,7027l4623,6439e" filled="false" stroked="true" strokeweight="1.493pt" strokecolor="#8c8f90">
                <v:path arrowok="t"/>
              </v:shape>
            </v:group>
            <v:group style="position:absolute;left:3829;top:6419;width:714;height:306" coordorigin="3829,6419" coordsize="714,306">
              <v:shape style="position:absolute;left:3829;top:6419;width:714;height:306" coordorigin="3829,6419" coordsize="714,306" path="m4542,6725l3829,6419e" filled="false" stroked="true" strokeweight="1.493pt" strokecolor="#8c8f90">
                <v:path arrowok="t"/>
              </v:shape>
            </v:group>
            <v:group style="position:absolute;left:4956;top:6903;width:290;height:125" coordorigin="4956,6903" coordsize="290,125">
              <v:shape style="position:absolute;left:4956;top:6903;width:290;height:125" coordorigin="4956,6903" coordsize="290,125" path="m5246,7027l4956,6903e" filled="false" stroked="true" strokeweight="1.493pt" strokecolor="#8c8f90">
                <v:path arrowok="t"/>
              </v:shape>
            </v:group>
            <v:group style="position:absolute;left:3851;top:6138;width:1777;height:889" coordorigin="3851,6138" coordsize="1777,889">
              <v:shape style="position:absolute;left:3851;top:6138;width:1777;height:889" coordorigin="3851,6138" coordsize="1777,889" path="m5627,7027l3851,6138e" filled="false" stroked="true" strokeweight=".498pt" strokecolor="#9c8758">
                <v:path arrowok="t"/>
              </v:shape>
            </v:group>
            <v:group style="position:absolute;left:3911;top:5365;width:2374;height:1663" coordorigin="3911,5365" coordsize="2374,1663">
              <v:shape style="position:absolute;left:3911;top:5365;width:2374;height:1663" coordorigin="3911,5365" coordsize="2374,1663" path="m6284,7027l3911,5365e" filled="false" stroked="true" strokeweight=".249pt" strokecolor="#9c8758">
                <v:path arrowok="t"/>
              </v:shape>
            </v:group>
            <v:group style="position:absolute;left:3845;top:6218;width:1686;height:809" coordorigin="3845,6218" coordsize="1686,809">
              <v:shape style="position:absolute;left:3845;top:6218;width:1686;height:809" coordorigin="3845,6218" coordsize="1686,809" path="m5530,7027l3845,6218e" filled="false" stroked="true" strokeweight=".995pt" strokecolor="#8c8f90">
                <v:path arrowok="t"/>
              </v:shape>
            </v:group>
            <v:group style="position:absolute;left:3885;top:5703;width:589;height:361" coordorigin="3885,5703" coordsize="589,361">
              <v:shape style="position:absolute;left:3885;top:5703;width:589;height:361" coordorigin="3885,5703" coordsize="589,361" path="m4473,6063l3885,5703e" filled="false" stroked="true" strokeweight="1.493pt" strokecolor="#9c8758">
                <v:path arrowok="t"/>
              </v:shape>
            </v:group>
            <v:group style="position:absolute;left:4810;top:6269;width:1040;height:637" coordorigin="4810,6269" coordsize="1040,637">
              <v:shape style="position:absolute;left:4810;top:6269;width:1040;height:637" coordorigin="4810,6269" coordsize="1040,637" path="m5849,6906l4810,6269e" filled="false" stroked="true" strokeweight="1.493pt" strokecolor="#8c8f90">
                <v:path arrowok="t"/>
              </v:shape>
            </v:group>
            <v:group style="position:absolute;left:3927;top:5161;width:2474;height:1866" coordorigin="3927,5161" coordsize="2474,1866">
              <v:shape style="position:absolute;left:3927;top:5161;width:2474;height:1866" coordorigin="3927,5161" coordsize="2474,1866" path="m6401,7027l3927,5161e" filled="false" stroked="true" strokeweight=".498pt" strokecolor="#9c8758">
                <v:path arrowok="t"/>
              </v:shape>
            </v:group>
            <v:group style="position:absolute;left:3939;top:4999;width:2544;height:2028" coordorigin="3939,4999" coordsize="2544,2028">
              <v:shape style="position:absolute;left:3939;top:4999;width:2544;height:2028" coordorigin="3939,4999" coordsize="2544,2028" path="m6483,7027l3939,4999e" filled="false" stroked="true" strokeweight=".995pt" strokecolor="#9c8758">
                <v:path arrowok="t"/>
              </v:shape>
            </v:group>
            <v:group style="position:absolute;left:5046;top:5542;width:1623;height:1486" coordorigin="5046,5542" coordsize="1623,1486">
              <v:shape style="position:absolute;left:5046;top:5542;width:1623;height:1486" coordorigin="5046,5542" coordsize="1623,1486" path="m5046,5542l6669,7027e" filled="false" stroked="true" strokeweight=".995pt" strokecolor="#8c8f90">
                <v:path arrowok="t"/>
              </v:shape>
            </v:group>
            <v:group style="position:absolute;left:3974;top:4560;width:400;height:366" coordorigin="3974,4560" coordsize="400,366">
              <v:shape style="position:absolute;left:3974;top:4560;width:400;height:366" coordorigin="3974,4560" coordsize="400,366" path="m3974,4560l4373,4926e" filled="false" stroked="true" strokeweight=".995pt" strokecolor="#8c8f90">
                <v:path arrowok="t"/>
              </v:shape>
            </v:group>
            <v:group style="position:absolute;left:5140;top:5105;width:1743;height:1922" coordorigin="5140,5105" coordsize="1743,1922">
              <v:shape style="position:absolute;left:5140;top:5105;width:1743;height:1922" coordorigin="5140,5105" coordsize="1743,1922" path="m5140,5105l6882,7027e" filled="false" stroked="true" strokeweight="1.493pt" strokecolor="#8c8f90">
                <v:path arrowok="t"/>
              </v:shape>
            </v:group>
            <v:group style="position:absolute;left:4027;top:3878;width:872;height:961" coordorigin="4027,3878" coordsize="872,961">
              <v:shape style="position:absolute;left:4027;top:3878;width:872;height:961" coordorigin="4027,3878" coordsize="872,961" path="m4027,3878l4898,4839e" filled="false" stroked="true" strokeweight="1.493pt" strokecolor="#9c8758">
                <v:path arrowok="t"/>
              </v:shape>
            </v:group>
            <v:group style="position:absolute;left:4521;top:4168;width:1914;height:2254" coordorigin="4521,4168" coordsize="1914,2254">
              <v:shape style="position:absolute;left:4521;top:4168;width:1914;height:2254" coordorigin="4521,4168" coordsize="1914,2254" path="m4521,4168l6434,6421e" filled="false" stroked="true" strokeweight=".995pt" strokecolor="#8c8f90">
                <v:path arrowok="t"/>
              </v:shape>
            </v:group>
            <v:group style="position:absolute;left:4048;top:3611;width:165;height:194" coordorigin="4048,3611" coordsize="165,194">
              <v:shape style="position:absolute;left:4048;top:3611;width:165;height:194" coordorigin="4048,3611" coordsize="165,194" path="m4048,3611l4212,3804e" filled="false" stroked="true" strokeweight=".995pt" strokecolor="#8c8f90">
                <v:path arrowok="t"/>
              </v:shape>
            </v:group>
            <v:group style="position:absolute;left:4010;top:4092;width:2813;height:2935" coordorigin="4010,4092" coordsize="2813,2935">
              <v:shape style="position:absolute;left:4010;top:4092;width:2813;height:2935" coordorigin="4010,4092" coordsize="2813,2935" path="m4010,4092l6823,7027e" filled="false" stroked="true" strokeweight=".995pt" strokecolor="#9c8758">
                <v:path arrowok="t"/>
              </v:shape>
            </v:group>
            <v:group style="position:absolute;left:3986;top:4404;width:2739;height:2623" coordorigin="3986,4404" coordsize="2739,2623">
              <v:shape style="position:absolute;left:3986;top:4404;width:2739;height:2623" coordorigin="3986,4404" coordsize="2739,2623" path="m3986,4404l6725,7027e" filled="false" stroked="true" strokeweight=".995pt" strokecolor="#9c8758">
                <v:path arrowok="t"/>
              </v:shape>
            </v:group>
            <v:group style="position:absolute;left:4123;top:3301;width:2906;height:3727" coordorigin="4123,3301" coordsize="2906,3727">
              <v:shape style="position:absolute;left:4123;top:3301;width:2906;height:3727" coordorigin="4123,3301" coordsize="2906,3727" path="m4123,3301l7028,7027e" filled="false" stroked="true" strokeweight="1.493pt" strokecolor="#8c8f90">
                <v:path arrowok="t"/>
              </v:shape>
            </v:group>
            <v:group style="position:absolute;left:3955;top:4794;width:2621;height:2234" coordorigin="3955,4794" coordsize="2621,2234">
              <v:shape style="position:absolute;left:3955;top:4794;width:2621;height:2234" coordorigin="3955,4794" coordsize="2621,2234" path="m6576,7027l3955,4794e" filled="false" stroked="true" strokeweight=".249pt" strokecolor="#9c8758">
                <v:path arrowok="t"/>
              </v:shape>
            </v:group>
            <v:group style="position:absolute;left:3901;top:5495;width:2300;height:1533" coordorigin="3901,5495" coordsize="2300,1533">
              <v:shape style="position:absolute;left:3901;top:5495;width:2300;height:1533" coordorigin="3901,5495" coordsize="2300,1533" path="m6200,7027l3901,5495e" filled="false" stroked="true" strokeweight=".498pt" strokecolor="#8c8f90">
                <v:path arrowok="t"/>
              </v:shape>
            </v:group>
            <v:group style="position:absolute;left:4131;top:2546;width:3014;height:4481" coordorigin="4131,2546" coordsize="3014,4481">
              <v:shape style="position:absolute;left:4131;top:2546;width:3014;height:4481" coordorigin="4131,2546" coordsize="3014,4481" path="m7144,7027l4131,2546e" filled="false" stroked="true" strokeweight=".995pt" strokecolor="#9c8758">
                <v:path arrowok="t"/>
              </v:shape>
            </v:group>
            <v:group style="position:absolute;left:3896;top:5564;width:2257;height:1463" coordorigin="3896,5564" coordsize="2257,1463">
              <v:shape style="position:absolute;left:3896;top:5564;width:2257;height:1463" coordorigin="3896,5564" coordsize="2257,1463" path="m6152,7027l3896,5564e" filled="false" stroked="true" strokeweight="1.493pt" strokecolor="#9c8758">
                <v:path arrowok="t"/>
              </v:shape>
            </v:group>
            <v:group style="position:absolute;left:8118;top:193;width:59;height:1842" coordorigin="8118,193" coordsize="59,1842">
              <v:shape style="position:absolute;left:8118;top:193;width:59;height:1842" coordorigin="8118,193" coordsize="59,1842" path="m8176,193l8118,2034e" filled="false" stroked="true" strokeweight="1.493pt" strokecolor="#8c8f90">
                <v:path arrowok="t"/>
              </v:shape>
            </v:group>
            <v:group style="position:absolute;left:8193;top:7;width:124;height:2560" coordorigin="8193,7" coordsize="124,2560">
              <v:shape style="position:absolute;left:8193;top:7;width:124;height:2560" coordorigin="8193,7" coordsize="124,2560" path="m8316,7l8193,2567e" filled="false" stroked="true" strokeweight=".249pt" strokecolor="#8c8f90">
                <v:path arrowok="t"/>
              </v:shape>
            </v:group>
            <v:group style="position:absolute;left:8281;top:7;width:180;height:2560" coordorigin="8281,7" coordsize="180,2560">
              <v:shape style="position:absolute;left:8281;top:7;width:180;height:2560" coordorigin="8281,7" coordsize="180,2560" path="m8461,7l8281,2567e" filled="false" stroked="true" strokeweight=".249pt" strokecolor="#9c8758">
                <v:path arrowok="t"/>
              </v:shape>
            </v:group>
            <v:group style="position:absolute;left:7968;top:4627;width:169;height:2400" coordorigin="7968,4627" coordsize="169,2400">
              <v:shape style="position:absolute;left:7968;top:4627;width:169;height:2400" coordorigin="7968,4627" coordsize="169,2400" path="m8137,4627l7968,7027e" filled="false" stroked="true" strokeweight=".249pt" strokecolor="#9c8758">
                <v:path arrowok="t"/>
              </v:shape>
            </v:group>
            <v:group style="position:absolute;left:8883;top:2059;width:87;height:509" coordorigin="8883,2059" coordsize="87,509">
              <v:shape style="position:absolute;left:8883;top:2059;width:87;height:509" coordorigin="8883,2059" coordsize="87,509" path="m8970,2059l8883,2567e" filled="false" stroked="true" strokeweight=".249pt" strokecolor="#8c8f90">
                <v:path arrowok="t"/>
              </v:shape>
            </v:group>
            <v:group style="position:absolute;left:8120;top:4667;width:404;height:2360" coordorigin="8120,4667" coordsize="404,2360">
              <v:shape style="position:absolute;left:8120;top:4667;width:404;height:2360" coordorigin="8120,4667" coordsize="404,2360" path="m8524,4667l8120,7027e" filled="false" stroked="true" strokeweight=".249pt" strokecolor="#8c8f90">
                <v:path arrowok="t"/>
              </v:shape>
            </v:group>
            <v:group style="position:absolute;left:9216;top:7;width:105;height:611" coordorigin="9216,7" coordsize="105,611">
              <v:shape style="position:absolute;left:9216;top:7;width:105;height:611" coordorigin="9216,7" coordsize="105,611" path="m9321,7l9216,617e" filled="false" stroked="true" strokeweight=".249pt" strokecolor="#8c8f90">
                <v:path arrowok="t"/>
              </v:shape>
            </v:group>
            <v:group style="position:absolute;left:8792;top:5330;width:1628;height:1856" coordorigin="8792,5330" coordsize="1628,1856">
              <v:shape style="position:absolute;left:8792;top:5330;width:1628;height:1856" coordorigin="8792,5330" coordsize="1628,1856" path="m8792,7186l10419,5330e" filled="false" stroked="true" strokeweight=".995pt" strokecolor="#9c8758">
                <v:path arrowok="t"/>
              </v:shape>
            </v:group>
            <v:group style="position:absolute;left:8554;top:7;width:107;height:1182" coordorigin="8554,7" coordsize="107,1182">
              <v:shape style="position:absolute;left:8554;top:7;width:107;height:1182" coordorigin="8554,7" coordsize="107,1182" path="m8554,1188l8660,7e" filled="false" stroked="true" strokeweight="1.493pt" strokecolor="#9c8758">
                <v:path arrowok="t"/>
              </v:shape>
            </v:group>
            <v:group style="position:absolute;left:8429;top:1803;width:69;height:765" coordorigin="8429,1803" coordsize="69,765">
              <v:shape style="position:absolute;left:8429;top:1803;width:69;height:765" coordorigin="8429,1803" coordsize="69,765" path="m8429,2567l8498,1803e" filled="false" stroked="true" strokeweight="1.493pt" strokecolor="#9c8758">
                <v:path arrowok="t"/>
              </v:shape>
            </v:group>
            <v:group style="position:absolute;left:8027;top:4646;width:215;height:2382" coordorigin="8027,4646" coordsize="215,2382">
              <v:shape style="position:absolute;left:8027;top:4646;width:215;height:2382" coordorigin="8027,4646" coordsize="215,2382" path="m8027,7027l8242,4646e" filled="false" stroked="true" strokeweight="1.493pt" strokecolor="#8c8f90">
                <v:path arrowok="t"/>
              </v:shape>
            </v:group>
            <v:group style="position:absolute;left:8055;top:4647;width:272;height:2380" coordorigin="8055,4647" coordsize="272,2380">
              <v:shape style="position:absolute;left:8055;top:4647;width:272;height:2380" coordorigin="8055,4647" coordsize="272,2380" path="m8055,7027l8326,4647e" filled="false" stroked="true" strokeweight=".995pt" strokecolor="#9c8758">
                <v:path arrowok="t"/>
              </v:shape>
            </v:group>
            <v:group style="position:absolute;left:8563;top:267;width:263;height:2300" coordorigin="8563,267" coordsize="263,2300">
              <v:shape style="position:absolute;left:8563;top:267;width:263;height:2300" coordorigin="8563,267" coordsize="263,2300" path="m8563,2567l8826,267e" filled="false" stroked="true" strokeweight=".995pt" strokecolor="#9c8758">
                <v:path arrowok="t"/>
              </v:shape>
            </v:group>
            <v:group style="position:absolute;left:8961;top:7;width:493;height:2560" coordorigin="8961,7" coordsize="493,2560">
              <v:shape style="position:absolute;left:8961;top:7;width:493;height:2560" coordorigin="8961,7" coordsize="493,2560" path="m9454,7l8961,2567e" filled="false" stroked="true" strokeweight=".249pt" strokecolor="#9c8758">
                <v:path arrowok="t"/>
              </v:shape>
            </v:group>
            <v:group style="position:absolute;left:8103;top:4667;width:455;height:2360" coordorigin="8103,4667" coordsize="455,2360">
              <v:shape style="position:absolute;left:8103;top:4667;width:455;height:2360" coordorigin="8103,4667" coordsize="455,2360" path="m8557,4667l8103,7027e" filled="false" stroked="true" strokeweight=".249pt" strokecolor="#9c8758">
                <v:path arrowok="t"/>
              </v:shape>
            </v:group>
            <v:group style="position:absolute;left:9522;top:7;width:730;height:2560" coordorigin="9522,7" coordsize="730,2560">
              <v:shape style="position:absolute;left:9522;top:7;width:730;height:2560" coordorigin="9522,7" coordsize="730,2560" path="m10252,7l9522,2567e" filled="false" stroked="true" strokeweight=".249pt" strokecolor="#9c8758">
                <v:path arrowok="t"/>
              </v:shape>
            </v:group>
            <v:group style="position:absolute;left:8245;top:4734;width:660;height:2313" coordorigin="8245,4734" coordsize="660,2313">
              <v:shape style="position:absolute;left:8245;top:4734;width:660;height:2313" coordorigin="8245,4734" coordsize="660,2313" path="m8905,4734l8245,7047e" filled="false" stroked="true" strokeweight=".249pt" strokecolor="#9c8758">
                <v:path arrowok="t"/>
              </v:shape>
            </v:group>
            <v:group style="position:absolute;left:9017;top:5709;width:1926;height:1574" coordorigin="9017,5709" coordsize="1926,1574">
              <v:shape style="position:absolute;left:9017;top:5709;width:1926;height:1574" coordorigin="9017,5709" coordsize="1926,1574" path="m9017,7282l10942,5709e" filled="false" stroked="true" strokeweight=".995pt" strokecolor="#9c8758">
                <v:path arrowok="t"/>
              </v:shape>
            </v:group>
            <v:group style="position:absolute;left:8296;top:4753;width:758;height:2294" coordorigin="8296,4753" coordsize="758,2294">
              <v:shape style="position:absolute;left:8296;top:4753;width:758;height:2294" coordorigin="8296,4753" coordsize="758,2294" path="m8296,7047l9054,4753e" filled="false" stroked="true" strokeweight=".995pt" strokecolor="#9c8758">
                <v:path arrowok="t"/>
              </v:shape>
            </v:group>
            <v:group style="position:absolute;left:9777;top:7;width:846;height:2560" coordorigin="9777,7" coordsize="846,2560">
              <v:shape style="position:absolute;left:9777;top:7;width:846;height:2560" coordorigin="9777,7" coordsize="846,2560" path="m9777,2567l10623,7e" filled="false" stroked="true" strokeweight=".995pt" strokecolor="#9c8758">
                <v:path arrowok="t"/>
              </v:shape>
            </v:group>
            <v:group style="position:absolute;left:11018;top:7;width:799;height:1677" coordorigin="11018,7" coordsize="799,1677">
              <v:shape style="position:absolute;left:11018;top:7;width:799;height:1677" coordorigin="11018,7" coordsize="799,1677" path="m11018,1683l11817,7e" filled="false" stroked="true" strokeweight=".995pt" strokecolor="#8c8f90">
                <v:path arrowok="t"/>
              </v:shape>
            </v:group>
            <v:group style="position:absolute;left:10597;top:2092;width:227;height:476" coordorigin="10597,2092" coordsize="227,476">
              <v:shape style="position:absolute;left:10597;top:2092;width:227;height:476" coordorigin="10597,2092" coordsize="227,476" path="m10597,2567l10823,2092e" filled="false" stroked="true" strokeweight=".995pt" strokecolor="#9c8758">
                <v:path arrowok="t"/>
              </v:shape>
            </v:group>
            <v:group style="position:absolute;left:8443;top:4890;width:1047;height:2195" coordorigin="8443,4890" coordsize="1047,2195">
              <v:shape style="position:absolute;left:8443;top:4890;width:1047;height:2195" coordorigin="8443,4890" coordsize="1047,2195" path="m8443,7085l9490,4890e" filled="false" stroked="true" strokeweight=".995pt" strokecolor="#9c8758">
                <v:path arrowok="t"/>
              </v:shape>
            </v:group>
            <v:group style="position:absolute;left:11571;top:445;width:335;height:650" coordorigin="11571,445" coordsize="335,650">
              <v:shape style="position:absolute;left:11571;top:445;width:335;height:650" coordorigin="11571,445" coordsize="335,650" path="m11571,1094l11906,445e" filled="false" stroked="true" strokeweight=".995pt" strokecolor="#8c8f90">
                <v:path arrowok="t"/>
              </v:shape>
            </v:group>
            <v:group style="position:absolute;left:11081;top:1368;width:349;height:677" coordorigin="11081,1368" coordsize="349,677">
              <v:shape style="position:absolute;left:11081;top:1368;width:349;height:677" coordorigin="11081,1368" coordsize="349,677" path="m11081,2045l11430,1368e" filled="false" stroked="true" strokeweight=".995pt" strokecolor="#9c8758">
                <v:path arrowok="t"/>
              </v:shape>
            </v:group>
            <v:group style="position:absolute;left:10812;top:2393;width:90;height:174" coordorigin="10812,2393" coordsize="90,174">
              <v:shape style="position:absolute;left:10812;top:2393;width:90;height:174" coordorigin="10812,2393" coordsize="90,174" path="m10812,2567l10902,2393e" filled="false" stroked="true" strokeweight=".995pt" strokecolor="#8c8f90">
                <v:path arrowok="t"/>
              </v:shape>
            </v:group>
            <v:group style="position:absolute;left:8484;top:4931;width:1111;height:2157" coordorigin="8484,4931" coordsize="1111,2157">
              <v:shape style="position:absolute;left:8484;top:4931;width:1111;height:2157" coordorigin="8484,4931" coordsize="1111,2157" path="m8484,7087l9595,4931e" filled="false" stroked="true" strokeweight=".995pt" strokecolor="#8c8f90">
                <v:path arrowok="t"/>
              </v:shape>
            </v:group>
            <v:group style="position:absolute;left:8710;top:5207;width:1505;height:1950" coordorigin="8710,5207" coordsize="1505,1950">
              <v:shape style="position:absolute;left:8710;top:5207;width:1505;height:1950" coordorigin="8710,5207" coordsize="1505,1950" path="m8710,7156l10214,5207e" filled="false" stroked="true" strokeweight=".995pt" strokecolor="#9c8758">
                <v:path arrowok="t"/>
              </v:shape>
            </v:group>
            <v:group style="position:absolute;left:8830;top:72;width:404;height:2495" coordorigin="8830,72" coordsize="404,2495">
              <v:shape style="position:absolute;left:8830;top:72;width:404;height:2495" coordorigin="8830,72" coordsize="404,2495" path="m8830,2567l9233,72e" filled="false" stroked="true" strokeweight="1.493pt" strokecolor="#9c8758">
                <v:path arrowok="t"/>
              </v:shape>
            </v:group>
            <v:group style="position:absolute;left:8109;top:4928;width:340;height:2099" coordorigin="8109,4928" coordsize="340,2099">
              <v:shape style="position:absolute;left:8109;top:4928;width:340;height:2099" coordorigin="8109,4928" coordsize="340,2099" path="m8109,7027l8448,4928e" filled="false" stroked="true" strokeweight="1.493pt" strokecolor="#9c8758">
                <v:path arrowok="t"/>
              </v:shape>
            </v:group>
            <v:group style="position:absolute;left:8431;top:14147;width:2;height:20" coordorigin="8431,14147" coordsize="2,20">
              <v:shape style="position:absolute;left:8431;top:14147;width:2;height:20" coordorigin="8431,14147" coordsize="2,20" path="m8431,14147l8433,14167e" filled="false" stroked="true" strokeweight=".995pt" strokecolor="#8c8f90">
                <v:path arrowok="t"/>
              </v:shape>
            </v:group>
            <v:group style="position:absolute;left:8428;top:14107;width:4;height:40" coordorigin="8428,14107" coordsize="4,40">
              <v:shape style="position:absolute;left:8428;top:14107;width:4;height:40" coordorigin="8428,14107" coordsize="4,40" path="m8428,14107l8431,14147e" filled="false" stroked="true" strokeweight=".995pt" strokecolor="#8c8f90">
                <v:path arrowok="t"/>
              </v:shape>
            </v:group>
            <v:group style="position:absolute;left:8221;top:11807;width:207;height:2300" coordorigin="8221,11807" coordsize="207,2300">
              <v:shape style="position:absolute;left:8221;top:11807;width:207;height:2300" coordorigin="8221,11807" coordsize="207,2300" path="m8221,11807l8428,14107e" filled="false" stroked="true" strokeweight=".995pt" strokecolor="#8c8f90">
                <v:path arrowok="t"/>
              </v:shape>
            </v:group>
            <v:group style="position:absolute;left:8219;top:11787;width:2;height:20" coordorigin="8219,11787" coordsize="2,20">
              <v:shape style="position:absolute;left:8219;top:11787;width:2;height:20" coordorigin="8219,11787" coordsize="2,20" path="m8219,11787l8221,11807e" filled="false" stroked="true" strokeweight=".995pt" strokecolor="#8c8f90">
                <v:path arrowok="t"/>
              </v:shape>
            </v:group>
            <v:group style="position:absolute;left:8360;top:14167;width:2;height:12" coordorigin="8360,14167" coordsize="2,12">
              <v:shape style="position:absolute;left:8360;top:14167;width:2;height:12" coordorigin="8360,14167" coordsize="1,12" path="m8360,14167l8360,14178e" filled="false" stroked="true" strokeweight="1.493pt" strokecolor="#8c8f90">
                <v:path arrowok="t"/>
              </v:shape>
            </v:group>
            <v:group style="position:absolute;left:8358;top:14147;width:2;height:20" coordorigin="8358,14147" coordsize="2,20">
              <v:shape style="position:absolute;left:8358;top:14147;width:2;height:20" coordorigin="8358,14147" coordsize="2,20" path="m8358,14147l8360,14167e" filled="false" stroked="true" strokeweight="1.493pt" strokecolor="#8c8f90">
                <v:path arrowok="t"/>
              </v:shape>
            </v:group>
            <v:group style="position:absolute;left:8355;top:14107;width:3;height:40" coordorigin="8355,14107" coordsize="3,40">
              <v:shape style="position:absolute;left:8355;top:14107;width:3;height:40" coordorigin="8355,14107" coordsize="3,40" path="m8355,14107l8358,14147e" filled="false" stroked="true" strokeweight="1.493pt" strokecolor="#8c8f90">
                <v:path arrowok="t"/>
              </v:shape>
            </v:group>
            <v:group style="position:absolute;left:8188;top:11807;width:168;height:2300" coordorigin="8188,11807" coordsize="168,2300">
              <v:shape style="position:absolute;left:8188;top:11807;width:168;height:2300" coordorigin="8188,11807" coordsize="168,2300" path="m8188,11807l8355,14107e" filled="false" stroked="true" strokeweight="1.493pt" strokecolor="#8c8f90">
                <v:path arrowok="t"/>
              </v:shape>
            </v:group>
            <v:group style="position:absolute;left:8186;top:11787;width:2;height:20" coordorigin="8186,11787" coordsize="2,20">
              <v:shape style="position:absolute;left:8186;top:11787;width:2;height:20" coordorigin="8186,11787" coordsize="2,20" path="m8186,11787l8188,11807e" filled="false" stroked="true" strokeweight="1.493pt" strokecolor="#8c8f90">
                <v:path arrowok="t"/>
              </v:shape>
            </v:group>
            <v:group style="position:absolute;left:10125;top:8459;width:1781;height:230" coordorigin="10125,8459" coordsize="1781,230">
              <v:shape style="position:absolute;left:10125;top:8459;width:1781;height:230" coordorigin="10125,8459" coordsize="1781,230" path="m11906,8688l10125,8459e" filled="false" stroked="true" strokeweight=".995pt" strokecolor="#8c8f90">
                <v:path arrowok="t"/>
              </v:shape>
            </v:group>
            <v:group style="position:absolute;left:10165;top:8554;width:1741;height:295" coordorigin="10165,8554" coordsize="1741,295">
              <v:shape style="position:absolute;left:10165;top:8554;width:1741;height:295" coordorigin="10165,8554" coordsize="1741,295" path="m11905,8849l10165,8554e" filled="false" stroked="true" strokeweight="1.493pt" strokecolor="#8c8f90">
                <v:path arrowok="t"/>
              </v:shape>
            </v:group>
            <v:group style="position:absolute;left:10046;top:8293;width:1860;height:104" coordorigin="10046,8293" coordsize="1860,104">
              <v:shape style="position:absolute;left:10046;top:8293;width:1860;height:104" coordorigin="10046,8293" coordsize="1860,104" path="m11905,8397l10046,8293e" filled="false" stroked="true" strokeweight=".498pt" strokecolor="#9c8758">
                <v:path arrowok="t"/>
              </v:shape>
            </v:group>
            <v:group style="position:absolute;left:10150;top:8521;width:1756;height:273" coordorigin="10150,8521" coordsize="1756,273">
              <v:shape style="position:absolute;left:10150;top:8521;width:1756;height:273" coordorigin="10150,8521" coordsize="1756,273" path="m11906,8793l10150,8521e" filled="false" stroked="true" strokeweight=".498pt" strokecolor="#9c8758">
                <v:path arrowok="t"/>
              </v:shape>
            </v:group>
            <v:group style="position:absolute;left:10290;top:9021;width:1562;height:559" coordorigin="10290,9021" coordsize="1562,559">
              <v:shape style="position:absolute;left:10290;top:9021;width:1562;height:559" coordorigin="10290,9021" coordsize="1562,559" path="m11851,9579l10290,9021e" filled="false" stroked="true" strokeweight=".498pt" strokecolor="#9c8758">
                <v:path arrowok="t"/>
              </v:shape>
            </v:group>
            <v:group style="position:absolute;left:10300;top:9083;width:1606;height:614" coordorigin="10300,9083" coordsize="1606,614">
              <v:shape style="position:absolute;left:10300;top:9083;width:1606;height:614" coordorigin="10300,9083" coordsize="1606,614" path="m11906,9696l10300,9083e" filled="false" stroked="true" strokeweight=".498pt" strokecolor="#8c8f90">
                <v:path arrowok="t"/>
              </v:shape>
            </v:group>
            <v:group style="position:absolute;left:10316;top:9590;width:1590;height:940" coordorigin="10316,9590" coordsize="1590,940">
              <v:shape style="position:absolute;left:10316;top:9590;width:1590;height:940" coordorigin="10316,9590" coordsize="1590,940" path="m11906,10530l10316,9590e" filled="false" stroked="true" strokeweight=".249pt" strokecolor="#8c8f90">
                <v:path arrowok="t"/>
              </v:shape>
            </v:group>
            <v:group style="position:absolute;left:10231;top:8749;width:1675;height:417" coordorigin="10231,8749" coordsize="1675,417">
              <v:shape style="position:absolute;left:10231;top:8749;width:1675;height:417" coordorigin="10231,8749" coordsize="1675,417" path="m11905,9166l10231,8749e" filled="false" stroked="true" strokeweight=".249pt" strokecolor="#8c8f90">
                <v:path arrowok="t"/>
              </v:shape>
            </v:group>
            <v:group style="position:absolute;left:10092;top:8380;width:1814;height:172" coordorigin="10092,8380" coordsize="1814,172">
              <v:shape style="position:absolute;left:10092;top:8380;width:1814;height:172" coordorigin="10092,8380" coordsize="1814,172" path="m11906,8552l10092,8380e" filled="false" stroked="true" strokeweight=".995pt" strokecolor="#8c8f90">
                <v:path arrowok="t"/>
              </v:shape>
            </v:group>
            <v:group style="position:absolute;left:10985;top:9022;width:921;height:255" coordorigin="10985,9022" coordsize="921,255">
              <v:shape style="position:absolute;left:10985;top:9022;width:921;height:255" coordorigin="10985,9022" coordsize="921,255" path="m11906,9276l10985,9022e" filled="false" stroked="true" strokeweight=".995pt" strokecolor="#8c8f90">
                <v:path arrowok="t"/>
              </v:shape>
            </v:group>
            <v:group style="position:absolute;left:10274;top:8926;width:1632;height:522" coordorigin="10274,8926" coordsize="1632,522">
              <v:shape style="position:absolute;left:10274;top:8926;width:1632;height:522" coordorigin="10274,8926" coordsize="1632,522" path="m11906,9447l10274,8926e" filled="false" stroked="true" strokeweight="1.493pt" strokecolor="#8c8f90">
                <v:path arrowok="t"/>
              </v:shape>
            </v:group>
            <v:group style="position:absolute;left:10193;top:8628;width:1713;height:343" coordorigin="10193,8628" coordsize="1713,343">
              <v:shape style="position:absolute;left:10193;top:8628;width:1713;height:343" coordorigin="10193,8628" coordsize="1713,343" path="m11906,8971l10193,8628e" filled="false" stroked="true" strokeweight=".498pt" strokecolor="#9c8758">
                <v:path arrowok="t"/>
              </v:shape>
            </v:group>
            <v:group style="position:absolute;left:10255;top:8848;width:1651;height:503" coordorigin="10255,8848" coordsize="1651,503">
              <v:shape style="position:absolute;left:10255;top:8848;width:1651;height:503" coordorigin="10255,8848" coordsize="1651,503" path="m11906,9350l10255,8848e" filled="false" stroked="true" strokeweight=".498pt" strokecolor="#9c8758">
                <v:path arrowok="t"/>
              </v:shape>
            </v:group>
            <v:group style="position:absolute;left:10208;top:8682;width:1698;height:387" coordorigin="10208,8682" coordsize="1698,387">
              <v:shape style="position:absolute;left:10208;top:8682;width:1698;height:387" coordorigin="10208,8682" coordsize="1698,387" path="m11906,9069l10208,8682e" filled="false" stroked="true" strokeweight=".995pt" strokecolor="#9c8758">
                <v:path arrowok="t"/>
              </v:shape>
            </v:group>
            <v:group style="position:absolute;left:10003;top:8217;width:1903;height:39" coordorigin="10003,8217" coordsize="1903,39">
              <v:shape style="position:absolute;left:10003;top:8217;width:1903;height:39" coordorigin="10003,8217" coordsize="1903,39" path="m11906,8256l10003,8217e" filled="false" stroked="true" strokeweight="1.493pt" strokecolor="#8c8f90">
                <v:path arrowok="t"/>
              </v:shape>
            </v:group>
            <v:group style="position:absolute;left:9527;top:12002;width:676;height:1613" coordorigin="9527,12002" coordsize="676,1613">
              <v:shape style="position:absolute;left:9527;top:12002;width:676;height:1613" coordorigin="9527,12002" coordsize="676,1613" path="m9527,12002l10202,13614e" filled="false" stroked="true" strokeweight=".995pt" strokecolor="#9c8758">
                <v:path arrowok="t"/>
              </v:shape>
            </v:group>
            <v:group style="position:absolute;left:9512;top:13466;width:127;height:417" coordorigin="9512,13466" coordsize="127,417">
              <v:shape style="position:absolute;left:9512;top:13466;width:127;height:417" coordorigin="9512,13466" coordsize="127,417" path="m9512,13466l9638,13883e" filled="false" stroked="true" strokeweight="1.493pt" strokecolor="#8c8f90">
                <v:path arrowok="t"/>
              </v:shape>
            </v:group>
            <v:group style="position:absolute;left:9026;top:11807;width:403;height:1327" coordorigin="9026,11807" coordsize="403,1327">
              <v:shape style="position:absolute;left:9026;top:11807;width:403;height:1327" coordorigin="9026,11807" coordsize="403,1327" path="m9026,11807l9429,13133e" filled="false" stroked="true" strokeweight="1.493pt" strokecolor="#9c8758">
                <v:path arrowok="t"/>
              </v:shape>
            </v:group>
            <v:group style="position:absolute;left:8954;top:11571;width:72;height:237" coordorigin="8954,11571" coordsize="72,237">
              <v:shape style="position:absolute;left:8954;top:11571;width:72;height:237" coordorigin="8954,11571" coordsize="72,237" path="m8954,11571l9026,11807e" filled="false" stroked="true" strokeweight="1.493pt" strokecolor="#9c8758">
                <v:path arrowok="t"/>
              </v:shape>
            </v:group>
            <v:group style="position:absolute;left:9709;top:11807;width:805;height:1637" coordorigin="9709,11807" coordsize="805,1637">
              <v:shape style="position:absolute;left:9709;top:11807;width:805;height:1637" coordorigin="9709,11807" coordsize="805,1637" path="m9709,11807l10514,13443e" filled="false" stroked="true" strokeweight=".995pt" strokecolor="#8c8f90">
                <v:path arrowok="t"/>
              </v:shape>
            </v:group>
            <v:group style="position:absolute;left:9442;top:11264;width:267;height:543" coordorigin="9442,11264" coordsize="267,543">
              <v:shape style="position:absolute;left:9442;top:11264;width:267;height:543" coordorigin="9442,11264" coordsize="267,543" path="m9442,11264l9709,11807e" filled="false" stroked="true" strokeweight=".995pt" strokecolor="#8c8f90">
                <v:path arrowok="t"/>
              </v:shape>
            </v:group>
            <v:group style="position:absolute;left:9966;top:12014;width:701;height:1314" coordorigin="9966,12014" coordsize="701,1314">
              <v:shape style="position:absolute;left:9966;top:12014;width:701;height:1314" coordorigin="9966,12014" coordsize="701,1314" path="m9966,12014l10666,13328e" filled="false" stroked="true" strokeweight=".995pt" strokecolor="#9c8758">
                <v:path arrowok="t"/>
              </v:shape>
            </v:group>
            <v:group style="position:absolute;left:9533;top:11191;width:284;height:531" coordorigin="9533,11191" coordsize="284,531">
              <v:shape style="position:absolute;left:9533;top:11191;width:284;height:531" coordorigin="9533,11191" coordsize="284,531" path="m9533,11191l9817,11722e" filled="false" stroked="true" strokeweight=".995pt" strokecolor="#8c8f90">
                <v:path arrowok="t"/>
              </v:shape>
            </v:group>
            <v:group style="position:absolute;left:9980;top:11807;width:614;height:1083" coordorigin="9980,11807" coordsize="614,1083">
              <v:shape style="position:absolute;left:9980;top:11807;width:614;height:1083" coordorigin="9980,11807" coordsize="614,1083" path="m9980,11807l10594,12889e" filled="false" stroked="true" strokeweight=".995pt" strokecolor="#8c8f90">
                <v:path arrowok="t"/>
              </v:shape>
            </v:group>
            <v:group style="position:absolute;left:9654;top:11231;width:327;height:577" coordorigin="9654,11231" coordsize="327,577">
              <v:shape style="position:absolute;left:9654;top:11231;width:327;height:577" coordorigin="9654,11231" coordsize="327,577" path="m9654,11231l9980,11807e" filled="false" stroked="true" strokeweight=".995pt" strokecolor="#8c8f90">
                <v:path arrowok="t"/>
              </v:shape>
            </v:group>
            <v:group style="position:absolute;left:9270;top:11807;width:712;height:1919" coordorigin="9270,11807" coordsize="712,1919">
              <v:shape style="position:absolute;left:9270;top:11807;width:712;height:1919" coordorigin="9270,11807" coordsize="712,1919" path="m9270,11807l9981,13726e" filled="false" stroked="true" strokeweight="1.493pt" strokecolor="#9c8758">
                <v:path arrowok="t"/>
              </v:shape>
            </v:group>
            <v:group style="position:absolute;left:9145;top:11470;width:125;height:338" coordorigin="9145,11470" coordsize="125,338">
              <v:shape style="position:absolute;left:9145;top:11470;width:125;height:338" coordorigin="9145,11470" coordsize="125,338" path="m9145,11470l9270,11807e" filled="false" stroked="true" strokeweight="1.493pt" strokecolor="#9c8758">
                <v:path arrowok="t"/>
              </v:shape>
            </v:group>
            <v:group style="position:absolute;left:11555;top:11807;width:313;height:314" coordorigin="11555,11807" coordsize="313,314">
              <v:shape style="position:absolute;left:11555;top:11807;width:313;height:314" coordorigin="11555,11807" coordsize="313,314" path="m11555,11807l11867,12120e" filled="false" stroked="true" strokeweight=".498pt" strokecolor="#8c8f90">
                <v:path arrowok="t"/>
              </v:shape>
            </v:group>
            <v:group style="position:absolute;left:10124;top:10370;width:1432;height:1438" coordorigin="10124,10370" coordsize="1432,1438">
              <v:shape style="position:absolute;left:10124;top:10370;width:1432;height:1438" coordorigin="10124,10370" coordsize="1432,1438" path="m10124,10370l11555,11807e" filled="false" stroked="true" strokeweight=".498pt" strokecolor="#8c8f90">
                <v:path arrowok="t"/>
              </v:shape>
            </v:group>
            <v:group style="position:absolute;left:10193;top:10190;width:1653;height:1467" coordorigin="10193,10190" coordsize="1653,1467">
              <v:shape style="position:absolute;left:10193;top:10190;width:1653;height:1467" coordorigin="10193,10190" coordsize="1653,1467" path="m10193,10190l11845,11657e" filled="false" stroked="true" strokeweight="1.493pt" strokecolor="#8c8f90">
                <v:path arrowok="t"/>
              </v:shape>
            </v:group>
            <v:group style="position:absolute;left:9173;top:11807;width:685;height:1989" coordorigin="9173,11807" coordsize="685,1989">
              <v:shape style="position:absolute;left:9173;top:11807;width:685;height:1989" coordorigin="9173,11807" coordsize="685,1989" path="m9173,11807l9857,13796e" filled="false" stroked="true" strokeweight=".995pt" strokecolor="#9c8758">
                <v:path arrowok="t"/>
              </v:shape>
            </v:group>
            <v:group style="position:absolute;left:9073;top:11516;width:100;height:291" coordorigin="9073,11516" coordsize="100,291">
              <v:shape style="position:absolute;left:9073;top:11516;width:100;height:291" coordorigin="9073,11516" coordsize="100,291" path="m9073,11516l9173,11807e" filled="false" stroked="true" strokeweight=".995pt" strokecolor="#9c8758">
                <v:path arrowok="t"/>
              </v:shape>
            </v:group>
            <v:group style="position:absolute;left:10678;top:11807;width:694;height:915" coordorigin="10678,11807" coordsize="694,915">
              <v:shape style="position:absolute;left:10678;top:11807;width:694;height:915" coordorigin="10678,11807" coordsize="694,915" path="m10678,11807l11372,12722e" filled="false" stroked="true" strokeweight=".995pt" strokecolor="#8c8f90">
                <v:path arrowok="t"/>
              </v:shape>
            </v:group>
            <v:group style="position:absolute;left:10345;top:11368;width:334;height:440" coordorigin="10345,11368" coordsize="334,440">
              <v:shape style="position:absolute;left:10345;top:11368;width:334;height:440" coordorigin="10345,11368" coordsize="334,440" path="m10345,11368l10678,11807e" filled="false" stroked="true" strokeweight=".995pt" strokecolor="#8c8f90">
                <v:path arrowok="t"/>
              </v:shape>
            </v:group>
            <v:group style="position:absolute;left:10905;top:12976;width:77;height:123" coordorigin="10905,12976" coordsize="77,123">
              <v:shape style="position:absolute;left:10905;top:12976;width:77;height:123" coordorigin="10905,12976" coordsize="77,123" path="m10905,12976l10981,13099e" filled="false" stroked="true" strokeweight="1.493pt" strokecolor="#9c8758">
                <v:path arrowok="t"/>
              </v:shape>
            </v:group>
            <v:group style="position:absolute;left:10179;top:11807;width:561;height:903" coordorigin="10179,11807" coordsize="561,903">
              <v:shape style="position:absolute;left:10179;top:11807;width:561;height:903" coordorigin="10179,11807" coordsize="561,903" path="m10179,11807l10739,12710e" filled="false" stroked="true" strokeweight="1.493pt" strokecolor="#8c8f90">
                <v:path arrowok="t"/>
              </v:shape>
            </v:group>
            <v:group style="position:absolute;left:10060;top:11616;width:119;height:191" coordorigin="10060,11616" coordsize="119,191">
              <v:shape style="position:absolute;left:10060;top:11616;width:119;height:191" coordorigin="10060,11616" coordsize="119,191" path="m10060,11616l10179,11807e" filled="false" stroked="true" strokeweight="1.493pt" strokecolor="#8c8f90">
                <v:path arrowok="t"/>
              </v:shape>
            </v:group>
            <v:group style="position:absolute;left:9695;top:11028;width:241;height:388" coordorigin="9695,11028" coordsize="241,388">
              <v:shape style="position:absolute;left:9695;top:11028;width:241;height:388" coordorigin="9695,11028" coordsize="241,388" path="m9695,11028l9936,11415e" filled="false" stroked="true" strokeweight="1.493pt" strokecolor="#8c8f90">
                <v:path arrowok="t"/>
              </v:shape>
            </v:group>
            <v:group style="position:absolute;left:11095;top:11807;width:541;height:620" coordorigin="11095,11807" coordsize="541,620">
              <v:shape style="position:absolute;left:11095;top:11807;width:541;height:620" coordorigin="11095,11807" coordsize="541,620" path="m11095,11807l11636,12426e" filled="false" stroked="true" strokeweight=".995pt" strokecolor="#9c8758">
                <v:path arrowok="t"/>
              </v:shape>
            </v:group>
            <v:group style="position:absolute;left:10166;top:10743;width:929;height:1064" coordorigin="10166,10743" coordsize="929,1064">
              <v:shape style="position:absolute;left:10166;top:10743;width:929;height:1064" coordorigin="10166,10743" coordsize="929,1064" path="m10166,10743l11095,11807e" filled="false" stroked="true" strokeweight=".995pt" strokecolor="#9c8758">
                <v:path arrowok="t"/>
              </v:shape>
            </v:group>
            <v:group style="position:absolute;left:10882;top:12356;width:355;height:502" coordorigin="10882,12356" coordsize="355,502">
              <v:shape style="position:absolute;left:10882;top:12356;width:355;height:502" coordorigin="10882,12356" coordsize="355,502" path="m10882,12356l11237,12857e" filled="false" stroked="true" strokeweight="1.493pt" strokecolor="#8c8f90">
                <v:path arrowok="t"/>
              </v:shape>
            </v:group>
            <v:group style="position:absolute;left:10494;top:11807;width:145;height:205" coordorigin="10494,11807" coordsize="145,205">
              <v:shape style="position:absolute;left:10494;top:11807;width:145;height:205" coordorigin="10494,11807" coordsize="145,205" path="m10494,11807l10639,12012e" filled="false" stroked="true" strokeweight="1.493pt" strokecolor="#8c8f90">
                <v:path arrowok="t"/>
              </v:shape>
            </v:group>
            <v:group style="position:absolute;left:9827;top:10864;width:668;height:943" coordorigin="9827,10864" coordsize="668,943">
              <v:shape style="position:absolute;left:9827;top:10864;width:668;height:943" coordorigin="9827,10864" coordsize="668,943" path="m9827,10864l10494,11807e" filled="false" stroked="true" strokeweight="1.493pt" strokecolor="#8c8f90">
                <v:path arrowok="t"/>
              </v:shape>
            </v:group>
            <v:group style="position:absolute;left:10318;top:9567;width:1588;height:923" coordorigin="10318,9567" coordsize="1588,923">
              <v:shape style="position:absolute;left:10318;top:9567;width:1588;height:923" coordorigin="10318,9567" coordsize="1588,923" path="m10318,9567l11905,10490e" filled="false" stroked="true" strokeweight=".995pt" strokecolor="#8c8f90">
                <v:path arrowok="t"/>
              </v:shape>
            </v:group>
            <v:group style="position:absolute;left:10277;top:9885;width:1482;height:1077" coordorigin="10277,9885" coordsize="1482,1077">
              <v:shape style="position:absolute;left:10277;top:9885;width:1482;height:1077" coordorigin="10277,9885" coordsize="1482,1077" path="m10277,9885l11758,10962e" filled="false" stroked="true" strokeweight="1.493pt" strokecolor="#8c8f90">
                <v:path arrowok="t"/>
              </v:shape>
            </v:group>
            <v:group style="position:absolute;left:9330;top:11807;width:738;height:1888" coordorigin="9330,11807" coordsize="738,1888">
              <v:shape style="position:absolute;left:9330;top:11807;width:738;height:1888" coordorigin="9330,11807" coordsize="738,1888" path="m10068,13694l9330,11807e" filled="false" stroked="true" strokeweight=".498pt" strokecolor="#9c8758">
                <v:path arrowok="t"/>
              </v:shape>
            </v:group>
            <v:group style="position:absolute;left:9187;top:11442;width:143;height:365" coordorigin="9187,11442" coordsize="143,365">
              <v:shape style="position:absolute;left:9187;top:11442;width:143;height:365" coordorigin="9187,11442" coordsize="143,365" path="m9330,11807l9187,11442e" filled="false" stroked="true" strokeweight=".498pt" strokecolor="#9c8758">
                <v:path arrowok="t"/>
              </v:shape>
            </v:group>
            <v:group style="position:absolute;left:9598;top:11807;width:328;height:711" coordorigin="9598,11807" coordsize="328,711">
              <v:shape style="position:absolute;left:9598;top:11807;width:328;height:711" coordorigin="9598,11807" coordsize="328,711" path="m9925,12517l9598,11807e" filled="false" stroked="true" strokeweight=".498pt" strokecolor="#9c8758">
                <v:path arrowok="t"/>
              </v:shape>
            </v:group>
            <v:group style="position:absolute;left:9371;top:11316;width:227;height:492" coordorigin="9371,11316" coordsize="227,492">
              <v:shape style="position:absolute;left:9371;top:11316;width:227;height:492" coordorigin="9371,11316" coordsize="227,492" path="m9598,11807l9371,11316e" filled="false" stroked="true" strokeweight=".498pt" strokecolor="#9c8758">
                <v:path arrowok="t"/>
              </v:shape>
            </v:group>
            <v:group style="position:absolute;left:10198;top:13109;width:191;height:414" coordorigin="10198,13109" coordsize="191,414">
              <v:shape style="position:absolute;left:10198;top:13109;width:191;height:414" coordorigin="10198,13109" coordsize="191,414" path="m10389,13522l10198,13109e" filled="false" stroked="true" strokeweight=".498pt" strokecolor="#8c8f90">
                <v:path arrowok="t"/>
              </v:shape>
            </v:group>
            <v:group style="position:absolute;left:8869;top:11807;width:108;height:413" coordorigin="8869,11807" coordsize="108,413">
              <v:shape style="position:absolute;left:8869;top:11807;width:108;height:413" coordorigin="8869,11807" coordsize="108,413" path="m8977,12219l8869,11807e" filled="false" stroked="true" strokeweight=".249pt" strokecolor="#8c8f90">
                <v:path arrowok="t"/>
              </v:shape>
            </v:group>
            <v:group style="position:absolute;left:8823;top:11631;width:46;height:177" coordorigin="8823,11631" coordsize="46,177">
              <v:shape style="position:absolute;left:8823;top:11631;width:46;height:177" coordorigin="8823,11631" coordsize="46,177" path="m8869,11807l8823,11631e" filled="false" stroked="true" strokeweight=".249pt" strokecolor="#8c8f90">
                <v:path arrowok="t"/>
              </v:shape>
            </v:group>
            <v:group style="position:absolute;left:9160;top:12924;width:270;height:1037" coordorigin="9160,12924" coordsize="270,1037">
              <v:shape style="position:absolute;left:9160;top:12924;width:270;height:1037" coordorigin="9160,12924" coordsize="270,1037" path="m9430,13960l9160,12924e" filled="false" stroked="true" strokeweight=".249pt" strokecolor="#8c8f90">
                <v:path arrowok="t"/>
              </v:shape>
            </v:group>
            <v:group style="position:absolute;left:8591;top:11807;width:417;height:2266" coordorigin="8591,11807" coordsize="417,2266">
              <v:shape style="position:absolute;left:8591;top:11807;width:417;height:2266" coordorigin="8591,11807" coordsize="417,2266" path="m9008,14072l8591,11807e" filled="false" stroked="true" strokeweight=".249pt" strokecolor="#8c8f90">
                <v:path arrowok="t"/>
              </v:shape>
            </v:group>
            <v:group style="position:absolute;left:8574;top:11711;width:18;height:96" coordorigin="8574,11711" coordsize="18,96">
              <v:shape style="position:absolute;left:8574;top:11711;width:18;height:96" coordorigin="8574,11711" coordsize="18,96" path="m8591,11807l8574,11711e" filled="false" stroked="true" strokeweight=".249pt" strokecolor="#8c8f90">
                <v:path arrowok="t"/>
              </v:shape>
            </v:group>
            <v:group style="position:absolute;left:8642;top:11807;width:445;height:2245" coordorigin="8642,11807" coordsize="445,2245">
              <v:shape style="position:absolute;left:8642;top:11807;width:445;height:2245" coordorigin="8642,11807" coordsize="445,2245" path="m8642,11807l9087,14051e" filled="false" stroked="true" strokeweight=".995pt" strokecolor="#9c8758">
                <v:path arrowok="t"/>
              </v:shape>
            </v:group>
            <v:group style="position:absolute;left:8621;top:11698;width:22;height:110" coordorigin="8621,11698" coordsize="22,110">
              <v:shape style="position:absolute;left:8621;top:11698;width:22;height:110" coordorigin="8621,11698" coordsize="22,110" path="m8621,11698l8642,11807e" filled="false" stroked="true" strokeweight=".995pt" strokecolor="#9c8758">
                <v:path arrowok="t"/>
              </v:shape>
            </v:group>
            <v:group style="position:absolute;left:8673;top:14107;width:4;height:32" coordorigin="8673,14107" coordsize="4,32">
              <v:shape style="position:absolute;left:8673;top:14107;width:4;height:32" coordorigin="8673,14107" coordsize="4,32" path="m8673,14107l8677,14138e" filled="false" stroked="true" strokeweight=".995pt" strokecolor="#8c8f90">
                <v:path arrowok="t"/>
              </v:shape>
            </v:group>
            <v:group style="position:absolute;left:8600;top:13524;width:74;height:583" coordorigin="8600,13524" coordsize="74,583">
              <v:shape style="position:absolute;left:8600;top:13524;width:74;height:583" coordorigin="8600,13524" coordsize="74,583" path="m8600,13524l8673,14107e" filled="false" stroked="true" strokeweight=".995pt" strokecolor="#8c8f90">
                <v:path arrowok="t"/>
              </v:shape>
            </v:group>
            <v:group style="position:absolute;left:8383;top:11807;width:156;height:1231" coordorigin="8383,11807" coordsize="156,1231">
              <v:shape style="position:absolute;left:8383;top:11807;width:156;height:1231" coordorigin="8383,11807" coordsize="156,1231" path="m8383,11807l8538,13037e" filled="false" stroked="true" strokeweight=".995pt" strokecolor="#9c8758">
                <v:path arrowok="t"/>
              </v:shape>
            </v:group>
            <v:group style="position:absolute;left:8378;top:11767;width:6;height:40" coordorigin="8378,11767" coordsize="6,40">
              <v:shape style="position:absolute;left:8378;top:11767;width:6;height:40" coordorigin="8378,11767" coordsize="6,40" path="m8378,11767l8383,11807e" filled="false" stroked="true" strokeweight=".995pt" strokecolor="#9c8758">
                <v:path arrowok="t"/>
              </v:shape>
            </v:group>
            <v:group style="position:absolute;left:9115;top:13408;width:130;height:601" coordorigin="9115,13408" coordsize="130,601">
              <v:shape style="position:absolute;left:9115;top:13408;width:130;height:601" coordorigin="9115,13408" coordsize="130,601" path="m9115,13408l9245,14009e" filled="false" stroked="true" strokeweight=".995pt" strokecolor="#9c8758">
                <v:path arrowok="t"/>
              </v:shape>
            </v:group>
            <v:group style="position:absolute;left:8750;top:11807;width:158;height:691" coordorigin="8750,11807" coordsize="158,691">
              <v:shape style="position:absolute;left:8750;top:11807;width:158;height:691" coordorigin="8750,11807" coordsize="158,691" path="m8750,11807l8908,12497e" filled="false" stroked="true" strokeweight=".995pt" strokecolor="#9c8758">
                <v:path arrowok="t"/>
              </v:shape>
            </v:group>
            <v:group style="position:absolute;left:8719;top:11670;width:32;height:138" coordorigin="8719,11670" coordsize="32,138">
              <v:shape style="position:absolute;left:8719;top:11670;width:32;height:138" coordorigin="8719,11670" coordsize="32,138" path="m8719,11670l8750,11807e" filled="false" stroked="true" strokeweight=".995pt" strokecolor="#9c8758">
                <v:path arrowok="t"/>
              </v:shape>
            </v:group>
            <v:group style="position:absolute;left:8937;top:11807;width:556;height:1991" coordorigin="8937,11807" coordsize="556,1991">
              <v:shape style="position:absolute;left:8937;top:11807;width:556;height:1991" coordorigin="8937,11807" coordsize="556,1991" path="m8937,11807l9493,13797e" filled="false" stroked="true" strokeweight=".995pt" strokecolor="#9c8758">
                <v:path arrowok="t"/>
              </v:shape>
            </v:group>
            <v:group style="position:absolute;left:8880;top:11602;width:58;height:206" coordorigin="8880,11602" coordsize="58,206">
              <v:shape style="position:absolute;left:8880;top:11602;width:58;height:206" coordorigin="8880,11602" coordsize="58,206" path="m8880,11602l8937,11807e" filled="false" stroked="true" strokeweight=".995pt" strokecolor="#9c8758">
                <v:path arrowok="t"/>
              </v:shape>
            </v:group>
            <v:group style="position:absolute;left:8285;top:14167;width:2;height:20" coordorigin="8285,14167" coordsize="2,20">
              <v:shape style="position:absolute;left:8285;top:14167;width:2;height:20" coordorigin="8285,14167" coordsize="2,20" path="m8285,14167l8286,14187e" filled="false" stroked="true" strokeweight=".995pt" strokecolor="#8c8f90">
                <v:path arrowok="t"/>
              </v:shape>
            </v:group>
            <v:group style="position:absolute;left:8284;top:14147;width:2;height:20" coordorigin="8284,14147" coordsize="2,20">
              <v:shape style="position:absolute;left:8284;top:14147;width:2;height:20" coordorigin="8284,14147" coordsize="2,20" path="m8284,14147l8285,14167e" filled="false" stroked="true" strokeweight=".995pt" strokecolor="#8c8f90">
                <v:path arrowok="t"/>
              </v:shape>
            </v:group>
            <v:group style="position:absolute;left:8282;top:14107;width:3;height:40" coordorigin="8282,14107" coordsize="3,40">
              <v:shape style="position:absolute;left:8282;top:14107;width:3;height:40" coordorigin="8282,14107" coordsize="3,40" path="m8282,14107l8284,14147e" filled="false" stroked="true" strokeweight=".995pt" strokecolor="#8c8f90">
                <v:path arrowok="t"/>
              </v:shape>
            </v:group>
            <v:group style="position:absolute;left:8231;top:13260;width:52;height:847" coordorigin="8231,13260" coordsize="52,847">
              <v:shape style="position:absolute;left:8231;top:13260;width:52;height:847" coordorigin="8231,13260" coordsize="52,847" path="m8231,13260l8282,14107e" filled="false" stroked="true" strokeweight=".995pt" strokecolor="#8c8f90">
                <v:path arrowok="t"/>
              </v:shape>
            </v:group>
            <v:group style="position:absolute;left:8010;top:11807;width:54;height:2271" coordorigin="8010,11807" coordsize="54,2271">
              <v:shape style="position:absolute;left:8010;top:11807;width:54;height:2271" coordorigin="8010,11807" coordsize="54,2271" path="m8010,11807l8064,14078e" filled="false" stroked="true" strokeweight="1.493pt" strokecolor="#9c8758">
                <v:path arrowok="t"/>
              </v:shape>
            </v:group>
            <v:group style="position:absolute;left:7914;top:14177;width:20;height:2" coordorigin="7914,14177" coordsize="20,2">
              <v:shape style="position:absolute;left:7914;top:14177;width:20;height:2" coordorigin="7914,14177" coordsize="20,0" path="m7914,14177l7934,14177e" filled="false" stroked="true" strokeweight="1pt" strokecolor="#8c8f90">
                <v:path arrowok="t"/>
              </v:shape>
            </v:group>
            <v:group style="position:absolute;left:7914;top:14157;width:20;height:2" coordorigin="7914,14157" coordsize="20,2">
              <v:shape style="position:absolute;left:7914;top:14157;width:20;height:2" coordorigin="7914,14157" coordsize="20,0" path="m7914,14157l7934,14157e" filled="false" stroked="true" strokeweight="1pt" strokecolor="#8c8f90">
                <v:path arrowok="t"/>
              </v:shape>
            </v:group>
            <v:group style="position:absolute;left:7924;top:14107;width:2;height:40" coordorigin="7924,14107" coordsize="2,40">
              <v:shape style="position:absolute;left:7924;top:14107;width:2;height:40" coordorigin="7924,14107" coordsize="0,40" path="m7924,14107l7924,14147e" filled="false" stroked="true" strokeweight=".995pt" strokecolor="#8c8f90">
                <v:path arrowok="t"/>
              </v:shape>
            </v:group>
            <v:group style="position:absolute;left:7924;top:11807;width:2;height:2300" coordorigin="7924,11807" coordsize="2,2300">
              <v:shape style="position:absolute;left:7924;top:11807;width:2;height:2300" coordorigin="7924,11807" coordsize="1,2300" path="m7924,11807l7924,14107e" filled="false" stroked="true" strokeweight=".995pt" strokecolor="#8c8f90">
                <v:path arrowok="t"/>
              </v:shape>
            </v:group>
            <v:group style="position:absolute;left:8143;top:11807;width:47;height:764" coordorigin="8143,11807" coordsize="47,764">
              <v:shape style="position:absolute;left:8143;top:11807;width:47;height:764" coordorigin="8143,11807" coordsize="47,764" path="m8143,11807l8189,12570e" filled="false" stroked="true" strokeweight=".995pt" strokecolor="#8c8f90">
                <v:path arrowok="t"/>
              </v:shape>
            </v:group>
            <v:group style="position:absolute;left:8142;top:11791;width:2;height:16" coordorigin="8142,11791" coordsize="2,16">
              <v:shape style="position:absolute;left:8142;top:11791;width:2;height:16" coordorigin="8142,11791" coordsize="1,16" path="m8142,11791l8143,11807e" filled="false" stroked="true" strokeweight=".995pt" strokecolor="#8c8f90">
                <v:path arrowok="t"/>
              </v:shape>
            </v:group>
            <v:group style="position:absolute;left:10783;top:13224;width:12;height:20" coordorigin="10783,13224" coordsize="12,20">
              <v:shape style="position:absolute;left:10783;top:13224;width:12;height:20" coordorigin="10783,13224" coordsize="12,20" path="m10783,13224l10794,13244e" filled="false" stroked="true" strokeweight=".995pt" strokecolor="#8c8f90">
                <v:path arrowok="t"/>
              </v:shape>
            </v:group>
            <v:group style="position:absolute;left:10057;top:11807;width:809;height:1376" coordorigin="10057,11807" coordsize="809,1376">
              <v:shape style="position:absolute;left:10057;top:11807;width:809;height:1376" coordorigin="10057,11807" coordsize="809,1376" path="m10057,11807l10865,13182e" filled="false" stroked="true" strokeweight=".498pt" strokecolor="#9c8758">
                <v:path arrowok="t"/>
              </v:shape>
            </v:group>
            <v:group style="position:absolute;left:9636;top:11090;width:421;height:717" coordorigin="9636,11090" coordsize="421,717">
              <v:shape style="position:absolute;left:9636;top:11090;width:421;height:717" coordorigin="9636,11090" coordsize="421,717" path="m9636,11090l10057,11807e" filled="false" stroked="true" strokeweight=".498pt" strokecolor="#9c8758">
                <v:path arrowok="t"/>
              </v:shape>
            </v:group>
            <v:group style="position:absolute;left:8531;top:11807;width:372;height:2222" coordorigin="8531,11807" coordsize="372,2222">
              <v:shape style="position:absolute;left:8531;top:11807;width:372;height:2222" coordorigin="8531,11807" coordsize="372,2222" path="m8531,11807l8903,14028e" filled="false" stroked="true" strokeweight="1.493pt" strokecolor="#9c8758">
                <v:path arrowok="t"/>
              </v:shape>
            </v:group>
            <v:group style="position:absolute;left:8518;top:11727;width:14;height:80" coordorigin="8518,11727" coordsize="14,80">
              <v:shape style="position:absolute;left:8518;top:11727;width:14;height:80" coordorigin="8518,11727" coordsize="14,80" path="m8518,11727l8531,11807e" filled="false" stroked="true" strokeweight="1.493pt" strokecolor="#9c8758">
                <v:path arrowok="t"/>
              </v:shape>
            </v:group>
            <v:group style="position:absolute;left:9979;top:8178;width:1927;height:3" coordorigin="9979,8178" coordsize="1927,3">
              <v:shape style="position:absolute;left:9979;top:8178;width:1927;height:3" coordorigin="9979,8178" coordsize="1927,3" path="m11906,8181l9979,8178e" filled="false" stroked="true" strokeweight=".995pt" strokecolor="#9c8758">
                <v:path arrowok="t"/>
              </v:shape>
            </v:group>
            <v:group style="position:absolute;left:10316;top:9243;width:1590;height:710" coordorigin="10316,9243" coordsize="1590,710">
              <v:shape style="position:absolute;left:10316;top:9243;width:1590;height:710" coordorigin="10316,9243" coordsize="1590,710" path="m11906,9953l10316,9243e" filled="false" stroked="true" strokeweight=".249pt" strokecolor="#8c8f90">
                <v:path arrowok="t"/>
              </v:shape>
            </v:group>
            <v:group style="position:absolute;left:10322;top:9479;width:1584;height:881" coordorigin="10322,9479" coordsize="1584,881">
              <v:shape style="position:absolute;left:10322;top:9479;width:1584;height:881" coordorigin="10322,9479" coordsize="1584,881" path="m11905,10360l10322,9479e" filled="false" stroked="true" strokeweight=".249pt" strokecolor="#8c8f90">
                <v:path arrowok="t"/>
              </v:shape>
            </v:group>
            <v:group style="position:absolute;left:10307;top:9133;width:1599;height:643" coordorigin="10307,9133" coordsize="1599,643">
              <v:shape style="position:absolute;left:10307;top:9133;width:1599;height:643" coordorigin="10307,9133" coordsize="1599,643" path="m11906,9776l10307,9133e" filled="false" stroked="true" strokeweight=".995pt" strokecolor="#9c8758">
                <v:path arrowok="t"/>
              </v:shape>
            </v:group>
            <v:group style="position:absolute;left:10322;top:9437;width:1584;height:833" coordorigin="10322,9437" coordsize="1584,833">
              <v:shape style="position:absolute;left:10322;top:9437;width:1584;height:833" coordorigin="10322,9437" coordsize="1584,833" path="m11905,10269l10322,9437e" filled="false" stroked="true" strokeweight="1.493pt" strokecolor="#8c8f90">
                <v:path arrowok="t"/>
              </v:shape>
            </v:group>
            <v:group style="position:absolute;left:10313;top:9200;width:1021;height:438" coordorigin="10313,9200" coordsize="1021,438">
              <v:shape style="position:absolute;left:10313;top:9200;width:1021;height:438" coordorigin="10313,9200" coordsize="1021,438" path="m11334,9637l10313,9200e" filled="false" stroked="true" strokeweight="1.493pt" strokecolor="#8c8f90">
                <v:path arrowok="t"/>
              </v:shape>
            </v:group>
            <v:group style="position:absolute;left:10322;top:9375;width:1584;height:792" coordorigin="10322,9375" coordsize="1584,792">
              <v:shape style="position:absolute;left:10322;top:9375;width:1584;height:792" coordorigin="10322,9375" coordsize="1584,792" path="m11905,10166l10322,9375e" filled="false" stroked="true" strokeweight=".498pt" strokecolor="#9c8758">
                <v:path arrowok="t"/>
              </v:shape>
            </v:group>
            <v:group style="position:absolute;left:10287;top:9830;width:1619;height:1134" coordorigin="10287,9830" coordsize="1619,1134">
              <v:shape style="position:absolute;left:10287;top:9830;width:1619;height:1134" coordorigin="10287,9830" coordsize="1619,1134" path="m11906,10964l10287,9830e" filled="false" stroked="true" strokeweight=".249pt" strokecolor="#9c8758">
                <v:path arrowok="t"/>
              </v:shape>
            </v:group>
            <v:group style="position:absolute;left:10321;top:9325;width:1585;height:760" coordorigin="10321,9325" coordsize="1585,760">
              <v:shape style="position:absolute;left:10321;top:9325;width:1585;height:760" coordorigin="10321,9325" coordsize="1585,760" path="m11906,10085l10321,9325e" filled="false" stroked="true" strokeweight=".995pt" strokecolor="#8c8f90">
                <v:path arrowok="t"/>
              </v:shape>
            </v:group>
            <v:group style="position:absolute;left:10313;top:9638;width:1593;height:975" coordorigin="10313,9638" coordsize="1593,975">
              <v:shape style="position:absolute;left:10313;top:9638;width:1593;height:975" coordorigin="10313,9638" coordsize="1593,975" path="m11906,10612l10313,9638e" filled="false" stroked="true" strokeweight="1.493pt" strokecolor="#8c8f90">
                <v:path arrowok="t"/>
              </v:shape>
            </v:group>
            <v:group style="position:absolute;left:10264;top:9940;width:1642;height:1238" coordorigin="10264,9940" coordsize="1642,1238">
              <v:shape style="position:absolute;left:10264;top:9940;width:1642;height:1238" coordorigin="10264,9940" coordsize="1642,1238" path="m11906,11178l10264,9940e" filled="false" stroked="true" strokeweight=".498pt" strokecolor="#9c8758">
                <v:path arrowok="t"/>
              </v:shape>
            </v:group>
            <v:group style="position:absolute;left:10244;top:10025;width:914;height:728" coordorigin="10244,10025" coordsize="914,728">
              <v:shape style="position:absolute;left:10244;top:10025;width:914;height:728" coordorigin="10244,10025" coordsize="914,728" path="m11157,10753l10244,10025e" filled="false" stroked="true" strokeweight=".995pt" strokecolor="#9c8758">
                <v:path arrowok="t"/>
              </v:shape>
            </v:group>
            <v:group style="position:absolute;left:11572;top:11083;width:334;height:266" coordorigin="11572,11083" coordsize="334,266">
              <v:shape style="position:absolute;left:11572;top:11083;width:334;height:266" coordorigin="11572,11083" coordsize="334,266" path="m11905,11349l11572,11083e" filled="false" stroked="true" strokeweight=".995pt" strokecolor="#8c8f90">
                <v:path arrowok="t"/>
              </v:shape>
            </v:group>
            <v:group style="position:absolute;left:11892;top:11807;width:14;height:13" coordorigin="11892,11807" coordsize="14,13">
              <v:shape style="position:absolute;left:11892;top:11807;width:14;height:13" coordorigin="11892,11807" coordsize="14,13" path="m11892,11807l11905,11819e" filled="false" stroked="true" strokeweight=".995pt" strokecolor="#8c8f90">
                <v:path arrowok="t"/>
              </v:shape>
            </v:group>
            <v:group style="position:absolute;left:10175;top:10235;width:1718;height:1572" coordorigin="10175,10235" coordsize="1718,1572">
              <v:shape style="position:absolute;left:10175;top:10235;width:1718;height:1572" coordorigin="10175,10235" coordsize="1718,1572" path="m10175,10235l11892,11807e" filled="false" stroked="true" strokeweight=".995pt" strokecolor="#8c8f90">
                <v:path arrowok="t"/>
              </v:shape>
            </v:group>
            <v:group style="position:absolute;left:11686;top:12325;width:16;height:18" coordorigin="11686,12325" coordsize="16,18">
              <v:shape style="position:absolute;left:11686;top:12325;width:16;height:18" coordorigin="11686,12325" coordsize="16,18" path="m11686,12325l11702,12342e" filled="false" stroked="true" strokeweight="1.493pt" strokecolor="#8c8f90">
                <v:path arrowok="t"/>
              </v:shape>
            </v:group>
            <v:group style="position:absolute;left:11217;top:11807;width:50;height:55" coordorigin="11217,11807" coordsize="50,55">
              <v:shape style="position:absolute;left:11217;top:11807;width:50;height:55" coordorigin="11217,11807" coordsize="50,55" path="m11217,11807l11267,11862e" filled="false" stroked="true" strokeweight="1.493pt" strokecolor="#8c8f90">
                <v:path arrowok="t"/>
              </v:shape>
            </v:group>
            <v:group style="position:absolute;left:10048;top:10518;width:1170;height:1290" coordorigin="10048,10518" coordsize="1170,1290">
              <v:shape style="position:absolute;left:10048;top:10518;width:1170;height:1290" coordorigin="10048,10518" coordsize="1170,1290" path="m10048,10518l11217,11807e" filled="false" stroked="true" strokeweight="1.493pt" strokecolor="#8c8f90">
                <v:path arrowok="t"/>
              </v:shape>
            </v:group>
            <v:group style="position:absolute;left:11007;top:11807;width:579;height:682" coordorigin="11007,11807" coordsize="579,682">
              <v:shape style="position:absolute;left:11007;top:11807;width:579;height:682" coordorigin="11007,11807" coordsize="579,682" path="m11007,11807l11586,12488e" filled="false" stroked="true" strokeweight=".995pt" strokecolor="#8c8f90">
                <v:path arrowok="t"/>
              </v:shape>
            </v:group>
            <v:group style="position:absolute;left:10645;top:11380;width:363;height:427" coordorigin="10645,11380" coordsize="363,427">
              <v:shape style="position:absolute;left:10645;top:11380;width:363;height:427" coordorigin="10645,11380" coordsize="363,427" path="m10645,11380l11007,11807e" filled="false" stroked="true" strokeweight=".995pt" strokecolor="#8c8f90">
                <v:path arrowok="t"/>
              </v:shape>
            </v:group>
            <v:group style="position:absolute;left:11405;top:11807;width:393;height:410" coordorigin="11405,11807" coordsize="393,410">
              <v:shape style="position:absolute;left:11405;top:11807;width:393;height:410" coordorigin="11405,11807" coordsize="393,410" path="m11405,11807l11797,12216e" filled="false" stroked="true" strokeweight=".995pt" strokecolor="#9c8758">
                <v:path arrowok="t"/>
              </v:shape>
            </v:group>
            <v:group style="position:absolute;left:10091;top:10436;width:1314;height:1371" coordorigin="10091,10436" coordsize="1314,1371">
              <v:shape style="position:absolute;left:10091;top:10436;width:1314;height:1371" coordorigin="10091,10436" coordsize="1314,1371" path="m10091,10436l11405,11807e" filled="false" stroked="true" strokeweight=".995pt" strokecolor="#9c8758">
                <v:path arrowok="t"/>
              </v:shape>
            </v:group>
            <v:group style="position:absolute;left:11716;top:11807;width:190;height:182" coordorigin="11716,11807" coordsize="190,182">
              <v:shape style="position:absolute;left:11716;top:11807;width:190;height:182" coordorigin="11716,11807" coordsize="190,182" path="m11716,11807l11905,11989e" filled="false" stroked="true" strokeweight=".995pt" strokecolor="#9c8758">
                <v:path arrowok="t"/>
              </v:shape>
            </v:group>
            <v:group style="position:absolute;left:10149;top:10306;width:1568;height:1501" coordorigin="10149,10306" coordsize="1568,1501">
              <v:shape style="position:absolute;left:10149;top:10306;width:1568;height:1501" coordorigin="10149,10306" coordsize="1568,1501" path="m10149,10306l11716,11807e" filled="false" stroked="true" strokeweight=".995pt" strokecolor="#9c8758">
                <v:path arrowok="t"/>
              </v:shape>
            </v:group>
            <v:group style="position:absolute;left:11350;top:12564;width:83;height:107" coordorigin="11350,12564" coordsize="83,107">
              <v:shape style="position:absolute;left:11350;top:12564;width:83;height:107" coordorigin="11350,12564" coordsize="83,107" path="m11350,12564l11433,12670e" filled="false" stroked="true" strokeweight="1.493pt" strokecolor="#9c8758">
                <v:path arrowok="t"/>
              </v:shape>
            </v:group>
            <v:group style="position:absolute;left:10755;top:11807;width:438;height:562" coordorigin="10755,11807" coordsize="438,562">
              <v:shape style="position:absolute;left:10755;top:11807;width:438;height:562" coordorigin="10755,11807" coordsize="438,562" path="m10755,11807l11193,12368e" filled="false" stroked="true" strokeweight="1.493pt" strokecolor="#8c8f90">
                <v:path arrowok="t"/>
              </v:shape>
            </v:group>
            <v:group style="position:absolute;left:9924;top:10741;width:831;height:1066" coordorigin="9924,10741" coordsize="831,1066">
              <v:shape style="position:absolute;left:9924;top:10741;width:831;height:1066" coordorigin="9924,10741" coordsize="831,1066" path="m9924,10741l10755,11807e" filled="false" stroked="true" strokeweight="1.493pt" strokecolor="#8c8f90">
                <v:path arrowok="t"/>
              </v:shape>
            </v:group>
            <v:group style="position:absolute;left:10215;top:10128;width:1691;height:1441" coordorigin="10215,10128" coordsize="1691,1441">
              <v:shape style="position:absolute;left:10215;top:10128;width:1691;height:1441" coordorigin="10215,10128" coordsize="1691,1441" path="m11905,11568l10215,10128e" filled="false" stroked="true" strokeweight=".249pt" strokecolor="#9c8758">
                <v:path arrowok="t"/>
              </v:shape>
            </v:group>
            <v:group style="position:absolute;left:10298;top:9757;width:1608;height:1072" coordorigin="10298,9757" coordsize="1608,1072">
              <v:shape style="position:absolute;left:10298;top:9757;width:1608;height:1072" coordorigin="10298,9757" coordsize="1608,1072" path="m11906,10828l10298,9757e" filled="false" stroked="true" strokeweight=".498pt" strokecolor="#8c8f90">
                <v:path arrowok="t"/>
              </v:shape>
            </v:group>
            <v:group style="position:absolute;left:10359;top:11807;width:778;height:1156" coordorigin="10359,11807" coordsize="778,1156">
              <v:shape style="position:absolute;left:10359;top:11807;width:778;height:1156" coordorigin="10359,11807" coordsize="778,1156" path="m11136,12962l10359,11807e" filled="false" stroked="true" strokeweight=".995pt" strokecolor="#9c8758">
                <v:path arrowok="t"/>
              </v:shape>
            </v:group>
            <v:group style="position:absolute;left:9773;top:10936;width:586;height:871" coordorigin="9773,10936" coordsize="586,871">
              <v:shape style="position:absolute;left:9773;top:10936;width:586;height:871" coordorigin="9773,10936" coordsize="586,871" path="m10359,11807l9773,10936e" filled="false" stroked="true" strokeweight=".995pt" strokecolor="#9c8758">
                <v:path arrowok="t"/>
              </v:shape>
            </v:group>
            <v:group style="position:absolute;left:10303;top:9717;width:1603;height:1040" coordorigin="10303,9717" coordsize="1603,1040">
              <v:shape style="position:absolute;left:10303;top:9717;width:1603;height:1040" coordorigin="10303,9717" coordsize="1603,1040" path="m11905,10756l10303,9717e" filled="false" stroked="true" strokeweight="1.493pt" strokecolor="#9c8758">
                <v:path arrowok="t"/>
              </v:shape>
            </v:group>
            <v:group style="position:absolute;left:8876;top:7838;width:407;height:407" coordorigin="8876,7838" coordsize="407,407">
              <v:shape style="position:absolute;left:8876;top:7838;width:407;height:407" coordorigin="8876,7838" coordsize="407,407" path="m9102,7838l9024,7844,8954,7879,8901,7941,8876,8019,8883,8097,8918,8167,8980,8220,9057,8245,9135,8238,9205,8203,9258,8141,9283,8064,9277,7985,9241,7915,9180,7862,9102,7838xe" filled="true" fillcolor="#d7000f" stroked="false">
                <v:path arrowok="t"/>
                <v:fill type="solid"/>
              </v:shape>
              <v:shape style="position:absolute;left:7591;top:10852;width:237;height:237" type="#_x0000_t75" stroked="false">
                <v:imagedata r:id="rId5" o:title=""/>
              </v:shape>
              <v:shape style="position:absolute;left:10630;top:4212;width:237;height:237" type="#_x0000_t75" stroked="false">
                <v:imagedata r:id="rId6" o:title=""/>
              </v:shape>
            </v:group>
            <v:group style="position:absolute;left:10460;top:8377;width:733;height:733" coordorigin="10460,8377" coordsize="733,733">
              <v:shape style="position:absolute;left:10460;top:8377;width:733;height:733" coordorigin="10460,8377" coordsize="733,733" path="m10796,8377l10726,8390,10660,8415,10600,8453,10548,8503,10505,8564,10475,8632,10460,8703,10460,8774,10472,8844,10498,8909,10536,8969,10585,9022,10646,9064,10715,9094,10785,9109,10857,9110,10926,9097,10992,9072,11052,9034,11104,8984,11147,8923,11177,8855,11192,8784,11193,8713,11180,8644,11154,8578,11116,8518,11067,8465,11006,8423,10937,8393,10867,8378,10796,8377xe" filled="true" fillcolor="#9c8758" stroked="false">
                <v:path arrowok="t"/>
                <v:fill type="solid"/>
              </v:shape>
            </v:group>
            <v:group style="position:absolute;left:9169;top:5883;width:584;height:584" coordorigin="9169,5883" coordsize="584,584">
              <v:shape style="position:absolute;left:9169;top:5883;width:584;height:584" coordorigin="9169,5883" coordsize="584,584" path="m9456,5883l9382,5894,9313,5923,9254,5969,9207,6032,9178,6105,9169,6180,9180,6254,9210,6322,9256,6382,9319,6429,9391,6458,9467,6466,9540,6455,9609,6426,9669,6379,9716,6317,9745,6244,9753,6169,9742,6095,9713,6027,9666,5967,9604,5920,9531,5891,9456,5883xe" filled="true" fillcolor="#9c8758" stroked="false">
                <v:path arrowok="t"/>
                <v:fill type="solid"/>
              </v:shape>
            </v:group>
            <v:group style="position:absolute;left:5414;top:11455;width:619;height:619" coordorigin="5414,11455" coordsize="619,619">
              <v:shape style="position:absolute;left:5414;top:11455;width:619;height:619" coordorigin="5414,11455" coordsize="619,619" path="m5741,11455l5673,11458,5607,11477,5547,11509,5495,11555,5453,11613,5426,11679,5414,11747,5418,11815,5437,11880,5469,11940,5515,11992,5572,12034,5638,12062,5707,12073,5775,12069,5840,12051,5900,12019,5952,11973,5994,11915,6021,11849,6033,11781,6029,11713,6011,11648,5978,11588,5933,11535,5875,11494,5809,11466,5741,11455xe" filled="true" fillcolor="#9c8758" stroked="false">
                <v:path arrowok="t"/>
                <v:fill type="solid"/>
              </v:shape>
            </v:group>
            <v:group style="position:absolute;left:7919;top:12501;width:776;height:776" coordorigin="7919,12501" coordsize="776,776">
              <v:shape style="position:absolute;left:7919;top:12501;width:776;height:776" coordorigin="7919,12501" coordsize="776,776" path="m8274,12501l8201,12515,8131,12542,8068,12582,8012,12634,7967,12699,7936,12771,7920,12846,7919,12921,7932,12995,7959,13064,7999,13128,8052,13183,8117,13229,8189,13260,8264,13276,8339,13277,8413,13264,8482,13237,8546,13196,8601,13144,8646,13079,8678,13007,8694,12932,8695,12857,8681,12783,8654,12714,8614,12650,8561,12595,8497,12549,8425,12518,8350,12502,8274,12501xe" filled="true" fillcolor="#8c8f90" stroked="false">
                <v:path arrowok="t"/>
                <v:fill type="solid"/>
              </v:shape>
            </v:group>
            <v:group style="position:absolute;left:8399;top:10322;width:558;height:558" coordorigin="8399,10322" coordsize="558,558">
              <v:shape style="position:absolute;left:8399;top:10322;width:558;height:558" coordorigin="8399,10322" coordsize="558,558" path="m8673,10322l8602,10333,8537,10361,8480,10405,8435,10465,8407,10534,8399,10606,8410,10676,8438,10742,8482,10799,8542,10844,8611,10871,8683,10879,8754,10869,8819,10841,8876,10797,8921,10737,8949,10667,8957,10596,8946,10525,8918,10459,8874,10402,8814,10358,8745,10330,8673,10322xe" filled="true" fillcolor="#8c8f90" stroked="false">
                <v:path arrowok="t"/>
                <v:fill type="solid"/>
              </v:shape>
            </v:group>
            <v:group style="position:absolute;left:8705;top:10561;width:685;height:685" coordorigin="8705,10561" coordsize="685,685">
              <v:shape style="position:absolute;left:8705;top:10561;width:685;height:685" coordorigin="8705,10561" coordsize="685,685" path="m9066,10561l8991,10566,8919,10586,8852,10622,8795,10672,8748,10736,8718,10809,8705,10885,8709,10960,8730,11032,8766,11098,8816,11156,8880,11202,8953,11233,9029,11245,9104,11241,9176,11221,9242,11185,9300,11135,9346,11071,9377,10998,9389,10922,9385,10847,9365,10775,9329,10708,9279,10651,9215,10604,9142,10574,9066,10561xe" filled="true" fillcolor="#ffffff" stroked="false">
                <v:path arrowok="t"/>
                <v:fill type="solid"/>
              </v:shape>
            </v:group>
            <v:group style="position:absolute;left:6951;top:4164;width:584;height:584" coordorigin="6951,4164" coordsize="584,584">
              <v:shape style="position:absolute;left:6951;top:4164;width:584;height:584" coordorigin="6951,4164" coordsize="584,584" path="m7237,4164l7164,4175,7095,4204,7035,4251,6988,4314,6960,4386,6951,4461,6962,4535,6991,4604,7038,4664,7100,4711,7173,4739,7248,4748,7322,4737,7391,4708,7451,4661,7498,4598,7526,4526,7535,4451,7524,4377,7494,4308,7448,4248,7385,4201,7313,4173,7237,4164xe" filled="true" fillcolor="#9c8758" stroked="false">
                <v:path arrowok="t"/>
                <v:fill type="solid"/>
              </v:shape>
            </v:group>
            <v:group style="position:absolute;left:5813;top:4937;width:591;height:591" coordorigin="5813,4937" coordsize="591,591">
              <v:shape style="position:absolute;left:5813;top:4937;width:591;height:591" coordorigin="5813,4937" coordsize="591,591" path="m6103,4937l6028,4948,5959,4978,5898,5025,5851,5088,5822,5162,5813,5238,5824,5313,5854,5382,5901,5442,5964,5490,6038,5519,6114,5528,6188,5516,6258,5487,6318,5440,6366,5377,6395,5303,6403,5227,6392,5152,6363,5083,6316,5022,6252,4975,6179,4946,6103,4937xe" filled="true" fillcolor="#8c8f90" stroked="false">
                <v:path arrowok="t"/>
                <v:fill type="solid"/>
              </v:shape>
            </v:group>
            <v:group style="position:absolute;left:8900;top:1926;width:1313;height:1313" coordorigin="8900,1926" coordsize="1313,1313">
              <v:shape style="position:absolute;left:8900;top:1926;width:1313;height:1313" coordorigin="8900,1926" coordsize="1313,1313" path="m9574,1926l9497,1929,9421,1940,9349,1960,9280,1987,9216,2021,9156,2062,9101,2110,9052,2162,9009,2220,8973,2282,8943,2348,8921,2418,8906,2490,8900,2565,8903,2642,8914,2718,8934,2790,8961,2859,8995,2923,9036,2983,9084,3038,9136,3087,9194,3130,9256,3166,9322,3196,9392,3218,9465,3233,9539,3239,9616,3236,9692,3225,9764,3205,9833,3178,9897,3144,9957,3103,10012,3056,10061,3003,10104,2945,10140,2883,10170,2817,10192,2747,10207,2675,10213,2600,10210,2523,10199,2447,10180,2375,10152,2306,10118,2242,10077,2182,10030,2127,9977,2078,9919,2035,9857,1999,9791,1969,9721,1947,9649,1932,9574,1926xe" filled="true" fillcolor="#ffffff" stroked="false">
                <v:path arrowok="t"/>
                <v:fill type="solid"/>
              </v:shape>
            </v:group>
            <v:group style="position:absolute;left:4197;top:7208;width:1273;height:1478" coordorigin="4197,7208" coordsize="1273,1478">
              <v:shape style="position:absolute;left:4197;top:7208;width:1273;height:1478" coordorigin="4197,7208" coordsize="1273,1478" path="m5057,8297l4862,8297,4834,8368,4798,8436,4754,8500,4700,8557,4747,8575,4791,8604,4830,8641,4866,8685,4924,8616,4964,8550,4997,8482,5025,8413,5047,8341,5057,8297xe" filled="true" fillcolor="#d7000f" stroked="false">
                <v:path arrowok="t"/>
                <v:fill type="solid"/>
              </v:shape>
              <v:shape style="position:absolute;left:4197;top:7208;width:1273;height:1478" coordorigin="4197,7208" coordsize="1273,1478" path="m5364,7913l5174,7913,5176,8681,5365,8681,5364,7913xe" filled="true" fillcolor="#d7000f" stroked="false">
                <v:path arrowok="t"/>
                <v:fill type="solid"/>
              </v:shape>
              <v:shape style="position:absolute;left:4197;top:7208;width:1273;height:1478" coordorigin="4197,7208" coordsize="1273,1478" path="m4648,8390l4463,8390,4463,8674,4648,8674,4648,8390xe" filled="true" fillcolor="#d7000f" stroked="false">
                <v:path arrowok="t"/>
                <v:fill type="solid"/>
              </v:shape>
              <v:shape style="position:absolute;left:4197;top:7208;width:1273;height:1478" coordorigin="4197,7208" coordsize="1273,1478" path="m4683,8142l4419,8142,4369,8210,4315,8273,4257,8331,4197,8378,4232,8417,4261,8461,4281,8510,4295,8562,4311,8548,4351,8510,4388,8474,4425,8434,4463,8390,4648,8390,4648,8365,4808,8365,4829,8332,4862,8297,5057,8297,5063,8273,4867,8273,4850,8264,4804,8241,4762,8215,4722,8183,4683,8142xe" filled="true" fillcolor="#d7000f" stroked="false">
                <v:path arrowok="t"/>
                <v:fill type="solid"/>
              </v:shape>
              <v:shape style="position:absolute;left:4197;top:7208;width:1273;height:1478" coordorigin="4197,7208" coordsize="1273,1478" path="m4808,8365l4648,8365,4672,8391,4697,8412,4722,8431,4773,8464,4785,8417,4804,8373,4808,8365xe" filled="true" fillcolor="#d7000f" stroked="false">
                <v:path arrowok="t"/>
                <v:fill type="solid"/>
              </v:shape>
              <v:shape style="position:absolute;left:4197;top:7208;width:1273;height:1478" coordorigin="4197,7208" coordsize="1273,1478" path="m5324,7221l5246,7257,5165,7286,5083,7310,4998,7329,4913,7345,4913,7814,4904,8063,4893,8170,4867,8273,5063,8273,5078,8186,5087,8101,5092,8010,5095,7913,5468,7913,5470,7695,5098,7695,5098,7510,5174,7496,5250,7478,5324,7457,5396,7430,5465,7399,5324,7221xe" filled="true" fillcolor="#d7000f" stroked="false">
                <v:path arrowok="t"/>
                <v:fill type="solid"/>
              </v:shape>
              <v:shape style="position:absolute;left:4197;top:7208;width:1273;height:1478" coordorigin="4197,7208" coordsize="1273,1478" path="m4869,7949l4648,7951,4228,7951,4228,8142,4869,8142,4869,7949xe" filled="true" fillcolor="#d7000f" stroked="false">
                <v:path arrowok="t"/>
                <v:fill type="solid"/>
              </v:shape>
              <v:shape style="position:absolute;left:4197;top:7208;width:1273;height:1478" coordorigin="4197,7208" coordsize="1273,1478" path="m4648,7888l4463,7888,4463,7951,4648,7951,4648,7888xe" filled="true" fillcolor="#d7000f" stroked="false">
                <v:path arrowok="t"/>
                <v:fill type="solid"/>
              </v:shape>
              <v:shape style="position:absolute;left:4197;top:7208;width:1273;height:1478" coordorigin="4197,7208" coordsize="1273,1478" path="m4887,7691l4215,7691,4215,7888,4887,7888,4887,7691xe" filled="true" fillcolor="#d7000f" stroked="false">
                <v:path arrowok="t"/>
                <v:fill type="solid"/>
              </v:shape>
              <v:shape style="position:absolute;left:4197;top:7208;width:1273;height:1478" coordorigin="4197,7208" coordsize="1273,1478" path="m4870,7343l4227,7343,4227,7535,4354,7538,4304,7545,4320,7583,4331,7619,4340,7655,4347,7691,4528,7691,4519,7652,4508,7612,4498,7573,4487,7535,4870,7535,4870,7343xe" filled="true" fillcolor="#d7000f" stroked="false">
                <v:path arrowok="t"/>
                <v:fill type="solid"/>
              </v:shape>
              <v:shape style="position:absolute;left:4197;top:7208;width:1273;height:1478" coordorigin="4197,7208" coordsize="1273,1478" path="m4754,7535l4638,7535,4628,7574,4615,7614,4602,7653,4587,7691,4771,7691,4829,7558,4754,7535xe" filled="true" fillcolor="#d7000f" stroked="false">
                <v:path arrowok="t"/>
                <v:fill type="solid"/>
              </v:shape>
              <v:shape style="position:absolute;left:4197;top:7208;width:1273;height:1478" coordorigin="4197,7208" coordsize="1273,1478" path="m4623,7208l4429,7237,4442,7263,4455,7289,4467,7315,4476,7343,4675,7343,4663,7308,4650,7274,4637,7241,4623,7208xe" filled="true" fillcolor="#d7000f" stroked="false">
                <v:path arrowok="t"/>
                <v:fill type="solid"/>
              </v:shape>
            </v:group>
            <v:group style="position:absolute;left:4463;top:8584;width:161;height:91" coordorigin="4463,8584" coordsize="161,91">
              <v:shape style="position:absolute;left:4463;top:8584;width:161;height:91" coordorigin="4463,8584" coordsize="161,91" path="m4463,8584l4624,8674e" filled="false" stroked="true" strokeweight=".995pt" strokecolor="#8c8f90">
                <v:path arrowok="t"/>
              </v:shape>
            </v:group>
            <v:group style="position:absolute;left:4266;top:8474;width:78;height:44" coordorigin="4266,8474" coordsize="78,44">
              <v:shape style="position:absolute;left:4266;top:8474;width:78;height:44" coordorigin="4266,8474" coordsize="78,44" path="m4266,8474l4344,8517e" filled="false" stroked="true" strokeweight=".995pt" strokecolor="#8c8f90">
                <v:path arrowok="t"/>
              </v:shape>
            </v:group>
            <v:group style="position:absolute;left:4227;top:7343;width:75;height:84" coordorigin="4227,7343" coordsize="75,84">
              <v:shape style="position:absolute;left:4227;top:7343;width:75;height:84" coordorigin="4227,7343" coordsize="75,84" path="m4301,7343l4227,7426e" filled="false" stroked="true" strokeweight=".995pt" strokecolor="#8c8f90">
                <v:path arrowok="t"/>
              </v:shape>
            </v:group>
            <v:group style="position:absolute;left:4227;top:7343;width:130;height:135" coordorigin="4227,7343" coordsize="130,135">
              <v:shape style="position:absolute;left:4227;top:7343;width:130;height:135" coordorigin="4227,7343" coordsize="130,135" path="m4356,7343l4227,7478e" filled="false" stroked="true" strokeweight="1.493pt" strokecolor="#8c8f90">
                <v:path arrowok="t"/>
              </v:shape>
            </v:group>
            <v:group style="position:absolute;left:4439;top:7232;width:25;height:25" coordorigin="4439,7232" coordsize="25,25">
              <v:shape style="position:absolute;left:4439;top:7232;width:25;height:25" coordorigin="4439,7232" coordsize="25,25" path="m4463,7232l4439,7257e" filled="false" stroked="true" strokeweight="1.493pt" strokecolor="#8c8f90">
                <v:path arrowok="t"/>
              </v:shape>
            </v:group>
            <v:group style="position:absolute;left:4323;top:7343;width:347;height:252" coordorigin="4323,7343" coordsize="347,252">
              <v:shape style="position:absolute;left:4323;top:7343;width:347;height:252" coordorigin="4323,7343" coordsize="347,252" path="m4669,7343l4323,7594e" filled="false" stroked="true" strokeweight=".498pt" strokecolor="#9c8758">
                <v:path arrowok="t"/>
              </v:shape>
            </v:group>
            <v:group style="position:absolute;left:4669;top:7340;width:5;height:4" coordorigin="4669,7340" coordsize="5,4">
              <v:shape style="position:absolute;left:4669;top:7340;width:5;height:4" coordorigin="4669,7340" coordsize="5,4" path="m4674,7340l4669,7343e" filled="false" stroked="true" strokeweight=".498pt" strokecolor="#9c8758">
                <v:path arrowok="t"/>
              </v:shape>
            </v:group>
            <v:group style="position:absolute;left:4329;top:7343;width:389;height:270" coordorigin="4329,7343" coordsize="389,270">
              <v:shape style="position:absolute;left:4329;top:7343;width:389;height:270" coordorigin="4329,7343" coordsize="389,270" path="m4718,7343l4329,7612e" filled="false" stroked="true" strokeweight=".498pt" strokecolor="#8c8f90">
                <v:path arrowok="t"/>
              </v:shape>
            </v:group>
            <v:group style="position:absolute;left:4913;top:7283;width:461;height:216" coordorigin="4913,7283" coordsize="461,216">
              <v:shape style="position:absolute;left:4913;top:7283;width:461;height:216" coordorigin="4913,7283" coordsize="461,216" path="m5374,7283l4913,7499e" filled="false" stroked="true" strokeweight=".249pt" strokecolor="#8c8f90">
                <v:path arrowok="t"/>
              </v:shape>
            </v:group>
            <v:group style="position:absolute;left:4215;top:7691;width:285;height:133" coordorigin="4215,7691" coordsize="285,133">
              <v:shape style="position:absolute;left:4215;top:7691;width:285;height:133" coordorigin="4215,7691" coordsize="285,133" path="m4500,7691l4215,7824e" filled="false" stroked="true" strokeweight=".249pt" strokecolor="#8c8f90">
                <v:path arrowok="t"/>
              </v:shape>
            </v:group>
            <v:group style="position:absolute;left:4835;top:7518;width:35;height:17" coordorigin="4835,7518" coordsize="35,17">
              <v:shape style="position:absolute;left:4835;top:7518;width:35;height:17" coordorigin="4835,7518" coordsize="35,17" path="m4870,7518l4835,7535e" filled="false" stroked="true" strokeweight=".249pt" strokecolor="#8c8f90">
                <v:path arrowok="t"/>
              </v:shape>
            </v:group>
            <v:group style="position:absolute;left:4500;top:7680;width:26;height:12" coordorigin="4500,7680" coordsize="26,12">
              <v:shape style="position:absolute;left:4500;top:7680;width:26;height:12" coordorigin="4500,7680" coordsize="26,12" path="m4525,7680l4500,7691e" filled="false" stroked="true" strokeweight=".249pt" strokecolor="#8c8f90">
                <v:path arrowok="t"/>
              </v:shape>
            </v:group>
            <v:group style="position:absolute;left:4606;top:7550;width:198;height:93" coordorigin="4606,7550" coordsize="198,93">
              <v:shape style="position:absolute;left:4606;top:7550;width:198;height:93" coordorigin="4606,7550" coordsize="198,93" path="m4803,7550l4606,7642e" filled="false" stroked="true" strokeweight=".249pt" strokecolor="#8c8f90">
                <v:path arrowok="t"/>
              </v:shape>
            </v:group>
            <v:group style="position:absolute;left:4227;top:7343;width:111;height:118" coordorigin="4227,7343" coordsize="111,118">
              <v:shape style="position:absolute;left:4227;top:7343;width:111;height:118" coordorigin="4227,7343" coordsize="111,118" path="m4337,7343l4227,7460e" filled="false" stroked="true" strokeweight=".498pt" strokecolor="#9c8758">
                <v:path arrowok="t"/>
              </v:shape>
            </v:group>
            <v:group style="position:absolute;left:4431;top:7236;width:6;height:7" coordorigin="4431,7236" coordsize="6,7">
              <v:shape style="position:absolute;left:4431;top:7236;width:6;height:7" coordorigin="4431,7236" coordsize="6,7" path="m4437,7236l4431,7242e" filled="false" stroked="true" strokeweight=".498pt" strokecolor="#9c8758">
                <v:path arrowok="t"/>
              </v:shape>
            </v:group>
            <v:group style="position:absolute;left:4260;top:7343;width:217;height:193" coordorigin="4260,7343" coordsize="217,193">
              <v:shape style="position:absolute;left:4260;top:7343;width:217;height:193" coordorigin="4260,7343" coordsize="217,193" path="m4477,7343l4260,7535e" filled="false" stroked="true" strokeweight=".249pt" strokecolor="#8c8f90">
                <v:path arrowok="t"/>
              </v:shape>
            </v:group>
            <v:group style="position:absolute;left:4477;top:7212;width:148;height:132" coordorigin="4477,7212" coordsize="148,132">
              <v:shape style="position:absolute;left:4477;top:7212;width:148;height:132" coordorigin="4477,7212" coordsize="148,132" path="m4624,7212l4477,7343e" filled="false" stroked="true" strokeweight=".249pt" strokecolor="#8c8f90">
                <v:path arrowok="t"/>
              </v:shape>
            </v:group>
            <v:group style="position:absolute;left:4227;top:7343;width:30;height:36" coordorigin="4227,7343" coordsize="30,36">
              <v:shape style="position:absolute;left:4227;top:7343;width:30;height:36" coordorigin="4227,7343" coordsize="30,36" path="m4256,7343l4227,7379e" filled="false" stroked="true" strokeweight=".995pt" strokecolor="#8c8f90">
                <v:path arrowok="t"/>
              </v:shape>
            </v:group>
            <v:group style="position:absolute;left:4294;top:7343;width:229;height:194" coordorigin="4294,7343" coordsize="229,194">
              <v:shape style="position:absolute;left:4294;top:7343;width:229;height:194" coordorigin="4294,7343" coordsize="229,194" path="m4522,7343l4294,7536e" filled="false" stroked="true" strokeweight=".995pt" strokecolor="#8c8f90">
                <v:path arrowok="t"/>
              </v:shape>
            </v:group>
            <v:group style="position:absolute;left:4522;top:7296;width:56;height:47" coordorigin="4522,7296" coordsize="56,47">
              <v:shape style="position:absolute;left:4522;top:7296;width:56;height:47" coordorigin="4522,7296" coordsize="56,47" path="m4578,7296l4522,7343e" filled="false" stroked="true" strokeweight=".995pt" strokecolor="#8c8f90">
                <v:path arrowok="t"/>
              </v:shape>
            </v:group>
            <v:group style="position:absolute;left:4348;top:7343;width:250;height:195" coordorigin="4348,7343" coordsize="250,195">
              <v:shape style="position:absolute;left:4348;top:7343;width:250;height:195" coordorigin="4348,7343" coordsize="250,195" path="m4598,7343l4348,7538e" filled="false" stroked="true" strokeweight="1.493pt" strokecolor="#8c8f90">
                <v:path arrowok="t"/>
              </v:shape>
            </v:group>
            <v:group style="position:absolute;left:4312;top:7539;width:34;height:27" coordorigin="4312,7539" coordsize="34,27">
              <v:shape style="position:absolute;left:4312;top:7539;width:34;height:27" coordorigin="4312,7539" coordsize="34,27" path="m4346,7539l4312,7565e" filled="false" stroked="true" strokeweight="1.493pt" strokecolor="#8c8f90">
                <v:path arrowok="t"/>
              </v:shape>
            </v:group>
            <v:group style="position:absolute;left:4598;top:7296;width:61;height:48" coordorigin="4598,7296" coordsize="61,48">
              <v:shape style="position:absolute;left:4598;top:7296;width:61;height:48" coordorigin="4598,7296" coordsize="61,48" path="m4658,7296l4598,7343e" filled="false" stroked="true" strokeweight="1.493pt" strokecolor="#8c8f90">
                <v:path arrowok="t"/>
              </v:shape>
            </v:group>
            <v:group style="position:absolute;left:4227;top:7343;width:175;height:171" coordorigin="4227,7343" coordsize="175,171">
              <v:shape style="position:absolute;left:4227;top:7343;width:175;height:171" coordorigin="4227,7343" coordsize="175,171" path="m4401,7343l4227,7513e" filled="false" stroked="true" strokeweight=".498pt" strokecolor="#9c8758">
                <v:path arrowok="t"/>
              </v:shape>
            </v:group>
            <v:group style="position:absolute;left:4456;top:7223;width:69;height:67" coordorigin="4456,7223" coordsize="69,67">
              <v:shape style="position:absolute;left:4456;top:7223;width:69;height:67" coordorigin="4456,7223" coordsize="69,67" path="m4524,7223l4456,7290e" filled="false" stroked="true" strokeweight=".498pt" strokecolor="#9c8758">
                <v:path arrowok="t"/>
              </v:shape>
            </v:group>
            <v:group style="position:absolute;left:4299;top:7343;width:242;height:194" coordorigin="4299,7343" coordsize="242,194">
              <v:shape style="position:absolute;left:4299;top:7343;width:242;height:194" coordorigin="4299,7343" coordsize="242,194" path="m4540,7343l4299,7536e" filled="false" stroked="true" strokeweight=".498pt" strokecolor="#9c8758">
                <v:path arrowok="t"/>
              </v:shape>
            </v:group>
            <v:group style="position:absolute;left:4540;top:7260;width:105;height:84" coordorigin="4540,7260" coordsize="105,84">
              <v:shape style="position:absolute;left:4540;top:7260;width:105;height:84" coordorigin="4540,7260" coordsize="105,84" path="m4645,7260l4540,7343e" filled="false" stroked="true" strokeweight=".498pt" strokecolor="#9c8758">
                <v:path arrowok="t"/>
              </v:shape>
            </v:group>
            <v:group style="position:absolute;left:4227;top:7343;width:207;height:192" coordorigin="4227,7343" coordsize="207,192">
              <v:shape style="position:absolute;left:4227;top:7343;width:207;height:192" coordorigin="4227,7343" coordsize="207,192" path="m4433,7343l4227,7534e" filled="false" stroked="true" strokeweight=".995pt" strokecolor="#9c8758">
                <v:path arrowok="t"/>
              </v:shape>
            </v:group>
            <v:group style="position:absolute;left:4466;top:7216;width:106;height:98" coordorigin="4466,7216" coordsize="106,98">
              <v:shape style="position:absolute;left:4466;top:7216;width:106;height:98" coordorigin="4466,7216" coordsize="106,98" path="m4571,7216l4466,7313e" filled="false" stroked="true" strokeweight=".995pt" strokecolor="#9c8758">
                <v:path arrowok="t"/>
              </v:shape>
            </v:group>
            <v:group style="position:absolute;left:4841;top:8349;width:192;height:40" coordorigin="4841,8349" coordsize="192,40">
              <v:shape style="position:absolute;left:4841;top:8349;width:192;height:40" coordorigin="4841,8349" coordsize="192,40" path="m4841,8349l5033,8388e" filled="false" stroked="true" strokeweight=".995pt" strokecolor="#8c8f90">
                <v:path arrowok="t"/>
              </v:shape>
            </v:group>
            <v:group style="position:absolute;left:5175;top:8418;width:190;height:40" coordorigin="5175,8418" coordsize="190,40">
              <v:shape style="position:absolute;left:5175;top:8418;width:190;height:40" coordorigin="5175,8418" coordsize="190,40" path="m5175,8418l5365,8457e" filled="false" stroked="true" strokeweight=".995pt" strokecolor="#8c8f90">
                <v:path arrowok="t"/>
              </v:shape>
            </v:group>
            <v:group style="position:absolute;left:4338;top:8246;width:483;height:100" coordorigin="4338,8246" coordsize="483,100">
              <v:shape style="position:absolute;left:4338;top:8246;width:483;height:100" coordorigin="4338,8246" coordsize="483,100" path="m4338,8246l4821,8345e" filled="false" stroked="true" strokeweight=".995pt" strokecolor="#8c8f90">
                <v:path arrowok="t"/>
              </v:shape>
            </v:group>
            <v:group style="position:absolute;left:4780;top:8462;width:197;height:62" coordorigin="4780,8462" coordsize="197,62">
              <v:shape style="position:absolute;left:4780;top:8462;width:197;height:62" coordorigin="4780,8462" coordsize="197,62" path="m4780,8462l4977,8524e" filled="false" stroked="true" strokeweight="1.493pt" strokecolor="#9c8758">
                <v:path arrowok="t"/>
              </v:shape>
            </v:group>
            <v:group style="position:absolute;left:5175;top:8587;width:190;height:60" coordorigin="5175,8587" coordsize="190,60">
              <v:shape style="position:absolute;left:5175;top:8587;width:190;height:60" coordorigin="5175,8587" coordsize="190,60" path="m5175,8587l5365,8646e" filled="false" stroked="true" strokeweight="1.493pt" strokecolor="#9c8758">
                <v:path arrowok="t"/>
              </v:shape>
            </v:group>
            <v:group style="position:absolute;left:4551;top:8390;width:98;height:31" coordorigin="4551,8390" coordsize="98,31">
              <v:shape style="position:absolute;left:4551;top:8390;width:98;height:31" coordorigin="4551,8390" coordsize="98,31" path="m4551,8390l4648,8421e" filled="false" stroked="true" strokeweight="1.493pt" strokecolor="#9c8758">
                <v:path arrowok="t"/>
              </v:shape>
            </v:group>
            <v:group style="position:absolute;left:4282;top:8305;width:269;height:85" coordorigin="4282,8305" coordsize="269,85">
              <v:shape style="position:absolute;left:4282;top:8305;width:269;height:85" coordorigin="4282,8305" coordsize="269,85" path="m4282,8305l4551,8390e" filled="false" stroked="true" strokeweight="1.493pt" strokecolor="#9c8758">
                <v:path arrowok="t"/>
              </v:shape>
            </v:group>
            <v:group style="position:absolute;left:4760;top:8456;width:14;height:5" coordorigin="4760,8456" coordsize="14,5">
              <v:shape style="position:absolute;left:4760;top:8456;width:14;height:5" coordorigin="4760,8456" coordsize="14,5" path="m4760,8456l4774,8460e" filled="false" stroked="true" strokeweight="1.493pt" strokecolor="#9c8758">
                <v:path arrowok="t"/>
              </v:shape>
            </v:group>
            <v:group style="position:absolute;left:5006;top:8297;width:50;height:8" coordorigin="5006,8297" coordsize="50,8">
              <v:shape style="position:absolute;left:5006;top:8297;width:50;height:8" coordorigin="5006,8297" coordsize="50,8" path="m5006,8297l5056,8305e" filled="false" stroked="true" strokeweight=".995pt" strokecolor="#8c8f90">
                <v:path arrowok="t"/>
              </v:shape>
            </v:group>
            <v:group style="position:absolute;left:5175;top:8322;width:190;height:28" coordorigin="5175,8322" coordsize="190,28">
              <v:shape style="position:absolute;left:5175;top:8322;width:190;height:28" coordorigin="5175,8322" coordsize="190,28" path="m5175,8322l5364,8349e" filled="false" stroked="true" strokeweight=".995pt" strokecolor="#8c8f90">
                <v:path arrowok="t"/>
              </v:shape>
            </v:group>
            <v:group style="position:absolute;left:4371;top:8206;width:635;height:92" coordorigin="4371,8206" coordsize="635,92">
              <v:shape style="position:absolute;left:4371;top:8206;width:635;height:92" coordorigin="4371,8206" coordsize="635,92" path="m4371,8206l5006,8297e" filled="false" stroked="true" strokeweight=".995pt" strokecolor="#8c8f90">
                <v:path arrowok="t"/>
              </v:shape>
            </v:group>
            <v:group style="position:absolute;left:5175;top:8269;width:190;height:21" coordorigin="5175,8269" coordsize="190,21">
              <v:shape style="position:absolute;left:5175;top:8269;width:190;height:21" coordorigin="5175,8269" coordsize="190,21" path="m5175,8269l5364,8290e" filled="false" stroked="true" strokeweight=".995pt" strokecolor="#8c8f90">
                <v:path arrowok="t"/>
              </v:shape>
            </v:group>
            <v:group style="position:absolute;left:4389;top:8183;width:391;height:43" coordorigin="4389,8183" coordsize="391,43">
              <v:shape style="position:absolute;left:4389;top:8183;width:391;height:43" coordorigin="4389,8183" coordsize="391,43" path="m4389,8183l4780,8226e" filled="false" stroked="true" strokeweight=".995pt" strokecolor="#8c8f90">
                <v:path arrowok="t"/>
              </v:shape>
            </v:group>
            <v:group style="position:absolute;left:4877;top:8237;width:189;height:21" coordorigin="4877,8237" coordsize="189,21">
              <v:shape style="position:absolute;left:4877;top:8237;width:189;height:21" coordorigin="4877,8237" coordsize="189,21" path="m4877,8237l5066,8257e" filled="false" stroked="true" strokeweight=".995pt" strokecolor="#8c8f90">
                <v:path arrowok="t"/>
              </v:shape>
            </v:group>
            <v:group style="position:absolute;left:4402;top:8165;width:332;height:29" coordorigin="4402,8165" coordsize="332,29">
              <v:shape style="position:absolute;left:4402;top:8165;width:332;height:29" coordorigin="4402,8165" coordsize="332,29" path="m4402,8165l4734,8193e" filled="false" stroked="true" strokeweight=".995pt" strokecolor="#9c8758">
                <v:path arrowok="t"/>
              </v:shape>
            </v:group>
            <v:group style="position:absolute;left:4885;top:8206;width:20;height:2" coordorigin="4885,8206" coordsize="20,2">
              <v:shape style="position:absolute;left:4885;top:8206;width:20;height:2" coordorigin="4885,8206" coordsize="20,2" path="m4885,8206l4904,8207e" filled="false" stroked="true" strokeweight=".995pt" strokecolor="#9c8758">
                <v:path arrowok="t"/>
              </v:shape>
            </v:group>
            <v:group style="position:absolute;left:4819;top:8397;width:194;height:49" coordorigin="4819,8397" coordsize="194,49">
              <v:shape style="position:absolute;left:4819;top:8397;width:194;height:49" coordorigin="4819,8397" coordsize="194,49" path="m4819,8397l5012,8445e" filled="false" stroked="true" strokeweight="1.493pt" strokecolor="#9c8758">
                <v:path arrowok="t"/>
              </v:shape>
            </v:group>
            <v:group style="position:absolute;left:5175;top:8486;width:190;height:48" coordorigin="5175,8486" coordsize="190,48">
              <v:shape style="position:absolute;left:5175;top:8486;width:190;height:48" coordorigin="5175,8486" coordsize="190,48" path="m5175,8486l5365,8533e" filled="false" stroked="true" strokeweight="1.493pt" strokecolor="#9c8758">
                <v:path arrowok="t"/>
              </v:shape>
            </v:group>
            <v:group style="position:absolute;left:4316;top:8271;width:376;height:94" coordorigin="4316,8271" coordsize="376,94">
              <v:shape style="position:absolute;left:4316;top:8271;width:376;height:94" coordorigin="4316,8271" coordsize="376,94" path="m4316,8271l4692,8365e" filled="false" stroked="true" strokeweight="1.493pt" strokecolor="#9c8758">
                <v:path arrowok="t"/>
              </v:shape>
            </v:group>
            <v:group style="position:absolute;left:4692;top:8365;width:105;height:27" coordorigin="4692,8365" coordsize="105,27">
              <v:shape style="position:absolute;left:4692;top:8365;width:105;height:27" coordorigin="4692,8365" coordsize="105,27" path="m4692,8365l4796,8391e" filled="false" stroked="true" strokeweight="1.493pt" strokecolor="#9c8758">
                <v:path arrowok="t"/>
              </v:shape>
            </v:group>
            <v:group style="position:absolute;left:4911;top:7751;width:559;height:104" coordorigin="4911,7751" coordsize="559,104">
              <v:shape style="position:absolute;left:4911;top:7751;width:559;height:104" coordorigin="4911,7751" coordsize="559,104" path="m4911,7855l5469,7751e" filled="false" stroked="true" strokeweight=".498pt" strokecolor="#8c8f90">
                <v:path arrowok="t"/>
              </v:shape>
            </v:group>
            <v:group style="position:absolute;left:4228;top:7951;width:169;height:32" coordorigin="4228,7951" coordsize="169,32">
              <v:shape style="position:absolute;left:4228;top:7951;width:169;height:32" coordorigin="4228,7951" coordsize="169,32" path="m4228,7982l4396,7951e" filled="false" stroked="true" strokeweight=".498pt" strokecolor="#8c8f90">
                <v:path arrowok="t"/>
              </v:shape>
            </v:group>
            <v:group style="position:absolute;left:4463;top:7904;width:186;height:35" coordorigin="4463,7904" coordsize="186,35">
              <v:shape style="position:absolute;left:4463;top:7904;width:186;height:35" coordorigin="4463,7904" coordsize="186,35" path="m4463,7938l4648,7904e" filled="false" stroked="true" strokeweight=".498pt" strokecolor="#8c8f90">
                <v:path arrowok="t"/>
              </v:shape>
            </v:group>
            <v:group style="position:absolute;left:4734;top:7860;width:153;height:29" coordorigin="4734,7860" coordsize="153,29">
              <v:shape style="position:absolute;left:4734;top:7860;width:153;height:29" coordorigin="4734,7860" coordsize="153,29" path="m4734,7888l4887,7860e" filled="false" stroked="true" strokeweight=".498pt" strokecolor="#8c8f90">
                <v:path arrowok="t"/>
              </v:shape>
            </v:group>
            <v:group style="position:absolute;left:4913;top:7695;width:332;height:83" coordorigin="4913,7695" coordsize="332,83">
              <v:shape style="position:absolute;left:4913;top:7695;width:332;height:83" coordorigin="4913,7695" coordsize="332,83" path="m4913,7778l5244,7695e" filled="false" stroked="true" strokeweight="1.493pt" strokecolor="#8c8f90">
                <v:path arrowok="t"/>
              </v:shape>
            </v:group>
            <v:group style="position:absolute;left:4463;top:7888;width:9;height:3" coordorigin="4463,7888" coordsize="9,3">
              <v:shape style="position:absolute;left:4463;top:7888;width:9;height:3" coordorigin="4463,7888" coordsize="9,3" path="m4463,7890l4472,7888e" filled="false" stroked="true" strokeweight="1.493pt" strokecolor="#8c8f90">
                <v:path arrowok="t"/>
              </v:shape>
            </v:group>
            <v:group style="position:absolute;left:4472;top:7784;width:416;height:104" coordorigin="4472,7784" coordsize="416,104">
              <v:shape style="position:absolute;left:4472;top:7784;width:416;height:104" coordorigin="4472,7784" coordsize="416,104" path="m4472,7888l4887,7784e" filled="false" stroked="true" strokeweight="1.493pt" strokecolor="#8c8f90">
                <v:path arrowok="t"/>
              </v:shape>
            </v:group>
            <v:group style="position:absolute;left:4805;top:8423;width:195;height:54" coordorigin="4805,8423" coordsize="195,54">
              <v:shape style="position:absolute;left:4805;top:8423;width:195;height:54" coordorigin="4805,8423" coordsize="195,54" path="m4805,8423l5000,8477e" filled="false" stroked="true" strokeweight=".995pt" strokecolor="#9c8758">
                <v:path arrowok="t"/>
              </v:shape>
            </v:group>
            <v:group style="position:absolute;left:5175;top:8525;width:190;height:53" coordorigin="5175,8525" coordsize="190,53">
              <v:shape style="position:absolute;left:5175;top:8525;width:190;height:53" coordorigin="5175,8525" coordsize="190,53" path="m5175,8525l5365,8577e" filled="false" stroked="true" strokeweight=".995pt" strokecolor="#9c8758">
                <v:path arrowok="t"/>
              </v:shape>
            </v:group>
            <v:group style="position:absolute;left:4303;top:8285;width:346;height:95" coordorigin="4303,8285" coordsize="346,95">
              <v:shape style="position:absolute;left:4303;top:8285;width:346;height:95" coordorigin="4303,8285" coordsize="346,95" path="m4303,8285l4648,8380e" filled="false" stroked="true" strokeweight=".995pt" strokecolor="#9c8758">
                <v:path arrowok="t"/>
              </v:shape>
            </v:group>
            <v:group style="position:absolute;left:4667;top:8385;width:119;height:33" coordorigin="4667,8385" coordsize="119,33">
              <v:shape style="position:absolute;left:4667;top:8385;width:119;height:33" coordorigin="4667,8385" coordsize="119,33" path="m4667,8385l4785,8418e" filled="false" stroked="true" strokeweight=".995pt" strokecolor="#9c8758">
                <v:path arrowok="t"/>
              </v:shape>
            </v:group>
            <v:group style="position:absolute;left:4228;top:8061;width:173;height:9" coordorigin="4228,8061" coordsize="173,9">
              <v:shape style="position:absolute;left:4228;top:8061;width:173;height:9" coordorigin="4228,8061" coordsize="173,9" path="m4228,8070l4401,8061e" filled="false" stroked="true" strokeweight=".995pt" strokecolor="#8c8f90">
                <v:path arrowok="t"/>
              </v:shape>
            </v:group>
            <v:group style="position:absolute;left:5175;top:8167;width:190;height:9" coordorigin="5175,8167" coordsize="190,9">
              <v:shape style="position:absolute;left:5175;top:8167;width:190;height:9" coordorigin="5175,8167" coordsize="190,9" path="m5175,8167l5364,8176e" filled="false" stroked="true" strokeweight="1.493pt" strokecolor="#8c8f90">
                <v:path arrowok="t"/>
              </v:shape>
            </v:group>
            <v:group style="position:absolute;left:4605;top:8142;width:83;height:4" coordorigin="4605,8142" coordsize="83,4">
              <v:shape style="position:absolute;left:4605;top:8142;width:83;height:4" coordorigin="4605,8142" coordsize="83,4" path="m4605,8142l4687,8146e" filled="false" stroked="true" strokeweight="1.493pt" strokecolor="#8c8f90">
                <v:path arrowok="t"/>
              </v:shape>
            </v:group>
            <v:group style="position:absolute;left:4895;top:8155;width:186;height:9" coordorigin="4895,8155" coordsize="186,9">
              <v:shape style="position:absolute;left:4895;top:8155;width:186;height:9" coordorigin="4895,8155" coordsize="186,9" path="m4895,8155l5080,8163e" filled="false" stroked="true" strokeweight="1.493pt" strokecolor="#8c8f90">
                <v:path arrowok="t"/>
              </v:shape>
            </v:group>
            <v:group style="position:absolute;left:4228;top:8126;width:377;height:17" coordorigin="4228,8126" coordsize="377,17">
              <v:shape style="position:absolute;left:4228;top:8126;width:377;height:17" coordorigin="4228,8126" coordsize="377,17" path="m4228,8126l4605,8142e" filled="false" stroked="true" strokeweight="1.493pt" strokecolor="#8c8f90">
                <v:path arrowok="t"/>
              </v:shape>
            </v:group>
            <v:group style="position:absolute;left:5409;top:7881;width:60;height:8" coordorigin="5409,7881" coordsize="60,8">
              <v:shape style="position:absolute;left:5409;top:7881;width:60;height:8" coordorigin="5409,7881" coordsize="60,8" path="m5409,7888l5469,7881e" filled="false" stroked="true" strokeweight=".995pt" strokecolor="#9c8758">
                <v:path arrowok="t"/>
              </v:shape>
            </v:group>
            <v:group style="position:absolute;left:5174;top:8071;width:190;height:4" coordorigin="5174,8071" coordsize="190,4">
              <v:shape style="position:absolute;left:5174;top:8071;width:190;height:4" coordorigin="5174,8071" coordsize="190,4" path="m5174,8074l5364,8071e" filled="false" stroked="true" strokeweight="1.493pt" strokecolor="#8c8f90">
                <v:path arrowok="t"/>
              </v:shape>
            </v:group>
            <v:group style="position:absolute;left:4903;top:8076;width:186;height:3" coordorigin="4903,8076" coordsize="186,3">
              <v:shape style="position:absolute;left:4903;top:8076;width:186;height:3" coordorigin="4903,8076" coordsize="186,3" path="m4903,8079l5088,8076e" filled="false" stroked="true" strokeweight="1.493pt" strokecolor="#8c8f90">
                <v:path arrowok="t"/>
              </v:shape>
            </v:group>
            <v:group style="position:absolute;left:4228;top:8079;width:641;height:11" coordorigin="4228,8079" coordsize="641,11">
              <v:shape style="position:absolute;left:4228;top:8079;width:641;height:11" coordorigin="4228,8079" coordsize="641,11" path="m4228,8089l4869,8079e" filled="false" stroked="true" strokeweight="1.493pt" strokecolor="#8c8f90">
                <v:path arrowok="t"/>
              </v:shape>
            </v:group>
            <v:group style="position:absolute;left:4913;top:7272;width:452;height:216" coordorigin="4913,7272" coordsize="452,216">
              <v:shape style="position:absolute;left:4913;top:7272;width:452;height:216" coordorigin="4913,7272" coordsize="452,216" path="m4913,7487l5364,7272e" filled="false" stroked="true" strokeweight=".995pt" strokecolor="#8c8f90">
                <v:path arrowok="t"/>
              </v:shape>
            </v:group>
            <v:group style="position:absolute;left:4215;top:7691;width:268;height:128" coordorigin="4215,7691" coordsize="268,128">
              <v:shape style="position:absolute;left:4215;top:7691;width:268;height:128" coordorigin="4215,7691" coordsize="268,128" path="m4215,7819l4483,7691e" filled="false" stroked="true" strokeweight=".995pt" strokecolor="#8c8f90">
                <v:path arrowok="t"/>
              </v:shape>
            </v:group>
            <v:group style="position:absolute;left:4483;top:7672;width:41;height:20" coordorigin="4483,7672" coordsize="41,20">
              <v:shape style="position:absolute;left:4483;top:7672;width:41;height:20" coordorigin="4483,7672" coordsize="41,20" path="m4483,7691l4523,7672e" filled="false" stroked="true" strokeweight=".995pt" strokecolor="#8c8f90">
                <v:path arrowok="t"/>
              </v:shape>
            </v:group>
            <v:group style="position:absolute;left:4812;top:7507;width:58;height:28" coordorigin="4812,7507" coordsize="58,28">
              <v:shape style="position:absolute;left:4812;top:7507;width:58;height:28" coordorigin="4812,7507" coordsize="58,28" path="m4812,7535l4870,7507e" filled="false" stroked="true" strokeweight=".995pt" strokecolor="#8c8f90">
                <v:path arrowok="t"/>
              </v:shape>
            </v:group>
            <v:group style="position:absolute;left:4609;top:7546;width:181;height:86" coordorigin="4609,7546" coordsize="181,86">
              <v:shape style="position:absolute;left:4609;top:7546;width:181;height:86" coordorigin="4609,7546" coordsize="181,86" path="m4609,7631l4789,7546e" filled="false" stroked="true" strokeweight=".995pt" strokecolor="#8c8f90">
                <v:path arrowok="t"/>
              </v:shape>
            </v:group>
            <v:group style="position:absolute;left:4913;top:7575;width:186;height:67" coordorigin="4913,7575" coordsize="186,67">
              <v:shape style="position:absolute;left:4913;top:7575;width:186;height:67" coordorigin="4913,7575" coordsize="186,67" path="m4913,7641l5098,7575e" filled="false" stroked="true" strokeweight="1.493pt" strokecolor="#8c8f90">
                <v:path arrowok="t"/>
              </v:shape>
            </v:group>
            <v:group style="position:absolute;left:4219;top:7691;width:552;height:197" coordorigin="4219,7691" coordsize="552,197">
              <v:shape style="position:absolute;left:4219;top:7691;width:552;height:197" coordorigin="4219,7691" coordsize="552,197" path="m4219,7888l4770,7691e" filled="false" stroked="true" strokeweight="1.493pt" strokecolor="#8c8f90">
                <v:path arrowok="t"/>
              </v:shape>
            </v:group>
            <v:group style="position:absolute;left:4770;top:7691;width:2;height:2" coordorigin="4770,7691" coordsize="2,2">
              <v:shape style="position:absolute;left:4770;top:7691;width:2;height:2" coordorigin="4770,7691" coordsize="1,1" path="m4770,7691l4771,7691e" filled="false" stroked="true" strokeweight="1.493pt" strokecolor="#8c8f90">
                <v:path arrowok="t"/>
              </v:shape>
            </v:group>
            <v:group style="position:absolute;left:4826;top:8383;width:194;height:45" coordorigin="4826,8383" coordsize="194,45">
              <v:shape style="position:absolute;left:4826;top:8383;width:194;height:45" coordorigin="4826,8383" coordsize="194,45" path="m5019,8428l4826,8383e" filled="false" stroked="true" strokeweight=".498pt" strokecolor="#9c8758">
                <v:path arrowok="t"/>
              </v:shape>
            </v:group>
            <v:group style="position:absolute;left:5175;top:8464;width:190;height:44" coordorigin="5175,8464" coordsize="190,44">
              <v:shape style="position:absolute;left:5175;top:8464;width:190;height:44" coordorigin="5175,8464" coordsize="190,44" path="m5365,8508l5175,8464e" filled="false" stroked="true" strokeweight=".498pt" strokecolor="#9c8758">
                <v:path arrowok="t"/>
              </v:shape>
            </v:group>
            <v:group style="position:absolute;left:4321;top:8266;width:428;height:99" coordorigin="4321,8266" coordsize="428,99">
              <v:shape style="position:absolute;left:4321;top:8266;width:428;height:99" coordorigin="4321,8266" coordsize="428,99" path="m4748,8365l4321,8266e" filled="false" stroked="true" strokeweight=".498pt" strokecolor="#9c8758">
                <v:path arrowok="t"/>
              </v:shape>
            </v:group>
            <v:group style="position:absolute;left:4748;top:8365;width:54;height:13" coordorigin="4748,8365" coordsize="54,13">
              <v:shape style="position:absolute;left:4748;top:8365;width:54;height:13" coordorigin="4748,8365" coordsize="54,13" path="m4802,8378l4748,8365e" filled="false" stroked="true" strokeweight=".498pt" strokecolor="#9c8758">
                <v:path arrowok="t"/>
              </v:shape>
            </v:group>
            <v:group style="position:absolute;left:4858;top:8308;width:191;height:33" coordorigin="4858,8308" coordsize="191,33">
              <v:shape style="position:absolute;left:4858;top:8308;width:191;height:33" coordorigin="4858,8308" coordsize="191,33" path="m5048,8340l4858,8308e" filled="false" stroked="true" strokeweight=".498pt" strokecolor="#9c8758">
                <v:path arrowok="t"/>
              </v:shape>
            </v:group>
            <v:group style="position:absolute;left:5175;top:8361;width:190;height:33" coordorigin="5175,8361" coordsize="190,33">
              <v:shape style="position:absolute;left:5175;top:8361;width:190;height:33" coordorigin="5175,8361" coordsize="190,33" path="m5365,8393l5175,8361e" filled="false" stroked="true" strokeweight=".498pt" strokecolor="#9c8758">
                <v:path arrowok="t"/>
              </v:shape>
            </v:group>
            <v:group style="position:absolute;left:4358;top:8223;width:496;height:84" coordorigin="4358,8223" coordsize="496,84">
              <v:shape style="position:absolute;left:4358;top:8223;width:496;height:84" coordorigin="4358,8223" coordsize="496,84" path="m4853,8307l4358,8223e" filled="false" stroked="true" strokeweight=".498pt" strokecolor="#9c8758">
                <v:path arrowok="t"/>
              </v:shape>
            </v:group>
            <v:group style="position:absolute;left:4751;top:8503;width:198;height:72" coordorigin="4751,8503" coordsize="198,72">
              <v:shape style="position:absolute;left:4751;top:8503;width:198;height:72" coordorigin="4751,8503" coordsize="198,72" path="m4949,8574l4751,8503e" filled="false" stroked="true" strokeweight=".249pt" strokecolor="#8c8f90">
                <v:path arrowok="t"/>
              </v:shape>
            </v:group>
            <v:group style="position:absolute;left:5175;top:8656;width:70;height:25" coordorigin="5175,8656" coordsize="70,25">
              <v:shape style="position:absolute;left:5175;top:8656;width:70;height:25" coordorigin="5175,8656" coordsize="70,25" path="m5245,8681l5175,8656e" filled="false" stroked="true" strokeweight=".249pt" strokecolor="#8c8f90">
                <v:path arrowok="t"/>
              </v:shape>
            </v:group>
            <v:group style="position:absolute;left:4463;top:8399;width:186;height:67" coordorigin="4463,8399" coordsize="186,67">
              <v:shape style="position:absolute;left:4463;top:8399;width:186;height:67" coordorigin="4463,8399" coordsize="186,67" path="m4648,8466l4463,8399e" filled="false" stroked="true" strokeweight=".249pt" strokecolor="#8c8f90">
                <v:path arrowok="t"/>
              </v:shape>
            </v:group>
            <v:group style="position:absolute;left:4261;top:8327;width:196;height:71" coordorigin="4261,8327" coordsize="196,71">
              <v:shape style="position:absolute;left:4261;top:8327;width:196;height:71" coordorigin="4261,8327" coordsize="196,71" path="m4457,8397l4261,8327e" filled="false" stroked="true" strokeweight=".249pt" strokecolor="#8c8f90">
                <v:path arrowok="t"/>
              </v:shape>
            </v:group>
            <v:group style="position:absolute;left:4815;top:8627;width:74;height:33" coordorigin="4815,8627" coordsize="74,33">
              <v:shape style="position:absolute;left:4815;top:8627;width:74;height:33" coordorigin="4815,8627" coordsize="74,33" path="m4888,8659l4815,8627e" filled="false" stroked="true" strokeweight=".249pt" strokecolor="#8c8f90">
                <v:path arrowok="t"/>
              </v:shape>
            </v:group>
            <v:group style="position:absolute;left:4463;top:8470;width:186;height:83" coordorigin="4463,8470" coordsize="186,83">
              <v:shape style="position:absolute;left:4463;top:8470;width:186;height:83" coordorigin="4463,8470" coordsize="186,83" path="m4648,8553l4463,8470e" filled="false" stroked="true" strokeweight=".249pt" strokecolor="#8c8f90">
                <v:path arrowok="t"/>
              </v:shape>
            </v:group>
            <v:group style="position:absolute;left:4218;top:8362;width:195;height:87" coordorigin="4218,8362" coordsize="195,87">
              <v:shape style="position:absolute;left:4218;top:8362;width:195;height:87" coordorigin="4218,8362" coordsize="195,87" path="m4412,8448l4218,8362e" filled="false" stroked="true" strokeweight=".249pt" strokecolor="#8c8f90">
                <v:path arrowok="t"/>
              </v:shape>
            </v:group>
            <v:group style="position:absolute;left:4762;top:8585;width:139;height:60" coordorigin="4762,8585" coordsize="139,60">
              <v:shape style="position:absolute;left:4762;top:8585;width:139;height:60" coordorigin="4762,8585" coordsize="139,60" path="m4762,8585l4900,8644e" filled="false" stroked="true" strokeweight=".995pt" strokecolor="#9c8758">
                <v:path arrowok="t"/>
              </v:shape>
            </v:group>
            <v:group style="position:absolute;left:4463;top:8457;width:186;height:80" coordorigin="4463,8457" coordsize="186,80">
              <v:shape style="position:absolute;left:4463;top:8457;width:186;height:80" coordorigin="4463,8457" coordsize="186,80" path="m4463,8457l4648,8536e" filled="false" stroked="true" strokeweight=".995pt" strokecolor="#9c8758">
                <v:path arrowok="t"/>
              </v:shape>
            </v:group>
            <v:group style="position:absolute;left:4226;top:8355;width:196;height:84" coordorigin="4226,8355" coordsize="196,84">
              <v:shape style="position:absolute;left:4226;top:8355;width:196;height:84" coordorigin="4226,8355" coordsize="196,84" path="m4226,8355l4421,8439e" filled="false" stroked="true" strokeweight=".995pt" strokecolor="#9c8758">
                <v:path arrowok="t"/>
              </v:shape>
            </v:group>
            <v:group style="position:absolute;left:4463;top:8586;width:152;height:89" coordorigin="4463,8586" coordsize="152,89">
              <v:shape style="position:absolute;left:4463;top:8586;width:152;height:89" coordorigin="4463,8586" coordsize="152,89" path="m4463,8586l4615,8674e" filled="false" stroked="true" strokeweight="1.493pt" strokecolor="#8c8f90">
                <v:path arrowok="t"/>
              </v:shape>
            </v:group>
            <v:group style="position:absolute;left:4265;top:8470;width:80;height:47" coordorigin="4265,8470" coordsize="80,47">
              <v:shape style="position:absolute;left:4265;top:8470;width:80;height:47" coordorigin="4265,8470" coordsize="80,47" path="m4265,8470l4344,8517e" filled="false" stroked="true" strokeweight="1.493pt" strokecolor="#8c8f90">
                <v:path arrowok="t"/>
              </v:shape>
            </v:group>
            <v:group style="position:absolute;left:4463;top:8528;width:186;height:96" coordorigin="4463,8528" coordsize="186,96">
              <v:shape style="position:absolute;left:4463;top:8528;width:186;height:96" coordorigin="4463,8528" coordsize="186,96" path="m4463,8528l4648,8623e" filled="false" stroked="true" strokeweight=".995pt" strokecolor="#9c8758">
                <v:path arrowok="t"/>
              </v:shape>
            </v:group>
            <v:group style="position:absolute;left:4220;top:8404;width:158;height:81" coordorigin="4220,8404" coordsize="158,81">
              <v:shape style="position:absolute;left:4220;top:8404;width:158;height:81" coordorigin="4220,8404" coordsize="158,81" path="m4220,8404l4377,8484e" filled="false" stroked="true" strokeweight=".995pt" strokecolor="#9c8758">
                <v:path arrowok="t"/>
              </v:shape>
            </v:group>
            <v:group style="position:absolute;left:4724;top:8532;width:203;height:80" coordorigin="4724,8532" coordsize="203,80">
              <v:shape style="position:absolute;left:4724;top:8532;width:203;height:80" coordorigin="4724,8532" coordsize="203,80" path="m4724,8532l4926,8612e" filled="false" stroked="true" strokeweight=".995pt" strokecolor="#9c8758">
                <v:path arrowok="t"/>
              </v:shape>
            </v:group>
            <v:group style="position:absolute;left:4463;top:8429;width:186;height:74" coordorigin="4463,8429" coordsize="186,74">
              <v:shape style="position:absolute;left:4463;top:8429;width:186;height:74" coordorigin="4463,8429" coordsize="186,74" path="m4463,8429l4648,8502e" filled="false" stroked="true" strokeweight=".995pt" strokecolor="#9c8758">
                <v:path arrowok="t"/>
              </v:shape>
            </v:group>
            <v:group style="position:absolute;left:4243;top:8342;width:196;height:78" coordorigin="4243,8342" coordsize="196,78">
              <v:shape style="position:absolute;left:4243;top:8342;width:196;height:78" coordorigin="4243,8342" coordsize="196,78" path="m4243,8342l4438,8419e" filled="false" stroked="true" strokeweight=".995pt" strokecolor="#9c8758">
                <v:path arrowok="t"/>
              </v:shape>
            </v:group>
            <v:group style="position:absolute;left:4463;top:8642;width:50;height:32" coordorigin="4463,8642" coordsize="50,32">
              <v:shape style="position:absolute;left:4463;top:8642;width:50;height:32" coordorigin="4463,8642" coordsize="50,32" path="m4463,8642l4512,8674e" filled="false" stroked="true" strokeweight="1.493pt" strokecolor="#9c8758">
                <v:path arrowok="t"/>
              </v:shape>
            </v:group>
            <v:group style="position:absolute;left:4286;top:8527;width:29;height:19" coordorigin="4286,8527" coordsize="29,19">
              <v:shape style="position:absolute;left:4286;top:8527;width:29;height:19" coordorigin="4286,8527" coordsize="29,19" path="m4286,8527l4314,8546e" filled="false" stroked="true" strokeweight="1.493pt" strokecolor="#9c8758">
                <v:path arrowok="t"/>
              </v:shape>
            </v:group>
            <v:group style="position:absolute;left:4764;top:8486;width:198;height:68" coordorigin="4764,8486" coordsize="198,68">
              <v:shape style="position:absolute;left:4764;top:8486;width:198;height:68" coordorigin="4764,8486" coordsize="198,68" path="m4764,8486l4962,8553e" filled="false" stroked="true" strokeweight=".995pt" strokecolor="#9c8758">
                <v:path arrowok="t"/>
              </v:shape>
            </v:group>
            <v:group style="position:absolute;left:5175;top:8625;width:163;height:56" coordorigin="5175,8625" coordsize="163,56">
              <v:shape style="position:absolute;left:5175;top:8625;width:163;height:56" coordorigin="5175,8625" coordsize="163,56" path="m5175,8625l5338,8681e" filled="false" stroked="true" strokeweight=".995pt" strokecolor="#9c8758">
                <v:path arrowok="t"/>
              </v:shape>
            </v:group>
            <v:group style="position:absolute;left:4483;top:8390;width:166;height:57" coordorigin="4483,8390" coordsize="166,57">
              <v:shape style="position:absolute;left:4483;top:8390;width:166;height:57" coordorigin="4483,8390" coordsize="166,57" path="m4483,8390l4648,8446e" filled="false" stroked="true" strokeweight=".995pt" strokecolor="#9c8758">
                <v:path arrowok="t"/>
              </v:shape>
            </v:group>
            <v:group style="position:absolute;left:4270;top:8318;width:213;height:73" coordorigin="4270,8318" coordsize="213,73">
              <v:shape style="position:absolute;left:4270;top:8318;width:213;height:73" coordorigin="4270,8318" coordsize="213,73" path="m4270,8318l4483,8390e" filled="false" stroked="true" strokeweight=".995pt" strokecolor="#9c8758">
                <v:path arrowok="t"/>
              </v:shape>
            </v:group>
            <v:group style="position:absolute;left:4463;top:8670;width:5;height:4" coordorigin="4463,8670" coordsize="5,4">
              <v:shape style="position:absolute;left:4463;top:8670;width:5;height:4" coordorigin="4463,8670" coordsize="5,4" path="m4463,8670l4468,8674e" filled="false" stroked="true" strokeweight=".995pt" strokecolor="#8c8f90">
                <v:path arrowok="t"/>
              </v:shape>
            </v:group>
            <v:group style="position:absolute;left:4293;top:8554;width:7;height:5" coordorigin="4293,8554" coordsize="7,5">
              <v:shape style="position:absolute;left:4293;top:8554;width:7;height:5" coordorigin="4293,8554" coordsize="7,5" path="m4293,8554l4299,8558e" filled="false" stroked="true" strokeweight=".995pt" strokecolor="#8c8f90">
                <v:path arrowok="t"/>
              </v:shape>
            </v:group>
            <v:group style="position:absolute;left:4463;top:8599;width:125;height:75" coordorigin="4463,8599" coordsize="125,75">
              <v:shape style="position:absolute;left:4463;top:8599;width:125;height:75" coordorigin="4463,8599" coordsize="125,75" path="m4463,8599l4587,8674e" filled="false" stroked="true" strokeweight=".995pt" strokecolor="#8c8f90">
                <v:path arrowok="t"/>
              </v:shape>
            </v:group>
            <v:group style="position:absolute;left:4271;top:8484;width:67;height:40" coordorigin="4271,8484" coordsize="67,40">
              <v:shape style="position:absolute;left:4271;top:8484;width:67;height:40" coordorigin="4271,8484" coordsize="67,40" path="m4271,8484l4337,8524e" filled="false" stroked="true" strokeweight=".995pt" strokecolor="#8c8f90">
                <v:path arrowok="t"/>
              </v:shape>
            </v:group>
            <v:group style="position:absolute;left:5175;top:8205;width:190;height:13" coordorigin="5175,8205" coordsize="190,13">
              <v:shape style="position:absolute;left:5175;top:8205;width:190;height:13" coordorigin="5175,8205" coordsize="190,13" path="m5175,8205l5364,8218e" filled="false" stroked="true" strokeweight=".498pt" strokecolor="#9c8758">
                <v:path arrowok="t"/>
              </v:shape>
            </v:group>
            <v:group style="position:absolute;left:4411;top:8153;width:303;height:21" coordorigin="4411,8153" coordsize="303,21">
              <v:shape style="position:absolute;left:4411;top:8153;width:303;height:21" coordorigin="4411,8153" coordsize="303,21" path="m4411,8153l4713,8174e" filled="false" stroked="true" strokeweight=".498pt" strokecolor="#9c8758">
                <v:path arrowok="t"/>
              </v:shape>
            </v:group>
            <v:group style="position:absolute;left:4889;top:8186;width:187;height:13" coordorigin="4889,8186" coordsize="187,13">
              <v:shape style="position:absolute;left:4889;top:8186;width:187;height:13" coordorigin="4889,8186" coordsize="187,13" path="m4889,8186l5076,8199e" filled="false" stroked="true" strokeweight=".498pt" strokecolor="#9c8758">
                <v:path arrowok="t"/>
              </v:shape>
            </v:group>
            <v:group style="position:absolute;left:4228;top:8140;width:27;height:2" coordorigin="4228,8140" coordsize="27,2">
              <v:shape style="position:absolute;left:4228;top:8140;width:27;height:2" coordorigin="4228,8140" coordsize="27,2" path="m4228,8140l4254,8142e" filled="false" stroked="true" strokeweight=".498pt" strokecolor="#9c8758">
                <v:path arrowok="t"/>
              </v:shape>
            </v:group>
            <v:group style="position:absolute;left:4850;top:8666;width:23;height:11" coordorigin="4850,8666" coordsize="23,11">
              <v:shape style="position:absolute;left:4850;top:8666;width:23;height:11" coordorigin="4850,8666" coordsize="23,11" path="m4850,8666l4873,8677e" filled="false" stroked="true" strokeweight="1.493pt" strokecolor="#9c8758">
                <v:path arrowok="t"/>
              </v:shape>
            </v:group>
            <v:group style="position:absolute;left:4463;top:8487;width:186;height:86" coordorigin="4463,8487" coordsize="186,86">
              <v:shape style="position:absolute;left:4463;top:8487;width:186;height:86" coordorigin="4463,8487" coordsize="186,86" path="m4463,8487l4648,8572e" filled="false" stroked="true" strokeweight="1.493pt" strokecolor="#9c8758">
                <v:path arrowok="t"/>
              </v:shape>
            </v:group>
            <v:group style="position:absolute;left:4209;top:8369;width:194;height:90" coordorigin="4209,8369" coordsize="194,90">
              <v:shape style="position:absolute;left:4209;top:8369;width:194;height:90" coordorigin="4209,8369" coordsize="194,90" path="m4209,8369l4402,8459e" filled="false" stroked="true" strokeweight="1.493pt" strokecolor="#9c8758">
                <v:path arrowok="t"/>
              </v:shape>
            </v:group>
            <v:group style="position:absolute;left:4215;top:7691;width:76;height:47" coordorigin="4215,7691" coordsize="76,47">
              <v:shape style="position:absolute;left:4215;top:7691;width:76;height:47" coordorigin="4215,7691" coordsize="76,47" path="m4290,7691l4215,7738e" filled="false" stroked="true" strokeweight=".249pt" strokecolor="#8c8f90">
                <v:path arrowok="t"/>
              </v:shape>
            </v:group>
            <v:group style="position:absolute;left:4546;top:7343;width:312;height:192" coordorigin="4546,7343" coordsize="312,192">
              <v:shape style="position:absolute;left:4546;top:7343;width:312;height:192" coordorigin="4546,7343" coordsize="312,192" path="m4857,7343l4546,7535e" filled="false" stroked="true" strokeweight=".249pt" strokecolor="#8c8f90">
                <v:path arrowok="t"/>
              </v:shape>
            </v:group>
            <v:group style="position:absolute;left:4341;top:7565;width:155;height:95" coordorigin="4341,7565" coordsize="155,95">
              <v:shape style="position:absolute;left:4341;top:7565;width:155;height:95" coordorigin="4341,7565" coordsize="155,95" path="m4495,7565l4341,7660e" filled="false" stroked="true" strokeweight=".249pt" strokecolor="#8c8f90">
                <v:path arrowok="t"/>
              </v:shape>
            </v:group>
            <v:group style="position:absolute;left:4913;top:7232;width:420;height:210" coordorigin="4913,7232" coordsize="420,210">
              <v:shape style="position:absolute;left:4913;top:7232;width:420;height:210" coordorigin="4913,7232" coordsize="420,210" path="m5332,7232l4913,7441e" filled="false" stroked="true" strokeweight=".249pt" strokecolor="#8c8f90">
                <v:path arrowok="t"/>
              </v:shape>
            </v:group>
            <v:group style="position:absolute;left:4215;top:7691;width:198;height:99" coordorigin="4215,7691" coordsize="198,99">
              <v:shape style="position:absolute;left:4215;top:7691;width:198;height:99" coordorigin="4215,7691" coordsize="198,99" path="m4412,7691l4215,7790e" filled="false" stroked="true" strokeweight=".249pt" strokecolor="#8c8f90">
                <v:path arrowok="t"/>
              </v:shape>
            </v:group>
            <v:group style="position:absolute;left:4726;top:7463;width:144;height:72" coordorigin="4726,7463" coordsize="144,72">
              <v:shape style="position:absolute;left:4726;top:7463;width:144;height:72" coordorigin="4726,7463" coordsize="144,72" path="m4870,7463l4726,7535e" filled="false" stroked="true" strokeweight=".249pt" strokecolor="#8c8f90">
                <v:path arrowok="t"/>
              </v:shape>
            </v:group>
            <v:group style="position:absolute;left:4412;top:7640;width:104;height:52" coordorigin="4412,7640" coordsize="104,52">
              <v:shape style="position:absolute;left:4412;top:7640;width:104;height:52" coordorigin="4412,7640" coordsize="104,52" path="m4516,7640l4412,7691e" filled="false" stroked="true" strokeweight=".249pt" strokecolor="#8c8f90">
                <v:path arrowok="t"/>
              </v:shape>
            </v:group>
            <v:group style="position:absolute;left:4624;top:7535;width:103;height:51" coordorigin="4624,7535" coordsize="103,51">
              <v:shape style="position:absolute;left:4624;top:7535;width:103;height:51" coordorigin="4624,7535" coordsize="103,51" path="m4726,7535l4624,7586e" filled="false" stroked="true" strokeweight=".249pt" strokecolor="#8c8f90">
                <v:path arrowok="t"/>
              </v:shape>
            </v:group>
            <v:group style="position:absolute;left:4215;top:7691;width:23;height:15" coordorigin="4215,7691" coordsize="23,15">
              <v:shape style="position:absolute;left:4215;top:7691;width:23;height:15" coordorigin="4215,7691" coordsize="23,15" path="m4237,7691l4215,7706e" filled="false" stroked="true" strokeweight=".995pt" strokecolor="#9c8758">
                <v:path arrowok="t"/>
              </v:shape>
            </v:group>
            <v:group style="position:absolute;left:4333;top:7343;width:426;height:285" coordorigin="4333,7343" coordsize="426,285">
              <v:shape style="position:absolute;left:4333;top:7343;width:426;height:285" coordorigin="4333,7343" coordsize="426,285" path="m4759,7343l4333,7627e" filled="false" stroked="true" strokeweight=".995pt" strokecolor="#9c8758">
                <v:path arrowok="t"/>
              </v:shape>
            </v:group>
            <v:group style="position:absolute;left:4913;top:7288;width:247;height:131" coordorigin="4913,7288" coordsize="247,131">
              <v:shape style="position:absolute;left:4913;top:7288;width:247;height:131" coordorigin="4913,7288" coordsize="247,131" path="m5159,7288l4913,7419e" filled="false" stroked="true" strokeweight="1.493pt" strokecolor="#8c8f90">
                <v:path arrowok="t"/>
              </v:shape>
            </v:group>
            <v:group style="position:absolute;left:4215;top:7691;width:182;height:97" coordorigin="4215,7691" coordsize="182,97">
              <v:shape style="position:absolute;left:4215;top:7691;width:182;height:97" coordorigin="4215,7691" coordsize="182,97" path="m4397,7691l4215,7788e" filled="false" stroked="true" strokeweight="1.493pt" strokecolor="#8c8f90">
                <v:path arrowok="t"/>
              </v:shape>
            </v:group>
            <v:group style="position:absolute;left:4693;top:7441;width:177;height:94" coordorigin="4693,7441" coordsize="177,94">
              <v:shape style="position:absolute;left:4693;top:7441;width:177;height:94" coordorigin="4693,7441" coordsize="177,94" path="m4870,7441l4693,7535e" filled="false" stroked="true" strokeweight="1.493pt" strokecolor="#8c8f90">
                <v:path arrowok="t"/>
              </v:shape>
            </v:group>
            <v:group style="position:absolute;left:4397;top:7630;width:116;height:62" coordorigin="4397,7630" coordsize="116,62">
              <v:shape style="position:absolute;left:4397;top:7630;width:116;height:62" coordorigin="4397,7630" coordsize="116,62" path="m4513,7630l4397,7691e" filled="false" stroked="true" strokeweight="1.493pt" strokecolor="#8c8f90">
                <v:path arrowok="t"/>
              </v:shape>
            </v:group>
            <v:group style="position:absolute;left:4629;top:7535;width:65;height:35" coordorigin="4629,7535" coordsize="65,35">
              <v:shape style="position:absolute;left:4629;top:7535;width:65;height:35" coordorigin="4629,7535" coordsize="65,35" path="m4693,7535l4629,7569e" filled="false" stroked="true" strokeweight="1.493pt" strokecolor="#8c8f90">
                <v:path arrowok="t"/>
              </v:shape>
            </v:group>
            <v:group style="position:absolute;left:4215;top:7691;width:54;height:35" coordorigin="4215,7691" coordsize="54,35">
              <v:shape style="position:absolute;left:4215;top:7691;width:54;height:35" coordorigin="4215,7691" coordsize="54,35" path="m4269,7691l4215,7725e" filled="false" stroked="true" strokeweight="1.493pt" strokecolor="#8c8f90">
                <v:path arrowok="t"/>
              </v:shape>
            </v:group>
            <v:group style="position:absolute;left:4516;top:7343;width:302;height:192" coordorigin="4516,7343" coordsize="302,192">
              <v:shape style="position:absolute;left:4516;top:7343;width:302;height:192" coordorigin="4516,7343" coordsize="302,192" path="m4817,7343l4516,7535e" filled="false" stroked="true" strokeweight="1.493pt" strokecolor="#8c8f90">
                <v:path arrowok="t"/>
              </v:shape>
            </v:group>
            <v:group style="position:absolute;left:4339;top:7550;width:153;height:97" coordorigin="4339,7550" coordsize="153,97">
              <v:shape style="position:absolute;left:4339;top:7550;width:153;height:97" coordorigin="4339,7550" coordsize="153,97" path="m4491,7550l4339,7647e" filled="false" stroked="true" strokeweight="1.493pt" strokecolor="#8c8f90">
                <v:path arrowok="t"/>
              </v:shape>
            </v:group>
            <v:group style="position:absolute;left:4913;top:7324;width:109;height:61" coordorigin="4913,7324" coordsize="109,61">
              <v:shape style="position:absolute;left:4913;top:7324;width:109;height:61" coordorigin="4913,7324" coordsize="109,61" path="m5021,7324l4913,7385e" filled="false" stroked="true" strokeweight=".498pt" strokecolor="#9c8758">
                <v:path arrowok="t"/>
              </v:shape>
            </v:group>
            <v:group style="position:absolute;left:4215;top:7691;width:146;height:81" coordorigin="4215,7691" coordsize="146,81">
              <v:shape style="position:absolute;left:4215;top:7691;width:146;height:81" coordorigin="4215,7691" coordsize="146,81" path="m4361,7691l4215,7772e" filled="false" stroked="true" strokeweight=".498pt" strokecolor="#9c8758">
                <v:path arrowok="t"/>
              </v:shape>
            </v:group>
            <v:group style="position:absolute;left:4643;top:7408;width:228;height:127" coordorigin="4643,7408" coordsize="228,127">
              <v:shape style="position:absolute;left:4643;top:7408;width:228;height:127" coordorigin="4643,7408" coordsize="228,127" path="m4870,7408l4643,7535e" filled="false" stroked="true" strokeweight=".498pt" strokecolor="#9c8758">
                <v:path arrowok="t"/>
              </v:shape>
            </v:group>
            <v:group style="position:absolute;left:4361;top:7610;width:148;height:82" coordorigin="4361,7610" coordsize="148,82">
              <v:shape style="position:absolute;left:4361;top:7610;width:148;height:82" coordorigin="4361,7610" coordsize="148,82" path="m4508,7610l4361,7691e" filled="false" stroked="true" strokeweight=".498pt" strokecolor="#9c8758">
                <v:path arrowok="t"/>
              </v:shape>
            </v:group>
            <v:group style="position:absolute;left:4637;top:7535;width:6;height:3" coordorigin="4637,7535" coordsize="6,3">
              <v:shape style="position:absolute;left:4637;top:7535;width:6;height:3" coordorigin="4637,7535" coordsize="6,3" path="m4643,7535l4637,7538e" filled="false" stroked="true" strokeweight=".498pt" strokecolor="#9c8758">
                <v:path arrowok="t"/>
              </v:shape>
            </v:group>
            <v:group style="position:absolute;left:4913;top:7545;width:186;height:70" coordorigin="4913,7545" coordsize="186,70">
              <v:shape style="position:absolute;left:4913;top:7545;width:186;height:70" coordorigin="4913,7545" coordsize="186,70" path="m5098,7545l4913,7615e" filled="false" stroked="true" strokeweight=".249pt" strokecolor="#9c8758">
                <v:path arrowok="t"/>
              </v:shape>
            </v:group>
            <v:group style="position:absolute;left:4215;top:7691;width:495;height:187" coordorigin="4215,7691" coordsize="495,187">
              <v:shape style="position:absolute;left:4215;top:7691;width:495;height:187" coordorigin="4215,7691" coordsize="495,187" path="m4710,7691l4215,7878e" filled="false" stroked="true" strokeweight=".249pt" strokecolor="#9c8758">
                <v:path arrowok="t"/>
              </v:shape>
            </v:group>
            <v:group style="position:absolute;left:4710;top:7664;width:73;height:28" coordorigin="4710,7664" coordsize="73,28">
              <v:shape style="position:absolute;left:4710;top:7664;width:73;height:28" coordorigin="4710,7664" coordsize="73,28" path="m4783,7664l4710,7691e" filled="false" stroked="true" strokeweight=".249pt" strokecolor="#9c8758">
                <v:path arrowok="t"/>
              </v:shape>
            </v:group>
            <v:group style="position:absolute;left:4913;top:7339;width:31;height:18" coordorigin="4913,7339" coordsize="31,18">
              <v:shape style="position:absolute;left:4913;top:7339;width:31;height:18" coordorigin="4913,7339" coordsize="31,18" path="m4943,7339l4913,7357e" filled="false" stroked="true" strokeweight=".995pt" strokecolor="#8c8f90">
                <v:path arrowok="t"/>
              </v:shape>
            </v:group>
            <v:group style="position:absolute;left:4215;top:7691;width:118;height:68" coordorigin="4215,7691" coordsize="118,68">
              <v:shape style="position:absolute;left:4215;top:7691;width:118;height:68" coordorigin="4215,7691" coordsize="118,68" path="m4333,7691l4215,7759e" filled="false" stroked="true" strokeweight=".995pt" strokecolor="#8c8f90">
                <v:path arrowok="t"/>
              </v:shape>
            </v:group>
            <v:group style="position:absolute;left:4605;top:7381;width:266;height:154" coordorigin="4605,7381" coordsize="266,154">
              <v:shape style="position:absolute;left:4605;top:7381;width:266;height:154" coordorigin="4605,7381" coordsize="266,154" path="m4870,7381l4605,7535e" filled="false" stroked="true" strokeweight=".995pt" strokecolor="#8c8f90">
                <v:path arrowok="t"/>
              </v:shape>
            </v:group>
            <v:group style="position:absolute;left:4346;top:7593;width:158;height:91" coordorigin="4346,7593" coordsize="158,91">
              <v:shape style="position:absolute;left:4346;top:7593;width:158;height:91" coordorigin="4346,7593" coordsize="158,91" path="m4503,7593l4346,7684e" filled="false" stroked="true" strokeweight=".995pt" strokecolor="#8c8f90">
                <v:path arrowok="t"/>
              </v:shape>
            </v:group>
            <v:group style="position:absolute;left:4913;top:7307;width:480;height:216" coordorigin="4913,7307" coordsize="480,216">
              <v:shape style="position:absolute;left:4913;top:7307;width:480;height:216" coordorigin="4913,7307" coordsize="480,216" path="m5392,7307l4913,7522e" filled="false" stroked="true" strokeweight="1.493pt" strokecolor="#8c8f90">
                <v:path arrowok="t"/>
              </v:shape>
            </v:group>
            <v:group style="position:absolute;left:4215;top:7691;width:321;height:144" coordorigin="4215,7691" coordsize="321,144">
              <v:shape style="position:absolute;left:4215;top:7691;width:321;height:144" coordorigin="4215,7691" coordsize="321,144" path="m4536,7691l4215,7835e" filled="false" stroked="true" strokeweight="1.493pt" strokecolor="#8c8f90">
                <v:path arrowok="t"/>
              </v:shape>
            </v:group>
            <v:group style="position:absolute;left:4598;top:7560;width:231;height:104" coordorigin="4598,7560" coordsize="231,104">
              <v:shape style="position:absolute;left:4598;top:7560;width:231;height:104" coordorigin="4598,7560" coordsize="231,104" path="m4828,7560l4598,7664e" filled="false" stroked="true" strokeweight="1.493pt" strokecolor="#8c8f90">
                <v:path arrowok="t"/>
              </v:shape>
            </v:group>
            <v:group style="position:absolute;left:4913;top:7604;width:186;height:63" coordorigin="4913,7604" coordsize="186,63">
              <v:shape style="position:absolute;left:4913;top:7604;width:186;height:63" coordorigin="4913,7604" coordsize="186,63" path="m5098,7604l4913,7666e" filled="false" stroked="true" strokeweight=".498pt" strokecolor="#9c8758">
                <v:path arrowok="t"/>
              </v:shape>
            </v:group>
            <v:group style="position:absolute;left:4254;top:7691;width:584;height:197" coordorigin="4254,7691" coordsize="584,197">
              <v:shape style="position:absolute;left:4254;top:7691;width:584;height:197" coordorigin="4254,7691" coordsize="584,197" path="m4837,7691l4254,7888e" filled="false" stroked="true" strokeweight=".498pt" strokecolor="#9c8758">
                <v:path arrowok="t"/>
              </v:shape>
            </v:group>
            <v:group style="position:absolute;left:4913;top:7647;width:186;height:57" coordorigin="4913,7647" coordsize="186,57">
              <v:shape style="position:absolute;left:4913;top:7647;width:186;height:57" coordorigin="4913,7647" coordsize="186,57" path="m5098,7647l4913,7704e" filled="false" stroked="true" strokeweight=".995pt" strokecolor="#9c8758">
                <v:path arrowok="t"/>
              </v:shape>
            </v:group>
            <v:group style="position:absolute;left:4315;top:7712;width:573;height:176" coordorigin="4315,7712" coordsize="573,176">
              <v:shape style="position:absolute;left:4315;top:7712;width:573;height:176" coordorigin="4315,7712" coordsize="573,176" path="m4887,7712l4315,7888e" filled="false" stroked="true" strokeweight=".995pt" strokecolor="#9c8758">
                <v:path arrowok="t"/>
              </v:shape>
            </v:group>
            <v:group style="position:absolute;left:4913;top:7695;width:443;height:104" coordorigin="4913,7695" coordsize="443,104">
              <v:shape style="position:absolute;left:4913;top:7695;width:443;height:104" coordorigin="4913,7695" coordsize="443,104" path="m4913,7798l5355,7695e" filled="false" stroked="true" strokeweight=".995pt" strokecolor="#8c8f90">
                <v:path arrowok="t"/>
              </v:shape>
            </v:group>
            <v:group style="position:absolute;left:4228;top:7951;width:34;height:8" coordorigin="4228,7951" coordsize="34,8">
              <v:shape style="position:absolute;left:4228;top:7951;width:34;height:8" coordorigin="4228,7951" coordsize="34,8" path="m4228,7959l4261,7951e" filled="false" stroked="true" strokeweight=".995pt" strokecolor="#8c8f90">
                <v:path arrowok="t"/>
              </v:shape>
            </v:group>
            <v:group style="position:absolute;left:4463;top:7888;width:67;height:16" coordorigin="4463,7888" coordsize="67,16">
              <v:shape style="position:absolute;left:4463;top:7888;width:67;height:16" coordorigin="4463,7888" coordsize="67,16" path="m4463,7904l4530,7888e" filled="false" stroked="true" strokeweight=".995pt" strokecolor="#8c8f90">
                <v:path arrowok="t"/>
              </v:shape>
            </v:group>
            <v:group style="position:absolute;left:4530;top:7804;width:358;height:84" coordorigin="4530,7804" coordsize="358,84">
              <v:shape style="position:absolute;left:4530;top:7804;width:358;height:84" coordorigin="4530,7804" coordsize="358,84" path="m4530,7888l4887,7804e" filled="false" stroked="true" strokeweight=".995pt" strokecolor="#8c8f90">
                <v:path arrowok="t"/>
              </v:shape>
            </v:group>
            <v:group style="position:absolute;left:4909;top:7846;width:560;height:78" coordorigin="4909,7846" coordsize="560,78">
              <v:shape style="position:absolute;left:4909;top:7846;width:560;height:78" coordorigin="4909,7846" coordsize="560,78" path="m4909,7923l5469,7846e" filled="false" stroked="true" strokeweight="1.493pt" strokecolor="#8c8f90">
                <v:path arrowok="t"/>
              </v:shape>
            </v:group>
            <v:group style="position:absolute;left:4228;top:7950;width:481;height:67" coordorigin="4228,7950" coordsize="481,67">
              <v:shape style="position:absolute;left:4228;top:7950;width:481;height:67" coordorigin="4228,7950" coordsize="481,67" path="m4228,8016l4709,7950e" filled="false" stroked="true" strokeweight="1.493pt" strokecolor="#8c8f90">
                <v:path arrowok="t"/>
              </v:shape>
            </v:group>
            <v:group style="position:absolute;left:4910;top:7793;width:560;height:93" coordorigin="4910,7793" coordsize="560,93">
              <v:shape style="position:absolute;left:4910;top:7793;width:560;height:93" coordorigin="4910,7793" coordsize="560,93" path="m4910,7886l5469,7793e" filled="false" stroked="true" strokeweight=".995pt" strokecolor="#9c8758">
                <v:path arrowok="t"/>
              </v:shape>
            </v:group>
            <v:group style="position:absolute;left:4228;top:7951;width:294;height:49" coordorigin="4228,7951" coordsize="294,49">
              <v:shape style="position:absolute;left:4228;top:7951;width:294;height:49" coordorigin="4228,7951" coordsize="294,49" path="m4228,7999l4522,7951e" filled="false" stroked="true" strokeweight=".995pt" strokecolor="#9c8758">
                <v:path arrowok="t"/>
              </v:shape>
            </v:group>
            <v:group style="position:absolute;left:4522;top:7930;width:127;height:21" coordorigin="4522,7930" coordsize="127,21">
              <v:shape style="position:absolute;left:4522;top:7930;width:127;height:21" coordorigin="4522,7930" coordsize="127,21" path="m4522,7951l4648,7930e" filled="false" stroked="true" strokeweight=".995pt" strokecolor="#9c8758">
                <v:path arrowok="t"/>
              </v:shape>
            </v:group>
            <v:group style="position:absolute;left:4912;top:7712;width:558;height:118" coordorigin="4912,7712" coordsize="558,118">
              <v:shape style="position:absolute;left:4912;top:7712;width:558;height:118" coordorigin="4912,7712" coordsize="558,118" path="m4912,7829l5470,7712e" filled="false" stroked="true" strokeweight=".995pt" strokecolor="#9c8758">
                <v:path arrowok="t"/>
              </v:shape>
            </v:group>
            <v:group style="position:absolute;left:4228;top:7951;width:106;height:23" coordorigin="4228,7951" coordsize="106,23">
              <v:shape style="position:absolute;left:4228;top:7951;width:106;height:23" coordorigin="4228,7951" coordsize="106,23" path="m4228,7973l4333,7951e" filled="false" stroked="true" strokeweight=".995pt" strokecolor="#9c8758">
                <v:path arrowok="t"/>
              </v:shape>
            </v:group>
            <v:group style="position:absolute;left:4463;top:7888;width:169;height:36" coordorigin="4463,7888" coordsize="169,36">
              <v:shape style="position:absolute;left:4463;top:7888;width:169;height:36" coordorigin="4463,7888" coordsize="169,36" path="m4463,7923l4632,7888e" filled="false" stroked="true" strokeweight=".995pt" strokecolor="#9c8758">
                <v:path arrowok="t"/>
              </v:shape>
            </v:group>
            <v:group style="position:absolute;left:4632;top:7834;width:256;height:54" coordorigin="4632,7834" coordsize="256,54">
              <v:shape style="position:absolute;left:4632;top:7834;width:256;height:54" coordorigin="4632,7834" coordsize="256,54" path="m4632,7888l4887,7834e" filled="false" stroked="true" strokeweight=".995pt" strokecolor="#9c8758">
                <v:path arrowok="t"/>
              </v:shape>
            </v:group>
            <v:group style="position:absolute;left:5174;top:7991;width:190;height:12" coordorigin="5174,7991" coordsize="190,12">
              <v:shape style="position:absolute;left:5174;top:7991;width:190;height:12" coordorigin="5174,7991" coordsize="190,12" path="m5174,8002l5364,7991e" filled="false" stroked="true" strokeweight="1.493pt" strokecolor="#8c8f90">
                <v:path arrowok="t"/>
              </v:shape>
            </v:group>
            <v:group style="position:absolute;left:4906;top:8007;width:187;height:12" coordorigin="4906,8007" coordsize="187,12">
              <v:shape style="position:absolute;left:4906;top:8007;width:187;height:12" coordorigin="4906,8007" coordsize="187,12" path="m4906,8019l5092,8007e" filled="false" stroked="true" strokeweight="1.493pt" strokecolor="#8c8f90">
                <v:path arrowok="t"/>
              </v:shape>
            </v:group>
            <v:group style="position:absolute;left:4228;top:8021;width:641;height:41" coordorigin="4228,8021" coordsize="641,41">
              <v:shape style="position:absolute;left:4228;top:8021;width:641;height:41" coordorigin="4228,8021" coordsize="641,41" path="m4228,8062l4869,8021e" filled="false" stroked="true" strokeweight="1.493pt" strokecolor="#8c8f90">
                <v:path arrowok="t"/>
              </v:shape>
            </v:group>
            <v:group style="position:absolute;left:4913;top:7695;width:203;height:56" coordorigin="4913,7695" coordsize="203,56">
              <v:shape style="position:absolute;left:4913;top:7695;width:203;height:56" coordorigin="4913,7695" coordsize="203,56" path="m5115,7695l4913,7750e" filled="false" stroked="true" strokeweight=".249pt" strokecolor="#9c8758">
                <v:path arrowok="t"/>
              </v:shape>
            </v:group>
            <v:group style="position:absolute;left:4404;top:7757;width:483;height:132" coordorigin="4404,7757" coordsize="483,132">
              <v:shape style="position:absolute;left:4404;top:7757;width:483;height:132" coordorigin="4404,7757" coordsize="483,132" path="m4887,7757l4404,7888e" filled="false" stroked="true" strokeweight=".249pt" strokecolor="#9c8758">
                <v:path arrowok="t"/>
              </v:shape>
            </v:group>
            <v:group style="position:absolute;left:4913;top:7368;width:529;height:213" coordorigin="4913,7368" coordsize="529,213">
              <v:shape style="position:absolute;left:4913;top:7368;width:529;height:213" coordorigin="4913,7368" coordsize="529,213" path="m5441,7368l4913,7581e" filled="false" stroked="true" strokeweight=".498pt" strokecolor="#8c8f90">
                <v:path arrowok="t"/>
              </v:shape>
            </v:group>
            <v:group style="position:absolute;left:4215;top:7691;width:423;height:171" coordorigin="4215,7691" coordsize="423,171">
              <v:shape style="position:absolute;left:4215;top:7691;width:423;height:171" coordorigin="4215,7691" coordsize="423,171" path="m4638,7691l4215,7862e" filled="false" stroked="true" strokeweight=".498pt" strokecolor="#8c8f90">
                <v:path arrowok="t"/>
              </v:shape>
            </v:group>
            <v:group style="position:absolute;left:4638;top:7627;width:161;height:65" coordorigin="4638,7627" coordsize="161,65">
              <v:shape style="position:absolute;left:4638;top:7627;width:161;height:65" coordorigin="4638,7627" coordsize="161,65" path="m4799,7627l4638,7691e" filled="false" stroked="true" strokeweight=".498pt" strokecolor="#8c8f90">
                <v:path arrowok="t"/>
              </v:shape>
            </v:group>
            <v:group style="position:absolute;left:4900;top:8112;width:185;height:2" coordorigin="4900,8112" coordsize="185,2">
              <v:shape style="position:absolute;left:4900;top:8112;width:185;height:2" coordorigin="4900,8112" coordsize="185,2" path="m5085,8114l4900,8112e" filled="false" stroked="true" strokeweight=".995pt" strokecolor="#9c8758">
                <v:path arrowok="t"/>
              </v:shape>
            </v:group>
            <v:group style="position:absolute;left:4228;top:8107;width:641;height:5" coordorigin="4228,8107" coordsize="641,5">
              <v:shape style="position:absolute;left:4228;top:8107;width:641;height:5" coordorigin="4228,8107" coordsize="641,5" path="m4869,8112l4228,8107e" filled="false" stroked="true" strokeweight=".995pt" strokecolor="#9c8758">
                <v:path arrowok="t"/>
              </v:shape>
            </v:group>
            <v:group style="position:absolute;left:4913;top:7348;width:513;height:215" coordorigin="4913,7348" coordsize="513,215">
              <v:shape style="position:absolute;left:4913;top:7348;width:513;height:215" coordorigin="4913,7348" coordsize="513,215" path="m5425,7348l4913,7562e" filled="false" stroked="true" strokeweight="1.493pt" strokecolor="#9c8758">
                <v:path arrowok="t"/>
              </v:shape>
            </v:group>
            <v:group style="position:absolute;left:4215;top:7691;width:388;height:162" coordorigin="4215,7691" coordsize="388,162">
              <v:shape style="position:absolute;left:4215;top:7691;width:388;height:162" coordorigin="4215,7691" coordsize="388,162" path="m4602,7691l4215,7853e" filled="false" stroked="true" strokeweight="1.493pt" strokecolor="#9c8758">
                <v:path arrowok="t"/>
              </v:shape>
            </v:group>
            <v:group style="position:absolute;left:4602;top:7605;width:206;height:87" coordorigin="4602,7605" coordsize="206,87">
              <v:shape style="position:absolute;left:4602;top:7605;width:206;height:87" coordorigin="4602,7605" coordsize="206,87" path="m4808,7605l4602,7691e" filled="false" stroked="true" strokeweight="1.493pt" strokecolor="#9c8758">
                <v:path arrowok="t"/>
              </v:shape>
            </v:group>
            <v:group style="position:absolute;left:804;top:6466;width:3344;height:3312" coordorigin="804,6466" coordsize="3344,3312">
              <v:shape style="position:absolute;left:804;top:6466;width:3344;height:3312" coordorigin="804,6466" coordsize="3344,3312" path="m1918,6466l804,6466,804,9777,1556,9777,1558,7593,2082,7593,2020,7170,2009,7081,1997,6995,1985,6912,1974,6831,1963,6752,1951,6677,1940,6604,1929,6534,1918,6466xe" filled="true" fillcolor="#d7000f" stroked="false">
                <v:path arrowok="t"/>
                <v:fill type="solid"/>
              </v:shape>
              <v:shape style="position:absolute;left:804;top:6466;width:3344;height:3312" coordorigin="804,6466" coordsize="3344,3312" path="m2082,7593l1558,7593,1873,9777,2407,9777,2644,8012,2142,8012,2082,7593xe" filled="true" fillcolor="#d7000f" stroked="false">
                <v:path arrowok="t"/>
                <v:fill type="solid"/>
              </v:shape>
              <v:shape style="position:absolute;left:804;top:6466;width:3344;height:3312" coordorigin="804,6466" coordsize="3344,3312" path="m3515,7542l2707,7542,2708,9777,4147,9777,4147,9115,3515,9115,3515,8387,4053,8387,4053,7757,3515,7757,3515,7542xe" filled="true" fillcolor="#d7000f" stroked="false">
                <v:path arrowok="t"/>
                <v:fill type="solid"/>
              </v:shape>
              <v:shape style="position:absolute;left:804;top:6466;width:3344;height:3312" coordorigin="804,6466" coordsize="3344,3312" path="m4090,6466l2340,6466,2142,8012,2644,8012,2707,7542,3515,7542,3515,7129,4090,7129,4090,6466xe" filled="true" fillcolor="#d7000f" stroked="false">
                <v:path arrowok="t"/>
                <v:fill type="solid"/>
              </v:shape>
            </v:group>
            <v:group style="position:absolute;left:4018;top:9542;width:130;height:236" coordorigin="4018,9542" coordsize="130,236">
              <v:shape style="position:absolute;left:4018;top:9542;width:130;height:236" coordorigin="4018,9542" coordsize="130,236" path="m4147,9542l4018,9777e" filled="false" stroked="true" strokeweight=".249pt" strokecolor="#8c8f90">
                <v:path arrowok="t"/>
              </v:shape>
            </v:group>
            <v:group style="position:absolute;left:3151;top:6511;width:686;height:618" coordorigin="3151,6511" coordsize="686,618">
              <v:shape style="position:absolute;left:3151;top:6511;width:686;height:618" coordorigin="3151,6511" coordsize="686,618" path="m3151,6511l3836,7129e" filled="false" stroked="true" strokeweight=".498pt" strokecolor="#8c8f90">
                <v:path arrowok="t"/>
              </v:shape>
            </v:group>
            <v:group style="position:absolute;left:3409;top:6466;width:623;height:663" coordorigin="3409,6466" coordsize="623,663">
              <v:shape style="position:absolute;left:3409;top:6466;width:623;height:663" coordorigin="3409,6466" coordsize="623,663" path="m3409,6466l4032,7129e" filled="false" stroked="true" strokeweight=".498pt" strokecolor="#8c8f90">
                <v:path arrowok="t"/>
              </v:shape>
            </v:group>
            <v:group style="position:absolute;left:3861;top:6466;width:229;height:346" coordorigin="3861,6466" coordsize="229,346">
              <v:shape style="position:absolute;left:3861;top:6466;width:229;height:346" coordorigin="3861,6466" coordsize="229,346" path="m3861,6466l4090,6811e" filled="false" stroked="true" strokeweight=".249pt" strokecolor="#9c8758">
                <v:path arrowok="t"/>
              </v:shape>
            </v:group>
            <v:group style="position:absolute;left:3242;top:7163;width:273;height:153" coordorigin="3242,7163" coordsize="273,153">
              <v:shape style="position:absolute;left:3242;top:7163;width:273;height:153" coordorigin="3242,7163" coordsize="273,153" path="m3242,7163l3515,7316e" filled="false" stroked="true" strokeweight=".995pt" strokecolor="#8c8f90">
                <v:path arrowok="t"/>
              </v:shape>
            </v:group>
            <v:group style="position:absolute;left:2319;top:6630;width:644;height:361" coordorigin="2319,6630" coordsize="644,361">
              <v:shape style="position:absolute;left:2319;top:6630;width:644;height:361" coordorigin="2319,6630" coordsize="644,361" path="m2319,6630l2963,6990e" filled="false" stroked="true" strokeweight=".995pt" strokecolor="#8c8f90">
                <v:path arrowok="t"/>
              </v:shape>
            </v:group>
            <v:group style="position:absolute;left:3444;top:6466;width:609;height:663" coordorigin="3444,6466" coordsize="609,663">
              <v:shape style="position:absolute;left:3444;top:6466;width:609;height:663" coordorigin="3444,6466" coordsize="609,663" path="m3444,6466l4052,7129e" filled="false" stroked="true" strokeweight="1.493pt" strokecolor="#9c8758">
                <v:path arrowok="t"/>
              </v:shape>
            </v:group>
            <v:group style="position:absolute;left:3444;top:9115;width:591;height:663" coordorigin="3444,9115" coordsize="591,663">
              <v:shape style="position:absolute;left:3444;top:9115;width:591;height:663" coordorigin="3444,9115" coordsize="591,663" path="m4035,9115l3444,9777e" filled="false" stroked="true" strokeweight=".995pt" strokecolor="#8c8f90">
                <v:path arrowok="t"/>
              </v:shape>
            </v:group>
            <v:group style="position:absolute;left:4091;top:9667;width:56;height:110" coordorigin="4091,9667" coordsize="56,110">
              <v:shape style="position:absolute;left:4091;top:9667;width:56;height:110" coordorigin="4091,9667" coordsize="56,110" path="m4147,9667l4091,9777e" filled="false" stroked="true" strokeweight=".995pt" strokecolor="#8c8f90">
                <v:path arrowok="t"/>
              </v:shape>
            </v:group>
            <v:group style="position:absolute;left:3321;top:9115;width:640;height:663" coordorigin="3321,9115" coordsize="640,663">
              <v:shape style="position:absolute;left:3321;top:9115;width:640;height:663" coordorigin="3321,9115" coordsize="640,663" path="m3960,9115l3321,9777e" filled="false" stroked="true" strokeweight="1.493pt" strokecolor="#8c8f90">
                <v:path arrowok="t"/>
              </v:shape>
            </v:group>
            <v:group style="position:absolute;left:3833;top:9289;width:314;height:489" coordorigin="3833,9289" coordsize="314,489">
              <v:shape style="position:absolute;left:3833;top:9289;width:314;height:489" coordorigin="3833,9289" coordsize="314,489" path="m4147,9289l3833,9777e" filled="false" stroked="true" strokeweight="1.493pt" strokecolor="#8c8f90">
                <v:path arrowok="t"/>
              </v:shape>
            </v:group>
            <v:group style="position:absolute;left:2708;top:9115;width:832;height:604" coordorigin="2708,9115" coordsize="832,604">
              <v:shape style="position:absolute;left:2708;top:9115;width:832;height:604" coordorigin="2708,9115" coordsize="832,604" path="m3539,9115l2708,9718e" filled="false" stroked="true" strokeweight=".498pt" strokecolor="#9c8758">
                <v:path arrowok="t"/>
              </v:shape>
            </v:group>
            <v:group style="position:absolute;left:2712;top:9086;width:803;height:557" coordorigin="2712,9086" coordsize="803,557">
              <v:shape style="position:absolute;left:2712;top:9086;width:803;height:557" coordorigin="2712,9086" coordsize="803,557" path="m3515,9086l2712,9643e" filled="false" stroked="true" strokeweight=".498pt" strokecolor="#8c8f90">
                <v:path arrowok="t"/>
              </v:shape>
            </v:group>
            <v:group style="position:absolute;left:1346;top:9679;width:211;height:99" coordorigin="1346,9679" coordsize="211,99">
              <v:shape style="position:absolute;left:1346;top:9679;width:211;height:99" coordorigin="1346,9679" coordsize="211,99" path="m1557,9679l1346,9777e" filled="false" stroked="true" strokeweight=".249pt" strokecolor="#8c8f90">
                <v:path arrowok="t"/>
              </v:shape>
            </v:group>
            <v:group style="position:absolute;left:1840;top:9248;width:639;height:299" coordorigin="1840,9248" coordsize="639,299">
              <v:shape style="position:absolute;left:1840;top:9248;width:639;height:299" coordorigin="1840,9248" coordsize="639,299" path="m2478,9248l1840,9546e" filled="false" stroked="true" strokeweight=".249pt" strokecolor="#8c8f90">
                <v:path arrowok="t"/>
              </v:shape>
            </v:group>
            <v:group style="position:absolute;left:2708;top:8764;width:808;height:378" coordorigin="2708,8764" coordsize="808,378">
              <v:shape style="position:absolute;left:2708;top:8764;width:808;height:378" coordorigin="2708,8764" coordsize="808,378" path="m3515,8764l2708,9141e" filled="false" stroked="true" strokeweight=".249pt" strokecolor="#8c8f90">
                <v:path arrowok="t"/>
              </v:shape>
            </v:group>
            <v:group style="position:absolute;left:3650;top:9131;width:497;height:647" coordorigin="3650,9131" coordsize="497,647">
              <v:shape style="position:absolute;left:3650;top:9131;width:497;height:647" coordorigin="3650,9131" coordsize="497,647" path="m4147,9131l3650,9777e" filled="false" stroked="true" strokeweight=".498pt" strokecolor="#9c8758">
                <v:path arrowok="t"/>
              </v:shape>
            </v:group>
            <v:group style="position:absolute;left:3365;top:9115;width:622;height:663" coordorigin="3365,9115" coordsize="622,663">
              <v:shape style="position:absolute;left:3365;top:9115;width:622;height:663" coordorigin="3365,9115" coordsize="622,663" path="m3987,9115l3365,9777e" filled="false" stroked="true" strokeweight=".498pt" strokecolor="#9c8758">
                <v:path arrowok="t"/>
              </v:shape>
            </v:group>
            <v:group style="position:absolute;left:3054;top:9115;width:745;height:663" coordorigin="3054,9115" coordsize="745,663">
              <v:shape style="position:absolute;left:3054;top:9115;width:745;height:663" coordorigin="3054,9115" coordsize="745,663" path="m3798,9115l3054,9777e" filled="false" stroked="true" strokeweight=".249pt" strokecolor="#8c8f90">
                <v:path arrowok="t"/>
              </v:shape>
            </v:group>
            <v:group style="position:absolute;left:3652;top:9115;width:443;height:532" coordorigin="3652,9115" coordsize="443,532">
              <v:shape style="position:absolute;left:3652;top:9115;width:443;height:532" coordorigin="3652,9115" coordsize="443,532" path="m4095,9115l3652,9646e" filled="false" stroked="true" strokeweight=".995pt" strokecolor="#8c8f90">
                <v:path arrowok="t"/>
              </v:shape>
            </v:group>
            <v:group style="position:absolute;left:2952;top:9133;width:763;height:645" coordorigin="2952,9133" coordsize="763,645">
              <v:shape style="position:absolute;left:2952;top:9133;width:763;height:645" coordorigin="2952,9133" coordsize="763,645" path="m3715,9133l2952,9777e" filled="false" stroked="true" strokeweight=".995pt" strokecolor="#9c8758">
                <v:path arrowok="t"/>
              </v:shape>
            </v:group>
            <v:group style="position:absolute;left:2785;top:9519;width:332;height:259" coordorigin="2785,9519" coordsize="332,259">
              <v:shape style="position:absolute;left:2785;top:9519;width:332;height:259" coordorigin="2785,9519" coordsize="332,259" path="m3116,9519l2785,9777e" filled="false" stroked="true" strokeweight="1.493pt" strokecolor="#9c8758">
                <v:path arrowok="t"/>
              </v:shape>
            </v:group>
            <v:group style="position:absolute;left:3251;top:9164;width:321;height:250" coordorigin="3251,9164" coordsize="321,250">
              <v:shape style="position:absolute;left:3251;top:9164;width:321;height:250" coordorigin="3251,9164" coordsize="321,250" path="m3572,9164l3251,9414e" filled="false" stroked="true" strokeweight="1.493pt" strokecolor="#8c8f90">
                <v:path arrowok="t"/>
              </v:shape>
            </v:group>
            <v:group style="position:absolute;left:3222;top:9115;width:679;height:663" coordorigin="3222,9115" coordsize="679,663">
              <v:shape style="position:absolute;left:3222;top:9115;width:679;height:663" coordorigin="3222,9115" coordsize="679,663" path="m3901,9115l3222,9777e" filled="false" stroked="true" strokeweight=".498pt" strokecolor="#9c8758">
                <v:path arrowok="t"/>
              </v:shape>
            </v:group>
            <v:group style="position:absolute;left:2814;top:9115;width:828;height:663" coordorigin="2814,9115" coordsize="828,663">
              <v:shape style="position:absolute;left:2814;top:9115;width:828;height:663" coordorigin="2814,9115" coordsize="828,663" path="m3642,9115l2814,9777e" filled="false" stroked="true" strokeweight=".498pt" strokecolor="#9c8758">
                <v:path arrowok="t"/>
              </v:shape>
            </v:group>
            <v:group style="position:absolute;left:3117;top:9115;width:716;height:663" coordorigin="3117,9115" coordsize="716,663">
              <v:shape style="position:absolute;left:3117;top:9115;width:716;height:663" coordorigin="3117,9115" coordsize="716,663" path="m3833,9115l3117,9777e" filled="false" stroked="true" strokeweight=".995pt" strokecolor="#9c8758">
                <v:path arrowok="t"/>
              </v:shape>
            </v:group>
            <v:group style="position:absolute;left:3742;top:9210;width:406;height:568" coordorigin="3742,9210" coordsize="406,568">
              <v:shape style="position:absolute;left:3742;top:9210;width:406;height:568" coordorigin="3742,9210" coordsize="406,568" path="m4147,9210l3742,9777e" filled="false" stroked="true" strokeweight="1.493pt" strokecolor="#8c8f90">
                <v:path arrowok="t"/>
              </v:shape>
            </v:group>
            <v:group style="position:absolute;left:2707;top:7637;width:1346;height:277" coordorigin="2707,7637" coordsize="1346,277">
              <v:shape style="position:absolute;left:2707;top:7637;width:1346;height:277" coordorigin="2707,7637" coordsize="1346,277" path="m2707,7637l4053,7914e" filled="false" stroked="true" strokeweight=".995pt" strokecolor="#8c8f90">
                <v:path arrowok="t"/>
              </v:shape>
            </v:group>
            <v:group style="position:absolute;left:2390;top:7572;width:305;height:63" coordorigin="2390,7572" coordsize="305,63">
              <v:shape style="position:absolute;left:2390;top:7572;width:305;height:63" coordorigin="2390,7572" coordsize="305,63" path="m2390,7572l2694,7635e" filled="false" stroked="true" strokeweight=".995pt" strokecolor="#8c8f90">
                <v:path arrowok="t"/>
              </v:shape>
            </v:group>
            <v:group style="position:absolute;left:804;top:7246;width:1266;height:261" coordorigin="804,7246" coordsize="1266,261">
              <v:shape style="position:absolute;left:804;top:7246;width:1266;height:261" coordorigin="804,7246" coordsize="1266,261" path="m804,7246l2069,7506e" filled="false" stroked="true" strokeweight=".995pt" strokecolor="#8c8f90">
                <v:path arrowok="t"/>
              </v:shape>
            </v:group>
            <v:group style="position:absolute;left:1034;top:6867;width:988;height:311" coordorigin="1034,6867" coordsize="988,311">
              <v:shape style="position:absolute;left:1034;top:6867;width:988;height:311" coordorigin="1034,6867" coordsize="988,311" path="m1034,6867l2021,7178e" filled="false" stroked="true" strokeweight="1.493pt" strokecolor="#9c8758">
                <v:path arrowok="t"/>
              </v:shape>
            </v:group>
            <v:group style="position:absolute;left:3177;top:7542;width:339;height:107" coordorigin="3177,7542" coordsize="339,107">
              <v:shape style="position:absolute;left:3177;top:7542;width:339;height:107" coordorigin="3177,7542" coordsize="339,107" path="m3177,7542l3515,7648e" filled="false" stroked="true" strokeweight="1.493pt" strokecolor="#9c8758">
                <v:path arrowok="t"/>
              </v:shape>
            </v:group>
            <v:group style="position:absolute;left:3859;top:7757;width:194;height:62" coordorigin="3859,7757" coordsize="194,62">
              <v:shape style="position:absolute;left:3859;top:7757;width:194;height:62" coordorigin="3859,7757" coordsize="194,62" path="m3859,7757l4053,7818e" filled="false" stroked="true" strokeweight="1.493pt" strokecolor="#9c8758">
                <v:path arrowok="t"/>
              </v:shape>
            </v:group>
            <v:group style="position:absolute;left:2240;top:7247;width:937;height:295" coordorigin="2240,7247" coordsize="937,295">
              <v:shape style="position:absolute;left:2240;top:7247;width:937;height:295" coordorigin="2240,7247" coordsize="937,295" path="m2240,7247l3177,7542e" filled="false" stroked="true" strokeweight="1.493pt" strokecolor="#9c8758">
                <v:path arrowok="t"/>
              </v:shape>
            </v:group>
            <v:group style="position:absolute;left:1886;top:7658;width:210;height:31" coordorigin="1886,7658" coordsize="210,31">
              <v:shape style="position:absolute;left:1886;top:7658;width:210;height:31" coordorigin="1886,7658" coordsize="210,31" path="m1886,7658l2095,7688e" filled="false" stroked="true" strokeweight=".995pt" strokecolor="#8c8f90">
                <v:path arrowok="t"/>
              </v:shape>
            </v:group>
            <v:group style="position:absolute;left:2707;top:7776;width:1346;height:194" coordorigin="2707,7776" coordsize="1346,194">
              <v:shape style="position:absolute;left:2707;top:7776;width:1346;height:194" coordorigin="2707,7776" coordsize="1346,194" path="m2707,7776l4053,7970e" filled="false" stroked="true" strokeweight=".995pt" strokecolor="#8c8f90">
                <v:path arrowok="t"/>
              </v:shape>
            </v:group>
            <v:group style="position:absolute;left:2182;top:7701;width:494;height:71" coordorigin="2182,7701" coordsize="494,71">
              <v:shape style="position:absolute;left:2182;top:7701;width:494;height:71" coordorigin="2182,7701" coordsize="494,71" path="m2182,7701l2676,7772e" filled="false" stroked="true" strokeweight=".995pt" strokecolor="#8c8f90">
                <v:path arrowok="t"/>
              </v:shape>
            </v:group>
            <v:group style="position:absolute;left:804;top:7503;width:754;height:109" coordorigin="804,7503" coordsize="754,109">
              <v:shape style="position:absolute;left:804;top:7503;width:754;height:109" coordorigin="804,7503" coordsize="754,109" path="m804,7503l1557,7611e" filled="false" stroked="true" strokeweight=".995pt" strokecolor="#9c8758">
                <v:path arrowok="t"/>
              </v:shape>
            </v:group>
            <v:group style="position:absolute;left:1560;top:7611;width:67;height:10" coordorigin="1560,7611" coordsize="67,10">
              <v:shape style="position:absolute;left:1560;top:7611;width:67;height:10" coordorigin="1560,7611" coordsize="67,10" path="m1560,7611l1627,7621e" filled="false" stroked="true" strokeweight=".995pt" strokecolor="#9c8758">
                <v:path arrowok="t"/>
              </v:shape>
            </v:group>
            <v:group style="position:absolute;left:1155;top:7681;width:403;height:45" coordorigin="1155,7681" coordsize="403,45">
              <v:shape style="position:absolute;left:1155;top:7681;width:403;height:45" coordorigin="1155,7681" coordsize="403,45" path="m1155,7681l1557,7725e" filled="false" stroked="true" strokeweight=".995pt" strokecolor="#8c8f90">
                <v:path arrowok="t"/>
              </v:shape>
            </v:group>
            <v:group style="position:absolute;left:1577;top:7728;width:533;height:59" coordorigin="1577,7728" coordsize="533,59">
              <v:shape style="position:absolute;left:1577;top:7728;width:533;height:59" coordorigin="1577,7728" coordsize="533,59" path="m1577,7728l2110,7786e" filled="false" stroked="true" strokeweight=".995pt" strokecolor="#8c8f90">
                <v:path arrowok="t"/>
              </v:shape>
            </v:group>
            <v:group style="position:absolute;left:2707;top:7852;width:1346;height:148" coordorigin="2707,7852" coordsize="1346,148">
              <v:shape style="position:absolute;left:2707;top:7852;width:1346;height:148" coordorigin="2707,7852" coordsize="1346,148" path="m2707,7852l4053,8000e" filled="false" stroked="true" strokeweight=".995pt" strokecolor="#8c8f90">
                <v:path arrowok="t"/>
              </v:shape>
            </v:group>
            <v:group style="position:absolute;left:2171;top:7793;width:496;height:55" coordorigin="2171,7793" coordsize="496,55">
              <v:shape style="position:absolute;left:2171;top:7793;width:496;height:55" coordorigin="2171,7793" coordsize="496,55" path="m2171,7793l2666,7847e" filled="false" stroked="true" strokeweight=".995pt" strokecolor="#8c8f90">
                <v:path arrowok="t"/>
              </v:shape>
            </v:group>
            <v:group style="position:absolute;left:804;top:7643;width:40;height:5" coordorigin="804,7643" coordsize="40,5">
              <v:shape style="position:absolute;left:804;top:7643;width:40;height:5" coordorigin="804,7643" coordsize="40,5" path="m804,7643l843,7647e" filled="false" stroked="true" strokeweight=".995pt" strokecolor="#8c8f90">
                <v:path arrowok="t"/>
              </v:shape>
            </v:group>
            <v:group style="position:absolute;left:804;top:7747;width:754;height:64" coordorigin="804,7747" coordsize="754,64">
              <v:shape style="position:absolute;left:804;top:7747;width:754;height:64" coordorigin="804,7747" coordsize="754,64" path="m804,7747l1557,7811e" filled="false" stroked="true" strokeweight=".995pt" strokecolor="#9c8758">
                <v:path arrowok="t"/>
              </v:shape>
            </v:group>
            <v:group style="position:absolute;left:1589;top:7814;width:531;height:45" coordorigin="1589,7814" coordsize="531,45">
              <v:shape style="position:absolute;left:1589;top:7814;width:531;height:45" coordorigin="1589,7814" coordsize="531,45" path="m1589,7814l2120,7859e" filled="false" stroked="true" strokeweight=".995pt" strokecolor="#9c8758">
                <v:path arrowok="t"/>
              </v:shape>
            </v:group>
            <v:group style="position:absolute;left:2707;top:7908;width:1346;height:114" coordorigin="2707,7908" coordsize="1346,114">
              <v:shape style="position:absolute;left:2707;top:7908;width:1346;height:114" coordorigin="2707,7908" coordsize="1346,114" path="m2707,7908l4053,8022e" filled="false" stroked="true" strokeweight=".995pt" strokecolor="#9c8758">
                <v:path arrowok="t"/>
              </v:shape>
            </v:group>
            <v:group style="position:absolute;left:2162;top:7862;width:497;height:43" coordorigin="2162,7862" coordsize="497,43">
              <v:shape style="position:absolute;left:2162;top:7862;width:497;height:43" coordorigin="2162,7862" coordsize="497,43" path="m2162,7862l2658,7904e" filled="false" stroked="true" strokeweight=".995pt" strokecolor="#9c8758">
                <v:path arrowok="t"/>
              </v:shape>
            </v:group>
            <v:group style="position:absolute;left:1517;top:7242;width:533;height:134" coordorigin="1517,7242" coordsize="533,134">
              <v:shape style="position:absolute;left:1517;top:7242;width:533;height:134" coordorigin="1517,7242" coordsize="533,134" path="m1517,7242l2050,7375e" filled="false" stroked="true" strokeweight="1.493pt" strokecolor="#9c8758">
                <v:path arrowok="t"/>
              </v:shape>
            </v:group>
            <v:group style="position:absolute;left:2717;top:7542;width:798;height:200" coordorigin="2717,7542" coordsize="798,200">
              <v:shape style="position:absolute;left:2717;top:7542;width:798;height:200" coordorigin="2717,7542" coordsize="798,200" path="m2717,7542l3515,7741e" filled="false" stroked="true" strokeweight="1.493pt" strokecolor="#9c8758">
                <v:path arrowok="t"/>
              </v:shape>
            </v:group>
            <v:group style="position:absolute;left:3577;top:7757;width:476;height:119" coordorigin="3577,7757" coordsize="476,119">
              <v:shape style="position:absolute;left:3577;top:7757;width:476;height:119" coordorigin="3577,7757" coordsize="476,119" path="m3577,7757l4053,7875e" filled="false" stroked="true" strokeweight="1.493pt" strokecolor="#9c8758">
                <v:path arrowok="t"/>
              </v:shape>
            </v:group>
            <v:group style="position:absolute;left:2219;top:7417;width:499;height:125" coordorigin="2219,7417" coordsize="499,125">
              <v:shape style="position:absolute;left:2219;top:7417;width:499;height:125" coordorigin="2219,7417" coordsize="499,125" path="m2219,7417l2717,7542e" filled="false" stroked="true" strokeweight="1.493pt" strokecolor="#9c8758">
                <v:path arrowok="t"/>
              </v:shape>
            </v:group>
            <v:group style="position:absolute;left:804;top:7064;width:412;height:103" coordorigin="804,7064" coordsize="412,103">
              <v:shape style="position:absolute;left:804;top:7064;width:412;height:103" coordorigin="804,7064" coordsize="412,103" path="m804,7064l1215,7167e" filled="false" stroked="true" strokeweight="1.493pt" strokecolor="#9c8758">
                <v:path arrowok="t"/>
              </v:shape>
            </v:group>
            <v:group style="position:absolute;left:1339;top:8720;width:218;height:41" coordorigin="1339,8720" coordsize="218,41">
              <v:shape style="position:absolute;left:1339;top:8720;width:218;height:41" coordorigin="1339,8720" coordsize="218,41" path="m1339,8761l1557,8720e" filled="false" stroked="true" strokeweight=".498pt" strokecolor="#8c8f90">
                <v:path arrowok="t"/>
              </v:shape>
            </v:group>
            <v:group style="position:absolute;left:1716;top:8531;width:859;height:160" coordorigin="1716,8531" coordsize="859,160">
              <v:shape style="position:absolute;left:1716;top:8531;width:859;height:160" coordorigin="1716,8531" coordsize="859,160" path="m1716,8691l2574,8531e" filled="false" stroked="true" strokeweight=".498pt" strokecolor="#8c8f90">
                <v:path arrowok="t"/>
              </v:shape>
            </v:group>
            <v:group style="position:absolute;left:2707;top:8257;width:1346;height:250" coordorigin="2707,8257" coordsize="1346,250">
              <v:shape style="position:absolute;left:2707;top:8257;width:1346;height:250" coordorigin="2707,8257" coordsize="1346,250" path="m2707,8507l4053,8257e" filled="false" stroked="true" strokeweight=".498pt" strokecolor="#8c8f90">
                <v:path arrowok="t"/>
              </v:shape>
            </v:group>
            <v:group style="position:absolute;left:804;top:8832;width:179;height:34" coordorigin="804,8832" coordsize="179,34">
              <v:shape style="position:absolute;left:804;top:8832;width:179;height:34" coordorigin="804,8832" coordsize="179,34" path="m804,8866l983,8832e" filled="false" stroked="true" strokeweight=".995pt" strokecolor="#9c8758">
                <v:path arrowok="t"/>
              </v:shape>
            </v:group>
            <v:group style="position:absolute;left:3788;top:8320;width:265;height:67" coordorigin="3788,8320" coordsize="265,67">
              <v:shape style="position:absolute;left:3788;top:8320;width:265;height:67" coordorigin="3788,8320" coordsize="265,67" path="m3788,8386l4053,8320e" filled="false" stroked="true" strokeweight="1.493pt" strokecolor="#8c8f90">
                <v:path arrowok="t"/>
              </v:shape>
            </v:group>
            <v:group style="position:absolute;left:2121;top:8695;width:432;height:108" coordorigin="2121,8695" coordsize="432,108">
              <v:shape style="position:absolute;left:2121;top:8695;width:432;height:108" coordorigin="2121,8695" coordsize="432,108" path="m2121,8803l2552,8695e" filled="false" stroked="true" strokeweight="1.493pt" strokecolor="#8c8f90">
                <v:path arrowok="t"/>
              </v:shape>
            </v:group>
            <v:group style="position:absolute;left:2707;top:8494;width:647;height:162" coordorigin="2707,8494" coordsize="647,162">
              <v:shape style="position:absolute;left:2707;top:8494;width:647;height:162" coordorigin="2707,8494" coordsize="647,162" path="m2707,8656l3354,8494e" filled="false" stroked="true" strokeweight="1.493pt" strokecolor="#8c8f90">
                <v:path arrowok="t"/>
              </v:shape>
            </v:group>
            <v:group style="position:absolute;left:843;top:8944;width:714;height:179" coordorigin="843,8944" coordsize="714,179">
              <v:shape style="position:absolute;left:843;top:8944;width:714;height:179" coordorigin="843,8944" coordsize="714,179" path="m843,9122l1557,8944e" filled="false" stroked="true" strokeweight="1.493pt" strokecolor="#9c8758">
                <v:path arrowok="t"/>
              </v:shape>
            </v:group>
            <v:group style="position:absolute;left:804;top:6959;width:1236;height:340" coordorigin="804,6959" coordsize="1236,340">
              <v:shape style="position:absolute;left:804;top:6959;width:1236;height:340" coordorigin="804,6959" coordsize="1236,340" path="m804,6959l2039,7299e" filled="false" stroked="true" strokeweight=".995pt" strokecolor="#9c8758">
                <v:path arrowok="t"/>
              </v:shape>
            </v:group>
            <v:group style="position:absolute;left:2922;top:7542;width:594;height:164" coordorigin="2922,7542" coordsize="594,164">
              <v:shape style="position:absolute;left:2922;top:7542;width:594;height:164" coordorigin="2922,7542" coordsize="594,164" path="m2922,7542l3515,7705e" filled="false" stroked="true" strokeweight=".995pt" strokecolor="#9c8758">
                <v:path arrowok="t"/>
              </v:shape>
            </v:group>
            <v:group style="position:absolute;left:3703;top:7757;width:351;height:97" coordorigin="3703,7757" coordsize="351,97">
              <v:shape style="position:absolute;left:3703;top:7757;width:351;height:97" coordorigin="3703,7757" coordsize="351,97" path="m3703,7757l4053,7853e" filled="false" stroked="true" strokeweight=".995pt" strokecolor="#9c8758">
                <v:path arrowok="t"/>
              </v:shape>
            </v:group>
            <v:group style="position:absolute;left:2227;top:7351;width:695;height:192" coordorigin="2227,7351" coordsize="695,192">
              <v:shape style="position:absolute;left:2227;top:7351;width:695;height:192" coordorigin="2227,7351" coordsize="695,192" path="m2227,7351l2922,7542e" filled="false" stroked="true" strokeweight=".995pt" strokecolor="#9c8758">
                <v:path arrowok="t"/>
              </v:shape>
            </v:group>
            <v:group style="position:absolute;left:804;top:8264;width:754;height:38" coordorigin="804,8264" coordsize="754,38">
              <v:shape style="position:absolute;left:804;top:8264;width:754;height:38" coordorigin="804,8264" coordsize="754,38" path="m804,8301l1557,8264e" filled="false" stroked="true" strokeweight=".995pt" strokecolor="#8c8f90">
                <v:path arrowok="t"/>
              </v:shape>
            </v:group>
            <v:group style="position:absolute;left:1654;top:8212;width:964;height:48" coordorigin="1654,8212" coordsize="964,48">
              <v:shape style="position:absolute;left:1654;top:8212;width:964;height:48" coordorigin="1654,8212" coordsize="964,48" path="m1654,8259l2617,8212e" filled="false" stroked="true" strokeweight=".995pt" strokecolor="#8c8f90">
                <v:path arrowok="t"/>
              </v:shape>
            </v:group>
            <v:group style="position:absolute;left:2707;top:8141;width:1346;height:67" coordorigin="2707,8141" coordsize="1346,67">
              <v:shape style="position:absolute;left:2707;top:8141;width:1346;height:67" coordorigin="2707,8141" coordsize="1346,67" path="m2707,8207l4053,8141e" filled="false" stroked="true" strokeweight=".995pt" strokecolor="#8c8f90">
                <v:path arrowok="t"/>
              </v:shape>
            </v:group>
            <v:group style="position:absolute;left:2707;top:7999;width:1346;height:60" coordorigin="2707,7999" coordsize="1346,60">
              <v:shape style="position:absolute;left:2707;top:7999;width:1346;height:60" coordorigin="2707,7999" coordsize="1346,60" path="m2707,7999l4053,8058e" filled="false" stroked="true" strokeweight="1.493pt" strokecolor="#8c8f90">
                <v:path arrowok="t"/>
              </v:shape>
            </v:group>
            <v:group style="position:absolute;left:2312;top:7981;width:334;height:15" coordorigin="2312,7981" coordsize="334,15">
              <v:shape style="position:absolute;left:2312;top:7981;width:334;height:15" coordorigin="2312,7981" coordsize="334,15" path="m2312,7981l2646,7996e" filled="false" stroked="true" strokeweight="1.493pt" strokecolor="#8c8f90">
                <v:path arrowok="t"/>
              </v:shape>
            </v:group>
            <v:group style="position:absolute;left:1116;top:7929;width:442;height:20" coordorigin="1116,7929" coordsize="442,20">
              <v:shape style="position:absolute;left:1116;top:7929;width:442;height:20" coordorigin="1116,7929" coordsize="442,20" path="m1116,7929l1557,7948e" filled="false" stroked="true" strokeweight="1.493pt" strokecolor="#8c8f90">
                <v:path arrowok="t"/>
              </v:shape>
            </v:group>
            <v:group style="position:absolute;left:1609;top:7950;width:512;height:23" coordorigin="1609,7950" coordsize="512,23">
              <v:shape style="position:absolute;left:1609;top:7950;width:512;height:23" coordorigin="1609,7950" coordsize="512,23" path="m1609,7950l2121,7973e" filled="false" stroked="true" strokeweight="1.493pt" strokecolor="#8c8f90">
                <v:path arrowok="t"/>
              </v:shape>
            </v:group>
            <v:group style="position:absolute;left:1686;top:8376;width:909;height:108" coordorigin="1686,8376" coordsize="909,108">
              <v:shape style="position:absolute;left:1686;top:8376;width:909;height:108" coordorigin="1686,8376" coordsize="909,108" path="m1686,8484l2595,8376e" filled="false" stroked="true" strokeweight=".995pt" strokecolor="#9c8758">
                <v:path arrowok="t"/>
              </v:shape>
            </v:group>
            <v:group style="position:absolute;left:2707;top:8295;width:566;height:68" coordorigin="2707,8295" coordsize="566,68">
              <v:shape style="position:absolute;left:2707;top:8295;width:566;height:68" coordorigin="2707,8295" coordsize="566,68" path="m2707,8363l3272,8295e" filled="false" stroked="true" strokeweight=".995pt" strokecolor="#9c8758">
                <v:path arrowok="t"/>
              </v:shape>
            </v:group>
            <v:group style="position:absolute;left:804;top:8523;width:549;height:66" coordorigin="804,8523" coordsize="549,66">
              <v:shape style="position:absolute;left:804;top:8523;width:549;height:66" coordorigin="804,8523" coordsize="549,66" path="m804,8589l1352,8523e" filled="false" stroked="true" strokeweight=".995pt" strokecolor="#8c8f90">
                <v:path arrowok="t"/>
              </v:shape>
            </v:group>
            <v:group style="position:absolute;left:3438;top:8112;width:615;height:10" coordorigin="3438,8112" coordsize="615,10">
              <v:shape style="position:absolute;left:3438;top:8112;width:615;height:10" coordorigin="3438,8112" coordsize="615,10" path="m3438,8122l4053,8112e" filled="false" stroked="true" strokeweight="1.493pt" strokecolor="#8c8f90">
                <v:path arrowok="t"/>
              </v:shape>
            </v:group>
            <v:group style="position:absolute;left:2121;top:8135;width:507;height:9" coordorigin="2121,8135" coordsize="507,9">
              <v:shape style="position:absolute;left:2121;top:8135;width:507;height:9" coordorigin="2121,8135" coordsize="507,9" path="m2121,8143l2627,8135e" filled="false" stroked="true" strokeweight="1.493pt" strokecolor="#9c8758">
                <v:path arrowok="t"/>
              </v:shape>
            </v:group>
            <v:group style="position:absolute;left:1195;top:8152;width:363;height:6" coordorigin="1195,8152" coordsize="363,6">
              <v:shape style="position:absolute;left:1195;top:8152;width:363;height:6" coordorigin="1195,8152" coordsize="363,6" path="m1195,8158l1557,8152e" filled="false" stroked="true" strokeweight="1.493pt" strokecolor="#9c8758">
                <v:path arrowok="t"/>
              </v:shape>
            </v:group>
            <v:group style="position:absolute;left:1638;top:8146;width:287;height:5" coordorigin="1638,8146" coordsize="287,5">
              <v:shape style="position:absolute;left:1638;top:8146;width:287;height:5" coordorigin="1638,8146" coordsize="287,5" path="m1638,8151l1762,8149,1925,8146e" filled="false" stroked="true" strokeweight="1.493pt" strokecolor="#9c8758">
                <v:path arrowok="t"/>
              </v:shape>
            </v:group>
            <v:group style="position:absolute;left:804;top:8163;width:85;height:2" coordorigin="804,8163" coordsize="85,2">
              <v:shape style="position:absolute;left:804;top:8163;width:85;height:2" coordorigin="804,8163" coordsize="85,2" path="m804,8164l888,8163e" filled="false" stroked="true" strokeweight="1.493pt" strokecolor="#9c8758">
                <v:path arrowok="t"/>
              </v:shape>
            </v:group>
            <v:group style="position:absolute;left:1918;top:9272;width:557;height:266" coordorigin="1918,9272" coordsize="557,266">
              <v:shape style="position:absolute;left:1918;top:9272;width:557;height:266" coordorigin="1918,9272" coordsize="557,266" path="m1918,9537l2475,9272e" filled="false" stroked="true" strokeweight=".995pt" strokecolor="#8c8f90">
                <v:path arrowok="t"/>
              </v:shape>
            </v:group>
            <v:group style="position:absolute;left:2708;top:8777;width:808;height:385" coordorigin="2708,8777" coordsize="808,385">
              <v:shape style="position:absolute;left:2708;top:8777;width:808;height:385" coordorigin="2708,8777" coordsize="808,385" path="m2708,9161l3515,8777e" filled="false" stroked="true" strokeweight=".995pt" strokecolor="#8c8f90">
                <v:path arrowok="t"/>
              </v:shape>
            </v:group>
            <v:group style="position:absolute;left:1415;top:9710;width:142;height:68" coordorigin="1415,9710" coordsize="142,68">
              <v:shape style="position:absolute;left:1415;top:9710;width:142;height:68" coordorigin="1415,9710" coordsize="142,68" path="m1415,9777l1556,9710e" filled="false" stroked="true" strokeweight=".995pt" strokecolor="#8c8f90">
                <v:path arrowok="t"/>
              </v:shape>
            </v:group>
            <v:group style="position:absolute;left:2903;top:8606;width:612;height:219" coordorigin="2903,8606" coordsize="612,219">
              <v:shape style="position:absolute;left:2903;top:8606;width:612;height:219" coordorigin="2903,8606" coordsize="612,219" path="m2903,8824l3515,8606e" filled="false" stroked="true" strokeweight="1.493pt" strokecolor="#8c8f90">
                <v:path arrowok="t"/>
              </v:shape>
            </v:group>
            <v:group style="position:absolute;left:1468;top:9304;width:89;height:32" coordorigin="1468,9304" coordsize="89,32">
              <v:shape style="position:absolute;left:1468;top:9304;width:89;height:32" coordorigin="1468,9304" coordsize="89,32" path="m1468,9336l1557,9304e" filled="false" stroked="true" strokeweight="1.493pt" strokecolor="#8c8f90">
                <v:path arrowok="t"/>
              </v:shape>
            </v:group>
            <v:group style="position:absolute;left:1793;top:8962;width:724;height:259" coordorigin="1793,8962" coordsize="724,259">
              <v:shape style="position:absolute;left:1793;top:8962;width:724;height:259" coordorigin="1793,8962" coordsize="724,259" path="m1793,9220l2517,8962e" filled="false" stroked="true" strokeweight="1.493pt" strokecolor="#8c8f90">
                <v:path arrowok="t"/>
              </v:shape>
            </v:group>
            <v:group style="position:absolute;left:804;top:9420;width:429;height:153" coordorigin="804,9420" coordsize="429,153">
              <v:shape style="position:absolute;left:804;top:9420;width:429;height:153" coordorigin="804,9420" coordsize="429,153" path="m804,9573l1233,9420e" filled="false" stroked="true" strokeweight="1.493pt" strokecolor="#9c8758">
                <v:path arrowok="t"/>
              </v:shape>
            </v:group>
            <v:group style="position:absolute;left:804;top:7149;width:1256;height:290" coordorigin="804,7149" coordsize="1256,290">
              <v:shape style="position:absolute;left:804;top:7149;width:1256;height:290" coordorigin="804,7149" coordsize="1256,290" path="m2059,7439l804,7149e" filled="false" stroked="true" strokeweight=".498pt" strokecolor="#9c8758">
                <v:path arrowok="t"/>
              </v:shape>
            </v:group>
            <v:group style="position:absolute;left:2707;top:7588;width:1346;height:311" coordorigin="2707,7588" coordsize="1346,311">
              <v:shape style="position:absolute;left:2707;top:7588;width:1346;height:311" coordorigin="2707,7588" coordsize="1346,311" path="m4053,7899l2707,7588e" filled="false" stroked="true" strokeweight=".498pt" strokecolor="#9c8758">
                <v:path arrowok="t"/>
              </v:shape>
            </v:group>
            <v:group style="position:absolute;left:2211;top:7474;width:490;height:114" coordorigin="2211,7474" coordsize="490,114">
              <v:shape style="position:absolute;left:2211;top:7474;width:490;height:114" coordorigin="2211,7474" coordsize="490,114" path="m2701,7587l2211,7474e" filled="false" stroked="true" strokeweight=".498pt" strokecolor="#9c8758">
                <v:path arrowok="t"/>
              </v:shape>
            </v:group>
            <v:group style="position:absolute;left:804;top:7397;width:119;height:21" coordorigin="804,7397" coordsize="119,21">
              <v:shape style="position:absolute;left:804;top:7397;width:119;height:21" coordorigin="804,7397" coordsize="119,21" path="m922,7417l804,7397e" filled="false" stroked="true" strokeweight=".498pt" strokecolor="#9c8758">
                <v:path arrowok="t"/>
              </v:shape>
            </v:group>
            <v:group style="position:absolute;left:1254;top:7473;width:710;height:121" coordorigin="1254,7473" coordsize="710,121">
              <v:shape style="position:absolute;left:1254;top:7473;width:710;height:121" coordorigin="1254,7473" coordsize="710,121" path="m1963,7593l1254,7473e" filled="false" stroked="true" strokeweight=".498pt" strokecolor="#9c8758">
                <v:path arrowok="t"/>
              </v:shape>
            </v:group>
            <v:group style="position:absolute;left:1963;top:7593;width:122;height:21" coordorigin="1963,7593" coordsize="122,21">
              <v:shape style="position:absolute;left:1963;top:7593;width:122;height:21" coordorigin="1963,7593" coordsize="122,21" path="m2085,7614l1963,7593e" filled="false" stroked="true" strokeweight=".498pt" strokecolor="#9c8758">
                <v:path arrowok="t"/>
              </v:shape>
            </v:group>
            <v:group style="position:absolute;left:2707;top:7719;width:1346;height:228" coordorigin="2707,7719" coordsize="1346,228">
              <v:shape style="position:absolute;left:2707;top:7719;width:1346;height:228" coordorigin="2707,7719" coordsize="1346,228" path="m4053,7947l2707,7719e" filled="false" stroked="true" strokeweight=".498pt" strokecolor="#9c8758">
                <v:path arrowok="t"/>
              </v:shape>
            </v:group>
            <v:group style="position:absolute;left:2191;top:7632;width:493;height:84" coordorigin="2191,7632" coordsize="493,84">
              <v:shape style="position:absolute;left:2191;top:7632;width:493;height:84" coordorigin="2191,7632" coordsize="493,84" path="m2684,7715l2191,7632e" filled="false" stroked="true" strokeweight=".498pt" strokecolor="#9c8758">
                <v:path arrowok="t"/>
              </v:shape>
            </v:group>
            <v:group style="position:absolute;left:804;top:6611;width:1200;height:431" coordorigin="804,6611" coordsize="1200,431">
              <v:shape style="position:absolute;left:804;top:6611;width:1200;height:431" coordorigin="804,6611" coordsize="1200,431" path="m2003,7042l804,6611e" filled="false" stroked="true" strokeweight=".249pt" strokecolor="#8c8f90">
                <v:path arrowok="t"/>
              </v:shape>
            </v:group>
            <v:group style="position:absolute;left:3993;top:7757;width:60;height:22" coordorigin="3993,7757" coordsize="60,22">
              <v:shape style="position:absolute;left:3993;top:7757;width:60;height:22" coordorigin="3993,7757" coordsize="60,22" path="m4053,7778l3993,7757e" filled="false" stroked="true" strokeweight=".249pt" strokecolor="#8c8f90">
                <v:path arrowok="t"/>
              </v:shape>
            </v:group>
            <v:group style="position:absolute;left:3395;top:7542;width:120;height:43" coordorigin="3395,7542" coordsize="120,43">
              <v:shape style="position:absolute;left:3395;top:7542;width:120;height:43" coordorigin="3395,7542" coordsize="120,43" path="m3515,7585l3395,7542e" filled="false" stroked="true" strokeweight=".249pt" strokecolor="#8c8f90">
                <v:path arrowok="t"/>
              </v:shape>
            </v:group>
            <v:group style="position:absolute;left:2255;top:7132;width:1141;height:410" coordorigin="2255,7132" coordsize="1141,410">
              <v:shape style="position:absolute;left:2255;top:7132;width:1141;height:410" coordorigin="2255,7132" coordsize="1141,410" path="m3395,7542l2255,7132e" filled="false" stroked="true" strokeweight=".249pt" strokecolor="#8c8f90">
                <v:path arrowok="t"/>
              </v:shape>
            </v:group>
            <v:group style="position:absolute;left:1268;top:6466;width:699;height:311" coordorigin="1268,6466" coordsize="699,311">
              <v:shape style="position:absolute;left:1268;top:6466;width:699;height:311" coordorigin="1268,6466" coordsize="699,311" path="m1966,6776l1268,6466e" filled="false" stroked="true" strokeweight=".249pt" strokecolor="#8c8f90">
                <v:path arrowok="t"/>
              </v:shape>
            </v:group>
            <v:group style="position:absolute;left:2283;top:6917;width:1233;height:548" coordorigin="2283,6917" coordsize="1233,548">
              <v:shape style="position:absolute;left:2283;top:6917;width:1233;height:548" coordorigin="2283,6917" coordsize="1233,548" path="m3515,7464l2283,6917e" filled="false" stroked="true" strokeweight=".249pt" strokecolor="#8c8f90">
                <v:path arrowok="t"/>
              </v:shape>
            </v:group>
            <v:group style="position:absolute;left:2863;top:7208;width:653;height:280" coordorigin="2863,7208" coordsize="653,280">
              <v:shape style="position:absolute;left:2863;top:7208;width:653;height:280" coordorigin="2863,7208" coordsize="653,280" path="m2863,7208l3515,7487e" filled="false" stroked="true" strokeweight=".995pt" strokecolor="#9c8758">
                <v:path arrowok="t"/>
              </v:shape>
            </v:group>
            <v:group style="position:absolute;left:1129;top:6466;width:845;height:362" coordorigin="1129,6466" coordsize="845,362">
              <v:shape style="position:absolute;left:1129;top:6466;width:845;height:362" coordorigin="1129,6466" coordsize="845,362" path="m1129,6466l1974,6827e" filled="false" stroked="true" strokeweight=".995pt" strokecolor="#8c8f90">
                <v:path arrowok="t"/>
              </v:shape>
            </v:group>
            <v:group style="position:absolute;left:2277;top:6957;width:198;height:85" coordorigin="2277,6957" coordsize="198,85">
              <v:shape style="position:absolute;left:2277;top:6957;width:198;height:85" coordorigin="2277,6957" coordsize="198,85" path="m2277,6957l2475,7042e" filled="false" stroked="true" strokeweight=".995pt" strokecolor="#8c8f90">
                <v:path arrowok="t"/>
              </v:shape>
            </v:group>
            <v:group style="position:absolute;left:2508;top:6681;width:645;height:376" coordorigin="2508,6681" coordsize="645,376">
              <v:shape style="position:absolute;left:2508;top:6681;width:645;height:376" coordorigin="2508,6681" coordsize="645,376" path="m2508,6681l3153,7057e" filled="false" stroked="true" strokeweight="1.493pt" strokecolor="#8c8f90">
                <v:path arrowok="t"/>
              </v:shape>
            </v:group>
            <v:group style="position:absolute;left:3508;top:6466;width:570;height:663" coordorigin="3508,6466" coordsize="570,663">
              <v:shape style="position:absolute;left:3508;top:6466;width:570;height:663" coordorigin="3508,6466" coordsize="570,663" path="m3508,6466l4078,7129e" filled="false" stroked="true" strokeweight=".995pt" strokecolor="#9c8758">
                <v:path arrowok="t"/>
              </v:shape>
            </v:group>
            <v:group style="position:absolute;left:3806;top:6466;width:285;height:409" coordorigin="3806,6466" coordsize="285,409">
              <v:shape style="position:absolute;left:3806;top:6466;width:285;height:409" coordorigin="3806,6466" coordsize="285,409" path="m3806,6466l4090,6874e" filled="false" stroked="true" strokeweight="1.493pt" strokecolor="#9c8758">
                <v:path arrowok="t"/>
              </v:shape>
            </v:group>
            <v:group style="position:absolute;left:3358;top:6466;width:644;height:663" coordorigin="3358,6466" coordsize="644,663">
              <v:shape style="position:absolute;left:3358;top:6466;width:644;height:663" coordorigin="3358,6466" coordsize="644,663" path="m3358,6466l4001,7129e" filled="false" stroked="true" strokeweight=".995pt" strokecolor="#9c8758">
                <v:path arrowok="t"/>
              </v:shape>
            </v:group>
            <v:group style="position:absolute;left:3653;top:6466;width:437;height:553" coordorigin="3653,6466" coordsize="437,553">
              <v:shape style="position:absolute;left:3653;top:6466;width:437;height:553" coordorigin="3653,6466" coordsize="437,553" path="m3653,6466l4090,7019e" filled="false" stroked="true" strokeweight="1.493pt" strokecolor="#8c8f90">
                <v:path arrowok="t"/>
              </v:shape>
            </v:group>
            <v:group style="position:absolute;left:1835;top:6504;width:98;height:50" coordorigin="1835,6504" coordsize="98,50">
              <v:shape style="position:absolute;left:1835;top:6504;width:98;height:50" coordorigin="1835,6504" coordsize="98,50" path="m1835,6504l1932,6554e" filled="false" stroked="true" strokeweight=".995pt" strokecolor="#9c8758">
                <v:path arrowok="t"/>
              </v:shape>
            </v:group>
            <v:group style="position:absolute;left:2305;top:6745;width:1211;height:621" coordorigin="2305,6745" coordsize="1211,621">
              <v:shape style="position:absolute;left:2305;top:6745;width:1211;height:621" coordorigin="2305,6745" coordsize="1211,621" path="m2305,6745l3515,7366e" filled="false" stroked="true" strokeweight=".995pt" strokecolor="#9c8758">
                <v:path arrowok="t"/>
              </v:shape>
            </v:group>
            <v:group style="position:absolute;left:1469;top:6727;width:519;height:205" coordorigin="1469,6727" coordsize="519,205">
              <v:shape style="position:absolute;left:1469;top:6727;width:519;height:205" coordorigin="1469,6727" coordsize="519,205" path="m1469,6727l1988,6932e" filled="false" stroked="true" strokeweight=".995pt" strokecolor="#9c8758">
                <v:path arrowok="t"/>
              </v:shape>
            </v:group>
            <v:group style="position:absolute;left:2267;top:7042;width:1249;height:493" coordorigin="2267,7042" coordsize="1249,493">
              <v:shape style="position:absolute;left:2267;top:7042;width:1249;height:493" coordorigin="2267,7042" coordsize="1249,493" path="m2267,7042l3515,7534e" filled="false" stroked="true" strokeweight=".995pt" strokecolor="#9c8758">
                <v:path arrowok="t"/>
              </v:shape>
            </v:group>
            <v:group style="position:absolute;left:807;top:6466;width:210;height:83" coordorigin="807,6466" coordsize="210,83">
              <v:shape style="position:absolute;left:807;top:6466;width:210;height:83" coordorigin="807,6466" coordsize="210,83" path="m807,6466l1017,6549e" filled="false" stroked="true" strokeweight=".995pt" strokecolor="#8c8f90">
                <v:path arrowok="t"/>
              </v:shape>
            </v:group>
            <v:group style="position:absolute;left:2429;top:6466;width:1086;height:705" coordorigin="2429,6466" coordsize="1086,705">
              <v:shape style="position:absolute;left:2429;top:6466;width:1086;height:705" coordorigin="2429,6466" coordsize="1086,705" path="m2429,6466l3515,7171e" filled="false" stroked="true" strokeweight="1.493pt" strokecolor="#9c8758">
                <v:path arrowok="t"/>
              </v:shape>
            </v:group>
            <v:group style="position:absolute;left:1960;top:7084;width:52;height:18" coordorigin="1960,7084" coordsize="52,18">
              <v:shape style="position:absolute;left:1960;top:7084;width:52;height:18" coordorigin="1960,7084" coordsize="52,18" path="m1960,7084l2011,7102e" filled="false" stroked="true" strokeweight=".995pt" strokecolor="#9c8758">
                <v:path arrowok="t"/>
              </v:shape>
            </v:group>
            <v:group style="position:absolute;left:3307;top:7542;width:209;height:71" coordorigin="3307,7542" coordsize="209,71">
              <v:shape style="position:absolute;left:3307;top:7542;width:209;height:71" coordorigin="3307,7542" coordsize="209,71" path="m3307,7542l3515,7613e" filled="false" stroked="true" strokeweight=".995pt" strokecolor="#9c8758">
                <v:path arrowok="t"/>
              </v:shape>
            </v:group>
            <v:group style="position:absolute;left:3939;top:7757;width:115;height:39" coordorigin="3939,7757" coordsize="115,39">
              <v:shape style="position:absolute;left:3939;top:7757;width:115;height:39" coordorigin="3939,7757" coordsize="115,39" path="m3939,7757l4053,7795e" filled="false" stroked="true" strokeweight=".995pt" strokecolor="#9c8758">
                <v:path arrowok="t"/>
              </v:shape>
            </v:group>
            <v:group style="position:absolute;left:2249;top:7182;width:1058;height:360" coordorigin="2249,7182" coordsize="1058,360">
              <v:shape style="position:absolute;left:2249;top:7182;width:1058;height:360" coordorigin="2249,7182" coordsize="1058,360" path="m2249,7182l3307,7542e" filled="false" stroked="true" strokeweight=".995pt" strokecolor="#9c8758">
                <v:path arrowok="t"/>
              </v:shape>
            </v:group>
            <v:group style="position:absolute;left:804;top:6691;width:936;height:318" coordorigin="804,6691" coordsize="936,318">
              <v:shape style="position:absolute;left:804;top:6691;width:936;height:318" coordorigin="804,6691" coordsize="936,318" path="m804,6691l1739,7009e" filled="false" stroked="true" strokeweight=".995pt" strokecolor="#8c8f90">
                <v:path arrowok="t"/>
              </v:shape>
            </v:group>
            <v:group style="position:absolute;left:3037;top:6796;width:488;height:334" coordorigin="3037,6796" coordsize="488,334">
              <v:shape style="position:absolute;left:3037;top:6796;width:488;height:334" coordorigin="3037,6796" coordsize="488,334" path="m3037,6796l3524,7129e" filled="false" stroked="true" strokeweight=".995pt" strokecolor="#8c8f90">
                <v:path arrowok="t"/>
              </v:shape>
            </v:group>
            <v:group style="position:absolute;left:2555;top:6466;width:267;height:183" coordorigin="2555,6466" coordsize="267,183">
              <v:shape style="position:absolute;left:2555;top:6466;width:267;height:183" coordorigin="2555,6466" coordsize="267,183" path="m2555,6466l2822,6648e" filled="false" stroked="true" strokeweight=".995pt" strokecolor="#8c8f90">
                <v:path arrowok="t"/>
              </v:shape>
            </v:group>
            <v:group style="position:absolute;left:2332;top:6535;width:1184;height:709" coordorigin="2332,6535" coordsize="1184,709">
              <v:shape style="position:absolute;left:2332;top:6535;width:1184;height:709" coordorigin="2332,6535" coordsize="1184,709" path="m2332,6535l3515,7243e" filled="false" stroked="true" strokeweight=".995pt" strokecolor="#8c8f90">
                <v:path arrowok="t"/>
              </v:shape>
            </v:group>
            <v:group style="position:absolute;left:2739;top:7946;width:1315;height:91" coordorigin="2739,7946" coordsize="1315,91">
              <v:shape style="position:absolute;left:2739;top:7946;width:1315;height:91" coordorigin="2739,7946" coordsize="1315,91" path="m2739,7946l4053,8036e" filled="false" stroked="true" strokeweight=".498pt" strokecolor="#9c8758">
                <v:path arrowok="t"/>
              </v:shape>
            </v:group>
            <v:group style="position:absolute;left:983;top:7825;width:575;height:40" coordorigin="983,7825" coordsize="575,40">
              <v:shape style="position:absolute;left:983;top:7825;width:575;height:40" coordorigin="983,7825" coordsize="575,40" path="m983,7825l1557,7865e" filled="false" stroked="true" strokeweight=".498pt" strokecolor="#9c8758">
                <v:path arrowok="t"/>
              </v:shape>
            </v:group>
            <v:group style="position:absolute;left:1597;top:7868;width:530;height:37" coordorigin="1597,7868" coordsize="530,37">
              <v:shape style="position:absolute;left:1597;top:7868;width:530;height:37" coordorigin="1597,7868" coordsize="530,37" path="m1597,7868l2127,7904e" filled="false" stroked="true" strokeweight=".498pt" strokecolor="#9c8758">
                <v:path arrowok="t"/>
              </v:shape>
            </v:group>
            <v:group style="position:absolute;left:2156;top:7906;width:376;height:26" coordorigin="2156,7906" coordsize="376,26">
              <v:shape style="position:absolute;left:2156;top:7906;width:376;height:26" coordorigin="2156,7906" coordsize="376,26" path="m2156,7906l2531,7932e" filled="false" stroked="true" strokeweight=".498pt" strokecolor="#9c8758">
                <v:path arrowok="t"/>
              </v:shape>
            </v:group>
            <v:group style="position:absolute;left:804;top:7813;width:68;height:5" coordorigin="804,7813" coordsize="68,5">
              <v:shape style="position:absolute;left:804;top:7813;width:68;height:5" coordorigin="804,7813" coordsize="68,5" path="m804,7813l871,7818e" filled="false" stroked="true" strokeweight=".498pt" strokecolor="#8c8f90">
                <v:path arrowok="t"/>
              </v:shape>
            </v:group>
            <v:group style="position:absolute;left:2360;top:6901;width:1155;height:536" coordorigin="2360,6901" coordsize="1155,536">
              <v:shape style="position:absolute;left:2360;top:6901;width:1155;height:536" coordorigin="2360,6901" coordsize="1155,536" path="m2360,6901l3515,7436e" filled="false" stroked="true" strokeweight="1.493pt" strokecolor="#9c8758">
                <v:path arrowok="t"/>
              </v:shape>
            </v:group>
            <v:group style="position:absolute;left:1422;top:6466;width:536;height:249" coordorigin="1422,6466" coordsize="536,249">
              <v:shape style="position:absolute;left:1422;top:6466;width:536;height:249" coordorigin="1422,6466" coordsize="536,249" path="m1422,6466l1957,6714e" filled="false" stroked="true" strokeweight="1.493pt" strokecolor="#9c8758">
                <v:path arrowok="t"/>
              </v:shape>
            </v:group>
            <v:group style="position:absolute;left:3789;top:9256;width:358;height:522" coordorigin="3789,9256" coordsize="358,522">
              <v:shape style="position:absolute;left:3789;top:9256;width:358;height:522" coordorigin="3789,9256" coordsize="358,522" path="m4147,9256l3789,9777e" filled="false" stroked="true" strokeweight=".995pt" strokecolor="#9c8758">
                <v:path arrowok="t"/>
              </v:shape>
            </v:group>
            <v:group style="position:absolute;left:3932;top:9420;width:215;height:358" coordorigin="3932,9420" coordsize="215,358">
              <v:shape style="position:absolute;left:3932;top:9420;width:215;height:358" coordorigin="3932,9420" coordsize="215,358" path="m4147,9420l3932,9777e" filled="false" stroked="true" strokeweight=".995pt" strokecolor="#8c8f90">
                <v:path arrowok="t"/>
              </v:shape>
            </v:group>
            <v:group style="position:absolute;left:3962;top:9460;width:185;height:318" coordorigin="3962,9460" coordsize="185,318">
              <v:shape style="position:absolute;left:3962;top:9460;width:185;height:318" coordorigin="3962,9460" coordsize="185,318" path="m4147,9460l3962,9777e" filled="false" stroked="true" strokeweight="1.493pt" strokecolor="#9c8758">
                <v:path arrowok="t"/>
              </v:shape>
            </v:group>
            <v:group style="position:absolute;left:3755;top:6466;width:335;height:460" coordorigin="3755,6466" coordsize="335,460">
              <v:shape style="position:absolute;left:3755;top:6466;width:335;height:460" coordorigin="3755,6466" coordsize="335,460" path="m3755,6466l4090,6926e" filled="false" stroked="true" strokeweight=".498pt" strokecolor="#8c8f90">
                <v:path arrowok="t"/>
              </v:shape>
            </v:group>
            <v:group style="position:absolute;left:3907;top:6466;width:183;height:288" coordorigin="3907,6466" coordsize="183,288">
              <v:shape style="position:absolute;left:3907;top:6466;width:183;height:288" coordorigin="3907,6466" coordsize="183,288" path="m3907,6466l4090,6754e" filled="false" stroked="true" strokeweight=".498pt" strokecolor="#9c8758">
                <v:path arrowok="t"/>
              </v:shape>
            </v:group>
            <v:group style="position:absolute;left:2785;top:6466;width:876;height:663" coordorigin="2785,6466" coordsize="876,663">
              <v:shape style="position:absolute;left:2785;top:6466;width:876;height:663" coordorigin="2785,6466" coordsize="876,663" path="m2785,6466l3661,7129e" filled="false" stroked="true" strokeweight=".249pt" strokecolor="#8c8f90">
                <v:path arrowok="t"/>
              </v:shape>
            </v:group>
            <v:group style="position:absolute;left:3714;top:6466;width:376;height:500" coordorigin="3714,6466" coordsize="376,500">
              <v:shape style="position:absolute;left:3714;top:6466;width:376;height:500" coordorigin="3714,6466" coordsize="376,500" path="m3714,6466l4090,6965e" filled="false" stroked="true" strokeweight=".995pt" strokecolor="#9c8758">
                <v:path arrowok="t"/>
              </v:shape>
            </v:group>
            <v:group style="position:absolute;left:3957;top:6466;width:134;height:221" coordorigin="3957,6466" coordsize="134,221">
              <v:shape style="position:absolute;left:3957;top:6466;width:134;height:221" coordorigin="3957,6466" coordsize="134,221" path="m3957,6466l4090,6686e" filled="false" stroked="true" strokeweight="1.493pt" strokecolor="#9c8758">
                <v:path arrowok="t"/>
              </v:shape>
            </v:group>
            <v:group style="position:absolute;left:4029;top:6466;width:62;height:110" coordorigin="4029,6466" coordsize="62,110">
              <v:shape style="position:absolute;left:4029;top:6466;width:62;height:110" coordorigin="4029,6466" coordsize="62,110" path="m4029,6466l4090,6575e" filled="false" stroked="true" strokeweight="1.493pt" strokecolor="#9c8758">
                <v:path arrowok="t"/>
              </v:shape>
            </v:group>
            <v:group style="position:absolute;left:2208;top:9644;width:217;height:134" coordorigin="2208,9644" coordsize="217,134">
              <v:shape style="position:absolute;left:2208;top:9644;width:217;height:134" coordorigin="2208,9644" coordsize="217,134" path="m2425,9644l2208,9777e" filled="false" stroked="true" strokeweight=".249pt" strokecolor="#8c8f90">
                <v:path arrowok="t"/>
              </v:shape>
            </v:group>
            <v:group style="position:absolute;left:2708;top:8974;width:808;height:497" coordorigin="2708,8974" coordsize="808,497">
              <v:shape style="position:absolute;left:2708;top:8974;width:808;height:497" coordorigin="2708,8974" coordsize="808,497" path="m3515,8974l2708,9470e" filled="false" stroked="true" strokeweight=".249pt" strokecolor="#8c8f90">
                <v:path arrowok="t"/>
              </v:shape>
            </v:group>
            <v:group style="position:absolute;left:1854;top:9334;width:613;height:307" coordorigin="1854,9334" coordsize="613,307">
              <v:shape style="position:absolute;left:1854;top:9334;width:613;height:307" coordorigin="1854,9334" coordsize="613,307" path="m2467,9334l1854,9641e" filled="false" stroked="true" strokeweight=".249pt" strokecolor="#9c8758">
                <v:path arrowok="t"/>
              </v:shape>
            </v:group>
            <v:group style="position:absolute;left:2911;top:8795;width:604;height:302" coordorigin="2911,8795" coordsize="604,302">
              <v:shape style="position:absolute;left:2911;top:8795;width:604;height:302" coordorigin="2911,8795" coordsize="604,302" path="m3515,8795l2911,9097e" filled="false" stroked="true" strokeweight=".249pt" strokecolor="#8c8f90">
                <v:path arrowok="t"/>
              </v:shape>
            </v:group>
            <v:group style="position:absolute;left:2708;top:9050;width:808;height:540" coordorigin="2708,9050" coordsize="808,540">
              <v:shape style="position:absolute;left:2708;top:9050;width:808;height:540" coordorigin="2708,9050" coordsize="808,540" path="m3515,9050l2708,9589e" filled="false" stroked="true" strokeweight=".995pt" strokecolor="#9c8758">
                <v:path arrowok="t"/>
              </v:shape>
            </v:group>
            <v:group style="position:absolute;left:1866;top:9413;width:591;height:313" coordorigin="1866,9413" coordsize="591,313">
              <v:shape style="position:absolute;left:1866;top:9413;width:591;height:313" coordorigin="1866,9413" coordsize="591,313" path="m2456,9413l1866,9726e" filled="false" stroked="true" strokeweight="1.493pt" strokecolor="#8c8f90">
                <v:path arrowok="t"/>
              </v:shape>
            </v:group>
            <v:group style="position:absolute;left:2708;top:9073;width:392;height:208" coordorigin="2708,9073" coordsize="392,208">
              <v:shape style="position:absolute;left:2708;top:9073;width:392;height:208" coordorigin="2708,9073" coordsize="392,208" path="m3099,9073l2708,9280e" filled="false" stroked="true" strokeweight="1.493pt" strokecolor="#8c8f90">
                <v:path arrowok="t"/>
              </v:shape>
            </v:group>
            <v:group style="position:absolute;left:3207;top:8853;width:308;height:163" coordorigin="3207,8853" coordsize="308,163">
              <v:shape style="position:absolute;left:3207;top:8853;width:308;height:163" coordorigin="3207,8853" coordsize="308,163" path="m3515,8853l3207,9016e" filled="false" stroked="true" strokeweight="1.493pt" strokecolor="#8c8f90">
                <v:path arrowok="t"/>
              </v:shape>
            </v:group>
            <v:group style="position:absolute;left:2297;top:9701;width:121;height:77" coordorigin="2297,9701" coordsize="121,77">
              <v:shape style="position:absolute;left:2297;top:9701;width:121;height:77" coordorigin="2297,9701" coordsize="121,77" path="m2418,9701l2297,9777e" filled="false" stroked="true" strokeweight="1.493pt" strokecolor="#8c8f90">
                <v:path arrowok="t"/>
              </v:shape>
            </v:group>
            <v:group style="position:absolute;left:2708;top:9136;width:600;height:381" coordorigin="2708,9136" coordsize="600,381">
              <v:shape style="position:absolute;left:2708;top:9136;width:600;height:381" coordorigin="2708,9136" coordsize="600,381" path="m3307,9136l2708,9516e" filled="false" stroked="true" strokeweight="1.493pt" strokecolor="#8c8f90">
                <v:path arrowok="t"/>
              </v:shape>
            </v:group>
            <v:group style="position:absolute;left:3507;top:9004;width:8;height:5" coordorigin="3507,9004" coordsize="8,5">
              <v:shape style="position:absolute;left:3507;top:9004;width:8;height:5" coordorigin="3507,9004" coordsize="8,5" path="m3515,9004l3507,9009e" filled="false" stroked="true" strokeweight="1.493pt" strokecolor="#8c8f90">
                <v:path arrowok="t"/>
              </v:shape>
            </v:group>
            <v:group style="position:absolute;left:1919;top:9484;width:528;height:294" coordorigin="1919,9484" coordsize="528,294">
              <v:shape style="position:absolute;left:1919;top:9484;width:528;height:294" coordorigin="1919,9484" coordsize="528,294" path="m2447,9484l1919,9777e" filled="false" stroked="true" strokeweight=".498pt" strokecolor="#9c8758">
                <v:path arrowok="t"/>
              </v:shape>
            </v:group>
            <v:group style="position:absolute;left:2708;top:8890;width:808;height:449" coordorigin="2708,8890" coordsize="808,449">
              <v:shape style="position:absolute;left:2708;top:8890;width:808;height:449" coordorigin="2708,8890" coordsize="808,449" path="m3515,8890l2708,9339e" filled="false" stroked="true" strokeweight=".498pt" strokecolor="#9c8758">
                <v:path arrowok="t"/>
              </v:shape>
            </v:group>
            <v:group style="position:absolute;left:804;top:9372;width:753;height:284" coordorigin="804,9372" coordsize="753,284">
              <v:shape style="position:absolute;left:804;top:9372;width:753;height:284" coordorigin="804,9372" coordsize="753,284" path="m1557,9372l804,9655e" filled="false" stroked="true" strokeweight=".249pt" strokecolor="#9c8758">
                <v:path arrowok="t"/>
              </v:shape>
            </v:group>
            <v:group style="position:absolute;left:1801;top:9013;width:709;height:267" coordorigin="1801,9013" coordsize="709,267">
              <v:shape style="position:absolute;left:1801;top:9013;width:709;height:267" coordorigin="1801,9013" coordsize="709,267" path="m2510,9013l1801,9280e" filled="false" stroked="true" strokeweight=".249pt" strokecolor="#9c8758">
                <v:path arrowok="t"/>
              </v:shape>
            </v:group>
            <v:group style="position:absolute;left:2708;top:8634;width:808;height:304" coordorigin="2708,8634" coordsize="808,304">
              <v:shape style="position:absolute;left:2708;top:8634;width:808;height:304" coordorigin="2708,8634" coordsize="808,304" path="m3515,8634l2708,8938e" filled="false" stroked="true" strokeweight=".249pt" strokecolor="#9c8758">
                <v:path arrowok="t"/>
              </v:shape>
            </v:group>
            <v:group style="position:absolute;left:2169;top:9543;width:271;height:157" coordorigin="2169,9543" coordsize="271,157">
              <v:shape style="position:absolute;left:2169;top:9543;width:271;height:157" coordorigin="2169,9543" coordsize="271,157" path="m2439,9543l2169,9699e" filled="false" stroked="true" strokeweight=".995pt" strokecolor="#8c8f90">
                <v:path arrowok="t"/>
              </v:shape>
            </v:group>
            <v:group style="position:absolute;left:2708;top:8921;width:808;height:467" coordorigin="2708,8921" coordsize="808,467">
              <v:shape style="position:absolute;left:2708;top:8921;width:808;height:467" coordorigin="2708,8921" coordsize="808,467" path="m3515,8921l2708,9388e" filled="false" stroked="true" strokeweight=".995pt" strokecolor="#8c8f90">
                <v:path arrowok="t"/>
              </v:shape>
            </v:group>
            <v:group style="position:absolute;left:1198;top:9616;width:359;height:161" coordorigin="1198,9616" coordsize="359,161">
              <v:shape style="position:absolute;left:1198;top:9616;width:359;height:161" coordorigin="1198,9616" coordsize="359,161" path="m1557,9616l1198,9777e" filled="false" stroked="true" strokeweight="1.493pt" strokecolor="#9c8758">
                <v:path arrowok="t"/>
              </v:shape>
            </v:group>
            <v:group style="position:absolute;left:1832;top:9200;width:653;height:293" coordorigin="1832,9200" coordsize="653,293">
              <v:shape style="position:absolute;left:1832;top:9200;width:653;height:293" coordorigin="1832,9200" coordsize="653,293" path="m2485,9200l1832,9493e" filled="false" stroked="true" strokeweight="1.493pt" strokecolor="#9c8758">
                <v:path arrowok="t"/>
              </v:shape>
            </v:group>
            <v:group style="position:absolute;left:2708;top:8969;width:292;height:131" coordorigin="2708,8969" coordsize="292,131">
              <v:shape style="position:absolute;left:2708;top:8969;width:292;height:131" coordorigin="2708,8969" coordsize="292,131" path="m2999,8969l2708,9100e" filled="false" stroked="true" strokeweight="1.493pt" strokecolor="#9c8758">
                <v:path arrowok="t"/>
              </v:shape>
            </v:group>
            <v:group style="position:absolute;left:3189;top:8738;width:327;height:147" coordorigin="3189,8738" coordsize="327,147">
              <v:shape style="position:absolute;left:3189;top:8738;width:327;height:147" coordorigin="3189,8738" coordsize="327,147" path="m3515,8738l3189,8884e" filled="false" stroked="true" strokeweight="1.493pt" strokecolor="#8c8f90">
                <v:path arrowok="t"/>
              </v:shape>
            </v:group>
            <v:group style="position:absolute;left:804;top:9238;width:753;height:254" coordorigin="804,9238" coordsize="753,254">
              <v:shape style="position:absolute;left:804;top:9238;width:753;height:254" coordorigin="804,9238" coordsize="753,254" path="m1557,9238l804,9492e" filled="false" stroked="true" strokeweight=".498pt" strokecolor="#9c8758">
                <v:path arrowok="t"/>
              </v:shape>
            </v:group>
            <v:group style="position:absolute;left:1784;top:8912;width:739;height:249" coordorigin="1784,8912" coordsize="739,249">
              <v:shape style="position:absolute;left:1784;top:8912;width:739;height:249" coordorigin="1784,8912" coordsize="739,249" path="m2523,8912l1784,9161e" filled="false" stroked="true" strokeweight=".498pt" strokecolor="#9c8758">
                <v:path arrowok="t"/>
              </v:shape>
            </v:group>
            <v:group style="position:absolute;left:2708;top:8578;width:808;height:273" coordorigin="2708,8578" coordsize="808,273">
              <v:shape style="position:absolute;left:2708;top:8578;width:808;height:273" coordorigin="2708,8578" coordsize="808,273" path="m3515,8578l2708,8850e" filled="false" stroked="true" strokeweight=".498pt" strokecolor="#9c8758">
                <v:path arrowok="t"/>
              </v:shape>
            </v:group>
            <v:group style="position:absolute;left:843;top:9138;width:714;height:219" coordorigin="843,9138" coordsize="714,219">
              <v:shape style="position:absolute;left:843;top:9138;width:714;height:219" coordorigin="843,9138" coordsize="714,219" path="m1557,9138l843,9357e" filled="false" stroked="true" strokeweight=".995pt" strokecolor="#9c8758">
                <v:path arrowok="t"/>
              </v:shape>
            </v:group>
            <v:group style="position:absolute;left:1772;top:8988;width:277;height:85" coordorigin="1772,8988" coordsize="277,85">
              <v:shape style="position:absolute;left:1772;top:8988;width:277;height:85" coordorigin="1772,8988" coordsize="277,85" path="m2048,8988l1772,9073e" filled="false" stroked="true" strokeweight=".995pt" strokecolor="#9c8758">
                <v:path arrowok="t"/>
              </v:shape>
            </v:group>
            <v:group style="position:absolute;left:2192;top:8837;width:342;height:105" coordorigin="2192,8837" coordsize="342,105">
              <v:shape style="position:absolute;left:2192;top:8837;width:342;height:105" coordorigin="2192,8837" coordsize="342,105" path="m2533,8837l2192,8942e" filled="false" stroked="true" strokeweight=".995pt" strokecolor="#9c8758">
                <v:path arrowok="t"/>
              </v:shape>
            </v:group>
            <v:group style="position:absolute;left:4000;top:8370;width:53;height:17" coordorigin="4000,8370" coordsize="53,17">
              <v:shape style="position:absolute;left:4000;top:8370;width:53;height:17" coordorigin="4000,8370" coordsize="53,17" path="m4053,8370l4000,8387e" filled="false" stroked="true" strokeweight=".995pt" strokecolor="#9c8758">
                <v:path arrowok="t"/>
              </v:shape>
            </v:group>
            <v:group style="position:absolute;left:2708;top:8536;width:808;height:249" coordorigin="2708,8536" coordsize="808,249">
              <v:shape style="position:absolute;left:2708;top:8536;width:808;height:249" coordorigin="2708,8536" coordsize="808,249" path="m3515,8536l2708,8784e" filled="false" stroked="true" strokeweight=".995pt" strokecolor="#9c8758">
                <v:path arrowok="t"/>
              </v:shape>
            </v:group>
            <v:group style="position:absolute;left:2943;top:8431;width:573;height:134" coordorigin="2943,8431" coordsize="573,134">
              <v:shape style="position:absolute;left:2943;top:8431;width:573;height:134" coordorigin="2943,8431" coordsize="573,134" path="m2943,8565l3515,8431e" filled="false" stroked="true" strokeweight=".995pt" strokecolor="#8c8f90">
                <v:path arrowok="t"/>
              </v:shape>
            </v:group>
            <v:group style="position:absolute;left:3706;top:8305;width:347;height:82" coordorigin="3706,8305" coordsize="347,82">
              <v:shape style="position:absolute;left:3706;top:8305;width:347;height:82" coordorigin="3706,8305" coordsize="347,82" path="m3706,8387l4053,8305e" filled="false" stroked="true" strokeweight=".995pt" strokecolor="#8c8f90">
                <v:path arrowok="t"/>
              </v:shape>
            </v:group>
            <v:group style="position:absolute;left:1143;top:8890;width:414;height:97" coordorigin="1143,8890" coordsize="414,97">
              <v:shape style="position:absolute;left:1143;top:8890;width:414;height:97" coordorigin="1143,8890" coordsize="414,97" path="m1143,8986l1557,8890e" filled="false" stroked="true" strokeweight=".995pt" strokecolor="#8c8f90">
                <v:path arrowok="t"/>
              </v:shape>
            </v:group>
            <v:group style="position:absolute;left:1739;top:8675;width:737;height:173" coordorigin="1739,8675" coordsize="737,173">
              <v:shape style="position:absolute;left:1739;top:8675;width:737;height:173" coordorigin="1739,8675" coordsize="737,173" path="m1739,8847l2475,8675e" filled="false" stroked="true" strokeweight=".995pt" strokecolor="#8c8f90">
                <v:path arrowok="t"/>
              </v:shape>
            </v:group>
            <v:group style="position:absolute;left:2781;top:8220;width:1272;height:176" coordorigin="2781,8220" coordsize="1272,176">
              <v:shape style="position:absolute;left:2781;top:8220;width:1272;height:176" coordorigin="2781,8220" coordsize="1272,176" path="m2781,8395l4053,8220e" filled="false" stroked="true" strokeweight="1.493pt" strokecolor="#8c8f90">
                <v:path arrowok="t"/>
              </v:shape>
            </v:group>
            <v:group style="position:absolute;left:1172;top:8563;width:385;height:53" coordorigin="1172,8563" coordsize="385,53">
              <v:shape style="position:absolute;left:1172;top:8563;width:385;height:53" coordorigin="1172,8563" coordsize="385,53" path="m1172,8616l1557,8563e" filled="false" stroked="true" strokeweight="1.493pt" strokecolor="#9c8758">
                <v:path arrowok="t"/>
              </v:shape>
            </v:group>
            <v:group style="position:absolute;left:1695;top:8421;width:894;height:124" coordorigin="1695,8421" coordsize="894,124">
              <v:shape style="position:absolute;left:1695;top:8421;width:894;height:124" coordorigin="1695,8421" coordsize="894,124" path="m1695,8544l2589,8421e" filled="false" stroked="true" strokeweight="1.493pt" strokecolor="#9c8758">
                <v:path arrowok="t"/>
              </v:shape>
            </v:group>
            <v:group style="position:absolute;left:804;top:8631;width:265;height:37" coordorigin="804,8631" coordsize="265,37">
              <v:shape style="position:absolute;left:804;top:8631;width:265;height:37" coordorigin="804,8631" coordsize="265,37" path="m804,8667l1068,8631e" filled="false" stroked="true" strokeweight="1.493pt" strokecolor="#8c8f90">
                <v:path arrowok="t"/>
              </v:shape>
            </v:group>
            <v:group style="position:absolute;left:2190;top:8342;width:410;height:43" coordorigin="2190,8342" coordsize="410,43">
              <v:shape style="position:absolute;left:2190;top:8342;width:410;height:43" coordorigin="2190,8342" coordsize="410,43" path="m2190,8385l2600,8342e" filled="false" stroked="true" strokeweight=".995pt" strokecolor="#8c8f90">
                <v:path arrowok="t"/>
              </v:shape>
            </v:group>
            <v:group style="position:absolute;left:2707;top:8223;width:1030;height:108" coordorigin="2707,8223" coordsize="1030,108">
              <v:shape style="position:absolute;left:2707;top:8223;width:1030;height:108" coordorigin="2707,8223" coordsize="1030,108" path="m2707,8331l3737,8223e" filled="false" stroked="true" strokeweight=".995pt" strokecolor="#8c8f90">
                <v:path arrowok="t"/>
              </v:shape>
            </v:group>
            <v:group style="position:absolute;left:804;top:8452;width:754;height:79" coordorigin="804,8452" coordsize="754,79">
              <v:shape style="position:absolute;left:804;top:8452;width:754;height:79" coordorigin="804,8452" coordsize="754,79" path="m804,8530l1557,8452e" filled="false" stroked="true" strokeweight=".995pt" strokecolor="#8c8f90">
                <v:path arrowok="t"/>
              </v:shape>
            </v:group>
            <v:group style="position:absolute;left:1680;top:8411;width:261;height:28" coordorigin="1680,8411" coordsize="261,28">
              <v:shape style="position:absolute;left:1680;top:8411;width:261;height:28" coordorigin="1680,8411" coordsize="261,28" path="m1680,8439l1940,8411e" filled="false" stroked="true" strokeweight=".995pt" strokecolor="#8c8f90">
                <v:path arrowok="t"/>
              </v:shape>
            </v:group>
            <v:group style="position:absolute;left:804;top:8659;width:754;height:125" coordorigin="804,8659" coordsize="754,125">
              <v:shape style="position:absolute;left:804;top:8659;width:754;height:125" coordorigin="804,8659" coordsize="754,125" path="m804,8784l1557,8659e" filled="false" stroked="true" strokeweight=".995pt" strokecolor="#9c8758">
                <v:path arrowok="t"/>
              </v:shape>
            </v:group>
            <v:group style="position:absolute;left:1708;top:8489;width:872;height:145" coordorigin="1708,8489" coordsize="872,145">
              <v:shape style="position:absolute;left:1708;top:8489;width:872;height:145" coordorigin="1708,8489" coordsize="872,145" path="m1708,8634l2580,8489e" filled="false" stroked="true" strokeweight=".995pt" strokecolor="#9c8758">
                <v:path arrowok="t"/>
              </v:shape>
            </v:group>
            <v:group style="position:absolute;left:2707;top:8245;width:1346;height:224" coordorigin="2707,8245" coordsize="1346,224">
              <v:shape style="position:absolute;left:2707;top:8245;width:1346;height:224" coordorigin="2707,8245" coordsize="1346,224" path="m2707,8468l4053,8245e" filled="false" stroked="true" strokeweight=".995pt" strokecolor="#9c8758">
                <v:path arrowok="t"/>
              </v:shape>
            </v:group>
            <v:group style="position:absolute;left:804;top:8809;width:754;height:159" coordorigin="804,8809" coordsize="754,159">
              <v:shape style="position:absolute;left:804;top:8809;width:754;height:159" coordorigin="804,8809" coordsize="754,159" path="m804,8968l1557,8809e" filled="false" stroked="true" strokeweight=".995pt" strokecolor="#9c8758">
                <v:path arrowok="t"/>
              </v:shape>
            </v:group>
            <v:group style="position:absolute;left:1728;top:8597;width:838;height:177" coordorigin="1728,8597" coordsize="838,177">
              <v:shape style="position:absolute;left:1728;top:8597;width:838;height:177" coordorigin="1728,8597" coordsize="838,177" path="m1728,8773l2566,8597e" filled="false" stroked="true" strokeweight=".995pt" strokecolor="#9c8758">
                <v:path arrowok="t"/>
              </v:shape>
            </v:group>
            <v:group style="position:absolute;left:2707;top:8397;width:808;height:170" coordorigin="2707,8397" coordsize="808,170">
              <v:shape style="position:absolute;left:2707;top:8397;width:808;height:170" coordorigin="2707,8397" coordsize="808,170" path="m2707,8567l3515,8397e" filled="false" stroked="true" strokeweight=".995pt" strokecolor="#9c8758">
                <v:path arrowok="t"/>
              </v:shape>
            </v:group>
            <v:group style="position:absolute;left:3567;top:8284;width:487;height:103" coordorigin="3567,8284" coordsize="487,103">
              <v:shape style="position:absolute;left:3567;top:8284;width:487;height:103" coordorigin="3567,8284" coordsize="487,103" path="m3567,8387l4053,8284e" filled="false" stroked="true" strokeweight=".995pt" strokecolor="#9c8758">
                <v:path arrowok="t"/>
              </v:shape>
            </v:group>
            <v:group style="position:absolute;left:1695;top:8243;width:918;height:58" coordorigin="1695,8243" coordsize="918,58">
              <v:shape style="position:absolute;left:1695;top:8243;width:918;height:58" coordorigin="1695,8243" coordsize="918,58" path="m1695,8300l2613,8243e" filled="false" stroked="true" strokeweight="1.493pt" strokecolor="#8c8f90">
                <v:path arrowok="t"/>
              </v:shape>
            </v:group>
            <v:group style="position:absolute;left:2707;top:8153;width:1346;height:85" coordorigin="2707,8153" coordsize="1346,85">
              <v:shape style="position:absolute;left:2707;top:8153;width:1346;height:85" coordorigin="2707,8153" coordsize="1346,85" path="m2707,8237l4053,8153e" filled="false" stroked="true" strokeweight="1.493pt" strokecolor="#8c8f90">
                <v:path arrowok="t"/>
              </v:shape>
            </v:group>
            <v:group style="position:absolute;left:804;top:8334;width:352;height:22" coordorigin="804,8334" coordsize="352,22">
              <v:shape style="position:absolute;left:804;top:8334;width:352;height:22" coordorigin="804,8334" coordsize="352,22" path="m804,8356l1155,8334e" filled="false" stroked="true" strokeweight="1.493pt" strokecolor="#9c8758">
                <v:path arrowok="t"/>
              </v:shape>
            </v:group>
            <v:group style="position:absolute;left:804;top:9017;width:754;height:205" coordorigin="804,9017" coordsize="754,205">
              <v:shape style="position:absolute;left:804;top:9017;width:754;height:205" coordorigin="804,9017" coordsize="754,205" path="m1557,9017l804,9222e" filled="false" stroked="true" strokeweight=".249pt" strokecolor="#9c8758">
                <v:path arrowok="t"/>
              </v:shape>
            </v:group>
            <v:group style="position:absolute;left:1756;top:8749;width:790;height:215" coordorigin="1756,8749" coordsize="790,215">
              <v:shape style="position:absolute;left:1756;top:8749;width:790;height:215" coordorigin="1756,8749" coordsize="790,215" path="m2545,8749l1756,8963e" filled="false" stroked="true" strokeweight=".249pt" strokecolor="#9c8758">
                <v:path arrowok="t"/>
              </v:shape>
            </v:group>
            <v:group style="position:absolute;left:3878;top:8339;width:176;height:48" coordorigin="3878,8339" coordsize="176,48">
              <v:shape style="position:absolute;left:3878;top:8339;width:176;height:48" coordorigin="3878,8339" coordsize="176,48" path="m4053,8339l3878,8387e" filled="false" stroked="true" strokeweight=".249pt" strokecolor="#9c8758">
                <v:path arrowok="t"/>
              </v:shape>
            </v:group>
            <v:group style="position:absolute;left:2708;top:8485;width:808;height:220" coordorigin="2708,8485" coordsize="808,220">
              <v:shape style="position:absolute;left:2708;top:8485;width:808;height:220" coordorigin="2708,8485" coordsize="808,220" path="m3515,8485l2708,8704e" filled="false" stroked="true" strokeweight=".249pt" strokecolor="#9c8758">
                <v:path arrowok="t"/>
              </v:shape>
            </v:group>
            <v:group style="position:absolute;left:804;top:9537;width:567;height:229" coordorigin="804,9537" coordsize="567,229">
              <v:shape style="position:absolute;left:804;top:9537;width:567;height:229" coordorigin="804,9537" coordsize="567,229" path="m1371,9537l804,9766e" filled="false" stroked="true" strokeweight=".498pt" strokecolor="#8c8f90">
                <v:path arrowok="t"/>
              </v:shape>
            </v:group>
            <v:group style="position:absolute;left:1813;top:9082;width:688;height:278" coordorigin="1813,9082" coordsize="688,278">
              <v:shape style="position:absolute;left:1813;top:9082;width:688;height:278" coordorigin="1813,9082" coordsize="688,278" path="m2501,9082l1813,9359e" filled="false" stroked="true" strokeweight=".498pt" strokecolor="#8c8f90">
                <v:path arrowok="t"/>
              </v:shape>
            </v:group>
            <v:group style="position:absolute;left:2708;top:8673;width:808;height:326" coordorigin="2708,8673" coordsize="808,326">
              <v:shape style="position:absolute;left:2708;top:8673;width:808;height:326" coordorigin="2708,8673" coordsize="808,326" path="m3515,8673l2708,8998e" filled="false" stroked="true" strokeweight=".498pt" strokecolor="#8c8f90">
                <v:path arrowok="t"/>
              </v:shape>
            </v:group>
            <v:group style="position:absolute;left:804;top:8069;width:754;height:6" coordorigin="804,8069" coordsize="754,6">
              <v:shape style="position:absolute;left:804;top:8069;width:754;height:6" coordorigin="804,8069" coordsize="754,6" path="m1557,8075l804,8069e" filled="false" stroked="true" strokeweight=".995pt" strokecolor="#9c8758">
                <v:path arrowok="t"/>
              </v:shape>
            </v:group>
            <v:group style="position:absolute;left:1627;top:8075;width:1008;height:8" coordorigin="1627,8075" coordsize="1008,8">
              <v:shape style="position:absolute;left:1627;top:8075;width:1008;height:8" coordorigin="1627,8075" coordsize="1008,8" path="m2634,8083l1627,8075e" filled="false" stroked="true" strokeweight=".995pt" strokecolor="#9c8758">
                <v:path arrowok="t"/>
              </v:shape>
            </v:group>
            <v:group style="position:absolute;left:2707;top:8083;width:1346;height:11" coordorigin="2707,8083" coordsize="1346,11">
              <v:shape style="position:absolute;left:2707;top:8083;width:1346;height:11" coordorigin="2707,8083" coordsize="1346,11" path="m4053,8094l2707,8083e" filled="false" stroked="true" strokeweight=".995pt" strokecolor="#9c8758">
                <v:path arrowok="t"/>
              </v:shape>
            </v:group>
            <v:group style="position:absolute;left:923;top:9512;width:634;height:266" coordorigin="923,9512" coordsize="634,266">
              <v:shape style="position:absolute;left:923;top:9512;width:634;height:266" coordorigin="923,9512" coordsize="634,266" path="m1557,9512l923,9777e" filled="false" stroked="true" strokeweight="1.493pt" strokecolor="#9c8758">
                <v:path arrowok="t"/>
              </v:shape>
            </v:group>
            <v:group style="position:absolute;left:1819;top:9246;width:374;height:157" coordorigin="1819,9246" coordsize="374,157">
              <v:shape style="position:absolute;left:1819;top:9246;width:374;height:157" coordorigin="1819,9246" coordsize="374,157" path="m2193,9246l1819,9402e" filled="false" stroked="true" strokeweight="1.493pt" strokecolor="#9c8758">
                <v:path arrowok="t"/>
              </v:shape>
            </v:group>
            <v:group style="position:absolute;left:2708;top:8694;width:808;height:338" coordorigin="2708,8694" coordsize="808,338">
              <v:shape style="position:absolute;left:2708;top:8694;width:808;height:338" coordorigin="2708,8694" coordsize="808,338" path="m3515,8694l2708,9031e" filled="false" stroked="true" strokeweight="1.493pt" strokecolor="#9c8758">
                <v:path arrowok="t"/>
              </v:shape>
            </v:group>
            <v:group style="position:absolute;left:2851;top:6466;width:837;height:663" coordorigin="2851,6466" coordsize="837,663">
              <v:shape style="position:absolute;left:2851;top:6466;width:837;height:663" coordorigin="2851,6466" coordsize="837,663" path="m2851,6466l3688,7129e" filled="false" stroked="true" strokeweight=".249pt" strokecolor="#9c8758">
                <v:path arrowok="t"/>
              </v:shape>
            </v:group>
            <v:group style="position:absolute;left:3256;top:6466;width:685;height:663" coordorigin="3256,6466" coordsize="685,663">
              <v:shape style="position:absolute;left:3256;top:6466;width:685;height:663" coordorigin="3256,6466" coordsize="685,663" path="m3256,6466l3941,7129e" filled="false" stroked="true" strokeweight=".249pt" strokecolor="#8c8f90">
                <v:path arrowok="t"/>
              </v:shape>
            </v:group>
            <v:group style="position:absolute;left:2963;top:6466;width:8;height:7" coordorigin="2963,6466" coordsize="8,7">
              <v:shape style="position:absolute;left:2963;top:6466;width:8;height:7" coordorigin="2963,6466" coordsize="8,7" path="m2971,6473l2963,6466e" filled="false" stroked="true" strokeweight="1.493pt" strokecolor="#9c8758">
                <v:path arrowok="t"/>
              </v:shape>
            </v:group>
            <v:group style="position:absolute;left:3202;top:6662;width:566;height:467" coordorigin="3202,6662" coordsize="566,467">
              <v:shape style="position:absolute;left:3202;top:6662;width:566;height:467" coordorigin="3202,6662" coordsize="566,467" path="m3767,7129l3202,6662e" filled="false" stroked="true" strokeweight="1.493pt" strokecolor="#8c8f90">
                <v:path arrowok="t"/>
              </v:shape>
            </v:group>
            <v:group style="position:absolute;left:3056;top:6466;width:766;height:663" coordorigin="3056,6466" coordsize="766,663">
              <v:shape style="position:absolute;left:3056;top:6466;width:766;height:663" coordorigin="3056,6466" coordsize="766,663" path="m3822,7129l3056,6466e" filled="false" stroked="true" strokeweight=".995pt" strokecolor="#9c8758">
                <v:path arrowok="t"/>
              </v:shape>
            </v:group>
            <v:group style="position:absolute;left:3294;top:6466;width:657;height:663" coordorigin="3294,6466" coordsize="657,663">
              <v:shape style="position:absolute;left:3294;top:6466;width:657;height:663" coordorigin="3294,6466" coordsize="657,663" path="m3294,6466l3951,7129e" filled="false" stroked="true" strokeweight=".249pt" strokecolor="#9c8758">
                <v:path arrowok="t"/>
              </v:shape>
            </v:group>
            <v:group style="position:absolute;left:3586;top:6466;width:504;height:607" coordorigin="3586,6466" coordsize="504,607">
              <v:shape style="position:absolute;left:3586;top:6466;width:504;height:607" coordorigin="3586,6466" coordsize="504,607" path="m3586,6466l4090,7072e" filled="false" stroked="true" strokeweight=".249pt" strokecolor="#9c8758">
                <v:path arrowok="t"/>
              </v:shape>
            </v:group>
            <v:group style="position:absolute;left:3696;top:6466;width:394;height:516" coordorigin="3696,6466" coordsize="394,516">
              <v:shape style="position:absolute;left:3696;top:6466;width:394;height:516" coordorigin="3696,6466" coordsize="394,516" path="m4090,6981l3696,6466e" filled="false" stroked="true" strokeweight=".995pt" strokecolor="#9c8758">
                <v:path arrowok="t"/>
              </v:shape>
            </v:group>
            <v:group style="position:absolute;left:3994;top:6466;width:96;height:166" coordorigin="3994,6466" coordsize="96,166">
              <v:shape style="position:absolute;left:3994;top:6466;width:96;height:166" coordorigin="3994,6466" coordsize="96,166" path="m4090,6631l3994,6466e" filled="false" stroked="true" strokeweight=".995pt" strokecolor="#9c8758">
                <v:path arrowok="t"/>
              </v:shape>
            </v:group>
            <v:group style="position:absolute;left:4060;top:6466;width:30;height:56" coordorigin="4060,6466" coordsize="30,56">
              <v:shape style="position:absolute;left:4060;top:6466;width:30;height:56" coordorigin="4060,6466" coordsize="30,56" path="m4090,6521l4060,6466e" filled="false" stroked="true" strokeweight=".995pt" strokecolor="#8c8f90">
                <v:path arrowok="t"/>
              </v:shape>
            </v:group>
            <v:group style="position:absolute;left:3225;top:6466;width:90;height:86" coordorigin="3225,6466" coordsize="90,86">
              <v:shape style="position:absolute;left:3225;top:6466;width:90;height:86" coordorigin="3225,6466" coordsize="90,86" path="m3314,6551l3225,6466e" filled="false" stroked="true" strokeweight="1.493pt" strokecolor="#9c8758">
                <v:path arrowok="t"/>
              </v:shape>
            </v:group>
            <v:group style="position:absolute;left:3687;top:6905;width:236;height:224" coordorigin="3687,6905" coordsize="236,224">
              <v:shape style="position:absolute;left:3687;top:6905;width:236;height:224" coordorigin="3687,6905" coordsize="236,224" path="m3922,7129l3687,6905e" filled="false" stroked="true" strokeweight="1.493pt" strokecolor="#9c8758">
                <v:path arrowok="t"/>
              </v:shape>
            </v:group>
            <v:group style="position:absolute;left:1505;top:1481;width:191;height:189" coordorigin="1505,1481" coordsize="191,189">
              <v:shape style="position:absolute;left:1505;top:1481;width:191;height:189" coordorigin="1505,1481" coordsize="191,189" path="m1594,1481l1531,1507,1505,1574,1505,1575,1531,1642,1595,1669,1610,1668,1625,1663,1639,1656,1653,1645,1696,1645,1696,1632,1602,1632,1591,1631,1550,1574,1551,1563,1602,1518,1696,1518,1696,1506,1653,1506,1639,1495,1625,1487,1610,1482,1594,1481xe" filled="true" fillcolor="#000000" stroked="false">
                <v:path arrowok="t"/>
                <v:fill type="solid"/>
              </v:shape>
              <v:shape style="position:absolute;left:1505;top:1481;width:191;height:189" coordorigin="1505,1481" coordsize="191,189" path="m1696,1645l1653,1645,1653,1664,1696,1664,1696,1645xe" filled="true" fillcolor="#000000" stroked="false">
                <v:path arrowok="t"/>
                <v:fill type="solid"/>
              </v:shape>
              <v:shape style="position:absolute;left:1505;top:1481;width:191;height:189" coordorigin="1505,1481" coordsize="191,189" path="m1696,1518l1602,1518,1613,1519,1623,1522,1655,1575,1654,1587,1613,1631,1602,1632,1696,1632,1696,1518xe" filled="true" fillcolor="#000000" stroked="false">
                <v:path arrowok="t"/>
                <v:fill type="solid"/>
              </v:shape>
              <v:shape style="position:absolute;left:1505;top:1481;width:191;height:189" coordorigin="1505,1481" coordsize="191,189" path="m1696,1485l1653,1485,1653,1506,1696,1506,1696,1485xe" filled="true" fillcolor="#000000" stroked="false">
                <v:path arrowok="t"/>
                <v:fill type="solid"/>
              </v:shape>
              <v:shape style="position:absolute;left:817;top:1405;width:393;height:266" type="#_x0000_t75" stroked="false">
                <v:imagedata r:id="rId7" o:title=""/>
              </v:shape>
            </v:group>
            <v:group style="position:absolute;left:1324;top:1483;width:161;height:183" coordorigin="1324,1483" coordsize="161,183">
              <v:shape style="position:absolute;left:1324;top:1483;width:161;height:183" coordorigin="1324,1483" coordsize="161,183" path="m1363,1485l1324,1485,1324,1665,1369,1665,1369,1556,1371,1539,1379,1526,1391,1517,1408,1513,1473,1513,1468,1506,1365,1506,1363,1485xe" filled="true" fillcolor="#000000" stroked="false">
                <v:path arrowok="t"/>
                <v:fill type="solid"/>
              </v:shape>
              <v:shape style="position:absolute;left:1324;top:1483;width:161;height:183" coordorigin="1324,1483" coordsize="161,183" path="m1473,1513l1408,1513,1424,1517,1435,1528,1441,1541,1442,1556,1442,1665,1484,1665,1484,1559,1479,1524,1473,1513xe" filled="true" fillcolor="#000000" stroked="false">
                <v:path arrowok="t"/>
                <v:fill type="solid"/>
              </v:shape>
              <v:shape style="position:absolute;left:1324;top:1483;width:161;height:183" coordorigin="1324,1483" coordsize="161,183" path="m1422,1483l1395,1486,1377,1494,1368,1502,1365,1506,1468,1506,1465,1500,1445,1487,1422,1483xe" filled="true" fillcolor="#000000" stroked="false">
                <v:path arrowok="t"/>
                <v:fill type="solid"/>
              </v:shape>
            </v:group>
            <v:group style="position:absolute;left:1266;top:1484;width:2;height:181" coordorigin="1266,1484" coordsize="2,181">
              <v:shape style="position:absolute;left:1266;top:1484;width:2;height:181" coordorigin="1266,1484" coordsize="0,181" path="m1266,1484l1266,1665e" filled="false" stroked="true" strokeweight="2.113pt" strokecolor="#d7000f">
                <v:path arrowok="t"/>
              </v:shape>
            </v:group>
            <v:group style="position:absolute;left:1241;top:1418;width:50;height:48" coordorigin="1241,1418" coordsize="50,48">
              <v:shape style="position:absolute;left:1241;top:1418;width:50;height:48" coordorigin="1241,1418" coordsize="50,48" path="m1281,1418l1251,1418,1241,1428,1241,1455,1251,1466,1281,1466,1291,1455,1291,1442,1290,1428,1281,1418xe" filled="true" fillcolor="#d7000f" stroked="false">
                <v:path arrowok="t"/>
                <v:fill type="solid"/>
              </v:shape>
            </v:group>
            <v:group style="position:absolute;left:1241;top:1684;width:50;height:48" coordorigin="1241,1684" coordsize="50,48">
              <v:shape style="position:absolute;left:1241;top:1684;width:50;height:48" coordorigin="1241,1684" coordsize="50,48" path="m1281,1684l1251,1684,1241,1694,1241,1721,1251,1732,1281,1732,1291,1721,1291,1708,1290,1694,1281,1684xe" filled="true" fillcolor="#d7000f" stroked="false">
                <v:path arrowok="t"/>
                <v:fill type="solid"/>
              </v:shape>
            </v:group>
            <v:group style="position:absolute;left:1701;top:1749;width:262;height:182" coordorigin="1701,1749" coordsize="262,182">
              <v:shape style="position:absolute;left:1701;top:1749;width:262;height:182" coordorigin="1701,1749" coordsize="262,182" path="m1742,1750l1701,1750,1701,1930,1747,1930,1747,1822,1749,1805,1756,1792,1767,1783,1782,1780,1953,1780,1951,1777,1845,1777,1841,1772,1743,1772,1742,1750xe" filled="true" fillcolor="#000000" stroked="false">
                <v:path arrowok="t"/>
                <v:fill type="solid"/>
              </v:shape>
              <v:shape style="position:absolute;left:1701;top:1749;width:262;height:182" coordorigin="1701,1749" coordsize="262,182" path="m1890,1780l1782,1780,1798,1784,1807,1794,1813,1807,1814,1822,1814,1930,1855,1930,1855,1824,1858,1805,1865,1791,1876,1782,1890,1780xe" filled="true" fillcolor="#000000" stroked="false">
                <v:path arrowok="t"/>
                <v:fill type="solid"/>
              </v:shape>
              <v:shape style="position:absolute;left:1701;top:1749;width:262;height:182" coordorigin="1701,1749" coordsize="262,182" path="m1953,1780l1890,1780,1906,1784,1915,1794,1920,1807,1922,1822,1922,1930,1963,1930,1963,1824,1958,1790,1953,1780xe" filled="true" fillcolor="#000000" stroked="false">
                <v:path arrowok="t"/>
                <v:fill type="solid"/>
              </v:shape>
              <v:shape style="position:absolute;left:1701;top:1749;width:262;height:182" coordorigin="1701,1749" coordsize="262,182" path="m1855,1824l1855,1824,1855,1824xe" filled="true" fillcolor="#000000" stroked="false">
                <v:path arrowok="t"/>
                <v:fill type="solid"/>
              </v:shape>
              <v:shape style="position:absolute;left:1701;top:1749;width:262;height:182" coordorigin="1701,1749" coordsize="262,182" path="m1906,1749l1887,1751,1871,1756,1857,1765,1845,1777,1951,1777,1946,1767,1928,1753,1906,1749xe" filled="true" fillcolor="#000000" stroked="false">
                <v:path arrowok="t"/>
                <v:fill type="solid"/>
              </v:shape>
              <v:shape style="position:absolute;left:1701;top:1749;width:262;height:182" coordorigin="1701,1749" coordsize="262,182" path="m1798,1749l1774,1752,1757,1760,1747,1768,1743,1772,1841,1772,1836,1764,1824,1756,1812,1751,1798,1749xe" filled="true" fillcolor="#000000" stroked="false">
                <v:path arrowok="t"/>
                <v:fill type="solid"/>
              </v:shape>
            </v:group>
            <v:group style="position:absolute;left:1489;top:1746;width:188;height:188" coordorigin="1489,1746" coordsize="188,188">
              <v:shape style="position:absolute;left:1489;top:1746;width:188;height:188" coordorigin="1489,1746" coordsize="188,188" path="m1581,1746l1519,1771,1489,1840,1490,1859,1530,1919,1582,1934,1594,1933,1649,1907,1652,1903,1570,1903,1558,1897,1534,1840,1535,1827,1574,1779,1585,1778,1652,1778,1649,1774,1594,1747,1581,1746xe" filled="true" fillcolor="#000000" stroked="false">
                <v:path arrowok="t"/>
                <v:fill type="solid"/>
              </v:shape>
              <v:shape style="position:absolute;left:1489;top:1746;width:188;height:188" coordorigin="1489,1746" coordsize="188,188" path="m1652,1778l1585,1778,1595,1779,1605,1782,1635,1840,1634,1852,1595,1902,1584,1903,1652,1903,1676,1840,1675,1828,1673,1816,1669,1804,1663,1793,1657,1783,1652,1778xe" filled="true" fillcolor="#000000" stroked="false">
                <v:path arrowok="t"/>
                <v:fill type="solid"/>
              </v:shape>
              <v:shape style="position:absolute;left:1046;top:1729;width:241;height:222" type="#_x0000_t75" stroked="false">
                <v:imagedata r:id="rId8" o:title=""/>
              </v:shape>
              <v:shape style="position:absolute;left:843;top:1750;width:167;height:182" type="#_x0000_t75" stroked="false">
                <v:imagedata r:id="rId9" o:title=""/>
              </v:shape>
            </v:group>
            <v:group style="position:absolute;left:1313;top:1747;width:173;height:188" coordorigin="1313,1747" coordsize="173,188">
              <v:shape style="position:absolute;left:1313;top:1747;width:173;height:188" coordorigin="1313,1747" coordsize="173,188" path="m1407,1747l1344,1771,1313,1841,1315,1860,1355,1919,1407,1934,1420,1934,1479,1903,1480,1901,1393,1901,1381,1896,1358,1841,1359,1828,1393,1781,1481,1781,1479,1779,1419,1748,1407,1747xe" filled="true" fillcolor="#000000" stroked="false">
                <v:path arrowok="t"/>
                <v:fill type="solid"/>
              </v:shape>
              <v:shape style="position:absolute;left:1313;top:1747;width:173;height:188" coordorigin="1313,1747" coordsize="173,188" path="m1452,1871l1449,1876,1447,1880,1443,1885,1434,1896,1422,1901,1480,1901,1485,1895,1452,1871xe" filled="true" fillcolor="#000000" stroked="false">
                <v:path arrowok="t"/>
                <v:fill type="solid"/>
              </v:shape>
              <v:shape style="position:absolute;left:1313;top:1747;width:173;height:188" coordorigin="1313,1747" coordsize="173,188" path="m1481,1781l1422,1781,1434,1786,1443,1797,1447,1801,1449,1806,1452,1811,1485,1786,1481,1781xe" filled="true" fillcolor="#000000" stroked="false">
                <v:path arrowok="t"/>
                <v:fill type="solid"/>
              </v:shape>
              <v:shape style="position:absolute;left:2513;top:1711;width:479;height:223" type="#_x0000_t75" stroked="false">
                <v:imagedata r:id="rId10" o:title=""/>
              </v:shape>
              <v:shape style="position:absolute;left:1999;top:1712;width:225;height:223" type="#_x0000_t75" stroked="false">
                <v:imagedata r:id="rId11" o:title=""/>
              </v:shape>
              <v:shape style="position:absolute;left:2257;top:1715;width:221;height:213" type="#_x0000_t75" stroked="false">
                <v:imagedata r:id="rId12" o:title=""/>
              </v:shape>
            </v:group>
            <v:group style="position:absolute;left:1874;top:672;width:1249;height:942" coordorigin="1874,672" coordsize="1249,942">
              <v:shape style="position:absolute;left:1874;top:672;width:1249;height:942" coordorigin="1874,672" coordsize="1249,942" path="m2345,672l2284,684,2230,720,2194,773,2182,834,2194,895,2230,949,2424,1143,2230,1337,2194,1390,2182,1451,2194,1512,2230,1566,2284,1602,2345,1613,2406,1602,2459,1566,2499,1526,2794,1526,2803,1512,2804,1507,2345,1507,2324,1503,2305,1491,2293,1472,2289,1451,2293,1430,2305,1412,2498,1217,2648,1217,2574,1143,2648,1068,2498,1068,2305,874,2293,855,2289,834,2293,813,2305,795,2324,783,2345,778,2804,778,2803,773,2794,759,2499,759,2459,720,2406,684,2345,672xe" filled="true" fillcolor="#d7000f" stroked="false">
                <v:path arrowok="t"/>
                <v:fill type="solid"/>
              </v:shape>
              <v:shape style="position:absolute;left:1874;top:672;width:1249;height:942" coordorigin="1874,672" coordsize="1249,942" path="m2794,1526l2499,1526,2538,1566,2592,1602,2653,1613,2714,1602,2768,1566,2794,1526xe" filled="true" fillcolor="#d7000f" stroked="false">
                <v:path arrowok="t"/>
                <v:fill type="solid"/>
              </v:shape>
              <v:shape style="position:absolute;left:1874;top:672;width:1249;height:942" coordorigin="1874,672" coordsize="1249,942" path="m2439,1316l2364,1391,2424,1451,2384,1491,2366,1503,2345,1507,2653,1507,2632,1503,2614,1491,2574,1451,2634,1391,2619,1376,2499,1376,2439,1316xe" filled="true" fillcolor="#d7000f" stroked="false">
                <v:path arrowok="t"/>
                <v:fill type="solid"/>
              </v:shape>
              <v:shape style="position:absolute;left:1874;top:672;width:1249;height:942" coordorigin="1874,672" coordsize="1249,942" path="m2648,1217l2498,1217,2693,1412,2705,1430,2709,1451,2705,1472,2693,1491,2674,1503,2653,1507,2804,1507,2815,1451,2803,1390,2768,1337,2648,1217xe" filled="true" fillcolor="#d7000f" stroked="false">
                <v:path arrowok="t"/>
                <v:fill type="solid"/>
              </v:shape>
              <v:shape style="position:absolute;left:1874;top:672;width:1249;height:942" coordorigin="1874,672" coordsize="1249,942" path="m2559,1316l2499,1376,2619,1376,2559,1316xe" filled="true" fillcolor="#d7000f" stroked="false">
                <v:path arrowok="t"/>
                <v:fill type="solid"/>
              </v:shape>
              <v:shape style="position:absolute;left:1874;top:672;width:1249;height:942" coordorigin="1874,672" coordsize="1249,942" path="m2036,981l1975,992,1921,1028,1886,1082,1874,1143,1877,1174,1901,1232,1975,1293,2036,1305,2097,1293,2151,1257,2190,1218,2310,1218,2325,1203,2322,1199,2036,1199,2015,1195,1980,1143,1981,1132,2036,1087,2321,1087,2325,1083,2310,1068,2190,1068,2151,1028,2097,992,2036,981xe" filled="true" fillcolor="#d7000f" stroked="false">
                <v:path arrowok="t"/>
                <v:fill type="solid"/>
              </v:shape>
              <v:shape style="position:absolute;left:1874;top:672;width:1249;height:942" coordorigin="1874,672" coordsize="1249,942" path="m3103,1218l2806,1218,2845,1257,2899,1293,2960,1305,3021,1293,3075,1257,3096,1232,3103,1218xe" filled="true" fillcolor="#d7000f" stroked="false">
                <v:path arrowok="t"/>
                <v:fill type="solid"/>
              </v:shape>
              <v:shape style="position:absolute;left:1874;top:672;width:1249;height:942" coordorigin="1874,672" coordsize="1249,942" path="m2310,1218l2190,1218,2250,1278,2310,1218xe" filled="true" fillcolor="#d7000f" stroked="false">
                <v:path arrowok="t"/>
                <v:fill type="solid"/>
              </v:shape>
              <v:shape style="position:absolute;left:1874;top:672;width:1249;height:942" coordorigin="1874,672" coordsize="1249,942" path="m2746,1008l2671,1083,2731,1143,2671,1203,2746,1278,2806,1218,3103,1218,3110,1204,3112,1199,2960,1199,2939,1195,2920,1182,2881,1143,2920,1103,2939,1091,2960,1087,3112,1087,3110,1082,3103,1068,2806,1068,2746,1008xe" filled="true" fillcolor="#d7000f" stroked="false">
                <v:path arrowok="t"/>
                <v:fill type="solid"/>
              </v:shape>
              <v:shape style="position:absolute;left:1874;top:672;width:1249;height:942" coordorigin="1874,672" coordsize="1249,942" path="m2321,1087l2036,1087,2057,1091,2076,1103,2115,1143,2076,1182,2057,1195,2036,1199,2322,1199,2266,1143,2321,1087xe" filled="true" fillcolor="#d7000f" stroked="false">
                <v:path arrowok="t"/>
                <v:fill type="solid"/>
              </v:shape>
              <v:shape style="position:absolute;left:1874;top:672;width:1249;height:942" coordorigin="1874,672" coordsize="1249,942" path="m3112,1087l2960,1087,2981,1091,3000,1103,3007,1112,3012,1122,3015,1132,3016,1143,3015,1153,2960,1199,3112,1199,3119,1174,3122,1143,3119,1112,3112,1087xe" filled="true" fillcolor="#d7000f" stroked="false">
                <v:path arrowok="t"/>
                <v:fill type="solid"/>
              </v:shape>
              <v:shape style="position:absolute;left:1874;top:672;width:1249;height:942" coordorigin="1874,672" coordsize="1249,942" path="m2804,778l2653,778,2674,783,2693,795,2705,813,2709,834,2705,855,2693,874,2498,1068,2648,1068,2768,949,2803,895,2815,834,2804,778xe" filled="true" fillcolor="#d7000f" stroked="false">
                <v:path arrowok="t"/>
                <v:fill type="solid"/>
              </v:shape>
              <v:shape style="position:absolute;left:1874;top:672;width:1249;height:942" coordorigin="1874,672" coordsize="1249,942" path="m2250,1008l2190,1068,2310,1068,2250,1008xe" filled="true" fillcolor="#d7000f" stroked="false">
                <v:path arrowok="t"/>
                <v:fill type="solid"/>
              </v:shape>
              <v:shape style="position:absolute;left:1874;top:672;width:1249;height:942" coordorigin="1874,672" coordsize="1249,942" path="m2960,981l2899,992,2845,1028,2806,1068,3103,1068,3096,1054,3075,1028,3021,992,2960,981xe" filled="true" fillcolor="#d7000f" stroked="false">
                <v:path arrowok="t"/>
                <v:fill type="solid"/>
              </v:shape>
              <v:shape style="position:absolute;left:1874;top:672;width:1249;height:942" coordorigin="1874,672" coordsize="1249,942" path="m2653,778l2345,778,2366,783,2384,795,2424,834,2364,894,2439,969,2499,909,2619,909,2634,894,2574,834,2614,795,2632,783,2653,778xe" filled="true" fillcolor="#d7000f" stroked="false">
                <v:path arrowok="t"/>
                <v:fill type="solid"/>
              </v:shape>
              <v:shape style="position:absolute;left:1874;top:672;width:1249;height:942" coordorigin="1874,672" coordsize="1249,942" path="m2619,909l2499,909,2559,969,2619,909xe" filled="true" fillcolor="#d7000f" stroked="false">
                <v:path arrowok="t"/>
                <v:fill type="solid"/>
              </v:shape>
              <v:shape style="position:absolute;left:1874;top:672;width:1249;height:942" coordorigin="1874,672" coordsize="1249,942" path="m2653,672l2592,684,2538,720,2499,759,2794,759,2768,720,2714,684,2653,672xe" filled="true" fillcolor="#d7000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line="402" w:lineRule="exact" w:before="0"/>
        <w:ind w:left="176" w:right="6533" w:firstLine="0"/>
        <w:jc w:val="left"/>
        <w:rPr>
          <w:rFonts w:ascii="华文细黑" w:hAnsi="华文细黑" w:cs="华文细黑" w:eastAsia="华文细黑" w:hint="default"/>
          <w:sz w:val="36"/>
          <w:szCs w:val="36"/>
        </w:rPr>
      </w:pPr>
      <w:r>
        <w:rPr>
          <w:rFonts w:ascii="华文细黑" w:hAnsi="华文细黑" w:cs="华文细黑" w:eastAsia="华文细黑" w:hint="default"/>
          <w:color w:val="9C8758"/>
          <w:spacing w:val="30"/>
          <w:sz w:val="36"/>
          <w:szCs w:val="36"/>
        </w:rPr>
        <w:t>年度</w:t>
      </w:r>
      <w:r>
        <w:rPr>
          <w:rFonts w:ascii="华文细黑" w:hAnsi="华文细黑" w:cs="华文细黑" w:eastAsia="华文细黑" w:hint="default"/>
          <w:color w:val="949495"/>
          <w:spacing w:val="30"/>
          <w:sz w:val="36"/>
          <w:szCs w:val="36"/>
        </w:rPr>
        <w:t>报告</w:t>
      </w:r>
      <w:r>
        <w:rPr>
          <w:rFonts w:ascii="华文细黑" w:hAnsi="华文细黑" w:cs="华文细黑" w:eastAsia="华文细黑" w:hint="default"/>
          <w:color w:val="D7000F"/>
          <w:spacing w:val="30"/>
          <w:sz w:val="36"/>
          <w:szCs w:val="36"/>
        </w:rPr>
        <w:t>2018</w:t>
      </w:r>
      <w:r>
        <w:rPr>
          <w:rFonts w:ascii="华文细黑" w:hAnsi="华文细黑" w:cs="华文细黑" w:eastAsia="华文细黑" w:hint="default"/>
          <w:sz w:val="36"/>
          <w:szCs w:val="36"/>
        </w:rPr>
      </w:r>
    </w:p>
    <w:p>
      <w:pPr>
        <w:pStyle w:val="Heading9"/>
        <w:spacing w:line="258" w:lineRule="exact" w:before="140"/>
        <w:ind w:left="176" w:right="6533"/>
        <w:jc w:val="left"/>
      </w:pPr>
      <w:r>
        <w:rPr>
          <w:color w:val="949495"/>
          <w:spacing w:val="4"/>
        </w:rPr>
        <w:t>中国联合网络通信股份有限公司</w:t>
      </w:r>
      <w:r>
        <w:rPr>
          <w:color w:val="949495"/>
          <w:spacing w:val="4"/>
          <w:w w:val="99"/>
        </w:rPr>
        <w:t> </w:t>
      </w:r>
      <w:r>
        <w:rPr>
          <w:color w:val="949495"/>
          <w:spacing w:val="4"/>
        </w:rPr>
        <w:t>股票代码：600050</w:t>
      </w:r>
      <w:r>
        <w:rPr/>
      </w:r>
    </w:p>
    <w:p>
      <w:pPr>
        <w:spacing w:after="0" w:line="258" w:lineRule="exact"/>
        <w:jc w:val="left"/>
        <w:sectPr>
          <w:type w:val="continuous"/>
          <w:pgSz w:w="11910" w:h="16160"/>
          <w:pgMar w:top="1520" w:bottom="280" w:left="640" w:right="1680"/>
        </w:sectPr>
      </w:pPr>
    </w:p>
    <w:p>
      <w:pPr>
        <w:spacing w:line="240" w:lineRule="auto" w:before="0"/>
        <w:rPr>
          <w:rFonts w:ascii="华文细黑" w:hAnsi="华文细黑" w:cs="华文细黑" w:eastAsia="华文细黑" w:hint="default"/>
          <w:sz w:val="20"/>
          <w:szCs w:val="20"/>
        </w:rPr>
      </w:pPr>
      <w:r>
        <w:rPr/>
        <w:pict>
          <v:group style="position:absolute;margin-left:0pt;margin-top:-.000977pt;width:596.3pt;height:791pt;mso-position-horizontal-relative:page;mso-position-vertical-relative:page;z-index:-968800" coordorigin="0,0" coordsize="11926,15820">
            <v:group style="position:absolute;left:10359;top:13379;width:760;height:477" coordorigin="10359,13379" coordsize="760,477">
              <v:shape style="position:absolute;left:10359;top:13379;width:760;height:477" coordorigin="10359,13379" coordsize="760,477" path="m11118,13379l10359,13855e" filled="false" stroked="true" strokeweight="1pt" strokecolor="#8b8f90">
                <v:path arrowok="t"/>
              </v:shape>
            </v:group>
            <v:group style="position:absolute;left:10997;top:13949;width:909;height:973" coordorigin="10997,13949" coordsize="909,973">
              <v:shape style="position:absolute;left:10997;top:13949;width:909;height:973" coordorigin="10997,13949" coordsize="909,973" path="m11906,13949l10997,14921e" filled="false" stroked="true" strokeweight="1pt" strokecolor="#9b8758">
                <v:path arrowok="t"/>
              </v:shape>
            </v:group>
            <v:group style="position:absolute;left:10688;top:13492;width:1218;height:1071" coordorigin="10688,13492" coordsize="1218,1071">
              <v:shape style="position:absolute;left:10688;top:13492;width:1218;height:1071" coordorigin="10688,13492" coordsize="1218,1071" path="m11905,13492l10688,14563e" filled="false" stroked="true" strokeweight="1.5pt" strokecolor="#8b8f90">
                <v:path arrowok="t"/>
              </v:shape>
            </v:group>
            <v:group style="position:absolute;left:10489;top:13802;width:513;height:376" coordorigin="10489,13802" coordsize="513,376">
              <v:shape style="position:absolute;left:10489;top:13802;width:513;height:376" coordorigin="10489,13802" coordsize="513,376" path="m11002,13802l10489,14178e" filled="false" stroked="true" strokeweight=".5pt" strokecolor="#9b8758">
                <v:path arrowok="t"/>
              </v:shape>
            </v:group>
            <v:group style="position:absolute;left:11407;top:12885;width:498;height:313" coordorigin="11407,12885" coordsize="498,313">
              <v:shape style="position:absolute;left:11407;top:12885;width:498;height:313" coordorigin="11407,12885" coordsize="498,313" path="m11905,12885l11407,13197e" filled="false" stroked="true" strokeweight="1pt" strokecolor="#8b8f90">
                <v:path arrowok="t"/>
              </v:shape>
            </v:group>
            <v:group style="position:absolute;left:10224;top:12455;width:1589;height:685" coordorigin="10224,12455" coordsize="1589,685">
              <v:shape style="position:absolute;left:10224;top:12455;width:1589;height:685" coordorigin="10224,12455" coordsize="1589,685" path="m11812,12455l10224,13139e" filled="false" stroked="true" strokeweight=".5pt" strokecolor="#8b8f90">
                <v:path arrowok="t"/>
              </v:shape>
            </v:group>
            <v:group style="position:absolute;left:11119;top:13140;width:787;height:577" coordorigin="11119,13140" coordsize="787,577">
              <v:shape style="position:absolute;left:11119;top:13140;width:787;height:577" coordorigin="11119,13140" coordsize="787,577" path="m11905,13140l11119,13716e" filled="false" stroked="true" strokeweight=".5pt" strokecolor="#8b8f90">
                <v:path arrowok="t"/>
              </v:shape>
            </v:group>
            <v:group style="position:absolute;left:10320;top:12800;width:1586;height:938" coordorigin="10320,12800" coordsize="1586,938">
              <v:shape style="position:absolute;left:10320;top:12800;width:1586;height:938" coordorigin="10320,12800" coordsize="1586,938" path="m11905,12800l10320,13738e" filled="false" stroked="true" strokeweight=".5pt" strokecolor="#8b8f90">
                <v:path arrowok="t"/>
              </v:shape>
            </v:group>
            <v:group style="position:absolute;left:10217;top:12543;width:1689;height:818" coordorigin="10217,12543" coordsize="1689,818">
              <v:shape style="position:absolute;left:10217;top:12543;width:1689;height:818" coordorigin="10217,12543" coordsize="1689,818" path="m11905,12543l10217,13360e" filled="false" stroked="true" strokeweight=".25pt" strokecolor="#9b8758">
                <v:path arrowok="t"/>
              </v:shape>
            </v:group>
            <v:group style="position:absolute;left:10416;top:13000;width:1490;height:1006" coordorigin="10416,13000" coordsize="1490,1006">
              <v:shape style="position:absolute;left:10416;top:13000;width:1490;height:1006" coordorigin="10416,13000" coordsize="1490,1006" path="m11906,13000l10416,14006e" filled="false" stroked="true" strokeweight="1pt" strokecolor="#9b8758">
                <v:path arrowok="t"/>
              </v:shape>
            </v:group>
            <v:group style="position:absolute;left:10647;top:14310;width:215;height:183" coordorigin="10647,14310" coordsize="215,183">
              <v:shape style="position:absolute;left:10647;top:14310;width:215;height:183" coordorigin="10647,14310" coordsize="215,183" path="m10862,14310l10647,14492e" filled="false" stroked="true" strokeweight="1.5pt" strokecolor="#8b8f90">
                <v:path arrowok="t"/>
              </v:shape>
            </v:group>
            <v:group style="position:absolute;left:11058;top:13422;width:848;height:721" coordorigin="11058,13422" coordsize="848,721">
              <v:shape style="position:absolute;left:11058;top:13422;width:848;height:721" coordorigin="11058,13422" coordsize="848,721" path="m11906,13422l11058,14143e" filled="false" stroked="true" strokeweight="1.5pt" strokecolor="#8b8f90">
                <v:path arrowok="t"/>
              </v:shape>
            </v:group>
            <v:group style="position:absolute;left:10808;top:13696;width:1098;height:1060" coordorigin="10808,13696" coordsize="1098,1060">
              <v:shape style="position:absolute;left:10808;top:13696;width:1098;height:1060" coordorigin="10808,13696" coordsize="1098,1060" path="m11905,13696l10808,14755e" filled="false" stroked="true" strokeweight="1.5pt" strokecolor="#9b8758">
                <v:path arrowok="t"/>
              </v:shape>
            </v:group>
            <v:group style="position:absolute;left:11463;top:13853;width:443;height:457" coordorigin="11463,13853" coordsize="443,457">
              <v:shape style="position:absolute;left:11463;top:13853;width:443;height:457" coordorigin="11463,13853" coordsize="443,457" path="m11463,14309l11906,13853e" filled="false" stroked="true" strokeweight=".5pt" strokecolor="#9b8758">
                <v:path arrowok="t"/>
              </v:shape>
            </v:group>
            <v:group style="position:absolute;left:10900;top:14566;width:314;height:324" coordorigin="10900,14566" coordsize="314,324">
              <v:shape style="position:absolute;left:10900;top:14566;width:314;height:324" coordorigin="10900,14566" coordsize="314,324" path="m10900,14889l11214,14566e" filled="false" stroked="true" strokeweight=".5pt" strokecolor="#8b8f90">
                <v:path arrowok="t"/>
              </v:shape>
            </v:group>
            <v:group style="position:absolute;left:10693;top:13478;width:1213;height:1094" coordorigin="10693,13478" coordsize="1213,1094">
              <v:shape style="position:absolute;left:10693;top:13478;width:1213;height:1094" coordorigin="10693,13478" coordsize="1213,1094" path="m10693,14572l11906,13478e" filled="false" stroked="true" strokeweight=".25pt" strokecolor="#8b8f90">
                <v:path arrowok="t"/>
              </v:shape>
            </v:group>
            <v:group style="position:absolute;left:10512;top:13181;width:1394;height:1046" coordorigin="10512,13181" coordsize="1394,1046">
              <v:shape style="position:absolute;left:10512;top:13181;width:1394;height:1046" coordorigin="10512,13181" coordsize="1394,1046" path="m10512,14227l11905,13181e" filled="false" stroked="true" strokeweight=".25pt" strokecolor="#9b8758">
                <v:path arrowok="t"/>
              </v:shape>
            </v:group>
            <v:group style="position:absolute;left:10163;top:12455;width:1495;height:607" coordorigin="10163,12455" coordsize="1495,607">
              <v:shape style="position:absolute;left:10163;top:12455;width:1495;height:607" coordorigin="10163,12455" coordsize="1495,607" path="m11657,12455l10163,13061e" filled="false" stroked="true" strokeweight="1.0pt" strokecolor="#8b8f90">
                <v:path arrowok="t"/>
              </v:shape>
            </v:group>
            <v:group style="position:absolute;left:10276;top:12455;width:342;height:100" coordorigin="10276,12455" coordsize="342,100">
              <v:shape style="position:absolute;left:10276;top:12455;width:342;height:100" coordorigin="10276,12455" coordsize="342,100" path="m10617,12455l10276,12554e" filled="false" stroked="true" strokeweight="1.5pt" strokecolor="#8b8f90">
                <v:path arrowok="t"/>
              </v:shape>
            </v:group>
            <v:group style="position:absolute;left:10119;top:12455;width:145;height:39" coordorigin="10119,12455" coordsize="145,39">
              <v:shape style="position:absolute;left:10119;top:12455;width:145;height:39" coordorigin="10119,12455" coordsize="145,39" path="m10263,12455l10119,12493e" filled="false" stroked="true" strokeweight="1pt" strokecolor="#8b8f90">
                <v:path arrowok="t"/>
              </v:shape>
            </v:group>
            <v:group style="position:absolute;left:10130;top:12495;width:811;height:269" coordorigin="10130,12495" coordsize="811,269">
              <v:shape style="position:absolute;left:10130;top:12495;width:811;height:269" coordorigin="10130,12495" coordsize="811,269" path="m10941,12495l10130,12764e" filled="false" stroked="true" strokeweight="1pt" strokecolor="#9b8758">
                <v:path arrowok="t"/>
              </v:shape>
            </v:group>
            <v:group style="position:absolute;left:10537;top:13228;width:1369;height:1054" coordorigin="10537,13228" coordsize="1369,1054">
              <v:shape style="position:absolute;left:10537;top:13228;width:1369;height:1054" coordorigin="10537,13228" coordsize="1369,1054" path="m11906,13228l10537,14281e" filled="false" stroked="true" strokeweight="1pt" strokecolor="#9b8758">
                <v:path arrowok="t"/>
              </v:shape>
            </v:group>
            <v:group style="position:absolute;left:10414;top:12833;width:1492;height:903" coordorigin="10414,12833" coordsize="1492,903">
              <v:shape style="position:absolute;left:10414;top:12833;width:1492;height:903" coordorigin="10414,12833" coordsize="1492,903" path="m11905,12833l10414,13735e" filled="false" stroked="true" strokeweight="1.5pt" strokecolor="#8b8f90">
                <v:path arrowok="t"/>
              </v:shape>
            </v:group>
            <v:group style="position:absolute;left:11417;top:14782;width:489;height:702" coordorigin="11417,14782" coordsize="489,702">
              <v:shape style="position:absolute;left:11417;top:14782;width:489;height:702" coordorigin="11417,14782" coordsize="489,702" path="m11906,14782l11417,15484e" filled="false" stroked="true" strokeweight=".25pt" strokecolor="#8b8f90">
                <v:path arrowok="t"/>
              </v:shape>
            </v:group>
            <v:group style="position:absolute;left:11521;top:15000;width:385;height:580" coordorigin="11521,15000" coordsize="385,580">
              <v:shape style="position:absolute;left:11521;top:15000;width:385;height:580" coordorigin="11521,15000" coordsize="385,580" path="m11905,15000l11521,15580e" filled="false" stroked="true" strokeweight="1pt" strokecolor="#9b8758">
                <v:path arrowok="t"/>
              </v:shape>
            </v:group>
            <v:group style="position:absolute;left:11375;top:15391;width:38;height:53" coordorigin="11375,15391" coordsize="38,53">
              <v:shape style="position:absolute;left:11375;top:15391;width:38;height:53" coordorigin="11375,15391" coordsize="38,53" path="m11413,15391l11375,15444e" filled="false" stroked="true" strokeweight="1.5pt" strokecolor="#8b8f90">
                <v:path arrowok="t"/>
              </v:shape>
            </v:group>
            <v:group style="position:absolute;left:11624;top:14708;width:282;height:391" coordorigin="11624,14708" coordsize="282,391">
              <v:shape style="position:absolute;left:11624;top:14708;width:282;height:391" coordorigin="11624,14708" coordsize="282,391" path="m11906,14708l11624,15098e" filled="false" stroked="true" strokeweight="1.5pt" strokecolor="#8b8f90">
                <v:path arrowok="t"/>
              </v:shape>
            </v:group>
            <v:group style="position:absolute;left:11809;top:15642;width:97;height:173" coordorigin="11809,15642" coordsize="97,173">
              <v:shape style="position:absolute;left:11809;top:15642;width:97;height:173" coordorigin="11809,15642" coordsize="97,173" path="m11906,15642l11809,15814e" filled="false" stroked="true" strokeweight=".5pt" strokecolor="#9b8758">
                <v:path arrowok="t"/>
              </v:shape>
            </v:group>
            <v:group style="position:absolute;left:11113;top:14224;width:793;height:939" coordorigin="11113,14224" coordsize="793,939">
              <v:shape style="position:absolute;left:11113;top:14224;width:793;height:939" coordorigin="11113,14224" coordsize="793,939" path="m11905,14224l11113,15163e" filled="false" stroked="true" strokeweight=".25pt" strokecolor="#8b8f90">
                <v:path arrowok="t"/>
              </v:shape>
            </v:group>
            <v:group style="position:absolute;left:10304;top:12765;width:1602;height:924" coordorigin="10304,12765" coordsize="1602,924">
              <v:shape style="position:absolute;left:10304;top:12765;width:1602;height:924" coordorigin="10304,12765" coordsize="1602,924" path="m11905,12765l10304,13689e" filled="false" stroked="true" strokeweight="1pt" strokecolor="#8b8f90">
                <v:path arrowok="t"/>
              </v:shape>
            </v:group>
            <v:group style="position:absolute;left:10492;top:12479;width:1414;height:647" coordorigin="10492,12479" coordsize="1414,647">
              <v:shape style="position:absolute;left:10492;top:12479;width:1414;height:647" coordorigin="10492,12479" coordsize="1414,647" path="m11906,12479l10492,13125e" filled="false" stroked="true" strokeweight="1.5pt" strokecolor="#9b8758">
                <v:path arrowok="t"/>
              </v:shape>
            </v:group>
            <v:group style="position:absolute;left:10131;top:12455;width:926;height:321" coordorigin="10131,12455" coordsize="926,321">
              <v:shape style="position:absolute;left:10131;top:12455;width:926;height:321" coordorigin="10131,12455" coordsize="926,321" path="m11057,12455l10131,12775e" filled="false" stroked="true" strokeweight=".5pt" strokecolor="#9b8758">
                <v:path arrowok="t"/>
              </v:shape>
            </v:group>
            <v:group style="position:absolute;left:10256;top:12625;width:1650;height:895" coordorigin="10256,12625" coordsize="1650,895">
              <v:shape style="position:absolute;left:10256;top:12625;width:1650;height:895" coordorigin="10256,12625" coordsize="1650,895" path="m10256,13520l11906,12625e" filled="false" stroked="true" strokeweight=".5pt" strokecolor="#9b8758">
                <v:path arrowok="t"/>
              </v:shape>
            </v:group>
            <v:group style="position:absolute;left:10736;top:13551;width:1170;height:1092" coordorigin="10736,13551" coordsize="1170,1092">
              <v:shape style="position:absolute;left:10736;top:13551;width:1170;height:1092" coordorigin="10736,13551" coordsize="1170,1092" path="m10736,14642l11905,13551e" filled="false" stroked="true" strokeweight=".25pt" strokecolor="#9b8758">
                <v:path arrowok="t"/>
              </v:shape>
            </v:group>
            <v:group style="position:absolute;left:10232;top:12584;width:1674;height:840" coordorigin="10232,12584" coordsize="1674,840">
              <v:shape style="position:absolute;left:10232;top:12584;width:1674;height:840" coordorigin="10232,12584" coordsize="1674,840" path="m10232,13423l11905,12584e" filled="false" stroked="true" strokeweight=".25pt" strokecolor="#8b8f90">
                <v:path arrowok="t"/>
              </v:shape>
            </v:group>
            <v:group style="position:absolute;left:10146;top:12702;width:626;height:234" coordorigin="10146,12702" coordsize="626,234">
              <v:shape style="position:absolute;left:10146;top:12702;width:626;height:234" coordorigin="10146,12702" coordsize="626,234" path="m10771,12702l10146,12936e" filled="false" stroked="true" strokeweight="1pt" strokecolor="#9b8758">
                <v:path arrowok="t"/>
              </v:shape>
            </v:group>
            <v:group style="position:absolute;left:11126;top:12455;width:308;height:116" coordorigin="11126,12455" coordsize="308,116">
              <v:shape style="position:absolute;left:11126;top:12455;width:308;height:116" coordorigin="11126,12455" coordsize="308,116" path="m11434,12455l11126,12570e" filled="false" stroked="true" strokeweight="1pt" strokecolor="#9b8758">
                <v:path arrowok="t"/>
              </v:shape>
            </v:group>
            <v:group style="position:absolute;left:10394;top:12958;width:1512;height:993" coordorigin="10394,12958" coordsize="1512,993">
              <v:shape style="position:absolute;left:10394;top:12958;width:1512;height:993" coordorigin="10394,12958" coordsize="1512,993" path="m11905,12958l10394,13951e" filled="false" stroked="true" strokeweight=".25pt" strokecolor="#9b8758">
                <v:path arrowok="t"/>
              </v:shape>
            </v:group>
            <v:group style="position:absolute;left:11652;top:15280;width:254;height:413" coordorigin="11652,15280" coordsize="254,413">
              <v:shape style="position:absolute;left:11652;top:15280;width:254;height:413" coordorigin="11652,15280" coordsize="254,413" path="m11906,15280l11652,15692e" filled="false" stroked="true" strokeweight="1pt" strokecolor="#9b8758">
                <v:path arrowok="t"/>
              </v:shape>
            </v:group>
            <v:group style="position:absolute;left:11052;top:14316;width:678;height:773" coordorigin="11052,14316" coordsize="678,773">
              <v:shape style="position:absolute;left:11052;top:14316;width:678;height:773" coordorigin="11052,14316" coordsize="678,773" path="m11052,15089l11730,14316e" filled="false" stroked="true" strokeweight="1pt" strokecolor="#8b8f90">
                <v:path arrowok="t"/>
              </v:shape>
            </v:group>
            <v:group style="position:absolute;left:11824;top:13342;width:82;height:67" coordorigin="11824,13342" coordsize="82,67">
              <v:shape style="position:absolute;left:11824;top:13342;width:82;height:67" coordorigin="11824,13342" coordsize="82,67" path="m11824,13409l11906,13342e" filled="false" stroked="true" strokeweight="1pt" strokecolor="#9b8758">
                <v:path arrowok="t"/>
              </v:shape>
            </v:group>
            <v:group style="position:absolute;left:10601;top:13710;width:853;height:697" coordorigin="10601,13710" coordsize="853,697">
              <v:shape style="position:absolute;left:10601;top:13710;width:853;height:697" coordorigin="10601,13710" coordsize="853,697" path="m10601,14407l11454,13710e" filled="false" stroked="true" strokeweight="1pt" strokecolor="#8b8f90">
                <v:path arrowok="t"/>
              </v:shape>
            </v:group>
            <v:group style="position:absolute;left:11260;top:14490;width:646;height:837" coordorigin="11260,14490" coordsize="646,837">
              <v:shape style="position:absolute;left:11260;top:14490;width:646;height:837" coordorigin="11260,14490" coordsize="646,837" path="m11260,15327l11905,14490e" filled="false" stroked="true" strokeweight="1pt" strokecolor="#9b8758">
                <v:path arrowok="t"/>
              </v:shape>
            </v:group>
            <v:group style="position:absolute;left:10703;top:10094;width:757;height:271" coordorigin="10703,10094" coordsize="757,271">
              <v:shape style="position:absolute;left:10703;top:10094;width:757;height:271" coordorigin="10703,10094" coordsize="757,271" path="m11459,10364l10703,10094e" filled="false" stroked="true" strokeweight=".5pt" strokecolor="#9b8758">
                <v:path arrowok="t"/>
              </v:shape>
            </v:group>
            <v:group style="position:absolute;left:10710;top:10008;width:932;height:356" coordorigin="10710,10008" coordsize="932,356">
              <v:shape style="position:absolute;left:10710;top:10008;width:932;height:356" coordorigin="10710,10008" coordsize="932,356" path="m11641,10364l10710,10008e" filled="false" stroked="true" strokeweight=".5pt" strokecolor="#8b8f90">
                <v:path arrowok="t"/>
              </v:shape>
            </v:group>
            <v:group style="position:absolute;left:10766;top:9289;width:1140;height:675" coordorigin="10766,9289" coordsize="1140,675">
              <v:shape style="position:absolute;left:10766;top:9289;width:1140;height:675" coordorigin="10766,9289" coordsize="1140,675" path="m11905,9963l10766,9289e" filled="false" stroked="true" strokeweight=".25pt" strokecolor="#8b8f90">
                <v:path arrowok="t"/>
              </v:shape>
            </v:group>
            <v:group style="position:absolute;left:10912;top:10298;width:208;height:67" coordorigin="10912,10298" coordsize="208,67">
              <v:shape style="position:absolute;left:10912;top:10298;width:208;height:67" coordorigin="10912,10298" coordsize="208,67" path="m11120,10364l10912,10298e" filled="false" stroked="true" strokeweight="1.5pt" strokecolor="#8b8f90">
                <v:path arrowok="t"/>
              </v:shape>
            </v:group>
            <v:group style="position:absolute;left:10691;top:10248;width:381;height:116" coordorigin="10691,10248" coordsize="381,116">
              <v:shape style="position:absolute;left:10691;top:10248;width:381;height:116" coordorigin="10691,10248" coordsize="381,116" path="m11071,10364l10691,10248e" filled="false" stroked="true" strokeweight=".5pt" strokecolor="#9b8758">
                <v:path arrowok="t"/>
              </v:shape>
            </v:group>
            <v:group style="position:absolute;left:10872;top:7922;width:1034;height:1038" coordorigin="10872,7922" coordsize="1034,1038">
              <v:shape style="position:absolute;left:10872;top:7922;width:1034;height:1038" coordorigin="10872,7922" coordsize="1034,1038" path="m10872,7922l11906,8960e" filled="false" stroked="true" strokeweight=".5pt" strokecolor="#8b8f90">
                <v:path arrowok="t"/>
              </v:shape>
            </v:group>
            <v:group style="position:absolute;left:10842;top:8308;width:1064;height:945" coordorigin="10842,8308" coordsize="1064,945">
              <v:shape style="position:absolute;left:10842;top:8308;width:1064;height:945" coordorigin="10842,8308" coordsize="1064,945" path="m10842,8308l11905,9252e" filled="false" stroked="true" strokeweight="1.5pt" strokecolor="#8b8f90">
                <v:path arrowok="t"/>
              </v:shape>
            </v:group>
            <v:group style="position:absolute;left:11584;top:4889;width:322;height:767" coordorigin="11584,4889" coordsize="322,767">
              <v:shape style="position:absolute;left:11584;top:4889;width:322;height:767" coordorigin="11584,4889" coordsize="322,767" path="m11584,4889l11906,5656e" filled="false" stroked="true" strokeweight="1pt" strokecolor="#8b8f90">
                <v:path arrowok="t"/>
              </v:shape>
            </v:group>
            <v:group style="position:absolute;left:11109;top:4883;width:740;height:1505" coordorigin="11109,4883" coordsize="740,1505">
              <v:shape style="position:absolute;left:11109;top:4883;width:740;height:1505" coordorigin="11109,4883" coordsize="740,1505" path="m11109,4883l11849,6388e" filled="false" stroked="true" strokeweight="1pt" strokecolor="#9b8758">
                <v:path arrowok="t"/>
              </v:shape>
            </v:group>
            <v:group style="position:absolute;left:11324;top:5797;width:582;height:1091" coordorigin="11324,5797" coordsize="582,1091">
              <v:shape style="position:absolute;left:11324;top:5797;width:582;height:1091" coordorigin="11324,5797" coordsize="582,1091" path="m11324,5797l11906,6887e" filled="false" stroked="true" strokeweight="1.0pt" strokecolor="#8b8f90">
                <v:path arrowok="t"/>
              </v:shape>
            </v:group>
            <v:group style="position:absolute;left:11074;top:5330;width:4;height:7" coordorigin="11074,5330" coordsize="4,7">
              <v:shape style="position:absolute;left:11074;top:5330;width:4;height:7" coordorigin="11074,5330" coordsize="4,7" path="m11074,5330l11078,5337e" filled="false" stroked="true" strokeweight="1pt" strokecolor="#8b8f90">
                <v:path arrowok="t"/>
              </v:shape>
            </v:group>
            <v:group style="position:absolute;left:11050;top:5637;width:856;height:1510" coordorigin="11050,5637" coordsize="856,1510">
              <v:shape style="position:absolute;left:11050;top:5637;width:856;height:1510" coordorigin="11050,5637" coordsize="856,1510" path="m11050,5637l11906,7146e" filled="false" stroked="true" strokeweight="1pt" strokecolor="#9b8758">
                <v:path arrowok="t"/>
              </v:shape>
            </v:group>
            <v:group style="position:absolute;left:11603;top:4093;width:303;height:817" coordorigin="11603,4093" coordsize="303,817">
              <v:shape style="position:absolute;left:11603;top:4093;width:303;height:817" coordorigin="11603,4093" coordsize="303,817" path="m11603,4093l11905,4910e" filled="false" stroked="true" strokeweight="1.5pt" strokecolor="#9b8758">
                <v:path arrowok="t"/>
              </v:shape>
            </v:group>
            <v:group style="position:absolute;left:11797;top:4093;width:109;height:315" coordorigin="11797,4093" coordsize="109,315">
              <v:shape style="position:absolute;left:11797;top:4093;width:109;height:315" coordorigin="11797,4093" coordsize="109,315" path="m11797,4093l11905,4408e" filled="false" stroked="true" strokeweight="1pt" strokecolor="#9b8758">
                <v:path arrowok="t"/>
              </v:shape>
            </v:group>
            <v:group style="position:absolute;left:10948;top:6956;width:958;height:1264" coordorigin="10948,6956" coordsize="958,1264">
              <v:shape style="position:absolute;left:10948;top:6956;width:958;height:1264" coordorigin="10948,6956" coordsize="958,1264" path="m10948,6956l11906,8219e" filled="false" stroked="true" strokeweight="1pt" strokecolor="#8b8f90">
                <v:path arrowok="t"/>
              </v:shape>
            </v:group>
            <v:group style="position:absolute;left:11015;top:6085;width:814;height:1311" coordorigin="11015,6085" coordsize="814,1311">
              <v:shape style="position:absolute;left:11015;top:6085;width:814;height:1311" coordorigin="11015,6085" coordsize="814,1311" path="m11015,6085l11829,7395e" filled="false" stroked="true" strokeweight="1.5pt" strokecolor="#8b8f90">
                <v:path arrowok="t"/>
              </v:shape>
            </v:group>
            <v:group style="position:absolute;left:10906;top:7490;width:1000;height:1145" coordorigin="10906,7490" coordsize="1000,1145">
              <v:shape style="position:absolute;left:10906;top:7490;width:1000;height:1145" coordorigin="10906,7490" coordsize="1000,1145" path="m10906,7490l11905,8635e" filled="false" stroked="true" strokeweight="1pt" strokecolor="#9b8758">
                <v:path arrowok="t"/>
              </v:shape>
            </v:group>
            <v:group style="position:absolute;left:11596;top:7555;width:310;height:438" coordorigin="11596,7555" coordsize="310,438">
              <v:shape style="position:absolute;left:11596;top:7555;width:310;height:438" coordorigin="11596,7555" coordsize="310,438" path="m11596,7555l11906,7992e" filled="false" stroked="true" strokeweight="1.5pt" strokecolor="#9b8758">
                <v:path arrowok="t"/>
              </v:shape>
            </v:group>
            <v:group style="position:absolute;left:10970;top:6670;width:439;height:619" coordorigin="10970,6670" coordsize="439,619">
              <v:shape style="position:absolute;left:10970;top:6670;width:439;height:619" coordorigin="10970,6670" coordsize="439,619" path="m10970,6670l11252,7068,11408,7289e" filled="false" stroked="true" strokeweight="1.5pt" strokecolor="#9b8758">
                <v:path arrowok="t"/>
              </v:shape>
            </v:group>
            <v:group style="position:absolute;left:10763;top:9323;width:1143;height:665" coordorigin="10763,9323" coordsize="1143,665">
              <v:shape style="position:absolute;left:10763;top:9323;width:1143;height:665" coordorigin="10763,9323" coordsize="1143,665" path="m10763,9323l11906,9987e" filled="false" stroked="true" strokeweight="1pt" strokecolor="#8b8f90">
                <v:path arrowok="t"/>
              </v:shape>
            </v:group>
            <v:group style="position:absolute;left:11395;top:9267;width:511;height:371" coordorigin="11395,9267" coordsize="511,371">
              <v:shape style="position:absolute;left:11395;top:9267;width:511;height:371" coordorigin="11395,9267" coordsize="511,371" path="m11395,9267l11906,9638e" filled="false" stroked="true" strokeweight="1.5pt" strokecolor="#8b8f90">
                <v:path arrowok="t"/>
              </v:shape>
            </v:group>
            <v:group style="position:absolute;left:10801;top:8835;width:151;height:110" coordorigin="10801,8835" coordsize="151,110">
              <v:shape style="position:absolute;left:10801;top:8835;width:151;height:110" coordorigin="10801,8835" coordsize="151,110" path="m10801,8835l10952,8945e" filled="false" stroked="true" strokeweight="1.5pt" strokecolor="#8b8f90">
                <v:path arrowok="t"/>
              </v:shape>
            </v:group>
            <v:group style="position:absolute;left:11251;top:4093;width:209;height:498" coordorigin="11251,4093" coordsize="209,498">
              <v:shape style="position:absolute;left:11251;top:4093;width:209;height:498" coordorigin="11251,4093" coordsize="209,498" path="m11251,4093l11459,4590e" filled="false" stroked="true" strokeweight="1pt" strokecolor="#8b8f90">
                <v:path arrowok="t"/>
              </v:shape>
            </v:group>
            <v:group style="position:absolute;left:11442;top:4093;width:464;height:1185" coordorigin="11442,4093" coordsize="464,1185">
              <v:shape style="position:absolute;left:11442;top:4093;width:464;height:1185" coordorigin="11442,4093" coordsize="464,1185" path="m11905,5278l11442,4093e" filled="false" stroked="true" strokeweight=".5pt" strokecolor="#9b8758">
                <v:path arrowok="t"/>
              </v:shape>
            </v:group>
            <v:group style="position:absolute;left:11138;top:4513;width:331;height:716" coordorigin="11138,4513" coordsize="331,716">
              <v:shape style="position:absolute;left:11138;top:4513;width:331;height:716" coordorigin="11138,4513" coordsize="331,716" path="m11468,5229l11138,4513e" filled="false" stroked="true" strokeweight=".5pt" strokecolor="#9b8758">
                <v:path arrowok="t"/>
              </v:shape>
            </v:group>
            <v:group style="position:absolute;left:11702;top:5737;width:204;height:442" coordorigin="11702,5737" coordsize="204,442">
              <v:shape style="position:absolute;left:11702;top:5737;width:204;height:442" coordorigin="11702,5737" coordsize="204,442" path="m11905,6178l11702,5737e" filled="false" stroked="true" strokeweight=".5pt" strokecolor="#9b8758">
                <v:path arrowok="t"/>
              </v:shape>
            </v:group>
            <v:group style="position:absolute;left:11036;top:5819;width:870;height:1480" coordorigin="11036,5819" coordsize="870,1480">
              <v:shape style="position:absolute;left:11036;top:5819;width:870;height:1480" coordorigin="11036,5819" coordsize="870,1480" path="m11036,5819l11905,7298e" filled="false" stroked="true" strokeweight=".5pt" strokecolor="#9b8758">
                <v:path arrowok="t"/>
              </v:shape>
            </v:group>
            <v:group style="position:absolute;left:10727;top:9784;width:1179;height:527" coordorigin="10727,9784" coordsize="1179,527">
              <v:shape style="position:absolute;left:10727;top:9784;width:1179;height:527" coordorigin="10727,9784" coordsize="1179,527" path="m11905,10311l10727,9784e" filled="false" stroked="true" strokeweight=".25pt" strokecolor="#8b8f90">
                <v:path arrowok="t"/>
              </v:shape>
            </v:group>
            <v:group style="position:absolute;left:11029;top:9534;width:877;height:488" coordorigin="11029,9534" coordsize="877,488">
              <v:shape style="position:absolute;left:11029;top:9534;width:877;height:488" coordorigin="11029,9534" coordsize="877,488" path="m11906,10022l11029,9534e" filled="false" stroked="true" strokeweight=".25pt" strokecolor="#8b8f90">
                <v:path arrowok="t"/>
              </v:shape>
            </v:group>
            <v:group style="position:absolute;left:10715;top:9939;width:1059;height:426" coordorigin="10715,9939" coordsize="1059,426">
              <v:shape style="position:absolute;left:10715;top:9939;width:1059;height:426" coordorigin="10715,9939" coordsize="1059,426" path="m11773,10364l10715,9939e" filled="false" stroked="true" strokeweight="1pt" strokecolor="#9b8758">
                <v:path arrowok="t"/>
              </v:shape>
            </v:group>
            <v:group style="position:absolute;left:10748;top:9512;width:490;height:258" coordorigin="10748,9512" coordsize="490,258">
              <v:shape style="position:absolute;left:10748;top:9512;width:490;height:258" coordorigin="10748,9512" coordsize="490,258" path="m11238,9769l10748,9512e" filled="false" stroked="true" strokeweight="1.5pt" strokecolor="#8b8f90">
                <v:path arrowok="t"/>
              </v:shape>
            </v:group>
            <v:group style="position:absolute;left:11418;top:9864;width:488;height:257" coordorigin="11418,9864" coordsize="488,257">
              <v:shape style="position:absolute;left:11418;top:9864;width:488;height:257" coordorigin="11418,9864" coordsize="488,257" path="m11905,10120l11418,9864e" filled="false" stroked="true" strokeweight="1.5pt" strokecolor="#8b8f90">
                <v:path arrowok="t"/>
              </v:shape>
            </v:group>
            <v:group style="position:absolute;left:10722;top:9846;width:625;height:268" coordorigin="10722,9846" coordsize="625,268">
              <v:shape style="position:absolute;left:10722;top:9846;width:625;height:268" coordorigin="10722,9846" coordsize="625,268" path="m11347,10114l10722,9846e" filled="false" stroked="true" strokeweight="1.5pt" strokecolor="#8b8f90">
                <v:path arrowok="t"/>
              </v:shape>
            </v:group>
            <v:group style="position:absolute;left:11709;top:10269;width:197;height:85" coordorigin="11709,10269" coordsize="197,85">
              <v:shape style="position:absolute;left:11709;top:10269;width:197;height:85" coordorigin="11709,10269" coordsize="197,85" path="m11905,10353l11709,10269e" filled="false" stroked="true" strokeweight="1.5pt" strokecolor="#8b8f90">
                <v:path arrowok="t"/>
              </v:shape>
            </v:group>
            <v:group style="position:absolute;left:10741;top:9600;width:1165;height:583" coordorigin="10741,9600" coordsize="1165,583">
              <v:shape style="position:absolute;left:10741;top:9600;width:1165;height:583" coordorigin="10741,9600" coordsize="1165,583" path="m11905,10182l10741,9600e" filled="false" stroked="true" strokeweight=".5pt" strokecolor="#9b8758">
                <v:path arrowok="t"/>
              </v:shape>
            </v:group>
            <v:group style="position:absolute;left:10794;top:8923;width:1112;height:779" coordorigin="10794,8923" coordsize="1112,779">
              <v:shape style="position:absolute;left:10794;top:8923;width:1112;height:779" coordorigin="10794,8923" coordsize="1112,779" path="m11905,9702l10794,8923e" filled="false" stroked="true" strokeweight=".25pt" strokecolor="#9b8758">
                <v:path arrowok="t"/>
              </v:shape>
            </v:group>
            <v:group style="position:absolute;left:10736;top:9670;width:1170;height:562" coordorigin="10736,9670" coordsize="1170,562">
              <v:shape style="position:absolute;left:10736;top:9670;width:1170;height:562" coordorigin="10736,9670" coordsize="1170,562" path="m11906,10231l10736,9670e" filled="false" stroked="true" strokeweight="1pt" strokecolor="#8b8f90">
                <v:path arrowok="t"/>
              </v:shape>
            </v:group>
            <v:group style="position:absolute;left:10771;top:9219;width:516;height:316" coordorigin="10771,9219" coordsize="516,316">
              <v:shape style="position:absolute;left:10771;top:9219;width:516;height:316" coordorigin="10771,9219" coordsize="516,316" path="m11287,9535l10771,9219e" filled="false" stroked="true" strokeweight="1.5pt" strokecolor="#9b8758">
                <v:path arrowok="t"/>
              </v:shape>
            </v:group>
            <v:group style="position:absolute;left:11581;top:9715;width:325;height:199" coordorigin="11581,9715" coordsize="325,199">
              <v:shape style="position:absolute;left:11581;top:9715;width:325;height:199" coordorigin="11581,9715" coordsize="325,199" path="m11906,9913l11581,9715e" filled="false" stroked="true" strokeweight="1.5pt" strokecolor="#8b8f90">
                <v:path arrowok="t"/>
              </v:shape>
            </v:group>
            <v:group style="position:absolute;left:10808;top:8745;width:1098;height:828" coordorigin="10808,8745" coordsize="1098,828">
              <v:shape style="position:absolute;left:10808;top:8745;width:1098;height:828" coordorigin="10808,8745" coordsize="1098,828" path="m11905,9573l10808,8745e" filled="false" stroked="true" strokeweight=".5pt" strokecolor="#9b8758">
                <v:path arrowok="t"/>
              </v:shape>
            </v:group>
            <v:group style="position:absolute;left:10819;top:8604;width:1087;height:866" coordorigin="10819,8604" coordsize="1087,866">
              <v:shape style="position:absolute;left:10819;top:8604;width:1087;height:866" coordorigin="10819,8604" coordsize="1087,866" path="m11905,9470l10819,8604e" filled="false" stroked="true" strokeweight="1.0pt" strokecolor="#9b8758">
                <v:path arrowok="t"/>
              </v:shape>
            </v:group>
            <v:group style="position:absolute;left:11788;top:9078;width:118;height:108" coordorigin="11788,9078" coordsize="118,108">
              <v:shape style="position:absolute;left:11788;top:9078;width:118;height:108" coordorigin="11788,9078" coordsize="118,108" path="m11788,9078l11905,9186e" filled="false" stroked="true" strokeweight="1pt" strokecolor="#8b8f90">
                <v:path arrowok="t"/>
              </v:shape>
            </v:group>
            <v:group style="position:absolute;left:10849;top:8219;width:351;height:321" coordorigin="10849,8219" coordsize="351,321">
              <v:shape style="position:absolute;left:10849;top:8219;width:351;height:321" coordorigin="10849,8219" coordsize="351,321" path="m10849,8219l11199,8540e" filled="false" stroked="true" strokeweight="1.0pt" strokecolor="#8b8f90">
                <v:path arrowok="t"/>
              </v:shape>
            </v:group>
            <v:group style="position:absolute;left:11870;top:8697;width:36;height:40" coordorigin="11870,8697" coordsize="36,40">
              <v:shape style="position:absolute;left:11870;top:8697;width:36;height:40" coordorigin="11870,8697" coordsize="36,40" path="m11870,8697l11905,8736e" filled="false" stroked="true" strokeweight="1.5pt" strokecolor="#8b8f90">
                <v:path arrowok="t"/>
              </v:shape>
            </v:group>
            <v:group style="position:absolute;left:10896;top:7623;width:763;height:842" coordorigin="10896,7623" coordsize="763,842">
              <v:shape style="position:absolute;left:10896;top:7623;width:763;height:842" coordorigin="10896,7623" coordsize="763,842" path="m10896,7623l11658,8464e" filled="false" stroked="true" strokeweight="1.5pt" strokecolor="#9b8758">
                <v:path arrowok="t"/>
              </v:shape>
            </v:group>
            <v:group style="position:absolute;left:11328;top:7877;width:578;height:680" coordorigin="11328,7877" coordsize="578,680">
              <v:shape style="position:absolute;left:11328;top:7877;width:578;height:680" coordorigin="11328,7877" coordsize="578,680" path="m11328,7877l11906,8557e" filled="false" stroked="true" strokeweight="1pt" strokecolor="#8b8f90">
                <v:path arrowok="t"/>
              </v:shape>
            </v:group>
            <v:group style="position:absolute;left:10914;top:7389;width:145;height:171" coordorigin="10914,7389" coordsize="145,171">
              <v:shape style="position:absolute;left:10914;top:7389;width:145;height:171" coordorigin="10914,7389" coordsize="145,171" path="m10914,7389l11058,7559e" filled="false" stroked="true" strokeweight="1pt" strokecolor="#8b8f90">
                <v:path arrowok="t"/>
              </v:shape>
            </v:group>
            <v:group style="position:absolute;left:10881;top:7810;width:1025;height:1069" coordorigin="10881,7810" coordsize="1025,1069">
              <v:shape style="position:absolute;left:10881;top:7810;width:1025;height:1069" coordorigin="10881,7810" coordsize="1025,1069" path="m10881,7810l11905,8879e" filled="false" stroked="true" strokeweight="1pt" strokecolor="#9b8758">
                <v:path arrowok="t"/>
              </v:shape>
            </v:group>
            <v:group style="position:absolute;left:10860;top:8083;width:1046;height:1002" coordorigin="10860,8083" coordsize="1046,1002">
              <v:shape style="position:absolute;left:10860;top:8083;width:1046;height:1002" coordorigin="10860,8083" coordsize="1046,1002" path="m10860,8083l11906,9084e" filled="false" stroked="true" strokeweight="1pt" strokecolor="#9b8758">
                <v:path arrowok="t"/>
              </v:shape>
            </v:group>
            <v:group style="position:absolute;left:10981;top:7119;width:925;height:1187" coordorigin="10981,7119" coordsize="925,1187">
              <v:shape style="position:absolute;left:10981;top:7119;width:925;height:1187" coordorigin="10981,7119" coordsize="925,1187" path="m10981,7119l11906,8305e" filled="false" stroked="true" strokeweight="1.5pt" strokecolor="#8b8f90">
                <v:path arrowok="t"/>
              </v:shape>
            </v:group>
            <v:group style="position:absolute;left:10833;top:8424;width:1073;height:914" coordorigin="10833,8424" coordsize="1073,914">
              <v:shape style="position:absolute;left:10833;top:8424;width:1073;height:914" coordorigin="10833,8424" coordsize="1073,914" path="m11906,9338l10833,8424e" filled="false" stroked="true" strokeweight=".25pt" strokecolor="#9b8758">
                <v:path arrowok="t"/>
              </v:shape>
            </v:group>
            <v:group style="position:absolute;left:10785;top:9037;width:1121;height:747" coordorigin="10785,9037" coordsize="1121,747">
              <v:shape style="position:absolute;left:10785;top:9037;width:1121;height:747" coordorigin="10785,9037" coordsize="1121,747" path="m11906,9783l10785,9037e" filled="false" stroked="true" strokeweight=".5pt" strokecolor="#8b8f90">
                <v:path arrowok="t"/>
              </v:shape>
            </v:group>
            <v:group style="position:absolute;left:10986;top:6458;width:920;height:1367" coordorigin="10986,6458" coordsize="920,1367">
              <v:shape style="position:absolute;left:10986;top:6458;width:920;height:1367" coordorigin="10986,6458" coordsize="920,1367" path="m11905,7825l10986,6458e" filled="false" stroked="true" strokeweight="1pt" strokecolor="#9b8758">
                <v:path arrowok="t"/>
              </v:shape>
            </v:group>
            <v:group style="position:absolute;left:10781;top:9097;width:1125;height:730" coordorigin="10781,9097" coordsize="1125,730">
              <v:shape style="position:absolute;left:10781;top:9097;width:1125;height:730" coordorigin="10781,9097" coordsize="1125,730" path="m11906,9827l10781,9097e" filled="false" stroked="true" strokeweight="1.5pt" strokecolor="#9b8758">
                <v:path arrowok="t"/>
              </v:shape>
            </v:group>
            <v:group style="position:absolute;left:0;top:0;width:11906;height:4631" coordorigin="0,0" coordsize="11906,4631">
              <v:shape style="position:absolute;left:0;top:0;width:11906;height:4631" coordorigin="0,0" coordsize="11906,4631" path="m0,4630l11906,4630,11906,0,0,0,0,4630xe" filled="true" fillcolor="#d7000f" stroked="false">
                <v:path arrowok="t"/>
                <v:fill type="solid"/>
              </v:shape>
            </v:group>
            <v:group style="position:absolute;left:0;top:1592;width:11748;height:5393" coordorigin="0,1592" coordsize="11748,5393">
              <v:shape style="position:absolute;left:0;top:1592;width:11748;height:5393" coordorigin="0,1592" coordsize="11748,5393" path="m11748,1592l0,1592,0,6985,11254,6985,11748,1592xe" filled="true" fillcolor="#d7000f" stroked="false">
                <v:path arrowok="t"/>
                <v:fill type="solid"/>
              </v:shape>
              <v:shape style="position:absolute;left:2422;top:9131;width:358;height:358" type="#_x0000_t75" stroked="false">
                <v:imagedata r:id="rId13" o:title=""/>
              </v:shape>
              <v:shape style="position:absolute;left:1643;top:1632;width:358;height:358" type="#_x0000_t75" stroked="false">
                <v:imagedata r:id="rId14" o:title=""/>
              </v:shape>
              <v:shape style="position:absolute;left:940;top:10111;width:226;height:226" type="#_x0000_t75" stroked="false">
                <v:imagedata r:id="rId15" o:title=""/>
              </v:shape>
            </v:group>
            <v:group style="position:absolute;left:2623;top:9331;width:4068;height:1927" coordorigin="2623,9331" coordsize="4068,1927">
              <v:shape style="position:absolute;left:2623;top:9331;width:4068;height:1927" coordorigin="2623,9331" coordsize="4068,1927" path="m2623,9331l6690,11258e" filled="false" stroked="true" strokeweight="1.5pt" strokecolor="#8b8f90">
                <v:path arrowok="t"/>
              </v:shape>
            </v:group>
            <v:group style="position:absolute;left:1823;top:1811;width:5526;height:7679" coordorigin="1823,1811" coordsize="5526,7679">
              <v:shape style="position:absolute;left:1823;top:1811;width:5526;height:7679" coordorigin="1823,1811" coordsize="5526,7679" path="m1823,1811l7348,9490e" filled="false" stroked="true" strokeweight="1pt" strokecolor="#9b8758">
                <v:path arrowok="t"/>
              </v:shape>
            </v:group>
            <v:group style="position:absolute;left:1066;top:10215;width:4397;height:1535" coordorigin="1066,10215" coordsize="4397,1535">
              <v:shape style="position:absolute;left:1066;top:10215;width:4397;height:1535" coordorigin="1066,10215" coordsize="4397,1535" path="m1066,10215l5463,11750e" filled="false" stroked="true" strokeweight="1.5pt" strokecolor="#d7000f">
                <v:path arrowok="t"/>
              </v:shape>
              <v:shape style="position:absolute;left:10899;top:10908;width:316;height:316" type="#_x0000_t75" stroked="false">
                <v:imagedata r:id="rId16" o:title=""/>
              </v:shape>
            </v:group>
            <v:group style="position:absolute;left:10309;top:11077;width:742;height:673" coordorigin="10309,11077" coordsize="742,673">
              <v:shape style="position:absolute;left:10309;top:11077;width:742;height:673" coordorigin="10309,11077" coordsize="742,673" path="m11050,11077l10309,11750e" filled="false" stroked="true" strokeweight="1pt" strokecolor="#d7000f">
                <v:path arrowok="t"/>
              </v:shape>
            </v:group>
            <v:group style="position:absolute;left:10434;top:5347;width:1472;height:2136" coordorigin="10434,5347" coordsize="1472,2136">
              <v:shape style="position:absolute;left:10434;top:5347;width:1472;height:2136" coordorigin="10434,5347" coordsize="1472,2136" path="m11905,5347l10434,7482e" filled="false" stroked="true" strokeweight="2.0pt" strokecolor="#000000">
                <v:path arrowok="t"/>
              </v:shape>
            </v:group>
            <v:group style="position:absolute;left:1174;top:7993;width:463;height:463" coordorigin="1174,7993" coordsize="463,463">
              <v:shape style="position:absolute;left:1174;top:7993;width:463;height:463" coordorigin="1174,7993" coordsize="463,463" path="m1422,7993l1348,7999,1282,8028,1229,8074,1191,8135,1174,8207,1181,8281,1209,8347,1256,8401,1317,8438,1389,8455,1463,8448,1529,8420,1582,8373,1620,8312,1637,8240,1630,8166,1602,8100,1555,8047,1494,8009,1422,7993xe" filled="true" fillcolor="#9b8758" stroked="false">
                <v:path arrowok="t"/>
                <v:fill type="solid"/>
              </v:shape>
            </v:group>
            <v:group style="position:absolute;left:6958;top:9714;width:3303;height:3834" coordorigin="6958,9714" coordsize="3303,3834">
              <v:shape style="position:absolute;left:6958;top:9714;width:3303;height:3834" coordorigin="6958,9714" coordsize="3303,3834" path="m9192,12541l8683,12541,8657,12614,8627,12687,8595,12760,8559,12831,8519,12901,8475,12969,8428,13035,8378,13098,8323,13158,8264,13214,8335,13237,8403,13270,8467,13312,8528,13361,8587,13418,8642,13480,8694,13548,8844,13368,8885,13303,8923,13239,8960,13174,8993,13109,9025,13043,9054,12977,9081,12909,9107,12841,9130,12772,9151,12702,9171,12631,9188,12558,9192,12541xe" filled="true" fillcolor="#ffffff" stroked="false">
                <v:path arrowok="t"/>
                <v:fill type="solid"/>
              </v:shape>
              <v:shape style="position:absolute;left:6958;top:9714;width:3303;height:3834" coordorigin="6958,9714" coordsize="3303,3834" path="m9985,11543l9493,11543,9497,13535,9989,13535,9985,11543xe" filled="true" fillcolor="#ffffff" stroked="false">
                <v:path arrowok="t"/>
                <v:fill type="solid"/>
              </v:shape>
              <v:shape style="position:absolute;left:6958;top:9714;width:3303;height:3834" coordorigin="6958,9714" coordsize="3303,3834" path="m8129,12781l7648,12781,7648,13518,8129,13518,8129,12781xe" filled="true" fillcolor="#ffffff" stroked="false">
                <v:path arrowok="t"/>
                <v:fill type="solid"/>
              </v:shape>
              <v:shape style="position:absolute;left:6958;top:9714;width:3303;height:3834" coordorigin="6958,9714" coordsize="3303,3834" path="m8220,12138l7534,12138,7488,12202,7441,12266,7392,12328,7342,12390,7290,12449,7238,12507,7184,12562,7129,12614,7073,12663,7016,12709,6958,12751,7013,12805,7062,12865,7104,12930,7141,13000,7170,13073,7194,13148,7211,13226,7255,13192,7427,13025,7482,12970,7537,12911,7592,12849,7648,12781,8129,12781,8129,12717,8544,12717,8574,12665,8623,12599,8683,12541,9192,12541,9204,12484,9206,12477,8697,12477,8583,12421,8517,12385,8455,12348,8395,12306,8336,12258,8278,12203,8220,12138xe" filled="true" fillcolor="#ffffff" stroked="false">
                <v:path arrowok="t"/>
                <v:fill type="solid"/>
              </v:shape>
              <v:shape style="position:absolute;left:6958;top:9714;width:3303;height:3834" coordorigin="6958,9714" coordsize="3303,3834" path="m8544,12717l8129,12717,8191,12783,8255,12839,8322,12888,8451,12974,8472,12893,8499,12813,8533,12736,8544,12717xe" filled="true" fillcolor="#ffffff" stroked="false">
                <v:path arrowok="t"/>
                <v:fill type="solid"/>
              </v:shape>
              <v:shape style="position:absolute;left:6958;top:9714;width:3303;height:3834" coordorigin="6958,9714" coordsize="3303,3834" path="m9882,9748l9810,9783,9738,9817,9664,9847,9590,9876,9515,9903,9440,9928,9364,9950,9287,9972,9210,9991,9132,10009,9053,10026,8974,10042,8895,10056,8815,10069,8815,11286,8793,11933,8788,12013,8780,12093,8769,12172,8756,12250,8739,12327,8719,12403,8697,12477,9206,12477,9219,12408,9232,12331,9243,12252,9253,12171,9261,12088,9269,12003,9275,11916,9280,11827,9283,11735,9286,11641,9288,11543,10257,11543,10260,10977,9295,10977,9295,10498,9372,10485,9449,10471,9525,10456,9600,10439,9675,10420,9749,10400,9823,10378,9896,10355,9968,10330,10040,10303,10110,10274,10180,10243,10249,10211,9882,9748xe" filled="true" fillcolor="#ffffff" stroked="false">
                <v:path arrowok="t"/>
                <v:fill type="solid"/>
              </v:shape>
              <v:shape style="position:absolute;left:6958;top:9714;width:3303;height:3834" coordorigin="6958,9714" coordsize="3303,3834" path="m8701,11637l8129,11641,7039,11641,7039,12138,8701,12138,8701,11637xe" filled="true" fillcolor="#ffffff" stroked="false">
                <v:path arrowok="t"/>
                <v:fill type="solid"/>
              </v:shape>
              <v:shape style="position:absolute;left:6958;top:9714;width:3303;height:3834" coordorigin="6958,9714" coordsize="3303,3834" path="m8129,11479l7648,11479,7648,11641,8129,11641,8129,11479xe" filled="true" fillcolor="#ffffff" stroked="false">
                <v:path arrowok="t"/>
                <v:fill type="solid"/>
              </v:shape>
              <v:shape style="position:absolute;left:6958;top:9714;width:3303;height:3834" coordorigin="6958,9714" coordsize="3303,3834" path="m8749,10969l7006,10969,7006,11479,8749,11479,8749,10969xe" filled="true" fillcolor="#ffffff" stroked="false">
                <v:path arrowok="t"/>
                <v:fill type="solid"/>
              </v:shape>
              <v:shape style="position:absolute;left:6958;top:9714;width:3303;height:3834" coordorigin="6958,9714" coordsize="3303,3834" path="m8705,10065l7035,10065,7035,10562,7365,10570,7237,10588,7269,10669,7296,10745,7317,10818,7334,10892,7347,10969,7817,10969,7798,10887,7777,10805,7755,10723,7733,10642,7710,10562,8705,10562,8705,10065xe" filled="true" fillcolor="#ffffff" stroked="false">
                <v:path arrowok="t"/>
                <v:fill type="solid"/>
              </v:shape>
              <v:shape style="position:absolute;left:6958;top:9714;width:3303;height:3834" coordorigin="6958,9714" coordsize="3303,3834" path="m8404,10562l8103,10562,8081,10645,8057,10727,8030,10810,8001,10890,7971,10969,8448,10969,8598,10622,8404,10562xe" filled="true" fillcolor="#ffffff" stroked="false">
                <v:path arrowok="t"/>
                <v:fill type="solid"/>
              </v:shape>
              <v:shape style="position:absolute;left:6958;top:9714;width:3303;height:3834" coordorigin="6958,9714" coordsize="3303,3834" path="m8063,9714l7560,9791,7595,9858,7629,9925,7658,9993,7681,10065,8198,10065,8173,9992,8147,9921,8121,9852,8094,9783,8063,9714xe" filled="true" fillcolor="#ffffff" stroked="false">
                <v:path arrowok="t"/>
                <v:fill type="solid"/>
              </v:shape>
            </v:group>
            <v:group style="position:absolute;left:7648;top:13284;width:418;height:234" coordorigin="7648,13284" coordsize="418,234">
              <v:shape style="position:absolute;left:7648;top:13284;width:418;height:234" coordorigin="7648,13284" coordsize="418,234" path="m7648,13284l8065,13518e" filled="false" stroked="true" strokeweight="1pt" strokecolor="#8b8f90">
                <v:path arrowok="t"/>
              </v:shape>
            </v:group>
            <v:group style="position:absolute;left:7141;top:13000;width:198;height:111" coordorigin="7141,13000" coordsize="198,111">
              <v:shape style="position:absolute;left:7141;top:13000;width:198;height:111" coordorigin="7141,13000" coordsize="198,111" path="m7141,13000l7339,13111e" filled="false" stroked="true" strokeweight="1.0pt" strokecolor="#8b8f90">
                <v:path arrowok="t"/>
              </v:shape>
            </v:group>
            <v:group style="position:absolute;left:7035;top:10065;width:193;height:217" coordorigin="7035,10065" coordsize="193,217">
              <v:shape style="position:absolute;left:7035;top:10065;width:193;height:217" coordorigin="7035,10065" coordsize="193,217" path="m7228,10065l7035,10281e" filled="false" stroked="true" strokeweight="1.0pt" strokecolor="#8b8f90">
                <v:path arrowok="t"/>
              </v:shape>
            </v:group>
            <v:group style="position:absolute;left:7035;top:10065;width:337;height:349" coordorigin="7035,10065" coordsize="337,349">
              <v:shape style="position:absolute;left:7035;top:10065;width:337;height:349" coordorigin="7035,10065" coordsize="337,349" path="m7372,10065l7035,10414e" filled="false" stroked="true" strokeweight="1.5pt" strokecolor="#8b8f90">
                <v:path arrowok="t"/>
              </v:shape>
            </v:group>
            <v:group style="position:absolute;left:7587;top:9777;width:63;height:65" coordorigin="7587,9777" coordsize="63,65">
              <v:shape style="position:absolute;left:7587;top:9777;width:63;height:65" coordorigin="7587,9777" coordsize="63,65" path="m7649,9777l7587,9842e" filled="false" stroked="true" strokeweight="1.5pt" strokecolor="#8b8f90">
                <v:path arrowok="t"/>
              </v:shape>
            </v:group>
            <v:group style="position:absolute;left:7286;top:10065;width:898;height:652" coordorigin="7286,10065" coordsize="898,652">
              <v:shape style="position:absolute;left:7286;top:10065;width:898;height:652" coordorigin="7286,10065" coordsize="898,652" path="m8183,10065l7286,10716e" filled="false" stroked="true" strokeweight=".5pt" strokecolor="#9b8758">
                <v:path arrowok="t"/>
              </v:shape>
            </v:group>
            <v:group style="position:absolute;left:8183;top:10056;width:12;height:9" coordorigin="8183,10056" coordsize="12,9">
              <v:shape style="position:absolute;left:8183;top:10056;width:12;height:9" coordorigin="8183,10056" coordsize="12,9" path="m8195,10056l8183,10065e" filled="false" stroked="true" strokeweight=".5pt" strokecolor="#9b8758">
                <v:path arrowok="t"/>
              </v:shape>
            </v:group>
            <v:group style="position:absolute;left:7301;top:10065;width:1008;height:699" coordorigin="7301,10065" coordsize="1008,699">
              <v:shape style="position:absolute;left:7301;top:10065;width:1008;height:699" coordorigin="7301,10065" coordsize="1008,699" path="m8309,10065l7301,10764e" filled="false" stroked="true" strokeweight=".5pt" strokecolor="#8b8f90">
                <v:path arrowok="t"/>
              </v:shape>
            </v:group>
            <v:group style="position:absolute;left:8815;top:9910;width:1196;height:559" coordorigin="8815,9910" coordsize="1196,559">
              <v:shape style="position:absolute;left:8815;top:9910;width:1196;height:559" coordorigin="8815,9910" coordsize="1196,559" path="m10011,9910l8815,10469e" filled="false" stroked="true" strokeweight=".25pt" strokecolor="#8b8f90">
                <v:path arrowok="t"/>
              </v:shape>
            </v:group>
            <v:group style="position:absolute;left:7006;top:10969;width:738;height:345" coordorigin="7006,10969" coordsize="738,345">
              <v:shape style="position:absolute;left:7006;top:10969;width:738;height:345" coordorigin="7006,10969" coordsize="738,345" path="m7744,10969l7006,11314e" filled="false" stroked="true" strokeweight=".25pt" strokecolor="#8b8f90">
                <v:path arrowok="t"/>
              </v:shape>
            </v:group>
            <v:group style="position:absolute;left:8615;top:10520;width:90;height:42" coordorigin="8615,10520" coordsize="90,42">
              <v:shape style="position:absolute;left:8615;top:10520;width:90;height:42" coordorigin="8615,10520" coordsize="90,42" path="m8705,10520l8615,10562e" filled="false" stroked="true" strokeweight=".25pt" strokecolor="#8b8f90">
                <v:path arrowok="t"/>
              </v:shape>
            </v:group>
            <v:group style="position:absolute;left:7744;top:10938;width:66;height:31" coordorigin="7744,10938" coordsize="66,31">
              <v:shape style="position:absolute;left:7744;top:10938;width:66;height:31" coordorigin="7744,10938" coordsize="66,31" path="m7810,10938l7744,10969e" filled="false" stroked="true" strokeweight=".25pt" strokecolor="#8b8f90">
                <v:path arrowok="t"/>
              </v:shape>
            </v:group>
            <v:group style="position:absolute;left:8019;top:10601;width:512;height:240" coordorigin="8019,10601" coordsize="512,240">
              <v:shape style="position:absolute;left:8019;top:10601;width:512;height:240" coordorigin="8019,10601" coordsize="512,240" path="m8531,10601l8019,10840e" filled="false" stroked="true" strokeweight=".25pt" strokecolor="#8b8f90">
                <v:path arrowok="t"/>
              </v:shape>
            </v:group>
            <v:group style="position:absolute;left:7035;top:10065;width:286;height:305" coordorigin="7035,10065" coordsize="286,305">
              <v:shape style="position:absolute;left:7035;top:10065;width:286;height:305" coordorigin="7035,10065" coordsize="286,305" path="m7321,10065l7035,10369e" filled="false" stroked="true" strokeweight=".5pt" strokecolor="#9b8758">
                <v:path arrowok="t"/>
              </v:shape>
            </v:group>
            <v:group style="position:absolute;left:7566;top:9788;width:15;height:16" coordorigin="7566,9788" coordsize="15,16">
              <v:shape style="position:absolute;left:7566;top:9788;width:15;height:16" coordorigin="7566,9788" coordsize="15,16" path="m7581,9788l7566,9803e" filled="false" stroked="true" strokeweight=".5pt" strokecolor="#9b8758">
                <v:path arrowok="t"/>
              </v:shape>
            </v:group>
            <v:group style="position:absolute;left:7123;top:10065;width:561;height:500" coordorigin="7123,10065" coordsize="561,500">
              <v:shape style="position:absolute;left:7123;top:10065;width:561;height:500" coordorigin="7123,10065" coordsize="561,500" path="m7684,10065l7123,10564e" filled="false" stroked="true" strokeweight=".25pt" strokecolor="#8b8f90">
                <v:path arrowok="t"/>
              </v:shape>
            </v:group>
            <v:group style="position:absolute;left:7684;top:9724;width:384;height:342" coordorigin="7684,9724" coordsize="384,342">
              <v:shape style="position:absolute;left:7684;top:9724;width:384;height:342" coordorigin="7684,9724" coordsize="384,342" path="m8067,9724l7684,10065e" filled="false" stroked="true" strokeweight=".25pt" strokecolor="#8b8f90">
                <v:path arrowok="t"/>
              </v:shape>
            </v:group>
            <v:group style="position:absolute;left:7035;top:10065;width:78;height:93" coordorigin="7035,10065" coordsize="78,93">
              <v:shape style="position:absolute;left:7035;top:10065;width:78;height:93" coordorigin="7035,10065" coordsize="78,93" path="m7112,10065l7035,10158e" filled="false" stroked="true" strokeweight="1pt" strokecolor="#8b8f90">
                <v:path arrowok="t"/>
              </v:shape>
            </v:group>
            <v:group style="position:absolute;left:7209;top:10065;width:594;height:502" coordorigin="7209,10065" coordsize="594,502">
              <v:shape style="position:absolute;left:7209;top:10065;width:594;height:502" coordorigin="7209,10065" coordsize="594,502" path="m7802,10065l7209,10566e" filled="false" stroked="true" strokeweight="1.0pt" strokecolor="#8b8f90">
                <v:path arrowok="t"/>
              </v:shape>
            </v:group>
            <v:group style="position:absolute;left:7802;top:9944;width:144;height:122" coordorigin="7802,9944" coordsize="144,122">
              <v:shape style="position:absolute;left:7802;top:9944;width:144;height:122" coordorigin="7802,9944" coordsize="144,122" path="m7946,9944l7802,10065e" filled="false" stroked="true" strokeweight="1pt" strokecolor="#8b8f90">
                <v:path arrowok="t"/>
              </v:shape>
            </v:group>
            <v:group style="position:absolute;left:7349;top:10065;width:649;height:506" coordorigin="7349,10065" coordsize="649,506">
              <v:shape style="position:absolute;left:7349;top:10065;width:649;height:506" coordorigin="7349,10065" coordsize="649,506" path="m7998,10065l7349,10570e" filled="false" stroked="true" strokeweight="1.5pt" strokecolor="#8b8f90">
                <v:path arrowok="t"/>
              </v:shape>
            </v:group>
            <v:group style="position:absolute;left:7258;top:10573;width:88;height:68" coordorigin="7258,10573" coordsize="88,68">
              <v:shape style="position:absolute;left:7258;top:10573;width:88;height:68" coordorigin="7258,10573" coordsize="88,68" path="m7345,10573l7258,10641e" filled="false" stroked="true" strokeweight="1.5pt" strokecolor="#8b8f90">
                <v:path arrowok="t"/>
              </v:shape>
            </v:group>
            <v:group style="position:absolute;left:7998;top:9942;width:158;height:123" coordorigin="7998,9942" coordsize="158,123">
              <v:shape style="position:absolute;left:7998;top:9942;width:158;height:123" coordorigin="7998,9942" coordsize="158,123" path="m8155,9942l7998,10065e" filled="false" stroked="true" strokeweight="1.5pt" strokecolor="#8b8f90">
                <v:path arrowok="t"/>
              </v:shape>
            </v:group>
            <v:group style="position:absolute;left:7035;top:10065;width:452;height:442" coordorigin="7035,10065" coordsize="452,442">
              <v:shape style="position:absolute;left:7035;top:10065;width:452;height:442" coordorigin="7035,10065" coordsize="452,442" path="m7487,10065l7035,10507e" filled="false" stroked="true" strokeweight=".5pt" strokecolor="#9b8758">
                <v:path arrowok="t"/>
              </v:shape>
            </v:group>
            <v:group style="position:absolute;left:7223;top:10065;width:627;height:502" coordorigin="7223,10065" coordsize="627,502">
              <v:shape style="position:absolute;left:7223;top:10065;width:627;height:502" coordorigin="7223,10065" coordsize="627,502" path="m7849,10065l7223,10567e" filled="false" stroked="true" strokeweight=".5pt" strokecolor="#9b8758">
                <v:path arrowok="t"/>
              </v:shape>
            </v:group>
            <v:group style="position:absolute;left:7629;top:9753;width:178;height:174" coordorigin="7629,9753" coordsize="178,174">
              <v:shape style="position:absolute;left:7629;top:9753;width:178;height:174" coordorigin="7629,9753" coordsize="178,174" path="m7806,9753l7629,9926e" filled="false" stroked="true" strokeweight=".5pt" strokecolor="#9b8758">
                <v:path arrowok="t"/>
              </v:shape>
            </v:group>
            <v:group style="position:absolute;left:7849;top:9848;width:271;height:217" coordorigin="7849,9848" coordsize="271,217">
              <v:shape style="position:absolute;left:7849;top:9848;width:271;height:217" coordorigin="7849,9848" coordsize="271,217" path="m8120,9848l7849,10065e" filled="false" stroked="true" strokeweight=".5pt" strokecolor="#9b8758">
                <v:path arrowok="t"/>
              </v:shape>
            </v:group>
            <v:group style="position:absolute;left:7035;top:10065;width:537;height:497" coordorigin="7035,10065" coordsize="537,497">
              <v:shape style="position:absolute;left:7035;top:10065;width:537;height:497" coordorigin="7035,10065" coordsize="537,497" path="m7572,10065l7035,10562e" filled="false" stroked="true" strokeweight="1pt" strokecolor="#9b8758">
                <v:path arrowok="t"/>
              </v:shape>
            </v:group>
            <v:group style="position:absolute;left:7655;top:9734;width:274;height:254" coordorigin="7655,9734" coordsize="274,254">
              <v:shape style="position:absolute;left:7655;top:9734;width:274;height:254" coordorigin="7655,9734" coordsize="274,254" path="m7929,9734l7655,9987e" filled="false" stroked="true" strokeweight="1pt" strokecolor="#9b8758">
                <v:path arrowok="t"/>
              </v:shape>
            </v:group>
            <v:group style="position:absolute;left:8632;top:12675;width:496;height:103" coordorigin="8632,12675" coordsize="496,103">
              <v:shape style="position:absolute;left:8632;top:12675;width:496;height:103" coordorigin="8632,12675" coordsize="496,103" path="m8632,12675l9128,12778e" filled="false" stroked="true" strokeweight="1.0pt" strokecolor="#8b8f90">
                <v:path arrowok="t"/>
              </v:shape>
            </v:group>
            <v:group style="position:absolute;left:9496;top:12853;width:492;height:102" coordorigin="9496,12853" coordsize="492,102">
              <v:shape style="position:absolute;left:9496;top:12853;width:492;height:102" coordorigin="9496,12853" coordsize="492,102" path="m9496,12853l9988,12954e" filled="false" stroked="true" strokeweight="1pt" strokecolor="#8b8f90">
                <v:path arrowok="t"/>
              </v:shape>
            </v:group>
            <v:group style="position:absolute;left:7327;top:12407;width:1248;height:257" coordorigin="7327,12407" coordsize="1248,257">
              <v:shape style="position:absolute;left:7327;top:12407;width:1248;height:257" coordorigin="7327,12407" coordsize="1248,257" path="m7327,12407l8574,12664e" filled="false" stroked="true" strokeweight="1pt" strokecolor="#8b8f90">
                <v:path arrowok="t"/>
              </v:shape>
            </v:group>
            <v:group style="position:absolute;left:8475;top:12970;width:508;height:160" coordorigin="8475,12970" coordsize="508,160">
              <v:shape style="position:absolute;left:8475;top:12970;width:508;height:160" coordorigin="8475,12970" coordsize="508,160" path="m8475,12970l8983,13129e" filled="false" stroked="true" strokeweight="1.5pt" strokecolor="#9b8758">
                <v:path arrowok="t"/>
              </v:shape>
            </v:group>
            <v:group style="position:absolute;left:9497;top:13291;width:492;height:155" coordorigin="9497,13291" coordsize="492,155">
              <v:shape style="position:absolute;left:9497;top:13291;width:492;height:155" coordorigin="9497,13291" coordsize="492,155" path="m9497,13291l9989,13446e" filled="false" stroked="true" strokeweight="1.5pt" strokecolor="#9b8758">
                <v:path arrowok="t"/>
              </v:shape>
            </v:group>
            <v:group style="position:absolute;left:7876;top:12781;width:253;height:80" coordorigin="7876,12781" coordsize="253,80">
              <v:shape style="position:absolute;left:7876;top:12781;width:253;height:80" coordorigin="7876,12781" coordsize="253,80" path="m7876,12781l8129,12860e" filled="false" stroked="true" strokeweight="1.5pt" strokecolor="#9b8758">
                <v:path arrowok="t"/>
              </v:shape>
            </v:group>
            <v:group style="position:absolute;left:7183;top:12563;width:693;height:219" coordorigin="7183,12563" coordsize="693,219">
              <v:shape style="position:absolute;left:7183;top:12563;width:693;height:219" coordorigin="7183,12563" coordsize="693,219" path="m7183,12563l7876,12781e" filled="false" stroked="true" strokeweight="1.5pt" strokecolor="#9b8758">
                <v:path arrowok="t"/>
              </v:shape>
            </v:group>
            <v:group style="position:absolute;left:8418;top:12952;width:37;height:12" coordorigin="8418,12952" coordsize="37,12">
              <v:shape style="position:absolute;left:8418;top:12952;width:37;height:12" coordorigin="8418,12952" coordsize="37,12" path="m8418,12952l8454,12963e" filled="false" stroked="true" strokeweight="1.5pt" strokecolor="#9b8758">
                <v:path arrowok="t"/>
              </v:shape>
            </v:group>
            <v:group style="position:absolute;left:9058;top:12541;width:131;height:19" coordorigin="9058,12541" coordsize="131,19">
              <v:shape style="position:absolute;left:9058;top:12541;width:131;height:19" coordorigin="9058,12541" coordsize="131,19" path="m9058,12541l9188,12560e" filled="false" stroked="true" strokeweight="1pt" strokecolor="#8b8f90">
                <v:path arrowok="t"/>
              </v:shape>
            </v:group>
            <v:group style="position:absolute;left:9495;top:12604;width:492;height:71" coordorigin="9495,12604" coordsize="492,71">
              <v:shape style="position:absolute;left:9495;top:12604;width:492;height:71" coordorigin="9495,12604" coordsize="492,71" path="m9495,12604l9987,12675e" filled="false" stroked="true" strokeweight="1.0pt" strokecolor="#8b8f90">
                <v:path arrowok="t"/>
              </v:shape>
            </v:group>
            <v:group style="position:absolute;left:9495;top:12468;width:492;height:55" coordorigin="9495,12468" coordsize="492,55">
              <v:shape style="position:absolute;left:9495;top:12468;width:492;height:55" coordorigin="9495,12468" coordsize="492,55" path="m9495,12468l9987,12522e" filled="false" stroked="true" strokeweight="1pt" strokecolor="#8b8f90">
                <v:path arrowok="t"/>
              </v:shape>
            </v:group>
            <v:group style="position:absolute;left:7411;top:12304;width:1647;height:237" coordorigin="7411,12304" coordsize="1647,237">
              <v:shape style="position:absolute;left:7411;top:12304;width:1647;height:237" coordorigin="7411,12304" coordsize="1647,237" path="m7411,12304l9058,12541e" filled="false" stroked="true" strokeweight="1.0pt" strokecolor="#8b8f90">
                <v:path arrowok="t"/>
              </v:shape>
            </v:group>
            <v:group style="position:absolute;left:7457;top:12244;width:1010;height:111" coordorigin="7457,12244" coordsize="1010,111">
              <v:shape style="position:absolute;left:7457;top:12244;width:1010;height:111" coordorigin="7457,12244" coordsize="1010,111" path="m7457,12244l8467,12355e" filled="false" stroked="true" strokeweight="1.0pt" strokecolor="#8b8f90">
                <v:path arrowok="t"/>
              </v:shape>
            </v:group>
            <v:group style="position:absolute;left:8724;top:12383;width:489;height:54" coordorigin="8724,12383" coordsize="489,54">
              <v:shape style="position:absolute;left:8724;top:12383;width:489;height:54" coordorigin="8724,12383" coordsize="489,54" path="m8724,12383l9213,12437e" filled="false" stroked="true" strokeweight="1pt" strokecolor="#8b8f90">
                <v:path arrowok="t"/>
              </v:shape>
            </v:group>
            <v:group style="position:absolute;left:7492;top:12197;width:858;height:73" coordorigin="7492,12197" coordsize="858,73">
              <v:shape style="position:absolute;left:7492;top:12197;width:858;height:73" coordorigin="7492,12197" coordsize="858,73" path="m7492,12197l8350,12269e" filled="false" stroked="true" strokeweight="1pt" strokecolor="#9b8758">
                <v:path arrowok="t"/>
              </v:shape>
            </v:group>
            <v:group style="position:absolute;left:8744;top:12303;width:50;height:5" coordorigin="8744,12303" coordsize="50,5">
              <v:shape style="position:absolute;left:8744;top:12303;width:50;height:5" coordorigin="8744,12303" coordsize="50,5" path="m8744,12303l8793,12307e" filled="false" stroked="true" strokeweight="1pt" strokecolor="#9b8758">
                <v:path arrowok="t"/>
              </v:shape>
            </v:group>
            <v:group style="position:absolute;left:8575;top:12800;width:501;height:126" coordorigin="8575,12800" coordsize="501,126">
              <v:shape style="position:absolute;left:8575;top:12800;width:501;height:126" coordorigin="8575,12800" coordsize="501,126" path="m8575,12800l9075,12925e" filled="false" stroked="true" strokeweight="1.5pt" strokecolor="#9b8758">
                <v:path arrowok="t"/>
              </v:shape>
            </v:group>
            <v:group style="position:absolute;left:9496;top:13030;width:492;height:123" coordorigin="9496,13030" coordsize="492,123">
              <v:shape style="position:absolute;left:9496;top:13030;width:492;height:123" coordorigin="9496,13030" coordsize="492,123" path="m9496,13030l9988,13153e" filled="false" stroked="true" strokeweight="1.5pt" strokecolor="#9b8758">
                <v:path arrowok="t"/>
              </v:shape>
            </v:group>
            <v:group style="position:absolute;left:7268;top:12473;width:974;height:244" coordorigin="7268,12473" coordsize="974,244">
              <v:shape style="position:absolute;left:7268;top:12473;width:974;height:244" coordorigin="7268,12473" coordsize="974,244" path="m7268,12473l8242,12717e" filled="false" stroked="true" strokeweight="1.5pt" strokecolor="#9b8758">
                <v:path arrowok="t"/>
              </v:shape>
            </v:group>
            <v:group style="position:absolute;left:8242;top:12717;width:270;height:68" coordorigin="8242,12717" coordsize="270,68">
              <v:shape style="position:absolute;left:8242;top:12717;width:270;height:68" coordorigin="8242,12717" coordsize="270,68" path="m8242,12717l8512,12784e" filled="false" stroked="true" strokeweight="1.5pt" strokecolor="#9b8758">
                <v:path arrowok="t"/>
              </v:shape>
            </v:group>
            <v:group style="position:absolute;left:8811;top:11125;width:1449;height:269" coordorigin="8811,11125" coordsize="1449,269">
              <v:shape style="position:absolute;left:8811;top:11125;width:1449;height:269" coordorigin="8811,11125" coordsize="1449,269" path="m8811,11393l10259,11125e" filled="false" stroked="true" strokeweight=".5pt" strokecolor="#8b8f90">
                <v:path arrowok="t"/>
              </v:shape>
            </v:group>
            <v:group style="position:absolute;left:7039;top:11641;width:437;height:82" coordorigin="7039,11641" coordsize="437,82">
              <v:shape style="position:absolute;left:7039;top:11641;width:437;height:82" coordorigin="7039,11641" coordsize="437,82" path="m7039,11723l7476,11641e" filled="false" stroked="true" strokeweight=".5pt" strokecolor="#8b8f90">
                <v:path arrowok="t"/>
              </v:shape>
            </v:group>
            <v:group style="position:absolute;left:7648;top:11520;width:481;height:90" coordorigin="7648,11520" coordsize="481,90">
              <v:shape style="position:absolute;left:7648;top:11520;width:481;height:90" coordorigin="7648,11520" coordsize="481,90" path="m7648,11609l8129,11520e" filled="false" stroked="true" strokeweight=".5pt" strokecolor="#8b8f90">
                <v:path arrowok="t"/>
              </v:shape>
            </v:group>
            <v:group style="position:absolute;left:8352;top:11405;width:397;height:74" coordorigin="8352,11405" coordsize="397,74">
              <v:shape style="position:absolute;left:8352;top:11405;width:397;height:74" coordorigin="8352,11405" coordsize="397,74" path="m8352,11479l8749,11405e" filled="false" stroked="true" strokeweight=".5pt" strokecolor="#8b8f90">
                <v:path arrowok="t"/>
              </v:shape>
            </v:group>
            <v:group style="position:absolute;left:8815;top:10977;width:861;height:216" coordorigin="8815,10977" coordsize="861,216">
              <v:shape style="position:absolute;left:8815;top:10977;width:861;height:216" coordorigin="8815,10977" coordsize="861,216" path="m8815,11193l9675,10977e" filled="false" stroked="true" strokeweight="1.5pt" strokecolor="#8b8f90">
                <v:path arrowok="t"/>
              </v:shape>
            </v:group>
            <v:group style="position:absolute;left:7648;top:11479;width:24;height:6" coordorigin="7648,11479" coordsize="24,6">
              <v:shape style="position:absolute;left:7648;top:11479;width:24;height:6" coordorigin="7648,11479" coordsize="24,6" path="m7648,11484l7671,11479e" filled="false" stroked="true" strokeweight="1.5pt" strokecolor="#8b8f90">
                <v:path arrowok="t"/>
              </v:shape>
            </v:group>
            <v:group style="position:absolute;left:7671;top:11209;width:1078;height:270" coordorigin="7671,11209" coordsize="1078,270">
              <v:shape style="position:absolute;left:7671;top:11209;width:1078;height:270" coordorigin="7671,11209" coordsize="1078,270" path="m7671,11479l8749,11209e" filled="false" stroked="true" strokeweight="1.5pt" strokecolor="#8b8f90">
                <v:path arrowok="t"/>
              </v:shape>
            </v:group>
            <v:group style="position:absolute;left:8538;top:12868;width:504;height:139" coordorigin="8538,12868" coordsize="504,139">
              <v:shape style="position:absolute;left:8538;top:12868;width:504;height:139" coordorigin="8538,12868" coordsize="504,139" path="m8538,12868l9041,13006e" filled="false" stroked="true" strokeweight="1pt" strokecolor="#9b8758">
                <v:path arrowok="t"/>
              </v:shape>
            </v:group>
            <v:group style="position:absolute;left:9496;top:13131;width:492;height:136" coordorigin="9496,13131" coordsize="492,136">
              <v:shape style="position:absolute;left:9496;top:13131;width:492;height:136" coordorigin="9496,13131" coordsize="492,136" path="m9496,13131l9988,13267e" filled="false" stroked="true" strokeweight="1.0pt" strokecolor="#9b8758">
                <v:path arrowok="t"/>
              </v:shape>
            </v:group>
            <v:group style="position:absolute;left:7235;top:12509;width:894;height:246" coordorigin="7235,12509" coordsize="894,246">
              <v:shape style="position:absolute;left:7235;top:12509;width:894;height:246" coordorigin="7235,12509" coordsize="894,246" path="m7235,12509l8129,12755e" filled="false" stroked="true" strokeweight="1pt" strokecolor="#9b8758">
                <v:path arrowok="t"/>
              </v:shape>
            </v:group>
            <v:group style="position:absolute;left:8178;top:12769;width:308;height:85" coordorigin="8178,12769" coordsize="308,85">
              <v:shape style="position:absolute;left:8178;top:12769;width:308;height:85" coordorigin="8178,12769" coordsize="308,85" path="m8178,12769l8486,12853e" filled="false" stroked="true" strokeweight="1pt" strokecolor="#9b8758">
                <v:path arrowok="t"/>
              </v:shape>
            </v:group>
            <v:group style="position:absolute;left:7039;top:11928;width:449;height:23" coordorigin="7039,11928" coordsize="449,23">
              <v:shape style="position:absolute;left:7039;top:11928;width:449;height:23" coordorigin="7039,11928" coordsize="449,23" path="m7039,11950l7488,11928e" filled="false" stroked="true" strokeweight="1pt" strokecolor="#8b8f90">
                <v:path arrowok="t"/>
              </v:shape>
            </v:group>
            <v:group style="position:absolute;left:9495;top:12204;width:492;height:22" coordorigin="9495,12204" coordsize="492,22">
              <v:shape style="position:absolute;left:9495;top:12204;width:492;height:22" coordorigin="9495,12204" coordsize="492,22" path="m9495,12204l9986,12225e" filled="false" stroked="true" strokeweight="1.5pt" strokecolor="#8b8f90">
                <v:path arrowok="t"/>
              </v:shape>
            </v:group>
            <v:group style="position:absolute;left:8015;top:12138;width:215;height:10" coordorigin="8015,12138" coordsize="215,10">
              <v:shape style="position:absolute;left:8015;top:12138;width:215;height:10" coordorigin="8015,12138" coordsize="215,10" path="m8015,12138l8229,12148e" filled="false" stroked="true" strokeweight="1.5pt" strokecolor="#8b8f90">
                <v:path arrowok="t"/>
              </v:shape>
            </v:group>
            <v:group style="position:absolute;left:8769;top:12172;width:481;height:22" coordorigin="8769,12172" coordsize="481,22">
              <v:shape style="position:absolute;left:8769;top:12172;width:481;height:22" coordorigin="8769,12172" coordsize="481,22" path="m8769,12172l9250,12193e" filled="false" stroked="true" strokeweight="1.5pt" strokecolor="#8b8f90">
                <v:path arrowok="t"/>
              </v:shape>
            </v:group>
            <v:group style="position:absolute;left:7039;top:12095;width:976;height:43" coordorigin="7039,12095" coordsize="976,43">
              <v:shape style="position:absolute;left:7039;top:12095;width:976;height:43" coordorigin="7039,12095" coordsize="976,43" path="m7039,12095l8015,12138e" filled="false" stroked="true" strokeweight="1.5pt" strokecolor="#8b8f90">
                <v:path arrowok="t"/>
              </v:shape>
            </v:group>
            <v:group style="position:absolute;left:10103;top:11460;width:155;height:19" coordorigin="10103,11460" coordsize="155,19">
              <v:shape style="position:absolute;left:10103;top:11460;width:155;height:19" coordorigin="10103,11460" coordsize="155,19" path="m10103,11478l10257,11460e" filled="false" stroked="true" strokeweight="1.0pt" strokecolor="#9b8758">
                <v:path arrowok="t"/>
              </v:shape>
            </v:group>
            <v:group style="position:absolute;left:9494;top:11954;width:492;height:8" coordorigin="9494,11954" coordsize="492,8">
              <v:shape style="position:absolute;left:9494;top:11954;width:492;height:8" coordorigin="9494,11954" coordsize="492,8" path="m9494,11962l9986,11954e" filled="false" stroked="true" strokeweight="1.5pt" strokecolor="#8b8f90">
                <v:path arrowok="t"/>
              </v:shape>
            </v:group>
            <v:group style="position:absolute;left:8790;top:11965;width:481;height:8" coordorigin="8790,11965" coordsize="481,8">
              <v:shape style="position:absolute;left:8790;top:11965;width:481;height:8" coordorigin="8790,11965" coordsize="481,8" path="m8790,11973l9271,11965e" filled="false" stroked="true" strokeweight="1.5pt" strokecolor="#8b8f90">
                <v:path arrowok="t"/>
              </v:shape>
            </v:group>
            <v:group style="position:absolute;left:7039;top:11975;width:1663;height:27" coordorigin="7039,11975" coordsize="1663,27">
              <v:shape style="position:absolute;left:7039;top:11975;width:1663;height:27" coordorigin="7039,11975" coordsize="1663,27" path="m7039,12001l8701,11975e" filled="false" stroked="true" strokeweight="1.5pt" strokecolor="#8b8f90">
                <v:path arrowok="t"/>
              </v:shape>
            </v:group>
            <v:group style="position:absolute;left:8815;top:9880;width:1173;height:559" coordorigin="8815,9880" coordsize="1173,559">
              <v:shape style="position:absolute;left:8815;top:9880;width:1173;height:559" coordorigin="8815,9880" coordsize="1173,559" path="m8815,10438l9987,9880e" filled="false" stroked="true" strokeweight="1.0pt" strokecolor="#8b8f90">
                <v:path arrowok="t"/>
              </v:shape>
            </v:group>
            <v:group style="position:absolute;left:7006;top:10969;width:695;height:331" coordorigin="7006,10969" coordsize="695,331">
              <v:shape style="position:absolute;left:7006;top:10969;width:695;height:331" coordorigin="7006,10969" coordsize="695,331" path="m7006,11300l7701,10969e" filled="false" stroked="true" strokeweight="1pt" strokecolor="#8b8f90">
                <v:path arrowok="t"/>
              </v:shape>
            </v:group>
            <v:group style="position:absolute;left:7701;top:10919;width:105;height:50" coordorigin="7701,10919" coordsize="105,50">
              <v:shape style="position:absolute;left:7701;top:10919;width:105;height:50" coordorigin="7701,10919" coordsize="105,50" path="m7701,10969l7805,10919e" filled="false" stroked="true" strokeweight="1.0pt" strokecolor="#8b8f90">
                <v:path arrowok="t"/>
              </v:shape>
            </v:group>
            <v:group style="position:absolute;left:8555;top:10491;width:150;height:72" coordorigin="8555,10491" coordsize="150,72">
              <v:shape style="position:absolute;left:8555;top:10491;width:150;height:72" coordorigin="8555,10491" coordsize="150,72" path="m8555,10562l8705,10491e" filled="false" stroked="true" strokeweight="1pt" strokecolor="#8b8f90">
                <v:path arrowok="t"/>
              </v:shape>
            </v:group>
            <v:group style="position:absolute;left:8029;top:10590;width:467;height:223" coordorigin="8029,10590" coordsize="467,223">
              <v:shape style="position:absolute;left:8029;top:10590;width:467;height:223" coordorigin="8029,10590" coordsize="467,223" path="m8029,10812l8495,10590e" filled="false" stroked="true" strokeweight="1pt" strokecolor="#8b8f90">
                <v:path arrowok="t"/>
              </v:shape>
            </v:group>
            <v:group style="position:absolute;left:8815;top:10666;width:481;height:172" coordorigin="8815,10666" coordsize="481,172">
              <v:shape style="position:absolute;left:8815;top:10666;width:481;height:172" coordorigin="8815,10666" coordsize="481,172" path="m8815,10837l9295,10666e" filled="false" stroked="true" strokeweight="1.5pt" strokecolor="#8b8f90">
                <v:path arrowok="t"/>
              </v:shape>
            </v:group>
            <v:group style="position:absolute;left:7017;top:10969;width:1430;height:510" coordorigin="7017,10969" coordsize="1430,510">
              <v:shape style="position:absolute;left:7017;top:10969;width:1430;height:510" coordorigin="7017,10969" coordsize="1430,510" path="m7017,11479l8446,10969e" filled="false" stroked="true" strokeweight="1.5pt" strokecolor="#8b8f90">
                <v:path arrowok="t"/>
              </v:shape>
            </v:group>
            <v:group style="position:absolute;left:8446;top:10968;width:2;height:2" coordorigin="8446,10968" coordsize="2,2">
              <v:shape style="position:absolute;left:8446;top:10968;width:2;height:2" coordorigin="8446,10968" coordsize="2,1" path="m8446,10969l8448,10968e" filled="false" stroked="true" strokeweight="1.5pt" strokecolor="#8b8f90">
                <v:path arrowok="t"/>
              </v:shape>
            </v:group>
            <v:group style="position:absolute;left:8593;top:12764;width:500;height:116" coordorigin="8593,12764" coordsize="500,116">
              <v:shape style="position:absolute;left:8593;top:12764;width:500;height:116" coordorigin="8593,12764" coordsize="500,116" path="m9093,12879l8593,12764e" filled="false" stroked="true" strokeweight=".5pt" strokecolor="#9b8758">
                <v:path arrowok="t"/>
              </v:shape>
            </v:group>
            <v:group style="position:absolute;left:8673;top:12567;width:493;height:84" coordorigin="8673,12567" coordsize="493,84">
              <v:shape style="position:absolute;left:8673;top:12567;width:493;height:84" coordorigin="8673,12567" coordsize="493,84" path="m9165,12651l8673,12567e" filled="false" stroked="true" strokeweight=".5pt" strokecolor="#9b8758">
                <v:path arrowok="t"/>
              </v:shape>
            </v:group>
            <v:group style="position:absolute;left:9496;top:12972;width:492;height:114" coordorigin="9496,12972" coordsize="492,114">
              <v:shape style="position:absolute;left:9496;top:12972;width:492;height:114" coordorigin="9496,12972" coordsize="492,114" path="m9988,13086l9496,12972e" filled="false" stroked="true" strokeweight=".5pt" strokecolor="#9b8758">
                <v:path arrowok="t"/>
              </v:shape>
            </v:group>
            <v:group style="position:absolute;left:9496;top:12707;width:492;height:84" coordorigin="9496,12707" coordsize="492,84">
              <v:shape style="position:absolute;left:9496;top:12707;width:492;height:84" coordorigin="9496,12707" coordsize="492,84" path="m9987,12790l9496,12707e" filled="false" stroked="true" strokeweight=".5pt" strokecolor="#9b8758">
                <v:path arrowok="t"/>
              </v:shape>
            </v:group>
            <v:group style="position:absolute;left:7280;top:12461;width:1109;height:257" coordorigin="7280,12461" coordsize="1109,257">
              <v:shape style="position:absolute;left:7280;top:12461;width:1109;height:257" coordorigin="7280,12461" coordsize="1109,257" path="m8388,12717l7280,12461e" filled="false" stroked="true" strokeweight=".5pt" strokecolor="#9b8758">
                <v:path arrowok="t"/>
              </v:shape>
            </v:group>
            <v:group style="position:absolute;left:7376;top:12348;width:1282;height:218" coordorigin="7376,12348" coordsize="1282,218">
              <v:shape style="position:absolute;left:7376;top:12348;width:1282;height:218" coordorigin="7376,12348" coordsize="1282,218" path="m8658,12565l7376,12348e" filled="false" stroked="true" strokeweight=".5pt" strokecolor="#9b8758">
                <v:path arrowok="t"/>
              </v:shape>
            </v:group>
            <v:group style="position:absolute;left:8388;top:12717;width:139;height:33" coordorigin="8388,12717" coordsize="139,33">
              <v:shape style="position:absolute;left:8388;top:12717;width:139;height:33" coordorigin="8388,12717" coordsize="139,33" path="m8527,12749l8388,12717e" filled="false" stroked="true" strokeweight=".5pt" strokecolor="#9b8758">
                <v:path arrowok="t"/>
              </v:shape>
            </v:group>
            <v:group style="position:absolute;left:8396;top:13075;width:515;height:185" coordorigin="8396,13075" coordsize="515,185">
              <v:shape style="position:absolute;left:8396;top:13075;width:515;height:185" coordorigin="8396,13075" coordsize="515,185" path="m8911,13260l8396,13075e" filled="false" stroked="true" strokeweight=".25pt" strokecolor="#8b8f90">
                <v:path arrowok="t"/>
              </v:shape>
            </v:group>
            <v:group style="position:absolute;left:8565;top:13397;width:186;height:83" coordorigin="8565,13397" coordsize="186,83">
              <v:shape style="position:absolute;left:8565;top:13397;width:186;height:83" coordorigin="8565,13397" coordsize="186,83" path="m8751,13479l8565,13397e" filled="false" stroked="true" strokeweight=".25pt" strokecolor="#8b8f90">
                <v:path arrowok="t"/>
              </v:shape>
            </v:group>
            <v:group style="position:absolute;left:9497;top:13470;width:180;height:65" coordorigin="9497,13470" coordsize="180,65">
              <v:shape style="position:absolute;left:9497;top:13470;width:180;height:65" coordorigin="9497,13470" coordsize="180,65" path="m9677,13535l9497,13470e" filled="false" stroked="true" strokeweight=".25pt" strokecolor="#8b8f90">
                <v:path arrowok="t"/>
              </v:shape>
            </v:group>
            <v:group style="position:absolute;left:7648;top:12806;width:481;height:173" coordorigin="7648,12806" coordsize="481,173">
              <v:shape style="position:absolute;left:7648;top:12806;width:481;height:173" coordorigin="7648,12806" coordsize="481,173" path="m8129,12978l7648,12806e" filled="false" stroked="true" strokeweight=".25pt" strokecolor="#8b8f90">
                <v:path arrowok="t"/>
              </v:shape>
            </v:group>
            <v:group style="position:absolute;left:7648;top:12989;width:481;height:214" coordorigin="7648,12989" coordsize="481,214">
              <v:shape style="position:absolute;left:7648;top:12989;width:481;height:214" coordorigin="7648,12989" coordsize="481,214" path="m8129,13203l7648,12989e" filled="false" stroked="true" strokeweight=".25pt" strokecolor="#8b8f90">
                <v:path arrowok="t"/>
              </v:shape>
            </v:group>
            <v:group style="position:absolute;left:7125;top:12618;width:508;height:183" coordorigin="7125,12618" coordsize="508,183">
              <v:shape style="position:absolute;left:7125;top:12618;width:508;height:183" coordorigin="7125,12618" coordsize="508,183" path="m7632,12800l7125,12618e" filled="false" stroked="true" strokeweight=".25pt" strokecolor="#8b8f90">
                <v:path arrowok="t"/>
              </v:shape>
            </v:group>
            <v:group style="position:absolute;left:7016;top:12709;width:502;height:223" coordorigin="7016,12709" coordsize="502,223">
              <v:shape style="position:absolute;left:7016;top:12709;width:502;height:223" coordorigin="7016,12709" coordsize="502,223" path="m7518,12932l7016,12709e" filled="false" stroked="true" strokeweight=".25pt" strokecolor="#8b8f90">
                <v:path arrowok="t"/>
              </v:shape>
            </v:group>
            <v:group style="position:absolute;left:8436;top:13292;width:348;height:149" coordorigin="8436,13292" coordsize="348,149">
              <v:shape style="position:absolute;left:8436;top:13292;width:348;height:149" coordorigin="8436,13292" coordsize="348,149" path="m8436,13292l8783,13440e" filled="false" stroked="true" strokeweight="1pt" strokecolor="#9b8758">
                <v:path arrowok="t"/>
              </v:shape>
            </v:group>
            <v:group style="position:absolute;left:7648;top:12954;width:481;height:206" coordorigin="7648,12954" coordsize="481,206">
              <v:shape style="position:absolute;left:7648;top:12954;width:481;height:206" coordorigin="7648,12954" coordsize="481,206" path="m7648,12954l8129,13160e" filled="false" stroked="true" strokeweight="1pt" strokecolor="#9b8758">
                <v:path arrowok="t"/>
              </v:shape>
            </v:group>
            <v:group style="position:absolute;left:7036;top:12693;width:504;height:216" coordorigin="7036,12693" coordsize="504,216">
              <v:shape style="position:absolute;left:7036;top:12693;width:504;height:216" coordorigin="7036,12693" coordsize="504,216" path="m7036,12693l7540,12908e" filled="false" stroked="true" strokeweight="1pt" strokecolor="#9b8758">
                <v:path arrowok="t"/>
              </v:shape>
            </v:group>
            <v:group style="position:absolute;left:7648;top:13288;width:394;height:230" coordorigin="7648,13288" coordsize="394,230">
              <v:shape style="position:absolute;left:7648;top:13288;width:394;height:230" coordorigin="7648,13288" coordsize="394,230" path="m7648,13288l8042,13518e" filled="false" stroked="true" strokeweight="1.5pt" strokecolor="#8b8f90">
                <v:path arrowok="t"/>
              </v:shape>
            </v:group>
            <v:group style="position:absolute;left:7136;top:12990;width:205;height:120" coordorigin="7136,12990" coordsize="205,120">
              <v:shape style="position:absolute;left:7136;top:12990;width:205;height:120" coordorigin="7136,12990" coordsize="205,120" path="m7136,12990l7340,13109e" filled="false" stroked="true" strokeweight="1.5pt" strokecolor="#8b8f90">
                <v:path arrowok="t"/>
              </v:shape>
            </v:group>
            <v:group style="position:absolute;left:8329;top:13151;width:522;height:206" coordorigin="8329,13151" coordsize="522,206">
              <v:shape style="position:absolute;left:8329;top:13151;width:522;height:206" coordorigin="8329,13151" coordsize="522,206" path="m8329,13151l8851,13357e" filled="false" stroked="true" strokeweight="1pt" strokecolor="#9b8758">
                <v:path arrowok="t"/>
              </v:shape>
            </v:group>
            <v:group style="position:absolute;left:7648;top:13139;width:481;height:247" coordorigin="7648,13139" coordsize="481,247">
              <v:shape style="position:absolute;left:7648;top:13139;width:481;height:247" coordorigin="7648,13139" coordsize="481,247" path="m7648,13139l8129,13385e" filled="false" stroked="true" strokeweight="1pt" strokecolor="#9b8758">
                <v:path arrowok="t"/>
              </v:shape>
            </v:group>
            <v:group style="position:absolute;left:7648;top:12882;width:481;height:190" coordorigin="7648,12882" coordsize="481,190">
              <v:shape style="position:absolute;left:7648;top:12882;width:481;height:190" coordorigin="7648,12882" coordsize="481,190" path="m7648,12882l8129,13072e" filled="false" stroked="true" strokeweight="1pt" strokecolor="#9b8758">
                <v:path arrowok="t"/>
              </v:shape>
            </v:group>
            <v:group style="position:absolute;left:7024;top:12819;width:403;height:207" coordorigin="7024,12819" coordsize="403,207">
              <v:shape style="position:absolute;left:7024;top:12819;width:403;height:207" coordorigin="7024,12819" coordsize="403,207" path="m7024,12819l7427,13025e" filled="false" stroked="true" strokeweight="1pt" strokecolor="#9b8758">
                <v:path arrowok="t"/>
              </v:shape>
            </v:group>
            <v:group style="position:absolute;left:7079;top:12658;width:506;height:200" coordorigin="7079,12658" coordsize="506,200">
              <v:shape style="position:absolute;left:7079;top:12658;width:506;height:200" coordorigin="7079,12658" coordsize="506,200" path="m7079,12658l7585,12857e" filled="false" stroked="true" strokeweight="1pt" strokecolor="#9b8758">
                <v:path arrowok="t"/>
              </v:shape>
            </v:group>
            <v:group style="position:absolute;left:7648;top:13435;width:128;height:84" coordorigin="7648,13435" coordsize="128,84">
              <v:shape style="position:absolute;left:7648;top:13435;width:128;height:84" coordorigin="7648,13435" coordsize="128,84" path="m7648,13435l7776,13518e" filled="false" stroked="true" strokeweight="1.5pt" strokecolor="#9b8758">
                <v:path arrowok="t"/>
              </v:shape>
            </v:group>
            <v:group style="position:absolute;left:7191;top:13138;width:73;height:47" coordorigin="7191,13138" coordsize="73,47">
              <v:shape style="position:absolute;left:7191;top:13138;width:73;height:47" coordorigin="7191,13138" coordsize="73,47" path="m7191,13138l7263,13185e" filled="false" stroked="true" strokeweight="1.5pt" strokecolor="#9b8758">
                <v:path arrowok="t"/>
              </v:shape>
            </v:group>
            <v:group style="position:absolute;left:8432;top:13030;width:511;height:174" coordorigin="8432,13030" coordsize="511,174">
              <v:shape style="position:absolute;left:8432;top:13030;width:511;height:174" coordorigin="8432,13030" coordsize="511,174" path="m8432,13030l8943,13203e" filled="false" stroked="true" strokeweight="1pt" strokecolor="#9b8758">
                <v:path arrowok="t"/>
              </v:shape>
            </v:group>
            <v:group style="position:absolute;left:9497;top:13392;width:422;height:144" coordorigin="9497,13392" coordsize="422,144">
              <v:shape style="position:absolute;left:9497;top:13392;width:422;height:144" coordorigin="9497,13392" coordsize="422,144" path="m9497,13392l9918,13535e" filled="false" stroked="true" strokeweight="1pt" strokecolor="#9b8758">
                <v:path arrowok="t"/>
              </v:shape>
            </v:group>
            <v:group style="position:absolute;left:7699;top:12781;width:430;height:146" coordorigin="7699,12781" coordsize="430,146">
              <v:shape style="position:absolute;left:7699;top:12781;width:430;height:146" coordorigin="7699,12781" coordsize="430,146" path="m7699,12781l8129,12927e" filled="false" stroked="true" strokeweight="1pt" strokecolor="#9b8758">
                <v:path arrowok="t"/>
              </v:shape>
            </v:group>
            <v:group style="position:absolute;left:7150;top:12594;width:550;height:187" coordorigin="7150,12594" coordsize="550,187">
              <v:shape style="position:absolute;left:7150;top:12594;width:550;height:187" coordorigin="7150,12594" coordsize="550,187" path="m7150,12594l7699,12781e" filled="false" stroked="true" strokeweight="1pt" strokecolor="#9b8758">
                <v:path arrowok="t"/>
              </v:shape>
            </v:group>
            <v:group style="position:absolute;left:7648;top:13509;width:14;height:9" coordorigin="7648,13509" coordsize="14,9">
              <v:shape style="position:absolute;left:7648;top:13509;width:14;height:9" coordorigin="7648,13509" coordsize="14,9" path="m7648,13509l7661,13518e" filled="false" stroked="true" strokeweight="1pt" strokecolor="#8b8f90">
                <v:path arrowok="t"/>
              </v:shape>
            </v:group>
            <v:group style="position:absolute;left:7648;top:13325;width:323;height:194" coordorigin="7648,13325" coordsize="323,194">
              <v:shape style="position:absolute;left:7648;top:13325;width:323;height:194" coordorigin="7648,13325" coordsize="323,194" path="m7648,13325l7970,13518e" filled="false" stroked="true" strokeweight="1pt" strokecolor="#8b8f90">
                <v:path arrowok="t"/>
              </v:shape>
            </v:group>
            <v:group style="position:absolute;left:7207;top:13207;width:16;height:11" coordorigin="7207,13207" coordsize="16,11">
              <v:shape style="position:absolute;left:7207;top:13207;width:16;height:11" coordorigin="7207,13207" coordsize="16,11" path="m7207,13207l7222,13218e" filled="false" stroked="true" strokeweight="1pt" strokecolor="#8b8f90">
                <v:path arrowok="t"/>
              </v:shape>
            </v:group>
            <v:group style="position:absolute;left:7152;top:13028;width:169;height:101" coordorigin="7152,13028" coordsize="169,101">
              <v:shape style="position:absolute;left:7152;top:13028;width:169;height:101" coordorigin="7152,13028" coordsize="169,101" path="m7152,13028l7321,13129e" filled="false" stroked="true" strokeweight="1pt" strokecolor="#8b8f90">
                <v:path arrowok="t"/>
              </v:shape>
            </v:group>
            <v:group style="position:absolute;left:9495;top:12302;width:492;height:34" coordorigin="9495,12302" coordsize="492,34">
              <v:shape style="position:absolute;left:9495;top:12302;width:492;height:34" coordorigin="9495,12302" coordsize="492,34" path="m9495,12302l9987,12336e" filled="false" stroked="true" strokeweight=".5pt" strokecolor="#9b8758">
                <v:path arrowok="t"/>
              </v:shape>
            </v:group>
            <v:group style="position:absolute;left:7514;top:12166;width:782;height:54" coordorigin="7514,12166" coordsize="782,54">
              <v:shape style="position:absolute;left:7514;top:12166;width:782;height:54" coordorigin="7514,12166" coordsize="782,54" path="m7514,12166l8296,12220e" filled="false" stroked="true" strokeweight=".5pt" strokecolor="#9b8758">
                <v:path arrowok="t"/>
              </v:shape>
            </v:group>
            <v:group style="position:absolute;left:8755;top:12252;width:484;height:34" coordorigin="8755,12252" coordsize="484,34">
              <v:shape style="position:absolute;left:8755;top:12252;width:484;height:34" coordorigin="8755,12252" coordsize="484,34" path="m8755,12252l9238,12285e" filled="false" stroked="true" strokeweight=".5pt" strokecolor="#9b8758">
                <v:path arrowok="t"/>
              </v:shape>
            </v:group>
            <v:group style="position:absolute;left:7039;top:12134;width:68;height:5" coordorigin="7039,12134" coordsize="68,5">
              <v:shape style="position:absolute;left:7039;top:12134;width:68;height:5" coordorigin="7039,12134" coordsize="68,5" path="m7039,12134l7106,12138e" filled="false" stroked="true" strokeweight=".5pt" strokecolor="#9b8758">
                <v:path arrowok="t"/>
              </v:shape>
            </v:group>
            <v:group style="position:absolute;left:8656;top:13499;width:57;height:27" coordorigin="8656,13499" coordsize="57,27">
              <v:shape style="position:absolute;left:8656;top:13499;width:57;height:27" coordorigin="8656,13499" coordsize="57,27" path="m8656,13499l8713,13525e" filled="false" stroked="true" strokeweight="1.5pt" strokecolor="#9b8758">
                <v:path arrowok="t"/>
              </v:shape>
            </v:group>
            <v:group style="position:absolute;left:7648;top:13032;width:481;height:223" coordorigin="7648,13032" coordsize="481,223">
              <v:shape style="position:absolute;left:7648;top:13032;width:481;height:223" coordorigin="7648,13032" coordsize="481,223" path="m7648,13032l8129,13254e" filled="false" stroked="true" strokeweight="1.5pt" strokecolor="#9b8758">
                <v:path arrowok="t"/>
              </v:shape>
            </v:group>
            <v:group style="position:absolute;left:6991;top:12727;width:501;height:233" coordorigin="6991,12727" coordsize="501,233">
              <v:shape style="position:absolute;left:6991;top:12727;width:501;height:233" coordorigin="6991,12727" coordsize="501,233" path="m6991,12727l7492,12959e" filled="false" stroked="true" strokeweight="1.5pt" strokecolor="#9b8758">
                <v:path arrowok="t"/>
              </v:shape>
            </v:group>
            <v:group style="position:absolute;left:8815;top:9776;width:1090;height:545" coordorigin="8815,9776" coordsize="1090,545">
              <v:shape style="position:absolute;left:8815;top:9776;width:1090;height:545" coordorigin="8815,9776" coordsize="1090,545" path="m9904,9776l8815,10320e" filled="false" stroked="true" strokeweight=".25pt" strokecolor="#8b8f90">
                <v:path arrowok="t"/>
              </v:shape>
            </v:group>
            <v:group style="position:absolute;left:7006;top:10969;width:195;height:120" coordorigin="7006,10969" coordsize="195,120">
              <v:shape style="position:absolute;left:7006;top:10969;width:195;height:120" coordorigin="7006,10969" coordsize="195,120" path="m7201,10969l7006,11089e" filled="false" stroked="true" strokeweight=".25pt" strokecolor="#8b8f90">
                <v:path arrowok="t"/>
              </v:shape>
            </v:group>
            <v:group style="position:absolute;left:7006;top:10969;width:512;height:256" coordorigin="7006,10969" coordsize="512,256">
              <v:shape style="position:absolute;left:7006;top:10969;width:512;height:256" coordorigin="7006,10969" coordsize="512,256" path="m7517,10969l7006,11224e" filled="false" stroked="true" strokeweight=".25pt" strokecolor="#8b8f90">
                <v:path arrowok="t"/>
              </v:shape>
            </v:group>
            <v:group style="position:absolute;left:7863;top:10065;width:809;height:497" coordorigin="7863,10065" coordsize="809,497">
              <v:shape style="position:absolute;left:7863;top:10065;width:809;height:497" coordorigin="7863,10065" coordsize="809,497" path="m8671,10065l7863,10562e" filled="false" stroked="true" strokeweight=".25pt" strokecolor="#8b8f90">
                <v:path arrowok="t"/>
              </v:shape>
            </v:group>
            <v:group style="position:absolute;left:7333;top:10642;width:400;height:246" coordorigin="7333,10642" coordsize="400,246">
              <v:shape style="position:absolute;left:7333;top:10642;width:400;height:246" coordorigin="7333,10642" coordsize="400,246" path="m7733,10642l7333,10887e" filled="false" stroked="true" strokeweight=".25pt" strokecolor="#8b8f90">
                <v:path arrowok="t"/>
              </v:shape>
            </v:group>
            <v:group style="position:absolute;left:8331;top:10375;width:374;height:187" coordorigin="8331,10375" coordsize="374,187">
              <v:shape style="position:absolute;left:8331;top:10375;width:374;height:187" coordorigin="8331,10375" coordsize="374,187" path="m8705,10375l8331,10562e" filled="false" stroked="true" strokeweight=".25pt" strokecolor="#8b8f90">
                <v:path arrowok="t"/>
              </v:shape>
            </v:group>
            <v:group style="position:absolute;left:7517;top:10835;width:268;height:134" coordorigin="7517,10835" coordsize="268,134">
              <v:shape style="position:absolute;left:7517;top:10835;width:268;height:134" coordorigin="7517,10835" coordsize="268,134" path="m7785,10835l7517,10969e" filled="false" stroked="true" strokeweight=".25pt" strokecolor="#8b8f90">
                <v:path arrowok="t"/>
              </v:shape>
            </v:group>
            <v:group style="position:absolute;left:8067;top:10562;width:265;height:133" coordorigin="8067,10562" coordsize="265,133">
              <v:shape style="position:absolute;left:8067;top:10562;width:265;height:133" coordorigin="8067,10562" coordsize="265,133" path="m8331,10562l8067,10694e" filled="false" stroked="true" strokeweight=".25pt" strokecolor="#8b8f90">
                <v:path arrowok="t"/>
              </v:shape>
            </v:group>
            <v:group style="position:absolute;left:7006;top:10969;width:58;height:39" coordorigin="7006,10969" coordsize="58,39">
              <v:shape style="position:absolute;left:7006;top:10969;width:58;height:39" coordorigin="7006,10969" coordsize="58,39" path="m7063,10969l7006,11007e" filled="false" stroked="true" strokeweight="1pt" strokecolor="#9b8758">
                <v:path arrowok="t"/>
              </v:shape>
            </v:group>
            <v:group style="position:absolute;left:7313;top:10065;width:1104;height:738" coordorigin="7313,10065" coordsize="1104,738">
              <v:shape style="position:absolute;left:7313;top:10065;width:1104;height:738" coordorigin="7313,10065" coordsize="1104,738" path="m8416,10065l7313,10802e" filled="false" stroked="true" strokeweight="1pt" strokecolor="#9b8758">
                <v:path arrowok="t"/>
              </v:shape>
            </v:group>
            <v:group style="position:absolute;left:8815;top:9923;width:638;height:338" coordorigin="8815,9923" coordsize="638,338">
              <v:shape style="position:absolute;left:8815;top:9923;width:638;height:338" coordorigin="8815,9923" coordsize="638,338" path="m9452,9923l8815,10261e" filled="false" stroked="true" strokeweight="1.5pt" strokecolor="#8b8f90">
                <v:path arrowok="t"/>
              </v:shape>
            </v:group>
            <v:group style="position:absolute;left:7006;top:10969;width:472;height:250" coordorigin="7006,10969" coordsize="472,250">
              <v:shape style="position:absolute;left:7006;top:10969;width:472;height:250" coordorigin="7006,10969" coordsize="472,250" path="m7478,10969l7006,11219e" filled="false" stroked="true" strokeweight="1.5pt" strokecolor="#8b8f90">
                <v:path arrowok="t"/>
              </v:shape>
            </v:group>
            <v:group style="position:absolute;left:7006;top:10969;width:139;height:89" coordorigin="7006,10969" coordsize="139,89">
              <v:shape style="position:absolute;left:7006;top:10969;width:139;height:89" coordorigin="7006,10969" coordsize="139,89" path="m7145,10969l7006,11057e" filled="false" stroked="true" strokeweight="1.5pt" strokecolor="#8b8f90">
                <v:path arrowok="t"/>
              </v:shape>
            </v:group>
            <v:group style="position:absolute;left:8246;top:10319;width:459;height:243" coordorigin="8246,10319" coordsize="459,243">
              <v:shape style="position:absolute;left:8246;top:10319;width:459;height:243" coordorigin="8246,10319" coordsize="459,243" path="m8705,10319l8246,10562e" filled="false" stroked="true" strokeweight="1.5pt" strokecolor="#8b8f90">
                <v:path arrowok="t"/>
              </v:shape>
            </v:group>
            <v:group style="position:absolute;left:7478;top:10810;width:301;height:160" coordorigin="7478,10810" coordsize="301,160">
              <v:shape style="position:absolute;left:7478;top:10810;width:301;height:160" coordorigin="7478,10810" coordsize="301,160" path="m7778,10810l7478,10969e" filled="false" stroked="true" strokeweight="1.5pt" strokecolor="#8b8f90">
                <v:path arrowok="t"/>
              </v:shape>
            </v:group>
            <v:group style="position:absolute;left:7785;top:10065;width:783;height:497" coordorigin="7785,10065" coordsize="783,497">
              <v:shape style="position:absolute;left:7785;top:10065;width:783;height:497" coordorigin="7785,10065" coordsize="783,497" path="m8567,10065l7785,10562e" filled="false" stroked="true" strokeweight="1.5pt" strokecolor="#8b8f90">
                <v:path arrowok="t"/>
              </v:shape>
            </v:group>
            <v:group style="position:absolute;left:7326;top:10602;width:396;height:252" coordorigin="7326,10602" coordsize="396,252">
              <v:shape style="position:absolute;left:7326;top:10602;width:396;height:252" coordorigin="7326,10602" coordsize="396,252" path="m7722,10602l7326,10854e" filled="false" stroked="true" strokeweight="1.5pt" strokecolor="#8b8f90">
                <v:path arrowok="t"/>
              </v:shape>
            </v:group>
            <v:group style="position:absolute;left:8080;top:10562;width:167;height:89" coordorigin="8080,10562" coordsize="167,89">
              <v:shape style="position:absolute;left:8080;top:10562;width:167;height:89" coordorigin="8080,10562" coordsize="167,89" path="m8246,10562l8080,10650e" filled="false" stroked="true" strokeweight="1.5pt" strokecolor="#8b8f90">
                <v:path arrowok="t"/>
              </v:shape>
            </v:group>
            <v:group style="position:absolute;left:8815;top:10017;width:280;height:156" coordorigin="8815,10017" coordsize="280,156">
              <v:shape style="position:absolute;left:8815;top:10017;width:280;height:156" coordorigin="8815,10017" coordsize="280,156" path="m9094,10017l8815,10173e" filled="false" stroked="true" strokeweight=".5pt" strokecolor="#9b8758">
                <v:path arrowok="t"/>
              </v:shape>
            </v:group>
            <v:group style="position:absolute;left:7006;top:10969;width:377;height:210" coordorigin="7006,10969" coordsize="377,210">
              <v:shape style="position:absolute;left:7006;top:10969;width:377;height:210" coordorigin="7006,10969" coordsize="377,210" path="m7383,10969l7006,11178e" filled="false" stroked="true" strokeweight=".5pt" strokecolor="#9b8758">
                <v:path arrowok="t"/>
              </v:shape>
            </v:group>
            <v:group style="position:absolute;left:8115;top:10234;width:591;height:328" coordorigin="8115,10234" coordsize="591,328">
              <v:shape style="position:absolute;left:8115;top:10234;width:591;height:328" coordorigin="8115,10234" coordsize="591,328" path="m8705,10234l8115,10562e" filled="false" stroked="true" strokeweight=".5pt" strokecolor="#9b8758">
                <v:path arrowok="t"/>
              </v:shape>
            </v:group>
            <v:group style="position:absolute;left:7383;top:10757;width:382;height:213" coordorigin="7383,10757" coordsize="382,213">
              <v:shape style="position:absolute;left:7383;top:10757;width:382;height:213" coordorigin="7383,10757" coordsize="382,213" path="m7764,10757l7383,10969e" filled="false" stroked="true" strokeweight=".5pt" strokecolor="#9b8758">
                <v:path arrowok="t"/>
              </v:shape>
            </v:group>
            <v:group style="position:absolute;left:8101;top:10562;width:14;height:8" coordorigin="8101,10562" coordsize="14,8">
              <v:shape style="position:absolute;left:8101;top:10562;width:14;height:8" coordorigin="8101,10562" coordsize="14,8" path="m8115,10562l8101,10570e" filled="false" stroked="true" strokeweight=".5pt" strokecolor="#9b8758">
                <v:path arrowok="t"/>
              </v:shape>
            </v:group>
            <v:group style="position:absolute;left:8815;top:10590;width:481;height:181" coordorigin="8815,10590" coordsize="481,181">
              <v:shape style="position:absolute;left:8815;top:10590;width:481;height:181" coordorigin="8815,10590" coordsize="481,181" path="m9295,10590l8815,10771e" filled="false" stroked="true" strokeweight=".25pt" strokecolor="#9b8758">
                <v:path arrowok="t"/>
              </v:shape>
            </v:group>
            <v:group style="position:absolute;left:7006;top:10969;width:1284;height:484" coordorigin="7006,10969" coordsize="1284,484">
              <v:shape style="position:absolute;left:7006;top:10969;width:1284;height:484" coordorigin="7006,10969" coordsize="1284,484" path="m8289,10969l7006,11452e" filled="false" stroked="true" strokeweight=".25pt" strokecolor="#9b8758">
                <v:path arrowok="t"/>
              </v:shape>
            </v:group>
            <v:group style="position:absolute;left:8289;top:10898;width:190;height:72" coordorigin="8289,10898" coordsize="190,72">
              <v:shape style="position:absolute;left:8289;top:10898;width:190;height:72" coordorigin="8289,10898" coordsize="190,72" path="m8479,10898l8289,10969e" filled="false" stroked="true" strokeweight=".25pt" strokecolor="#9b8758">
                <v:path arrowok="t"/>
              </v:shape>
            </v:group>
            <v:group style="position:absolute;left:8815;top:10057;width:76;height:44" coordorigin="8815,10057" coordsize="76,44">
              <v:shape style="position:absolute;left:8815;top:10057;width:76;height:44" coordorigin="8815,10057" coordsize="76,44" path="m8890,10057l8815,10100e" filled="false" stroked="true" strokeweight="1pt" strokecolor="#8b8f90">
                <v:path arrowok="t"/>
              </v:shape>
            </v:group>
            <v:group style="position:absolute;left:7006;top:10969;width:306;height:177" coordorigin="7006,10969" coordsize="306,177">
              <v:shape style="position:absolute;left:7006;top:10969;width:306;height:177" coordorigin="7006,10969" coordsize="306,177" path="m7311,10969l7006,11145e" filled="false" stroked="true" strokeweight="1pt" strokecolor="#8b8f90">
                <v:path arrowok="t"/>
              </v:shape>
            </v:group>
            <v:group style="position:absolute;left:8016;top:10164;width:689;height:398" coordorigin="8016,10164" coordsize="689,398">
              <v:shape style="position:absolute;left:8016;top:10164;width:689;height:398" coordorigin="8016,10164" coordsize="689,398" path="m8705,10164l8016,10562e" filled="false" stroked="true" strokeweight="1pt" strokecolor="#8b8f90">
                <v:path arrowok="t"/>
              </v:shape>
            </v:group>
            <v:group style="position:absolute;left:7344;top:10714;width:409;height:237" coordorigin="7344,10714" coordsize="409,237">
              <v:shape style="position:absolute;left:7344;top:10714;width:409;height:237" coordorigin="7344,10714" coordsize="409,237" path="m7753,10714l7344,10950e" filled="false" stroked="true" strokeweight="1pt" strokecolor="#8b8f90">
                <v:path arrowok="t"/>
              </v:shape>
            </v:group>
            <v:group style="position:absolute;left:8815;top:9971;width:1245;height:559" coordorigin="8815,9971" coordsize="1245,559">
              <v:shape style="position:absolute;left:8815;top:9971;width:1245;height:559" coordorigin="8815,9971" coordsize="1245,559" path="m10060,9971l8815,10530e" filled="false" stroked="true" strokeweight="1.5pt" strokecolor="#8b8f90">
                <v:path arrowok="t"/>
              </v:shape>
            </v:group>
            <v:group style="position:absolute;left:7006;top:10969;width:832;height:373" coordorigin="7006,10969" coordsize="832,373">
              <v:shape style="position:absolute;left:7006;top:10969;width:832;height:373" coordorigin="7006,10969" coordsize="832,373" path="m7837,10969l7006,11342e" filled="false" stroked="true" strokeweight="1.5pt" strokecolor="#8b8f90">
                <v:path arrowok="t"/>
              </v:shape>
            </v:group>
            <v:group style="position:absolute;left:7999;top:10629;width:597;height:268" coordorigin="7999,10629" coordsize="597,268">
              <v:shape style="position:absolute;left:7999;top:10629;width:597;height:268" coordorigin="7999,10629" coordsize="597,268" path="m8595,10629l7999,10896e" filled="false" stroked="true" strokeweight="1.5pt" strokecolor="#8b8f90">
                <v:path arrowok="t"/>
              </v:shape>
            </v:group>
            <v:group style="position:absolute;left:8815;top:10741;width:481;height:162" coordorigin="8815,10741" coordsize="481,162">
              <v:shape style="position:absolute;left:8815;top:10741;width:481;height:162" coordorigin="8815,10741" coordsize="481,162" path="m9295,10741l8815,10903e" filled="false" stroked="true" strokeweight=".5pt" strokecolor="#9b8758">
                <v:path arrowok="t"/>
              </v:shape>
            </v:group>
            <v:group style="position:absolute;left:7106;top:10969;width:1513;height:510" coordorigin="7106,10969" coordsize="1513,510">
              <v:shape style="position:absolute;left:7106;top:10969;width:1513;height:510" coordorigin="7106,10969" coordsize="1513,510" path="m8619,10969l7106,11479e" filled="false" stroked="true" strokeweight=".5pt" strokecolor="#9b8758">
                <v:path arrowok="t"/>
              </v:shape>
            </v:group>
            <v:group style="position:absolute;left:8815;top:10854;width:481;height:148" coordorigin="8815,10854" coordsize="481,148">
              <v:shape style="position:absolute;left:8815;top:10854;width:481;height:148" coordorigin="8815,10854" coordsize="481,148" path="m9295,10854l8815,11002e" filled="false" stroked="true" strokeweight="1pt" strokecolor="#9b8758">
                <v:path arrowok="t"/>
              </v:shape>
            </v:group>
            <v:group style="position:absolute;left:7263;top:11022;width:1486;height:457" coordorigin="7263,11022" coordsize="1486,457">
              <v:shape style="position:absolute;left:7263;top:11022;width:1486;height:457" coordorigin="7263,11022" coordsize="1486,457" path="m8749,11022l7263,11479e" filled="false" stroked="true" strokeweight="1pt" strokecolor="#9b8758">
                <v:path arrowok="t"/>
              </v:shape>
            </v:group>
            <v:group style="position:absolute;left:8815;top:10977;width:1148;height:269" coordorigin="8815,10977" coordsize="1148,269">
              <v:shape style="position:absolute;left:8815;top:10977;width:1148;height:269" coordorigin="8815,10977" coordsize="1148,269" path="m8815,11246l9962,10977e" filled="false" stroked="true" strokeweight="1pt" strokecolor="#8b8f90">
                <v:path arrowok="t"/>
              </v:shape>
            </v:group>
            <v:group style="position:absolute;left:7039;top:11641;width:87;height:21" coordorigin="7039,11641" coordsize="87,21">
              <v:shape style="position:absolute;left:7039;top:11641;width:87;height:21" coordorigin="7039,11641" coordsize="87,21" path="m7039,11662l7125,11641e" filled="false" stroked="true" strokeweight="1pt" strokecolor="#8b8f90">
                <v:path arrowok="t"/>
              </v:shape>
            </v:group>
            <v:group style="position:absolute;left:7648;top:11479;width:173;height:41" coordorigin="7648,11479" coordsize="173,41">
              <v:shape style="position:absolute;left:7648;top:11479;width:173;height:41" coordorigin="7648,11479" coordsize="173,41" path="m7648,11519l7821,11479e" filled="false" stroked="true" strokeweight="1pt" strokecolor="#8b8f90">
                <v:path arrowok="t"/>
              </v:shape>
            </v:group>
            <v:group style="position:absolute;left:7821;top:11261;width:928;height:218" coordorigin="7821,11261" coordsize="928,218">
              <v:shape style="position:absolute;left:7821;top:11261;width:928;height:218" coordorigin="7821,11261" coordsize="928,218" path="m7821,11479l8749,11261e" filled="false" stroked="true" strokeweight="1.0pt" strokecolor="#8b8f90">
                <v:path arrowok="t"/>
              </v:shape>
            </v:group>
            <v:group style="position:absolute;left:8805;top:11369;width:1453;height:201" coordorigin="8805,11369" coordsize="1453,201">
              <v:shape style="position:absolute;left:8805;top:11369;width:1453;height:201" coordorigin="8805,11369" coordsize="1453,201" path="m8805,11569l10258,11369e" filled="false" stroked="true" strokeweight="1.5pt" strokecolor="#8b8f90">
                <v:path arrowok="t"/>
              </v:shape>
            </v:group>
            <v:group style="position:absolute;left:7039;top:11640;width:1247;height:172" coordorigin="7039,11640" coordsize="1247,172">
              <v:shape style="position:absolute;left:7039;top:11640;width:1247;height:172" coordorigin="7039,11640" coordsize="1247,172" path="m7039,11812l8286,11640e" filled="false" stroked="true" strokeweight="1.5pt" strokecolor="#8b8f90">
                <v:path arrowok="t"/>
              </v:shape>
            </v:group>
            <v:group style="position:absolute;left:8808;top:11233;width:1451;height:241" coordorigin="8808,11233" coordsize="1451,241">
              <v:shape style="position:absolute;left:8808;top:11233;width:1451;height:241" coordorigin="8808,11233" coordsize="1451,241" path="m8808,11474l10259,11233e" filled="false" stroked="true" strokeweight="1pt" strokecolor="#9b8758">
                <v:path arrowok="t"/>
              </v:shape>
            </v:group>
            <v:group style="position:absolute;left:8813;top:11021;width:1447;height:305" coordorigin="8813,11021" coordsize="1447,305">
              <v:shape style="position:absolute;left:8813;top:11021;width:1447;height:305" coordorigin="8813,11021" coordsize="1447,305" path="m8813,11326l10260,11021e" filled="false" stroked="true" strokeweight="1pt" strokecolor="#9b8758">
                <v:path arrowok="t"/>
              </v:shape>
            </v:group>
            <v:group style="position:absolute;left:7039;top:11641;width:762;height:127" coordorigin="7039,11641" coordsize="762,127">
              <v:shape style="position:absolute;left:7039;top:11641;width:762;height:127" coordorigin="7039,11641" coordsize="762,127" path="m7039,11768l7801,11641e" filled="false" stroked="true" strokeweight="1pt" strokecolor="#9b8758">
                <v:path arrowok="t"/>
              </v:shape>
            </v:group>
            <v:group style="position:absolute;left:7039;top:11641;width:273;height:58" coordorigin="7039,11641" coordsize="273,58">
              <v:shape style="position:absolute;left:7039;top:11641;width:273;height:58" coordorigin="7039,11641" coordsize="273,58" path="m7039,11699l7311,11641e" filled="false" stroked="true" strokeweight="1pt" strokecolor="#9b8758">
                <v:path arrowok="t"/>
              </v:shape>
            </v:group>
            <v:group style="position:absolute;left:7801;top:11587;width:329;height:55" coordorigin="7801,11587" coordsize="329,55">
              <v:shape style="position:absolute;left:7801;top:11587;width:329;height:55" coordorigin="7801,11587" coordsize="329,55" path="m7801,11641l8129,11587e" filled="false" stroked="true" strokeweight="1pt" strokecolor="#9b8758">
                <v:path arrowok="t"/>
              </v:shape>
            </v:group>
            <v:group style="position:absolute;left:7648;top:11479;width:438;height:93" coordorigin="7648,11479" coordsize="438,93">
              <v:shape style="position:absolute;left:7648;top:11479;width:438;height:93" coordorigin="7648,11479" coordsize="438,93" path="m7648,11571l8086,11479e" filled="false" stroked="true" strokeweight="1pt" strokecolor="#9b8758">
                <v:path arrowok="t"/>
              </v:shape>
            </v:group>
            <v:group style="position:absolute;left:8086;top:11339;width:664;height:140" coordorigin="8086,11339" coordsize="664,140">
              <v:shape style="position:absolute;left:8086;top:11339;width:664;height:140" coordorigin="8086,11339" coordsize="664,140" path="m8086,11479l8749,11339e" filled="false" stroked="true" strokeweight="1.0pt" strokecolor="#9b8758">
                <v:path arrowok="t"/>
              </v:shape>
            </v:group>
            <v:group style="position:absolute;left:9494;top:11745;width:492;height:31" coordorigin="9494,11745" coordsize="492,31">
              <v:shape style="position:absolute;left:9494;top:11745;width:492;height:31" coordorigin="9494,11745" coordsize="492,31" path="m9494,11775l9985,11745e" filled="false" stroked="true" strokeweight="1.5pt" strokecolor="#8b8f90">
                <v:path arrowok="t"/>
              </v:shape>
            </v:group>
            <v:group style="position:absolute;left:8797;top:11789;width:485;height:31" coordorigin="8797,11789" coordsize="485,31">
              <v:shape style="position:absolute;left:8797;top:11789;width:485;height:31" coordorigin="8797,11789" coordsize="485,31" path="m8797,11819l9281,11789e" filled="false" stroked="true" strokeweight="1.5pt" strokecolor="#8b8f90">
                <v:path arrowok="t"/>
              </v:shape>
            </v:group>
            <v:group style="position:absolute;left:7039;top:11825;width:1663;height:104" coordorigin="7039,11825" coordsize="1663,104">
              <v:shape style="position:absolute;left:7039;top:11825;width:1663;height:104" coordorigin="7039,11825" coordsize="1663,104" path="m7039,11929l8701,11825e" filled="false" stroked="true" strokeweight="1.5pt" strokecolor="#8b8f90">
                <v:path arrowok="t"/>
              </v:shape>
            </v:group>
            <v:group style="position:absolute;left:8815;top:10977;width:526;height:143" coordorigin="8815,10977" coordsize="526,143">
              <v:shape style="position:absolute;left:8815;top:10977;width:526;height:143" coordorigin="8815,10977" coordsize="526,143" path="m9340,10977l8815,11120e" filled="false" stroked="true" strokeweight=".25pt" strokecolor="#9b8758">
                <v:path arrowok="t"/>
              </v:shape>
            </v:group>
            <v:group style="position:absolute;left:7496;top:11138;width:1253;height:341" coordorigin="7496,11138" coordsize="1253,341">
              <v:shape style="position:absolute;left:7496;top:11138;width:1253;height:341" coordorigin="7496,11138" coordsize="1253,341" path="m8749,11138l7496,11479e" filled="false" stroked="true" strokeweight=".25pt" strokecolor="#9b8758">
                <v:path arrowok="t"/>
              </v:shape>
            </v:group>
            <v:group style="position:absolute;left:8815;top:10129;width:1371;height:553" coordorigin="8815,10129" coordsize="1371,553">
              <v:shape style="position:absolute;left:8815;top:10129;width:1371;height:553" coordorigin="8815,10129" coordsize="1371,553" path="m10185,10129l8815,10682e" filled="false" stroked="true" strokeweight=".5pt" strokecolor="#8b8f90">
                <v:path arrowok="t"/>
              </v:shape>
            </v:group>
            <v:group style="position:absolute;left:7006;top:10969;width:1098;height:443" coordorigin="7006,10969" coordsize="1098,443">
              <v:shape style="position:absolute;left:7006;top:10969;width:1098;height:443" coordorigin="7006,10969" coordsize="1098,443" path="m8103,10969l7006,11411e" filled="false" stroked="true" strokeweight=".5pt" strokecolor="#8b8f90">
                <v:path arrowok="t"/>
              </v:shape>
            </v:group>
            <v:group style="position:absolute;left:8103;top:10800;width:418;height:169" coordorigin="8103,10800" coordsize="418,169">
              <v:shape style="position:absolute;left:8103;top:10800;width:418;height:169" coordorigin="8103,10800" coordsize="418,169" path="m8521,10800l8103,10969e" filled="false" stroked="true" strokeweight=".5pt" strokecolor="#8b8f90">
                <v:path arrowok="t"/>
              </v:shape>
            </v:group>
            <v:group style="position:absolute;left:9494;top:12066;width:492;height:4" coordorigin="9494,12066" coordsize="492,4">
              <v:shape style="position:absolute;left:9494;top:12066;width:492;height:4" coordorigin="9494,12066" coordsize="492,4" path="m9986,12070l9494,12066e" filled="false" stroked="true" strokeweight="1pt" strokecolor="#9b8758">
                <v:path arrowok="t"/>
              </v:shape>
            </v:group>
            <v:group style="position:absolute;left:8783;top:12060;width:481;height:4" coordorigin="8783,12060" coordsize="481,4">
              <v:shape style="position:absolute;left:8783;top:12060;width:481;height:4" coordorigin="8783,12060" coordsize="481,4" path="m9263,12064l8783,12060e" filled="false" stroked="true" strokeweight="1pt" strokecolor="#9b8758">
                <v:path arrowok="t"/>
              </v:shape>
            </v:group>
            <v:group style="position:absolute;left:7039;top:12047;width:1663;height:13" coordorigin="7039,12047" coordsize="1663,13">
              <v:shape style="position:absolute;left:7039;top:12047;width:1663;height:13" coordorigin="7039,12047" coordsize="1663,13" path="m8701,12060l7039,12047e" filled="false" stroked="true" strokeweight="1pt" strokecolor="#9b8758">
                <v:path arrowok="t"/>
              </v:shape>
            </v:group>
            <v:group style="position:absolute;left:8815;top:10077;width:1329;height:556" coordorigin="8815,10077" coordsize="1329,556">
              <v:shape style="position:absolute;left:8815;top:10077;width:1329;height:556" coordorigin="8815,10077" coordsize="1329,556" path="m10143,10077l8815,10633e" filled="false" stroked="true" strokeweight="1.5pt" strokecolor="#9b8758">
                <v:path arrowok="t"/>
              </v:shape>
            </v:group>
            <v:group style="position:absolute;left:7006;top:10969;width:1005;height:420" coordorigin="7006,10969" coordsize="1005,420">
              <v:shape style="position:absolute;left:7006;top:10969;width:1005;height:420" coordorigin="7006,10969" coordsize="1005,420" path="m8010,10969l7006,11389e" filled="false" stroked="true" strokeweight="1.5pt" strokecolor="#9b8758">
                <v:path arrowok="t"/>
              </v:shape>
            </v:group>
            <v:group style="position:absolute;left:8010;top:10745;width:535;height:224" coordorigin="8010,10745" coordsize="535,224">
              <v:shape style="position:absolute;left:8010;top:10745;width:535;height:224" coordorigin="8010,10745" coordsize="535,224" path="m8545,10745l8010,10969e" filled="false" stroked="true" strokeweight="1.5pt" strokecolor="#9b8758">
                <v:path arrowok="t"/>
              </v:shape>
            </v:group>
            <w10:wrap type="none"/>
          </v:group>
        </w:pict>
      </w: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0"/>
        <w:rPr>
          <w:rFonts w:ascii="华文细黑" w:hAnsi="华文细黑" w:cs="华文细黑" w:eastAsia="华文细黑" w:hint="default"/>
          <w:sz w:val="20"/>
          <w:szCs w:val="20"/>
        </w:rPr>
      </w:pPr>
    </w:p>
    <w:p>
      <w:pPr>
        <w:spacing w:line="240" w:lineRule="auto" w:before="13"/>
        <w:rPr>
          <w:rFonts w:ascii="华文细黑" w:hAnsi="华文细黑" w:cs="华文细黑" w:eastAsia="华文细黑" w:hint="default"/>
          <w:sz w:val="17"/>
          <w:szCs w:val="17"/>
        </w:rPr>
      </w:pPr>
    </w:p>
    <w:p>
      <w:pPr>
        <w:spacing w:line="2116" w:lineRule="exact" w:before="0"/>
        <w:ind w:left="278" w:right="0" w:firstLine="4477"/>
        <w:jc w:val="left"/>
        <w:rPr>
          <w:rFonts w:ascii="宋体" w:hAnsi="宋体" w:cs="宋体" w:eastAsia="宋体" w:hint="default"/>
          <w:sz w:val="256"/>
          <w:szCs w:val="256"/>
        </w:rPr>
      </w:pPr>
      <w:r>
        <w:rPr>
          <w:rFonts w:ascii="宋体" w:hAnsi="宋体" w:cs="宋体" w:eastAsia="宋体" w:hint="default"/>
          <w:spacing w:val="-513"/>
          <w:w w:val="110"/>
          <w:sz w:val="256"/>
          <w:szCs w:val="256"/>
        </w:rPr>
        <w:t>打造</w:t>
      </w:r>
      <w:r>
        <w:rPr>
          <w:rFonts w:ascii="宋体" w:hAnsi="宋体" w:cs="宋体" w:eastAsia="宋体" w:hint="default"/>
          <w:sz w:val="256"/>
          <w:szCs w:val="256"/>
        </w:rPr>
      </w:r>
    </w:p>
    <w:p>
      <w:pPr>
        <w:spacing w:line="2995" w:lineRule="exact" w:before="0"/>
        <w:ind w:left="278" w:right="0" w:firstLine="0"/>
        <w:jc w:val="left"/>
        <w:rPr>
          <w:rFonts w:ascii="宋体" w:hAnsi="宋体" w:cs="宋体" w:eastAsia="宋体" w:hint="default"/>
          <w:sz w:val="256"/>
          <w:szCs w:val="256"/>
        </w:rPr>
      </w:pPr>
      <w:r>
        <w:rPr>
          <w:rFonts w:ascii="宋体" w:hAnsi="宋体" w:cs="宋体" w:eastAsia="宋体" w:hint="default"/>
          <w:color w:val="D7000F"/>
          <w:spacing w:val="-513"/>
          <w:w w:val="105"/>
          <w:sz w:val="256"/>
          <w:szCs w:val="256"/>
        </w:rPr>
        <w:t>竞争优势</w:t>
      </w:r>
      <w:r>
        <w:rPr>
          <w:rFonts w:ascii="宋体" w:hAnsi="宋体" w:cs="宋体" w:eastAsia="宋体" w:hint="default"/>
          <w:sz w:val="256"/>
          <w:szCs w:val="256"/>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0"/>
          <w:szCs w:val="10"/>
        </w:rPr>
      </w:pPr>
    </w:p>
    <w:p>
      <w:pPr>
        <w:spacing w:line="280" w:lineRule="exact"/>
        <w:ind w:left="1437" w:right="0" w:firstLine="0"/>
        <w:rPr>
          <w:rFonts w:ascii="宋体" w:hAnsi="宋体" w:cs="宋体" w:eastAsia="宋体" w:hint="default"/>
          <w:sz w:val="20"/>
          <w:szCs w:val="20"/>
        </w:rPr>
      </w:pPr>
      <w:r>
        <w:rPr>
          <w:rFonts w:ascii="宋体" w:hAnsi="宋体" w:cs="宋体" w:eastAsia="宋体" w:hint="default"/>
          <w:position w:val="-5"/>
          <w:sz w:val="20"/>
          <w:szCs w:val="20"/>
        </w:rPr>
        <w:pict>
          <v:group style="width:173.55pt;height:14.05pt;mso-position-horizontal-relative:char;mso-position-vertical-relative:line" coordorigin="0,0" coordsize="3471,281">
            <v:shape style="position:absolute;left:0;top:16;width:265;height:265" type="#_x0000_t75" stroked="false">
              <v:imagedata r:id="rId17" o:title=""/>
            </v:shape>
            <v:group style="position:absolute;left:132;top:15;width:3324;height:134" coordorigin="132,15" coordsize="3324,134">
              <v:shape style="position:absolute;left:132;top:15;width:3324;height:134" coordorigin="132,15" coordsize="3324,134" path="m132,148l3456,15e" filled="false" stroked="true" strokeweight="1.5pt" strokecolor="#8b8f90">
                <v:path arrowok="t"/>
              </v:shape>
            </v:group>
          </v:group>
        </w:pict>
      </w:r>
      <w:r>
        <w:rPr>
          <w:rFonts w:ascii="宋体" w:hAnsi="宋体" w:cs="宋体" w:eastAsia="宋体" w:hint="default"/>
          <w:position w:val="-5"/>
          <w:sz w:val="20"/>
          <w:szCs w:val="20"/>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p>
      <w:pPr>
        <w:pStyle w:val="Heading9"/>
        <w:tabs>
          <w:tab w:pos="1971" w:val="left" w:leader="none"/>
        </w:tabs>
        <w:spacing w:line="1869" w:lineRule="exact"/>
        <w:ind w:right="0"/>
        <w:jc w:val="left"/>
        <w:rPr>
          <w:rFonts w:ascii="宋体" w:hAnsi="宋体" w:cs="宋体" w:eastAsia="宋体" w:hint="default"/>
        </w:rPr>
      </w:pPr>
      <w:r>
        <w:rPr>
          <w:rFonts w:ascii="宋体"/>
          <w:position w:val="17"/>
        </w:rPr>
        <w:pict>
          <v:group style="width:61.75pt;height:51.25pt;mso-position-horizontal-relative:char;mso-position-vertical-relative:line" coordorigin="0,0" coordsize="1235,1025">
            <v:group style="position:absolute;left:581;top:0;width:654;height:654" coordorigin="581,0" coordsize="654,654">
              <v:shape style="position:absolute;left:581;top:0;width:654;height:654" coordorigin="581,0" coordsize="654,654" path="m927,0l855,4,786,23,721,58,665,108,621,169,593,237,581,308,585,380,604,449,639,514,689,570,750,614,818,642,889,654,961,650,1030,631,1095,596,1151,546,1195,484,1223,417,1235,346,1231,274,1212,205,1177,140,1127,84,1065,40,998,12,927,0xe" filled="true" fillcolor="#9b8758" stroked="false">
                <v:path arrowok="t"/>
                <v:fill type="solid"/>
              </v:shape>
            </v:group>
            <v:group style="position:absolute;left:0;top:20;width:1005;height:1005" coordorigin="0,20" coordsize="1005,1005">
              <v:shape style="position:absolute;left:0;top:20;width:1005;height:1005" coordorigin="0,20" coordsize="1005,1005" path="m511,20l441,24,372,37,305,60,242,93,183,135,129,186,83,245,48,308,22,375,6,444,0,514,4,584,17,653,40,719,73,783,115,842,166,896,225,941,288,977,355,1003,424,1019,494,1025,564,1021,633,1008,699,985,763,952,822,910,876,859,921,800,957,736,983,670,999,601,1005,531,1001,461,988,392,965,325,932,262,890,203,839,149,780,103,716,68,650,42,581,26,511,20xe" filled="true" fillcolor="#000000" stroked="false">
                <v:path arrowok="t"/>
                <v:fill type="solid"/>
              </v:shape>
            </v:group>
          </v:group>
        </w:pict>
      </w:r>
      <w:r>
        <w:rPr>
          <w:rFonts w:ascii="宋体"/>
          <w:position w:val="17"/>
        </w:rPr>
      </w:r>
      <w:r>
        <w:rPr>
          <w:rFonts w:ascii="宋体"/>
          <w:position w:val="17"/>
        </w:rPr>
        <w:tab/>
      </w:r>
      <w:r>
        <w:rPr>
          <w:rFonts w:ascii="宋体"/>
          <w:position w:val="-36"/>
        </w:rPr>
        <w:pict>
          <v:group style="width:162.550pt;height:93.5pt;mso-position-horizontal-relative:char;mso-position-vertical-relative:line" coordorigin="0,0" coordsize="3251,1870">
            <v:shape style="position:absolute;left:0;top:1473;width:396;height:396" type="#_x0000_t75" stroked="false">
              <v:imagedata r:id="rId18" o:title=""/>
            </v:shape>
            <v:group style="position:absolute;left:198;top:10;width:3043;height:1662" coordorigin="198,10" coordsize="3043,1662">
              <v:shape style="position:absolute;left:198;top:10;width:3043;height:1662" coordorigin="198,10" coordsize="3043,1662" path="m198,1671l3241,10e" filled="false" stroked="true" strokeweight="1pt" strokecolor="#9b8758">
                <v:path arrowok="t"/>
              </v:shape>
            </v:group>
          </v:group>
        </w:pict>
      </w:r>
      <w:r>
        <w:rPr>
          <w:rFonts w:ascii="宋体"/>
          <w:position w:val="-36"/>
        </w:rPr>
      </w:r>
    </w:p>
    <w:p>
      <w:pPr>
        <w:spacing w:after="0" w:line="1869" w:lineRule="exact"/>
        <w:jc w:val="left"/>
        <w:rPr>
          <w:rFonts w:ascii="宋体" w:hAnsi="宋体" w:cs="宋体" w:eastAsia="宋体" w:hint="default"/>
        </w:rPr>
        <w:sectPr>
          <w:pgSz w:w="11910" w:h="16160"/>
          <w:pgMar w:top="1520" w:bottom="280" w:left="1060" w:right="1440"/>
        </w:sectPr>
      </w:pPr>
    </w:p>
    <w:p>
      <w:pPr>
        <w:spacing w:line="240" w:lineRule="auto" w:before="0"/>
        <w:rPr>
          <w:rFonts w:ascii="宋体" w:hAnsi="宋体" w:cs="宋体" w:eastAsia="宋体" w:hint="default"/>
          <w:sz w:val="20"/>
          <w:szCs w:val="20"/>
        </w:rPr>
      </w:pPr>
      <w:r>
        <w:rPr/>
        <w:pict>
          <v:group style="position:absolute;margin-left:-1.000005pt;margin-top:-.000977pt;width:596.3pt;height:808.65pt;mso-position-horizontal-relative:page;mso-position-vertical-relative:page;z-index:-968728" coordorigin="-20,0" coordsize="11926,16173">
            <v:group style="position:absolute;left:3507;top:9521;width:1861;height:1167" coordorigin="3507,9521" coordsize="1861,1167">
              <v:shape style="position:absolute;left:3507;top:9521;width:1861;height:1167" coordorigin="3507,9521" coordsize="1861,1167" path="m5368,9521l3507,10687e" filled="false" stroked="true" strokeweight="1pt" strokecolor="#8b8f90">
                <v:path arrowok="t"/>
              </v:shape>
            </v:group>
            <v:group style="position:absolute;left:4469;top:8954;width:199;height:212" coordorigin="4469,8954" coordsize="199,212">
              <v:shape style="position:absolute;left:4469;top:8954;width:199;height:212" coordorigin="4469,8954" coordsize="199,212" path="m4667,8954l4469,9166e" filled="false" stroked="true" strokeweight="1pt" strokecolor="#8b8f90">
                <v:path arrowok="t"/>
              </v:shape>
            </v:group>
            <v:group style="position:absolute;left:3309;top:9145;width:1633;height:1437" coordorigin="3309,9145" coordsize="1633,1437">
              <v:shape style="position:absolute;left:3309;top:9145;width:1633;height:1437" coordorigin="3309,9145" coordsize="1633,1437" path="m4942,9145l3309,10581e" filled="false" stroked="true" strokeweight="1.5pt" strokecolor="#8b8f90">
                <v:path arrowok="t"/>
              </v:shape>
            </v:group>
            <v:group style="position:absolute;left:3702;top:9943;width:2038;height:878" coordorigin="3702,9943" coordsize="2038,878">
              <v:shape style="position:absolute;left:3702;top:9943;width:2038;height:878" coordorigin="3702,9943" coordsize="2038,878" path="m5740,9943l3702,10820e" filled="false" stroked="true" strokeweight=".5pt" strokecolor="#8b8f90">
                <v:path arrowok="t"/>
              </v:shape>
            </v:group>
            <v:group style="position:absolute;left:3870;top:10432;width:2186;height:539" coordorigin="3870,10432" coordsize="2186,539">
              <v:shape style="position:absolute;left:3870;top:10432;width:2186;height:539" coordorigin="3870,10432" coordsize="2186,539" path="m6055,10432l3870,10971e" filled="false" stroked="true" strokeweight=".25pt" strokecolor="#9b8758">
                <v:path arrowok="t"/>
              </v:shape>
            </v:group>
            <v:group style="position:absolute;left:4080;top:11001;width:2240;height:218" coordorigin="4080,11001" coordsize="2240,218">
              <v:shape style="position:absolute;left:4080;top:11001;width:2240;height:218" coordorigin="4080,11001" coordsize="2240,218" path="m6319,11001l4080,11218e" filled="false" stroked="true" strokeweight=".25pt" strokecolor="#8b8f90">
                <v:path arrowok="t"/>
              </v:shape>
            </v:group>
            <v:group style="position:absolute;left:2500;top:8297;width:280;height:2080" coordorigin="2500,8297" coordsize="280,2080">
              <v:shape style="position:absolute;left:2500;top:8297;width:280;height:2080" coordorigin="2500,8297" coordsize="280,2080" path="m2779,8297l2500,10377e" filled="false" stroked="true" strokeweight=".5pt" strokecolor="#8b8f90">
                <v:path arrowok="t"/>
              </v:shape>
            </v:group>
            <v:group style="position:absolute;left:2620;top:8337;width:450;height:2040" coordorigin="2620,8337" coordsize="450,2040">
              <v:shape style="position:absolute;left:2620;top:8337;width:450;height:2040" coordorigin="2620,8337" coordsize="450,2040" path="m3070,8337l2620,10377e" filled="false" stroked="true" strokeweight=".5pt" strokecolor="#8b8f90">
                <v:path arrowok="t"/>
              </v:shape>
            </v:group>
            <v:group style="position:absolute;left:2791;top:8445;width:803;height:1973" coordorigin="2791,8445" coordsize="803,1973">
              <v:shape style="position:absolute;left:2791;top:8445;width:803;height:1973" coordorigin="2791,8445" coordsize="803,1973" path="m3593,8445l2791,10417e" filled="false" stroked="true" strokeweight=".25pt" strokecolor="#9b8758">
                <v:path arrowok="t"/>
              </v:shape>
            </v:group>
            <v:group style="position:absolute;left:2632;top:8337;width:475;height:2040" coordorigin="2632,8337" coordsize="475,2040">
              <v:shape style="position:absolute;left:2632;top:8337;width:475;height:2040" coordorigin="2632,8337" coordsize="475,2040" path="m3107,8337l2632,10377e" filled="false" stroked="true" strokeweight="1.5pt" strokecolor="#9b8758">
                <v:path arrowok="t"/>
              </v:shape>
            </v:group>
            <v:group style="position:absolute;left:3422;top:9341;width:1761;height:1291" coordorigin="3422,9341" coordsize="1761,1291">
              <v:shape style="position:absolute;left:3422;top:9341;width:1761;height:1291" coordorigin="3422,9341" coordsize="1761,1291" path="m5183,9341l3422,10632e" filled="false" stroked="true" strokeweight=".5pt" strokecolor="#8b8f90">
                <v:path arrowok="t"/>
              </v:shape>
            </v:group>
            <v:group style="position:absolute;left:3538;top:9585;width:1899;height:1123" coordorigin="3538,9585" coordsize="1899,1123">
              <v:shape style="position:absolute;left:3538;top:9585;width:1899;height:1123" coordorigin="3538,9585" coordsize="1899,1123" path="m5437,9585l3538,10708e" filled="false" stroked="true" strokeweight=".5pt" strokecolor="#8b8f90">
                <v:path arrowok="t"/>
              </v:shape>
            </v:group>
            <v:group style="position:absolute;left:3643;top:9814;width:1994;height:966" coordorigin="3643,9814" coordsize="1994,966">
              <v:shape style="position:absolute;left:3643;top:9814;width:1994;height:966" coordorigin="3643,9814" coordsize="1994,966" path="m5637,9814l3643,10779e" filled="false" stroked="true" strokeweight=".25pt" strokecolor="#9b8758">
                <v:path arrowok="t"/>
              </v:shape>
            </v:group>
            <v:group style="position:absolute;left:3467;top:9437;width:1814;height:1225" coordorigin="3467,9437" coordsize="1814,1225">
              <v:shape style="position:absolute;left:3467;top:9437;width:1814;height:1225" coordorigin="3467,9437" coordsize="1814,1225" path="m5281,9437l3467,10661e" filled="false" stroked="true" strokeweight="1pt" strokecolor="#9b8758">
                <v:path arrowok="t"/>
              </v:shape>
            </v:group>
            <v:group style="position:absolute;left:3327;top:9179;width:1663;height:1414" coordorigin="3327,9179" coordsize="1663,1414">
              <v:shape style="position:absolute;left:3327;top:9179;width:1663;height:1414" coordorigin="3327,9179" coordsize="1663,1414" path="m4989,9179l3327,10592e" filled="false" stroked="true" strokeweight="1.5pt" strokecolor="#8b8f90">
                <v:path arrowok="t"/>
              </v:shape>
            </v:group>
            <v:group style="position:absolute;left:3257;top:9054;width:1555;height:1501" coordorigin="3257,9054" coordsize="1555,1501">
              <v:shape style="position:absolute;left:3257;top:9054;width:1555;height:1501" coordorigin="3257,9054" coordsize="1555,1501" path="m4812,9054l3257,10554e" filled="false" stroked="true" strokeweight="1.5pt" strokecolor="#9b8758">
                <v:path arrowok="t"/>
              </v:shape>
            </v:group>
            <v:group style="position:absolute;left:4041;top:11118;width:354;height:47" coordorigin="4041,11118" coordsize="354,47">
              <v:shape style="position:absolute;left:4041;top:11118;width:354;height:47" coordorigin="4041,11118" coordsize="354,47" path="m4395,11118l4041,11165e" filled="false" stroked="true" strokeweight="1pt" strokecolor="#8b8f90">
                <v:path arrowok="t"/>
              </v:shape>
            </v:group>
            <v:group style="position:absolute;left:5718;top:10870;width:553;height:73" coordorigin="5718,10870" coordsize="553,73">
              <v:shape style="position:absolute;left:5718;top:10870;width:553;height:73" coordorigin="5718,10870" coordsize="553,73" path="m6271,10870l5718,10943e" filled="false" stroked="true" strokeweight="1pt" strokecolor="#8b8f90">
                <v:path arrowok="t"/>
              </v:shape>
            </v:group>
            <v:group style="position:absolute;left:4129;top:11222;width:2269;height:67" coordorigin="4129,11222" coordsize="2269,67">
              <v:shape style="position:absolute;left:4129;top:11222;width:2269;height:67" coordorigin="4129,11222" coordsize="2269,67" path="m6397,11222l4129,11289e" filled="false" stroked="true" strokeweight="1.5pt" strokecolor="#8b8f90">
                <v:path arrowok="t"/>
              </v:shape>
            </v:group>
            <v:group style="position:absolute;left:5373;top:10594;width:773;height:163" coordorigin="5373,10594" coordsize="773,163">
              <v:shape style="position:absolute;left:5373;top:10594;width:773;height:163" coordorigin="5373,10594" coordsize="773,163" path="m6145,10594l5373,10757e" filled="false" stroked="true" strokeweight="1.5pt" strokecolor="#9b8758">
                <v:path arrowok="t"/>
              </v:shape>
            </v:group>
            <v:group style="position:absolute;left:2627;top:8345;width:543;height:2033" coordorigin="2627,8345" coordsize="543,2033">
              <v:shape style="position:absolute;left:2627;top:8345;width:543;height:2033" coordorigin="2627,8345" coordsize="543,2033" path="m3170,8345l2627,10377e" filled="false" stroked="true" strokeweight="1pt" strokecolor="#9b8758">
                <v:path arrowok="t"/>
              </v:shape>
            </v:group>
            <v:group style="position:absolute;left:2766;top:8424;width:756;height:1990" coordorigin="2766,8424" coordsize="756,1990">
              <v:shape style="position:absolute;left:2766;top:8424;width:756;height:1990" coordorigin="2766,8424" coordsize="756,1990" path="m3522,8424l2766,10413e" filled="false" stroked="true" strokeweight="1.5pt" strokecolor="#9b8758">
                <v:path arrowok="t"/>
              </v:shape>
            </v:group>
            <v:group style="position:absolute;left:2603;top:8324;width:418;height:2054" coordorigin="2603,8324" coordsize="418,2054">
              <v:shape style="position:absolute;left:2603;top:8324;width:418;height:2054" coordorigin="2603,8324" coordsize="418,2054" path="m3021,8324l2603,10377e" filled="false" stroked="true" strokeweight="1pt" strokecolor="#9b8758">
                <v:path arrowok="t"/>
              </v:shape>
            </v:group>
            <v:group style="position:absolute;left:2706;top:8391;width:627;height:2007" coordorigin="2706,8391" coordsize="627,2007">
              <v:shape style="position:absolute;left:2706;top:8391;width:627;height:2007" coordorigin="2706,8391" coordsize="627,2007" path="m3333,8391l2706,10397e" filled="false" stroked="true" strokeweight="1.5pt" strokecolor="#8b8f90">
                <v:path arrowok="t"/>
              </v:shape>
            </v:group>
            <v:group style="position:absolute;left:3215;top:8990;width:1505;height:1551" coordorigin="3215,8990" coordsize="1505,1551">
              <v:shape style="position:absolute;left:3215;top:8990;width:1505;height:1551" coordorigin="3215,8990" coordsize="1505,1551" path="m3215,10541l4720,8990e" filled="false" stroked="true" strokeweight=".5pt" strokecolor="#9b8758">
                <v:path arrowok="t"/>
              </v:shape>
            </v:group>
            <v:group style="position:absolute;left:3246;top:9090;width:1619;height:1461" coordorigin="3246,9090" coordsize="1619,1461">
              <v:shape style="position:absolute;left:3246;top:9090;width:1619;height:1461" coordorigin="3246,9090" coordsize="1619,1461" path="m3246,10550l4864,9090e" filled="false" stroked="true" strokeweight=".25pt" strokecolor="#8b8f90">
                <v:path arrowok="t"/>
              </v:shape>
            </v:group>
            <v:group style="position:absolute;left:3409;top:9317;width:1742;height:1307" coordorigin="3409,9317" coordsize="1742,1307">
              <v:shape style="position:absolute;left:3409;top:9317;width:1742;height:1307" coordorigin="3409,9317" coordsize="1742,1307" path="m3409,10624l5151,9317e" filled="false" stroked="true" strokeweight=".25pt" strokecolor="#9b8758">
                <v:path arrowok="t"/>
              </v:shape>
            </v:group>
            <v:group style="position:absolute;left:4123;top:11148;width:2249;height:133" coordorigin="4123,11148" coordsize="2249,133">
              <v:shape style="position:absolute;left:4123;top:11148;width:2249;height:133" coordorigin="4123,11148" coordsize="2249,133" path="m6371,11148l4123,11280e" filled="false" stroked="true" strokeweight="1.0pt" strokecolor="#8b8f90">
                <v:path arrowok="t"/>
              </v:shape>
            </v:group>
            <v:group style="position:absolute;left:3684;top:9967;width:2073;height:841" coordorigin="3684,9967" coordsize="2073,841">
              <v:shape style="position:absolute;left:3684;top:9967;width:2073;height:841" coordorigin="3684,9967" coordsize="2073,841" path="m5757,9967l3684,10808e" filled="false" stroked="true" strokeweight="1.0pt" strokecolor="#8b8f90">
                <v:path arrowok="t"/>
              </v:shape>
            </v:group>
            <v:group style="position:absolute;left:3858;top:10334;width:2139;height:623" coordorigin="3858,10334" coordsize="2139,623">
              <v:shape style="position:absolute;left:3858;top:10334;width:2139;height:623" coordorigin="3858,10334" coordsize="2139,623" path="m5998,10334l3858,10957e" filled="false" stroked="true" strokeweight="1.5pt" strokecolor="#8b8f90">
                <v:path arrowok="t"/>
              </v:shape>
            </v:group>
            <v:group style="position:absolute;left:3884;top:10414;width:2161;height:574" coordorigin="3884,10414" coordsize="2161,574">
              <v:shape style="position:absolute;left:3884;top:10414;width:2161;height:574" coordorigin="3884,10414" coordsize="2161,574" path="m6045,10414l3884,10987e" filled="false" stroked="true" strokeweight="1pt" strokecolor="#8b8f90">
                <v:path arrowok="t"/>
              </v:shape>
            </v:group>
            <v:group style="position:absolute;left:4011;top:10774;width:2215;height:352" coordorigin="4011,10774" coordsize="2215,352">
              <v:shape style="position:absolute;left:4011;top:10774;width:2215;height:352" coordorigin="4011,10774" coordsize="2215,352" path="m6226,10774l4011,11126e" filled="false" stroked="true" strokeweight="1.5pt" strokecolor="#8b8f90">
                <v:path arrowok="t"/>
              </v:shape>
            </v:group>
            <v:group style="position:absolute;left:4108;top:11096;width:2249;height:163" coordorigin="4108,11096" coordsize="2249,163">
              <v:shape style="position:absolute;left:4108;top:11096;width:2249;height:163" coordorigin="4108,11096" coordsize="2249,163" path="m6356,11096l4108,11258e" filled="false" stroked="true" strokeweight="1.5pt" strokecolor="#9b8758">
                <v:path arrowok="t"/>
              </v:shape>
            </v:group>
            <v:group style="position:absolute;left:3806;top:10215;width:2118;height:702" coordorigin="3806,10215" coordsize="2118,702">
              <v:shape style="position:absolute;left:3806;top:10215;width:2118;height:702" coordorigin="3806,10215" coordsize="2118,702" path="m5923,10215l3806,10916e" filled="false" stroked="true" strokeweight="1pt" strokecolor="#8b8f90">
                <v:path arrowok="t"/>
              </v:shape>
            </v:group>
            <v:group style="position:absolute;left:3394;top:9290;width:1724;height:1327" coordorigin="3394,9290" coordsize="1724,1327">
              <v:shape style="position:absolute;left:3394;top:9290;width:1724;height:1327" coordorigin="3394,9290" coordsize="1724,1327" path="m5117,9290l3394,10616e" filled="false" stroked="true" strokeweight="1pt" strokecolor="#9b8758">
                <v:path arrowok="t"/>
              </v:shape>
            </v:group>
            <v:group style="position:absolute;left:3526;top:9560;width:1884;height:1140" coordorigin="3526,9560" coordsize="1884,1140">
              <v:shape style="position:absolute;left:3526;top:9560;width:1884;height:1140" coordorigin="3526,9560" coordsize="1884,1140" path="m5410,9560l3526,10700e" filled="false" stroked="true" strokeweight="1.5pt" strokecolor="#9b8758">
                <v:path arrowok="t"/>
              </v:shape>
            </v:group>
            <v:group style="position:absolute;left:2746;top:8417;width:710;height:1991" coordorigin="2746,8417" coordsize="710,1991">
              <v:shape style="position:absolute;left:2746;top:8417;width:710;height:1991" coordorigin="2746,8417" coordsize="710,1991" path="m3455,8417l2746,10408e" filled="false" stroked="true" strokeweight=".5pt" strokecolor="#8b8f90">
                <v:path arrowok="t"/>
              </v:shape>
            </v:group>
            <v:group style="position:absolute;left:2813;top:8466;width:840;height:1952" coordorigin="2813,8466" coordsize="840,1952">
              <v:shape style="position:absolute;left:2813;top:8466;width:840;height:1952" coordorigin="2813,8466" coordsize="840,1952" path="m3653,8466l2813,10417e" filled="false" stroked="true" strokeweight=".5pt" strokecolor="#9b8758">
                <v:path arrowok="t"/>
              </v:shape>
            </v:group>
            <v:group style="position:absolute;left:2096;top:8277;width:189;height:2100" coordorigin="2096,8277" coordsize="189,2100">
              <v:shape style="position:absolute;left:2096;top:8277;width:189;height:2100" coordorigin="2096,8277" coordsize="189,2100" path="m2096,8277l2284,10377e" filled="false" stroked="true" strokeweight="1pt" strokecolor="#8b8f90">
                <v:path arrowok="t"/>
              </v:shape>
            </v:group>
            <v:group style="position:absolute;left:726;top:7389;width:342;height:816" coordorigin="726,7389" coordsize="342,816">
              <v:shape style="position:absolute;left:726;top:7389;width:342;height:816" coordorigin="726,7389" coordsize="342,816" path="m726,7389l1068,8204e" filled="false" stroked="true" strokeweight="1.0pt" strokecolor="#8b8f90">
                <v:path arrowok="t"/>
              </v:shape>
            </v:group>
            <v:group style="position:absolute;left:1098;top:8277;width:880;height:2100" coordorigin="1098,8277" coordsize="880,2100">
              <v:shape style="position:absolute;left:1098;top:8277;width:880;height:2100" coordorigin="1098,8277" coordsize="880,2100" path="m1098,8277l1978,10377e" filled="false" stroked="true" strokeweight="1pt" strokecolor="#8b8f90">
                <v:path arrowok="t"/>
              </v:shape>
            </v:group>
            <v:group style="position:absolute;left:1456;top:8277;width:638;height:2100" coordorigin="1456,8277" coordsize="638,2100">
              <v:shape style="position:absolute;left:1456;top:8277;width:638;height:2100" coordorigin="1456,8277" coordsize="638,2100" path="m1456,8277l2094,10377e" filled="false" stroked="true" strokeweight="1.5pt" strokecolor="#9b8758">
                <v:path arrowok="t"/>
              </v:shape>
            </v:group>
            <v:group style="position:absolute;left:0;top:9963;width:701;height:415" coordorigin="0,9963" coordsize="701,415">
              <v:shape style="position:absolute;left:0;top:9963;width:701;height:415" coordorigin="0,9963" coordsize="701,415" path="m700,10377l0,9963e" filled="false" stroked="true" strokeweight=".25pt" strokecolor="#8b8f90">
                <v:path arrowok="t"/>
              </v:shape>
            </v:group>
            <v:group style="position:absolute;left:0;top:5656;width:574;height:1370" coordorigin="0,5656" coordsize="574,1370">
              <v:shape style="position:absolute;left:0;top:5656;width:574;height:1370" coordorigin="0,5656" coordsize="574,1370" path="m0,5656l574,7026e" filled="false" stroked="true" strokeweight="1pt" strokecolor="#8b8f90">
                <v:path arrowok="t"/>
              </v:shape>
            </v:group>
            <v:group style="position:absolute;left:421;top:4867;width:690;height:2273" coordorigin="421,4867" coordsize="690,2273">
              <v:shape style="position:absolute;left:421;top:4867;width:690;height:2273" coordorigin="421,4867" coordsize="690,2273" path="m421,4867l1111,7140e" filled="false" stroked="true" strokeweight="1.5pt" strokecolor="#9b8758">
                <v:path arrowok="t"/>
              </v:shape>
            </v:group>
            <v:group style="position:absolute;left:135;top:6778;width:1770;height:3600" coordorigin="135,6778" coordsize="1770,3600">
              <v:shape style="position:absolute;left:135;top:6778;width:1770;height:3600" coordorigin="135,6778" coordsize="1770,3600" path="m135,6778l1905,10377e" filled="false" stroked="true" strokeweight="1pt" strokecolor="#8b8f90">
                <v:path arrowok="t"/>
              </v:shape>
            </v:group>
            <v:group style="position:absolute;left:0;top:6887;width:1863;height:3491" coordorigin="0,6887" coordsize="1863,3491">
              <v:shape style="position:absolute;left:0;top:6887;width:1863;height:3491" coordorigin="0,6887" coordsize="1863,3491" path="m0,6887l1863,10377e" filled="false" stroked="true" strokeweight="1pt" strokecolor="#8b8f90">
                <v:path arrowok="t"/>
              </v:shape>
            </v:group>
            <v:group style="position:absolute;left:0;top:7146;width:1830;height:3232" coordorigin="0,7146" coordsize="1830,3232">
              <v:shape style="position:absolute;left:0;top:7146;width:1830;height:3232" coordorigin="0,7146" coordsize="1830,3232" path="m0,7146l1830,10377e" filled="false" stroked="true" strokeweight="1pt" strokecolor="#9b8758">
                <v:path arrowok="t"/>
              </v:shape>
            </v:group>
            <v:group style="position:absolute;left:360;top:5882;width:723;height:1950" coordorigin="360,5882" coordsize="723,1950">
              <v:shape style="position:absolute;left:360;top:5882;width:723;height:1950" coordorigin="360,5882" coordsize="723,1950" path="m360,5882l1083,7831e" filled="false" stroked="true" strokeweight="1.5pt" strokecolor="#9b8758">
                <v:path arrowok="t"/>
              </v:shape>
            </v:group>
            <v:group style="position:absolute;left:1248;top:8277;width:779;height:2100" coordorigin="1248,8277" coordsize="779,2100">
              <v:shape style="position:absolute;left:1248;top:8277;width:779;height:2100" coordorigin="1248,8277" coordsize="779,2100" path="m1248,8277l2027,10377e" filled="false" stroked="true" strokeweight="1.5pt" strokecolor="#9b8758">
                <v:path arrowok="t"/>
              </v:shape>
            </v:group>
            <v:group style="position:absolute;left:0;top:4910;width:181;height:487" coordorigin="0,4910" coordsize="181,487">
              <v:shape style="position:absolute;left:0;top:4910;width:181;height:487" coordorigin="0,4910" coordsize="181,487" path="m0,4910l180,5396e" filled="false" stroked="true" strokeweight="1.5pt" strokecolor="#9b8758">
                <v:path arrowok="t"/>
              </v:shape>
            </v:group>
            <v:group style="position:absolute;left:0;top:8960;width:1412;height:1418" coordorigin="0,8960" coordsize="1412,1418">
              <v:shape style="position:absolute;left:0;top:8960;width:1412;height:1418" coordorigin="0,8960" coordsize="1412,1418" path="m0,8960l1412,10377e" filled="false" stroked="true" strokeweight=".5pt" strokecolor="#8b8f90">
                <v:path arrowok="t"/>
              </v:shape>
            </v:group>
            <v:group style="position:absolute;left:921;top:10070;width:347;height:308" coordorigin="921,10070" coordsize="347,308">
              <v:shape style="position:absolute;left:921;top:10070;width:347;height:308" coordorigin="921,10070" coordsize="347,308" path="m921,10070l1268,10377e" filled="false" stroked="true" strokeweight="1.5pt" strokecolor="#8b8f90">
                <v:path arrowok="t"/>
              </v:shape>
            </v:group>
            <v:group style="position:absolute;left:0;top:9252;width:366;height:325" coordorigin="0,9252" coordsize="366,325">
              <v:shape style="position:absolute;left:0;top:9252;width:366;height:325" coordorigin="0,9252" coordsize="366,325" path="m0,9252l366,9577e" filled="false" stroked="true" strokeweight="1.5pt" strokecolor="#8b8f90">
                <v:path arrowok="t"/>
              </v:shape>
            </v:group>
            <v:group style="position:absolute;left:187;top:4097;width:73;height:238" coordorigin="187,4097" coordsize="73,238">
              <v:shape style="position:absolute;left:187;top:4097;width:73;height:238" coordorigin="187,4097" coordsize="73,238" path="m187,4097l260,4335e" filled="false" stroked="true" strokeweight="1.5pt" strokecolor="#8b8f90">
                <v:path arrowok="t"/>
              </v:shape>
            </v:group>
            <v:group style="position:absolute;left:0;top:4408;width:1093;height:3178" coordorigin="0,4408" coordsize="1093,3178">
              <v:shape style="position:absolute;left:0;top:4408;width:1093;height:3178" coordorigin="0,4408" coordsize="1093,3178" path="m0,4408l1093,7585e" filled="false" stroked="true" strokeweight="1.0pt" strokecolor="#9b8758">
                <v:path arrowok="t"/>
              </v:shape>
            </v:group>
            <v:group style="position:absolute;left:1331;top:8277;width:723;height:2100" coordorigin="1331,8277" coordsize="723,2100">
              <v:shape style="position:absolute;left:1331;top:8277;width:723;height:2100" coordorigin="1331,8277" coordsize="723,2100" path="m1331,8277l2053,10377e" filled="false" stroked="true" strokeweight="1.0pt" strokecolor="#9b8758">
                <v:path arrowok="t"/>
              </v:shape>
            </v:group>
            <v:group style="position:absolute;left:0;top:8219;width:1638;height:2159" coordorigin="0,8219" coordsize="1638,2159">
              <v:shape style="position:absolute;left:0;top:8219;width:1638;height:2159" coordorigin="0,8219" coordsize="1638,2159" path="m0,8219l1637,10377e" filled="false" stroked="true" strokeweight="1pt" strokecolor="#8b8f90">
                <v:path arrowok="t"/>
              </v:shape>
            </v:group>
            <v:group style="position:absolute;left:91;top:7666;width:1684;height:2712" coordorigin="91,7666" coordsize="1684,2712">
              <v:shape style="position:absolute;left:91;top:7666;width:1684;height:2712" coordorigin="91,7666" coordsize="1684,2712" path="m91,7666l1775,10377e" filled="false" stroked="true" strokeweight="1.5pt" strokecolor="#8b8f90">
                <v:path arrowok="t"/>
              </v:shape>
            </v:group>
            <v:group style="position:absolute;left:0;top:8635;width:562;height:643" coordorigin="0,8635" coordsize="562,643">
              <v:shape style="position:absolute;left:0;top:8635;width:562;height:643" coordorigin="0,8635" coordsize="562,643" path="m0,8635l561,9278e" filled="false" stroked="true" strokeweight="1pt" strokecolor="#9b8758">
                <v:path arrowok="t"/>
              </v:shape>
            </v:group>
            <v:group style="position:absolute;left:955;top:9342;width:733;height:1036" coordorigin="955,9342" coordsize="733,1036">
              <v:shape style="position:absolute;left:955;top:9342;width:733;height:1036" coordorigin="955,9342" coordsize="733,1036" path="m955,9342l1688,10377e" filled="false" stroked="true" strokeweight="1.5pt" strokecolor="#8b8f90">
                <v:path arrowok="t"/>
              </v:shape>
            </v:group>
            <v:group style="position:absolute;left:0;top:7992;width:204;height:289" coordorigin="0,7992" coordsize="204,289">
              <v:shape style="position:absolute;left:0;top:7992;width:204;height:289" coordorigin="0,7992" coordsize="204,289" path="m0,7992l204,8280e" filled="false" stroked="true" strokeweight="1.5pt" strokecolor="#9b8758">
                <v:path arrowok="t"/>
              </v:shape>
            </v:group>
            <v:group style="position:absolute;left:0;top:9987;width:672;height:391" coordorigin="0,9987" coordsize="672,391">
              <v:shape style="position:absolute;left:0;top:9987;width:672;height:391" coordorigin="0,9987" coordsize="672,391" path="m0,9987l671,10377e" filled="false" stroked="true" strokeweight="1pt" strokecolor="#8b8f90">
                <v:path arrowok="t"/>
              </v:shape>
            </v:group>
            <v:group style="position:absolute;left:0;top:9638;width:1018;height:740" coordorigin="0,9638" coordsize="1018,740">
              <v:shape style="position:absolute;left:0;top:9638;width:1018;height:740" coordorigin="0,9638" coordsize="1018,740" path="m0,9638l1017,10377e" filled="false" stroked="true" strokeweight="1.5pt" strokecolor="#8b8f90">
                <v:path arrowok="t"/>
              </v:shape>
            </v:group>
            <v:group style="position:absolute;left:1173;top:8277;width:822;height:2100" coordorigin="1173,8277" coordsize="822,2100">
              <v:shape style="position:absolute;left:1173;top:8277;width:822;height:2100" coordorigin="1173,8277" coordsize="822,2100" path="m1994,10377l1173,8277e" filled="false" stroked="true" strokeweight=".5pt" strokecolor="#9b8758">
                <v:path arrowok="t"/>
              </v:shape>
            </v:group>
            <v:group style="position:absolute;left:0;top:5278;width:1075;height:2750" coordorigin="0,5278" coordsize="1075,2750">
              <v:shape style="position:absolute;left:0;top:5278;width:1075;height:2750" coordorigin="0,5278" coordsize="1075,2750" path="m1075,8027l0,5278e" filled="false" stroked="true" strokeweight=".5pt" strokecolor="#9b8758">
                <v:path arrowok="t"/>
              </v:shape>
            </v:group>
            <v:group style="position:absolute;left:1910;top:5930;width:33;height:368" coordorigin="1910,5930" coordsize="33,368">
              <v:shape style="position:absolute;left:1910;top:5930;width:33;height:368" coordorigin="1910,5930" coordsize="33,368" path="m1910,5930l1943,6297e" filled="false" stroked="true" strokeweight="1pt" strokecolor="#8b8f90">
                <v:path arrowok="t"/>
              </v:shape>
            </v:group>
            <v:group style="position:absolute;left:0;top:6178;width:1936;height:4200" coordorigin="0,6178" coordsize="1936,4200">
              <v:shape style="position:absolute;left:0;top:6178;width:1936;height:4200" coordorigin="0,6178" coordsize="1936,4200" path="m1936,10377l0,6178e" filled="false" stroked="true" strokeweight=".5pt" strokecolor="#9b8758">
                <v:path arrowok="t"/>
              </v:shape>
            </v:group>
            <v:group style="position:absolute;left:1590;top:8277;width:547;height:2100" coordorigin="1590,8277" coordsize="547,2100">
              <v:shape style="position:absolute;left:1590;top:8277;width:547;height:2100" coordorigin="1590,8277" coordsize="547,2100" path="m2137,10377l1590,8277e" filled="false" stroked="true" strokeweight=".25pt" strokecolor="#8b8f90">
                <v:path arrowok="t"/>
              </v:shape>
            </v:group>
            <v:group style="position:absolute;left:502;top:4097;width:635;height:2435" coordorigin="502,4097" coordsize="635,2435">
              <v:shape style="position:absolute;left:502;top:4097;width:635;height:2435" coordorigin="502,4097" coordsize="635,2435" path="m1136,6532l502,4097e" filled="false" stroked="true" strokeweight=".25pt" strokecolor="#8b8f90">
                <v:path arrowok="t"/>
              </v:shape>
            </v:group>
            <v:group style="position:absolute;left:1828;top:8277;width:387;height:2100" coordorigin="1828,8277" coordsize="387,2100">
              <v:shape style="position:absolute;left:1828;top:8277;width:387;height:2100" coordorigin="1828,8277" coordsize="387,2100" path="m2214,10377l1828,8277e" filled="false" stroked="true" strokeweight=".25pt" strokecolor="#8b8f90">
                <v:path arrowok="t"/>
              </v:shape>
            </v:group>
            <v:group style="position:absolute;left:1060;top:4097;width:405;height:2200" coordorigin="1060,4097" coordsize="405,2200">
              <v:shape style="position:absolute;left:1060;top:4097;width:405;height:2200" coordorigin="1060,4097" coordsize="405,2200" path="m1464,6297l1060,4097e" filled="false" stroked="true" strokeweight=".25pt" strokecolor="#8b8f90">
                <v:path arrowok="t"/>
              </v:shape>
            </v:group>
            <v:group style="position:absolute;left:1784;top:8277;width:416;height:2100" coordorigin="1784,8277" coordsize="416,2100">
              <v:shape style="position:absolute;left:1784;top:8277;width:416;height:2100" coordorigin="1784,8277" coordsize="416,2100" path="m1784,8277l2200,10377e" filled="false" stroked="true" strokeweight="1.0pt" strokecolor="#9b8758">
                <v:path arrowok="t"/>
              </v:shape>
            </v:group>
            <v:group style="position:absolute;left:1012;top:4376;width:381;height:1922" coordorigin="1012,4376" coordsize="381,1922">
              <v:shape style="position:absolute;left:1012;top:4376;width:381;height:1922" coordorigin="1012,4376" coordsize="381,1922" path="m1012,4376l1393,6297e" filled="false" stroked="true" strokeweight="1pt" strokecolor="#8b8f90">
                <v:path arrowok="t"/>
              </v:shape>
            </v:group>
            <v:group style="position:absolute;left:2235;top:9132;width:91;height:1245" coordorigin="2235,9132" coordsize="91,1245">
              <v:shape style="position:absolute;left:2235;top:9132;width:91;height:1245" coordorigin="2235,9132" coordsize="91,1245" path="m2235,9132l2326,10377e" filled="false" stroked="true" strokeweight="1.5pt" strokecolor="#8b8f90">
                <v:path arrowok="t"/>
              </v:shape>
            </v:group>
            <v:group style="position:absolute;left:1745;top:4097;width:105;height:1160" coordorigin="1745,4097" coordsize="105,1160">
              <v:shape style="position:absolute;left:1745;top:4097;width:105;height:1160" coordorigin="1745,4097" coordsize="105,1160" path="m1745,4097l1849,5257e" filled="false" stroked="true" strokeweight="1pt" strokecolor="#8b8f90">
                <v:path arrowok="t"/>
              </v:shape>
            </v:group>
            <v:group style="position:absolute;left:1923;top:4848;width:106;height:1450" coordorigin="1923,4848" coordsize="106,1450">
              <v:shape style="position:absolute;left:1923;top:4848;width:106;height:1450" coordorigin="1923,4848" coordsize="106,1450" path="m1923,4848l2029,6297e" filled="false" stroked="true" strokeweight="1.5pt" strokecolor="#9b8758">
                <v:path arrowok="t"/>
              </v:shape>
            </v:group>
            <v:group style="position:absolute;left:1869;top:4097;width:33;height:449" coordorigin="1869,4097" coordsize="33,449">
              <v:shape style="position:absolute;left:1869;top:4097;width:33;height:449" coordorigin="1869,4097" coordsize="33,449" path="m1869,4097l1901,4546e" filled="false" stroked="true" strokeweight="1.5pt" strokecolor="#8b8f90">
                <v:path arrowok="t"/>
              </v:shape>
            </v:group>
            <v:group style="position:absolute;left:1671;top:5625;width:85;height:673" coordorigin="1671,5625" coordsize="85,673">
              <v:shape style="position:absolute;left:1671;top:5625;width:85;height:673" coordorigin="1671,5625" coordsize="85,673" path="m1671,5625l1756,6297e" filled="false" stroked="true" strokeweight="1.0pt" strokecolor="#9b8758">
                <v:path arrowok="t"/>
              </v:shape>
            </v:group>
            <v:group style="position:absolute;left:2006;top:8277;width:266;height:2100" coordorigin="2006,8277" coordsize="266,2100">
              <v:shape style="position:absolute;left:2006;top:8277;width:266;height:2100" coordorigin="2006,8277" coordsize="266,2100" path="m2006,8277l2272,10377e" filled="false" stroked="true" strokeweight="1.0pt" strokecolor="#9b8758">
                <v:path arrowok="t"/>
              </v:shape>
            </v:group>
            <v:group style="position:absolute;left:1478;top:4097;width:119;height:936" coordorigin="1478,4097" coordsize="119,936">
              <v:shape style="position:absolute;left:1478;top:4097;width:119;height:936" coordorigin="1478,4097" coordsize="119,936" path="m1478,4097l1596,5033e" filled="false" stroked="true" strokeweight="1pt" strokecolor="#9b8758">
                <v:path arrowok="t"/>
              </v:shape>
            </v:group>
            <v:group style="position:absolute;left:1022;top:5333;width:220;height:965" coordorigin="1022,5333" coordsize="220,965">
              <v:shape style="position:absolute;left:1022;top:5333;width:220;height:965" coordorigin="1022,5333" coordsize="220,965" path="m1022,5333l1241,6297e" filled="false" stroked="true" strokeweight="1pt" strokecolor="#9b8758">
                <v:path arrowok="t"/>
              </v:shape>
            </v:group>
            <v:group style="position:absolute;left:1692;top:8277;width:479;height:2100" coordorigin="1692,8277" coordsize="479,2100">
              <v:shape style="position:absolute;left:1692;top:8277;width:479;height:2100" coordorigin="1692,8277" coordsize="479,2100" path="m1692,8277l2170,10377e" filled="false" stroked="true" strokeweight="1pt" strokecolor="#9b8758">
                <v:path arrowok="t"/>
              </v:shape>
            </v:group>
            <v:group style="position:absolute;left:740;top:4097;width:102;height:448" coordorigin="740,4097" coordsize="102,448">
              <v:shape style="position:absolute;left:740;top:4097;width:102;height:448" coordorigin="740,4097" coordsize="102,448" path="m740,4097l842,4545e" filled="false" stroked="true" strokeweight="1pt" strokecolor="#8b8f90">
                <v:path arrowok="t"/>
              </v:shape>
            </v:group>
            <v:group style="position:absolute;left:2270;top:5967;width:8;height:331" coordorigin="2270,5967" coordsize="8,331">
              <v:shape style="position:absolute;left:2270;top:5967;width:8;height:331" coordorigin="2270,5967" coordsize="8,331" path="m2270,5967l2278,6297e" filled="false" stroked="true" strokeweight="1.5pt" strokecolor="#9b8758">
                <v:path arrowok="t"/>
              </v:shape>
            </v:group>
            <v:group style="position:absolute;left:2325;top:8277;width:50;height:2100" coordorigin="2325,8277" coordsize="50,2100">
              <v:shape style="position:absolute;left:2325;top:8277;width:50;height:2100" coordorigin="2325,8277" coordsize="50,2100" path="m2325,8277l2375,10377e" filled="false" stroked="true" strokeweight="1.5pt" strokecolor="#9b8758">
                <v:path arrowok="t"/>
              </v:shape>
            </v:group>
            <v:group style="position:absolute;left:2226;top:4097;width:33;height:1349" coordorigin="2226,4097" coordsize="33,1349">
              <v:shape style="position:absolute;left:2226;top:4097;width:33;height:1349" coordorigin="2226,4097" coordsize="33,1349" path="m2226,4097l2258,5446e" filled="false" stroked="true" strokeweight="1.5pt" strokecolor="#8b8f90">
                <v:path arrowok="t"/>
              </v:shape>
            </v:group>
            <v:group style="position:absolute;left:992;top:6341;width:133;height:475" coordorigin="992,6341" coordsize="133,475">
              <v:shape style="position:absolute;left:992;top:6341;width:133;height:475" coordorigin="992,6341" coordsize="133,475" path="m992,6341l1124,6815e" filled="false" stroked="true" strokeweight="1pt" strokecolor="#9b8758">
                <v:path arrowok="t"/>
              </v:shape>
            </v:group>
            <v:group style="position:absolute;left:1532;top:8277;width:587;height:2100" coordorigin="1532,8277" coordsize="587,2100">
              <v:shape style="position:absolute;left:1532;top:8277;width:587;height:2100" coordorigin="1532,8277" coordsize="587,2100" path="m1532,8277l2119,10377e" filled="false" stroked="true" strokeweight="1pt" strokecolor="#9b8758">
                <v:path arrowok="t"/>
              </v:shape>
            </v:group>
            <v:group style="position:absolute;left:366;top:4097;width:523;height:1871" coordorigin="366,4097" coordsize="523,1871">
              <v:shape style="position:absolute;left:366;top:4097;width:523;height:1871" coordorigin="366,4097" coordsize="523,1871" path="m366,4097l888,5968e" filled="false" stroked="true" strokeweight="1pt" strokecolor="#8b8f90">
                <v:path arrowok="t"/>
              </v:shape>
            </v:group>
            <v:group style="position:absolute;left:2398;top:8277;width:2;height:2100" coordorigin="2398,8277" coordsize="2,2100">
              <v:shape style="position:absolute;left:2398;top:8277;width:2;height:2100" coordorigin="2398,8277" coordsize="1,2100" path="m2398,8277l2399,10377e" filled="false" stroked="true" strokeweight="1pt" strokecolor="#8b8f90">
                <v:path arrowok="t"/>
              </v:shape>
            </v:group>
            <v:group style="position:absolute;left:2398;top:5128;width:2;height:1170" coordorigin="2398,5128" coordsize="2,1170">
              <v:shape style="position:absolute;left:2398;top:5128;width:2;height:1170" coordorigin="2398,5128" coordsize="1,1170" path="m2398,5128l2398,6297e" filled="false" stroked="true" strokeweight="1pt" strokecolor="#8b8f90">
                <v:path arrowok="t"/>
              </v:shape>
            </v:group>
            <v:group style="position:absolute;left:2398;top:4630;width:2;height:145" coordorigin="2398,4630" coordsize="2,145">
              <v:shape style="position:absolute;left:2398;top:4630;width:2;height:145" coordorigin="2398,4630" coordsize="0,145" path="m2398,4630l2398,4775e" filled="false" stroked="true" strokeweight="1pt" strokecolor="#8b8f90">
                <v:path arrowok="t"/>
              </v:shape>
            </v:group>
            <v:group style="position:absolute;left:2316;top:10002;width:23;height:376" coordorigin="2316,10002" coordsize="23,376">
              <v:shape style="position:absolute;left:2316;top:10002;width:23;height:376" coordorigin="2316,10002" coordsize="23,376" path="m2316,10002l2338,10377e" filled="false" stroked="true" strokeweight="1pt" strokecolor="#8b8f90">
                <v:path arrowok="t"/>
              </v:shape>
            </v:group>
            <v:group style="position:absolute;left:2064;top:5839;width:28;height:459" coordorigin="2064,5839" coordsize="28,459">
              <v:shape style="position:absolute;left:2064;top:5839;width:28;height:459" coordorigin="2064,5839" coordsize="28,459" path="m2064,5839l2092,6297e" filled="false" stroked="true" strokeweight="1pt" strokecolor="#8b8f90">
                <v:path arrowok="t"/>
              </v:shape>
            </v:group>
            <v:group style="position:absolute;left:2211;top:8277;width:36;height:586" coordorigin="2211,8277" coordsize="36,586">
              <v:shape style="position:absolute;left:2211;top:8277;width:36;height:586" coordorigin="2211,8277" coordsize="36,586" path="m2211,8277l2247,8863e" filled="false" stroked="true" strokeweight="1pt" strokecolor="#8b8f90">
                <v:path arrowok="t"/>
              </v:shape>
            </v:group>
            <v:group style="position:absolute;left:1972;top:4309;width:77;height:1270" coordorigin="1972,4309" coordsize="77,1270">
              <v:shape style="position:absolute;left:1972;top:4309;width:77;height:1270" coordorigin="1972,4309" coordsize="77,1270" path="m1972,4309l2049,5579e" filled="false" stroked="true" strokeweight="1pt" strokecolor="#9b8758">
                <v:path arrowok="t"/>
              </v:shape>
            </v:group>
            <v:group style="position:absolute;left:540;top:8218;width:1269;height:2160" coordorigin="540,8218" coordsize="1269,2160">
              <v:shape style="position:absolute;left:540;top:8218;width:1269;height:2160" coordorigin="540,8218" coordsize="1269,2160" path="m540,8218l1809,10377e" filled="false" stroked="true" strokeweight=".5pt" strokecolor="#9b8758">
                <v:path arrowok="t"/>
              </v:shape>
            </v:group>
            <v:group style="position:absolute;left:0;top:7298;width:366;height:622" coordorigin="0,7298" coordsize="366,622">
              <v:shape style="position:absolute;left:0;top:7298;width:366;height:622" coordorigin="0,7298" coordsize="366,622" path="m0,7298l365,7920e" filled="false" stroked="true" strokeweight=".5pt" strokecolor="#9b8758">
                <v:path arrowok="t"/>
              </v:shape>
            </v:group>
            <v:group style="position:absolute;left:1880;top:8277;width:352;height:2100" coordorigin="1880,8277" coordsize="352,2100">
              <v:shape style="position:absolute;left:1880;top:8277;width:352;height:2100" coordorigin="1880,8277" coordsize="352,2100" path="m1880,8277l2231,10377e" filled="false" stroked="true" strokeweight="1.5pt" strokecolor="#9b8758">
                <v:path arrowok="t"/>
              </v:shape>
            </v:group>
            <v:group style="position:absolute;left:1245;top:4482;width:286;height:1705" coordorigin="1245,4482" coordsize="286,1705">
              <v:shape style="position:absolute;left:1245;top:4482;width:286;height:1705" coordorigin="1245,4482" coordsize="286,1705" path="m1245,4482l1530,6186e" filled="false" stroked="true" strokeweight="1.5pt" strokecolor="#9b8758">
                <v:path arrowok="t"/>
              </v:shape>
            </v:group>
            <v:group style="position:absolute;left:1181;top:4097;width:35;height:208" coordorigin="1181,4097" coordsize="35,208">
              <v:shape style="position:absolute;left:1181;top:4097;width:35;height:208" coordorigin="1181,4097" coordsize="35,208" path="m1181,4097l1215,4305e" filled="false" stroked="true" strokeweight="1.5pt" strokecolor="#8b8f90">
                <v:path arrowok="t"/>
              </v:shape>
            </v:group>
            <v:group style="position:absolute;left:2447;top:8277;width:101;height:2100" coordorigin="2447,8277" coordsize="101,2100">
              <v:shape style="position:absolute;left:2447;top:8277;width:101;height:2100" coordorigin="2447,8277" coordsize="101,2100" path="m2548,8277l2447,10377e" filled="false" stroked="true" strokeweight=".25pt" strokecolor="#8b8f90">
                <v:path arrowok="t"/>
              </v:shape>
            </v:group>
            <v:group style="position:absolute;left:5905;top:6136;width:113;height:162" coordorigin="5905,6136" coordsize="113,162">
              <v:shape style="position:absolute;left:5905;top:6136;width:113;height:162" coordorigin="5905,6136" coordsize="113,162" path="m6018,6136l5905,6297e" filled="false" stroked="true" strokeweight=".25pt" strokecolor="#8b8f90">
                <v:path arrowok="t"/>
              </v:shape>
            </v:group>
            <v:group style="position:absolute;left:3008;top:8697;width:1228;height:1765" coordorigin="3008,8697" coordsize="1228,1765">
              <v:shape style="position:absolute;left:3008;top:8697;width:1228;height:1765" coordorigin="3008,8697" coordsize="1228,1765" path="m4236,8697l3008,10461e" filled="false" stroked="true" strokeweight=".25pt" strokecolor="#8b8f90">
                <v:path arrowok="t"/>
              </v:shape>
            </v:group>
            <v:group style="position:absolute;left:5769;top:5874;width:281;height:424" coordorigin="5769,5874" coordsize="281,424">
              <v:shape style="position:absolute;left:5769;top:5874;width:281;height:424" coordorigin="5769,5874" coordsize="281,424" path="m6050,5874l5769,6297e" filled="false" stroked="true" strokeweight="1pt" strokecolor="#9b8758">
                <v:path arrowok="t"/>
              </v:shape>
            </v:group>
            <v:group style="position:absolute;left:3009;top:8682;width:1180;height:1780" coordorigin="3009,8682" coordsize="1180,1780">
              <v:shape style="position:absolute;left:3009;top:8682;width:1180;height:1780" coordorigin="3009,8682" coordsize="1180,1780" path="m4188,8682l3009,10461e" filled="false" stroked="true" strokeweight="1pt" strokecolor="#9b8758">
                <v:path arrowok="t"/>
              </v:shape>
            </v:group>
            <v:group style="position:absolute;left:3082;top:4097;width:296;height:2200" coordorigin="3082,4097" coordsize="296,2200">
              <v:shape style="position:absolute;left:3082;top:4097;width:296;height:2200" coordorigin="3082,4097" coordsize="296,2200" path="m3378,4097l3082,6297e" filled="false" stroked="true" strokeweight=".5pt" strokecolor="#9b8758">
                <v:path arrowok="t"/>
              </v:shape>
            </v:group>
            <v:group style="position:absolute;left:3520;top:4097;width:486;height:2200" coordorigin="3520,4097" coordsize="486,2200">
              <v:shape style="position:absolute;left:3520;top:4097;width:486;height:2200" coordorigin="3520,4097" coordsize="486,2200" path="m4005,4097l3520,6297e" filled="false" stroked="true" strokeweight=".5pt" strokecolor="#8b8f90">
                <v:path arrowok="t"/>
              </v:shape>
            </v:group>
            <v:group style="position:absolute;left:3964;top:4097;width:678;height:2200" coordorigin="3964,4097" coordsize="678,2200">
              <v:shape style="position:absolute;left:3964;top:4097;width:678;height:2200" coordorigin="3964,4097" coordsize="678,2200" path="m4641,4097l3964,6297e" filled="false" stroked="true" strokeweight=".25pt" strokecolor="#8b8f90">
                <v:path arrowok="t"/>
              </v:shape>
            </v:group>
            <v:group style="position:absolute;left:4466;top:4097;width:895;height:2200" coordorigin="4466,4097" coordsize="895,2200">
              <v:shape style="position:absolute;left:4466;top:4097;width:895;height:2200" coordorigin="4466,4097" coordsize="895,2200" path="m5361,4097l4466,6297e" filled="false" stroked="true" strokeweight=".25pt" strokecolor="#9b8758">
                <v:path arrowok="t"/>
              </v:shape>
            </v:group>
            <v:group style="position:absolute;left:3581;top:4097;width:512;height:2200" coordorigin="3581,4097" coordsize="512,2200">
              <v:shape style="position:absolute;left:3581;top:4097;width:512;height:2200" coordorigin="3581,4097" coordsize="512,2200" path="m4093,4097l3581,6297e" filled="false" stroked="true" strokeweight="1.5pt" strokecolor="#9b8758">
                <v:path arrowok="t"/>
              </v:shape>
            </v:group>
            <v:group style="position:absolute;left:3756;top:6098;width:54;height:200" coordorigin="3756,6098" coordsize="54,200">
              <v:shape style="position:absolute;left:3756;top:6098;width:54;height:200" coordorigin="3756,6098" coordsize="54,200" path="m3809,6098l3756,6297e" filled="false" stroked="true" strokeweight="1pt" strokecolor="#8b8f90">
                <v:path arrowok="t"/>
              </v:shape>
            </v:group>
            <v:group style="position:absolute;left:3904;top:4421;width:353;height:1321" coordorigin="3904,4421" coordsize="353,1321">
              <v:shape style="position:absolute;left:3904;top:4421;width:353;height:1321" coordorigin="3904,4421" coordsize="353,1321" path="m4257,4421l3904,5741e" filled="false" stroked="true" strokeweight="1pt" strokecolor="#9b8758">
                <v:path arrowok="t"/>
              </v:shape>
            </v:group>
            <v:group style="position:absolute;left:4329;top:5296;width:381;height:1002" coordorigin="4329,5296" coordsize="381,1002">
              <v:shape style="position:absolute;left:4329;top:5296;width:381;height:1002" coordorigin="4329,5296" coordsize="381,1002" path="m4709,5296l4329,6297e" filled="false" stroked="true" strokeweight="1.5pt" strokecolor="#8b8f90">
                <v:path arrowok="t"/>
              </v:shape>
            </v:group>
            <v:group style="position:absolute;left:4877;top:4097;width:287;height:756" coordorigin="4877,4097" coordsize="287,756">
              <v:shape style="position:absolute;left:4877;top:4097;width:287;height:756" coordorigin="4877,4097" coordsize="287,756" path="m5164,4097l4877,4853e" filled="false" stroked="true" strokeweight="1.5pt" strokecolor="#8b8f90">
                <v:path arrowok="t"/>
              </v:shape>
            </v:group>
            <v:group style="position:absolute;left:3433;top:4872;width:290;height:1426" coordorigin="3433,4872" coordsize="290,1426">
              <v:shape style="position:absolute;left:3433;top:4872;width:290;height:1426" coordorigin="3433,4872" coordsize="290,1426" path="m3723,4872l3433,6297e" filled="false" stroked="true" strokeweight="1pt" strokecolor="#9b8758">
                <v:path arrowok="t"/>
              </v:shape>
            </v:group>
            <v:group style="position:absolute;left:3799;top:4097;width:82;height:401" coordorigin="3799,4097" coordsize="82,401">
              <v:shape style="position:absolute;left:3799;top:4097;width:82;height:401" coordorigin="3799,4097" coordsize="82,401" path="m3880,4097l3799,4498e" filled="false" stroked="true" strokeweight="1.0pt" strokecolor="#8b8f90">
                <v:path arrowok="t"/>
              </v:shape>
            </v:group>
            <v:group style="position:absolute;left:3986;top:4769;width:478;height:1529" coordorigin="3986,4769" coordsize="478,1529">
              <v:shape style="position:absolute;left:3986;top:4769;width:478;height:1529" coordorigin="3986,4769" coordsize="478,1529" path="m4463,4769l3986,6297e" filled="false" stroked="true" strokeweight="1.5pt" strokecolor="#8b8f90">
                <v:path arrowok="t"/>
              </v:shape>
            </v:group>
            <v:group style="position:absolute;left:4559;top:4097;width:115;height:367" coordorigin="4559,4097" coordsize="115,367">
              <v:shape style="position:absolute;left:4559;top:4097;width:115;height:367" coordorigin="4559,4097" coordsize="115,367" path="m4673,4097l4559,4464e" filled="false" stroked="true" strokeweight="1.5pt" strokecolor="#8b8f90">
                <v:path arrowok="t"/>
              </v:shape>
            </v:group>
            <v:group style="position:absolute;left:4211;top:4097;width:785;height:2200" coordorigin="4211,4097" coordsize="785,2200">
              <v:shape style="position:absolute;left:4211;top:4097;width:785;height:2200" coordorigin="4211,4097" coordsize="785,2200" path="m4995,4097l4211,6297e" filled="false" stroked="true" strokeweight=".5pt" strokecolor="#8b8f90">
                <v:path arrowok="t"/>
              </v:shape>
            </v:group>
            <v:group style="position:absolute;left:4585;top:4097;width:947;height:2200" coordorigin="4585,4097" coordsize="947,2200">
              <v:shape style="position:absolute;left:4585;top:4097;width:947;height:2200" coordorigin="4585,4097" coordsize="947,2200" path="m5531,4097l4585,6297e" filled="false" stroked="true" strokeweight=".5pt" strokecolor="#9b8758">
                <v:path arrowok="t"/>
              </v:shape>
            </v:group>
            <v:group style="position:absolute;left:4117;top:4097;width:744;height:2200" coordorigin="4117,4097" coordsize="744,2200">
              <v:shape style="position:absolute;left:4117;top:4097;width:744;height:2200" coordorigin="4117,4097" coordsize="744,2200" path="m4861,4097l4117,6297e" filled="false" stroked="true" strokeweight="1pt" strokecolor="#9b8758">
                <v:path arrowok="t"/>
              </v:shape>
            </v:group>
            <v:group style="position:absolute;left:2730;top:8410;width:674;height:1993" coordorigin="2730,8410" coordsize="674,1993">
              <v:shape style="position:absolute;left:2730;top:8410;width:674;height:1993" coordorigin="2730,8410" coordsize="674,1993" path="m3403,8410l2730,10403e" filled="false" stroked="true" strokeweight="1.0pt" strokecolor="#9b8758">
                <v:path arrowok="t"/>
              </v:shape>
            </v:group>
            <v:group style="position:absolute;left:3053;top:9275;width:865;height:1200" coordorigin="3053,9275" coordsize="865,1200">
              <v:shape style="position:absolute;left:3053;top:9275;width:865;height:1200" coordorigin="3053,9275" coordsize="865,1200" path="m3918,9275l3053,10474e" filled="false" stroked="true" strokeweight="1.5pt" strokecolor="#8b8f90">
                <v:path arrowok="t"/>
              </v:shape>
            </v:group>
            <v:group style="position:absolute;left:4280;top:8739;width:25;height:35" coordorigin="4280,8739" coordsize="25,35">
              <v:shape style="position:absolute;left:4280;top:8739;width:25;height:35" coordorigin="4280,8739" coordsize="25,35" path="m4305,8739l4280,8773e" filled="false" stroked="true" strokeweight="1.5pt" strokecolor="#8b8f90">
                <v:path arrowok="t"/>
              </v:shape>
            </v:group>
            <v:group style="position:absolute;left:4718;top:5012;width:587;height:1285" coordorigin="4718,5012" coordsize="587,1285">
              <v:shape style="position:absolute;left:4718;top:5012;width:587;height:1285" coordorigin="4718,5012" coordsize="587,1285" path="m5304,5012l4718,6297e" filled="false" stroked="true" strokeweight="1.5pt" strokecolor="#9b8758">
                <v:path arrowok="t"/>
              </v:shape>
            </v:group>
            <v:group style="position:absolute;left:2839;top:8499;width:875;height:1919" coordorigin="2839,8499" coordsize="875,1919">
              <v:shape style="position:absolute;left:2839;top:8499;width:875;height:1919" coordorigin="2839,8499" coordsize="875,1919" path="m3713,8499l2839,10417e" filled="false" stroked="true" strokeweight="1.5pt" strokecolor="#9b8758">
                <v:path arrowok="t"/>
              </v:shape>
            </v:group>
            <v:group style="position:absolute;left:5572;top:4097;width:150;height:328" coordorigin="5572,4097" coordsize="150,328">
              <v:shape style="position:absolute;left:5572;top:4097;width:150;height:328" coordorigin="5572,4097" coordsize="150,328" path="m5721,4097l5572,4425e" filled="false" stroked="true" strokeweight="1.5pt" strokecolor="#8b8f90">
                <v:path arrowok="t"/>
              </v:shape>
            </v:group>
            <v:group style="position:absolute;left:2930;top:8768;width:941;height:1671" coordorigin="2930,8768" coordsize="941,1671">
              <v:shape style="position:absolute;left:2930;top:8768;width:941;height:1671" coordorigin="2930,8768" coordsize="941,1671" path="m3870,8768l2930,10439e" filled="false" stroked="true" strokeweight=".5pt" strokecolor="#9b8758">
                <v:path arrowok="t"/>
              </v:shape>
            </v:group>
            <v:group style="position:absolute;left:5261;top:5996;width:170;height:302" coordorigin="5261,5996" coordsize="170,302">
              <v:shape style="position:absolute;left:5261;top:5996;width:170;height:302" coordorigin="5261,5996" coordsize="170,302" path="m5431,5996l5261,6297e" filled="false" stroked="true" strokeweight=".5pt" strokecolor="#9b8758">
                <v:path arrowok="t"/>
              </v:shape>
            </v:group>
            <v:group style="position:absolute;left:5662;top:4968;width:349;height:619" coordorigin="5662,4968" coordsize="349,619">
              <v:shape style="position:absolute;left:5662;top:4968;width:349;height:619" coordorigin="5662,4968" coordsize="349,619" path="m6010,4968l5662,5586e" filled="false" stroked="true" strokeweight=".5pt" strokecolor="#8b8f90">
                <v:path arrowok="t"/>
              </v:shape>
            </v:group>
            <v:group style="position:absolute;left:6160;top:4625;width:44;height:78" coordorigin="6160,4625" coordsize="44,78">
              <v:shape style="position:absolute;left:6160;top:4625;width:44;height:78" coordorigin="6160,4625" coordsize="44,78" path="m6203,4625l6160,4702e" filled="false" stroked="true" strokeweight=".5pt" strokecolor="#8b8f90">
                <v:path arrowok="t"/>
              </v:shape>
            </v:group>
            <v:group style="position:absolute;left:3142;top:8896;width:1355;height:1606" coordorigin="3142,8896" coordsize="1355,1606">
              <v:shape style="position:absolute;left:3142;top:8896;width:1355;height:1606" coordorigin="3142,8896" coordsize="1355,1606" path="m4497,8896l3142,10501e" filled="false" stroked="true" strokeweight=".25pt" strokecolor="#8b8f90">
                <v:path arrowok="t"/>
              </v:shape>
            </v:group>
            <v:group style="position:absolute;left:3552;top:9615;width:1910;height:1102" coordorigin="3552,9615" coordsize="1910,1102">
              <v:shape style="position:absolute;left:3552;top:9615;width:1910;height:1102" coordorigin="3552,9615" coordsize="1910,1102" path="m5462,9615l3552,10717e" filled="false" stroked="true" strokeweight="1pt" strokecolor="#8b8f90">
                <v:path arrowok="t"/>
              </v:shape>
            </v:group>
            <v:group style="position:absolute;left:3672;top:9876;width:2020;height:924" coordorigin="3672,9876" coordsize="2020,924">
              <v:shape style="position:absolute;left:3672;top:9876;width:2020;height:924" coordorigin="3672,9876" coordsize="2020,924" path="m5691,9876l3672,10799e" filled="false" stroked="true" strokeweight="1.5pt" strokecolor="#9b8758">
                <v:path arrowok="t"/>
              </v:shape>
            </v:group>
            <v:group style="position:absolute;left:3756;top:10129;width:2112;height:732" coordorigin="3756,10129" coordsize="2112,732">
              <v:shape style="position:absolute;left:3756;top:10129;width:2112;height:732" coordorigin="3756,10129" coordsize="2112,732" path="m5868,10129l3756,10860e" filled="false" stroked="true" strokeweight=".5pt" strokecolor="#9b8758">
                <v:path arrowok="t"/>
              </v:shape>
            </v:group>
            <v:group style="position:absolute;left:3538;top:9648;width:1954;height:1060" coordorigin="3538,9648" coordsize="1954,1060">
              <v:shape style="position:absolute;left:3538;top:9648;width:1954;height:1060" coordorigin="3538,9648" coordsize="1954,1060" path="m3538,10707l5492,9648e" filled="false" stroked="true" strokeweight=".5pt" strokecolor="#9b8758">
                <v:path arrowok="t"/>
              </v:shape>
            </v:group>
            <v:group style="position:absolute;left:3224;top:9058;width:1594;height:1487" coordorigin="3224,9058" coordsize="1594,1487">
              <v:shape style="position:absolute;left:3224;top:9058;width:1594;height:1487" coordorigin="3224,9058" coordsize="1594,1487" path="m3224,10544l4818,9058e" filled="false" stroked="true" strokeweight=".25pt" strokecolor="#9b8758">
                <v:path arrowok="t"/>
              </v:shape>
            </v:group>
            <v:group style="position:absolute;left:3626;top:9776;width:1977;height:991" coordorigin="3626,9776" coordsize="1977,991">
              <v:shape style="position:absolute;left:3626;top:9776;width:1977;height:991" coordorigin="3626,9776" coordsize="1977,991" path="m3626,10767l5602,9776e" filled="false" stroked="true" strokeweight=".25pt" strokecolor="#8b8f90">
                <v:path arrowok="t"/>
              </v:shape>
            </v:group>
            <v:group style="position:absolute;left:3765;top:10094;width:2079;height:777" coordorigin="3765,10094" coordsize="2079,777">
              <v:shape style="position:absolute;left:3765;top:10094;width:2079;height:777" coordorigin="3765,10094" coordsize="2079,777" path="m5844,10094l3765,10871e" filled="false" stroked="true" strokeweight="1pt" strokecolor="#9b8758">
                <v:path arrowok="t"/>
              </v:shape>
            </v:group>
            <v:group style="position:absolute;left:3481;top:9465;width:1835;height:1206" coordorigin="3481,9465" coordsize="1835,1206">
              <v:shape style="position:absolute;left:3481;top:9465;width:1835;height:1206" coordorigin="3481,9465" coordsize="1835,1206" path="m5316,9465l3481,10670e" filled="false" stroked="true" strokeweight=".25pt" strokecolor="#9b8758">
                <v:path arrowok="t"/>
              </v:shape>
            </v:group>
            <v:group style="position:absolute;left:2972;top:8632;width:1120;height:1819" coordorigin="2972,8632" coordsize="1120,1819">
              <v:shape style="position:absolute;left:2972;top:8632;width:1120;height:1819" coordorigin="2972,8632" coordsize="1120,1819" path="m4091,8632l2972,10451e" filled="false" stroked="true" strokeweight="1pt" strokecolor="#8b8f90">
                <v:path arrowok="t"/>
              </v:shape>
            </v:group>
            <v:group style="position:absolute;left:5527;top:5342;width:588;height:956" coordorigin="5527,5342" coordsize="588,956">
              <v:shape style="position:absolute;left:5527;top:5342;width:588;height:956" coordorigin="5527,5342" coordsize="588,956" path="m6115,5342l5527,6297e" filled="false" stroked="true" strokeweight="1pt" strokecolor="#8b8f90">
                <v:path arrowok="t"/>
              </v:shape>
            </v:group>
            <v:group style="position:absolute;left:2875;top:8529;width:941;height:1894" coordorigin="2875,8529" coordsize="941,1894">
              <v:shape style="position:absolute;left:2875;top:8529;width:941;height:1894" coordorigin="2875,8529" coordsize="941,1894" path="m3815,8529l2875,10423e" filled="false" stroked="true" strokeweight="1.5pt" strokecolor="#9b8758">
                <v:path arrowok="t"/>
              </v:shape>
            </v:group>
            <v:group style="position:absolute;left:5062;top:5013;width:500;height:1006" coordorigin="5062,5013" coordsize="500,1006">
              <v:shape style="position:absolute;left:5062;top:5013;width:500;height:1006" coordorigin="5062,5013" coordsize="500,1006" path="m5561,5013l5062,6018e" filled="false" stroked="true" strokeweight="1.5pt" strokecolor="#8b8f90">
                <v:path arrowok="t"/>
              </v:shape>
            </v:group>
            <v:group style="position:absolute;left:5663;top:4325;width:241;height:485" coordorigin="5663,4325" coordsize="241,485">
              <v:shape style="position:absolute;left:5663;top:4325;width:241;height:485" coordorigin="5663,4325" coordsize="241,485" path="m5903,4325l5663,4810e" filled="false" stroked="true" strokeweight="1.5pt" strokecolor="#8b8f90">
                <v:path arrowok="t"/>
              </v:shape>
            </v:group>
            <v:group style="position:absolute;left:6000;top:4097;width:16;height:32" coordorigin="6000,4097" coordsize="16,32">
              <v:shape style="position:absolute;left:6000;top:4097;width:16;height:32" coordorigin="6000,4097" coordsize="16,32" path="m6016,4097l6000,4129e" filled="false" stroked="true" strokeweight="1.5pt" strokecolor="#8b8f90">
                <v:path arrowok="t"/>
              </v:shape>
            </v:group>
            <v:group style="position:absolute;left:0;top:10311;width:150;height:67" coordorigin="0,10311" coordsize="150,67">
              <v:shape style="position:absolute;left:0;top:10311;width:150;height:67" coordorigin="0,10311" coordsize="150,67" path="m150,10377l0,10311e" filled="false" stroked="true" strokeweight=".25pt" strokecolor="#8b8f90">
                <v:path arrowok="t"/>
              </v:shape>
            </v:group>
            <v:group style="position:absolute;left:0;top:10022;width:640;height:356" coordorigin="0,10022" coordsize="640,356">
              <v:shape style="position:absolute;left:0;top:10022;width:640;height:356" coordorigin="0,10022" coordsize="640,356" path="m639,10377l0,10022e" filled="false" stroked="true" strokeweight=".25pt" strokecolor="#8b8f90">
                <v:path arrowok="t"/>
              </v:shape>
            </v:group>
            <v:group style="position:absolute;left:0;top:10120;width:490;height:258" coordorigin="0,10120" coordsize="490,258">
              <v:shape style="position:absolute;left:0;top:10120;width:490;height:258" coordorigin="0,10120" coordsize="490,258" path="m489,10377l0,10120e" filled="false" stroked="true" strokeweight="1.5pt" strokecolor="#8b8f90">
                <v:path arrowok="t"/>
              </v:shape>
            </v:group>
            <v:group style="position:absolute;left:0;top:10353;width:57;height:25" coordorigin="0,10353" coordsize="57,25">
              <v:shape style="position:absolute;left:0;top:10353;width:57;height:25" coordorigin="0,10353" coordsize="57,25" path="m57,10377l0,10353e" filled="false" stroked="true" strokeweight="1.5pt" strokecolor="#8b8f90">
                <v:path arrowok="t"/>
              </v:shape>
            </v:group>
            <v:group style="position:absolute;left:0;top:10182;width:391;height:196" coordorigin="0,10182" coordsize="391,196">
              <v:shape style="position:absolute;left:0;top:10182;width:391;height:196" coordorigin="0,10182" coordsize="391,196" path="m391,10377l0,10182e" filled="false" stroked="true" strokeweight=".5pt" strokecolor="#9b8758">
                <v:path arrowok="t"/>
              </v:shape>
            </v:group>
            <v:group style="position:absolute;left:0;top:9702;width:965;height:676" coordorigin="0,9702" coordsize="965,676">
              <v:shape style="position:absolute;left:0;top:9702;width:965;height:676" coordorigin="0,9702" coordsize="965,676" path="m965,10377l0,9702e" filled="false" stroked="true" strokeweight=".25pt" strokecolor="#9b8758">
                <v:path arrowok="t"/>
              </v:shape>
            </v:group>
            <v:group style="position:absolute;left:0;top:10231;width:306;height:147" coordorigin="0,10231" coordsize="306,147">
              <v:shape style="position:absolute;left:0;top:10231;width:306;height:147" coordorigin="0,10231" coordsize="306,147" path="m305,10377l0,10231e" filled="false" stroked="true" strokeweight="1pt" strokecolor="#8b8f90">
                <v:path arrowok="t"/>
              </v:shape>
            </v:group>
            <v:group style="position:absolute;left:0;top:9913;width:585;height:358" coordorigin="0,9913" coordsize="585,358">
              <v:shape style="position:absolute;left:0;top:9913;width:585;height:358" coordorigin="0,9913" coordsize="585,358" path="m585,10271l0,9913e" filled="false" stroked="true" strokeweight="1.5pt" strokecolor="#8b8f90">
                <v:path arrowok="t"/>
              </v:shape>
            </v:group>
            <v:group style="position:absolute;left:0;top:9573;width:1067;height:805" coordorigin="0,9573" coordsize="1067,805">
              <v:shape style="position:absolute;left:0;top:9573;width:1067;height:805" coordorigin="0,9573" coordsize="1067,805" path="m1067,10377l0,9573e" filled="false" stroked="true" strokeweight=".5pt" strokecolor="#9b8758">
                <v:path arrowok="t"/>
              </v:shape>
            </v:group>
            <v:group style="position:absolute;left:0;top:9470;width:1139;height:908" coordorigin="0,9470" coordsize="1139,908">
              <v:shape style="position:absolute;left:0;top:9470;width:1139;height:908" coordorigin="0,9470" coordsize="1139,908" path="m1139,10377l0,9470e" filled="false" stroked="true" strokeweight="1pt" strokecolor="#9b8758">
                <v:path arrowok="t"/>
              </v:shape>
            </v:group>
            <v:group style="position:absolute;left:0;top:9186;width:1302;height:1192" coordorigin="0,9186" coordsize="1302,1192">
              <v:shape style="position:absolute;left:0;top:9186;width:1302;height:1192" coordorigin="0,9186" coordsize="1302,1192" path="m0,9186l1302,10377e" filled="false" stroked="true" strokeweight="1pt" strokecolor="#8b8f90">
                <v:path arrowok="t"/>
              </v:shape>
            </v:group>
            <v:group style="position:absolute;left:0;top:8736;width:1489;height:1642" coordorigin="0,8736" coordsize="1489,1642">
              <v:shape style="position:absolute;left:0;top:8736;width:1489;height:1642" coordorigin="0,8736" coordsize="1489,1642" path="m0,8736l1488,10377e" filled="false" stroked="true" strokeweight="1.5pt" strokecolor="#8b8f90">
                <v:path arrowok="t"/>
              </v:shape>
            </v:group>
            <v:group style="position:absolute;left:0;top:8557;width:1097;height:1291" coordorigin="0,8557" coordsize="1097,1291">
              <v:shape style="position:absolute;left:0;top:8557;width:1097;height:1291" coordorigin="0,8557" coordsize="1097,1291" path="m0,8557l1096,9848e" filled="false" stroked="true" strokeweight="1pt" strokecolor="#8b8f90">
                <v:path arrowok="t"/>
              </v:shape>
            </v:group>
            <v:group style="position:absolute;left:0;top:8879;width:1437;height:1499" coordorigin="0,8879" coordsize="1437,1499">
              <v:shape style="position:absolute;left:0;top:8879;width:1437;height:1499" coordorigin="0,8879" coordsize="1437,1499" path="m0,8879l1436,10377e" filled="false" stroked="true" strokeweight="1pt" strokecolor="#9b8758">
                <v:path arrowok="t"/>
              </v:shape>
            </v:group>
            <v:group style="position:absolute;left:0;top:9084;width:1351;height:1294" coordorigin="0,9084" coordsize="1351,1294">
              <v:shape style="position:absolute;left:0;top:9084;width:1351;height:1294" coordorigin="0,9084" coordsize="1351,1294" path="m0,9084l1350,10377e" filled="false" stroked="true" strokeweight="1pt" strokecolor="#9b8758">
                <v:path arrowok="t"/>
              </v:shape>
            </v:group>
            <v:group style="position:absolute;left:0;top:8305;width:1616;height:2073" coordorigin="0,8305" coordsize="1616,2073">
              <v:shape style="position:absolute;left:0;top:8305;width:1616;height:2073" coordorigin="0,8305" coordsize="1616,2073" path="m0,8305l1616,10377e" filled="false" stroked="true" strokeweight="1.5pt" strokecolor="#8b8f90">
                <v:path arrowok="t"/>
              </v:shape>
            </v:group>
            <v:group style="position:absolute;left:0;top:9338;width:1221;height:1040" coordorigin="0,9338" coordsize="1221,1040">
              <v:shape style="position:absolute;left:0;top:9338;width:1221;height:1040" coordorigin="0,9338" coordsize="1221,1040" path="m1220,10377l0,9338e" filled="false" stroked="true" strokeweight=".25pt" strokecolor="#9b8758">
                <v:path arrowok="t"/>
              </v:shape>
            </v:group>
            <v:group style="position:absolute;left:0;top:9783;width:892;height:595" coordorigin="0,9783" coordsize="892,595">
              <v:shape style="position:absolute;left:0;top:9783;width:892;height:595" coordorigin="0,9783" coordsize="892,595" path="m892,10377l0,9783e" filled="false" stroked="true" strokeweight=".5pt" strokecolor="#8b8f90">
                <v:path arrowok="t"/>
              </v:shape>
            </v:group>
            <v:group style="position:absolute;left:0;top:7825;width:1717;height:2553" coordorigin="0,7825" coordsize="1717,2553">
              <v:shape style="position:absolute;left:0;top:7825;width:1717;height:2553" coordorigin="0,7825" coordsize="1717,2553" path="m1717,10377l0,7825e" filled="false" stroked="true" strokeweight="1pt" strokecolor="#9b8758">
                <v:path arrowok="t"/>
              </v:shape>
            </v:group>
            <v:group style="position:absolute;left:0;top:9827;width:850;height:551" coordorigin="0,9827" coordsize="850,551">
              <v:shape style="position:absolute;left:0;top:9827;width:850;height:551" coordorigin="0,9827" coordsize="850,551" path="m850,10377l0,9827e" filled="false" stroked="true" strokeweight="1.5pt" strokecolor="#9b8758">
                <v:path arrowok="t"/>
              </v:shape>
            </v:group>
            <v:group style="position:absolute;left:2569;top:4401;width:51;height:1611" coordorigin="2569,4401" coordsize="51,1611">
              <v:shape style="position:absolute;left:2569;top:4401;width:51;height:1611" coordorigin="2569,4401" coordsize="51,1611" path="m2620,4401l2569,6011e" filled="false" stroked="true" strokeweight="1.5pt" strokecolor="#8b8f90">
                <v:path arrowok="t"/>
              </v:shape>
            </v:group>
            <v:group style="position:absolute;left:2643;top:4097;width:106;height:2200" coordorigin="2643,4097" coordsize="106,2200">
              <v:shape style="position:absolute;left:2643;top:4097;width:106;height:2200" coordorigin="2643,4097" coordsize="106,2200" path="m2749,4097l2643,6297e" filled="false" stroked="true" strokeweight=".25pt" strokecolor="#8b8f90">
                <v:path arrowok="t"/>
              </v:shape>
            </v:group>
            <v:group style="position:absolute;left:2724;top:4097;width:155;height:2200" coordorigin="2724,4097" coordsize="155,2200">
              <v:shape style="position:absolute;left:2724;top:4097;width:155;height:2200" coordorigin="2724,4097" coordsize="155,2200" path="m2879,4097l2724,6297e" filled="false" stroked="true" strokeweight=".25pt" strokecolor="#9b8758">
                <v:path arrowok="t"/>
              </v:shape>
            </v:group>
            <v:group style="position:absolute;left:2438;top:8277;width:148;height:2100" coordorigin="2438,8277" coordsize="148,2100">
              <v:shape style="position:absolute;left:2438;top:8277;width:148;height:2100" coordorigin="2438,8277" coordsize="148,2100" path="m2585,8277l2438,10377e" filled="false" stroked="true" strokeweight=".25pt" strokecolor="#9b8758">
                <v:path arrowok="t"/>
              </v:shape>
            </v:group>
            <v:group style="position:absolute;left:3268;top:6032;width:46;height:266" coordorigin="3268,6032" coordsize="46,266">
              <v:shape style="position:absolute;left:3268;top:6032;width:46;height:266" coordorigin="3268,6032" coordsize="46,266" path="m3314,6032l3268,6297e" filled="false" stroked="true" strokeweight=".25pt" strokecolor="#8b8f90">
                <v:path arrowok="t"/>
              </v:shape>
            </v:group>
            <v:group style="position:absolute;left:2571;top:8317;width:353;height:2061" coordorigin="2571,8317" coordsize="353,2061">
              <v:shape style="position:absolute;left:2571;top:8317;width:353;height:2061" coordorigin="2571,8317" coordsize="353,2061" path="m2923,8317l2571,10377e" filled="false" stroked="true" strokeweight=".25pt" strokecolor="#8b8f90">
                <v:path arrowok="t"/>
              </v:shape>
            </v:group>
            <v:group style="position:absolute;left:3529;top:4097;width:116;height:675" coordorigin="3529,4097" coordsize="116,675">
              <v:shape style="position:absolute;left:3529;top:4097;width:116;height:675" coordorigin="3529,4097" coordsize="116,675" path="m3645,4097l3529,4772e" filled="false" stroked="true" strokeweight=".25pt" strokecolor="#8b8f90">
                <v:path arrowok="t"/>
              </v:shape>
            </v:group>
            <v:group style="position:absolute;left:3161;top:8896;width:1418;height:1617" coordorigin="3161,8896" coordsize="1418,1617">
              <v:shape style="position:absolute;left:3161;top:8896;width:1418;height:1617" coordorigin="3161,8896" coordsize="1418,1617" path="m3161,10512l4579,8896e" filled="false" stroked="true" strokeweight="1pt" strokecolor="#9b8758">
                <v:path arrowok="t"/>
              </v:shape>
            </v:group>
            <v:group style="position:absolute;left:2950;top:4097;width:106;height:1174" coordorigin="2950,4097" coordsize="106,1174">
              <v:shape style="position:absolute;left:2950;top:4097;width:106;height:1174" coordorigin="2950,4097" coordsize="106,1174" path="m2950,5271l3056,4097e" filled="false" stroked="true" strokeweight="1.5pt" strokecolor="#9b8758">
                <v:path arrowok="t"/>
              </v:shape>
            </v:group>
            <v:group style="position:absolute;left:2857;top:5809;width:45;height:489" coordorigin="2857,5809" coordsize="45,489">
              <v:shape style="position:absolute;left:2857;top:5809;width:45;height:489" coordorigin="2857,5809" coordsize="45,489" path="m2857,6297l2901,5809e" filled="false" stroked="true" strokeweight="1.5pt" strokecolor="#9b8758">
                <v:path arrowok="t"/>
              </v:shape>
            </v:group>
            <v:group style="position:absolute;left:2489;top:8291;width:189;height:2087" coordorigin="2489,8291" coordsize="189,2087">
              <v:shape style="position:absolute;left:2489;top:8291;width:189;height:2087" coordorigin="2489,8291" coordsize="189,2087" path="m2489,10377l2677,8291e" filled="false" stroked="true" strokeweight="1.5pt" strokecolor="#8b8f90">
                <v:path arrowok="t"/>
              </v:shape>
            </v:group>
            <v:group style="position:absolute;left:3227;top:4097;width:3;height:24" coordorigin="3227,4097" coordsize="3,24">
              <v:shape style="position:absolute;left:3227;top:4097;width:3;height:24" coordorigin="3227,4097" coordsize="3,24" path="m3227,4121l3230,4097e" filled="false" stroked="true" strokeweight="1pt" strokecolor="#8b8f90">
                <v:path arrowok="t"/>
              </v:shape>
            </v:group>
            <v:group style="position:absolute;left:2513;top:8297;width:238;height:2080" coordorigin="2513,8297" coordsize="238,2080">
              <v:shape style="position:absolute;left:2513;top:8297;width:238;height:2080" coordorigin="2513,8297" coordsize="238,2080" path="m2513,10377l2751,8297e" filled="false" stroked="true" strokeweight="1pt" strokecolor="#9b8758">
                <v:path arrowok="t"/>
              </v:shape>
            </v:group>
            <v:group style="position:absolute;left:2979;top:4465;width:210;height:1833" coordorigin="2979,4465" coordsize="210,1833">
              <v:shape style="position:absolute;left:2979;top:4465;width:210;height:1833" coordorigin="2979,4465" coordsize="210,1833" path="m2979,6297l3188,4465e" filled="false" stroked="true" strokeweight="1.0pt" strokecolor="#9b8758">
                <v:path arrowok="t"/>
              </v:shape>
            </v:group>
            <v:group style="position:absolute;left:3341;top:4097;width:424;height:2200" coordorigin="3341,4097" coordsize="424,2200">
              <v:shape style="position:absolute;left:3341;top:4097;width:424;height:2200" coordorigin="3341,4097" coordsize="424,2200" path="m3764,4097l3341,6297e" filled="false" stroked="true" strokeweight=".25pt" strokecolor="#9b8758">
                <v:path arrowok="t"/>
              </v:shape>
            </v:group>
            <v:group style="position:absolute;left:2556;top:8317;width:397;height:2060" coordorigin="2556,8317" coordsize="397,2060">
              <v:shape style="position:absolute;left:2556;top:8317;width:397;height:2060" coordorigin="2556,8317" coordsize="397,2060" path="m2952,8317l2556,10377e" filled="false" stroked="true" strokeweight=".25pt" strokecolor="#9b8758">
                <v:path arrowok="t"/>
              </v:shape>
            </v:group>
            <v:group style="position:absolute;left:3848;top:4097;width:628;height:2200" coordorigin="3848,4097" coordsize="628,2200">
              <v:shape style="position:absolute;left:3848;top:4097;width:628;height:2200" coordorigin="3848,4097" coordsize="628,2200" path="m4475,4097l3848,6297e" filled="false" stroked="true" strokeweight=".25pt" strokecolor="#9b8758">
                <v:path arrowok="t"/>
              </v:shape>
            </v:group>
            <v:group style="position:absolute;left:2681;top:8370;width:576;height:2021" coordorigin="2681,8370" coordsize="576,2021">
              <v:shape style="position:absolute;left:2681;top:8370;width:576;height:2021" coordorigin="2681,8370" coordsize="576,2021" path="m3257,8370l2681,10390e" filled="false" stroked="true" strokeweight=".25pt" strokecolor="#9b8758">
                <v:path arrowok="t"/>
              </v:shape>
            </v:group>
            <v:group style="position:absolute;left:3352;top:9219;width:1694;height:1384" coordorigin="3352,9219" coordsize="1694,1384">
              <v:shape style="position:absolute;left:3352;top:9219;width:1694;height:1384" coordorigin="3352,9219" coordsize="1694,1384" path="m3352,10603l5045,9219e" filled="false" stroked="true" strokeweight="1pt" strokecolor="#9b8758">
                <v:path arrowok="t"/>
              </v:shape>
            </v:group>
            <v:group style="position:absolute;left:2723;top:8405;width:660;height:1997" coordorigin="2723,8405" coordsize="660,1997">
              <v:shape style="position:absolute;left:2723;top:8405;width:660;height:1997" coordorigin="2723,8405" coordsize="660,1997" path="m2723,10401l3383,8405e" filled="false" stroked="true" strokeweight="1pt" strokecolor="#9b8758">
                <v:path arrowok="t"/>
              </v:shape>
            </v:group>
            <v:group style="position:absolute;left:4079;top:4097;width:727;height:2200" coordorigin="4079,4097" coordsize="727,2200">
              <v:shape style="position:absolute;left:4079;top:4097;width:727;height:2200" coordorigin="4079,4097" coordsize="727,2200" path="m4079,6297l4806,4097e" filled="false" stroked="true" strokeweight="1pt" strokecolor="#9b8758">
                <v:path arrowok="t"/>
              </v:shape>
            </v:group>
            <v:group style="position:absolute;left:5105;top:4097;width:766;height:1607" coordorigin="5105,4097" coordsize="766,1607">
              <v:shape style="position:absolute;left:5105;top:4097;width:766;height:1607" coordorigin="5105,4097" coordsize="766,1607" path="m5105,5704l5871,4097e" filled="false" stroked="true" strokeweight="1pt" strokecolor="#8b8f90">
                <v:path arrowok="t"/>
              </v:shape>
            </v:group>
            <v:group style="position:absolute;left:4822;top:6061;width:113;height:237" coordorigin="4822,6061" coordsize="113,237">
              <v:shape style="position:absolute;left:4822;top:6061;width:113;height:237" coordorigin="4822,6061" coordsize="113,237" path="m4822,6297l4935,6061e" filled="false" stroked="true" strokeweight="1pt" strokecolor="#9b8758">
                <v:path arrowok="t"/>
              </v:shape>
            </v:group>
            <v:group style="position:absolute;left:2858;top:8515;width:908;height:1904" coordorigin="2858,8515" coordsize="908,1904">
              <v:shape style="position:absolute;left:2858;top:8515;width:908;height:1904" coordorigin="2858,8515" coordsize="908,1904" path="m2858,10418l3765,8515e" filled="false" stroked="true" strokeweight="1pt" strokecolor="#9b8758">
                <v:path arrowok="t"/>
              </v:shape>
            </v:group>
            <v:group style="position:absolute;left:5589;top:4097;width:562;height:1091" coordorigin="5589,4097" coordsize="562,1091">
              <v:shape style="position:absolute;left:5589;top:4097;width:562;height:1091" coordorigin="5589,4097" coordsize="562,1091" path="m5589,5188l6151,4097e" filled="false" stroked="true" strokeweight="1pt" strokecolor="#8b8f90">
                <v:path arrowok="t"/>
              </v:shape>
            </v:group>
            <v:group style="position:absolute;left:5160;top:5429;width:305;height:592" coordorigin="5160,5429" coordsize="305,592">
              <v:shape style="position:absolute;left:5160;top:5429;width:305;height:592" coordorigin="5160,5429" coordsize="305,592" path="m5160,6020l5465,5429e" filled="false" stroked="true" strokeweight="1pt" strokecolor="#9b8758">
                <v:path arrowok="t"/>
              </v:shape>
            </v:group>
            <v:group style="position:absolute;left:2890;top:8543;width:971;height:1885" coordorigin="2890,8543" coordsize="971,1885">
              <v:shape style="position:absolute;left:2890;top:8543;width:971;height:1885" coordorigin="2890,8543" coordsize="971,1885" path="m2890,10428l3861,8543e" filled="false" stroked="true" strokeweight="1pt" strokecolor="#8b8f90">
                <v:path arrowok="t"/>
              </v:shape>
            </v:group>
            <v:group style="position:absolute;left:3091;top:8789;width:1309;height:1697" coordorigin="3091,8789" coordsize="1309,1697">
              <v:shape style="position:absolute;left:3091;top:8789;width:1309;height:1697" coordorigin="3091,8789" coordsize="1309,1697" path="m3091,10485l4400,8789e" filled="false" stroked="true" strokeweight="1pt" strokecolor="#9b8758">
                <v:path arrowok="t"/>
              </v:shape>
            </v:group>
            <v:group style="position:absolute;left:3220;top:4295;width:324;height:2003" coordorigin="3220,4295" coordsize="324,2003">
              <v:shape style="position:absolute;left:3220;top:4295;width:324;height:2003" coordorigin="3220,4295" coordsize="324,2003" path="m3220,6297l3544,4295e" filled="false" stroked="true" strokeweight="1.5pt" strokecolor="#9b8758">
                <v:path arrowok="t"/>
              </v:shape>
            </v:group>
            <v:group style="position:absolute;left:2561;top:8542;width:297;height:1836" coordorigin="2561,8542" coordsize="297,1836">
              <v:shape style="position:absolute;left:2561;top:8542;width:297;height:1836" coordorigin="2561,8542" coordsize="297,1836" path="m2561,10377l2858,8542e" filled="false" stroked="true" strokeweight="1.5pt" strokecolor="#9b8758">
                <v:path arrowok="t"/>
              </v:shape>
            </v:group>
            <v:group style="position:absolute;left:0;top:0;width:11906;height:4631" coordorigin="0,0" coordsize="11906,4631">
              <v:shape style="position:absolute;left:0;top:0;width:11906;height:4631" coordorigin="0,0" coordsize="11906,4631" path="m0,4630l11906,4630,11906,0,0,0,0,4630xe" filled="true" fillcolor="#d7000f" stroked="false">
                <v:path arrowok="t"/>
                <v:fill type="solid"/>
              </v:shape>
            </v:group>
            <v:group style="position:absolute;left:8190;top:5272;width:537;height:537" coordorigin="8190,5272" coordsize="537,537">
              <v:shape style="position:absolute;left:8190;top:5272;width:537;height:537" coordorigin="8190,5272" coordsize="537,537" path="m8460,5272l8392,5280,8328,5305,8272,5346,8227,5403,8199,5469,8190,5538,8198,5606,8223,5670,8264,5726,8321,5770,8387,5799,8456,5808,8524,5800,8588,5775,8644,5733,8689,5677,8717,5611,8726,5542,8718,5474,8693,5410,8652,5354,8595,5309,8529,5281,8460,5272xe" filled="true" fillcolor="#9b8758" stroked="false">
                <v:path arrowok="t"/>
                <v:fill type="solid"/>
              </v:shape>
            </v:group>
            <v:group style="position:absolute;left:8439;top:4858;width:824;height:824" coordorigin="8439,4858" coordsize="824,824">
              <v:shape style="position:absolute;left:8439;top:4858;width:824;height:824" coordorigin="8439,4858" coordsize="824,824" path="m8854,4858l8783,4863,8715,4880,8651,4909,8592,4949,8540,4999,8497,5059,8465,5126,8445,5196,8439,5266,8444,5336,8462,5404,8490,5469,8530,5528,8580,5580,8640,5623,8707,5655,8777,5675,8847,5681,8918,5676,8986,5658,9050,5630,9109,5590,9161,5540,9204,5480,9237,5413,9256,5343,9262,5273,9257,5202,9240,5134,9211,5070,9171,5011,9121,4959,9061,4916,8994,4883,8924,4864,8854,4858xe" filled="true" fillcolor="#000000" stroked="false">
                <v:path arrowok="t"/>
                <v:fill type="solid"/>
              </v:shape>
            </v:group>
            <v:group style="position:absolute;left:2534;top:940;width:596;height:596" coordorigin="2534,940" coordsize="596,596">
              <v:shape style="position:absolute;left:2534;top:940;width:596;height:596" coordorigin="2534,940" coordsize="596,596" path="m2826,940l2751,951,2681,981,2620,1028,2572,1092,2543,1166,2534,1243,2545,1318,2575,1388,2623,1449,2686,1497,2761,1526,2837,1535,2913,1524,2983,1494,3043,1447,3091,1383,3121,1309,3129,1232,3118,1157,3088,1087,3041,1026,2977,978,2903,948,2826,940xe" filled="true" fillcolor="#000000" stroked="false">
                <v:path arrowok="t"/>
                <v:fill type="solid"/>
              </v:shape>
              <v:shape style="position:absolute;left:7591;top:1948;width:211;height:210" type="#_x0000_t75" stroked="false">
                <v:imagedata r:id="rId19" o:title=""/>
              </v:shape>
            </v:group>
            <v:group style="position:absolute;left:6104;top:2054;width:1592;height:1844" coordorigin="6104,2054" coordsize="1592,1844">
              <v:shape style="position:absolute;left:6104;top:2054;width:1592;height:1844" coordorigin="6104,2054" coordsize="1592,1844" path="m7695,2054l6104,3898e" filled="false" stroked="true" strokeweight="1.5pt" strokecolor="#000000">
                <v:path arrowok="t"/>
              </v:shape>
              <v:shape style="position:absolute;left:7520;top:2820;width:259;height:260" type="#_x0000_t75" stroked="false">
                <v:imagedata r:id="rId20" o:title=""/>
              </v:shape>
            </v:group>
            <v:group style="position:absolute;left:6297;top:2900;width:1403;height:1571" coordorigin="6297,2900" coordsize="1403,1571">
              <v:shape style="position:absolute;left:6297;top:2900;width:1403;height:1571" coordorigin="6297,2900" coordsize="1403,1571" path="m7699,2900l6297,4471e" filled="false" stroked="true" strokeweight="1.5pt" strokecolor="#8b8f90">
                <v:path arrowok="t"/>
              </v:shape>
              <v:shape style="position:absolute;left:5506;top:680;width:208;height:208" type="#_x0000_t75" stroked="false">
                <v:imagedata r:id="rId21" o:title=""/>
              </v:shape>
            </v:group>
            <v:group style="position:absolute;left:3245;top:796;width:2363;height:2952" coordorigin="3245,796" coordsize="2363,2952">
              <v:shape style="position:absolute;left:3245;top:796;width:2363;height:2952" coordorigin="3245,796" coordsize="2363,2952" path="m5608,796l3245,3748e" filled="false" stroked="true" strokeweight=".5pt" strokecolor="#8b8f90">
                <v:path arrowok="t"/>
              </v:shape>
              <v:shape style="position:absolute;left:10377;top:1162;width:360;height:360" type="#_x0000_t75" stroked="false">
                <v:imagedata r:id="rId22" o:title=""/>
              </v:shape>
            </v:group>
            <v:group style="position:absolute;left:5437;top:1342;width:5120;height:5149" coordorigin="5437,1342" coordsize="5120,5149">
              <v:shape style="position:absolute;left:5437;top:1342;width:5120;height:5149" coordorigin="5437,1342" coordsize="5120,5149" path="m10557,1342l5437,6491e" filled="false" stroked="true" strokeweight="1pt" strokecolor="#9b8758">
                <v:path arrowok="t"/>
              </v:shape>
              <v:shape style="position:absolute;left:7897;top:7425;width:260;height:260" type="#_x0000_t75" stroked="false">
                <v:imagedata r:id="rId23" o:title=""/>
              </v:shape>
            </v:group>
            <v:group style="position:absolute;left:6428;top:7515;width:1658;height:1456" coordorigin="6428,7515" coordsize="1658,1456">
              <v:shape style="position:absolute;left:6428;top:7515;width:1658;height:1456" coordorigin="6428,7515" coordsize="1658,1456" path="m8086,7515l6428,8971e" filled="false" stroked="true" strokeweight="1.5pt" strokecolor="#8b8f90">
                <v:path arrowok="t"/>
              </v:shape>
              <v:shape style="position:absolute;left:10397;top:7302;width:360;height:360" type="#_x0000_t75" stroked="false">
                <v:imagedata r:id="rId22" o:title=""/>
              </v:shape>
            </v:group>
            <v:group style="position:absolute;left:6568;top:7482;width:4009;height:3149" coordorigin="6568,7482" coordsize="4009,3149">
              <v:shape style="position:absolute;left:6568;top:7482;width:4009;height:3149" coordorigin="6568,7482" coordsize="4009,3149" path="m10577,7482l6568,10631e" filled="false" stroked="true" strokeweight="1pt" strokecolor="#9b8758">
                <v:path arrowok="t"/>
              </v:shape>
              <v:shape style="position:absolute;left:3347;top:2094;width:247;height:247" type="#_x0000_t75" stroked="false">
                <v:imagedata r:id="rId24" o:title=""/>
              </v:shape>
            </v:group>
            <v:group style="position:absolute;left:1830;top:2218;width:1640;height:2067" coordorigin="1830,2218" coordsize="1640,2067">
              <v:shape style="position:absolute;left:1830;top:2218;width:1640;height:2067" coordorigin="1830,2218" coordsize="1640,2067" path="m3470,2218l1830,4284e" filled="false" stroked="true" strokeweight="1.0pt" strokecolor="#9b8758">
                <v:path arrowok="t"/>
              </v:shape>
              <v:shape style="position:absolute;left:9885;top:10158;width:246;height:246" type="#_x0000_t75" stroked="false">
                <v:imagedata r:id="rId25" o:title=""/>
              </v:shape>
            </v:group>
            <v:group style="position:absolute;left:2659;top:14557;width:144;height:1600" coordorigin="2659,14557" coordsize="144,1600">
              <v:shape style="position:absolute;left:2659;top:14557;width:144;height:1600" coordorigin="2659,14557" coordsize="144,1600" path="m2659,14557l2803,16157e" filled="false" stroked="true" strokeweight="1pt" strokecolor="#8b8f90">
                <v:path arrowok="t"/>
              </v:shape>
            </v:group>
            <v:group style="position:absolute;left:2657;top:14537;width:2;height:20" coordorigin="2657,14537" coordsize="2,20">
              <v:shape style="position:absolute;left:2657;top:14537;width:2;height:20" coordorigin="2657,14537" coordsize="2,20" path="m2657,14537l2659,14557e" filled="false" stroked="true" strokeweight="1pt" strokecolor="#8b8f90">
                <v:path arrowok="t"/>
              </v:shape>
            </v:group>
            <v:group style="position:absolute;left:2630;top:14557;width:117;height:1600" coordorigin="2630,14557" coordsize="117,1600">
              <v:shape style="position:absolute;left:2630;top:14557;width:117;height:1600" coordorigin="2630,14557" coordsize="117,1600" path="m2630,14557l2746,16157e" filled="false" stroked="true" strokeweight="1.5pt" strokecolor="#8b8f90">
                <v:path arrowok="t"/>
              </v:shape>
            </v:group>
            <v:group style="position:absolute;left:2629;top:14539;width:2;height:19" coordorigin="2629,14539" coordsize="2,19">
              <v:shape style="position:absolute;left:2629;top:14539;width:2;height:19" coordorigin="2629,14539" coordsize="2,19" path="m2629,14539l2630,14557e" filled="false" stroked="true" strokeweight="1.5pt" strokecolor="#8b8f90">
                <v:path arrowok="t"/>
              </v:shape>
            </v:group>
            <v:group style="position:absolute;left:4322;top:11630;width:2226;height:287" coordorigin="4322,11630" coordsize="2226,287">
              <v:shape style="position:absolute;left:4322;top:11630;width:2226;height:287" coordorigin="4322,11630" coordsize="2226,287" path="m6548,11916l4322,11630e" filled="false" stroked="true" strokeweight="1pt" strokecolor="#8b8f90">
                <v:path arrowok="t"/>
              </v:shape>
            </v:group>
            <v:group style="position:absolute;left:4355;top:11713;width:1819;height:308" coordorigin="4355,11713" coordsize="1819,308">
              <v:shape style="position:absolute;left:4355;top:11713;width:1819;height:308" coordorigin="4355,11713" coordsize="1819,308" path="m6173,12020l4355,11713e" filled="false" stroked="true" strokeweight="1.5pt" strokecolor="#8b8f90">
                <v:path arrowok="t"/>
              </v:shape>
            </v:group>
            <v:group style="position:absolute;left:4251;top:11485;width:2244;height:125" coordorigin="4251,11485" coordsize="2244,125">
              <v:shape style="position:absolute;left:4251;top:11485;width:2244;height:125" coordorigin="4251,11485" coordsize="2244,125" path="m6494,11610l4251,11485e" filled="false" stroked="true" strokeweight=".5pt" strokecolor="#9b8758">
                <v:path arrowok="t"/>
              </v:shape>
            </v:group>
            <v:group style="position:absolute;left:4342;top:11683;width:2218;height:345" coordorigin="4342,11683" coordsize="2218,345">
              <v:shape style="position:absolute;left:4342;top:11683;width:2218;height:345" coordorigin="4342,11683" coordsize="2218,345" path="m6560,12027l4342,11683e" filled="false" stroked="true" strokeweight=".5pt" strokecolor="#9b8758">
                <v:path arrowok="t"/>
              </v:shape>
            </v:group>
            <v:group style="position:absolute;left:4468;top:12122;width:1366;height:489" coordorigin="4468,12122" coordsize="1366,489">
              <v:shape style="position:absolute;left:4468;top:12122;width:1366;height:489" coordorigin="4468,12122" coordsize="1366,489" path="m5833,12610l4468,12122e" filled="false" stroked="true" strokeweight=".5pt" strokecolor="#9b8758">
                <v:path arrowok="t"/>
              </v:shape>
            </v:group>
            <v:group style="position:absolute;left:6130;top:12716;width:433;height:155" coordorigin="6130,12716" coordsize="433,155">
              <v:shape style="position:absolute;left:6130;top:12716;width:433;height:155" coordorigin="6130,12716" coordsize="433,155" path="m6563,12871l6130,12716e" filled="false" stroked="true" strokeweight=".5pt" strokecolor="#8b8f90">
                <v:path arrowok="t"/>
              </v:shape>
            </v:group>
            <v:group style="position:absolute;left:4477;top:12176;width:2076;height:793" coordorigin="4477,12176" coordsize="2076,793">
              <v:shape style="position:absolute;left:4477;top:12176;width:2076;height:793" coordorigin="4477,12176" coordsize="2076,793" path="m6552,12968l4477,12176e" filled="false" stroked="true" strokeweight=".5pt" strokecolor="#8b8f90">
                <v:path arrowok="t"/>
              </v:shape>
            </v:group>
            <v:group style="position:absolute;left:4491;top:12619;width:1896;height:1121" coordorigin="4491,12619" coordsize="1896,1121">
              <v:shape style="position:absolute;left:4491;top:12619;width:1896;height:1121" coordorigin="4491,12619" coordsize="1896,1121" path="m6387,13740l4491,12619e" filled="false" stroked="true" strokeweight=".25pt" strokecolor="#8b8f90">
                <v:path arrowok="t"/>
              </v:shape>
            </v:group>
            <v:group style="position:absolute;left:4414;top:11883;width:2169;height:540" coordorigin="4414,11883" coordsize="2169,540">
              <v:shape style="position:absolute;left:4414;top:11883;width:2169;height:540" coordorigin="4414,11883" coordsize="2169,540" path="m6582,12422l4414,11883e" filled="false" stroked="true" strokeweight=".25pt" strokecolor="#8b8f90">
                <v:path arrowok="t"/>
              </v:shape>
            </v:group>
            <v:group style="position:absolute;left:4292;top:11561;width:2234;height:212" coordorigin="4292,11561" coordsize="2234,212">
              <v:shape style="position:absolute;left:4292;top:11561;width:2234;height:212" coordorigin="4292,11561" coordsize="2234,212" path="m6525,11772l4292,11561e" filled="false" stroked="true" strokeweight="1.0pt" strokecolor="#8b8f90">
                <v:path arrowok="t"/>
              </v:shape>
            </v:group>
            <v:group style="position:absolute;left:5076;top:12122;width:1341;height:371" coordorigin="5076,12122" coordsize="1341,371">
              <v:shape style="position:absolute;left:5076;top:12122;width:1341;height:371" coordorigin="5076,12122" coordsize="1341,371" path="m6417,12493l5076,12122e" filled="false" stroked="true" strokeweight="1pt" strokecolor="#8b8f90">
                <v:path arrowok="t"/>
              </v:shape>
            </v:group>
            <v:group style="position:absolute;left:4452;top:12038;width:2123;height:679" coordorigin="4452,12038" coordsize="2123,679">
              <v:shape style="position:absolute;left:4452;top:12038;width:2123;height:679" coordorigin="4452,12038" coordsize="2123,679" path="m6575,12716l4452,12038e" filled="false" stroked="true" strokeweight="1.5pt" strokecolor="#8b8f90">
                <v:path arrowok="t"/>
              </v:shape>
            </v:group>
            <v:group style="position:absolute;left:4382;top:11778;width:2194;height:439" coordorigin="4382,11778" coordsize="2194,439">
              <v:shape style="position:absolute;left:4382;top:11778;width:2194;height:439" coordorigin="4382,11778" coordsize="2194,439" path="m6576,12216l4382,11778e" filled="false" stroked="true" strokeweight=".5pt" strokecolor="#9b8758">
                <v:path arrowok="t"/>
              </v:shape>
            </v:group>
            <v:group style="position:absolute;left:4439;top:11970;width:2142;height:652" coordorigin="4439,11970" coordsize="2142,652">
              <v:shape style="position:absolute;left:4439;top:11970;width:2142;height:652" coordorigin="4439,11970" coordsize="2142,652" path="m6580,12622l4439,11970e" filled="false" stroked="true" strokeweight=".5pt" strokecolor="#9b8758">
                <v:path arrowok="t"/>
              </v:shape>
            </v:group>
            <v:group style="position:absolute;left:4398;top:11825;width:2183;height:498" coordorigin="4398,11825" coordsize="2183,498">
              <v:shape style="position:absolute;left:4398;top:11825;width:2183;height:498" coordorigin="4398,11825" coordsize="2183,498" path="m6580,12323l4398,11825e" filled="false" stroked="true" strokeweight="1pt" strokecolor="#9b8758">
                <v:path arrowok="t"/>
              </v:shape>
            </v:group>
            <v:group style="position:absolute;left:4212;top:11419;width:2251;height:46" coordorigin="4212,11419" coordsize="2251,46">
              <v:shape style="position:absolute;left:4212;top:11419;width:2251;height:46" coordorigin="4212,11419" coordsize="2251,46" path="m6463,11464l4212,11419e" filled="false" stroked="true" strokeweight="1.5pt" strokecolor="#8b8f90">
                <v:path arrowok="t"/>
              </v:shape>
            </v:group>
            <v:group style="position:absolute;left:3801;top:14728;width:594;height:1416" coordorigin="3801,14728" coordsize="594,1416">
              <v:shape style="position:absolute;left:3801;top:14728;width:594;height:1416" coordorigin="3801,14728" coordsize="594,1416" path="m3801,14728l4394,16144e" filled="false" stroked="true" strokeweight="1pt" strokecolor="#9b8758">
                <v:path arrowok="t"/>
              </v:shape>
            </v:group>
            <v:group style="position:absolute;left:3788;top:16009;width:46;height:149" coordorigin="3788,16009" coordsize="46,149">
              <v:shape style="position:absolute;left:3788;top:16009;width:46;height:149" coordorigin="3788,16009" coordsize="46,149" path="m3788,16009l3833,16157e" filled="false" stroked="true" strokeweight="1.5pt" strokecolor="#8b8f90">
                <v:path arrowok="t"/>
              </v:shape>
            </v:group>
            <v:group style="position:absolute;left:3363;top:14557;width:353;height:1161" coordorigin="3363,14557" coordsize="353,1161">
              <v:shape style="position:absolute;left:3363;top:14557;width:353;height:1161" coordorigin="3363,14557" coordsize="353,1161" path="m3363,14557l3715,15718e" filled="false" stroked="true" strokeweight="1.5pt" strokecolor="#9b8758">
                <v:path arrowok="t"/>
              </v:shape>
            </v:group>
            <v:group style="position:absolute;left:3302;top:14358;width:61;height:200" coordorigin="3302,14358" coordsize="61,200">
              <v:shape style="position:absolute;left:3302;top:14358;width:61;height:200" coordorigin="3302,14358" coordsize="61,200" path="m3302,14358l3363,14557e" filled="false" stroked="true" strokeweight="1.5pt" strokecolor="#9b8758">
                <v:path arrowok="t"/>
              </v:shape>
            </v:group>
            <v:group style="position:absolute;left:3960;top:14557;width:702;height:1427" coordorigin="3960,14557" coordsize="702,1427">
              <v:shape style="position:absolute;left:3960;top:14557;width:702;height:1427" coordorigin="3960,14557" coordsize="702,1427" path="m3960,14557l4662,15984e" filled="false" stroked="true" strokeweight="1pt" strokecolor="#8b8f90">
                <v:path arrowok="t"/>
              </v:shape>
            </v:group>
            <v:group style="position:absolute;left:3728;top:14085;width:233;height:473" coordorigin="3728,14085" coordsize="233,473">
              <v:shape style="position:absolute;left:3728;top:14085;width:233;height:473" coordorigin="3728,14085" coordsize="233,473" path="m3728,14085l3960,14557e" filled="false" stroked="true" strokeweight="1pt" strokecolor="#8b8f90">
                <v:path arrowok="t"/>
              </v:shape>
            </v:group>
            <v:group style="position:absolute;left:4185;top:14739;width:617;height:1156" coordorigin="4185,14739" coordsize="617,1156">
              <v:shape style="position:absolute;left:4185;top:14739;width:617;height:1156" coordorigin="4185,14739" coordsize="617,1156" path="m4185,14739l4801,15894e" filled="false" stroked="true" strokeweight="1pt" strokecolor="#9b8758">
                <v:path arrowok="t"/>
              </v:shape>
            </v:group>
            <v:group style="position:absolute;left:4197;top:14557;width:537;height:948" coordorigin="4197,14557" coordsize="537,948">
              <v:shape style="position:absolute;left:4197;top:14557;width:537;height:948" coordorigin="4197,14557" coordsize="537,948" path="m4197,14557l4734,15505e" filled="false" stroked="true" strokeweight="1pt" strokecolor="#8b8f90">
                <v:path arrowok="t"/>
              </v:shape>
            </v:group>
            <v:group style="position:absolute;left:3806;top:14018;width:249;height:466" coordorigin="3806,14018" coordsize="249,466">
              <v:shape style="position:absolute;left:3806;top:14018;width:249;height:466" coordorigin="3806,14018" coordsize="249,466" path="m3806,14018l4054,14483e" filled="false" stroked="true" strokeweight="1pt" strokecolor="#8b8f90">
                <v:path arrowok="t"/>
              </v:shape>
            </v:group>
            <v:group style="position:absolute;left:3912;top:14054;width:286;height:504" coordorigin="3912,14054" coordsize="286,504">
              <v:shape style="position:absolute;left:3912;top:14054;width:286;height:504" coordorigin="3912,14054" coordsize="286,504" path="m3912,14054l4197,14557e" filled="false" stroked="true" strokeweight="1pt" strokecolor="#8b8f90">
                <v:path arrowok="t"/>
              </v:shape>
            </v:group>
            <v:group style="position:absolute;left:3576;top:14557;width:594;height:1600" coordorigin="3576,14557" coordsize="594,1600">
              <v:shape style="position:absolute;left:3576;top:14557;width:594;height:1600" coordorigin="3576,14557" coordsize="594,1600" path="m3576,14557l4169,16157e" filled="false" stroked="true" strokeweight="1.5pt" strokecolor="#9b8758">
                <v:path arrowok="t"/>
              </v:shape>
            </v:group>
            <v:group style="position:absolute;left:3470;top:14272;width:106;height:286" coordorigin="3470,14272" coordsize="106,286">
              <v:shape style="position:absolute;left:3470;top:14272;width:106;height:286" coordorigin="3470,14272" coordsize="106,286" path="m3470,14272l3576,14557e" filled="false" stroked="true" strokeweight="1.5pt" strokecolor="#9b8758">
                <v:path arrowok="t"/>
              </v:shape>
            </v:group>
            <v:group style="position:absolute;left:5574;top:14557;width:273;height:274" coordorigin="5574,14557" coordsize="273,274">
              <v:shape style="position:absolute;left:5574;top:14557;width:273;height:274" coordorigin="5574,14557" coordsize="273,274" path="m5574,14557l5846,14831e" filled="false" stroked="true" strokeweight=".5pt" strokecolor="#8b8f90">
                <v:path arrowok="t"/>
              </v:shape>
            </v:group>
            <v:group style="position:absolute;left:4324;top:13302;width:1251;height:1256" coordorigin="4324,13302" coordsize="1251,1256">
              <v:shape style="position:absolute;left:4324;top:13302;width:1251;height:1256" coordorigin="4324,13302" coordsize="1251,1256" path="m4324,13302l5574,14557e" filled="false" stroked="true" strokeweight=".5pt" strokecolor="#8b8f90">
                <v:path arrowok="t"/>
              </v:shape>
            </v:group>
            <v:group style="position:absolute;left:4383;top:13143;width:1447;height:1284" coordorigin="4383,13143" coordsize="1447,1284">
              <v:shape style="position:absolute;left:4383;top:13143;width:1447;height:1284" coordorigin="4383,13143" coordsize="1447,1284" path="m4383,13143l5829,14427e" filled="false" stroked="true" strokeweight="1.5pt" strokecolor="#8b8f90">
                <v:path arrowok="t"/>
              </v:shape>
            </v:group>
            <v:group style="position:absolute;left:3491;top:14557;width:551;height:1600" coordorigin="3491,14557" coordsize="551,1600">
              <v:shape style="position:absolute;left:3491;top:14557;width:551;height:1600" coordorigin="3491,14557" coordsize="551,1600" path="m3491,14557l4041,16157e" filled="false" stroked="true" strokeweight="1.0pt" strokecolor="#9b8758">
                <v:path arrowok="t"/>
              </v:shape>
            </v:group>
            <v:group style="position:absolute;left:3401;top:14297;width:90;height:261" coordorigin="3401,14297" coordsize="90,261">
              <v:shape style="position:absolute;left:3401;top:14297;width:90;height:261" coordorigin="3401,14297" coordsize="90,261" path="m3401,14297l3491,14557e" filled="false" stroked="true" strokeweight="1pt" strokecolor="#9b8758">
                <v:path arrowok="t"/>
              </v:shape>
            </v:group>
            <v:group style="position:absolute;left:4807;top:14557;width:609;height:803" coordorigin="4807,14557" coordsize="609,803">
              <v:shape style="position:absolute;left:4807;top:14557;width:609;height:803" coordorigin="4807,14557" coordsize="609,803" path="m4807,14557l5416,15360e" filled="false" stroked="true" strokeweight="1.0pt" strokecolor="#8b8f90">
                <v:path arrowok="t"/>
              </v:shape>
            </v:group>
            <v:group style="position:absolute;left:4516;top:14174;width:291;height:384" coordorigin="4516,14174" coordsize="291,384">
              <v:shape style="position:absolute;left:4516;top:14174;width:291;height:384" coordorigin="4516,14174" coordsize="291,384" path="m4516,14174l4807,14557e" filled="false" stroked="true" strokeweight="1pt" strokecolor="#8b8f90">
                <v:path arrowok="t"/>
              </v:shape>
            </v:group>
            <v:group style="position:absolute;left:5006;top:15580;width:63;height:102" coordorigin="5006,15580" coordsize="63,102">
              <v:shape style="position:absolute;left:5006;top:15580;width:63;height:102" coordorigin="5006,15580" coordsize="63,102" path="m5006,15580l5069,15682e" filled="false" stroked="true" strokeweight="1.5pt" strokecolor="#9b8758">
                <v:path arrowok="t"/>
              </v:shape>
            </v:group>
            <v:group style="position:absolute;left:4371;top:14557;width:491;height:790" coordorigin="4371,14557" coordsize="491,790">
              <v:shape style="position:absolute;left:4371;top:14557;width:491;height:790" coordorigin="4371,14557" coordsize="491,790" path="m4371,14557l4861,15347e" filled="false" stroked="true" strokeweight="1.5pt" strokecolor="#8b8f90">
                <v:path arrowok="t"/>
              </v:shape>
            </v:group>
            <v:group style="position:absolute;left:4268;top:14391;width:104;height:167" coordorigin="4268,14391" coordsize="104,167">
              <v:shape style="position:absolute;left:4268;top:14391;width:104;height:167" coordorigin="4268,14391" coordsize="104,167" path="m4268,14391l4371,14557e" filled="false" stroked="true" strokeweight="1.5pt" strokecolor="#8b8f90">
                <v:path arrowok="t"/>
              </v:shape>
            </v:group>
            <v:group style="position:absolute;left:3946;top:13873;width:213;height:343" coordorigin="3946,13873" coordsize="213,343">
              <v:shape style="position:absolute;left:3946;top:13873;width:213;height:343" coordorigin="3946,13873" coordsize="213,343" path="m3946,13873l4158,14216e" filled="false" stroked="true" strokeweight="1.5pt" strokecolor="#8b8f90">
                <v:path arrowok="t"/>
              </v:shape>
            </v:group>
            <v:group style="position:absolute;left:5172;top:14557;width:474;height:543" coordorigin="5172,14557" coordsize="474,543">
              <v:shape style="position:absolute;left:5172;top:14557;width:474;height:543" coordorigin="5172,14557" coordsize="474,543" path="m5172,14557l5646,15100e" filled="false" stroked="true" strokeweight="1pt" strokecolor="#9b8758">
                <v:path arrowok="t"/>
              </v:shape>
            </v:group>
            <v:group style="position:absolute;left:4360;top:13628;width:812;height:930" coordorigin="4360,13628" coordsize="812,930">
              <v:shape style="position:absolute;left:4360;top:13628;width:812;height:930" coordorigin="4360,13628" coordsize="812,930" path="m4360,13628l5172,14557e" filled="false" stroked="true" strokeweight="1pt" strokecolor="#9b8758">
                <v:path arrowok="t"/>
              </v:shape>
            </v:group>
            <v:group style="position:absolute;left:4986;top:15038;width:317;height:447" coordorigin="4986,15038" coordsize="317,447">
              <v:shape style="position:absolute;left:4986;top:15038;width:317;height:447" coordorigin="4986,15038" coordsize="317,447" path="m4986,15038l5303,15485e" filled="false" stroked="true" strokeweight="1.5pt" strokecolor="#8b8f90">
                <v:path arrowok="t"/>
              </v:shape>
            </v:group>
            <v:group style="position:absolute;left:4646;top:14557;width:127;height:180" coordorigin="4646,14557" coordsize="127,180">
              <v:shape style="position:absolute;left:4646;top:14557;width:127;height:180" coordorigin="4646,14557" coordsize="127,180" path="m4646,14557l4773,14737e" filled="false" stroked="true" strokeweight="1.5pt" strokecolor="#8b8f90">
                <v:path arrowok="t"/>
              </v:shape>
            </v:group>
            <v:group style="position:absolute;left:4065;top:13737;width:581;height:821" coordorigin="4065,13737" coordsize="581,821">
              <v:shape style="position:absolute;left:4065;top:13737;width:581;height:821" coordorigin="4065,13737" coordsize="581,821" path="m4065,13737l4646,14557e" filled="false" stroked="true" strokeweight="1.5pt" strokecolor="#8b8f90">
                <v:path arrowok="t"/>
              </v:shape>
            </v:group>
            <v:group style="position:absolute;left:4492;top:12599;width:1905;height:1107" coordorigin="4492,12599" coordsize="1905,1107">
              <v:shape style="position:absolute;left:4492;top:12599;width:1905;height:1107" coordorigin="4492,12599" coordsize="1905,1107" path="m4492,12599l6397,13706e" filled="false" stroked="true" strokeweight="1pt" strokecolor="#8b8f90">
                <v:path arrowok="t"/>
              </v:shape>
            </v:group>
            <v:group style="position:absolute;left:4456;top:12877;width:1297;height:943" coordorigin="4456,12877" coordsize="1297,943">
              <v:shape style="position:absolute;left:4456;top:12877;width:1297;height:943" coordorigin="4456,12877" coordsize="1297,943" path="m4456,12877l5752,13819e" filled="false" stroked="true" strokeweight="1.5pt" strokecolor="#8b8f90">
                <v:path arrowok="t"/>
              </v:shape>
            </v:group>
            <v:group style="position:absolute;left:3628;top:14557;width:626;height:1600" coordorigin="3628,14557" coordsize="626,1600">
              <v:shape style="position:absolute;left:3628;top:14557;width:626;height:1600" coordorigin="3628,14557" coordsize="626,1600" path="m4254,16157l3628,14557e" filled="false" stroked="true" strokeweight=".5pt" strokecolor="#9b8758">
                <v:path arrowok="t"/>
              </v:shape>
            </v:group>
            <v:group style="position:absolute;left:3863;top:14557;width:287;height:622" coordorigin="3863,14557" coordsize="287,622">
              <v:shape style="position:absolute;left:3863;top:14557;width:287;height:622" coordorigin="3863,14557" coordsize="287,622" path="m4149,15179l3863,14557e" filled="false" stroked="true" strokeweight=".5pt" strokecolor="#9b8758">
                <v:path arrowok="t"/>
              </v:shape>
            </v:group>
            <v:group style="position:absolute;left:3507;top:14248;width:122;height:310" coordorigin="3507,14248" coordsize="122,310">
              <v:shape style="position:absolute;left:3507;top:14248;width:122;height:310" coordorigin="3507,14248" coordsize="122,310" path="m3628,14557l3507,14248e" filled="false" stroked="true" strokeweight=".5pt" strokecolor="#9b8758">
                <v:path arrowok="t"/>
              </v:shape>
            </v:group>
            <v:group style="position:absolute;left:3669;top:14138;width:194;height:420" coordorigin="3669,14138" coordsize="194,420">
              <v:shape style="position:absolute;left:3669;top:14138;width:194;height:420" coordorigin="3669,14138" coordsize="194,420" path="m3863,14557l3669,14138e" filled="false" stroked="true" strokeweight=".5pt" strokecolor="#9b8758">
                <v:path arrowok="t"/>
              </v:shape>
            </v:group>
            <v:group style="position:absolute;left:4388;top:15697;width:165;height:357" coordorigin="4388,15697" coordsize="165,357">
              <v:shape style="position:absolute;left:4388;top:15697;width:165;height:357" coordorigin="4388,15697" coordsize="165,357" path="m4552,16053l4388,15697e" filled="false" stroked="true" strokeweight=".5pt" strokecolor="#8b8f90">
                <v:path arrowok="t"/>
              </v:shape>
            </v:group>
            <v:group style="position:absolute;left:3226;top:14557;width:95;height:362" coordorigin="3226,14557" coordsize="95,362">
              <v:shape style="position:absolute;left:3226;top:14557;width:95;height:362" coordorigin="3226,14557" coordsize="95,362" path="m3320,14919l3226,14557e" filled="false" stroked="true" strokeweight=".25pt" strokecolor="#8b8f90">
                <v:path arrowok="t"/>
              </v:shape>
            </v:group>
            <v:group style="position:absolute;left:3480;top:15535;width:163;height:623" coordorigin="3480,15535" coordsize="163,623">
              <v:shape style="position:absolute;left:3480;top:15535;width:163;height:623" coordorigin="3480,15535" coordsize="163,623" path="m3642,16157l3480,15535e" filled="false" stroked="true" strokeweight=".25pt" strokecolor="#8b8f90">
                <v:path arrowok="t"/>
              </v:shape>
            </v:group>
            <v:group style="position:absolute;left:2983;top:14557;width:295;height:1600" coordorigin="2983,14557" coordsize="295,1600">
              <v:shape style="position:absolute;left:2983;top:14557;width:295;height:1600" coordorigin="2983,14557" coordsize="295,1600" path="m3277,16157l2983,14557e" filled="false" stroked="true" strokeweight=".25pt" strokecolor="#8b8f90">
                <v:path arrowok="t"/>
              </v:shape>
            </v:group>
            <v:group style="position:absolute;left:3185;top:14403;width:41;height:155" coordorigin="3185,14403" coordsize="41,155">
              <v:shape style="position:absolute;left:3185;top:14403;width:41;height:155" coordorigin="3185,14403" coordsize="41,155" path="m3226,14557l3185,14403e" filled="false" stroked="true" strokeweight=".25pt" strokecolor="#8b8f90">
                <v:path arrowok="t"/>
              </v:shape>
            </v:group>
            <v:group style="position:absolute;left:2969;top:14485;width:14;height:73" coordorigin="2969,14485" coordsize="14,73">
              <v:shape style="position:absolute;left:2969;top:14485;width:14;height:73" coordorigin="2969,14485" coordsize="14,73" path="m2983,14557l2969,14485e" filled="false" stroked="true" strokeweight=".25pt" strokecolor="#8b8f90">
                <v:path arrowok="t"/>
              </v:shape>
            </v:group>
            <v:group style="position:absolute;left:3027;top:14557;width:317;height:1600" coordorigin="3027,14557" coordsize="317,1600">
              <v:shape style="position:absolute;left:3027;top:14557;width:317;height:1600" coordorigin="3027,14557" coordsize="317,1600" path="m3027,14557l3344,16157e" filled="false" stroked="true" strokeweight="1pt" strokecolor="#9b8758">
                <v:path arrowok="t"/>
              </v:shape>
            </v:group>
            <v:group style="position:absolute;left:3011;top:14474;width:17;height:84" coordorigin="3011,14474" coordsize="17,84">
              <v:shape style="position:absolute;left:3011;top:14474;width:17;height:84" coordorigin="3011,14474" coordsize="17,84" path="m3011,14474l3027,14557e" filled="false" stroked="true" strokeweight="1pt" strokecolor="#9b8758">
                <v:path arrowok="t"/>
              </v:shape>
            </v:group>
            <v:group style="position:absolute;left:2990;top:16060;width:13;height:98" coordorigin="2990,16060" coordsize="13,98">
              <v:shape style="position:absolute;left:2990;top:16060;width:13;height:98" coordorigin="2990,16060" coordsize="13,98" path="m2990,16060l3002,16157e" filled="false" stroked="true" strokeweight="1pt" strokecolor="#8b8f90">
                <v:path arrowok="t"/>
              </v:shape>
            </v:group>
            <v:group style="position:absolute;left:2800;top:14557;width:137;height:1077" coordorigin="2800,14557" coordsize="137,1077">
              <v:shape style="position:absolute;left:2800;top:14557;width:137;height:1077" coordorigin="2800,14557" coordsize="137,1077" path="m2800,14557l2936,15634e" filled="false" stroked="true" strokeweight="1.0pt" strokecolor="#9b8758">
                <v:path arrowok="t"/>
              </v:shape>
            </v:group>
            <v:group style="position:absolute;left:3441;top:15958;width:44;height:200" coordorigin="3441,15958" coordsize="44,200">
              <v:shape style="position:absolute;left:3441;top:15958;width:44;height:200" coordorigin="3441,15958" coordsize="44,200" path="m3441,15958l3484,16157e" filled="false" stroked="true" strokeweight="1pt" strokecolor="#9b8758">
                <v:path arrowok="t"/>
              </v:shape>
            </v:group>
            <v:group style="position:absolute;left:3122;top:14557;width:138;height:605" coordorigin="3122,14557" coordsize="138,605">
              <v:shape style="position:absolute;left:3122;top:14557;width:138;height:605" coordorigin="3122,14557" coordsize="138,605" path="m3122,14557l3259,15162e" filled="false" stroked="true" strokeweight="1pt" strokecolor="#9b8758">
                <v:path arrowok="t"/>
              </v:shape>
            </v:group>
            <v:group style="position:absolute;left:2795;top:14514;width:6;height:44" coordorigin="2795,14514" coordsize="6,44">
              <v:shape style="position:absolute;left:2795;top:14514;width:6;height:44" coordorigin="2795,14514" coordsize="6,44" path="m2795,14514l2800,14557e" filled="false" stroked="true" strokeweight="1pt" strokecolor="#9b8758">
                <v:path arrowok="t"/>
              </v:shape>
            </v:group>
            <v:group style="position:absolute;left:3095;top:14441;width:27;height:117" coordorigin="3095,14441" coordsize="27,117">
              <v:shape style="position:absolute;left:3095;top:14441;width:27;height:117" coordorigin="3095,14441" coordsize="27,117" path="m3095,14441l3122,14557e" filled="false" stroked="true" strokeweight="1pt" strokecolor="#9b8758">
                <v:path arrowok="t"/>
              </v:shape>
            </v:group>
            <v:group style="position:absolute;left:3285;top:14557;width:447;height:1600" coordorigin="3285,14557" coordsize="447,1600">
              <v:shape style="position:absolute;left:3285;top:14557;width:447;height:1600" coordorigin="3285,14557" coordsize="447,1600" path="m3285,14557l3732,16157e" filled="false" stroked="true" strokeweight="1pt" strokecolor="#9b8758">
                <v:path arrowok="t"/>
              </v:shape>
            </v:group>
            <v:group style="position:absolute;left:3238;top:14387;width:48;height:171" coordorigin="3238,14387" coordsize="48,171">
              <v:shape style="position:absolute;left:3238;top:14387;width:48;height:171" coordorigin="3238,14387" coordsize="48,171" path="m3238,14387l3285,14557e" filled="false" stroked="true" strokeweight="1.0pt" strokecolor="#9b8758">
                <v:path arrowok="t"/>
              </v:shape>
            </v:group>
            <v:group style="position:absolute;left:2667;top:15829;width:20;height:329" coordorigin="2667,15829" coordsize="20,329">
              <v:shape style="position:absolute;left:2667;top:15829;width:20;height:329" coordorigin="2667,15829" coordsize="20,329" path="m2667,15829l2687,16157e" filled="false" stroked="true" strokeweight="1.0pt" strokecolor="#8b8f90">
                <v:path arrowok="t"/>
              </v:shape>
            </v:group>
            <v:group style="position:absolute;left:2474;top:14557;width:38;height:1600" coordorigin="2474,14557" coordsize="38,1600">
              <v:shape style="position:absolute;left:2474;top:14557;width:38;height:1600" coordorigin="2474,14557" coordsize="38,1600" path="m2474,14557l2512,16157e" filled="false" stroked="true" strokeweight="1.5pt" strokecolor="#9b8758">
                <v:path arrowok="t"/>
              </v:shape>
            </v:group>
            <v:group style="position:absolute;left:2399;top:14557;width:2;height:1600" coordorigin="2399,14557" coordsize="2,1600">
              <v:shape style="position:absolute;left:2399;top:14557;width:2;height:1600" coordorigin="2399,14557" coordsize="1,1600" path="m2399,14557l2399,16157e" filled="false" stroked="true" strokeweight="1pt" strokecolor="#8b8f90">
                <v:path arrowok="t"/>
              </v:shape>
            </v:group>
            <v:group style="position:absolute;left:2590;top:14557;width:41;height:668" coordorigin="2590,14557" coordsize="41,668">
              <v:shape style="position:absolute;left:2590;top:14557;width:41;height:668" coordorigin="2590,14557" coordsize="41,668" path="m2590,14557l2631,15225e" filled="false" stroked="true" strokeweight="1pt" strokecolor="#8b8f90">
                <v:path arrowok="t"/>
              </v:shape>
            </v:group>
            <v:group style="position:absolute;left:2590;top:14549;width:2;height:9" coordorigin="2590,14549" coordsize="2,9">
              <v:shape style="position:absolute;left:2590;top:14549;width:2;height:9" coordorigin="2590,14549" coordsize="1,9" path="m2590,14549l2590,14557e" filled="false" stroked="true" strokeweight="1.0pt" strokecolor="#8b8f90">
                <v:path arrowok="t"/>
              </v:shape>
            </v:group>
            <v:group style="position:absolute;left:4900;top:15797;width:7;height:12" coordorigin="4900,15797" coordsize="7,12">
              <v:shape style="position:absolute;left:4900;top:15797;width:7;height:12" coordorigin="4900,15797" coordsize="7,12" path="m4900,15797l4906,15809e" filled="false" stroked="true" strokeweight="1pt" strokecolor="#8b8f90">
                <v:path arrowok="t"/>
              </v:shape>
            </v:group>
            <v:group style="position:absolute;left:4264;top:14557;width:707;height:1204" coordorigin="4264,14557" coordsize="707,1204">
              <v:shape style="position:absolute;left:4264;top:14557;width:707;height:1204" coordorigin="4264,14557" coordsize="707,1204" path="m4264,14557l4971,15761e" filled="false" stroked="true" strokeweight=".5pt" strokecolor="#9b8758">
                <v:path arrowok="t"/>
              </v:shape>
            </v:group>
            <v:group style="position:absolute;left:3897;top:13932;width:368;height:626" coordorigin="3897,13932" coordsize="368,626">
              <v:shape style="position:absolute;left:3897;top:13932;width:368;height:626" coordorigin="3897,13932" coordsize="368,626" path="m3897,13932l4264,14557e" filled="false" stroked="true" strokeweight=".5pt" strokecolor="#9b8758">
                <v:path arrowok="t"/>
              </v:shape>
            </v:group>
            <v:group style="position:absolute;left:2930;top:14557;width:268;height:1600" coordorigin="2930,14557" coordsize="268,1600">
              <v:shape style="position:absolute;left:2930;top:14557;width:268;height:1600" coordorigin="2930,14557" coordsize="268,1600" path="m2930,14557l3198,16157e" filled="false" stroked="true" strokeweight="1.5pt" strokecolor="#9b8758">
                <v:path arrowok="t"/>
              </v:shape>
            </v:group>
            <v:group style="position:absolute;left:2920;top:14497;width:11;height:60" coordorigin="2920,14497" coordsize="11,60">
              <v:shape style="position:absolute;left:2920;top:14497;width:11;height:60" coordorigin="2920,14497" coordsize="11,60" path="m2920,14497l2930,14557e" filled="false" stroked="true" strokeweight="1.5pt" strokecolor="#9b8758">
                <v:path arrowok="t"/>
              </v:shape>
            </v:group>
            <v:group style="position:absolute;left:4491;top:12316;width:2025;height:905" coordorigin="4491,12316" coordsize="2025,905">
              <v:shape style="position:absolute;left:4491;top:12316;width:2025;height:905" coordorigin="4491,12316" coordsize="2025,905" path="m6516,13220l4491,12316e" filled="false" stroked="true" strokeweight=".25pt" strokecolor="#8b8f90">
                <v:path arrowok="t"/>
              </v:shape>
            </v:group>
            <v:group style="position:absolute;left:4496;top:12522;width:1933;height:1075" coordorigin="4496,12522" coordsize="1933,1075">
              <v:shape style="position:absolute;left:4496;top:12522;width:1933;height:1075" coordorigin="4496,12522" coordsize="1933,1075" path="m6428,13597l4496,12522e" filled="false" stroked="true" strokeweight=".25pt" strokecolor="#8b8f90">
                <v:path arrowok="t"/>
              </v:shape>
            </v:group>
            <v:group style="position:absolute;left:4482;top:12219;width:2061;height:828" coordorigin="4482,12219" coordsize="2061,828">
              <v:shape style="position:absolute;left:4482;top:12219;width:2061;height:828" coordorigin="4482,12219" coordsize="2061,828" path="m6543,13047l4482,12219e" filled="false" stroked="true" strokeweight="1pt" strokecolor="#9b8758">
                <v:path arrowok="t"/>
              </v:shape>
            </v:group>
            <v:group style="position:absolute;left:4496;top:12485;width:1430;height:752" coordorigin="4496,12485" coordsize="1430,752">
              <v:shape style="position:absolute;left:4496;top:12485;width:1430;height:752" coordorigin="4496,12485" coordsize="1430,752" path="m5926,13236l4496,12485e" filled="false" stroked="true" strokeweight="1.5pt" strokecolor="#8b8f90">
                <v:path arrowok="t"/>
              </v:shape>
            </v:group>
            <v:group style="position:absolute;left:6173;top:13367;width:279;height:147" coordorigin="6173,13367" coordsize="279,147">
              <v:shape style="position:absolute;left:6173;top:13367;width:279;height:147" coordorigin="6173,13367" coordsize="279,147" path="m6452,13513l6173,13367e" filled="false" stroked="true" strokeweight="1.5pt" strokecolor="#8b8f90">
                <v:path arrowok="t"/>
              </v:shape>
            </v:group>
            <v:group style="position:absolute;left:4488;top:12278;width:893;height:383" coordorigin="4488,12278" coordsize="893,383">
              <v:shape style="position:absolute;left:4488;top:12278;width:893;height:383" coordorigin="4488,12278" coordsize="893,383" path="m5381,12660l4488,12278e" filled="false" stroked="true" strokeweight="1.5pt" strokecolor="#8b8f90">
                <v:path arrowok="t"/>
              </v:shape>
            </v:group>
            <v:group style="position:absolute;left:5904;top:12885;width:623;height:268" coordorigin="5904,12885" coordsize="623,268">
              <v:shape style="position:absolute;left:5904;top:12885;width:623;height:268" coordorigin="5904,12885" coordsize="623,268" path="m6527,13152l5904,12885e" filled="false" stroked="true" strokeweight="1.5pt" strokecolor="#8b8f90">
                <v:path arrowok="t"/>
              </v:shape>
            </v:group>
            <v:group style="position:absolute;left:4496;top:12431;width:1977;height:989" coordorigin="4496,12431" coordsize="1977,989">
              <v:shape style="position:absolute;left:4496;top:12431;width:1977;height:989" coordorigin="4496,12431" coordsize="1977,989" path="m6473,13419l4496,12431e" filled="false" stroked="true" strokeweight=".5pt" strokecolor="#9b8758">
                <v:path arrowok="t"/>
              </v:shape>
            </v:group>
            <v:group style="position:absolute;left:4465;top:12829;width:1794;height:1256" coordorigin="4465,12829" coordsize="1794,1256">
              <v:shape style="position:absolute;left:4465;top:12829;width:1794;height:1256" coordorigin="4465,12829" coordsize="1794,1256" path="m6258,14084l4465,12829e" filled="false" stroked="true" strokeweight=".25pt" strokecolor="#9b8758">
                <v:path arrowok="t"/>
              </v:shape>
            </v:group>
            <v:group style="position:absolute;left:4495;top:12387;width:1995;height:957" coordorigin="4495,12387" coordsize="1995,957">
              <v:shape style="position:absolute;left:4495;top:12387;width:1995;height:957" coordorigin="4495,12387" coordsize="1995,957" path="m6489,13344l4495,12387e" filled="false" stroked="true" strokeweight="1pt" strokecolor="#8b8f90">
                <v:path arrowok="t"/>
              </v:shape>
            </v:group>
            <v:group style="position:absolute;left:4488;top:12660;width:1592;height:975" coordorigin="4488,12660" coordsize="1592,975">
              <v:shape style="position:absolute;left:4488;top:12660;width:1592;height:975" coordorigin="4488,12660" coordsize="1592,975" path="m6079,13635l4488,12660e" filled="false" stroked="true" strokeweight="1.5pt" strokecolor="#8b8f90">
                <v:path arrowok="t"/>
              </v:shape>
            </v:group>
            <v:group style="position:absolute;left:4446;top:12926;width:1743;height:1314" coordorigin="4446,12926" coordsize="1743,1314">
              <v:shape style="position:absolute;left:4446;top:12926;width:1743;height:1314" coordorigin="4446,12926" coordsize="1743,1314" path="m6189,14239l4446,12926e" filled="false" stroked="true" strokeweight=".5pt" strokecolor="#9b8758">
                <v:path arrowok="t"/>
              </v:shape>
            </v:group>
            <v:group style="position:absolute;left:4427;top:12998;width:801;height:638" coordorigin="4427,12998" coordsize="801,638">
              <v:shape style="position:absolute;left:4427;top:12998;width:801;height:638" coordorigin="4427,12998" coordsize="801,638" path="m5227,13636l4427,12998e" filled="false" stroked="true" strokeweight="1pt" strokecolor="#9b8758">
                <v:path arrowok="t"/>
              </v:shape>
            </v:group>
            <v:group style="position:absolute;left:5869;top:14557;width:101;height:92" coordorigin="5869,14557" coordsize="101,92">
              <v:shape style="position:absolute;left:5869;top:14557;width:101;height:92" coordorigin="5869,14557" coordsize="101,92" path="m5869,14557l5969,14649e" filled="false" stroked="true" strokeweight="1pt" strokecolor="#8b8f90">
                <v:path arrowok="t"/>
              </v:shape>
            </v:group>
            <v:group style="position:absolute;left:5590;top:13925;width:545;height:434" coordorigin="5590,13925" coordsize="545,434">
              <v:shape style="position:absolute;left:5590;top:13925;width:545;height:434" coordorigin="5590,13925" coordsize="545,434" path="m6134,14359l5590,13925e" filled="false" stroked="true" strokeweight="1pt" strokecolor="#8b8f90">
                <v:path arrowok="t"/>
              </v:shape>
            </v:group>
            <v:group style="position:absolute;left:4370;top:13185;width:1500;height:1372" coordorigin="4370,13185" coordsize="1500,1372">
              <v:shape style="position:absolute;left:4370;top:13185;width:1500;height:1372" coordorigin="4370,13185" coordsize="1500,1372" path="m4370,13185l5869,14557e" filled="false" stroked="true" strokeweight="1pt" strokecolor="#8b8f90">
                <v:path arrowok="t"/>
              </v:shape>
            </v:group>
            <v:group style="position:absolute;left:5690;top:15011;width:14;height:15" coordorigin="5690,15011" coordsize="14,15">
              <v:shape style="position:absolute;left:5690;top:15011;width:14;height:15" coordorigin="5690,15011" coordsize="14,15" path="m5690,15011l5703,15026e" filled="false" stroked="true" strokeweight="1.5pt" strokecolor="#8b8f90">
                <v:path arrowok="t"/>
              </v:shape>
            </v:group>
            <v:group style="position:absolute;left:5279;top:14557;width:44;height:49" coordorigin="5279,14557" coordsize="44,49">
              <v:shape style="position:absolute;left:5279;top:14557;width:44;height:49" coordorigin="5279,14557" coordsize="44,49" path="m5279,14557l5322,14606e" filled="false" stroked="true" strokeweight="1.5pt" strokecolor="#8b8f90">
                <v:path arrowok="t"/>
              </v:shape>
            </v:group>
            <v:group style="position:absolute;left:4260;top:13434;width:1019;height:1124" coordorigin="4260,13434" coordsize="1019,1124">
              <v:shape style="position:absolute;left:4260;top:13434;width:1019;height:1124" coordorigin="4260,13434" coordsize="1019,1124" path="m4260,13434l5279,14557e" filled="false" stroked="true" strokeweight="1.5pt" strokecolor="#8b8f90">
                <v:path arrowok="t"/>
              </v:shape>
            </v:group>
            <v:group style="position:absolute;left:5095;top:14557;width:507;height:597" coordorigin="5095,14557" coordsize="507,597">
              <v:shape style="position:absolute;left:5095;top:14557;width:507;height:597" coordorigin="5095,14557" coordsize="507,597" path="m5095,14557l5602,15154e" filled="false" stroked="true" strokeweight="1pt" strokecolor="#8b8f90">
                <v:path arrowok="t"/>
              </v:shape>
            </v:group>
            <v:group style="position:absolute;left:4779;top:14185;width:317;height:373" coordorigin="4779,14185" coordsize="317,373">
              <v:shape style="position:absolute;left:4779;top:14185;width:317;height:373" coordorigin="4779,14185" coordsize="317,373" path="m4779,14185l5095,14557e" filled="false" stroked="true" strokeweight="1pt" strokecolor="#8b8f90">
                <v:path arrowok="t"/>
              </v:shape>
            </v:group>
            <v:group style="position:absolute;left:5443;top:14557;width:343;height:358" coordorigin="5443,14557" coordsize="343,358">
              <v:shape style="position:absolute;left:5443;top:14557;width:343;height:358" coordorigin="5443,14557" coordsize="343,358" path="m5443,14557l5786,14915e" filled="false" stroked="true" strokeweight="1pt" strokecolor="#9b8758">
                <v:path arrowok="t"/>
              </v:shape>
            </v:group>
            <v:group style="position:absolute;left:5715;top:14557;width:193;height:185" coordorigin="5715,14557" coordsize="193,185">
              <v:shape style="position:absolute;left:5715;top:14557;width:193;height:185" coordorigin="5715,14557" coordsize="193,185" path="m5715,14557l5908,14742e" filled="false" stroked="true" strokeweight="1pt" strokecolor="#9b8758">
                <v:path arrowok="t"/>
              </v:shape>
            </v:group>
            <v:group style="position:absolute;left:4298;top:13363;width:1145;height:1195" coordorigin="4298,13363" coordsize="1145,1195">
              <v:shape style="position:absolute;left:4298;top:13363;width:1145;height:1195" coordorigin="4298,13363" coordsize="1145,1195" path="m4298,13363l5443,14557e" filled="false" stroked="true" strokeweight="1.0pt" strokecolor="#9b8758">
                <v:path arrowok="t"/>
              </v:shape>
            </v:group>
            <v:group style="position:absolute;left:4345;top:13245;width:1370;height:1312" coordorigin="4345,13245" coordsize="1370,1312">
              <v:shape style="position:absolute;left:4345;top:13245;width:1370;height:1312" coordorigin="4345,13245" coordsize="1370,1312" path="m4345,13245l5715,14557e" filled="false" stroked="true" strokeweight="1pt" strokecolor="#9b8758">
                <v:path arrowok="t"/>
              </v:shape>
            </v:group>
            <v:group style="position:absolute;left:5395;top:15220;width:75;height:97" coordorigin="5395,15220" coordsize="75,97">
              <v:shape style="position:absolute;left:5395;top:15220;width:75;height:97" coordorigin="5395,15220" coordsize="75,97" path="m5395,15220l5470,15316e" filled="false" stroked="true" strokeweight="1.5pt" strokecolor="#9b8758">
                <v:path arrowok="t"/>
              </v:shape>
            </v:group>
            <v:group style="position:absolute;left:4875;top:14557;width:384;height:492" coordorigin="4875,14557" coordsize="384,492">
              <v:shape style="position:absolute;left:4875;top:14557;width:384;height:492" coordorigin="4875,14557" coordsize="384,492" path="m4875,14557l5258,15049e" filled="false" stroked="true" strokeweight="1.5pt" strokecolor="#8b8f90">
                <v:path arrowok="t"/>
              </v:shape>
            </v:group>
            <v:group style="position:absolute;left:4145;top:13622;width:730;height:936" coordorigin="4145,13622" coordsize="730,936">
              <v:shape style="position:absolute;left:4145;top:13622;width:730;height:936" coordorigin="4145,13622" coordsize="730,936" path="m4145,13622l4875,14557e" filled="false" stroked="true" strokeweight="1.5pt" strokecolor="#8b8f90">
                <v:path arrowok="t"/>
              </v:shape>
            </v:group>
            <v:group style="position:absolute;left:4401;top:13088;width:1653;height:1409" coordorigin="4401,13088" coordsize="1653,1409">
              <v:shape style="position:absolute;left:4401;top:13088;width:1653;height:1409" coordorigin="4401,13088" coordsize="1653,1409" path="m6054,14496l4401,13088e" filled="false" stroked="true" strokeweight=".25pt" strokecolor="#9b8758">
                <v:path arrowok="t"/>
              </v:shape>
            </v:group>
            <v:group style="position:absolute;left:4474;top:12765;width:1824;height:1216" coordorigin="4474,12765" coordsize="1824,1216">
              <v:shape style="position:absolute;left:4474;top:12765;width:1824;height:1216" coordorigin="4474,12765" coordsize="1824,1216" path="m6298,13980l4474,12765e" filled="false" stroked="true" strokeweight=".5pt" strokecolor="#8b8f90">
                <v:path arrowok="t"/>
              </v:shape>
            </v:group>
            <v:group style="position:absolute;left:4528;top:14557;width:682;height:1014" coordorigin="4528,14557" coordsize="682,1014">
              <v:shape style="position:absolute;left:4528;top:14557;width:682;height:1014" coordorigin="4528,14557" coordsize="682,1014" path="m5210,15571l4528,14557e" filled="false" stroked="true" strokeweight="1pt" strokecolor="#9b8758">
                <v:path arrowok="t"/>
              </v:shape>
            </v:group>
            <v:group style="position:absolute;left:4019;top:13800;width:510;height:758" coordorigin="4019,13800" coordsize="510,758">
              <v:shape style="position:absolute;left:4019;top:13800;width:510;height:758" coordorigin="4019,13800" coordsize="510,758" path="m4528,14557l4019,13800e" filled="false" stroked="true" strokeweight="1pt" strokecolor="#9b8758">
                <v:path arrowok="t"/>
              </v:shape>
            </v:group>
            <v:group style="position:absolute;left:4479;top:12730;width:1843;height:1195" coordorigin="4479,12730" coordsize="1843,1195">
              <v:shape style="position:absolute;left:4479;top:12730;width:1843;height:1195" coordorigin="4479,12730" coordsize="1843,1195" path="m6322,13925l4479,12730e" filled="false" stroked="true" strokeweight="1.5pt" strokecolor="#9b8758">
                <v:path arrowok="t"/>
              </v:shape>
              <v:shape style="position:absolute;left:8833;top:13185;width:212;height:212" type="#_x0000_t75" stroked="false">
                <v:imagedata r:id="rId26" o:title=""/>
              </v:shape>
            </v:group>
            <v:group style="position:absolute;left:6248;top:13291;width:2689;height:1680" coordorigin="6248,13291" coordsize="2689,1680">
              <v:shape style="position:absolute;left:6248;top:13291;width:2689;height:1680" coordorigin="6248,13291" coordsize="2689,1680" path="m8937,13291l6248,14971e" filled="false" stroked="true" strokeweight="1.5pt" strokecolor="#9b8758">
                <v:path arrowok="t"/>
              </v:shape>
            </v:group>
            <v:group style="position:absolute;left:7228;top:10281;width:2780;height:1890" coordorigin="7228,10281" coordsize="2780,1890">
              <v:shape style="position:absolute;left:7228;top:10281;width:2780;height:1890" coordorigin="7228,10281" coordsize="2780,1890" path="m10008,10281l7228,12171e" filled="false" stroked="true" strokeweight="1.5pt" strokecolor="#8b8f90">
                <v:path arrowok="t"/>
              </v:shape>
              <v:shape style="position:absolute;left:7948;top:12484;width:316;height:316" type="#_x0000_t75" stroked="false">
                <v:imagedata r:id="rId27" o:title=""/>
              </v:shape>
            </v:group>
            <v:group style="position:absolute;left:6928;top:12651;width:1169;height:680" coordorigin="6928,12651" coordsize="1169,680">
              <v:shape style="position:absolute;left:6928;top:12651;width:1169;height:680" coordorigin="6928,12651" coordsize="1169,680" path="m8097,12651l6928,13331e" filled="false" stroked="true" strokeweight="1pt" strokecolor="#d7000f">
                <v:path arrowok="t"/>
              </v:shape>
            </v:group>
            <v:group style="position:absolute;left:0;top:1237;width:2832;height:4110" coordorigin="0,1237" coordsize="2832,4110">
              <v:shape style="position:absolute;left:0;top:1237;width:2832;height:4110" coordorigin="0,1237" coordsize="2832,4110" path="m2831,1237l0,5347e" filled="false" stroked="true" strokeweight="2pt" strokecolor="#000000">
                <v:path arrowok="t"/>
              </v:shape>
              <v:shape style="position:absolute;left:10427;top:5644;width:380;height:379" type="#_x0000_t75" stroked="false">
                <v:imagedata r:id="rId28" o:title=""/>
              </v:shape>
            </v:group>
            <v:group style="position:absolute;left:9917;top:3765;width:442;height:442" coordorigin="9917,3765" coordsize="442,442">
              <v:shape style="position:absolute;left:9917;top:3765;width:442;height:442" coordorigin="9917,3765" coordsize="442,442" path="m10153,3765l10082,3772,10020,3799,9969,3843,9933,3901,9917,3970,9923,4041,9950,4103,9995,4155,10053,4190,10122,4206,10193,4200,10255,4173,10306,4128,10342,4070,10358,4001,10352,3931,10325,3868,10280,3817,10222,3781,10153,3765xe" filled="true" fillcolor="#000000"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1663" w:lineRule="exact" w:before="0"/>
        <w:ind w:left="1119" w:right="0" w:firstLine="0"/>
        <w:jc w:val="both"/>
        <w:rPr>
          <w:rFonts w:ascii="宋体" w:hAnsi="宋体" w:cs="宋体" w:eastAsia="宋体" w:hint="default"/>
          <w:sz w:val="160"/>
          <w:szCs w:val="160"/>
        </w:rPr>
      </w:pPr>
      <w:r>
        <w:rPr>
          <w:rFonts w:ascii="宋体" w:hAnsi="宋体" w:cs="宋体" w:eastAsia="宋体" w:hint="default"/>
          <w:color w:val="9C8758"/>
          <w:spacing w:val="-320"/>
          <w:w w:val="120"/>
          <w:sz w:val="160"/>
          <w:szCs w:val="160"/>
        </w:rPr>
        <w:t>新治理</w:t>
      </w:r>
      <w:r>
        <w:rPr>
          <w:rFonts w:ascii="宋体" w:hAnsi="宋体" w:cs="宋体" w:eastAsia="宋体" w:hint="default"/>
          <w:sz w:val="160"/>
          <w:szCs w:val="160"/>
        </w:rPr>
      </w:r>
    </w:p>
    <w:p>
      <w:pPr>
        <w:spacing w:line="1920" w:lineRule="exact" w:before="246"/>
        <w:ind w:left="1119" w:right="5415" w:firstLine="0"/>
        <w:jc w:val="both"/>
        <w:rPr>
          <w:rFonts w:ascii="宋体" w:hAnsi="宋体" w:cs="宋体" w:eastAsia="宋体" w:hint="default"/>
          <w:sz w:val="160"/>
          <w:szCs w:val="160"/>
        </w:rPr>
      </w:pPr>
      <w:r>
        <w:rPr/>
        <w:pict>
          <v:group style="position:absolute;margin-left:-.750014pt;margin-top:318.183899pt;width:116.45pt;height:186.5pt;mso-position-horizontal-relative:page;mso-position-vertical-relative:paragraph;z-index:-968752" coordorigin="-15,6364" coordsize="2329,3730">
            <v:group style="position:absolute;left:0;top:6601;width:328;height:206" coordorigin="0,6601" coordsize="328,206">
              <v:shape style="position:absolute;left:0;top:6601;width:328;height:206" coordorigin="0,6601" coordsize="328,206" path="m327,6601l0,6806e" filled="false" stroked="true" strokeweight="1pt" strokecolor="#8b8f90">
                <v:path arrowok="t"/>
              </v:shape>
            </v:group>
            <v:group style="position:absolute;left:0;top:7041;width:424;height:373" coordorigin="0,7041" coordsize="424,373">
              <v:shape style="position:absolute;left:0;top:7041;width:424;height:373" coordorigin="0,7041" coordsize="424,373" path="m424,7041l0,7413e" filled="false" stroked="true" strokeweight="1.5pt" strokecolor="#8b8f90">
                <v:path arrowok="t"/>
              </v:shape>
            </v:group>
            <v:group style="position:absolute;left:0;top:6799;width:358;height:262" coordorigin="0,6799" coordsize="358,262">
              <v:shape style="position:absolute;left:0;top:6799;width:358;height:262" coordorigin="0,6799" coordsize="358,262" path="m357,6799l0,7061e" filled="false" stroked="true" strokeweight=".5pt" strokecolor="#8b8f90">
                <v:path arrowok="t"/>
              </v:shape>
            </v:group>
            <v:group style="position:absolute;left:0;top:6531;width:322;height:191" coordorigin="0,6531" coordsize="322,191">
              <v:shape style="position:absolute;left:0;top:6531;width:322;height:191" coordorigin="0,6531" coordsize="322,191" path="m322,6531l0,6721e" filled="false" stroked="true" strokeweight=".5pt" strokecolor="#8b8f90">
                <v:path arrowok="t"/>
              </v:shape>
            </v:group>
            <v:group style="position:absolute;left:0;top:6379;width:177;height:86" coordorigin="0,6379" coordsize="177,86">
              <v:shape style="position:absolute;left:0;top:6379;width:177;height:86" coordorigin="0,6379" coordsize="177,86" path="m177,6379l0,6464e" filled="false" stroked="true" strokeweight=".25pt" strokecolor="#9b8758">
                <v:path arrowok="t"/>
              </v:shape>
            </v:group>
            <v:group style="position:absolute;left:0;top:6692;width:341;height:230" coordorigin="0,6692" coordsize="341,230">
              <v:shape style="position:absolute;left:0;top:6692;width:341;height:230" coordorigin="0,6692" coordsize="341,230" path="m340,6692l0,6922e" filled="false" stroked="true" strokeweight="1pt" strokecolor="#9b8758">
                <v:path arrowok="t"/>
              </v:shape>
            </v:group>
            <v:group style="position:absolute;left:0;top:6996;width:408;height:347" coordorigin="0,6996" coordsize="408,347">
              <v:shape style="position:absolute;left:0;top:6996;width:408;height:347" coordorigin="0,6996" coordsize="408,347" path="m408,6996l0,7343e" filled="false" stroked="true" strokeweight="1.5pt" strokecolor="#8b8f90">
                <v:path arrowok="t"/>
              </v:shape>
            </v:group>
            <v:group style="position:absolute;left:0;top:7536;width:313;height:335" coordorigin="0,7536" coordsize="313,335">
              <v:shape style="position:absolute;left:0;top:7536;width:313;height:335" coordorigin="0,7536" coordsize="313,335" path="m312,7536l0,7870e" filled="false" stroked="true" strokeweight="1pt" strokecolor="#9b8758">
                <v:path arrowok="t"/>
              </v:shape>
            </v:group>
            <v:group style="position:absolute;left:0;top:7166;width:468;height:452" coordorigin="0,7166" coordsize="468,452">
              <v:shape style="position:absolute;left:0;top:7166;width:468;height:452" coordorigin="0,7166" coordsize="468,452" path="m468,7166l0,7617e" filled="false" stroked="true" strokeweight="1.5pt" strokecolor="#9b8758">
                <v:path arrowok="t"/>
              </v:shape>
            </v:group>
            <v:group style="position:absolute;left:0;top:7257;width:502;height:518" coordorigin="0,7257" coordsize="502,518">
              <v:shape style="position:absolute;left:0;top:7257;width:502;height:518" coordorigin="0,7257" coordsize="502,518" path="m0,7774l502,7257e" filled="false" stroked="true" strokeweight=".5pt" strokecolor="#9b8758">
                <v:path arrowok="t"/>
              </v:shape>
            </v:group>
            <v:group style="position:absolute;left:0;top:7023;width:418;height:377" coordorigin="0,7023" coordsize="418,377">
              <v:shape style="position:absolute;left:0;top:7023;width:418;height:377" coordorigin="0,7023" coordsize="418,377" path="m0,7400l417,7023e" filled="false" stroked="true" strokeweight=".25pt" strokecolor="#8b8f90">
                <v:path arrowok="t"/>
              </v:shape>
            </v:group>
            <v:group style="position:absolute;left:0;top:6830;width:364;height:273" coordorigin="0,6830" coordsize="364,273">
              <v:shape style="position:absolute;left:0;top:6830;width:364;height:273" coordorigin="0,6830" coordsize="364,273" path="m0,7102l363,6830e" filled="false" stroked="true" strokeweight=".25pt" strokecolor="#9b8758">
                <v:path arrowok="t"/>
              </v:shape>
            </v:group>
            <v:group style="position:absolute;left:0;top:6863;width:372;height:286" coordorigin="0,6863" coordsize="372,286">
              <v:shape style="position:absolute;left:0;top:6863;width:372;height:286" coordorigin="0,6863" coordsize="372,286" path="m372,6863l0,7149e" filled="false" stroked="true" strokeweight="1pt" strokecolor="#9b8758">
                <v:path arrowok="t"/>
              </v:shape>
            </v:group>
            <v:group style="position:absolute;left:0;top:6747;width:12;height:7" coordorigin="0,6747" coordsize="12,7">
              <v:shape style="position:absolute;left:0;top:6747;width:12;height:7" coordorigin="0,6747" coordsize="12,7" path="m11,6747l0,6754e" filled="false" stroked="true" strokeweight="1.5pt" strokecolor="#8b8f90">
                <v:path arrowok="t"/>
              </v:shape>
            </v:group>
            <v:group style="position:absolute;left:1723;top:8419;width:224;height:1660" coordorigin="1723,8419" coordsize="224,1660">
              <v:shape style="position:absolute;left:1723;top:8419;width:224;height:1660" coordorigin="1723,8419" coordsize="224,1660" path="m1946,8419l1723,10079e" filled="false" stroked="true" strokeweight=".5pt" strokecolor="#8b8f90">
                <v:path arrowok="t"/>
              </v:shape>
            </v:group>
            <v:group style="position:absolute;left:1345;top:8365;width:378;height:1714" coordorigin="1345,8365" coordsize="378,1714">
              <v:shape style="position:absolute;left:1345;top:8365;width:378;height:1714" coordorigin="1345,8365" coordsize="378,1714" path="m1723,8365l1345,10079e" filled="false" stroked="true" strokeweight=".5pt" strokecolor="#8b8f90">
                <v:path arrowok="t"/>
              </v:shape>
            </v:group>
            <v:group style="position:absolute;left:457;top:8131;width:792;height:1948" coordorigin="457,8131" coordsize="792,1948">
              <v:shape style="position:absolute;left:457;top:8131;width:792;height:1948" coordorigin="457,8131" coordsize="792,1948" path="m1249,8131l457,10079e" filled="false" stroked="true" strokeweight=".25pt" strokecolor="#9b8758">
                <v:path arrowok="t"/>
              </v:shape>
            </v:group>
            <v:group style="position:absolute;left:1288;top:8347;width:403;height:1733" coordorigin="1288,8347" coordsize="403,1733">
              <v:shape style="position:absolute;left:1288;top:8347;width:403;height:1733" coordorigin="1288,8347" coordsize="403,1733" path="m1691,8347l1288,10079e" filled="false" stroked="true" strokeweight="1.5pt" strokecolor="#9b8758">
                <v:path arrowok="t"/>
              </v:shape>
            </v:group>
            <v:group style="position:absolute;left:1084;top:8303;width:474;height:1776" coordorigin="1084,8303" coordsize="474,1776">
              <v:shape style="position:absolute;left:1084;top:8303;width:474;height:1776" coordorigin="1084,8303" coordsize="474,1776" path="m1558,8303l1084,10079e" filled="false" stroked="true" strokeweight="1pt" strokecolor="#9b8758">
                <v:path arrowok="t"/>
              </v:shape>
            </v:group>
            <v:group style="position:absolute;left:586;top:8171;width:725;height:1908" coordorigin="586,8171" coordsize="725,1908">
              <v:shape style="position:absolute;left:586;top:8171;width:725;height:1908" coordorigin="586,8171" coordsize="725,1908" path="m1310,8171l586,10079e" filled="false" stroked="true" strokeweight="1.5pt" strokecolor="#9b8758">
                <v:path arrowok="t"/>
              </v:shape>
            </v:group>
            <v:group style="position:absolute;left:1427;top:8386;width:345;height:1693" coordorigin="1427,8386" coordsize="345,1693">
              <v:shape style="position:absolute;left:1427;top:8386;width:345;height:1693" coordorigin="1427,8386" coordsize="345,1693" path="m1772,8386l1427,10079e" filled="false" stroked="true" strokeweight="1pt" strokecolor="#9b8758">
                <v:path arrowok="t"/>
              </v:shape>
            </v:group>
            <v:group style="position:absolute;left:908;top:8257;width:569;height:1822" coordorigin="908,8257" coordsize="569,1822">
              <v:shape style="position:absolute;left:908;top:8257;width:569;height:1822" coordorigin="908,8257" coordsize="569,1822" path="m1476,8257l908,10079e" filled="false" stroked="true" strokeweight="1.5pt" strokecolor="#8b8f90">
                <v:path arrowok="t"/>
              </v:shape>
            </v:group>
            <v:group style="position:absolute;left:697;top:8203;width:669;height:1876" coordorigin="697,8203" coordsize="669,1876">
              <v:shape style="position:absolute;left:697;top:8203;width:669;height:1876" coordorigin="697,8203" coordsize="669,1876" path="m1365,8203l697,10079e" filled="false" stroked="true" strokeweight=".5pt" strokecolor="#8b8f90">
                <v:path arrowok="t"/>
              </v:shape>
            </v:group>
            <v:group style="position:absolute;left:359;top:8096;width:839;height:1950" coordorigin="359,8096" coordsize="839,1950">
              <v:shape style="position:absolute;left:359;top:8096;width:839;height:1950" coordorigin="359,8096" coordsize="839,1950" path="m1198,8096l359,10046e" filled="false" stroked="true" strokeweight=".5pt" strokecolor="#9b8758">
                <v:path arrowok="t"/>
              </v:shape>
            </v:group>
            <v:group style="position:absolute;left:0;top:7644;width:738;height:1060" coordorigin="0,7644" coordsize="738,1060">
              <v:shape style="position:absolute;left:0;top:7644;width:738;height:1060" coordorigin="0,7644" coordsize="738,1060" path="m738,7644l0,8703e" filled="false" stroked="true" strokeweight=".25pt" strokecolor="#8b8f90">
                <v:path arrowok="t"/>
              </v:shape>
            </v:group>
            <v:group style="position:absolute;left:0;top:8312;width:405;height:610" coordorigin="0,8312" coordsize="405,610">
              <v:shape style="position:absolute;left:0;top:8312;width:405;height:610" coordorigin="0,8312" coordsize="405,610" path="m404,8312l0,8922e" filled="false" stroked="true" strokeweight="1pt" strokecolor="#9b8758">
                <v:path arrowok="t"/>
              </v:shape>
            </v:group>
            <v:group style="position:absolute;left:596;top:7722;width:200;height:301" coordorigin="596,7722" coordsize="200,301">
              <v:shape style="position:absolute;left:596;top:7722;width:200;height:301" coordorigin="596,7722" coordsize="200,301" path="m795,7722l596,8022e" filled="false" stroked="true" strokeweight="1pt" strokecolor="#9b8758">
                <v:path arrowok="t"/>
              </v:shape>
            </v:group>
            <v:group style="position:absolute;left:785;top:8218;width:629;height:1861" coordorigin="785,8218" coordsize="629,1861">
              <v:shape style="position:absolute;left:785;top:8218;width:629;height:1861" coordorigin="785,8218" coordsize="629,1861" path="m1413,8218l785,10079e" filled="false" stroked="true" strokeweight="1pt" strokecolor="#9b8758">
                <v:path arrowok="t"/>
              </v:shape>
            </v:group>
            <v:group style="position:absolute;left:0;top:7625;width:725;height:1005" coordorigin="0,7625" coordsize="725,1005">
              <v:shape style="position:absolute;left:0;top:7625;width:725;height:1005" coordorigin="0,7625" coordsize="725,1005" path="m724,7625l0,8629e" filled="false" stroked="true" strokeweight="1.5pt" strokecolor="#8b8f90">
                <v:path arrowok="t"/>
              </v:shape>
            </v:group>
            <v:group style="position:absolute;left:263;top:8058;width:880;height:1929" coordorigin="263,8058" coordsize="880,1929">
              <v:shape style="position:absolute;left:263;top:8058;width:880;height:1929" coordorigin="263,8058" coordsize="880,1929" path="m1142,8058l263,9986e" filled="false" stroked="true" strokeweight="1.5pt" strokecolor="#9b8758">
                <v:path arrowok="t"/>
              </v:shape>
            </v:group>
            <v:group style="position:absolute;left:0;top:7887;width:944;height:1677" coordorigin="0,7887" coordsize="944,1677">
              <v:shape style="position:absolute;left:0;top:7887;width:944;height:1677" coordorigin="0,7887" coordsize="944,1677" path="m944,7887l0,9563e" filled="false" stroked="true" strokeweight=".5pt" strokecolor="#9b8758">
                <v:path arrowok="t"/>
              </v:shape>
            </v:group>
            <v:group style="position:absolute;left:0;top:7435;width:600;height:711" coordorigin="0,7435" coordsize="600,711">
              <v:shape style="position:absolute;left:0;top:7435;width:600;height:711" coordorigin="0,7435" coordsize="600,711" path="m599,7435l0,8145e" filled="false" stroked="true" strokeweight=".25pt" strokecolor="#8b8f90">
                <v:path arrowok="t"/>
              </v:shape>
            </v:group>
            <v:group style="position:absolute;left:0;top:6502;width:320;height:185" coordorigin="0,6502" coordsize="320,185">
              <v:shape style="position:absolute;left:0;top:6502;width:320;height:185" coordorigin="0,6502" coordsize="320,185" path="m320,6502l0,6686e" filled="false" stroked="true" strokeweight="1pt" strokecolor="#8b8f90">
                <v:path arrowok="t"/>
              </v:shape>
            </v:group>
            <v:group style="position:absolute;left:0;top:6379;width:47;height:22" coordorigin="0,6379" coordsize="47,22">
              <v:shape style="position:absolute;left:0;top:6379;width:47;height:22" coordorigin="0,6379" coordsize="47,22" path="m46,6379l0,6400e" filled="false" stroked="true" strokeweight="1.5pt" strokecolor="#9b8758">
                <v:path arrowok="t"/>
              </v:shape>
            </v:group>
            <v:group style="position:absolute;left:0;top:6379;width:310;height:168" coordorigin="0,6379" coordsize="310,168">
              <v:shape style="position:absolute;left:0;top:6379;width:310;height:168" coordorigin="0,6379" coordsize="310,168" path="m0,6547l310,6379e" filled="false" stroked="true" strokeweight=".5pt" strokecolor="#9b8758">
                <v:path arrowok="t"/>
              </v:shape>
            </v:group>
            <v:group style="position:absolute;left:0;top:7069;width:433;height:404" coordorigin="0,7069" coordsize="433,404">
              <v:shape style="position:absolute;left:0;top:7069;width:433;height:404" coordorigin="0,7069" coordsize="433,404" path="m0,7472l432,7069e" filled="false" stroked="true" strokeweight=".25pt" strokecolor="#9b8758">
                <v:path arrowok="t"/>
              </v:shape>
            </v:group>
            <v:group style="position:absolute;left:0;top:6379;width:253;height:127" coordorigin="0,6379" coordsize="253,127">
              <v:shape style="position:absolute;left:0;top:6379;width:253;height:127" coordorigin="0,6379" coordsize="253,127" path="m0,6505l253,6379e" filled="false" stroked="true" strokeweight=".25pt" strokecolor="#8b8f90">
                <v:path arrowok="t"/>
              </v:shape>
            </v:group>
            <v:group style="position:absolute;left:0;top:6659;width:336;height:221" coordorigin="0,6659" coordsize="336,221">
              <v:shape style="position:absolute;left:0;top:6659;width:336;height:221" coordorigin="0,6659" coordsize="336,221" path="m335,6659l0,6879e" filled="false" stroked="true" strokeweight=".25pt" strokecolor="#9b8758">
                <v:path arrowok="t"/>
              </v:shape>
            </v:group>
            <v:group style="position:absolute;left:0;top:8956;width:151;height:245" coordorigin="0,8956" coordsize="151,245">
              <v:shape style="position:absolute;left:0;top:8956;width:151;height:245" coordorigin="0,8956" coordsize="151,245" path="m151,8956l0,9201e" filled="false" stroked="true" strokeweight="1.0pt" strokecolor="#9b8758">
                <v:path arrowok="t"/>
              </v:shape>
            </v:group>
            <v:group style="position:absolute;left:264;top:7793;width:603;height:979" coordorigin="264,7793" coordsize="603,979">
              <v:shape style="position:absolute;left:264;top:7793;width:603;height:979" coordorigin="264,7793" coordsize="603,979" path="m866,7793l264,8772e" filled="false" stroked="true" strokeweight="1.0pt" strokecolor="#8b8f90">
                <v:path arrowok="t"/>
              </v:shape>
            </v:group>
            <v:group style="position:absolute;left:118;top:7986;width:949;height:1910" coordorigin="118,7986" coordsize="949,1910">
              <v:shape style="position:absolute;left:118;top:7986;width:949;height:1910" coordorigin="118,7986" coordsize="949,1910" path="m1066,7986l118,9895e" filled="false" stroked="true" strokeweight="1.5pt" strokecolor="#8b8f90">
                <v:path arrowok="t"/>
              </v:shape>
            </v:group>
            <v:group style="position:absolute;left:1582;top:8413;width:285;height:1666" coordorigin="1582,8413" coordsize="285,1666">
              <v:shape style="position:absolute;left:1582;top:8413;width:285;height:1666" coordorigin="1582,8413" coordsize="285,1666" path="m1867,8413l1582,10079e" filled="false" stroked="true" strokeweight=".25pt" strokecolor="#8b8f90">
                <v:path arrowok="t"/>
              </v:shape>
            </v:group>
            <v:group style="position:absolute;left:36;top:7387;width:536;height:611" coordorigin="36,7387" coordsize="536,611">
              <v:shape style="position:absolute;left:36;top:7387;width:536;height:611" coordorigin="36,7387" coordsize="536,611" path="m36,7997l571,7387e" filled="false" stroked="true" strokeweight="1pt" strokecolor="#9b8758">
                <v:path arrowok="t"/>
              </v:shape>
            </v:group>
            <v:group style="position:absolute;left:2248;top:9113;width:31;height:966" coordorigin="2248,9113" coordsize="31,966">
              <v:shape style="position:absolute;left:2248;top:9113;width:31;height:966" coordorigin="2248,9113" coordsize="31,966" path="m2278,9113l2248,10079e" filled="false" stroked="true" strokeweight="1.5pt" strokecolor="#8b8f90">
                <v:path arrowok="t"/>
              </v:shape>
            </v:group>
            <v:group style="position:absolute;left:2289;top:8479;width:10;height:291" coordorigin="2289,8479" coordsize="10,291">
              <v:shape style="position:absolute;left:2289;top:8479;width:10;height:291" coordorigin="2289,8479" coordsize="10,291" path="m2298,8479l2289,8769e" filled="false" stroked="true" strokeweight="1.5pt" strokecolor="#8b8f90">
                <v:path arrowok="t"/>
              </v:shape>
            </v:group>
            <v:group style="position:absolute;left:2169;top:8477;width:77;height:1603" coordorigin="2169,8477" coordsize="77,1603">
              <v:shape style="position:absolute;left:2169;top:8477;width:77;height:1603" coordorigin="2169,8477" coordsize="77,1603" path="m2246,8477l2169,10079e" filled="false" stroked="true" strokeweight=".25pt" strokecolor="#8b8f90">
                <v:path arrowok="t"/>
              </v:shape>
            </v:group>
            <v:group style="position:absolute;left:2032;top:8459;width:114;height:1620" coordorigin="2032,8459" coordsize="114,1620">
              <v:shape style="position:absolute;left:2032;top:8459;width:114;height:1620" coordorigin="2032,8459" coordsize="114,1620" path="m2146,8459l2032,10079e" filled="false" stroked="true" strokeweight=".25pt" strokecolor="#9b8758">
                <v:path arrowok="t"/>
              </v:shape>
            </v:group>
            <v:group style="position:absolute;left:2000;top:8459;width:115;height:1266" coordorigin="2000,8459" coordsize="115,1266">
              <v:shape style="position:absolute;left:2000;top:8459;width:115;height:1266" coordorigin="2000,8459" coordsize="115,1266" path="m2000,9724l2114,8459e" filled="false" stroked="true" strokeweight="1.5pt" strokecolor="#8b8f90">
                <v:path arrowok="t"/>
              </v:shape>
            </v:group>
            <v:group style="position:absolute;left:1854;top:8441;width:187;height:1638" coordorigin="1854,8441" coordsize="187,1638">
              <v:shape style="position:absolute;left:1854;top:8441;width:187;height:1638" coordorigin="1854,8441" coordsize="187,1638" path="m1854,10079l2041,8441e" filled="false" stroked="true" strokeweight="1pt" strokecolor="#9b8758">
                <v:path arrowok="t"/>
              </v:shape>
            </v:group>
            <v:group style="position:absolute;left:1443;top:8385;width:326;height:1694" coordorigin="1443,8385" coordsize="326,1694">
              <v:shape style="position:absolute;left:1443;top:8385;width:326;height:1694" coordorigin="1443,8385" coordsize="326,1694" path="m1769,8385l1443,10079e" filled="false" stroked="true" strokeweight=".25pt" strokecolor="#9b8758">
                <v:path arrowok="t"/>
              </v:shape>
            </v:group>
            <v:group style="position:absolute;left:1037;top:8299;width:508;height:1780" coordorigin="1037,8299" coordsize="508,1780">
              <v:shape style="position:absolute;left:1037;top:8299;width:508;height:1780" coordorigin="1037,8299" coordsize="508,1780" path="m1545,8299l1037,10079e" filled="false" stroked="true" strokeweight=".25pt" strokecolor="#9b8758">
                <v:path arrowok="t"/>
              </v:shape>
            </v:group>
            <v:group style="position:absolute;left:0;top:6942;width:393;height:321" coordorigin="0,6942" coordsize="393,321">
              <v:shape style="position:absolute;left:0;top:6942;width:393;height:321" coordorigin="0,6942" coordsize="393,321" path="m0,7263l392,6942e" filled="false" stroked="true" strokeweight="1.0pt" strokecolor="#9b8758">
                <v:path arrowok="t"/>
              </v:shape>
            </v:group>
            <v:group style="position:absolute;left:821;top:8230;width:612;height:1850" coordorigin="821,8230" coordsize="612,1850">
              <v:shape style="position:absolute;left:821;top:8230;width:612;height:1850" coordorigin="821,8230" coordsize="612,1850" path="m821,10079l1432,8230e" filled="false" stroked="true" strokeweight="1.0pt" strokecolor="#9b8758">
                <v:path arrowok="t"/>
              </v:shape>
            </v:group>
            <v:group style="position:absolute;left:189;top:8024;width:914;height:1916" coordorigin="189,8024" coordsize="914,1916">
              <v:shape style="position:absolute;left:189;top:8024;width:914;height:1916" coordorigin="189,8024" coordsize="914,1916" path="m189,9940l1102,8024e" filled="false" stroked="true" strokeweight="1.0pt" strokecolor="#9b8758">
                <v:path arrowok="t"/>
              </v:shape>
            </v:group>
            <v:group style="position:absolute;left:252;top:8378;width:563;height:1092" coordorigin="252,8378" coordsize="563,1092">
              <v:shape style="position:absolute;left:252;top:8378;width:563;height:1092" coordorigin="252,8378" coordsize="563,1092" path="m252,9470l815,8378e" filled="false" stroked="true" strokeweight="1pt" strokecolor="#8b8f90">
                <v:path arrowok="t"/>
              </v:shape>
            </v:group>
            <v:group style="position:absolute;left:55;top:9736;width:61;height:118" coordorigin="55,9736" coordsize="61,118">
              <v:shape style="position:absolute;left:55;top:9736;width:61;height:118" coordorigin="55,9736" coordsize="61,118" path="m55,9854l115,9736e" filled="false" stroked="true" strokeweight="1.0pt" strokecolor="#9b8758">
                <v:path arrowok="t"/>
              </v:shape>
            </v:group>
            <v:group style="position:absolute;left:206;top:7544;width:464;height:601" coordorigin="206,7544" coordsize="464,601">
              <v:shape style="position:absolute;left:206;top:7544;width:464;height:601" coordorigin="206,7544" coordsize="464,601" path="m206,8145l669,7544e" filled="false" stroked="true" strokeweight="1pt" strokecolor="#9b8758">
                <v:path arrowok="t"/>
              </v:shape>
            </v:group>
            <v:group style="position:absolute;left:0;top:8398;width:11;height:14" coordorigin="0,8398" coordsize="11,14">
              <v:shape style="position:absolute;left:0;top:8398;width:11;height:14" coordorigin="0,8398" coordsize="11,14" path="m0,8411l10,8398e" filled="false" stroked="true" strokeweight="1pt" strokecolor="#9b8758">
                <v:path arrowok="t"/>
              </v:shape>
            </v:group>
            <v:group style="position:absolute;left:1627;top:8419;width:269;height:1660" coordorigin="1627,8419" coordsize="269,1660">
              <v:shape style="position:absolute;left:1627;top:8419;width:269;height:1660" coordorigin="1627,8419" coordsize="269,1660" path="m1627,10079l1895,8419e" filled="false" stroked="true" strokeweight="1.5pt" strokecolor="#9b8758">
                <v:path arrowok="t"/>
              </v:shape>
            </v:group>
            <w10:wrap type="none"/>
          </v:group>
        </w:pict>
      </w:r>
      <w:r>
        <w:rPr>
          <w:rFonts w:ascii="宋体" w:hAnsi="宋体" w:cs="宋体" w:eastAsia="宋体" w:hint="default"/>
          <w:color w:val="9C8758"/>
          <w:spacing w:val="-320"/>
          <w:w w:val="115"/>
          <w:sz w:val="160"/>
          <w:szCs w:val="160"/>
        </w:rPr>
        <w:t>新基因</w:t>
      </w:r>
      <w:r>
        <w:rPr>
          <w:rFonts w:ascii="宋体" w:hAnsi="宋体" w:cs="宋体" w:eastAsia="宋体" w:hint="default"/>
          <w:color w:val="9C8758"/>
          <w:spacing w:val="-872"/>
          <w:w w:val="115"/>
          <w:sz w:val="160"/>
          <w:szCs w:val="160"/>
        </w:rPr>
        <w:t> </w:t>
      </w:r>
      <w:r>
        <w:rPr>
          <w:rFonts w:ascii="宋体" w:hAnsi="宋体" w:cs="宋体" w:eastAsia="宋体" w:hint="default"/>
          <w:color w:val="9C8758"/>
          <w:spacing w:val="-320"/>
          <w:w w:val="115"/>
          <w:sz w:val="160"/>
          <w:szCs w:val="160"/>
        </w:rPr>
        <w:t>新运营</w:t>
      </w:r>
      <w:r>
        <w:rPr>
          <w:rFonts w:ascii="宋体" w:hAnsi="宋体" w:cs="宋体" w:eastAsia="宋体" w:hint="default"/>
          <w:color w:val="9C8758"/>
          <w:spacing w:val="-872"/>
          <w:w w:val="115"/>
          <w:sz w:val="160"/>
          <w:szCs w:val="160"/>
        </w:rPr>
        <w:t> </w:t>
      </w:r>
      <w:r>
        <w:rPr>
          <w:rFonts w:ascii="宋体" w:hAnsi="宋体" w:cs="宋体" w:eastAsia="宋体" w:hint="default"/>
          <w:color w:val="9C8758"/>
          <w:spacing w:val="-320"/>
          <w:w w:val="115"/>
          <w:sz w:val="160"/>
          <w:szCs w:val="160"/>
        </w:rPr>
        <w:t>新动</w:t>
      </w:r>
      <w:r>
        <w:rPr>
          <w:rFonts w:ascii="宋体" w:hAnsi="宋体" w:cs="宋体" w:eastAsia="宋体" w:hint="default"/>
          <w:strike/>
          <w:color w:val="9C8758"/>
          <w:spacing w:val="-320"/>
          <w:w w:val="115"/>
          <w:sz w:val="160"/>
          <w:szCs w:val="160"/>
        </w:rPr>
        <w:t>能</w:t>
      </w:r>
      <w:r>
        <w:rPr>
          <w:rFonts w:ascii="宋体" w:hAnsi="宋体" w:cs="宋体" w:eastAsia="宋体" w:hint="default"/>
          <w:strike/>
          <w:color w:val="9C8758"/>
          <w:spacing w:val="-872"/>
          <w:w w:val="115"/>
          <w:sz w:val="160"/>
          <w:szCs w:val="160"/>
        </w:rPr>
        <w:t> </w:t>
      </w:r>
      <w:r>
        <w:rPr>
          <w:rFonts w:ascii="宋体" w:hAnsi="宋体" w:cs="宋体" w:eastAsia="宋体" w:hint="default"/>
          <w:strike w:val="0"/>
          <w:color w:val="9C8758"/>
          <w:spacing w:val="-872"/>
          <w:w w:val="115"/>
          <w:sz w:val="160"/>
          <w:szCs w:val="160"/>
        </w:rPr>
      </w:r>
      <w:r>
        <w:rPr>
          <w:rFonts w:ascii="宋体" w:hAnsi="宋体" w:cs="宋体" w:eastAsia="宋体" w:hint="default"/>
          <w:strike w:val="0"/>
          <w:color w:val="9C8758"/>
          <w:spacing w:val="-872"/>
          <w:w w:val="115"/>
          <w:sz w:val="160"/>
          <w:szCs w:val="160"/>
        </w:rPr>
      </w:r>
      <w:r>
        <w:rPr>
          <w:rFonts w:ascii="宋体" w:hAnsi="宋体" w:cs="宋体" w:eastAsia="宋体" w:hint="default"/>
          <w:strike w:val="0"/>
          <w:color w:val="9C8758"/>
          <w:spacing w:val="-320"/>
          <w:w w:val="115"/>
          <w:sz w:val="160"/>
          <w:szCs w:val="160"/>
        </w:rPr>
        <w:t>新生态</w:t>
      </w:r>
      <w:r>
        <w:rPr>
          <w:rFonts w:ascii="宋体" w:hAnsi="宋体" w:cs="宋体" w:eastAsia="宋体" w:hint="default"/>
          <w:strike w:val="0"/>
          <w:sz w:val="160"/>
          <w:szCs w:val="160"/>
        </w:rPr>
      </w:r>
    </w:p>
    <w:p>
      <w:pPr>
        <w:spacing w:line="240" w:lineRule="auto" w:before="4"/>
        <w:rPr>
          <w:rFonts w:ascii="宋体" w:hAnsi="宋体" w:cs="宋体" w:eastAsia="宋体" w:hint="default"/>
          <w:sz w:val="28"/>
          <w:szCs w:val="28"/>
        </w:rPr>
      </w:pPr>
    </w:p>
    <w:p>
      <w:pPr>
        <w:spacing w:line="853" w:lineRule="exact"/>
        <w:ind w:left="9868" w:right="0" w:firstLine="0"/>
        <w:rPr>
          <w:rFonts w:ascii="宋体" w:hAnsi="宋体" w:cs="宋体" w:eastAsia="宋体" w:hint="default"/>
          <w:sz w:val="20"/>
          <w:szCs w:val="20"/>
        </w:rPr>
      </w:pPr>
      <w:r>
        <w:rPr>
          <w:rFonts w:ascii="宋体" w:hAnsi="宋体" w:cs="宋体" w:eastAsia="宋体" w:hint="default"/>
          <w:position w:val="-16"/>
          <w:sz w:val="20"/>
          <w:szCs w:val="20"/>
        </w:rPr>
        <w:pict>
          <v:group style="width:58.8pt;height:42.7pt;mso-position-horizontal-relative:char;mso-position-vertical-relative:line" coordorigin="0,0" coordsize="1176,854">
            <v:group style="position:absolute;left:0;top:225;width:629;height:629" coordorigin="0,225" coordsize="629,629">
              <v:shape style="position:absolute;left:0;top:225;width:629;height:629" coordorigin="0,225" coordsize="629,629" path="m280,225l209,241,144,273,89,318,46,372,16,435,0,502,0,573,16,644,48,710,93,765,148,808,210,837,278,853,348,853,419,837,485,805,540,761,583,706,613,643,628,576,628,505,612,434,580,368,536,314,481,271,419,241,351,225,280,225xe" filled="true" fillcolor="#8c8f90" stroked="false">
                <v:path arrowok="t"/>
                <v:fill type="solid"/>
              </v:shape>
            </v:group>
            <v:group style="position:absolute;left:400;top:0;width:776;height:776" coordorigin="400,0" coordsize="776,776">
              <v:shape style="position:absolute;left:400;top:0;width:776;height:776" coordorigin="400,0" coordsize="776,776" path="m811,0l735,3,659,22,587,55,526,101,476,156,437,220,412,290,400,364,403,441,421,517,455,588,501,650,556,700,620,738,690,764,764,776,841,773,917,754,988,721,1050,675,1100,619,1138,556,1164,486,1176,411,1173,335,1154,259,1121,187,1075,126,1019,76,955,37,885,12,811,0xe" filled="true" fillcolor="#000000" stroked="false">
                <v:path arrowok="t"/>
                <v:fill type="solid"/>
              </v:shape>
            </v:group>
          </v:group>
        </w:pict>
      </w:r>
      <w:r>
        <w:rPr>
          <w:rFonts w:ascii="宋体" w:hAnsi="宋体" w:cs="宋体" w:eastAsia="宋体" w:hint="default"/>
          <w:position w:val="-16"/>
          <w:sz w:val="20"/>
          <w:szCs w:val="20"/>
        </w:rPr>
      </w:r>
    </w:p>
    <w:p>
      <w:pPr>
        <w:spacing w:after="0" w:line="853" w:lineRule="exact"/>
        <w:rPr>
          <w:rFonts w:ascii="宋体" w:hAnsi="宋体" w:cs="宋体" w:eastAsia="宋体" w:hint="default"/>
          <w:sz w:val="20"/>
          <w:szCs w:val="20"/>
        </w:rPr>
        <w:sectPr>
          <w:pgSz w:w="11910" w:h="16160"/>
          <w:pgMar w:top="1520" w:bottom="0" w:left="0" w:right="760"/>
        </w:sectPr>
      </w:pPr>
    </w:p>
    <w:p>
      <w:pPr>
        <w:spacing w:line="240" w:lineRule="auto" w:before="1"/>
        <w:rPr>
          <w:rFonts w:ascii="宋体" w:hAnsi="宋体" w:cs="宋体" w:eastAsia="宋体" w:hint="default"/>
          <w:sz w:val="12"/>
          <w:szCs w:val="12"/>
        </w:rPr>
      </w:pPr>
    </w:p>
    <w:p>
      <w:pPr>
        <w:tabs>
          <w:tab w:pos="6329" w:val="left" w:leader="none"/>
        </w:tabs>
        <w:spacing w:line="488" w:lineRule="exact" w:before="0"/>
        <w:ind w:left="110" w:right="0" w:firstLine="0"/>
        <w:jc w:val="left"/>
        <w:rPr>
          <w:rFonts w:ascii="宋体" w:hAnsi="宋体" w:cs="宋体" w:eastAsia="宋体" w:hint="default"/>
          <w:sz w:val="50"/>
          <w:szCs w:val="50"/>
        </w:rPr>
      </w:pPr>
      <w:r>
        <w:rPr>
          <w:rFonts w:ascii="宋体" w:hAnsi="宋体" w:cs="宋体" w:eastAsia="宋体" w:hint="default"/>
          <w:sz w:val="24"/>
          <w:szCs w:val="24"/>
        </w:rPr>
        <w:t>重要提示</w:t>
        <w:tab/>
      </w:r>
      <w:r>
        <w:rPr>
          <w:rFonts w:ascii="宋体" w:hAnsi="宋体" w:cs="宋体" w:eastAsia="宋体" w:hint="default"/>
          <w:position w:val="-4"/>
          <w:sz w:val="50"/>
          <w:szCs w:val="50"/>
        </w:rPr>
        <w:t>目录</w:t>
      </w:r>
      <w:r>
        <w:rPr>
          <w:rFonts w:ascii="宋体" w:hAnsi="宋体" w:cs="宋体" w:eastAsia="宋体" w:hint="default"/>
          <w:sz w:val="50"/>
          <w:szCs w:val="50"/>
        </w:rPr>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160"/>
          <w:pgMar w:top="1520" w:bottom="280" w:left="800" w:right="1680"/>
        </w:sectPr>
      </w:pPr>
    </w:p>
    <w:p>
      <w:pPr>
        <w:spacing w:line="240" w:lineRule="auto" w:before="8"/>
        <w:rPr>
          <w:rFonts w:ascii="宋体" w:hAnsi="宋体" w:cs="宋体" w:eastAsia="宋体" w:hint="default"/>
          <w:sz w:val="14"/>
          <w:szCs w:val="14"/>
        </w:rPr>
      </w:pPr>
      <w:r>
        <w:rPr/>
        <w:pict>
          <v:group style="position:absolute;margin-left:331.403503pt;margin-top:82.204727pt;width:.1pt;height:669pt;mso-position-horizontal-relative:page;mso-position-vertical-relative:page;z-index:-968704" coordorigin="6628,1644" coordsize="2,13380">
            <v:shape style="position:absolute;left:6628;top:1644;width:2;height:13380" coordorigin="6628,1644" coordsize="0,13380" path="m6628,1644l6628,15024e" filled="false" stroked="true" strokeweight=".5pt" strokecolor="#000000">
              <v:path arrowok="t"/>
            </v:shape>
            <w10:wrap type="none"/>
          </v:group>
        </w:pict>
      </w:r>
    </w:p>
    <w:p>
      <w:pPr>
        <w:pStyle w:val="BodyText"/>
        <w:spacing w:line="264" w:lineRule="auto"/>
        <w:ind w:left="503" w:right="83" w:hanging="341"/>
        <w:jc w:val="both"/>
        <w:rPr>
          <w:rFonts w:ascii="宋体" w:hAnsi="宋体" w:cs="宋体" w:eastAsia="宋体" w:hint="default"/>
        </w:rPr>
      </w:pPr>
      <w:r>
        <w:rPr>
          <w:rFonts w:ascii="宋体" w:hAnsi="宋体" w:cs="宋体" w:eastAsia="宋体" w:hint="default"/>
        </w:rPr>
        <w:t>一、本公司董事会、监事会及董事、监事、高级管理人员保证年</w:t>
      </w:r>
      <w:r>
        <w:rPr>
          <w:rFonts w:ascii="宋体" w:hAnsi="宋体" w:cs="宋体" w:eastAsia="宋体" w:hint="default"/>
          <w:spacing w:val="-43"/>
        </w:rPr>
        <w:t> </w:t>
      </w:r>
      <w:r>
        <w:rPr>
          <w:rFonts w:ascii="宋体" w:hAnsi="宋体" w:cs="宋体" w:eastAsia="宋体" w:hint="default"/>
          <w:spacing w:val="-43"/>
        </w:rPr>
      </w:r>
      <w:r>
        <w:rPr>
          <w:rFonts w:ascii="宋体" w:hAnsi="宋体" w:cs="宋体" w:eastAsia="宋体" w:hint="default"/>
          <w:spacing w:val="2"/>
        </w:rPr>
        <w:t>度报告内容的真实、准确、完整，不存在虚假记载、误导性</w:t>
      </w:r>
      <w:r>
        <w:rPr>
          <w:rFonts w:ascii="宋体" w:hAnsi="宋体" w:cs="宋体" w:eastAsia="宋体" w:hint="default"/>
          <w:spacing w:val="3"/>
        </w:rPr>
        <w:t> </w:t>
      </w:r>
      <w:r>
        <w:rPr>
          <w:rFonts w:ascii="宋体" w:hAnsi="宋体" w:cs="宋体" w:eastAsia="宋体" w:hint="default"/>
        </w:rPr>
        <w:t>陈述或重大遗漏，并承担个别和连带的法律责任。</w:t>
      </w:r>
    </w:p>
    <w:p>
      <w:pPr>
        <w:pStyle w:val="BodyText"/>
        <w:spacing w:line="374" w:lineRule="exact" w:before="31"/>
        <w:ind w:left="163" w:right="-11"/>
        <w:jc w:val="left"/>
        <w:rPr>
          <w:rFonts w:ascii="宋体" w:hAnsi="宋体" w:cs="宋体" w:eastAsia="宋体" w:hint="default"/>
        </w:rPr>
      </w:pPr>
      <w:r>
        <w:rPr>
          <w:rFonts w:ascii="宋体" w:hAnsi="宋体" w:cs="宋体" w:eastAsia="宋体" w:hint="default"/>
        </w:rPr>
        <w:t>二、公司全体董事出席董事会会议。 三、毕马威华振会计师事务所（特殊普通合伙）为本公司出具了</w:t>
      </w:r>
    </w:p>
    <w:p>
      <w:pPr>
        <w:pStyle w:val="BodyText"/>
        <w:spacing w:line="210" w:lineRule="exact"/>
        <w:ind w:left="503" w:right="-11"/>
        <w:jc w:val="left"/>
        <w:rPr>
          <w:rFonts w:ascii="宋体" w:hAnsi="宋体" w:cs="宋体" w:eastAsia="宋体" w:hint="default"/>
        </w:rPr>
      </w:pPr>
      <w:r>
        <w:rPr>
          <w:rFonts w:ascii="宋体" w:hAnsi="宋体" w:cs="宋体" w:eastAsia="宋体" w:hint="default"/>
        </w:rPr>
        <w:t>标准无保留意见的审计报告。</w:t>
      </w:r>
    </w:p>
    <w:p>
      <w:pPr>
        <w:pStyle w:val="BodyText"/>
        <w:spacing w:line="264" w:lineRule="auto" w:before="137"/>
        <w:ind w:left="503" w:right="84" w:hanging="341"/>
        <w:jc w:val="both"/>
        <w:rPr>
          <w:rFonts w:ascii="宋体" w:hAnsi="宋体" w:cs="宋体" w:eastAsia="宋体" w:hint="default"/>
        </w:rPr>
      </w:pPr>
      <w:r>
        <w:rPr>
          <w:rFonts w:ascii="宋体" w:hAnsi="宋体" w:cs="宋体" w:eastAsia="宋体" w:hint="default"/>
        </w:rPr>
        <w:t>四、公司负责人王晓初、主管会计工作负责人姜爱华及会计机构</w:t>
      </w:r>
      <w:r>
        <w:rPr>
          <w:rFonts w:ascii="宋体" w:hAnsi="宋体" w:cs="宋体" w:eastAsia="宋体" w:hint="default"/>
          <w:spacing w:val="-39"/>
        </w:rPr>
        <w:t> </w:t>
      </w:r>
      <w:r>
        <w:rPr>
          <w:rFonts w:ascii="宋体" w:hAnsi="宋体" w:cs="宋体" w:eastAsia="宋体" w:hint="default"/>
          <w:spacing w:val="-39"/>
        </w:rPr>
      </w:r>
      <w:r>
        <w:rPr>
          <w:rFonts w:ascii="宋体" w:hAnsi="宋体" w:cs="宋体" w:eastAsia="宋体" w:hint="default"/>
          <w:spacing w:val="2"/>
        </w:rPr>
        <w:t>负责人（会计主管人员）王芳声明：保证年度报告中财务报</w:t>
      </w:r>
      <w:r>
        <w:rPr>
          <w:rFonts w:ascii="宋体" w:hAnsi="宋体" w:cs="宋体" w:eastAsia="宋体" w:hint="default"/>
          <w:spacing w:val="3"/>
        </w:rPr>
        <w:t> </w:t>
      </w:r>
      <w:r>
        <w:rPr>
          <w:rFonts w:ascii="宋体" w:hAnsi="宋体" w:cs="宋体" w:eastAsia="宋体" w:hint="default"/>
        </w:rPr>
        <w:t>告的真实、准确、完整。</w:t>
      </w:r>
    </w:p>
    <w:p>
      <w:pPr>
        <w:pStyle w:val="BodyText"/>
        <w:spacing w:line="240" w:lineRule="auto" w:before="119"/>
        <w:ind w:left="163" w:right="-11"/>
        <w:jc w:val="left"/>
        <w:rPr>
          <w:rFonts w:ascii="宋体" w:hAnsi="宋体" w:cs="宋体" w:eastAsia="宋体" w:hint="default"/>
        </w:rPr>
      </w:pPr>
      <w:r>
        <w:rPr>
          <w:rFonts w:ascii="宋体" w:hAnsi="宋体" w:cs="宋体" w:eastAsia="宋体" w:hint="default"/>
        </w:rPr>
        <w:t>五、经董事会审议的报告期利润分配预案或公积金转增股本预案</w:t>
      </w:r>
    </w:p>
    <w:p>
      <w:pPr>
        <w:pStyle w:val="BodyText"/>
        <w:spacing w:line="264" w:lineRule="auto" w:before="137"/>
        <w:ind w:left="503" w:right="-11"/>
        <w:jc w:val="left"/>
        <w:rPr>
          <w:rFonts w:ascii="宋体" w:hAnsi="宋体" w:cs="宋体" w:eastAsia="宋体" w:hint="default"/>
        </w:rPr>
      </w:pPr>
      <w:r>
        <w:rPr>
          <w:rFonts w:ascii="宋体" w:hAnsi="宋体" w:cs="宋体" w:eastAsia="宋体" w:hint="default"/>
          <w:spacing w:val="2"/>
        </w:rPr>
        <w:t>公司董事会审议的报告期利润分配预案如下：本公司通过中</w:t>
      </w:r>
      <w:r>
        <w:rPr>
          <w:rFonts w:ascii="宋体" w:hAnsi="宋体" w:cs="宋体" w:eastAsia="宋体" w:hint="default"/>
          <w:spacing w:val="-68"/>
        </w:rPr>
        <w:t> </w:t>
      </w:r>
      <w:r>
        <w:rPr>
          <w:rFonts w:ascii="宋体" w:hAnsi="宋体" w:cs="宋体" w:eastAsia="宋体" w:hint="default"/>
          <w:spacing w:val="-68"/>
        </w:rPr>
      </w:r>
      <w:r>
        <w:rPr>
          <w:rFonts w:ascii="宋体" w:hAnsi="宋体" w:cs="宋体" w:eastAsia="宋体" w:hint="default"/>
          <w:spacing w:val="6"/>
        </w:rPr>
        <w:t>国联通</w:t>
      </w:r>
      <w:r>
        <w:rPr>
          <w:rFonts w:ascii="宋体" w:hAnsi="宋体" w:cs="宋体" w:eastAsia="宋体" w:hint="default"/>
          <w:spacing w:val="-43"/>
        </w:rPr>
        <w:t> </w:t>
      </w:r>
      <w:r>
        <w:rPr>
          <w:rFonts w:ascii="宋体" w:hAnsi="宋体" w:cs="宋体" w:eastAsia="宋体" w:hint="default"/>
          <w:w w:val="84"/>
        </w:rPr>
        <w:t>(BVI)</w:t>
      </w:r>
      <w:r>
        <w:rPr>
          <w:rFonts w:ascii="宋体" w:hAnsi="宋体" w:cs="宋体" w:eastAsia="宋体" w:hint="default"/>
          <w:spacing w:val="-28"/>
          <w:w w:val="84"/>
        </w:rPr>
        <w:t> </w:t>
      </w:r>
      <w:r>
        <w:rPr>
          <w:rFonts w:ascii="宋体" w:hAnsi="宋体" w:cs="宋体" w:eastAsia="宋体" w:hint="default"/>
          <w:spacing w:val="6"/>
        </w:rPr>
        <w:t>有限公司（简称“联通</w:t>
      </w:r>
      <w:r>
        <w:rPr>
          <w:rFonts w:ascii="宋体" w:hAnsi="宋体" w:cs="宋体" w:eastAsia="宋体" w:hint="default"/>
          <w:spacing w:val="-43"/>
        </w:rPr>
        <w:t> </w:t>
      </w:r>
      <w:r>
        <w:rPr>
          <w:rFonts w:ascii="宋体" w:hAnsi="宋体" w:cs="宋体" w:eastAsia="宋体" w:hint="default"/>
          <w:w w:val="103"/>
        </w:rPr>
        <w:t>BVI</w:t>
      </w:r>
      <w:r>
        <w:rPr>
          <w:rFonts w:ascii="宋体" w:hAnsi="宋体" w:cs="宋体" w:eastAsia="宋体" w:hint="default"/>
          <w:spacing w:val="-46"/>
          <w:w w:val="103"/>
        </w:rPr>
        <w:t> </w:t>
      </w:r>
      <w:r>
        <w:rPr>
          <w:rFonts w:ascii="宋体" w:hAnsi="宋体" w:cs="宋体" w:eastAsia="宋体" w:hint="default"/>
          <w:spacing w:val="7"/>
        </w:rPr>
        <w:t>公司”）持有中国</w:t>
      </w:r>
      <w:r>
        <w:rPr>
          <w:rFonts w:ascii="宋体" w:hAnsi="宋体" w:cs="宋体" w:eastAsia="宋体" w:hint="default"/>
          <w:spacing w:val="9"/>
        </w:rPr>
        <w:t> </w:t>
      </w:r>
      <w:r>
        <w:rPr>
          <w:rFonts w:ascii="宋体" w:hAnsi="宋体" w:cs="宋体" w:eastAsia="宋体" w:hint="default"/>
          <w:spacing w:val="-7"/>
        </w:rPr>
        <w:t>联合网络通信（香港）股份有限公司（简称“联通红筹公司”）</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spacing w:val="2"/>
        </w:rPr>
        <w:t>的股权，按本公司章程规定，应将自联通红筹公司分红所得</w:t>
      </w:r>
      <w:r>
        <w:rPr>
          <w:rFonts w:ascii="宋体" w:hAnsi="宋体" w:cs="宋体" w:eastAsia="宋体" w:hint="default"/>
          <w:spacing w:val="-71"/>
        </w:rPr>
        <w:t> </w:t>
      </w:r>
      <w:r>
        <w:rPr>
          <w:rFonts w:ascii="宋体" w:hAnsi="宋体" w:cs="宋体" w:eastAsia="宋体" w:hint="default"/>
          <w:spacing w:val="-71"/>
        </w:rPr>
      </w:r>
      <w:r>
        <w:rPr>
          <w:rFonts w:ascii="宋体" w:hAnsi="宋体" w:cs="宋体" w:eastAsia="宋体" w:hint="default"/>
          <w:spacing w:val="2"/>
        </w:rPr>
        <w:t>现金在扣除公司日常现金开支、税费及法律法规规定应当提</w:t>
      </w:r>
      <w:r>
        <w:rPr>
          <w:rFonts w:ascii="宋体" w:hAnsi="宋体" w:cs="宋体" w:eastAsia="宋体" w:hint="default"/>
          <w:spacing w:val="-68"/>
        </w:rPr>
        <w:t> </w:t>
      </w:r>
      <w:r>
        <w:rPr>
          <w:rFonts w:ascii="宋体" w:hAnsi="宋体" w:cs="宋体" w:eastAsia="宋体" w:hint="default"/>
          <w:spacing w:val="-68"/>
        </w:rPr>
      </w:r>
      <w:r>
        <w:rPr>
          <w:rFonts w:ascii="宋体" w:hAnsi="宋体" w:cs="宋体" w:eastAsia="宋体" w:hint="default"/>
        </w:rPr>
        <w:t>取的各项公积金后，以现金方式全额分配给股东。</w:t>
      </w:r>
    </w:p>
    <w:p>
      <w:pPr>
        <w:pStyle w:val="BodyText"/>
        <w:spacing w:line="240" w:lineRule="auto" w:before="119"/>
        <w:ind w:left="503" w:right="-11"/>
        <w:jc w:val="left"/>
        <w:rPr>
          <w:rFonts w:ascii="宋体" w:hAnsi="宋体" w:cs="宋体" w:eastAsia="宋体" w:hint="default"/>
        </w:rPr>
      </w:pPr>
      <w:r>
        <w:rPr>
          <w:rFonts w:ascii="宋体" w:hAnsi="宋体" w:cs="宋体" w:eastAsia="宋体" w:hint="default"/>
          <w:spacing w:val="3"/>
          <w:w w:val="105"/>
        </w:rPr>
        <w:t>联通红筹公司董事会于</w:t>
      </w:r>
      <w:r>
        <w:rPr>
          <w:rFonts w:ascii="宋体" w:hAnsi="宋体" w:cs="宋体" w:eastAsia="宋体" w:hint="default"/>
          <w:spacing w:val="-62"/>
          <w:w w:val="105"/>
        </w:rPr>
        <w:t> </w:t>
      </w:r>
      <w:r>
        <w:rPr>
          <w:rFonts w:ascii="宋体" w:hAnsi="宋体" w:cs="宋体" w:eastAsia="宋体" w:hint="default"/>
          <w:w w:val="105"/>
        </w:rPr>
        <w:t>2019</w:t>
      </w:r>
      <w:r>
        <w:rPr>
          <w:rFonts w:ascii="宋体" w:hAnsi="宋体" w:cs="宋体" w:eastAsia="宋体" w:hint="default"/>
          <w:spacing w:val="-62"/>
          <w:w w:val="105"/>
        </w:rPr>
        <w:t> </w:t>
      </w:r>
      <w:r>
        <w:rPr>
          <w:rFonts w:ascii="宋体" w:hAnsi="宋体" w:cs="宋体" w:eastAsia="宋体" w:hint="default"/>
          <w:w w:val="105"/>
        </w:rPr>
        <w:t>年</w:t>
      </w:r>
      <w:r>
        <w:rPr>
          <w:rFonts w:ascii="宋体" w:hAnsi="宋体" w:cs="宋体" w:eastAsia="宋体" w:hint="default"/>
          <w:spacing w:val="-62"/>
          <w:w w:val="105"/>
        </w:rPr>
        <w:t> </w:t>
      </w:r>
      <w:r>
        <w:rPr>
          <w:rFonts w:ascii="宋体" w:hAnsi="宋体" w:cs="宋体" w:eastAsia="宋体" w:hint="default"/>
          <w:w w:val="105"/>
        </w:rPr>
        <w:t>3</w:t>
      </w:r>
      <w:r>
        <w:rPr>
          <w:rFonts w:ascii="宋体" w:hAnsi="宋体" w:cs="宋体" w:eastAsia="宋体" w:hint="default"/>
          <w:spacing w:val="-62"/>
          <w:w w:val="105"/>
        </w:rPr>
        <w:t> </w:t>
      </w:r>
      <w:r>
        <w:rPr>
          <w:rFonts w:ascii="宋体" w:hAnsi="宋体" w:cs="宋体" w:eastAsia="宋体" w:hint="default"/>
          <w:w w:val="105"/>
        </w:rPr>
        <w:t>月</w:t>
      </w:r>
      <w:r>
        <w:rPr>
          <w:rFonts w:ascii="宋体" w:hAnsi="宋体" w:cs="宋体" w:eastAsia="宋体" w:hint="default"/>
          <w:spacing w:val="-62"/>
          <w:w w:val="105"/>
        </w:rPr>
        <w:t> </w:t>
      </w:r>
      <w:r>
        <w:rPr>
          <w:rFonts w:ascii="宋体" w:hAnsi="宋体" w:cs="宋体" w:eastAsia="宋体" w:hint="default"/>
          <w:w w:val="105"/>
        </w:rPr>
        <w:t>13</w:t>
      </w:r>
      <w:r>
        <w:rPr>
          <w:rFonts w:ascii="宋体" w:hAnsi="宋体" w:cs="宋体" w:eastAsia="宋体" w:hint="default"/>
          <w:spacing w:val="-62"/>
          <w:w w:val="105"/>
        </w:rPr>
        <w:t> </w:t>
      </w:r>
      <w:r>
        <w:rPr>
          <w:rFonts w:ascii="宋体" w:hAnsi="宋体" w:cs="宋体" w:eastAsia="宋体" w:hint="default"/>
          <w:spacing w:val="3"/>
          <w:w w:val="105"/>
        </w:rPr>
        <w:t>日提议派发</w:t>
      </w:r>
      <w:r>
        <w:rPr>
          <w:rFonts w:ascii="宋体" w:hAnsi="宋体" w:cs="宋体" w:eastAsia="宋体" w:hint="default"/>
          <w:spacing w:val="-62"/>
          <w:w w:val="105"/>
        </w:rPr>
        <w:t> </w:t>
      </w:r>
      <w:r>
        <w:rPr>
          <w:rFonts w:ascii="宋体" w:hAnsi="宋体" w:cs="宋体" w:eastAsia="宋体" w:hint="default"/>
          <w:w w:val="105"/>
        </w:rPr>
        <w:t>2018</w:t>
      </w:r>
      <w:r>
        <w:rPr>
          <w:rFonts w:ascii="宋体" w:hAnsi="宋体" w:cs="宋体" w:eastAsia="宋体" w:hint="default"/>
          <w:spacing w:val="-62"/>
          <w:w w:val="105"/>
        </w:rPr>
        <w:t> </w:t>
      </w:r>
      <w:r>
        <w:rPr>
          <w:rFonts w:ascii="宋体" w:hAnsi="宋体" w:cs="宋体" w:eastAsia="宋体" w:hint="default"/>
          <w:w w:val="105"/>
        </w:rPr>
        <w:t>年</w:t>
      </w:r>
    </w:p>
    <w:p>
      <w:pPr>
        <w:pStyle w:val="BodyText"/>
        <w:spacing w:line="240" w:lineRule="auto" w:before="24"/>
        <w:ind w:left="503" w:right="-11"/>
        <w:jc w:val="left"/>
        <w:rPr>
          <w:rFonts w:ascii="宋体" w:hAnsi="宋体" w:cs="宋体" w:eastAsia="宋体" w:hint="default"/>
        </w:rPr>
      </w:pPr>
      <w:r>
        <w:rPr>
          <w:rFonts w:ascii="宋体" w:hAnsi="宋体" w:cs="宋体" w:eastAsia="宋体" w:hint="default"/>
          <w:spacing w:val="4"/>
        </w:rPr>
        <w:t>度股</w:t>
      </w:r>
      <w:r>
        <w:rPr>
          <w:rFonts w:ascii="宋体" w:hAnsi="宋体" w:cs="宋体" w:eastAsia="宋体" w:hint="default"/>
        </w:rPr>
        <w:t>利</w:t>
      </w:r>
      <w:r>
        <w:rPr>
          <w:rFonts w:ascii="宋体" w:hAnsi="宋体" w:cs="宋体" w:eastAsia="宋体" w:hint="default"/>
          <w:spacing w:val="4"/>
        </w:rPr>
        <w:t>，每股派发股</w:t>
      </w:r>
      <w:r>
        <w:rPr>
          <w:rFonts w:ascii="宋体" w:hAnsi="宋体" w:cs="宋体" w:eastAsia="宋体" w:hint="default"/>
        </w:rPr>
        <w:t>利</w:t>
      </w:r>
      <w:r>
        <w:rPr>
          <w:rFonts w:ascii="宋体" w:hAnsi="宋体" w:cs="宋体" w:eastAsia="宋体" w:hint="default"/>
          <w:spacing w:val="-44"/>
        </w:rPr>
        <w:t> </w:t>
      </w:r>
      <w:r>
        <w:rPr>
          <w:rFonts w:ascii="宋体" w:hAnsi="宋体" w:cs="宋体" w:eastAsia="宋体" w:hint="default"/>
          <w:spacing w:val="-1"/>
          <w:w w:val="111"/>
        </w:rPr>
        <w:t>0</w:t>
      </w:r>
      <w:r>
        <w:rPr>
          <w:rFonts w:ascii="宋体" w:hAnsi="宋体" w:cs="宋体" w:eastAsia="宋体" w:hint="default"/>
          <w:w w:val="55"/>
        </w:rPr>
        <w:t>.</w:t>
      </w:r>
      <w:r>
        <w:rPr>
          <w:rFonts w:ascii="宋体" w:hAnsi="宋体" w:cs="宋体" w:eastAsia="宋体" w:hint="default"/>
          <w:spacing w:val="-1"/>
          <w:w w:val="111"/>
        </w:rPr>
        <w:t>13</w:t>
      </w:r>
      <w:r>
        <w:rPr>
          <w:rFonts w:ascii="宋体" w:hAnsi="宋体" w:cs="宋体" w:eastAsia="宋体" w:hint="default"/>
          <w:w w:val="111"/>
        </w:rPr>
        <w:t>4</w:t>
      </w:r>
      <w:r>
        <w:rPr>
          <w:rFonts w:ascii="宋体" w:hAnsi="宋体" w:cs="宋体" w:eastAsia="宋体" w:hint="default"/>
          <w:spacing w:val="-44"/>
        </w:rPr>
        <w:t> </w:t>
      </w:r>
      <w:r>
        <w:rPr>
          <w:rFonts w:ascii="宋体" w:hAnsi="宋体" w:cs="宋体" w:eastAsia="宋体" w:hint="default"/>
        </w:rPr>
        <w:t>元</w:t>
      </w:r>
      <w:r>
        <w:rPr>
          <w:rFonts w:ascii="宋体" w:hAnsi="宋体" w:cs="宋体" w:eastAsia="宋体" w:hint="default"/>
          <w:spacing w:val="4"/>
        </w:rPr>
        <w:t>。如获联通红筹公司周年股</w:t>
      </w:r>
      <w:r>
        <w:rPr>
          <w:rFonts w:ascii="宋体" w:hAnsi="宋体" w:cs="宋体" w:eastAsia="宋体" w:hint="default"/>
        </w:rPr>
      </w:r>
    </w:p>
    <w:p>
      <w:pPr>
        <w:pStyle w:val="BodyText"/>
        <w:spacing w:line="240" w:lineRule="auto" w:before="24"/>
        <w:ind w:left="503" w:right="-11"/>
        <w:jc w:val="left"/>
        <w:rPr>
          <w:rFonts w:ascii="宋体" w:hAnsi="宋体" w:cs="宋体" w:eastAsia="宋体" w:hint="default"/>
        </w:rPr>
      </w:pPr>
      <w:r>
        <w:rPr>
          <w:rFonts w:ascii="宋体" w:hAnsi="宋体" w:cs="宋体" w:eastAsia="宋体" w:hint="default"/>
          <w:spacing w:val="5"/>
        </w:rPr>
        <w:t>东大会批准，本公司预计将于</w:t>
      </w:r>
      <w:r>
        <w:rPr>
          <w:rFonts w:ascii="宋体" w:hAnsi="宋体" w:cs="宋体" w:eastAsia="宋体" w:hint="default"/>
          <w:spacing w:val="-33"/>
        </w:rPr>
        <w:t> </w:t>
      </w:r>
      <w:r>
        <w:rPr>
          <w:rFonts w:ascii="宋体" w:hAnsi="宋体" w:cs="宋体" w:eastAsia="宋体" w:hint="default"/>
        </w:rPr>
        <w:t>2019</w:t>
      </w:r>
      <w:r>
        <w:rPr>
          <w:rFonts w:ascii="宋体" w:hAnsi="宋体" w:cs="宋体" w:eastAsia="宋体" w:hint="default"/>
          <w:spacing w:val="-33"/>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6</w:t>
      </w:r>
      <w:r>
        <w:rPr>
          <w:rFonts w:ascii="宋体" w:hAnsi="宋体" w:cs="宋体" w:eastAsia="宋体" w:hint="default"/>
          <w:spacing w:val="-33"/>
        </w:rPr>
        <w:t> </w:t>
      </w:r>
      <w:r>
        <w:rPr>
          <w:rFonts w:ascii="宋体" w:hAnsi="宋体" w:cs="宋体" w:eastAsia="宋体" w:hint="default"/>
          <w:spacing w:val="6"/>
        </w:rPr>
        <w:t>月收到按持股比例</w:t>
      </w:r>
      <w:r>
        <w:rPr>
          <w:rFonts w:ascii="宋体" w:hAnsi="宋体" w:cs="宋体" w:eastAsia="宋体" w:hint="default"/>
        </w:rPr>
      </w:r>
    </w:p>
    <w:p>
      <w:pPr>
        <w:pStyle w:val="BodyText"/>
        <w:spacing w:line="240" w:lineRule="auto" w:before="24"/>
        <w:ind w:left="503" w:right="-11"/>
        <w:jc w:val="left"/>
        <w:rPr>
          <w:rFonts w:ascii="宋体" w:hAnsi="宋体" w:cs="宋体" w:eastAsia="宋体" w:hint="default"/>
        </w:rPr>
      </w:pPr>
      <w:r>
        <w:rPr>
          <w:rFonts w:ascii="宋体" w:hAnsi="宋体" w:cs="宋体" w:eastAsia="宋体" w:hint="default"/>
          <w:spacing w:val="4"/>
        </w:rPr>
        <w:t>计算的股利</w:t>
      </w:r>
      <w:r>
        <w:rPr>
          <w:rFonts w:ascii="宋体" w:hAnsi="宋体" w:cs="宋体" w:eastAsia="宋体" w:hint="default"/>
        </w:rPr>
        <w:t>约</w:t>
      </w:r>
      <w:r>
        <w:rPr>
          <w:rFonts w:ascii="宋体" w:hAnsi="宋体" w:cs="宋体" w:eastAsia="宋体" w:hint="default"/>
          <w:spacing w:val="-44"/>
        </w:rPr>
        <w:t> </w:t>
      </w:r>
      <w:r>
        <w:rPr>
          <w:rFonts w:ascii="宋体" w:hAnsi="宋体" w:cs="宋体" w:eastAsia="宋体" w:hint="default"/>
          <w:spacing w:val="-1"/>
          <w:w w:val="111"/>
        </w:rPr>
        <w:t>18</w:t>
      </w:r>
      <w:r>
        <w:rPr>
          <w:rFonts w:ascii="宋体" w:hAnsi="宋体" w:cs="宋体" w:eastAsia="宋体" w:hint="default"/>
          <w:w w:val="55"/>
        </w:rPr>
        <w:t>.</w:t>
      </w:r>
      <w:r>
        <w:rPr>
          <w:rFonts w:ascii="宋体" w:hAnsi="宋体" w:cs="宋体" w:eastAsia="宋体" w:hint="default"/>
          <w:spacing w:val="-1"/>
          <w:w w:val="111"/>
        </w:rPr>
        <w:t>0</w:t>
      </w:r>
      <w:r>
        <w:rPr>
          <w:rFonts w:ascii="宋体" w:hAnsi="宋体" w:cs="宋体" w:eastAsia="宋体" w:hint="default"/>
          <w:w w:val="111"/>
        </w:rPr>
        <w:t>2</w:t>
      </w:r>
      <w:r>
        <w:rPr>
          <w:rFonts w:ascii="宋体" w:hAnsi="宋体" w:cs="宋体" w:eastAsia="宋体" w:hint="default"/>
          <w:spacing w:val="-44"/>
        </w:rPr>
        <w:t> </w:t>
      </w:r>
      <w:r>
        <w:rPr>
          <w:rFonts w:ascii="宋体" w:hAnsi="宋体" w:cs="宋体" w:eastAsia="宋体" w:hint="default"/>
          <w:spacing w:val="4"/>
        </w:rPr>
        <w:t>亿</w:t>
      </w:r>
      <w:r>
        <w:rPr>
          <w:rFonts w:ascii="宋体" w:hAnsi="宋体" w:cs="宋体" w:eastAsia="宋体" w:hint="default"/>
        </w:rPr>
        <w:t>元</w:t>
      </w:r>
      <w:r>
        <w:rPr>
          <w:rFonts w:ascii="宋体" w:hAnsi="宋体" w:cs="宋体" w:eastAsia="宋体" w:hint="default"/>
          <w:spacing w:val="4"/>
        </w:rPr>
        <w:t>。依照公司章</w:t>
      </w:r>
      <w:r>
        <w:rPr>
          <w:rFonts w:ascii="宋体" w:hAnsi="宋体" w:cs="宋体" w:eastAsia="宋体" w:hint="default"/>
        </w:rPr>
        <w:t>程</w:t>
      </w:r>
      <w:r>
        <w:rPr>
          <w:rFonts w:ascii="宋体" w:hAnsi="宋体" w:cs="宋体" w:eastAsia="宋体" w:hint="default"/>
          <w:spacing w:val="4"/>
        </w:rPr>
        <w:t>，在收到此等股利</w:t>
      </w:r>
      <w:r>
        <w:rPr>
          <w:rFonts w:ascii="宋体" w:hAnsi="宋体" w:cs="宋体" w:eastAsia="宋体" w:hint="default"/>
        </w:rPr>
      </w:r>
    </w:p>
    <w:p>
      <w:pPr>
        <w:pStyle w:val="BodyText"/>
        <w:spacing w:line="240" w:lineRule="auto" w:before="24"/>
        <w:ind w:left="503" w:right="-11"/>
        <w:jc w:val="left"/>
        <w:rPr>
          <w:rFonts w:ascii="宋体" w:hAnsi="宋体" w:cs="宋体" w:eastAsia="宋体" w:hint="default"/>
        </w:rPr>
      </w:pPr>
      <w:r>
        <w:rPr>
          <w:rFonts w:ascii="宋体" w:hAnsi="宋体" w:cs="宋体" w:eastAsia="宋体" w:hint="default"/>
        </w:rPr>
        <w:t>后</w:t>
      </w:r>
      <w:r>
        <w:rPr>
          <w:rFonts w:ascii="宋体" w:hAnsi="宋体" w:cs="宋体" w:eastAsia="宋体" w:hint="default"/>
          <w:spacing w:val="9"/>
        </w:rPr>
        <w:t>，扣除本公司日常开支</w:t>
      </w:r>
      <w:r>
        <w:rPr>
          <w:rFonts w:ascii="宋体" w:hAnsi="宋体" w:cs="宋体" w:eastAsia="宋体" w:hint="default"/>
        </w:rPr>
        <w:t>约</w:t>
      </w:r>
      <w:r>
        <w:rPr>
          <w:rFonts w:ascii="宋体" w:hAnsi="宋体" w:cs="宋体" w:eastAsia="宋体" w:hint="default"/>
          <w:spacing w:val="-43"/>
        </w:rPr>
        <w:t> </w:t>
      </w:r>
      <w:r>
        <w:rPr>
          <w:rFonts w:ascii="宋体" w:hAnsi="宋体" w:cs="宋体" w:eastAsia="宋体" w:hint="default"/>
          <w:spacing w:val="-1"/>
          <w:w w:val="111"/>
        </w:rPr>
        <w:t>0</w:t>
      </w:r>
      <w:r>
        <w:rPr>
          <w:rFonts w:ascii="宋体" w:hAnsi="宋体" w:cs="宋体" w:eastAsia="宋体" w:hint="default"/>
          <w:w w:val="55"/>
        </w:rPr>
        <w:t>.</w:t>
      </w:r>
      <w:r>
        <w:rPr>
          <w:rFonts w:ascii="宋体" w:hAnsi="宋体" w:cs="宋体" w:eastAsia="宋体" w:hint="default"/>
          <w:w w:val="111"/>
        </w:rPr>
        <w:t>1</w:t>
      </w:r>
      <w:r>
        <w:rPr>
          <w:rFonts w:ascii="宋体" w:hAnsi="宋体" w:cs="宋体" w:eastAsia="宋体" w:hint="default"/>
          <w:spacing w:val="-43"/>
        </w:rPr>
        <w:t> </w:t>
      </w:r>
      <w:r>
        <w:rPr>
          <w:rFonts w:ascii="宋体" w:hAnsi="宋体" w:cs="宋体" w:eastAsia="宋体" w:hint="default"/>
          <w:spacing w:val="9"/>
        </w:rPr>
        <w:t>亿</w:t>
      </w:r>
      <w:r>
        <w:rPr>
          <w:rFonts w:ascii="宋体" w:hAnsi="宋体" w:cs="宋体" w:eastAsia="宋体" w:hint="default"/>
        </w:rPr>
        <w:t>元</w:t>
      </w:r>
      <w:r>
        <w:rPr>
          <w:rFonts w:ascii="宋体" w:hAnsi="宋体" w:cs="宋体" w:eastAsia="宋体" w:hint="default"/>
          <w:spacing w:val="9"/>
        </w:rPr>
        <w:t>，减去预</w:t>
      </w:r>
      <w:r>
        <w:rPr>
          <w:rFonts w:ascii="宋体" w:hAnsi="宋体" w:cs="宋体" w:eastAsia="宋体" w:hint="default"/>
        </w:rPr>
        <w:t>提</w:t>
      </w:r>
      <w:r>
        <w:rPr>
          <w:rFonts w:ascii="宋体" w:hAnsi="宋体" w:cs="宋体" w:eastAsia="宋体" w:hint="default"/>
          <w:spacing w:val="-43"/>
        </w:rPr>
        <w:t> </w:t>
      </w:r>
      <w:r>
        <w:rPr>
          <w:rFonts w:ascii="宋体" w:hAnsi="宋体" w:cs="宋体" w:eastAsia="宋体" w:hint="default"/>
          <w:spacing w:val="-1"/>
          <w:w w:val="111"/>
        </w:rPr>
        <w:t>201</w:t>
      </w:r>
      <w:r>
        <w:rPr>
          <w:rFonts w:ascii="宋体" w:hAnsi="宋体" w:cs="宋体" w:eastAsia="宋体" w:hint="default"/>
          <w:w w:val="111"/>
        </w:rPr>
        <w:t>9</w:t>
      </w:r>
      <w:r>
        <w:rPr>
          <w:rFonts w:ascii="宋体" w:hAnsi="宋体" w:cs="宋体" w:eastAsia="宋体" w:hint="default"/>
          <w:spacing w:val="-43"/>
        </w:rPr>
        <w:t> </w:t>
      </w:r>
      <w:r>
        <w:rPr>
          <w:rFonts w:ascii="宋体" w:hAnsi="宋体" w:cs="宋体" w:eastAsia="宋体" w:hint="default"/>
          <w:spacing w:val="9"/>
        </w:rPr>
        <w:t>年度</w:t>
      </w:r>
      <w:r>
        <w:rPr>
          <w:rFonts w:ascii="宋体" w:hAnsi="宋体" w:cs="宋体" w:eastAsia="宋体" w:hint="default"/>
        </w:rPr>
      </w:r>
    </w:p>
    <w:p>
      <w:pPr>
        <w:pStyle w:val="BodyText"/>
        <w:spacing w:line="240" w:lineRule="auto" w:before="24"/>
        <w:ind w:left="503" w:right="-11"/>
        <w:jc w:val="left"/>
        <w:rPr>
          <w:rFonts w:ascii="宋体" w:hAnsi="宋体" w:cs="宋体" w:eastAsia="宋体" w:hint="default"/>
        </w:rPr>
      </w:pPr>
      <w:r>
        <w:rPr>
          <w:rFonts w:ascii="宋体" w:hAnsi="宋体" w:cs="宋体" w:eastAsia="宋体" w:hint="default"/>
          <w:spacing w:val="2"/>
        </w:rPr>
        <w:t>法定公积金</w:t>
      </w:r>
      <w:r>
        <w:rPr>
          <w:rFonts w:ascii="宋体" w:hAnsi="宋体" w:cs="宋体" w:eastAsia="宋体" w:hint="default"/>
        </w:rPr>
        <w:t>约</w:t>
      </w:r>
      <w:r>
        <w:rPr>
          <w:rFonts w:ascii="宋体" w:hAnsi="宋体" w:cs="宋体" w:eastAsia="宋体" w:hint="default"/>
          <w:spacing w:val="-45"/>
        </w:rPr>
        <w:t> </w:t>
      </w:r>
      <w:r>
        <w:rPr>
          <w:rFonts w:ascii="宋体" w:hAnsi="宋体" w:cs="宋体" w:eastAsia="宋体" w:hint="default"/>
          <w:spacing w:val="-1"/>
          <w:w w:val="111"/>
        </w:rPr>
        <w:t>1</w:t>
      </w:r>
      <w:r>
        <w:rPr>
          <w:rFonts w:ascii="宋体" w:hAnsi="宋体" w:cs="宋体" w:eastAsia="宋体" w:hint="default"/>
          <w:w w:val="55"/>
        </w:rPr>
        <w:t>.</w:t>
      </w:r>
      <w:r>
        <w:rPr>
          <w:rFonts w:ascii="宋体" w:hAnsi="宋体" w:cs="宋体" w:eastAsia="宋体" w:hint="default"/>
          <w:spacing w:val="-1"/>
          <w:w w:val="111"/>
        </w:rPr>
        <w:t>8</w:t>
      </w:r>
      <w:r>
        <w:rPr>
          <w:rFonts w:ascii="宋体" w:hAnsi="宋体" w:cs="宋体" w:eastAsia="宋体" w:hint="default"/>
          <w:w w:val="111"/>
        </w:rPr>
        <w:t>0</w:t>
      </w:r>
      <w:r>
        <w:rPr>
          <w:rFonts w:ascii="宋体" w:hAnsi="宋体" w:cs="宋体" w:eastAsia="宋体" w:hint="default"/>
          <w:spacing w:val="-45"/>
        </w:rPr>
        <w:t> </w:t>
      </w:r>
      <w:r>
        <w:rPr>
          <w:rFonts w:ascii="宋体" w:hAnsi="宋体" w:cs="宋体" w:eastAsia="宋体" w:hint="default"/>
          <w:spacing w:val="2"/>
        </w:rPr>
        <w:t>亿</w:t>
      </w:r>
      <w:r>
        <w:rPr>
          <w:rFonts w:ascii="宋体" w:hAnsi="宋体" w:cs="宋体" w:eastAsia="宋体" w:hint="default"/>
        </w:rPr>
        <w:t>元</w:t>
      </w:r>
      <w:r>
        <w:rPr>
          <w:rFonts w:ascii="宋体" w:hAnsi="宋体" w:cs="宋体" w:eastAsia="宋体" w:hint="default"/>
          <w:spacing w:val="2"/>
        </w:rPr>
        <w:t>，加</w:t>
      </w:r>
      <w:r>
        <w:rPr>
          <w:rFonts w:ascii="宋体" w:hAnsi="宋体" w:cs="宋体" w:eastAsia="宋体" w:hint="default"/>
        </w:rPr>
        <w:t>上</w:t>
      </w:r>
      <w:r>
        <w:rPr>
          <w:rFonts w:ascii="宋体" w:hAnsi="宋体" w:cs="宋体" w:eastAsia="宋体" w:hint="default"/>
          <w:spacing w:val="-45"/>
        </w:rPr>
        <w:t> </w:t>
      </w: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5"/>
        </w:rPr>
        <w:t> </w:t>
      </w:r>
      <w:r>
        <w:rPr>
          <w:rFonts w:ascii="宋体" w:hAnsi="宋体" w:cs="宋体" w:eastAsia="宋体" w:hint="default"/>
          <w:spacing w:val="2"/>
        </w:rPr>
        <w:t>年末本公司可供股东</w:t>
      </w:r>
      <w:r>
        <w:rPr>
          <w:rFonts w:ascii="宋体" w:hAnsi="宋体" w:cs="宋体" w:eastAsia="宋体" w:hint="default"/>
        </w:rPr>
        <w:t>分</w:t>
      </w:r>
    </w:p>
    <w:p>
      <w:pPr>
        <w:pStyle w:val="BodyText"/>
        <w:spacing w:line="264" w:lineRule="auto" w:before="24"/>
        <w:ind w:left="503" w:right="83"/>
        <w:jc w:val="both"/>
        <w:rPr>
          <w:rFonts w:ascii="宋体" w:hAnsi="宋体" w:cs="宋体" w:eastAsia="宋体" w:hint="default"/>
        </w:rPr>
      </w:pPr>
      <w:r>
        <w:rPr>
          <w:rFonts w:ascii="宋体" w:hAnsi="宋体" w:cs="宋体" w:eastAsia="宋体" w:hint="default"/>
        </w:rPr>
        <w:t>配利润</w:t>
      </w:r>
      <w:r>
        <w:rPr>
          <w:rFonts w:ascii="宋体" w:hAnsi="宋体" w:cs="宋体" w:eastAsia="宋体" w:hint="default"/>
          <w:spacing w:val="-45"/>
        </w:rPr>
        <w:t> </w:t>
      </w:r>
      <w:r>
        <w:rPr>
          <w:rFonts w:ascii="宋体" w:hAnsi="宋体" w:cs="宋体" w:eastAsia="宋体" w:hint="default"/>
          <w:spacing w:val="-1"/>
          <w:w w:val="97"/>
        </w:rPr>
        <w:t>0.45</w:t>
      </w:r>
      <w:r>
        <w:rPr>
          <w:rFonts w:ascii="宋体" w:hAnsi="宋体" w:cs="宋体" w:eastAsia="宋体" w:hint="default"/>
          <w:spacing w:val="-42"/>
          <w:w w:val="97"/>
        </w:rPr>
        <w:t> </w:t>
      </w:r>
      <w:r>
        <w:rPr>
          <w:rFonts w:ascii="宋体" w:hAnsi="宋体" w:cs="宋体" w:eastAsia="宋体" w:hint="default"/>
        </w:rPr>
        <w:t>亿元后，可供股东分配的利润约</w:t>
      </w:r>
      <w:r>
        <w:rPr>
          <w:rFonts w:ascii="宋体" w:hAnsi="宋体" w:cs="宋体" w:eastAsia="宋体" w:hint="default"/>
          <w:spacing w:val="-45"/>
        </w:rPr>
        <w:t> </w:t>
      </w:r>
      <w:r>
        <w:rPr>
          <w:rFonts w:ascii="宋体" w:hAnsi="宋体" w:cs="宋体" w:eastAsia="宋体" w:hint="default"/>
          <w:spacing w:val="-1"/>
          <w:w w:val="99"/>
        </w:rPr>
        <w:t>16.57</w:t>
      </w:r>
      <w:r>
        <w:rPr>
          <w:rFonts w:ascii="宋体" w:hAnsi="宋体" w:cs="宋体" w:eastAsia="宋体" w:hint="default"/>
          <w:spacing w:val="-44"/>
          <w:w w:val="99"/>
        </w:rPr>
        <w:t> </w:t>
      </w:r>
      <w:r>
        <w:rPr>
          <w:rFonts w:ascii="宋体" w:hAnsi="宋体" w:cs="宋体" w:eastAsia="宋体" w:hint="default"/>
        </w:rPr>
        <w:t>亿元。据</w:t>
      </w:r>
      <w:r>
        <w:rPr>
          <w:rFonts w:ascii="宋体" w:hAnsi="宋体" w:cs="宋体" w:eastAsia="宋体" w:hint="default"/>
        </w:rPr>
        <w:t> </w:t>
      </w:r>
      <w:r>
        <w:rPr>
          <w:rFonts w:ascii="宋体" w:hAnsi="宋体" w:cs="宋体" w:eastAsia="宋体" w:hint="default"/>
          <w:spacing w:val="2"/>
        </w:rPr>
        <w:t>此，董事会建议，本公司对现金红利实施公告中确定的股权</w:t>
      </w:r>
      <w:r>
        <w:rPr>
          <w:rFonts w:ascii="宋体" w:hAnsi="宋体" w:cs="宋体" w:eastAsia="宋体" w:hint="default"/>
          <w:spacing w:val="-71"/>
        </w:rPr>
        <w:t> </w:t>
      </w:r>
      <w:r>
        <w:rPr>
          <w:rFonts w:ascii="宋体" w:hAnsi="宋体" w:cs="宋体" w:eastAsia="宋体" w:hint="default"/>
          <w:spacing w:val="-71"/>
        </w:rPr>
      </w:r>
      <w:r>
        <w:rPr>
          <w:rFonts w:ascii="宋体" w:hAnsi="宋体" w:cs="宋体" w:eastAsia="宋体" w:hint="default"/>
        </w:rPr>
        <w:t>登记日收市后在册的股东，每股派发现金股利</w:t>
      </w:r>
      <w:r>
        <w:rPr>
          <w:rFonts w:ascii="宋体" w:hAnsi="宋体" w:cs="宋体" w:eastAsia="宋体" w:hint="default"/>
          <w:spacing w:val="-41"/>
        </w:rPr>
        <w:t> </w:t>
      </w:r>
      <w:r>
        <w:rPr>
          <w:rFonts w:ascii="宋体" w:hAnsi="宋体" w:cs="宋体" w:eastAsia="宋体" w:hint="default"/>
          <w:spacing w:val="-1"/>
          <w:w w:val="101"/>
        </w:rPr>
        <w:t>0.0533</w:t>
      </w:r>
      <w:r>
        <w:rPr>
          <w:rFonts w:ascii="宋体" w:hAnsi="宋体" w:cs="宋体" w:eastAsia="宋体" w:hint="default"/>
          <w:spacing w:val="-43"/>
          <w:w w:val="101"/>
        </w:rPr>
        <w:t> </w:t>
      </w:r>
      <w:r>
        <w:rPr>
          <w:rFonts w:ascii="宋体" w:hAnsi="宋体" w:cs="宋体" w:eastAsia="宋体" w:hint="default"/>
        </w:rPr>
        <w:t>元</w:t>
      </w:r>
      <w:r>
        <w:rPr>
          <w:rFonts w:ascii="宋体" w:hAnsi="宋体" w:cs="宋体" w:eastAsia="宋体" w:hint="default"/>
          <w:spacing w:val="-41"/>
        </w:rPr>
        <w:t> </w:t>
      </w:r>
      <w:r>
        <w:rPr>
          <w:rFonts w:ascii="宋体" w:hAnsi="宋体" w:cs="宋体" w:eastAsia="宋体" w:hint="default"/>
          <w:w w:val="55"/>
        </w:rPr>
        <w:t>(</w:t>
      </w:r>
      <w:r>
        <w:rPr>
          <w:rFonts w:ascii="宋体" w:hAnsi="宋体" w:cs="宋体" w:eastAsia="宋体" w:hint="default"/>
          <w:spacing w:val="-1"/>
          <w:w w:val="55"/>
        </w:rPr>
        <w:t> </w:t>
      </w:r>
      <w:r>
        <w:rPr>
          <w:rFonts w:ascii="宋体" w:hAnsi="宋体" w:cs="宋体" w:eastAsia="宋体" w:hint="default"/>
        </w:rPr>
        <w:t>含</w:t>
      </w:r>
      <w:r>
        <w:rPr>
          <w:rFonts w:ascii="宋体" w:hAnsi="宋体" w:cs="宋体" w:eastAsia="宋体" w:hint="default"/>
        </w:rPr>
        <w:t> 税</w:t>
      </w:r>
      <w:r>
        <w:rPr>
          <w:rFonts w:ascii="宋体" w:hAnsi="宋体" w:cs="宋体" w:eastAsia="宋体" w:hint="default"/>
          <w:spacing w:val="-38"/>
        </w:rPr>
        <w:t> </w:t>
      </w:r>
      <w:r>
        <w:rPr>
          <w:rFonts w:ascii="宋体" w:hAnsi="宋体" w:cs="宋体" w:eastAsia="宋体" w:hint="default"/>
          <w:spacing w:val="3"/>
          <w:w w:val="96"/>
        </w:rPr>
        <w:t>)，共计向本公司股东派发约</w:t>
      </w:r>
      <w:r>
        <w:rPr>
          <w:rFonts w:ascii="宋体" w:hAnsi="宋体" w:cs="宋体" w:eastAsia="宋体" w:hint="default"/>
          <w:spacing w:val="-35"/>
          <w:w w:val="96"/>
        </w:rPr>
        <w:t> </w:t>
      </w:r>
      <w:r>
        <w:rPr>
          <w:rFonts w:ascii="宋体" w:hAnsi="宋体" w:cs="宋体" w:eastAsia="宋体" w:hint="default"/>
          <w:spacing w:val="-1"/>
          <w:w w:val="99"/>
        </w:rPr>
        <w:t>16.55</w:t>
      </w:r>
      <w:r>
        <w:rPr>
          <w:rFonts w:ascii="宋体" w:hAnsi="宋体" w:cs="宋体" w:eastAsia="宋体" w:hint="default"/>
          <w:spacing w:val="-39"/>
          <w:w w:val="99"/>
        </w:rPr>
        <w:t> </w:t>
      </w:r>
      <w:r>
        <w:rPr>
          <w:rFonts w:ascii="宋体" w:hAnsi="宋体" w:cs="宋体" w:eastAsia="宋体" w:hint="default"/>
          <w:spacing w:val="2"/>
        </w:rPr>
        <w:t>亿元</w:t>
      </w:r>
      <w:r>
        <w:rPr>
          <w:rFonts w:ascii="宋体" w:hAnsi="宋体" w:cs="宋体" w:eastAsia="宋体" w:hint="default"/>
          <w:spacing w:val="-38"/>
        </w:rPr>
        <w:t> </w:t>
      </w:r>
      <w:r>
        <w:rPr>
          <w:rFonts w:ascii="宋体" w:hAnsi="宋体" w:cs="宋体" w:eastAsia="宋体" w:hint="default"/>
          <w:w w:val="55"/>
        </w:rPr>
        <w:t>(</w:t>
      </w:r>
      <w:r>
        <w:rPr>
          <w:rFonts w:ascii="宋体" w:hAnsi="宋体" w:cs="宋体" w:eastAsia="宋体" w:hint="default"/>
          <w:spacing w:val="2"/>
          <w:w w:val="55"/>
        </w:rPr>
        <w:t> </w:t>
      </w:r>
      <w:r>
        <w:rPr>
          <w:rFonts w:ascii="宋体" w:hAnsi="宋体" w:cs="宋体" w:eastAsia="宋体" w:hint="default"/>
          <w:spacing w:val="2"/>
        </w:rPr>
        <w:t>含税</w:t>
      </w:r>
      <w:r>
        <w:rPr>
          <w:rFonts w:ascii="宋体" w:hAnsi="宋体" w:cs="宋体" w:eastAsia="宋体" w:hint="default"/>
          <w:spacing w:val="-38"/>
        </w:rPr>
        <w:t> </w:t>
      </w:r>
      <w:r>
        <w:rPr>
          <w:rFonts w:ascii="宋体" w:hAnsi="宋体" w:cs="宋体" w:eastAsia="宋体" w:hint="default"/>
          <w:w w:val="55"/>
        </w:rPr>
        <w:t>)</w:t>
      </w:r>
      <w:r>
        <w:rPr>
          <w:rFonts w:ascii="宋体" w:hAnsi="宋体" w:cs="宋体" w:eastAsia="宋体" w:hint="default"/>
          <w:spacing w:val="2"/>
          <w:w w:val="55"/>
        </w:rPr>
        <w:t> </w:t>
      </w:r>
      <w:r>
        <w:rPr>
          <w:rFonts w:ascii="宋体" w:hAnsi="宋体" w:cs="宋体" w:eastAsia="宋体" w:hint="default"/>
          <w:spacing w:val="2"/>
        </w:rPr>
        <w:t>的股利，</w:t>
      </w:r>
      <w:r>
        <w:rPr>
          <w:rFonts w:ascii="宋体" w:hAnsi="宋体" w:cs="宋体" w:eastAsia="宋体" w:hint="default"/>
        </w:rPr>
        <w:t> 剩余可供股东分配的利润将用于以后年度的利润分配。</w:t>
      </w:r>
    </w:p>
    <w:p>
      <w:pPr>
        <w:pStyle w:val="BodyText"/>
        <w:spacing w:line="379" w:lineRule="auto" w:before="119"/>
        <w:ind w:left="163" w:right="1773" w:firstLine="340"/>
        <w:jc w:val="left"/>
        <w:rPr>
          <w:rFonts w:ascii="宋体" w:hAnsi="宋体" w:cs="宋体" w:eastAsia="宋体" w:hint="default"/>
        </w:rPr>
      </w:pPr>
      <w:r>
        <w:rPr>
          <w:rFonts w:ascii="宋体" w:hAnsi="宋体" w:cs="宋体" w:eastAsia="宋体" w:hint="default"/>
        </w:rPr>
        <w:t>此方案尚需提交本公司股东大会审议。 六、前瞻性陈述的风险声明</w:t>
      </w:r>
    </w:p>
    <w:p>
      <w:pPr>
        <w:pStyle w:val="BodyText"/>
        <w:spacing w:line="264" w:lineRule="auto" w:before="33"/>
        <w:ind w:left="503" w:right="81"/>
        <w:jc w:val="both"/>
        <w:rPr>
          <w:rFonts w:ascii="宋体" w:hAnsi="宋体" w:cs="宋体" w:eastAsia="宋体" w:hint="default"/>
        </w:rPr>
      </w:pPr>
      <w:r>
        <w:rPr>
          <w:rFonts w:ascii="宋体" w:hAnsi="宋体" w:cs="宋体" w:eastAsia="宋体" w:hint="default"/>
          <w:spacing w:val="4"/>
        </w:rPr>
        <w:t>本公司</w:t>
      </w:r>
      <w:r>
        <w:rPr>
          <w:rFonts w:ascii="宋体" w:hAnsi="宋体" w:cs="宋体" w:eastAsia="宋体" w:hint="default"/>
          <w:spacing w:val="-23"/>
        </w:rPr>
        <w:t> </w:t>
      </w:r>
      <w:r>
        <w:rPr>
          <w:rFonts w:ascii="宋体" w:hAnsi="宋体" w:cs="宋体" w:eastAsia="宋体" w:hint="default"/>
        </w:rPr>
        <w:t>2018</w:t>
      </w:r>
      <w:r>
        <w:rPr>
          <w:rFonts w:ascii="宋体" w:hAnsi="宋体" w:cs="宋体" w:eastAsia="宋体" w:hint="default"/>
          <w:spacing w:val="-23"/>
        </w:rPr>
        <w:t> </w:t>
      </w:r>
      <w:r>
        <w:rPr>
          <w:rFonts w:ascii="宋体" w:hAnsi="宋体" w:cs="宋体" w:eastAsia="宋体" w:hint="default"/>
          <w:spacing w:val="5"/>
        </w:rPr>
        <w:t>年年度报告中所涉及的发展战略、未来经营计</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spacing w:val="2"/>
        </w:rPr>
        <w:t>划等前瞻性陈述不构成公司对投资者的实质承诺，敬请投资</w:t>
      </w:r>
      <w:r>
        <w:rPr>
          <w:rFonts w:ascii="宋体" w:hAnsi="宋体" w:cs="宋体" w:eastAsia="宋体" w:hint="default"/>
          <w:spacing w:val="-68"/>
        </w:rPr>
        <w:t> </w:t>
      </w:r>
      <w:r>
        <w:rPr>
          <w:rFonts w:ascii="宋体" w:hAnsi="宋体" w:cs="宋体" w:eastAsia="宋体" w:hint="default"/>
          <w:spacing w:val="-68"/>
        </w:rPr>
      </w:r>
      <w:r>
        <w:rPr>
          <w:rFonts w:ascii="宋体" w:hAnsi="宋体" w:cs="宋体" w:eastAsia="宋体" w:hint="default"/>
        </w:rPr>
        <w:t>者注意投资风险。</w:t>
      </w:r>
    </w:p>
    <w:p>
      <w:pPr>
        <w:pStyle w:val="BodyText"/>
        <w:spacing w:line="379" w:lineRule="auto" w:before="119"/>
        <w:ind w:left="503" w:right="494" w:hanging="341"/>
        <w:jc w:val="left"/>
        <w:rPr>
          <w:rFonts w:ascii="宋体" w:hAnsi="宋体" w:cs="宋体" w:eastAsia="宋体" w:hint="default"/>
        </w:rPr>
      </w:pPr>
      <w:r>
        <w:rPr>
          <w:rFonts w:ascii="宋体" w:hAnsi="宋体" w:cs="宋体" w:eastAsia="宋体" w:hint="default"/>
        </w:rPr>
        <w:t>七、是否存在被控股股东及其关联方非经营性占用资金情况 否</w:t>
      </w:r>
    </w:p>
    <w:p>
      <w:pPr>
        <w:pStyle w:val="BodyText"/>
        <w:spacing w:line="379" w:lineRule="auto" w:before="33"/>
        <w:ind w:left="503" w:right="854" w:hanging="341"/>
        <w:jc w:val="left"/>
        <w:rPr>
          <w:rFonts w:ascii="宋体" w:hAnsi="宋体" w:cs="宋体" w:eastAsia="宋体" w:hint="default"/>
        </w:rPr>
      </w:pPr>
      <w:r>
        <w:rPr>
          <w:rFonts w:ascii="宋体" w:hAnsi="宋体" w:cs="宋体" w:eastAsia="宋体" w:hint="default"/>
        </w:rPr>
        <w:t>八、是否存在违反规定决策程序对外提供担保的情况？ 否</w:t>
      </w:r>
    </w:p>
    <w:p>
      <w:pPr>
        <w:pStyle w:val="BodyText"/>
        <w:spacing w:line="240" w:lineRule="auto" w:before="33"/>
        <w:ind w:left="163" w:right="-11"/>
        <w:jc w:val="left"/>
        <w:rPr>
          <w:rFonts w:ascii="宋体" w:hAnsi="宋体" w:cs="宋体" w:eastAsia="宋体" w:hint="default"/>
        </w:rPr>
      </w:pPr>
      <w:r>
        <w:rPr>
          <w:rFonts w:ascii="宋体" w:hAnsi="宋体" w:cs="宋体" w:eastAsia="宋体" w:hint="default"/>
        </w:rPr>
        <w:t>九、重大风险提示</w:t>
      </w:r>
    </w:p>
    <w:p>
      <w:pPr>
        <w:pStyle w:val="BodyText"/>
        <w:spacing w:line="264" w:lineRule="auto" w:before="137"/>
        <w:ind w:left="503" w:right="-11"/>
        <w:jc w:val="left"/>
        <w:rPr>
          <w:rFonts w:ascii="宋体" w:hAnsi="宋体" w:cs="宋体" w:eastAsia="宋体" w:hint="default"/>
        </w:rPr>
      </w:pPr>
      <w:r>
        <w:rPr>
          <w:rFonts w:ascii="宋体" w:hAnsi="宋体" w:cs="宋体" w:eastAsia="宋体" w:hint="default"/>
          <w:spacing w:val="10"/>
        </w:rPr>
        <w:t>公司已在本报告中详细描述存在的行业竞争持续加剧的风 </w:t>
      </w:r>
      <w:r>
        <w:rPr>
          <w:rFonts w:ascii="宋体" w:hAnsi="宋体" w:cs="宋体" w:eastAsia="宋体" w:hint="default"/>
          <w:spacing w:val="-7"/>
        </w:rPr>
        <w:t>险、行业监管政策变化风险、技术升级风险、利率和汇率风险，</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spacing w:val="3"/>
        </w:rPr>
        <w:t>敬请查阅第四节经营情况讨论与分析中关于公司未来发展的</w:t>
      </w:r>
      <w:r>
        <w:rPr>
          <w:rFonts w:ascii="宋体" w:hAnsi="宋体" w:cs="宋体" w:eastAsia="宋体" w:hint="default"/>
          <w:spacing w:val="3"/>
        </w:rPr>
        <w:t> </w:t>
      </w:r>
      <w:r>
        <w:rPr>
          <w:rFonts w:ascii="宋体" w:hAnsi="宋体" w:cs="宋体" w:eastAsia="宋体" w:hint="default"/>
        </w:rPr>
        <w:t>讨论与分析中可能面对的风险因素的内容。</w:t>
      </w:r>
    </w:p>
    <w:p>
      <w:pPr>
        <w:spacing w:before="133"/>
        <w:ind w:left="163" w:right="174" w:firstLine="0"/>
        <w:jc w:val="left"/>
        <w:rPr>
          <w:rFonts w:ascii="宋体" w:hAnsi="宋体" w:cs="宋体" w:eastAsia="宋体" w:hint="default"/>
          <w:sz w:val="36"/>
          <w:szCs w:val="36"/>
        </w:rPr>
      </w:pPr>
      <w:r>
        <w:rPr/>
        <w:br w:type="column"/>
      </w:r>
      <w:r>
        <w:rPr>
          <w:rFonts w:ascii="宋体"/>
          <w:color w:val="D7000F"/>
          <w:sz w:val="36"/>
        </w:rPr>
        <w:t>4</w:t>
      </w:r>
      <w:r>
        <w:rPr>
          <w:rFonts w:ascii="宋体"/>
          <w:sz w:val="36"/>
        </w:rPr>
      </w:r>
    </w:p>
    <w:p>
      <w:pPr>
        <w:pStyle w:val="Heading8"/>
        <w:spacing w:line="240" w:lineRule="auto" w:before="5"/>
        <w:ind w:left="163" w:right="174"/>
        <w:jc w:val="left"/>
      </w:pPr>
      <w:r>
        <w:rPr/>
        <w:t>董事长致辞</w:t>
      </w:r>
    </w:p>
    <w:p>
      <w:pPr>
        <w:spacing w:before="159"/>
        <w:ind w:left="163" w:right="174" w:firstLine="0"/>
        <w:jc w:val="left"/>
        <w:rPr>
          <w:rFonts w:ascii="宋体" w:hAnsi="宋体" w:cs="宋体" w:eastAsia="宋体" w:hint="default"/>
          <w:sz w:val="36"/>
          <w:szCs w:val="36"/>
        </w:rPr>
      </w:pPr>
      <w:r>
        <w:rPr>
          <w:rFonts w:ascii="宋体"/>
          <w:color w:val="D7000F"/>
          <w:sz w:val="36"/>
        </w:rPr>
        <w:t>6</w:t>
      </w:r>
      <w:r>
        <w:rPr>
          <w:rFonts w:ascii="宋体"/>
          <w:sz w:val="36"/>
        </w:rPr>
      </w:r>
    </w:p>
    <w:p>
      <w:pPr>
        <w:pStyle w:val="Heading8"/>
        <w:spacing w:line="240" w:lineRule="auto" w:before="5"/>
        <w:ind w:left="163" w:right="174"/>
        <w:jc w:val="left"/>
      </w:pPr>
      <w:r>
        <w:rPr/>
        <w:t>释义</w:t>
      </w:r>
    </w:p>
    <w:p>
      <w:pPr>
        <w:spacing w:before="159"/>
        <w:ind w:left="163" w:right="174" w:firstLine="0"/>
        <w:jc w:val="left"/>
        <w:rPr>
          <w:rFonts w:ascii="宋体" w:hAnsi="宋体" w:cs="宋体" w:eastAsia="宋体" w:hint="default"/>
          <w:sz w:val="36"/>
          <w:szCs w:val="36"/>
        </w:rPr>
      </w:pPr>
      <w:r>
        <w:rPr>
          <w:rFonts w:ascii="宋体"/>
          <w:color w:val="D7000F"/>
          <w:sz w:val="36"/>
        </w:rPr>
        <w:t>10</w:t>
      </w:r>
      <w:r>
        <w:rPr>
          <w:rFonts w:ascii="宋体"/>
          <w:sz w:val="36"/>
        </w:rPr>
      </w:r>
    </w:p>
    <w:p>
      <w:pPr>
        <w:pStyle w:val="Heading8"/>
        <w:spacing w:line="240" w:lineRule="auto" w:before="5"/>
        <w:ind w:left="163" w:right="174"/>
        <w:jc w:val="left"/>
      </w:pPr>
      <w:r>
        <w:rPr/>
        <w:t>大事记</w:t>
      </w:r>
    </w:p>
    <w:p>
      <w:pPr>
        <w:spacing w:before="159"/>
        <w:ind w:left="163" w:right="174" w:firstLine="0"/>
        <w:jc w:val="left"/>
        <w:rPr>
          <w:rFonts w:ascii="宋体" w:hAnsi="宋体" w:cs="宋体" w:eastAsia="宋体" w:hint="default"/>
          <w:sz w:val="36"/>
          <w:szCs w:val="36"/>
        </w:rPr>
      </w:pPr>
      <w:r>
        <w:rPr>
          <w:rFonts w:ascii="宋体"/>
          <w:color w:val="D7000F"/>
          <w:sz w:val="36"/>
        </w:rPr>
        <w:t>12</w:t>
      </w:r>
      <w:r>
        <w:rPr>
          <w:rFonts w:ascii="宋体"/>
          <w:sz w:val="36"/>
        </w:rPr>
      </w:r>
    </w:p>
    <w:p>
      <w:pPr>
        <w:pStyle w:val="Heading8"/>
        <w:spacing w:line="240" w:lineRule="auto" w:before="5"/>
        <w:ind w:left="163" w:right="174"/>
        <w:jc w:val="left"/>
      </w:pPr>
      <w:r>
        <w:rPr/>
        <w:t>公司简介和主要财务指标</w:t>
      </w:r>
    </w:p>
    <w:p>
      <w:pPr>
        <w:spacing w:before="159"/>
        <w:ind w:left="163" w:right="174" w:firstLine="0"/>
        <w:jc w:val="left"/>
        <w:rPr>
          <w:rFonts w:ascii="宋体" w:hAnsi="宋体" w:cs="宋体" w:eastAsia="宋体" w:hint="default"/>
          <w:sz w:val="36"/>
          <w:szCs w:val="36"/>
        </w:rPr>
      </w:pPr>
      <w:r>
        <w:rPr>
          <w:rFonts w:ascii="宋体"/>
          <w:color w:val="D7000F"/>
          <w:sz w:val="36"/>
        </w:rPr>
        <w:t>18</w:t>
      </w:r>
      <w:r>
        <w:rPr>
          <w:rFonts w:ascii="宋体"/>
          <w:sz w:val="36"/>
        </w:rPr>
      </w:r>
    </w:p>
    <w:p>
      <w:pPr>
        <w:pStyle w:val="Heading8"/>
        <w:spacing w:line="240" w:lineRule="auto" w:before="5"/>
        <w:ind w:left="163" w:right="174"/>
        <w:jc w:val="left"/>
      </w:pPr>
      <w:r>
        <w:rPr/>
        <w:t>公司业务概要</w:t>
      </w:r>
    </w:p>
    <w:p>
      <w:pPr>
        <w:spacing w:before="159"/>
        <w:ind w:left="163" w:right="174" w:firstLine="0"/>
        <w:jc w:val="left"/>
        <w:rPr>
          <w:rFonts w:ascii="宋体" w:hAnsi="宋体" w:cs="宋体" w:eastAsia="宋体" w:hint="default"/>
          <w:sz w:val="36"/>
          <w:szCs w:val="36"/>
        </w:rPr>
      </w:pPr>
      <w:r>
        <w:rPr>
          <w:rFonts w:ascii="宋体"/>
          <w:color w:val="D7000F"/>
          <w:sz w:val="36"/>
        </w:rPr>
        <w:t>22</w:t>
      </w:r>
      <w:r>
        <w:rPr>
          <w:rFonts w:ascii="宋体"/>
          <w:sz w:val="36"/>
        </w:rPr>
      </w:r>
    </w:p>
    <w:p>
      <w:pPr>
        <w:pStyle w:val="Heading8"/>
        <w:spacing w:line="240" w:lineRule="auto" w:before="5"/>
        <w:ind w:left="163" w:right="174"/>
        <w:jc w:val="left"/>
      </w:pPr>
      <w:r>
        <w:rPr/>
        <w:t>经营情况讨论与分析</w:t>
      </w:r>
    </w:p>
    <w:p>
      <w:pPr>
        <w:spacing w:before="159"/>
        <w:ind w:left="163" w:right="174" w:firstLine="0"/>
        <w:jc w:val="left"/>
        <w:rPr>
          <w:rFonts w:ascii="宋体" w:hAnsi="宋体" w:cs="宋体" w:eastAsia="宋体" w:hint="default"/>
          <w:sz w:val="36"/>
          <w:szCs w:val="36"/>
        </w:rPr>
      </w:pPr>
      <w:r>
        <w:rPr>
          <w:rFonts w:ascii="宋体"/>
          <w:color w:val="D7000F"/>
          <w:sz w:val="36"/>
        </w:rPr>
        <w:t>38</w:t>
      </w:r>
      <w:r>
        <w:rPr>
          <w:rFonts w:ascii="宋体"/>
          <w:sz w:val="36"/>
        </w:rPr>
      </w:r>
    </w:p>
    <w:p>
      <w:pPr>
        <w:pStyle w:val="Heading8"/>
        <w:spacing w:line="240" w:lineRule="auto" w:before="5"/>
        <w:ind w:left="163" w:right="174"/>
        <w:jc w:val="left"/>
      </w:pPr>
      <w:r>
        <w:rPr/>
        <w:t>重要事项</w:t>
      </w:r>
    </w:p>
    <w:p>
      <w:pPr>
        <w:spacing w:before="159"/>
        <w:ind w:left="163" w:right="174" w:firstLine="0"/>
        <w:jc w:val="left"/>
        <w:rPr>
          <w:rFonts w:ascii="宋体" w:hAnsi="宋体" w:cs="宋体" w:eastAsia="宋体" w:hint="default"/>
          <w:sz w:val="36"/>
          <w:szCs w:val="36"/>
        </w:rPr>
      </w:pPr>
      <w:r>
        <w:rPr>
          <w:rFonts w:ascii="宋体"/>
          <w:color w:val="D7000F"/>
          <w:sz w:val="36"/>
        </w:rPr>
        <w:t>46</w:t>
      </w:r>
      <w:r>
        <w:rPr>
          <w:rFonts w:ascii="宋体"/>
          <w:sz w:val="36"/>
        </w:rPr>
      </w:r>
    </w:p>
    <w:p>
      <w:pPr>
        <w:pStyle w:val="Heading8"/>
        <w:spacing w:line="240" w:lineRule="auto" w:before="5"/>
        <w:ind w:left="163" w:right="174"/>
        <w:jc w:val="left"/>
      </w:pPr>
      <w:r>
        <w:rPr/>
        <w:t>普通股股份变动及股东情况</w:t>
      </w:r>
    </w:p>
    <w:p>
      <w:pPr>
        <w:spacing w:before="159"/>
        <w:ind w:left="163" w:right="174" w:firstLine="0"/>
        <w:jc w:val="left"/>
        <w:rPr>
          <w:rFonts w:ascii="宋体" w:hAnsi="宋体" w:cs="宋体" w:eastAsia="宋体" w:hint="default"/>
          <w:sz w:val="36"/>
          <w:szCs w:val="36"/>
        </w:rPr>
      </w:pPr>
      <w:r>
        <w:rPr>
          <w:rFonts w:ascii="宋体"/>
          <w:color w:val="D7000F"/>
          <w:sz w:val="36"/>
        </w:rPr>
        <w:t>54</w:t>
      </w:r>
      <w:r>
        <w:rPr>
          <w:rFonts w:ascii="宋体"/>
          <w:sz w:val="36"/>
        </w:rPr>
      </w:r>
    </w:p>
    <w:p>
      <w:pPr>
        <w:pStyle w:val="Heading8"/>
        <w:spacing w:line="264" w:lineRule="exact" w:before="50"/>
        <w:ind w:left="163" w:right="174"/>
        <w:jc w:val="left"/>
      </w:pPr>
      <w:r>
        <w:rPr/>
        <w:t>董事、监事、高级管理人员和 员工情况</w:t>
      </w:r>
    </w:p>
    <w:p>
      <w:pPr>
        <w:spacing w:before="137"/>
        <w:ind w:left="163" w:right="174" w:firstLine="0"/>
        <w:jc w:val="left"/>
        <w:rPr>
          <w:rFonts w:ascii="宋体" w:hAnsi="宋体" w:cs="宋体" w:eastAsia="宋体" w:hint="default"/>
          <w:sz w:val="36"/>
          <w:szCs w:val="36"/>
        </w:rPr>
      </w:pPr>
      <w:r>
        <w:rPr>
          <w:rFonts w:ascii="宋体"/>
          <w:color w:val="D7000F"/>
          <w:sz w:val="36"/>
        </w:rPr>
        <w:t>72</w:t>
      </w:r>
      <w:r>
        <w:rPr>
          <w:rFonts w:ascii="宋体"/>
          <w:sz w:val="36"/>
        </w:rPr>
      </w:r>
    </w:p>
    <w:p>
      <w:pPr>
        <w:pStyle w:val="Heading8"/>
        <w:spacing w:line="240" w:lineRule="auto" w:before="5"/>
        <w:ind w:left="163" w:right="174"/>
        <w:jc w:val="left"/>
      </w:pPr>
      <w:r>
        <w:rPr/>
        <w:t>公司治理</w:t>
      </w:r>
    </w:p>
    <w:p>
      <w:pPr>
        <w:spacing w:before="159"/>
        <w:ind w:left="163" w:right="174" w:firstLine="0"/>
        <w:jc w:val="left"/>
        <w:rPr>
          <w:rFonts w:ascii="宋体" w:hAnsi="宋体" w:cs="宋体" w:eastAsia="宋体" w:hint="default"/>
          <w:sz w:val="36"/>
          <w:szCs w:val="36"/>
        </w:rPr>
      </w:pPr>
      <w:r>
        <w:rPr>
          <w:rFonts w:ascii="宋体"/>
          <w:color w:val="D7000F"/>
          <w:sz w:val="36"/>
        </w:rPr>
        <w:t>78</w:t>
      </w:r>
      <w:r>
        <w:rPr>
          <w:rFonts w:ascii="宋体"/>
          <w:sz w:val="36"/>
        </w:rPr>
      </w:r>
    </w:p>
    <w:p>
      <w:pPr>
        <w:pStyle w:val="Heading8"/>
        <w:spacing w:line="240" w:lineRule="auto" w:before="5"/>
        <w:ind w:left="163" w:right="174"/>
        <w:jc w:val="left"/>
      </w:pPr>
      <w:r>
        <w:rPr/>
        <w:t>公司债券相关情况</w:t>
      </w:r>
    </w:p>
    <w:p>
      <w:pPr>
        <w:spacing w:before="159"/>
        <w:ind w:left="163" w:right="174" w:firstLine="0"/>
        <w:jc w:val="left"/>
        <w:rPr>
          <w:rFonts w:ascii="宋体" w:hAnsi="宋体" w:cs="宋体" w:eastAsia="宋体" w:hint="default"/>
          <w:sz w:val="36"/>
          <w:szCs w:val="36"/>
        </w:rPr>
      </w:pPr>
      <w:r>
        <w:rPr>
          <w:rFonts w:ascii="宋体"/>
          <w:color w:val="D7000F"/>
          <w:sz w:val="36"/>
        </w:rPr>
        <w:t>81</w:t>
      </w:r>
      <w:r>
        <w:rPr>
          <w:rFonts w:ascii="宋体"/>
          <w:sz w:val="36"/>
        </w:rPr>
      </w:r>
    </w:p>
    <w:p>
      <w:pPr>
        <w:pStyle w:val="Heading8"/>
        <w:spacing w:line="240" w:lineRule="auto" w:before="5"/>
        <w:ind w:left="163" w:right="174"/>
        <w:jc w:val="left"/>
      </w:pPr>
      <w:r>
        <w:rPr/>
        <w:t>财务报告</w:t>
      </w:r>
    </w:p>
    <w:p>
      <w:pPr>
        <w:spacing w:before="159"/>
        <w:ind w:left="163" w:right="174" w:firstLine="0"/>
        <w:jc w:val="left"/>
        <w:rPr>
          <w:rFonts w:ascii="宋体" w:hAnsi="宋体" w:cs="宋体" w:eastAsia="宋体" w:hint="default"/>
          <w:sz w:val="36"/>
          <w:szCs w:val="36"/>
        </w:rPr>
      </w:pPr>
      <w:r>
        <w:rPr>
          <w:rFonts w:ascii="宋体"/>
          <w:color w:val="D7000F"/>
          <w:sz w:val="36"/>
        </w:rPr>
        <w:t>215</w:t>
      </w:r>
      <w:r>
        <w:rPr>
          <w:rFonts w:ascii="宋体"/>
          <w:sz w:val="36"/>
        </w:rPr>
      </w:r>
    </w:p>
    <w:p>
      <w:pPr>
        <w:pStyle w:val="Heading8"/>
        <w:spacing w:line="240" w:lineRule="auto" w:before="5"/>
        <w:ind w:left="163" w:right="174"/>
        <w:jc w:val="left"/>
      </w:pPr>
      <w:r>
        <w:rPr/>
        <w:t>备查文件目录</w:t>
      </w:r>
    </w:p>
    <w:p>
      <w:pPr>
        <w:spacing w:after="0" w:line="240" w:lineRule="auto"/>
        <w:jc w:val="left"/>
        <w:sectPr>
          <w:type w:val="continuous"/>
          <w:pgSz w:w="11910" w:h="16160"/>
          <w:pgMar w:top="1520" w:bottom="280" w:left="800" w:right="1680"/>
          <w:cols w:num="2" w:equalWidth="0">
            <w:col w:w="5357" w:space="851"/>
            <w:col w:w="322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line="468" w:lineRule="exact" w:before="0"/>
        <w:ind w:left="2879" w:right="2581" w:firstLine="0"/>
        <w:jc w:val="center"/>
        <w:rPr>
          <w:rFonts w:ascii="宋体" w:hAnsi="宋体" w:cs="宋体" w:eastAsia="宋体" w:hint="default"/>
          <w:sz w:val="40"/>
          <w:szCs w:val="40"/>
        </w:rPr>
      </w:pPr>
      <w:r>
        <w:rPr>
          <w:rFonts w:ascii="宋体" w:hAnsi="宋体" w:cs="宋体" w:eastAsia="宋体" w:hint="default"/>
          <w:color w:val="D7000F"/>
          <w:spacing w:val="57"/>
          <w:sz w:val="40"/>
          <w:szCs w:val="40"/>
        </w:rPr>
        <w:t>股权结构图</w:t>
      </w:r>
      <w:r>
        <w:rPr>
          <w:rFonts w:ascii="宋体" w:hAnsi="宋体" w:cs="宋体" w:eastAsia="宋体" w:hint="default"/>
          <w:color w:val="D7000F"/>
          <w:spacing w:val="-128"/>
          <w:sz w:val="40"/>
          <w:szCs w:val="40"/>
        </w:rPr>
        <w:t> </w:t>
      </w:r>
      <w:r>
        <w:rPr>
          <w:rFonts w:ascii="宋体" w:hAnsi="宋体" w:cs="宋体" w:eastAsia="宋体" w:hint="default"/>
          <w:sz w:val="40"/>
          <w:szCs w:val="4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9"/>
        <w:spacing w:line="583" w:lineRule="exact"/>
        <w:ind w:left="504" w:right="0"/>
        <w:jc w:val="left"/>
        <w:rPr>
          <w:rFonts w:ascii="宋体" w:hAnsi="宋体" w:cs="宋体" w:eastAsia="宋体" w:hint="default"/>
        </w:rPr>
      </w:pPr>
      <w:r>
        <w:rPr>
          <w:rFonts w:ascii="宋体"/>
          <w:position w:val="-10"/>
        </w:rPr>
        <w:pict>
          <v:group style="width:192.25pt;height:28.8pt;mso-position-horizontal-relative:char;mso-position-vertical-relative:line" coordorigin="0,0" coordsize="3845,576">
            <v:group style="position:absolute;left:35;top:541;width:3776;height:2" coordorigin="35,541" coordsize="3776,2">
              <v:shape style="position:absolute;left:35;top:541;width:3776;height:2" coordorigin="35,541" coordsize="3776,0" path="m35,541l3810,541e" filled="false" stroked="true" strokeweight="3.453pt" strokecolor="#950000">
                <v:path arrowok="t"/>
              </v:shape>
            </v:group>
            <v:group style="position:absolute;left:33;top:0;width:3780;height:511" coordorigin="33,0" coordsize="3780,511">
              <v:shape style="position:absolute;left:33;top:0;width:3780;height:511" coordorigin="33,0" coordsize="3780,511" path="m33,510l3812,510,3812,0,33,0,33,510xe" filled="true" fillcolor="#d7000f" stroked="false">
                <v:path arrowok="t"/>
                <v:fill type="solid"/>
              </v:shape>
              <v:shapetype id="_x0000_t202" o:spt="202" coordsize="21600,21600" path="m,l,21600r21600,l21600,xe">
                <v:stroke joinstyle="miter"/>
                <v:path gradientshapeok="t" o:connecttype="rect"/>
              </v:shapetype>
              <v:shape style="position:absolute;left:33;top:0;width:3780;height:542" type="#_x0000_t202" filled="false" stroked="false">
                <v:textbox inset="0,0,0,0">
                  <w:txbxContent>
                    <w:p>
                      <w:pPr>
                        <w:spacing w:line="240" w:lineRule="auto" w:before="1"/>
                        <w:rPr>
                          <w:rFonts w:ascii="宋体" w:hAnsi="宋体" w:cs="宋体" w:eastAsia="宋体" w:hint="default"/>
                          <w:sz w:val="11"/>
                          <w:szCs w:val="11"/>
                        </w:rPr>
                      </w:pPr>
                    </w:p>
                    <w:p>
                      <w:pPr>
                        <w:spacing w:before="0"/>
                        <w:ind w:left="834" w:right="0" w:firstLine="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中国联合网络通信集团有限公司</w:t>
                      </w:r>
                      <w:r>
                        <w:rPr>
                          <w:rFonts w:ascii="宋体" w:hAnsi="宋体" w:cs="宋体" w:eastAsia="宋体" w:hint="default"/>
                          <w:sz w:val="16"/>
                          <w:szCs w:val="16"/>
                        </w:rPr>
                      </w:r>
                    </w:p>
                  </w:txbxContent>
                </v:textbox>
                <w10:wrap type="none"/>
              </v:shape>
            </v:group>
          </v:group>
        </w:pict>
      </w:r>
      <w:r>
        <w:rPr>
          <w:rFonts w:ascii="宋体"/>
          <w:position w:val="-10"/>
        </w:rPr>
      </w:r>
      <w:r>
        <w:rPr>
          <w:rFonts w:ascii="Times New Roman"/>
          <w:spacing w:val="36"/>
          <w:position w:val="-10"/>
        </w:rPr>
        <w:t> </w:t>
      </w:r>
      <w:r>
        <w:rPr>
          <w:rFonts w:ascii="宋体"/>
          <w:spacing w:val="36"/>
          <w:position w:val="-11"/>
        </w:rPr>
        <w:pict>
          <v:group style="width:58.75pt;height:28.75pt;mso-position-horizontal-relative:char;mso-position-vertical-relative:line" coordorigin="0,0" coordsize="1175,575">
            <v:group style="position:absolute;left:33;top:0;width:1108;height:511" coordorigin="33,0" coordsize="1108,511">
              <v:shape style="position:absolute;left:33;top:0;width:1108;height:511" coordorigin="33,0" coordsize="1108,511" path="m33,510l1140,510,1140,0,33,0,33,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704;top:570;width:2;height:2" coordorigin="704,570" coordsize="2,2">
              <v:shape style="position:absolute;left:704;top:570;width:2;height:2" coordorigin="704,570" coordsize="0,0" path="m704,570l704,570e" filled="false" stroked="true" strokeweight=".47pt" strokecolor="#9c8758">
                <v:path arrowok="t"/>
              </v:shape>
              <v:shape style="position:absolute;left:0;top:0;width:1175;height:575" type="#_x0000_t202" filled="false" stroked="false">
                <v:textbox inset="0,0,0,0">
                  <w:txbxContent>
                    <w:p>
                      <w:pPr>
                        <w:spacing w:before="142"/>
                        <w:ind w:left="182" w:right="0" w:firstLine="0"/>
                        <w:jc w:val="left"/>
                        <w:rPr>
                          <w:rFonts w:ascii="宋体" w:hAnsi="宋体" w:cs="宋体" w:eastAsia="宋体" w:hint="default"/>
                          <w:sz w:val="15"/>
                          <w:szCs w:val="15"/>
                        </w:rPr>
                      </w:pPr>
                      <w:r>
                        <w:rPr>
                          <w:rFonts w:ascii="宋体" w:hAnsi="宋体" w:cs="宋体" w:eastAsia="宋体" w:hint="default"/>
                          <w:w w:val="105"/>
                          <w:sz w:val="15"/>
                          <w:szCs w:val="15"/>
                        </w:rPr>
                        <w:t>战略投资者</w:t>
                      </w:r>
                      <w:r>
                        <w:rPr>
                          <w:rFonts w:ascii="宋体" w:hAnsi="宋体" w:cs="宋体" w:eastAsia="宋体" w:hint="default"/>
                          <w:sz w:val="15"/>
                          <w:szCs w:val="15"/>
                        </w:rPr>
                      </w:r>
                    </w:p>
                  </w:txbxContent>
                </v:textbox>
                <w10:wrap type="none"/>
              </v:shape>
            </v:group>
          </v:group>
        </w:pict>
      </w:r>
      <w:r>
        <w:rPr>
          <w:rFonts w:ascii="宋体"/>
          <w:spacing w:val="36"/>
          <w:position w:val="-11"/>
        </w:rPr>
      </w:r>
      <w:r>
        <w:rPr>
          <w:rFonts w:ascii="Times New Roman"/>
          <w:spacing w:val="25"/>
          <w:position w:val="-11"/>
        </w:rPr>
        <w:t> </w:t>
      </w:r>
      <w:r>
        <w:rPr>
          <w:rFonts w:ascii="宋体"/>
          <w:spacing w:val="25"/>
          <w:position w:val="-11"/>
        </w:rPr>
        <w:pict>
          <v:group style="width:58.75pt;height:28.75pt;mso-position-horizontal-relative:char;mso-position-vertical-relative:line" coordorigin="0,0" coordsize="1175,575">
            <v:group style="position:absolute;left:33;top:0;width:1108;height:511" coordorigin="33,0" coordsize="1108,511">
              <v:shape style="position:absolute;left:33;top:0;width:1108;height:511" coordorigin="33,0" coordsize="1108,511" path="m33,510l1141,510,1141,0,33,0,33,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532;top:570;width:2;height:2" coordorigin="532,570" coordsize="2,2">
              <v:shape style="position:absolute;left:532;top:570;width:2;height:2" coordorigin="532,570" coordsize="0,0" path="m532,570l532,570e" filled="false" stroked="true" strokeweight=".47pt" strokecolor="#9c8758">
                <v:path arrowok="t"/>
              </v:shape>
              <v:shape style="position:absolute;left:0;top:0;width:1175;height:575" type="#_x0000_t202" filled="false" stroked="false">
                <v:textbox inset="0,0,0,0">
                  <w:txbxContent>
                    <w:p>
                      <w:pPr>
                        <w:spacing w:line="170" w:lineRule="exact" w:before="85"/>
                        <w:ind w:left="247" w:right="227" w:hanging="78"/>
                        <w:jc w:val="left"/>
                        <w:rPr>
                          <w:rFonts w:ascii="宋体" w:hAnsi="宋体" w:cs="宋体" w:eastAsia="宋体" w:hint="default"/>
                          <w:sz w:val="15"/>
                          <w:szCs w:val="15"/>
                        </w:rPr>
                      </w:pPr>
                      <w:r>
                        <w:rPr>
                          <w:rFonts w:ascii="宋体" w:hAnsi="宋体" w:cs="宋体" w:eastAsia="宋体" w:hint="default"/>
                          <w:sz w:val="15"/>
                          <w:szCs w:val="15"/>
                        </w:rPr>
                        <w:t>员工限制性</w:t>
                      </w:r>
                      <w:r>
                        <w:rPr>
                          <w:rFonts w:ascii="宋体" w:hAnsi="宋体" w:cs="宋体" w:eastAsia="宋体" w:hint="default"/>
                          <w:spacing w:val="-49"/>
                          <w:sz w:val="15"/>
                          <w:szCs w:val="15"/>
                        </w:rPr>
                        <w:t> </w:t>
                      </w:r>
                      <w:r>
                        <w:rPr>
                          <w:rFonts w:ascii="宋体" w:hAnsi="宋体" w:cs="宋体" w:eastAsia="宋体" w:hint="default"/>
                          <w:w w:val="105"/>
                          <w:sz w:val="15"/>
                          <w:szCs w:val="15"/>
                        </w:rPr>
                        <w:t>股票激励</w:t>
                      </w:r>
                      <w:r>
                        <w:rPr>
                          <w:rFonts w:ascii="宋体" w:hAnsi="宋体" w:cs="宋体" w:eastAsia="宋体" w:hint="default"/>
                          <w:sz w:val="15"/>
                          <w:szCs w:val="15"/>
                        </w:rPr>
                      </w:r>
                    </w:p>
                  </w:txbxContent>
                </v:textbox>
                <w10:wrap type="none"/>
              </v:shape>
            </v:group>
          </v:group>
        </w:pict>
      </w:r>
      <w:r>
        <w:rPr>
          <w:rFonts w:ascii="宋体"/>
          <w:spacing w:val="25"/>
          <w:position w:val="-11"/>
        </w:rPr>
      </w:r>
      <w:r>
        <w:rPr>
          <w:rFonts w:ascii="Times New Roman"/>
          <w:spacing w:val="19"/>
          <w:position w:val="-11"/>
        </w:rPr>
        <w:t> </w:t>
      </w:r>
      <w:r>
        <w:rPr>
          <w:rFonts w:ascii="宋体"/>
          <w:spacing w:val="19"/>
          <w:position w:val="-11"/>
        </w:rPr>
        <w:pict>
          <v:group style="width:58.75pt;height:28.75pt;mso-position-horizontal-relative:char;mso-position-vertical-relative:line" coordorigin="0,0" coordsize="1175,575">
            <v:group style="position:absolute;left:36;top:0;width:1108;height:511" coordorigin="36,0" coordsize="1108,511">
              <v:shape style="position:absolute;left:36;top:0;width:1108;height:511" coordorigin="36,0" coordsize="1108,511" path="m36,510l1143,510,1143,0,36,0,36,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557;top:570;width:2;height:2" coordorigin="557,570" coordsize="2,2">
              <v:shape style="position:absolute;left:557;top:570;width:2;height:2" coordorigin="557,570" coordsize="0,0" path="m557,570l557,570e" filled="false" stroked="true" strokeweight=".47pt" strokecolor="#9c8758">
                <v:path arrowok="t"/>
              </v:shape>
              <v:shape style="position:absolute;left:0;top:0;width:1175;height:575" type="#_x0000_t202" filled="false" stroked="false">
                <v:textbox inset="0,0,0,0">
                  <w:txbxContent>
                    <w:p>
                      <w:pPr>
                        <w:spacing w:before="142"/>
                        <w:ind w:left="123" w:right="0" w:firstLine="0"/>
                        <w:jc w:val="left"/>
                        <w:rPr>
                          <w:rFonts w:ascii="宋体" w:hAnsi="宋体" w:cs="宋体" w:eastAsia="宋体" w:hint="default"/>
                          <w:sz w:val="15"/>
                          <w:szCs w:val="15"/>
                        </w:rPr>
                      </w:pPr>
                      <w:r>
                        <w:rPr>
                          <w:rFonts w:ascii="宋体" w:hAnsi="宋体" w:cs="宋体" w:eastAsia="宋体" w:hint="default"/>
                          <w:w w:val="105"/>
                          <w:sz w:val="15"/>
                          <w:szCs w:val="15"/>
                        </w:rPr>
                        <w:t>其他公众股东</w:t>
                      </w:r>
                      <w:r>
                        <w:rPr>
                          <w:rFonts w:ascii="宋体" w:hAnsi="宋体" w:cs="宋体" w:eastAsia="宋体" w:hint="default"/>
                          <w:sz w:val="15"/>
                          <w:szCs w:val="15"/>
                        </w:rPr>
                      </w:r>
                    </w:p>
                  </w:txbxContent>
                </v:textbox>
                <w10:wrap type="none"/>
              </v:shape>
            </v:group>
          </v:group>
        </w:pict>
      </w:r>
      <w:r>
        <w:rPr>
          <w:rFonts w:ascii="宋体"/>
          <w:spacing w:val="19"/>
          <w:position w:val="-11"/>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tabs>
          <w:tab w:pos="5115" w:val="left" w:leader="none"/>
          <w:tab w:pos="6173" w:val="left" w:leader="none"/>
          <w:tab w:pos="7423" w:val="left" w:leader="none"/>
        </w:tabs>
        <w:spacing w:line="20" w:lineRule="exact"/>
        <w:ind w:left="4151" w:right="0" w:firstLine="0"/>
        <w:rPr>
          <w:rFonts w:ascii="宋体" w:hAnsi="宋体" w:cs="宋体" w:eastAsia="宋体" w:hint="default"/>
          <w:sz w:val="2"/>
          <w:szCs w:val="2"/>
        </w:rPr>
      </w:pP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p>
    <w:p>
      <w:pPr>
        <w:spacing w:line="240" w:lineRule="auto" w:before="5"/>
        <w:rPr>
          <w:rFonts w:ascii="宋体" w:hAnsi="宋体" w:cs="宋体" w:eastAsia="宋体" w:hint="default"/>
          <w:sz w:val="17"/>
          <w:szCs w:val="17"/>
        </w:rPr>
      </w:pPr>
    </w:p>
    <w:p>
      <w:pPr>
        <w:spacing w:before="37"/>
        <w:ind w:left="374" w:right="2961" w:firstLine="0"/>
        <w:jc w:val="center"/>
        <w:rPr>
          <w:rFonts w:ascii="宋体" w:hAnsi="宋体" w:cs="宋体" w:eastAsia="宋体" w:hint="default"/>
          <w:sz w:val="16"/>
          <w:szCs w:val="16"/>
        </w:rPr>
      </w:pPr>
      <w:r>
        <w:rPr/>
        <w:pict>
          <v:shape style="position:absolute;margin-left:273.886505pt;margin-top:-51.542992pt;width:198.8pt;height:68.45pt;mso-position-horizontal-relative:page;mso-position-vertical-relative:paragraph;z-index:17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4"/>
                    <w:gridCol w:w="964"/>
                    <w:gridCol w:w="1058"/>
                    <w:gridCol w:w="1250"/>
                    <w:gridCol w:w="276"/>
                  </w:tblGrid>
                  <w:tr>
                    <w:trPr>
                      <w:trHeight w:val="800" w:hRule="exact"/>
                    </w:trPr>
                    <w:tc>
                      <w:tcPr>
                        <w:tcW w:w="324" w:type="dxa"/>
                        <w:tcBorders>
                          <w:top w:val="nil" w:sz="6" w:space="0" w:color="auto"/>
                          <w:left w:val="nil" w:sz="6" w:space="0" w:color="auto"/>
                          <w:bottom w:val="nil" w:sz="6" w:space="0" w:color="auto"/>
                          <w:right w:val="dotted" w:sz="4" w:space="0" w:color="9C8758"/>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119" w:right="0"/>
                          <w:jc w:val="left"/>
                          <w:rPr>
                            <w:rFonts w:ascii="宋体" w:hAnsi="宋体" w:cs="宋体" w:eastAsia="宋体" w:hint="default"/>
                            <w:sz w:val="16"/>
                            <w:szCs w:val="16"/>
                          </w:rPr>
                        </w:pPr>
                        <w:r>
                          <w:rPr>
                            <w:rFonts w:ascii="宋体"/>
                            <w:w w:val="125"/>
                            <w:sz w:val="16"/>
                          </w:rPr>
                          <w:t>6.7%</w:t>
                        </w:r>
                        <w:r>
                          <w:rPr>
                            <w:rFonts w:ascii="宋体"/>
                            <w:sz w:val="16"/>
                          </w:rPr>
                        </w:r>
                      </w:p>
                    </w:tc>
                    <w:tc>
                      <w:tcPr>
                        <w:tcW w:w="964" w:type="dxa"/>
                        <w:tcBorders>
                          <w:top w:val="nil" w:sz="6" w:space="0" w:color="auto"/>
                          <w:left w:val="dotted" w:sz="4" w:space="0" w:color="9C8758"/>
                          <w:bottom w:val="nil" w:sz="6" w:space="0" w:color="auto"/>
                          <w:right w:val="dotted" w:sz="4" w:space="0" w:color="9C8758"/>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419" w:right="0"/>
                          <w:jc w:val="left"/>
                          <w:rPr>
                            <w:rFonts w:ascii="宋体" w:hAnsi="宋体" w:cs="宋体" w:eastAsia="宋体" w:hint="default"/>
                            <w:sz w:val="16"/>
                            <w:szCs w:val="16"/>
                          </w:rPr>
                        </w:pPr>
                        <w:r>
                          <w:rPr>
                            <w:rFonts w:ascii="宋体"/>
                            <w:w w:val="125"/>
                            <w:sz w:val="16"/>
                          </w:rPr>
                          <w:t>35.2%</w:t>
                        </w:r>
                        <w:r>
                          <w:rPr>
                            <w:rFonts w:ascii="宋体"/>
                            <w:sz w:val="16"/>
                          </w:rPr>
                        </w:r>
                      </w:p>
                    </w:tc>
                    <w:tc>
                      <w:tcPr>
                        <w:tcW w:w="1058" w:type="dxa"/>
                        <w:tcBorders>
                          <w:top w:val="nil" w:sz="6" w:space="0" w:color="auto"/>
                          <w:left w:val="dotted" w:sz="4" w:space="0" w:color="9C8758"/>
                          <w:bottom w:val="nil" w:sz="6" w:space="0" w:color="auto"/>
                          <w:right w:val="dotted" w:sz="4" w:space="0" w:color="9C8758"/>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598" w:right="0"/>
                          <w:jc w:val="left"/>
                          <w:rPr>
                            <w:rFonts w:ascii="宋体" w:hAnsi="宋体" w:cs="宋体" w:eastAsia="宋体" w:hint="default"/>
                            <w:sz w:val="16"/>
                            <w:szCs w:val="16"/>
                          </w:rPr>
                        </w:pPr>
                        <w:r>
                          <w:rPr>
                            <w:rFonts w:ascii="宋体"/>
                            <w:w w:val="125"/>
                            <w:sz w:val="16"/>
                          </w:rPr>
                          <w:t>2.6%</w:t>
                        </w:r>
                        <w:r>
                          <w:rPr>
                            <w:rFonts w:ascii="宋体"/>
                            <w:sz w:val="16"/>
                          </w:rPr>
                        </w:r>
                      </w:p>
                    </w:tc>
                    <w:tc>
                      <w:tcPr>
                        <w:tcW w:w="1250" w:type="dxa"/>
                        <w:tcBorders>
                          <w:top w:val="nil" w:sz="6" w:space="0" w:color="auto"/>
                          <w:left w:val="dotted" w:sz="4" w:space="0" w:color="9C8758"/>
                          <w:bottom w:val="nil" w:sz="6" w:space="0" w:color="auto"/>
                          <w:right w:val="dotted" w:sz="4" w:space="0" w:color="9C8758"/>
                        </w:tcBorders>
                      </w:tcPr>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left="697" w:right="0"/>
                          <w:jc w:val="left"/>
                          <w:rPr>
                            <w:rFonts w:ascii="宋体" w:hAnsi="宋体" w:cs="宋体" w:eastAsia="宋体" w:hint="default"/>
                            <w:sz w:val="16"/>
                            <w:szCs w:val="16"/>
                          </w:rPr>
                        </w:pPr>
                        <w:r>
                          <w:rPr>
                            <w:rFonts w:ascii="宋体"/>
                            <w:w w:val="125"/>
                            <w:sz w:val="16"/>
                          </w:rPr>
                          <w:t>25.5%</w:t>
                        </w:r>
                        <w:r>
                          <w:rPr>
                            <w:rFonts w:ascii="宋体"/>
                            <w:sz w:val="16"/>
                          </w:rPr>
                        </w:r>
                      </w:p>
                    </w:tc>
                    <w:tc>
                      <w:tcPr>
                        <w:tcW w:w="27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1"/>
                            <w:szCs w:val="21"/>
                          </w:rPr>
                        </w:pPr>
                      </w:p>
                    </w:tc>
                  </w:tr>
                  <w:tr>
                    <w:trPr>
                      <w:trHeight w:val="534" w:hRule="exact"/>
                    </w:trPr>
                    <w:tc>
                      <w:tcPr>
                        <w:tcW w:w="3872" w:type="dxa"/>
                        <w:gridSpan w:val="5"/>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36"/>
                          <w:ind w:left="834"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中国联合网络通信股份有限公司</w:t>
                        </w:r>
                        <w:r>
                          <w:rPr>
                            <w:rFonts w:ascii="宋体" w:hAnsi="宋体" w:cs="宋体" w:eastAsia="宋体" w:hint="default"/>
                            <w:sz w:val="16"/>
                            <w:szCs w:val="16"/>
                          </w:rPr>
                        </w:r>
                      </w:p>
                    </w:tc>
                  </w:tr>
                </w:tbl>
                <w:p>
                  <w:pPr/>
                </w:p>
              </w:txbxContent>
            </v:textbox>
            <w10:wrap type="none"/>
          </v:shape>
        </w:pict>
      </w:r>
      <w:r>
        <w:rPr/>
        <w:pict>
          <v:shape style="position:absolute;margin-left:108.448502pt;margin-top:-49.487789pt;width:124.25pt;height:137.4pt;mso-position-horizontal-relative:page;mso-position-vertical-relative:paragraph;z-index:1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6"/>
                    <w:gridCol w:w="1126"/>
                  </w:tblGrid>
                  <w:tr>
                    <w:trPr>
                      <w:trHeight w:val="2169" w:hRule="exact"/>
                    </w:trPr>
                    <w:tc>
                      <w:tcPr>
                        <w:tcW w:w="1256" w:type="dxa"/>
                        <w:tcBorders>
                          <w:top w:val="nil" w:sz="6" w:space="0" w:color="auto"/>
                          <w:left w:val="nil" w:sz="6" w:space="0" w:color="auto"/>
                          <w:bottom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240" w:lineRule="auto"/>
                          <w:ind w:left="756" w:right="0"/>
                          <w:jc w:val="left"/>
                          <w:rPr>
                            <w:rFonts w:ascii="宋体" w:hAnsi="宋体" w:cs="宋体" w:eastAsia="宋体" w:hint="default"/>
                            <w:sz w:val="16"/>
                            <w:szCs w:val="16"/>
                          </w:rPr>
                        </w:pPr>
                        <w:r>
                          <w:rPr>
                            <w:rFonts w:ascii="宋体"/>
                            <w:w w:val="140"/>
                            <w:sz w:val="16"/>
                          </w:rPr>
                          <w:t>100%</w:t>
                        </w:r>
                        <w:r>
                          <w:rPr>
                            <w:rFonts w:ascii="宋体"/>
                            <w:sz w:val="16"/>
                          </w:rPr>
                        </w:r>
                      </w:p>
                    </w:tc>
                    <w:tc>
                      <w:tcPr>
                        <w:tcW w:w="112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right="-2"/>
                          <w:jc w:val="right"/>
                          <w:rPr>
                            <w:rFonts w:ascii="宋体" w:hAnsi="宋体" w:cs="宋体" w:eastAsia="宋体" w:hint="default"/>
                            <w:sz w:val="16"/>
                            <w:szCs w:val="16"/>
                          </w:rPr>
                        </w:pPr>
                        <w:r>
                          <w:rPr>
                            <w:rFonts w:ascii="宋体"/>
                            <w:w w:val="98"/>
                            <w:sz w:val="16"/>
                          </w:rPr>
                          <w:t>1</w:t>
                        </w:r>
                        <w:r>
                          <w:rPr>
                            <w:rFonts w:ascii="宋体"/>
                            <w:sz w:val="16"/>
                          </w:rPr>
                        </w:r>
                      </w:p>
                    </w:tc>
                  </w:tr>
                  <w:tr>
                    <w:trPr>
                      <w:trHeight w:val="545" w:hRule="exact"/>
                    </w:trPr>
                    <w:tc>
                      <w:tcPr>
                        <w:tcW w:w="2381" w:type="dxa"/>
                        <w:gridSpan w:val="2"/>
                        <w:tcBorders>
                          <w:top w:val="nil" w:sz="6" w:space="0" w:color="auto"/>
                          <w:left w:val="nil" w:sz="6" w:space="0" w:color="auto"/>
                          <w:bottom w:val="single" w:sz="28" w:space="0" w:color="950000"/>
                          <w:right w:val="nil" w:sz="6" w:space="0" w:color="auto"/>
                        </w:tcBorders>
                        <w:shd w:val="clear" w:color="auto" w:fill="FAD7C7"/>
                      </w:tcPr>
                      <w:p>
                        <w:pPr>
                          <w:pStyle w:val="TableParagraph"/>
                          <w:spacing w:line="240" w:lineRule="auto" w:before="131"/>
                          <w:ind w:left="85" w:right="0"/>
                          <w:jc w:val="left"/>
                          <w:rPr>
                            <w:rFonts w:ascii="宋体" w:hAnsi="宋体" w:cs="宋体" w:eastAsia="宋体" w:hint="default"/>
                            <w:sz w:val="16"/>
                            <w:szCs w:val="16"/>
                          </w:rPr>
                        </w:pPr>
                        <w:r>
                          <w:rPr>
                            <w:rFonts w:ascii="宋体" w:hAnsi="宋体" w:cs="宋体" w:eastAsia="宋体" w:hint="default"/>
                            <w:sz w:val="16"/>
                            <w:szCs w:val="16"/>
                          </w:rPr>
                          <w:t>中国联通集团（BVI）有限公司</w:t>
                        </w:r>
                      </w:p>
                    </w:tc>
                  </w:tr>
                </w:tbl>
                <w:p>
                  <w:pPr/>
                </w:p>
              </w:txbxContent>
            </v:textbox>
            <w10:wrap type="none"/>
          </v:shape>
        </w:pict>
      </w:r>
      <w:r>
        <w:rPr/>
        <w:pict>
          <v:shape style="position:absolute;margin-left:237.132507pt;margin-top:-50.977089pt;width:124pt;height:138.9pt;mso-position-horizontal-relative:page;mso-position-vertical-relative:paragraph;z-index:1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8"/>
                    <w:gridCol w:w="1309"/>
                    <w:gridCol w:w="808"/>
                  </w:tblGrid>
                  <w:tr>
                    <w:trPr>
                      <w:trHeight w:val="1383" w:hRule="exact"/>
                    </w:trPr>
                    <w:tc>
                      <w:tcPr>
                        <w:tcW w:w="258" w:type="dxa"/>
                        <w:vMerge w:val="restart"/>
                        <w:tcBorders>
                          <w:top w:val="nil" w:sz="6" w:space="0" w:color="auto"/>
                          <w:left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left="-47" w:right="0"/>
                          <w:jc w:val="left"/>
                          <w:rPr>
                            <w:rFonts w:ascii="宋体" w:hAnsi="宋体" w:cs="宋体" w:eastAsia="宋体" w:hint="default"/>
                            <w:sz w:val="16"/>
                            <w:szCs w:val="16"/>
                          </w:rPr>
                        </w:pPr>
                        <w:r>
                          <w:rPr>
                            <w:rFonts w:ascii="宋体"/>
                            <w:w w:val="165"/>
                            <w:sz w:val="16"/>
                          </w:rPr>
                          <w:t>9%</w:t>
                        </w:r>
                        <w:r>
                          <w:rPr>
                            <w:rFonts w:ascii="宋体"/>
                            <w:sz w:val="16"/>
                          </w:rPr>
                        </w:r>
                      </w:p>
                    </w:tc>
                    <w:tc>
                      <w:tcPr>
                        <w:tcW w:w="2117" w:type="dxa"/>
                        <w:gridSpan w:val="2"/>
                        <w:tcBorders>
                          <w:top w:val="nil" w:sz="6" w:space="0" w:color="auto"/>
                          <w:left w:val="dotted" w:sz="4" w:space="0" w:color="9C8758"/>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255" w:right="0"/>
                          <w:jc w:val="left"/>
                          <w:rPr>
                            <w:rFonts w:ascii="宋体" w:hAnsi="宋体" w:cs="宋体" w:eastAsia="宋体" w:hint="default"/>
                            <w:sz w:val="16"/>
                            <w:szCs w:val="16"/>
                          </w:rPr>
                        </w:pPr>
                        <w:r>
                          <w:rPr>
                            <w:rFonts w:ascii="宋体"/>
                            <w:w w:val="123"/>
                            <w:sz w:val="16"/>
                          </w:rPr>
                          <w:t>3</w:t>
                        </w:r>
                        <w:r>
                          <w:rPr>
                            <w:rFonts w:ascii="宋体"/>
                            <w:sz w:val="16"/>
                          </w:rPr>
                        </w:r>
                      </w:p>
                    </w:tc>
                  </w:tr>
                  <w:tr>
                    <w:trPr>
                      <w:trHeight w:val="815" w:hRule="exact"/>
                    </w:trPr>
                    <w:tc>
                      <w:tcPr>
                        <w:tcW w:w="258" w:type="dxa"/>
                        <w:vMerge/>
                        <w:tcBorders>
                          <w:left w:val="nil" w:sz="6" w:space="0" w:color="auto"/>
                          <w:bottom w:val="nil" w:sz="6" w:space="0" w:color="auto"/>
                          <w:right w:val="dotted" w:sz="4" w:space="0" w:color="9C8758"/>
                        </w:tcBorders>
                      </w:tcPr>
                      <w:p>
                        <w:pPr/>
                      </w:p>
                    </w:tc>
                    <w:tc>
                      <w:tcPr>
                        <w:tcW w:w="1309" w:type="dxa"/>
                        <w:tcBorders>
                          <w:top w:val="nil" w:sz="6" w:space="0" w:color="auto"/>
                          <w:left w:val="dotted" w:sz="4" w:space="0" w:color="9C8758"/>
                          <w:bottom w:val="nil" w:sz="6" w:space="0" w:color="auto"/>
                          <w:right w:val="dotted" w:sz="4" w:space="0" w:color="9C8758"/>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756" w:right="0"/>
                          <w:jc w:val="left"/>
                          <w:rPr>
                            <w:rFonts w:ascii="宋体" w:hAnsi="宋体" w:cs="宋体" w:eastAsia="宋体" w:hint="default"/>
                            <w:sz w:val="16"/>
                            <w:szCs w:val="16"/>
                          </w:rPr>
                        </w:pPr>
                        <w:r>
                          <w:rPr>
                            <w:rFonts w:ascii="宋体"/>
                            <w:w w:val="120"/>
                            <w:sz w:val="16"/>
                          </w:rPr>
                          <w:t>82.1%</w:t>
                        </w:r>
                        <w:r>
                          <w:rPr>
                            <w:rFonts w:ascii="宋体"/>
                            <w:sz w:val="16"/>
                          </w:rPr>
                        </w:r>
                      </w:p>
                    </w:tc>
                    <w:tc>
                      <w:tcPr>
                        <w:tcW w:w="808" w:type="dxa"/>
                        <w:tcBorders>
                          <w:top w:val="nil" w:sz="6" w:space="0" w:color="auto"/>
                          <w:left w:val="dotted" w:sz="4" w:space="0" w:color="9C8758"/>
                          <w:bottom w:val="nil" w:sz="6" w:space="0" w:color="auto"/>
                          <w:right w:val="nil" w:sz="6" w:space="0" w:color="auto"/>
                        </w:tcBorders>
                      </w:tcPr>
                      <w:p>
                        <w:pPr/>
                      </w:p>
                    </w:tc>
                  </w:tr>
                  <w:tr>
                    <w:trPr>
                      <w:trHeight w:val="545" w:hRule="exact"/>
                    </w:trPr>
                    <w:tc>
                      <w:tcPr>
                        <w:tcW w:w="2375" w:type="dxa"/>
                        <w:gridSpan w:val="3"/>
                        <w:tcBorders>
                          <w:top w:val="nil" w:sz="6" w:space="0" w:color="auto"/>
                          <w:left w:val="nil" w:sz="6" w:space="0" w:color="auto"/>
                          <w:bottom w:val="single" w:sz="28" w:space="0" w:color="950000"/>
                          <w:right w:val="nil" w:sz="6" w:space="0" w:color="auto"/>
                        </w:tcBorders>
                        <w:shd w:val="clear" w:color="auto" w:fill="FAD7C7"/>
                      </w:tcPr>
                      <w:p>
                        <w:pPr>
                          <w:pStyle w:val="TableParagraph"/>
                          <w:spacing w:line="240" w:lineRule="auto" w:before="131"/>
                          <w:ind w:left="240" w:right="0"/>
                          <w:jc w:val="left"/>
                          <w:rPr>
                            <w:rFonts w:ascii="宋体" w:hAnsi="宋体" w:cs="宋体" w:eastAsia="宋体" w:hint="default"/>
                            <w:sz w:val="16"/>
                            <w:szCs w:val="16"/>
                          </w:rPr>
                        </w:pPr>
                        <w:r>
                          <w:rPr>
                            <w:rFonts w:ascii="宋体" w:hAnsi="宋体" w:cs="宋体" w:eastAsia="宋体" w:hint="default"/>
                            <w:sz w:val="16"/>
                            <w:szCs w:val="16"/>
                          </w:rPr>
                          <w:t>中国联通（BVI）有限公司</w:t>
                        </w:r>
                      </w:p>
                    </w:tc>
                  </w:tr>
                </w:tbl>
                <w:p>
                  <w:pPr/>
                </w:p>
              </w:txbxContent>
            </v:textbox>
            <w10:wrap type="none"/>
          </v:shape>
        </w:pict>
      </w:r>
      <w:r>
        <w:rPr>
          <w:rFonts w:ascii="宋体"/>
          <w:sz w:val="16"/>
        </w:rPr>
        <w:t>7.</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tabs>
          <w:tab w:pos="3350" w:val="left" w:leader="none"/>
          <w:tab w:pos="4659" w:val="left" w:leader="none"/>
          <w:tab w:pos="5602" w:val="left" w:leader="none"/>
        </w:tabs>
        <w:spacing w:line="588" w:lineRule="exact"/>
        <w:ind w:left="1774" w:right="0" w:firstLine="0"/>
        <w:rPr>
          <w:rFonts w:ascii="宋体" w:hAnsi="宋体" w:cs="宋体" w:eastAsia="宋体" w:hint="default"/>
          <w:sz w:val="20"/>
          <w:szCs w:val="20"/>
        </w:rPr>
      </w:pPr>
      <w:r>
        <w:rPr/>
        <w:tab/>
      </w:r>
      <w:r>
        <w:rPr>
          <w:rFonts w:ascii="宋体"/>
          <w:position w:val="46"/>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position w:val="46"/>
          <w:sz w:val="2"/>
        </w:rPr>
      </w:r>
      <w:r>
        <w:rPr>
          <w:rFonts w:ascii="宋体"/>
          <w:position w:val="45"/>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position w:val="45"/>
          <w:sz w:val="2"/>
        </w:rPr>
      </w:r>
      <w:r>
        <w:rPr>
          <w:rFonts w:ascii="宋体"/>
          <w:position w:val="45"/>
          <w:sz w:val="2"/>
        </w:rPr>
        <w:tab/>
      </w:r>
      <w:r>
        <w:rPr>
          <w:rFonts w:ascii="宋体"/>
          <w:position w:val="35"/>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position w:val="35"/>
          <w:sz w:val="2"/>
        </w:rPr>
      </w:r>
      <w:r>
        <w:rPr>
          <w:rFonts w:ascii="宋体"/>
          <w:position w:val="35"/>
          <w:sz w:val="2"/>
        </w:rPr>
        <w:tab/>
      </w:r>
      <w:r>
        <w:rPr>
          <w:rFonts w:ascii="宋体"/>
          <w:position w:val="-11"/>
          <w:sz w:val="20"/>
        </w:rPr>
        <w:pict>
          <v:group style="width:122.3pt;height:29pt;mso-position-horizontal-relative:char;mso-position-vertical-relative:line" coordorigin="0,0" coordsize="2446,580">
            <v:group style="position:absolute;left:35;top:545;width:2377;height:2" coordorigin="35,545" coordsize="2377,2">
              <v:shape style="position:absolute;left:35;top:545;width:2377;height:2" coordorigin="35,545" coordsize="2377,0" path="m35,545l2411,545e" filled="false" stroked="true" strokeweight="3.453pt" strokecolor="#950000">
                <v:path arrowok="t"/>
              </v:shape>
            </v:group>
            <v:group style="position:absolute;left:35;top:0;width:2376;height:511" coordorigin="35,0" coordsize="2376,511">
              <v:shape style="position:absolute;left:35;top:0;width:2376;height:511" coordorigin="35,0" coordsize="2376,511" path="m35,510l2410,510,2410,0,35,0,35,510xe" filled="true" fillcolor="#fad7c7" stroked="false">
                <v:path arrowok="t"/>
                <v:fill type="solid"/>
              </v:shape>
              <v:shape style="position:absolute;left:35;top:0;width:2376;height:545" type="#_x0000_t202" filled="false" stroked="false">
                <v:textbox inset="0,0,0,0">
                  <w:txbxContent>
                    <w:p>
                      <w:pPr>
                        <w:spacing w:before="132"/>
                        <w:ind w:left="561" w:right="0" w:firstLine="0"/>
                        <w:jc w:val="left"/>
                        <w:rPr>
                          <w:rFonts w:ascii="宋体" w:hAnsi="宋体" w:cs="宋体" w:eastAsia="宋体" w:hint="default"/>
                          <w:sz w:val="16"/>
                          <w:szCs w:val="16"/>
                        </w:rPr>
                      </w:pPr>
                      <w:r>
                        <w:rPr>
                          <w:rFonts w:ascii="宋体" w:hAnsi="宋体" w:cs="宋体" w:eastAsia="宋体" w:hint="default"/>
                          <w:sz w:val="16"/>
                          <w:szCs w:val="16"/>
                        </w:rPr>
                        <w:t>其他公众股东</w:t>
                      </w:r>
                    </w:p>
                  </w:txbxContent>
                </v:textbox>
                <w10:wrap type="none"/>
              </v:shape>
            </v:group>
          </v:group>
        </w:pict>
      </w:r>
      <w:r>
        <w:rPr>
          <w:rFonts w:ascii="宋体"/>
          <w:position w:val="-11"/>
          <w:sz w:val="20"/>
        </w:rPr>
      </w:r>
    </w:p>
    <w:p>
      <w:pPr>
        <w:spacing w:line="240" w:lineRule="auto" w:before="12"/>
        <w:rPr>
          <w:rFonts w:ascii="宋体" w:hAnsi="宋体" w:cs="宋体" w:eastAsia="宋体" w:hint="default"/>
          <w:sz w:val="28"/>
          <w:szCs w:val="28"/>
        </w:rPr>
      </w:pPr>
    </w:p>
    <w:p>
      <w:pPr>
        <w:spacing w:before="37"/>
        <w:ind w:left="1631" w:right="0" w:firstLine="0"/>
        <w:jc w:val="left"/>
        <w:rPr>
          <w:rFonts w:ascii="宋体" w:hAnsi="宋体" w:cs="宋体" w:eastAsia="宋体" w:hint="default"/>
          <w:sz w:val="16"/>
          <w:szCs w:val="16"/>
        </w:rPr>
      </w:pPr>
      <w:r>
        <w:rPr/>
        <w:pict>
          <v:shape style="position:absolute;margin-left:178.951508pt;margin-top:-17.439831pt;width:228.55pt;height:76.150pt;mso-position-horizontal-relative:page;mso-position-vertical-relative:paragraph;z-index:17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7"/>
                    <w:gridCol w:w="2019"/>
                    <w:gridCol w:w="1945"/>
                    <w:gridCol w:w="186"/>
                  </w:tblGrid>
                  <w:tr>
                    <w:trPr>
                      <w:trHeight w:val="945" w:hRule="exact"/>
                    </w:trPr>
                    <w:tc>
                      <w:tcPr>
                        <w:tcW w:w="317" w:type="dxa"/>
                        <w:tcBorders>
                          <w:top w:val="nil" w:sz="6" w:space="0" w:color="auto"/>
                          <w:left w:val="nil" w:sz="6" w:space="0" w:color="auto"/>
                          <w:bottom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left="-60" w:right="0"/>
                          <w:jc w:val="left"/>
                          <w:rPr>
                            <w:rFonts w:ascii="宋体" w:hAnsi="宋体" w:cs="宋体" w:eastAsia="宋体" w:hint="default"/>
                            <w:sz w:val="16"/>
                            <w:szCs w:val="16"/>
                          </w:rPr>
                        </w:pPr>
                        <w:r>
                          <w:rPr>
                            <w:rFonts w:ascii="宋体"/>
                            <w:w w:val="165"/>
                            <w:sz w:val="16"/>
                          </w:rPr>
                          <w:t>4%</w:t>
                        </w:r>
                        <w:r>
                          <w:rPr>
                            <w:rFonts w:ascii="宋体"/>
                            <w:sz w:val="16"/>
                          </w:rPr>
                        </w:r>
                      </w:p>
                    </w:tc>
                    <w:tc>
                      <w:tcPr>
                        <w:tcW w:w="2019" w:type="dxa"/>
                        <w:tcBorders>
                          <w:top w:val="nil" w:sz="6" w:space="0" w:color="auto"/>
                          <w:left w:val="dotted" w:sz="4" w:space="0" w:color="9C8758"/>
                          <w:bottom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6"/>
                          <w:jc w:val="right"/>
                          <w:rPr>
                            <w:rFonts w:ascii="宋体" w:hAnsi="宋体" w:cs="宋体" w:eastAsia="宋体" w:hint="default"/>
                            <w:sz w:val="16"/>
                            <w:szCs w:val="16"/>
                          </w:rPr>
                        </w:pPr>
                        <w:r>
                          <w:rPr>
                            <w:rFonts w:ascii="宋体"/>
                            <w:w w:val="125"/>
                            <w:sz w:val="16"/>
                          </w:rPr>
                          <w:t>53.5%</w:t>
                        </w:r>
                        <w:r>
                          <w:rPr>
                            <w:rFonts w:ascii="宋体"/>
                            <w:sz w:val="16"/>
                          </w:rPr>
                        </w:r>
                      </w:p>
                    </w:tc>
                    <w:tc>
                      <w:tcPr>
                        <w:tcW w:w="1945" w:type="dxa"/>
                        <w:tcBorders>
                          <w:top w:val="nil" w:sz="6" w:space="0" w:color="auto"/>
                          <w:left w:val="dotted" w:sz="4" w:space="0" w:color="9C8758"/>
                          <w:bottom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87"/>
                          <w:jc w:val="right"/>
                          <w:rPr>
                            <w:rFonts w:ascii="宋体" w:hAnsi="宋体" w:cs="宋体" w:eastAsia="宋体" w:hint="default"/>
                            <w:sz w:val="16"/>
                            <w:szCs w:val="16"/>
                          </w:rPr>
                        </w:pPr>
                        <w:r>
                          <w:rPr>
                            <w:rFonts w:ascii="宋体"/>
                            <w:w w:val="120"/>
                            <w:sz w:val="16"/>
                          </w:rPr>
                          <w:t>20.1%</w:t>
                        </w:r>
                        <w:r>
                          <w:rPr>
                            <w:rFonts w:ascii="宋体"/>
                            <w:sz w:val="16"/>
                          </w:rPr>
                        </w:r>
                      </w:p>
                    </w:tc>
                    <w:tc>
                      <w:tcPr>
                        <w:tcW w:w="18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tc>
                  </w:tr>
                  <w:tr>
                    <w:trPr>
                      <w:trHeight w:val="544" w:hRule="exact"/>
                    </w:trPr>
                    <w:tc>
                      <w:tcPr>
                        <w:tcW w:w="4467" w:type="dxa"/>
                        <w:gridSpan w:val="4"/>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34"/>
                          <w:ind w:left="780"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中国联合网络通信（香港）股份有限公司</w:t>
                        </w:r>
                        <w:r>
                          <w:rPr>
                            <w:rFonts w:ascii="宋体" w:hAnsi="宋体" w:cs="宋体" w:eastAsia="宋体" w:hint="default"/>
                            <w:sz w:val="16"/>
                            <w:szCs w:val="16"/>
                          </w:rPr>
                        </w:r>
                      </w:p>
                    </w:tc>
                  </w:tr>
                </w:tbl>
                <w:p>
                  <w:pPr/>
                </w:p>
              </w:txbxContent>
            </v:textbox>
            <w10:wrap type="none"/>
          </v:shape>
        </w:pict>
      </w:r>
      <w:r>
        <w:rPr>
          <w:rFonts w:ascii="宋体"/>
          <w:sz w:val="16"/>
        </w:rPr>
        <w:t>26.</w:t>
      </w:r>
    </w:p>
    <w:p>
      <w:pPr>
        <w:spacing w:line="240" w:lineRule="auto" w:before="4"/>
        <w:rPr>
          <w:rFonts w:ascii="宋体" w:hAnsi="宋体" w:cs="宋体" w:eastAsia="宋体" w:hint="default"/>
          <w:sz w:val="26"/>
          <w:szCs w:val="26"/>
        </w:rPr>
      </w:pPr>
    </w:p>
    <w:p>
      <w:pPr>
        <w:tabs>
          <w:tab w:pos="4265" w:val="left" w:leader="none"/>
          <w:tab w:pos="6210" w:val="left" w:leader="none"/>
        </w:tabs>
        <w:spacing w:line="20" w:lineRule="exact"/>
        <w:ind w:left="2246" w:right="0" w:firstLine="0"/>
        <w:rPr>
          <w:rFonts w:ascii="宋体" w:hAnsi="宋体" w:cs="宋体" w:eastAsia="宋体" w:hint="default"/>
          <w:sz w:val="2"/>
          <w:szCs w:val="2"/>
        </w:rPr>
      </w:pP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tbl>
      <w:tblPr>
        <w:tblW w:w="0" w:type="auto"/>
        <w:jc w:val="left"/>
        <w:tblInd w:w="1896" w:type="dxa"/>
        <w:tblLayout w:type="fixed"/>
        <w:tblCellMar>
          <w:top w:w="0" w:type="dxa"/>
          <w:left w:w="0" w:type="dxa"/>
          <w:bottom w:w="0" w:type="dxa"/>
          <w:right w:w="0" w:type="dxa"/>
        </w:tblCellMar>
        <w:tblLook w:val="01E0"/>
      </w:tblPr>
      <w:tblGrid>
        <w:gridCol w:w="2332"/>
        <w:gridCol w:w="2139"/>
      </w:tblGrid>
      <w:tr>
        <w:trPr>
          <w:trHeight w:val="918" w:hRule="exact"/>
        </w:trPr>
        <w:tc>
          <w:tcPr>
            <w:tcW w:w="2332" w:type="dxa"/>
            <w:tcBorders>
              <w:top w:val="nil" w:sz="6" w:space="0" w:color="auto"/>
              <w:left w:val="nil" w:sz="6" w:space="0" w:color="auto"/>
              <w:bottom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0"/>
              <w:ind w:right="113"/>
              <w:jc w:val="right"/>
              <w:rPr>
                <w:rFonts w:ascii="宋体" w:hAnsi="宋体" w:cs="宋体" w:eastAsia="宋体" w:hint="default"/>
                <w:sz w:val="16"/>
                <w:szCs w:val="16"/>
              </w:rPr>
            </w:pPr>
            <w:r>
              <w:rPr>
                <w:rFonts w:ascii="宋体"/>
                <w:w w:val="135"/>
                <w:sz w:val="16"/>
              </w:rPr>
              <w:t>100%</w:t>
            </w:r>
            <w:r>
              <w:rPr>
                <w:rFonts w:ascii="宋体"/>
                <w:sz w:val="16"/>
              </w:rPr>
            </w:r>
          </w:p>
        </w:tc>
        <w:tc>
          <w:tcPr>
            <w:tcW w:w="2139" w:type="dxa"/>
            <w:tcBorders>
              <w:top w:val="nil" w:sz="6" w:space="0" w:color="auto"/>
              <w:left w:val="dotted" w:sz="4" w:space="0" w:color="9C8758"/>
              <w:bottom w:val="nil" w:sz="6" w:space="0" w:color="auto"/>
              <w:right w:val="nil" w:sz="6" w:space="0" w:color="auto"/>
            </w:tcBorders>
          </w:tcPr>
          <w:p>
            <w:pPr/>
          </w:p>
        </w:tc>
      </w:tr>
      <w:tr>
        <w:trPr>
          <w:trHeight w:val="545" w:hRule="exact"/>
        </w:trPr>
        <w:tc>
          <w:tcPr>
            <w:tcW w:w="4471" w:type="dxa"/>
            <w:gridSpan w:val="2"/>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34"/>
              <w:ind w:left="1271"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中国联合网络通信有限公司</w:t>
            </w:r>
            <w:r>
              <w:rPr>
                <w:rFonts w:ascii="宋体" w:hAnsi="宋体" w:cs="宋体" w:eastAsia="宋体" w:hint="default"/>
                <w:sz w:val="16"/>
                <w:szCs w:val="16"/>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spacing w:before="43"/>
        <w:ind w:left="260" w:right="0" w:firstLine="0"/>
        <w:jc w:val="left"/>
        <w:rPr>
          <w:rFonts w:ascii="宋体" w:hAnsi="宋体" w:cs="宋体" w:eastAsia="宋体" w:hint="default"/>
          <w:sz w:val="16"/>
          <w:szCs w:val="16"/>
        </w:rPr>
      </w:pPr>
      <w:r>
        <w:rPr>
          <w:rFonts w:ascii="宋体" w:hAnsi="宋体" w:cs="宋体" w:eastAsia="宋体" w:hint="default"/>
          <w:sz w:val="16"/>
          <w:szCs w:val="16"/>
        </w:rPr>
        <w:t>注：</w:t>
      </w:r>
    </w:p>
    <w:p>
      <w:pPr>
        <w:spacing w:before="70"/>
        <w:ind w:left="260" w:right="0" w:firstLine="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3"/>
          <w:w w:val="105"/>
          <w:sz w:val="16"/>
          <w:szCs w:val="16"/>
        </w:rPr>
        <w:t> </w:t>
      </w:r>
      <w:r>
        <w:rPr>
          <w:rFonts w:ascii="宋体" w:hAnsi="宋体" w:cs="宋体" w:eastAsia="宋体" w:hint="default"/>
          <w:w w:val="105"/>
          <w:sz w:val="16"/>
          <w:szCs w:val="16"/>
        </w:rPr>
        <w:t>数据截至</w:t>
      </w:r>
      <w:r>
        <w:rPr>
          <w:rFonts w:ascii="宋体" w:hAnsi="宋体" w:cs="宋体" w:eastAsia="宋体" w:hint="default"/>
          <w:spacing w:val="-53"/>
          <w:w w:val="105"/>
          <w:sz w:val="16"/>
          <w:szCs w:val="16"/>
        </w:rPr>
        <w:t> </w:t>
      </w:r>
      <w:r>
        <w:rPr>
          <w:rFonts w:ascii="宋体" w:hAnsi="宋体" w:cs="宋体" w:eastAsia="宋体" w:hint="default"/>
          <w:w w:val="105"/>
          <w:sz w:val="16"/>
          <w:szCs w:val="16"/>
        </w:rPr>
        <w:t>2018</w:t>
      </w:r>
      <w:r>
        <w:rPr>
          <w:rFonts w:ascii="宋体" w:hAnsi="宋体" w:cs="宋体" w:eastAsia="宋体" w:hint="default"/>
          <w:spacing w:val="-54"/>
          <w:w w:val="105"/>
          <w:sz w:val="16"/>
          <w:szCs w:val="16"/>
        </w:rPr>
        <w:t> </w:t>
      </w:r>
      <w:r>
        <w:rPr>
          <w:rFonts w:ascii="宋体" w:hAnsi="宋体" w:cs="宋体" w:eastAsia="宋体" w:hint="default"/>
          <w:w w:val="105"/>
          <w:sz w:val="16"/>
          <w:szCs w:val="16"/>
        </w:rPr>
        <w:t>年</w:t>
      </w:r>
      <w:r>
        <w:rPr>
          <w:rFonts w:ascii="宋体" w:hAnsi="宋体" w:cs="宋体" w:eastAsia="宋体" w:hint="default"/>
          <w:spacing w:val="-53"/>
          <w:w w:val="105"/>
          <w:sz w:val="16"/>
          <w:szCs w:val="16"/>
        </w:rPr>
        <w:t> </w:t>
      </w:r>
      <w:r>
        <w:rPr>
          <w:rFonts w:ascii="宋体" w:hAnsi="宋体" w:cs="宋体" w:eastAsia="宋体" w:hint="default"/>
          <w:w w:val="105"/>
          <w:sz w:val="16"/>
          <w:szCs w:val="16"/>
        </w:rPr>
        <w:t>12</w:t>
      </w:r>
      <w:r>
        <w:rPr>
          <w:rFonts w:ascii="宋体" w:hAnsi="宋体" w:cs="宋体" w:eastAsia="宋体" w:hint="default"/>
          <w:spacing w:val="-54"/>
          <w:w w:val="105"/>
          <w:sz w:val="16"/>
          <w:szCs w:val="16"/>
        </w:rPr>
        <w:t> </w:t>
      </w:r>
      <w:r>
        <w:rPr>
          <w:rFonts w:ascii="宋体" w:hAnsi="宋体" w:cs="宋体" w:eastAsia="宋体" w:hint="default"/>
          <w:w w:val="105"/>
          <w:sz w:val="16"/>
          <w:szCs w:val="16"/>
        </w:rPr>
        <w:t>月</w:t>
      </w:r>
      <w:r>
        <w:rPr>
          <w:rFonts w:ascii="宋体" w:hAnsi="宋体" w:cs="宋体" w:eastAsia="宋体" w:hint="default"/>
          <w:spacing w:val="-53"/>
          <w:w w:val="105"/>
          <w:sz w:val="16"/>
          <w:szCs w:val="16"/>
        </w:rPr>
        <w:t> </w:t>
      </w:r>
      <w:r>
        <w:rPr>
          <w:rFonts w:ascii="宋体" w:hAnsi="宋体" w:cs="宋体" w:eastAsia="宋体" w:hint="default"/>
          <w:w w:val="105"/>
          <w:sz w:val="16"/>
          <w:szCs w:val="16"/>
        </w:rPr>
        <w:t>31</w:t>
      </w:r>
      <w:r>
        <w:rPr>
          <w:rFonts w:ascii="宋体" w:hAnsi="宋体" w:cs="宋体" w:eastAsia="宋体" w:hint="default"/>
          <w:spacing w:val="-54"/>
          <w:w w:val="105"/>
          <w:sz w:val="16"/>
          <w:szCs w:val="16"/>
        </w:rPr>
        <w:t> </w:t>
      </w:r>
      <w:r>
        <w:rPr>
          <w:rFonts w:ascii="宋体" w:hAnsi="宋体" w:cs="宋体" w:eastAsia="宋体" w:hint="default"/>
          <w:w w:val="105"/>
          <w:sz w:val="16"/>
          <w:szCs w:val="16"/>
        </w:rPr>
        <w:t>日；</w:t>
      </w:r>
    </w:p>
    <w:p>
      <w:pPr>
        <w:spacing w:before="70"/>
        <w:ind w:left="260" w:right="0" w:firstLine="0"/>
        <w:jc w:val="left"/>
        <w:rPr>
          <w:rFonts w:ascii="宋体" w:hAnsi="宋体" w:cs="宋体" w:eastAsia="宋体" w:hint="default"/>
          <w:sz w:val="16"/>
          <w:szCs w:val="16"/>
        </w:rPr>
      </w:pPr>
      <w:r>
        <w:rPr>
          <w:rFonts w:ascii="宋体" w:hAnsi="宋体" w:cs="宋体" w:eastAsia="宋体" w:hint="default"/>
          <w:w w:val="95"/>
          <w:sz w:val="16"/>
          <w:szCs w:val="16"/>
        </w:rPr>
        <w:t>2.    </w:t>
      </w:r>
      <w:r>
        <w:rPr>
          <w:rFonts w:ascii="宋体" w:hAnsi="宋体" w:cs="宋体" w:eastAsia="宋体" w:hint="default"/>
          <w:spacing w:val="1"/>
          <w:w w:val="95"/>
          <w:sz w:val="16"/>
          <w:szCs w:val="16"/>
        </w:rPr>
        <w:t> </w:t>
      </w:r>
      <w:r>
        <w:rPr>
          <w:rFonts w:ascii="宋体" w:hAnsi="宋体" w:cs="宋体" w:eastAsia="宋体" w:hint="default"/>
          <w:w w:val="95"/>
          <w:sz w:val="16"/>
          <w:szCs w:val="16"/>
        </w:rPr>
        <w:t>战略投资者持有本公司股份指混合所有制改革引入的战略投资者因非公开发行及老股转让取得的股份；</w:t>
      </w:r>
    </w:p>
    <w:p>
      <w:pPr>
        <w:spacing w:line="321" w:lineRule="auto" w:before="70"/>
        <w:ind w:left="260" w:right="0" w:firstLine="0"/>
        <w:jc w:val="left"/>
        <w:rPr>
          <w:rFonts w:ascii="宋体" w:hAnsi="宋体" w:cs="宋体" w:eastAsia="宋体" w:hint="default"/>
          <w:sz w:val="16"/>
          <w:szCs w:val="16"/>
        </w:rPr>
      </w:pPr>
      <w:r>
        <w:rPr>
          <w:rFonts w:ascii="宋体" w:hAnsi="宋体" w:cs="宋体" w:eastAsia="宋体" w:hint="default"/>
          <w:spacing w:val="-1"/>
          <w:w w:val="83"/>
          <w:sz w:val="16"/>
          <w:szCs w:val="16"/>
        </w:rPr>
        <w:t>3.</w:t>
      </w:r>
      <w:r>
        <w:rPr>
          <w:rFonts w:ascii="宋体" w:hAnsi="宋体" w:cs="宋体" w:eastAsia="宋体" w:hint="default"/>
          <w:spacing w:val="-23"/>
          <w:w w:val="83"/>
          <w:sz w:val="16"/>
          <w:szCs w:val="16"/>
        </w:rPr>
        <w:t> </w:t>
      </w:r>
      <w:r>
        <w:rPr>
          <w:rFonts w:ascii="宋体" w:hAnsi="宋体" w:cs="宋体" w:eastAsia="宋体" w:hint="default"/>
          <w:spacing w:val="2"/>
          <w:w w:val="100"/>
          <w:sz w:val="16"/>
          <w:szCs w:val="16"/>
        </w:rPr>
        <w:t>中国联通集团（BVI）有限公司持有股份中不包含其作为受托人代一中国籍股东持有的</w:t>
      </w:r>
      <w:r>
        <w:rPr>
          <w:rFonts w:ascii="宋体" w:hAnsi="宋体" w:cs="宋体" w:eastAsia="宋体" w:hint="default"/>
          <w:spacing w:val="-36"/>
          <w:w w:val="100"/>
          <w:sz w:val="16"/>
          <w:szCs w:val="16"/>
        </w:rPr>
        <w:t> </w:t>
      </w:r>
      <w:r>
        <w:rPr>
          <w:rFonts w:ascii="宋体" w:hAnsi="宋体" w:cs="宋体" w:eastAsia="宋体" w:hint="default"/>
          <w:spacing w:val="-1"/>
          <w:w w:val="100"/>
          <w:sz w:val="16"/>
          <w:szCs w:val="16"/>
        </w:rPr>
        <w:t>225,722,791</w:t>
      </w:r>
      <w:r>
        <w:rPr>
          <w:rFonts w:ascii="宋体" w:hAnsi="宋体" w:cs="宋体" w:eastAsia="宋体" w:hint="default"/>
          <w:spacing w:val="-37"/>
          <w:w w:val="100"/>
          <w:sz w:val="16"/>
          <w:szCs w:val="16"/>
        </w:rPr>
        <w:t> </w:t>
      </w:r>
      <w:r>
        <w:rPr>
          <w:rFonts w:ascii="宋体" w:hAnsi="宋体" w:cs="宋体" w:eastAsia="宋体" w:hint="default"/>
          <w:spacing w:val="3"/>
          <w:sz w:val="16"/>
          <w:szCs w:val="16"/>
        </w:rPr>
        <w:t>股中国联合</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z w:val="16"/>
          <w:szCs w:val="16"/>
        </w:rPr>
        <w:t>网络通信（香港）股份有限公司股份。</w:t>
      </w:r>
    </w:p>
    <w:p>
      <w:pPr>
        <w:spacing w:after="0" w:line="321" w:lineRule="auto"/>
        <w:jc w:val="left"/>
        <w:rPr>
          <w:rFonts w:ascii="宋体" w:hAnsi="宋体" w:cs="宋体" w:eastAsia="宋体" w:hint="default"/>
          <w:sz w:val="16"/>
          <w:szCs w:val="16"/>
        </w:rPr>
        <w:sectPr>
          <w:pgSz w:w="11910" w:h="16160"/>
          <w:pgMar w:top="1520" w:bottom="280" w:left="1680" w:right="1680"/>
        </w:sectPr>
      </w:pPr>
    </w:p>
    <w:p>
      <w:pPr>
        <w:spacing w:line="485" w:lineRule="exact" w:before="0"/>
        <w:ind w:left="822" w:right="764" w:firstLine="0"/>
        <w:jc w:val="left"/>
        <w:rPr>
          <w:rFonts w:ascii="宋体" w:hAnsi="宋体" w:cs="宋体" w:eastAsia="宋体" w:hint="default"/>
          <w:sz w:val="48"/>
          <w:szCs w:val="48"/>
        </w:rPr>
      </w:pPr>
      <w:r>
        <w:rPr>
          <w:rFonts w:ascii="宋体" w:hAnsi="宋体" w:cs="宋体" w:eastAsia="宋体" w:hint="default"/>
          <w:color w:val="D7000F"/>
          <w:sz w:val="48"/>
          <w:szCs w:val="48"/>
        </w:rPr>
        <w:t>董事长</w:t>
      </w:r>
      <w:r>
        <w:rPr>
          <w:rFonts w:ascii="宋体" w:hAnsi="宋体" w:cs="宋体" w:eastAsia="宋体" w:hint="default"/>
          <w:sz w:val="48"/>
          <w:szCs w:val="48"/>
        </w:rPr>
      </w:r>
    </w:p>
    <w:p>
      <w:pPr>
        <w:tabs>
          <w:tab w:pos="1767" w:val="left" w:leader="none"/>
        </w:tabs>
        <w:spacing w:line="602" w:lineRule="exact" w:before="0"/>
        <w:ind w:left="822" w:right="764" w:firstLine="0"/>
        <w:jc w:val="left"/>
        <w:rPr>
          <w:rFonts w:ascii="宋体" w:hAnsi="宋体" w:cs="宋体" w:eastAsia="宋体" w:hint="default"/>
          <w:sz w:val="48"/>
          <w:szCs w:val="48"/>
        </w:rPr>
      </w:pPr>
      <w:r>
        <w:rPr>
          <w:rFonts w:ascii="宋体" w:hAnsi="宋体" w:cs="宋体" w:eastAsia="宋体" w:hint="default"/>
          <w:color w:val="D7000F"/>
          <w:sz w:val="48"/>
          <w:szCs w:val="48"/>
        </w:rPr>
        <w:t>致</w:t>
        <w:tab/>
        <w:t>辞</w:t>
      </w:r>
      <w:r>
        <w:rPr>
          <w:rFonts w:ascii="宋体" w:hAnsi="宋体" w:cs="宋体" w:eastAsia="宋体" w:hint="default"/>
          <w:sz w:val="48"/>
          <w:szCs w:val="4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3"/>
          <w:szCs w:val="23"/>
        </w:rPr>
      </w:pPr>
    </w:p>
    <w:p>
      <w:pPr>
        <w:pStyle w:val="BodyText"/>
        <w:spacing w:line="240" w:lineRule="auto" w:before="31"/>
        <w:ind w:left="7313" w:right="0"/>
        <w:jc w:val="both"/>
        <w:rPr>
          <w:rFonts w:ascii="宋体" w:hAnsi="宋体" w:cs="宋体" w:eastAsia="宋体" w:hint="default"/>
        </w:rPr>
      </w:pPr>
      <w:r>
        <w:rPr/>
        <w:pict>
          <v:group style="position:absolute;margin-left:0pt;margin-top:-17.878597pt;width:596.1pt;height:566.85pt;mso-position-horizontal-relative:page;mso-position-vertical-relative:paragraph;z-index:-968104" coordorigin="0,-358" coordsize="11922,11337">
            <v:group style="position:absolute;left:0;top:9063;width:3382;height:1917" coordorigin="0,9063" coordsize="3382,1917">
              <v:shape style="position:absolute;left:0;top:9063;width:3382;height:1917" coordorigin="0,9063" coordsize="3382,1917" path="m3381,9063l0,9063,0,10979,3381,9063xe" filled="true" fillcolor="#9b8758" stroked="false">
                <v:path arrowok="t"/>
                <v:fill type="solid"/>
              </v:shape>
            </v:group>
            <v:group style="position:absolute;left:3393;top:9056;width:2;height:8" coordorigin="3393,9056" coordsize="2,8">
              <v:shape style="position:absolute;left:3393;top:9056;width:2;height:8" coordorigin="3393,9056" coordsize="1,8" path="m3394,9056l3393,9063e" filled="false" stroked="true" strokeweight="1.565pt" strokecolor="#8c8f90">
                <v:path arrowok="t"/>
              </v:shape>
            </v:group>
            <v:group style="position:absolute;left:3434;top:9033;width:19;height:31" coordorigin="3434,9033" coordsize="19,31">
              <v:shape style="position:absolute;left:3434;top:9033;width:19;height:31" coordorigin="3434,9033" coordsize="19,31" path="m3434,9033l3453,9063e" filled="false" stroked="true" strokeweight=".522pt" strokecolor="#8c8f90">
                <v:path arrowok="t"/>
              </v:shape>
            </v:group>
            <v:group style="position:absolute;left:3425;top:9038;width:10;height:25" coordorigin="3425,9038" coordsize="10,25">
              <v:shape style="position:absolute;left:3425;top:9038;width:10;height:25" coordorigin="3425,9038" coordsize="10,25" path="m3425,9038l3434,9063e" filled="false" stroked="true" strokeweight=".261pt" strokecolor="#9b8758">
                <v:path arrowok="t"/>
              </v:shape>
            </v:group>
            <v:group style="position:absolute;left:3384;top:9061;width:2;height:2" coordorigin="3384,9061" coordsize="2,2">
              <v:shape style="position:absolute;left:3384;top:9061;width:2;height:2" coordorigin="3384,9061" coordsize="2,2" path="m3384,9061l3386,9063e" filled="false" stroked="true" strokeweight="1.043pt" strokecolor="#8c8f90">
                <v:path arrowok="t"/>
              </v:shape>
            </v:group>
            <v:group style="position:absolute;left:3434;top:9033;width:18;height:30" coordorigin="3434,9033" coordsize="18,30">
              <v:shape style="position:absolute;left:3434;top:9033;width:18;height:30" coordorigin="3434,9033" coordsize="18,30" path="m3434,9033l3451,9063e" filled="false" stroked="true" strokeweight="1.565pt" strokecolor="#9b8758">
                <v:path arrowok="t"/>
              </v:shape>
            </v:group>
            <v:group style="position:absolute;left:3385;top:9060;width:2;height:3" coordorigin="3385,9060" coordsize="2,3">
              <v:shape style="position:absolute;left:3385;top:9060;width:2;height:3" coordorigin="3385,9060" coordsize="1,3" path="m3386,9060l3385,9063e" filled="false" stroked="true" strokeweight=".522pt" strokecolor="#8c8f90">
                <v:path arrowok="t"/>
              </v:shape>
            </v:group>
            <v:group style="position:absolute;left:3382;top:9063;width:2;height:2" coordorigin="3382,9063" coordsize="2,2">
              <v:shape style="position:absolute;left:3382;top:9063;width:2;height:2" coordorigin="3382,9063" coordsize="1,1" path="m3382,9063l3382,9063e" filled="false" stroked="true" strokeweight="1.043pt" strokecolor="#9b8758">
                <v:path arrowok="t"/>
              </v:shape>
            </v:group>
            <v:group style="position:absolute;left:3392;top:9057;width:2;height:7" coordorigin="3392,9057" coordsize="2,7">
              <v:shape style="position:absolute;left:3392;top:9057;width:2;height:7" coordorigin="3392,9057" coordsize="1,7" path="m3392,9057l3392,9063e" filled="false" stroked="true" strokeweight="1.565pt" strokecolor="#8c8f90">
                <v:path arrowok="t"/>
              </v:shape>
            </v:group>
            <v:group style="position:absolute;left:3397;top:9054;width:2;height:10" coordorigin="3397,9054" coordsize="2,10">
              <v:shape style="position:absolute;left:3397;top:9054;width:2;height:10" coordorigin="3397,9054" coordsize="1,10" path="m3397,9054l3397,9063e" filled="false" stroked="true" strokeweight="1.565pt" strokecolor="#9b8758">
                <v:path arrowok="t"/>
              </v:shape>
            </v:group>
            <v:group style="position:absolute;left:3475;top:9010;width:124;height:54" coordorigin="3475,9010" coordsize="124,54">
              <v:shape style="position:absolute;left:3475;top:9010;width:124;height:54" coordorigin="3475,9010" coordsize="124,54" path="m3475,9010l3599,9063e" filled="false" stroked="true" strokeweight="1.043pt" strokecolor="#8c8f90">
                <v:path arrowok="t"/>
              </v:shape>
            </v:group>
            <v:group style="position:absolute;left:3467;top:9014;width:87;height:49" coordorigin="3467,9014" coordsize="87,49">
              <v:shape style="position:absolute;left:3467;top:9014;width:87;height:49" coordorigin="3467,9014" coordsize="87,49" path="m3467,9014l3554,9063e" filled="false" stroked="true" strokeweight="1.565pt" strokecolor="#9b8758">
                <v:path arrowok="t"/>
              </v:shape>
            </v:group>
            <v:group style="position:absolute;left:3481;top:9006;width:156;height:57" coordorigin="3481,9006" coordsize="156,57">
              <v:shape style="position:absolute;left:3481;top:9006;width:156;height:57" coordorigin="3481,9006" coordsize="156,57" path="m3481,9006l3637,9063e" filled="false" stroked="true" strokeweight="1.043pt" strokecolor="#8c8f90">
                <v:path arrowok="t"/>
              </v:shape>
            </v:group>
            <v:group style="position:absolute;left:3484;top:9004;width:180;height:59" coordorigin="3484,9004" coordsize="180,59">
              <v:shape style="position:absolute;left:3484;top:9004;width:180;height:59" coordorigin="3484,9004" coordsize="180,59" path="m3484,9004l3664,9063e" filled="false" stroked="true" strokeweight="1.043pt" strokecolor="#8c8f90">
                <v:path arrowok="t"/>
              </v:shape>
            </v:group>
            <v:group style="position:absolute;left:3487;top:9003;width:202;height:60" coordorigin="3487,9003" coordsize="202,60">
              <v:shape style="position:absolute;left:3487;top:9003;width:202;height:60" coordorigin="3487,9003" coordsize="202,60" path="m3487,9003l3688,9063e" filled="false" stroked="true" strokeweight="1.043pt" strokecolor="#9b8758">
                <v:path arrowok="t"/>
              </v:shape>
            </v:group>
            <v:group style="position:absolute;left:3472;top:9012;width:107;height:52" coordorigin="3472,9012" coordsize="107,52">
              <v:shape style="position:absolute;left:3472;top:9012;width:107;height:52" coordorigin="3472,9012" coordsize="107,52" path="m3472,9012l3578,9063e" filled="false" stroked="true" strokeweight="1.565pt" strokecolor="#9b8758">
                <v:path arrowok="t"/>
              </v:shape>
            </v:group>
            <v:group style="position:absolute;left:4039;top:5156;width:7867;height:3534" coordorigin="4039,5156" coordsize="7867,3534">
              <v:shape style="position:absolute;left:4039;top:5156;width:7867;height:3534" coordorigin="4039,5156" coordsize="7867,3534" path="m11905,5156l4039,8690e" filled="false" stroked="true" strokeweight=".522pt" strokecolor="#9b8758">
                <v:path arrowok="t"/>
              </v:shape>
            </v:group>
            <v:group style="position:absolute;left:3925;top:5374;width:7981;height:3381" coordorigin="3925,5374" coordsize="7981,3381">
              <v:shape style="position:absolute;left:3925;top:5374;width:7981;height:3381" coordorigin="3925,5374" coordsize="7981,3381" path="m11906,5374l3925,8755e" filled="false" stroked="true" strokeweight=".522pt" strokecolor="#8c8f90">
                <v:path arrowok="t"/>
              </v:shape>
            </v:group>
            <v:group style="position:absolute;left:3627;top:6971;width:8279;height:1953" coordorigin="3627,6971" coordsize="8279,1953">
              <v:shape style="position:absolute;left:3627;top:6971;width:8279;height:1953" coordorigin="3627,6971" coordsize="8279,1953" path="m11906,6971l3627,8923e" filled="false" stroked="true" strokeweight=".261pt" strokecolor="#8c8f90">
                <v:path arrowok="t"/>
              </v:shape>
            </v:group>
            <v:group style="position:absolute;left:6306;top:5997;width:2604;height:1409" coordorigin="6306,5997" coordsize="2604,1409">
              <v:shape style="position:absolute;left:6306;top:5997;width:2604;height:1409" coordorigin="6306,5997" coordsize="2604,1409" path="m8910,5997l6306,7405e" filled="false" stroked="true" strokeweight="1.043pt" strokecolor="#8c8f90">
                <v:path arrowok="t"/>
              </v:shape>
            </v:group>
            <v:group style="position:absolute;left:10803;top:4376;width:1103;height:597" coordorigin="10803,4376" coordsize="1103,597">
              <v:shape style="position:absolute;left:10803;top:4376;width:1103;height:597" coordorigin="10803,4376" coordsize="1103,597" path="m11905,4376l10803,4973e" filled="false" stroked="true" strokeweight="1.043pt" strokecolor="#8c8f90">
                <v:path arrowok="t"/>
              </v:shape>
            </v:group>
            <v:group style="position:absolute;left:4391;top:4801;width:7515;height:3690" coordorigin="4391,4801" coordsize="7515,3690">
              <v:shape style="position:absolute;left:4391;top:4801;width:7515;height:3690" coordorigin="4391,4801" coordsize="7515,3690" path="m11906,4801l4391,8491e" filled="false" stroked="true" strokeweight="1.565pt" strokecolor="#8c8f90">
                <v:path arrowok="t"/>
              </v:shape>
            </v:group>
            <v:group style="position:absolute;left:6496;top:4549;width:5410;height:2748" coordorigin="6496,4549" coordsize="5410,2748">
              <v:shape style="position:absolute;left:6496;top:4549;width:5410;height:2748" coordorigin="6496,4549" coordsize="5410,2748" path="m11905,4549l6496,7297e" filled="false" stroked="true" strokeweight=".522pt" strokecolor="#9b8758">
                <v:path arrowok="t"/>
              </v:shape>
            </v:group>
            <v:group style="position:absolute;left:3575;top:8953;width:5025;height:110" coordorigin="3575,8953" coordsize="5025,110">
              <v:shape style="position:absolute;left:3575;top:8953;width:5025;height:110" coordorigin="3575,8953" coordsize="5025,110" path="m3575,8953l8599,9063e" filled="false" stroked="true" strokeweight=".522pt" strokecolor="#8c8f90">
                <v:path arrowok="t"/>
              </v:shape>
            </v:group>
            <v:group style="position:absolute;left:3543;top:8640;width:8363;height:332" coordorigin="3543,8640" coordsize="8363,332">
              <v:shape style="position:absolute;left:3543;top:8640;width:8363;height:332" coordorigin="3543,8640" coordsize="8363,332" path="m3543,8971l11906,8640e" filled="false" stroked="true" strokeweight="1.565pt" strokecolor="#8c8f90">
                <v:path arrowok="t"/>
              </v:shape>
            </v:group>
            <v:group style="position:absolute;left:3470;top:9013;width:98;height:51" coordorigin="3470,9013" coordsize="98,51">
              <v:shape style="position:absolute;left:3470;top:9013;width:98;height:51" coordorigin="3470,9013" coordsize="98,51" path="m3470,9013l3568,9063e" filled="false" stroked="true" strokeweight="1.043pt" strokecolor="#9b8758">
                <v:path arrowok="t"/>
              </v:shape>
            </v:group>
            <v:group style="position:absolute;left:3504;top:8993;width:442;height:70" coordorigin="3504,8993" coordsize="442,70">
              <v:shape style="position:absolute;left:3504;top:8993;width:442;height:70" coordorigin="3504,8993" coordsize="442,70" path="m3504,8993l3946,9063e" filled="false" stroked="true" strokeweight="1.043pt" strokecolor="#8c8f90">
                <v:path arrowok="t"/>
              </v:shape>
            </v:group>
            <v:group style="position:absolute;left:3492;top:9000;width:246;height:63" coordorigin="3492,9000" coordsize="246,63">
              <v:shape style="position:absolute;left:3492;top:9000;width:246;height:63" coordorigin="3492,9000" coordsize="246,63" path="m3492,9000l3737,9063e" filled="false" stroked="true" strokeweight="1.565pt" strokecolor="#8c8f90">
                <v:path arrowok="t"/>
              </v:shape>
            </v:group>
            <v:group style="position:absolute;left:3499;top:8996;width:350;height:67" coordorigin="3499,8996" coordsize="350,67">
              <v:shape style="position:absolute;left:3499;top:8996;width:350;height:67" coordorigin="3499,8996" coordsize="350,67" path="m3499,8996l3849,9063e" filled="false" stroked="true" strokeweight="1.565pt" strokecolor="#8c8f90">
                <v:path arrowok="t"/>
              </v:shape>
            </v:group>
            <v:group style="position:absolute;left:3633;top:6904;width:8273;height:2017" coordorigin="3633,6904" coordsize="8273,2017">
              <v:shape style="position:absolute;left:3633;top:6904;width:8273;height:2017" coordorigin="3633,6904" coordsize="8273,2017" path="m3633,8920l11905,6904e" filled="false" stroked="true" strokeweight="1.043pt" strokecolor="#8c8f90">
                <v:path arrowok="t"/>
              </v:shape>
            </v:group>
            <v:group style="position:absolute;left:3575;top:7804;width:8331;height:1150" coordorigin="3575,7804" coordsize="8331,1150">
              <v:shape style="position:absolute;left:3575;top:7804;width:8331;height:1150" coordorigin="3575,7804" coordsize="8331,1150" path="m3575,8953l11906,7804e" filled="false" stroked="true" strokeweight="1.565pt" strokecolor="#8c8f90">
                <v:path arrowok="t"/>
              </v:shape>
            </v:group>
            <v:group style="position:absolute;left:3436;top:9032;width:68;height:32" coordorigin="3436,9032" coordsize="68,32">
              <v:shape style="position:absolute;left:3436;top:9032;width:68;height:32" coordorigin="3436,9032" coordsize="68,32" path="m3504,9063l3436,9032e" filled="false" stroked="true" strokeweight=".522pt" strokecolor="#9b8758">
                <v:path arrowok="t"/>
              </v:shape>
            </v:group>
            <v:group style="position:absolute;left:3479;top:9008;width:142;height:56" coordorigin="3479,9008" coordsize="142,56">
              <v:shape style="position:absolute;left:3479;top:9008;width:142;height:56" coordorigin="3479,9008" coordsize="142,56" path="m3620,9063l3479,9008e" filled="false" stroked="true" strokeweight=".522pt" strokecolor="#9b8758">
                <v:path arrowok="t"/>
              </v:shape>
            </v:group>
            <v:group style="position:absolute;left:3464;top:9016;width:77;height:47" coordorigin="3464,9016" coordsize="77,47">
              <v:shape style="position:absolute;left:3464;top:9016;width:77;height:47" coordorigin="3464,9016" coordsize="77,47" path="m3540,9063l3464,9016e" filled="false" stroked="true" strokeweight=".261pt" strokecolor="#8c8f90">
                <v:path arrowok="t"/>
              </v:shape>
            </v:group>
            <v:group style="position:absolute;left:3459;top:9019;width:62;height:44" coordorigin="3459,9019" coordsize="62,44">
              <v:shape style="position:absolute;left:3459;top:9019;width:62;height:44" coordorigin="3459,9019" coordsize="62,44" path="m3520,9063l3459,9019e" filled="false" stroked="true" strokeweight=".261pt" strokecolor="#8c8f90">
                <v:path arrowok="t"/>
              </v:shape>
            </v:group>
            <v:group style="position:absolute;left:3460;top:9018;width:64;height:45" coordorigin="3460,9018" coordsize="64,45">
              <v:shape style="position:absolute;left:3460;top:9018;width:64;height:45" coordorigin="3460,9018" coordsize="64,45" path="m3460,9018l3523,9063e" filled="false" stroked="true" strokeweight="1.043pt" strokecolor="#9b8758">
                <v:path arrowok="t"/>
              </v:shape>
            </v:group>
            <v:group style="position:absolute;left:3451;top:9023;width:45;height:40" coordorigin="3451,9023" coordsize="45,40">
              <v:shape style="position:absolute;left:3451;top:9023;width:45;height:40" coordorigin="3451,9023" coordsize="45,40" path="m3451,9023l3496,9063e" filled="false" stroked="true" strokeweight="1.565pt" strokecolor="#8c8f90">
                <v:path arrowok="t"/>
              </v:shape>
            </v:group>
            <v:group style="position:absolute;left:3426;top:9038;width:11;height:26" coordorigin="3426,9038" coordsize="11,26">
              <v:shape style="position:absolute;left:3426;top:9038;width:11;height:26" coordorigin="3426,9038" coordsize="11,26" path="m3426,9038l3437,9063e" filled="false" stroked="true" strokeweight="1.565pt" strokecolor="#9b8758">
                <v:path arrowok="t"/>
              </v:shape>
            </v:group>
            <v:group style="position:absolute;left:3435;top:9032;width:20;height:31" coordorigin="3435,9032" coordsize="20,31">
              <v:shape style="position:absolute;left:3435;top:9032;width:20;height:31" coordorigin="3435,9032" coordsize="20,31" path="m3435,9032l3455,9063e" filled="false" stroked="true" strokeweight="1.043pt" strokecolor="#9b8758">
                <v:path arrowok="t"/>
              </v:shape>
            </v:group>
            <v:group style="position:absolute;left:3429;top:9036;width:14;height:28" coordorigin="3429,9036" coordsize="14,28">
              <v:shape style="position:absolute;left:3429;top:9036;width:14;height:28" coordorigin="3429,9036" coordsize="14,28" path="m3429,9036l3443,9063e" filled="false" stroked="true" strokeweight="1.565pt" strokecolor="#8c8f90">
                <v:path arrowok="t"/>
              </v:shape>
            </v:group>
            <v:group style="position:absolute;left:3455;top:9021;width:52;height:42" coordorigin="3455,9021" coordsize="52,42">
              <v:shape style="position:absolute;left:3455;top:9021;width:52;height:42" coordorigin="3455,9021" coordsize="52,42" path="m3455,9021l3507,9063e" filled="false" stroked="true" strokeweight="1.043pt" strokecolor="#9b8758">
                <v:path arrowok="t"/>
              </v:shape>
            </v:group>
            <v:group style="position:absolute;left:3462;top:9017;width:70;height:46" coordorigin="3462,9017" coordsize="70,46">
              <v:shape style="position:absolute;left:3462;top:9017;width:70;height:46" coordorigin="3462,9017" coordsize="70,46" path="m3462,9017l3531,9063e" filled="false" stroked="true" strokeweight="1.043pt" strokecolor="#9b8758">
                <v:path arrowok="t"/>
              </v:shape>
            </v:group>
            <v:group style="position:absolute;left:3448;top:9025;width:39;height:39" coordorigin="3448,9025" coordsize="39,39">
              <v:shape style="position:absolute;left:3448;top:9025;width:39;height:39" coordorigin="3448,9025" coordsize="39,39" path="m3448,9025l3487,9063e" filled="false" stroked="true" strokeweight="1.565pt" strokecolor="#9b8758">
                <v:path arrowok="t"/>
              </v:shape>
            </v:group>
            <v:group style="position:absolute;left:3465;top:9015;width:81;height:48" coordorigin="3465,9015" coordsize="81,48">
              <v:shape style="position:absolute;left:3465;top:9015;width:81;height:48" coordorigin="3465,9015" coordsize="81,48" path="m3465,9015l3546,9063e" filled="false" stroked="true" strokeweight="1.043pt" strokecolor="#9b8758">
                <v:path arrowok="t"/>
              </v:shape>
            </v:group>
            <v:group style="position:absolute;left:3447;top:9026;width:36;height:38" coordorigin="3447,9026" coordsize="36,38">
              <v:shape style="position:absolute;left:3447;top:9026;width:36;height:38" coordorigin="3447,9026" coordsize="36,38" path="m3447,9026l3483,9063e" filled="false" stroked="true" strokeweight="1.043pt" strokecolor="#8c8f90">
                <v:path arrowok="t"/>
              </v:shape>
            </v:group>
            <v:group style="position:absolute;left:3451;top:9024;width:43;height:40" coordorigin="3451,9024" coordsize="43,40">
              <v:shape style="position:absolute;left:3451;top:9024;width:43;height:40" coordorigin="3451,9024" coordsize="43,40" path="m3451,9024l3493,9063e" filled="false" stroked="true" strokeweight="1.043pt" strokecolor="#8c8f90">
                <v:path arrowok="t"/>
              </v:shape>
            </v:group>
            <v:group style="position:absolute;left:3489;top:9002;width:217;height:61" coordorigin="3489,9002" coordsize="217,61">
              <v:shape style="position:absolute;left:3489;top:9002;width:217;height:61" coordorigin="3489,9002" coordsize="217,61" path="m3489,9002l3706,9063e" filled="false" stroked="true" strokeweight=".522pt" strokecolor="#9b8758">
                <v:path arrowok="t"/>
              </v:shape>
            </v:group>
            <v:group style="position:absolute;left:3458;top:9020;width:59;height:44" coordorigin="3458,9020" coordsize="59,44">
              <v:shape style="position:absolute;left:3458;top:9020;width:59;height:44" coordorigin="3458,9020" coordsize="59,44" path="m3458,9020l3516,9063e" filled="false" stroked="true" strokeweight="1.565pt" strokecolor="#9b8758">
                <v:path arrowok="t"/>
              </v:shape>
            </v:group>
            <v:group style="position:absolute;left:3395;top:9058;width:11;height:2" coordorigin="3395,9058" coordsize="11,2">
              <v:shape style="position:absolute;left:3395;top:9058;width:11;height:2" coordorigin="3395,9058" coordsize="11,0" path="m3395,9058l3405,9058e" filled="false" stroked="true" strokeweight=".52994pt" strokecolor="#9b8758">
                <v:path arrowok="t"/>
              </v:shape>
            </v:group>
            <v:group style="position:absolute;left:3386;top:9060;width:2;height:4" coordorigin="3386,9060" coordsize="2,4">
              <v:shape style="position:absolute;left:3386;top:9060;width:2;height:4" coordorigin="3386,9060" coordsize="1,4" path="m3386,9063l3387,9060e" filled="false" stroked="true" strokeweight=".261pt" strokecolor="#9b8758">
                <v:path arrowok="t"/>
              </v:shape>
            </v:group>
            <v:group style="position:absolute;left:3387;top:9059;width:2;height:4" coordorigin="3387,9059" coordsize="2,4">
              <v:shape style="position:absolute;left:3387;top:9059;width:2;height:4" coordorigin="3387,9059" coordsize="1,4" path="m3388,9059l3387,9063e" filled="false" stroked="true" strokeweight="1.043pt" strokecolor="#9b8758">
                <v:path arrowok="t"/>
              </v:shape>
            </v:group>
            <v:group style="position:absolute;left:3427;top:9037;width:12;height:27" coordorigin="3427,9037" coordsize="12,27">
              <v:shape style="position:absolute;left:3427;top:9037;width:12;height:27" coordorigin="3427,9037" coordsize="12,27" path="m3427,9037l3439,9063e" filled="false" stroked="true" strokeweight=".522pt" strokecolor="#8c8f90">
                <v:path arrowok="t"/>
              </v:shape>
            </v:group>
            <v:group style="position:absolute;left:3423;top:9039;width:10;height:24" coordorigin="3423,9039" coordsize="10,24">
              <v:shape style="position:absolute;left:3423;top:9039;width:10;height:24" coordorigin="3423,9039" coordsize="10,24" path="m3423,9039l3432,9063e" filled="false" stroked="true" strokeweight=".522pt" strokecolor="#9b8758">
                <v:path arrowok="t"/>
              </v:shape>
            </v:group>
            <v:group style="position:absolute;left:3444;top:9027;width:32;height:36" coordorigin="3444,9027" coordsize="32,36">
              <v:shape style="position:absolute;left:3444;top:9027;width:32;height:36" coordorigin="3444,9027" coordsize="32,36" path="m3444,9027l3475,9063e" filled="false" stroked="true" strokeweight=".261pt" strokecolor="#8c8f90">
                <v:path arrowok="t"/>
              </v:shape>
            </v:group>
            <v:group style="position:absolute;left:3413;top:9045;width:4;height:18" coordorigin="3413,9045" coordsize="4,18">
              <v:shape style="position:absolute;left:3413;top:9045;width:4;height:18" coordorigin="3413,9045" coordsize="4,18" path="m3413,9045l3416,9063e" filled="false" stroked="true" strokeweight="1.043pt" strokecolor="#9b8758">
                <v:path arrowok="t"/>
              </v:shape>
            </v:group>
            <v:group style="position:absolute;left:3428;top:9036;width:13;height:27" coordorigin="3428,9036" coordsize="13,27">
              <v:shape style="position:absolute;left:3428;top:9036;width:13;height:27" coordorigin="3428,9036" coordsize="13,27" path="m3428,9036l3441,9063e" filled="false" stroked="true" strokeweight="1.043pt" strokecolor="#9b8758">
                <v:path arrowok="t"/>
              </v:shape>
            </v:group>
            <v:group style="position:absolute;left:3410;top:9047;width:3;height:17" coordorigin="3410,9047" coordsize="3,17">
              <v:shape style="position:absolute;left:3410;top:9047;width:3;height:17" coordorigin="3410,9047" coordsize="3,17" path="m3410,9047l3412,9063e" filled="false" stroked="true" strokeweight="1.565pt" strokecolor="#8c8f90">
                <v:path arrowok="t"/>
              </v:shape>
            </v:group>
            <v:group style="position:absolute;left:3422;top:9040;width:9;height:24" coordorigin="3422,9040" coordsize="9,24">
              <v:shape style="position:absolute;left:3422;top:9040;width:9;height:24" coordorigin="3422,9040" coordsize="9,24" path="m3422,9040l3430,9063e" filled="false" stroked="true" strokeweight="1.565pt" strokecolor="#9b8758">
                <v:path arrowok="t"/>
              </v:shape>
            </v:group>
            <v:group style="position:absolute;left:3417;top:9043;width:6;height:21" coordorigin="3417,9043" coordsize="6,21">
              <v:shape style="position:absolute;left:3417;top:9043;width:6;height:21" coordorigin="3417,9043" coordsize="6,21" path="m3417,9043l3422,9063e" filled="false" stroked="true" strokeweight=".522pt" strokecolor="#9b8758">
                <v:path arrowok="t"/>
              </v:shape>
            </v:group>
            <v:group style="position:absolute;left:3405;top:9049;width:2;height:14" coordorigin="3405,9049" coordsize="2,14">
              <v:shape style="position:absolute;left:3405;top:9049;width:2;height:14" coordorigin="3405,9049" coordsize="1,14" path="m3405,9049l3406,9063e" filled="false" stroked="true" strokeweight=".261pt" strokecolor="#8c8f90">
                <v:path arrowok="t"/>
              </v:shape>
            </v:group>
            <v:group style="position:absolute;left:3415;top:9044;width:5;height:20" coordorigin="3415,9044" coordsize="5,20">
              <v:shape style="position:absolute;left:3415;top:9044;width:5;height:20" coordorigin="3415,9044" coordsize="5,20" path="m3415,9044l3419,9063e" filled="false" stroked="true" strokeweight="1.043pt" strokecolor="#8c8f90">
                <v:path arrowok="t"/>
              </v:shape>
            </v:group>
            <v:group style="position:absolute;left:3420;top:9041;width:7;height:23" coordorigin="3420,9041" coordsize="7,23">
              <v:shape style="position:absolute;left:3420;top:9041;width:7;height:23" coordorigin="3420,9041" coordsize="7,23" path="m3420,9041l3427,9063e" filled="false" stroked="true" strokeweight="1.565pt" strokecolor="#9b8758">
                <v:path arrowok="t"/>
              </v:shape>
            </v:group>
            <v:group style="position:absolute;left:3764;top:5914;width:8142;height:2933" coordorigin="3764,5914" coordsize="8142,2933">
              <v:shape style="position:absolute;left:3764;top:5914;width:8142;height:2933" coordorigin="3764,5914" coordsize="8142,2933" path="m11906,5914l3764,8846e" filled="false" stroked="true" strokeweight=".261pt" strokecolor="#8c8f90">
                <v:path arrowok="t"/>
              </v:shape>
            </v:group>
            <v:group style="position:absolute;left:3881;top:6661;width:8025;height:2119" coordorigin="3881,6661" coordsize="8025,2119">
              <v:shape style="position:absolute;left:3881;top:6661;width:8025;height:2119" coordorigin="3881,6661" coordsize="8025,2119" path="m11906,6661l3881,8780e" filled="false" stroked="true" strokeweight=".261pt" strokecolor="#8c8f90">
                <v:path arrowok="t"/>
              </v:shape>
            </v:group>
            <v:group style="position:absolute;left:3860;top:5546;width:8046;height:3246" coordorigin="3860,5546" coordsize="8046,3246">
              <v:shape style="position:absolute;left:3860;top:5546;width:8046;height:3246" coordorigin="3860,5546" coordsize="8046,3246" path="m11906,5546l3860,8792e" filled="false" stroked="true" strokeweight="1.043pt" strokecolor="#9b8758">
                <v:path arrowok="t"/>
              </v:shape>
            </v:group>
            <v:group style="position:absolute;left:3671;top:6518;width:8235;height:2381" coordorigin="3671,6518" coordsize="8235,2381">
              <v:shape style="position:absolute;left:3671;top:6518;width:8235;height:2381" coordorigin="3671,6518" coordsize="8235,2381" path="m11906,6518l3671,8899e" filled="false" stroked="true" strokeweight="1.565pt" strokecolor="#8c8f90">
                <v:path arrowok="t"/>
              </v:shape>
            </v:group>
            <v:group style="position:absolute;left:3796;top:5771;width:8110;height:3058" coordorigin="3796,5771" coordsize="8110,3058">
              <v:shape style="position:absolute;left:3796;top:5771;width:8110;height:3058" coordorigin="3796,5771" coordsize="8110,3058" path="m11906,5771l3796,8828e" filled="false" stroked="true" strokeweight="1.565pt" strokecolor="#8c8f90">
                <v:path arrowok="t"/>
              </v:shape>
            </v:group>
            <v:group style="position:absolute;left:3694;top:6328;width:8212;height:2558" coordorigin="3694,6328" coordsize="8212,2558">
              <v:shape style="position:absolute;left:3694;top:6328;width:8212;height:2558" coordorigin="3694,6328" coordsize="8212,2558" path="m11906,6328l3694,8885e" filled="false" stroked="true" strokeweight=".522pt" strokecolor="#9b8758">
                <v:path arrowok="t"/>
              </v:shape>
            </v:group>
            <v:group style="position:absolute;left:3583;top:7651;width:8323;height:1298" coordorigin="3583,7651" coordsize="8323,1298">
              <v:shape style="position:absolute;left:3583;top:7651;width:8323;height:1298" coordorigin="3583,7651" coordsize="8323,1298" path="m11906,7651l3583,8949e" filled="false" stroked="true" strokeweight=".261pt" strokecolor="#9b8758">
                <v:path arrowok="t"/>
              </v:shape>
            </v:group>
            <v:group style="position:absolute;left:3717;top:6174;width:8189;height:2699" coordorigin="3717,6174" coordsize="8189,2699">
              <v:shape style="position:absolute;left:3717;top:6174;width:8189;height:2699" coordorigin="3717,6174" coordsize="8189,2699" path="m11906,6174l3717,8873e" filled="false" stroked="true" strokeweight="1.043pt" strokecolor="#8c8f90">
                <v:path arrowok="t"/>
              </v:shape>
            </v:group>
            <v:group style="position:absolute;left:3617;top:7108;width:8289;height:1822" coordorigin="3617,7108" coordsize="8289,1822">
              <v:shape style="position:absolute;left:3617;top:7108;width:8289;height:1822" coordorigin="3617,7108" coordsize="8289,1822" path="m11906,7108l3617,8929e" filled="false" stroked="true" strokeweight="1.565pt" strokecolor="#8c8f90">
                <v:path arrowok="t"/>
              </v:shape>
            </v:group>
            <v:group style="position:absolute;left:3568;top:7955;width:8338;height:1002" coordorigin="3568,7955" coordsize="8338,1002">
              <v:shape style="position:absolute;left:3568;top:7955;width:8338;height:1002" coordorigin="3568,7955" coordsize="8338,1002" path="m11905,7955l3568,8957e" filled="false" stroked="true" strokeweight=".522pt" strokecolor="#9b8758">
                <v:path arrowok="t"/>
              </v:shape>
            </v:group>
            <v:group style="position:absolute;left:3559;top:8187;width:8347;height:776" coordorigin="3559,8187" coordsize="8347,776">
              <v:shape style="position:absolute;left:3559;top:8187;width:8347;height:776" coordorigin="3559,8187" coordsize="8347,776" path="m11906,8187l3559,8962e" filled="false" stroked="true" strokeweight="1.043pt" strokecolor="#9b8758">
                <v:path arrowok="t"/>
              </v:shape>
            </v:group>
            <v:group style="position:absolute;left:3539;top:8769;width:8367;height:205" coordorigin="3539,8769" coordsize="8367,205">
              <v:shape style="position:absolute;left:3539;top:8769;width:8367;height:205" coordorigin="3539,8769" coordsize="8367,205" path="m3539,8974l11906,8769e" filled="false" stroked="true" strokeweight="1.043pt" strokecolor="#8c8f90">
                <v:path arrowok="t"/>
              </v:shape>
            </v:group>
            <v:group style="position:absolute;left:3518;top:8985;width:1132;height:78" coordorigin="3518,8985" coordsize="1132,78">
              <v:shape style="position:absolute;left:3518;top:8985;width:1132;height:78" coordorigin="3518,8985" coordsize="1132,78" path="m3518,8985l4650,9063e" filled="false" stroked="true" strokeweight="1.565pt" strokecolor="#8c8f90">
                <v:path arrowok="t"/>
              </v:shape>
            </v:group>
            <v:group style="position:absolute;left:3524;top:8982;width:1972;height:81" coordorigin="3524,8982" coordsize="1972,81">
              <v:shape style="position:absolute;left:3524;top:8982;width:1972;height:81" coordorigin="3524,8982" coordsize="1972,81" path="m3524,8982l5495,9063e" filled="false" stroked="true" strokeweight="1.043pt" strokecolor="#9b8758">
                <v:path arrowok="t"/>
              </v:shape>
            </v:group>
            <v:group style="position:absolute;left:11911;top:8951;width:2;height:37" coordorigin="11911,8951" coordsize="2,37">
              <v:shape style="position:absolute;left:11911;top:8951;width:2;height:37" coordorigin="11911,8951" coordsize="0,37" path="m11911,8951l11911,8987e" filled="false" stroked="true" strokeweight="1.043pt" strokecolor="#9b8758">
                <v:path arrowok="t"/>
              </v:shape>
            </v:group>
            <v:group style="position:absolute;left:3523;top:8969;width:3234;height:2" coordorigin="3523,8969" coordsize="3234,2">
              <v:shape style="position:absolute;left:3523;top:8969;width:3234;height:2" coordorigin="3523,8969" coordsize="3234,0" path="m3523,8969l6756,8969e" filled="false" stroked="true" strokeweight="1.043pt" strokecolor="#9b8758">
                <v:path arrowok="t"/>
              </v:shape>
            </v:group>
            <v:group style="position:absolute;left:3506;top:8992;width:491;height:71" coordorigin="3506,8992" coordsize="491,71">
              <v:shape style="position:absolute;left:3506;top:8992;width:491;height:71" coordorigin="3506,8992" coordsize="491,71" path="m3506,8992l3997,9063e" filled="false" stroked="true" strokeweight="1.565pt" strokecolor="#8c8f90">
                <v:path arrowok="t"/>
              </v:shape>
            </v:group>
            <v:group style="position:absolute;left:3548;top:8467;width:8358;height:502" coordorigin="3548,8467" coordsize="8358,502">
              <v:shape style="position:absolute;left:3548;top:8467;width:8358;height:502" coordorigin="3548,8467" coordsize="8358,502" path="m11905,8467l3548,8968e" filled="false" stroked="true" strokeweight=".261pt" strokecolor="#9b8758">
                <v:path arrowok="t"/>
              </v:shape>
            </v:group>
            <v:group style="position:absolute;left:3594;top:7448;width:8312;height:1494" coordorigin="3594,7448" coordsize="8312,1494">
              <v:shape style="position:absolute;left:3594;top:7448;width:8312;height:1494" coordorigin="3594,7448" coordsize="8312,1494" path="m11906,7448l3594,8942e" filled="false" stroked="true" strokeweight=".522pt" strokecolor="#8c8f90">
                <v:path arrowok="t"/>
              </v:shape>
            </v:group>
            <v:group style="position:absolute;left:3475;top:9010;width:246;height:54" coordorigin="3475,9010" coordsize="246,54">
              <v:shape style="position:absolute;left:3475;top:9010;width:246;height:54" coordorigin="3475,9010" coordsize="246,54" path="m3720,9063l3475,9010e" filled="false" stroked="true" strokeweight="1.043pt" strokecolor="#9b8758">
                <v:path arrowok="t"/>
              </v:shape>
            </v:group>
            <v:group style="position:absolute;left:3601;top:7337;width:8305;height:1602" coordorigin="3601,7337" coordsize="8305,1602">
              <v:shape style="position:absolute;left:3601;top:7337;width:8305;height:1602" coordorigin="3601,7337" coordsize="8305,1602" path="m11906,7337l3601,8938e" filled="false" stroked="true" strokeweight="1.565pt" strokecolor="#9b8758">
                <v:path arrowok="t"/>
              </v:shape>
            </v:group>
            <v:group style="position:absolute;left:3437;top:9031;width:22;height:32" coordorigin="3437,9031" coordsize="22,32">
              <v:shape style="position:absolute;left:3437;top:9031;width:22;height:32" coordorigin="3437,9031" coordsize="22,32" path="m3437,9031l3458,9063e" filled="false" stroked="true" strokeweight=".261pt" strokecolor="#8c8f90">
                <v:path arrowok="t"/>
              </v:shape>
            </v:group>
            <v:group style="position:absolute;left:3404;top:9050;width:2;height:13" coordorigin="3404,9050" coordsize="2,13">
              <v:shape style="position:absolute;left:3404;top:9050;width:2;height:13" coordorigin="3404,9050" coordsize="1,13" path="m3404,9063l3404,9050e" filled="false" stroked="true" strokeweight="1.043pt" strokecolor="#9b8758">
                <v:path arrowok="t"/>
              </v:shape>
            </v:group>
            <v:group style="position:absolute;left:3442;top:9029;width:28;height:35" coordorigin="3442,9029" coordsize="28,35">
              <v:shape style="position:absolute;left:3442;top:9029;width:28;height:35" coordorigin="3442,9029" coordsize="28,35" path="m3469,9063l3442,9029e" filled="false" stroked="true" strokeweight="1.565pt" strokecolor="#8c8f90">
                <v:path arrowok="t"/>
              </v:shape>
            </v:group>
            <v:group style="position:absolute;left:3440;top:9029;width:26;height:34" coordorigin="3440,9029" coordsize="26,34">
              <v:shape style="position:absolute;left:3440;top:9029;width:26;height:34" coordorigin="3440,9029" coordsize="26,34" path="m3466,9063l3440,9029e" filled="false" stroked="true" strokeweight="1.043pt" strokecolor="#9b8758">
                <v:path arrowok="t"/>
              </v:shape>
            </v:group>
            <v:group style="position:absolute;left:3431;top:9035;width:15;height:29" coordorigin="3431,9035" coordsize="15,29">
              <v:shape style="position:absolute;left:3431;top:9035;width:15;height:29" coordorigin="3431,9035" coordsize="15,29" path="m3431,9035l3446,9063e" filled="false" stroked="true" strokeweight=".261pt" strokecolor="#9b8758">
                <v:path arrowok="t"/>
              </v:shape>
            </v:group>
            <v:group style="position:absolute;left:3390;top:9058;width:2;height:6" coordorigin="3390,9058" coordsize="2,6">
              <v:shape style="position:absolute;left:3390;top:9058;width:2;height:6" coordorigin="3390,9058" coordsize="1,6" path="m3390,9063l3390,9058e" filled="false" stroked="true" strokeweight="1.043pt" strokecolor="#9b8758">
                <v:path arrowok="t"/>
              </v:shape>
            </v:group>
            <v:group style="position:absolute;left:3428;top:9036;width:13;height:27" coordorigin="3428,9036" coordsize="13,27">
              <v:shape style="position:absolute;left:3428;top:9036;width:13;height:27" coordorigin="3428,9036" coordsize="13,27" path="m3441,9063l3428,9036e" filled="false" stroked="true" strokeweight="1.043pt" strokecolor="#9b8758">
                <v:path arrowok="t"/>
              </v:shape>
            </v:group>
            <v:group style="position:absolute;left:3421;top:9040;width:8;height:23" coordorigin="3421,9040" coordsize="8,23">
              <v:shape style="position:absolute;left:3421;top:9040;width:8;height:23" coordorigin="3421,9040" coordsize="8,23" path="m3429,9063l3421,9040e" filled="false" stroked="true" strokeweight="1.043pt" strokecolor="#9b8758">
                <v:path arrowok="t"/>
              </v:shape>
            </v:group>
            <v:group style="position:absolute;left:3419;top:9041;width:7;height:22" coordorigin="3419,9041" coordsize="7,22">
              <v:shape style="position:absolute;left:3419;top:9041;width:7;height:22" coordorigin="3419,9041" coordsize="7,22" path="m3426,9063l3419,9041e" filled="false" stroked="true" strokeweight="1.043pt" strokecolor="#8c8f90">
                <v:path arrowok="t"/>
              </v:shape>
            </v:group>
            <v:group style="position:absolute;left:3408;top:9048;width:2;height:16" coordorigin="3408,9048" coordsize="2,16">
              <v:shape style="position:absolute;left:3408;top:9048;width:2;height:16" coordorigin="3408,9048" coordsize="2,16" path="m3410,9063l3408,9048e" filled="false" stroked="true" strokeweight="1.043pt" strokecolor="#9b8758">
                <v:path arrowok="t"/>
              </v:shape>
            </v:group>
            <v:group style="position:absolute;left:3438;top:9031;width:23;height:32" coordorigin="3438,9031" coordsize="23,32">
              <v:shape style="position:absolute;left:3438;top:9031;width:23;height:32" coordorigin="3438,9031" coordsize="23,32" path="m3460,9063l3438,9031e" filled="false" stroked="true" strokeweight="1.565pt" strokecolor="#9b8758">
                <v:path arrowok="t"/>
              </v:shape>
            </v:group>
            <v:group style="position:absolute;left:3387;top:9059;width:2;height:4" coordorigin="3387,9059" coordsize="2,4">
              <v:shape style="position:absolute;left:3387;top:9059;width:2;height:4" coordorigin="3387,9059" coordsize="1,4" path="m3387,9059l3387,9063e" filled="false" stroked="true" strokeweight="1.043pt" strokecolor="#8c8f90">
                <v:path arrowok="t"/>
              </v:shape>
            </v:group>
            <v:group style="position:absolute;left:3385;top:9057;width:32;height:2" coordorigin="3385,9057" coordsize="32,2">
              <v:shape style="position:absolute;left:3385;top:9057;width:32;height:2" coordorigin="3385,9057" coordsize="32,0" path="m3385,9057l3416,9057e" filled="false" stroked="true" strokeweight=".551343pt" strokecolor="#8c8f90">
                <v:path arrowok="t"/>
              </v:shape>
            </v:group>
            <v:group style="position:absolute;left:3439;top:9030;width:25;height:33" coordorigin="3439,9030" coordsize="25,33">
              <v:shape style="position:absolute;left:3439;top:9030;width:25;height:33" coordorigin="3439,9030" coordsize="25,33" path="m3439,9030l3464,9063e" filled="false" stroked="true" strokeweight=".522pt" strokecolor="#8c8f90">
                <v:path arrowok="t"/>
              </v:shape>
            </v:group>
            <v:group style="position:absolute;left:3430;top:9035;width:14;height:28" coordorigin="3430,9035" coordsize="14,28">
              <v:shape style="position:absolute;left:3430;top:9035;width:14;height:28" coordorigin="3430,9035" coordsize="14,28" path="m3430,9035l3443,9063e" filled="false" stroked="true" strokeweight=".261pt" strokecolor="#9b8758">
                <v:path arrowok="t"/>
              </v:shape>
            </v:group>
            <v:group style="position:absolute;left:3387;top:9060;width:5;height:4" coordorigin="3387,9060" coordsize="5,4">
              <v:shape style="position:absolute;left:3387;top:9060;width:5;height:4" coordorigin="3387,9060" coordsize="5,4" path="m3387,9060l3392,9063e" filled="false" stroked="true" strokeweight="1.043pt" strokecolor="#8c8f90">
                <v:path arrowok="t"/>
              </v:shape>
            </v:group>
            <v:group style="position:absolute;left:3439;top:9030;width:24;height:33" coordorigin="3439,9030" coordsize="24,33">
              <v:shape style="position:absolute;left:3439;top:9030;width:24;height:33" coordorigin="3439,9030" coordsize="24,33" path="m3439,9030l3462,9063e" filled="false" stroked="true" strokeweight="1.565pt" strokecolor="#9b8758">
                <v:path arrowok="t"/>
              </v:shape>
            </v:group>
            <v:group style="position:absolute;left:3393;top:9056;width:2;height:8" coordorigin="3393,9056" coordsize="2,8">
              <v:shape style="position:absolute;left:3393;top:9056;width:2;height:8" coordorigin="3393,9056" coordsize="1,8" path="m3394,9056l3393,9063e" filled="false" stroked="true" strokeweight=".522pt" strokecolor="#8c8f90">
                <v:path arrowok="t"/>
              </v:shape>
            </v:group>
            <v:group style="position:absolute;left:3384;top:9061;width:2;height:3" coordorigin="3384,9061" coordsize="2,3">
              <v:shape style="position:absolute;left:3384;top:9061;width:2;height:3" coordorigin="3384,9061" coordsize="1,3" path="m3385,9061l3384,9063e" filled="false" stroked="true" strokeweight=".522pt" strokecolor="#8c8f90">
                <v:path arrowok="t"/>
              </v:shape>
            </v:group>
            <v:group style="position:absolute;left:3390;top:9058;width:2;height:6" coordorigin="3390,9058" coordsize="2,6">
              <v:shape style="position:absolute;left:3390;top:9058;width:2;height:6" coordorigin="3390,9058" coordsize="1,6" path="m3390,9058l3390,9063e" filled="false" stroked="true" strokeweight="1.043pt" strokecolor="#9b8758">
                <v:path arrowok="t"/>
              </v:shape>
            </v:group>
            <v:group style="position:absolute;left:3399;top:9053;width:2;height:11" coordorigin="3399,9053" coordsize="2,11">
              <v:shape style="position:absolute;left:3399;top:9053;width:2;height:11" coordorigin="3399,9053" coordsize="1,11" path="m3399,9053l3399,9063e" filled="false" stroked="true" strokeweight="1.565pt" strokecolor="#8c8f90">
                <v:path arrowok="t"/>
              </v:shape>
            </v:group>
            <v:group style="position:absolute;left:3404;top:9050;width:2;height:13" coordorigin="3404,9050" coordsize="2,13">
              <v:shape style="position:absolute;left:3404;top:9050;width:2;height:13" coordorigin="3404,9050" coordsize="1,13" path="m3404,9050l3405,9063e" filled="false" stroked="true" strokeweight="1.565pt" strokecolor="#9b8758">
                <v:path arrowok="t"/>
              </v:shape>
            </v:group>
            <v:group style="position:absolute;left:9771;top:4257;width:2135;height:1185" coordorigin="9771,4257" coordsize="2135,1185">
              <v:shape style="position:absolute;left:9771;top:4257;width:2135;height:1185" coordorigin="9771,4257" coordsize="2135,1185" path="m11906,4257l9771,5441e" filled="false" stroked="true" strokeweight=".522pt" strokecolor="#9b8758">
                <v:path arrowok="t"/>
              </v:shape>
            </v:group>
            <v:group style="position:absolute;left:5293;top:4493;width:6613;height:3487" coordorigin="5293,4493" coordsize="6613,3487">
              <v:shape style="position:absolute;left:5293;top:4493;width:6613;height:3487" coordorigin="5293,4493" coordsize="6613,3487" path="m11905,4493l5293,7979e" filled="false" stroked="true" strokeweight=".522pt" strokecolor="#8c8f90">
                <v:path arrowok="t"/>
              </v:shape>
            </v:group>
            <v:group style="position:absolute;left:3713;top:6195;width:8193;height:2680" coordorigin="3713,6195" coordsize="8193,2680">
              <v:shape style="position:absolute;left:3713;top:6195;width:8193;height:2680" coordorigin="3713,6195" coordsize="8193,2680" path="m11906,6195l3713,8875e" filled="false" stroked="true" strokeweight=".261pt" strokecolor="#8c8f90">
                <v:path arrowok="t"/>
              </v:shape>
            </v:group>
            <v:group style="position:absolute;left:3483;top:9005;width:173;height:58" coordorigin="3483,9005" coordsize="173,58">
              <v:shape style="position:absolute;left:3483;top:9005;width:173;height:58" coordorigin="3483,9005" coordsize="173,58" path="m3483,9005l3656,9063e" filled="false" stroked="true" strokeweight="1.043pt" strokecolor="#8c8f90">
                <v:path arrowok="t"/>
              </v:shape>
            </v:group>
            <v:group style="position:absolute;left:3474;top:9010;width:116;height:53" coordorigin="3474,9010" coordsize="116,53">
              <v:shape style="position:absolute;left:3474;top:9010;width:116;height:53" coordorigin="3474,9010" coordsize="116,53" path="m3474,9010l3590,9063e" filled="false" stroked="true" strokeweight="1.565pt" strokecolor="#9b8758">
                <v:path arrowok="t"/>
              </v:shape>
            </v:group>
            <v:group style="position:absolute;left:3490;top:9001;width:229;height:62" coordorigin="3490,9001" coordsize="229,62">
              <v:shape style="position:absolute;left:3490;top:9001;width:229;height:62" coordorigin="3490,9001" coordsize="229,62" path="m3490,9001l3718,9063e" filled="false" stroked="true" strokeweight="1.043pt" strokecolor="#8c8f90">
                <v:path arrowok="t"/>
              </v:shape>
            </v:group>
            <v:group style="position:absolute;left:3494;top:8999;width:273;height:64" coordorigin="3494,8999" coordsize="273,64">
              <v:shape style="position:absolute;left:3494;top:8999;width:273;height:64" coordorigin="3494,8999" coordsize="273,64" path="m3494,8999l3766,9063e" filled="false" stroked="true" strokeweight="1.043pt" strokecolor="#8c8f90">
                <v:path arrowok="t"/>
              </v:shape>
            </v:group>
            <v:group style="position:absolute;left:3497;top:8997;width:316;height:66" coordorigin="3497,8997" coordsize="316,66">
              <v:shape style="position:absolute;left:3497;top:8997;width:316;height:66" coordorigin="3497,8997" coordsize="316,66" path="m3497,8997l3813,9063e" filled="false" stroked="true" strokeweight="1.043pt" strokecolor="#9b8758">
                <v:path arrowok="t"/>
              </v:shape>
            </v:group>
            <v:group style="position:absolute;left:3479;top:9007;width:146;height:56" coordorigin="3479,9007" coordsize="146,56">
              <v:shape style="position:absolute;left:3479;top:9007;width:146;height:56" coordorigin="3479,9007" coordsize="146,56" path="m3479,9007l3625,9063e" filled="false" stroked="true" strokeweight="1.565pt" strokecolor="#9b8758">
                <v:path arrowok="t"/>
              </v:shape>
            </v:group>
            <v:group style="position:absolute;left:3604;top:8416;width:8302;height:521" coordorigin="3604,8416" coordsize="8302,521">
              <v:shape style="position:absolute;left:3604;top:8416;width:8302;height:521" coordorigin="3604,8416" coordsize="8302,521" path="m3604,8936l11905,8416e" filled="false" stroked="true" strokeweight=".522pt" strokecolor="#8c8f90">
                <v:path arrowok="t"/>
              </v:shape>
            </v:group>
            <v:group style="position:absolute;left:3570;top:7916;width:8336;height:1040" coordorigin="3570,7916" coordsize="8336,1040">
              <v:shape style="position:absolute;left:3570;top:7916;width:8336;height:1040" coordorigin="3570,7916" coordsize="8336,1040" path="m3570,8956l11906,7916e" filled="false" stroked="true" strokeweight="1.565pt" strokecolor="#8c8f90">
                <v:path arrowok="t"/>
              </v:shape>
            </v:group>
            <v:group style="position:absolute;left:3477;top:9008;width:133;height:55" coordorigin="3477,9008" coordsize="133,55">
              <v:shape style="position:absolute;left:3477;top:9008;width:133;height:55" coordorigin="3477,9008" coordsize="133,55" path="m3477,9008l3610,9063e" filled="false" stroked="true" strokeweight="1.043pt" strokecolor="#9b8758">
                <v:path arrowok="t"/>
              </v:shape>
            </v:group>
            <v:group style="position:absolute;left:3518;top:8985;width:1078;height:78" coordorigin="3518,8985" coordsize="1078,78">
              <v:shape style="position:absolute;left:3518;top:8985;width:1078;height:78" coordorigin="3518,8985" coordsize="1078,78" path="m3518,8985l4595,9063e" filled="false" stroked="true" strokeweight="1.043pt" strokecolor="#8c8f90">
                <v:path arrowok="t"/>
              </v:shape>
            </v:group>
            <v:group style="position:absolute;left:3503;top:8994;width:414;height:69" coordorigin="3503,8994" coordsize="414,69">
              <v:shape style="position:absolute;left:3503;top:8994;width:414;height:69" coordorigin="3503,8994" coordsize="414,69" path="m3503,8994l3916,9063e" filled="false" stroked="true" strokeweight="1.565pt" strokecolor="#8c8f90">
                <v:path arrowok="t"/>
              </v:shape>
            </v:group>
            <v:group style="position:absolute;left:3512;top:8989;width:705;height:75" coordorigin="3512,8989" coordsize="705,75">
              <v:shape style="position:absolute;left:3512;top:8989;width:705;height:75" coordorigin="3512,8989" coordsize="705,75" path="m3512,8989l4216,9063e" filled="false" stroked="true" strokeweight="1.565pt" strokecolor="#8c8f90">
                <v:path arrowok="t"/>
              </v:shape>
            </v:group>
            <v:group style="position:absolute;left:3724;top:6125;width:8182;height:2744" coordorigin="3724,6125" coordsize="8182,2744">
              <v:shape style="position:absolute;left:3724;top:6125;width:8182;height:2744" coordorigin="3724,6125" coordsize="8182,2744" path="m3724,8869l11906,6125e" filled="false" stroked="true" strokeweight="1.043pt" strokecolor="#8c8f90">
                <v:path arrowok="t"/>
              </v:shape>
            </v:group>
            <v:group style="position:absolute;left:3620;top:7061;width:8286;height:1867" coordorigin="3620,7061" coordsize="8286,1867">
              <v:shape style="position:absolute;left:3620;top:7061;width:8286;height:1867" coordorigin="3620,7061" coordsize="8286,1867" path="m3620,8928l11906,7061e" filled="false" stroked="true" strokeweight="1.565pt" strokecolor="#8c8f90">
                <v:path arrowok="t"/>
              </v:shape>
            </v:group>
            <v:group style="position:absolute;left:3442;top:9029;width:95;height:35" coordorigin="3442,9029" coordsize="95,35">
              <v:shape style="position:absolute;left:3442;top:9029;width:95;height:35" coordorigin="3442,9029" coordsize="95,35" path="m3537,9063l3442,9029e" filled="false" stroked="true" strokeweight=".522pt" strokecolor="#9b8758">
                <v:path arrowok="t"/>
              </v:shape>
            </v:group>
            <v:group style="position:absolute;left:3487;top:9003;width:203;height:61" coordorigin="3487,9003" coordsize="203,61">
              <v:shape style="position:absolute;left:3487;top:9003;width:203;height:61" coordorigin="3487,9003" coordsize="203,61" path="m3689,9063l3487,9003e" filled="false" stroked="true" strokeweight=".522pt" strokecolor="#9b8758">
                <v:path arrowok="t"/>
              </v:shape>
            </v:group>
            <v:group style="position:absolute;left:3470;top:9012;width:101;height:51" coordorigin="3470,9012" coordsize="101,51">
              <v:shape style="position:absolute;left:3470;top:9012;width:101;height:51" coordorigin="3470,9012" coordsize="101,51" path="m3571,9063l3470,9012e" filled="false" stroked="true" strokeweight=".261pt" strokecolor="#8c8f90">
                <v:path arrowok="t"/>
              </v:shape>
            </v:group>
            <v:group style="position:absolute;left:3465;top:9015;width:80;height:48" coordorigin="3465,9015" coordsize="80,48">
              <v:shape style="position:absolute;left:3465;top:9015;width:80;height:48" coordorigin="3465,9015" coordsize="80,48" path="m3544,9063l3465,9015e" filled="false" stroked="true" strokeweight=".261pt" strokecolor="#8c8f90">
                <v:path arrowok="t"/>
              </v:shape>
            </v:group>
            <v:group style="position:absolute;left:3466;top:9015;width:83;height:48" coordorigin="3466,9015" coordsize="83,48">
              <v:shape style="position:absolute;left:3466;top:9015;width:83;height:48" coordorigin="3466,9015" coordsize="83,48" path="m3466,9015l3549,9063e" filled="false" stroked="true" strokeweight="1.043pt" strokecolor="#9b8758">
                <v:path arrowok="t"/>
              </v:shape>
            </v:group>
            <v:group style="position:absolute;left:3457;top:9020;width:57;height:44" coordorigin="3457,9020" coordsize="57,44">
              <v:shape style="position:absolute;left:3457;top:9020;width:57;height:44" coordorigin="3457,9020" coordsize="57,44" path="m3457,9020l3514,9063e" filled="false" stroked="true" strokeweight="1.565pt" strokecolor="#8c8f90">
                <v:path arrowok="t"/>
              </v:shape>
            </v:group>
            <v:group style="position:absolute;left:3431;top:9035;width:15;height:29" coordorigin="3431,9035" coordsize="15,29">
              <v:shape style="position:absolute;left:3431;top:9035;width:15;height:29" coordorigin="3431,9035" coordsize="15,29" path="m3431,9035l3446,9063e" filled="false" stroked="true" strokeweight="1.565pt" strokecolor="#9b8758">
                <v:path arrowok="t"/>
              </v:shape>
            </v:group>
            <v:group style="position:absolute;left:3440;top:9029;width:26;height:34" coordorigin="3440,9029" coordsize="26,34">
              <v:shape style="position:absolute;left:3440;top:9029;width:26;height:34" coordorigin="3440,9029" coordsize="26,34" path="m3440,9029l3466,9063e" filled="false" stroked="true" strokeweight="1.043pt" strokecolor="#9b8758">
                <v:path arrowok="t"/>
              </v:shape>
            </v:group>
            <v:group style="position:absolute;left:3434;top:9033;width:19;height:31" coordorigin="3434,9033" coordsize="19,31">
              <v:shape style="position:absolute;left:3434;top:9033;width:19;height:31" coordorigin="3434,9033" coordsize="19,31" path="m3434,9033l3453,9063e" filled="false" stroked="true" strokeweight="1.565pt" strokecolor="#8c8f90">
                <v:path arrowok="t"/>
              </v:shape>
            </v:group>
            <v:group style="position:absolute;left:3461;top:9018;width:67;height:46" coordorigin="3461,9018" coordsize="67,46">
              <v:shape style="position:absolute;left:3461;top:9018;width:67;height:46" coordorigin="3461,9018" coordsize="67,46" path="m3461,9018l3527,9063e" filled="false" stroked="true" strokeweight="1.043pt" strokecolor="#9b8758">
                <v:path arrowok="t"/>
              </v:shape>
            </v:group>
            <v:group style="position:absolute;left:3468;top:9014;width:91;height:50" coordorigin="3468,9014" coordsize="91,50">
              <v:shape style="position:absolute;left:3468;top:9014;width:91;height:50" coordorigin="3468,9014" coordsize="91,50" path="m3468,9014l3559,9063e" filled="false" stroked="true" strokeweight="1.043pt" strokecolor="#9b8758">
                <v:path arrowok="t"/>
              </v:shape>
            </v:group>
            <v:group style="position:absolute;left:3454;top:9022;width:50;height:42" coordorigin="3454,9022" coordsize="50,42">
              <v:shape style="position:absolute;left:3454;top:9022;width:50;height:42" coordorigin="3454,9022" coordsize="50,42" path="m3454,9022l3503,9063e" filled="false" stroked="true" strokeweight="1.565pt" strokecolor="#9b8758">
                <v:path arrowok="t"/>
              </v:shape>
            </v:group>
            <v:group style="position:absolute;left:3472;top:9011;width:107;height:52" coordorigin="3472,9011" coordsize="107,52">
              <v:shape style="position:absolute;left:3472;top:9011;width:107;height:52" coordorigin="3472,9011" coordsize="107,52" path="m3472,9011l3579,9063e" filled="false" stroked="true" strokeweight="1.043pt" strokecolor="#9b8758">
                <v:path arrowok="t"/>
              </v:shape>
            </v:group>
            <v:group style="position:absolute;left:3452;top:9023;width:46;height:41" coordorigin="3452,9023" coordsize="46,41">
              <v:shape style="position:absolute;left:3452;top:9023;width:46;height:41" coordorigin="3452,9023" coordsize="46,41" path="m3452,9023l3498,9063e" filled="false" stroked="true" strokeweight="1.043pt" strokecolor="#8c8f90">
                <v:path arrowok="t"/>
              </v:shape>
            </v:group>
            <v:group style="position:absolute;left:3456;top:9020;width:55;height:43" coordorigin="3456,9020" coordsize="55,43">
              <v:shape style="position:absolute;left:3456;top:9020;width:55;height:43" coordorigin="3456,9020" coordsize="55,43" path="m3456,9020l3511,9063e" filled="false" stroked="true" strokeweight="1.043pt" strokecolor="#8c8f90">
                <v:path arrowok="t"/>
              </v:shape>
            </v:group>
            <v:group style="position:absolute;left:3499;top:8996;width:349;height:67" coordorigin="3499,8996" coordsize="349,67">
              <v:shape style="position:absolute;left:3499;top:8996;width:349;height:67" coordorigin="3499,8996" coordsize="349,67" path="m3499,8996l3848,9063e" filled="false" stroked="true" strokeweight=".522pt" strokecolor="#9b8758">
                <v:path arrowok="t"/>
              </v:shape>
            </v:group>
            <v:group style="position:absolute;left:3464;top:9016;width:76;height:47" coordorigin="3464,9016" coordsize="76,47">
              <v:shape style="position:absolute;left:3464;top:9016;width:76;height:47" coordorigin="3464,9016" coordsize="76,47" path="m3464,9016l3539,9063e" filled="false" stroked="true" strokeweight="1.565pt" strokecolor="#9b8758">
                <v:path arrowok="t"/>
              </v:shape>
            </v:group>
            <v:group style="position:absolute;left:3406;top:9049;width:2;height:15" coordorigin="3406,9049" coordsize="2,15">
              <v:shape style="position:absolute;left:3406;top:9049;width:2;height:15" coordorigin="3406,9049" coordsize="2,15" path="m3407,9063l3406,9049e" filled="false" stroked="true" strokeweight=".522pt" strokecolor="#9b8758">
                <v:path arrowok="t"/>
              </v:shape>
            </v:group>
            <v:group style="position:absolute;left:3394;top:9055;width:2;height:8" coordorigin="3394,9055" coordsize="2,8">
              <v:shape style="position:absolute;left:3394;top:9055;width:2;height:8" coordorigin="3394,9055" coordsize="1,8" path="m3394,9063l3394,9055e" filled="false" stroked="true" strokeweight=".261pt" strokecolor="#9b8758">
                <v:path arrowok="t"/>
              </v:shape>
            </v:group>
            <v:group style="position:absolute;left:3395;top:9055;width:2;height:9" coordorigin="3395,9055" coordsize="2,9">
              <v:shape style="position:absolute;left:3395;top:9055;width:2;height:9" coordorigin="3395,9055" coordsize="1,9" path="m3395,9055l3395,9063e" filled="false" stroked="true" strokeweight="1.043pt" strokecolor="#9b8758">
                <v:path arrowok="t"/>
              </v:shape>
            </v:group>
            <v:group style="position:absolute;left:3385;top:9060;width:2;height:3" coordorigin="3385,9060" coordsize="2,3">
              <v:shape style="position:absolute;left:3385;top:9060;width:2;height:3" coordorigin="3385,9060" coordsize="1,3" path="m3386,9060l3385,9063e" filled="false" stroked="true" strokeweight="1.565pt" strokecolor="#9b8758">
                <v:path arrowok="t"/>
              </v:shape>
            </v:group>
            <v:group style="position:absolute;left:3432;top:9034;width:17;height:29" coordorigin="3432,9034" coordsize="17,29">
              <v:shape style="position:absolute;left:3432;top:9034;width:17;height:29" coordorigin="3432,9034" coordsize="17,29" path="m3432,9034l3448,9063e" filled="false" stroked="true" strokeweight=".522pt" strokecolor="#8c8f90">
                <v:path arrowok="t"/>
              </v:shape>
            </v:group>
            <v:group style="position:absolute;left:3429;top:9036;width:13;height:27" coordorigin="3429,9036" coordsize="13,27">
              <v:shape style="position:absolute;left:3429;top:9036;width:13;height:27" coordorigin="3429,9036" coordsize="13,27" path="m3429,9036l3441,9063e" filled="false" stroked="true" strokeweight=".522pt" strokecolor="#9b8758">
                <v:path arrowok="t"/>
              </v:shape>
            </v:group>
            <v:group style="position:absolute;left:3449;top:9024;width:40;height:39" coordorigin="3449,9024" coordsize="40,39">
              <v:shape style="position:absolute;left:3449;top:9024;width:40;height:39" coordorigin="3449,9024" coordsize="40,39" path="m3449,9024l3489,9063e" filled="false" stroked="true" strokeweight=".261pt" strokecolor="#8c8f90">
                <v:path arrowok="t"/>
              </v:shape>
            </v:group>
            <v:group style="position:absolute;left:3418;top:9042;width:6;height:21" coordorigin="3418,9042" coordsize="6,21">
              <v:shape style="position:absolute;left:3418;top:9042;width:6;height:21" coordorigin="3418,9042" coordsize="6,21" path="m3418,9042l3424,9063e" filled="false" stroked="true" strokeweight="1.043pt" strokecolor="#9b8758">
                <v:path arrowok="t"/>
              </v:shape>
            </v:group>
            <v:group style="position:absolute;left:3433;top:9033;width:18;height:30" coordorigin="3433,9033" coordsize="18,30">
              <v:shape style="position:absolute;left:3433;top:9033;width:18;height:30" coordorigin="3433,9033" coordsize="18,30" path="m3433,9033l3450,9063e" filled="false" stroked="true" strokeweight="1.043pt" strokecolor="#9b8758">
                <v:path arrowok="t"/>
              </v:shape>
            </v:group>
            <v:group style="position:absolute;left:3416;top:9043;width:5;height:20" coordorigin="3416,9043" coordsize="5,20">
              <v:shape style="position:absolute;left:3416;top:9043;width:5;height:20" coordorigin="3416,9043" coordsize="5,20" path="m3416,9043l3420,9063e" filled="false" stroked="true" strokeweight="1.565pt" strokecolor="#8c8f90">
                <v:path arrowok="t"/>
              </v:shape>
            </v:group>
            <v:group style="position:absolute;left:3427;top:9037;width:12;height:27" coordorigin="3427,9037" coordsize="12,27">
              <v:shape style="position:absolute;left:3427;top:9037;width:12;height:27" coordorigin="3427,9037" coordsize="12,27" path="m3427,9037l3439,9063e" filled="false" stroked="true" strokeweight="1.565pt" strokecolor="#9b8758">
                <v:path arrowok="t"/>
              </v:shape>
            </v:group>
            <v:group style="position:absolute;left:3422;top:9040;width:9;height:24" coordorigin="3422,9040" coordsize="9,24">
              <v:shape style="position:absolute;left:3422;top:9040;width:9;height:24" coordorigin="3422,9040" coordsize="9,24" path="m3422,9040l3431,9063e" filled="false" stroked="true" strokeweight=".522pt" strokecolor="#9b8758">
                <v:path arrowok="t"/>
              </v:shape>
            </v:group>
            <v:group style="position:absolute;left:3411;top:9046;width:3;height:17" coordorigin="3411,9046" coordsize="3,17">
              <v:shape style="position:absolute;left:3411;top:9046;width:3;height:17" coordorigin="3411,9046" coordsize="3,17" path="m3411,9046l3413,9063e" filled="false" stroked="true" strokeweight=".261pt" strokecolor="#8c8f90">
                <v:path arrowok="t"/>
              </v:shape>
            </v:group>
            <v:group style="position:absolute;left:3383;top:9061;width:2;height:2" coordorigin="3383,9061" coordsize="2,2">
              <v:shape style="position:absolute;left:3383;top:9061;width:2;height:2" coordorigin="3383,9061" coordsize="1,2" path="m3384,9061l3383,9063e" filled="false" stroked="true" strokeweight="1.043pt" strokecolor="#8c8f90">
                <v:path arrowok="t"/>
              </v:shape>
            </v:group>
            <v:group style="position:absolute;left:3388;top:9058;width:2;height:5" coordorigin="3388,9058" coordsize="2,5">
              <v:shape style="position:absolute;left:3388;top:9058;width:2;height:5" coordorigin="3388,9058" coordsize="1,5" path="m3389,9058l3388,9063e" filled="false" stroked="true" strokeweight=".261pt" strokecolor="#9b8758">
                <v:path arrowok="t"/>
              </v:shape>
            </v:group>
            <v:group style="position:absolute;left:3420;top:9041;width:7;height:23" coordorigin="3420,9041" coordsize="7,23">
              <v:shape style="position:absolute;left:3420;top:9041;width:7;height:23" coordorigin="3420,9041" coordsize="7,23" path="m3420,9041l3427,9063e" filled="false" stroked="true" strokeweight="1.043pt" strokecolor="#8c8f90">
                <v:path arrowok="t"/>
              </v:shape>
            </v:group>
            <v:group style="position:absolute;left:3425;top:9038;width:11;height:26" coordorigin="3425,9038" coordsize="11,26">
              <v:shape style="position:absolute;left:3425;top:9038;width:11;height:26" coordorigin="3425,9038" coordsize="11,26" path="m3425,9038l3436,9063e" filled="false" stroked="true" strokeweight="1.565pt" strokecolor="#9b8758">
                <v:path arrowok="t"/>
              </v:shape>
            </v:group>
            <v:group style="position:absolute;left:4093;top:5075;width:7813;height:3585" coordorigin="4093,5075" coordsize="7813,3585">
              <v:shape style="position:absolute;left:4093;top:5075;width:7813;height:3585" coordorigin="4093,5075" coordsize="7813,3585" path="m11905,5075l4093,8659e" filled="false" stroked="true" strokeweight=".261pt" strokecolor="#8c8f90">
                <v:path arrowok="t"/>
              </v:shape>
            </v:group>
            <v:group style="position:absolute;left:4101;top:5871;width:7805;height:2784" coordorigin="4101,5871" coordsize="7805,2784">
              <v:shape style="position:absolute;left:4101;top:5871;width:7805;height:2784" coordorigin="4101,5871" coordsize="7805,2784" path="m11905,5871l4101,8655e" filled="false" stroked="true" strokeweight=".261pt" strokecolor="#8c8f90">
                <v:path arrowok="t"/>
              </v:shape>
            </v:group>
            <v:group style="position:absolute;left:4620;top:4679;width:7286;height:3682" coordorigin="4620,4679" coordsize="7286,3682">
              <v:shape style="position:absolute;left:4620;top:4679;width:7286;height:3682" coordorigin="4620,4679" coordsize="7286,3682" path="m11905,4679l4620,8361e" filled="false" stroked="true" strokeweight="1.043pt" strokecolor="#9b8758">
                <v:path arrowok="t"/>
              </v:shape>
            </v:group>
            <v:group style="position:absolute;left:3808;top:5718;width:8098;height:3103" coordorigin="3808,5718" coordsize="8098,3103">
              <v:shape style="position:absolute;left:3808;top:5718;width:8098;height:3103" coordorigin="3808,5718" coordsize="8098,3103" path="m11905,5718l3808,8821e" filled="false" stroked="true" strokeweight="1.565pt" strokecolor="#8c8f90">
                <v:path arrowok="t"/>
              </v:shape>
            </v:group>
            <v:group style="position:absolute;left:4233;top:4921;width:7673;height:3659" coordorigin="4233,4921" coordsize="7673,3659">
              <v:shape style="position:absolute;left:4233;top:4921;width:7673;height:3659" coordorigin="4233,4921" coordsize="7673,3659" path="m11905,4921l4233,8580e" filled="false" stroked="true" strokeweight="1.565pt" strokecolor="#8c8f90">
                <v:path arrowok="t"/>
              </v:shape>
            </v:group>
            <v:group style="position:absolute;left:3869;top:5517;width:8037;height:3270" coordorigin="3869,5517" coordsize="8037,3270">
              <v:shape style="position:absolute;left:3869;top:5517;width:8037;height:3270" coordorigin="3869,5517" coordsize="8037,3270" path="m11905,5517l3869,8787e" filled="false" stroked="true" strokeweight=".522pt" strokecolor="#9b8758">
                <v:path arrowok="t"/>
              </v:shape>
            </v:group>
            <v:group style="position:absolute;left:3632;top:6904;width:8274;height:2017" coordorigin="3632,6904" coordsize="8274,2017">
              <v:shape style="position:absolute;left:3632;top:6904;width:8274;height:2017" coordorigin="3632,6904" coordsize="8274,2017" path="m11905,6904l3632,8921e" filled="false" stroked="true" strokeweight=".261pt" strokecolor="#9b8758">
                <v:path arrowok="t"/>
              </v:shape>
            </v:group>
            <v:group style="position:absolute;left:3933;top:5353;width:7973;height:3398" coordorigin="3933,5353" coordsize="7973,3398">
              <v:shape style="position:absolute;left:3933;top:5353;width:7973;height:3398" coordorigin="3933,5353" coordsize="7973,3398" path="m11905,5353l3933,8750e" filled="false" stroked="true" strokeweight="1.043pt" strokecolor="#8c8f90">
                <v:path arrowok="t"/>
              </v:shape>
            </v:group>
            <v:group style="position:absolute;left:3692;top:6338;width:8214;height:2549" coordorigin="3692,6338" coordsize="8214,2549">
              <v:shape style="position:absolute;left:3692;top:6338;width:8214;height:2549" coordorigin="3692,6338" coordsize="8214,2549" path="m11905,6338l3692,8887e" filled="false" stroked="true" strokeweight="1.565pt" strokecolor="#8c8f90">
                <v:path arrowok="t"/>
              </v:shape>
            </v:group>
            <v:group style="position:absolute;left:3608;top:7217;width:8298;height:1717" coordorigin="3608,7217" coordsize="8298,1717">
              <v:shape style="position:absolute;left:3608;top:7217;width:8298;height:1717" coordorigin="3608,7217" coordsize="8298,1717" path="m11905,7217l3608,8934e" filled="false" stroked="true" strokeweight=".522pt" strokecolor="#9b8758">
                <v:path arrowok="t"/>
              </v:shape>
            </v:group>
            <v:group style="position:absolute;left:3594;top:7455;width:8312;height:1488" coordorigin="3594,7455" coordsize="8312,1488">
              <v:shape style="position:absolute;left:3594;top:7455;width:8312;height:1488" coordorigin="3594,7455" coordsize="8312,1488" path="m11906,7455l3594,8943e" filled="false" stroked="true" strokeweight="1.043pt" strokecolor="#9b8758">
                <v:path arrowok="t"/>
              </v:shape>
            </v:group>
            <v:group style="position:absolute;left:3564;top:8047;width:8342;height:913" coordorigin="3564,8047" coordsize="8342,913">
              <v:shape style="position:absolute;left:3564;top:8047;width:8342;height:913" coordorigin="3564,8047" coordsize="8342,913" path="m3564,8959l11906,8047e" filled="false" stroked="true" strokeweight="1.043pt" strokecolor="#8c8f90">
                <v:path arrowok="t"/>
              </v:shape>
            </v:group>
            <v:group style="position:absolute;left:3536;top:8842;width:8370;height:133" coordorigin="3536,8842" coordsize="8370,133">
              <v:shape style="position:absolute;left:3536;top:8842;width:8370;height:133" coordorigin="3536,8842" coordsize="8370,133" path="m3536,8975l11906,8842e" filled="false" stroked="true" strokeweight="1.565pt" strokecolor="#8c8f90">
                <v:path arrowok="t"/>
              </v:shape>
            </v:group>
            <v:group style="position:absolute;left:3544;top:8607;width:8362;height:364" coordorigin="3544,8607" coordsize="8362,364">
              <v:shape style="position:absolute;left:3544;top:8607;width:8362;height:364" coordorigin="3544,8607" coordsize="8362,364" path="m3544,8971l11906,8607e" filled="false" stroked="true" strokeweight="1.043pt" strokecolor="#9b8758">
                <v:path arrowok="t"/>
              </v:shape>
            </v:group>
            <v:group style="position:absolute;left:3556;top:8241;width:8350;height:723" coordorigin="3556,8241" coordsize="8350,723">
              <v:shape style="position:absolute;left:3556;top:8241;width:8350;height:723" coordorigin="3556,8241" coordsize="8350,723" path="m3556,8964l11906,8241e" filled="false" stroked="true" strokeweight="1.043pt" strokecolor="#9b8758">
                <v:path arrowok="t"/>
              </v:shape>
            </v:group>
            <v:group style="position:absolute;left:3520;top:8984;width:1347;height:79" coordorigin="3520,8984" coordsize="1347,79">
              <v:shape style="position:absolute;left:3520;top:8984;width:1347;height:79" coordorigin="3520,8984" coordsize="1347,79" path="m3520,8984l4866,9063e" filled="false" stroked="true" strokeweight="1.565pt" strokecolor="#8c8f90">
                <v:path arrowok="t"/>
              </v:shape>
            </v:group>
            <v:group style="position:absolute;left:3578;top:7741;width:8328;height:1211" coordorigin="3578,7741" coordsize="8328,1211">
              <v:shape style="position:absolute;left:3578;top:7741;width:8328;height:1211" coordorigin="3578,7741" coordsize="8328,1211" path="m11906,7741l3578,8951e" filled="false" stroked="true" strokeweight=".261pt" strokecolor="#9b8758">
                <v:path arrowok="t"/>
              </v:shape>
            </v:group>
            <v:group style="position:absolute;left:3651;top:6694;width:8255;height:2217" coordorigin="3651,6694" coordsize="8255,2217">
              <v:shape style="position:absolute;left:3651;top:6694;width:8255;height:2217" coordorigin="3651,6694" coordsize="8255,2217" path="m11906,6694l3651,8910e" filled="false" stroked="true" strokeweight=".522pt" strokecolor="#8c8f90">
                <v:path arrowok="t"/>
              </v:shape>
            </v:group>
            <v:group style="position:absolute;left:3484;top:9004;width:453;height:59" coordorigin="3484,9004" coordsize="453,59">
              <v:shape style="position:absolute;left:3484;top:9004;width:453;height:59" coordorigin="3484,9004" coordsize="453,59" path="m3937,9063l3484,9004e" filled="false" stroked="true" strokeweight="1.043pt" strokecolor="#9b8758">
                <v:path arrowok="t"/>
              </v:shape>
            </v:group>
            <v:group style="position:absolute;left:3663;top:6578;width:8242;height:2326" coordorigin="3663,6578" coordsize="8242,2326">
              <v:shape style="position:absolute;left:3663;top:6578;width:8242;height:2326" coordorigin="3663,6578" coordsize="8242,2326" path="m11906,6578l3663,8903e" filled="false" stroked="true" strokeweight="1.565pt" strokecolor="#9b8758">
                <v:path arrowok="t"/>
              </v:shape>
            </v:group>
            <v:group style="position:absolute;left:3442;top:9028;width:28;height:35" coordorigin="3442,9028" coordsize="28,35">
              <v:shape style="position:absolute;left:3442;top:9028;width:28;height:35" coordorigin="3442,9028" coordsize="28,35" path="m3442,9028l3470,9063e" filled="false" stroked="true" strokeweight=".261pt" strokecolor="#8c8f90">
                <v:path arrowok="t"/>
              </v:shape>
            </v:group>
            <v:group style="position:absolute;left:3410;top:9047;width:3;height:17" coordorigin="3410,9047" coordsize="3,17">
              <v:shape style="position:absolute;left:3410;top:9047;width:3;height:17" coordorigin="3410,9047" coordsize="3,17" path="m3412,9063l3410,9047e" filled="false" stroked="true" strokeweight="1.043pt" strokecolor="#9b8758">
                <v:path arrowok="t"/>
              </v:shape>
            </v:group>
            <v:group style="position:absolute;left:3447;top:9026;width:36;height:38" coordorigin="3447,9026" coordsize="36,38">
              <v:shape style="position:absolute;left:3447;top:9026;width:36;height:38" coordorigin="3447,9026" coordsize="36,38" path="m3482,9063l3447,9026e" filled="false" stroked="true" strokeweight="1.565pt" strokecolor="#8c8f90">
                <v:path arrowok="t"/>
              </v:shape>
            </v:group>
            <v:group style="position:absolute;left:3445;top:9027;width:33;height:37" coordorigin="3445,9027" coordsize="33,37">
              <v:shape style="position:absolute;left:3445;top:9027;width:33;height:37" coordorigin="3445,9027" coordsize="33,37" path="m3478,9063l3445,9027e" filled="false" stroked="true" strokeweight="1.043pt" strokecolor="#9b8758">
                <v:path arrowok="t"/>
              </v:shape>
            </v:group>
            <v:group style="position:absolute;left:3436;top:9032;width:20;height:32" coordorigin="3436,9032" coordsize="20,32">
              <v:shape style="position:absolute;left:3436;top:9032;width:20;height:32" coordorigin="3436,9032" coordsize="20,32" path="m3436,9032l3456,9063e" filled="false" stroked="true" strokeweight=".261pt" strokecolor="#9b8758">
                <v:path arrowok="t"/>
              </v:shape>
            </v:group>
            <v:group style="position:absolute;left:3397;top:9053;width:2;height:10" coordorigin="3397,9053" coordsize="2,10">
              <v:shape style="position:absolute;left:3397;top:9053;width:2;height:10" coordorigin="3397,9053" coordsize="1,10" path="m3397,9063l3398,9053e" filled="false" stroked="true" strokeweight="1.043pt" strokecolor="#9b8758">
                <v:path arrowok="t"/>
              </v:shape>
            </v:group>
            <v:group style="position:absolute;left:3433;top:9033;width:18;height:30" coordorigin="3433,9033" coordsize="18,30">
              <v:shape style="position:absolute;left:3433;top:9033;width:18;height:30" coordorigin="3433,9033" coordsize="18,30" path="m3451,9063l3433,9033e" filled="false" stroked="true" strokeweight="1.043pt" strokecolor="#9b8758">
                <v:path arrowok="t"/>
              </v:shape>
            </v:group>
            <v:group style="position:absolute;left:3426;top:9037;width:11;height:26" coordorigin="3426,9037" coordsize="11,26">
              <v:shape style="position:absolute;left:3426;top:9037;width:11;height:26" coordorigin="3426,9037" coordsize="11,26" path="m3437,9063l3426,9037e" filled="false" stroked="true" strokeweight="1.043pt" strokecolor="#9b8758">
                <v:path arrowok="t"/>
              </v:shape>
            </v:group>
            <v:group style="position:absolute;left:3425;top:9038;width:10;height:25" coordorigin="3425,9038" coordsize="10,25">
              <v:shape style="position:absolute;left:3425;top:9038;width:10;height:25" coordorigin="3425,9038" coordsize="10,25" path="m3434,9063l3425,9038e" filled="false" stroked="true" strokeweight="1.043pt" strokecolor="#8c8f90">
                <v:path arrowok="t"/>
              </v:shape>
            </v:group>
            <v:group style="position:absolute;left:3414;top:9044;width:4;height:19" coordorigin="3414,9044" coordsize="4,19">
              <v:shape style="position:absolute;left:3414;top:9044;width:4;height:19" coordorigin="3414,9044" coordsize="4,19" path="m3417,9063l3414,9044e" filled="false" stroked="true" strokeweight="1.043pt" strokecolor="#9b8758">
                <v:path arrowok="t"/>
              </v:shape>
            </v:group>
            <v:group style="position:absolute;left:3443;top:9028;width:29;height:35" coordorigin="3443,9028" coordsize="29,35">
              <v:shape style="position:absolute;left:3443;top:9028;width:29;height:35" coordorigin="3443,9028" coordsize="29,35" path="m3471,9063l3443,9028e" filled="false" stroked="true" strokeweight="1.565pt" strokecolor="#9b8758">
                <v:path arrowok="t"/>
              </v:shape>
            </v:group>
            <v:group style="position:absolute;left:6756;top:-348;width:5150;height:11149" coordorigin="6756,-348" coordsize="5150,11149">
              <v:shape style="position:absolute;left:6756;top:-348;width:5150;height:11149" coordorigin="6756,-348" coordsize="5150,11149" path="m6756,10801l11905,10801,11905,-348,6756,-348,6756,10801xe" filled="true" fillcolor="#ffffff" stroked="false">
                <v:path arrowok="t"/>
                <v:fill type="solid"/>
              </v:shape>
            </v:group>
            <v:group style="position:absolute;left:6756;top:10801;width:5150;height:2" coordorigin="6756,10801" coordsize="5150,2">
              <v:shape style="position:absolute;left:6756;top:10801;width:5150;height:2" coordorigin="6756,10801" coordsize="5150,0" path="m6756,10801l11906,10801e" filled="false" stroked="true" strokeweight="1pt" strokecolor="#9d8757">
                <v:path arrowok="t"/>
              </v:shape>
            </v:group>
            <v:group style="position:absolute;left:6756;top:-348;width:5150;height:11149" coordorigin="6756,-348" coordsize="5150,11149">
              <v:shape style="position:absolute;left:6756;top:-348;width:5150;height:11149" coordorigin="6756,-348" coordsize="5150,11149" path="m11906,-348l6756,-348,6756,10801e" filled="false" stroked="true" strokeweight="1pt" strokecolor="#9d8757">
                <v:path arrowok="t"/>
              </v:shape>
              <v:shape style="position:absolute;left:314;top:1052;width:6109;height:8022" type="#_x0000_t75" stroked="false">
                <v:imagedata r:id="rId31" o:title=""/>
              </v:shape>
            </v:group>
            <w10:wrap type="none"/>
          </v:group>
        </w:pict>
      </w:r>
      <w:r>
        <w:rPr>
          <w:rFonts w:ascii="宋体" w:hAnsi="宋体" w:cs="宋体" w:eastAsia="宋体" w:hint="default"/>
        </w:rPr>
        <w:t>尊敬的各位股东：</w:t>
      </w:r>
    </w:p>
    <w:p>
      <w:pPr>
        <w:spacing w:line="240" w:lineRule="auto" w:before="12"/>
        <w:rPr>
          <w:rFonts w:ascii="宋体" w:hAnsi="宋体" w:cs="宋体" w:eastAsia="宋体" w:hint="default"/>
          <w:sz w:val="17"/>
          <w:szCs w:val="17"/>
        </w:rPr>
      </w:pPr>
    </w:p>
    <w:p>
      <w:pPr>
        <w:pStyle w:val="BodyText"/>
        <w:spacing w:line="304" w:lineRule="auto"/>
        <w:ind w:left="7313" w:right="1268" w:firstLine="368"/>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2"/>
        </w:rPr>
        <w:t> </w:t>
      </w:r>
      <w:r>
        <w:rPr>
          <w:rFonts w:ascii="宋体" w:hAnsi="宋体" w:cs="宋体" w:eastAsia="宋体" w:hint="default"/>
          <w:spacing w:val="5"/>
        </w:rPr>
        <w:t>年，是中国联通的混改元年，</w:t>
      </w:r>
      <w:r>
        <w:rPr>
          <w:rFonts w:ascii="宋体" w:hAnsi="宋体" w:cs="宋体" w:eastAsia="宋体" w:hint="default"/>
        </w:rPr>
        <w:t> </w:t>
      </w:r>
      <w:r>
        <w:rPr>
          <w:rFonts w:ascii="宋体" w:hAnsi="宋体" w:cs="宋体" w:eastAsia="宋体" w:hint="default"/>
          <w:spacing w:val="9"/>
        </w:rPr>
        <w:t>也是发展改革取得突出成效、公司面貌</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spacing w:val="10"/>
        </w:rPr>
        <w:t>发生显著改变的重要一年。一年来，公</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spacing w:val="9"/>
        </w:rPr>
        <w:t>司积极践行新发展理念，深化实施聚焦</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rPr>
        <w:t>创新合作战略，积极推进互联网化运营，</w:t>
      </w:r>
      <w:r>
        <w:rPr>
          <w:rFonts w:ascii="宋体" w:hAnsi="宋体" w:cs="宋体" w:eastAsia="宋体" w:hint="default"/>
        </w:rPr>
        <w:t> </w:t>
      </w:r>
      <w:r>
        <w:rPr>
          <w:rFonts w:ascii="宋体" w:hAnsi="宋体" w:cs="宋体" w:eastAsia="宋体" w:hint="default"/>
          <w:spacing w:val="9"/>
        </w:rPr>
        <w:t>全面深化混合所有制改革，发展速度、</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spacing w:val="9"/>
        </w:rPr>
        <w:t>质量和效益明显提升，企业活力明显增</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rPr>
        <w:t>强，新治理、新基因、新运营、新动能、</w:t>
      </w:r>
      <w:r>
        <w:rPr>
          <w:rFonts w:ascii="宋体" w:hAnsi="宋体" w:cs="宋体" w:eastAsia="宋体" w:hint="default"/>
        </w:rPr>
        <w:t> </w:t>
      </w:r>
      <w:r>
        <w:rPr>
          <w:rFonts w:ascii="宋体" w:hAnsi="宋体" w:cs="宋体" w:eastAsia="宋体" w:hint="default"/>
          <w:spacing w:val="-6"/>
        </w:rPr>
        <w:t>新生态的“五新”联通建设迈出重要步伐。</w:t>
      </w:r>
    </w:p>
    <w:p>
      <w:pPr>
        <w:pStyle w:val="BodyText"/>
        <w:spacing w:line="240" w:lineRule="auto" w:before="129"/>
        <w:ind w:left="7681" w:right="764"/>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
        </w:rPr>
        <w:t> </w:t>
      </w:r>
      <w:r>
        <w:rPr>
          <w:rFonts w:ascii="宋体" w:hAnsi="宋体" w:cs="宋体" w:eastAsia="宋体" w:hint="default"/>
          <w:spacing w:val="6"/>
        </w:rPr>
        <w:t>年，公司经营业绩持续显著改</w:t>
      </w:r>
      <w:r>
        <w:rPr>
          <w:rFonts w:ascii="宋体" w:hAnsi="宋体" w:cs="宋体" w:eastAsia="宋体" w:hint="default"/>
        </w:rPr>
      </w:r>
    </w:p>
    <w:p>
      <w:pPr>
        <w:pStyle w:val="BodyText"/>
        <w:spacing w:line="240" w:lineRule="auto" w:before="64"/>
        <w:ind w:left="7313" w:right="0"/>
        <w:jc w:val="both"/>
        <w:rPr>
          <w:rFonts w:ascii="宋体" w:hAnsi="宋体" w:cs="宋体" w:eastAsia="宋体" w:hint="default"/>
        </w:rPr>
      </w:pPr>
      <w:r>
        <w:rPr>
          <w:rFonts w:ascii="宋体" w:hAnsi="宋体" w:cs="宋体" w:eastAsia="宋体" w:hint="default"/>
        </w:rPr>
        <w:t>善</w:t>
      </w:r>
      <w:r>
        <w:rPr>
          <w:rFonts w:ascii="宋体" w:hAnsi="宋体" w:cs="宋体" w:eastAsia="宋体" w:hint="default"/>
          <w:spacing w:val="2"/>
        </w:rPr>
        <w:t>。全年实现主营业务收入人民</w:t>
      </w:r>
      <w:r>
        <w:rPr>
          <w:rFonts w:ascii="宋体" w:hAnsi="宋体" w:cs="宋体" w:eastAsia="宋体" w:hint="default"/>
        </w:rPr>
        <w:t>币</w:t>
      </w:r>
      <w:r>
        <w:rPr>
          <w:rFonts w:ascii="宋体" w:hAnsi="宋体" w:cs="宋体" w:eastAsia="宋体" w:hint="default"/>
          <w:spacing w:val="-45"/>
        </w:rPr>
        <w:t> </w:t>
      </w:r>
      <w:r>
        <w:rPr>
          <w:rFonts w:ascii="宋体" w:hAnsi="宋体" w:cs="宋体" w:eastAsia="宋体" w:hint="default"/>
          <w:spacing w:val="-1"/>
          <w:w w:val="111"/>
        </w:rPr>
        <w:t>2</w:t>
      </w:r>
      <w:r>
        <w:rPr>
          <w:rFonts w:ascii="宋体" w:hAnsi="宋体" w:cs="宋体" w:eastAsia="宋体" w:hint="default"/>
          <w:w w:val="55"/>
        </w:rPr>
        <w:t>,</w:t>
      </w:r>
      <w:r>
        <w:rPr>
          <w:rFonts w:ascii="宋体" w:hAnsi="宋体" w:cs="宋体" w:eastAsia="宋体" w:hint="default"/>
          <w:spacing w:val="-1"/>
          <w:w w:val="111"/>
        </w:rPr>
        <w:t>63</w:t>
      </w:r>
      <w:r>
        <w:rPr>
          <w:rFonts w:ascii="宋体" w:hAnsi="宋体" w:cs="宋体" w:eastAsia="宋体" w:hint="default"/>
          <w:w w:val="111"/>
        </w:rPr>
        <w:t>7</w:t>
      </w:r>
      <w:r>
        <w:rPr>
          <w:rFonts w:ascii="宋体" w:hAnsi="宋体" w:cs="宋体" w:eastAsia="宋体" w:hint="default"/>
        </w:rPr>
      </w:r>
    </w:p>
    <w:p>
      <w:pPr>
        <w:pStyle w:val="BodyText"/>
        <w:spacing w:line="304" w:lineRule="auto" w:before="64"/>
        <w:ind w:left="7313" w:right="1345"/>
        <w:jc w:val="both"/>
        <w:rPr>
          <w:rFonts w:ascii="宋体" w:hAnsi="宋体" w:cs="宋体" w:eastAsia="宋体" w:hint="default"/>
        </w:rPr>
      </w:pPr>
      <w:r>
        <w:rPr>
          <w:rFonts w:ascii="宋体" w:hAnsi="宋体" w:cs="宋体" w:eastAsia="宋体" w:hint="default"/>
          <w:spacing w:val="-4"/>
        </w:rPr>
        <w:t>亿元，同比增长</w:t>
      </w:r>
      <w:r>
        <w:rPr>
          <w:rFonts w:ascii="宋体" w:hAnsi="宋体" w:cs="宋体" w:eastAsia="宋体" w:hint="default"/>
          <w:spacing w:val="-27"/>
        </w:rPr>
        <w:t> </w:t>
      </w:r>
      <w:r>
        <w:rPr>
          <w:rFonts w:ascii="宋体" w:hAnsi="宋体" w:cs="宋体" w:eastAsia="宋体" w:hint="default"/>
          <w:spacing w:val="-3"/>
        </w:rPr>
        <w:t>5.9%，领先行业平均</w:t>
      </w:r>
      <w:r>
        <w:rPr>
          <w:rFonts w:ascii="宋体" w:hAnsi="宋体" w:cs="宋体" w:eastAsia="宋体" w:hint="default"/>
          <w:spacing w:val="-27"/>
        </w:rPr>
        <w:t> </w:t>
      </w:r>
      <w:r>
        <w:rPr>
          <w:rFonts w:ascii="宋体" w:hAnsi="宋体" w:cs="宋体" w:eastAsia="宋体" w:hint="default"/>
        </w:rPr>
        <w:t>2.9</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spacing w:val="3"/>
        </w:rPr>
        <w:t>个百分点；盈利持续“V”型反弹，归属</w:t>
      </w:r>
      <w:r>
        <w:rPr>
          <w:rFonts w:ascii="宋体" w:hAnsi="宋体" w:cs="宋体" w:eastAsia="宋体" w:hint="default"/>
          <w:spacing w:val="-60"/>
        </w:rPr>
        <w:t> </w:t>
      </w:r>
      <w:r>
        <w:rPr>
          <w:rFonts w:ascii="宋体" w:hAnsi="宋体" w:cs="宋体" w:eastAsia="宋体" w:hint="default"/>
          <w:spacing w:val="-60"/>
        </w:rPr>
      </w:r>
      <w:r>
        <w:rPr>
          <w:rFonts w:ascii="宋体" w:hAnsi="宋体" w:cs="宋体" w:eastAsia="宋体" w:hint="default"/>
          <w:w w:val="105"/>
        </w:rPr>
        <w:t>于母公司净利润同比增长</w:t>
      </w:r>
      <w:r>
        <w:rPr>
          <w:rFonts w:ascii="宋体" w:hAnsi="宋体" w:cs="宋体" w:eastAsia="宋体" w:hint="default"/>
          <w:spacing w:val="-67"/>
          <w:w w:val="105"/>
        </w:rPr>
        <w:t> </w:t>
      </w:r>
      <w:r>
        <w:rPr>
          <w:rFonts w:ascii="宋体" w:hAnsi="宋体" w:cs="宋体" w:eastAsia="宋体" w:hint="default"/>
          <w:spacing w:val="-1"/>
          <w:w w:val="105"/>
        </w:rPr>
        <w:t>858%，达到人</w:t>
      </w:r>
      <w:r>
        <w:rPr>
          <w:rFonts w:ascii="宋体" w:hAnsi="宋体" w:cs="宋体" w:eastAsia="宋体" w:hint="default"/>
        </w:rPr>
        <w:t> 民币</w:t>
      </w:r>
      <w:r>
        <w:rPr>
          <w:rFonts w:ascii="宋体" w:hAnsi="宋体" w:cs="宋体" w:eastAsia="宋体" w:hint="default"/>
          <w:spacing w:val="-32"/>
        </w:rPr>
        <w:t> </w:t>
      </w:r>
      <w:r>
        <w:rPr>
          <w:rFonts w:ascii="宋体" w:hAnsi="宋体" w:cs="宋体" w:eastAsia="宋体" w:hint="default"/>
        </w:rPr>
        <w:t>41</w:t>
      </w:r>
      <w:r>
        <w:rPr>
          <w:rFonts w:ascii="宋体" w:hAnsi="宋体" w:cs="宋体" w:eastAsia="宋体" w:hint="default"/>
          <w:spacing w:val="-32"/>
        </w:rPr>
        <w:t> </w:t>
      </w:r>
      <w:r>
        <w:rPr>
          <w:rFonts w:ascii="宋体" w:hAnsi="宋体" w:cs="宋体" w:eastAsia="宋体" w:hint="default"/>
          <w:spacing w:val="3"/>
        </w:rPr>
        <w:t>亿元；资本开支继续得到有效控</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spacing w:val="8"/>
        </w:rPr>
        <w:t>制，为人民币</w:t>
      </w:r>
      <w:r>
        <w:rPr>
          <w:rFonts w:ascii="宋体" w:hAnsi="宋体" w:cs="宋体" w:eastAsia="宋体" w:hint="default"/>
          <w:spacing w:val="-28"/>
        </w:rPr>
        <w:t> </w:t>
      </w:r>
      <w:r>
        <w:rPr>
          <w:rFonts w:ascii="宋体" w:hAnsi="宋体" w:cs="宋体" w:eastAsia="宋体" w:hint="default"/>
        </w:rPr>
        <w:t>449</w:t>
      </w:r>
      <w:r>
        <w:rPr>
          <w:rFonts w:ascii="宋体" w:hAnsi="宋体" w:cs="宋体" w:eastAsia="宋体" w:hint="default"/>
          <w:spacing w:val="-28"/>
        </w:rPr>
        <w:t> </w:t>
      </w:r>
      <w:r>
        <w:rPr>
          <w:rFonts w:ascii="宋体" w:hAnsi="宋体" w:cs="宋体" w:eastAsia="宋体" w:hint="default"/>
          <w:spacing w:val="10"/>
        </w:rPr>
        <w:t>亿元；自由现金流再</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spacing w:val="9"/>
        </w:rPr>
        <w:t>创历史新高，达到人民币</w:t>
      </w:r>
      <w:r>
        <w:rPr>
          <w:rFonts w:ascii="宋体" w:hAnsi="宋体" w:cs="宋体" w:eastAsia="宋体" w:hint="default"/>
          <w:spacing w:val="-27"/>
        </w:rPr>
        <w:t> </w:t>
      </w:r>
      <w:r>
        <w:rPr>
          <w:rFonts w:ascii="宋体" w:hAnsi="宋体" w:cs="宋体" w:eastAsia="宋体" w:hint="default"/>
        </w:rPr>
        <w:t>500</w:t>
      </w:r>
      <w:r>
        <w:rPr>
          <w:rFonts w:ascii="宋体" w:hAnsi="宋体" w:cs="宋体" w:eastAsia="宋体" w:hint="default"/>
          <w:spacing w:val="-27"/>
        </w:rPr>
        <w:t> </w:t>
      </w:r>
      <w:r>
        <w:rPr>
          <w:rFonts w:ascii="宋体" w:hAnsi="宋体" w:cs="宋体" w:eastAsia="宋体" w:hint="default"/>
          <w:spacing w:val="9"/>
        </w:rPr>
        <w:t>亿元。得</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益于混改引资和公司经营持续改善，公司</w:t>
      </w:r>
      <w:r>
        <w:rPr>
          <w:rFonts w:ascii="宋体" w:hAnsi="宋体" w:cs="宋体" w:eastAsia="宋体" w:hint="default"/>
        </w:rPr>
        <w:t> 财务状况更加稳健，资本实力持续增强。</w:t>
      </w:r>
    </w:p>
    <w:p>
      <w:pPr>
        <w:spacing w:after="0" w:line="304" w:lineRule="auto"/>
        <w:jc w:val="both"/>
        <w:rPr>
          <w:rFonts w:ascii="宋体" w:hAnsi="宋体" w:cs="宋体" w:eastAsia="宋体" w:hint="default"/>
        </w:rPr>
        <w:sectPr>
          <w:footerReference w:type="even" r:id="rId29"/>
          <w:footerReference w:type="default" r:id="rId30"/>
          <w:pgSz w:w="11910" w:h="16160"/>
          <w:pgMar w:footer="321" w:header="0" w:top="1340" w:bottom="520" w:left="0" w:right="0"/>
        </w:sect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3"/>
        <w:rPr>
          <w:rFonts w:ascii="宋体" w:hAnsi="宋体" w:cs="宋体" w:eastAsia="宋体" w:hint="default"/>
          <w:sz w:val="36"/>
          <w:szCs w:val="36"/>
        </w:rPr>
      </w:pPr>
    </w:p>
    <w:p>
      <w:pPr>
        <w:pStyle w:val="Heading7"/>
        <w:spacing w:line="240" w:lineRule="auto" w:before="0"/>
        <w:ind w:right="0"/>
        <w:jc w:val="right"/>
        <w:rPr>
          <w:rFonts w:ascii="宋体" w:hAnsi="宋体" w:cs="宋体" w:eastAsia="宋体" w:hint="default"/>
        </w:rPr>
      </w:pPr>
      <w:r>
        <w:rPr>
          <w:rFonts w:ascii="宋体" w:hAnsi="宋体" w:cs="宋体" w:eastAsia="宋体" w:hint="default"/>
        </w:rPr>
        <w:t>王晓初</w:t>
      </w:r>
    </w:p>
    <w:p>
      <w:pPr>
        <w:pStyle w:val="BodyText"/>
        <w:spacing w:line="240" w:lineRule="auto" w:before="109"/>
        <w:ind w:left="0" w:right="298"/>
        <w:jc w:val="right"/>
        <w:rPr>
          <w:rFonts w:ascii="宋体" w:hAnsi="宋体" w:cs="宋体" w:eastAsia="宋体" w:hint="default"/>
        </w:rPr>
      </w:pPr>
      <w:r>
        <w:rPr>
          <w:rFonts w:ascii="宋体" w:hAnsi="宋体" w:cs="宋体" w:eastAsia="宋体" w:hint="default"/>
        </w:rPr>
        <w:t>董事長</w:t>
      </w:r>
    </w:p>
    <w:p>
      <w:pPr>
        <w:pStyle w:val="BodyText"/>
        <w:spacing w:line="304" w:lineRule="auto" w:before="129"/>
        <w:ind w:left="2918" w:right="1262" w:firstLine="368"/>
        <w:jc w:val="left"/>
        <w:rPr>
          <w:rFonts w:ascii="宋体" w:hAnsi="宋体" w:cs="宋体" w:eastAsia="宋体" w:hint="default"/>
        </w:rPr>
      </w:pPr>
      <w:r>
        <w:rPr>
          <w:spacing w:val="11"/>
        </w:rPr>
        <w:br w:type="column"/>
      </w:r>
      <w:r>
        <w:rPr>
          <w:rFonts w:ascii="宋体" w:hAnsi="宋体" w:cs="宋体" w:eastAsia="宋体" w:hint="default"/>
          <w:spacing w:val="11"/>
        </w:rPr>
        <w:t>年内，面对“提速降费”和市场竞</w:t>
      </w:r>
      <w:r>
        <w:rPr>
          <w:rFonts w:ascii="宋体" w:hAnsi="宋体" w:cs="宋体" w:eastAsia="宋体" w:hint="default"/>
          <w:spacing w:val="14"/>
        </w:rPr>
        <w:t> </w:t>
      </w:r>
      <w:r>
        <w:rPr>
          <w:rFonts w:ascii="宋体" w:hAnsi="宋体" w:cs="宋体" w:eastAsia="宋体" w:hint="default"/>
          <w:spacing w:val="9"/>
        </w:rPr>
        <w:t>争压力，公司持续深化互联网化运营转</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spacing w:val="10"/>
        </w:rPr>
        <w:t>型，强化差异化经营，提升竞争力。借</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spacing w:val="4"/>
        </w:rPr>
        <w:t>力与互联网公司深化</w:t>
      </w:r>
      <w:r>
        <w:rPr>
          <w:rFonts w:ascii="宋体" w:hAnsi="宋体" w:cs="宋体" w:eastAsia="宋体" w:hint="default"/>
          <w:spacing w:val="-43"/>
        </w:rPr>
        <w:t> </w:t>
      </w:r>
      <w:r>
        <w:rPr>
          <w:rFonts w:ascii="宋体" w:hAnsi="宋体" w:cs="宋体" w:eastAsia="宋体" w:hint="default"/>
          <w:spacing w:val="-1"/>
          <w:w w:val="102"/>
        </w:rPr>
        <w:t>2I2C</w:t>
      </w:r>
      <w:r>
        <w:rPr>
          <w:rFonts w:ascii="宋体" w:hAnsi="宋体" w:cs="宋体" w:eastAsia="宋体" w:hint="default"/>
          <w:spacing w:val="-45"/>
          <w:w w:val="102"/>
        </w:rPr>
        <w:t> </w:t>
      </w:r>
      <w:r>
        <w:rPr>
          <w:rFonts w:ascii="宋体" w:hAnsi="宋体" w:cs="宋体" w:eastAsia="宋体" w:hint="default"/>
          <w:spacing w:val="4"/>
        </w:rPr>
        <w:t>业务合作，深</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spacing w:val="10"/>
        </w:rPr>
        <w:t>化流量经营，轻触点、广赋能，促进移</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spacing w:val="9"/>
        </w:rPr>
        <w:t>动用户发展维系和价值提升。在渠道佣</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spacing w:val="9"/>
        </w:rPr>
        <w:t>金和手机补贴下降的情况下，移动主营</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spacing w:val="3"/>
        </w:rPr>
        <w:t>业务收入同比增长</w:t>
      </w:r>
      <w:r>
        <w:rPr>
          <w:rFonts w:ascii="宋体" w:hAnsi="宋体" w:cs="宋体" w:eastAsia="宋体" w:hint="default"/>
          <w:spacing w:val="-56"/>
        </w:rPr>
        <w:t> </w:t>
      </w:r>
      <w:r>
        <w:rPr>
          <w:rFonts w:ascii="宋体" w:hAnsi="宋体" w:cs="宋体" w:eastAsia="宋体" w:hint="default"/>
          <w:spacing w:val="2"/>
          <w:w w:val="107"/>
        </w:rPr>
        <w:t>5.5%，大幅领先行业</w:t>
      </w:r>
      <w:r>
        <w:rPr>
          <w:rFonts w:ascii="宋体" w:hAnsi="宋体" w:cs="宋体" w:eastAsia="宋体" w:hint="default"/>
          <w:spacing w:val="4"/>
        </w:rPr>
        <w:t> </w:t>
      </w:r>
      <w:r>
        <w:rPr>
          <w:rFonts w:ascii="宋体" w:hAnsi="宋体" w:cs="宋体" w:eastAsia="宋体" w:hint="default"/>
        </w:rPr>
        <w:t>平均</w:t>
      </w:r>
      <w:r>
        <w:rPr>
          <w:rFonts w:ascii="宋体" w:hAnsi="宋体" w:cs="宋体" w:eastAsia="宋体" w:hint="default"/>
          <w:spacing w:val="-20"/>
        </w:rPr>
        <w:t> </w:t>
      </w:r>
      <w:r>
        <w:rPr>
          <w:rFonts w:ascii="宋体" w:hAnsi="宋体" w:cs="宋体" w:eastAsia="宋体" w:hint="default"/>
        </w:rPr>
        <w:t>0.6%</w:t>
      </w:r>
      <w:r>
        <w:rPr>
          <w:rFonts w:ascii="宋体" w:hAnsi="宋体" w:cs="宋体" w:eastAsia="宋体" w:hint="default"/>
          <w:spacing w:val="-20"/>
        </w:rPr>
        <w:t> </w:t>
      </w:r>
      <w:r>
        <w:rPr>
          <w:rFonts w:ascii="宋体" w:hAnsi="宋体" w:cs="宋体" w:eastAsia="宋体" w:hint="default"/>
          <w:spacing w:val="-5"/>
        </w:rPr>
        <w:t>的增幅。以“大视频、大融合、</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rPr>
        <w:t>大带宽”积极应对宽带领域的竞争挑战，</w:t>
      </w:r>
      <w:r>
        <w:rPr>
          <w:rFonts w:ascii="宋体" w:hAnsi="宋体" w:cs="宋体" w:eastAsia="宋体" w:hint="default"/>
        </w:rPr>
        <w:t> </w:t>
      </w:r>
      <w:r>
        <w:rPr>
          <w:rFonts w:ascii="宋体" w:hAnsi="宋体" w:cs="宋体" w:eastAsia="宋体" w:hint="default"/>
          <w:spacing w:val="9"/>
        </w:rPr>
        <w:t>固网宽带接入收入同比降幅显著收窄，</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spacing w:val="7"/>
          <w:w w:val="105"/>
        </w:rPr>
        <w:t>基本达到稳定。以“云</w:t>
      </w:r>
      <w:r>
        <w:rPr>
          <w:rFonts w:ascii="宋体" w:hAnsi="宋体" w:cs="宋体" w:eastAsia="宋体" w:hint="default"/>
          <w:spacing w:val="-62"/>
          <w:w w:val="105"/>
        </w:rPr>
        <w:t> </w:t>
      </w:r>
      <w:r>
        <w:rPr>
          <w:rFonts w:ascii="宋体" w:hAnsi="宋体" w:cs="宋体" w:eastAsia="宋体" w:hint="default"/>
          <w:w w:val="105"/>
        </w:rPr>
        <w:t>+</w:t>
      </w:r>
      <w:r>
        <w:rPr>
          <w:rFonts w:ascii="宋体" w:hAnsi="宋体" w:cs="宋体" w:eastAsia="宋体" w:hint="default"/>
          <w:spacing w:val="-62"/>
          <w:w w:val="105"/>
        </w:rPr>
        <w:t> </w:t>
      </w:r>
      <w:r>
        <w:rPr>
          <w:rFonts w:ascii="宋体" w:hAnsi="宋体" w:cs="宋体" w:eastAsia="宋体" w:hint="default"/>
          <w:spacing w:val="7"/>
          <w:w w:val="105"/>
        </w:rPr>
        <w:t>智慧网络</w:t>
      </w:r>
      <w:r>
        <w:rPr>
          <w:rFonts w:ascii="宋体" w:hAnsi="宋体" w:cs="宋体" w:eastAsia="宋体" w:hint="default"/>
          <w:spacing w:val="-62"/>
          <w:w w:val="105"/>
        </w:rPr>
        <w:t> </w:t>
      </w:r>
      <w:r>
        <w:rPr>
          <w:rFonts w:ascii="宋体" w:hAnsi="宋体" w:cs="宋体" w:eastAsia="宋体" w:hint="default"/>
          <w:w w:val="105"/>
        </w:rPr>
        <w:t>+</w:t>
      </w:r>
      <w:r>
        <w:rPr>
          <w:rFonts w:ascii="宋体" w:hAnsi="宋体" w:cs="宋体" w:eastAsia="宋体" w:hint="default"/>
          <w:spacing w:val="-62"/>
          <w:w w:val="105"/>
        </w:rPr>
        <w:t> </w:t>
      </w:r>
      <w:r>
        <w:rPr>
          <w:rFonts w:ascii="宋体" w:hAnsi="宋体" w:cs="宋体" w:eastAsia="宋体" w:hint="default"/>
          <w:w w:val="105"/>
        </w:rPr>
        <w:t>智</w:t>
      </w:r>
      <w:r>
        <w:rPr>
          <w:rFonts w:ascii="宋体" w:hAnsi="宋体" w:cs="宋体" w:eastAsia="宋体" w:hint="default"/>
        </w:rPr>
        <w:t> 慧应用”为引领，加快云计算、大数据、</w:t>
      </w:r>
    </w:p>
    <w:p>
      <w:pPr>
        <w:spacing w:after="0" w:line="304" w:lineRule="auto"/>
        <w:jc w:val="left"/>
        <w:rPr>
          <w:rFonts w:ascii="宋体" w:hAnsi="宋体" w:cs="宋体" w:eastAsia="宋体" w:hint="default"/>
        </w:rPr>
        <w:sectPr>
          <w:type w:val="continuous"/>
          <w:pgSz w:w="11910" w:h="16160"/>
          <w:pgMar w:top="1520" w:bottom="280" w:left="0" w:right="0"/>
          <w:cols w:num="2" w:equalWidth="0">
            <w:col w:w="4355" w:space="40"/>
            <w:col w:w="7515"/>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5"/>
          <w:szCs w:val="25"/>
        </w:rPr>
      </w:pPr>
    </w:p>
    <w:p>
      <w:pPr>
        <w:pStyle w:val="BodyText"/>
        <w:spacing w:line="304" w:lineRule="auto" w:before="31"/>
        <w:ind w:left="1474" w:right="2460"/>
        <w:jc w:val="both"/>
        <w:rPr>
          <w:rFonts w:ascii="宋体" w:hAnsi="宋体" w:cs="宋体" w:eastAsia="宋体" w:hint="default"/>
        </w:rPr>
      </w:pPr>
      <w:r>
        <w:rPr/>
        <w:pict>
          <v:group style="position:absolute;margin-left:-.782526pt;margin-top:-103.705307pt;width:597.1pt;height:644.3pt;mso-position-horizontal-relative:page;mso-position-vertical-relative:paragraph;z-index:-968080" coordorigin="-16,-2074" coordsize="11942,12886">
            <v:group style="position:absolute;left:0;top:4449;width:1575;height:708" coordorigin="0,4449" coordsize="1575,708">
              <v:shape style="position:absolute;left:0;top:4449;width:1575;height:708" coordorigin="0,4449" coordsize="1575,708" path="m1574,4449l0,5156e" filled="false" stroked="true" strokeweight=".522pt" strokecolor="#9b8758">
                <v:path arrowok="t"/>
              </v:shape>
            </v:group>
            <v:group style="position:absolute;left:2446;top:1295;width:6150;height:2763" coordorigin="2446,1295" coordsize="6150,2763">
              <v:shape style="position:absolute;left:2446;top:1295;width:6150;height:2763" coordorigin="2446,1295" coordsize="6150,2763" path="m8595,1295l2446,4058e" filled="false" stroked="true" strokeweight=".522pt" strokecolor="#8c8f90">
                <v:path arrowok="t"/>
              </v:shape>
            </v:group>
            <v:group style="position:absolute;left:9459;top:-192;width:2447;height:1100" coordorigin="9459,-192" coordsize="2447,1100">
              <v:shape style="position:absolute;left:9459;top:-192;width:2447;height:1100" coordorigin="9459,-192" coordsize="2447,1100" path="m11905,-192l9459,907e" filled="false" stroked="true" strokeweight=".522pt" strokecolor="#9b8758">
                <v:path arrowok="t"/>
              </v:shape>
            </v:group>
            <v:group style="position:absolute;left:0;top:330;width:11906;height:5044" coordorigin="0,330" coordsize="11906,5044">
              <v:shape style="position:absolute;left:0;top:330;width:11906;height:5044" coordorigin="0,330" coordsize="11906,5044" path="m11905,330l0,5374e" filled="false" stroked="true" strokeweight=".522pt" strokecolor="#8c8f90">
                <v:path arrowok="t"/>
              </v:shape>
            </v:group>
            <v:group style="position:absolute;left:0;top:4163;width:11906;height:2808" coordorigin="0,4163" coordsize="11906,2808">
              <v:shape style="position:absolute;left:0;top:4163;width:11906;height:2808" coordorigin="0,4163" coordsize="11906,2808" path="m11905,4163l0,6971e" filled="false" stroked="true" strokeweight=".261pt" strokecolor="#8c8f90">
                <v:path arrowok="t"/>
              </v:shape>
            </v:group>
            <v:group style="position:absolute;left:0;top:2968;width:2603;height:1408" coordorigin="0,2968" coordsize="2603,1408">
              <v:shape style="position:absolute;left:0;top:2968;width:2603;height:1408" coordorigin="0,2968" coordsize="2603,1408" path="m2603,2968l0,4376e" filled="false" stroked="true" strokeweight="1.043pt" strokecolor="#8c8f90">
                <v:path arrowok="t"/>
              </v:shape>
            </v:group>
            <v:group style="position:absolute;left:4036;top:-223;width:4468;height:2417" coordorigin="4036,-223" coordsize="4468,2417">
              <v:shape style="position:absolute;left:4036;top:-223;width:4468;height:2417" coordorigin="4036,-223" coordsize="4468,2417" path="m8503,-223l4036,2193e" filled="false" stroked="true" strokeweight="1.043pt" strokecolor="#9b8758">
                <v:path arrowok="t"/>
              </v:shape>
            </v:group>
            <v:group style="position:absolute;left:0;top:1957;width:5794;height:2845" coordorigin="0,1957" coordsize="5794,2845">
              <v:shape style="position:absolute;left:0;top:1957;width:5794;height:2845" coordorigin="0,1957" coordsize="5794,2845" path="m5793,1957l0,4801e" filled="false" stroked="true" strokeweight="1.565pt" strokecolor="#8c8f90">
                <v:path arrowok="t"/>
              </v:shape>
            </v:group>
            <v:group style="position:absolute;left:9154;top:-2064;width:2752;height:1489" coordorigin="9154,-2064" coordsize="2752,1489">
              <v:shape style="position:absolute;left:9154;top:-2064;width:2752;height:1489" coordorigin="9154,-2064" coordsize="2752,1489" path="m11906,-2064l9154,-575e" filled="false" stroked="true" strokeweight="1.043pt" strokecolor="#8c8f90">
                <v:path arrowok="t"/>
              </v:shape>
            </v:group>
            <v:group style="position:absolute;left:6563;top:-1149;width:5343;height:2624" coordorigin="6563,-1149" coordsize="5343,2624">
              <v:shape style="position:absolute;left:6563;top:-1149;width:5343;height:2624" coordorigin="6563,-1149" coordsize="5343,2624" path="m11906,-1149l6563,1475e" filled="false" stroked="true" strokeweight="1.565pt" strokecolor="#9b8758">
                <v:path arrowok="t"/>
              </v:shape>
            </v:group>
            <v:group style="position:absolute;left:0;top:544;width:7885;height:4006" coordorigin="0,544" coordsize="7885,4006">
              <v:shape style="position:absolute;left:0;top:544;width:7885;height:4006" coordorigin="0,544" coordsize="7885,4006" path="m7885,544l0,4549e" filled="false" stroked="true" strokeweight=".522pt" strokecolor="#9b8758">
                <v:path arrowok="t"/>
              </v:shape>
            </v:group>
            <v:group style="position:absolute;left:10446;top:-1392;width:1460;height:742" coordorigin="10446,-1392" coordsize="1460,742">
              <v:shape style="position:absolute;left:10446;top:-1392;width:1460;height:742" coordorigin="10446,-1392" coordsize="1460,742" path="m11906,-1392l10446,-650e" filled="false" stroked="true" strokeweight=".522pt" strokecolor="#8c8f90">
                <v:path arrowok="t"/>
              </v:shape>
            </v:group>
            <v:group style="position:absolute;left:6555;top:4239;width:4381;height:1068" coordorigin="6555,4239" coordsize="4381,1068">
              <v:shape style="position:absolute;left:6555;top:4239;width:4381;height:1068" coordorigin="6555,4239" coordsize="4381,1068" path="m6555,5307l10935,4239e" filled="false" stroked="true" strokeweight="1.043pt" strokecolor="#9b8758">
                <v:path arrowok="t"/>
              </v:shape>
            </v:group>
            <v:group style="position:absolute;left:0;top:5523;width:5665;height:1381" coordorigin="0,5523" coordsize="5665,1381">
              <v:shape style="position:absolute;left:0;top:5523;width:5665;height:1381" coordorigin="0,5523" coordsize="5665,1381" path="m0,6904l5665,5523e" filled="false" stroked="true" strokeweight="1.043pt" strokecolor="#8c8f90">
                <v:path arrowok="t"/>
              </v:shape>
            </v:group>
            <v:group style="position:absolute;left:6106;top:6162;width:5800;height:800" coordorigin="6106,6162" coordsize="5800,800">
              <v:shape style="position:absolute;left:6106;top:6162;width:5800;height:800" coordorigin="6106,6162" coordsize="5800,800" path="m6106,6962l11906,6162e" filled="false" stroked="true" strokeweight="1.565pt" strokecolor="#8c8f90">
                <v:path arrowok="t"/>
              </v:shape>
            </v:group>
            <v:group style="position:absolute;left:0;top:1627;width:11906;height:4288" coordorigin="0,1627" coordsize="11906,4288">
              <v:shape style="position:absolute;left:0;top:1627;width:11906;height:4288" coordorigin="0,1627" coordsize="11906,4288" path="m11905,1627l0,5914e" filled="false" stroked="true" strokeweight=".261pt" strokecolor="#8c8f90">
                <v:path arrowok="t"/>
              </v:shape>
            </v:group>
            <v:group style="position:absolute;left:0;top:3518;width:11906;height:3143" coordorigin="0,3518" coordsize="11906,3143">
              <v:shape style="position:absolute;left:0;top:3518;width:11906;height:3143" coordorigin="0,3518" coordsize="11906,3143" path="m11905,3518l0,6661e" filled="false" stroked="true" strokeweight=".261pt" strokecolor="#8c8f90">
                <v:path arrowok="t"/>
              </v:shape>
            </v:group>
            <v:group style="position:absolute;left:0;top:3780;width:4378;height:1767" coordorigin="0,3780" coordsize="4378,1767">
              <v:shape style="position:absolute;left:0;top:3780;width:4378;height:1767" coordorigin="0,3780" coordsize="4378,1767" path="m4378,3780l0,5546e" filled="false" stroked="true" strokeweight="1.043pt" strokecolor="#9b8758">
                <v:path arrowok="t"/>
              </v:shape>
            </v:group>
            <v:group style="position:absolute;left:6915;top:743;width:4991;height:2014" coordorigin="6915,743" coordsize="4991,2014">
              <v:shape style="position:absolute;left:6915;top:743;width:4991;height:2014" coordorigin="6915,743" coordsize="4991,2014" path="m11905,743l6915,2756e" filled="false" stroked="true" strokeweight="1.043pt" strokecolor="#9b8758">
                <v:path arrowok="t"/>
              </v:shape>
            </v:group>
            <v:group style="position:absolute;left:0;top:5624;width:3092;height:894" coordorigin="0,5624" coordsize="3092,894">
              <v:shape style="position:absolute;left:0;top:5624;width:3092;height:894" coordorigin="0,5624" coordsize="3092,894" path="m3091,5624l0,6518e" filled="false" stroked="true" strokeweight="1.565pt" strokecolor="#8c8f90">
                <v:path arrowok="t"/>
              </v:shape>
            </v:group>
            <v:group style="position:absolute;left:3906;top:4431;width:3313;height:958" coordorigin="3906,4431" coordsize="3313,958">
              <v:shape style="position:absolute;left:3906;top:4431;width:3313;height:958" coordorigin="3906,4431" coordsize="3313,958" path="m7218,4431l3906,5389e" filled="false" stroked="true" strokeweight="1.565pt" strokecolor="#8c8f90">
                <v:path arrowok="t"/>
              </v:shape>
            </v:group>
            <v:group style="position:absolute;left:8521;top:3076;width:3385;height:979" coordorigin="8521,3076" coordsize="3385,979">
              <v:shape style="position:absolute;left:8521;top:3076;width:3385;height:979" coordorigin="8521,3076" coordsize="3385,979" path="m11906,3076l8521,4054e" filled="false" stroked="true" strokeweight="1.565pt" strokecolor="#8c8f90">
                <v:path arrowok="t"/>
              </v:shape>
            </v:group>
            <v:group style="position:absolute;left:0;top:5510;width:693;height:262" coordorigin="0,5510" coordsize="693,262">
              <v:shape style="position:absolute;left:0;top:5510;width:693;height:262" coordorigin="0,5510" coordsize="693,262" path="m693,5510l0,5771e" filled="false" stroked="true" strokeweight="1.565pt" strokecolor="#8c8f90">
                <v:path arrowok="t"/>
              </v:shape>
            </v:group>
            <v:group style="position:absolute;left:2307;top:1735;width:8399;height:3167" coordorigin="2307,1735" coordsize="8399,3167">
              <v:shape style="position:absolute;left:2307;top:1735;width:8399;height:3167" coordorigin="2307,1735" coordsize="8399,3167" path="m10705,1735l2307,4901e" filled="false" stroked="true" strokeweight="1.565pt" strokecolor="#8c8f90">
                <v:path arrowok="t"/>
              </v:shape>
            </v:group>
            <v:group style="position:absolute;left:0;top:2620;width:11906;height:3708" coordorigin="0,2620" coordsize="11906,3708">
              <v:shape style="position:absolute;left:0;top:2620;width:11906;height:3708" coordorigin="0,2620" coordsize="11906,3708" path="m11905,2620l0,6328e" filled="false" stroked="true" strokeweight=".522pt" strokecolor="#9b8758">
                <v:path arrowok="t"/>
              </v:shape>
            </v:group>
            <v:group style="position:absolute;left:0;top:7261;width:3936;height:543" coordorigin="0,7261" coordsize="3936,543">
              <v:shape style="position:absolute;left:0;top:7261;width:3936;height:543" coordorigin="0,7261" coordsize="3936,543" path="m0,7804l3936,7261e" filled="false" stroked="true" strokeweight="1.565pt" strokecolor="#8c8f90">
                <v:path arrowok="t"/>
              </v:shape>
            </v:group>
            <v:group style="position:absolute;left:0;top:5796;width:11906;height:1856" coordorigin="0,5796" coordsize="11906,1856">
              <v:shape style="position:absolute;left:0;top:5796;width:11906;height:1856" coordorigin="0,5796" coordsize="11906,1856" path="m11905,5796l0,7651e" filled="false" stroked="true" strokeweight=".261pt" strokecolor="#9b8758">
                <v:path arrowok="t"/>
              </v:shape>
            </v:group>
            <v:group style="position:absolute;left:0;top:3243;width:8895;height:2932" coordorigin="0,3243" coordsize="8895,2932">
              <v:shape style="position:absolute;left:0;top:3243;width:8895;height:2932" coordorigin="0,3243" coordsize="8895,2932" path="m8895,3243l0,6174e" filled="false" stroked="true" strokeweight="1.043pt" strokecolor="#8c8f90">
                <v:path arrowok="t"/>
              </v:shape>
            </v:group>
            <v:group style="position:absolute;left:9707;top:2170;width:2199;height:725" coordorigin="9707,2170" coordsize="2199,725">
              <v:shape style="position:absolute;left:9707;top:2170;width:2199;height:725" coordorigin="9707,2170" coordsize="2199,725" path="m11905,2170l9707,2895e" filled="false" stroked="true" strokeweight="1.043pt" strokecolor="#8c8f90">
                <v:path arrowok="t"/>
              </v:shape>
            </v:group>
            <v:group style="position:absolute;left:0;top:6171;width:4263;height:937" coordorigin="0,6171" coordsize="4263,937">
              <v:shape style="position:absolute;left:0;top:6171;width:4263;height:937" coordorigin="0,6171" coordsize="4263,937" path="m4263,6171l0,7108e" filled="false" stroked="true" strokeweight="1.565pt" strokecolor="#8c8f90">
                <v:path arrowok="t"/>
              </v:shape>
            </v:group>
            <v:group style="position:absolute;left:5358;top:5307;width:2837;height:624" coordorigin="5358,5307" coordsize="2837,624">
              <v:shape style="position:absolute;left:5358;top:5307;width:2837;height:624" coordorigin="5358,5307" coordsize="2837,624" path="m8195,5307l5358,5930e" filled="false" stroked="true" strokeweight="1.565pt" strokecolor="#8c8f90">
                <v:path arrowok="t"/>
              </v:shape>
            </v:group>
            <v:group style="position:absolute;left:9225;top:4491;width:2681;height:590" coordorigin="9225,4491" coordsize="2681,590">
              <v:shape style="position:absolute;left:9225;top:4491;width:2681;height:590" coordorigin="9225,4491" coordsize="2681,590" path="m11906,4491l9225,5080e" filled="false" stroked="true" strokeweight="1.565pt" strokecolor="#8c8f90">
                <v:path arrowok="t"/>
              </v:shape>
            </v:group>
            <v:group style="position:absolute;left:0;top:6526;width:11906;height:1430" coordorigin="0,6526" coordsize="11906,1430">
              <v:shape style="position:absolute;left:0;top:6526;width:11906;height:1430" coordorigin="0,6526" coordsize="11906,1430" path="m11906,6526l0,7955e" filled="false" stroked="true" strokeweight=".522pt" strokecolor="#9b8758">
                <v:path arrowok="t"/>
              </v:shape>
            </v:group>
            <v:group style="position:absolute;left:0;top:7963;width:2404;height:224" coordorigin="0,7963" coordsize="2404,224">
              <v:shape style="position:absolute;left:0;top:7963;width:2404;height:224" coordorigin="0,7963" coordsize="2404,224" path="m2403,7963l0,8187e" filled="false" stroked="true" strokeweight="1.043pt" strokecolor="#9b8758">
                <v:path arrowok="t"/>
              </v:shape>
            </v:group>
            <v:group style="position:absolute;left:3803;top:7261;width:6163;height:573" coordorigin="3803,7261" coordsize="6163,573">
              <v:shape style="position:absolute;left:3803;top:7261;width:6163;height:573" coordorigin="3803,7261" coordsize="6163,573" path="m9965,7261l3803,7833e" filled="false" stroked="true" strokeweight="1.043pt" strokecolor="#8c8f90">
                <v:path arrowok="t"/>
              </v:shape>
            </v:group>
            <v:group style="position:absolute;left:7402;top:8197;width:3789;height:151" coordorigin="7402,8197" coordsize="3789,151">
              <v:shape style="position:absolute;left:7402;top:8197;width:3789;height:151" coordorigin="7402,8197" coordsize="3789,151" path="m7402,8347l11190,8197e" filled="false" stroked="true" strokeweight="1.565pt" strokecolor="#9b8758">
                <v:path arrowok="t"/>
              </v:shape>
            </v:group>
            <v:group style="position:absolute;left:0;top:8427;width:5378;height:214" coordorigin="0,8427" coordsize="5378,214">
              <v:shape style="position:absolute;left:0;top:8427;width:5378;height:214" coordorigin="0,8427" coordsize="5378,214" path="m0,8640l5378,8427e" filled="false" stroked="true" strokeweight="1.565pt" strokecolor="#8c8f90">
                <v:path arrowok="t"/>
              </v:shape>
            </v:group>
            <v:group style="position:absolute;left:0;top:8603;width:6776;height:166" coordorigin="0,8603" coordsize="6776,166">
              <v:shape style="position:absolute;left:0;top:8603;width:6776;height:166" coordorigin="0,8603" coordsize="6776,166" path="m0,8769l6776,8603e" filled="false" stroked="true" strokeweight="1.043pt" strokecolor="#8c8f90">
                <v:path arrowok="t"/>
              </v:shape>
            </v:group>
            <v:group style="position:absolute;left:7927;top:8443;width:3979;height:98" coordorigin="7927,8443" coordsize="3979,98">
              <v:shape style="position:absolute;left:7927;top:8443;width:3979;height:98" coordorigin="7927,8443" coordsize="3979,98" path="m7927,8540l11906,8443e" filled="false" stroked="true" strokeweight="1.043pt" strokecolor="#8c8f90">
                <v:path arrowok="t"/>
              </v:shape>
            </v:group>
            <v:group style="position:absolute;left:0;top:7753;width:11906;height:714" coordorigin="0,7753" coordsize="11906,714">
              <v:shape style="position:absolute;left:0;top:7753;width:11906;height:714" coordorigin="0,7753" coordsize="11906,714" path="m11905,7753l0,8467e" filled="false" stroked="true" strokeweight=".261pt" strokecolor="#9b8758">
                <v:path arrowok="t"/>
              </v:shape>
            </v:group>
            <v:group style="position:absolute;left:0;top:6254;width:6646;height:1195" coordorigin="0,6254" coordsize="6646,1195">
              <v:shape style="position:absolute;left:0;top:6254;width:6646;height:1195" coordorigin="0,6254" coordsize="6646,1195" path="m6646,6254l0,7448e" filled="false" stroked="true" strokeweight=".522pt" strokecolor="#8c8f90">
                <v:path arrowok="t"/>
              </v:shape>
            </v:group>
            <v:group style="position:absolute;left:8562;top:5309;width:3344;height:601" coordorigin="8562,5309" coordsize="3344,601">
              <v:shape style="position:absolute;left:8562;top:5309;width:3344;height:601" coordorigin="8562,5309" coordsize="3344,601" path="m11905,5309l8562,5910e" filled="false" stroked="true" strokeweight=".522pt" strokecolor="#9b8758">
                <v:path arrowok="t"/>
              </v:shape>
            </v:group>
            <v:group style="position:absolute;left:0;top:5263;width:10758;height:2075" coordorigin="0,5263" coordsize="10758,2075">
              <v:shape style="position:absolute;left:0;top:5263;width:10758;height:2075" coordorigin="0,5263" coordsize="10758,2075" path="m10757,5263l0,7337e" filled="false" stroked="true" strokeweight="1.565pt" strokecolor="#9b8758">
                <v:path arrowok="t"/>
              </v:shape>
            </v:group>
            <v:group style="position:absolute;left:11607;top:5042;width:299;height:58" coordorigin="11607,5042" coordsize="299,58">
              <v:shape style="position:absolute;left:11607;top:5042;width:299;height:58" coordorigin="11607,5042" coordsize="299,58" path="m11906,5042l11607,5099e" filled="false" stroked="true" strokeweight="1.565pt" strokecolor="#9b8758">
                <v:path arrowok="t"/>
              </v:shape>
            </v:group>
            <v:group style="position:absolute;left:0;top:3615;width:1157;height:642" coordorigin="0,3615" coordsize="1157,642">
              <v:shape style="position:absolute;left:0;top:3615;width:1157;height:642" coordorigin="0,3615" coordsize="1157,642" path="m1156,3615l0,4257e" filled="false" stroked="true" strokeweight=".522pt" strokecolor="#9b8758">
                <v:path arrowok="t"/>
              </v:shape>
            </v:group>
            <v:group style="position:absolute;left:1992;top:-120;width:5895;height:3272" coordorigin="1992,-120" coordsize="5895,3272">
              <v:shape style="position:absolute;left:1992;top:-120;width:5895;height:3272" coordorigin="1992,-120" coordsize="5895,3272" path="m7886,-120l1992,3151e" filled="false" stroked="true" strokeweight=".522pt" strokecolor="#8c8f90">
                <v:path arrowok="t"/>
              </v:shape>
            </v:group>
            <v:group style="position:absolute;left:8714;top:-2015;width:2587;height:1436" coordorigin="8714,-2015" coordsize="2587,1436">
              <v:shape style="position:absolute;left:8714;top:-2015;width:2587;height:1436" coordorigin="8714,-2015" coordsize="2587,1436" path="m11300,-2015l8714,-580e" filled="false" stroked="true" strokeweight=".522pt" strokecolor="#9b8758">
                <v:path arrowok="t"/>
              </v:shape>
            </v:group>
            <v:group style="position:absolute;left:0;top:-1784;width:11906;height:6278" coordorigin="0,-1784" coordsize="11906,6278">
              <v:shape style="position:absolute;left:0;top:-1784;width:11906;height:6278" coordorigin="0,-1784" coordsize="11906,6278" path="m11905,-1784l0,4493e" filled="false" stroked="true" strokeweight=".522pt" strokecolor="#8c8f90">
                <v:path arrowok="t"/>
              </v:shape>
            </v:group>
            <v:group style="position:absolute;left:0;top:2302;width:11906;height:3894" coordorigin="0,2302" coordsize="11906,3894">
              <v:shape style="position:absolute;left:0;top:2302;width:11906;height:3894" coordorigin="0,2302" coordsize="11906,3894" path="m11905,2302l0,6195e" filled="false" stroked="true" strokeweight=".261pt" strokecolor="#8c8f90">
                <v:path arrowok="t"/>
              </v:shape>
            </v:group>
            <v:group style="position:absolute;left:0;top:7669;width:11906;height:747" coordorigin="0,7669" coordsize="11906,747">
              <v:shape style="position:absolute;left:0;top:7669;width:11906;height:747" coordorigin="0,7669" coordsize="11906,747" path="m0,8416l11906,7669e" filled="false" stroked="true" strokeweight=".522pt" strokecolor="#8c8f90">
                <v:path arrowok="t"/>
              </v:shape>
            </v:group>
            <v:group style="position:absolute;left:7292;top:6538;width:3763;height:470" coordorigin="7292,6538" coordsize="3763,470">
              <v:shape style="position:absolute;left:7292;top:6538;width:3763;height:470" coordorigin="7292,6538" coordsize="3763,470" path="m7292,7007l11055,6538e" filled="false" stroked="true" strokeweight="1.565pt" strokecolor="#9b8758">
                <v:path arrowok="t"/>
              </v:shape>
            </v:group>
            <v:group style="position:absolute;left:0;top:7257;width:5283;height:659" coordorigin="0,7257" coordsize="5283,659">
              <v:shape style="position:absolute;left:0;top:7257;width:5283;height:659" coordorigin="0,7257" coordsize="5283,659" path="m0,7916l5282,7257e" filled="false" stroked="true" strokeweight="1.565pt" strokecolor="#8c8f90">
                <v:path arrowok="t"/>
              </v:shape>
            </v:group>
            <v:group style="position:absolute;left:11421;top:2133;width:485;height:163" coordorigin="11421,2133" coordsize="485,163">
              <v:shape style="position:absolute;left:11421;top:2133;width:485;height:163" coordorigin="11421,2133" coordsize="485,163" path="m11421,2295l11906,2133e" filled="false" stroked="true" strokeweight="1.043pt" strokecolor="#9b8758">
                <v:path arrowok="t"/>
              </v:shape>
            </v:group>
            <v:group style="position:absolute;left:6192;top:2615;width:4275;height:1434" coordorigin="6192,2615" coordsize="4275,1434">
              <v:shape style="position:absolute;left:6192;top:2615;width:4275;height:1434" coordorigin="6192,2615" coordsize="4275,1434" path="m6192,4049l10466,2615e" filled="false" stroked="true" strokeweight="1.043pt" strokecolor="#9b8758">
                <v:path arrowok="t"/>
              </v:shape>
            </v:group>
            <v:group style="position:absolute;left:0;top:4340;width:5324;height:1785" coordorigin="0,4340" coordsize="5324,1785">
              <v:shape style="position:absolute;left:0;top:4340;width:5324;height:1785" coordorigin="0,4340" coordsize="5324,1785" path="m0,6125l5323,4340e" filled="false" stroked="true" strokeweight="1.043pt" strokecolor="#8c8f90">
                <v:path arrowok="t"/>
              </v:shape>
            </v:group>
            <v:group style="position:absolute;left:5884;top:4379;width:6022;height:1357" coordorigin="5884,4379" coordsize="6022,1357">
              <v:shape style="position:absolute;left:5884;top:4379;width:6022;height:1357" coordorigin="5884,4379" coordsize="6022,1357" path="m5884,5736l11906,4379e" filled="false" stroked="true" strokeweight="1.565pt" strokecolor="#8c8f90">
                <v:path arrowok="t"/>
              </v:shape>
            </v:group>
            <v:group style="position:absolute;left:0;top:6217;width:3747;height:844" coordorigin="0,6217" coordsize="3747,844">
              <v:shape style="position:absolute;left:0;top:6217;width:3747;height:844" coordorigin="0,6217" coordsize="3747,844" path="m0,7061l3747,6217e" filled="false" stroked="true" strokeweight="1.565pt" strokecolor="#8c8f90">
                <v:path arrowok="t"/>
              </v:shape>
            </v:group>
            <v:group style="position:absolute;left:0;top:-387;width:11906;height:5463" coordorigin="0,-387" coordsize="11906,5463">
              <v:shape style="position:absolute;left:0;top:-387;width:11906;height:5463" coordorigin="0,-387" coordsize="11906,5463" path="m11906,-387l0,5075e" filled="false" stroked="true" strokeweight=".261pt" strokecolor="#8c8f90">
                <v:path arrowok="t"/>
              </v:shape>
            </v:group>
            <v:group style="position:absolute;left:0;top:1625;width:11906;height:4247" coordorigin="0,1625" coordsize="11906,4247">
              <v:shape style="position:absolute;left:0;top:1625;width:11906;height:4247" coordorigin="0,1625" coordsize="11906,4247" path="m11906,1625l0,5871e" filled="false" stroked="true" strokeweight=".261pt" strokecolor="#8c8f90">
                <v:path arrowok="t"/>
              </v:shape>
            </v:group>
            <v:group style="position:absolute;left:0;top:2711;width:3894;height:1968" coordorigin="0,2711" coordsize="3894,1968">
              <v:shape style="position:absolute;left:0;top:2711;width:3894;height:1968" coordorigin="0,2711" coordsize="3894,1968" path="m3894,2711l0,4679e" filled="false" stroked="true" strokeweight="1.043pt" strokecolor="#9b8758">
                <v:path arrowok="t"/>
              </v:shape>
            </v:group>
            <v:group style="position:absolute;left:6335;top:-1338;width:5571;height:2815" coordorigin="6335,-1338" coordsize="5571,2815">
              <v:shape style="position:absolute;left:6335;top:-1338;width:5571;height:2815" coordorigin="6335,-1338" coordsize="5571,2815" path="m11906,-1338l6335,1477e" filled="false" stroked="true" strokeweight="1.043pt" strokecolor="#9b8758">
                <v:path arrowok="t"/>
              </v:shape>
            </v:group>
            <v:group style="position:absolute;left:0;top:4658;width:2768;height:1061" coordorigin="0,4658" coordsize="2768,1061">
              <v:shape style="position:absolute;left:0;top:4658;width:2768;height:1061" coordorigin="0,4658" coordsize="2768,1061" path="m2767,4658l0,5718e" filled="false" stroked="true" strokeweight="1.565pt" strokecolor="#8c8f90">
                <v:path arrowok="t"/>
              </v:shape>
            </v:group>
            <v:group style="position:absolute;left:3559;top:3120;width:3220;height:1234" coordorigin="3559,3120" coordsize="3220,1234">
              <v:shape style="position:absolute;left:3559;top:3120;width:3220;height:1234" coordorigin="3559,3120" coordsize="3220,1234" path="m6779,3120l3559,4354e" filled="false" stroked="true" strokeweight="1.565pt" strokecolor="#8c8f90">
                <v:path arrowok="t"/>
              </v:shape>
            </v:group>
            <v:group style="position:absolute;left:8045;top:1156;width:3861;height:1480" coordorigin="8045,1156" coordsize="3861,1480">
              <v:shape style="position:absolute;left:8045;top:1156;width:3861;height:1480" coordorigin="8045,1156" coordsize="3861,1480" path="m11906,1156l8045,2635e" filled="false" stroked="true" strokeweight="1.565pt" strokecolor="#8c8f90">
                <v:path arrowok="t"/>
              </v:shape>
            </v:group>
            <v:group style="position:absolute;left:0;top:4746;width:368;height:176" coordorigin="0,4746" coordsize="368,176">
              <v:shape style="position:absolute;left:0;top:4746;width:368;height:176" coordorigin="0,4746" coordsize="368,176" path="m367,4746l0,4921e" filled="false" stroked="true" strokeweight="1.565pt" strokecolor="#8c8f90">
                <v:path arrowok="t"/>
              </v:shape>
            </v:group>
            <v:group style="position:absolute;left:1925;top:140;width:8102;height:3864" coordorigin="1925,140" coordsize="8102,3864">
              <v:shape style="position:absolute;left:1925;top:140;width:8102;height:3864" coordorigin="1925,140" coordsize="8102,3864" path="m10026,140l1925,4003e" filled="false" stroked="true" strokeweight="1.565pt" strokecolor="#8c8f90">
                <v:path arrowok="t"/>
              </v:shape>
            </v:group>
            <v:group style="position:absolute;left:11238;top:-757;width:668;height:319" coordorigin="11238,-757" coordsize="668,319">
              <v:shape style="position:absolute;left:11238;top:-757;width:668;height:319" coordorigin="11238,-757" coordsize="668,319" path="m11905,-757l11238,-438e" filled="false" stroked="true" strokeweight="1.565pt" strokecolor="#8c8f90">
                <v:path arrowok="t"/>
              </v:shape>
            </v:group>
            <v:group style="position:absolute;left:0;top:673;width:11906;height:4844" coordorigin="0,673" coordsize="11906,4844">
              <v:shape style="position:absolute;left:0;top:673;width:11906;height:4844" coordorigin="0,673" coordsize="11906,4844" path="m11906,673l0,5517e" filled="false" stroked="true" strokeweight=".522pt" strokecolor="#9b8758">
                <v:path arrowok="t"/>
              </v:shape>
            </v:group>
            <v:group style="position:absolute;left:0;top:4002;width:11906;height:2903" coordorigin="0,4002" coordsize="11906,2903">
              <v:shape style="position:absolute;left:0;top:4002;width:11906;height:2903" coordorigin="0,4002" coordsize="11906,2903" path="m11906,4002l0,6904e" filled="false" stroked="true" strokeweight=".261pt" strokecolor="#9b8758">
                <v:path arrowok="t"/>
              </v:shape>
            </v:group>
            <v:group style="position:absolute;left:0;top:1795;width:8350;height:3558" coordorigin="0,1795" coordsize="8350,3558">
              <v:shape style="position:absolute;left:0;top:1795;width:8350;height:3558" coordorigin="0,1795" coordsize="8350,3558" path="m8349,1795l0,5353e" filled="false" stroked="true" strokeweight="1.043pt" strokecolor="#8c8f90">
                <v:path arrowok="t"/>
              </v:shape>
            </v:group>
            <v:group style="position:absolute;left:9129;top:197;width:2777;height:1183" coordorigin="9129,197" coordsize="2777,1183">
              <v:shape style="position:absolute;left:9129;top:197;width:2777;height:1183" coordorigin="9129,197" coordsize="2777,1183" path="m11906,197l9129,1380e" filled="false" stroked="true" strokeweight="1.043pt" strokecolor="#8c8f90">
                <v:path arrowok="t"/>
              </v:shape>
            </v:group>
            <v:group style="position:absolute;left:0;top:5103;width:3981;height:1236" coordorigin="0,5103" coordsize="3981,1236">
              <v:shape style="position:absolute;left:0;top:5103;width:3981;height:1236" coordorigin="0,5103" coordsize="3981,1236" path="m3981,5103l0,6338e" filled="false" stroked="true" strokeweight="1.565pt" strokecolor="#8c8f90">
                <v:path arrowok="t"/>
              </v:shape>
            </v:group>
            <v:group style="position:absolute;left:5052;top:3910;width:2775;height:861" coordorigin="5052,3910" coordsize="2775,861">
              <v:shape style="position:absolute;left:5052;top:3910;width:2775;height:861" coordorigin="5052,3910" coordsize="2775,861" path="m7826,3910l5052,4771e" filled="false" stroked="true" strokeweight="1.565pt" strokecolor="#8c8f90">
                <v:path arrowok="t"/>
              </v:shape>
            </v:group>
            <v:group style="position:absolute;left:8833;top:2645;width:3073;height:954" coordorigin="8833,2645" coordsize="3073,954">
              <v:shape style="position:absolute;left:8833;top:2645;width:3073;height:954" coordorigin="8833,2645" coordsize="3073,954" path="m11905,2645l8833,3598e" filled="false" stroked="true" strokeweight="1.565pt" strokecolor="#8c8f90">
                <v:path arrowok="t"/>
              </v:shape>
            </v:group>
            <v:group style="position:absolute;left:0;top:4754;width:11906;height:2464" coordorigin="0,4754" coordsize="11906,2464">
              <v:shape style="position:absolute;left:0;top:4754;width:11906;height:2464" coordorigin="0,4754" coordsize="11906,2464" path="m11906,4754l0,7217e" filled="false" stroked="true" strokeweight=".522pt" strokecolor="#9b8758">
                <v:path arrowok="t"/>
              </v:shape>
            </v:group>
            <v:group style="position:absolute;left:0;top:7047;width:2280;height:409" coordorigin="0,7047" coordsize="2280,409">
              <v:shape style="position:absolute;left:0;top:7047;width:2280;height:409" coordorigin="0,7047" coordsize="2280,409" path="m2279,7047l0,7455e" filled="false" stroked="true" strokeweight="1.043pt" strokecolor="#9b8758">
                <v:path arrowok="t"/>
              </v:shape>
            </v:group>
            <v:group style="position:absolute;left:3663;top:5708;width:6092;height:1091" coordorigin="3663,5708" coordsize="6092,1091">
              <v:shape style="position:absolute;left:3663;top:5708;width:6092;height:1091" coordorigin="3663,5708" coordsize="6092,1091" path="m9754,5708l3663,6799e" filled="false" stroked="true" strokeweight="1.043pt" strokecolor="#8c8f90">
                <v:path arrowok="t"/>
              </v:shape>
            </v:group>
            <v:group style="position:absolute;left:11791;top:5323;width:115;height:21" coordorigin="11791,5323" coordsize="115,21">
              <v:shape style="position:absolute;left:11791;top:5323;width:115;height:21" coordorigin="11791,5323" coordsize="115,21" path="m11906,5323l11791,5344e" filled="false" stroked="true" strokeweight="1.043pt" strokecolor="#8c8f90">
                <v:path arrowok="t"/>
              </v:shape>
            </v:group>
            <v:group style="position:absolute;left:7832;top:6710;width:4074;height:446" coordorigin="7832,6710" coordsize="4074,446">
              <v:shape style="position:absolute;left:7832;top:6710;width:4074;height:446" coordorigin="7832,6710" coordsize="4074,446" path="m7832,7155l11906,6710e" filled="false" stroked="true" strokeweight="1.043pt" strokecolor="#8c8f90">
                <v:path arrowok="t"/>
              </v:shape>
            </v:group>
            <v:group style="position:absolute;left:0;top:7315;width:6691;height:732" coordorigin="0,7315" coordsize="6691,732">
              <v:shape style="position:absolute;left:0;top:7315;width:6691;height:732" coordorigin="0,7315" coordsize="6691,732" path="m0,8047l6690,7315e" filled="false" stroked="true" strokeweight="1.043pt" strokecolor="#8c8f90">
                <v:path arrowok="t"/>
              </v:shape>
            </v:group>
            <v:group style="position:absolute;left:6333;top:8653;width:5573;height:89" coordorigin="6333,8653" coordsize="5573,89">
              <v:shape style="position:absolute;left:6333;top:8653;width:5573;height:89" coordorigin="6333,8653" coordsize="5573,89" path="m6333,8742l11905,8653e" filled="false" stroked="true" strokeweight="1.565pt" strokecolor="#8c8f90">
                <v:path arrowok="t"/>
              </v:shape>
            </v:group>
            <v:group style="position:absolute;left:0;top:8768;width:4679;height:75" coordorigin="0,8768" coordsize="4679,75">
              <v:shape style="position:absolute;left:0;top:8768;width:4679;height:75" coordorigin="0,8768" coordsize="4679,75" path="m0,8842l4678,8768e" filled="false" stroked="true" strokeweight="1.565pt" strokecolor="#8c8f90">
                <v:path arrowok="t"/>
              </v:shape>
            </v:group>
            <v:group style="position:absolute;left:9873;top:8089;width:2033;height:89" coordorigin="9873,8089" coordsize="2033,89">
              <v:shape style="position:absolute;left:9873;top:8089;width:2033;height:89" coordorigin="9873,8089" coordsize="2033,89" path="m9873,8177l11906,8089e" filled="false" stroked="true" strokeweight="1.043pt" strokecolor="#8c8f90">
                <v:path arrowok="t"/>
              </v:shape>
            </v:group>
            <v:group style="position:absolute;left:0;top:8272;width:7700;height:336" coordorigin="0,8272" coordsize="7700,336">
              <v:shape style="position:absolute;left:0;top:8272;width:7700;height:336" coordorigin="0,8272" coordsize="7700,336" path="m0,8607l7699,8272e" filled="false" stroked="true" strokeweight="1.043pt" strokecolor="#9b8758">
                <v:path arrowok="t"/>
              </v:shape>
            </v:group>
            <v:group style="position:absolute;left:0;top:7211;width:11906;height:1031" coordorigin="0,7211" coordsize="11906,1031">
              <v:shape style="position:absolute;left:0;top:7211;width:11906;height:1031" coordorigin="0,7211" coordsize="11906,1031" path="m0,8241l11906,7211e" filled="false" stroked="true" strokeweight="1.043pt" strokecolor="#9b8758">
                <v:path arrowok="t"/>
              </v:shape>
            </v:group>
            <v:group style="position:absolute;left:0;top:6010;width:11906;height:1731" coordorigin="0,6010" coordsize="11906,1731">
              <v:shape style="position:absolute;left:0;top:6010;width:11906;height:1731" coordorigin="0,6010" coordsize="11906,1731" path="m11905,6010l0,7741e" filled="false" stroked="true" strokeweight=".261pt" strokecolor="#9b8758">
                <v:path arrowok="t"/>
              </v:shape>
            </v:group>
            <v:group style="position:absolute;left:0;top:4985;width:6363;height:1709" coordorigin="0,4985" coordsize="6363,1709">
              <v:shape style="position:absolute;left:0;top:4985;width:6363;height:1709" coordorigin="0,4985" coordsize="6363,1709" path="m6362,4985l0,6694e" filled="false" stroked="true" strokeweight=".522pt" strokecolor="#8c8f90">
                <v:path arrowok="t"/>
              </v:shape>
            </v:group>
            <v:group style="position:absolute;left:8243;top:3497;width:3663;height:984" coordorigin="8243,3497" coordsize="3663,984">
              <v:shape style="position:absolute;left:8243;top:3497;width:3663;height:984" coordorigin="8243,3497" coordsize="3663,984" path="m11905,3497l8243,4480e" filled="false" stroked="true" strokeweight=".522pt" strokecolor="#9b8758">
                <v:path arrowok="t"/>
              </v:shape>
            </v:group>
            <v:group style="position:absolute;left:0;top:3651;width:10376;height:2928" coordorigin="0,3651" coordsize="10376,2928">
              <v:shape style="position:absolute;left:0;top:3651;width:10376;height:2928" coordorigin="0,3651" coordsize="10376,2928" path="m10375,3651l0,6578e" filled="false" stroked="true" strokeweight="1.565pt" strokecolor="#9b8758">
                <v:path arrowok="t"/>
              </v:shape>
            </v:group>
            <v:group style="position:absolute;left:11208;top:3219;width:698;height:197" coordorigin="11208,3219" coordsize="698,197">
              <v:shape style="position:absolute;left:11208;top:3219;width:698;height:197" coordorigin="11208,3219" coordsize="698,197" path="m11905,3219l11208,3416e" filled="false" stroked="true" strokeweight="1.565pt" strokecolor="#9b8758">
                <v:path arrowok="t"/>
              </v:shape>
            </v:group>
            <v:group style="position:absolute;left:10025;top:8951;width:1892;height:2" coordorigin="10025,8951" coordsize="1892,2">
              <v:shape style="position:absolute;left:10025;top:8951;width:1892;height:2" coordorigin="10025,8951" coordsize="1892,0" path="m10025,8951l11916,8951e" filled="false" stroked="true" strokeweight="1.043pt" strokecolor="#9b8758">
                <v:path arrowok="t"/>
              </v:shape>
            </v:group>
            <v:group style="position:absolute;left:10025;top:9019;width:1892;height:2" coordorigin="10025,9019" coordsize="1892,2">
              <v:shape style="position:absolute;left:10025;top:9019;width:1892;height:2" coordorigin="10025,9019" coordsize="1892,0" path="m10025,9019l11916,9019e" filled="false" stroked="true" strokeweight="1.043pt" strokecolor="#9b8758">
                <v:path arrowok="t"/>
              </v:shape>
            </v:group>
            <v:group style="position:absolute;left:-5;top:8930;width:2;height:43" coordorigin="-5,8930" coordsize="2,43">
              <v:shape style="position:absolute;left:-5;top:8930;width:2;height:43" coordorigin="-5,8930" coordsize="0,43" path="m-5,8930l-5,8972e" filled="false" stroked="true" strokeweight="1.043pt" strokecolor="#9b8758">
                <v:path arrowok="t"/>
              </v:shape>
            </v:group>
            <v:group style="position:absolute;left:0;top:-348;width:10025;height:11149" coordorigin="0,-348" coordsize="10025,11149">
              <v:shape style="position:absolute;left:0;top:-348;width:10025;height:11149" coordorigin="0,-348" coordsize="10025,11149" path="m0,10801l10025,10801,10025,-348,0,-348,0,10801xe" filled="true" fillcolor="#ffffff" stroked="false">
                <v:path arrowok="t"/>
                <v:fill type="solid"/>
              </v:shape>
            </v:group>
            <v:group style="position:absolute;left:0;top:-348;width:10025;height:11149" coordorigin="0,-348" coordsize="10025,11149">
              <v:shape style="position:absolute;left:0;top:-348;width:10025;height:11149" coordorigin="0,-348" coordsize="10025,11149" path="m0,10801l10025,10801,10025,-348,0,-348e" filled="false" stroked="true" strokeweight="1pt" strokecolor="#9d8757">
                <v:path arrowok="t"/>
              </v:shape>
              <v:shape style="position:absolute;left:7200;top:9053;width:2523;height:992" type="#_x0000_t75" stroked="false">
                <v:imagedata r:id="rId32" o:title=""/>
              </v:shape>
            </v:group>
            <w10:wrap type="none"/>
          </v:group>
        </w:pict>
      </w:r>
      <w:r>
        <w:rPr>
          <w:rFonts w:ascii="宋体" w:hAnsi="宋体" w:cs="宋体" w:eastAsia="宋体" w:hint="default"/>
          <w:spacing w:val="3"/>
        </w:rPr>
        <w:t>物联网等重点创新业务的规模拓展，产业互联网业务收入同比增长</w:t>
      </w:r>
      <w:r>
        <w:rPr>
          <w:rFonts w:ascii="宋体" w:hAnsi="宋体" w:cs="宋体" w:eastAsia="宋体" w:hint="default"/>
        </w:rPr>
        <w:t> </w:t>
      </w:r>
      <w:r>
        <w:rPr>
          <w:rFonts w:ascii="宋体" w:hAnsi="宋体" w:cs="宋体" w:eastAsia="宋体" w:hint="default"/>
          <w:spacing w:val="3"/>
        </w:rPr>
        <w:t>45%，带动固网主营业务收入同</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spacing w:val="3"/>
        </w:rPr>
        <w:t>比增</w:t>
      </w:r>
      <w:r>
        <w:rPr>
          <w:rFonts w:ascii="宋体" w:hAnsi="宋体" w:cs="宋体" w:eastAsia="宋体" w:hint="default"/>
        </w:rPr>
        <w:t>长</w:t>
      </w:r>
      <w:r>
        <w:rPr>
          <w:rFonts w:ascii="宋体" w:hAnsi="宋体" w:cs="宋体" w:eastAsia="宋体" w:hint="default"/>
          <w:spacing w:val="-45"/>
        </w:rPr>
        <w:t> </w:t>
      </w:r>
      <w:r>
        <w:rPr>
          <w:rFonts w:ascii="宋体" w:hAnsi="宋体" w:cs="宋体" w:eastAsia="宋体" w:hint="default"/>
          <w:spacing w:val="-1"/>
          <w:w w:val="111"/>
        </w:rPr>
        <w:t>6</w:t>
      </w:r>
      <w:r>
        <w:rPr>
          <w:rFonts w:ascii="宋体" w:hAnsi="宋体" w:cs="宋体" w:eastAsia="宋体" w:hint="default"/>
          <w:w w:val="55"/>
        </w:rPr>
        <w:t>.</w:t>
      </w:r>
      <w:r>
        <w:rPr>
          <w:rFonts w:ascii="宋体" w:hAnsi="宋体" w:cs="宋体" w:eastAsia="宋体" w:hint="default"/>
          <w:spacing w:val="-1"/>
          <w:w w:val="111"/>
        </w:rPr>
        <w:t>0</w:t>
      </w:r>
      <w:r>
        <w:rPr>
          <w:rFonts w:ascii="宋体" w:hAnsi="宋体" w:cs="宋体" w:eastAsia="宋体" w:hint="default"/>
          <w:w w:val="200"/>
        </w:rPr>
        <w:t>%</w:t>
      </w:r>
      <w:r>
        <w:rPr>
          <w:rFonts w:ascii="宋体" w:hAnsi="宋体" w:cs="宋体" w:eastAsia="宋体" w:hint="default"/>
          <w:spacing w:val="3"/>
        </w:rPr>
        <w:t>。坚持精准投</w:t>
      </w:r>
      <w:r>
        <w:rPr>
          <w:rFonts w:ascii="宋体" w:hAnsi="宋体" w:cs="宋体" w:eastAsia="宋体" w:hint="default"/>
        </w:rPr>
        <w:t>资</w:t>
      </w:r>
      <w:r>
        <w:rPr>
          <w:rFonts w:ascii="宋体" w:hAnsi="宋体" w:cs="宋体" w:eastAsia="宋体" w:hint="default"/>
          <w:spacing w:val="3"/>
        </w:rPr>
        <w:t>，高效建</w:t>
      </w:r>
      <w:r>
        <w:rPr>
          <w:rFonts w:ascii="宋体" w:hAnsi="宋体" w:cs="宋体" w:eastAsia="宋体" w:hint="default"/>
        </w:rPr>
        <w:t>设</w:t>
      </w:r>
      <w:r>
        <w:rPr>
          <w:rFonts w:ascii="宋体" w:hAnsi="宋体" w:cs="宋体" w:eastAsia="宋体" w:hint="default"/>
          <w:spacing w:val="3"/>
        </w:rPr>
        <w:t>，在资本开支得到有效控制的同</w:t>
      </w:r>
      <w:r>
        <w:rPr>
          <w:rFonts w:ascii="宋体" w:hAnsi="宋体" w:cs="宋体" w:eastAsia="宋体" w:hint="default"/>
        </w:rPr>
        <w:t>时</w:t>
      </w:r>
      <w:r>
        <w:rPr>
          <w:rFonts w:ascii="宋体" w:hAnsi="宋体" w:cs="宋体" w:eastAsia="宋体" w:hint="default"/>
          <w:spacing w:val="3"/>
        </w:rPr>
        <w:t>，聚焦地区的网络质量和</w:t>
      </w:r>
      <w:r>
        <w:rPr>
          <w:rFonts w:ascii="宋体" w:hAnsi="宋体" w:cs="宋体" w:eastAsia="宋体" w:hint="default"/>
          <w:spacing w:val="3"/>
        </w:rPr>
        <w:t> </w:t>
      </w:r>
      <w:r>
        <w:rPr>
          <w:rFonts w:ascii="宋体" w:hAnsi="宋体" w:cs="宋体" w:eastAsia="宋体" w:hint="default"/>
        </w:rPr>
        <w:t>客户感知持续提升，4G</w:t>
      </w:r>
      <w:r>
        <w:rPr>
          <w:rFonts w:ascii="宋体" w:hAnsi="宋体" w:cs="宋体" w:eastAsia="宋体" w:hint="default"/>
          <w:spacing w:val="3"/>
        </w:rPr>
        <w:t> </w:t>
      </w:r>
      <w:r>
        <w:rPr>
          <w:rFonts w:ascii="宋体" w:hAnsi="宋体" w:cs="宋体" w:eastAsia="宋体" w:hint="default"/>
        </w:rPr>
        <w:t>网络平均上下行速率保持行业领先，网络时延指标保持行业最优。</w:t>
      </w:r>
    </w:p>
    <w:p>
      <w:pPr>
        <w:pStyle w:val="BodyText"/>
        <w:spacing w:line="304" w:lineRule="auto" w:before="129"/>
        <w:ind w:left="1474" w:right="2461" w:firstLine="368"/>
        <w:jc w:val="both"/>
        <w:rPr>
          <w:rFonts w:ascii="宋体" w:hAnsi="宋体" w:cs="宋体" w:eastAsia="宋体" w:hint="default"/>
        </w:rPr>
      </w:pPr>
      <w:r>
        <w:rPr>
          <w:rFonts w:ascii="宋体" w:hAnsi="宋体" w:cs="宋体" w:eastAsia="宋体" w:hint="default"/>
        </w:rPr>
        <w:t>公司全面落实“完善治理、强化激励、突出主业、提高效率”十六字方针，深化实施混合所有制</w:t>
      </w:r>
      <w:r>
        <w:rPr>
          <w:rFonts w:ascii="宋体" w:hAnsi="宋体" w:cs="宋体" w:eastAsia="宋体" w:hint="default"/>
          <w:spacing w:val="1"/>
        </w:rPr>
        <w:t> </w:t>
      </w:r>
      <w:r>
        <w:rPr>
          <w:rFonts w:ascii="宋体" w:hAnsi="宋体" w:cs="宋体" w:eastAsia="宋体" w:hint="default"/>
        </w:rPr>
        <w:t>改革。组建成立多元化董事会与监事会，完善公司治理结构，提升科学治理水平；深入推进与战略投</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资者的业务合作和资本合作，促进能力互补、互利共赢，为公司经营转型与创新变革提供新动能；围</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绕“提活力、促发展、控成本”深化机制体制改革，常态化推进瘦身健体，完善市场化激励机制，实</w:t>
      </w:r>
      <w:r>
        <w:rPr>
          <w:rFonts w:ascii="宋体" w:hAnsi="宋体" w:cs="宋体" w:eastAsia="宋体" w:hint="default"/>
          <w:spacing w:val="-54"/>
        </w:rPr>
        <w:t> </w:t>
      </w:r>
      <w:r>
        <w:rPr>
          <w:rFonts w:ascii="宋体" w:hAnsi="宋体" w:cs="宋体" w:eastAsia="宋体" w:hint="default"/>
          <w:spacing w:val="-54"/>
        </w:rPr>
      </w:r>
      <w:r>
        <w:rPr>
          <w:rFonts w:ascii="宋体" w:hAnsi="宋体" w:cs="宋体" w:eastAsia="宋体" w:hint="default"/>
        </w:rPr>
        <w:t>施限制性股票激励计划，员工和股东回报双双提升。</w:t>
      </w:r>
    </w:p>
    <w:p>
      <w:pPr>
        <w:pStyle w:val="BodyText"/>
        <w:spacing w:line="304" w:lineRule="auto" w:before="129"/>
        <w:ind w:left="1474" w:right="2356" w:firstLine="368"/>
        <w:jc w:val="left"/>
        <w:rPr>
          <w:rFonts w:ascii="宋体" w:hAnsi="宋体" w:cs="宋体" w:eastAsia="宋体" w:hint="default"/>
        </w:rPr>
      </w:pPr>
      <w:r>
        <w:rPr>
          <w:rFonts w:ascii="宋体" w:hAnsi="宋体" w:cs="宋体" w:eastAsia="宋体" w:hint="default"/>
        </w:rPr>
        <w:t>公司积极践行社会责任，坚持社会责任源于战略、植于管理、成于运营，坚持党建引领发展，坚</w:t>
      </w:r>
      <w:r>
        <w:rPr>
          <w:rFonts w:ascii="宋体" w:hAnsi="宋体" w:cs="宋体" w:eastAsia="宋体" w:hint="default"/>
          <w:spacing w:val="1"/>
        </w:rPr>
        <w:t> </w:t>
      </w:r>
      <w:r>
        <w:rPr>
          <w:rFonts w:ascii="宋体" w:hAnsi="宋体" w:cs="宋体" w:eastAsia="宋体" w:hint="default"/>
        </w:rPr>
        <w:t>持新发展理念，更好满足人民日益增长的对美好信息通信生活的需要。以匠心建设智慧精品网络，为</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spacing w:val="-1"/>
        </w:rPr>
        <w:t>建设网络强国做积极贡献。坚持绿色低碳建设和共建共享，维护网络安全，营造安全清朗的网络空间。</w:t>
      </w:r>
      <w:r>
        <w:rPr>
          <w:rFonts w:ascii="宋体" w:hAnsi="宋体" w:cs="宋体" w:eastAsia="宋体" w:hint="default"/>
        </w:rPr>
        <w:t> 坚持“一切为了客户”，为用户提供丰富的智慧产品和智慧应用，构筑便捷美好生活。积极布局发展</w:t>
      </w:r>
      <w:r>
        <w:rPr>
          <w:rFonts w:ascii="宋体" w:hAnsi="宋体" w:cs="宋体" w:eastAsia="宋体" w:hint="default"/>
          <w:spacing w:val="-53"/>
        </w:rPr>
        <w:t> </w:t>
      </w:r>
      <w:r>
        <w:rPr>
          <w:rFonts w:ascii="宋体" w:hAnsi="宋体" w:cs="宋体" w:eastAsia="宋体" w:hint="default"/>
          <w:spacing w:val="-53"/>
        </w:rPr>
      </w:r>
      <w:r>
        <w:rPr>
          <w:rFonts w:ascii="宋体" w:hAnsi="宋体" w:cs="宋体" w:eastAsia="宋体" w:hint="default"/>
        </w:rPr>
        <w:t>智慧前沿技术，推动信息技术与实体经济的深度融合，助力传统行业与经济社会转型升级。协手打造</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智慧冬奥，为冬奥会成功举办注入新动能。开展精准扶贫，惠民共享社会公益。关心关爱员工生活，</w:t>
      </w:r>
      <w:r>
        <w:rPr>
          <w:rFonts w:ascii="宋体" w:hAnsi="宋体" w:cs="宋体" w:eastAsia="宋体" w:hint="default"/>
          <w:spacing w:val="-53"/>
        </w:rPr>
        <w:t> </w:t>
      </w:r>
      <w:r>
        <w:rPr>
          <w:rFonts w:ascii="宋体" w:hAnsi="宋体" w:cs="宋体" w:eastAsia="宋体" w:hint="default"/>
          <w:spacing w:val="-53"/>
        </w:rPr>
      </w:r>
      <w:r>
        <w:rPr>
          <w:rFonts w:ascii="宋体" w:hAnsi="宋体" w:cs="宋体" w:eastAsia="宋体" w:hint="default"/>
        </w:rPr>
        <w:t>助力员工成长发展。</w:t>
      </w:r>
    </w:p>
    <w:p>
      <w:pPr>
        <w:pStyle w:val="BodyText"/>
        <w:spacing w:line="304" w:lineRule="auto" w:before="129"/>
        <w:ind w:left="1474" w:right="2459" w:firstLine="368"/>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5"/>
        </w:rPr>
        <w:t> </w:t>
      </w:r>
      <w:r>
        <w:rPr>
          <w:rFonts w:ascii="宋体" w:hAnsi="宋体" w:cs="宋体" w:eastAsia="宋体" w:hint="default"/>
        </w:rPr>
        <w:t>年公司荣获多项嘉许，其中包括本公司控股子公司</w:t>
      </w:r>
      <w:r>
        <w:rPr>
          <w:rFonts w:ascii="宋体" w:hAnsi="宋体" w:cs="宋体" w:eastAsia="宋体" w:hint="default"/>
          <w:spacing w:val="-45"/>
        </w:rPr>
        <w:t> </w:t>
      </w:r>
      <w:r>
        <w:rPr>
          <w:rFonts w:ascii="宋体" w:hAnsi="宋体" w:cs="宋体" w:eastAsia="宋体" w:hint="default"/>
        </w:rPr>
        <w:t>-</w:t>
      </w:r>
      <w:r>
        <w:rPr>
          <w:rFonts w:ascii="宋体" w:hAnsi="宋体" w:cs="宋体" w:eastAsia="宋体" w:hint="default"/>
          <w:spacing w:val="-45"/>
        </w:rPr>
        <w:t> </w:t>
      </w:r>
      <w:r>
        <w:rPr>
          <w:rFonts w:ascii="宋体" w:hAnsi="宋体" w:cs="宋体" w:eastAsia="宋体" w:hint="default"/>
          <w:spacing w:val="-5"/>
        </w:rPr>
        <w:t>联通红筹公司被《金融亚洲》（Finance</w:t>
      </w:r>
      <w:r>
        <w:rPr>
          <w:rFonts w:ascii="宋体" w:hAnsi="宋体" w:cs="宋体" w:eastAsia="宋体" w:hint="default"/>
          <w:w w:val="98"/>
        </w:rPr>
        <w:t> </w:t>
      </w:r>
      <w:r>
        <w:rPr>
          <w:rFonts w:ascii="宋体" w:hAnsi="宋体" w:cs="宋体" w:eastAsia="宋体" w:hint="default"/>
          <w:spacing w:val="2"/>
          <w:w w:val="100"/>
        </w:rPr>
        <w:t>Asia）评选为“亚洲最佳管理电信公司”第一名，被《财资》（The</w:t>
      </w:r>
      <w:r>
        <w:rPr>
          <w:rFonts w:ascii="宋体" w:hAnsi="宋体" w:cs="宋体" w:eastAsia="宋体" w:hint="default"/>
          <w:w w:val="100"/>
        </w:rPr>
        <w:t> </w:t>
      </w:r>
      <w:r>
        <w:rPr>
          <w:rFonts w:ascii="宋体" w:hAnsi="宋体" w:cs="宋体" w:eastAsia="宋体" w:hint="default"/>
          <w:spacing w:val="2"/>
          <w:w w:val="100"/>
        </w:rPr>
        <w:t>Asset）评选为“卓越管治、环</w:t>
      </w:r>
      <w:r>
        <w:rPr>
          <w:rFonts w:ascii="宋体" w:hAnsi="宋体" w:cs="宋体" w:eastAsia="宋体" w:hint="default"/>
          <w:spacing w:val="-86"/>
          <w:w w:val="100"/>
        </w:rPr>
        <w:t> </w:t>
      </w:r>
      <w:r>
        <w:rPr>
          <w:rFonts w:ascii="宋体" w:hAnsi="宋体" w:cs="宋体" w:eastAsia="宋体" w:hint="default"/>
          <w:spacing w:val="-86"/>
          <w:w w:val="100"/>
        </w:rPr>
      </w:r>
      <w:r>
        <w:rPr>
          <w:rFonts w:ascii="宋体" w:hAnsi="宋体" w:cs="宋体" w:eastAsia="宋体" w:hint="default"/>
        </w:rPr>
        <w:t>境保护及企业社会责任白金奖”，被《亚洲公司管治》（Corporate Governance</w:t>
      </w:r>
      <w:r>
        <w:rPr>
          <w:rFonts w:ascii="宋体" w:hAnsi="宋体" w:cs="宋体" w:eastAsia="宋体" w:hint="default"/>
          <w:spacing w:val="-48"/>
        </w:rPr>
        <w:t> </w:t>
      </w:r>
      <w:r>
        <w:rPr>
          <w:rFonts w:ascii="宋体" w:hAnsi="宋体" w:cs="宋体" w:eastAsia="宋体" w:hint="default"/>
        </w:rPr>
        <w:t>Asia）评选为“亚洲</w:t>
      </w:r>
      <w:r>
        <w:rPr>
          <w:rFonts w:ascii="宋体" w:hAnsi="宋体" w:cs="宋体" w:eastAsia="宋体" w:hint="default"/>
          <w:w w:val="98"/>
        </w:rPr>
        <w:t> </w:t>
      </w:r>
      <w:r>
        <w:rPr>
          <w:rFonts w:ascii="宋体" w:hAnsi="宋体" w:cs="宋体" w:eastAsia="宋体" w:hint="default"/>
          <w:w w:val="95"/>
        </w:rPr>
        <w:t>最佳公司</w:t>
      </w:r>
      <w:r>
        <w:rPr>
          <w:rFonts w:ascii="宋体" w:hAnsi="宋体" w:cs="宋体" w:eastAsia="宋体" w:hint="default"/>
          <w:spacing w:val="-28"/>
          <w:w w:val="95"/>
        </w:rPr>
        <w:t> </w:t>
      </w:r>
      <w:r>
        <w:rPr>
          <w:rFonts w:ascii="宋体" w:hAnsi="宋体" w:cs="宋体" w:eastAsia="宋体" w:hint="default"/>
          <w:w w:val="95"/>
        </w:rPr>
        <w:t>-</w:t>
      </w:r>
      <w:r>
        <w:rPr>
          <w:rFonts w:ascii="宋体" w:hAnsi="宋体" w:cs="宋体" w:eastAsia="宋体" w:hint="default"/>
          <w:spacing w:val="-28"/>
          <w:w w:val="95"/>
        </w:rPr>
        <w:t> </w:t>
      </w:r>
      <w:r>
        <w:rPr>
          <w:rFonts w:ascii="宋体" w:hAnsi="宋体" w:cs="宋体" w:eastAsia="宋体" w:hint="default"/>
          <w:w w:val="95"/>
        </w:rPr>
        <w:t>企业管治典范”，被《机构投资者》(Institutional</w:t>
      </w:r>
      <w:r>
        <w:rPr>
          <w:rFonts w:ascii="宋体" w:hAnsi="宋体" w:cs="宋体" w:eastAsia="宋体" w:hint="default"/>
          <w:spacing w:val="-1"/>
          <w:w w:val="95"/>
        </w:rPr>
        <w:t> </w:t>
      </w:r>
      <w:r>
        <w:rPr>
          <w:rFonts w:ascii="宋体" w:hAnsi="宋体" w:cs="宋体" w:eastAsia="宋体" w:hint="default"/>
          <w:w w:val="95"/>
        </w:rPr>
        <w:t>Investor)</w:t>
      </w:r>
      <w:r>
        <w:rPr>
          <w:rFonts w:ascii="宋体" w:hAnsi="宋体" w:cs="宋体" w:eastAsia="宋体" w:hint="default"/>
          <w:spacing w:val="-28"/>
          <w:w w:val="95"/>
        </w:rPr>
        <w:t> </w:t>
      </w:r>
      <w:r>
        <w:rPr>
          <w:rFonts w:ascii="宋体" w:hAnsi="宋体" w:cs="宋体" w:eastAsia="宋体" w:hint="default"/>
          <w:w w:val="95"/>
        </w:rPr>
        <w:t>连续第三年评选为“亚洲最受</w:t>
      </w:r>
      <w:r>
        <w:rPr>
          <w:rFonts w:ascii="宋体" w:hAnsi="宋体" w:cs="宋体" w:eastAsia="宋体" w:hint="default"/>
          <w:spacing w:val="-81"/>
          <w:w w:val="95"/>
        </w:rPr>
        <w:t> </w:t>
      </w:r>
      <w:r>
        <w:rPr>
          <w:rFonts w:ascii="宋体" w:hAnsi="宋体" w:cs="宋体" w:eastAsia="宋体" w:hint="default"/>
          <w:spacing w:val="-81"/>
          <w:w w:val="95"/>
        </w:rPr>
      </w:r>
      <w:r>
        <w:rPr>
          <w:rFonts w:ascii="宋体" w:hAnsi="宋体" w:cs="宋体" w:eastAsia="宋体" w:hint="default"/>
          <w:w w:val="105"/>
        </w:rPr>
        <w:t>尊崇电信企业”第一名。</w:t>
      </w:r>
    </w:p>
    <w:p>
      <w:pPr>
        <w:pStyle w:val="BodyText"/>
        <w:spacing w:line="304" w:lineRule="auto" w:before="129"/>
        <w:ind w:left="1474" w:right="2460" w:firstLine="368"/>
        <w:jc w:val="both"/>
        <w:rPr>
          <w:rFonts w:ascii="宋体" w:hAnsi="宋体" w:cs="宋体" w:eastAsia="宋体" w:hint="default"/>
        </w:rPr>
      </w:pPr>
      <w:r>
        <w:rPr>
          <w:rFonts w:ascii="宋体" w:hAnsi="宋体" w:cs="宋体" w:eastAsia="宋体" w:hint="default"/>
        </w:rPr>
        <w:t>当前，我国经济发展进入新时代，信息通信新技术加速升级迭代，全球运营商加快网络升级与业 务转型，行业发展具有大有可为的广阔空间。混合所有制改革为公司建立差异化优势赋能，为公司发</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展带来宝贵发展机遇。同时，公司也面临着传统业务下滑、市场竞争以及落实提速降费等政策带来的</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挑战，促使公司要进一步深化互联网化转型，加快高质量发展步伐。展望未来，公司将抢抓机遇、直</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面挑战，践行新发展理念，深化实施聚焦创新合作战略，纵深推进混合所有制改革，以新治理释放更</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多制度红利、新基因迸发更大内在活力、新运营实现更高效率效益、新动能拓展更广发展蓝海、新生</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态汇聚更多协同优势，奋力开创“五新”联通建设和高质量发展的新局面。</w:t>
      </w:r>
    </w:p>
    <w:p>
      <w:pPr>
        <w:pStyle w:val="BodyText"/>
        <w:spacing w:line="304" w:lineRule="auto" w:before="129"/>
        <w:ind w:left="1474" w:right="2465" w:firstLine="368"/>
        <w:jc w:val="both"/>
        <w:rPr>
          <w:rFonts w:ascii="宋体" w:hAnsi="宋体" w:cs="宋体" w:eastAsia="宋体" w:hint="default"/>
        </w:rPr>
      </w:pPr>
      <w:r>
        <w:rPr>
          <w:rFonts w:ascii="宋体" w:hAnsi="宋体" w:cs="宋体" w:eastAsia="宋体" w:hint="default"/>
        </w:rPr>
        <w:t>最后，本人仅代表董事会诚挚感谢全体股东、广大客户及社会各界对公司的大力支持，也对全体 员工一直以来的努力与贡献表示诚挚感谢！</w:t>
      </w:r>
    </w:p>
    <w:p>
      <w:pPr>
        <w:pStyle w:val="BodyText"/>
        <w:spacing w:line="240" w:lineRule="auto" w:before="129"/>
        <w:ind w:left="4388" w:right="1956"/>
        <w:jc w:val="center"/>
        <w:rPr>
          <w:rFonts w:ascii="宋体" w:hAnsi="宋体" w:cs="宋体" w:eastAsia="宋体" w:hint="default"/>
        </w:rPr>
      </w:pPr>
      <w:r>
        <w:rPr>
          <w:rFonts w:ascii="宋体" w:hAnsi="宋体" w:cs="宋体" w:eastAsia="宋体" w:hint="default"/>
        </w:rPr>
        <w:t>董事长：</w:t>
      </w:r>
    </w:p>
    <w:p>
      <w:pPr>
        <w:spacing w:line="240" w:lineRule="auto" w:before="0"/>
        <w:rPr>
          <w:rFonts w:ascii="宋体" w:hAnsi="宋体" w:cs="宋体" w:eastAsia="宋体" w:hint="default"/>
          <w:sz w:val="18"/>
          <w:szCs w:val="18"/>
        </w:rPr>
      </w:pPr>
    </w:p>
    <w:p>
      <w:pPr>
        <w:pStyle w:val="BodyText"/>
        <w:spacing w:line="240" w:lineRule="auto" w:before="129"/>
        <w:ind w:left="7257" w:right="764"/>
        <w:jc w:val="left"/>
        <w:rPr>
          <w:rFonts w:ascii="宋体" w:hAnsi="宋体" w:cs="宋体" w:eastAsia="宋体" w:hint="default"/>
        </w:rPr>
      </w:pPr>
      <w:r>
        <w:rPr>
          <w:rFonts w:ascii="宋体" w:hAnsi="宋体" w:cs="宋体" w:eastAsia="宋体" w:hint="default"/>
        </w:rPr>
        <w:t>二○一九年三月十三日</w:t>
      </w:r>
    </w:p>
    <w:p>
      <w:pPr>
        <w:spacing w:after="0" w:line="240" w:lineRule="auto"/>
        <w:jc w:val="left"/>
        <w:rPr>
          <w:rFonts w:ascii="宋体" w:hAnsi="宋体" w:cs="宋体" w:eastAsia="宋体" w:hint="default"/>
        </w:rPr>
        <w:sectPr>
          <w:pgSz w:w="11910" w:h="16160"/>
          <w:pgMar w:header="0" w:footer="298" w:top="1100" w:bottom="4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spacing w:line="541" w:lineRule="exact" w:before="0"/>
        <w:ind w:left="822" w:right="764" w:firstLine="0"/>
        <w:jc w:val="left"/>
        <w:rPr>
          <w:rFonts w:ascii="宋体" w:hAnsi="宋体" w:cs="宋体" w:eastAsia="宋体" w:hint="default"/>
          <w:sz w:val="48"/>
          <w:szCs w:val="48"/>
        </w:rPr>
      </w:pPr>
      <w:r>
        <w:rPr/>
        <w:pict>
          <v:group style="position:absolute;margin-left:.000001pt;margin-top:-89.807152pt;width:596.050pt;height:203.4pt;mso-position-horizontal-relative:page;mso-position-vertical-relative:paragraph;z-index:-968032" coordorigin="0,-1796" coordsize="11921,4068">
            <v:group style="position:absolute;left:0;top:764;width:2660;height:1508" coordorigin="0,764" coordsize="2660,1508">
              <v:shape style="position:absolute;left:0;top:764;width:2660;height:1508" coordorigin="0,764" coordsize="2660,1508" path="m2660,764l0,764,0,2271,2660,764xe" filled="true" fillcolor="#9b8758" stroked="false">
                <v:path arrowok="t"/>
                <v:fill type="solid"/>
              </v:shape>
            </v:group>
            <v:group style="position:absolute;left:2675;top:755;width:2;height:9" coordorigin="2675,755" coordsize="2,9">
              <v:shape style="position:absolute;left:2675;top:755;width:2;height:9" coordorigin="2675,755" coordsize="1,9" path="m2675,755l2675,764e" filled="false" stroked="true" strokeweight="1.5pt" strokecolor="#8c8f90">
                <v:path arrowok="t"/>
              </v:shape>
            </v:group>
            <v:group style="position:absolute;left:2727;top:726;width:24;height:39" coordorigin="2727,726" coordsize="24,39">
              <v:shape style="position:absolute;left:2727;top:726;width:24;height:39" coordorigin="2727,726" coordsize="24,39" path="m2727,726l2750,764e" filled="false" stroked="true" strokeweight=".5pt" strokecolor="#8c8f90">
                <v:path arrowok="t"/>
              </v:shape>
            </v:group>
            <v:group style="position:absolute;left:2715;top:732;width:13;height:32" coordorigin="2715,732" coordsize="13,32">
              <v:shape style="position:absolute;left:2715;top:732;width:13;height:32" coordorigin="2715,732" coordsize="13,32" path="m2715,732l2727,764e" filled="false" stroked="true" strokeweight=".25pt" strokecolor="#9b8758">
                <v:path arrowok="t"/>
              </v:shape>
            </v:group>
            <v:group style="position:absolute;left:2663;top:762;width:3;height:2" coordorigin="2663,762" coordsize="3,2">
              <v:shape style="position:absolute;left:2663;top:762;width:3;height:2" coordorigin="2663,762" coordsize="3,2" path="m2663,762l2665,764e" filled="false" stroked="true" strokeweight="1pt" strokecolor="#8c8f90">
                <v:path arrowok="t"/>
              </v:shape>
            </v:group>
            <v:group style="position:absolute;left:2726;top:726;width:23;height:38" coordorigin="2726,726" coordsize="23,38">
              <v:shape style="position:absolute;left:2726;top:726;width:23;height:38" coordorigin="2726,726" coordsize="23,38" path="m2726,726l2748,764e" filled="false" stroked="true" strokeweight="1.5pt" strokecolor="#9b8758">
                <v:path arrowok="t"/>
              </v:shape>
            </v:group>
            <v:group style="position:absolute;left:2665;top:760;width:2;height:4" coordorigin="2665,760" coordsize="2,4">
              <v:shape style="position:absolute;left:2665;top:760;width:2;height:4" coordorigin="2665,760" coordsize="1,4" path="m2665,760l2665,764e" filled="false" stroked="true" strokeweight=".5pt" strokecolor="#8c8f90">
                <v:path arrowok="t"/>
              </v:shape>
            </v:group>
            <v:group style="position:absolute;left:2660;top:763;width:2;height:2" coordorigin="2660,763" coordsize="2,2">
              <v:shape style="position:absolute;left:2660;top:763;width:2;height:2" coordorigin="2660,763" coordsize="1,1" path="m2661,763l2660,764e" filled="false" stroked="true" strokeweight="1pt" strokecolor="#9b8758">
                <v:path arrowok="t"/>
              </v:shape>
            </v:group>
            <v:group style="position:absolute;left:2673;top:756;width:2;height:8" coordorigin="2673,756" coordsize="2,8">
              <v:shape style="position:absolute;left:2673;top:756;width:2;height:8" coordorigin="2673,756" coordsize="1,8" path="m2674,756l2673,764e" filled="false" stroked="true" strokeweight="1.5pt" strokecolor="#8c8f90">
                <v:path arrowok="t"/>
              </v:shape>
            </v:group>
            <v:group style="position:absolute;left:2680;top:752;width:2;height:12" coordorigin="2680,752" coordsize="2,12">
              <v:shape style="position:absolute;left:2680;top:752;width:2;height:12" coordorigin="2680,752" coordsize="1,12" path="m2680,752l2680,764e" filled="false" stroked="true" strokeweight="1.5pt" strokecolor="#9b8758">
                <v:path arrowok="t"/>
              </v:shape>
              <v:shape style="position:absolute;left:2753;top:678;width:305;height:101" type="#_x0000_t75" stroked="false">
                <v:imagedata r:id="rId35" o:title=""/>
              </v:shape>
            </v:group>
            <v:group style="position:absolute;left:3491;top:-1781;width:4616;height:2074" coordorigin="3491,-1781" coordsize="4616,2074">
              <v:shape style="position:absolute;left:3491;top:-1781;width:4616;height:2074" coordorigin="3491,-1781" coordsize="4616,2074" path="m8107,-1781l3491,292e" filled="false" stroked="true" strokeweight=".5pt" strokecolor="#9b8758">
                <v:path arrowok="t"/>
              </v:shape>
            </v:group>
            <v:group style="position:absolute;left:3347;top:-1781;width:5088;height:2156" coordorigin="3347,-1781" coordsize="5088,2156">
              <v:shape style="position:absolute;left:3347;top:-1781;width:5088;height:2156" coordorigin="3347,-1781" coordsize="5088,2156" path="m8434,-1781l3347,374e" filled="false" stroked="true" strokeweight=".5pt" strokecolor="#8c8f90">
                <v:path arrowok="t"/>
              </v:shape>
            </v:group>
            <v:group style="position:absolute;left:2971;top:-1520;width:8935;height:2108" coordorigin="2971,-1520" coordsize="8935,2108">
              <v:shape style="position:absolute;left:2971;top:-1520;width:8935;height:2108" coordorigin="2971,-1520" coordsize="8935,2108" path="m11905,-1520l2971,587e" filled="false" stroked="true" strokeweight=".25pt" strokecolor="#8c8f90">
                <v:path arrowok="t"/>
              </v:shape>
            </v:group>
            <v:group style="position:absolute;left:6356;top:-1781;width:833;height:451" coordorigin="6356,-1781" coordsize="833,451">
              <v:shape style="position:absolute;left:6356;top:-1781;width:833;height:451" coordorigin="6356,-1781" coordsize="833,451" path="m7188,-1781l6356,-1331e" filled="false" stroked="true" strokeweight="1pt" strokecolor="#8c8f90">
                <v:path arrowok="t"/>
              </v:shape>
            </v:group>
            <v:group style="position:absolute;left:3936;top:-1781;width:3711;height:1822" coordorigin="3936,-1781" coordsize="3711,1822">
              <v:shape style="position:absolute;left:3936;top:-1781;width:3711;height:1822" coordorigin="3936,-1781" coordsize="3711,1822" path="m7646,-1781l3936,40e" filled="false" stroked="true" strokeweight="1.5pt" strokecolor="#8c8f90">
                <v:path arrowok="t"/>
              </v:shape>
            </v:group>
            <v:group style="position:absolute;left:6598;top:-1781;width:616;height:313" coordorigin="6598,-1781" coordsize="616,313">
              <v:shape style="position:absolute;left:6598;top:-1781;width:616;height:313" coordorigin="6598,-1781" coordsize="616,313" path="m7214,-1781l6598,-1468e" filled="false" stroked="true" strokeweight=".5pt" strokecolor="#9b8758">
                <v:path arrowok="t"/>
              </v:shape>
            </v:group>
            <v:group style="position:absolute;left:2905;top:625;width:6350;height:139" coordorigin="2905,625" coordsize="6350,139">
              <v:shape style="position:absolute;left:2905;top:625;width:6350;height:139" coordorigin="2905,625" coordsize="6350,139" path="m2905,625l9254,764e" filled="false" stroked="true" strokeweight=".5pt" strokecolor="#8c8f90">
                <v:path arrowok="t"/>
              </v:shape>
            </v:group>
            <v:group style="position:absolute;left:2864;top:290;width:9042;height:359" coordorigin="2864,290" coordsize="9042,359">
              <v:shape style="position:absolute;left:2864;top:290;width:9042;height:359" coordorigin="2864,290" coordsize="9042,359" path="m2864,648l11906,290e" filled="false" stroked="true" strokeweight="1.5pt" strokecolor="#8c8f90">
                <v:path arrowok="t"/>
              </v:shape>
            </v:group>
            <v:group style="position:absolute;left:2772;top:700;width:124;height:64" coordorigin="2772,700" coordsize="124,64">
              <v:shape style="position:absolute;left:2772;top:700;width:124;height:64" coordorigin="2772,700" coordsize="124,64" path="m2772,700l2895,764e" filled="false" stroked="true" strokeweight="1pt" strokecolor="#9b8758">
                <v:path arrowok="t"/>
              </v:shape>
            </v:group>
            <v:group style="position:absolute;left:2815;top:676;width:559;height:89" coordorigin="2815,676" coordsize="559,89">
              <v:shape style="position:absolute;left:2815;top:676;width:559;height:89" coordorigin="2815,676" coordsize="559,89" path="m2815,676l3374,764e" filled="false" stroked="true" strokeweight="1pt" strokecolor="#8c8f90">
                <v:path arrowok="t"/>
              </v:shape>
            </v:group>
            <v:group style="position:absolute;left:2799;top:685;width:311;height:80" coordorigin="2799,685" coordsize="311,80">
              <v:shape style="position:absolute;left:2799;top:685;width:311;height:80" coordorigin="2799,685" coordsize="311,80" path="m2799,685l3110,764e" filled="false" stroked="true" strokeweight="1.5pt" strokecolor="#8c8f90">
                <v:path arrowok="t"/>
              </v:shape>
            </v:group>
            <v:group style="position:absolute;left:2809;top:679;width:442;height:85" coordorigin="2809,679" coordsize="442,85">
              <v:shape style="position:absolute;left:2809;top:679;width:442;height:85" coordorigin="2809,679" coordsize="442,85" path="m2809,679l3250,764e" filled="false" stroked="true" strokeweight="1.5pt" strokecolor="#8c8f90">
                <v:path arrowok="t"/>
              </v:shape>
            </v:group>
            <v:group style="position:absolute;left:2978;top:-1592;width:8928;height:2176" coordorigin="2978,-1592" coordsize="8928,2176">
              <v:shape style="position:absolute;left:2978;top:-1592;width:8928;height:2176" coordorigin="2978,-1592" coordsize="8928,2176" path="m2978,583l11906,-1592e" filled="false" stroked="true" strokeweight="1pt" strokecolor="#8c8f90">
                <v:path arrowok="t"/>
              </v:shape>
            </v:group>
            <v:group style="position:absolute;left:2905;top:-617;width:9001;height:1242" coordorigin="2905,-617" coordsize="9001,1242">
              <v:shape style="position:absolute;left:2905;top:-617;width:9001;height:1242" coordorigin="2905,-617" coordsize="9001,1242" path="m2905,625l11906,-617e" filled="false" stroked="true" strokeweight="1.5pt" strokecolor="#8c8f90">
                <v:path arrowok="t"/>
              </v:shape>
            </v:group>
            <v:group style="position:absolute;left:2730;top:724;width:86;height:40" coordorigin="2730,724" coordsize="86,40">
              <v:shape style="position:absolute;left:2730;top:724;width:86;height:40" coordorigin="2730,724" coordsize="86,40" path="m2816,764l2730,724e" filled="false" stroked="true" strokeweight=".5pt" strokecolor="#9b8758">
                <v:path arrowok="t"/>
              </v:shape>
            </v:group>
            <v:group style="position:absolute;left:2783;top:694;width:179;height:70" coordorigin="2783,694" coordsize="179,70">
              <v:shape style="position:absolute;left:2783;top:694;width:179;height:70" coordorigin="2783,694" coordsize="179,70" path="m2961,764l2783,694e" filled="false" stroked="true" strokeweight=".5pt" strokecolor="#9b8758">
                <v:path arrowok="t"/>
              </v:shape>
            </v:group>
            <v:group style="position:absolute;left:2764;top:704;width:97;height:60" coordorigin="2764,704" coordsize="97,60">
              <v:shape style="position:absolute;left:2764;top:704;width:97;height:60" coordorigin="2764,704" coordsize="97,60" path="m2861,764l2764,704e" filled="false" stroked="true" strokeweight=".25pt" strokecolor="#8c8f90">
                <v:path arrowok="t"/>
              </v:shape>
            </v:group>
            <v:group style="position:absolute;left:2758;top:708;width:78;height:56" coordorigin="2758,708" coordsize="78,56">
              <v:shape style="position:absolute;left:2758;top:708;width:78;height:56" coordorigin="2758,708" coordsize="78,56" path="m2835,764l2758,708e" filled="false" stroked="true" strokeweight=".25pt" strokecolor="#8c8f90">
                <v:path arrowok="t"/>
              </v:shape>
            </v:group>
            <v:group style="position:absolute;left:2759;top:707;width:81;height:57" coordorigin="2759,707" coordsize="81,57">
              <v:shape style="position:absolute;left:2759;top:707;width:81;height:57" coordorigin="2759,707" coordsize="81,57" path="m2759,707l2839,764e" filled="false" stroked="true" strokeweight="1pt" strokecolor="#9b8758">
                <v:path arrowok="t"/>
              </v:shape>
            </v:group>
            <v:group style="position:absolute;left:2748;top:713;width:56;height:51" coordorigin="2748,713" coordsize="56,51">
              <v:shape style="position:absolute;left:2748;top:713;width:56;height:51" coordorigin="2748,713" coordsize="56,51" path="m2748,713l2804,764e" filled="false" stroked="true" strokeweight="1.5pt" strokecolor="#8c8f90">
                <v:path arrowok="t"/>
              </v:shape>
            </v:group>
            <v:group style="position:absolute;left:2716;top:732;width:14;height:33" coordorigin="2716,732" coordsize="14,33">
              <v:shape style="position:absolute;left:2716;top:732;width:14;height:33" coordorigin="2716,732" coordsize="14,33" path="m2716,732l2730,764e" filled="false" stroked="true" strokeweight="1.5pt" strokecolor="#9b8758">
                <v:path arrowok="t"/>
              </v:shape>
            </v:group>
            <v:group style="position:absolute;left:2728;top:725;width:25;height:39" coordorigin="2728,725" coordsize="25,39">
              <v:shape style="position:absolute;left:2728;top:725;width:25;height:39" coordorigin="2728,725" coordsize="25,39" path="m2728,725l2753,764e" filled="false" stroked="true" strokeweight="1pt" strokecolor="#9b8758">
                <v:path arrowok="t"/>
              </v:shape>
            </v:group>
            <v:group style="position:absolute;left:2721;top:729;width:18;height:35" coordorigin="2721,729" coordsize="18,35">
              <v:shape style="position:absolute;left:2721;top:729;width:18;height:35" coordorigin="2721,729" coordsize="18,35" path="m2721,729l2738,764e" filled="false" stroked="true" strokeweight="1.5pt" strokecolor="#8c8f90">
                <v:path arrowok="t"/>
              </v:shape>
            </v:group>
            <v:group style="position:absolute;left:2753;top:711;width:66;height:53" coordorigin="2753,711" coordsize="66,53">
              <v:shape style="position:absolute;left:2753;top:711;width:66;height:53" coordorigin="2753,711" coordsize="66,53" path="m2753,711l2818,764e" filled="false" stroked="true" strokeweight="1pt" strokecolor="#9b8758">
                <v:path arrowok="t"/>
              </v:shape>
            </v:group>
            <v:group style="position:absolute;left:2761;top:706;width:88;height:58" coordorigin="2761,706" coordsize="88,58">
              <v:shape style="position:absolute;left:2761;top:706;width:88;height:58" coordorigin="2761,706" coordsize="88,58" path="m2761,706l2849,764e" filled="false" stroked="true" strokeweight="1pt" strokecolor="#9b8758">
                <v:path arrowok="t"/>
              </v:shape>
            </v:group>
            <v:group style="position:absolute;left:2745;top:715;width:49;height:49" coordorigin="2745,715" coordsize="49,49">
              <v:shape style="position:absolute;left:2745;top:715;width:49;height:49" coordorigin="2745,715" coordsize="49,49" path="m2745,715l2793,764e" filled="false" stroked="true" strokeweight="1.5pt" strokecolor="#9b8758">
                <v:path arrowok="t"/>
              </v:shape>
            </v:group>
            <v:group style="position:absolute;left:2766;top:703;width:102;height:61" coordorigin="2766,703" coordsize="102,61">
              <v:shape style="position:absolute;left:2766;top:703;width:102;height:61" coordorigin="2766,703" coordsize="102,61" path="m2766,703l2868,764e" filled="false" stroked="true" strokeweight="1pt" strokecolor="#9b8758">
                <v:path arrowok="t"/>
              </v:shape>
            </v:group>
            <v:group style="position:absolute;left:2743;top:716;width:46;height:48" coordorigin="2743,716" coordsize="46,48">
              <v:shape style="position:absolute;left:2743;top:716;width:46;height:48" coordorigin="2743,716" coordsize="46,48" path="m2743,716l2788,764e" filled="false" stroked="true" strokeweight="1pt" strokecolor="#8c8f90">
                <v:path arrowok="t"/>
              </v:shape>
            </v:group>
            <v:group style="position:absolute;left:2747;top:714;width:54;height:50" coordorigin="2747,714" coordsize="54,50">
              <v:shape style="position:absolute;left:2747;top:714;width:54;height:50" coordorigin="2747,714" coordsize="54,50" path="m2747,714l2801,764e" filled="false" stroked="true" strokeweight="1pt" strokecolor="#8c8f90">
                <v:path arrowok="t"/>
              </v:shape>
            </v:group>
            <v:group style="position:absolute;left:2796;top:687;width:275;height:78" coordorigin="2796,687" coordsize="275,78">
              <v:shape style="position:absolute;left:2796;top:687;width:275;height:78" coordorigin="2796,687" coordsize="275,78" path="m2796,687l3070,764e" filled="false" stroked="true" strokeweight=".5pt" strokecolor="#9b8758">
                <v:path arrowok="t"/>
              </v:shape>
            </v:group>
            <v:group style="position:absolute;left:2756;top:709;width:74;height:55" coordorigin="2756,709" coordsize="74,55">
              <v:shape style="position:absolute;left:2756;top:709;width:74;height:55" coordorigin="2756,709" coordsize="74,55" path="m2756,709l2830,764e" filled="false" stroked="true" strokeweight="1.5pt" strokecolor="#9b8758">
                <v:path arrowok="t"/>
              </v:shape>
            </v:group>
            <v:group style="position:absolute;left:2678;top:757;width:10;height:2" coordorigin="2678,757" coordsize="10,2">
              <v:shape style="position:absolute;left:2678;top:757;width:10;height:2" coordorigin="2678,757" coordsize="10,0" path="m2678,757l2688,757e" filled="false" stroked="true" strokeweight=".669609pt" strokecolor="#9b8758">
                <v:path arrowok="t"/>
              </v:shape>
            </v:group>
            <v:group style="position:absolute;left:2666;top:760;width:2;height:4" coordorigin="2666,760" coordsize="2,4">
              <v:shape style="position:absolute;left:2666;top:760;width:2;height:4" coordorigin="2666,760" coordsize="1,4" path="m2666,764l2667,760e" filled="false" stroked="true" strokeweight=".25pt" strokecolor="#9b8758">
                <v:path arrowok="t"/>
              </v:shape>
            </v:group>
            <v:group style="position:absolute;left:2667;top:759;width:2;height:5" coordorigin="2667,759" coordsize="2,5">
              <v:shape style="position:absolute;left:2667;top:759;width:2;height:5" coordorigin="2667,759" coordsize="1,5" path="m2668,759l2667,764e" filled="false" stroked="true" strokeweight="1pt" strokecolor="#9b8758">
                <v:path arrowok="t"/>
              </v:shape>
            </v:group>
            <v:group style="position:absolute;left:2718;top:731;width:15;height:33" coordorigin="2718,731" coordsize="15,33">
              <v:shape style="position:absolute;left:2718;top:731;width:15;height:33" coordorigin="2718,731" coordsize="15,33" path="m2718,731l2733,764e" filled="false" stroked="true" strokeweight=".5pt" strokecolor="#8c8f90">
                <v:path arrowok="t"/>
              </v:shape>
            </v:group>
            <v:group style="position:absolute;left:2713;top:733;width:12;height:31" coordorigin="2713,733" coordsize="12,31">
              <v:shape style="position:absolute;left:2713;top:733;width:12;height:31" coordorigin="2713,733" coordsize="12,31" path="m2713,733l2725,764e" filled="false" stroked="true" strokeweight=".5pt" strokecolor="#9b8758">
                <v:path arrowok="t"/>
              </v:shape>
            </v:group>
            <v:group style="position:absolute;left:2739;top:719;width:40;height:46" coordorigin="2739,719" coordsize="40,46">
              <v:shape style="position:absolute;left:2739;top:719;width:40;height:46" coordorigin="2739,719" coordsize="40,46" path="m2739,719l2779,764e" filled="false" stroked="true" strokeweight=".25pt" strokecolor="#8c8f90">
                <v:path arrowok="t"/>
              </v:shape>
            </v:group>
            <v:group style="position:absolute;left:2699;top:741;width:5;height:23" coordorigin="2699,741" coordsize="5,23">
              <v:shape style="position:absolute;left:2699;top:741;width:5;height:23" coordorigin="2699,741" coordsize="5,23" path="m2699,741l2704,764e" filled="false" stroked="true" strokeweight="1.0pt" strokecolor="#9b8758">
                <v:path arrowok="t"/>
              </v:shape>
            </v:group>
            <v:group style="position:absolute;left:2719;top:730;width:16;height:34" coordorigin="2719,730" coordsize="16,34">
              <v:shape style="position:absolute;left:2719;top:730;width:16;height:34" coordorigin="2719,730" coordsize="16,34" path="m2719,730l2735,764e" filled="false" stroked="true" strokeweight="1pt" strokecolor="#9b8758">
                <v:path arrowok="t"/>
              </v:shape>
            </v:group>
            <v:group style="position:absolute;left:2696;top:743;width:3;height:21" coordorigin="2696,743" coordsize="3,21">
              <v:shape style="position:absolute;left:2696;top:743;width:3;height:21" coordorigin="2696,743" coordsize="3,21" path="m2696,743l2699,764e" filled="false" stroked="true" strokeweight="1.5pt" strokecolor="#8c8f90">
                <v:path arrowok="t"/>
              </v:shape>
            </v:group>
            <v:group style="position:absolute;left:2712;top:734;width:11;height:30" coordorigin="2712,734" coordsize="11,30">
              <v:shape style="position:absolute;left:2712;top:734;width:11;height:30" coordorigin="2712,734" coordsize="11,30" path="m2712,734l2722,764e" filled="false" stroked="true" strokeweight="1.5pt" strokecolor="#9b8758">
                <v:path arrowok="t"/>
              </v:shape>
            </v:group>
            <v:group style="position:absolute;left:2705;top:738;width:7;height:26" coordorigin="2705,738" coordsize="7,26">
              <v:shape style="position:absolute;left:2705;top:738;width:7;height:26" coordorigin="2705,738" coordsize="7,26" path="m2705,738l2712,764e" filled="false" stroked="true" strokeweight=".5pt" strokecolor="#9b8758">
                <v:path arrowok="t"/>
              </v:shape>
            </v:group>
            <v:group style="position:absolute;left:2690;top:747;width:2;height:17" coordorigin="2690,747" coordsize="2,17">
              <v:shape style="position:absolute;left:2690;top:747;width:2;height:17" coordorigin="2690,747" coordsize="2,17" path="m2690,747l2691,764e" filled="false" stroked="true" strokeweight=".25pt" strokecolor="#8c8f90">
                <v:path arrowok="t"/>
              </v:shape>
            </v:group>
            <v:group style="position:absolute;left:2702;top:740;width:6;height:25" coordorigin="2702,740" coordsize="6,25">
              <v:shape style="position:absolute;left:2702;top:740;width:6;height:25" coordorigin="2702,740" coordsize="6,25" path="m2702,740l2707,764e" filled="false" stroked="true" strokeweight="1pt" strokecolor="#8c8f90">
                <v:path arrowok="t"/>
              </v:shape>
            </v:group>
            <v:group style="position:absolute;left:2709;top:736;width:9;height:28" coordorigin="2709,736" coordsize="9,28">
              <v:shape style="position:absolute;left:2709;top:736;width:9;height:28" coordorigin="2709,736" coordsize="9,28" path="m2709,736l2718,764e" filled="false" stroked="true" strokeweight="1.5pt" strokecolor="#9b8758">
                <v:path arrowok="t"/>
              </v:shape>
            </v:group>
            <v:group style="position:absolute;left:3143;top:-1781;width:6306;height:2271" coordorigin="3143,-1781" coordsize="6306,2271">
              <v:shape style="position:absolute;left:3143;top:-1781;width:6306;height:2271" coordorigin="3143,-1781" coordsize="6306,2271" path="m9449,-1781l3143,490e" filled="false" stroked="true" strokeweight=".25pt" strokecolor="#8c8f90">
                <v:path arrowok="t"/>
              </v:shape>
            </v:group>
            <v:group style="position:absolute;left:3291;top:-1781;width:8284;height:2187" coordorigin="3291,-1781" coordsize="8284,2187">
              <v:shape style="position:absolute;left:3291;top:-1781;width:8284;height:2187" coordorigin="3291,-1781" coordsize="8284,2187" path="m11575,-1781l3291,406e" filled="false" stroked="true" strokeweight=".25pt" strokecolor="#8c8f90">
                <v:path arrowok="t"/>
              </v:shape>
            </v:group>
            <v:group style="position:absolute;left:3265;top:-1781;width:5459;height:2202" coordorigin="3265,-1781" coordsize="5459,2202">
              <v:shape style="position:absolute;left:3265;top:-1781;width:5459;height:2202" coordorigin="3265,-1781" coordsize="5459,2202" path="m8723,-1781l3265,421e" filled="false" stroked="true" strokeweight="1.0pt" strokecolor="#9b8758">
                <v:path arrowok="t"/>
              </v:shape>
            </v:group>
            <v:group style="position:absolute;left:3026;top:-1781;width:8085;height:2338" coordorigin="3026,-1781" coordsize="8085,2338">
              <v:shape style="position:absolute;left:3026;top:-1781;width:8085;height:2338" coordorigin="3026,-1781" coordsize="8085,2338" path="m11110,-1781l3026,556e" filled="false" stroked="true" strokeweight="1.5pt" strokecolor="#8c8f90">
                <v:path arrowok="t"/>
              </v:shape>
            </v:group>
            <v:group style="position:absolute;left:3184;top:-1781;width:5963;height:2248" coordorigin="3184,-1781" coordsize="5963,2248">
              <v:shape style="position:absolute;left:3184;top:-1781;width:5963;height:2248" coordorigin="3184,-1781" coordsize="5963,2248" path="m9146,-1781l3184,467e" filled="false" stroked="true" strokeweight="1.5pt" strokecolor="#8c8f90">
                <v:path arrowok="t"/>
              </v:shape>
            </v:group>
            <v:group style="position:absolute;left:3055;top:-1781;width:7451;height:2321" coordorigin="3055,-1781" coordsize="7451,2321">
              <v:shape style="position:absolute;left:3055;top:-1781;width:7451;height:2321" coordorigin="3055,-1781" coordsize="7451,2321" path="m10506,-1781l3055,539e" filled="false" stroked="true" strokeweight=".5pt" strokecolor="#9b8758">
                <v:path arrowok="t"/>
              </v:shape>
            </v:group>
            <v:group style="position:absolute;left:2915;top:-782;width:8991;height:1402" coordorigin="2915,-782" coordsize="8991,1402">
              <v:shape style="position:absolute;left:2915;top:-782;width:8991;height:1402" coordorigin="2915,-782" coordsize="8991,1402" path="m11906,-782l2915,619e" filled="false" stroked="true" strokeweight=".25pt" strokecolor="#9b8758">
                <v:path arrowok="t"/>
              </v:shape>
            </v:group>
            <v:group style="position:absolute;left:3084;top:-1781;width:6993;height:2305" coordorigin="3084,-1781" coordsize="6993,2305">
              <v:shape style="position:absolute;left:3084;top:-1781;width:6993;height:2305" coordorigin="3084,-1781" coordsize="6993,2305" path="m10076,-1781l3084,523e" filled="false" stroked="true" strokeweight="1pt" strokecolor="#8c8f90">
                <v:path arrowok="t"/>
              </v:shape>
            </v:group>
            <v:group style="position:absolute;left:2957;top:-1372;width:8949;height:1967" coordorigin="2957,-1372" coordsize="8949,1967">
              <v:shape style="position:absolute;left:2957;top:-1372;width:8949;height:1967" coordorigin="2957,-1372" coordsize="8949,1967" path="m11906,-1372l2957,595e" filled="false" stroked="true" strokeweight="1.5pt" strokecolor="#8c8f90">
                <v:path arrowok="t"/>
              </v:shape>
            </v:group>
            <v:group style="position:absolute;left:2896;top:-453;width:9010;height:1083" coordorigin="2896,-453" coordsize="9010,1083">
              <v:shape style="position:absolute;left:2896;top:-453;width:9010;height:1083" coordorigin="2896,-453" coordsize="9010,1083" path="m11906,-453l2896,630e" filled="false" stroked="true" strokeweight=".5pt" strokecolor="#9b8758">
                <v:path arrowok="t"/>
              </v:shape>
            </v:group>
            <v:group style="position:absolute;left:2884;top:-202;width:9022;height:839" coordorigin="2884,-202" coordsize="9022,839">
              <v:shape style="position:absolute;left:2884;top:-202;width:9022;height:839" coordorigin="2884,-202" coordsize="9022,839" path="m11905,-202l2884,636e" filled="false" stroked="true" strokeweight="1pt" strokecolor="#9b8758">
                <v:path arrowok="t"/>
              </v:shape>
            </v:group>
            <v:group style="position:absolute;left:2859;top:429;width:9047;height:222" coordorigin="2859,429" coordsize="9047,222">
              <v:shape style="position:absolute;left:2859;top:429;width:9047;height:222" coordorigin="2859,429" coordsize="9047,222" path="m2859,651l11905,429e" filled="false" stroked="true" strokeweight="1pt" strokecolor="#8c8f90">
                <v:path arrowok="t"/>
              </v:shape>
            </v:group>
            <v:group style="position:absolute;left:2833;top:665;width:1430;height:99" coordorigin="2833,665" coordsize="1430,99">
              <v:shape style="position:absolute;left:2833;top:665;width:1430;height:99" coordorigin="2833,665" coordsize="1430,99" path="m2833,665l4263,764e" filled="false" stroked="true" strokeweight="1.5pt" strokecolor="#8c8f90">
                <v:path arrowok="t"/>
              </v:shape>
            </v:group>
            <v:group style="position:absolute;left:2840;top:661;width:2491;height:103" coordorigin="2840,661" coordsize="2491,103">
              <v:shape style="position:absolute;left:2840;top:661;width:2491;height:103" coordorigin="2840,661" coordsize="2491,103" path="m2840,661l5331,764e" filled="false" stroked="true" strokeweight="1.0pt" strokecolor="#9b8758">
                <v:path arrowok="t"/>
              </v:shape>
            </v:group>
            <v:group style="position:absolute;left:2852;top:638;width:9054;height:17" coordorigin="2852,638" coordsize="9054,17">
              <v:shape style="position:absolute;left:2852;top:638;width:9054;height:17" coordorigin="2852,638" coordsize="9054,17" path="m2852,655l11906,638e" filled="false" stroked="true" strokeweight="1pt" strokecolor="#9b8758">
                <v:path arrowok="t"/>
              </v:shape>
            </v:group>
            <v:group style="position:absolute;left:2817;top:674;width:621;height:90" coordorigin="2817,674" coordsize="621,90">
              <v:shape style="position:absolute;left:2817;top:674;width:621;height:90" coordorigin="2817,674" coordsize="621,90" path="m2817,674l3438,764e" filled="false" stroked="true" strokeweight="1.5pt" strokecolor="#8c8f90">
                <v:path arrowok="t"/>
              </v:shape>
            </v:group>
            <v:group style="position:absolute;left:2871;top:102;width:9035;height:542" coordorigin="2871,102" coordsize="9035,542">
              <v:shape style="position:absolute;left:2871;top:102;width:9035;height:542" coordorigin="2871,102" coordsize="9035,542" path="m11905,102l2871,644e" filled="false" stroked="true" strokeweight=".25pt" strokecolor="#9b8758">
                <v:path arrowok="t"/>
              </v:shape>
            </v:group>
            <v:group style="position:absolute;left:2929;top:-1002;width:8977;height:1614" coordorigin="2929,-1002" coordsize="8977,1614">
              <v:shape style="position:absolute;left:2929;top:-1002;width:8977;height:1614" coordorigin="2929,-1002" coordsize="8977,1614" path="m11906,-1002l2929,611e" filled="false" stroked="true" strokeweight=".5pt" strokecolor="#8c8f90">
                <v:path arrowok="t"/>
              </v:shape>
            </v:group>
            <v:group style="position:absolute;left:2778;top:697;width:311;height:68" coordorigin="2778,697" coordsize="311,68">
              <v:shape style="position:absolute;left:2778;top:697;width:311;height:68" coordorigin="2778,697" coordsize="311,68" path="m3088,764l2778,697e" filled="false" stroked="true" strokeweight="1.0pt" strokecolor="#9b8758">
                <v:path arrowok="t"/>
              </v:shape>
            </v:group>
            <v:group style="position:absolute;left:2938;top:-1123;width:8968;height:1730" coordorigin="2938,-1123" coordsize="8968,1730">
              <v:shape style="position:absolute;left:2938;top:-1123;width:8968;height:1730" coordorigin="2938,-1123" coordsize="8968,1730" path="m11906,-1123l2938,606e" filled="false" stroked="true" strokeweight="1.5pt" strokecolor="#9b8758">
                <v:path arrowok="t"/>
              </v:shape>
            </v:group>
            <v:group style="position:absolute;left:2730;top:724;width:28;height:41" coordorigin="2730,724" coordsize="28,41">
              <v:shape style="position:absolute;left:2730;top:724;width:28;height:41" coordorigin="2730,724" coordsize="28,41" path="m2730,724l2757,764e" filled="false" stroked="true" strokeweight=".25pt" strokecolor="#8c8f90">
                <v:path arrowok="t"/>
              </v:shape>
            </v:group>
            <v:group style="position:absolute;left:2688;top:748;width:2;height:17" coordorigin="2688,748" coordsize="2,17">
              <v:shape style="position:absolute;left:2688;top:748;width:2;height:17" coordorigin="2688,748" coordsize="1,17" path="m2689,764l2688,748e" filled="false" stroked="true" strokeweight="1pt" strokecolor="#9b8758">
                <v:path arrowok="t"/>
              </v:shape>
            </v:group>
            <v:group style="position:absolute;left:2736;top:720;width:35;height:44" coordorigin="2736,720" coordsize="35,44">
              <v:shape style="position:absolute;left:2736;top:720;width:35;height:44" coordorigin="2736,720" coordsize="35,44" path="m2771,764l2736,720e" filled="false" stroked="true" strokeweight="1.5pt" strokecolor="#8c8f90">
                <v:path arrowok="t"/>
              </v:shape>
            </v:group>
            <v:group style="position:absolute;left:2734;top:721;width:33;height:43" coordorigin="2734,721" coordsize="33,43">
              <v:shape style="position:absolute;left:2734;top:721;width:33;height:43" coordorigin="2734,721" coordsize="33,43" path="m2767,764l2734,721e" filled="false" stroked="true" strokeweight="1pt" strokecolor="#9b8758">
                <v:path arrowok="t"/>
              </v:shape>
            </v:group>
            <v:group style="position:absolute;left:2722;top:728;width:19;height:36" coordorigin="2722,728" coordsize="19,36">
              <v:shape style="position:absolute;left:2722;top:728;width:19;height:36" coordorigin="2722,728" coordsize="19,36" path="m2722,728l2741,764e" filled="false" stroked="true" strokeweight=".25pt" strokecolor="#9b8758">
                <v:path arrowok="t"/>
              </v:shape>
            </v:group>
            <v:group style="position:absolute;left:2671;top:757;width:2;height:7" coordorigin="2671,757" coordsize="2,7">
              <v:shape style="position:absolute;left:2671;top:757;width:2;height:7" coordorigin="2671,757" coordsize="1,7" path="m2671,764l2671,757e" filled="false" stroked="true" strokeweight="1pt" strokecolor="#9b8758">
                <v:path arrowok="t"/>
              </v:shape>
            </v:group>
            <v:group style="position:absolute;left:2720;top:730;width:17;height:34" coordorigin="2720,730" coordsize="17,34">
              <v:shape style="position:absolute;left:2720;top:730;width:17;height:34" coordorigin="2720,730" coordsize="17,34" path="m2736,764l2720,730e" filled="false" stroked="true" strokeweight="1pt" strokecolor="#9b8758">
                <v:path arrowok="t"/>
              </v:shape>
            </v:group>
            <v:group style="position:absolute;left:2710;top:735;width:10;height:29" coordorigin="2710,735" coordsize="10,29">
              <v:shape style="position:absolute;left:2710;top:735;width:10;height:29" coordorigin="2710,735" coordsize="10,29" path="m2720,764l2710,735e" filled="false" stroked="true" strokeweight="1.0pt" strokecolor="#9b8758">
                <v:path arrowok="t"/>
              </v:shape>
            </v:group>
            <v:group style="position:absolute;left:2708;top:736;width:9;height:28" coordorigin="2708,736" coordsize="9,28">
              <v:shape style="position:absolute;left:2708;top:736;width:9;height:28" coordorigin="2708,736" coordsize="9,28" path="m2716,764l2708,736e" filled="false" stroked="true" strokeweight="1pt" strokecolor="#8c8f90">
                <v:path arrowok="t"/>
              </v:shape>
            </v:group>
            <v:group style="position:absolute;left:2693;top:744;width:3;height:20" coordorigin="2693,744" coordsize="3,20">
              <v:shape style="position:absolute;left:2693;top:744;width:3;height:20" coordorigin="2693,744" coordsize="3,20" path="m2696,764l2693,744e" filled="false" stroked="true" strokeweight="1pt" strokecolor="#9b8758">
                <v:path arrowok="t"/>
              </v:shape>
            </v:group>
            <v:group style="position:absolute;left:2731;top:723;width:28;height:41" coordorigin="2731,723" coordsize="28,41">
              <v:shape style="position:absolute;left:2731;top:723;width:28;height:41" coordorigin="2731,723" coordsize="28,41" path="m2759,764l2731,723e" filled="false" stroked="true" strokeweight="1.5pt" strokecolor="#9b8758">
                <v:path arrowok="t"/>
              </v:shape>
            </v:group>
            <v:group style="position:absolute;left:2778;top:1867;width:1645;height:2" coordorigin="2778,1867" coordsize="1645,2">
              <v:shape style="position:absolute;left:2778;top:1867;width:1645;height:2" coordorigin="2778,1867" coordsize="1645,0" path="m2778,1867l4422,1867e" filled="false" stroked="true" strokeweight="1pt" strokecolor="#000000">
                <v:path arrowok="t"/>
              </v:shape>
            </v:group>
            <v:group style="position:absolute;left:4422;top:1867;width:6010;height:2" coordorigin="4422,1867" coordsize="6010,2">
              <v:shape style="position:absolute;left:4422;top:1867;width:6010;height:2" coordorigin="4422,1867" coordsize="6010,0" path="m4422,1867l10431,1867e" filled="false" stroked="true" strokeweight="1pt" strokecolor="#000000">
                <v:path arrowok="t"/>
              </v:shape>
            </v:group>
            <w10:wrap type="none"/>
          </v:group>
        </w:pict>
      </w:r>
      <w:r>
        <w:rPr>
          <w:rFonts w:ascii="宋体" w:hAnsi="宋体" w:cs="宋体" w:eastAsia="宋体" w:hint="default"/>
          <w:color w:val="D7000F"/>
          <w:sz w:val="48"/>
          <w:szCs w:val="48"/>
        </w:rPr>
        <w:t>释义</w:t>
      </w:r>
      <w:r>
        <w:rPr>
          <w:rFonts w:ascii="宋体" w:hAnsi="宋体" w:cs="宋体" w:eastAsia="宋体" w:hint="default"/>
          <w:sz w:val="48"/>
          <w:szCs w:val="48"/>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p>
      <w:pPr>
        <w:spacing w:before="27"/>
        <w:ind w:left="2777" w:right="764" w:firstLine="0"/>
        <w:jc w:val="left"/>
        <w:rPr>
          <w:rFonts w:ascii="宋体" w:hAnsi="宋体" w:cs="宋体" w:eastAsia="宋体" w:hint="default"/>
          <w:sz w:val="19"/>
          <w:szCs w:val="19"/>
        </w:rPr>
      </w:pPr>
      <w:r>
        <w:rPr>
          <w:rFonts w:ascii="宋体" w:hAnsi="宋体" w:cs="宋体" w:eastAsia="宋体" w:hint="default"/>
          <w:sz w:val="19"/>
          <w:szCs w:val="19"/>
        </w:rPr>
        <w:t>在本报告书中，除非文义另有所指，下列词语具有如下含义：</w:t>
      </w:r>
    </w:p>
    <w:p>
      <w:pPr>
        <w:spacing w:line="240" w:lineRule="auto" w:before="7"/>
        <w:rPr>
          <w:rFonts w:ascii="宋体" w:hAnsi="宋体" w:cs="宋体" w:eastAsia="宋体" w:hint="default"/>
          <w:sz w:val="13"/>
          <w:szCs w:val="13"/>
        </w:rPr>
      </w:pPr>
    </w:p>
    <w:p>
      <w:pPr>
        <w:spacing w:before="0"/>
        <w:ind w:left="2862" w:right="764" w:firstLine="0"/>
        <w:jc w:val="left"/>
        <w:rPr>
          <w:rFonts w:ascii="宋体" w:hAnsi="宋体" w:cs="宋体" w:eastAsia="宋体" w:hint="default"/>
          <w:sz w:val="16"/>
          <w:szCs w:val="16"/>
        </w:rPr>
      </w:pPr>
      <w:r>
        <w:rPr>
          <w:rFonts w:ascii="宋体" w:hAnsi="宋体" w:cs="宋体" w:eastAsia="宋体" w:hint="default"/>
          <w:sz w:val="16"/>
          <w:szCs w:val="16"/>
        </w:rPr>
        <w:t>常用词语释义</w:t>
      </w:r>
    </w:p>
    <w:p>
      <w:pPr>
        <w:spacing w:line="240" w:lineRule="auto" w:before="10"/>
        <w:rPr>
          <w:rFonts w:ascii="宋体" w:hAnsi="宋体" w:cs="宋体" w:eastAsia="宋体" w:hint="default"/>
          <w:sz w:val="12"/>
          <w:szCs w:val="12"/>
        </w:rPr>
      </w:pPr>
    </w:p>
    <w:p>
      <w:pPr>
        <w:tabs>
          <w:tab w:pos="4528" w:val="left" w:leader="none"/>
        </w:tabs>
        <w:spacing w:line="314" w:lineRule="auto" w:before="38"/>
        <w:ind w:left="2862" w:right="5134" w:firstLine="0"/>
        <w:jc w:val="left"/>
        <w:rPr>
          <w:rFonts w:ascii="宋体" w:hAnsi="宋体" w:cs="宋体" w:eastAsia="宋体" w:hint="default"/>
          <w:sz w:val="16"/>
          <w:szCs w:val="16"/>
        </w:rPr>
      </w:pPr>
      <w:r>
        <w:rPr>
          <w:rFonts w:ascii="宋体" w:hAnsi="宋体" w:cs="宋体" w:eastAsia="宋体" w:hint="default"/>
          <w:sz w:val="16"/>
          <w:szCs w:val="16"/>
        </w:rPr>
        <w:t>本公司</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公司</w:t>
        <w:tab/>
        <w:t>中国联合网络通信股份有限公司</w:t>
      </w:r>
      <w:r>
        <w:rPr>
          <w:rFonts w:ascii="宋体" w:hAnsi="宋体" w:cs="宋体" w:eastAsia="宋体" w:hint="default"/>
          <w:sz w:val="16"/>
          <w:szCs w:val="16"/>
        </w:rPr>
        <w:t> 本集团</w:t>
        <w:tab/>
        <w:t>本公司及所属全部子公司合称</w:t>
      </w:r>
    </w:p>
    <w:p>
      <w:pPr>
        <w:tabs>
          <w:tab w:pos="4528" w:val="left" w:leader="none"/>
        </w:tabs>
        <w:spacing w:before="14"/>
        <w:ind w:left="2862" w:right="764" w:firstLine="0"/>
        <w:jc w:val="left"/>
        <w:rPr>
          <w:rFonts w:ascii="宋体" w:hAnsi="宋体" w:cs="宋体" w:eastAsia="宋体" w:hint="default"/>
          <w:sz w:val="16"/>
          <w:szCs w:val="16"/>
        </w:rPr>
      </w:pPr>
      <w:r>
        <w:rPr>
          <w:rFonts w:ascii="宋体" w:hAnsi="宋体" w:cs="宋体" w:eastAsia="宋体" w:hint="default"/>
          <w:sz w:val="16"/>
          <w:szCs w:val="16"/>
        </w:rPr>
        <w:t>工信部</w:t>
        <w:tab/>
        <w:t>中华人民共和国工业和信息化部</w:t>
      </w:r>
    </w:p>
    <w:p>
      <w:pPr>
        <w:tabs>
          <w:tab w:pos="4528" w:val="left" w:leader="none"/>
        </w:tabs>
        <w:spacing w:before="64"/>
        <w:ind w:left="2862" w:right="764" w:firstLine="0"/>
        <w:jc w:val="left"/>
        <w:rPr>
          <w:rFonts w:ascii="宋体" w:hAnsi="宋体" w:cs="宋体" w:eastAsia="宋体" w:hint="default"/>
          <w:sz w:val="16"/>
          <w:szCs w:val="16"/>
        </w:rPr>
      </w:pPr>
      <w:r>
        <w:rPr>
          <w:rFonts w:ascii="宋体" w:hAnsi="宋体" w:cs="宋体" w:eastAsia="宋体" w:hint="default"/>
          <w:sz w:val="16"/>
          <w:szCs w:val="16"/>
        </w:rPr>
        <w:t>国资委</w:t>
        <w:tab/>
        <w:t>国务院国有资产监督管理委员会</w:t>
      </w:r>
    </w:p>
    <w:p>
      <w:pPr>
        <w:tabs>
          <w:tab w:pos="4528" w:val="left" w:leader="none"/>
        </w:tabs>
        <w:spacing w:line="156" w:lineRule="auto" w:before="129"/>
        <w:ind w:left="4528" w:right="1557" w:hanging="1666"/>
        <w:jc w:val="left"/>
        <w:rPr>
          <w:rFonts w:ascii="宋体" w:hAnsi="宋体" w:cs="宋体" w:eastAsia="宋体" w:hint="default"/>
          <w:sz w:val="16"/>
          <w:szCs w:val="16"/>
        </w:rPr>
      </w:pPr>
      <w:r>
        <w:rPr>
          <w:rFonts w:ascii="宋体" w:hAnsi="宋体" w:cs="宋体" w:eastAsia="宋体" w:hint="default"/>
          <w:position w:val="-9"/>
          <w:sz w:val="16"/>
          <w:szCs w:val="16"/>
        </w:rPr>
        <w:t>联通 BVI</w:t>
      </w:r>
      <w:r>
        <w:rPr>
          <w:rFonts w:ascii="宋体" w:hAnsi="宋体" w:cs="宋体" w:eastAsia="宋体" w:hint="default"/>
          <w:spacing w:val="-64"/>
          <w:position w:val="-9"/>
          <w:sz w:val="16"/>
          <w:szCs w:val="16"/>
        </w:rPr>
        <w:t> </w:t>
      </w:r>
      <w:r>
        <w:rPr>
          <w:rFonts w:ascii="宋体" w:hAnsi="宋体" w:cs="宋体" w:eastAsia="宋体" w:hint="default"/>
          <w:position w:val="-9"/>
          <w:sz w:val="16"/>
          <w:szCs w:val="16"/>
        </w:rPr>
        <w:t>公司</w:t>
        <w:tab/>
      </w:r>
      <w:r>
        <w:rPr>
          <w:rFonts w:ascii="宋体" w:hAnsi="宋体" w:cs="宋体" w:eastAsia="宋体" w:hint="default"/>
          <w:spacing w:val="3"/>
          <w:sz w:val="16"/>
          <w:szCs w:val="16"/>
        </w:rPr>
        <w:t>中国联通</w:t>
      </w:r>
      <w:r>
        <w:rPr>
          <w:rFonts w:ascii="宋体" w:hAnsi="宋体" w:cs="宋体" w:eastAsia="宋体" w:hint="default"/>
          <w:spacing w:val="-61"/>
          <w:sz w:val="16"/>
          <w:szCs w:val="16"/>
        </w:rPr>
        <w:t> </w:t>
      </w:r>
      <w:r>
        <w:rPr>
          <w:rFonts w:ascii="宋体" w:hAnsi="宋体" w:cs="宋体" w:eastAsia="宋体" w:hint="default"/>
          <w:sz w:val="16"/>
          <w:szCs w:val="16"/>
        </w:rPr>
        <w:t>(BVI)</w:t>
      </w:r>
      <w:r>
        <w:rPr>
          <w:rFonts w:ascii="宋体" w:hAnsi="宋体" w:cs="宋体" w:eastAsia="宋体" w:hint="default"/>
          <w:spacing w:val="-61"/>
          <w:sz w:val="16"/>
          <w:szCs w:val="16"/>
        </w:rPr>
        <w:t> </w:t>
      </w:r>
      <w:r>
        <w:rPr>
          <w:rFonts w:ascii="宋体" w:hAnsi="宋体" w:cs="宋体" w:eastAsia="宋体" w:hint="default"/>
          <w:spacing w:val="3"/>
          <w:sz w:val="16"/>
          <w:szCs w:val="16"/>
        </w:rPr>
        <w:t>有限公司</w:t>
      </w:r>
      <w:r>
        <w:rPr>
          <w:rFonts w:ascii="宋体" w:hAnsi="宋体" w:cs="宋体" w:eastAsia="宋体" w:hint="default"/>
          <w:spacing w:val="-61"/>
          <w:sz w:val="16"/>
          <w:szCs w:val="16"/>
        </w:rPr>
        <w:t> </w:t>
      </w:r>
      <w:r>
        <w:rPr>
          <w:rFonts w:ascii="宋体" w:hAnsi="宋体" w:cs="宋体" w:eastAsia="宋体" w:hint="default"/>
          <w:sz w:val="16"/>
          <w:szCs w:val="16"/>
        </w:rPr>
        <w:t>(China</w:t>
      </w:r>
      <w:r>
        <w:rPr>
          <w:rFonts w:ascii="宋体" w:hAnsi="宋体" w:cs="宋体" w:eastAsia="宋体" w:hint="default"/>
          <w:spacing w:val="-53"/>
          <w:sz w:val="16"/>
          <w:szCs w:val="16"/>
        </w:rPr>
        <w:t> </w:t>
      </w:r>
      <w:r>
        <w:rPr>
          <w:rFonts w:ascii="宋体" w:hAnsi="宋体" w:cs="宋体" w:eastAsia="宋体" w:hint="default"/>
          <w:sz w:val="16"/>
          <w:szCs w:val="16"/>
        </w:rPr>
        <w:t>Unicom</w:t>
      </w:r>
      <w:r>
        <w:rPr>
          <w:rFonts w:ascii="宋体" w:hAnsi="宋体" w:cs="宋体" w:eastAsia="宋体" w:hint="default"/>
          <w:spacing w:val="-53"/>
          <w:sz w:val="16"/>
          <w:szCs w:val="16"/>
        </w:rPr>
        <w:t> </w:t>
      </w:r>
      <w:r>
        <w:rPr>
          <w:rFonts w:ascii="宋体" w:hAnsi="宋体" w:cs="宋体" w:eastAsia="宋体" w:hint="default"/>
          <w:sz w:val="16"/>
          <w:szCs w:val="16"/>
        </w:rPr>
        <w:t>(BVI)</w:t>
      </w:r>
      <w:r>
        <w:rPr>
          <w:rFonts w:ascii="宋体" w:hAnsi="宋体" w:cs="宋体" w:eastAsia="宋体" w:hint="default"/>
          <w:spacing w:val="-52"/>
          <w:sz w:val="16"/>
          <w:szCs w:val="16"/>
        </w:rPr>
        <w:t> </w:t>
      </w:r>
      <w:r>
        <w:rPr>
          <w:rFonts w:ascii="宋体" w:hAnsi="宋体" w:cs="宋体" w:eastAsia="宋体" w:hint="default"/>
          <w:spacing w:val="2"/>
          <w:sz w:val="16"/>
          <w:szCs w:val="16"/>
        </w:rPr>
        <w:t>Limited)，一家按照英属维尔京群岛</w:t>
      </w:r>
      <w:r>
        <w:rPr>
          <w:rFonts w:ascii="宋体" w:hAnsi="宋体" w:cs="宋体" w:eastAsia="宋体" w:hint="default"/>
          <w:sz w:val="16"/>
          <w:szCs w:val="16"/>
        </w:rPr>
        <w:t> 法律注册成立的有限公司。</w:t>
      </w:r>
    </w:p>
    <w:p>
      <w:pPr>
        <w:tabs>
          <w:tab w:pos="4528" w:val="left" w:leader="none"/>
        </w:tabs>
        <w:spacing w:line="156" w:lineRule="auto" w:before="137"/>
        <w:ind w:left="4528" w:right="1557" w:hanging="1666"/>
        <w:jc w:val="left"/>
        <w:rPr>
          <w:rFonts w:ascii="宋体" w:hAnsi="宋体" w:cs="宋体" w:eastAsia="宋体" w:hint="default"/>
          <w:sz w:val="16"/>
          <w:szCs w:val="16"/>
        </w:rPr>
      </w:pPr>
      <w:r>
        <w:rPr>
          <w:rFonts w:ascii="宋体" w:hAnsi="宋体" w:cs="宋体" w:eastAsia="宋体" w:hint="default"/>
          <w:position w:val="-9"/>
          <w:sz w:val="16"/>
          <w:szCs w:val="16"/>
        </w:rPr>
        <w:t>联通红筹公司</w:t>
        <w:tab/>
      </w:r>
      <w:r>
        <w:rPr>
          <w:rFonts w:ascii="宋体" w:hAnsi="宋体" w:cs="宋体" w:eastAsia="宋体" w:hint="default"/>
          <w:sz w:val="16"/>
          <w:szCs w:val="16"/>
        </w:rPr>
        <w:t>中国联合网络通信（香港）股份有限公司，在香港注册成立的有限公司，其股票在</w:t>
      </w:r>
      <w:r>
        <w:rPr>
          <w:rFonts w:ascii="宋体" w:hAnsi="宋体" w:cs="宋体" w:eastAsia="宋体" w:hint="default"/>
          <w:spacing w:val="-50"/>
          <w:sz w:val="16"/>
          <w:szCs w:val="16"/>
        </w:rPr>
        <w:t> </w:t>
      </w:r>
      <w:r>
        <w:rPr>
          <w:rFonts w:ascii="宋体" w:hAnsi="宋体" w:cs="宋体" w:eastAsia="宋体" w:hint="default"/>
          <w:spacing w:val="-50"/>
          <w:sz w:val="16"/>
          <w:szCs w:val="16"/>
        </w:rPr>
      </w:r>
      <w:r>
        <w:rPr>
          <w:rFonts w:ascii="宋体" w:hAnsi="宋体" w:cs="宋体" w:eastAsia="宋体" w:hint="default"/>
          <w:sz w:val="16"/>
          <w:szCs w:val="16"/>
        </w:rPr>
        <w:t>香港和纽约证券交易所上市。</w:t>
      </w:r>
    </w:p>
    <w:p>
      <w:pPr>
        <w:tabs>
          <w:tab w:pos="4528" w:val="left" w:leader="none"/>
        </w:tabs>
        <w:spacing w:before="72"/>
        <w:ind w:left="2862" w:right="764" w:firstLine="0"/>
        <w:jc w:val="left"/>
        <w:rPr>
          <w:rFonts w:ascii="宋体" w:hAnsi="宋体" w:cs="宋体" w:eastAsia="宋体" w:hint="default"/>
          <w:sz w:val="16"/>
          <w:szCs w:val="16"/>
        </w:rPr>
      </w:pPr>
      <w:r>
        <w:rPr>
          <w:rFonts w:ascii="宋体" w:hAnsi="宋体" w:cs="宋体" w:eastAsia="宋体" w:hint="default"/>
          <w:sz w:val="16"/>
          <w:szCs w:val="16"/>
        </w:rPr>
        <w:t>联通集团</w:t>
        <w:tab/>
        <w:t>中国联合网络通信集团有限公司</w:t>
      </w:r>
    </w:p>
    <w:p>
      <w:pPr>
        <w:tabs>
          <w:tab w:pos="4528" w:val="left" w:leader="none"/>
        </w:tabs>
        <w:spacing w:line="314" w:lineRule="auto" w:before="64"/>
        <w:ind w:left="2862" w:right="5774" w:firstLine="0"/>
        <w:jc w:val="left"/>
        <w:rPr>
          <w:rFonts w:ascii="宋体" w:hAnsi="宋体" w:cs="宋体" w:eastAsia="宋体" w:hint="default"/>
          <w:sz w:val="16"/>
          <w:szCs w:val="16"/>
        </w:rPr>
      </w:pPr>
      <w:r>
        <w:rPr>
          <w:rFonts w:ascii="宋体" w:hAnsi="宋体" w:cs="宋体" w:eastAsia="宋体" w:hint="default"/>
          <w:sz w:val="16"/>
          <w:szCs w:val="16"/>
        </w:rPr>
        <w:t>上交所</w:t>
        <w:tab/>
        <w:t>上海证券交易所 铁塔公司</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中国铁塔</w:t>
        <w:tab/>
        <w:t>中国铁塔股份有限公司</w:t>
      </w:r>
    </w:p>
    <w:p>
      <w:pPr>
        <w:tabs>
          <w:tab w:pos="4528" w:val="left" w:leader="none"/>
        </w:tabs>
        <w:spacing w:line="314" w:lineRule="auto" w:before="14"/>
        <w:ind w:left="4528" w:right="1557" w:hanging="1666"/>
        <w:jc w:val="left"/>
        <w:rPr>
          <w:rFonts w:ascii="宋体" w:hAnsi="宋体" w:cs="宋体" w:eastAsia="宋体" w:hint="default"/>
          <w:sz w:val="16"/>
          <w:szCs w:val="16"/>
        </w:rPr>
      </w:pPr>
      <w:r>
        <w:rPr>
          <w:rFonts w:ascii="宋体" w:hAnsi="宋体" w:cs="宋体" w:eastAsia="宋体" w:hint="default"/>
          <w:sz w:val="16"/>
          <w:szCs w:val="16"/>
        </w:rPr>
        <w:t>中国证监会</w:t>
        <w:tab/>
        <w:t>中国证券监督管理委员会 本集团通过与具有丰富客户触点的各类企业开展合作，以提升合作企业的客户服务</w:t>
      </w:r>
    </w:p>
    <w:p>
      <w:pPr>
        <w:spacing w:after="0" w:line="314" w:lineRule="auto"/>
        <w:jc w:val="left"/>
        <w:rPr>
          <w:rFonts w:ascii="宋体" w:hAnsi="宋体" w:cs="宋体" w:eastAsia="宋体" w:hint="default"/>
          <w:sz w:val="16"/>
          <w:szCs w:val="16"/>
        </w:rPr>
        <w:sectPr>
          <w:footerReference w:type="even" r:id="rId33"/>
          <w:footerReference w:type="default" r:id="rId34"/>
          <w:pgSz w:w="11910" w:h="16160"/>
          <w:pgMar w:footer="321" w:header="0" w:top="0" w:bottom="520" w:left="0" w:right="0"/>
        </w:sectPr>
      </w:pPr>
    </w:p>
    <w:p>
      <w:pPr>
        <w:spacing w:line="150" w:lineRule="exact" w:before="0"/>
        <w:ind w:left="0" w:right="609" w:firstLine="0"/>
        <w:jc w:val="right"/>
        <w:rPr>
          <w:rFonts w:ascii="宋体" w:hAnsi="宋体" w:cs="宋体" w:eastAsia="宋体" w:hint="default"/>
          <w:sz w:val="16"/>
          <w:szCs w:val="16"/>
        </w:rPr>
      </w:pPr>
      <w:r>
        <w:rPr>
          <w:rFonts w:ascii="宋体"/>
          <w:w w:val="120"/>
          <w:sz w:val="16"/>
        </w:rPr>
        <w:t>2B2C</w:t>
      </w:r>
      <w:r>
        <w:rPr>
          <w:rFonts w:ascii="宋体"/>
          <w:sz w:val="16"/>
        </w:rPr>
      </w:r>
    </w:p>
    <w:p>
      <w:pPr>
        <w:spacing w:line="240" w:lineRule="auto" w:before="0"/>
        <w:rPr>
          <w:rFonts w:ascii="宋体" w:hAnsi="宋体" w:cs="宋体" w:eastAsia="宋体" w:hint="default"/>
          <w:sz w:val="16"/>
          <w:szCs w:val="16"/>
        </w:rPr>
      </w:pPr>
    </w:p>
    <w:p>
      <w:pPr>
        <w:spacing w:line="240" w:lineRule="auto" w:before="6"/>
        <w:rPr>
          <w:rFonts w:ascii="宋体" w:hAnsi="宋体" w:cs="宋体" w:eastAsia="宋体" w:hint="default"/>
          <w:sz w:val="19"/>
          <w:szCs w:val="19"/>
        </w:rPr>
      </w:pPr>
    </w:p>
    <w:p>
      <w:pPr>
        <w:spacing w:before="0"/>
        <w:ind w:left="0" w:right="273" w:firstLine="0"/>
        <w:jc w:val="right"/>
        <w:rPr>
          <w:rFonts w:ascii="宋体" w:hAnsi="宋体" w:cs="宋体" w:eastAsia="宋体" w:hint="default"/>
          <w:sz w:val="16"/>
          <w:szCs w:val="16"/>
        </w:rPr>
      </w:pPr>
      <w:r>
        <w:rPr>
          <w:rFonts w:ascii="宋体" w:hAnsi="宋体" w:cs="宋体" w:eastAsia="宋体" w:hint="default"/>
          <w:w w:val="125"/>
          <w:sz w:val="16"/>
          <w:szCs w:val="16"/>
        </w:rPr>
        <w:t>2G、GSM</w:t>
      </w:r>
      <w:r>
        <w:rPr>
          <w:rFonts w:ascii="宋体" w:hAnsi="宋体" w:cs="宋体" w:eastAsia="宋体" w:hint="default"/>
          <w:sz w:val="16"/>
          <w:szCs w:val="16"/>
        </w:rPr>
      </w:r>
    </w:p>
    <w:p>
      <w:pPr>
        <w:spacing w:line="240" w:lineRule="auto" w:before="0"/>
        <w:rPr>
          <w:rFonts w:ascii="宋体" w:hAnsi="宋体" w:cs="宋体" w:eastAsia="宋体" w:hint="default"/>
          <w:sz w:val="16"/>
          <w:szCs w:val="16"/>
        </w:rPr>
      </w:pPr>
    </w:p>
    <w:p>
      <w:pPr>
        <w:spacing w:line="240" w:lineRule="auto" w:before="6"/>
        <w:rPr>
          <w:rFonts w:ascii="宋体" w:hAnsi="宋体" w:cs="宋体" w:eastAsia="宋体" w:hint="default"/>
          <w:sz w:val="19"/>
          <w:szCs w:val="19"/>
        </w:rPr>
      </w:pPr>
    </w:p>
    <w:p>
      <w:pPr>
        <w:spacing w:before="0"/>
        <w:ind w:left="0" w:right="671" w:firstLine="0"/>
        <w:jc w:val="right"/>
        <w:rPr>
          <w:rFonts w:ascii="宋体" w:hAnsi="宋体" w:cs="宋体" w:eastAsia="宋体" w:hint="default"/>
          <w:sz w:val="16"/>
          <w:szCs w:val="16"/>
        </w:rPr>
      </w:pPr>
      <w:r>
        <w:rPr>
          <w:rFonts w:ascii="宋体"/>
          <w:sz w:val="16"/>
        </w:rPr>
        <w:t>2I2C</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1"/>
          <w:szCs w:val="11"/>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w w:val="135"/>
          <w:sz w:val="16"/>
          <w:szCs w:val="16"/>
        </w:rPr>
        <w:t>3G、WCDMA</w:t>
      </w:r>
      <w:r>
        <w:rPr>
          <w:rFonts w:ascii="宋体" w:hAnsi="宋体" w:cs="宋体" w:eastAsia="宋体" w:hint="default"/>
          <w:sz w:val="16"/>
          <w:szCs w:val="16"/>
        </w:rPr>
      </w:r>
    </w:p>
    <w:p>
      <w:pPr>
        <w:spacing w:line="146" w:lineRule="exact" w:before="0"/>
        <w:ind w:left="623" w:right="0" w:firstLine="0"/>
        <w:jc w:val="both"/>
        <w:rPr>
          <w:rFonts w:ascii="宋体" w:hAnsi="宋体" w:cs="宋体" w:eastAsia="宋体" w:hint="default"/>
          <w:sz w:val="16"/>
          <w:szCs w:val="16"/>
        </w:rPr>
      </w:pPr>
      <w:r>
        <w:rPr/>
        <w:br w:type="column"/>
      </w:r>
      <w:r>
        <w:rPr>
          <w:rFonts w:ascii="宋体" w:hAnsi="宋体" w:cs="宋体" w:eastAsia="宋体" w:hint="default"/>
          <w:sz w:val="16"/>
          <w:szCs w:val="16"/>
        </w:rPr>
        <w:t>能力为抓手，借助各类企业用户覆盖面广泛的优势，延伸业务覆盖范围，实现精准</w:t>
      </w:r>
    </w:p>
    <w:p>
      <w:pPr>
        <w:spacing w:line="205" w:lineRule="exact" w:before="0"/>
        <w:ind w:left="623" w:right="0" w:firstLine="0"/>
        <w:jc w:val="both"/>
        <w:rPr>
          <w:rFonts w:ascii="宋体" w:hAnsi="宋体" w:cs="宋体" w:eastAsia="宋体" w:hint="default"/>
          <w:sz w:val="16"/>
          <w:szCs w:val="16"/>
        </w:rPr>
      </w:pPr>
      <w:r>
        <w:rPr>
          <w:rFonts w:ascii="宋体" w:hAnsi="宋体" w:cs="宋体" w:eastAsia="宋体" w:hint="default"/>
          <w:sz w:val="16"/>
          <w:szCs w:val="16"/>
        </w:rPr>
        <w:t>营销客户的商业模式。</w:t>
      </w:r>
    </w:p>
    <w:p>
      <w:pPr>
        <w:spacing w:line="200" w:lineRule="exact" w:before="91"/>
        <w:ind w:left="623" w:right="1546" w:firstLine="0"/>
        <w:jc w:val="both"/>
        <w:rPr>
          <w:rFonts w:ascii="宋体" w:hAnsi="宋体" w:cs="宋体" w:eastAsia="宋体" w:hint="default"/>
          <w:sz w:val="16"/>
          <w:szCs w:val="16"/>
        </w:rPr>
      </w:pPr>
      <w:r>
        <w:rPr>
          <w:rFonts w:ascii="宋体" w:hAnsi="宋体" w:cs="宋体" w:eastAsia="宋体" w:hint="default"/>
          <w:sz w:val="16"/>
          <w:szCs w:val="16"/>
        </w:rPr>
        <w:t>Global</w:t>
      </w:r>
      <w:r>
        <w:rPr>
          <w:rFonts w:ascii="宋体" w:hAnsi="宋体" w:cs="宋体" w:eastAsia="宋体" w:hint="default"/>
          <w:spacing w:val="-8"/>
          <w:sz w:val="16"/>
          <w:szCs w:val="16"/>
        </w:rPr>
        <w:t> </w:t>
      </w:r>
      <w:r>
        <w:rPr>
          <w:rFonts w:ascii="宋体" w:hAnsi="宋体" w:cs="宋体" w:eastAsia="宋体" w:hint="default"/>
          <w:sz w:val="16"/>
          <w:szCs w:val="16"/>
        </w:rPr>
        <w:t>System</w:t>
      </w:r>
      <w:r>
        <w:rPr>
          <w:rFonts w:ascii="宋体" w:hAnsi="宋体" w:cs="宋体" w:eastAsia="宋体" w:hint="default"/>
          <w:spacing w:val="-8"/>
          <w:sz w:val="16"/>
          <w:szCs w:val="16"/>
        </w:rPr>
        <w:t> </w:t>
      </w:r>
      <w:r>
        <w:rPr>
          <w:rFonts w:ascii="宋体" w:hAnsi="宋体" w:cs="宋体" w:eastAsia="宋体" w:hint="default"/>
          <w:sz w:val="16"/>
          <w:szCs w:val="16"/>
        </w:rPr>
        <w:t>for</w:t>
      </w:r>
      <w:r>
        <w:rPr>
          <w:rFonts w:ascii="宋体" w:hAnsi="宋体" w:cs="宋体" w:eastAsia="宋体" w:hint="default"/>
          <w:spacing w:val="-6"/>
          <w:sz w:val="16"/>
          <w:szCs w:val="16"/>
        </w:rPr>
        <w:t> </w:t>
      </w:r>
      <w:r>
        <w:rPr>
          <w:rFonts w:ascii="宋体" w:hAnsi="宋体" w:cs="宋体" w:eastAsia="宋体" w:hint="default"/>
          <w:sz w:val="16"/>
          <w:szCs w:val="16"/>
        </w:rPr>
        <w:t>Mobile</w:t>
      </w:r>
      <w:r>
        <w:rPr>
          <w:rFonts w:ascii="宋体" w:hAnsi="宋体" w:cs="宋体" w:eastAsia="宋体" w:hint="default"/>
          <w:spacing w:val="-8"/>
          <w:sz w:val="16"/>
          <w:szCs w:val="16"/>
        </w:rPr>
        <w:t> </w:t>
      </w:r>
      <w:r>
        <w:rPr>
          <w:rFonts w:ascii="宋体" w:hAnsi="宋体" w:cs="宋体" w:eastAsia="宋体" w:hint="default"/>
          <w:spacing w:val="5"/>
          <w:sz w:val="16"/>
          <w:szCs w:val="16"/>
        </w:rPr>
        <w:t>Communications，即全球移动通信系统，基于数字传</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pacing w:val="6"/>
          <w:sz w:val="16"/>
          <w:szCs w:val="16"/>
        </w:rPr>
        <w:t>输和蜂窝移动网络结构，采用时分接入技术，被称为</w:t>
      </w:r>
      <w:r>
        <w:rPr>
          <w:rFonts w:ascii="宋体" w:hAnsi="宋体" w:cs="宋体" w:eastAsia="宋体" w:hint="default"/>
          <w:spacing w:val="-15"/>
          <w:sz w:val="16"/>
          <w:szCs w:val="16"/>
        </w:rPr>
        <w:t> </w:t>
      </w:r>
      <w:r>
        <w:rPr>
          <w:rFonts w:ascii="宋体" w:hAnsi="宋体" w:cs="宋体" w:eastAsia="宋体" w:hint="default"/>
          <w:sz w:val="16"/>
          <w:szCs w:val="16"/>
        </w:rPr>
        <w:t>2G</w:t>
      </w:r>
      <w:r>
        <w:rPr>
          <w:rFonts w:ascii="宋体" w:hAnsi="宋体" w:cs="宋体" w:eastAsia="宋体" w:hint="default"/>
          <w:spacing w:val="-15"/>
          <w:sz w:val="16"/>
          <w:szCs w:val="16"/>
        </w:rPr>
        <w:t> </w:t>
      </w:r>
      <w:r>
        <w:rPr>
          <w:rFonts w:ascii="宋体" w:hAnsi="宋体" w:cs="宋体" w:eastAsia="宋体" w:hint="default"/>
          <w:spacing w:val="7"/>
          <w:sz w:val="16"/>
          <w:szCs w:val="16"/>
        </w:rPr>
        <w:t>无线标准。主要部署在</w:t>
      </w:r>
      <w:r>
        <w:rPr>
          <w:rFonts w:ascii="宋体" w:hAnsi="宋体" w:cs="宋体" w:eastAsia="宋体" w:hint="default"/>
          <w:spacing w:val="-60"/>
          <w:sz w:val="16"/>
          <w:szCs w:val="16"/>
        </w:rPr>
        <w:t> </w:t>
      </w:r>
      <w:r>
        <w:rPr>
          <w:rFonts w:ascii="宋体" w:hAnsi="宋体" w:cs="宋体" w:eastAsia="宋体" w:hint="default"/>
          <w:spacing w:val="-60"/>
          <w:sz w:val="16"/>
          <w:szCs w:val="16"/>
        </w:rPr>
      </w:r>
      <w:r>
        <w:rPr>
          <w:rFonts w:ascii="宋体" w:hAnsi="宋体" w:cs="宋体" w:eastAsia="宋体" w:hint="default"/>
          <w:w w:val="110"/>
          <w:sz w:val="16"/>
          <w:szCs w:val="16"/>
        </w:rPr>
        <w:t>900MHz、1800MHz</w:t>
      </w:r>
      <w:r>
        <w:rPr>
          <w:rFonts w:ascii="宋体" w:hAnsi="宋体" w:cs="宋体" w:eastAsia="宋体" w:hint="default"/>
          <w:spacing w:val="-65"/>
          <w:w w:val="110"/>
          <w:sz w:val="16"/>
          <w:szCs w:val="16"/>
        </w:rPr>
        <w:t> </w:t>
      </w:r>
      <w:r>
        <w:rPr>
          <w:rFonts w:ascii="宋体" w:hAnsi="宋体" w:cs="宋体" w:eastAsia="宋体" w:hint="default"/>
          <w:w w:val="110"/>
          <w:sz w:val="16"/>
          <w:szCs w:val="16"/>
        </w:rPr>
        <w:t>和</w:t>
      </w:r>
      <w:r>
        <w:rPr>
          <w:rFonts w:ascii="宋体" w:hAnsi="宋体" w:cs="宋体" w:eastAsia="宋体" w:hint="default"/>
          <w:spacing w:val="-64"/>
          <w:w w:val="110"/>
          <w:sz w:val="16"/>
          <w:szCs w:val="16"/>
        </w:rPr>
        <w:t> </w:t>
      </w:r>
      <w:r>
        <w:rPr>
          <w:rFonts w:ascii="宋体" w:hAnsi="宋体" w:cs="宋体" w:eastAsia="宋体" w:hint="default"/>
          <w:w w:val="110"/>
          <w:sz w:val="16"/>
          <w:szCs w:val="16"/>
        </w:rPr>
        <w:t>1900MHz</w:t>
      </w:r>
      <w:r>
        <w:rPr>
          <w:rFonts w:ascii="宋体" w:hAnsi="宋体" w:cs="宋体" w:eastAsia="宋体" w:hint="default"/>
          <w:spacing w:val="-65"/>
          <w:w w:val="110"/>
          <w:sz w:val="16"/>
          <w:szCs w:val="16"/>
        </w:rPr>
        <w:t> </w:t>
      </w:r>
      <w:r>
        <w:rPr>
          <w:rFonts w:ascii="宋体" w:hAnsi="宋体" w:cs="宋体" w:eastAsia="宋体" w:hint="default"/>
          <w:w w:val="110"/>
          <w:sz w:val="16"/>
          <w:szCs w:val="16"/>
        </w:rPr>
        <w:t>等频率上，已经在全球实现漫游。</w:t>
      </w:r>
    </w:p>
    <w:p>
      <w:pPr>
        <w:spacing w:line="200" w:lineRule="exact" w:before="73"/>
        <w:ind w:left="623" w:right="1553" w:firstLine="0"/>
        <w:jc w:val="both"/>
        <w:rPr>
          <w:rFonts w:ascii="宋体" w:hAnsi="宋体" w:cs="宋体" w:eastAsia="宋体" w:hint="default"/>
          <w:sz w:val="16"/>
          <w:szCs w:val="16"/>
        </w:rPr>
      </w:pPr>
      <w:r>
        <w:rPr>
          <w:rFonts w:ascii="宋体" w:hAnsi="宋体" w:cs="宋体" w:eastAsia="宋体" w:hint="default"/>
          <w:sz w:val="16"/>
          <w:szCs w:val="16"/>
        </w:rPr>
        <w:t>本集团与互联网公司创新开展的精准营销合作，借助互联网企业的大数据分析能力</w:t>
      </w:r>
      <w:r>
        <w:rPr>
          <w:rFonts w:ascii="宋体" w:hAnsi="宋体" w:cs="宋体" w:eastAsia="宋体" w:hint="default"/>
          <w:spacing w:val="-46"/>
          <w:sz w:val="16"/>
          <w:szCs w:val="16"/>
        </w:rPr>
        <w:t> </w:t>
      </w:r>
      <w:r>
        <w:rPr>
          <w:rFonts w:ascii="宋体" w:hAnsi="宋体" w:cs="宋体" w:eastAsia="宋体" w:hint="default"/>
          <w:spacing w:val="-46"/>
          <w:sz w:val="16"/>
          <w:szCs w:val="16"/>
        </w:rPr>
      </w:r>
      <w:r>
        <w:rPr>
          <w:rFonts w:ascii="宋体" w:hAnsi="宋体" w:cs="宋体" w:eastAsia="宋体" w:hint="default"/>
          <w:sz w:val="16"/>
          <w:szCs w:val="16"/>
        </w:rPr>
        <w:t>和线上客户触点优势，延伸业务覆盖范围，以内容应用服务优势，精准营销客户的</w:t>
      </w:r>
      <w:r>
        <w:rPr>
          <w:rFonts w:ascii="宋体" w:hAnsi="宋体" w:cs="宋体" w:eastAsia="宋体" w:hint="default"/>
          <w:spacing w:val="-48"/>
          <w:sz w:val="16"/>
          <w:szCs w:val="16"/>
        </w:rPr>
        <w:t> </w:t>
      </w:r>
      <w:r>
        <w:rPr>
          <w:rFonts w:ascii="宋体" w:hAnsi="宋体" w:cs="宋体" w:eastAsia="宋体" w:hint="default"/>
          <w:spacing w:val="-48"/>
          <w:sz w:val="16"/>
          <w:szCs w:val="16"/>
        </w:rPr>
      </w:r>
      <w:r>
        <w:rPr>
          <w:rFonts w:ascii="宋体" w:hAnsi="宋体" w:cs="宋体" w:eastAsia="宋体" w:hint="default"/>
          <w:sz w:val="16"/>
          <w:szCs w:val="16"/>
        </w:rPr>
        <w:t>商业模式。</w:t>
      </w:r>
    </w:p>
    <w:p>
      <w:pPr>
        <w:spacing w:line="200" w:lineRule="exact" w:before="73"/>
        <w:ind w:left="623" w:right="1548" w:firstLine="0"/>
        <w:jc w:val="both"/>
        <w:rPr>
          <w:rFonts w:ascii="宋体" w:hAnsi="宋体" w:cs="宋体" w:eastAsia="宋体" w:hint="default"/>
          <w:sz w:val="16"/>
          <w:szCs w:val="16"/>
        </w:rPr>
      </w:pPr>
      <w:r>
        <w:rPr>
          <w:rFonts w:ascii="宋体" w:hAnsi="宋体" w:cs="宋体" w:eastAsia="宋体" w:hint="default"/>
          <w:w w:val="105"/>
          <w:sz w:val="16"/>
          <w:szCs w:val="16"/>
        </w:rPr>
        <w:t>Wideband</w:t>
      </w:r>
      <w:r>
        <w:rPr>
          <w:rFonts w:ascii="宋体" w:hAnsi="宋体" w:cs="宋体" w:eastAsia="宋体" w:hint="default"/>
          <w:spacing w:val="-49"/>
          <w:w w:val="105"/>
          <w:sz w:val="16"/>
          <w:szCs w:val="16"/>
        </w:rPr>
        <w:t> </w:t>
      </w:r>
      <w:r>
        <w:rPr>
          <w:rFonts w:ascii="宋体" w:hAnsi="宋体" w:cs="宋体" w:eastAsia="宋体" w:hint="default"/>
          <w:w w:val="105"/>
          <w:sz w:val="16"/>
          <w:szCs w:val="16"/>
        </w:rPr>
        <w:t>Code</w:t>
      </w:r>
      <w:r>
        <w:rPr>
          <w:rFonts w:ascii="宋体" w:hAnsi="宋体" w:cs="宋体" w:eastAsia="宋体" w:hint="default"/>
          <w:spacing w:val="-49"/>
          <w:w w:val="105"/>
          <w:sz w:val="16"/>
          <w:szCs w:val="16"/>
        </w:rPr>
        <w:t> </w:t>
      </w:r>
      <w:r>
        <w:rPr>
          <w:rFonts w:ascii="宋体" w:hAnsi="宋体" w:cs="宋体" w:eastAsia="宋体" w:hint="default"/>
          <w:w w:val="105"/>
          <w:sz w:val="16"/>
          <w:szCs w:val="16"/>
        </w:rPr>
        <w:t>Division</w:t>
      </w:r>
      <w:r>
        <w:rPr>
          <w:rFonts w:ascii="宋体" w:hAnsi="宋体" w:cs="宋体" w:eastAsia="宋体" w:hint="default"/>
          <w:spacing w:val="-49"/>
          <w:w w:val="105"/>
          <w:sz w:val="16"/>
          <w:szCs w:val="16"/>
        </w:rPr>
        <w:t> </w:t>
      </w:r>
      <w:r>
        <w:rPr>
          <w:rFonts w:ascii="宋体" w:hAnsi="宋体" w:cs="宋体" w:eastAsia="宋体" w:hint="default"/>
          <w:w w:val="105"/>
          <w:sz w:val="16"/>
          <w:szCs w:val="16"/>
        </w:rPr>
        <w:t>Multiple</w:t>
      </w:r>
      <w:r>
        <w:rPr>
          <w:rFonts w:ascii="宋体" w:hAnsi="宋体" w:cs="宋体" w:eastAsia="宋体" w:hint="default"/>
          <w:spacing w:val="-49"/>
          <w:w w:val="105"/>
          <w:sz w:val="16"/>
          <w:szCs w:val="16"/>
        </w:rPr>
        <w:t> </w:t>
      </w:r>
      <w:r>
        <w:rPr>
          <w:rFonts w:ascii="宋体" w:hAnsi="宋体" w:cs="宋体" w:eastAsia="宋体" w:hint="default"/>
          <w:spacing w:val="4"/>
          <w:w w:val="105"/>
          <w:sz w:val="16"/>
          <w:szCs w:val="16"/>
        </w:rPr>
        <w:t>Access，即宽带码分多址技术，在</w:t>
      </w:r>
      <w:r>
        <w:rPr>
          <w:rFonts w:ascii="宋体" w:hAnsi="宋体" w:cs="宋体" w:eastAsia="宋体" w:hint="default"/>
          <w:spacing w:val="-59"/>
          <w:w w:val="105"/>
          <w:sz w:val="16"/>
          <w:szCs w:val="16"/>
        </w:rPr>
        <w:t> </w:t>
      </w:r>
      <w:r>
        <w:rPr>
          <w:rFonts w:ascii="宋体" w:hAnsi="宋体" w:cs="宋体" w:eastAsia="宋体" w:hint="default"/>
          <w:w w:val="105"/>
          <w:sz w:val="16"/>
          <w:szCs w:val="16"/>
        </w:rPr>
        <w:t>5MHz</w:t>
      </w:r>
      <w:r>
        <w:rPr>
          <w:rFonts w:ascii="宋体" w:hAnsi="宋体" w:cs="宋体" w:eastAsia="宋体" w:hint="default"/>
          <w:spacing w:val="-59"/>
          <w:w w:val="105"/>
          <w:sz w:val="16"/>
          <w:szCs w:val="16"/>
        </w:rPr>
        <w:t> </w:t>
      </w:r>
      <w:r>
        <w:rPr>
          <w:rFonts w:ascii="宋体" w:hAnsi="宋体" w:cs="宋体" w:eastAsia="宋体" w:hint="default"/>
          <w:spacing w:val="4"/>
          <w:w w:val="105"/>
          <w:sz w:val="16"/>
          <w:szCs w:val="16"/>
        </w:rPr>
        <w:t>带宽</w:t>
      </w:r>
      <w:r>
        <w:rPr>
          <w:rFonts w:ascii="宋体" w:hAnsi="宋体" w:cs="宋体" w:eastAsia="宋体" w:hint="default"/>
          <w:sz w:val="16"/>
          <w:szCs w:val="16"/>
        </w:rPr>
        <w:t> </w:t>
      </w:r>
      <w:r>
        <w:rPr>
          <w:rFonts w:ascii="宋体" w:hAnsi="宋体" w:cs="宋体" w:eastAsia="宋体" w:hint="default"/>
          <w:spacing w:val="5"/>
          <w:sz w:val="16"/>
          <w:szCs w:val="16"/>
        </w:rPr>
        <w:t>频谱上传输语音和数据，是与</w:t>
      </w:r>
      <w:r>
        <w:rPr>
          <w:rFonts w:ascii="宋体" w:hAnsi="宋体" w:cs="宋体" w:eastAsia="宋体" w:hint="default"/>
          <w:spacing w:val="-34"/>
          <w:sz w:val="16"/>
          <w:szCs w:val="16"/>
        </w:rPr>
        <w:t> </w:t>
      </w:r>
      <w:r>
        <w:rPr>
          <w:rFonts w:ascii="宋体" w:hAnsi="宋体" w:cs="宋体" w:eastAsia="宋体" w:hint="default"/>
          <w:spacing w:val="-1"/>
          <w:w w:val="131"/>
          <w:sz w:val="16"/>
          <w:szCs w:val="16"/>
        </w:rPr>
        <w:t>EV-DO/TD-SCDMA</w:t>
      </w:r>
      <w:r>
        <w:rPr>
          <w:rFonts w:ascii="宋体" w:hAnsi="宋体" w:cs="宋体" w:eastAsia="宋体" w:hint="default"/>
          <w:spacing w:val="-59"/>
          <w:w w:val="131"/>
          <w:sz w:val="16"/>
          <w:szCs w:val="16"/>
        </w:rPr>
        <w:t> </w:t>
      </w:r>
      <w:r>
        <w:rPr>
          <w:rFonts w:ascii="宋体" w:hAnsi="宋体" w:cs="宋体" w:eastAsia="宋体" w:hint="default"/>
          <w:spacing w:val="4"/>
          <w:sz w:val="16"/>
          <w:szCs w:val="16"/>
        </w:rPr>
        <w:t>并列的</w:t>
      </w:r>
      <w:r>
        <w:rPr>
          <w:rFonts w:ascii="宋体" w:hAnsi="宋体" w:cs="宋体" w:eastAsia="宋体" w:hint="default"/>
          <w:spacing w:val="-34"/>
          <w:sz w:val="16"/>
          <w:szCs w:val="16"/>
        </w:rPr>
        <w:t> </w:t>
      </w:r>
      <w:r>
        <w:rPr>
          <w:rFonts w:ascii="宋体" w:hAnsi="宋体" w:cs="宋体" w:eastAsia="宋体" w:hint="default"/>
          <w:spacing w:val="-1"/>
          <w:w w:val="127"/>
          <w:sz w:val="16"/>
          <w:szCs w:val="16"/>
        </w:rPr>
        <w:t>3G</w:t>
      </w:r>
      <w:r>
        <w:rPr>
          <w:rFonts w:ascii="宋体" w:hAnsi="宋体" w:cs="宋体" w:eastAsia="宋体" w:hint="default"/>
          <w:spacing w:val="-56"/>
          <w:w w:val="127"/>
          <w:sz w:val="16"/>
          <w:szCs w:val="16"/>
        </w:rPr>
        <w:t> </w:t>
      </w:r>
      <w:r>
        <w:rPr>
          <w:rFonts w:ascii="宋体" w:hAnsi="宋体" w:cs="宋体" w:eastAsia="宋体" w:hint="default"/>
          <w:spacing w:val="6"/>
          <w:sz w:val="16"/>
          <w:szCs w:val="16"/>
        </w:rPr>
        <w:t>无线标准，不同的</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w w:val="105"/>
          <w:sz w:val="16"/>
          <w:szCs w:val="16"/>
        </w:rPr>
        <w:t>3GPP</w:t>
      </w:r>
      <w:r>
        <w:rPr>
          <w:rFonts w:ascii="宋体" w:hAnsi="宋体" w:cs="宋体" w:eastAsia="宋体" w:hint="default"/>
          <w:spacing w:val="-58"/>
          <w:w w:val="105"/>
          <w:sz w:val="16"/>
          <w:szCs w:val="16"/>
        </w:rPr>
        <w:t> </w:t>
      </w:r>
      <w:r>
        <w:rPr>
          <w:rFonts w:ascii="宋体" w:hAnsi="宋体" w:cs="宋体" w:eastAsia="宋体" w:hint="default"/>
          <w:w w:val="105"/>
          <w:sz w:val="16"/>
          <w:szCs w:val="16"/>
        </w:rPr>
        <w:t>版本可以达到</w:t>
      </w:r>
      <w:r>
        <w:rPr>
          <w:rFonts w:ascii="宋体" w:hAnsi="宋体" w:cs="宋体" w:eastAsia="宋体" w:hint="default"/>
          <w:spacing w:val="-58"/>
          <w:w w:val="105"/>
          <w:sz w:val="16"/>
          <w:szCs w:val="16"/>
        </w:rPr>
        <w:t> </w:t>
      </w:r>
      <w:r>
        <w:rPr>
          <w:rFonts w:ascii="宋体" w:hAnsi="宋体" w:cs="宋体" w:eastAsia="宋体" w:hint="default"/>
          <w:w w:val="105"/>
          <w:sz w:val="16"/>
          <w:szCs w:val="16"/>
        </w:rPr>
        <w:t>14.4Mbps、21Mbps</w:t>
      </w:r>
      <w:r>
        <w:rPr>
          <w:rFonts w:ascii="宋体" w:hAnsi="宋体" w:cs="宋体" w:eastAsia="宋体" w:hint="default"/>
          <w:spacing w:val="-58"/>
          <w:w w:val="105"/>
          <w:sz w:val="16"/>
          <w:szCs w:val="16"/>
        </w:rPr>
        <w:t> </w:t>
      </w:r>
      <w:r>
        <w:rPr>
          <w:rFonts w:ascii="宋体" w:hAnsi="宋体" w:cs="宋体" w:eastAsia="宋体" w:hint="default"/>
          <w:w w:val="105"/>
          <w:sz w:val="16"/>
          <w:szCs w:val="16"/>
        </w:rPr>
        <w:t>甚至更高的峰值速率。主要部署在</w:t>
      </w:r>
      <w:r>
        <w:rPr>
          <w:rFonts w:ascii="宋体" w:hAnsi="宋体" w:cs="宋体" w:eastAsia="宋体" w:hint="default"/>
          <w:spacing w:val="-58"/>
          <w:w w:val="105"/>
          <w:sz w:val="16"/>
          <w:szCs w:val="16"/>
        </w:rPr>
        <w:t> </w:t>
      </w:r>
      <w:r>
        <w:rPr>
          <w:rFonts w:ascii="宋体" w:hAnsi="宋体" w:cs="宋体" w:eastAsia="宋体" w:hint="default"/>
          <w:w w:val="105"/>
          <w:sz w:val="16"/>
          <w:szCs w:val="16"/>
        </w:rPr>
        <w:t>2.1GHz</w:t>
      </w:r>
      <w:r>
        <w:rPr>
          <w:rFonts w:ascii="宋体" w:hAnsi="宋体" w:cs="宋体" w:eastAsia="宋体" w:hint="default"/>
          <w:w w:val="108"/>
          <w:sz w:val="16"/>
          <w:szCs w:val="16"/>
        </w:rPr>
        <w:t> </w:t>
      </w:r>
      <w:r>
        <w:rPr>
          <w:rFonts w:ascii="宋体" w:hAnsi="宋体" w:cs="宋体" w:eastAsia="宋体" w:hint="default"/>
          <w:w w:val="110"/>
          <w:sz w:val="16"/>
          <w:szCs w:val="16"/>
        </w:rPr>
        <w:t>频率上。</w:t>
      </w:r>
    </w:p>
    <w:p>
      <w:pPr>
        <w:spacing w:after="0" w:line="200" w:lineRule="exact"/>
        <w:jc w:val="both"/>
        <w:rPr>
          <w:rFonts w:ascii="宋体" w:hAnsi="宋体" w:cs="宋体" w:eastAsia="宋体" w:hint="default"/>
          <w:sz w:val="16"/>
          <w:szCs w:val="16"/>
        </w:rPr>
        <w:sectPr>
          <w:type w:val="continuous"/>
          <w:pgSz w:w="11910" w:h="16160"/>
          <w:pgMar w:top="1520" w:bottom="280" w:left="0" w:right="0"/>
          <w:cols w:num="2" w:equalWidth="0">
            <w:col w:w="3865" w:space="40"/>
            <w:col w:w="8005"/>
          </w:cols>
        </w:sectPr>
      </w:pPr>
    </w:p>
    <w:p>
      <w:pPr>
        <w:tabs>
          <w:tab w:pos="4528" w:val="left" w:leader="none"/>
        </w:tabs>
        <w:spacing w:line="156" w:lineRule="auto" w:before="112"/>
        <w:ind w:left="4528" w:right="1557" w:hanging="1666"/>
        <w:jc w:val="left"/>
        <w:rPr>
          <w:rFonts w:ascii="宋体" w:hAnsi="宋体" w:cs="宋体" w:eastAsia="宋体" w:hint="default"/>
          <w:sz w:val="16"/>
          <w:szCs w:val="16"/>
        </w:rPr>
      </w:pPr>
      <w:r>
        <w:rPr>
          <w:rFonts w:ascii="宋体" w:hAnsi="宋体" w:cs="宋体" w:eastAsia="宋体" w:hint="default"/>
          <w:w w:val="105"/>
          <w:position w:val="-9"/>
          <w:sz w:val="16"/>
          <w:szCs w:val="16"/>
        </w:rPr>
        <w:t>4G</w:t>
        <w:tab/>
      </w:r>
      <w:r>
        <w:rPr>
          <w:rFonts w:ascii="宋体" w:hAnsi="宋体" w:cs="宋体" w:eastAsia="宋体" w:hint="default"/>
          <w:w w:val="105"/>
          <w:sz w:val="16"/>
          <w:szCs w:val="16"/>
        </w:rPr>
        <w:t>第</w:t>
      </w:r>
      <w:r>
        <w:rPr>
          <w:rFonts w:ascii="宋体" w:hAnsi="宋体" w:cs="宋体" w:eastAsia="宋体" w:hint="default"/>
          <w:spacing w:val="-64"/>
          <w:w w:val="105"/>
          <w:sz w:val="16"/>
          <w:szCs w:val="16"/>
        </w:rPr>
        <w:t> </w:t>
      </w:r>
      <w:r>
        <w:rPr>
          <w:rFonts w:ascii="宋体" w:hAnsi="宋体" w:cs="宋体" w:eastAsia="宋体" w:hint="default"/>
          <w:w w:val="105"/>
          <w:sz w:val="16"/>
          <w:szCs w:val="16"/>
        </w:rPr>
        <w:t>四</w:t>
      </w:r>
      <w:r>
        <w:rPr>
          <w:rFonts w:ascii="宋体" w:hAnsi="宋体" w:cs="宋体" w:eastAsia="宋体" w:hint="default"/>
          <w:spacing w:val="-64"/>
          <w:w w:val="105"/>
          <w:sz w:val="16"/>
          <w:szCs w:val="16"/>
        </w:rPr>
        <w:t> </w:t>
      </w:r>
      <w:r>
        <w:rPr>
          <w:rFonts w:ascii="宋体" w:hAnsi="宋体" w:cs="宋体" w:eastAsia="宋体" w:hint="default"/>
          <w:w w:val="105"/>
          <w:sz w:val="16"/>
          <w:szCs w:val="16"/>
        </w:rPr>
        <w:t>代</w:t>
      </w:r>
      <w:r>
        <w:rPr>
          <w:rFonts w:ascii="宋体" w:hAnsi="宋体" w:cs="宋体" w:eastAsia="宋体" w:hint="default"/>
          <w:spacing w:val="-64"/>
          <w:w w:val="105"/>
          <w:sz w:val="16"/>
          <w:szCs w:val="16"/>
        </w:rPr>
        <w:t> </w:t>
      </w:r>
      <w:r>
        <w:rPr>
          <w:rFonts w:ascii="宋体" w:hAnsi="宋体" w:cs="宋体" w:eastAsia="宋体" w:hint="default"/>
          <w:w w:val="105"/>
          <w:sz w:val="16"/>
          <w:szCs w:val="16"/>
        </w:rPr>
        <w:t>移</w:t>
      </w:r>
      <w:r>
        <w:rPr>
          <w:rFonts w:ascii="宋体" w:hAnsi="宋体" w:cs="宋体" w:eastAsia="宋体" w:hint="default"/>
          <w:spacing w:val="-64"/>
          <w:w w:val="105"/>
          <w:sz w:val="16"/>
          <w:szCs w:val="16"/>
        </w:rPr>
        <w:t> </w:t>
      </w:r>
      <w:r>
        <w:rPr>
          <w:rFonts w:ascii="宋体" w:hAnsi="宋体" w:cs="宋体" w:eastAsia="宋体" w:hint="default"/>
          <w:w w:val="105"/>
          <w:sz w:val="16"/>
          <w:szCs w:val="16"/>
        </w:rPr>
        <w:t>动</w:t>
      </w:r>
      <w:r>
        <w:rPr>
          <w:rFonts w:ascii="宋体" w:hAnsi="宋体" w:cs="宋体" w:eastAsia="宋体" w:hint="default"/>
          <w:spacing w:val="-64"/>
          <w:w w:val="105"/>
          <w:sz w:val="16"/>
          <w:szCs w:val="16"/>
        </w:rPr>
        <w:t> </w:t>
      </w:r>
      <w:r>
        <w:rPr>
          <w:rFonts w:ascii="宋体" w:hAnsi="宋体" w:cs="宋体" w:eastAsia="宋体" w:hint="default"/>
          <w:w w:val="105"/>
          <w:sz w:val="16"/>
          <w:szCs w:val="16"/>
        </w:rPr>
        <w:t>通</w:t>
      </w:r>
      <w:r>
        <w:rPr>
          <w:rFonts w:ascii="宋体" w:hAnsi="宋体" w:cs="宋体" w:eastAsia="宋体" w:hint="default"/>
          <w:spacing w:val="-64"/>
          <w:w w:val="105"/>
          <w:sz w:val="16"/>
          <w:szCs w:val="16"/>
        </w:rPr>
        <w:t> </w:t>
      </w:r>
      <w:r>
        <w:rPr>
          <w:rFonts w:ascii="宋体" w:hAnsi="宋体" w:cs="宋体" w:eastAsia="宋体" w:hint="default"/>
          <w:w w:val="105"/>
          <w:sz w:val="16"/>
          <w:szCs w:val="16"/>
        </w:rPr>
        <w:t>讯</w:t>
      </w:r>
      <w:r>
        <w:rPr>
          <w:rFonts w:ascii="宋体" w:hAnsi="宋体" w:cs="宋体" w:eastAsia="宋体" w:hint="default"/>
          <w:spacing w:val="-64"/>
          <w:w w:val="105"/>
          <w:sz w:val="16"/>
          <w:szCs w:val="16"/>
        </w:rPr>
        <w:t> </w:t>
      </w:r>
      <w:r>
        <w:rPr>
          <w:rFonts w:ascii="宋体" w:hAnsi="宋体" w:cs="宋体" w:eastAsia="宋体" w:hint="default"/>
          <w:w w:val="105"/>
          <w:sz w:val="16"/>
          <w:szCs w:val="16"/>
        </w:rPr>
        <w:t>技</w:t>
      </w:r>
      <w:r>
        <w:rPr>
          <w:rFonts w:ascii="宋体" w:hAnsi="宋体" w:cs="宋体" w:eastAsia="宋体" w:hint="default"/>
          <w:spacing w:val="-64"/>
          <w:w w:val="105"/>
          <w:sz w:val="16"/>
          <w:szCs w:val="16"/>
        </w:rPr>
        <w:t> </w:t>
      </w:r>
      <w:r>
        <w:rPr>
          <w:rFonts w:ascii="宋体" w:hAnsi="宋体" w:cs="宋体" w:eastAsia="宋体" w:hint="default"/>
          <w:w w:val="105"/>
          <w:sz w:val="16"/>
          <w:szCs w:val="16"/>
        </w:rPr>
        <w:t>术</w:t>
      </w:r>
      <w:r>
        <w:rPr>
          <w:rFonts w:ascii="宋体" w:hAnsi="宋体" w:cs="宋体" w:eastAsia="宋体" w:hint="default"/>
          <w:spacing w:val="-64"/>
          <w:w w:val="105"/>
          <w:sz w:val="16"/>
          <w:szCs w:val="16"/>
        </w:rPr>
        <w:t> </w:t>
      </w:r>
      <w:r>
        <w:rPr>
          <w:rFonts w:ascii="宋体" w:hAnsi="宋体" w:cs="宋体" w:eastAsia="宋体" w:hint="default"/>
          <w:w w:val="105"/>
          <w:sz w:val="16"/>
          <w:szCs w:val="16"/>
        </w:rPr>
        <w:t>的</w:t>
      </w:r>
      <w:r>
        <w:rPr>
          <w:rFonts w:ascii="宋体" w:hAnsi="宋体" w:cs="宋体" w:eastAsia="宋体" w:hint="default"/>
          <w:spacing w:val="-64"/>
          <w:w w:val="105"/>
          <w:sz w:val="16"/>
          <w:szCs w:val="16"/>
        </w:rPr>
        <w:t> </w:t>
      </w:r>
      <w:r>
        <w:rPr>
          <w:rFonts w:ascii="宋体" w:hAnsi="宋体" w:cs="宋体" w:eastAsia="宋体" w:hint="default"/>
          <w:w w:val="105"/>
          <w:sz w:val="16"/>
          <w:szCs w:val="16"/>
        </w:rPr>
        <w:t>简</w:t>
      </w:r>
      <w:r>
        <w:rPr>
          <w:rFonts w:ascii="宋体" w:hAnsi="宋体" w:cs="宋体" w:eastAsia="宋体" w:hint="default"/>
          <w:spacing w:val="-64"/>
          <w:w w:val="105"/>
          <w:sz w:val="16"/>
          <w:szCs w:val="16"/>
        </w:rPr>
        <w:t> </w:t>
      </w:r>
      <w:r>
        <w:rPr>
          <w:rFonts w:ascii="宋体" w:hAnsi="宋体" w:cs="宋体" w:eastAsia="宋体" w:hint="default"/>
          <w:w w:val="105"/>
          <w:sz w:val="16"/>
          <w:szCs w:val="16"/>
        </w:rPr>
        <w:t>称，</w:t>
      </w:r>
      <w:r>
        <w:rPr>
          <w:rFonts w:ascii="宋体" w:hAnsi="宋体" w:cs="宋体" w:eastAsia="宋体" w:hint="default"/>
          <w:spacing w:val="-64"/>
          <w:w w:val="105"/>
          <w:sz w:val="16"/>
          <w:szCs w:val="16"/>
        </w:rPr>
        <w:t> </w:t>
      </w:r>
      <w:r>
        <w:rPr>
          <w:rFonts w:ascii="宋体" w:hAnsi="宋体" w:cs="宋体" w:eastAsia="宋体" w:hint="default"/>
          <w:w w:val="105"/>
          <w:sz w:val="16"/>
          <w:szCs w:val="16"/>
        </w:rPr>
        <w:t>也</w:t>
      </w:r>
      <w:r>
        <w:rPr>
          <w:rFonts w:ascii="宋体" w:hAnsi="宋体" w:cs="宋体" w:eastAsia="宋体" w:hint="default"/>
          <w:spacing w:val="-64"/>
          <w:w w:val="105"/>
          <w:sz w:val="16"/>
          <w:szCs w:val="16"/>
        </w:rPr>
        <w:t> </w:t>
      </w:r>
      <w:r>
        <w:rPr>
          <w:rFonts w:ascii="宋体" w:hAnsi="宋体" w:cs="宋体" w:eastAsia="宋体" w:hint="default"/>
          <w:w w:val="105"/>
          <w:sz w:val="16"/>
          <w:szCs w:val="16"/>
        </w:rPr>
        <w:t>称</w:t>
      </w:r>
      <w:r>
        <w:rPr>
          <w:rFonts w:ascii="宋体" w:hAnsi="宋体" w:cs="宋体" w:eastAsia="宋体" w:hint="default"/>
          <w:spacing w:val="-64"/>
          <w:w w:val="105"/>
          <w:sz w:val="16"/>
          <w:szCs w:val="16"/>
        </w:rPr>
        <w:t> </w:t>
      </w:r>
      <w:r>
        <w:rPr>
          <w:rFonts w:ascii="宋体" w:hAnsi="宋体" w:cs="宋体" w:eastAsia="宋体" w:hint="default"/>
          <w:w w:val="105"/>
          <w:sz w:val="16"/>
          <w:szCs w:val="16"/>
        </w:rPr>
        <w:t>为</w:t>
      </w:r>
      <w:r>
        <w:rPr>
          <w:rFonts w:ascii="宋体" w:hAnsi="宋体" w:cs="宋体" w:eastAsia="宋体" w:hint="default"/>
          <w:spacing w:val="-41"/>
          <w:w w:val="105"/>
          <w:sz w:val="16"/>
          <w:szCs w:val="16"/>
        </w:rPr>
        <w:t> </w:t>
      </w:r>
      <w:r>
        <w:rPr>
          <w:rFonts w:ascii="宋体" w:hAnsi="宋体" w:cs="宋体" w:eastAsia="宋体" w:hint="default"/>
          <w:w w:val="105"/>
          <w:sz w:val="16"/>
          <w:szCs w:val="16"/>
        </w:rPr>
        <w:t>IMT-Advanced，ITU</w:t>
      </w:r>
      <w:r>
        <w:rPr>
          <w:rFonts w:ascii="宋体" w:hAnsi="宋体" w:cs="宋体" w:eastAsia="宋体" w:hint="default"/>
          <w:spacing w:val="-41"/>
          <w:w w:val="105"/>
          <w:sz w:val="16"/>
          <w:szCs w:val="16"/>
        </w:rPr>
        <w:t> </w:t>
      </w:r>
      <w:r>
        <w:rPr>
          <w:rFonts w:ascii="宋体" w:hAnsi="宋体" w:cs="宋体" w:eastAsia="宋体" w:hint="default"/>
          <w:w w:val="105"/>
          <w:sz w:val="16"/>
          <w:szCs w:val="16"/>
        </w:rPr>
        <w:t>在</w:t>
      </w:r>
      <w:r>
        <w:rPr>
          <w:rFonts w:ascii="宋体" w:hAnsi="宋体" w:cs="宋体" w:eastAsia="宋体" w:hint="default"/>
          <w:spacing w:val="-41"/>
          <w:w w:val="105"/>
          <w:sz w:val="16"/>
          <w:szCs w:val="16"/>
        </w:rPr>
        <w:t> </w:t>
      </w:r>
      <w:r>
        <w:rPr>
          <w:rFonts w:ascii="宋体" w:hAnsi="宋体" w:cs="宋体" w:eastAsia="宋体" w:hint="default"/>
          <w:w w:val="105"/>
          <w:sz w:val="16"/>
          <w:szCs w:val="16"/>
        </w:rPr>
        <w:t>2010</w:t>
      </w:r>
      <w:r>
        <w:rPr>
          <w:rFonts w:ascii="宋体" w:hAnsi="宋体" w:cs="宋体" w:eastAsia="宋体" w:hint="default"/>
          <w:spacing w:val="-41"/>
          <w:w w:val="105"/>
          <w:sz w:val="16"/>
          <w:szCs w:val="16"/>
        </w:rPr>
        <w:t> </w:t>
      </w:r>
      <w:r>
        <w:rPr>
          <w:rFonts w:ascii="宋体" w:hAnsi="宋体" w:cs="宋体" w:eastAsia="宋体" w:hint="default"/>
          <w:w w:val="105"/>
          <w:sz w:val="16"/>
          <w:szCs w:val="16"/>
        </w:rPr>
        <w:t>年</w:t>
      </w:r>
      <w:r>
        <w:rPr>
          <w:rFonts w:ascii="宋体" w:hAnsi="宋体" w:cs="宋体" w:eastAsia="宋体" w:hint="default"/>
          <w:spacing w:val="-64"/>
          <w:w w:val="105"/>
          <w:sz w:val="16"/>
          <w:szCs w:val="16"/>
        </w:rPr>
        <w:t> </w:t>
      </w:r>
      <w:r>
        <w:rPr>
          <w:rFonts w:ascii="宋体" w:hAnsi="宋体" w:cs="宋体" w:eastAsia="宋体" w:hint="default"/>
          <w:w w:val="105"/>
          <w:sz w:val="16"/>
          <w:szCs w:val="16"/>
        </w:rPr>
        <w:t>将</w:t>
      </w:r>
      <w:r>
        <w:rPr>
          <w:rFonts w:ascii="宋体" w:hAnsi="宋体" w:cs="宋体" w:eastAsia="宋体" w:hint="default"/>
          <w:spacing w:val="-41"/>
          <w:w w:val="105"/>
          <w:sz w:val="16"/>
          <w:szCs w:val="16"/>
        </w:rPr>
        <w:t> </w:t>
      </w:r>
      <w:r>
        <w:rPr>
          <w:rFonts w:ascii="宋体" w:hAnsi="宋体" w:cs="宋体" w:eastAsia="宋体" w:hint="default"/>
          <w:w w:val="105"/>
          <w:sz w:val="16"/>
          <w:szCs w:val="16"/>
        </w:rPr>
        <w:t>LTE-</w:t>
      </w:r>
      <w:r>
        <w:rPr>
          <w:rFonts w:ascii="宋体" w:hAnsi="宋体" w:cs="宋体" w:eastAsia="宋体" w:hint="default"/>
          <w:w w:val="118"/>
          <w:sz w:val="16"/>
          <w:szCs w:val="16"/>
        </w:rPr>
        <w:t> </w:t>
      </w:r>
      <w:r>
        <w:rPr>
          <w:rFonts w:ascii="宋体" w:hAnsi="宋体" w:cs="宋体" w:eastAsia="宋体" w:hint="default"/>
          <w:w w:val="105"/>
          <w:sz w:val="16"/>
          <w:szCs w:val="16"/>
        </w:rPr>
        <w:t>Advanced</w:t>
      </w:r>
      <w:r>
        <w:rPr>
          <w:rFonts w:ascii="宋体" w:hAnsi="宋体" w:cs="宋体" w:eastAsia="宋体" w:hint="default"/>
          <w:spacing w:val="-42"/>
          <w:w w:val="105"/>
          <w:sz w:val="16"/>
          <w:szCs w:val="16"/>
        </w:rPr>
        <w:t> </w:t>
      </w:r>
      <w:r>
        <w:rPr>
          <w:rFonts w:ascii="宋体" w:hAnsi="宋体" w:cs="宋体" w:eastAsia="宋体" w:hint="default"/>
          <w:w w:val="105"/>
          <w:sz w:val="16"/>
          <w:szCs w:val="16"/>
        </w:rPr>
        <w:t>和</w:t>
      </w:r>
      <w:r>
        <w:rPr>
          <w:rFonts w:ascii="宋体" w:hAnsi="宋体" w:cs="宋体" w:eastAsia="宋体" w:hint="default"/>
          <w:spacing w:val="-41"/>
          <w:w w:val="105"/>
          <w:sz w:val="16"/>
          <w:szCs w:val="16"/>
        </w:rPr>
        <w:t> </w:t>
      </w:r>
      <w:r>
        <w:rPr>
          <w:rFonts w:ascii="宋体" w:hAnsi="宋体" w:cs="宋体" w:eastAsia="宋体" w:hint="default"/>
          <w:w w:val="105"/>
          <w:sz w:val="16"/>
          <w:szCs w:val="16"/>
        </w:rPr>
        <w:t>IEEE</w:t>
      </w:r>
      <w:r>
        <w:rPr>
          <w:rFonts w:ascii="宋体" w:hAnsi="宋体" w:cs="宋体" w:eastAsia="宋体" w:hint="default"/>
          <w:spacing w:val="-37"/>
          <w:w w:val="105"/>
          <w:sz w:val="16"/>
          <w:szCs w:val="16"/>
        </w:rPr>
        <w:t> </w:t>
      </w:r>
      <w:r>
        <w:rPr>
          <w:rFonts w:ascii="宋体" w:hAnsi="宋体" w:cs="宋体" w:eastAsia="宋体" w:hint="default"/>
          <w:w w:val="105"/>
          <w:sz w:val="16"/>
          <w:szCs w:val="16"/>
        </w:rPr>
        <w:t>802.16m</w:t>
      </w:r>
      <w:r>
        <w:rPr>
          <w:rFonts w:ascii="宋体" w:hAnsi="宋体" w:cs="宋体" w:eastAsia="宋体" w:hint="default"/>
          <w:spacing w:val="-41"/>
          <w:w w:val="105"/>
          <w:sz w:val="16"/>
          <w:szCs w:val="16"/>
        </w:rPr>
        <w:t> </w:t>
      </w:r>
      <w:r>
        <w:rPr>
          <w:rFonts w:ascii="宋体" w:hAnsi="宋体" w:cs="宋体" w:eastAsia="宋体" w:hint="default"/>
          <w:w w:val="105"/>
          <w:sz w:val="16"/>
          <w:szCs w:val="16"/>
        </w:rPr>
        <w:t>定为</w:t>
      </w:r>
      <w:r>
        <w:rPr>
          <w:rFonts w:ascii="宋体" w:hAnsi="宋体" w:cs="宋体" w:eastAsia="宋体" w:hint="default"/>
          <w:spacing w:val="-41"/>
          <w:w w:val="105"/>
          <w:sz w:val="16"/>
          <w:szCs w:val="16"/>
        </w:rPr>
        <w:t> </w:t>
      </w:r>
      <w:r>
        <w:rPr>
          <w:rFonts w:ascii="宋体" w:hAnsi="宋体" w:cs="宋体" w:eastAsia="宋体" w:hint="default"/>
          <w:w w:val="105"/>
          <w:sz w:val="16"/>
          <w:szCs w:val="16"/>
        </w:rPr>
        <w:t>4G</w:t>
      </w:r>
      <w:r>
        <w:rPr>
          <w:rFonts w:ascii="宋体" w:hAnsi="宋体" w:cs="宋体" w:eastAsia="宋体" w:hint="default"/>
          <w:spacing w:val="-42"/>
          <w:w w:val="105"/>
          <w:sz w:val="16"/>
          <w:szCs w:val="16"/>
        </w:rPr>
        <w:t> </w:t>
      </w:r>
      <w:r>
        <w:rPr>
          <w:rFonts w:ascii="宋体" w:hAnsi="宋体" w:cs="宋体" w:eastAsia="宋体" w:hint="default"/>
          <w:w w:val="105"/>
          <w:sz w:val="16"/>
          <w:szCs w:val="16"/>
        </w:rPr>
        <w:t>的无线接入技术。</w:t>
      </w:r>
    </w:p>
    <w:p>
      <w:pPr>
        <w:tabs>
          <w:tab w:pos="4528" w:val="left" w:leader="none"/>
        </w:tabs>
        <w:spacing w:line="156" w:lineRule="auto" w:before="137"/>
        <w:ind w:left="4528" w:right="1557" w:hanging="1666"/>
        <w:jc w:val="left"/>
        <w:rPr>
          <w:rFonts w:ascii="宋体" w:hAnsi="宋体" w:cs="宋体" w:eastAsia="宋体" w:hint="default"/>
          <w:sz w:val="16"/>
          <w:szCs w:val="16"/>
        </w:rPr>
      </w:pPr>
      <w:r>
        <w:rPr>
          <w:rFonts w:ascii="宋体" w:hAnsi="宋体" w:cs="宋体" w:eastAsia="宋体" w:hint="default"/>
          <w:w w:val="110"/>
          <w:position w:val="-9"/>
          <w:sz w:val="16"/>
          <w:szCs w:val="16"/>
        </w:rPr>
        <w:t>4G+</w:t>
        <w:tab/>
      </w:r>
      <w:r>
        <w:rPr>
          <w:rFonts w:ascii="宋体" w:hAnsi="宋体" w:cs="宋体" w:eastAsia="宋体" w:hint="default"/>
          <w:spacing w:val="-3"/>
          <w:sz w:val="16"/>
          <w:szCs w:val="16"/>
        </w:rPr>
        <w:t>通过载波聚合等技术，在原有 </w:t>
      </w:r>
      <w:r>
        <w:rPr>
          <w:rFonts w:ascii="宋体" w:hAnsi="宋体" w:cs="宋体" w:eastAsia="宋体" w:hint="default"/>
          <w:sz w:val="16"/>
          <w:szCs w:val="16"/>
        </w:rPr>
        <w:t>4G</w:t>
      </w:r>
      <w:r>
        <w:rPr>
          <w:rFonts w:ascii="宋体" w:hAnsi="宋体" w:cs="宋体" w:eastAsia="宋体" w:hint="default"/>
          <w:spacing w:val="-63"/>
          <w:sz w:val="16"/>
          <w:szCs w:val="16"/>
        </w:rPr>
        <w:t> </w:t>
      </w:r>
      <w:r>
        <w:rPr>
          <w:rFonts w:ascii="宋体" w:hAnsi="宋体" w:cs="宋体" w:eastAsia="宋体" w:hint="default"/>
          <w:sz w:val="16"/>
          <w:szCs w:val="16"/>
        </w:rPr>
        <w:t>网络基础上进一步拓展网络频谱，优化网络质量，</w:t>
      </w:r>
      <w:r>
        <w:rPr>
          <w:rFonts w:ascii="宋体" w:hAnsi="宋体" w:cs="宋体" w:eastAsia="宋体" w:hint="default"/>
          <w:sz w:val="16"/>
          <w:szCs w:val="16"/>
        </w:rPr>
        <w:t> </w:t>
      </w:r>
      <w:r>
        <w:rPr>
          <w:rFonts w:ascii="宋体" w:hAnsi="宋体" w:cs="宋体" w:eastAsia="宋体" w:hint="default"/>
          <w:w w:val="110"/>
          <w:sz w:val="16"/>
          <w:szCs w:val="16"/>
        </w:rPr>
        <w:t>大幅提升网络速率。</w:t>
      </w:r>
    </w:p>
    <w:p>
      <w:pPr>
        <w:tabs>
          <w:tab w:pos="4528" w:val="left" w:leader="none"/>
        </w:tabs>
        <w:spacing w:line="156" w:lineRule="auto" w:before="137"/>
        <w:ind w:left="4528" w:right="1553" w:hanging="1666"/>
        <w:jc w:val="left"/>
        <w:rPr>
          <w:rFonts w:ascii="宋体" w:hAnsi="宋体" w:cs="宋体" w:eastAsia="宋体" w:hint="default"/>
          <w:sz w:val="16"/>
          <w:szCs w:val="16"/>
        </w:rPr>
      </w:pPr>
      <w:r>
        <w:rPr>
          <w:rFonts w:ascii="宋体" w:hAnsi="宋体" w:cs="宋体" w:eastAsia="宋体" w:hint="default"/>
          <w:w w:val="105"/>
          <w:position w:val="-9"/>
          <w:sz w:val="16"/>
          <w:szCs w:val="16"/>
        </w:rPr>
        <w:t>4K</w:t>
      </w:r>
      <w:r>
        <w:rPr>
          <w:rFonts w:ascii="宋体" w:hAnsi="宋体" w:cs="宋体" w:eastAsia="宋体" w:hint="default"/>
          <w:spacing w:val="-42"/>
          <w:w w:val="105"/>
          <w:position w:val="-9"/>
          <w:sz w:val="16"/>
          <w:szCs w:val="16"/>
        </w:rPr>
        <w:t> </w:t>
      </w:r>
      <w:r>
        <w:rPr>
          <w:rFonts w:ascii="宋体" w:hAnsi="宋体" w:cs="宋体" w:eastAsia="宋体" w:hint="default"/>
          <w:w w:val="105"/>
          <w:position w:val="-9"/>
          <w:sz w:val="16"/>
          <w:szCs w:val="16"/>
        </w:rPr>
        <w:t>视频</w:t>
        <w:tab/>
      </w:r>
      <w:r>
        <w:rPr>
          <w:rFonts w:ascii="宋体" w:hAnsi="宋体" w:cs="宋体" w:eastAsia="宋体" w:hint="default"/>
          <w:spacing w:val="2"/>
          <w:sz w:val="16"/>
          <w:szCs w:val="16"/>
        </w:rPr>
        <w:t>输出图像分辨率达到 </w:t>
      </w:r>
      <w:r>
        <w:rPr>
          <w:rFonts w:ascii="宋体" w:hAnsi="宋体" w:cs="宋体" w:eastAsia="宋体" w:hint="default"/>
          <w:sz w:val="16"/>
          <w:szCs w:val="16"/>
        </w:rPr>
        <w:t>4K（3840*2160）标准的视频，4K</w:t>
      </w:r>
      <w:r>
        <w:rPr>
          <w:rFonts w:ascii="宋体" w:hAnsi="宋体" w:cs="宋体" w:eastAsia="宋体" w:hint="default"/>
          <w:spacing w:val="59"/>
          <w:sz w:val="16"/>
          <w:szCs w:val="16"/>
        </w:rPr>
        <w:t> </w:t>
      </w:r>
      <w:r>
        <w:rPr>
          <w:rFonts w:ascii="宋体" w:hAnsi="宋体" w:cs="宋体" w:eastAsia="宋体" w:hint="default"/>
          <w:spacing w:val="3"/>
          <w:sz w:val="16"/>
          <w:szCs w:val="16"/>
        </w:rPr>
        <w:t>视频的图像质量及清晰度</w:t>
      </w:r>
      <w:r>
        <w:rPr>
          <w:rFonts w:ascii="宋体" w:hAnsi="宋体" w:cs="宋体" w:eastAsia="宋体" w:hint="default"/>
          <w:spacing w:val="3"/>
          <w:sz w:val="16"/>
          <w:szCs w:val="16"/>
        </w:rPr>
        <w:t> </w:t>
      </w:r>
      <w:r>
        <w:rPr>
          <w:rFonts w:ascii="宋体" w:hAnsi="宋体" w:cs="宋体" w:eastAsia="宋体" w:hint="default"/>
          <w:w w:val="105"/>
          <w:sz w:val="16"/>
          <w:szCs w:val="16"/>
        </w:rPr>
        <w:t>更高。</w:t>
      </w:r>
    </w:p>
    <w:p>
      <w:pPr>
        <w:tabs>
          <w:tab w:pos="4528" w:val="left" w:leader="none"/>
        </w:tabs>
        <w:spacing w:before="72"/>
        <w:ind w:left="2862" w:right="764" w:firstLine="0"/>
        <w:jc w:val="left"/>
        <w:rPr>
          <w:rFonts w:ascii="宋体" w:hAnsi="宋体" w:cs="宋体" w:eastAsia="宋体" w:hint="default"/>
          <w:sz w:val="16"/>
          <w:szCs w:val="16"/>
        </w:rPr>
      </w:pPr>
      <w:r>
        <w:rPr>
          <w:rFonts w:ascii="宋体" w:hAnsi="宋体" w:cs="宋体" w:eastAsia="宋体" w:hint="default"/>
          <w:w w:val="115"/>
          <w:sz w:val="16"/>
          <w:szCs w:val="16"/>
        </w:rPr>
        <w:t>5G</w:t>
        <w:tab/>
      </w:r>
      <w:r>
        <w:rPr>
          <w:rFonts w:ascii="宋体" w:hAnsi="宋体" w:cs="宋体" w:eastAsia="宋体" w:hint="default"/>
          <w:sz w:val="16"/>
          <w:szCs w:val="16"/>
        </w:rPr>
        <w:t>第五代移动通信技术，是 4G</w:t>
      </w:r>
      <w:r>
        <w:rPr>
          <w:rFonts w:ascii="宋体" w:hAnsi="宋体" w:cs="宋体" w:eastAsia="宋体" w:hint="default"/>
          <w:spacing w:val="-38"/>
          <w:sz w:val="16"/>
          <w:szCs w:val="16"/>
        </w:rPr>
        <w:t> </w:t>
      </w:r>
      <w:r>
        <w:rPr>
          <w:rFonts w:ascii="宋体" w:hAnsi="宋体" w:cs="宋体" w:eastAsia="宋体" w:hint="default"/>
          <w:sz w:val="16"/>
          <w:szCs w:val="16"/>
        </w:rPr>
        <w:t>的延伸。</w:t>
      </w:r>
    </w:p>
    <w:p>
      <w:pPr>
        <w:tabs>
          <w:tab w:pos="4528" w:val="left" w:leader="none"/>
        </w:tabs>
        <w:spacing w:before="64"/>
        <w:ind w:left="2862" w:right="764" w:firstLine="0"/>
        <w:jc w:val="left"/>
        <w:rPr>
          <w:rFonts w:ascii="宋体" w:hAnsi="宋体" w:cs="宋体" w:eastAsia="宋体" w:hint="default"/>
          <w:sz w:val="16"/>
          <w:szCs w:val="16"/>
        </w:rPr>
      </w:pPr>
      <w:r>
        <w:rPr>
          <w:rFonts w:ascii="宋体" w:hAnsi="宋体" w:cs="宋体" w:eastAsia="宋体" w:hint="default"/>
          <w:w w:val="115"/>
          <w:sz w:val="16"/>
          <w:szCs w:val="16"/>
        </w:rPr>
        <w:t>ARPU</w:t>
        <w:tab/>
        <w:t>平均每个用户每月贡献的业务收入。</w:t>
      </w:r>
    </w:p>
    <w:p>
      <w:pPr>
        <w:tabs>
          <w:tab w:pos="4528" w:val="left" w:leader="none"/>
        </w:tabs>
        <w:spacing w:before="64"/>
        <w:ind w:left="2862" w:right="764" w:firstLine="0"/>
        <w:jc w:val="left"/>
        <w:rPr>
          <w:rFonts w:ascii="宋体" w:hAnsi="宋体" w:cs="宋体" w:eastAsia="宋体" w:hint="default"/>
          <w:sz w:val="16"/>
          <w:szCs w:val="16"/>
        </w:rPr>
      </w:pPr>
      <w:r>
        <w:rPr>
          <w:rFonts w:ascii="宋体" w:hAnsi="宋体" w:cs="宋体" w:eastAsia="宋体" w:hint="default"/>
          <w:w w:val="105"/>
          <w:sz w:val="16"/>
          <w:szCs w:val="16"/>
        </w:rPr>
        <w:t>cBSS</w:t>
        <w:tab/>
      </w:r>
      <w:r>
        <w:rPr>
          <w:rFonts w:ascii="宋体" w:hAnsi="宋体" w:cs="宋体" w:eastAsia="宋体" w:hint="default"/>
          <w:sz w:val="16"/>
          <w:szCs w:val="16"/>
        </w:rPr>
        <w:t>Central</w:t>
      </w:r>
      <w:r>
        <w:rPr>
          <w:rFonts w:ascii="宋体" w:hAnsi="宋体" w:cs="宋体" w:eastAsia="宋体" w:hint="default"/>
          <w:spacing w:val="-32"/>
          <w:sz w:val="16"/>
          <w:szCs w:val="16"/>
        </w:rPr>
        <w:t> </w:t>
      </w:r>
      <w:r>
        <w:rPr>
          <w:rFonts w:ascii="宋体" w:hAnsi="宋体" w:cs="宋体" w:eastAsia="宋体" w:hint="default"/>
          <w:sz w:val="16"/>
          <w:szCs w:val="16"/>
        </w:rPr>
        <w:t>Business</w:t>
      </w:r>
      <w:r>
        <w:rPr>
          <w:rFonts w:ascii="宋体" w:hAnsi="宋体" w:cs="宋体" w:eastAsia="宋体" w:hint="default"/>
          <w:spacing w:val="-32"/>
          <w:sz w:val="16"/>
          <w:szCs w:val="16"/>
        </w:rPr>
        <w:t> </w:t>
      </w:r>
      <w:r>
        <w:rPr>
          <w:rFonts w:ascii="宋体" w:hAnsi="宋体" w:cs="宋体" w:eastAsia="宋体" w:hint="default"/>
          <w:sz w:val="16"/>
          <w:szCs w:val="16"/>
        </w:rPr>
        <w:t>Support</w:t>
      </w:r>
      <w:r>
        <w:rPr>
          <w:rFonts w:ascii="宋体" w:hAnsi="宋体" w:cs="宋体" w:eastAsia="宋体" w:hint="default"/>
          <w:spacing w:val="-32"/>
          <w:sz w:val="16"/>
          <w:szCs w:val="16"/>
        </w:rPr>
        <w:t> </w:t>
      </w:r>
      <w:r>
        <w:rPr>
          <w:rFonts w:ascii="宋体" w:hAnsi="宋体" w:cs="宋体" w:eastAsia="宋体" w:hint="default"/>
          <w:sz w:val="16"/>
          <w:szCs w:val="16"/>
        </w:rPr>
        <w:t>System，集中业务支撑系统。</w:t>
      </w:r>
    </w:p>
    <w:p>
      <w:pPr>
        <w:tabs>
          <w:tab w:pos="4528" w:val="left" w:leader="none"/>
        </w:tabs>
        <w:spacing w:line="314" w:lineRule="auto" w:before="64"/>
        <w:ind w:left="4528" w:right="1557" w:hanging="1666"/>
        <w:jc w:val="left"/>
        <w:rPr>
          <w:rFonts w:ascii="宋体" w:hAnsi="宋体" w:cs="宋体" w:eastAsia="宋体" w:hint="default"/>
          <w:sz w:val="16"/>
          <w:szCs w:val="16"/>
        </w:rPr>
      </w:pPr>
      <w:r>
        <w:rPr>
          <w:rFonts w:ascii="宋体" w:hAnsi="宋体" w:cs="宋体" w:eastAsia="宋体" w:hint="default"/>
          <w:w w:val="120"/>
          <w:sz w:val="16"/>
          <w:szCs w:val="16"/>
        </w:rPr>
        <w:t>DOU</w:t>
        <w:tab/>
      </w:r>
      <w:r>
        <w:rPr>
          <w:rFonts w:ascii="宋体" w:hAnsi="宋体" w:cs="宋体" w:eastAsia="宋体" w:hint="default"/>
          <w:w w:val="110"/>
          <w:sz w:val="16"/>
          <w:szCs w:val="16"/>
        </w:rPr>
        <w:t>平均每个用户每月使用的上网流量。</w:t>
      </w:r>
      <w:r>
        <w:rPr>
          <w:rFonts w:ascii="宋体" w:hAnsi="宋体" w:cs="宋体" w:eastAsia="宋体" w:hint="default"/>
          <w:sz w:val="16"/>
          <w:szCs w:val="16"/>
        </w:rPr>
        <w:t> 反映了加回财务费用、所得税、营业成本及管理费用中的折旧及摊销以及减去投资</w:t>
      </w:r>
    </w:p>
    <w:p>
      <w:pPr>
        <w:spacing w:after="0" w:line="314" w:lineRule="auto"/>
        <w:jc w:val="left"/>
        <w:rPr>
          <w:rFonts w:ascii="宋体" w:hAnsi="宋体" w:cs="宋体" w:eastAsia="宋体" w:hint="default"/>
          <w:sz w:val="16"/>
          <w:szCs w:val="16"/>
        </w:rPr>
        <w:sectPr>
          <w:type w:val="continuous"/>
          <w:pgSz w:w="11910" w:h="16160"/>
          <w:pgMar w:top="1520" w:bottom="280" w:left="0" w:right="0"/>
        </w:sectPr>
      </w:pPr>
    </w:p>
    <w:p>
      <w:pPr>
        <w:spacing w:before="41"/>
        <w:ind w:left="0" w:right="0" w:firstLine="0"/>
        <w:jc w:val="right"/>
        <w:rPr>
          <w:rFonts w:ascii="宋体" w:hAnsi="宋体" w:cs="宋体" w:eastAsia="宋体" w:hint="default"/>
          <w:sz w:val="16"/>
          <w:szCs w:val="16"/>
        </w:rPr>
      </w:pPr>
      <w:r>
        <w:rPr>
          <w:rFonts w:ascii="宋体"/>
          <w:w w:val="115"/>
          <w:sz w:val="16"/>
        </w:rPr>
        <w:t>EBITDA</w:t>
      </w:r>
      <w:r>
        <w:rPr>
          <w:rFonts w:ascii="宋体"/>
          <w:sz w:val="16"/>
        </w:rPr>
      </w:r>
    </w:p>
    <w:p>
      <w:pPr>
        <w:spacing w:line="146" w:lineRule="exact" w:before="0"/>
        <w:ind w:left="1067" w:right="837" w:firstLine="0"/>
        <w:jc w:val="left"/>
        <w:rPr>
          <w:rFonts w:ascii="宋体" w:hAnsi="宋体" w:cs="宋体" w:eastAsia="宋体" w:hint="default"/>
          <w:sz w:val="16"/>
          <w:szCs w:val="16"/>
        </w:rPr>
      </w:pPr>
      <w:r>
        <w:rPr/>
        <w:br w:type="column"/>
      </w:r>
      <w:r>
        <w:rPr>
          <w:rFonts w:ascii="宋体" w:hAnsi="宋体" w:cs="宋体" w:eastAsia="宋体" w:hint="default"/>
          <w:sz w:val="16"/>
          <w:szCs w:val="16"/>
        </w:rPr>
        <w:t>收益、公允价值变动净收益、其他收益、营业外净收入的净利润。由于电信业是资</w:t>
      </w:r>
    </w:p>
    <w:p>
      <w:pPr>
        <w:spacing w:line="200" w:lineRule="exact" w:before="22"/>
        <w:ind w:left="1067" w:right="837" w:firstLine="0"/>
        <w:jc w:val="left"/>
        <w:rPr>
          <w:rFonts w:ascii="宋体" w:hAnsi="宋体" w:cs="宋体" w:eastAsia="宋体" w:hint="default"/>
          <w:sz w:val="16"/>
          <w:szCs w:val="16"/>
        </w:rPr>
      </w:pPr>
      <w:r>
        <w:rPr>
          <w:rFonts w:ascii="宋体" w:hAnsi="宋体" w:cs="宋体" w:eastAsia="宋体" w:hint="default"/>
          <w:sz w:val="16"/>
          <w:szCs w:val="16"/>
        </w:rPr>
        <w:t>本密集型产业，资本开支和财务费用可能对具有类似经营成果的公司年度盈利产生</w:t>
      </w:r>
      <w:r>
        <w:rPr>
          <w:rFonts w:ascii="宋体" w:hAnsi="宋体" w:cs="宋体" w:eastAsia="宋体" w:hint="default"/>
          <w:spacing w:val="-46"/>
          <w:sz w:val="16"/>
          <w:szCs w:val="16"/>
        </w:rPr>
        <w:t> </w:t>
      </w:r>
      <w:r>
        <w:rPr>
          <w:rFonts w:ascii="宋体" w:hAnsi="宋体" w:cs="宋体" w:eastAsia="宋体" w:hint="default"/>
          <w:spacing w:val="-46"/>
          <w:sz w:val="16"/>
          <w:szCs w:val="16"/>
        </w:rPr>
      </w:r>
      <w:r>
        <w:rPr>
          <w:rFonts w:ascii="宋体" w:hAnsi="宋体" w:cs="宋体" w:eastAsia="宋体" w:hint="default"/>
          <w:sz w:val="16"/>
          <w:szCs w:val="16"/>
        </w:rPr>
        <w:t>重大影响。</w:t>
      </w:r>
    </w:p>
    <w:p>
      <w:pPr>
        <w:spacing w:after="0" w:line="200" w:lineRule="exact"/>
        <w:jc w:val="left"/>
        <w:rPr>
          <w:rFonts w:ascii="宋体" w:hAnsi="宋体" w:cs="宋体" w:eastAsia="宋体" w:hint="default"/>
          <w:sz w:val="16"/>
          <w:szCs w:val="16"/>
        </w:rPr>
        <w:sectPr>
          <w:type w:val="continuous"/>
          <w:pgSz w:w="11910" w:h="16160"/>
          <w:pgMar w:top="1520" w:bottom="280" w:left="0" w:right="0"/>
          <w:cols w:num="2" w:equalWidth="0">
            <w:col w:w="3422" w:space="40"/>
            <w:col w:w="8448"/>
          </w:cols>
        </w:sectPr>
      </w:pPr>
    </w:p>
    <w:p>
      <w:pPr>
        <w:tabs>
          <w:tab w:pos="4528" w:val="left" w:leader="none"/>
        </w:tabs>
        <w:spacing w:line="314" w:lineRule="auto" w:before="46"/>
        <w:ind w:left="4528" w:right="1557" w:hanging="1666"/>
        <w:jc w:val="left"/>
        <w:rPr>
          <w:rFonts w:ascii="宋体" w:hAnsi="宋体" w:cs="宋体" w:eastAsia="宋体" w:hint="default"/>
          <w:sz w:val="16"/>
          <w:szCs w:val="16"/>
        </w:rPr>
      </w:pPr>
      <w:r>
        <w:rPr>
          <w:rFonts w:ascii="宋体" w:hAnsi="宋体" w:cs="宋体" w:eastAsia="宋体" w:hint="default"/>
          <w:w w:val="105"/>
          <w:sz w:val="16"/>
          <w:szCs w:val="16"/>
        </w:rPr>
        <w:t>FTTH</w:t>
        <w:tab/>
        <w:t>采用光纤到户的宽带接入方式。</w:t>
      </w:r>
      <w:r>
        <w:rPr>
          <w:rFonts w:ascii="宋体" w:hAnsi="宋体" w:cs="宋体" w:eastAsia="宋体" w:hint="default"/>
          <w:sz w:val="16"/>
          <w:szCs w:val="16"/>
        </w:rPr>
        <w:t> 新一代的光纤用户接入网，用于连接电信运营商和终端用户。根据光纤到用户的距</w:t>
      </w:r>
    </w:p>
    <w:p>
      <w:pPr>
        <w:spacing w:after="0" w:line="314" w:lineRule="auto"/>
        <w:jc w:val="left"/>
        <w:rPr>
          <w:rFonts w:ascii="宋体" w:hAnsi="宋体" w:cs="宋体" w:eastAsia="宋体" w:hint="default"/>
          <w:sz w:val="16"/>
          <w:szCs w:val="16"/>
        </w:rPr>
        <w:sectPr>
          <w:type w:val="continuous"/>
          <w:pgSz w:w="11910" w:h="16160"/>
          <w:pgMar w:top="1520" w:bottom="280" w:left="0" w:right="0"/>
        </w:sectPr>
      </w:pPr>
    </w:p>
    <w:p>
      <w:pPr>
        <w:spacing w:line="150" w:lineRule="exact" w:before="0"/>
        <w:ind w:left="2862" w:right="-8" w:firstLine="0"/>
        <w:jc w:val="left"/>
        <w:rPr>
          <w:rFonts w:ascii="宋体" w:hAnsi="宋体" w:cs="宋体" w:eastAsia="宋体" w:hint="default"/>
          <w:sz w:val="16"/>
          <w:szCs w:val="16"/>
        </w:rPr>
      </w:pPr>
      <w:r>
        <w:rPr>
          <w:rFonts w:ascii="宋体"/>
          <w:w w:val="110"/>
          <w:sz w:val="16"/>
        </w:rPr>
        <w:t>FTTX</w:t>
      </w:r>
      <w:r>
        <w:rPr>
          <w:rFonts w:ascii="宋体"/>
          <w:sz w:val="16"/>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1"/>
          <w:szCs w:val="11"/>
        </w:rPr>
      </w:pPr>
    </w:p>
    <w:p>
      <w:pPr>
        <w:spacing w:before="0"/>
        <w:ind w:left="0" w:right="122" w:firstLine="0"/>
        <w:jc w:val="right"/>
        <w:rPr>
          <w:rFonts w:ascii="宋体" w:hAnsi="宋体" w:cs="宋体" w:eastAsia="宋体" w:hint="default"/>
          <w:sz w:val="16"/>
          <w:szCs w:val="16"/>
        </w:rPr>
      </w:pPr>
      <w:r>
        <w:rPr>
          <w:rFonts w:ascii="宋体"/>
          <w:w w:val="95"/>
          <w:sz w:val="16"/>
        </w:rPr>
        <w:t>ICT</w:t>
      </w:r>
      <w:r>
        <w:rPr>
          <w:rFonts w:ascii="宋体"/>
          <w:sz w:val="16"/>
        </w:rPr>
      </w:r>
    </w:p>
    <w:p>
      <w:pPr>
        <w:spacing w:line="146" w:lineRule="exact" w:before="0"/>
        <w:ind w:left="1261" w:right="0" w:firstLine="0"/>
        <w:jc w:val="both"/>
        <w:rPr>
          <w:rFonts w:ascii="宋体" w:hAnsi="宋体" w:cs="宋体" w:eastAsia="宋体" w:hint="default"/>
          <w:sz w:val="16"/>
          <w:szCs w:val="16"/>
        </w:rPr>
      </w:pPr>
      <w:r>
        <w:rPr>
          <w:spacing w:val="-4"/>
        </w:rPr>
        <w:br w:type="column"/>
      </w:r>
      <w:r>
        <w:rPr>
          <w:rFonts w:ascii="宋体" w:hAnsi="宋体" w:cs="宋体" w:eastAsia="宋体" w:hint="default"/>
          <w:spacing w:val="-4"/>
          <w:sz w:val="16"/>
          <w:szCs w:val="16"/>
        </w:rPr>
        <w:t>离来分类，FTTX</w:t>
      </w:r>
      <w:r>
        <w:rPr>
          <w:rFonts w:ascii="宋体" w:hAnsi="宋体" w:cs="宋体" w:eastAsia="宋体" w:hint="default"/>
          <w:sz w:val="16"/>
          <w:szCs w:val="16"/>
        </w:rPr>
        <w:t>  可分成</w:t>
      </w:r>
      <w:r>
        <w:rPr>
          <w:rFonts w:ascii="宋体" w:hAnsi="宋体" w:cs="宋体" w:eastAsia="宋体" w:hint="default"/>
          <w:spacing w:val="46"/>
          <w:sz w:val="16"/>
          <w:szCs w:val="16"/>
        </w:rPr>
        <w:t> </w:t>
      </w:r>
      <w:r>
        <w:rPr>
          <w:rFonts w:ascii="宋体" w:hAnsi="宋体" w:cs="宋体" w:eastAsia="宋体" w:hint="default"/>
          <w:spacing w:val="-6"/>
          <w:sz w:val="16"/>
          <w:szCs w:val="16"/>
        </w:rPr>
        <w:t>FTTCab（光纤到交换箱）、FTTC（光纤到路边）、FTTB（光</w:t>
      </w:r>
    </w:p>
    <w:p>
      <w:pPr>
        <w:spacing w:line="205" w:lineRule="exact" w:before="0"/>
        <w:ind w:left="1261" w:right="0" w:firstLine="0"/>
        <w:jc w:val="both"/>
        <w:rPr>
          <w:rFonts w:ascii="宋体" w:hAnsi="宋体" w:cs="宋体" w:eastAsia="宋体" w:hint="default"/>
          <w:sz w:val="16"/>
          <w:szCs w:val="16"/>
        </w:rPr>
      </w:pPr>
      <w:r>
        <w:rPr>
          <w:rFonts w:ascii="宋体" w:hAnsi="宋体" w:cs="宋体" w:eastAsia="宋体" w:hint="default"/>
          <w:sz w:val="16"/>
          <w:szCs w:val="16"/>
        </w:rPr>
        <w:t>纤到大楼）及</w:t>
      </w:r>
      <w:r>
        <w:rPr>
          <w:rFonts w:ascii="宋体" w:hAnsi="宋体" w:cs="宋体" w:eastAsia="宋体" w:hint="default"/>
          <w:spacing w:val="21"/>
          <w:sz w:val="16"/>
          <w:szCs w:val="16"/>
        </w:rPr>
        <w:t> </w:t>
      </w:r>
      <w:r>
        <w:rPr>
          <w:rFonts w:ascii="宋体" w:hAnsi="宋体" w:cs="宋体" w:eastAsia="宋体" w:hint="default"/>
          <w:sz w:val="16"/>
          <w:szCs w:val="16"/>
        </w:rPr>
        <w:t>FTTH（光纤到户）等服务形态。</w:t>
      </w:r>
    </w:p>
    <w:p>
      <w:pPr>
        <w:spacing w:line="200" w:lineRule="exact" w:before="91"/>
        <w:ind w:left="1251" w:right="1550" w:firstLine="0"/>
        <w:jc w:val="both"/>
        <w:rPr>
          <w:rFonts w:ascii="宋体" w:hAnsi="宋体" w:cs="宋体" w:eastAsia="宋体" w:hint="default"/>
          <w:sz w:val="16"/>
          <w:szCs w:val="16"/>
        </w:rPr>
      </w:pPr>
      <w:r>
        <w:rPr>
          <w:rFonts w:ascii="宋体" w:hAnsi="宋体" w:cs="宋体" w:eastAsia="宋体" w:hint="default"/>
          <w:sz w:val="16"/>
          <w:szCs w:val="16"/>
        </w:rPr>
        <w:t>Information</w:t>
      </w:r>
      <w:r>
        <w:rPr>
          <w:rFonts w:ascii="宋体" w:hAnsi="宋体" w:cs="宋体" w:eastAsia="宋体" w:hint="default"/>
          <w:spacing w:val="-11"/>
          <w:sz w:val="16"/>
          <w:szCs w:val="16"/>
        </w:rPr>
        <w:t> </w:t>
      </w:r>
      <w:r>
        <w:rPr>
          <w:rFonts w:ascii="宋体" w:hAnsi="宋体" w:cs="宋体" w:eastAsia="宋体" w:hint="default"/>
          <w:sz w:val="16"/>
          <w:szCs w:val="16"/>
        </w:rPr>
        <w:t>Communications</w:t>
      </w:r>
      <w:r>
        <w:rPr>
          <w:rFonts w:ascii="宋体" w:hAnsi="宋体" w:cs="宋体" w:eastAsia="宋体" w:hint="default"/>
          <w:spacing w:val="-11"/>
          <w:sz w:val="16"/>
          <w:szCs w:val="16"/>
        </w:rPr>
        <w:t> </w:t>
      </w:r>
      <w:r>
        <w:rPr>
          <w:rFonts w:ascii="宋体" w:hAnsi="宋体" w:cs="宋体" w:eastAsia="宋体" w:hint="default"/>
          <w:sz w:val="16"/>
          <w:szCs w:val="16"/>
        </w:rPr>
        <w:t>Technology，是信息技术与通信技术相融合而形成的</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pacing w:val="1"/>
          <w:sz w:val="16"/>
          <w:szCs w:val="16"/>
        </w:rPr>
        <w:t>一个新的概念和新的技术领域。目前更多地把</w:t>
      </w:r>
      <w:r>
        <w:rPr>
          <w:rFonts w:ascii="宋体" w:hAnsi="宋体" w:cs="宋体" w:eastAsia="宋体" w:hint="default"/>
          <w:spacing w:val="-29"/>
          <w:sz w:val="16"/>
          <w:szCs w:val="16"/>
        </w:rPr>
        <w:t> </w:t>
      </w:r>
      <w:r>
        <w:rPr>
          <w:rFonts w:ascii="宋体" w:hAnsi="宋体" w:cs="宋体" w:eastAsia="宋体" w:hint="default"/>
          <w:w w:val="99"/>
          <w:sz w:val="16"/>
          <w:szCs w:val="16"/>
        </w:rPr>
        <w:t>ICT</w:t>
      </w:r>
      <w:r>
        <w:rPr>
          <w:rFonts w:ascii="宋体" w:hAnsi="宋体" w:cs="宋体" w:eastAsia="宋体" w:hint="default"/>
          <w:spacing w:val="-29"/>
          <w:w w:val="99"/>
          <w:sz w:val="16"/>
          <w:szCs w:val="16"/>
        </w:rPr>
        <w:t> </w:t>
      </w:r>
      <w:r>
        <w:rPr>
          <w:rFonts w:ascii="宋体" w:hAnsi="宋体" w:cs="宋体" w:eastAsia="宋体" w:hint="default"/>
          <w:spacing w:val="1"/>
          <w:sz w:val="16"/>
          <w:szCs w:val="16"/>
        </w:rPr>
        <w:t>作为一种向客户提供的服务，这</w:t>
      </w:r>
      <w:r>
        <w:rPr>
          <w:rFonts w:ascii="宋体" w:hAnsi="宋体" w:cs="宋体" w:eastAsia="宋体" w:hint="default"/>
          <w:spacing w:val="-75"/>
          <w:sz w:val="16"/>
          <w:szCs w:val="16"/>
        </w:rPr>
        <w:t> </w:t>
      </w:r>
      <w:r>
        <w:rPr>
          <w:rFonts w:ascii="宋体" w:hAnsi="宋体" w:cs="宋体" w:eastAsia="宋体" w:hint="default"/>
          <w:spacing w:val="-75"/>
          <w:sz w:val="16"/>
          <w:szCs w:val="16"/>
        </w:rPr>
      </w:r>
      <w:r>
        <w:rPr>
          <w:rFonts w:ascii="宋体" w:hAnsi="宋体" w:cs="宋体" w:eastAsia="宋体" w:hint="default"/>
          <w:spacing w:val="3"/>
          <w:sz w:val="16"/>
          <w:szCs w:val="16"/>
        </w:rPr>
        <w:t>种服务是</w:t>
      </w:r>
      <w:r>
        <w:rPr>
          <w:rFonts w:ascii="宋体" w:hAnsi="宋体" w:cs="宋体" w:eastAsia="宋体" w:hint="default"/>
          <w:spacing w:val="-41"/>
          <w:sz w:val="16"/>
          <w:szCs w:val="16"/>
        </w:rPr>
        <w:t> </w:t>
      </w:r>
      <w:r>
        <w:rPr>
          <w:rFonts w:ascii="宋体" w:hAnsi="宋体" w:cs="宋体" w:eastAsia="宋体" w:hint="default"/>
          <w:spacing w:val="2"/>
          <w:w w:val="95"/>
          <w:sz w:val="16"/>
          <w:szCs w:val="16"/>
        </w:rPr>
        <w:t>IT（信息业）与</w:t>
      </w:r>
      <w:r>
        <w:rPr>
          <w:rFonts w:ascii="宋体" w:hAnsi="宋体" w:cs="宋体" w:eastAsia="宋体" w:hint="default"/>
          <w:spacing w:val="-37"/>
          <w:w w:val="95"/>
          <w:sz w:val="16"/>
          <w:szCs w:val="16"/>
        </w:rPr>
        <w:t> </w:t>
      </w:r>
      <w:r>
        <w:rPr>
          <w:rFonts w:ascii="宋体" w:hAnsi="宋体" w:cs="宋体" w:eastAsia="宋体" w:hint="default"/>
          <w:spacing w:val="4"/>
          <w:w w:val="101"/>
          <w:sz w:val="16"/>
          <w:szCs w:val="16"/>
        </w:rPr>
        <w:t>CT（通信业）两种服务的结合和交融，通信业、电子信</w:t>
      </w:r>
      <w:r>
        <w:rPr>
          <w:rFonts w:ascii="宋体" w:hAnsi="宋体" w:cs="宋体" w:eastAsia="宋体" w:hint="default"/>
          <w:spacing w:val="5"/>
          <w:sz w:val="16"/>
          <w:szCs w:val="16"/>
        </w:rPr>
        <w:t> </w:t>
      </w:r>
      <w:r>
        <w:rPr>
          <w:rFonts w:ascii="宋体" w:hAnsi="宋体" w:cs="宋体" w:eastAsia="宋体" w:hint="default"/>
          <w:sz w:val="16"/>
          <w:szCs w:val="16"/>
        </w:rPr>
        <w:t>息产业、互联网、传媒业都将融合在</w:t>
      </w:r>
      <w:r>
        <w:rPr>
          <w:rFonts w:ascii="宋体" w:hAnsi="宋体" w:cs="宋体" w:eastAsia="宋体" w:hint="default"/>
          <w:spacing w:val="-41"/>
          <w:sz w:val="16"/>
          <w:szCs w:val="16"/>
        </w:rPr>
        <w:t> </w:t>
      </w:r>
      <w:r>
        <w:rPr>
          <w:rFonts w:ascii="宋体" w:hAnsi="宋体" w:cs="宋体" w:eastAsia="宋体" w:hint="default"/>
          <w:sz w:val="16"/>
          <w:szCs w:val="16"/>
        </w:rPr>
        <w:t>ICT</w:t>
      </w:r>
      <w:r>
        <w:rPr>
          <w:rFonts w:ascii="宋体" w:hAnsi="宋体" w:cs="宋体" w:eastAsia="宋体" w:hint="default"/>
          <w:spacing w:val="-41"/>
          <w:sz w:val="16"/>
          <w:szCs w:val="16"/>
        </w:rPr>
        <w:t> </w:t>
      </w:r>
      <w:r>
        <w:rPr>
          <w:rFonts w:ascii="宋体" w:hAnsi="宋体" w:cs="宋体" w:eastAsia="宋体" w:hint="default"/>
          <w:sz w:val="16"/>
          <w:szCs w:val="16"/>
        </w:rPr>
        <w:t>的范围内。</w:t>
      </w:r>
    </w:p>
    <w:p>
      <w:pPr>
        <w:spacing w:after="0" w:line="200" w:lineRule="exact"/>
        <w:jc w:val="both"/>
        <w:rPr>
          <w:rFonts w:ascii="宋体" w:hAnsi="宋体" w:cs="宋体" w:eastAsia="宋体" w:hint="default"/>
          <w:sz w:val="16"/>
          <w:szCs w:val="16"/>
        </w:rPr>
        <w:sectPr>
          <w:type w:val="continuous"/>
          <w:pgSz w:w="11910" w:h="16160"/>
          <w:pgMar w:top="1520" w:bottom="280" w:left="0" w:right="0"/>
          <w:cols w:num="2" w:equalWidth="0">
            <w:col w:w="3227" w:space="40"/>
            <w:col w:w="8643"/>
          </w:cols>
        </w:sectPr>
      </w:pPr>
    </w:p>
    <w:p>
      <w:pPr>
        <w:spacing w:line="240" w:lineRule="auto" w:before="13"/>
        <w:rPr>
          <w:rFonts w:ascii="宋体" w:hAnsi="宋体" w:cs="宋体" w:eastAsia="宋体" w:hint="default"/>
          <w:sz w:val="7"/>
          <w:szCs w:val="7"/>
        </w:rPr>
      </w:pPr>
    </w:p>
    <w:p>
      <w:pPr>
        <w:spacing w:line="20" w:lineRule="exact"/>
        <w:ind w:left="2772" w:right="0" w:firstLine="0"/>
        <w:rPr>
          <w:rFonts w:ascii="宋体" w:hAnsi="宋体" w:cs="宋体" w:eastAsia="宋体" w:hint="default"/>
          <w:sz w:val="2"/>
          <w:szCs w:val="2"/>
        </w:rPr>
      </w:pPr>
      <w:r>
        <w:rPr>
          <w:rFonts w:ascii="宋体" w:hAnsi="宋体" w:cs="宋体" w:eastAsia="宋体" w:hint="default"/>
          <w:sz w:val="2"/>
          <w:szCs w:val="2"/>
        </w:rPr>
        <w:pict>
          <v:group style="width:383.2pt;height:.5pt;mso-position-horizontal-relative:char;mso-position-vertical-relative:line" coordorigin="0,0" coordsize="7664,10">
            <v:group style="position:absolute;left:5;top:5;width:1645;height:2" coordorigin="5,5" coordsize="1645,2">
              <v:shape style="position:absolute;left:5;top:5;width:1645;height:2" coordorigin="5,5" coordsize="1645,0" path="m5,5l1649,5e" filled="false" stroked="true" strokeweight=".5pt" strokecolor="#000000">
                <v:path arrowok="t"/>
              </v:shape>
            </v:group>
            <v:group style="position:absolute;left:1649;top:5;width:6010;height:2" coordorigin="1649,5" coordsize="6010,2">
              <v:shape style="position:absolute;left:1649;top:5;width:6010;height:2" coordorigin="1649,5" coordsize="6010,0" path="m1649,5l7659,5e" filled="false" stroked="true" strokeweight=".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160"/>
          <w:pgMar w:top="1520" w:bottom="2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41"/>
        <w:ind w:left="1559" w:right="764" w:firstLine="0"/>
        <w:jc w:val="left"/>
        <w:rPr>
          <w:rFonts w:ascii="宋体" w:hAnsi="宋体" w:cs="宋体" w:eastAsia="宋体" w:hint="default"/>
          <w:sz w:val="16"/>
          <w:szCs w:val="16"/>
        </w:rPr>
      </w:pPr>
      <w:r>
        <w:rPr/>
        <w:pict>
          <v:group style="position:absolute;margin-left:-.750021pt;margin-top:-167.72728pt;width:596.8pt;height:111.8pt;mso-position-horizontal-relative:page;mso-position-vertical-relative:paragraph;z-index:1960" coordorigin="-15,-3355" coordsize="11936,2236">
            <v:group style="position:absolute;left:0;top:-3340;width:1108;height:262" coordorigin="0,-3340" coordsize="1108,262">
              <v:shape style="position:absolute;left:0;top:-3340;width:1108;height:262" coordorigin="0,-3340" coordsize="1108,262" path="m1108,-3340l0,-3078e" filled="false" stroked="true" strokeweight=".25pt" strokecolor="#8c8f90">
                <v:path arrowok="t"/>
              </v:shape>
            </v:group>
            <v:group style="position:absolute;left:0;top:-3340;width:775;height:189" coordorigin="0,-3340" coordsize="775,189">
              <v:shape style="position:absolute;left:0;top:-3340;width:775;height:189" coordorigin="0,-3340" coordsize="775,189" path="m0,-3151l774,-3340e" filled="false" stroked="true" strokeweight="1.0pt" strokecolor="#8c8f90">
                <v:path arrowok="t"/>
              </v:shape>
            </v:group>
            <v:group style="position:absolute;left:0;top:-3072;width:6501;height:897" coordorigin="0,-3072" coordsize="6501,897">
              <v:shape style="position:absolute;left:0;top:-3072;width:6501;height:897" coordorigin="0,-3072" coordsize="6501,897" path="m0,-2175l6500,-3072e" filled="false" stroked="true" strokeweight="1.5pt" strokecolor="#8c8f90">
                <v:path arrowok="t"/>
              </v:shape>
            </v:group>
            <v:group style="position:absolute;left:0;top:-3340;width:6409;height:999" coordorigin="0,-3340" coordsize="6409,999">
              <v:shape style="position:absolute;left:0;top:-3340;width:6409;height:999" coordorigin="0,-3340" coordsize="6409,999" path="m6409,-3340l0,-2341e" filled="false" stroked="true" strokeweight=".25pt" strokecolor="#9b8758">
                <v:path arrowok="t"/>
              </v:shape>
            </v:group>
            <v:group style="position:absolute;left:0;top:-3340;width:1863;height:410" coordorigin="0,-3340" coordsize="1863,410">
              <v:shape style="position:absolute;left:0;top:-3340;width:1863;height:410" coordorigin="0,-3340" coordsize="1863,410" path="m1863,-3340l0,-2930e" filled="false" stroked="true" strokeweight="1.5pt" strokecolor="#8c8f90">
                <v:path arrowok="t"/>
              </v:shape>
            </v:group>
            <v:group style="position:absolute;left:0;top:-3340;width:11063;height:1329" coordorigin="0,-3340" coordsize="11063,1329">
              <v:shape style="position:absolute;left:0;top:-3340;width:11063;height:1329" coordorigin="0,-3340" coordsize="11063,1329" path="m11062,-3340l0,-2011e" filled="false" stroked="true" strokeweight=".5pt" strokecolor="#9b8758">
                <v:path arrowok="t"/>
              </v:shape>
            </v:group>
            <v:group style="position:absolute;left:0;top:-2184;width:4564;height:425" coordorigin="0,-2184" coordsize="4564,425">
              <v:shape style="position:absolute;left:0;top:-2184;width:4564;height:425" coordorigin="0,-2184" coordsize="4564,425" path="m4564,-2184l0,-1760e" filled="false" stroked="true" strokeweight="1pt" strokecolor="#9b8758">
                <v:path arrowok="t"/>
              </v:shape>
            </v:group>
            <v:group style="position:absolute;left:6332;top:-2866;width:5574;height:518" coordorigin="6332,-2866" coordsize="5574,518">
              <v:shape style="position:absolute;left:6332;top:-2866;width:5574;height:518" coordorigin="6332,-2866" coordsize="5574,518" path="m11906,-2866l6332,-2348e" filled="false" stroked="true" strokeweight="1pt" strokecolor="#8c8f90">
                <v:path arrowok="t"/>
              </v:shape>
            </v:group>
            <v:group style="position:absolute;left:10880;top:-1740;width:1026;height:41" coordorigin="10880,-1740" coordsize="1026,41">
              <v:shape style="position:absolute;left:10880;top:-1740;width:1026;height:41" coordorigin="10880,-1740" coordsize="1026,41" path="m10880,-1700l11906,-1740e" filled="false" stroked="true" strokeweight="1.5pt" strokecolor="#9b8758">
                <v:path arrowok="t"/>
              </v:shape>
            </v:group>
            <v:group style="position:absolute;left:0;top:-1598;width:8323;height:330" coordorigin="0,-1598" coordsize="8323,330">
              <v:shape style="position:absolute;left:0;top:-1598;width:8323;height:330" coordorigin="0,-1598" coordsize="8323,330" path="m0,-1269l8322,-1598e" filled="false" stroked="true" strokeweight="1.5pt" strokecolor="#8c8f90">
                <v:path arrowok="t"/>
              </v:shape>
            </v:group>
            <v:group style="position:absolute;left:0;top:-1376;width:10090;height:247" coordorigin="0,-1376" coordsize="10090,247">
              <v:shape style="position:absolute;left:0;top:-1376;width:10090;height:247" coordorigin="0,-1376" coordsize="10090,247" path="m0,-1129l10089,-1376e" filled="false" stroked="true" strokeweight="1pt" strokecolor="#8c8f90">
                <v:path arrowok="t"/>
              </v:shape>
            </v:group>
            <v:group style="position:absolute;left:11544;top:-1464;width:362;height:9" coordorigin="11544,-1464" coordsize="362,9">
              <v:shape style="position:absolute;left:11544;top:-1464;width:362;height:9" coordorigin="11544,-1464" coordsize="362,9" path="m11544,-1455l11906,-1464e" filled="false" stroked="true" strokeweight="1pt" strokecolor="#8c8f90">
                <v:path arrowok="t"/>
              </v:shape>
            </v:group>
            <v:group style="position:absolute;left:0;top:-2170;width:11906;height:714" coordorigin="0,-2170" coordsize="11906,714">
              <v:shape style="position:absolute;left:0;top:-2170;width:11906;height:714" coordorigin="0,-2170" coordsize="11906,714" path="m11906,-2170l0,-1456e" filled="false" stroked="true" strokeweight=".25pt" strokecolor="#9b8758">
                <v:path arrowok="t"/>
              </v:shape>
            </v:group>
            <v:group style="position:absolute;left:0;top:-3340;width:4334;height:779" coordorigin="0,-3340" coordsize="4334,779">
              <v:shape style="position:absolute;left:0;top:-3340;width:4334;height:779" coordorigin="0,-3340" coordsize="4334,779" path="m4334,-3340l0,-2561e" filled="false" stroked="true" strokeweight=".5pt" strokecolor="#8c8f90">
                <v:path arrowok="t"/>
              </v:shape>
            </v:group>
            <v:group style="position:absolute;left:0;top:-3340;width:3414;height:659" coordorigin="0,-3340" coordsize="3414,659">
              <v:shape style="position:absolute;left:0;top:-3340;width:3414;height:659" coordorigin="0,-3340" coordsize="3414,659" path="m3413,-3340l0,-2681e" filled="false" stroked="true" strokeweight="1.5pt" strokecolor="#9b8758">
                <v:path arrowok="t"/>
              </v:shape>
            </v:group>
            <w10:wrap type="none"/>
          </v:group>
        </w:pict>
      </w:r>
      <w:r>
        <w:rPr/>
        <w:pict>
          <v:group style="position:absolute;margin-left:.000043pt;margin-top:-47.084175pt;width:595.3pt;height:1.1pt;mso-position-horizontal-relative:page;mso-position-vertical-relative:paragraph;z-index:1984" coordorigin="0,-942" coordsize="11906,22">
            <v:shape style="position:absolute;left:0;top:-942;width:11906;height:22" coordorigin="0,-942" coordsize="11906,22" path="m0,-920l11906,-942e" filled="false" stroked="true" strokeweight="1pt" strokecolor="#9b8758">
              <v:path arrowok="t"/>
            </v:shape>
            <w10:wrap type="none"/>
          </v:group>
        </w:pict>
      </w:r>
      <w:r>
        <w:rPr>
          <w:rFonts w:ascii="宋体" w:hAnsi="宋体" w:cs="宋体" w:eastAsia="宋体" w:hint="default"/>
          <w:sz w:val="16"/>
          <w:szCs w:val="16"/>
        </w:rPr>
        <w:t>常用词语释义</w:t>
      </w:r>
    </w:p>
    <w:p>
      <w:pPr>
        <w:spacing w:line="240" w:lineRule="auto" w:before="9"/>
        <w:rPr>
          <w:rFonts w:ascii="宋体" w:hAnsi="宋体" w:cs="宋体" w:eastAsia="宋体" w:hint="default"/>
          <w:sz w:val="8"/>
          <w:szCs w:val="8"/>
        </w:rPr>
      </w:pPr>
    </w:p>
    <w:p>
      <w:pPr>
        <w:spacing w:line="20" w:lineRule="exact"/>
        <w:ind w:left="1464" w:right="0" w:firstLine="0"/>
        <w:rPr>
          <w:rFonts w:ascii="宋体" w:hAnsi="宋体" w:cs="宋体" w:eastAsia="宋体" w:hint="default"/>
          <w:sz w:val="2"/>
          <w:szCs w:val="2"/>
        </w:rPr>
      </w:pPr>
      <w:r>
        <w:rPr>
          <w:rFonts w:ascii="宋体" w:hAnsi="宋体" w:cs="宋体" w:eastAsia="宋体" w:hint="default"/>
          <w:sz w:val="2"/>
          <w:szCs w:val="2"/>
        </w:rPr>
        <w:pict>
          <v:group style="width:383.7pt;height:1pt;mso-position-horizontal-relative:char;mso-position-vertical-relative:line" coordorigin="0,0" coordsize="7674,20">
            <v:group style="position:absolute;left:10;top:10;width:1645;height:2" coordorigin="10,10" coordsize="1645,2">
              <v:shape style="position:absolute;left:10;top:10;width:1645;height:2" coordorigin="10,10" coordsize="1645,0" path="m10,10l1654,10e" filled="false" stroked="true" strokeweight="1pt" strokecolor="#000000">
                <v:path arrowok="t"/>
              </v:shape>
            </v:group>
            <v:group style="position:absolute;left:1654;top:10;width:6010;height:2" coordorigin="1654,10" coordsize="6010,2">
              <v:shape style="position:absolute;left:1654;top:10;width:6010;height:2" coordorigin="1654,10" coordsize="6010,0" path="m1654,10l7664,10e" filled="false" stroked="true" strokeweight="1pt" strokecolor="#000000">
                <v:path arrowok="t"/>
              </v:shape>
            </v:group>
          </v:group>
        </w:pict>
      </w:r>
      <w:r>
        <w:rPr>
          <w:rFonts w:ascii="宋体" w:hAnsi="宋体" w:cs="宋体" w:eastAsia="宋体" w:hint="default"/>
          <w:sz w:val="2"/>
          <w:szCs w:val="2"/>
        </w:rPr>
      </w:r>
    </w:p>
    <w:p>
      <w:pPr>
        <w:tabs>
          <w:tab w:pos="3214" w:val="left" w:leader="none"/>
        </w:tabs>
        <w:spacing w:line="156" w:lineRule="auto" w:before="137"/>
        <w:ind w:left="3214" w:right="2861" w:hanging="1656"/>
        <w:jc w:val="left"/>
        <w:rPr>
          <w:rFonts w:ascii="宋体" w:hAnsi="宋体" w:cs="宋体" w:eastAsia="宋体" w:hint="default"/>
          <w:sz w:val="16"/>
          <w:szCs w:val="16"/>
        </w:rPr>
      </w:pPr>
      <w:r>
        <w:rPr>
          <w:rFonts w:ascii="宋体" w:hAnsi="宋体" w:cs="宋体" w:eastAsia="宋体" w:hint="default"/>
          <w:position w:val="-9"/>
          <w:sz w:val="16"/>
          <w:szCs w:val="16"/>
        </w:rPr>
        <w:t>IDC</w:t>
        <w:tab/>
      </w:r>
      <w:r>
        <w:rPr>
          <w:rFonts w:ascii="宋体" w:hAnsi="宋体" w:cs="宋体" w:eastAsia="宋体" w:hint="default"/>
          <w:w w:val="95"/>
          <w:sz w:val="16"/>
          <w:szCs w:val="16"/>
        </w:rPr>
        <w:t>Internet Data Center，是基于 Internet</w:t>
      </w:r>
      <w:r>
        <w:rPr>
          <w:rFonts w:ascii="宋体" w:hAnsi="宋体" w:cs="宋体" w:eastAsia="宋体" w:hint="default"/>
          <w:spacing w:val="41"/>
          <w:w w:val="95"/>
          <w:sz w:val="16"/>
          <w:szCs w:val="16"/>
        </w:rPr>
        <w:t> </w:t>
      </w:r>
      <w:r>
        <w:rPr>
          <w:rFonts w:ascii="宋体" w:hAnsi="宋体" w:cs="宋体" w:eastAsia="宋体" w:hint="default"/>
          <w:w w:val="95"/>
          <w:sz w:val="16"/>
          <w:szCs w:val="16"/>
        </w:rPr>
        <w:t>网络，为集中式收集、存储、处理和发送数</w:t>
      </w:r>
      <w:r>
        <w:rPr>
          <w:rFonts w:ascii="宋体" w:hAnsi="宋体" w:cs="宋体" w:eastAsia="宋体" w:hint="default"/>
          <w:sz w:val="16"/>
          <w:szCs w:val="16"/>
        </w:rPr>
        <w:t> 据的设备提供运行维护的设施基地并提供相关的服务。</w:t>
      </w:r>
    </w:p>
    <w:p>
      <w:pPr>
        <w:spacing w:before="72"/>
        <w:ind w:left="3214" w:right="764" w:firstLine="0"/>
        <w:jc w:val="left"/>
        <w:rPr>
          <w:rFonts w:ascii="宋体" w:hAnsi="宋体" w:cs="宋体" w:eastAsia="宋体" w:hint="default"/>
          <w:sz w:val="16"/>
          <w:szCs w:val="16"/>
        </w:rPr>
      </w:pPr>
      <w:r>
        <w:rPr>
          <w:rFonts w:ascii="宋体" w:hAnsi="宋体" w:cs="宋体" w:eastAsia="宋体" w:hint="default"/>
          <w:spacing w:val="3"/>
          <w:w w:val="105"/>
          <w:sz w:val="16"/>
          <w:szCs w:val="16"/>
        </w:rPr>
        <w:t>Long</w:t>
      </w:r>
      <w:r>
        <w:rPr>
          <w:rFonts w:ascii="宋体" w:hAnsi="宋体" w:cs="宋体" w:eastAsia="宋体" w:hint="default"/>
          <w:spacing w:val="-29"/>
          <w:w w:val="105"/>
          <w:sz w:val="16"/>
          <w:szCs w:val="16"/>
        </w:rPr>
        <w:t> </w:t>
      </w:r>
      <w:r>
        <w:rPr>
          <w:rFonts w:ascii="宋体" w:hAnsi="宋体" w:cs="宋体" w:eastAsia="宋体" w:hint="default"/>
          <w:spacing w:val="3"/>
          <w:w w:val="105"/>
          <w:sz w:val="16"/>
          <w:szCs w:val="16"/>
        </w:rPr>
        <w:t>Term</w:t>
      </w:r>
      <w:r>
        <w:rPr>
          <w:rFonts w:ascii="宋体" w:hAnsi="宋体" w:cs="宋体" w:eastAsia="宋体" w:hint="default"/>
          <w:spacing w:val="-29"/>
          <w:w w:val="105"/>
          <w:sz w:val="16"/>
          <w:szCs w:val="16"/>
        </w:rPr>
        <w:t> </w:t>
      </w:r>
      <w:r>
        <w:rPr>
          <w:rFonts w:ascii="宋体" w:hAnsi="宋体" w:cs="宋体" w:eastAsia="宋体" w:hint="default"/>
          <w:spacing w:val="8"/>
          <w:w w:val="105"/>
          <w:sz w:val="16"/>
          <w:szCs w:val="16"/>
        </w:rPr>
        <w:t>Evolution，是一种由国际标准化组织</w:t>
      </w:r>
      <w:r>
        <w:rPr>
          <w:rFonts w:ascii="宋体" w:hAnsi="宋体" w:cs="宋体" w:eastAsia="宋体" w:hint="default"/>
          <w:spacing w:val="-48"/>
          <w:w w:val="105"/>
          <w:sz w:val="16"/>
          <w:szCs w:val="16"/>
        </w:rPr>
        <w:t> </w:t>
      </w:r>
      <w:r>
        <w:rPr>
          <w:rFonts w:ascii="宋体" w:hAnsi="宋体" w:cs="宋体" w:eastAsia="宋体" w:hint="default"/>
          <w:spacing w:val="3"/>
          <w:w w:val="105"/>
          <w:sz w:val="16"/>
          <w:szCs w:val="16"/>
        </w:rPr>
        <w:t>3GPP</w:t>
      </w:r>
      <w:r>
        <w:rPr>
          <w:rFonts w:ascii="宋体" w:hAnsi="宋体" w:cs="宋体" w:eastAsia="宋体" w:hint="default"/>
          <w:spacing w:val="-48"/>
          <w:w w:val="105"/>
          <w:sz w:val="16"/>
          <w:szCs w:val="16"/>
        </w:rPr>
        <w:t> </w:t>
      </w:r>
      <w:r>
        <w:rPr>
          <w:rFonts w:ascii="宋体" w:hAnsi="宋体" w:cs="宋体" w:eastAsia="宋体" w:hint="default"/>
          <w:spacing w:val="7"/>
          <w:w w:val="105"/>
          <w:sz w:val="16"/>
          <w:szCs w:val="16"/>
        </w:rPr>
        <w:t>主导的</w:t>
      </w:r>
      <w:r>
        <w:rPr>
          <w:rFonts w:ascii="宋体" w:hAnsi="宋体" w:cs="宋体" w:eastAsia="宋体" w:hint="default"/>
          <w:spacing w:val="-48"/>
          <w:w w:val="105"/>
          <w:sz w:val="16"/>
          <w:szCs w:val="16"/>
        </w:rPr>
        <w:t> </w:t>
      </w:r>
      <w:r>
        <w:rPr>
          <w:rFonts w:ascii="宋体" w:hAnsi="宋体" w:cs="宋体" w:eastAsia="宋体" w:hint="default"/>
          <w:w w:val="105"/>
          <w:sz w:val="16"/>
          <w:szCs w:val="16"/>
        </w:rPr>
        <w:t>3G</w:t>
      </w:r>
      <w:r>
        <w:rPr>
          <w:rFonts w:ascii="宋体" w:hAnsi="宋体" w:cs="宋体" w:eastAsia="宋体" w:hint="default"/>
          <w:spacing w:val="-48"/>
          <w:w w:val="105"/>
          <w:sz w:val="16"/>
          <w:szCs w:val="16"/>
        </w:rPr>
        <w:t> </w:t>
      </w:r>
      <w:r>
        <w:rPr>
          <w:rFonts w:ascii="宋体" w:hAnsi="宋体" w:cs="宋体" w:eastAsia="宋体" w:hint="default"/>
          <w:spacing w:val="9"/>
          <w:w w:val="105"/>
          <w:sz w:val="16"/>
          <w:szCs w:val="16"/>
        </w:rPr>
        <w:t>演进技术，</w:t>
      </w:r>
      <w:r>
        <w:rPr>
          <w:rFonts w:ascii="宋体" w:hAnsi="宋体" w:cs="宋体" w:eastAsia="宋体" w:hint="default"/>
          <w:w w:val="105"/>
          <w:sz w:val="16"/>
          <w:szCs w:val="16"/>
        </w:rPr>
      </w:r>
    </w:p>
    <w:p>
      <w:pPr>
        <w:spacing w:after="0"/>
        <w:jc w:val="left"/>
        <w:rPr>
          <w:rFonts w:ascii="宋体" w:hAnsi="宋体" w:cs="宋体" w:eastAsia="宋体" w:hint="default"/>
          <w:sz w:val="16"/>
          <w:szCs w:val="16"/>
        </w:rPr>
        <w:sectPr>
          <w:pgSz w:w="11910" w:h="16160"/>
          <w:pgMar w:header="0" w:footer="298" w:top="0" w:bottom="480" w:left="0" w:right="0"/>
        </w:sectPr>
      </w:pPr>
    </w:p>
    <w:p>
      <w:pPr>
        <w:spacing w:line="200" w:lineRule="exact" w:before="0"/>
        <w:ind w:left="0" w:right="0" w:firstLine="0"/>
        <w:jc w:val="right"/>
        <w:rPr>
          <w:rFonts w:ascii="宋体" w:hAnsi="宋体" w:cs="宋体" w:eastAsia="宋体" w:hint="default"/>
          <w:sz w:val="16"/>
          <w:szCs w:val="16"/>
        </w:rPr>
      </w:pPr>
      <w:r>
        <w:rPr>
          <w:rFonts w:ascii="宋体"/>
          <w:w w:val="110"/>
          <w:sz w:val="16"/>
        </w:rPr>
        <w:t>LTE</w:t>
      </w:r>
      <w:r>
        <w:rPr>
          <w:rFonts w:ascii="宋体"/>
          <w:sz w:val="16"/>
        </w:rPr>
      </w:r>
    </w:p>
    <w:p>
      <w:pPr>
        <w:spacing w:line="200" w:lineRule="exact" w:before="17"/>
        <w:ind w:left="1340" w:right="822" w:firstLine="0"/>
        <w:jc w:val="left"/>
        <w:rPr>
          <w:rFonts w:ascii="宋体" w:hAnsi="宋体" w:cs="宋体" w:eastAsia="宋体" w:hint="default"/>
          <w:sz w:val="16"/>
          <w:szCs w:val="16"/>
        </w:rPr>
      </w:pPr>
      <w:r>
        <w:rPr/>
        <w:br w:type="column"/>
      </w:r>
      <w:r>
        <w:rPr>
          <w:rFonts w:ascii="宋体" w:hAnsi="宋体" w:cs="宋体" w:eastAsia="宋体" w:hint="default"/>
          <w:sz w:val="16"/>
          <w:szCs w:val="16"/>
        </w:rPr>
        <w:t>是</w:t>
      </w:r>
      <w:r>
        <w:rPr>
          <w:rFonts w:ascii="宋体" w:hAnsi="宋体" w:cs="宋体" w:eastAsia="宋体" w:hint="default"/>
          <w:spacing w:val="-30"/>
          <w:sz w:val="16"/>
          <w:szCs w:val="16"/>
        </w:rPr>
        <w:t> </w:t>
      </w:r>
      <w:r>
        <w:rPr>
          <w:rFonts w:ascii="宋体" w:hAnsi="宋体" w:cs="宋体" w:eastAsia="宋体" w:hint="default"/>
          <w:spacing w:val="2"/>
          <w:w w:val="127"/>
          <w:sz w:val="16"/>
          <w:szCs w:val="16"/>
        </w:rPr>
        <w:t>4G</w:t>
      </w:r>
      <w:r>
        <w:rPr>
          <w:rFonts w:ascii="宋体" w:hAnsi="宋体" w:cs="宋体" w:eastAsia="宋体" w:hint="default"/>
          <w:spacing w:val="-52"/>
          <w:w w:val="127"/>
          <w:sz w:val="16"/>
          <w:szCs w:val="16"/>
        </w:rPr>
        <w:t> </w:t>
      </w:r>
      <w:r>
        <w:rPr>
          <w:rFonts w:ascii="宋体" w:hAnsi="宋体" w:cs="宋体" w:eastAsia="宋体" w:hint="default"/>
          <w:spacing w:val="8"/>
          <w:sz w:val="16"/>
          <w:szCs w:val="16"/>
        </w:rPr>
        <w:t>时代的无线接入技术，采用了</w:t>
      </w:r>
      <w:r>
        <w:rPr>
          <w:rFonts w:ascii="宋体" w:hAnsi="宋体" w:cs="宋体" w:eastAsia="宋体" w:hint="default"/>
          <w:spacing w:val="-30"/>
          <w:sz w:val="16"/>
          <w:szCs w:val="16"/>
        </w:rPr>
        <w:t> </w:t>
      </w:r>
      <w:r>
        <w:rPr>
          <w:rFonts w:ascii="宋体" w:hAnsi="宋体" w:cs="宋体" w:eastAsia="宋体" w:hint="default"/>
          <w:spacing w:val="3"/>
          <w:w w:val="149"/>
          <w:sz w:val="16"/>
          <w:szCs w:val="16"/>
        </w:rPr>
        <w:t>OFDM</w:t>
      </w:r>
      <w:r>
        <w:rPr>
          <w:rFonts w:ascii="宋体" w:hAnsi="宋体" w:cs="宋体" w:eastAsia="宋体" w:hint="default"/>
          <w:spacing w:val="-70"/>
          <w:w w:val="149"/>
          <w:sz w:val="16"/>
          <w:szCs w:val="16"/>
        </w:rPr>
        <w:t> </w:t>
      </w:r>
      <w:r>
        <w:rPr>
          <w:rFonts w:ascii="宋体" w:hAnsi="宋体" w:cs="宋体" w:eastAsia="宋体" w:hint="default"/>
          <w:sz w:val="16"/>
          <w:szCs w:val="16"/>
        </w:rPr>
        <w:t>和</w:t>
      </w:r>
      <w:r>
        <w:rPr>
          <w:rFonts w:ascii="宋体" w:hAnsi="宋体" w:cs="宋体" w:eastAsia="宋体" w:hint="default"/>
          <w:spacing w:val="-30"/>
          <w:sz w:val="16"/>
          <w:szCs w:val="16"/>
        </w:rPr>
        <w:t> </w:t>
      </w:r>
      <w:r>
        <w:rPr>
          <w:rFonts w:ascii="宋体" w:hAnsi="宋体" w:cs="宋体" w:eastAsia="宋体" w:hint="default"/>
          <w:spacing w:val="4"/>
          <w:w w:val="146"/>
          <w:sz w:val="16"/>
          <w:szCs w:val="16"/>
        </w:rPr>
        <w:t>MIMO</w:t>
      </w:r>
      <w:r>
        <w:rPr>
          <w:rFonts w:ascii="宋体" w:hAnsi="宋体" w:cs="宋体" w:eastAsia="宋体" w:hint="default"/>
          <w:spacing w:val="-68"/>
          <w:w w:val="146"/>
          <w:sz w:val="16"/>
          <w:szCs w:val="16"/>
        </w:rPr>
        <w:t> </w:t>
      </w:r>
      <w:r>
        <w:rPr>
          <w:rFonts w:ascii="宋体" w:hAnsi="宋体" w:cs="宋体" w:eastAsia="宋体" w:hint="default"/>
          <w:spacing w:val="8"/>
          <w:sz w:val="16"/>
          <w:szCs w:val="16"/>
        </w:rPr>
        <w:t>等技术以及比</w:t>
      </w:r>
      <w:r>
        <w:rPr>
          <w:rFonts w:ascii="宋体" w:hAnsi="宋体" w:cs="宋体" w:eastAsia="宋体" w:hint="default"/>
          <w:spacing w:val="-30"/>
          <w:sz w:val="16"/>
          <w:szCs w:val="16"/>
        </w:rPr>
        <w:t> </w:t>
      </w:r>
      <w:r>
        <w:rPr>
          <w:rFonts w:ascii="宋体" w:hAnsi="宋体" w:cs="宋体" w:eastAsia="宋体" w:hint="default"/>
          <w:spacing w:val="2"/>
          <w:w w:val="127"/>
          <w:sz w:val="16"/>
          <w:szCs w:val="16"/>
        </w:rPr>
        <w:t>3G</w:t>
      </w:r>
      <w:r>
        <w:rPr>
          <w:rFonts w:ascii="宋体" w:hAnsi="宋体" w:cs="宋体" w:eastAsia="宋体" w:hint="default"/>
          <w:spacing w:val="-52"/>
          <w:w w:val="127"/>
          <w:sz w:val="16"/>
          <w:szCs w:val="16"/>
        </w:rPr>
        <w:t> </w:t>
      </w:r>
      <w:r>
        <w:rPr>
          <w:rFonts w:ascii="宋体" w:hAnsi="宋体" w:cs="宋体" w:eastAsia="宋体" w:hint="default"/>
          <w:spacing w:val="10"/>
          <w:sz w:val="16"/>
          <w:szCs w:val="16"/>
        </w:rPr>
        <w:t>更灵活</w:t>
      </w:r>
      <w:r>
        <w:rPr>
          <w:rFonts w:ascii="宋体" w:hAnsi="宋体" w:cs="宋体" w:eastAsia="宋体" w:hint="default"/>
          <w:spacing w:val="10"/>
          <w:sz w:val="16"/>
          <w:szCs w:val="16"/>
        </w:rPr>
        <w:t> </w:t>
      </w:r>
      <w:r>
        <w:rPr>
          <w:rFonts w:ascii="宋体" w:hAnsi="宋体" w:cs="宋体" w:eastAsia="宋体" w:hint="default"/>
          <w:spacing w:val="5"/>
          <w:w w:val="105"/>
          <w:sz w:val="16"/>
          <w:szCs w:val="16"/>
        </w:rPr>
        <w:t>的频谱带宽，实现峰值速率</w:t>
      </w:r>
      <w:r>
        <w:rPr>
          <w:rFonts w:ascii="宋体" w:hAnsi="宋体" w:cs="宋体" w:eastAsia="宋体" w:hint="default"/>
          <w:spacing w:val="-21"/>
          <w:w w:val="105"/>
          <w:sz w:val="16"/>
          <w:szCs w:val="16"/>
        </w:rPr>
        <w:t> </w:t>
      </w:r>
      <w:r>
        <w:rPr>
          <w:rFonts w:ascii="宋体" w:hAnsi="宋体" w:cs="宋体" w:eastAsia="宋体" w:hint="default"/>
          <w:spacing w:val="3"/>
          <w:w w:val="105"/>
          <w:sz w:val="16"/>
          <w:szCs w:val="16"/>
        </w:rPr>
        <w:t>100</w:t>
      </w:r>
      <w:r>
        <w:rPr>
          <w:rFonts w:ascii="宋体" w:hAnsi="宋体" w:cs="宋体" w:eastAsia="宋体" w:hint="default"/>
          <w:spacing w:val="-21"/>
          <w:w w:val="105"/>
          <w:sz w:val="16"/>
          <w:szCs w:val="16"/>
        </w:rPr>
        <w:t> </w:t>
      </w:r>
      <w:r>
        <w:rPr>
          <w:rFonts w:ascii="宋体" w:hAnsi="宋体" w:cs="宋体" w:eastAsia="宋体" w:hint="default"/>
          <w:w w:val="105"/>
          <w:sz w:val="16"/>
          <w:szCs w:val="16"/>
        </w:rPr>
        <w:t>～</w:t>
      </w:r>
      <w:r>
        <w:rPr>
          <w:rFonts w:ascii="宋体" w:hAnsi="宋体" w:cs="宋体" w:eastAsia="宋体" w:hint="default"/>
          <w:spacing w:val="-21"/>
          <w:w w:val="105"/>
          <w:sz w:val="16"/>
          <w:szCs w:val="16"/>
        </w:rPr>
        <w:t> </w:t>
      </w:r>
      <w:r>
        <w:rPr>
          <w:rFonts w:ascii="宋体" w:hAnsi="宋体" w:cs="宋体" w:eastAsia="宋体" w:hint="default"/>
          <w:spacing w:val="4"/>
          <w:w w:val="105"/>
          <w:sz w:val="16"/>
          <w:szCs w:val="16"/>
        </w:rPr>
        <w:t>150Mbps（20MHz</w:t>
      </w:r>
      <w:r>
        <w:rPr>
          <w:rFonts w:ascii="宋体" w:hAnsi="宋体" w:cs="宋体" w:eastAsia="宋体" w:hint="default"/>
          <w:spacing w:val="-21"/>
          <w:w w:val="105"/>
          <w:sz w:val="16"/>
          <w:szCs w:val="16"/>
        </w:rPr>
        <w:t> </w:t>
      </w:r>
      <w:r>
        <w:rPr>
          <w:rFonts w:ascii="宋体" w:hAnsi="宋体" w:cs="宋体" w:eastAsia="宋体" w:hint="default"/>
          <w:spacing w:val="6"/>
          <w:w w:val="105"/>
          <w:sz w:val="16"/>
          <w:szCs w:val="16"/>
        </w:rPr>
        <w:t>带宽下）。</w:t>
      </w:r>
      <w:r>
        <w:rPr>
          <w:rFonts w:ascii="宋体" w:hAnsi="宋体" w:cs="宋体" w:eastAsia="宋体" w:hint="default"/>
          <w:w w:val="105"/>
          <w:sz w:val="16"/>
          <w:szCs w:val="16"/>
        </w:rPr>
      </w:r>
    </w:p>
    <w:p>
      <w:pPr>
        <w:spacing w:after="0" w:line="200" w:lineRule="exact"/>
        <w:jc w:val="left"/>
        <w:rPr>
          <w:rFonts w:ascii="宋体" w:hAnsi="宋体" w:cs="宋体" w:eastAsia="宋体" w:hint="default"/>
          <w:sz w:val="16"/>
          <w:szCs w:val="16"/>
        </w:rPr>
        <w:sectPr>
          <w:type w:val="continuous"/>
          <w:pgSz w:w="11910" w:h="16160"/>
          <w:pgMar w:top="1520" w:bottom="280" w:left="0" w:right="0"/>
          <w:cols w:num="2" w:equalWidth="0">
            <w:col w:w="1835" w:space="40"/>
            <w:col w:w="10035"/>
          </w:cols>
        </w:sectPr>
      </w:pPr>
    </w:p>
    <w:p>
      <w:pPr>
        <w:tabs>
          <w:tab w:pos="3214" w:val="left" w:leader="none"/>
        </w:tabs>
        <w:spacing w:line="156" w:lineRule="auto" w:before="112"/>
        <w:ind w:left="3214" w:right="2781" w:hanging="1656"/>
        <w:jc w:val="left"/>
        <w:rPr>
          <w:rFonts w:ascii="宋体" w:hAnsi="宋体" w:cs="宋体" w:eastAsia="宋体" w:hint="default"/>
          <w:sz w:val="16"/>
          <w:szCs w:val="16"/>
        </w:rPr>
      </w:pPr>
      <w:r>
        <w:rPr>
          <w:rFonts w:ascii="宋体" w:hAnsi="宋体" w:cs="宋体" w:eastAsia="宋体" w:hint="default"/>
          <w:w w:val="110"/>
          <w:position w:val="-9"/>
          <w:sz w:val="16"/>
          <w:szCs w:val="16"/>
        </w:rPr>
        <w:t>LTE</w:t>
      </w:r>
      <w:r>
        <w:rPr>
          <w:rFonts w:ascii="宋体" w:hAnsi="宋体" w:cs="宋体" w:eastAsia="宋体" w:hint="default"/>
          <w:spacing w:val="21"/>
          <w:w w:val="110"/>
          <w:position w:val="-9"/>
          <w:sz w:val="16"/>
          <w:szCs w:val="16"/>
        </w:rPr>
        <w:t> </w:t>
      </w:r>
      <w:r>
        <w:rPr>
          <w:rFonts w:ascii="宋体" w:hAnsi="宋体" w:cs="宋体" w:eastAsia="宋体" w:hint="default"/>
          <w:w w:val="110"/>
          <w:position w:val="-9"/>
          <w:sz w:val="16"/>
          <w:szCs w:val="16"/>
        </w:rPr>
        <w:t>FDD</w:t>
        <w:tab/>
      </w:r>
      <w:r>
        <w:rPr>
          <w:rFonts w:ascii="宋体" w:hAnsi="宋体" w:cs="宋体" w:eastAsia="宋体" w:hint="default"/>
          <w:w w:val="110"/>
          <w:sz w:val="16"/>
          <w:szCs w:val="16"/>
        </w:rPr>
        <w:t>是</w:t>
      </w:r>
      <w:r>
        <w:rPr>
          <w:rFonts w:ascii="宋体" w:hAnsi="宋体" w:cs="宋体" w:eastAsia="宋体" w:hint="default"/>
          <w:spacing w:val="-71"/>
          <w:w w:val="110"/>
          <w:sz w:val="16"/>
          <w:szCs w:val="16"/>
        </w:rPr>
        <w:t> </w:t>
      </w:r>
      <w:r>
        <w:rPr>
          <w:rFonts w:ascii="宋体" w:hAnsi="宋体" w:cs="宋体" w:eastAsia="宋体" w:hint="default"/>
          <w:w w:val="110"/>
          <w:sz w:val="16"/>
          <w:szCs w:val="16"/>
        </w:rPr>
        <w:t>FDD</w:t>
      </w:r>
      <w:r>
        <w:rPr>
          <w:rFonts w:ascii="宋体" w:hAnsi="宋体" w:cs="宋体" w:eastAsia="宋体" w:hint="default"/>
          <w:spacing w:val="-71"/>
          <w:w w:val="110"/>
          <w:sz w:val="16"/>
          <w:szCs w:val="16"/>
        </w:rPr>
        <w:t> </w:t>
      </w:r>
      <w:r>
        <w:rPr>
          <w:rFonts w:ascii="宋体" w:hAnsi="宋体" w:cs="宋体" w:eastAsia="宋体" w:hint="default"/>
          <w:w w:val="110"/>
          <w:sz w:val="16"/>
          <w:szCs w:val="16"/>
        </w:rPr>
        <w:t>版本的</w:t>
      </w:r>
      <w:r>
        <w:rPr>
          <w:rFonts w:ascii="宋体" w:hAnsi="宋体" w:cs="宋体" w:eastAsia="宋体" w:hint="default"/>
          <w:spacing w:val="-71"/>
          <w:w w:val="110"/>
          <w:sz w:val="16"/>
          <w:szCs w:val="16"/>
        </w:rPr>
        <w:t> </w:t>
      </w:r>
      <w:r>
        <w:rPr>
          <w:rFonts w:ascii="宋体" w:hAnsi="宋体" w:cs="宋体" w:eastAsia="宋体" w:hint="default"/>
          <w:w w:val="110"/>
          <w:sz w:val="16"/>
          <w:szCs w:val="16"/>
        </w:rPr>
        <w:t>LTE</w:t>
      </w:r>
      <w:r>
        <w:rPr>
          <w:rFonts w:ascii="宋体" w:hAnsi="宋体" w:cs="宋体" w:eastAsia="宋体" w:hint="default"/>
          <w:spacing w:val="-71"/>
          <w:w w:val="110"/>
          <w:sz w:val="16"/>
          <w:szCs w:val="16"/>
        </w:rPr>
        <w:t> </w:t>
      </w:r>
      <w:r>
        <w:rPr>
          <w:rFonts w:ascii="宋体" w:hAnsi="宋体" w:cs="宋体" w:eastAsia="宋体" w:hint="default"/>
          <w:spacing w:val="-6"/>
          <w:w w:val="110"/>
          <w:sz w:val="16"/>
          <w:szCs w:val="16"/>
        </w:rPr>
        <w:t>标准。LTE</w:t>
      </w:r>
      <w:r>
        <w:rPr>
          <w:rFonts w:ascii="宋体" w:hAnsi="宋体" w:cs="宋体" w:eastAsia="宋体" w:hint="default"/>
          <w:spacing w:val="-71"/>
          <w:w w:val="110"/>
          <w:sz w:val="16"/>
          <w:szCs w:val="16"/>
        </w:rPr>
        <w:t> </w:t>
      </w:r>
      <w:r>
        <w:rPr>
          <w:rFonts w:ascii="宋体" w:hAnsi="宋体" w:cs="宋体" w:eastAsia="宋体" w:hint="default"/>
          <w:w w:val="110"/>
          <w:sz w:val="16"/>
          <w:szCs w:val="16"/>
        </w:rPr>
        <w:t>是</w:t>
      </w:r>
      <w:r>
        <w:rPr>
          <w:rFonts w:ascii="宋体" w:hAnsi="宋体" w:cs="宋体" w:eastAsia="宋体" w:hint="default"/>
          <w:spacing w:val="-71"/>
          <w:w w:val="110"/>
          <w:sz w:val="16"/>
          <w:szCs w:val="16"/>
        </w:rPr>
        <w:t> </w:t>
      </w:r>
      <w:r>
        <w:rPr>
          <w:rFonts w:ascii="宋体" w:hAnsi="宋体" w:cs="宋体" w:eastAsia="宋体" w:hint="default"/>
          <w:w w:val="110"/>
          <w:sz w:val="16"/>
          <w:szCs w:val="16"/>
        </w:rPr>
        <w:t>3GPP</w:t>
      </w:r>
      <w:r>
        <w:rPr>
          <w:rFonts w:ascii="宋体" w:hAnsi="宋体" w:cs="宋体" w:eastAsia="宋体" w:hint="default"/>
          <w:spacing w:val="-71"/>
          <w:w w:val="110"/>
          <w:sz w:val="16"/>
          <w:szCs w:val="16"/>
        </w:rPr>
        <w:t> </w:t>
      </w:r>
      <w:r>
        <w:rPr>
          <w:rFonts w:ascii="宋体" w:hAnsi="宋体" w:cs="宋体" w:eastAsia="宋体" w:hint="default"/>
          <w:w w:val="110"/>
          <w:sz w:val="16"/>
          <w:szCs w:val="16"/>
        </w:rPr>
        <w:t>组织制定的</w:t>
      </w:r>
      <w:r>
        <w:rPr>
          <w:rFonts w:ascii="宋体" w:hAnsi="宋体" w:cs="宋体" w:eastAsia="宋体" w:hint="default"/>
          <w:spacing w:val="-71"/>
          <w:w w:val="110"/>
          <w:sz w:val="16"/>
          <w:szCs w:val="16"/>
        </w:rPr>
        <w:t> </w:t>
      </w:r>
      <w:r>
        <w:rPr>
          <w:rFonts w:ascii="宋体" w:hAnsi="宋体" w:cs="宋体" w:eastAsia="宋体" w:hint="default"/>
          <w:w w:val="110"/>
          <w:sz w:val="16"/>
          <w:szCs w:val="16"/>
        </w:rPr>
        <w:t>4G</w:t>
      </w:r>
      <w:r>
        <w:rPr>
          <w:rFonts w:ascii="宋体" w:hAnsi="宋体" w:cs="宋体" w:eastAsia="宋体" w:hint="default"/>
          <w:spacing w:val="-71"/>
          <w:w w:val="110"/>
          <w:sz w:val="16"/>
          <w:szCs w:val="16"/>
        </w:rPr>
        <w:t> </w:t>
      </w:r>
      <w:r>
        <w:rPr>
          <w:rFonts w:ascii="宋体" w:hAnsi="宋体" w:cs="宋体" w:eastAsia="宋体" w:hint="default"/>
          <w:spacing w:val="-5"/>
          <w:w w:val="110"/>
          <w:sz w:val="16"/>
          <w:szCs w:val="16"/>
        </w:rPr>
        <w:t>技术标准，基于</w:t>
      </w:r>
      <w:r>
        <w:rPr>
          <w:rFonts w:ascii="宋体" w:hAnsi="宋体" w:cs="宋体" w:eastAsia="宋体" w:hint="default"/>
          <w:spacing w:val="-71"/>
          <w:w w:val="110"/>
          <w:sz w:val="16"/>
          <w:szCs w:val="16"/>
        </w:rPr>
        <w:t> </w:t>
      </w:r>
      <w:r>
        <w:rPr>
          <w:rFonts w:ascii="宋体" w:hAnsi="宋体" w:cs="宋体" w:eastAsia="宋体" w:hint="default"/>
          <w:w w:val="130"/>
          <w:sz w:val="16"/>
          <w:szCs w:val="16"/>
        </w:rPr>
        <w:t>OFDM</w:t>
      </w:r>
      <w:r>
        <w:rPr>
          <w:rFonts w:ascii="宋体" w:hAnsi="宋体" w:cs="宋体" w:eastAsia="宋体" w:hint="default"/>
          <w:spacing w:val="-87"/>
          <w:w w:val="130"/>
          <w:sz w:val="16"/>
          <w:szCs w:val="16"/>
        </w:rPr>
        <w:t> </w:t>
      </w:r>
      <w:r>
        <w:rPr>
          <w:rFonts w:ascii="宋体" w:hAnsi="宋体" w:cs="宋体" w:eastAsia="宋体" w:hint="default"/>
          <w:w w:val="110"/>
          <w:sz w:val="16"/>
          <w:szCs w:val="16"/>
        </w:rPr>
        <w:t>技术，</w:t>
      </w:r>
      <w:r>
        <w:rPr>
          <w:rFonts w:ascii="宋体" w:hAnsi="宋体" w:cs="宋体" w:eastAsia="宋体" w:hint="default"/>
          <w:sz w:val="16"/>
          <w:szCs w:val="16"/>
        </w:rPr>
        <w:t> </w:t>
      </w:r>
      <w:r>
        <w:rPr>
          <w:rFonts w:ascii="宋体" w:hAnsi="宋体" w:cs="宋体" w:eastAsia="宋体" w:hint="default"/>
          <w:w w:val="105"/>
          <w:sz w:val="16"/>
          <w:szCs w:val="16"/>
        </w:rPr>
        <w:t>FDD</w:t>
      </w:r>
      <w:r>
        <w:rPr>
          <w:rFonts w:ascii="宋体" w:hAnsi="宋体" w:cs="宋体" w:eastAsia="宋体" w:hint="default"/>
          <w:spacing w:val="-35"/>
          <w:w w:val="105"/>
          <w:sz w:val="16"/>
          <w:szCs w:val="16"/>
        </w:rPr>
        <w:t> </w:t>
      </w:r>
      <w:r>
        <w:rPr>
          <w:rFonts w:ascii="宋体" w:hAnsi="宋体" w:cs="宋体" w:eastAsia="宋体" w:hint="default"/>
          <w:w w:val="105"/>
          <w:sz w:val="16"/>
          <w:szCs w:val="16"/>
        </w:rPr>
        <w:t>表示频分双工。</w:t>
      </w:r>
    </w:p>
    <w:p>
      <w:pPr>
        <w:tabs>
          <w:tab w:pos="3214" w:val="left" w:leader="none"/>
        </w:tabs>
        <w:spacing w:line="274" w:lineRule="exact" w:before="39"/>
        <w:ind w:left="1559" w:right="2781" w:firstLine="0"/>
        <w:jc w:val="left"/>
        <w:rPr>
          <w:rFonts w:ascii="宋体" w:hAnsi="宋体" w:cs="宋体" w:eastAsia="宋体" w:hint="default"/>
          <w:sz w:val="16"/>
          <w:szCs w:val="16"/>
        </w:rPr>
      </w:pPr>
      <w:r>
        <w:rPr>
          <w:rFonts w:ascii="宋体" w:hAnsi="宋体" w:cs="宋体" w:eastAsia="宋体" w:hint="default"/>
          <w:sz w:val="16"/>
          <w:szCs w:val="16"/>
        </w:rPr>
        <w:t>NB-IoT</w:t>
        <w:tab/>
        <w:t>Narrow</w:t>
      </w:r>
      <w:r>
        <w:rPr>
          <w:rFonts w:ascii="宋体" w:hAnsi="宋体" w:cs="宋体" w:eastAsia="宋体" w:hint="default"/>
          <w:spacing w:val="-44"/>
          <w:sz w:val="16"/>
          <w:szCs w:val="16"/>
        </w:rPr>
        <w:t> </w:t>
      </w:r>
      <w:r>
        <w:rPr>
          <w:rFonts w:ascii="宋体" w:hAnsi="宋体" w:cs="宋体" w:eastAsia="宋体" w:hint="default"/>
          <w:sz w:val="16"/>
          <w:szCs w:val="16"/>
        </w:rPr>
        <w:t>Band</w:t>
      </w:r>
      <w:r>
        <w:rPr>
          <w:rFonts w:ascii="宋体" w:hAnsi="宋体" w:cs="宋体" w:eastAsia="宋体" w:hint="default"/>
          <w:spacing w:val="-44"/>
          <w:sz w:val="16"/>
          <w:szCs w:val="16"/>
        </w:rPr>
        <w:t> </w:t>
      </w:r>
      <w:r>
        <w:rPr>
          <w:rFonts w:ascii="宋体" w:hAnsi="宋体" w:cs="宋体" w:eastAsia="宋体" w:hint="default"/>
          <w:sz w:val="16"/>
          <w:szCs w:val="16"/>
        </w:rPr>
        <w:t>Internet</w:t>
      </w:r>
      <w:r>
        <w:rPr>
          <w:rFonts w:ascii="宋体" w:hAnsi="宋体" w:cs="宋体" w:eastAsia="宋体" w:hint="default"/>
          <w:spacing w:val="-44"/>
          <w:sz w:val="16"/>
          <w:szCs w:val="16"/>
        </w:rPr>
        <w:t> </w:t>
      </w:r>
      <w:r>
        <w:rPr>
          <w:rFonts w:ascii="宋体" w:hAnsi="宋体" w:cs="宋体" w:eastAsia="宋体" w:hint="default"/>
          <w:sz w:val="16"/>
          <w:szCs w:val="16"/>
        </w:rPr>
        <w:t>of</w:t>
      </w:r>
      <w:r>
        <w:rPr>
          <w:rFonts w:ascii="宋体" w:hAnsi="宋体" w:cs="宋体" w:eastAsia="宋体" w:hint="default"/>
          <w:spacing w:val="-44"/>
          <w:sz w:val="16"/>
          <w:szCs w:val="16"/>
        </w:rPr>
        <w:t> </w:t>
      </w:r>
      <w:r>
        <w:rPr>
          <w:rFonts w:ascii="宋体" w:hAnsi="宋体" w:cs="宋体" w:eastAsia="宋体" w:hint="default"/>
          <w:sz w:val="16"/>
          <w:szCs w:val="16"/>
        </w:rPr>
        <w:t>Things，是一种基于授权频谱提供的低功耗蜂窝连接技术。</w:t>
      </w:r>
      <w:r>
        <w:rPr>
          <w:rFonts w:ascii="宋体" w:hAnsi="宋体" w:cs="宋体" w:eastAsia="宋体" w:hint="default"/>
          <w:sz w:val="16"/>
          <w:szCs w:val="16"/>
        </w:rPr>
        <w:t> </w:t>
      </w:r>
      <w:r>
        <w:rPr>
          <w:rFonts w:ascii="宋体" w:hAnsi="宋体" w:cs="宋体" w:eastAsia="宋体" w:hint="default"/>
          <w:position w:val="-9"/>
          <w:sz w:val="16"/>
          <w:szCs w:val="16"/>
        </w:rPr>
        <w:t>NFV</w:t>
        <w:tab/>
      </w:r>
      <w:r>
        <w:rPr>
          <w:rFonts w:ascii="宋体" w:hAnsi="宋体" w:cs="宋体" w:eastAsia="宋体" w:hint="default"/>
          <w:w w:val="95"/>
          <w:sz w:val="16"/>
          <w:szCs w:val="16"/>
        </w:rPr>
        <w:t>Network  Function</w:t>
      </w:r>
      <w:r>
        <w:rPr>
          <w:rFonts w:ascii="宋体" w:hAnsi="宋体" w:cs="宋体" w:eastAsia="宋体" w:hint="default"/>
          <w:spacing w:val="37"/>
          <w:w w:val="95"/>
          <w:sz w:val="16"/>
          <w:szCs w:val="16"/>
        </w:rPr>
        <w:t> </w:t>
      </w:r>
      <w:r>
        <w:rPr>
          <w:rFonts w:ascii="宋体" w:hAnsi="宋体" w:cs="宋体" w:eastAsia="宋体" w:hint="default"/>
          <w:w w:val="95"/>
          <w:sz w:val="16"/>
          <w:szCs w:val="16"/>
        </w:rPr>
        <w:t>Virtualization，即网络功能虚拟化，指一种利用虚拟化技术提供</w:t>
      </w:r>
    </w:p>
    <w:p>
      <w:pPr>
        <w:spacing w:line="168" w:lineRule="exact" w:before="0"/>
        <w:ind w:left="3214" w:right="764" w:firstLine="0"/>
        <w:jc w:val="left"/>
        <w:rPr>
          <w:rFonts w:ascii="宋体" w:hAnsi="宋体" w:cs="宋体" w:eastAsia="宋体" w:hint="default"/>
          <w:sz w:val="16"/>
          <w:szCs w:val="16"/>
        </w:rPr>
      </w:pPr>
      <w:r>
        <w:rPr>
          <w:rFonts w:ascii="宋体" w:hAnsi="宋体" w:cs="宋体" w:eastAsia="宋体" w:hint="default"/>
          <w:sz w:val="16"/>
          <w:szCs w:val="16"/>
        </w:rPr>
        <w:t>各类网元功能的网络架构。</w:t>
      </w:r>
    </w:p>
    <w:p>
      <w:pPr>
        <w:tabs>
          <w:tab w:pos="3214" w:val="left" w:leader="none"/>
        </w:tabs>
        <w:spacing w:line="156" w:lineRule="auto" w:before="129"/>
        <w:ind w:left="3214" w:right="2861" w:hanging="1656"/>
        <w:jc w:val="left"/>
        <w:rPr>
          <w:rFonts w:ascii="宋体" w:hAnsi="宋体" w:cs="宋体" w:eastAsia="宋体" w:hint="default"/>
          <w:sz w:val="16"/>
          <w:szCs w:val="16"/>
        </w:rPr>
      </w:pPr>
      <w:r>
        <w:rPr>
          <w:rFonts w:ascii="宋体" w:hAnsi="宋体" w:cs="宋体" w:eastAsia="宋体" w:hint="default"/>
          <w:position w:val="-9"/>
          <w:sz w:val="16"/>
          <w:szCs w:val="16"/>
        </w:rPr>
        <w:t>NPS</w:t>
        <w:tab/>
      </w:r>
      <w:r>
        <w:rPr>
          <w:rFonts w:ascii="宋体" w:hAnsi="宋体" w:cs="宋体" w:eastAsia="宋体" w:hint="default"/>
          <w:sz w:val="16"/>
          <w:szCs w:val="16"/>
        </w:rPr>
        <w:t>Net</w:t>
      </w:r>
      <w:r>
        <w:rPr>
          <w:rFonts w:ascii="宋体" w:hAnsi="宋体" w:cs="宋体" w:eastAsia="宋体" w:hint="default"/>
          <w:spacing w:val="-39"/>
          <w:sz w:val="16"/>
          <w:szCs w:val="16"/>
        </w:rPr>
        <w:t> </w:t>
      </w:r>
      <w:r>
        <w:rPr>
          <w:rFonts w:ascii="宋体" w:hAnsi="宋体" w:cs="宋体" w:eastAsia="宋体" w:hint="default"/>
          <w:sz w:val="16"/>
          <w:szCs w:val="16"/>
        </w:rPr>
        <w:t>Promoter</w:t>
      </w:r>
      <w:r>
        <w:rPr>
          <w:rFonts w:ascii="宋体" w:hAnsi="宋体" w:cs="宋体" w:eastAsia="宋体" w:hint="default"/>
          <w:spacing w:val="-39"/>
          <w:sz w:val="16"/>
          <w:szCs w:val="16"/>
        </w:rPr>
        <w:t> </w:t>
      </w:r>
      <w:r>
        <w:rPr>
          <w:rFonts w:ascii="宋体" w:hAnsi="宋体" w:cs="宋体" w:eastAsia="宋体" w:hint="default"/>
          <w:sz w:val="16"/>
          <w:szCs w:val="16"/>
        </w:rPr>
        <w:t>Score，简称净推荐值，度量“客户向他人推荐某品牌</w:t>
      </w:r>
      <w:r>
        <w:rPr>
          <w:rFonts w:ascii="宋体" w:hAnsi="宋体" w:cs="宋体" w:eastAsia="宋体" w:hint="default"/>
          <w:spacing w:val="-43"/>
          <w:sz w:val="16"/>
          <w:szCs w:val="16"/>
        </w:rPr>
        <w:t> </w:t>
      </w:r>
      <w:r>
        <w:rPr>
          <w:rFonts w:ascii="宋体" w:hAnsi="宋体" w:cs="宋体" w:eastAsia="宋体" w:hint="default"/>
          <w:w w:val="95"/>
          <w:sz w:val="16"/>
          <w:szCs w:val="16"/>
        </w:rPr>
        <w:t>/</w:t>
      </w:r>
      <w:r>
        <w:rPr>
          <w:rFonts w:ascii="宋体" w:hAnsi="宋体" w:cs="宋体" w:eastAsia="宋体" w:hint="default"/>
          <w:spacing w:val="-39"/>
          <w:w w:val="95"/>
          <w:sz w:val="16"/>
          <w:szCs w:val="16"/>
        </w:rPr>
        <w:t> </w:t>
      </w:r>
      <w:r>
        <w:rPr>
          <w:rFonts w:ascii="宋体" w:hAnsi="宋体" w:cs="宋体" w:eastAsia="宋体" w:hint="default"/>
          <w:sz w:val="16"/>
          <w:szCs w:val="16"/>
        </w:rPr>
        <w:t>产品</w:t>
      </w:r>
      <w:r>
        <w:rPr>
          <w:rFonts w:ascii="宋体" w:hAnsi="宋体" w:cs="宋体" w:eastAsia="宋体" w:hint="default"/>
          <w:spacing w:val="-43"/>
          <w:sz w:val="16"/>
          <w:szCs w:val="16"/>
        </w:rPr>
        <w:t> </w:t>
      </w:r>
      <w:r>
        <w:rPr>
          <w:rFonts w:ascii="宋体" w:hAnsi="宋体" w:cs="宋体" w:eastAsia="宋体" w:hint="default"/>
          <w:w w:val="95"/>
          <w:sz w:val="16"/>
          <w:szCs w:val="16"/>
        </w:rPr>
        <w:t>/</w:t>
      </w:r>
      <w:r>
        <w:rPr>
          <w:rFonts w:ascii="宋体" w:hAnsi="宋体" w:cs="宋体" w:eastAsia="宋体" w:hint="default"/>
          <w:spacing w:val="-39"/>
          <w:w w:val="95"/>
          <w:sz w:val="16"/>
          <w:szCs w:val="16"/>
        </w:rPr>
        <w:t> </w:t>
      </w:r>
      <w:r>
        <w:rPr>
          <w:rFonts w:ascii="宋体" w:hAnsi="宋体" w:cs="宋体" w:eastAsia="宋体" w:hint="default"/>
          <w:sz w:val="16"/>
          <w:szCs w:val="16"/>
        </w:rPr>
        <w:t>服务倾</w:t>
      </w:r>
      <w:r>
        <w:rPr>
          <w:rFonts w:ascii="宋体" w:hAnsi="宋体" w:cs="宋体" w:eastAsia="宋体" w:hint="default"/>
          <w:sz w:val="16"/>
          <w:szCs w:val="16"/>
        </w:rPr>
        <w:t> 向”的指标。</w:t>
      </w:r>
    </w:p>
    <w:p>
      <w:pPr>
        <w:tabs>
          <w:tab w:pos="3214" w:val="left" w:leader="none"/>
        </w:tabs>
        <w:spacing w:line="314" w:lineRule="auto" w:before="72"/>
        <w:ind w:left="3214" w:right="2861" w:hanging="1656"/>
        <w:jc w:val="left"/>
        <w:rPr>
          <w:rFonts w:ascii="宋体" w:hAnsi="宋体" w:cs="宋体" w:eastAsia="宋体" w:hint="default"/>
          <w:sz w:val="16"/>
          <w:szCs w:val="16"/>
        </w:rPr>
      </w:pPr>
      <w:r>
        <w:rPr>
          <w:rFonts w:ascii="宋体" w:hAnsi="宋体" w:cs="宋体" w:eastAsia="宋体" w:hint="default"/>
          <w:w w:val="105"/>
          <w:sz w:val="16"/>
          <w:szCs w:val="16"/>
        </w:rPr>
        <w:t>OTT</w:t>
        <w:tab/>
      </w:r>
      <w:r>
        <w:rPr>
          <w:rFonts w:ascii="宋体" w:hAnsi="宋体" w:cs="宋体" w:eastAsia="宋体" w:hint="default"/>
          <w:sz w:val="16"/>
          <w:szCs w:val="16"/>
        </w:rPr>
        <w:t>Over</w:t>
      </w:r>
      <w:r>
        <w:rPr>
          <w:rFonts w:ascii="宋体" w:hAnsi="宋体" w:cs="宋体" w:eastAsia="宋体" w:hint="default"/>
          <w:spacing w:val="-21"/>
          <w:sz w:val="16"/>
          <w:szCs w:val="16"/>
        </w:rPr>
        <w:t> </w:t>
      </w:r>
      <w:r>
        <w:rPr>
          <w:rFonts w:ascii="宋体" w:hAnsi="宋体" w:cs="宋体" w:eastAsia="宋体" w:hint="default"/>
          <w:sz w:val="16"/>
          <w:szCs w:val="16"/>
        </w:rPr>
        <w:t>the</w:t>
      </w:r>
      <w:r>
        <w:rPr>
          <w:rFonts w:ascii="宋体" w:hAnsi="宋体" w:cs="宋体" w:eastAsia="宋体" w:hint="default"/>
          <w:spacing w:val="-21"/>
          <w:sz w:val="16"/>
          <w:szCs w:val="16"/>
        </w:rPr>
        <w:t> </w:t>
      </w:r>
      <w:r>
        <w:rPr>
          <w:rFonts w:ascii="宋体" w:hAnsi="宋体" w:cs="宋体" w:eastAsia="宋体" w:hint="default"/>
          <w:sz w:val="16"/>
          <w:szCs w:val="16"/>
        </w:rPr>
        <w:t>Top</w:t>
      </w:r>
      <w:r>
        <w:rPr>
          <w:rFonts w:ascii="宋体" w:hAnsi="宋体" w:cs="宋体" w:eastAsia="宋体" w:hint="default"/>
          <w:spacing w:val="-28"/>
          <w:sz w:val="16"/>
          <w:szCs w:val="16"/>
        </w:rPr>
        <w:t> </w:t>
      </w:r>
      <w:r>
        <w:rPr>
          <w:rFonts w:ascii="宋体" w:hAnsi="宋体" w:cs="宋体" w:eastAsia="宋体" w:hint="default"/>
          <w:sz w:val="16"/>
          <w:szCs w:val="16"/>
        </w:rPr>
        <w:t>的缩写，泛指通过互联网向用户提供各种业务的服务提供商。</w:t>
      </w:r>
      <w:r>
        <w:rPr>
          <w:rFonts w:ascii="宋体" w:hAnsi="宋体" w:cs="宋体" w:eastAsia="宋体" w:hint="default"/>
          <w:sz w:val="16"/>
          <w:szCs w:val="16"/>
        </w:rPr>
        <w:t> Software Defined</w:t>
      </w:r>
      <w:r>
        <w:rPr>
          <w:rFonts w:ascii="宋体" w:hAnsi="宋体" w:cs="宋体" w:eastAsia="宋体" w:hint="default"/>
          <w:spacing w:val="56"/>
          <w:sz w:val="16"/>
          <w:szCs w:val="16"/>
        </w:rPr>
        <w:t> </w:t>
      </w:r>
      <w:r>
        <w:rPr>
          <w:rFonts w:ascii="宋体" w:hAnsi="宋体" w:cs="宋体" w:eastAsia="宋体" w:hint="default"/>
          <w:sz w:val="16"/>
          <w:szCs w:val="16"/>
        </w:rPr>
        <w:t>Network，即软件定义网络，主要特点是控制面和转发面分离、</w:t>
      </w:r>
    </w:p>
    <w:p>
      <w:pPr>
        <w:spacing w:after="0" w:line="314" w:lineRule="auto"/>
        <w:jc w:val="left"/>
        <w:rPr>
          <w:rFonts w:ascii="宋体" w:hAnsi="宋体" w:cs="宋体" w:eastAsia="宋体" w:hint="default"/>
          <w:sz w:val="16"/>
          <w:szCs w:val="16"/>
        </w:rPr>
        <w:sectPr>
          <w:type w:val="continuous"/>
          <w:pgSz w:w="11910" w:h="16160"/>
          <w:pgMar w:top="1520" w:bottom="280" w:left="0" w:right="0"/>
        </w:sectPr>
      </w:pPr>
    </w:p>
    <w:p>
      <w:pPr>
        <w:spacing w:line="150" w:lineRule="exact" w:before="0"/>
        <w:ind w:left="0" w:right="0" w:firstLine="0"/>
        <w:jc w:val="right"/>
        <w:rPr>
          <w:rFonts w:ascii="宋体" w:hAnsi="宋体" w:cs="宋体" w:eastAsia="宋体" w:hint="default"/>
          <w:sz w:val="16"/>
          <w:szCs w:val="16"/>
        </w:rPr>
      </w:pPr>
      <w:r>
        <w:rPr>
          <w:rFonts w:ascii="宋体"/>
          <w:w w:val="135"/>
          <w:sz w:val="16"/>
        </w:rPr>
        <w:t>SDN</w:t>
      </w:r>
      <w:r>
        <w:rPr>
          <w:rFonts w:ascii="宋体"/>
          <w:sz w:val="16"/>
        </w:rPr>
      </w:r>
    </w:p>
    <w:p>
      <w:pPr>
        <w:spacing w:line="146" w:lineRule="exact" w:before="0"/>
        <w:ind w:left="1288"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集中化控制，以及开放的北向接口。逻辑上集中的控制层面能够支持网络资源的灵</w:t>
      </w:r>
    </w:p>
    <w:p>
      <w:pPr>
        <w:spacing w:line="205" w:lineRule="exact" w:before="0"/>
        <w:ind w:left="1288" w:right="0" w:firstLine="0"/>
        <w:jc w:val="left"/>
        <w:rPr>
          <w:rFonts w:ascii="宋体" w:hAnsi="宋体" w:cs="宋体" w:eastAsia="宋体" w:hint="default"/>
          <w:sz w:val="16"/>
          <w:szCs w:val="16"/>
        </w:rPr>
      </w:pPr>
      <w:r>
        <w:rPr>
          <w:rFonts w:ascii="宋体" w:hAnsi="宋体" w:cs="宋体" w:eastAsia="宋体" w:hint="default"/>
          <w:sz w:val="16"/>
          <w:szCs w:val="16"/>
        </w:rPr>
        <w:t>活调度，灵活的开放接口能够支持网络能力的按需调用，并实现可编程化控制。</w:t>
      </w:r>
    </w:p>
    <w:p>
      <w:pPr>
        <w:spacing w:after="0" w:line="205" w:lineRule="exact"/>
        <w:jc w:val="left"/>
        <w:rPr>
          <w:rFonts w:ascii="宋体" w:hAnsi="宋体" w:cs="宋体" w:eastAsia="宋体" w:hint="default"/>
          <w:sz w:val="16"/>
          <w:szCs w:val="16"/>
        </w:rPr>
        <w:sectPr>
          <w:type w:val="continuous"/>
          <w:pgSz w:w="11910" w:h="16160"/>
          <w:pgMar w:top="1520" w:bottom="280" w:left="0" w:right="0"/>
          <w:cols w:num="2" w:equalWidth="0">
            <w:col w:w="1887" w:space="40"/>
            <w:col w:w="9983"/>
          </w:cols>
        </w:sectPr>
      </w:pPr>
    </w:p>
    <w:p>
      <w:pPr>
        <w:tabs>
          <w:tab w:pos="3214" w:val="left" w:leader="none"/>
        </w:tabs>
        <w:spacing w:line="156" w:lineRule="auto" w:before="129"/>
        <w:ind w:left="3214" w:right="2860" w:hanging="1656"/>
        <w:jc w:val="left"/>
        <w:rPr>
          <w:rFonts w:ascii="宋体" w:hAnsi="宋体" w:cs="宋体" w:eastAsia="宋体" w:hint="default"/>
          <w:sz w:val="16"/>
          <w:szCs w:val="16"/>
        </w:rPr>
      </w:pPr>
      <w:r>
        <w:rPr>
          <w:rFonts w:ascii="宋体" w:hAnsi="宋体" w:cs="宋体" w:eastAsia="宋体" w:hint="default"/>
          <w:w w:val="110"/>
          <w:position w:val="-9"/>
          <w:sz w:val="16"/>
          <w:szCs w:val="16"/>
        </w:rPr>
        <w:t>TD-LTE</w:t>
        <w:tab/>
      </w:r>
      <w:r>
        <w:rPr>
          <w:rFonts w:ascii="宋体" w:hAnsi="宋体" w:cs="宋体" w:eastAsia="宋体" w:hint="default"/>
          <w:spacing w:val="2"/>
          <w:w w:val="110"/>
          <w:sz w:val="16"/>
          <w:szCs w:val="16"/>
        </w:rPr>
        <w:t>TDD</w:t>
      </w:r>
      <w:r>
        <w:rPr>
          <w:rFonts w:ascii="宋体" w:hAnsi="宋体" w:cs="宋体" w:eastAsia="宋体" w:hint="default"/>
          <w:spacing w:val="-49"/>
          <w:w w:val="110"/>
          <w:sz w:val="16"/>
          <w:szCs w:val="16"/>
        </w:rPr>
        <w:t> </w:t>
      </w:r>
      <w:r>
        <w:rPr>
          <w:rFonts w:ascii="宋体" w:hAnsi="宋体" w:cs="宋体" w:eastAsia="宋体" w:hint="default"/>
          <w:spacing w:val="5"/>
          <w:w w:val="110"/>
          <w:sz w:val="16"/>
          <w:szCs w:val="16"/>
        </w:rPr>
        <w:t>版本的</w:t>
      </w:r>
      <w:r>
        <w:rPr>
          <w:rFonts w:ascii="宋体" w:hAnsi="宋体" w:cs="宋体" w:eastAsia="宋体" w:hint="default"/>
          <w:spacing w:val="-48"/>
          <w:w w:val="110"/>
          <w:sz w:val="16"/>
          <w:szCs w:val="16"/>
        </w:rPr>
        <w:t> </w:t>
      </w:r>
      <w:r>
        <w:rPr>
          <w:rFonts w:ascii="宋体" w:hAnsi="宋体" w:cs="宋体" w:eastAsia="宋体" w:hint="default"/>
          <w:spacing w:val="3"/>
          <w:w w:val="110"/>
          <w:sz w:val="16"/>
          <w:szCs w:val="16"/>
        </w:rPr>
        <w:t>LTE</w:t>
      </w:r>
      <w:r>
        <w:rPr>
          <w:rFonts w:ascii="宋体" w:hAnsi="宋体" w:cs="宋体" w:eastAsia="宋体" w:hint="default"/>
          <w:spacing w:val="-48"/>
          <w:w w:val="110"/>
          <w:sz w:val="16"/>
          <w:szCs w:val="16"/>
        </w:rPr>
        <w:t> </w:t>
      </w:r>
      <w:r>
        <w:rPr>
          <w:rFonts w:ascii="宋体" w:hAnsi="宋体" w:cs="宋体" w:eastAsia="宋体" w:hint="default"/>
          <w:spacing w:val="4"/>
          <w:w w:val="110"/>
          <w:sz w:val="16"/>
          <w:szCs w:val="16"/>
        </w:rPr>
        <w:t>标准。LTE</w:t>
      </w:r>
      <w:r>
        <w:rPr>
          <w:rFonts w:ascii="宋体" w:hAnsi="宋体" w:cs="宋体" w:eastAsia="宋体" w:hint="default"/>
          <w:spacing w:val="-48"/>
          <w:w w:val="110"/>
          <w:sz w:val="16"/>
          <w:szCs w:val="16"/>
        </w:rPr>
        <w:t> </w:t>
      </w:r>
      <w:r>
        <w:rPr>
          <w:rFonts w:ascii="宋体" w:hAnsi="宋体" w:cs="宋体" w:eastAsia="宋体" w:hint="default"/>
          <w:w w:val="110"/>
          <w:sz w:val="16"/>
          <w:szCs w:val="16"/>
        </w:rPr>
        <w:t>是</w:t>
      </w:r>
      <w:r>
        <w:rPr>
          <w:rFonts w:ascii="宋体" w:hAnsi="宋体" w:cs="宋体" w:eastAsia="宋体" w:hint="default"/>
          <w:spacing w:val="-48"/>
          <w:w w:val="110"/>
          <w:sz w:val="16"/>
          <w:szCs w:val="16"/>
        </w:rPr>
        <w:t> </w:t>
      </w:r>
      <w:r>
        <w:rPr>
          <w:rFonts w:ascii="宋体" w:hAnsi="宋体" w:cs="宋体" w:eastAsia="宋体" w:hint="default"/>
          <w:spacing w:val="3"/>
          <w:w w:val="110"/>
          <w:sz w:val="16"/>
          <w:szCs w:val="16"/>
        </w:rPr>
        <w:t>3GPP</w:t>
      </w:r>
      <w:r>
        <w:rPr>
          <w:rFonts w:ascii="宋体" w:hAnsi="宋体" w:cs="宋体" w:eastAsia="宋体" w:hint="default"/>
          <w:spacing w:val="-48"/>
          <w:w w:val="110"/>
          <w:sz w:val="16"/>
          <w:szCs w:val="16"/>
        </w:rPr>
        <w:t> </w:t>
      </w:r>
      <w:r>
        <w:rPr>
          <w:rFonts w:ascii="宋体" w:hAnsi="宋体" w:cs="宋体" w:eastAsia="宋体" w:hint="default"/>
          <w:spacing w:val="6"/>
          <w:w w:val="110"/>
          <w:sz w:val="16"/>
          <w:szCs w:val="16"/>
        </w:rPr>
        <w:t>组织制定的</w:t>
      </w:r>
      <w:r>
        <w:rPr>
          <w:rFonts w:ascii="宋体" w:hAnsi="宋体" w:cs="宋体" w:eastAsia="宋体" w:hint="default"/>
          <w:spacing w:val="-48"/>
          <w:w w:val="110"/>
          <w:sz w:val="16"/>
          <w:szCs w:val="16"/>
        </w:rPr>
        <w:t> </w:t>
      </w:r>
      <w:r>
        <w:rPr>
          <w:rFonts w:ascii="宋体" w:hAnsi="宋体" w:cs="宋体" w:eastAsia="宋体" w:hint="default"/>
          <w:w w:val="110"/>
          <w:sz w:val="16"/>
          <w:szCs w:val="16"/>
        </w:rPr>
        <w:t>4G</w:t>
      </w:r>
      <w:r>
        <w:rPr>
          <w:rFonts w:ascii="宋体" w:hAnsi="宋体" w:cs="宋体" w:eastAsia="宋体" w:hint="default"/>
          <w:spacing w:val="-49"/>
          <w:w w:val="110"/>
          <w:sz w:val="16"/>
          <w:szCs w:val="16"/>
        </w:rPr>
        <w:t> </w:t>
      </w:r>
      <w:r>
        <w:rPr>
          <w:rFonts w:ascii="宋体" w:hAnsi="宋体" w:cs="宋体" w:eastAsia="宋体" w:hint="default"/>
          <w:spacing w:val="6"/>
          <w:w w:val="110"/>
          <w:sz w:val="16"/>
          <w:szCs w:val="16"/>
        </w:rPr>
        <w:t>技术标准，基于</w:t>
      </w:r>
      <w:r>
        <w:rPr>
          <w:rFonts w:ascii="宋体" w:hAnsi="宋体" w:cs="宋体" w:eastAsia="宋体" w:hint="default"/>
          <w:spacing w:val="-48"/>
          <w:w w:val="110"/>
          <w:sz w:val="16"/>
          <w:szCs w:val="16"/>
        </w:rPr>
        <w:t> </w:t>
      </w:r>
      <w:r>
        <w:rPr>
          <w:rFonts w:ascii="宋体" w:hAnsi="宋体" w:cs="宋体" w:eastAsia="宋体" w:hint="default"/>
          <w:spacing w:val="3"/>
          <w:w w:val="130"/>
          <w:sz w:val="16"/>
          <w:szCs w:val="16"/>
        </w:rPr>
        <w:t>OFDM</w:t>
      </w:r>
      <w:r>
        <w:rPr>
          <w:rFonts w:ascii="宋体" w:hAnsi="宋体" w:cs="宋体" w:eastAsia="宋体" w:hint="default"/>
          <w:spacing w:val="-64"/>
          <w:w w:val="130"/>
          <w:sz w:val="16"/>
          <w:szCs w:val="16"/>
        </w:rPr>
        <w:t> </w:t>
      </w:r>
      <w:r>
        <w:rPr>
          <w:rFonts w:ascii="宋体" w:hAnsi="宋体" w:cs="宋体" w:eastAsia="宋体" w:hint="default"/>
          <w:w w:val="110"/>
          <w:sz w:val="16"/>
          <w:szCs w:val="16"/>
        </w:rPr>
        <w:t>技</w:t>
      </w:r>
      <w:r>
        <w:rPr>
          <w:rFonts w:ascii="宋体" w:hAnsi="宋体" w:cs="宋体" w:eastAsia="宋体" w:hint="default"/>
          <w:sz w:val="16"/>
          <w:szCs w:val="16"/>
        </w:rPr>
        <w:t> </w:t>
      </w:r>
      <w:r>
        <w:rPr>
          <w:rFonts w:ascii="宋体" w:hAnsi="宋体" w:cs="宋体" w:eastAsia="宋体" w:hint="default"/>
          <w:spacing w:val="4"/>
          <w:w w:val="105"/>
          <w:sz w:val="16"/>
          <w:szCs w:val="16"/>
        </w:rPr>
        <w:t>术，TDD</w:t>
      </w:r>
      <w:r>
        <w:rPr>
          <w:rFonts w:ascii="宋体" w:hAnsi="宋体" w:cs="宋体" w:eastAsia="宋体" w:hint="default"/>
          <w:spacing w:val="-40"/>
          <w:w w:val="105"/>
          <w:sz w:val="16"/>
          <w:szCs w:val="16"/>
        </w:rPr>
        <w:t> </w:t>
      </w:r>
      <w:r>
        <w:rPr>
          <w:rFonts w:ascii="宋体" w:hAnsi="宋体" w:cs="宋体" w:eastAsia="宋体" w:hint="default"/>
          <w:spacing w:val="6"/>
          <w:w w:val="105"/>
          <w:sz w:val="16"/>
          <w:szCs w:val="16"/>
        </w:rPr>
        <w:t>表示时分双工。</w:t>
      </w:r>
      <w:r>
        <w:rPr>
          <w:rFonts w:ascii="宋体" w:hAnsi="宋体" w:cs="宋体" w:eastAsia="宋体" w:hint="default"/>
          <w:w w:val="105"/>
          <w:sz w:val="16"/>
          <w:szCs w:val="16"/>
        </w:rPr>
      </w:r>
    </w:p>
    <w:p>
      <w:pPr>
        <w:tabs>
          <w:tab w:pos="3214" w:val="left" w:leader="none"/>
        </w:tabs>
        <w:spacing w:line="314" w:lineRule="auto" w:before="72"/>
        <w:ind w:left="1559" w:right="3856" w:firstLine="0"/>
        <w:jc w:val="left"/>
        <w:rPr>
          <w:rFonts w:ascii="宋体" w:hAnsi="宋体" w:cs="宋体" w:eastAsia="宋体" w:hint="default"/>
          <w:sz w:val="16"/>
          <w:szCs w:val="16"/>
        </w:rPr>
      </w:pPr>
      <w:r>
        <w:rPr>
          <w:rFonts w:ascii="宋体" w:hAnsi="宋体" w:cs="宋体" w:eastAsia="宋体" w:hint="default"/>
          <w:w w:val="105"/>
          <w:sz w:val="16"/>
          <w:szCs w:val="16"/>
        </w:rPr>
        <w:t>VoLTE</w:t>
        <w:tab/>
        <w:t>Voice</w:t>
      </w:r>
      <w:r>
        <w:rPr>
          <w:rFonts w:ascii="宋体" w:hAnsi="宋体" w:cs="宋体" w:eastAsia="宋体" w:hint="default"/>
          <w:spacing w:val="-62"/>
          <w:w w:val="105"/>
          <w:sz w:val="16"/>
          <w:szCs w:val="16"/>
        </w:rPr>
        <w:t> </w:t>
      </w:r>
      <w:r>
        <w:rPr>
          <w:rFonts w:ascii="宋体" w:hAnsi="宋体" w:cs="宋体" w:eastAsia="宋体" w:hint="default"/>
          <w:w w:val="105"/>
          <w:sz w:val="16"/>
          <w:szCs w:val="16"/>
        </w:rPr>
        <w:t>over</w:t>
      </w:r>
      <w:r>
        <w:rPr>
          <w:rFonts w:ascii="宋体" w:hAnsi="宋体" w:cs="宋体" w:eastAsia="宋体" w:hint="default"/>
          <w:spacing w:val="-62"/>
          <w:w w:val="105"/>
          <w:sz w:val="16"/>
          <w:szCs w:val="16"/>
        </w:rPr>
        <w:t> </w:t>
      </w:r>
      <w:r>
        <w:rPr>
          <w:rFonts w:ascii="宋体" w:hAnsi="宋体" w:cs="宋体" w:eastAsia="宋体" w:hint="default"/>
          <w:w w:val="105"/>
          <w:sz w:val="16"/>
          <w:szCs w:val="16"/>
        </w:rPr>
        <w:t>LTE，是基于</w:t>
      </w:r>
      <w:r>
        <w:rPr>
          <w:rFonts w:ascii="宋体" w:hAnsi="宋体" w:cs="宋体" w:eastAsia="宋体" w:hint="default"/>
          <w:spacing w:val="-65"/>
          <w:w w:val="105"/>
          <w:sz w:val="16"/>
          <w:szCs w:val="16"/>
        </w:rPr>
        <w:t> </w:t>
      </w:r>
      <w:r>
        <w:rPr>
          <w:rFonts w:ascii="宋体" w:hAnsi="宋体" w:cs="宋体" w:eastAsia="宋体" w:hint="default"/>
          <w:w w:val="105"/>
          <w:sz w:val="16"/>
          <w:szCs w:val="16"/>
        </w:rPr>
        <w:t>IMS</w:t>
      </w:r>
      <w:r>
        <w:rPr>
          <w:rFonts w:ascii="宋体" w:hAnsi="宋体" w:cs="宋体" w:eastAsia="宋体" w:hint="default"/>
          <w:spacing w:val="-64"/>
          <w:w w:val="105"/>
          <w:sz w:val="16"/>
          <w:szCs w:val="16"/>
        </w:rPr>
        <w:t> </w:t>
      </w:r>
      <w:r>
        <w:rPr>
          <w:rFonts w:ascii="宋体" w:hAnsi="宋体" w:cs="宋体" w:eastAsia="宋体" w:hint="default"/>
          <w:w w:val="105"/>
          <w:sz w:val="16"/>
          <w:szCs w:val="16"/>
        </w:rPr>
        <w:t>技术、承载在</w:t>
      </w:r>
      <w:r>
        <w:rPr>
          <w:rFonts w:ascii="宋体" w:hAnsi="宋体" w:cs="宋体" w:eastAsia="宋体" w:hint="default"/>
          <w:spacing w:val="-64"/>
          <w:w w:val="105"/>
          <w:sz w:val="16"/>
          <w:szCs w:val="16"/>
        </w:rPr>
        <w:t> </w:t>
      </w:r>
      <w:r>
        <w:rPr>
          <w:rFonts w:ascii="宋体" w:hAnsi="宋体" w:cs="宋体" w:eastAsia="宋体" w:hint="default"/>
          <w:w w:val="105"/>
          <w:sz w:val="16"/>
          <w:szCs w:val="16"/>
        </w:rPr>
        <w:t>LTE</w:t>
      </w:r>
      <w:r>
        <w:rPr>
          <w:rFonts w:ascii="宋体" w:hAnsi="宋体" w:cs="宋体" w:eastAsia="宋体" w:hint="default"/>
          <w:spacing w:val="-65"/>
          <w:w w:val="105"/>
          <w:sz w:val="16"/>
          <w:szCs w:val="16"/>
        </w:rPr>
        <w:t> </w:t>
      </w:r>
      <w:r>
        <w:rPr>
          <w:rFonts w:ascii="宋体" w:hAnsi="宋体" w:cs="宋体" w:eastAsia="宋体" w:hint="default"/>
          <w:w w:val="105"/>
          <w:sz w:val="16"/>
          <w:szCs w:val="16"/>
        </w:rPr>
        <w:t>网络上的语音业务。</w:t>
      </w:r>
      <w:r>
        <w:rPr>
          <w:rFonts w:ascii="宋体" w:hAnsi="宋体" w:cs="宋体" w:eastAsia="宋体" w:hint="default"/>
          <w:sz w:val="16"/>
          <w:szCs w:val="16"/>
        </w:rPr>
        <w:t> </w:t>
      </w:r>
      <w:r>
        <w:rPr>
          <w:rFonts w:ascii="宋体" w:hAnsi="宋体" w:cs="宋体" w:eastAsia="宋体" w:hint="default"/>
          <w:w w:val="105"/>
          <w:sz w:val="16"/>
          <w:szCs w:val="16"/>
        </w:rPr>
        <w:t>VoWiFi</w:t>
        <w:tab/>
      </w:r>
      <w:r>
        <w:rPr>
          <w:rFonts w:ascii="宋体" w:hAnsi="宋体" w:cs="宋体" w:eastAsia="宋体" w:hint="default"/>
          <w:sz w:val="16"/>
          <w:szCs w:val="16"/>
        </w:rPr>
        <w:t>Voice</w:t>
      </w:r>
      <w:r>
        <w:rPr>
          <w:rFonts w:ascii="宋体" w:hAnsi="宋体" w:cs="宋体" w:eastAsia="宋体" w:hint="default"/>
          <w:spacing w:val="-42"/>
          <w:sz w:val="16"/>
          <w:szCs w:val="16"/>
        </w:rPr>
        <w:t> </w:t>
      </w:r>
      <w:r>
        <w:rPr>
          <w:rFonts w:ascii="宋体" w:hAnsi="宋体" w:cs="宋体" w:eastAsia="宋体" w:hint="default"/>
          <w:sz w:val="16"/>
          <w:szCs w:val="16"/>
        </w:rPr>
        <w:t>over</w:t>
      </w:r>
      <w:r>
        <w:rPr>
          <w:rFonts w:ascii="宋体" w:hAnsi="宋体" w:cs="宋体" w:eastAsia="宋体" w:hint="default"/>
          <w:spacing w:val="-42"/>
          <w:sz w:val="16"/>
          <w:szCs w:val="16"/>
        </w:rPr>
        <w:t> </w:t>
      </w:r>
      <w:r>
        <w:rPr>
          <w:rFonts w:ascii="宋体" w:hAnsi="宋体" w:cs="宋体" w:eastAsia="宋体" w:hint="default"/>
          <w:sz w:val="16"/>
          <w:szCs w:val="16"/>
        </w:rPr>
        <w:t>WiFi，指通过</w:t>
      </w:r>
      <w:r>
        <w:rPr>
          <w:rFonts w:ascii="宋体" w:hAnsi="宋体" w:cs="宋体" w:eastAsia="宋体" w:hint="default"/>
          <w:spacing w:val="-47"/>
          <w:sz w:val="16"/>
          <w:szCs w:val="16"/>
        </w:rPr>
        <w:t> </w:t>
      </w:r>
      <w:r>
        <w:rPr>
          <w:rFonts w:ascii="宋体" w:hAnsi="宋体" w:cs="宋体" w:eastAsia="宋体" w:hint="default"/>
          <w:sz w:val="16"/>
          <w:szCs w:val="16"/>
        </w:rPr>
        <w:t>WiFi</w:t>
      </w:r>
      <w:r>
        <w:rPr>
          <w:rFonts w:ascii="宋体" w:hAnsi="宋体" w:cs="宋体" w:eastAsia="宋体" w:hint="default"/>
          <w:spacing w:val="-47"/>
          <w:sz w:val="16"/>
          <w:szCs w:val="16"/>
        </w:rPr>
        <w:t> </w:t>
      </w:r>
      <w:r>
        <w:rPr>
          <w:rFonts w:ascii="宋体" w:hAnsi="宋体" w:cs="宋体" w:eastAsia="宋体" w:hint="default"/>
          <w:sz w:val="16"/>
          <w:szCs w:val="16"/>
        </w:rPr>
        <w:t>接入提供的语音业务。</w:t>
      </w:r>
    </w:p>
    <w:p>
      <w:pPr>
        <w:tabs>
          <w:tab w:pos="3214" w:val="left" w:leader="none"/>
        </w:tabs>
        <w:spacing w:line="314" w:lineRule="auto" w:before="14"/>
        <w:ind w:left="3214" w:right="2861" w:hanging="1656"/>
        <w:jc w:val="left"/>
        <w:rPr>
          <w:rFonts w:ascii="宋体" w:hAnsi="宋体" w:cs="宋体" w:eastAsia="宋体" w:hint="default"/>
          <w:sz w:val="16"/>
          <w:szCs w:val="16"/>
        </w:rPr>
      </w:pPr>
      <w:r>
        <w:rPr>
          <w:rFonts w:ascii="宋体" w:hAnsi="宋体" w:cs="宋体" w:eastAsia="宋体" w:hint="default"/>
          <w:sz w:val="16"/>
          <w:szCs w:val="16"/>
        </w:rPr>
        <w:t>冰激凌</w:t>
        <w:tab/>
        <w:t>公司推出的一种包月大流量 4G</w:t>
      </w:r>
      <w:r>
        <w:rPr>
          <w:rFonts w:ascii="宋体" w:hAnsi="宋体" w:cs="宋体" w:eastAsia="宋体" w:hint="default"/>
          <w:spacing w:val="-38"/>
          <w:sz w:val="16"/>
          <w:szCs w:val="16"/>
        </w:rPr>
        <w:t> </w:t>
      </w:r>
      <w:r>
        <w:rPr>
          <w:rFonts w:ascii="宋体" w:hAnsi="宋体" w:cs="宋体" w:eastAsia="宋体" w:hint="default"/>
          <w:sz w:val="16"/>
          <w:szCs w:val="16"/>
        </w:rPr>
        <w:t>套餐产品名称。</w:t>
      </w:r>
      <w:r>
        <w:rPr>
          <w:rFonts w:ascii="宋体" w:hAnsi="宋体" w:cs="宋体" w:eastAsia="宋体" w:hint="default"/>
          <w:sz w:val="16"/>
          <w:szCs w:val="16"/>
        </w:rPr>
        <w:t> 公司依托自身精品视频承载网络、广泛聚合优质互联网视频产品推出的视频流量服</w:t>
      </w:r>
    </w:p>
    <w:p>
      <w:pPr>
        <w:spacing w:after="0" w:line="314" w:lineRule="auto"/>
        <w:jc w:val="left"/>
        <w:rPr>
          <w:rFonts w:ascii="宋体" w:hAnsi="宋体" w:cs="宋体" w:eastAsia="宋体" w:hint="default"/>
          <w:sz w:val="16"/>
          <w:szCs w:val="16"/>
        </w:rPr>
        <w:sectPr>
          <w:type w:val="continuous"/>
          <w:pgSz w:w="11910" w:h="16160"/>
          <w:pgMar w:top="1520" w:bottom="280" w:left="0" w:right="0"/>
        </w:sectPr>
      </w:pPr>
    </w:p>
    <w:p>
      <w:pPr>
        <w:spacing w:line="150" w:lineRule="exact"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畅视计划</w:t>
      </w:r>
    </w:p>
    <w:p>
      <w:pPr>
        <w:spacing w:line="146" w:lineRule="exact" w:before="0"/>
        <w:ind w:left="975"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务，是中国联通与互联网视频服务方合作、向</w:t>
      </w:r>
      <w:r>
        <w:rPr>
          <w:rFonts w:ascii="宋体" w:hAnsi="宋体" w:cs="宋体" w:eastAsia="宋体" w:hint="default"/>
          <w:spacing w:val="-40"/>
          <w:sz w:val="16"/>
          <w:szCs w:val="16"/>
        </w:rPr>
        <w:t> </w:t>
      </w:r>
      <w:r>
        <w:rPr>
          <w:rFonts w:ascii="宋体" w:hAnsi="宋体" w:cs="宋体" w:eastAsia="宋体" w:hint="default"/>
          <w:spacing w:val="-1"/>
          <w:w w:val="111"/>
          <w:sz w:val="16"/>
          <w:szCs w:val="16"/>
        </w:rPr>
        <w:t>4</w:t>
      </w:r>
      <w:r>
        <w:rPr>
          <w:rFonts w:ascii="宋体" w:hAnsi="宋体" w:cs="宋体" w:eastAsia="宋体" w:hint="default"/>
          <w:spacing w:val="-1"/>
          <w:w w:val="143"/>
          <w:sz w:val="16"/>
          <w:szCs w:val="16"/>
        </w:rPr>
        <w:t>G</w:t>
      </w:r>
      <w:r>
        <w:rPr>
          <w:rFonts w:ascii="宋体" w:hAnsi="宋体" w:cs="宋体" w:eastAsia="宋体" w:hint="default"/>
          <w:w w:val="55"/>
          <w:sz w:val="16"/>
          <w:szCs w:val="16"/>
        </w:rPr>
        <w:t>/</w:t>
      </w:r>
      <w:r>
        <w:rPr>
          <w:rFonts w:ascii="宋体" w:hAnsi="宋体" w:cs="宋体" w:eastAsia="宋体" w:hint="default"/>
          <w:spacing w:val="-1"/>
          <w:w w:val="111"/>
          <w:sz w:val="16"/>
          <w:szCs w:val="16"/>
        </w:rPr>
        <w:t>3</w:t>
      </w:r>
      <w:r>
        <w:rPr>
          <w:rFonts w:ascii="宋体" w:hAnsi="宋体" w:cs="宋体" w:eastAsia="宋体" w:hint="default"/>
          <w:w w:val="143"/>
          <w:sz w:val="16"/>
          <w:szCs w:val="16"/>
        </w:rPr>
        <w:t>G</w:t>
      </w:r>
      <w:r>
        <w:rPr>
          <w:rFonts w:ascii="宋体" w:hAnsi="宋体" w:cs="宋体" w:eastAsia="宋体" w:hint="default"/>
          <w:spacing w:val="-40"/>
          <w:sz w:val="16"/>
          <w:szCs w:val="16"/>
        </w:rPr>
        <w:t> </w:t>
      </w:r>
      <w:r>
        <w:rPr>
          <w:rFonts w:ascii="宋体" w:hAnsi="宋体" w:cs="宋体" w:eastAsia="宋体" w:hint="default"/>
          <w:sz w:val="16"/>
          <w:szCs w:val="16"/>
        </w:rPr>
        <w:t>用户提供多个合作方客户端不</w:t>
      </w:r>
    </w:p>
    <w:p>
      <w:pPr>
        <w:spacing w:line="205" w:lineRule="exact" w:before="0"/>
        <w:ind w:left="975" w:right="0" w:firstLine="0"/>
        <w:jc w:val="left"/>
        <w:rPr>
          <w:rFonts w:ascii="宋体" w:hAnsi="宋体" w:cs="宋体" w:eastAsia="宋体" w:hint="default"/>
          <w:sz w:val="16"/>
          <w:szCs w:val="16"/>
        </w:rPr>
      </w:pPr>
      <w:r>
        <w:rPr>
          <w:rFonts w:ascii="宋体" w:hAnsi="宋体" w:cs="宋体" w:eastAsia="宋体" w:hint="default"/>
          <w:sz w:val="16"/>
          <w:szCs w:val="16"/>
        </w:rPr>
        <w:t>同清晰度视频内容的定向流量服务。</w:t>
      </w:r>
    </w:p>
    <w:p>
      <w:pPr>
        <w:spacing w:after="0" w:line="205" w:lineRule="exact"/>
        <w:jc w:val="left"/>
        <w:rPr>
          <w:rFonts w:ascii="宋体" w:hAnsi="宋体" w:cs="宋体" w:eastAsia="宋体" w:hint="default"/>
          <w:sz w:val="16"/>
          <w:szCs w:val="16"/>
        </w:rPr>
        <w:sectPr>
          <w:type w:val="continuous"/>
          <w:pgSz w:w="11910" w:h="16160"/>
          <w:pgMar w:top="1520" w:bottom="280" w:left="0" w:right="0"/>
          <w:cols w:num="2" w:equalWidth="0">
            <w:col w:w="2200" w:space="40"/>
            <w:col w:w="9670"/>
          </w:cols>
        </w:sectPr>
      </w:pPr>
    </w:p>
    <w:p>
      <w:pPr>
        <w:tabs>
          <w:tab w:pos="3214" w:val="left" w:leader="none"/>
        </w:tabs>
        <w:spacing w:line="156" w:lineRule="auto" w:before="129"/>
        <w:ind w:left="3214" w:right="2861" w:hanging="1656"/>
        <w:jc w:val="left"/>
        <w:rPr>
          <w:rFonts w:ascii="宋体" w:hAnsi="宋体" w:cs="宋体" w:eastAsia="宋体" w:hint="default"/>
          <w:sz w:val="16"/>
          <w:szCs w:val="16"/>
        </w:rPr>
      </w:pPr>
      <w:r>
        <w:rPr>
          <w:rFonts w:ascii="宋体" w:hAnsi="宋体" w:cs="宋体" w:eastAsia="宋体" w:hint="default"/>
          <w:position w:val="-9"/>
          <w:sz w:val="16"/>
          <w:szCs w:val="16"/>
        </w:rPr>
        <w:t>大数据</w:t>
        <w:tab/>
      </w:r>
      <w:r>
        <w:rPr>
          <w:rFonts w:ascii="宋体" w:hAnsi="宋体" w:cs="宋体" w:eastAsia="宋体" w:hint="default"/>
          <w:sz w:val="16"/>
          <w:szCs w:val="16"/>
        </w:rPr>
        <w:t>海量、实时、多样化的可被记录、采集和开发利用的数据信息，以及基于大数据的</w:t>
      </w:r>
      <w:r>
        <w:rPr>
          <w:rFonts w:ascii="宋体" w:hAnsi="宋体" w:cs="宋体" w:eastAsia="宋体" w:hint="default"/>
          <w:spacing w:val="-17"/>
          <w:sz w:val="16"/>
          <w:szCs w:val="16"/>
        </w:rPr>
        <w:t> </w:t>
      </w:r>
      <w:r>
        <w:rPr>
          <w:rFonts w:ascii="宋体" w:hAnsi="宋体" w:cs="宋体" w:eastAsia="宋体" w:hint="default"/>
          <w:spacing w:val="-17"/>
          <w:sz w:val="16"/>
          <w:szCs w:val="16"/>
        </w:rPr>
      </w:r>
      <w:r>
        <w:rPr>
          <w:rFonts w:ascii="宋体" w:hAnsi="宋体" w:cs="宋体" w:eastAsia="宋体" w:hint="default"/>
          <w:sz w:val="16"/>
          <w:szCs w:val="16"/>
        </w:rPr>
        <w:t>挖掘处理技术。</w:t>
      </w:r>
    </w:p>
    <w:p>
      <w:pPr>
        <w:tabs>
          <w:tab w:pos="3214" w:val="left" w:leader="none"/>
        </w:tabs>
        <w:spacing w:line="156" w:lineRule="auto" w:before="137"/>
        <w:ind w:left="3214" w:right="2861" w:hanging="1656"/>
        <w:jc w:val="left"/>
        <w:rPr>
          <w:rFonts w:ascii="宋体" w:hAnsi="宋体" w:cs="宋体" w:eastAsia="宋体" w:hint="default"/>
          <w:sz w:val="16"/>
          <w:szCs w:val="16"/>
        </w:rPr>
      </w:pPr>
      <w:r>
        <w:rPr>
          <w:rFonts w:ascii="宋体" w:hAnsi="宋体" w:cs="宋体" w:eastAsia="宋体" w:hint="default"/>
          <w:w w:val="105"/>
          <w:position w:val="-9"/>
          <w:sz w:val="16"/>
          <w:szCs w:val="16"/>
        </w:rPr>
        <w:t>互联网</w:t>
      </w:r>
      <w:r>
        <w:rPr>
          <w:rFonts w:ascii="宋体" w:hAnsi="宋体" w:cs="宋体" w:eastAsia="宋体" w:hint="default"/>
          <w:spacing w:val="-48"/>
          <w:w w:val="105"/>
          <w:position w:val="-9"/>
          <w:sz w:val="16"/>
          <w:szCs w:val="16"/>
        </w:rPr>
        <w:t> </w:t>
      </w:r>
      <w:r>
        <w:rPr>
          <w:rFonts w:ascii="宋体" w:hAnsi="宋体" w:cs="宋体" w:eastAsia="宋体" w:hint="default"/>
          <w:w w:val="105"/>
          <w:position w:val="-9"/>
          <w:sz w:val="16"/>
          <w:szCs w:val="16"/>
        </w:rPr>
        <w:t>+</w:t>
        <w:tab/>
      </w:r>
      <w:r>
        <w:rPr>
          <w:rFonts w:ascii="宋体" w:hAnsi="宋体" w:cs="宋体" w:eastAsia="宋体" w:hint="default"/>
          <w:sz w:val="16"/>
          <w:szCs w:val="16"/>
        </w:rPr>
        <w:t>互联网与各个传统行业的结合，通过利用信息通信技术以及互联网平台，让互联网</w:t>
      </w:r>
      <w:r>
        <w:rPr>
          <w:rFonts w:ascii="宋体" w:hAnsi="宋体" w:cs="宋体" w:eastAsia="宋体" w:hint="default"/>
          <w:spacing w:val="-13"/>
          <w:sz w:val="16"/>
          <w:szCs w:val="16"/>
        </w:rPr>
        <w:t> </w:t>
      </w:r>
      <w:r>
        <w:rPr>
          <w:rFonts w:ascii="宋体" w:hAnsi="宋体" w:cs="宋体" w:eastAsia="宋体" w:hint="default"/>
          <w:spacing w:val="-13"/>
          <w:sz w:val="16"/>
          <w:szCs w:val="16"/>
        </w:rPr>
      </w:r>
      <w:r>
        <w:rPr>
          <w:rFonts w:ascii="宋体" w:hAnsi="宋体" w:cs="宋体" w:eastAsia="宋体" w:hint="default"/>
          <w:w w:val="105"/>
          <w:sz w:val="16"/>
          <w:szCs w:val="16"/>
        </w:rPr>
        <w:t>与传统行业深度融合，从而为传统行业创造新的发展生态。</w:t>
      </w:r>
    </w:p>
    <w:p>
      <w:pPr>
        <w:tabs>
          <w:tab w:pos="3214" w:val="left" w:leader="none"/>
        </w:tabs>
        <w:spacing w:line="357" w:lineRule="auto" w:before="90"/>
        <w:ind w:left="1559" w:right="2864" w:firstLine="0"/>
        <w:jc w:val="left"/>
        <w:rPr>
          <w:rFonts w:ascii="宋体" w:hAnsi="宋体" w:cs="宋体" w:eastAsia="宋体" w:hint="default"/>
          <w:sz w:val="16"/>
          <w:szCs w:val="16"/>
        </w:rPr>
      </w:pPr>
      <w:r>
        <w:rPr>
          <w:rFonts w:ascii="宋体" w:hAnsi="宋体" w:cs="宋体" w:eastAsia="宋体" w:hint="default"/>
          <w:sz w:val="16"/>
          <w:szCs w:val="16"/>
        </w:rPr>
        <w:t>全网通终端</w:t>
        <w:tab/>
      </w:r>
      <w:r>
        <w:rPr>
          <w:rFonts w:ascii="宋体" w:hAnsi="宋体" w:cs="宋体" w:eastAsia="宋体" w:hint="default"/>
          <w:w w:val="110"/>
          <w:sz w:val="16"/>
          <w:szCs w:val="16"/>
        </w:rPr>
        <w:t>支持</w:t>
      </w:r>
      <w:r>
        <w:rPr>
          <w:rFonts w:ascii="宋体" w:hAnsi="宋体" w:cs="宋体" w:eastAsia="宋体" w:hint="default"/>
          <w:spacing w:val="-56"/>
          <w:w w:val="110"/>
          <w:sz w:val="16"/>
          <w:szCs w:val="16"/>
        </w:rPr>
        <w:t> </w:t>
      </w:r>
      <w:r>
        <w:rPr>
          <w:rFonts w:ascii="宋体" w:hAnsi="宋体" w:cs="宋体" w:eastAsia="宋体" w:hint="default"/>
          <w:spacing w:val="-3"/>
          <w:w w:val="110"/>
          <w:sz w:val="16"/>
          <w:szCs w:val="16"/>
        </w:rPr>
        <w:t>LTE</w:t>
      </w:r>
      <w:r>
        <w:rPr>
          <w:rFonts w:ascii="宋体" w:hAnsi="宋体" w:cs="宋体" w:eastAsia="宋体" w:hint="default"/>
          <w:spacing w:val="-33"/>
          <w:w w:val="110"/>
          <w:sz w:val="16"/>
          <w:szCs w:val="16"/>
        </w:rPr>
        <w:t> </w:t>
      </w:r>
      <w:r>
        <w:rPr>
          <w:rFonts w:ascii="宋体" w:hAnsi="宋体" w:cs="宋体" w:eastAsia="宋体" w:hint="default"/>
          <w:spacing w:val="-3"/>
          <w:w w:val="110"/>
          <w:sz w:val="16"/>
          <w:szCs w:val="16"/>
        </w:rPr>
        <w:t>FDD/</w:t>
      </w:r>
      <w:r>
        <w:rPr>
          <w:rFonts w:ascii="宋体" w:hAnsi="宋体" w:cs="宋体" w:eastAsia="宋体" w:hint="default"/>
          <w:spacing w:val="-33"/>
          <w:w w:val="110"/>
          <w:sz w:val="16"/>
          <w:szCs w:val="16"/>
        </w:rPr>
        <w:t> </w:t>
      </w:r>
      <w:r>
        <w:rPr>
          <w:rFonts w:ascii="宋体" w:hAnsi="宋体" w:cs="宋体" w:eastAsia="宋体" w:hint="default"/>
          <w:spacing w:val="-4"/>
          <w:w w:val="110"/>
          <w:sz w:val="16"/>
          <w:szCs w:val="16"/>
        </w:rPr>
        <w:t>TD-LTE/</w:t>
      </w:r>
      <w:r>
        <w:rPr>
          <w:rFonts w:ascii="宋体" w:hAnsi="宋体" w:cs="宋体" w:eastAsia="宋体" w:hint="default"/>
          <w:spacing w:val="-33"/>
          <w:w w:val="110"/>
          <w:sz w:val="16"/>
          <w:szCs w:val="16"/>
        </w:rPr>
        <w:t> </w:t>
      </w:r>
      <w:r>
        <w:rPr>
          <w:rFonts w:ascii="宋体" w:hAnsi="宋体" w:cs="宋体" w:eastAsia="宋体" w:hint="default"/>
          <w:spacing w:val="-3"/>
          <w:w w:val="120"/>
          <w:sz w:val="16"/>
          <w:szCs w:val="16"/>
        </w:rPr>
        <w:t>WCDMA/</w:t>
      </w:r>
      <w:r>
        <w:rPr>
          <w:rFonts w:ascii="宋体" w:hAnsi="宋体" w:cs="宋体" w:eastAsia="宋体" w:hint="default"/>
          <w:spacing w:val="-41"/>
          <w:w w:val="120"/>
          <w:sz w:val="16"/>
          <w:szCs w:val="16"/>
        </w:rPr>
        <w:t> </w:t>
      </w:r>
      <w:r>
        <w:rPr>
          <w:rFonts w:ascii="宋体" w:hAnsi="宋体" w:cs="宋体" w:eastAsia="宋体" w:hint="default"/>
          <w:spacing w:val="-4"/>
          <w:w w:val="120"/>
          <w:sz w:val="16"/>
          <w:szCs w:val="16"/>
        </w:rPr>
        <w:t>TD-SCDMA/</w:t>
      </w:r>
      <w:r>
        <w:rPr>
          <w:rFonts w:ascii="宋体" w:hAnsi="宋体" w:cs="宋体" w:eastAsia="宋体" w:hint="default"/>
          <w:spacing w:val="-41"/>
          <w:w w:val="120"/>
          <w:sz w:val="16"/>
          <w:szCs w:val="16"/>
        </w:rPr>
        <w:t> </w:t>
      </w:r>
      <w:r>
        <w:rPr>
          <w:rFonts w:ascii="宋体" w:hAnsi="宋体" w:cs="宋体" w:eastAsia="宋体" w:hint="default"/>
          <w:spacing w:val="-4"/>
          <w:w w:val="120"/>
          <w:sz w:val="16"/>
          <w:szCs w:val="16"/>
        </w:rPr>
        <w:t>CDMA/</w:t>
      </w:r>
      <w:r>
        <w:rPr>
          <w:rFonts w:ascii="宋体" w:hAnsi="宋体" w:cs="宋体" w:eastAsia="宋体" w:hint="default"/>
          <w:spacing w:val="-41"/>
          <w:w w:val="120"/>
          <w:sz w:val="16"/>
          <w:szCs w:val="16"/>
        </w:rPr>
        <w:t> </w:t>
      </w:r>
      <w:r>
        <w:rPr>
          <w:rFonts w:ascii="宋体" w:hAnsi="宋体" w:cs="宋体" w:eastAsia="宋体" w:hint="default"/>
          <w:w w:val="120"/>
          <w:sz w:val="16"/>
          <w:szCs w:val="16"/>
        </w:rPr>
        <w:t>GSM</w:t>
      </w:r>
      <w:r>
        <w:rPr>
          <w:rFonts w:ascii="宋体" w:hAnsi="宋体" w:cs="宋体" w:eastAsia="宋体" w:hint="default"/>
          <w:spacing w:val="-64"/>
          <w:w w:val="120"/>
          <w:sz w:val="16"/>
          <w:szCs w:val="16"/>
        </w:rPr>
        <w:t> </w:t>
      </w:r>
      <w:r>
        <w:rPr>
          <w:rFonts w:ascii="宋体" w:hAnsi="宋体" w:cs="宋体" w:eastAsia="宋体" w:hint="default"/>
          <w:spacing w:val="-4"/>
          <w:w w:val="110"/>
          <w:sz w:val="16"/>
          <w:szCs w:val="16"/>
        </w:rPr>
        <w:t>六种网络制式的终端。</w:t>
      </w:r>
      <w:r>
        <w:rPr>
          <w:rFonts w:ascii="宋体" w:hAnsi="宋体" w:cs="宋体" w:eastAsia="宋体" w:hint="default"/>
          <w:spacing w:val="-4"/>
          <w:sz w:val="16"/>
          <w:szCs w:val="16"/>
        </w:rPr>
        <w:t> </w:t>
      </w:r>
      <w:r>
        <w:rPr>
          <w:rFonts w:ascii="宋体" w:hAnsi="宋体" w:cs="宋体" w:eastAsia="宋体" w:hint="default"/>
          <w:sz w:val="16"/>
          <w:szCs w:val="16"/>
        </w:rPr>
        <w:t>提速降费</w:t>
        <w:tab/>
      </w:r>
      <w:r>
        <w:rPr>
          <w:rFonts w:ascii="宋体" w:hAnsi="宋体" w:cs="宋体" w:eastAsia="宋体" w:hint="default"/>
          <w:w w:val="110"/>
          <w:sz w:val="16"/>
          <w:szCs w:val="16"/>
        </w:rPr>
        <w:t>提高移动及固网宽带网络速率，降低资费水平，提高性价比。</w:t>
      </w:r>
    </w:p>
    <w:p>
      <w:pPr>
        <w:tabs>
          <w:tab w:pos="3214" w:val="left" w:leader="none"/>
        </w:tabs>
        <w:spacing w:before="6"/>
        <w:ind w:left="1559" w:right="764" w:firstLine="0"/>
        <w:jc w:val="left"/>
        <w:rPr>
          <w:rFonts w:ascii="宋体" w:hAnsi="宋体" w:cs="宋体" w:eastAsia="宋体" w:hint="default"/>
          <w:sz w:val="16"/>
          <w:szCs w:val="16"/>
        </w:rPr>
      </w:pPr>
      <w:r>
        <w:rPr>
          <w:rFonts w:ascii="宋体" w:hAnsi="宋体" w:cs="宋体" w:eastAsia="宋体" w:hint="default"/>
          <w:w w:val="110"/>
          <w:sz w:val="16"/>
          <w:szCs w:val="16"/>
        </w:rPr>
        <w:t>沃</w:t>
      </w:r>
      <w:r>
        <w:rPr>
          <w:rFonts w:ascii="宋体" w:hAnsi="宋体" w:cs="宋体" w:eastAsia="宋体" w:hint="default"/>
          <w:spacing w:val="-20"/>
          <w:w w:val="110"/>
          <w:sz w:val="16"/>
          <w:szCs w:val="16"/>
        </w:rPr>
        <w:t> </w:t>
      </w:r>
      <w:r>
        <w:rPr>
          <w:rFonts w:ascii="宋体" w:hAnsi="宋体" w:cs="宋体" w:eastAsia="宋体" w:hint="default"/>
          <w:w w:val="110"/>
          <w:sz w:val="16"/>
          <w:szCs w:val="16"/>
        </w:rPr>
        <w:t>4G+</w:t>
        <w:tab/>
      </w:r>
      <w:r>
        <w:rPr>
          <w:rFonts w:ascii="宋体" w:hAnsi="宋体" w:cs="宋体" w:eastAsia="宋体" w:hint="default"/>
          <w:w w:val="105"/>
          <w:sz w:val="16"/>
          <w:szCs w:val="16"/>
        </w:rPr>
        <w:t>公司专属的</w:t>
      </w:r>
      <w:r>
        <w:rPr>
          <w:rFonts w:ascii="宋体" w:hAnsi="宋体" w:cs="宋体" w:eastAsia="宋体" w:hint="default"/>
          <w:spacing w:val="-48"/>
          <w:w w:val="105"/>
          <w:sz w:val="16"/>
          <w:szCs w:val="16"/>
        </w:rPr>
        <w:t> </w:t>
      </w:r>
      <w:r>
        <w:rPr>
          <w:rFonts w:ascii="宋体" w:hAnsi="宋体" w:cs="宋体" w:eastAsia="宋体" w:hint="default"/>
          <w:w w:val="105"/>
          <w:sz w:val="16"/>
          <w:szCs w:val="16"/>
        </w:rPr>
        <w:t>4G+</w:t>
      </w:r>
      <w:r>
        <w:rPr>
          <w:rFonts w:ascii="宋体" w:hAnsi="宋体" w:cs="宋体" w:eastAsia="宋体" w:hint="default"/>
          <w:spacing w:val="-49"/>
          <w:w w:val="105"/>
          <w:sz w:val="16"/>
          <w:szCs w:val="16"/>
        </w:rPr>
        <w:t> </w:t>
      </w:r>
      <w:r>
        <w:rPr>
          <w:rFonts w:ascii="宋体" w:hAnsi="宋体" w:cs="宋体" w:eastAsia="宋体" w:hint="default"/>
          <w:w w:val="105"/>
          <w:sz w:val="16"/>
          <w:szCs w:val="16"/>
        </w:rPr>
        <w:t>品牌。</w:t>
      </w:r>
    </w:p>
    <w:p>
      <w:pPr>
        <w:tabs>
          <w:tab w:pos="3214" w:val="left" w:leader="none"/>
        </w:tabs>
        <w:spacing w:line="156" w:lineRule="auto" w:before="131"/>
        <w:ind w:left="3214" w:right="2861" w:hanging="1656"/>
        <w:jc w:val="left"/>
        <w:rPr>
          <w:rFonts w:ascii="宋体" w:hAnsi="宋体" w:cs="宋体" w:eastAsia="宋体" w:hint="default"/>
          <w:sz w:val="16"/>
          <w:szCs w:val="16"/>
        </w:rPr>
      </w:pPr>
      <w:r>
        <w:rPr>
          <w:rFonts w:ascii="宋体" w:hAnsi="宋体" w:cs="宋体" w:eastAsia="宋体" w:hint="default"/>
          <w:position w:val="-9"/>
          <w:sz w:val="16"/>
          <w:szCs w:val="16"/>
        </w:rPr>
        <w:t>物联网业务</w:t>
        <w:tab/>
      </w:r>
      <w:r>
        <w:rPr>
          <w:rFonts w:ascii="宋体" w:hAnsi="宋体" w:cs="宋体" w:eastAsia="宋体" w:hint="default"/>
          <w:sz w:val="16"/>
          <w:szCs w:val="16"/>
        </w:rPr>
        <w:t>各种嵌入通信能力的智能物体间的相互互联或通过网络互联，以提供人与物、物与</w:t>
      </w:r>
      <w:r>
        <w:rPr>
          <w:rFonts w:ascii="宋体" w:hAnsi="宋体" w:cs="宋体" w:eastAsia="宋体" w:hint="default"/>
          <w:spacing w:val="-13"/>
          <w:sz w:val="16"/>
          <w:szCs w:val="16"/>
        </w:rPr>
        <w:t> </w:t>
      </w:r>
      <w:r>
        <w:rPr>
          <w:rFonts w:ascii="宋体" w:hAnsi="宋体" w:cs="宋体" w:eastAsia="宋体" w:hint="default"/>
          <w:spacing w:val="-13"/>
          <w:sz w:val="16"/>
          <w:szCs w:val="16"/>
        </w:rPr>
      </w:r>
      <w:r>
        <w:rPr>
          <w:rFonts w:ascii="宋体" w:hAnsi="宋体" w:cs="宋体" w:eastAsia="宋体" w:hint="default"/>
          <w:sz w:val="16"/>
          <w:szCs w:val="16"/>
        </w:rPr>
        <w:t>物的通信为主的业务。</w:t>
      </w:r>
    </w:p>
    <w:p>
      <w:pPr>
        <w:spacing w:before="72"/>
        <w:ind w:left="3214" w:right="764" w:firstLine="0"/>
        <w:jc w:val="left"/>
        <w:rPr>
          <w:rFonts w:ascii="宋体" w:hAnsi="宋体" w:cs="宋体" w:eastAsia="宋体" w:hint="default"/>
          <w:sz w:val="16"/>
          <w:szCs w:val="16"/>
        </w:rPr>
      </w:pPr>
      <w:r>
        <w:rPr>
          <w:rFonts w:ascii="宋体" w:hAnsi="宋体" w:cs="宋体" w:eastAsia="宋体" w:hint="default"/>
          <w:sz w:val="16"/>
          <w:szCs w:val="16"/>
        </w:rPr>
        <w:t>一号多终端试验业务是指用户可在自己的手机号码（主号码）账户和套餐下，添加</w:t>
      </w:r>
    </w:p>
    <w:p>
      <w:pPr>
        <w:spacing w:after="0"/>
        <w:jc w:val="left"/>
        <w:rPr>
          <w:rFonts w:ascii="宋体" w:hAnsi="宋体" w:cs="宋体" w:eastAsia="宋体" w:hint="default"/>
          <w:sz w:val="16"/>
          <w:szCs w:val="16"/>
        </w:rPr>
        <w:sectPr>
          <w:type w:val="continuous"/>
          <w:pgSz w:w="11910" w:h="16160"/>
          <w:pgMar w:top="1520" w:bottom="280" w:left="0" w:right="0"/>
        </w:sectPr>
      </w:pPr>
    </w:p>
    <w:p>
      <w:pPr>
        <w:spacing w:before="90"/>
        <w:ind w:left="1559" w:right="-20" w:firstLine="0"/>
        <w:jc w:val="left"/>
        <w:rPr>
          <w:rFonts w:ascii="宋体" w:hAnsi="宋体" w:cs="宋体" w:eastAsia="宋体" w:hint="default"/>
          <w:sz w:val="16"/>
          <w:szCs w:val="16"/>
        </w:rPr>
      </w:pPr>
      <w:r>
        <w:rPr>
          <w:rFonts w:ascii="宋体" w:hAnsi="宋体" w:cs="宋体" w:eastAsia="宋体" w:hint="default"/>
          <w:sz w:val="16"/>
          <w:szCs w:val="16"/>
        </w:rPr>
        <w:t>一号多终端</w:t>
      </w:r>
    </w:p>
    <w:p>
      <w:pPr>
        <w:spacing w:line="200" w:lineRule="exact" w:before="17"/>
        <w:ind w:left="815" w:right="2858" w:firstLine="0"/>
        <w:jc w:val="both"/>
        <w:rPr>
          <w:rFonts w:ascii="宋体" w:hAnsi="宋体" w:cs="宋体" w:eastAsia="宋体" w:hint="default"/>
          <w:sz w:val="16"/>
          <w:szCs w:val="16"/>
        </w:rPr>
      </w:pPr>
      <w:r>
        <w:rPr/>
        <w:br w:type="column"/>
      </w:r>
      <w:r>
        <w:rPr>
          <w:rFonts w:ascii="宋体" w:hAnsi="宋体" w:cs="宋体" w:eastAsia="宋体" w:hint="default"/>
          <w:sz w:val="16"/>
          <w:szCs w:val="16"/>
        </w:rPr>
        <w:t>一个附属智能设备（以下简称附属终端），使手机终端与附属终端共用一个手机号</w:t>
      </w:r>
      <w:r>
        <w:rPr>
          <w:rFonts w:ascii="宋体" w:hAnsi="宋体" w:cs="宋体" w:eastAsia="宋体" w:hint="default"/>
          <w:spacing w:val="-14"/>
          <w:sz w:val="16"/>
          <w:szCs w:val="16"/>
        </w:rPr>
        <w:t> </w:t>
      </w:r>
      <w:r>
        <w:rPr>
          <w:rFonts w:ascii="宋体" w:hAnsi="宋体" w:cs="宋体" w:eastAsia="宋体" w:hint="default"/>
          <w:spacing w:val="-14"/>
          <w:sz w:val="16"/>
          <w:szCs w:val="16"/>
        </w:rPr>
      </w:r>
      <w:r>
        <w:rPr>
          <w:rFonts w:ascii="宋体" w:hAnsi="宋体" w:cs="宋体" w:eastAsia="宋体" w:hint="default"/>
          <w:sz w:val="16"/>
          <w:szCs w:val="16"/>
        </w:rPr>
        <w:t>码（主号码），给主号码来电时两个终端同振，任意终端均可拨出电话，主附终端</w:t>
      </w:r>
      <w:r>
        <w:rPr>
          <w:rFonts w:ascii="宋体" w:hAnsi="宋体" w:cs="宋体" w:eastAsia="宋体" w:hint="default"/>
          <w:spacing w:val="-18"/>
          <w:sz w:val="16"/>
          <w:szCs w:val="16"/>
        </w:rPr>
        <w:t> </w:t>
      </w:r>
      <w:r>
        <w:rPr>
          <w:rFonts w:ascii="宋体" w:hAnsi="宋体" w:cs="宋体" w:eastAsia="宋体" w:hint="default"/>
          <w:spacing w:val="-18"/>
          <w:sz w:val="16"/>
          <w:szCs w:val="16"/>
        </w:rPr>
      </w:r>
      <w:r>
        <w:rPr>
          <w:rFonts w:ascii="宋体" w:hAnsi="宋体" w:cs="宋体" w:eastAsia="宋体" w:hint="default"/>
          <w:sz w:val="16"/>
          <w:szCs w:val="16"/>
        </w:rPr>
        <w:t>之间不能拨打电话。</w:t>
      </w:r>
    </w:p>
    <w:p>
      <w:pPr>
        <w:spacing w:after="0" w:line="200" w:lineRule="exact"/>
        <w:jc w:val="both"/>
        <w:rPr>
          <w:rFonts w:ascii="宋体" w:hAnsi="宋体" w:cs="宋体" w:eastAsia="宋体" w:hint="default"/>
          <w:sz w:val="16"/>
          <w:szCs w:val="16"/>
        </w:rPr>
        <w:sectPr>
          <w:type w:val="continuous"/>
          <w:pgSz w:w="11910" w:h="16160"/>
          <w:pgMar w:top="1520" w:bottom="280" w:left="0" w:right="0"/>
          <w:cols w:num="2" w:equalWidth="0">
            <w:col w:w="2360" w:space="40"/>
            <w:col w:w="9510"/>
          </w:cols>
        </w:sectPr>
      </w:pPr>
    </w:p>
    <w:p>
      <w:pPr>
        <w:tabs>
          <w:tab w:pos="3214" w:val="left" w:leader="none"/>
        </w:tabs>
        <w:spacing w:before="46"/>
        <w:ind w:left="1559" w:right="764" w:firstLine="0"/>
        <w:jc w:val="left"/>
        <w:rPr>
          <w:rFonts w:ascii="宋体" w:hAnsi="宋体" w:cs="宋体" w:eastAsia="宋体" w:hint="default"/>
          <w:sz w:val="16"/>
          <w:szCs w:val="16"/>
        </w:rPr>
      </w:pPr>
      <w:r>
        <w:rPr>
          <w:rFonts w:ascii="宋体" w:hAnsi="宋体" w:cs="宋体" w:eastAsia="宋体" w:hint="default"/>
          <w:sz w:val="16"/>
          <w:szCs w:val="16"/>
        </w:rPr>
        <w:t>营改增</w:t>
        <w:tab/>
        <w:t>营业税改征增值税。</w:t>
      </w:r>
    </w:p>
    <w:p>
      <w:pPr>
        <w:tabs>
          <w:tab w:pos="3214" w:val="left" w:leader="none"/>
        </w:tabs>
        <w:spacing w:line="314" w:lineRule="auto" w:before="64"/>
        <w:ind w:left="3214" w:right="2861" w:hanging="1656"/>
        <w:jc w:val="left"/>
        <w:rPr>
          <w:rFonts w:ascii="宋体" w:hAnsi="宋体" w:cs="宋体" w:eastAsia="宋体" w:hint="default"/>
          <w:sz w:val="16"/>
          <w:szCs w:val="16"/>
        </w:rPr>
      </w:pPr>
      <w:r>
        <w:rPr>
          <w:rFonts w:ascii="宋体" w:hAnsi="宋体" w:cs="宋体" w:eastAsia="宋体" w:hint="default"/>
          <w:sz w:val="16"/>
          <w:szCs w:val="16"/>
        </w:rPr>
        <w:t>用户实名制</w:t>
        <w:tab/>
        <w:t>用户在办理某些业务时需要提供有效的能证明个人身份的证件或资料。 一种新的计算方法和商业模式。通过虚拟化等技术按照“即插即用”的方式，自助</w:t>
      </w:r>
    </w:p>
    <w:p>
      <w:pPr>
        <w:spacing w:after="0" w:line="314" w:lineRule="auto"/>
        <w:jc w:val="left"/>
        <w:rPr>
          <w:rFonts w:ascii="宋体" w:hAnsi="宋体" w:cs="宋体" w:eastAsia="宋体" w:hint="default"/>
          <w:sz w:val="16"/>
          <w:szCs w:val="16"/>
        </w:rPr>
        <w:sectPr>
          <w:type w:val="continuous"/>
          <w:pgSz w:w="11910" w:h="16160"/>
          <w:pgMar w:top="1520" w:bottom="280" w:left="0" w:right="0"/>
        </w:sectPr>
      </w:pPr>
    </w:p>
    <w:p>
      <w:pPr>
        <w:spacing w:before="41"/>
        <w:ind w:left="0" w:right="0" w:firstLine="0"/>
        <w:jc w:val="right"/>
        <w:rPr>
          <w:rFonts w:ascii="宋体" w:hAnsi="宋体" w:cs="宋体" w:eastAsia="宋体" w:hint="default"/>
          <w:sz w:val="16"/>
          <w:szCs w:val="16"/>
        </w:rPr>
      </w:pPr>
      <w:r>
        <w:rPr>
          <w:rFonts w:ascii="宋体" w:hAnsi="宋体" w:cs="宋体" w:eastAsia="宋体" w:hint="default"/>
          <w:sz w:val="16"/>
          <w:szCs w:val="16"/>
        </w:rPr>
        <w:t>云计算</w:t>
      </w:r>
    </w:p>
    <w:p>
      <w:pPr>
        <w:spacing w:line="146" w:lineRule="exact" w:before="0"/>
        <w:ind w:left="1135"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管理运算、存储等资源能力形成高效资源池，以按需分配的服务形式提供计算能力。</w:t>
      </w:r>
    </w:p>
    <w:p>
      <w:pPr>
        <w:spacing w:line="200" w:lineRule="exact" w:before="22"/>
        <w:ind w:left="1135" w:right="2858" w:firstLine="0"/>
        <w:jc w:val="left"/>
        <w:rPr>
          <w:rFonts w:ascii="宋体" w:hAnsi="宋体" w:cs="宋体" w:eastAsia="宋体" w:hint="default"/>
          <w:sz w:val="16"/>
          <w:szCs w:val="16"/>
        </w:rPr>
      </w:pPr>
      <w:r>
        <w:rPr>
          <w:rFonts w:ascii="宋体" w:hAnsi="宋体" w:cs="宋体" w:eastAsia="宋体" w:hint="default"/>
          <w:sz w:val="16"/>
          <w:szCs w:val="16"/>
        </w:rPr>
        <w:t>并且，可以通过公众通信网络整合</w:t>
      </w:r>
      <w:r>
        <w:rPr>
          <w:rFonts w:ascii="宋体" w:hAnsi="宋体" w:cs="宋体" w:eastAsia="宋体" w:hint="default"/>
          <w:spacing w:val="-40"/>
          <w:sz w:val="16"/>
          <w:szCs w:val="16"/>
        </w:rPr>
        <w:t> </w:t>
      </w:r>
      <w:r>
        <w:rPr>
          <w:rFonts w:ascii="宋体" w:hAnsi="宋体" w:cs="宋体" w:eastAsia="宋体" w:hint="default"/>
          <w:w w:val="83"/>
          <w:sz w:val="16"/>
          <w:szCs w:val="16"/>
        </w:rPr>
        <w:t>IT</w:t>
      </w:r>
      <w:r>
        <w:rPr>
          <w:rFonts w:ascii="宋体" w:hAnsi="宋体" w:cs="宋体" w:eastAsia="宋体" w:hint="default"/>
          <w:spacing w:val="-27"/>
          <w:w w:val="83"/>
          <w:sz w:val="16"/>
          <w:szCs w:val="16"/>
        </w:rPr>
        <w:t> </w:t>
      </w:r>
      <w:r>
        <w:rPr>
          <w:rFonts w:ascii="宋体" w:hAnsi="宋体" w:cs="宋体" w:eastAsia="宋体" w:hint="default"/>
          <w:sz w:val="16"/>
          <w:szCs w:val="16"/>
        </w:rPr>
        <w:t>资源和业务，向用户提供新型的业务产品和新</w:t>
      </w:r>
      <w:r>
        <w:rPr>
          <w:rFonts w:ascii="宋体" w:hAnsi="宋体" w:cs="宋体" w:eastAsia="宋体" w:hint="default"/>
          <w:sz w:val="16"/>
          <w:szCs w:val="16"/>
        </w:rPr>
        <w:t> 的交付模式。</w:t>
      </w:r>
    </w:p>
    <w:p>
      <w:pPr>
        <w:spacing w:after="0" w:line="200" w:lineRule="exact"/>
        <w:jc w:val="left"/>
        <w:rPr>
          <w:rFonts w:ascii="宋体" w:hAnsi="宋体" w:cs="宋体" w:eastAsia="宋体" w:hint="default"/>
          <w:sz w:val="16"/>
          <w:szCs w:val="16"/>
        </w:rPr>
        <w:sectPr>
          <w:type w:val="continuous"/>
          <w:pgSz w:w="11910" w:h="16160"/>
          <w:pgMar w:top="1520" w:bottom="280" w:left="0" w:right="0"/>
          <w:cols w:num="2" w:equalWidth="0">
            <w:col w:w="2040" w:space="40"/>
            <w:col w:w="9830"/>
          </w:cols>
        </w:sectPr>
      </w:pPr>
    </w:p>
    <w:p>
      <w:pPr>
        <w:tabs>
          <w:tab w:pos="3214" w:val="left" w:leader="none"/>
        </w:tabs>
        <w:spacing w:line="156" w:lineRule="auto" w:before="112"/>
        <w:ind w:left="3214" w:right="2781" w:hanging="1656"/>
        <w:jc w:val="left"/>
        <w:rPr>
          <w:rFonts w:ascii="宋体" w:hAnsi="宋体" w:cs="宋体" w:eastAsia="宋体" w:hint="default"/>
          <w:sz w:val="16"/>
          <w:szCs w:val="16"/>
        </w:rPr>
      </w:pPr>
      <w:r>
        <w:rPr>
          <w:rFonts w:ascii="宋体" w:hAnsi="宋体" w:cs="宋体" w:eastAsia="宋体" w:hint="default"/>
          <w:position w:val="-9"/>
          <w:sz w:val="16"/>
          <w:szCs w:val="16"/>
        </w:rPr>
        <w:t>智慧城市</w:t>
        <w:tab/>
      </w:r>
      <w:r>
        <w:rPr>
          <w:rFonts w:ascii="宋体" w:hAnsi="宋体" w:cs="宋体" w:eastAsia="宋体" w:hint="default"/>
          <w:spacing w:val="-1"/>
          <w:sz w:val="16"/>
          <w:szCs w:val="16"/>
        </w:rPr>
        <w:t>以城市网络为基础，以物联网技术为信息采集手段，以云计算平台为信息处理中心，</w:t>
      </w:r>
      <w:r>
        <w:rPr>
          <w:rFonts w:ascii="宋体" w:hAnsi="宋体" w:cs="宋体" w:eastAsia="宋体" w:hint="default"/>
          <w:spacing w:val="-57"/>
          <w:sz w:val="16"/>
          <w:szCs w:val="16"/>
        </w:rPr>
        <w:t> </w:t>
      </w:r>
      <w:r>
        <w:rPr>
          <w:rFonts w:ascii="宋体" w:hAnsi="宋体" w:cs="宋体" w:eastAsia="宋体" w:hint="default"/>
          <w:spacing w:val="-57"/>
          <w:sz w:val="16"/>
          <w:szCs w:val="16"/>
        </w:rPr>
      </w:r>
      <w:r>
        <w:rPr>
          <w:rFonts w:ascii="宋体" w:hAnsi="宋体" w:cs="宋体" w:eastAsia="宋体" w:hint="default"/>
          <w:sz w:val="16"/>
          <w:szCs w:val="16"/>
        </w:rPr>
        <w:t>提供跨域协同的应用服务。</w:t>
      </w:r>
    </w:p>
    <w:p>
      <w:pPr>
        <w:spacing w:line="240" w:lineRule="auto" w:before="12"/>
        <w:rPr>
          <w:rFonts w:ascii="宋体" w:hAnsi="宋体" w:cs="宋体" w:eastAsia="宋体" w:hint="default"/>
          <w:sz w:val="9"/>
          <w:szCs w:val="9"/>
        </w:rPr>
      </w:pPr>
    </w:p>
    <w:p>
      <w:pPr>
        <w:spacing w:line="20" w:lineRule="exact"/>
        <w:ind w:left="1469" w:right="0" w:firstLine="0"/>
        <w:rPr>
          <w:rFonts w:ascii="宋体" w:hAnsi="宋体" w:cs="宋体" w:eastAsia="宋体" w:hint="default"/>
          <w:sz w:val="2"/>
          <w:szCs w:val="2"/>
        </w:rPr>
      </w:pPr>
      <w:r>
        <w:rPr>
          <w:rFonts w:ascii="宋体" w:hAnsi="宋体" w:cs="宋体" w:eastAsia="宋体" w:hint="default"/>
          <w:sz w:val="2"/>
          <w:szCs w:val="2"/>
        </w:rPr>
        <w:pict>
          <v:group style="width:383.2pt;height:.5pt;mso-position-horizontal-relative:char;mso-position-vertical-relative:line" coordorigin="0,0" coordsize="7664,10">
            <v:group style="position:absolute;left:5;top:5;width:1645;height:2" coordorigin="5,5" coordsize="1645,2">
              <v:shape style="position:absolute;left:5;top:5;width:1645;height:2" coordorigin="5,5" coordsize="1645,0" path="m5,5l1649,5e" filled="false" stroked="true" strokeweight=".5pt" strokecolor="#000000">
                <v:path arrowok="t"/>
              </v:shape>
            </v:group>
            <v:group style="position:absolute;left:1649;top:5;width:6010;height:2" coordorigin="1649,5" coordsize="6010,2">
              <v:shape style="position:absolute;left:1649;top:5;width:6010;height:2" coordorigin="1649,5" coordsize="6010,0" path="m1649,5l7659,5e" filled="false" stroked="true" strokeweight=".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160"/>
          <w:pgMar w:top="1520" w:bottom="280" w:left="0" w:right="0"/>
        </w:sectPr>
      </w:pPr>
    </w:p>
    <w:p>
      <w:pPr>
        <w:spacing w:line="240" w:lineRule="auto" w:before="0"/>
        <w:rPr>
          <w:rFonts w:ascii="宋体" w:hAnsi="宋体" w:cs="宋体" w:eastAsia="宋体" w:hint="default"/>
          <w:sz w:val="20"/>
          <w:szCs w:val="20"/>
        </w:rPr>
      </w:pPr>
      <w:r>
        <w:rPr/>
        <w:pict>
          <v:group style="position:absolute;margin-left:0pt;margin-top:-.000177pt;width:595.3pt;height:807.9pt;mso-position-horizontal-relative:page;mso-position-vertical-relative:page;z-index:-967912" coordorigin="0,0" coordsize="11906,16158">
            <v:group style="position:absolute;left:11904;top:3241;width:2;height:10722" coordorigin="11904,3241" coordsize="2,10722">
              <v:shape style="position:absolute;left:11904;top:3241;width:2;height:10722" coordorigin="11904,3241" coordsize="0,10722" path="m11904,3241l11904,13962e" filled="false" stroked="true" strokeweight=".132pt" strokecolor="#d7000f">
                <v:path arrowok="t"/>
              </v:shape>
            </v:group>
            <v:group style="position:absolute;left:0;top:0;width:11906;height:8389" coordorigin="0,0" coordsize="11906,8389">
              <v:shape style="position:absolute;left:0;top:0;width:11906;height:8389" coordorigin="0,0" coordsize="11906,8389" path="m11906,0l0,0,0,8388,11906,3242,11906,0xe" filled="true" fillcolor="#ffffff" stroked="false">
                <v:path arrowok="t"/>
                <v:fill type="solid"/>
              </v:shape>
            </v:group>
            <v:group style="position:absolute;left:6818;top:13957;width:5088;height:2201" coordorigin="6818,13957" coordsize="5088,2201">
              <v:shape style="position:absolute;left:6818;top:13957;width:5088;height:2201" coordorigin="6818,13957" coordsize="5088,2201" path="m11906,13957l6818,16157,11906,16157,11906,13957xe" filled="true" fillcolor="#ffffff" stroked="false">
                <v:path arrowok="t"/>
                <v:fill type="solid"/>
              </v:shape>
            </v:group>
            <v:group style="position:absolute;left:4175;top:7983;width:611;height:611" coordorigin="4175,7983" coordsize="611,611">
              <v:shape style="position:absolute;left:4175;top:7983;width:611;height:611" coordorigin="4175,7983" coordsize="611,611" path="m4497,7983l4430,7987,4365,8005,4306,8037,4254,8082,4213,8140,4186,8205,4175,8272,4178,8339,4197,8404,4229,8463,4273,8515,4331,8556,4396,8583,4463,8594,4531,8591,4595,8572,4654,8540,4706,8496,4747,8438,4774,8373,4786,8306,4782,8238,4764,8174,4732,8115,4687,8063,4629,8022,4564,7995,4497,7983xe" filled="true" fillcolor="#d7000f" stroked="false">
                <v:path arrowok="t"/>
                <v:fill type="solid"/>
              </v:shape>
              <v:shape style="position:absolute;left:2404;top:13509;width:354;height:354" type="#_x0000_t75" stroked="false">
                <v:imagedata r:id="rId37" o:title=""/>
              </v:shape>
            </v:group>
            <v:group style="position:absolute;left:485;top:2723;width:630;height:630" coordorigin="485,2723" coordsize="630,630">
              <v:shape style="position:absolute;left:485;top:2723;width:630;height:630" coordorigin="485,2723" coordsize="630,630" path="m817,2723l748,2726,682,2745,621,2778,567,2824,525,2883,497,2951,485,3020,489,3089,508,3156,541,3217,587,3270,646,3313,713,3341,783,3353,852,3349,918,3330,980,3297,1033,3251,1075,3192,1103,3124,1115,3055,1111,2986,1092,2919,1059,2858,1013,2805,954,2762,887,2734,817,2723xe" filled="true" fillcolor="#9b8758" stroked="false">
                <v:path arrowok="t"/>
                <v:fill type="solid"/>
              </v:shape>
            </v:group>
            <v:group style="position:absolute;left:10325;top:14678;width:559;height:559" coordorigin="10325,14678" coordsize="559,559">
              <v:shape style="position:absolute;left:10325;top:14678;width:559;height:559" coordorigin="10325,14678" coordsize="559,559" path="m10599,14678l10528,14688,10463,14716,10405,14760,10361,14820,10333,14890,10325,14962,10335,15032,10363,15098,10408,15155,10468,15200,10537,15228,10609,15236,10680,15225,10746,15197,10803,15153,10848,15093,10875,15023,10883,14951,10873,14881,10845,14815,10800,14758,10740,14713,10671,14686,10599,14678xe" filled="true" fillcolor="#9b8758" stroked="false">
                <v:path arrowok="t"/>
                <v:fill type="solid"/>
              </v:shape>
            </v:group>
            <v:group style="position:absolute;left:8398;top:709;width:542;height:542" coordorigin="8398,709" coordsize="542,542">
              <v:shape style="position:absolute;left:8398;top:709;width:542;height:542" coordorigin="8398,709" coordsize="542,542" path="m8664,709l8596,720,8532,747,8477,790,8433,848,8406,916,8398,985,8409,1054,8436,1118,8479,1173,8537,1217,8605,1243,8674,1251,8743,1241,8807,1214,8862,1171,8906,1113,8932,1045,8940,975,8930,907,8903,843,8860,788,8802,744,8734,717,8664,709xe" filled="true" fillcolor="#9b8758" stroked="false">
                <v:path arrowok="t"/>
                <v:fill type="solid"/>
              </v:shape>
            </v:group>
            <v:group style="position:absolute;left:5658;top:0;width:1164;height:842" coordorigin="5658,0" coordsize="1164,842">
              <v:shape style="position:absolute;left:5658;top:0;width:1164;height:842" coordorigin="5658,0" coordsize="1164,842" path="m6759,0l5720,0,5700,42,5677,110,5663,179,5658,248,5660,317,5671,385,5690,451,5716,515,5750,575,5791,631,5839,683,5894,728,5955,768,6021,800,6089,822,6158,836,6227,842,6296,839,6364,828,6430,810,6494,784,6554,750,6610,709,6662,661,6707,606,6747,544,6779,478,6801,411,6815,342,6821,272,6818,203,6808,136,6789,69,6763,6,6759,0xe" filled="true" fillcolor="#8c8f90" stroked="false">
                <v:path arrowok="t"/>
                <v:fill type="solid"/>
              </v:shape>
            </v:group>
            <v:group style="position:absolute;left:1654;top:865;width:650;height:650" coordorigin="1654,865" coordsize="650,650">
              <v:shape style="position:absolute;left:1654;top:865;width:650;height:650" coordorigin="1654,865" coordsize="650,650" path="m1953,865l1883,878,1817,907,1759,949,1711,1003,1676,1070,1656,1142,1654,1215,1668,1285,1696,1351,1738,1409,1793,1457,1859,1492,1932,1512,2004,1514,2075,1501,2140,1472,2198,1430,2246,1375,2282,1309,2301,1237,2304,1164,2290,1093,2262,1028,2220,970,2165,922,2098,887,2026,867,1953,865xe" filled="true" fillcolor="#8c8f90" stroked="false">
                <v:path arrowok="t"/>
                <v:fill type="solid"/>
              </v:shape>
            </v:group>
            <v:group style="position:absolute;left:5018;top:3977;width:1023;height:1023" coordorigin="5018,3977" coordsize="1023,1023">
              <v:shape style="position:absolute;left:5018;top:3977;width:1023;height:1023" coordorigin="5018,3977" coordsize="1023,1023" path="m5499,3977l5427,3986,5358,4005,5293,4034,5232,4071,5176,4117,5127,4170,5086,4232,5053,4300,5030,4372,5019,4445,5018,4518,5027,4589,5046,4658,5074,4724,5112,4785,5157,4841,5211,4890,5272,4931,5341,4964,5413,4987,5486,4998,5559,4999,5630,4990,5699,4971,5765,4942,5826,4905,5881,4859,5930,4806,5972,4744,6005,4676,6028,4604,6039,4531,6040,4458,6031,4387,6012,4318,5983,4252,5946,4191,5900,4135,5847,4086,5785,4045,5717,4012,5645,3989,5572,3978,5499,3977xe" filled="true" fillcolor="#000000" stroked="false">
                <v:path arrowok="t"/>
                <v:fill type="solid"/>
              </v:shape>
            </v:group>
            <v:group style="position:absolute;left:7355;top:12408;width:873;height:873" coordorigin="7355,12408" coordsize="873,873">
              <v:shape style="position:absolute;left:7355;top:12408;width:873;height:873" coordorigin="7355,12408" coordsize="873,873" path="m7783,12408l7709,12416,7637,12436,7570,12468,7508,12512,7455,12566,7410,12631,7378,12703,7360,12777,7355,12852,7363,12926,7383,12998,7415,13065,7458,13127,7513,13180,7578,13225,7650,13257,7724,13275,7799,13280,7873,13272,7945,13252,8012,13220,8073,13177,8127,13122,8171,13057,8204,12985,8222,12911,8227,12836,8219,12762,8199,12690,8167,12623,8123,12562,8069,12508,8004,12464,7932,12431,7858,12413,7783,12408xe" filled="true" fillcolor="#9b8758" stroked="false">
                <v:path arrowok="t"/>
                <v:fill type="solid"/>
              </v:shape>
            </v:group>
            <v:group style="position:absolute;left:9308;top:11357;width:882;height:882" coordorigin="9308,11357" coordsize="882,882">
              <v:shape style="position:absolute;left:9308;top:11357;width:882;height:882" coordorigin="9308,11357" coordsize="882,882" path="m9764,11357l9696,11361,9629,11374,9566,11397,9506,11430,9452,11472,9404,11523,9364,11583,9334,11648,9316,11716,9308,11784,9311,11852,9325,11918,9348,11982,9381,12041,9423,12096,9474,12143,9534,12183,9599,12213,9667,12232,9735,12239,9803,12236,9869,12223,9933,12200,9992,12167,10047,12125,10094,12073,10134,12014,10164,11949,10183,11881,10190,11813,10187,11745,10174,11679,10151,11615,10118,11555,10075,11501,10024,11453,9965,11413,9899,11384,9832,11365,9764,11357xe" filled="true" fillcolor="#8c8f90" stroked="false">
                <v:path arrowok="t"/>
                <v:fill type="solid"/>
              </v:shape>
            </v:group>
            <v:group style="position:absolute;left:4785;top:13182;width:2728;height:2728" coordorigin="4785,13182" coordsize="2728,2728">
              <v:shape style="position:absolute;left:4785;top:13182;width:2728;height:2728" coordorigin="4785,13182" coordsize="2728,2728" path="m6175,13182l6101,13183,6026,13188,5951,13197,5879,13209,5807,13226,5737,13246,5669,13269,5603,13296,5538,13326,5476,13360,5415,13396,5357,13436,5301,13478,5247,13523,5196,13570,5148,13620,5101,13673,5058,13728,5018,13785,4980,13844,4945,13904,4914,13967,4886,14032,4861,14098,4839,14165,4821,14234,4807,14304,4796,14375,4789,14448,4785,14521,4786,14595,4791,14670,4800,14744,4812,14817,4829,14888,4849,14958,4872,15026,4899,15093,4929,15157,4963,15220,4999,15280,5039,15338,5081,15394,5126,15448,5173,15499,5223,15548,5276,15594,5331,15637,5388,15678,5447,15715,5507,15750,5570,15781,5635,15810,5701,15835,5768,15856,5837,15874,5907,15889,5978,15900,6051,15907,6124,15910,6198,15909,6273,15905,6347,15896,6420,15883,6491,15867,6561,15847,6629,15823,6696,15796,6760,15766,6823,15733,6883,15696,6941,15657,6997,15615,7051,15570,7102,15522,7151,15472,7197,15419,7240,15365,7281,15308,7318,15249,7353,15188,7384,15125,7413,15061,7438,14995,7459,14927,7477,14858,7492,14788,7503,14717,7510,14645,7513,14572,7512,14498,7508,14423,7499,14348,7486,14276,7470,14204,7450,14134,7426,14066,7399,14000,7369,13935,7336,13873,7299,13812,7260,13754,7218,13698,7173,13644,7125,13593,7075,13544,7022,13498,6968,13455,6911,13415,6852,13377,6791,13342,6728,13311,6664,13283,6598,13258,6530,13236,6461,13218,6391,13204,6320,13193,6248,13186,6175,13182xe" filled="true" fillcolor="#8c8f90" stroked="false">
                <v:path arrowok="t"/>
                <v:fill type="solid"/>
              </v:shape>
            </v:group>
            <v:group style="position:absolute;left:3536;top:2642;width:766;height:763" coordorigin="3536,2642" coordsize="766,763">
              <v:shape style="position:absolute;left:3536;top:2642;width:766;height:763" coordorigin="3536,2642" coordsize="766,763" path="m4301,3405l3536,2982,4301,2642,4301,3405xe" filled="true" fillcolor="#d7000f" stroked="false">
                <v:path arrowok="t"/>
                <v:fill type="solid"/>
              </v:shape>
            </v:group>
            <v:group style="position:absolute;left:4535;top:3599;width:766;height:763" coordorigin="4535,3599" coordsize="766,763">
              <v:shape style="position:absolute;left:4535;top:3599;width:766;height:763" coordorigin="4535,3599" coordsize="766,763" path="m5300,4361l4535,3939,5300,3599,5300,4361xe" filled="true" fillcolor="#d7000f" stroked="false">
                <v:path arrowok="t"/>
                <v:fill type="solid"/>
              </v:shape>
            </v:group>
            <v:group style="position:absolute;left:3666;top:5399;width:766;height:763" coordorigin="3666,5399" coordsize="766,763">
              <v:shape style="position:absolute;left:3666;top:5399;width:766;height:763" coordorigin="3666,5399" coordsize="766,763" path="m4431,6161l3666,5739,4431,5399,4431,6161xe" filled="true" fillcolor="#d7000f" stroked="false">
                <v:path arrowok="t"/>
                <v:fill type="solid"/>
              </v:shape>
            </v:group>
            <w10:wrap type="none"/>
          </v:group>
        </w:pict>
      </w:r>
      <w:r>
        <w:rPr/>
        <w:pict>
          <v:shape style="position:absolute;margin-left:58.887203pt;margin-top:177.43689pt;width:110.1pt;height:62.2pt;mso-position-horizontal-relative:page;mso-position-vertical-relative:page;z-index:2032;rotation:337" type="#_x0000_t136" fillcolor="#d7000f" stroked="f">
            <o:extrusion v:ext="view" autorotationcenter="t"/>
            <v:textpath style="font-family:&amp;quot;宋体&amp;quot;;font-size:62pt;v-text-kern:t;mso-text-shadow:auto" string="回报"/>
            <w10:wrap type="none"/>
          </v:shape>
        </w:pict>
      </w:r>
      <w:r>
        <w:rPr/>
        <w:pict>
          <v:shape style="position:absolute;margin-left:56.601566pt;margin-top:235.216431pt;width:164.8pt;height:62.2pt;mso-position-horizontal-relative:page;mso-position-vertical-relative:page;z-index:2056;rotation:337" type="#_x0000_t136" fillcolor="#d7000f" stroked="f">
            <o:extrusion v:ext="view" autorotationcenter="t"/>
            <v:textpath style="font-family:&amp;quot;宋体&amp;quot;;font-size:62pt;v-text-kern:t;mso-text-shadow:auto" string="竞争力"/>
            <w10:wrap type="none"/>
          </v:shape>
        </w:pict>
      </w:r>
      <w:r>
        <w:rPr/>
        <w:pict>
          <v:shape style="position:absolute;margin-left:58.887211pt;margin-top:312.720581pt;width:110.1pt;height:62.2pt;mso-position-horizontal-relative:page;mso-position-vertical-relative:page;z-index:2080;rotation:337" type="#_x0000_t136" fillcolor="#d7000f" stroked="f">
            <o:extrusion v:ext="view" autorotationcenter="t"/>
            <v:textpath style="font-family:&amp;quot;宋体&amp;quot;;font-size:62pt;v-text-kern:t;mso-text-shadow:auto" string="效益"/>
            <w10:wrap type="none"/>
          </v:shape>
        </w:pict>
      </w:r>
      <w:r>
        <w:rPr/>
        <w:pict>
          <v:shape style="position:absolute;margin-left:108.043457pt;margin-top:411.343109pt;width:427.5pt;height:121.15pt;mso-position-horizontal-relative:page;mso-position-vertical-relative:page;z-index:2104;rotation:337" type="#_x0000_t136" fillcolor="#000000" stroked="f">
            <o:extrusion v:ext="view" autorotationcenter="t"/>
            <v:textpath style="font-family:&amp;quot;宋体&amp;quot;;font-size:121pt;v-text-kern:t;mso-text-shadow:auto" string="联通世界"/>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tabs>
          <w:tab w:pos="7283" w:val="left" w:leader="none"/>
        </w:tabs>
        <w:spacing w:before="68"/>
        <w:ind w:left="114" w:right="1314" w:firstLine="0"/>
        <w:jc w:val="left"/>
        <w:rPr>
          <w:rFonts w:ascii="宋体" w:hAnsi="宋体" w:cs="宋体" w:eastAsia="宋体" w:hint="default"/>
          <w:sz w:val="16"/>
          <w:szCs w:val="16"/>
        </w:rPr>
      </w:pPr>
      <w:r>
        <w:rPr>
          <w:rFonts w:ascii="Arial" w:hAnsi="Arial" w:cs="Arial" w:eastAsia="Arial" w:hint="default"/>
          <w:b/>
          <w:bCs/>
          <w:color w:val="9C8758"/>
          <w:position w:val="3"/>
          <w:sz w:val="16"/>
          <w:szCs w:val="16"/>
        </w:rPr>
        <w:t>8</w:t>
        <w:tab/>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footerReference w:type="even" r:id="rId36"/>
          <w:pgSz w:w="11910" w:h="16160"/>
          <w:pgMar w:footer="0" w:header="0" w:top="0" w:bottom="0" w:left="700" w:right="0"/>
        </w:sectPr>
      </w:pPr>
    </w:p>
    <w:p>
      <w:pPr>
        <w:spacing w:line="240" w:lineRule="auto" w:before="0"/>
        <w:rPr>
          <w:rFonts w:ascii="宋体" w:hAnsi="宋体" w:cs="宋体" w:eastAsia="宋体" w:hint="default"/>
          <w:sz w:val="20"/>
          <w:szCs w:val="20"/>
        </w:rPr>
      </w:pPr>
      <w:r>
        <w:rPr/>
        <w:pict>
          <v:group style="position:absolute;margin-left:-.0002pt;margin-top:-.000177pt;width:595.3pt;height:807.9pt;mso-position-horizontal-relative:page;mso-position-vertical-relative:page;z-index:-967792" coordorigin="0,0" coordsize="11906,16158">
            <v:group style="position:absolute;left:0;top:0;width:11;height:16158" coordorigin="0,0" coordsize="11,16158">
              <v:shape style="position:absolute;left:0;top:0;width:11;height:16158" coordorigin="0,0" coordsize="11,16158" path="m0,16157l10,16157,10,0,0,0,0,16157xe" filled="true" fillcolor="#8c8f90" stroked="false">
                <v:path arrowok="t"/>
                <v:fill type="solid"/>
              </v:shape>
            </v:group>
            <v:group style="position:absolute;left:0;top:0;width:11906;height:13962" coordorigin="0,0" coordsize="11906,13962">
              <v:shape style="position:absolute;left:0;top:0;width:11906;height:13962" coordorigin="0,0" coordsize="11906,13962" path="m11905,0l7497,0,0,3241,0,13961,11905,8814,11905,0xe" filled="true" fillcolor="#d7000f" stroked="false">
                <v:path arrowok="t"/>
                <v:fill type="solid"/>
              </v:shape>
            </v:group>
            <v:group style="position:absolute;left:0;top:0;width:3682;height:3242" coordorigin="0,0" coordsize="3682,3242">
              <v:shape style="position:absolute;left:0;top:0;width:3682;height:3242" coordorigin="0,0" coordsize="3682,3242" path="m3682,0l0,0,0,3242,3682,1650,3682,0xe" filled="true" fillcolor="#ffffff" stroked="false">
                <v:path arrowok="t"/>
                <v:fill type="solid"/>
              </v:shape>
            </v:group>
            <v:group style="position:absolute;left:0;top:12365;width:3682;height:3793" coordorigin="0,12365" coordsize="3682,3793">
              <v:shape style="position:absolute;left:0;top:12365;width:3682;height:3793" coordorigin="0,12365" coordsize="3682,3793" path="m3682,12365l0,13957,0,16157,3682,16157,3682,12365xe" filled="true" fillcolor="#ffffff" stroked="false">
                <v:path arrowok="t"/>
                <v:fill type="solid"/>
              </v:shape>
              <v:shape style="position:absolute;left:5328;top:4615;width:386;height:386" type="#_x0000_t75" stroked="false">
                <v:imagedata r:id="rId39" o:title=""/>
              </v:shape>
              <v:shape style="position:absolute;left:1212;top:1205;width:354;height:354" type="#_x0000_t75" stroked="false">
                <v:imagedata r:id="rId40" o:title=""/>
              </v:shape>
            </v:group>
            <v:group style="position:absolute;left:9486;top:883;width:611;height:611" coordorigin="9486,883" coordsize="611,611">
              <v:shape style="position:absolute;left:9486;top:883;width:611;height:611" coordorigin="9486,883" coordsize="611,611" path="m9808,883l9741,887,9677,905,9618,937,9566,982,9525,1039,9498,1104,9486,1172,9490,1239,9508,1303,9540,1363,9585,1414,9642,1455,9707,1483,9775,1494,9842,1490,9906,1472,9966,1440,10017,1395,10059,1338,10086,1273,10097,1205,10093,1138,10075,1074,10043,1014,9998,963,9941,922,9876,894,9808,883xe" filled="true" fillcolor="#d7000f" stroked="false">
                <v:path arrowok="t"/>
                <v:fill type="solid"/>
              </v:shape>
            </v:group>
            <v:group style="position:absolute;left:3800;top:14624;width:666;height:666" coordorigin="3800,14624" coordsize="666,666">
              <v:shape style="position:absolute;left:3800;top:14624;width:666;height:666" coordorigin="3800,14624" coordsize="666,666" path="m4151,14624l4078,14628,4007,14648,3943,14683,3887,14731,3842,14794,3812,14865,3800,14938,3804,15012,3824,15082,3858,15146,3907,15202,3970,15247,4041,15277,4114,15289,4187,15285,4258,15266,4322,15231,4378,15182,4423,15119,4453,15048,4465,14975,4461,14902,4441,14831,4407,14767,4358,14711,4295,14666,4224,14636,4151,14624xe" filled="true" fillcolor="#9b8758" stroked="false">
                <v:path arrowok="t"/>
                <v:fill type="solid"/>
              </v:shape>
              <v:shape style="position:absolute;left:5923;top:15497;width:358;height:358" type="#_x0000_t75" stroked="false">
                <v:imagedata r:id="rId41" o:title=""/>
              </v:shape>
              <v:shape style="position:absolute;left:10528;top:14228;width:358;height:358" type="#_x0000_t75" stroked="false">
                <v:imagedata r:id="rId42" o:title=""/>
              </v:shape>
            </v:group>
            <v:group style="position:absolute;left:3356;top:1180;width:926;height:926" coordorigin="3356,1180" coordsize="926,926">
              <v:shape style="position:absolute;left:3356;top:1180;width:926;height:926" coordorigin="3356,1180" coordsize="926,926" path="m3828,1180l3756,1184,3686,1199,3620,1225,3558,1260,3502,1305,3454,1358,3413,1419,3382,1488,3363,1561,3356,1634,3360,1706,3375,1776,3401,1842,3436,1903,3481,1959,3534,2008,3595,2048,3664,2079,3737,2098,3810,2106,3882,2101,3952,2086,4018,2061,4079,2025,4135,1981,4184,1927,4224,1866,4255,1797,4274,1725,4282,1652,4277,1580,4262,1510,4237,1444,4201,1382,4157,1326,4103,1278,4042,1237,3973,1206,3901,1187,3828,1180xe" filled="true" fillcolor="#9b8758" stroked="false">
                <v:path arrowok="t"/>
                <v:fill type="solid"/>
              </v:shape>
            </v:group>
            <v:group style="position:absolute;left:11322;top:4808;width:584;height:834" coordorigin="11322,4808" coordsize="584,834">
              <v:shape style="position:absolute;left:11322;top:4808;width:584;height:834" coordorigin="11322,4808" coordsize="584,834" path="m11738,4808l11665,4815,11596,4834,11531,4864,11473,4904,11422,4954,11380,5012,11349,5078,11329,5151,11322,5226,11329,5298,11347,5368,11377,5432,11418,5491,11468,5541,11526,5583,11592,5615,11665,5635,11739,5642,11812,5635,11881,5616,11906,5605,11906,4845,11885,4835,11813,4815,11738,4808xe" filled="true" fillcolor="#8c8f90" stroked="false">
                <v:path arrowok="t"/>
                <v:fill type="solid"/>
              </v:shape>
            </v:group>
            <v:group style="position:absolute;left:10586;top:4577;width:1024;height:1024" coordorigin="10586,4577" coordsize="1024,1024">
              <v:shape style="position:absolute;left:10586;top:4577;width:1024;height:1024" coordorigin="10586,4577" coordsize="1024,1024" path="m11114,4577l11040,4580,10968,4594,10900,4617,10836,4649,10778,4690,10725,4738,10679,4794,10642,4856,10613,4924,10594,4998,10586,5073,10589,5147,10603,5219,10626,5287,10658,5351,10699,5409,10747,5462,10803,5507,10865,5545,10933,5574,11007,5593,11082,5601,11156,5598,11228,5584,11296,5561,11360,5529,11418,5488,11471,5440,11516,5384,11554,5322,11583,5254,11602,5180,11610,5105,11607,5031,11593,4959,11570,4891,11538,4827,11497,4769,11449,4716,11393,4670,11331,4633,11263,4604,11189,4585,11114,4577xe" filled="true" fillcolor="#000000" stroked="false">
                <v:path arrowok="t"/>
                <v:fill type="solid"/>
              </v:shape>
            </v:group>
            <v:group style="position:absolute;left:3682;top:343;width:1421;height:1421" coordorigin="3682,343" coordsize="1421,1421">
              <v:shape style="position:absolute;left:3682;top:343;width:1421;height:1421" coordorigin="3682,343" coordsize="1421,1421" path="m4406,343l4332,345,4259,355,4188,373,4120,397,4054,429,3992,466,3934,510,3880,561,3832,616,3789,678,3752,744,3723,816,3701,890,3687,965,3682,1040,3684,1114,3694,1186,3712,1257,3736,1326,3767,1391,3805,1453,3849,1512,3899,1565,3955,1614,4017,1656,4083,1693,4155,1723,4229,1745,4304,1758,4378,1764,4452,1761,4525,1751,4596,1734,4664,1709,4730,1678,4792,1640,4850,1596,4904,1546,4952,1490,4995,1429,5032,1362,5061,1291,5083,1216,5097,1141,5102,1067,5100,993,5090,920,5072,849,5048,781,5017,715,4979,653,4935,595,4885,541,4829,493,4767,450,4701,414,4629,384,4555,362,4480,348,4406,343xe" filled="true" fillcolor="#000000" stroked="false">
                <v:path arrowok="t"/>
                <v:fill type="solid"/>
              </v:shape>
            </v:group>
            <v:group style="position:absolute;left:9202;top:1163;width:1393;height:1393" coordorigin="9202,1163" coordsize="1393,1393">
              <v:shape style="position:absolute;left:9202;top:1163;width:1393;height:1393" coordorigin="9202,1163" coordsize="1393,1393" path="m9911,1163l9835,1166,9760,1177,9688,1195,9619,1221,9554,1254,9493,1292,9437,1337,9386,1387,9341,1441,9301,1501,9267,1564,9240,1630,9220,1700,9207,1772,9202,1846,9204,1922,9215,1998,9234,2070,9260,2138,9292,2203,9331,2264,9375,2320,9425,2371,9480,2417,9539,2456,9602,2490,9669,2517,9738,2538,9811,2551,9885,2556,9961,2553,10036,2542,10108,2524,10177,2498,10242,2465,10302,2427,10358,2382,10409,2332,10455,2277,10495,2218,10529,2155,10556,2089,10576,2019,10589,1947,10594,1872,10592,1796,10581,1721,10562,1649,10536,1580,10504,1516,10465,1455,10421,1399,10371,1348,10316,1302,10257,1262,10194,1229,10127,1201,10057,1181,9985,1168,9911,1163xe" filled="true" fillcolor="#8c8f90" stroked="false">
                <v:path arrowok="t"/>
                <v:fill type="solid"/>
              </v:shape>
            </v:group>
            <v:group style="position:absolute;left:4031;top:2219;width:833;height:833" coordorigin="4031,2219" coordsize="833,833">
              <v:shape style="position:absolute;left:4031;top:2219;width:833;height:833" coordorigin="4031,2219" coordsize="833,833" path="m4485,2219l4409,2219,4335,2233,4266,2258,4204,2295,4150,2342,4104,2396,4068,2458,4043,2526,4031,2598,4031,2673,4044,2748,4070,2816,4106,2878,4153,2933,4208,2978,4269,3014,4337,3039,4409,3052,4485,3052,4559,3038,4628,3013,4690,2976,4744,2930,4790,2875,4826,2813,4850,2745,4863,2673,4863,2598,4850,2524,4824,2455,4787,2393,4741,2338,4686,2293,4624,2257,4557,2232,4485,2219xe" filled="true" fillcolor="#000000" stroked="false">
                <v:path arrowok="t"/>
                <v:fill type="solid"/>
              </v:shape>
            </v:group>
            <v:group style="position:absolute;left:6634;top:13343;width:958;height:958" coordorigin="6634,13343" coordsize="958,958">
              <v:shape style="position:absolute;left:6634;top:13343;width:958;height:958" coordorigin="6634,13343" coordsize="958,958" path="m7148,13343l7070,13344,6993,13358,6921,13382,6855,13418,6796,13462,6744,13515,6702,13575,6669,13641,6646,13712,6634,13787,6635,13865,6648,13942,6673,14014,6708,14080,6753,14139,6806,14191,6866,14233,6932,14267,7003,14289,7078,14301,7156,14300,7233,14287,7305,14262,7371,14227,7430,14182,7482,14129,7524,14069,7557,14003,7580,13932,7592,13857,7591,13779,7577,13702,7553,13630,7517,13564,7473,13505,7420,13454,7360,13411,7294,13378,7223,13355,7148,13343xe" filled="true" fillcolor="#d7000f" stroked="false">
                <v:path arrowok="t"/>
                <v:fill type="solid"/>
              </v:shape>
            </v:group>
            <v:group style="position:absolute;left:10456;top:11354;width:924;height:924" coordorigin="10456,11354" coordsize="924,924">
              <v:shape style="position:absolute;left:10456;top:11354;width:924;height:924" coordorigin="10456,11354" coordsize="924,924" path="m10950,11354l10875,11355,10802,11367,10734,11391,10671,11424,10614,11466,10564,11517,10522,11575,10490,11639,10467,11709,10456,11783,10457,11859,10469,11931,10492,11999,10526,12062,10568,12119,10619,12169,10677,12211,10741,12244,10811,12266,10885,12277,10960,12277,11033,12264,11101,12241,11164,12207,11221,12165,11271,12115,11313,12057,11345,11992,11368,11923,11379,11848,11378,11773,11366,11701,11343,11632,11309,11569,11267,11512,11216,11462,11159,11420,11094,11388,11024,11365,10950,11354xe" filled="true" fillcolor="#9b8758" stroked="false">
                <v:path arrowok="t"/>
                <v:fill type="solid"/>
              </v:shape>
            </v:group>
            <v:group style="position:absolute;left:10929;top:11501;width:977;height:1420" coordorigin="10929,11501" coordsize="977,1420">
              <v:shape style="position:absolute;left:10929;top:11501;width:977;height:1420" coordorigin="10929,11501" coordsize="977,1420" path="m11611,11501l11535,11508,11462,11523,11391,11545,11324,11574,11260,11609,11201,11651,11146,11699,11096,11752,11052,11810,11014,11873,10982,11939,10957,12010,10940,12084,10930,12161,10929,12238,10936,12314,10951,12387,10973,12458,11002,12525,11038,12589,11079,12648,11127,12703,11180,12753,11238,12797,11301,12836,11368,12867,11438,12892,11512,12910,11589,12919,11666,12920,11742,12913,11815,12899,11886,12877,11906,12868,11906,11552,11839,11529,11765,11512,11689,11502,11611,11501xe" filled="true" fillcolor="#8c8f90" stroked="false">
                <v:path arrowok="t"/>
                <v:fill type="solid"/>
              </v:shape>
            </v:group>
            <w10:wrap type="none"/>
          </v:group>
        </w:pict>
      </w:r>
      <w:r>
        <w:rPr/>
        <w:pict>
          <v:shape style="position:absolute;margin-left:39.248783pt;margin-top:279.34256pt;width:381.3pt;height:108.05pt;mso-position-horizontal-relative:page;mso-position-vertical-relative:page;z-index:2152;rotation:337" type="#_x0000_t136" fillcolor="#ffffff" stroked="f">
            <o:extrusion v:ext="view" autorotationcenter="t"/>
            <v:textpath style="font-family:&amp;quot;宋体&amp;quot;;font-size:108pt;v-text-kern:t;mso-text-shadow:auto" string="创享美好"/>
            <w10:wrap type="none"/>
          </v:shape>
        </w:pict>
      </w:r>
      <w:r>
        <w:rPr/>
        <w:pict>
          <v:shape style="position:absolute;margin-left:109.31543pt;margin-top:375.065216pt;width:354.35pt;height:100.4pt;mso-position-horizontal-relative:page;mso-position-vertical-relative:page;z-index:2176;rotation:337" type="#_x0000_t136" fillcolor="#8e9090" stroked="f">
            <o:extrusion v:ext="view" autorotationcenter="t"/>
            <v:textpath style="font-family:&amp;quot;宋体&amp;quot;;font-size:100pt;v-text-kern:t;mso-text-shadow:auto" string="智慧生活"/>
            <w10:wrap type="none"/>
          </v:shape>
        </w:pict>
      </w:r>
      <w:r>
        <w:rPr/>
        <w:pict>
          <v:shape style="position:absolute;margin-left:305.763336pt;margin-top:459.110626pt;width:123.3pt;height:31.65pt;mso-position-horizontal-relative:page;mso-position-vertical-relative:page;z-index:2200;rotation:337" type="#_x0000_t136" fillcolor="#000000" stroked="f">
            <o:extrusion v:ext="view" autorotationcenter="t"/>
            <v:textpath style="font-family:&amp;quot;宋体&amp;quot;;font-size:31pt;v-text-kern:t;mso-text-shadow:auto" string="独特优势"/>
            <w10:wrap type="none"/>
          </v:shape>
        </w:pict>
      </w:r>
      <w:r>
        <w:rPr/>
        <w:pict>
          <v:shape style="position:absolute;margin-left:175.169861pt;margin-top:516.148438pt;width:123.3pt;height:31.65pt;mso-position-horizontal-relative:page;mso-position-vertical-relative:page;z-index:2224;rotation:337" type="#_x0000_t136" fillcolor="#ffffff" stroked="f">
            <o:extrusion v:ext="view" autorotationcenter="t"/>
            <v:textpath style="font-family:&amp;quot;宋体&amp;quot;;font-size:31pt;v-text-kern:t;mso-text-shadow:auto" string="积极发挥"/>
            <w10:wrap type="none"/>
          </v:shape>
        </w:pict>
      </w:r>
      <w:r>
        <w:rPr/>
        <w:pict>
          <v:shape style="position:absolute;margin-left:342.218689pt;margin-top:549.153076pt;width:91.95pt;height:32.75pt;mso-position-horizontal-relative:page;mso-position-vertical-relative:page;z-index:2248;rotation:337" type="#_x0000_t136" fillcolor="#9c8758" stroked="f">
            <o:extrusion v:ext="view" autorotationcenter="t"/>
            <v:textpath style="font-family:&amp;quot;宋体&amp;quot;;font-size:32pt;v-text-kern:t;mso-text-shadow:auto" string="新运营"/>
            <w10:wrap type="none"/>
          </v:shape>
        </w:pict>
      </w:r>
      <w:r>
        <w:rPr/>
        <w:pict>
          <v:shape style="position:absolute;margin-left:240.501984pt;margin-top:593.578552pt;width:91.95pt;height:32.75pt;mso-position-horizontal-relative:page;mso-position-vertical-relative:page;z-index:2272;rotation:337" type="#_x0000_t136" fillcolor="#9c8758" stroked="f">
            <o:extrusion v:ext="view" autorotationcenter="t"/>
            <v:textpath style="font-family:&amp;quot;宋体&amp;quot;;font-size:32pt;v-text-kern:t;mso-text-shadow:auto" string="新基因"/>
            <w10:wrap type="none"/>
          </v:shape>
        </w:pict>
      </w:r>
      <w:r>
        <w:rPr/>
        <w:pict>
          <v:shape style="position:absolute;margin-left:138.785294pt;margin-top:638.003967pt;width:91.95pt;height:32.75pt;mso-position-horizontal-relative:page;mso-position-vertical-relative:page;z-index:2296;rotation:337" type="#_x0000_t136" fillcolor="#9c8758" stroked="f">
            <o:extrusion v:ext="view" autorotationcenter="t"/>
            <v:textpath style="font-family:&amp;quot;宋体&amp;quot;;font-size:32pt;v-text-kern:t;mso-text-shadow:auto" string="新治理"/>
            <w10:wrap type="none"/>
          </v:shape>
        </w:pict>
      </w:r>
      <w:r>
        <w:rPr/>
        <w:pict>
          <v:shape style="position:absolute;margin-left:410.575256pt;margin-top:561.233521pt;width:91.95pt;height:32.75pt;mso-position-horizontal-relative:page;mso-position-vertical-relative:page;z-index:2320;rotation:337" type="#_x0000_t136" fillcolor="#9c8758" stroked="f">
            <o:extrusion v:ext="view" autorotationcenter="t"/>
            <v:textpath style="font-family:&amp;quot;宋体&amp;quot;;font-size:32pt;v-text-kern:t;mso-text-shadow:auto" string="新生态"/>
            <w10:wrap type="none"/>
          </v:shape>
        </w:pict>
      </w:r>
      <w:r>
        <w:rPr/>
        <w:pict>
          <v:shape style="position:absolute;margin-left:308.858551pt;margin-top:605.658936pt;width:91.95pt;height:32.75pt;mso-position-horizontal-relative:page;mso-position-vertical-relative:page;z-index:2344;rotation:337" type="#_x0000_t136" fillcolor="#9c8758" stroked="f">
            <o:extrusion v:ext="view" autorotationcenter="t"/>
            <v:textpath style="font-family:&amp;quot;宋体&amp;quot;;font-size:32pt;v-text-kern:t;mso-text-shadow:auto" string="新动能"/>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7"/>
          <w:szCs w:val="27"/>
        </w:rPr>
      </w:pPr>
    </w:p>
    <w:p>
      <w:pPr>
        <w:tabs>
          <w:tab w:pos="9731" w:val="right" w:leader="none"/>
        </w:tabs>
        <w:spacing w:before="45"/>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sz w:val="16"/>
          <w:szCs w:val="16"/>
        </w:rPr>
        <w:t>2018</w:t>
      </w:r>
      <w:r>
        <w:rPr>
          <w:rFonts w:ascii="宋体" w:hAnsi="宋体" w:cs="宋体" w:eastAsia="宋体" w:hint="default"/>
          <w:color w:val="9C8758"/>
          <w:spacing w:val="-16"/>
          <w:w w:val="105"/>
          <w:sz w:val="16"/>
          <w:szCs w:val="16"/>
        </w:rPr>
        <w:t> </w:t>
      </w:r>
      <w:r>
        <w:rPr>
          <w:rFonts w:ascii="宋体" w:hAnsi="宋体" w:cs="宋体" w:eastAsia="宋体" w:hint="default"/>
          <w:color w:val="9C8758"/>
          <w:spacing w:val="24"/>
          <w:w w:val="105"/>
          <w:sz w:val="16"/>
          <w:szCs w:val="16"/>
        </w:rPr>
        <w:t>年度报告</w:t>
      </w:r>
      <w:r>
        <w:rPr>
          <w:rFonts w:ascii="Arial" w:hAnsi="Arial" w:cs="Arial" w:eastAsia="Arial" w:hint="default"/>
          <w:b/>
          <w:bCs/>
          <w:color w:val="9C8758"/>
          <w:spacing w:val="24"/>
          <w:w w:val="105"/>
          <w:sz w:val="16"/>
          <w:szCs w:val="16"/>
        </w:rPr>
        <w:tab/>
      </w:r>
      <w:r>
        <w:rPr>
          <w:rFonts w:ascii="Arial" w:hAnsi="Arial" w:cs="Arial" w:eastAsia="Arial" w:hint="default"/>
          <w:b/>
          <w:bCs/>
          <w:color w:val="9C8758"/>
          <w:w w:val="105"/>
          <w:sz w:val="16"/>
          <w:szCs w:val="16"/>
        </w:rPr>
        <w:t>9</w:t>
      </w:r>
      <w:r>
        <w:rPr>
          <w:rFonts w:ascii="Arial" w:hAnsi="Arial" w:cs="Arial" w:eastAsia="Arial" w:hint="default"/>
          <w:w w:val="105"/>
          <w:sz w:val="16"/>
          <w:szCs w:val="16"/>
        </w:rPr>
      </w:r>
    </w:p>
    <w:p>
      <w:pPr>
        <w:spacing w:after="0"/>
        <w:jc w:val="left"/>
        <w:rPr>
          <w:rFonts w:ascii="Arial" w:hAnsi="Arial" w:cs="Arial" w:eastAsia="Arial" w:hint="default"/>
          <w:sz w:val="16"/>
          <w:szCs w:val="16"/>
        </w:rPr>
        <w:sectPr>
          <w:footerReference w:type="default" r:id="rId38"/>
          <w:pgSz w:w="11910" w:h="16160"/>
          <w:pgMar w:footer="0" w:header="0" w:top="0" w:bottom="0" w:left="1380" w:right="0"/>
        </w:sect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10"/>
        <w:rPr>
          <w:rFonts w:ascii="Arial" w:hAnsi="Arial" w:cs="Arial" w:eastAsia="Arial" w:hint="default"/>
          <w:b/>
          <w:bCs/>
          <w:sz w:val="16"/>
          <w:szCs w:val="16"/>
        </w:rPr>
      </w:pPr>
    </w:p>
    <w:p>
      <w:pPr>
        <w:spacing w:line="2815" w:lineRule="exact" w:before="0"/>
        <w:ind w:left="-171" w:right="0" w:firstLine="0"/>
        <w:jc w:val="left"/>
        <w:rPr>
          <w:rFonts w:ascii="宋体" w:hAnsi="宋体" w:cs="宋体" w:eastAsia="宋体" w:hint="default"/>
          <w:sz w:val="307"/>
          <w:szCs w:val="307"/>
        </w:rPr>
      </w:pPr>
      <w:r>
        <w:rPr>
          <w:rFonts w:ascii="宋体" w:hAnsi="宋体" w:cs="宋体" w:eastAsia="宋体" w:hint="default"/>
          <w:w w:val="95"/>
          <w:sz w:val="307"/>
          <w:szCs w:val="307"/>
        </w:rPr>
        <w:t>大事记</w:t>
      </w:r>
      <w:r>
        <w:rPr>
          <w:rFonts w:ascii="宋体" w:hAnsi="宋体" w:cs="宋体" w:eastAsia="宋体" w:hint="default"/>
          <w:sz w:val="307"/>
          <w:szCs w:val="307"/>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footerReference w:type="even" r:id="rId43"/>
          <w:pgSz w:w="11910" w:h="16160"/>
          <w:pgMar w:footer="0" w:header="0" w:top="1520" w:bottom="0" w:left="0" w:right="1260"/>
        </w:sectPr>
      </w:pPr>
    </w:p>
    <w:p>
      <w:pPr>
        <w:pStyle w:val="Heading4"/>
        <w:spacing w:line="240" w:lineRule="auto" w:before="90"/>
        <w:ind w:left="4337" w:right="0"/>
        <w:jc w:val="both"/>
      </w:pPr>
      <w:r>
        <w:rPr>
          <w:w w:val="105"/>
        </w:rPr>
        <w:t>2018年1月</w:t>
      </w:r>
      <w:r>
        <w:rPr/>
      </w:r>
    </w:p>
    <w:p>
      <w:pPr>
        <w:spacing w:line="240" w:lineRule="auto" w:before="6"/>
        <w:rPr>
          <w:rFonts w:ascii="宋体" w:hAnsi="宋体" w:cs="宋体" w:eastAsia="宋体" w:hint="default"/>
          <w:sz w:val="32"/>
          <w:szCs w:val="32"/>
        </w:rPr>
      </w:pPr>
    </w:p>
    <w:p>
      <w:pPr>
        <w:pStyle w:val="BodyText"/>
        <w:spacing w:line="304" w:lineRule="auto"/>
        <w:ind w:left="4337" w:right="0"/>
        <w:jc w:val="both"/>
        <w:rPr>
          <w:rFonts w:ascii="宋体" w:hAnsi="宋体" w:cs="宋体" w:eastAsia="宋体" w:hint="default"/>
        </w:rPr>
      </w:pPr>
      <w:r>
        <w:rPr>
          <w:rFonts w:ascii="宋体" w:hAnsi="宋体" w:cs="宋体" w:eastAsia="宋体" w:hint="default"/>
          <w:spacing w:val="16"/>
        </w:rPr>
        <w:t>中国联通与腾讯签署战略协议，</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spacing w:val="15"/>
        </w:rPr>
        <w:t>双方将就大数据在信息安全、金</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spacing w:val="16"/>
        </w:rPr>
        <w:t>融反欺诈等多个领域开展合作</w:t>
      </w:r>
      <w:r>
        <w:rPr>
          <w:rFonts w:ascii="宋体" w:hAnsi="宋体" w:cs="宋体" w:eastAsia="宋体" w:hint="default"/>
          <w:spacing w:val="-72"/>
        </w:rPr>
        <w:t> </w:t>
      </w:r>
      <w:r>
        <w:rPr>
          <w:rFonts w:ascii="宋体" w:hAnsi="宋体" w:cs="宋体" w:eastAsia="宋体" w:hint="default"/>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9"/>
          <w:szCs w:val="19"/>
        </w:rPr>
      </w:pPr>
    </w:p>
    <w:p>
      <w:pPr>
        <w:pStyle w:val="Heading4"/>
        <w:spacing w:line="240" w:lineRule="auto"/>
        <w:ind w:left="4308" w:right="0"/>
        <w:jc w:val="both"/>
      </w:pPr>
      <w:r>
        <w:rPr>
          <w:w w:val="105"/>
        </w:rPr>
        <w:t>2018年2月</w:t>
      </w:r>
      <w:r>
        <w:rPr/>
      </w:r>
    </w:p>
    <w:p>
      <w:pPr>
        <w:spacing w:line="240" w:lineRule="auto" w:before="6"/>
        <w:rPr>
          <w:rFonts w:ascii="宋体" w:hAnsi="宋体" w:cs="宋体" w:eastAsia="宋体" w:hint="default"/>
          <w:sz w:val="32"/>
          <w:szCs w:val="32"/>
        </w:rPr>
      </w:pPr>
    </w:p>
    <w:p>
      <w:pPr>
        <w:pStyle w:val="BodyText"/>
        <w:spacing w:line="304" w:lineRule="auto"/>
        <w:ind w:left="4308" w:right="10"/>
        <w:jc w:val="both"/>
        <w:rPr>
          <w:rFonts w:ascii="宋体" w:hAnsi="宋体" w:cs="宋体" w:eastAsia="宋体" w:hint="default"/>
        </w:rPr>
      </w:pPr>
      <w:r>
        <w:rPr>
          <w:rFonts w:ascii="宋体" w:hAnsi="宋体" w:cs="宋体" w:eastAsia="宋体" w:hint="default"/>
          <w:spacing w:val="18"/>
        </w:rPr>
        <w:t>公司完成董事</w:t>
      </w:r>
      <w:r>
        <w:rPr>
          <w:rFonts w:ascii="宋体" w:hAnsi="宋体" w:cs="宋体" w:eastAsia="宋体" w:hint="default"/>
          <w:spacing w:val="-68"/>
        </w:rPr>
        <w:t> </w:t>
      </w:r>
      <w:r>
        <w:rPr>
          <w:rFonts w:ascii="宋体" w:hAnsi="宋体" w:cs="宋体" w:eastAsia="宋体" w:hint="default"/>
          <w:spacing w:val="11"/>
        </w:rPr>
        <w:t>会、监事会换</w:t>
      </w:r>
      <w:r>
        <w:rPr>
          <w:rFonts w:ascii="宋体" w:hAnsi="宋体" w:cs="宋体" w:eastAsia="宋体" w:hint="default"/>
          <w:spacing w:val="-68"/>
        </w:rPr>
        <w:t> </w:t>
      </w:r>
      <w:r>
        <w:rPr>
          <w:rFonts w:ascii="宋体" w:hAnsi="宋体" w:cs="宋体" w:eastAsia="宋体" w:hint="default"/>
        </w:rPr>
        <w:t>届，</w:t>
      </w:r>
      <w:r>
        <w:rPr>
          <w:rFonts w:ascii="宋体" w:hAnsi="宋体" w:cs="宋体" w:eastAsia="宋体" w:hint="default"/>
        </w:rPr>
        <w:t> </w:t>
      </w:r>
      <w:r>
        <w:rPr>
          <w:rFonts w:ascii="宋体" w:hAnsi="宋体" w:cs="宋体" w:eastAsia="宋体" w:hint="default"/>
          <w:spacing w:val="15"/>
        </w:rPr>
        <w:t>结合战略投资者情况，引入新的</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spacing w:val="15"/>
        </w:rPr>
        <w:t>国有股东和非国有股东代表担任</w:t>
      </w:r>
      <w:r>
        <w:rPr>
          <w:rFonts w:ascii="宋体" w:hAnsi="宋体" w:cs="宋体" w:eastAsia="宋体" w:hint="default"/>
          <w:spacing w:val="-80"/>
        </w:rPr>
        <w:t> </w:t>
      </w:r>
      <w:r>
        <w:rPr>
          <w:rFonts w:ascii="宋体" w:hAnsi="宋体" w:cs="宋体" w:eastAsia="宋体" w:hint="default"/>
          <w:spacing w:val="15"/>
        </w:rPr>
        <w:t>公司董事及监事，组建成立多元</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spacing w:val="15"/>
        </w:rPr>
        <w:t>化董事会及监事会</w:t>
      </w:r>
      <w:r>
        <w:rPr>
          <w:rFonts w:ascii="宋体" w:hAnsi="宋体" w:cs="宋体" w:eastAsia="宋体" w:hint="default"/>
          <w:spacing w:val="-72"/>
        </w:rPr>
        <w:t> </w:t>
      </w:r>
      <w:r>
        <w:rPr>
          <w:rFonts w:ascii="宋体" w:hAnsi="宋体" w:cs="宋体" w:eastAsia="宋体" w:hint="default"/>
        </w:rPr>
      </w:r>
    </w:p>
    <w:p>
      <w:pPr>
        <w:pStyle w:val="Heading4"/>
        <w:spacing w:line="240" w:lineRule="auto" w:before="90"/>
        <w:ind w:left="611" w:right="0"/>
        <w:jc w:val="both"/>
      </w:pPr>
      <w:r>
        <w:rPr>
          <w:w w:val="105"/>
        </w:rPr>
        <w:br w:type="column"/>
      </w:r>
      <w:r>
        <w:rPr>
          <w:w w:val="105"/>
        </w:rPr>
        <w:t>2018年3月</w:t>
      </w:r>
      <w:r>
        <w:rPr/>
      </w:r>
    </w:p>
    <w:p>
      <w:pPr>
        <w:spacing w:line="240" w:lineRule="auto" w:before="6"/>
        <w:rPr>
          <w:rFonts w:ascii="宋体" w:hAnsi="宋体" w:cs="宋体" w:eastAsia="宋体" w:hint="default"/>
          <w:sz w:val="32"/>
          <w:szCs w:val="32"/>
        </w:rPr>
      </w:pPr>
    </w:p>
    <w:p>
      <w:pPr>
        <w:pStyle w:val="BodyText"/>
        <w:spacing w:line="304" w:lineRule="auto"/>
        <w:ind w:left="611" w:right="155"/>
        <w:jc w:val="both"/>
        <w:rPr>
          <w:rFonts w:ascii="宋体" w:hAnsi="宋体" w:cs="宋体" w:eastAsia="宋体" w:hint="default"/>
        </w:rPr>
      </w:pPr>
      <w:r>
        <w:rPr>
          <w:rFonts w:ascii="宋体" w:hAnsi="宋体" w:cs="宋体" w:eastAsia="宋体" w:hint="default"/>
          <w:spacing w:val="24"/>
        </w:rPr>
        <w:t>中国联</w:t>
      </w:r>
      <w:r>
        <w:rPr>
          <w:rFonts w:ascii="宋体" w:hAnsi="宋体" w:cs="宋体" w:eastAsia="宋体" w:hint="default"/>
          <w:spacing w:val="-61"/>
        </w:rPr>
        <w:t> </w:t>
      </w:r>
      <w:r>
        <w:rPr>
          <w:rFonts w:ascii="宋体" w:hAnsi="宋体" w:cs="宋体" w:eastAsia="宋体" w:hint="default"/>
          <w:spacing w:val="-34"/>
        </w:rPr>
        <w:t>通“</w:t>
      </w:r>
      <w:r>
        <w:rPr>
          <w:rFonts w:ascii="宋体" w:hAnsi="宋体" w:cs="宋体" w:eastAsia="宋体" w:hint="default"/>
          <w:spacing w:val="-73"/>
        </w:rPr>
        <w:t> </w:t>
      </w:r>
      <w:r>
        <w:rPr>
          <w:rFonts w:ascii="宋体" w:hAnsi="宋体" w:cs="宋体" w:eastAsia="宋体" w:hint="default"/>
          <w:spacing w:val="15"/>
          <w:w w:val="108"/>
        </w:rPr>
        <w:t>eSIM一号双终</w:t>
      </w:r>
      <w:r>
        <w:rPr>
          <w:rFonts w:ascii="宋体" w:hAnsi="宋体" w:cs="宋体" w:eastAsia="宋体" w:hint="default"/>
          <w:spacing w:val="-68"/>
          <w:w w:val="108"/>
        </w:rPr>
        <w:t> </w:t>
      </w:r>
      <w:r>
        <w:rPr>
          <w:rFonts w:ascii="宋体" w:hAnsi="宋体" w:cs="宋体" w:eastAsia="宋体" w:hint="default"/>
          <w:spacing w:val="-21"/>
        </w:rPr>
        <w:t>端”业</w:t>
      </w:r>
      <w:r>
        <w:rPr>
          <w:rFonts w:ascii="宋体" w:hAnsi="宋体" w:cs="宋体" w:eastAsia="宋体" w:hint="default"/>
        </w:rPr>
        <w:t> </w:t>
      </w:r>
      <w:r>
        <w:rPr>
          <w:rFonts w:ascii="宋体" w:hAnsi="宋体" w:cs="宋体" w:eastAsia="宋体" w:hint="default"/>
          <w:w w:val="105"/>
        </w:rPr>
        <w:t>务</w:t>
      </w:r>
      <w:r>
        <w:rPr>
          <w:rFonts w:ascii="宋体" w:hAnsi="宋体" w:cs="宋体" w:eastAsia="宋体" w:hint="default"/>
          <w:spacing w:val="-77"/>
          <w:w w:val="105"/>
        </w:rPr>
        <w:t> </w:t>
      </w:r>
      <w:r>
        <w:rPr>
          <w:rFonts w:ascii="宋体" w:hAnsi="宋体" w:cs="宋体" w:eastAsia="宋体" w:hint="default"/>
          <w:w w:val="105"/>
        </w:rPr>
        <w:t>率</w:t>
      </w:r>
      <w:r>
        <w:rPr>
          <w:rFonts w:ascii="宋体" w:hAnsi="宋体" w:cs="宋体" w:eastAsia="宋体" w:hint="default"/>
          <w:spacing w:val="-77"/>
          <w:w w:val="105"/>
        </w:rPr>
        <w:t> </w:t>
      </w:r>
      <w:r>
        <w:rPr>
          <w:rFonts w:ascii="宋体" w:hAnsi="宋体" w:cs="宋体" w:eastAsia="宋体" w:hint="default"/>
          <w:w w:val="105"/>
        </w:rPr>
        <w:t>先</w:t>
      </w:r>
      <w:r>
        <w:rPr>
          <w:rFonts w:ascii="宋体" w:hAnsi="宋体" w:cs="宋体" w:eastAsia="宋体" w:hint="default"/>
          <w:spacing w:val="-77"/>
          <w:w w:val="105"/>
        </w:rPr>
        <w:t> </w:t>
      </w:r>
      <w:r>
        <w:rPr>
          <w:rFonts w:ascii="宋体" w:hAnsi="宋体" w:cs="宋体" w:eastAsia="宋体" w:hint="default"/>
          <w:w w:val="105"/>
        </w:rPr>
        <w:t>正</w:t>
      </w:r>
      <w:r>
        <w:rPr>
          <w:rFonts w:ascii="宋体" w:hAnsi="宋体" w:cs="宋体" w:eastAsia="宋体" w:hint="default"/>
          <w:spacing w:val="-77"/>
          <w:w w:val="105"/>
        </w:rPr>
        <w:t> </w:t>
      </w:r>
      <w:r>
        <w:rPr>
          <w:rFonts w:ascii="宋体" w:hAnsi="宋体" w:cs="宋体" w:eastAsia="宋体" w:hint="default"/>
          <w:w w:val="105"/>
        </w:rPr>
        <w:t>式</w:t>
      </w:r>
      <w:r>
        <w:rPr>
          <w:rFonts w:ascii="宋体" w:hAnsi="宋体" w:cs="宋体" w:eastAsia="宋体" w:hint="default"/>
          <w:spacing w:val="-77"/>
          <w:w w:val="105"/>
        </w:rPr>
        <w:t> </w:t>
      </w:r>
      <w:r>
        <w:rPr>
          <w:rFonts w:ascii="宋体" w:hAnsi="宋体" w:cs="宋体" w:eastAsia="宋体" w:hint="default"/>
          <w:w w:val="105"/>
        </w:rPr>
        <w:t>在</w:t>
      </w:r>
      <w:r>
        <w:rPr>
          <w:rFonts w:ascii="宋体" w:hAnsi="宋体" w:cs="宋体" w:eastAsia="宋体" w:hint="default"/>
          <w:spacing w:val="-77"/>
          <w:w w:val="105"/>
        </w:rPr>
        <w:t> </w:t>
      </w:r>
      <w:r>
        <w:rPr>
          <w:rFonts w:ascii="宋体" w:hAnsi="宋体" w:cs="宋体" w:eastAsia="宋体" w:hint="default"/>
          <w:w w:val="105"/>
        </w:rPr>
        <w:t>上</w:t>
      </w:r>
      <w:r>
        <w:rPr>
          <w:rFonts w:ascii="宋体" w:hAnsi="宋体" w:cs="宋体" w:eastAsia="宋体" w:hint="default"/>
          <w:spacing w:val="-77"/>
          <w:w w:val="105"/>
        </w:rPr>
        <w:t> </w:t>
      </w:r>
      <w:r>
        <w:rPr>
          <w:rFonts w:ascii="宋体" w:hAnsi="宋体" w:cs="宋体" w:eastAsia="宋体" w:hint="default"/>
          <w:w w:val="105"/>
        </w:rPr>
        <w:t>海</w:t>
      </w:r>
      <w:r>
        <w:rPr>
          <w:rFonts w:ascii="宋体" w:hAnsi="宋体" w:cs="宋体" w:eastAsia="宋体" w:hint="default"/>
          <w:spacing w:val="-77"/>
          <w:w w:val="105"/>
        </w:rPr>
        <w:t> </w:t>
      </w:r>
      <w:r>
        <w:rPr>
          <w:rFonts w:ascii="宋体" w:hAnsi="宋体" w:cs="宋体" w:eastAsia="宋体" w:hint="default"/>
          <w:w w:val="105"/>
        </w:rPr>
        <w:t>等6个</w:t>
      </w:r>
      <w:r>
        <w:rPr>
          <w:rFonts w:ascii="宋体" w:hAnsi="宋体" w:cs="宋体" w:eastAsia="宋体" w:hint="default"/>
          <w:spacing w:val="-77"/>
          <w:w w:val="105"/>
        </w:rPr>
        <w:t> </w:t>
      </w:r>
      <w:r>
        <w:rPr>
          <w:rFonts w:ascii="宋体" w:hAnsi="宋体" w:cs="宋体" w:eastAsia="宋体" w:hint="default"/>
          <w:w w:val="105"/>
        </w:rPr>
        <w:t>城</w:t>
      </w:r>
      <w:r>
        <w:rPr>
          <w:rFonts w:ascii="宋体" w:hAnsi="宋体" w:cs="宋体" w:eastAsia="宋体" w:hint="default"/>
          <w:spacing w:val="-77"/>
          <w:w w:val="105"/>
        </w:rPr>
        <w:t> </w:t>
      </w:r>
      <w:r>
        <w:rPr>
          <w:rFonts w:ascii="宋体" w:hAnsi="宋体" w:cs="宋体" w:eastAsia="宋体" w:hint="default"/>
          <w:w w:val="105"/>
        </w:rPr>
        <w:t>市</w:t>
      </w:r>
      <w:r>
        <w:rPr>
          <w:rFonts w:ascii="宋体" w:hAnsi="宋体" w:cs="宋体" w:eastAsia="宋体" w:hint="default"/>
          <w:spacing w:val="-77"/>
          <w:w w:val="105"/>
        </w:rPr>
        <w:t> </w:t>
      </w:r>
      <w:r>
        <w:rPr>
          <w:rFonts w:ascii="宋体" w:hAnsi="宋体" w:cs="宋体" w:eastAsia="宋体" w:hint="default"/>
          <w:w w:val="105"/>
        </w:rPr>
        <w:t>启</w:t>
      </w:r>
      <w:r>
        <w:rPr>
          <w:rFonts w:ascii="宋体" w:hAnsi="宋体" w:cs="宋体" w:eastAsia="宋体" w:hint="default"/>
        </w:rPr>
        <w:t> </w:t>
      </w:r>
      <w:r>
        <w:rPr>
          <w:rFonts w:ascii="宋体" w:hAnsi="宋体" w:cs="宋体" w:eastAsia="宋体" w:hint="default"/>
          <w:spacing w:val="12"/>
          <w:w w:val="105"/>
        </w:rPr>
        <w:t>动办理</w:t>
      </w:r>
      <w:r>
        <w:rPr>
          <w:rFonts w:ascii="宋体" w:hAnsi="宋体" w:cs="宋体" w:eastAsia="宋体" w:hint="default"/>
          <w:spacing w:val="-72"/>
          <w:w w:val="105"/>
        </w:rPr>
        <w:t> </w:t>
      </w:r>
      <w:r>
        <w:rPr>
          <w:rFonts w:ascii="宋体" w:hAnsi="宋体" w:cs="宋体" w:eastAsia="宋体" w:hint="default"/>
          <w:w w:val="105"/>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5"/>
        <w:rPr>
          <w:rFonts w:ascii="宋体" w:hAnsi="宋体" w:cs="宋体" w:eastAsia="宋体" w:hint="default"/>
          <w:sz w:val="19"/>
          <w:szCs w:val="19"/>
        </w:rPr>
      </w:pPr>
    </w:p>
    <w:p>
      <w:pPr>
        <w:pStyle w:val="Heading4"/>
        <w:spacing w:line="240" w:lineRule="auto"/>
        <w:ind w:left="611" w:right="0"/>
        <w:jc w:val="both"/>
      </w:pPr>
      <w:r>
        <w:rPr>
          <w:w w:val="105"/>
        </w:rPr>
        <w:t>2018年7月</w:t>
      </w:r>
      <w:r>
        <w:rPr/>
      </w:r>
    </w:p>
    <w:p>
      <w:pPr>
        <w:spacing w:line="240" w:lineRule="auto" w:before="6"/>
        <w:rPr>
          <w:rFonts w:ascii="宋体" w:hAnsi="宋体" w:cs="宋体" w:eastAsia="宋体" w:hint="default"/>
          <w:sz w:val="32"/>
          <w:szCs w:val="32"/>
        </w:rPr>
      </w:pPr>
    </w:p>
    <w:p>
      <w:pPr>
        <w:pStyle w:val="BodyText"/>
        <w:spacing w:line="304" w:lineRule="auto"/>
        <w:ind w:left="611" w:right="115"/>
        <w:jc w:val="both"/>
        <w:rPr>
          <w:rFonts w:ascii="宋体" w:hAnsi="宋体" w:cs="宋体" w:eastAsia="宋体" w:hint="default"/>
        </w:rPr>
      </w:pPr>
      <w:r>
        <w:rPr>
          <w:rFonts w:ascii="宋体" w:hAnsi="宋体" w:cs="宋体" w:eastAsia="宋体" w:hint="default"/>
          <w:spacing w:val="35"/>
        </w:rPr>
        <w:t>中国联通落实国家政</w:t>
      </w:r>
      <w:r>
        <w:rPr>
          <w:rFonts w:ascii="宋体" w:hAnsi="宋体" w:cs="宋体" w:eastAsia="宋体" w:hint="default"/>
          <w:spacing w:val="-47"/>
        </w:rPr>
        <w:t> </w:t>
      </w:r>
      <w:r>
        <w:rPr>
          <w:rFonts w:ascii="宋体" w:hAnsi="宋体" w:cs="宋体" w:eastAsia="宋体" w:hint="default"/>
          <w:spacing w:val="11"/>
        </w:rPr>
        <w:t>策，取消</w:t>
      </w:r>
      <w:r>
        <w:rPr>
          <w:rFonts w:ascii="宋体" w:hAnsi="宋体" w:cs="宋体" w:eastAsia="宋体" w:hint="default"/>
          <w:spacing w:val="-86"/>
        </w:rPr>
        <w:t> </w:t>
      </w:r>
      <w:r>
        <w:rPr>
          <w:rFonts w:ascii="宋体" w:hAnsi="宋体" w:cs="宋体" w:eastAsia="宋体" w:hint="default"/>
        </w:rPr>
        <w:t>流</w:t>
      </w:r>
      <w:r>
        <w:rPr>
          <w:rFonts w:ascii="宋体" w:hAnsi="宋体" w:cs="宋体" w:eastAsia="宋体" w:hint="default"/>
          <w:spacing w:val="-68"/>
        </w:rPr>
        <w:t> </w:t>
      </w:r>
      <w:r>
        <w:rPr>
          <w:rFonts w:ascii="宋体" w:hAnsi="宋体" w:cs="宋体" w:eastAsia="宋体" w:hint="default"/>
          <w:spacing w:val="-23"/>
        </w:rPr>
        <w:t>量“漫</w:t>
      </w:r>
      <w:r>
        <w:rPr>
          <w:rFonts w:ascii="宋体" w:hAnsi="宋体" w:cs="宋体" w:eastAsia="宋体" w:hint="default"/>
          <w:spacing w:val="-68"/>
        </w:rPr>
        <w:t> </w:t>
      </w:r>
      <w:r>
        <w:rPr>
          <w:rFonts w:ascii="宋体" w:hAnsi="宋体" w:cs="宋体" w:eastAsia="宋体" w:hint="default"/>
          <w:spacing w:val="6"/>
        </w:rPr>
        <w:t>游”费，新老手机用户的</w:t>
      </w:r>
      <w:r>
        <w:rPr>
          <w:rFonts w:ascii="宋体" w:hAnsi="宋体" w:cs="宋体" w:eastAsia="宋体" w:hint="default"/>
          <w:spacing w:val="-68"/>
        </w:rPr>
        <w:t> </w:t>
      </w:r>
      <w:r>
        <w:rPr>
          <w:rFonts w:ascii="宋体" w:hAnsi="宋体" w:cs="宋体" w:eastAsia="宋体" w:hint="default"/>
          <w:spacing w:val="2"/>
        </w:rPr>
        <w:t>省内通用流量升级为国内流量（不</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spacing w:val="12"/>
        </w:rPr>
        <w:t>含港澳台流量）</w:t>
      </w:r>
    </w:p>
    <w:p>
      <w:pPr>
        <w:spacing w:after="0" w:line="304" w:lineRule="auto"/>
        <w:jc w:val="both"/>
        <w:rPr>
          <w:rFonts w:ascii="宋体" w:hAnsi="宋体" w:cs="宋体" w:eastAsia="宋体" w:hint="default"/>
        </w:rPr>
        <w:sectPr>
          <w:type w:val="continuous"/>
          <w:pgSz w:w="11910" w:h="16160"/>
          <w:pgMar w:top="1520" w:bottom="280" w:left="0" w:right="1260"/>
          <w:cols w:num="2" w:equalWidth="0">
            <w:col w:w="7087" w:space="40"/>
            <w:col w:w="3523"/>
          </w:cols>
        </w:sectPr>
      </w:pPr>
    </w:p>
    <w:p>
      <w:pPr>
        <w:spacing w:line="240" w:lineRule="auto" w:before="0"/>
        <w:rPr>
          <w:rFonts w:ascii="宋体" w:hAnsi="宋体" w:cs="宋体" w:eastAsia="宋体" w:hint="default"/>
          <w:sz w:val="20"/>
          <w:szCs w:val="20"/>
        </w:rPr>
      </w:pPr>
      <w:r>
        <w:rPr/>
        <w:pict>
          <v:group style="position:absolute;margin-left:0pt;margin-top:.000023pt;width:595.3pt;height:807.9pt;mso-position-horizontal-relative:page;mso-position-vertical-relative:page;z-index:-967552" coordorigin="0,0" coordsize="11906,16158">
            <v:group style="position:absolute;left:0;top:5386;width:11906;height:6577" coordorigin="0,5386" coordsize="11906,6577">
              <v:shape style="position:absolute;left:0;top:5386;width:11906;height:6577" coordorigin="0,5386" coordsize="11906,6577" path="m0,11962l11906,11962,11906,5386,0,5386,0,11962xe" filled="true" fillcolor="#efefef" stroked="false">
                <v:path arrowok="t"/>
                <v:fill type="solid"/>
              </v:shape>
            </v:group>
            <v:group style="position:absolute;left:0;top:0;width:11906;height:5386" coordorigin="0,0" coordsize="11906,5386">
              <v:shape style="position:absolute;left:0;top:0;width:11906;height:5386" coordorigin="0,0" coordsize="11906,5386" path="m0,5386l11906,5386,11906,0,0,0,0,5386xe" filled="true" fillcolor="#d7000f" stroked="false">
                <v:path arrowok="t"/>
                <v:fill type="solid"/>
              </v:shape>
            </v:group>
            <v:group style="position:absolute;left:0;top:11962;width:11906;height:4196" coordorigin="0,11962" coordsize="11906,4196">
              <v:shape style="position:absolute;left:0;top:11962;width:11906;height:4196" coordorigin="0,11962" coordsize="11906,4196" path="m0,16157l11906,16157,11906,11962,0,11962,0,16157xe" filled="true" fillcolor="#d7000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5"/>
          <w:szCs w:val="25"/>
        </w:rPr>
      </w:pPr>
    </w:p>
    <w:p>
      <w:pPr>
        <w:tabs>
          <w:tab w:pos="7110" w:val="left" w:leader="none"/>
          <w:tab w:pos="7983" w:val="left" w:leader="none"/>
        </w:tabs>
        <w:spacing w:before="58"/>
        <w:ind w:left="815" w:right="0" w:firstLine="0"/>
        <w:jc w:val="left"/>
        <w:rPr>
          <w:rFonts w:ascii="宋体" w:hAnsi="宋体" w:cs="宋体" w:eastAsia="宋体" w:hint="default"/>
          <w:sz w:val="16"/>
          <w:szCs w:val="16"/>
        </w:rPr>
      </w:pPr>
      <w:r>
        <w:rPr>
          <w:rFonts w:ascii="Arial" w:hAnsi="Arial" w:cs="Arial" w:eastAsia="Arial" w:hint="default"/>
          <w:b/>
          <w:bCs/>
          <w:color w:val="9C8758"/>
          <w:spacing w:val="-1"/>
          <w:position w:val="3"/>
          <w:sz w:val="16"/>
          <w:szCs w:val="16"/>
        </w:rPr>
        <w:t>10</w:t>
        <w:tab/>
      </w:r>
      <w:r>
        <w:rPr>
          <w:rFonts w:ascii="宋体" w:hAnsi="宋体" w:cs="宋体" w:eastAsia="宋体" w:hint="default"/>
          <w:color w:val="595757"/>
          <w:spacing w:val="18"/>
          <w:position w:val="1"/>
          <w:sz w:val="16"/>
          <w:szCs w:val="16"/>
        </w:rPr>
        <w:t>大事记</w:t>
        <w:tab/>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12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footerReference w:type="default" r:id="rId44"/>
          <w:pgSz w:w="11910" w:h="16160"/>
          <w:pgMar w:footer="0" w:header="0" w:top="1520" w:bottom="0" w:left="1300" w:right="680"/>
        </w:sectPr>
      </w:pPr>
    </w:p>
    <w:p>
      <w:pPr>
        <w:pStyle w:val="Heading4"/>
        <w:spacing w:line="518" w:lineRule="exact"/>
        <w:ind w:right="0"/>
        <w:jc w:val="both"/>
      </w:pPr>
      <w:r>
        <w:rPr>
          <w:w w:val="105"/>
        </w:rPr>
        <w:t>2018年8月</w:t>
      </w:r>
      <w:r>
        <w:rPr/>
      </w:r>
    </w:p>
    <w:p>
      <w:pPr>
        <w:spacing w:line="240" w:lineRule="auto" w:before="6"/>
        <w:rPr>
          <w:rFonts w:ascii="宋体" w:hAnsi="宋体" w:cs="宋体" w:eastAsia="宋体" w:hint="default"/>
          <w:sz w:val="32"/>
          <w:szCs w:val="32"/>
        </w:rPr>
      </w:pPr>
    </w:p>
    <w:p>
      <w:pPr>
        <w:pStyle w:val="BodyText"/>
        <w:spacing w:line="304" w:lineRule="auto"/>
        <w:ind w:left="117" w:right="0"/>
        <w:jc w:val="both"/>
        <w:rPr>
          <w:rFonts w:ascii="宋体" w:hAnsi="宋体" w:cs="宋体" w:eastAsia="宋体" w:hint="default"/>
        </w:rPr>
      </w:pPr>
      <w:r>
        <w:rPr>
          <w:rFonts w:ascii="宋体" w:hAnsi="宋体" w:cs="宋体" w:eastAsia="宋体" w:hint="default"/>
          <w:spacing w:val="20"/>
        </w:rPr>
        <w:t>与阿里巴巴成立的合资公</w:t>
      </w:r>
      <w:r>
        <w:rPr>
          <w:rFonts w:ascii="宋体" w:hAnsi="宋体" w:cs="宋体" w:eastAsia="宋体" w:hint="default"/>
          <w:spacing w:val="-68"/>
        </w:rPr>
        <w:t> </w:t>
      </w:r>
      <w:r>
        <w:rPr>
          <w:rFonts w:ascii="宋体" w:hAnsi="宋体" w:cs="宋体" w:eastAsia="宋体" w:hint="default"/>
          <w:spacing w:val="-27"/>
        </w:rPr>
        <w:t>司（云</w:t>
      </w:r>
      <w:r>
        <w:rPr>
          <w:rFonts w:ascii="宋体" w:hAnsi="宋体" w:cs="宋体" w:eastAsia="宋体" w:hint="default"/>
        </w:rPr>
        <w:t> </w:t>
      </w:r>
      <w:r>
        <w:rPr>
          <w:rFonts w:ascii="宋体" w:hAnsi="宋体" w:cs="宋体" w:eastAsia="宋体" w:hint="default"/>
          <w:spacing w:val="21"/>
        </w:rPr>
        <w:t>粒智慧科</w:t>
      </w:r>
      <w:r>
        <w:rPr>
          <w:rFonts w:ascii="宋体" w:hAnsi="宋体" w:cs="宋体" w:eastAsia="宋体" w:hint="default"/>
          <w:spacing w:val="-61"/>
        </w:rPr>
        <w:t> </w:t>
      </w:r>
      <w:r>
        <w:rPr>
          <w:rFonts w:ascii="宋体" w:hAnsi="宋体" w:cs="宋体" w:eastAsia="宋体" w:hint="default"/>
          <w:spacing w:val="-26"/>
        </w:rPr>
        <w:t>技）挂</w:t>
      </w:r>
      <w:r>
        <w:rPr>
          <w:rFonts w:ascii="宋体" w:hAnsi="宋体" w:cs="宋体" w:eastAsia="宋体" w:hint="default"/>
          <w:spacing w:val="-61"/>
        </w:rPr>
        <w:t> </w:t>
      </w:r>
      <w:r>
        <w:rPr>
          <w:rFonts w:ascii="宋体" w:hAnsi="宋体" w:cs="宋体" w:eastAsia="宋体" w:hint="default"/>
          <w:spacing w:val="14"/>
        </w:rPr>
        <w:t>牌，为政企客户</w:t>
      </w:r>
      <w:r>
        <w:rPr>
          <w:rFonts w:ascii="宋体" w:hAnsi="宋体" w:cs="宋体" w:eastAsia="宋体" w:hint="default"/>
          <w:spacing w:val="-62"/>
        </w:rPr>
        <w:t> </w:t>
      </w:r>
      <w:r>
        <w:rPr>
          <w:rFonts w:ascii="宋体" w:hAnsi="宋体" w:cs="宋体" w:eastAsia="宋体" w:hint="default"/>
          <w:spacing w:val="10"/>
        </w:rPr>
        <w:t>打造定制化的应用软件服务</w:t>
      </w:r>
      <w:r>
        <w:rPr>
          <w:rFonts w:ascii="宋体" w:hAnsi="宋体" w:cs="宋体" w:eastAsia="宋体" w:hint="default"/>
        </w:rPr>
      </w:r>
    </w:p>
    <w:p>
      <w:pPr>
        <w:spacing w:line="240" w:lineRule="auto" w:before="2"/>
        <w:rPr>
          <w:rFonts w:ascii="宋体" w:hAnsi="宋体" w:cs="宋体" w:eastAsia="宋体" w:hint="default"/>
          <w:sz w:val="24"/>
          <w:szCs w:val="24"/>
        </w:rPr>
      </w:pPr>
    </w:p>
    <w:p>
      <w:pPr>
        <w:pStyle w:val="BodyText"/>
        <w:spacing w:line="304" w:lineRule="auto"/>
        <w:ind w:left="117" w:right="11"/>
        <w:jc w:val="both"/>
        <w:rPr>
          <w:rFonts w:ascii="宋体" w:hAnsi="宋体" w:cs="宋体" w:eastAsia="宋体" w:hint="default"/>
        </w:rPr>
      </w:pPr>
      <w:r>
        <w:rPr>
          <w:rFonts w:ascii="宋体" w:hAnsi="宋体" w:cs="宋体" w:eastAsia="宋体" w:hint="default"/>
          <w:spacing w:val="8"/>
        </w:rPr>
        <w:t>中国联通成立5G创新中心，推动</w:t>
      </w:r>
      <w:r>
        <w:rPr>
          <w:rFonts w:ascii="宋体" w:hAnsi="宋体" w:cs="宋体" w:eastAsia="宋体" w:hint="default"/>
          <w:spacing w:val="-30"/>
        </w:rPr>
        <w:t> </w:t>
      </w:r>
      <w:r>
        <w:rPr>
          <w:rFonts w:ascii="宋体" w:hAnsi="宋体" w:cs="宋体" w:eastAsia="宋体" w:hint="default"/>
          <w:spacing w:val="-30"/>
        </w:rPr>
      </w:r>
      <w:r>
        <w:rPr>
          <w:rFonts w:ascii="宋体" w:hAnsi="宋体" w:cs="宋体" w:eastAsia="宋体" w:hint="default"/>
          <w:spacing w:val="7"/>
        </w:rPr>
        <w:t>5G在垂直行业的应用，实现行业</w:t>
      </w:r>
      <w:r>
        <w:rPr>
          <w:rFonts w:ascii="宋体" w:hAnsi="宋体" w:cs="宋体" w:eastAsia="宋体" w:hint="default"/>
          <w:spacing w:val="-26"/>
        </w:rPr>
        <w:t> </w:t>
      </w:r>
      <w:r>
        <w:rPr>
          <w:rFonts w:ascii="宋体" w:hAnsi="宋体" w:cs="宋体" w:eastAsia="宋体" w:hint="default"/>
          <w:spacing w:val="-26"/>
        </w:rPr>
      </w:r>
      <w:r>
        <w:rPr>
          <w:rFonts w:ascii="宋体" w:hAnsi="宋体" w:cs="宋体" w:eastAsia="宋体" w:hint="default"/>
          <w:spacing w:val="10"/>
          <w:w w:val="105"/>
        </w:rPr>
        <w:t>应用规模推广</w:t>
      </w:r>
      <w:r>
        <w:rPr>
          <w:rFonts w:ascii="宋体" w:hAnsi="宋体" w:cs="宋体" w:eastAsia="宋体" w:hint="default"/>
          <w:w w:val="105"/>
        </w:rPr>
      </w:r>
    </w:p>
    <w:p>
      <w:pPr>
        <w:pStyle w:val="Heading4"/>
        <w:spacing w:line="476" w:lineRule="exact"/>
        <w:ind w:right="0"/>
        <w:jc w:val="both"/>
      </w:pPr>
      <w:r>
        <w:rPr>
          <w:w w:val="105"/>
        </w:rPr>
        <w:br w:type="column"/>
      </w:r>
      <w:r>
        <w:rPr>
          <w:w w:val="105"/>
        </w:rPr>
        <w:t>2018年10月</w:t>
      </w:r>
      <w:r>
        <w:rPr/>
      </w:r>
    </w:p>
    <w:p>
      <w:pPr>
        <w:spacing w:line="240" w:lineRule="auto" w:before="0"/>
        <w:rPr>
          <w:rFonts w:ascii="宋体" w:hAnsi="宋体" w:cs="宋体" w:eastAsia="宋体" w:hint="default"/>
          <w:sz w:val="37"/>
          <w:szCs w:val="37"/>
        </w:rPr>
      </w:pPr>
    </w:p>
    <w:p>
      <w:pPr>
        <w:pStyle w:val="BodyText"/>
        <w:spacing w:line="304" w:lineRule="auto"/>
        <w:ind w:left="117" w:right="0"/>
        <w:jc w:val="both"/>
        <w:rPr>
          <w:rFonts w:ascii="宋体" w:hAnsi="宋体" w:cs="宋体" w:eastAsia="宋体" w:hint="default"/>
        </w:rPr>
      </w:pPr>
      <w:r>
        <w:rPr>
          <w:rFonts w:ascii="宋体" w:hAnsi="宋体" w:cs="宋体" w:eastAsia="宋体" w:hint="default"/>
          <w:spacing w:val="26"/>
        </w:rPr>
        <w:t>云南联通正式被纳入国务院国</w:t>
      </w:r>
      <w:r>
        <w:rPr>
          <w:rFonts w:ascii="宋体" w:hAnsi="宋体" w:cs="宋体" w:eastAsia="宋体" w:hint="default"/>
          <w:spacing w:val="-81"/>
        </w:rPr>
        <w:t> </w:t>
      </w:r>
      <w:r>
        <w:rPr>
          <w:rFonts w:ascii="宋体" w:hAnsi="宋体" w:cs="宋体" w:eastAsia="宋体" w:hint="default"/>
          <w:spacing w:val="12"/>
        </w:rPr>
        <w:t>有企业改</w:t>
      </w:r>
      <w:r>
        <w:rPr>
          <w:rFonts w:ascii="宋体" w:hAnsi="宋体" w:cs="宋体" w:eastAsia="宋体" w:hint="default"/>
          <w:spacing w:val="-72"/>
        </w:rPr>
        <w:t> </w:t>
      </w:r>
      <w:r>
        <w:rPr>
          <w:rFonts w:ascii="宋体" w:hAnsi="宋体" w:cs="宋体" w:eastAsia="宋体" w:hint="default"/>
          <w:spacing w:val="-9"/>
        </w:rPr>
        <w:t>革“双百行</w:t>
      </w:r>
      <w:r>
        <w:rPr>
          <w:rFonts w:ascii="宋体" w:hAnsi="宋体" w:cs="宋体" w:eastAsia="宋体" w:hint="default"/>
          <w:spacing w:val="-72"/>
        </w:rPr>
        <w:t> </w:t>
      </w:r>
      <w:r>
        <w:rPr>
          <w:rFonts w:ascii="宋体" w:hAnsi="宋体" w:cs="宋体" w:eastAsia="宋体" w:hint="default"/>
          <w:spacing w:val="-25"/>
        </w:rPr>
        <w:t>动”名</w:t>
      </w:r>
      <w:r>
        <w:rPr>
          <w:rFonts w:ascii="宋体" w:hAnsi="宋体" w:cs="宋体" w:eastAsia="宋体" w:hint="default"/>
          <w:spacing w:val="-72"/>
        </w:rPr>
        <w:t> </w:t>
      </w:r>
      <w:r>
        <w:rPr>
          <w:rFonts w:ascii="宋体" w:hAnsi="宋体" w:cs="宋体" w:eastAsia="宋体" w:hint="default"/>
          <w:spacing w:val="-3"/>
        </w:rPr>
        <w:t>单，并</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spacing w:val="26"/>
        </w:rPr>
        <w:t>公开向民营企业招募承包运营</w:t>
      </w:r>
      <w:r>
        <w:rPr>
          <w:rFonts w:ascii="宋体" w:hAnsi="宋体" w:cs="宋体" w:eastAsia="宋体" w:hint="default"/>
          <w:spacing w:val="-81"/>
        </w:rPr>
        <w:t> </w:t>
      </w:r>
      <w:r>
        <w:rPr>
          <w:rFonts w:ascii="宋体" w:hAnsi="宋体" w:cs="宋体" w:eastAsia="宋体" w:hint="default"/>
          <w:spacing w:val="14"/>
        </w:rPr>
        <w:t>合作方</w:t>
      </w:r>
      <w:r>
        <w:rPr>
          <w:rFonts w:ascii="宋体" w:hAnsi="宋体" w:cs="宋体" w:eastAsia="宋体" w:hint="default"/>
        </w:rPr>
      </w: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16"/>
          <w:szCs w:val="16"/>
        </w:rPr>
      </w:pPr>
    </w:p>
    <w:p>
      <w:pPr>
        <w:pStyle w:val="Heading4"/>
        <w:spacing w:line="240" w:lineRule="auto"/>
        <w:ind w:right="0"/>
        <w:jc w:val="both"/>
      </w:pPr>
      <w:r>
        <w:rPr>
          <w:w w:val="105"/>
        </w:rPr>
        <w:t>2018年11月</w:t>
      </w:r>
      <w:r>
        <w:rPr/>
      </w:r>
    </w:p>
    <w:p>
      <w:pPr>
        <w:spacing w:line="240" w:lineRule="auto" w:before="6"/>
        <w:rPr>
          <w:rFonts w:ascii="宋体" w:hAnsi="宋体" w:cs="宋体" w:eastAsia="宋体" w:hint="default"/>
          <w:sz w:val="32"/>
          <w:szCs w:val="32"/>
        </w:rPr>
      </w:pPr>
    </w:p>
    <w:p>
      <w:pPr>
        <w:pStyle w:val="BodyText"/>
        <w:spacing w:line="304" w:lineRule="auto"/>
        <w:ind w:left="117" w:right="10"/>
        <w:jc w:val="both"/>
        <w:rPr>
          <w:rFonts w:ascii="宋体" w:hAnsi="宋体" w:cs="宋体" w:eastAsia="宋体" w:hint="default"/>
        </w:rPr>
      </w:pPr>
      <w:r>
        <w:rPr>
          <w:rFonts w:ascii="宋体" w:hAnsi="宋体" w:cs="宋体" w:eastAsia="宋体" w:hint="default"/>
          <w:spacing w:val="12"/>
        </w:rPr>
        <w:t>中国联通主导的首条南大西洋国</w:t>
      </w:r>
      <w:r>
        <w:rPr>
          <w:rFonts w:ascii="宋体" w:hAnsi="宋体" w:cs="宋体" w:eastAsia="宋体" w:hint="default"/>
        </w:rPr>
        <w:t> </w:t>
      </w:r>
      <w:r>
        <w:rPr>
          <w:rFonts w:ascii="宋体" w:hAnsi="宋体" w:cs="宋体" w:eastAsia="宋体" w:hint="default"/>
          <w:spacing w:val="14"/>
        </w:rPr>
        <w:t>际海底光缆正式商用投</w:t>
      </w:r>
      <w:r>
        <w:rPr>
          <w:rFonts w:ascii="宋体" w:hAnsi="宋体" w:cs="宋体" w:eastAsia="宋体" w:hint="default"/>
          <w:spacing w:val="-72"/>
        </w:rPr>
        <w:t> </w:t>
      </w:r>
      <w:r>
        <w:rPr>
          <w:rFonts w:ascii="宋体" w:hAnsi="宋体" w:cs="宋体" w:eastAsia="宋体" w:hint="default"/>
        </w:rPr>
        <w:t>产，是第</w:t>
      </w:r>
      <w:r>
        <w:rPr>
          <w:rFonts w:ascii="宋体" w:hAnsi="宋体" w:cs="宋体" w:eastAsia="宋体" w:hint="default"/>
          <w:spacing w:val="-87"/>
        </w:rPr>
        <w:t> </w:t>
      </w:r>
      <w:r>
        <w:rPr>
          <w:rFonts w:ascii="宋体" w:hAnsi="宋体" w:cs="宋体" w:eastAsia="宋体" w:hint="default"/>
          <w:spacing w:val="14"/>
        </w:rPr>
        <w:t>一条横跨南大西洋海</w:t>
      </w:r>
      <w:r>
        <w:rPr>
          <w:rFonts w:ascii="宋体" w:hAnsi="宋体" w:cs="宋体" w:eastAsia="宋体" w:hint="default"/>
          <w:spacing w:val="-73"/>
        </w:rPr>
        <w:t> </w:t>
      </w:r>
      <w:r>
        <w:rPr>
          <w:rFonts w:ascii="宋体" w:hAnsi="宋体" w:cs="宋体" w:eastAsia="宋体" w:hint="default"/>
          <w:spacing w:val="3"/>
        </w:rPr>
        <w:t>域、连接非</w:t>
      </w:r>
      <w:r>
        <w:rPr>
          <w:rFonts w:ascii="宋体" w:hAnsi="宋体" w:cs="宋体" w:eastAsia="宋体" w:hint="default"/>
          <w:spacing w:val="-87"/>
        </w:rPr>
        <w:t> </w:t>
      </w:r>
      <w:r>
        <w:rPr>
          <w:rFonts w:ascii="宋体" w:hAnsi="宋体" w:cs="宋体" w:eastAsia="宋体" w:hint="default"/>
          <w:spacing w:val="12"/>
        </w:rPr>
        <w:t>洲大陆和南美洲大陆的洲际快速</w:t>
      </w:r>
      <w:r>
        <w:rPr>
          <w:rFonts w:ascii="宋体" w:hAnsi="宋体" w:cs="宋体" w:eastAsia="宋体" w:hint="default"/>
        </w:rPr>
        <w:t> </w:t>
      </w:r>
      <w:r>
        <w:rPr>
          <w:rFonts w:ascii="宋体" w:hAnsi="宋体" w:cs="宋体" w:eastAsia="宋体" w:hint="default"/>
          <w:spacing w:val="10"/>
        </w:rPr>
        <w:t>直达海缆</w:t>
      </w:r>
      <w:r>
        <w:rPr>
          <w:rFonts w:ascii="宋体" w:hAnsi="宋体" w:cs="宋体" w:eastAsia="宋体" w:hint="default"/>
        </w:rPr>
      </w:r>
    </w:p>
    <w:p>
      <w:pPr>
        <w:pStyle w:val="Heading4"/>
        <w:spacing w:line="518" w:lineRule="exact"/>
        <w:ind w:right="108"/>
        <w:jc w:val="left"/>
      </w:pPr>
      <w:r>
        <w:rPr>
          <w:w w:val="105"/>
        </w:rPr>
        <w:br w:type="column"/>
      </w:r>
      <w:r>
        <w:rPr>
          <w:w w:val="105"/>
        </w:rPr>
        <w:t>2018年12月</w:t>
      </w:r>
      <w:r>
        <w:rPr/>
      </w:r>
    </w:p>
    <w:p>
      <w:pPr>
        <w:spacing w:line="240" w:lineRule="auto" w:before="6"/>
        <w:rPr>
          <w:rFonts w:ascii="宋体" w:hAnsi="宋体" w:cs="宋体" w:eastAsia="宋体" w:hint="default"/>
          <w:sz w:val="32"/>
          <w:szCs w:val="32"/>
        </w:rPr>
      </w:pPr>
    </w:p>
    <w:p>
      <w:pPr>
        <w:pStyle w:val="BodyText"/>
        <w:spacing w:line="304" w:lineRule="auto"/>
        <w:ind w:left="117" w:right="227"/>
        <w:jc w:val="both"/>
        <w:rPr>
          <w:rFonts w:ascii="宋体" w:hAnsi="宋体" w:cs="宋体" w:eastAsia="宋体" w:hint="default"/>
        </w:rPr>
      </w:pPr>
      <w:r>
        <w:rPr>
          <w:rFonts w:ascii="宋体" w:hAnsi="宋体" w:cs="宋体" w:eastAsia="宋体" w:hint="default"/>
          <w:spacing w:val="12"/>
        </w:rPr>
        <w:t>中国联通获工业和信息化部批准</w:t>
      </w:r>
      <w:r>
        <w:rPr>
          <w:rFonts w:ascii="宋体" w:hAnsi="宋体" w:cs="宋体" w:eastAsia="宋体" w:hint="default"/>
        </w:rPr>
        <w:t> </w:t>
      </w:r>
      <w:r>
        <w:rPr>
          <w:rFonts w:ascii="宋体" w:hAnsi="宋体" w:cs="宋体" w:eastAsia="宋体" w:hint="default"/>
          <w:w w:val="105"/>
        </w:rPr>
        <w:t>使</w:t>
      </w:r>
      <w:r>
        <w:rPr>
          <w:rFonts w:ascii="宋体" w:hAnsi="宋体" w:cs="宋体" w:eastAsia="宋体" w:hint="default"/>
          <w:spacing w:val="-52"/>
          <w:w w:val="105"/>
        </w:rPr>
        <w:t> </w:t>
      </w:r>
      <w:r>
        <w:rPr>
          <w:rFonts w:ascii="宋体" w:hAnsi="宋体" w:cs="宋体" w:eastAsia="宋体" w:hint="default"/>
          <w:spacing w:val="-7"/>
          <w:w w:val="105"/>
        </w:rPr>
        <w:t>用3500–3600MHz频</w:t>
      </w:r>
      <w:r>
        <w:rPr>
          <w:rFonts w:ascii="宋体" w:hAnsi="宋体" w:cs="宋体" w:eastAsia="宋体" w:hint="default"/>
          <w:spacing w:val="-52"/>
          <w:w w:val="105"/>
        </w:rPr>
        <w:t> </w:t>
      </w:r>
      <w:r>
        <w:rPr>
          <w:rFonts w:ascii="宋体" w:hAnsi="宋体" w:cs="宋体" w:eastAsia="宋体" w:hint="default"/>
          <w:w w:val="105"/>
        </w:rPr>
        <w:t>率</w:t>
      </w:r>
      <w:r>
        <w:rPr>
          <w:rFonts w:ascii="宋体" w:hAnsi="宋体" w:cs="宋体" w:eastAsia="宋体" w:hint="default"/>
          <w:spacing w:val="-52"/>
          <w:w w:val="105"/>
        </w:rPr>
        <w:t> </w:t>
      </w:r>
      <w:r>
        <w:rPr>
          <w:rFonts w:ascii="宋体" w:hAnsi="宋体" w:cs="宋体" w:eastAsia="宋体" w:hint="default"/>
          <w:w w:val="105"/>
        </w:rPr>
        <w:t>在</w:t>
      </w:r>
      <w:r>
        <w:rPr>
          <w:rFonts w:ascii="宋体" w:hAnsi="宋体" w:cs="宋体" w:eastAsia="宋体" w:hint="default"/>
          <w:spacing w:val="-52"/>
          <w:w w:val="105"/>
        </w:rPr>
        <w:t> </w:t>
      </w:r>
      <w:r>
        <w:rPr>
          <w:rFonts w:ascii="宋体" w:hAnsi="宋体" w:cs="宋体" w:eastAsia="宋体" w:hint="default"/>
          <w:w w:val="105"/>
        </w:rPr>
        <w:t>全</w:t>
      </w:r>
      <w:r>
        <w:rPr>
          <w:rFonts w:ascii="宋体" w:hAnsi="宋体" w:cs="宋体" w:eastAsia="宋体" w:hint="default"/>
          <w:spacing w:val="-52"/>
          <w:w w:val="105"/>
        </w:rPr>
        <w:t> </w:t>
      </w:r>
      <w:r>
        <w:rPr>
          <w:rFonts w:ascii="宋体" w:hAnsi="宋体" w:cs="宋体" w:eastAsia="宋体" w:hint="default"/>
          <w:w w:val="105"/>
        </w:rPr>
        <w:t>中</w:t>
      </w:r>
      <w:r>
        <w:rPr>
          <w:rFonts w:ascii="宋体" w:hAnsi="宋体" w:cs="宋体" w:eastAsia="宋体" w:hint="default"/>
          <w:spacing w:val="-88"/>
          <w:w w:val="105"/>
        </w:rPr>
        <w:t> </w:t>
      </w:r>
      <w:r>
        <w:rPr>
          <w:rFonts w:ascii="宋体" w:hAnsi="宋体" w:cs="宋体" w:eastAsia="宋体" w:hint="default"/>
          <w:spacing w:val="-88"/>
          <w:w w:val="105"/>
        </w:rPr>
      </w:r>
      <w:r>
        <w:rPr>
          <w:rFonts w:ascii="宋体" w:hAnsi="宋体" w:cs="宋体" w:eastAsia="宋体" w:hint="default"/>
          <w:spacing w:val="5"/>
          <w:w w:val="105"/>
        </w:rPr>
        <w:t>国内地开展5G系统试验</w:t>
      </w:r>
      <w:r>
        <w:rPr>
          <w:rFonts w:ascii="宋体" w:hAnsi="宋体" w:cs="宋体" w:eastAsia="宋体" w:hint="default"/>
          <w:w w:val="105"/>
        </w:rPr>
      </w:r>
    </w:p>
    <w:p>
      <w:pPr>
        <w:spacing w:line="240" w:lineRule="auto" w:before="2"/>
        <w:rPr>
          <w:rFonts w:ascii="宋体" w:hAnsi="宋体" w:cs="宋体" w:eastAsia="宋体" w:hint="default"/>
          <w:sz w:val="24"/>
          <w:szCs w:val="24"/>
        </w:rPr>
      </w:pPr>
    </w:p>
    <w:p>
      <w:pPr>
        <w:pStyle w:val="BodyText"/>
        <w:spacing w:line="304" w:lineRule="auto"/>
        <w:ind w:left="117" w:right="108"/>
        <w:jc w:val="left"/>
        <w:rPr>
          <w:rFonts w:ascii="宋体" w:hAnsi="宋体" w:cs="宋体" w:eastAsia="宋体" w:hint="default"/>
        </w:rPr>
      </w:pPr>
      <w:r>
        <w:rPr>
          <w:rFonts w:ascii="宋体" w:hAnsi="宋体" w:cs="宋体" w:eastAsia="宋体" w:hint="default"/>
          <w:spacing w:val="13"/>
        </w:rPr>
        <w:t>中国联通召</w:t>
      </w:r>
      <w:r>
        <w:rPr>
          <w:rFonts w:ascii="宋体" w:hAnsi="宋体" w:cs="宋体" w:eastAsia="宋体" w:hint="default"/>
          <w:spacing w:val="-75"/>
        </w:rPr>
        <w:t>开</w:t>
      </w:r>
      <w:r>
        <w:rPr>
          <w:rFonts w:ascii="宋体" w:hAnsi="宋体" w:cs="宋体" w:eastAsia="宋体" w:hint="default"/>
          <w:spacing w:val="-8"/>
        </w:rPr>
        <w:t>“</w:t>
      </w:r>
      <w:r>
        <w:rPr>
          <w:rFonts w:ascii="宋体" w:hAnsi="宋体" w:cs="宋体" w:eastAsia="宋体" w:hint="default"/>
          <w:spacing w:val="-8"/>
          <w:w w:val="111"/>
        </w:rPr>
        <w:t>5</w:t>
      </w:r>
      <w:r>
        <w:rPr>
          <w:rFonts w:ascii="宋体" w:hAnsi="宋体" w:cs="宋体" w:eastAsia="宋体" w:hint="default"/>
          <w:spacing w:val="1"/>
          <w:w w:val="155"/>
        </w:rPr>
        <w:t>G</w:t>
      </w:r>
      <w:r>
        <w:rPr>
          <w:rFonts w:ascii="宋体" w:hAnsi="宋体" w:cs="宋体" w:eastAsia="宋体" w:hint="default"/>
          <w:spacing w:val="13"/>
        </w:rPr>
        <w:t>赋能智慧冬</w:t>
      </w:r>
      <w:r>
        <w:rPr>
          <w:rFonts w:ascii="宋体" w:hAnsi="宋体" w:cs="宋体" w:eastAsia="宋体" w:hint="default"/>
          <w:spacing w:val="-8"/>
        </w:rPr>
        <w:t>奥</w:t>
      </w:r>
      <w:r>
        <w:rPr>
          <w:rFonts w:ascii="宋体" w:hAnsi="宋体" w:cs="宋体" w:eastAsia="宋体" w:hint="default"/>
        </w:rPr>
        <w:t>”</w:t>
      </w:r>
      <w:r>
        <w:rPr>
          <w:rFonts w:ascii="宋体" w:hAnsi="宋体" w:cs="宋体" w:eastAsia="宋体" w:hint="default"/>
        </w:rPr>
        <w:t> </w:t>
      </w:r>
      <w:r>
        <w:rPr>
          <w:rFonts w:ascii="宋体" w:hAnsi="宋体" w:cs="宋体" w:eastAsia="宋体" w:hint="default"/>
          <w:spacing w:val="8"/>
        </w:rPr>
        <w:t>发布</w:t>
      </w:r>
      <w:r>
        <w:rPr>
          <w:rFonts w:ascii="宋体" w:hAnsi="宋体" w:cs="宋体" w:eastAsia="宋体" w:hint="default"/>
          <w:spacing w:val="-73"/>
        </w:rPr>
        <w:t> </w:t>
      </w:r>
      <w:r>
        <w:rPr>
          <w:rFonts w:ascii="宋体" w:hAnsi="宋体" w:cs="宋体" w:eastAsia="宋体" w:hint="default"/>
          <w:spacing w:val="10"/>
        </w:rPr>
        <w:t>会，公布智慧冬奥战略三大</w:t>
      </w:r>
      <w:r>
        <w:rPr>
          <w:rFonts w:ascii="宋体" w:hAnsi="宋体" w:cs="宋体" w:eastAsia="宋体" w:hint="default"/>
          <w:spacing w:val="-82"/>
        </w:rPr>
        <w:t> </w:t>
      </w:r>
      <w:r>
        <w:rPr>
          <w:rFonts w:ascii="宋体" w:hAnsi="宋体" w:cs="宋体" w:eastAsia="宋体" w:hint="default"/>
          <w:spacing w:val="10"/>
        </w:rPr>
        <w:t>计划</w:t>
      </w:r>
      <w:r>
        <w:rPr>
          <w:rFonts w:ascii="宋体" w:hAnsi="宋体" w:cs="宋体" w:eastAsia="宋体" w:hint="default"/>
        </w:rPr>
      </w:r>
    </w:p>
    <w:p>
      <w:pPr>
        <w:spacing w:after="0" w:line="304" w:lineRule="auto"/>
        <w:jc w:val="left"/>
        <w:rPr>
          <w:rFonts w:ascii="宋体" w:hAnsi="宋体" w:cs="宋体" w:eastAsia="宋体" w:hint="default"/>
        </w:rPr>
        <w:sectPr>
          <w:type w:val="continuous"/>
          <w:pgSz w:w="11910" w:h="16160"/>
          <w:pgMar w:top="1520" w:bottom="280" w:left="1300" w:right="680"/>
          <w:cols w:num="3" w:equalWidth="0">
            <w:col w:w="2836" w:space="608"/>
            <w:col w:w="2837" w:space="607"/>
            <w:col w:w="3042"/>
          </w:cols>
        </w:sectPr>
      </w:pPr>
    </w:p>
    <w:p>
      <w:pPr>
        <w:spacing w:line="240" w:lineRule="auto" w:before="0"/>
        <w:rPr>
          <w:rFonts w:ascii="宋体" w:hAnsi="宋体" w:cs="宋体" w:eastAsia="宋体" w:hint="default"/>
          <w:sz w:val="20"/>
          <w:szCs w:val="20"/>
        </w:rPr>
      </w:pPr>
      <w:r>
        <w:rPr/>
        <w:pict>
          <v:group style="position:absolute;margin-left:0pt;margin-top:.000023pt;width:595.3pt;height:807.9pt;mso-position-horizontal-relative:page;mso-position-vertical-relative:page;z-index:-967528" coordorigin="0,0" coordsize="11906,16158">
            <v:group style="position:absolute;left:0;top:11962;width:11906;height:4196" coordorigin="0,11962" coordsize="11906,4196">
              <v:shape style="position:absolute;left:0;top:11962;width:11906;height:4196" coordorigin="0,11962" coordsize="11906,4196" path="m0,16157l11906,16157,11906,11962,0,11962,0,16157xe" filled="true" fillcolor="#d7000f" stroked="false">
                <v:path arrowok="t"/>
                <v:fill type="solid"/>
              </v:shape>
            </v:group>
            <v:group style="position:absolute;left:0;top:5357;width:11906;height:6605" coordorigin="0,5357" coordsize="11906,6605">
              <v:shape style="position:absolute;left:0;top:5357;width:11906;height:6605" coordorigin="0,5357" coordsize="11906,6605" path="m0,11962l11906,11962,11906,5357,0,5357,0,11962xe" filled="true" fillcolor="#8e9090" stroked="false">
                <v:path arrowok="t"/>
                <v:fill type="solid"/>
              </v:shape>
            </v:group>
            <v:group style="position:absolute;left:0;top:0;width:11906;height:5386" coordorigin="0,0" coordsize="11906,5386">
              <v:shape style="position:absolute;left:0;top:0;width:11906;height:5386" coordorigin="0,0" coordsize="11906,5386" path="m0,5386l11906,5386,11906,0,0,0,0,5386xe" filled="true" fillcolor="#d7000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tabs>
          <w:tab w:pos="1789" w:val="left" w:leader="none"/>
          <w:tab w:pos="9802" w:val="right" w:leader="none"/>
        </w:tabs>
        <w:spacing w:before="42"/>
        <w:ind w:left="18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18"/>
          <w:w w:val="105"/>
          <w:sz w:val="16"/>
          <w:szCs w:val="16"/>
        </w:rPr>
        <w:t>大事记</w:t>
      </w:r>
      <w:r>
        <w:rPr>
          <w:rFonts w:ascii="Arial" w:hAnsi="Arial" w:cs="Arial" w:eastAsia="Arial" w:hint="default"/>
          <w:b/>
          <w:bCs/>
          <w:color w:val="9C8758"/>
          <w:spacing w:val="18"/>
          <w:w w:val="105"/>
          <w:position w:val="1"/>
          <w:sz w:val="16"/>
          <w:szCs w:val="16"/>
        </w:rPr>
        <w:tab/>
      </w:r>
      <w:r>
        <w:rPr>
          <w:rFonts w:ascii="Arial" w:hAnsi="Arial" w:cs="Arial" w:eastAsia="Arial" w:hint="default"/>
          <w:b/>
          <w:bCs/>
          <w:color w:val="9C8758"/>
          <w:spacing w:val="-9"/>
          <w:w w:val="105"/>
          <w:position w:val="1"/>
          <w:sz w:val="16"/>
          <w:szCs w:val="16"/>
        </w:rPr>
        <w:t>11</w:t>
      </w:r>
      <w:r>
        <w:rPr>
          <w:rFonts w:ascii="Arial" w:hAnsi="Arial" w:cs="Arial" w:eastAsia="Arial" w:hint="default"/>
          <w:w w:val="105"/>
          <w:sz w:val="16"/>
          <w:szCs w:val="16"/>
        </w:rPr>
      </w:r>
    </w:p>
    <w:p>
      <w:pPr>
        <w:spacing w:after="0"/>
        <w:jc w:val="left"/>
        <w:rPr>
          <w:rFonts w:ascii="Arial" w:hAnsi="Arial" w:cs="Arial" w:eastAsia="Arial" w:hint="default"/>
          <w:sz w:val="16"/>
          <w:szCs w:val="16"/>
        </w:rPr>
        <w:sectPr>
          <w:type w:val="continuous"/>
          <w:pgSz w:w="11910" w:h="16160"/>
          <w:pgMar w:top="1520" w:bottom="280" w:left="1300" w:right="680"/>
        </w:sectPr>
      </w:pPr>
    </w:p>
    <w:p>
      <w:pPr>
        <w:spacing w:line="240" w:lineRule="auto" w:before="0"/>
        <w:rPr>
          <w:rFonts w:ascii="Arial" w:hAnsi="Arial" w:cs="Arial" w:eastAsia="Arial" w:hint="default"/>
          <w:b/>
          <w:bCs/>
          <w:sz w:val="96"/>
          <w:szCs w:val="96"/>
        </w:rPr>
      </w:pPr>
    </w:p>
    <w:p>
      <w:pPr>
        <w:spacing w:line="240" w:lineRule="auto" w:before="0"/>
        <w:rPr>
          <w:rFonts w:ascii="Arial" w:hAnsi="Arial" w:cs="Arial" w:eastAsia="Arial" w:hint="default"/>
          <w:b/>
          <w:bCs/>
          <w:sz w:val="96"/>
          <w:szCs w:val="96"/>
        </w:rPr>
      </w:pPr>
    </w:p>
    <w:p>
      <w:pPr>
        <w:pStyle w:val="Heading1"/>
        <w:spacing w:line="1204" w:lineRule="exact" w:before="739"/>
        <w:ind w:left="433" w:right="95"/>
        <w:jc w:val="left"/>
      </w:pPr>
      <w:r>
        <w:rPr>
          <w:spacing w:val="47"/>
        </w:rPr>
        <w:t>公司简介</w:t>
      </w:r>
      <w:r>
        <w:rPr/>
      </w:r>
    </w:p>
    <w:p>
      <w:pPr>
        <w:spacing w:line="1204" w:lineRule="exact" w:before="0"/>
        <w:ind w:left="433" w:right="95" w:firstLine="0"/>
        <w:jc w:val="left"/>
        <w:rPr>
          <w:rFonts w:ascii="宋体" w:hAnsi="宋体" w:cs="宋体" w:eastAsia="宋体" w:hint="default"/>
          <w:sz w:val="96"/>
          <w:szCs w:val="96"/>
        </w:rPr>
      </w:pPr>
      <w:r>
        <w:rPr>
          <w:rFonts w:ascii="宋体" w:hAnsi="宋体" w:cs="宋体" w:eastAsia="宋体" w:hint="default"/>
          <w:spacing w:val="47"/>
          <w:sz w:val="96"/>
          <w:szCs w:val="96"/>
        </w:rPr>
        <w:t>和主要财务指标</w:t>
      </w:r>
      <w:r>
        <w:rPr>
          <w:rFonts w:ascii="宋体" w:hAnsi="宋体" w:cs="宋体" w:eastAsia="宋体" w:hint="default"/>
          <w:sz w:val="96"/>
          <w:szCs w:val="96"/>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6"/>
          <w:szCs w:val="26"/>
        </w:rPr>
      </w:pPr>
    </w:p>
    <w:p>
      <w:pPr>
        <w:spacing w:line="310" w:lineRule="exact" w:before="0"/>
        <w:ind w:left="0" w:right="1604" w:firstLine="0"/>
        <w:jc w:val="right"/>
        <w:rPr>
          <w:rFonts w:ascii="宋体" w:hAnsi="宋体" w:cs="宋体" w:eastAsia="宋体" w:hint="default"/>
          <w:sz w:val="25"/>
          <w:szCs w:val="25"/>
        </w:rPr>
      </w:pPr>
      <w:r>
        <w:rPr>
          <w:rFonts w:ascii="宋体" w:hAnsi="宋体" w:cs="宋体" w:eastAsia="宋体" w:hint="default"/>
          <w:w w:val="95"/>
          <w:sz w:val="25"/>
          <w:szCs w:val="25"/>
        </w:rPr>
        <w:t>主营业务收入增长</w:t>
      </w:r>
      <w:r>
        <w:rPr>
          <w:rFonts w:ascii="宋体" w:hAnsi="宋体" w:cs="宋体" w:eastAsia="宋体" w:hint="default"/>
          <w:sz w:val="25"/>
          <w:szCs w:val="25"/>
        </w:rPr>
      </w:r>
    </w:p>
    <w:p>
      <w:pPr>
        <w:spacing w:line="315" w:lineRule="exact" w:before="0"/>
        <w:ind w:left="0" w:right="1644" w:firstLine="0"/>
        <w:jc w:val="right"/>
        <w:rPr>
          <w:rFonts w:ascii="宋体" w:hAnsi="宋体" w:cs="宋体" w:eastAsia="宋体" w:hint="default"/>
          <w:sz w:val="25"/>
          <w:szCs w:val="25"/>
        </w:rPr>
      </w:pPr>
      <w:r>
        <w:rPr>
          <w:rFonts w:ascii="宋体" w:hAnsi="宋体" w:cs="宋体" w:eastAsia="宋体" w:hint="default"/>
          <w:spacing w:val="-21"/>
          <w:w w:val="95"/>
          <w:sz w:val="25"/>
          <w:szCs w:val="25"/>
        </w:rPr>
        <w:t>（同比增长）</w:t>
      </w:r>
      <w:r>
        <w:rPr>
          <w:rFonts w:ascii="宋体" w:hAnsi="宋体" w:cs="宋体" w:eastAsia="宋体" w:hint="default"/>
          <w:sz w:val="25"/>
          <w:szCs w:val="25"/>
        </w:rPr>
      </w:r>
    </w:p>
    <w:p>
      <w:pPr>
        <w:spacing w:before="74"/>
        <w:ind w:left="0" w:right="1712" w:firstLine="0"/>
        <w:jc w:val="right"/>
        <w:rPr>
          <w:rFonts w:ascii="Arial" w:hAnsi="Arial" w:cs="Arial" w:eastAsia="Arial" w:hint="default"/>
          <w:sz w:val="44"/>
          <w:szCs w:val="44"/>
        </w:rPr>
      </w:pPr>
      <w:r>
        <w:rPr>
          <w:rFonts w:ascii="Arial"/>
          <w:b/>
          <w:spacing w:val="-1"/>
          <w:sz w:val="44"/>
        </w:rPr>
        <w:t>5.9%</w:t>
      </w:r>
      <w:r>
        <w:rPr>
          <w:rFonts w:ascii="Arial"/>
          <w:sz w:val="44"/>
        </w:rPr>
      </w:r>
    </w:p>
    <w:p>
      <w:pPr>
        <w:spacing w:line="240" w:lineRule="auto" w:before="8"/>
        <w:rPr>
          <w:rFonts w:ascii="Arial" w:hAnsi="Arial" w:cs="Arial" w:eastAsia="Arial" w:hint="default"/>
          <w:b/>
          <w:bCs/>
          <w:sz w:val="19"/>
          <w:szCs w:val="19"/>
        </w:rPr>
      </w:pPr>
    </w:p>
    <w:p>
      <w:pPr>
        <w:spacing w:before="65"/>
        <w:ind w:left="6067" w:right="95" w:firstLine="0"/>
        <w:jc w:val="left"/>
        <w:rPr>
          <w:rFonts w:ascii="Arial" w:hAnsi="Arial" w:cs="Arial" w:eastAsia="Arial" w:hint="default"/>
          <w:sz w:val="30"/>
          <w:szCs w:val="30"/>
        </w:rPr>
      </w:pPr>
      <w:r>
        <w:rPr>
          <w:rFonts w:ascii="Arial"/>
          <w:b/>
          <w:color w:val="FFFFFF"/>
          <w:sz w:val="30"/>
        </w:rPr>
        <w:t>4.6%</w:t>
      </w:r>
      <w:r>
        <w:rPr>
          <w:rFonts w:ascii="Arial"/>
          <w:sz w:val="30"/>
        </w:rPr>
      </w: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pStyle w:val="BodyText"/>
        <w:tabs>
          <w:tab w:pos="7864" w:val="left" w:leader="none"/>
        </w:tabs>
        <w:spacing w:line="240" w:lineRule="auto" w:before="157"/>
        <w:ind w:left="6465" w:right="95"/>
        <w:jc w:val="left"/>
        <w:rPr>
          <w:rFonts w:ascii="宋体" w:hAnsi="宋体" w:cs="宋体" w:eastAsia="宋体" w:hint="default"/>
        </w:rPr>
      </w:pPr>
      <w:r>
        <w:rPr>
          <w:rFonts w:ascii="宋体"/>
          <w:w w:val="110"/>
        </w:rPr>
        <w:t>2017</w:t>
        <w:tab/>
        <w:t>2018</w:t>
      </w:r>
      <w:r>
        <w:rPr>
          <w:rFonts w:ascii="宋体"/>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footerReference w:type="even" r:id="rId45"/>
          <w:pgSz w:w="11910" w:h="16160"/>
          <w:pgMar w:footer="0" w:header="0" w:top="1520" w:bottom="0" w:left="700" w:right="1340"/>
        </w:sectPr>
      </w:pPr>
    </w:p>
    <w:p>
      <w:pPr>
        <w:tabs>
          <w:tab w:pos="4899" w:val="left" w:leader="none"/>
        </w:tabs>
        <w:spacing w:before="61"/>
        <w:ind w:left="114" w:right="0" w:firstLine="0"/>
        <w:jc w:val="left"/>
        <w:rPr>
          <w:rFonts w:ascii="宋体" w:hAnsi="宋体" w:cs="宋体" w:eastAsia="宋体" w:hint="default"/>
          <w:sz w:val="16"/>
          <w:szCs w:val="16"/>
        </w:rPr>
      </w:pPr>
      <w:r>
        <w:rPr/>
        <w:pict>
          <v:group style="position:absolute;margin-left:.0pt;margin-top:.000036pt;width:595.3pt;height:807.9pt;mso-position-horizontal-relative:page;mso-position-vertical-relative:page;z-index:-967504" coordorigin="0,0" coordsize="11906,16158">
            <v:group style="position:absolute;left:0;top:0;width:11906;height:16158" coordorigin="0,0" coordsize="11906,16158">
              <v:shape style="position:absolute;left:0;top:0;width:11906;height:16158" coordorigin="0,0" coordsize="11906,16158" path="m11906,0l0,0,0,16157,3823,16157,10639,12534,11906,11235,11906,0xe" filled="true" fillcolor="#d7000f" stroked="false">
                <v:path arrowok="t"/>
                <v:fill type="solid"/>
              </v:shape>
            </v:group>
            <v:group style="position:absolute;left:5136;top:9885;width:6770;height:6273" coordorigin="5136,9885" coordsize="6770,6273">
              <v:shape style="position:absolute;left:5136;top:9885;width:6770;height:6273" coordorigin="5136,9885" coordsize="6770,6273" path="m11906,9885l5136,16157,11906,16157,11906,9885xe" filled="true" fillcolor="#ffffff" stroked="false">
                <v:path arrowok="t"/>
                <v:fill type="solid"/>
              </v:shape>
            </v:group>
            <v:group style="position:absolute;left:535;top:4787;width:11371;height:11371" coordorigin="535,4787" coordsize="11371,11371">
              <v:shape style="position:absolute;left:535;top:4787;width:11371;height:11371" coordorigin="535,4787" coordsize="11371,11371" path="m11906,4787l535,16157,7574,16157,11906,11826,11906,4787xe" filled="true" fillcolor="#9c8758" stroked="false">
                <v:path arrowok="t"/>
                <v:fill type="solid"/>
              </v:shape>
            </v:group>
            <v:group style="position:absolute;left:4034;top:0;width:7872;height:7872" coordorigin="4034,0" coordsize="7872,7872">
              <v:shape style="position:absolute;left:4034;top:0;width:7872;height:7872" coordorigin="4034,0" coordsize="7872,7872" path="m11906,0l4034,0,11906,7871,11906,0xe" filled="true" fillcolor="#9c8758" stroked="false">
                <v:path arrowok="t"/>
                <v:fill type="solid"/>
              </v:shape>
            </v:group>
            <v:group style="position:absolute;left:6508;top:11329;width:2457;height:2457" coordorigin="6508,11329" coordsize="2457,2457">
              <v:shape style="position:absolute;left:6508;top:11329;width:2457;height:2457" coordorigin="6508,11329" coordsize="2457,2457" path="m8965,11329l6508,11329,8965,13786,8965,11329xe" filled="true" fillcolor="#d7000f" stroked="false">
                <v:path arrowok="t"/>
                <v:fill type="solid"/>
              </v:shape>
            </v:group>
            <v:group style="position:absolute;left:5870;top:12090;width:1696;height:1696" coordorigin="5870,12090" coordsize="1696,1696">
              <v:shape style="position:absolute;left:5870;top:12090;width:1696;height:1696" coordorigin="5870,12090" coordsize="1696,1696" path="m7566,12090l5870,12090,7566,13786,7566,12090xe" filled="true" fillcolor="#000000" stroked="false">
                <v:path arrowok="t"/>
                <v:fill type="solid"/>
              </v:shape>
            </v:group>
            <w10:wrap type="none"/>
          </v:group>
        </w:pict>
      </w:r>
      <w:r>
        <w:rPr>
          <w:rFonts w:ascii="Arial" w:hAnsi="Arial" w:cs="Arial" w:eastAsia="Arial" w:hint="default"/>
          <w:b/>
          <w:bCs/>
          <w:color w:val="FFFFFF"/>
          <w:spacing w:val="-1"/>
          <w:position w:val="2"/>
          <w:sz w:val="16"/>
          <w:szCs w:val="16"/>
        </w:rPr>
        <w:t>12</w:t>
        <w:tab/>
      </w:r>
      <w:r>
        <w:rPr>
          <w:rFonts w:ascii="宋体" w:hAnsi="宋体" w:cs="宋体" w:eastAsia="宋体" w:hint="default"/>
          <w:color w:val="595757"/>
          <w:spacing w:val="25"/>
          <w:sz w:val="16"/>
          <w:szCs w:val="16"/>
        </w:rPr>
        <w:t>公司简介和主要财务指标</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1340"/>
          <w:cols w:num="2" w:equalWidth="0">
            <w:col w:w="6977" w:space="191"/>
            <w:col w:w="2702"/>
          </w:cols>
        </w:sectPr>
      </w:pPr>
    </w:p>
    <w:p>
      <w:pPr>
        <w:spacing w:line="240" w:lineRule="auto" w:before="0"/>
        <w:rPr>
          <w:rFonts w:ascii="宋体" w:hAnsi="宋体" w:cs="宋体" w:eastAsia="宋体" w:hint="default"/>
          <w:sz w:val="20"/>
          <w:szCs w:val="20"/>
        </w:rPr>
      </w:pPr>
      <w:r>
        <w:rPr/>
        <w:pict>
          <v:group style="position:absolute;margin-left:-.000008pt;margin-top:-.000177pt;width:595.3pt;height:807.9pt;mso-position-horizontal-relative:page;mso-position-vertical-relative:page;z-index:-967480" coordorigin="0,0" coordsize="11906,16158">
            <v:group style="position:absolute;left:0;top:0;width:10949;height:11236" coordorigin="0,0" coordsize="10949,11236">
              <v:shape style="position:absolute;left:0;top:0;width:10949;height:11236" coordorigin="0,0" coordsize="10949,11236" path="m10949,0l0,0,0,11235,10949,0xe" filled="true" fillcolor="#d7000f" stroked="false">
                <v:path arrowok="t"/>
                <v:fill type="solid"/>
              </v:shape>
            </v:group>
            <v:group style="position:absolute;left:0;top:339;width:11906;height:15818" coordorigin="0,339" coordsize="11906,15818">
              <v:shape style="position:absolute;left:0;top:339;width:11906;height:15818" coordorigin="0,339" coordsize="11906,15818" path="m11906,339l315,9593,0,9885,0,16157,11906,16157,11906,339xe" filled="true" fillcolor="#ffffff" stroked="false">
                <v:path arrowok="t"/>
                <v:fill type="solid"/>
              </v:shape>
            </v:group>
            <v:group style="position:absolute;left:0;top:0;width:11679;height:11827" coordorigin="0,0" coordsize="11679,11827">
              <v:shape style="position:absolute;left:0;top:0;width:11679;height:11827" coordorigin="0,0" coordsize="11679,11827" path="m11531,0l4787,0,0,4787,0,11826,11679,148,11531,0xe" filled="true" fillcolor="#9c8758" stroked="false">
                <v:path arrowok="t"/>
                <v:fill type="solid"/>
              </v:shape>
            </v:group>
            <v:group style="position:absolute;left:5572;top:0;width:6334;height:10842" coordorigin="5572,0" coordsize="6334,10842">
              <v:shape style="position:absolute;left:5572;top:0;width:6334;height:10842" coordorigin="5572,0" coordsize="6334,10842" path="m11906,0l10080,0,5572,4508,11906,10841,11906,0xe" filled="true" fillcolor="#9c8758" stroked="false">
                <v:path arrowok="t"/>
                <v:fill type="solid"/>
              </v:shape>
            </v:group>
            <v:group style="position:absolute;left:0;top:0;width:8281;height:8734" coordorigin="0,0" coordsize="8281,8734">
              <v:shape style="position:absolute;left:0;top:0;width:8281;height:8734" coordorigin="0,0" coordsize="8281,8734" path="m6964,0l0,0,0,7871,863,8734,8280,1316,6964,0xe" filled="true" fillcolor="#9c8758" stroked="false">
                <v:path arrowok="t"/>
                <v:fill type="solid"/>
              </v:shape>
            </v:group>
            <v:group style="position:absolute;left:2055;top:4355;width:2457;height:2457" coordorigin="2055,4355" coordsize="2457,2457">
              <v:shape style="position:absolute;left:2055;top:4355;width:2457;height:2457" coordorigin="2055,4355" coordsize="2457,2457" path="m4512,4355l2055,4355,4512,6812,4512,4355xe" filled="true" fillcolor="#d7000f" stroked="false">
                <v:path arrowok="t"/>
                <v:fill type="solid"/>
              </v:shape>
            </v:group>
            <v:group style="position:absolute;left:1417;top:5116;width:1696;height:1696" coordorigin="1417,5116" coordsize="1696,1696">
              <v:shape style="position:absolute;left:1417;top:5116;width:1696;height:1696" coordorigin="1417,5116" coordsize="1696,1696" path="m3113,5116l1417,5116,3113,6812,3113,5116xe" filled="true" fillcolor="#000000" stroked="false">
                <v:path arrowok="t"/>
                <v:fill type="solid"/>
              </v:shape>
            </v:group>
            <v:group style="position:absolute;left:6350;top:0;width:5556;height:3244" coordorigin="6350,0" coordsize="5556,3244">
              <v:shape style="position:absolute;left:6350;top:0;width:5556;height:3244" coordorigin="6350,0" coordsize="5556,3244" path="m11906,0l6350,0,9593,3243,11906,930,11906,0xe" filled="true" fillcolor="#8e9090"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9"/>
          <w:szCs w:val="19"/>
        </w:rPr>
      </w:pPr>
    </w:p>
    <w:p>
      <w:pPr>
        <w:spacing w:line="310" w:lineRule="exact" w:before="0"/>
        <w:ind w:left="1638" w:right="2908" w:firstLine="0"/>
        <w:jc w:val="left"/>
        <w:rPr>
          <w:rFonts w:ascii="宋体" w:hAnsi="宋体" w:cs="宋体" w:eastAsia="宋体" w:hint="default"/>
          <w:sz w:val="25"/>
          <w:szCs w:val="25"/>
        </w:rPr>
      </w:pPr>
      <w:r>
        <w:rPr>
          <w:rFonts w:ascii="宋体" w:hAnsi="宋体" w:cs="宋体" w:eastAsia="宋体" w:hint="default"/>
          <w:spacing w:val="2"/>
          <w:sz w:val="25"/>
          <w:szCs w:val="25"/>
        </w:rPr>
        <w:t>基本每股收益</w:t>
      </w:r>
    </w:p>
    <w:p>
      <w:pPr>
        <w:spacing w:line="315" w:lineRule="exact" w:before="0"/>
        <w:ind w:left="1734" w:right="2908" w:firstLine="0"/>
        <w:jc w:val="left"/>
        <w:rPr>
          <w:rFonts w:ascii="宋体" w:hAnsi="宋体" w:cs="宋体" w:eastAsia="宋体" w:hint="default"/>
          <w:sz w:val="25"/>
          <w:szCs w:val="25"/>
        </w:rPr>
      </w:pPr>
      <w:r>
        <w:rPr>
          <w:rFonts w:ascii="宋体" w:hAnsi="宋体" w:cs="宋体" w:eastAsia="宋体" w:hint="default"/>
          <w:spacing w:val="-21"/>
          <w:sz w:val="25"/>
          <w:szCs w:val="25"/>
        </w:rPr>
        <w:t>（同比增长）</w:t>
      </w:r>
      <w:r>
        <w:rPr>
          <w:rFonts w:ascii="宋体" w:hAnsi="宋体" w:cs="宋体" w:eastAsia="宋体" w:hint="default"/>
          <w:sz w:val="25"/>
          <w:szCs w:val="25"/>
        </w:rPr>
      </w:r>
    </w:p>
    <w:p>
      <w:pPr>
        <w:spacing w:before="114"/>
        <w:ind w:left="1524" w:right="2908" w:firstLine="0"/>
        <w:jc w:val="left"/>
        <w:rPr>
          <w:rFonts w:ascii="Arial" w:hAnsi="Arial" w:cs="Arial" w:eastAsia="Arial" w:hint="default"/>
          <w:sz w:val="44"/>
          <w:szCs w:val="44"/>
        </w:rPr>
      </w:pPr>
      <w:r>
        <w:rPr>
          <w:rFonts w:ascii="Arial"/>
          <w:b/>
          <w:sz w:val="44"/>
        </w:rPr>
        <w:t>602.7%</w:t>
      </w:r>
      <w:r>
        <w:rPr>
          <w:rFonts w:ascii="Arial"/>
          <w:sz w:val="44"/>
        </w:rPr>
      </w:r>
    </w:p>
    <w:p>
      <w:pPr>
        <w:spacing w:line="240" w:lineRule="auto" w:before="10"/>
        <w:rPr>
          <w:rFonts w:ascii="Arial" w:hAnsi="Arial" w:cs="Arial" w:eastAsia="Arial" w:hint="default"/>
          <w:b/>
          <w:bCs/>
          <w:sz w:val="19"/>
          <w:szCs w:val="19"/>
        </w:rPr>
      </w:pPr>
    </w:p>
    <w:p>
      <w:pPr>
        <w:spacing w:before="65"/>
        <w:ind w:left="623" w:right="2908" w:firstLine="0"/>
        <w:jc w:val="left"/>
        <w:rPr>
          <w:rFonts w:ascii="Georgia" w:hAnsi="Georgia" w:cs="Georgia" w:eastAsia="Georgia" w:hint="default"/>
          <w:sz w:val="30"/>
          <w:szCs w:val="30"/>
        </w:rPr>
      </w:pPr>
      <w:r>
        <w:rPr>
          <w:rFonts w:ascii="Arial"/>
          <w:b/>
          <w:color w:val="FFFFFF"/>
          <w:sz w:val="30"/>
        </w:rPr>
        <w:t>158.1</w:t>
      </w:r>
      <w:r>
        <w:rPr>
          <w:rFonts w:ascii="Georgia"/>
          <w:color w:val="FFFFFF"/>
          <w:sz w:val="30"/>
        </w:rPr>
        <w:t>%</w:t>
      </w:r>
      <w:r>
        <w:rPr>
          <w:rFonts w:ascii="Georgia"/>
          <w:sz w:val="30"/>
        </w:rPr>
      </w: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0"/>
        <w:rPr>
          <w:rFonts w:ascii="Georgia" w:hAnsi="Georgia" w:cs="Georgia" w:eastAsia="Georgia" w:hint="default"/>
          <w:sz w:val="20"/>
          <w:szCs w:val="20"/>
        </w:rPr>
      </w:pPr>
    </w:p>
    <w:p>
      <w:pPr>
        <w:spacing w:line="240" w:lineRule="auto" w:before="1"/>
        <w:rPr>
          <w:rFonts w:ascii="Georgia" w:hAnsi="Georgia" w:cs="Georgia" w:eastAsia="Georgia" w:hint="default"/>
          <w:sz w:val="15"/>
          <w:szCs w:val="15"/>
        </w:rPr>
      </w:pPr>
    </w:p>
    <w:p>
      <w:pPr>
        <w:pStyle w:val="BodyText"/>
        <w:tabs>
          <w:tab w:pos="2731" w:val="left" w:leader="none"/>
        </w:tabs>
        <w:spacing w:line="240" w:lineRule="auto"/>
        <w:ind w:left="1333" w:right="2908"/>
        <w:jc w:val="left"/>
        <w:rPr>
          <w:rFonts w:ascii="宋体" w:hAnsi="宋体" w:cs="宋体" w:eastAsia="宋体" w:hint="default"/>
        </w:rPr>
      </w:pPr>
      <w:r>
        <w:rPr>
          <w:rFonts w:ascii="宋体"/>
          <w:w w:val="110"/>
        </w:rPr>
        <w:t>2017</w:t>
        <w:tab/>
        <w:t>2018</w:t>
      </w:r>
      <w:r>
        <w:rPr>
          <w:rFonts w:ascii="宋体"/>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pStyle w:val="BodyText"/>
        <w:spacing w:line="240" w:lineRule="auto" w:before="26"/>
        <w:ind w:left="2957" w:right="2908"/>
        <w:jc w:val="left"/>
        <w:rPr>
          <w:rFonts w:ascii="宋体" w:hAnsi="宋体" w:cs="宋体" w:eastAsia="宋体" w:hint="default"/>
        </w:rPr>
      </w:pPr>
      <w:r>
        <w:rPr>
          <w:rFonts w:ascii="宋体" w:hAnsi="宋体" w:cs="宋体" w:eastAsia="宋体" w:hint="default"/>
          <w:color w:val="D7000F"/>
        </w:rPr>
        <w:t>一、公司信息</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2957" w:right="2908"/>
        <w:jc w:val="left"/>
        <w:rPr>
          <w:rFonts w:ascii="宋体" w:hAnsi="宋体" w:cs="宋体" w:eastAsia="宋体" w:hint="default"/>
        </w:rPr>
      </w:pPr>
      <w:r>
        <w:rPr>
          <w:rFonts w:ascii="宋体" w:hAnsi="宋体" w:cs="宋体" w:eastAsia="宋体" w:hint="default"/>
        </w:rPr>
        <w:t>公司的中文名称：中国联合网络通信股份有限公司 公司的中文简称：中国联通</w:t>
      </w:r>
    </w:p>
    <w:p>
      <w:pPr>
        <w:pStyle w:val="BodyText"/>
        <w:spacing w:line="285" w:lineRule="auto" w:before="10"/>
        <w:ind w:left="2957" w:right="1630"/>
        <w:jc w:val="left"/>
        <w:rPr>
          <w:rFonts w:ascii="宋体" w:hAnsi="宋体" w:cs="宋体" w:eastAsia="宋体" w:hint="default"/>
        </w:rPr>
      </w:pPr>
      <w:r>
        <w:rPr>
          <w:rFonts w:ascii="宋体" w:hAnsi="宋体" w:cs="宋体" w:eastAsia="宋体" w:hint="default"/>
        </w:rPr>
        <w:t>公司的外文名称：China</w:t>
      </w:r>
      <w:r>
        <w:rPr>
          <w:rFonts w:ascii="宋体" w:hAnsi="宋体" w:cs="宋体" w:eastAsia="宋体" w:hint="default"/>
          <w:spacing w:val="-18"/>
        </w:rPr>
        <w:t> </w:t>
      </w:r>
      <w:r>
        <w:rPr>
          <w:rFonts w:ascii="宋体" w:hAnsi="宋体" w:cs="宋体" w:eastAsia="宋体" w:hint="default"/>
        </w:rPr>
        <w:t>United</w:t>
      </w:r>
      <w:r>
        <w:rPr>
          <w:rFonts w:ascii="宋体" w:hAnsi="宋体" w:cs="宋体" w:eastAsia="宋体" w:hint="default"/>
          <w:spacing w:val="-18"/>
        </w:rPr>
        <w:t> </w:t>
      </w:r>
      <w:r>
        <w:rPr>
          <w:rFonts w:ascii="宋体" w:hAnsi="宋体" w:cs="宋体" w:eastAsia="宋体" w:hint="default"/>
        </w:rPr>
        <w:t>Network</w:t>
      </w:r>
      <w:r>
        <w:rPr>
          <w:rFonts w:ascii="宋体" w:hAnsi="宋体" w:cs="宋体" w:eastAsia="宋体" w:hint="default"/>
          <w:spacing w:val="-18"/>
        </w:rPr>
        <w:t> </w:t>
      </w:r>
      <w:r>
        <w:rPr>
          <w:rFonts w:ascii="宋体" w:hAnsi="宋体" w:cs="宋体" w:eastAsia="宋体" w:hint="default"/>
        </w:rPr>
        <w:t>Communications</w:t>
      </w:r>
      <w:r>
        <w:rPr>
          <w:rFonts w:ascii="宋体" w:hAnsi="宋体" w:cs="宋体" w:eastAsia="宋体" w:hint="default"/>
          <w:spacing w:val="-18"/>
        </w:rPr>
        <w:t> </w:t>
      </w:r>
      <w:r>
        <w:rPr>
          <w:rFonts w:ascii="宋体" w:hAnsi="宋体" w:cs="宋体" w:eastAsia="宋体" w:hint="default"/>
        </w:rPr>
        <w:t>Limited</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公司的外文名称缩写：China</w:t>
      </w:r>
      <w:r>
        <w:rPr>
          <w:rFonts w:ascii="宋体" w:hAnsi="宋体" w:cs="宋体" w:eastAsia="宋体" w:hint="default"/>
          <w:spacing w:val="36"/>
        </w:rPr>
        <w:t> </w:t>
      </w:r>
      <w:r>
        <w:rPr>
          <w:rFonts w:ascii="宋体" w:hAnsi="宋体" w:cs="宋体" w:eastAsia="宋体" w:hint="default"/>
        </w:rPr>
        <w:t>Unicom</w:t>
      </w:r>
    </w:p>
    <w:p>
      <w:pPr>
        <w:pStyle w:val="BodyText"/>
        <w:spacing w:line="240" w:lineRule="auto" w:before="10"/>
        <w:ind w:left="2957" w:right="2908"/>
        <w:jc w:val="left"/>
        <w:rPr>
          <w:rFonts w:ascii="宋体" w:hAnsi="宋体" w:cs="宋体" w:eastAsia="宋体" w:hint="default"/>
        </w:rPr>
      </w:pPr>
      <w:r>
        <w:rPr>
          <w:rFonts w:ascii="宋体" w:hAnsi="宋体" w:cs="宋体" w:eastAsia="宋体" w:hint="default"/>
        </w:rPr>
        <w:t>公司的法定代表人：王晓初</w:t>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19"/>
          <w:szCs w:val="19"/>
        </w:rPr>
      </w:pPr>
    </w:p>
    <w:p>
      <w:pPr>
        <w:pStyle w:val="BodyText"/>
        <w:spacing w:line="240" w:lineRule="auto"/>
        <w:ind w:left="2957" w:right="2908"/>
        <w:jc w:val="left"/>
        <w:rPr>
          <w:rFonts w:ascii="宋体" w:hAnsi="宋体" w:cs="宋体" w:eastAsia="宋体" w:hint="default"/>
        </w:rPr>
      </w:pPr>
      <w:r>
        <w:rPr>
          <w:rFonts w:ascii="宋体" w:hAnsi="宋体" w:cs="宋体" w:eastAsia="宋体" w:hint="default"/>
          <w:color w:val="D7000F"/>
        </w:rPr>
        <w:t>二、联系人和联系方式</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2957" w:right="2908" w:firstLine="0"/>
        <w:jc w:val="left"/>
        <w:rPr>
          <w:rFonts w:ascii="宋体" w:hAnsi="宋体" w:cs="宋体" w:eastAsia="宋体" w:hint="default"/>
          <w:sz w:val="17"/>
          <w:szCs w:val="17"/>
        </w:rPr>
      </w:pPr>
      <w:r>
        <w:rPr>
          <w:rFonts w:ascii="宋体" w:hAnsi="宋体" w:cs="宋体" w:eastAsia="宋体" w:hint="default"/>
          <w:sz w:val="17"/>
          <w:szCs w:val="17"/>
        </w:rPr>
        <w:t>董事会秘书</w:t>
      </w:r>
    </w:p>
    <w:p>
      <w:pPr>
        <w:pStyle w:val="BodyText"/>
        <w:spacing w:line="285" w:lineRule="auto" w:before="54"/>
        <w:ind w:left="2957" w:right="3716"/>
        <w:jc w:val="left"/>
        <w:rPr>
          <w:rFonts w:ascii="宋体" w:hAnsi="宋体" w:cs="宋体" w:eastAsia="宋体" w:hint="default"/>
        </w:rPr>
      </w:pPr>
      <w:r>
        <w:rPr>
          <w:rFonts w:ascii="宋体" w:hAnsi="宋体" w:cs="宋体" w:eastAsia="宋体" w:hint="default"/>
        </w:rPr>
        <w:t>姓名：朱可炳 联系地址：北京市西城区金融大街</w:t>
      </w:r>
      <w:r>
        <w:rPr>
          <w:rFonts w:ascii="宋体" w:hAnsi="宋体" w:cs="宋体" w:eastAsia="宋体" w:hint="default"/>
          <w:spacing w:val="-36"/>
        </w:rPr>
        <w:t> </w:t>
      </w:r>
      <w:r>
        <w:rPr>
          <w:rFonts w:ascii="宋体" w:hAnsi="宋体" w:cs="宋体" w:eastAsia="宋体" w:hint="default"/>
        </w:rPr>
        <w:t>21</w:t>
      </w:r>
      <w:r>
        <w:rPr>
          <w:rFonts w:ascii="宋体" w:hAnsi="宋体" w:cs="宋体" w:eastAsia="宋体" w:hint="default"/>
          <w:spacing w:val="-38"/>
        </w:rPr>
        <w:t> </w:t>
      </w:r>
      <w:r>
        <w:rPr>
          <w:rFonts w:ascii="宋体" w:hAnsi="宋体" w:cs="宋体" w:eastAsia="宋体" w:hint="default"/>
        </w:rPr>
        <w:t>号</w:t>
      </w:r>
      <w:r>
        <w:rPr>
          <w:rFonts w:ascii="宋体" w:hAnsi="宋体" w:cs="宋体" w:eastAsia="宋体" w:hint="default"/>
        </w:rPr>
        <w:t> 电话：010-66259179</w:t>
      </w:r>
    </w:p>
    <w:p>
      <w:pPr>
        <w:pStyle w:val="BodyText"/>
        <w:spacing w:line="240" w:lineRule="auto" w:before="10"/>
        <w:ind w:left="2957" w:right="2908"/>
        <w:jc w:val="left"/>
        <w:rPr>
          <w:rFonts w:ascii="宋体" w:hAnsi="宋体" w:cs="宋体" w:eastAsia="宋体" w:hint="default"/>
        </w:rPr>
      </w:pPr>
      <w:r>
        <w:rPr>
          <w:rFonts w:ascii="宋体" w:hAnsi="宋体" w:cs="宋体" w:eastAsia="宋体" w:hint="default"/>
          <w:w w:val="110"/>
        </w:rPr>
        <w:t>传真：010-66259544</w:t>
      </w:r>
      <w:r>
        <w:rPr>
          <w:rFonts w:ascii="宋体" w:hAnsi="宋体" w:cs="宋体" w:eastAsia="宋体" w:hint="default"/>
        </w:rPr>
      </w:r>
    </w:p>
    <w:p>
      <w:pPr>
        <w:pStyle w:val="BodyText"/>
        <w:spacing w:line="240" w:lineRule="auto" w:before="44"/>
        <w:ind w:left="2957" w:right="2908"/>
        <w:jc w:val="left"/>
        <w:rPr>
          <w:rFonts w:ascii="宋体" w:hAnsi="宋体" w:cs="宋体" w:eastAsia="宋体" w:hint="default"/>
        </w:rPr>
      </w:pPr>
      <w:hyperlink r:id="rId47">
        <w:r>
          <w:rPr>
            <w:rFonts w:ascii="宋体" w:hAnsi="宋体" w:cs="宋体" w:eastAsia="宋体" w:hint="default"/>
            <w:w w:val="105"/>
          </w:rPr>
          <w:t>电子信箱：dongmi@chinaunicom.cn</w:t>
        </w:r>
        <w:r>
          <w:rPr>
            <w:rFonts w:ascii="宋体" w:hAnsi="宋体" w:cs="宋体" w:eastAsia="宋体" w:hint="default"/>
          </w:rPr>
        </w:r>
      </w:hyperlink>
    </w:p>
    <w:p>
      <w:pPr>
        <w:spacing w:before="160"/>
        <w:ind w:left="2957" w:right="2908" w:firstLine="0"/>
        <w:jc w:val="left"/>
        <w:rPr>
          <w:rFonts w:ascii="宋体" w:hAnsi="宋体" w:cs="宋体" w:eastAsia="宋体" w:hint="default"/>
          <w:sz w:val="17"/>
          <w:szCs w:val="17"/>
        </w:rPr>
      </w:pPr>
      <w:r>
        <w:rPr>
          <w:rFonts w:ascii="宋体" w:hAnsi="宋体" w:cs="宋体" w:eastAsia="宋体" w:hint="default"/>
          <w:sz w:val="17"/>
          <w:szCs w:val="17"/>
        </w:rPr>
        <w:t>证券事务代表</w:t>
      </w:r>
    </w:p>
    <w:p>
      <w:pPr>
        <w:pStyle w:val="BodyText"/>
        <w:spacing w:line="285" w:lineRule="auto" w:before="54"/>
        <w:ind w:left="2957" w:right="3716"/>
        <w:jc w:val="left"/>
        <w:rPr>
          <w:rFonts w:ascii="宋体" w:hAnsi="宋体" w:cs="宋体" w:eastAsia="宋体" w:hint="default"/>
        </w:rPr>
      </w:pPr>
      <w:r>
        <w:rPr>
          <w:rFonts w:ascii="宋体" w:hAnsi="宋体" w:cs="宋体" w:eastAsia="宋体" w:hint="default"/>
        </w:rPr>
        <w:t>姓名：黄学谦 联系地址：北京市西城区金融大街</w:t>
      </w:r>
      <w:r>
        <w:rPr>
          <w:rFonts w:ascii="宋体" w:hAnsi="宋体" w:cs="宋体" w:eastAsia="宋体" w:hint="default"/>
          <w:spacing w:val="-36"/>
        </w:rPr>
        <w:t> </w:t>
      </w:r>
      <w:r>
        <w:rPr>
          <w:rFonts w:ascii="宋体" w:hAnsi="宋体" w:cs="宋体" w:eastAsia="宋体" w:hint="default"/>
        </w:rPr>
        <w:t>21</w:t>
      </w:r>
      <w:r>
        <w:rPr>
          <w:rFonts w:ascii="宋体" w:hAnsi="宋体" w:cs="宋体" w:eastAsia="宋体" w:hint="default"/>
          <w:spacing w:val="-38"/>
        </w:rPr>
        <w:t> </w:t>
      </w:r>
      <w:r>
        <w:rPr>
          <w:rFonts w:ascii="宋体" w:hAnsi="宋体" w:cs="宋体" w:eastAsia="宋体" w:hint="default"/>
        </w:rPr>
        <w:t>号</w:t>
      </w:r>
      <w:r>
        <w:rPr>
          <w:rFonts w:ascii="宋体" w:hAnsi="宋体" w:cs="宋体" w:eastAsia="宋体" w:hint="default"/>
        </w:rPr>
        <w:t> 电话：010-66259179</w:t>
      </w:r>
    </w:p>
    <w:p>
      <w:pPr>
        <w:pStyle w:val="BodyText"/>
        <w:spacing w:line="240" w:lineRule="auto" w:before="10"/>
        <w:ind w:left="2957" w:right="2908"/>
        <w:jc w:val="left"/>
        <w:rPr>
          <w:rFonts w:ascii="宋体" w:hAnsi="宋体" w:cs="宋体" w:eastAsia="宋体" w:hint="default"/>
        </w:rPr>
      </w:pPr>
      <w:r>
        <w:rPr>
          <w:rFonts w:ascii="宋体" w:hAnsi="宋体" w:cs="宋体" w:eastAsia="宋体" w:hint="default"/>
          <w:w w:val="110"/>
        </w:rPr>
        <w:t>传真：010-66259544</w:t>
      </w:r>
      <w:r>
        <w:rPr>
          <w:rFonts w:ascii="宋体" w:hAnsi="宋体" w:cs="宋体" w:eastAsia="宋体" w:hint="default"/>
        </w:rPr>
      </w:r>
    </w:p>
    <w:p>
      <w:pPr>
        <w:pStyle w:val="BodyText"/>
        <w:spacing w:line="240" w:lineRule="auto" w:before="44"/>
        <w:ind w:left="2957" w:right="2908"/>
        <w:jc w:val="left"/>
        <w:rPr>
          <w:rFonts w:ascii="宋体" w:hAnsi="宋体" w:cs="宋体" w:eastAsia="宋体" w:hint="default"/>
        </w:rPr>
      </w:pPr>
      <w:hyperlink r:id="rId48">
        <w:r>
          <w:rPr>
            <w:rFonts w:ascii="宋体" w:hAnsi="宋体" w:cs="宋体" w:eastAsia="宋体" w:hint="default"/>
          </w:rPr>
          <w:t>电子信箱：ir@chinaunicom.cn</w:t>
        </w:r>
      </w:hyperlink>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3"/>
          <w:szCs w:val="23"/>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5"/>
          <w:w w:val="105"/>
          <w:sz w:val="16"/>
          <w:szCs w:val="16"/>
        </w:rPr>
        <w:t>公司简介和主要财务指标</w:t>
      </w:r>
      <w:r>
        <w:rPr>
          <w:rFonts w:ascii="Arial" w:hAnsi="Arial" w:cs="Arial" w:eastAsia="Arial" w:hint="default"/>
          <w:b/>
          <w:bCs/>
          <w:color w:val="9C8758"/>
          <w:spacing w:val="25"/>
          <w:w w:val="105"/>
          <w:position w:val="1"/>
          <w:sz w:val="16"/>
          <w:szCs w:val="16"/>
        </w:rPr>
        <w:tab/>
      </w:r>
      <w:r>
        <w:rPr>
          <w:rFonts w:ascii="Arial" w:hAnsi="Arial" w:cs="Arial" w:eastAsia="Arial" w:hint="default"/>
          <w:b/>
          <w:bCs/>
          <w:color w:val="9C8758"/>
          <w:w w:val="105"/>
          <w:position w:val="1"/>
          <w:sz w:val="16"/>
          <w:szCs w:val="16"/>
        </w:rPr>
        <w:t>13</w:t>
      </w:r>
      <w:r>
        <w:rPr>
          <w:rFonts w:ascii="Arial" w:hAnsi="Arial" w:cs="Arial" w:eastAsia="Arial" w:hint="default"/>
          <w:w w:val="105"/>
          <w:sz w:val="16"/>
          <w:szCs w:val="16"/>
        </w:rPr>
      </w:r>
    </w:p>
    <w:p>
      <w:pPr>
        <w:spacing w:after="0"/>
        <w:jc w:val="left"/>
        <w:rPr>
          <w:rFonts w:ascii="Arial" w:hAnsi="Arial" w:cs="Arial" w:eastAsia="Arial" w:hint="default"/>
          <w:sz w:val="16"/>
          <w:szCs w:val="16"/>
        </w:rPr>
        <w:sectPr>
          <w:footerReference w:type="default" r:id="rId46"/>
          <w:pgSz w:w="11910" w:h="16160"/>
          <w:pgMar w:footer="0" w:header="0" w:top="1520" w:bottom="0" w:left="1380" w:right="680"/>
        </w:sectPr>
      </w:pPr>
    </w:p>
    <w:p>
      <w:pPr>
        <w:pStyle w:val="BodyText"/>
        <w:spacing w:line="162" w:lineRule="exact"/>
        <w:ind w:left="2777" w:right="764"/>
        <w:jc w:val="left"/>
        <w:rPr>
          <w:rFonts w:ascii="宋体" w:hAnsi="宋体" w:cs="宋体" w:eastAsia="宋体" w:hint="default"/>
        </w:rPr>
      </w:pPr>
      <w:r>
        <w:rPr>
          <w:rFonts w:ascii="宋体" w:hAnsi="宋体" w:cs="宋体" w:eastAsia="宋体" w:hint="default"/>
          <w:color w:val="D7000F"/>
        </w:rPr>
        <w:t>三、基本情况简介</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2777" w:right="5226"/>
        <w:jc w:val="left"/>
        <w:rPr>
          <w:rFonts w:ascii="宋体" w:hAnsi="宋体" w:cs="宋体" w:eastAsia="宋体" w:hint="default"/>
        </w:rPr>
      </w:pPr>
      <w:r>
        <w:rPr>
          <w:rFonts w:ascii="宋体" w:hAnsi="宋体" w:cs="宋体" w:eastAsia="宋体" w:hint="default"/>
        </w:rPr>
        <w:t>公司注册地址：北京市西城区金融大街</w:t>
      </w:r>
      <w:r>
        <w:rPr>
          <w:rFonts w:ascii="宋体" w:hAnsi="宋体" w:cs="宋体" w:eastAsia="宋体" w:hint="default"/>
          <w:spacing w:val="-38"/>
        </w:rPr>
        <w:t> </w:t>
      </w:r>
      <w:r>
        <w:rPr>
          <w:rFonts w:ascii="宋体" w:hAnsi="宋体" w:cs="宋体" w:eastAsia="宋体" w:hint="default"/>
        </w:rPr>
        <w:t>21</w:t>
      </w:r>
      <w:r>
        <w:rPr>
          <w:rFonts w:ascii="宋体" w:hAnsi="宋体" w:cs="宋体" w:eastAsia="宋体" w:hint="default"/>
          <w:spacing w:val="-39"/>
        </w:rPr>
        <w:t> </w:t>
      </w:r>
      <w:r>
        <w:rPr>
          <w:rFonts w:ascii="宋体" w:hAnsi="宋体" w:cs="宋体" w:eastAsia="宋体" w:hint="default"/>
        </w:rPr>
        <w:t>号</w:t>
      </w:r>
      <w:r>
        <w:rPr>
          <w:rFonts w:ascii="宋体" w:hAnsi="宋体" w:cs="宋体" w:eastAsia="宋体" w:hint="default"/>
          <w:spacing w:val="-38"/>
        </w:rPr>
        <w:t> </w:t>
      </w:r>
      <w:r>
        <w:rPr>
          <w:rFonts w:ascii="宋体" w:hAnsi="宋体" w:cs="宋体" w:eastAsia="宋体" w:hint="default"/>
        </w:rPr>
        <w:t>4</w:t>
      </w:r>
      <w:r>
        <w:rPr>
          <w:rFonts w:ascii="宋体" w:hAnsi="宋体" w:cs="宋体" w:eastAsia="宋体" w:hint="default"/>
          <w:spacing w:val="-39"/>
        </w:rPr>
        <w:t> </w:t>
      </w:r>
      <w:r>
        <w:rPr>
          <w:rFonts w:ascii="宋体" w:hAnsi="宋体" w:cs="宋体" w:eastAsia="宋体" w:hint="default"/>
        </w:rPr>
        <w:t>楼</w:t>
      </w:r>
      <w:r>
        <w:rPr>
          <w:rFonts w:ascii="宋体" w:hAnsi="宋体" w:cs="宋体" w:eastAsia="宋体" w:hint="default"/>
        </w:rPr>
        <w:t> 公司注册地址的邮政编码：100033</w:t>
      </w:r>
      <w:r>
        <w:rPr>
          <w:rFonts w:ascii="宋体" w:hAnsi="宋体" w:cs="宋体" w:eastAsia="宋体" w:hint="default"/>
          <w:spacing w:val="-31"/>
        </w:rPr>
        <w:t> </w:t>
      </w:r>
      <w:r>
        <w:rPr>
          <w:rFonts w:ascii="宋体" w:hAnsi="宋体" w:cs="宋体" w:eastAsia="宋体" w:hint="default"/>
          <w:spacing w:val="-31"/>
        </w:rPr>
      </w:r>
      <w:r>
        <w:rPr>
          <w:rFonts w:ascii="宋体" w:hAnsi="宋体" w:cs="宋体" w:eastAsia="宋体" w:hint="default"/>
        </w:rPr>
        <w:t>公司办公地址：北京市西城区金融大街</w:t>
      </w:r>
      <w:r>
        <w:rPr>
          <w:rFonts w:ascii="宋体" w:hAnsi="宋体" w:cs="宋体" w:eastAsia="宋体" w:hint="default"/>
          <w:spacing w:val="-44"/>
        </w:rPr>
        <w:t> </w:t>
      </w:r>
      <w:r>
        <w:rPr>
          <w:rFonts w:ascii="宋体" w:hAnsi="宋体" w:cs="宋体" w:eastAsia="宋体" w:hint="default"/>
        </w:rPr>
        <w:t>21</w:t>
      </w:r>
      <w:r>
        <w:rPr>
          <w:rFonts w:ascii="宋体" w:hAnsi="宋体" w:cs="宋体" w:eastAsia="宋体" w:hint="default"/>
          <w:spacing w:val="-45"/>
        </w:rPr>
        <w:t> </w:t>
      </w:r>
      <w:r>
        <w:rPr>
          <w:rFonts w:ascii="宋体" w:hAnsi="宋体" w:cs="宋体" w:eastAsia="宋体" w:hint="default"/>
        </w:rPr>
        <w:t>号</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rPr>
        <w:t>公司办公地址的邮政编码：100033</w:t>
      </w:r>
      <w:r>
        <w:rPr>
          <w:rFonts w:ascii="宋体" w:hAnsi="宋体" w:cs="宋体" w:eastAsia="宋体" w:hint="default"/>
          <w:spacing w:val="-31"/>
        </w:rPr>
        <w:t> </w:t>
      </w:r>
      <w:r>
        <w:rPr>
          <w:rFonts w:ascii="宋体" w:hAnsi="宋体" w:cs="宋体" w:eastAsia="宋体" w:hint="default"/>
          <w:spacing w:val="-31"/>
        </w:rPr>
      </w:r>
      <w:hyperlink r:id="rId52">
        <w:r>
          <w:rPr>
            <w:rFonts w:ascii="宋体" w:hAnsi="宋体" w:cs="宋体" w:eastAsia="宋体" w:hint="default"/>
          </w:rPr>
          <w:t>公司网址：www.chinaunicom-a.com</w:t>
        </w:r>
      </w:hyperlink>
      <w:r>
        <w:rPr>
          <w:rFonts w:ascii="宋体" w:hAnsi="宋体" w:cs="宋体" w:eastAsia="宋体" w:hint="default"/>
          <w:spacing w:val="44"/>
        </w:rPr>
        <w:t> </w:t>
      </w:r>
      <w:r>
        <w:rPr>
          <w:rFonts w:ascii="宋体" w:hAnsi="宋体" w:cs="宋体" w:eastAsia="宋体" w:hint="default"/>
          <w:spacing w:val="44"/>
        </w:rPr>
      </w:r>
      <w:hyperlink r:id="rId48">
        <w:r>
          <w:rPr>
            <w:rFonts w:ascii="宋体" w:hAnsi="宋体" w:cs="宋体" w:eastAsia="宋体" w:hint="default"/>
          </w:rPr>
          <w:t>电子信箱：ir@chinaunicom.cn</w:t>
        </w:r>
      </w:hyperlink>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7"/>
          <w:szCs w:val="17"/>
        </w:rPr>
      </w:pPr>
    </w:p>
    <w:p>
      <w:pPr>
        <w:pStyle w:val="BodyText"/>
        <w:spacing w:line="240" w:lineRule="auto"/>
        <w:ind w:left="2777" w:right="764"/>
        <w:jc w:val="left"/>
        <w:rPr>
          <w:rFonts w:ascii="宋体" w:hAnsi="宋体" w:cs="宋体" w:eastAsia="宋体" w:hint="default"/>
        </w:rPr>
      </w:pPr>
      <w:r>
        <w:rPr>
          <w:rFonts w:ascii="宋体" w:hAnsi="宋体" w:cs="宋体" w:eastAsia="宋体" w:hint="default"/>
          <w:color w:val="D7000F"/>
        </w:rPr>
        <w:t>四、信息披露及备置地点</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2777" w:right="4875"/>
        <w:jc w:val="left"/>
        <w:rPr>
          <w:rFonts w:ascii="宋体" w:hAnsi="宋体" w:cs="宋体" w:eastAsia="宋体" w:hint="default"/>
        </w:rPr>
      </w:pPr>
      <w:r>
        <w:rPr>
          <w:rFonts w:ascii="宋体" w:hAnsi="宋体" w:cs="宋体" w:eastAsia="宋体" w:hint="default"/>
          <w:w w:val="105"/>
        </w:rPr>
        <w:t>公司选定的信息披露媒体名称：</w:t>
      </w:r>
      <w:r>
        <w:rPr>
          <w:rFonts w:ascii="宋体" w:hAnsi="宋体" w:cs="宋体" w:eastAsia="宋体" w:hint="default"/>
        </w:rPr>
        <w:t> </w:t>
      </w:r>
      <w:r>
        <w:rPr>
          <w:rFonts w:ascii="宋体" w:hAnsi="宋体" w:cs="宋体" w:eastAsia="宋体" w:hint="default"/>
          <w:w w:val="105"/>
        </w:rPr>
        <w:t>中国证券报、上海证券报、证券时报</w:t>
      </w:r>
      <w:r>
        <w:rPr>
          <w:rFonts w:ascii="宋体" w:hAnsi="宋体" w:cs="宋体" w:eastAsia="宋体" w:hint="default"/>
        </w:rPr>
        <w:t> </w:t>
      </w:r>
      <w:r>
        <w:rPr>
          <w:rFonts w:ascii="宋体" w:hAnsi="宋体" w:cs="宋体" w:eastAsia="宋体" w:hint="default"/>
          <w:w w:val="105"/>
        </w:rPr>
        <w:t>登载年度报告的中国证监会指定网站的网址：</w:t>
      </w:r>
      <w:r>
        <w:rPr>
          <w:rFonts w:ascii="宋体" w:hAnsi="宋体" w:cs="宋体" w:eastAsia="宋体" w:hint="default"/>
        </w:rPr>
        <w:t> </w:t>
      </w:r>
      <w:hyperlink r:id="rId52">
        <w:r>
          <w:rPr>
            <w:rFonts w:ascii="宋体" w:hAnsi="宋体" w:cs="宋体" w:eastAsia="宋体" w:hint="default"/>
            <w:w w:val="105"/>
          </w:rPr>
          <w:t>www.sse.com.cn；www.chinaunicom-a.com</w:t>
        </w:r>
      </w:hyperlink>
      <w:r>
        <w:rPr>
          <w:rFonts w:ascii="宋体" w:hAnsi="宋体" w:cs="宋体" w:eastAsia="宋体" w:hint="default"/>
          <w:spacing w:val="27"/>
          <w:w w:val="105"/>
        </w:rPr>
        <w:t> </w:t>
      </w:r>
      <w:r>
        <w:rPr>
          <w:rFonts w:ascii="宋体" w:hAnsi="宋体" w:cs="宋体" w:eastAsia="宋体" w:hint="default"/>
          <w:spacing w:val="27"/>
          <w:w w:val="105"/>
        </w:rPr>
      </w:r>
      <w:r>
        <w:rPr>
          <w:rFonts w:ascii="宋体" w:hAnsi="宋体" w:cs="宋体" w:eastAsia="宋体" w:hint="default"/>
        </w:rPr>
        <w:t>公司年度报告备置地点：北京市西城区金融大街 21</w:t>
      </w:r>
      <w:r>
        <w:rPr>
          <w:rFonts w:ascii="宋体" w:hAnsi="宋体" w:cs="宋体" w:eastAsia="宋体" w:hint="default"/>
          <w:spacing w:val="-72"/>
        </w:rPr>
        <w:t> </w:t>
      </w:r>
      <w:r>
        <w:rPr>
          <w:rFonts w:ascii="宋体" w:hAnsi="宋体" w:cs="宋体" w:eastAsia="宋体" w:hint="default"/>
        </w:rPr>
        <w:t>号</w:t>
      </w:r>
    </w:p>
    <w:p>
      <w:pPr>
        <w:spacing w:line="240" w:lineRule="auto" w:before="0"/>
        <w:rPr>
          <w:rFonts w:ascii="宋体" w:hAnsi="宋体" w:cs="宋体" w:eastAsia="宋体" w:hint="default"/>
          <w:sz w:val="18"/>
          <w:szCs w:val="18"/>
        </w:rPr>
      </w:pPr>
    </w:p>
    <w:p>
      <w:pPr>
        <w:pStyle w:val="BodyText"/>
        <w:spacing w:line="240" w:lineRule="auto" w:before="149"/>
        <w:ind w:left="2777" w:right="764"/>
        <w:jc w:val="left"/>
        <w:rPr>
          <w:rFonts w:ascii="宋体" w:hAnsi="宋体" w:cs="宋体" w:eastAsia="宋体" w:hint="default"/>
        </w:rPr>
      </w:pPr>
      <w:r>
        <w:rPr>
          <w:rFonts w:ascii="宋体" w:hAnsi="宋体" w:cs="宋体" w:eastAsia="宋体" w:hint="default"/>
          <w:color w:val="D7000F"/>
        </w:rPr>
        <w:t>五、公司股票简况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tabs>
          <w:tab w:pos="4845" w:val="left" w:leader="none"/>
        </w:tabs>
        <w:spacing w:line="285" w:lineRule="auto"/>
        <w:ind w:left="2777" w:right="4357"/>
        <w:jc w:val="left"/>
        <w:rPr>
          <w:rFonts w:ascii="宋体" w:hAnsi="宋体" w:cs="宋体" w:eastAsia="宋体" w:hint="default"/>
        </w:rPr>
      </w:pPr>
      <w:r>
        <w:rPr>
          <w:rFonts w:ascii="宋体" w:hAnsi="宋体" w:cs="宋体" w:eastAsia="宋体" w:hint="default"/>
        </w:rPr>
        <w:t>股票种类：A</w:t>
      </w:r>
      <w:r>
        <w:rPr>
          <w:rFonts w:ascii="宋体" w:hAnsi="宋体" w:cs="宋体" w:eastAsia="宋体" w:hint="default"/>
          <w:spacing w:val="-16"/>
        </w:rPr>
        <w:t> </w:t>
      </w:r>
      <w:r>
        <w:rPr>
          <w:rFonts w:ascii="宋体" w:hAnsi="宋体" w:cs="宋体" w:eastAsia="宋体" w:hint="default"/>
        </w:rPr>
        <w:t>股</w:t>
        <w:tab/>
        <w:t>股票上市交易所：上海证券交易所</w:t>
      </w:r>
      <w:r>
        <w:rPr>
          <w:rFonts w:ascii="宋体" w:hAnsi="宋体" w:cs="宋体" w:eastAsia="宋体" w:hint="default"/>
        </w:rPr>
        <w:t> 股票简称：中国联通</w:t>
        <w:tab/>
        <w:t>股票代码：600050</w:t>
      </w:r>
    </w:p>
    <w:p>
      <w:pPr>
        <w:spacing w:line="240" w:lineRule="auto" w:before="0"/>
        <w:rPr>
          <w:rFonts w:ascii="宋体" w:hAnsi="宋体" w:cs="宋体" w:eastAsia="宋体" w:hint="default"/>
          <w:sz w:val="18"/>
          <w:szCs w:val="18"/>
        </w:rPr>
      </w:pPr>
    </w:p>
    <w:p>
      <w:pPr>
        <w:pStyle w:val="BodyText"/>
        <w:spacing w:line="240" w:lineRule="auto" w:before="149"/>
        <w:ind w:left="2777" w:right="764"/>
        <w:jc w:val="left"/>
        <w:rPr>
          <w:rFonts w:ascii="宋体" w:hAnsi="宋体" w:cs="宋体" w:eastAsia="宋体" w:hint="default"/>
        </w:rPr>
      </w:pPr>
      <w:r>
        <w:rPr>
          <w:rFonts w:ascii="宋体" w:hAnsi="宋体" w:cs="宋体" w:eastAsia="宋体" w:hint="default"/>
          <w:color w:val="D7000F"/>
        </w:rPr>
        <w:t>六、其他相关资料</w:t>
      </w:r>
      <w:r>
        <w:rPr>
          <w:rFonts w:ascii="宋体" w:hAnsi="宋体" w:cs="宋体" w:eastAsia="宋体" w:hint="default"/>
        </w:rPr>
      </w:r>
    </w:p>
    <w:p>
      <w:pPr>
        <w:spacing w:line="240" w:lineRule="auto" w:before="1"/>
        <w:rPr>
          <w:rFonts w:ascii="宋体" w:hAnsi="宋体" w:cs="宋体" w:eastAsia="宋体" w:hint="default"/>
          <w:sz w:val="18"/>
          <w:szCs w:val="18"/>
        </w:rPr>
      </w:pPr>
    </w:p>
    <w:p>
      <w:pPr>
        <w:pStyle w:val="BodyText"/>
        <w:spacing w:line="290" w:lineRule="auto"/>
        <w:ind w:left="2777" w:right="4811"/>
        <w:jc w:val="left"/>
        <w:rPr>
          <w:rFonts w:ascii="宋体" w:hAnsi="宋体" w:cs="宋体" w:eastAsia="宋体" w:hint="default"/>
        </w:rPr>
      </w:pPr>
      <w:r>
        <w:rPr>
          <w:rFonts w:ascii="宋体" w:hAnsi="宋体" w:cs="宋体" w:eastAsia="宋体" w:hint="default"/>
          <w:sz w:val="17"/>
          <w:szCs w:val="17"/>
        </w:rPr>
        <w:t>公司聘请的会计师事务所（境内） </w:t>
      </w:r>
      <w:r>
        <w:rPr>
          <w:rFonts w:ascii="宋体" w:hAnsi="宋体" w:cs="宋体" w:eastAsia="宋体" w:hint="default"/>
        </w:rPr>
        <w:t>名称：毕马威华振会计师事务所（特殊普通合伙） </w:t>
      </w:r>
      <w:r>
        <w:rPr>
          <w:rFonts w:ascii="宋体" w:hAnsi="宋体" w:cs="宋体" w:eastAsia="宋体" w:hint="default"/>
          <w:spacing w:val="-7"/>
        </w:rPr>
        <w:t>办公地址：北京市长安街</w:t>
      </w:r>
      <w:r>
        <w:rPr>
          <w:rFonts w:ascii="宋体" w:hAnsi="宋体" w:cs="宋体" w:eastAsia="宋体" w:hint="default"/>
          <w:spacing w:val="-50"/>
        </w:rPr>
        <w:t> </w:t>
      </w:r>
      <w:r>
        <w:rPr>
          <w:rFonts w:ascii="宋体" w:hAnsi="宋体" w:cs="宋体" w:eastAsia="宋体" w:hint="default"/>
        </w:rPr>
        <w:t>1</w:t>
      </w:r>
      <w:r>
        <w:rPr>
          <w:rFonts w:ascii="宋体" w:hAnsi="宋体" w:cs="宋体" w:eastAsia="宋体" w:hint="default"/>
          <w:spacing w:val="-50"/>
        </w:rPr>
        <w:t> </w:t>
      </w:r>
      <w:r>
        <w:rPr>
          <w:rFonts w:ascii="宋体" w:hAnsi="宋体" w:cs="宋体" w:eastAsia="宋体" w:hint="default"/>
          <w:spacing w:val="-10"/>
        </w:rPr>
        <w:t>号东方广场东</w:t>
      </w:r>
      <w:r>
        <w:rPr>
          <w:rFonts w:ascii="宋体" w:hAnsi="宋体" w:cs="宋体" w:eastAsia="宋体" w:hint="default"/>
          <w:spacing w:val="-50"/>
        </w:rPr>
        <w:t> </w:t>
      </w:r>
      <w:r>
        <w:rPr>
          <w:rFonts w:ascii="宋体" w:hAnsi="宋体" w:cs="宋体" w:eastAsia="宋体" w:hint="default"/>
        </w:rPr>
        <w:t>2</w:t>
      </w:r>
      <w:r>
        <w:rPr>
          <w:rFonts w:ascii="宋体" w:hAnsi="宋体" w:cs="宋体" w:eastAsia="宋体" w:hint="default"/>
          <w:spacing w:val="-50"/>
        </w:rPr>
        <w:t> </w:t>
      </w:r>
      <w:r>
        <w:rPr>
          <w:rFonts w:ascii="宋体" w:hAnsi="宋体" w:cs="宋体" w:eastAsia="宋体" w:hint="default"/>
          <w:spacing w:val="-9"/>
        </w:rPr>
        <w:t>座办公楼</w:t>
      </w:r>
      <w:r>
        <w:rPr>
          <w:rFonts w:ascii="宋体" w:hAnsi="宋体" w:cs="宋体" w:eastAsia="宋体" w:hint="default"/>
          <w:spacing w:val="-50"/>
        </w:rPr>
        <w:t> </w:t>
      </w:r>
      <w:r>
        <w:rPr>
          <w:rFonts w:ascii="宋体" w:hAnsi="宋体" w:cs="宋体" w:eastAsia="宋体" w:hint="default"/>
        </w:rPr>
        <w:t>8</w:t>
      </w:r>
      <w:r>
        <w:rPr>
          <w:rFonts w:ascii="宋体" w:hAnsi="宋体" w:cs="宋体" w:eastAsia="宋体" w:hint="default"/>
          <w:spacing w:val="-50"/>
        </w:rPr>
        <w:t> </w:t>
      </w:r>
      <w:r>
        <w:rPr>
          <w:rFonts w:ascii="宋体" w:hAnsi="宋体" w:cs="宋体" w:eastAsia="宋体" w:hint="default"/>
        </w:rPr>
        <w:t>层</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签字会计师姓名：罗科、谭亚红</w:t>
      </w:r>
    </w:p>
    <w:p>
      <w:pPr>
        <w:spacing w:line="290" w:lineRule="auto" w:before="123"/>
        <w:ind w:left="2777" w:right="4267" w:firstLine="0"/>
        <w:jc w:val="left"/>
        <w:rPr>
          <w:rFonts w:ascii="宋体" w:hAnsi="宋体" w:cs="宋体" w:eastAsia="宋体" w:hint="default"/>
          <w:sz w:val="18"/>
          <w:szCs w:val="18"/>
        </w:rPr>
      </w:pPr>
      <w:r>
        <w:rPr>
          <w:rFonts w:ascii="宋体" w:hAnsi="宋体" w:cs="宋体" w:eastAsia="宋体" w:hint="default"/>
          <w:sz w:val="17"/>
          <w:szCs w:val="17"/>
        </w:rPr>
        <w:t>报告期内履行持续督导职责的保荐机构 </w:t>
      </w:r>
      <w:r>
        <w:rPr>
          <w:rFonts w:ascii="宋体" w:hAnsi="宋体" w:cs="宋体" w:eastAsia="宋体" w:hint="default"/>
          <w:sz w:val="18"/>
          <w:szCs w:val="18"/>
        </w:rPr>
        <w:t>名称：中国国际金融股份有限公司 </w:t>
      </w:r>
      <w:r>
        <w:rPr>
          <w:rFonts w:ascii="宋体" w:hAnsi="宋体" w:cs="宋体" w:eastAsia="宋体" w:hint="default"/>
          <w:spacing w:val="-7"/>
          <w:sz w:val="18"/>
          <w:szCs w:val="18"/>
        </w:rPr>
        <w:t>办公地址：北京市建国门外大街</w:t>
      </w:r>
      <w:r>
        <w:rPr>
          <w:rFonts w:ascii="宋体" w:hAnsi="宋体" w:cs="宋体" w:eastAsia="宋体" w:hint="default"/>
          <w:spacing w:val="-48"/>
          <w:sz w:val="18"/>
          <w:szCs w:val="18"/>
        </w:rPr>
        <w:t> </w:t>
      </w:r>
      <w:r>
        <w:rPr>
          <w:rFonts w:ascii="宋体" w:hAnsi="宋体" w:cs="宋体" w:eastAsia="宋体" w:hint="default"/>
          <w:sz w:val="18"/>
          <w:szCs w:val="18"/>
        </w:rPr>
        <w:t>1</w:t>
      </w:r>
      <w:r>
        <w:rPr>
          <w:rFonts w:ascii="宋体" w:hAnsi="宋体" w:cs="宋体" w:eastAsia="宋体" w:hint="default"/>
          <w:spacing w:val="-48"/>
          <w:sz w:val="18"/>
          <w:szCs w:val="18"/>
        </w:rPr>
        <w:t> </w:t>
      </w:r>
      <w:r>
        <w:rPr>
          <w:rFonts w:ascii="宋体" w:hAnsi="宋体" w:cs="宋体" w:eastAsia="宋体" w:hint="default"/>
          <w:spacing w:val="-9"/>
          <w:sz w:val="18"/>
          <w:szCs w:val="18"/>
        </w:rPr>
        <w:t>号国贸大厦</w:t>
      </w:r>
      <w:r>
        <w:rPr>
          <w:rFonts w:ascii="宋体" w:hAnsi="宋体" w:cs="宋体" w:eastAsia="宋体" w:hint="default"/>
          <w:spacing w:val="-48"/>
          <w:sz w:val="18"/>
          <w:szCs w:val="18"/>
        </w:rPr>
        <w:t> </w:t>
      </w:r>
      <w:r>
        <w:rPr>
          <w:rFonts w:ascii="宋体" w:hAnsi="宋体" w:cs="宋体" w:eastAsia="宋体" w:hint="default"/>
          <w:sz w:val="18"/>
          <w:szCs w:val="18"/>
        </w:rPr>
        <w:t>2</w:t>
      </w:r>
      <w:r>
        <w:rPr>
          <w:rFonts w:ascii="宋体" w:hAnsi="宋体" w:cs="宋体" w:eastAsia="宋体" w:hint="default"/>
          <w:spacing w:val="-48"/>
          <w:sz w:val="18"/>
          <w:szCs w:val="18"/>
        </w:rPr>
        <w:t> </w:t>
      </w:r>
      <w:r>
        <w:rPr>
          <w:rFonts w:ascii="宋体" w:hAnsi="宋体" w:cs="宋体" w:eastAsia="宋体" w:hint="default"/>
          <w:sz w:val="18"/>
          <w:szCs w:val="18"/>
        </w:rPr>
        <w:t>座</w:t>
      </w:r>
      <w:r>
        <w:rPr>
          <w:rFonts w:ascii="宋体" w:hAnsi="宋体" w:cs="宋体" w:eastAsia="宋体" w:hint="default"/>
          <w:spacing w:val="-48"/>
          <w:sz w:val="18"/>
          <w:szCs w:val="18"/>
        </w:rPr>
        <w:t> </w:t>
      </w:r>
      <w:r>
        <w:rPr>
          <w:rFonts w:ascii="宋体" w:hAnsi="宋体" w:cs="宋体" w:eastAsia="宋体" w:hint="default"/>
          <w:spacing w:val="-5"/>
          <w:sz w:val="18"/>
          <w:szCs w:val="18"/>
        </w:rPr>
        <w:t>27</w:t>
      </w:r>
      <w:r>
        <w:rPr>
          <w:rFonts w:ascii="宋体" w:hAnsi="宋体" w:cs="宋体" w:eastAsia="宋体" w:hint="default"/>
          <w:spacing w:val="-48"/>
          <w:sz w:val="18"/>
          <w:szCs w:val="18"/>
        </w:rPr>
        <w:t> </w:t>
      </w:r>
      <w:r>
        <w:rPr>
          <w:rFonts w:ascii="宋体" w:hAnsi="宋体" w:cs="宋体" w:eastAsia="宋体" w:hint="default"/>
          <w:spacing w:val="-6"/>
          <w:sz w:val="18"/>
          <w:szCs w:val="18"/>
        </w:rPr>
        <w:t>层及</w:t>
      </w:r>
      <w:r>
        <w:rPr>
          <w:rFonts w:ascii="宋体" w:hAnsi="宋体" w:cs="宋体" w:eastAsia="宋体" w:hint="default"/>
          <w:spacing w:val="-48"/>
          <w:sz w:val="18"/>
          <w:szCs w:val="18"/>
        </w:rPr>
        <w:t> </w:t>
      </w:r>
      <w:r>
        <w:rPr>
          <w:rFonts w:ascii="宋体" w:hAnsi="宋体" w:cs="宋体" w:eastAsia="宋体" w:hint="default"/>
          <w:spacing w:val="-5"/>
          <w:sz w:val="18"/>
          <w:szCs w:val="18"/>
        </w:rPr>
        <w:t>28</w:t>
      </w:r>
      <w:r>
        <w:rPr>
          <w:rFonts w:ascii="宋体" w:hAnsi="宋体" w:cs="宋体" w:eastAsia="宋体" w:hint="default"/>
          <w:spacing w:val="-48"/>
          <w:sz w:val="18"/>
          <w:szCs w:val="18"/>
        </w:rPr>
        <w:t> </w:t>
      </w:r>
      <w:r>
        <w:rPr>
          <w:rFonts w:ascii="宋体" w:hAnsi="宋体" w:cs="宋体" w:eastAsia="宋体" w:hint="default"/>
          <w:sz w:val="18"/>
          <w:szCs w:val="18"/>
        </w:rPr>
        <w:t>层</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签字的保荐代表人姓名：郭允、陈洁</w:t>
      </w:r>
    </w:p>
    <w:p>
      <w:pPr>
        <w:pStyle w:val="BodyText"/>
        <w:spacing w:line="240" w:lineRule="auto" w:before="6"/>
        <w:ind w:left="2777" w:right="764"/>
        <w:jc w:val="left"/>
        <w:rPr>
          <w:rFonts w:ascii="宋体" w:hAnsi="宋体" w:cs="宋体" w:eastAsia="宋体" w:hint="default"/>
        </w:rPr>
      </w:pPr>
      <w:r>
        <w:rPr>
          <w:rFonts w:ascii="宋体" w:hAnsi="宋体" w:cs="宋体" w:eastAsia="宋体" w:hint="default"/>
          <w:spacing w:val="-3"/>
          <w:w w:val="105"/>
        </w:rPr>
        <w:t>持续督导的期间：2017</w:t>
      </w:r>
      <w:r>
        <w:rPr>
          <w:rFonts w:ascii="宋体" w:hAnsi="宋体" w:cs="宋体" w:eastAsia="宋体" w:hint="default"/>
          <w:spacing w:val="-65"/>
          <w:w w:val="105"/>
        </w:rPr>
        <w:t> </w:t>
      </w:r>
      <w:r>
        <w:rPr>
          <w:rFonts w:ascii="宋体" w:hAnsi="宋体" w:cs="宋体" w:eastAsia="宋体" w:hint="default"/>
          <w:w w:val="105"/>
        </w:rPr>
        <w:t>年</w:t>
      </w:r>
      <w:r>
        <w:rPr>
          <w:rFonts w:ascii="宋体" w:hAnsi="宋体" w:cs="宋体" w:eastAsia="宋体" w:hint="default"/>
          <w:spacing w:val="-65"/>
          <w:w w:val="105"/>
        </w:rPr>
        <w:t> </w:t>
      </w:r>
      <w:r>
        <w:rPr>
          <w:rFonts w:ascii="宋体" w:hAnsi="宋体" w:cs="宋体" w:eastAsia="宋体" w:hint="default"/>
          <w:spacing w:val="-5"/>
          <w:w w:val="105"/>
        </w:rPr>
        <w:t>10</w:t>
      </w:r>
      <w:r>
        <w:rPr>
          <w:rFonts w:ascii="宋体" w:hAnsi="宋体" w:cs="宋体" w:eastAsia="宋体" w:hint="default"/>
          <w:spacing w:val="-65"/>
          <w:w w:val="105"/>
        </w:rPr>
        <w:t> </w:t>
      </w:r>
      <w:r>
        <w:rPr>
          <w:rFonts w:ascii="宋体" w:hAnsi="宋体" w:cs="宋体" w:eastAsia="宋体" w:hint="default"/>
          <w:w w:val="105"/>
        </w:rPr>
        <w:t>月</w:t>
      </w:r>
      <w:r>
        <w:rPr>
          <w:rFonts w:ascii="宋体" w:hAnsi="宋体" w:cs="宋体" w:eastAsia="宋体" w:hint="default"/>
          <w:spacing w:val="-65"/>
          <w:w w:val="105"/>
        </w:rPr>
        <w:t> </w:t>
      </w:r>
      <w:r>
        <w:rPr>
          <w:rFonts w:ascii="宋体" w:hAnsi="宋体" w:cs="宋体" w:eastAsia="宋体" w:hint="default"/>
          <w:spacing w:val="-5"/>
          <w:w w:val="105"/>
        </w:rPr>
        <w:t>31</w:t>
      </w:r>
      <w:r>
        <w:rPr>
          <w:rFonts w:ascii="宋体" w:hAnsi="宋体" w:cs="宋体" w:eastAsia="宋体" w:hint="default"/>
          <w:spacing w:val="-65"/>
          <w:w w:val="105"/>
        </w:rPr>
        <w:t> </w:t>
      </w:r>
      <w:r>
        <w:rPr>
          <w:rFonts w:ascii="宋体" w:hAnsi="宋体" w:cs="宋体" w:eastAsia="宋体" w:hint="default"/>
          <w:spacing w:val="-6"/>
          <w:w w:val="105"/>
        </w:rPr>
        <w:t>日至</w:t>
      </w:r>
      <w:r>
        <w:rPr>
          <w:rFonts w:ascii="宋体" w:hAnsi="宋体" w:cs="宋体" w:eastAsia="宋体" w:hint="default"/>
          <w:spacing w:val="-65"/>
          <w:w w:val="105"/>
        </w:rPr>
        <w:t> </w:t>
      </w:r>
      <w:r>
        <w:rPr>
          <w:rFonts w:ascii="宋体" w:hAnsi="宋体" w:cs="宋体" w:eastAsia="宋体" w:hint="default"/>
          <w:spacing w:val="-8"/>
          <w:w w:val="105"/>
        </w:rPr>
        <w:t>2018</w:t>
      </w:r>
      <w:r>
        <w:rPr>
          <w:rFonts w:ascii="宋体" w:hAnsi="宋体" w:cs="宋体" w:eastAsia="宋体" w:hint="default"/>
          <w:spacing w:val="-65"/>
          <w:w w:val="105"/>
        </w:rPr>
        <w:t> </w:t>
      </w:r>
      <w:r>
        <w:rPr>
          <w:rFonts w:ascii="宋体" w:hAnsi="宋体" w:cs="宋体" w:eastAsia="宋体" w:hint="default"/>
          <w:w w:val="105"/>
        </w:rPr>
        <w:t>年</w:t>
      </w:r>
      <w:r>
        <w:rPr>
          <w:rFonts w:ascii="宋体" w:hAnsi="宋体" w:cs="宋体" w:eastAsia="宋体" w:hint="default"/>
          <w:spacing w:val="-65"/>
          <w:w w:val="105"/>
        </w:rPr>
        <w:t> </w:t>
      </w:r>
      <w:r>
        <w:rPr>
          <w:rFonts w:ascii="宋体" w:hAnsi="宋体" w:cs="宋体" w:eastAsia="宋体" w:hint="default"/>
          <w:spacing w:val="-5"/>
          <w:w w:val="105"/>
        </w:rPr>
        <w:t>12</w:t>
      </w:r>
      <w:r>
        <w:rPr>
          <w:rFonts w:ascii="宋体" w:hAnsi="宋体" w:cs="宋体" w:eastAsia="宋体" w:hint="default"/>
          <w:spacing w:val="-65"/>
          <w:w w:val="105"/>
        </w:rPr>
        <w:t> </w:t>
      </w:r>
      <w:r>
        <w:rPr>
          <w:rFonts w:ascii="宋体" w:hAnsi="宋体" w:cs="宋体" w:eastAsia="宋体" w:hint="default"/>
          <w:w w:val="105"/>
        </w:rPr>
        <w:t>月</w:t>
      </w:r>
      <w:r>
        <w:rPr>
          <w:rFonts w:ascii="宋体" w:hAnsi="宋体" w:cs="宋体" w:eastAsia="宋体" w:hint="default"/>
          <w:spacing w:val="-65"/>
          <w:w w:val="105"/>
        </w:rPr>
        <w:t> </w:t>
      </w:r>
      <w:r>
        <w:rPr>
          <w:rFonts w:ascii="宋体" w:hAnsi="宋体" w:cs="宋体" w:eastAsia="宋体" w:hint="default"/>
          <w:spacing w:val="-5"/>
          <w:w w:val="105"/>
        </w:rPr>
        <w:t>31</w:t>
      </w:r>
      <w:r>
        <w:rPr>
          <w:rFonts w:ascii="宋体" w:hAnsi="宋体" w:cs="宋体" w:eastAsia="宋体" w:hint="default"/>
          <w:spacing w:val="-65"/>
          <w:w w:val="105"/>
        </w:rPr>
        <w:t> </w:t>
      </w:r>
      <w:r>
        <w:rPr>
          <w:rFonts w:ascii="宋体" w:hAnsi="宋体" w:cs="宋体" w:eastAsia="宋体" w:hint="default"/>
          <w:w w:val="105"/>
        </w:rPr>
        <w:t>日</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even" r:id="rId49"/>
          <w:headerReference w:type="default" r:id="rId50"/>
          <w:footerReference w:type="even" r:id="rId51"/>
          <w:pgSz w:w="11910" w:h="16160"/>
          <w:pgMar w:header="0" w:footer="0" w:top="3520" w:bottom="0" w:left="0" w:right="0"/>
        </w:sectPr>
      </w:pPr>
    </w:p>
    <w:p>
      <w:pPr>
        <w:spacing w:line="240" w:lineRule="auto" w:before="4"/>
        <w:rPr>
          <w:rFonts w:ascii="宋体" w:hAnsi="宋体" w:cs="宋体" w:eastAsia="宋体" w:hint="default"/>
          <w:sz w:val="16"/>
          <w:szCs w:val="16"/>
        </w:rPr>
      </w:pPr>
    </w:p>
    <w:p>
      <w:pPr>
        <w:tabs>
          <w:tab w:pos="5599" w:val="left" w:leader="none"/>
        </w:tabs>
        <w:spacing w:before="0"/>
        <w:ind w:left="814" w:right="0" w:firstLine="0"/>
        <w:jc w:val="left"/>
        <w:rPr>
          <w:rFonts w:ascii="宋体" w:hAnsi="宋体" w:cs="宋体" w:eastAsia="宋体" w:hint="default"/>
          <w:sz w:val="16"/>
          <w:szCs w:val="16"/>
        </w:rPr>
      </w:pPr>
      <w:r>
        <w:rPr>
          <w:rFonts w:ascii="Arial" w:hAnsi="Arial" w:cs="Arial" w:eastAsia="Arial" w:hint="default"/>
          <w:b/>
          <w:bCs/>
          <w:color w:val="9C8758"/>
          <w:spacing w:val="-1"/>
          <w:position w:val="2"/>
          <w:sz w:val="16"/>
          <w:szCs w:val="16"/>
        </w:rPr>
        <w:t>14</w:t>
        <w:tab/>
      </w:r>
      <w:r>
        <w:rPr>
          <w:rFonts w:ascii="宋体" w:hAnsi="宋体" w:cs="宋体" w:eastAsia="宋体" w:hint="default"/>
          <w:color w:val="595757"/>
          <w:spacing w:val="25"/>
          <w:sz w:val="16"/>
          <w:szCs w:val="16"/>
        </w:rPr>
        <w:t>公司简介和主要财务指标</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line="240" w:lineRule="auto" w:before="11"/>
        <w:rPr>
          <w:rFonts w:ascii="宋体" w:hAnsi="宋体" w:cs="宋体" w:eastAsia="宋体" w:hint="default"/>
          <w:sz w:val="16"/>
          <w:szCs w:val="16"/>
        </w:rPr>
      </w:pPr>
      <w:r>
        <w:rPr/>
        <w:br w:type="column"/>
      </w:r>
      <w:r>
        <w:rPr>
          <w:rFonts w:ascii="宋体"/>
          <w:sz w:val="16"/>
        </w:rPr>
      </w:r>
    </w:p>
    <w:p>
      <w:pPr>
        <w:spacing w:before="0"/>
        <w:ind w:left="266"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0"/>
          <w:cols w:num="2" w:equalWidth="0">
            <w:col w:w="7677" w:space="40"/>
            <w:col w:w="4193"/>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tbl>
      <w:tblPr>
        <w:tblW w:w="0" w:type="auto"/>
        <w:jc w:val="left"/>
        <w:tblInd w:w="1382" w:type="dxa"/>
        <w:tblLayout w:type="fixed"/>
        <w:tblCellMar>
          <w:top w:w="0" w:type="dxa"/>
          <w:left w:w="0" w:type="dxa"/>
          <w:bottom w:w="0" w:type="dxa"/>
          <w:right w:w="0" w:type="dxa"/>
        </w:tblCellMar>
        <w:tblLook w:val="01E0"/>
      </w:tblPr>
      <w:tblGrid>
        <w:gridCol w:w="2951"/>
        <w:gridCol w:w="1458"/>
        <w:gridCol w:w="1700"/>
        <w:gridCol w:w="2109"/>
        <w:gridCol w:w="1455"/>
      </w:tblGrid>
      <w:tr>
        <w:trPr>
          <w:trHeight w:val="764"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color w:val="D7000F"/>
                <w:sz w:val="18"/>
                <w:szCs w:val="18"/>
              </w:rPr>
              <w:t>七、近三年主要会计数据和财务指标</w:t>
            </w:r>
            <w:r>
              <w:rPr>
                <w:rFonts w:ascii="宋体" w:hAnsi="宋体" w:cs="宋体" w:eastAsia="宋体" w:hint="default"/>
                <w:sz w:val="18"/>
                <w:szCs w:val="18"/>
              </w:rPr>
            </w:r>
          </w:p>
          <w:p>
            <w:pPr>
              <w:pStyle w:val="TableParagraph"/>
              <w:spacing w:line="240" w:lineRule="auto" w:before="2"/>
              <w:ind w:right="0"/>
              <w:jc w:val="left"/>
              <w:rPr>
                <w:rFonts w:ascii="宋体" w:hAnsi="宋体" w:cs="宋体" w:eastAsia="宋体" w:hint="default"/>
                <w:sz w:val="18"/>
                <w:szCs w:val="18"/>
              </w:rPr>
            </w:pPr>
          </w:p>
          <w:p>
            <w:pPr>
              <w:pStyle w:val="TableParagraph"/>
              <w:spacing w:line="240" w:lineRule="auto"/>
              <w:ind w:left="35" w:right="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主要会计数据</w:t>
            </w:r>
          </w:p>
        </w:tc>
        <w:tc>
          <w:tcPr>
            <w:tcW w:w="6722" w:type="dxa"/>
            <w:gridSpan w:val="4"/>
            <w:tcBorders>
              <w:top w:val="nil" w:sz="6" w:space="0" w:color="auto"/>
              <w:left w:val="nil" w:sz="6" w:space="0" w:color="auto"/>
              <w:bottom w:val="nil" w:sz="6" w:space="0" w:color="auto"/>
              <w:right w:val="nil" w:sz="6" w:space="0" w:color="auto"/>
            </w:tcBorders>
          </w:tcPr>
          <w:p>
            <w:pPr/>
          </w:p>
        </w:tc>
      </w:tr>
      <w:tr>
        <w:trPr>
          <w:trHeight w:val="204" w:hRule="exact"/>
        </w:trPr>
        <w:tc>
          <w:tcPr>
            <w:tcW w:w="2951"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c>
          <w:tcPr>
            <w:tcW w:w="1700" w:type="dxa"/>
            <w:tcBorders>
              <w:top w:val="nil" w:sz="6" w:space="0" w:color="auto"/>
              <w:left w:val="nil" w:sz="6" w:space="0" w:color="auto"/>
              <w:bottom w:val="nil" w:sz="6" w:space="0" w:color="auto"/>
              <w:right w:val="nil" w:sz="6" w:space="0" w:color="auto"/>
            </w:tcBorders>
          </w:tcPr>
          <w:p>
            <w:pPr/>
          </w:p>
        </w:tc>
        <w:tc>
          <w:tcPr>
            <w:tcW w:w="2109" w:type="dxa"/>
            <w:tcBorders>
              <w:top w:val="nil" w:sz="6" w:space="0" w:color="auto"/>
              <w:left w:val="nil" w:sz="6" w:space="0" w:color="auto"/>
              <w:bottom w:val="nil" w:sz="6" w:space="0" w:color="auto"/>
              <w:right w:val="nil" w:sz="6" w:space="0" w:color="auto"/>
            </w:tcBorders>
          </w:tcPr>
          <w:p>
            <w:pPr/>
          </w:p>
        </w:tc>
        <w:tc>
          <w:tcPr>
            <w:tcW w:w="1455" w:type="dxa"/>
            <w:tcBorders>
              <w:top w:val="nil" w:sz="6" w:space="0" w:color="auto"/>
              <w:left w:val="nil" w:sz="6" w:space="0" w:color="auto"/>
              <w:bottom w:val="nil" w:sz="6" w:space="0" w:color="auto"/>
              <w:right w:val="nil" w:sz="6" w:space="0" w:color="auto"/>
            </w:tcBorders>
          </w:tcPr>
          <w:p>
            <w:pPr>
              <w:pStyle w:val="TableParagraph"/>
              <w:spacing w:line="136" w:lineRule="exact"/>
              <w:ind w:right="83"/>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tc>
      </w:tr>
      <w:tr>
        <w:trPr>
          <w:trHeight w:val="333" w:hRule="exact"/>
        </w:trPr>
        <w:tc>
          <w:tcPr>
            <w:tcW w:w="2951" w:type="dxa"/>
            <w:tcBorders>
              <w:top w:val="nil" w:sz="6" w:space="0" w:color="auto"/>
              <w:left w:val="nil" w:sz="6" w:space="0" w:color="auto"/>
              <w:bottom w:val="single" w:sz="8" w:space="0" w:color="D7000F"/>
              <w:right w:val="nil" w:sz="6" w:space="0" w:color="auto"/>
            </w:tcBorders>
          </w:tcPr>
          <w:p>
            <w:pPr/>
          </w:p>
        </w:tc>
        <w:tc>
          <w:tcPr>
            <w:tcW w:w="1458" w:type="dxa"/>
            <w:tcBorders>
              <w:top w:val="nil" w:sz="6" w:space="0" w:color="auto"/>
              <w:left w:val="nil" w:sz="6" w:space="0" w:color="auto"/>
              <w:bottom w:val="single" w:sz="8" w:space="0" w:color="9C8758"/>
              <w:right w:val="nil" w:sz="6" w:space="0" w:color="auto"/>
            </w:tcBorders>
          </w:tcPr>
          <w:p>
            <w:pPr>
              <w:pStyle w:val="TableParagraph"/>
              <w:spacing w:line="240" w:lineRule="auto"/>
              <w:ind w:right="221"/>
              <w:jc w:val="right"/>
              <w:rPr>
                <w:rFonts w:ascii="宋体" w:hAnsi="宋体" w:cs="宋体" w:eastAsia="宋体" w:hint="default"/>
                <w:sz w:val="16"/>
                <w:szCs w:val="16"/>
              </w:rPr>
            </w:pPr>
            <w:r>
              <w:rPr>
                <w:rFonts w:ascii="宋体" w:hAnsi="宋体" w:cs="宋体" w:eastAsia="宋体" w:hint="default"/>
                <w:color w:val="D7000F"/>
                <w:w w:val="110"/>
                <w:sz w:val="16"/>
                <w:szCs w:val="16"/>
              </w:rPr>
              <w:t>2018</w:t>
            </w:r>
            <w:r>
              <w:rPr>
                <w:rFonts w:ascii="宋体" w:hAnsi="宋体" w:cs="宋体" w:eastAsia="宋体" w:hint="default"/>
                <w:color w:val="D7000F"/>
                <w:spacing w:val="-62"/>
                <w:w w:val="110"/>
                <w:sz w:val="16"/>
                <w:szCs w:val="16"/>
              </w:rPr>
              <w:t> </w:t>
            </w:r>
            <w:r>
              <w:rPr>
                <w:rFonts w:ascii="宋体" w:hAnsi="宋体" w:cs="宋体" w:eastAsia="宋体" w:hint="default"/>
                <w:color w:val="D7000F"/>
                <w:w w:val="110"/>
                <w:sz w:val="16"/>
                <w:szCs w:val="16"/>
              </w:rPr>
              <w:t>年</w:t>
            </w:r>
            <w:r>
              <w:rPr>
                <w:rFonts w:ascii="宋体" w:hAnsi="宋体" w:cs="宋体" w:eastAsia="宋体" w:hint="default"/>
                <w:w w:val="110"/>
                <w:sz w:val="16"/>
                <w:szCs w:val="16"/>
              </w:rPr>
            </w:r>
          </w:p>
        </w:tc>
        <w:tc>
          <w:tcPr>
            <w:tcW w:w="1700" w:type="dxa"/>
            <w:tcBorders>
              <w:top w:val="nil" w:sz="6" w:space="0" w:color="auto"/>
              <w:left w:val="nil" w:sz="6" w:space="0" w:color="auto"/>
              <w:bottom w:val="single" w:sz="8" w:space="0" w:color="9C8758"/>
              <w:right w:val="nil" w:sz="6" w:space="0" w:color="auto"/>
            </w:tcBorders>
          </w:tcPr>
          <w:p>
            <w:pPr>
              <w:pStyle w:val="TableParagraph"/>
              <w:spacing w:line="240" w:lineRule="auto"/>
              <w:ind w:right="276"/>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109" w:type="dxa"/>
            <w:tcBorders>
              <w:top w:val="nil" w:sz="6" w:space="0" w:color="auto"/>
              <w:left w:val="nil" w:sz="6" w:space="0" w:color="auto"/>
              <w:bottom w:val="single" w:sz="8" w:space="0" w:color="9C8758"/>
              <w:right w:val="nil" w:sz="6" w:space="0" w:color="auto"/>
            </w:tcBorders>
          </w:tcPr>
          <w:p>
            <w:pPr>
              <w:pStyle w:val="TableParagraph"/>
              <w:spacing w:line="240" w:lineRule="auto"/>
              <w:ind w:right="101"/>
              <w:jc w:val="right"/>
              <w:rPr>
                <w:rFonts w:ascii="宋体" w:hAnsi="宋体" w:cs="宋体" w:eastAsia="宋体" w:hint="default"/>
                <w:sz w:val="16"/>
                <w:szCs w:val="16"/>
              </w:rPr>
            </w:pPr>
            <w:r>
              <w:rPr>
                <w:rFonts w:ascii="宋体" w:hAnsi="宋体" w:cs="宋体" w:eastAsia="宋体" w:hint="default"/>
                <w:sz w:val="16"/>
                <w:szCs w:val="16"/>
              </w:rPr>
              <w:t>本期比上年同期增减</w:t>
            </w:r>
            <w:r>
              <w:rPr>
                <w:rFonts w:ascii="宋体" w:hAnsi="宋体" w:cs="宋体" w:eastAsia="宋体" w:hint="default"/>
                <w:spacing w:val="-34"/>
                <w:sz w:val="16"/>
                <w:szCs w:val="16"/>
              </w:rPr>
              <w:t> </w:t>
            </w:r>
            <w:r>
              <w:rPr>
                <w:rFonts w:ascii="宋体" w:hAnsi="宋体" w:cs="宋体" w:eastAsia="宋体" w:hint="default"/>
                <w:sz w:val="16"/>
                <w:szCs w:val="16"/>
              </w:rPr>
              <w:t>(%)</w:t>
            </w:r>
          </w:p>
        </w:tc>
        <w:tc>
          <w:tcPr>
            <w:tcW w:w="1455" w:type="dxa"/>
            <w:tcBorders>
              <w:top w:val="nil" w:sz="6" w:space="0" w:color="auto"/>
              <w:left w:val="nil" w:sz="6" w:space="0" w:color="auto"/>
              <w:bottom w:val="single" w:sz="8" w:space="0" w:color="9C8758"/>
              <w:right w:val="nil" w:sz="6" w:space="0" w:color="auto"/>
            </w:tcBorders>
          </w:tcPr>
          <w:p>
            <w:pPr>
              <w:pStyle w:val="TableParagraph"/>
              <w:spacing w:line="240" w:lineRule="auto"/>
              <w:ind w:right="82"/>
              <w:jc w:val="right"/>
              <w:rPr>
                <w:rFonts w:ascii="宋体" w:hAnsi="宋体" w:cs="宋体" w:eastAsia="宋体" w:hint="default"/>
                <w:sz w:val="16"/>
                <w:szCs w:val="16"/>
              </w:rPr>
            </w:pPr>
            <w:r>
              <w:rPr>
                <w:rFonts w:ascii="宋体" w:hAnsi="宋体" w:cs="宋体" w:eastAsia="宋体" w:hint="default"/>
                <w:w w:val="110"/>
                <w:sz w:val="16"/>
                <w:szCs w:val="16"/>
              </w:rPr>
              <w:t>2016</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0" w:hRule="exact"/>
        </w:trPr>
        <w:tc>
          <w:tcPr>
            <w:tcW w:w="2951" w:type="dxa"/>
            <w:tcBorders>
              <w:top w:val="single" w:sz="8" w:space="0" w:color="D7000F"/>
              <w:left w:val="nil" w:sz="6" w:space="0" w:color="auto"/>
              <w:bottom w:val="nil" w:sz="6" w:space="0" w:color="auto"/>
              <w:right w:val="nil" w:sz="6" w:space="0" w:color="auto"/>
            </w:tcBorders>
          </w:tcPr>
          <w:p>
            <w:pPr>
              <w:pStyle w:val="TableParagraph"/>
              <w:spacing w:line="240" w:lineRule="auto" w:before="72"/>
              <w:ind w:left="460" w:right="0"/>
              <w:jc w:val="left"/>
              <w:rPr>
                <w:rFonts w:ascii="宋体" w:hAnsi="宋体" w:cs="宋体" w:eastAsia="宋体" w:hint="default"/>
                <w:sz w:val="16"/>
                <w:szCs w:val="16"/>
              </w:rPr>
            </w:pPr>
            <w:r>
              <w:rPr>
                <w:rFonts w:ascii="宋体" w:hAnsi="宋体" w:cs="宋体" w:eastAsia="宋体" w:hint="default"/>
                <w:sz w:val="16"/>
                <w:szCs w:val="16"/>
              </w:rPr>
              <w:t>营业收入</w:t>
            </w:r>
          </w:p>
        </w:tc>
        <w:tc>
          <w:tcPr>
            <w:tcW w:w="1458"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220"/>
              <w:jc w:val="right"/>
              <w:rPr>
                <w:rFonts w:ascii="宋体" w:hAnsi="宋体" w:cs="宋体" w:eastAsia="宋体" w:hint="default"/>
                <w:sz w:val="16"/>
                <w:szCs w:val="16"/>
              </w:rPr>
            </w:pPr>
            <w:r>
              <w:rPr>
                <w:rFonts w:ascii="宋体"/>
                <w:color w:val="D7000F"/>
                <w:w w:val="95"/>
                <w:sz w:val="16"/>
              </w:rPr>
              <w:t>290,876,776,866</w:t>
            </w:r>
            <w:r>
              <w:rPr>
                <w:rFonts w:ascii="宋体"/>
                <w:sz w:val="16"/>
              </w:rPr>
            </w:r>
          </w:p>
        </w:tc>
        <w:tc>
          <w:tcPr>
            <w:tcW w:w="1700"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276"/>
              <w:jc w:val="right"/>
              <w:rPr>
                <w:rFonts w:ascii="宋体" w:hAnsi="宋体" w:cs="宋体" w:eastAsia="宋体" w:hint="default"/>
                <w:sz w:val="16"/>
                <w:szCs w:val="16"/>
              </w:rPr>
            </w:pPr>
            <w:r>
              <w:rPr>
                <w:rFonts w:ascii="宋体"/>
                <w:w w:val="95"/>
                <w:sz w:val="16"/>
              </w:rPr>
              <w:t>274,828,946,271</w:t>
            </w:r>
            <w:r>
              <w:rPr>
                <w:rFonts w:ascii="宋体"/>
                <w:sz w:val="16"/>
              </w:rPr>
            </w:r>
          </w:p>
        </w:tc>
        <w:tc>
          <w:tcPr>
            <w:tcW w:w="2109"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101"/>
              <w:jc w:val="right"/>
              <w:rPr>
                <w:rFonts w:ascii="宋体" w:hAnsi="宋体" w:cs="宋体" w:eastAsia="宋体" w:hint="default"/>
                <w:sz w:val="16"/>
                <w:szCs w:val="16"/>
              </w:rPr>
            </w:pPr>
            <w:r>
              <w:rPr>
                <w:rFonts w:ascii="宋体"/>
                <w:w w:val="90"/>
                <w:sz w:val="16"/>
              </w:rPr>
              <w:t>5.8</w:t>
            </w:r>
            <w:r>
              <w:rPr>
                <w:rFonts w:ascii="宋体"/>
                <w:sz w:val="16"/>
              </w:rPr>
            </w:r>
          </w:p>
        </w:tc>
        <w:tc>
          <w:tcPr>
            <w:tcW w:w="1455"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82"/>
              <w:jc w:val="right"/>
              <w:rPr>
                <w:rFonts w:ascii="宋体" w:hAnsi="宋体" w:cs="宋体" w:eastAsia="宋体" w:hint="default"/>
                <w:sz w:val="16"/>
                <w:szCs w:val="16"/>
              </w:rPr>
            </w:pPr>
            <w:r>
              <w:rPr>
                <w:rFonts w:ascii="宋体"/>
                <w:w w:val="95"/>
                <w:sz w:val="16"/>
              </w:rPr>
              <w:t>274,196,782,481</w:t>
            </w:r>
            <w:r>
              <w:rPr>
                <w:rFonts w:ascii="宋体"/>
                <w:sz w:val="16"/>
              </w:rPr>
            </w:r>
          </w:p>
        </w:tc>
      </w:tr>
      <w:tr>
        <w:trPr>
          <w:trHeight w:val="273"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其中：主营业务收入</w:t>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220"/>
              <w:jc w:val="right"/>
              <w:rPr>
                <w:rFonts w:ascii="宋体" w:hAnsi="宋体" w:cs="宋体" w:eastAsia="宋体" w:hint="default"/>
                <w:sz w:val="16"/>
                <w:szCs w:val="16"/>
              </w:rPr>
            </w:pPr>
            <w:r>
              <w:rPr>
                <w:rFonts w:ascii="宋体"/>
                <w:color w:val="D7000F"/>
                <w:w w:val="95"/>
                <w:sz w:val="16"/>
              </w:rPr>
              <w:t>263,682,588,116</w:t>
            </w:r>
            <w:r>
              <w:rPr>
                <w:rFonts w:ascii="宋体"/>
                <w:sz w:val="16"/>
              </w:rPr>
            </w:r>
          </w:p>
        </w:tc>
        <w:tc>
          <w:tcPr>
            <w:tcW w:w="1700" w:type="dxa"/>
            <w:tcBorders>
              <w:top w:val="nil" w:sz="6" w:space="0" w:color="auto"/>
              <w:left w:val="nil" w:sz="6" w:space="0" w:color="auto"/>
              <w:bottom w:val="nil" w:sz="6" w:space="0" w:color="auto"/>
              <w:right w:val="nil" w:sz="6" w:space="0" w:color="auto"/>
            </w:tcBorders>
          </w:tcPr>
          <w:p>
            <w:pPr>
              <w:pStyle w:val="TableParagraph"/>
              <w:spacing w:line="205" w:lineRule="exact"/>
              <w:ind w:right="276"/>
              <w:jc w:val="right"/>
              <w:rPr>
                <w:rFonts w:ascii="宋体" w:hAnsi="宋体" w:cs="宋体" w:eastAsia="宋体" w:hint="default"/>
                <w:sz w:val="16"/>
                <w:szCs w:val="16"/>
              </w:rPr>
            </w:pPr>
            <w:r>
              <w:rPr>
                <w:rFonts w:ascii="宋体"/>
                <w:w w:val="95"/>
                <w:sz w:val="16"/>
              </w:rPr>
              <w:t>249,015,381,352</w:t>
            </w:r>
            <w:r>
              <w:rPr>
                <w:rFonts w:ascii="宋体"/>
                <w:sz w:val="16"/>
              </w:rPr>
            </w:r>
          </w:p>
        </w:tc>
        <w:tc>
          <w:tcPr>
            <w:tcW w:w="2109" w:type="dxa"/>
            <w:tcBorders>
              <w:top w:val="nil" w:sz="6" w:space="0" w:color="auto"/>
              <w:left w:val="nil" w:sz="6" w:space="0" w:color="auto"/>
              <w:bottom w:val="nil" w:sz="6" w:space="0" w:color="auto"/>
              <w:right w:val="nil" w:sz="6" w:space="0" w:color="auto"/>
            </w:tcBorders>
          </w:tcPr>
          <w:p>
            <w:pPr>
              <w:pStyle w:val="TableParagraph"/>
              <w:spacing w:line="205" w:lineRule="exact"/>
              <w:ind w:right="101"/>
              <w:jc w:val="right"/>
              <w:rPr>
                <w:rFonts w:ascii="宋体" w:hAnsi="宋体" w:cs="宋体" w:eastAsia="宋体" w:hint="default"/>
                <w:sz w:val="16"/>
                <w:szCs w:val="16"/>
              </w:rPr>
            </w:pPr>
            <w:r>
              <w:rPr>
                <w:rFonts w:ascii="宋体"/>
                <w:w w:val="90"/>
                <w:sz w:val="16"/>
              </w:rPr>
              <w:t>5.9</w:t>
            </w:r>
            <w:r>
              <w:rPr>
                <w:rFonts w:ascii="宋体"/>
                <w:sz w:val="16"/>
              </w:rPr>
            </w:r>
          </w:p>
        </w:tc>
        <w:tc>
          <w:tcPr>
            <w:tcW w:w="145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238,032,927,397</w:t>
            </w:r>
            <w:r>
              <w:rPr>
                <w:rFonts w:ascii="宋体"/>
                <w:sz w:val="16"/>
              </w:rPr>
            </w:r>
          </w:p>
        </w:tc>
      </w:tr>
      <w:tr>
        <w:trPr>
          <w:trHeight w:val="290" w:hRule="exact"/>
        </w:trPr>
        <w:tc>
          <w:tcPr>
            <w:tcW w:w="295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归属于上市公司股东的净利润</w:t>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220"/>
              <w:jc w:val="right"/>
              <w:rPr>
                <w:rFonts w:ascii="宋体" w:hAnsi="宋体" w:cs="宋体" w:eastAsia="宋体" w:hint="default"/>
                <w:sz w:val="16"/>
                <w:szCs w:val="16"/>
              </w:rPr>
            </w:pPr>
            <w:r>
              <w:rPr>
                <w:rFonts w:ascii="宋体"/>
                <w:color w:val="D7000F"/>
                <w:w w:val="95"/>
                <w:sz w:val="16"/>
              </w:rPr>
              <w:t>4,080,771,727</w:t>
            </w:r>
            <w:r>
              <w:rPr>
                <w:rFonts w:ascii="宋体"/>
                <w:sz w:val="16"/>
              </w:rPr>
            </w:r>
          </w:p>
        </w:tc>
        <w:tc>
          <w:tcPr>
            <w:tcW w:w="1700" w:type="dxa"/>
            <w:tcBorders>
              <w:top w:val="nil" w:sz="6" w:space="0" w:color="auto"/>
              <w:left w:val="nil" w:sz="6" w:space="0" w:color="auto"/>
              <w:bottom w:val="nil" w:sz="6" w:space="0" w:color="auto"/>
              <w:right w:val="nil" w:sz="6" w:space="0" w:color="auto"/>
            </w:tcBorders>
          </w:tcPr>
          <w:p>
            <w:pPr>
              <w:pStyle w:val="TableParagraph"/>
              <w:spacing w:line="205" w:lineRule="exact"/>
              <w:ind w:right="276"/>
              <w:jc w:val="right"/>
              <w:rPr>
                <w:rFonts w:ascii="宋体" w:hAnsi="宋体" w:cs="宋体" w:eastAsia="宋体" w:hint="default"/>
                <w:sz w:val="16"/>
                <w:szCs w:val="16"/>
              </w:rPr>
            </w:pPr>
            <w:r>
              <w:rPr>
                <w:rFonts w:ascii="宋体"/>
                <w:sz w:val="16"/>
              </w:rPr>
              <w:t>425,844,654</w:t>
            </w:r>
          </w:p>
        </w:tc>
        <w:tc>
          <w:tcPr>
            <w:tcW w:w="2109" w:type="dxa"/>
            <w:tcBorders>
              <w:top w:val="nil" w:sz="6" w:space="0" w:color="auto"/>
              <w:left w:val="nil" w:sz="6" w:space="0" w:color="auto"/>
              <w:bottom w:val="nil" w:sz="6" w:space="0" w:color="auto"/>
              <w:right w:val="nil" w:sz="6" w:space="0" w:color="auto"/>
            </w:tcBorders>
          </w:tcPr>
          <w:p>
            <w:pPr>
              <w:pStyle w:val="TableParagraph"/>
              <w:spacing w:line="205" w:lineRule="exact"/>
              <w:ind w:right="101"/>
              <w:jc w:val="right"/>
              <w:rPr>
                <w:rFonts w:ascii="宋体" w:hAnsi="宋体" w:cs="宋体" w:eastAsia="宋体" w:hint="default"/>
                <w:sz w:val="16"/>
                <w:szCs w:val="16"/>
              </w:rPr>
            </w:pPr>
            <w:r>
              <w:rPr>
                <w:rFonts w:ascii="宋体"/>
                <w:w w:val="95"/>
                <w:sz w:val="16"/>
              </w:rPr>
              <w:t>858.3</w:t>
            </w:r>
            <w:r>
              <w:rPr>
                <w:rFonts w:ascii="宋体"/>
                <w:sz w:val="16"/>
              </w:rPr>
            </w:r>
          </w:p>
        </w:tc>
        <w:tc>
          <w:tcPr>
            <w:tcW w:w="145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154,074,131</w:t>
            </w:r>
          </w:p>
        </w:tc>
      </w:tr>
    </w:tbl>
    <w:p>
      <w:pPr>
        <w:spacing w:line="133" w:lineRule="exact" w:before="0"/>
        <w:ind w:left="1842" w:right="764" w:firstLine="0"/>
        <w:jc w:val="left"/>
        <w:rPr>
          <w:rFonts w:ascii="宋体" w:hAnsi="宋体" w:cs="宋体" w:eastAsia="宋体" w:hint="default"/>
          <w:sz w:val="16"/>
          <w:szCs w:val="16"/>
        </w:rPr>
      </w:pPr>
      <w:r>
        <w:rPr>
          <w:rFonts w:ascii="宋体" w:hAnsi="宋体" w:cs="宋体" w:eastAsia="宋体" w:hint="default"/>
          <w:sz w:val="16"/>
          <w:szCs w:val="16"/>
        </w:rPr>
        <w:t>归属于上市公司股东的扣除非</w:t>
      </w:r>
    </w:p>
    <w:p>
      <w:pPr>
        <w:tabs>
          <w:tab w:pos="4547" w:val="left" w:leader="none"/>
          <w:tab w:pos="6324" w:val="left" w:leader="none"/>
          <w:tab w:pos="9096" w:val="left" w:leader="none"/>
          <w:tab w:pos="10066" w:val="left" w:leader="none"/>
        </w:tabs>
        <w:spacing w:line="255" w:lineRule="exact" w:before="0"/>
        <w:ind w:left="1842" w:right="764" w:firstLine="0"/>
        <w:jc w:val="left"/>
        <w:rPr>
          <w:rFonts w:ascii="宋体" w:hAnsi="宋体" w:cs="宋体" w:eastAsia="宋体" w:hint="default"/>
          <w:sz w:val="16"/>
          <w:szCs w:val="16"/>
        </w:rPr>
      </w:pPr>
      <w:r>
        <w:rPr>
          <w:rFonts w:ascii="宋体" w:hAnsi="宋体" w:cs="宋体" w:eastAsia="宋体" w:hint="default"/>
          <w:position w:val="-9"/>
          <w:sz w:val="16"/>
          <w:szCs w:val="16"/>
        </w:rPr>
        <w:t>经常性损益的净利润</w:t>
        <w:tab/>
      </w:r>
      <w:r>
        <w:rPr>
          <w:rFonts w:ascii="宋体" w:hAnsi="宋体" w:cs="宋体" w:eastAsia="宋体" w:hint="default"/>
          <w:color w:val="D7000F"/>
          <w:w w:val="95"/>
          <w:sz w:val="16"/>
          <w:szCs w:val="16"/>
        </w:rPr>
        <w:t>5,027,283,119</w:t>
        <w:tab/>
      </w:r>
      <w:r>
        <w:rPr>
          <w:rFonts w:ascii="宋体" w:hAnsi="宋体" w:cs="宋体" w:eastAsia="宋体" w:hint="default"/>
          <w:sz w:val="16"/>
          <w:szCs w:val="16"/>
        </w:rPr>
        <w:t>992,593,855</w:t>
        <w:tab/>
      </w:r>
      <w:r>
        <w:rPr>
          <w:rFonts w:ascii="宋体" w:hAnsi="宋体" w:cs="宋体" w:eastAsia="宋体" w:hint="default"/>
          <w:w w:val="95"/>
          <w:sz w:val="16"/>
          <w:szCs w:val="16"/>
        </w:rPr>
        <w:t>406.5</w:t>
        <w:tab/>
      </w:r>
      <w:r>
        <w:rPr>
          <w:rFonts w:ascii="宋体" w:hAnsi="宋体" w:cs="宋体" w:eastAsia="宋体" w:hint="default"/>
          <w:sz w:val="16"/>
          <w:szCs w:val="16"/>
        </w:rPr>
        <w:t>-58,226,341</w:t>
      </w:r>
    </w:p>
    <w:p>
      <w:pPr>
        <w:tabs>
          <w:tab w:pos="4458" w:val="left" w:leader="none"/>
          <w:tab w:pos="6102" w:val="left" w:leader="none"/>
          <w:tab w:pos="9274" w:val="left" w:leader="none"/>
          <w:tab w:pos="9860" w:val="left" w:leader="none"/>
        </w:tabs>
        <w:spacing w:before="64"/>
        <w:ind w:left="1842" w:right="764" w:firstLine="0"/>
        <w:jc w:val="left"/>
        <w:rPr>
          <w:rFonts w:ascii="宋体" w:hAnsi="宋体" w:cs="宋体" w:eastAsia="宋体" w:hint="default"/>
          <w:sz w:val="16"/>
          <w:szCs w:val="16"/>
        </w:rPr>
      </w:pPr>
      <w:r>
        <w:rPr>
          <w:rFonts w:ascii="宋体" w:hAnsi="宋体" w:cs="宋体" w:eastAsia="宋体" w:hint="default"/>
          <w:sz w:val="16"/>
          <w:szCs w:val="16"/>
        </w:rPr>
        <w:t>经营活动产生的现金流量净额</w:t>
        <w:tab/>
      </w:r>
      <w:r>
        <w:rPr>
          <w:rFonts w:ascii="宋体" w:hAnsi="宋体" w:cs="宋体" w:eastAsia="宋体" w:hint="default"/>
          <w:color w:val="D7000F"/>
          <w:w w:val="95"/>
          <w:sz w:val="16"/>
          <w:szCs w:val="16"/>
        </w:rPr>
        <w:t>94,829,725,347</w:t>
        <w:tab/>
      </w:r>
      <w:r>
        <w:rPr>
          <w:rFonts w:ascii="宋体" w:hAnsi="宋体" w:cs="宋体" w:eastAsia="宋体" w:hint="default"/>
          <w:w w:val="95"/>
          <w:sz w:val="16"/>
          <w:szCs w:val="16"/>
        </w:rPr>
        <w:t>91,335,372,029</w:t>
        <w:tab/>
      </w:r>
      <w:r>
        <w:rPr>
          <w:rFonts w:ascii="宋体" w:hAnsi="宋体" w:cs="宋体" w:eastAsia="宋体" w:hint="default"/>
          <w:w w:val="90"/>
          <w:sz w:val="16"/>
          <w:szCs w:val="16"/>
        </w:rPr>
        <w:t>3.8</w:t>
        <w:tab/>
      </w:r>
      <w:r>
        <w:rPr>
          <w:rFonts w:ascii="宋体" w:hAnsi="宋体" w:cs="宋体" w:eastAsia="宋体" w:hint="default"/>
          <w:sz w:val="16"/>
          <w:szCs w:val="16"/>
        </w:rPr>
        <w:t>79,525,033,170</w:t>
      </w:r>
    </w:p>
    <w:p>
      <w:pPr>
        <w:spacing w:line="240" w:lineRule="auto" w:before="5"/>
        <w:rPr>
          <w:rFonts w:ascii="宋体" w:hAnsi="宋体" w:cs="宋体" w:eastAsia="宋体" w:hint="default"/>
          <w:sz w:val="9"/>
          <w:szCs w:val="9"/>
        </w:rPr>
      </w:pPr>
    </w:p>
    <w:p>
      <w:pPr>
        <w:spacing w:line="20" w:lineRule="exact"/>
        <w:ind w:left="1752"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2252;height:2" coordorigin="5,5" coordsize="2252,2">
              <v:shape style="position:absolute;left:5;top:5;width:2252;height:2" coordorigin="5,5" coordsize="2252,0" path="m5,5l2256,5e" filled="false" stroked="true" strokeweight=".5pt" strokecolor="#000000">
                <v:path arrowok="t"/>
              </v:shape>
            </v:group>
            <v:group style="position:absolute;left:2256;top:5;width:1645;height:2" coordorigin="2256,5" coordsize="1645,2">
              <v:shape style="position:absolute;left:2256;top:5;width:1645;height:2" coordorigin="2256,5" coordsize="1645,0" path="m2256,5l3900,5e" filled="false" stroked="true" strokeweight=".5pt" strokecolor="#d7000f">
                <v:path arrowok="t"/>
              </v:shape>
            </v:group>
            <v:group style="position:absolute;left:3900;top:5;width:1645;height:2" coordorigin="3900,5" coordsize="1645,2">
              <v:shape style="position:absolute;left:3900;top:5;width:1645;height:2" coordorigin="3900,5" coordsize="1645,0" path="m3900,5l5545,5e" filled="false" stroked="true" strokeweight=".5pt" strokecolor="#000000">
                <v:path arrowok="t"/>
              </v:shape>
            </v:group>
            <v:group style="position:absolute;left:5545;top:5;width:2285;height:2" coordorigin="5545,5" coordsize="2285,2">
              <v:shape style="position:absolute;left:5545;top:5;width:2285;height:2" coordorigin="5545,5" coordsize="2285,0" path="m5545,5l7829,5e" filled="false" stroked="true" strokeweight=".5pt" strokecolor="#000000">
                <v:path arrowok="t"/>
              </v:shape>
            </v:group>
            <v:group style="position:absolute;left:7829;top:5;width:1474;height:2" coordorigin="7829,5" coordsize="1474,2">
              <v:shape style="position:absolute;left:7829;top:5;width:1474;height:2" coordorigin="7829,5" coordsize="1474,0" path="m7829,5l9303,5e" filled="false" stroked="true" strokeweight=".5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2"/>
          <w:szCs w:val="12"/>
        </w:rPr>
      </w:pPr>
    </w:p>
    <w:tbl>
      <w:tblPr>
        <w:tblW w:w="0" w:type="auto"/>
        <w:jc w:val="left"/>
        <w:tblInd w:w="1757" w:type="dxa"/>
        <w:tblLayout w:type="fixed"/>
        <w:tblCellMar>
          <w:top w:w="0" w:type="dxa"/>
          <w:left w:w="0" w:type="dxa"/>
          <w:bottom w:w="0" w:type="dxa"/>
          <w:right w:w="0" w:type="dxa"/>
        </w:tblCellMar>
        <w:tblLook w:val="01E0"/>
      </w:tblPr>
      <w:tblGrid>
        <w:gridCol w:w="2389"/>
        <w:gridCol w:w="1645"/>
        <w:gridCol w:w="1554"/>
        <w:gridCol w:w="2275"/>
        <w:gridCol w:w="1421"/>
      </w:tblGrid>
      <w:tr>
        <w:trPr>
          <w:trHeight w:val="374" w:hRule="exact"/>
        </w:trPr>
        <w:tc>
          <w:tcPr>
            <w:tcW w:w="2389" w:type="dxa"/>
            <w:tcBorders>
              <w:top w:val="nil" w:sz="6" w:space="0" w:color="auto"/>
              <w:left w:val="nil" w:sz="6" w:space="0" w:color="auto"/>
              <w:bottom w:val="single" w:sz="8" w:space="0" w:color="D7000F"/>
              <w:right w:val="nil" w:sz="6" w:space="0" w:color="auto"/>
            </w:tcBorders>
          </w:tcPr>
          <w:p>
            <w:pPr/>
          </w:p>
        </w:tc>
        <w:tc>
          <w:tcPr>
            <w:tcW w:w="1645" w:type="dxa"/>
            <w:tcBorders>
              <w:top w:val="nil" w:sz="6" w:space="0" w:color="auto"/>
              <w:left w:val="nil" w:sz="6" w:space="0" w:color="auto"/>
              <w:bottom w:val="single" w:sz="8" w:space="0" w:color="9C8758"/>
              <w:right w:val="nil" w:sz="6" w:space="0" w:color="auto"/>
            </w:tcBorders>
          </w:tcPr>
          <w:p>
            <w:pPr>
              <w:pStyle w:val="TableParagraph"/>
              <w:spacing w:line="240" w:lineRule="auto" w:before="41"/>
              <w:ind w:right="221"/>
              <w:jc w:val="right"/>
              <w:rPr>
                <w:rFonts w:ascii="宋体" w:hAnsi="宋体" w:cs="宋体" w:eastAsia="宋体" w:hint="default"/>
                <w:sz w:val="16"/>
                <w:szCs w:val="16"/>
              </w:rPr>
            </w:pPr>
            <w:r>
              <w:rPr>
                <w:rFonts w:ascii="宋体" w:hAnsi="宋体" w:cs="宋体" w:eastAsia="宋体" w:hint="default"/>
                <w:color w:val="D7000F"/>
                <w:w w:val="105"/>
                <w:sz w:val="16"/>
                <w:szCs w:val="16"/>
              </w:rPr>
              <w:t>2018</w:t>
            </w:r>
            <w:r>
              <w:rPr>
                <w:rFonts w:ascii="宋体" w:hAnsi="宋体" w:cs="宋体" w:eastAsia="宋体" w:hint="default"/>
                <w:color w:val="D7000F"/>
                <w:spacing w:val="-42"/>
                <w:w w:val="105"/>
                <w:sz w:val="16"/>
                <w:szCs w:val="16"/>
              </w:rPr>
              <w:t> </w:t>
            </w:r>
            <w:r>
              <w:rPr>
                <w:rFonts w:ascii="宋体" w:hAnsi="宋体" w:cs="宋体" w:eastAsia="宋体" w:hint="default"/>
                <w:color w:val="D7000F"/>
                <w:w w:val="105"/>
                <w:sz w:val="16"/>
                <w:szCs w:val="16"/>
              </w:rPr>
              <w:t>年末</w:t>
            </w:r>
            <w:r>
              <w:rPr>
                <w:rFonts w:ascii="宋体" w:hAnsi="宋体" w:cs="宋体" w:eastAsia="宋体" w:hint="default"/>
                <w:w w:val="105"/>
                <w:sz w:val="16"/>
                <w:szCs w:val="16"/>
              </w:rPr>
            </w:r>
          </w:p>
        </w:tc>
        <w:tc>
          <w:tcPr>
            <w:tcW w:w="1554" w:type="dxa"/>
            <w:tcBorders>
              <w:top w:val="nil" w:sz="6" w:space="0" w:color="auto"/>
              <w:left w:val="nil" w:sz="6" w:space="0" w:color="auto"/>
              <w:bottom w:val="single" w:sz="8" w:space="0" w:color="9C8758"/>
              <w:right w:val="nil" w:sz="6" w:space="0" w:color="auto"/>
            </w:tcBorders>
          </w:tcPr>
          <w:p>
            <w:pPr>
              <w:pStyle w:val="TableParagraph"/>
              <w:spacing w:line="240" w:lineRule="auto" w:before="41"/>
              <w:ind w:right="130"/>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2"/>
                <w:w w:val="105"/>
                <w:sz w:val="16"/>
                <w:szCs w:val="16"/>
              </w:rPr>
              <w:t> </w:t>
            </w:r>
            <w:r>
              <w:rPr>
                <w:rFonts w:ascii="宋体" w:hAnsi="宋体" w:cs="宋体" w:eastAsia="宋体" w:hint="default"/>
                <w:w w:val="105"/>
                <w:sz w:val="16"/>
                <w:szCs w:val="16"/>
              </w:rPr>
              <w:t>年末</w:t>
            </w:r>
          </w:p>
        </w:tc>
        <w:tc>
          <w:tcPr>
            <w:tcW w:w="2275" w:type="dxa"/>
            <w:tcBorders>
              <w:top w:val="nil" w:sz="6" w:space="0" w:color="auto"/>
              <w:left w:val="nil" w:sz="6" w:space="0" w:color="auto"/>
              <w:bottom w:val="single" w:sz="8" w:space="0" w:color="9C8758"/>
              <w:right w:val="nil" w:sz="6" w:space="0" w:color="auto"/>
            </w:tcBorders>
          </w:tcPr>
          <w:p>
            <w:pPr>
              <w:pStyle w:val="TableParagraph"/>
              <w:spacing w:line="240" w:lineRule="auto" w:before="41"/>
              <w:ind w:right="138"/>
              <w:jc w:val="right"/>
              <w:rPr>
                <w:rFonts w:ascii="宋体" w:hAnsi="宋体" w:cs="宋体" w:eastAsia="宋体" w:hint="default"/>
                <w:sz w:val="16"/>
                <w:szCs w:val="16"/>
              </w:rPr>
            </w:pPr>
            <w:r>
              <w:rPr>
                <w:rFonts w:ascii="宋体" w:hAnsi="宋体" w:cs="宋体" w:eastAsia="宋体" w:hint="default"/>
                <w:spacing w:val="-4"/>
                <w:sz w:val="16"/>
                <w:szCs w:val="16"/>
              </w:rPr>
              <w:t>本期末比上年同期末增减</w:t>
            </w:r>
            <w:r>
              <w:rPr>
                <w:rFonts w:ascii="宋体" w:hAnsi="宋体" w:cs="宋体" w:eastAsia="宋体" w:hint="default"/>
                <w:spacing w:val="-33"/>
                <w:sz w:val="16"/>
                <w:szCs w:val="16"/>
              </w:rPr>
              <w:t> </w:t>
            </w:r>
            <w:r>
              <w:rPr>
                <w:rFonts w:ascii="宋体" w:hAnsi="宋体" w:cs="宋体" w:eastAsia="宋体" w:hint="default"/>
                <w:spacing w:val="-4"/>
                <w:sz w:val="16"/>
                <w:szCs w:val="16"/>
              </w:rPr>
              <w:t>(%)</w:t>
            </w:r>
            <w:r>
              <w:rPr>
                <w:rFonts w:ascii="宋体" w:hAnsi="宋体" w:cs="宋体" w:eastAsia="宋体" w:hint="default"/>
                <w:sz w:val="16"/>
                <w:szCs w:val="16"/>
              </w:rPr>
            </w:r>
          </w:p>
        </w:tc>
        <w:tc>
          <w:tcPr>
            <w:tcW w:w="1421" w:type="dxa"/>
            <w:tcBorders>
              <w:top w:val="nil" w:sz="6" w:space="0" w:color="auto"/>
              <w:left w:val="nil" w:sz="6" w:space="0" w:color="auto"/>
              <w:bottom w:val="single" w:sz="8" w:space="0" w:color="9C8758"/>
              <w:right w:val="nil" w:sz="6" w:space="0" w:color="auto"/>
            </w:tcBorders>
          </w:tcPr>
          <w:p>
            <w:pPr>
              <w:pStyle w:val="TableParagraph"/>
              <w:spacing w:line="240" w:lineRule="auto" w:before="41"/>
              <w:ind w:right="82"/>
              <w:jc w:val="right"/>
              <w:rPr>
                <w:rFonts w:ascii="宋体" w:hAnsi="宋体" w:cs="宋体" w:eastAsia="宋体" w:hint="default"/>
                <w:sz w:val="16"/>
                <w:szCs w:val="16"/>
              </w:rPr>
            </w:pPr>
            <w:r>
              <w:rPr>
                <w:rFonts w:ascii="宋体" w:hAnsi="宋体" w:cs="宋体" w:eastAsia="宋体" w:hint="default"/>
                <w:w w:val="105"/>
                <w:sz w:val="16"/>
                <w:szCs w:val="16"/>
              </w:rPr>
              <w:t>2016</w:t>
            </w:r>
            <w:r>
              <w:rPr>
                <w:rFonts w:ascii="宋体" w:hAnsi="宋体" w:cs="宋体" w:eastAsia="宋体" w:hint="default"/>
                <w:spacing w:val="-42"/>
                <w:w w:val="105"/>
                <w:sz w:val="16"/>
                <w:szCs w:val="16"/>
              </w:rPr>
              <w:t> </w:t>
            </w:r>
            <w:r>
              <w:rPr>
                <w:rFonts w:ascii="宋体" w:hAnsi="宋体" w:cs="宋体" w:eastAsia="宋体" w:hint="default"/>
                <w:w w:val="105"/>
                <w:sz w:val="16"/>
                <w:szCs w:val="16"/>
              </w:rPr>
              <w:t>年末</w:t>
            </w:r>
          </w:p>
        </w:tc>
      </w:tr>
      <w:tr>
        <w:trPr>
          <w:trHeight w:val="352" w:hRule="exact"/>
        </w:trPr>
        <w:tc>
          <w:tcPr>
            <w:tcW w:w="2389" w:type="dxa"/>
            <w:tcBorders>
              <w:top w:val="single" w:sz="8" w:space="0" w:color="D7000F"/>
              <w:left w:val="nil" w:sz="6" w:space="0" w:color="auto"/>
              <w:bottom w:val="nil" w:sz="6" w:space="0" w:color="auto"/>
              <w:right w:val="nil" w:sz="6" w:space="0" w:color="auto"/>
            </w:tcBorders>
          </w:tcPr>
          <w:p>
            <w:pPr>
              <w:pStyle w:val="TableParagraph"/>
              <w:spacing w:line="240" w:lineRule="auto" w:before="64"/>
              <w:ind w:left="85" w:right="0"/>
              <w:jc w:val="left"/>
              <w:rPr>
                <w:rFonts w:ascii="宋体" w:hAnsi="宋体" w:cs="宋体" w:eastAsia="宋体" w:hint="default"/>
                <w:sz w:val="16"/>
                <w:szCs w:val="16"/>
              </w:rPr>
            </w:pPr>
            <w:r>
              <w:rPr>
                <w:rFonts w:ascii="宋体" w:hAnsi="宋体" w:cs="宋体" w:eastAsia="宋体" w:hint="default"/>
                <w:sz w:val="16"/>
                <w:szCs w:val="16"/>
              </w:rPr>
              <w:t>归属于上市公司股东的净资产</w:t>
            </w:r>
          </w:p>
        </w:tc>
        <w:tc>
          <w:tcPr>
            <w:tcW w:w="1645"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220"/>
              <w:jc w:val="right"/>
              <w:rPr>
                <w:rFonts w:ascii="宋体" w:hAnsi="宋体" w:cs="宋体" w:eastAsia="宋体" w:hint="default"/>
                <w:sz w:val="16"/>
                <w:szCs w:val="16"/>
              </w:rPr>
            </w:pPr>
            <w:r>
              <w:rPr>
                <w:rFonts w:ascii="宋体"/>
                <w:color w:val="D7000F"/>
                <w:w w:val="95"/>
                <w:sz w:val="16"/>
              </w:rPr>
              <w:t>140,144,361,690</w:t>
            </w:r>
            <w:r>
              <w:rPr>
                <w:rFonts w:ascii="宋体"/>
                <w:sz w:val="16"/>
              </w:rPr>
            </w:r>
          </w:p>
        </w:tc>
        <w:tc>
          <w:tcPr>
            <w:tcW w:w="1554"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130"/>
              <w:jc w:val="right"/>
              <w:rPr>
                <w:rFonts w:ascii="宋体" w:hAnsi="宋体" w:cs="宋体" w:eastAsia="宋体" w:hint="default"/>
                <w:sz w:val="16"/>
                <w:szCs w:val="16"/>
              </w:rPr>
            </w:pPr>
            <w:r>
              <w:rPr>
                <w:rFonts w:ascii="宋体"/>
                <w:w w:val="95"/>
                <w:sz w:val="16"/>
              </w:rPr>
              <w:t>135,393,329,128</w:t>
            </w:r>
            <w:r>
              <w:rPr>
                <w:rFonts w:ascii="宋体"/>
                <w:sz w:val="16"/>
              </w:rPr>
            </w:r>
          </w:p>
        </w:tc>
        <w:tc>
          <w:tcPr>
            <w:tcW w:w="2275"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135"/>
              <w:jc w:val="right"/>
              <w:rPr>
                <w:rFonts w:ascii="宋体" w:hAnsi="宋体" w:cs="宋体" w:eastAsia="宋体" w:hint="default"/>
                <w:sz w:val="16"/>
                <w:szCs w:val="16"/>
              </w:rPr>
            </w:pPr>
            <w:r>
              <w:rPr>
                <w:rFonts w:ascii="宋体"/>
                <w:w w:val="90"/>
                <w:sz w:val="16"/>
              </w:rPr>
              <w:t>3.5</w:t>
            </w:r>
            <w:r>
              <w:rPr>
                <w:rFonts w:ascii="宋体"/>
                <w:sz w:val="16"/>
              </w:rPr>
            </w:r>
          </w:p>
        </w:tc>
        <w:tc>
          <w:tcPr>
            <w:tcW w:w="1421"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82"/>
              <w:jc w:val="right"/>
              <w:rPr>
                <w:rFonts w:ascii="宋体" w:hAnsi="宋体" w:cs="宋体" w:eastAsia="宋体" w:hint="default"/>
                <w:sz w:val="16"/>
                <w:szCs w:val="16"/>
              </w:rPr>
            </w:pPr>
            <w:r>
              <w:rPr>
                <w:rFonts w:ascii="宋体"/>
                <w:w w:val="95"/>
                <w:sz w:val="16"/>
              </w:rPr>
              <w:t>77,502,607,249</w:t>
            </w:r>
            <w:r>
              <w:rPr>
                <w:rFonts w:ascii="宋体"/>
                <w:sz w:val="16"/>
              </w:rPr>
            </w:r>
          </w:p>
        </w:tc>
      </w:tr>
      <w:tr>
        <w:trPr>
          <w:trHeight w:val="317" w:hRule="exact"/>
        </w:trPr>
        <w:tc>
          <w:tcPr>
            <w:tcW w:w="2389"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总资产</w:t>
            </w:r>
          </w:p>
        </w:tc>
        <w:tc>
          <w:tcPr>
            <w:tcW w:w="1645" w:type="dxa"/>
            <w:tcBorders>
              <w:top w:val="nil" w:sz="6" w:space="0" w:color="auto"/>
              <w:left w:val="nil" w:sz="6" w:space="0" w:color="auto"/>
              <w:bottom w:val="nil" w:sz="6" w:space="0" w:color="auto"/>
              <w:right w:val="nil" w:sz="6" w:space="0" w:color="auto"/>
            </w:tcBorders>
          </w:tcPr>
          <w:p>
            <w:pPr>
              <w:pStyle w:val="TableParagraph"/>
              <w:spacing w:line="205" w:lineRule="exact"/>
              <w:ind w:right="220"/>
              <w:jc w:val="right"/>
              <w:rPr>
                <w:rFonts w:ascii="宋体" w:hAnsi="宋体" w:cs="宋体" w:eastAsia="宋体" w:hint="default"/>
                <w:sz w:val="16"/>
                <w:szCs w:val="16"/>
              </w:rPr>
            </w:pPr>
            <w:r>
              <w:rPr>
                <w:rFonts w:ascii="宋体"/>
                <w:color w:val="D7000F"/>
                <w:w w:val="95"/>
                <w:sz w:val="16"/>
              </w:rPr>
              <w:t>541,762,283,984</w:t>
            </w:r>
            <w:r>
              <w:rPr>
                <w:rFonts w:ascii="宋体"/>
                <w:sz w:val="16"/>
              </w:rPr>
            </w:r>
          </w:p>
        </w:tc>
        <w:tc>
          <w:tcPr>
            <w:tcW w:w="1554" w:type="dxa"/>
            <w:tcBorders>
              <w:top w:val="nil" w:sz="6" w:space="0" w:color="auto"/>
              <w:left w:val="nil" w:sz="6" w:space="0" w:color="auto"/>
              <w:bottom w:val="nil" w:sz="6" w:space="0" w:color="auto"/>
              <w:right w:val="nil" w:sz="6" w:space="0" w:color="auto"/>
            </w:tcBorders>
          </w:tcPr>
          <w:p>
            <w:pPr>
              <w:pStyle w:val="TableParagraph"/>
              <w:spacing w:line="205" w:lineRule="exact"/>
              <w:ind w:right="130"/>
              <w:jc w:val="right"/>
              <w:rPr>
                <w:rFonts w:ascii="宋体" w:hAnsi="宋体" w:cs="宋体" w:eastAsia="宋体" w:hint="default"/>
                <w:sz w:val="16"/>
                <w:szCs w:val="16"/>
              </w:rPr>
            </w:pPr>
            <w:r>
              <w:rPr>
                <w:rFonts w:ascii="宋体"/>
                <w:w w:val="95"/>
                <w:sz w:val="16"/>
              </w:rPr>
              <w:t>573,617,337,800</w:t>
            </w:r>
            <w:r>
              <w:rPr>
                <w:rFonts w:ascii="宋体"/>
                <w:sz w:val="16"/>
              </w:rPr>
            </w:r>
          </w:p>
        </w:tc>
        <w:tc>
          <w:tcPr>
            <w:tcW w:w="2275" w:type="dxa"/>
            <w:tcBorders>
              <w:top w:val="nil" w:sz="6" w:space="0" w:color="auto"/>
              <w:left w:val="nil" w:sz="6" w:space="0" w:color="auto"/>
              <w:bottom w:val="nil" w:sz="6" w:space="0" w:color="auto"/>
              <w:right w:val="nil" w:sz="6" w:space="0" w:color="auto"/>
            </w:tcBorders>
          </w:tcPr>
          <w:p>
            <w:pPr>
              <w:pStyle w:val="TableParagraph"/>
              <w:spacing w:line="205" w:lineRule="exact"/>
              <w:ind w:right="135"/>
              <w:jc w:val="right"/>
              <w:rPr>
                <w:rFonts w:ascii="宋体" w:hAnsi="宋体" w:cs="宋体" w:eastAsia="宋体" w:hint="default"/>
                <w:sz w:val="16"/>
                <w:szCs w:val="16"/>
              </w:rPr>
            </w:pPr>
            <w:r>
              <w:rPr>
                <w:rFonts w:ascii="宋体"/>
                <w:sz w:val="16"/>
              </w:rPr>
              <w:t>-5.6</w:t>
            </w: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615,907,352,706</w:t>
            </w:r>
            <w:r>
              <w:rPr>
                <w:rFonts w:ascii="宋体"/>
                <w:sz w:val="16"/>
              </w:rPr>
            </w:r>
          </w:p>
        </w:tc>
      </w:tr>
    </w:tbl>
    <w:p>
      <w:pPr>
        <w:spacing w:line="20" w:lineRule="exact"/>
        <w:ind w:left="1752" w:right="0" w:firstLine="0"/>
        <w:rPr>
          <w:rFonts w:ascii="宋体" w:hAnsi="宋体" w:cs="宋体" w:eastAsia="宋体" w:hint="default"/>
          <w:sz w:val="2"/>
          <w:szCs w:val="2"/>
        </w:rPr>
      </w:pPr>
      <w:r>
        <w:rPr>
          <w:rFonts w:ascii="宋体" w:hAnsi="宋体" w:cs="宋体" w:eastAsia="宋体" w:hint="default"/>
          <w:sz w:val="2"/>
          <w:szCs w:val="2"/>
        </w:rPr>
        <w:pict>
          <v:group style="width:464.7pt;height:.5pt;mso-position-horizontal-relative:char;mso-position-vertical-relative:line" coordorigin="0,0" coordsize="9294,10">
            <v:group style="position:absolute;left:5;top:5;width:2252;height:2" coordorigin="5,5" coordsize="2252,2">
              <v:shape style="position:absolute;left:5;top:5;width:2252;height:2" coordorigin="5,5" coordsize="2252,0" path="m5,5l2256,5e" filled="false" stroked="true" strokeweight=".5pt" strokecolor="#000000">
                <v:path arrowok="t"/>
              </v:shape>
            </v:group>
            <v:group style="position:absolute;left:2256;top:5;width:1645;height:2" coordorigin="2256,5" coordsize="1645,2">
              <v:shape style="position:absolute;left:2256;top:5;width:1645;height:2" coordorigin="2256,5" coordsize="1645,0" path="m2256,5l3900,5e" filled="false" stroked="true" strokeweight=".5pt" strokecolor="#d7000f">
                <v:path arrowok="t"/>
              </v:shape>
            </v:group>
            <v:group style="position:absolute;left:3900;top:5;width:1645;height:2" coordorigin="3900,5" coordsize="1645,2">
              <v:shape style="position:absolute;left:3900;top:5;width:1645;height:2" coordorigin="3900,5" coordsize="1645,0" path="m3900,5l5545,5e" filled="false" stroked="true" strokeweight=".5pt" strokecolor="#000000">
                <v:path arrowok="t"/>
              </v:shape>
            </v:group>
            <v:group style="position:absolute;left:5545;top:5;width:2270;height:2" coordorigin="5545,5" coordsize="2270,2">
              <v:shape style="position:absolute;left:5545;top:5;width:2270;height:2" coordorigin="5545,5" coordsize="2270,0" path="m5545,5l7814,5e" filled="false" stroked="true" strokeweight=".5pt" strokecolor="#000000">
                <v:path arrowok="t"/>
              </v:shape>
            </v:group>
            <v:group style="position:absolute;left:7814;top:5;width:1475;height:2" coordorigin="7814,5" coordsize="1475,2">
              <v:shape style="position:absolute;left:7814;top:5;width:1475;height:2" coordorigin="7814,5" coordsize="1475,0" path="m7814,5l9288,5e" filled="false" stroked="true" strokeweight=".5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default" r:id="rId53"/>
          <w:headerReference w:type="even" r:id="rId54"/>
          <w:footerReference w:type="default" r:id="rId55"/>
          <w:pgSz w:w="11910" w:h="16160"/>
          <w:pgMar w:header="0" w:footer="298" w:top="2420" w:bottom="480" w:left="0" w:right="0"/>
          <w:pgNumType w:start="15"/>
        </w:sectPr>
      </w:pPr>
    </w:p>
    <w:p>
      <w:pPr>
        <w:spacing w:line="240" w:lineRule="auto" w:before="11"/>
        <w:rPr>
          <w:rFonts w:ascii="宋体" w:hAnsi="宋体" w:cs="宋体" w:eastAsia="宋体" w:hint="default"/>
          <w:sz w:val="14"/>
          <w:szCs w:val="14"/>
        </w:rPr>
      </w:pPr>
    </w:p>
    <w:p>
      <w:pPr>
        <w:spacing w:before="0"/>
        <w:ind w:left="1417" w:right="-19"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主要财务指标</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0"/>
        <w:rPr>
          <w:rFonts w:ascii="宋体" w:hAnsi="宋体" w:cs="宋体" w:eastAsia="宋体" w:hint="default"/>
          <w:sz w:val="12"/>
          <w:szCs w:val="12"/>
        </w:rPr>
      </w:pPr>
    </w:p>
    <w:p>
      <w:pPr>
        <w:spacing w:line="240" w:lineRule="auto" w:before="2"/>
        <w:rPr>
          <w:rFonts w:ascii="宋体" w:hAnsi="宋体" w:cs="宋体" w:eastAsia="宋体" w:hint="default"/>
          <w:sz w:val="13"/>
          <w:szCs w:val="13"/>
        </w:rPr>
      </w:pPr>
    </w:p>
    <w:p>
      <w:pPr>
        <w:spacing w:before="0"/>
        <w:ind w:left="1417" w:right="0" w:firstLine="0"/>
        <w:jc w:val="lef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spacing w:after="0"/>
        <w:jc w:val="left"/>
        <w:rPr>
          <w:rFonts w:ascii="宋体" w:hAnsi="宋体" w:cs="宋体" w:eastAsia="宋体" w:hint="default"/>
          <w:sz w:val="12"/>
          <w:szCs w:val="12"/>
        </w:rPr>
        <w:sectPr>
          <w:type w:val="continuous"/>
          <w:pgSz w:w="11910" w:h="16160"/>
          <w:pgMar w:top="1520" w:bottom="280" w:left="0" w:right="0"/>
          <w:cols w:num="2" w:equalWidth="0">
            <w:col w:w="2869" w:space="5405"/>
            <w:col w:w="3636"/>
          </w:cols>
        </w:sectPr>
      </w:pPr>
    </w:p>
    <w:p>
      <w:pPr>
        <w:spacing w:line="240" w:lineRule="auto" w:before="10"/>
        <w:rPr>
          <w:rFonts w:ascii="宋体" w:hAnsi="宋体" w:cs="宋体" w:eastAsia="宋体" w:hint="default"/>
          <w:sz w:val="3"/>
          <w:szCs w:val="3"/>
        </w:rPr>
      </w:pPr>
    </w:p>
    <w:tbl>
      <w:tblPr>
        <w:tblW w:w="0" w:type="auto"/>
        <w:jc w:val="left"/>
        <w:tblInd w:w="1757" w:type="dxa"/>
        <w:tblLayout w:type="fixed"/>
        <w:tblCellMar>
          <w:top w:w="0" w:type="dxa"/>
          <w:left w:w="0" w:type="dxa"/>
          <w:bottom w:w="0" w:type="dxa"/>
          <w:right w:w="0" w:type="dxa"/>
        </w:tblCellMar>
        <w:tblLook w:val="01E0"/>
      </w:tblPr>
      <w:tblGrid>
        <w:gridCol w:w="4043"/>
        <w:gridCol w:w="1066"/>
        <w:gridCol w:w="1066"/>
        <w:gridCol w:w="2219"/>
        <w:gridCol w:w="892"/>
      </w:tblGrid>
      <w:tr>
        <w:trPr>
          <w:trHeight w:val="342" w:hRule="exact"/>
        </w:trPr>
        <w:tc>
          <w:tcPr>
            <w:tcW w:w="4043" w:type="dxa"/>
            <w:tcBorders>
              <w:top w:val="nil" w:sz="6" w:space="0" w:color="auto"/>
              <w:left w:val="nil" w:sz="6" w:space="0" w:color="auto"/>
              <w:bottom w:val="single" w:sz="8" w:space="0" w:color="D7000F"/>
              <w:right w:val="nil" w:sz="6" w:space="0" w:color="auto"/>
            </w:tcBorders>
          </w:tcPr>
          <w:p>
            <w:pPr/>
          </w:p>
        </w:tc>
        <w:tc>
          <w:tcPr>
            <w:tcW w:w="1066" w:type="dxa"/>
            <w:tcBorders>
              <w:top w:val="nil" w:sz="6" w:space="0" w:color="auto"/>
              <w:left w:val="nil" w:sz="6" w:space="0" w:color="auto"/>
              <w:bottom w:val="single" w:sz="8" w:space="0" w:color="9C8758"/>
              <w:right w:val="nil" w:sz="6" w:space="0" w:color="auto"/>
            </w:tcBorders>
          </w:tcPr>
          <w:p>
            <w:pPr>
              <w:pStyle w:val="TableParagraph"/>
              <w:spacing w:line="240" w:lineRule="auto" w:before="9"/>
              <w:ind w:right="230"/>
              <w:jc w:val="right"/>
              <w:rPr>
                <w:rFonts w:ascii="宋体" w:hAnsi="宋体" w:cs="宋体" w:eastAsia="宋体" w:hint="default"/>
                <w:sz w:val="16"/>
                <w:szCs w:val="16"/>
              </w:rPr>
            </w:pPr>
            <w:r>
              <w:rPr>
                <w:rFonts w:ascii="宋体" w:hAnsi="宋体" w:cs="宋体" w:eastAsia="宋体" w:hint="default"/>
                <w:color w:val="D7000F"/>
                <w:w w:val="110"/>
                <w:sz w:val="16"/>
                <w:szCs w:val="16"/>
              </w:rPr>
              <w:t>2018</w:t>
            </w:r>
            <w:r>
              <w:rPr>
                <w:rFonts w:ascii="宋体" w:hAnsi="宋体" w:cs="宋体" w:eastAsia="宋体" w:hint="default"/>
                <w:color w:val="D7000F"/>
                <w:spacing w:val="-62"/>
                <w:w w:val="110"/>
                <w:sz w:val="16"/>
                <w:szCs w:val="16"/>
              </w:rPr>
              <w:t> </w:t>
            </w:r>
            <w:r>
              <w:rPr>
                <w:rFonts w:ascii="宋体" w:hAnsi="宋体" w:cs="宋体" w:eastAsia="宋体" w:hint="default"/>
                <w:color w:val="D7000F"/>
                <w:w w:val="110"/>
                <w:sz w:val="16"/>
                <w:szCs w:val="16"/>
              </w:rPr>
              <w:t>年</w:t>
            </w:r>
            <w:r>
              <w:rPr>
                <w:rFonts w:ascii="宋体" w:hAnsi="宋体" w:cs="宋体" w:eastAsia="宋体" w:hint="default"/>
                <w:w w:val="110"/>
                <w:sz w:val="16"/>
                <w:szCs w:val="16"/>
              </w:rPr>
            </w:r>
          </w:p>
        </w:tc>
        <w:tc>
          <w:tcPr>
            <w:tcW w:w="1066" w:type="dxa"/>
            <w:tcBorders>
              <w:top w:val="nil" w:sz="6" w:space="0" w:color="auto"/>
              <w:left w:val="nil" w:sz="6" w:space="0" w:color="auto"/>
              <w:bottom w:val="single" w:sz="8" w:space="0" w:color="9C8758"/>
              <w:right w:val="nil" w:sz="6" w:space="0" w:color="auto"/>
            </w:tcBorders>
          </w:tcPr>
          <w:p>
            <w:pPr>
              <w:pStyle w:val="TableParagraph"/>
              <w:spacing w:line="240" w:lineRule="auto" w:before="9"/>
              <w:ind w:right="276"/>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219" w:type="dxa"/>
            <w:tcBorders>
              <w:top w:val="nil" w:sz="6" w:space="0" w:color="auto"/>
              <w:left w:val="nil" w:sz="6" w:space="0" w:color="auto"/>
              <w:bottom w:val="single" w:sz="8" w:space="0" w:color="9C8758"/>
              <w:right w:val="nil" w:sz="6" w:space="0" w:color="auto"/>
            </w:tcBorders>
          </w:tcPr>
          <w:p>
            <w:pPr>
              <w:pStyle w:val="TableParagraph"/>
              <w:spacing w:line="240" w:lineRule="auto" w:before="9"/>
              <w:ind w:right="211"/>
              <w:jc w:val="right"/>
              <w:rPr>
                <w:rFonts w:ascii="宋体" w:hAnsi="宋体" w:cs="宋体" w:eastAsia="宋体" w:hint="default"/>
                <w:sz w:val="16"/>
                <w:szCs w:val="16"/>
              </w:rPr>
            </w:pPr>
            <w:r>
              <w:rPr>
                <w:rFonts w:ascii="宋体" w:hAnsi="宋体" w:cs="宋体" w:eastAsia="宋体" w:hint="default"/>
                <w:sz w:val="16"/>
                <w:szCs w:val="16"/>
              </w:rPr>
              <w:t>本期比上年同期增减</w:t>
            </w:r>
            <w:r>
              <w:rPr>
                <w:rFonts w:ascii="宋体" w:hAnsi="宋体" w:cs="宋体" w:eastAsia="宋体" w:hint="default"/>
                <w:spacing w:val="-34"/>
                <w:sz w:val="16"/>
                <w:szCs w:val="16"/>
              </w:rPr>
              <w:t> </w:t>
            </w:r>
            <w:r>
              <w:rPr>
                <w:rFonts w:ascii="宋体" w:hAnsi="宋体" w:cs="宋体" w:eastAsia="宋体" w:hint="default"/>
                <w:sz w:val="16"/>
                <w:szCs w:val="16"/>
              </w:rPr>
              <w:t>(%)</w:t>
            </w:r>
          </w:p>
        </w:tc>
        <w:tc>
          <w:tcPr>
            <w:tcW w:w="892" w:type="dxa"/>
            <w:tcBorders>
              <w:top w:val="nil" w:sz="6" w:space="0" w:color="auto"/>
              <w:left w:val="nil" w:sz="6" w:space="0" w:color="auto"/>
              <w:bottom w:val="single" w:sz="8" w:space="0" w:color="9C8758"/>
              <w:right w:val="nil" w:sz="6" w:space="0" w:color="auto"/>
            </w:tcBorders>
          </w:tcPr>
          <w:p>
            <w:pPr>
              <w:pStyle w:val="TableParagraph"/>
              <w:spacing w:line="240" w:lineRule="auto" w:before="9"/>
              <w:ind w:right="83"/>
              <w:jc w:val="right"/>
              <w:rPr>
                <w:rFonts w:ascii="宋体" w:hAnsi="宋体" w:cs="宋体" w:eastAsia="宋体" w:hint="default"/>
                <w:sz w:val="16"/>
                <w:szCs w:val="16"/>
              </w:rPr>
            </w:pPr>
            <w:r>
              <w:rPr>
                <w:rFonts w:ascii="宋体" w:hAnsi="宋体" w:cs="宋体" w:eastAsia="宋体" w:hint="default"/>
                <w:w w:val="110"/>
                <w:sz w:val="16"/>
                <w:szCs w:val="16"/>
              </w:rPr>
              <w:t>2016</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0" w:hRule="exact"/>
        </w:trPr>
        <w:tc>
          <w:tcPr>
            <w:tcW w:w="4043" w:type="dxa"/>
            <w:tcBorders>
              <w:top w:val="single" w:sz="8" w:space="0" w:color="D7000F"/>
              <w:left w:val="nil" w:sz="6" w:space="0" w:color="auto"/>
              <w:bottom w:val="nil" w:sz="6" w:space="0" w:color="auto"/>
              <w:right w:val="nil" w:sz="6" w:space="0" w:color="auto"/>
            </w:tcBorders>
          </w:tcPr>
          <w:p>
            <w:pPr>
              <w:pStyle w:val="TableParagraph"/>
              <w:spacing w:line="240" w:lineRule="auto" w:before="72"/>
              <w:ind w:left="85" w:right="0"/>
              <w:jc w:val="left"/>
              <w:rPr>
                <w:rFonts w:ascii="宋体" w:hAnsi="宋体" w:cs="宋体" w:eastAsia="宋体" w:hint="default"/>
                <w:sz w:val="16"/>
                <w:szCs w:val="16"/>
              </w:rPr>
            </w:pPr>
            <w:r>
              <w:rPr>
                <w:rFonts w:ascii="宋体" w:hAnsi="宋体" w:cs="宋体" w:eastAsia="宋体" w:hint="default"/>
                <w:sz w:val="16"/>
                <w:szCs w:val="16"/>
              </w:rPr>
              <w:t>基本每股收益（元／股）</w:t>
            </w:r>
          </w:p>
        </w:tc>
        <w:tc>
          <w:tcPr>
            <w:tcW w:w="1066"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230"/>
              <w:jc w:val="right"/>
              <w:rPr>
                <w:rFonts w:ascii="宋体" w:hAnsi="宋体" w:cs="宋体" w:eastAsia="宋体" w:hint="default"/>
                <w:sz w:val="16"/>
                <w:szCs w:val="16"/>
              </w:rPr>
            </w:pPr>
            <w:r>
              <w:rPr>
                <w:rFonts w:ascii="宋体"/>
                <w:color w:val="D7000F"/>
                <w:sz w:val="16"/>
              </w:rPr>
              <w:t>0.1321</w:t>
            </w:r>
            <w:r>
              <w:rPr>
                <w:rFonts w:ascii="宋体"/>
                <w:sz w:val="16"/>
              </w:rPr>
            </w:r>
          </w:p>
        </w:tc>
        <w:tc>
          <w:tcPr>
            <w:tcW w:w="1066"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276"/>
              <w:jc w:val="right"/>
              <w:rPr>
                <w:rFonts w:ascii="宋体" w:hAnsi="宋体" w:cs="宋体" w:eastAsia="宋体" w:hint="default"/>
                <w:sz w:val="16"/>
                <w:szCs w:val="16"/>
              </w:rPr>
            </w:pPr>
            <w:r>
              <w:rPr>
                <w:rFonts w:ascii="宋体"/>
                <w:sz w:val="16"/>
              </w:rPr>
              <w:t>0.0188</w:t>
            </w:r>
          </w:p>
        </w:tc>
        <w:tc>
          <w:tcPr>
            <w:tcW w:w="2219"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211"/>
              <w:jc w:val="right"/>
              <w:rPr>
                <w:rFonts w:ascii="宋体" w:hAnsi="宋体" w:cs="宋体" w:eastAsia="宋体" w:hint="default"/>
                <w:sz w:val="16"/>
                <w:szCs w:val="16"/>
              </w:rPr>
            </w:pPr>
            <w:r>
              <w:rPr>
                <w:rFonts w:ascii="宋体"/>
                <w:w w:val="95"/>
                <w:sz w:val="16"/>
              </w:rPr>
              <w:t>602.7</w:t>
            </w:r>
            <w:r>
              <w:rPr>
                <w:rFonts w:ascii="宋体"/>
                <w:sz w:val="16"/>
              </w:rPr>
            </w:r>
          </w:p>
        </w:tc>
        <w:tc>
          <w:tcPr>
            <w:tcW w:w="892"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82"/>
              <w:jc w:val="right"/>
              <w:rPr>
                <w:rFonts w:ascii="宋体" w:hAnsi="宋体" w:cs="宋体" w:eastAsia="宋体" w:hint="default"/>
                <w:sz w:val="16"/>
                <w:szCs w:val="16"/>
              </w:rPr>
            </w:pPr>
            <w:r>
              <w:rPr>
                <w:rFonts w:ascii="宋体"/>
                <w:sz w:val="16"/>
              </w:rPr>
              <w:t>0.0073</w:t>
            </w:r>
          </w:p>
        </w:tc>
      </w:tr>
      <w:tr>
        <w:trPr>
          <w:trHeight w:val="273" w:hRule="exact"/>
        </w:trPr>
        <w:tc>
          <w:tcPr>
            <w:tcW w:w="4043"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稀释每股收益（元／股）</w:t>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30"/>
              <w:jc w:val="right"/>
              <w:rPr>
                <w:rFonts w:ascii="宋体" w:hAnsi="宋体" w:cs="宋体" w:eastAsia="宋体" w:hint="default"/>
                <w:sz w:val="16"/>
                <w:szCs w:val="16"/>
              </w:rPr>
            </w:pPr>
            <w:r>
              <w:rPr>
                <w:rFonts w:ascii="宋体"/>
                <w:color w:val="D7000F"/>
                <w:sz w:val="16"/>
              </w:rPr>
              <w:t>0.1321</w:t>
            </w:r>
            <w:r>
              <w:rPr>
                <w:rFonts w:ascii="宋体"/>
                <w:sz w:val="16"/>
              </w:rPr>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76"/>
              <w:jc w:val="right"/>
              <w:rPr>
                <w:rFonts w:ascii="宋体" w:hAnsi="宋体" w:cs="宋体" w:eastAsia="宋体" w:hint="default"/>
                <w:sz w:val="16"/>
                <w:szCs w:val="16"/>
              </w:rPr>
            </w:pPr>
            <w:r>
              <w:rPr>
                <w:rFonts w:ascii="宋体"/>
                <w:sz w:val="16"/>
              </w:rPr>
              <w:t>0.0188</w:t>
            </w:r>
          </w:p>
        </w:tc>
        <w:tc>
          <w:tcPr>
            <w:tcW w:w="2219"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5"/>
                <w:sz w:val="16"/>
              </w:rPr>
              <w:t>602.7</w:t>
            </w:r>
            <w:r>
              <w:rPr>
                <w:rFonts w:ascii="宋体"/>
                <w:sz w:val="16"/>
              </w:rPr>
            </w:r>
          </w:p>
        </w:tc>
        <w:tc>
          <w:tcPr>
            <w:tcW w:w="892"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0.0073</w:t>
            </w:r>
          </w:p>
        </w:tc>
      </w:tr>
      <w:tr>
        <w:trPr>
          <w:trHeight w:val="273" w:hRule="exact"/>
        </w:trPr>
        <w:tc>
          <w:tcPr>
            <w:tcW w:w="4043"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扣除非经常性损益后的基本每股收益（元／股）</w:t>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30"/>
              <w:jc w:val="right"/>
              <w:rPr>
                <w:rFonts w:ascii="宋体" w:hAnsi="宋体" w:cs="宋体" w:eastAsia="宋体" w:hint="default"/>
                <w:sz w:val="16"/>
                <w:szCs w:val="16"/>
              </w:rPr>
            </w:pPr>
            <w:r>
              <w:rPr>
                <w:rFonts w:ascii="宋体"/>
                <w:color w:val="D7000F"/>
                <w:sz w:val="16"/>
              </w:rPr>
              <w:t>0.1628</w:t>
            </w:r>
            <w:r>
              <w:rPr>
                <w:rFonts w:ascii="宋体"/>
                <w:sz w:val="16"/>
              </w:rPr>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76"/>
              <w:jc w:val="right"/>
              <w:rPr>
                <w:rFonts w:ascii="宋体" w:hAnsi="宋体" w:cs="宋体" w:eastAsia="宋体" w:hint="default"/>
                <w:sz w:val="16"/>
                <w:szCs w:val="16"/>
              </w:rPr>
            </w:pPr>
            <w:r>
              <w:rPr>
                <w:rFonts w:ascii="宋体"/>
                <w:sz w:val="16"/>
              </w:rPr>
              <w:t>0.0437</w:t>
            </w:r>
          </w:p>
        </w:tc>
        <w:tc>
          <w:tcPr>
            <w:tcW w:w="2219"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5"/>
                <w:sz w:val="16"/>
              </w:rPr>
              <w:t>272.5</w:t>
            </w:r>
            <w:r>
              <w:rPr>
                <w:rFonts w:ascii="宋体"/>
                <w:sz w:val="16"/>
              </w:rPr>
            </w:r>
          </w:p>
        </w:tc>
        <w:tc>
          <w:tcPr>
            <w:tcW w:w="892"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105"/>
                <w:sz w:val="16"/>
              </w:rPr>
              <w:t>-0.0027</w:t>
            </w:r>
            <w:r>
              <w:rPr>
                <w:rFonts w:ascii="宋体"/>
                <w:sz w:val="16"/>
              </w:rPr>
            </w:r>
          </w:p>
        </w:tc>
      </w:tr>
      <w:tr>
        <w:trPr>
          <w:trHeight w:val="273" w:hRule="exact"/>
        </w:trPr>
        <w:tc>
          <w:tcPr>
            <w:tcW w:w="4043"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w w:val="105"/>
                <w:sz w:val="16"/>
                <w:szCs w:val="16"/>
              </w:rPr>
              <w:t>加权平均净资产收益率（%）</w:t>
            </w:r>
            <w:r>
              <w:rPr>
                <w:rFonts w:ascii="宋体" w:hAnsi="宋体" w:cs="宋体" w:eastAsia="宋体" w:hint="default"/>
                <w:sz w:val="16"/>
                <w:szCs w:val="16"/>
              </w:rPr>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30"/>
              <w:jc w:val="right"/>
              <w:rPr>
                <w:rFonts w:ascii="宋体" w:hAnsi="宋体" w:cs="宋体" w:eastAsia="宋体" w:hint="default"/>
                <w:sz w:val="16"/>
                <w:szCs w:val="16"/>
              </w:rPr>
            </w:pPr>
            <w:r>
              <w:rPr>
                <w:rFonts w:ascii="宋体"/>
                <w:color w:val="D7000F"/>
                <w:w w:val="95"/>
                <w:sz w:val="16"/>
              </w:rPr>
              <w:t>2.86</w:t>
            </w:r>
            <w:r>
              <w:rPr>
                <w:rFonts w:ascii="宋体"/>
                <w:sz w:val="16"/>
              </w:rPr>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76"/>
              <w:jc w:val="right"/>
              <w:rPr>
                <w:rFonts w:ascii="宋体" w:hAnsi="宋体" w:cs="宋体" w:eastAsia="宋体" w:hint="default"/>
                <w:sz w:val="16"/>
                <w:szCs w:val="16"/>
              </w:rPr>
            </w:pPr>
            <w:r>
              <w:rPr>
                <w:rFonts w:ascii="宋体"/>
                <w:w w:val="95"/>
                <w:sz w:val="16"/>
              </w:rPr>
              <w:t>0.49</w:t>
            </w:r>
            <w:r>
              <w:rPr>
                <w:rFonts w:ascii="宋体"/>
                <w:sz w:val="16"/>
              </w:rPr>
            </w:r>
          </w:p>
        </w:tc>
        <w:tc>
          <w:tcPr>
            <w:tcW w:w="2219"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hAnsi="宋体" w:cs="宋体" w:eastAsia="宋体" w:hint="default"/>
                <w:sz w:val="16"/>
                <w:szCs w:val="16"/>
              </w:rPr>
              <w:t>增加</w:t>
            </w:r>
            <w:r>
              <w:rPr>
                <w:rFonts w:ascii="宋体" w:hAnsi="宋体" w:cs="宋体" w:eastAsia="宋体" w:hint="default"/>
                <w:spacing w:val="-45"/>
                <w:sz w:val="16"/>
                <w:szCs w:val="16"/>
              </w:rPr>
              <w:t> </w:t>
            </w:r>
            <w:r>
              <w:rPr>
                <w:rFonts w:ascii="宋体" w:hAnsi="宋体" w:cs="宋体" w:eastAsia="宋体" w:hint="default"/>
                <w:sz w:val="16"/>
                <w:szCs w:val="16"/>
              </w:rPr>
              <w:t>2.37</w:t>
            </w:r>
            <w:r>
              <w:rPr>
                <w:rFonts w:ascii="宋体" w:hAnsi="宋体" w:cs="宋体" w:eastAsia="宋体" w:hint="default"/>
                <w:spacing w:val="-46"/>
                <w:sz w:val="16"/>
                <w:szCs w:val="16"/>
              </w:rPr>
              <w:t> </w:t>
            </w:r>
            <w:r>
              <w:rPr>
                <w:rFonts w:ascii="宋体" w:hAnsi="宋体" w:cs="宋体" w:eastAsia="宋体" w:hint="default"/>
                <w:sz w:val="16"/>
                <w:szCs w:val="16"/>
              </w:rPr>
              <w:t>个百分点</w:t>
            </w:r>
          </w:p>
        </w:tc>
        <w:tc>
          <w:tcPr>
            <w:tcW w:w="892"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0.20</w:t>
            </w:r>
            <w:r>
              <w:rPr>
                <w:rFonts w:ascii="宋体"/>
                <w:sz w:val="16"/>
              </w:rPr>
            </w:r>
          </w:p>
        </w:tc>
      </w:tr>
      <w:tr>
        <w:trPr>
          <w:trHeight w:val="317" w:hRule="exact"/>
        </w:trPr>
        <w:tc>
          <w:tcPr>
            <w:tcW w:w="4043"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扣除非经常性损益后的加权平均净资产收益率（%）</w:t>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30"/>
              <w:jc w:val="right"/>
              <w:rPr>
                <w:rFonts w:ascii="宋体" w:hAnsi="宋体" w:cs="宋体" w:eastAsia="宋体" w:hint="default"/>
                <w:sz w:val="16"/>
                <w:szCs w:val="16"/>
              </w:rPr>
            </w:pPr>
            <w:r>
              <w:rPr>
                <w:rFonts w:ascii="宋体"/>
                <w:color w:val="D7000F"/>
                <w:w w:val="95"/>
                <w:sz w:val="16"/>
              </w:rPr>
              <w:t>3.52</w:t>
            </w:r>
            <w:r>
              <w:rPr>
                <w:rFonts w:ascii="宋体"/>
                <w:sz w:val="16"/>
              </w:rPr>
            </w:r>
          </w:p>
        </w:tc>
        <w:tc>
          <w:tcPr>
            <w:tcW w:w="1066" w:type="dxa"/>
            <w:tcBorders>
              <w:top w:val="nil" w:sz="6" w:space="0" w:color="auto"/>
              <w:left w:val="nil" w:sz="6" w:space="0" w:color="auto"/>
              <w:bottom w:val="nil" w:sz="6" w:space="0" w:color="auto"/>
              <w:right w:val="nil" w:sz="6" w:space="0" w:color="auto"/>
            </w:tcBorders>
          </w:tcPr>
          <w:p>
            <w:pPr>
              <w:pStyle w:val="TableParagraph"/>
              <w:spacing w:line="205" w:lineRule="exact"/>
              <w:ind w:right="276"/>
              <w:jc w:val="right"/>
              <w:rPr>
                <w:rFonts w:ascii="宋体" w:hAnsi="宋体" w:cs="宋体" w:eastAsia="宋体" w:hint="default"/>
                <w:sz w:val="16"/>
                <w:szCs w:val="16"/>
              </w:rPr>
            </w:pPr>
            <w:r>
              <w:rPr>
                <w:rFonts w:ascii="宋体"/>
                <w:w w:val="95"/>
                <w:sz w:val="16"/>
              </w:rPr>
              <w:t>1.13</w:t>
            </w:r>
            <w:r>
              <w:rPr>
                <w:rFonts w:ascii="宋体"/>
                <w:sz w:val="16"/>
              </w:rPr>
            </w:r>
          </w:p>
        </w:tc>
        <w:tc>
          <w:tcPr>
            <w:tcW w:w="2219"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hAnsi="宋体" w:cs="宋体" w:eastAsia="宋体" w:hint="default"/>
                <w:sz w:val="16"/>
                <w:szCs w:val="16"/>
              </w:rPr>
              <w:t>增加</w:t>
            </w:r>
            <w:r>
              <w:rPr>
                <w:rFonts w:ascii="宋体" w:hAnsi="宋体" w:cs="宋体" w:eastAsia="宋体" w:hint="default"/>
                <w:spacing w:val="-45"/>
                <w:sz w:val="16"/>
                <w:szCs w:val="16"/>
              </w:rPr>
              <w:t> </w:t>
            </w:r>
            <w:r>
              <w:rPr>
                <w:rFonts w:ascii="宋体" w:hAnsi="宋体" w:cs="宋体" w:eastAsia="宋体" w:hint="default"/>
                <w:sz w:val="16"/>
                <w:szCs w:val="16"/>
              </w:rPr>
              <w:t>2.39</w:t>
            </w:r>
            <w:r>
              <w:rPr>
                <w:rFonts w:ascii="宋体" w:hAnsi="宋体" w:cs="宋体" w:eastAsia="宋体" w:hint="default"/>
                <w:spacing w:val="-46"/>
                <w:sz w:val="16"/>
                <w:szCs w:val="16"/>
              </w:rPr>
              <w:t> </w:t>
            </w:r>
            <w:r>
              <w:rPr>
                <w:rFonts w:ascii="宋体" w:hAnsi="宋体" w:cs="宋体" w:eastAsia="宋体" w:hint="default"/>
                <w:sz w:val="16"/>
                <w:szCs w:val="16"/>
              </w:rPr>
              <w:t>个百分点</w:t>
            </w:r>
          </w:p>
        </w:tc>
        <w:tc>
          <w:tcPr>
            <w:tcW w:w="892"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-0.07</w:t>
            </w:r>
          </w:p>
        </w:tc>
      </w:tr>
    </w:tbl>
    <w:p>
      <w:pPr>
        <w:spacing w:line="20" w:lineRule="exact"/>
        <w:ind w:left="1752" w:right="0" w:firstLine="0"/>
        <w:rPr>
          <w:rFonts w:ascii="宋体" w:hAnsi="宋体" w:cs="宋体" w:eastAsia="宋体" w:hint="default"/>
          <w:sz w:val="2"/>
          <w:szCs w:val="2"/>
        </w:rPr>
      </w:pPr>
      <w:r>
        <w:rPr>
          <w:rFonts w:ascii="宋体" w:hAnsi="宋体" w:cs="宋体" w:eastAsia="宋体" w:hint="default"/>
          <w:sz w:val="2"/>
          <w:szCs w:val="2"/>
        </w:rPr>
        <w:pict>
          <v:group style="width:464.8pt;height:.5pt;mso-position-horizontal-relative:char;mso-position-vertical-relative:line" coordorigin="0,0" coordsize="9296,10">
            <v:group style="position:absolute;left:5;top:5;width:3941;height:2" coordorigin="5,5" coordsize="3941,2">
              <v:shape style="position:absolute;left:5;top:5;width:3941;height:2" coordorigin="5,5" coordsize="3941,0" path="m5,5l3945,5e" filled="false" stroked="true" strokeweight=".5pt" strokecolor="#000000">
                <v:path arrowok="t"/>
              </v:shape>
            </v:group>
            <v:group style="position:absolute;left:3945;top:5;width:1021;height:2" coordorigin="3945,5" coordsize="1021,2">
              <v:shape style="position:absolute;left:3945;top:5;width:1021;height:2" coordorigin="3945,5" coordsize="1021,0" path="m3945,5l4966,5e" filled="false" stroked="true" strokeweight=".5pt" strokecolor="#d7000f">
                <v:path arrowok="t"/>
              </v:shape>
            </v:group>
            <v:group style="position:absolute;left:4966;top:5;width:1021;height:2" coordorigin="4966,5" coordsize="1021,2">
              <v:shape style="position:absolute;left:4966;top:5;width:1021;height:2" coordorigin="4966,5" coordsize="1021,0" path="m4966,5l5986,5e" filled="false" stroked="true" strokeweight=".5pt" strokecolor="#000000">
                <v:path arrowok="t"/>
              </v:shape>
            </v:group>
            <v:group style="position:absolute;left:5986;top:5;width:2285;height:2" coordorigin="5986,5" coordsize="2285,2">
              <v:shape style="position:absolute;left:5986;top:5;width:2285;height:2" coordorigin="5986,5" coordsize="2285,0" path="m5986,5l8270,5e" filled="false" stroked="true" strokeweight=".5pt" strokecolor="#000000">
                <v:path arrowok="t"/>
              </v:shape>
            </v:group>
            <v:group style="position:absolute;left:8270;top:5;width:1021;height:2" coordorigin="8270,5" coordsize="1021,2">
              <v:shape style="position:absolute;left:8270;top:5;width:1021;height:2" coordorigin="8270,5" coordsize="1021,0" path="m8270,5l9291,5e" filled="false" stroked="true" strokeweight=".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160"/>
          <w:pgMar w:top="1520" w:bottom="280" w:left="0" w:right="0"/>
        </w:sectPr>
      </w:pPr>
    </w:p>
    <w:p>
      <w:pPr>
        <w:spacing w:line="240" w:lineRule="auto" w:before="5"/>
        <w:rPr>
          <w:rFonts w:ascii="宋体" w:hAnsi="宋体" w:cs="宋体" w:eastAsia="宋体" w:hint="default"/>
          <w:sz w:val="24"/>
          <w:szCs w:val="24"/>
        </w:rPr>
      </w:pPr>
    </w:p>
    <w:tbl>
      <w:tblPr>
        <w:tblW w:w="0" w:type="auto"/>
        <w:jc w:val="left"/>
        <w:tblInd w:w="815" w:type="dxa"/>
        <w:tblLayout w:type="fixed"/>
        <w:tblCellMar>
          <w:top w:w="0" w:type="dxa"/>
          <w:left w:w="0" w:type="dxa"/>
          <w:bottom w:w="0" w:type="dxa"/>
          <w:right w:w="0" w:type="dxa"/>
        </w:tblCellMar>
        <w:tblLook w:val="01E0"/>
      </w:tblPr>
      <w:tblGrid>
        <w:gridCol w:w="3163"/>
        <w:gridCol w:w="1831"/>
        <w:gridCol w:w="1616"/>
        <w:gridCol w:w="1537"/>
        <w:gridCol w:w="1526"/>
      </w:tblGrid>
      <w:tr>
        <w:trPr>
          <w:trHeight w:val="693" w:hRule="exact"/>
        </w:trPr>
        <w:tc>
          <w:tcPr>
            <w:tcW w:w="316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color w:val="D7000F"/>
                <w:sz w:val="18"/>
                <w:szCs w:val="18"/>
              </w:rPr>
              <w:t>八、2018</w:t>
            </w:r>
            <w:r>
              <w:rPr>
                <w:rFonts w:ascii="宋体" w:hAnsi="宋体" w:cs="宋体" w:eastAsia="宋体" w:hint="default"/>
                <w:color w:val="D7000F"/>
                <w:spacing w:val="49"/>
                <w:sz w:val="18"/>
                <w:szCs w:val="18"/>
              </w:rPr>
              <w:t> </w:t>
            </w:r>
            <w:r>
              <w:rPr>
                <w:rFonts w:ascii="宋体" w:hAnsi="宋体" w:cs="宋体" w:eastAsia="宋体" w:hint="default"/>
                <w:color w:val="D7000F"/>
                <w:sz w:val="18"/>
                <w:szCs w:val="18"/>
              </w:rPr>
              <w:t>年分季度主要财务数据</w:t>
            </w:r>
            <w:r>
              <w:rPr>
                <w:rFonts w:ascii="宋体" w:hAnsi="宋体" w:cs="宋体" w:eastAsia="宋体" w:hint="default"/>
                <w:sz w:val="18"/>
                <w:szCs w:val="18"/>
              </w:rPr>
            </w:r>
          </w:p>
        </w:tc>
        <w:tc>
          <w:tcPr>
            <w:tcW w:w="1831" w:type="dxa"/>
            <w:tcBorders>
              <w:top w:val="nil" w:sz="6" w:space="0" w:color="auto"/>
              <w:left w:val="nil" w:sz="6" w:space="0" w:color="auto"/>
              <w:bottom w:val="nil" w:sz="6" w:space="0" w:color="auto"/>
              <w:right w:val="nil" w:sz="6" w:space="0" w:color="auto"/>
            </w:tcBorders>
          </w:tcPr>
          <w:p>
            <w:pPr/>
          </w:p>
        </w:tc>
        <w:tc>
          <w:tcPr>
            <w:tcW w:w="1616" w:type="dxa"/>
            <w:tcBorders>
              <w:top w:val="nil" w:sz="6" w:space="0" w:color="auto"/>
              <w:left w:val="nil" w:sz="6" w:space="0" w:color="auto"/>
              <w:bottom w:val="nil" w:sz="6" w:space="0" w:color="auto"/>
              <w:right w:val="nil" w:sz="6" w:space="0" w:color="auto"/>
            </w:tcBorders>
          </w:tcPr>
          <w:p>
            <w:pPr/>
          </w:p>
        </w:tc>
        <w:tc>
          <w:tcPr>
            <w:tcW w:w="1537" w:type="dxa"/>
            <w:tcBorders>
              <w:top w:val="nil" w:sz="6" w:space="0" w:color="auto"/>
              <w:left w:val="nil" w:sz="6" w:space="0" w:color="auto"/>
              <w:bottom w:val="nil" w:sz="6" w:space="0" w:color="auto"/>
              <w:right w:val="nil" w:sz="6" w:space="0" w:color="auto"/>
            </w:tcBorders>
          </w:tcPr>
          <w:p>
            <w:pPr/>
          </w:p>
        </w:tc>
        <w:tc>
          <w:tcPr>
            <w:tcW w:w="152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7"/>
              <w:ind w:right="0"/>
              <w:jc w:val="left"/>
              <w:rPr>
                <w:rFonts w:ascii="宋体" w:hAnsi="宋体" w:cs="宋体" w:eastAsia="宋体" w:hint="default"/>
                <w:sz w:val="10"/>
                <w:szCs w:val="10"/>
              </w:rPr>
            </w:pPr>
          </w:p>
          <w:p>
            <w:pPr>
              <w:pStyle w:val="TableParagraph"/>
              <w:spacing w:line="240" w:lineRule="auto"/>
              <w:ind w:right="83"/>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tc>
      </w:tr>
      <w:tr>
        <w:trPr>
          <w:trHeight w:val="548" w:hRule="exact"/>
        </w:trPr>
        <w:tc>
          <w:tcPr>
            <w:tcW w:w="3163" w:type="dxa"/>
            <w:tcBorders>
              <w:top w:val="nil" w:sz="6" w:space="0" w:color="auto"/>
              <w:left w:val="nil" w:sz="6" w:space="0" w:color="auto"/>
              <w:bottom w:val="single" w:sz="8" w:space="0" w:color="9C8758"/>
              <w:right w:val="nil" w:sz="6" w:space="0" w:color="auto"/>
            </w:tcBorders>
          </w:tcPr>
          <w:p>
            <w:pPr/>
          </w:p>
        </w:tc>
        <w:tc>
          <w:tcPr>
            <w:tcW w:w="1831" w:type="dxa"/>
            <w:tcBorders>
              <w:top w:val="nil" w:sz="6" w:space="0" w:color="auto"/>
              <w:left w:val="nil" w:sz="6" w:space="0" w:color="auto"/>
              <w:bottom w:val="single" w:sz="8" w:space="0" w:color="9C8758"/>
              <w:right w:val="nil" w:sz="6" w:space="0" w:color="auto"/>
            </w:tcBorders>
          </w:tcPr>
          <w:p>
            <w:pPr>
              <w:pStyle w:val="TableParagraph"/>
              <w:spacing w:line="205" w:lineRule="exact" w:before="15"/>
              <w:ind w:left="937" w:right="0"/>
              <w:jc w:val="left"/>
              <w:rPr>
                <w:rFonts w:ascii="宋体" w:hAnsi="宋体" w:cs="宋体" w:eastAsia="宋体" w:hint="default"/>
                <w:sz w:val="16"/>
                <w:szCs w:val="16"/>
              </w:rPr>
            </w:pPr>
            <w:r>
              <w:rPr>
                <w:rFonts w:ascii="宋体" w:hAnsi="宋体" w:cs="宋体" w:eastAsia="宋体" w:hint="default"/>
                <w:sz w:val="16"/>
                <w:szCs w:val="16"/>
              </w:rPr>
              <w:t>第一季度</w:t>
            </w:r>
          </w:p>
          <w:p>
            <w:pPr>
              <w:pStyle w:val="TableParagraph"/>
              <w:spacing w:line="205" w:lineRule="exact"/>
              <w:ind w:left="627" w:right="0"/>
              <w:jc w:val="left"/>
              <w:rPr>
                <w:rFonts w:ascii="宋体" w:hAnsi="宋体" w:cs="宋体" w:eastAsia="宋体" w:hint="default"/>
                <w:sz w:val="16"/>
                <w:szCs w:val="16"/>
              </w:rPr>
            </w:pPr>
            <w:r>
              <w:rPr>
                <w:rFonts w:ascii="宋体" w:hAnsi="宋体" w:cs="宋体" w:eastAsia="宋体" w:hint="default"/>
                <w:w w:val="105"/>
                <w:sz w:val="16"/>
                <w:szCs w:val="16"/>
              </w:rPr>
              <w:t>（1-3</w:t>
            </w:r>
            <w:r>
              <w:rPr>
                <w:rFonts w:ascii="宋体" w:hAnsi="宋体" w:cs="宋体" w:eastAsia="宋体" w:hint="default"/>
                <w:spacing w:val="-59"/>
                <w:w w:val="105"/>
                <w:sz w:val="16"/>
                <w:szCs w:val="16"/>
              </w:rPr>
              <w:t> </w:t>
            </w:r>
            <w:r>
              <w:rPr>
                <w:rFonts w:ascii="宋体" w:hAnsi="宋体" w:cs="宋体" w:eastAsia="宋体" w:hint="default"/>
                <w:w w:val="105"/>
                <w:sz w:val="16"/>
                <w:szCs w:val="16"/>
              </w:rPr>
              <w:t>月份）</w:t>
            </w:r>
          </w:p>
        </w:tc>
        <w:tc>
          <w:tcPr>
            <w:tcW w:w="1616" w:type="dxa"/>
            <w:tcBorders>
              <w:top w:val="nil" w:sz="6" w:space="0" w:color="auto"/>
              <w:left w:val="nil" w:sz="6" w:space="0" w:color="auto"/>
              <w:bottom w:val="single" w:sz="8" w:space="0" w:color="9C8758"/>
              <w:right w:val="nil" w:sz="6" w:space="0" w:color="auto"/>
            </w:tcBorders>
          </w:tcPr>
          <w:p>
            <w:pPr>
              <w:pStyle w:val="TableParagraph"/>
              <w:spacing w:line="205" w:lineRule="exact" w:before="15"/>
              <w:ind w:left="722" w:right="0"/>
              <w:jc w:val="left"/>
              <w:rPr>
                <w:rFonts w:ascii="宋体" w:hAnsi="宋体" w:cs="宋体" w:eastAsia="宋体" w:hint="default"/>
                <w:sz w:val="16"/>
                <w:szCs w:val="16"/>
              </w:rPr>
            </w:pPr>
            <w:r>
              <w:rPr>
                <w:rFonts w:ascii="宋体" w:hAnsi="宋体" w:cs="宋体" w:eastAsia="宋体" w:hint="default"/>
                <w:sz w:val="16"/>
                <w:szCs w:val="16"/>
              </w:rPr>
              <w:t>第二季度</w:t>
            </w:r>
          </w:p>
          <w:p>
            <w:pPr>
              <w:pStyle w:val="TableParagraph"/>
              <w:spacing w:line="205" w:lineRule="exact"/>
              <w:ind w:left="411" w:right="0"/>
              <w:jc w:val="left"/>
              <w:rPr>
                <w:rFonts w:ascii="宋体" w:hAnsi="宋体" w:cs="宋体" w:eastAsia="宋体" w:hint="default"/>
                <w:sz w:val="16"/>
                <w:szCs w:val="16"/>
              </w:rPr>
            </w:pPr>
            <w:r>
              <w:rPr>
                <w:rFonts w:ascii="宋体" w:hAnsi="宋体" w:cs="宋体" w:eastAsia="宋体" w:hint="default"/>
                <w:w w:val="105"/>
                <w:sz w:val="16"/>
                <w:szCs w:val="16"/>
              </w:rPr>
              <w:t>（4-6</w:t>
            </w:r>
            <w:r>
              <w:rPr>
                <w:rFonts w:ascii="宋体" w:hAnsi="宋体" w:cs="宋体" w:eastAsia="宋体" w:hint="default"/>
                <w:spacing w:val="-59"/>
                <w:w w:val="105"/>
                <w:sz w:val="16"/>
                <w:szCs w:val="16"/>
              </w:rPr>
              <w:t> </w:t>
            </w:r>
            <w:r>
              <w:rPr>
                <w:rFonts w:ascii="宋体" w:hAnsi="宋体" w:cs="宋体" w:eastAsia="宋体" w:hint="default"/>
                <w:w w:val="105"/>
                <w:sz w:val="16"/>
                <w:szCs w:val="16"/>
              </w:rPr>
              <w:t>月份）</w:t>
            </w:r>
          </w:p>
        </w:tc>
        <w:tc>
          <w:tcPr>
            <w:tcW w:w="1537" w:type="dxa"/>
            <w:tcBorders>
              <w:top w:val="nil" w:sz="6" w:space="0" w:color="auto"/>
              <w:left w:val="nil" w:sz="6" w:space="0" w:color="auto"/>
              <w:bottom w:val="single" w:sz="8" w:space="0" w:color="9C8758"/>
              <w:right w:val="nil" w:sz="6" w:space="0" w:color="auto"/>
            </w:tcBorders>
          </w:tcPr>
          <w:p>
            <w:pPr>
              <w:pStyle w:val="TableParagraph"/>
              <w:spacing w:line="205" w:lineRule="exact" w:before="15"/>
              <w:ind w:left="722" w:right="0"/>
              <w:jc w:val="left"/>
              <w:rPr>
                <w:rFonts w:ascii="宋体" w:hAnsi="宋体" w:cs="宋体" w:eastAsia="宋体" w:hint="default"/>
                <w:sz w:val="16"/>
                <w:szCs w:val="16"/>
              </w:rPr>
            </w:pPr>
            <w:r>
              <w:rPr>
                <w:rFonts w:ascii="宋体" w:hAnsi="宋体" w:cs="宋体" w:eastAsia="宋体" w:hint="default"/>
                <w:sz w:val="16"/>
                <w:szCs w:val="16"/>
              </w:rPr>
              <w:t>第三季度</w:t>
            </w:r>
          </w:p>
          <w:p>
            <w:pPr>
              <w:pStyle w:val="TableParagraph"/>
              <w:spacing w:line="205" w:lineRule="exact"/>
              <w:ind w:left="412" w:right="0"/>
              <w:jc w:val="left"/>
              <w:rPr>
                <w:rFonts w:ascii="宋体" w:hAnsi="宋体" w:cs="宋体" w:eastAsia="宋体" w:hint="default"/>
                <w:sz w:val="16"/>
                <w:szCs w:val="16"/>
              </w:rPr>
            </w:pPr>
            <w:r>
              <w:rPr>
                <w:rFonts w:ascii="宋体" w:hAnsi="宋体" w:cs="宋体" w:eastAsia="宋体" w:hint="default"/>
                <w:w w:val="105"/>
                <w:sz w:val="16"/>
                <w:szCs w:val="16"/>
              </w:rPr>
              <w:t>（7-9</w:t>
            </w:r>
            <w:r>
              <w:rPr>
                <w:rFonts w:ascii="宋体" w:hAnsi="宋体" w:cs="宋体" w:eastAsia="宋体" w:hint="default"/>
                <w:spacing w:val="-59"/>
                <w:w w:val="105"/>
                <w:sz w:val="16"/>
                <w:szCs w:val="16"/>
              </w:rPr>
              <w:t> </w:t>
            </w:r>
            <w:r>
              <w:rPr>
                <w:rFonts w:ascii="宋体" w:hAnsi="宋体" w:cs="宋体" w:eastAsia="宋体" w:hint="default"/>
                <w:w w:val="105"/>
                <w:sz w:val="16"/>
                <w:szCs w:val="16"/>
              </w:rPr>
              <w:t>月份）</w:t>
            </w:r>
          </w:p>
        </w:tc>
        <w:tc>
          <w:tcPr>
            <w:tcW w:w="1526" w:type="dxa"/>
            <w:tcBorders>
              <w:top w:val="nil" w:sz="6" w:space="0" w:color="auto"/>
              <w:left w:val="nil" w:sz="6" w:space="0" w:color="auto"/>
              <w:bottom w:val="single" w:sz="8" w:space="0" w:color="9C8758"/>
              <w:right w:val="nil" w:sz="6" w:space="0" w:color="auto"/>
            </w:tcBorders>
          </w:tcPr>
          <w:p>
            <w:pPr>
              <w:pStyle w:val="TableParagraph"/>
              <w:spacing w:line="205" w:lineRule="exact" w:before="15"/>
              <w:ind w:left="801" w:right="0"/>
              <w:jc w:val="left"/>
              <w:rPr>
                <w:rFonts w:ascii="宋体" w:hAnsi="宋体" w:cs="宋体" w:eastAsia="宋体" w:hint="default"/>
                <w:sz w:val="16"/>
                <w:szCs w:val="16"/>
              </w:rPr>
            </w:pPr>
            <w:r>
              <w:rPr>
                <w:rFonts w:ascii="宋体" w:hAnsi="宋体" w:cs="宋体" w:eastAsia="宋体" w:hint="default"/>
                <w:sz w:val="16"/>
                <w:szCs w:val="16"/>
              </w:rPr>
              <w:t>第四季度</w:t>
            </w:r>
          </w:p>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105"/>
                <w:sz w:val="16"/>
                <w:szCs w:val="16"/>
              </w:rPr>
              <w:t>（10-12</w:t>
            </w:r>
            <w:r>
              <w:rPr>
                <w:rFonts w:ascii="宋体" w:hAnsi="宋体" w:cs="宋体" w:eastAsia="宋体" w:hint="default"/>
                <w:spacing w:val="-49"/>
                <w:w w:val="105"/>
                <w:sz w:val="16"/>
                <w:szCs w:val="16"/>
              </w:rPr>
              <w:t> </w:t>
            </w:r>
            <w:r>
              <w:rPr>
                <w:rFonts w:ascii="宋体" w:hAnsi="宋体" w:cs="宋体" w:eastAsia="宋体" w:hint="default"/>
                <w:w w:val="105"/>
                <w:sz w:val="16"/>
                <w:szCs w:val="16"/>
              </w:rPr>
              <w:t>月份）</w:t>
            </w:r>
          </w:p>
        </w:tc>
      </w:tr>
      <w:tr>
        <w:trPr>
          <w:trHeight w:val="360" w:hRule="exact"/>
        </w:trPr>
        <w:tc>
          <w:tcPr>
            <w:tcW w:w="3163"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left="460" w:right="0"/>
              <w:jc w:val="left"/>
              <w:rPr>
                <w:rFonts w:ascii="宋体" w:hAnsi="宋体" w:cs="宋体" w:eastAsia="宋体" w:hint="default"/>
                <w:sz w:val="16"/>
                <w:szCs w:val="16"/>
              </w:rPr>
            </w:pPr>
            <w:r>
              <w:rPr>
                <w:rFonts w:ascii="宋体" w:hAnsi="宋体" w:cs="宋体" w:eastAsia="宋体" w:hint="default"/>
                <w:sz w:val="16"/>
                <w:szCs w:val="16"/>
              </w:rPr>
              <w:t>营业收入</w:t>
            </w:r>
          </w:p>
        </w:tc>
        <w:tc>
          <w:tcPr>
            <w:tcW w:w="1831"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250"/>
              <w:jc w:val="right"/>
              <w:rPr>
                <w:rFonts w:ascii="宋体" w:hAnsi="宋体" w:cs="宋体" w:eastAsia="宋体" w:hint="default"/>
                <w:sz w:val="16"/>
                <w:szCs w:val="16"/>
              </w:rPr>
            </w:pPr>
            <w:r>
              <w:rPr>
                <w:rFonts w:ascii="宋体"/>
                <w:w w:val="95"/>
                <w:sz w:val="16"/>
              </w:rPr>
              <w:t>74,935,058,630</w:t>
            </w:r>
            <w:r>
              <w:rPr>
                <w:rFonts w:ascii="宋体"/>
                <w:sz w:val="16"/>
              </w:rPr>
            </w:r>
          </w:p>
        </w:tc>
        <w:tc>
          <w:tcPr>
            <w:tcW w:w="1616"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0"/>
              <w:jc w:val="center"/>
              <w:rPr>
                <w:rFonts w:ascii="宋体" w:hAnsi="宋体" w:cs="宋体" w:eastAsia="宋体" w:hint="default"/>
                <w:sz w:val="16"/>
                <w:szCs w:val="16"/>
              </w:rPr>
            </w:pPr>
            <w:r>
              <w:rPr>
                <w:rFonts w:ascii="宋体"/>
                <w:sz w:val="16"/>
              </w:rPr>
              <w:t>74,170,130,297</w:t>
            </w:r>
          </w:p>
        </w:tc>
        <w:tc>
          <w:tcPr>
            <w:tcW w:w="1537"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172"/>
              <w:jc w:val="right"/>
              <w:rPr>
                <w:rFonts w:ascii="宋体" w:hAnsi="宋体" w:cs="宋体" w:eastAsia="宋体" w:hint="default"/>
                <w:sz w:val="16"/>
                <w:szCs w:val="16"/>
              </w:rPr>
            </w:pPr>
            <w:r>
              <w:rPr>
                <w:rFonts w:ascii="宋体"/>
                <w:w w:val="95"/>
                <w:sz w:val="16"/>
              </w:rPr>
              <w:t>70,606,355,832</w:t>
            </w:r>
            <w:r>
              <w:rPr>
                <w:rFonts w:ascii="宋体"/>
                <w:sz w:val="16"/>
              </w:rPr>
            </w:r>
          </w:p>
        </w:tc>
        <w:tc>
          <w:tcPr>
            <w:tcW w:w="1526" w:type="dxa"/>
            <w:tcBorders>
              <w:top w:val="single" w:sz="8" w:space="0" w:color="9C8758"/>
              <w:left w:val="nil" w:sz="6" w:space="0" w:color="auto"/>
              <w:bottom w:val="nil" w:sz="6" w:space="0" w:color="auto"/>
              <w:right w:val="nil" w:sz="6" w:space="0" w:color="auto"/>
            </w:tcBorders>
          </w:tcPr>
          <w:p>
            <w:pPr>
              <w:pStyle w:val="TableParagraph"/>
              <w:spacing w:line="240" w:lineRule="auto" w:before="72"/>
              <w:ind w:right="82"/>
              <w:jc w:val="right"/>
              <w:rPr>
                <w:rFonts w:ascii="宋体" w:hAnsi="宋体" w:cs="宋体" w:eastAsia="宋体" w:hint="default"/>
                <w:sz w:val="16"/>
                <w:szCs w:val="16"/>
              </w:rPr>
            </w:pPr>
            <w:r>
              <w:rPr>
                <w:rFonts w:ascii="宋体"/>
                <w:w w:val="95"/>
                <w:sz w:val="16"/>
              </w:rPr>
              <w:t>71,165,232,107</w:t>
            </w:r>
            <w:r>
              <w:rPr>
                <w:rFonts w:ascii="宋体"/>
                <w:sz w:val="16"/>
              </w:rPr>
            </w:r>
          </w:p>
        </w:tc>
      </w:tr>
      <w:tr>
        <w:trPr>
          <w:trHeight w:val="290" w:hRule="exact"/>
        </w:trPr>
        <w:tc>
          <w:tcPr>
            <w:tcW w:w="3163" w:type="dxa"/>
            <w:tcBorders>
              <w:top w:val="nil" w:sz="6" w:space="0" w:color="auto"/>
              <w:left w:val="nil" w:sz="6" w:space="0" w:color="auto"/>
              <w:bottom w:val="nil" w:sz="6" w:space="0" w:color="auto"/>
              <w:right w:val="nil" w:sz="6" w:space="0" w:color="auto"/>
            </w:tcBorders>
          </w:tcPr>
          <w:p>
            <w:pPr>
              <w:pStyle w:val="TableParagraph"/>
              <w:spacing w:line="205" w:lineRule="exact"/>
              <w:ind w:left="459" w:right="0"/>
              <w:jc w:val="left"/>
              <w:rPr>
                <w:rFonts w:ascii="宋体" w:hAnsi="宋体" w:cs="宋体" w:eastAsia="宋体" w:hint="default"/>
                <w:sz w:val="16"/>
                <w:szCs w:val="16"/>
              </w:rPr>
            </w:pPr>
            <w:r>
              <w:rPr>
                <w:rFonts w:ascii="宋体" w:hAnsi="宋体" w:cs="宋体" w:eastAsia="宋体" w:hint="default"/>
                <w:sz w:val="16"/>
                <w:szCs w:val="16"/>
              </w:rPr>
              <w:t>归属于上市公司股东的净利润</w:t>
            </w:r>
          </w:p>
        </w:tc>
        <w:tc>
          <w:tcPr>
            <w:tcW w:w="1831" w:type="dxa"/>
            <w:tcBorders>
              <w:top w:val="nil" w:sz="6" w:space="0" w:color="auto"/>
              <w:left w:val="nil" w:sz="6" w:space="0" w:color="auto"/>
              <w:bottom w:val="nil" w:sz="6" w:space="0" w:color="auto"/>
              <w:right w:val="nil" w:sz="6" w:space="0" w:color="auto"/>
            </w:tcBorders>
          </w:tcPr>
          <w:p>
            <w:pPr>
              <w:pStyle w:val="TableParagraph"/>
              <w:spacing w:line="205" w:lineRule="exact"/>
              <w:ind w:right="251"/>
              <w:jc w:val="right"/>
              <w:rPr>
                <w:rFonts w:ascii="宋体" w:hAnsi="宋体" w:cs="宋体" w:eastAsia="宋体" w:hint="default"/>
                <w:sz w:val="16"/>
                <w:szCs w:val="16"/>
              </w:rPr>
            </w:pPr>
            <w:r>
              <w:rPr>
                <w:rFonts w:ascii="宋体"/>
                <w:w w:val="95"/>
                <w:sz w:val="16"/>
              </w:rPr>
              <w:t>1,302,059,220</w:t>
            </w:r>
            <w:r>
              <w:rPr>
                <w:rFonts w:ascii="宋体"/>
                <w:sz w:val="16"/>
              </w:rPr>
            </w:r>
          </w:p>
        </w:tc>
        <w:tc>
          <w:tcPr>
            <w:tcW w:w="1616" w:type="dxa"/>
            <w:tcBorders>
              <w:top w:val="nil" w:sz="6" w:space="0" w:color="auto"/>
              <w:left w:val="nil" w:sz="6" w:space="0" w:color="auto"/>
              <w:bottom w:val="nil" w:sz="6" w:space="0" w:color="auto"/>
              <w:right w:val="nil" w:sz="6" w:space="0" w:color="auto"/>
            </w:tcBorders>
          </w:tcPr>
          <w:p>
            <w:pPr>
              <w:pStyle w:val="TableParagraph"/>
              <w:spacing w:line="205" w:lineRule="exact"/>
              <w:ind w:left="88" w:right="0"/>
              <w:jc w:val="center"/>
              <w:rPr>
                <w:rFonts w:ascii="宋体" w:hAnsi="宋体" w:cs="宋体" w:eastAsia="宋体" w:hint="default"/>
                <w:sz w:val="16"/>
                <w:szCs w:val="16"/>
              </w:rPr>
            </w:pPr>
            <w:r>
              <w:rPr>
                <w:rFonts w:ascii="宋体"/>
                <w:sz w:val="16"/>
              </w:rPr>
              <w:t>1,281,127,210</w:t>
            </w:r>
          </w:p>
        </w:tc>
        <w:tc>
          <w:tcPr>
            <w:tcW w:w="1537" w:type="dxa"/>
            <w:tcBorders>
              <w:top w:val="nil" w:sz="6" w:space="0" w:color="auto"/>
              <w:left w:val="nil" w:sz="6" w:space="0" w:color="auto"/>
              <w:bottom w:val="nil" w:sz="6" w:space="0" w:color="auto"/>
              <w:right w:val="nil" w:sz="6" w:space="0" w:color="auto"/>
            </w:tcBorders>
          </w:tcPr>
          <w:p>
            <w:pPr>
              <w:pStyle w:val="TableParagraph"/>
              <w:spacing w:line="205" w:lineRule="exact"/>
              <w:ind w:right="172"/>
              <w:jc w:val="right"/>
              <w:rPr>
                <w:rFonts w:ascii="宋体" w:hAnsi="宋体" w:cs="宋体" w:eastAsia="宋体" w:hint="default"/>
                <w:sz w:val="16"/>
                <w:szCs w:val="16"/>
              </w:rPr>
            </w:pPr>
            <w:r>
              <w:rPr>
                <w:rFonts w:ascii="宋体"/>
                <w:sz w:val="16"/>
              </w:rPr>
              <w:t>886,844,647</w:t>
            </w:r>
          </w:p>
        </w:tc>
        <w:tc>
          <w:tcPr>
            <w:tcW w:w="1526"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sz w:val="16"/>
              </w:rPr>
              <w:t>610,740,650</w:t>
            </w:r>
          </w:p>
        </w:tc>
      </w:tr>
    </w:tbl>
    <w:p>
      <w:pPr>
        <w:spacing w:line="140" w:lineRule="exact" w:before="0"/>
        <w:ind w:left="1275" w:right="764" w:firstLine="0"/>
        <w:jc w:val="left"/>
        <w:rPr>
          <w:rFonts w:ascii="宋体" w:hAnsi="宋体" w:cs="宋体" w:eastAsia="宋体" w:hint="default"/>
          <w:sz w:val="16"/>
          <w:szCs w:val="16"/>
        </w:rPr>
      </w:pPr>
      <w:r>
        <w:rPr>
          <w:rFonts w:ascii="宋体" w:hAnsi="宋体" w:cs="宋体" w:eastAsia="宋体" w:hint="default"/>
          <w:sz w:val="16"/>
          <w:szCs w:val="16"/>
        </w:rPr>
        <w:t>归属于上市公司股东的扣除非经常性</w:t>
      </w:r>
    </w:p>
    <w:p>
      <w:pPr>
        <w:tabs>
          <w:tab w:pos="4534" w:val="left" w:leader="none"/>
          <w:tab w:pos="6150" w:val="left" w:leader="none"/>
          <w:tab w:pos="7766" w:val="left" w:leader="none"/>
          <w:tab w:pos="9514" w:val="left" w:leader="none"/>
        </w:tabs>
        <w:spacing w:line="251" w:lineRule="exact" w:before="0"/>
        <w:ind w:left="1275" w:right="764" w:firstLine="0"/>
        <w:jc w:val="left"/>
        <w:rPr>
          <w:rFonts w:ascii="宋体" w:hAnsi="宋体" w:cs="宋体" w:eastAsia="宋体" w:hint="default"/>
          <w:sz w:val="16"/>
          <w:szCs w:val="16"/>
        </w:rPr>
      </w:pPr>
      <w:r>
        <w:rPr>
          <w:rFonts w:ascii="宋体" w:hAnsi="宋体" w:cs="宋体" w:eastAsia="宋体" w:hint="default"/>
          <w:position w:val="-8"/>
          <w:sz w:val="16"/>
          <w:szCs w:val="16"/>
        </w:rPr>
        <w:t>损益后的净利润</w:t>
        <w:tab/>
      </w:r>
      <w:r>
        <w:rPr>
          <w:rFonts w:ascii="宋体" w:hAnsi="宋体" w:cs="宋体" w:eastAsia="宋体" w:hint="default"/>
          <w:w w:val="95"/>
          <w:sz w:val="16"/>
          <w:szCs w:val="16"/>
        </w:rPr>
        <w:t>1,298,267,367</w:t>
        <w:tab/>
        <w:t>1,852,901,054</w:t>
        <w:tab/>
        <w:t>1,312,688,435</w:t>
        <w:tab/>
      </w:r>
      <w:r>
        <w:rPr>
          <w:rFonts w:ascii="宋体" w:hAnsi="宋体" w:cs="宋体" w:eastAsia="宋体" w:hint="default"/>
          <w:sz w:val="16"/>
          <w:szCs w:val="16"/>
        </w:rPr>
        <w:t>563,426,263</w:t>
      </w:r>
    </w:p>
    <w:p>
      <w:pPr>
        <w:tabs>
          <w:tab w:pos="4445" w:val="left" w:leader="none"/>
          <w:tab w:pos="6061" w:val="left" w:leader="none"/>
          <w:tab w:pos="7677" w:val="left" w:leader="none"/>
          <w:tab w:pos="9292" w:val="left" w:leader="none"/>
        </w:tabs>
        <w:spacing w:before="87"/>
        <w:ind w:left="1274" w:right="764" w:firstLine="0"/>
        <w:jc w:val="left"/>
        <w:rPr>
          <w:rFonts w:ascii="宋体" w:hAnsi="宋体" w:cs="宋体" w:eastAsia="宋体" w:hint="default"/>
          <w:sz w:val="16"/>
          <w:szCs w:val="16"/>
        </w:rPr>
      </w:pPr>
      <w:r>
        <w:rPr>
          <w:rFonts w:ascii="宋体" w:hAnsi="宋体" w:cs="宋体" w:eastAsia="宋体" w:hint="default"/>
          <w:sz w:val="16"/>
          <w:szCs w:val="16"/>
        </w:rPr>
        <w:t>经营活动产生的现金流量净额</w:t>
        <w:tab/>
      </w:r>
      <w:r>
        <w:rPr>
          <w:rFonts w:ascii="宋体" w:hAnsi="宋体" w:cs="宋体" w:eastAsia="宋体" w:hint="default"/>
          <w:w w:val="95"/>
          <w:sz w:val="16"/>
          <w:szCs w:val="16"/>
        </w:rPr>
        <w:t>25,456,487,663</w:t>
        <w:tab/>
        <w:t>26,897,177,237</w:t>
        <w:tab/>
        <w:t>30,778,149,306</w:t>
        <w:tab/>
      </w:r>
      <w:r>
        <w:rPr>
          <w:rFonts w:ascii="宋体" w:hAnsi="宋体" w:cs="宋体" w:eastAsia="宋体" w:hint="default"/>
          <w:sz w:val="16"/>
          <w:szCs w:val="16"/>
        </w:rPr>
        <w:t>11,697,911,141</w:t>
      </w:r>
    </w:p>
    <w:p>
      <w:pPr>
        <w:spacing w:line="240" w:lineRule="auto" w:before="6"/>
        <w:rPr>
          <w:rFonts w:ascii="宋体" w:hAnsi="宋体" w:cs="宋体" w:eastAsia="宋体" w:hint="default"/>
          <w:sz w:val="9"/>
          <w:szCs w:val="9"/>
        </w:rPr>
      </w:pPr>
    </w:p>
    <w:p>
      <w:pPr>
        <w:spacing w:line="20" w:lineRule="exact"/>
        <w:ind w:left="11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2835;height:2" coordorigin="5,5" coordsize="2835,2">
              <v:shape style="position:absolute;left:5;top:5;width:2835;height:2" coordorigin="5,5" coordsize="2835,0" path="m5,5l2840,5e" filled="false" stroked="true" strokeweight=".5pt" strokecolor="#d7000f">
                <v:path arrowok="t"/>
              </v:shape>
            </v:group>
            <v:group style="position:absolute;left:2840;top:5;width:1616;height:2" coordorigin="2840,5" coordsize="1616,2">
              <v:shape style="position:absolute;left:2840;top:5;width:1616;height:2" coordorigin="2840,5" coordsize="1616,0" path="m2840,5l4455,5e" filled="false" stroked="true" strokeweight=".5pt" strokecolor="#000000">
                <v:path arrowok="t"/>
              </v:shape>
            </v:group>
            <v:group style="position:absolute;left:4455;top:5;width:1616;height:2" coordorigin="4455,5" coordsize="1616,2">
              <v:shape style="position:absolute;left:4455;top:5;width:1616;height:2" coordorigin="4455,5" coordsize="1616,0" path="m4455,5l6071,5e" filled="false" stroked="true" strokeweight=".5pt" strokecolor="#000000">
                <v:path arrowok="t"/>
              </v:shape>
            </v:group>
            <v:group style="position:absolute;left:6071;top:5;width:1616;height:2" coordorigin="6071,5" coordsize="1616,2">
              <v:shape style="position:absolute;left:6071;top:5;width:1616;height:2" coordorigin="6071,5" coordsize="1616,0" path="m6071,5l7687,5e" filled="false" stroked="true" strokeweight=".5pt" strokecolor="#000000">
                <v:path arrowok="t"/>
              </v:shape>
            </v:group>
            <v:group style="position:absolute;left:7687;top:5;width:1616;height:2" coordorigin="7687,5" coordsize="1616,2">
              <v:shape style="position:absolute;left:7687;top:5;width:1616;height:2" coordorigin="7687,5" coordsize="1616,0" path="m7687,5l9303,5e" filled="false" stroked="true" strokeweight=".5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footerReference w:type="even" r:id="rId56"/>
          <w:pgSz w:w="11910" w:h="16160"/>
          <w:pgMar w:footer="0" w:header="0" w:top="3520" w:bottom="0" w:left="0" w:right="0"/>
        </w:sectPr>
      </w:pPr>
    </w:p>
    <w:p>
      <w:pPr>
        <w:tabs>
          <w:tab w:pos="5599" w:val="left" w:leader="none"/>
        </w:tabs>
        <w:spacing w:before="61"/>
        <w:ind w:left="814" w:right="0" w:firstLine="0"/>
        <w:jc w:val="left"/>
        <w:rPr>
          <w:rFonts w:ascii="宋体" w:hAnsi="宋体" w:cs="宋体" w:eastAsia="宋体" w:hint="default"/>
          <w:sz w:val="16"/>
          <w:szCs w:val="16"/>
        </w:rPr>
      </w:pPr>
      <w:r>
        <w:rPr/>
        <w:pict>
          <v:group style="position:absolute;margin-left:-5.499999pt;margin-top:-402.388947pt;width:455.25pt;height:433.9pt;mso-position-horizontal-relative:page;mso-position-vertical-relative:paragraph;z-index:-967360" coordorigin="-110,-8048" coordsize="9105,8678">
            <v:group style="position:absolute;left:0;top:-1995;width:7100;height:2137" coordorigin="0,-1995" coordsize="7100,2137">
              <v:shape style="position:absolute;left:0;top:-1995;width:7100;height:2137" coordorigin="0,-1995" coordsize="7100,2137" path="m7099,-1995l0,142e" filled="false" stroked="true" strokeweight="7.0pt" strokecolor="#d7000f">
                <v:path arrowok="t"/>
              </v:shape>
            </v:group>
            <v:group style="position:absolute;left:0;top:-2109;width:3761;height:1132" coordorigin="0,-2109" coordsize="3761,1132">
              <v:shape style="position:absolute;left:0;top:-2109;width:3761;height:1132" coordorigin="0,-2109" coordsize="3761,1132" path="m3761,-2109l0,-977e" filled="false" stroked="true" strokeweight="6pt" strokecolor="#9c8758">
                <v:path arrowok="t"/>
              </v:shape>
            </v:group>
            <v:group style="position:absolute;left:5343;top:-5020;width:1918;height:1918" coordorigin="5343,-5020" coordsize="1918,1918">
              <v:shape style="position:absolute;left:5343;top:-5020;width:1918;height:1918" coordorigin="5343,-5020" coordsize="1918,1918" path="m6315,-5020l6243,-5018,6170,-5011,6098,-4998,6025,-4979,5954,-4954,5886,-4925,5822,-4891,5761,-4853,5703,-4810,5650,-4764,5600,-4714,5554,-4660,5512,-4604,5474,-4545,5441,-4483,5412,-4419,5388,-4353,5369,-4285,5355,-4216,5346,-4146,5343,-4074,5344,-4002,5352,-3930,5365,-3857,5383,-3784,5408,-3713,5437,-3646,5471,-3581,5509,-3520,5552,-3463,5598,-3409,5648,-3359,5702,-3313,5758,-3271,5817,-3233,5879,-3200,5943,-3172,6009,-3148,6077,-3129,6146,-3114,6216,-3105,6288,-3102,6360,-3103,6433,-3111,6505,-3124,6578,-3143,6649,-3167,6716,-3196,6781,-3230,6842,-3268,6900,-3311,6953,-3357,7003,-3407,7049,-3461,7091,-3517,7129,-3576,7162,-3638,7191,-3702,7215,-3768,7234,-3836,7248,-3905,7257,-3976,7260,-4047,7259,-4119,7251,-4192,7238,-4264,7220,-4337,7195,-4408,7166,-4476,7132,-4540,7094,-4601,7051,-4659,7005,-4712,6955,-4762,6901,-4808,6845,-4850,6786,-4888,6724,-4921,6660,-4950,6594,-4974,6526,-4993,6457,-5007,6386,-5016,6315,-5020xe" filled="true" fillcolor="#8e9090" stroked="false">
                <v:path arrowok="t"/>
                <v:fill type="solid"/>
              </v:shape>
            </v:group>
            <v:group style="position:absolute;left:0;top:-3831;width:5540;height:1668" coordorigin="0,-3831" coordsize="5540,1668">
              <v:shape style="position:absolute;left:0;top:-3831;width:5540;height:1668" coordorigin="0,-3831" coordsize="5540,1668" path="m5539,-3831l0,-2164e" filled="false" stroked="true" strokeweight="6pt" strokecolor="#8e9090">
                <v:path arrowok="t"/>
              </v:shape>
            </v:group>
            <v:group style="position:absolute;left:0;top:-3641;width:2065;height:622" coordorigin="0,-3641" coordsize="2065,622">
              <v:shape style="position:absolute;left:0;top:-3641;width:2065;height:622" coordorigin="0,-3641" coordsize="2065,622" path="m2064,-3641l0,-3020e" filled="false" stroked="true" strokeweight="10.0pt" strokecolor="#d7000f">
                <v:path arrowok="t"/>
              </v:shape>
            </v:group>
            <v:group style="position:absolute;left:0;top:-6270;width:6536;height:1968" coordorigin="0,-6270" coordsize="6536,1968">
              <v:shape style="position:absolute;left:0;top:-6270;width:6536;height:1968" coordorigin="0,-6270" coordsize="6536,1968" path="m6536,-6270l0,-4303e" filled="false" stroked="true" strokeweight="11pt" strokecolor="#9c8758">
                <v:path arrowok="t"/>
              </v:shape>
            </v:group>
            <v:group style="position:absolute;left:0;top:-8048;width:4546;height:2837" coordorigin="0,-8048" coordsize="4546,2837">
              <v:shape style="position:absolute;left:0;top:-8048;width:4546;height:2837" coordorigin="0,-8048" coordsize="4546,2837" path="m4546,-8048l0,-6684,0,-5211,4546,-6575,4546,-8048xe" filled="true" fillcolor="#8e9090" stroked="false">
                <v:path arrowok="t"/>
                <v:fill type="solid"/>
              </v:shape>
            </v:group>
            <v:group style="position:absolute;left:6334;top:-7603;width:2143;height:2143" coordorigin="6334,-7603" coordsize="2143,2143">
              <v:shape style="position:absolute;left:6334;top:-7603;width:2143;height:2143" coordorigin="6334,-7603" coordsize="2143,2143" path="m7393,-7603l7319,-7600,7245,-7591,7171,-7577,7097,-7558,7024,-7533,6955,-7504,6888,-7470,6825,-7432,6765,-7390,6708,-7345,6655,-7296,6605,-7244,6559,-7189,6518,-7131,6480,-7070,6446,-7007,6416,-6942,6391,-6875,6370,-6806,6354,-6736,6343,-6665,6336,-6592,6334,-6519,6338,-6445,6347,-6371,6361,-6297,6380,-6223,6405,-6151,6434,-6081,6467,-6014,6505,-5951,6547,-5891,6592,-5834,6641,-5781,6694,-5731,6749,-5685,6807,-5644,6868,-5606,6930,-5572,6996,-5542,7063,-5517,7131,-5496,7201,-5480,7273,-5469,7345,-5462,7418,-5461,7492,-5464,7566,-5473,7640,-5487,7714,-5506,7787,-5531,7856,-5560,7923,-5594,7986,-5631,8047,-5673,8103,-5718,8156,-5767,8206,-5820,8252,-5875,8294,-5933,8332,-5993,8366,-6056,8395,-6122,8421,-6189,8441,-6257,8457,-6327,8469,-6399,8475,-6471,8477,-6545,8474,-6618,8465,-6692,8451,-6767,8431,-6841,8407,-6913,8378,-6983,8344,-7049,8306,-7113,8264,-7173,8219,-7229,8170,-7283,8118,-7332,8063,-7378,8005,-7420,7944,-7458,7881,-7492,7816,-7521,7749,-7547,7680,-7567,7610,-7584,7538,-7595,7466,-7602,7393,-7603xe" filled="true" fillcolor="#9c8758" stroked="false">
                <v:path arrowok="t"/>
                <v:fill type="solid"/>
              </v:shape>
            </v:group>
            <v:group style="position:absolute;left:6899;top:-3298;width:2097;height:2097" coordorigin="6899,-3298" coordsize="2097,2097">
              <v:shape style="position:absolute;left:6899;top:-3298;width:2097;height:2097" coordorigin="6899,-3298" coordsize="2097,2097" path="m7934,-3298l7862,-3295,7790,-3287,7717,-3273,7645,-3254,7574,-3230,7506,-3201,7441,-3168,7379,-3131,7320,-3090,7264,-3046,7212,-2998,7164,-2947,7119,-2893,7078,-2836,7041,-2777,7008,-2715,6979,-2651,6954,-2586,6934,-2519,6918,-2450,6907,-2380,6900,-2309,6899,-2238,6902,-2166,6910,-2093,6924,-2021,6943,-1948,6967,-1877,6996,-1809,7029,-1744,7066,-1682,7107,-1623,7151,-1568,7199,-1516,7250,-1467,7304,-1422,7361,-1381,7420,-1344,7482,-1311,7545,-1282,7611,-1257,7678,-1237,7747,-1221,7817,-1210,7887,-1204,7959,-1202,8031,-1206,8104,-1214,8176,-1228,8249,-1247,8320,-1271,8388,-1300,8453,-1333,8515,-1369,8574,-1410,8629,-1455,8681,-1503,8730,-1554,8775,-1608,8816,-1664,8853,-1724,8886,-1785,8915,-1849,8940,-1915,8960,-1982,8976,-2050,8987,-2120,8993,-2191,8995,-2263,8992,-2335,8983,-2407,8969,-2480,8950,-2552,8926,-2623,8898,-2691,8865,-2756,8828,-2818,8787,-2877,8742,-2932,8695,-2985,8643,-3033,8589,-3078,8533,-3119,8473,-3156,8412,-3189,8348,-3218,8282,-3243,8215,-3263,8147,-3279,8077,-3290,8006,-3297,7934,-3298xe" filled="true" fillcolor="#d7000f" stroked="false">
                <v:path arrowok="t"/>
                <v:fill type="solid"/>
              </v:shape>
            </v:group>
            <v:group style="position:absolute;left:1745;top:-5105;width:2346;height:2346" coordorigin="1745,-5105" coordsize="2346,2346">
              <v:shape style="position:absolute;left:1745;top:-5105;width:2346;height:2346" coordorigin="1745,-5105" coordsize="2346,2346" path="m2952,-5105l2878,-5104,2804,-5100,2729,-5090,2655,-5075,2580,-5055,2507,-5030,2436,-5001,2369,-4968,2304,-4932,2242,-4891,2184,-4847,2128,-4799,2076,-4749,2027,-4695,1982,-4639,1940,-4580,1902,-4519,1868,-4455,1838,-4390,1812,-4322,1790,-4254,1772,-4183,1759,-4112,1750,-4039,1745,-3966,1746,-3892,1751,-3818,1760,-3743,1775,-3668,1795,-3594,1820,-3521,1848,-3450,1881,-3383,1918,-3318,1959,-3256,2003,-3198,2051,-3142,2101,-3090,2155,-3041,2211,-2996,2270,-2954,2331,-2916,2395,-2882,2460,-2852,2528,-2826,2596,-2804,2667,-2786,2738,-2773,2810,-2764,2884,-2759,2958,-2760,3032,-2764,3107,-2774,3181,-2789,3256,-2809,3329,-2833,3400,-2862,3467,-2895,3532,-2932,3594,-2973,3652,-3017,3708,-3065,3760,-3115,3809,-3169,3854,-3225,3896,-3284,3934,-3345,3968,-3409,3998,-3474,4024,-3541,4046,-3610,4064,-3680,4077,-3752,4086,-3824,4091,-3898,4091,-3972,4086,-4046,4076,-4121,4061,-4195,4041,-4270,4017,-4343,3988,-4414,3955,-4481,3918,-4546,3877,-4608,3833,-4667,3785,-4722,3735,-4774,3681,-4823,3625,-4868,3566,-4910,3505,-4948,3441,-4982,3376,-5012,3309,-5038,3240,-5060,3169,-5078,3098,-5091,3026,-5100,2952,-5105xe" filled="true" fillcolor="#d7000f" stroked="false">
                <v:path arrowok="t"/>
                <v:fill type="solid"/>
              </v:shape>
            </v:group>
            <v:group style="position:absolute;left:3566;top:-3248;width:1843;height:1843" coordorigin="3566,-3248" coordsize="1843,1843">
              <v:shape style="position:absolute;left:3566;top:-3248;width:1843;height:1843" coordorigin="3566,-3248" coordsize="1843,1843" path="m4514,-3248l4441,-3248,4368,-3241,4295,-3228,4222,-3209,4150,-3185,4082,-3155,4017,-3120,3956,-3081,3899,-3037,3846,-2989,3797,-2938,3752,-2883,3711,-2825,3676,-2764,3644,-2700,3618,-2634,3597,-2567,3581,-2497,3571,-2426,3566,-2354,3567,-2282,3573,-2209,3586,-2135,3605,-2062,3630,-1990,3660,-1922,3694,-1858,3734,-1797,3778,-1740,3825,-1686,3877,-1637,3932,-1592,3990,-1552,4051,-1516,4115,-1485,4180,-1459,4248,-1438,4317,-1422,4388,-1411,4460,-1406,4533,-1407,4606,-1414,4679,-1426,4753,-1445,4824,-1470,4892,-1500,4957,-1535,5018,-1574,5075,-1618,5128,-1666,5177,-1717,5222,-1772,5263,-1830,5298,-1891,5330,-1955,5356,-2021,5377,-2088,5393,-2158,5403,-2229,5408,-2301,5407,-2373,5401,-2446,5388,-2520,5369,-2593,5344,-2665,5314,-2733,5280,-2797,5240,-2858,5196,-2915,5149,-2969,5097,-3018,5042,-3063,4984,-3103,4923,-3139,4860,-3170,4794,-3196,4726,-3217,4657,-3233,4586,-3244,4514,-3248xe" filled="true" fillcolor="#9c8758" stroked="false">
                <v:path arrowok="t"/>
                <v:fill type="solid"/>
              </v:shape>
              <v:shape style="position:absolute;left:4643;top:-508;width:187;height:187" type="#_x0000_t75" stroked="false">
                <v:imagedata r:id="rId57" o:title=""/>
              </v:shape>
            </v:group>
            <v:group style="position:absolute;left:1295;top:-408;width:3419;height:1029" coordorigin="1295,-408" coordsize="3419,1029">
              <v:shape style="position:absolute;left:1295;top:-408;width:3419;height:1029" coordorigin="1295,-408" coordsize="3419,1029" path="m4714,-408l1295,621e" filled="false" stroked="true" strokeweight=".956pt" strokecolor="#9c8758">
                <v:path arrowok="t"/>
              </v:shape>
              <v:shape style="position:absolute;left:2148;top:-1180;width:187;height:187" type="#_x0000_t75" stroked="false">
                <v:imagedata r:id="rId58" o:title=""/>
              </v:shape>
            </v:group>
            <v:group style="position:absolute;left:0;top:-1080;width:2220;height:668" coordorigin="0,-1080" coordsize="2220,668">
              <v:shape style="position:absolute;left:0;top:-1080;width:2220;height:668" coordorigin="0,-1080" coordsize="2220,668" path="m2219,-1080l0,-412e" filled="false" stroked="true" strokeweight=".956pt" strokecolor="#8e9090">
                <v:path arrowok="t"/>
              </v:shape>
              <v:shape style="position:absolute;left:950;top:-3888;width:152;height:152" type="#_x0000_t75" stroked="false">
                <v:imagedata r:id="rId59" o:title=""/>
              </v:shape>
            </v:group>
            <v:group style="position:absolute;left:0;top:-3807;width:1008;height:304" coordorigin="0,-3807" coordsize="1008,304">
              <v:shape style="position:absolute;left:0;top:-3807;width:1008;height:304" coordorigin="0,-3807" coordsize="1008,304" path="m1008,-3807l0,-3503e" filled="false" stroked="true" strokeweight=".779pt" strokecolor="#d7000f">
                <v:path arrowok="t"/>
              </v:shape>
              <v:shape style="position:absolute;left:-7;top:-6405;width:490;height:201" type="#_x0000_t75" stroked="false">
                <v:imagedata r:id="rId60" o:title=""/>
              </v:shape>
              <v:shape style="position:absolute;left:1318;top:-7603;width:171;height:171" type="#_x0000_t75" stroked="false">
                <v:imagedata r:id="rId61" o:title=""/>
              </v:shape>
            </v:group>
            <v:group style="position:absolute;left:0;top:-7512;width:1383;height:415" coordorigin="0,-7512" coordsize="1383,415">
              <v:shape style="position:absolute;left:0;top:-7512;width:1383;height:415" coordorigin="0,-7512" coordsize="1383,415" path="m1383,-7512l0,-7098e" filled="false" stroked="true" strokeweight=".497pt" strokecolor="#000000">
                <v:path arrowok="t"/>
              </v:shape>
            </v:group>
            <w10:wrap type="none"/>
          </v:group>
        </w:pict>
      </w:r>
      <w:r>
        <w:rPr/>
        <w:pict>
          <v:shape style="position:absolute;margin-left:34.695854pt;margin-top:435.422058pt;width:95.9pt;height:19.55pt;mso-position-horizontal-relative:page;mso-position-vertical-relative:page;z-index:2584;rotation:344" type="#_x0000_t136" fillcolor="#000000" stroked="f">
            <o:extrusion v:ext="view" autorotationcenter="t"/>
            <v:textpath style="font-family:&amp;quot;宋体&amp;quot;;font-size:19pt;v-text-kern:t;mso-text-shadow:auto" string="提质增效，"/>
            <w10:wrap type="none"/>
          </v:shape>
        </w:pict>
      </w:r>
      <w:r>
        <w:rPr/>
        <w:pict>
          <v:shape style="position:absolute;margin-left:52.992634pt;margin-top:444.259277pt;width:156.8pt;height:19.55pt;mso-position-horizontal-relative:page;mso-position-vertical-relative:page;z-index:2608;rotation:344" type="#_x0000_t136" fillcolor="#000000" stroked="f">
            <o:extrusion v:ext="view" autorotationcenter="t"/>
            <v:textpath style="font-family:&amp;quot;宋体&amp;quot;;font-size:19pt;v-text-kern:t;mso-text-shadow:auto" string="努力提升股东价值"/>
            <w10:wrap type="none"/>
          </v:shape>
        </w:pict>
      </w:r>
      <w:r>
        <w:rPr/>
        <w:pict>
          <v:shape style="position:absolute;margin-left:325.137939pt;margin-top:440.531372pt;width:87.2pt;height:9.450pt;mso-position-horizontal-relative:page;mso-position-vertical-relative:page;z-index:2632;rotation:344" type="#_x0000_t136" fillcolor="#000000" stroked="f">
            <o:extrusion v:ext="view" autorotationcenter="t"/>
            <v:textpath style="font-family:&amp;quot;宋体&amp;quot;;font-size:9pt;v-text-kern:t;mso-text-shadow:auto" string="完善战略财务体系和"/>
            <w10:wrap type="none"/>
          </v:shape>
        </w:pict>
      </w:r>
      <w:r>
        <w:rPr/>
        <w:pict>
          <v:shape style="position:absolute;margin-left:325.760254pt;margin-top:456.012543pt;width:58.45pt;height:9.450pt;mso-position-horizontal-relative:page;mso-position-vertical-relative:page;z-index:2656;rotation:344" type="#_x0000_t136" fillcolor="#000000" stroked="f">
            <o:extrusion v:ext="view" autorotationcenter="t"/>
            <v:textpath style="font-family:&amp;quot;宋体&amp;quot;;font-size:9pt;v-text-kern:t;mso-text-shadow:auto" string="运营财务体系"/>
            <w10:wrap type="none"/>
          </v:shape>
        </w:pict>
      </w:r>
      <w:r>
        <w:rPr/>
        <w:pict>
          <v:shape style="position:absolute;margin-left:100.98069pt;margin-top:575.818237pt;width:57.85pt;height:9.450pt;mso-position-horizontal-relative:page;mso-position-vertical-relative:page;z-index:2680;rotation:344" type="#_x0000_t136" fillcolor="#000000" stroked="f">
            <o:extrusion v:ext="view" autorotationcenter="t"/>
            <v:textpath style="font-family:&amp;quot;宋体&amp;quot;;font-size:9pt;v-text-kern:t;mso-text-shadow:auto" string="坚持价值导向"/>
            <w10:wrap type="none"/>
          </v:shape>
        </w:pict>
      </w:r>
      <w:r>
        <w:rPr/>
        <w:pict>
          <v:shape style="position:absolute;margin-left:100.137909pt;margin-top:581.4328pt;width:96.8pt;height:9.450pt;mso-position-horizontal-relative:page;mso-position-vertical-relative:page;z-index:2704;rotation:344" type="#_x0000_t136" fillcolor="#000000" stroked="f">
            <o:extrusion v:ext="view" autorotationcenter="t"/>
            <v:textpath style="font-family:&amp;quot;宋体&amp;quot;;font-size:9pt;v-text-kern:t;mso-text-shadow:auto" string="持续优化机制增量分享"/>
            <w10:wrap type="none"/>
          </v:shape>
        </w:pict>
      </w:r>
      <w:r>
        <w:rPr/>
        <w:pict>
          <v:shape style="position:absolute;margin-left:278.981567pt;margin-top:565.298157pt;width:67.850pt;height:9.450pt;mso-position-horizontal-relative:page;mso-position-vertical-relative:page;z-index:2728;rotation:344" type="#_x0000_t136" fillcolor="#000000" stroked="f">
            <o:extrusion v:ext="view" autorotationcenter="t"/>
            <v:textpath style="font-family:&amp;quot;宋体&amp;quot;;font-size:9pt;v-text-kern:t;mso-text-shadow:auto" string="进一步强化资产"/>
            <w10:wrap type="none"/>
          </v:shape>
        </w:pict>
      </w:r>
      <w:r>
        <w:rPr/>
        <w:pict>
          <v:shape style="position:absolute;margin-left:278.994232pt;margin-top:576.673523pt;width:67.25pt;height:9.450pt;mso-position-horizontal-relative:page;mso-position-vertical-relative:page;z-index:2752;rotation:344" type="#_x0000_t136" fillcolor="#000000" stroked="f">
            <o:extrusion v:ext="view" autorotationcenter="t"/>
            <v:textpath style="font-family:&amp;quot;宋体&amp;quot;;font-size:9pt;v-text-kern:t;mso-text-shadow:auto" string="全生命周期管理"/>
            <w10:wrap type="none"/>
          </v:shape>
        </w:pict>
      </w:r>
      <w:r>
        <w:rPr/>
        <w:pict>
          <v:shape style="position:absolute;margin-left:186.808243pt;margin-top:652.866150pt;width:58.3pt;height:9.450pt;mso-position-horizontal-relative:page;mso-position-vertical-relative:page;z-index:2776;rotation:344" type="#_x0000_t136" fillcolor="#000000" stroked="f">
            <o:extrusion v:ext="view" autorotationcenter="t"/>
            <v:textpath style="font-family:&amp;quot;宋体&amp;quot;;font-size:9pt;v-text-kern:t;mso-text-shadow:auto" string="加强成本对标"/>
            <w10:wrap type="none"/>
          </v:shape>
        </w:pict>
      </w:r>
      <w:r>
        <w:rPr/>
        <w:pict>
          <v:shape style="position:absolute;margin-left:186.642349pt;margin-top:663.039124pt;width:65.95pt;height:9.450pt;mso-position-horizontal-relative:page;mso-position-vertical-relative:page;z-index:2800;rotation:344" type="#_x0000_t136" fillcolor="#000000" stroked="f">
            <o:extrusion v:ext="view" autorotationcenter="t"/>
            <v:textpath style="font-family:&amp;quot;宋体&amp;quot;;font-size:9pt;v-text-kern:t;mso-text-shadow:auto" string="管控、降本 增效"/>
            <w10:wrap type="none"/>
          </v:shape>
        </w:pict>
      </w:r>
      <w:r>
        <w:rPr/>
        <w:pict>
          <v:shape style="position:absolute;margin-left:351.55127pt;margin-top:649.992432pt;width:87pt;height:9.450pt;mso-position-horizontal-relative:page;mso-position-vertical-relative:page;z-index:2824;rotation:344" type="#_x0000_t136" fillcolor="#000000" stroked="f">
            <o:extrusion v:ext="view" autorotationcenter="t"/>
            <v:textpath style="font-family:&amp;quot;宋体&amp;quot;;font-size:9pt;v-text-kern:t;mso-text-shadow:auto" string="持续强化内控管理和"/>
            <w10:wrap type="none"/>
          </v:shape>
        </w:pict>
      </w:r>
      <w:r>
        <w:rPr/>
        <w:pict>
          <v:shape style="position:absolute;margin-left:351.60144pt;margin-top:661.620667pt;width:84.7pt;height:9.450pt;mso-position-horizontal-relative:page;mso-position-vertical-relative:page;z-index:2848;rotation:344" type="#_x0000_t136" fillcolor="#000000" stroked="f">
            <o:extrusion v:ext="view" autorotationcenter="t"/>
            <v:textpath style="font-family:&amp;quot;宋体&amp;quot;;font-size:9pt;v-text-kern:t;mso-text-shadow:auto" string="审计监督，保障安 全"/>
            <w10:wrap type="none"/>
          </v:shape>
        </w:pict>
      </w:r>
      <w:r>
        <w:rPr/>
        <w:pict>
          <v:shape style="position:absolute;margin-left:352.600861pt;margin-top:-97.202202pt;width:38.5pt;height:9.450pt;mso-position-horizontal-relative:page;mso-position-vertical-relative:paragraph;z-index:2872;rotation:344" type="#_x0000_t136" fillcolor="#000000" stroked="f">
            <o:extrusion v:ext="view" autorotationcenter="t"/>
            <v:textpath style="font-family:&amp;quot;宋体&amp;quot;;font-size:9pt;v-text-kern:t;mso-text-shadow:auto" string="规范运营"/>
            <w10:wrap type="none"/>
          </v:shape>
        </w:pict>
      </w:r>
      <w:r>
        <w:rPr>
          <w:rFonts w:ascii="Arial" w:hAnsi="Arial" w:cs="Arial" w:eastAsia="Arial" w:hint="default"/>
          <w:b/>
          <w:bCs/>
          <w:color w:val="9C8758"/>
          <w:spacing w:val="-1"/>
          <w:position w:val="2"/>
          <w:sz w:val="16"/>
          <w:szCs w:val="16"/>
        </w:rPr>
        <w:t>16</w:t>
        <w:tab/>
      </w:r>
      <w:r>
        <w:rPr>
          <w:rFonts w:ascii="宋体" w:hAnsi="宋体" w:cs="宋体" w:eastAsia="宋体" w:hint="default"/>
          <w:color w:val="595757"/>
          <w:spacing w:val="25"/>
          <w:sz w:val="16"/>
          <w:szCs w:val="16"/>
        </w:rPr>
        <w:t>公司简介和主要财务指标</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266"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0"/>
          <w:cols w:num="2" w:equalWidth="0">
            <w:col w:w="7677" w:space="40"/>
            <w:col w:w="4193"/>
          </w:cols>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8"/>
        <w:rPr>
          <w:rFonts w:ascii="Times New Roman" w:hAnsi="Times New Roman" w:cs="Times New Roman" w:eastAsia="Times New Roman" w:hint="default"/>
          <w:sz w:val="23"/>
          <w:szCs w:val="23"/>
        </w:rPr>
      </w:pPr>
    </w:p>
    <w:tbl>
      <w:tblPr>
        <w:tblW w:w="0" w:type="auto"/>
        <w:jc w:val="left"/>
        <w:tblInd w:w="1382" w:type="dxa"/>
        <w:tblLayout w:type="fixed"/>
        <w:tblCellMar>
          <w:top w:w="0" w:type="dxa"/>
          <w:left w:w="0" w:type="dxa"/>
          <w:bottom w:w="0" w:type="dxa"/>
          <w:right w:w="0" w:type="dxa"/>
        </w:tblCellMar>
        <w:tblLook w:val="01E0"/>
      </w:tblPr>
      <w:tblGrid>
        <w:gridCol w:w="5531"/>
        <w:gridCol w:w="1453"/>
        <w:gridCol w:w="1290"/>
        <w:gridCol w:w="1398"/>
      </w:tblGrid>
      <w:tr>
        <w:trPr>
          <w:trHeight w:val="675"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color w:val="D7000F"/>
                <w:sz w:val="18"/>
                <w:szCs w:val="18"/>
              </w:rPr>
              <w:t>九、非经常性损益项目和金额</w:t>
            </w:r>
            <w:r>
              <w:rPr>
                <w:rFonts w:ascii="宋体" w:hAnsi="宋体" w:cs="宋体" w:eastAsia="宋体" w:hint="default"/>
                <w:sz w:val="18"/>
                <w:szCs w:val="18"/>
              </w:rPr>
            </w:r>
          </w:p>
        </w:tc>
        <w:tc>
          <w:tcPr>
            <w:tcW w:w="1453" w:type="dxa"/>
            <w:tcBorders>
              <w:top w:val="nil" w:sz="6" w:space="0" w:color="auto"/>
              <w:left w:val="nil" w:sz="6" w:space="0" w:color="auto"/>
              <w:bottom w:val="nil" w:sz="6" w:space="0" w:color="auto"/>
              <w:right w:val="nil" w:sz="6" w:space="0" w:color="auto"/>
            </w:tcBorders>
          </w:tcPr>
          <w:p>
            <w:pPr/>
          </w:p>
        </w:tc>
        <w:tc>
          <w:tcPr>
            <w:tcW w:w="1290" w:type="dxa"/>
            <w:tcBorders>
              <w:top w:val="nil" w:sz="6" w:space="0" w:color="auto"/>
              <w:left w:val="nil" w:sz="6" w:space="0" w:color="auto"/>
              <w:bottom w:val="nil" w:sz="6" w:space="0" w:color="auto"/>
              <w:right w:val="nil" w:sz="6" w:space="0" w:color="auto"/>
            </w:tcBorders>
          </w:tcPr>
          <w:p>
            <w:pP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83"/>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tc>
      </w:tr>
      <w:tr>
        <w:trPr>
          <w:trHeight w:val="331" w:hRule="exact"/>
        </w:trPr>
        <w:tc>
          <w:tcPr>
            <w:tcW w:w="5531" w:type="dxa"/>
            <w:tcBorders>
              <w:top w:val="nil" w:sz="6" w:space="0" w:color="auto"/>
              <w:left w:val="nil" w:sz="6" w:space="0" w:color="auto"/>
              <w:bottom w:val="single" w:sz="8" w:space="0" w:color="D7000F"/>
              <w:right w:val="nil" w:sz="6" w:space="0" w:color="auto"/>
            </w:tcBorders>
          </w:tcPr>
          <w:p>
            <w:pPr>
              <w:pStyle w:val="TableParagraph"/>
              <w:spacing w:line="207" w:lineRule="exact"/>
              <w:ind w:left="460" w:right="0"/>
              <w:jc w:val="left"/>
              <w:rPr>
                <w:rFonts w:ascii="宋体" w:hAnsi="宋体" w:cs="宋体" w:eastAsia="宋体" w:hint="default"/>
                <w:sz w:val="16"/>
                <w:szCs w:val="16"/>
              </w:rPr>
            </w:pPr>
            <w:r>
              <w:rPr>
                <w:rFonts w:ascii="宋体" w:hAnsi="宋体" w:cs="宋体" w:eastAsia="宋体" w:hint="default"/>
                <w:sz w:val="16"/>
                <w:szCs w:val="16"/>
              </w:rPr>
              <w:t>非经常性损益项目</w:t>
            </w:r>
          </w:p>
        </w:tc>
        <w:tc>
          <w:tcPr>
            <w:tcW w:w="1453" w:type="dxa"/>
            <w:tcBorders>
              <w:top w:val="nil" w:sz="6" w:space="0" w:color="auto"/>
              <w:left w:val="nil" w:sz="6" w:space="0" w:color="auto"/>
              <w:bottom w:val="single" w:sz="8" w:space="0" w:color="D7000F"/>
              <w:right w:val="nil" w:sz="6" w:space="0" w:color="auto"/>
            </w:tcBorders>
          </w:tcPr>
          <w:p>
            <w:pPr>
              <w:pStyle w:val="TableParagraph"/>
              <w:spacing w:line="207" w:lineRule="exact"/>
              <w:ind w:right="115"/>
              <w:jc w:val="right"/>
              <w:rPr>
                <w:rFonts w:ascii="宋体" w:hAnsi="宋体" w:cs="宋体" w:eastAsia="宋体" w:hint="default"/>
                <w:sz w:val="16"/>
                <w:szCs w:val="16"/>
              </w:rPr>
            </w:pPr>
            <w:r>
              <w:rPr>
                <w:rFonts w:ascii="宋体" w:hAnsi="宋体" w:cs="宋体" w:eastAsia="宋体" w:hint="default"/>
                <w:color w:val="D7000F"/>
                <w:w w:val="105"/>
                <w:sz w:val="16"/>
                <w:szCs w:val="16"/>
              </w:rPr>
              <w:t>2018</w:t>
            </w:r>
            <w:r>
              <w:rPr>
                <w:rFonts w:ascii="宋体" w:hAnsi="宋体" w:cs="宋体" w:eastAsia="宋体" w:hint="default"/>
                <w:color w:val="D7000F"/>
                <w:spacing w:val="-50"/>
                <w:w w:val="105"/>
                <w:sz w:val="16"/>
                <w:szCs w:val="16"/>
              </w:rPr>
              <w:t> </w:t>
            </w:r>
            <w:r>
              <w:rPr>
                <w:rFonts w:ascii="宋体" w:hAnsi="宋体" w:cs="宋体" w:eastAsia="宋体" w:hint="default"/>
                <w:color w:val="D7000F"/>
                <w:w w:val="105"/>
                <w:sz w:val="16"/>
                <w:szCs w:val="16"/>
              </w:rPr>
              <w:t>年金额</w:t>
            </w:r>
            <w:r>
              <w:rPr>
                <w:rFonts w:ascii="宋体" w:hAnsi="宋体" w:cs="宋体" w:eastAsia="宋体" w:hint="default"/>
                <w:w w:val="105"/>
                <w:sz w:val="16"/>
                <w:szCs w:val="16"/>
              </w:rPr>
            </w:r>
          </w:p>
        </w:tc>
        <w:tc>
          <w:tcPr>
            <w:tcW w:w="1290" w:type="dxa"/>
            <w:tcBorders>
              <w:top w:val="nil" w:sz="6" w:space="0" w:color="auto"/>
              <w:left w:val="nil" w:sz="6" w:space="0" w:color="auto"/>
              <w:bottom w:val="single" w:sz="8" w:space="0" w:color="9C8758"/>
              <w:right w:val="nil" w:sz="6" w:space="0" w:color="auto"/>
            </w:tcBorders>
          </w:tcPr>
          <w:p>
            <w:pPr>
              <w:pStyle w:val="TableParagraph"/>
              <w:spacing w:line="207" w:lineRule="exact"/>
              <w:ind w:right="45"/>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50"/>
                <w:w w:val="105"/>
                <w:sz w:val="16"/>
                <w:szCs w:val="16"/>
              </w:rPr>
              <w:t> </w:t>
            </w:r>
            <w:r>
              <w:rPr>
                <w:rFonts w:ascii="宋体" w:hAnsi="宋体" w:cs="宋体" w:eastAsia="宋体" w:hint="default"/>
                <w:w w:val="105"/>
                <w:sz w:val="16"/>
                <w:szCs w:val="16"/>
              </w:rPr>
              <w:t>年金额</w:t>
            </w:r>
          </w:p>
        </w:tc>
        <w:tc>
          <w:tcPr>
            <w:tcW w:w="1398" w:type="dxa"/>
            <w:tcBorders>
              <w:top w:val="nil" w:sz="6" w:space="0" w:color="auto"/>
              <w:left w:val="nil" w:sz="6" w:space="0" w:color="auto"/>
              <w:bottom w:val="single" w:sz="8" w:space="0" w:color="9C8758"/>
              <w:right w:val="nil" w:sz="6" w:space="0" w:color="auto"/>
            </w:tcBorders>
          </w:tcPr>
          <w:p>
            <w:pPr>
              <w:pStyle w:val="TableParagraph"/>
              <w:spacing w:line="207" w:lineRule="exact"/>
              <w:ind w:right="82"/>
              <w:jc w:val="right"/>
              <w:rPr>
                <w:rFonts w:ascii="宋体" w:hAnsi="宋体" w:cs="宋体" w:eastAsia="宋体" w:hint="default"/>
                <w:sz w:val="16"/>
                <w:szCs w:val="16"/>
              </w:rPr>
            </w:pPr>
            <w:r>
              <w:rPr>
                <w:rFonts w:ascii="宋体" w:hAnsi="宋体" w:cs="宋体" w:eastAsia="宋体" w:hint="default"/>
                <w:w w:val="105"/>
                <w:sz w:val="16"/>
                <w:szCs w:val="16"/>
              </w:rPr>
              <w:t>2016</w:t>
            </w:r>
            <w:r>
              <w:rPr>
                <w:rFonts w:ascii="宋体" w:hAnsi="宋体" w:cs="宋体" w:eastAsia="宋体" w:hint="default"/>
                <w:spacing w:val="-50"/>
                <w:w w:val="105"/>
                <w:sz w:val="16"/>
                <w:szCs w:val="16"/>
              </w:rPr>
              <w:t> </w:t>
            </w:r>
            <w:r>
              <w:rPr>
                <w:rFonts w:ascii="宋体" w:hAnsi="宋体" w:cs="宋体" w:eastAsia="宋体" w:hint="default"/>
                <w:w w:val="105"/>
                <w:sz w:val="16"/>
                <w:szCs w:val="16"/>
              </w:rPr>
              <w:t>年金额</w:t>
            </w:r>
          </w:p>
        </w:tc>
      </w:tr>
      <w:tr>
        <w:trPr>
          <w:trHeight w:val="295" w:hRule="exact"/>
        </w:trPr>
        <w:tc>
          <w:tcPr>
            <w:tcW w:w="5531" w:type="dxa"/>
            <w:tcBorders>
              <w:top w:val="single" w:sz="8" w:space="0" w:color="D7000F"/>
              <w:left w:val="nil" w:sz="6" w:space="0" w:color="auto"/>
              <w:bottom w:val="nil" w:sz="6" w:space="0" w:color="auto"/>
              <w:right w:val="nil" w:sz="6" w:space="0" w:color="auto"/>
            </w:tcBorders>
          </w:tcPr>
          <w:p>
            <w:pPr>
              <w:pStyle w:val="TableParagraph"/>
              <w:spacing w:line="240" w:lineRule="auto" w:before="64"/>
              <w:ind w:left="460" w:right="0"/>
              <w:jc w:val="left"/>
              <w:rPr>
                <w:rFonts w:ascii="宋体" w:hAnsi="宋体" w:cs="宋体" w:eastAsia="宋体" w:hint="default"/>
                <w:sz w:val="16"/>
                <w:szCs w:val="16"/>
              </w:rPr>
            </w:pPr>
            <w:r>
              <w:rPr>
                <w:rFonts w:ascii="宋体" w:hAnsi="宋体" w:cs="宋体" w:eastAsia="宋体" w:hint="default"/>
                <w:sz w:val="16"/>
                <w:szCs w:val="16"/>
              </w:rPr>
              <w:t>非流动资产处置损益</w:t>
            </w:r>
          </w:p>
        </w:tc>
        <w:tc>
          <w:tcPr>
            <w:tcW w:w="1453" w:type="dxa"/>
            <w:tcBorders>
              <w:top w:val="single" w:sz="8" w:space="0" w:color="D7000F"/>
              <w:left w:val="nil" w:sz="6" w:space="0" w:color="auto"/>
              <w:bottom w:val="nil" w:sz="6" w:space="0" w:color="auto"/>
              <w:right w:val="nil" w:sz="6" w:space="0" w:color="auto"/>
            </w:tcBorders>
          </w:tcPr>
          <w:p>
            <w:pPr>
              <w:pStyle w:val="TableParagraph"/>
              <w:spacing w:line="240" w:lineRule="auto" w:before="64"/>
              <w:ind w:right="115"/>
              <w:jc w:val="right"/>
              <w:rPr>
                <w:rFonts w:ascii="宋体" w:hAnsi="宋体" w:cs="宋体" w:eastAsia="宋体" w:hint="default"/>
                <w:sz w:val="16"/>
                <w:szCs w:val="16"/>
              </w:rPr>
            </w:pPr>
            <w:r>
              <w:rPr>
                <w:rFonts w:ascii="宋体"/>
                <w:color w:val="D7000F"/>
                <w:sz w:val="16"/>
              </w:rPr>
              <w:t>-3,971,803,149</w:t>
            </w:r>
            <w:r>
              <w:rPr>
                <w:rFonts w:ascii="宋体"/>
                <w:sz w:val="16"/>
              </w:rPr>
            </w:r>
          </w:p>
        </w:tc>
        <w:tc>
          <w:tcPr>
            <w:tcW w:w="1290"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44"/>
              <w:jc w:val="right"/>
              <w:rPr>
                <w:rFonts w:ascii="宋体" w:hAnsi="宋体" w:cs="宋体" w:eastAsia="宋体" w:hint="default"/>
                <w:sz w:val="16"/>
                <w:szCs w:val="16"/>
              </w:rPr>
            </w:pPr>
            <w:r>
              <w:rPr>
                <w:rFonts w:ascii="宋体"/>
                <w:sz w:val="16"/>
              </w:rPr>
              <w:t>-3,488,897,716</w:t>
            </w:r>
          </w:p>
        </w:tc>
        <w:tc>
          <w:tcPr>
            <w:tcW w:w="1398"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82"/>
              <w:jc w:val="right"/>
              <w:rPr>
                <w:rFonts w:ascii="宋体" w:hAnsi="宋体" w:cs="宋体" w:eastAsia="宋体" w:hint="default"/>
                <w:sz w:val="16"/>
                <w:szCs w:val="16"/>
              </w:rPr>
            </w:pPr>
            <w:r>
              <w:rPr>
                <w:rFonts w:ascii="宋体"/>
                <w:sz w:val="16"/>
              </w:rPr>
              <w:t>-354,627,697</w:t>
            </w:r>
          </w:p>
        </w:tc>
      </w:tr>
      <w:tr>
        <w:trPr>
          <w:trHeight w:val="293" w:hRule="exact"/>
        </w:trPr>
        <w:tc>
          <w:tcPr>
            <w:tcW w:w="967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52"/>
              <w:ind w:left="460" w:right="0"/>
              <w:jc w:val="left"/>
              <w:rPr>
                <w:rFonts w:ascii="宋体" w:hAnsi="宋体" w:cs="宋体" w:eastAsia="宋体" w:hint="default"/>
                <w:sz w:val="16"/>
                <w:szCs w:val="16"/>
              </w:rPr>
            </w:pPr>
            <w:r>
              <w:rPr>
                <w:rFonts w:ascii="宋体" w:hAnsi="宋体" w:cs="宋体" w:eastAsia="宋体" w:hint="default"/>
                <w:sz w:val="16"/>
                <w:szCs w:val="16"/>
              </w:rPr>
              <w:t>计入当期损益的政府补助，但与公司正常经营业务密切相关，符合国</w:t>
            </w:r>
          </w:p>
        </w:tc>
      </w:tr>
      <w:tr>
        <w:trPr>
          <w:trHeight w:val="237"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168" w:lineRule="exact"/>
              <w:ind w:left="460" w:right="0"/>
              <w:jc w:val="left"/>
              <w:rPr>
                <w:rFonts w:ascii="宋体" w:hAnsi="宋体" w:cs="宋体" w:eastAsia="宋体" w:hint="default"/>
                <w:sz w:val="16"/>
                <w:szCs w:val="16"/>
              </w:rPr>
            </w:pPr>
            <w:r>
              <w:rPr>
                <w:rFonts w:ascii="宋体" w:hAnsi="宋体" w:cs="宋体" w:eastAsia="宋体" w:hint="default"/>
                <w:sz w:val="16"/>
                <w:szCs w:val="16"/>
              </w:rPr>
              <w:t>家政策规定、按照一定标准定额或定量持续享受的政府补助除外</w:t>
            </w:r>
          </w:p>
        </w:tc>
        <w:tc>
          <w:tcPr>
            <w:tcW w:w="1453" w:type="dxa"/>
            <w:tcBorders>
              <w:top w:val="nil" w:sz="6" w:space="0" w:color="auto"/>
              <w:left w:val="nil" w:sz="6" w:space="0" w:color="auto"/>
              <w:bottom w:val="nil" w:sz="6" w:space="0" w:color="auto"/>
              <w:right w:val="nil" w:sz="6" w:space="0" w:color="auto"/>
            </w:tcBorders>
          </w:tcPr>
          <w:p>
            <w:pPr>
              <w:pStyle w:val="TableParagraph"/>
              <w:spacing w:line="68" w:lineRule="exact"/>
              <w:ind w:right="115"/>
              <w:jc w:val="right"/>
              <w:rPr>
                <w:rFonts w:ascii="宋体" w:hAnsi="宋体" w:cs="宋体" w:eastAsia="宋体" w:hint="default"/>
                <w:sz w:val="16"/>
                <w:szCs w:val="16"/>
              </w:rPr>
            </w:pPr>
            <w:r>
              <w:rPr>
                <w:rFonts w:ascii="宋体"/>
                <w:color w:val="D7000F"/>
                <w:sz w:val="16"/>
              </w:rPr>
              <w:t>257,150,383</w:t>
            </w:r>
            <w:r>
              <w:rPr>
                <w:rFonts w:ascii="宋体"/>
                <w:sz w:val="16"/>
              </w:rPr>
            </w:r>
          </w:p>
        </w:tc>
        <w:tc>
          <w:tcPr>
            <w:tcW w:w="1290" w:type="dxa"/>
            <w:tcBorders>
              <w:top w:val="nil" w:sz="6" w:space="0" w:color="auto"/>
              <w:left w:val="nil" w:sz="6" w:space="0" w:color="auto"/>
              <w:bottom w:val="nil" w:sz="6" w:space="0" w:color="auto"/>
              <w:right w:val="nil" w:sz="6" w:space="0" w:color="auto"/>
            </w:tcBorders>
          </w:tcPr>
          <w:p>
            <w:pPr>
              <w:pStyle w:val="TableParagraph"/>
              <w:spacing w:line="68" w:lineRule="exact"/>
              <w:ind w:right="44"/>
              <w:jc w:val="right"/>
              <w:rPr>
                <w:rFonts w:ascii="宋体" w:hAnsi="宋体" w:cs="宋体" w:eastAsia="宋体" w:hint="default"/>
                <w:sz w:val="16"/>
                <w:szCs w:val="16"/>
              </w:rPr>
            </w:pPr>
            <w:r>
              <w:rPr>
                <w:rFonts w:ascii="宋体"/>
                <w:sz w:val="16"/>
              </w:rPr>
              <w:t>253,379,078</w:t>
            </w:r>
          </w:p>
        </w:tc>
        <w:tc>
          <w:tcPr>
            <w:tcW w:w="1398" w:type="dxa"/>
            <w:tcBorders>
              <w:top w:val="nil" w:sz="6" w:space="0" w:color="auto"/>
              <w:left w:val="nil" w:sz="6" w:space="0" w:color="auto"/>
              <w:bottom w:val="nil" w:sz="6" w:space="0" w:color="auto"/>
              <w:right w:val="nil" w:sz="6" w:space="0" w:color="auto"/>
            </w:tcBorders>
          </w:tcPr>
          <w:p>
            <w:pPr>
              <w:pStyle w:val="TableParagraph"/>
              <w:spacing w:line="68" w:lineRule="exact"/>
              <w:ind w:right="82"/>
              <w:jc w:val="right"/>
              <w:rPr>
                <w:rFonts w:ascii="宋体" w:hAnsi="宋体" w:cs="宋体" w:eastAsia="宋体" w:hint="default"/>
                <w:sz w:val="16"/>
                <w:szCs w:val="16"/>
              </w:rPr>
            </w:pPr>
            <w:r>
              <w:rPr>
                <w:rFonts w:ascii="宋体"/>
                <w:sz w:val="16"/>
              </w:rPr>
              <w:t>213,881,984</w:t>
            </w:r>
          </w:p>
        </w:tc>
      </w:tr>
      <w:tr>
        <w:trPr>
          <w:trHeight w:val="273"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除上述各项之外的其他营业外收入和支出</w:t>
            </w:r>
          </w:p>
        </w:tc>
        <w:tc>
          <w:tcPr>
            <w:tcW w:w="1453" w:type="dxa"/>
            <w:tcBorders>
              <w:top w:val="nil" w:sz="6" w:space="0" w:color="auto"/>
              <w:left w:val="nil" w:sz="6" w:space="0" w:color="auto"/>
              <w:bottom w:val="nil" w:sz="6" w:space="0" w:color="auto"/>
              <w:right w:val="nil" w:sz="6" w:space="0" w:color="auto"/>
            </w:tcBorders>
          </w:tcPr>
          <w:p>
            <w:pPr>
              <w:pStyle w:val="TableParagraph"/>
              <w:spacing w:line="205" w:lineRule="exact"/>
              <w:ind w:right="115"/>
              <w:jc w:val="right"/>
              <w:rPr>
                <w:rFonts w:ascii="宋体" w:hAnsi="宋体" w:cs="宋体" w:eastAsia="宋体" w:hint="default"/>
                <w:sz w:val="16"/>
                <w:szCs w:val="16"/>
              </w:rPr>
            </w:pPr>
            <w:r>
              <w:rPr>
                <w:rFonts w:ascii="宋体"/>
                <w:color w:val="D7000F"/>
                <w:w w:val="95"/>
                <w:sz w:val="16"/>
              </w:rPr>
              <w:t>82,075,403</w:t>
            </w:r>
            <w:r>
              <w:rPr>
                <w:rFonts w:ascii="宋体"/>
                <w:sz w:val="16"/>
              </w:rPr>
            </w:r>
          </w:p>
        </w:tc>
        <w:tc>
          <w:tcPr>
            <w:tcW w:w="1290" w:type="dxa"/>
            <w:tcBorders>
              <w:top w:val="nil" w:sz="6" w:space="0" w:color="auto"/>
              <w:left w:val="nil" w:sz="6" w:space="0" w:color="auto"/>
              <w:bottom w:val="nil" w:sz="6" w:space="0" w:color="auto"/>
              <w:right w:val="nil" w:sz="6" w:space="0" w:color="auto"/>
            </w:tcBorders>
          </w:tcPr>
          <w:p>
            <w:pPr>
              <w:pStyle w:val="TableParagraph"/>
              <w:spacing w:line="205" w:lineRule="exact"/>
              <w:ind w:right="44"/>
              <w:jc w:val="right"/>
              <w:rPr>
                <w:rFonts w:ascii="宋体" w:hAnsi="宋体" w:cs="宋体" w:eastAsia="宋体" w:hint="default"/>
                <w:sz w:val="16"/>
                <w:szCs w:val="16"/>
              </w:rPr>
            </w:pPr>
            <w:r>
              <w:rPr>
                <w:rFonts w:ascii="宋体"/>
                <w:sz w:val="16"/>
              </w:rPr>
              <w:t>807,685,255</w:t>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996,771,732</w:t>
            </w:r>
          </w:p>
        </w:tc>
      </w:tr>
      <w:tr>
        <w:trPr>
          <w:trHeight w:val="273"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pacing w:val="-4"/>
                <w:sz w:val="16"/>
                <w:szCs w:val="16"/>
              </w:rPr>
              <w:t>处置以公允价值计量且其变动计入当期损益的金融资产取得的投资收益</w:t>
            </w:r>
            <w:r>
              <w:rPr>
                <w:rFonts w:ascii="宋体" w:hAnsi="宋体" w:cs="宋体" w:eastAsia="宋体" w:hint="default"/>
                <w:sz w:val="16"/>
                <w:szCs w:val="16"/>
              </w:rPr>
            </w:r>
          </w:p>
        </w:tc>
        <w:tc>
          <w:tcPr>
            <w:tcW w:w="1453" w:type="dxa"/>
            <w:tcBorders>
              <w:top w:val="nil" w:sz="6" w:space="0" w:color="auto"/>
              <w:left w:val="nil" w:sz="6" w:space="0" w:color="auto"/>
              <w:bottom w:val="nil" w:sz="6" w:space="0" w:color="auto"/>
              <w:right w:val="nil" w:sz="6" w:space="0" w:color="auto"/>
            </w:tcBorders>
          </w:tcPr>
          <w:p>
            <w:pPr>
              <w:pStyle w:val="TableParagraph"/>
              <w:spacing w:line="205" w:lineRule="exact"/>
              <w:ind w:right="115"/>
              <w:jc w:val="right"/>
              <w:rPr>
                <w:rFonts w:ascii="宋体" w:hAnsi="宋体" w:cs="宋体" w:eastAsia="宋体" w:hint="default"/>
                <w:sz w:val="16"/>
                <w:szCs w:val="16"/>
              </w:rPr>
            </w:pPr>
            <w:r>
              <w:rPr>
                <w:rFonts w:ascii="宋体"/>
                <w:color w:val="D7000F"/>
                <w:w w:val="95"/>
                <w:sz w:val="16"/>
              </w:rPr>
              <w:t>49,967,950</w:t>
            </w:r>
            <w:r>
              <w:rPr>
                <w:rFonts w:ascii="宋体"/>
                <w:sz w:val="16"/>
              </w:rPr>
            </w:r>
          </w:p>
        </w:tc>
        <w:tc>
          <w:tcPr>
            <w:tcW w:w="1290" w:type="dxa"/>
            <w:tcBorders>
              <w:top w:val="nil" w:sz="6" w:space="0" w:color="auto"/>
              <w:left w:val="nil" w:sz="6" w:space="0" w:color="auto"/>
              <w:bottom w:val="nil" w:sz="6" w:space="0" w:color="auto"/>
              <w:right w:val="nil" w:sz="6" w:space="0" w:color="auto"/>
            </w:tcBorders>
          </w:tcPr>
          <w:p>
            <w:pPr>
              <w:pStyle w:val="TableParagraph"/>
              <w:spacing w:line="205" w:lineRule="exact"/>
              <w:ind w:right="44"/>
              <w:jc w:val="right"/>
              <w:rPr>
                <w:rFonts w:ascii="宋体" w:hAnsi="宋体" w:cs="宋体" w:eastAsia="宋体" w:hint="default"/>
                <w:sz w:val="16"/>
                <w:szCs w:val="16"/>
              </w:rPr>
            </w:pPr>
            <w:r>
              <w:rPr>
                <w:rFonts w:ascii="宋体"/>
                <w:w w:val="95"/>
                <w:sz w:val="16"/>
              </w:rPr>
              <w:t>27,911,288</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其他符合非经常性损益定义的损益项目</w:t>
            </w:r>
          </w:p>
        </w:tc>
        <w:tc>
          <w:tcPr>
            <w:tcW w:w="1453" w:type="dxa"/>
            <w:tcBorders>
              <w:top w:val="nil" w:sz="6" w:space="0" w:color="auto"/>
              <w:left w:val="nil" w:sz="6" w:space="0" w:color="auto"/>
              <w:bottom w:val="nil" w:sz="6" w:space="0" w:color="auto"/>
              <w:right w:val="nil" w:sz="6" w:space="0" w:color="auto"/>
            </w:tcBorders>
          </w:tcPr>
          <w:p>
            <w:pPr>
              <w:pStyle w:val="TableParagraph"/>
              <w:spacing w:line="205" w:lineRule="exact"/>
              <w:ind w:right="115"/>
              <w:jc w:val="right"/>
              <w:rPr>
                <w:rFonts w:ascii="宋体" w:hAnsi="宋体" w:cs="宋体" w:eastAsia="宋体" w:hint="default"/>
                <w:sz w:val="16"/>
                <w:szCs w:val="16"/>
              </w:rPr>
            </w:pPr>
            <w:r>
              <w:rPr>
                <w:rFonts w:ascii="宋体"/>
                <w:color w:val="D7000F"/>
                <w:sz w:val="16"/>
              </w:rPr>
              <w:t>682,046,510</w:t>
            </w:r>
            <w:r>
              <w:rPr>
                <w:rFonts w:ascii="宋体"/>
                <w:sz w:val="16"/>
              </w:rPr>
            </w:r>
          </w:p>
        </w:tc>
        <w:tc>
          <w:tcPr>
            <w:tcW w:w="1290" w:type="dxa"/>
            <w:tcBorders>
              <w:top w:val="nil" w:sz="6" w:space="0" w:color="auto"/>
              <w:left w:val="nil" w:sz="6" w:space="0" w:color="auto"/>
              <w:bottom w:val="nil" w:sz="6" w:space="0" w:color="auto"/>
              <w:right w:val="nil" w:sz="6" w:space="0" w:color="auto"/>
            </w:tcBorders>
          </w:tcPr>
          <w:p>
            <w:pPr>
              <w:pStyle w:val="TableParagraph"/>
              <w:spacing w:line="205" w:lineRule="exact"/>
              <w:ind w:right="45"/>
              <w:jc w:val="right"/>
              <w:rPr>
                <w:rFonts w:ascii="宋体" w:hAnsi="宋体" w:cs="宋体" w:eastAsia="宋体" w:hint="default"/>
                <w:sz w:val="16"/>
                <w:szCs w:val="16"/>
              </w:rPr>
            </w:pPr>
            <w:r>
              <w:rPr>
                <w:rFonts w:ascii="宋体"/>
                <w:w w:val="111"/>
                <w:sz w:val="16"/>
              </w:rPr>
              <w:t>0</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少数股东权益影响额</w:t>
            </w:r>
          </w:p>
        </w:tc>
        <w:tc>
          <w:tcPr>
            <w:tcW w:w="1453" w:type="dxa"/>
            <w:tcBorders>
              <w:top w:val="nil" w:sz="6" w:space="0" w:color="auto"/>
              <w:left w:val="nil" w:sz="6" w:space="0" w:color="auto"/>
              <w:bottom w:val="nil" w:sz="6" w:space="0" w:color="auto"/>
              <w:right w:val="nil" w:sz="6" w:space="0" w:color="auto"/>
            </w:tcBorders>
          </w:tcPr>
          <w:p>
            <w:pPr>
              <w:pStyle w:val="TableParagraph"/>
              <w:spacing w:line="205" w:lineRule="exact"/>
              <w:ind w:right="115"/>
              <w:jc w:val="right"/>
              <w:rPr>
                <w:rFonts w:ascii="宋体" w:hAnsi="宋体" w:cs="宋体" w:eastAsia="宋体" w:hint="default"/>
                <w:sz w:val="16"/>
                <w:szCs w:val="16"/>
              </w:rPr>
            </w:pPr>
            <w:r>
              <w:rPr>
                <w:rFonts w:ascii="宋体"/>
                <w:color w:val="D7000F"/>
                <w:w w:val="95"/>
                <w:sz w:val="16"/>
              </w:rPr>
              <w:t>1,207,592,195</w:t>
            </w:r>
            <w:r>
              <w:rPr>
                <w:rFonts w:ascii="宋体"/>
                <w:sz w:val="16"/>
              </w:rPr>
            </w:r>
          </w:p>
        </w:tc>
        <w:tc>
          <w:tcPr>
            <w:tcW w:w="1290" w:type="dxa"/>
            <w:tcBorders>
              <w:top w:val="nil" w:sz="6" w:space="0" w:color="auto"/>
              <w:left w:val="nil" w:sz="6" w:space="0" w:color="auto"/>
              <w:bottom w:val="nil" w:sz="6" w:space="0" w:color="auto"/>
              <w:right w:val="nil" w:sz="6" w:space="0" w:color="auto"/>
            </w:tcBorders>
          </w:tcPr>
          <w:p>
            <w:pPr>
              <w:pStyle w:val="TableParagraph"/>
              <w:spacing w:line="205" w:lineRule="exact"/>
              <w:ind w:right="45"/>
              <w:jc w:val="right"/>
              <w:rPr>
                <w:rFonts w:ascii="宋体" w:hAnsi="宋体" w:cs="宋体" w:eastAsia="宋体" w:hint="default"/>
                <w:sz w:val="16"/>
                <w:szCs w:val="16"/>
              </w:rPr>
            </w:pPr>
            <w:r>
              <w:rPr>
                <w:rFonts w:ascii="宋体"/>
                <w:w w:val="95"/>
                <w:sz w:val="16"/>
              </w:rPr>
              <w:t>1,232,359,716</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-424,481,080</w:t>
            </w:r>
          </w:p>
        </w:tc>
      </w:tr>
      <w:tr>
        <w:trPr>
          <w:trHeight w:val="273"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所得税影响额</w:t>
            </w:r>
          </w:p>
        </w:tc>
        <w:tc>
          <w:tcPr>
            <w:tcW w:w="1453" w:type="dxa"/>
            <w:tcBorders>
              <w:top w:val="nil" w:sz="6" w:space="0" w:color="auto"/>
              <w:left w:val="nil" w:sz="6" w:space="0" w:color="auto"/>
              <w:bottom w:val="nil" w:sz="6" w:space="0" w:color="auto"/>
              <w:right w:val="nil" w:sz="6" w:space="0" w:color="auto"/>
            </w:tcBorders>
          </w:tcPr>
          <w:p>
            <w:pPr>
              <w:pStyle w:val="TableParagraph"/>
              <w:spacing w:line="205" w:lineRule="exact"/>
              <w:ind w:right="115"/>
              <w:jc w:val="right"/>
              <w:rPr>
                <w:rFonts w:ascii="宋体" w:hAnsi="宋体" w:cs="宋体" w:eastAsia="宋体" w:hint="default"/>
                <w:sz w:val="16"/>
                <w:szCs w:val="16"/>
              </w:rPr>
            </w:pPr>
            <w:r>
              <w:rPr>
                <w:rFonts w:ascii="宋体"/>
                <w:color w:val="D7000F"/>
                <w:sz w:val="16"/>
              </w:rPr>
              <w:t>746,459,316</w:t>
            </w:r>
            <w:r>
              <w:rPr>
                <w:rFonts w:ascii="宋体"/>
                <w:sz w:val="16"/>
              </w:rPr>
            </w:r>
          </w:p>
        </w:tc>
        <w:tc>
          <w:tcPr>
            <w:tcW w:w="1290" w:type="dxa"/>
            <w:tcBorders>
              <w:top w:val="nil" w:sz="6" w:space="0" w:color="auto"/>
              <w:left w:val="nil" w:sz="6" w:space="0" w:color="auto"/>
              <w:bottom w:val="nil" w:sz="6" w:space="0" w:color="auto"/>
              <w:right w:val="nil" w:sz="6" w:space="0" w:color="auto"/>
            </w:tcBorders>
          </w:tcPr>
          <w:p>
            <w:pPr>
              <w:pStyle w:val="TableParagraph"/>
              <w:spacing w:line="205" w:lineRule="exact"/>
              <w:ind w:right="44"/>
              <w:jc w:val="right"/>
              <w:rPr>
                <w:rFonts w:ascii="宋体" w:hAnsi="宋体" w:cs="宋体" w:eastAsia="宋体" w:hint="default"/>
                <w:sz w:val="16"/>
                <w:szCs w:val="16"/>
              </w:rPr>
            </w:pPr>
            <w:r>
              <w:rPr>
                <w:rFonts w:ascii="宋体"/>
                <w:sz w:val="16"/>
              </w:rPr>
              <w:t>600,813,178</w:t>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-219,244,467</w:t>
            </w:r>
          </w:p>
        </w:tc>
      </w:tr>
      <w:tr>
        <w:trPr>
          <w:trHeight w:val="317" w:hRule="exact"/>
        </w:trPr>
        <w:tc>
          <w:tcPr>
            <w:tcW w:w="5531"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453" w:type="dxa"/>
            <w:tcBorders>
              <w:top w:val="nil" w:sz="6" w:space="0" w:color="auto"/>
              <w:left w:val="nil" w:sz="6" w:space="0" w:color="auto"/>
              <w:bottom w:val="nil" w:sz="6" w:space="0" w:color="auto"/>
              <w:right w:val="nil" w:sz="6" w:space="0" w:color="auto"/>
            </w:tcBorders>
          </w:tcPr>
          <w:p>
            <w:pPr>
              <w:pStyle w:val="TableParagraph"/>
              <w:spacing w:line="205" w:lineRule="exact"/>
              <w:ind w:right="115"/>
              <w:jc w:val="right"/>
              <w:rPr>
                <w:rFonts w:ascii="宋体" w:hAnsi="宋体" w:cs="宋体" w:eastAsia="宋体" w:hint="default"/>
                <w:sz w:val="16"/>
                <w:szCs w:val="16"/>
              </w:rPr>
            </w:pPr>
            <w:r>
              <w:rPr>
                <w:rFonts w:ascii="宋体"/>
                <w:color w:val="D7000F"/>
                <w:sz w:val="16"/>
              </w:rPr>
              <w:t>-946,511,392</w:t>
            </w:r>
            <w:r>
              <w:rPr>
                <w:rFonts w:ascii="宋体"/>
                <w:sz w:val="16"/>
              </w:rPr>
            </w:r>
          </w:p>
        </w:tc>
        <w:tc>
          <w:tcPr>
            <w:tcW w:w="1290" w:type="dxa"/>
            <w:tcBorders>
              <w:top w:val="nil" w:sz="6" w:space="0" w:color="auto"/>
              <w:left w:val="nil" w:sz="6" w:space="0" w:color="auto"/>
              <w:bottom w:val="nil" w:sz="6" w:space="0" w:color="auto"/>
              <w:right w:val="nil" w:sz="6" w:space="0" w:color="auto"/>
            </w:tcBorders>
          </w:tcPr>
          <w:p>
            <w:pPr>
              <w:pStyle w:val="TableParagraph"/>
              <w:spacing w:line="205" w:lineRule="exact"/>
              <w:ind w:right="44"/>
              <w:jc w:val="right"/>
              <w:rPr>
                <w:rFonts w:ascii="宋体" w:hAnsi="宋体" w:cs="宋体" w:eastAsia="宋体" w:hint="default"/>
                <w:sz w:val="16"/>
                <w:szCs w:val="16"/>
              </w:rPr>
            </w:pPr>
            <w:r>
              <w:rPr>
                <w:rFonts w:ascii="宋体"/>
                <w:sz w:val="16"/>
              </w:rPr>
              <w:t>-566,749,201</w:t>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212,300,472</w:t>
            </w:r>
          </w:p>
        </w:tc>
      </w:tr>
    </w:tbl>
    <w:p>
      <w:pPr>
        <w:spacing w:line="20" w:lineRule="exact"/>
        <w:ind w:left="175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65.4pt;height:.5pt;mso-position-horizontal-relative:char;mso-position-vertical-relative:line" coordorigin="0,0" coordsize="9308,10">
            <v:group style="position:absolute;left:5;top:5;width:5046;height:2" coordorigin="5,5" coordsize="5046,2">
              <v:shape style="position:absolute;left:5;top:5;width:5046;height:2" coordorigin="5,5" coordsize="5046,0" path="m5,5l5051,5e" filled="false" stroked="true" strokeweight=".5pt" strokecolor="#000000">
                <v:path arrowok="t"/>
              </v:shape>
            </v:group>
            <v:group style="position:absolute;left:5051;top:5;width:1531;height:2" coordorigin="5051,5" coordsize="1531,2">
              <v:shape style="position:absolute;left:5051;top:5;width:1531;height:2" coordorigin="5051,5" coordsize="1531,0" path="m5051,5l6581,5e" filled="false" stroked="true" strokeweight=".5pt" strokecolor="#d7000f">
                <v:path arrowok="t"/>
              </v:shape>
            </v:group>
            <v:group style="position:absolute;left:6581;top:5;width:1361;height:2" coordorigin="6581,5" coordsize="1361,2">
              <v:shape style="position:absolute;left:6581;top:5;width:1361;height:2" coordorigin="6581,5" coordsize="1361,0" path="m6581,5l7942,5e" filled="false" stroked="true" strokeweight=".5pt" strokecolor="#000000">
                <v:path arrowok="t"/>
              </v:shape>
            </v:group>
            <v:group style="position:absolute;left:7942;top:5;width:1361;height:2" coordorigin="7942,5" coordsize="1361,2">
              <v:shape style="position:absolute;left:7942;top:5;width:1361;height:2" coordorigin="7942,5" coordsize="1361,0" path="m7942,5l9303,5e" filled="false" stroked="true" strokeweight=".5pt" strokecolor="#000000">
                <v:path arrowok="t"/>
              </v:shape>
            </v:group>
          </v:group>
        </w:pict>
      </w:r>
      <w:r>
        <w:rPr>
          <w:rFonts w:ascii="Times New Roman" w:hAnsi="Times New Roman" w:cs="Times New Roman" w:eastAsia="Times New Roman" w:hint="default"/>
          <w:sz w:val="2"/>
          <w:szCs w:val="2"/>
        </w:rPr>
      </w:r>
    </w:p>
    <w:p>
      <w:pPr>
        <w:spacing w:line="240" w:lineRule="auto" w:before="11"/>
        <w:rPr>
          <w:rFonts w:ascii="Times New Roman" w:hAnsi="Times New Roman" w:cs="Times New Roman" w:eastAsia="Times New Roman" w:hint="default"/>
          <w:sz w:val="27"/>
          <w:szCs w:val="27"/>
        </w:rPr>
      </w:pPr>
    </w:p>
    <w:tbl>
      <w:tblPr>
        <w:tblW w:w="0" w:type="auto"/>
        <w:jc w:val="left"/>
        <w:tblInd w:w="1382" w:type="dxa"/>
        <w:tblLayout w:type="fixed"/>
        <w:tblCellMar>
          <w:top w:w="0" w:type="dxa"/>
          <w:left w:w="0" w:type="dxa"/>
          <w:bottom w:w="0" w:type="dxa"/>
          <w:right w:w="0" w:type="dxa"/>
        </w:tblCellMar>
        <w:tblLook w:val="01E0"/>
      </w:tblPr>
      <w:tblGrid>
        <w:gridCol w:w="3390"/>
        <w:gridCol w:w="1623"/>
        <w:gridCol w:w="1477"/>
        <w:gridCol w:w="1352"/>
        <w:gridCol w:w="1820"/>
      </w:tblGrid>
      <w:tr>
        <w:trPr>
          <w:trHeight w:val="675"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color w:val="D7000F"/>
                <w:sz w:val="18"/>
                <w:szCs w:val="18"/>
              </w:rPr>
              <w:t>十、采用公允价值计量的项目</w:t>
            </w:r>
            <w:r>
              <w:rPr>
                <w:rFonts w:ascii="宋体" w:hAnsi="宋体" w:cs="宋体" w:eastAsia="宋体" w:hint="default"/>
                <w:sz w:val="18"/>
                <w:szCs w:val="18"/>
              </w:rPr>
            </w:r>
          </w:p>
        </w:tc>
        <w:tc>
          <w:tcPr>
            <w:tcW w:w="1623" w:type="dxa"/>
            <w:tcBorders>
              <w:top w:val="nil" w:sz="6" w:space="0" w:color="auto"/>
              <w:left w:val="nil" w:sz="6" w:space="0" w:color="auto"/>
              <w:bottom w:val="nil" w:sz="6" w:space="0" w:color="auto"/>
              <w:right w:val="nil" w:sz="6" w:space="0" w:color="auto"/>
            </w:tcBorders>
          </w:tcPr>
          <w:p>
            <w:pPr/>
          </w:p>
        </w:tc>
        <w:tc>
          <w:tcPr>
            <w:tcW w:w="1477" w:type="dxa"/>
            <w:tcBorders>
              <w:top w:val="nil" w:sz="6" w:space="0" w:color="auto"/>
              <w:left w:val="nil" w:sz="6" w:space="0" w:color="auto"/>
              <w:bottom w:val="nil" w:sz="6" w:space="0" w:color="auto"/>
              <w:right w:val="nil" w:sz="6" w:space="0" w:color="auto"/>
            </w:tcBorders>
          </w:tcPr>
          <w:p>
            <w:pPr/>
          </w:p>
        </w:tc>
        <w:tc>
          <w:tcPr>
            <w:tcW w:w="1352" w:type="dxa"/>
            <w:tcBorders>
              <w:top w:val="nil" w:sz="6" w:space="0" w:color="auto"/>
              <w:left w:val="nil" w:sz="6" w:space="0" w:color="auto"/>
              <w:bottom w:val="nil" w:sz="6" w:space="0" w:color="auto"/>
              <w:right w:val="nil" w:sz="6" w:space="0" w:color="auto"/>
            </w:tcBorders>
          </w:tcPr>
          <w:p>
            <w:pP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ind w:right="0"/>
              <w:jc w:val="left"/>
              <w:rPr>
                <w:rFonts w:ascii="Times New Roman" w:hAnsi="Times New Roman" w:cs="Times New Roman" w:eastAsia="Times New Roman" w:hint="default"/>
                <w:sz w:val="12"/>
                <w:szCs w:val="12"/>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right="83"/>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tc>
      </w:tr>
      <w:tr>
        <w:trPr>
          <w:trHeight w:val="331" w:hRule="exact"/>
        </w:trPr>
        <w:tc>
          <w:tcPr>
            <w:tcW w:w="3390" w:type="dxa"/>
            <w:tcBorders>
              <w:top w:val="nil" w:sz="6" w:space="0" w:color="auto"/>
              <w:left w:val="nil" w:sz="6" w:space="0" w:color="auto"/>
              <w:bottom w:val="single" w:sz="8" w:space="0" w:color="9C8758"/>
              <w:right w:val="nil" w:sz="6" w:space="0" w:color="auto"/>
            </w:tcBorders>
          </w:tcPr>
          <w:p>
            <w:pPr>
              <w:pStyle w:val="TableParagraph"/>
              <w:spacing w:line="207" w:lineRule="exact"/>
              <w:ind w:left="460" w:right="0"/>
              <w:jc w:val="left"/>
              <w:rPr>
                <w:rFonts w:ascii="宋体" w:hAnsi="宋体" w:cs="宋体" w:eastAsia="宋体" w:hint="default"/>
                <w:sz w:val="16"/>
                <w:szCs w:val="16"/>
              </w:rPr>
            </w:pPr>
            <w:r>
              <w:rPr>
                <w:rFonts w:ascii="宋体" w:hAnsi="宋体" w:cs="宋体" w:eastAsia="宋体" w:hint="default"/>
                <w:sz w:val="16"/>
                <w:szCs w:val="16"/>
              </w:rPr>
              <w:t>项目名称</w:t>
            </w:r>
          </w:p>
        </w:tc>
        <w:tc>
          <w:tcPr>
            <w:tcW w:w="1623" w:type="dxa"/>
            <w:tcBorders>
              <w:top w:val="nil" w:sz="6" w:space="0" w:color="auto"/>
              <w:left w:val="nil" w:sz="6" w:space="0" w:color="auto"/>
              <w:bottom w:val="single" w:sz="8" w:space="0" w:color="9C8758"/>
              <w:right w:val="nil" w:sz="6" w:space="0" w:color="auto"/>
            </w:tcBorders>
          </w:tcPr>
          <w:p>
            <w:pPr>
              <w:pStyle w:val="TableParagraph"/>
              <w:spacing w:line="207" w:lineRule="exact"/>
              <w:ind w:right="230"/>
              <w:jc w:val="right"/>
              <w:rPr>
                <w:rFonts w:ascii="宋体" w:hAnsi="宋体" w:cs="宋体" w:eastAsia="宋体" w:hint="default"/>
                <w:sz w:val="16"/>
                <w:szCs w:val="16"/>
              </w:rPr>
            </w:pPr>
            <w:r>
              <w:rPr>
                <w:rFonts w:ascii="宋体" w:hAnsi="宋体" w:cs="宋体" w:eastAsia="宋体" w:hint="default"/>
                <w:sz w:val="16"/>
                <w:szCs w:val="16"/>
              </w:rPr>
              <w:t>期初余额</w:t>
            </w:r>
          </w:p>
        </w:tc>
        <w:tc>
          <w:tcPr>
            <w:tcW w:w="1477" w:type="dxa"/>
            <w:tcBorders>
              <w:top w:val="nil" w:sz="6" w:space="0" w:color="auto"/>
              <w:left w:val="nil" w:sz="6" w:space="0" w:color="auto"/>
              <w:bottom w:val="single" w:sz="8" w:space="0" w:color="9C8758"/>
              <w:right w:val="nil" w:sz="6" w:space="0" w:color="auto"/>
            </w:tcBorders>
          </w:tcPr>
          <w:p>
            <w:pPr>
              <w:pStyle w:val="TableParagraph"/>
              <w:spacing w:line="207" w:lineRule="exact"/>
              <w:ind w:right="221"/>
              <w:jc w:val="right"/>
              <w:rPr>
                <w:rFonts w:ascii="宋体" w:hAnsi="宋体" w:cs="宋体" w:eastAsia="宋体" w:hint="default"/>
                <w:sz w:val="16"/>
                <w:szCs w:val="16"/>
              </w:rPr>
            </w:pPr>
            <w:r>
              <w:rPr>
                <w:rFonts w:ascii="宋体" w:hAnsi="宋体" w:cs="宋体" w:eastAsia="宋体" w:hint="default"/>
                <w:sz w:val="16"/>
                <w:szCs w:val="16"/>
              </w:rPr>
              <w:t>期末余额</w:t>
            </w:r>
          </w:p>
        </w:tc>
        <w:tc>
          <w:tcPr>
            <w:tcW w:w="1352" w:type="dxa"/>
            <w:tcBorders>
              <w:top w:val="nil" w:sz="6" w:space="0" w:color="auto"/>
              <w:left w:val="nil" w:sz="6" w:space="0" w:color="auto"/>
              <w:bottom w:val="single" w:sz="8" w:space="0" w:color="9C8758"/>
              <w:right w:val="nil" w:sz="6" w:space="0" w:color="auto"/>
            </w:tcBorders>
          </w:tcPr>
          <w:p>
            <w:pPr>
              <w:pStyle w:val="TableParagraph"/>
              <w:spacing w:line="207" w:lineRule="exact"/>
              <w:ind w:right="133"/>
              <w:jc w:val="right"/>
              <w:rPr>
                <w:rFonts w:ascii="宋体" w:hAnsi="宋体" w:cs="宋体" w:eastAsia="宋体" w:hint="default"/>
                <w:sz w:val="16"/>
                <w:szCs w:val="16"/>
              </w:rPr>
            </w:pPr>
            <w:r>
              <w:rPr>
                <w:rFonts w:ascii="宋体" w:hAnsi="宋体" w:cs="宋体" w:eastAsia="宋体" w:hint="default"/>
                <w:sz w:val="16"/>
                <w:szCs w:val="16"/>
              </w:rPr>
              <w:t>当期变动</w:t>
            </w:r>
          </w:p>
        </w:tc>
        <w:tc>
          <w:tcPr>
            <w:tcW w:w="1820" w:type="dxa"/>
            <w:tcBorders>
              <w:top w:val="nil" w:sz="6" w:space="0" w:color="auto"/>
              <w:left w:val="nil" w:sz="6" w:space="0" w:color="auto"/>
              <w:bottom w:val="single" w:sz="8" w:space="0" w:color="9C8758"/>
              <w:right w:val="nil" w:sz="6" w:space="0" w:color="auto"/>
            </w:tcBorders>
          </w:tcPr>
          <w:p>
            <w:pPr>
              <w:pStyle w:val="TableParagraph"/>
              <w:spacing w:line="207" w:lineRule="exact"/>
              <w:ind w:right="83"/>
              <w:jc w:val="right"/>
              <w:rPr>
                <w:rFonts w:ascii="宋体" w:hAnsi="宋体" w:cs="宋体" w:eastAsia="宋体" w:hint="default"/>
                <w:sz w:val="16"/>
                <w:szCs w:val="16"/>
              </w:rPr>
            </w:pPr>
            <w:r>
              <w:rPr>
                <w:rFonts w:ascii="宋体" w:hAnsi="宋体" w:cs="宋体" w:eastAsia="宋体" w:hint="default"/>
                <w:sz w:val="16"/>
                <w:szCs w:val="16"/>
              </w:rPr>
              <w:t>对当期利润的影响金额</w:t>
            </w:r>
          </w:p>
        </w:tc>
      </w:tr>
      <w:tr>
        <w:trPr>
          <w:trHeight w:val="352" w:hRule="exact"/>
        </w:trPr>
        <w:tc>
          <w:tcPr>
            <w:tcW w:w="3390"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left="460" w:right="0"/>
              <w:jc w:val="left"/>
              <w:rPr>
                <w:rFonts w:ascii="宋体" w:hAnsi="宋体" w:cs="宋体" w:eastAsia="宋体" w:hint="default"/>
                <w:sz w:val="16"/>
                <w:szCs w:val="16"/>
              </w:rPr>
            </w:pPr>
            <w:r>
              <w:rPr>
                <w:rFonts w:ascii="宋体" w:hAnsi="宋体" w:cs="宋体" w:eastAsia="宋体" w:hint="default"/>
                <w:sz w:val="16"/>
                <w:szCs w:val="16"/>
              </w:rPr>
              <w:t>交易性金融资产</w:t>
            </w:r>
          </w:p>
        </w:tc>
        <w:tc>
          <w:tcPr>
            <w:tcW w:w="1623"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231"/>
              <w:jc w:val="right"/>
              <w:rPr>
                <w:rFonts w:ascii="宋体" w:hAnsi="宋体" w:cs="宋体" w:eastAsia="宋体" w:hint="default"/>
                <w:sz w:val="16"/>
                <w:szCs w:val="16"/>
              </w:rPr>
            </w:pPr>
            <w:r>
              <w:rPr>
                <w:rFonts w:ascii="宋体"/>
                <w:sz w:val="16"/>
              </w:rPr>
              <w:t>159,510,345</w:t>
            </w:r>
          </w:p>
        </w:tc>
        <w:tc>
          <w:tcPr>
            <w:tcW w:w="1477"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221"/>
              <w:jc w:val="right"/>
              <w:rPr>
                <w:rFonts w:ascii="宋体" w:hAnsi="宋体" w:cs="宋体" w:eastAsia="宋体" w:hint="default"/>
                <w:sz w:val="16"/>
                <w:szCs w:val="16"/>
              </w:rPr>
            </w:pPr>
            <w:r>
              <w:rPr>
                <w:rFonts w:ascii="宋体"/>
                <w:sz w:val="16"/>
              </w:rPr>
              <w:t>769,905,347</w:t>
            </w:r>
          </w:p>
        </w:tc>
        <w:tc>
          <w:tcPr>
            <w:tcW w:w="1352"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133"/>
              <w:jc w:val="right"/>
              <w:rPr>
                <w:rFonts w:ascii="宋体" w:hAnsi="宋体" w:cs="宋体" w:eastAsia="宋体" w:hint="default"/>
                <w:sz w:val="16"/>
                <w:szCs w:val="16"/>
              </w:rPr>
            </w:pPr>
            <w:r>
              <w:rPr>
                <w:rFonts w:ascii="宋体"/>
                <w:sz w:val="16"/>
              </w:rPr>
              <w:t>610,395,002</w:t>
            </w:r>
          </w:p>
        </w:tc>
        <w:tc>
          <w:tcPr>
            <w:tcW w:w="1820" w:type="dxa"/>
            <w:tcBorders>
              <w:top w:val="single" w:sz="8" w:space="0" w:color="9C8758"/>
              <w:left w:val="nil" w:sz="6" w:space="0" w:color="auto"/>
              <w:bottom w:val="nil" w:sz="6" w:space="0" w:color="auto"/>
              <w:right w:val="nil" w:sz="6" w:space="0" w:color="auto"/>
            </w:tcBorders>
          </w:tcPr>
          <w:p>
            <w:pPr>
              <w:pStyle w:val="TableParagraph"/>
              <w:spacing w:line="240" w:lineRule="auto" w:before="64"/>
              <w:ind w:right="82"/>
              <w:jc w:val="right"/>
              <w:rPr>
                <w:rFonts w:ascii="宋体" w:hAnsi="宋体" w:cs="宋体" w:eastAsia="宋体" w:hint="default"/>
                <w:sz w:val="16"/>
                <w:szCs w:val="16"/>
              </w:rPr>
            </w:pPr>
            <w:r>
              <w:rPr>
                <w:rFonts w:ascii="宋体"/>
                <w:w w:val="95"/>
                <w:sz w:val="16"/>
              </w:rPr>
              <w:t>21,394,130</w:t>
            </w:r>
            <w:r>
              <w:rPr>
                <w:rFonts w:ascii="宋体"/>
                <w:sz w:val="16"/>
              </w:rPr>
            </w:r>
          </w:p>
        </w:tc>
      </w:tr>
      <w:tr>
        <w:trPr>
          <w:trHeight w:val="273"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子公司持有的交通银行股票</w:t>
            </w:r>
          </w:p>
        </w:tc>
        <w:tc>
          <w:tcPr>
            <w:tcW w:w="1623" w:type="dxa"/>
            <w:tcBorders>
              <w:top w:val="nil" w:sz="6" w:space="0" w:color="auto"/>
              <w:left w:val="nil" w:sz="6" w:space="0" w:color="auto"/>
              <w:bottom w:val="nil" w:sz="6" w:space="0" w:color="auto"/>
              <w:right w:val="nil" w:sz="6" w:space="0" w:color="auto"/>
            </w:tcBorders>
          </w:tcPr>
          <w:p>
            <w:pPr>
              <w:pStyle w:val="TableParagraph"/>
              <w:spacing w:line="205" w:lineRule="exact"/>
              <w:ind w:right="231"/>
              <w:jc w:val="right"/>
              <w:rPr>
                <w:rFonts w:ascii="宋体" w:hAnsi="宋体" w:cs="宋体" w:eastAsia="宋体" w:hint="default"/>
                <w:sz w:val="16"/>
                <w:szCs w:val="16"/>
              </w:rPr>
            </w:pPr>
            <w:r>
              <w:rPr>
                <w:rFonts w:ascii="宋体"/>
                <w:sz w:val="16"/>
              </w:rPr>
              <w:t>157,636,695</w:t>
            </w:r>
          </w:p>
        </w:tc>
        <w:tc>
          <w:tcPr>
            <w:tcW w:w="1477" w:type="dxa"/>
            <w:tcBorders>
              <w:top w:val="nil" w:sz="6" w:space="0" w:color="auto"/>
              <w:left w:val="nil" w:sz="6" w:space="0" w:color="auto"/>
              <w:bottom w:val="nil" w:sz="6" w:space="0" w:color="auto"/>
              <w:right w:val="nil" w:sz="6" w:space="0" w:color="auto"/>
            </w:tcBorders>
          </w:tcPr>
          <w:p>
            <w:pPr>
              <w:pStyle w:val="TableParagraph"/>
              <w:spacing w:line="205" w:lineRule="exact"/>
              <w:ind w:right="221"/>
              <w:jc w:val="right"/>
              <w:rPr>
                <w:rFonts w:ascii="宋体" w:hAnsi="宋体" w:cs="宋体" w:eastAsia="宋体" w:hint="default"/>
                <w:sz w:val="16"/>
                <w:szCs w:val="16"/>
              </w:rPr>
            </w:pPr>
            <w:r>
              <w:rPr>
                <w:rFonts w:ascii="宋体"/>
                <w:sz w:val="16"/>
              </w:rPr>
              <w:t>146,975,276</w:t>
            </w:r>
          </w:p>
        </w:tc>
        <w:tc>
          <w:tcPr>
            <w:tcW w:w="1352" w:type="dxa"/>
            <w:tcBorders>
              <w:top w:val="nil" w:sz="6" w:space="0" w:color="auto"/>
              <w:left w:val="nil" w:sz="6" w:space="0" w:color="auto"/>
              <w:bottom w:val="nil" w:sz="6" w:space="0" w:color="auto"/>
              <w:right w:val="nil" w:sz="6" w:space="0" w:color="auto"/>
            </w:tcBorders>
          </w:tcPr>
          <w:p>
            <w:pPr>
              <w:pStyle w:val="TableParagraph"/>
              <w:spacing w:line="205" w:lineRule="exact"/>
              <w:ind w:right="133"/>
              <w:jc w:val="right"/>
              <w:rPr>
                <w:rFonts w:ascii="宋体" w:hAnsi="宋体" w:cs="宋体" w:eastAsia="宋体" w:hint="default"/>
                <w:sz w:val="16"/>
                <w:szCs w:val="16"/>
              </w:rPr>
            </w:pPr>
            <w:r>
              <w:rPr>
                <w:rFonts w:ascii="宋体"/>
                <w:sz w:val="16"/>
              </w:rPr>
              <w:t>-10,661,419</w:t>
            </w:r>
          </w:p>
        </w:tc>
        <w:tc>
          <w:tcPr>
            <w:tcW w:w="182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05" w:lineRule="exact"/>
              <w:ind w:left="460" w:right="0"/>
              <w:jc w:val="left"/>
              <w:rPr>
                <w:rFonts w:ascii="宋体" w:hAnsi="宋体" w:cs="宋体" w:eastAsia="宋体" w:hint="default"/>
                <w:sz w:val="16"/>
                <w:szCs w:val="16"/>
              </w:rPr>
            </w:pPr>
            <w:r>
              <w:rPr>
                <w:rFonts w:ascii="宋体" w:hAnsi="宋体" w:cs="宋体" w:eastAsia="宋体" w:hint="default"/>
                <w:sz w:val="16"/>
                <w:szCs w:val="16"/>
              </w:rPr>
              <w:t>子公司持有的西班牙电信股票</w:t>
            </w:r>
          </w:p>
        </w:tc>
        <w:tc>
          <w:tcPr>
            <w:tcW w:w="1623" w:type="dxa"/>
            <w:tcBorders>
              <w:top w:val="nil" w:sz="6" w:space="0" w:color="auto"/>
              <w:left w:val="nil" w:sz="6" w:space="0" w:color="auto"/>
              <w:bottom w:val="nil" w:sz="6" w:space="0" w:color="auto"/>
              <w:right w:val="nil" w:sz="6" w:space="0" w:color="auto"/>
            </w:tcBorders>
          </w:tcPr>
          <w:p>
            <w:pPr>
              <w:pStyle w:val="TableParagraph"/>
              <w:spacing w:line="205" w:lineRule="exact"/>
              <w:ind w:right="230"/>
              <w:jc w:val="right"/>
              <w:rPr>
                <w:rFonts w:ascii="宋体" w:hAnsi="宋体" w:cs="宋体" w:eastAsia="宋体" w:hint="default"/>
                <w:sz w:val="16"/>
                <w:szCs w:val="16"/>
              </w:rPr>
            </w:pPr>
            <w:r>
              <w:rPr>
                <w:rFonts w:ascii="宋体"/>
                <w:w w:val="95"/>
                <w:sz w:val="16"/>
              </w:rPr>
              <w:t>4,070,155,300</w:t>
            </w:r>
            <w:r>
              <w:rPr>
                <w:rFonts w:ascii="宋体"/>
                <w:sz w:val="16"/>
              </w:rPr>
            </w:r>
          </w:p>
        </w:tc>
        <w:tc>
          <w:tcPr>
            <w:tcW w:w="1477" w:type="dxa"/>
            <w:tcBorders>
              <w:top w:val="nil" w:sz="6" w:space="0" w:color="auto"/>
              <w:left w:val="nil" w:sz="6" w:space="0" w:color="auto"/>
              <w:bottom w:val="nil" w:sz="6" w:space="0" w:color="auto"/>
              <w:right w:val="nil" w:sz="6" w:space="0" w:color="auto"/>
            </w:tcBorders>
          </w:tcPr>
          <w:p>
            <w:pPr>
              <w:pStyle w:val="TableParagraph"/>
              <w:spacing w:line="205" w:lineRule="exact"/>
              <w:ind w:right="221"/>
              <w:jc w:val="right"/>
              <w:rPr>
                <w:rFonts w:ascii="宋体" w:hAnsi="宋体" w:cs="宋体" w:eastAsia="宋体" w:hint="default"/>
                <w:sz w:val="16"/>
                <w:szCs w:val="16"/>
              </w:rPr>
            </w:pPr>
            <w:r>
              <w:rPr>
                <w:rFonts w:ascii="宋体"/>
                <w:w w:val="95"/>
                <w:sz w:val="16"/>
              </w:rPr>
              <w:t>3,697,639,436</w:t>
            </w:r>
            <w:r>
              <w:rPr>
                <w:rFonts w:ascii="宋体"/>
                <w:sz w:val="16"/>
              </w:rPr>
            </w:r>
          </w:p>
        </w:tc>
        <w:tc>
          <w:tcPr>
            <w:tcW w:w="1352" w:type="dxa"/>
            <w:tcBorders>
              <w:top w:val="nil" w:sz="6" w:space="0" w:color="auto"/>
              <w:left w:val="nil" w:sz="6" w:space="0" w:color="auto"/>
              <w:bottom w:val="nil" w:sz="6" w:space="0" w:color="auto"/>
              <w:right w:val="nil" w:sz="6" w:space="0" w:color="auto"/>
            </w:tcBorders>
          </w:tcPr>
          <w:p>
            <w:pPr>
              <w:pStyle w:val="TableParagraph"/>
              <w:spacing w:line="205" w:lineRule="exact"/>
              <w:ind w:right="133"/>
              <w:jc w:val="right"/>
              <w:rPr>
                <w:rFonts w:ascii="宋体" w:hAnsi="宋体" w:cs="宋体" w:eastAsia="宋体" w:hint="default"/>
                <w:sz w:val="16"/>
                <w:szCs w:val="16"/>
              </w:rPr>
            </w:pPr>
            <w:r>
              <w:rPr>
                <w:rFonts w:ascii="宋体"/>
                <w:sz w:val="16"/>
              </w:rPr>
              <w:t>-372,515,864</w:t>
            </w:r>
          </w:p>
        </w:tc>
        <w:tc>
          <w:tcPr>
            <w:tcW w:w="182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05" w:lineRule="exact"/>
              <w:ind w:left="459" w:right="0"/>
              <w:jc w:val="left"/>
              <w:rPr>
                <w:rFonts w:ascii="宋体" w:hAnsi="宋体" w:cs="宋体" w:eastAsia="宋体" w:hint="default"/>
                <w:sz w:val="16"/>
                <w:szCs w:val="16"/>
              </w:rPr>
            </w:pPr>
            <w:r>
              <w:rPr>
                <w:rFonts w:ascii="宋体" w:hAnsi="宋体" w:cs="宋体" w:eastAsia="宋体" w:hint="default"/>
                <w:sz w:val="16"/>
                <w:szCs w:val="16"/>
              </w:rPr>
              <w:t>其他子公司持有的其他权益工具投资</w:t>
            </w:r>
          </w:p>
        </w:tc>
        <w:tc>
          <w:tcPr>
            <w:tcW w:w="1623" w:type="dxa"/>
            <w:tcBorders>
              <w:top w:val="nil" w:sz="6" w:space="0" w:color="auto"/>
              <w:left w:val="nil" w:sz="6" w:space="0" w:color="auto"/>
              <w:bottom w:val="nil" w:sz="6" w:space="0" w:color="auto"/>
              <w:right w:val="nil" w:sz="6" w:space="0" w:color="auto"/>
            </w:tcBorders>
          </w:tcPr>
          <w:p>
            <w:pPr>
              <w:pStyle w:val="TableParagraph"/>
              <w:spacing w:line="205" w:lineRule="exact"/>
              <w:ind w:right="230"/>
              <w:jc w:val="right"/>
              <w:rPr>
                <w:rFonts w:ascii="宋体" w:hAnsi="宋体" w:cs="宋体" w:eastAsia="宋体" w:hint="default"/>
                <w:sz w:val="16"/>
                <w:szCs w:val="16"/>
              </w:rPr>
            </w:pPr>
            <w:r>
              <w:rPr>
                <w:rFonts w:ascii="宋体"/>
                <w:w w:val="95"/>
                <w:sz w:val="16"/>
              </w:rPr>
              <w:t>58,280,271</w:t>
            </w:r>
            <w:r>
              <w:rPr>
                <w:rFonts w:ascii="宋体"/>
                <w:sz w:val="16"/>
              </w:rPr>
            </w:r>
          </w:p>
        </w:tc>
        <w:tc>
          <w:tcPr>
            <w:tcW w:w="1477" w:type="dxa"/>
            <w:tcBorders>
              <w:top w:val="nil" w:sz="6" w:space="0" w:color="auto"/>
              <w:left w:val="nil" w:sz="6" w:space="0" w:color="auto"/>
              <w:bottom w:val="nil" w:sz="6" w:space="0" w:color="auto"/>
              <w:right w:val="nil" w:sz="6" w:space="0" w:color="auto"/>
            </w:tcBorders>
          </w:tcPr>
          <w:p>
            <w:pPr>
              <w:pStyle w:val="TableParagraph"/>
              <w:spacing w:line="205" w:lineRule="exact"/>
              <w:ind w:right="221"/>
              <w:jc w:val="right"/>
              <w:rPr>
                <w:rFonts w:ascii="宋体" w:hAnsi="宋体" w:cs="宋体" w:eastAsia="宋体" w:hint="default"/>
                <w:sz w:val="16"/>
                <w:szCs w:val="16"/>
              </w:rPr>
            </w:pPr>
            <w:r>
              <w:rPr>
                <w:rFonts w:ascii="宋体"/>
                <w:w w:val="95"/>
                <w:sz w:val="16"/>
              </w:rPr>
              <w:t>58,280,271</w:t>
            </w:r>
            <w:r>
              <w:rPr>
                <w:rFonts w:ascii="宋体"/>
                <w:sz w:val="16"/>
              </w:rPr>
            </w:r>
          </w:p>
        </w:tc>
        <w:tc>
          <w:tcPr>
            <w:tcW w:w="1352" w:type="dxa"/>
            <w:tcBorders>
              <w:top w:val="nil" w:sz="6" w:space="0" w:color="auto"/>
              <w:left w:val="nil" w:sz="6" w:space="0" w:color="auto"/>
              <w:bottom w:val="nil" w:sz="6" w:space="0" w:color="auto"/>
              <w:right w:val="nil" w:sz="6" w:space="0" w:color="auto"/>
            </w:tcBorders>
          </w:tcPr>
          <w:p>
            <w:pPr>
              <w:pStyle w:val="TableParagraph"/>
              <w:spacing w:line="205" w:lineRule="exact"/>
              <w:ind w:right="133"/>
              <w:jc w:val="right"/>
              <w:rPr>
                <w:rFonts w:ascii="宋体" w:hAnsi="宋体" w:cs="宋体" w:eastAsia="宋体" w:hint="default"/>
                <w:sz w:val="16"/>
                <w:szCs w:val="16"/>
              </w:rPr>
            </w:pPr>
            <w:r>
              <w:rPr>
                <w:rFonts w:ascii="宋体"/>
                <w:w w:val="111"/>
                <w:sz w:val="16"/>
              </w:rPr>
              <w:t>0</w:t>
            </w:r>
            <w:r>
              <w:rPr>
                <w:rFonts w:ascii="宋体"/>
                <w:sz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317" w:hRule="exact"/>
        </w:trPr>
        <w:tc>
          <w:tcPr>
            <w:tcW w:w="3390" w:type="dxa"/>
            <w:tcBorders>
              <w:top w:val="nil" w:sz="6" w:space="0" w:color="auto"/>
              <w:left w:val="nil" w:sz="6" w:space="0" w:color="auto"/>
              <w:bottom w:val="nil" w:sz="6" w:space="0" w:color="auto"/>
              <w:right w:val="nil" w:sz="6" w:space="0" w:color="auto"/>
            </w:tcBorders>
          </w:tcPr>
          <w:p>
            <w:pPr>
              <w:pStyle w:val="TableParagraph"/>
              <w:spacing w:line="205" w:lineRule="exact"/>
              <w:ind w:left="459"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623" w:type="dxa"/>
            <w:tcBorders>
              <w:top w:val="nil" w:sz="6" w:space="0" w:color="auto"/>
              <w:left w:val="nil" w:sz="6" w:space="0" w:color="auto"/>
              <w:bottom w:val="nil" w:sz="6" w:space="0" w:color="auto"/>
              <w:right w:val="nil" w:sz="6" w:space="0" w:color="auto"/>
            </w:tcBorders>
          </w:tcPr>
          <w:p>
            <w:pPr>
              <w:pStyle w:val="TableParagraph"/>
              <w:spacing w:line="205" w:lineRule="exact"/>
              <w:ind w:right="230"/>
              <w:jc w:val="right"/>
              <w:rPr>
                <w:rFonts w:ascii="宋体" w:hAnsi="宋体" w:cs="宋体" w:eastAsia="宋体" w:hint="default"/>
                <w:sz w:val="16"/>
                <w:szCs w:val="16"/>
              </w:rPr>
            </w:pPr>
            <w:r>
              <w:rPr>
                <w:rFonts w:ascii="宋体"/>
                <w:w w:val="95"/>
                <w:sz w:val="16"/>
              </w:rPr>
              <w:t>4,445,582,611</w:t>
            </w:r>
            <w:r>
              <w:rPr>
                <w:rFonts w:ascii="宋体"/>
                <w:sz w:val="16"/>
              </w:rPr>
            </w:r>
          </w:p>
        </w:tc>
        <w:tc>
          <w:tcPr>
            <w:tcW w:w="1477" w:type="dxa"/>
            <w:tcBorders>
              <w:top w:val="nil" w:sz="6" w:space="0" w:color="auto"/>
              <w:left w:val="nil" w:sz="6" w:space="0" w:color="auto"/>
              <w:bottom w:val="nil" w:sz="6" w:space="0" w:color="auto"/>
              <w:right w:val="nil" w:sz="6" w:space="0" w:color="auto"/>
            </w:tcBorders>
          </w:tcPr>
          <w:p>
            <w:pPr>
              <w:pStyle w:val="TableParagraph"/>
              <w:spacing w:line="205" w:lineRule="exact"/>
              <w:ind w:right="221"/>
              <w:jc w:val="right"/>
              <w:rPr>
                <w:rFonts w:ascii="宋体" w:hAnsi="宋体" w:cs="宋体" w:eastAsia="宋体" w:hint="default"/>
                <w:sz w:val="16"/>
                <w:szCs w:val="16"/>
              </w:rPr>
            </w:pPr>
            <w:r>
              <w:rPr>
                <w:rFonts w:ascii="宋体"/>
                <w:w w:val="95"/>
                <w:sz w:val="16"/>
              </w:rPr>
              <w:t>4,672,800,330</w:t>
            </w:r>
            <w:r>
              <w:rPr>
                <w:rFonts w:ascii="宋体"/>
                <w:sz w:val="16"/>
              </w:rPr>
            </w:r>
          </w:p>
        </w:tc>
        <w:tc>
          <w:tcPr>
            <w:tcW w:w="1352" w:type="dxa"/>
            <w:tcBorders>
              <w:top w:val="nil" w:sz="6" w:space="0" w:color="auto"/>
              <w:left w:val="nil" w:sz="6" w:space="0" w:color="auto"/>
              <w:bottom w:val="nil" w:sz="6" w:space="0" w:color="auto"/>
              <w:right w:val="nil" w:sz="6" w:space="0" w:color="auto"/>
            </w:tcBorders>
          </w:tcPr>
          <w:p>
            <w:pPr>
              <w:pStyle w:val="TableParagraph"/>
              <w:spacing w:line="205" w:lineRule="exact"/>
              <w:ind w:right="133"/>
              <w:jc w:val="right"/>
              <w:rPr>
                <w:rFonts w:ascii="宋体" w:hAnsi="宋体" w:cs="宋体" w:eastAsia="宋体" w:hint="default"/>
                <w:sz w:val="16"/>
                <w:szCs w:val="16"/>
              </w:rPr>
            </w:pPr>
            <w:r>
              <w:rPr>
                <w:rFonts w:ascii="宋体"/>
                <w:sz w:val="16"/>
              </w:rPr>
              <w:t>227,217,719</w:t>
            </w:r>
          </w:p>
        </w:tc>
        <w:tc>
          <w:tcPr>
            <w:tcW w:w="182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5"/>
                <w:sz w:val="16"/>
              </w:rPr>
              <w:t>21,394,130</w:t>
            </w:r>
            <w:r>
              <w:rPr>
                <w:rFonts w:ascii="宋体"/>
                <w:sz w:val="16"/>
              </w:rPr>
            </w:r>
          </w:p>
        </w:tc>
      </w:tr>
    </w:tbl>
    <w:p>
      <w:pPr>
        <w:spacing w:line="20" w:lineRule="exact"/>
        <w:ind w:left="175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64.85pt;height:.5pt;mso-position-horizontal-relative:char;mso-position-vertical-relative:line" coordorigin="0,0" coordsize="9297,10">
            <v:group style="position:absolute;left:5;top:5;width:2960;height:2" coordorigin="5,5" coordsize="2960,2">
              <v:shape style="position:absolute;left:5;top:5;width:2960;height:2" coordorigin="5,5" coordsize="2960,0" path="m5,5l2964,5e" filled="false" stroked="true" strokeweight=".5pt" strokecolor="#000000">
                <v:path arrowok="t"/>
              </v:shape>
            </v:group>
            <v:group style="position:absolute;left:2964;top:5;width:1531;height:2" coordorigin="2964,5" coordsize="1531,2">
              <v:shape style="position:absolute;left:2964;top:5;width:1531;height:2" coordorigin="2964,5" coordsize="1531,0" path="m2964,5l4495,5e" filled="false" stroked="true" strokeweight=".5pt" strokecolor="#000000">
                <v:path arrowok="t"/>
              </v:shape>
            </v:group>
            <v:group style="position:absolute;left:4495;top:5;width:1486;height:2" coordorigin="4495,5" coordsize="1486,2">
              <v:shape style="position:absolute;left:4495;top:5;width:1486;height:2" coordorigin="4495,5" coordsize="1486,0" path="m4495,5l5980,5e" filled="false" stroked="true" strokeweight=".5pt" strokecolor="#000000">
                <v:path arrowok="t"/>
              </v:shape>
            </v:group>
            <v:group style="position:absolute;left:5980;top:5;width:1440;height:2" coordorigin="5980,5" coordsize="1440,2">
              <v:shape style="position:absolute;left:5980;top:5;width:1440;height:2" coordorigin="5980,5" coordsize="1440,0" path="m5980,5l7420,5e" filled="false" stroked="true" strokeweight=".5pt" strokecolor="#000000">
                <v:path arrowok="t"/>
              </v:shape>
            </v:group>
            <v:group style="position:absolute;left:7420;top:5;width:1871;height:2" coordorigin="7420,5" coordsize="1871,2">
              <v:shape style="position:absolute;left:7420;top:5;width:1871;height:2" coordorigin="7420,5" coordsize="1871,0" path="m7420,5l9291,5e" filled="false" stroked="true" strokeweight=".5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headerReference w:type="default" r:id="rId62"/>
          <w:footerReference w:type="default" r:id="rId63"/>
          <w:pgSz w:w="11910" w:h="16160"/>
          <w:pgMar w:header="0" w:footer="298" w:top="2420" w:bottom="480" w:left="0" w:right="0"/>
          <w:pgNumType w:start="17"/>
        </w:sectPr>
      </w:pPr>
    </w:p>
    <w:p>
      <w:pPr>
        <w:spacing w:line="576" w:lineRule="exact" w:before="16"/>
        <w:ind w:left="1048" w:right="8917" w:firstLine="0"/>
        <w:jc w:val="left"/>
        <w:rPr>
          <w:rFonts w:ascii="宋体" w:hAnsi="宋体" w:cs="宋体" w:eastAsia="宋体" w:hint="default"/>
          <w:sz w:val="48"/>
          <w:szCs w:val="48"/>
        </w:rPr>
      </w:pPr>
      <w:r>
        <w:rPr/>
        <w:pict>
          <v:group style="position:absolute;margin-left:-1.000092pt;margin-top:4.025694pt;width:597.3pt;height:544.9pt;mso-position-horizontal-relative:page;mso-position-vertical-relative:paragraph;z-index:-966976" coordorigin="-20,81" coordsize="11946,10898">
            <v:group style="position:absolute;left:9612;top:6281;width:2294;height:1031" coordorigin="9612,6281" coordsize="2294,1031">
              <v:shape style="position:absolute;left:9612;top:6281;width:2294;height:1031" coordorigin="9612,6281" coordsize="2294,1031" path="m9612,6281l11905,7311e" filled="false" stroked="true" strokeweight=".5pt" strokecolor="#9b8758">
                <v:path arrowok="t"/>
              </v:shape>
            </v:group>
            <v:group style="position:absolute;left:2884;top:3258;width:5894;height:2648" coordorigin="2884,3258" coordsize="5894,2648">
              <v:shape style="position:absolute;left:2884;top:3258;width:5894;height:2648" coordorigin="2884,3258" coordsize="5894,2648" path="m2884,3258l8777,5906e" filled="false" stroked="true" strokeweight=".5pt" strokecolor="#8c8f90">
                <v:path arrowok="t"/>
              </v:shape>
            </v:group>
            <v:group style="position:absolute;left:0;top:1963;width:2056;height:924" coordorigin="0,1963" coordsize="2056,924">
              <v:shape style="position:absolute;left:0;top:1963;width:2056;height:924" coordorigin="0,1963" coordsize="2056,924" path="m0,1963l2056,2886e" filled="false" stroked="true" strokeweight=".5pt" strokecolor="#9b8758">
                <v:path arrowok="t"/>
              </v:shape>
            </v:group>
            <v:group style="position:absolute;left:0;top:2456;width:11906;height:5044" coordorigin="0,2456" coordsize="11906,5044">
              <v:shape style="position:absolute;left:0;top:2456;width:11906;height:5044" coordorigin="0,2456" coordsize="11906,5044" path="m0,2456l11906,7499e" filled="false" stroked="true" strokeweight=".5pt" strokecolor="#8c8f90">
                <v:path arrowok="t"/>
              </v:shape>
            </v:group>
            <v:group style="position:absolute;left:0;top:6075;width:11906;height:2808" coordorigin="0,6075" coordsize="11906,2808">
              <v:shape style="position:absolute;left:0;top:6075;width:11906;height:2808" coordorigin="0,6075" coordsize="11906,2808" path="m0,6075l11906,8883e" filled="false" stroked="true" strokeweight=".25pt" strokecolor="#8c8f90">
                <v:path arrowok="t"/>
              </v:shape>
            </v:group>
            <v:group style="position:absolute;left:8626;top:4862;width:3279;height:1774" coordorigin="8626,4862" coordsize="3279,1774">
              <v:shape style="position:absolute;left:8626;top:4862;width:3279;height:1774" coordorigin="8626,4862" coordsize="3279,1774" path="m8626,4862l11906,6635e" filled="false" stroked="true" strokeweight="1pt" strokecolor="#8c8f90">
                <v:path arrowok="t"/>
              </v:shape>
            </v:group>
            <v:group style="position:absolute;left:2972;top:1803;width:4282;height:2316" coordorigin="2972,1803" coordsize="4282,2316">
              <v:shape style="position:absolute;left:2972;top:1803;width:4282;height:2316" coordorigin="2972,1803" coordsize="4282,2316" path="m2972,1803l7253,4119e" filled="false" stroked="true" strokeweight="1pt" strokecolor="#9b8758">
                <v:path arrowok="t"/>
              </v:shape>
            </v:group>
            <v:group style="position:absolute;left:5569;top:3892;width:6337;height:3112" coordorigin="5569,3892" coordsize="6337,3112">
              <v:shape style="position:absolute;left:5569;top:3892;width:6337;height:3112" coordorigin="5569,3892" coordsize="6337,3112" path="m5569,3892l11905,7003e" filled="false" stroked="true" strokeweight="1.5pt" strokecolor="#8c8f90">
                <v:path arrowok="t"/>
              </v:shape>
            </v:group>
            <v:group style="position:absolute;left:0;top:195;width:2349;height:1271" coordorigin="0,195" coordsize="2349,1271">
              <v:shape style="position:absolute;left:0;top:195;width:2349;height:1271" coordorigin="0,195" coordsize="2349,1271" path="m0,195l2348,1466e" filled="false" stroked="true" strokeweight="1pt" strokecolor="#8c8f90">
                <v:path arrowok="t"/>
              </v:shape>
            </v:group>
            <v:group style="position:absolute;left:0;top:1058;width:4832;height:2372" coordorigin="0,1058" coordsize="4832,2372">
              <v:shape style="position:absolute;left:0;top:1058;width:4832;height:2372" coordorigin="0,1058" coordsize="4832,2372" path="m0,1058l4831,3430e" filled="false" stroked="true" strokeweight="1.5pt" strokecolor="#9b8758">
                <v:path arrowok="t"/>
              </v:shape>
            </v:group>
            <v:group style="position:absolute;left:3565;top:2538;width:8341;height:4238" coordorigin="3565,2538" coordsize="8341,4238">
              <v:shape style="position:absolute;left:3565;top:2538;width:8341;height:4238" coordorigin="3565,2538" coordsize="8341,4238" path="m3565,2538l11906,6775e" filled="false" stroked="true" strokeweight=".5pt" strokecolor="#9b8758">
                <v:path arrowok="t"/>
              </v:shape>
            </v:group>
            <v:group style="position:absolute;left:0;top:830;width:1110;height:564" coordorigin="0,830" coordsize="1110,564">
              <v:shape style="position:absolute;left:0;top:830;width:1110;height:564" coordorigin="0,830" coordsize="1110,564" path="m0,830l1109,1394e" filled="false" stroked="true" strokeweight=".5pt" strokecolor="#8c8f90">
                <v:path arrowok="t"/>
              </v:shape>
            </v:group>
            <v:group style="position:absolute;left:641;top:6079;width:4198;height:1024" coordorigin="641,6079" coordsize="4198,1024">
              <v:shape style="position:absolute;left:641;top:6079;width:4198;height:1024" coordorigin="641,6079" coordsize="4198,1024" path="m4839,7102l641,6079e" filled="false" stroked="true" strokeweight="1pt" strokecolor="#9b8758">
                <v:path arrowok="t"/>
              </v:shape>
            </v:group>
            <v:group style="position:absolute;left:5692;top:7310;width:6214;height:1515" coordorigin="5692,7310" coordsize="6214,1515">
              <v:shape style="position:absolute;left:5692;top:7310;width:6214;height:1515" coordorigin="5692,7310" coordsize="6214,1515" path="m11906,8825l5692,7310e" filled="false" stroked="true" strokeweight="1pt" strokecolor="#8c8f90">
                <v:path arrowok="t"/>
              </v:shape>
            </v:group>
            <v:group style="position:absolute;left:0;top:7962;width:5269;height:727" coordorigin="0,7962" coordsize="5269,727">
              <v:shape style="position:absolute;left:0;top:7962;width:5269;height:727" coordorigin="0,7962" coordsize="5269,727" path="m5269,8689l0,7962e" filled="false" stroked="true" strokeweight="1.5pt" strokecolor="#8c8f90">
                <v:path arrowok="t"/>
              </v:shape>
            </v:group>
            <v:group style="position:absolute;left:0;top:3680;width:11906;height:4288" coordorigin="0,3680" coordsize="11906,4288">
              <v:shape style="position:absolute;left:0;top:3680;width:11906;height:4288" coordorigin="0,3680" coordsize="11906,4288" path="m0,3680l11906,7967e" filled="false" stroked="true" strokeweight=".25pt" strokecolor="#8c8f90">
                <v:path arrowok="t"/>
              </v:shape>
            </v:group>
            <v:group style="position:absolute;left:0;top:5465;width:11906;height:3143" coordorigin="0,5465" coordsize="11906,3143">
              <v:shape style="position:absolute;left:0;top:5465;width:11906;height:3143" coordorigin="0,5465" coordsize="11906,3143" path="m0,5465l11906,8608e" filled="false" stroked="true" strokeweight=".25pt" strokecolor="#8c8f90">
                <v:path arrowok="t"/>
              </v:shape>
            </v:group>
            <v:group style="position:absolute;left:6925;top:5639;width:4981;height:2010" coordorigin="6925,5639" coordsize="4981,2010">
              <v:shape style="position:absolute;left:6925;top:5639;width:4981;height:2010" coordorigin="6925,5639" coordsize="4981,2010" path="m6925,5639l11905,7648e" filled="false" stroked="true" strokeweight="1pt" strokecolor="#9b8758">
                <v:path arrowok="t"/>
              </v:shape>
            </v:group>
            <v:group style="position:absolute;left:0;top:2846;width:4494;height:1813" coordorigin="0,2846" coordsize="4494,1813">
              <v:shape style="position:absolute;left:0;top:2846;width:4494;height:1813" coordorigin="0,2846" coordsize="4494,1813" path="m0,2846l4494,4658e" filled="false" stroked="true" strokeweight="1pt" strokecolor="#9b8758">
                <v:path arrowok="t"/>
              </v:shape>
            </v:group>
            <v:group style="position:absolute;left:8158;top:7407;width:3748;height:1084" coordorigin="8158,7407" coordsize="3748,1084">
              <v:shape style="position:absolute;left:8158;top:7407;width:3748;height:1084" coordorigin="8158,7407" coordsize="3748,1084" path="m8158,7407l11905,8490e" filled="false" stroked="true" strokeweight="1.5pt" strokecolor="#8c8f90">
                <v:path arrowok="t"/>
              </v:shape>
            </v:group>
            <v:group style="position:absolute;left:4203;top:6263;width:3175;height:918" coordorigin="4203,6263" coordsize="3175,918">
              <v:shape style="position:absolute;left:4203;top:6263;width:3175;height:918" coordorigin="4203,6263" coordsize="3175,918" path="m4203,6263l7378,7181e" filled="false" stroked="true" strokeweight="1.5pt" strokecolor="#8c8f90">
                <v:path arrowok="t"/>
              </v:shape>
            </v:group>
            <v:group style="position:absolute;left:0;top:5048;width:2955;height:855" coordorigin="0,5048" coordsize="2955,855">
              <v:shape style="position:absolute;left:0;top:5048;width:2955;height:855" coordorigin="0,5048" coordsize="2955,855" path="m0,5048l2954,5902e" filled="false" stroked="true" strokeweight="1.5pt" strokecolor="#8c8f90">
                <v:path arrowok="t"/>
              </v:shape>
            </v:group>
            <v:group style="position:absolute;left:10457;top:7297;width:1449;height:546" coordorigin="10457,7297" coordsize="1449,546">
              <v:shape style="position:absolute;left:10457;top:7297;width:1449;height:546" coordorigin="10457,7297" coordsize="1449,546" path="m10457,7297l11906,7843e" filled="false" stroked="true" strokeweight="1.5pt" strokecolor="#8c8f90">
                <v:path arrowok="t"/>
              </v:shape>
            </v:group>
            <v:group style="position:absolute;left:861;top:3680;width:8049;height:3035" coordorigin="861,3680" coordsize="8049,3035">
              <v:shape style="position:absolute;left:861;top:3680;width:8049;height:3035" coordorigin="861,3680" coordsize="8049,3035" path="m861,3680l8910,6714e" filled="false" stroked="true" strokeweight="1.5pt" strokecolor="#8c8f90">
                <v:path arrowok="t"/>
              </v:shape>
            </v:group>
            <v:group style="position:absolute;left:0;top:4618;width:11906;height:3708" coordorigin="0,4618" coordsize="11906,3708">
              <v:shape style="position:absolute;left:0;top:4618;width:11906;height:3708" coordorigin="0,4618" coordsize="11906,3708" path="m0,4618l11906,8326e" filled="false" stroked="true" strokeweight=".5pt" strokecolor="#9b8758">
                <v:path arrowok="t"/>
              </v:shape>
            </v:group>
            <v:group style="position:absolute;left:7349;top:8975;width:4557;height:629" coordorigin="7349,8975" coordsize="4557,629">
              <v:shape style="position:absolute;left:7349;top:8975;width:4557;height:629" coordorigin="7349,8975" coordsize="4557,629" path="m11905,9604l7349,8975e" filled="false" stroked="true" strokeweight="1.5pt" strokecolor="#8c8f90">
                <v:path arrowok="t"/>
              </v:shape>
            </v:group>
            <v:group style="position:absolute;left:0;top:7616;width:11906;height:1856" coordorigin="0,7616" coordsize="11906,1856">
              <v:shape style="position:absolute;left:0;top:7616;width:11906;height:1856" coordorigin="0,7616" coordsize="11906,1856" path="m0,7616l11906,9472e" filled="false" stroked="true" strokeweight=".25pt" strokecolor="#9b8758">
                <v:path arrowok="t"/>
              </v:shape>
            </v:group>
            <v:group style="position:absolute;left:2596;top:5125;width:9310;height:3068" coordorigin="2596,5125" coordsize="9310,3068">
              <v:shape style="position:absolute;left:2596;top:5125;width:9310;height:3068" coordorigin="2596,5125" coordsize="9310,3068" path="m2596,5125l11905,8193e" filled="false" stroked="true" strokeweight="1pt" strokecolor="#8c8f90">
                <v:path arrowok="t"/>
              </v:shape>
            </v:group>
            <v:group style="position:absolute;left:0;top:4192;width:1818;height:600" coordorigin="0,4192" coordsize="1818,600">
              <v:shape style="position:absolute;left:0;top:4192;width:1818;height:600" coordorigin="0,4192" coordsize="1818,600" path="m0,4192l1818,4791e" filled="false" stroked="true" strokeweight="1pt" strokecolor="#8c8f90">
                <v:path arrowok="t"/>
              </v:shape>
            </v:group>
            <v:group style="position:absolute;left:7036;top:7931;width:4870;height:1071" coordorigin="7036,7931" coordsize="4870,1071">
              <v:shape style="position:absolute;left:7036;top:7931;width:4870;height:1071" coordorigin="7036,7931" coordsize="4870,1071" path="m7036,7931l11905,9001e" filled="false" stroked="true" strokeweight="1.5pt" strokecolor="#8c8f90">
                <v:path arrowok="t"/>
              </v:shape>
            </v:group>
            <v:group style="position:absolute;left:3267;top:7102;width:2719;height:598" coordorigin="3267,7102" coordsize="2719,598">
              <v:shape style="position:absolute;left:3267;top:7102;width:2719;height:598" coordorigin="3267,7102" coordsize="2719,598" path="m3267,7102l5986,7700e" filled="false" stroked="true" strokeweight="1.5pt" strokecolor="#8c8f90">
                <v:path arrowok="t"/>
              </v:shape>
            </v:group>
            <v:group style="position:absolute;left:0;top:6384;width:2281;height:502" coordorigin="0,6384" coordsize="2281,502">
              <v:shape style="position:absolute;left:0;top:6384;width:2281;height:502" coordorigin="0,6384" coordsize="2281,502" path="m0,6384l2280,6886e" filled="false" stroked="true" strokeweight="1.5pt" strokecolor="#8c8f90">
                <v:path arrowok="t"/>
              </v:shape>
            </v:group>
            <v:group style="position:absolute;left:0;top:8305;width:11906;height:1430" coordorigin="0,8305" coordsize="11906,1430">
              <v:shape style="position:absolute;left:0;top:8305;width:11906;height:1430" coordorigin="0,8305" coordsize="11906,1430" path="m0,8305l11906,9735e" filled="false" stroked="true" strokeweight=".5pt" strokecolor="#9b8758">
                <v:path arrowok="t"/>
              </v:shape>
            </v:group>
            <v:group style="position:absolute;left:8817;top:9649;width:3089;height:287" coordorigin="8817,9649" coordsize="3089,287">
              <v:shape style="position:absolute;left:8817;top:9649;width:3089;height:287" coordorigin="8817,9649" coordsize="3089,287" path="m8817,9649l11905,9936e" filled="false" stroked="true" strokeweight="1pt" strokecolor="#9b8758">
                <v:path arrowok="t"/>
              </v:shape>
            </v:group>
            <v:group style="position:absolute;left:1571;top:8975;width:5906;height:549" coordorigin="1571,8975" coordsize="5906,549">
              <v:shape style="position:absolute;left:1571;top:8975;width:5906;height:549" coordorigin="1571,8975" coordsize="5906,549" path="m1571,8975l7476,9524e" filled="false" stroked="true" strokeweight="1pt" strokecolor="#8c8f90">
                <v:path arrowok="t"/>
              </v:shape>
            </v:group>
            <v:group style="position:absolute;left:396;top:9872;width:3631;height:144" coordorigin="396,9872" coordsize="3631,144">
              <v:shape style="position:absolute;left:396;top:9872;width:3631;height:144" coordorigin="396,9872" coordsize="3631,144" path="m4027,10016l396,9872e" filled="false" stroked="true" strokeweight="1.5pt" strokecolor="#9b8758">
                <v:path arrowok="t"/>
              </v:shape>
            </v:group>
            <v:group style="position:absolute;left:5967;top:10093;width:5939;height:236" coordorigin="5967,10093" coordsize="5939,236">
              <v:shape style="position:absolute;left:5967;top:10093;width:5939;height:236" coordorigin="5967,10093" coordsize="5939,236" path="m11905,10328l5967,10093e" filled="false" stroked="true" strokeweight="1.5pt" strokecolor="#8c8f90">
                <v:path arrowok="t"/>
              </v:shape>
            </v:group>
            <v:group style="position:absolute;left:4627;top:10262;width:7279;height:179" coordorigin="4627,10262" coordsize="7279,179">
              <v:shape style="position:absolute;left:4627;top:10262;width:7279;height:179" coordorigin="4627,10262" coordsize="7279,179" path="m11906,10440l4627,10262e" filled="false" stroked="true" strokeweight="1.0pt" strokecolor="#8c8f90">
                <v:path arrowok="t"/>
              </v:shape>
            </v:group>
            <v:group style="position:absolute;left:0;top:10115;width:3524;height:87" coordorigin="0,10115" coordsize="3524,87">
              <v:shape style="position:absolute;left:0;top:10115;width:3524;height:87" coordorigin="0,10115" coordsize="3524,87" path="m3523,10201l0,10115e" filled="false" stroked="true" strokeweight="1pt" strokecolor="#8c8f90">
                <v:path arrowok="t"/>
              </v:shape>
            </v:group>
            <v:group style="position:absolute;left:0;top:9465;width:11906;height:714" coordorigin="0,9465" coordsize="11906,714">
              <v:shape style="position:absolute;left:0;top:9465;width:11906;height:714" coordorigin="0,9465" coordsize="11906,714" path="m0,9465l11905,10178e" filled="false" stroked="true" strokeweight=".25pt" strokecolor="#9b8758">
                <v:path arrowok="t"/>
              </v:shape>
            </v:group>
            <v:group style="position:absolute;left:4752;top:8011;width:7154;height:1286" coordorigin="4752,8011" coordsize="7154,1286">
              <v:shape style="position:absolute;left:4752;top:8011;width:7154;height:1286" coordorigin="4752,8011" coordsize="7154,1286" path="m4752,8011l11905,9296e" filled="false" stroked="true" strokeweight=".5pt" strokecolor="#8c8f90">
                <v:path arrowok="t"/>
              </v:shape>
            </v:group>
            <v:group style="position:absolute;left:0;top:7157;width:2916;height:524" coordorigin="0,7157" coordsize="2916,524">
              <v:shape style="position:absolute;left:0;top:7157;width:2916;height:524" coordorigin="0,7157" coordsize="2916,524" path="m0,7157l2915,7680e" filled="false" stroked="true" strokeweight=".5pt" strokecolor="#9b8758">
                <v:path arrowok="t"/>
              </v:shape>
            </v:group>
            <v:group style="position:absolute;left:811;top:7061;width:11095;height:2140" coordorigin="811,7061" coordsize="11095,2140">
              <v:shape style="position:absolute;left:811;top:7061;width:11095;height:2140" coordorigin="811,7061" coordsize="11095,2140" path="m811,7061l11905,9200e" filled="false" stroked="true" strokeweight="1.5pt" strokecolor="#9b8758">
                <v:path arrowok="t"/>
              </v:shape>
            </v:group>
            <v:group style="position:absolute;left:10013;top:5481;width:1893;height:1051" coordorigin="10013,5481" coordsize="1893,1051">
              <v:shape style="position:absolute;left:10013;top:5481;width:1893;height:1051" coordorigin="10013,5481" coordsize="1893,1051" path="m10013,5481l11905,6532e" filled="false" stroked="true" strokeweight=".5pt" strokecolor="#9b8758">
                <v:path arrowok="t"/>
              </v:shape>
            </v:group>
            <v:group style="position:absolute;left:3563;top:1902;width:5649;height:3136" coordorigin="3563,1902" coordsize="5649,3136">
              <v:shape style="position:absolute;left:3563;top:1902;width:5649;height:3136" coordorigin="3563,1902" coordsize="5649,3136" path="m3563,1902l9212,5037e" filled="false" stroked="true" strokeweight=".5pt" strokecolor="#8c8f90">
                <v:path arrowok="t"/>
              </v:shape>
            </v:group>
            <v:group style="position:absolute;left:291;top:86;width:2479;height:1376" coordorigin="291,86" coordsize="2479,1376">
              <v:shape style="position:absolute;left:291;top:86;width:2479;height:1376" coordorigin="291,86" coordsize="2479,1376" path="m291,86l2770,1461e" filled="false" stroked="true" strokeweight=".5pt" strokecolor="#9b8758">
                <v:path arrowok="t"/>
              </v:shape>
            </v:group>
            <v:group style="position:absolute;left:0;top:459;width:11906;height:6278" coordorigin="0,459" coordsize="11906,6278">
              <v:shape style="position:absolute;left:0;top:459;width:11906;height:6278" coordorigin="0,459" coordsize="11906,6278" path="m0,459l11906,6736e" filled="false" stroked="true" strokeweight=".5pt" strokecolor="#8c8f90">
                <v:path arrowok="t"/>
              </v:shape>
            </v:group>
            <v:group style="position:absolute;left:0;top:4317;width:11906;height:3894" coordorigin="0,4317" coordsize="11906,3894">
              <v:shape style="position:absolute;left:0;top:4317;width:11906;height:3894" coordorigin="0,4317" coordsize="11906,3894" path="m0,4317l11905,8211e" filled="false" stroked="true" strokeweight=".25pt" strokecolor="#8c8f90">
                <v:path arrowok="t"/>
              </v:shape>
            </v:group>
            <v:group style="position:absolute;left:0;top:9385;width:11906;height:747" coordorigin="0,9385" coordsize="11906,747">
              <v:shape style="position:absolute;left:0;top:9385;width:11906;height:747" coordorigin="0,9385" coordsize="11906,747" path="m11906,10132l0,9385e" filled="false" stroked="true" strokeweight=".5pt" strokecolor="#8c8f90">
                <v:path arrowok="t"/>
              </v:shape>
            </v:group>
            <v:group style="position:absolute;left:527;top:8282;width:3606;height:450" coordorigin="527,8282" coordsize="3606,450">
              <v:shape style="position:absolute;left:527;top:8282;width:3606;height:450" coordorigin="527,8282" coordsize="3606,450" path="m4132,8732l527,8282e" filled="false" stroked="true" strokeweight="1.5pt" strokecolor="#9b8758">
                <v:path arrowok="t"/>
              </v:shape>
            </v:group>
            <v:group style="position:absolute;left:6058;top:8972;width:5848;height:730" coordorigin="6058,8972" coordsize="5848,730">
              <v:shape style="position:absolute;left:6058;top:8972;width:5848;height:730" coordorigin="6058,8972" coordsize="5848,730" path="m11906,9701l6058,8972e" filled="false" stroked="true" strokeweight="1.5pt" strokecolor="#8c8f90">
                <v:path arrowok="t"/>
              </v:shape>
            </v:group>
            <v:group style="position:absolute;left:0;top:4158;width:176;height:59" coordorigin="0,4158" coordsize="176,59">
              <v:shape style="position:absolute;left:0;top:4158;width:176;height:59" coordorigin="0,4158" coordsize="176,59" path="m175,4217l0,4158e" filled="false" stroked="true" strokeweight="1pt" strokecolor="#9b8758">
                <v:path arrowok="t"/>
              </v:shape>
            </v:group>
            <v:group style="position:absolute;left:1091;top:4523;width:4097;height:1374" coordorigin="1091,4523" coordsize="4097,1374">
              <v:shape style="position:absolute;left:1091;top:4523;width:4097;height:1374" coordorigin="1091,4523" coordsize="4097,1374" path="m5187,5897l1091,4523e" filled="false" stroked="true" strokeweight="1pt" strokecolor="#9b8758">
                <v:path arrowok="t"/>
              </v:shape>
            </v:group>
            <v:group style="position:absolute;left:6019;top:6176;width:5887;height:1974" coordorigin="6019,6176" coordsize="5887,1974">
              <v:shape style="position:absolute;left:6019;top:6176;width:5887;height:1974" coordorigin="6019,6176" coordsize="5887,1974" path="m11905,8150l6019,6176e" filled="false" stroked="true" strokeweight="1pt" strokecolor="#8c8f90">
                <v:path arrowok="t"/>
              </v:shape>
            </v:group>
            <v:group style="position:absolute;left:0;top:6279;width:5482;height:1235" coordorigin="0,6279" coordsize="5482,1235">
              <v:shape style="position:absolute;left:0;top:6279;width:5482;height:1235" coordorigin="0,6279" coordsize="5482,1235" path="m5481,7514l0,6279e" filled="false" stroked="true" strokeweight="1.5pt" strokecolor="#8c8f90">
                <v:path arrowok="t"/>
              </v:shape>
            </v:group>
            <v:group style="position:absolute;left:7530;top:7975;width:4376;height:986" coordorigin="7530,7975" coordsize="4376,986">
              <v:shape style="position:absolute;left:7530;top:7975;width:4376;height:986" coordorigin="7530,7975" coordsize="4376,986" path="m11905,8961l7530,7975e" filled="false" stroked="true" strokeweight="1.5pt" strokecolor="#8c8f90">
                <v:path arrowok="t"/>
              </v:shape>
            </v:group>
            <v:group style="position:absolute;left:0;top:1778;width:11906;height:5463" coordorigin="0,1778" coordsize="11906,5463">
              <v:shape style="position:absolute;left:0;top:1778;width:11906;height:5463" coordorigin="0,1778" coordsize="11906,5463" path="m0,1778l11906,7241e" filled="false" stroked="true" strokeweight=".25pt" strokecolor="#8c8f90">
                <v:path arrowok="t"/>
              </v:shape>
            </v:group>
            <v:group style="position:absolute;left:0;top:3678;width:11906;height:4247" coordorigin="0,3678" coordsize="11906,4247">
              <v:shape style="position:absolute;left:0;top:3678;width:11906;height:4247" coordorigin="0,3678" coordsize="11906,4247" path="m0,3678l11906,7924e" filled="false" stroked="true" strokeweight=".25pt" strokecolor="#8c8f90">
                <v:path arrowok="t"/>
              </v:shape>
            </v:group>
            <v:group style="position:absolute;left:7389;top:4615;width:4517;height:2283" coordorigin="7389,4615" coordsize="4517,2283">
              <v:shape style="position:absolute;left:7389;top:4615;width:4517;height:2283" coordorigin="7389,4615" coordsize="4517,2283" path="m7389,4615l11905,6898e" filled="false" stroked="true" strokeweight="1pt" strokecolor="#9b8758">
                <v:path arrowok="t"/>
              </v:shape>
            </v:group>
            <v:group style="position:absolute;left:0;top:881;width:5050;height:2552" coordorigin="0,881" coordsize="5050,2552">
              <v:shape style="position:absolute;left:0;top:881;width:5050;height:2552" coordorigin="0,881" coordsize="5050,2552" path="m0,881l5049,3433e" filled="false" stroked="true" strokeweight="1pt" strokecolor="#9b8758">
                <v:path arrowok="t"/>
              </v:shape>
            </v:group>
            <v:group style="position:absolute;left:8469;top:6480;width:3437;height:1317" coordorigin="8469,6480" coordsize="3437,1317">
              <v:shape style="position:absolute;left:8469;top:6480;width:3437;height:1317" coordorigin="8469,6480" coordsize="3437,1317" path="m8469,6480l11905,7797e" filled="false" stroked="true" strokeweight="1.5pt" strokecolor="#8c8f90">
                <v:path arrowok="t"/>
              </v:shape>
            </v:group>
            <v:group style="position:absolute;left:4624;top:5007;width:3086;height:1183" coordorigin="4624,5007" coordsize="3086,1183">
              <v:shape style="position:absolute;left:4624;top:5007;width:3086;height:1183" coordorigin="4624,5007" coordsize="3086,1183" path="m4624,5007l7710,6190e" filled="false" stroked="true" strokeweight="1.5pt" strokecolor="#8c8f90">
                <v:path arrowok="t"/>
              </v:shape>
            </v:group>
            <v:group style="position:absolute;left:0;top:3235;width:3411;height:1307" coordorigin="0,3235" coordsize="3411,1307">
              <v:shape style="position:absolute;left:0;top:3235;width:3411;height:1307" coordorigin="0,3235" coordsize="3411,1307" path="m0,3235l3410,4542e" filled="false" stroked="true" strokeweight="1.5pt" strokecolor="#8c8f90">
                <v:path arrowok="t"/>
              </v:shape>
            </v:group>
            <v:group style="position:absolute;left:10769;top:6565;width:1137;height:543" coordorigin="10769,6565" coordsize="1137,543">
              <v:shape style="position:absolute;left:10769;top:6565;width:1137;height:543" coordorigin="10769,6565" coordsize="1137,543" path="m10769,6565l11905,7107e" filled="false" stroked="true" strokeweight="1.5pt" strokecolor="#8c8f90">
                <v:path arrowok="t"/>
              </v:shape>
            </v:group>
            <v:group style="position:absolute;left:1512;top:2151;width:7764;height:3703" coordorigin="1512,2151" coordsize="7764,3703">
              <v:shape style="position:absolute;left:1512;top:2151;width:7764;height:3703" coordorigin="1512,2151" coordsize="7764,3703" path="m1512,2151l9276,5853e" filled="false" stroked="true" strokeweight="1.5pt" strokecolor="#8c8f90">
                <v:path arrowok="t"/>
              </v:shape>
            </v:group>
            <v:group style="position:absolute;left:0;top:1430;width:351;height:168" coordorigin="0,1430" coordsize="351,168">
              <v:shape style="position:absolute;left:0;top:1430;width:351;height:168" coordorigin="0,1430" coordsize="351,168" path="m0,1430l351,1597e" filled="false" stroked="true" strokeweight="1.5pt" strokecolor="#8c8f90">
                <v:path arrowok="t"/>
              </v:shape>
            </v:group>
            <v:group style="position:absolute;left:0;top:2779;width:11906;height:4844" coordorigin="0,2779" coordsize="11906,4844">
              <v:shape style="position:absolute;left:0;top:2779;width:11906;height:4844" coordorigin="0,2779" coordsize="11906,4844" path="m0,2779l11906,7623e" filled="false" stroked="true" strokeweight=".5pt" strokecolor="#9b8758">
                <v:path arrowok="t"/>
              </v:shape>
            </v:group>
            <v:group style="position:absolute;left:0;top:5922;width:11906;height:2903" coordorigin="0,5922" coordsize="11906,2903">
              <v:shape style="position:absolute;left:0;top:5922;width:11906;height:2903" coordorigin="0,5922" coordsize="11906,2903" path="m0,5922l11905,8825e" filled="false" stroked="true" strokeweight=".25pt" strokecolor="#9b8758">
                <v:path arrowok="t"/>
              </v:shape>
            </v:group>
            <v:group style="position:absolute;left:3119;top:3737;width:8787;height:3745" coordorigin="3119,3737" coordsize="8787,3745">
              <v:shape style="position:absolute;left:3119;top:3737;width:8787;height:3745" coordorigin="3119,3737" coordsize="8787,3745" path="m3119,3737l11905,7481e" filled="false" stroked="true" strokeweight="1pt" strokecolor="#8c8f90">
                <v:path arrowok="t"/>
              </v:shape>
            </v:group>
            <v:group style="position:absolute;left:0;top:2329;width:2372;height:1011" coordorigin="0,2329" coordsize="2372,1011">
              <v:shape style="position:absolute;left:0;top:2329;width:2372;height:1011" coordorigin="0,2329" coordsize="2372,1011" path="m0,2329l2372,3339e" filled="false" stroked="true" strokeweight="1pt" strokecolor="#8c8f90">
                <v:path arrowok="t"/>
              </v:shape>
            </v:group>
            <v:group style="position:absolute;left:7306;top:6908;width:4600;height:1428" coordorigin="7306,6908" coordsize="4600,1428">
              <v:shape style="position:absolute;left:7306;top:6908;width:4600;height:1428" coordorigin="7306,6908" coordsize="4600,1428" path="m7306,6908l11905,8335e" filled="false" stroked="true" strokeweight="1.5pt" strokecolor="#8c8f90">
                <v:path arrowok="t"/>
              </v:shape>
            </v:group>
            <v:group style="position:absolute;left:3621;top:5764;width:2659;height:825" coordorigin="3621,5764" coordsize="2659,825">
              <v:shape style="position:absolute;left:3621;top:5764;width:2659;height:825" coordorigin="3621,5764" coordsize="2659,825" path="m3621,5764l6279,6589e" filled="false" stroked="true" strokeweight="1.5pt" strokecolor="#8c8f90">
                <v:path arrowok="t"/>
              </v:shape>
            </v:group>
            <v:group style="position:absolute;left:0;top:4641;width:2656;height:824" coordorigin="0,4641" coordsize="2656,824">
              <v:shape style="position:absolute;left:0;top:4641;width:2656;height:824" coordorigin="0,4641" coordsize="2656,824" path="m0,4641l2656,5465e" filled="false" stroked="true" strokeweight="1.5pt" strokecolor="#8c8f90">
                <v:path arrowok="t"/>
              </v:shape>
            </v:group>
            <v:group style="position:absolute;left:0;top:6633;width:11906;height:2464" coordorigin="0,6633" coordsize="11906,2464">
              <v:shape style="position:absolute;left:0;top:6633;width:11906;height:2464" coordorigin="0,6633" coordsize="11906,2464" path="m0,6633l11905,9096e" filled="false" stroked="true" strokeweight=".5pt" strokecolor="#9b8758">
                <v:path arrowok="t"/>
              </v:shape>
            </v:group>
            <v:group style="position:absolute;left:8936;top:8770;width:2970;height:532" coordorigin="8936,8770" coordsize="2970,532">
              <v:shape style="position:absolute;left:8936;top:8770;width:2970;height:532" coordorigin="8936,8770" coordsize="2970,532" path="m8936,8770l11905,9301e" filled="false" stroked="true" strokeweight="1.0pt" strokecolor="#9b8758">
                <v:path arrowok="t"/>
              </v:shape>
            </v:group>
            <v:group style="position:absolute;left:1773;top:7488;width:5839;height:1046" coordorigin="1773,7488" coordsize="5839,1046">
              <v:shape style="position:absolute;left:1773;top:7488;width:5839;height:1046" coordorigin="1773,7488" coordsize="5839,1046" path="m1773,7488l7611,8533e" filled="false" stroked="true" strokeweight="1pt" strokecolor="#8c8f90">
                <v:path arrowok="t"/>
              </v:shape>
            </v:group>
            <v:group style="position:absolute;left:0;top:8479;width:3615;height:396" coordorigin="0,8479" coordsize="3615,396">
              <v:shape style="position:absolute;left:0;top:8479;width:3615;height:396" coordorigin="0,8479" coordsize="3615,396" path="m3615,8874l0,8479e" filled="false" stroked="true" strokeweight="1.0pt" strokecolor="#8c8f90">
                <v:path arrowok="t"/>
              </v:shape>
            </v:group>
            <v:group style="position:absolute;left:4709;top:9027;width:7197;height:788" coordorigin="4709,9027" coordsize="7197,788">
              <v:shape style="position:absolute;left:4709;top:9027;width:7197;height:788" coordorigin="4709,9027" coordsize="7197,788" path="m11905,9814l4709,9027e" filled="false" stroked="true" strokeweight="1pt" strokecolor="#8c8f90">
                <v:path arrowok="t"/>
              </v:shape>
            </v:group>
            <v:group style="position:absolute;left:0;top:10315;width:5052;height:81" coordorigin="0,10315" coordsize="5052,81">
              <v:shape style="position:absolute;left:0;top:10315;width:5052;height:81" coordorigin="0,10315" coordsize="5052,81" path="m5051,10395l0,10315e" filled="false" stroked="true" strokeweight="1.5pt" strokecolor="#8c8f90">
                <v:path arrowok="t"/>
              </v:shape>
            </v:group>
            <v:group style="position:absolute;left:6637;top:10420;width:5269;height:84" coordorigin="6637,10420" coordsize="5269,84">
              <v:shape style="position:absolute;left:6637;top:10420;width:5269;height:84" coordorigin="6637,10420" coordsize="5269,84" path="m11905,10503l6637,10420e" filled="false" stroked="true" strokeweight="1.5pt" strokecolor="#8c8f90">
                <v:path arrowok="t"/>
              </v:shape>
            </v:group>
            <v:group style="position:absolute;left:0;top:9781;width:1660;height:73" coordorigin="0,9781" coordsize="1660,73">
              <v:shape style="position:absolute;left:0;top:9781;width:1660;height:73" coordorigin="0,9781" coordsize="1660,73" path="m1659,9853l0,9781e" filled="false" stroked="true" strokeweight="1pt" strokecolor="#8c8f90">
                <v:path arrowok="t"/>
              </v:shape>
            </v:group>
            <v:group style="position:absolute;left:3742;top:9944;width:8164;height:356" coordorigin="3742,9944" coordsize="8164,356">
              <v:shape style="position:absolute;left:3742;top:9944;width:8164;height:356" coordorigin="3742,9944" coordsize="8164,356" path="m11905,10299l3742,9944e" filled="false" stroked="true" strokeweight="1pt" strokecolor="#9b8758">
                <v:path arrowok="t"/>
              </v:shape>
            </v:group>
            <v:group style="position:absolute;left:0;top:8953;width:11906;height:1031" coordorigin="0,8953" coordsize="11906,1031">
              <v:shape style="position:absolute;left:0;top:8953;width:11906;height:1031" coordorigin="0,8953" coordsize="11906,1031" path="m11905,9983l0,8953e" filled="false" stroked="true" strokeweight="1.0pt" strokecolor="#9b8758">
                <v:path arrowok="t"/>
              </v:shape>
            </v:group>
            <v:group style="position:absolute;left:0;top:7818;width:11906;height:1731" coordorigin="0,7818" coordsize="11906,1731">
              <v:shape style="position:absolute;left:0;top:7818;width:11906;height:1731" coordorigin="0,7818" coordsize="11906,1731" path="m0,7818l11905,9549e" filled="false" stroked="true" strokeweight=".25pt" strokecolor="#9b8758">
                <v:path arrowok="t"/>
              </v:shape>
            </v:group>
            <v:group style="position:absolute;left:5023;top:6795;width:6883;height:1848" coordorigin="5023,6795" coordsize="6883,1848">
              <v:shape style="position:absolute;left:5023;top:6795;width:6883;height:1848" coordorigin="5023,6795" coordsize="6883,1848" path="m5023,6795l11906,8642e" filled="false" stroked="true" strokeweight=".5pt" strokecolor="#8c8f90">
                <v:path arrowok="t"/>
              </v:shape>
            </v:group>
            <v:group style="position:absolute;left:0;top:5446;width:3222;height:865" coordorigin="0,5446" coordsize="3222,865">
              <v:shape style="position:absolute;left:0;top:5446;width:3222;height:865" coordorigin="0,5446" coordsize="3222,865" path="m0,5446l3221,6311e" filled="false" stroked="true" strokeweight=".5pt" strokecolor="#9b8758">
                <v:path arrowok="t"/>
              </v:shape>
            </v:group>
            <v:group style="position:absolute;left:1177;top:5516;width:10729;height:3027" coordorigin="1177,5516" coordsize="10729,3027">
              <v:shape style="position:absolute;left:1177;top:5516;width:10729;height:3027" coordorigin="1177,5516" coordsize="10729,3027" path="m1177,5516l11905,8542e" filled="false" stroked="true" strokeweight="1.5pt" strokecolor="#9b8758">
                <v:path arrowok="t"/>
              </v:shape>
            </v:group>
            <v:group style="position:absolute;left:0;top:5183;width:380;height:107" coordorigin="0,5183" coordsize="380,107">
              <v:shape style="position:absolute;left:0;top:5183;width:380;height:107" coordorigin="0,5183" coordsize="380,107" path="m0,5183l379,5290e" filled="false" stroked="true" strokeweight="1.5pt" strokecolor="#9b8758">
                <v:path arrowok="t"/>
              </v:shape>
            </v:group>
            <v:group style="position:absolute;left:10648;top:10596;width:1268;height:2" coordorigin="10648,10596" coordsize="1268,2">
              <v:shape style="position:absolute;left:10648;top:10596;width:1268;height:2" coordorigin="10648,10596" coordsize="1268,0" path="m10648,10596l11915,10596e" filled="false" stroked="true" strokeweight="1pt" strokecolor="#9b8758">
                <v:path arrowok="t"/>
              </v:shape>
            </v:group>
            <v:group style="position:absolute;left:-10;top:10596;width:2869;height:2" coordorigin="-10,10596" coordsize="2869,2">
              <v:shape style="position:absolute;left:-10;top:10596;width:2869;height:2" coordorigin="-10,10596" coordsize="2869,0" path="m-10,10596l2859,10596e" filled="false" stroked="true" strokeweight="1pt" strokecolor="#9b8758">
                <v:path arrowok="t"/>
              </v:shape>
            </v:group>
            <v:group style="position:absolute;left:-10;top:10660;width:2869;height:2" coordorigin="-10,10660" coordsize="2869,2">
              <v:shape style="position:absolute;left:-10;top:10660;width:2869;height:2" coordorigin="-10,10660" coordsize="2869,0" path="m-10,10660l2859,10660e" filled="false" stroked="true" strokeweight="1pt" strokecolor="#9b8758">
                <v:path arrowok="t"/>
              </v:shape>
            </v:group>
            <v:group style="position:absolute;left:2859;top:4270;width:7790;height:6699" coordorigin="2859,4270" coordsize="7790,6699">
              <v:shape style="position:absolute;left:2859;top:4270;width:7790;height:6699" coordorigin="2859,4270" coordsize="7790,6699" path="m2859,10968l10648,10968,10648,4270,2859,4270,2859,10968xe" filled="true" fillcolor="#ffffff" stroked="false">
                <v:path arrowok="t"/>
                <v:fill type="solid"/>
              </v:shape>
            </v:group>
            <v:group style="position:absolute;left:2859;top:4270;width:7790;height:6699" coordorigin="2859,4270" coordsize="7790,6699">
              <v:shape style="position:absolute;left:2859;top:4270;width:7790;height:6699" coordorigin="2859,4270" coordsize="7790,6699" path="m2859,10968l10648,10968,10648,4270,2859,4270,2859,10968xe" filled="false" stroked="true" strokeweight="1pt" strokecolor="#9c8758">
                <v:path arrowok="t"/>
              </v:shape>
            </v:group>
            <w10:wrap type="none"/>
          </v:group>
        </w:pict>
      </w:r>
      <w:r>
        <w:rPr>
          <w:rFonts w:ascii="宋体" w:hAnsi="宋体" w:cs="宋体" w:eastAsia="宋体" w:hint="default"/>
          <w:color w:val="D7000F"/>
          <w:sz w:val="48"/>
          <w:szCs w:val="48"/>
        </w:rPr>
        <w:t>公司 业务概要</w:t>
      </w:r>
      <w:r>
        <w:rPr>
          <w:rFonts w:ascii="宋体" w:hAnsi="宋体" w:cs="宋体" w:eastAsia="宋体" w:hint="default"/>
          <w:sz w:val="48"/>
          <w:szCs w:val="48"/>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2"/>
          <w:szCs w:val="22"/>
        </w:rPr>
      </w:pPr>
    </w:p>
    <w:p>
      <w:pPr>
        <w:spacing w:line="359" w:lineRule="exact" w:before="0"/>
        <w:ind w:left="3743" w:right="0" w:hanging="1"/>
        <w:jc w:val="both"/>
        <w:rPr>
          <w:rFonts w:ascii="宋体" w:hAnsi="宋体" w:cs="宋体" w:eastAsia="宋体" w:hint="default"/>
          <w:sz w:val="29"/>
          <w:szCs w:val="29"/>
        </w:rPr>
      </w:pPr>
      <w:r>
        <w:rPr>
          <w:rFonts w:ascii="宋体" w:hAnsi="宋体" w:cs="宋体" w:eastAsia="宋体" w:hint="default"/>
          <w:w w:val="95"/>
          <w:sz w:val="29"/>
          <w:szCs w:val="29"/>
        </w:rPr>
        <w:t>2018</w:t>
      </w:r>
      <w:r>
        <w:rPr>
          <w:rFonts w:ascii="宋体" w:hAnsi="宋体" w:cs="宋体" w:eastAsia="宋体" w:hint="default"/>
          <w:spacing w:val="31"/>
          <w:w w:val="95"/>
          <w:sz w:val="29"/>
          <w:szCs w:val="29"/>
        </w:rPr>
        <w:t> </w:t>
      </w:r>
      <w:r>
        <w:rPr>
          <w:rFonts w:ascii="宋体" w:hAnsi="宋体" w:cs="宋体" w:eastAsia="宋体" w:hint="default"/>
          <w:spacing w:val="-3"/>
          <w:w w:val="95"/>
          <w:sz w:val="29"/>
          <w:szCs w:val="29"/>
        </w:rPr>
        <w:t>年，公司面对提速降费及取消长途漫游费、</w:t>
      </w:r>
      <w:r>
        <w:rPr>
          <w:rFonts w:ascii="宋体" w:hAnsi="宋体" w:cs="宋体" w:eastAsia="宋体" w:hint="default"/>
          <w:spacing w:val="-3"/>
          <w:sz w:val="29"/>
          <w:szCs w:val="29"/>
        </w:rPr>
      </w:r>
    </w:p>
    <w:p>
      <w:pPr>
        <w:spacing w:line="240" w:lineRule="auto" w:before="0"/>
        <w:rPr>
          <w:rFonts w:ascii="宋体" w:hAnsi="宋体" w:cs="宋体" w:eastAsia="宋体" w:hint="default"/>
          <w:sz w:val="26"/>
          <w:szCs w:val="26"/>
        </w:rPr>
      </w:pPr>
    </w:p>
    <w:p>
      <w:pPr>
        <w:spacing w:line="456" w:lineRule="auto" w:before="0"/>
        <w:ind w:left="3743" w:right="2262" w:hanging="1"/>
        <w:jc w:val="both"/>
        <w:rPr>
          <w:rFonts w:ascii="宋体" w:hAnsi="宋体" w:cs="宋体" w:eastAsia="宋体" w:hint="default"/>
          <w:sz w:val="29"/>
          <w:szCs w:val="29"/>
        </w:rPr>
      </w:pPr>
      <w:r>
        <w:rPr>
          <w:rFonts w:ascii="宋体" w:hAnsi="宋体" w:cs="宋体" w:eastAsia="宋体" w:hint="default"/>
          <w:w w:val="95"/>
          <w:sz w:val="29"/>
          <w:szCs w:val="29"/>
        </w:rPr>
        <w:t>行业激烈竞争等严峻挑战，深化实施聚焦创新合</w:t>
      </w:r>
      <w:r>
        <w:rPr>
          <w:rFonts w:ascii="宋体" w:hAnsi="宋体" w:cs="宋体" w:eastAsia="宋体" w:hint="default"/>
          <w:spacing w:val="-41"/>
          <w:w w:val="95"/>
          <w:sz w:val="29"/>
          <w:szCs w:val="29"/>
        </w:rPr>
        <w:t> </w:t>
      </w:r>
      <w:r>
        <w:rPr>
          <w:rFonts w:ascii="宋体" w:hAnsi="宋体" w:cs="宋体" w:eastAsia="宋体" w:hint="default"/>
          <w:w w:val="95"/>
          <w:sz w:val="29"/>
          <w:szCs w:val="29"/>
        </w:rPr>
        <w:t>作战略，围绕轻触点、轻成本，创新商业模式，</w:t>
      </w:r>
      <w:r>
        <w:rPr>
          <w:rFonts w:ascii="宋体" w:hAnsi="宋体" w:cs="宋体" w:eastAsia="宋体" w:hint="default"/>
          <w:spacing w:val="-27"/>
          <w:w w:val="95"/>
          <w:sz w:val="29"/>
          <w:szCs w:val="29"/>
        </w:rPr>
        <w:t> </w:t>
      </w:r>
      <w:r>
        <w:rPr>
          <w:rFonts w:ascii="宋体" w:hAnsi="宋体" w:cs="宋体" w:eastAsia="宋体" w:hint="default"/>
          <w:spacing w:val="-27"/>
          <w:w w:val="95"/>
          <w:sz w:val="29"/>
          <w:szCs w:val="29"/>
        </w:rPr>
      </w:r>
      <w:r>
        <w:rPr>
          <w:rFonts w:ascii="宋体" w:hAnsi="宋体" w:cs="宋体" w:eastAsia="宋体" w:hint="default"/>
          <w:w w:val="95"/>
          <w:sz w:val="29"/>
          <w:szCs w:val="29"/>
        </w:rPr>
        <w:t>加大力度推动互联网化运营转型，经营业绩显著</w:t>
      </w:r>
      <w:r>
        <w:rPr>
          <w:rFonts w:ascii="宋体" w:hAnsi="宋体" w:cs="宋体" w:eastAsia="宋体" w:hint="default"/>
          <w:spacing w:val="-42"/>
          <w:w w:val="95"/>
          <w:sz w:val="29"/>
          <w:szCs w:val="29"/>
        </w:rPr>
        <w:t> </w:t>
      </w:r>
      <w:r>
        <w:rPr>
          <w:rFonts w:ascii="宋体" w:hAnsi="宋体" w:cs="宋体" w:eastAsia="宋体" w:hint="default"/>
          <w:sz w:val="29"/>
          <w:szCs w:val="29"/>
        </w:rPr>
        <w:t>改善，高质量发展迈出重要步伐。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headerReference w:type="even" r:id="rId64"/>
          <w:footerReference w:type="even" r:id="rId65"/>
          <w:pgSz w:w="11910" w:h="16160"/>
          <w:pgMar w:header="0" w:footer="0" w:top="1080" w:bottom="0" w:left="0" w:right="0"/>
        </w:sectPr>
      </w:pPr>
    </w:p>
    <w:p>
      <w:pPr>
        <w:tabs>
          <w:tab w:pos="6543" w:val="left" w:leader="none"/>
        </w:tabs>
        <w:spacing w:before="61"/>
        <w:ind w:left="814" w:right="0" w:firstLine="0"/>
        <w:jc w:val="left"/>
        <w:rPr>
          <w:rFonts w:ascii="宋体" w:hAnsi="宋体" w:cs="宋体" w:eastAsia="宋体" w:hint="default"/>
          <w:sz w:val="16"/>
          <w:szCs w:val="16"/>
        </w:rPr>
      </w:pPr>
      <w:r>
        <w:rPr>
          <w:rFonts w:ascii="Arial" w:hAnsi="Arial" w:cs="Arial" w:eastAsia="Arial" w:hint="default"/>
          <w:b/>
          <w:bCs/>
          <w:color w:val="9C8758"/>
          <w:spacing w:val="-1"/>
          <w:position w:val="2"/>
          <w:sz w:val="16"/>
          <w:szCs w:val="16"/>
        </w:rPr>
        <w:t>18</w:t>
        <w:tab/>
      </w:r>
      <w:r>
        <w:rPr>
          <w:rFonts w:ascii="宋体" w:hAnsi="宋体" w:cs="宋体" w:eastAsia="宋体" w:hint="default"/>
          <w:color w:val="595757"/>
          <w:spacing w:val="23"/>
          <w:sz w:val="16"/>
          <w:szCs w:val="16"/>
        </w:rPr>
        <w:t>公司业务概要</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266"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0"/>
          <w:cols w:num="2" w:equalWidth="0">
            <w:col w:w="7677" w:space="40"/>
            <w:col w:w="4193"/>
          </w:cols>
        </w:sectPr>
      </w:pPr>
    </w:p>
    <w:p>
      <w:pPr>
        <w:spacing w:line="240" w:lineRule="auto" w:before="0"/>
        <w:rPr>
          <w:rFonts w:ascii="宋体" w:hAnsi="宋体" w:cs="宋体" w:eastAsia="宋体" w:hint="default"/>
          <w:sz w:val="20"/>
          <w:szCs w:val="20"/>
        </w:rPr>
      </w:pPr>
      <w:r>
        <w:rPr/>
        <w:pict>
          <v:group style="position:absolute;margin-left:-.750016pt;margin-top:146.551163pt;width:596.050pt;height:571.6pt;mso-position-horizontal-relative:page;mso-position-vertical-relative:page;z-index:-966952" coordorigin="-15,2931" coordsize="11921,11432">
            <v:group style="position:absolute;left:7385;top:11800;width:4521;height:2563" coordorigin="7385,11800" coordsize="4521,2563">
              <v:shape style="position:absolute;left:7385;top:11800;width:4521;height:2563" coordorigin="7385,11800" coordsize="4521,2563" path="m11906,11800l7385,11800,11906,14363,11906,11800xe" filled="true" fillcolor="#9b8758" stroked="false">
                <v:path arrowok="t"/>
                <v:fill type="solid"/>
              </v:shape>
            </v:group>
            <v:group style="position:absolute;left:7373;top:11794;width:2;height:7" coordorigin="7373,11794" coordsize="2,7">
              <v:shape style="position:absolute;left:7373;top:11794;width:2;height:7" coordorigin="7373,11794" coordsize="1,7" path="m7373,11794l7373,11800e" filled="false" stroked="true" strokeweight="1.5pt" strokecolor="#8c8f90">
                <v:path arrowok="t"/>
              </v:shape>
            </v:group>
            <v:group style="position:absolute;left:7316;top:11771;width:18;height:29" coordorigin="7316,11771" coordsize="18,29">
              <v:shape style="position:absolute;left:7316;top:11771;width:18;height:29" coordorigin="7316,11771" coordsize="18,29" path="m7334,11771l7316,11800e" filled="false" stroked="true" strokeweight=".5pt" strokecolor="#8c8f90">
                <v:path arrowok="t"/>
              </v:shape>
            </v:group>
            <v:group style="position:absolute;left:7334;top:11777;width:10;height:24" coordorigin="7334,11777" coordsize="10,24">
              <v:shape style="position:absolute;left:7334;top:11777;width:10;height:24" coordorigin="7334,11777" coordsize="10,24" path="m7343,11777l7334,11800e" filled="false" stroked="true" strokeweight=".25pt" strokecolor="#9b8758">
                <v:path arrowok="t"/>
              </v:shape>
            </v:group>
            <v:group style="position:absolute;left:7381;top:11799;width:2;height:2" coordorigin="7381,11799" coordsize="2,2">
              <v:shape style="position:absolute;left:7381;top:11799;width:2;height:2" coordorigin="7381,11799" coordsize="2,2" path="m7382,11799l7381,11800e" filled="false" stroked="true" strokeweight="1pt" strokecolor="#8c8f90">
                <v:path arrowok="t"/>
              </v:shape>
            </v:group>
            <v:group style="position:absolute;left:7317;top:11772;width:17;height:29" coordorigin="7317,11772" coordsize="17,29">
              <v:shape style="position:absolute;left:7317;top:11772;width:17;height:29" coordorigin="7317,11772" coordsize="17,29" path="m7334,11772l7317,11800e" filled="false" stroked="true" strokeweight="1.5pt" strokecolor="#9b8758">
                <v:path arrowok="t"/>
              </v:shape>
            </v:group>
            <v:group style="position:absolute;left:7380;top:11798;width:2;height:3" coordorigin="7380,11798" coordsize="2,3">
              <v:shape style="position:absolute;left:7380;top:11798;width:2;height:3" coordorigin="7380,11798" coordsize="1,3" path="m7380,11798l7381,11800e" filled="false" stroked="true" strokeweight=".5pt" strokecolor="#8c8f90">
                <v:path arrowok="t"/>
              </v:shape>
            </v:group>
            <v:group style="position:absolute;left:7384;top:11800;width:2;height:2" coordorigin="7384,11800" coordsize="2,2">
              <v:shape style="position:absolute;left:7384;top:11800;width:2;height:2" coordorigin="7384,11800" coordsize="1,1" path="m7384,11800l7384,11800e" filled="false" stroked="true" strokeweight="1pt" strokecolor="#9b8758">
                <v:path arrowok="t"/>
              </v:shape>
            </v:group>
            <v:group style="position:absolute;left:7374;top:11794;width:2;height:6" coordorigin="7374,11794" coordsize="2,6">
              <v:shape style="position:absolute;left:7374;top:11794;width:2;height:6" coordorigin="7374,11794" coordsize="1,6" path="m7374,11794l7375,11800e" filled="false" stroked="true" strokeweight="1.5pt" strokecolor="#8c8f90">
                <v:path arrowok="t"/>
              </v:shape>
            </v:group>
            <v:group style="position:absolute;left:7369;top:11792;width:2;height:9" coordorigin="7369,11792" coordsize="2,9">
              <v:shape style="position:absolute;left:7369;top:11792;width:2;height:9" coordorigin="7369,11792" coordsize="1,9" path="m7369,11792l7370,11800e" filled="false" stroked="true" strokeweight="1.5pt" strokecolor="#9b8758">
                <v:path arrowok="t"/>
              </v:shape>
            </v:group>
            <v:group style="position:absolute;left:7176;top:11749;width:119;height:52" coordorigin="7176,11749" coordsize="119,52">
              <v:shape style="position:absolute;left:7176;top:11749;width:119;height:52" coordorigin="7176,11749" coordsize="119,52" path="m7294,11749l7176,11800e" filled="false" stroked="true" strokeweight="1pt" strokecolor="#8c8f90">
                <v:path arrowok="t"/>
              </v:shape>
            </v:group>
            <v:group style="position:absolute;left:7219;top:11754;width:84;height:47" coordorigin="7219,11754" coordsize="84,47">
              <v:shape style="position:absolute;left:7219;top:11754;width:84;height:47" coordorigin="7219,11754" coordsize="84,47" path="m7303,11754l7219,11800e" filled="false" stroked="true" strokeweight="1.5pt" strokecolor="#9b8758">
                <v:path arrowok="t"/>
              </v:shape>
            </v:group>
            <v:group style="position:absolute;left:7140;top:11746;width:150;height:55" coordorigin="7140,11746" coordsize="150,55">
              <v:shape style="position:absolute;left:7140;top:11746;width:150;height:55" coordorigin="7140,11746" coordsize="150,55" path="m7289,11746l7140,11800e" filled="false" stroked="true" strokeweight="1pt" strokecolor="#8c8f90">
                <v:path arrowok="t"/>
              </v:shape>
            </v:group>
            <v:group style="position:absolute;left:7114;top:11744;width:172;height:57" coordorigin="7114,11744" coordsize="172,57">
              <v:shape style="position:absolute;left:7114;top:11744;width:172;height:57" coordorigin="7114,11744" coordsize="172,57" path="m7286,11744l7114,11800e" filled="false" stroked="true" strokeweight="1pt" strokecolor="#8c8f90">
                <v:path arrowok="t"/>
              </v:shape>
            </v:group>
            <v:group style="position:absolute;left:7090;top:11743;width:193;height:58" coordorigin="7090,11743" coordsize="193,58">
              <v:shape style="position:absolute;left:7090;top:11743;width:193;height:58" coordorigin="7090,11743" coordsize="193,58" path="m7283,11743l7090,11800e" filled="false" stroked="true" strokeweight="1pt" strokecolor="#9b8758">
                <v:path arrowok="t"/>
              </v:shape>
            </v:group>
            <v:group style="position:absolute;left:7196;top:11751;width:102;height:50" coordorigin="7196,11751" coordsize="102,50">
              <v:shape style="position:absolute;left:7196;top:11751;width:102;height:50" coordorigin="7196,11751" coordsize="102,50" path="m7298,11751l7196,11800e" filled="false" stroked="true" strokeweight="1.5pt" strokecolor="#9b8758">
                <v:path arrowok="t"/>
              </v:shape>
            </v:group>
            <v:group style="position:absolute;left:0;top:8409;width:6755;height:3034" coordorigin="0,8409" coordsize="6755,3034">
              <v:shape style="position:absolute;left:0;top:8409;width:6755;height:3034" coordorigin="0,8409" coordsize="6755,3034" path="m0,8409l6754,11443e" filled="false" stroked="true" strokeweight=".5pt" strokecolor="#9b8758">
                <v:path arrowok="t"/>
              </v:shape>
            </v:group>
            <v:group style="position:absolute;left:0;top:8597;width:6864;height:2908" coordorigin="0,8597" coordsize="6864,2908">
              <v:shape style="position:absolute;left:0;top:8597;width:6864;height:2908" coordorigin="0,8597" coordsize="6864,2908" path="m0,8597l6864,11505e" filled="false" stroked="true" strokeweight=".5pt" strokecolor="#8c8f90">
                <v:path arrowok="t"/>
              </v:shape>
            </v:group>
            <v:group style="position:absolute;left:0;top:9981;width:7149;height:1686" coordorigin="0,9981" coordsize="7149,1686">
              <v:shape style="position:absolute;left:0;top:9981;width:7149;height:1686" coordorigin="0,9981" coordsize="7149,1686" path="m0,9981l7149,11667e" filled="false" stroked="true" strokeweight=".25pt" strokecolor="#8c8f90">
                <v:path arrowok="t"/>
              </v:shape>
            </v:group>
            <v:group style="position:absolute;left:2086;top:8862;width:2497;height:1351" coordorigin="2086,8862" coordsize="2497,1351">
              <v:shape style="position:absolute;left:2086;top:8862;width:2497;height:1351" coordorigin="2086,8862" coordsize="2497,1351" path="m2086,8862l4583,10212e" filled="false" stroked="true" strokeweight="1.0pt" strokecolor="#8c8f90">
                <v:path arrowok="t"/>
              </v:shape>
            </v:group>
            <v:group style="position:absolute;left:0;top:8101;width:6417;height:3151" coordorigin="0,8101" coordsize="6417,3151">
              <v:shape style="position:absolute;left:0;top:8101;width:6417;height:3151" coordorigin="0,8101" coordsize="6417,3151" path="m0,8101l6417,11252e" filled="false" stroked="true" strokeweight="1.5pt" strokecolor="#8c8f90">
                <v:path arrowok="t"/>
              </v:shape>
            </v:group>
            <v:group style="position:absolute;left:0;top:7733;width:273;height:148" coordorigin="0,7733" coordsize="273,148">
              <v:shape style="position:absolute;left:0;top:7733;width:273;height:148" coordorigin="0,7733" coordsize="273,148" path="m0,7733l272,7881e" filled="false" stroked="true" strokeweight="1pt" strokecolor="#8c8f90">
                <v:path arrowok="t"/>
              </v:shape>
            </v:group>
            <v:group style="position:absolute;left:0;top:7873;width:4399;height:2235" coordorigin="0,7873" coordsize="4399,2235">
              <v:shape style="position:absolute;left:0;top:7873;width:4399;height:2235" coordorigin="0,7873" coordsize="4399,2235" path="m0,7873l4399,10108e" filled="false" stroked="true" strokeweight=".5pt" strokecolor="#9b8758">
                <v:path arrowok="t"/>
              </v:shape>
            </v:group>
            <v:group style="position:absolute;left:2385;top:11695;width:4815;height:106" coordorigin="2385,11695" coordsize="4815,106">
              <v:shape style="position:absolute;left:2385;top:11695;width:4815;height:106" coordorigin="2385,11695" coordsize="4815,106" path="m7199,11695l2385,11800e" filled="false" stroked="true" strokeweight=".5pt" strokecolor="#8c8f90">
                <v:path arrowok="t"/>
              </v:shape>
            </v:group>
            <v:group style="position:absolute;left:0;top:11426;width:7230;height:287" coordorigin="0,11426" coordsize="7230,287">
              <v:shape style="position:absolute;left:0;top:11426;width:7230;height:287" coordorigin="0,11426" coordsize="7230,287" path="m7230,11713l0,11426e" filled="false" stroked="true" strokeweight="1.5pt" strokecolor="#8c8f90">
                <v:path arrowok="t"/>
              </v:shape>
            </v:group>
            <v:group style="position:absolute;left:7206;top:11752;width:94;height:49" coordorigin="7206,11752" coordsize="94,49">
              <v:shape style="position:absolute;left:7206;top:11752;width:94;height:49" coordorigin="7206,11752" coordsize="94,49" path="m7300,11752l7206,11800e" filled="false" stroked="true" strokeweight="1pt" strokecolor="#9b8758">
                <v:path arrowok="t"/>
              </v:shape>
            </v:group>
            <v:group style="position:absolute;left:6843;top:11734;width:424;height:67" coordorigin="6843,11734" coordsize="424,67">
              <v:shape style="position:absolute;left:6843;top:11734;width:424;height:67" coordorigin="6843,11734" coordsize="424,67" path="m7267,11734l6843,11800e" filled="false" stroked="true" strokeweight="1pt" strokecolor="#8c8f90">
                <v:path arrowok="t"/>
              </v:shape>
            </v:group>
            <v:group style="position:absolute;left:7043;top:11740;width:236;height:60" coordorigin="7043,11740" coordsize="236,60">
              <v:shape style="position:absolute;left:7043;top:11740;width:236;height:60" coordorigin="7043,11740" coordsize="236,60" path="m7279,11740l7043,11800e" filled="false" stroked="true" strokeweight="1.5pt" strokecolor="#8c8f90">
                <v:path arrowok="t"/>
              </v:shape>
            </v:group>
            <v:group style="position:absolute;left:6937;top:11736;width:335;height:65" coordorigin="6937,11736" coordsize="335,65">
              <v:shape style="position:absolute;left:6937;top:11736;width:335;height:65" coordorigin="6937,11736" coordsize="335,65" path="m7272,11736l6937,11800e" filled="false" stroked="true" strokeweight="1.5pt" strokecolor="#8c8f90">
                <v:path arrowok="t"/>
              </v:shape>
            </v:group>
            <v:group style="position:absolute;left:0;top:9923;width:7144;height:1742" coordorigin="0,9923" coordsize="7144,1742">
              <v:shape style="position:absolute;left:0;top:9923;width:7144;height:1742" coordorigin="0,9923" coordsize="7144,1742" path="m7144,11664l0,9923e" filled="false" stroked="true" strokeweight="1pt" strokecolor="#8c8f90">
                <v:path arrowok="t"/>
              </v:shape>
            </v:group>
            <v:group style="position:absolute;left:0;top:10702;width:7199;height:993" coordorigin="0,10702" coordsize="7199,993">
              <v:shape style="position:absolute;left:0;top:10702;width:7199;height:993" coordorigin="0,10702" coordsize="7199,993" path="m7199,11695l0,10702e" filled="false" stroked="true" strokeweight="1.5pt" strokecolor="#8c8f90">
                <v:path arrowok="t"/>
              </v:shape>
            </v:group>
            <v:group style="position:absolute;left:7267;top:11770;width:66;height:31" coordorigin="7267,11770" coordsize="66,31">
              <v:shape style="position:absolute;left:7267;top:11770;width:66;height:31" coordorigin="7267,11770" coordsize="66,31" path="m7267,11800l7332,11770e" filled="false" stroked="true" strokeweight=".5pt" strokecolor="#9b8758">
                <v:path arrowok="t"/>
              </v:shape>
            </v:group>
            <v:group style="position:absolute;left:7156;top:11747;width:136;height:53" coordorigin="7156,11747" coordsize="136,53">
              <v:shape style="position:absolute;left:7156;top:11747;width:136;height:53" coordorigin="7156,11747" coordsize="136,53" path="m7156,11800l7291,11747e" filled="false" stroked="true" strokeweight=".5pt" strokecolor="#9b8758">
                <v:path arrowok="t"/>
              </v:shape>
            </v:group>
            <v:group style="position:absolute;left:7232;top:11755;width:74;height:45" coordorigin="7232,11755" coordsize="74,45">
              <v:shape style="position:absolute;left:7232;top:11755;width:74;height:45" coordorigin="7232,11755" coordsize="74,45" path="m7232,11800l7306,11755e" filled="false" stroked="true" strokeweight=".25pt" strokecolor="#8c8f90">
                <v:path arrowok="t"/>
              </v:shape>
            </v:group>
            <v:group style="position:absolute;left:7252;top:11758;width:59;height:43" coordorigin="7252,11758" coordsize="59,43">
              <v:shape style="position:absolute;left:7252;top:11758;width:59;height:43" coordorigin="7252,11758" coordsize="59,43" path="m7252,11800l7311,11758e" filled="false" stroked="true" strokeweight=".25pt" strokecolor="#8c8f90">
                <v:path arrowok="t"/>
              </v:shape>
            </v:group>
            <v:group style="position:absolute;left:7249;top:11758;width:61;height:43" coordorigin="7249,11758" coordsize="61,43">
              <v:shape style="position:absolute;left:7249;top:11758;width:61;height:43" coordorigin="7249,11758" coordsize="61,43" path="m7310,11758l7249,11800e" filled="false" stroked="true" strokeweight="1pt" strokecolor="#9b8758">
                <v:path arrowok="t"/>
              </v:shape>
            </v:group>
            <v:group style="position:absolute;left:7275;top:11762;width:43;height:39" coordorigin="7275,11762" coordsize="43,39">
              <v:shape style="position:absolute;left:7275;top:11762;width:43;height:39" coordorigin="7275,11762" coordsize="43,39" path="m7317,11762l7275,11800e" filled="false" stroked="true" strokeweight="1.5pt" strokecolor="#8c8f90">
                <v:path arrowok="t"/>
              </v:shape>
            </v:group>
            <v:group style="position:absolute;left:7331;top:11776;width:11;height:25" coordorigin="7331,11776" coordsize="11,25">
              <v:shape style="position:absolute;left:7331;top:11776;width:11;height:25" coordorigin="7331,11776" coordsize="11,25" path="m7342,11776l7331,11800e" filled="false" stroked="true" strokeweight="1.5pt" strokecolor="#9b8758">
                <v:path arrowok="t"/>
              </v:shape>
            </v:group>
            <v:group style="position:absolute;left:7314;top:11771;width:19;height:30" coordorigin="7314,11771" coordsize="19,30">
              <v:shape style="position:absolute;left:7314;top:11771;width:19;height:30" coordorigin="7314,11771" coordsize="19,30" path="m7333,11771l7314,11800e" filled="false" stroked="true" strokeweight="1pt" strokecolor="#9b8758">
                <v:path arrowok="t"/>
              </v:shape>
            </v:group>
            <v:group style="position:absolute;left:7325;top:11774;width:14;height:27" coordorigin="7325,11774" coordsize="14,27">
              <v:shape style="position:absolute;left:7325;top:11774;width:14;height:27" coordorigin="7325,11774" coordsize="14,27" path="m7338,11774l7325,11800e" filled="false" stroked="true" strokeweight="1.5pt" strokecolor="#8c8f90">
                <v:path arrowok="t"/>
              </v:shape>
            </v:group>
            <v:group style="position:absolute;left:7265;top:11760;width:50;height:41" coordorigin="7265,11760" coordsize="50,41">
              <v:shape style="position:absolute;left:7265;top:11760;width:50;height:41" coordorigin="7265,11760" coordsize="50,41" path="m7314,11760l7265,11800e" filled="false" stroked="true" strokeweight="1.0pt" strokecolor="#9b8758">
                <v:path arrowok="t"/>
              </v:shape>
            </v:group>
            <v:group style="position:absolute;left:7241;top:11757;width:67;height:44" coordorigin="7241,11757" coordsize="67,44">
              <v:shape style="position:absolute;left:7241;top:11757;width:67;height:44" coordorigin="7241,11757" coordsize="67,44" path="m7308,11757l7241,11800e" filled="false" stroked="true" strokeweight="1.0pt" strokecolor="#9b8758">
                <v:path arrowok="t"/>
              </v:shape>
            </v:group>
            <v:group style="position:absolute;left:7284;top:11764;width:37;height:37" coordorigin="7284,11764" coordsize="37,37">
              <v:shape style="position:absolute;left:7284;top:11764;width:37;height:37" coordorigin="7284,11764" coordsize="37,37" path="m7320,11764l7284,11800e" filled="false" stroked="true" strokeweight="1.5pt" strokecolor="#9b8758">
                <v:path arrowok="t"/>
              </v:shape>
            </v:group>
            <v:group style="position:absolute;left:7227;top:11755;width:78;height:46" coordorigin="7227,11755" coordsize="78,46">
              <v:shape style="position:absolute;left:7227;top:11755;width:78;height:46" coordorigin="7227,11755" coordsize="78,46" path="m7304,11755l7227,11800e" filled="false" stroked="true" strokeweight="1pt" strokecolor="#9b8758">
                <v:path arrowok="t"/>
              </v:shape>
            </v:group>
            <v:group style="position:absolute;left:7287;top:11765;width:35;height:36" coordorigin="7287,11765" coordsize="35,36">
              <v:shape style="position:absolute;left:7287;top:11765;width:35;height:36" coordorigin="7287,11765" coordsize="35,36" path="m7322,11765l7287,11800e" filled="false" stroked="true" strokeweight="1pt" strokecolor="#8c8f90">
                <v:path arrowok="t"/>
              </v:shape>
            </v:group>
            <v:group style="position:absolute;left:7277;top:11763;width:41;height:38" coordorigin="7277,11763" coordsize="41,38">
              <v:shape style="position:absolute;left:7277;top:11763;width:41;height:38" coordorigin="7277,11763" coordsize="41,38" path="m7318,11763l7277,11800e" filled="false" stroked="true" strokeweight="1pt" strokecolor="#8c8f90">
                <v:path arrowok="t"/>
              </v:shape>
            </v:group>
            <v:group style="position:absolute;left:7074;top:11742;width:208;height:59" coordorigin="7074,11742" coordsize="208,59">
              <v:shape style="position:absolute;left:7074;top:11742;width:208;height:59" coordorigin="7074,11742" coordsize="208,59" path="m7282,11742l7074,11800e" filled="false" stroked="true" strokeweight=".5pt" strokecolor="#9b8758">
                <v:path arrowok="t"/>
              </v:shape>
            </v:group>
            <v:group style="position:absolute;left:7256;top:11759;width:56;height:42" coordorigin="7256,11759" coordsize="56,42">
              <v:shape style="position:absolute;left:7256;top:11759;width:56;height:42" coordorigin="7256,11759" coordsize="56,42" path="m7312,11759l7256,11800e" filled="false" stroked="true" strokeweight="1.5pt" strokecolor="#9b8758">
                <v:path arrowok="t"/>
              </v:shape>
            </v:group>
            <v:group style="position:absolute;left:7362;top:11795;width:10;height:2" coordorigin="7362,11795" coordsize="10,2">
              <v:shape style="position:absolute;left:7362;top:11795;width:10;height:2" coordorigin="7362,11795" coordsize="10,0" path="m7362,11795l7372,11795e" filled="false" stroked="true" strokeweight=".507849pt" strokecolor="#9b8758">
                <v:path arrowok="t"/>
              </v:shape>
            </v:group>
            <v:group style="position:absolute;left:7379;top:11797;width:2;height:3" coordorigin="7379,11797" coordsize="2,3">
              <v:shape style="position:absolute;left:7379;top:11797;width:2;height:3" coordorigin="7379,11797" coordsize="1,3" path="m7380,11800l7379,11797e" filled="false" stroked="true" strokeweight=".25pt" strokecolor="#9b8758">
                <v:path arrowok="t"/>
              </v:shape>
            </v:group>
            <v:group style="position:absolute;left:7378;top:11797;width:2;height:4" coordorigin="7378,11797" coordsize="2,4">
              <v:shape style="position:absolute;left:7378;top:11797;width:2;height:4" coordorigin="7378,11797" coordsize="1,4" path="m7378,11797l7379,11800e" filled="false" stroked="true" strokeweight="1.0pt" strokecolor="#9b8758">
                <v:path arrowok="t"/>
              </v:shape>
            </v:group>
            <v:group style="position:absolute;left:7329;top:11775;width:12;height:25" coordorigin="7329,11775" coordsize="12,25">
              <v:shape style="position:absolute;left:7329;top:11775;width:12;height:25" coordorigin="7329,11775" coordsize="12,25" path="m7341,11775l7329,11800e" filled="false" stroked="true" strokeweight=".5pt" strokecolor="#8c8f90">
                <v:path arrowok="t"/>
              </v:shape>
            </v:group>
            <v:group style="position:absolute;left:7336;top:11777;width:9;height:23" coordorigin="7336,11777" coordsize="9,23">
              <v:shape style="position:absolute;left:7336;top:11777;width:9;height:23" coordorigin="7336,11777" coordsize="9,23" path="m7344,11777l7336,11800e" filled="false" stroked="true" strokeweight=".5pt" strokecolor="#9b8758">
                <v:path arrowok="t"/>
              </v:shape>
            </v:group>
            <v:group style="position:absolute;left:7295;top:11766;width:30;height:35" coordorigin="7295,11766" coordsize="30,35">
              <v:shape style="position:absolute;left:7295;top:11766;width:30;height:35" coordorigin="7295,11766" coordsize="30,35" path="m7324,11766l7295,11800e" filled="false" stroked="true" strokeweight=".25pt" strokecolor="#8c8f90">
                <v:path arrowok="t"/>
              </v:shape>
            </v:group>
            <v:group style="position:absolute;left:7351;top:11783;width:4;height:18" coordorigin="7351,11783" coordsize="4,18">
              <v:shape style="position:absolute;left:7351;top:11783;width:4;height:18" coordorigin="7351,11783" coordsize="4,18" path="m7355,11783l7351,11800e" filled="false" stroked="true" strokeweight="1pt" strokecolor="#9b8758">
                <v:path arrowok="t"/>
              </v:shape>
            </v:group>
            <v:group style="position:absolute;left:7328;top:11775;width:12;height:26" coordorigin="7328,11775" coordsize="12,26">
              <v:shape style="position:absolute;left:7328;top:11775;width:12;height:26" coordorigin="7328,11775" coordsize="12,26" path="m7340,11775l7328,11800e" filled="false" stroked="true" strokeweight="1pt" strokecolor="#9b8758">
                <v:path arrowok="t"/>
              </v:shape>
            </v:group>
            <v:group style="position:absolute;left:7355;top:11785;width:3;height:16" coordorigin="7355,11785" coordsize="3,16">
              <v:shape style="position:absolute;left:7355;top:11785;width:3;height:16" coordorigin="7355,11785" coordsize="3,16" path="m7357,11785l7355,11800e" filled="false" stroked="true" strokeweight="1.5pt" strokecolor="#8c8f90">
                <v:path arrowok="t"/>
              </v:shape>
            </v:group>
            <v:group style="position:absolute;left:7338;top:11778;width:8;height:23" coordorigin="7338,11778" coordsize="8,23">
              <v:shape style="position:absolute;left:7338;top:11778;width:8;height:23" coordorigin="7338,11778" coordsize="8,23" path="m7345,11778l7338,11800e" filled="false" stroked="true" strokeweight="1.5pt" strokecolor="#9b8758">
                <v:path arrowok="t"/>
              </v:shape>
            </v:group>
            <v:group style="position:absolute;left:7345;top:11781;width:6;height:20" coordorigin="7345,11781" coordsize="6,20">
              <v:shape style="position:absolute;left:7345;top:11781;width:6;height:20" coordorigin="7345,11781" coordsize="6,20" path="m7350,11781l7345,11800e" filled="false" stroked="true" strokeweight=".5pt" strokecolor="#9b8758">
                <v:path arrowok="t"/>
              </v:shape>
            </v:group>
            <v:group style="position:absolute;left:7361;top:11787;width:2;height:13" coordorigin="7361,11787" coordsize="2,13">
              <v:shape style="position:absolute;left:7361;top:11787;width:2;height:13" coordorigin="7361,11787" coordsize="1,13" path="m7362,11787l7361,11800e" filled="false" stroked="true" strokeweight=".25pt" strokecolor="#8c8f90">
                <v:path arrowok="t"/>
              </v:shape>
            </v:group>
            <v:group style="position:absolute;left:7349;top:11782;width:4;height:19" coordorigin="7349,11782" coordsize="4,19">
              <v:shape style="position:absolute;left:7349;top:11782;width:4;height:19" coordorigin="7349,11782" coordsize="4,19" path="m7353,11782l7349,11800e" filled="false" stroked="true" strokeweight="1pt" strokecolor="#8c8f90">
                <v:path arrowok="t"/>
              </v:shape>
            </v:group>
            <v:group style="position:absolute;left:7341;top:11779;width:7;height:22" coordorigin="7341,11779" coordsize="7,22">
              <v:shape style="position:absolute;left:7341;top:11779;width:7;height:22" coordorigin="7341,11779" coordsize="7,22" path="m7347,11779l7341,11800e" filled="false" stroked="true" strokeweight="1.5pt" strokecolor="#9b8758">
                <v:path arrowok="t"/>
              </v:shape>
            </v:group>
            <v:group style="position:absolute;left:0;top:9065;width:7019;height:2528" coordorigin="0,9065" coordsize="7019,2528">
              <v:shape style="position:absolute;left:0;top:9065;width:7019;height:2528" coordorigin="0,9065" coordsize="7019,2528" path="m0,9065l7018,11593e" filled="false" stroked="true" strokeweight=".25pt" strokecolor="#8c8f90">
                <v:path arrowok="t"/>
              </v:shape>
            </v:group>
            <v:group style="position:absolute;left:0;top:9706;width:6906;height:1824" coordorigin="0,9706" coordsize="6906,1824">
              <v:shape style="position:absolute;left:0;top:9706;width:6906;height:1824" coordorigin="0,9706" coordsize="6906,1824" path="m0,9706l6906,11529e" filled="false" stroked="true" strokeweight=".25pt" strokecolor="#8c8f90">
                <v:path arrowok="t"/>
              </v:shape>
            </v:group>
            <v:group style="position:absolute;left:0;top:8746;width:6927;height:2794" coordorigin="0,8746" coordsize="6927,2794">
              <v:shape style="position:absolute;left:0;top:8746;width:6927;height:2794" coordorigin="0,8746" coordsize="6927,2794" path="m0,8746l6926,11540e" filled="false" stroked="true" strokeweight="1pt" strokecolor="#9b8758">
                <v:path arrowok="t"/>
              </v:shape>
            </v:group>
            <v:group style="position:absolute;left:0;top:9588;width:7108;height:2055" coordorigin="0,9588" coordsize="7108,2055">
              <v:shape style="position:absolute;left:0;top:9588;width:7108;height:2055" coordorigin="0,9588" coordsize="7108,2055" path="m0,9588l7107,11643e" filled="false" stroked="true" strokeweight="1.5pt" strokecolor="#8c8f90">
                <v:path arrowok="t"/>
              </v:shape>
            </v:group>
            <v:group style="position:absolute;left:0;top:8941;width:6988;height:2635" coordorigin="0,8941" coordsize="6988,2635">
              <v:shape style="position:absolute;left:0;top:8941;width:6988;height:2635" coordorigin="0,8941" coordsize="6988,2635" path="m0,8941l6987,11575e" filled="false" stroked="true" strokeweight="1.5pt" strokecolor="#8c8f90">
                <v:path arrowok="t"/>
              </v:shape>
            </v:group>
            <v:group style="position:absolute;left:0;top:9424;width:7085;height:2207" coordorigin="0,9424" coordsize="7085,2207">
              <v:shape style="position:absolute;left:0;top:9424;width:7085;height:2207" coordorigin="0,9424" coordsize="7085,2207" path="m0,9424l7085,11630e" filled="false" stroked="true" strokeweight=".5pt" strokecolor="#9b8758">
                <v:path arrowok="t"/>
              </v:shape>
            </v:group>
            <v:group style="position:absolute;left:0;top:10570;width:7192;height:1121" coordorigin="0,10570" coordsize="7192,1121">
              <v:shape style="position:absolute;left:0;top:10570;width:7192;height:1121" coordorigin="0,10570" coordsize="7192,1121" path="m0,10570l7191,11691e" filled="false" stroked="true" strokeweight=".25pt" strokecolor="#9b8758">
                <v:path arrowok="t"/>
              </v:shape>
            </v:group>
            <v:group style="position:absolute;left:0;top:9290;width:7064;height:2328" coordorigin="0,9290" coordsize="7064,2328">
              <v:shape style="position:absolute;left:0;top:9290;width:7064;height:2328" coordorigin="0,9290" coordsize="7064,2328" path="m0,9290l7063,11618e" filled="false" stroked="true" strokeweight="1pt" strokecolor="#8c8f90">
                <v:path arrowok="t"/>
              </v:shape>
            </v:group>
            <v:group style="position:absolute;left:0;top:10099;width:7160;height:1574" coordorigin="0,10099" coordsize="7160,1574">
              <v:shape style="position:absolute;left:0;top:10099;width:7160;height:1574" coordorigin="0,10099" coordsize="7160,1574" path="m0,10099l7159,11672e" filled="false" stroked="true" strokeweight="1.5pt" strokecolor="#8c8f90">
                <v:path arrowok="t"/>
              </v:shape>
            </v:group>
            <v:group style="position:absolute;left:0;top:10833;width:7206;height:866" coordorigin="0,10833" coordsize="7206,866">
              <v:shape style="position:absolute;left:0;top:10833;width:7206;height:866" coordorigin="0,10833" coordsize="7206,866" path="m0,10833l7205,11699e" filled="false" stroked="true" strokeweight=".5pt" strokecolor="#9b8758">
                <v:path arrowok="t"/>
              </v:shape>
            </v:group>
            <v:group style="position:absolute;left:0;top:11034;width:7215;height:671" coordorigin="0,11034" coordsize="7215,671">
              <v:shape style="position:absolute;left:0;top:11034;width:7215;height:671" coordorigin="0,11034" coordsize="7215,671" path="m0,11034l7215,11704e" filled="false" stroked="true" strokeweight="1pt" strokecolor="#9b8758">
                <v:path arrowok="t"/>
              </v:shape>
            </v:group>
            <v:group style="position:absolute;left:0;top:11538;width:7234;height:177" coordorigin="0,11538" coordsize="7234,177">
              <v:shape style="position:absolute;left:0;top:11538;width:7234;height:177" coordorigin="0,11538" coordsize="7234,177" path="m7234,11715l0,11538e" filled="false" stroked="true" strokeweight="1.0pt" strokecolor="#8c8f90">
                <v:path arrowok="t"/>
              </v:shape>
            </v:group>
            <v:group style="position:absolute;left:6169;top:11726;width:1085;height:75" coordorigin="6169,11726" coordsize="1085,75">
              <v:shape style="position:absolute;left:6169;top:11726;width:1085;height:75" coordorigin="6169,11726" coordsize="1085,75" path="m7253,11726l6169,11800e" filled="false" stroked="true" strokeweight="1.5pt" strokecolor="#8c8f90">
                <v:path arrowok="t"/>
              </v:shape>
            </v:group>
            <v:group style="position:absolute;left:5359;top:11723;width:1889;height:78" coordorigin="5359,11723" coordsize="1889,78">
              <v:shape style="position:absolute;left:5359;top:11723;width:1889;height:78" coordorigin="5359,11723" coordsize="1889,78" path="m7248,11723l5359,11800e" filled="false" stroked="true" strokeweight="1pt" strokecolor="#9b8758">
                <v:path arrowok="t"/>
              </v:shape>
            </v:group>
            <v:group style="position:absolute;left:0;top:11705;width:7240;height:14" coordorigin="0,11705" coordsize="7240,14">
              <v:shape style="position:absolute;left:0;top:11705;width:7240;height:14" coordorigin="0,11705" coordsize="7240,14" path="m7239,11718l0,11705e" filled="false" stroked="true" strokeweight="1pt" strokecolor="#9b8758">
                <v:path arrowok="t"/>
              </v:shape>
            </v:group>
            <v:group style="position:absolute;left:6795;top:11733;width:471;height:68" coordorigin="6795,11733" coordsize="471,68">
              <v:shape style="position:absolute;left:6795;top:11733;width:471;height:68" coordorigin="6795,11733" coordsize="471,68" path="m7265,11733l6795,11800e" filled="false" stroked="true" strokeweight="1.5pt" strokecolor="#8c8f90">
                <v:path arrowok="t"/>
              </v:shape>
            </v:group>
            <v:group style="position:absolute;left:0;top:11276;width:7225;height:434" coordorigin="0,11276" coordsize="7225,434">
              <v:shape style="position:absolute;left:0;top:11276;width:7225;height:434" coordorigin="0,11276" coordsize="7225,434" path="m0,11276l7224,11709e" filled="false" stroked="true" strokeweight=".25pt" strokecolor="#9b8758">
                <v:path arrowok="t"/>
              </v:shape>
            </v:group>
            <v:group style="position:absolute;left:0;top:10394;width:7181;height:1291" coordorigin="0,10394" coordsize="7181,1291">
              <v:shape style="position:absolute;left:0;top:10394;width:7181;height:1291" coordorigin="0,10394" coordsize="7181,1291" path="m0,10394l7181,11685e" filled="false" stroked="true" strokeweight=".5pt" strokecolor="#8c8f90">
                <v:path arrowok="t"/>
              </v:shape>
            </v:group>
            <v:group style="position:absolute;left:7060;top:11749;width:236;height:51" coordorigin="7060,11749" coordsize="236,51">
              <v:shape style="position:absolute;left:7060;top:11749;width:236;height:51" coordorigin="7060,11749" coordsize="236,51" path="m7060,11800l7295,11749e" filled="false" stroked="true" strokeweight="1pt" strokecolor="#9b8758">
                <v:path arrowok="t"/>
              </v:shape>
            </v:group>
            <v:group style="position:absolute;left:0;top:10298;width:7175;height:1384" coordorigin="0,10298" coordsize="7175,1384">
              <v:shape style="position:absolute;left:0;top:10298;width:7175;height:1384" coordorigin="0,10298" coordsize="7175,1384" path="m0,10298l7174,11681e" filled="false" stroked="true" strokeweight="1.5pt" strokecolor="#9b8758">
                <v:path arrowok="t"/>
              </v:shape>
            </v:group>
            <v:group style="position:absolute;left:7311;top:11770;width:21;height:31" coordorigin="7311,11770" coordsize="21,31">
              <v:shape style="position:absolute;left:7311;top:11770;width:21;height:31" coordorigin="7311,11770" coordsize="21,31" path="m7331,11770l7311,11800e" filled="false" stroked="true" strokeweight=".25pt" strokecolor="#8c8f90">
                <v:path arrowok="t"/>
              </v:shape>
            </v:group>
            <v:group style="position:absolute;left:7363;top:11788;width:2;height:13" coordorigin="7363,11788" coordsize="2,13">
              <v:shape style="position:absolute;left:7363;top:11788;width:2;height:13" coordorigin="7363,11788" coordsize="1,13" path="m7363,11800l7363,11788e" filled="false" stroked="true" strokeweight="1pt" strokecolor="#9b8758">
                <v:path arrowok="t"/>
              </v:shape>
            </v:group>
            <v:group style="position:absolute;left:7301;top:11767;width:27;height:33" coordorigin="7301,11767" coordsize="27,33">
              <v:shape style="position:absolute;left:7301;top:11767;width:27;height:33" coordorigin="7301,11767" coordsize="27,33" path="m7301,11800l7327,11767e" filled="false" stroked="true" strokeweight="1.5pt" strokecolor="#8c8f90">
                <v:path arrowok="t"/>
              </v:shape>
            </v:group>
            <v:group style="position:absolute;left:7304;top:11768;width:25;height:33" coordorigin="7304,11768" coordsize="25,33">
              <v:shape style="position:absolute;left:7304;top:11768;width:25;height:33" coordorigin="7304,11768" coordsize="25,33" path="m7304,11800l7328,11768e" filled="false" stroked="true" strokeweight="1pt" strokecolor="#9b8758">
                <v:path arrowok="t"/>
              </v:shape>
            </v:group>
            <v:group style="position:absolute;left:7323;top:11773;width:15;height:27" coordorigin="7323,11773" coordsize="15,27">
              <v:shape style="position:absolute;left:7323;top:11773;width:15;height:27" coordorigin="7323,11773" coordsize="15,27" path="m7337,11773l7323,11800e" filled="false" stroked="true" strokeweight=".25pt" strokecolor="#9b8758">
                <v:path arrowok="t"/>
              </v:shape>
            </v:group>
            <v:group style="position:absolute;left:7376;top:11795;width:2;height:6" coordorigin="7376,11795" coordsize="2,6">
              <v:shape style="position:absolute;left:7376;top:11795;width:2;height:6" coordorigin="7376,11795" coordsize="1,6" path="m7376,11800l7376,11795e" filled="false" stroked="true" strokeweight="1pt" strokecolor="#9b8758">
                <v:path arrowok="t"/>
              </v:shape>
            </v:group>
            <v:group style="position:absolute;left:7327;top:11775;width:13;height:26" coordorigin="7327,11775" coordsize="13,26">
              <v:shape style="position:absolute;left:7327;top:11775;width:13;height:26" coordorigin="7327,11775" coordsize="13,26" path="m7327,11800l7339,11775e" filled="false" stroked="true" strokeweight="1pt" strokecolor="#9b8758">
                <v:path arrowok="t"/>
              </v:shape>
            </v:group>
            <v:group style="position:absolute;left:7339;top:11779;width:8;height:22" coordorigin="7339,11779" coordsize="8,22">
              <v:shape style="position:absolute;left:7339;top:11779;width:8;height:22" coordorigin="7339,11779" coordsize="8,22" path="m7339,11800l7346,11779e" filled="false" stroked="true" strokeweight="1pt" strokecolor="#9b8758">
                <v:path arrowok="t"/>
              </v:shape>
            </v:group>
            <v:group style="position:absolute;left:7342;top:11780;width:7;height:21" coordorigin="7342,11780" coordsize="7,21">
              <v:shape style="position:absolute;left:7342;top:11780;width:7;height:21" coordorigin="7342,11780" coordsize="7,21" path="m7342,11800l7348,11780e" filled="false" stroked="true" strokeweight="1.0pt" strokecolor="#8c8f90">
                <v:path arrowok="t"/>
              </v:shape>
            </v:group>
            <v:group style="position:absolute;left:7358;top:11786;width:2;height:15" coordorigin="7358,11786" coordsize="2,15">
              <v:shape style="position:absolute;left:7358;top:11786;width:2;height:15" coordorigin="7358,11786" coordsize="2,15" path="m7358,11800l7359,11786e" filled="false" stroked="true" strokeweight="1pt" strokecolor="#9b8758">
                <v:path arrowok="t"/>
              </v:shape>
            </v:group>
            <v:group style="position:absolute;left:7309;top:11770;width:22;height:31" coordorigin="7309,11770" coordsize="22,31">
              <v:shape style="position:absolute;left:7309;top:11770;width:22;height:31" coordorigin="7309,11770" coordsize="22,31" path="m7309,11800l7331,11770e" filled="false" stroked="true" strokeweight="1.5pt" strokecolor="#9b8758">
                <v:path arrowok="t"/>
              </v:shape>
            </v:group>
            <v:group style="position:absolute;left:7379;top:11797;width:2;height:4" coordorigin="7379,11797" coordsize="2,4">
              <v:shape style="position:absolute;left:7379;top:11797;width:2;height:4" coordorigin="7379,11797" coordsize="1,4" path="m7379,11797l7379,11800e" filled="false" stroked="true" strokeweight="1pt" strokecolor="#8c8f90">
                <v:path arrowok="t"/>
              </v:shape>
            </v:group>
            <v:group style="position:absolute;left:7351;top:11795;width:30;height:2" coordorigin="7351,11795" coordsize="30,2">
              <v:shape style="position:absolute;left:7351;top:11795;width:30;height:2" coordorigin="7351,11795" coordsize="30,0" path="m7351,11795l7381,11795e" filled="false" stroked="true" strokeweight=".528487pt" strokecolor="#8c8f90">
                <v:path arrowok="t"/>
              </v:shape>
            </v:group>
            <v:group style="position:absolute;left:7306;top:11769;width:24;height:32" coordorigin="7306,11769" coordsize="24,32">
              <v:shape style="position:absolute;left:7306;top:11769;width:24;height:32" coordorigin="7306,11769" coordsize="24,32" path="m7329,11769l7306,11800e" filled="false" stroked="true" strokeweight=".5pt" strokecolor="#8c8f90">
                <v:path arrowok="t"/>
              </v:shape>
            </v:group>
            <v:group style="position:absolute;left:7325;top:11774;width:14;height:27" coordorigin="7325,11774" coordsize="14,27">
              <v:shape style="position:absolute;left:7325;top:11774;width:14;height:27" coordorigin="7325,11774" coordsize="14,27" path="m7338,11774l7325,11800e" filled="false" stroked="true" strokeweight=".25pt" strokecolor="#9b8758">
                <v:path arrowok="t"/>
              </v:shape>
            </v:group>
            <v:group style="position:absolute;left:7375;top:11797;width:5;height:4" coordorigin="7375,11797" coordsize="5,4">
              <v:shape style="position:absolute;left:7375;top:11797;width:5;height:4" coordorigin="7375,11797" coordsize="5,4" path="m7379,11797l7375,11800e" filled="false" stroked="true" strokeweight="1pt" strokecolor="#8c8f90">
                <v:path arrowok="t"/>
              </v:shape>
            </v:group>
            <v:group style="position:absolute;left:7307;top:11769;width:23;height:32" coordorigin="7307,11769" coordsize="23,32">
              <v:shape style="position:absolute;left:7307;top:11769;width:23;height:32" coordorigin="7307,11769" coordsize="23,32" path="m7330,11769l7307,11800e" filled="false" stroked="true" strokeweight="1.5pt" strokecolor="#9b8758">
                <v:path arrowok="t"/>
              </v:shape>
            </v:group>
            <v:group style="position:absolute;left:7373;top:11794;width:2;height:7" coordorigin="7373,11794" coordsize="2,7">
              <v:shape style="position:absolute;left:7373;top:11794;width:2;height:7" coordorigin="7373,11794" coordsize="1,7" path="m7373,11794l7373,11800e" filled="false" stroked="true" strokeweight=".5pt" strokecolor="#8c8f90">
                <v:path arrowok="t"/>
              </v:shape>
            </v:group>
            <v:group style="position:absolute;left:7381;top:11798;width:2;height:2" coordorigin="7381,11798" coordsize="2,2">
              <v:shape style="position:absolute;left:7381;top:11798;width:2;height:2" coordorigin="7381,11798" coordsize="1,2" path="m7381,11798l7382,11800e" filled="false" stroked="true" strokeweight=".5pt" strokecolor="#8c8f90">
                <v:path arrowok="t"/>
              </v:shape>
            </v:group>
            <v:group style="position:absolute;left:7376;top:11795;width:2;height:5" coordorigin="7376,11795" coordsize="2,5">
              <v:shape style="position:absolute;left:7376;top:11795;width:2;height:5" coordorigin="7376,11795" coordsize="1,5" path="m7376,11795l7377,11800e" filled="false" stroked="true" strokeweight="1pt" strokecolor="#9b8758">
                <v:path arrowok="t"/>
              </v:shape>
            </v:group>
            <v:group style="position:absolute;left:7367;top:11790;width:2;height:10" coordorigin="7367,11790" coordsize="2,10">
              <v:shape style="position:absolute;left:7367;top:11790;width:2;height:10" coordorigin="7367,11790" coordsize="1,10" path="m7367,11790l7367,11800e" filled="false" stroked="true" strokeweight="1.5pt" strokecolor="#8c8f90">
                <v:path arrowok="t"/>
              </v:shape>
            </v:group>
            <v:group style="position:absolute;left:7362;top:11788;width:2;height:13" coordorigin="7362,11788" coordsize="2,13">
              <v:shape style="position:absolute;left:7362;top:11788;width:2;height:13" coordorigin="7362,11788" coordsize="1,13" path="m7363,11788l7362,11800e" filled="false" stroked="true" strokeweight="1.5pt" strokecolor="#9b8758">
                <v:path arrowok="t"/>
              </v:shape>
            </v:group>
            <v:group style="position:absolute;left:0;top:7630;width:1261;height:700" coordorigin="0,7630" coordsize="1261,700">
              <v:shape style="position:absolute;left:0;top:7630;width:1261;height:700" coordorigin="0,7630" coordsize="1261,700" path="m0,7630l1261,8329e" filled="false" stroked="true" strokeweight=".5pt" strokecolor="#9b8758">
                <v:path arrowok="t"/>
              </v:shape>
            </v:group>
            <v:group style="position:absolute;left:0;top:7834;width:5553;height:2928" coordorigin="0,7834" coordsize="5553,2928">
              <v:shape style="position:absolute;left:0;top:7834;width:5553;height:2928" coordorigin="0,7834" coordsize="5553,2928" path="m0,7834l5552,10762e" filled="false" stroked="true" strokeweight=".5pt" strokecolor="#8c8f90">
                <v:path arrowok="t"/>
              </v:shape>
            </v:group>
            <v:group style="position:absolute;left:0;top:9309;width:7068;height:2312" coordorigin="0,9309" coordsize="7068,2312">
              <v:shape style="position:absolute;left:0;top:9309;width:7068;height:2312" coordorigin="0,9309" coordsize="7068,2312" path="m0,9309l7067,11620e" filled="false" stroked="true" strokeweight=".25pt" strokecolor="#8c8f90">
                <v:path arrowok="t"/>
              </v:shape>
            </v:group>
            <v:group style="position:absolute;left:7121;top:11745;width:166;height:56" coordorigin="7121,11745" coordsize="166,56">
              <v:shape style="position:absolute;left:7121;top:11745;width:166;height:56" coordorigin="7121,11745" coordsize="166,56" path="m7287,11745l7121,11800e" filled="false" stroked="true" strokeweight="1.0pt" strokecolor="#8c8f90">
                <v:path arrowok="t"/>
              </v:shape>
            </v:group>
            <v:group style="position:absolute;left:7185;top:11750;width:111;height:51" coordorigin="7185,11750" coordsize="111,51">
              <v:shape style="position:absolute;left:7185;top:11750;width:111;height:51" coordorigin="7185,11750" coordsize="111,51" path="m7296,11750l7185,11800e" filled="false" stroked="true" strokeweight="1.5pt" strokecolor="#9b8758">
                <v:path arrowok="t"/>
              </v:shape>
            </v:group>
            <v:group style="position:absolute;left:7062;top:11741;width:219;height:60" coordorigin="7062,11741" coordsize="219,60">
              <v:shape style="position:absolute;left:7062;top:11741;width:219;height:60" coordorigin="7062,11741" coordsize="219,60" path="m7280,11741l7062,11800e" filled="false" stroked="true" strokeweight="1pt" strokecolor="#8c8f90">
                <v:path arrowok="t"/>
              </v:shape>
            </v:group>
            <v:group style="position:absolute;left:7016;top:11739;width:262;height:62" coordorigin="7016,11739" coordsize="262,62">
              <v:shape style="position:absolute;left:7016;top:11739;width:262;height:62" coordorigin="7016,11739" coordsize="262,62" path="m7277,11739l7016,11800e" filled="false" stroked="true" strokeweight="1pt" strokecolor="#8c8f90">
                <v:path arrowok="t"/>
              </v:shape>
            </v:group>
            <v:group style="position:absolute;left:6971;top:11737;width:303;height:63" coordorigin="6971,11737" coordsize="303,63">
              <v:shape style="position:absolute;left:6971;top:11737;width:303;height:63" coordorigin="6971,11737" coordsize="303,63" path="m7274,11737l6971,11800e" filled="false" stroked="true" strokeweight="1pt" strokecolor="#9b8758">
                <v:path arrowok="t"/>
              </v:shape>
            </v:group>
            <v:group style="position:absolute;left:7151;top:11747;width:140;height:54" coordorigin="7151,11747" coordsize="140,54">
              <v:shape style="position:absolute;left:7151;top:11747;width:140;height:54" coordorigin="7151,11747" coordsize="140,54" path="m7291,11747l7151,11800e" filled="false" stroked="true" strokeweight="1.5pt" strokecolor="#9b8758">
                <v:path arrowok="t"/>
              </v:shape>
            </v:group>
            <v:group style="position:absolute;left:0;top:11229;width:7171;height:450" coordorigin="0,11229" coordsize="7171,450">
              <v:shape style="position:absolute;left:0;top:11229;width:7171;height:450" coordorigin="0,11229" coordsize="7171,450" path="m7171,11679l0,11229e" filled="false" stroked="true" strokeweight=".5pt" strokecolor="#8c8f90">
                <v:path arrowok="t"/>
              </v:shape>
            </v:group>
            <v:group style="position:absolute;left:0;top:10799;width:7204;height:899" coordorigin="0,10799" coordsize="7204,899">
              <v:shape style="position:absolute;left:0;top:10799;width:7204;height:899" coordorigin="0,10799" coordsize="7204,899" path="m7204,11698l0,10799e" filled="false" stroked="true" strokeweight="1.5pt" strokecolor="#8c8f90">
                <v:path arrowok="t"/>
              </v:shape>
            </v:group>
            <v:group style="position:absolute;left:7166;top:11748;width:128;height:53" coordorigin="7166,11748" coordsize="128,53">
              <v:shape style="position:absolute;left:7166;top:11748;width:128;height:53" coordorigin="7166,11748" coordsize="128,53" path="m7293,11748l7166,11800e" filled="false" stroked="true" strokeweight="1.0pt" strokecolor="#9b8758">
                <v:path arrowok="t"/>
              </v:shape>
            </v:group>
            <v:group style="position:absolute;left:6221;top:11726;width:1033;height:75" coordorigin="6221,11726" coordsize="1033,75">
              <v:shape style="position:absolute;left:6221;top:11726;width:1033;height:75" coordorigin="6221,11726" coordsize="1033,75" path="m7254,11726l6221,11800e" filled="false" stroked="true" strokeweight="1pt" strokecolor="#8c8f90">
                <v:path arrowok="t"/>
              </v:shape>
            </v:group>
            <v:group style="position:absolute;left:6872;top:11734;width:397;height:66" coordorigin="6872,11734" coordsize="397,66">
              <v:shape style="position:absolute;left:6872;top:11734;width:397;height:66" coordorigin="6872,11734" coordsize="397,66" path="m7268,11734l6872,11800e" filled="false" stroked="true" strokeweight="1.5pt" strokecolor="#8c8f90">
                <v:path arrowok="t"/>
              </v:shape>
            </v:group>
            <v:group style="position:absolute;left:6584;top:11729;width:676;height:71" coordorigin="6584,11729" coordsize="676,71">
              <v:shape style="position:absolute;left:6584;top:11729;width:676;height:71" coordorigin="6584,11729" coordsize="676,71" path="m7259,11729l6584,11800e" filled="false" stroked="true" strokeweight="1.5pt" strokecolor="#8c8f90">
                <v:path arrowok="t"/>
              </v:shape>
            </v:group>
            <v:group style="position:absolute;left:0;top:9248;width:7057;height:2367" coordorigin="0,9248" coordsize="7057,2367">
              <v:shape style="position:absolute;left:0;top:9248;width:7057;height:2367" coordorigin="0,9248" coordsize="7057,2367" path="m7056,11614l0,9248e" filled="false" stroked="true" strokeweight="1pt" strokecolor="#8c8f90">
                <v:path arrowok="t"/>
              </v:shape>
            </v:group>
            <v:group style="position:absolute;left:0;top:10059;width:7157;height:1612" coordorigin="0,10059" coordsize="7157,1612">
              <v:shape style="position:absolute;left:0;top:10059;width:7157;height:1612" coordorigin="0,10059" coordsize="7157,1612" path="m7156,11671l0,10059e" filled="false" stroked="true" strokeweight="1.5pt" strokecolor="#8c8f90">
                <v:path arrowok="t"/>
              </v:shape>
            </v:group>
            <v:group style="position:absolute;left:7236;top:11767;width:91;height:33" coordorigin="7236,11767" coordsize="91,33">
              <v:shape style="position:absolute;left:7236;top:11767;width:91;height:33" coordorigin="7236,11767" coordsize="91,33" path="m7236,11800l7327,11767e" filled="false" stroked="true" strokeweight=".5pt" strokecolor="#9b8758">
                <v:path arrowok="t"/>
              </v:shape>
            </v:group>
            <v:group style="position:absolute;left:7089;top:11743;width:194;height:58" coordorigin="7089,11743" coordsize="194,58">
              <v:shape style="position:absolute;left:7089;top:11743;width:194;height:58" coordorigin="7089,11743" coordsize="194,58" path="m7089,11800l7283,11743e" filled="false" stroked="true" strokeweight=".5pt" strokecolor="#9b8758">
                <v:path arrowok="t"/>
              </v:shape>
            </v:group>
            <v:group style="position:absolute;left:7203;top:11752;width:97;height:49" coordorigin="7203,11752" coordsize="97,49">
              <v:shape style="position:absolute;left:7203;top:11752;width:97;height:49" coordorigin="7203,11752" coordsize="97,49" path="m7203,11800l7299,11752e" filled="false" stroked="true" strokeweight=".25pt" strokecolor="#8c8f90">
                <v:path arrowok="t"/>
              </v:shape>
            </v:group>
            <v:group style="position:absolute;left:7229;top:11755;width:76;height:46" coordorigin="7229,11755" coordsize="76,46">
              <v:shape style="position:absolute;left:7229;top:11755;width:76;height:46" coordorigin="7229,11755" coordsize="76,46" path="m7229,11800l7305,11755e" filled="false" stroked="true" strokeweight=".25pt" strokecolor="#8c8f90">
                <v:path arrowok="t"/>
              </v:shape>
            </v:group>
            <v:group style="position:absolute;left:7224;top:11754;width:80;height:46" coordorigin="7224,11754" coordsize="80,46">
              <v:shape style="position:absolute;left:7224;top:11754;width:80;height:46" coordorigin="7224,11754" coordsize="80,46" path="m7304,11754l7224,11800e" filled="false" stroked="true" strokeweight="1pt" strokecolor="#9b8758">
                <v:path arrowok="t"/>
              </v:shape>
            </v:group>
            <v:group style="position:absolute;left:7257;top:11759;width:55;height:42" coordorigin="7257,11759" coordsize="55,42">
              <v:shape style="position:absolute;left:7257;top:11759;width:55;height:42" coordorigin="7257,11759" coordsize="55,42" path="m7312,11759l7257,11800e" filled="false" stroked="true" strokeweight="1.5pt" strokecolor="#8c8f90">
                <v:path arrowok="t"/>
              </v:shape>
            </v:group>
            <v:group style="position:absolute;left:7323;top:11773;width:15;height:28" coordorigin="7323,11773" coordsize="15,28">
              <v:shape style="position:absolute;left:7323;top:11773;width:15;height:28" coordorigin="7323,11773" coordsize="15,28" path="m7337,11773l7323,11800e" filled="false" stroked="true" strokeweight="1.5pt" strokecolor="#9b8758">
                <v:path arrowok="t"/>
              </v:shape>
            </v:group>
            <v:group style="position:absolute;left:7304;top:11768;width:25;height:33" coordorigin="7304,11768" coordsize="25,33">
              <v:shape style="position:absolute;left:7304;top:11768;width:25;height:33" coordorigin="7304,11768" coordsize="25,33" path="m7328,11768l7304,11800e" filled="false" stroked="true" strokeweight="1pt" strokecolor="#9b8758">
                <v:path arrowok="t"/>
              </v:shape>
            </v:group>
            <v:group style="position:absolute;left:7316;top:11771;width:18;height:29" coordorigin="7316,11771" coordsize="18,29">
              <v:shape style="position:absolute;left:7316;top:11771;width:18;height:29" coordorigin="7316,11771" coordsize="18,29" path="m7334,11771l7316,11800e" filled="false" stroked="true" strokeweight="1.5pt" strokecolor="#8c8f90">
                <v:path arrowok="t"/>
              </v:shape>
            </v:group>
            <v:group style="position:absolute;left:7245;top:11757;width:64;height:44" coordorigin="7245,11757" coordsize="64,44">
              <v:shape style="position:absolute;left:7245;top:11757;width:64;height:44" coordorigin="7245,11757" coordsize="64,44" path="m7308,11757l7245,11800e" filled="false" stroked="true" strokeweight="1pt" strokecolor="#9b8758">
                <v:path arrowok="t"/>
              </v:shape>
            </v:group>
            <v:group style="position:absolute;left:7214;top:11753;width:87;height:48" coordorigin="7214,11753" coordsize="87,48">
              <v:shape style="position:absolute;left:7214;top:11753;width:87;height:48" coordorigin="7214,11753" coordsize="87,48" path="m7301,11753l7214,11800e" filled="false" stroked="true" strokeweight="1pt" strokecolor="#9b8758">
                <v:path arrowok="t"/>
              </v:shape>
            </v:group>
            <v:group style="position:absolute;left:7268;top:11761;width:48;height:40" coordorigin="7268,11761" coordsize="48,40">
              <v:shape style="position:absolute;left:7268;top:11761;width:48;height:40" coordorigin="7268,11761" coordsize="48,40" path="m7315,11761l7268,11800e" filled="false" stroked="true" strokeweight="1.5pt" strokecolor="#9b8758">
                <v:path arrowok="t"/>
              </v:shape>
            </v:group>
            <v:group style="position:absolute;left:7195;top:11751;width:103;height:50" coordorigin="7195,11751" coordsize="103,50">
              <v:shape style="position:absolute;left:7195;top:11751;width:103;height:50" coordorigin="7195,11751" coordsize="103,50" path="m7298,11751l7195,11800e" filled="false" stroked="true" strokeweight="1pt" strokecolor="#9b8758">
                <v:path arrowok="t"/>
              </v:shape>
            </v:group>
            <v:group style="position:absolute;left:7272;top:11762;width:45;height:39" coordorigin="7272,11762" coordsize="45,39">
              <v:shape style="position:absolute;left:7272;top:11762;width:45;height:39" coordorigin="7272,11762" coordsize="45,39" path="m7317,11762l7272,11800e" filled="false" stroked="true" strokeweight="1pt" strokecolor="#8c8f90">
                <v:path arrowok="t"/>
              </v:shape>
            </v:group>
            <v:group style="position:absolute;left:7260;top:11759;width:53;height:41" coordorigin="7260,11759" coordsize="53,41">
              <v:shape style="position:absolute;left:7260;top:11759;width:53;height:41" coordorigin="7260,11759" coordsize="53,41" path="m7313,11759l7260,11800e" filled="false" stroked="true" strokeweight="1pt" strokecolor="#8c8f90">
                <v:path arrowok="t"/>
              </v:shape>
            </v:group>
            <v:group style="position:absolute;left:6938;top:11736;width:335;height:65" coordorigin="6938,11736" coordsize="335,65">
              <v:shape style="position:absolute;left:6938;top:11736;width:335;height:65" coordorigin="6938,11736" coordsize="335,65" path="m7272,11736l6938,11800e" filled="false" stroked="true" strokeweight=".5pt" strokecolor="#9b8758">
                <v:path arrowok="t"/>
              </v:shape>
            </v:group>
            <v:group style="position:absolute;left:7233;top:11756;width:73;height:45" coordorigin="7233,11756" coordsize="73,45">
              <v:shape style="position:absolute;left:7233;top:11756;width:73;height:45" coordorigin="7233,11756" coordsize="73,45" path="m7306,11756l7233,11800e" filled="false" stroked="true" strokeweight="1.5pt" strokecolor="#9b8758">
                <v:path arrowok="t"/>
              </v:shape>
            </v:group>
            <v:group style="position:absolute;left:7360;top:11787;width:2;height:14" coordorigin="7360,11787" coordsize="2,14">
              <v:shape style="position:absolute;left:7360;top:11787;width:2;height:14" coordorigin="7360,11787" coordsize="2,14" path="m7360,11800l7361,11787e" filled="false" stroked="true" strokeweight=".5pt" strokecolor="#9b8758">
                <v:path arrowok="t"/>
              </v:shape>
            </v:group>
            <v:group style="position:absolute;left:7372;top:11793;width:2;height:8" coordorigin="7372,11793" coordsize="2,8">
              <v:shape style="position:absolute;left:7372;top:11793;width:2;height:8" coordorigin="7372,11793" coordsize="1,8" path="m7373,11800l7372,11793e" filled="false" stroked="true" strokeweight=".25pt" strokecolor="#9b8758">
                <v:path arrowok="t"/>
              </v:shape>
            </v:group>
            <v:group style="position:absolute;left:7371;top:11792;width:2;height:8" coordorigin="7371,11792" coordsize="2,8">
              <v:shape style="position:absolute;left:7371;top:11792;width:2;height:8" coordorigin="7371,11792" coordsize="1,8" path="m7371,11792l7371,11800e" filled="false" stroked="true" strokeweight="1pt" strokecolor="#9b8758">
                <v:path arrowok="t"/>
              </v:shape>
            </v:group>
            <v:group style="position:absolute;left:7380;top:11798;width:2;height:3" coordorigin="7380,11798" coordsize="2,3">
              <v:shape style="position:absolute;left:7380;top:11798;width:2;height:3" coordorigin="7380,11798" coordsize="1,3" path="m7380,11798l7381,11800e" filled="false" stroked="true" strokeweight="1.5pt" strokecolor="#9b8758">
                <v:path arrowok="t"/>
              </v:shape>
            </v:group>
            <v:group style="position:absolute;left:7320;top:11773;width:16;height:28" coordorigin="7320,11773" coordsize="16,28">
              <v:shape style="position:absolute;left:7320;top:11773;width:16;height:28" coordorigin="7320,11773" coordsize="16,28" path="m7336,11773l7320,11800e" filled="false" stroked="true" strokeweight=".5pt" strokecolor="#8c8f90">
                <v:path arrowok="t"/>
              </v:shape>
            </v:group>
            <v:group style="position:absolute;left:7327;top:11775;width:13;height:26" coordorigin="7327,11775" coordsize="13,26">
              <v:shape style="position:absolute;left:7327;top:11775;width:13;height:26" coordorigin="7327,11775" coordsize="13,26" path="m7339,11775l7327,11800e" filled="false" stroked="true" strokeweight=".5pt" strokecolor="#9b8758">
                <v:path arrowok="t"/>
              </v:shape>
            </v:group>
            <v:group style="position:absolute;left:7281;top:11763;width:39;height:38" coordorigin="7281,11763" coordsize="39,38">
              <v:shape style="position:absolute;left:7281;top:11763;width:39;height:38" coordorigin="7281,11763" coordsize="39,38" path="m7319,11763l7281,11800e" filled="false" stroked="true" strokeweight=".25pt" strokecolor="#8c8f90">
                <v:path arrowok="t"/>
              </v:shape>
            </v:group>
            <v:group style="position:absolute;left:7344;top:11780;width:6;height:21" coordorigin="7344,11780" coordsize="6,21">
              <v:shape style="position:absolute;left:7344;top:11780;width:6;height:21" coordorigin="7344,11780" coordsize="6,21" path="m7349,11780l7344,11800e" filled="false" stroked="true" strokeweight="1pt" strokecolor="#9b8758">
                <v:path arrowok="t"/>
              </v:shape>
            </v:group>
            <v:group style="position:absolute;left:7319;top:11772;width:17;height:29" coordorigin="7319,11772" coordsize="17,29">
              <v:shape style="position:absolute;left:7319;top:11772;width:17;height:29" coordorigin="7319,11772" coordsize="17,29" path="m7335,11772l7319,11800e" filled="false" stroked="true" strokeweight="1pt" strokecolor="#9b8758">
                <v:path arrowok="t"/>
              </v:shape>
            </v:group>
            <v:group style="position:absolute;left:7347;top:11781;width:5;height:19" coordorigin="7347,11781" coordsize="5,19">
              <v:shape style="position:absolute;left:7347;top:11781;width:5;height:19" coordorigin="7347,11781" coordsize="5,19" path="m7352,11781l7347,11800e" filled="false" stroked="true" strokeweight="1.5pt" strokecolor="#8c8f90">
                <v:path arrowok="t"/>
              </v:shape>
            </v:group>
            <v:group style="position:absolute;left:7329;top:11775;width:12;height:26" coordorigin="7329,11775" coordsize="12,26">
              <v:shape style="position:absolute;left:7329;top:11775;width:12;height:26" coordorigin="7329,11775" coordsize="12,26" path="m7340,11775l7329,11800e" filled="false" stroked="true" strokeweight="1.5pt" strokecolor="#9b8758">
                <v:path arrowok="t"/>
              </v:shape>
            </v:group>
            <v:group style="position:absolute;left:7337;top:11778;width:8;height:23" coordorigin="7337,11778" coordsize="8,23">
              <v:shape style="position:absolute;left:7337;top:11778;width:8;height:23" coordorigin="7337,11778" coordsize="8,23" path="m7345,11778l7337,11800e" filled="false" stroked="true" strokeweight=".5pt" strokecolor="#9b8758">
                <v:path arrowok="t"/>
              </v:shape>
            </v:group>
            <v:group style="position:absolute;left:7354;top:11784;width:3;height:17" coordorigin="7354,11784" coordsize="3,17">
              <v:shape style="position:absolute;left:7354;top:11784;width:3;height:17" coordorigin="7354,11784" coordsize="3,17" path="m7356,11784l7354,11800e" filled="false" stroked="true" strokeweight=".25pt" strokecolor="#8c8f90">
                <v:path arrowok="t"/>
              </v:shape>
            </v:group>
            <v:group style="position:absolute;left:7382;top:11799;width:2;height:2" coordorigin="7382,11799" coordsize="2,2">
              <v:shape style="position:absolute;left:7382;top:11799;width:2;height:2" coordorigin="7382,11799" coordsize="1,2" path="m7382,11799l7383,11800e" filled="false" stroked="true" strokeweight="1pt" strokecolor="#8c8f90">
                <v:path arrowok="t"/>
              </v:shape>
            </v:group>
            <v:group style="position:absolute;left:7377;top:11796;width:2;height:5" coordorigin="7377,11796" coordsize="2,5">
              <v:shape style="position:absolute;left:7377;top:11796;width:2;height:5" coordorigin="7377,11796" coordsize="1,5" path="m7377,11796l7378,11800e" filled="false" stroked="true" strokeweight=".25pt" strokecolor="#9b8758">
                <v:path arrowok="t"/>
              </v:shape>
            </v:group>
            <v:group style="position:absolute;left:7341;top:11779;width:7;height:22" coordorigin="7341,11779" coordsize="7,22">
              <v:shape style="position:absolute;left:7341;top:11779;width:7;height:22" coordorigin="7341,11779" coordsize="7,22" path="m7347,11779l7341,11800e" filled="false" stroked="true" strokeweight="1pt" strokecolor="#8c8f90">
                <v:path arrowok="t"/>
              </v:shape>
            </v:group>
            <v:group style="position:absolute;left:7332;top:11776;width:10;height:25" coordorigin="7332,11776" coordsize="10,25">
              <v:shape style="position:absolute;left:7332;top:11776;width:10;height:25" coordorigin="7332,11776" coordsize="10,25" path="m7342,11776l7332,11800e" filled="false" stroked="true" strokeweight="1.5pt" strokecolor="#9b8758">
                <v:path arrowok="t"/>
              </v:shape>
            </v:group>
            <v:group style="position:absolute;left:0;top:8338;width:6703;height:3075" coordorigin="0,8338" coordsize="6703,3075">
              <v:shape style="position:absolute;left:0;top:8338;width:6703;height:3075" coordorigin="0,8338" coordsize="6703,3075" path="m0,8338l6702,11413e" filled="false" stroked="true" strokeweight=".25pt" strokecolor="#8c8f90">
                <v:path arrowok="t"/>
              </v:shape>
            </v:group>
            <v:group style="position:absolute;left:0;top:9022;width:6695;height:2388" coordorigin="0,9022" coordsize="6695,2388">
              <v:shape style="position:absolute;left:0;top:9022;width:6695;height:2388" coordorigin="0,9022" coordsize="6695,2388" path="m0,9022l6695,11409e" filled="false" stroked="true" strokeweight=".25pt" strokecolor="#8c8f90">
                <v:path arrowok="t"/>
              </v:shape>
            </v:group>
            <v:group style="position:absolute;left:0;top:7995;width:6198;height:3133" coordorigin="0,7995" coordsize="6198,3133">
              <v:shape style="position:absolute;left:0;top:7995;width:6198;height:3133" coordorigin="0,7995" coordsize="6198,3133" path="m0,7995l6198,11128e" filled="false" stroked="true" strokeweight="1pt" strokecolor="#9b8758">
                <v:path arrowok="t"/>
              </v:shape>
            </v:group>
            <v:group style="position:absolute;left:0;top:8895;width:6976;height:2674" coordorigin="0,8895" coordsize="6976,2674">
              <v:shape style="position:absolute;left:0;top:8895;width:6976;height:2674" coordorigin="0,8895" coordsize="6976,2674" path="m0,8895l6976,11568e" filled="false" stroked="true" strokeweight="1.5pt" strokecolor="#8c8f90">
                <v:path arrowok="t"/>
              </v:shape>
            </v:group>
            <v:group style="position:absolute;left:0;top:8205;width:6569;height:3133" coordorigin="0,8205" coordsize="6569,3133">
              <v:shape style="position:absolute;left:0;top:8205;width:6569;height:3133" coordorigin="0,8205" coordsize="6569,3133" path="m0,8205l6568,11337e" filled="false" stroked="true" strokeweight="1.5pt" strokecolor="#8c8f90">
                <v:path arrowok="t"/>
              </v:shape>
            </v:group>
            <v:group style="position:absolute;left:0;top:8721;width:6918;height:2815" coordorigin="0,8721" coordsize="6918,2815">
              <v:shape style="position:absolute;left:0;top:8721;width:6918;height:2815" coordorigin="0,8721" coordsize="6918,2815" path="m0,8721l6918,11536e" filled="false" stroked="true" strokeweight=".5pt" strokecolor="#9b8758">
                <v:path arrowok="t"/>
              </v:shape>
            </v:group>
            <v:group style="position:absolute;left:0;top:9922;width:7145;height:1742" coordorigin="0,9922" coordsize="7145,1742">
              <v:shape style="position:absolute;left:0;top:9922;width:7145;height:1742" coordorigin="0,9922" coordsize="7145,1742" path="m0,9922l7144,11664e" filled="false" stroked="true" strokeweight=".25pt" strokecolor="#9b8758">
                <v:path arrowok="t"/>
              </v:shape>
            </v:group>
            <v:group style="position:absolute;left:0;top:8579;width:6857;height:2922" coordorigin="0,8579" coordsize="6857,2922">
              <v:shape style="position:absolute;left:0;top:8579;width:6857;height:2922" coordorigin="0,8579" coordsize="6857,2922" path="m0,8579l6856,11501e" filled="false" stroked="true" strokeweight="1pt" strokecolor="#8c8f90">
                <v:path arrowok="t"/>
              </v:shape>
            </v:group>
            <v:group style="position:absolute;left:0;top:9433;width:7087;height:2199" coordorigin="0,9433" coordsize="7087,2199">
              <v:shape style="position:absolute;left:0;top:9433;width:7087;height:2199" coordorigin="0,9433" coordsize="7087,2199" path="m0,9433l7087,11631e" filled="false" stroked="true" strokeweight="1.5pt" strokecolor="#8c8f90">
                <v:path arrowok="t"/>
              </v:shape>
            </v:group>
            <v:group style="position:absolute;left:0;top:10194;width:7167;height:1483" coordorigin="0,10194" coordsize="7167,1483">
              <v:shape style="position:absolute;left:0;top:10194;width:7167;height:1483" coordorigin="0,10194" coordsize="7167,1483" path="m0,10194l7167,11677e" filled="false" stroked="true" strokeweight=".5pt" strokecolor="#9b8758">
                <v:path arrowok="t"/>
              </v:shape>
            </v:group>
            <v:group style="position:absolute;left:0;top:10399;width:7182;height:1286" coordorigin="0,10399" coordsize="7182,1286">
              <v:shape style="position:absolute;left:0;top:10399;width:7182;height:1286" coordorigin="0,10399" coordsize="7182,1286" path="m0,10399l7181,11685e" filled="false" stroked="true" strokeweight="1.0pt" strokecolor="#9b8758">
                <v:path arrowok="t"/>
              </v:shape>
            </v:group>
            <v:group style="position:absolute;left:0;top:10912;width:7210;height:789" coordorigin="0,10912" coordsize="7210,789">
              <v:shape style="position:absolute;left:0;top:10912;width:7210;height:789" coordorigin="0,10912" coordsize="7210,789" path="m7209,11701l0,10912e" filled="false" stroked="true" strokeweight="1pt" strokecolor="#8c8f90">
                <v:path arrowok="t"/>
              </v:shape>
            </v:group>
            <v:group style="position:absolute;left:0;top:11601;width:7236;height:115" coordorigin="0,11601" coordsize="7236,115">
              <v:shape style="position:absolute;left:0;top:11601;width:7236;height:115" coordorigin="0,11601" coordsize="7236,115" path="m7236,11716l0,11601e" filled="false" stroked="true" strokeweight="1.5pt" strokecolor="#8c8f90">
                <v:path arrowok="t"/>
              </v:shape>
            </v:group>
            <v:group style="position:absolute;left:0;top:11397;width:7230;height:315" coordorigin="0,11397" coordsize="7230,315">
              <v:shape style="position:absolute;left:0;top:11397;width:7230;height:315" coordorigin="0,11397" coordsize="7230,315" path="m7229,11712l0,11397e" filled="false" stroked="true" strokeweight="1pt" strokecolor="#9b8758">
                <v:path arrowok="t"/>
              </v:shape>
            </v:group>
            <v:group style="position:absolute;left:0;top:11081;width:7217;height:625" coordorigin="0,11081" coordsize="7217,625">
              <v:shape style="position:absolute;left:0;top:11081;width:7217;height:625" coordorigin="0,11081" coordsize="7217,625" path="m7217,11705l0,11081e" filled="false" stroked="true" strokeweight="1pt" strokecolor="#9b8758">
                <v:path arrowok="t"/>
              </v:shape>
            </v:group>
            <v:group style="position:absolute;left:5962;top:11725;width:1290;height:76" coordorigin="5962,11725" coordsize="1290,76">
              <v:shape style="position:absolute;left:5962;top:11725;width:1290;height:76" coordorigin="5962,11725" coordsize="1290,76" path="m7251,11725l5962,11800e" filled="false" stroked="true" strokeweight="1.5pt" strokecolor="#8c8f90">
                <v:path arrowok="t"/>
              </v:shape>
            </v:group>
            <v:group style="position:absolute;left:0;top:10647;width:7196;height:1047" coordorigin="0,10647" coordsize="7196,1047">
              <v:shape style="position:absolute;left:0;top:10647;width:7196;height:1047" coordorigin="0,10647" coordsize="7196,1047" path="m0,10647l7196,11693e" filled="false" stroked="true" strokeweight=".25pt" strokecolor="#9b8758">
                <v:path arrowok="t"/>
              </v:shape>
            </v:group>
            <v:group style="position:absolute;left:0;top:9740;width:7126;height:1914" coordorigin="0,9740" coordsize="7126,1914">
              <v:shape style="position:absolute;left:0;top:9740;width:7126;height:1914" coordorigin="0,9740" coordsize="7126,1914" path="m0,9740l7126,11654e" filled="false" stroked="true" strokeweight=".5pt" strokecolor="#8c8f90">
                <v:path arrowok="t"/>
              </v:shape>
            </v:group>
            <v:group style="position:absolute;left:6852;top:11744;width:434;height:57" coordorigin="6852,11744" coordsize="434,57">
              <v:shape style="position:absolute;left:6852;top:11744;width:434;height:57" coordorigin="6852,11744" coordsize="434,57" path="m6852,11800l7286,11744e" filled="false" stroked="true" strokeweight="1pt" strokecolor="#9b8758">
                <v:path arrowok="t"/>
              </v:shape>
            </v:group>
            <v:group style="position:absolute;left:0;top:9640;width:7115;height:2007" coordorigin="0,9640" coordsize="7115,2007">
              <v:shape style="position:absolute;left:0;top:9640;width:7115;height:2007" coordorigin="0,9640" coordsize="7115,2007" path="m0,9640l7114,11647e" filled="false" stroked="true" strokeweight="1.5pt" strokecolor="#9b8758">
                <v:path arrowok="t"/>
              </v:shape>
            </v:group>
            <v:group style="position:absolute;left:7300;top:11767;width:27;height:34" coordorigin="7300,11767" coordsize="27,34">
              <v:shape style="position:absolute;left:7300;top:11767;width:27;height:34" coordorigin="7300,11767" coordsize="27,34" path="m7326,11767l7300,11800e" filled="false" stroked="true" strokeweight=".25pt" strokecolor="#8c8f90">
                <v:path arrowok="t"/>
              </v:shape>
            </v:group>
            <v:group style="position:absolute;left:7355;top:11785;width:3;height:16" coordorigin="7355,11785" coordsize="3,16">
              <v:shape style="position:absolute;left:7355;top:11785;width:3;height:16" coordorigin="7355,11785" coordsize="3,16" path="m7355,11800l7357,11785e" filled="false" stroked="true" strokeweight="1.0pt" strokecolor="#9b8758">
                <v:path arrowok="t"/>
              </v:shape>
            </v:group>
            <v:group style="position:absolute;left:7288;top:11765;width:34;height:36" coordorigin="7288,11765" coordsize="34,36">
              <v:shape style="position:absolute;left:7288;top:11765;width:34;height:36" coordorigin="7288,11765" coordsize="34,36" path="m7288,11800l7322,11765e" filled="false" stroked="true" strokeweight="1.5pt" strokecolor="#8c8f90">
                <v:path arrowok="t"/>
              </v:shape>
            </v:group>
            <v:group style="position:absolute;left:7292;top:11765;width:32;height:35" coordorigin="7292,11765" coordsize="32,35">
              <v:shape style="position:absolute;left:7292;top:11765;width:32;height:35" coordorigin="7292,11765" coordsize="32,35" path="m7292,11800l7323,11765e" filled="false" stroked="true" strokeweight="1.0pt" strokecolor="#9b8758">
                <v:path arrowok="t"/>
              </v:shape>
            </v:group>
            <v:group style="position:absolute;left:7313;top:11771;width:20;height:30" coordorigin="7313,11771" coordsize="20,30">
              <v:shape style="position:absolute;left:7313;top:11771;width:20;height:30" coordorigin="7313,11771" coordsize="20,30" path="m7332,11771l7313,11800e" filled="false" stroked="true" strokeweight=".25pt" strokecolor="#9b8758">
                <v:path arrowok="t"/>
              </v:shape>
            </v:group>
            <v:group style="position:absolute;left:7369;top:11791;width:2;height:10" coordorigin="7369,11791" coordsize="2,10">
              <v:shape style="position:absolute;left:7369;top:11791;width:2;height:10" coordorigin="7369,11791" coordsize="1,10" path="m7369,11800l7369,11791e" filled="false" stroked="true" strokeweight="1pt" strokecolor="#9b8758">
                <v:path arrowok="t"/>
              </v:shape>
            </v:group>
            <v:group style="position:absolute;left:7318;top:11772;width:17;height:29" coordorigin="7318,11772" coordsize="17,29">
              <v:shape style="position:absolute;left:7318;top:11772;width:17;height:29" coordorigin="7318,11772" coordsize="17,29" path="m7318,11800l7335,11772e" filled="false" stroked="true" strokeweight="1pt" strokecolor="#9b8758">
                <v:path arrowok="t"/>
              </v:shape>
            </v:group>
            <v:group style="position:absolute;left:7331;top:11776;width:11;height:25" coordorigin="7331,11776" coordsize="11,25">
              <v:shape style="position:absolute;left:7331;top:11776;width:11;height:25" coordorigin="7331,11776" coordsize="11,25" path="m7331,11800l7341,11776e" filled="false" stroked="true" strokeweight="1pt" strokecolor="#9b8758">
                <v:path arrowok="t"/>
              </v:shape>
            </v:group>
            <v:group style="position:absolute;left:7334;top:11777;width:10;height:24" coordorigin="7334,11777" coordsize="10,24">
              <v:shape style="position:absolute;left:7334;top:11777;width:10;height:24" coordorigin="7334,11777" coordsize="10,24" path="m7334,11800l7343,11777e" filled="false" stroked="true" strokeweight="1pt" strokecolor="#8c8f90">
                <v:path arrowok="t"/>
              </v:shape>
            </v:group>
            <v:group style="position:absolute;left:7350;top:11783;width:4;height:18" coordorigin="7350,11783" coordsize="4,18">
              <v:shape style="position:absolute;left:7350;top:11783;width:4;height:18" coordorigin="7350,11783" coordsize="4,18" path="m7350,11800l7354,11783e" filled="false" stroked="true" strokeweight="1pt" strokecolor="#9b8758">
                <v:path arrowok="t"/>
              </v:shape>
            </v:group>
            <v:group style="position:absolute;left:7298;top:11767;width:28;height:34" coordorigin="7298,11767" coordsize="28,34">
              <v:shape style="position:absolute;left:7298;top:11767;width:28;height:34" coordorigin="7298,11767" coordsize="28,34" path="m7298,11800l7326,11767e" filled="false" stroked="true" strokeweight="1.5pt" strokecolor="#9b8758">
                <v:path arrowok="t"/>
              </v:shape>
              <v:shape style="position:absolute;left:2825;top:2931;width:7426;height:8872" type="#_x0000_t75" stroked="false">
                <v:imagedata r:id="rId68" o:title=""/>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7"/>
        <w:spacing w:line="240" w:lineRule="auto" w:before="127"/>
        <w:ind w:left="4374" w:right="4356"/>
        <w:jc w:val="center"/>
        <w:rPr>
          <w:rFonts w:ascii="宋体" w:hAnsi="宋体" w:cs="宋体" w:eastAsia="宋体" w:hint="default"/>
        </w:rPr>
      </w:pPr>
      <w:r>
        <w:rPr>
          <w:rFonts w:ascii="宋体" w:hAnsi="宋体" w:cs="宋体" w:eastAsia="宋体" w:hint="default"/>
        </w:rPr>
        <w:t>李国华</w:t>
      </w:r>
    </w:p>
    <w:p>
      <w:pPr>
        <w:pStyle w:val="BodyText"/>
        <w:spacing w:line="240" w:lineRule="auto" w:before="92"/>
        <w:ind w:left="3247" w:right="4356"/>
        <w:jc w:val="center"/>
        <w:rPr>
          <w:rFonts w:ascii="宋体" w:hAnsi="宋体" w:cs="宋体" w:eastAsia="宋体" w:hint="default"/>
        </w:rPr>
      </w:pPr>
      <w:r>
        <w:rPr>
          <w:rFonts w:ascii="宋体" w:hAnsi="宋体" w:cs="宋体" w:eastAsia="宋体" w:hint="default"/>
        </w:rPr>
        <w:t>董事，总裁兼总法律顾问</w:t>
      </w:r>
    </w:p>
    <w:p>
      <w:pPr>
        <w:spacing w:after="0" w:line="240" w:lineRule="auto"/>
        <w:jc w:val="center"/>
        <w:rPr>
          <w:rFonts w:ascii="宋体" w:hAnsi="宋体" w:cs="宋体" w:eastAsia="宋体" w:hint="default"/>
        </w:rPr>
        <w:sectPr>
          <w:headerReference w:type="default" r:id="rId66"/>
          <w:footerReference w:type="default" r:id="rId67"/>
          <w:pgSz w:w="11910" w:h="16160"/>
          <w:pgMar w:header="0" w:footer="298" w:top="1520" w:bottom="4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5"/>
          <w:szCs w:val="25"/>
        </w:rPr>
      </w:pPr>
    </w:p>
    <w:p>
      <w:pPr>
        <w:pStyle w:val="Heading6"/>
        <w:spacing w:line="384" w:lineRule="exact" w:before="42"/>
        <w:ind w:left="793" w:right="9864"/>
        <w:jc w:val="left"/>
      </w:pPr>
      <w:r>
        <w:rPr/>
        <w:pict>
          <v:group style="position:absolute;margin-left:.000001pt;margin-top:-70.740807pt;width:596.050pt;height:203.4pt;mso-position-horizontal-relative:page;mso-position-vertical-relative:paragraph;z-index:-966928" coordorigin="0,-1415" coordsize="11921,4068">
            <v:group style="position:absolute;left:0;top:1145;width:2660;height:1508" coordorigin="0,1145" coordsize="2660,1508">
              <v:shape style="position:absolute;left:0;top:1145;width:2660;height:1508" coordorigin="0,1145" coordsize="2660,1508" path="m2660,1145l0,1145,0,2652,2660,1145xe" filled="true" fillcolor="#9b8758" stroked="false">
                <v:path arrowok="t"/>
                <v:fill type="solid"/>
              </v:shape>
            </v:group>
            <v:group style="position:absolute;left:2675;top:1136;width:2;height:9" coordorigin="2675,1136" coordsize="2,9">
              <v:shape style="position:absolute;left:2675;top:1136;width:2;height:9" coordorigin="2675,1136" coordsize="1,9" path="m2675,1136l2675,1145e" filled="false" stroked="true" strokeweight="1.5pt" strokecolor="#8c8f90">
                <v:path arrowok="t"/>
              </v:shape>
            </v:group>
            <v:group style="position:absolute;left:2727;top:1107;width:24;height:39" coordorigin="2727,1107" coordsize="24,39">
              <v:shape style="position:absolute;left:2727;top:1107;width:24;height:39" coordorigin="2727,1107" coordsize="24,39" path="m2727,1107l2750,1145e" filled="false" stroked="true" strokeweight=".5pt" strokecolor="#8c8f90">
                <v:path arrowok="t"/>
              </v:shape>
            </v:group>
            <v:group style="position:absolute;left:2715;top:1114;width:13;height:32" coordorigin="2715,1114" coordsize="13,32">
              <v:shape style="position:absolute;left:2715;top:1114;width:13;height:32" coordorigin="2715,1114" coordsize="13,32" path="m2715,1114l2727,1145e" filled="false" stroked="true" strokeweight=".25pt" strokecolor="#9b8758">
                <v:path arrowok="t"/>
              </v:shape>
            </v:group>
            <v:group style="position:absolute;left:2663;top:1143;width:3;height:2" coordorigin="2663,1143" coordsize="3,2">
              <v:shape style="position:absolute;left:2663;top:1143;width:3;height:2" coordorigin="2663,1143" coordsize="3,2" path="m2663,1143l2665,1145e" filled="false" stroked="true" strokeweight="1pt" strokecolor="#8c8f90">
                <v:path arrowok="t"/>
              </v:shape>
            </v:group>
            <v:group style="position:absolute;left:2726;top:1107;width:23;height:38" coordorigin="2726,1107" coordsize="23,38">
              <v:shape style="position:absolute;left:2726;top:1107;width:23;height:38" coordorigin="2726,1107" coordsize="23,38" path="m2726,1107l2748,1145e" filled="false" stroked="true" strokeweight="1.5pt" strokecolor="#9b8758">
                <v:path arrowok="t"/>
              </v:shape>
            </v:group>
            <v:group style="position:absolute;left:2665;top:1142;width:2;height:4" coordorigin="2665,1142" coordsize="2,4">
              <v:shape style="position:absolute;left:2665;top:1142;width:2;height:4" coordorigin="2665,1142" coordsize="1,4" path="m2665,1142l2665,1145e" filled="false" stroked="true" strokeweight=".5pt" strokecolor="#8c8f90">
                <v:path arrowok="t"/>
              </v:shape>
            </v:group>
            <v:group style="position:absolute;left:2660;top:1144;width:2;height:2" coordorigin="2660,1144" coordsize="2,2">
              <v:shape style="position:absolute;left:2660;top:1144;width:2;height:2" coordorigin="2660,1144" coordsize="1,1" path="m2661,1144l2660,1145e" filled="false" stroked="true" strokeweight="1pt" strokecolor="#9b8758">
                <v:path arrowok="t"/>
              </v:shape>
            </v:group>
            <v:group style="position:absolute;left:2673;top:1137;width:2;height:8" coordorigin="2673,1137" coordsize="2,8">
              <v:shape style="position:absolute;left:2673;top:1137;width:2;height:8" coordorigin="2673,1137" coordsize="1,8" path="m2674,1137l2673,1145e" filled="false" stroked="true" strokeweight="1.5pt" strokecolor="#8c8f90">
                <v:path arrowok="t"/>
              </v:shape>
            </v:group>
            <v:group style="position:absolute;left:2680;top:1133;width:2;height:12" coordorigin="2680,1133" coordsize="2,12">
              <v:shape style="position:absolute;left:2680;top:1133;width:2;height:12" coordorigin="2680,1133" coordsize="1,12" path="m2680,1133l2680,1145e" filled="false" stroked="true" strokeweight="1.5pt" strokecolor="#9b8758">
                <v:path arrowok="t"/>
              </v:shape>
              <v:shape style="position:absolute;left:2753;top:1059;width:305;height:101" type="#_x0000_t75" stroked="false">
                <v:imagedata r:id="rId35" o:title=""/>
              </v:shape>
            </v:group>
            <v:group style="position:absolute;left:3491;top:-1400;width:4616;height:2074" coordorigin="3491,-1400" coordsize="4616,2074">
              <v:shape style="position:absolute;left:3491;top:-1400;width:4616;height:2074" coordorigin="3491,-1400" coordsize="4616,2074" path="m8107,-1400l3491,674e" filled="false" stroked="true" strokeweight=".5pt" strokecolor="#9b8758">
                <v:path arrowok="t"/>
              </v:shape>
            </v:group>
            <v:group style="position:absolute;left:3347;top:-1400;width:5088;height:2156" coordorigin="3347,-1400" coordsize="5088,2156">
              <v:shape style="position:absolute;left:3347;top:-1400;width:5088;height:2156" coordorigin="3347,-1400" coordsize="5088,2156" path="m8434,-1400l3347,755e" filled="false" stroked="true" strokeweight=".5pt" strokecolor="#8c8f90">
                <v:path arrowok="t"/>
              </v:shape>
            </v:group>
            <v:group style="position:absolute;left:2971;top:-1139;width:8935;height:2108" coordorigin="2971,-1139" coordsize="8935,2108">
              <v:shape style="position:absolute;left:2971;top:-1139;width:8935;height:2108" coordorigin="2971,-1139" coordsize="8935,2108" path="m11905,-1139l2971,969e" filled="false" stroked="true" strokeweight=".25pt" strokecolor="#8c8f90">
                <v:path arrowok="t"/>
              </v:shape>
            </v:group>
            <v:group style="position:absolute;left:6356;top:-1400;width:833;height:451" coordorigin="6356,-1400" coordsize="833,451">
              <v:shape style="position:absolute;left:6356;top:-1400;width:833;height:451" coordorigin="6356,-1400" coordsize="833,451" path="m7188,-1400l6356,-950e" filled="false" stroked="true" strokeweight="1pt" strokecolor="#8c8f90">
                <v:path arrowok="t"/>
              </v:shape>
            </v:group>
            <v:group style="position:absolute;left:3936;top:-1400;width:3711;height:1822" coordorigin="3936,-1400" coordsize="3711,1822">
              <v:shape style="position:absolute;left:3936;top:-1400;width:3711;height:1822" coordorigin="3936,-1400" coordsize="3711,1822" path="m7646,-1400l3936,422e" filled="false" stroked="true" strokeweight="1.5pt" strokecolor="#8c8f90">
                <v:path arrowok="t"/>
              </v:shape>
            </v:group>
            <v:group style="position:absolute;left:6598;top:-1400;width:616;height:313" coordorigin="6598,-1400" coordsize="616,313">
              <v:shape style="position:absolute;left:6598;top:-1400;width:616;height:313" coordorigin="6598,-1400" coordsize="616,313" path="m7214,-1400l6598,-1087e" filled="false" stroked="true" strokeweight=".5pt" strokecolor="#9b8758">
                <v:path arrowok="t"/>
              </v:shape>
            </v:group>
            <v:group style="position:absolute;left:2905;top:1006;width:6350;height:139" coordorigin="2905,1006" coordsize="6350,139">
              <v:shape style="position:absolute;left:2905;top:1006;width:6350;height:139" coordorigin="2905,1006" coordsize="6350,139" path="m2905,1006l9254,1145e" filled="false" stroked="true" strokeweight=".5pt" strokecolor="#8c8f90">
                <v:path arrowok="t"/>
              </v:shape>
            </v:group>
            <v:group style="position:absolute;left:2864;top:671;width:9042;height:359" coordorigin="2864,671" coordsize="9042,359">
              <v:shape style="position:absolute;left:2864;top:671;width:9042;height:359" coordorigin="2864,671" coordsize="9042,359" path="m2864,1029l11906,671e" filled="false" stroked="true" strokeweight="1.5pt" strokecolor="#8c8f90">
                <v:path arrowok="t"/>
              </v:shape>
            </v:group>
            <v:group style="position:absolute;left:2772;top:1081;width:124;height:64" coordorigin="2772,1081" coordsize="124,64">
              <v:shape style="position:absolute;left:2772;top:1081;width:124;height:64" coordorigin="2772,1081" coordsize="124,64" path="m2772,1081l2895,1145e" filled="false" stroked="true" strokeweight="1pt" strokecolor="#9b8758">
                <v:path arrowok="t"/>
              </v:shape>
            </v:group>
            <v:group style="position:absolute;left:2815;top:1057;width:559;height:89" coordorigin="2815,1057" coordsize="559,89">
              <v:shape style="position:absolute;left:2815;top:1057;width:559;height:89" coordorigin="2815,1057" coordsize="559,89" path="m2815,1057l3374,1145e" filled="false" stroked="true" strokeweight="1pt" strokecolor="#8c8f90">
                <v:path arrowok="t"/>
              </v:shape>
            </v:group>
            <v:group style="position:absolute;left:2799;top:1066;width:311;height:80" coordorigin="2799,1066" coordsize="311,80">
              <v:shape style="position:absolute;left:2799;top:1066;width:311;height:80" coordorigin="2799,1066" coordsize="311,80" path="m2799,1066l3110,1145e" filled="false" stroked="true" strokeweight="1.5pt" strokecolor="#8c8f90">
                <v:path arrowok="t"/>
              </v:shape>
            </v:group>
            <v:group style="position:absolute;left:2809;top:1060;width:442;height:85" coordorigin="2809,1060" coordsize="442,85">
              <v:shape style="position:absolute;left:2809;top:1060;width:442;height:85" coordorigin="2809,1060" coordsize="442,85" path="m2809,1060l3250,1145e" filled="false" stroked="true" strokeweight="1.5pt" strokecolor="#8c8f90">
                <v:path arrowok="t"/>
              </v:shape>
            </v:group>
            <v:group style="position:absolute;left:2978;top:-1211;width:8928;height:2176" coordorigin="2978,-1211" coordsize="8928,2176">
              <v:shape style="position:absolute;left:2978;top:-1211;width:8928;height:2176" coordorigin="2978,-1211" coordsize="8928,2176" path="m2978,965l11906,-1211e" filled="false" stroked="true" strokeweight="1pt" strokecolor="#8c8f90">
                <v:path arrowok="t"/>
              </v:shape>
            </v:group>
            <v:group style="position:absolute;left:2905;top:-236;width:9001;height:1242" coordorigin="2905,-236" coordsize="9001,1242">
              <v:shape style="position:absolute;left:2905;top:-236;width:9001;height:1242" coordorigin="2905,-236" coordsize="9001,1242" path="m2905,1006l11906,-236e" filled="false" stroked="true" strokeweight="1.5pt" strokecolor="#8c8f90">
                <v:path arrowok="t"/>
              </v:shape>
            </v:group>
            <v:group style="position:absolute;left:2730;top:1105;width:86;height:40" coordorigin="2730,1105" coordsize="86,40">
              <v:shape style="position:absolute;left:2730;top:1105;width:86;height:40" coordorigin="2730,1105" coordsize="86,40" path="m2816,1145l2730,1105e" filled="false" stroked="true" strokeweight=".5pt" strokecolor="#9b8758">
                <v:path arrowok="t"/>
              </v:shape>
            </v:group>
            <v:group style="position:absolute;left:2783;top:1075;width:179;height:70" coordorigin="2783,1075" coordsize="179,70">
              <v:shape style="position:absolute;left:2783;top:1075;width:179;height:70" coordorigin="2783,1075" coordsize="179,70" path="m2961,1145l2783,1075e" filled="false" stroked="true" strokeweight=".5pt" strokecolor="#9b8758">
                <v:path arrowok="t"/>
              </v:shape>
            </v:group>
            <v:group style="position:absolute;left:2764;top:1086;width:97;height:60" coordorigin="2764,1086" coordsize="97,60">
              <v:shape style="position:absolute;left:2764;top:1086;width:97;height:60" coordorigin="2764,1086" coordsize="97,60" path="m2861,1145l2764,1086e" filled="false" stroked="true" strokeweight=".25pt" strokecolor="#8c8f90">
                <v:path arrowok="t"/>
              </v:shape>
            </v:group>
            <v:group style="position:absolute;left:2758;top:1089;width:78;height:56" coordorigin="2758,1089" coordsize="78,56">
              <v:shape style="position:absolute;left:2758;top:1089;width:78;height:56" coordorigin="2758,1089" coordsize="78,56" path="m2835,1145l2758,1089e" filled="false" stroked="true" strokeweight=".25pt" strokecolor="#8c8f90">
                <v:path arrowok="t"/>
              </v:shape>
            </v:group>
            <v:group style="position:absolute;left:2759;top:1089;width:81;height:57" coordorigin="2759,1089" coordsize="81,57">
              <v:shape style="position:absolute;left:2759;top:1089;width:81;height:57" coordorigin="2759,1089" coordsize="81,57" path="m2759,1089l2839,1145e" filled="false" stroked="true" strokeweight="1pt" strokecolor="#9b8758">
                <v:path arrowok="t"/>
              </v:shape>
            </v:group>
            <v:group style="position:absolute;left:2748;top:1095;width:56;height:51" coordorigin="2748,1095" coordsize="56,51">
              <v:shape style="position:absolute;left:2748;top:1095;width:56;height:51" coordorigin="2748,1095" coordsize="56,51" path="m2748,1095l2804,1145e" filled="false" stroked="true" strokeweight="1.5pt" strokecolor="#8c8f90">
                <v:path arrowok="t"/>
              </v:shape>
            </v:group>
            <v:group style="position:absolute;left:2716;top:1113;width:14;height:33" coordorigin="2716,1113" coordsize="14,33">
              <v:shape style="position:absolute;left:2716;top:1113;width:14;height:33" coordorigin="2716,1113" coordsize="14,33" path="m2716,1113l2730,1145e" filled="false" stroked="true" strokeweight="1.5pt" strokecolor="#9b8758">
                <v:path arrowok="t"/>
              </v:shape>
            </v:group>
            <v:group style="position:absolute;left:2728;top:1106;width:25;height:39" coordorigin="2728,1106" coordsize="25,39">
              <v:shape style="position:absolute;left:2728;top:1106;width:25;height:39" coordorigin="2728,1106" coordsize="25,39" path="m2728,1106l2753,1145e" filled="false" stroked="true" strokeweight="1pt" strokecolor="#9b8758">
                <v:path arrowok="t"/>
              </v:shape>
            </v:group>
            <v:group style="position:absolute;left:2721;top:1110;width:18;height:35" coordorigin="2721,1110" coordsize="18,35">
              <v:shape style="position:absolute;left:2721;top:1110;width:18;height:35" coordorigin="2721,1110" coordsize="18,35" path="m2721,1110l2738,1145e" filled="false" stroked="true" strokeweight="1.5pt" strokecolor="#8c8f90">
                <v:path arrowok="t"/>
              </v:shape>
            </v:group>
            <v:group style="position:absolute;left:2753;top:1092;width:66;height:53" coordorigin="2753,1092" coordsize="66,53">
              <v:shape style="position:absolute;left:2753;top:1092;width:66;height:53" coordorigin="2753,1092" coordsize="66,53" path="m2753,1092l2818,1145e" filled="false" stroked="true" strokeweight="1pt" strokecolor="#9b8758">
                <v:path arrowok="t"/>
              </v:shape>
            </v:group>
            <v:group style="position:absolute;left:2761;top:1087;width:88;height:58" coordorigin="2761,1087" coordsize="88,58">
              <v:shape style="position:absolute;left:2761;top:1087;width:88;height:58" coordorigin="2761,1087" coordsize="88,58" path="m2761,1087l2849,1145e" filled="false" stroked="true" strokeweight="1pt" strokecolor="#9b8758">
                <v:path arrowok="t"/>
              </v:shape>
            </v:group>
            <v:group style="position:absolute;left:2745;top:1097;width:49;height:49" coordorigin="2745,1097" coordsize="49,49">
              <v:shape style="position:absolute;left:2745;top:1097;width:49;height:49" coordorigin="2745,1097" coordsize="49,49" path="m2745,1097l2793,1145e" filled="false" stroked="true" strokeweight="1.5pt" strokecolor="#9b8758">
                <v:path arrowok="t"/>
              </v:shape>
            </v:group>
            <v:group style="position:absolute;left:2766;top:1085;width:102;height:61" coordorigin="2766,1085" coordsize="102,61">
              <v:shape style="position:absolute;left:2766;top:1085;width:102;height:61" coordorigin="2766,1085" coordsize="102,61" path="m2766,1085l2868,1145e" filled="false" stroked="true" strokeweight="1pt" strokecolor="#9b8758">
                <v:path arrowok="t"/>
              </v:shape>
            </v:group>
            <v:group style="position:absolute;left:2743;top:1098;width:46;height:48" coordorigin="2743,1098" coordsize="46,48">
              <v:shape style="position:absolute;left:2743;top:1098;width:46;height:48" coordorigin="2743,1098" coordsize="46,48" path="m2743,1098l2788,1145e" filled="false" stroked="true" strokeweight="1pt" strokecolor="#8c8f90">
                <v:path arrowok="t"/>
              </v:shape>
            </v:group>
            <v:group style="position:absolute;left:2747;top:1095;width:54;height:50" coordorigin="2747,1095" coordsize="54,50">
              <v:shape style="position:absolute;left:2747;top:1095;width:54;height:50" coordorigin="2747,1095" coordsize="54,50" path="m2747,1095l2801,1145e" filled="false" stroked="true" strokeweight="1pt" strokecolor="#8c8f90">
                <v:path arrowok="t"/>
              </v:shape>
            </v:group>
            <v:group style="position:absolute;left:2796;top:1068;width:275;height:78" coordorigin="2796,1068" coordsize="275,78">
              <v:shape style="position:absolute;left:2796;top:1068;width:275;height:78" coordorigin="2796,1068" coordsize="275,78" path="m2796,1068l3070,1145e" filled="false" stroked="true" strokeweight=".5pt" strokecolor="#9b8758">
                <v:path arrowok="t"/>
              </v:shape>
            </v:group>
            <v:group style="position:absolute;left:2756;top:1090;width:74;height:55" coordorigin="2756,1090" coordsize="74,55">
              <v:shape style="position:absolute;left:2756;top:1090;width:74;height:55" coordorigin="2756,1090" coordsize="74,55" path="m2756,1090l2830,1145e" filled="false" stroked="true" strokeweight="1.5pt" strokecolor="#9b8758">
                <v:path arrowok="t"/>
              </v:shape>
            </v:group>
            <v:group style="position:absolute;left:2678;top:1138;width:10;height:2" coordorigin="2678,1138" coordsize="10,2">
              <v:shape style="position:absolute;left:2678;top:1138;width:10;height:2" coordorigin="2678,1138" coordsize="10,0" path="m2678,1138l2688,1138e" filled="false" stroked="true" strokeweight=".669609pt" strokecolor="#9b8758">
                <v:path arrowok="t"/>
              </v:shape>
            </v:group>
            <v:group style="position:absolute;left:2666;top:1141;width:2;height:4" coordorigin="2666,1141" coordsize="2,4">
              <v:shape style="position:absolute;left:2666;top:1141;width:2;height:4" coordorigin="2666,1141" coordsize="1,4" path="m2666,1145l2667,1141e" filled="false" stroked="true" strokeweight=".25pt" strokecolor="#9b8758">
                <v:path arrowok="t"/>
              </v:shape>
            </v:group>
            <v:group style="position:absolute;left:2667;top:1140;width:2;height:5" coordorigin="2667,1140" coordsize="2,5">
              <v:shape style="position:absolute;left:2667;top:1140;width:2;height:5" coordorigin="2667,1140" coordsize="1,5" path="m2668,1140l2667,1145e" filled="false" stroked="true" strokeweight="1pt" strokecolor="#9b8758">
                <v:path arrowok="t"/>
              </v:shape>
            </v:group>
            <v:group style="position:absolute;left:2718;top:1112;width:15;height:33" coordorigin="2718,1112" coordsize="15,33">
              <v:shape style="position:absolute;left:2718;top:1112;width:15;height:33" coordorigin="2718,1112" coordsize="15,33" path="m2718,1112l2733,1145e" filled="false" stroked="true" strokeweight=".5pt" strokecolor="#8c8f90">
                <v:path arrowok="t"/>
              </v:shape>
            </v:group>
            <v:group style="position:absolute;left:2713;top:1115;width:12;height:31" coordorigin="2713,1115" coordsize="12,31">
              <v:shape style="position:absolute;left:2713;top:1115;width:12;height:31" coordorigin="2713,1115" coordsize="12,31" path="m2713,1115l2725,1145e" filled="false" stroked="true" strokeweight=".5pt" strokecolor="#9b8758">
                <v:path arrowok="t"/>
              </v:shape>
            </v:group>
            <v:group style="position:absolute;left:2739;top:1100;width:40;height:46" coordorigin="2739,1100" coordsize="40,46">
              <v:shape style="position:absolute;left:2739;top:1100;width:40;height:46" coordorigin="2739,1100" coordsize="40,46" path="m2739,1100l2779,1145e" filled="false" stroked="true" strokeweight=".25pt" strokecolor="#8c8f90">
                <v:path arrowok="t"/>
              </v:shape>
            </v:group>
            <v:group style="position:absolute;left:2699;top:1122;width:5;height:23" coordorigin="2699,1122" coordsize="5,23">
              <v:shape style="position:absolute;left:2699;top:1122;width:5;height:23" coordorigin="2699,1122" coordsize="5,23" path="m2699,1122l2704,1145e" filled="false" stroked="true" strokeweight="1.0pt" strokecolor="#9b8758">
                <v:path arrowok="t"/>
              </v:shape>
            </v:group>
            <v:group style="position:absolute;left:2719;top:1111;width:16;height:34" coordorigin="2719,1111" coordsize="16,34">
              <v:shape style="position:absolute;left:2719;top:1111;width:16;height:34" coordorigin="2719,1111" coordsize="16,34" path="m2719,1111l2735,1145e" filled="false" stroked="true" strokeweight="1pt" strokecolor="#9b8758">
                <v:path arrowok="t"/>
              </v:shape>
            </v:group>
            <v:group style="position:absolute;left:2696;top:1124;width:3;height:21" coordorigin="2696,1124" coordsize="3,21">
              <v:shape style="position:absolute;left:2696;top:1124;width:3;height:21" coordorigin="2696,1124" coordsize="3,21" path="m2696,1124l2699,1145e" filled="false" stroked="true" strokeweight="1.5pt" strokecolor="#8c8f90">
                <v:path arrowok="t"/>
              </v:shape>
            </v:group>
            <v:group style="position:absolute;left:2712;top:1116;width:11;height:30" coordorigin="2712,1116" coordsize="11,30">
              <v:shape style="position:absolute;left:2712;top:1116;width:11;height:30" coordorigin="2712,1116" coordsize="11,30" path="m2712,1116l2722,1145e" filled="false" stroked="true" strokeweight="1.5pt" strokecolor="#9b8758">
                <v:path arrowok="t"/>
              </v:shape>
            </v:group>
            <v:group style="position:absolute;left:2705;top:1119;width:7;height:26" coordorigin="2705,1119" coordsize="7,26">
              <v:shape style="position:absolute;left:2705;top:1119;width:7;height:26" coordorigin="2705,1119" coordsize="7,26" path="m2705,1119l2712,1145e" filled="false" stroked="true" strokeweight=".5pt" strokecolor="#9b8758">
                <v:path arrowok="t"/>
              </v:shape>
            </v:group>
            <v:group style="position:absolute;left:2690;top:1128;width:2;height:17" coordorigin="2690,1128" coordsize="2,17">
              <v:shape style="position:absolute;left:2690;top:1128;width:2;height:17" coordorigin="2690,1128" coordsize="2,17" path="m2690,1128l2691,1145e" filled="false" stroked="true" strokeweight=".25pt" strokecolor="#8c8f90">
                <v:path arrowok="t"/>
              </v:shape>
            </v:group>
            <v:group style="position:absolute;left:2702;top:1121;width:6;height:25" coordorigin="2702,1121" coordsize="6,25">
              <v:shape style="position:absolute;left:2702;top:1121;width:6;height:25" coordorigin="2702,1121" coordsize="6,25" path="m2702,1121l2707,1145e" filled="false" stroked="true" strokeweight="1pt" strokecolor="#8c8f90">
                <v:path arrowok="t"/>
              </v:shape>
            </v:group>
            <v:group style="position:absolute;left:2709;top:1117;width:9;height:28" coordorigin="2709,1117" coordsize="9,28">
              <v:shape style="position:absolute;left:2709;top:1117;width:9;height:28" coordorigin="2709,1117" coordsize="9,28" path="m2709,1117l2718,1145e" filled="false" stroked="true" strokeweight="1.5pt" strokecolor="#9b8758">
                <v:path arrowok="t"/>
              </v:shape>
            </v:group>
            <v:group style="position:absolute;left:3143;top:-1400;width:6306;height:2271" coordorigin="3143,-1400" coordsize="6306,2271">
              <v:shape style="position:absolute;left:3143;top:-1400;width:6306;height:2271" coordorigin="3143,-1400" coordsize="6306,2271" path="m9449,-1400l3143,871e" filled="false" stroked="true" strokeweight=".25pt" strokecolor="#8c8f90">
                <v:path arrowok="t"/>
              </v:shape>
            </v:group>
            <v:group style="position:absolute;left:3291;top:-1400;width:8284;height:2187" coordorigin="3291,-1400" coordsize="8284,2187">
              <v:shape style="position:absolute;left:3291;top:-1400;width:8284;height:2187" coordorigin="3291,-1400" coordsize="8284,2187" path="m11575,-1400l3291,787e" filled="false" stroked="true" strokeweight=".25pt" strokecolor="#8c8f90">
                <v:path arrowok="t"/>
              </v:shape>
            </v:group>
            <v:group style="position:absolute;left:3265;top:-1400;width:5459;height:2202" coordorigin="3265,-1400" coordsize="5459,2202">
              <v:shape style="position:absolute;left:3265;top:-1400;width:5459;height:2202" coordorigin="3265,-1400" coordsize="5459,2202" path="m8723,-1400l3265,802e" filled="false" stroked="true" strokeweight="1.0pt" strokecolor="#9b8758">
                <v:path arrowok="t"/>
              </v:shape>
            </v:group>
            <v:group style="position:absolute;left:3026;top:-1400;width:8085;height:2338" coordorigin="3026,-1400" coordsize="8085,2338">
              <v:shape style="position:absolute;left:3026;top:-1400;width:8085;height:2338" coordorigin="3026,-1400" coordsize="8085,2338" path="m11110,-1400l3026,938e" filled="false" stroked="true" strokeweight="1.5pt" strokecolor="#8c8f90">
                <v:path arrowok="t"/>
              </v:shape>
            </v:group>
            <v:group style="position:absolute;left:3184;top:-1400;width:5963;height:2248" coordorigin="3184,-1400" coordsize="5963,2248">
              <v:shape style="position:absolute;left:3184;top:-1400;width:5963;height:2248" coordorigin="3184,-1400" coordsize="5963,2248" path="m9146,-1400l3184,848e" filled="false" stroked="true" strokeweight="1.5pt" strokecolor="#8c8f90">
                <v:path arrowok="t"/>
              </v:shape>
            </v:group>
            <v:group style="position:absolute;left:3055;top:-1400;width:7451;height:2321" coordorigin="3055,-1400" coordsize="7451,2321">
              <v:shape style="position:absolute;left:3055;top:-1400;width:7451;height:2321" coordorigin="3055,-1400" coordsize="7451,2321" path="m10506,-1400l3055,921e" filled="false" stroked="true" strokeweight=".5pt" strokecolor="#9b8758">
                <v:path arrowok="t"/>
              </v:shape>
            </v:group>
            <v:group style="position:absolute;left:2915;top:-401;width:8991;height:1402" coordorigin="2915,-401" coordsize="8991,1402">
              <v:shape style="position:absolute;left:2915;top:-401;width:8991;height:1402" coordorigin="2915,-401" coordsize="8991,1402" path="m11906,-401l2915,1000e" filled="false" stroked="true" strokeweight=".25pt" strokecolor="#9b8758">
                <v:path arrowok="t"/>
              </v:shape>
            </v:group>
            <v:group style="position:absolute;left:3084;top:-1400;width:6993;height:2305" coordorigin="3084,-1400" coordsize="6993,2305">
              <v:shape style="position:absolute;left:3084;top:-1400;width:6993;height:2305" coordorigin="3084,-1400" coordsize="6993,2305" path="m10076,-1400l3084,904e" filled="false" stroked="true" strokeweight="1pt" strokecolor="#8c8f90">
                <v:path arrowok="t"/>
              </v:shape>
            </v:group>
            <v:group style="position:absolute;left:2957;top:-990;width:8949;height:1967" coordorigin="2957,-990" coordsize="8949,1967">
              <v:shape style="position:absolute;left:2957;top:-990;width:8949;height:1967" coordorigin="2957,-990" coordsize="8949,1967" path="m11906,-990l2957,976e" filled="false" stroked="true" strokeweight="1.5pt" strokecolor="#8c8f90">
                <v:path arrowok="t"/>
              </v:shape>
            </v:group>
            <v:group style="position:absolute;left:2896;top:-71;width:9010;height:1083" coordorigin="2896,-71" coordsize="9010,1083">
              <v:shape style="position:absolute;left:2896;top:-71;width:9010;height:1083" coordorigin="2896,-71" coordsize="9010,1083" path="m11906,-71l2896,1011e" filled="false" stroked="true" strokeweight=".5pt" strokecolor="#9b8758">
                <v:path arrowok="t"/>
              </v:shape>
            </v:group>
            <v:group style="position:absolute;left:2884;top:180;width:9022;height:839" coordorigin="2884,180" coordsize="9022,839">
              <v:shape style="position:absolute;left:2884;top:180;width:9022;height:839" coordorigin="2884,180" coordsize="9022,839" path="m11905,180l2884,1018e" filled="false" stroked="true" strokeweight="1pt" strokecolor="#9b8758">
                <v:path arrowok="t"/>
              </v:shape>
            </v:group>
            <v:group style="position:absolute;left:2859;top:811;width:9047;height:222" coordorigin="2859,811" coordsize="9047,222">
              <v:shape style="position:absolute;left:2859;top:811;width:9047;height:222" coordorigin="2859,811" coordsize="9047,222" path="m2859,1032l11905,811e" filled="false" stroked="true" strokeweight="1pt" strokecolor="#8c8f90">
                <v:path arrowok="t"/>
              </v:shape>
            </v:group>
            <v:group style="position:absolute;left:2833;top:1047;width:1430;height:99" coordorigin="2833,1047" coordsize="1430,99">
              <v:shape style="position:absolute;left:2833;top:1047;width:1430;height:99" coordorigin="2833,1047" coordsize="1430,99" path="m2833,1047l4263,1145e" filled="false" stroked="true" strokeweight="1.5pt" strokecolor="#8c8f90">
                <v:path arrowok="t"/>
              </v:shape>
            </v:group>
            <v:group style="position:absolute;left:2840;top:1043;width:2491;height:103" coordorigin="2840,1043" coordsize="2491,103">
              <v:shape style="position:absolute;left:2840;top:1043;width:2491;height:103" coordorigin="2840,1043" coordsize="2491,103" path="m2840,1043l5331,1145e" filled="false" stroked="true" strokeweight="1.0pt" strokecolor="#9b8758">
                <v:path arrowok="t"/>
              </v:shape>
            </v:group>
            <v:group style="position:absolute;left:2852;top:1020;width:9054;height:17" coordorigin="2852,1020" coordsize="9054,17">
              <v:shape style="position:absolute;left:2852;top:1020;width:9054;height:17" coordorigin="2852,1020" coordsize="9054,17" path="m2852,1036l11906,1020e" filled="false" stroked="true" strokeweight="1pt" strokecolor="#9b8758">
                <v:path arrowok="t"/>
              </v:shape>
            </v:group>
            <v:group style="position:absolute;left:2817;top:1056;width:621;height:90" coordorigin="2817,1056" coordsize="621,90">
              <v:shape style="position:absolute;left:2817;top:1056;width:621;height:90" coordorigin="2817,1056" coordsize="621,90" path="m2817,1056l3438,1145e" filled="false" stroked="true" strokeweight="1.5pt" strokecolor="#8c8f90">
                <v:path arrowok="t"/>
              </v:shape>
            </v:group>
            <v:group style="position:absolute;left:2871;top:483;width:9035;height:542" coordorigin="2871,483" coordsize="9035,542">
              <v:shape style="position:absolute;left:2871;top:483;width:9035;height:542" coordorigin="2871,483" coordsize="9035,542" path="m11905,483l2871,1025e" filled="false" stroked="true" strokeweight=".25pt" strokecolor="#9b8758">
                <v:path arrowok="t"/>
              </v:shape>
            </v:group>
            <v:group style="position:absolute;left:2929;top:-621;width:8977;height:1614" coordorigin="2929,-621" coordsize="8977,1614">
              <v:shape style="position:absolute;left:2929;top:-621;width:8977;height:1614" coordorigin="2929,-621" coordsize="8977,1614" path="m11906,-621l2929,992e" filled="false" stroked="true" strokeweight=".5pt" strokecolor="#8c8f90">
                <v:path arrowok="t"/>
              </v:shape>
            </v:group>
            <v:group style="position:absolute;left:2778;top:1078;width:311;height:68" coordorigin="2778,1078" coordsize="311,68">
              <v:shape style="position:absolute;left:2778;top:1078;width:311;height:68" coordorigin="2778,1078" coordsize="311,68" path="m3088,1145l2778,1078e" filled="false" stroked="true" strokeweight="1.0pt" strokecolor="#9b8758">
                <v:path arrowok="t"/>
              </v:shape>
            </v:group>
            <v:group style="position:absolute;left:2938;top:-742;width:8968;height:1730" coordorigin="2938,-742" coordsize="8968,1730">
              <v:shape style="position:absolute;left:2938;top:-742;width:8968;height:1730" coordorigin="2938,-742" coordsize="8968,1730" path="m11906,-742l2938,987e" filled="false" stroked="true" strokeweight="1.5pt" strokecolor="#9b8758">
                <v:path arrowok="t"/>
              </v:shape>
            </v:group>
            <v:group style="position:absolute;left:2730;top:1105;width:28;height:41" coordorigin="2730,1105" coordsize="28,41">
              <v:shape style="position:absolute;left:2730;top:1105;width:28;height:41" coordorigin="2730,1105" coordsize="28,41" path="m2730,1105l2757,1145e" filled="false" stroked="true" strokeweight=".25pt" strokecolor="#8c8f90">
                <v:path arrowok="t"/>
              </v:shape>
            </v:group>
            <v:group style="position:absolute;left:2688;top:1129;width:2;height:17" coordorigin="2688,1129" coordsize="2,17">
              <v:shape style="position:absolute;left:2688;top:1129;width:2;height:17" coordorigin="2688,1129" coordsize="1,17" path="m2689,1145l2688,1129e" filled="false" stroked="true" strokeweight="1pt" strokecolor="#9b8758">
                <v:path arrowok="t"/>
              </v:shape>
            </v:group>
            <v:group style="position:absolute;left:2736;top:1102;width:35;height:44" coordorigin="2736,1102" coordsize="35,44">
              <v:shape style="position:absolute;left:2736;top:1102;width:35;height:44" coordorigin="2736,1102" coordsize="35,44" path="m2771,1145l2736,1102e" filled="false" stroked="true" strokeweight="1.5pt" strokecolor="#8c8f90">
                <v:path arrowok="t"/>
              </v:shape>
            </v:group>
            <v:group style="position:absolute;left:2734;top:1103;width:33;height:43" coordorigin="2734,1103" coordsize="33,43">
              <v:shape style="position:absolute;left:2734;top:1103;width:33;height:43" coordorigin="2734,1103" coordsize="33,43" path="m2767,1145l2734,1103e" filled="false" stroked="true" strokeweight="1pt" strokecolor="#9b8758">
                <v:path arrowok="t"/>
              </v:shape>
            </v:group>
            <v:group style="position:absolute;left:2722;top:1109;width:19;height:36" coordorigin="2722,1109" coordsize="19,36">
              <v:shape style="position:absolute;left:2722;top:1109;width:19;height:36" coordorigin="2722,1109" coordsize="19,36" path="m2722,1109l2741,1145e" filled="false" stroked="true" strokeweight=".25pt" strokecolor="#9b8758">
                <v:path arrowok="t"/>
              </v:shape>
            </v:group>
            <v:group style="position:absolute;left:2671;top:1138;width:2;height:7" coordorigin="2671,1138" coordsize="2,7">
              <v:shape style="position:absolute;left:2671;top:1138;width:2;height:7" coordorigin="2671,1138" coordsize="1,7" path="m2671,1145l2671,1138e" filled="false" stroked="true" strokeweight="1pt" strokecolor="#9b8758">
                <v:path arrowok="t"/>
              </v:shape>
            </v:group>
            <v:group style="position:absolute;left:2720;top:1111;width:17;height:34" coordorigin="2720,1111" coordsize="17,34">
              <v:shape style="position:absolute;left:2720;top:1111;width:17;height:34" coordorigin="2720,1111" coordsize="17,34" path="m2736,1145l2720,1111e" filled="false" stroked="true" strokeweight="1pt" strokecolor="#9b8758">
                <v:path arrowok="t"/>
              </v:shape>
            </v:group>
            <v:group style="position:absolute;left:2710;top:1116;width:10;height:29" coordorigin="2710,1116" coordsize="10,29">
              <v:shape style="position:absolute;left:2710;top:1116;width:10;height:29" coordorigin="2710,1116" coordsize="10,29" path="m2720,1145l2710,1116e" filled="false" stroked="true" strokeweight="1.0pt" strokecolor="#9b8758">
                <v:path arrowok="t"/>
              </v:shape>
            </v:group>
            <v:group style="position:absolute;left:2708;top:1118;width:9;height:28" coordorigin="2708,1118" coordsize="9,28">
              <v:shape style="position:absolute;left:2708;top:1118;width:9;height:28" coordorigin="2708,1118" coordsize="9,28" path="m2716,1145l2708,1118e" filled="false" stroked="true" strokeweight="1pt" strokecolor="#8c8f90">
                <v:path arrowok="t"/>
              </v:shape>
            </v:group>
            <v:group style="position:absolute;left:2693;top:1126;width:3;height:20" coordorigin="2693,1126" coordsize="3,20">
              <v:shape style="position:absolute;left:2693;top:1126;width:3;height:20" coordorigin="2693,1126" coordsize="3,20" path="m2696,1145l2693,1126e" filled="false" stroked="true" strokeweight="1pt" strokecolor="#9b8758">
                <v:path arrowok="t"/>
              </v:shape>
            </v:group>
            <v:group style="position:absolute;left:2731;top:1105;width:28;height:41" coordorigin="2731,1105" coordsize="28,41">
              <v:shape style="position:absolute;left:2731;top:1105;width:28;height:41" coordorigin="2731,1105" coordsize="28,41" path="m2759,1145l2731,1105e" filled="false" stroked="true" strokeweight="1.5pt" strokecolor="#9b8758">
                <v:path arrowok="t"/>
              </v:shape>
            </v:group>
            <w10:wrap type="none"/>
          </v:group>
        </w:pict>
      </w:r>
      <w:r>
        <w:rPr>
          <w:color w:val="D7000F"/>
          <w:spacing w:val="-13"/>
        </w:rPr>
        <w:t>公司 业务概要</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2"/>
          <w:szCs w:val="12"/>
        </w:rPr>
      </w:pPr>
    </w:p>
    <w:p>
      <w:pPr>
        <w:pStyle w:val="BodyText"/>
        <w:spacing w:line="240" w:lineRule="auto"/>
        <w:ind w:left="2834" w:right="764"/>
        <w:jc w:val="left"/>
        <w:rPr>
          <w:rFonts w:ascii="宋体" w:hAnsi="宋体" w:cs="宋体" w:eastAsia="宋体" w:hint="default"/>
        </w:rPr>
      </w:pPr>
      <w:r>
        <w:rPr>
          <w:rFonts w:ascii="宋体" w:hAnsi="宋体" w:cs="宋体" w:eastAsia="宋体" w:hint="default"/>
          <w:color w:val="D7000F"/>
        </w:rPr>
        <w:t>一、报告期内公司所从事的主要业务、经营模式及行业情况说明</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3174" w:right="1407"/>
        <w:jc w:val="both"/>
        <w:rPr>
          <w:rFonts w:ascii="宋体" w:hAnsi="宋体" w:cs="宋体" w:eastAsia="宋体" w:hint="default"/>
        </w:rPr>
      </w:pPr>
      <w:r>
        <w:rPr>
          <w:rFonts w:ascii="宋体" w:hAnsi="宋体" w:cs="宋体" w:eastAsia="宋体" w:hint="default"/>
          <w:spacing w:val="2"/>
        </w:rPr>
        <w:t>本公司是经国务院批准设立的控股公司，经营范围为电信业的投资。本公司仅限于通过联通</w:t>
      </w:r>
      <w:r>
        <w:rPr>
          <w:rFonts w:ascii="宋体" w:hAnsi="宋体" w:cs="宋体" w:eastAsia="宋体" w:hint="default"/>
          <w:spacing w:val="-57"/>
        </w:rPr>
        <w:t> </w:t>
      </w:r>
      <w:r>
        <w:rPr>
          <w:rFonts w:ascii="宋体" w:hAnsi="宋体" w:cs="宋体" w:eastAsia="宋体" w:hint="default"/>
          <w:spacing w:val="-57"/>
        </w:rPr>
      </w:r>
      <w:r>
        <w:rPr>
          <w:rFonts w:ascii="宋体" w:hAnsi="宋体" w:cs="宋体" w:eastAsia="宋体" w:hint="default"/>
        </w:rPr>
        <w:t>BVI</w:t>
      </w:r>
      <w:r>
        <w:rPr>
          <w:rFonts w:ascii="宋体" w:hAnsi="宋体" w:cs="宋体" w:eastAsia="宋体" w:hint="default"/>
          <w:spacing w:val="-36"/>
        </w:rPr>
        <w:t> </w:t>
      </w:r>
      <w:r>
        <w:rPr>
          <w:rFonts w:ascii="宋体" w:hAnsi="宋体" w:cs="宋体" w:eastAsia="宋体" w:hint="default"/>
        </w:rPr>
        <w:t>公司持有联通红筹公司的股权，并保持对联通红筹公司的实际控制权。</w:t>
      </w:r>
    </w:p>
    <w:p>
      <w:pPr>
        <w:pStyle w:val="BodyText"/>
        <w:spacing w:line="240" w:lineRule="auto" w:before="123"/>
        <w:ind w:left="3174" w:right="0"/>
        <w:jc w:val="both"/>
        <w:rPr>
          <w:rFonts w:ascii="宋体" w:hAnsi="宋体" w:cs="宋体" w:eastAsia="宋体" w:hint="default"/>
        </w:rPr>
      </w:pPr>
      <w:r>
        <w:rPr>
          <w:rFonts w:ascii="宋体" w:hAnsi="宋体" w:cs="宋体" w:eastAsia="宋体" w:hint="default"/>
          <w:spacing w:val="6"/>
        </w:rPr>
        <w:t>本公司通过联通红筹公司及其所属子公司面向全国提供全方位的电信服务，包括移动宽带</w:t>
      </w:r>
      <w:r>
        <w:rPr>
          <w:rFonts w:ascii="宋体" w:hAnsi="宋体" w:cs="宋体" w:eastAsia="宋体" w:hint="default"/>
        </w:rPr>
      </w:r>
    </w:p>
    <w:p>
      <w:pPr>
        <w:pStyle w:val="BodyText"/>
        <w:spacing w:line="285" w:lineRule="auto" w:before="44"/>
        <w:ind w:left="3174" w:right="1415"/>
        <w:jc w:val="both"/>
        <w:rPr>
          <w:rFonts w:ascii="宋体" w:hAnsi="宋体" w:cs="宋体" w:eastAsia="宋体" w:hint="default"/>
        </w:rPr>
      </w:pPr>
      <w:r>
        <w:rPr>
          <w:rFonts w:ascii="宋体" w:hAnsi="宋体" w:cs="宋体" w:eastAsia="宋体" w:hint="default"/>
          <w:spacing w:val="-1"/>
          <w:w w:val="110"/>
        </w:rPr>
        <w:t>（WCDMA、LTE</w:t>
      </w:r>
      <w:r>
        <w:rPr>
          <w:rFonts w:ascii="宋体" w:hAnsi="宋体" w:cs="宋体" w:eastAsia="宋体" w:hint="default"/>
          <w:spacing w:val="-35"/>
          <w:w w:val="110"/>
        </w:rPr>
        <w:t> </w:t>
      </w:r>
      <w:r>
        <w:rPr>
          <w:rFonts w:ascii="宋体" w:hAnsi="宋体" w:cs="宋体" w:eastAsia="宋体" w:hint="default"/>
          <w:spacing w:val="-2"/>
          <w:w w:val="110"/>
        </w:rPr>
        <w:t>FDD、TD-LTE）、固网宽带、GSM、固网本地电话、信息通信技术服务、</w:t>
      </w:r>
      <w:r>
        <w:rPr>
          <w:rFonts w:ascii="宋体" w:hAnsi="宋体" w:cs="宋体" w:eastAsia="宋体" w:hint="default"/>
          <w:spacing w:val="-96"/>
          <w:w w:val="110"/>
        </w:rPr>
        <w:t> </w:t>
      </w:r>
      <w:r>
        <w:rPr>
          <w:rFonts w:ascii="宋体" w:hAnsi="宋体" w:cs="宋体" w:eastAsia="宋体" w:hint="default"/>
          <w:spacing w:val="-96"/>
          <w:w w:val="110"/>
        </w:rPr>
      </w:r>
      <w:r>
        <w:rPr>
          <w:rFonts w:ascii="宋体" w:hAnsi="宋体" w:cs="宋体" w:eastAsia="宋体" w:hint="default"/>
          <w:w w:val="110"/>
        </w:rPr>
        <w:t>数据通信服务以及其他相关增值服务。</w:t>
      </w:r>
    </w:p>
    <w:p>
      <w:pPr>
        <w:pStyle w:val="BodyText"/>
        <w:spacing w:line="285" w:lineRule="auto" w:before="123"/>
        <w:ind w:left="3174" w:right="1412"/>
        <w:jc w:val="both"/>
        <w:rPr>
          <w:rFonts w:ascii="宋体" w:hAnsi="宋体" w:cs="宋体" w:eastAsia="宋体" w:hint="default"/>
        </w:rPr>
      </w:pPr>
      <w:r>
        <w:rPr>
          <w:rFonts w:ascii="宋体" w:hAnsi="宋体" w:cs="宋体" w:eastAsia="宋体" w:hint="default"/>
          <w:spacing w:val="1"/>
        </w:rPr>
        <w:t>截至</w:t>
      </w:r>
      <w:r>
        <w:rPr>
          <w:rFonts w:ascii="宋体" w:hAnsi="宋体" w:cs="宋体" w:eastAsia="宋体" w:hint="default"/>
          <w:spacing w:val="-42"/>
        </w:rPr>
        <w:t> </w:t>
      </w:r>
      <w:r>
        <w:rPr>
          <w:rFonts w:ascii="宋体" w:hAnsi="宋体" w:cs="宋体" w:eastAsia="宋体" w:hint="default"/>
          <w:spacing w:val="-1"/>
          <w:w w:val="111"/>
        </w:rPr>
        <w:t>2018</w:t>
      </w:r>
      <w:r>
        <w:rPr>
          <w:rFonts w:ascii="宋体" w:hAnsi="宋体" w:cs="宋体" w:eastAsia="宋体" w:hint="default"/>
          <w:spacing w:val="-51"/>
          <w:w w:val="111"/>
        </w:rPr>
        <w:t> </w:t>
      </w:r>
      <w:r>
        <w:rPr>
          <w:rFonts w:ascii="宋体" w:hAnsi="宋体" w:cs="宋体" w:eastAsia="宋体" w:hint="default"/>
          <w:spacing w:val="1"/>
        </w:rPr>
        <w:t>年底，本公司拥有约</w:t>
      </w:r>
      <w:r>
        <w:rPr>
          <w:rFonts w:ascii="宋体" w:hAnsi="宋体" w:cs="宋体" w:eastAsia="宋体" w:hint="default"/>
          <w:spacing w:val="-42"/>
        </w:rPr>
        <w:t> </w:t>
      </w:r>
      <w:r>
        <w:rPr>
          <w:rFonts w:ascii="宋体" w:hAnsi="宋体" w:cs="宋体" w:eastAsia="宋体" w:hint="default"/>
          <w:spacing w:val="-1"/>
          <w:w w:val="99"/>
        </w:rPr>
        <w:t>5,590</w:t>
      </w:r>
      <w:r>
        <w:rPr>
          <w:rFonts w:ascii="宋体" w:hAnsi="宋体" w:cs="宋体" w:eastAsia="宋体" w:hint="default"/>
          <w:spacing w:val="-41"/>
          <w:w w:val="99"/>
        </w:rPr>
        <w:t> </w:t>
      </w:r>
      <w:r>
        <w:rPr>
          <w:rFonts w:ascii="宋体" w:hAnsi="宋体" w:cs="宋体" w:eastAsia="宋体" w:hint="default"/>
          <w:spacing w:val="1"/>
        </w:rPr>
        <w:t>万本地电话用户，约</w:t>
      </w:r>
      <w:r>
        <w:rPr>
          <w:rFonts w:ascii="宋体" w:hAnsi="宋体" w:cs="宋体" w:eastAsia="宋体" w:hint="default"/>
          <w:spacing w:val="-42"/>
        </w:rPr>
        <w:t> </w:t>
      </w:r>
      <w:r>
        <w:rPr>
          <w:rFonts w:ascii="宋体" w:hAnsi="宋体" w:cs="宋体" w:eastAsia="宋体" w:hint="default"/>
          <w:spacing w:val="-1"/>
          <w:w w:val="99"/>
        </w:rPr>
        <w:t>8,088</w:t>
      </w:r>
      <w:r>
        <w:rPr>
          <w:rFonts w:ascii="宋体" w:hAnsi="宋体" w:cs="宋体" w:eastAsia="宋体" w:hint="default"/>
          <w:spacing w:val="-41"/>
          <w:w w:val="99"/>
        </w:rPr>
        <w:t> </w:t>
      </w:r>
      <w:r>
        <w:rPr>
          <w:rFonts w:ascii="宋体" w:hAnsi="宋体" w:cs="宋体" w:eastAsia="宋体" w:hint="default"/>
          <w:spacing w:val="1"/>
          <w:w w:val="97"/>
        </w:rPr>
        <w:t>万固网宽带用户，3.2</w:t>
      </w:r>
      <w:r>
        <w:rPr>
          <w:rFonts w:ascii="宋体" w:hAnsi="宋体" w:cs="宋体" w:eastAsia="宋体" w:hint="default"/>
          <w:spacing w:val="-40"/>
          <w:w w:val="97"/>
        </w:rPr>
        <w:t> </w:t>
      </w:r>
      <w:r>
        <w:rPr>
          <w:rFonts w:ascii="宋体" w:hAnsi="宋体" w:cs="宋体" w:eastAsia="宋体" w:hint="default"/>
          <w:spacing w:val="2"/>
        </w:rPr>
        <w:t>亿移</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动出账用户，其中</w:t>
      </w:r>
      <w:r>
        <w:rPr>
          <w:rFonts w:ascii="宋体" w:hAnsi="宋体" w:cs="宋体" w:eastAsia="宋体" w:hint="default"/>
          <w:spacing w:val="-38"/>
        </w:rPr>
        <w:t> </w:t>
      </w:r>
      <w:r>
        <w:rPr>
          <w:rFonts w:ascii="宋体" w:hAnsi="宋体" w:cs="宋体" w:eastAsia="宋体" w:hint="default"/>
        </w:rPr>
        <w:t>4G</w:t>
      </w:r>
      <w:r>
        <w:rPr>
          <w:rFonts w:ascii="宋体" w:hAnsi="宋体" w:cs="宋体" w:eastAsia="宋体" w:hint="default"/>
          <w:spacing w:val="-39"/>
        </w:rPr>
        <w:t> </w:t>
      </w:r>
      <w:r>
        <w:rPr>
          <w:rFonts w:ascii="宋体" w:hAnsi="宋体" w:cs="宋体" w:eastAsia="宋体" w:hint="default"/>
        </w:rPr>
        <w:t>用户约</w:t>
      </w:r>
      <w:r>
        <w:rPr>
          <w:rFonts w:ascii="宋体" w:hAnsi="宋体" w:cs="宋体" w:eastAsia="宋体" w:hint="default"/>
          <w:spacing w:val="-38"/>
        </w:rPr>
        <w:t> </w:t>
      </w:r>
      <w:r>
        <w:rPr>
          <w:rFonts w:ascii="宋体" w:hAnsi="宋体" w:cs="宋体" w:eastAsia="宋体" w:hint="default"/>
        </w:rPr>
        <w:t>2.2</w:t>
      </w:r>
      <w:r>
        <w:rPr>
          <w:rFonts w:ascii="宋体" w:hAnsi="宋体" w:cs="宋体" w:eastAsia="宋体" w:hint="default"/>
          <w:spacing w:val="-39"/>
        </w:rPr>
        <w:t> </w:t>
      </w:r>
      <w:r>
        <w:rPr>
          <w:rFonts w:ascii="宋体" w:hAnsi="宋体" w:cs="宋体" w:eastAsia="宋体" w:hint="default"/>
        </w:rPr>
        <w:t>亿户。</w:t>
      </w:r>
    </w:p>
    <w:p>
      <w:pPr>
        <w:pStyle w:val="BodyText"/>
        <w:spacing w:line="240" w:lineRule="auto" w:before="123"/>
        <w:ind w:left="3174" w:right="0"/>
        <w:jc w:val="both"/>
        <w:rPr>
          <w:rFonts w:ascii="宋体" w:hAnsi="宋体" w:cs="宋体" w:eastAsia="宋体" w:hint="default"/>
        </w:rPr>
      </w:pPr>
      <w:r>
        <w:rPr>
          <w:rFonts w:ascii="宋体" w:hAnsi="宋体" w:cs="宋体" w:eastAsia="宋体" w:hint="default"/>
        </w:rPr>
        <w:t>有关公司详细经营情况及行业情况分析请见本报告第四节“经营情况讨论与分析”。</w:t>
      </w:r>
    </w:p>
    <w:p>
      <w:pPr>
        <w:spacing w:line="240" w:lineRule="auto" w:before="1"/>
        <w:rPr>
          <w:rFonts w:ascii="宋体" w:hAnsi="宋体" w:cs="宋体" w:eastAsia="宋体" w:hint="default"/>
          <w:sz w:val="25"/>
          <w:szCs w:val="25"/>
        </w:rPr>
      </w:pPr>
    </w:p>
    <w:p>
      <w:pPr>
        <w:pStyle w:val="BodyText"/>
        <w:spacing w:line="240" w:lineRule="auto"/>
        <w:ind w:left="2834" w:right="764"/>
        <w:jc w:val="left"/>
        <w:rPr>
          <w:rFonts w:ascii="宋体" w:hAnsi="宋体" w:cs="宋体" w:eastAsia="宋体" w:hint="default"/>
        </w:rPr>
      </w:pPr>
      <w:r>
        <w:rPr>
          <w:rFonts w:ascii="宋体" w:hAnsi="宋体" w:cs="宋体" w:eastAsia="宋体" w:hint="default"/>
          <w:color w:val="D7000F"/>
        </w:rPr>
        <w:t>二、报告期内核心竞争力分析</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3174" w:right="1412"/>
        <w:jc w:val="both"/>
        <w:rPr>
          <w:rFonts w:ascii="宋体" w:hAnsi="宋体" w:cs="宋体" w:eastAsia="宋体" w:hint="default"/>
        </w:rPr>
      </w:pPr>
      <w:r>
        <w:rPr>
          <w:rFonts w:ascii="宋体" w:hAnsi="宋体" w:cs="宋体" w:eastAsia="宋体" w:hint="default"/>
          <w:spacing w:val="2"/>
        </w:rPr>
        <w:t>中国联通坚定不移贯彻新发展理念，深化实施聚焦创新合作战略，建设“五新”联通，全面</w:t>
      </w:r>
      <w:r>
        <w:rPr>
          <w:rFonts w:ascii="宋体" w:hAnsi="宋体" w:cs="宋体" w:eastAsia="宋体" w:hint="default"/>
          <w:spacing w:val="-65"/>
        </w:rPr>
        <w:t> </w:t>
      </w:r>
      <w:r>
        <w:rPr>
          <w:rFonts w:ascii="宋体" w:hAnsi="宋体" w:cs="宋体" w:eastAsia="宋体" w:hint="default"/>
          <w:spacing w:val="-65"/>
        </w:rPr>
      </w:r>
      <w:r>
        <w:rPr>
          <w:rFonts w:ascii="宋体" w:hAnsi="宋体" w:cs="宋体" w:eastAsia="宋体" w:hint="default"/>
          <w:spacing w:val="2"/>
        </w:rPr>
        <w:t>深化混合所有制改革，互联网化运营步伐加快，能力建设持续提升，经营业绩显著改善，高</w:t>
      </w:r>
      <w:r>
        <w:rPr>
          <w:rFonts w:ascii="宋体" w:hAnsi="宋体" w:cs="宋体" w:eastAsia="宋体" w:hint="default"/>
          <w:spacing w:val="-63"/>
        </w:rPr>
        <w:t> </w:t>
      </w:r>
      <w:r>
        <w:rPr>
          <w:rFonts w:ascii="宋体" w:hAnsi="宋体" w:cs="宋体" w:eastAsia="宋体" w:hint="default"/>
          <w:spacing w:val="-63"/>
        </w:rPr>
      </w:r>
      <w:r>
        <w:rPr>
          <w:rFonts w:ascii="宋体" w:hAnsi="宋体" w:cs="宋体" w:eastAsia="宋体" w:hint="default"/>
        </w:rPr>
        <w:t>质量发展迈出重要步伐。</w:t>
      </w:r>
    </w:p>
    <w:p>
      <w:pPr>
        <w:pStyle w:val="BodyText"/>
        <w:spacing w:line="285" w:lineRule="auto" w:before="123"/>
        <w:ind w:left="3174" w:right="1413"/>
        <w:jc w:val="both"/>
        <w:rPr>
          <w:rFonts w:ascii="宋体" w:hAnsi="宋体" w:cs="宋体" w:eastAsia="宋体" w:hint="default"/>
        </w:rPr>
      </w:pPr>
      <w:r>
        <w:rPr>
          <w:rFonts w:ascii="宋体" w:hAnsi="宋体" w:cs="宋体" w:eastAsia="宋体" w:hint="default"/>
          <w:spacing w:val="-2"/>
        </w:rPr>
        <w:t>一是混合所有制改革取得突破性进展。</w:t>
      </w:r>
      <w:r>
        <w:rPr>
          <w:rFonts w:ascii="宋体" w:hAnsi="宋体" w:cs="宋体" w:eastAsia="宋体" w:hint="default"/>
          <w:spacing w:val="-2"/>
        </w:rPr>
        <w:t>牢牢把握“两个一以贯之”，坚持“两个毫不动摇”，</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spacing w:val="2"/>
        </w:rPr>
        <w:t>坚定不移深化改革，组建新一届董事会，探索建立中国特色的现代国有企业制度。实施限制</w:t>
      </w:r>
      <w:r>
        <w:rPr>
          <w:rFonts w:ascii="宋体" w:hAnsi="宋体" w:cs="宋体" w:eastAsia="宋体" w:hint="default"/>
          <w:spacing w:val="-63"/>
        </w:rPr>
        <w:t> </w:t>
      </w:r>
      <w:r>
        <w:rPr>
          <w:rFonts w:ascii="宋体" w:hAnsi="宋体" w:cs="宋体" w:eastAsia="宋体" w:hint="default"/>
          <w:spacing w:val="-63"/>
        </w:rPr>
      </w:r>
      <w:r>
        <w:rPr>
          <w:rFonts w:ascii="宋体" w:hAnsi="宋体" w:cs="宋体" w:eastAsia="宋体" w:hint="default"/>
          <w:spacing w:val="-3"/>
        </w:rPr>
        <w:t>性股票激励计划，累计授予约</w:t>
      </w:r>
      <w:r>
        <w:rPr>
          <w:rFonts w:ascii="宋体" w:hAnsi="宋体" w:cs="宋体" w:eastAsia="宋体" w:hint="default"/>
          <w:spacing w:val="-59"/>
        </w:rPr>
        <w:t> </w:t>
      </w:r>
      <w:r>
        <w:rPr>
          <w:rFonts w:ascii="宋体" w:hAnsi="宋体" w:cs="宋体" w:eastAsia="宋体" w:hint="default"/>
        </w:rPr>
        <w:t>8</w:t>
      </w:r>
      <w:r>
        <w:rPr>
          <w:rFonts w:ascii="宋体" w:hAnsi="宋体" w:cs="宋体" w:eastAsia="宋体" w:hint="default"/>
          <w:spacing w:val="-59"/>
        </w:rPr>
        <w:t> </w:t>
      </w:r>
      <w:r>
        <w:rPr>
          <w:rFonts w:ascii="宋体" w:hAnsi="宋体" w:cs="宋体" w:eastAsia="宋体" w:hint="default"/>
        </w:rPr>
        <w:t>亿股限制性股票。与战略投资者在业务和资本层面深度合作，</w:t>
      </w:r>
      <w:r>
        <w:rPr>
          <w:rFonts w:ascii="宋体" w:hAnsi="宋体" w:cs="宋体" w:eastAsia="宋体" w:hint="default"/>
        </w:rPr>
        <w:t> </w:t>
      </w:r>
      <w:r>
        <w:rPr>
          <w:rFonts w:ascii="宋体" w:hAnsi="宋体" w:cs="宋体" w:eastAsia="宋体" w:hint="default"/>
          <w:spacing w:val="2"/>
        </w:rPr>
        <w:t>实现能力互补，建立差异化竞争优势。常态化推进瘦身健体，运营组织体系更加精简高效，</w:t>
      </w:r>
      <w:r>
        <w:rPr>
          <w:rFonts w:ascii="宋体" w:hAnsi="宋体" w:cs="宋体" w:eastAsia="宋体" w:hint="default"/>
          <w:spacing w:val="-66"/>
        </w:rPr>
        <w:t> </w:t>
      </w:r>
      <w:r>
        <w:rPr>
          <w:rFonts w:ascii="宋体" w:hAnsi="宋体" w:cs="宋体" w:eastAsia="宋体" w:hint="default"/>
          <w:spacing w:val="-66"/>
        </w:rPr>
      </w:r>
      <w:r>
        <w:rPr>
          <w:rFonts w:ascii="宋体" w:hAnsi="宋体" w:cs="宋体" w:eastAsia="宋体" w:hint="default"/>
          <w:spacing w:val="-1"/>
        </w:rPr>
        <w:t>深化全生产场景划小改革，综合服务支撑体系初步形成，实施“418”人才工程，创新领域人</w:t>
      </w:r>
      <w:r>
        <w:rPr>
          <w:rFonts w:ascii="宋体" w:hAnsi="宋体" w:cs="宋体" w:eastAsia="宋体" w:hint="default"/>
          <w:spacing w:val="-29"/>
        </w:rPr>
        <w:t> </w:t>
      </w:r>
      <w:r>
        <w:rPr>
          <w:rFonts w:ascii="宋体" w:hAnsi="宋体" w:cs="宋体" w:eastAsia="宋体" w:hint="default"/>
          <w:spacing w:val="-29"/>
        </w:rPr>
      </w:r>
      <w:r>
        <w:rPr>
          <w:rFonts w:ascii="宋体" w:hAnsi="宋体" w:cs="宋体" w:eastAsia="宋体" w:hint="default"/>
          <w:spacing w:val="2"/>
        </w:rPr>
        <w:t>员数量增加、能力提高。落实国企改革“双百行动”，积极推进云南省分公司和智网科技的</w:t>
      </w:r>
      <w:r>
        <w:rPr>
          <w:rFonts w:ascii="宋体" w:hAnsi="宋体" w:cs="宋体" w:eastAsia="宋体" w:hint="default"/>
          <w:spacing w:val="-65"/>
        </w:rPr>
        <w:t> </w:t>
      </w:r>
      <w:r>
        <w:rPr>
          <w:rFonts w:ascii="宋体" w:hAnsi="宋体" w:cs="宋体" w:eastAsia="宋体" w:hint="default"/>
          <w:spacing w:val="-65"/>
        </w:rPr>
      </w:r>
      <w:r>
        <w:rPr>
          <w:rFonts w:ascii="宋体" w:hAnsi="宋体" w:cs="宋体" w:eastAsia="宋体" w:hint="default"/>
          <w:spacing w:val="2"/>
        </w:rPr>
        <w:t>综合改革试点。通过混合所有制改革，以市场为导向的资源配置效率持续提升，企业活力明</w:t>
      </w:r>
      <w:r>
        <w:rPr>
          <w:rFonts w:ascii="宋体" w:hAnsi="宋体" w:cs="宋体" w:eastAsia="宋体" w:hint="default"/>
          <w:spacing w:val="-63"/>
        </w:rPr>
        <w:t> </w:t>
      </w:r>
      <w:r>
        <w:rPr>
          <w:rFonts w:ascii="宋体" w:hAnsi="宋体" w:cs="宋体" w:eastAsia="宋体" w:hint="default"/>
          <w:spacing w:val="-63"/>
        </w:rPr>
      </w:r>
      <w:r>
        <w:rPr>
          <w:rFonts w:ascii="宋体" w:hAnsi="宋体" w:cs="宋体" w:eastAsia="宋体" w:hint="default"/>
        </w:rPr>
        <w:t>显增强。</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even" r:id="rId69"/>
          <w:footerReference w:type="even" r:id="rId70"/>
          <w:pgSz w:w="11910" w:h="16160"/>
          <w:pgMar w:header="0" w:footer="0" w:top="0" w:bottom="0" w:left="0" w:right="0"/>
        </w:sectPr>
      </w:pPr>
    </w:p>
    <w:p>
      <w:pPr>
        <w:spacing w:line="240" w:lineRule="auto" w:before="4"/>
        <w:rPr>
          <w:rFonts w:ascii="宋体" w:hAnsi="宋体" w:cs="宋体" w:eastAsia="宋体" w:hint="default"/>
          <w:sz w:val="16"/>
          <w:szCs w:val="16"/>
        </w:rPr>
      </w:pPr>
    </w:p>
    <w:p>
      <w:pPr>
        <w:tabs>
          <w:tab w:pos="6543" w:val="left" w:leader="none"/>
        </w:tabs>
        <w:spacing w:before="0"/>
        <w:ind w:left="814" w:right="0" w:firstLine="0"/>
        <w:jc w:val="left"/>
        <w:rPr>
          <w:rFonts w:ascii="宋体" w:hAnsi="宋体" w:cs="宋体" w:eastAsia="宋体" w:hint="default"/>
          <w:sz w:val="16"/>
          <w:szCs w:val="16"/>
        </w:rPr>
      </w:pPr>
      <w:r>
        <w:rPr/>
        <w:pict>
          <v:group style="position:absolute;margin-left:-1.500001pt;margin-top:-217.216553pt;width:296.45pt;height:245.7pt;mso-position-horizontal-relative:page;mso-position-vertical-relative:paragraph;z-index:-966904" coordorigin="-30,-4344" coordsize="5929,4914">
            <v:shape style="position:absolute;left:2395;top:-1291;width:288;height:288" type="#_x0000_t75" stroked="false">
              <v:imagedata r:id="rId71" o:title=""/>
            </v:shape>
            <v:group style="position:absolute;left:873;top:-1158;width:1678;height:1718" coordorigin="873,-1158" coordsize="1678,1718">
              <v:shape style="position:absolute;left:873;top:-1158;width:1678;height:1718" coordorigin="873,-1158" coordsize="1678,1718" path="m2550,-1158l873,560e" filled="false" stroked="true" strokeweight="1.0pt" strokecolor="#9c8758">
                <v:path arrowok="t"/>
              </v:shape>
              <v:shape style="position:absolute;left:2239;top:-4344;width:279;height:279" type="#_x0000_t75" stroked="false">
                <v:imagedata r:id="rId72" o:title=""/>
              </v:shape>
            </v:group>
            <v:group style="position:absolute;left:0;top:-4254;width:2429;height:2602" coordorigin="0,-4254" coordsize="2429,2602">
              <v:shape style="position:absolute;left:0;top:-4254;width:2429;height:2602" coordorigin="0,-4254" coordsize="2429,2602" path="m2428,-4254l0,-1653e" filled="false" stroked="true" strokeweight="3pt" strokecolor="#000000">
                <v:path arrowok="t"/>
              </v:shape>
            </v:group>
            <v:group style="position:absolute;left:2288;top:-3139;width:3602;height:3699" coordorigin="2288,-3139" coordsize="3602,3699">
              <v:shape style="position:absolute;left:2288;top:-3139;width:3602;height:3699" coordorigin="2288,-3139" coordsize="3602,3699" path="m5889,-3139l2288,560e" filled="false" stroked="true" strokeweight="1pt" strokecolor="#8e9090">
                <v:path arrowok="t"/>
              </v:shape>
            </v:group>
            <w10:wrap type="none"/>
          </v:group>
        </w:pict>
      </w:r>
      <w:r>
        <w:rPr>
          <w:rFonts w:ascii="Arial" w:hAnsi="Arial" w:cs="Arial" w:eastAsia="Arial" w:hint="default"/>
          <w:b/>
          <w:bCs/>
          <w:color w:val="9C8758"/>
          <w:spacing w:val="-1"/>
          <w:position w:val="2"/>
          <w:sz w:val="16"/>
          <w:szCs w:val="16"/>
        </w:rPr>
        <w:t>20</w:t>
        <w:tab/>
      </w:r>
      <w:r>
        <w:rPr>
          <w:rFonts w:ascii="宋体" w:hAnsi="宋体" w:cs="宋体" w:eastAsia="宋体" w:hint="default"/>
          <w:color w:val="595757"/>
          <w:spacing w:val="23"/>
          <w:sz w:val="16"/>
          <w:szCs w:val="16"/>
        </w:rPr>
        <w:t>公司业务概要</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line="240" w:lineRule="auto" w:before="11"/>
        <w:rPr>
          <w:rFonts w:ascii="宋体" w:hAnsi="宋体" w:cs="宋体" w:eastAsia="宋体" w:hint="default"/>
          <w:sz w:val="16"/>
          <w:szCs w:val="16"/>
        </w:rPr>
      </w:pPr>
      <w:r>
        <w:rPr/>
        <w:br w:type="column"/>
      </w:r>
      <w:r>
        <w:rPr>
          <w:rFonts w:ascii="宋体"/>
          <w:sz w:val="16"/>
        </w:rPr>
      </w:r>
    </w:p>
    <w:p>
      <w:pPr>
        <w:spacing w:before="0"/>
        <w:ind w:left="266"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0"/>
          <w:cols w:num="2" w:equalWidth="0">
            <w:col w:w="7677" w:space="40"/>
            <w:col w:w="4193"/>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6"/>
          <w:szCs w:val="16"/>
        </w:rPr>
      </w:pPr>
    </w:p>
    <w:p>
      <w:pPr>
        <w:pStyle w:val="BodyText"/>
        <w:spacing w:line="285" w:lineRule="auto"/>
        <w:ind w:left="1757" w:right="2736"/>
        <w:jc w:val="left"/>
        <w:rPr>
          <w:rFonts w:ascii="宋体" w:hAnsi="宋体" w:cs="宋体" w:eastAsia="宋体" w:hint="default"/>
        </w:rPr>
      </w:pPr>
      <w:r>
        <w:rPr>
          <w:rFonts w:ascii="宋体" w:hAnsi="宋体" w:cs="宋体" w:eastAsia="宋体" w:hint="default"/>
          <w:w w:val="100"/>
        </w:rPr>
        <w:t>二是互联网化运营转型取得显著成效。</w:t>
      </w:r>
      <w:r>
        <w:rPr>
          <w:rFonts w:ascii="宋体" w:hAnsi="宋体" w:cs="宋体" w:eastAsia="宋体" w:hint="default"/>
          <w:w w:val="100"/>
        </w:rPr>
        <w:t>经营模式转型取得显著进展，2I2C</w:t>
      </w:r>
      <w:r>
        <w:rPr>
          <w:rFonts w:ascii="宋体" w:hAnsi="宋体" w:cs="宋体" w:eastAsia="宋体" w:hint="default"/>
          <w:spacing w:val="-41"/>
          <w:w w:val="100"/>
        </w:rPr>
        <w:t> </w:t>
      </w:r>
      <w:r>
        <w:rPr>
          <w:rFonts w:ascii="宋体" w:hAnsi="宋体" w:cs="宋体" w:eastAsia="宋体" w:hint="default"/>
          <w:spacing w:val="1"/>
        </w:rPr>
        <w:t>业务对拉动整体业</w:t>
      </w:r>
      <w:r>
        <w:rPr>
          <w:rFonts w:ascii="宋体" w:hAnsi="宋体" w:cs="宋体" w:eastAsia="宋体" w:hint="default"/>
          <w:spacing w:val="-78"/>
        </w:rPr>
        <w:t> </w:t>
      </w:r>
      <w:r>
        <w:rPr>
          <w:rFonts w:ascii="宋体" w:hAnsi="宋体" w:cs="宋体" w:eastAsia="宋体" w:hint="default"/>
          <w:spacing w:val="-78"/>
        </w:rPr>
      </w:r>
      <w:r>
        <w:rPr>
          <w:rFonts w:ascii="宋体" w:hAnsi="宋体" w:cs="宋体" w:eastAsia="宋体" w:hint="default"/>
          <w:spacing w:val="2"/>
        </w:rPr>
        <w:t>务增长贡献突出，以“轻触点”运营牵引实体渠道互联网化转型见到实效，轻触点数量和日</w:t>
      </w:r>
      <w:r>
        <w:rPr>
          <w:rFonts w:ascii="宋体" w:hAnsi="宋体" w:cs="宋体" w:eastAsia="宋体" w:hint="default"/>
          <w:spacing w:val="-62"/>
        </w:rPr>
        <w:t> </w:t>
      </w:r>
      <w:r>
        <w:rPr>
          <w:rFonts w:ascii="宋体" w:hAnsi="宋体" w:cs="宋体" w:eastAsia="宋体" w:hint="default"/>
          <w:spacing w:val="-62"/>
        </w:rPr>
      </w:r>
      <w:r>
        <w:rPr>
          <w:rFonts w:ascii="宋体" w:hAnsi="宋体" w:cs="宋体" w:eastAsia="宋体" w:hint="default"/>
          <w:spacing w:val="-4"/>
        </w:rPr>
        <w:t>均发展用户量显著增长。以融合发展促进宽带业务取得新进展，新增宽带融合渗透率大幅提升。</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“云</w:t>
      </w:r>
      <w:r>
        <w:rPr>
          <w:rFonts w:ascii="宋体" w:hAnsi="宋体" w:cs="宋体" w:eastAsia="宋体" w:hint="default"/>
          <w:spacing w:val="-34"/>
        </w:rPr>
        <w:t> </w:t>
      </w:r>
      <w:r>
        <w:rPr>
          <w:rFonts w:ascii="宋体" w:hAnsi="宋体" w:cs="宋体" w:eastAsia="宋体" w:hint="default"/>
        </w:rPr>
        <w:t>+</w:t>
      </w:r>
      <w:r>
        <w:rPr>
          <w:rFonts w:ascii="宋体" w:hAnsi="宋体" w:cs="宋体" w:eastAsia="宋体" w:hint="default"/>
          <w:spacing w:val="-34"/>
        </w:rPr>
        <w:t> </w:t>
      </w:r>
      <w:r>
        <w:rPr>
          <w:rFonts w:ascii="宋体" w:hAnsi="宋体" w:cs="宋体" w:eastAsia="宋体" w:hint="default"/>
        </w:rPr>
        <w:t>网</w:t>
      </w:r>
      <w:r>
        <w:rPr>
          <w:rFonts w:ascii="宋体" w:hAnsi="宋体" w:cs="宋体" w:eastAsia="宋体" w:hint="default"/>
          <w:spacing w:val="-34"/>
        </w:rPr>
        <w:t> </w:t>
      </w:r>
      <w:r>
        <w:rPr>
          <w:rFonts w:ascii="宋体" w:hAnsi="宋体" w:cs="宋体" w:eastAsia="宋体" w:hint="default"/>
        </w:rPr>
        <w:t>+X（应用）”政企新融合模式初步建立，云网协同效应明显，云光慧企行业上云稳</w:t>
      </w:r>
      <w:r>
        <w:rPr>
          <w:rFonts w:ascii="宋体" w:hAnsi="宋体" w:cs="宋体" w:eastAsia="宋体" w:hint="default"/>
          <w:spacing w:val="-62"/>
        </w:rPr>
        <w:t> </w:t>
      </w:r>
      <w:r>
        <w:rPr>
          <w:rFonts w:ascii="宋体" w:hAnsi="宋体" w:cs="宋体" w:eastAsia="宋体" w:hint="default"/>
          <w:spacing w:val="-62"/>
        </w:rPr>
      </w:r>
      <w:r>
        <w:rPr>
          <w:rFonts w:ascii="宋体" w:hAnsi="宋体" w:cs="宋体" w:eastAsia="宋体" w:hint="default"/>
          <w:spacing w:val="2"/>
        </w:rPr>
        <w:t>步推进、中小企业上云取得突破性进展。聚焦政务、教育、医卫、生态环境等重点行业，打</w:t>
      </w:r>
      <w:r>
        <w:rPr>
          <w:rFonts w:ascii="宋体" w:hAnsi="宋体" w:cs="宋体" w:eastAsia="宋体" w:hint="default"/>
          <w:spacing w:val="-69"/>
        </w:rPr>
        <w:t> </w:t>
      </w:r>
      <w:r>
        <w:rPr>
          <w:rFonts w:ascii="宋体" w:hAnsi="宋体" w:cs="宋体" w:eastAsia="宋体" w:hint="default"/>
          <w:spacing w:val="-69"/>
        </w:rPr>
      </w:r>
      <w:r>
        <w:rPr>
          <w:rFonts w:ascii="宋体" w:hAnsi="宋体" w:cs="宋体" w:eastAsia="宋体" w:hint="default"/>
          <w:spacing w:val="3"/>
        </w:rPr>
        <w:t>造云计算、大数据、物联网等创新平台，创新产品能力和项目获取能力大幅提升，新兴</w:t>
      </w:r>
      <w:r>
        <w:rPr>
          <w:rFonts w:ascii="宋体" w:hAnsi="宋体" w:cs="宋体" w:eastAsia="宋体" w:hint="default"/>
          <w:spacing w:val="-40"/>
        </w:rPr>
        <w:t> </w:t>
      </w:r>
      <w:r>
        <w:rPr>
          <w:rFonts w:ascii="宋体" w:hAnsi="宋体" w:cs="宋体" w:eastAsia="宋体" w:hint="default"/>
          <w:w w:val="99"/>
        </w:rPr>
        <w:t>ICT</w:t>
      </w:r>
      <w:r>
        <w:rPr>
          <w:rFonts w:ascii="宋体" w:hAnsi="宋体" w:cs="宋体" w:eastAsia="宋体" w:hint="default"/>
          <w:spacing w:val="-77"/>
          <w:w w:val="99"/>
        </w:rPr>
        <w:t> </w:t>
      </w:r>
      <w:r>
        <w:rPr>
          <w:rFonts w:ascii="宋体" w:hAnsi="宋体" w:cs="宋体" w:eastAsia="宋体" w:hint="default"/>
          <w:spacing w:val="-77"/>
          <w:w w:val="99"/>
        </w:rPr>
      </w:r>
      <w:r>
        <w:rPr>
          <w:rFonts w:ascii="宋体" w:hAnsi="宋体" w:cs="宋体" w:eastAsia="宋体" w:hint="default"/>
        </w:rPr>
        <w:t>收入成为公司增量收入的重要来源。通过低成本高效率运营，逐步建立差异化竞争优势。</w:t>
      </w:r>
    </w:p>
    <w:p>
      <w:pPr>
        <w:pStyle w:val="BodyText"/>
        <w:spacing w:line="285" w:lineRule="auto" w:before="123"/>
        <w:ind w:left="1757" w:right="2829"/>
        <w:jc w:val="both"/>
        <w:rPr>
          <w:rFonts w:ascii="宋体" w:hAnsi="宋体" w:cs="宋体" w:eastAsia="宋体" w:hint="default"/>
        </w:rPr>
      </w:pPr>
      <w:r>
        <w:rPr>
          <w:rFonts w:ascii="宋体" w:hAnsi="宋体" w:cs="宋体" w:eastAsia="宋体" w:hint="default"/>
          <w:spacing w:val="2"/>
        </w:rPr>
        <w:t>三是</w:t>
      </w:r>
      <w:r>
        <w:rPr>
          <w:rFonts w:ascii="宋体" w:hAnsi="宋体" w:cs="宋体" w:eastAsia="宋体" w:hint="default"/>
          <w:spacing w:val="-39"/>
        </w:rPr>
        <w:t> </w:t>
      </w:r>
      <w:r>
        <w:rPr>
          <w:rFonts w:ascii="宋体" w:hAnsi="宋体" w:cs="宋体" w:eastAsia="宋体" w:hint="default"/>
          <w:spacing w:val="-1"/>
          <w:w w:val="103"/>
        </w:rPr>
        <w:t>IT</w:t>
      </w:r>
      <w:r>
        <w:rPr>
          <w:rFonts w:ascii="宋体" w:hAnsi="宋体" w:cs="宋体" w:eastAsia="宋体" w:hint="default"/>
          <w:spacing w:val="-43"/>
          <w:w w:val="103"/>
        </w:rPr>
        <w:t> </w:t>
      </w:r>
      <w:r>
        <w:rPr>
          <w:rFonts w:ascii="宋体" w:hAnsi="宋体" w:cs="宋体" w:eastAsia="宋体" w:hint="default"/>
          <w:spacing w:val="3"/>
        </w:rPr>
        <w:t>集中优势和网络能力不断提升。</w:t>
      </w:r>
      <w:r>
        <w:rPr>
          <w:rFonts w:ascii="宋体" w:hAnsi="宋体" w:cs="宋体" w:eastAsia="宋体" w:hint="default"/>
          <w:spacing w:val="3"/>
        </w:rPr>
        <w:t>推进</w:t>
      </w:r>
      <w:r>
        <w:rPr>
          <w:rFonts w:ascii="宋体" w:hAnsi="宋体" w:cs="宋体" w:eastAsia="宋体" w:hint="default"/>
          <w:spacing w:val="-39"/>
        </w:rPr>
        <w:t> </w:t>
      </w:r>
      <w:r>
        <w:rPr>
          <w:rFonts w:ascii="宋体" w:hAnsi="宋体" w:cs="宋体" w:eastAsia="宋体" w:hint="default"/>
          <w:w w:val="83"/>
        </w:rPr>
        <w:t>IT</w:t>
      </w:r>
      <w:r>
        <w:rPr>
          <w:rFonts w:ascii="宋体" w:hAnsi="宋体" w:cs="宋体" w:eastAsia="宋体" w:hint="default"/>
          <w:spacing w:val="-24"/>
          <w:w w:val="83"/>
        </w:rPr>
        <w:t> </w:t>
      </w:r>
      <w:r>
        <w:rPr>
          <w:rFonts w:ascii="宋体" w:hAnsi="宋体" w:cs="宋体" w:eastAsia="宋体" w:hint="default"/>
          <w:spacing w:val="3"/>
        </w:rPr>
        <w:t>系统云化集约化运营，总部新建系统全部实</w:t>
      </w:r>
      <w:r>
        <w:rPr>
          <w:rFonts w:ascii="宋体" w:hAnsi="宋体" w:cs="宋体" w:eastAsia="宋体" w:hint="default"/>
          <w:spacing w:val="4"/>
        </w:rPr>
        <w:t> </w:t>
      </w:r>
      <w:r>
        <w:rPr>
          <w:rFonts w:ascii="宋体" w:hAnsi="宋体" w:cs="宋体" w:eastAsia="宋体" w:hint="default"/>
          <w:spacing w:val="2"/>
        </w:rPr>
        <w:t>现云资源池承载，cBSS</w:t>
      </w:r>
      <w:r>
        <w:rPr>
          <w:rFonts w:ascii="宋体" w:hAnsi="宋体" w:cs="宋体" w:eastAsia="宋体" w:hint="default"/>
        </w:rPr>
        <w:t> </w:t>
      </w:r>
      <w:r>
        <w:rPr>
          <w:rFonts w:ascii="宋体" w:hAnsi="宋体" w:cs="宋体" w:eastAsia="宋体" w:hint="default"/>
          <w:spacing w:val="3"/>
        </w:rPr>
        <w:t>支撑用户占全网用户比重持续提升。推动投资聚焦和精准建设，4G</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rPr>
        <w:t>基站总数达到</w:t>
      </w:r>
      <w:r>
        <w:rPr>
          <w:rFonts w:ascii="宋体" w:hAnsi="宋体" w:cs="宋体" w:eastAsia="宋体" w:hint="default"/>
          <w:spacing w:val="-58"/>
        </w:rPr>
        <w:t> </w:t>
      </w:r>
      <w:r>
        <w:rPr>
          <w:rFonts w:ascii="宋体" w:hAnsi="宋体" w:cs="宋体" w:eastAsia="宋体" w:hint="default"/>
          <w:spacing w:val="-1"/>
          <w:w w:val="111"/>
        </w:rPr>
        <w:t>99</w:t>
      </w:r>
      <w:r>
        <w:rPr>
          <w:rFonts w:ascii="宋体" w:hAnsi="宋体" w:cs="宋体" w:eastAsia="宋体" w:hint="default"/>
          <w:spacing w:val="-68"/>
          <w:w w:val="111"/>
        </w:rPr>
        <w:t> </w:t>
      </w:r>
      <w:r>
        <w:rPr>
          <w:rFonts w:ascii="宋体" w:hAnsi="宋体" w:cs="宋体" w:eastAsia="宋体" w:hint="default"/>
          <w:spacing w:val="-1"/>
          <w:w w:val="110"/>
        </w:rPr>
        <w:t>万个，4G</w:t>
      </w:r>
      <w:r>
        <w:rPr>
          <w:rFonts w:ascii="宋体" w:hAnsi="宋体" w:cs="宋体" w:eastAsia="宋体" w:hint="default"/>
          <w:spacing w:val="-68"/>
          <w:w w:val="110"/>
        </w:rPr>
        <w:t> </w:t>
      </w:r>
      <w:r>
        <w:rPr>
          <w:rFonts w:ascii="宋体" w:hAnsi="宋体" w:cs="宋体" w:eastAsia="宋体" w:hint="default"/>
        </w:rPr>
        <w:t>网络人口覆盖率</w:t>
      </w:r>
      <w:r>
        <w:rPr>
          <w:rFonts w:ascii="宋体" w:hAnsi="宋体" w:cs="宋体" w:eastAsia="宋体" w:hint="default"/>
          <w:spacing w:val="-58"/>
        </w:rPr>
        <w:t> </w:t>
      </w:r>
      <w:r>
        <w:rPr>
          <w:rFonts w:ascii="宋体" w:hAnsi="宋体" w:cs="宋体" w:eastAsia="宋体" w:hint="default"/>
          <w:spacing w:val="-1"/>
          <w:w w:val="110"/>
        </w:rPr>
        <w:t>90%；宽带端口总数达到</w:t>
      </w:r>
      <w:r>
        <w:rPr>
          <w:rFonts w:ascii="宋体" w:hAnsi="宋体" w:cs="宋体" w:eastAsia="宋体" w:hint="default"/>
          <w:spacing w:val="-67"/>
          <w:w w:val="110"/>
        </w:rPr>
        <w:t> </w:t>
      </w:r>
      <w:r>
        <w:rPr>
          <w:rFonts w:ascii="宋体" w:hAnsi="宋体" w:cs="宋体" w:eastAsia="宋体" w:hint="default"/>
          <w:spacing w:val="-1"/>
          <w:w w:val="97"/>
        </w:rPr>
        <w:t>2.15</w:t>
      </w:r>
      <w:r>
        <w:rPr>
          <w:rFonts w:ascii="宋体" w:hAnsi="宋体" w:cs="宋体" w:eastAsia="宋体" w:hint="default"/>
          <w:spacing w:val="-55"/>
          <w:w w:val="97"/>
        </w:rPr>
        <w:t> </w:t>
      </w:r>
      <w:r>
        <w:rPr>
          <w:rFonts w:ascii="宋体" w:hAnsi="宋体" w:cs="宋体" w:eastAsia="宋体" w:hint="default"/>
        </w:rPr>
        <w:t>亿个，其中</w:t>
      </w:r>
      <w:r>
        <w:rPr>
          <w:rFonts w:ascii="宋体" w:hAnsi="宋体" w:cs="宋体" w:eastAsia="宋体" w:hint="default"/>
          <w:spacing w:val="-58"/>
        </w:rPr>
        <w:t> </w:t>
      </w:r>
      <w:r>
        <w:rPr>
          <w:rFonts w:ascii="宋体" w:hAnsi="宋体" w:cs="宋体" w:eastAsia="宋体" w:hint="default"/>
          <w:spacing w:val="-1"/>
          <w:w w:val="119"/>
        </w:rPr>
        <w:t>FTTH</w:t>
      </w:r>
      <w:r>
        <w:rPr>
          <w:rFonts w:ascii="宋体" w:hAnsi="宋体" w:cs="宋体" w:eastAsia="宋体" w:hint="default"/>
          <w:w w:val="143"/>
        </w:rPr>
        <w:t> </w:t>
      </w:r>
      <w:r>
        <w:rPr>
          <w:rFonts w:ascii="宋体" w:hAnsi="宋体" w:cs="宋体" w:eastAsia="宋体" w:hint="default"/>
        </w:rPr>
        <w:t>端口占比</w:t>
      </w:r>
      <w:r>
        <w:rPr>
          <w:rFonts w:ascii="宋体" w:hAnsi="宋体" w:cs="宋体" w:eastAsia="宋体" w:hint="default"/>
          <w:spacing w:val="-31"/>
        </w:rPr>
        <w:t> </w:t>
      </w:r>
      <w:r>
        <w:rPr>
          <w:rFonts w:ascii="宋体" w:hAnsi="宋体" w:cs="宋体" w:eastAsia="宋体" w:hint="default"/>
          <w:spacing w:val="-5"/>
        </w:rPr>
        <w:t>82.3%，完善网络布局，筑牢网络强国基础。持续改善网间通信质量，优化互联架构</w:t>
      </w:r>
      <w:r>
        <w:rPr>
          <w:rFonts w:ascii="宋体" w:hAnsi="宋体" w:cs="宋体" w:eastAsia="宋体" w:hint="default"/>
          <w:spacing w:val="-31"/>
        </w:rPr>
        <w:t> </w:t>
      </w:r>
      <w:r>
        <w:rPr>
          <w:rFonts w:ascii="宋体" w:hAnsi="宋体" w:cs="宋体" w:eastAsia="宋体" w:hint="default"/>
          <w:w w:val="95"/>
        </w:rPr>
        <w:t>,</w:t>
      </w:r>
      <w:r>
        <w:rPr>
          <w:rFonts w:ascii="宋体" w:hAnsi="宋体" w:cs="宋体" w:eastAsia="宋体" w:hint="default"/>
          <w:spacing w:val="-76"/>
          <w:w w:val="95"/>
        </w:rPr>
        <w:t> </w:t>
      </w:r>
      <w:r>
        <w:rPr>
          <w:rFonts w:ascii="宋体" w:hAnsi="宋体" w:cs="宋体" w:eastAsia="宋体" w:hint="default"/>
          <w:spacing w:val="-76"/>
          <w:w w:val="95"/>
        </w:rPr>
      </w:r>
      <w:r>
        <w:rPr>
          <w:rFonts w:ascii="宋体" w:hAnsi="宋体" w:cs="宋体" w:eastAsia="宋体" w:hint="default"/>
        </w:rPr>
        <w:t>与主要互联单位共扩容</w:t>
      </w:r>
      <w:r>
        <w:rPr>
          <w:rFonts w:ascii="宋体" w:hAnsi="宋体" w:cs="宋体" w:eastAsia="宋体" w:hint="default"/>
          <w:spacing w:val="-28"/>
        </w:rPr>
        <w:t> </w:t>
      </w:r>
      <w:r>
        <w:rPr>
          <w:rFonts w:ascii="宋体" w:hAnsi="宋体" w:cs="宋体" w:eastAsia="宋体" w:hint="default"/>
        </w:rPr>
        <w:t>1380G</w:t>
      </w:r>
      <w:r>
        <w:rPr>
          <w:rFonts w:ascii="宋体" w:hAnsi="宋体" w:cs="宋体" w:eastAsia="宋体" w:hint="default"/>
          <w:spacing w:val="-28"/>
        </w:rPr>
        <w:t> </w:t>
      </w:r>
      <w:r>
        <w:rPr>
          <w:rFonts w:ascii="宋体" w:hAnsi="宋体" w:cs="宋体" w:eastAsia="宋体" w:hint="default"/>
        </w:rPr>
        <w:t>互联带宽，提升用户网间访问体验；在</w:t>
      </w:r>
      <w:r>
        <w:rPr>
          <w:rFonts w:ascii="宋体" w:hAnsi="宋体" w:cs="宋体" w:eastAsia="宋体" w:hint="default"/>
          <w:spacing w:val="-28"/>
        </w:rPr>
        <w:t> </w:t>
      </w:r>
      <w:r>
        <w:rPr>
          <w:rFonts w:ascii="宋体" w:hAnsi="宋体" w:cs="宋体" w:eastAsia="宋体" w:hint="default"/>
        </w:rPr>
        <w:t>5</w:t>
      </w:r>
      <w:r>
        <w:rPr>
          <w:rFonts w:ascii="宋体" w:hAnsi="宋体" w:cs="宋体" w:eastAsia="宋体" w:hint="default"/>
          <w:spacing w:val="-28"/>
        </w:rPr>
        <w:t> </w:t>
      </w:r>
      <w:r>
        <w:rPr>
          <w:rFonts w:ascii="宋体" w:hAnsi="宋体" w:cs="宋体" w:eastAsia="宋体" w:hint="default"/>
        </w:rPr>
        <w:t>个骨干直联点与主要</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rPr>
        <w:t>互联单位完成</w:t>
      </w:r>
      <w:r>
        <w:rPr>
          <w:rFonts w:ascii="宋体" w:hAnsi="宋体" w:cs="宋体" w:eastAsia="宋体" w:hint="default"/>
          <w:spacing w:val="-46"/>
        </w:rPr>
        <w:t> </w:t>
      </w:r>
      <w:r>
        <w:rPr>
          <w:rFonts w:ascii="宋体" w:hAnsi="宋体" w:cs="宋体" w:eastAsia="宋体" w:hint="default"/>
          <w:w w:val="97"/>
        </w:rPr>
        <w:t>IPv6</w:t>
      </w:r>
      <w:r>
        <w:rPr>
          <w:rFonts w:ascii="宋体" w:hAnsi="宋体" w:cs="宋体" w:eastAsia="宋体" w:hint="default"/>
          <w:spacing w:val="-43"/>
          <w:w w:val="97"/>
        </w:rPr>
        <w:t> </w:t>
      </w:r>
      <w:r>
        <w:rPr>
          <w:rFonts w:ascii="宋体" w:hAnsi="宋体" w:cs="宋体" w:eastAsia="宋体" w:hint="default"/>
        </w:rPr>
        <w:t>互联，为我国</w:t>
      </w:r>
      <w:r>
        <w:rPr>
          <w:rFonts w:ascii="宋体" w:hAnsi="宋体" w:cs="宋体" w:eastAsia="宋体" w:hint="default"/>
          <w:spacing w:val="-46"/>
        </w:rPr>
        <w:t> </w:t>
      </w:r>
      <w:r>
        <w:rPr>
          <w:rFonts w:ascii="宋体" w:hAnsi="宋体" w:cs="宋体" w:eastAsia="宋体" w:hint="default"/>
          <w:w w:val="97"/>
        </w:rPr>
        <w:t>IPv6</w:t>
      </w:r>
      <w:r>
        <w:rPr>
          <w:rFonts w:ascii="宋体" w:hAnsi="宋体" w:cs="宋体" w:eastAsia="宋体" w:hint="default"/>
          <w:spacing w:val="-43"/>
          <w:w w:val="97"/>
        </w:rPr>
        <w:t> </w:t>
      </w:r>
      <w:r>
        <w:rPr>
          <w:rFonts w:ascii="宋体" w:hAnsi="宋体" w:cs="宋体" w:eastAsia="宋体" w:hint="default"/>
        </w:rPr>
        <w:t>规模化部署提供有力的基础网络支撑。布局</w:t>
      </w:r>
      <w:r>
        <w:rPr>
          <w:rFonts w:ascii="宋体" w:hAnsi="宋体" w:cs="宋体" w:eastAsia="宋体" w:hint="default"/>
          <w:spacing w:val="-46"/>
        </w:rPr>
        <w:t> </w:t>
      </w:r>
      <w:r>
        <w:rPr>
          <w:rFonts w:ascii="宋体" w:hAnsi="宋体" w:cs="宋体" w:eastAsia="宋体" w:hint="default"/>
          <w:w w:val="110"/>
        </w:rPr>
        <w:t>5G，做好</w:t>
      </w:r>
      <w:r>
        <w:rPr>
          <w:rFonts w:ascii="宋体" w:hAnsi="宋体" w:cs="宋体" w:eastAsia="宋体" w:hint="default"/>
          <w:spacing w:val="1"/>
        </w:rPr>
        <w:t> </w:t>
      </w:r>
      <w:r>
        <w:rPr>
          <w:rFonts w:ascii="宋体" w:hAnsi="宋体" w:cs="宋体" w:eastAsia="宋体" w:hint="default"/>
        </w:rPr>
        <w:t>统筹规划，推进</w:t>
      </w:r>
      <w:r>
        <w:rPr>
          <w:rFonts w:ascii="宋体" w:hAnsi="宋体" w:cs="宋体" w:eastAsia="宋体" w:hint="default"/>
          <w:spacing w:val="-28"/>
        </w:rPr>
        <w:t> </w:t>
      </w:r>
      <w:r>
        <w:rPr>
          <w:rFonts w:ascii="宋体" w:hAnsi="宋体" w:cs="宋体" w:eastAsia="宋体" w:hint="default"/>
        </w:rPr>
        <w:t>17</w:t>
      </w:r>
      <w:r>
        <w:rPr>
          <w:rFonts w:ascii="宋体" w:hAnsi="宋体" w:cs="宋体" w:eastAsia="宋体" w:hint="default"/>
          <w:spacing w:val="-29"/>
        </w:rPr>
        <w:t> </w:t>
      </w:r>
      <w:r>
        <w:rPr>
          <w:rFonts w:ascii="宋体" w:hAnsi="宋体" w:cs="宋体" w:eastAsia="宋体" w:hint="default"/>
        </w:rPr>
        <w:t>个城市</w:t>
      </w:r>
      <w:r>
        <w:rPr>
          <w:rFonts w:ascii="宋体" w:hAnsi="宋体" w:cs="宋体" w:eastAsia="宋体" w:hint="default"/>
          <w:spacing w:val="-28"/>
        </w:rPr>
        <w:t> </w:t>
      </w:r>
      <w:r>
        <w:rPr>
          <w:rFonts w:ascii="宋体" w:hAnsi="宋体" w:cs="宋体" w:eastAsia="宋体" w:hint="default"/>
        </w:rPr>
        <w:t>5G</w:t>
      </w:r>
      <w:r>
        <w:rPr>
          <w:rFonts w:ascii="宋体" w:hAnsi="宋体" w:cs="宋体" w:eastAsia="宋体" w:hint="default"/>
          <w:spacing w:val="-29"/>
        </w:rPr>
        <w:t> </w:t>
      </w:r>
      <w:r>
        <w:rPr>
          <w:rFonts w:ascii="宋体" w:hAnsi="宋体" w:cs="宋体" w:eastAsia="宋体" w:hint="default"/>
        </w:rPr>
        <w:t>示范和试点。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6"/>
          <w:szCs w:val="26"/>
        </w:rPr>
      </w:pPr>
    </w:p>
    <w:p>
      <w:pPr>
        <w:spacing w:line="4967" w:lineRule="exact"/>
        <w:ind w:left="1718" w:right="0" w:firstLine="0"/>
        <w:rPr>
          <w:rFonts w:ascii="宋体" w:hAnsi="宋体" w:cs="宋体" w:eastAsia="宋体" w:hint="default"/>
          <w:sz w:val="20"/>
          <w:szCs w:val="20"/>
        </w:rPr>
      </w:pPr>
      <w:r>
        <w:rPr>
          <w:rFonts w:ascii="宋体" w:hAnsi="宋体" w:cs="宋体" w:eastAsia="宋体" w:hint="default"/>
          <w:position w:val="-98"/>
          <w:sz w:val="20"/>
          <w:szCs w:val="20"/>
        </w:rPr>
        <w:pict>
          <v:group style="width:464.05pt;height:248.4pt;mso-position-horizontal-relative:char;mso-position-vertical-relative:line" coordorigin="0,0" coordsize="9281,4968">
            <v:shape style="position:absolute;left:8310;top:3362;width:188;height:188" type="#_x0000_t75" stroked="false">
              <v:imagedata r:id="rId75" o:title=""/>
            </v:shape>
            <v:group style="position:absolute;left:5550;top:3456;width:2831;height:2" coordorigin="5550,3456" coordsize="2831,2">
              <v:shape style="position:absolute;left:5550;top:3456;width:2831;height:2" coordorigin="5550,3456" coordsize="2831,0" path="m8380,3456l5550,3456e" filled="false" stroked="true" strokeweight=".956pt" strokecolor="#9c8758">
                <v:path arrowok="t"/>
              </v:shape>
              <v:shape style="position:absolute;left:9092;top:2337;width:188;height:188" type="#_x0000_t75" stroked="false">
                <v:imagedata r:id="rId76" o:title=""/>
              </v:shape>
            </v:group>
            <v:group style="position:absolute;left:6332;top:2431;width:2831;height:2" coordorigin="6332,2431" coordsize="2831,2">
              <v:shape style="position:absolute;left:6332;top:2431;width:2831;height:2" coordorigin="6332,2431" coordsize="2831,0" path="m9163,2431l6332,2431e" filled="false" stroked="true" strokeweight=".956pt" strokecolor="#8e9090">
                <v:path arrowok="t"/>
              </v:shape>
              <v:shape style="position:absolute;left:8055;top:2852;width:188;height:188" type="#_x0000_t75" stroked="false">
                <v:imagedata r:id="rId77" o:title=""/>
              </v:shape>
            </v:group>
            <v:group style="position:absolute;left:5295;top:2946;width:2831;height:2" coordorigin="5295,2946" coordsize="2831,2">
              <v:shape style="position:absolute;left:5295;top:2946;width:2831;height:2" coordorigin="5295,2946" coordsize="2831,0" path="m8125,2946l5295,2946e" filled="false" stroked="true" strokeweight=".956pt" strokecolor="#000000">
                <v:path arrowok="t"/>
              </v:shape>
              <v:shape style="position:absolute;left:0;top:0;width:7353;height:4967" type="#_x0000_t75" stroked="false">
                <v:imagedata r:id="rId78" o:title=""/>
              </v:shape>
            </v:group>
          </v:group>
        </w:pict>
      </w:r>
      <w:r>
        <w:rPr>
          <w:rFonts w:ascii="宋体" w:hAnsi="宋体" w:cs="宋体" w:eastAsia="宋体" w:hint="default"/>
          <w:position w:val="-98"/>
          <w:sz w:val="20"/>
          <w:szCs w:val="20"/>
        </w:rPr>
      </w:r>
    </w:p>
    <w:p>
      <w:pPr>
        <w:spacing w:after="0" w:line="4967" w:lineRule="exact"/>
        <w:rPr>
          <w:rFonts w:ascii="宋体" w:hAnsi="宋体" w:cs="宋体" w:eastAsia="宋体" w:hint="default"/>
          <w:sz w:val="20"/>
          <w:szCs w:val="20"/>
        </w:rPr>
        <w:sectPr>
          <w:headerReference w:type="default" r:id="rId73"/>
          <w:footerReference w:type="default" r:id="rId74"/>
          <w:pgSz w:w="11910" w:h="16160"/>
          <w:pgMar w:header="0" w:footer="298" w:top="2420" w:bottom="4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pStyle w:val="Heading1"/>
        <w:spacing w:line="897" w:lineRule="exact"/>
        <w:ind w:left="377" w:right="95"/>
        <w:jc w:val="left"/>
      </w:pPr>
      <w:r>
        <w:rPr>
          <w:spacing w:val="47"/>
        </w:rPr>
        <w:t>经营情况</w:t>
      </w:r>
      <w:r>
        <w:rPr/>
      </w:r>
    </w:p>
    <w:p>
      <w:pPr>
        <w:spacing w:line="1204" w:lineRule="exact" w:before="0"/>
        <w:ind w:left="377" w:right="95" w:firstLine="0"/>
        <w:jc w:val="left"/>
        <w:rPr>
          <w:rFonts w:ascii="宋体" w:hAnsi="宋体" w:cs="宋体" w:eastAsia="宋体" w:hint="default"/>
          <w:sz w:val="96"/>
          <w:szCs w:val="96"/>
        </w:rPr>
      </w:pPr>
      <w:r>
        <w:rPr>
          <w:rFonts w:ascii="宋体" w:hAnsi="宋体" w:cs="宋体" w:eastAsia="宋体" w:hint="default"/>
          <w:spacing w:val="47"/>
          <w:sz w:val="96"/>
          <w:szCs w:val="96"/>
        </w:rPr>
        <w:t>讨论与分析</w:t>
      </w:r>
      <w:r>
        <w:rPr>
          <w:rFonts w:ascii="宋体" w:hAnsi="宋体" w:cs="宋体" w:eastAsia="宋体" w:hint="default"/>
          <w:sz w:val="96"/>
          <w:szCs w:val="96"/>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pStyle w:val="BodyText"/>
        <w:spacing w:line="240" w:lineRule="auto"/>
        <w:ind w:left="377" w:right="0"/>
        <w:jc w:val="both"/>
        <w:rPr>
          <w:rFonts w:ascii="宋体" w:hAnsi="宋体" w:cs="宋体" w:eastAsia="宋体" w:hint="default"/>
        </w:rPr>
      </w:pPr>
      <w:r>
        <w:rPr>
          <w:rFonts w:ascii="宋体" w:hAnsi="宋体" w:cs="宋体" w:eastAsia="宋体" w:hint="default"/>
        </w:rPr>
        <w:t>概述</w:t>
      </w:r>
    </w:p>
    <w:p>
      <w:pPr>
        <w:spacing w:line="240" w:lineRule="auto" w:before="12"/>
        <w:rPr>
          <w:rFonts w:ascii="宋体" w:hAnsi="宋体" w:cs="宋体" w:eastAsia="宋体" w:hint="default"/>
          <w:sz w:val="17"/>
          <w:szCs w:val="17"/>
        </w:rPr>
      </w:pPr>
    </w:p>
    <w:p>
      <w:pPr>
        <w:pStyle w:val="BodyText"/>
        <w:spacing w:line="285" w:lineRule="auto"/>
        <w:ind w:left="377" w:right="2987"/>
        <w:jc w:val="both"/>
        <w:rPr>
          <w:rFonts w:ascii="宋体" w:hAnsi="宋体" w:cs="宋体" w:eastAsia="宋体" w:hint="default"/>
        </w:rPr>
      </w:pPr>
      <w:r>
        <w:rPr>
          <w:rFonts w:ascii="宋体" w:hAnsi="宋体" w:cs="宋体" w:eastAsia="宋体" w:hint="default"/>
          <w:spacing w:val="-1"/>
          <w:w w:val="111"/>
        </w:rPr>
        <w:t>2018</w:t>
      </w:r>
      <w:r>
        <w:rPr>
          <w:rFonts w:ascii="宋体" w:hAnsi="宋体" w:cs="宋体" w:eastAsia="宋体" w:hint="default"/>
          <w:spacing w:val="-54"/>
          <w:w w:val="111"/>
        </w:rPr>
        <w:t> </w:t>
      </w:r>
      <w:r>
        <w:rPr>
          <w:rFonts w:ascii="宋体" w:hAnsi="宋体" w:cs="宋体" w:eastAsia="宋体" w:hint="default"/>
        </w:rPr>
        <w:t>年公司全面深化实施聚焦战略，主营业务收入稳步提升，达到人民币</w:t>
      </w:r>
      <w:r>
        <w:rPr>
          <w:rFonts w:ascii="宋体" w:hAnsi="宋体" w:cs="宋体" w:eastAsia="宋体" w:hint="default"/>
          <w:spacing w:val="-44"/>
        </w:rPr>
        <w:t> </w:t>
      </w:r>
      <w:r>
        <w:rPr>
          <w:rFonts w:ascii="宋体" w:hAnsi="宋体" w:cs="宋体" w:eastAsia="宋体" w:hint="default"/>
          <w:spacing w:val="-1"/>
          <w:w w:val="95"/>
        </w:rPr>
        <w:t>2,636.8</w:t>
      </w:r>
      <w:r>
        <w:rPr>
          <w:rFonts w:ascii="宋体" w:hAnsi="宋体" w:cs="宋体" w:eastAsia="宋体" w:hint="default"/>
          <w:w w:val="111"/>
        </w:rPr>
        <w:t> </w:t>
      </w:r>
      <w:r>
        <w:rPr>
          <w:rFonts w:ascii="宋体" w:hAnsi="宋体" w:cs="宋体" w:eastAsia="宋体" w:hint="default"/>
        </w:rPr>
        <w:t>亿元，同比增长</w:t>
      </w:r>
      <w:r>
        <w:rPr>
          <w:rFonts w:ascii="宋体" w:hAnsi="宋体" w:cs="宋体" w:eastAsia="宋体" w:hint="default"/>
          <w:spacing w:val="-56"/>
        </w:rPr>
        <w:t> </w:t>
      </w:r>
      <w:r>
        <w:rPr>
          <w:rFonts w:ascii="宋体" w:hAnsi="宋体" w:cs="宋体" w:eastAsia="宋体" w:hint="default"/>
          <w:spacing w:val="-1"/>
          <w:w w:val="104"/>
        </w:rPr>
        <w:t>5.9%。归属于母公司净利润实现人民币</w:t>
      </w:r>
      <w:r>
        <w:rPr>
          <w:rFonts w:ascii="宋体" w:hAnsi="宋体" w:cs="宋体" w:eastAsia="宋体" w:hint="default"/>
          <w:spacing w:val="-60"/>
          <w:w w:val="104"/>
        </w:rPr>
        <w:t> </w:t>
      </w:r>
      <w:r>
        <w:rPr>
          <w:rFonts w:ascii="宋体" w:hAnsi="宋体" w:cs="宋体" w:eastAsia="宋体" w:hint="default"/>
          <w:spacing w:val="-1"/>
          <w:w w:val="97"/>
        </w:rPr>
        <w:t>40.8</w:t>
      </w:r>
      <w:r>
        <w:rPr>
          <w:rFonts w:ascii="宋体" w:hAnsi="宋体" w:cs="宋体" w:eastAsia="宋体" w:hint="default"/>
          <w:spacing w:val="-54"/>
          <w:w w:val="97"/>
        </w:rPr>
        <w:t> </w:t>
      </w:r>
      <w:r>
        <w:rPr>
          <w:rFonts w:ascii="宋体" w:hAnsi="宋体" w:cs="宋体" w:eastAsia="宋体" w:hint="default"/>
        </w:rPr>
        <w:t>亿元，同比增加人民</w:t>
      </w:r>
      <w:r>
        <w:rPr>
          <w:rFonts w:ascii="宋体" w:hAnsi="宋体" w:cs="宋体" w:eastAsia="宋体" w:hint="default"/>
        </w:rPr>
        <w:t> 币</w:t>
      </w:r>
      <w:r>
        <w:rPr>
          <w:rFonts w:ascii="宋体" w:hAnsi="宋体" w:cs="宋体" w:eastAsia="宋体" w:hint="default"/>
          <w:spacing w:val="-51"/>
        </w:rPr>
        <w:t> </w:t>
      </w:r>
      <w:r>
        <w:rPr>
          <w:rFonts w:ascii="宋体" w:hAnsi="宋体" w:cs="宋体" w:eastAsia="宋体" w:hint="default"/>
        </w:rPr>
        <w:t>36.5</w:t>
      </w:r>
      <w:r>
        <w:rPr>
          <w:rFonts w:ascii="宋体" w:hAnsi="宋体" w:cs="宋体" w:eastAsia="宋体" w:hint="default"/>
          <w:spacing w:val="-52"/>
        </w:rPr>
        <w:t> </w:t>
      </w:r>
      <w:r>
        <w:rPr>
          <w:rFonts w:ascii="宋体" w:hAnsi="宋体" w:cs="宋体" w:eastAsia="宋体" w:hint="default"/>
        </w:rPr>
        <w:t>亿元。</w:t>
      </w:r>
    </w:p>
    <w:p>
      <w:pPr>
        <w:pStyle w:val="BodyText"/>
        <w:spacing w:line="285" w:lineRule="auto" w:before="123"/>
        <w:ind w:left="377" w:right="2972"/>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1"/>
        </w:rPr>
        <w:t> </w:t>
      </w:r>
      <w:r>
        <w:rPr>
          <w:rFonts w:ascii="宋体" w:hAnsi="宋体" w:cs="宋体" w:eastAsia="宋体" w:hint="default"/>
        </w:rPr>
        <w:t>年公司经营活动现金流量净额为人民币</w:t>
      </w:r>
      <w:r>
        <w:rPr>
          <w:rFonts w:ascii="宋体" w:hAnsi="宋体" w:cs="宋体" w:eastAsia="宋体" w:hint="default"/>
          <w:spacing w:val="-41"/>
        </w:rPr>
        <w:t> </w:t>
      </w:r>
      <w:r>
        <w:rPr>
          <w:rFonts w:ascii="宋体" w:hAnsi="宋体" w:cs="宋体" w:eastAsia="宋体" w:hint="default"/>
        </w:rPr>
        <w:t>948.3</w:t>
      </w:r>
      <w:r>
        <w:rPr>
          <w:rFonts w:ascii="宋体" w:hAnsi="宋体" w:cs="宋体" w:eastAsia="宋体" w:hint="default"/>
          <w:spacing w:val="-41"/>
        </w:rPr>
        <w:t> </w:t>
      </w:r>
      <w:r>
        <w:rPr>
          <w:rFonts w:ascii="宋体" w:hAnsi="宋体" w:cs="宋体" w:eastAsia="宋体" w:hint="default"/>
        </w:rPr>
        <w:t>亿元，资本开支为人民币</w:t>
      </w:r>
      <w:r>
        <w:rPr>
          <w:rFonts w:ascii="宋体" w:hAnsi="宋体" w:cs="宋体" w:eastAsia="宋体" w:hint="default"/>
          <w:spacing w:val="-41"/>
        </w:rPr>
        <w:t> </w:t>
      </w:r>
      <w:r>
        <w:rPr>
          <w:rFonts w:ascii="宋体" w:hAnsi="宋体" w:cs="宋体" w:eastAsia="宋体" w:hint="default"/>
        </w:rPr>
        <w:t>448.7</w:t>
      </w:r>
      <w:r>
        <w:rPr>
          <w:rFonts w:ascii="宋体" w:hAnsi="宋体" w:cs="宋体" w:eastAsia="宋体" w:hint="default"/>
          <w:w w:val="99"/>
        </w:rPr>
        <w:t> </w:t>
      </w:r>
      <w:r>
        <w:rPr>
          <w:rFonts w:ascii="宋体" w:hAnsi="宋体" w:cs="宋体" w:eastAsia="宋体" w:hint="default"/>
        </w:rPr>
        <w:t>亿元。截至 2018 年底，公司资产负债率为</w:t>
      </w:r>
      <w:r>
        <w:rPr>
          <w:rFonts w:ascii="宋体" w:hAnsi="宋体" w:cs="宋体" w:eastAsia="宋体" w:hint="default"/>
          <w:spacing w:val="-17"/>
        </w:rPr>
        <w:t> </w:t>
      </w:r>
      <w:r>
        <w:rPr>
          <w:rFonts w:ascii="宋体" w:hAnsi="宋体" w:cs="宋体" w:eastAsia="宋体" w:hint="default"/>
        </w:rPr>
        <w:t>41.5%。</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59"/>
        <w:ind w:left="377" w:right="0"/>
        <w:jc w:val="both"/>
        <w:rPr>
          <w:rFonts w:ascii="宋体" w:hAnsi="宋体" w:cs="宋体" w:eastAsia="宋体" w:hint="default"/>
        </w:rPr>
      </w:pPr>
      <w:r>
        <w:rPr>
          <w:rFonts w:ascii="宋体" w:hAnsi="宋体" w:cs="宋体" w:eastAsia="宋体" w:hint="default"/>
        </w:rPr>
        <w:t>营业收入</w:t>
      </w:r>
    </w:p>
    <w:p>
      <w:pPr>
        <w:spacing w:line="240" w:lineRule="auto" w:before="12"/>
        <w:rPr>
          <w:rFonts w:ascii="宋体" w:hAnsi="宋体" w:cs="宋体" w:eastAsia="宋体" w:hint="default"/>
          <w:sz w:val="17"/>
          <w:szCs w:val="17"/>
        </w:rPr>
      </w:pPr>
    </w:p>
    <w:p>
      <w:pPr>
        <w:pStyle w:val="BodyText"/>
        <w:spacing w:line="285" w:lineRule="auto"/>
        <w:ind w:left="377" w:right="3758"/>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5"/>
        </w:rPr>
        <w:t> </w:t>
      </w:r>
      <w:r>
        <w:rPr>
          <w:rFonts w:ascii="宋体" w:hAnsi="宋体" w:cs="宋体" w:eastAsia="宋体" w:hint="default"/>
        </w:rPr>
        <w:t>年公司营业收入实现人民币</w:t>
      </w:r>
      <w:r>
        <w:rPr>
          <w:rFonts w:ascii="宋体" w:hAnsi="宋体" w:cs="宋体" w:eastAsia="宋体" w:hint="default"/>
          <w:spacing w:val="-35"/>
        </w:rPr>
        <w:t> </w:t>
      </w:r>
      <w:r>
        <w:rPr>
          <w:rFonts w:ascii="宋体" w:hAnsi="宋体" w:cs="宋体" w:eastAsia="宋体" w:hint="default"/>
        </w:rPr>
        <w:t>2,908.8</w:t>
      </w:r>
      <w:r>
        <w:rPr>
          <w:rFonts w:ascii="宋体" w:hAnsi="宋体" w:cs="宋体" w:eastAsia="宋体" w:hint="default"/>
          <w:spacing w:val="-35"/>
        </w:rPr>
        <w:t> </w:t>
      </w:r>
      <w:r>
        <w:rPr>
          <w:rFonts w:ascii="宋体" w:hAnsi="宋体" w:cs="宋体" w:eastAsia="宋体" w:hint="default"/>
        </w:rPr>
        <w:t>亿元，同比增长</w:t>
      </w:r>
      <w:r>
        <w:rPr>
          <w:rFonts w:ascii="宋体" w:hAnsi="宋体" w:cs="宋体" w:eastAsia="宋体" w:hint="default"/>
          <w:spacing w:val="-35"/>
        </w:rPr>
        <w:t> </w:t>
      </w:r>
      <w:r>
        <w:rPr>
          <w:rFonts w:ascii="宋体" w:hAnsi="宋体" w:cs="宋体" w:eastAsia="宋体" w:hint="default"/>
        </w:rPr>
        <w:t>5.8%。其中，</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rPr>
        <w:t>主营业务收入为人民币</w:t>
      </w:r>
      <w:r>
        <w:rPr>
          <w:rFonts w:ascii="宋体" w:hAnsi="宋体" w:cs="宋体" w:eastAsia="宋体" w:hint="default"/>
          <w:spacing w:val="-32"/>
        </w:rPr>
        <w:t> </w:t>
      </w:r>
      <w:r>
        <w:rPr>
          <w:rFonts w:ascii="宋体" w:hAnsi="宋体" w:cs="宋体" w:eastAsia="宋体" w:hint="default"/>
        </w:rPr>
        <w:t>2,636.8</w:t>
      </w:r>
      <w:r>
        <w:rPr>
          <w:rFonts w:ascii="宋体" w:hAnsi="宋体" w:cs="宋体" w:eastAsia="宋体" w:hint="default"/>
          <w:spacing w:val="-34"/>
        </w:rPr>
        <w:t> </w:t>
      </w:r>
      <w:r>
        <w:rPr>
          <w:rFonts w:ascii="宋体" w:hAnsi="宋体" w:cs="宋体" w:eastAsia="宋体" w:hint="default"/>
        </w:rPr>
        <w:t>亿元，同比增长</w:t>
      </w:r>
      <w:r>
        <w:rPr>
          <w:rFonts w:ascii="宋体" w:hAnsi="宋体" w:cs="宋体" w:eastAsia="宋体" w:hint="default"/>
          <w:spacing w:val="-32"/>
        </w:rPr>
        <w:t> </w:t>
      </w:r>
      <w:r>
        <w:rPr>
          <w:rFonts w:ascii="宋体" w:hAnsi="宋体" w:cs="宋体" w:eastAsia="宋体" w:hint="default"/>
        </w:rPr>
        <w:t>5.9%。</w:t>
      </w:r>
    </w:p>
    <w:p>
      <w:pPr>
        <w:spacing w:after="0" w:line="285" w:lineRule="auto"/>
        <w:jc w:val="left"/>
        <w:rPr>
          <w:rFonts w:ascii="宋体" w:hAnsi="宋体" w:cs="宋体" w:eastAsia="宋体" w:hint="default"/>
        </w:rPr>
        <w:sectPr>
          <w:headerReference w:type="even" r:id="rId79"/>
          <w:footerReference w:type="even" r:id="rId80"/>
          <w:pgSz w:w="11910" w:h="16160"/>
          <w:pgMar w:header="0" w:footer="0" w:top="1520" w:bottom="0" w:left="700" w:right="1340"/>
        </w:sectPr>
      </w:pPr>
    </w:p>
    <w:p>
      <w:pPr>
        <w:pStyle w:val="BodyText"/>
        <w:spacing w:line="285" w:lineRule="auto" w:before="123"/>
        <w:ind w:left="377" w:right="-4"/>
        <w:jc w:val="left"/>
        <w:rPr>
          <w:rFonts w:ascii="宋体" w:hAnsi="宋体" w:cs="宋体" w:eastAsia="宋体" w:hint="default"/>
        </w:rPr>
      </w:pPr>
      <w:r>
        <w:rPr>
          <w:rFonts w:ascii="宋体" w:hAnsi="宋体" w:cs="宋体" w:eastAsia="宋体" w:hint="default"/>
          <w:spacing w:val="5"/>
        </w:rPr>
        <w:t>下表反映了公司</w:t>
      </w:r>
      <w:r>
        <w:rPr>
          <w:rFonts w:ascii="宋体" w:hAnsi="宋体" w:cs="宋体" w:eastAsia="宋体" w:hint="default"/>
          <w:spacing w:val="-27"/>
        </w:rPr>
        <w:t> </w:t>
      </w: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spacing w:val="3"/>
        </w:rPr>
        <w:t>年和</w:t>
      </w:r>
      <w:r>
        <w:rPr>
          <w:rFonts w:ascii="宋体" w:hAnsi="宋体" w:cs="宋体" w:eastAsia="宋体" w:hint="default"/>
          <w:spacing w:val="-27"/>
        </w:rPr>
        <w:t> </w:t>
      </w:r>
      <w:r>
        <w:rPr>
          <w:rFonts w:ascii="宋体" w:hAnsi="宋体" w:cs="宋体" w:eastAsia="宋体" w:hint="default"/>
        </w:rPr>
        <w:t>2017</w:t>
      </w:r>
      <w:r>
        <w:rPr>
          <w:rFonts w:ascii="宋体" w:hAnsi="宋体" w:cs="宋体" w:eastAsia="宋体" w:hint="default"/>
          <w:spacing w:val="-27"/>
        </w:rPr>
        <w:t> </w:t>
      </w:r>
      <w:r>
        <w:rPr>
          <w:rFonts w:ascii="宋体" w:hAnsi="宋体" w:cs="宋体" w:eastAsia="宋体" w:hint="default"/>
          <w:spacing w:val="6"/>
        </w:rPr>
        <w:t>年主营业务收入构成的变化情</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况及各业务主营业务收入所占主营业务收入百分比情况：</w:t>
      </w:r>
    </w:p>
    <w:p>
      <w:pPr>
        <w:spacing w:line="240" w:lineRule="auto" w:before="0"/>
        <w:rPr>
          <w:rFonts w:ascii="宋体" w:hAnsi="宋体" w:cs="宋体" w:eastAsia="宋体" w:hint="default"/>
          <w:sz w:val="36"/>
          <w:szCs w:val="36"/>
        </w:rPr>
      </w:pPr>
      <w:r>
        <w:rPr/>
        <w:br w:type="column"/>
      </w:r>
      <w:r>
        <w:rPr>
          <w:rFonts w:ascii="宋体"/>
          <w:sz w:val="36"/>
        </w:rPr>
      </w:r>
    </w:p>
    <w:p>
      <w:pPr>
        <w:spacing w:line="240" w:lineRule="auto" w:before="5"/>
        <w:rPr>
          <w:rFonts w:ascii="宋体" w:hAnsi="宋体" w:cs="宋体" w:eastAsia="宋体" w:hint="default"/>
          <w:sz w:val="27"/>
          <w:szCs w:val="27"/>
        </w:rPr>
      </w:pPr>
    </w:p>
    <w:p>
      <w:pPr>
        <w:pStyle w:val="Heading5"/>
        <w:spacing w:line="240" w:lineRule="auto"/>
        <w:ind w:right="743"/>
        <w:jc w:val="center"/>
      </w:pPr>
      <w:r>
        <w:rPr/>
        <w:t>主营业务收入</w:t>
      </w:r>
    </w:p>
    <w:p>
      <w:pPr>
        <w:pStyle w:val="Heading7"/>
        <w:spacing w:line="308" w:lineRule="exact"/>
        <w:ind w:left="316" w:right="743"/>
        <w:jc w:val="center"/>
      </w:pPr>
      <w:r>
        <w:rPr>
          <w:spacing w:val="-33"/>
        </w:rPr>
        <w:t>（人民币亿元）</w:t>
      </w:r>
      <w:r>
        <w:rPr/>
      </w:r>
    </w:p>
    <w:p>
      <w:pPr>
        <w:spacing w:line="871" w:lineRule="exact" w:before="0"/>
        <w:ind w:left="369" w:right="743" w:firstLine="0"/>
        <w:jc w:val="center"/>
        <w:rPr>
          <w:rFonts w:ascii="宋体" w:hAnsi="宋体" w:cs="宋体" w:eastAsia="宋体" w:hint="default"/>
          <w:sz w:val="71"/>
          <w:szCs w:val="71"/>
        </w:rPr>
      </w:pPr>
      <w:r>
        <w:rPr>
          <w:rFonts w:ascii="宋体"/>
          <w:w w:val="125"/>
          <w:sz w:val="71"/>
        </w:rPr>
        <w:t>2,637</w:t>
      </w:r>
      <w:r>
        <w:rPr>
          <w:rFonts w:ascii="宋体"/>
          <w:sz w:val="71"/>
        </w:rPr>
      </w:r>
    </w:p>
    <w:p>
      <w:pPr>
        <w:spacing w:after="0" w:line="871" w:lineRule="exact"/>
        <w:jc w:val="center"/>
        <w:rPr>
          <w:rFonts w:ascii="宋体" w:hAnsi="宋体" w:cs="宋体" w:eastAsia="宋体" w:hint="default"/>
          <w:sz w:val="71"/>
          <w:szCs w:val="71"/>
        </w:rPr>
        <w:sectPr>
          <w:type w:val="continuous"/>
          <w:pgSz w:w="11910" w:h="16160"/>
          <w:pgMar w:top="1520" w:bottom="280" w:left="700" w:right="1340"/>
          <w:cols w:num="2" w:equalWidth="0">
            <w:col w:w="5445" w:space="1047"/>
            <w:col w:w="3378"/>
          </w:cols>
        </w:sectPr>
      </w:pPr>
    </w:p>
    <w:p>
      <w:pPr>
        <w:spacing w:line="240" w:lineRule="auto" w:before="0"/>
        <w:rPr>
          <w:rFonts w:ascii="宋体" w:hAnsi="宋体" w:cs="宋体" w:eastAsia="宋体" w:hint="default"/>
          <w:sz w:val="20"/>
          <w:szCs w:val="20"/>
        </w:rPr>
      </w:pPr>
      <w:r>
        <w:rPr/>
        <w:pict>
          <v:group style="position:absolute;margin-left:0pt;margin-top:-.000177pt;width:595.3pt;height:807.9pt;mso-position-horizontal-relative:page;mso-position-vertical-relative:page;z-index:-966856" coordorigin="0,0" coordsize="11906,16158">
            <v:group style="position:absolute;left:0;top:0;width:11906;height:16158" coordorigin="0,0" coordsize="11906,16158">
              <v:shape style="position:absolute;left:0;top:0;width:11906;height:16158" coordorigin="0,0" coordsize="11906,16158" path="m11906,0l0,0,0,16157,501,16157,11906,4753,11906,0xe" filled="true" fillcolor="#d7000f" stroked="false">
                <v:path arrowok="t"/>
                <v:fill type="solid"/>
              </v:shape>
            </v:group>
            <v:group style="position:absolute;left:4762;top:7098;width:7144;height:7144" coordorigin="4762,7098" coordsize="7144,7144">
              <v:shape style="position:absolute;left:4762;top:7098;width:7144;height:7144" coordorigin="4762,7098" coordsize="7144,7144" path="m11906,7098l4762,14241,11906,14241,11906,7098xe" filled="true" fillcolor="#8e9090" stroked="false">
                <v:path arrowok="t"/>
                <v:fill type="solid"/>
              </v:shape>
            </v:group>
            <v:group style="position:absolute;left:1396;top:8863;width:10510;height:7295" coordorigin="1396,8863" coordsize="10510,7295">
              <v:shape style="position:absolute;left:1396;top:8863;width:10510;height:7295" coordorigin="1396,8863" coordsize="10510,7295" path="m8691,8863l1396,16157,11906,16157,11906,12078,8691,8863xe" filled="true" fillcolor="#c9caca" stroked="false">
                <v:path arrowok="t"/>
                <v:fill type="solid"/>
              </v:shape>
            </v:group>
            <v:group style="position:absolute;left:7622;top:11874;width:4284;height:4284" coordorigin="7622,11874" coordsize="4284,4284">
              <v:shape style="position:absolute;left:7622;top:11874;width:4284;height:4284" coordorigin="7622,11874" coordsize="4284,4284" path="m11906,11874l7622,16157,11906,16157,11906,11874xe" filled="true" fillcolor="#d7000f" stroked="false">
                <v:path arrowok="t"/>
                <v:fill type="solid"/>
              </v:shape>
            </v:group>
            <v:group style="position:absolute;left:8322;top:12574;width:3584;height:3584" coordorigin="8322,12574" coordsize="3584,3584">
              <v:shape style="position:absolute;left:8322;top:12574;width:3584;height:3584" coordorigin="8322,12574" coordsize="3584,3584" path="m11906,12574l8322,16157,11906,16157,11906,12574xe" filled="true" fillcolor="#ffffff" stroked="false">
                <v:path arrowok="t"/>
                <v:fill type="solid"/>
              </v:shape>
            </v:group>
            <v:group style="position:absolute;left:10245;top:14497;width:1661;height:1661" coordorigin="10245,14497" coordsize="1661,1661">
              <v:shape style="position:absolute;left:10245;top:14497;width:1661;height:1661" coordorigin="10245,14497" coordsize="1661,1661" path="m11905,14497l10245,16157,11905,16157,11905,14497xe" filled="true" fillcolor="#9c8758"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tabs>
          <w:tab w:pos="5277" w:val="left" w:leader="none"/>
          <w:tab w:pos="7283" w:val="left" w:leader="none"/>
        </w:tabs>
        <w:spacing w:before="0"/>
        <w:ind w:left="114" w:right="95" w:firstLine="0"/>
        <w:jc w:val="left"/>
        <w:rPr>
          <w:rFonts w:ascii="宋体" w:hAnsi="宋体" w:cs="宋体" w:eastAsia="宋体" w:hint="default"/>
          <w:sz w:val="16"/>
          <w:szCs w:val="16"/>
        </w:rPr>
      </w:pPr>
      <w:r>
        <w:rPr>
          <w:rFonts w:ascii="Arial" w:hAnsi="Arial" w:cs="Arial" w:eastAsia="Arial" w:hint="default"/>
          <w:b/>
          <w:bCs/>
          <w:color w:val="FFFFFF"/>
          <w:spacing w:val="-1"/>
          <w:position w:val="3"/>
          <w:sz w:val="16"/>
          <w:szCs w:val="16"/>
        </w:rPr>
        <w:t>22</w:t>
        <w:tab/>
      </w:r>
      <w:r>
        <w:rPr>
          <w:rFonts w:ascii="宋体" w:hAnsi="宋体" w:cs="宋体" w:eastAsia="宋体" w:hint="default"/>
          <w:color w:val="595757"/>
          <w:spacing w:val="24"/>
          <w:position w:val="1"/>
          <w:sz w:val="16"/>
          <w:szCs w:val="16"/>
        </w:rPr>
        <w:t>经营情况讨论与分析</w:t>
        <w:tab/>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13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headerReference w:type="default" r:id="rId81"/>
          <w:footerReference w:type="default" r:id="rId82"/>
          <w:pgSz w:w="11910" w:h="16160"/>
          <w:pgMar w:header="0" w:footer="0" w:top="1520" w:bottom="0" w:left="1380" w:right="680"/>
        </w:sectPr>
      </w:pPr>
    </w:p>
    <w:p>
      <w:pPr>
        <w:spacing w:line="240" w:lineRule="auto" w:before="11"/>
        <w:rPr>
          <w:rFonts w:ascii="宋体" w:hAnsi="宋体" w:cs="宋体" w:eastAsia="宋体" w:hint="default"/>
          <w:sz w:val="52"/>
          <w:szCs w:val="52"/>
        </w:rPr>
      </w:pPr>
    </w:p>
    <w:p>
      <w:pPr>
        <w:pStyle w:val="Heading5"/>
        <w:spacing w:line="240" w:lineRule="auto"/>
        <w:ind w:left="940" w:right="0"/>
        <w:jc w:val="left"/>
        <w:rPr>
          <w:sz w:val="22"/>
          <w:szCs w:val="22"/>
        </w:rPr>
      </w:pPr>
      <w:r>
        <w:rPr>
          <w:spacing w:val="-8"/>
          <w:w w:val="154"/>
        </w:rPr>
        <w:t>E</w:t>
      </w:r>
      <w:r>
        <w:rPr>
          <w:spacing w:val="-5"/>
          <w:w w:val="165"/>
        </w:rPr>
        <w:t>B</w:t>
      </w:r>
      <w:r>
        <w:rPr>
          <w:spacing w:val="-4"/>
          <w:w w:val="69"/>
        </w:rPr>
        <w:t>I</w:t>
      </w:r>
      <w:r>
        <w:rPr>
          <w:spacing w:val="-3"/>
          <w:w w:val="149"/>
        </w:rPr>
        <w:t>T</w:t>
      </w:r>
      <w:r>
        <w:rPr>
          <w:spacing w:val="-12"/>
          <w:w w:val="163"/>
        </w:rPr>
        <w:t>D</w:t>
      </w:r>
      <w:r>
        <w:rPr>
          <w:spacing w:val="-17"/>
          <w:w w:val="163"/>
        </w:rPr>
        <w:t>A</w:t>
      </w:r>
      <w:r>
        <w:rPr>
          <w:w w:val="107"/>
          <w:position w:val="12"/>
          <w:sz w:val="22"/>
        </w:rPr>
        <w:t>1</w:t>
      </w:r>
      <w:r>
        <w:rPr>
          <w:sz w:val="22"/>
        </w:rPr>
      </w:r>
    </w:p>
    <w:p>
      <w:pPr>
        <w:pStyle w:val="Heading7"/>
        <w:spacing w:line="308" w:lineRule="exact"/>
        <w:ind w:left="867" w:right="135"/>
        <w:jc w:val="center"/>
      </w:pPr>
      <w:r>
        <w:rPr>
          <w:spacing w:val="-33"/>
        </w:rPr>
        <w:t>（人民币亿元）</w:t>
      </w:r>
      <w:r>
        <w:rPr/>
      </w:r>
    </w:p>
    <w:p>
      <w:pPr>
        <w:spacing w:line="871" w:lineRule="exact" w:before="0"/>
        <w:ind w:left="867" w:right="82" w:firstLine="0"/>
        <w:jc w:val="center"/>
        <w:rPr>
          <w:rFonts w:ascii="宋体" w:hAnsi="宋体" w:cs="宋体" w:eastAsia="宋体" w:hint="default"/>
          <w:sz w:val="71"/>
          <w:szCs w:val="71"/>
        </w:rPr>
      </w:pPr>
      <w:r>
        <w:rPr>
          <w:rFonts w:ascii="宋体"/>
          <w:w w:val="140"/>
          <w:sz w:val="71"/>
        </w:rPr>
        <w:t>852</w:t>
      </w:r>
      <w:r>
        <w:rPr>
          <w:rFonts w:ascii="宋体"/>
          <w:sz w:val="71"/>
        </w:rPr>
      </w:r>
    </w:p>
    <w:p>
      <w:pPr>
        <w:spacing w:line="200" w:lineRule="exact" w:before="253"/>
        <w:ind w:left="362" w:right="0" w:firstLine="0"/>
        <w:jc w:val="both"/>
        <w:rPr>
          <w:rFonts w:ascii="宋体" w:hAnsi="宋体" w:cs="宋体" w:eastAsia="宋体" w:hint="default"/>
          <w:sz w:val="16"/>
          <w:szCs w:val="16"/>
        </w:rPr>
      </w:pPr>
      <w:r>
        <w:rPr>
          <w:rFonts w:ascii="宋体" w:hAnsi="宋体" w:cs="宋体" w:eastAsia="宋体" w:hint="default"/>
          <w:sz w:val="16"/>
          <w:szCs w:val="16"/>
        </w:rPr>
        <w:t>注</w:t>
      </w:r>
      <w:r>
        <w:rPr>
          <w:rFonts w:ascii="宋体" w:hAnsi="宋体" w:cs="宋体" w:eastAsia="宋体" w:hint="default"/>
          <w:spacing w:val="6"/>
          <w:sz w:val="16"/>
          <w:szCs w:val="16"/>
        </w:rPr>
        <w:t> </w:t>
      </w:r>
      <w:r>
        <w:rPr>
          <w:rFonts w:ascii="宋体" w:hAnsi="宋体" w:cs="宋体" w:eastAsia="宋体" w:hint="default"/>
          <w:sz w:val="16"/>
          <w:szCs w:val="16"/>
        </w:rPr>
        <w:t>1：EBITDA</w:t>
      </w:r>
      <w:r>
        <w:rPr>
          <w:rFonts w:ascii="宋体" w:hAnsi="宋体" w:cs="宋体" w:eastAsia="宋体" w:hint="default"/>
          <w:spacing w:val="6"/>
          <w:sz w:val="16"/>
          <w:szCs w:val="16"/>
        </w:rPr>
        <w:t> </w:t>
      </w:r>
      <w:r>
        <w:rPr>
          <w:rFonts w:ascii="宋体" w:hAnsi="宋体" w:cs="宋体" w:eastAsia="宋体" w:hint="default"/>
          <w:spacing w:val="9"/>
          <w:sz w:val="16"/>
          <w:szCs w:val="16"/>
        </w:rPr>
        <w:t>反映了加回财务费</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z w:val="16"/>
          <w:szCs w:val="16"/>
        </w:rPr>
        <w:t>用、所得税、营业成本及管理费用 </w:t>
      </w:r>
      <w:r>
        <w:rPr>
          <w:rFonts w:ascii="宋体" w:hAnsi="宋体" w:cs="宋体" w:eastAsia="宋体" w:hint="default"/>
          <w:spacing w:val="12"/>
          <w:sz w:val="16"/>
          <w:szCs w:val="16"/>
        </w:rPr>
        <w:t>中的折旧及摊销以及减去投资收</w:t>
      </w:r>
      <w:r>
        <w:rPr>
          <w:rFonts w:ascii="宋体" w:hAnsi="宋体" w:cs="宋体" w:eastAsia="宋体" w:hint="default"/>
          <w:sz w:val="16"/>
          <w:szCs w:val="16"/>
        </w:rPr>
        <w:t> 益、公允价值变动净收益、其他收 益、营业外净收入的净利润。</w:t>
      </w:r>
    </w:p>
    <w:p>
      <w:pPr>
        <w:spacing w:line="439" w:lineRule="exact" w:before="0"/>
        <w:ind w:left="1498" w:right="1570" w:firstLine="0"/>
        <w:jc w:val="center"/>
        <w:rPr>
          <w:rFonts w:ascii="宋体" w:hAnsi="宋体" w:cs="宋体" w:eastAsia="宋体" w:hint="default"/>
          <w:sz w:val="22"/>
          <w:szCs w:val="22"/>
        </w:rPr>
      </w:pPr>
      <w:r>
        <w:rPr>
          <w:w w:val="105"/>
        </w:rPr>
        <w:br w:type="column"/>
      </w:r>
      <w:r>
        <w:rPr>
          <w:rFonts w:ascii="宋体" w:hAnsi="宋体" w:cs="宋体" w:eastAsia="宋体" w:hint="default"/>
          <w:w w:val="105"/>
          <w:sz w:val="37"/>
          <w:szCs w:val="37"/>
        </w:rPr>
        <w:t>利润总额</w:t>
      </w:r>
      <w:r>
        <w:rPr>
          <w:rFonts w:ascii="宋体" w:hAnsi="宋体" w:cs="宋体" w:eastAsia="宋体" w:hint="default"/>
          <w:w w:val="105"/>
          <w:position w:val="12"/>
          <w:sz w:val="22"/>
          <w:szCs w:val="22"/>
        </w:rPr>
        <w:t>2</w:t>
      </w:r>
      <w:r>
        <w:rPr>
          <w:rFonts w:ascii="宋体" w:hAnsi="宋体" w:cs="宋体" w:eastAsia="宋体" w:hint="default"/>
          <w:sz w:val="22"/>
          <w:szCs w:val="22"/>
        </w:rPr>
      </w:r>
    </w:p>
    <w:p>
      <w:pPr>
        <w:pStyle w:val="Heading7"/>
        <w:spacing w:line="308" w:lineRule="exact"/>
        <w:ind w:left="1498" w:right="1623"/>
        <w:jc w:val="center"/>
      </w:pPr>
      <w:r>
        <w:rPr>
          <w:spacing w:val="-33"/>
        </w:rPr>
        <w:t>（人民币亿元）</w:t>
      </w:r>
      <w:r>
        <w:rPr/>
      </w:r>
    </w:p>
    <w:p>
      <w:pPr>
        <w:spacing w:line="871" w:lineRule="exact" w:before="0"/>
        <w:ind w:left="1498" w:right="1569" w:firstLine="0"/>
        <w:jc w:val="center"/>
        <w:rPr>
          <w:rFonts w:ascii="宋体" w:hAnsi="宋体" w:cs="宋体" w:eastAsia="宋体" w:hint="default"/>
          <w:sz w:val="71"/>
          <w:szCs w:val="71"/>
        </w:rPr>
      </w:pPr>
      <w:r>
        <w:rPr>
          <w:rFonts w:ascii="宋体"/>
          <w:w w:val="120"/>
          <w:sz w:val="71"/>
        </w:rPr>
        <w:t>121</w:t>
      </w:r>
      <w:r>
        <w:rPr>
          <w:rFonts w:ascii="宋体"/>
          <w:sz w:val="71"/>
        </w:rPr>
      </w:r>
    </w:p>
    <w:p>
      <w:pPr>
        <w:spacing w:line="200" w:lineRule="exact" w:before="211"/>
        <w:ind w:left="424" w:right="1700" w:firstLine="0"/>
        <w:jc w:val="both"/>
        <w:rPr>
          <w:rFonts w:ascii="宋体" w:hAnsi="宋体" w:cs="宋体" w:eastAsia="宋体" w:hint="default"/>
          <w:sz w:val="16"/>
          <w:szCs w:val="16"/>
        </w:rPr>
      </w:pPr>
      <w:r>
        <w:rPr>
          <w:rFonts w:ascii="宋体" w:hAnsi="宋体" w:cs="宋体" w:eastAsia="宋体" w:hint="default"/>
          <w:sz w:val="16"/>
          <w:szCs w:val="16"/>
        </w:rPr>
        <w:t>注</w:t>
      </w:r>
      <w:r>
        <w:rPr>
          <w:rFonts w:ascii="宋体" w:hAnsi="宋体" w:cs="宋体" w:eastAsia="宋体" w:hint="default"/>
          <w:spacing w:val="-29"/>
          <w:sz w:val="16"/>
          <w:szCs w:val="16"/>
        </w:rPr>
        <w:t> </w:t>
      </w:r>
      <w:r>
        <w:rPr>
          <w:rFonts w:ascii="宋体" w:hAnsi="宋体" w:cs="宋体" w:eastAsia="宋体" w:hint="default"/>
          <w:spacing w:val="3"/>
          <w:sz w:val="16"/>
          <w:szCs w:val="16"/>
        </w:rPr>
        <w:t>2：于</w:t>
      </w:r>
      <w:r>
        <w:rPr>
          <w:rFonts w:ascii="宋体" w:hAnsi="宋体" w:cs="宋体" w:eastAsia="宋体" w:hint="default"/>
          <w:spacing w:val="-29"/>
          <w:sz w:val="16"/>
          <w:szCs w:val="16"/>
        </w:rPr>
        <w:t> </w:t>
      </w:r>
      <w:r>
        <w:rPr>
          <w:rFonts w:ascii="宋体" w:hAnsi="宋体" w:cs="宋体" w:eastAsia="宋体" w:hint="default"/>
          <w:sz w:val="16"/>
          <w:szCs w:val="16"/>
        </w:rPr>
        <w:t>2018</w:t>
      </w:r>
      <w:r>
        <w:rPr>
          <w:rFonts w:ascii="宋体" w:hAnsi="宋体" w:cs="宋体" w:eastAsia="宋体" w:hint="default"/>
          <w:spacing w:val="-29"/>
          <w:sz w:val="16"/>
          <w:szCs w:val="16"/>
        </w:rPr>
        <w:t> </w:t>
      </w:r>
      <w:r>
        <w:rPr>
          <w:rFonts w:ascii="宋体" w:hAnsi="宋体" w:cs="宋体" w:eastAsia="宋体" w:hint="default"/>
          <w:sz w:val="16"/>
          <w:szCs w:val="16"/>
        </w:rPr>
        <w:t>年</w:t>
      </w:r>
      <w:r>
        <w:rPr>
          <w:rFonts w:ascii="宋体" w:hAnsi="宋体" w:cs="宋体" w:eastAsia="宋体" w:hint="default"/>
          <w:spacing w:val="-29"/>
          <w:sz w:val="16"/>
          <w:szCs w:val="16"/>
        </w:rPr>
        <w:t> </w:t>
      </w:r>
      <w:r>
        <w:rPr>
          <w:rFonts w:ascii="宋体" w:hAnsi="宋体" w:cs="宋体" w:eastAsia="宋体" w:hint="default"/>
          <w:sz w:val="16"/>
          <w:szCs w:val="16"/>
        </w:rPr>
        <w:t>8</w:t>
      </w:r>
      <w:r>
        <w:rPr>
          <w:rFonts w:ascii="宋体" w:hAnsi="宋体" w:cs="宋体" w:eastAsia="宋体" w:hint="default"/>
          <w:spacing w:val="-29"/>
          <w:sz w:val="16"/>
          <w:szCs w:val="16"/>
        </w:rPr>
        <w:t> </w:t>
      </w:r>
      <w:r>
        <w:rPr>
          <w:rFonts w:ascii="宋体" w:hAnsi="宋体" w:cs="宋体" w:eastAsia="宋体" w:hint="default"/>
          <w:spacing w:val="8"/>
          <w:sz w:val="16"/>
          <w:szCs w:val="16"/>
        </w:rPr>
        <w:t>月，公司联营公司</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中国铁塔股份有限公司（中国铁塔）在</w:t>
      </w:r>
      <w:r>
        <w:rPr>
          <w:rFonts w:ascii="宋体" w:hAnsi="宋体" w:cs="宋体" w:eastAsia="宋体" w:hint="default"/>
          <w:spacing w:val="-50"/>
          <w:sz w:val="16"/>
          <w:szCs w:val="16"/>
        </w:rPr>
        <w:t> </w:t>
      </w:r>
      <w:r>
        <w:rPr>
          <w:rFonts w:ascii="宋体" w:hAnsi="宋体" w:cs="宋体" w:eastAsia="宋体" w:hint="default"/>
          <w:spacing w:val="-50"/>
          <w:sz w:val="16"/>
          <w:szCs w:val="16"/>
        </w:rPr>
      </w:r>
      <w:r>
        <w:rPr>
          <w:rFonts w:ascii="宋体" w:hAnsi="宋体" w:cs="宋体" w:eastAsia="宋体" w:hint="default"/>
          <w:sz w:val="16"/>
          <w:szCs w:val="16"/>
        </w:rPr>
        <w:t>香港联交所上市并发行新股，导致公司</w:t>
      </w:r>
      <w:r>
        <w:rPr>
          <w:rFonts w:ascii="宋体" w:hAnsi="宋体" w:cs="宋体" w:eastAsia="宋体" w:hint="default"/>
          <w:spacing w:val="-65"/>
          <w:sz w:val="16"/>
          <w:szCs w:val="16"/>
        </w:rPr>
        <w:t> </w:t>
      </w:r>
      <w:r>
        <w:rPr>
          <w:rFonts w:ascii="宋体" w:hAnsi="宋体" w:cs="宋体" w:eastAsia="宋体" w:hint="default"/>
          <w:spacing w:val="-65"/>
          <w:sz w:val="16"/>
          <w:szCs w:val="16"/>
        </w:rPr>
      </w:r>
      <w:r>
        <w:rPr>
          <w:rFonts w:ascii="宋体" w:hAnsi="宋体" w:cs="宋体" w:eastAsia="宋体" w:hint="default"/>
          <w:spacing w:val="12"/>
          <w:sz w:val="16"/>
          <w:szCs w:val="16"/>
        </w:rPr>
        <w:t>对中国铁塔的持股比例变化，使应占</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pacing w:val="1"/>
          <w:sz w:val="16"/>
          <w:szCs w:val="16"/>
        </w:rPr>
        <w:t>联营公司权益金额增加人民币</w:t>
      </w:r>
      <w:r>
        <w:rPr>
          <w:rFonts w:ascii="宋体" w:hAnsi="宋体" w:cs="宋体" w:eastAsia="宋体" w:hint="default"/>
          <w:spacing w:val="-34"/>
          <w:sz w:val="16"/>
          <w:szCs w:val="16"/>
        </w:rPr>
        <w:t> </w:t>
      </w:r>
      <w:r>
        <w:rPr>
          <w:rFonts w:ascii="宋体" w:hAnsi="宋体" w:cs="宋体" w:eastAsia="宋体" w:hint="default"/>
          <w:spacing w:val="-1"/>
          <w:w w:val="99"/>
          <w:sz w:val="16"/>
          <w:szCs w:val="16"/>
        </w:rPr>
        <w:t>14.74</w:t>
      </w:r>
      <w:r>
        <w:rPr>
          <w:rFonts w:ascii="宋体" w:hAnsi="宋体" w:cs="宋体" w:eastAsia="宋体" w:hint="default"/>
          <w:spacing w:val="-34"/>
          <w:w w:val="99"/>
          <w:sz w:val="16"/>
          <w:szCs w:val="16"/>
        </w:rPr>
        <w:t> </w:t>
      </w:r>
      <w:r>
        <w:rPr>
          <w:rFonts w:ascii="宋体" w:hAnsi="宋体" w:cs="宋体" w:eastAsia="宋体" w:hint="default"/>
          <w:sz w:val="16"/>
          <w:szCs w:val="16"/>
        </w:rPr>
        <w:t>亿</w:t>
      </w:r>
    </w:p>
    <w:p>
      <w:pPr>
        <w:spacing w:line="178" w:lineRule="exact" w:before="0"/>
        <w:ind w:left="424" w:right="0" w:firstLine="0"/>
        <w:jc w:val="both"/>
        <w:rPr>
          <w:rFonts w:ascii="宋体" w:hAnsi="宋体" w:cs="宋体" w:eastAsia="宋体" w:hint="default"/>
          <w:sz w:val="16"/>
          <w:szCs w:val="16"/>
        </w:rPr>
      </w:pPr>
      <w:r>
        <w:rPr>
          <w:rFonts w:ascii="宋体" w:hAnsi="宋体" w:cs="宋体" w:eastAsia="宋体" w:hint="default"/>
          <w:sz w:val="16"/>
          <w:szCs w:val="16"/>
        </w:rPr>
        <w:t>元</w:t>
      </w:r>
      <w:r>
        <w:rPr>
          <w:rFonts w:ascii="宋体" w:hAnsi="宋体" w:cs="宋体" w:eastAsia="宋体" w:hint="default"/>
          <w:spacing w:val="10"/>
          <w:sz w:val="16"/>
          <w:szCs w:val="16"/>
        </w:rPr>
        <w:t>，其中人民</w:t>
      </w:r>
      <w:r>
        <w:rPr>
          <w:rFonts w:ascii="宋体" w:hAnsi="宋体" w:cs="宋体" w:eastAsia="宋体" w:hint="default"/>
          <w:sz w:val="16"/>
          <w:szCs w:val="16"/>
        </w:rPr>
        <w:t>币</w:t>
      </w:r>
      <w:r>
        <w:rPr>
          <w:rFonts w:ascii="宋体" w:hAnsi="宋体" w:cs="宋体" w:eastAsia="宋体" w:hint="default"/>
          <w:spacing w:val="-38"/>
          <w:sz w:val="16"/>
          <w:szCs w:val="16"/>
        </w:rPr>
        <w:t> </w:t>
      </w:r>
      <w:r>
        <w:rPr>
          <w:rFonts w:ascii="宋体" w:hAnsi="宋体" w:cs="宋体" w:eastAsia="宋体" w:hint="default"/>
          <w:spacing w:val="-1"/>
          <w:w w:val="111"/>
          <w:sz w:val="16"/>
          <w:szCs w:val="16"/>
        </w:rPr>
        <w:t>6</w:t>
      </w:r>
      <w:r>
        <w:rPr>
          <w:rFonts w:ascii="宋体" w:hAnsi="宋体" w:cs="宋体" w:eastAsia="宋体" w:hint="default"/>
          <w:w w:val="55"/>
          <w:sz w:val="16"/>
          <w:szCs w:val="16"/>
        </w:rPr>
        <w:t>.</w:t>
      </w:r>
      <w:r>
        <w:rPr>
          <w:rFonts w:ascii="宋体" w:hAnsi="宋体" w:cs="宋体" w:eastAsia="宋体" w:hint="default"/>
          <w:spacing w:val="-1"/>
          <w:w w:val="111"/>
          <w:sz w:val="16"/>
          <w:szCs w:val="16"/>
        </w:rPr>
        <w:t>8</w:t>
      </w:r>
      <w:r>
        <w:rPr>
          <w:rFonts w:ascii="宋体" w:hAnsi="宋体" w:cs="宋体" w:eastAsia="宋体" w:hint="default"/>
          <w:w w:val="111"/>
          <w:sz w:val="16"/>
          <w:szCs w:val="16"/>
        </w:rPr>
        <w:t>2</w:t>
      </w:r>
      <w:r>
        <w:rPr>
          <w:rFonts w:ascii="宋体" w:hAnsi="宋体" w:cs="宋体" w:eastAsia="宋体" w:hint="default"/>
          <w:spacing w:val="-38"/>
          <w:sz w:val="16"/>
          <w:szCs w:val="16"/>
        </w:rPr>
        <w:t> </w:t>
      </w:r>
      <w:r>
        <w:rPr>
          <w:rFonts w:ascii="宋体" w:hAnsi="宋体" w:cs="宋体" w:eastAsia="宋体" w:hint="default"/>
          <w:spacing w:val="10"/>
          <w:sz w:val="16"/>
          <w:szCs w:val="16"/>
        </w:rPr>
        <w:t>亿元计入投资收</w:t>
      </w:r>
      <w:r>
        <w:rPr>
          <w:rFonts w:ascii="宋体" w:hAnsi="宋体" w:cs="宋体" w:eastAsia="宋体" w:hint="default"/>
          <w:sz w:val="16"/>
          <w:szCs w:val="16"/>
        </w:rPr>
      </w:r>
    </w:p>
    <w:p>
      <w:pPr>
        <w:spacing w:line="205" w:lineRule="exact" w:before="0"/>
        <w:ind w:left="424" w:right="0" w:firstLine="0"/>
        <w:jc w:val="both"/>
        <w:rPr>
          <w:rFonts w:ascii="宋体" w:hAnsi="宋体" w:cs="宋体" w:eastAsia="宋体" w:hint="default"/>
          <w:sz w:val="16"/>
          <w:szCs w:val="16"/>
        </w:rPr>
      </w:pPr>
      <w:r>
        <w:rPr>
          <w:rFonts w:ascii="宋体" w:hAnsi="宋体" w:cs="宋体" w:eastAsia="宋体" w:hint="default"/>
          <w:sz w:val="16"/>
          <w:szCs w:val="16"/>
        </w:rPr>
        <w:t>益并包含公司 2018</w:t>
      </w:r>
      <w:r>
        <w:rPr>
          <w:rFonts w:ascii="宋体" w:hAnsi="宋体" w:cs="宋体" w:eastAsia="宋体" w:hint="default"/>
          <w:spacing w:val="-46"/>
          <w:sz w:val="16"/>
          <w:szCs w:val="16"/>
        </w:rPr>
        <w:t> </w:t>
      </w:r>
      <w:r>
        <w:rPr>
          <w:rFonts w:ascii="宋体" w:hAnsi="宋体" w:cs="宋体" w:eastAsia="宋体" w:hint="default"/>
          <w:sz w:val="16"/>
          <w:szCs w:val="16"/>
        </w:rPr>
        <w:t>年利润总额中。</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tabs>
          <w:tab w:pos="2786" w:val="left" w:leader="none"/>
        </w:tabs>
        <w:spacing w:before="139"/>
        <w:ind w:left="362" w:right="0" w:firstLine="0"/>
        <w:jc w:val="both"/>
        <w:rPr>
          <w:rFonts w:ascii="宋体" w:hAnsi="宋体" w:cs="宋体" w:eastAsia="宋体" w:hint="default"/>
          <w:sz w:val="16"/>
          <w:szCs w:val="16"/>
        </w:rPr>
      </w:pPr>
      <w:r>
        <w:rPr>
          <w:rFonts w:ascii="宋体" w:hAnsi="宋体" w:cs="宋体" w:eastAsia="宋体" w:hint="default"/>
          <w:color w:val="D7000F"/>
          <w:w w:val="110"/>
          <w:sz w:val="16"/>
          <w:szCs w:val="16"/>
        </w:rPr>
        <w:t>2018</w:t>
      </w:r>
      <w:r>
        <w:rPr>
          <w:rFonts w:ascii="宋体" w:hAnsi="宋体" w:cs="宋体" w:eastAsia="宋体" w:hint="default"/>
          <w:color w:val="D7000F"/>
          <w:spacing w:val="-62"/>
          <w:w w:val="110"/>
          <w:sz w:val="16"/>
          <w:szCs w:val="16"/>
        </w:rPr>
        <w:t> </w:t>
      </w:r>
      <w:r>
        <w:rPr>
          <w:rFonts w:ascii="宋体" w:hAnsi="宋体" w:cs="宋体" w:eastAsia="宋体" w:hint="default"/>
          <w:color w:val="D7000F"/>
          <w:w w:val="110"/>
          <w:sz w:val="16"/>
          <w:szCs w:val="16"/>
        </w:rPr>
        <w:t>年</w:t>
        <w:tab/>
      </w: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spacing w:after="0"/>
        <w:jc w:val="both"/>
        <w:rPr>
          <w:rFonts w:ascii="宋体" w:hAnsi="宋体" w:cs="宋体" w:eastAsia="宋体" w:hint="default"/>
          <w:sz w:val="16"/>
          <w:szCs w:val="16"/>
        </w:rPr>
        <w:sectPr>
          <w:type w:val="continuous"/>
          <w:pgSz w:w="11910" w:h="16160"/>
          <w:pgMar w:top="1520" w:bottom="280" w:left="1380" w:right="680"/>
          <w:cols w:num="2" w:equalWidth="0">
            <w:col w:w="2773" w:space="2182"/>
            <w:col w:w="4895"/>
          </w:cols>
        </w:sectPr>
      </w:pPr>
    </w:p>
    <w:p>
      <w:pPr>
        <w:spacing w:line="240" w:lineRule="auto" w:before="9"/>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160"/>
          <w:pgMar w:top="1520" w:bottom="280" w:left="1380" w:right="680"/>
        </w:sectPr>
      </w:pPr>
    </w:p>
    <w:p>
      <w:pPr>
        <w:spacing w:line="240" w:lineRule="auto" w:before="4"/>
        <w:rPr>
          <w:rFonts w:ascii="宋体" w:hAnsi="宋体" w:cs="宋体" w:eastAsia="宋体" w:hint="default"/>
          <w:sz w:val="12"/>
          <w:szCs w:val="12"/>
        </w:rPr>
      </w:pPr>
    </w:p>
    <w:p>
      <w:pPr>
        <w:tabs>
          <w:tab w:pos="4585" w:val="left" w:leader="none"/>
        </w:tabs>
        <w:spacing w:before="0"/>
        <w:ind w:left="2276" w:right="-11" w:firstLine="0"/>
        <w:jc w:val="left"/>
        <w:rPr>
          <w:rFonts w:ascii="宋体" w:hAnsi="宋体" w:cs="宋体" w:eastAsia="宋体" w:hint="default"/>
          <w:sz w:val="16"/>
          <w:szCs w:val="16"/>
        </w:rPr>
      </w:pPr>
      <w:r>
        <w:rPr>
          <w:rFonts w:ascii="宋体" w:hAnsi="宋体" w:cs="宋体" w:eastAsia="宋体" w:hint="default"/>
          <w:sz w:val="16"/>
          <w:szCs w:val="16"/>
        </w:rPr>
        <w:t>（单位：人民币亿元）</w:t>
        <w:tab/>
      </w:r>
      <w:r>
        <w:rPr>
          <w:rFonts w:ascii="宋体" w:hAnsi="宋体" w:cs="宋体" w:eastAsia="宋体" w:hint="default"/>
          <w:color w:val="D7000F"/>
          <w:sz w:val="16"/>
          <w:szCs w:val="16"/>
        </w:rPr>
        <w:t>累计完成</w:t>
      </w:r>
      <w:r>
        <w:rPr>
          <w:rFonts w:ascii="宋体" w:hAnsi="宋体" w:cs="宋体" w:eastAsia="宋体" w:hint="default"/>
          <w:sz w:val="16"/>
          <w:szCs w:val="16"/>
        </w:rPr>
      </w:r>
    </w:p>
    <w:p>
      <w:pPr>
        <w:spacing w:before="41"/>
        <w:ind w:left="361" w:right="-19" w:firstLine="0"/>
        <w:jc w:val="left"/>
        <w:rPr>
          <w:rFonts w:ascii="宋体" w:hAnsi="宋体" w:cs="宋体" w:eastAsia="宋体" w:hint="default"/>
          <w:sz w:val="16"/>
          <w:szCs w:val="16"/>
        </w:rPr>
      </w:pPr>
      <w:r>
        <w:rPr>
          <w:spacing w:val="2"/>
        </w:rPr>
        <w:br w:type="column"/>
      </w:r>
      <w:r>
        <w:rPr>
          <w:rFonts w:ascii="宋体" w:hAnsi="宋体" w:cs="宋体" w:eastAsia="宋体" w:hint="default"/>
          <w:color w:val="D7000F"/>
          <w:spacing w:val="2"/>
          <w:sz w:val="16"/>
          <w:szCs w:val="16"/>
        </w:rPr>
        <w:t>所占主营业务</w:t>
      </w:r>
      <w:r>
        <w:rPr>
          <w:rFonts w:ascii="宋体" w:hAnsi="宋体" w:cs="宋体" w:eastAsia="宋体" w:hint="default"/>
          <w:sz w:val="16"/>
          <w:szCs w:val="16"/>
        </w:rPr>
      </w:r>
    </w:p>
    <w:p>
      <w:pPr>
        <w:tabs>
          <w:tab w:pos="1417" w:val="left" w:leader="none"/>
        </w:tabs>
        <w:spacing w:before="58"/>
        <w:ind w:left="444" w:right="0" w:firstLine="0"/>
        <w:jc w:val="left"/>
        <w:rPr>
          <w:rFonts w:ascii="宋体" w:hAnsi="宋体" w:cs="宋体" w:eastAsia="宋体" w:hint="default"/>
          <w:sz w:val="16"/>
          <w:szCs w:val="16"/>
        </w:rPr>
      </w:pPr>
      <w:r>
        <w:rPr/>
        <w:br w:type="column"/>
      </w:r>
      <w:r>
        <w:rPr>
          <w:rFonts w:ascii="宋体" w:hAnsi="宋体" w:cs="宋体" w:eastAsia="宋体" w:hint="default"/>
          <w:position w:val="-9"/>
          <w:sz w:val="16"/>
          <w:szCs w:val="16"/>
        </w:rPr>
        <w:t>累计完成</w:t>
        <w:tab/>
      </w:r>
      <w:r>
        <w:rPr>
          <w:rFonts w:ascii="宋体" w:hAnsi="宋体" w:cs="宋体" w:eastAsia="宋体" w:hint="default"/>
          <w:sz w:val="16"/>
          <w:szCs w:val="16"/>
        </w:rPr>
        <w:t>所占主营业务收</w:t>
      </w:r>
    </w:p>
    <w:p>
      <w:pPr>
        <w:spacing w:after="0"/>
        <w:jc w:val="left"/>
        <w:rPr>
          <w:rFonts w:ascii="宋体" w:hAnsi="宋体" w:cs="宋体" w:eastAsia="宋体" w:hint="default"/>
          <w:sz w:val="16"/>
          <w:szCs w:val="16"/>
        </w:rPr>
        <w:sectPr>
          <w:type w:val="continuous"/>
          <w:pgSz w:w="11910" w:h="16160"/>
          <w:pgMar w:top="1520" w:bottom="280" w:left="1380" w:right="680"/>
          <w:cols w:num="3" w:equalWidth="0">
            <w:col w:w="5235" w:space="40"/>
            <w:col w:w="1335" w:space="40"/>
            <w:col w:w="3200"/>
          </w:cols>
        </w:sectPr>
      </w:pPr>
    </w:p>
    <w:p>
      <w:pPr>
        <w:spacing w:line="240" w:lineRule="auto" w:before="0"/>
        <w:rPr>
          <w:rFonts w:ascii="宋体" w:hAnsi="宋体" w:cs="宋体" w:eastAsia="宋体" w:hint="default"/>
          <w:sz w:val="20"/>
          <w:szCs w:val="20"/>
        </w:rPr>
      </w:pPr>
      <w:r>
        <w:rPr/>
        <w:pict>
          <v:group style="position:absolute;margin-left:0pt;margin-top:-.000177pt;width:595.3pt;height:807.9pt;mso-position-horizontal-relative:page;mso-position-vertical-relative:page;z-index:-966832" coordorigin="0,0" coordsize="11906,16158">
            <v:group style="position:absolute;left:0;top:0;width:4753;height:4753" coordorigin="0,0" coordsize="4753,4753">
              <v:shape style="position:absolute;left:0;top:0;width:4753;height:4753" coordorigin="0,0" coordsize="4753,4753" path="m4753,0l0,0,0,4753,4753,0xe" filled="true" fillcolor="#d7000f" stroked="false">
                <v:path arrowok="t"/>
                <v:fill type="solid"/>
              </v:shape>
            </v:group>
            <v:group style="position:absolute;left:0;top:3912;width:11906;height:10330" coordorigin="0,3912" coordsize="11906,10330">
              <v:shape style="position:absolute;left:0;top:3912;width:11906;height:10330" coordorigin="0,3912" coordsize="11906,10330" path="m3186,3912l0,7098,0,14241,11906,14241,11906,12631,3186,3912xe" filled="true" fillcolor="#8e9090" stroked="false">
                <v:path arrowok="t"/>
                <v:fill type="solid"/>
              </v:shape>
            </v:group>
            <v:group style="position:absolute;left:2585;top:1198;width:9321;height:9321" coordorigin="2585,1198" coordsize="9321,9321">
              <v:shape style="position:absolute;left:2585;top:1198;width:9321;height:9321" coordorigin="2585,1198" coordsize="9321,9321" path="m11906,1198l2585,10519,11906,10519,11906,1198xe" filled="true" fillcolor="#8e9090" stroked="false">
                <v:path arrowok="t"/>
                <v:fill type="solid"/>
              </v:shape>
            </v:group>
            <v:group style="position:absolute;left:0;top:12078;width:4080;height:4080" coordorigin="0,12078" coordsize="4080,4080">
              <v:shape style="position:absolute;left:0;top:12078;width:4080;height:4080" coordorigin="0,12078" coordsize="4080,4080" path="m0,12078l0,16157,4080,16157,0,12078xe" filled="true" fillcolor="#c9caca" stroked="false">
                <v:path arrowok="t"/>
                <v:fill type="solid"/>
              </v:shape>
            </v:group>
            <v:group style="position:absolute;left:0;top:3061;width:11906;height:13097" coordorigin="0,3061" coordsize="11906,13097">
              <v:shape style="position:absolute;left:0;top:3061;width:11906;height:13097" coordorigin="0,3061" coordsize="11906,13097" path="m8812,3061l0,11874,0,16157,11906,16157,11906,6155,8812,3061xe" filled="true" fillcolor="#d7000f" stroked="false">
                <v:path arrowok="t"/>
                <v:fill type="solid"/>
              </v:shape>
            </v:group>
            <v:group style="position:absolute;left:0;top:7427;width:11906;height:8731" coordorigin="0,7427" coordsize="11906,8731">
              <v:shape style="position:absolute;left:0;top:7427;width:11906;height:8731" coordorigin="0,7427" coordsize="11906,8731" path="m5148,7427l0,12574,0,16157,11906,16157,11906,14185,5148,7427xe" filled="true" fillcolor="#ffffff" stroked="false">
                <v:path arrowok="t"/>
                <v:fill type="solid"/>
              </v:shape>
            </v:group>
            <v:group style="position:absolute;left:1032;top:7087;width:10874;height:9071" coordorigin="1032,7087" coordsize="10874,9071">
              <v:shape style="position:absolute;left:1032;top:7087;width:10874;height:9071" coordorigin="1032,7087" coordsize="10874,9071" path="m10103,7087l1032,16157,11906,16157,11906,8889,10103,7087xe" filled="true" fillcolor="#ffffff" stroked="false">
                <v:path arrowok="t"/>
                <v:fill type="solid"/>
              </v:shape>
            </v:group>
            <v:group style="position:absolute;left:0;top:13663;width:3329;height:2495" coordorigin="0,13663" coordsize="3329,2495">
              <v:shape style="position:absolute;left:0;top:13663;width:3329;height:2495" coordorigin="0,13663" coordsize="3329,2495" path="m834,13663l0,14497,0,16157,3328,16157,834,13663xe" filled="true" fillcolor="#9c8758" stroked="false">
                <v:path arrowok="t"/>
                <v:fill type="solid"/>
              </v:shape>
            </v:group>
            <v:group style="position:absolute;left:5762;top:11280;width:2425;height:2" coordorigin="5762,11280" coordsize="2425,2">
              <v:shape style="position:absolute;left:5762;top:11280;width:2425;height:2" coordorigin="5762,11280" coordsize="2425,0" path="m5762,11280l8187,11280e" filled="false" stroked="true" strokeweight=".5pt" strokecolor="#d7000f">
                <v:path arrowok="t"/>
              </v:shape>
            </v:group>
            <v:group style="position:absolute;left:8187;top:11280;width:2425;height:2" coordorigin="8187,11280" coordsize="2425,2">
              <v:shape style="position:absolute;left:8187;top:11280;width:2425;height:2" coordorigin="8187,11280" coordsize="2425,0" path="m8187,11280l10612,11280e" filled="false" stroked="true" strokeweight=".5pt" strokecolor="#000000">
                <v:path arrowok="t"/>
              </v:shape>
            </v:group>
            <w10:wrap type="none"/>
          </v:group>
        </w:pict>
      </w:r>
      <w:r>
        <w:rPr/>
        <w:pict>
          <v:shape style="position:absolute;margin-left:181.084702pt;margin-top:581.748108pt;width:349.55pt;height:73.8pt;mso-position-horizontal-relative:page;mso-position-vertical-relative:page;z-index:31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01"/>
                    <w:gridCol w:w="1343"/>
                    <w:gridCol w:w="1352"/>
                    <w:gridCol w:w="1156"/>
                    <w:gridCol w:w="1239"/>
                  </w:tblGrid>
                  <w:tr>
                    <w:trPr>
                      <w:trHeight w:val="230" w:hRule="exact"/>
                    </w:trPr>
                    <w:tc>
                      <w:tcPr>
                        <w:tcW w:w="3244" w:type="dxa"/>
                        <w:gridSpan w:val="2"/>
                        <w:tcBorders>
                          <w:top w:val="nil" w:sz="6" w:space="0" w:color="auto"/>
                          <w:left w:val="nil" w:sz="6" w:space="0" w:color="auto"/>
                          <w:bottom w:val="single" w:sz="16" w:space="0" w:color="9C8758"/>
                          <w:right w:val="nil" w:sz="6" w:space="0" w:color="auto"/>
                        </w:tcBorders>
                        <w:shd w:val="clear" w:color="auto" w:fill="FFFFFF"/>
                      </w:tcPr>
                      <w:p>
                        <w:pPr/>
                      </w:p>
                    </w:tc>
                    <w:tc>
                      <w:tcPr>
                        <w:tcW w:w="1352"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173" w:lineRule="exact"/>
                          <w:ind w:right="307"/>
                          <w:jc w:val="right"/>
                          <w:rPr>
                            <w:rFonts w:ascii="宋体" w:hAnsi="宋体" w:cs="宋体" w:eastAsia="宋体" w:hint="default"/>
                            <w:sz w:val="16"/>
                            <w:szCs w:val="16"/>
                          </w:rPr>
                        </w:pPr>
                        <w:r>
                          <w:rPr>
                            <w:rFonts w:ascii="宋体" w:hAnsi="宋体" w:cs="宋体" w:eastAsia="宋体" w:hint="default"/>
                            <w:color w:val="D7000F"/>
                            <w:sz w:val="16"/>
                            <w:szCs w:val="16"/>
                          </w:rPr>
                          <w:t>收入百分比</w:t>
                        </w:r>
                        <w:r>
                          <w:rPr>
                            <w:rFonts w:ascii="宋体" w:hAnsi="宋体" w:cs="宋体" w:eastAsia="宋体" w:hint="default"/>
                            <w:sz w:val="16"/>
                            <w:szCs w:val="16"/>
                          </w:rPr>
                        </w:r>
                      </w:p>
                    </w:tc>
                    <w:tc>
                      <w:tcPr>
                        <w:tcW w:w="1156" w:type="dxa"/>
                        <w:tcBorders>
                          <w:top w:val="nil" w:sz="6" w:space="0" w:color="auto"/>
                          <w:left w:val="nil" w:sz="6" w:space="0" w:color="auto"/>
                          <w:bottom w:val="single" w:sz="16" w:space="0" w:color="9C8758"/>
                          <w:right w:val="nil" w:sz="6" w:space="0" w:color="auto"/>
                        </w:tcBorders>
                        <w:shd w:val="clear" w:color="auto" w:fill="FFFFFF"/>
                      </w:tcPr>
                      <w:p>
                        <w:pPr/>
                      </w:p>
                    </w:tc>
                    <w:tc>
                      <w:tcPr>
                        <w:tcW w:w="1239"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150" w:lineRule="exact"/>
                          <w:ind w:left="26" w:right="0"/>
                          <w:jc w:val="center"/>
                          <w:rPr>
                            <w:rFonts w:ascii="宋体" w:hAnsi="宋体" w:cs="宋体" w:eastAsia="宋体" w:hint="default"/>
                            <w:sz w:val="16"/>
                            <w:szCs w:val="16"/>
                          </w:rPr>
                        </w:pPr>
                        <w:r>
                          <w:rPr>
                            <w:rFonts w:ascii="宋体" w:hAnsi="宋体" w:cs="宋体" w:eastAsia="宋体" w:hint="default"/>
                            <w:sz w:val="16"/>
                            <w:szCs w:val="16"/>
                          </w:rPr>
                          <w:t>入百分比</w:t>
                        </w:r>
                      </w:p>
                    </w:tc>
                  </w:tr>
                  <w:tr>
                    <w:trPr>
                      <w:trHeight w:val="490" w:hRule="exact"/>
                    </w:trPr>
                    <w:tc>
                      <w:tcPr>
                        <w:tcW w:w="1901"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130"/>
                          <w:ind w:left="35" w:right="0"/>
                          <w:jc w:val="left"/>
                          <w:rPr>
                            <w:rFonts w:ascii="宋体" w:hAnsi="宋体" w:cs="宋体" w:eastAsia="宋体" w:hint="default"/>
                            <w:sz w:val="16"/>
                            <w:szCs w:val="16"/>
                          </w:rPr>
                        </w:pPr>
                        <w:r>
                          <w:rPr>
                            <w:rFonts w:ascii="宋体" w:hAnsi="宋体" w:cs="宋体" w:eastAsia="宋体" w:hint="default"/>
                            <w:sz w:val="16"/>
                            <w:szCs w:val="16"/>
                          </w:rPr>
                          <w:t>主营业务收入</w:t>
                        </w:r>
                      </w:p>
                    </w:tc>
                    <w:tc>
                      <w:tcPr>
                        <w:tcW w:w="1343"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130"/>
                          <w:ind w:right="228"/>
                          <w:jc w:val="right"/>
                          <w:rPr>
                            <w:rFonts w:ascii="宋体" w:hAnsi="宋体" w:cs="宋体" w:eastAsia="宋体" w:hint="default"/>
                            <w:sz w:val="16"/>
                            <w:szCs w:val="16"/>
                          </w:rPr>
                        </w:pPr>
                        <w:r>
                          <w:rPr>
                            <w:rFonts w:ascii="宋体"/>
                            <w:color w:val="D7000F"/>
                            <w:w w:val="95"/>
                            <w:sz w:val="16"/>
                          </w:rPr>
                          <w:t>2,636.8</w:t>
                        </w:r>
                        <w:r>
                          <w:rPr>
                            <w:rFonts w:ascii="宋体"/>
                            <w:sz w:val="16"/>
                          </w:rPr>
                        </w:r>
                      </w:p>
                    </w:tc>
                    <w:tc>
                      <w:tcPr>
                        <w:tcW w:w="1352"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130"/>
                          <w:ind w:right="354"/>
                          <w:jc w:val="right"/>
                          <w:rPr>
                            <w:rFonts w:ascii="宋体" w:hAnsi="宋体" w:cs="宋体" w:eastAsia="宋体" w:hint="default"/>
                            <w:sz w:val="16"/>
                            <w:szCs w:val="16"/>
                          </w:rPr>
                        </w:pPr>
                        <w:r>
                          <w:rPr>
                            <w:rFonts w:ascii="宋体"/>
                            <w:color w:val="D7000F"/>
                            <w:w w:val="115"/>
                            <w:sz w:val="16"/>
                          </w:rPr>
                          <w:t>100.0%</w:t>
                        </w:r>
                        <w:r>
                          <w:rPr>
                            <w:rFonts w:ascii="宋体"/>
                            <w:sz w:val="16"/>
                          </w:rPr>
                        </w:r>
                      </w:p>
                    </w:tc>
                    <w:tc>
                      <w:tcPr>
                        <w:tcW w:w="1156"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130"/>
                          <w:ind w:right="1"/>
                          <w:jc w:val="center"/>
                          <w:rPr>
                            <w:rFonts w:ascii="宋体" w:hAnsi="宋体" w:cs="宋体" w:eastAsia="宋体" w:hint="default"/>
                            <w:sz w:val="16"/>
                            <w:szCs w:val="16"/>
                          </w:rPr>
                        </w:pPr>
                        <w:r>
                          <w:rPr>
                            <w:rFonts w:ascii="宋体"/>
                            <w:sz w:val="16"/>
                          </w:rPr>
                          <w:t>2,490.2</w:t>
                        </w:r>
                      </w:p>
                    </w:tc>
                    <w:tc>
                      <w:tcPr>
                        <w:tcW w:w="1239"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130"/>
                          <w:ind w:left="26" w:right="0"/>
                          <w:jc w:val="center"/>
                          <w:rPr>
                            <w:rFonts w:ascii="宋体" w:hAnsi="宋体" w:cs="宋体" w:eastAsia="宋体" w:hint="default"/>
                            <w:sz w:val="16"/>
                            <w:szCs w:val="16"/>
                          </w:rPr>
                        </w:pPr>
                        <w:r>
                          <w:rPr>
                            <w:rFonts w:ascii="宋体"/>
                            <w:w w:val="115"/>
                            <w:sz w:val="16"/>
                          </w:rPr>
                          <w:t>100.0%</w:t>
                        </w:r>
                        <w:r>
                          <w:rPr>
                            <w:rFonts w:ascii="宋体"/>
                            <w:sz w:val="16"/>
                          </w:rPr>
                        </w:r>
                      </w:p>
                    </w:tc>
                  </w:tr>
                  <w:tr>
                    <w:trPr>
                      <w:trHeight w:val="397" w:hRule="exact"/>
                    </w:trPr>
                    <w:tc>
                      <w:tcPr>
                        <w:tcW w:w="1901"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40" w:lineRule="auto" w:before="57"/>
                          <w:ind w:left="35" w:right="0"/>
                          <w:jc w:val="left"/>
                          <w:rPr>
                            <w:rFonts w:ascii="宋体" w:hAnsi="宋体" w:cs="宋体" w:eastAsia="宋体" w:hint="default"/>
                            <w:sz w:val="16"/>
                            <w:szCs w:val="16"/>
                          </w:rPr>
                        </w:pPr>
                        <w:r>
                          <w:rPr>
                            <w:rFonts w:ascii="宋体" w:hAnsi="宋体" w:cs="宋体" w:eastAsia="宋体" w:hint="default"/>
                            <w:sz w:val="16"/>
                            <w:szCs w:val="16"/>
                          </w:rPr>
                          <w:t>其中：语音业务</w:t>
                        </w:r>
                      </w:p>
                    </w:tc>
                    <w:tc>
                      <w:tcPr>
                        <w:tcW w:w="1343"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40" w:lineRule="auto" w:before="57"/>
                          <w:ind w:right="295"/>
                          <w:jc w:val="right"/>
                          <w:rPr>
                            <w:rFonts w:ascii="宋体" w:hAnsi="宋体" w:cs="宋体" w:eastAsia="宋体" w:hint="default"/>
                            <w:sz w:val="16"/>
                            <w:szCs w:val="16"/>
                          </w:rPr>
                        </w:pPr>
                        <w:r>
                          <w:rPr>
                            <w:rFonts w:ascii="宋体"/>
                            <w:color w:val="D7000F"/>
                            <w:w w:val="95"/>
                            <w:sz w:val="16"/>
                          </w:rPr>
                          <w:t>460.6</w:t>
                        </w:r>
                        <w:r>
                          <w:rPr>
                            <w:rFonts w:ascii="宋体"/>
                            <w:sz w:val="16"/>
                          </w:rPr>
                        </w:r>
                      </w:p>
                    </w:tc>
                    <w:tc>
                      <w:tcPr>
                        <w:tcW w:w="135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40" w:lineRule="auto" w:before="57"/>
                          <w:ind w:right="399"/>
                          <w:jc w:val="right"/>
                          <w:rPr>
                            <w:rFonts w:ascii="宋体" w:hAnsi="宋体" w:cs="宋体" w:eastAsia="宋体" w:hint="default"/>
                            <w:sz w:val="16"/>
                            <w:szCs w:val="16"/>
                          </w:rPr>
                        </w:pPr>
                        <w:r>
                          <w:rPr>
                            <w:rFonts w:ascii="宋体"/>
                            <w:color w:val="D7000F"/>
                            <w:w w:val="115"/>
                            <w:sz w:val="16"/>
                          </w:rPr>
                          <w:t>17.5%</w:t>
                        </w:r>
                        <w:r>
                          <w:rPr>
                            <w:rFonts w:ascii="宋体"/>
                            <w:sz w:val="16"/>
                          </w:rPr>
                        </w:r>
                      </w:p>
                    </w:tc>
                    <w:tc>
                      <w:tcPr>
                        <w:tcW w:w="1156"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40" w:lineRule="auto" w:before="57"/>
                          <w:ind w:right="1"/>
                          <w:jc w:val="center"/>
                          <w:rPr>
                            <w:rFonts w:ascii="宋体" w:hAnsi="宋体" w:cs="宋体" w:eastAsia="宋体" w:hint="default"/>
                            <w:sz w:val="16"/>
                            <w:szCs w:val="16"/>
                          </w:rPr>
                        </w:pPr>
                        <w:r>
                          <w:rPr>
                            <w:rFonts w:ascii="宋体"/>
                            <w:sz w:val="16"/>
                          </w:rPr>
                          <w:t>535.2</w:t>
                        </w:r>
                      </w:p>
                    </w:tc>
                    <w:tc>
                      <w:tcPr>
                        <w:tcW w:w="123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40" w:lineRule="auto" w:before="57"/>
                          <w:ind w:left="26" w:right="0"/>
                          <w:jc w:val="center"/>
                          <w:rPr>
                            <w:rFonts w:ascii="宋体" w:hAnsi="宋体" w:cs="宋体" w:eastAsia="宋体" w:hint="default"/>
                            <w:sz w:val="16"/>
                            <w:szCs w:val="16"/>
                          </w:rPr>
                        </w:pPr>
                        <w:r>
                          <w:rPr>
                            <w:rFonts w:ascii="宋体"/>
                            <w:w w:val="120"/>
                            <w:sz w:val="16"/>
                          </w:rPr>
                          <w:t>21.5%</w:t>
                        </w:r>
                        <w:r>
                          <w:rPr>
                            <w:rFonts w:ascii="宋体"/>
                            <w:sz w:val="16"/>
                          </w:rPr>
                        </w:r>
                      </w:p>
                    </w:tc>
                  </w:tr>
                  <w:tr>
                    <w:trPr>
                      <w:trHeight w:val="348" w:hRule="exact"/>
                    </w:trPr>
                    <w:tc>
                      <w:tcPr>
                        <w:tcW w:w="1901" w:type="dxa"/>
                        <w:tcBorders>
                          <w:top w:val="nil" w:sz="6" w:space="0" w:color="auto"/>
                          <w:left w:val="nil" w:sz="6" w:space="0" w:color="auto"/>
                          <w:bottom w:val="single" w:sz="4" w:space="0" w:color="000000"/>
                          <w:right w:val="nil" w:sz="6" w:space="0" w:color="auto"/>
                        </w:tcBorders>
                        <w:shd w:val="clear" w:color="auto" w:fill="FFFFFF"/>
                      </w:tcPr>
                      <w:p>
                        <w:pPr>
                          <w:pStyle w:val="TableParagraph"/>
                          <w:spacing w:line="240" w:lineRule="auto" w:before="57"/>
                          <w:ind w:left="522" w:right="0"/>
                          <w:jc w:val="left"/>
                          <w:rPr>
                            <w:rFonts w:ascii="宋体" w:hAnsi="宋体" w:cs="宋体" w:eastAsia="宋体" w:hint="default"/>
                            <w:sz w:val="16"/>
                            <w:szCs w:val="16"/>
                          </w:rPr>
                        </w:pPr>
                        <w:r>
                          <w:rPr>
                            <w:rFonts w:ascii="宋体" w:hAnsi="宋体" w:cs="宋体" w:eastAsia="宋体" w:hint="default"/>
                            <w:sz w:val="16"/>
                            <w:szCs w:val="16"/>
                          </w:rPr>
                          <w:t>非语音业务</w:t>
                        </w:r>
                      </w:p>
                    </w:tc>
                    <w:tc>
                      <w:tcPr>
                        <w:tcW w:w="1343" w:type="dxa"/>
                        <w:tcBorders>
                          <w:top w:val="nil" w:sz="6" w:space="0" w:color="auto"/>
                          <w:left w:val="nil" w:sz="6" w:space="0" w:color="auto"/>
                          <w:bottom w:val="single" w:sz="4" w:space="0" w:color="D7000F"/>
                          <w:right w:val="nil" w:sz="6" w:space="0" w:color="auto"/>
                        </w:tcBorders>
                        <w:shd w:val="clear" w:color="auto" w:fill="FFFFFF"/>
                      </w:tcPr>
                      <w:p>
                        <w:pPr>
                          <w:pStyle w:val="TableParagraph"/>
                          <w:spacing w:line="240" w:lineRule="auto" w:before="57"/>
                          <w:ind w:right="229"/>
                          <w:jc w:val="right"/>
                          <w:rPr>
                            <w:rFonts w:ascii="宋体" w:hAnsi="宋体" w:cs="宋体" w:eastAsia="宋体" w:hint="default"/>
                            <w:sz w:val="16"/>
                            <w:szCs w:val="16"/>
                          </w:rPr>
                        </w:pPr>
                        <w:r>
                          <w:rPr>
                            <w:rFonts w:ascii="宋体"/>
                            <w:color w:val="D7000F"/>
                            <w:w w:val="95"/>
                            <w:sz w:val="16"/>
                          </w:rPr>
                          <w:t>2,176.2</w:t>
                        </w:r>
                        <w:r>
                          <w:rPr>
                            <w:rFonts w:ascii="宋体"/>
                            <w:sz w:val="16"/>
                          </w:rPr>
                        </w:r>
                      </w:p>
                    </w:tc>
                    <w:tc>
                      <w:tcPr>
                        <w:tcW w:w="1352" w:type="dxa"/>
                        <w:tcBorders>
                          <w:top w:val="nil" w:sz="6" w:space="0" w:color="auto"/>
                          <w:left w:val="nil" w:sz="6" w:space="0" w:color="auto"/>
                          <w:bottom w:val="single" w:sz="4" w:space="0" w:color="D7000F"/>
                          <w:right w:val="nil" w:sz="6" w:space="0" w:color="auto"/>
                        </w:tcBorders>
                        <w:shd w:val="clear" w:color="auto" w:fill="FFFFFF"/>
                      </w:tcPr>
                      <w:p>
                        <w:pPr>
                          <w:pStyle w:val="TableParagraph"/>
                          <w:spacing w:line="240" w:lineRule="auto" w:before="57"/>
                          <w:ind w:right="399"/>
                          <w:jc w:val="right"/>
                          <w:rPr>
                            <w:rFonts w:ascii="宋体" w:hAnsi="宋体" w:cs="宋体" w:eastAsia="宋体" w:hint="default"/>
                            <w:sz w:val="16"/>
                            <w:szCs w:val="16"/>
                          </w:rPr>
                        </w:pPr>
                        <w:r>
                          <w:rPr>
                            <w:rFonts w:ascii="宋体"/>
                            <w:color w:val="D7000F"/>
                            <w:w w:val="115"/>
                            <w:sz w:val="16"/>
                          </w:rPr>
                          <w:t>82.5%</w:t>
                        </w:r>
                        <w:r>
                          <w:rPr>
                            <w:rFonts w:ascii="宋体"/>
                            <w:sz w:val="16"/>
                          </w:rPr>
                        </w:r>
                      </w:p>
                    </w:tc>
                    <w:tc>
                      <w:tcPr>
                        <w:tcW w:w="1156" w:type="dxa"/>
                        <w:tcBorders>
                          <w:top w:val="nil" w:sz="6" w:space="0" w:color="auto"/>
                          <w:left w:val="nil" w:sz="6" w:space="0" w:color="auto"/>
                          <w:bottom w:val="single" w:sz="4" w:space="0" w:color="000000"/>
                          <w:right w:val="nil" w:sz="6" w:space="0" w:color="auto"/>
                        </w:tcBorders>
                        <w:shd w:val="clear" w:color="auto" w:fill="FFFFFF"/>
                      </w:tcPr>
                      <w:p>
                        <w:pPr>
                          <w:pStyle w:val="TableParagraph"/>
                          <w:spacing w:line="240" w:lineRule="auto" w:before="57"/>
                          <w:ind w:right="1"/>
                          <w:jc w:val="center"/>
                          <w:rPr>
                            <w:rFonts w:ascii="宋体" w:hAnsi="宋体" w:cs="宋体" w:eastAsia="宋体" w:hint="default"/>
                            <w:sz w:val="16"/>
                            <w:szCs w:val="16"/>
                          </w:rPr>
                        </w:pPr>
                        <w:r>
                          <w:rPr>
                            <w:rFonts w:ascii="宋体"/>
                            <w:sz w:val="16"/>
                          </w:rPr>
                          <w:t>1,955.0</w:t>
                        </w:r>
                      </w:p>
                    </w:tc>
                    <w:tc>
                      <w:tcPr>
                        <w:tcW w:w="1239" w:type="dxa"/>
                        <w:tcBorders>
                          <w:top w:val="nil" w:sz="6" w:space="0" w:color="auto"/>
                          <w:left w:val="nil" w:sz="6" w:space="0" w:color="auto"/>
                          <w:bottom w:val="single" w:sz="4" w:space="0" w:color="000000"/>
                          <w:right w:val="nil" w:sz="6" w:space="0" w:color="auto"/>
                        </w:tcBorders>
                        <w:shd w:val="clear" w:color="auto" w:fill="FFFFFF"/>
                      </w:tcPr>
                      <w:p>
                        <w:pPr>
                          <w:pStyle w:val="TableParagraph"/>
                          <w:spacing w:line="240" w:lineRule="auto" w:before="57"/>
                          <w:ind w:left="26" w:right="0"/>
                          <w:jc w:val="center"/>
                          <w:rPr>
                            <w:rFonts w:ascii="宋体" w:hAnsi="宋体" w:cs="宋体" w:eastAsia="宋体" w:hint="default"/>
                            <w:sz w:val="16"/>
                            <w:szCs w:val="16"/>
                          </w:rPr>
                        </w:pPr>
                        <w:r>
                          <w:rPr>
                            <w:rFonts w:ascii="宋体"/>
                            <w:w w:val="120"/>
                            <w:sz w:val="16"/>
                          </w:rPr>
                          <w:t>78.5%</w:t>
                        </w:r>
                        <w:r>
                          <w:rPr>
                            <w:rFonts w:ascii="宋体"/>
                            <w:sz w:val="16"/>
                          </w:rPr>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FFFFFF"/>
          <w:spacing w:val="18"/>
          <w:w w:val="105"/>
          <w:position w:val="1"/>
          <w:sz w:val="16"/>
          <w:szCs w:val="16"/>
        </w:rPr>
        <w:t>2018</w:t>
      </w:r>
      <w:r>
        <w:rPr>
          <w:rFonts w:ascii="宋体" w:hAnsi="宋体" w:cs="宋体" w:eastAsia="宋体" w:hint="default"/>
          <w:color w:val="FFFFFF"/>
          <w:spacing w:val="43"/>
          <w:w w:val="105"/>
          <w:position w:val="1"/>
          <w:sz w:val="16"/>
          <w:szCs w:val="16"/>
        </w:rPr>
        <w:t> </w:t>
      </w:r>
      <w:r>
        <w:rPr>
          <w:rFonts w:ascii="宋体" w:hAnsi="宋体" w:cs="宋体" w:eastAsia="宋体" w:hint="default"/>
          <w:color w:val="FFFFFF"/>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23</w:t>
      </w:r>
      <w:r>
        <w:rPr>
          <w:rFonts w:ascii="Arial" w:hAnsi="Arial" w:cs="Arial" w:eastAsia="Arial" w:hint="default"/>
          <w:w w:val="105"/>
          <w:sz w:val="16"/>
          <w:szCs w:val="16"/>
        </w:rPr>
      </w:r>
    </w:p>
    <w:p>
      <w:pPr>
        <w:spacing w:after="0"/>
        <w:jc w:val="left"/>
        <w:rPr>
          <w:rFonts w:ascii="Arial" w:hAnsi="Arial" w:cs="Arial" w:eastAsia="Arial" w:hint="default"/>
          <w:sz w:val="16"/>
          <w:szCs w:val="16"/>
        </w:rPr>
        <w:sectPr>
          <w:type w:val="continuous"/>
          <w:pgSz w:w="11910" w:h="16160"/>
          <w:pgMar w:top="1520" w:bottom="280" w:left="1380" w:right="680"/>
        </w:sectPr>
      </w:pPr>
    </w:p>
    <w:p>
      <w:pPr>
        <w:spacing w:line="240" w:lineRule="auto" w:before="0"/>
        <w:rPr>
          <w:rFonts w:ascii="Arial" w:hAnsi="Arial" w:cs="Arial" w:eastAsia="Arial" w:hint="default"/>
          <w:b/>
          <w:bCs/>
          <w:sz w:val="20"/>
          <w:szCs w:val="20"/>
        </w:rPr>
      </w:pPr>
    </w:p>
    <w:p>
      <w:pPr>
        <w:spacing w:line="240" w:lineRule="auto" w:before="9"/>
        <w:rPr>
          <w:rFonts w:ascii="Arial" w:hAnsi="Arial" w:cs="Arial" w:eastAsia="Arial" w:hint="default"/>
          <w:b/>
          <w:bCs/>
          <w:sz w:val="22"/>
          <w:szCs w:val="22"/>
        </w:rPr>
      </w:pPr>
    </w:p>
    <w:p>
      <w:pPr>
        <w:pStyle w:val="BodyText"/>
        <w:spacing w:line="240" w:lineRule="auto" w:before="26"/>
        <w:ind w:left="131" w:right="9053"/>
        <w:jc w:val="center"/>
        <w:rPr>
          <w:rFonts w:ascii="宋体" w:hAnsi="宋体" w:cs="宋体" w:eastAsia="宋体" w:hint="default"/>
        </w:rPr>
      </w:pPr>
      <w:r>
        <w:rPr>
          <w:rFonts w:ascii="宋体" w:hAnsi="宋体" w:cs="宋体" w:eastAsia="宋体" w:hint="default"/>
          <w:color w:val="D7000F"/>
        </w:rPr>
        <w:t>一、经营情况讨论与分析</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490" w:right="1325"/>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6"/>
        </w:rPr>
        <w:t> </w:t>
      </w:r>
      <w:r>
        <w:rPr>
          <w:rFonts w:ascii="宋体" w:hAnsi="宋体" w:cs="宋体" w:eastAsia="宋体" w:hint="default"/>
        </w:rPr>
        <w:t>年，是中国联通的混改元年，也是发展改革取得突出成效、公司面貌发生显著改变的重要一年。一年来，公司积</w:t>
      </w:r>
      <w:r>
        <w:rPr>
          <w:rFonts w:ascii="宋体" w:hAnsi="宋体" w:cs="宋体" w:eastAsia="宋体" w:hint="default"/>
          <w:spacing w:val="-63"/>
        </w:rPr>
        <w:t> </w:t>
      </w:r>
      <w:r>
        <w:rPr>
          <w:rFonts w:ascii="宋体" w:hAnsi="宋体" w:cs="宋体" w:eastAsia="宋体" w:hint="default"/>
          <w:spacing w:val="-63"/>
        </w:rPr>
      </w:r>
      <w:r>
        <w:rPr>
          <w:rFonts w:ascii="宋体" w:hAnsi="宋体" w:cs="宋体" w:eastAsia="宋体" w:hint="default"/>
        </w:rPr>
        <w:t>极践行新发展理念，深化实施聚焦创新合作战略，积极推进互联网化运营，全面深化混合所有制改革，发展速度、质</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spacing w:val="-3"/>
        </w:rPr>
        <w:t>量和效益明显提升，企业活力明显增强，新治理、新基因、新运营、新动能、新生态的“五新”联通建设迈出重要步伐。</w:t>
      </w:r>
    </w:p>
    <w:p>
      <w:pPr>
        <w:spacing w:before="126"/>
        <w:ind w:left="490" w:right="0" w:firstLine="0"/>
        <w:jc w:val="both"/>
        <w:rPr>
          <w:rFonts w:ascii="宋体" w:hAnsi="宋体" w:cs="宋体" w:eastAsia="宋体" w:hint="default"/>
          <w:sz w:val="17"/>
          <w:szCs w:val="17"/>
        </w:rPr>
      </w:pPr>
      <w:r>
        <w:rPr>
          <w:rFonts w:ascii="宋体" w:hAnsi="宋体" w:cs="宋体" w:eastAsia="宋体" w:hint="default"/>
          <w:sz w:val="17"/>
          <w:szCs w:val="17"/>
        </w:rPr>
        <w:t>（一）整体业绩</w:t>
      </w:r>
    </w:p>
    <w:p>
      <w:pPr>
        <w:spacing w:line="240" w:lineRule="auto" w:before="11"/>
        <w:rPr>
          <w:rFonts w:ascii="宋体" w:hAnsi="宋体" w:cs="宋体" w:eastAsia="宋体" w:hint="default"/>
          <w:sz w:val="12"/>
          <w:szCs w:val="12"/>
        </w:rPr>
      </w:pPr>
    </w:p>
    <w:p>
      <w:pPr>
        <w:pStyle w:val="BodyText"/>
        <w:spacing w:line="240" w:lineRule="auto"/>
        <w:ind w:left="887" w:right="0"/>
        <w:jc w:val="both"/>
        <w:rPr>
          <w:rFonts w:ascii="宋体" w:hAnsi="宋体" w:cs="宋体" w:eastAsia="宋体" w:hint="default"/>
        </w:rPr>
      </w:pP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5"/>
        </w:rPr>
        <w:t> </w:t>
      </w:r>
      <w:r>
        <w:rPr>
          <w:rFonts w:ascii="宋体" w:hAnsi="宋体" w:cs="宋体" w:eastAsia="宋体" w:hint="default"/>
        </w:rPr>
        <w:t>年</w:t>
      </w:r>
      <w:r>
        <w:rPr>
          <w:rFonts w:ascii="宋体" w:hAnsi="宋体" w:cs="宋体" w:eastAsia="宋体" w:hint="default"/>
          <w:spacing w:val="1"/>
        </w:rPr>
        <w:t>，公司经营业绩持续显著改</w:t>
      </w:r>
      <w:r>
        <w:rPr>
          <w:rFonts w:ascii="宋体" w:hAnsi="宋体" w:cs="宋体" w:eastAsia="宋体" w:hint="default"/>
        </w:rPr>
        <w:t>善</w:t>
      </w:r>
      <w:r>
        <w:rPr>
          <w:rFonts w:ascii="宋体" w:hAnsi="宋体" w:cs="宋体" w:eastAsia="宋体" w:hint="default"/>
          <w:spacing w:val="1"/>
        </w:rPr>
        <w:t>。全年实现主营业务收入人民</w:t>
      </w:r>
      <w:r>
        <w:rPr>
          <w:rFonts w:ascii="宋体" w:hAnsi="宋体" w:cs="宋体" w:eastAsia="宋体" w:hint="default"/>
        </w:rPr>
        <w:t>币</w:t>
      </w:r>
      <w:r>
        <w:rPr>
          <w:rFonts w:ascii="宋体" w:hAnsi="宋体" w:cs="宋体" w:eastAsia="宋体" w:hint="default"/>
          <w:spacing w:val="-45"/>
        </w:rPr>
        <w:t> </w:t>
      </w:r>
      <w:r>
        <w:rPr>
          <w:rFonts w:ascii="宋体" w:hAnsi="宋体" w:cs="宋体" w:eastAsia="宋体" w:hint="default"/>
          <w:spacing w:val="-1"/>
          <w:w w:val="111"/>
        </w:rPr>
        <w:t>2</w:t>
      </w:r>
      <w:r>
        <w:rPr>
          <w:rFonts w:ascii="宋体" w:hAnsi="宋体" w:cs="宋体" w:eastAsia="宋体" w:hint="default"/>
          <w:w w:val="55"/>
        </w:rPr>
        <w:t>,</w:t>
      </w:r>
      <w:r>
        <w:rPr>
          <w:rFonts w:ascii="宋体" w:hAnsi="宋体" w:cs="宋体" w:eastAsia="宋体" w:hint="default"/>
          <w:spacing w:val="-1"/>
          <w:w w:val="111"/>
        </w:rPr>
        <w:t>63</w:t>
      </w:r>
      <w:r>
        <w:rPr>
          <w:rFonts w:ascii="宋体" w:hAnsi="宋体" w:cs="宋体" w:eastAsia="宋体" w:hint="default"/>
          <w:w w:val="111"/>
        </w:rPr>
        <w:t>7</w:t>
      </w:r>
      <w:r>
        <w:rPr>
          <w:rFonts w:ascii="宋体" w:hAnsi="宋体" w:cs="宋体" w:eastAsia="宋体" w:hint="default"/>
          <w:spacing w:val="-45"/>
        </w:rPr>
        <w:t> </w:t>
      </w:r>
      <w:r>
        <w:rPr>
          <w:rFonts w:ascii="宋体" w:hAnsi="宋体" w:cs="宋体" w:eastAsia="宋体" w:hint="default"/>
          <w:spacing w:val="1"/>
        </w:rPr>
        <w:t>亿</w:t>
      </w:r>
      <w:r>
        <w:rPr>
          <w:rFonts w:ascii="宋体" w:hAnsi="宋体" w:cs="宋体" w:eastAsia="宋体" w:hint="default"/>
        </w:rPr>
        <w:t>元</w:t>
      </w:r>
      <w:r>
        <w:rPr>
          <w:rFonts w:ascii="宋体" w:hAnsi="宋体" w:cs="宋体" w:eastAsia="宋体" w:hint="default"/>
          <w:spacing w:val="1"/>
        </w:rPr>
        <w:t>，同比增</w:t>
      </w:r>
      <w:r>
        <w:rPr>
          <w:rFonts w:ascii="宋体" w:hAnsi="宋体" w:cs="宋体" w:eastAsia="宋体" w:hint="default"/>
        </w:rPr>
        <w:t>长</w:t>
      </w:r>
      <w:r>
        <w:rPr>
          <w:rFonts w:ascii="宋体" w:hAnsi="宋体" w:cs="宋体" w:eastAsia="宋体" w:hint="default"/>
          <w:spacing w:val="-45"/>
        </w:rPr>
        <w:t> </w:t>
      </w:r>
      <w:r>
        <w:rPr>
          <w:rFonts w:ascii="宋体" w:hAnsi="宋体" w:cs="宋体" w:eastAsia="宋体" w:hint="default"/>
          <w:spacing w:val="-1"/>
          <w:w w:val="111"/>
        </w:rPr>
        <w:t>5</w:t>
      </w:r>
      <w:r>
        <w:rPr>
          <w:rFonts w:ascii="宋体" w:hAnsi="宋体" w:cs="宋体" w:eastAsia="宋体" w:hint="default"/>
          <w:w w:val="55"/>
        </w:rPr>
        <w:t>.</w:t>
      </w:r>
      <w:r>
        <w:rPr>
          <w:rFonts w:ascii="宋体" w:hAnsi="宋体" w:cs="宋体" w:eastAsia="宋体" w:hint="default"/>
          <w:spacing w:val="-1"/>
          <w:w w:val="111"/>
        </w:rPr>
        <w:t>9</w:t>
      </w:r>
      <w:r>
        <w:rPr>
          <w:rFonts w:ascii="宋体" w:hAnsi="宋体" w:cs="宋体" w:eastAsia="宋体" w:hint="default"/>
          <w:w w:val="200"/>
        </w:rPr>
        <w:t>%</w:t>
      </w:r>
      <w:r>
        <w:rPr>
          <w:rFonts w:ascii="宋体" w:hAnsi="宋体" w:cs="宋体" w:eastAsia="宋体" w:hint="default"/>
          <w:spacing w:val="1"/>
        </w:rPr>
        <w:t>，领先于行业</w:t>
      </w:r>
      <w:r>
        <w:rPr>
          <w:rFonts w:ascii="宋体" w:hAnsi="宋体" w:cs="宋体" w:eastAsia="宋体" w:hint="default"/>
        </w:rPr>
      </w:r>
    </w:p>
    <w:p>
      <w:pPr>
        <w:pStyle w:val="BodyText"/>
        <w:spacing w:line="285" w:lineRule="auto" w:before="44"/>
        <w:ind w:left="887" w:right="1325" w:hanging="1"/>
        <w:jc w:val="both"/>
        <w:rPr>
          <w:rFonts w:ascii="宋体" w:hAnsi="宋体" w:cs="宋体" w:eastAsia="宋体" w:hint="default"/>
        </w:rPr>
      </w:pPr>
      <w:r>
        <w:rPr>
          <w:rFonts w:ascii="宋体" w:hAnsi="宋体" w:cs="宋体" w:eastAsia="宋体" w:hint="default"/>
          <w:spacing w:val="2"/>
        </w:rPr>
        <w:t>平均</w:t>
      </w:r>
      <w:r>
        <w:rPr>
          <w:rFonts w:ascii="宋体" w:hAnsi="宋体" w:cs="宋体" w:eastAsia="宋体" w:hint="default"/>
          <w:spacing w:val="-47"/>
        </w:rPr>
        <w:t> </w:t>
      </w:r>
      <w:r>
        <w:rPr>
          <w:rFonts w:ascii="宋体" w:hAnsi="宋体" w:cs="宋体" w:eastAsia="宋体" w:hint="default"/>
          <w:w w:val="119"/>
        </w:rPr>
        <w:t>3.0%</w:t>
      </w:r>
      <w:r>
        <w:rPr>
          <w:rFonts w:ascii="宋体" w:hAnsi="宋体" w:cs="宋体" w:eastAsia="宋体" w:hint="default"/>
          <w:spacing w:val="-64"/>
          <w:w w:val="119"/>
        </w:rPr>
        <w:t> </w:t>
      </w:r>
      <w:r>
        <w:rPr>
          <w:rFonts w:ascii="宋体" w:hAnsi="宋体" w:cs="宋体" w:eastAsia="宋体" w:hint="default"/>
          <w:w w:val="108"/>
        </w:rPr>
        <w:t>的增幅；EBITDA</w:t>
      </w:r>
      <w:r>
        <w:rPr>
          <w:rFonts w:ascii="宋体" w:hAnsi="宋体" w:cs="宋体" w:eastAsia="宋体" w:hint="default"/>
          <w:w w:val="108"/>
          <w:position w:val="9"/>
          <w:sz w:val="10"/>
          <w:szCs w:val="10"/>
        </w:rPr>
        <w:t>1</w:t>
      </w:r>
      <w:r>
        <w:rPr>
          <w:rFonts w:ascii="宋体" w:hAnsi="宋体" w:cs="宋体" w:eastAsia="宋体" w:hint="default"/>
          <w:spacing w:val="-11"/>
          <w:w w:val="108"/>
          <w:position w:val="9"/>
          <w:sz w:val="10"/>
          <w:szCs w:val="10"/>
        </w:rPr>
        <w:t> </w:t>
      </w:r>
      <w:r>
        <w:rPr>
          <w:rFonts w:ascii="宋体" w:hAnsi="宋体" w:cs="宋体" w:eastAsia="宋体" w:hint="default"/>
          <w:spacing w:val="3"/>
        </w:rPr>
        <w:t>达到人民币</w:t>
      </w:r>
      <w:r>
        <w:rPr>
          <w:rFonts w:ascii="宋体" w:hAnsi="宋体" w:cs="宋体" w:eastAsia="宋体" w:hint="default"/>
          <w:spacing w:val="-47"/>
        </w:rPr>
        <w:t> </w:t>
      </w:r>
      <w:r>
        <w:rPr>
          <w:rFonts w:ascii="宋体" w:hAnsi="宋体" w:cs="宋体" w:eastAsia="宋体" w:hint="default"/>
          <w:spacing w:val="-1"/>
          <w:w w:val="111"/>
        </w:rPr>
        <w:t>852</w:t>
      </w:r>
      <w:r>
        <w:rPr>
          <w:rFonts w:ascii="宋体" w:hAnsi="宋体" w:cs="宋体" w:eastAsia="宋体" w:hint="default"/>
          <w:spacing w:val="-57"/>
          <w:w w:val="111"/>
        </w:rPr>
        <w:t> </w:t>
      </w:r>
      <w:r>
        <w:rPr>
          <w:rFonts w:ascii="宋体" w:hAnsi="宋体" w:cs="宋体" w:eastAsia="宋体" w:hint="default"/>
          <w:spacing w:val="2"/>
        </w:rPr>
        <w:t>亿元，同比增长</w:t>
      </w:r>
      <w:r>
        <w:rPr>
          <w:rFonts w:ascii="宋体" w:hAnsi="宋体" w:cs="宋体" w:eastAsia="宋体" w:hint="default"/>
          <w:spacing w:val="-47"/>
        </w:rPr>
        <w:t> </w:t>
      </w:r>
      <w:r>
        <w:rPr>
          <w:rFonts w:ascii="宋体" w:hAnsi="宋体" w:cs="宋体" w:eastAsia="宋体" w:hint="default"/>
          <w:spacing w:val="1"/>
          <w:w w:val="108"/>
        </w:rPr>
        <w:t>4.3%；利润总额</w:t>
      </w:r>
      <w:r>
        <w:rPr>
          <w:rFonts w:ascii="宋体" w:hAnsi="宋体" w:cs="宋体" w:eastAsia="宋体" w:hint="default"/>
          <w:spacing w:val="-56"/>
          <w:w w:val="108"/>
        </w:rPr>
        <w:t> </w:t>
      </w:r>
      <w:r>
        <w:rPr>
          <w:rFonts w:ascii="宋体" w:hAnsi="宋体" w:cs="宋体" w:eastAsia="宋体" w:hint="default"/>
          <w:w w:val="116"/>
          <w:position w:val="9"/>
          <w:sz w:val="10"/>
          <w:szCs w:val="10"/>
        </w:rPr>
        <w:t>2</w:t>
      </w:r>
      <w:r>
        <w:rPr>
          <w:rFonts w:ascii="宋体" w:hAnsi="宋体" w:cs="宋体" w:eastAsia="宋体" w:hint="default"/>
          <w:spacing w:val="-15"/>
          <w:w w:val="116"/>
          <w:position w:val="9"/>
          <w:sz w:val="10"/>
          <w:szCs w:val="10"/>
        </w:rPr>
        <w:t> </w:t>
      </w:r>
      <w:r>
        <w:rPr>
          <w:rFonts w:ascii="宋体" w:hAnsi="宋体" w:cs="宋体" w:eastAsia="宋体" w:hint="default"/>
          <w:spacing w:val="3"/>
        </w:rPr>
        <w:t>达到人民币</w:t>
      </w:r>
      <w:r>
        <w:rPr>
          <w:rFonts w:ascii="宋体" w:hAnsi="宋体" w:cs="宋体" w:eastAsia="宋体" w:hint="default"/>
          <w:spacing w:val="-47"/>
        </w:rPr>
        <w:t> </w:t>
      </w:r>
      <w:r>
        <w:rPr>
          <w:rFonts w:ascii="宋体" w:hAnsi="宋体" w:cs="宋体" w:eastAsia="宋体" w:hint="default"/>
          <w:spacing w:val="-1"/>
          <w:w w:val="111"/>
        </w:rPr>
        <w:t>121</w:t>
      </w:r>
      <w:r>
        <w:rPr>
          <w:rFonts w:ascii="宋体" w:hAnsi="宋体" w:cs="宋体" w:eastAsia="宋体" w:hint="default"/>
          <w:spacing w:val="-57"/>
          <w:w w:val="111"/>
        </w:rPr>
        <w:t> </w:t>
      </w:r>
      <w:r>
        <w:rPr>
          <w:rFonts w:ascii="宋体" w:hAnsi="宋体" w:cs="宋体" w:eastAsia="宋体" w:hint="default"/>
          <w:spacing w:val="3"/>
        </w:rPr>
        <w:t>亿元，归属于</w:t>
      </w:r>
      <w:r>
        <w:rPr>
          <w:rFonts w:ascii="宋体" w:hAnsi="宋体" w:cs="宋体" w:eastAsia="宋体" w:hint="default"/>
          <w:spacing w:val="4"/>
        </w:rPr>
        <w:t> </w:t>
      </w:r>
      <w:r>
        <w:rPr>
          <w:rFonts w:ascii="宋体" w:hAnsi="宋体" w:cs="宋体" w:eastAsia="宋体" w:hint="default"/>
        </w:rPr>
        <w:t>母公司净利润达到人民币 41 亿元，同比增长</w:t>
      </w:r>
      <w:r>
        <w:rPr>
          <w:rFonts w:ascii="宋体" w:hAnsi="宋体" w:cs="宋体" w:eastAsia="宋体" w:hint="default"/>
          <w:spacing w:val="23"/>
        </w:rPr>
        <w:t> </w:t>
      </w:r>
      <w:r>
        <w:rPr>
          <w:rFonts w:ascii="宋体" w:hAnsi="宋体" w:cs="宋体" w:eastAsia="宋体" w:hint="default"/>
        </w:rPr>
        <w:t>858%，盈利持续“V”型反弹。</w:t>
      </w:r>
    </w:p>
    <w:p>
      <w:pPr>
        <w:pStyle w:val="BodyText"/>
        <w:spacing w:line="285" w:lineRule="auto" w:before="123"/>
        <w:ind w:left="887" w:right="1325"/>
        <w:jc w:val="both"/>
        <w:rPr>
          <w:rFonts w:ascii="宋体" w:hAnsi="宋体" w:cs="宋体" w:eastAsia="宋体" w:hint="default"/>
        </w:rPr>
      </w:pPr>
      <w:r>
        <w:rPr>
          <w:rFonts w:ascii="宋体" w:hAnsi="宋体" w:cs="宋体" w:eastAsia="宋体" w:hint="default"/>
          <w:spacing w:val="-1"/>
        </w:rPr>
        <w:t>公司坚持以精准投资和共享合作促进网络效能提升，在确保网络竞争力的同时，全年资本开支继续得到有效控制，</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spacing w:val="3"/>
        </w:rPr>
        <w:t>为人民币 </w:t>
      </w:r>
      <w:r>
        <w:rPr>
          <w:rFonts w:ascii="宋体" w:hAnsi="宋体" w:cs="宋体" w:eastAsia="宋体" w:hint="default"/>
        </w:rPr>
        <w:t>449</w:t>
      </w:r>
      <w:r>
        <w:rPr>
          <w:rFonts w:ascii="宋体" w:hAnsi="宋体" w:cs="宋体" w:eastAsia="宋体" w:hint="default"/>
          <w:spacing w:val="-34"/>
        </w:rPr>
        <w:t> </w:t>
      </w:r>
      <w:r>
        <w:rPr>
          <w:rFonts w:ascii="宋体" w:hAnsi="宋体" w:cs="宋体" w:eastAsia="宋体" w:hint="default"/>
          <w:spacing w:val="4"/>
        </w:rPr>
        <w:t>亿元。得益于收入的持续增长以及支出的良好控制，公司自由现金流再创历史新高，达到人民币</w:t>
      </w:r>
      <w:r>
        <w:rPr>
          <w:rFonts w:ascii="宋体" w:hAnsi="宋体" w:cs="宋体" w:eastAsia="宋体" w:hint="default"/>
        </w:rPr>
      </w:r>
    </w:p>
    <w:p>
      <w:pPr>
        <w:pStyle w:val="BodyText"/>
        <w:spacing w:line="240" w:lineRule="auto" w:before="10"/>
        <w:ind w:left="887" w:right="0"/>
        <w:jc w:val="both"/>
        <w:rPr>
          <w:rFonts w:ascii="宋体" w:hAnsi="宋体" w:cs="宋体" w:eastAsia="宋体" w:hint="default"/>
        </w:rPr>
      </w:pPr>
      <w:r>
        <w:rPr>
          <w:rFonts w:ascii="宋体" w:hAnsi="宋体" w:cs="宋体" w:eastAsia="宋体" w:hint="default"/>
        </w:rPr>
        <w:t>500 亿元；资产负债率由上年同期的 46.5% 进一步下降至</w:t>
      </w:r>
      <w:r>
        <w:rPr>
          <w:rFonts w:ascii="宋体" w:hAnsi="宋体" w:cs="宋体" w:eastAsia="宋体" w:hint="default"/>
          <w:spacing w:val="-16"/>
        </w:rPr>
        <w:t> </w:t>
      </w:r>
      <w:r>
        <w:rPr>
          <w:rFonts w:ascii="宋体" w:hAnsi="宋体" w:cs="宋体" w:eastAsia="宋体" w:hint="default"/>
        </w:rPr>
        <w:t>41.5%，公司财务状况更加稳健，资本实力持续增强。</w:t>
      </w:r>
    </w:p>
    <w:p>
      <w:pPr>
        <w:pStyle w:val="BodyText"/>
        <w:spacing w:line="285" w:lineRule="auto" w:before="157"/>
        <w:ind w:left="887" w:right="1413"/>
        <w:jc w:val="both"/>
        <w:rPr>
          <w:rFonts w:ascii="宋体" w:hAnsi="宋体" w:cs="宋体" w:eastAsia="宋体" w:hint="default"/>
        </w:rPr>
      </w:pPr>
      <w:r>
        <w:rPr>
          <w:rFonts w:ascii="宋体" w:hAnsi="宋体" w:cs="宋体" w:eastAsia="宋体" w:hint="default"/>
        </w:rPr>
        <w:t>公司高度重视股东回报。在充分考虑盈利状况、债务和现金流水平及未来发展的资金需求后，董事会建议派发每</w:t>
      </w:r>
      <w:r>
        <w:rPr>
          <w:rFonts w:ascii="宋体" w:hAnsi="宋体" w:cs="宋体" w:eastAsia="宋体" w:hint="default"/>
          <w:spacing w:val="-45"/>
        </w:rPr>
        <w:t> </w:t>
      </w:r>
      <w:r>
        <w:rPr>
          <w:rFonts w:ascii="宋体" w:hAnsi="宋体" w:cs="宋体" w:eastAsia="宋体" w:hint="default"/>
          <w:spacing w:val="-45"/>
        </w:rPr>
      </w:r>
      <w:r>
        <w:rPr>
          <w:rFonts w:ascii="宋体" w:hAnsi="宋体" w:cs="宋体" w:eastAsia="宋体" w:hint="default"/>
        </w:rPr>
        <w:t>股末期股息人民币</w:t>
      </w:r>
      <w:r>
        <w:rPr>
          <w:rFonts w:ascii="宋体" w:hAnsi="宋体" w:cs="宋体" w:eastAsia="宋体" w:hint="default"/>
          <w:spacing w:val="-41"/>
        </w:rPr>
        <w:t> </w:t>
      </w:r>
      <w:r>
        <w:rPr>
          <w:rFonts w:ascii="宋体" w:hAnsi="宋体" w:cs="宋体" w:eastAsia="宋体" w:hint="default"/>
        </w:rPr>
        <w:t>0.0533</w:t>
      </w:r>
      <w:r>
        <w:rPr>
          <w:rFonts w:ascii="宋体" w:hAnsi="宋体" w:cs="宋体" w:eastAsia="宋体" w:hint="default"/>
          <w:spacing w:val="-42"/>
        </w:rPr>
        <w:t> </w:t>
      </w:r>
      <w:r>
        <w:rPr>
          <w:rFonts w:ascii="宋体" w:hAnsi="宋体" w:cs="宋体" w:eastAsia="宋体" w:hint="default"/>
        </w:rPr>
        <w:t>元。未来公司将继续努力提升盈利能力和股东回报。</w:t>
      </w:r>
    </w:p>
    <w:p>
      <w:pPr>
        <w:spacing w:before="126"/>
        <w:ind w:left="490" w:right="0" w:firstLine="0"/>
        <w:jc w:val="both"/>
        <w:rPr>
          <w:rFonts w:ascii="宋体" w:hAnsi="宋体" w:cs="宋体" w:eastAsia="宋体" w:hint="default"/>
          <w:sz w:val="17"/>
          <w:szCs w:val="17"/>
        </w:rPr>
      </w:pPr>
      <w:r>
        <w:rPr>
          <w:rFonts w:ascii="宋体" w:hAnsi="宋体" w:cs="宋体" w:eastAsia="宋体" w:hint="default"/>
          <w:sz w:val="17"/>
          <w:szCs w:val="17"/>
        </w:rPr>
        <w:t>（二）业务发展</w:t>
      </w:r>
    </w:p>
    <w:p>
      <w:pPr>
        <w:spacing w:line="240" w:lineRule="auto" w:before="11"/>
        <w:rPr>
          <w:rFonts w:ascii="宋体" w:hAnsi="宋体" w:cs="宋体" w:eastAsia="宋体" w:hint="default"/>
          <w:sz w:val="12"/>
          <w:szCs w:val="12"/>
        </w:rPr>
      </w:pPr>
    </w:p>
    <w:p>
      <w:pPr>
        <w:pStyle w:val="BodyText"/>
        <w:spacing w:line="240" w:lineRule="auto"/>
        <w:ind w:left="887" w:right="0"/>
        <w:jc w:val="both"/>
        <w:rPr>
          <w:rFonts w:ascii="宋体" w:hAnsi="宋体" w:cs="宋体" w:eastAsia="宋体" w:hint="default"/>
        </w:rPr>
      </w:pPr>
      <w:r>
        <w:rPr>
          <w:rFonts w:ascii="宋体" w:hAnsi="宋体" w:cs="宋体" w:eastAsia="宋体" w:hint="default"/>
          <w:color w:val="D7000F"/>
        </w:rPr>
        <w:t>深入推动互联网化创新运营，移动业务高效增长</w:t>
      </w:r>
      <w:r>
        <w:rPr>
          <w:rFonts w:ascii="宋体" w:hAnsi="宋体" w:cs="宋体" w:eastAsia="宋体" w:hint="default"/>
        </w:rPr>
      </w:r>
    </w:p>
    <w:p>
      <w:pPr>
        <w:pStyle w:val="BodyText"/>
        <w:spacing w:line="240" w:lineRule="auto" w:before="157"/>
        <w:ind w:left="887" w:right="0"/>
        <w:jc w:val="both"/>
        <w:rPr>
          <w:rFonts w:ascii="宋体" w:hAnsi="宋体" w:cs="宋体" w:eastAsia="宋体" w:hint="default"/>
        </w:rPr>
      </w:pPr>
      <w:r>
        <w:rPr>
          <w:rFonts w:ascii="宋体" w:hAnsi="宋体" w:cs="宋体" w:eastAsia="宋体" w:hint="default"/>
          <w:w w:val="111"/>
        </w:rPr>
        <w:t>2018</w:t>
      </w:r>
      <w:r>
        <w:rPr>
          <w:rFonts w:ascii="宋体" w:hAnsi="宋体" w:cs="宋体" w:eastAsia="宋体" w:hint="default"/>
          <w:spacing w:val="-67"/>
        </w:rPr>
        <w:t> </w:t>
      </w:r>
      <w:r>
        <w:rPr>
          <w:rFonts w:ascii="宋体" w:hAnsi="宋体" w:cs="宋体" w:eastAsia="宋体" w:hint="default"/>
        </w:rPr>
        <w:t>年</w:t>
      </w:r>
      <w:r>
        <w:rPr>
          <w:rFonts w:ascii="宋体" w:hAnsi="宋体" w:cs="宋体" w:eastAsia="宋体" w:hint="default"/>
          <w:spacing w:val="-87"/>
        </w:rPr>
        <w:t>，</w:t>
      </w:r>
      <w:r>
        <w:rPr>
          <w:rFonts w:ascii="宋体" w:hAnsi="宋体" w:cs="宋体" w:eastAsia="宋体" w:hint="default"/>
        </w:rPr>
        <w:t>面</w:t>
      </w:r>
      <w:r>
        <w:rPr>
          <w:rFonts w:ascii="宋体" w:hAnsi="宋体" w:cs="宋体" w:eastAsia="宋体" w:hint="default"/>
          <w:spacing w:val="-87"/>
        </w:rPr>
        <w:t>对</w:t>
      </w:r>
      <w:r>
        <w:rPr>
          <w:rFonts w:ascii="宋体" w:hAnsi="宋体" w:cs="宋体" w:eastAsia="宋体" w:hint="default"/>
        </w:rPr>
        <w:t>“提速降费</w:t>
      </w:r>
      <w:r>
        <w:rPr>
          <w:rFonts w:ascii="宋体" w:hAnsi="宋体" w:cs="宋体" w:eastAsia="宋体" w:hint="default"/>
          <w:spacing w:val="-87"/>
        </w:rPr>
        <w:t>”</w:t>
      </w:r>
      <w:r>
        <w:rPr>
          <w:rFonts w:ascii="宋体" w:hAnsi="宋体" w:cs="宋体" w:eastAsia="宋体" w:hint="default"/>
        </w:rPr>
        <w:t>和市场竞争压力</w:t>
      </w:r>
      <w:r>
        <w:rPr>
          <w:rFonts w:ascii="宋体" w:hAnsi="宋体" w:cs="宋体" w:eastAsia="宋体" w:hint="default"/>
          <w:spacing w:val="-87"/>
        </w:rPr>
        <w:t>，</w:t>
      </w:r>
      <w:r>
        <w:rPr>
          <w:rFonts w:ascii="宋体" w:hAnsi="宋体" w:cs="宋体" w:eastAsia="宋体" w:hint="default"/>
        </w:rPr>
        <w:t>公司积极推动移动业务创新经营</w:t>
      </w:r>
      <w:r>
        <w:rPr>
          <w:rFonts w:ascii="宋体" w:hAnsi="宋体" w:cs="宋体" w:eastAsia="宋体" w:hint="default"/>
          <w:spacing w:val="-87"/>
        </w:rPr>
        <w:t>，</w:t>
      </w:r>
      <w:r>
        <w:rPr>
          <w:rFonts w:ascii="宋体" w:hAnsi="宋体" w:cs="宋体" w:eastAsia="宋体" w:hint="default"/>
        </w:rPr>
        <w:t>在渠道佣金和手机补贴下降的情况下，</w:t>
      </w:r>
    </w:p>
    <w:p>
      <w:pPr>
        <w:pStyle w:val="BodyText"/>
        <w:spacing w:line="240" w:lineRule="auto" w:before="44"/>
        <w:ind w:left="887" w:right="0"/>
        <w:jc w:val="both"/>
        <w:rPr>
          <w:rFonts w:ascii="宋体" w:hAnsi="宋体" w:cs="宋体" w:eastAsia="宋体" w:hint="default"/>
        </w:rPr>
      </w:pPr>
      <w:r>
        <w:rPr>
          <w:rFonts w:ascii="宋体" w:hAnsi="宋体" w:cs="宋体" w:eastAsia="宋体" w:hint="default"/>
        </w:rPr>
        <w:t>移动业务实现高效增长，全年移动主营业务收入达到人民币</w:t>
      </w:r>
      <w:r>
        <w:rPr>
          <w:rFonts w:ascii="宋体" w:hAnsi="宋体" w:cs="宋体" w:eastAsia="宋体" w:hint="default"/>
          <w:spacing w:val="-45"/>
        </w:rPr>
        <w:t> </w:t>
      </w:r>
      <w:r>
        <w:rPr>
          <w:rFonts w:ascii="宋体" w:hAnsi="宋体" w:cs="宋体" w:eastAsia="宋体" w:hint="default"/>
          <w:spacing w:val="-1"/>
          <w:w w:val="111"/>
        </w:rPr>
        <w:t>1</w:t>
      </w:r>
      <w:r>
        <w:rPr>
          <w:rFonts w:ascii="宋体" w:hAnsi="宋体" w:cs="宋体" w:eastAsia="宋体" w:hint="default"/>
          <w:w w:val="55"/>
        </w:rPr>
        <w:t>,</w:t>
      </w:r>
      <w:r>
        <w:rPr>
          <w:rFonts w:ascii="宋体" w:hAnsi="宋体" w:cs="宋体" w:eastAsia="宋体" w:hint="default"/>
          <w:spacing w:val="-1"/>
          <w:w w:val="111"/>
        </w:rPr>
        <w:t>65</w:t>
      </w:r>
      <w:r>
        <w:rPr>
          <w:rFonts w:ascii="宋体" w:hAnsi="宋体" w:cs="宋体" w:eastAsia="宋体" w:hint="default"/>
          <w:w w:val="111"/>
        </w:rPr>
        <w:t>1</w:t>
      </w:r>
      <w:r>
        <w:rPr>
          <w:rFonts w:ascii="宋体" w:hAnsi="宋体" w:cs="宋体" w:eastAsia="宋体" w:hint="default"/>
          <w:spacing w:val="-45"/>
        </w:rPr>
        <w:t> </w:t>
      </w:r>
      <w:r>
        <w:rPr>
          <w:rFonts w:ascii="宋体" w:hAnsi="宋体" w:cs="宋体" w:eastAsia="宋体" w:hint="default"/>
        </w:rPr>
        <w:t>亿元，同比增长</w:t>
      </w:r>
      <w:r>
        <w:rPr>
          <w:rFonts w:ascii="宋体" w:hAnsi="宋体" w:cs="宋体" w:eastAsia="宋体" w:hint="default"/>
          <w:spacing w:val="-45"/>
        </w:rPr>
        <w:t> </w:t>
      </w:r>
      <w:r>
        <w:rPr>
          <w:rFonts w:ascii="宋体" w:hAnsi="宋体" w:cs="宋体" w:eastAsia="宋体" w:hint="default"/>
          <w:spacing w:val="-1"/>
          <w:w w:val="111"/>
        </w:rPr>
        <w:t>5</w:t>
      </w:r>
      <w:r>
        <w:rPr>
          <w:rFonts w:ascii="宋体" w:hAnsi="宋体" w:cs="宋体" w:eastAsia="宋体" w:hint="default"/>
          <w:w w:val="55"/>
        </w:rPr>
        <w:t>.</w:t>
      </w:r>
      <w:r>
        <w:rPr>
          <w:rFonts w:ascii="宋体" w:hAnsi="宋体" w:cs="宋体" w:eastAsia="宋体" w:hint="default"/>
          <w:spacing w:val="-1"/>
          <w:w w:val="111"/>
        </w:rPr>
        <w:t>5</w:t>
      </w:r>
      <w:r>
        <w:rPr>
          <w:rFonts w:ascii="宋体" w:hAnsi="宋体" w:cs="宋体" w:eastAsia="宋体" w:hint="default"/>
          <w:w w:val="200"/>
        </w:rPr>
        <w:t>%</w:t>
      </w:r>
      <w:r>
        <w:rPr>
          <w:rFonts w:ascii="宋体" w:hAnsi="宋体" w:cs="宋体" w:eastAsia="宋体" w:hint="default"/>
        </w:rPr>
        <w:t>，领先于行业平均</w:t>
      </w:r>
      <w:r>
        <w:rPr>
          <w:rFonts w:ascii="宋体" w:hAnsi="宋体" w:cs="宋体" w:eastAsia="宋体" w:hint="default"/>
          <w:spacing w:val="-45"/>
        </w:rPr>
        <w:t> </w:t>
      </w:r>
      <w:r>
        <w:rPr>
          <w:rFonts w:ascii="宋体" w:hAnsi="宋体" w:cs="宋体" w:eastAsia="宋体" w:hint="default"/>
          <w:spacing w:val="-1"/>
          <w:w w:val="111"/>
        </w:rPr>
        <w:t>0</w:t>
      </w:r>
      <w:r>
        <w:rPr>
          <w:rFonts w:ascii="宋体" w:hAnsi="宋体" w:cs="宋体" w:eastAsia="宋体" w:hint="default"/>
          <w:w w:val="55"/>
        </w:rPr>
        <w:t>.</w:t>
      </w:r>
      <w:r>
        <w:rPr>
          <w:rFonts w:ascii="宋体" w:hAnsi="宋体" w:cs="宋体" w:eastAsia="宋体" w:hint="default"/>
          <w:spacing w:val="-1"/>
          <w:w w:val="111"/>
        </w:rPr>
        <w:t>6</w:t>
      </w:r>
      <w:r>
        <w:rPr>
          <w:rFonts w:ascii="宋体" w:hAnsi="宋体" w:cs="宋体" w:eastAsia="宋体" w:hint="default"/>
          <w:w w:val="200"/>
        </w:rPr>
        <w:t>%</w:t>
      </w:r>
      <w:r>
        <w:rPr>
          <w:rFonts w:ascii="宋体" w:hAnsi="宋体" w:cs="宋体" w:eastAsia="宋体" w:hint="default"/>
        </w:rPr>
      </w:r>
    </w:p>
    <w:p>
      <w:pPr>
        <w:pStyle w:val="BodyText"/>
        <w:spacing w:line="240" w:lineRule="auto" w:before="44"/>
        <w:ind w:left="887" w:right="0"/>
        <w:jc w:val="both"/>
        <w:rPr>
          <w:rFonts w:ascii="宋体" w:hAnsi="宋体" w:cs="宋体" w:eastAsia="宋体" w:hint="default"/>
        </w:rPr>
      </w:pPr>
      <w:r>
        <w:rPr>
          <w:rFonts w:ascii="宋体" w:hAnsi="宋体" w:cs="宋体" w:eastAsia="宋体" w:hint="default"/>
        </w:rPr>
        <w:t>的增幅。移动出账用户净增</w:t>
      </w:r>
      <w:r>
        <w:rPr>
          <w:rFonts w:ascii="宋体" w:hAnsi="宋体" w:cs="宋体" w:eastAsia="宋体" w:hint="default"/>
          <w:spacing w:val="-34"/>
        </w:rPr>
        <w:t> </w:t>
      </w:r>
      <w:r>
        <w:rPr>
          <w:rFonts w:ascii="宋体" w:hAnsi="宋体" w:cs="宋体" w:eastAsia="宋体" w:hint="default"/>
        </w:rPr>
        <w:t>3,087</w:t>
      </w:r>
      <w:r>
        <w:rPr>
          <w:rFonts w:ascii="宋体" w:hAnsi="宋体" w:cs="宋体" w:eastAsia="宋体" w:hint="default"/>
          <w:spacing w:val="-35"/>
        </w:rPr>
        <w:t> </w:t>
      </w:r>
      <w:r>
        <w:rPr>
          <w:rFonts w:ascii="宋体" w:hAnsi="宋体" w:cs="宋体" w:eastAsia="宋体" w:hint="default"/>
        </w:rPr>
        <w:t>万户，同比提升</w:t>
      </w:r>
      <w:r>
        <w:rPr>
          <w:rFonts w:ascii="宋体" w:hAnsi="宋体" w:cs="宋体" w:eastAsia="宋体" w:hint="default"/>
          <w:spacing w:val="-34"/>
        </w:rPr>
        <w:t> </w:t>
      </w:r>
      <w:r>
        <w:rPr>
          <w:rFonts w:ascii="宋体" w:hAnsi="宋体" w:cs="宋体" w:eastAsia="宋体" w:hint="default"/>
        </w:rPr>
        <w:t>51.8%，总数达到</w:t>
      </w:r>
      <w:r>
        <w:rPr>
          <w:rFonts w:ascii="宋体" w:hAnsi="宋体" w:cs="宋体" w:eastAsia="宋体" w:hint="default"/>
          <w:spacing w:val="-35"/>
        </w:rPr>
        <w:t> </w:t>
      </w:r>
      <w:r>
        <w:rPr>
          <w:rFonts w:ascii="宋体" w:hAnsi="宋体" w:cs="宋体" w:eastAsia="宋体" w:hint="default"/>
        </w:rPr>
        <w:t>3.2</w:t>
      </w:r>
      <w:r>
        <w:rPr>
          <w:rFonts w:ascii="宋体" w:hAnsi="宋体" w:cs="宋体" w:eastAsia="宋体" w:hint="default"/>
          <w:spacing w:val="-35"/>
        </w:rPr>
        <w:t> </w:t>
      </w:r>
      <w:r>
        <w:rPr>
          <w:rFonts w:ascii="宋体" w:hAnsi="宋体" w:cs="宋体" w:eastAsia="宋体" w:hint="default"/>
        </w:rPr>
        <w:t>亿户。</w:t>
      </w:r>
    </w:p>
    <w:p>
      <w:pPr>
        <w:pStyle w:val="BodyText"/>
        <w:spacing w:line="285" w:lineRule="auto" w:before="157"/>
        <w:ind w:left="887" w:right="1412"/>
        <w:jc w:val="both"/>
        <w:rPr>
          <w:rFonts w:ascii="宋体" w:hAnsi="宋体" w:cs="宋体" w:eastAsia="宋体" w:hint="default"/>
        </w:rPr>
      </w:pPr>
      <w:r>
        <w:rPr>
          <w:rFonts w:ascii="宋体" w:hAnsi="宋体" w:cs="宋体" w:eastAsia="宋体" w:hint="default"/>
        </w:rPr>
        <w:t>年内，公司没有简单跟随竞争对手低价不限量套餐产品，而是通过持续推进经营的互联网化转型</w:t>
      </w:r>
      <w:r>
        <w:rPr>
          <w:rFonts w:ascii="宋体" w:hAnsi="宋体" w:cs="宋体" w:eastAsia="宋体" w:hint="default"/>
          <w:spacing w:val="-31"/>
        </w:rPr>
        <w:t> </w:t>
      </w:r>
      <w:r>
        <w:rPr>
          <w:rFonts w:ascii="宋体" w:hAnsi="宋体" w:cs="宋体" w:eastAsia="宋体" w:hint="default"/>
          <w:w w:val="95"/>
        </w:rPr>
        <w:t>,</w:t>
      </w:r>
      <w:r>
        <w:rPr>
          <w:rFonts w:ascii="宋体" w:hAnsi="宋体" w:cs="宋体" w:eastAsia="宋体" w:hint="default"/>
          <w:spacing w:val="4"/>
          <w:w w:val="95"/>
        </w:rPr>
        <w:t> </w:t>
      </w:r>
      <w:r>
        <w:rPr>
          <w:rFonts w:ascii="宋体" w:hAnsi="宋体" w:cs="宋体" w:eastAsia="宋体" w:hint="default"/>
          <w:spacing w:val="2"/>
        </w:rPr>
        <w:t>借助与互联网</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spacing w:val="2"/>
        </w:rPr>
        <w:t>公司深化</w:t>
      </w:r>
      <w:r>
        <w:rPr>
          <w:rFonts w:ascii="宋体" w:hAnsi="宋体" w:cs="宋体" w:eastAsia="宋体" w:hint="default"/>
          <w:spacing w:val="-34"/>
        </w:rPr>
        <w:t> </w:t>
      </w:r>
      <w:r>
        <w:rPr>
          <w:rFonts w:ascii="宋体" w:hAnsi="宋体" w:cs="宋体" w:eastAsia="宋体" w:hint="default"/>
          <w:spacing w:val="-1"/>
          <w:w w:val="102"/>
        </w:rPr>
        <w:t>2I2C</w:t>
      </w:r>
      <w:r>
        <w:rPr>
          <w:rFonts w:ascii="宋体" w:hAnsi="宋体" w:cs="宋体" w:eastAsia="宋体" w:hint="default"/>
          <w:spacing w:val="-36"/>
          <w:w w:val="102"/>
        </w:rPr>
        <w:t> </w:t>
      </w:r>
      <w:r>
        <w:rPr>
          <w:rFonts w:ascii="宋体" w:hAnsi="宋体" w:cs="宋体" w:eastAsia="宋体" w:hint="default"/>
          <w:spacing w:val="2"/>
        </w:rPr>
        <w:t>业务合作，基于细分市场需求，优化推出差异化产品，解决大流量用户的需求；深化线上线下全</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rPr>
        <w:t>触点统一运营，推动实体渠道由坐商变行商，促进线上线下相互引流；重点聚焦线上、异业联盟等轻触点，提升</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发展效益；以大数据驱动精准营销和存量经营，促进用户发展维系和价值提升。2018</w:t>
      </w:r>
      <w:r>
        <w:rPr>
          <w:rFonts w:ascii="宋体" w:hAnsi="宋体" w:cs="宋体" w:eastAsia="宋体" w:hint="default"/>
          <w:spacing w:val="-45"/>
        </w:rPr>
        <w:t> </w:t>
      </w:r>
      <w:r>
        <w:rPr>
          <w:rFonts w:ascii="宋体" w:hAnsi="宋体" w:cs="宋体" w:eastAsia="宋体" w:hint="default"/>
          <w:spacing w:val="-5"/>
        </w:rPr>
        <w:t>年，公司</w:t>
      </w:r>
      <w:r>
        <w:rPr>
          <w:rFonts w:ascii="宋体" w:hAnsi="宋体" w:cs="宋体" w:eastAsia="宋体" w:hint="default"/>
          <w:spacing w:val="-44"/>
        </w:rPr>
        <w:t> </w:t>
      </w:r>
      <w:r>
        <w:rPr>
          <w:rFonts w:ascii="宋体" w:hAnsi="宋体" w:cs="宋体" w:eastAsia="宋体" w:hint="default"/>
        </w:rPr>
        <w:t>4G</w:t>
      </w:r>
      <w:r>
        <w:rPr>
          <w:rFonts w:ascii="宋体" w:hAnsi="宋体" w:cs="宋体" w:eastAsia="宋体" w:hint="default"/>
          <w:spacing w:val="-44"/>
        </w:rPr>
        <w:t> </w:t>
      </w:r>
      <w:r>
        <w:rPr>
          <w:rFonts w:ascii="宋体" w:hAnsi="宋体" w:cs="宋体" w:eastAsia="宋体" w:hint="default"/>
        </w:rPr>
        <w:t>用户净增</w:t>
      </w:r>
      <w:r>
        <w:rPr>
          <w:rFonts w:ascii="宋体" w:hAnsi="宋体" w:cs="宋体" w:eastAsia="宋体" w:hint="default"/>
          <w:spacing w:val="-44"/>
        </w:rPr>
        <w:t> </w:t>
      </w:r>
      <w:r>
        <w:rPr>
          <w:rFonts w:ascii="宋体" w:hAnsi="宋体" w:cs="宋体" w:eastAsia="宋体" w:hint="default"/>
        </w:rPr>
        <w:t>4,505</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万户，总数达到</w:t>
      </w:r>
      <w:r>
        <w:rPr>
          <w:rFonts w:ascii="宋体" w:hAnsi="宋体" w:cs="宋体" w:eastAsia="宋体" w:hint="default"/>
          <w:spacing w:val="-55"/>
        </w:rPr>
        <w:t> </w:t>
      </w:r>
      <w:r>
        <w:rPr>
          <w:rFonts w:ascii="宋体" w:hAnsi="宋体" w:cs="宋体" w:eastAsia="宋体" w:hint="default"/>
          <w:spacing w:val="-1"/>
          <w:w w:val="92"/>
        </w:rPr>
        <w:t>2.2</w:t>
      </w:r>
      <w:r>
        <w:rPr>
          <w:rFonts w:ascii="宋体" w:hAnsi="宋体" w:cs="宋体" w:eastAsia="宋体" w:hint="default"/>
          <w:spacing w:val="-49"/>
          <w:w w:val="92"/>
        </w:rPr>
        <w:t> </w:t>
      </w:r>
      <w:r>
        <w:rPr>
          <w:rFonts w:ascii="宋体" w:hAnsi="宋体" w:cs="宋体" w:eastAsia="宋体" w:hint="default"/>
          <w:w w:val="110"/>
        </w:rPr>
        <w:t>亿户，4G</w:t>
      </w:r>
      <w:r>
        <w:rPr>
          <w:rFonts w:ascii="宋体" w:hAnsi="宋体" w:cs="宋体" w:eastAsia="宋体" w:hint="default"/>
          <w:spacing w:val="-65"/>
          <w:w w:val="110"/>
        </w:rPr>
        <w:t> </w:t>
      </w:r>
      <w:r>
        <w:rPr>
          <w:rFonts w:ascii="宋体" w:hAnsi="宋体" w:cs="宋体" w:eastAsia="宋体" w:hint="default"/>
        </w:rPr>
        <w:t>用户市场份额同比提高</w:t>
      </w:r>
      <w:r>
        <w:rPr>
          <w:rFonts w:ascii="宋体" w:hAnsi="宋体" w:cs="宋体" w:eastAsia="宋体" w:hint="default"/>
          <w:spacing w:val="-55"/>
        </w:rPr>
        <w:t> </w:t>
      </w:r>
      <w:r>
        <w:rPr>
          <w:rFonts w:ascii="宋体" w:hAnsi="宋体" w:cs="宋体" w:eastAsia="宋体" w:hint="default"/>
          <w:spacing w:val="-1"/>
          <w:w w:val="92"/>
        </w:rPr>
        <w:t>1.3</w:t>
      </w:r>
      <w:r>
        <w:rPr>
          <w:rFonts w:ascii="宋体" w:hAnsi="宋体" w:cs="宋体" w:eastAsia="宋体" w:hint="default"/>
          <w:spacing w:val="-49"/>
          <w:w w:val="92"/>
        </w:rPr>
        <w:t> </w:t>
      </w:r>
      <w:r>
        <w:rPr>
          <w:rFonts w:ascii="宋体" w:hAnsi="宋体" w:cs="宋体" w:eastAsia="宋体" w:hint="default"/>
          <w:w w:val="107"/>
        </w:rPr>
        <w:t>个百分点。4G</w:t>
      </w:r>
      <w:r>
        <w:rPr>
          <w:rFonts w:ascii="宋体" w:hAnsi="宋体" w:cs="宋体" w:eastAsia="宋体" w:hint="default"/>
          <w:spacing w:val="-62"/>
          <w:w w:val="107"/>
        </w:rPr>
        <w:t> </w:t>
      </w:r>
      <w:r>
        <w:rPr>
          <w:rFonts w:ascii="宋体" w:hAnsi="宋体" w:cs="宋体" w:eastAsia="宋体" w:hint="default"/>
        </w:rPr>
        <w:t>用户占移动出账用户比例达到</w:t>
      </w:r>
      <w:r>
        <w:rPr>
          <w:rFonts w:ascii="宋体" w:hAnsi="宋体" w:cs="宋体" w:eastAsia="宋体" w:hint="default"/>
          <w:spacing w:val="-55"/>
        </w:rPr>
        <w:t> </w:t>
      </w:r>
      <w:r>
        <w:rPr>
          <w:rFonts w:ascii="宋体" w:hAnsi="宋体" w:cs="宋体" w:eastAsia="宋体" w:hint="default"/>
          <w:w w:val="124"/>
        </w:rPr>
        <w:t>70%，同</w:t>
      </w:r>
      <w:r>
        <w:rPr>
          <w:rFonts w:ascii="宋体" w:hAnsi="宋体" w:cs="宋体" w:eastAsia="宋体" w:hint="default"/>
          <w:spacing w:val="1"/>
        </w:rPr>
        <w:t> </w:t>
      </w:r>
      <w:r>
        <w:rPr>
          <w:rFonts w:ascii="宋体" w:hAnsi="宋体" w:cs="宋体" w:eastAsia="宋体" w:hint="default"/>
        </w:rPr>
        <w:t>比提升超过</w:t>
      </w:r>
      <w:r>
        <w:rPr>
          <w:rFonts w:ascii="宋体" w:hAnsi="宋体" w:cs="宋体" w:eastAsia="宋体" w:hint="default"/>
          <w:spacing w:val="-40"/>
        </w:rPr>
        <w:t> </w:t>
      </w:r>
      <w:r>
        <w:rPr>
          <w:rFonts w:ascii="宋体" w:hAnsi="宋体" w:cs="宋体" w:eastAsia="宋体" w:hint="default"/>
        </w:rPr>
        <w:t>8</w:t>
      </w:r>
      <w:r>
        <w:rPr>
          <w:rFonts w:ascii="宋体" w:hAnsi="宋体" w:cs="宋体" w:eastAsia="宋体" w:hint="default"/>
          <w:spacing w:val="-42"/>
        </w:rPr>
        <w:t> </w:t>
      </w:r>
      <w:r>
        <w:rPr>
          <w:rFonts w:ascii="宋体" w:hAnsi="宋体" w:cs="宋体" w:eastAsia="宋体" w:hint="default"/>
        </w:rPr>
        <w:t>个百分点。</w:t>
      </w:r>
    </w:p>
    <w:p>
      <w:pPr>
        <w:pStyle w:val="BodyText"/>
        <w:spacing w:line="285" w:lineRule="auto" w:before="123"/>
        <w:ind w:left="887" w:right="1413"/>
        <w:jc w:val="both"/>
        <w:rPr>
          <w:rFonts w:ascii="宋体" w:hAnsi="宋体" w:cs="宋体" w:eastAsia="宋体" w:hint="default"/>
        </w:rPr>
      </w:pPr>
      <w:r>
        <w:rPr>
          <w:rFonts w:ascii="宋体" w:hAnsi="宋体" w:cs="宋体" w:eastAsia="宋体" w:hint="default"/>
        </w:rPr>
        <w:t>公司落实“提速降费”政策，年内通过优化套餐并大力推广大流量套餐，促进用户平滑过渡。深化流量经营，借</w:t>
      </w:r>
      <w:r>
        <w:rPr>
          <w:rFonts w:ascii="宋体" w:hAnsi="宋体" w:cs="宋体" w:eastAsia="宋体" w:hint="default"/>
          <w:spacing w:val="-49"/>
        </w:rPr>
        <w:t> </w:t>
      </w:r>
      <w:r>
        <w:rPr>
          <w:rFonts w:ascii="宋体" w:hAnsi="宋体" w:cs="宋体" w:eastAsia="宋体" w:hint="default"/>
          <w:spacing w:val="-49"/>
        </w:rPr>
      </w:r>
      <w:r>
        <w:rPr>
          <w:rFonts w:ascii="宋体" w:hAnsi="宋体" w:cs="宋体" w:eastAsia="宋体" w:hint="default"/>
          <w:spacing w:val="-1"/>
        </w:rPr>
        <w:t>力移动数据价格弹性，努力以薄利多销实现多赢。2018</w:t>
      </w:r>
      <w:r>
        <w:rPr>
          <w:rFonts w:ascii="宋体" w:hAnsi="宋体" w:cs="宋体" w:eastAsia="宋体" w:hint="default"/>
        </w:rPr>
        <w:t> </w:t>
      </w:r>
      <w:r>
        <w:rPr>
          <w:rFonts w:ascii="宋体" w:hAnsi="宋体" w:cs="宋体" w:eastAsia="宋体" w:hint="default"/>
          <w:spacing w:val="-1"/>
        </w:rPr>
        <w:t>年，公司手机上网流量单价大幅下降；手机上网总流量增</w:t>
      </w:r>
      <w:r>
        <w:rPr>
          <w:rFonts w:ascii="宋体" w:hAnsi="宋体" w:cs="宋体" w:eastAsia="宋体" w:hint="default"/>
          <w:spacing w:val="-51"/>
        </w:rPr>
        <w:t> </w:t>
      </w:r>
      <w:r>
        <w:rPr>
          <w:rFonts w:ascii="宋体" w:hAnsi="宋体" w:cs="宋体" w:eastAsia="宋体" w:hint="default"/>
          <w:spacing w:val="-51"/>
        </w:rPr>
      </w:r>
      <w:r>
        <w:rPr>
          <w:rFonts w:ascii="宋体" w:hAnsi="宋体" w:cs="宋体" w:eastAsia="宋体" w:hint="default"/>
        </w:rPr>
        <w:t>长</w:t>
      </w:r>
      <w:r>
        <w:rPr>
          <w:rFonts w:ascii="宋体" w:hAnsi="宋体" w:cs="宋体" w:eastAsia="宋体" w:hint="default"/>
          <w:spacing w:val="-22"/>
        </w:rPr>
        <w:t> </w:t>
      </w:r>
      <w:r>
        <w:rPr>
          <w:rFonts w:ascii="宋体" w:hAnsi="宋体" w:cs="宋体" w:eastAsia="宋体" w:hint="default"/>
        </w:rPr>
        <w:t>1.8</w:t>
      </w:r>
      <w:r>
        <w:rPr>
          <w:rFonts w:ascii="宋体" w:hAnsi="宋体" w:cs="宋体" w:eastAsia="宋体" w:hint="default"/>
          <w:spacing w:val="-24"/>
        </w:rPr>
        <w:t> </w:t>
      </w:r>
      <w:r>
        <w:rPr>
          <w:rFonts w:ascii="宋体" w:hAnsi="宋体" w:cs="宋体" w:eastAsia="宋体" w:hint="default"/>
        </w:rPr>
        <w:t>倍，手机用户月户均数据流量达到约</w:t>
      </w:r>
      <w:r>
        <w:rPr>
          <w:rFonts w:ascii="宋体" w:hAnsi="宋体" w:cs="宋体" w:eastAsia="宋体" w:hint="default"/>
          <w:spacing w:val="-22"/>
        </w:rPr>
        <w:t> </w:t>
      </w:r>
      <w:r>
        <w:rPr>
          <w:rFonts w:ascii="宋体" w:hAnsi="宋体" w:cs="宋体" w:eastAsia="宋体" w:hint="default"/>
        </w:rPr>
        <w:t>6GB；手机上网收入同比增长</w:t>
      </w:r>
      <w:r>
        <w:rPr>
          <w:rFonts w:ascii="宋体" w:hAnsi="宋体" w:cs="宋体" w:eastAsia="宋体" w:hint="default"/>
          <w:spacing w:val="-24"/>
        </w:rPr>
        <w:t> </w:t>
      </w:r>
      <w:r>
        <w:rPr>
          <w:rFonts w:ascii="宋体" w:hAnsi="宋体" w:cs="宋体" w:eastAsia="宋体" w:hint="default"/>
        </w:rPr>
        <w:t>13.7%，达到人民币</w:t>
      </w:r>
      <w:r>
        <w:rPr>
          <w:rFonts w:ascii="宋体" w:hAnsi="宋体" w:cs="宋体" w:eastAsia="宋体" w:hint="default"/>
          <w:spacing w:val="-24"/>
        </w:rPr>
        <w:t> </w:t>
      </w:r>
      <w:r>
        <w:rPr>
          <w:rFonts w:ascii="宋体" w:hAnsi="宋体" w:cs="宋体" w:eastAsia="宋体" w:hint="default"/>
        </w:rPr>
        <w:t>1,048</w:t>
      </w:r>
      <w:r>
        <w:rPr>
          <w:rFonts w:ascii="宋体" w:hAnsi="宋体" w:cs="宋体" w:eastAsia="宋体" w:hint="default"/>
          <w:spacing w:val="-24"/>
        </w:rPr>
        <w:t> </w:t>
      </w:r>
      <w:r>
        <w:rPr>
          <w:rFonts w:ascii="宋体" w:hAnsi="宋体" w:cs="宋体" w:eastAsia="宋体" w:hint="default"/>
        </w:rPr>
        <w:t>亿元。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6"/>
          <w:szCs w:val="16"/>
        </w:rPr>
      </w:pPr>
    </w:p>
    <w:p>
      <w:pPr>
        <w:spacing w:after="0" w:line="240" w:lineRule="auto"/>
        <w:rPr>
          <w:rFonts w:ascii="宋体" w:hAnsi="宋体" w:cs="宋体" w:eastAsia="宋体" w:hint="default"/>
          <w:sz w:val="16"/>
          <w:szCs w:val="16"/>
        </w:rPr>
        <w:sectPr>
          <w:headerReference w:type="even" r:id="rId83"/>
          <w:footerReference w:type="even" r:id="rId84"/>
          <w:pgSz w:w="11910" w:h="16160"/>
          <w:pgMar w:header="0" w:footer="0" w:top="2360" w:bottom="0" w:left="700" w:right="0"/>
        </w:sectPr>
      </w:pPr>
    </w:p>
    <w:p>
      <w:pPr>
        <w:tabs>
          <w:tab w:pos="5277" w:val="left" w:leader="none"/>
        </w:tabs>
        <w:spacing w:before="61"/>
        <w:ind w:left="114" w:right="0" w:firstLine="0"/>
        <w:jc w:val="left"/>
        <w:rPr>
          <w:rFonts w:ascii="宋体" w:hAnsi="宋体" w:cs="宋体" w:eastAsia="宋体" w:hint="default"/>
          <w:sz w:val="16"/>
          <w:szCs w:val="16"/>
        </w:rPr>
      </w:pPr>
      <w:r>
        <w:rPr/>
        <w:pict>
          <v:group style="position:absolute;margin-left:-.5pt;margin-top:119.055023pt;width:596.3pt;height:689.85pt;mso-position-horizontal-relative:page;mso-position-vertical-relative:page;z-index:-966784" coordorigin="-10,2381" coordsize="11926,13797">
            <v:shape style="position:absolute;left:9259;top:6539;width:340;height:340" type="#_x0000_t75" stroked="false">
              <v:imagedata r:id="rId85" o:title=""/>
            </v:shape>
            <v:group style="position:absolute;left:5621;top:6695;width:3823;height:4059" coordorigin="5621,6695" coordsize="3823,4059">
              <v:shape style="position:absolute;left:5621;top:6695;width:3823;height:4059" coordorigin="5621,6695" coordsize="3823,4059" path="m9443,6695l5621,10753e" filled="false" stroked="true" strokeweight="1pt" strokecolor="#9c8758">
                <v:path arrowok="t"/>
              </v:shape>
            </v:group>
            <v:group style="position:absolute;left:0;top:2500;width:7159;height:7304" coordorigin="0,2500" coordsize="7159,7304">
              <v:shape style="position:absolute;left:0;top:2500;width:7159;height:7304" coordorigin="0,2500" coordsize="7159,7304" path="m337,9804l0,9804,0,6187,3444,2500,7159,2500,337,9804xe" filled="true" fillcolor="#8e9090" stroked="false">
                <v:path arrowok="t"/>
                <v:fill type="solid"/>
              </v:shape>
            </v:group>
            <v:group style="position:absolute;left:6181;top:9987;width:5725;height:6171" coordorigin="6181,9987" coordsize="5725,6171">
              <v:shape style="position:absolute;left:6181;top:9987;width:5725;height:6171" coordorigin="6181,9987" coordsize="5725,6171" path="m11906,16157l6181,16157,11906,9987,11906,16157xe" filled="true" fillcolor="#8e9090" stroked="false">
                <v:path arrowok="t"/>
                <v:fill type="solid"/>
              </v:shape>
            </v:group>
            <v:group style="position:absolute;left:6816;top:10672;width:5090;height:5486" coordorigin="6816,10672" coordsize="5090,5486">
              <v:shape style="position:absolute;left:6816;top:10672;width:5090;height:5486" coordorigin="6816,10672" coordsize="5090,5486" path="m11906,16157l6816,16157,11906,10672,11906,16157xe" filled="true" fillcolor="#d7000f" stroked="false">
                <v:path arrowok="t"/>
                <v:fill type="solid"/>
              </v:shape>
              <v:shape style="position:absolute;left:2072;top:2665;width:340;height:340" type="#_x0000_t75" stroked="false">
                <v:imagedata r:id="rId86" o:title=""/>
              </v:shape>
            </v:group>
            <v:group style="position:absolute;left:0;top:2778;width:2299;height:2474" coordorigin="0,2778" coordsize="2299,2474">
              <v:shape style="position:absolute;left:0;top:2778;width:2299;height:2474" coordorigin="0,2778" coordsize="2299,2474" path="m2298,2778l0,5252e" filled="false" stroked="true" strokeweight="1pt" strokecolor="#000000">
                <v:path arrowok="t"/>
              </v:shape>
            </v:group>
            <v:group style="position:absolute;left:0;top:12410;width:434;height:447" coordorigin="0,12410" coordsize="434,447">
              <v:shape style="position:absolute;left:0;top:12410;width:434;height:447" coordorigin="0,12410" coordsize="434,447" path="m433,12410l0,12857e" filled="false" stroked="true" strokeweight="1pt" strokecolor="#8e9090">
                <v:path arrowok="t"/>
              </v:shape>
              <v:shape style="position:absolute;left:298;top:12307;width:241;height:241" type="#_x0000_t75" stroked="false">
                <v:imagedata r:id="rId87" o:title=""/>
              </v:shape>
            </v:group>
            <v:group style="position:absolute;left:4935;top:12190;width:3851;height:3968" coordorigin="4935,12190" coordsize="3851,3968">
              <v:shape style="position:absolute;left:4935;top:12190;width:3851;height:3968" coordorigin="4935,12190" coordsize="3851,3968" path="m8785,12190l4935,16157e" filled="false" stroked="true" strokeweight="1pt" strokecolor="#8e9090">
                <v:path arrowok="t"/>
              </v:shape>
              <v:shape style="position:absolute;left:8634;top:12076;width:268;height:268" type="#_x0000_t75" stroked="false">
                <v:imagedata r:id="rId88" o:title=""/>
              </v:shape>
            </v:group>
            <v:group style="position:absolute;left:8600;top:13607;width:2475;height:2551" coordorigin="8600,13607" coordsize="2475,2551">
              <v:shape style="position:absolute;left:8600;top:13607;width:2475;height:2551" coordorigin="8600,13607" coordsize="2475,2551" path="m11075,13607l8600,16157e" filled="false" stroked="true" strokeweight="1pt" strokecolor="#d7000f">
                <v:path arrowok="t"/>
              </v:shape>
              <v:shape style="position:absolute;left:10923;top:13493;width:268;height:268" type="#_x0000_t75" stroked="false">
                <v:imagedata r:id="rId89" o:title=""/>
              </v:shape>
            </v:group>
            <v:group style="position:absolute;left:2349;top:8171;width:7527;height:7987" coordorigin="2349,8171" coordsize="7527,7987">
              <v:shape style="position:absolute;left:2349;top:8171;width:7527;height:7987" coordorigin="2349,8171" coordsize="7527,7987" path="m9876,8171l2349,16157e" filled="false" stroked="true" strokeweight="1pt" strokecolor="#000000">
                <v:path arrowok="t"/>
              </v:shape>
              <v:shape style="position:absolute;left:11425;top:3255;width:491;height:500" type="#_x0000_t75" stroked="false">
                <v:imagedata r:id="rId90" o:title=""/>
              </v:shape>
            </v:group>
            <v:group style="position:absolute;left:6123;top:8308;width:5783;height:7850" coordorigin="6123,8308" coordsize="5783,7850">
              <v:shape style="position:absolute;left:6123;top:8308;width:5783;height:7850" coordorigin="6123,8308" coordsize="5783,7850" path="m11906,16157l11906,8308,6123,8308,6123,16157,11906,16157xe" filled="true" fillcolor="#ffffff" stroked="false">
                <v:path arrowok="t"/>
                <v:fill type="solid"/>
              </v:shape>
            </v:group>
            <v:group style="position:absolute;left:0;top:2381;width:10656;height:12867" coordorigin="0,2381" coordsize="10656,12867">
              <v:shape style="position:absolute;left:0;top:2381;width:10656;height:12867" coordorigin="0,2381" coordsize="10656,12867" path="m0,2381l0,15248,10655,15248,10655,2381,0,2381xe" filled="true" fillcolor="#ffffff" stroked="false">
                <v:path arrowok="t"/>
                <v:fill type="solid"/>
              </v:shape>
            </v:group>
            <v:group style="position:absolute;left:0;top:12282;width:3686;height:3876" coordorigin="0,12282" coordsize="3686,3876">
              <v:shape style="position:absolute;left:0;top:12282;width:3686;height:3876" coordorigin="0,12282" coordsize="3686,3876" path="m89,16157l0,16157,0,13038,701,12282,3685,12282,89,16157xe" filled="true" fillcolor="#d7000f" stroked="false">
                <v:path arrowok="t"/>
                <v:fill type="solid"/>
              </v:shape>
              <v:shape style="position:absolute;left:1963;top:15280;width:340;height:340" type="#_x0000_t75" stroked="false">
                <v:imagedata r:id="rId91" o:title=""/>
              </v:shape>
            </v:group>
            <v:group style="position:absolute;left:1478;top:15393;width:713;height:765" coordorigin="1478,15393" coordsize="713,765">
              <v:shape style="position:absolute;left:1478;top:15393;width:713;height:765" coordorigin="1478,15393" coordsize="713,765" path="m2190,15393l1478,16157e" filled="false" stroked="true" strokeweight="2pt" strokecolor="#000000">
                <v:path arrowok="t"/>
              </v:shape>
            </v:group>
            <w10:wrap type="none"/>
          </v:group>
        </w:pict>
      </w:r>
      <w:r>
        <w:rPr>
          <w:rFonts w:ascii="Arial" w:hAnsi="Arial" w:cs="Arial" w:eastAsia="Arial" w:hint="default"/>
          <w:b/>
          <w:bCs/>
          <w:color w:val="9C8758"/>
          <w:spacing w:val="-1"/>
          <w:position w:val="2"/>
          <w:sz w:val="16"/>
          <w:szCs w:val="16"/>
        </w:rPr>
        <w:t>24</w:t>
        <w:tab/>
      </w:r>
      <w:r>
        <w:rPr>
          <w:rFonts w:ascii="宋体" w:hAnsi="宋体" w:cs="宋体" w:eastAsia="宋体" w:hint="default"/>
          <w:color w:val="595757"/>
          <w:spacing w:val="24"/>
          <w:sz w:val="16"/>
          <w:szCs w:val="16"/>
        </w:rPr>
        <w:t>经营情况讨论与分析</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0"/>
          <w:cols w:num="2" w:equalWidth="0">
            <w:col w:w="6977" w:space="191"/>
            <w:col w:w="4042"/>
          </w:cols>
        </w:sectPr>
      </w:pPr>
    </w:p>
    <w:p>
      <w:pPr>
        <w:spacing w:line="240" w:lineRule="auto" w:before="0"/>
        <w:rPr>
          <w:rFonts w:ascii="宋体" w:hAnsi="宋体" w:cs="宋体" w:eastAsia="宋体" w:hint="default"/>
          <w:sz w:val="20"/>
          <w:szCs w:val="20"/>
        </w:rPr>
      </w:pPr>
      <w:r>
        <w:rPr/>
        <w:pict>
          <v:group style="position:absolute;margin-left:-.500001pt;margin-top:-1.499958pt;width:596.3pt;height:809.9pt;mso-position-horizontal-relative:page;mso-position-vertical-relative:page;z-index:-966760" coordorigin="-10,-30" coordsize="11926,16198">
            <v:group style="position:absolute;left:0;top:0;width:11906;height:16158" coordorigin="0,0" coordsize="11906,16158">
              <v:shape style="position:absolute;left:0;top:0;width:11906;height:16158" coordorigin="0,0" coordsize="11906,16158" path="m444,16157l0,16157,0,9987,9267,0,11906,0,11906,3804,444,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7570,16157l0,16157,0,10672,9902,0,11906,0,11906,11485,7570,16157xe" filled="true" fillcolor="#d7000f" stroked="false">
                <v:path arrowok="t"/>
                <v:fill type="solid"/>
              </v:shape>
            </v:group>
            <v:group style="position:absolute;left:0;top:0;width:226;height:233" coordorigin="0,0" coordsize="226,233">
              <v:shape style="position:absolute;left:0;top:0;width:226;height:233" coordorigin="0,0" coordsize="226,233" path="m0,233l225,0e" filled="false" stroked="true" strokeweight="1pt" strokecolor="#9c8758">
                <v:path arrowok="t"/>
              </v:shape>
              <v:shape style="position:absolute;left:3646;top:14163;width:340;height:340" type="#_x0000_t75" stroked="false">
                <v:imagedata r:id="rId94" o:title=""/>
              </v:shape>
            </v:group>
            <v:group style="position:absolute;left:3802;top:11470;width:2786;height:2878" coordorigin="3802,11470" coordsize="2786,2878">
              <v:shape style="position:absolute;left:3802;top:11470;width:2786;height:2878" coordorigin="3802,11470" coordsize="2786,2878" path="m3802,14347l6587,11470e" filled="false" stroked="true" strokeweight="1pt" strokecolor="#9c8758">
                <v:path arrowok="t"/>
              </v:shape>
              <v:shape style="position:absolute;left:5371;top:1794;width:268;height:268" type="#_x0000_t75" stroked="false">
                <v:imagedata r:id="rId95" o:title=""/>
              </v:shape>
            </v:group>
            <v:group style="position:absolute;left:5412;top:0;width:1951;height:2021" coordorigin="5412,0" coordsize="1951,2021">
              <v:shape style="position:absolute;left:5412;top:0;width:1951;height:2021" coordorigin="5412,0" coordsize="1951,2021" path="m5412,2021l7362,0e" filled="false" stroked="true" strokeweight="3pt" strokecolor="#8e9090">
                <v:path arrowok="t"/>
              </v:shape>
            </v:group>
            <v:group style="position:absolute;left:5897;top:7258;width:3956;height:4261" coordorigin="5897,7258" coordsize="3956,4261">
              <v:shape style="position:absolute;left:5897;top:7258;width:3956;height:4261" coordorigin="5897,7258" coordsize="3956,4261" path="m9853,7258l5897,11519e" filled="false" stroked="true" strokeweight="1pt" strokecolor="#8e9090">
                <v:path arrowok="t"/>
              </v:shape>
              <v:shape style="position:absolute;left:9701;top:7144;width:267;height:267" type="#_x0000_t75" stroked="false">
                <v:imagedata r:id="rId96" o:title=""/>
              </v:shape>
            </v:group>
            <v:group style="position:absolute;left:10549;top:492;width:1357;height:1470" coordorigin="10549,492" coordsize="1357,1470">
              <v:shape style="position:absolute;left:10549;top:492;width:1357;height:1470" coordorigin="10549,492" coordsize="1357,1470" path="m10549,1962l11906,492e" filled="false" stroked="true" strokeweight="1.0pt" strokecolor="#000000">
                <v:path arrowok="t"/>
              </v:shape>
              <v:shape style="position:absolute;left:10433;top:1808;width:268;height:268" type="#_x0000_t75" stroked="false">
                <v:imagedata r:id="rId97" o:title=""/>
              </v:shape>
              <v:shape style="position:absolute;left:6152;top:14060;width:340;height:340" type="#_x0000_t75" stroked="false">
                <v:imagedata r:id="rId98" o:title=""/>
              </v:shape>
            </v:group>
            <v:group style="position:absolute;left:6308;top:8369;width:5598;height:5875" coordorigin="6308,8369" coordsize="5598,5875">
              <v:shape style="position:absolute;left:6308;top:8369;width:5598;height:5875" coordorigin="6308,8369" coordsize="5598,5875" path="m6308,14244l11906,8369e" filled="false" stroked="true" strokeweight="1pt" strokecolor="#9c8758">
                <v:path arrowok="t"/>
              </v:shape>
              <v:shape style="position:absolute;left:9278;top:8801;width:340;height:340" type="#_x0000_t75" stroked="false">
                <v:imagedata r:id="rId91" o:title=""/>
              </v:shape>
            </v:group>
            <v:group style="position:absolute;left:2678;top:8914;width:6827;height:7244" coordorigin="2678,8914" coordsize="6827,7244">
              <v:shape style="position:absolute;left:2678;top:8914;width:6827;height:7244" coordorigin="2678,8914" coordsize="6827,7244" path="m9504,8914l2678,16157e" filled="false" stroked="true" strokeweight="1pt" strokecolor="#000000">
                <v:path arrowok="t"/>
              </v:shape>
            </v:group>
            <v:group style="position:absolute;left:0;top:0;width:3168;height:3265" coordorigin="0,0" coordsize="3168,3265">
              <v:shape style="position:absolute;left:0;top:0;width:3168;height:3265" coordorigin="0,0" coordsize="3168,3265" path="m0,3265l3168,0e" filled="false" stroked="true" strokeweight="1pt" strokecolor="#d7000f">
                <v:path arrowok="t"/>
              </v:shape>
            </v:group>
            <v:group style="position:absolute;left:0;top:8308;width:1248;height:7850" coordorigin="0,8308" coordsize="1248,7850">
              <v:shape style="position:absolute;left:0;top:8308;width:1248;height:7850" coordorigin="0,8308" coordsize="1248,7850" path="m0,16157l1247,16157,1247,8308,0,8308,0,16157xe" filled="true" fillcolor="#ffffff" stroked="false">
                <v:path arrowok="t"/>
                <v:fill type="solid"/>
              </v:shape>
            </v:group>
            <v:group style="position:absolute;left:1247;top:2154;width:10659;height:14004" coordorigin="1247,2154" coordsize="10659,14004">
              <v:shape style="position:absolute;left:1247;top:2154;width:10659;height:14004" coordorigin="1247,2154" coordsize="10659,14004" path="m11906,16157l11906,2154,1247,2154,1247,16157,11906,16157xe" filled="true" fillcolor="#fffff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BodyText"/>
        <w:spacing w:line="240" w:lineRule="auto" w:before="33"/>
        <w:ind w:left="774" w:right="0"/>
        <w:jc w:val="both"/>
        <w:rPr>
          <w:rFonts w:ascii="宋体" w:hAnsi="宋体" w:cs="宋体" w:eastAsia="宋体" w:hint="default"/>
        </w:rPr>
      </w:pPr>
      <w:r>
        <w:rPr>
          <w:rFonts w:ascii="宋体" w:hAnsi="宋体" w:cs="宋体" w:eastAsia="宋体" w:hint="default"/>
          <w:color w:val="D7000F"/>
        </w:rPr>
        <w:t>积极应对激烈市场竞争，宽带业务发展持续改善</w:t>
      </w:r>
      <w:r>
        <w:rPr>
          <w:rFonts w:ascii="宋体" w:hAnsi="宋体" w:cs="宋体" w:eastAsia="宋体" w:hint="default"/>
        </w:rPr>
      </w:r>
    </w:p>
    <w:p>
      <w:pPr>
        <w:pStyle w:val="BodyText"/>
        <w:spacing w:line="285" w:lineRule="auto" w:before="157"/>
        <w:ind w:left="774" w:right="188"/>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1"/>
        </w:rPr>
        <w:t> </w:t>
      </w:r>
      <w:r>
        <w:rPr>
          <w:rFonts w:ascii="宋体" w:hAnsi="宋体" w:cs="宋体" w:eastAsia="宋体" w:hint="default"/>
        </w:rPr>
        <w:t>年，公司以“大视频、大融合、大带宽”积极应对宽带领域的竞争挑战。借力战略投资者优势资源，丰富填</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充优质视频内容，加快布局智能家居业务，增强用户粘性和产品竞争力；加大融合产品在全渠道的推广力度，着</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力提升渗透率，促进相互拉动发展；主推高带宽产品，加大社会化合作，进一步提升网络覆盖能力和品质；加快</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实施综合网格承包改革，激发基层活力，增强销售服务能力。以“云</w:t>
      </w:r>
      <w:r>
        <w:rPr>
          <w:rFonts w:ascii="宋体" w:hAnsi="宋体" w:cs="宋体" w:eastAsia="宋体" w:hint="default"/>
          <w:spacing w:val="-26"/>
        </w:rPr>
        <w:t> </w:t>
      </w:r>
      <w:r>
        <w:rPr>
          <w:rFonts w:ascii="宋体" w:hAnsi="宋体" w:cs="宋体" w:eastAsia="宋体" w:hint="default"/>
        </w:rPr>
        <w:t>+</w:t>
      </w:r>
      <w:r>
        <w:rPr>
          <w:rFonts w:ascii="宋体" w:hAnsi="宋体" w:cs="宋体" w:eastAsia="宋体" w:hint="default"/>
          <w:spacing w:val="-26"/>
        </w:rPr>
        <w:t> </w:t>
      </w:r>
      <w:r>
        <w:rPr>
          <w:rFonts w:ascii="宋体" w:hAnsi="宋体" w:cs="宋体" w:eastAsia="宋体" w:hint="default"/>
        </w:rPr>
        <w:t>智慧网络</w:t>
      </w:r>
      <w:r>
        <w:rPr>
          <w:rFonts w:ascii="宋体" w:hAnsi="宋体" w:cs="宋体" w:eastAsia="宋体" w:hint="default"/>
          <w:spacing w:val="-26"/>
        </w:rPr>
        <w:t> </w:t>
      </w:r>
      <w:r>
        <w:rPr>
          <w:rFonts w:ascii="宋体" w:hAnsi="宋体" w:cs="宋体" w:eastAsia="宋体" w:hint="default"/>
        </w:rPr>
        <w:t>+</w:t>
      </w:r>
      <w:r>
        <w:rPr>
          <w:rFonts w:ascii="宋体" w:hAnsi="宋体" w:cs="宋体" w:eastAsia="宋体" w:hint="default"/>
          <w:spacing w:val="-26"/>
        </w:rPr>
        <w:t> </w:t>
      </w:r>
      <w:r>
        <w:rPr>
          <w:rFonts w:ascii="宋体" w:hAnsi="宋体" w:cs="宋体" w:eastAsia="宋体" w:hint="default"/>
        </w:rPr>
        <w:t>智慧应用”政企新融合营销模</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w w:val="105"/>
        </w:rPr>
        <w:t>式，拉动政企宽带及互联网专线业务快速发展。</w:t>
      </w:r>
    </w:p>
    <w:p>
      <w:pPr>
        <w:pStyle w:val="BodyText"/>
        <w:spacing w:line="240" w:lineRule="auto" w:before="123"/>
        <w:ind w:left="774" w:right="0"/>
        <w:jc w:val="both"/>
        <w:rPr>
          <w:rFonts w:ascii="宋体" w:hAnsi="宋体" w:cs="宋体" w:eastAsia="宋体" w:hint="default"/>
        </w:rPr>
      </w:pP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4"/>
        </w:rPr>
        <w:t> </w:t>
      </w:r>
      <w:r>
        <w:rPr>
          <w:rFonts w:ascii="宋体" w:hAnsi="宋体" w:cs="宋体" w:eastAsia="宋体" w:hint="default"/>
        </w:rPr>
        <w:t>年</w:t>
      </w:r>
      <w:r>
        <w:rPr>
          <w:rFonts w:ascii="宋体" w:hAnsi="宋体" w:cs="宋体" w:eastAsia="宋体" w:hint="default"/>
          <w:spacing w:val="5"/>
        </w:rPr>
        <w:t>，公司固网宽带用户净</w:t>
      </w:r>
      <w:r>
        <w:rPr>
          <w:rFonts w:ascii="宋体" w:hAnsi="宋体" w:cs="宋体" w:eastAsia="宋体" w:hint="default"/>
        </w:rPr>
        <w:t>增</w:t>
      </w:r>
      <w:r>
        <w:rPr>
          <w:rFonts w:ascii="宋体" w:hAnsi="宋体" w:cs="宋体" w:eastAsia="宋体" w:hint="default"/>
          <w:spacing w:val="-44"/>
        </w:rPr>
        <w:t> </w:t>
      </w:r>
      <w:r>
        <w:rPr>
          <w:rFonts w:ascii="宋体" w:hAnsi="宋体" w:cs="宋体" w:eastAsia="宋体" w:hint="default"/>
          <w:spacing w:val="-1"/>
          <w:w w:val="111"/>
        </w:rPr>
        <w:t>43</w:t>
      </w:r>
      <w:r>
        <w:rPr>
          <w:rFonts w:ascii="宋体" w:hAnsi="宋体" w:cs="宋体" w:eastAsia="宋体" w:hint="default"/>
          <w:w w:val="111"/>
        </w:rPr>
        <w:t>4</w:t>
      </w:r>
      <w:r>
        <w:rPr>
          <w:rFonts w:ascii="宋体" w:hAnsi="宋体" w:cs="宋体" w:eastAsia="宋体" w:hint="default"/>
          <w:spacing w:val="-44"/>
        </w:rPr>
        <w:t> </w:t>
      </w:r>
      <w:r>
        <w:rPr>
          <w:rFonts w:ascii="宋体" w:hAnsi="宋体" w:cs="宋体" w:eastAsia="宋体" w:hint="default"/>
          <w:spacing w:val="5"/>
        </w:rPr>
        <w:t>万</w:t>
      </w:r>
      <w:r>
        <w:rPr>
          <w:rFonts w:ascii="宋体" w:hAnsi="宋体" w:cs="宋体" w:eastAsia="宋体" w:hint="default"/>
        </w:rPr>
        <w:t>户</w:t>
      </w:r>
      <w:r>
        <w:rPr>
          <w:rFonts w:ascii="宋体" w:hAnsi="宋体" w:cs="宋体" w:eastAsia="宋体" w:hint="default"/>
          <w:spacing w:val="5"/>
        </w:rPr>
        <w:t>，同比提</w:t>
      </w:r>
      <w:r>
        <w:rPr>
          <w:rFonts w:ascii="宋体" w:hAnsi="宋体" w:cs="宋体" w:eastAsia="宋体" w:hint="default"/>
        </w:rPr>
        <w:t>升</w:t>
      </w:r>
      <w:r>
        <w:rPr>
          <w:rFonts w:ascii="宋体" w:hAnsi="宋体" w:cs="宋体" w:eastAsia="宋体" w:hint="default"/>
          <w:spacing w:val="-44"/>
        </w:rPr>
        <w:t> </w:t>
      </w:r>
      <w:r>
        <w:rPr>
          <w:rFonts w:ascii="宋体" w:hAnsi="宋体" w:cs="宋体" w:eastAsia="宋体" w:hint="default"/>
          <w:spacing w:val="-1"/>
          <w:w w:val="111"/>
        </w:rPr>
        <w:t>234</w:t>
      </w:r>
      <w:r>
        <w:rPr>
          <w:rFonts w:ascii="宋体" w:hAnsi="宋体" w:cs="宋体" w:eastAsia="宋体" w:hint="default"/>
          <w:w w:val="200"/>
        </w:rPr>
        <w:t>%</w:t>
      </w:r>
      <w:r>
        <w:rPr>
          <w:rFonts w:ascii="宋体" w:hAnsi="宋体" w:cs="宋体" w:eastAsia="宋体" w:hint="default"/>
          <w:spacing w:val="5"/>
        </w:rPr>
        <w:t>，总数超</w:t>
      </w:r>
      <w:r>
        <w:rPr>
          <w:rFonts w:ascii="宋体" w:hAnsi="宋体" w:cs="宋体" w:eastAsia="宋体" w:hint="default"/>
        </w:rPr>
        <w:t>过</w:t>
      </w:r>
      <w:r>
        <w:rPr>
          <w:rFonts w:ascii="宋体" w:hAnsi="宋体" w:cs="宋体" w:eastAsia="宋体" w:hint="default"/>
          <w:spacing w:val="-44"/>
        </w:rPr>
        <w:t> </w:t>
      </w:r>
      <w:r>
        <w:rPr>
          <w:rFonts w:ascii="宋体" w:hAnsi="宋体" w:cs="宋体" w:eastAsia="宋体" w:hint="default"/>
          <w:spacing w:val="-1"/>
          <w:w w:val="111"/>
        </w:rPr>
        <w:t>8</w:t>
      </w:r>
      <w:r>
        <w:rPr>
          <w:rFonts w:ascii="宋体" w:hAnsi="宋体" w:cs="宋体" w:eastAsia="宋体" w:hint="default"/>
          <w:w w:val="55"/>
        </w:rPr>
        <w:t>,</w:t>
      </w:r>
      <w:r>
        <w:rPr>
          <w:rFonts w:ascii="宋体" w:hAnsi="宋体" w:cs="宋体" w:eastAsia="宋体" w:hint="default"/>
          <w:spacing w:val="-1"/>
          <w:w w:val="111"/>
        </w:rPr>
        <w:t>00</w:t>
      </w:r>
      <w:r>
        <w:rPr>
          <w:rFonts w:ascii="宋体" w:hAnsi="宋体" w:cs="宋体" w:eastAsia="宋体" w:hint="default"/>
          <w:w w:val="111"/>
        </w:rPr>
        <w:t>0</w:t>
      </w:r>
      <w:r>
        <w:rPr>
          <w:rFonts w:ascii="宋体" w:hAnsi="宋体" w:cs="宋体" w:eastAsia="宋体" w:hint="default"/>
          <w:spacing w:val="-44"/>
        </w:rPr>
        <w:t> </w:t>
      </w:r>
      <w:r>
        <w:rPr>
          <w:rFonts w:ascii="宋体" w:hAnsi="宋体" w:cs="宋体" w:eastAsia="宋体" w:hint="default"/>
          <w:spacing w:val="5"/>
        </w:rPr>
        <w:t>万</w:t>
      </w:r>
      <w:r>
        <w:rPr>
          <w:rFonts w:ascii="宋体" w:hAnsi="宋体" w:cs="宋体" w:eastAsia="宋体" w:hint="default"/>
        </w:rPr>
        <w:t>户</w:t>
      </w:r>
      <w:r>
        <w:rPr>
          <w:rFonts w:ascii="宋体" w:hAnsi="宋体" w:cs="宋体" w:eastAsia="宋体" w:hint="default"/>
          <w:spacing w:val="5"/>
        </w:rPr>
        <w:t>。视频业务在固网宽带用户</w:t>
      </w:r>
      <w:r>
        <w:rPr>
          <w:rFonts w:ascii="宋体" w:hAnsi="宋体" w:cs="宋体" w:eastAsia="宋体" w:hint="default"/>
        </w:rPr>
      </w:r>
    </w:p>
    <w:p>
      <w:pPr>
        <w:pStyle w:val="BodyText"/>
        <w:spacing w:line="285" w:lineRule="auto" w:before="44"/>
        <w:ind w:left="774" w:right="190"/>
        <w:jc w:val="both"/>
        <w:rPr>
          <w:rFonts w:ascii="宋体" w:hAnsi="宋体" w:cs="宋体" w:eastAsia="宋体" w:hint="default"/>
        </w:rPr>
      </w:pPr>
      <w:r>
        <w:rPr>
          <w:rFonts w:ascii="宋体" w:hAnsi="宋体" w:cs="宋体" w:eastAsia="宋体" w:hint="default"/>
          <w:spacing w:val="3"/>
        </w:rPr>
        <w:t>中的渗透率达到</w:t>
      </w:r>
      <w:r>
        <w:rPr>
          <w:rFonts w:ascii="宋体" w:hAnsi="宋体" w:cs="宋体" w:eastAsia="宋体" w:hint="default"/>
          <w:spacing w:val="-11"/>
        </w:rPr>
        <w:t> </w:t>
      </w:r>
      <w:r>
        <w:rPr>
          <w:rFonts w:ascii="宋体" w:hAnsi="宋体" w:cs="宋体" w:eastAsia="宋体" w:hint="default"/>
        </w:rPr>
        <w:t>44%，同比提高约</w:t>
      </w:r>
      <w:r>
        <w:rPr>
          <w:rFonts w:ascii="宋体" w:hAnsi="宋体" w:cs="宋体" w:eastAsia="宋体" w:hint="default"/>
          <w:spacing w:val="-11"/>
        </w:rPr>
        <w:t> </w:t>
      </w:r>
      <w:r>
        <w:rPr>
          <w:rFonts w:ascii="宋体" w:hAnsi="宋体" w:cs="宋体" w:eastAsia="宋体" w:hint="default"/>
        </w:rPr>
        <w:t>9</w:t>
      </w:r>
      <w:r>
        <w:rPr>
          <w:rFonts w:ascii="宋体" w:hAnsi="宋体" w:cs="宋体" w:eastAsia="宋体" w:hint="default"/>
          <w:spacing w:val="-11"/>
        </w:rPr>
        <w:t> </w:t>
      </w:r>
      <w:r>
        <w:rPr>
          <w:rFonts w:ascii="宋体" w:hAnsi="宋体" w:cs="宋体" w:eastAsia="宋体" w:hint="default"/>
          <w:spacing w:val="3"/>
        </w:rPr>
        <w:t>个百分点。固网宽带接入收入达到人民币</w:t>
      </w:r>
      <w:r>
        <w:rPr>
          <w:rFonts w:ascii="宋体" w:hAnsi="宋体" w:cs="宋体" w:eastAsia="宋体" w:hint="default"/>
          <w:spacing w:val="-11"/>
        </w:rPr>
        <w:t> </w:t>
      </w:r>
      <w:r>
        <w:rPr>
          <w:rFonts w:ascii="宋体" w:hAnsi="宋体" w:cs="宋体" w:eastAsia="宋体" w:hint="default"/>
        </w:rPr>
        <w:t>423</w:t>
      </w:r>
      <w:r>
        <w:rPr>
          <w:rFonts w:ascii="宋体" w:hAnsi="宋体" w:cs="宋体" w:eastAsia="宋体" w:hint="default"/>
          <w:spacing w:val="-11"/>
        </w:rPr>
        <w:t> </w:t>
      </w:r>
      <w:r>
        <w:rPr>
          <w:rFonts w:ascii="宋体" w:hAnsi="宋体" w:cs="宋体" w:eastAsia="宋体" w:hint="default"/>
          <w:spacing w:val="3"/>
        </w:rPr>
        <w:t>亿元，同比降幅显著收窄，</w:t>
      </w:r>
      <w:r>
        <w:rPr>
          <w:rFonts w:ascii="宋体" w:hAnsi="宋体" w:cs="宋体" w:eastAsia="宋体" w:hint="default"/>
          <w:spacing w:val="-78"/>
        </w:rPr>
        <w:t> </w:t>
      </w:r>
      <w:r>
        <w:rPr>
          <w:rFonts w:ascii="宋体" w:hAnsi="宋体" w:cs="宋体" w:eastAsia="宋体" w:hint="default"/>
          <w:spacing w:val="-78"/>
        </w:rPr>
      </w:r>
      <w:r>
        <w:rPr>
          <w:rFonts w:ascii="宋体" w:hAnsi="宋体" w:cs="宋体" w:eastAsia="宋体" w:hint="default"/>
        </w:rPr>
        <w:t>基本达到稳定。</w:t>
      </w:r>
    </w:p>
    <w:p>
      <w:pPr>
        <w:pStyle w:val="BodyText"/>
        <w:spacing w:line="240" w:lineRule="auto" w:before="123"/>
        <w:ind w:left="774" w:right="0"/>
        <w:jc w:val="both"/>
        <w:rPr>
          <w:rFonts w:ascii="宋体" w:hAnsi="宋体" w:cs="宋体" w:eastAsia="宋体" w:hint="default"/>
        </w:rPr>
      </w:pPr>
      <w:r>
        <w:rPr>
          <w:rFonts w:ascii="宋体" w:hAnsi="宋体" w:cs="宋体" w:eastAsia="宋体" w:hint="default"/>
          <w:color w:val="D7000F"/>
        </w:rPr>
        <w:t>产业互联网业务发展持续突破，助力固网业务良好增长</w:t>
      </w:r>
      <w:r>
        <w:rPr>
          <w:rFonts w:ascii="宋体" w:hAnsi="宋体" w:cs="宋体" w:eastAsia="宋体" w:hint="default"/>
        </w:rPr>
      </w:r>
    </w:p>
    <w:p>
      <w:pPr>
        <w:pStyle w:val="BodyText"/>
        <w:spacing w:line="285" w:lineRule="auto" w:before="157"/>
        <w:ind w:left="774" w:right="188"/>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7"/>
        </w:rPr>
        <w:t> </w:t>
      </w:r>
      <w:r>
        <w:rPr>
          <w:rFonts w:ascii="宋体" w:hAnsi="宋体" w:cs="宋体" w:eastAsia="宋体" w:hint="default"/>
          <w:spacing w:val="-3"/>
        </w:rPr>
        <w:t>年，公司以“云</w:t>
      </w:r>
      <w:r>
        <w:rPr>
          <w:rFonts w:ascii="宋体" w:hAnsi="宋体" w:cs="宋体" w:eastAsia="宋体" w:hint="default"/>
          <w:spacing w:val="-37"/>
        </w:rPr>
        <w:t> </w:t>
      </w:r>
      <w:r>
        <w:rPr>
          <w:rFonts w:ascii="宋体" w:hAnsi="宋体" w:cs="宋体" w:eastAsia="宋体" w:hint="default"/>
        </w:rPr>
        <w:t>+</w:t>
      </w:r>
      <w:r>
        <w:rPr>
          <w:rFonts w:ascii="宋体" w:hAnsi="宋体" w:cs="宋体" w:eastAsia="宋体" w:hint="default"/>
          <w:spacing w:val="-36"/>
        </w:rPr>
        <w:t> </w:t>
      </w:r>
      <w:r>
        <w:rPr>
          <w:rFonts w:ascii="宋体" w:hAnsi="宋体" w:cs="宋体" w:eastAsia="宋体" w:hint="default"/>
        </w:rPr>
        <w:t>智慧网络</w:t>
      </w:r>
      <w:r>
        <w:rPr>
          <w:rFonts w:ascii="宋体" w:hAnsi="宋体" w:cs="宋体" w:eastAsia="宋体" w:hint="default"/>
          <w:spacing w:val="-37"/>
        </w:rPr>
        <w:t> </w:t>
      </w:r>
      <w:r>
        <w:rPr>
          <w:rFonts w:ascii="宋体" w:hAnsi="宋体" w:cs="宋体" w:eastAsia="宋体" w:hint="default"/>
        </w:rPr>
        <w:t>+</w:t>
      </w:r>
      <w:r>
        <w:rPr>
          <w:rFonts w:ascii="宋体" w:hAnsi="宋体" w:cs="宋体" w:eastAsia="宋体" w:hint="default"/>
          <w:spacing w:val="-36"/>
        </w:rPr>
        <w:t> </w:t>
      </w:r>
      <w:r>
        <w:rPr>
          <w:rFonts w:ascii="宋体" w:hAnsi="宋体" w:cs="宋体" w:eastAsia="宋体" w:hint="default"/>
        </w:rPr>
        <w:t>智慧应用”为引领，加快云计算、大数据、物联网等重点创新业务市场拓展，</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rPr>
        <w:t>扩大规模，为未来高效可持续发展积蓄动能。公司聚焦政务、教育、医卫、金融、交通、旅游等重点行业市场，</w:t>
      </w:r>
      <w:r>
        <w:rPr>
          <w:rFonts w:ascii="宋体" w:hAnsi="宋体" w:cs="宋体" w:eastAsia="宋体" w:hint="default"/>
          <w:spacing w:val="-51"/>
        </w:rPr>
        <w:t> </w:t>
      </w:r>
      <w:r>
        <w:rPr>
          <w:rFonts w:ascii="宋体" w:hAnsi="宋体" w:cs="宋体" w:eastAsia="宋体" w:hint="default"/>
          <w:spacing w:val="-51"/>
        </w:rPr>
      </w:r>
      <w:r>
        <w:rPr>
          <w:rFonts w:ascii="宋体" w:hAnsi="宋体" w:cs="宋体" w:eastAsia="宋体" w:hint="default"/>
        </w:rPr>
        <w:t>充分发挥与战略投资者的资源互补和业务协同优势，通过业务和资本的深度合作，积极构建差异化的竞争优势。</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加强创新人才队伍建设，打造区隔于传统业务的体制机制，实施增量收益分享，激发内部创新活力和动力。加快</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建立政企业务创新平台，打造面向政企客户的创新产品研发、集中响应、运营支撑等端到端的核心能力，助力未</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w w:val="105"/>
        </w:rPr>
        <w:t>来创新业务规模效益增长。</w:t>
      </w:r>
    </w:p>
    <w:p>
      <w:pPr>
        <w:pStyle w:val="BodyText"/>
        <w:spacing w:line="285" w:lineRule="auto" w:before="123"/>
        <w:ind w:left="774" w:right="187"/>
        <w:jc w:val="both"/>
        <w:rPr>
          <w:rFonts w:ascii="宋体" w:hAnsi="宋体" w:cs="宋体" w:eastAsia="宋体" w:hint="default"/>
        </w:rPr>
      </w:pPr>
      <w:r>
        <w:rPr>
          <w:rFonts w:ascii="宋体" w:hAnsi="宋体" w:cs="宋体" w:eastAsia="宋体" w:hint="default"/>
        </w:rPr>
        <w:t>2018 年，公司创新业务正逐步成为收入增长的主要驱动力。全年产业互联网业务收入同比增长 45%，达到人民</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币</w:t>
      </w:r>
      <w:r>
        <w:rPr>
          <w:rFonts w:ascii="宋体" w:hAnsi="宋体" w:cs="宋体" w:eastAsia="宋体" w:hint="default"/>
          <w:spacing w:val="-48"/>
        </w:rPr>
        <w:t> </w:t>
      </w:r>
      <w:r>
        <w:rPr>
          <w:rFonts w:ascii="宋体" w:hAnsi="宋体" w:cs="宋体" w:eastAsia="宋体" w:hint="default"/>
          <w:spacing w:val="-1"/>
          <w:w w:val="111"/>
        </w:rPr>
        <w:t>230</w:t>
      </w:r>
      <w:r>
        <w:rPr>
          <w:rFonts w:ascii="宋体" w:hAnsi="宋体" w:cs="宋体" w:eastAsia="宋体" w:hint="default"/>
          <w:spacing w:val="-58"/>
          <w:w w:val="111"/>
        </w:rPr>
        <w:t> </w:t>
      </w:r>
      <w:r>
        <w:rPr>
          <w:rFonts w:ascii="宋体" w:hAnsi="宋体" w:cs="宋体" w:eastAsia="宋体" w:hint="default"/>
          <w:spacing w:val="5"/>
        </w:rPr>
        <w:t>亿元，占整体主营业务收入比例提高至</w:t>
      </w:r>
      <w:r>
        <w:rPr>
          <w:rFonts w:ascii="宋体" w:hAnsi="宋体" w:cs="宋体" w:eastAsia="宋体" w:hint="default"/>
          <w:spacing w:val="-48"/>
        </w:rPr>
        <w:t> </w:t>
      </w:r>
      <w:r>
        <w:rPr>
          <w:rFonts w:ascii="宋体" w:hAnsi="宋体" w:cs="宋体" w:eastAsia="宋体" w:hint="default"/>
          <w:spacing w:val="1"/>
          <w:w w:val="111"/>
        </w:rPr>
        <w:t>8.7%。其中</w:t>
      </w:r>
      <w:r>
        <w:rPr>
          <w:rFonts w:ascii="宋体" w:hAnsi="宋体" w:cs="宋体" w:eastAsia="宋体" w:hint="default"/>
          <w:spacing w:val="-58"/>
          <w:w w:val="111"/>
        </w:rPr>
        <w:t> </w:t>
      </w:r>
      <w:r>
        <w:rPr>
          <w:rFonts w:ascii="宋体" w:hAnsi="宋体" w:cs="宋体" w:eastAsia="宋体" w:hint="default"/>
          <w:w w:val="99"/>
        </w:rPr>
        <w:t>ICT</w:t>
      </w:r>
      <w:r>
        <w:rPr>
          <w:rFonts w:ascii="宋体" w:hAnsi="宋体" w:cs="宋体" w:eastAsia="宋体" w:hint="default"/>
          <w:spacing w:val="-48"/>
          <w:w w:val="99"/>
        </w:rPr>
        <w:t> </w:t>
      </w:r>
      <w:r>
        <w:rPr>
          <w:rFonts w:ascii="宋体" w:hAnsi="宋体" w:cs="宋体" w:eastAsia="宋体" w:hint="default"/>
          <w:spacing w:val="5"/>
        </w:rPr>
        <w:t>业务收入人民币</w:t>
      </w:r>
      <w:r>
        <w:rPr>
          <w:rFonts w:ascii="宋体" w:hAnsi="宋体" w:cs="宋体" w:eastAsia="宋体" w:hint="default"/>
          <w:spacing w:val="-48"/>
        </w:rPr>
        <w:t> </w:t>
      </w:r>
      <w:r>
        <w:rPr>
          <w:rFonts w:ascii="宋体" w:hAnsi="宋体" w:cs="宋体" w:eastAsia="宋体" w:hint="default"/>
          <w:spacing w:val="-1"/>
          <w:w w:val="111"/>
        </w:rPr>
        <w:t>56</w:t>
      </w:r>
      <w:r>
        <w:rPr>
          <w:rFonts w:ascii="宋体" w:hAnsi="宋体" w:cs="宋体" w:eastAsia="宋体" w:hint="default"/>
          <w:spacing w:val="-58"/>
          <w:w w:val="111"/>
        </w:rPr>
        <w:t> </w:t>
      </w:r>
      <w:r>
        <w:rPr>
          <w:rFonts w:ascii="宋体" w:hAnsi="宋体" w:cs="宋体" w:eastAsia="宋体" w:hint="default"/>
          <w:spacing w:val="4"/>
        </w:rPr>
        <w:t>亿元，同比增长</w:t>
      </w:r>
      <w:r>
        <w:rPr>
          <w:rFonts w:ascii="宋体" w:hAnsi="宋体" w:cs="宋体" w:eastAsia="宋体" w:hint="default"/>
          <w:spacing w:val="-48"/>
        </w:rPr>
        <w:t> </w:t>
      </w:r>
      <w:r>
        <w:rPr>
          <w:rFonts w:ascii="宋体" w:hAnsi="宋体" w:cs="宋体" w:eastAsia="宋体" w:hint="default"/>
          <w:spacing w:val="-1"/>
          <w:w w:val="121"/>
        </w:rPr>
        <w:t>69%；IDC</w:t>
      </w:r>
      <w:r>
        <w:rPr>
          <w:rFonts w:ascii="宋体" w:hAnsi="宋体" w:cs="宋体" w:eastAsia="宋体" w:hint="default"/>
          <w:w w:val="132"/>
        </w:rPr>
        <w:t> </w:t>
      </w:r>
      <w:r>
        <w:rPr>
          <w:rFonts w:ascii="宋体" w:hAnsi="宋体" w:cs="宋体" w:eastAsia="宋体" w:hint="default"/>
        </w:rPr>
        <w:t>及云计算业务收入达到人民币 147 亿元，同比增长 33%；物联网业务及大数据业务收入分别达到人民币 21</w:t>
      </w:r>
      <w:r>
        <w:rPr>
          <w:rFonts w:ascii="宋体" w:hAnsi="宋体" w:cs="宋体" w:eastAsia="宋体" w:hint="default"/>
          <w:spacing w:val="-32"/>
        </w:rPr>
        <w:t> </w:t>
      </w:r>
      <w:r>
        <w:rPr>
          <w:rFonts w:ascii="宋体" w:hAnsi="宋体" w:cs="宋体" w:eastAsia="宋体" w:hint="default"/>
        </w:rPr>
        <w:t>亿元</w:t>
      </w:r>
    </w:p>
    <w:p>
      <w:pPr>
        <w:pStyle w:val="BodyText"/>
        <w:spacing w:line="285" w:lineRule="auto" w:before="10"/>
        <w:ind w:left="774" w:right="188"/>
        <w:jc w:val="both"/>
        <w:rPr>
          <w:rFonts w:ascii="宋体" w:hAnsi="宋体" w:cs="宋体" w:eastAsia="宋体" w:hint="default"/>
        </w:rPr>
      </w:pPr>
      <w:r>
        <w:rPr>
          <w:rFonts w:ascii="宋体" w:hAnsi="宋体" w:cs="宋体" w:eastAsia="宋体" w:hint="default"/>
        </w:rPr>
        <w:t>和人民币</w:t>
      </w:r>
      <w:r>
        <w:rPr>
          <w:rFonts w:ascii="宋体" w:hAnsi="宋体" w:cs="宋体" w:eastAsia="宋体" w:hint="default"/>
          <w:spacing w:val="-5"/>
        </w:rPr>
        <w:t> </w:t>
      </w:r>
      <w:r>
        <w:rPr>
          <w:rFonts w:ascii="宋体" w:hAnsi="宋体" w:cs="宋体" w:eastAsia="宋体" w:hint="default"/>
        </w:rPr>
        <w:t>6</w:t>
      </w:r>
      <w:r>
        <w:rPr>
          <w:rFonts w:ascii="宋体" w:hAnsi="宋体" w:cs="宋体" w:eastAsia="宋体" w:hint="default"/>
          <w:spacing w:val="-5"/>
        </w:rPr>
        <w:t> </w:t>
      </w:r>
      <w:r>
        <w:rPr>
          <w:rFonts w:ascii="宋体" w:hAnsi="宋体" w:cs="宋体" w:eastAsia="宋体" w:hint="default"/>
        </w:rPr>
        <w:t>亿元，同比分别增长</w:t>
      </w:r>
      <w:r>
        <w:rPr>
          <w:rFonts w:ascii="宋体" w:hAnsi="宋体" w:cs="宋体" w:eastAsia="宋体" w:hint="default"/>
          <w:spacing w:val="-5"/>
        </w:rPr>
        <w:t> </w:t>
      </w:r>
      <w:r>
        <w:rPr>
          <w:rFonts w:ascii="宋体" w:hAnsi="宋体" w:cs="宋体" w:eastAsia="宋体" w:hint="default"/>
        </w:rPr>
        <w:t>48%</w:t>
      </w:r>
      <w:r>
        <w:rPr>
          <w:rFonts w:ascii="宋体" w:hAnsi="宋体" w:cs="宋体" w:eastAsia="宋体" w:hint="default"/>
          <w:spacing w:val="-5"/>
        </w:rPr>
        <w:t> </w:t>
      </w:r>
      <w:r>
        <w:rPr>
          <w:rFonts w:ascii="宋体" w:hAnsi="宋体" w:cs="宋体" w:eastAsia="宋体" w:hint="default"/>
        </w:rPr>
        <w:t>和</w:t>
      </w:r>
      <w:r>
        <w:rPr>
          <w:rFonts w:ascii="宋体" w:hAnsi="宋体" w:cs="宋体" w:eastAsia="宋体" w:hint="default"/>
          <w:spacing w:val="-5"/>
        </w:rPr>
        <w:t> </w:t>
      </w:r>
      <w:r>
        <w:rPr>
          <w:rFonts w:ascii="宋体" w:hAnsi="宋体" w:cs="宋体" w:eastAsia="宋体" w:hint="default"/>
        </w:rPr>
        <w:t>284%。受益于新业务的快速增长拉动和固网宽带业务发展的持续改善，</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rPr>
        <w:t>公司固网主营业务收入达到人民币 963 亿元，同比增长</w:t>
      </w:r>
      <w:r>
        <w:rPr>
          <w:rFonts w:ascii="宋体" w:hAnsi="宋体" w:cs="宋体" w:eastAsia="宋体" w:hint="default"/>
          <w:spacing w:val="-37"/>
        </w:rPr>
        <w:t> </w:t>
      </w:r>
      <w:r>
        <w:rPr>
          <w:rFonts w:ascii="宋体" w:hAnsi="宋体" w:cs="宋体" w:eastAsia="宋体" w:hint="default"/>
        </w:rPr>
        <w:t>6.0%。</w:t>
      </w:r>
    </w:p>
    <w:p>
      <w:pPr>
        <w:spacing w:before="126"/>
        <w:ind w:left="377" w:right="95" w:firstLine="0"/>
        <w:jc w:val="left"/>
        <w:rPr>
          <w:rFonts w:ascii="宋体" w:hAnsi="宋体" w:cs="宋体" w:eastAsia="宋体" w:hint="default"/>
          <w:sz w:val="17"/>
          <w:szCs w:val="17"/>
        </w:rPr>
      </w:pPr>
      <w:r>
        <w:rPr>
          <w:rFonts w:ascii="宋体" w:hAnsi="宋体" w:cs="宋体" w:eastAsia="宋体" w:hint="default"/>
          <w:sz w:val="17"/>
          <w:szCs w:val="17"/>
        </w:rPr>
        <w:t>（三）网络建设</w:t>
      </w:r>
    </w:p>
    <w:p>
      <w:pPr>
        <w:spacing w:line="240" w:lineRule="auto" w:before="11"/>
        <w:rPr>
          <w:rFonts w:ascii="宋体" w:hAnsi="宋体" w:cs="宋体" w:eastAsia="宋体" w:hint="default"/>
          <w:sz w:val="12"/>
          <w:szCs w:val="12"/>
        </w:rPr>
      </w:pPr>
    </w:p>
    <w:p>
      <w:pPr>
        <w:pStyle w:val="BodyText"/>
        <w:spacing w:line="240" w:lineRule="auto"/>
        <w:ind w:left="774" w:right="0"/>
        <w:jc w:val="both"/>
        <w:rPr>
          <w:rFonts w:ascii="宋体" w:hAnsi="宋体" w:cs="宋体" w:eastAsia="宋体" w:hint="default"/>
        </w:rPr>
      </w:pPr>
      <w:r>
        <w:rPr>
          <w:rFonts w:ascii="宋体" w:hAnsi="宋体" w:cs="宋体" w:eastAsia="宋体" w:hint="default"/>
          <w:color w:val="D7000F"/>
        </w:rPr>
        <w:t>精准高效建设精品网络，打造网络竞争力</w:t>
      </w:r>
      <w:r>
        <w:rPr>
          <w:rFonts w:ascii="宋体" w:hAnsi="宋体" w:cs="宋体" w:eastAsia="宋体" w:hint="default"/>
        </w:rPr>
      </w:r>
    </w:p>
    <w:p>
      <w:pPr>
        <w:pStyle w:val="BodyText"/>
        <w:spacing w:line="285" w:lineRule="auto" w:before="157"/>
        <w:ind w:left="774" w:right="188"/>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17"/>
        </w:rPr>
        <w:t> </w:t>
      </w:r>
      <w:r>
        <w:rPr>
          <w:rFonts w:ascii="宋体" w:hAnsi="宋体" w:cs="宋体" w:eastAsia="宋体" w:hint="default"/>
        </w:rPr>
        <w:t>年，公司坚持以效益为导向的精准投资，聚焦重点业务和重点区域，利用大数据实现精准建设，快速响应市</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场需求，保障业务有效益快速发展。</w:t>
      </w:r>
    </w:p>
    <w:p>
      <w:pPr>
        <w:pStyle w:val="BodyText"/>
        <w:spacing w:line="285" w:lineRule="auto" w:before="123"/>
        <w:ind w:left="774" w:right="98"/>
        <w:jc w:val="both"/>
        <w:rPr>
          <w:rFonts w:ascii="宋体" w:hAnsi="宋体" w:cs="宋体" w:eastAsia="宋体" w:hint="default"/>
        </w:rPr>
      </w:pPr>
      <w:r>
        <w:rPr>
          <w:rFonts w:ascii="宋体" w:hAnsi="宋体" w:cs="宋体" w:eastAsia="宋体" w:hint="default"/>
        </w:rPr>
        <w:t>持续完善 4G </w:t>
      </w:r>
      <w:r>
        <w:rPr>
          <w:rFonts w:ascii="宋体" w:hAnsi="宋体" w:cs="宋体" w:eastAsia="宋体" w:hint="default"/>
          <w:spacing w:val="-7"/>
        </w:rPr>
        <w:t>网络覆盖和质量，为“4G+5G”精品网打好基础。宽带网络以提升资源利用率为主，保障北方地区覆盖、</w:t>
      </w:r>
      <w:r>
        <w:rPr>
          <w:rFonts w:ascii="宋体" w:hAnsi="宋体" w:cs="宋体" w:eastAsia="宋体" w:hint="default"/>
          <w:spacing w:val="-37"/>
        </w:rPr>
        <w:t> </w:t>
      </w:r>
      <w:r>
        <w:rPr>
          <w:rFonts w:ascii="宋体" w:hAnsi="宋体" w:cs="宋体" w:eastAsia="宋体" w:hint="default"/>
          <w:spacing w:val="-37"/>
        </w:rPr>
      </w:r>
      <w:r>
        <w:rPr>
          <w:rFonts w:ascii="宋体" w:hAnsi="宋体" w:cs="宋体" w:eastAsia="宋体" w:hint="default"/>
          <w:spacing w:val="-4"/>
        </w:rPr>
        <w:t>质量、体验领先，在南方地区聚焦价值区域进行社会化合作，提升网络能力。着眼于云网一体化和企业信息化机会，</w:t>
      </w:r>
      <w:r>
        <w:rPr>
          <w:rFonts w:ascii="宋体" w:hAnsi="宋体" w:cs="宋体" w:eastAsia="宋体" w:hint="default"/>
          <w:spacing w:val="-78"/>
        </w:rPr>
        <w:t> </w:t>
      </w:r>
      <w:r>
        <w:rPr>
          <w:rFonts w:ascii="宋体" w:hAnsi="宋体" w:cs="宋体" w:eastAsia="宋体" w:hint="default"/>
          <w:spacing w:val="-78"/>
        </w:rPr>
      </w:r>
      <w:r>
        <w:rPr>
          <w:rFonts w:ascii="宋体" w:hAnsi="宋体" w:cs="宋体" w:eastAsia="宋体" w:hint="default"/>
          <w:w w:val="105"/>
        </w:rPr>
        <w:t>打造“政企精品网”，增强商务楼宇覆盖，确保云网协同的领先优势。</w:t>
      </w:r>
    </w:p>
    <w:p>
      <w:pPr>
        <w:pStyle w:val="BodyText"/>
        <w:spacing w:line="285" w:lineRule="auto" w:before="123"/>
        <w:ind w:left="774" w:right="182"/>
        <w:jc w:val="both"/>
        <w:rPr>
          <w:rFonts w:ascii="宋体" w:hAnsi="宋体" w:cs="宋体" w:eastAsia="宋体" w:hint="default"/>
        </w:rPr>
      </w:pPr>
      <w:r>
        <w:rPr>
          <w:rFonts w:ascii="宋体" w:hAnsi="宋体" w:cs="宋体" w:eastAsia="宋体" w:hint="default"/>
          <w:w w:val="105"/>
        </w:rPr>
        <w:t>2018</w:t>
      </w:r>
      <w:r>
        <w:rPr>
          <w:rFonts w:ascii="宋体" w:hAnsi="宋体" w:cs="宋体" w:eastAsia="宋体" w:hint="default"/>
          <w:spacing w:val="-52"/>
          <w:w w:val="105"/>
        </w:rPr>
        <w:t> </w:t>
      </w:r>
      <w:r>
        <w:rPr>
          <w:rFonts w:ascii="宋体" w:hAnsi="宋体" w:cs="宋体" w:eastAsia="宋体" w:hint="default"/>
          <w:w w:val="105"/>
        </w:rPr>
        <w:t>年，公司新增</w:t>
      </w:r>
      <w:r>
        <w:rPr>
          <w:rFonts w:ascii="宋体" w:hAnsi="宋体" w:cs="宋体" w:eastAsia="宋体" w:hint="default"/>
          <w:spacing w:val="-52"/>
          <w:w w:val="105"/>
        </w:rPr>
        <w:t> </w:t>
      </w:r>
      <w:r>
        <w:rPr>
          <w:rFonts w:ascii="宋体" w:hAnsi="宋体" w:cs="宋体" w:eastAsia="宋体" w:hint="default"/>
          <w:w w:val="105"/>
        </w:rPr>
        <w:t>4G</w:t>
      </w:r>
      <w:r>
        <w:rPr>
          <w:rFonts w:ascii="宋体" w:hAnsi="宋体" w:cs="宋体" w:eastAsia="宋体" w:hint="default"/>
          <w:spacing w:val="-52"/>
          <w:w w:val="105"/>
        </w:rPr>
        <w:t> </w:t>
      </w:r>
      <w:r>
        <w:rPr>
          <w:rFonts w:ascii="宋体" w:hAnsi="宋体" w:cs="宋体" w:eastAsia="宋体" w:hint="default"/>
          <w:w w:val="105"/>
        </w:rPr>
        <w:t>基站</w:t>
      </w:r>
      <w:r>
        <w:rPr>
          <w:rFonts w:ascii="宋体" w:hAnsi="宋体" w:cs="宋体" w:eastAsia="宋体" w:hint="default"/>
          <w:spacing w:val="-52"/>
          <w:w w:val="105"/>
        </w:rPr>
        <w:t> </w:t>
      </w:r>
      <w:r>
        <w:rPr>
          <w:rFonts w:ascii="宋体" w:hAnsi="宋体" w:cs="宋体" w:eastAsia="宋体" w:hint="default"/>
          <w:w w:val="105"/>
        </w:rPr>
        <w:t>14</w:t>
      </w:r>
      <w:r>
        <w:rPr>
          <w:rFonts w:ascii="宋体" w:hAnsi="宋体" w:cs="宋体" w:eastAsia="宋体" w:hint="default"/>
          <w:spacing w:val="-52"/>
          <w:w w:val="105"/>
        </w:rPr>
        <w:t> </w:t>
      </w:r>
      <w:r>
        <w:rPr>
          <w:rFonts w:ascii="宋体" w:hAnsi="宋体" w:cs="宋体" w:eastAsia="宋体" w:hint="default"/>
          <w:w w:val="105"/>
        </w:rPr>
        <w:t>万个，4G</w:t>
      </w:r>
      <w:r>
        <w:rPr>
          <w:rFonts w:ascii="宋体" w:hAnsi="宋体" w:cs="宋体" w:eastAsia="宋体" w:hint="default"/>
          <w:spacing w:val="-52"/>
          <w:w w:val="105"/>
        </w:rPr>
        <w:t> </w:t>
      </w:r>
      <w:r>
        <w:rPr>
          <w:rFonts w:ascii="宋体" w:hAnsi="宋体" w:cs="宋体" w:eastAsia="宋体" w:hint="default"/>
          <w:w w:val="105"/>
        </w:rPr>
        <w:t>基站总数达到</w:t>
      </w:r>
      <w:r>
        <w:rPr>
          <w:rFonts w:ascii="宋体" w:hAnsi="宋体" w:cs="宋体" w:eastAsia="宋体" w:hint="default"/>
          <w:spacing w:val="-52"/>
          <w:w w:val="105"/>
        </w:rPr>
        <w:t> </w:t>
      </w:r>
      <w:r>
        <w:rPr>
          <w:rFonts w:ascii="宋体" w:hAnsi="宋体" w:cs="宋体" w:eastAsia="宋体" w:hint="default"/>
          <w:w w:val="105"/>
        </w:rPr>
        <w:t>99</w:t>
      </w:r>
      <w:r>
        <w:rPr>
          <w:rFonts w:ascii="宋体" w:hAnsi="宋体" w:cs="宋体" w:eastAsia="宋体" w:hint="default"/>
          <w:spacing w:val="-52"/>
          <w:w w:val="105"/>
        </w:rPr>
        <w:t> </w:t>
      </w:r>
      <w:r>
        <w:rPr>
          <w:rFonts w:ascii="宋体" w:hAnsi="宋体" w:cs="宋体" w:eastAsia="宋体" w:hint="default"/>
          <w:w w:val="105"/>
        </w:rPr>
        <w:t>万个。固网宽带端口中</w:t>
      </w:r>
      <w:r>
        <w:rPr>
          <w:rFonts w:ascii="宋体" w:hAnsi="宋体" w:cs="宋体" w:eastAsia="宋体" w:hint="default"/>
          <w:spacing w:val="-52"/>
          <w:w w:val="105"/>
        </w:rPr>
        <w:t> </w:t>
      </w:r>
      <w:r>
        <w:rPr>
          <w:rFonts w:ascii="宋体" w:hAnsi="宋体" w:cs="宋体" w:eastAsia="宋体" w:hint="default"/>
          <w:w w:val="105"/>
        </w:rPr>
        <w:t>FTTH</w:t>
      </w:r>
      <w:r>
        <w:rPr>
          <w:rFonts w:ascii="宋体" w:hAnsi="宋体" w:cs="宋体" w:eastAsia="宋体" w:hint="default"/>
          <w:spacing w:val="-52"/>
          <w:w w:val="105"/>
        </w:rPr>
        <w:t> </w:t>
      </w:r>
      <w:r>
        <w:rPr>
          <w:rFonts w:ascii="宋体" w:hAnsi="宋体" w:cs="宋体" w:eastAsia="宋体" w:hint="default"/>
          <w:w w:val="105"/>
        </w:rPr>
        <w:t>端口占比达到</w:t>
      </w:r>
      <w:r>
        <w:rPr>
          <w:rFonts w:ascii="宋体" w:hAnsi="宋体" w:cs="宋体" w:eastAsia="宋体" w:hint="default"/>
          <w:spacing w:val="-52"/>
          <w:w w:val="105"/>
        </w:rPr>
        <w:t> </w:t>
      </w:r>
      <w:r>
        <w:rPr>
          <w:rFonts w:ascii="宋体" w:hAnsi="宋体" w:cs="宋体" w:eastAsia="宋体" w:hint="default"/>
          <w:w w:val="105"/>
        </w:rPr>
        <w:t>82%，宽</w:t>
      </w:r>
      <w:r>
        <w:rPr>
          <w:rFonts w:ascii="宋体" w:hAnsi="宋体" w:cs="宋体" w:eastAsia="宋体" w:hint="default"/>
          <w:spacing w:val="1"/>
        </w:rPr>
        <w:t> </w:t>
      </w:r>
      <w:r>
        <w:rPr>
          <w:rFonts w:ascii="宋体" w:hAnsi="宋体" w:cs="宋体" w:eastAsia="宋体" w:hint="default"/>
          <w:spacing w:val="2"/>
          <w:w w:val="105"/>
        </w:rPr>
        <w:t>带用户中</w:t>
      </w:r>
      <w:r>
        <w:rPr>
          <w:rFonts w:ascii="宋体" w:hAnsi="宋体" w:cs="宋体" w:eastAsia="宋体" w:hint="default"/>
          <w:spacing w:val="-74"/>
          <w:w w:val="105"/>
        </w:rPr>
        <w:t> </w:t>
      </w:r>
      <w:r>
        <w:rPr>
          <w:rFonts w:ascii="宋体" w:hAnsi="宋体" w:cs="宋体" w:eastAsia="宋体" w:hint="default"/>
          <w:w w:val="105"/>
        </w:rPr>
        <w:t>FTTH</w:t>
      </w:r>
      <w:r>
        <w:rPr>
          <w:rFonts w:ascii="宋体" w:hAnsi="宋体" w:cs="宋体" w:eastAsia="宋体" w:hint="default"/>
          <w:spacing w:val="-74"/>
          <w:w w:val="105"/>
        </w:rPr>
        <w:t> </w:t>
      </w:r>
      <w:r>
        <w:rPr>
          <w:rFonts w:ascii="宋体" w:hAnsi="宋体" w:cs="宋体" w:eastAsia="宋体" w:hint="default"/>
          <w:spacing w:val="2"/>
          <w:w w:val="105"/>
        </w:rPr>
        <w:t>用户占比达到</w:t>
      </w:r>
      <w:r>
        <w:rPr>
          <w:rFonts w:ascii="宋体" w:hAnsi="宋体" w:cs="宋体" w:eastAsia="宋体" w:hint="default"/>
          <w:spacing w:val="-74"/>
          <w:w w:val="105"/>
        </w:rPr>
        <w:t> </w:t>
      </w:r>
      <w:r>
        <w:rPr>
          <w:rFonts w:ascii="宋体" w:hAnsi="宋体" w:cs="宋体" w:eastAsia="宋体" w:hint="default"/>
          <w:spacing w:val="2"/>
          <w:w w:val="105"/>
        </w:rPr>
        <w:t>82%。聚焦地区网络质量和客户感知持续提升，移动网络和固网宽带</w:t>
      </w:r>
      <w:r>
        <w:rPr>
          <w:rFonts w:ascii="宋体" w:hAnsi="宋体" w:cs="宋体" w:eastAsia="宋体" w:hint="default"/>
          <w:spacing w:val="-74"/>
          <w:w w:val="105"/>
        </w:rPr>
        <w:t> </w:t>
      </w:r>
      <w:r>
        <w:rPr>
          <w:rFonts w:ascii="宋体" w:hAnsi="宋体" w:cs="宋体" w:eastAsia="宋体" w:hint="default"/>
          <w:w w:val="105"/>
        </w:rPr>
        <w:t>NPS</w:t>
      </w:r>
      <w:r>
        <w:rPr>
          <w:rFonts w:ascii="宋体" w:hAnsi="宋体" w:cs="宋体" w:eastAsia="宋体" w:hint="default"/>
          <w:spacing w:val="-73"/>
          <w:w w:val="105"/>
        </w:rPr>
        <w:t> </w:t>
      </w:r>
      <w:r>
        <w:rPr>
          <w:rFonts w:ascii="宋体" w:hAnsi="宋体" w:cs="宋体" w:eastAsia="宋体" w:hint="default"/>
          <w:spacing w:val="3"/>
          <w:w w:val="105"/>
        </w:rPr>
        <w:t>继续双</w:t>
      </w:r>
      <w:r>
        <w:rPr>
          <w:rFonts w:ascii="宋体" w:hAnsi="宋体" w:cs="宋体" w:eastAsia="宋体" w:hint="default"/>
          <w:spacing w:val="3"/>
        </w:rPr>
        <w:t> </w:t>
      </w:r>
      <w:r>
        <w:rPr>
          <w:rFonts w:ascii="宋体" w:hAnsi="宋体" w:cs="宋体" w:eastAsia="宋体" w:hint="default"/>
        </w:rPr>
        <w:t>提升，4G</w:t>
      </w:r>
      <w:r>
        <w:rPr>
          <w:rFonts w:ascii="宋体" w:hAnsi="宋体" w:cs="宋体" w:eastAsia="宋体" w:hint="default"/>
          <w:spacing w:val="3"/>
        </w:rPr>
        <w:t> </w:t>
      </w:r>
      <w:r>
        <w:rPr>
          <w:rFonts w:ascii="宋体" w:hAnsi="宋体" w:cs="宋体" w:eastAsia="宋体" w:hint="default"/>
        </w:rPr>
        <w:t>网络平均上下行速率保持行业领先，网络时延指标保持行业最优。</w:t>
      </w:r>
    </w:p>
    <w:p>
      <w:pPr>
        <w:pStyle w:val="BodyText"/>
        <w:spacing w:line="240" w:lineRule="auto" w:before="123"/>
        <w:ind w:left="774" w:right="0"/>
        <w:jc w:val="both"/>
        <w:rPr>
          <w:rFonts w:ascii="宋体" w:hAnsi="宋体" w:cs="宋体" w:eastAsia="宋体" w:hint="default"/>
        </w:rPr>
      </w:pPr>
      <w:r>
        <w:rPr>
          <w:rFonts w:ascii="宋体" w:hAnsi="宋体" w:cs="宋体" w:eastAsia="宋体" w:hint="default"/>
          <w:color w:val="D7000F"/>
        </w:rPr>
        <w:t>积极开展 5G</w:t>
      </w:r>
      <w:r>
        <w:rPr>
          <w:rFonts w:ascii="宋体" w:hAnsi="宋体" w:cs="宋体" w:eastAsia="宋体" w:hint="default"/>
          <w:color w:val="D7000F"/>
          <w:spacing w:val="-31"/>
        </w:rPr>
        <w:t> </w:t>
      </w:r>
      <w:r>
        <w:rPr>
          <w:rFonts w:ascii="宋体" w:hAnsi="宋体" w:cs="宋体" w:eastAsia="宋体" w:hint="default"/>
          <w:color w:val="D7000F"/>
        </w:rPr>
        <w:t>规模试验，打造产业生态</w:t>
      </w:r>
      <w:r>
        <w:rPr>
          <w:rFonts w:ascii="宋体" w:hAnsi="宋体" w:cs="宋体" w:eastAsia="宋体" w:hint="default"/>
        </w:rPr>
      </w:r>
    </w:p>
    <w:p>
      <w:pPr>
        <w:pStyle w:val="BodyText"/>
        <w:spacing w:line="390" w:lineRule="atLeast" w:before="3"/>
        <w:ind w:left="774" w:right="143"/>
        <w:jc w:val="both"/>
        <w:rPr>
          <w:rFonts w:ascii="宋体" w:hAnsi="宋体" w:cs="宋体" w:eastAsia="宋体" w:hint="default"/>
        </w:rPr>
      </w:pPr>
      <w:r>
        <w:rPr>
          <w:rFonts w:ascii="宋体" w:hAnsi="宋体" w:cs="宋体" w:eastAsia="宋体" w:hint="default"/>
          <w:w w:val="105"/>
        </w:rPr>
        <w:t>工信部已于</w:t>
      </w:r>
      <w:r>
        <w:rPr>
          <w:rFonts w:ascii="宋体" w:hAnsi="宋体" w:cs="宋体" w:eastAsia="宋体" w:hint="default"/>
          <w:spacing w:val="-47"/>
          <w:w w:val="105"/>
        </w:rPr>
        <w:t> </w:t>
      </w:r>
      <w:r>
        <w:rPr>
          <w:rFonts w:ascii="宋体" w:hAnsi="宋体" w:cs="宋体" w:eastAsia="宋体" w:hint="default"/>
          <w:w w:val="105"/>
        </w:rPr>
        <w:t>2018</w:t>
      </w:r>
      <w:r>
        <w:rPr>
          <w:rFonts w:ascii="宋体" w:hAnsi="宋体" w:cs="宋体" w:eastAsia="宋体" w:hint="default"/>
          <w:spacing w:val="-48"/>
          <w:w w:val="105"/>
        </w:rPr>
        <w:t> </w:t>
      </w:r>
      <w:r>
        <w:rPr>
          <w:rFonts w:ascii="宋体" w:hAnsi="宋体" w:cs="宋体" w:eastAsia="宋体" w:hint="default"/>
          <w:w w:val="105"/>
        </w:rPr>
        <w:t>年</w:t>
      </w:r>
      <w:r>
        <w:rPr>
          <w:rFonts w:ascii="宋体" w:hAnsi="宋体" w:cs="宋体" w:eastAsia="宋体" w:hint="default"/>
          <w:spacing w:val="-47"/>
          <w:w w:val="105"/>
        </w:rPr>
        <w:t> </w:t>
      </w:r>
      <w:r>
        <w:rPr>
          <w:rFonts w:ascii="宋体" w:hAnsi="宋体" w:cs="宋体" w:eastAsia="宋体" w:hint="default"/>
          <w:w w:val="105"/>
        </w:rPr>
        <w:t>12</w:t>
      </w:r>
      <w:r>
        <w:rPr>
          <w:rFonts w:ascii="宋体" w:hAnsi="宋体" w:cs="宋体" w:eastAsia="宋体" w:hint="default"/>
          <w:spacing w:val="-48"/>
          <w:w w:val="105"/>
        </w:rPr>
        <w:t> </w:t>
      </w:r>
      <w:r>
        <w:rPr>
          <w:rFonts w:ascii="宋体" w:hAnsi="宋体" w:cs="宋体" w:eastAsia="宋体" w:hint="default"/>
          <w:w w:val="105"/>
        </w:rPr>
        <w:t>月同意公司在全国使用</w:t>
      </w:r>
      <w:r>
        <w:rPr>
          <w:rFonts w:ascii="宋体" w:hAnsi="宋体" w:cs="宋体" w:eastAsia="宋体" w:hint="default"/>
          <w:spacing w:val="-47"/>
          <w:w w:val="105"/>
        </w:rPr>
        <w:t> </w:t>
      </w:r>
      <w:r>
        <w:rPr>
          <w:rFonts w:ascii="宋体" w:hAnsi="宋体" w:cs="宋体" w:eastAsia="宋体" w:hint="default"/>
          <w:w w:val="105"/>
        </w:rPr>
        <w:t>3500-3600MHz</w:t>
      </w:r>
      <w:r>
        <w:rPr>
          <w:rFonts w:ascii="宋体" w:hAnsi="宋体" w:cs="宋体" w:eastAsia="宋体" w:hint="default"/>
          <w:spacing w:val="-48"/>
          <w:w w:val="105"/>
        </w:rPr>
        <w:t> </w:t>
      </w:r>
      <w:r>
        <w:rPr>
          <w:rFonts w:ascii="宋体" w:hAnsi="宋体" w:cs="宋体" w:eastAsia="宋体" w:hint="default"/>
          <w:w w:val="105"/>
        </w:rPr>
        <w:t>频率开展</w:t>
      </w:r>
      <w:r>
        <w:rPr>
          <w:rFonts w:ascii="宋体" w:hAnsi="宋体" w:cs="宋体" w:eastAsia="宋体" w:hint="default"/>
          <w:spacing w:val="-47"/>
          <w:w w:val="105"/>
        </w:rPr>
        <w:t> </w:t>
      </w:r>
      <w:r>
        <w:rPr>
          <w:rFonts w:ascii="宋体" w:hAnsi="宋体" w:cs="宋体" w:eastAsia="宋体" w:hint="default"/>
          <w:w w:val="105"/>
        </w:rPr>
        <w:t>5G</w:t>
      </w:r>
      <w:r>
        <w:rPr>
          <w:rFonts w:ascii="宋体" w:hAnsi="宋体" w:cs="宋体" w:eastAsia="宋体" w:hint="default"/>
          <w:spacing w:val="-48"/>
          <w:w w:val="105"/>
        </w:rPr>
        <w:t> </w:t>
      </w:r>
      <w:r>
        <w:rPr>
          <w:rFonts w:ascii="宋体" w:hAnsi="宋体" w:cs="宋体" w:eastAsia="宋体" w:hint="default"/>
          <w:w w:val="105"/>
        </w:rPr>
        <w:t>试验。</w:t>
      </w:r>
      <w:r>
        <w:rPr>
          <w:rFonts w:ascii="宋体" w:hAnsi="宋体" w:cs="宋体" w:eastAsia="宋体" w:hint="default"/>
          <w:spacing w:val="-88"/>
          <w:w w:val="105"/>
        </w:rPr>
        <w:t> </w:t>
      </w:r>
      <w:r>
        <w:rPr>
          <w:rFonts w:ascii="宋体" w:hAnsi="宋体" w:cs="宋体" w:eastAsia="宋体" w:hint="default"/>
          <w:spacing w:val="-88"/>
          <w:w w:val="105"/>
        </w:rPr>
      </w:r>
      <w:r>
        <w:rPr>
          <w:rFonts w:ascii="宋体" w:hAnsi="宋体" w:cs="宋体" w:eastAsia="宋体" w:hint="default"/>
        </w:rPr>
        <w:t>公司正在积极开展重点城市的 5G</w:t>
      </w:r>
      <w:r>
        <w:rPr>
          <w:rFonts w:ascii="宋体" w:hAnsi="宋体" w:cs="宋体" w:eastAsia="宋体" w:hint="default"/>
          <w:spacing w:val="-58"/>
        </w:rPr>
        <w:t> </w:t>
      </w:r>
      <w:r>
        <w:rPr>
          <w:rFonts w:ascii="宋体" w:hAnsi="宋体" w:cs="宋体" w:eastAsia="宋体" w:hint="default"/>
          <w:spacing w:val="-5"/>
        </w:rPr>
        <w:t>外场测试与行业应用探索，并将根据测试效果及设备成熟度，适度扩大试验规模；</w:t>
      </w:r>
    </w:p>
    <w:p>
      <w:pPr>
        <w:pStyle w:val="BodyText"/>
        <w:spacing w:line="285" w:lineRule="auto" w:before="44"/>
        <w:ind w:left="774" w:right="95"/>
        <w:jc w:val="left"/>
        <w:rPr>
          <w:rFonts w:ascii="宋体" w:hAnsi="宋体" w:cs="宋体" w:eastAsia="宋体" w:hint="default"/>
        </w:rPr>
      </w:pPr>
      <w:r>
        <w:rPr>
          <w:rFonts w:ascii="宋体" w:hAnsi="宋体" w:cs="宋体" w:eastAsia="宋体" w:hint="default"/>
          <w:spacing w:val="-5"/>
        </w:rPr>
        <w:t>紧跟产业进展，强化终端、网络、业务协同并进，发挥</w:t>
      </w:r>
      <w:r>
        <w:rPr>
          <w:rFonts w:ascii="宋体" w:hAnsi="宋体" w:cs="宋体" w:eastAsia="宋体" w:hint="default"/>
          <w:spacing w:val="-22"/>
        </w:rPr>
        <w:t> </w:t>
      </w:r>
      <w:r>
        <w:rPr>
          <w:rFonts w:ascii="宋体" w:hAnsi="宋体" w:cs="宋体" w:eastAsia="宋体" w:hint="default"/>
        </w:rPr>
        <w:t>3.5G</w:t>
      </w:r>
      <w:r>
        <w:rPr>
          <w:rFonts w:ascii="宋体" w:hAnsi="宋体" w:cs="宋体" w:eastAsia="宋体" w:hint="default"/>
          <w:spacing w:val="-22"/>
        </w:rPr>
        <w:t> </w:t>
      </w:r>
      <w:r>
        <w:rPr>
          <w:rFonts w:ascii="宋体" w:hAnsi="宋体" w:cs="宋体" w:eastAsia="宋体" w:hint="default"/>
          <w:spacing w:val="-4"/>
        </w:rPr>
        <w:t>的优势，同步推进</w:t>
      </w:r>
      <w:r>
        <w:rPr>
          <w:rFonts w:ascii="宋体" w:hAnsi="宋体" w:cs="宋体" w:eastAsia="宋体" w:hint="default"/>
          <w:spacing w:val="-22"/>
        </w:rPr>
        <w:t> </w:t>
      </w:r>
      <w:r>
        <w:rPr>
          <w:rFonts w:ascii="宋体" w:hAnsi="宋体" w:cs="宋体" w:eastAsia="宋体" w:hint="default"/>
          <w:spacing w:val="-4"/>
        </w:rPr>
        <w:t>NSA（非独立组网）/SA（独立组网）</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rPr>
        <w:t>产业链的成熟；密切跟踪</w:t>
      </w:r>
      <w:r>
        <w:rPr>
          <w:rFonts w:ascii="宋体" w:hAnsi="宋体" w:cs="宋体" w:eastAsia="宋体" w:hint="default"/>
          <w:spacing w:val="-43"/>
        </w:rPr>
        <w:t> </w:t>
      </w:r>
      <w:r>
        <w:rPr>
          <w:rFonts w:ascii="宋体" w:hAnsi="宋体" w:cs="宋体" w:eastAsia="宋体" w:hint="default"/>
        </w:rPr>
        <w:t>5G</w:t>
      </w:r>
      <w:r>
        <w:rPr>
          <w:rFonts w:ascii="宋体" w:hAnsi="宋体" w:cs="宋体" w:eastAsia="宋体" w:hint="default"/>
          <w:spacing w:val="-43"/>
        </w:rPr>
        <w:t> </w:t>
      </w:r>
      <w:r>
        <w:rPr>
          <w:rFonts w:ascii="宋体" w:hAnsi="宋体" w:cs="宋体" w:eastAsia="宋体" w:hint="default"/>
        </w:rPr>
        <w:t>牌照的发放节奏，加紧进行</w:t>
      </w:r>
      <w:r>
        <w:rPr>
          <w:rFonts w:ascii="宋体" w:hAnsi="宋体" w:cs="宋体" w:eastAsia="宋体" w:hint="default"/>
          <w:spacing w:val="-43"/>
        </w:rPr>
        <w:t> </w:t>
      </w:r>
      <w:r>
        <w:rPr>
          <w:rFonts w:ascii="宋体" w:hAnsi="宋体" w:cs="宋体" w:eastAsia="宋体" w:hint="default"/>
        </w:rPr>
        <w:t>5G</w:t>
      </w:r>
      <w:r>
        <w:rPr>
          <w:rFonts w:ascii="宋体" w:hAnsi="宋体" w:cs="宋体" w:eastAsia="宋体" w:hint="default"/>
          <w:spacing w:val="-43"/>
        </w:rPr>
        <w:t> </w:t>
      </w:r>
      <w:r>
        <w:rPr>
          <w:rFonts w:ascii="宋体" w:hAnsi="宋体" w:cs="宋体" w:eastAsia="宋体" w:hint="default"/>
        </w:rPr>
        <w:t>配套资源的改造，同时积极研究推进</w:t>
      </w:r>
      <w:r>
        <w:rPr>
          <w:rFonts w:ascii="宋体" w:hAnsi="宋体" w:cs="宋体" w:eastAsia="宋体" w:hint="default"/>
          <w:spacing w:val="-43"/>
        </w:rPr>
        <w:t> </w:t>
      </w:r>
      <w:r>
        <w:rPr>
          <w:rFonts w:ascii="宋体" w:hAnsi="宋体" w:cs="宋体" w:eastAsia="宋体" w:hint="default"/>
        </w:rPr>
        <w:t>5G</w:t>
      </w:r>
      <w:r>
        <w:rPr>
          <w:rFonts w:ascii="宋体" w:hAnsi="宋体" w:cs="宋体" w:eastAsia="宋体" w:hint="default"/>
          <w:spacing w:val="-43"/>
        </w:rPr>
        <w:t> </w:t>
      </w:r>
      <w:r>
        <w:rPr>
          <w:rFonts w:ascii="宋体" w:hAnsi="宋体" w:cs="宋体" w:eastAsia="宋体" w:hint="default"/>
        </w:rPr>
        <w:t>的共建共享</w:t>
      </w:r>
      <w:r>
        <w:rPr>
          <w:rFonts w:ascii="宋体" w:hAnsi="宋体" w:cs="宋体" w:eastAsia="宋体" w:hint="default"/>
          <w:spacing w:val="-43"/>
        </w:rPr>
        <w:t> </w:t>
      </w:r>
      <w:r>
        <w:rPr>
          <w:rFonts w:ascii="宋体" w:hAnsi="宋体" w:cs="宋体" w:eastAsia="宋体" w:hint="default"/>
          <w:w w:val="95"/>
        </w:rPr>
        <w:t>,</w:t>
      </w:r>
      <w:r>
        <w:rPr>
          <w:rFonts w:ascii="宋体" w:hAnsi="宋体" w:cs="宋体" w:eastAsia="宋体" w:hint="default"/>
          <w:spacing w:val="-69"/>
          <w:w w:val="95"/>
        </w:rPr>
        <w:t> </w:t>
      </w:r>
      <w:r>
        <w:rPr>
          <w:rFonts w:ascii="宋体" w:hAnsi="宋体" w:cs="宋体" w:eastAsia="宋体" w:hint="default"/>
          <w:spacing w:val="-69"/>
          <w:w w:val="95"/>
        </w:rPr>
      </w:r>
      <w:r>
        <w:rPr>
          <w:rFonts w:ascii="宋体" w:hAnsi="宋体" w:cs="宋体" w:eastAsia="宋体" w:hint="default"/>
        </w:rPr>
        <w:t>探索多种合作模式</w:t>
      </w:r>
      <w:r>
        <w:rPr>
          <w:rFonts w:ascii="宋体" w:hAnsi="宋体" w:cs="宋体" w:eastAsia="宋体" w:hint="default"/>
          <w:spacing w:val="-35"/>
        </w:rPr>
        <w:t> </w:t>
      </w:r>
      <w:r>
        <w:rPr>
          <w:rFonts w:ascii="宋体" w:hAnsi="宋体" w:cs="宋体" w:eastAsia="宋体" w:hint="default"/>
          <w:w w:val="95"/>
        </w:rPr>
        <w:t>,</w:t>
      </w:r>
      <w:r>
        <w:rPr>
          <w:rFonts w:ascii="宋体" w:hAnsi="宋体" w:cs="宋体" w:eastAsia="宋体" w:hint="default"/>
          <w:spacing w:val="-3"/>
          <w:w w:val="95"/>
        </w:rPr>
        <w:t> </w:t>
      </w:r>
      <w:r>
        <w:rPr>
          <w:rFonts w:ascii="宋体" w:hAnsi="宋体" w:cs="宋体" w:eastAsia="宋体" w:hint="default"/>
        </w:rPr>
        <w:t>降低建设成本，确保未来建设与行业同步；秉承开放合作，生态共赢的理念，携手产业链共</w:t>
      </w:r>
      <w:r>
        <w:rPr>
          <w:rFonts w:ascii="宋体" w:hAnsi="宋体" w:cs="宋体" w:eastAsia="宋体" w:hint="default"/>
          <w:spacing w:val="-66"/>
        </w:rPr>
        <w:t> </w:t>
      </w:r>
      <w:r>
        <w:rPr>
          <w:rFonts w:ascii="宋体" w:hAnsi="宋体" w:cs="宋体" w:eastAsia="宋体" w:hint="default"/>
          <w:spacing w:val="-66"/>
        </w:rPr>
      </w:r>
      <w:r>
        <w:rPr>
          <w:rFonts w:ascii="宋体" w:hAnsi="宋体" w:cs="宋体" w:eastAsia="宋体" w:hint="default"/>
        </w:rPr>
        <w:t>享 5G</w:t>
      </w:r>
      <w:r>
        <w:rPr>
          <w:rFonts w:ascii="宋体" w:hAnsi="宋体" w:cs="宋体" w:eastAsia="宋体" w:hint="default"/>
          <w:spacing w:val="-42"/>
        </w:rPr>
        <w:t> </w:t>
      </w:r>
      <w:r>
        <w:rPr>
          <w:rFonts w:ascii="宋体" w:hAnsi="宋体" w:cs="宋体" w:eastAsia="宋体" w:hint="default"/>
        </w:rPr>
        <w:t>带来的新红利。</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25</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92"/>
          <w:footerReference w:type="default" r:id="rId93"/>
          <w:pgSz w:w="11910" w:h="16160"/>
          <w:pgMar w:header="0" w:footer="0" w:top="1520" w:bottom="0" w:left="1380" w:right="660"/>
        </w:sectPr>
      </w:pPr>
    </w:p>
    <w:p>
      <w:pPr>
        <w:spacing w:line="240" w:lineRule="auto" w:before="0"/>
        <w:rPr>
          <w:rFonts w:ascii="Arial" w:hAnsi="Arial" w:cs="Arial" w:eastAsia="Arial" w:hint="default"/>
          <w:b/>
          <w:bCs/>
          <w:sz w:val="18"/>
          <w:szCs w:val="18"/>
        </w:rPr>
      </w:pPr>
    </w:p>
    <w:p>
      <w:pPr>
        <w:spacing w:line="240" w:lineRule="auto" w:before="0"/>
        <w:rPr>
          <w:rFonts w:ascii="Arial" w:hAnsi="Arial" w:cs="Arial" w:eastAsia="Arial" w:hint="default"/>
          <w:b/>
          <w:bCs/>
          <w:sz w:val="18"/>
          <w:szCs w:val="18"/>
        </w:rPr>
      </w:pPr>
    </w:p>
    <w:p>
      <w:pPr>
        <w:pStyle w:val="BodyText"/>
        <w:spacing w:line="240" w:lineRule="auto" w:before="104"/>
        <w:ind w:left="887" w:right="0"/>
        <w:jc w:val="both"/>
        <w:rPr>
          <w:rFonts w:ascii="宋体" w:hAnsi="宋体" w:cs="宋体" w:eastAsia="宋体" w:hint="default"/>
        </w:rPr>
      </w:pPr>
      <w:r>
        <w:rPr>
          <w:rFonts w:ascii="宋体" w:hAnsi="宋体" w:cs="宋体" w:eastAsia="宋体" w:hint="default"/>
        </w:rPr>
        <w:t>未来，公司将按技术进展、监管政策、市场和业务需求、行业竞争态势等动态精准投入。</w:t>
      </w:r>
    </w:p>
    <w:p>
      <w:pPr>
        <w:spacing w:before="161"/>
        <w:ind w:left="490" w:right="1314" w:firstLine="0"/>
        <w:jc w:val="left"/>
        <w:rPr>
          <w:rFonts w:ascii="宋体" w:hAnsi="宋体" w:cs="宋体" w:eastAsia="宋体" w:hint="default"/>
          <w:sz w:val="17"/>
          <w:szCs w:val="17"/>
        </w:rPr>
      </w:pPr>
      <w:r>
        <w:rPr>
          <w:rFonts w:ascii="宋体" w:hAnsi="宋体" w:cs="宋体" w:eastAsia="宋体" w:hint="default"/>
          <w:sz w:val="17"/>
          <w:szCs w:val="17"/>
        </w:rPr>
        <w:t>（四）混合所有制改革</w:t>
      </w:r>
    </w:p>
    <w:p>
      <w:pPr>
        <w:spacing w:line="240" w:lineRule="auto" w:before="11"/>
        <w:rPr>
          <w:rFonts w:ascii="宋体" w:hAnsi="宋体" w:cs="宋体" w:eastAsia="宋体" w:hint="default"/>
          <w:sz w:val="12"/>
          <w:szCs w:val="12"/>
        </w:rPr>
      </w:pPr>
    </w:p>
    <w:p>
      <w:pPr>
        <w:pStyle w:val="BodyText"/>
        <w:spacing w:line="285" w:lineRule="auto"/>
        <w:ind w:left="887" w:right="1415"/>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1"/>
        </w:rPr>
        <w:t> </w:t>
      </w:r>
      <w:r>
        <w:rPr>
          <w:rFonts w:ascii="宋体" w:hAnsi="宋体" w:cs="宋体" w:eastAsia="宋体" w:hint="default"/>
        </w:rPr>
        <w:t>年，公司全面落实“完善治理、强化激励、突出主业、提高效率”十六字方针，深化实施混合所有制改革。</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组建多元化董事会与监事会，完善公司治理结构；与战略投资者开展深度合作，创新商业模式，推动协同发展；</w:t>
      </w:r>
      <w:r>
        <w:rPr>
          <w:rFonts w:ascii="宋体" w:hAnsi="宋体" w:cs="宋体" w:eastAsia="宋体" w:hint="default"/>
          <w:spacing w:val="-48"/>
        </w:rPr>
        <w:t> </w:t>
      </w:r>
      <w:r>
        <w:rPr>
          <w:rFonts w:ascii="宋体" w:hAnsi="宋体" w:cs="宋体" w:eastAsia="宋体" w:hint="default"/>
          <w:spacing w:val="-48"/>
        </w:rPr>
      </w:r>
      <w:r>
        <w:rPr>
          <w:rFonts w:ascii="宋体" w:hAnsi="宋体" w:cs="宋体" w:eastAsia="宋体" w:hint="default"/>
        </w:rPr>
        <w:t>实施限制性股票激励，深化机制体制改革，完善市场化激励机制，混合所有制改革红利初步显现。</w:t>
      </w:r>
    </w:p>
    <w:p>
      <w:pPr>
        <w:pStyle w:val="BodyText"/>
        <w:spacing w:line="240" w:lineRule="auto" w:before="123"/>
        <w:ind w:left="887" w:right="0"/>
        <w:jc w:val="both"/>
        <w:rPr>
          <w:rFonts w:ascii="宋体" w:hAnsi="宋体" w:cs="宋体" w:eastAsia="宋体" w:hint="default"/>
        </w:rPr>
      </w:pPr>
      <w:r>
        <w:rPr>
          <w:rFonts w:ascii="宋体" w:hAnsi="宋体" w:cs="宋体" w:eastAsia="宋体" w:hint="default"/>
          <w:color w:val="D7000F"/>
        </w:rPr>
        <w:t>建立健全混合所有制治理机制，提升科学治理水平</w:t>
      </w:r>
      <w:r>
        <w:rPr>
          <w:rFonts w:ascii="宋体" w:hAnsi="宋体" w:cs="宋体" w:eastAsia="宋体" w:hint="default"/>
        </w:rPr>
      </w:r>
    </w:p>
    <w:p>
      <w:pPr>
        <w:pStyle w:val="BodyText"/>
        <w:spacing w:line="285" w:lineRule="auto" w:before="157"/>
        <w:ind w:left="887" w:right="1413"/>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2"/>
        </w:rPr>
        <w:t> </w:t>
      </w:r>
      <w:r>
        <w:rPr>
          <w:rFonts w:ascii="宋体" w:hAnsi="宋体" w:cs="宋体" w:eastAsia="宋体" w:hint="default"/>
        </w:rPr>
        <w:t>年</w:t>
      </w:r>
      <w:r>
        <w:rPr>
          <w:rFonts w:ascii="宋体" w:hAnsi="宋体" w:cs="宋体" w:eastAsia="宋体" w:hint="default"/>
          <w:spacing w:val="-22"/>
        </w:rPr>
        <w:t> </w:t>
      </w:r>
      <w:r>
        <w:rPr>
          <w:rFonts w:ascii="宋体" w:hAnsi="宋体" w:cs="宋体" w:eastAsia="宋体" w:hint="default"/>
        </w:rPr>
        <w:t>2</w:t>
      </w:r>
      <w:r>
        <w:rPr>
          <w:rFonts w:ascii="宋体" w:hAnsi="宋体" w:cs="宋体" w:eastAsia="宋体" w:hint="default"/>
          <w:spacing w:val="-22"/>
        </w:rPr>
        <w:t> </w:t>
      </w:r>
      <w:r>
        <w:rPr>
          <w:rFonts w:ascii="宋体" w:hAnsi="宋体" w:cs="宋体" w:eastAsia="宋体" w:hint="default"/>
          <w:spacing w:val="3"/>
        </w:rPr>
        <w:t>月，公司股东大会审议通过董事会、监事会提前换届议案，结合战略投资者情况，引入新的国有股东</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rPr>
        <w:t>和非国有股东代表担任公司董事或监事。公司新一届董事会、监事会人员构成更加多元，董事会各专门委员会设</w:t>
      </w:r>
      <w:r>
        <w:rPr>
          <w:rFonts w:ascii="宋体" w:hAnsi="宋体" w:cs="宋体" w:eastAsia="宋体" w:hint="default"/>
          <w:spacing w:val="-45"/>
        </w:rPr>
        <w:t> </w:t>
      </w:r>
      <w:r>
        <w:rPr>
          <w:rFonts w:ascii="宋体" w:hAnsi="宋体" w:cs="宋体" w:eastAsia="宋体" w:hint="default"/>
          <w:spacing w:val="-45"/>
        </w:rPr>
      </w:r>
      <w:r>
        <w:rPr>
          <w:rFonts w:ascii="宋体" w:hAnsi="宋体" w:cs="宋体" w:eastAsia="宋体" w:hint="default"/>
        </w:rPr>
        <w:t>置更加科学，为董事会与监事会的规范运作、高效运行、有效制衡、科学决策奠定了坚实基础。</w:t>
      </w:r>
    </w:p>
    <w:p>
      <w:pPr>
        <w:pStyle w:val="BodyText"/>
        <w:spacing w:line="240" w:lineRule="auto" w:before="123"/>
        <w:ind w:left="887" w:right="0"/>
        <w:jc w:val="both"/>
        <w:rPr>
          <w:rFonts w:ascii="宋体" w:hAnsi="宋体" w:cs="宋体" w:eastAsia="宋体" w:hint="default"/>
        </w:rPr>
      </w:pPr>
      <w:r>
        <w:rPr>
          <w:rFonts w:ascii="宋体" w:hAnsi="宋体" w:cs="宋体" w:eastAsia="宋体" w:hint="default"/>
          <w:color w:val="D7000F"/>
        </w:rPr>
        <w:t>借力外部资源能力，增强创新发展新动能</w:t>
      </w:r>
      <w:r>
        <w:rPr>
          <w:rFonts w:ascii="宋体" w:hAnsi="宋体" w:cs="宋体" w:eastAsia="宋体" w:hint="default"/>
        </w:rPr>
      </w:r>
    </w:p>
    <w:p>
      <w:pPr>
        <w:pStyle w:val="BodyText"/>
        <w:spacing w:line="285" w:lineRule="auto" w:before="157"/>
        <w:ind w:left="887" w:right="1413"/>
        <w:jc w:val="both"/>
        <w:rPr>
          <w:rFonts w:ascii="宋体" w:hAnsi="宋体" w:cs="宋体" w:eastAsia="宋体" w:hint="default"/>
        </w:rPr>
      </w:pPr>
      <w:r>
        <w:rPr>
          <w:rFonts w:ascii="宋体" w:hAnsi="宋体" w:cs="宋体" w:eastAsia="宋体" w:hint="default"/>
        </w:rPr>
        <w:t>公司积极推进与战略投资者的全面深度合作，充分挖掘和聚合各方优势资源，促进能力互补、互利共赢，推动重</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点业务和产业链融合发展，为公司经营转型与创新变革提供新动能。</w:t>
      </w:r>
    </w:p>
    <w:p>
      <w:pPr>
        <w:pStyle w:val="BodyText"/>
        <w:spacing w:line="285" w:lineRule="auto" w:before="123"/>
        <w:ind w:left="887" w:right="1413"/>
        <w:jc w:val="both"/>
        <w:rPr>
          <w:rFonts w:ascii="宋体" w:hAnsi="宋体" w:cs="宋体" w:eastAsia="宋体" w:hint="default"/>
        </w:rPr>
      </w:pPr>
      <w:r>
        <w:rPr>
          <w:rFonts w:ascii="宋体" w:hAnsi="宋体" w:cs="宋体" w:eastAsia="宋体" w:hint="default"/>
          <w:spacing w:val="-1"/>
          <w:w w:val="100"/>
        </w:rPr>
        <w:t>年内，公司与腾讯、阿里、百度、京东、滴滴等深化互联网触点合作，精准有效触达新用户，2I2C</w:t>
      </w:r>
      <w:r>
        <w:rPr>
          <w:rFonts w:ascii="宋体" w:hAnsi="宋体" w:cs="宋体" w:eastAsia="宋体" w:hint="default"/>
          <w:spacing w:val="-27"/>
          <w:w w:val="100"/>
        </w:rPr>
        <w:t> </w:t>
      </w:r>
      <w:r>
        <w:rPr>
          <w:rFonts w:ascii="宋体" w:hAnsi="宋体" w:cs="宋体" w:eastAsia="宋体" w:hint="default"/>
        </w:rPr>
        <w:t>用户全年净增</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spacing w:val="-1"/>
          <w:w w:val="99"/>
        </w:rPr>
        <w:t>4,400</w:t>
      </w:r>
      <w:r>
        <w:rPr>
          <w:rFonts w:ascii="宋体" w:hAnsi="宋体" w:cs="宋体" w:eastAsia="宋体" w:hint="default"/>
          <w:spacing w:val="-44"/>
          <w:w w:val="99"/>
        </w:rPr>
        <w:t> </w:t>
      </w:r>
      <w:r>
        <w:rPr>
          <w:rFonts w:ascii="宋体" w:hAnsi="宋体" w:cs="宋体" w:eastAsia="宋体" w:hint="default"/>
        </w:rPr>
        <w:t>万户，总数约</w:t>
      </w:r>
      <w:r>
        <w:rPr>
          <w:rFonts w:ascii="宋体" w:hAnsi="宋体" w:cs="宋体" w:eastAsia="宋体" w:hint="default"/>
          <w:spacing w:val="-44"/>
        </w:rPr>
        <w:t> </w:t>
      </w:r>
      <w:r>
        <w:rPr>
          <w:rFonts w:ascii="宋体" w:hAnsi="宋体" w:cs="宋体" w:eastAsia="宋体" w:hint="default"/>
          <w:spacing w:val="-1"/>
          <w:w w:val="99"/>
        </w:rPr>
        <w:t>9,400</w:t>
      </w:r>
      <w:r>
        <w:rPr>
          <w:rFonts w:ascii="宋体" w:hAnsi="宋体" w:cs="宋体" w:eastAsia="宋体" w:hint="default"/>
          <w:spacing w:val="-44"/>
          <w:w w:val="99"/>
        </w:rPr>
        <w:t> </w:t>
      </w:r>
      <w:r>
        <w:rPr>
          <w:rFonts w:ascii="宋体" w:hAnsi="宋体" w:cs="宋体" w:eastAsia="宋体" w:hint="default"/>
        </w:rPr>
        <w:t>万户。内容聚合方面，引入百度、爱奇艺、腾讯等优质视频内容，增强</w:t>
      </w:r>
      <w:r>
        <w:rPr>
          <w:rFonts w:ascii="宋体" w:hAnsi="宋体" w:cs="宋体" w:eastAsia="宋体" w:hint="default"/>
          <w:spacing w:val="-44"/>
        </w:rPr>
        <w:t> </w:t>
      </w:r>
      <w:r>
        <w:rPr>
          <w:rFonts w:ascii="宋体" w:hAnsi="宋体" w:cs="宋体" w:eastAsia="宋体" w:hint="default"/>
          <w:spacing w:val="-1"/>
          <w:w w:val="102"/>
        </w:rPr>
        <w:t>IPTV</w:t>
      </w:r>
      <w:r>
        <w:rPr>
          <w:rFonts w:ascii="宋体" w:hAnsi="宋体" w:cs="宋体" w:eastAsia="宋体" w:hint="default"/>
          <w:spacing w:val="-47"/>
          <w:w w:val="102"/>
        </w:rPr>
        <w:t> </w:t>
      </w:r>
      <w:r>
        <w:rPr>
          <w:rFonts w:ascii="宋体" w:hAnsi="宋体" w:cs="宋体" w:eastAsia="宋体" w:hint="default"/>
        </w:rPr>
        <w:t>与手机视</w:t>
      </w:r>
      <w:r>
        <w:rPr>
          <w:rFonts w:ascii="宋体" w:hAnsi="宋体" w:cs="宋体" w:eastAsia="宋体" w:hint="default"/>
        </w:rPr>
        <w:t> 频业务的竞争力。产业互联网领域，聚焦云计算、大数据、物联网及</w:t>
      </w:r>
      <w:r>
        <w:rPr>
          <w:rFonts w:ascii="宋体" w:hAnsi="宋体" w:cs="宋体" w:eastAsia="宋体" w:hint="default"/>
          <w:spacing w:val="-10"/>
        </w:rPr>
        <w:t> </w:t>
      </w:r>
      <w:r>
        <w:rPr>
          <w:rFonts w:ascii="宋体" w:hAnsi="宋体" w:cs="宋体" w:eastAsia="宋体" w:hint="default"/>
          <w:w w:val="99"/>
        </w:rPr>
        <w:t>AI，与腾讯、百度、阿里、京东、滴滴等深</w:t>
      </w:r>
      <w:r>
        <w:rPr>
          <w:rFonts w:ascii="宋体" w:hAnsi="宋体" w:cs="宋体" w:eastAsia="宋体" w:hint="default"/>
          <w:spacing w:val="-77"/>
          <w:w w:val="99"/>
        </w:rPr>
        <w:t> </w:t>
      </w:r>
      <w:r>
        <w:rPr>
          <w:rFonts w:ascii="宋体" w:hAnsi="宋体" w:cs="宋体" w:eastAsia="宋体" w:hint="default"/>
          <w:spacing w:val="-77"/>
          <w:w w:val="99"/>
        </w:rPr>
      </w:r>
      <w:r>
        <w:rPr>
          <w:rFonts w:ascii="宋体" w:hAnsi="宋体" w:cs="宋体" w:eastAsia="宋体" w:hint="default"/>
        </w:rPr>
        <w:t>入推进业务合作。与阿里、腾讯开展“沃云”公有云产品及混合云产品合作；与阿里、腾讯、网宿等分别成立云</w:t>
      </w:r>
      <w:r>
        <w:rPr>
          <w:rFonts w:ascii="宋体" w:hAnsi="宋体" w:cs="宋体" w:eastAsia="宋体" w:hint="default"/>
          <w:spacing w:val="-49"/>
        </w:rPr>
        <w:t> </w:t>
      </w:r>
      <w:r>
        <w:rPr>
          <w:rFonts w:ascii="宋体" w:hAnsi="宋体" w:cs="宋体" w:eastAsia="宋体" w:hint="default"/>
          <w:spacing w:val="-49"/>
        </w:rPr>
      </w:r>
      <w:r>
        <w:rPr>
          <w:rFonts w:ascii="宋体" w:hAnsi="宋体" w:cs="宋体" w:eastAsia="宋体" w:hint="default"/>
        </w:rPr>
        <w:t>粒智慧、云景文旅、云际智慧等合资公司，深化资本合作，以轻资产模式加快拓展产业互联网领域的发展机会，</w:t>
      </w:r>
      <w:r>
        <w:rPr>
          <w:rFonts w:ascii="宋体" w:hAnsi="宋体" w:cs="宋体" w:eastAsia="宋体" w:hint="default"/>
          <w:spacing w:val="-48"/>
        </w:rPr>
        <w:t> </w:t>
      </w:r>
      <w:r>
        <w:rPr>
          <w:rFonts w:ascii="宋体" w:hAnsi="宋体" w:cs="宋体" w:eastAsia="宋体" w:hint="default"/>
          <w:spacing w:val="-48"/>
        </w:rPr>
      </w:r>
      <w:r>
        <w:rPr>
          <w:rFonts w:ascii="宋体" w:hAnsi="宋体" w:cs="宋体" w:eastAsia="宋体" w:hint="default"/>
        </w:rPr>
        <w:t>为公司未来创新发展积蓄动能。</w:t>
      </w:r>
    </w:p>
    <w:p>
      <w:pPr>
        <w:pStyle w:val="BodyText"/>
        <w:spacing w:line="240" w:lineRule="auto" w:before="123"/>
        <w:ind w:left="887" w:right="0"/>
        <w:jc w:val="both"/>
        <w:rPr>
          <w:rFonts w:ascii="宋体" w:hAnsi="宋体" w:cs="宋体" w:eastAsia="宋体" w:hint="default"/>
        </w:rPr>
      </w:pPr>
      <w:r>
        <w:rPr>
          <w:rFonts w:ascii="宋体" w:hAnsi="宋体" w:cs="宋体" w:eastAsia="宋体" w:hint="default"/>
          <w:color w:val="D7000F"/>
        </w:rPr>
        <w:t>以混合所有制改革为契机，深化体制机制创新变革</w:t>
      </w:r>
      <w:r>
        <w:rPr>
          <w:rFonts w:ascii="宋体" w:hAnsi="宋体" w:cs="宋体" w:eastAsia="宋体" w:hint="default"/>
        </w:rPr>
      </w:r>
    </w:p>
    <w:p>
      <w:pPr>
        <w:pStyle w:val="BodyText"/>
        <w:spacing w:line="285" w:lineRule="auto" w:before="157"/>
        <w:ind w:left="887" w:right="1415"/>
        <w:jc w:val="both"/>
        <w:rPr>
          <w:rFonts w:ascii="宋体" w:hAnsi="宋体" w:cs="宋体" w:eastAsia="宋体" w:hint="default"/>
        </w:rPr>
      </w:pPr>
      <w:r>
        <w:rPr>
          <w:rFonts w:ascii="宋体" w:hAnsi="宋体" w:cs="宋体" w:eastAsia="宋体" w:hint="default"/>
        </w:rPr>
        <w:t>公司围绕提升活力与效率，持续深化体制机制的创新变革。常态化推进瘦身健体，鼓励人员向划小单元、创新业</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务领域流动，持续优化组织和人员结构。完善市场化激励，形成与效益、效率挂钩的差异化薪酬决定机制和选人</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spacing w:val="-6"/>
        </w:rPr>
        <w:t>用人机制。顺利实施限制性股票激励计划，紧密连接员工、股东与公司利益，2018</w:t>
      </w:r>
      <w:r>
        <w:rPr>
          <w:rFonts w:ascii="宋体" w:hAnsi="宋体" w:cs="宋体" w:eastAsia="宋体" w:hint="default"/>
          <w:spacing w:val="-37"/>
        </w:rPr>
        <w:t> </w:t>
      </w:r>
      <w:r>
        <w:rPr>
          <w:rFonts w:ascii="宋体" w:hAnsi="宋体" w:cs="宋体" w:eastAsia="宋体" w:hint="default"/>
        </w:rPr>
        <w:t>年内及</w:t>
      </w:r>
      <w:r>
        <w:rPr>
          <w:rFonts w:ascii="宋体" w:hAnsi="宋体" w:cs="宋体" w:eastAsia="宋体" w:hint="default"/>
          <w:spacing w:val="-37"/>
        </w:rPr>
        <w:t> </w:t>
      </w:r>
      <w:r>
        <w:rPr>
          <w:rFonts w:ascii="宋体" w:hAnsi="宋体" w:cs="宋体" w:eastAsia="宋体" w:hint="default"/>
        </w:rPr>
        <w:t>2019</w:t>
      </w:r>
      <w:r>
        <w:rPr>
          <w:rFonts w:ascii="宋体" w:hAnsi="宋体" w:cs="宋体" w:eastAsia="宋体" w:hint="default"/>
          <w:spacing w:val="-37"/>
        </w:rPr>
        <w:t> </w:t>
      </w:r>
      <w:r>
        <w:rPr>
          <w:rFonts w:ascii="宋体" w:hAnsi="宋体" w:cs="宋体" w:eastAsia="宋体" w:hint="default"/>
        </w:rPr>
        <w:t>年初累计向近</w:t>
      </w:r>
      <w:r>
        <w:rPr>
          <w:rFonts w:ascii="宋体" w:hAnsi="宋体" w:cs="宋体" w:eastAsia="宋体" w:hint="default"/>
          <w:spacing w:val="-37"/>
        </w:rPr>
        <w:t> </w:t>
      </w:r>
      <w:r>
        <w:rPr>
          <w:rFonts w:ascii="宋体" w:hAnsi="宋体" w:cs="宋体" w:eastAsia="宋体" w:hint="default"/>
        </w:rPr>
        <w:t>8,000</w:t>
      </w:r>
    </w:p>
    <w:p>
      <w:pPr>
        <w:pStyle w:val="BodyText"/>
        <w:spacing w:line="285" w:lineRule="auto" w:before="10"/>
        <w:ind w:left="887" w:right="1325"/>
        <w:jc w:val="both"/>
        <w:rPr>
          <w:rFonts w:ascii="宋体" w:hAnsi="宋体" w:cs="宋体" w:eastAsia="宋体" w:hint="default"/>
        </w:rPr>
      </w:pPr>
      <w:r>
        <w:rPr>
          <w:rFonts w:ascii="宋体" w:hAnsi="宋体" w:cs="宋体" w:eastAsia="宋体" w:hint="default"/>
          <w:spacing w:val="1"/>
        </w:rPr>
        <w:t>名管理骨干及核心人才授予股票</w:t>
      </w:r>
      <w:r>
        <w:rPr>
          <w:rFonts w:ascii="宋体" w:hAnsi="宋体" w:cs="宋体" w:eastAsia="宋体" w:hint="default"/>
          <w:spacing w:val="-36"/>
        </w:rPr>
        <w:t> </w:t>
      </w:r>
      <w:r>
        <w:rPr>
          <w:rFonts w:ascii="宋体" w:hAnsi="宋体" w:cs="宋体" w:eastAsia="宋体" w:hint="default"/>
          <w:spacing w:val="-1"/>
          <w:w w:val="92"/>
        </w:rPr>
        <w:t>8.1</w:t>
      </w:r>
      <w:r>
        <w:rPr>
          <w:rFonts w:ascii="宋体" w:hAnsi="宋体" w:cs="宋体" w:eastAsia="宋体" w:hint="default"/>
          <w:spacing w:val="-30"/>
          <w:w w:val="92"/>
        </w:rPr>
        <w:t> </w:t>
      </w:r>
      <w:r>
        <w:rPr>
          <w:rFonts w:ascii="宋体" w:hAnsi="宋体" w:cs="宋体" w:eastAsia="宋体" w:hint="default"/>
          <w:spacing w:val="1"/>
        </w:rPr>
        <w:t>亿股。持续深化划小承包改革，加快推进下属子企业混合所有制改革，激发</w:t>
      </w:r>
      <w:r>
        <w:rPr>
          <w:rFonts w:ascii="宋体" w:hAnsi="宋体" w:cs="宋体" w:eastAsia="宋体" w:hint="default"/>
          <w:spacing w:val="-68"/>
        </w:rPr>
        <w:t> </w:t>
      </w:r>
      <w:r>
        <w:rPr>
          <w:rFonts w:ascii="宋体" w:hAnsi="宋体" w:cs="宋体" w:eastAsia="宋体" w:hint="default"/>
          <w:spacing w:val="-68"/>
        </w:rPr>
      </w:r>
      <w:r>
        <w:rPr>
          <w:rFonts w:ascii="宋体" w:hAnsi="宋体" w:cs="宋体" w:eastAsia="宋体" w:hint="default"/>
          <w:spacing w:val="-4"/>
        </w:rPr>
        <w:t>微观主体活力。下属云南省分公司经过稳步推进承包运营改革，网络建设加快，业务发展提速，运营效益显著提升。</w:t>
      </w:r>
    </w:p>
    <w:p>
      <w:pPr>
        <w:spacing w:before="126"/>
        <w:ind w:left="490" w:right="1314" w:firstLine="0"/>
        <w:jc w:val="left"/>
        <w:rPr>
          <w:rFonts w:ascii="宋体" w:hAnsi="宋体" w:cs="宋体" w:eastAsia="宋体" w:hint="default"/>
          <w:sz w:val="17"/>
          <w:szCs w:val="17"/>
        </w:rPr>
      </w:pPr>
      <w:r>
        <w:rPr>
          <w:rFonts w:ascii="宋体" w:hAnsi="宋体" w:cs="宋体" w:eastAsia="宋体" w:hint="default"/>
          <w:sz w:val="17"/>
          <w:szCs w:val="17"/>
        </w:rPr>
        <w:t>（五）社会责任和公司荣誉</w:t>
      </w:r>
    </w:p>
    <w:p>
      <w:pPr>
        <w:spacing w:line="240" w:lineRule="auto" w:before="11"/>
        <w:rPr>
          <w:rFonts w:ascii="宋体" w:hAnsi="宋体" w:cs="宋体" w:eastAsia="宋体" w:hint="default"/>
          <w:sz w:val="12"/>
          <w:szCs w:val="12"/>
        </w:rPr>
      </w:pPr>
    </w:p>
    <w:p>
      <w:pPr>
        <w:pStyle w:val="BodyText"/>
        <w:spacing w:line="285" w:lineRule="auto"/>
        <w:ind w:left="887" w:right="1314"/>
        <w:jc w:val="left"/>
        <w:rPr>
          <w:rFonts w:ascii="宋体" w:hAnsi="宋体" w:cs="宋体" w:eastAsia="宋体" w:hint="default"/>
        </w:rPr>
      </w:pPr>
      <w:r>
        <w:rPr>
          <w:rFonts w:ascii="宋体" w:hAnsi="宋体" w:cs="宋体" w:eastAsia="宋体" w:hint="default"/>
        </w:rPr>
        <w:t>公司积极践行社会责任，坚持社会责任源于战略、植于管理、成于运营，坚持新发展理念，更好满足人民日益增</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长的对美好信息通信生活的需要。坚持党建引领发展，持续完善公司治理，合规运营履行职责。以匠心建设智慧</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精品网络，为建设网络强国做积极贡献。坚持绿色低碳建设，持续推进电信基础设施共建共享，维护网络安全，</w:t>
      </w:r>
      <w:r>
        <w:rPr>
          <w:rFonts w:ascii="宋体" w:hAnsi="宋体" w:cs="宋体" w:eastAsia="宋体" w:hint="default"/>
          <w:spacing w:val="-48"/>
        </w:rPr>
        <w:t> </w:t>
      </w:r>
      <w:r>
        <w:rPr>
          <w:rFonts w:ascii="宋体" w:hAnsi="宋体" w:cs="宋体" w:eastAsia="宋体" w:hint="default"/>
          <w:spacing w:val="-48"/>
        </w:rPr>
      </w:r>
      <w:r>
        <w:rPr>
          <w:rFonts w:ascii="宋体" w:hAnsi="宋体" w:cs="宋体" w:eastAsia="宋体" w:hint="default"/>
          <w:spacing w:val="-1"/>
        </w:rPr>
        <w:t>营造安全清朗的网络空间。坚持“一切为了客户”，为用户提供丰富的智慧产品和智慧应用，构筑便捷美好生活。</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积极布局发展智慧前沿技术，推动信息技术与实体经济的深度融合，助力传统行业与经济社会转型升级。协力打</w:t>
      </w:r>
      <w:r>
        <w:rPr>
          <w:rFonts w:ascii="宋体" w:hAnsi="宋体" w:cs="宋体" w:eastAsia="宋体" w:hint="default"/>
          <w:spacing w:val="-45"/>
        </w:rPr>
        <w:t> </w:t>
      </w:r>
      <w:r>
        <w:rPr>
          <w:rFonts w:ascii="宋体" w:hAnsi="宋体" w:cs="宋体" w:eastAsia="宋体" w:hint="default"/>
          <w:spacing w:val="-45"/>
        </w:rPr>
      </w:r>
      <w:r>
        <w:rPr>
          <w:rFonts w:ascii="宋体" w:hAnsi="宋体" w:cs="宋体" w:eastAsia="宋体" w:hint="default"/>
        </w:rPr>
        <w:t>造智慧冬奥，为冬奥会成功举办注入新动能。开展精准扶贫，惠民共享社会公益。关心关爱员工生活，保障员工</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基本权益，重视员工培训，助力员工成长发展。</w:t>
      </w:r>
    </w:p>
    <w:p>
      <w:pPr>
        <w:pStyle w:val="BodyText"/>
        <w:spacing w:line="285" w:lineRule="auto" w:before="123"/>
        <w:ind w:left="887" w:right="1314"/>
        <w:jc w:val="left"/>
        <w:rPr>
          <w:rFonts w:ascii="宋体" w:hAnsi="宋体" w:cs="宋体" w:eastAsia="宋体" w:hint="default"/>
        </w:rPr>
      </w:pPr>
      <w:r>
        <w:rPr>
          <w:rFonts w:ascii="宋体" w:hAnsi="宋体" w:cs="宋体" w:eastAsia="宋体" w:hint="default"/>
          <w:w w:val="111"/>
        </w:rPr>
        <w:t>2018</w:t>
      </w:r>
      <w:r>
        <w:rPr>
          <w:rFonts w:ascii="宋体" w:hAnsi="宋体" w:cs="宋体" w:eastAsia="宋体" w:hint="default"/>
          <w:spacing w:val="-63"/>
          <w:w w:val="111"/>
        </w:rPr>
        <w:t> </w:t>
      </w:r>
      <w:r>
        <w:rPr>
          <w:rFonts w:ascii="宋体" w:hAnsi="宋体" w:cs="宋体" w:eastAsia="宋体" w:hint="default"/>
          <w:spacing w:val="-3"/>
        </w:rPr>
        <w:t>年公司荣获多项嘉许，其中包括本公司控股子公司</w:t>
      </w:r>
      <w:r>
        <w:rPr>
          <w:rFonts w:ascii="宋体" w:hAnsi="宋体" w:cs="宋体" w:eastAsia="宋体" w:hint="default"/>
          <w:spacing w:val="-52"/>
        </w:rPr>
        <w:t> </w:t>
      </w:r>
      <w:r>
        <w:rPr>
          <w:rFonts w:ascii="宋体" w:hAnsi="宋体" w:cs="宋体" w:eastAsia="宋体" w:hint="default"/>
          <w:w w:val="131"/>
        </w:rPr>
        <w:t>-</w:t>
      </w:r>
      <w:r>
        <w:rPr>
          <w:rFonts w:ascii="宋体" w:hAnsi="宋体" w:cs="宋体" w:eastAsia="宋体" w:hint="default"/>
          <w:spacing w:val="-80"/>
          <w:w w:val="131"/>
        </w:rPr>
        <w:t> </w:t>
      </w:r>
      <w:r>
        <w:rPr>
          <w:rFonts w:ascii="宋体" w:hAnsi="宋体" w:cs="宋体" w:eastAsia="宋体" w:hint="default"/>
          <w:spacing w:val="-7"/>
          <w:w w:val="99"/>
        </w:rPr>
        <w:t>联通红筹公司被《金融亚洲》（Finance</w:t>
      </w:r>
      <w:r>
        <w:rPr>
          <w:rFonts w:ascii="宋体" w:hAnsi="宋体" w:cs="宋体" w:eastAsia="宋体" w:hint="default"/>
          <w:spacing w:val="-32"/>
          <w:w w:val="99"/>
        </w:rPr>
        <w:t> </w:t>
      </w:r>
      <w:r>
        <w:rPr>
          <w:rFonts w:ascii="宋体" w:hAnsi="宋体" w:cs="宋体" w:eastAsia="宋体" w:hint="default"/>
          <w:spacing w:val="-10"/>
          <w:w w:val="97"/>
        </w:rPr>
        <w:t>Asia）评选为“亚</w:t>
      </w:r>
      <w:r>
        <w:rPr>
          <w:rFonts w:ascii="宋体" w:hAnsi="宋体" w:cs="宋体" w:eastAsia="宋体" w:hint="default"/>
          <w:spacing w:val="-70"/>
          <w:w w:val="97"/>
        </w:rPr>
        <w:t> </w:t>
      </w:r>
      <w:r>
        <w:rPr>
          <w:rFonts w:ascii="宋体" w:hAnsi="宋体" w:cs="宋体" w:eastAsia="宋体" w:hint="default"/>
          <w:spacing w:val="-70"/>
          <w:w w:val="97"/>
        </w:rPr>
      </w:r>
      <w:r>
        <w:rPr>
          <w:rFonts w:ascii="宋体" w:hAnsi="宋体" w:cs="宋体" w:eastAsia="宋体" w:hint="default"/>
          <w:spacing w:val="-3"/>
        </w:rPr>
        <w:t>洲最佳管理电信公司”第一名，被《财资》（The</w:t>
      </w:r>
      <w:r>
        <w:rPr>
          <w:rFonts w:ascii="宋体" w:hAnsi="宋体" w:cs="宋体" w:eastAsia="宋体" w:hint="default"/>
        </w:rPr>
        <w:t> </w:t>
      </w:r>
      <w:r>
        <w:rPr>
          <w:rFonts w:ascii="宋体" w:hAnsi="宋体" w:cs="宋体" w:eastAsia="宋体" w:hint="default"/>
          <w:spacing w:val="-2"/>
        </w:rPr>
        <w:t>Asset）评选为“卓越管治、环境保护及企业社会责任白金奖”，</w:t>
      </w:r>
      <w:r>
        <w:rPr>
          <w:rFonts w:ascii="宋体" w:hAnsi="宋体" w:cs="宋体" w:eastAsia="宋体" w:hint="default"/>
          <w:spacing w:val="-61"/>
        </w:rPr>
        <w:t> </w:t>
      </w:r>
      <w:r>
        <w:rPr>
          <w:rFonts w:ascii="宋体" w:hAnsi="宋体" w:cs="宋体" w:eastAsia="宋体" w:hint="default"/>
          <w:spacing w:val="-61"/>
        </w:rPr>
      </w:r>
      <w:r>
        <w:rPr>
          <w:rFonts w:ascii="宋体" w:hAnsi="宋体" w:cs="宋体" w:eastAsia="宋体" w:hint="default"/>
        </w:rPr>
        <w:t>被《亚洲公司管治》（Corporate</w:t>
      </w:r>
      <w:r>
        <w:rPr>
          <w:rFonts w:ascii="宋体" w:hAnsi="宋体" w:cs="宋体" w:eastAsia="宋体" w:hint="default"/>
          <w:spacing w:val="-46"/>
        </w:rPr>
        <w:t> </w:t>
      </w:r>
      <w:r>
        <w:rPr>
          <w:rFonts w:ascii="宋体" w:hAnsi="宋体" w:cs="宋体" w:eastAsia="宋体" w:hint="default"/>
        </w:rPr>
        <w:t>Governance</w:t>
      </w:r>
      <w:r>
        <w:rPr>
          <w:rFonts w:ascii="宋体" w:hAnsi="宋体" w:cs="宋体" w:eastAsia="宋体" w:hint="default"/>
          <w:spacing w:val="-46"/>
        </w:rPr>
        <w:t> </w:t>
      </w:r>
      <w:r>
        <w:rPr>
          <w:rFonts w:ascii="宋体" w:hAnsi="宋体" w:cs="宋体" w:eastAsia="宋体" w:hint="default"/>
        </w:rPr>
        <w:t>Asia）评选为“亚洲最佳公司</w:t>
      </w:r>
      <w:r>
        <w:rPr>
          <w:rFonts w:ascii="宋体" w:hAnsi="宋体" w:cs="宋体" w:eastAsia="宋体" w:hint="default"/>
          <w:spacing w:val="-52"/>
        </w:rPr>
        <w:t> </w:t>
      </w:r>
      <w:r>
        <w:rPr>
          <w:rFonts w:ascii="宋体" w:hAnsi="宋体" w:cs="宋体" w:eastAsia="宋体" w:hint="default"/>
        </w:rPr>
        <w:t>-</w:t>
      </w:r>
      <w:r>
        <w:rPr>
          <w:rFonts w:ascii="宋体" w:hAnsi="宋体" w:cs="宋体" w:eastAsia="宋体" w:hint="default"/>
          <w:spacing w:val="-52"/>
        </w:rPr>
        <w:t> </w:t>
      </w:r>
      <w:r>
        <w:rPr>
          <w:rFonts w:ascii="宋体" w:hAnsi="宋体" w:cs="宋体" w:eastAsia="宋体" w:hint="default"/>
        </w:rPr>
        <w:t>企业管治典范”，被《机构投资者》</w:t>
      </w:r>
      <w:r>
        <w:rPr>
          <w:rFonts w:ascii="宋体" w:hAnsi="宋体" w:cs="宋体" w:eastAsia="宋体" w:hint="default"/>
        </w:rPr>
        <w:t> </w:t>
      </w:r>
      <w:r>
        <w:rPr>
          <w:rFonts w:ascii="宋体" w:hAnsi="宋体" w:cs="宋体" w:eastAsia="宋体" w:hint="default"/>
          <w:w w:val="90"/>
        </w:rPr>
        <w:t>(Institutional  Investor) </w:t>
      </w:r>
      <w:r>
        <w:rPr>
          <w:rFonts w:ascii="宋体" w:hAnsi="宋体" w:cs="宋体" w:eastAsia="宋体" w:hint="default"/>
          <w:spacing w:val="13"/>
          <w:w w:val="90"/>
        </w:rPr>
        <w:t> </w:t>
      </w:r>
      <w:r>
        <w:rPr>
          <w:rFonts w:ascii="宋体" w:hAnsi="宋体" w:cs="宋体" w:eastAsia="宋体" w:hint="default"/>
          <w:w w:val="90"/>
        </w:rPr>
        <w:t>连续第三年评选为“亚洲最受尊崇电信企业”第一名。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even" r:id="rId99"/>
          <w:footerReference w:type="even" r:id="rId100"/>
          <w:pgSz w:w="11910" w:h="16160"/>
          <w:pgMar w:header="0" w:footer="0" w:top="2360" w:bottom="0" w:left="700" w:right="0"/>
        </w:sectPr>
      </w:pPr>
    </w:p>
    <w:p>
      <w:pPr>
        <w:spacing w:line="240" w:lineRule="auto" w:before="5"/>
        <w:rPr>
          <w:rFonts w:ascii="宋体" w:hAnsi="宋体" w:cs="宋体" w:eastAsia="宋体" w:hint="default"/>
          <w:sz w:val="17"/>
          <w:szCs w:val="17"/>
        </w:rPr>
      </w:pPr>
      <w:r>
        <w:rPr/>
        <w:pict>
          <v:group style="position:absolute;margin-left:-.5pt;margin-top:119.055023pt;width:596.3pt;height:689.35pt;mso-position-horizontal-relative:page;mso-position-vertical-relative:page;z-index:-966736" coordorigin="-10,2381" coordsize="11926,13787">
            <v:shape style="position:absolute;left:9259;top:6539;width:340;height:340" type="#_x0000_t75" stroked="false">
              <v:imagedata r:id="rId85" o:title=""/>
            </v:shape>
            <v:group style="position:absolute;left:5621;top:6695;width:3823;height:4059" coordorigin="5621,6695" coordsize="3823,4059">
              <v:shape style="position:absolute;left:5621;top:6695;width:3823;height:4059" coordorigin="5621,6695" coordsize="3823,4059" path="m9443,6695l5621,10753e" filled="false" stroked="true" strokeweight="1pt" strokecolor="#9c8758">
                <v:path arrowok="t"/>
              </v:shape>
            </v:group>
            <v:group style="position:absolute;left:0;top:2500;width:7159;height:7304" coordorigin="0,2500" coordsize="7159,7304">
              <v:shape style="position:absolute;left:0;top:2500;width:7159;height:7304" coordorigin="0,2500" coordsize="7159,7304" path="m337,9804l0,9804,0,6187,3444,2500,7159,2500,337,9804xe" filled="true" fillcolor="#8e9090" stroked="false">
                <v:path arrowok="t"/>
                <v:fill type="solid"/>
              </v:shape>
            </v:group>
            <v:group style="position:absolute;left:6181;top:9987;width:5725;height:6171" coordorigin="6181,9987" coordsize="5725,6171">
              <v:shape style="position:absolute;left:6181;top:9987;width:5725;height:6171" coordorigin="6181,9987" coordsize="5725,6171" path="m11906,16157l6181,16157,11906,9987,11906,16157xe" filled="true" fillcolor="#8e9090" stroked="false">
                <v:path arrowok="t"/>
                <v:fill type="solid"/>
              </v:shape>
            </v:group>
            <v:group style="position:absolute;left:6816;top:10672;width:5090;height:5486" coordorigin="6816,10672" coordsize="5090,5486">
              <v:shape style="position:absolute;left:6816;top:10672;width:5090;height:5486" coordorigin="6816,10672" coordsize="5090,5486" path="m11906,16157l6816,16157,11906,10672,11906,16157xe" filled="true" fillcolor="#d7000f" stroked="false">
                <v:path arrowok="t"/>
                <v:fill type="solid"/>
              </v:shape>
              <v:shape style="position:absolute;left:2072;top:2665;width:340;height:340" type="#_x0000_t75" stroked="false">
                <v:imagedata r:id="rId86" o:title=""/>
              </v:shape>
            </v:group>
            <v:group style="position:absolute;left:0;top:2778;width:2299;height:2474" coordorigin="0,2778" coordsize="2299,2474">
              <v:shape style="position:absolute;left:0;top:2778;width:2299;height:2474" coordorigin="0,2778" coordsize="2299,2474" path="m2298,2778l0,5252e" filled="false" stroked="true" strokeweight="1pt" strokecolor="#000000">
                <v:path arrowok="t"/>
              </v:shape>
            </v:group>
            <v:group style="position:absolute;left:0;top:12410;width:434;height:447" coordorigin="0,12410" coordsize="434,447">
              <v:shape style="position:absolute;left:0;top:12410;width:434;height:447" coordorigin="0,12410" coordsize="434,447" path="m433,12410l0,12857e" filled="false" stroked="true" strokeweight="1pt" strokecolor="#8e9090">
                <v:path arrowok="t"/>
              </v:shape>
              <v:shape style="position:absolute;left:298;top:12307;width:241;height:241" type="#_x0000_t75" stroked="false">
                <v:imagedata r:id="rId87" o:title=""/>
              </v:shape>
            </v:group>
            <v:group style="position:absolute;left:4935;top:12190;width:3851;height:3968" coordorigin="4935,12190" coordsize="3851,3968">
              <v:shape style="position:absolute;left:4935;top:12190;width:3851;height:3968" coordorigin="4935,12190" coordsize="3851,3968" path="m8785,12190l4935,16157e" filled="false" stroked="true" strokeweight="1pt" strokecolor="#8e9090">
                <v:path arrowok="t"/>
              </v:shape>
              <v:shape style="position:absolute;left:8634;top:12076;width:268;height:268" type="#_x0000_t75" stroked="false">
                <v:imagedata r:id="rId88" o:title=""/>
              </v:shape>
            </v:group>
            <v:group style="position:absolute;left:8600;top:13607;width:2475;height:2551" coordorigin="8600,13607" coordsize="2475,2551">
              <v:shape style="position:absolute;left:8600;top:13607;width:2475;height:2551" coordorigin="8600,13607" coordsize="2475,2551" path="m11075,13607l8600,16157e" filled="false" stroked="true" strokeweight="1pt" strokecolor="#d7000f">
                <v:path arrowok="t"/>
              </v:shape>
              <v:shape style="position:absolute;left:10923;top:13493;width:268;height:268" type="#_x0000_t75" stroked="false">
                <v:imagedata r:id="rId89" o:title=""/>
              </v:shape>
            </v:group>
            <v:group style="position:absolute;left:2349;top:8171;width:7527;height:7987" coordorigin="2349,8171" coordsize="7527,7987">
              <v:shape style="position:absolute;left:2349;top:8171;width:7527;height:7987" coordorigin="2349,8171" coordsize="7527,7987" path="m9876,8171l2349,16157e" filled="false" stroked="true" strokeweight="1pt" strokecolor="#000000">
                <v:path arrowok="t"/>
              </v:shape>
              <v:shape style="position:absolute;left:11425;top:3255;width:491;height:500" type="#_x0000_t75" stroked="false">
                <v:imagedata r:id="rId90" o:title=""/>
              </v:shape>
            </v:group>
            <v:group style="position:absolute;left:6123;top:8308;width:5783;height:7850" coordorigin="6123,8308" coordsize="5783,7850">
              <v:shape style="position:absolute;left:6123;top:8308;width:5783;height:7850" coordorigin="6123,8308" coordsize="5783,7850" path="m11906,16157l11906,8308,6123,8308,6123,16157,11906,16157xe" filled="true" fillcolor="#ffffff" stroked="false">
                <v:path arrowok="t"/>
                <v:fill type="solid"/>
              </v:shape>
            </v:group>
            <v:group style="position:absolute;left:0;top:2381;width:10656;height:12867" coordorigin="0,2381" coordsize="10656,12867">
              <v:shape style="position:absolute;left:0;top:2381;width:10656;height:12867" coordorigin="0,2381" coordsize="10656,12867" path="m0,2381l0,15248,10655,15248,10655,2381,0,2381xe" filled="true" fillcolor="#ffffff" stroked="false">
                <v:path arrowok="t"/>
                <v:fill type="solid"/>
              </v:shape>
            </v:group>
            <w10:wrap type="none"/>
          </v:group>
        </w:pict>
      </w:r>
    </w:p>
    <w:p>
      <w:pPr>
        <w:tabs>
          <w:tab w:pos="5277" w:val="left" w:leader="none"/>
        </w:tabs>
        <w:spacing w:before="0"/>
        <w:ind w:left="114" w:right="0" w:firstLine="0"/>
        <w:jc w:val="left"/>
        <w:rPr>
          <w:rFonts w:ascii="宋体" w:hAnsi="宋体" w:cs="宋体" w:eastAsia="宋体" w:hint="default"/>
          <w:sz w:val="16"/>
          <w:szCs w:val="16"/>
        </w:rPr>
      </w:pPr>
      <w:r>
        <w:rPr>
          <w:rFonts w:ascii="Arial" w:hAnsi="Arial" w:cs="Arial" w:eastAsia="Arial" w:hint="default"/>
          <w:b/>
          <w:bCs/>
          <w:color w:val="9C8758"/>
          <w:spacing w:val="-1"/>
          <w:position w:val="2"/>
          <w:sz w:val="16"/>
          <w:szCs w:val="16"/>
        </w:rPr>
        <w:t>26</w:t>
        <w:tab/>
      </w:r>
      <w:r>
        <w:rPr>
          <w:rFonts w:ascii="宋体" w:hAnsi="宋体" w:cs="宋体" w:eastAsia="宋体" w:hint="default"/>
          <w:color w:val="595757"/>
          <w:spacing w:val="24"/>
          <w:sz w:val="16"/>
          <w:szCs w:val="16"/>
        </w:rPr>
        <w:t>经营情况讨论与分析</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line="240" w:lineRule="auto" w:before="12"/>
        <w:rPr>
          <w:rFonts w:ascii="宋体" w:hAnsi="宋体" w:cs="宋体" w:eastAsia="宋体" w:hint="default"/>
          <w:sz w:val="17"/>
          <w:szCs w:val="17"/>
        </w:rPr>
      </w:pPr>
      <w:r>
        <w:rPr/>
        <w:br w:type="column"/>
      </w:r>
      <w:r>
        <w:rPr>
          <w:rFonts w:ascii="宋体"/>
          <w:sz w:val="17"/>
        </w:rPr>
      </w:r>
    </w:p>
    <w:p>
      <w:pPr>
        <w:spacing w:before="0"/>
        <w:ind w:left="114"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0"/>
          <w:cols w:num="2" w:equalWidth="0">
            <w:col w:w="6977" w:space="191"/>
            <w:col w:w="4042"/>
          </w:cols>
        </w:sectPr>
      </w:pPr>
    </w:p>
    <w:p>
      <w:pPr>
        <w:spacing w:line="240" w:lineRule="auto" w:before="0"/>
        <w:rPr>
          <w:rFonts w:ascii="宋体" w:hAnsi="宋体" w:cs="宋体" w:eastAsia="宋体" w:hint="default"/>
          <w:sz w:val="20"/>
          <w:szCs w:val="20"/>
        </w:rPr>
      </w:pPr>
      <w:r>
        <w:rPr/>
        <w:pict>
          <v:group style="position:absolute;margin-left:-.500001pt;margin-top:-1.499958pt;width:596.3pt;height:809.9pt;mso-position-horizontal-relative:page;mso-position-vertical-relative:page;z-index:-966712" coordorigin="-10,-30" coordsize="11926,16198">
            <v:group style="position:absolute;left:0;top:0;width:11906;height:16158" coordorigin="0,0" coordsize="11906,16158">
              <v:shape style="position:absolute;left:0;top:0;width:11906;height:16158" coordorigin="0,0" coordsize="11906,16158" path="m444,16157l0,16157,0,9987,9267,0,11906,0,11906,3804,444,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7570,16157l0,16157,0,10672,9902,0,11906,0,11906,11485,7570,16157xe" filled="true" fillcolor="#d7000f" stroked="false">
                <v:path arrowok="t"/>
                <v:fill type="solid"/>
              </v:shape>
            </v:group>
            <v:group style="position:absolute;left:0;top:0;width:226;height:233" coordorigin="0,0" coordsize="226,233">
              <v:shape style="position:absolute;left:0;top:0;width:226;height:233" coordorigin="0,0" coordsize="226,233" path="m0,233l225,0e" filled="false" stroked="true" strokeweight="1pt" strokecolor="#9c8758">
                <v:path arrowok="t"/>
              </v:shape>
              <v:shape style="position:absolute;left:3646;top:14163;width:340;height:340" type="#_x0000_t75" stroked="false">
                <v:imagedata r:id="rId94" o:title=""/>
              </v:shape>
            </v:group>
            <v:group style="position:absolute;left:3802;top:11470;width:2786;height:2878" coordorigin="3802,11470" coordsize="2786,2878">
              <v:shape style="position:absolute;left:3802;top:11470;width:2786;height:2878" coordorigin="3802,11470" coordsize="2786,2878" path="m3802,14347l6587,11470e" filled="false" stroked="true" strokeweight="1pt" strokecolor="#9c8758">
                <v:path arrowok="t"/>
              </v:shape>
              <v:shape style="position:absolute;left:5371;top:1794;width:268;height:268" type="#_x0000_t75" stroked="false">
                <v:imagedata r:id="rId95" o:title=""/>
              </v:shape>
            </v:group>
            <v:group style="position:absolute;left:5412;top:0;width:1951;height:2021" coordorigin="5412,0" coordsize="1951,2021">
              <v:shape style="position:absolute;left:5412;top:0;width:1951;height:2021" coordorigin="5412,0" coordsize="1951,2021" path="m5412,2021l7362,0e" filled="false" stroked="true" strokeweight="3pt" strokecolor="#8e9090">
                <v:path arrowok="t"/>
              </v:shape>
            </v:group>
            <v:group style="position:absolute;left:5897;top:7258;width:3956;height:4261" coordorigin="5897,7258" coordsize="3956,4261">
              <v:shape style="position:absolute;left:5897;top:7258;width:3956;height:4261" coordorigin="5897,7258" coordsize="3956,4261" path="m9853,7258l5897,11519e" filled="false" stroked="true" strokeweight="1pt" strokecolor="#8e9090">
                <v:path arrowok="t"/>
              </v:shape>
              <v:shape style="position:absolute;left:9701;top:7144;width:267;height:267" type="#_x0000_t75" stroked="false">
                <v:imagedata r:id="rId96" o:title=""/>
              </v:shape>
            </v:group>
            <v:group style="position:absolute;left:10549;top:492;width:1357;height:1470" coordorigin="10549,492" coordsize="1357,1470">
              <v:shape style="position:absolute;left:10549;top:492;width:1357;height:1470" coordorigin="10549,492" coordsize="1357,1470" path="m10549,1962l11906,492e" filled="false" stroked="true" strokeweight="1.0pt" strokecolor="#000000">
                <v:path arrowok="t"/>
              </v:shape>
              <v:shape style="position:absolute;left:10433;top:1808;width:268;height:268" type="#_x0000_t75" stroked="false">
                <v:imagedata r:id="rId97" o:title=""/>
              </v:shape>
              <v:shape style="position:absolute;left:6152;top:14060;width:340;height:340" type="#_x0000_t75" stroked="false">
                <v:imagedata r:id="rId98" o:title=""/>
              </v:shape>
            </v:group>
            <v:group style="position:absolute;left:6308;top:8369;width:5598;height:5875" coordorigin="6308,8369" coordsize="5598,5875">
              <v:shape style="position:absolute;left:6308;top:8369;width:5598;height:5875" coordorigin="6308,8369" coordsize="5598,5875" path="m6308,14244l11906,8369e" filled="false" stroked="true" strokeweight="1pt" strokecolor="#9c8758">
                <v:path arrowok="t"/>
              </v:shape>
              <v:shape style="position:absolute;left:9278;top:8801;width:340;height:340" type="#_x0000_t75" stroked="false">
                <v:imagedata r:id="rId91" o:title=""/>
              </v:shape>
            </v:group>
            <v:group style="position:absolute;left:2678;top:8914;width:6827;height:7244" coordorigin="2678,8914" coordsize="6827,7244">
              <v:shape style="position:absolute;left:2678;top:8914;width:6827;height:7244" coordorigin="2678,8914" coordsize="6827,7244" path="m9504,8914l2678,16157e" filled="false" stroked="true" strokeweight="1pt" strokecolor="#000000">
                <v:path arrowok="t"/>
              </v:shape>
            </v:group>
            <v:group style="position:absolute;left:0;top:0;width:3168;height:3265" coordorigin="0,0" coordsize="3168,3265">
              <v:shape style="position:absolute;left:0;top:0;width:3168;height:3265" coordorigin="0,0" coordsize="3168,3265" path="m0,3265l3168,0e" filled="false" stroked="true" strokeweight="1pt" strokecolor="#d7000f">
                <v:path arrowok="t"/>
              </v:shape>
            </v:group>
            <v:group style="position:absolute;left:0;top:8308;width:1248;height:7850" coordorigin="0,8308" coordsize="1248,7850">
              <v:shape style="position:absolute;left:0;top:8308;width:1248;height:7850" coordorigin="0,8308" coordsize="1248,7850" path="m0,16157l1247,16157,1247,8308,0,8308,0,16157xe" filled="true" fillcolor="#ffffff" stroked="false">
                <v:path arrowok="t"/>
                <v:fill type="solid"/>
              </v:shape>
            </v:group>
            <v:group style="position:absolute;left:1247;top:2154;width:10659;height:14004" coordorigin="1247,2154" coordsize="10659,14004">
              <v:shape style="position:absolute;left:1247;top:2154;width:10659;height:14004" coordorigin="1247,2154" coordsize="10659,14004" path="m11906,16157l11906,2154,1247,2154,1247,16157,11906,16157xe" filled="true" fillcolor="#ffffff" stroked="false">
                <v:path arrowok="t"/>
                <v:fill type="solid"/>
              </v:shape>
            </v:group>
            <v:group style="position:absolute;left:2195;top:9503;width:7806;height:5520" coordorigin="2195,9503" coordsize="7806,5520">
              <v:shape style="position:absolute;left:2195;top:9503;width:7806;height:5520" coordorigin="2195,9503" coordsize="7806,5520" path="m2195,15023l10000,15023,10000,9503,2195,9503,2195,15023xe" filled="true" fillcolor="#ffffff" stroked="false">
                <v:path arrowok="t"/>
                <v:fill type="solid"/>
              </v:shape>
              <v:shape style="position:absolute;left:2907;top:9583;width:5688;height:5284" type="#_x0000_t75" stroked="false">
                <v:imagedata r:id="rId103" o:title=""/>
              </v:shape>
              <v:shape style="position:absolute;left:10324;top:11737;width:246;height:246" type="#_x0000_t75" stroked="false">
                <v:imagedata r:id="rId104" o:title=""/>
              </v:shape>
              <v:shape style="position:absolute;left:5122;top:13193;width:156;height:156" type="#_x0000_t75" stroked="false">
                <v:imagedata r:id="rId105" o:title=""/>
              </v:shape>
              <v:shape style="position:absolute;left:9304;top:13623;width:144;height:144" type="#_x0000_t75" stroked="false">
                <v:imagedata r:id="rId106" o:title=""/>
              </v:shape>
              <v:shape style="position:absolute;left:11145;top:9601;width:144;height:144" type="#_x0000_t75" stroked="false">
                <v:imagedata r:id="rId107" o:title=""/>
              </v:shape>
            </v:group>
            <v:group style="position:absolute;left:11021;top:12277;width:443;height:443" coordorigin="11021,12277" coordsize="443,443">
              <v:shape style="position:absolute;left:11021;top:12277;width:443;height:443" coordorigin="11021,12277" coordsize="443,443" path="m11215,12277l11150,12295,11092,12333,11048,12389,11023,12456,11021,12525,11040,12590,11078,12648,11134,12692,11201,12717,11269,12719,11335,12700,11392,12663,11437,12607,11461,12540,11463,12471,11445,12405,11407,12348,11351,12304,11284,12279,11215,12277xe" filled="true" fillcolor="#9c8758" stroked="false">
                <v:path arrowok="t"/>
                <v:fill type="solid"/>
              </v:shape>
              <v:shape style="position:absolute;left:10003;top:10510;width:351;height:351" type="#_x0000_t75" stroked="false">
                <v:imagedata r:id="rId108" o:title=""/>
              </v:shape>
              <v:shape style="position:absolute;left:7986;top:13989;width:373;height:373" type="#_x0000_t75" stroked="false">
                <v:imagedata r:id="rId109" o:title=""/>
              </v:shape>
              <v:shape style="position:absolute;left:5732;top:12320;width:369;height:369" type="#_x0000_t75" stroked="false">
                <v:imagedata r:id="rId110" o:title=""/>
              </v:shape>
              <v:shape style="position:absolute;left:8933;top:11193;width:338;height:338" type="#_x0000_t75" stroked="false">
                <v:imagedata r:id="rId111" o:title=""/>
              </v:shape>
            </v:group>
            <v:group style="position:absolute;left:8659;top:11322;width:411;height:411" coordorigin="8659,11322" coordsize="411,411">
              <v:shape style="position:absolute;left:8659;top:11322;width:411;height:411" coordorigin="8659,11322" coordsize="411,411" path="m8833,11322l8772,11341,8718,11380,8679,11434,8659,11495,8659,11558,8678,11619,8717,11673,8771,11712,8832,11732,8895,11732,8957,11713,9011,11674,9050,11620,9069,11559,9069,11496,9050,11434,9011,11380,8957,11341,8896,11322,8833,11322xe" filled="true" fillcolor="#ffffff" stroked="false">
                <v:path arrowok="t"/>
                <v:fill type="solid"/>
              </v:shape>
              <v:shape style="position:absolute;left:2645;top:14618;width:246;height:246" type="#_x0000_t75" stroked="false">
                <v:imagedata r:id="rId112" o:title=""/>
              </v:shape>
            </v:group>
            <v:group style="position:absolute;left:6318;top:9664;width:443;height:443" coordorigin="6318,9664" coordsize="443,443">
              <v:shape style="position:absolute;left:6318;top:9664;width:443;height:443" coordorigin="6318,9664" coordsize="443,443" path="m6512,9664l6446,9683,6389,9720,6344,9776,6320,9843,6318,9912,6336,9978,6374,10035,6430,10079,6497,10104,6566,10106,6631,10088,6689,10050,6733,9994,6757,9927,6760,9858,6741,9792,6703,9735,6647,9691,6580,9666,6512,9664xe" filled="true" fillcolor="#9c8758" stroked="false">
                <v:path arrowok="t"/>
                <v:fill type="solid"/>
              </v:shape>
              <v:shape style="position:absolute;left:8794;top:9628;width:351;height:351" type="#_x0000_t75" stroked="false">
                <v:imagedata r:id="rId113" o:title=""/>
              </v:shape>
              <v:shape style="position:absolute;left:4969;top:10667;width:145;height:145" type="#_x0000_t75" stroked="false">
                <v:imagedata r:id="rId114" o:title=""/>
              </v:shape>
              <v:shape style="position:absolute;left:3026;top:9308;width:145;height:145" type="#_x0000_t75" stroked="false">
                <v:imagedata r:id="rId114" o:title=""/>
              </v:shape>
              <v:shape style="position:absolute;left:5703;top:14366;width:375;height:375" type="#_x0000_t75" stroked="false">
                <v:imagedata r:id="rId115" o:title=""/>
              </v:shape>
              <v:shape style="position:absolute;left:8134;top:10260;width:355;height:355" type="#_x0000_t75" stroked="false">
                <v:imagedata r:id="rId116" o:title=""/>
              </v:shape>
              <v:shape style="position:absolute;left:2444;top:12144;width:332;height:332" type="#_x0000_t75" stroked="false">
                <v:imagedata r:id="rId117" o:title=""/>
              </v:shape>
            </v:group>
            <v:group style="position:absolute;left:2664;top:12160;width:411;height:411" coordorigin="2664,12160" coordsize="411,411">
              <v:shape style="position:absolute;left:2664;top:12160;width:411;height:411" coordorigin="2664,12160" coordsize="411,411" path="m2840,12160l2779,12179,2727,12215,2688,12266,2666,12328,2664,12395,2683,12456,2719,12508,2770,12547,2833,12569,2899,12571,2961,12552,3013,12516,3052,12465,3074,12402,3075,12336,3056,12275,3020,12222,2969,12183,2907,12161,2840,12160xe" filled="true" fillcolor="#ffffff" stroked="false">
                <v:path arrowok="t"/>
                <v:fill type="solid"/>
              </v:shape>
            </v:group>
            <v:group style="position:absolute;left:5371;top:14505;width:575;height:575" coordorigin="5371,14505" coordsize="575,575">
              <v:shape style="position:absolute;left:5371;top:14505;width:575;height:575" coordorigin="5371,14505" coordsize="575,575" path="m5679,14505l5604,14510,5534,14533,5472,14572,5422,14628,5387,14696,5371,14772,5375,14846,5398,14916,5438,14978,5493,15028,5562,15064,5637,15080,5712,15075,5782,15052,5844,15012,5894,14957,5929,14889,5945,14813,5941,14739,5918,14669,5878,14607,5823,14556,5754,14521,5679,14505xe" filled="true" fillcolor="#ffffff" stroked="false">
                <v:path arrowok="t"/>
                <v:fill type="solid"/>
              </v:shape>
            </v:group>
            <v:group style="position:absolute;left:1940;top:13609;width:563;height:563" coordorigin="1940,13609" coordsize="563,563">
              <v:shape style="position:absolute;left:1940;top:13609;width:563;height:563" coordorigin="1940,13609" coordsize="563,563" path="m2196,13609l2122,13626,2057,13661,2004,13710,1966,13771,1943,13840,1940,13916,1957,13990,1991,14054,2040,14107,2101,14146,2171,14168,2247,14172,2321,14155,2385,14120,2438,14071,2477,14010,2499,13941,2502,13865,2485,13791,2451,13727,2402,13674,2341,13635,2271,13613,2196,13609xe" filled="true" fillcolor="#9c8758" stroked="false">
                <v:path arrowok="t"/>
                <v:fill type="solid"/>
              </v:shape>
            </v:group>
            <v:group style="position:absolute;left:9036;top:9003;width:1105;height:1105" coordorigin="9036,9003" coordsize="1105,1105">
              <v:shape style="position:absolute;left:9036;top:9003;width:1105;height:1105" coordorigin="9036,9003" coordsize="1105,1105" path="m9613,9003l9538,9005,9464,9017,9394,9038,9328,9068,9267,9105,9212,9150,9164,9202,9122,9259,9088,9321,9061,9387,9044,9457,9036,9530,9038,9606,9050,9680,9071,9750,9100,9816,9138,9877,9183,9931,9234,9980,9291,10022,9353,10056,9420,10082,9490,10100,9563,10108,9638,10106,9712,10094,9783,10073,9848,10043,9909,10006,9964,9961,10013,9909,10054,9852,10089,9790,10115,9724,10132,9654,10140,9581,10139,9506,10127,9431,10106,9361,10076,9295,10038,9235,9993,9180,9942,9131,9885,9089,9823,9055,9756,9029,9686,9011,9613,9003xe" filled="true" fillcolor="#ffffff" stroked="false">
                <v:path arrowok="t"/>
                <v:fill type="solid"/>
              </v:shape>
              <v:shape style="position:absolute;left:5467;top:13982;width:337;height:337" type="#_x0000_t75" stroked="false">
                <v:imagedata r:id="rId118" o:title=""/>
              </v:shape>
              <v:shape style="position:absolute;left:4222;top:8701;width:387;height:387" type="#_x0000_t75" stroked="false">
                <v:imagedata r:id="rId119" o:title=""/>
              </v:shape>
              <v:shape style="position:absolute;left:2378;top:9211;width:290;height:290" type="#_x0000_t75" stroked="false">
                <v:imagedata r:id="rId120" o:title=""/>
              </v:shape>
            </v:group>
            <v:group style="position:absolute;left:2074;top:9009;width:445;height:445" coordorigin="2074,9009" coordsize="445,445">
              <v:shape style="position:absolute;left:2074;top:9009;width:445;height:445" coordorigin="2074,9009" coordsize="445,445" path="m2312,9009l2241,9016,2177,9043,2126,9088,2090,9146,2074,9216,2080,9287,2108,9350,2152,9402,2211,9438,2281,9454,2352,9447,2415,9420,2466,9375,2502,9317,2518,9247,2512,9176,2485,9113,2440,9061,2381,9026,2312,9009xe" filled="true" fillcolor="#fffff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spacing w:before="30"/>
        <w:ind w:left="377" w:right="95" w:firstLine="0"/>
        <w:jc w:val="left"/>
        <w:rPr>
          <w:rFonts w:ascii="宋体" w:hAnsi="宋体" w:cs="宋体" w:eastAsia="宋体" w:hint="default"/>
          <w:sz w:val="17"/>
          <w:szCs w:val="17"/>
        </w:rPr>
      </w:pPr>
      <w:r>
        <w:rPr>
          <w:rFonts w:ascii="宋体" w:hAnsi="宋体" w:cs="宋体" w:eastAsia="宋体" w:hint="default"/>
          <w:sz w:val="17"/>
          <w:szCs w:val="17"/>
        </w:rPr>
        <w:t>（六）未来展望</w:t>
      </w:r>
    </w:p>
    <w:p>
      <w:pPr>
        <w:spacing w:line="240" w:lineRule="auto" w:before="11"/>
        <w:rPr>
          <w:rFonts w:ascii="宋体" w:hAnsi="宋体" w:cs="宋体" w:eastAsia="宋体" w:hint="default"/>
          <w:sz w:val="12"/>
          <w:szCs w:val="12"/>
        </w:rPr>
      </w:pPr>
    </w:p>
    <w:p>
      <w:pPr>
        <w:pStyle w:val="BodyText"/>
        <w:spacing w:line="285" w:lineRule="auto"/>
        <w:ind w:left="774" w:right="95"/>
        <w:jc w:val="left"/>
        <w:rPr>
          <w:rFonts w:ascii="宋体" w:hAnsi="宋体" w:cs="宋体" w:eastAsia="宋体" w:hint="default"/>
        </w:rPr>
      </w:pPr>
      <w:r>
        <w:rPr>
          <w:rFonts w:ascii="宋体" w:hAnsi="宋体" w:cs="宋体" w:eastAsia="宋体" w:hint="default"/>
        </w:rPr>
        <w:t>当前，我国经济发展进入新时代，信息通信新技术加速升级迭代，全球运营商加快网络升级与业务转型，行业发</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spacing w:val="-1"/>
        </w:rPr>
        <w:t>展仍具大有可为的广阔空间。混合所有制改革为公司建立差异化优势赋能，为公司发展带来宝贵发展机遇。同时，</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公司也面临着传统业务下滑、市场竞争以及落实提速降费等政策带来的挑战，促使公司要进一步深化互联网化转</w:t>
      </w:r>
      <w:r>
        <w:rPr>
          <w:rFonts w:ascii="宋体" w:hAnsi="宋体" w:cs="宋体" w:eastAsia="宋体" w:hint="default"/>
          <w:spacing w:val="-44"/>
        </w:rPr>
        <w:t> </w:t>
      </w:r>
      <w:r>
        <w:rPr>
          <w:rFonts w:ascii="宋体" w:hAnsi="宋体" w:cs="宋体" w:eastAsia="宋体" w:hint="default"/>
          <w:spacing w:val="-44"/>
        </w:rPr>
      </w:r>
      <w:r>
        <w:rPr>
          <w:rFonts w:ascii="宋体" w:hAnsi="宋体" w:cs="宋体" w:eastAsia="宋体" w:hint="default"/>
        </w:rPr>
        <w:t>型，加快高质量发展步伐。</w:t>
      </w:r>
    </w:p>
    <w:p>
      <w:pPr>
        <w:pStyle w:val="BodyText"/>
        <w:spacing w:line="285" w:lineRule="auto" w:before="123"/>
        <w:ind w:left="758" w:right="188" w:firstLine="15"/>
        <w:jc w:val="both"/>
        <w:rPr>
          <w:rFonts w:ascii="宋体" w:hAnsi="宋体" w:cs="宋体" w:eastAsia="宋体" w:hint="default"/>
        </w:rPr>
      </w:pPr>
      <w:r>
        <w:rPr>
          <w:rFonts w:ascii="宋体" w:hAnsi="宋体" w:cs="宋体" w:eastAsia="宋体" w:hint="default"/>
        </w:rPr>
        <w:t>展望未来，公司将抢抓机遇、直面挑战，践行新发展理念，深化实施聚焦创新合作战略，纵深推进混合所有制改</w:t>
      </w:r>
      <w:r>
        <w:rPr>
          <w:rFonts w:ascii="宋体" w:hAnsi="宋体" w:cs="宋体" w:eastAsia="宋体" w:hint="default"/>
          <w:spacing w:val="-62"/>
        </w:rPr>
        <w:t> </w:t>
      </w:r>
      <w:r>
        <w:rPr>
          <w:rFonts w:ascii="宋体" w:hAnsi="宋体" w:cs="宋体" w:eastAsia="宋体" w:hint="default"/>
          <w:spacing w:val="-62"/>
        </w:rPr>
      </w:r>
      <w:r>
        <w:rPr>
          <w:rFonts w:ascii="宋体" w:hAnsi="宋体" w:cs="宋体" w:eastAsia="宋体" w:hint="default"/>
        </w:rPr>
        <w:t>革，以新治理释放更多制度红利、新基因迸发更大内在活力、新运营实现更高效率效益、新动能拓展更广发展蓝</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海、新生态汇聚更多协同优势，奋力开创“五新”联通建设和高质量发展的新局面。公司将坚定不移实施互联网</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化运营转型，稳定基础业务，规模提升创新业务，驱动整体业务持续增长。精准高效建设精品网络，积极布局备</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战</w:t>
      </w:r>
      <w:r>
        <w:rPr>
          <w:rFonts w:ascii="宋体" w:hAnsi="宋体" w:cs="宋体" w:eastAsia="宋体" w:hint="default"/>
          <w:spacing w:val="-56"/>
        </w:rPr>
        <w:t> </w:t>
      </w:r>
      <w:r>
        <w:rPr>
          <w:rFonts w:ascii="宋体" w:hAnsi="宋体" w:cs="宋体" w:eastAsia="宋体" w:hint="default"/>
          <w:spacing w:val="-1"/>
          <w:w w:val="107"/>
        </w:rPr>
        <w:t>5G、持续完善</w:t>
      </w:r>
      <w:r>
        <w:rPr>
          <w:rFonts w:ascii="宋体" w:hAnsi="宋体" w:cs="宋体" w:eastAsia="宋体" w:hint="default"/>
          <w:spacing w:val="-64"/>
          <w:w w:val="107"/>
        </w:rPr>
        <w:t> </w:t>
      </w:r>
      <w:r>
        <w:rPr>
          <w:rFonts w:ascii="宋体" w:hAnsi="宋体" w:cs="宋体" w:eastAsia="宋体" w:hint="default"/>
          <w:spacing w:val="-1"/>
          <w:w w:val="110"/>
        </w:rPr>
        <w:t>4G、简化</w:t>
      </w:r>
      <w:r>
        <w:rPr>
          <w:rFonts w:ascii="宋体" w:hAnsi="宋体" w:cs="宋体" w:eastAsia="宋体" w:hint="default"/>
          <w:spacing w:val="-66"/>
          <w:w w:val="110"/>
        </w:rPr>
        <w:t> </w:t>
      </w:r>
      <w:r>
        <w:rPr>
          <w:rFonts w:ascii="宋体" w:hAnsi="宋体" w:cs="宋体" w:eastAsia="宋体" w:hint="default"/>
          <w:spacing w:val="-1"/>
          <w:w w:val="112"/>
        </w:rPr>
        <w:t>2G/3G</w:t>
      </w:r>
      <w:r>
        <w:rPr>
          <w:rFonts w:ascii="宋体" w:hAnsi="宋体" w:cs="宋体" w:eastAsia="宋体" w:hint="default"/>
          <w:spacing w:val="-68"/>
          <w:w w:val="112"/>
        </w:rPr>
        <w:t> </w:t>
      </w:r>
      <w:r>
        <w:rPr>
          <w:rFonts w:ascii="宋体" w:hAnsi="宋体" w:cs="宋体" w:eastAsia="宋体" w:hint="default"/>
        </w:rPr>
        <w:t>网络，为业务发展提供坚实保障。纵深推进组织机构、人力资源、划小承包、</w:t>
      </w:r>
      <w:r>
        <w:rPr>
          <w:rFonts w:ascii="宋体" w:hAnsi="宋体" w:cs="宋体" w:eastAsia="宋体" w:hint="default"/>
        </w:rPr>
        <w:t> 子企业混改等各领域的创新变革，在破解体制机制障碍、激发微观主体活力方面攻坚克难，壮大发展内生动力。</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持续强化基础管理和风险管控，推进降本增效，不断提升企业运营效益和竞争实力，为全体股东创造更大价值。</w:t>
      </w:r>
    </w:p>
    <w:p>
      <w:pPr>
        <w:spacing w:line="240" w:lineRule="auto" w:before="0"/>
        <w:rPr>
          <w:rFonts w:ascii="宋体" w:hAnsi="宋体" w:cs="宋体" w:eastAsia="宋体" w:hint="default"/>
          <w:sz w:val="18"/>
          <w:szCs w:val="18"/>
        </w:rPr>
      </w:pPr>
    </w:p>
    <w:p>
      <w:pPr>
        <w:spacing w:line="240" w:lineRule="auto" w:before="4"/>
        <w:rPr>
          <w:rFonts w:ascii="宋体" w:hAnsi="宋体" w:cs="宋体" w:eastAsia="宋体" w:hint="default"/>
          <w:sz w:val="13"/>
          <w:szCs w:val="13"/>
        </w:rPr>
      </w:pPr>
    </w:p>
    <w:p>
      <w:pPr>
        <w:spacing w:line="321" w:lineRule="auto" w:before="0"/>
        <w:ind w:left="758" w:right="95" w:firstLine="0"/>
        <w:jc w:val="left"/>
        <w:rPr>
          <w:rFonts w:ascii="宋体" w:hAnsi="宋体" w:cs="宋体" w:eastAsia="宋体" w:hint="default"/>
          <w:sz w:val="16"/>
          <w:szCs w:val="16"/>
        </w:rPr>
      </w:pPr>
      <w:r>
        <w:rPr>
          <w:rFonts w:ascii="宋体" w:hAnsi="宋体" w:cs="宋体" w:eastAsia="宋体" w:hint="default"/>
          <w:w w:val="99"/>
          <w:sz w:val="16"/>
          <w:szCs w:val="16"/>
        </w:rPr>
        <w:t>注</w:t>
      </w:r>
      <w:r>
        <w:rPr>
          <w:rFonts w:ascii="宋体" w:hAnsi="宋体" w:cs="宋体" w:eastAsia="宋体" w:hint="default"/>
          <w:spacing w:val="-43"/>
          <w:w w:val="99"/>
          <w:sz w:val="16"/>
          <w:szCs w:val="16"/>
        </w:rPr>
        <w:t> </w:t>
      </w:r>
      <w:r>
        <w:rPr>
          <w:rFonts w:ascii="宋体" w:hAnsi="宋体" w:cs="宋体" w:eastAsia="宋体" w:hint="default"/>
          <w:spacing w:val="-1"/>
          <w:w w:val="113"/>
          <w:sz w:val="16"/>
          <w:szCs w:val="16"/>
        </w:rPr>
        <w:t>1：EBITDA</w:t>
      </w:r>
      <w:r>
        <w:rPr>
          <w:rFonts w:ascii="宋体" w:hAnsi="宋体" w:cs="宋体" w:eastAsia="宋体" w:hint="default"/>
          <w:spacing w:val="-54"/>
          <w:w w:val="113"/>
          <w:sz w:val="16"/>
          <w:szCs w:val="16"/>
        </w:rPr>
        <w:t> </w:t>
      </w:r>
      <w:r>
        <w:rPr>
          <w:rFonts w:ascii="宋体" w:hAnsi="宋体" w:cs="宋体" w:eastAsia="宋体" w:hint="default"/>
          <w:sz w:val="16"/>
          <w:szCs w:val="16"/>
        </w:rPr>
        <w:t>反映了加回财务费用、所得税、营业成本及管理费用中的折旧及摊销以及减去投资收益、公允价值变动净收益、</w:t>
      </w:r>
      <w:r>
        <w:rPr>
          <w:rFonts w:ascii="宋体" w:hAnsi="宋体" w:cs="宋体" w:eastAsia="宋体" w:hint="default"/>
          <w:sz w:val="16"/>
          <w:szCs w:val="16"/>
        </w:rPr>
        <w:t> 其他收益、营业外净收入的净利润。</w:t>
      </w:r>
    </w:p>
    <w:p>
      <w:pPr>
        <w:spacing w:before="129"/>
        <w:ind w:left="758" w:right="95" w:firstLine="0"/>
        <w:jc w:val="left"/>
        <w:rPr>
          <w:rFonts w:ascii="宋体" w:hAnsi="宋体" w:cs="宋体" w:eastAsia="宋体" w:hint="default"/>
          <w:sz w:val="16"/>
          <w:szCs w:val="16"/>
        </w:rPr>
      </w:pPr>
      <w:r>
        <w:rPr>
          <w:rFonts w:ascii="宋体" w:hAnsi="宋体" w:cs="宋体" w:eastAsia="宋体" w:hint="default"/>
          <w:sz w:val="16"/>
          <w:szCs w:val="16"/>
        </w:rPr>
        <w:t>注</w:t>
      </w:r>
      <w:r>
        <w:rPr>
          <w:rFonts w:ascii="宋体" w:hAnsi="宋体" w:cs="宋体" w:eastAsia="宋体" w:hint="default"/>
          <w:spacing w:val="-31"/>
          <w:sz w:val="16"/>
          <w:szCs w:val="16"/>
        </w:rPr>
        <w:t> </w:t>
      </w:r>
      <w:r>
        <w:rPr>
          <w:rFonts w:ascii="宋体" w:hAnsi="宋体" w:cs="宋体" w:eastAsia="宋体" w:hint="default"/>
          <w:sz w:val="16"/>
          <w:szCs w:val="16"/>
        </w:rPr>
        <w:t>2：于</w:t>
      </w:r>
      <w:r>
        <w:rPr>
          <w:rFonts w:ascii="宋体" w:hAnsi="宋体" w:cs="宋体" w:eastAsia="宋体" w:hint="default"/>
          <w:spacing w:val="-31"/>
          <w:sz w:val="16"/>
          <w:szCs w:val="16"/>
        </w:rPr>
        <w:t> </w:t>
      </w:r>
      <w:r>
        <w:rPr>
          <w:rFonts w:ascii="宋体" w:hAnsi="宋体" w:cs="宋体" w:eastAsia="宋体" w:hint="default"/>
          <w:sz w:val="16"/>
          <w:szCs w:val="16"/>
        </w:rPr>
        <w:t>2018</w:t>
      </w:r>
      <w:r>
        <w:rPr>
          <w:rFonts w:ascii="宋体" w:hAnsi="宋体" w:cs="宋体" w:eastAsia="宋体" w:hint="default"/>
          <w:spacing w:val="-31"/>
          <w:sz w:val="16"/>
          <w:szCs w:val="16"/>
        </w:rPr>
        <w:t> </w:t>
      </w:r>
      <w:r>
        <w:rPr>
          <w:rFonts w:ascii="宋体" w:hAnsi="宋体" w:cs="宋体" w:eastAsia="宋体" w:hint="default"/>
          <w:sz w:val="16"/>
          <w:szCs w:val="16"/>
        </w:rPr>
        <w:t>年</w:t>
      </w:r>
      <w:r>
        <w:rPr>
          <w:rFonts w:ascii="宋体" w:hAnsi="宋体" w:cs="宋体" w:eastAsia="宋体" w:hint="default"/>
          <w:spacing w:val="-31"/>
          <w:sz w:val="16"/>
          <w:szCs w:val="16"/>
        </w:rPr>
        <w:t> </w:t>
      </w:r>
      <w:r>
        <w:rPr>
          <w:rFonts w:ascii="宋体" w:hAnsi="宋体" w:cs="宋体" w:eastAsia="宋体" w:hint="default"/>
          <w:sz w:val="16"/>
          <w:szCs w:val="16"/>
        </w:rPr>
        <w:t>8</w:t>
      </w:r>
      <w:r>
        <w:rPr>
          <w:rFonts w:ascii="宋体" w:hAnsi="宋体" w:cs="宋体" w:eastAsia="宋体" w:hint="default"/>
          <w:spacing w:val="-31"/>
          <w:sz w:val="16"/>
          <w:szCs w:val="16"/>
        </w:rPr>
        <w:t> </w:t>
      </w:r>
      <w:r>
        <w:rPr>
          <w:rFonts w:ascii="宋体" w:hAnsi="宋体" w:cs="宋体" w:eastAsia="宋体" w:hint="default"/>
          <w:sz w:val="16"/>
          <w:szCs w:val="16"/>
        </w:rPr>
        <w:t>月，公司联营公司中国铁塔股份有限公司（中国铁塔）在香港联交所上市并发行新股，导致公司对中国铁塔</w:t>
      </w:r>
    </w:p>
    <w:p>
      <w:pPr>
        <w:spacing w:line="321" w:lineRule="auto" w:before="70"/>
        <w:ind w:left="758" w:right="95" w:firstLine="0"/>
        <w:jc w:val="left"/>
        <w:rPr>
          <w:rFonts w:ascii="宋体" w:hAnsi="宋体" w:cs="宋体" w:eastAsia="宋体" w:hint="default"/>
          <w:sz w:val="16"/>
          <w:szCs w:val="16"/>
        </w:rPr>
      </w:pPr>
      <w:r>
        <w:rPr>
          <w:rFonts w:ascii="宋体" w:hAnsi="宋体" w:cs="宋体" w:eastAsia="宋体" w:hint="default"/>
          <w:w w:val="99"/>
          <w:sz w:val="16"/>
          <w:szCs w:val="16"/>
        </w:rPr>
        <w:t>的持股比例变化，使应占联营公司权益金额增加人民币</w:t>
      </w:r>
      <w:r>
        <w:rPr>
          <w:rFonts w:ascii="宋体" w:hAnsi="宋体" w:cs="宋体" w:eastAsia="宋体" w:hint="default"/>
          <w:spacing w:val="-34"/>
          <w:w w:val="99"/>
          <w:sz w:val="16"/>
          <w:szCs w:val="16"/>
        </w:rPr>
        <w:t> </w:t>
      </w:r>
      <w:r>
        <w:rPr>
          <w:rFonts w:ascii="宋体" w:hAnsi="宋体" w:cs="宋体" w:eastAsia="宋体" w:hint="default"/>
          <w:spacing w:val="-1"/>
          <w:w w:val="99"/>
          <w:sz w:val="16"/>
          <w:szCs w:val="16"/>
        </w:rPr>
        <w:t>14.74</w:t>
      </w:r>
      <w:r>
        <w:rPr>
          <w:rFonts w:ascii="宋体" w:hAnsi="宋体" w:cs="宋体" w:eastAsia="宋体" w:hint="default"/>
          <w:spacing w:val="-34"/>
          <w:w w:val="99"/>
          <w:sz w:val="16"/>
          <w:szCs w:val="16"/>
        </w:rPr>
        <w:t> </w:t>
      </w:r>
      <w:r>
        <w:rPr>
          <w:rFonts w:ascii="宋体" w:hAnsi="宋体" w:cs="宋体" w:eastAsia="宋体" w:hint="default"/>
          <w:sz w:val="16"/>
          <w:szCs w:val="16"/>
        </w:rPr>
        <w:t>亿元，其中人民币</w:t>
      </w:r>
      <w:r>
        <w:rPr>
          <w:rFonts w:ascii="宋体" w:hAnsi="宋体" w:cs="宋体" w:eastAsia="宋体" w:hint="default"/>
          <w:spacing w:val="-34"/>
          <w:sz w:val="16"/>
          <w:szCs w:val="16"/>
        </w:rPr>
        <w:t> </w:t>
      </w:r>
      <w:r>
        <w:rPr>
          <w:rFonts w:ascii="宋体" w:hAnsi="宋体" w:cs="宋体" w:eastAsia="宋体" w:hint="default"/>
          <w:spacing w:val="-1"/>
          <w:w w:val="97"/>
          <w:sz w:val="16"/>
          <w:szCs w:val="16"/>
        </w:rPr>
        <w:t>6.82</w:t>
      </w:r>
      <w:r>
        <w:rPr>
          <w:rFonts w:ascii="宋体" w:hAnsi="宋体" w:cs="宋体" w:eastAsia="宋体" w:hint="default"/>
          <w:spacing w:val="-32"/>
          <w:w w:val="97"/>
          <w:sz w:val="16"/>
          <w:szCs w:val="16"/>
        </w:rPr>
        <w:t> </w:t>
      </w:r>
      <w:r>
        <w:rPr>
          <w:rFonts w:ascii="宋体" w:hAnsi="宋体" w:cs="宋体" w:eastAsia="宋体" w:hint="default"/>
          <w:sz w:val="16"/>
          <w:szCs w:val="16"/>
        </w:rPr>
        <w:t>亿元计入投资收益并包含公司</w:t>
      </w:r>
      <w:r>
        <w:rPr>
          <w:rFonts w:ascii="宋体" w:hAnsi="宋体" w:cs="宋体" w:eastAsia="宋体" w:hint="default"/>
          <w:spacing w:val="-34"/>
          <w:sz w:val="16"/>
          <w:szCs w:val="16"/>
        </w:rPr>
        <w:t> </w:t>
      </w:r>
      <w:r>
        <w:rPr>
          <w:rFonts w:ascii="宋体" w:hAnsi="宋体" w:cs="宋体" w:eastAsia="宋体" w:hint="default"/>
          <w:spacing w:val="-1"/>
          <w:w w:val="110"/>
          <w:sz w:val="16"/>
          <w:szCs w:val="16"/>
        </w:rPr>
        <w:t>2018</w:t>
      </w:r>
      <w:r>
        <w:rPr>
          <w:rFonts w:ascii="宋体" w:hAnsi="宋体" w:cs="宋体" w:eastAsia="宋体" w:hint="default"/>
          <w:spacing w:val="-43"/>
          <w:w w:val="110"/>
          <w:sz w:val="16"/>
          <w:szCs w:val="16"/>
        </w:rPr>
        <w:t> </w:t>
      </w:r>
      <w:r>
        <w:rPr>
          <w:rFonts w:ascii="宋体" w:hAnsi="宋体" w:cs="宋体" w:eastAsia="宋体" w:hint="default"/>
          <w:spacing w:val="1"/>
          <w:sz w:val="16"/>
          <w:szCs w:val="16"/>
        </w:rPr>
        <w:t>年利</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润总额中。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8"/>
          <w:szCs w:val="28"/>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27</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101"/>
          <w:footerReference w:type="default" r:id="rId102"/>
          <w:pgSz w:w="11910" w:h="16160"/>
          <w:pgMar w:header="0" w:footer="0" w:top="1520" w:bottom="0" w:left="1380" w:right="660"/>
        </w:sectPr>
      </w:pPr>
    </w:p>
    <w:p>
      <w:pPr>
        <w:pStyle w:val="BodyText"/>
        <w:spacing w:line="640" w:lineRule="atLeast" w:before="114"/>
        <w:ind w:left="499" w:right="8876" w:hanging="350"/>
        <w:jc w:val="left"/>
        <w:rPr>
          <w:rFonts w:ascii="宋体" w:hAnsi="宋体" w:cs="宋体" w:eastAsia="宋体" w:hint="default"/>
        </w:rPr>
      </w:pPr>
      <w:r>
        <w:rPr>
          <w:rFonts w:ascii="宋体" w:hAnsi="宋体" w:cs="宋体" w:eastAsia="宋体" w:hint="default"/>
          <w:color w:val="D7000F"/>
        </w:rPr>
        <w:t>二、报告期内主要经营情况 </w:t>
      </w:r>
      <w:r>
        <w:rPr>
          <w:rFonts w:ascii="宋体" w:hAnsi="宋体" w:cs="宋体" w:eastAsia="宋体" w:hint="default"/>
        </w:rPr>
        <w:t>第一部分：业务回顾</w:t>
      </w:r>
    </w:p>
    <w:p>
      <w:pPr>
        <w:spacing w:line="240" w:lineRule="auto" w:before="12"/>
        <w:rPr>
          <w:rFonts w:ascii="宋体" w:hAnsi="宋体" w:cs="宋体" w:eastAsia="宋体" w:hint="default"/>
          <w:sz w:val="17"/>
          <w:szCs w:val="17"/>
        </w:rPr>
      </w:pPr>
    </w:p>
    <w:p>
      <w:pPr>
        <w:pStyle w:val="BodyText"/>
        <w:spacing w:line="240" w:lineRule="auto"/>
        <w:ind w:left="490" w:right="1314"/>
        <w:jc w:val="left"/>
        <w:rPr>
          <w:rFonts w:ascii="宋体" w:hAnsi="宋体" w:cs="宋体" w:eastAsia="宋体" w:hint="default"/>
        </w:rPr>
      </w:pPr>
      <w:r>
        <w:rPr>
          <w:rFonts w:ascii="宋体" w:hAnsi="宋体" w:cs="宋体" w:eastAsia="宋体" w:hint="default"/>
          <w:color w:val="D7000F"/>
          <w:w w:val="95"/>
        </w:rPr>
        <w:t>1.</w:t>
      </w:r>
      <w:r>
        <w:rPr>
          <w:rFonts w:ascii="宋体" w:hAnsi="宋体" w:cs="宋体" w:eastAsia="宋体" w:hint="default"/>
          <w:color w:val="D7000F"/>
          <w:spacing w:val="-26"/>
          <w:w w:val="95"/>
        </w:rPr>
        <w:t> </w:t>
      </w:r>
      <w:r>
        <w:rPr>
          <w:rFonts w:ascii="宋体" w:hAnsi="宋体" w:cs="宋体" w:eastAsia="宋体" w:hint="default"/>
          <w:color w:val="D7000F"/>
          <w:w w:val="95"/>
        </w:rPr>
        <w:t>移动业务</w:t>
      </w:r>
      <w:r>
        <w:rPr>
          <w:rFonts w:ascii="宋体" w:hAnsi="宋体" w:cs="宋体" w:eastAsia="宋体" w:hint="default"/>
          <w:w w:val="95"/>
        </w:rPr>
      </w:r>
    </w:p>
    <w:p>
      <w:pPr>
        <w:pStyle w:val="BodyText"/>
        <w:spacing w:line="285" w:lineRule="auto" w:before="157"/>
        <w:ind w:left="717" w:right="1325"/>
        <w:jc w:val="left"/>
        <w:rPr>
          <w:rFonts w:ascii="宋体" w:hAnsi="宋体" w:cs="宋体" w:eastAsia="宋体" w:hint="default"/>
        </w:rPr>
      </w:pPr>
      <w:r>
        <w:rPr>
          <w:rFonts w:ascii="宋体" w:hAnsi="宋体" w:cs="宋体" w:eastAsia="宋体" w:hint="default"/>
        </w:rPr>
        <w:t>2018 </w:t>
      </w:r>
      <w:r>
        <w:rPr>
          <w:rFonts w:ascii="宋体" w:hAnsi="宋体" w:cs="宋体" w:eastAsia="宋体" w:hint="default"/>
          <w:spacing w:val="-3"/>
        </w:rPr>
        <w:t>年中国联通深化互联网化转型，积极打造“五新”联通，开创发展新局面。全面打造线上线下一体化渠道体系，</w:t>
      </w:r>
      <w:r>
        <w:rPr>
          <w:rFonts w:ascii="宋体" w:hAnsi="宋体" w:cs="宋体" w:eastAsia="宋体" w:hint="default"/>
          <w:spacing w:val="-55"/>
        </w:rPr>
        <w:t> </w:t>
      </w:r>
      <w:r>
        <w:rPr>
          <w:rFonts w:ascii="宋体" w:hAnsi="宋体" w:cs="宋体" w:eastAsia="宋体" w:hint="default"/>
          <w:spacing w:val="-55"/>
        </w:rPr>
      </w:r>
      <w:r>
        <w:rPr>
          <w:rFonts w:ascii="宋体" w:hAnsi="宋体" w:cs="宋体" w:eastAsia="宋体" w:hint="default"/>
        </w:rPr>
        <w:t>大力拓展异业触点，积极推进全场景划小承包，充分调动一线人员积极性，找准客户的痛点和需求创新；打造专属</w:t>
      </w:r>
      <w:r>
        <w:rPr>
          <w:rFonts w:ascii="宋体" w:hAnsi="宋体" w:cs="宋体" w:eastAsia="宋体" w:hint="default"/>
          <w:spacing w:val="-45"/>
        </w:rPr>
        <w:t> </w:t>
      </w:r>
      <w:r>
        <w:rPr>
          <w:rFonts w:ascii="宋体" w:hAnsi="宋体" w:cs="宋体" w:eastAsia="宋体" w:hint="default"/>
          <w:spacing w:val="-45"/>
        </w:rPr>
      </w:r>
      <w:r>
        <w:rPr>
          <w:rFonts w:ascii="宋体" w:hAnsi="宋体" w:cs="宋体" w:eastAsia="宋体" w:hint="default"/>
        </w:rPr>
        <w:t>的互联网化产品，持续迭代优化产品，全面推广腾讯王卡、冰激凌等重点产品，实现收入效益双提升；创新线上拓</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spacing w:val="3"/>
        </w:rPr>
        <w:t>展模式，做大做强线上营销能力，持续提升</w:t>
      </w:r>
      <w:r>
        <w:rPr>
          <w:rFonts w:ascii="宋体" w:hAnsi="宋体" w:cs="宋体" w:eastAsia="宋体" w:hint="default"/>
          <w:spacing w:val="-41"/>
        </w:rPr>
        <w:t> </w:t>
      </w:r>
      <w:r>
        <w:rPr>
          <w:rFonts w:ascii="宋体" w:hAnsi="宋体" w:cs="宋体" w:eastAsia="宋体" w:hint="default"/>
          <w:spacing w:val="-1"/>
          <w:w w:val="102"/>
        </w:rPr>
        <w:t>2I2C</w:t>
      </w:r>
      <w:r>
        <w:rPr>
          <w:rFonts w:ascii="宋体" w:hAnsi="宋体" w:cs="宋体" w:eastAsia="宋体" w:hint="default"/>
          <w:spacing w:val="-43"/>
          <w:w w:val="102"/>
        </w:rPr>
        <w:t> </w:t>
      </w:r>
      <w:r>
        <w:rPr>
          <w:rFonts w:ascii="宋体" w:hAnsi="宋体" w:cs="宋体" w:eastAsia="宋体" w:hint="default"/>
          <w:spacing w:val="3"/>
        </w:rPr>
        <w:t>业务规模；聚焦名单制客户及重点行业市场，以“信息化平台</w:t>
      </w:r>
      <w:r>
        <w:rPr>
          <w:rFonts w:ascii="宋体" w:hAnsi="宋体" w:cs="宋体" w:eastAsia="宋体" w:hint="default"/>
          <w:spacing w:val="-41"/>
        </w:rPr>
        <w:t> </w:t>
      </w:r>
      <w:r>
        <w:rPr>
          <w:rFonts w:ascii="宋体" w:hAnsi="宋体" w:cs="宋体" w:eastAsia="宋体" w:hint="default"/>
          <w:w w:val="131"/>
        </w:rPr>
        <w:t>+</w:t>
      </w:r>
      <w:r>
        <w:rPr>
          <w:rFonts w:ascii="宋体" w:hAnsi="宋体" w:cs="宋体" w:eastAsia="宋体" w:hint="default"/>
          <w:spacing w:val="-110"/>
          <w:w w:val="131"/>
        </w:rPr>
        <w:t> </w:t>
      </w:r>
      <w:r>
        <w:rPr>
          <w:rFonts w:ascii="宋体" w:hAnsi="宋体" w:cs="宋体" w:eastAsia="宋体" w:hint="default"/>
          <w:spacing w:val="-110"/>
          <w:w w:val="131"/>
        </w:rPr>
      </w:r>
      <w:r>
        <w:rPr>
          <w:rFonts w:ascii="宋体" w:hAnsi="宋体" w:cs="宋体" w:eastAsia="宋体" w:hint="default"/>
        </w:rPr>
        <w:t>应用特权”为切入点，借力互联网化营销工具，线上线下协同营销模式，提升行业客户贡献。移动出账用户全年净</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增</w:t>
      </w:r>
      <w:r>
        <w:rPr>
          <w:rFonts w:ascii="宋体" w:hAnsi="宋体" w:cs="宋体" w:eastAsia="宋体" w:hint="default"/>
          <w:spacing w:val="-45"/>
        </w:rPr>
        <w:t> </w:t>
      </w:r>
      <w:r>
        <w:rPr>
          <w:rFonts w:ascii="宋体" w:hAnsi="宋体" w:cs="宋体" w:eastAsia="宋体" w:hint="default"/>
          <w:spacing w:val="-1"/>
          <w:w w:val="99"/>
        </w:rPr>
        <w:t>3,087</w:t>
      </w:r>
      <w:r>
        <w:rPr>
          <w:rFonts w:ascii="宋体" w:hAnsi="宋体" w:cs="宋体" w:eastAsia="宋体" w:hint="default"/>
          <w:spacing w:val="-45"/>
          <w:w w:val="99"/>
        </w:rPr>
        <w:t> </w:t>
      </w:r>
      <w:r>
        <w:rPr>
          <w:rFonts w:ascii="宋体" w:hAnsi="宋体" w:cs="宋体" w:eastAsia="宋体" w:hint="default"/>
        </w:rPr>
        <w:t>万户，达到约</w:t>
      </w:r>
      <w:r>
        <w:rPr>
          <w:rFonts w:ascii="宋体" w:hAnsi="宋体" w:cs="宋体" w:eastAsia="宋体" w:hint="default"/>
          <w:spacing w:val="-45"/>
        </w:rPr>
        <w:t> </w:t>
      </w:r>
      <w:r>
        <w:rPr>
          <w:rFonts w:ascii="宋体" w:hAnsi="宋体" w:cs="宋体" w:eastAsia="宋体" w:hint="default"/>
          <w:spacing w:val="-1"/>
          <w:w w:val="92"/>
        </w:rPr>
        <w:t>3.2</w:t>
      </w:r>
      <w:r>
        <w:rPr>
          <w:rFonts w:ascii="宋体" w:hAnsi="宋体" w:cs="宋体" w:eastAsia="宋体" w:hint="default"/>
          <w:spacing w:val="-38"/>
          <w:w w:val="92"/>
        </w:rPr>
        <w:t> </w:t>
      </w:r>
      <w:r>
        <w:rPr>
          <w:rFonts w:ascii="宋体" w:hAnsi="宋体" w:cs="宋体" w:eastAsia="宋体" w:hint="default"/>
        </w:rPr>
        <w:t>亿户，移动出账用户</w:t>
      </w:r>
      <w:r>
        <w:rPr>
          <w:rFonts w:ascii="宋体" w:hAnsi="宋体" w:cs="宋体" w:eastAsia="宋体" w:hint="default"/>
          <w:spacing w:val="-45"/>
        </w:rPr>
        <w:t> </w:t>
      </w:r>
      <w:r>
        <w:rPr>
          <w:rFonts w:ascii="宋体" w:hAnsi="宋体" w:cs="宋体" w:eastAsia="宋体" w:hint="default"/>
          <w:w w:val="132"/>
        </w:rPr>
        <w:t>ARPU</w:t>
      </w:r>
      <w:r>
        <w:rPr>
          <w:rFonts w:ascii="宋体" w:hAnsi="宋体" w:cs="宋体" w:eastAsia="宋体" w:hint="default"/>
          <w:spacing w:val="-74"/>
          <w:w w:val="132"/>
        </w:rPr>
        <w:t> </w:t>
      </w:r>
      <w:r>
        <w:rPr>
          <w:rFonts w:ascii="宋体" w:hAnsi="宋体" w:cs="宋体" w:eastAsia="宋体" w:hint="default"/>
        </w:rPr>
        <w:t>为人民币</w:t>
      </w:r>
      <w:r>
        <w:rPr>
          <w:rFonts w:ascii="宋体" w:hAnsi="宋体" w:cs="宋体" w:eastAsia="宋体" w:hint="default"/>
          <w:spacing w:val="-45"/>
        </w:rPr>
        <w:t> </w:t>
      </w:r>
      <w:r>
        <w:rPr>
          <w:rFonts w:ascii="宋体" w:hAnsi="宋体" w:cs="宋体" w:eastAsia="宋体" w:hint="default"/>
          <w:spacing w:val="-1"/>
          <w:w w:val="97"/>
        </w:rPr>
        <w:t>45.7</w:t>
      </w:r>
      <w:r>
        <w:rPr>
          <w:rFonts w:ascii="宋体" w:hAnsi="宋体" w:cs="宋体" w:eastAsia="宋体" w:hint="default"/>
          <w:spacing w:val="-42"/>
          <w:w w:val="97"/>
        </w:rPr>
        <w:t> </w:t>
      </w:r>
      <w:r>
        <w:rPr>
          <w:rFonts w:ascii="宋体" w:hAnsi="宋体" w:cs="宋体" w:eastAsia="宋体" w:hint="default"/>
        </w:rPr>
        <w:t>元，移动手机数据流量全年约</w:t>
      </w:r>
      <w:r>
        <w:rPr>
          <w:rFonts w:ascii="宋体" w:hAnsi="宋体" w:cs="宋体" w:eastAsia="宋体" w:hint="default"/>
          <w:spacing w:val="-45"/>
        </w:rPr>
        <w:t> </w:t>
      </w:r>
      <w:r>
        <w:rPr>
          <w:rFonts w:ascii="宋体" w:hAnsi="宋体" w:cs="宋体" w:eastAsia="宋体" w:hint="default"/>
          <w:spacing w:val="-1"/>
          <w:w w:val="99"/>
        </w:rPr>
        <w:t>211.8</w:t>
      </w:r>
      <w:r>
        <w:rPr>
          <w:rFonts w:ascii="宋体" w:hAnsi="宋体" w:cs="宋体" w:eastAsia="宋体" w:hint="default"/>
          <w:spacing w:val="-45"/>
          <w:w w:val="99"/>
        </w:rPr>
        <w:t> </w:t>
      </w:r>
      <w:r>
        <w:rPr>
          <w:rFonts w:ascii="宋体" w:hAnsi="宋体" w:cs="宋体" w:eastAsia="宋体" w:hint="default"/>
        </w:rPr>
        <w:t>亿</w:t>
      </w:r>
      <w:r>
        <w:rPr>
          <w:rFonts w:ascii="宋体" w:hAnsi="宋体" w:cs="宋体" w:eastAsia="宋体" w:hint="default"/>
          <w:spacing w:val="-45"/>
        </w:rPr>
        <w:t> </w:t>
      </w:r>
      <w:r>
        <w:rPr>
          <w:rFonts w:ascii="宋体" w:hAnsi="宋体" w:cs="宋体" w:eastAsia="宋体" w:hint="default"/>
          <w:spacing w:val="-1"/>
          <w:w w:val="125"/>
        </w:rPr>
        <w:t>GB，</w:t>
      </w:r>
      <w:r>
        <w:rPr>
          <w:rFonts w:ascii="宋体" w:hAnsi="宋体" w:cs="宋体" w:eastAsia="宋体" w:hint="default"/>
          <w:spacing w:val="-111"/>
          <w:w w:val="125"/>
        </w:rPr>
        <w:t> </w:t>
      </w:r>
      <w:r>
        <w:rPr>
          <w:rFonts w:ascii="宋体" w:hAnsi="宋体" w:cs="宋体" w:eastAsia="宋体" w:hint="default"/>
          <w:spacing w:val="-111"/>
          <w:w w:val="125"/>
        </w:rPr>
      </w:r>
      <w:r>
        <w:rPr>
          <w:rFonts w:ascii="宋体" w:hAnsi="宋体" w:cs="宋体" w:eastAsia="宋体" w:hint="default"/>
          <w:w w:val="105"/>
        </w:rPr>
        <w:t>同比增长</w:t>
      </w:r>
      <w:r>
        <w:rPr>
          <w:rFonts w:ascii="宋体" w:hAnsi="宋体" w:cs="宋体" w:eastAsia="宋体" w:hint="default"/>
          <w:spacing w:val="7"/>
          <w:w w:val="105"/>
        </w:rPr>
        <w:t> </w:t>
      </w:r>
      <w:r>
        <w:rPr>
          <w:rFonts w:ascii="宋体" w:hAnsi="宋体" w:cs="宋体" w:eastAsia="宋体" w:hint="default"/>
          <w:w w:val="105"/>
        </w:rPr>
        <w:t>179%。</w:t>
      </w:r>
      <w:r>
        <w:rPr>
          <w:rFonts w:ascii="宋体" w:hAnsi="宋体" w:cs="宋体" w:eastAsia="宋体" w:hint="default"/>
        </w:rPr>
      </w:r>
    </w:p>
    <w:p>
      <w:pPr>
        <w:pStyle w:val="BodyText"/>
        <w:spacing w:line="240" w:lineRule="auto" w:before="123"/>
        <w:ind w:left="490" w:right="1314"/>
        <w:jc w:val="left"/>
        <w:rPr>
          <w:rFonts w:ascii="宋体" w:hAnsi="宋体" w:cs="宋体" w:eastAsia="宋体" w:hint="default"/>
        </w:rPr>
      </w:pPr>
      <w:r>
        <w:rPr>
          <w:rFonts w:ascii="宋体" w:hAnsi="宋体" w:cs="宋体" w:eastAsia="宋体" w:hint="default"/>
          <w:color w:val="D7000F"/>
          <w:w w:val="95"/>
        </w:rPr>
        <w:t>2.</w:t>
      </w:r>
      <w:r>
        <w:rPr>
          <w:rFonts w:ascii="宋体" w:hAnsi="宋体" w:cs="宋体" w:eastAsia="宋体" w:hint="default"/>
          <w:color w:val="D7000F"/>
          <w:spacing w:val="-26"/>
          <w:w w:val="95"/>
        </w:rPr>
        <w:t> </w:t>
      </w:r>
      <w:r>
        <w:rPr>
          <w:rFonts w:ascii="宋体" w:hAnsi="宋体" w:cs="宋体" w:eastAsia="宋体" w:hint="default"/>
          <w:color w:val="D7000F"/>
          <w:w w:val="95"/>
        </w:rPr>
        <w:t>固网业务</w:t>
      </w:r>
      <w:r>
        <w:rPr>
          <w:rFonts w:ascii="宋体" w:hAnsi="宋体" w:cs="宋体" w:eastAsia="宋体" w:hint="default"/>
          <w:w w:val="95"/>
        </w:rPr>
      </w:r>
    </w:p>
    <w:p>
      <w:pPr>
        <w:pStyle w:val="BodyText"/>
        <w:spacing w:line="285" w:lineRule="auto" w:before="157"/>
        <w:ind w:left="717" w:right="1312"/>
        <w:jc w:val="left"/>
        <w:rPr>
          <w:rFonts w:ascii="宋体" w:hAnsi="宋体" w:cs="宋体" w:eastAsia="宋体" w:hint="default"/>
        </w:rPr>
      </w:pPr>
      <w:r>
        <w:rPr>
          <w:rFonts w:ascii="宋体" w:hAnsi="宋体" w:cs="宋体" w:eastAsia="宋体" w:hint="default"/>
          <w:spacing w:val="-7"/>
        </w:rPr>
        <w:t>固网宽带通过填充视频内容和家庭服务产品，优化宽带融合套餐体系，主动应对竞争；开展“新视频</w:t>
      </w:r>
      <w:r>
        <w:rPr>
          <w:rFonts w:ascii="宋体" w:hAnsi="宋体" w:cs="宋体" w:eastAsia="宋体" w:hint="default"/>
          <w:spacing w:val="-38"/>
        </w:rPr>
        <w:t> </w:t>
      </w:r>
      <w:r>
        <w:rPr>
          <w:rFonts w:ascii="宋体" w:hAnsi="宋体" w:cs="宋体" w:eastAsia="宋体" w:hint="default"/>
        </w:rPr>
        <w:t>高质量</w:t>
      </w:r>
      <w:r>
        <w:rPr>
          <w:rFonts w:ascii="宋体" w:hAnsi="宋体" w:cs="宋体" w:eastAsia="宋体" w:hint="default"/>
          <w:spacing w:val="-38"/>
        </w:rPr>
        <w:t> </w:t>
      </w:r>
      <w:r>
        <w:rPr>
          <w:rFonts w:ascii="宋体" w:hAnsi="宋体" w:cs="宋体" w:eastAsia="宋体" w:hint="default"/>
        </w:rPr>
        <w:t>免费体验”</w:t>
      </w:r>
      <w:r>
        <w:rPr>
          <w:rFonts w:ascii="宋体" w:hAnsi="宋体" w:cs="宋体" w:eastAsia="宋体" w:hint="default"/>
        </w:rPr>
        <w:t> </w:t>
      </w:r>
      <w:r>
        <w:rPr>
          <w:rFonts w:ascii="宋体" w:hAnsi="宋体" w:cs="宋体" w:eastAsia="宋体" w:hint="default"/>
          <w:spacing w:val="-8"/>
        </w:rPr>
        <w:t>全国营销活动；提升线上引流能力、完善中台运营支撑，大力发展宽带电商化，并通过融合渗透、视频加载、在网延长、</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价值提升等措施强化用户保有。同时，以家庭融合通信为基础、以家庭组网为切入点、发挥网络优势，布局家庭互</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联网业务，并借助混改合作伙伴力量，探索家庭互联网领域，形成新的收入增长点。宽带用户净增</w:t>
      </w:r>
      <w:r>
        <w:rPr>
          <w:rFonts w:ascii="宋体" w:hAnsi="宋体" w:cs="宋体" w:eastAsia="宋体" w:hint="default"/>
          <w:spacing w:val="-29"/>
        </w:rPr>
        <w:t> </w:t>
      </w:r>
      <w:r>
        <w:rPr>
          <w:rFonts w:ascii="宋体" w:hAnsi="宋体" w:cs="宋体" w:eastAsia="宋体" w:hint="default"/>
        </w:rPr>
        <w:t>434</w:t>
      </w:r>
      <w:r>
        <w:rPr>
          <w:rFonts w:ascii="宋体" w:hAnsi="宋体" w:cs="宋体" w:eastAsia="宋体" w:hint="default"/>
          <w:spacing w:val="-29"/>
        </w:rPr>
        <w:t> </w:t>
      </w:r>
      <w:r>
        <w:rPr>
          <w:rFonts w:ascii="宋体" w:hAnsi="宋体" w:cs="宋体" w:eastAsia="宋体" w:hint="default"/>
        </w:rPr>
        <w:t>万户，达到</w:t>
      </w:r>
      <w:r>
        <w:rPr>
          <w:rFonts w:ascii="宋体" w:hAnsi="宋体" w:cs="宋体" w:eastAsia="宋体" w:hint="default"/>
          <w:spacing w:val="-54"/>
        </w:rPr>
        <w:t> </w:t>
      </w:r>
      <w:r>
        <w:rPr>
          <w:rFonts w:ascii="宋体" w:hAnsi="宋体" w:cs="宋体" w:eastAsia="宋体" w:hint="default"/>
          <w:spacing w:val="-54"/>
        </w:rPr>
      </w:r>
      <w:r>
        <w:rPr>
          <w:rFonts w:ascii="宋体" w:hAnsi="宋体" w:cs="宋体" w:eastAsia="宋体" w:hint="default"/>
          <w:spacing w:val="-1"/>
          <w:w w:val="99"/>
        </w:rPr>
        <w:t>8,088</w:t>
      </w:r>
      <w:r>
        <w:rPr>
          <w:rFonts w:ascii="宋体" w:hAnsi="宋体" w:cs="宋体" w:eastAsia="宋体" w:hint="default"/>
          <w:spacing w:val="-50"/>
          <w:w w:val="99"/>
        </w:rPr>
        <w:t> </w:t>
      </w:r>
      <w:r>
        <w:rPr>
          <w:rFonts w:ascii="宋体" w:hAnsi="宋体" w:cs="宋体" w:eastAsia="宋体" w:hint="default"/>
        </w:rPr>
        <w:t>万户，宽带用户接入</w:t>
      </w:r>
      <w:r>
        <w:rPr>
          <w:rFonts w:ascii="宋体" w:hAnsi="宋体" w:cs="宋体" w:eastAsia="宋体" w:hint="default"/>
          <w:spacing w:val="-51"/>
        </w:rPr>
        <w:t> </w:t>
      </w:r>
      <w:r>
        <w:rPr>
          <w:rFonts w:ascii="宋体" w:hAnsi="宋体" w:cs="宋体" w:eastAsia="宋体" w:hint="default"/>
          <w:w w:val="132"/>
        </w:rPr>
        <w:t>ARPU</w:t>
      </w:r>
      <w:r>
        <w:rPr>
          <w:rFonts w:ascii="宋体" w:hAnsi="宋体" w:cs="宋体" w:eastAsia="宋体" w:hint="default"/>
          <w:spacing w:val="-80"/>
          <w:w w:val="132"/>
        </w:rPr>
        <w:t> </w:t>
      </w:r>
      <w:r>
        <w:rPr>
          <w:rFonts w:ascii="宋体" w:hAnsi="宋体" w:cs="宋体" w:eastAsia="宋体" w:hint="default"/>
        </w:rPr>
        <w:t>为人民币</w:t>
      </w:r>
      <w:r>
        <w:rPr>
          <w:rFonts w:ascii="宋体" w:hAnsi="宋体" w:cs="宋体" w:eastAsia="宋体" w:hint="default"/>
          <w:spacing w:val="-51"/>
        </w:rPr>
        <w:t> </w:t>
      </w:r>
      <w:r>
        <w:rPr>
          <w:rFonts w:ascii="宋体" w:hAnsi="宋体" w:cs="宋体" w:eastAsia="宋体" w:hint="default"/>
          <w:spacing w:val="-1"/>
          <w:w w:val="97"/>
        </w:rPr>
        <w:t>44.6</w:t>
      </w:r>
      <w:r>
        <w:rPr>
          <w:rFonts w:ascii="宋体" w:hAnsi="宋体" w:cs="宋体" w:eastAsia="宋体" w:hint="default"/>
          <w:spacing w:val="-48"/>
          <w:w w:val="97"/>
        </w:rPr>
        <w:t> </w:t>
      </w:r>
      <w:r>
        <w:rPr>
          <w:rFonts w:ascii="宋体" w:hAnsi="宋体" w:cs="宋体" w:eastAsia="宋体" w:hint="default"/>
          <w:spacing w:val="-1"/>
          <w:w w:val="112"/>
        </w:rPr>
        <w:t>元；FTTH</w:t>
      </w:r>
      <w:r>
        <w:rPr>
          <w:rFonts w:ascii="宋体" w:hAnsi="宋体" w:cs="宋体" w:eastAsia="宋体" w:hint="default"/>
          <w:spacing w:val="-62"/>
          <w:w w:val="112"/>
        </w:rPr>
        <w:t> </w:t>
      </w:r>
      <w:r>
        <w:rPr>
          <w:rFonts w:ascii="宋体" w:hAnsi="宋体" w:cs="宋体" w:eastAsia="宋体" w:hint="default"/>
        </w:rPr>
        <w:t>用户占比达到</w:t>
      </w:r>
      <w:r>
        <w:rPr>
          <w:rFonts w:ascii="宋体" w:hAnsi="宋体" w:cs="宋体" w:eastAsia="宋体" w:hint="default"/>
          <w:spacing w:val="-51"/>
        </w:rPr>
        <w:t> </w:t>
      </w:r>
      <w:r>
        <w:rPr>
          <w:rFonts w:ascii="宋体" w:hAnsi="宋体" w:cs="宋体" w:eastAsia="宋体" w:hint="default"/>
          <w:w w:val="115"/>
        </w:rPr>
        <w:t>82%，同比提高</w:t>
      </w:r>
      <w:r>
        <w:rPr>
          <w:rFonts w:ascii="宋体" w:hAnsi="宋体" w:cs="宋体" w:eastAsia="宋体" w:hint="default"/>
          <w:spacing w:val="-64"/>
          <w:w w:val="115"/>
        </w:rPr>
        <w:t> </w:t>
      </w:r>
      <w:r>
        <w:rPr>
          <w:rFonts w:ascii="宋体" w:hAnsi="宋体" w:cs="宋体" w:eastAsia="宋体" w:hint="default"/>
          <w:spacing w:val="-1"/>
          <w:w w:val="92"/>
        </w:rPr>
        <w:t>4.5</w:t>
      </w:r>
      <w:r>
        <w:rPr>
          <w:rFonts w:ascii="宋体" w:hAnsi="宋体" w:cs="宋体" w:eastAsia="宋体" w:hint="default"/>
          <w:spacing w:val="-44"/>
          <w:w w:val="92"/>
        </w:rPr>
        <w:t> </w:t>
      </w:r>
      <w:r>
        <w:rPr>
          <w:rFonts w:ascii="宋体" w:hAnsi="宋体" w:cs="宋体" w:eastAsia="宋体" w:hint="default"/>
        </w:rPr>
        <w:t>个百分点；本地电话</w:t>
      </w:r>
      <w:r>
        <w:rPr>
          <w:rFonts w:ascii="宋体" w:hAnsi="宋体" w:cs="宋体" w:eastAsia="宋体" w:hint="default"/>
          <w:spacing w:val="1"/>
        </w:rPr>
        <w:t> </w:t>
      </w:r>
      <w:r>
        <w:rPr>
          <w:rFonts w:ascii="宋体" w:hAnsi="宋体" w:cs="宋体" w:eastAsia="宋体" w:hint="default"/>
        </w:rPr>
        <w:t>用户流失</w:t>
      </w:r>
      <w:r>
        <w:rPr>
          <w:rFonts w:ascii="宋体" w:hAnsi="宋体" w:cs="宋体" w:eastAsia="宋体" w:hint="default"/>
          <w:spacing w:val="-38"/>
        </w:rPr>
        <w:t> </w:t>
      </w:r>
      <w:r>
        <w:rPr>
          <w:rFonts w:ascii="宋体" w:hAnsi="宋体" w:cs="宋体" w:eastAsia="宋体" w:hint="default"/>
        </w:rPr>
        <w:t>317</w:t>
      </w:r>
      <w:r>
        <w:rPr>
          <w:rFonts w:ascii="宋体" w:hAnsi="宋体" w:cs="宋体" w:eastAsia="宋体" w:hint="default"/>
          <w:spacing w:val="-39"/>
        </w:rPr>
        <w:t> </w:t>
      </w:r>
      <w:r>
        <w:rPr>
          <w:rFonts w:ascii="宋体" w:hAnsi="宋体" w:cs="宋体" w:eastAsia="宋体" w:hint="default"/>
        </w:rPr>
        <w:t>万户，用户总数达到</w:t>
      </w:r>
      <w:r>
        <w:rPr>
          <w:rFonts w:ascii="宋体" w:hAnsi="宋体" w:cs="宋体" w:eastAsia="宋体" w:hint="default"/>
          <w:spacing w:val="-38"/>
        </w:rPr>
        <w:t> </w:t>
      </w:r>
      <w:r>
        <w:rPr>
          <w:rFonts w:ascii="宋体" w:hAnsi="宋体" w:cs="宋体" w:eastAsia="宋体" w:hint="default"/>
        </w:rPr>
        <w:t>5,590</w:t>
      </w:r>
      <w:r>
        <w:rPr>
          <w:rFonts w:ascii="宋体" w:hAnsi="宋体" w:cs="宋体" w:eastAsia="宋体" w:hint="default"/>
          <w:spacing w:val="-39"/>
        </w:rPr>
        <w:t> </w:t>
      </w:r>
      <w:r>
        <w:rPr>
          <w:rFonts w:ascii="宋体" w:hAnsi="宋体" w:cs="宋体" w:eastAsia="宋体" w:hint="default"/>
        </w:rPr>
        <w:t>万户。</w:t>
      </w:r>
    </w:p>
    <w:p>
      <w:pPr>
        <w:pStyle w:val="BodyText"/>
        <w:spacing w:line="240" w:lineRule="auto" w:before="123"/>
        <w:ind w:left="490" w:right="1314"/>
        <w:jc w:val="left"/>
        <w:rPr>
          <w:rFonts w:ascii="宋体" w:hAnsi="宋体" w:cs="宋体" w:eastAsia="宋体" w:hint="default"/>
        </w:rPr>
      </w:pPr>
      <w:r>
        <w:rPr>
          <w:rFonts w:ascii="宋体" w:hAnsi="宋体" w:cs="宋体" w:eastAsia="宋体" w:hint="default"/>
          <w:color w:val="D7000F"/>
          <w:w w:val="95"/>
        </w:rPr>
        <w:t>3.</w:t>
      </w:r>
      <w:r>
        <w:rPr>
          <w:rFonts w:ascii="宋体" w:hAnsi="宋体" w:cs="宋体" w:eastAsia="宋体" w:hint="default"/>
          <w:color w:val="D7000F"/>
          <w:spacing w:val="-17"/>
          <w:w w:val="95"/>
        </w:rPr>
        <w:t> </w:t>
      </w:r>
      <w:r>
        <w:rPr>
          <w:rFonts w:ascii="宋体" w:hAnsi="宋体" w:cs="宋体" w:eastAsia="宋体" w:hint="default"/>
          <w:color w:val="D7000F"/>
          <w:w w:val="95"/>
        </w:rPr>
        <w:t>产业互联网</w:t>
      </w:r>
      <w:r>
        <w:rPr>
          <w:rFonts w:ascii="宋体" w:hAnsi="宋体" w:cs="宋体" w:eastAsia="宋体" w:hint="default"/>
          <w:w w:val="95"/>
        </w:rPr>
      </w:r>
    </w:p>
    <w:p>
      <w:pPr>
        <w:pStyle w:val="BodyText"/>
        <w:spacing w:line="285" w:lineRule="auto" w:before="157"/>
        <w:ind w:left="717" w:right="1314"/>
        <w:jc w:val="left"/>
        <w:rPr>
          <w:rFonts w:ascii="宋体" w:hAnsi="宋体" w:cs="宋体" w:eastAsia="宋体" w:hint="default"/>
        </w:rPr>
      </w:pPr>
      <w:r>
        <w:rPr>
          <w:rFonts w:ascii="宋体" w:hAnsi="宋体" w:cs="宋体" w:eastAsia="宋体" w:hint="default"/>
          <w:spacing w:val="18"/>
        </w:rPr>
        <w:t>聚焦云业务引</w:t>
      </w:r>
      <w:r>
        <w:rPr>
          <w:rFonts w:ascii="宋体" w:hAnsi="宋体" w:cs="宋体" w:eastAsia="宋体" w:hint="default"/>
        </w:rPr>
        <w:t>领，</w:t>
      </w:r>
      <w:r>
        <w:rPr>
          <w:rFonts w:ascii="宋体" w:hAnsi="宋体" w:cs="宋体" w:eastAsia="宋体" w:hint="default"/>
          <w:spacing w:val="-72"/>
        </w:rPr>
        <w:t> </w:t>
      </w:r>
      <w:r>
        <w:rPr>
          <w:rFonts w:ascii="宋体" w:hAnsi="宋体" w:cs="宋体" w:eastAsia="宋体" w:hint="default"/>
          <w:spacing w:val="18"/>
        </w:rPr>
        <w:t>初步建</w:t>
      </w:r>
      <w:r>
        <w:rPr>
          <w:rFonts w:ascii="宋体" w:hAnsi="宋体" w:cs="宋体" w:eastAsia="宋体" w:hint="default"/>
        </w:rPr>
        <w:t>立“</w:t>
      </w:r>
      <w:r>
        <w:rPr>
          <w:rFonts w:ascii="宋体" w:hAnsi="宋体" w:cs="宋体" w:eastAsia="宋体" w:hint="default"/>
          <w:spacing w:val="-72"/>
        </w:rPr>
        <w:t> </w:t>
      </w:r>
      <w:r>
        <w:rPr>
          <w:rFonts w:ascii="宋体" w:hAnsi="宋体" w:cs="宋体" w:eastAsia="宋体" w:hint="default"/>
        </w:rPr>
        <w:t>云</w:t>
      </w:r>
      <w:r>
        <w:rPr>
          <w:rFonts w:ascii="宋体" w:hAnsi="宋体" w:cs="宋体" w:eastAsia="宋体" w:hint="default"/>
          <w:spacing w:val="-41"/>
        </w:rPr>
        <w:t> </w:t>
      </w:r>
      <w:r>
        <w:rPr>
          <w:rFonts w:ascii="宋体" w:hAnsi="宋体" w:cs="宋体" w:eastAsia="宋体" w:hint="default"/>
          <w:w w:val="131"/>
        </w:rPr>
        <w:t>+</w:t>
      </w:r>
      <w:r>
        <w:rPr>
          <w:rFonts w:ascii="宋体" w:hAnsi="宋体" w:cs="宋体" w:eastAsia="宋体" w:hint="default"/>
          <w:spacing w:val="-41"/>
        </w:rPr>
        <w:t> </w:t>
      </w:r>
      <w:r>
        <w:rPr>
          <w:rFonts w:ascii="宋体" w:hAnsi="宋体" w:cs="宋体" w:eastAsia="宋体" w:hint="default"/>
        </w:rPr>
        <w:t>网</w:t>
      </w:r>
      <w:r>
        <w:rPr>
          <w:rFonts w:ascii="宋体" w:hAnsi="宋体" w:cs="宋体" w:eastAsia="宋体" w:hint="default"/>
          <w:spacing w:val="-41"/>
        </w:rPr>
        <w:t> </w:t>
      </w:r>
      <w:r>
        <w:rPr>
          <w:rFonts w:ascii="宋体" w:hAnsi="宋体" w:cs="宋体" w:eastAsia="宋体" w:hint="default"/>
          <w:w w:val="131"/>
        </w:rPr>
        <w:t>+</w:t>
      </w:r>
      <w:r>
        <w:rPr>
          <w:rFonts w:ascii="宋体" w:hAnsi="宋体" w:cs="宋体" w:eastAsia="宋体" w:hint="default"/>
          <w:w w:val="121"/>
        </w:rPr>
        <w:t>X</w:t>
      </w:r>
      <w:r>
        <w:rPr>
          <w:rFonts w:ascii="宋体" w:hAnsi="宋体" w:cs="宋体" w:eastAsia="宋体" w:hint="default"/>
        </w:rPr>
        <w:t>”</w:t>
      </w:r>
      <w:r>
        <w:rPr>
          <w:rFonts w:ascii="宋体" w:hAnsi="宋体" w:cs="宋体" w:eastAsia="宋体" w:hint="default"/>
          <w:spacing w:val="-72"/>
        </w:rPr>
        <w:t> </w:t>
      </w:r>
      <w:r>
        <w:rPr>
          <w:rFonts w:ascii="宋体" w:hAnsi="宋体" w:cs="宋体" w:eastAsia="宋体" w:hint="default"/>
          <w:spacing w:val="18"/>
        </w:rPr>
        <w:t>政企新融合营销模</w:t>
      </w:r>
      <w:r>
        <w:rPr>
          <w:rFonts w:ascii="宋体" w:hAnsi="宋体" w:cs="宋体" w:eastAsia="宋体" w:hint="default"/>
        </w:rPr>
        <w:t>式，</w:t>
      </w: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1"/>
        </w:rPr>
        <w:t> </w:t>
      </w:r>
      <w:r>
        <w:rPr>
          <w:rFonts w:ascii="宋体" w:hAnsi="宋体" w:cs="宋体" w:eastAsia="宋体" w:hint="default"/>
          <w:spacing w:val="18"/>
        </w:rPr>
        <w:t>年云计算收入达</w:t>
      </w:r>
      <w:r>
        <w:rPr>
          <w:rFonts w:ascii="宋体" w:hAnsi="宋体" w:cs="宋体" w:eastAsia="宋体" w:hint="default"/>
        </w:rPr>
        <w:t>到</w:t>
      </w:r>
      <w:r>
        <w:rPr>
          <w:rFonts w:ascii="宋体" w:hAnsi="宋体" w:cs="宋体" w:eastAsia="宋体" w:hint="default"/>
          <w:spacing w:val="-41"/>
        </w:rPr>
        <w:t> </w:t>
      </w:r>
      <w:r>
        <w:rPr>
          <w:rFonts w:ascii="宋体" w:hAnsi="宋体" w:cs="宋体" w:eastAsia="宋体" w:hint="default"/>
          <w:spacing w:val="-1"/>
          <w:w w:val="111"/>
        </w:rPr>
        <w:t>9</w:t>
      </w:r>
      <w:r>
        <w:rPr>
          <w:rFonts w:ascii="宋体" w:hAnsi="宋体" w:cs="宋体" w:eastAsia="宋体" w:hint="default"/>
          <w:w w:val="55"/>
        </w:rPr>
        <w:t>.</w:t>
      </w:r>
      <w:r>
        <w:rPr>
          <w:rFonts w:ascii="宋体" w:hAnsi="宋体" w:cs="宋体" w:eastAsia="宋体" w:hint="default"/>
          <w:w w:val="111"/>
        </w:rPr>
        <w:t>6</w:t>
      </w:r>
      <w:r>
        <w:rPr>
          <w:rFonts w:ascii="宋体" w:hAnsi="宋体" w:cs="宋体" w:eastAsia="宋体" w:hint="default"/>
          <w:spacing w:val="-41"/>
        </w:rPr>
        <w:t> </w:t>
      </w:r>
      <w:r>
        <w:rPr>
          <w:rFonts w:ascii="宋体" w:hAnsi="宋体" w:cs="宋体" w:eastAsia="宋体" w:hint="default"/>
        </w:rPr>
        <w:t>亿</w:t>
      </w:r>
      <w:r>
        <w:rPr>
          <w:rFonts w:ascii="宋体" w:hAnsi="宋体" w:cs="宋体" w:eastAsia="宋体" w:hint="default"/>
          <w:spacing w:val="18"/>
        </w:rPr>
        <w:t>，同比增</w:t>
      </w:r>
      <w:r>
        <w:rPr>
          <w:rFonts w:ascii="宋体" w:hAnsi="宋体" w:cs="宋体" w:eastAsia="宋体" w:hint="default"/>
        </w:rPr>
        <w:t>长</w:t>
      </w:r>
      <w:r>
        <w:rPr>
          <w:rFonts w:ascii="宋体" w:hAnsi="宋体" w:cs="宋体" w:eastAsia="宋体" w:hint="default"/>
          <w:spacing w:val="-72"/>
        </w:rPr>
        <w:t> </w:t>
      </w:r>
      <w:r>
        <w:rPr>
          <w:rFonts w:ascii="宋体" w:hAnsi="宋体" w:cs="宋体" w:eastAsia="宋体" w:hint="default"/>
          <w:spacing w:val="-1"/>
          <w:w w:val="111"/>
        </w:rPr>
        <w:t>98</w:t>
      </w:r>
      <w:r>
        <w:rPr>
          <w:rFonts w:ascii="宋体" w:hAnsi="宋体" w:cs="宋体" w:eastAsia="宋体" w:hint="default"/>
          <w:w w:val="55"/>
        </w:rPr>
        <w:t>.</w:t>
      </w:r>
      <w:r>
        <w:rPr>
          <w:rFonts w:ascii="宋体" w:hAnsi="宋体" w:cs="宋体" w:eastAsia="宋体" w:hint="default"/>
          <w:spacing w:val="-1"/>
          <w:w w:val="111"/>
        </w:rPr>
        <w:t>7</w:t>
      </w:r>
      <w:r>
        <w:rPr>
          <w:rFonts w:ascii="宋体" w:hAnsi="宋体" w:cs="宋体" w:eastAsia="宋体" w:hint="default"/>
          <w:w w:val="200"/>
        </w:rPr>
        <w:t>%</w:t>
      </w:r>
      <w:r>
        <w:rPr>
          <w:rFonts w:ascii="宋体" w:hAnsi="宋体" w:cs="宋体" w:eastAsia="宋体" w:hint="default"/>
          <w:spacing w:val="2"/>
        </w:rPr>
        <w:t>。大数据聚焦产</w:t>
      </w:r>
      <w:r>
        <w:rPr>
          <w:rFonts w:ascii="宋体" w:hAnsi="宋体" w:cs="宋体" w:eastAsia="宋体" w:hint="default"/>
        </w:rPr>
        <w:t>品</w:t>
      </w:r>
      <w:r>
        <w:rPr>
          <w:rFonts w:ascii="宋体" w:hAnsi="宋体" w:cs="宋体" w:eastAsia="宋体" w:hint="default"/>
          <w:spacing w:val="2"/>
        </w:rPr>
        <w:t>、平</w:t>
      </w:r>
      <w:r>
        <w:rPr>
          <w:rFonts w:ascii="宋体" w:hAnsi="宋体" w:cs="宋体" w:eastAsia="宋体" w:hint="default"/>
        </w:rPr>
        <w:t>台</w:t>
      </w:r>
      <w:r>
        <w:rPr>
          <w:rFonts w:ascii="宋体" w:hAnsi="宋体" w:cs="宋体" w:eastAsia="宋体" w:hint="default"/>
          <w:spacing w:val="2"/>
        </w:rPr>
        <w:t>、自主研发等核心能力的提</w:t>
      </w:r>
      <w:r>
        <w:rPr>
          <w:rFonts w:ascii="宋体" w:hAnsi="宋体" w:cs="宋体" w:eastAsia="宋体" w:hint="default"/>
        </w:rPr>
        <w:t>升</w:t>
      </w:r>
      <w:r>
        <w:rPr>
          <w:rFonts w:ascii="宋体" w:hAnsi="宋体" w:cs="宋体" w:eastAsia="宋体" w:hint="default"/>
          <w:spacing w:val="2"/>
        </w:rPr>
        <w:t>，在政</w:t>
      </w:r>
      <w:r>
        <w:rPr>
          <w:rFonts w:ascii="宋体" w:hAnsi="宋体" w:cs="宋体" w:eastAsia="宋体" w:hint="default"/>
        </w:rPr>
        <w:t>务</w:t>
      </w:r>
      <w:r>
        <w:rPr>
          <w:rFonts w:ascii="宋体" w:hAnsi="宋体" w:cs="宋体" w:eastAsia="宋体" w:hint="default"/>
          <w:spacing w:val="2"/>
        </w:rPr>
        <w:t>、金</w:t>
      </w:r>
      <w:r>
        <w:rPr>
          <w:rFonts w:ascii="宋体" w:hAnsi="宋体" w:cs="宋体" w:eastAsia="宋体" w:hint="default"/>
        </w:rPr>
        <w:t>融</w:t>
      </w:r>
      <w:r>
        <w:rPr>
          <w:rFonts w:ascii="宋体" w:hAnsi="宋体" w:cs="宋体" w:eastAsia="宋体" w:hint="default"/>
          <w:spacing w:val="2"/>
        </w:rPr>
        <w:t>、交通旅</w:t>
      </w:r>
      <w:r>
        <w:rPr>
          <w:rFonts w:ascii="宋体" w:hAnsi="宋体" w:cs="宋体" w:eastAsia="宋体" w:hint="default"/>
        </w:rPr>
        <w:t>游</w:t>
      </w:r>
      <w:r>
        <w:rPr>
          <w:rFonts w:ascii="宋体" w:hAnsi="宋体" w:cs="宋体" w:eastAsia="宋体" w:hint="default"/>
          <w:spacing w:val="2"/>
        </w:rPr>
        <w:t>、安全等行业取得突</w:t>
      </w:r>
      <w:r>
        <w:rPr>
          <w:rFonts w:ascii="宋体" w:hAnsi="宋体" w:cs="宋体" w:eastAsia="宋体" w:hint="default"/>
        </w:rPr>
        <w:t>破，</w:t>
      </w:r>
    </w:p>
    <w:p>
      <w:pPr>
        <w:pStyle w:val="BodyText"/>
        <w:spacing w:line="240" w:lineRule="auto" w:before="10"/>
        <w:ind w:left="717" w:right="1314"/>
        <w:jc w:val="left"/>
        <w:rPr>
          <w:rFonts w:ascii="宋体" w:hAnsi="宋体" w:cs="宋体" w:eastAsia="宋体" w:hint="default"/>
        </w:rPr>
      </w:pP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5"/>
        </w:rPr>
        <w:t> </w:t>
      </w:r>
      <w:r>
        <w:rPr>
          <w:rFonts w:ascii="宋体" w:hAnsi="宋体" w:cs="宋体" w:eastAsia="宋体" w:hint="default"/>
          <w:spacing w:val="1"/>
        </w:rPr>
        <w:t>年收入达</w:t>
      </w:r>
      <w:r>
        <w:rPr>
          <w:rFonts w:ascii="宋体" w:hAnsi="宋体" w:cs="宋体" w:eastAsia="宋体" w:hint="default"/>
        </w:rPr>
        <w:t>到</w:t>
      </w:r>
      <w:r>
        <w:rPr>
          <w:rFonts w:ascii="宋体" w:hAnsi="宋体" w:cs="宋体" w:eastAsia="宋体" w:hint="default"/>
          <w:spacing w:val="-45"/>
        </w:rPr>
        <w:t> </w:t>
      </w:r>
      <w:r>
        <w:rPr>
          <w:rFonts w:ascii="宋体" w:hAnsi="宋体" w:cs="宋体" w:eastAsia="宋体" w:hint="default"/>
          <w:spacing w:val="-1"/>
          <w:w w:val="111"/>
        </w:rPr>
        <w:t>6</w:t>
      </w:r>
      <w:r>
        <w:rPr>
          <w:rFonts w:ascii="宋体" w:hAnsi="宋体" w:cs="宋体" w:eastAsia="宋体" w:hint="default"/>
          <w:w w:val="55"/>
        </w:rPr>
        <w:t>.</w:t>
      </w:r>
      <w:r>
        <w:rPr>
          <w:rFonts w:ascii="宋体" w:hAnsi="宋体" w:cs="宋体" w:eastAsia="宋体" w:hint="default"/>
          <w:w w:val="111"/>
        </w:rPr>
        <w:t>1</w:t>
      </w:r>
      <w:r>
        <w:rPr>
          <w:rFonts w:ascii="宋体" w:hAnsi="宋体" w:cs="宋体" w:eastAsia="宋体" w:hint="default"/>
          <w:spacing w:val="-45"/>
        </w:rPr>
        <w:t> </w:t>
      </w:r>
      <w:r>
        <w:rPr>
          <w:rFonts w:ascii="宋体" w:hAnsi="宋体" w:cs="宋体" w:eastAsia="宋体" w:hint="default"/>
          <w:spacing w:val="1"/>
        </w:rPr>
        <w:t>亿</w:t>
      </w:r>
      <w:r>
        <w:rPr>
          <w:rFonts w:ascii="宋体" w:hAnsi="宋体" w:cs="宋体" w:eastAsia="宋体" w:hint="default"/>
        </w:rPr>
        <w:t>元</w:t>
      </w:r>
      <w:r>
        <w:rPr>
          <w:rFonts w:ascii="宋体" w:hAnsi="宋体" w:cs="宋体" w:eastAsia="宋体" w:hint="default"/>
          <w:spacing w:val="1"/>
        </w:rPr>
        <w:t>，同比增</w:t>
      </w:r>
      <w:r>
        <w:rPr>
          <w:rFonts w:ascii="宋体" w:hAnsi="宋体" w:cs="宋体" w:eastAsia="宋体" w:hint="default"/>
        </w:rPr>
        <w:t>长</w:t>
      </w:r>
      <w:r>
        <w:rPr>
          <w:rFonts w:ascii="宋体" w:hAnsi="宋体" w:cs="宋体" w:eastAsia="宋体" w:hint="default"/>
          <w:spacing w:val="-45"/>
        </w:rPr>
        <w:t> </w:t>
      </w:r>
      <w:r>
        <w:rPr>
          <w:rFonts w:ascii="宋体" w:hAnsi="宋体" w:cs="宋体" w:eastAsia="宋体" w:hint="default"/>
          <w:spacing w:val="-1"/>
          <w:w w:val="111"/>
        </w:rPr>
        <w:t>283</w:t>
      </w:r>
      <w:r>
        <w:rPr>
          <w:rFonts w:ascii="宋体" w:hAnsi="宋体" w:cs="宋体" w:eastAsia="宋体" w:hint="default"/>
          <w:w w:val="55"/>
        </w:rPr>
        <w:t>.</w:t>
      </w:r>
      <w:r>
        <w:rPr>
          <w:rFonts w:ascii="宋体" w:hAnsi="宋体" w:cs="宋体" w:eastAsia="宋体" w:hint="default"/>
          <w:spacing w:val="-1"/>
          <w:w w:val="111"/>
        </w:rPr>
        <w:t>5</w:t>
      </w:r>
      <w:r>
        <w:rPr>
          <w:rFonts w:ascii="宋体" w:hAnsi="宋体" w:cs="宋体" w:eastAsia="宋体" w:hint="default"/>
          <w:w w:val="200"/>
        </w:rPr>
        <w:t>%</w:t>
      </w:r>
      <w:r>
        <w:rPr>
          <w:rFonts w:ascii="宋体" w:hAnsi="宋体" w:cs="宋体" w:eastAsia="宋体" w:hint="default"/>
          <w:spacing w:val="1"/>
        </w:rPr>
        <w:t>。物联网聚焦智慧城</w:t>
      </w:r>
      <w:r>
        <w:rPr>
          <w:rFonts w:ascii="宋体" w:hAnsi="宋体" w:cs="宋体" w:eastAsia="宋体" w:hint="default"/>
        </w:rPr>
        <w:t>市</w:t>
      </w:r>
      <w:r>
        <w:rPr>
          <w:rFonts w:ascii="宋体" w:hAnsi="宋体" w:cs="宋体" w:eastAsia="宋体" w:hint="default"/>
          <w:spacing w:val="1"/>
        </w:rPr>
        <w:t>、智能可穿</w:t>
      </w:r>
      <w:r>
        <w:rPr>
          <w:rFonts w:ascii="宋体" w:hAnsi="宋体" w:cs="宋体" w:eastAsia="宋体" w:hint="default"/>
        </w:rPr>
        <w:t>戴</w:t>
      </w:r>
      <w:r>
        <w:rPr>
          <w:rFonts w:ascii="宋体" w:hAnsi="宋体" w:cs="宋体" w:eastAsia="宋体" w:hint="default"/>
          <w:spacing w:val="1"/>
        </w:rPr>
        <w:t>、车联</w:t>
      </w:r>
      <w:r>
        <w:rPr>
          <w:rFonts w:ascii="宋体" w:hAnsi="宋体" w:cs="宋体" w:eastAsia="宋体" w:hint="default"/>
        </w:rPr>
        <w:t>网</w:t>
      </w:r>
      <w:r>
        <w:rPr>
          <w:rFonts w:ascii="宋体" w:hAnsi="宋体" w:cs="宋体" w:eastAsia="宋体" w:hint="default"/>
          <w:spacing w:val="1"/>
        </w:rPr>
        <w:t>、智能制造等领</w:t>
      </w:r>
      <w:r>
        <w:rPr>
          <w:rFonts w:ascii="宋体" w:hAnsi="宋体" w:cs="宋体" w:eastAsia="宋体" w:hint="default"/>
        </w:rPr>
        <w:t>域</w:t>
      </w:r>
      <w:r>
        <w:rPr>
          <w:rFonts w:ascii="宋体" w:hAnsi="宋体" w:cs="宋体" w:eastAsia="宋体" w:hint="default"/>
          <w:spacing w:val="1"/>
        </w:rPr>
        <w:t>，强</w:t>
      </w:r>
      <w:r>
        <w:rPr>
          <w:rFonts w:ascii="宋体" w:hAnsi="宋体" w:cs="宋体" w:eastAsia="宋体" w:hint="default"/>
        </w:rPr>
      </w:r>
    </w:p>
    <w:p>
      <w:pPr>
        <w:pStyle w:val="BodyText"/>
        <w:spacing w:line="285" w:lineRule="auto" w:before="44"/>
        <w:ind w:left="717" w:right="1312"/>
        <w:jc w:val="left"/>
        <w:rPr>
          <w:rFonts w:ascii="宋体" w:hAnsi="宋体" w:cs="宋体" w:eastAsia="宋体" w:hint="default"/>
        </w:rPr>
      </w:pPr>
      <w:r>
        <w:rPr>
          <w:rFonts w:ascii="宋体" w:hAnsi="宋体" w:cs="宋体" w:eastAsia="宋体" w:hint="default"/>
          <w:spacing w:val="-3"/>
        </w:rPr>
        <w:t>化连接管理平台服务能力，提升使能应用能力，打造端到端解决方案，连接数接近</w:t>
      </w:r>
      <w:r>
        <w:rPr>
          <w:rFonts w:ascii="宋体" w:hAnsi="宋体" w:cs="宋体" w:eastAsia="宋体" w:hint="default"/>
          <w:spacing w:val="-48"/>
        </w:rPr>
        <w:t> </w:t>
      </w:r>
      <w:r>
        <w:rPr>
          <w:rFonts w:ascii="宋体" w:hAnsi="宋体" w:cs="宋体" w:eastAsia="宋体" w:hint="default"/>
        </w:rPr>
        <w:t>1.1</w:t>
      </w:r>
      <w:r>
        <w:rPr>
          <w:rFonts w:ascii="宋体" w:hAnsi="宋体" w:cs="宋体" w:eastAsia="宋体" w:hint="default"/>
          <w:spacing w:val="-48"/>
        </w:rPr>
        <w:t> </w:t>
      </w:r>
      <w:r>
        <w:rPr>
          <w:rFonts w:ascii="宋体" w:hAnsi="宋体" w:cs="宋体" w:eastAsia="宋体" w:hint="default"/>
          <w:spacing w:val="-6"/>
        </w:rPr>
        <w:t>亿，2018</w:t>
      </w:r>
      <w:r>
        <w:rPr>
          <w:rFonts w:ascii="宋体" w:hAnsi="宋体" w:cs="宋体" w:eastAsia="宋体" w:hint="default"/>
          <w:spacing w:val="-48"/>
        </w:rPr>
        <w:t> </w:t>
      </w:r>
      <w:r>
        <w:rPr>
          <w:rFonts w:ascii="宋体" w:hAnsi="宋体" w:cs="宋体" w:eastAsia="宋体" w:hint="default"/>
        </w:rPr>
        <w:t>年收入达到</w:t>
      </w:r>
      <w:r>
        <w:rPr>
          <w:rFonts w:ascii="宋体" w:hAnsi="宋体" w:cs="宋体" w:eastAsia="宋体" w:hint="default"/>
          <w:spacing w:val="-48"/>
        </w:rPr>
        <w:t> </w:t>
      </w:r>
      <w:r>
        <w:rPr>
          <w:rFonts w:ascii="宋体" w:hAnsi="宋体" w:cs="宋体" w:eastAsia="宋体" w:hint="default"/>
        </w:rPr>
        <w:t>20.8</w:t>
      </w:r>
      <w:r>
        <w:rPr>
          <w:rFonts w:ascii="宋体" w:hAnsi="宋体" w:cs="宋体" w:eastAsia="宋体" w:hint="default"/>
          <w:spacing w:val="-48"/>
        </w:rPr>
        <w:t> </w:t>
      </w:r>
      <w:r>
        <w:rPr>
          <w:rFonts w:ascii="宋体" w:hAnsi="宋体" w:cs="宋体" w:eastAsia="宋体" w:hint="default"/>
        </w:rPr>
        <w:t>亿，</w:t>
      </w:r>
      <w:r>
        <w:rPr>
          <w:rFonts w:ascii="宋体" w:hAnsi="宋体" w:cs="宋体" w:eastAsia="宋体" w:hint="default"/>
        </w:rPr>
        <w:t> 同比增长</w:t>
      </w:r>
      <w:r>
        <w:rPr>
          <w:rFonts w:ascii="宋体" w:hAnsi="宋体" w:cs="宋体" w:eastAsia="宋体" w:hint="default"/>
          <w:spacing w:val="-46"/>
        </w:rPr>
        <w:t> </w:t>
      </w:r>
      <w:r>
        <w:rPr>
          <w:rFonts w:ascii="宋体" w:hAnsi="宋体" w:cs="宋体" w:eastAsia="宋体" w:hint="default"/>
          <w:spacing w:val="-1"/>
          <w:w w:val="106"/>
        </w:rPr>
        <w:t>47.8%。IT</w:t>
      </w:r>
      <w:r>
        <w:rPr>
          <w:rFonts w:ascii="宋体" w:hAnsi="宋体" w:cs="宋体" w:eastAsia="宋体" w:hint="default"/>
          <w:spacing w:val="-52"/>
          <w:w w:val="106"/>
        </w:rPr>
        <w:t> </w:t>
      </w:r>
      <w:r>
        <w:rPr>
          <w:rFonts w:ascii="宋体" w:hAnsi="宋体" w:cs="宋体" w:eastAsia="宋体" w:hint="default"/>
        </w:rPr>
        <w:t>服务聚焦重点领域垂直赋能，全面提升自主核心能力，发布一站式政务服务、智慧党建、智慧</w:t>
      </w:r>
      <w:r>
        <w:rPr>
          <w:rFonts w:ascii="宋体" w:hAnsi="宋体" w:cs="宋体" w:eastAsia="宋体" w:hint="default"/>
        </w:rPr>
        <w:t> 河长综合管理平台、医疗影像云等一系列产业互联网应用产品，2018</w:t>
      </w:r>
      <w:r>
        <w:rPr>
          <w:rFonts w:ascii="宋体" w:hAnsi="宋体" w:cs="宋体" w:eastAsia="宋体" w:hint="default"/>
          <w:spacing w:val="-20"/>
        </w:rPr>
        <w:t> </w:t>
      </w:r>
      <w:r>
        <w:rPr>
          <w:rFonts w:ascii="宋体" w:hAnsi="宋体" w:cs="宋体" w:eastAsia="宋体" w:hint="default"/>
        </w:rPr>
        <w:t>年收入达到</w:t>
      </w:r>
      <w:r>
        <w:rPr>
          <w:rFonts w:ascii="宋体" w:hAnsi="宋体" w:cs="宋体" w:eastAsia="宋体" w:hint="default"/>
          <w:spacing w:val="-18"/>
        </w:rPr>
        <w:t> </w:t>
      </w:r>
      <w:r>
        <w:rPr>
          <w:rFonts w:ascii="宋体" w:hAnsi="宋体" w:cs="宋体" w:eastAsia="宋体" w:hint="default"/>
        </w:rPr>
        <w:t>56.1</w:t>
      </w:r>
      <w:r>
        <w:rPr>
          <w:rFonts w:ascii="宋体" w:hAnsi="宋体" w:cs="宋体" w:eastAsia="宋体" w:hint="default"/>
          <w:spacing w:val="-20"/>
        </w:rPr>
        <w:t> </w:t>
      </w:r>
      <w:r>
        <w:rPr>
          <w:rFonts w:ascii="宋体" w:hAnsi="宋体" w:cs="宋体" w:eastAsia="宋体" w:hint="default"/>
        </w:rPr>
        <w:t>亿元，同比增长</w:t>
      </w:r>
      <w:r>
        <w:rPr>
          <w:rFonts w:ascii="宋体" w:hAnsi="宋体" w:cs="宋体" w:eastAsia="宋体" w:hint="default"/>
          <w:spacing w:val="-18"/>
        </w:rPr>
        <w:t> </w:t>
      </w:r>
      <w:r>
        <w:rPr>
          <w:rFonts w:ascii="宋体" w:hAnsi="宋体" w:cs="宋体" w:eastAsia="宋体" w:hint="default"/>
        </w:rPr>
        <w:t>69.2%。</w:t>
      </w:r>
    </w:p>
    <w:p>
      <w:pPr>
        <w:pStyle w:val="BodyText"/>
        <w:spacing w:line="240" w:lineRule="auto" w:before="123"/>
        <w:ind w:left="490" w:right="1314"/>
        <w:jc w:val="left"/>
        <w:rPr>
          <w:rFonts w:ascii="宋体" w:hAnsi="宋体" w:cs="宋体" w:eastAsia="宋体" w:hint="default"/>
        </w:rPr>
      </w:pPr>
      <w:r>
        <w:rPr>
          <w:rFonts w:ascii="宋体" w:hAnsi="宋体" w:cs="宋体" w:eastAsia="宋体" w:hint="default"/>
          <w:color w:val="D7000F"/>
          <w:w w:val="95"/>
        </w:rPr>
        <w:t>4.</w:t>
      </w:r>
      <w:r>
        <w:rPr>
          <w:rFonts w:ascii="宋体" w:hAnsi="宋体" w:cs="宋体" w:eastAsia="宋体" w:hint="default"/>
          <w:color w:val="D7000F"/>
          <w:spacing w:val="-26"/>
          <w:w w:val="95"/>
        </w:rPr>
        <w:t> </w:t>
      </w:r>
      <w:r>
        <w:rPr>
          <w:rFonts w:ascii="宋体" w:hAnsi="宋体" w:cs="宋体" w:eastAsia="宋体" w:hint="default"/>
          <w:color w:val="D7000F"/>
          <w:w w:val="95"/>
        </w:rPr>
        <w:t>网络能力</w:t>
      </w:r>
      <w:r>
        <w:rPr>
          <w:rFonts w:ascii="宋体" w:hAnsi="宋体" w:cs="宋体" w:eastAsia="宋体" w:hint="default"/>
          <w:w w:val="95"/>
        </w:rPr>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15"/>
        </w:rPr>
        <w:t> </w:t>
      </w:r>
      <w:r>
        <w:rPr>
          <w:rFonts w:ascii="宋体" w:hAnsi="宋体" w:cs="宋体" w:eastAsia="宋体" w:hint="default"/>
          <w:spacing w:val="3"/>
        </w:rPr>
        <w:t>年，公司全面落实“聚焦”战略，推行以投资收益为导向的科学建设方法，积极探索互联网化网络建设、运</w:t>
      </w:r>
      <w:r>
        <w:rPr>
          <w:rFonts w:ascii="宋体" w:hAnsi="宋体" w:cs="宋体" w:eastAsia="宋体" w:hint="default"/>
        </w:rPr>
      </w:r>
    </w:p>
    <w:p>
      <w:pPr>
        <w:pStyle w:val="BodyText"/>
        <w:spacing w:line="285" w:lineRule="auto" w:before="44"/>
        <w:ind w:left="717" w:right="1415"/>
        <w:jc w:val="both"/>
        <w:rPr>
          <w:rFonts w:ascii="宋体" w:hAnsi="宋体" w:cs="宋体" w:eastAsia="宋体" w:hint="default"/>
        </w:rPr>
      </w:pPr>
      <w:r>
        <w:rPr>
          <w:rFonts w:ascii="宋体" w:hAnsi="宋体" w:cs="宋体" w:eastAsia="宋体" w:hint="default"/>
        </w:rPr>
        <w:t>营和优化的新模式，从用户角度打造一张覆盖好、上网快的高品质网络。截至</w:t>
      </w:r>
      <w:r>
        <w:rPr>
          <w:rFonts w:ascii="宋体" w:hAnsi="宋体" w:cs="宋体" w:eastAsia="宋体" w:hint="default"/>
          <w:spacing w:val="-41"/>
        </w:rPr>
        <w:t> </w:t>
      </w:r>
      <w:r>
        <w:rPr>
          <w:rFonts w:ascii="宋体" w:hAnsi="宋体" w:cs="宋体" w:eastAsia="宋体" w:hint="default"/>
        </w:rPr>
        <w:t>2018</w:t>
      </w:r>
      <w:r>
        <w:rPr>
          <w:rFonts w:ascii="宋体" w:hAnsi="宋体" w:cs="宋体" w:eastAsia="宋体" w:hint="default"/>
          <w:spacing w:val="-41"/>
        </w:rPr>
        <w:t> </w:t>
      </w:r>
      <w:r>
        <w:rPr>
          <w:rFonts w:ascii="宋体" w:hAnsi="宋体" w:cs="宋体" w:eastAsia="宋体" w:hint="default"/>
        </w:rPr>
        <w:t>年底，4G</w:t>
      </w:r>
      <w:r>
        <w:rPr>
          <w:rFonts w:ascii="宋体" w:hAnsi="宋体" w:cs="宋体" w:eastAsia="宋体" w:hint="default"/>
          <w:spacing w:val="-41"/>
        </w:rPr>
        <w:t> </w:t>
      </w:r>
      <w:r>
        <w:rPr>
          <w:rFonts w:ascii="宋体" w:hAnsi="宋体" w:cs="宋体" w:eastAsia="宋体" w:hint="default"/>
        </w:rPr>
        <w:t>基站达到</w:t>
      </w:r>
      <w:r>
        <w:rPr>
          <w:rFonts w:ascii="宋体" w:hAnsi="宋体" w:cs="宋体" w:eastAsia="宋体" w:hint="default"/>
          <w:spacing w:val="-41"/>
        </w:rPr>
        <w:t> </w:t>
      </w:r>
      <w:r>
        <w:rPr>
          <w:rFonts w:ascii="宋体" w:hAnsi="宋体" w:cs="宋体" w:eastAsia="宋体" w:hint="default"/>
        </w:rPr>
        <w:t>98.7</w:t>
      </w:r>
      <w:r>
        <w:rPr>
          <w:rFonts w:ascii="宋体" w:hAnsi="宋体" w:cs="宋体" w:eastAsia="宋体" w:hint="default"/>
          <w:spacing w:val="-41"/>
        </w:rPr>
        <w:t> </w:t>
      </w:r>
      <w:r>
        <w:rPr>
          <w:rFonts w:ascii="宋体" w:hAnsi="宋体" w:cs="宋体" w:eastAsia="宋体" w:hint="default"/>
        </w:rPr>
        <w:t>万站，</w:t>
      </w:r>
      <w:r>
        <w:rPr>
          <w:rFonts w:ascii="宋体" w:hAnsi="宋体" w:cs="宋体" w:eastAsia="宋体" w:hint="default"/>
        </w:rPr>
        <w:t> </w:t>
      </w:r>
      <w:r>
        <w:rPr>
          <w:rFonts w:ascii="宋体" w:hAnsi="宋体" w:cs="宋体" w:eastAsia="宋体" w:hint="default"/>
          <w:w w:val="105"/>
        </w:rPr>
        <w:t>4G</w:t>
      </w:r>
      <w:r>
        <w:rPr>
          <w:rFonts w:ascii="宋体" w:hAnsi="宋体" w:cs="宋体" w:eastAsia="宋体" w:hint="default"/>
          <w:spacing w:val="-53"/>
          <w:w w:val="105"/>
        </w:rPr>
        <w:t> </w:t>
      </w:r>
      <w:r>
        <w:rPr>
          <w:rFonts w:ascii="宋体" w:hAnsi="宋体" w:cs="宋体" w:eastAsia="宋体" w:hint="default"/>
          <w:w w:val="105"/>
        </w:rPr>
        <w:t>乡镇覆盖率达到</w:t>
      </w:r>
      <w:r>
        <w:rPr>
          <w:rFonts w:ascii="宋体" w:hAnsi="宋体" w:cs="宋体" w:eastAsia="宋体" w:hint="default"/>
          <w:spacing w:val="-53"/>
          <w:w w:val="105"/>
        </w:rPr>
        <w:t> </w:t>
      </w:r>
      <w:r>
        <w:rPr>
          <w:rFonts w:ascii="宋体" w:hAnsi="宋体" w:cs="宋体" w:eastAsia="宋体" w:hint="default"/>
          <w:w w:val="105"/>
        </w:rPr>
        <w:t>91%，固定网络方面继续扩大新增区域网络覆盖和</w:t>
      </w:r>
      <w:r>
        <w:rPr>
          <w:rFonts w:ascii="宋体" w:hAnsi="宋体" w:cs="宋体" w:eastAsia="宋体" w:hint="default"/>
          <w:spacing w:val="-53"/>
          <w:w w:val="105"/>
        </w:rPr>
        <w:t> </w:t>
      </w:r>
      <w:r>
        <w:rPr>
          <w:rFonts w:ascii="宋体" w:hAnsi="宋体" w:cs="宋体" w:eastAsia="宋体" w:hint="default"/>
          <w:w w:val="105"/>
        </w:rPr>
        <w:t>PON+LAN</w:t>
      </w:r>
      <w:r>
        <w:rPr>
          <w:rFonts w:ascii="宋体" w:hAnsi="宋体" w:cs="宋体" w:eastAsia="宋体" w:hint="default"/>
          <w:spacing w:val="-53"/>
          <w:w w:val="105"/>
        </w:rPr>
        <w:t> </w:t>
      </w:r>
      <w:r>
        <w:rPr>
          <w:rFonts w:ascii="宋体" w:hAnsi="宋体" w:cs="宋体" w:eastAsia="宋体" w:hint="default"/>
          <w:w w:val="105"/>
        </w:rPr>
        <w:t>区域网络改造，宽带端口总数达</w:t>
      </w:r>
      <w:r>
        <w:rPr>
          <w:rFonts w:ascii="宋体" w:hAnsi="宋体" w:cs="宋体" w:eastAsia="宋体" w:hint="default"/>
          <w:spacing w:val="1"/>
        </w:rPr>
        <w:t> </w:t>
      </w:r>
      <w:r>
        <w:rPr>
          <w:rFonts w:ascii="宋体" w:hAnsi="宋体" w:cs="宋体" w:eastAsia="宋体" w:hint="default"/>
          <w:w w:val="105"/>
        </w:rPr>
        <w:t>到</w:t>
      </w:r>
      <w:r>
        <w:rPr>
          <w:rFonts w:ascii="宋体" w:hAnsi="宋体" w:cs="宋体" w:eastAsia="宋体" w:hint="default"/>
          <w:spacing w:val="-62"/>
          <w:w w:val="105"/>
        </w:rPr>
        <w:t> </w:t>
      </w:r>
      <w:r>
        <w:rPr>
          <w:rFonts w:ascii="宋体" w:hAnsi="宋体" w:cs="宋体" w:eastAsia="宋体" w:hint="default"/>
          <w:w w:val="105"/>
        </w:rPr>
        <w:t>2.15</w:t>
      </w:r>
      <w:r>
        <w:rPr>
          <w:rFonts w:ascii="宋体" w:hAnsi="宋体" w:cs="宋体" w:eastAsia="宋体" w:hint="default"/>
          <w:spacing w:val="-62"/>
          <w:w w:val="105"/>
        </w:rPr>
        <w:t> </w:t>
      </w:r>
      <w:r>
        <w:rPr>
          <w:rFonts w:ascii="宋体" w:hAnsi="宋体" w:cs="宋体" w:eastAsia="宋体" w:hint="default"/>
          <w:spacing w:val="-9"/>
          <w:w w:val="105"/>
        </w:rPr>
        <w:t>亿个，其中</w:t>
      </w:r>
      <w:r>
        <w:rPr>
          <w:rFonts w:ascii="宋体" w:hAnsi="宋体" w:cs="宋体" w:eastAsia="宋体" w:hint="default"/>
          <w:spacing w:val="-62"/>
          <w:w w:val="105"/>
        </w:rPr>
        <w:t> </w:t>
      </w:r>
      <w:r>
        <w:rPr>
          <w:rFonts w:ascii="宋体" w:hAnsi="宋体" w:cs="宋体" w:eastAsia="宋体" w:hint="default"/>
          <w:w w:val="105"/>
        </w:rPr>
        <w:t>FTTH</w:t>
      </w:r>
      <w:r>
        <w:rPr>
          <w:rFonts w:ascii="宋体" w:hAnsi="宋体" w:cs="宋体" w:eastAsia="宋体" w:hint="default"/>
          <w:spacing w:val="-62"/>
          <w:w w:val="105"/>
        </w:rPr>
        <w:t> </w:t>
      </w:r>
      <w:r>
        <w:rPr>
          <w:rFonts w:ascii="宋体" w:hAnsi="宋体" w:cs="宋体" w:eastAsia="宋体" w:hint="default"/>
          <w:w w:val="105"/>
        </w:rPr>
        <w:t>端口占比</w:t>
      </w:r>
      <w:r>
        <w:rPr>
          <w:rFonts w:ascii="宋体" w:hAnsi="宋体" w:cs="宋体" w:eastAsia="宋体" w:hint="default"/>
          <w:spacing w:val="-62"/>
          <w:w w:val="105"/>
        </w:rPr>
        <w:t> </w:t>
      </w:r>
      <w:r>
        <w:rPr>
          <w:rFonts w:ascii="宋体" w:hAnsi="宋体" w:cs="宋体" w:eastAsia="宋体" w:hint="default"/>
          <w:spacing w:val="-5"/>
          <w:w w:val="105"/>
        </w:rPr>
        <w:t>82.3%。传送网新增</w:t>
      </w:r>
      <w:r>
        <w:rPr>
          <w:rFonts w:ascii="宋体" w:hAnsi="宋体" w:cs="宋体" w:eastAsia="宋体" w:hint="default"/>
          <w:spacing w:val="-62"/>
          <w:w w:val="105"/>
        </w:rPr>
        <w:t> </w:t>
      </w:r>
      <w:r>
        <w:rPr>
          <w:rFonts w:ascii="宋体" w:hAnsi="宋体" w:cs="宋体" w:eastAsia="宋体" w:hint="default"/>
          <w:w w:val="105"/>
        </w:rPr>
        <w:t>WDM/OTN</w:t>
      </w:r>
      <w:r>
        <w:rPr>
          <w:rFonts w:ascii="宋体" w:hAnsi="宋体" w:cs="宋体" w:eastAsia="宋体" w:hint="default"/>
          <w:spacing w:val="-61"/>
          <w:w w:val="105"/>
        </w:rPr>
        <w:t> </w:t>
      </w:r>
      <w:r>
        <w:rPr>
          <w:rFonts w:ascii="宋体" w:hAnsi="宋体" w:cs="宋体" w:eastAsia="宋体" w:hint="default"/>
          <w:w w:val="105"/>
        </w:rPr>
        <w:t>生产能力</w:t>
      </w:r>
      <w:r>
        <w:rPr>
          <w:rFonts w:ascii="宋体" w:hAnsi="宋体" w:cs="宋体" w:eastAsia="宋体" w:hint="default"/>
          <w:spacing w:val="-62"/>
          <w:w w:val="105"/>
        </w:rPr>
        <w:t> </w:t>
      </w:r>
      <w:r>
        <w:rPr>
          <w:rFonts w:ascii="宋体" w:hAnsi="宋体" w:cs="宋体" w:eastAsia="宋体" w:hint="default"/>
          <w:w w:val="105"/>
        </w:rPr>
        <w:t>198.2</w:t>
      </w:r>
      <w:r>
        <w:rPr>
          <w:rFonts w:ascii="宋体" w:hAnsi="宋体" w:cs="宋体" w:eastAsia="宋体" w:hint="default"/>
          <w:spacing w:val="-62"/>
          <w:w w:val="105"/>
        </w:rPr>
        <w:t> </w:t>
      </w:r>
      <w:r>
        <w:rPr>
          <w:rFonts w:ascii="宋体" w:hAnsi="宋体" w:cs="宋体" w:eastAsia="宋体" w:hint="default"/>
          <w:spacing w:val="-4"/>
          <w:w w:val="105"/>
        </w:rPr>
        <w:t>万波长公里，新建光缆干线</w:t>
      </w:r>
      <w:r>
        <w:rPr>
          <w:rFonts w:ascii="宋体" w:hAnsi="宋体" w:cs="宋体" w:eastAsia="宋体" w:hint="default"/>
          <w:spacing w:val="-62"/>
          <w:w w:val="105"/>
        </w:rPr>
        <w:t> </w:t>
      </w:r>
      <w:r>
        <w:rPr>
          <w:rFonts w:ascii="宋体" w:hAnsi="宋体" w:cs="宋体" w:eastAsia="宋体" w:hint="default"/>
          <w:w w:val="105"/>
        </w:rPr>
        <w:t>4,781</w:t>
      </w:r>
      <w:r>
        <w:rPr>
          <w:rFonts w:ascii="宋体" w:hAnsi="宋体" w:cs="宋体" w:eastAsia="宋体" w:hint="default"/>
          <w:w w:val="99"/>
        </w:rPr>
        <w:t> </w:t>
      </w:r>
      <w:r>
        <w:rPr>
          <w:rFonts w:ascii="宋体" w:hAnsi="宋体" w:cs="宋体" w:eastAsia="宋体" w:hint="default"/>
        </w:rPr>
        <w:t>皮长公里，折合</w:t>
      </w:r>
      <w:r>
        <w:rPr>
          <w:rFonts w:ascii="宋体" w:hAnsi="宋体" w:cs="宋体" w:eastAsia="宋体" w:hint="default"/>
          <w:spacing w:val="-51"/>
        </w:rPr>
        <w:t> </w:t>
      </w:r>
      <w:r>
        <w:rPr>
          <w:rFonts w:ascii="宋体" w:hAnsi="宋体" w:cs="宋体" w:eastAsia="宋体" w:hint="default"/>
        </w:rPr>
        <w:t>26.7</w:t>
      </w:r>
      <w:r>
        <w:rPr>
          <w:rFonts w:ascii="宋体" w:hAnsi="宋体" w:cs="宋体" w:eastAsia="宋体" w:hint="default"/>
          <w:spacing w:val="-52"/>
        </w:rPr>
        <w:t> </w:t>
      </w:r>
      <w:r>
        <w:rPr>
          <w:rFonts w:ascii="宋体" w:hAnsi="宋体" w:cs="宋体" w:eastAsia="宋体" w:hint="default"/>
        </w:rPr>
        <w:t>万纤芯公里。</w:t>
      </w:r>
    </w:p>
    <w:p>
      <w:pPr>
        <w:pStyle w:val="BodyText"/>
        <w:spacing w:line="285" w:lineRule="auto" w:before="123"/>
        <w:ind w:left="717" w:right="1314"/>
        <w:jc w:val="left"/>
        <w:rPr>
          <w:rFonts w:ascii="宋体" w:hAnsi="宋体" w:cs="宋体" w:eastAsia="宋体" w:hint="default"/>
        </w:rPr>
      </w:pPr>
      <w:r>
        <w:rPr>
          <w:rFonts w:ascii="宋体" w:hAnsi="宋体" w:cs="宋体" w:eastAsia="宋体" w:hint="default"/>
        </w:rPr>
        <w:t>公司持续完善国际网络布局。截至</w:t>
      </w:r>
      <w:r>
        <w:rPr>
          <w:rFonts w:ascii="宋体" w:hAnsi="宋体" w:cs="宋体" w:eastAsia="宋体" w:hint="default"/>
          <w:spacing w:val="-42"/>
        </w:rPr>
        <w:t> </w:t>
      </w:r>
      <w:r>
        <w:rPr>
          <w:rFonts w:ascii="宋体" w:hAnsi="宋体" w:cs="宋体" w:eastAsia="宋体" w:hint="default"/>
          <w:spacing w:val="-1"/>
          <w:w w:val="111"/>
        </w:rPr>
        <w:t>2018</w:t>
      </w:r>
      <w:r>
        <w:rPr>
          <w:rFonts w:ascii="宋体" w:hAnsi="宋体" w:cs="宋体" w:eastAsia="宋体" w:hint="default"/>
          <w:spacing w:val="-52"/>
          <w:w w:val="111"/>
        </w:rPr>
        <w:t> </w:t>
      </w:r>
      <w:r>
        <w:rPr>
          <w:rFonts w:ascii="宋体" w:hAnsi="宋体" w:cs="宋体" w:eastAsia="宋体" w:hint="default"/>
        </w:rPr>
        <w:t>年底，国际海缆资源容量达到</w:t>
      </w:r>
      <w:r>
        <w:rPr>
          <w:rFonts w:ascii="宋体" w:hAnsi="宋体" w:cs="宋体" w:eastAsia="宋体" w:hint="default"/>
          <w:spacing w:val="-42"/>
        </w:rPr>
        <w:t> </w:t>
      </w:r>
      <w:r>
        <w:rPr>
          <w:rFonts w:ascii="宋体" w:hAnsi="宋体" w:cs="宋体" w:eastAsia="宋体" w:hint="default"/>
          <w:spacing w:val="-1"/>
          <w:w w:val="100"/>
        </w:rPr>
        <w:t>21.75T；互联网国际出口容量</w:t>
      </w:r>
      <w:r>
        <w:rPr>
          <w:rFonts w:ascii="宋体" w:hAnsi="宋体" w:cs="宋体" w:eastAsia="宋体" w:hint="default"/>
          <w:spacing w:val="-43"/>
          <w:w w:val="100"/>
        </w:rPr>
        <w:t> </w:t>
      </w:r>
      <w:r>
        <w:rPr>
          <w:rFonts w:ascii="宋体" w:hAnsi="宋体" w:cs="宋体" w:eastAsia="宋体" w:hint="default"/>
          <w:spacing w:val="-1"/>
          <w:w w:val="98"/>
        </w:rPr>
        <w:t>2.2T，回国带</w:t>
      </w:r>
      <w:r>
        <w:rPr>
          <w:rFonts w:ascii="宋体" w:hAnsi="宋体" w:cs="宋体" w:eastAsia="宋体" w:hint="default"/>
          <w:spacing w:val="-86"/>
          <w:w w:val="98"/>
        </w:rPr>
        <w:t> </w:t>
      </w:r>
      <w:r>
        <w:rPr>
          <w:rFonts w:ascii="宋体" w:hAnsi="宋体" w:cs="宋体" w:eastAsia="宋体" w:hint="default"/>
          <w:spacing w:val="-86"/>
          <w:w w:val="98"/>
        </w:rPr>
      </w:r>
      <w:r>
        <w:rPr>
          <w:rFonts w:ascii="宋体" w:hAnsi="宋体" w:cs="宋体" w:eastAsia="宋体" w:hint="default"/>
        </w:rPr>
        <w:t>宽</w:t>
      </w:r>
      <w:r>
        <w:rPr>
          <w:rFonts w:ascii="宋体" w:hAnsi="宋体" w:cs="宋体" w:eastAsia="宋体" w:hint="default"/>
          <w:spacing w:val="-34"/>
        </w:rPr>
        <w:t> </w:t>
      </w:r>
      <w:r>
        <w:rPr>
          <w:rFonts w:ascii="宋体" w:hAnsi="宋体" w:cs="宋体" w:eastAsia="宋体" w:hint="default"/>
        </w:rPr>
        <w:t>2.37T；国际漫游覆盖达到</w:t>
      </w:r>
      <w:r>
        <w:rPr>
          <w:rFonts w:ascii="宋体" w:hAnsi="宋体" w:cs="宋体" w:eastAsia="宋体" w:hint="default"/>
          <w:spacing w:val="-35"/>
        </w:rPr>
        <w:t> </w:t>
      </w:r>
      <w:r>
        <w:rPr>
          <w:rFonts w:ascii="宋体" w:hAnsi="宋体" w:cs="宋体" w:eastAsia="宋体" w:hint="default"/>
        </w:rPr>
        <w:t>253</w:t>
      </w:r>
      <w:r>
        <w:rPr>
          <w:rFonts w:ascii="宋体" w:hAnsi="宋体" w:cs="宋体" w:eastAsia="宋体" w:hint="default"/>
          <w:spacing w:val="-35"/>
        </w:rPr>
        <w:t> </w:t>
      </w:r>
      <w:r>
        <w:rPr>
          <w:rFonts w:ascii="宋体" w:hAnsi="宋体" w:cs="宋体" w:eastAsia="宋体" w:hint="default"/>
        </w:rPr>
        <w:t>个国家和地区的</w:t>
      </w:r>
      <w:r>
        <w:rPr>
          <w:rFonts w:ascii="宋体" w:hAnsi="宋体" w:cs="宋体" w:eastAsia="宋体" w:hint="default"/>
          <w:spacing w:val="-34"/>
        </w:rPr>
        <w:t> </w:t>
      </w:r>
      <w:r>
        <w:rPr>
          <w:rFonts w:ascii="宋体" w:hAnsi="宋体" w:cs="宋体" w:eastAsia="宋体" w:hint="default"/>
        </w:rPr>
        <w:t>616</w:t>
      </w:r>
      <w:r>
        <w:rPr>
          <w:rFonts w:ascii="宋体" w:hAnsi="宋体" w:cs="宋体" w:eastAsia="宋体" w:hint="default"/>
          <w:spacing w:val="-35"/>
        </w:rPr>
        <w:t> </w:t>
      </w:r>
      <w:r>
        <w:rPr>
          <w:rFonts w:ascii="宋体" w:hAnsi="宋体" w:cs="宋体" w:eastAsia="宋体" w:hint="default"/>
        </w:rPr>
        <w:t>家运营商。</w:t>
      </w:r>
    </w:p>
    <w:p>
      <w:pPr>
        <w:pStyle w:val="BodyText"/>
        <w:spacing w:line="240" w:lineRule="auto" w:before="123"/>
        <w:ind w:left="490" w:right="1314"/>
        <w:jc w:val="left"/>
        <w:rPr>
          <w:rFonts w:ascii="宋体" w:hAnsi="宋体" w:cs="宋体" w:eastAsia="宋体" w:hint="default"/>
        </w:rPr>
      </w:pPr>
      <w:r>
        <w:rPr>
          <w:rFonts w:ascii="宋体" w:hAnsi="宋体" w:cs="宋体" w:eastAsia="宋体" w:hint="default"/>
          <w:color w:val="D7000F"/>
          <w:w w:val="95"/>
        </w:rPr>
        <w:t>5.</w:t>
      </w:r>
      <w:r>
        <w:rPr>
          <w:rFonts w:ascii="宋体" w:hAnsi="宋体" w:cs="宋体" w:eastAsia="宋体" w:hint="default"/>
          <w:color w:val="D7000F"/>
          <w:spacing w:val="-26"/>
          <w:w w:val="95"/>
        </w:rPr>
        <w:t> </w:t>
      </w:r>
      <w:r>
        <w:rPr>
          <w:rFonts w:ascii="宋体" w:hAnsi="宋体" w:cs="宋体" w:eastAsia="宋体" w:hint="default"/>
          <w:color w:val="D7000F"/>
          <w:w w:val="95"/>
        </w:rPr>
        <w:t>市场营销</w:t>
      </w:r>
      <w:r>
        <w:rPr>
          <w:rFonts w:ascii="宋体" w:hAnsi="宋体" w:cs="宋体" w:eastAsia="宋体" w:hint="default"/>
          <w:w w:val="95"/>
        </w:rPr>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rPr>
        <w:t>1）品牌策略</w:t>
      </w:r>
    </w:p>
    <w:p>
      <w:pPr>
        <w:pStyle w:val="BodyText"/>
        <w:spacing w:line="285" w:lineRule="auto" w:before="157"/>
        <w:ind w:left="717" w:right="1412"/>
        <w:jc w:val="both"/>
        <w:rPr>
          <w:rFonts w:ascii="宋体" w:hAnsi="宋体" w:cs="宋体" w:eastAsia="宋体" w:hint="default"/>
        </w:rPr>
      </w:pPr>
      <w:r>
        <w:rPr>
          <w:rFonts w:ascii="宋体" w:hAnsi="宋体" w:cs="宋体" w:eastAsia="宋体" w:hint="default"/>
        </w:rPr>
        <w:t>2018 </w:t>
      </w:r>
      <w:r>
        <w:rPr>
          <w:rFonts w:ascii="宋体" w:hAnsi="宋体" w:cs="宋体" w:eastAsia="宋体" w:hint="default"/>
          <w:spacing w:val="2"/>
        </w:rPr>
        <w:t>年，公司借力冬奥、世界杯、世乒赛等大事件，强化品牌形象、5G、移网及宽带等重点业务宣传，持续通过</w:t>
      </w:r>
      <w:r>
        <w:rPr>
          <w:rFonts w:ascii="宋体" w:hAnsi="宋体" w:cs="宋体" w:eastAsia="宋体" w:hint="default"/>
          <w:spacing w:val="-31"/>
        </w:rPr>
        <w:t> </w:t>
      </w:r>
      <w:r>
        <w:rPr>
          <w:rFonts w:ascii="宋体" w:hAnsi="宋体" w:cs="宋体" w:eastAsia="宋体" w:hint="default"/>
          <w:spacing w:val="-31"/>
        </w:rPr>
      </w:r>
      <w:r>
        <w:rPr>
          <w:rFonts w:ascii="宋体" w:hAnsi="宋体" w:cs="宋体" w:eastAsia="宋体" w:hint="default"/>
        </w:rPr>
        <w:t>线上互联网精准传播、线下活动创新推广提升业务口碑。同时，策划发布沃品牌卡通形象、智慧联盟等，深入推进</w:t>
      </w:r>
      <w:r>
        <w:rPr>
          <w:rFonts w:ascii="宋体" w:hAnsi="宋体" w:cs="宋体" w:eastAsia="宋体" w:hint="default"/>
          <w:spacing w:val="-46"/>
        </w:rPr>
        <w:t> </w:t>
      </w:r>
      <w:r>
        <w:rPr>
          <w:rFonts w:ascii="宋体" w:hAnsi="宋体" w:cs="宋体" w:eastAsia="宋体" w:hint="default"/>
          <w:spacing w:val="-46"/>
        </w:rPr>
      </w:r>
      <w:r>
        <w:rPr>
          <w:rFonts w:ascii="宋体" w:hAnsi="宋体" w:cs="宋体" w:eastAsia="宋体" w:hint="default"/>
        </w:rPr>
        <w:t>品牌互联网化。</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7"/>
          <w:szCs w:val="17"/>
        </w:rPr>
      </w:pPr>
    </w:p>
    <w:p>
      <w:pPr>
        <w:spacing w:after="0" w:line="240" w:lineRule="auto"/>
        <w:rPr>
          <w:rFonts w:ascii="宋体" w:hAnsi="宋体" w:cs="宋体" w:eastAsia="宋体" w:hint="default"/>
          <w:sz w:val="17"/>
          <w:szCs w:val="17"/>
        </w:rPr>
        <w:sectPr>
          <w:headerReference w:type="even" r:id="rId121"/>
          <w:footerReference w:type="even" r:id="rId122"/>
          <w:pgSz w:w="11910" w:h="16160"/>
          <w:pgMar w:header="0" w:footer="0" w:top="2360" w:bottom="0" w:left="700" w:right="0"/>
        </w:sectPr>
      </w:pPr>
    </w:p>
    <w:p>
      <w:pPr>
        <w:tabs>
          <w:tab w:pos="5277" w:val="left" w:leader="none"/>
        </w:tabs>
        <w:spacing w:before="61"/>
        <w:ind w:left="114" w:right="0" w:firstLine="0"/>
        <w:jc w:val="left"/>
        <w:rPr>
          <w:rFonts w:ascii="宋体" w:hAnsi="宋体" w:cs="宋体" w:eastAsia="宋体" w:hint="default"/>
          <w:sz w:val="16"/>
          <w:szCs w:val="16"/>
        </w:rPr>
      </w:pPr>
      <w:r>
        <w:rPr/>
        <w:pict>
          <v:group style="position:absolute;margin-left:-.5pt;margin-top:119.055023pt;width:596.3pt;height:689.35pt;mso-position-horizontal-relative:page;mso-position-vertical-relative:page;z-index:-966688" coordorigin="-10,2381" coordsize="11926,13787">
            <v:shape style="position:absolute;left:9259;top:6539;width:340;height:340" type="#_x0000_t75" stroked="false">
              <v:imagedata r:id="rId85" o:title=""/>
            </v:shape>
            <v:group style="position:absolute;left:5621;top:6695;width:3823;height:4059" coordorigin="5621,6695" coordsize="3823,4059">
              <v:shape style="position:absolute;left:5621;top:6695;width:3823;height:4059" coordorigin="5621,6695" coordsize="3823,4059" path="m9443,6695l5621,10753e" filled="false" stroked="true" strokeweight="1pt" strokecolor="#9c8758">
                <v:path arrowok="t"/>
              </v:shape>
            </v:group>
            <v:group style="position:absolute;left:0;top:2500;width:7159;height:7304" coordorigin="0,2500" coordsize="7159,7304">
              <v:shape style="position:absolute;left:0;top:2500;width:7159;height:7304" coordorigin="0,2500" coordsize="7159,7304" path="m337,9804l0,9804,0,6187,3444,2500,7159,2500,337,9804xe" filled="true" fillcolor="#8e9090" stroked="false">
                <v:path arrowok="t"/>
                <v:fill type="solid"/>
              </v:shape>
            </v:group>
            <v:group style="position:absolute;left:6181;top:9987;width:5725;height:6171" coordorigin="6181,9987" coordsize="5725,6171">
              <v:shape style="position:absolute;left:6181;top:9987;width:5725;height:6171" coordorigin="6181,9987" coordsize="5725,6171" path="m11906,16157l6181,16157,11906,9987,11906,16157xe" filled="true" fillcolor="#8e9090" stroked="false">
                <v:path arrowok="t"/>
                <v:fill type="solid"/>
              </v:shape>
            </v:group>
            <v:group style="position:absolute;left:6816;top:10672;width:5090;height:5486" coordorigin="6816,10672" coordsize="5090,5486">
              <v:shape style="position:absolute;left:6816;top:10672;width:5090;height:5486" coordorigin="6816,10672" coordsize="5090,5486" path="m11906,16157l6816,16157,11906,10672,11906,16157xe" filled="true" fillcolor="#d7000f" stroked="false">
                <v:path arrowok="t"/>
                <v:fill type="solid"/>
              </v:shape>
              <v:shape style="position:absolute;left:2072;top:2665;width:340;height:340" type="#_x0000_t75" stroked="false">
                <v:imagedata r:id="rId86" o:title=""/>
              </v:shape>
            </v:group>
            <v:group style="position:absolute;left:0;top:2778;width:2299;height:2474" coordorigin="0,2778" coordsize="2299,2474">
              <v:shape style="position:absolute;left:0;top:2778;width:2299;height:2474" coordorigin="0,2778" coordsize="2299,2474" path="m2298,2778l0,5252e" filled="false" stroked="true" strokeweight="1pt" strokecolor="#000000">
                <v:path arrowok="t"/>
              </v:shape>
            </v:group>
            <v:group style="position:absolute;left:0;top:12410;width:434;height:447" coordorigin="0,12410" coordsize="434,447">
              <v:shape style="position:absolute;left:0;top:12410;width:434;height:447" coordorigin="0,12410" coordsize="434,447" path="m433,12410l0,12857e" filled="false" stroked="true" strokeweight="1pt" strokecolor="#8e9090">
                <v:path arrowok="t"/>
              </v:shape>
              <v:shape style="position:absolute;left:298;top:12307;width:241;height:241" type="#_x0000_t75" stroked="false">
                <v:imagedata r:id="rId87" o:title=""/>
              </v:shape>
            </v:group>
            <v:group style="position:absolute;left:4935;top:12190;width:3851;height:3968" coordorigin="4935,12190" coordsize="3851,3968">
              <v:shape style="position:absolute;left:4935;top:12190;width:3851;height:3968" coordorigin="4935,12190" coordsize="3851,3968" path="m8785,12190l4935,16157e" filled="false" stroked="true" strokeweight="1pt" strokecolor="#8e9090">
                <v:path arrowok="t"/>
              </v:shape>
              <v:shape style="position:absolute;left:8634;top:12076;width:268;height:268" type="#_x0000_t75" stroked="false">
                <v:imagedata r:id="rId88" o:title=""/>
              </v:shape>
            </v:group>
            <v:group style="position:absolute;left:8600;top:13607;width:2475;height:2551" coordorigin="8600,13607" coordsize="2475,2551">
              <v:shape style="position:absolute;left:8600;top:13607;width:2475;height:2551" coordorigin="8600,13607" coordsize="2475,2551" path="m11075,13607l8600,16157e" filled="false" stroked="true" strokeweight="1pt" strokecolor="#d7000f">
                <v:path arrowok="t"/>
              </v:shape>
              <v:shape style="position:absolute;left:10923;top:13493;width:268;height:268" type="#_x0000_t75" stroked="false">
                <v:imagedata r:id="rId89" o:title=""/>
              </v:shape>
            </v:group>
            <v:group style="position:absolute;left:2349;top:8171;width:7527;height:7987" coordorigin="2349,8171" coordsize="7527,7987">
              <v:shape style="position:absolute;left:2349;top:8171;width:7527;height:7987" coordorigin="2349,8171" coordsize="7527,7987" path="m9876,8171l2349,16157e" filled="false" stroked="true" strokeweight="1pt" strokecolor="#000000">
                <v:path arrowok="t"/>
              </v:shape>
              <v:shape style="position:absolute;left:11425;top:3255;width:491;height:500" type="#_x0000_t75" stroked="false">
                <v:imagedata r:id="rId90" o:title=""/>
              </v:shape>
            </v:group>
            <v:group style="position:absolute;left:6123;top:8308;width:5783;height:7850" coordorigin="6123,8308" coordsize="5783,7850">
              <v:shape style="position:absolute;left:6123;top:8308;width:5783;height:7850" coordorigin="6123,8308" coordsize="5783,7850" path="m11906,16157l11906,8308,6123,8308,6123,16157,11906,16157xe" filled="true" fillcolor="#ffffff" stroked="false">
                <v:path arrowok="t"/>
                <v:fill type="solid"/>
              </v:shape>
            </v:group>
            <v:group style="position:absolute;left:0;top:2381;width:10656;height:12867" coordorigin="0,2381" coordsize="10656,12867">
              <v:shape style="position:absolute;left:0;top:2381;width:10656;height:12867" coordorigin="0,2381" coordsize="10656,12867" path="m0,2381l0,15248,10655,15248,10655,2381,0,2381xe" filled="true" fillcolor="#ffffff" stroked="false">
                <v:path arrowok="t"/>
                <v:fill type="solid"/>
              </v:shape>
            </v:group>
            <w10:wrap type="none"/>
          </v:group>
        </w:pict>
      </w:r>
      <w:r>
        <w:rPr>
          <w:rFonts w:ascii="Arial" w:hAnsi="Arial" w:cs="Arial" w:eastAsia="Arial" w:hint="default"/>
          <w:b/>
          <w:bCs/>
          <w:color w:val="9C8758"/>
          <w:spacing w:val="-1"/>
          <w:position w:val="2"/>
          <w:sz w:val="16"/>
          <w:szCs w:val="16"/>
        </w:rPr>
        <w:t>28</w:t>
        <w:tab/>
      </w:r>
      <w:r>
        <w:rPr>
          <w:rFonts w:ascii="宋体" w:hAnsi="宋体" w:cs="宋体" w:eastAsia="宋体" w:hint="default"/>
          <w:color w:val="595757"/>
          <w:spacing w:val="24"/>
          <w:sz w:val="16"/>
          <w:szCs w:val="16"/>
        </w:rPr>
        <w:t>经营情况讨论与分析</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0"/>
          <w:cols w:num="2" w:equalWidth="0">
            <w:col w:w="6977" w:space="191"/>
            <w:col w:w="4042"/>
          </w:cols>
        </w:sectPr>
      </w:pPr>
    </w:p>
    <w:p>
      <w:pPr>
        <w:spacing w:line="240" w:lineRule="auto" w:before="0"/>
        <w:rPr>
          <w:rFonts w:ascii="宋体" w:hAnsi="宋体" w:cs="宋体" w:eastAsia="宋体" w:hint="default"/>
          <w:sz w:val="20"/>
          <w:szCs w:val="20"/>
        </w:rPr>
      </w:pPr>
      <w:r>
        <w:rPr/>
        <w:pict>
          <v:group style="position:absolute;margin-left:-.500001pt;margin-top:-1.499958pt;width:596.3pt;height:809.9pt;mso-position-horizontal-relative:page;mso-position-vertical-relative:page;z-index:-966664" coordorigin="-10,-30" coordsize="11926,16198">
            <v:group style="position:absolute;left:0;top:0;width:11906;height:16158" coordorigin="0,0" coordsize="11906,16158">
              <v:shape style="position:absolute;left:0;top:0;width:11906;height:16158" coordorigin="0,0" coordsize="11906,16158" path="m444,16157l0,16157,0,9987,9267,0,11906,0,11906,3804,444,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7570,16157l0,16157,0,10672,9902,0,11906,0,11906,11485,7570,16157xe" filled="true" fillcolor="#d7000f" stroked="false">
                <v:path arrowok="t"/>
                <v:fill type="solid"/>
              </v:shape>
            </v:group>
            <v:group style="position:absolute;left:0;top:0;width:226;height:233" coordorigin="0,0" coordsize="226,233">
              <v:shape style="position:absolute;left:0;top:0;width:226;height:233" coordorigin="0,0" coordsize="226,233" path="m0,233l225,0e" filled="false" stroked="true" strokeweight="1pt" strokecolor="#9c8758">
                <v:path arrowok="t"/>
              </v:shape>
              <v:shape style="position:absolute;left:3646;top:14163;width:340;height:340" type="#_x0000_t75" stroked="false">
                <v:imagedata r:id="rId94" o:title=""/>
              </v:shape>
            </v:group>
            <v:group style="position:absolute;left:3802;top:11470;width:2786;height:2878" coordorigin="3802,11470" coordsize="2786,2878">
              <v:shape style="position:absolute;left:3802;top:11470;width:2786;height:2878" coordorigin="3802,11470" coordsize="2786,2878" path="m3802,14347l6587,11470e" filled="false" stroked="true" strokeweight="1pt" strokecolor="#9c8758">
                <v:path arrowok="t"/>
              </v:shape>
              <v:shape style="position:absolute;left:5371;top:1794;width:268;height:268" type="#_x0000_t75" stroked="false">
                <v:imagedata r:id="rId95" o:title=""/>
              </v:shape>
            </v:group>
            <v:group style="position:absolute;left:5412;top:0;width:1951;height:2021" coordorigin="5412,0" coordsize="1951,2021">
              <v:shape style="position:absolute;left:5412;top:0;width:1951;height:2021" coordorigin="5412,0" coordsize="1951,2021" path="m5412,2021l7362,0e" filled="false" stroked="true" strokeweight="3pt" strokecolor="#8e9090">
                <v:path arrowok="t"/>
              </v:shape>
            </v:group>
            <v:group style="position:absolute;left:5897;top:7258;width:3956;height:4261" coordorigin="5897,7258" coordsize="3956,4261">
              <v:shape style="position:absolute;left:5897;top:7258;width:3956;height:4261" coordorigin="5897,7258" coordsize="3956,4261" path="m9853,7258l5897,11519e" filled="false" stroked="true" strokeweight="1pt" strokecolor="#8e9090">
                <v:path arrowok="t"/>
              </v:shape>
              <v:shape style="position:absolute;left:9701;top:7144;width:267;height:267" type="#_x0000_t75" stroked="false">
                <v:imagedata r:id="rId96" o:title=""/>
              </v:shape>
            </v:group>
            <v:group style="position:absolute;left:10549;top:492;width:1357;height:1470" coordorigin="10549,492" coordsize="1357,1470">
              <v:shape style="position:absolute;left:10549;top:492;width:1357;height:1470" coordorigin="10549,492" coordsize="1357,1470" path="m10549,1962l11906,492e" filled="false" stroked="true" strokeweight="1.0pt" strokecolor="#000000">
                <v:path arrowok="t"/>
              </v:shape>
              <v:shape style="position:absolute;left:10433;top:1808;width:268;height:268" type="#_x0000_t75" stroked="false">
                <v:imagedata r:id="rId97" o:title=""/>
              </v:shape>
              <v:shape style="position:absolute;left:6152;top:14060;width:340;height:340" type="#_x0000_t75" stroked="false">
                <v:imagedata r:id="rId98" o:title=""/>
              </v:shape>
            </v:group>
            <v:group style="position:absolute;left:6308;top:8369;width:5598;height:5875" coordorigin="6308,8369" coordsize="5598,5875">
              <v:shape style="position:absolute;left:6308;top:8369;width:5598;height:5875" coordorigin="6308,8369" coordsize="5598,5875" path="m6308,14244l11906,8369e" filled="false" stroked="true" strokeweight="1pt" strokecolor="#9c8758">
                <v:path arrowok="t"/>
              </v:shape>
              <v:shape style="position:absolute;left:9278;top:8801;width:340;height:340" type="#_x0000_t75" stroked="false">
                <v:imagedata r:id="rId91" o:title=""/>
              </v:shape>
            </v:group>
            <v:group style="position:absolute;left:2678;top:8914;width:6827;height:7244" coordorigin="2678,8914" coordsize="6827,7244">
              <v:shape style="position:absolute;left:2678;top:8914;width:6827;height:7244" coordorigin="2678,8914" coordsize="6827,7244" path="m9504,8914l2678,16157e" filled="false" stroked="true" strokeweight="1pt" strokecolor="#000000">
                <v:path arrowok="t"/>
              </v:shape>
            </v:group>
            <v:group style="position:absolute;left:0;top:0;width:3168;height:3265" coordorigin="0,0" coordsize="3168,3265">
              <v:shape style="position:absolute;left:0;top:0;width:3168;height:3265" coordorigin="0,0" coordsize="3168,3265" path="m0,3265l3168,0e" filled="false" stroked="true" strokeweight="1pt" strokecolor="#d7000f">
                <v:path arrowok="t"/>
              </v:shape>
            </v:group>
            <v:group style="position:absolute;left:0;top:8308;width:1248;height:7850" coordorigin="0,8308" coordsize="1248,7850">
              <v:shape style="position:absolute;left:0;top:8308;width:1248;height:7850" coordorigin="0,8308" coordsize="1248,7850" path="m0,16157l1247,16157,1247,8308,0,8308,0,16157xe" filled="true" fillcolor="#ffffff" stroked="false">
                <v:path arrowok="t"/>
                <v:fill type="solid"/>
              </v:shape>
            </v:group>
            <v:group style="position:absolute;left:1247;top:2154;width:10659;height:14004" coordorigin="1247,2154" coordsize="10659,14004">
              <v:shape style="position:absolute;left:1247;top:2154;width:10659;height:14004" coordorigin="1247,2154" coordsize="10659,14004" path="m11906,16157l11906,2154,1247,2154,1247,16157,11906,16157xe" filled="true" fillcolor="#ffffff" stroked="false">
                <v:path arrowok="t"/>
                <v:fill type="solid"/>
              </v:shape>
            </v:group>
            <v:group style="position:absolute;left:10316;top:14798;width:2;height:34" coordorigin="10316,14798" coordsize="2,34">
              <v:shape style="position:absolute;left:10316;top:14798;width:2;height:34" coordorigin="10316,14798" coordsize="0,34" path="m10316,14832l10316,14798e" filled="false" stroked="true" strokeweight=".75pt" strokecolor="#ffffff">
                <v:path arrowok="t"/>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BodyText"/>
        <w:spacing w:line="240" w:lineRule="auto" w:before="31"/>
        <w:ind w:left="604" w:right="95"/>
        <w:jc w:val="left"/>
        <w:rPr>
          <w:rFonts w:ascii="宋体" w:hAnsi="宋体" w:cs="宋体" w:eastAsia="宋体" w:hint="default"/>
        </w:rPr>
      </w:pPr>
      <w:r>
        <w:rPr>
          <w:rFonts w:ascii="宋体" w:hAnsi="宋体" w:cs="宋体" w:eastAsia="宋体" w:hint="default"/>
        </w:rPr>
        <w:t>2）营销策略</w:t>
      </w:r>
    </w:p>
    <w:p>
      <w:pPr>
        <w:pStyle w:val="BodyText"/>
        <w:spacing w:line="285" w:lineRule="auto" w:before="157"/>
        <w:ind w:left="604" w:right="95"/>
        <w:jc w:val="left"/>
        <w:rPr>
          <w:rFonts w:ascii="宋体" w:hAnsi="宋体" w:cs="宋体" w:eastAsia="宋体" w:hint="default"/>
        </w:rPr>
      </w:pPr>
      <w:r>
        <w:rPr>
          <w:rFonts w:ascii="宋体" w:hAnsi="宋体" w:cs="宋体" w:eastAsia="宋体" w:hint="default"/>
        </w:rPr>
        <w:t>2018 </w:t>
      </w:r>
      <w:r>
        <w:rPr>
          <w:rFonts w:ascii="宋体" w:hAnsi="宋体" w:cs="宋体" w:eastAsia="宋体" w:hint="default"/>
          <w:spacing w:val="-3"/>
        </w:rPr>
        <w:t>年，公司强化危机意识，积极应对竞争，举全局之力，打好经营收官之战。传统有效坚持与创新模式推进并重，</w:t>
      </w:r>
      <w:r>
        <w:rPr>
          <w:rFonts w:ascii="宋体" w:hAnsi="宋体" w:cs="宋体" w:eastAsia="宋体" w:hint="default"/>
          <w:spacing w:val="-55"/>
        </w:rPr>
        <w:t> </w:t>
      </w:r>
      <w:r>
        <w:rPr>
          <w:rFonts w:ascii="宋体" w:hAnsi="宋体" w:cs="宋体" w:eastAsia="宋体" w:hint="default"/>
          <w:spacing w:val="-55"/>
        </w:rPr>
      </w:r>
      <w:r>
        <w:rPr>
          <w:rFonts w:ascii="宋体" w:hAnsi="宋体" w:cs="宋体" w:eastAsia="宋体" w:hint="default"/>
        </w:rPr>
        <w:t>多元化渠道发展与提质增效并重，公众与集客市场并重，聚焦重点业务做深做透。通过单变多、单变融的滚雪球模</w:t>
      </w:r>
      <w:r>
        <w:rPr>
          <w:rFonts w:ascii="宋体" w:hAnsi="宋体" w:cs="宋体" w:eastAsia="宋体" w:hint="default"/>
          <w:spacing w:val="-45"/>
        </w:rPr>
        <w:t> </w:t>
      </w:r>
      <w:r>
        <w:rPr>
          <w:rFonts w:ascii="宋体" w:hAnsi="宋体" w:cs="宋体" w:eastAsia="宋体" w:hint="default"/>
          <w:spacing w:val="-45"/>
        </w:rPr>
      </w:r>
      <w:r>
        <w:rPr>
          <w:rFonts w:ascii="宋体" w:hAnsi="宋体" w:cs="宋体" w:eastAsia="宋体" w:hint="default"/>
        </w:rPr>
        <w:t>式保有和拓展用户；通过渠道赋能、触点拓展、政企专项突破积极发展用户；强化存量经营，全力提升价值。电子</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渠道拓宽合作广度，挖掘合作深度，借助合作方宣传优势与各种节庆契机大力开展联合营销，保障</w:t>
      </w:r>
      <w:r>
        <w:rPr>
          <w:rFonts w:ascii="宋体" w:hAnsi="宋体" w:cs="宋体" w:eastAsia="宋体" w:hint="default"/>
          <w:spacing w:val="-52"/>
        </w:rPr>
        <w:t> </w:t>
      </w:r>
      <w:r>
        <w:rPr>
          <w:rFonts w:ascii="宋体" w:hAnsi="宋体" w:cs="宋体" w:eastAsia="宋体" w:hint="default"/>
        </w:rPr>
        <w:t>2I2C</w:t>
      </w:r>
      <w:r>
        <w:rPr>
          <w:rFonts w:ascii="宋体" w:hAnsi="宋体" w:cs="宋体" w:eastAsia="宋体" w:hint="default"/>
          <w:spacing w:val="-52"/>
        </w:rPr>
        <w:t> </w:t>
      </w:r>
      <w:r>
        <w:rPr>
          <w:rFonts w:ascii="宋体" w:hAnsi="宋体" w:cs="宋体" w:eastAsia="宋体" w:hint="default"/>
        </w:rPr>
        <w:t>发展规模。</w:t>
      </w:r>
      <w:r>
        <w:rPr>
          <w:rFonts w:ascii="宋体" w:hAnsi="宋体" w:cs="宋体" w:eastAsia="宋体" w:hint="default"/>
        </w:rPr>
        <w:t> 与阿里、腾讯等合作伙伴打造以“沃云”为品牌的公有云产品；分别与阿里、网宿成立合资公司，建立政企新融合</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营销模式。</w:t>
      </w:r>
    </w:p>
    <w:p>
      <w:pPr>
        <w:pStyle w:val="BodyText"/>
        <w:spacing w:line="240" w:lineRule="auto" w:before="123"/>
        <w:ind w:left="604" w:right="95"/>
        <w:jc w:val="left"/>
        <w:rPr>
          <w:rFonts w:ascii="宋体" w:hAnsi="宋体" w:cs="宋体" w:eastAsia="宋体" w:hint="default"/>
        </w:rPr>
      </w:pPr>
      <w:r>
        <w:rPr>
          <w:rFonts w:ascii="宋体" w:hAnsi="宋体" w:cs="宋体" w:eastAsia="宋体" w:hint="default"/>
        </w:rPr>
        <w:t>3）营销渠道</w:t>
      </w:r>
    </w:p>
    <w:p>
      <w:pPr>
        <w:pStyle w:val="BodyText"/>
        <w:spacing w:line="285" w:lineRule="auto" w:before="157"/>
        <w:ind w:left="604" w:right="89"/>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spacing w:val="3"/>
        </w:rPr>
        <w:t>年，公司重点构建以“生态化、大数据、一体化、高体验”为特征的线上线下一体化新零售体系。线上进一</w:t>
      </w:r>
      <w:r>
        <w:rPr>
          <w:rFonts w:ascii="宋体" w:hAnsi="宋体" w:cs="宋体" w:eastAsia="宋体" w:hint="default"/>
          <w:spacing w:val="-51"/>
        </w:rPr>
        <w:t> </w:t>
      </w:r>
      <w:r>
        <w:rPr>
          <w:rFonts w:ascii="宋体" w:hAnsi="宋体" w:cs="宋体" w:eastAsia="宋体" w:hint="default"/>
          <w:spacing w:val="-51"/>
        </w:rPr>
      </w:r>
      <w:r>
        <w:rPr>
          <w:rFonts w:ascii="宋体" w:hAnsi="宋体" w:cs="宋体" w:eastAsia="宋体" w:hint="default"/>
          <w:spacing w:val="-4"/>
        </w:rPr>
        <w:t>步拓展合作触点，增强异网用户获取能力，以手厅为核心，构建自有触点网络，大力提高线上渠道合力与集约化能力，</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rPr>
        <w:t>将线上渠道打造为增收增效和价值经营的主渠道。线下优化自控门店布局，持续改善社会渠道结构，做好传统渠道</w:t>
      </w:r>
      <w:r>
        <w:rPr>
          <w:rFonts w:ascii="宋体" w:hAnsi="宋体" w:cs="宋体" w:eastAsia="宋体" w:hint="default"/>
          <w:spacing w:val="-44"/>
        </w:rPr>
        <w:t> </w:t>
      </w:r>
      <w:r>
        <w:rPr>
          <w:rFonts w:ascii="宋体" w:hAnsi="宋体" w:cs="宋体" w:eastAsia="宋体" w:hint="default"/>
          <w:spacing w:val="-44"/>
        </w:rPr>
      </w:r>
      <w:r>
        <w:rPr>
          <w:rFonts w:ascii="宋体" w:hAnsi="宋体" w:cs="宋体" w:eastAsia="宋体" w:hint="default"/>
        </w:rPr>
        <w:t>互联网化转型。</w:t>
      </w:r>
    </w:p>
    <w:p>
      <w:pPr>
        <w:pStyle w:val="BodyText"/>
        <w:spacing w:line="240" w:lineRule="auto" w:before="123"/>
        <w:ind w:left="604" w:right="95"/>
        <w:jc w:val="left"/>
        <w:rPr>
          <w:rFonts w:ascii="宋体" w:hAnsi="宋体" w:cs="宋体" w:eastAsia="宋体" w:hint="default"/>
        </w:rPr>
      </w:pPr>
      <w:r>
        <w:rPr>
          <w:rFonts w:ascii="宋体" w:hAnsi="宋体" w:cs="宋体" w:eastAsia="宋体" w:hint="default"/>
        </w:rPr>
        <w:t>4）客户服务</w:t>
      </w:r>
    </w:p>
    <w:p>
      <w:pPr>
        <w:pStyle w:val="BodyText"/>
        <w:spacing w:line="285" w:lineRule="auto" w:before="157"/>
        <w:ind w:left="604" w:right="185"/>
        <w:jc w:val="both"/>
        <w:rPr>
          <w:rFonts w:ascii="宋体" w:hAnsi="宋体" w:cs="宋体" w:eastAsia="宋体" w:hint="default"/>
        </w:rPr>
      </w:pPr>
      <w:r>
        <w:rPr>
          <w:rFonts w:ascii="宋体" w:hAnsi="宋体" w:cs="宋体" w:eastAsia="宋体" w:hint="default"/>
        </w:rPr>
        <w:t>2018 年，公司以 NPS 提升计划为牵引，建立客户口碑一体化运营管理，加速推进服务互联网化工程和关键流程客</w:t>
      </w:r>
      <w:r>
        <w:rPr>
          <w:rFonts w:ascii="宋体" w:hAnsi="宋体" w:cs="宋体" w:eastAsia="宋体" w:hint="default"/>
          <w:spacing w:val="-30"/>
        </w:rPr>
        <w:t> </w:t>
      </w:r>
      <w:r>
        <w:rPr>
          <w:rFonts w:ascii="宋体" w:hAnsi="宋体" w:cs="宋体" w:eastAsia="宋体" w:hint="default"/>
          <w:spacing w:val="-30"/>
        </w:rPr>
      </w:r>
      <w:r>
        <w:rPr>
          <w:rFonts w:ascii="宋体" w:hAnsi="宋体" w:cs="宋体" w:eastAsia="宋体" w:hint="default"/>
          <w:spacing w:val="-3"/>
        </w:rPr>
        <w:t>户化改造，并聚焦客户痛点难点问题开展攻坚专项行动，实现了客户感知的不断提升。移网</w:t>
      </w:r>
      <w:r>
        <w:rPr>
          <w:rFonts w:ascii="宋体" w:hAnsi="宋体" w:cs="宋体" w:eastAsia="宋体" w:hint="default"/>
          <w:spacing w:val="-31"/>
        </w:rPr>
        <w:t> </w:t>
      </w:r>
      <w:r>
        <w:rPr>
          <w:rFonts w:ascii="宋体" w:hAnsi="宋体" w:cs="宋体" w:eastAsia="宋体" w:hint="default"/>
        </w:rPr>
        <w:t>NPS</w:t>
      </w:r>
      <w:r>
        <w:rPr>
          <w:rFonts w:ascii="宋体" w:hAnsi="宋体" w:cs="宋体" w:eastAsia="宋体" w:hint="default"/>
          <w:spacing w:val="-31"/>
        </w:rPr>
        <w:t> </w:t>
      </w:r>
      <w:r>
        <w:rPr>
          <w:rFonts w:ascii="宋体" w:hAnsi="宋体" w:cs="宋体" w:eastAsia="宋体" w:hint="default"/>
        </w:rPr>
        <w:t>较上年继续提升</w:t>
      </w:r>
      <w:r>
        <w:rPr>
          <w:rFonts w:ascii="宋体" w:hAnsi="宋体" w:cs="宋体" w:eastAsia="宋体" w:hint="default"/>
          <w:spacing w:val="-31"/>
        </w:rPr>
        <w:t> </w:t>
      </w:r>
      <w:r>
        <w:rPr>
          <w:rFonts w:ascii="宋体" w:hAnsi="宋体" w:cs="宋体" w:eastAsia="宋体" w:hint="default"/>
        </w:rPr>
        <w:t>5.1</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w w:val="105"/>
        </w:rPr>
        <w:t>分，固网宽带</w:t>
      </w:r>
      <w:r>
        <w:rPr>
          <w:rFonts w:ascii="宋体" w:hAnsi="宋体" w:cs="宋体" w:eastAsia="宋体" w:hint="default"/>
          <w:spacing w:val="-65"/>
          <w:w w:val="105"/>
        </w:rPr>
        <w:t> </w:t>
      </w:r>
      <w:r>
        <w:rPr>
          <w:rFonts w:ascii="宋体" w:hAnsi="宋体" w:cs="宋体" w:eastAsia="宋体" w:hint="default"/>
          <w:w w:val="105"/>
        </w:rPr>
        <w:t>NPS</w:t>
      </w:r>
      <w:r>
        <w:rPr>
          <w:rFonts w:ascii="宋体" w:hAnsi="宋体" w:cs="宋体" w:eastAsia="宋体" w:hint="default"/>
          <w:spacing w:val="-65"/>
          <w:w w:val="105"/>
        </w:rPr>
        <w:t> </w:t>
      </w:r>
      <w:r>
        <w:rPr>
          <w:rFonts w:ascii="宋体" w:hAnsi="宋体" w:cs="宋体" w:eastAsia="宋体" w:hint="default"/>
          <w:w w:val="105"/>
        </w:rPr>
        <w:t>提升</w:t>
      </w:r>
      <w:r>
        <w:rPr>
          <w:rFonts w:ascii="宋体" w:hAnsi="宋体" w:cs="宋体" w:eastAsia="宋体" w:hint="default"/>
          <w:spacing w:val="-65"/>
          <w:w w:val="105"/>
        </w:rPr>
        <w:t> </w:t>
      </w:r>
      <w:r>
        <w:rPr>
          <w:rFonts w:ascii="宋体" w:hAnsi="宋体" w:cs="宋体" w:eastAsia="宋体" w:hint="default"/>
          <w:w w:val="105"/>
        </w:rPr>
        <w:t>9.5</w:t>
      </w:r>
      <w:r>
        <w:rPr>
          <w:rFonts w:ascii="宋体" w:hAnsi="宋体" w:cs="宋体" w:eastAsia="宋体" w:hint="default"/>
          <w:spacing w:val="-65"/>
          <w:w w:val="105"/>
        </w:rPr>
        <w:t> </w:t>
      </w:r>
      <w:r>
        <w:rPr>
          <w:rFonts w:ascii="宋体" w:hAnsi="宋体" w:cs="宋体" w:eastAsia="宋体" w:hint="default"/>
          <w:w w:val="105"/>
        </w:rPr>
        <w:t>分。</w:t>
      </w:r>
    </w:p>
    <w:p>
      <w:pPr>
        <w:spacing w:line="240" w:lineRule="auto" w:before="6"/>
        <w:rPr>
          <w:rFonts w:ascii="宋体" w:hAnsi="宋体" w:cs="宋体" w:eastAsia="宋体" w:hint="default"/>
          <w:sz w:val="22"/>
          <w:szCs w:val="22"/>
        </w:rPr>
      </w:pPr>
    </w:p>
    <w:p>
      <w:pPr>
        <w:pStyle w:val="BodyText"/>
        <w:spacing w:line="240" w:lineRule="auto"/>
        <w:ind w:left="336" w:right="95"/>
        <w:jc w:val="left"/>
        <w:rPr>
          <w:rFonts w:ascii="宋体" w:hAnsi="宋体" w:cs="宋体" w:eastAsia="宋体" w:hint="default"/>
        </w:rPr>
      </w:pPr>
      <w:r>
        <w:rPr>
          <w:rFonts w:ascii="宋体" w:hAnsi="宋体" w:cs="宋体" w:eastAsia="宋体" w:hint="default"/>
        </w:rPr>
        <w:t>第二部分：财务情况讨论与分析</w:t>
      </w:r>
    </w:p>
    <w:p>
      <w:pPr>
        <w:spacing w:line="240" w:lineRule="auto" w:before="12"/>
        <w:rPr>
          <w:rFonts w:ascii="宋体" w:hAnsi="宋体" w:cs="宋体" w:eastAsia="宋体" w:hint="default"/>
          <w:sz w:val="17"/>
          <w:szCs w:val="17"/>
        </w:rPr>
      </w:pPr>
    </w:p>
    <w:p>
      <w:pPr>
        <w:pStyle w:val="BodyText"/>
        <w:spacing w:line="240" w:lineRule="auto"/>
        <w:ind w:left="377" w:right="95"/>
        <w:jc w:val="left"/>
        <w:rPr>
          <w:rFonts w:ascii="宋体" w:hAnsi="宋体" w:cs="宋体" w:eastAsia="宋体" w:hint="default"/>
        </w:rPr>
      </w:pPr>
      <w:r>
        <w:rPr>
          <w:rFonts w:ascii="宋体" w:hAnsi="宋体" w:cs="宋体" w:eastAsia="宋体" w:hint="default"/>
          <w:color w:val="D7000F"/>
          <w:w w:val="95"/>
        </w:rPr>
        <w:t>1.</w:t>
      </w:r>
      <w:r>
        <w:rPr>
          <w:rFonts w:ascii="宋体" w:hAnsi="宋体" w:cs="宋体" w:eastAsia="宋体" w:hint="default"/>
          <w:color w:val="D7000F"/>
          <w:spacing w:val="-44"/>
          <w:w w:val="95"/>
        </w:rPr>
        <w:t> </w:t>
      </w:r>
      <w:r>
        <w:rPr>
          <w:rFonts w:ascii="宋体" w:hAnsi="宋体" w:cs="宋体" w:eastAsia="宋体" w:hint="default"/>
          <w:color w:val="D7000F"/>
          <w:w w:val="95"/>
        </w:rPr>
        <w:t>概述</w:t>
      </w:r>
      <w:r>
        <w:rPr>
          <w:rFonts w:ascii="宋体" w:hAnsi="宋体" w:cs="宋体" w:eastAsia="宋体" w:hint="default"/>
          <w:w w:val="95"/>
        </w:rPr>
      </w:r>
    </w:p>
    <w:p>
      <w:pPr>
        <w:pStyle w:val="BodyText"/>
        <w:spacing w:line="240" w:lineRule="auto" w:before="157"/>
        <w:ind w:left="604" w:right="0"/>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8"/>
        </w:rPr>
        <w:t> </w:t>
      </w:r>
      <w:r>
        <w:rPr>
          <w:rFonts w:ascii="宋体" w:hAnsi="宋体" w:cs="宋体" w:eastAsia="宋体" w:hint="default"/>
        </w:rPr>
        <w:t>年公司全面深化实施聚焦战略，实现营业收入人民币</w:t>
      </w:r>
      <w:r>
        <w:rPr>
          <w:rFonts w:ascii="宋体" w:hAnsi="宋体" w:cs="宋体" w:eastAsia="宋体" w:hint="default"/>
          <w:spacing w:val="-28"/>
        </w:rPr>
        <w:t> </w:t>
      </w:r>
      <w:r>
        <w:rPr>
          <w:rFonts w:ascii="宋体" w:hAnsi="宋体" w:cs="宋体" w:eastAsia="宋体" w:hint="default"/>
        </w:rPr>
        <w:t>2,908.8</w:t>
      </w:r>
      <w:r>
        <w:rPr>
          <w:rFonts w:ascii="宋体" w:hAnsi="宋体" w:cs="宋体" w:eastAsia="宋体" w:hint="default"/>
          <w:spacing w:val="-28"/>
        </w:rPr>
        <w:t> </w:t>
      </w:r>
      <w:r>
        <w:rPr>
          <w:rFonts w:ascii="宋体" w:hAnsi="宋体" w:cs="宋体" w:eastAsia="宋体" w:hint="default"/>
        </w:rPr>
        <w:t>亿元，同比增长</w:t>
      </w:r>
      <w:r>
        <w:rPr>
          <w:rFonts w:ascii="宋体" w:hAnsi="宋体" w:cs="宋体" w:eastAsia="宋体" w:hint="default"/>
          <w:spacing w:val="-28"/>
        </w:rPr>
        <w:t> </w:t>
      </w:r>
      <w:r>
        <w:rPr>
          <w:rFonts w:ascii="宋体" w:hAnsi="宋体" w:cs="宋体" w:eastAsia="宋体" w:hint="default"/>
        </w:rPr>
        <w:t>5.8%，主营业务收入稳步提升，</w:t>
      </w:r>
    </w:p>
    <w:p>
      <w:pPr>
        <w:pStyle w:val="BodyText"/>
        <w:spacing w:line="240" w:lineRule="auto" w:before="44"/>
        <w:ind w:left="604" w:right="0"/>
        <w:jc w:val="left"/>
        <w:rPr>
          <w:rFonts w:ascii="宋体" w:hAnsi="宋体" w:cs="宋体" w:eastAsia="宋体" w:hint="default"/>
        </w:rPr>
      </w:pPr>
      <w:r>
        <w:rPr>
          <w:rFonts w:ascii="宋体" w:hAnsi="宋体" w:cs="宋体" w:eastAsia="宋体" w:hint="default"/>
        </w:rPr>
        <w:t>达到人民币</w:t>
      </w:r>
      <w:r>
        <w:rPr>
          <w:rFonts w:ascii="宋体" w:hAnsi="宋体" w:cs="宋体" w:eastAsia="宋体" w:hint="default"/>
          <w:spacing w:val="-53"/>
        </w:rPr>
        <w:t> </w:t>
      </w:r>
      <w:r>
        <w:rPr>
          <w:rFonts w:ascii="宋体" w:hAnsi="宋体" w:cs="宋体" w:eastAsia="宋体" w:hint="default"/>
        </w:rPr>
        <w:t>2,636.8</w:t>
      </w:r>
      <w:r>
        <w:rPr>
          <w:rFonts w:ascii="宋体" w:hAnsi="宋体" w:cs="宋体" w:eastAsia="宋体" w:hint="default"/>
          <w:spacing w:val="-53"/>
        </w:rPr>
        <w:t> </w:t>
      </w:r>
      <w:r>
        <w:rPr>
          <w:rFonts w:ascii="宋体" w:hAnsi="宋体" w:cs="宋体" w:eastAsia="宋体" w:hint="default"/>
          <w:spacing w:val="-3"/>
        </w:rPr>
        <w:t>亿元，同比增长</w:t>
      </w:r>
      <w:r>
        <w:rPr>
          <w:rFonts w:ascii="宋体" w:hAnsi="宋体" w:cs="宋体" w:eastAsia="宋体" w:hint="default"/>
          <w:spacing w:val="-53"/>
        </w:rPr>
        <w:t> </w:t>
      </w:r>
      <w:r>
        <w:rPr>
          <w:rFonts w:ascii="宋体" w:hAnsi="宋体" w:cs="宋体" w:eastAsia="宋体" w:hint="default"/>
        </w:rPr>
        <w:t>5.9%。归属于母公司净利润实现人民币</w:t>
      </w:r>
      <w:r>
        <w:rPr>
          <w:rFonts w:ascii="宋体" w:hAnsi="宋体" w:cs="宋体" w:eastAsia="宋体" w:hint="default"/>
          <w:spacing w:val="-53"/>
        </w:rPr>
        <w:t> </w:t>
      </w:r>
      <w:r>
        <w:rPr>
          <w:rFonts w:ascii="宋体" w:hAnsi="宋体" w:cs="宋体" w:eastAsia="宋体" w:hint="default"/>
        </w:rPr>
        <w:t>40.8</w:t>
      </w:r>
      <w:r>
        <w:rPr>
          <w:rFonts w:ascii="宋体" w:hAnsi="宋体" w:cs="宋体" w:eastAsia="宋体" w:hint="default"/>
          <w:spacing w:val="-53"/>
        </w:rPr>
        <w:t> </w:t>
      </w:r>
      <w:r>
        <w:rPr>
          <w:rFonts w:ascii="宋体" w:hAnsi="宋体" w:cs="宋体" w:eastAsia="宋体" w:hint="default"/>
        </w:rPr>
        <w:t>亿元，同比增加人民币</w:t>
      </w:r>
      <w:r>
        <w:rPr>
          <w:rFonts w:ascii="宋体" w:hAnsi="宋体" w:cs="宋体" w:eastAsia="宋体" w:hint="default"/>
          <w:spacing w:val="-53"/>
        </w:rPr>
        <w:t> </w:t>
      </w:r>
      <w:r>
        <w:rPr>
          <w:rFonts w:ascii="宋体" w:hAnsi="宋体" w:cs="宋体" w:eastAsia="宋体" w:hint="default"/>
        </w:rPr>
        <w:t>36.5</w:t>
      </w:r>
      <w:r>
        <w:rPr>
          <w:rFonts w:ascii="宋体" w:hAnsi="宋体" w:cs="宋体" w:eastAsia="宋体" w:hint="default"/>
          <w:spacing w:val="-53"/>
        </w:rPr>
        <w:t> </w:t>
      </w:r>
      <w:r>
        <w:rPr>
          <w:rFonts w:ascii="宋体" w:hAnsi="宋体" w:cs="宋体" w:eastAsia="宋体" w:hint="default"/>
        </w:rPr>
        <w:t>亿元。</w:t>
      </w:r>
    </w:p>
    <w:p>
      <w:pPr>
        <w:pStyle w:val="BodyText"/>
        <w:spacing w:line="285" w:lineRule="auto" w:before="157"/>
        <w:ind w:left="604" w:right="95"/>
        <w:jc w:val="left"/>
        <w:rPr>
          <w:rFonts w:ascii="宋体" w:hAnsi="宋体" w:cs="宋体" w:eastAsia="宋体" w:hint="default"/>
        </w:rPr>
      </w:pPr>
      <w:r>
        <w:rPr>
          <w:rFonts w:ascii="宋体" w:hAnsi="宋体" w:cs="宋体" w:eastAsia="宋体" w:hint="default"/>
          <w:spacing w:val="-1"/>
          <w:w w:val="111"/>
        </w:rPr>
        <w:t>2018</w:t>
      </w:r>
      <w:r>
        <w:rPr>
          <w:rFonts w:ascii="宋体" w:hAnsi="宋体" w:cs="宋体" w:eastAsia="宋体" w:hint="default"/>
          <w:spacing w:val="-50"/>
          <w:w w:val="111"/>
        </w:rPr>
        <w:t> </w:t>
      </w:r>
      <w:r>
        <w:rPr>
          <w:rFonts w:ascii="宋体" w:hAnsi="宋体" w:cs="宋体" w:eastAsia="宋体" w:hint="default"/>
        </w:rPr>
        <w:t>年公司经营活动现金流量净额为人民币</w:t>
      </w:r>
      <w:r>
        <w:rPr>
          <w:rFonts w:ascii="宋体" w:hAnsi="宋体" w:cs="宋体" w:eastAsia="宋体" w:hint="default"/>
          <w:spacing w:val="-40"/>
        </w:rPr>
        <w:t> </w:t>
      </w:r>
      <w:r>
        <w:rPr>
          <w:rFonts w:ascii="宋体" w:hAnsi="宋体" w:cs="宋体" w:eastAsia="宋体" w:hint="default"/>
          <w:spacing w:val="-1"/>
          <w:w w:val="99"/>
        </w:rPr>
        <w:t>948.3</w:t>
      </w:r>
      <w:r>
        <w:rPr>
          <w:rFonts w:ascii="宋体" w:hAnsi="宋体" w:cs="宋体" w:eastAsia="宋体" w:hint="default"/>
          <w:spacing w:val="-40"/>
          <w:w w:val="99"/>
        </w:rPr>
        <w:t> </w:t>
      </w:r>
      <w:r>
        <w:rPr>
          <w:rFonts w:ascii="宋体" w:hAnsi="宋体" w:cs="宋体" w:eastAsia="宋体" w:hint="default"/>
        </w:rPr>
        <w:t>亿元，资本开支为人民币</w:t>
      </w:r>
      <w:r>
        <w:rPr>
          <w:rFonts w:ascii="宋体" w:hAnsi="宋体" w:cs="宋体" w:eastAsia="宋体" w:hint="default"/>
          <w:spacing w:val="-40"/>
        </w:rPr>
        <w:t> </w:t>
      </w:r>
      <w:r>
        <w:rPr>
          <w:rFonts w:ascii="宋体" w:hAnsi="宋体" w:cs="宋体" w:eastAsia="宋体" w:hint="default"/>
          <w:spacing w:val="-1"/>
          <w:w w:val="99"/>
        </w:rPr>
        <w:t>448.7</w:t>
      </w:r>
      <w:r>
        <w:rPr>
          <w:rFonts w:ascii="宋体" w:hAnsi="宋体" w:cs="宋体" w:eastAsia="宋体" w:hint="default"/>
          <w:spacing w:val="-40"/>
          <w:w w:val="99"/>
        </w:rPr>
        <w:t> </w:t>
      </w:r>
      <w:r>
        <w:rPr>
          <w:rFonts w:ascii="宋体" w:hAnsi="宋体" w:cs="宋体" w:eastAsia="宋体" w:hint="default"/>
        </w:rPr>
        <w:t>亿元。截至</w:t>
      </w:r>
      <w:r>
        <w:rPr>
          <w:rFonts w:ascii="宋体" w:hAnsi="宋体" w:cs="宋体" w:eastAsia="宋体" w:hint="default"/>
          <w:spacing w:val="-40"/>
        </w:rPr>
        <w:t> </w:t>
      </w:r>
      <w:r>
        <w:rPr>
          <w:rFonts w:ascii="宋体" w:hAnsi="宋体" w:cs="宋体" w:eastAsia="宋体" w:hint="default"/>
          <w:spacing w:val="-1"/>
          <w:w w:val="111"/>
        </w:rPr>
        <w:t>2018</w:t>
      </w:r>
      <w:r>
        <w:rPr>
          <w:rFonts w:ascii="宋体" w:hAnsi="宋体" w:cs="宋体" w:eastAsia="宋体" w:hint="default"/>
          <w:spacing w:val="-50"/>
          <w:w w:val="111"/>
        </w:rPr>
        <w:t> </w:t>
      </w:r>
      <w:r>
        <w:rPr>
          <w:rFonts w:ascii="宋体" w:hAnsi="宋体" w:cs="宋体" w:eastAsia="宋体" w:hint="default"/>
        </w:rPr>
        <w:t>年底，公司资</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产负债率为</w:t>
      </w:r>
      <w:r>
        <w:rPr>
          <w:rFonts w:ascii="宋体" w:hAnsi="宋体" w:cs="宋体" w:eastAsia="宋体" w:hint="default"/>
          <w:spacing w:val="34"/>
        </w:rPr>
        <w:t> </w:t>
      </w:r>
      <w:r>
        <w:rPr>
          <w:rFonts w:ascii="宋体" w:hAnsi="宋体" w:cs="宋体" w:eastAsia="宋体" w:hint="default"/>
        </w:rPr>
        <w:t>41.5%。</w:t>
      </w:r>
    </w:p>
    <w:p>
      <w:pPr>
        <w:pStyle w:val="BodyText"/>
        <w:spacing w:line="240" w:lineRule="auto" w:before="123"/>
        <w:ind w:left="377" w:right="95"/>
        <w:jc w:val="left"/>
        <w:rPr>
          <w:rFonts w:ascii="宋体" w:hAnsi="宋体" w:cs="宋体" w:eastAsia="宋体" w:hint="default"/>
        </w:rPr>
      </w:pPr>
      <w:r>
        <w:rPr>
          <w:rFonts w:ascii="宋体" w:hAnsi="宋体" w:cs="宋体" w:eastAsia="宋体" w:hint="default"/>
          <w:color w:val="D7000F"/>
          <w:w w:val="95"/>
        </w:rPr>
        <w:t>2.</w:t>
      </w:r>
      <w:r>
        <w:rPr>
          <w:rFonts w:ascii="宋体" w:hAnsi="宋体" w:cs="宋体" w:eastAsia="宋体" w:hint="default"/>
          <w:color w:val="D7000F"/>
          <w:spacing w:val="-26"/>
          <w:w w:val="95"/>
        </w:rPr>
        <w:t> </w:t>
      </w:r>
      <w:r>
        <w:rPr>
          <w:rFonts w:ascii="宋体" w:hAnsi="宋体" w:cs="宋体" w:eastAsia="宋体" w:hint="default"/>
          <w:color w:val="D7000F"/>
          <w:w w:val="95"/>
        </w:rPr>
        <w:t>营业收入</w:t>
      </w:r>
      <w:r>
        <w:rPr>
          <w:rFonts w:ascii="宋体" w:hAnsi="宋体" w:cs="宋体" w:eastAsia="宋体" w:hint="default"/>
          <w:w w:val="95"/>
        </w:rPr>
      </w:r>
    </w:p>
    <w:p>
      <w:pPr>
        <w:pStyle w:val="BodyText"/>
        <w:spacing w:line="285" w:lineRule="auto" w:before="157"/>
        <w:ind w:left="604" w:right="95"/>
        <w:jc w:val="left"/>
        <w:rPr>
          <w:rFonts w:ascii="宋体" w:hAnsi="宋体" w:cs="宋体" w:eastAsia="宋体" w:hint="default"/>
        </w:rPr>
      </w:pPr>
      <w:r>
        <w:rPr>
          <w:rFonts w:ascii="宋体" w:hAnsi="宋体" w:cs="宋体" w:eastAsia="宋体" w:hint="default"/>
          <w:spacing w:val="-1"/>
          <w:w w:val="111"/>
        </w:rPr>
        <w:t>2018</w:t>
      </w:r>
      <w:r>
        <w:rPr>
          <w:rFonts w:ascii="宋体" w:hAnsi="宋体" w:cs="宋体" w:eastAsia="宋体" w:hint="default"/>
          <w:spacing w:val="-58"/>
          <w:w w:val="111"/>
        </w:rPr>
        <w:t> </w:t>
      </w:r>
      <w:r>
        <w:rPr>
          <w:rFonts w:ascii="宋体" w:hAnsi="宋体" w:cs="宋体" w:eastAsia="宋体" w:hint="default"/>
          <w:spacing w:val="2"/>
        </w:rPr>
        <w:t>年公司营业收入实现人民币</w:t>
      </w:r>
      <w:r>
        <w:rPr>
          <w:rFonts w:ascii="宋体" w:hAnsi="宋体" w:cs="宋体" w:eastAsia="宋体" w:hint="default"/>
          <w:spacing w:val="-48"/>
        </w:rPr>
        <w:t> </w:t>
      </w:r>
      <w:r>
        <w:rPr>
          <w:rFonts w:ascii="宋体" w:hAnsi="宋体" w:cs="宋体" w:eastAsia="宋体" w:hint="default"/>
          <w:spacing w:val="-1"/>
          <w:w w:val="95"/>
        </w:rPr>
        <w:t>2,908.8</w:t>
      </w:r>
      <w:r>
        <w:rPr>
          <w:rFonts w:ascii="宋体" w:hAnsi="宋体" w:cs="宋体" w:eastAsia="宋体" w:hint="default"/>
          <w:spacing w:val="-44"/>
          <w:w w:val="95"/>
        </w:rPr>
        <w:t> </w:t>
      </w:r>
      <w:r>
        <w:rPr>
          <w:rFonts w:ascii="宋体" w:hAnsi="宋体" w:cs="宋体" w:eastAsia="宋体" w:hint="default"/>
          <w:spacing w:val="2"/>
        </w:rPr>
        <w:t>亿元，同比增长</w:t>
      </w:r>
      <w:r>
        <w:rPr>
          <w:rFonts w:ascii="宋体" w:hAnsi="宋体" w:cs="宋体" w:eastAsia="宋体" w:hint="default"/>
          <w:spacing w:val="-48"/>
        </w:rPr>
        <w:t> </w:t>
      </w:r>
      <w:r>
        <w:rPr>
          <w:rFonts w:ascii="宋体" w:hAnsi="宋体" w:cs="宋体" w:eastAsia="宋体" w:hint="default"/>
          <w:spacing w:val="1"/>
          <w:w w:val="104"/>
        </w:rPr>
        <w:t>5.8%。其中，主营业务收入为人民币</w:t>
      </w:r>
      <w:r>
        <w:rPr>
          <w:rFonts w:ascii="宋体" w:hAnsi="宋体" w:cs="宋体" w:eastAsia="宋体" w:hint="default"/>
          <w:spacing w:val="-52"/>
          <w:w w:val="104"/>
        </w:rPr>
        <w:t> </w:t>
      </w:r>
      <w:r>
        <w:rPr>
          <w:rFonts w:ascii="宋体" w:hAnsi="宋体" w:cs="宋体" w:eastAsia="宋体" w:hint="default"/>
          <w:spacing w:val="-1"/>
          <w:w w:val="95"/>
        </w:rPr>
        <w:t>2,636.8</w:t>
      </w:r>
      <w:r>
        <w:rPr>
          <w:rFonts w:ascii="宋体" w:hAnsi="宋体" w:cs="宋体" w:eastAsia="宋体" w:hint="default"/>
          <w:spacing w:val="-44"/>
          <w:w w:val="95"/>
        </w:rPr>
        <w:t> </w:t>
      </w:r>
      <w:r>
        <w:rPr>
          <w:rFonts w:ascii="宋体" w:hAnsi="宋体" w:cs="宋体" w:eastAsia="宋体" w:hint="default"/>
          <w:spacing w:val="2"/>
        </w:rPr>
        <w:t>亿元，同</w:t>
      </w:r>
      <w:r>
        <w:rPr>
          <w:rFonts w:ascii="宋体" w:hAnsi="宋体" w:cs="宋体" w:eastAsia="宋体" w:hint="default"/>
          <w:spacing w:val="3"/>
        </w:rPr>
        <w:t> </w:t>
      </w:r>
      <w:r>
        <w:rPr>
          <w:rFonts w:ascii="宋体" w:hAnsi="宋体" w:cs="宋体" w:eastAsia="宋体" w:hint="default"/>
          <w:w w:val="105"/>
        </w:rPr>
        <w:t>比增长</w:t>
      </w:r>
      <w:r>
        <w:rPr>
          <w:rFonts w:ascii="宋体" w:hAnsi="宋体" w:cs="宋体" w:eastAsia="宋体" w:hint="default"/>
          <w:spacing w:val="-34"/>
          <w:w w:val="105"/>
        </w:rPr>
        <w:t> </w:t>
      </w:r>
      <w:r>
        <w:rPr>
          <w:rFonts w:ascii="宋体" w:hAnsi="宋体" w:cs="宋体" w:eastAsia="宋体" w:hint="default"/>
          <w:w w:val="105"/>
        </w:rPr>
        <w:t>5.9%。</w:t>
      </w:r>
      <w:r>
        <w:rPr>
          <w:rFonts w:ascii="宋体" w:hAnsi="宋体" w:cs="宋体" w:eastAsia="宋体" w:hint="default"/>
        </w:rPr>
      </w:r>
    </w:p>
    <w:p>
      <w:pPr>
        <w:pStyle w:val="BodyText"/>
        <w:spacing w:line="240" w:lineRule="auto" w:before="123"/>
        <w:ind w:left="604" w:right="95"/>
        <w:jc w:val="left"/>
        <w:rPr>
          <w:rFonts w:ascii="宋体" w:hAnsi="宋体" w:cs="宋体" w:eastAsia="宋体" w:hint="default"/>
        </w:rPr>
      </w:pPr>
      <w:r>
        <w:rPr>
          <w:rFonts w:ascii="宋体" w:hAnsi="宋体" w:cs="宋体" w:eastAsia="宋体" w:hint="default"/>
          <w:spacing w:val="-7"/>
        </w:rPr>
        <w:t>下表反映了公司</w:t>
      </w:r>
      <w:r>
        <w:rPr>
          <w:rFonts w:ascii="宋体" w:hAnsi="宋体" w:cs="宋体" w:eastAsia="宋体" w:hint="default"/>
          <w:spacing w:val="-33"/>
        </w:rPr>
        <w:t> </w:t>
      </w:r>
      <w:r>
        <w:rPr>
          <w:rFonts w:ascii="宋体" w:hAnsi="宋体" w:cs="宋体" w:eastAsia="宋体" w:hint="default"/>
          <w:spacing w:val="-6"/>
        </w:rPr>
        <w:t>2018</w:t>
      </w:r>
      <w:r>
        <w:rPr>
          <w:rFonts w:ascii="宋体" w:hAnsi="宋体" w:cs="宋体" w:eastAsia="宋体" w:hint="default"/>
          <w:spacing w:val="-33"/>
        </w:rPr>
        <w:t> </w:t>
      </w:r>
      <w:r>
        <w:rPr>
          <w:rFonts w:ascii="宋体" w:hAnsi="宋体" w:cs="宋体" w:eastAsia="宋体" w:hint="default"/>
          <w:spacing w:val="-4"/>
        </w:rPr>
        <w:t>年和</w:t>
      </w:r>
      <w:r>
        <w:rPr>
          <w:rFonts w:ascii="宋体" w:hAnsi="宋体" w:cs="宋体" w:eastAsia="宋体" w:hint="default"/>
          <w:spacing w:val="-33"/>
        </w:rPr>
        <w:t> </w:t>
      </w:r>
      <w:r>
        <w:rPr>
          <w:rFonts w:ascii="宋体" w:hAnsi="宋体" w:cs="宋体" w:eastAsia="宋体" w:hint="default"/>
          <w:spacing w:val="-6"/>
        </w:rPr>
        <w:t>2017</w:t>
      </w:r>
      <w:r>
        <w:rPr>
          <w:rFonts w:ascii="宋体" w:hAnsi="宋体" w:cs="宋体" w:eastAsia="宋体" w:hint="default"/>
          <w:spacing w:val="-33"/>
        </w:rPr>
        <w:t> </w:t>
      </w:r>
      <w:r>
        <w:rPr>
          <w:rFonts w:ascii="宋体" w:hAnsi="宋体" w:cs="宋体" w:eastAsia="宋体" w:hint="default"/>
          <w:spacing w:val="-8"/>
        </w:rPr>
        <w:t>年主营业务收入构成的变化情况及各业务主营业务收入所占主营业务收入百分比情况：</w:t>
      </w:r>
      <w:r>
        <w:rPr>
          <w:rFonts w:ascii="宋体" w:hAnsi="宋体" w:cs="宋体" w:eastAsia="宋体" w:hint="default"/>
        </w:rPr>
      </w:r>
    </w:p>
    <w:p>
      <w:pPr>
        <w:spacing w:before="133"/>
        <w:ind w:left="0" w:right="273" w:firstLine="0"/>
        <w:jc w:val="right"/>
        <w:rPr>
          <w:rFonts w:ascii="宋体" w:hAnsi="宋体" w:cs="宋体" w:eastAsia="宋体" w:hint="default"/>
          <w:sz w:val="12"/>
          <w:szCs w:val="12"/>
        </w:rPr>
      </w:pPr>
      <w:r>
        <w:rPr>
          <w:rFonts w:ascii="宋体" w:hAnsi="宋体" w:cs="宋体" w:eastAsia="宋体" w:hint="default"/>
          <w:sz w:val="12"/>
          <w:szCs w:val="12"/>
        </w:rPr>
        <w:t>（单位：人民币亿元）</w:t>
      </w:r>
    </w:p>
    <w:p>
      <w:pPr>
        <w:spacing w:line="240" w:lineRule="auto" w:before="10"/>
        <w:rPr>
          <w:rFonts w:ascii="宋体" w:hAnsi="宋体" w:cs="宋体" w:eastAsia="宋体" w:hint="default"/>
          <w:sz w:val="3"/>
          <w:szCs w:val="3"/>
        </w:rPr>
      </w:pPr>
    </w:p>
    <w:tbl>
      <w:tblPr>
        <w:tblW w:w="0" w:type="auto"/>
        <w:jc w:val="left"/>
        <w:tblInd w:w="569" w:type="dxa"/>
        <w:tblLayout w:type="fixed"/>
        <w:tblCellMar>
          <w:top w:w="0" w:type="dxa"/>
          <w:left w:w="0" w:type="dxa"/>
          <w:bottom w:w="0" w:type="dxa"/>
          <w:right w:w="0" w:type="dxa"/>
        </w:tblCellMar>
        <w:tblLook w:val="01E0"/>
      </w:tblPr>
      <w:tblGrid>
        <w:gridCol w:w="2089"/>
        <w:gridCol w:w="1606"/>
        <w:gridCol w:w="2285"/>
        <w:gridCol w:w="1060"/>
        <w:gridCol w:w="2066"/>
      </w:tblGrid>
      <w:tr>
        <w:trPr>
          <w:trHeight w:val="611" w:hRule="exact"/>
        </w:trPr>
        <w:tc>
          <w:tcPr>
            <w:tcW w:w="2089" w:type="dxa"/>
            <w:tcBorders>
              <w:top w:val="nil" w:sz="6" w:space="0" w:color="auto"/>
              <w:left w:val="nil" w:sz="6" w:space="0" w:color="auto"/>
              <w:bottom w:val="single" w:sz="16" w:space="0" w:color="9C8758"/>
              <w:right w:val="nil" w:sz="6" w:space="0" w:color="auto"/>
            </w:tcBorders>
            <w:shd w:val="clear" w:color="auto" w:fill="FFFFFF"/>
          </w:tcPr>
          <w:p>
            <w:pPr/>
          </w:p>
        </w:tc>
        <w:tc>
          <w:tcPr>
            <w:tcW w:w="1606" w:type="dxa"/>
            <w:tcBorders>
              <w:top w:val="nil" w:sz="6" w:space="0" w:color="auto"/>
              <w:left w:val="nil" w:sz="6" w:space="0" w:color="auto"/>
              <w:bottom w:val="single" w:sz="16" w:space="0" w:color="D7000F"/>
              <w:right w:val="nil" w:sz="6" w:space="0" w:color="auto"/>
            </w:tcBorders>
            <w:shd w:val="clear" w:color="auto" w:fill="FFFFFF"/>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14"/>
              <w:jc w:val="right"/>
              <w:rPr>
                <w:rFonts w:ascii="宋体" w:hAnsi="宋体" w:cs="宋体" w:eastAsia="宋体" w:hint="default"/>
                <w:sz w:val="16"/>
                <w:szCs w:val="16"/>
              </w:rPr>
            </w:pPr>
            <w:r>
              <w:rPr>
                <w:rFonts w:ascii="宋体" w:hAnsi="宋体" w:cs="宋体" w:eastAsia="宋体" w:hint="default"/>
                <w:color w:val="D7000F"/>
                <w:sz w:val="16"/>
                <w:szCs w:val="16"/>
              </w:rPr>
              <w:t>累计完成</w:t>
            </w:r>
            <w:r>
              <w:rPr>
                <w:rFonts w:ascii="宋体" w:hAnsi="宋体" w:cs="宋体" w:eastAsia="宋体" w:hint="default"/>
                <w:sz w:val="16"/>
                <w:szCs w:val="16"/>
              </w:rPr>
            </w:r>
          </w:p>
        </w:tc>
        <w:tc>
          <w:tcPr>
            <w:tcW w:w="2285"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15"/>
              <w:ind w:left="116" w:right="0"/>
              <w:jc w:val="left"/>
              <w:rPr>
                <w:rFonts w:ascii="宋体" w:hAnsi="宋体" w:cs="宋体" w:eastAsia="宋体" w:hint="default"/>
                <w:sz w:val="16"/>
                <w:szCs w:val="16"/>
              </w:rPr>
            </w:pPr>
            <w:r>
              <w:rPr>
                <w:rFonts w:ascii="宋体" w:hAnsi="宋体" w:cs="宋体" w:eastAsia="宋体" w:hint="default"/>
                <w:color w:val="D7000F"/>
                <w:w w:val="110"/>
                <w:sz w:val="16"/>
                <w:szCs w:val="16"/>
              </w:rPr>
              <w:t>2018</w:t>
            </w:r>
            <w:r>
              <w:rPr>
                <w:rFonts w:ascii="宋体" w:hAnsi="宋体" w:cs="宋体" w:eastAsia="宋体" w:hint="default"/>
                <w:color w:val="D7000F"/>
                <w:spacing w:val="-62"/>
                <w:w w:val="110"/>
                <w:sz w:val="16"/>
                <w:szCs w:val="16"/>
              </w:rPr>
              <w:t> </w:t>
            </w:r>
            <w:r>
              <w:rPr>
                <w:rFonts w:ascii="宋体" w:hAnsi="宋体" w:cs="宋体" w:eastAsia="宋体" w:hint="default"/>
                <w:color w:val="D7000F"/>
                <w:w w:val="110"/>
                <w:sz w:val="16"/>
                <w:szCs w:val="16"/>
              </w:rPr>
              <w:t>年</w:t>
            </w:r>
            <w:r>
              <w:rPr>
                <w:rFonts w:ascii="宋体" w:hAnsi="宋体" w:cs="宋体" w:eastAsia="宋体" w:hint="default"/>
                <w:w w:val="110"/>
                <w:sz w:val="16"/>
                <w:szCs w:val="16"/>
              </w:rPr>
            </w:r>
          </w:p>
          <w:p>
            <w:pPr>
              <w:pStyle w:val="TableParagraph"/>
              <w:spacing w:line="240" w:lineRule="auto" w:before="64"/>
              <w:ind w:left="221" w:right="0"/>
              <w:jc w:val="left"/>
              <w:rPr>
                <w:rFonts w:ascii="宋体" w:hAnsi="宋体" w:cs="宋体" w:eastAsia="宋体" w:hint="default"/>
                <w:sz w:val="16"/>
                <w:szCs w:val="16"/>
              </w:rPr>
            </w:pPr>
            <w:r>
              <w:rPr>
                <w:rFonts w:ascii="宋体" w:hAnsi="宋体" w:cs="宋体" w:eastAsia="宋体" w:hint="default"/>
                <w:color w:val="D7000F"/>
                <w:sz w:val="16"/>
                <w:szCs w:val="16"/>
              </w:rPr>
              <w:t>所占主营业务收入百分比</w:t>
            </w:r>
            <w:r>
              <w:rPr>
                <w:rFonts w:ascii="宋体" w:hAnsi="宋体" w:cs="宋体" w:eastAsia="宋体" w:hint="default"/>
                <w:sz w:val="16"/>
                <w:szCs w:val="16"/>
              </w:rPr>
            </w:r>
          </w:p>
        </w:tc>
        <w:tc>
          <w:tcPr>
            <w:tcW w:w="1060"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14"/>
              <w:jc w:val="right"/>
              <w:rPr>
                <w:rFonts w:ascii="宋体" w:hAnsi="宋体" w:cs="宋体" w:eastAsia="宋体" w:hint="default"/>
                <w:sz w:val="16"/>
                <w:szCs w:val="16"/>
              </w:rPr>
            </w:pPr>
            <w:r>
              <w:rPr>
                <w:rFonts w:ascii="宋体" w:hAnsi="宋体" w:cs="宋体" w:eastAsia="宋体" w:hint="default"/>
                <w:sz w:val="16"/>
                <w:szCs w:val="16"/>
              </w:rPr>
              <w:t>累计完成</w:t>
            </w:r>
          </w:p>
        </w:tc>
        <w:tc>
          <w:tcPr>
            <w:tcW w:w="2066"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15"/>
              <w:ind w:left="116"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40" w:lineRule="auto" w:before="64"/>
              <w:ind w:left="221" w:right="0"/>
              <w:jc w:val="left"/>
              <w:rPr>
                <w:rFonts w:ascii="宋体" w:hAnsi="宋体" w:cs="宋体" w:eastAsia="宋体" w:hint="default"/>
                <w:sz w:val="16"/>
                <w:szCs w:val="16"/>
              </w:rPr>
            </w:pPr>
            <w:r>
              <w:rPr>
                <w:rFonts w:ascii="宋体" w:hAnsi="宋体" w:cs="宋体" w:eastAsia="宋体" w:hint="default"/>
                <w:sz w:val="16"/>
                <w:szCs w:val="16"/>
              </w:rPr>
              <w:t>所占主营业务收入百分比</w:t>
            </w:r>
          </w:p>
        </w:tc>
      </w:tr>
      <w:tr>
        <w:trPr>
          <w:trHeight w:val="370" w:hRule="exact"/>
        </w:trPr>
        <w:tc>
          <w:tcPr>
            <w:tcW w:w="2089"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72"/>
              <w:ind w:left="120" w:right="0"/>
              <w:jc w:val="left"/>
              <w:rPr>
                <w:rFonts w:ascii="宋体" w:hAnsi="宋体" w:cs="宋体" w:eastAsia="宋体" w:hint="default"/>
                <w:sz w:val="16"/>
                <w:szCs w:val="16"/>
              </w:rPr>
            </w:pPr>
            <w:r>
              <w:rPr>
                <w:rFonts w:ascii="宋体" w:hAnsi="宋体" w:cs="宋体" w:eastAsia="宋体" w:hint="default"/>
                <w:sz w:val="16"/>
                <w:szCs w:val="16"/>
              </w:rPr>
              <w:t>主营业务收入</w:t>
            </w:r>
          </w:p>
        </w:tc>
        <w:tc>
          <w:tcPr>
            <w:tcW w:w="1606" w:type="dxa"/>
            <w:tcBorders>
              <w:top w:val="single" w:sz="16" w:space="0" w:color="D7000F"/>
              <w:left w:val="nil" w:sz="6" w:space="0" w:color="auto"/>
              <w:bottom w:val="nil" w:sz="6" w:space="0" w:color="auto"/>
              <w:right w:val="nil" w:sz="6" w:space="0" w:color="auto"/>
            </w:tcBorders>
            <w:shd w:val="clear" w:color="auto" w:fill="FFFFFF"/>
          </w:tcPr>
          <w:p>
            <w:pPr>
              <w:pStyle w:val="TableParagraph"/>
              <w:spacing w:line="240" w:lineRule="auto" w:before="72"/>
              <w:ind w:right="114"/>
              <w:jc w:val="right"/>
              <w:rPr>
                <w:rFonts w:ascii="宋体" w:hAnsi="宋体" w:cs="宋体" w:eastAsia="宋体" w:hint="default"/>
                <w:sz w:val="16"/>
                <w:szCs w:val="16"/>
              </w:rPr>
            </w:pPr>
            <w:r>
              <w:rPr>
                <w:rFonts w:ascii="宋体"/>
                <w:color w:val="D7000F"/>
                <w:w w:val="95"/>
                <w:sz w:val="16"/>
              </w:rPr>
              <w:t>2,636.8</w:t>
            </w:r>
            <w:r>
              <w:rPr>
                <w:rFonts w:ascii="宋体"/>
                <w:sz w:val="16"/>
              </w:rPr>
            </w:r>
          </w:p>
        </w:tc>
        <w:tc>
          <w:tcPr>
            <w:tcW w:w="2285"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72"/>
              <w:ind w:right="301"/>
              <w:jc w:val="right"/>
              <w:rPr>
                <w:rFonts w:ascii="宋体" w:hAnsi="宋体" w:cs="宋体" w:eastAsia="宋体" w:hint="default"/>
                <w:sz w:val="16"/>
                <w:szCs w:val="16"/>
              </w:rPr>
            </w:pPr>
            <w:r>
              <w:rPr>
                <w:rFonts w:ascii="宋体"/>
                <w:color w:val="D7000F"/>
                <w:w w:val="115"/>
                <w:sz w:val="16"/>
              </w:rPr>
              <w:t>100.0%</w:t>
            </w:r>
            <w:r>
              <w:rPr>
                <w:rFonts w:ascii="宋体"/>
                <w:sz w:val="16"/>
              </w:rPr>
            </w:r>
          </w:p>
        </w:tc>
        <w:tc>
          <w:tcPr>
            <w:tcW w:w="1060"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72"/>
              <w:ind w:right="114"/>
              <w:jc w:val="right"/>
              <w:rPr>
                <w:rFonts w:ascii="宋体" w:hAnsi="宋体" w:cs="宋体" w:eastAsia="宋体" w:hint="default"/>
                <w:sz w:val="16"/>
                <w:szCs w:val="16"/>
              </w:rPr>
            </w:pPr>
            <w:r>
              <w:rPr>
                <w:rFonts w:ascii="宋体"/>
                <w:w w:val="95"/>
                <w:sz w:val="16"/>
              </w:rPr>
              <w:t>2,490.2</w:t>
            </w:r>
            <w:r>
              <w:rPr>
                <w:rFonts w:ascii="宋体"/>
                <w:sz w:val="16"/>
              </w:rPr>
            </w:r>
          </w:p>
        </w:tc>
        <w:tc>
          <w:tcPr>
            <w:tcW w:w="2066"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72"/>
              <w:ind w:right="83"/>
              <w:jc w:val="right"/>
              <w:rPr>
                <w:rFonts w:ascii="宋体" w:hAnsi="宋体" w:cs="宋体" w:eastAsia="宋体" w:hint="default"/>
                <w:sz w:val="16"/>
                <w:szCs w:val="16"/>
              </w:rPr>
            </w:pPr>
            <w:r>
              <w:rPr>
                <w:rFonts w:ascii="宋体"/>
                <w:w w:val="115"/>
                <w:sz w:val="16"/>
              </w:rPr>
              <w:t>100.0%</w:t>
            </w:r>
            <w:r>
              <w:rPr>
                <w:rFonts w:ascii="宋体"/>
                <w:sz w:val="16"/>
              </w:rPr>
            </w:r>
          </w:p>
        </w:tc>
      </w:tr>
      <w:tr>
        <w:trPr>
          <w:trHeight w:val="273" w:hRule="exact"/>
        </w:trPr>
        <w:tc>
          <w:tcPr>
            <w:tcW w:w="20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9" w:right="0"/>
              <w:jc w:val="left"/>
              <w:rPr>
                <w:rFonts w:ascii="宋体" w:hAnsi="宋体" w:cs="宋体" w:eastAsia="宋体" w:hint="default"/>
                <w:sz w:val="16"/>
                <w:szCs w:val="16"/>
              </w:rPr>
            </w:pPr>
            <w:r>
              <w:rPr>
                <w:rFonts w:ascii="宋体" w:hAnsi="宋体" w:cs="宋体" w:eastAsia="宋体" w:hint="default"/>
                <w:sz w:val="16"/>
                <w:szCs w:val="16"/>
              </w:rPr>
              <w:t>其中：语音业务</w:t>
            </w:r>
          </w:p>
        </w:tc>
        <w:tc>
          <w:tcPr>
            <w:tcW w:w="1606"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4"/>
              <w:jc w:val="right"/>
              <w:rPr>
                <w:rFonts w:ascii="宋体" w:hAnsi="宋体" w:cs="宋体" w:eastAsia="宋体" w:hint="default"/>
                <w:sz w:val="16"/>
                <w:szCs w:val="16"/>
              </w:rPr>
            </w:pPr>
            <w:r>
              <w:rPr>
                <w:rFonts w:ascii="宋体"/>
                <w:color w:val="D7000F"/>
                <w:w w:val="95"/>
                <w:sz w:val="16"/>
              </w:rPr>
              <w:t>460.6</w:t>
            </w:r>
            <w:r>
              <w:rPr>
                <w:rFonts w:ascii="宋体"/>
                <w:sz w:val="16"/>
              </w:rPr>
            </w:r>
          </w:p>
        </w:tc>
        <w:tc>
          <w:tcPr>
            <w:tcW w:w="228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301"/>
              <w:jc w:val="right"/>
              <w:rPr>
                <w:rFonts w:ascii="宋体" w:hAnsi="宋体" w:cs="宋体" w:eastAsia="宋体" w:hint="default"/>
                <w:sz w:val="16"/>
                <w:szCs w:val="16"/>
              </w:rPr>
            </w:pPr>
            <w:r>
              <w:rPr>
                <w:rFonts w:ascii="宋体"/>
                <w:color w:val="D7000F"/>
                <w:w w:val="115"/>
                <w:sz w:val="16"/>
              </w:rPr>
              <w:t>17.5%</w:t>
            </w:r>
            <w:r>
              <w:rPr>
                <w:rFonts w:ascii="宋体"/>
                <w:sz w:val="16"/>
              </w:rPr>
            </w:r>
          </w:p>
        </w:tc>
        <w:tc>
          <w:tcPr>
            <w:tcW w:w="106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4"/>
              <w:jc w:val="right"/>
              <w:rPr>
                <w:rFonts w:ascii="宋体" w:hAnsi="宋体" w:cs="宋体" w:eastAsia="宋体" w:hint="default"/>
                <w:sz w:val="16"/>
                <w:szCs w:val="16"/>
              </w:rPr>
            </w:pPr>
            <w:r>
              <w:rPr>
                <w:rFonts w:ascii="宋体"/>
                <w:w w:val="95"/>
                <w:sz w:val="16"/>
              </w:rPr>
              <w:t>535.2</w:t>
            </w:r>
            <w:r>
              <w:rPr>
                <w:rFonts w:ascii="宋体"/>
                <w:sz w:val="16"/>
              </w:rPr>
            </w:r>
          </w:p>
        </w:tc>
        <w:tc>
          <w:tcPr>
            <w:tcW w:w="2066"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21.5%</w:t>
            </w:r>
            <w:r>
              <w:rPr>
                <w:rFonts w:ascii="宋体"/>
                <w:sz w:val="16"/>
              </w:rPr>
            </w:r>
          </w:p>
        </w:tc>
      </w:tr>
      <w:tr>
        <w:trPr>
          <w:trHeight w:val="333" w:hRule="exact"/>
        </w:trPr>
        <w:tc>
          <w:tcPr>
            <w:tcW w:w="2089" w:type="dxa"/>
            <w:tcBorders>
              <w:top w:val="nil" w:sz="6" w:space="0" w:color="auto"/>
              <w:left w:val="nil" w:sz="6" w:space="0" w:color="auto"/>
              <w:bottom w:val="single" w:sz="4" w:space="0" w:color="000000"/>
              <w:right w:val="nil" w:sz="6" w:space="0" w:color="auto"/>
            </w:tcBorders>
            <w:shd w:val="clear" w:color="auto" w:fill="FFFFFF"/>
          </w:tcPr>
          <w:p>
            <w:pPr>
              <w:pStyle w:val="TableParagraph"/>
              <w:spacing w:line="205" w:lineRule="exact"/>
              <w:ind w:left="119" w:right="0"/>
              <w:jc w:val="left"/>
              <w:rPr>
                <w:rFonts w:ascii="宋体" w:hAnsi="宋体" w:cs="宋体" w:eastAsia="宋体" w:hint="default"/>
                <w:sz w:val="16"/>
                <w:szCs w:val="16"/>
              </w:rPr>
            </w:pPr>
            <w:r>
              <w:rPr>
                <w:rFonts w:ascii="宋体" w:hAnsi="宋体" w:cs="宋体" w:eastAsia="宋体" w:hint="default"/>
                <w:sz w:val="16"/>
                <w:szCs w:val="16"/>
              </w:rPr>
              <w:t>非语音业务</w:t>
            </w:r>
          </w:p>
        </w:tc>
        <w:tc>
          <w:tcPr>
            <w:tcW w:w="1606" w:type="dxa"/>
            <w:tcBorders>
              <w:top w:val="nil" w:sz="6" w:space="0" w:color="auto"/>
              <w:left w:val="nil" w:sz="6" w:space="0" w:color="auto"/>
              <w:bottom w:val="single" w:sz="4" w:space="0" w:color="D7000F"/>
              <w:right w:val="nil" w:sz="6" w:space="0" w:color="auto"/>
            </w:tcBorders>
            <w:shd w:val="clear" w:color="auto" w:fill="FFFFFF"/>
          </w:tcPr>
          <w:p>
            <w:pPr>
              <w:pStyle w:val="TableParagraph"/>
              <w:spacing w:line="205" w:lineRule="exact"/>
              <w:ind w:right="114"/>
              <w:jc w:val="right"/>
              <w:rPr>
                <w:rFonts w:ascii="宋体" w:hAnsi="宋体" w:cs="宋体" w:eastAsia="宋体" w:hint="default"/>
                <w:sz w:val="16"/>
                <w:szCs w:val="16"/>
              </w:rPr>
            </w:pPr>
            <w:r>
              <w:rPr>
                <w:rFonts w:ascii="宋体"/>
                <w:color w:val="D7000F"/>
                <w:w w:val="95"/>
                <w:sz w:val="16"/>
              </w:rPr>
              <w:t>2,176.2</w:t>
            </w:r>
            <w:r>
              <w:rPr>
                <w:rFonts w:ascii="宋体"/>
                <w:sz w:val="16"/>
              </w:rPr>
            </w:r>
          </w:p>
        </w:tc>
        <w:tc>
          <w:tcPr>
            <w:tcW w:w="2285" w:type="dxa"/>
            <w:tcBorders>
              <w:top w:val="nil" w:sz="6" w:space="0" w:color="auto"/>
              <w:left w:val="nil" w:sz="6" w:space="0" w:color="auto"/>
              <w:bottom w:val="single" w:sz="4" w:space="0" w:color="000000"/>
              <w:right w:val="nil" w:sz="6" w:space="0" w:color="auto"/>
            </w:tcBorders>
            <w:shd w:val="clear" w:color="auto" w:fill="FFFFFF"/>
          </w:tcPr>
          <w:p>
            <w:pPr>
              <w:pStyle w:val="TableParagraph"/>
              <w:spacing w:line="205" w:lineRule="exact"/>
              <w:ind w:right="301"/>
              <w:jc w:val="right"/>
              <w:rPr>
                <w:rFonts w:ascii="宋体" w:hAnsi="宋体" w:cs="宋体" w:eastAsia="宋体" w:hint="default"/>
                <w:sz w:val="16"/>
                <w:szCs w:val="16"/>
              </w:rPr>
            </w:pPr>
            <w:r>
              <w:rPr>
                <w:rFonts w:ascii="宋体"/>
                <w:color w:val="D7000F"/>
                <w:w w:val="115"/>
                <w:sz w:val="16"/>
              </w:rPr>
              <w:t>82.5%</w:t>
            </w:r>
            <w:r>
              <w:rPr>
                <w:rFonts w:ascii="宋体"/>
                <w:sz w:val="16"/>
              </w:rPr>
            </w:r>
          </w:p>
        </w:tc>
        <w:tc>
          <w:tcPr>
            <w:tcW w:w="1060" w:type="dxa"/>
            <w:tcBorders>
              <w:top w:val="nil" w:sz="6" w:space="0" w:color="auto"/>
              <w:left w:val="nil" w:sz="6" w:space="0" w:color="auto"/>
              <w:bottom w:val="single" w:sz="4" w:space="0" w:color="000000"/>
              <w:right w:val="nil" w:sz="6" w:space="0" w:color="auto"/>
            </w:tcBorders>
            <w:shd w:val="clear" w:color="auto" w:fill="FFFFFF"/>
          </w:tcPr>
          <w:p>
            <w:pPr>
              <w:pStyle w:val="TableParagraph"/>
              <w:spacing w:line="205" w:lineRule="exact"/>
              <w:ind w:right="114"/>
              <w:jc w:val="right"/>
              <w:rPr>
                <w:rFonts w:ascii="宋体" w:hAnsi="宋体" w:cs="宋体" w:eastAsia="宋体" w:hint="default"/>
                <w:sz w:val="16"/>
                <w:szCs w:val="16"/>
              </w:rPr>
            </w:pPr>
            <w:r>
              <w:rPr>
                <w:rFonts w:ascii="宋体"/>
                <w:w w:val="95"/>
                <w:sz w:val="16"/>
              </w:rPr>
              <w:t>1,955.0</w:t>
            </w:r>
            <w:r>
              <w:rPr>
                <w:rFonts w:ascii="宋体"/>
                <w:sz w:val="16"/>
              </w:rPr>
            </w:r>
          </w:p>
        </w:tc>
        <w:tc>
          <w:tcPr>
            <w:tcW w:w="2066" w:type="dxa"/>
            <w:tcBorders>
              <w:top w:val="nil" w:sz="6" w:space="0" w:color="auto"/>
              <w:left w:val="nil" w:sz="6" w:space="0" w:color="auto"/>
              <w:bottom w:val="single" w:sz="4" w:space="0" w:color="000000"/>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78.5%</w:t>
            </w:r>
            <w:r>
              <w:rPr>
                <w:rFonts w:ascii="宋体"/>
                <w:sz w:val="16"/>
              </w:rPr>
            </w:r>
          </w:p>
        </w:tc>
      </w:tr>
      <w:tr>
        <w:trPr>
          <w:trHeight w:val="525" w:hRule="exact"/>
        </w:trPr>
        <w:tc>
          <w:tcPr>
            <w:tcW w:w="2089" w:type="dxa"/>
            <w:tcBorders>
              <w:top w:val="single" w:sz="4" w:space="0" w:color="000000"/>
              <w:left w:val="nil" w:sz="6" w:space="0" w:color="auto"/>
              <w:bottom w:val="nil" w:sz="6" w:space="0" w:color="auto"/>
              <w:right w:val="nil" w:sz="6" w:space="0" w:color="auto"/>
            </w:tcBorders>
            <w:shd w:val="clear" w:color="auto" w:fill="FFFFFF"/>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1）语音业务</w:t>
            </w:r>
          </w:p>
        </w:tc>
        <w:tc>
          <w:tcPr>
            <w:tcW w:w="1606" w:type="dxa"/>
            <w:tcBorders>
              <w:top w:val="single" w:sz="4" w:space="0" w:color="D7000F"/>
              <w:left w:val="nil" w:sz="6" w:space="0" w:color="auto"/>
              <w:bottom w:val="nil" w:sz="6" w:space="0" w:color="auto"/>
              <w:right w:val="nil" w:sz="6" w:space="0" w:color="auto"/>
            </w:tcBorders>
            <w:shd w:val="clear" w:color="auto" w:fill="FFFFFF"/>
          </w:tcPr>
          <w:p>
            <w:pPr/>
          </w:p>
        </w:tc>
        <w:tc>
          <w:tcPr>
            <w:tcW w:w="2285" w:type="dxa"/>
            <w:tcBorders>
              <w:top w:val="single" w:sz="4" w:space="0" w:color="000000"/>
              <w:left w:val="nil" w:sz="6" w:space="0" w:color="auto"/>
              <w:bottom w:val="nil" w:sz="6" w:space="0" w:color="auto"/>
              <w:right w:val="nil" w:sz="6" w:space="0" w:color="auto"/>
            </w:tcBorders>
            <w:shd w:val="clear" w:color="auto" w:fill="FFFFFF"/>
          </w:tcPr>
          <w:p>
            <w:pPr/>
          </w:p>
        </w:tc>
        <w:tc>
          <w:tcPr>
            <w:tcW w:w="1060" w:type="dxa"/>
            <w:tcBorders>
              <w:top w:val="single" w:sz="4" w:space="0" w:color="000000"/>
              <w:left w:val="nil" w:sz="6" w:space="0" w:color="auto"/>
              <w:bottom w:val="nil" w:sz="6" w:space="0" w:color="auto"/>
              <w:right w:val="nil" w:sz="6" w:space="0" w:color="auto"/>
            </w:tcBorders>
            <w:shd w:val="clear" w:color="auto" w:fill="FFFFFF"/>
          </w:tcPr>
          <w:p>
            <w:pPr/>
          </w:p>
        </w:tc>
        <w:tc>
          <w:tcPr>
            <w:tcW w:w="2066" w:type="dxa"/>
            <w:tcBorders>
              <w:top w:val="single" w:sz="4" w:space="0" w:color="000000"/>
              <w:left w:val="nil" w:sz="6" w:space="0" w:color="auto"/>
              <w:bottom w:val="nil" w:sz="6" w:space="0" w:color="auto"/>
              <w:right w:val="nil" w:sz="6" w:space="0" w:color="auto"/>
            </w:tcBorders>
          </w:tcPr>
          <w:p>
            <w:pPr/>
          </w:p>
        </w:tc>
      </w:tr>
    </w:tbl>
    <w:p>
      <w:pPr>
        <w:pStyle w:val="BodyText"/>
        <w:spacing w:line="240" w:lineRule="auto" w:before="44"/>
        <w:ind w:left="604" w:right="95"/>
        <w:jc w:val="left"/>
        <w:rPr>
          <w:rFonts w:ascii="宋体" w:hAnsi="宋体" w:cs="宋体" w:eastAsia="宋体" w:hint="default"/>
        </w:rPr>
      </w:pPr>
      <w:r>
        <w:rPr>
          <w:rFonts w:ascii="宋体" w:hAnsi="宋体" w:cs="宋体" w:eastAsia="宋体" w:hint="default"/>
        </w:rPr>
        <w:t>2018 年公司语音业务收入实现人民币 460.6 亿元，同比下降</w:t>
      </w:r>
      <w:r>
        <w:rPr>
          <w:rFonts w:ascii="宋体" w:hAnsi="宋体" w:cs="宋体" w:eastAsia="宋体" w:hint="default"/>
          <w:spacing w:val="-64"/>
        </w:rPr>
        <w:t> </w:t>
      </w:r>
      <w:r>
        <w:rPr>
          <w:rFonts w:ascii="宋体" w:hAnsi="宋体" w:cs="宋体" w:eastAsia="宋体" w:hint="default"/>
        </w:rPr>
        <w:t>13.9%。</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2）非语音业务</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5"/>
        </w:rPr>
        <w:t> </w:t>
      </w:r>
      <w:r>
        <w:rPr>
          <w:rFonts w:ascii="宋体" w:hAnsi="宋体" w:cs="宋体" w:eastAsia="宋体" w:hint="default"/>
        </w:rPr>
        <w:t>年公司非语音业务收入实现人民币</w:t>
      </w:r>
      <w:r>
        <w:rPr>
          <w:rFonts w:ascii="宋体" w:hAnsi="宋体" w:cs="宋体" w:eastAsia="宋体" w:hint="default"/>
          <w:spacing w:val="-23"/>
        </w:rPr>
        <w:t> </w:t>
      </w:r>
      <w:r>
        <w:rPr>
          <w:rFonts w:ascii="宋体" w:hAnsi="宋体" w:cs="宋体" w:eastAsia="宋体" w:hint="default"/>
        </w:rPr>
        <w:t>2,176.2</w:t>
      </w:r>
      <w:r>
        <w:rPr>
          <w:rFonts w:ascii="宋体" w:hAnsi="宋体" w:cs="宋体" w:eastAsia="宋体" w:hint="default"/>
          <w:spacing w:val="-25"/>
        </w:rPr>
        <w:t> </w:t>
      </w:r>
      <w:r>
        <w:rPr>
          <w:rFonts w:ascii="宋体" w:hAnsi="宋体" w:cs="宋体" w:eastAsia="宋体" w:hint="default"/>
        </w:rPr>
        <w:t>亿元，同比增长</w:t>
      </w:r>
      <w:r>
        <w:rPr>
          <w:rFonts w:ascii="宋体" w:hAnsi="宋体" w:cs="宋体" w:eastAsia="宋体" w:hint="default"/>
          <w:spacing w:val="-23"/>
        </w:rPr>
        <w:t> </w:t>
      </w:r>
      <w:r>
        <w:rPr>
          <w:rFonts w:ascii="宋体" w:hAnsi="宋体" w:cs="宋体" w:eastAsia="宋体" w:hint="default"/>
        </w:rPr>
        <w:t>11.3%。</w:t>
      </w:r>
    </w:p>
    <w:p>
      <w:pPr>
        <w:spacing w:line="240" w:lineRule="auto" w:before="5"/>
        <w:rPr>
          <w:rFonts w:ascii="宋体" w:hAnsi="宋体" w:cs="宋体" w:eastAsia="宋体" w:hint="default"/>
          <w:sz w:val="23"/>
          <w:szCs w:val="23"/>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29</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123"/>
          <w:footerReference w:type="default" r:id="rId124"/>
          <w:pgSz w:w="11910" w:h="16160"/>
          <w:pgMar w:header="0" w:footer="0" w:top="1520" w:bottom="0" w:left="1380" w:right="660"/>
        </w:sectPr>
      </w:pPr>
    </w:p>
    <w:p>
      <w:pPr>
        <w:spacing w:line="240" w:lineRule="auto" w:before="0"/>
        <w:rPr>
          <w:rFonts w:ascii="Arial" w:hAnsi="Arial" w:cs="Arial" w:eastAsia="Arial" w:hint="default"/>
          <w:b/>
          <w:bCs/>
          <w:sz w:val="18"/>
          <w:szCs w:val="18"/>
        </w:rPr>
      </w:pPr>
    </w:p>
    <w:p>
      <w:pPr>
        <w:spacing w:line="240" w:lineRule="auto" w:before="0"/>
        <w:rPr>
          <w:rFonts w:ascii="Arial" w:hAnsi="Arial" w:cs="Arial" w:eastAsia="Arial" w:hint="default"/>
          <w:b/>
          <w:bCs/>
          <w:sz w:val="18"/>
          <w:szCs w:val="18"/>
        </w:rPr>
      </w:pPr>
    </w:p>
    <w:p>
      <w:pPr>
        <w:pStyle w:val="BodyText"/>
        <w:spacing w:line="240" w:lineRule="auto" w:before="104"/>
        <w:ind w:left="490" w:right="1314"/>
        <w:jc w:val="left"/>
        <w:rPr>
          <w:rFonts w:ascii="宋体" w:hAnsi="宋体" w:cs="宋体" w:eastAsia="宋体" w:hint="default"/>
        </w:rPr>
      </w:pPr>
      <w:r>
        <w:rPr>
          <w:rFonts w:ascii="宋体" w:hAnsi="宋体" w:cs="宋体" w:eastAsia="宋体" w:hint="default"/>
          <w:color w:val="D7000F"/>
          <w:w w:val="95"/>
        </w:rPr>
        <w:t>3.</w:t>
      </w:r>
      <w:r>
        <w:rPr>
          <w:rFonts w:ascii="宋体" w:hAnsi="宋体" w:cs="宋体" w:eastAsia="宋体" w:hint="default"/>
          <w:color w:val="D7000F"/>
          <w:spacing w:val="-26"/>
          <w:w w:val="95"/>
        </w:rPr>
        <w:t> </w:t>
      </w:r>
      <w:r>
        <w:rPr>
          <w:rFonts w:ascii="宋体" w:hAnsi="宋体" w:cs="宋体" w:eastAsia="宋体" w:hint="default"/>
          <w:color w:val="D7000F"/>
          <w:w w:val="95"/>
        </w:rPr>
        <w:t>成本费用</w:t>
      </w:r>
      <w:r>
        <w:rPr>
          <w:rFonts w:ascii="宋体" w:hAnsi="宋体" w:cs="宋体" w:eastAsia="宋体" w:hint="default"/>
          <w:w w:val="95"/>
        </w:rPr>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rPr>
        <w:t>年公司成本费用合计为人民币</w:t>
      </w:r>
      <w:r>
        <w:rPr>
          <w:rFonts w:ascii="宋体" w:hAnsi="宋体" w:cs="宋体" w:eastAsia="宋体" w:hint="default"/>
          <w:spacing w:val="-26"/>
        </w:rPr>
        <w:t> </w:t>
      </w:r>
      <w:r>
        <w:rPr>
          <w:rFonts w:ascii="宋体" w:hAnsi="宋体" w:cs="宋体" w:eastAsia="宋体" w:hint="default"/>
        </w:rPr>
        <w:t>2,724.1</w:t>
      </w:r>
      <w:r>
        <w:rPr>
          <w:rFonts w:ascii="宋体" w:hAnsi="宋体" w:cs="宋体" w:eastAsia="宋体" w:hint="default"/>
          <w:spacing w:val="-27"/>
        </w:rPr>
        <w:t> </w:t>
      </w:r>
      <w:r>
        <w:rPr>
          <w:rFonts w:ascii="宋体" w:hAnsi="宋体" w:cs="宋体" w:eastAsia="宋体" w:hint="default"/>
        </w:rPr>
        <w:t>亿元，同比增长</w:t>
      </w:r>
      <w:r>
        <w:rPr>
          <w:rFonts w:ascii="宋体" w:hAnsi="宋体" w:cs="宋体" w:eastAsia="宋体" w:hint="default"/>
          <w:spacing w:val="-26"/>
        </w:rPr>
        <w:t> </w:t>
      </w:r>
      <w:r>
        <w:rPr>
          <w:rFonts w:ascii="宋体" w:hAnsi="宋体" w:cs="宋体" w:eastAsia="宋体" w:hint="default"/>
        </w:rPr>
        <w:t>2.2%。</w:t>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rPr>
        <w:t>下表列出了</w:t>
      </w:r>
      <w:r>
        <w:rPr>
          <w:rFonts w:ascii="宋体" w:hAnsi="宋体" w:cs="宋体" w:eastAsia="宋体" w:hint="default"/>
          <w:spacing w:val="-25"/>
        </w:rPr>
        <w:t> </w:t>
      </w: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rPr>
        <w:t>年和</w:t>
      </w:r>
      <w:r>
        <w:rPr>
          <w:rFonts w:ascii="宋体" w:hAnsi="宋体" w:cs="宋体" w:eastAsia="宋体" w:hint="default"/>
          <w:spacing w:val="-25"/>
        </w:rPr>
        <w:t> </w:t>
      </w:r>
      <w:r>
        <w:rPr>
          <w:rFonts w:ascii="宋体" w:hAnsi="宋体" w:cs="宋体" w:eastAsia="宋体" w:hint="default"/>
        </w:rPr>
        <w:t>2017</w:t>
      </w:r>
      <w:r>
        <w:rPr>
          <w:rFonts w:ascii="宋体" w:hAnsi="宋体" w:cs="宋体" w:eastAsia="宋体" w:hint="default"/>
          <w:spacing w:val="-27"/>
        </w:rPr>
        <w:t> </w:t>
      </w:r>
      <w:r>
        <w:rPr>
          <w:rFonts w:ascii="宋体" w:hAnsi="宋体" w:cs="宋体" w:eastAsia="宋体" w:hint="default"/>
        </w:rPr>
        <w:t>年公司成本费用项目以及每个项目所占营业收入的百分比变化情况：</w:t>
      </w:r>
    </w:p>
    <w:p>
      <w:pPr>
        <w:spacing w:line="240" w:lineRule="auto" w:before="2"/>
        <w:rPr>
          <w:rFonts w:ascii="宋体" w:hAnsi="宋体" w:cs="宋体" w:eastAsia="宋体" w:hint="default"/>
          <w:sz w:val="10"/>
          <w:szCs w:val="10"/>
        </w:rPr>
      </w:pPr>
    </w:p>
    <w:p>
      <w:pPr>
        <w:spacing w:before="0"/>
        <w:ind w:left="0" w:right="1500" w:firstLine="0"/>
        <w:jc w:val="right"/>
        <w:rPr>
          <w:rFonts w:ascii="宋体" w:hAnsi="宋体" w:cs="宋体" w:eastAsia="宋体" w:hint="default"/>
          <w:sz w:val="12"/>
          <w:szCs w:val="12"/>
        </w:rPr>
      </w:pPr>
      <w:r>
        <w:rPr>
          <w:rFonts w:ascii="宋体" w:hAnsi="宋体" w:cs="宋体" w:eastAsia="宋体" w:hint="default"/>
          <w:sz w:val="12"/>
          <w:szCs w:val="12"/>
        </w:rPr>
        <w:t>（单位：人民币亿元）</w:t>
      </w:r>
    </w:p>
    <w:p>
      <w:pPr>
        <w:spacing w:line="240" w:lineRule="auto" w:before="10"/>
        <w:rPr>
          <w:rFonts w:ascii="宋体" w:hAnsi="宋体" w:cs="宋体" w:eastAsia="宋体" w:hint="default"/>
          <w:sz w:val="3"/>
          <w:szCs w:val="3"/>
        </w:rPr>
      </w:pPr>
    </w:p>
    <w:tbl>
      <w:tblPr>
        <w:tblW w:w="0" w:type="auto"/>
        <w:jc w:val="left"/>
        <w:tblInd w:w="717" w:type="dxa"/>
        <w:tblLayout w:type="fixed"/>
        <w:tblCellMar>
          <w:top w:w="0" w:type="dxa"/>
          <w:left w:w="0" w:type="dxa"/>
          <w:bottom w:w="0" w:type="dxa"/>
          <w:right w:w="0" w:type="dxa"/>
        </w:tblCellMar>
        <w:tblLook w:val="01E0"/>
      </w:tblPr>
      <w:tblGrid>
        <w:gridCol w:w="3203"/>
        <w:gridCol w:w="1038"/>
        <w:gridCol w:w="1987"/>
        <w:gridCol w:w="961"/>
        <w:gridCol w:w="1882"/>
      </w:tblGrid>
      <w:tr>
        <w:trPr>
          <w:trHeight w:val="611" w:hRule="exact"/>
        </w:trPr>
        <w:tc>
          <w:tcPr>
            <w:tcW w:w="3203" w:type="dxa"/>
            <w:tcBorders>
              <w:top w:val="nil" w:sz="6" w:space="0" w:color="auto"/>
              <w:left w:val="nil" w:sz="6" w:space="0" w:color="auto"/>
              <w:bottom w:val="single" w:sz="16" w:space="0" w:color="9C8758"/>
              <w:right w:val="nil" w:sz="6" w:space="0" w:color="auto"/>
            </w:tcBorders>
            <w:shd w:val="clear" w:color="auto" w:fill="FFFFFF"/>
          </w:tcPr>
          <w:p>
            <w:pPr/>
          </w:p>
        </w:tc>
        <w:tc>
          <w:tcPr>
            <w:tcW w:w="1038" w:type="dxa"/>
            <w:tcBorders>
              <w:top w:val="nil" w:sz="6" w:space="0" w:color="auto"/>
              <w:left w:val="nil" w:sz="6" w:space="0" w:color="auto"/>
              <w:bottom w:val="single" w:sz="16" w:space="0" w:color="D7000F"/>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28"/>
              <w:jc w:val="right"/>
              <w:rPr>
                <w:rFonts w:ascii="宋体" w:hAnsi="宋体" w:cs="宋体" w:eastAsia="宋体" w:hint="default"/>
                <w:sz w:val="16"/>
                <w:szCs w:val="16"/>
              </w:rPr>
            </w:pPr>
            <w:r>
              <w:rPr>
                <w:rFonts w:ascii="宋体" w:hAnsi="宋体" w:cs="宋体" w:eastAsia="宋体" w:hint="default"/>
                <w:color w:val="D7000F"/>
                <w:sz w:val="16"/>
                <w:szCs w:val="16"/>
              </w:rPr>
              <w:t>累计发生</w:t>
            </w:r>
            <w:r>
              <w:rPr>
                <w:rFonts w:ascii="宋体" w:hAnsi="宋体" w:cs="宋体" w:eastAsia="宋体" w:hint="default"/>
                <w:sz w:val="16"/>
                <w:szCs w:val="16"/>
              </w:rPr>
            </w:r>
          </w:p>
        </w:tc>
        <w:tc>
          <w:tcPr>
            <w:tcW w:w="1987" w:type="dxa"/>
            <w:tcBorders>
              <w:top w:val="nil" w:sz="6" w:space="0" w:color="auto"/>
              <w:left w:val="nil" w:sz="6" w:space="0" w:color="auto"/>
              <w:bottom w:val="single" w:sz="16" w:space="0" w:color="9C8758"/>
              <w:right w:val="nil" w:sz="6" w:space="0" w:color="auto"/>
            </w:tcBorders>
          </w:tcPr>
          <w:p>
            <w:pPr>
              <w:pStyle w:val="TableParagraph"/>
              <w:spacing w:line="240" w:lineRule="auto" w:before="15"/>
              <w:ind w:left="130" w:right="0"/>
              <w:jc w:val="left"/>
              <w:rPr>
                <w:rFonts w:ascii="宋体" w:hAnsi="宋体" w:cs="宋体" w:eastAsia="宋体" w:hint="default"/>
                <w:sz w:val="16"/>
                <w:szCs w:val="16"/>
              </w:rPr>
            </w:pPr>
            <w:r>
              <w:rPr>
                <w:rFonts w:ascii="宋体" w:hAnsi="宋体" w:cs="宋体" w:eastAsia="宋体" w:hint="default"/>
                <w:color w:val="D7000F"/>
                <w:w w:val="110"/>
                <w:sz w:val="16"/>
                <w:szCs w:val="16"/>
              </w:rPr>
              <w:t>2018</w:t>
            </w:r>
            <w:r>
              <w:rPr>
                <w:rFonts w:ascii="宋体" w:hAnsi="宋体" w:cs="宋体" w:eastAsia="宋体" w:hint="default"/>
                <w:color w:val="D7000F"/>
                <w:spacing w:val="-62"/>
                <w:w w:val="110"/>
                <w:sz w:val="16"/>
                <w:szCs w:val="16"/>
              </w:rPr>
              <w:t> </w:t>
            </w:r>
            <w:r>
              <w:rPr>
                <w:rFonts w:ascii="宋体" w:hAnsi="宋体" w:cs="宋体" w:eastAsia="宋体" w:hint="default"/>
                <w:color w:val="D7000F"/>
                <w:w w:val="110"/>
                <w:sz w:val="16"/>
                <w:szCs w:val="16"/>
              </w:rPr>
              <w:t>年</w:t>
            </w:r>
            <w:r>
              <w:rPr>
                <w:rFonts w:ascii="宋体" w:hAnsi="宋体" w:cs="宋体" w:eastAsia="宋体" w:hint="default"/>
                <w:w w:val="110"/>
                <w:sz w:val="16"/>
                <w:szCs w:val="16"/>
              </w:rPr>
            </w:r>
          </w:p>
          <w:p>
            <w:pPr>
              <w:pStyle w:val="TableParagraph"/>
              <w:spacing w:line="240" w:lineRule="auto" w:before="64"/>
              <w:ind w:left="356" w:right="0"/>
              <w:jc w:val="left"/>
              <w:rPr>
                <w:rFonts w:ascii="宋体" w:hAnsi="宋体" w:cs="宋体" w:eastAsia="宋体" w:hint="default"/>
                <w:sz w:val="16"/>
                <w:szCs w:val="16"/>
              </w:rPr>
            </w:pPr>
            <w:r>
              <w:rPr>
                <w:rFonts w:ascii="宋体" w:hAnsi="宋体" w:cs="宋体" w:eastAsia="宋体" w:hint="default"/>
                <w:color w:val="D7000F"/>
                <w:sz w:val="16"/>
                <w:szCs w:val="16"/>
              </w:rPr>
              <w:t>所占营业收入百分比</w:t>
            </w:r>
            <w:r>
              <w:rPr>
                <w:rFonts w:ascii="宋体" w:hAnsi="宋体" w:cs="宋体" w:eastAsia="宋体" w:hint="default"/>
                <w:sz w:val="16"/>
                <w:szCs w:val="16"/>
              </w:rPr>
            </w:r>
          </w:p>
        </w:tc>
        <w:tc>
          <w:tcPr>
            <w:tcW w:w="961" w:type="dxa"/>
            <w:tcBorders>
              <w:top w:val="nil" w:sz="6" w:space="0" w:color="auto"/>
              <w:left w:val="nil" w:sz="6" w:space="0" w:color="auto"/>
              <w:bottom w:val="single" w:sz="16" w:space="0" w:color="9C8758"/>
              <w:right w:val="nil" w:sz="6" w:space="0" w:color="auto"/>
            </w:tcBorders>
          </w:tcPr>
          <w:p>
            <w:pPr>
              <w:pStyle w:val="TableParagraph"/>
              <w:spacing w:line="240" w:lineRule="auto" w:before="1"/>
              <w:ind w:right="0"/>
              <w:jc w:val="left"/>
              <w:rPr>
                <w:rFonts w:ascii="宋体" w:hAnsi="宋体" w:cs="宋体" w:eastAsia="宋体" w:hint="default"/>
                <w:sz w:val="22"/>
                <w:szCs w:val="22"/>
              </w:rPr>
            </w:pPr>
          </w:p>
          <w:p>
            <w:pPr>
              <w:pStyle w:val="TableParagraph"/>
              <w:spacing w:line="240" w:lineRule="auto"/>
              <w:ind w:right="128"/>
              <w:jc w:val="right"/>
              <w:rPr>
                <w:rFonts w:ascii="宋体" w:hAnsi="宋体" w:cs="宋体" w:eastAsia="宋体" w:hint="default"/>
                <w:sz w:val="16"/>
                <w:szCs w:val="16"/>
              </w:rPr>
            </w:pPr>
            <w:r>
              <w:rPr>
                <w:rFonts w:ascii="宋体" w:hAnsi="宋体" w:cs="宋体" w:eastAsia="宋体" w:hint="default"/>
                <w:sz w:val="16"/>
                <w:szCs w:val="16"/>
              </w:rPr>
              <w:t>累计发生</w:t>
            </w:r>
          </w:p>
        </w:tc>
        <w:tc>
          <w:tcPr>
            <w:tcW w:w="1882" w:type="dxa"/>
            <w:tcBorders>
              <w:top w:val="nil" w:sz="6" w:space="0" w:color="auto"/>
              <w:left w:val="nil" w:sz="6" w:space="0" w:color="auto"/>
              <w:bottom w:val="single" w:sz="16" w:space="0" w:color="9C8758"/>
              <w:right w:val="nil" w:sz="6" w:space="0" w:color="auto"/>
            </w:tcBorders>
          </w:tcPr>
          <w:p>
            <w:pPr>
              <w:pStyle w:val="TableParagraph"/>
              <w:spacing w:line="240" w:lineRule="auto" w:before="15"/>
              <w:ind w:left="130"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40" w:lineRule="auto" w:before="64"/>
              <w:ind w:left="356" w:right="0"/>
              <w:jc w:val="left"/>
              <w:rPr>
                <w:rFonts w:ascii="宋体" w:hAnsi="宋体" w:cs="宋体" w:eastAsia="宋体" w:hint="default"/>
                <w:sz w:val="16"/>
                <w:szCs w:val="16"/>
              </w:rPr>
            </w:pPr>
            <w:r>
              <w:rPr>
                <w:rFonts w:ascii="宋体" w:hAnsi="宋体" w:cs="宋体" w:eastAsia="宋体" w:hint="default"/>
                <w:sz w:val="16"/>
                <w:szCs w:val="16"/>
              </w:rPr>
              <w:t>所占营业收入百分比</w:t>
            </w:r>
          </w:p>
        </w:tc>
      </w:tr>
      <w:tr>
        <w:trPr>
          <w:trHeight w:val="362" w:hRule="exact"/>
        </w:trPr>
        <w:tc>
          <w:tcPr>
            <w:tcW w:w="3203"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left="85" w:right="0"/>
              <w:jc w:val="left"/>
              <w:rPr>
                <w:rFonts w:ascii="宋体" w:hAnsi="宋体" w:cs="宋体" w:eastAsia="宋体" w:hint="default"/>
                <w:sz w:val="16"/>
                <w:szCs w:val="16"/>
              </w:rPr>
            </w:pPr>
            <w:r>
              <w:rPr>
                <w:rFonts w:ascii="宋体" w:hAnsi="宋体" w:cs="宋体" w:eastAsia="宋体" w:hint="default"/>
                <w:sz w:val="16"/>
                <w:szCs w:val="16"/>
              </w:rPr>
              <w:t>成本费用合计</w:t>
            </w:r>
          </w:p>
        </w:tc>
        <w:tc>
          <w:tcPr>
            <w:tcW w:w="1038" w:type="dxa"/>
            <w:tcBorders>
              <w:top w:val="single" w:sz="16" w:space="0" w:color="D7000F"/>
              <w:left w:val="nil" w:sz="6" w:space="0" w:color="auto"/>
              <w:bottom w:val="nil" w:sz="6" w:space="0" w:color="auto"/>
              <w:right w:val="nil" w:sz="6" w:space="0" w:color="auto"/>
            </w:tcBorders>
          </w:tcPr>
          <w:p>
            <w:pPr>
              <w:pStyle w:val="TableParagraph"/>
              <w:spacing w:line="240" w:lineRule="auto" w:before="64"/>
              <w:ind w:right="128"/>
              <w:jc w:val="right"/>
              <w:rPr>
                <w:rFonts w:ascii="宋体" w:hAnsi="宋体" w:cs="宋体" w:eastAsia="宋体" w:hint="default"/>
                <w:sz w:val="16"/>
                <w:szCs w:val="16"/>
              </w:rPr>
            </w:pPr>
            <w:r>
              <w:rPr>
                <w:rFonts w:ascii="宋体"/>
                <w:color w:val="D7000F"/>
                <w:w w:val="95"/>
                <w:sz w:val="16"/>
              </w:rPr>
              <w:t>2,724.1</w:t>
            </w:r>
            <w:r>
              <w:rPr>
                <w:rFonts w:ascii="宋体"/>
                <w:sz w:val="16"/>
              </w:rPr>
            </w:r>
          </w:p>
        </w:tc>
        <w:tc>
          <w:tcPr>
            <w:tcW w:w="1987"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188"/>
              <w:jc w:val="right"/>
              <w:rPr>
                <w:rFonts w:ascii="宋体" w:hAnsi="宋体" w:cs="宋体" w:eastAsia="宋体" w:hint="default"/>
                <w:sz w:val="16"/>
                <w:szCs w:val="16"/>
              </w:rPr>
            </w:pPr>
            <w:r>
              <w:rPr>
                <w:rFonts w:ascii="宋体"/>
                <w:color w:val="D7000F"/>
                <w:w w:val="115"/>
                <w:sz w:val="16"/>
              </w:rPr>
              <w:t>93.65%</w:t>
            </w:r>
            <w:r>
              <w:rPr>
                <w:rFonts w:ascii="宋体"/>
                <w:sz w:val="16"/>
              </w:rPr>
            </w:r>
          </w:p>
        </w:tc>
        <w:tc>
          <w:tcPr>
            <w:tcW w:w="961"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128"/>
              <w:jc w:val="right"/>
              <w:rPr>
                <w:rFonts w:ascii="宋体" w:hAnsi="宋体" w:cs="宋体" w:eastAsia="宋体" w:hint="default"/>
                <w:sz w:val="16"/>
                <w:szCs w:val="16"/>
              </w:rPr>
            </w:pPr>
            <w:r>
              <w:rPr>
                <w:rFonts w:ascii="宋体"/>
                <w:w w:val="95"/>
                <w:sz w:val="16"/>
              </w:rPr>
              <w:t>2,664.7</w:t>
            </w:r>
            <w:r>
              <w:rPr>
                <w:rFonts w:ascii="宋体"/>
                <w:sz w:val="16"/>
              </w:rPr>
            </w:r>
          </w:p>
        </w:tc>
        <w:tc>
          <w:tcPr>
            <w:tcW w:w="1882"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83"/>
              <w:jc w:val="right"/>
              <w:rPr>
                <w:rFonts w:ascii="宋体" w:hAnsi="宋体" w:cs="宋体" w:eastAsia="宋体" w:hint="default"/>
                <w:sz w:val="16"/>
                <w:szCs w:val="16"/>
              </w:rPr>
            </w:pPr>
            <w:r>
              <w:rPr>
                <w:rFonts w:ascii="宋体"/>
                <w:w w:val="115"/>
                <w:sz w:val="16"/>
              </w:rPr>
              <w:t>96.96%</w:t>
            </w:r>
            <w:r>
              <w:rPr>
                <w:rFonts w:ascii="宋体"/>
                <w:sz w:val="16"/>
              </w:rPr>
            </w:r>
          </w:p>
        </w:tc>
      </w:tr>
      <w:tr>
        <w:trPr>
          <w:trHeight w:val="273" w:hRule="exact"/>
        </w:trPr>
        <w:tc>
          <w:tcPr>
            <w:tcW w:w="3203"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4" w:right="0"/>
              <w:jc w:val="left"/>
              <w:rPr>
                <w:rFonts w:ascii="宋体" w:hAnsi="宋体" w:cs="宋体" w:eastAsia="宋体" w:hint="default"/>
                <w:sz w:val="16"/>
                <w:szCs w:val="16"/>
              </w:rPr>
            </w:pPr>
            <w:r>
              <w:rPr>
                <w:rFonts w:ascii="宋体" w:hAnsi="宋体" w:cs="宋体" w:eastAsia="宋体" w:hint="default"/>
                <w:sz w:val="16"/>
                <w:szCs w:val="16"/>
              </w:rPr>
              <w:t>其中：网间结算成本</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w w:val="95"/>
                <w:sz w:val="16"/>
              </w:rPr>
              <w:t>125.8</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4.32%</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126.2</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4.59%</w:t>
            </w:r>
            <w:r>
              <w:rPr>
                <w:rFonts w:ascii="宋体"/>
                <w:sz w:val="16"/>
              </w:rPr>
            </w:r>
          </w:p>
        </w:tc>
      </w:tr>
      <w:tr>
        <w:trPr>
          <w:trHeight w:val="273" w:hRule="exact"/>
        </w:trPr>
        <w:tc>
          <w:tcPr>
            <w:tcW w:w="3203"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折旧及摊销（注</w:t>
            </w:r>
            <w:r>
              <w:rPr>
                <w:rFonts w:ascii="宋体" w:hAnsi="宋体" w:cs="宋体" w:eastAsia="宋体" w:hint="default"/>
                <w:spacing w:val="-32"/>
                <w:sz w:val="16"/>
                <w:szCs w:val="16"/>
              </w:rPr>
              <w:t> </w:t>
            </w:r>
            <w:r>
              <w:rPr>
                <w:rFonts w:ascii="宋体" w:hAnsi="宋体" w:cs="宋体" w:eastAsia="宋体" w:hint="default"/>
                <w:sz w:val="16"/>
                <w:szCs w:val="16"/>
              </w:rPr>
              <w:t>1）</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w w:val="95"/>
                <w:sz w:val="16"/>
              </w:rPr>
              <w:t>762.9</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26.23%</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779.9</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28.38%</w:t>
            </w:r>
            <w:r>
              <w:rPr>
                <w:rFonts w:ascii="宋体"/>
                <w:sz w:val="16"/>
              </w:rPr>
            </w:r>
          </w:p>
        </w:tc>
      </w:tr>
      <w:tr>
        <w:trPr>
          <w:trHeight w:val="273" w:hRule="exact"/>
        </w:trPr>
        <w:tc>
          <w:tcPr>
            <w:tcW w:w="3203"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网络运行及支撑成本</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w w:val="95"/>
                <w:sz w:val="16"/>
              </w:rPr>
              <w:t>550.8</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18.93%</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545.1</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19.83%</w:t>
            </w:r>
            <w:r>
              <w:rPr>
                <w:rFonts w:ascii="宋体"/>
                <w:sz w:val="16"/>
              </w:rPr>
            </w:r>
          </w:p>
        </w:tc>
      </w:tr>
      <w:tr>
        <w:trPr>
          <w:trHeight w:val="273"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人工成本（注</w:t>
            </w:r>
            <w:r>
              <w:rPr>
                <w:rFonts w:ascii="宋体" w:hAnsi="宋体" w:cs="宋体" w:eastAsia="宋体" w:hint="default"/>
                <w:spacing w:val="-32"/>
                <w:sz w:val="16"/>
                <w:szCs w:val="16"/>
              </w:rPr>
              <w:t> </w:t>
            </w:r>
            <w:r>
              <w:rPr>
                <w:rFonts w:ascii="宋体" w:hAnsi="宋体" w:cs="宋体" w:eastAsia="宋体" w:hint="default"/>
                <w:sz w:val="16"/>
                <w:szCs w:val="16"/>
              </w:rPr>
              <w:t>1）</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w w:val="95"/>
                <w:sz w:val="16"/>
              </w:rPr>
              <w:t>481.4</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16.55%</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424.7</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15.45%</w:t>
            </w:r>
            <w:r>
              <w:rPr>
                <w:rFonts w:ascii="宋体"/>
                <w:sz w:val="16"/>
              </w:rPr>
            </w:r>
          </w:p>
        </w:tc>
      </w:tr>
      <w:tr>
        <w:trPr>
          <w:trHeight w:val="273"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销售通信产品成本</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w w:val="95"/>
                <w:sz w:val="16"/>
              </w:rPr>
              <w:t>276.0</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9.49%</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266.4</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9.69%</w:t>
            </w:r>
            <w:r>
              <w:rPr>
                <w:rFonts w:ascii="宋体"/>
                <w:sz w:val="16"/>
              </w:rPr>
            </w:r>
          </w:p>
        </w:tc>
      </w:tr>
      <w:tr>
        <w:trPr>
          <w:trHeight w:val="273"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销售费用</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w w:val="95"/>
                <w:sz w:val="16"/>
              </w:rPr>
              <w:t>351.7</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12.09%</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340.9</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12.40%</w:t>
            </w:r>
            <w:r>
              <w:rPr>
                <w:rFonts w:ascii="宋体"/>
                <w:sz w:val="16"/>
              </w:rPr>
            </w:r>
          </w:p>
        </w:tc>
      </w:tr>
      <w:tr>
        <w:trPr>
          <w:trHeight w:val="273"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其他营业成本及管理费用（注</w:t>
            </w:r>
            <w:r>
              <w:rPr>
                <w:rFonts w:ascii="宋体" w:hAnsi="宋体" w:cs="宋体" w:eastAsia="宋体" w:hint="default"/>
                <w:spacing w:val="-32"/>
                <w:sz w:val="16"/>
                <w:szCs w:val="16"/>
              </w:rPr>
              <w:t> </w:t>
            </w:r>
            <w:r>
              <w:rPr>
                <w:rFonts w:ascii="宋体" w:hAnsi="宋体" w:cs="宋体" w:eastAsia="宋体" w:hint="default"/>
                <w:sz w:val="16"/>
                <w:szCs w:val="16"/>
              </w:rPr>
              <w:t>2）</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w w:val="95"/>
                <w:sz w:val="16"/>
              </w:rPr>
              <w:t>176.9</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6.09%</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140.7</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5.12%</w:t>
            </w:r>
            <w:r>
              <w:rPr>
                <w:rFonts w:ascii="宋体"/>
                <w:sz w:val="16"/>
              </w:rPr>
            </w:r>
          </w:p>
        </w:tc>
      </w:tr>
      <w:tr>
        <w:trPr>
          <w:trHeight w:val="317" w:hRule="exact"/>
        </w:trPr>
        <w:tc>
          <w:tcPr>
            <w:tcW w:w="3203" w:type="dxa"/>
            <w:tcBorders>
              <w:top w:val="nil" w:sz="6" w:space="0" w:color="auto"/>
              <w:left w:val="nil" w:sz="6" w:space="0" w:color="auto"/>
              <w:bottom w:val="nil" w:sz="6" w:space="0" w:color="auto"/>
              <w:right w:val="nil" w:sz="6" w:space="0" w:color="auto"/>
            </w:tcBorders>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1038"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color w:val="D7000F"/>
                <w:sz w:val="16"/>
              </w:rPr>
              <w:t>-1.4</w:t>
            </w:r>
            <w:r>
              <w:rPr>
                <w:rFonts w:ascii="宋体"/>
                <w:sz w:val="16"/>
              </w:rPr>
            </w:r>
          </w:p>
        </w:tc>
        <w:tc>
          <w:tcPr>
            <w:tcW w:w="1987" w:type="dxa"/>
            <w:tcBorders>
              <w:top w:val="nil" w:sz="6" w:space="0" w:color="auto"/>
              <w:left w:val="nil" w:sz="6" w:space="0" w:color="auto"/>
              <w:bottom w:val="nil" w:sz="6" w:space="0" w:color="auto"/>
              <w:right w:val="nil" w:sz="6" w:space="0" w:color="auto"/>
            </w:tcBorders>
          </w:tcPr>
          <w:p>
            <w:pPr>
              <w:pStyle w:val="TableParagraph"/>
              <w:spacing w:line="205" w:lineRule="exact"/>
              <w:ind w:right="188"/>
              <w:jc w:val="right"/>
              <w:rPr>
                <w:rFonts w:ascii="宋体" w:hAnsi="宋体" w:cs="宋体" w:eastAsia="宋体" w:hint="default"/>
                <w:sz w:val="16"/>
                <w:szCs w:val="16"/>
              </w:rPr>
            </w:pPr>
            <w:r>
              <w:rPr>
                <w:rFonts w:ascii="宋体"/>
                <w:color w:val="D7000F"/>
                <w:w w:val="115"/>
                <w:sz w:val="16"/>
              </w:rPr>
              <w:t>-0.05%</w:t>
            </w:r>
            <w:r>
              <w:rPr>
                <w:rFonts w:ascii="宋体"/>
                <w:sz w:val="16"/>
              </w:rPr>
            </w:r>
          </w:p>
        </w:tc>
        <w:tc>
          <w:tcPr>
            <w:tcW w:w="961" w:type="dxa"/>
            <w:tcBorders>
              <w:top w:val="nil" w:sz="6" w:space="0" w:color="auto"/>
              <w:left w:val="nil" w:sz="6" w:space="0" w:color="auto"/>
              <w:bottom w:val="nil" w:sz="6" w:space="0" w:color="auto"/>
              <w:right w:val="nil" w:sz="6" w:space="0" w:color="auto"/>
            </w:tcBorders>
          </w:tcPr>
          <w:p>
            <w:pPr>
              <w:pStyle w:val="TableParagraph"/>
              <w:spacing w:line="205" w:lineRule="exact"/>
              <w:ind w:right="128"/>
              <w:jc w:val="right"/>
              <w:rPr>
                <w:rFonts w:ascii="宋体" w:hAnsi="宋体" w:cs="宋体" w:eastAsia="宋体" w:hint="default"/>
                <w:sz w:val="16"/>
                <w:szCs w:val="16"/>
              </w:rPr>
            </w:pPr>
            <w:r>
              <w:rPr>
                <w:rFonts w:ascii="宋体"/>
                <w:w w:val="95"/>
                <w:sz w:val="16"/>
              </w:rPr>
              <w:t>40.8</w:t>
            </w:r>
            <w:r>
              <w:rPr>
                <w:rFonts w:ascii="宋体"/>
                <w:sz w:val="16"/>
              </w:rPr>
            </w:r>
          </w:p>
        </w:tc>
        <w:tc>
          <w:tcPr>
            <w:tcW w:w="1882"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5"/>
                <w:sz w:val="16"/>
              </w:rPr>
              <w:t>1.48%</w:t>
            </w:r>
            <w:r>
              <w:rPr>
                <w:rFonts w:ascii="宋体"/>
                <w:sz w:val="16"/>
              </w:rPr>
            </w:r>
          </w:p>
        </w:tc>
      </w:tr>
    </w:tbl>
    <w:p>
      <w:pPr>
        <w:spacing w:line="240" w:lineRule="auto" w:before="4"/>
        <w:rPr>
          <w:rFonts w:ascii="宋体" w:hAnsi="宋体" w:cs="宋体" w:eastAsia="宋体" w:hint="default"/>
          <w:sz w:val="12"/>
          <w:szCs w:val="12"/>
        </w:rPr>
      </w:pPr>
    </w:p>
    <w:p>
      <w:pPr>
        <w:spacing w:before="43"/>
        <w:ind w:left="701" w:right="1314" w:firstLine="0"/>
        <w:jc w:val="left"/>
        <w:rPr>
          <w:rFonts w:ascii="宋体" w:hAnsi="宋体" w:cs="宋体" w:eastAsia="宋体" w:hint="default"/>
          <w:sz w:val="16"/>
          <w:szCs w:val="16"/>
        </w:rPr>
      </w:pPr>
      <w:r>
        <w:rPr>
          <w:rFonts w:ascii="宋体" w:hAnsi="宋体" w:cs="宋体" w:eastAsia="宋体" w:hint="default"/>
          <w:sz w:val="16"/>
          <w:szCs w:val="16"/>
        </w:rPr>
        <w:t>注</w:t>
      </w:r>
      <w:r>
        <w:rPr>
          <w:rFonts w:ascii="宋体" w:hAnsi="宋体" w:cs="宋体" w:eastAsia="宋体" w:hint="default"/>
          <w:spacing w:val="-32"/>
          <w:sz w:val="16"/>
          <w:szCs w:val="16"/>
        </w:rPr>
        <w:t> </w:t>
      </w:r>
      <w:r>
        <w:rPr>
          <w:rFonts w:ascii="宋体" w:hAnsi="宋体" w:cs="宋体" w:eastAsia="宋体" w:hint="default"/>
          <w:sz w:val="16"/>
          <w:szCs w:val="16"/>
        </w:rPr>
        <w:t>1：上述“折旧及摊销”和“人工成本”为营业成本和管理费用中相同性质的数据的总额。</w:t>
      </w:r>
    </w:p>
    <w:p>
      <w:pPr>
        <w:spacing w:line="240" w:lineRule="auto" w:before="1"/>
        <w:rPr>
          <w:rFonts w:ascii="宋体" w:hAnsi="宋体" w:cs="宋体" w:eastAsia="宋体" w:hint="default"/>
          <w:sz w:val="14"/>
          <w:szCs w:val="14"/>
        </w:rPr>
      </w:pPr>
    </w:p>
    <w:p>
      <w:pPr>
        <w:spacing w:line="321" w:lineRule="auto" w:before="0"/>
        <w:ind w:left="701" w:right="1336" w:firstLine="0"/>
        <w:jc w:val="left"/>
        <w:rPr>
          <w:rFonts w:ascii="宋体" w:hAnsi="宋体" w:cs="宋体" w:eastAsia="宋体" w:hint="default"/>
          <w:sz w:val="16"/>
          <w:szCs w:val="16"/>
        </w:rPr>
      </w:pPr>
      <w:r>
        <w:rPr>
          <w:rFonts w:ascii="宋体" w:hAnsi="宋体" w:cs="宋体" w:eastAsia="宋体" w:hint="default"/>
          <w:w w:val="99"/>
          <w:sz w:val="16"/>
          <w:szCs w:val="16"/>
        </w:rPr>
        <w:t>注</w:t>
      </w:r>
      <w:r>
        <w:rPr>
          <w:rFonts w:ascii="宋体" w:hAnsi="宋体" w:cs="宋体" w:eastAsia="宋体" w:hint="default"/>
          <w:spacing w:val="-56"/>
          <w:w w:val="99"/>
          <w:sz w:val="16"/>
          <w:szCs w:val="16"/>
        </w:rPr>
        <w:t> </w:t>
      </w:r>
      <w:r>
        <w:rPr>
          <w:rFonts w:ascii="宋体" w:hAnsi="宋体" w:cs="宋体" w:eastAsia="宋体" w:hint="default"/>
          <w:spacing w:val="-7"/>
          <w:w w:val="100"/>
          <w:sz w:val="16"/>
          <w:szCs w:val="16"/>
        </w:rPr>
        <w:t>2：上述“其他营业成本及管理费用”为营业成本、管理费用和研发费用合计扣除网间结算成本、折旧及摊销、网络运行及支撑成本、</w:t>
      </w:r>
      <w:r>
        <w:rPr>
          <w:rFonts w:ascii="宋体" w:hAnsi="宋体" w:cs="宋体" w:eastAsia="宋体" w:hint="default"/>
          <w:w w:val="99"/>
          <w:sz w:val="16"/>
          <w:szCs w:val="16"/>
        </w:rPr>
        <w:t> </w:t>
      </w:r>
      <w:r>
        <w:rPr>
          <w:rFonts w:ascii="宋体" w:hAnsi="宋体" w:cs="宋体" w:eastAsia="宋体" w:hint="default"/>
          <w:sz w:val="16"/>
          <w:szCs w:val="16"/>
        </w:rPr>
        <w:t>人工成本及销售通信产品成本后的数据。</w:t>
      </w:r>
    </w:p>
    <w:p>
      <w:pPr>
        <w:pStyle w:val="BodyText"/>
        <w:spacing w:line="240" w:lineRule="auto" w:before="123"/>
        <w:ind w:left="717" w:right="1314"/>
        <w:jc w:val="left"/>
        <w:rPr>
          <w:rFonts w:ascii="宋体" w:hAnsi="宋体" w:cs="宋体" w:eastAsia="宋体" w:hint="default"/>
        </w:rPr>
      </w:pPr>
      <w:r>
        <w:rPr>
          <w:rFonts w:ascii="宋体" w:hAnsi="宋体" w:cs="宋体" w:eastAsia="宋体" w:hint="default"/>
        </w:rPr>
        <w:t>1）网间结算成本</w:t>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4"/>
        </w:rPr>
        <w:t> </w:t>
      </w:r>
      <w:r>
        <w:rPr>
          <w:rFonts w:ascii="宋体" w:hAnsi="宋体" w:cs="宋体" w:eastAsia="宋体" w:hint="default"/>
          <w:spacing w:val="4"/>
        </w:rPr>
        <w:t>年公司网间结算成本发生人民</w:t>
      </w:r>
      <w:r>
        <w:rPr>
          <w:rFonts w:ascii="宋体" w:hAnsi="宋体" w:cs="宋体" w:eastAsia="宋体" w:hint="default"/>
        </w:rPr>
        <w:t>币</w:t>
      </w:r>
      <w:r>
        <w:rPr>
          <w:rFonts w:ascii="宋体" w:hAnsi="宋体" w:cs="宋体" w:eastAsia="宋体" w:hint="default"/>
          <w:spacing w:val="-44"/>
        </w:rPr>
        <w:t> </w:t>
      </w:r>
      <w:r>
        <w:rPr>
          <w:rFonts w:ascii="宋体" w:hAnsi="宋体" w:cs="宋体" w:eastAsia="宋体" w:hint="default"/>
          <w:spacing w:val="-1"/>
          <w:w w:val="111"/>
        </w:rPr>
        <w:t>125</w:t>
      </w:r>
      <w:r>
        <w:rPr>
          <w:rFonts w:ascii="宋体" w:hAnsi="宋体" w:cs="宋体" w:eastAsia="宋体" w:hint="default"/>
          <w:w w:val="55"/>
        </w:rPr>
        <w:t>.</w:t>
      </w:r>
      <w:r>
        <w:rPr>
          <w:rFonts w:ascii="宋体" w:hAnsi="宋体" w:cs="宋体" w:eastAsia="宋体" w:hint="default"/>
          <w:w w:val="111"/>
        </w:rPr>
        <w:t>8</w:t>
      </w:r>
      <w:r>
        <w:rPr>
          <w:rFonts w:ascii="宋体" w:hAnsi="宋体" w:cs="宋体" w:eastAsia="宋体" w:hint="default"/>
          <w:spacing w:val="-44"/>
        </w:rPr>
        <w:t> </w:t>
      </w:r>
      <w:r>
        <w:rPr>
          <w:rFonts w:ascii="宋体" w:hAnsi="宋体" w:cs="宋体" w:eastAsia="宋体" w:hint="default"/>
          <w:spacing w:val="4"/>
        </w:rPr>
        <w:t>亿</w:t>
      </w:r>
      <w:r>
        <w:rPr>
          <w:rFonts w:ascii="宋体" w:hAnsi="宋体" w:cs="宋体" w:eastAsia="宋体" w:hint="default"/>
        </w:rPr>
        <w:t>元</w:t>
      </w:r>
      <w:r>
        <w:rPr>
          <w:rFonts w:ascii="宋体" w:hAnsi="宋体" w:cs="宋体" w:eastAsia="宋体" w:hint="default"/>
          <w:spacing w:val="4"/>
        </w:rPr>
        <w:t>，同比下</w:t>
      </w:r>
      <w:r>
        <w:rPr>
          <w:rFonts w:ascii="宋体" w:hAnsi="宋体" w:cs="宋体" w:eastAsia="宋体" w:hint="default"/>
        </w:rPr>
        <w:t>降</w:t>
      </w:r>
      <w:r>
        <w:rPr>
          <w:rFonts w:ascii="宋体" w:hAnsi="宋体" w:cs="宋体" w:eastAsia="宋体" w:hint="default"/>
          <w:spacing w:val="-44"/>
        </w:rPr>
        <w:t> </w:t>
      </w:r>
      <w:r>
        <w:rPr>
          <w:rFonts w:ascii="宋体" w:hAnsi="宋体" w:cs="宋体" w:eastAsia="宋体" w:hint="default"/>
          <w:spacing w:val="-1"/>
          <w:w w:val="111"/>
        </w:rPr>
        <w:t>0</w:t>
      </w:r>
      <w:r>
        <w:rPr>
          <w:rFonts w:ascii="宋体" w:hAnsi="宋体" w:cs="宋体" w:eastAsia="宋体" w:hint="default"/>
          <w:w w:val="55"/>
        </w:rPr>
        <w:t>.</w:t>
      </w:r>
      <w:r>
        <w:rPr>
          <w:rFonts w:ascii="宋体" w:hAnsi="宋体" w:cs="宋体" w:eastAsia="宋体" w:hint="default"/>
          <w:spacing w:val="-1"/>
          <w:w w:val="111"/>
        </w:rPr>
        <w:t>3</w:t>
      </w:r>
      <w:r>
        <w:rPr>
          <w:rFonts w:ascii="宋体" w:hAnsi="宋体" w:cs="宋体" w:eastAsia="宋体" w:hint="default"/>
          <w:w w:val="200"/>
        </w:rPr>
        <w:t>%</w:t>
      </w:r>
      <w:r>
        <w:rPr>
          <w:rFonts w:ascii="宋体" w:hAnsi="宋体" w:cs="宋体" w:eastAsia="宋体" w:hint="default"/>
          <w:spacing w:val="4"/>
        </w:rPr>
        <w:t>，所占营业收入的比重由上年</w:t>
      </w:r>
      <w:r>
        <w:rPr>
          <w:rFonts w:ascii="宋体" w:hAnsi="宋体" w:cs="宋体" w:eastAsia="宋体" w:hint="default"/>
        </w:rPr>
        <w:t>的</w:t>
      </w:r>
      <w:r>
        <w:rPr>
          <w:rFonts w:ascii="宋体" w:hAnsi="宋体" w:cs="宋体" w:eastAsia="宋体" w:hint="default"/>
          <w:spacing w:val="-44"/>
        </w:rPr>
        <w:t> </w:t>
      </w:r>
      <w:r>
        <w:rPr>
          <w:rFonts w:ascii="宋体" w:hAnsi="宋体" w:cs="宋体" w:eastAsia="宋体" w:hint="default"/>
          <w:spacing w:val="-1"/>
          <w:w w:val="111"/>
        </w:rPr>
        <w:t>4</w:t>
      </w:r>
      <w:r>
        <w:rPr>
          <w:rFonts w:ascii="宋体" w:hAnsi="宋体" w:cs="宋体" w:eastAsia="宋体" w:hint="default"/>
          <w:w w:val="55"/>
        </w:rPr>
        <w:t>.</w:t>
      </w:r>
      <w:r>
        <w:rPr>
          <w:rFonts w:ascii="宋体" w:hAnsi="宋体" w:cs="宋体" w:eastAsia="宋体" w:hint="default"/>
          <w:spacing w:val="-1"/>
          <w:w w:val="111"/>
        </w:rPr>
        <w:t>59</w:t>
      </w:r>
      <w:r>
        <w:rPr>
          <w:rFonts w:ascii="宋体" w:hAnsi="宋体" w:cs="宋体" w:eastAsia="宋体" w:hint="default"/>
          <w:w w:val="200"/>
        </w:rPr>
        <w:t>%</w:t>
      </w:r>
      <w:r>
        <w:rPr>
          <w:rFonts w:ascii="宋体" w:hAnsi="宋体" w:cs="宋体" w:eastAsia="宋体" w:hint="default"/>
          <w:spacing w:val="-44"/>
        </w:rPr>
        <w:t> </w:t>
      </w:r>
      <w:r>
        <w:rPr>
          <w:rFonts w:ascii="宋体" w:hAnsi="宋体" w:cs="宋体" w:eastAsia="宋体" w:hint="default"/>
          <w:spacing w:val="4"/>
        </w:rPr>
        <w:t>下降至</w:t>
      </w:r>
      <w:r>
        <w:rPr>
          <w:rFonts w:ascii="宋体" w:hAnsi="宋体" w:cs="宋体" w:eastAsia="宋体" w:hint="default"/>
        </w:rPr>
      </w:r>
    </w:p>
    <w:p>
      <w:pPr>
        <w:pStyle w:val="BodyText"/>
        <w:spacing w:line="240" w:lineRule="auto" w:before="44"/>
        <w:ind w:left="717" w:right="1314"/>
        <w:jc w:val="left"/>
        <w:rPr>
          <w:rFonts w:ascii="宋体" w:hAnsi="宋体" w:cs="宋体" w:eastAsia="宋体" w:hint="default"/>
        </w:rPr>
      </w:pPr>
      <w:r>
        <w:rPr>
          <w:rFonts w:ascii="宋体" w:hAnsi="宋体" w:cs="宋体" w:eastAsia="宋体" w:hint="default"/>
          <w:w w:val="115"/>
        </w:rPr>
        <w:t>4.32%。</w:t>
      </w:r>
      <w:r>
        <w:rPr>
          <w:rFonts w:ascii="宋体" w:hAnsi="宋体" w:cs="宋体" w:eastAsia="宋体" w:hint="default"/>
        </w:rPr>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rPr>
        <w:t>2）折旧及摊销</w:t>
      </w:r>
    </w:p>
    <w:p>
      <w:pPr>
        <w:pStyle w:val="BodyText"/>
        <w:spacing w:line="285" w:lineRule="auto" w:before="157"/>
        <w:ind w:left="717" w:right="1314"/>
        <w:jc w:val="left"/>
        <w:rPr>
          <w:rFonts w:ascii="宋体" w:hAnsi="宋体" w:cs="宋体" w:eastAsia="宋体" w:hint="default"/>
        </w:rPr>
      </w:pPr>
      <w:r>
        <w:rPr>
          <w:rFonts w:ascii="宋体" w:hAnsi="宋体" w:cs="宋体" w:eastAsia="宋体" w:hint="default"/>
          <w:spacing w:val="-1"/>
          <w:w w:val="111"/>
        </w:rPr>
        <w:t>2018</w:t>
      </w:r>
      <w:r>
        <w:rPr>
          <w:rFonts w:ascii="宋体" w:hAnsi="宋体" w:cs="宋体" w:eastAsia="宋体" w:hint="default"/>
          <w:spacing w:val="-58"/>
          <w:w w:val="111"/>
        </w:rPr>
        <w:t> </w:t>
      </w:r>
      <w:r>
        <w:rPr>
          <w:rFonts w:ascii="宋体" w:hAnsi="宋体" w:cs="宋体" w:eastAsia="宋体" w:hint="default"/>
        </w:rPr>
        <w:t>年公司资产折旧及摊销发生人民币</w:t>
      </w:r>
      <w:r>
        <w:rPr>
          <w:rFonts w:ascii="宋体" w:hAnsi="宋体" w:cs="宋体" w:eastAsia="宋体" w:hint="default"/>
          <w:spacing w:val="-48"/>
        </w:rPr>
        <w:t> </w:t>
      </w:r>
      <w:r>
        <w:rPr>
          <w:rFonts w:ascii="宋体" w:hAnsi="宋体" w:cs="宋体" w:eastAsia="宋体" w:hint="default"/>
          <w:spacing w:val="-1"/>
          <w:w w:val="99"/>
        </w:rPr>
        <w:t>762.9</w:t>
      </w:r>
      <w:r>
        <w:rPr>
          <w:rFonts w:ascii="宋体" w:hAnsi="宋体" w:cs="宋体" w:eastAsia="宋体" w:hint="default"/>
          <w:spacing w:val="-48"/>
          <w:w w:val="99"/>
        </w:rPr>
        <w:t> </w:t>
      </w:r>
      <w:r>
        <w:rPr>
          <w:rFonts w:ascii="宋体" w:hAnsi="宋体" w:cs="宋体" w:eastAsia="宋体" w:hint="default"/>
        </w:rPr>
        <w:t>亿元，同比下降</w:t>
      </w:r>
      <w:r>
        <w:rPr>
          <w:rFonts w:ascii="宋体" w:hAnsi="宋体" w:cs="宋体" w:eastAsia="宋体" w:hint="default"/>
          <w:spacing w:val="-48"/>
        </w:rPr>
        <w:t> </w:t>
      </w:r>
      <w:r>
        <w:rPr>
          <w:rFonts w:ascii="宋体" w:hAnsi="宋体" w:cs="宋体" w:eastAsia="宋体" w:hint="default"/>
          <w:w w:val="104"/>
        </w:rPr>
        <w:t>2.2%，所占营业收入的比重由上年的</w:t>
      </w:r>
      <w:r>
        <w:rPr>
          <w:rFonts w:ascii="宋体" w:hAnsi="宋体" w:cs="宋体" w:eastAsia="宋体" w:hint="default"/>
          <w:spacing w:val="-52"/>
          <w:w w:val="104"/>
        </w:rPr>
        <w:t> </w:t>
      </w:r>
      <w:r>
        <w:rPr>
          <w:rFonts w:ascii="宋体" w:hAnsi="宋体" w:cs="宋体" w:eastAsia="宋体" w:hint="default"/>
          <w:spacing w:val="-1"/>
          <w:w w:val="116"/>
        </w:rPr>
        <w:t>28.38%</w:t>
      </w:r>
      <w:r>
        <w:rPr>
          <w:rFonts w:ascii="宋体" w:hAnsi="宋体" w:cs="宋体" w:eastAsia="宋体" w:hint="default"/>
          <w:spacing w:val="-63"/>
          <w:w w:val="116"/>
        </w:rPr>
        <w:t> </w:t>
      </w:r>
      <w:r>
        <w:rPr>
          <w:rFonts w:ascii="宋体" w:hAnsi="宋体" w:cs="宋体" w:eastAsia="宋体" w:hint="default"/>
        </w:rPr>
        <w:t>下降</w:t>
      </w:r>
      <w:r>
        <w:rPr>
          <w:rFonts w:ascii="宋体" w:hAnsi="宋体" w:cs="宋体" w:eastAsia="宋体" w:hint="default"/>
        </w:rPr>
        <w:t> </w:t>
      </w:r>
      <w:r>
        <w:rPr>
          <w:rFonts w:ascii="宋体" w:hAnsi="宋体" w:cs="宋体" w:eastAsia="宋体" w:hint="default"/>
          <w:w w:val="105"/>
        </w:rPr>
        <w:t>至</w:t>
      </w:r>
      <w:r>
        <w:rPr>
          <w:rFonts w:ascii="宋体" w:hAnsi="宋体" w:cs="宋体" w:eastAsia="宋体" w:hint="default"/>
          <w:spacing w:val="-6"/>
          <w:w w:val="105"/>
        </w:rPr>
        <w:t> </w:t>
      </w:r>
      <w:r>
        <w:rPr>
          <w:rFonts w:ascii="宋体" w:hAnsi="宋体" w:cs="宋体" w:eastAsia="宋体" w:hint="default"/>
          <w:w w:val="105"/>
        </w:rPr>
        <w:t>26.23%。</w:t>
      </w:r>
      <w:r>
        <w:rPr>
          <w:rFonts w:ascii="宋体" w:hAnsi="宋体" w:cs="宋体" w:eastAsia="宋体" w:hint="default"/>
        </w:rPr>
      </w:r>
    </w:p>
    <w:p>
      <w:pPr>
        <w:pStyle w:val="BodyText"/>
        <w:spacing w:line="240" w:lineRule="auto" w:before="123"/>
        <w:ind w:left="717" w:right="1314"/>
        <w:jc w:val="left"/>
        <w:rPr>
          <w:rFonts w:ascii="宋体" w:hAnsi="宋体" w:cs="宋体" w:eastAsia="宋体" w:hint="default"/>
        </w:rPr>
      </w:pPr>
      <w:r>
        <w:rPr>
          <w:rFonts w:ascii="宋体" w:hAnsi="宋体" w:cs="宋体" w:eastAsia="宋体" w:hint="default"/>
        </w:rPr>
        <w:t>3）网络运行及支撑成本</w:t>
      </w:r>
    </w:p>
    <w:p>
      <w:pPr>
        <w:pStyle w:val="BodyText"/>
        <w:spacing w:line="285" w:lineRule="auto" w:before="157"/>
        <w:ind w:left="717" w:right="1314"/>
        <w:jc w:val="left"/>
        <w:rPr>
          <w:rFonts w:ascii="宋体" w:hAnsi="宋体" w:cs="宋体" w:eastAsia="宋体" w:hint="default"/>
        </w:rPr>
      </w:pPr>
      <w:r>
        <w:rPr>
          <w:rFonts w:ascii="宋体" w:hAnsi="宋体" w:cs="宋体" w:eastAsia="宋体" w:hint="default"/>
          <w:spacing w:val="-1"/>
          <w:w w:val="111"/>
        </w:rPr>
        <w:t>2018</w:t>
      </w:r>
      <w:r>
        <w:rPr>
          <w:rFonts w:ascii="宋体" w:hAnsi="宋体" w:cs="宋体" w:eastAsia="宋体" w:hint="default"/>
          <w:spacing w:val="-60"/>
          <w:w w:val="111"/>
        </w:rPr>
        <w:t> </w:t>
      </w:r>
      <w:r>
        <w:rPr>
          <w:rFonts w:ascii="宋体" w:hAnsi="宋体" w:cs="宋体" w:eastAsia="宋体" w:hint="default"/>
          <w:spacing w:val="1"/>
        </w:rPr>
        <w:t>年公司网络运行及支撑成本发生人民币</w:t>
      </w:r>
      <w:r>
        <w:rPr>
          <w:rFonts w:ascii="宋体" w:hAnsi="宋体" w:cs="宋体" w:eastAsia="宋体" w:hint="default"/>
          <w:spacing w:val="-50"/>
        </w:rPr>
        <w:t> </w:t>
      </w:r>
      <w:r>
        <w:rPr>
          <w:rFonts w:ascii="宋体" w:hAnsi="宋体" w:cs="宋体" w:eastAsia="宋体" w:hint="default"/>
          <w:spacing w:val="-1"/>
          <w:w w:val="99"/>
        </w:rPr>
        <w:t>550.8</w:t>
      </w:r>
      <w:r>
        <w:rPr>
          <w:rFonts w:ascii="宋体" w:hAnsi="宋体" w:cs="宋体" w:eastAsia="宋体" w:hint="default"/>
          <w:spacing w:val="-50"/>
          <w:w w:val="99"/>
        </w:rPr>
        <w:t> </w:t>
      </w:r>
      <w:r>
        <w:rPr>
          <w:rFonts w:ascii="宋体" w:hAnsi="宋体" w:cs="宋体" w:eastAsia="宋体" w:hint="default"/>
          <w:spacing w:val="1"/>
        </w:rPr>
        <w:t>亿元，同比增长</w:t>
      </w:r>
      <w:r>
        <w:rPr>
          <w:rFonts w:ascii="宋体" w:hAnsi="宋体" w:cs="宋体" w:eastAsia="宋体" w:hint="default"/>
          <w:spacing w:val="-50"/>
        </w:rPr>
        <w:t> </w:t>
      </w:r>
      <w:r>
        <w:rPr>
          <w:rFonts w:ascii="宋体" w:hAnsi="宋体" w:cs="宋体" w:eastAsia="宋体" w:hint="default"/>
          <w:spacing w:val="1"/>
          <w:w w:val="104"/>
        </w:rPr>
        <w:t>1.0%，所占营业收入的比重由上年的</w:t>
      </w:r>
      <w:r>
        <w:rPr>
          <w:rFonts w:ascii="宋体" w:hAnsi="宋体" w:cs="宋体" w:eastAsia="宋体" w:hint="default"/>
          <w:spacing w:val="-54"/>
          <w:w w:val="104"/>
        </w:rPr>
        <w:t> </w:t>
      </w:r>
      <w:r>
        <w:rPr>
          <w:rFonts w:ascii="宋体" w:hAnsi="宋体" w:cs="宋体" w:eastAsia="宋体" w:hint="default"/>
          <w:spacing w:val="-1"/>
          <w:w w:val="116"/>
        </w:rPr>
        <w:t>19.83%</w:t>
      </w:r>
      <w:r>
        <w:rPr>
          <w:rFonts w:ascii="宋体" w:hAnsi="宋体" w:cs="宋体" w:eastAsia="宋体" w:hint="default"/>
          <w:w w:val="200"/>
        </w:rPr>
        <w:t> </w:t>
      </w:r>
      <w:r>
        <w:rPr>
          <w:rFonts w:ascii="宋体" w:hAnsi="宋体" w:cs="宋体" w:eastAsia="宋体" w:hint="default"/>
          <w:w w:val="105"/>
        </w:rPr>
        <w:t>下降至</w:t>
      </w:r>
      <w:r>
        <w:rPr>
          <w:rFonts w:ascii="宋体" w:hAnsi="宋体" w:cs="宋体" w:eastAsia="宋体" w:hint="default"/>
          <w:spacing w:val="-24"/>
          <w:w w:val="105"/>
        </w:rPr>
        <w:t> </w:t>
      </w:r>
      <w:r>
        <w:rPr>
          <w:rFonts w:ascii="宋体" w:hAnsi="宋体" w:cs="宋体" w:eastAsia="宋体" w:hint="default"/>
          <w:w w:val="105"/>
        </w:rPr>
        <w:t>18.93%。</w:t>
      </w:r>
      <w:r>
        <w:rPr>
          <w:rFonts w:ascii="宋体" w:hAnsi="宋体" w:cs="宋体" w:eastAsia="宋体" w:hint="default"/>
        </w:rPr>
      </w:r>
    </w:p>
    <w:p>
      <w:pPr>
        <w:pStyle w:val="BodyText"/>
        <w:spacing w:line="240" w:lineRule="auto" w:before="123"/>
        <w:ind w:left="717" w:right="1314"/>
        <w:jc w:val="left"/>
        <w:rPr>
          <w:rFonts w:ascii="宋体" w:hAnsi="宋体" w:cs="宋体" w:eastAsia="宋体" w:hint="default"/>
        </w:rPr>
      </w:pPr>
      <w:r>
        <w:rPr>
          <w:rFonts w:ascii="宋体" w:hAnsi="宋体" w:cs="宋体" w:eastAsia="宋体" w:hint="default"/>
        </w:rPr>
        <w:t>4）人工成本</w:t>
      </w:r>
    </w:p>
    <w:p>
      <w:pPr>
        <w:pStyle w:val="BodyText"/>
        <w:spacing w:line="285" w:lineRule="auto" w:before="157"/>
        <w:ind w:left="717" w:right="1314"/>
        <w:jc w:val="left"/>
        <w:rPr>
          <w:rFonts w:ascii="宋体" w:hAnsi="宋体" w:cs="宋体" w:eastAsia="宋体" w:hint="default"/>
        </w:rPr>
      </w:pPr>
      <w:r>
        <w:rPr>
          <w:rFonts w:ascii="宋体" w:hAnsi="宋体" w:cs="宋体" w:eastAsia="宋体" w:hint="default"/>
          <w:spacing w:val="-1"/>
          <w:w w:val="111"/>
        </w:rPr>
        <w:t>2018</w:t>
      </w:r>
      <w:r>
        <w:rPr>
          <w:rFonts w:ascii="宋体" w:hAnsi="宋体" w:cs="宋体" w:eastAsia="宋体" w:hint="default"/>
          <w:spacing w:val="-63"/>
          <w:w w:val="111"/>
        </w:rPr>
        <w:t> </w:t>
      </w:r>
      <w:r>
        <w:rPr>
          <w:rFonts w:ascii="宋体" w:hAnsi="宋体" w:cs="宋体" w:eastAsia="宋体" w:hint="default"/>
          <w:spacing w:val="2"/>
        </w:rPr>
        <w:t>年随着公司经营业绩上升，人工成本发生人民币</w:t>
      </w:r>
      <w:r>
        <w:rPr>
          <w:rFonts w:ascii="宋体" w:hAnsi="宋体" w:cs="宋体" w:eastAsia="宋体" w:hint="default"/>
          <w:spacing w:val="-53"/>
        </w:rPr>
        <w:t> </w:t>
      </w:r>
      <w:r>
        <w:rPr>
          <w:rFonts w:ascii="宋体" w:hAnsi="宋体" w:cs="宋体" w:eastAsia="宋体" w:hint="default"/>
          <w:spacing w:val="-1"/>
          <w:w w:val="99"/>
        </w:rPr>
        <w:t>481.4</w:t>
      </w:r>
      <w:r>
        <w:rPr>
          <w:rFonts w:ascii="宋体" w:hAnsi="宋体" w:cs="宋体" w:eastAsia="宋体" w:hint="default"/>
          <w:spacing w:val="-53"/>
          <w:w w:val="99"/>
        </w:rPr>
        <w:t> </w:t>
      </w:r>
      <w:r>
        <w:rPr>
          <w:rFonts w:ascii="宋体" w:hAnsi="宋体" w:cs="宋体" w:eastAsia="宋体" w:hint="default"/>
          <w:spacing w:val="2"/>
        </w:rPr>
        <w:t>亿元，同比增长</w:t>
      </w:r>
      <w:r>
        <w:rPr>
          <w:rFonts w:ascii="宋体" w:hAnsi="宋体" w:cs="宋体" w:eastAsia="宋体" w:hint="default"/>
          <w:spacing w:val="-53"/>
        </w:rPr>
        <w:t> </w:t>
      </w:r>
      <w:r>
        <w:rPr>
          <w:rFonts w:ascii="宋体" w:hAnsi="宋体" w:cs="宋体" w:eastAsia="宋体" w:hint="default"/>
          <w:spacing w:val="2"/>
          <w:w w:val="104"/>
        </w:rPr>
        <w:t>13.4%，所占营业收入的比重由上年</w:t>
      </w:r>
      <w:r>
        <w:rPr>
          <w:rFonts w:ascii="宋体" w:hAnsi="宋体" w:cs="宋体" w:eastAsia="宋体" w:hint="default"/>
          <w:spacing w:val="3"/>
        </w:rPr>
        <w:t> </w:t>
      </w:r>
      <w:r>
        <w:rPr>
          <w:rFonts w:ascii="宋体" w:hAnsi="宋体" w:cs="宋体" w:eastAsia="宋体" w:hint="default"/>
          <w:w w:val="105"/>
        </w:rPr>
        <w:t>的 15.45% 变化至</w:t>
      </w:r>
      <w:r>
        <w:rPr>
          <w:rFonts w:ascii="宋体" w:hAnsi="宋体" w:cs="宋体" w:eastAsia="宋体" w:hint="default"/>
          <w:spacing w:val="-70"/>
          <w:w w:val="105"/>
        </w:rPr>
        <w:t> </w:t>
      </w:r>
      <w:r>
        <w:rPr>
          <w:rFonts w:ascii="宋体" w:hAnsi="宋体" w:cs="宋体" w:eastAsia="宋体" w:hint="default"/>
          <w:w w:val="105"/>
        </w:rPr>
        <w:t>16.55%。</w:t>
      </w:r>
      <w:r>
        <w:rPr>
          <w:rFonts w:ascii="宋体" w:hAnsi="宋体" w:cs="宋体" w:eastAsia="宋体" w:hint="default"/>
        </w:rPr>
      </w:r>
    </w:p>
    <w:p>
      <w:pPr>
        <w:pStyle w:val="BodyText"/>
        <w:spacing w:line="240" w:lineRule="auto" w:before="123"/>
        <w:ind w:left="717" w:right="1314"/>
        <w:jc w:val="left"/>
        <w:rPr>
          <w:rFonts w:ascii="宋体" w:hAnsi="宋体" w:cs="宋体" w:eastAsia="宋体" w:hint="default"/>
        </w:rPr>
      </w:pPr>
      <w:r>
        <w:rPr>
          <w:rFonts w:ascii="宋体" w:hAnsi="宋体" w:cs="宋体" w:eastAsia="宋体" w:hint="default"/>
        </w:rPr>
        <w:t>5）销售通信产品成本</w:t>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4"/>
        </w:rPr>
        <w:t> </w:t>
      </w:r>
      <w:r>
        <w:rPr>
          <w:rFonts w:ascii="宋体" w:hAnsi="宋体" w:cs="宋体" w:eastAsia="宋体" w:hint="default"/>
          <w:spacing w:val="4"/>
        </w:rPr>
        <w:t>年公司销售通信产品成本发生人民</w:t>
      </w:r>
      <w:r>
        <w:rPr>
          <w:rFonts w:ascii="宋体" w:hAnsi="宋体" w:cs="宋体" w:eastAsia="宋体" w:hint="default"/>
        </w:rPr>
        <w:t>币</w:t>
      </w:r>
      <w:r>
        <w:rPr>
          <w:rFonts w:ascii="宋体" w:hAnsi="宋体" w:cs="宋体" w:eastAsia="宋体" w:hint="default"/>
          <w:spacing w:val="-44"/>
        </w:rPr>
        <w:t> </w:t>
      </w:r>
      <w:r>
        <w:rPr>
          <w:rFonts w:ascii="宋体" w:hAnsi="宋体" w:cs="宋体" w:eastAsia="宋体" w:hint="default"/>
          <w:spacing w:val="-1"/>
          <w:w w:val="111"/>
        </w:rPr>
        <w:t>276</w:t>
      </w:r>
      <w:r>
        <w:rPr>
          <w:rFonts w:ascii="宋体" w:hAnsi="宋体" w:cs="宋体" w:eastAsia="宋体" w:hint="default"/>
          <w:w w:val="55"/>
        </w:rPr>
        <w:t>.</w:t>
      </w:r>
      <w:r>
        <w:rPr>
          <w:rFonts w:ascii="宋体" w:hAnsi="宋体" w:cs="宋体" w:eastAsia="宋体" w:hint="default"/>
          <w:w w:val="111"/>
        </w:rPr>
        <w:t>0</w:t>
      </w:r>
      <w:r>
        <w:rPr>
          <w:rFonts w:ascii="宋体" w:hAnsi="宋体" w:cs="宋体" w:eastAsia="宋体" w:hint="default"/>
          <w:spacing w:val="-44"/>
        </w:rPr>
        <w:t> </w:t>
      </w:r>
      <w:r>
        <w:rPr>
          <w:rFonts w:ascii="宋体" w:hAnsi="宋体" w:cs="宋体" w:eastAsia="宋体" w:hint="default"/>
          <w:spacing w:val="4"/>
        </w:rPr>
        <w:t>亿</w:t>
      </w:r>
      <w:r>
        <w:rPr>
          <w:rFonts w:ascii="宋体" w:hAnsi="宋体" w:cs="宋体" w:eastAsia="宋体" w:hint="default"/>
        </w:rPr>
        <w:t>元</w:t>
      </w:r>
      <w:r>
        <w:rPr>
          <w:rFonts w:ascii="宋体" w:hAnsi="宋体" w:cs="宋体" w:eastAsia="宋体" w:hint="default"/>
          <w:spacing w:val="4"/>
        </w:rPr>
        <w:t>，同期销售通信产品收入为人民</w:t>
      </w:r>
      <w:r>
        <w:rPr>
          <w:rFonts w:ascii="宋体" w:hAnsi="宋体" w:cs="宋体" w:eastAsia="宋体" w:hint="default"/>
        </w:rPr>
        <w:t>币</w:t>
      </w:r>
      <w:r>
        <w:rPr>
          <w:rFonts w:ascii="宋体" w:hAnsi="宋体" w:cs="宋体" w:eastAsia="宋体" w:hint="default"/>
          <w:spacing w:val="-44"/>
        </w:rPr>
        <w:t> </w:t>
      </w:r>
      <w:r>
        <w:rPr>
          <w:rFonts w:ascii="宋体" w:hAnsi="宋体" w:cs="宋体" w:eastAsia="宋体" w:hint="default"/>
          <w:spacing w:val="-1"/>
          <w:w w:val="111"/>
        </w:rPr>
        <w:t>271</w:t>
      </w:r>
      <w:r>
        <w:rPr>
          <w:rFonts w:ascii="宋体" w:hAnsi="宋体" w:cs="宋体" w:eastAsia="宋体" w:hint="default"/>
          <w:w w:val="55"/>
        </w:rPr>
        <w:t>.</w:t>
      </w:r>
      <w:r>
        <w:rPr>
          <w:rFonts w:ascii="宋体" w:hAnsi="宋体" w:cs="宋体" w:eastAsia="宋体" w:hint="default"/>
          <w:w w:val="111"/>
        </w:rPr>
        <w:t>9</w:t>
      </w:r>
      <w:r>
        <w:rPr>
          <w:rFonts w:ascii="宋体" w:hAnsi="宋体" w:cs="宋体" w:eastAsia="宋体" w:hint="default"/>
          <w:spacing w:val="-44"/>
        </w:rPr>
        <w:t> </w:t>
      </w:r>
      <w:r>
        <w:rPr>
          <w:rFonts w:ascii="宋体" w:hAnsi="宋体" w:cs="宋体" w:eastAsia="宋体" w:hint="default"/>
          <w:spacing w:val="4"/>
        </w:rPr>
        <w:t>亿</w:t>
      </w:r>
      <w:r>
        <w:rPr>
          <w:rFonts w:ascii="宋体" w:hAnsi="宋体" w:cs="宋体" w:eastAsia="宋体" w:hint="default"/>
        </w:rPr>
        <w:t>元</w:t>
      </w:r>
      <w:r>
        <w:rPr>
          <w:rFonts w:ascii="宋体" w:hAnsi="宋体" w:cs="宋体" w:eastAsia="宋体" w:hint="default"/>
          <w:spacing w:val="4"/>
        </w:rPr>
        <w:t>，销售通信产</w:t>
      </w:r>
      <w:r>
        <w:rPr>
          <w:rFonts w:ascii="宋体" w:hAnsi="宋体" w:cs="宋体" w:eastAsia="宋体" w:hint="default"/>
        </w:rPr>
      </w:r>
    </w:p>
    <w:p>
      <w:pPr>
        <w:pStyle w:val="BodyText"/>
        <w:spacing w:line="400" w:lineRule="auto" w:before="44"/>
        <w:ind w:left="717" w:right="3640"/>
        <w:jc w:val="left"/>
        <w:rPr>
          <w:rFonts w:ascii="宋体" w:hAnsi="宋体" w:cs="宋体" w:eastAsia="宋体" w:hint="default"/>
        </w:rPr>
      </w:pPr>
      <w:r>
        <w:rPr>
          <w:rFonts w:ascii="宋体" w:hAnsi="宋体" w:cs="宋体" w:eastAsia="宋体" w:hint="default"/>
        </w:rPr>
        <w:t>品亏损为人民币</w:t>
      </w:r>
      <w:r>
        <w:rPr>
          <w:rFonts w:ascii="宋体" w:hAnsi="宋体" w:cs="宋体" w:eastAsia="宋体" w:hint="default"/>
          <w:spacing w:val="-38"/>
        </w:rPr>
        <w:t> </w:t>
      </w:r>
      <w:r>
        <w:rPr>
          <w:rFonts w:ascii="宋体" w:hAnsi="宋体" w:cs="宋体" w:eastAsia="宋体" w:hint="default"/>
        </w:rPr>
        <w:t>4.1</w:t>
      </w:r>
      <w:r>
        <w:rPr>
          <w:rFonts w:ascii="宋体" w:hAnsi="宋体" w:cs="宋体" w:eastAsia="宋体" w:hint="default"/>
          <w:spacing w:val="-39"/>
        </w:rPr>
        <w:t> </w:t>
      </w:r>
      <w:r>
        <w:rPr>
          <w:rFonts w:ascii="宋体" w:hAnsi="宋体" w:cs="宋体" w:eastAsia="宋体" w:hint="default"/>
        </w:rPr>
        <w:t>亿元，其中，终端补贴成本为人民币</w:t>
      </w:r>
      <w:r>
        <w:rPr>
          <w:rFonts w:ascii="宋体" w:hAnsi="宋体" w:cs="宋体" w:eastAsia="宋体" w:hint="default"/>
          <w:spacing w:val="-38"/>
        </w:rPr>
        <w:t> </w:t>
      </w:r>
      <w:r>
        <w:rPr>
          <w:rFonts w:ascii="宋体" w:hAnsi="宋体" w:cs="宋体" w:eastAsia="宋体" w:hint="default"/>
        </w:rPr>
        <w:t>9.6</w:t>
      </w:r>
      <w:r>
        <w:rPr>
          <w:rFonts w:ascii="宋体" w:hAnsi="宋体" w:cs="宋体" w:eastAsia="宋体" w:hint="default"/>
          <w:spacing w:val="-39"/>
        </w:rPr>
        <w:t> </w:t>
      </w:r>
      <w:r>
        <w:rPr>
          <w:rFonts w:ascii="宋体" w:hAnsi="宋体" w:cs="宋体" w:eastAsia="宋体" w:hint="default"/>
        </w:rPr>
        <w:t>亿元，同比下降</w:t>
      </w:r>
      <w:r>
        <w:rPr>
          <w:rFonts w:ascii="宋体" w:hAnsi="宋体" w:cs="宋体" w:eastAsia="宋体" w:hint="default"/>
          <w:spacing w:val="-38"/>
        </w:rPr>
        <w:t> </w:t>
      </w:r>
      <w:r>
        <w:rPr>
          <w:rFonts w:ascii="宋体" w:hAnsi="宋体" w:cs="宋体" w:eastAsia="宋体" w:hint="default"/>
        </w:rPr>
        <w:t>23.7%。</w:t>
      </w:r>
      <w:r>
        <w:rPr>
          <w:rFonts w:ascii="宋体" w:hAnsi="宋体" w:cs="宋体" w:eastAsia="宋体" w:hint="default"/>
          <w:w w:val="112"/>
        </w:rPr>
        <w:t> </w:t>
      </w:r>
      <w:r>
        <w:rPr>
          <w:rFonts w:ascii="宋体" w:hAnsi="宋体" w:cs="宋体" w:eastAsia="宋体" w:hint="default"/>
        </w:rPr>
        <w:t>6）销售费用</w:t>
      </w:r>
    </w:p>
    <w:p>
      <w:pPr>
        <w:pStyle w:val="BodyText"/>
        <w:spacing w:line="240" w:lineRule="auto" w:before="37"/>
        <w:ind w:left="717" w:right="1314"/>
        <w:jc w:val="left"/>
        <w:rPr>
          <w:rFonts w:ascii="宋体" w:hAnsi="宋体" w:cs="宋体" w:eastAsia="宋体" w:hint="default"/>
        </w:rPr>
      </w:pP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2"/>
        </w:rPr>
        <w:t> </w:t>
      </w:r>
      <w:r>
        <w:rPr>
          <w:rFonts w:ascii="宋体" w:hAnsi="宋体" w:cs="宋体" w:eastAsia="宋体" w:hint="default"/>
          <w:spacing w:val="12"/>
        </w:rPr>
        <w:t>年公司销售费用发生人民</w:t>
      </w:r>
      <w:r>
        <w:rPr>
          <w:rFonts w:ascii="宋体" w:hAnsi="宋体" w:cs="宋体" w:eastAsia="宋体" w:hint="default"/>
        </w:rPr>
        <w:t>币</w:t>
      </w:r>
      <w:r>
        <w:rPr>
          <w:rFonts w:ascii="宋体" w:hAnsi="宋体" w:cs="宋体" w:eastAsia="宋体" w:hint="default"/>
          <w:spacing w:val="-42"/>
        </w:rPr>
        <w:t> </w:t>
      </w:r>
      <w:r>
        <w:rPr>
          <w:rFonts w:ascii="宋体" w:hAnsi="宋体" w:cs="宋体" w:eastAsia="宋体" w:hint="default"/>
          <w:spacing w:val="-1"/>
          <w:w w:val="111"/>
        </w:rPr>
        <w:t>351</w:t>
      </w:r>
      <w:r>
        <w:rPr>
          <w:rFonts w:ascii="宋体" w:hAnsi="宋体" w:cs="宋体" w:eastAsia="宋体" w:hint="default"/>
          <w:w w:val="55"/>
        </w:rPr>
        <w:t>.</w:t>
      </w:r>
      <w:r>
        <w:rPr>
          <w:rFonts w:ascii="宋体" w:hAnsi="宋体" w:cs="宋体" w:eastAsia="宋体" w:hint="default"/>
          <w:w w:val="111"/>
        </w:rPr>
        <w:t>7</w:t>
      </w:r>
      <w:r>
        <w:rPr>
          <w:rFonts w:ascii="宋体" w:hAnsi="宋体" w:cs="宋体" w:eastAsia="宋体" w:hint="default"/>
          <w:spacing w:val="-42"/>
        </w:rPr>
        <w:t> </w:t>
      </w:r>
      <w:r>
        <w:rPr>
          <w:rFonts w:ascii="宋体" w:hAnsi="宋体" w:cs="宋体" w:eastAsia="宋体" w:hint="default"/>
          <w:spacing w:val="12"/>
        </w:rPr>
        <w:t>亿</w:t>
      </w:r>
      <w:r>
        <w:rPr>
          <w:rFonts w:ascii="宋体" w:hAnsi="宋体" w:cs="宋体" w:eastAsia="宋体" w:hint="default"/>
        </w:rPr>
        <w:t>元</w:t>
      </w:r>
      <w:r>
        <w:rPr>
          <w:rFonts w:ascii="宋体" w:hAnsi="宋体" w:cs="宋体" w:eastAsia="宋体" w:hint="default"/>
          <w:spacing w:val="12"/>
        </w:rPr>
        <w:t>，同比增</w:t>
      </w:r>
      <w:r>
        <w:rPr>
          <w:rFonts w:ascii="宋体" w:hAnsi="宋体" w:cs="宋体" w:eastAsia="宋体" w:hint="default"/>
        </w:rPr>
        <w:t>长</w:t>
      </w:r>
      <w:r>
        <w:rPr>
          <w:rFonts w:ascii="宋体" w:hAnsi="宋体" w:cs="宋体" w:eastAsia="宋体" w:hint="default"/>
          <w:spacing w:val="-42"/>
        </w:rPr>
        <w:t> </w:t>
      </w:r>
      <w:r>
        <w:rPr>
          <w:rFonts w:ascii="宋体" w:hAnsi="宋体" w:cs="宋体" w:eastAsia="宋体" w:hint="default"/>
          <w:spacing w:val="-1"/>
          <w:w w:val="111"/>
        </w:rPr>
        <w:t>3</w:t>
      </w:r>
      <w:r>
        <w:rPr>
          <w:rFonts w:ascii="宋体" w:hAnsi="宋体" w:cs="宋体" w:eastAsia="宋体" w:hint="default"/>
          <w:w w:val="55"/>
        </w:rPr>
        <w:t>.</w:t>
      </w:r>
      <w:r>
        <w:rPr>
          <w:rFonts w:ascii="宋体" w:hAnsi="宋体" w:cs="宋体" w:eastAsia="宋体" w:hint="default"/>
          <w:spacing w:val="-1"/>
          <w:w w:val="111"/>
        </w:rPr>
        <w:t>2</w:t>
      </w:r>
      <w:r>
        <w:rPr>
          <w:rFonts w:ascii="宋体" w:hAnsi="宋体" w:cs="宋体" w:eastAsia="宋体" w:hint="default"/>
          <w:w w:val="200"/>
        </w:rPr>
        <w:t>%</w:t>
      </w:r>
      <w:r>
        <w:rPr>
          <w:rFonts w:ascii="宋体" w:hAnsi="宋体" w:cs="宋体" w:eastAsia="宋体" w:hint="default"/>
          <w:spacing w:val="12"/>
        </w:rPr>
        <w:t>，所占营业收入的比重由上年</w:t>
      </w:r>
      <w:r>
        <w:rPr>
          <w:rFonts w:ascii="宋体" w:hAnsi="宋体" w:cs="宋体" w:eastAsia="宋体" w:hint="default"/>
        </w:rPr>
        <w:t>的</w:t>
      </w:r>
      <w:r>
        <w:rPr>
          <w:rFonts w:ascii="宋体" w:hAnsi="宋体" w:cs="宋体" w:eastAsia="宋体" w:hint="default"/>
          <w:spacing w:val="-42"/>
        </w:rPr>
        <w:t> </w:t>
      </w:r>
      <w:r>
        <w:rPr>
          <w:rFonts w:ascii="宋体" w:hAnsi="宋体" w:cs="宋体" w:eastAsia="宋体" w:hint="default"/>
          <w:spacing w:val="-1"/>
          <w:w w:val="111"/>
        </w:rPr>
        <w:t>12</w:t>
      </w:r>
      <w:r>
        <w:rPr>
          <w:rFonts w:ascii="宋体" w:hAnsi="宋体" w:cs="宋体" w:eastAsia="宋体" w:hint="default"/>
          <w:w w:val="55"/>
        </w:rPr>
        <w:t>.</w:t>
      </w:r>
      <w:r>
        <w:rPr>
          <w:rFonts w:ascii="宋体" w:hAnsi="宋体" w:cs="宋体" w:eastAsia="宋体" w:hint="default"/>
          <w:spacing w:val="-1"/>
          <w:w w:val="111"/>
        </w:rPr>
        <w:t>40</w:t>
      </w:r>
      <w:r>
        <w:rPr>
          <w:rFonts w:ascii="宋体" w:hAnsi="宋体" w:cs="宋体" w:eastAsia="宋体" w:hint="default"/>
          <w:w w:val="200"/>
        </w:rPr>
        <w:t>%</w:t>
      </w:r>
      <w:r>
        <w:rPr>
          <w:rFonts w:ascii="宋体" w:hAnsi="宋体" w:cs="宋体" w:eastAsia="宋体" w:hint="default"/>
          <w:spacing w:val="-42"/>
        </w:rPr>
        <w:t> </w:t>
      </w:r>
      <w:r>
        <w:rPr>
          <w:rFonts w:ascii="宋体" w:hAnsi="宋体" w:cs="宋体" w:eastAsia="宋体" w:hint="default"/>
          <w:spacing w:val="12"/>
        </w:rPr>
        <w:t>下降至</w:t>
      </w:r>
      <w:r>
        <w:rPr>
          <w:rFonts w:ascii="宋体" w:hAnsi="宋体" w:cs="宋体" w:eastAsia="宋体" w:hint="default"/>
        </w:rPr>
      </w:r>
    </w:p>
    <w:p>
      <w:pPr>
        <w:pStyle w:val="BodyText"/>
        <w:spacing w:line="240" w:lineRule="auto" w:before="44"/>
        <w:ind w:left="717" w:right="1314"/>
        <w:jc w:val="left"/>
        <w:rPr>
          <w:rFonts w:ascii="宋体" w:hAnsi="宋体" w:cs="宋体" w:eastAsia="宋体" w:hint="default"/>
        </w:rPr>
      </w:pPr>
      <w:r>
        <w:rPr>
          <w:rFonts w:ascii="宋体" w:hAnsi="宋体" w:cs="宋体" w:eastAsia="宋体" w:hint="default"/>
          <w:w w:val="110"/>
        </w:rPr>
        <w:t>12.09%。</w:t>
      </w:r>
      <w:r>
        <w:rPr>
          <w:rFonts w:ascii="宋体" w:hAnsi="宋体" w:cs="宋体" w:eastAsia="宋体" w:hint="default"/>
        </w:rPr>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3"/>
          <w:szCs w:val="23"/>
        </w:rPr>
      </w:pPr>
    </w:p>
    <w:p>
      <w:pPr>
        <w:spacing w:after="0" w:line="240" w:lineRule="auto"/>
        <w:rPr>
          <w:rFonts w:ascii="宋体" w:hAnsi="宋体" w:cs="宋体" w:eastAsia="宋体" w:hint="default"/>
          <w:sz w:val="23"/>
          <w:szCs w:val="23"/>
        </w:rPr>
        <w:sectPr>
          <w:headerReference w:type="even" r:id="rId125"/>
          <w:footerReference w:type="even" r:id="rId126"/>
          <w:pgSz w:w="11910" w:h="16160"/>
          <w:pgMar w:header="0" w:footer="0" w:top="2360" w:bottom="0" w:left="700" w:right="0"/>
        </w:sectPr>
      </w:pPr>
    </w:p>
    <w:p>
      <w:pPr>
        <w:tabs>
          <w:tab w:pos="5277" w:val="left" w:leader="none"/>
        </w:tabs>
        <w:spacing w:before="61"/>
        <w:ind w:left="114" w:right="0" w:firstLine="0"/>
        <w:jc w:val="left"/>
        <w:rPr>
          <w:rFonts w:ascii="宋体" w:hAnsi="宋体" w:cs="宋体" w:eastAsia="宋体" w:hint="default"/>
          <w:sz w:val="16"/>
          <w:szCs w:val="16"/>
        </w:rPr>
      </w:pPr>
      <w:r>
        <w:rPr/>
        <w:pict>
          <v:group style="position:absolute;margin-left:-.5pt;margin-top:119.055023pt;width:596.3pt;height:689.35pt;mso-position-horizontal-relative:page;mso-position-vertical-relative:page;z-index:-966640" coordorigin="-10,2381" coordsize="11926,13787">
            <v:shape style="position:absolute;left:9259;top:6539;width:340;height:340" type="#_x0000_t75" stroked="false">
              <v:imagedata r:id="rId85" o:title=""/>
            </v:shape>
            <v:group style="position:absolute;left:5621;top:6695;width:3823;height:4059" coordorigin="5621,6695" coordsize="3823,4059">
              <v:shape style="position:absolute;left:5621;top:6695;width:3823;height:4059" coordorigin="5621,6695" coordsize="3823,4059" path="m9443,6695l5621,10753e" filled="false" stroked="true" strokeweight="1pt" strokecolor="#9c8758">
                <v:path arrowok="t"/>
              </v:shape>
            </v:group>
            <v:group style="position:absolute;left:0;top:2500;width:7159;height:7304" coordorigin="0,2500" coordsize="7159,7304">
              <v:shape style="position:absolute;left:0;top:2500;width:7159;height:7304" coordorigin="0,2500" coordsize="7159,7304" path="m337,9804l0,9804,0,6187,3444,2500,7159,2500,337,9804xe" filled="true" fillcolor="#8e9090" stroked="false">
                <v:path arrowok="t"/>
                <v:fill type="solid"/>
              </v:shape>
            </v:group>
            <v:group style="position:absolute;left:6181;top:9987;width:5725;height:6171" coordorigin="6181,9987" coordsize="5725,6171">
              <v:shape style="position:absolute;left:6181;top:9987;width:5725;height:6171" coordorigin="6181,9987" coordsize="5725,6171" path="m11906,16157l6181,16157,11906,9987,11906,16157xe" filled="true" fillcolor="#8e9090" stroked="false">
                <v:path arrowok="t"/>
                <v:fill type="solid"/>
              </v:shape>
            </v:group>
            <v:group style="position:absolute;left:6816;top:10672;width:5090;height:5486" coordorigin="6816,10672" coordsize="5090,5486">
              <v:shape style="position:absolute;left:6816;top:10672;width:5090;height:5486" coordorigin="6816,10672" coordsize="5090,5486" path="m11906,16157l6816,16157,11906,10672,11906,16157xe" filled="true" fillcolor="#d7000f" stroked="false">
                <v:path arrowok="t"/>
                <v:fill type="solid"/>
              </v:shape>
              <v:shape style="position:absolute;left:2072;top:2665;width:340;height:340" type="#_x0000_t75" stroked="false">
                <v:imagedata r:id="rId86" o:title=""/>
              </v:shape>
            </v:group>
            <v:group style="position:absolute;left:0;top:2778;width:2299;height:2474" coordorigin="0,2778" coordsize="2299,2474">
              <v:shape style="position:absolute;left:0;top:2778;width:2299;height:2474" coordorigin="0,2778" coordsize="2299,2474" path="m2298,2778l0,5252e" filled="false" stroked="true" strokeweight="1pt" strokecolor="#000000">
                <v:path arrowok="t"/>
              </v:shape>
            </v:group>
            <v:group style="position:absolute;left:0;top:12410;width:434;height:447" coordorigin="0,12410" coordsize="434,447">
              <v:shape style="position:absolute;left:0;top:12410;width:434;height:447" coordorigin="0,12410" coordsize="434,447" path="m433,12410l0,12857e" filled="false" stroked="true" strokeweight="1pt" strokecolor="#8e9090">
                <v:path arrowok="t"/>
              </v:shape>
              <v:shape style="position:absolute;left:298;top:12307;width:241;height:241" type="#_x0000_t75" stroked="false">
                <v:imagedata r:id="rId87" o:title=""/>
              </v:shape>
            </v:group>
            <v:group style="position:absolute;left:4935;top:12190;width:3851;height:3968" coordorigin="4935,12190" coordsize="3851,3968">
              <v:shape style="position:absolute;left:4935;top:12190;width:3851;height:3968" coordorigin="4935,12190" coordsize="3851,3968" path="m8785,12190l4935,16157e" filled="false" stroked="true" strokeweight="1pt" strokecolor="#8e9090">
                <v:path arrowok="t"/>
              </v:shape>
              <v:shape style="position:absolute;left:8634;top:12076;width:268;height:268" type="#_x0000_t75" stroked="false">
                <v:imagedata r:id="rId88" o:title=""/>
              </v:shape>
            </v:group>
            <v:group style="position:absolute;left:8600;top:13607;width:2475;height:2551" coordorigin="8600,13607" coordsize="2475,2551">
              <v:shape style="position:absolute;left:8600;top:13607;width:2475;height:2551" coordorigin="8600,13607" coordsize="2475,2551" path="m11075,13607l8600,16157e" filled="false" stroked="true" strokeweight="1pt" strokecolor="#d7000f">
                <v:path arrowok="t"/>
              </v:shape>
              <v:shape style="position:absolute;left:10923;top:13493;width:268;height:268" type="#_x0000_t75" stroked="false">
                <v:imagedata r:id="rId89" o:title=""/>
              </v:shape>
            </v:group>
            <v:group style="position:absolute;left:2349;top:8171;width:7527;height:7987" coordorigin="2349,8171" coordsize="7527,7987">
              <v:shape style="position:absolute;left:2349;top:8171;width:7527;height:7987" coordorigin="2349,8171" coordsize="7527,7987" path="m9876,8171l2349,16157e" filled="false" stroked="true" strokeweight="1pt" strokecolor="#000000">
                <v:path arrowok="t"/>
              </v:shape>
              <v:shape style="position:absolute;left:11425;top:3255;width:491;height:500" type="#_x0000_t75" stroked="false">
                <v:imagedata r:id="rId90" o:title=""/>
              </v:shape>
            </v:group>
            <v:group style="position:absolute;left:6123;top:8308;width:5783;height:7850" coordorigin="6123,8308" coordsize="5783,7850">
              <v:shape style="position:absolute;left:6123;top:8308;width:5783;height:7850" coordorigin="6123,8308" coordsize="5783,7850" path="m11906,16157l11906,8308,6123,8308,6123,16157,11906,16157xe" filled="true" fillcolor="#ffffff" stroked="false">
                <v:path arrowok="t"/>
                <v:fill type="solid"/>
              </v:shape>
            </v:group>
            <v:group style="position:absolute;left:0;top:2381;width:10656;height:12867" coordorigin="0,2381" coordsize="10656,12867">
              <v:shape style="position:absolute;left:0;top:2381;width:10656;height:12867" coordorigin="0,2381" coordsize="10656,12867" path="m0,2381l0,15248,10655,15248,10655,2381,0,2381xe" filled="true" fillcolor="#ffffff" stroked="false">
                <v:path arrowok="t"/>
                <v:fill type="solid"/>
              </v:shape>
            </v:group>
            <v:group style="position:absolute;left:1417;top:7474;width:3175;height:2" coordorigin="1417,7474" coordsize="3175,2">
              <v:shape style="position:absolute;left:1417;top:7474;width:3175;height:2" coordorigin="1417,7474" coordsize="3175,0" path="m1417,7474l4592,7474e" filled="false" stroked="true" strokeweight=".5pt" strokecolor="#000000">
                <v:path arrowok="t"/>
              </v:shape>
            </v:group>
            <v:group style="position:absolute;left:4592;top:7474;width:1021;height:2" coordorigin="4592,7474" coordsize="1021,2">
              <v:shape style="position:absolute;left:4592;top:7474;width:1021;height:2" coordorigin="4592,7474" coordsize="1021,0" path="m4592,7474l5613,7474e" filled="false" stroked="true" strokeweight=".5pt" strokecolor="#d7000f">
                <v:path arrowok="t"/>
              </v:shape>
            </v:group>
            <v:group style="position:absolute;left:5613;top:7474;width:1928;height:2" coordorigin="5613,7474" coordsize="1928,2">
              <v:shape style="position:absolute;left:5613;top:7474;width:1928;height:2" coordorigin="5613,7474" coordsize="1928,0" path="m5613,7474l7540,7474e" filled="false" stroked="true" strokeweight=".5pt" strokecolor="#d7000f">
                <v:path arrowok="t"/>
              </v:shape>
            </v:group>
            <v:group style="position:absolute;left:7540;top:7474;width:1021;height:2" coordorigin="7540,7474" coordsize="1021,2">
              <v:shape style="position:absolute;left:7540;top:7474;width:1021;height:2" coordorigin="7540,7474" coordsize="1021,0" path="m7540,7474l8561,7474e" filled="false" stroked="true" strokeweight=".5pt" strokecolor="#000000">
                <v:path arrowok="t"/>
              </v:shape>
            </v:group>
            <v:group style="position:absolute;left:8561;top:7474;width:1928;height:2" coordorigin="8561,7474" coordsize="1928,2">
              <v:shape style="position:absolute;left:8561;top:7474;width:1928;height:2" coordorigin="8561,7474" coordsize="1928,0" path="m8561,7474l10488,7474e" filled="false" stroked="true" strokeweight=".5pt" strokecolor="#000000">
                <v:path arrowok="t"/>
              </v:shape>
            </v:group>
            <w10:wrap type="none"/>
          </v:group>
        </w:pict>
      </w:r>
      <w:r>
        <w:rPr>
          <w:rFonts w:ascii="Arial" w:hAnsi="Arial" w:cs="Arial" w:eastAsia="Arial" w:hint="default"/>
          <w:b/>
          <w:bCs/>
          <w:color w:val="9C8758"/>
          <w:spacing w:val="-1"/>
          <w:position w:val="2"/>
          <w:sz w:val="16"/>
          <w:szCs w:val="16"/>
        </w:rPr>
        <w:t>30</w:t>
        <w:tab/>
      </w:r>
      <w:r>
        <w:rPr>
          <w:rFonts w:ascii="宋体" w:hAnsi="宋体" w:cs="宋体" w:eastAsia="宋体" w:hint="default"/>
          <w:color w:val="595757"/>
          <w:spacing w:val="24"/>
          <w:sz w:val="16"/>
          <w:szCs w:val="16"/>
        </w:rPr>
        <w:t>经营情况讨论与分析</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0"/>
          <w:cols w:num="2" w:equalWidth="0">
            <w:col w:w="6977" w:space="191"/>
            <w:col w:w="4042"/>
          </w:cols>
        </w:sectPr>
      </w:pPr>
    </w:p>
    <w:p>
      <w:pPr>
        <w:spacing w:line="240" w:lineRule="auto" w:before="0"/>
        <w:rPr>
          <w:rFonts w:ascii="宋体" w:hAnsi="宋体" w:cs="宋体" w:eastAsia="宋体" w:hint="default"/>
          <w:sz w:val="20"/>
          <w:szCs w:val="20"/>
        </w:rPr>
      </w:pPr>
      <w:r>
        <w:rPr/>
        <w:pict>
          <v:group style="position:absolute;margin-left:-.500001pt;margin-top:-1.499958pt;width:596.3pt;height:809.9pt;mso-position-horizontal-relative:page;mso-position-vertical-relative:page;z-index:-966616" coordorigin="-10,-30" coordsize="11926,16198">
            <v:group style="position:absolute;left:0;top:0;width:11906;height:16158" coordorigin="0,0" coordsize="11906,16158">
              <v:shape style="position:absolute;left:0;top:0;width:11906;height:16158" coordorigin="0,0" coordsize="11906,16158" path="m444,16157l0,16157,0,9987,9267,0,11906,0,11906,3804,444,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7570,16157l0,16157,0,10672,9902,0,11906,0,11906,11485,7570,16157xe" filled="true" fillcolor="#d7000f" stroked="false">
                <v:path arrowok="t"/>
                <v:fill type="solid"/>
              </v:shape>
            </v:group>
            <v:group style="position:absolute;left:0;top:0;width:226;height:233" coordorigin="0,0" coordsize="226,233">
              <v:shape style="position:absolute;left:0;top:0;width:226;height:233" coordorigin="0,0" coordsize="226,233" path="m0,233l225,0e" filled="false" stroked="true" strokeweight="1pt" strokecolor="#9c8758">
                <v:path arrowok="t"/>
              </v:shape>
              <v:shape style="position:absolute;left:3646;top:14163;width:340;height:340" type="#_x0000_t75" stroked="false">
                <v:imagedata r:id="rId94" o:title=""/>
              </v:shape>
            </v:group>
            <v:group style="position:absolute;left:3802;top:11470;width:2786;height:2878" coordorigin="3802,11470" coordsize="2786,2878">
              <v:shape style="position:absolute;left:3802;top:11470;width:2786;height:2878" coordorigin="3802,11470" coordsize="2786,2878" path="m3802,14347l6587,11470e" filled="false" stroked="true" strokeweight="1pt" strokecolor="#9c8758">
                <v:path arrowok="t"/>
              </v:shape>
              <v:shape style="position:absolute;left:5371;top:1794;width:268;height:268" type="#_x0000_t75" stroked="false">
                <v:imagedata r:id="rId95" o:title=""/>
              </v:shape>
            </v:group>
            <v:group style="position:absolute;left:5412;top:0;width:1951;height:2021" coordorigin="5412,0" coordsize="1951,2021">
              <v:shape style="position:absolute;left:5412;top:0;width:1951;height:2021" coordorigin="5412,0" coordsize="1951,2021" path="m5412,2021l7362,0e" filled="false" stroked="true" strokeweight="3pt" strokecolor="#8e9090">
                <v:path arrowok="t"/>
              </v:shape>
            </v:group>
            <v:group style="position:absolute;left:5897;top:7258;width:3956;height:4261" coordorigin="5897,7258" coordsize="3956,4261">
              <v:shape style="position:absolute;left:5897;top:7258;width:3956;height:4261" coordorigin="5897,7258" coordsize="3956,4261" path="m9853,7258l5897,11519e" filled="false" stroked="true" strokeweight="1pt" strokecolor="#8e9090">
                <v:path arrowok="t"/>
              </v:shape>
              <v:shape style="position:absolute;left:9701;top:7144;width:267;height:267" type="#_x0000_t75" stroked="false">
                <v:imagedata r:id="rId96" o:title=""/>
              </v:shape>
            </v:group>
            <v:group style="position:absolute;left:10549;top:492;width:1357;height:1470" coordorigin="10549,492" coordsize="1357,1470">
              <v:shape style="position:absolute;left:10549;top:492;width:1357;height:1470" coordorigin="10549,492" coordsize="1357,1470" path="m10549,1962l11906,492e" filled="false" stroked="true" strokeweight="1.0pt" strokecolor="#000000">
                <v:path arrowok="t"/>
              </v:shape>
              <v:shape style="position:absolute;left:10433;top:1808;width:268;height:268" type="#_x0000_t75" stroked="false">
                <v:imagedata r:id="rId97" o:title=""/>
              </v:shape>
              <v:shape style="position:absolute;left:6152;top:14060;width:340;height:340" type="#_x0000_t75" stroked="false">
                <v:imagedata r:id="rId98" o:title=""/>
              </v:shape>
            </v:group>
            <v:group style="position:absolute;left:6308;top:8369;width:5598;height:5875" coordorigin="6308,8369" coordsize="5598,5875">
              <v:shape style="position:absolute;left:6308;top:8369;width:5598;height:5875" coordorigin="6308,8369" coordsize="5598,5875" path="m6308,14244l11906,8369e" filled="false" stroked="true" strokeweight="1pt" strokecolor="#9c8758">
                <v:path arrowok="t"/>
              </v:shape>
              <v:shape style="position:absolute;left:9278;top:8801;width:340;height:340" type="#_x0000_t75" stroked="false">
                <v:imagedata r:id="rId91" o:title=""/>
              </v:shape>
            </v:group>
            <v:group style="position:absolute;left:2678;top:8914;width:6827;height:7244" coordorigin="2678,8914" coordsize="6827,7244">
              <v:shape style="position:absolute;left:2678;top:8914;width:6827;height:7244" coordorigin="2678,8914" coordsize="6827,7244" path="m9504,8914l2678,16157e" filled="false" stroked="true" strokeweight="1pt" strokecolor="#000000">
                <v:path arrowok="t"/>
              </v:shape>
            </v:group>
            <v:group style="position:absolute;left:0;top:0;width:3168;height:3265" coordorigin="0,0" coordsize="3168,3265">
              <v:shape style="position:absolute;left:0;top:0;width:3168;height:3265" coordorigin="0,0" coordsize="3168,3265" path="m0,3265l3168,0e" filled="false" stroked="true" strokeweight="1pt" strokecolor="#d7000f">
                <v:path arrowok="t"/>
              </v:shape>
            </v:group>
            <v:group style="position:absolute;left:0;top:8308;width:1248;height:7850" coordorigin="0,8308" coordsize="1248,7850">
              <v:shape style="position:absolute;left:0;top:8308;width:1248;height:7850" coordorigin="0,8308" coordsize="1248,7850" path="m0,16157l1247,16157,1247,8308,0,8308,0,16157xe" filled="true" fillcolor="#ffffff" stroked="false">
                <v:path arrowok="t"/>
                <v:fill type="solid"/>
              </v:shape>
            </v:group>
            <v:group style="position:absolute;left:1247;top:2154;width:10659;height:14004" coordorigin="1247,2154" coordsize="10659,14004">
              <v:shape style="position:absolute;left:1247;top:2154;width:10659;height:14004" coordorigin="1247,2154" coordsize="10659,14004" path="m11906,16157l11906,2154,1247,2154,1247,16157,11906,16157xe" filled="true" fillcolor="#ffffff" stroked="false">
                <v:path arrowok="t"/>
                <v:fill type="solid"/>
              </v:shape>
            </v:group>
            <v:group style="position:absolute;left:1984;top:12338;width:6123;height:2" coordorigin="1984,12338" coordsize="6123,2">
              <v:shape style="position:absolute;left:1984;top:12338;width:6123;height:2" coordorigin="1984,12338" coordsize="6123,0" path="m1984,12338l8107,12338e" filled="false" stroked="true" strokeweight=".5pt" strokecolor="#000000">
                <v:path arrowok="t"/>
              </v:shape>
            </v:group>
            <v:group style="position:absolute;left:8107;top:12338;width:1474;height:2" coordorigin="8107,12338" coordsize="1474,2">
              <v:shape style="position:absolute;left:8107;top:12338;width:1474;height:2" coordorigin="8107,12338" coordsize="1474,0" path="m8107,12338l9581,12338e" filled="false" stroked="true" strokeweight=".5pt" strokecolor="#d7000f">
                <v:path arrowok="t"/>
              </v:shape>
            </v:group>
            <v:group style="position:absolute;left:9581;top:12338;width:1475;height:2" coordorigin="9581,12338" coordsize="1475,2">
              <v:shape style="position:absolute;left:9581;top:12338;width:1475;height:2" coordorigin="9581,12338" coordsize="1475,0" path="m9581,12338l11055,12338e" filled="false" stroked="true" strokeweight=".5pt" strokecolor="#d7000f">
                <v:path arrowok="t"/>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BodyText"/>
        <w:spacing w:line="240" w:lineRule="auto" w:before="31"/>
        <w:ind w:left="604" w:right="95"/>
        <w:jc w:val="left"/>
        <w:rPr>
          <w:rFonts w:ascii="宋体" w:hAnsi="宋体" w:cs="宋体" w:eastAsia="宋体" w:hint="default"/>
        </w:rPr>
      </w:pPr>
      <w:r>
        <w:rPr>
          <w:rFonts w:ascii="宋体" w:hAnsi="宋体" w:cs="宋体" w:eastAsia="宋体" w:hint="default"/>
        </w:rPr>
        <w:t>7）其他营业成本及管理费用</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2018 年公司其他营业成本及管理费用发生人民币 176.9 亿元，同比增长</w:t>
      </w:r>
      <w:r>
        <w:rPr>
          <w:rFonts w:ascii="宋体" w:hAnsi="宋体" w:cs="宋体" w:eastAsia="宋体" w:hint="default"/>
          <w:spacing w:val="-64"/>
        </w:rPr>
        <w:t> </w:t>
      </w:r>
      <w:r>
        <w:rPr>
          <w:rFonts w:ascii="宋体" w:hAnsi="宋体" w:cs="宋体" w:eastAsia="宋体" w:hint="default"/>
        </w:rPr>
        <w:t>25.6%。</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8）财务费用</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2018 年公司财务费用发生人民币 -1.4 亿元，同比下降</w:t>
      </w:r>
      <w:r>
        <w:rPr>
          <w:rFonts w:ascii="宋体" w:hAnsi="宋体" w:cs="宋体" w:eastAsia="宋体" w:hint="default"/>
          <w:spacing w:val="-45"/>
        </w:rPr>
        <w:t> </w:t>
      </w:r>
      <w:r>
        <w:rPr>
          <w:rFonts w:ascii="宋体" w:hAnsi="宋体" w:cs="宋体" w:eastAsia="宋体" w:hint="default"/>
        </w:rPr>
        <w:t>103.4%。</w:t>
      </w:r>
    </w:p>
    <w:p>
      <w:pPr>
        <w:pStyle w:val="BodyText"/>
        <w:spacing w:line="240" w:lineRule="auto" w:before="157"/>
        <w:ind w:left="377" w:right="95"/>
        <w:jc w:val="left"/>
        <w:rPr>
          <w:rFonts w:ascii="宋体" w:hAnsi="宋体" w:cs="宋体" w:eastAsia="宋体" w:hint="default"/>
        </w:rPr>
      </w:pPr>
      <w:r>
        <w:rPr>
          <w:rFonts w:ascii="宋体" w:hAnsi="宋体" w:cs="宋体" w:eastAsia="宋体" w:hint="default"/>
          <w:color w:val="D7000F"/>
          <w:w w:val="95"/>
        </w:rPr>
        <w:t>4.</w:t>
      </w:r>
      <w:r>
        <w:rPr>
          <w:rFonts w:ascii="宋体" w:hAnsi="宋体" w:cs="宋体" w:eastAsia="宋体" w:hint="default"/>
          <w:color w:val="D7000F"/>
          <w:spacing w:val="-26"/>
          <w:w w:val="95"/>
        </w:rPr>
        <w:t> </w:t>
      </w:r>
      <w:r>
        <w:rPr>
          <w:rFonts w:ascii="宋体" w:hAnsi="宋体" w:cs="宋体" w:eastAsia="宋体" w:hint="default"/>
          <w:color w:val="D7000F"/>
          <w:w w:val="95"/>
        </w:rPr>
        <w:t>盈利水平</w:t>
      </w:r>
      <w:r>
        <w:rPr>
          <w:rFonts w:ascii="宋体" w:hAnsi="宋体" w:cs="宋体" w:eastAsia="宋体" w:hint="default"/>
          <w:w w:val="95"/>
        </w:rPr>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1）税前利润</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1"/>
        </w:rPr>
        <w:t> </w:t>
      </w:r>
      <w:r>
        <w:rPr>
          <w:rFonts w:ascii="宋体" w:hAnsi="宋体" w:cs="宋体" w:eastAsia="宋体" w:hint="default"/>
        </w:rPr>
        <w:t>年税前利润实现人民币</w:t>
      </w:r>
      <w:r>
        <w:rPr>
          <w:rFonts w:ascii="宋体" w:hAnsi="宋体" w:cs="宋体" w:eastAsia="宋体" w:hint="default"/>
          <w:spacing w:val="-40"/>
        </w:rPr>
        <w:t> </w:t>
      </w:r>
      <w:r>
        <w:rPr>
          <w:rFonts w:ascii="宋体" w:hAnsi="宋体" w:cs="宋体" w:eastAsia="宋体" w:hint="default"/>
        </w:rPr>
        <w:t>120.8</w:t>
      </w:r>
      <w:r>
        <w:rPr>
          <w:rFonts w:ascii="宋体" w:hAnsi="宋体" w:cs="宋体" w:eastAsia="宋体" w:hint="default"/>
          <w:spacing w:val="-41"/>
        </w:rPr>
        <w:t> </w:t>
      </w:r>
      <w:r>
        <w:rPr>
          <w:rFonts w:ascii="宋体" w:hAnsi="宋体" w:cs="宋体" w:eastAsia="宋体" w:hint="default"/>
        </w:rPr>
        <w:t>亿元，同比增加人民币</w:t>
      </w:r>
      <w:r>
        <w:rPr>
          <w:rFonts w:ascii="宋体" w:hAnsi="宋体" w:cs="宋体" w:eastAsia="宋体" w:hint="default"/>
          <w:spacing w:val="-40"/>
        </w:rPr>
        <w:t> </w:t>
      </w:r>
      <w:r>
        <w:rPr>
          <w:rFonts w:ascii="宋体" w:hAnsi="宋体" w:cs="宋体" w:eastAsia="宋体" w:hint="default"/>
        </w:rPr>
        <w:t>97.0</w:t>
      </w:r>
      <w:r>
        <w:rPr>
          <w:rFonts w:ascii="宋体" w:hAnsi="宋体" w:cs="宋体" w:eastAsia="宋体" w:hint="default"/>
          <w:spacing w:val="-41"/>
        </w:rPr>
        <w:t> </w:t>
      </w:r>
      <w:r>
        <w:rPr>
          <w:rFonts w:ascii="宋体" w:hAnsi="宋体" w:cs="宋体" w:eastAsia="宋体" w:hint="default"/>
        </w:rPr>
        <w:t>亿元。</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2）所得税</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0"/>
        </w:rPr>
        <w:t> </w:t>
      </w:r>
      <w:r>
        <w:rPr>
          <w:rFonts w:ascii="宋体" w:hAnsi="宋体" w:cs="宋体" w:eastAsia="宋体" w:hint="default"/>
        </w:rPr>
        <w:t>年公司的所得税为人民币</w:t>
      </w:r>
      <w:r>
        <w:rPr>
          <w:rFonts w:ascii="宋体" w:hAnsi="宋体" w:cs="宋体" w:eastAsia="宋体" w:hint="default"/>
          <w:spacing w:val="-18"/>
        </w:rPr>
        <w:t> </w:t>
      </w:r>
      <w:r>
        <w:rPr>
          <w:rFonts w:ascii="宋体" w:hAnsi="宋体" w:cs="宋体" w:eastAsia="宋体" w:hint="default"/>
        </w:rPr>
        <w:t>27.7</w:t>
      </w:r>
      <w:r>
        <w:rPr>
          <w:rFonts w:ascii="宋体" w:hAnsi="宋体" w:cs="宋体" w:eastAsia="宋体" w:hint="default"/>
          <w:spacing w:val="-20"/>
        </w:rPr>
        <w:t> </w:t>
      </w:r>
      <w:r>
        <w:rPr>
          <w:rFonts w:ascii="宋体" w:hAnsi="宋体" w:cs="宋体" w:eastAsia="宋体" w:hint="default"/>
        </w:rPr>
        <w:t>亿元，全年实际税率为</w:t>
      </w:r>
      <w:r>
        <w:rPr>
          <w:rFonts w:ascii="宋体" w:hAnsi="宋体" w:cs="宋体" w:eastAsia="宋体" w:hint="default"/>
          <w:spacing w:val="-18"/>
        </w:rPr>
        <w:t> </w:t>
      </w:r>
      <w:r>
        <w:rPr>
          <w:rFonts w:ascii="宋体" w:hAnsi="宋体" w:cs="宋体" w:eastAsia="宋体" w:hint="default"/>
        </w:rPr>
        <w:t>23.0%。</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3）年度盈利</w:t>
      </w:r>
    </w:p>
    <w:p>
      <w:pPr>
        <w:pStyle w:val="BodyText"/>
        <w:spacing w:line="285" w:lineRule="auto" w:before="157"/>
        <w:ind w:left="604" w:right="175"/>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49"/>
        </w:rPr>
        <w:t> </w:t>
      </w:r>
      <w:r>
        <w:rPr>
          <w:rFonts w:ascii="宋体" w:hAnsi="宋体" w:cs="宋体" w:eastAsia="宋体" w:hint="default"/>
        </w:rPr>
        <w:t>年公司归属于母公司净利润实现人民币</w:t>
      </w:r>
      <w:r>
        <w:rPr>
          <w:rFonts w:ascii="宋体" w:hAnsi="宋体" w:cs="宋体" w:eastAsia="宋体" w:hint="default"/>
          <w:spacing w:val="-49"/>
        </w:rPr>
        <w:t> </w:t>
      </w:r>
      <w:r>
        <w:rPr>
          <w:rFonts w:ascii="宋体" w:hAnsi="宋体" w:cs="宋体" w:eastAsia="宋体" w:hint="default"/>
        </w:rPr>
        <w:t>40.8</w:t>
      </w:r>
      <w:r>
        <w:rPr>
          <w:rFonts w:ascii="宋体" w:hAnsi="宋体" w:cs="宋体" w:eastAsia="宋体" w:hint="default"/>
          <w:spacing w:val="-49"/>
        </w:rPr>
        <w:t> </w:t>
      </w:r>
      <w:r>
        <w:rPr>
          <w:rFonts w:ascii="宋体" w:hAnsi="宋体" w:cs="宋体" w:eastAsia="宋体" w:hint="default"/>
        </w:rPr>
        <w:t>亿元，同比增加人民币</w:t>
      </w:r>
      <w:r>
        <w:rPr>
          <w:rFonts w:ascii="宋体" w:hAnsi="宋体" w:cs="宋体" w:eastAsia="宋体" w:hint="default"/>
          <w:spacing w:val="-49"/>
        </w:rPr>
        <w:t> </w:t>
      </w:r>
      <w:r>
        <w:rPr>
          <w:rFonts w:ascii="宋体" w:hAnsi="宋体" w:cs="宋体" w:eastAsia="宋体" w:hint="default"/>
        </w:rPr>
        <w:t>36.5</w:t>
      </w:r>
      <w:r>
        <w:rPr>
          <w:rFonts w:ascii="宋体" w:hAnsi="宋体" w:cs="宋体" w:eastAsia="宋体" w:hint="default"/>
          <w:spacing w:val="-49"/>
        </w:rPr>
        <w:t> </w:t>
      </w:r>
      <w:r>
        <w:rPr>
          <w:rFonts w:ascii="宋体" w:hAnsi="宋体" w:cs="宋体" w:eastAsia="宋体" w:hint="default"/>
        </w:rPr>
        <w:t>亿元。每股基本盈利为人民币</w:t>
      </w:r>
      <w:r>
        <w:rPr>
          <w:rFonts w:ascii="宋体" w:hAnsi="宋体" w:cs="宋体" w:eastAsia="宋体" w:hint="default"/>
          <w:spacing w:val="-49"/>
        </w:rPr>
        <w:t> </w:t>
      </w:r>
      <w:r>
        <w:rPr>
          <w:rFonts w:ascii="宋体" w:hAnsi="宋体" w:cs="宋体" w:eastAsia="宋体" w:hint="default"/>
        </w:rPr>
        <w:t>0.1321</w:t>
      </w:r>
      <w:r>
        <w:rPr>
          <w:rFonts w:ascii="宋体" w:hAnsi="宋体" w:cs="宋体" w:eastAsia="宋体" w:hint="default"/>
          <w:w w:val="101"/>
        </w:rPr>
        <w:t> </w:t>
      </w:r>
      <w:r>
        <w:rPr>
          <w:rFonts w:ascii="宋体" w:hAnsi="宋体" w:cs="宋体" w:eastAsia="宋体" w:hint="default"/>
        </w:rPr>
        <w:t>元，同比增长</w:t>
      </w:r>
      <w:r>
        <w:rPr>
          <w:rFonts w:ascii="宋体" w:hAnsi="宋体" w:cs="宋体" w:eastAsia="宋体" w:hint="default"/>
          <w:spacing w:val="44"/>
        </w:rPr>
        <w:t> </w:t>
      </w:r>
      <w:r>
        <w:rPr>
          <w:rFonts w:ascii="宋体" w:hAnsi="宋体" w:cs="宋体" w:eastAsia="宋体" w:hint="default"/>
        </w:rPr>
        <w:t>602.7%。</w:t>
      </w:r>
    </w:p>
    <w:p>
      <w:pPr>
        <w:pStyle w:val="BodyText"/>
        <w:spacing w:line="240" w:lineRule="auto" w:before="123"/>
        <w:ind w:left="377" w:right="95"/>
        <w:jc w:val="left"/>
        <w:rPr>
          <w:rFonts w:ascii="宋体" w:hAnsi="宋体" w:cs="宋体" w:eastAsia="宋体" w:hint="default"/>
          <w:sz w:val="10"/>
          <w:szCs w:val="10"/>
        </w:rPr>
      </w:pPr>
      <w:r>
        <w:rPr>
          <w:rFonts w:ascii="宋体"/>
          <w:color w:val="D7000F"/>
          <w:w w:val="110"/>
        </w:rPr>
        <w:t>5.EBITDA</w:t>
      </w:r>
      <w:r>
        <w:rPr>
          <w:rFonts w:ascii="宋体"/>
          <w:color w:val="D7000F"/>
          <w:w w:val="110"/>
          <w:position w:val="9"/>
          <w:sz w:val="10"/>
        </w:rPr>
        <w:t>1</w:t>
      </w:r>
      <w:r>
        <w:rPr>
          <w:rFonts w:ascii="宋体"/>
          <w:sz w:val="10"/>
        </w:rPr>
      </w:r>
    </w:p>
    <w:p>
      <w:pPr>
        <w:pStyle w:val="BodyText"/>
        <w:spacing w:line="285" w:lineRule="auto" w:before="158"/>
        <w:ind w:left="604" w:right="177"/>
        <w:jc w:val="left"/>
        <w:rPr>
          <w:rFonts w:ascii="宋体" w:hAnsi="宋体" w:cs="宋体" w:eastAsia="宋体" w:hint="default"/>
        </w:rPr>
      </w:pPr>
      <w:r>
        <w:rPr>
          <w:rFonts w:ascii="宋体" w:hAnsi="宋体" w:cs="宋体" w:eastAsia="宋体" w:hint="default"/>
          <w:w w:val="105"/>
        </w:rPr>
        <w:t>2018</w:t>
      </w:r>
      <w:r>
        <w:rPr>
          <w:rFonts w:ascii="宋体" w:hAnsi="宋体" w:cs="宋体" w:eastAsia="宋体" w:hint="default"/>
          <w:spacing w:val="-56"/>
          <w:w w:val="105"/>
        </w:rPr>
        <w:t> </w:t>
      </w:r>
      <w:r>
        <w:rPr>
          <w:rFonts w:ascii="宋体" w:hAnsi="宋体" w:cs="宋体" w:eastAsia="宋体" w:hint="default"/>
          <w:w w:val="105"/>
        </w:rPr>
        <w:t>年公司</w:t>
      </w:r>
      <w:r>
        <w:rPr>
          <w:rFonts w:ascii="宋体" w:hAnsi="宋体" w:cs="宋体" w:eastAsia="宋体" w:hint="default"/>
          <w:spacing w:val="-55"/>
          <w:w w:val="105"/>
        </w:rPr>
        <w:t> </w:t>
      </w:r>
      <w:r>
        <w:rPr>
          <w:rFonts w:ascii="宋体" w:hAnsi="宋体" w:cs="宋体" w:eastAsia="宋体" w:hint="default"/>
          <w:w w:val="105"/>
        </w:rPr>
        <w:t>EBITDA</w:t>
      </w:r>
      <w:r>
        <w:rPr>
          <w:rFonts w:ascii="宋体" w:hAnsi="宋体" w:cs="宋体" w:eastAsia="宋体" w:hint="default"/>
          <w:spacing w:val="-56"/>
          <w:w w:val="105"/>
        </w:rPr>
        <w:t> </w:t>
      </w:r>
      <w:r>
        <w:rPr>
          <w:rFonts w:ascii="宋体" w:hAnsi="宋体" w:cs="宋体" w:eastAsia="宋体" w:hint="default"/>
          <w:w w:val="105"/>
        </w:rPr>
        <w:t>为人民币</w:t>
      </w:r>
      <w:r>
        <w:rPr>
          <w:rFonts w:ascii="宋体" w:hAnsi="宋体" w:cs="宋体" w:eastAsia="宋体" w:hint="default"/>
          <w:spacing w:val="-55"/>
          <w:w w:val="105"/>
        </w:rPr>
        <w:t> </w:t>
      </w:r>
      <w:r>
        <w:rPr>
          <w:rFonts w:ascii="宋体" w:hAnsi="宋体" w:cs="宋体" w:eastAsia="宋体" w:hint="default"/>
          <w:w w:val="105"/>
        </w:rPr>
        <w:t>852.1</w:t>
      </w:r>
      <w:r>
        <w:rPr>
          <w:rFonts w:ascii="宋体" w:hAnsi="宋体" w:cs="宋体" w:eastAsia="宋体" w:hint="default"/>
          <w:spacing w:val="-56"/>
          <w:w w:val="105"/>
        </w:rPr>
        <w:t> </w:t>
      </w:r>
      <w:r>
        <w:rPr>
          <w:rFonts w:ascii="宋体" w:hAnsi="宋体" w:cs="宋体" w:eastAsia="宋体" w:hint="default"/>
          <w:w w:val="105"/>
        </w:rPr>
        <w:t>亿元，同比增长</w:t>
      </w:r>
      <w:r>
        <w:rPr>
          <w:rFonts w:ascii="宋体" w:hAnsi="宋体" w:cs="宋体" w:eastAsia="宋体" w:hint="default"/>
          <w:spacing w:val="-55"/>
          <w:w w:val="105"/>
        </w:rPr>
        <w:t> </w:t>
      </w:r>
      <w:r>
        <w:rPr>
          <w:rFonts w:ascii="宋体" w:hAnsi="宋体" w:cs="宋体" w:eastAsia="宋体" w:hint="default"/>
          <w:w w:val="105"/>
        </w:rPr>
        <w:t>4.3%，</w:t>
      </w:r>
      <w:r>
        <w:rPr>
          <w:rFonts w:ascii="宋体" w:hAnsi="宋体" w:cs="宋体" w:eastAsia="宋体" w:hint="default"/>
          <w:spacing w:val="-37"/>
          <w:w w:val="105"/>
        </w:rPr>
        <w:t> </w:t>
      </w:r>
      <w:r>
        <w:rPr>
          <w:rFonts w:ascii="宋体" w:hAnsi="宋体" w:cs="宋体" w:eastAsia="宋体" w:hint="default"/>
          <w:w w:val="105"/>
        </w:rPr>
        <w:t>EBITDA</w:t>
      </w:r>
      <w:r>
        <w:rPr>
          <w:rFonts w:ascii="宋体" w:hAnsi="宋体" w:cs="宋体" w:eastAsia="宋体" w:hint="default"/>
          <w:spacing w:val="-55"/>
          <w:w w:val="105"/>
        </w:rPr>
        <w:t> </w:t>
      </w:r>
      <w:r>
        <w:rPr>
          <w:rFonts w:ascii="宋体" w:hAnsi="宋体" w:cs="宋体" w:eastAsia="宋体" w:hint="default"/>
          <w:w w:val="105"/>
        </w:rPr>
        <w:t>占主营业务收入的百分比为</w:t>
      </w:r>
      <w:r>
        <w:rPr>
          <w:rFonts w:ascii="宋体" w:hAnsi="宋体" w:cs="宋体" w:eastAsia="宋体" w:hint="default"/>
          <w:spacing w:val="-55"/>
          <w:w w:val="105"/>
        </w:rPr>
        <w:t> </w:t>
      </w:r>
      <w:r>
        <w:rPr>
          <w:rFonts w:ascii="宋体" w:hAnsi="宋体" w:cs="宋体" w:eastAsia="宋体" w:hint="default"/>
          <w:w w:val="105"/>
        </w:rPr>
        <w:t>32.3%，同比下</w:t>
      </w:r>
      <w:r>
        <w:rPr>
          <w:rFonts w:ascii="宋体" w:hAnsi="宋体" w:cs="宋体" w:eastAsia="宋体" w:hint="default"/>
          <w:w w:val="106"/>
        </w:rPr>
        <w:t> </w:t>
      </w:r>
      <w:r>
        <w:rPr>
          <w:rFonts w:ascii="宋体" w:hAnsi="宋体" w:cs="宋体" w:eastAsia="宋体" w:hint="default"/>
        </w:rPr>
        <w:t>降</w:t>
      </w:r>
      <w:r>
        <w:rPr>
          <w:rFonts w:ascii="宋体" w:hAnsi="宋体" w:cs="宋体" w:eastAsia="宋体" w:hint="default"/>
          <w:spacing w:val="-56"/>
        </w:rPr>
        <w:t> </w:t>
      </w:r>
      <w:r>
        <w:rPr>
          <w:rFonts w:ascii="宋体" w:hAnsi="宋体" w:cs="宋体" w:eastAsia="宋体" w:hint="default"/>
        </w:rPr>
        <w:t>0.5</w:t>
      </w:r>
      <w:r>
        <w:rPr>
          <w:rFonts w:ascii="宋体" w:hAnsi="宋体" w:cs="宋体" w:eastAsia="宋体" w:hint="default"/>
          <w:spacing w:val="-57"/>
        </w:rPr>
        <w:t> </w:t>
      </w:r>
      <w:r>
        <w:rPr>
          <w:rFonts w:ascii="宋体" w:hAnsi="宋体" w:cs="宋体" w:eastAsia="宋体" w:hint="default"/>
        </w:rPr>
        <w:t>个百分点。</w:t>
      </w:r>
    </w:p>
    <w:p>
      <w:pPr>
        <w:pStyle w:val="BodyText"/>
        <w:spacing w:line="240" w:lineRule="auto" w:before="123"/>
        <w:ind w:left="359" w:right="7832"/>
        <w:jc w:val="center"/>
        <w:rPr>
          <w:rFonts w:ascii="宋体" w:hAnsi="宋体" w:cs="宋体" w:eastAsia="宋体" w:hint="default"/>
        </w:rPr>
      </w:pPr>
      <w:r>
        <w:rPr>
          <w:rFonts w:ascii="宋体" w:hAnsi="宋体" w:cs="宋体" w:eastAsia="宋体" w:hint="default"/>
          <w:color w:val="D7000F"/>
          <w:w w:val="95"/>
        </w:rPr>
        <w:t>6.</w:t>
      </w:r>
      <w:r>
        <w:rPr>
          <w:rFonts w:ascii="宋体" w:hAnsi="宋体" w:cs="宋体" w:eastAsia="宋体" w:hint="default"/>
          <w:color w:val="D7000F"/>
          <w:spacing w:val="10"/>
          <w:w w:val="95"/>
        </w:rPr>
        <w:t> </w:t>
      </w:r>
      <w:r>
        <w:rPr>
          <w:rFonts w:ascii="宋体" w:hAnsi="宋体" w:cs="宋体" w:eastAsia="宋体" w:hint="default"/>
          <w:color w:val="D7000F"/>
          <w:w w:val="95"/>
        </w:rPr>
        <w:t>资本开支及现金流</w:t>
      </w:r>
      <w:r>
        <w:rPr>
          <w:rFonts w:ascii="宋体" w:hAnsi="宋体" w:cs="宋体" w:eastAsia="宋体" w:hint="default"/>
          <w:w w:val="95"/>
        </w:rPr>
      </w:r>
    </w:p>
    <w:p>
      <w:pPr>
        <w:pStyle w:val="BodyText"/>
        <w:spacing w:line="240" w:lineRule="auto" w:before="157"/>
        <w:ind w:left="604" w:right="0"/>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7"/>
        </w:rPr>
        <w:t> </w:t>
      </w:r>
      <w:r>
        <w:rPr>
          <w:rFonts w:ascii="宋体" w:hAnsi="宋体" w:cs="宋体" w:eastAsia="宋体" w:hint="default"/>
        </w:rPr>
        <w:t>年公司各项资本开支合计人民币</w:t>
      </w:r>
      <w:r>
        <w:rPr>
          <w:rFonts w:ascii="宋体" w:hAnsi="宋体" w:cs="宋体" w:eastAsia="宋体" w:hint="default"/>
          <w:spacing w:val="-35"/>
        </w:rPr>
        <w:t> </w:t>
      </w:r>
      <w:r>
        <w:rPr>
          <w:rFonts w:ascii="宋体" w:hAnsi="宋体" w:cs="宋体" w:eastAsia="宋体" w:hint="default"/>
        </w:rPr>
        <w:t>448.7</w:t>
      </w:r>
      <w:r>
        <w:rPr>
          <w:rFonts w:ascii="宋体" w:hAnsi="宋体" w:cs="宋体" w:eastAsia="宋体" w:hint="default"/>
          <w:spacing w:val="-35"/>
        </w:rPr>
        <w:t> </w:t>
      </w:r>
      <w:r>
        <w:rPr>
          <w:rFonts w:ascii="宋体" w:hAnsi="宋体" w:cs="宋体" w:eastAsia="宋体" w:hint="default"/>
          <w:spacing w:val="-3"/>
        </w:rPr>
        <w:t>亿元，主要用于移动网络、宽带及数据、基础设施及传送网建设等方面。</w:t>
      </w:r>
    </w:p>
    <w:p>
      <w:pPr>
        <w:pStyle w:val="BodyText"/>
        <w:spacing w:line="240" w:lineRule="auto" w:before="44"/>
        <w:ind w:left="604" w:right="95"/>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9"/>
        </w:rPr>
        <w:t> </w:t>
      </w:r>
      <w:r>
        <w:rPr>
          <w:rFonts w:ascii="宋体" w:hAnsi="宋体" w:cs="宋体" w:eastAsia="宋体" w:hint="default"/>
        </w:rPr>
        <w:t>年公司经营活动现金流量净额为人民币</w:t>
      </w:r>
      <w:r>
        <w:rPr>
          <w:rFonts w:ascii="宋体" w:hAnsi="宋体" w:cs="宋体" w:eastAsia="宋体" w:hint="default"/>
          <w:spacing w:val="-38"/>
        </w:rPr>
        <w:t> </w:t>
      </w:r>
      <w:r>
        <w:rPr>
          <w:rFonts w:ascii="宋体" w:hAnsi="宋体" w:cs="宋体" w:eastAsia="宋体" w:hint="default"/>
        </w:rPr>
        <w:t>948.3</w:t>
      </w:r>
      <w:r>
        <w:rPr>
          <w:rFonts w:ascii="宋体" w:hAnsi="宋体" w:cs="宋体" w:eastAsia="宋体" w:hint="default"/>
          <w:spacing w:val="-39"/>
        </w:rPr>
        <w:t> </w:t>
      </w:r>
      <w:r>
        <w:rPr>
          <w:rFonts w:ascii="宋体" w:hAnsi="宋体" w:cs="宋体" w:eastAsia="宋体" w:hint="default"/>
        </w:rPr>
        <w:t>亿元，扣除本年资本开支后自由现金流为人民币</w:t>
      </w:r>
      <w:r>
        <w:rPr>
          <w:rFonts w:ascii="宋体" w:hAnsi="宋体" w:cs="宋体" w:eastAsia="宋体" w:hint="default"/>
          <w:spacing w:val="-38"/>
        </w:rPr>
        <w:t> </w:t>
      </w:r>
      <w:r>
        <w:rPr>
          <w:rFonts w:ascii="宋体" w:hAnsi="宋体" w:cs="宋体" w:eastAsia="宋体" w:hint="default"/>
        </w:rPr>
        <w:t>499.6</w:t>
      </w:r>
      <w:r>
        <w:rPr>
          <w:rFonts w:ascii="宋体" w:hAnsi="宋体" w:cs="宋体" w:eastAsia="宋体" w:hint="default"/>
          <w:spacing w:val="-39"/>
        </w:rPr>
        <w:t> </w:t>
      </w:r>
      <w:r>
        <w:rPr>
          <w:rFonts w:ascii="宋体" w:hAnsi="宋体" w:cs="宋体" w:eastAsia="宋体" w:hint="default"/>
        </w:rPr>
        <w:t>亿元。</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rPr>
        <w:t>下表列出了公司 2018</w:t>
      </w:r>
      <w:r>
        <w:rPr>
          <w:rFonts w:ascii="宋体" w:hAnsi="宋体" w:cs="宋体" w:eastAsia="宋体" w:hint="default"/>
          <w:spacing w:val="-52"/>
        </w:rPr>
        <w:t> </w:t>
      </w:r>
      <w:r>
        <w:rPr>
          <w:rFonts w:ascii="宋体" w:hAnsi="宋体" w:cs="宋体" w:eastAsia="宋体" w:hint="default"/>
        </w:rPr>
        <w:t>年主要资本开支项目情况。</w:t>
      </w:r>
    </w:p>
    <w:p>
      <w:pPr>
        <w:spacing w:before="133"/>
        <w:ind w:left="0" w:right="273" w:firstLine="0"/>
        <w:jc w:val="right"/>
        <w:rPr>
          <w:rFonts w:ascii="宋体" w:hAnsi="宋体" w:cs="宋体" w:eastAsia="宋体" w:hint="default"/>
          <w:sz w:val="12"/>
          <w:szCs w:val="12"/>
        </w:rPr>
      </w:pPr>
      <w:r>
        <w:rPr>
          <w:rFonts w:ascii="宋体" w:hAnsi="宋体" w:cs="宋体" w:eastAsia="宋体" w:hint="default"/>
          <w:sz w:val="12"/>
          <w:szCs w:val="12"/>
        </w:rPr>
        <w:t>（单位：人民币亿元）</w:t>
      </w:r>
    </w:p>
    <w:p>
      <w:pPr>
        <w:spacing w:before="64"/>
        <w:ind w:left="0" w:right="1384" w:firstLine="0"/>
        <w:jc w:val="right"/>
        <w:rPr>
          <w:rFonts w:ascii="宋体" w:hAnsi="宋体" w:cs="宋体" w:eastAsia="宋体" w:hint="default"/>
          <w:sz w:val="16"/>
          <w:szCs w:val="16"/>
        </w:rPr>
      </w:pPr>
      <w:r>
        <w:rPr>
          <w:rFonts w:ascii="宋体" w:hAnsi="宋体" w:cs="宋体" w:eastAsia="宋体" w:hint="default"/>
          <w:color w:val="D7000F"/>
          <w:w w:val="110"/>
          <w:sz w:val="16"/>
          <w:szCs w:val="16"/>
        </w:rPr>
        <w:t>2018</w:t>
      </w:r>
      <w:r>
        <w:rPr>
          <w:rFonts w:ascii="宋体" w:hAnsi="宋体" w:cs="宋体" w:eastAsia="宋体" w:hint="default"/>
          <w:color w:val="D7000F"/>
          <w:spacing w:val="-62"/>
          <w:w w:val="110"/>
          <w:sz w:val="16"/>
          <w:szCs w:val="16"/>
        </w:rPr>
        <w:t> </w:t>
      </w:r>
      <w:r>
        <w:rPr>
          <w:rFonts w:ascii="宋体" w:hAnsi="宋体" w:cs="宋体" w:eastAsia="宋体" w:hint="default"/>
          <w:color w:val="D7000F"/>
          <w:w w:val="110"/>
          <w:sz w:val="16"/>
          <w:szCs w:val="16"/>
        </w:rPr>
        <w:t>年</w:t>
      </w:r>
      <w:r>
        <w:rPr>
          <w:rFonts w:ascii="宋体" w:hAnsi="宋体" w:cs="宋体" w:eastAsia="宋体" w:hint="default"/>
          <w:w w:val="110"/>
          <w:sz w:val="16"/>
          <w:szCs w:val="16"/>
        </w:rPr>
      </w:r>
    </w:p>
    <w:p>
      <w:pPr>
        <w:spacing w:line="240" w:lineRule="auto" w:before="10"/>
        <w:rPr>
          <w:rFonts w:ascii="宋体" w:hAnsi="宋体" w:cs="宋体" w:eastAsia="宋体" w:hint="default"/>
          <w:sz w:val="3"/>
          <w:szCs w:val="3"/>
        </w:rPr>
      </w:pPr>
    </w:p>
    <w:tbl>
      <w:tblPr>
        <w:tblW w:w="0" w:type="auto"/>
        <w:jc w:val="left"/>
        <w:tblInd w:w="604" w:type="dxa"/>
        <w:tblLayout w:type="fixed"/>
        <w:tblCellMar>
          <w:top w:w="0" w:type="dxa"/>
          <w:left w:w="0" w:type="dxa"/>
          <w:bottom w:w="0" w:type="dxa"/>
          <w:right w:w="0" w:type="dxa"/>
        </w:tblCellMar>
        <w:tblLook w:val="01E0"/>
      </w:tblPr>
      <w:tblGrid>
        <w:gridCol w:w="4359"/>
        <w:gridCol w:w="3610"/>
        <w:gridCol w:w="1102"/>
      </w:tblGrid>
      <w:tr>
        <w:trPr>
          <w:trHeight w:val="337" w:hRule="exact"/>
        </w:trPr>
        <w:tc>
          <w:tcPr>
            <w:tcW w:w="4359" w:type="dxa"/>
            <w:tcBorders>
              <w:top w:val="nil" w:sz="6" w:space="0" w:color="auto"/>
              <w:left w:val="nil" w:sz="6" w:space="0" w:color="auto"/>
              <w:bottom w:val="single" w:sz="16" w:space="0" w:color="9C8758"/>
              <w:right w:val="nil" w:sz="6" w:space="0" w:color="auto"/>
            </w:tcBorders>
            <w:shd w:val="clear" w:color="auto" w:fill="FFFFFF"/>
          </w:tcPr>
          <w:p>
            <w:pPr/>
          </w:p>
        </w:tc>
        <w:tc>
          <w:tcPr>
            <w:tcW w:w="3610"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14"/>
              <w:ind w:right="455"/>
              <w:jc w:val="right"/>
              <w:rPr>
                <w:rFonts w:ascii="宋体" w:hAnsi="宋体" w:cs="宋体" w:eastAsia="宋体" w:hint="default"/>
                <w:sz w:val="16"/>
                <w:szCs w:val="16"/>
              </w:rPr>
            </w:pPr>
            <w:r>
              <w:rPr>
                <w:rFonts w:ascii="宋体" w:hAnsi="宋体" w:cs="宋体" w:eastAsia="宋体" w:hint="default"/>
                <w:color w:val="D7000F"/>
                <w:sz w:val="16"/>
                <w:szCs w:val="16"/>
              </w:rPr>
              <w:t>累计支出</w:t>
            </w:r>
            <w:r>
              <w:rPr>
                <w:rFonts w:ascii="宋体" w:hAnsi="宋体" w:cs="宋体" w:eastAsia="宋体" w:hint="default"/>
                <w:sz w:val="16"/>
                <w:szCs w:val="16"/>
              </w:rPr>
            </w:r>
          </w:p>
        </w:tc>
        <w:tc>
          <w:tcPr>
            <w:tcW w:w="1102"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14"/>
              <w:ind w:right="82"/>
              <w:jc w:val="right"/>
              <w:rPr>
                <w:rFonts w:ascii="宋体" w:hAnsi="宋体" w:cs="宋体" w:eastAsia="宋体" w:hint="default"/>
                <w:sz w:val="16"/>
                <w:szCs w:val="16"/>
              </w:rPr>
            </w:pPr>
            <w:r>
              <w:rPr>
                <w:rFonts w:ascii="宋体" w:hAnsi="宋体" w:cs="宋体" w:eastAsia="宋体" w:hint="default"/>
                <w:color w:val="D7000F"/>
                <w:sz w:val="16"/>
                <w:szCs w:val="16"/>
              </w:rPr>
              <w:t>占比</w:t>
            </w:r>
            <w:r>
              <w:rPr>
                <w:rFonts w:ascii="宋体" w:hAnsi="宋体" w:cs="宋体" w:eastAsia="宋体" w:hint="default"/>
                <w:sz w:val="16"/>
                <w:szCs w:val="16"/>
              </w:rPr>
            </w:r>
          </w:p>
        </w:tc>
      </w:tr>
      <w:tr>
        <w:trPr>
          <w:trHeight w:val="366" w:hRule="exact"/>
        </w:trPr>
        <w:tc>
          <w:tcPr>
            <w:tcW w:w="4359"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8"/>
              <w:ind w:left="85"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610"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8"/>
              <w:ind w:right="455"/>
              <w:jc w:val="right"/>
              <w:rPr>
                <w:rFonts w:ascii="宋体" w:hAnsi="宋体" w:cs="宋体" w:eastAsia="宋体" w:hint="default"/>
                <w:sz w:val="16"/>
                <w:szCs w:val="16"/>
              </w:rPr>
            </w:pPr>
            <w:r>
              <w:rPr>
                <w:rFonts w:ascii="宋体"/>
                <w:color w:val="D7000F"/>
                <w:w w:val="95"/>
                <w:sz w:val="16"/>
              </w:rPr>
              <w:t>448.7</w:t>
            </w:r>
            <w:r>
              <w:rPr>
                <w:rFonts w:ascii="宋体"/>
                <w:sz w:val="16"/>
              </w:rPr>
            </w:r>
          </w:p>
        </w:tc>
        <w:tc>
          <w:tcPr>
            <w:tcW w:w="1102"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8"/>
              <w:ind w:right="82"/>
              <w:jc w:val="right"/>
              <w:rPr>
                <w:rFonts w:ascii="宋体" w:hAnsi="宋体" w:cs="宋体" w:eastAsia="宋体" w:hint="default"/>
                <w:sz w:val="16"/>
                <w:szCs w:val="16"/>
              </w:rPr>
            </w:pPr>
            <w:r>
              <w:rPr>
                <w:rFonts w:ascii="宋体"/>
                <w:color w:val="D7000F"/>
                <w:w w:val="115"/>
                <w:sz w:val="16"/>
              </w:rPr>
              <w:t>100.0%</w:t>
            </w:r>
            <w:r>
              <w:rPr>
                <w:rFonts w:ascii="宋体"/>
                <w:sz w:val="16"/>
              </w:rPr>
            </w:r>
          </w:p>
        </w:tc>
      </w:tr>
      <w:tr>
        <w:trPr>
          <w:trHeight w:val="273" w:hRule="exact"/>
        </w:trPr>
        <w:tc>
          <w:tcPr>
            <w:tcW w:w="435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其中：移动网络</w:t>
            </w:r>
          </w:p>
        </w:tc>
        <w:tc>
          <w:tcPr>
            <w:tcW w:w="361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455"/>
              <w:jc w:val="right"/>
              <w:rPr>
                <w:rFonts w:ascii="宋体" w:hAnsi="宋体" w:cs="宋体" w:eastAsia="宋体" w:hint="default"/>
                <w:sz w:val="16"/>
                <w:szCs w:val="16"/>
              </w:rPr>
            </w:pPr>
            <w:r>
              <w:rPr>
                <w:rFonts w:ascii="宋体"/>
                <w:color w:val="D7000F"/>
                <w:w w:val="95"/>
                <w:sz w:val="16"/>
              </w:rPr>
              <w:t>187.3</w:t>
            </w:r>
            <w:r>
              <w:rPr>
                <w:rFonts w:ascii="宋体"/>
                <w:sz w:val="16"/>
              </w:rPr>
            </w:r>
          </w:p>
        </w:tc>
        <w:tc>
          <w:tcPr>
            <w:tcW w:w="110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83"/>
              <w:jc w:val="right"/>
              <w:rPr>
                <w:rFonts w:ascii="宋体" w:hAnsi="宋体" w:cs="宋体" w:eastAsia="宋体" w:hint="default"/>
                <w:sz w:val="16"/>
                <w:szCs w:val="16"/>
              </w:rPr>
            </w:pPr>
            <w:r>
              <w:rPr>
                <w:rFonts w:ascii="宋体"/>
                <w:color w:val="D7000F"/>
                <w:w w:val="115"/>
                <w:sz w:val="16"/>
              </w:rPr>
              <w:t>41.7%</w:t>
            </w:r>
            <w:r>
              <w:rPr>
                <w:rFonts w:ascii="宋体"/>
                <w:sz w:val="16"/>
              </w:rPr>
            </w:r>
          </w:p>
        </w:tc>
      </w:tr>
      <w:tr>
        <w:trPr>
          <w:trHeight w:val="273" w:hRule="exact"/>
        </w:trPr>
        <w:tc>
          <w:tcPr>
            <w:tcW w:w="435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宽带及数据</w:t>
            </w:r>
          </w:p>
        </w:tc>
        <w:tc>
          <w:tcPr>
            <w:tcW w:w="361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455"/>
              <w:jc w:val="right"/>
              <w:rPr>
                <w:rFonts w:ascii="宋体" w:hAnsi="宋体" w:cs="宋体" w:eastAsia="宋体" w:hint="default"/>
                <w:sz w:val="16"/>
                <w:szCs w:val="16"/>
              </w:rPr>
            </w:pPr>
            <w:r>
              <w:rPr>
                <w:rFonts w:ascii="宋体"/>
                <w:color w:val="D7000F"/>
                <w:w w:val="95"/>
                <w:sz w:val="16"/>
              </w:rPr>
              <w:t>91.6</w:t>
            </w:r>
            <w:r>
              <w:rPr>
                <w:rFonts w:ascii="宋体"/>
                <w:sz w:val="16"/>
              </w:rPr>
            </w:r>
          </w:p>
        </w:tc>
        <w:tc>
          <w:tcPr>
            <w:tcW w:w="110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83"/>
              <w:jc w:val="right"/>
              <w:rPr>
                <w:rFonts w:ascii="宋体" w:hAnsi="宋体" w:cs="宋体" w:eastAsia="宋体" w:hint="default"/>
                <w:sz w:val="16"/>
                <w:szCs w:val="16"/>
              </w:rPr>
            </w:pPr>
            <w:r>
              <w:rPr>
                <w:rFonts w:ascii="宋体"/>
                <w:color w:val="D7000F"/>
                <w:w w:val="115"/>
                <w:sz w:val="16"/>
              </w:rPr>
              <w:t>20.4%</w:t>
            </w:r>
            <w:r>
              <w:rPr>
                <w:rFonts w:ascii="宋体"/>
                <w:sz w:val="16"/>
              </w:rPr>
            </w:r>
          </w:p>
        </w:tc>
      </w:tr>
      <w:tr>
        <w:trPr>
          <w:trHeight w:val="273" w:hRule="exact"/>
        </w:trPr>
        <w:tc>
          <w:tcPr>
            <w:tcW w:w="435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基础设施及传送网</w:t>
            </w:r>
          </w:p>
        </w:tc>
        <w:tc>
          <w:tcPr>
            <w:tcW w:w="361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455"/>
              <w:jc w:val="right"/>
              <w:rPr>
                <w:rFonts w:ascii="宋体" w:hAnsi="宋体" w:cs="宋体" w:eastAsia="宋体" w:hint="default"/>
                <w:sz w:val="16"/>
                <w:szCs w:val="16"/>
              </w:rPr>
            </w:pPr>
            <w:r>
              <w:rPr>
                <w:rFonts w:ascii="宋体"/>
                <w:color w:val="D7000F"/>
                <w:w w:val="95"/>
                <w:sz w:val="16"/>
              </w:rPr>
              <w:t>103.2</w:t>
            </w:r>
            <w:r>
              <w:rPr>
                <w:rFonts w:ascii="宋体"/>
                <w:sz w:val="16"/>
              </w:rPr>
            </w:r>
          </w:p>
        </w:tc>
        <w:tc>
          <w:tcPr>
            <w:tcW w:w="110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83"/>
              <w:jc w:val="right"/>
              <w:rPr>
                <w:rFonts w:ascii="宋体" w:hAnsi="宋体" w:cs="宋体" w:eastAsia="宋体" w:hint="default"/>
                <w:sz w:val="16"/>
                <w:szCs w:val="16"/>
              </w:rPr>
            </w:pPr>
            <w:r>
              <w:rPr>
                <w:rFonts w:ascii="宋体"/>
                <w:color w:val="D7000F"/>
                <w:w w:val="115"/>
                <w:sz w:val="16"/>
              </w:rPr>
              <w:t>23.0%</w:t>
            </w:r>
            <w:r>
              <w:rPr>
                <w:rFonts w:ascii="宋体"/>
                <w:sz w:val="16"/>
              </w:rPr>
            </w:r>
          </w:p>
        </w:tc>
      </w:tr>
      <w:tr>
        <w:trPr>
          <w:trHeight w:val="317" w:hRule="exact"/>
        </w:trPr>
        <w:tc>
          <w:tcPr>
            <w:tcW w:w="435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566"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361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455"/>
              <w:jc w:val="right"/>
              <w:rPr>
                <w:rFonts w:ascii="宋体" w:hAnsi="宋体" w:cs="宋体" w:eastAsia="宋体" w:hint="default"/>
                <w:sz w:val="16"/>
                <w:szCs w:val="16"/>
              </w:rPr>
            </w:pPr>
            <w:r>
              <w:rPr>
                <w:rFonts w:ascii="宋体"/>
                <w:color w:val="D7000F"/>
                <w:w w:val="95"/>
                <w:sz w:val="16"/>
              </w:rPr>
              <w:t>66.6</w:t>
            </w:r>
            <w:r>
              <w:rPr>
                <w:rFonts w:ascii="宋体"/>
                <w:sz w:val="16"/>
              </w:rPr>
            </w:r>
          </w:p>
        </w:tc>
        <w:tc>
          <w:tcPr>
            <w:tcW w:w="110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83"/>
              <w:jc w:val="right"/>
              <w:rPr>
                <w:rFonts w:ascii="宋体" w:hAnsi="宋体" w:cs="宋体" w:eastAsia="宋体" w:hint="default"/>
                <w:sz w:val="16"/>
                <w:szCs w:val="16"/>
              </w:rPr>
            </w:pPr>
            <w:r>
              <w:rPr>
                <w:rFonts w:ascii="宋体"/>
                <w:color w:val="D7000F"/>
                <w:w w:val="115"/>
                <w:sz w:val="16"/>
              </w:rPr>
              <w:t>14.9%</w:t>
            </w:r>
            <w:r>
              <w:rPr>
                <w:rFonts w:ascii="宋体"/>
                <w:sz w:val="16"/>
              </w:rPr>
            </w:r>
          </w:p>
        </w:tc>
      </w:tr>
    </w:tbl>
    <w:p>
      <w:pPr>
        <w:spacing w:line="240" w:lineRule="auto" w:before="10"/>
        <w:rPr>
          <w:rFonts w:ascii="宋体" w:hAnsi="宋体" w:cs="宋体" w:eastAsia="宋体" w:hint="default"/>
          <w:sz w:val="12"/>
          <w:szCs w:val="12"/>
        </w:rPr>
      </w:pPr>
    </w:p>
    <w:p>
      <w:pPr>
        <w:pStyle w:val="BodyText"/>
        <w:spacing w:line="240" w:lineRule="auto" w:before="31"/>
        <w:ind w:left="377" w:right="95"/>
        <w:jc w:val="left"/>
        <w:rPr>
          <w:rFonts w:ascii="宋体" w:hAnsi="宋体" w:cs="宋体" w:eastAsia="宋体" w:hint="default"/>
        </w:rPr>
      </w:pPr>
      <w:r>
        <w:rPr>
          <w:rFonts w:ascii="宋体" w:hAnsi="宋体" w:cs="宋体" w:eastAsia="宋体" w:hint="default"/>
          <w:color w:val="D7000F"/>
          <w:w w:val="95"/>
        </w:rPr>
        <w:t>7.</w:t>
      </w:r>
      <w:r>
        <w:rPr>
          <w:rFonts w:ascii="宋体" w:hAnsi="宋体" w:cs="宋体" w:eastAsia="宋体" w:hint="default"/>
          <w:color w:val="D7000F"/>
          <w:spacing w:val="-8"/>
          <w:w w:val="95"/>
        </w:rPr>
        <w:t> </w:t>
      </w:r>
      <w:r>
        <w:rPr>
          <w:rFonts w:ascii="宋体" w:hAnsi="宋体" w:cs="宋体" w:eastAsia="宋体" w:hint="default"/>
          <w:color w:val="D7000F"/>
          <w:w w:val="95"/>
        </w:rPr>
        <w:t>资产负债情况</w:t>
      </w:r>
      <w:r>
        <w:rPr>
          <w:rFonts w:ascii="宋体" w:hAnsi="宋体" w:cs="宋体" w:eastAsia="宋体" w:hint="default"/>
          <w:w w:val="95"/>
        </w:rPr>
      </w:r>
    </w:p>
    <w:p>
      <w:pPr>
        <w:pStyle w:val="BodyText"/>
        <w:spacing w:line="240" w:lineRule="auto" w:before="157"/>
        <w:ind w:left="604" w:right="0"/>
        <w:jc w:val="both"/>
        <w:rPr>
          <w:rFonts w:ascii="宋体" w:hAnsi="宋体" w:cs="宋体" w:eastAsia="宋体" w:hint="default"/>
        </w:rPr>
      </w:pPr>
      <w:r>
        <w:rPr>
          <w:rFonts w:ascii="宋体" w:hAnsi="宋体" w:cs="宋体" w:eastAsia="宋体" w:hint="default"/>
        </w:rPr>
        <w:t>截至</w:t>
      </w:r>
      <w:r>
        <w:rPr>
          <w:rFonts w:ascii="宋体" w:hAnsi="宋体" w:cs="宋体" w:eastAsia="宋体" w:hint="default"/>
          <w:spacing w:val="-45"/>
        </w:rPr>
        <w:t> </w:t>
      </w: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6"/>
        </w:rPr>
        <w:t> </w:t>
      </w:r>
      <w:r>
        <w:rPr>
          <w:rFonts w:ascii="宋体" w:hAnsi="宋体" w:cs="宋体" w:eastAsia="宋体" w:hint="default"/>
        </w:rPr>
        <w:t>年底，公司资产总额由上年底的人民币</w:t>
      </w:r>
      <w:r>
        <w:rPr>
          <w:rFonts w:ascii="宋体" w:hAnsi="宋体" w:cs="宋体" w:eastAsia="宋体" w:hint="default"/>
          <w:spacing w:val="-45"/>
        </w:rPr>
        <w:t> </w:t>
      </w:r>
      <w:r>
        <w:rPr>
          <w:rFonts w:ascii="宋体" w:hAnsi="宋体" w:cs="宋体" w:eastAsia="宋体" w:hint="default"/>
          <w:spacing w:val="-1"/>
          <w:w w:val="111"/>
        </w:rPr>
        <w:t>5</w:t>
      </w:r>
      <w:r>
        <w:rPr>
          <w:rFonts w:ascii="宋体" w:hAnsi="宋体" w:cs="宋体" w:eastAsia="宋体" w:hint="default"/>
          <w:w w:val="55"/>
        </w:rPr>
        <w:t>,</w:t>
      </w:r>
      <w:r>
        <w:rPr>
          <w:rFonts w:ascii="宋体" w:hAnsi="宋体" w:cs="宋体" w:eastAsia="宋体" w:hint="default"/>
          <w:spacing w:val="-1"/>
          <w:w w:val="111"/>
        </w:rPr>
        <w:t>736</w:t>
      </w:r>
      <w:r>
        <w:rPr>
          <w:rFonts w:ascii="宋体" w:hAnsi="宋体" w:cs="宋体" w:eastAsia="宋体" w:hint="default"/>
          <w:w w:val="55"/>
        </w:rPr>
        <w:t>.</w:t>
      </w:r>
      <w:r>
        <w:rPr>
          <w:rFonts w:ascii="宋体" w:hAnsi="宋体" w:cs="宋体" w:eastAsia="宋体" w:hint="default"/>
          <w:w w:val="111"/>
        </w:rPr>
        <w:t>2</w:t>
      </w:r>
      <w:r>
        <w:rPr>
          <w:rFonts w:ascii="宋体" w:hAnsi="宋体" w:cs="宋体" w:eastAsia="宋体" w:hint="default"/>
          <w:spacing w:val="-46"/>
        </w:rPr>
        <w:t> </w:t>
      </w:r>
      <w:r>
        <w:rPr>
          <w:rFonts w:ascii="宋体" w:hAnsi="宋体" w:cs="宋体" w:eastAsia="宋体" w:hint="default"/>
        </w:rPr>
        <w:t>亿元变化至人民币</w:t>
      </w:r>
      <w:r>
        <w:rPr>
          <w:rFonts w:ascii="宋体" w:hAnsi="宋体" w:cs="宋体" w:eastAsia="宋体" w:hint="default"/>
          <w:spacing w:val="-45"/>
        </w:rPr>
        <w:t> </w:t>
      </w:r>
      <w:r>
        <w:rPr>
          <w:rFonts w:ascii="宋体" w:hAnsi="宋体" w:cs="宋体" w:eastAsia="宋体" w:hint="default"/>
          <w:spacing w:val="-1"/>
          <w:w w:val="111"/>
        </w:rPr>
        <w:t>5</w:t>
      </w:r>
      <w:r>
        <w:rPr>
          <w:rFonts w:ascii="宋体" w:hAnsi="宋体" w:cs="宋体" w:eastAsia="宋体" w:hint="default"/>
          <w:w w:val="55"/>
        </w:rPr>
        <w:t>,</w:t>
      </w:r>
      <w:r>
        <w:rPr>
          <w:rFonts w:ascii="宋体" w:hAnsi="宋体" w:cs="宋体" w:eastAsia="宋体" w:hint="default"/>
          <w:spacing w:val="-1"/>
          <w:w w:val="111"/>
        </w:rPr>
        <w:t>417</w:t>
      </w:r>
      <w:r>
        <w:rPr>
          <w:rFonts w:ascii="宋体" w:hAnsi="宋体" w:cs="宋体" w:eastAsia="宋体" w:hint="default"/>
          <w:w w:val="55"/>
        </w:rPr>
        <w:t>.</w:t>
      </w:r>
      <w:r>
        <w:rPr>
          <w:rFonts w:ascii="宋体" w:hAnsi="宋体" w:cs="宋体" w:eastAsia="宋体" w:hint="default"/>
          <w:w w:val="111"/>
        </w:rPr>
        <w:t>6</w:t>
      </w:r>
      <w:r>
        <w:rPr>
          <w:rFonts w:ascii="宋体" w:hAnsi="宋体" w:cs="宋体" w:eastAsia="宋体" w:hint="default"/>
          <w:spacing w:val="-46"/>
        </w:rPr>
        <w:t> </w:t>
      </w:r>
      <w:r>
        <w:rPr>
          <w:rFonts w:ascii="宋体" w:hAnsi="宋体" w:cs="宋体" w:eastAsia="宋体" w:hint="default"/>
        </w:rPr>
        <w:t>亿元，负债总额由上年底的人</w:t>
      </w:r>
    </w:p>
    <w:p>
      <w:pPr>
        <w:pStyle w:val="BodyText"/>
        <w:spacing w:line="240" w:lineRule="auto" w:before="44"/>
        <w:ind w:left="604" w:right="0"/>
        <w:jc w:val="both"/>
        <w:rPr>
          <w:rFonts w:ascii="宋体" w:hAnsi="宋体" w:cs="宋体" w:eastAsia="宋体" w:hint="default"/>
        </w:rPr>
      </w:pPr>
      <w:r>
        <w:rPr>
          <w:rFonts w:ascii="宋体" w:hAnsi="宋体" w:cs="宋体" w:eastAsia="宋体" w:hint="default"/>
        </w:rPr>
        <w:t>民币</w:t>
      </w:r>
      <w:r>
        <w:rPr>
          <w:rFonts w:ascii="宋体" w:hAnsi="宋体" w:cs="宋体" w:eastAsia="宋体" w:hint="default"/>
          <w:spacing w:val="-31"/>
        </w:rPr>
        <w:t> </w:t>
      </w:r>
      <w:r>
        <w:rPr>
          <w:rFonts w:ascii="宋体" w:hAnsi="宋体" w:cs="宋体" w:eastAsia="宋体" w:hint="default"/>
        </w:rPr>
        <w:t>2,666.0</w:t>
      </w:r>
      <w:r>
        <w:rPr>
          <w:rFonts w:ascii="宋体" w:hAnsi="宋体" w:cs="宋体" w:eastAsia="宋体" w:hint="default"/>
          <w:spacing w:val="-33"/>
        </w:rPr>
        <w:t> </w:t>
      </w:r>
      <w:r>
        <w:rPr>
          <w:rFonts w:ascii="宋体" w:hAnsi="宋体" w:cs="宋体" w:eastAsia="宋体" w:hint="default"/>
        </w:rPr>
        <w:t>亿元变化至人民币</w:t>
      </w:r>
      <w:r>
        <w:rPr>
          <w:rFonts w:ascii="宋体" w:hAnsi="宋体" w:cs="宋体" w:eastAsia="宋体" w:hint="default"/>
          <w:spacing w:val="-31"/>
        </w:rPr>
        <w:t> </w:t>
      </w:r>
      <w:r>
        <w:rPr>
          <w:rFonts w:ascii="宋体" w:hAnsi="宋体" w:cs="宋体" w:eastAsia="宋体" w:hint="default"/>
        </w:rPr>
        <w:t>2,248.2</w:t>
      </w:r>
      <w:r>
        <w:rPr>
          <w:rFonts w:ascii="宋体" w:hAnsi="宋体" w:cs="宋体" w:eastAsia="宋体" w:hint="default"/>
          <w:spacing w:val="-33"/>
        </w:rPr>
        <w:t> </w:t>
      </w:r>
      <w:r>
        <w:rPr>
          <w:rFonts w:ascii="宋体" w:hAnsi="宋体" w:cs="宋体" w:eastAsia="宋体" w:hint="default"/>
        </w:rPr>
        <w:t>亿元，资产负债率由上年底的</w:t>
      </w:r>
      <w:r>
        <w:rPr>
          <w:rFonts w:ascii="宋体" w:hAnsi="宋体" w:cs="宋体" w:eastAsia="宋体" w:hint="default"/>
          <w:spacing w:val="-31"/>
        </w:rPr>
        <w:t> </w:t>
      </w:r>
      <w:r>
        <w:rPr>
          <w:rFonts w:ascii="宋体" w:hAnsi="宋体" w:cs="宋体" w:eastAsia="宋体" w:hint="default"/>
        </w:rPr>
        <w:t>46.5%</w:t>
      </w:r>
      <w:r>
        <w:rPr>
          <w:rFonts w:ascii="宋体" w:hAnsi="宋体" w:cs="宋体" w:eastAsia="宋体" w:hint="default"/>
          <w:spacing w:val="-33"/>
        </w:rPr>
        <w:t> </w:t>
      </w:r>
      <w:r>
        <w:rPr>
          <w:rFonts w:ascii="宋体" w:hAnsi="宋体" w:cs="宋体" w:eastAsia="宋体" w:hint="default"/>
        </w:rPr>
        <w:t>下降至</w:t>
      </w:r>
      <w:r>
        <w:rPr>
          <w:rFonts w:ascii="宋体" w:hAnsi="宋体" w:cs="宋体" w:eastAsia="宋体" w:hint="default"/>
          <w:spacing w:val="-31"/>
        </w:rPr>
        <w:t> </w:t>
      </w:r>
      <w:r>
        <w:rPr>
          <w:rFonts w:ascii="宋体" w:hAnsi="宋体" w:cs="宋体" w:eastAsia="宋体" w:hint="default"/>
        </w:rPr>
        <w:t>41.5%。</w:t>
      </w:r>
    </w:p>
    <w:p>
      <w:pPr>
        <w:spacing w:line="240" w:lineRule="auto" w:before="7"/>
        <w:rPr>
          <w:rFonts w:ascii="宋体" w:hAnsi="宋体" w:cs="宋体" w:eastAsia="宋体" w:hint="default"/>
          <w:sz w:val="12"/>
          <w:szCs w:val="12"/>
        </w:rPr>
      </w:pPr>
    </w:p>
    <w:p>
      <w:pPr>
        <w:spacing w:line="321" w:lineRule="auto" w:before="0"/>
        <w:ind w:left="588" w:right="204" w:firstLine="0"/>
        <w:jc w:val="both"/>
        <w:rPr>
          <w:rFonts w:ascii="宋体" w:hAnsi="宋体" w:cs="宋体" w:eastAsia="宋体" w:hint="default"/>
          <w:sz w:val="16"/>
          <w:szCs w:val="16"/>
        </w:rPr>
      </w:pPr>
      <w:r>
        <w:rPr>
          <w:rFonts w:ascii="宋体" w:hAnsi="宋体" w:cs="宋体" w:eastAsia="宋体" w:hint="default"/>
          <w:sz w:val="16"/>
          <w:szCs w:val="16"/>
        </w:rPr>
        <w:t>附注</w:t>
      </w:r>
      <w:r>
        <w:rPr>
          <w:rFonts w:ascii="宋体" w:hAnsi="宋体" w:cs="宋体" w:eastAsia="宋体" w:hint="default"/>
          <w:spacing w:val="-30"/>
          <w:sz w:val="16"/>
          <w:szCs w:val="16"/>
        </w:rPr>
        <w:t> </w:t>
      </w:r>
      <w:r>
        <w:rPr>
          <w:rFonts w:ascii="宋体" w:hAnsi="宋体" w:cs="宋体" w:eastAsia="宋体" w:hint="default"/>
          <w:spacing w:val="-1"/>
          <w:w w:val="83"/>
          <w:sz w:val="16"/>
          <w:szCs w:val="16"/>
        </w:rPr>
        <w:t>1.</w:t>
      </w:r>
      <w:r>
        <w:rPr>
          <w:rFonts w:ascii="宋体" w:hAnsi="宋体" w:cs="宋体" w:eastAsia="宋体" w:hint="default"/>
          <w:spacing w:val="8"/>
          <w:w w:val="83"/>
          <w:sz w:val="16"/>
          <w:szCs w:val="16"/>
        </w:rPr>
        <w:t> </w:t>
      </w:r>
      <w:r>
        <w:rPr>
          <w:rFonts w:ascii="宋体" w:hAnsi="宋体" w:cs="宋体" w:eastAsia="宋体" w:hint="default"/>
          <w:spacing w:val="-1"/>
          <w:w w:val="116"/>
          <w:sz w:val="16"/>
          <w:szCs w:val="16"/>
        </w:rPr>
        <w:t>EBITDA</w:t>
      </w:r>
      <w:r>
        <w:rPr>
          <w:rFonts w:ascii="宋体" w:hAnsi="宋体" w:cs="宋体" w:eastAsia="宋体" w:hint="default"/>
          <w:spacing w:val="-43"/>
          <w:w w:val="116"/>
          <w:sz w:val="16"/>
          <w:szCs w:val="16"/>
        </w:rPr>
        <w:t> </w:t>
      </w:r>
      <w:r>
        <w:rPr>
          <w:rFonts w:ascii="宋体" w:hAnsi="宋体" w:cs="宋体" w:eastAsia="宋体" w:hint="default"/>
          <w:sz w:val="16"/>
          <w:szCs w:val="16"/>
        </w:rPr>
        <w:t>反映了加回财务费用、所得税、营业成本及管理费用中的折旧及摊销以及减去投资收益、公允价值变动净收益、</w:t>
      </w:r>
      <w:r>
        <w:rPr>
          <w:rFonts w:ascii="宋体" w:hAnsi="宋体" w:cs="宋体" w:eastAsia="宋体" w:hint="default"/>
          <w:spacing w:val="-68"/>
          <w:sz w:val="16"/>
          <w:szCs w:val="16"/>
        </w:rPr>
        <w:t> </w:t>
      </w:r>
      <w:r>
        <w:rPr>
          <w:rFonts w:ascii="宋体" w:hAnsi="宋体" w:cs="宋体" w:eastAsia="宋体" w:hint="default"/>
          <w:spacing w:val="-68"/>
          <w:sz w:val="16"/>
          <w:szCs w:val="16"/>
        </w:rPr>
      </w:r>
      <w:r>
        <w:rPr>
          <w:rFonts w:ascii="宋体" w:hAnsi="宋体" w:cs="宋体" w:eastAsia="宋体" w:hint="default"/>
          <w:sz w:val="16"/>
          <w:szCs w:val="16"/>
        </w:rPr>
        <w:t>其他收益、营业外净收入的净利润。由于电信业是资本密集型产业，资本开支和财务费用可能对具有类似经营成果的公司年度盈</w:t>
      </w:r>
      <w:r>
        <w:rPr>
          <w:rFonts w:ascii="宋体" w:hAnsi="宋体" w:cs="宋体" w:eastAsia="宋体" w:hint="default"/>
          <w:spacing w:val="25"/>
          <w:sz w:val="16"/>
          <w:szCs w:val="16"/>
        </w:rPr>
        <w:t> </w:t>
      </w:r>
      <w:r>
        <w:rPr>
          <w:rFonts w:ascii="宋体" w:hAnsi="宋体" w:cs="宋体" w:eastAsia="宋体" w:hint="default"/>
          <w:spacing w:val="25"/>
          <w:sz w:val="16"/>
          <w:szCs w:val="16"/>
        </w:rPr>
      </w:r>
      <w:r>
        <w:rPr>
          <w:rFonts w:ascii="宋体" w:hAnsi="宋体" w:cs="宋体" w:eastAsia="宋体" w:hint="default"/>
          <w:sz w:val="16"/>
          <w:szCs w:val="16"/>
        </w:rPr>
        <w:t>利产生重大影响。因此，公司认为，对于与公司类似的电信公司而言，EBITDA</w:t>
      </w:r>
      <w:r>
        <w:rPr>
          <w:rFonts w:ascii="宋体" w:hAnsi="宋体" w:cs="宋体" w:eastAsia="宋体" w:hint="default"/>
          <w:spacing w:val="38"/>
          <w:sz w:val="16"/>
          <w:szCs w:val="16"/>
        </w:rPr>
        <w:t> </w:t>
      </w:r>
      <w:r>
        <w:rPr>
          <w:rFonts w:ascii="宋体" w:hAnsi="宋体" w:cs="宋体" w:eastAsia="宋体" w:hint="default"/>
          <w:sz w:val="16"/>
          <w:szCs w:val="16"/>
        </w:rPr>
        <w:t>有助于对公司经营成果分析。</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7"/>
          <w:szCs w:val="27"/>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31</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127"/>
          <w:footerReference w:type="default" r:id="rId128"/>
          <w:pgSz w:w="11910" w:h="16160"/>
          <w:pgMar w:header="0" w:footer="0" w:top="1520" w:bottom="0" w:left="1380" w:right="660"/>
        </w:sectPr>
      </w:pPr>
    </w:p>
    <w:p>
      <w:pPr>
        <w:spacing w:before="521"/>
        <w:ind w:left="150" w:right="1314" w:firstLine="0"/>
        <w:jc w:val="left"/>
        <w:rPr>
          <w:rFonts w:ascii="宋体" w:hAnsi="宋体" w:cs="宋体" w:eastAsia="宋体" w:hint="default"/>
          <w:sz w:val="17"/>
          <w:szCs w:val="17"/>
        </w:rPr>
      </w:pPr>
      <w:r>
        <w:rPr>
          <w:rFonts w:ascii="宋体" w:hAnsi="宋体" w:cs="宋体" w:eastAsia="宋体" w:hint="default"/>
          <w:sz w:val="17"/>
          <w:szCs w:val="17"/>
        </w:rPr>
        <w:t>（一）主营业务分析</w:t>
      </w:r>
    </w:p>
    <w:p>
      <w:pPr>
        <w:pStyle w:val="BodyText"/>
        <w:spacing w:line="240" w:lineRule="auto" w:before="168"/>
        <w:ind w:left="490" w:right="1314"/>
        <w:jc w:val="left"/>
        <w:rPr>
          <w:rFonts w:ascii="宋体" w:hAnsi="宋体" w:cs="宋体" w:eastAsia="宋体" w:hint="default"/>
        </w:rPr>
      </w:pPr>
      <w:r>
        <w:rPr>
          <w:rFonts w:ascii="宋体" w:hAnsi="宋体" w:cs="宋体" w:eastAsia="宋体" w:hint="default"/>
          <w:color w:val="D7000F"/>
          <w:w w:val="95"/>
        </w:rPr>
        <w:t>1. </w:t>
      </w:r>
      <w:r>
        <w:rPr>
          <w:rFonts w:ascii="宋体" w:hAnsi="宋体" w:cs="宋体" w:eastAsia="宋体" w:hint="default"/>
          <w:color w:val="D7000F"/>
          <w:spacing w:val="14"/>
          <w:w w:val="95"/>
        </w:rPr>
        <w:t> </w:t>
      </w:r>
      <w:r>
        <w:rPr>
          <w:rFonts w:ascii="宋体" w:hAnsi="宋体" w:cs="宋体" w:eastAsia="宋体" w:hint="default"/>
          <w:color w:val="D7000F"/>
          <w:w w:val="95"/>
        </w:rPr>
        <w:t>利润表及现金流量表相关科目变动分析表</w:t>
      </w:r>
      <w:r>
        <w:rPr>
          <w:rFonts w:ascii="宋体" w:hAnsi="宋体" w:cs="宋体" w:eastAsia="宋体" w:hint="default"/>
          <w:w w:val="95"/>
        </w:rPr>
      </w:r>
    </w:p>
    <w:p>
      <w:pPr>
        <w:spacing w:line="240" w:lineRule="auto" w:before="10"/>
        <w:rPr>
          <w:rFonts w:ascii="宋体" w:hAnsi="宋体" w:cs="宋体" w:eastAsia="宋体" w:hint="default"/>
          <w:sz w:val="14"/>
          <w:szCs w:val="14"/>
        </w:rPr>
      </w:pPr>
    </w:p>
    <w:tbl>
      <w:tblPr>
        <w:tblW w:w="0" w:type="auto"/>
        <w:jc w:val="left"/>
        <w:tblInd w:w="717" w:type="dxa"/>
        <w:tblLayout w:type="fixed"/>
        <w:tblCellMar>
          <w:top w:w="0" w:type="dxa"/>
          <w:left w:w="0" w:type="dxa"/>
          <w:bottom w:w="0" w:type="dxa"/>
          <w:right w:w="0" w:type="dxa"/>
        </w:tblCellMar>
        <w:tblLook w:val="01E0"/>
      </w:tblPr>
      <w:tblGrid>
        <w:gridCol w:w="2630"/>
        <w:gridCol w:w="3327"/>
        <w:gridCol w:w="1515"/>
        <w:gridCol w:w="1598"/>
      </w:tblGrid>
      <w:tr>
        <w:trPr>
          <w:trHeight w:val="870" w:hRule="exact"/>
        </w:trPr>
        <w:tc>
          <w:tcPr>
            <w:tcW w:w="2630"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547"/>
              <w:ind w:left="85" w:right="0"/>
              <w:jc w:val="left"/>
              <w:rPr>
                <w:rFonts w:ascii="宋体" w:hAnsi="宋体" w:cs="宋体" w:eastAsia="宋体" w:hint="default"/>
                <w:sz w:val="16"/>
                <w:szCs w:val="16"/>
              </w:rPr>
            </w:pPr>
            <w:r>
              <w:rPr>
                <w:rFonts w:ascii="宋体" w:hAnsi="宋体" w:cs="宋体" w:eastAsia="宋体" w:hint="default"/>
                <w:sz w:val="16"/>
                <w:szCs w:val="16"/>
              </w:rPr>
              <w:t>科目</w:t>
            </w:r>
          </w:p>
        </w:tc>
        <w:tc>
          <w:tcPr>
            <w:tcW w:w="3327" w:type="dxa"/>
            <w:tcBorders>
              <w:top w:val="nil" w:sz="6" w:space="0" w:color="auto"/>
              <w:left w:val="nil" w:sz="6" w:space="0" w:color="auto"/>
              <w:bottom w:val="single" w:sz="16" w:space="0" w:color="9C8758"/>
              <w:right w:val="nil" w:sz="6" w:space="0" w:color="auto"/>
            </w:tcBorders>
          </w:tcPr>
          <w:p>
            <w:pPr>
              <w:pStyle w:val="TableParagraph"/>
              <w:spacing w:line="240" w:lineRule="auto" w:before="41"/>
              <w:ind w:left="465" w:right="-19"/>
              <w:jc w:val="left"/>
              <w:rPr>
                <w:rFonts w:ascii="宋体" w:hAnsi="宋体" w:cs="宋体" w:eastAsia="宋体" w:hint="default"/>
                <w:sz w:val="16"/>
                <w:szCs w:val="16"/>
              </w:rPr>
            </w:pPr>
            <w:r>
              <w:rPr>
                <w:rFonts w:ascii="宋体" w:hAnsi="宋体" w:cs="宋体" w:eastAsia="宋体" w:hint="default"/>
                <w:sz w:val="16"/>
                <w:szCs w:val="16"/>
              </w:rPr>
              <w:t>利润表及现金流量表相关科目变动分析表</w:t>
            </w:r>
          </w:p>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597"/>
              <w:jc w:val="right"/>
              <w:rPr>
                <w:rFonts w:ascii="宋体" w:hAnsi="宋体" w:cs="宋体" w:eastAsia="宋体" w:hint="default"/>
                <w:sz w:val="16"/>
                <w:szCs w:val="16"/>
              </w:rPr>
            </w:pPr>
            <w:r>
              <w:rPr>
                <w:rFonts w:ascii="宋体" w:hAnsi="宋体" w:cs="宋体" w:eastAsia="宋体" w:hint="default"/>
                <w:color w:val="D7000F"/>
                <w:sz w:val="16"/>
                <w:szCs w:val="16"/>
              </w:rPr>
              <w:t>本期数</w:t>
            </w:r>
            <w:r>
              <w:rPr>
                <w:rFonts w:ascii="宋体" w:hAnsi="宋体" w:cs="宋体" w:eastAsia="宋体" w:hint="default"/>
                <w:sz w:val="16"/>
                <w:szCs w:val="16"/>
              </w:rPr>
            </w:r>
          </w:p>
        </w:tc>
        <w:tc>
          <w:tcPr>
            <w:tcW w:w="1515"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9"/>
              <w:ind w:right="298"/>
              <w:jc w:val="right"/>
              <w:rPr>
                <w:rFonts w:ascii="宋体" w:hAnsi="宋体" w:cs="宋体" w:eastAsia="宋体" w:hint="default"/>
                <w:sz w:val="16"/>
                <w:szCs w:val="16"/>
              </w:rPr>
            </w:pPr>
            <w:r>
              <w:rPr>
                <w:rFonts w:ascii="宋体" w:hAnsi="宋体" w:cs="宋体" w:eastAsia="宋体" w:hint="default"/>
                <w:sz w:val="16"/>
                <w:szCs w:val="16"/>
              </w:rPr>
              <w:t>上年同期数</w:t>
            </w:r>
          </w:p>
        </w:tc>
        <w:tc>
          <w:tcPr>
            <w:tcW w:w="1598"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3"/>
              <w:ind w:right="0"/>
              <w:jc w:val="left"/>
              <w:rPr>
                <w:rFonts w:ascii="宋体" w:hAnsi="宋体" w:cs="宋体" w:eastAsia="宋体" w:hint="default"/>
                <w:sz w:val="12"/>
                <w:szCs w:val="12"/>
              </w:rPr>
            </w:pPr>
          </w:p>
          <w:p>
            <w:pPr>
              <w:pStyle w:val="TableParagraph"/>
              <w:spacing w:line="240" w:lineRule="auto"/>
              <w:ind w:left="215" w:right="0"/>
              <w:jc w:val="center"/>
              <w:rPr>
                <w:rFonts w:ascii="宋体" w:hAnsi="宋体" w:cs="宋体" w:eastAsia="宋体" w:hint="default"/>
                <w:sz w:val="12"/>
                <w:szCs w:val="12"/>
              </w:rPr>
            </w:pPr>
            <w:r>
              <w:rPr>
                <w:rFonts w:ascii="宋体" w:hAnsi="宋体" w:cs="宋体" w:eastAsia="宋体" w:hint="default"/>
                <w:sz w:val="12"/>
                <w:szCs w:val="12"/>
              </w:rPr>
              <w:t>单位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元</w:t>
            </w:r>
            <w:r>
              <w:rPr>
                <w:rFonts w:ascii="宋体" w:hAnsi="宋体" w:cs="宋体" w:eastAsia="宋体" w:hint="default"/>
                <w:spacing w:val="-11"/>
                <w:sz w:val="12"/>
                <w:szCs w:val="12"/>
              </w:rPr>
              <w:t> </w:t>
            </w:r>
            <w:r>
              <w:rPr>
                <w:rFonts w:ascii="宋体" w:hAnsi="宋体" w:cs="宋体" w:eastAsia="宋体" w:hint="default"/>
                <w:sz w:val="12"/>
                <w:szCs w:val="12"/>
              </w:rPr>
              <w:t>币种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人民币</w:t>
            </w:r>
          </w:p>
          <w:p>
            <w:pPr>
              <w:pStyle w:val="TableParagraph"/>
              <w:spacing w:line="240" w:lineRule="auto" w:before="64"/>
              <w:ind w:left="326" w:right="0"/>
              <w:jc w:val="center"/>
              <w:rPr>
                <w:rFonts w:ascii="宋体" w:hAnsi="宋体" w:cs="宋体" w:eastAsia="宋体" w:hint="default"/>
                <w:sz w:val="16"/>
                <w:szCs w:val="16"/>
              </w:rPr>
            </w:pPr>
            <w:r>
              <w:rPr>
                <w:rFonts w:ascii="宋体" w:hAnsi="宋体" w:cs="宋体" w:eastAsia="宋体" w:hint="default"/>
                <w:w w:val="105"/>
                <w:sz w:val="16"/>
                <w:szCs w:val="16"/>
              </w:rPr>
              <w:t>变动比例（%）</w:t>
            </w:r>
            <w:r>
              <w:rPr>
                <w:rFonts w:ascii="宋体" w:hAnsi="宋体" w:cs="宋体" w:eastAsia="宋体" w:hint="default"/>
                <w:sz w:val="16"/>
                <w:szCs w:val="16"/>
              </w:rPr>
            </w:r>
          </w:p>
        </w:tc>
      </w:tr>
      <w:tr>
        <w:trPr>
          <w:trHeight w:val="362" w:hRule="exact"/>
        </w:trPr>
        <w:tc>
          <w:tcPr>
            <w:tcW w:w="2630"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left="85" w:right="0"/>
              <w:jc w:val="left"/>
              <w:rPr>
                <w:rFonts w:ascii="宋体" w:hAnsi="宋体" w:cs="宋体" w:eastAsia="宋体" w:hint="default"/>
                <w:sz w:val="16"/>
                <w:szCs w:val="16"/>
              </w:rPr>
            </w:pPr>
            <w:r>
              <w:rPr>
                <w:rFonts w:ascii="宋体" w:hAnsi="宋体" w:cs="宋体" w:eastAsia="宋体" w:hint="default"/>
                <w:sz w:val="16"/>
                <w:szCs w:val="16"/>
              </w:rPr>
              <w:t>营业收入</w:t>
            </w:r>
          </w:p>
        </w:tc>
        <w:tc>
          <w:tcPr>
            <w:tcW w:w="3327"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597"/>
              <w:jc w:val="right"/>
              <w:rPr>
                <w:rFonts w:ascii="宋体" w:hAnsi="宋体" w:cs="宋体" w:eastAsia="宋体" w:hint="default"/>
                <w:sz w:val="16"/>
                <w:szCs w:val="16"/>
              </w:rPr>
            </w:pPr>
            <w:r>
              <w:rPr>
                <w:rFonts w:ascii="宋体"/>
                <w:color w:val="D7000F"/>
                <w:w w:val="95"/>
                <w:sz w:val="16"/>
              </w:rPr>
              <w:t>290,876,776,866</w:t>
            </w:r>
            <w:r>
              <w:rPr>
                <w:rFonts w:ascii="宋体"/>
                <w:sz w:val="16"/>
              </w:rPr>
            </w:r>
          </w:p>
        </w:tc>
        <w:tc>
          <w:tcPr>
            <w:tcW w:w="1515"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298"/>
              <w:jc w:val="right"/>
              <w:rPr>
                <w:rFonts w:ascii="宋体" w:hAnsi="宋体" w:cs="宋体" w:eastAsia="宋体" w:hint="default"/>
                <w:sz w:val="16"/>
                <w:szCs w:val="16"/>
              </w:rPr>
            </w:pPr>
            <w:r>
              <w:rPr>
                <w:rFonts w:ascii="宋体"/>
                <w:w w:val="95"/>
                <w:sz w:val="16"/>
              </w:rPr>
              <w:t>274,828,946,271</w:t>
            </w:r>
            <w:r>
              <w:rPr>
                <w:rFonts w:ascii="宋体"/>
                <w:sz w:val="16"/>
              </w:rPr>
            </w:r>
          </w:p>
        </w:tc>
        <w:tc>
          <w:tcPr>
            <w:tcW w:w="1598"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83"/>
              <w:jc w:val="right"/>
              <w:rPr>
                <w:rFonts w:ascii="宋体" w:hAnsi="宋体" w:cs="宋体" w:eastAsia="宋体" w:hint="default"/>
                <w:sz w:val="16"/>
                <w:szCs w:val="16"/>
              </w:rPr>
            </w:pPr>
            <w:r>
              <w:rPr>
                <w:rFonts w:ascii="宋体"/>
                <w:w w:val="90"/>
                <w:sz w:val="16"/>
              </w:rPr>
              <w:t>5.8</w:t>
            </w:r>
            <w:r>
              <w:rPr>
                <w:rFonts w:ascii="宋体"/>
                <w:sz w:val="16"/>
              </w:rPr>
            </w:r>
          </w:p>
        </w:tc>
      </w:tr>
      <w:tr>
        <w:trPr>
          <w:trHeight w:val="273" w:hRule="exact"/>
        </w:trPr>
        <w:tc>
          <w:tcPr>
            <w:tcW w:w="263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营业成本</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w w:val="95"/>
                <w:sz w:val="16"/>
              </w:rPr>
              <w:t>213,585,637,513</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w w:val="95"/>
                <w:sz w:val="16"/>
              </w:rPr>
              <w:t>206,976,717,931</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3.2</w:t>
            </w:r>
            <w:r>
              <w:rPr>
                <w:rFonts w:ascii="宋体"/>
                <w:sz w:val="16"/>
              </w:rPr>
            </w:r>
          </w:p>
        </w:tc>
      </w:tr>
      <w:tr>
        <w:trPr>
          <w:trHeight w:val="273" w:hRule="exact"/>
        </w:trPr>
        <w:tc>
          <w:tcPr>
            <w:tcW w:w="263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销售费用</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w w:val="95"/>
                <w:sz w:val="16"/>
              </w:rPr>
              <w:t>35,169,715,460</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w w:val="95"/>
                <w:sz w:val="16"/>
              </w:rPr>
              <w:t>34,085,464,556</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3.2</w:t>
            </w:r>
            <w:r>
              <w:rPr>
                <w:rFonts w:ascii="宋体"/>
                <w:sz w:val="16"/>
              </w:rPr>
            </w:r>
          </w:p>
        </w:tc>
      </w:tr>
      <w:tr>
        <w:trPr>
          <w:trHeight w:val="273" w:hRule="exact"/>
        </w:trPr>
        <w:tc>
          <w:tcPr>
            <w:tcW w:w="263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管理费用</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w w:val="95"/>
                <w:sz w:val="16"/>
              </w:rPr>
              <w:t>22,925,119,665</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w w:val="95"/>
                <w:sz w:val="16"/>
              </w:rPr>
              <w:t>20,841,707,747</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10.0</w:t>
            </w:r>
            <w:r>
              <w:rPr>
                <w:rFonts w:ascii="宋体"/>
                <w:sz w:val="16"/>
              </w:rPr>
            </w:r>
          </w:p>
        </w:tc>
      </w:tr>
      <w:tr>
        <w:trPr>
          <w:trHeight w:val="273" w:hRule="exact"/>
        </w:trPr>
        <w:tc>
          <w:tcPr>
            <w:tcW w:w="263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研发费用</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sz w:val="16"/>
              </w:rPr>
              <w:t>872,225,770</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sz w:val="16"/>
              </w:rPr>
              <w:t>491,941,948</w:t>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77.3</w:t>
            </w:r>
            <w:r>
              <w:rPr>
                <w:rFonts w:ascii="宋体"/>
                <w:sz w:val="16"/>
              </w:rPr>
            </w:r>
          </w:p>
        </w:tc>
      </w:tr>
      <w:tr>
        <w:trPr>
          <w:trHeight w:val="273" w:hRule="exact"/>
        </w:trPr>
        <w:tc>
          <w:tcPr>
            <w:tcW w:w="263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sz w:val="16"/>
              </w:rPr>
              <w:t>-137,779,791</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w w:val="95"/>
                <w:sz w:val="16"/>
              </w:rPr>
              <w:t>4,079,005,515</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105"/>
                <w:sz w:val="16"/>
              </w:rPr>
              <w:t>-103.4</w:t>
            </w:r>
            <w:r>
              <w:rPr>
                <w:rFonts w:ascii="宋体"/>
                <w:sz w:val="16"/>
              </w:rPr>
            </w:r>
          </w:p>
        </w:tc>
      </w:tr>
      <w:tr>
        <w:trPr>
          <w:trHeight w:val="273" w:hRule="exact"/>
        </w:trPr>
        <w:tc>
          <w:tcPr>
            <w:tcW w:w="2630"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经营活动产生的现金流量净额</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w w:val="95"/>
                <w:sz w:val="16"/>
              </w:rPr>
              <w:t>94,829,725,347</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w w:val="95"/>
                <w:sz w:val="16"/>
              </w:rPr>
              <w:t>91,335,372,029</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3.8</w:t>
            </w:r>
            <w:r>
              <w:rPr>
                <w:rFonts w:ascii="宋体"/>
                <w:sz w:val="16"/>
              </w:rPr>
            </w:r>
          </w:p>
        </w:tc>
      </w:tr>
      <w:tr>
        <w:trPr>
          <w:trHeight w:val="273"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投资活动产生的现金流量净额</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sz w:val="16"/>
              </w:rPr>
              <w:t>-61,167,017,208</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sz w:val="16"/>
              </w:rPr>
              <w:t>-47,333,795,204</w:t>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-29.2</w:t>
            </w:r>
          </w:p>
        </w:tc>
      </w:tr>
      <w:tr>
        <w:trPr>
          <w:trHeight w:val="317" w:hRule="exact"/>
        </w:trPr>
        <w:tc>
          <w:tcPr>
            <w:tcW w:w="2630" w:type="dxa"/>
            <w:tcBorders>
              <w:top w:val="nil" w:sz="6" w:space="0" w:color="auto"/>
              <w:left w:val="nil" w:sz="6" w:space="0" w:color="auto"/>
              <w:bottom w:val="nil" w:sz="6" w:space="0" w:color="auto"/>
              <w:right w:val="nil" w:sz="6" w:space="0" w:color="auto"/>
            </w:tcBorders>
          </w:tcPr>
          <w:p>
            <w:pPr>
              <w:pStyle w:val="TableParagraph"/>
              <w:spacing w:line="205" w:lineRule="exact"/>
              <w:ind w:left="85" w:right="0"/>
              <w:jc w:val="left"/>
              <w:rPr>
                <w:rFonts w:ascii="宋体" w:hAnsi="宋体" w:cs="宋体" w:eastAsia="宋体" w:hint="default"/>
                <w:sz w:val="16"/>
                <w:szCs w:val="16"/>
              </w:rPr>
            </w:pPr>
            <w:r>
              <w:rPr>
                <w:rFonts w:ascii="宋体" w:hAnsi="宋体" w:cs="宋体" w:eastAsia="宋体" w:hint="default"/>
                <w:sz w:val="16"/>
                <w:szCs w:val="16"/>
              </w:rPr>
              <w:t>筹资活动产生的现金流量净额</w:t>
            </w:r>
          </w:p>
        </w:tc>
        <w:tc>
          <w:tcPr>
            <w:tcW w:w="3327" w:type="dxa"/>
            <w:tcBorders>
              <w:top w:val="nil" w:sz="6" w:space="0" w:color="auto"/>
              <w:left w:val="nil" w:sz="6" w:space="0" w:color="auto"/>
              <w:bottom w:val="nil" w:sz="6" w:space="0" w:color="auto"/>
              <w:right w:val="nil" w:sz="6" w:space="0" w:color="auto"/>
            </w:tcBorders>
          </w:tcPr>
          <w:p>
            <w:pPr>
              <w:pStyle w:val="TableParagraph"/>
              <w:spacing w:line="205" w:lineRule="exact"/>
              <w:ind w:right="597"/>
              <w:jc w:val="right"/>
              <w:rPr>
                <w:rFonts w:ascii="宋体" w:hAnsi="宋体" w:cs="宋体" w:eastAsia="宋体" w:hint="default"/>
                <w:sz w:val="16"/>
                <w:szCs w:val="16"/>
              </w:rPr>
            </w:pPr>
            <w:r>
              <w:rPr>
                <w:rFonts w:ascii="宋体"/>
                <w:color w:val="D7000F"/>
                <w:sz w:val="16"/>
              </w:rPr>
              <w:t>-36,549,771,905</w:t>
            </w:r>
            <w:r>
              <w:rPr>
                <w:rFonts w:ascii="宋体"/>
                <w:sz w:val="16"/>
              </w:rPr>
            </w:r>
          </w:p>
        </w:tc>
        <w:tc>
          <w:tcPr>
            <w:tcW w:w="1515" w:type="dxa"/>
            <w:tcBorders>
              <w:top w:val="nil" w:sz="6" w:space="0" w:color="auto"/>
              <w:left w:val="nil" w:sz="6" w:space="0" w:color="auto"/>
              <w:bottom w:val="nil" w:sz="6" w:space="0" w:color="auto"/>
              <w:right w:val="nil" w:sz="6" w:space="0" w:color="auto"/>
            </w:tcBorders>
          </w:tcPr>
          <w:p>
            <w:pPr>
              <w:pStyle w:val="TableParagraph"/>
              <w:spacing w:line="205" w:lineRule="exact"/>
              <w:ind w:right="298"/>
              <w:jc w:val="right"/>
              <w:rPr>
                <w:rFonts w:ascii="宋体" w:hAnsi="宋体" w:cs="宋体" w:eastAsia="宋体" w:hint="default"/>
                <w:sz w:val="16"/>
                <w:szCs w:val="16"/>
              </w:rPr>
            </w:pPr>
            <w:r>
              <w:rPr>
                <w:rFonts w:ascii="宋体"/>
                <w:sz w:val="16"/>
              </w:rPr>
              <w:t>-34,665,448,424</w:t>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-5.4</w:t>
            </w:r>
          </w:p>
        </w:tc>
      </w:tr>
    </w:tbl>
    <w:p>
      <w:pPr>
        <w:spacing w:line="240" w:lineRule="auto" w:before="9"/>
        <w:rPr>
          <w:rFonts w:ascii="宋体" w:hAnsi="宋体" w:cs="宋体" w:eastAsia="宋体" w:hint="default"/>
          <w:sz w:val="14"/>
          <w:szCs w:val="14"/>
        </w:rPr>
      </w:pPr>
    </w:p>
    <w:p>
      <w:pPr>
        <w:pStyle w:val="BodyText"/>
        <w:tabs>
          <w:tab w:pos="870" w:val="left" w:leader="none"/>
        </w:tabs>
        <w:spacing w:line="240" w:lineRule="auto"/>
        <w:ind w:left="490" w:right="1314"/>
        <w:jc w:val="left"/>
        <w:rPr>
          <w:rFonts w:ascii="宋体" w:hAnsi="宋体" w:cs="宋体" w:eastAsia="宋体" w:hint="default"/>
        </w:rPr>
      </w:pPr>
      <w:r>
        <w:rPr>
          <w:rFonts w:ascii="宋体" w:hAnsi="宋体" w:cs="宋体" w:eastAsia="宋体" w:hint="default"/>
          <w:color w:val="D7000F"/>
          <w:w w:val="80"/>
        </w:rPr>
        <w:t>2.</w:t>
        <w:tab/>
      </w:r>
      <w:r>
        <w:rPr>
          <w:rFonts w:ascii="宋体" w:hAnsi="宋体" w:cs="宋体" w:eastAsia="宋体" w:hint="default"/>
          <w:color w:val="D7000F"/>
        </w:rPr>
        <w:t>收入和成本分析</w:t>
      </w:r>
      <w:r>
        <w:rPr>
          <w:rFonts w:ascii="宋体" w:hAnsi="宋体" w:cs="宋体" w:eastAsia="宋体" w:hint="default"/>
        </w:rPr>
      </w:r>
    </w:p>
    <w:p>
      <w:pPr>
        <w:pStyle w:val="BodyText"/>
        <w:spacing w:line="240" w:lineRule="auto" w:before="157"/>
        <w:ind w:left="717" w:right="1314"/>
        <w:jc w:val="left"/>
        <w:rPr>
          <w:rFonts w:ascii="宋体" w:hAnsi="宋体" w:cs="宋体" w:eastAsia="宋体" w:hint="default"/>
        </w:rPr>
      </w:pPr>
      <w:r>
        <w:rPr>
          <w:rFonts w:ascii="宋体" w:hAnsi="宋体" w:cs="宋体" w:eastAsia="宋体" w:hint="default"/>
          <w:w w:val="95"/>
        </w:rPr>
        <w:t>(1).</w:t>
      </w:r>
      <w:r>
        <w:rPr>
          <w:rFonts w:ascii="宋体" w:hAnsi="宋体" w:cs="宋体" w:eastAsia="宋体" w:hint="default"/>
          <w:spacing w:val="19"/>
          <w:w w:val="95"/>
        </w:rPr>
        <w:t> </w:t>
      </w:r>
      <w:r>
        <w:rPr>
          <w:rFonts w:ascii="宋体" w:hAnsi="宋体" w:cs="宋体" w:eastAsia="宋体" w:hint="default"/>
          <w:w w:val="95"/>
        </w:rPr>
        <w:t>主营业务分行业、分产品、分地区情况</w:t>
      </w:r>
    </w:p>
    <w:p>
      <w:pPr>
        <w:spacing w:line="240" w:lineRule="auto" w:before="2"/>
        <w:rPr>
          <w:rFonts w:ascii="宋体" w:hAnsi="宋体" w:cs="宋体" w:eastAsia="宋体" w:hint="default"/>
          <w:sz w:val="10"/>
          <w:szCs w:val="10"/>
        </w:rPr>
      </w:pPr>
    </w:p>
    <w:p>
      <w:pPr>
        <w:spacing w:before="0"/>
        <w:ind w:left="0" w:right="1511" w:firstLine="0"/>
        <w:jc w:val="right"/>
        <w:rPr>
          <w:rFonts w:ascii="宋体" w:hAnsi="宋体" w:cs="宋体" w:eastAsia="宋体" w:hint="default"/>
          <w:sz w:val="12"/>
          <w:szCs w:val="12"/>
        </w:rPr>
      </w:pPr>
      <w:r>
        <w:rPr>
          <w:rFonts w:ascii="宋体" w:hAnsi="宋体" w:cs="宋体" w:eastAsia="宋体" w:hint="default"/>
          <w:sz w:val="12"/>
          <w:szCs w:val="12"/>
        </w:rPr>
        <w:t>单位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百万元</w:t>
      </w:r>
      <w:r>
        <w:rPr>
          <w:rFonts w:ascii="宋体" w:hAnsi="宋体" w:cs="宋体" w:eastAsia="宋体" w:hint="default"/>
          <w:spacing w:val="-11"/>
          <w:sz w:val="12"/>
          <w:szCs w:val="12"/>
        </w:rPr>
        <w:t> </w:t>
      </w:r>
      <w:r>
        <w:rPr>
          <w:rFonts w:ascii="宋体" w:hAnsi="宋体" w:cs="宋体" w:eastAsia="宋体" w:hint="default"/>
          <w:sz w:val="12"/>
          <w:szCs w:val="12"/>
        </w:rPr>
        <w:t>币种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人民币</w:t>
      </w:r>
    </w:p>
    <w:p>
      <w:pPr>
        <w:spacing w:before="120"/>
        <w:ind w:left="131" w:right="840" w:firstLine="0"/>
        <w:jc w:val="center"/>
        <w:rPr>
          <w:rFonts w:ascii="宋体" w:hAnsi="宋体" w:cs="宋体" w:eastAsia="宋体" w:hint="default"/>
          <w:sz w:val="16"/>
          <w:szCs w:val="16"/>
        </w:rPr>
      </w:pPr>
      <w:r>
        <w:rPr>
          <w:rFonts w:ascii="宋体" w:hAnsi="宋体" w:cs="宋体" w:eastAsia="宋体" w:hint="default"/>
          <w:sz w:val="16"/>
          <w:szCs w:val="16"/>
        </w:rPr>
        <w:t>主营业务分行业情况</w:t>
      </w:r>
    </w:p>
    <w:p>
      <w:pPr>
        <w:spacing w:after="0"/>
        <w:jc w:val="center"/>
        <w:rPr>
          <w:rFonts w:ascii="宋体" w:hAnsi="宋体" w:cs="宋体" w:eastAsia="宋体" w:hint="default"/>
          <w:sz w:val="16"/>
          <w:szCs w:val="16"/>
        </w:rPr>
        <w:sectPr>
          <w:headerReference w:type="even" r:id="rId129"/>
          <w:footerReference w:type="even" r:id="rId130"/>
          <w:pgSz w:w="11910" w:h="16160"/>
          <w:pgMar w:header="0" w:footer="0" w:top="2360" w:bottom="0" w:left="700" w:right="0"/>
        </w:sectPr>
      </w:pPr>
    </w:p>
    <w:p>
      <w:pPr>
        <w:spacing w:line="240" w:lineRule="auto" w:before="0"/>
        <w:rPr>
          <w:rFonts w:ascii="宋体" w:hAnsi="宋体" w:cs="宋体" w:eastAsia="宋体" w:hint="default"/>
          <w:sz w:val="16"/>
          <w:szCs w:val="16"/>
        </w:rPr>
      </w:pPr>
    </w:p>
    <w:p>
      <w:pPr>
        <w:tabs>
          <w:tab w:pos="2231" w:val="left" w:leader="none"/>
          <w:tab w:pos="3365" w:val="left" w:leader="none"/>
          <w:tab w:pos="4502" w:val="left" w:leader="none"/>
        </w:tabs>
        <w:spacing w:before="111"/>
        <w:ind w:left="802" w:right="-19" w:firstLine="0"/>
        <w:jc w:val="left"/>
        <w:rPr>
          <w:rFonts w:ascii="宋体" w:hAnsi="宋体" w:cs="宋体" w:eastAsia="宋体" w:hint="default"/>
          <w:sz w:val="16"/>
          <w:szCs w:val="16"/>
        </w:rPr>
      </w:pPr>
      <w:r>
        <w:rPr>
          <w:rFonts w:ascii="宋体" w:hAnsi="宋体" w:cs="宋体" w:eastAsia="宋体" w:hint="default"/>
          <w:sz w:val="16"/>
          <w:szCs w:val="16"/>
        </w:rPr>
        <w:t>分行业</w:t>
        <w:tab/>
        <w:t>营业收入</w:t>
        <w:tab/>
        <w:t>营业成本</w:t>
        <w:tab/>
        <w:t>毛利率</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416" w:right="-19" w:firstLine="126"/>
        <w:jc w:val="left"/>
        <w:rPr>
          <w:rFonts w:ascii="宋体" w:hAnsi="宋体" w:cs="宋体" w:eastAsia="宋体" w:hint="default"/>
          <w:sz w:val="16"/>
          <w:szCs w:val="16"/>
        </w:rPr>
      </w:pPr>
      <w:r>
        <w:rPr>
          <w:rFonts w:ascii="宋体" w:hAnsi="宋体" w:cs="宋体" w:eastAsia="宋体" w:hint="default"/>
          <w:sz w:val="16"/>
          <w:szCs w:val="16"/>
        </w:rPr>
        <w:t>营业收入比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405" w:right="-19" w:firstLine="126"/>
        <w:jc w:val="left"/>
        <w:rPr>
          <w:rFonts w:ascii="宋体" w:hAnsi="宋体" w:cs="宋体" w:eastAsia="宋体" w:hint="default"/>
          <w:sz w:val="16"/>
          <w:szCs w:val="16"/>
        </w:rPr>
      </w:pPr>
      <w:r>
        <w:rPr>
          <w:rFonts w:ascii="宋体" w:hAnsi="宋体" w:cs="宋体" w:eastAsia="宋体" w:hint="default"/>
          <w:sz w:val="16"/>
          <w:szCs w:val="16"/>
        </w:rPr>
        <w:t>营业成本比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699" w:right="1495" w:firstLine="286"/>
        <w:jc w:val="left"/>
        <w:rPr>
          <w:rFonts w:ascii="宋体" w:hAnsi="宋体" w:cs="宋体" w:eastAsia="宋体" w:hint="default"/>
          <w:sz w:val="16"/>
          <w:szCs w:val="16"/>
        </w:rPr>
      </w:pPr>
      <w:r>
        <w:rPr>
          <w:rFonts w:ascii="宋体" w:hAnsi="宋体" w:cs="宋体" w:eastAsia="宋体" w:hint="default"/>
          <w:sz w:val="16"/>
          <w:szCs w:val="16"/>
        </w:rPr>
        <w:t>毛利率比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after="0" w:line="200" w:lineRule="exact"/>
        <w:jc w:val="left"/>
        <w:rPr>
          <w:rFonts w:ascii="宋体" w:hAnsi="宋体" w:cs="宋体" w:eastAsia="宋体" w:hint="default"/>
          <w:sz w:val="16"/>
          <w:szCs w:val="16"/>
        </w:rPr>
        <w:sectPr>
          <w:type w:val="continuous"/>
          <w:pgSz w:w="11910" w:h="16160"/>
          <w:pgMar w:top="1520" w:bottom="280" w:left="700" w:right="0"/>
          <w:cols w:num="4" w:equalWidth="0">
            <w:col w:w="5270" w:space="40"/>
            <w:col w:w="1344" w:space="40"/>
            <w:col w:w="1333" w:space="40"/>
            <w:col w:w="3143"/>
          </w:cols>
        </w:sectPr>
      </w:pPr>
    </w:p>
    <w:p>
      <w:pPr>
        <w:spacing w:line="240" w:lineRule="auto" w:before="10"/>
        <w:rPr>
          <w:rFonts w:ascii="宋体" w:hAnsi="宋体" w:cs="宋体" w:eastAsia="宋体" w:hint="default"/>
          <w:sz w:val="10"/>
          <w:szCs w:val="10"/>
        </w:rPr>
      </w:pPr>
    </w:p>
    <w:p>
      <w:pPr>
        <w:tabs>
          <w:tab w:pos="2294" w:val="left" w:leader="none"/>
          <w:tab w:pos="3428" w:val="left" w:leader="none"/>
          <w:tab w:pos="4959" w:val="left" w:leader="none"/>
          <w:tab w:pos="6431" w:val="left" w:leader="none"/>
          <w:tab w:pos="7803" w:val="left" w:leader="none"/>
          <w:tab w:pos="8429" w:val="left" w:leader="none"/>
        </w:tabs>
        <w:spacing w:before="38"/>
        <w:ind w:left="802" w:right="1314" w:firstLine="0"/>
        <w:jc w:val="left"/>
        <w:rPr>
          <w:rFonts w:ascii="宋体" w:hAnsi="宋体" w:cs="宋体" w:eastAsia="宋体" w:hint="default"/>
          <w:sz w:val="16"/>
          <w:szCs w:val="16"/>
        </w:rPr>
      </w:pPr>
      <w:r>
        <w:rPr>
          <w:rFonts w:ascii="宋体" w:hAnsi="宋体" w:cs="宋体" w:eastAsia="宋体" w:hint="default"/>
          <w:sz w:val="16"/>
          <w:szCs w:val="16"/>
        </w:rPr>
        <w:t>电信业</w:t>
        <w:tab/>
        <w:t>290,877</w:t>
        <w:tab/>
        <w:t>214,975</w:t>
        <w:tab/>
      </w:r>
      <w:r>
        <w:rPr>
          <w:rFonts w:ascii="宋体" w:hAnsi="宋体" w:cs="宋体" w:eastAsia="宋体" w:hint="default"/>
          <w:w w:val="95"/>
          <w:sz w:val="16"/>
          <w:szCs w:val="16"/>
        </w:rPr>
        <w:t>26.1</w:t>
        <w:tab/>
      </w:r>
      <w:r>
        <w:rPr>
          <w:rFonts w:ascii="宋体" w:hAnsi="宋体" w:cs="宋体" w:eastAsia="宋体" w:hint="default"/>
          <w:w w:val="90"/>
          <w:sz w:val="16"/>
          <w:szCs w:val="16"/>
        </w:rPr>
        <w:t>5.8</w:t>
        <w:tab/>
        <w:t>3.2</w:t>
        <w:tab/>
      </w:r>
      <w:r>
        <w:rPr>
          <w:rFonts w:ascii="宋体" w:hAnsi="宋体" w:cs="宋体" w:eastAsia="宋体" w:hint="default"/>
          <w:sz w:val="16"/>
          <w:szCs w:val="16"/>
        </w:rPr>
        <w:t>增加</w:t>
      </w:r>
      <w:r>
        <w:rPr>
          <w:rFonts w:ascii="宋体" w:hAnsi="宋体" w:cs="宋体" w:eastAsia="宋体" w:hint="default"/>
          <w:spacing w:val="-50"/>
          <w:sz w:val="16"/>
          <w:szCs w:val="16"/>
        </w:rPr>
        <w:t> </w:t>
      </w:r>
      <w:r>
        <w:rPr>
          <w:rFonts w:ascii="宋体" w:hAnsi="宋体" w:cs="宋体" w:eastAsia="宋体" w:hint="default"/>
          <w:sz w:val="16"/>
          <w:szCs w:val="16"/>
        </w:rPr>
        <w:t>1.9</w:t>
      </w:r>
      <w:r>
        <w:rPr>
          <w:rFonts w:ascii="宋体" w:hAnsi="宋体" w:cs="宋体" w:eastAsia="宋体" w:hint="default"/>
          <w:spacing w:val="-50"/>
          <w:sz w:val="16"/>
          <w:szCs w:val="16"/>
        </w:rPr>
        <w:t> </w:t>
      </w:r>
      <w:r>
        <w:rPr>
          <w:rFonts w:ascii="宋体" w:hAnsi="宋体" w:cs="宋体" w:eastAsia="宋体" w:hint="default"/>
          <w:sz w:val="16"/>
          <w:szCs w:val="16"/>
        </w:rPr>
        <w:t>个百分点</w:t>
      </w:r>
    </w:p>
    <w:p>
      <w:pPr>
        <w:spacing w:line="240" w:lineRule="auto" w:before="7"/>
        <w:rPr>
          <w:rFonts w:ascii="宋体" w:hAnsi="宋体" w:cs="宋体" w:eastAsia="宋体" w:hint="default"/>
          <w:sz w:val="28"/>
          <w:szCs w:val="28"/>
        </w:rPr>
      </w:pPr>
    </w:p>
    <w:p>
      <w:pPr>
        <w:spacing w:before="41"/>
        <w:ind w:left="131" w:right="840" w:firstLine="0"/>
        <w:jc w:val="center"/>
        <w:rPr>
          <w:rFonts w:ascii="宋体" w:hAnsi="宋体" w:cs="宋体" w:eastAsia="宋体" w:hint="default"/>
          <w:sz w:val="16"/>
          <w:szCs w:val="16"/>
        </w:rPr>
      </w:pPr>
      <w:r>
        <w:rPr>
          <w:rFonts w:ascii="宋体" w:hAnsi="宋体" w:cs="宋体" w:eastAsia="宋体" w:hint="default"/>
          <w:sz w:val="16"/>
          <w:szCs w:val="16"/>
        </w:rPr>
        <w:t>主营业务分产品情况</w:t>
      </w:r>
    </w:p>
    <w:p>
      <w:pPr>
        <w:spacing w:after="0"/>
        <w:jc w:val="center"/>
        <w:rPr>
          <w:rFonts w:ascii="宋体" w:hAnsi="宋体" w:cs="宋体" w:eastAsia="宋体" w:hint="default"/>
          <w:sz w:val="16"/>
          <w:szCs w:val="16"/>
        </w:rPr>
        <w:sectPr>
          <w:type w:val="continuous"/>
          <w:pgSz w:w="11910" w:h="16160"/>
          <w:pgMar w:top="1520" w:bottom="280" w:left="700" w:right="0"/>
        </w:sectPr>
      </w:pPr>
    </w:p>
    <w:p>
      <w:pPr>
        <w:spacing w:line="240" w:lineRule="auto" w:before="0"/>
        <w:rPr>
          <w:rFonts w:ascii="宋体" w:hAnsi="宋体" w:cs="宋体" w:eastAsia="宋体" w:hint="default"/>
          <w:sz w:val="16"/>
          <w:szCs w:val="16"/>
        </w:rPr>
      </w:pPr>
    </w:p>
    <w:p>
      <w:pPr>
        <w:tabs>
          <w:tab w:pos="2231" w:val="left" w:leader="none"/>
          <w:tab w:pos="3365" w:val="left" w:leader="none"/>
          <w:tab w:pos="4502" w:val="left" w:leader="none"/>
        </w:tabs>
        <w:spacing w:before="111"/>
        <w:ind w:left="802" w:right="-19" w:firstLine="0"/>
        <w:jc w:val="left"/>
        <w:rPr>
          <w:rFonts w:ascii="宋体" w:hAnsi="宋体" w:cs="宋体" w:eastAsia="宋体" w:hint="default"/>
          <w:sz w:val="16"/>
          <w:szCs w:val="16"/>
        </w:rPr>
      </w:pPr>
      <w:r>
        <w:rPr>
          <w:rFonts w:ascii="宋体" w:hAnsi="宋体" w:cs="宋体" w:eastAsia="宋体" w:hint="default"/>
          <w:sz w:val="16"/>
          <w:szCs w:val="16"/>
        </w:rPr>
        <w:t>分行业</w:t>
        <w:tab/>
        <w:t>营业收入</w:t>
        <w:tab/>
        <w:t>营业成本</w:t>
        <w:tab/>
        <w:t>毛利率</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416" w:right="-19" w:firstLine="126"/>
        <w:jc w:val="left"/>
        <w:rPr>
          <w:rFonts w:ascii="宋体" w:hAnsi="宋体" w:cs="宋体" w:eastAsia="宋体" w:hint="default"/>
          <w:sz w:val="16"/>
          <w:szCs w:val="16"/>
        </w:rPr>
      </w:pPr>
      <w:r>
        <w:rPr>
          <w:rFonts w:ascii="宋体" w:hAnsi="宋体" w:cs="宋体" w:eastAsia="宋体" w:hint="default"/>
          <w:sz w:val="16"/>
          <w:szCs w:val="16"/>
        </w:rPr>
        <w:t>营业收入比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405" w:right="-19" w:firstLine="126"/>
        <w:jc w:val="left"/>
        <w:rPr>
          <w:rFonts w:ascii="宋体" w:hAnsi="宋体" w:cs="宋体" w:eastAsia="宋体" w:hint="default"/>
          <w:sz w:val="16"/>
          <w:szCs w:val="16"/>
        </w:rPr>
      </w:pPr>
      <w:r>
        <w:rPr>
          <w:rFonts w:ascii="宋体" w:hAnsi="宋体" w:cs="宋体" w:eastAsia="宋体" w:hint="default"/>
          <w:sz w:val="16"/>
          <w:szCs w:val="16"/>
        </w:rPr>
        <w:t>营业成本比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699" w:right="1495" w:firstLine="286"/>
        <w:jc w:val="left"/>
        <w:rPr>
          <w:rFonts w:ascii="宋体" w:hAnsi="宋体" w:cs="宋体" w:eastAsia="宋体" w:hint="default"/>
          <w:sz w:val="16"/>
          <w:szCs w:val="16"/>
        </w:rPr>
      </w:pPr>
      <w:r>
        <w:rPr>
          <w:rFonts w:ascii="宋体" w:hAnsi="宋体" w:cs="宋体" w:eastAsia="宋体" w:hint="default"/>
          <w:sz w:val="16"/>
          <w:szCs w:val="16"/>
        </w:rPr>
        <w:t>毛利率比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after="0" w:line="200" w:lineRule="exact"/>
        <w:jc w:val="left"/>
        <w:rPr>
          <w:rFonts w:ascii="宋体" w:hAnsi="宋体" w:cs="宋体" w:eastAsia="宋体" w:hint="default"/>
          <w:sz w:val="16"/>
          <w:szCs w:val="16"/>
        </w:rPr>
        <w:sectPr>
          <w:type w:val="continuous"/>
          <w:pgSz w:w="11910" w:h="16160"/>
          <w:pgMar w:top="1520" w:bottom="280" w:left="700" w:right="0"/>
          <w:cols w:num="4" w:equalWidth="0">
            <w:col w:w="5270" w:space="40"/>
            <w:col w:w="1344" w:space="40"/>
            <w:col w:w="1333" w:space="40"/>
            <w:col w:w="3143"/>
          </w:cols>
        </w:sectPr>
      </w:pPr>
    </w:p>
    <w:p>
      <w:pPr>
        <w:spacing w:line="240" w:lineRule="auto" w:before="10"/>
        <w:rPr>
          <w:rFonts w:ascii="宋体" w:hAnsi="宋体" w:cs="宋体" w:eastAsia="宋体" w:hint="default"/>
          <w:sz w:val="10"/>
          <w:szCs w:val="10"/>
        </w:rPr>
      </w:pPr>
    </w:p>
    <w:p>
      <w:pPr>
        <w:tabs>
          <w:tab w:pos="2294" w:val="left" w:leader="none"/>
          <w:tab w:pos="3428" w:val="left" w:leader="none"/>
          <w:tab w:pos="4959" w:val="left" w:leader="none"/>
          <w:tab w:pos="6431" w:val="left" w:leader="none"/>
          <w:tab w:pos="7803" w:val="left" w:leader="none"/>
          <w:tab w:pos="8429" w:val="left" w:leader="none"/>
        </w:tabs>
        <w:spacing w:before="38"/>
        <w:ind w:left="802" w:right="1314" w:firstLine="0"/>
        <w:jc w:val="left"/>
        <w:rPr>
          <w:rFonts w:ascii="宋体" w:hAnsi="宋体" w:cs="宋体" w:eastAsia="宋体" w:hint="default"/>
          <w:sz w:val="16"/>
          <w:szCs w:val="16"/>
        </w:rPr>
      </w:pPr>
      <w:r>
        <w:rPr>
          <w:rFonts w:ascii="宋体" w:hAnsi="宋体" w:cs="宋体" w:eastAsia="宋体" w:hint="default"/>
          <w:sz w:val="16"/>
          <w:szCs w:val="16"/>
        </w:rPr>
        <w:t>电信业</w:t>
        <w:tab/>
        <w:t>290,877</w:t>
        <w:tab/>
        <w:t>214,975</w:t>
        <w:tab/>
      </w:r>
      <w:r>
        <w:rPr>
          <w:rFonts w:ascii="宋体" w:hAnsi="宋体" w:cs="宋体" w:eastAsia="宋体" w:hint="default"/>
          <w:w w:val="95"/>
          <w:sz w:val="16"/>
          <w:szCs w:val="16"/>
        </w:rPr>
        <w:t>26.1</w:t>
        <w:tab/>
      </w:r>
      <w:r>
        <w:rPr>
          <w:rFonts w:ascii="宋体" w:hAnsi="宋体" w:cs="宋体" w:eastAsia="宋体" w:hint="default"/>
          <w:w w:val="90"/>
          <w:sz w:val="16"/>
          <w:szCs w:val="16"/>
        </w:rPr>
        <w:t>5.8</w:t>
        <w:tab/>
        <w:t>3.2</w:t>
        <w:tab/>
      </w:r>
      <w:r>
        <w:rPr>
          <w:rFonts w:ascii="宋体" w:hAnsi="宋体" w:cs="宋体" w:eastAsia="宋体" w:hint="default"/>
          <w:sz w:val="16"/>
          <w:szCs w:val="16"/>
        </w:rPr>
        <w:t>增加</w:t>
      </w:r>
      <w:r>
        <w:rPr>
          <w:rFonts w:ascii="宋体" w:hAnsi="宋体" w:cs="宋体" w:eastAsia="宋体" w:hint="default"/>
          <w:spacing w:val="-50"/>
          <w:sz w:val="16"/>
          <w:szCs w:val="16"/>
        </w:rPr>
        <w:t> </w:t>
      </w:r>
      <w:r>
        <w:rPr>
          <w:rFonts w:ascii="宋体" w:hAnsi="宋体" w:cs="宋体" w:eastAsia="宋体" w:hint="default"/>
          <w:sz w:val="16"/>
          <w:szCs w:val="16"/>
        </w:rPr>
        <w:t>1.9</w:t>
      </w:r>
      <w:r>
        <w:rPr>
          <w:rFonts w:ascii="宋体" w:hAnsi="宋体" w:cs="宋体" w:eastAsia="宋体" w:hint="default"/>
          <w:spacing w:val="-50"/>
          <w:sz w:val="16"/>
          <w:szCs w:val="16"/>
        </w:rPr>
        <w:t> </w:t>
      </w:r>
      <w:r>
        <w:rPr>
          <w:rFonts w:ascii="宋体" w:hAnsi="宋体" w:cs="宋体" w:eastAsia="宋体" w:hint="default"/>
          <w:sz w:val="16"/>
          <w:szCs w:val="16"/>
        </w:rPr>
        <w:t>个百分点</w:t>
      </w:r>
    </w:p>
    <w:p>
      <w:pPr>
        <w:spacing w:line="240" w:lineRule="auto" w:before="7"/>
        <w:rPr>
          <w:rFonts w:ascii="宋体" w:hAnsi="宋体" w:cs="宋体" w:eastAsia="宋体" w:hint="default"/>
          <w:sz w:val="28"/>
          <w:szCs w:val="28"/>
        </w:rPr>
      </w:pPr>
    </w:p>
    <w:p>
      <w:pPr>
        <w:spacing w:before="41"/>
        <w:ind w:left="131" w:right="840" w:firstLine="0"/>
        <w:jc w:val="center"/>
        <w:rPr>
          <w:rFonts w:ascii="宋体" w:hAnsi="宋体" w:cs="宋体" w:eastAsia="宋体" w:hint="default"/>
          <w:sz w:val="16"/>
          <w:szCs w:val="16"/>
        </w:rPr>
      </w:pPr>
      <w:r>
        <w:rPr>
          <w:rFonts w:ascii="宋体" w:hAnsi="宋体" w:cs="宋体" w:eastAsia="宋体" w:hint="default"/>
          <w:sz w:val="16"/>
          <w:szCs w:val="16"/>
        </w:rPr>
        <w:t>主营业务分地区情况</w:t>
      </w:r>
    </w:p>
    <w:p>
      <w:pPr>
        <w:spacing w:after="0"/>
        <w:jc w:val="center"/>
        <w:rPr>
          <w:rFonts w:ascii="宋体" w:hAnsi="宋体" w:cs="宋体" w:eastAsia="宋体" w:hint="default"/>
          <w:sz w:val="16"/>
          <w:szCs w:val="16"/>
        </w:rPr>
        <w:sectPr>
          <w:type w:val="continuous"/>
          <w:pgSz w:w="11910" w:h="16160"/>
          <w:pgMar w:top="1520" w:bottom="280" w:left="700" w:right="0"/>
        </w:sectPr>
      </w:pPr>
    </w:p>
    <w:p>
      <w:pPr>
        <w:spacing w:line="240" w:lineRule="auto" w:before="0"/>
        <w:rPr>
          <w:rFonts w:ascii="宋体" w:hAnsi="宋体" w:cs="宋体" w:eastAsia="宋体" w:hint="default"/>
          <w:sz w:val="16"/>
          <w:szCs w:val="16"/>
        </w:rPr>
      </w:pPr>
    </w:p>
    <w:p>
      <w:pPr>
        <w:tabs>
          <w:tab w:pos="2231" w:val="left" w:leader="none"/>
          <w:tab w:pos="3365" w:val="left" w:leader="none"/>
          <w:tab w:pos="4502" w:val="left" w:leader="none"/>
        </w:tabs>
        <w:spacing w:before="111"/>
        <w:ind w:left="802" w:right="-19" w:firstLine="0"/>
        <w:jc w:val="left"/>
        <w:rPr>
          <w:rFonts w:ascii="宋体" w:hAnsi="宋体" w:cs="宋体" w:eastAsia="宋体" w:hint="default"/>
          <w:sz w:val="16"/>
          <w:szCs w:val="16"/>
        </w:rPr>
      </w:pPr>
      <w:r>
        <w:rPr>
          <w:rFonts w:ascii="宋体" w:hAnsi="宋体" w:cs="宋体" w:eastAsia="宋体" w:hint="default"/>
          <w:sz w:val="16"/>
          <w:szCs w:val="16"/>
        </w:rPr>
        <w:t>分行业</w:t>
        <w:tab/>
        <w:t>营业收入</w:t>
        <w:tab/>
        <w:t>营业成本</w:t>
        <w:tab/>
        <w:t>毛利率</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416" w:right="-19" w:firstLine="126"/>
        <w:jc w:val="left"/>
        <w:rPr>
          <w:rFonts w:ascii="宋体" w:hAnsi="宋体" w:cs="宋体" w:eastAsia="宋体" w:hint="default"/>
          <w:sz w:val="16"/>
          <w:szCs w:val="16"/>
        </w:rPr>
      </w:pPr>
      <w:r>
        <w:rPr>
          <w:rFonts w:ascii="宋体" w:hAnsi="宋体" w:cs="宋体" w:eastAsia="宋体" w:hint="default"/>
          <w:sz w:val="16"/>
          <w:szCs w:val="16"/>
        </w:rPr>
        <w:t>营业收入比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405" w:right="-19" w:firstLine="126"/>
        <w:jc w:val="left"/>
        <w:rPr>
          <w:rFonts w:ascii="宋体" w:hAnsi="宋体" w:cs="宋体" w:eastAsia="宋体" w:hint="default"/>
          <w:sz w:val="16"/>
          <w:szCs w:val="16"/>
        </w:rPr>
      </w:pPr>
      <w:r>
        <w:rPr>
          <w:rFonts w:ascii="宋体" w:hAnsi="宋体" w:cs="宋体" w:eastAsia="宋体" w:hint="default"/>
          <w:sz w:val="16"/>
          <w:szCs w:val="16"/>
        </w:rPr>
        <w:t>营业成本比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699" w:right="1495" w:firstLine="286"/>
        <w:jc w:val="left"/>
        <w:rPr>
          <w:rFonts w:ascii="宋体" w:hAnsi="宋体" w:cs="宋体" w:eastAsia="宋体" w:hint="default"/>
          <w:sz w:val="16"/>
          <w:szCs w:val="16"/>
        </w:rPr>
      </w:pPr>
      <w:r>
        <w:rPr>
          <w:rFonts w:ascii="宋体" w:hAnsi="宋体" w:cs="宋体" w:eastAsia="宋体" w:hint="default"/>
          <w:sz w:val="16"/>
          <w:szCs w:val="16"/>
        </w:rPr>
        <w:t>毛利率比 上年增减</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after="0" w:line="200" w:lineRule="exact"/>
        <w:jc w:val="left"/>
        <w:rPr>
          <w:rFonts w:ascii="宋体" w:hAnsi="宋体" w:cs="宋体" w:eastAsia="宋体" w:hint="default"/>
          <w:sz w:val="16"/>
          <w:szCs w:val="16"/>
        </w:rPr>
        <w:sectPr>
          <w:type w:val="continuous"/>
          <w:pgSz w:w="11910" w:h="16160"/>
          <w:pgMar w:top="1520" w:bottom="280" w:left="700" w:right="0"/>
          <w:cols w:num="4" w:equalWidth="0">
            <w:col w:w="5270" w:space="40"/>
            <w:col w:w="1344" w:space="40"/>
            <w:col w:w="1333" w:space="40"/>
            <w:col w:w="3143"/>
          </w:cols>
        </w:sectPr>
      </w:pPr>
    </w:p>
    <w:p>
      <w:pPr>
        <w:spacing w:line="240" w:lineRule="auto" w:before="10"/>
        <w:rPr>
          <w:rFonts w:ascii="宋体" w:hAnsi="宋体" w:cs="宋体" w:eastAsia="宋体" w:hint="default"/>
          <w:sz w:val="10"/>
          <w:szCs w:val="10"/>
        </w:rPr>
      </w:pPr>
    </w:p>
    <w:p>
      <w:pPr>
        <w:tabs>
          <w:tab w:pos="2294" w:val="left" w:leader="none"/>
          <w:tab w:pos="3428" w:val="left" w:leader="none"/>
          <w:tab w:pos="4959" w:val="left" w:leader="none"/>
          <w:tab w:pos="6431" w:val="left" w:leader="none"/>
          <w:tab w:pos="7803" w:val="left" w:leader="none"/>
          <w:tab w:pos="8429" w:val="left" w:leader="none"/>
        </w:tabs>
        <w:spacing w:before="38"/>
        <w:ind w:left="802" w:right="1314" w:firstLine="0"/>
        <w:jc w:val="left"/>
        <w:rPr>
          <w:rFonts w:ascii="宋体" w:hAnsi="宋体" w:cs="宋体" w:eastAsia="宋体" w:hint="default"/>
          <w:sz w:val="16"/>
          <w:szCs w:val="16"/>
        </w:rPr>
      </w:pPr>
      <w:r>
        <w:rPr>
          <w:rFonts w:ascii="宋体" w:hAnsi="宋体" w:cs="宋体" w:eastAsia="宋体" w:hint="default"/>
          <w:sz w:val="16"/>
          <w:szCs w:val="16"/>
        </w:rPr>
        <w:t>全国范围内</w:t>
        <w:tab/>
        <w:t>290,877</w:t>
        <w:tab/>
        <w:t>214,975</w:t>
        <w:tab/>
      </w:r>
      <w:r>
        <w:rPr>
          <w:rFonts w:ascii="宋体" w:hAnsi="宋体" w:cs="宋体" w:eastAsia="宋体" w:hint="default"/>
          <w:w w:val="95"/>
          <w:sz w:val="16"/>
          <w:szCs w:val="16"/>
        </w:rPr>
        <w:t>26.1</w:t>
        <w:tab/>
      </w:r>
      <w:r>
        <w:rPr>
          <w:rFonts w:ascii="宋体" w:hAnsi="宋体" w:cs="宋体" w:eastAsia="宋体" w:hint="default"/>
          <w:w w:val="90"/>
          <w:sz w:val="16"/>
          <w:szCs w:val="16"/>
        </w:rPr>
        <w:t>5.8</w:t>
        <w:tab/>
        <w:t>3.2</w:t>
        <w:tab/>
      </w:r>
      <w:r>
        <w:rPr>
          <w:rFonts w:ascii="宋体" w:hAnsi="宋体" w:cs="宋体" w:eastAsia="宋体" w:hint="default"/>
          <w:sz w:val="16"/>
          <w:szCs w:val="16"/>
        </w:rPr>
        <w:t>增加</w:t>
      </w:r>
      <w:r>
        <w:rPr>
          <w:rFonts w:ascii="宋体" w:hAnsi="宋体" w:cs="宋体" w:eastAsia="宋体" w:hint="default"/>
          <w:spacing w:val="-50"/>
          <w:sz w:val="16"/>
          <w:szCs w:val="16"/>
        </w:rPr>
        <w:t> </w:t>
      </w:r>
      <w:r>
        <w:rPr>
          <w:rFonts w:ascii="宋体" w:hAnsi="宋体" w:cs="宋体" w:eastAsia="宋体" w:hint="default"/>
          <w:sz w:val="16"/>
          <w:szCs w:val="16"/>
        </w:rPr>
        <w:t>1.9</w:t>
      </w:r>
      <w:r>
        <w:rPr>
          <w:rFonts w:ascii="宋体" w:hAnsi="宋体" w:cs="宋体" w:eastAsia="宋体" w:hint="default"/>
          <w:spacing w:val="-50"/>
          <w:sz w:val="16"/>
          <w:szCs w:val="16"/>
        </w:rPr>
        <w:t> </w:t>
      </w:r>
      <w:r>
        <w:rPr>
          <w:rFonts w:ascii="宋体" w:hAnsi="宋体" w:cs="宋体" w:eastAsia="宋体" w:hint="default"/>
          <w:sz w:val="16"/>
          <w:szCs w:val="16"/>
        </w:rPr>
        <w:t>个百分点</w:t>
      </w:r>
    </w:p>
    <w:p>
      <w:pPr>
        <w:spacing w:line="240" w:lineRule="auto" w:before="12"/>
        <w:rPr>
          <w:rFonts w:ascii="宋体" w:hAnsi="宋体" w:cs="宋体" w:eastAsia="宋体" w:hint="default"/>
          <w:sz w:val="20"/>
          <w:szCs w:val="20"/>
        </w:rPr>
      </w:pPr>
    </w:p>
    <w:p>
      <w:pPr>
        <w:pStyle w:val="BodyText"/>
        <w:spacing w:line="240" w:lineRule="auto" w:before="31"/>
        <w:ind w:left="887" w:right="1314"/>
        <w:jc w:val="left"/>
        <w:rPr>
          <w:rFonts w:ascii="宋体" w:hAnsi="宋体" w:cs="宋体" w:eastAsia="宋体" w:hint="default"/>
        </w:rPr>
      </w:pPr>
      <w:r>
        <w:rPr>
          <w:rFonts w:ascii="宋体" w:hAnsi="宋体" w:cs="宋体" w:eastAsia="宋体" w:hint="default"/>
        </w:rPr>
        <w:t>主营业务分行业、分产品、分地区情况的说明</w:t>
      </w:r>
    </w:p>
    <w:p>
      <w:pPr>
        <w:pStyle w:val="BodyText"/>
        <w:spacing w:line="240" w:lineRule="auto" w:before="157"/>
        <w:ind w:left="887" w:right="1314"/>
        <w:jc w:val="left"/>
        <w:rPr>
          <w:rFonts w:ascii="宋体" w:hAnsi="宋体" w:cs="宋体" w:eastAsia="宋体" w:hint="default"/>
        </w:rPr>
      </w:pPr>
      <w:r>
        <w:rPr>
          <w:rFonts w:ascii="宋体" w:hAnsi="宋体" w:cs="宋体" w:eastAsia="宋体" w:hint="default"/>
          <w:w w:val="95"/>
        </w:rPr>
        <w:t>1. </w:t>
      </w:r>
      <w:r>
        <w:rPr>
          <w:rFonts w:ascii="宋体" w:hAnsi="宋体" w:cs="宋体" w:eastAsia="宋体" w:hint="default"/>
          <w:spacing w:val="41"/>
          <w:w w:val="95"/>
        </w:rPr>
        <w:t> </w:t>
      </w:r>
      <w:r>
        <w:rPr>
          <w:rFonts w:ascii="宋体" w:hAnsi="宋体" w:cs="宋体" w:eastAsia="宋体" w:hint="default"/>
          <w:w w:val="95"/>
        </w:rPr>
        <w:t>上述资料所列的“营业成本”包括税金及附加；</w:t>
      </w:r>
    </w:p>
    <w:p>
      <w:pPr>
        <w:pStyle w:val="BodyText"/>
        <w:spacing w:line="285" w:lineRule="auto" w:before="157"/>
        <w:ind w:left="887" w:right="1314"/>
        <w:jc w:val="left"/>
        <w:rPr>
          <w:rFonts w:ascii="宋体" w:hAnsi="宋体" w:cs="宋体" w:eastAsia="宋体" w:hint="default"/>
        </w:rPr>
      </w:pPr>
      <w:r>
        <w:rPr>
          <w:rFonts w:ascii="宋体" w:hAnsi="宋体" w:cs="宋体" w:eastAsia="宋体" w:hint="default"/>
          <w:spacing w:val="-1"/>
          <w:w w:val="83"/>
        </w:rPr>
        <w:t>2.</w:t>
      </w:r>
      <w:r>
        <w:rPr>
          <w:rFonts w:ascii="宋体" w:hAnsi="宋体" w:cs="宋体" w:eastAsia="宋体" w:hint="default"/>
          <w:w w:val="83"/>
        </w:rPr>
        <w:t> </w:t>
      </w:r>
      <w:r>
        <w:rPr>
          <w:rFonts w:ascii="宋体" w:hAnsi="宋体" w:cs="宋体" w:eastAsia="宋体" w:hint="default"/>
        </w:rPr>
        <w:t>本公司的主要经营决策者根据内部管理职能分配资源，将本集团视为一个整体而非以业务之种类或地区角度进</w:t>
      </w:r>
      <w:r>
        <w:rPr>
          <w:rFonts w:ascii="宋体" w:hAnsi="宋体" w:cs="宋体" w:eastAsia="宋体" w:hint="default"/>
          <w:spacing w:val="-73"/>
        </w:rPr>
        <w:t> </w:t>
      </w:r>
      <w:r>
        <w:rPr>
          <w:rFonts w:ascii="宋体" w:hAnsi="宋体" w:cs="宋体" w:eastAsia="宋体" w:hint="default"/>
          <w:spacing w:val="-73"/>
        </w:rPr>
      </w:r>
      <w:r>
        <w:rPr>
          <w:rFonts w:ascii="宋体" w:hAnsi="宋体" w:cs="宋体" w:eastAsia="宋体" w:hint="default"/>
        </w:rPr>
        <w:t>行业绩评估，因此，本集团只有一个经营分部。本集团业务大部于中国境内开展。</w:t>
      </w:r>
    </w:p>
    <w:p>
      <w:pPr>
        <w:pStyle w:val="BodyText"/>
        <w:spacing w:line="240" w:lineRule="auto" w:before="123"/>
        <w:ind w:left="887" w:right="1314"/>
        <w:jc w:val="left"/>
        <w:rPr>
          <w:rFonts w:ascii="宋体" w:hAnsi="宋体" w:cs="宋体" w:eastAsia="宋体" w:hint="default"/>
        </w:rPr>
      </w:pPr>
      <w:r>
        <w:rPr>
          <w:rFonts w:ascii="宋体" w:hAnsi="宋体" w:cs="宋体" w:eastAsia="宋体" w:hint="default"/>
          <w:w w:val="95"/>
        </w:rPr>
        <w:t>3.</w:t>
      </w:r>
      <w:r>
        <w:rPr>
          <w:rFonts w:ascii="宋体" w:hAnsi="宋体" w:cs="宋体" w:eastAsia="宋体" w:hint="default"/>
          <w:spacing w:val="-69"/>
          <w:w w:val="95"/>
        </w:rPr>
        <w:t> </w:t>
      </w:r>
      <w:r>
        <w:rPr>
          <w:rFonts w:ascii="宋体" w:hAnsi="宋体" w:cs="宋体" w:eastAsia="宋体" w:hint="default"/>
          <w:w w:val="110"/>
        </w:rPr>
        <w:t>毛利率</w:t>
      </w:r>
      <w:r>
        <w:rPr>
          <w:rFonts w:ascii="宋体" w:hAnsi="宋体" w:cs="宋体" w:eastAsia="宋体" w:hint="default"/>
          <w:spacing w:val="-83"/>
          <w:w w:val="110"/>
        </w:rPr>
        <w:t> </w:t>
      </w:r>
      <w:r>
        <w:rPr>
          <w:rFonts w:ascii="宋体" w:hAnsi="宋体" w:cs="宋体" w:eastAsia="宋体" w:hint="default"/>
          <w:w w:val="110"/>
        </w:rPr>
        <w:t>=</w:t>
      </w:r>
      <w:r>
        <w:rPr>
          <w:rFonts w:ascii="宋体" w:hAnsi="宋体" w:cs="宋体" w:eastAsia="宋体" w:hint="default"/>
          <w:spacing w:val="-81"/>
          <w:w w:val="110"/>
        </w:rPr>
        <w:t> </w:t>
      </w:r>
      <w:r>
        <w:rPr>
          <w:rFonts w:ascii="宋体" w:hAnsi="宋体" w:cs="宋体" w:eastAsia="宋体" w:hint="default"/>
          <w:w w:val="95"/>
        </w:rPr>
        <w:t>(</w:t>
      </w:r>
      <w:r>
        <w:rPr>
          <w:rFonts w:ascii="宋体" w:hAnsi="宋体" w:cs="宋体" w:eastAsia="宋体" w:hint="default"/>
          <w:spacing w:val="-68"/>
          <w:w w:val="95"/>
        </w:rPr>
        <w:t> </w:t>
      </w:r>
      <w:r>
        <w:rPr>
          <w:rFonts w:ascii="宋体" w:hAnsi="宋体" w:cs="宋体" w:eastAsia="宋体" w:hint="default"/>
          <w:w w:val="110"/>
        </w:rPr>
        <w:t>营业收入</w:t>
      </w:r>
      <w:r>
        <w:rPr>
          <w:rFonts w:ascii="宋体" w:hAnsi="宋体" w:cs="宋体" w:eastAsia="宋体" w:hint="default"/>
          <w:spacing w:val="-83"/>
          <w:w w:val="110"/>
        </w:rPr>
        <w:t> </w:t>
      </w:r>
      <w:r>
        <w:rPr>
          <w:rFonts w:ascii="宋体" w:hAnsi="宋体" w:cs="宋体" w:eastAsia="宋体" w:hint="default"/>
          <w:w w:val="110"/>
        </w:rPr>
        <w:t>-</w:t>
      </w:r>
      <w:r>
        <w:rPr>
          <w:rFonts w:ascii="宋体" w:hAnsi="宋体" w:cs="宋体" w:eastAsia="宋体" w:hint="default"/>
          <w:spacing w:val="-83"/>
          <w:w w:val="110"/>
        </w:rPr>
        <w:t> </w:t>
      </w:r>
      <w:r>
        <w:rPr>
          <w:rFonts w:ascii="宋体" w:hAnsi="宋体" w:cs="宋体" w:eastAsia="宋体" w:hint="default"/>
          <w:w w:val="110"/>
        </w:rPr>
        <w:t>营业成本</w:t>
      </w:r>
      <w:r>
        <w:rPr>
          <w:rFonts w:ascii="宋体" w:hAnsi="宋体" w:cs="宋体" w:eastAsia="宋体" w:hint="default"/>
          <w:spacing w:val="-81"/>
          <w:w w:val="110"/>
        </w:rPr>
        <w:t> </w:t>
      </w:r>
      <w:r>
        <w:rPr>
          <w:rFonts w:ascii="宋体" w:hAnsi="宋体" w:cs="宋体" w:eastAsia="宋体" w:hint="default"/>
          <w:w w:val="95"/>
        </w:rPr>
        <w:t>)</w:t>
      </w:r>
      <w:r>
        <w:rPr>
          <w:rFonts w:ascii="宋体" w:hAnsi="宋体" w:cs="宋体" w:eastAsia="宋体" w:hint="default"/>
          <w:spacing w:val="-68"/>
          <w:w w:val="95"/>
        </w:rPr>
        <w:t> </w:t>
      </w:r>
      <w:r>
        <w:rPr>
          <w:rFonts w:ascii="宋体" w:hAnsi="宋体" w:cs="宋体" w:eastAsia="宋体" w:hint="default"/>
          <w:w w:val="95"/>
        </w:rPr>
        <w:t>/</w:t>
      </w:r>
      <w:r>
        <w:rPr>
          <w:rFonts w:ascii="宋体" w:hAnsi="宋体" w:cs="宋体" w:eastAsia="宋体" w:hint="default"/>
          <w:spacing w:val="-69"/>
          <w:w w:val="95"/>
        </w:rPr>
        <w:t> </w:t>
      </w:r>
      <w:r>
        <w:rPr>
          <w:rFonts w:ascii="宋体" w:hAnsi="宋体" w:cs="宋体" w:eastAsia="宋体" w:hint="default"/>
          <w:w w:val="110"/>
        </w:rPr>
        <w:t>营业收入</w:t>
      </w:r>
      <w:r>
        <w:rPr>
          <w:rFonts w:ascii="宋体" w:hAnsi="宋体" w:cs="宋体" w:eastAsia="宋体" w:hint="default"/>
          <w:spacing w:val="-83"/>
          <w:w w:val="110"/>
        </w:rPr>
        <w:t> </w:t>
      </w:r>
      <w:r>
        <w:rPr>
          <w:rFonts w:ascii="宋体" w:hAnsi="宋体" w:cs="宋体" w:eastAsia="宋体" w:hint="default"/>
          <w:w w:val="110"/>
        </w:rPr>
        <w:t>*100%。</w:t>
      </w:r>
      <w:r>
        <w:rPr>
          <w:rFonts w:ascii="宋体" w:hAnsi="宋体" w:cs="宋体" w:eastAsia="宋体" w:hint="default"/>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after="0" w:line="240" w:lineRule="auto"/>
        <w:rPr>
          <w:rFonts w:ascii="宋体" w:hAnsi="宋体" w:cs="宋体" w:eastAsia="宋体" w:hint="default"/>
          <w:sz w:val="25"/>
          <w:szCs w:val="25"/>
        </w:rPr>
        <w:sectPr>
          <w:type w:val="continuous"/>
          <w:pgSz w:w="11910" w:h="16160"/>
          <w:pgMar w:top="1520" w:bottom="280" w:left="700" w:right="0"/>
        </w:sectPr>
      </w:pPr>
    </w:p>
    <w:p>
      <w:pPr>
        <w:tabs>
          <w:tab w:pos="5277" w:val="left" w:leader="none"/>
        </w:tabs>
        <w:spacing w:before="61"/>
        <w:ind w:left="114" w:right="0" w:firstLine="0"/>
        <w:jc w:val="left"/>
        <w:rPr>
          <w:rFonts w:ascii="宋体" w:hAnsi="宋体" w:cs="宋体" w:eastAsia="宋体" w:hint="default"/>
          <w:sz w:val="16"/>
          <w:szCs w:val="16"/>
        </w:rPr>
      </w:pPr>
      <w:r>
        <w:rPr/>
        <w:pict>
          <v:group style="position:absolute;margin-left:-.5pt;margin-top:119.055023pt;width:596.3pt;height:689.35pt;mso-position-horizontal-relative:page;mso-position-vertical-relative:page;z-index:-966592" coordorigin="-10,2381" coordsize="11926,13787">
            <v:shape style="position:absolute;left:9259;top:6539;width:340;height:340" type="#_x0000_t75" stroked="false">
              <v:imagedata r:id="rId85" o:title=""/>
            </v:shape>
            <v:group style="position:absolute;left:5621;top:6695;width:3823;height:4059" coordorigin="5621,6695" coordsize="3823,4059">
              <v:shape style="position:absolute;left:5621;top:6695;width:3823;height:4059" coordorigin="5621,6695" coordsize="3823,4059" path="m9443,6695l5621,10753e" filled="false" stroked="true" strokeweight="1pt" strokecolor="#9c8758">
                <v:path arrowok="t"/>
              </v:shape>
            </v:group>
            <v:group style="position:absolute;left:0;top:2500;width:7159;height:7304" coordorigin="0,2500" coordsize="7159,7304">
              <v:shape style="position:absolute;left:0;top:2500;width:7159;height:7304" coordorigin="0,2500" coordsize="7159,7304" path="m337,9804l0,9804,0,6187,3444,2500,7159,2500,337,9804xe" filled="true" fillcolor="#8e9090" stroked="false">
                <v:path arrowok="t"/>
                <v:fill type="solid"/>
              </v:shape>
            </v:group>
            <v:group style="position:absolute;left:6181;top:9987;width:5725;height:6171" coordorigin="6181,9987" coordsize="5725,6171">
              <v:shape style="position:absolute;left:6181;top:9987;width:5725;height:6171" coordorigin="6181,9987" coordsize="5725,6171" path="m11906,16157l6181,16157,11906,9987,11906,16157xe" filled="true" fillcolor="#8e9090" stroked="false">
                <v:path arrowok="t"/>
                <v:fill type="solid"/>
              </v:shape>
            </v:group>
            <v:group style="position:absolute;left:6816;top:10672;width:5090;height:5486" coordorigin="6816,10672" coordsize="5090,5486">
              <v:shape style="position:absolute;left:6816;top:10672;width:5090;height:5486" coordorigin="6816,10672" coordsize="5090,5486" path="m11906,16157l6816,16157,11906,10672,11906,16157xe" filled="true" fillcolor="#d7000f" stroked="false">
                <v:path arrowok="t"/>
                <v:fill type="solid"/>
              </v:shape>
              <v:shape style="position:absolute;left:2072;top:2665;width:340;height:340" type="#_x0000_t75" stroked="false">
                <v:imagedata r:id="rId86" o:title=""/>
              </v:shape>
            </v:group>
            <v:group style="position:absolute;left:0;top:2778;width:2299;height:2474" coordorigin="0,2778" coordsize="2299,2474">
              <v:shape style="position:absolute;left:0;top:2778;width:2299;height:2474" coordorigin="0,2778" coordsize="2299,2474" path="m2298,2778l0,5252e" filled="false" stroked="true" strokeweight="1pt" strokecolor="#000000">
                <v:path arrowok="t"/>
              </v:shape>
            </v:group>
            <v:group style="position:absolute;left:0;top:12410;width:434;height:447" coordorigin="0,12410" coordsize="434,447">
              <v:shape style="position:absolute;left:0;top:12410;width:434;height:447" coordorigin="0,12410" coordsize="434,447" path="m433,12410l0,12857e" filled="false" stroked="true" strokeweight="1pt" strokecolor="#8e9090">
                <v:path arrowok="t"/>
              </v:shape>
              <v:shape style="position:absolute;left:298;top:12307;width:241;height:241" type="#_x0000_t75" stroked="false">
                <v:imagedata r:id="rId87" o:title=""/>
              </v:shape>
            </v:group>
            <v:group style="position:absolute;left:4935;top:12190;width:3851;height:3968" coordorigin="4935,12190" coordsize="3851,3968">
              <v:shape style="position:absolute;left:4935;top:12190;width:3851;height:3968" coordorigin="4935,12190" coordsize="3851,3968" path="m8785,12190l4935,16157e" filled="false" stroked="true" strokeweight="1pt" strokecolor="#8e9090">
                <v:path arrowok="t"/>
              </v:shape>
              <v:shape style="position:absolute;left:8634;top:12076;width:268;height:268" type="#_x0000_t75" stroked="false">
                <v:imagedata r:id="rId88" o:title=""/>
              </v:shape>
            </v:group>
            <v:group style="position:absolute;left:8600;top:13607;width:2475;height:2551" coordorigin="8600,13607" coordsize="2475,2551">
              <v:shape style="position:absolute;left:8600;top:13607;width:2475;height:2551" coordorigin="8600,13607" coordsize="2475,2551" path="m11075,13607l8600,16157e" filled="false" stroked="true" strokeweight="1pt" strokecolor="#d7000f">
                <v:path arrowok="t"/>
              </v:shape>
              <v:shape style="position:absolute;left:10923;top:13493;width:268;height:268" type="#_x0000_t75" stroked="false">
                <v:imagedata r:id="rId89" o:title=""/>
              </v:shape>
            </v:group>
            <v:group style="position:absolute;left:2349;top:8171;width:7527;height:7987" coordorigin="2349,8171" coordsize="7527,7987">
              <v:shape style="position:absolute;left:2349;top:8171;width:7527;height:7987" coordorigin="2349,8171" coordsize="7527,7987" path="m9876,8171l2349,16157e" filled="false" stroked="true" strokeweight="1pt" strokecolor="#000000">
                <v:path arrowok="t"/>
              </v:shape>
              <v:shape style="position:absolute;left:11425;top:3255;width:491;height:500" type="#_x0000_t75" stroked="false">
                <v:imagedata r:id="rId90" o:title=""/>
              </v:shape>
            </v:group>
            <v:group style="position:absolute;left:6123;top:8308;width:5783;height:7850" coordorigin="6123,8308" coordsize="5783,7850">
              <v:shape style="position:absolute;left:6123;top:8308;width:5783;height:7850" coordorigin="6123,8308" coordsize="5783,7850" path="m11906,16157l11906,8308,6123,8308,6123,16157,11906,16157xe" filled="true" fillcolor="#ffffff" stroked="false">
                <v:path arrowok="t"/>
                <v:fill type="solid"/>
              </v:shape>
            </v:group>
            <v:group style="position:absolute;left:0;top:2381;width:10656;height:12867" coordorigin="0,2381" coordsize="10656,12867">
              <v:shape style="position:absolute;left:0;top:2381;width:10656;height:12867" coordorigin="0,2381" coordsize="10656,12867" path="m0,2381l0,15248,10655,15248,10655,2381,0,2381xe" filled="true" fillcolor="#ffffff" stroked="false">
                <v:path arrowok="t"/>
                <v:fill type="solid"/>
              </v:shape>
            </v:group>
            <v:group style="position:absolute;left:1417;top:7194;width:3629;height:2" coordorigin="1417,7194" coordsize="3629,2">
              <v:shape style="position:absolute;left:1417;top:7194;width:3629;height:2" coordorigin="1417,7194" coordsize="3629,0" path="m1417,7194l5046,7194e" filled="false" stroked="true" strokeweight=".5pt" strokecolor="#000000">
                <v:path arrowok="t"/>
              </v:shape>
            </v:group>
            <v:group style="position:absolute;left:5046;top:7194;width:1815;height:2" coordorigin="5046,7194" coordsize="1815,2">
              <v:shape style="position:absolute;left:5046;top:7194;width:1815;height:2" coordorigin="5046,7194" coordsize="1815,0" path="m5046,7194l6860,7194e" filled="false" stroked="true" strokeweight=".5pt" strokecolor="#d7000f">
                <v:path arrowok="t"/>
              </v:shape>
            </v:group>
            <v:group style="position:absolute;left:6860;top:7194;width:1815;height:2" coordorigin="6860,7194" coordsize="1815,2">
              <v:shape style="position:absolute;left:6860;top:7194;width:1815;height:2" coordorigin="6860,7194" coordsize="1815,0" path="m6860,7194l8674,7194e" filled="false" stroked="true" strokeweight=".5pt" strokecolor="#000000">
                <v:path arrowok="t"/>
              </v:shape>
            </v:group>
            <v:group style="position:absolute;left:8674;top:7194;width:1815;height:2" coordorigin="8674,7194" coordsize="1815,2">
              <v:shape style="position:absolute;left:8674;top:7194;width:1815;height:2" coordorigin="8674,7194" coordsize="1815,0" path="m8674,7194l10488,7194e" filled="false" stroked="true" strokeweight=".5pt" strokecolor="#000000">
                <v:path arrowok="t"/>
              </v:shape>
            </v:group>
            <v:group style="position:absolute;left:1417;top:9263;width:1106;height:2" coordorigin="1417,9263" coordsize="1106,2">
              <v:shape style="position:absolute;left:1417;top:9263;width:1106;height:2" coordorigin="1417,9263" coordsize="1106,0" path="m1417,9263l2523,9263e" filled="false" stroked="true" strokeweight="2pt" strokecolor="#9c8758">
                <v:path arrowok="t"/>
              </v:shape>
            </v:group>
            <v:group style="position:absolute;left:2523;top:9263;width:1134;height:2" coordorigin="2523,9263" coordsize="1134,2">
              <v:shape style="position:absolute;left:2523;top:9263;width:1134;height:2" coordorigin="2523,9263" coordsize="1134,0" path="m2523,9263l3657,9263e" filled="false" stroked="true" strokeweight="2pt" strokecolor="#9c8758">
                <v:path arrowok="t"/>
              </v:shape>
            </v:group>
            <v:group style="position:absolute;left:3657;top:9263;width:1134;height:2" coordorigin="3657,9263" coordsize="1134,2">
              <v:shape style="position:absolute;left:3657;top:9263;width:1134;height:2" coordorigin="3657,9263" coordsize="1134,0" path="m3657,9263l4791,9263e" filled="false" stroked="true" strokeweight="2pt" strokecolor="#9c8758">
                <v:path arrowok="t"/>
              </v:shape>
            </v:group>
            <v:group style="position:absolute;left:4791;top:9263;width:1265;height:2" coordorigin="4791,9263" coordsize="1265,2">
              <v:shape style="position:absolute;left:4791;top:9263;width:1265;height:2" coordorigin="4791,9263" coordsize="1265,0" path="m4791,9263l6055,9263e" filled="false" stroked="true" strokeweight="2pt" strokecolor="#9c8758">
                <v:path arrowok="t"/>
              </v:shape>
            </v:group>
            <v:group style="position:absolute;left:6055;top:9263;width:1384;height:2" coordorigin="6055,9263" coordsize="1384,2">
              <v:shape style="position:absolute;left:6055;top:9263;width:1384;height:2" coordorigin="6055,9263" coordsize="1384,0" path="m6055,9263l7438,9263e" filled="false" stroked="true" strokeweight="2pt" strokecolor="#9c8758">
                <v:path arrowok="t"/>
              </v:shape>
            </v:group>
            <v:group style="position:absolute;left:7438;top:9263;width:1372;height:2" coordorigin="7438,9263" coordsize="1372,2">
              <v:shape style="position:absolute;left:7438;top:9263;width:1372;height:2" coordorigin="7438,9263" coordsize="1372,0" path="m7438,9263l8810,9263e" filled="false" stroked="true" strokeweight="2pt" strokecolor="#9c8758">
                <v:path arrowok="t"/>
              </v:shape>
            </v:group>
            <v:group style="position:absolute;left:8810;top:9263;width:1667;height:2" coordorigin="8810,9263" coordsize="1667,2">
              <v:shape style="position:absolute;left:8810;top:9263;width:1667;height:2" coordorigin="8810,9263" coordsize="1667,0" path="m8810,9263l10477,9263e" filled="false" stroked="true" strokeweight="2pt" strokecolor="#9c8758">
                <v:path arrowok="t"/>
              </v:shape>
            </v:group>
            <v:group style="position:absolute;left:1417;top:9684;width:1106;height:2" coordorigin="1417,9684" coordsize="1106,2">
              <v:shape style="position:absolute;left:1417;top:9684;width:1106;height:2" coordorigin="1417,9684" coordsize="1106,0" path="m1417,9684l2523,9684e" filled="false" stroked="true" strokeweight=".5pt" strokecolor="#000000">
                <v:path arrowok="t"/>
              </v:shape>
            </v:group>
            <v:group style="position:absolute;left:2523;top:9684;width:1134;height:2" coordorigin="2523,9684" coordsize="1134,2">
              <v:shape style="position:absolute;left:2523;top:9684;width:1134;height:2" coordorigin="2523,9684" coordsize="1134,0" path="m2523,9684l3657,9684e" filled="false" stroked="true" strokeweight=".5pt" strokecolor="#000000">
                <v:path arrowok="t"/>
              </v:shape>
            </v:group>
            <v:group style="position:absolute;left:3657;top:9684;width:1134;height:2" coordorigin="3657,9684" coordsize="1134,2">
              <v:shape style="position:absolute;left:3657;top:9684;width:1134;height:2" coordorigin="3657,9684" coordsize="1134,0" path="m3657,9684l4791,9684e" filled="false" stroked="true" strokeweight=".5pt" strokecolor="#000000">
                <v:path arrowok="t"/>
              </v:shape>
            </v:group>
            <v:group style="position:absolute;left:4791;top:9684;width:1265;height:2" coordorigin="4791,9684" coordsize="1265,2">
              <v:shape style="position:absolute;left:4791;top:9684;width:1265;height:2" coordorigin="4791,9684" coordsize="1265,0" path="m4791,9684l6055,9684e" filled="false" stroked="true" strokeweight=".5pt" strokecolor="#000000">
                <v:path arrowok="t"/>
              </v:shape>
            </v:group>
            <v:group style="position:absolute;left:6055;top:9684;width:1384;height:2" coordorigin="6055,9684" coordsize="1384,2">
              <v:shape style="position:absolute;left:6055;top:9684;width:1384;height:2" coordorigin="6055,9684" coordsize="1384,0" path="m6055,9684l7438,9684e" filled="false" stroked="true" strokeweight=".5pt" strokecolor="#000000">
                <v:path arrowok="t"/>
              </v:shape>
            </v:group>
            <v:group style="position:absolute;left:7438;top:9684;width:1372;height:2" coordorigin="7438,9684" coordsize="1372,2">
              <v:shape style="position:absolute;left:7438;top:9684;width:1372;height:2" coordorigin="7438,9684" coordsize="1372,0" path="m7438,9684l8810,9684e" filled="false" stroked="true" strokeweight=".5pt" strokecolor="#000000">
                <v:path arrowok="t"/>
              </v:shape>
            </v:group>
            <v:group style="position:absolute;left:8810;top:9684;width:1667;height:2" coordorigin="8810,9684" coordsize="1667,2">
              <v:shape style="position:absolute;left:8810;top:9684;width:1667;height:2" coordorigin="8810,9684" coordsize="1667,0" path="m8810,9684l10477,9684e" filled="false" stroked="true" strokeweight=".5pt" strokecolor="#000000">
                <v:path arrowok="t"/>
              </v:shape>
            </v:group>
            <v:group style="position:absolute;left:1417;top:10823;width:1106;height:2" coordorigin="1417,10823" coordsize="1106,2">
              <v:shape style="position:absolute;left:1417;top:10823;width:1106;height:2" coordorigin="1417,10823" coordsize="1106,0" path="m1417,10823l2523,10823e" filled="false" stroked="true" strokeweight="2pt" strokecolor="#9c8758">
                <v:path arrowok="t"/>
              </v:shape>
            </v:group>
            <v:group style="position:absolute;left:2523;top:10823;width:1134;height:2" coordorigin="2523,10823" coordsize="1134,2">
              <v:shape style="position:absolute;left:2523;top:10823;width:1134;height:2" coordorigin="2523,10823" coordsize="1134,0" path="m2523,10823l3657,10823e" filled="false" stroked="true" strokeweight="2pt" strokecolor="#9c8758">
                <v:path arrowok="t"/>
              </v:shape>
            </v:group>
            <v:group style="position:absolute;left:3657;top:10823;width:1134;height:2" coordorigin="3657,10823" coordsize="1134,2">
              <v:shape style="position:absolute;left:3657;top:10823;width:1134;height:2" coordorigin="3657,10823" coordsize="1134,0" path="m3657,10823l4791,10823e" filled="false" stroked="true" strokeweight="2pt" strokecolor="#9c8758">
                <v:path arrowok="t"/>
              </v:shape>
            </v:group>
            <v:group style="position:absolute;left:4791;top:10823;width:1265;height:2" coordorigin="4791,10823" coordsize="1265,2">
              <v:shape style="position:absolute;left:4791;top:10823;width:1265;height:2" coordorigin="4791,10823" coordsize="1265,0" path="m4791,10823l6055,10823e" filled="false" stroked="true" strokeweight="2pt" strokecolor="#9c8758">
                <v:path arrowok="t"/>
              </v:shape>
            </v:group>
            <v:group style="position:absolute;left:6055;top:10823;width:1384;height:2" coordorigin="6055,10823" coordsize="1384,2">
              <v:shape style="position:absolute;left:6055;top:10823;width:1384;height:2" coordorigin="6055,10823" coordsize="1384,0" path="m6055,10823l7438,10823e" filled="false" stroked="true" strokeweight="2pt" strokecolor="#9c8758">
                <v:path arrowok="t"/>
              </v:shape>
            </v:group>
            <v:group style="position:absolute;left:7438;top:10823;width:1372;height:2" coordorigin="7438,10823" coordsize="1372,2">
              <v:shape style="position:absolute;left:7438;top:10823;width:1372;height:2" coordorigin="7438,10823" coordsize="1372,0" path="m7438,10823l8810,10823e" filled="false" stroked="true" strokeweight="2pt" strokecolor="#9c8758">
                <v:path arrowok="t"/>
              </v:shape>
            </v:group>
            <v:group style="position:absolute;left:8810;top:10823;width:1667;height:2" coordorigin="8810,10823" coordsize="1667,2">
              <v:shape style="position:absolute;left:8810;top:10823;width:1667;height:2" coordorigin="8810,10823" coordsize="1667,0" path="m8810,10823l10477,10823e" filled="false" stroked="true" strokeweight="2pt" strokecolor="#9c8758">
                <v:path arrowok="t"/>
              </v:shape>
            </v:group>
            <v:group style="position:absolute;left:1417;top:11245;width:1106;height:2" coordorigin="1417,11245" coordsize="1106,2">
              <v:shape style="position:absolute;left:1417;top:11245;width:1106;height:2" coordorigin="1417,11245" coordsize="1106,0" path="m1417,11245l2523,11245e" filled="false" stroked="true" strokeweight=".5pt" strokecolor="#000000">
                <v:path arrowok="t"/>
              </v:shape>
            </v:group>
            <v:group style="position:absolute;left:2523;top:11245;width:1134;height:2" coordorigin="2523,11245" coordsize="1134,2">
              <v:shape style="position:absolute;left:2523;top:11245;width:1134;height:2" coordorigin="2523,11245" coordsize="1134,0" path="m2523,11245l3657,11245e" filled="false" stroked="true" strokeweight=".5pt" strokecolor="#000000">
                <v:path arrowok="t"/>
              </v:shape>
            </v:group>
            <v:group style="position:absolute;left:3657;top:11245;width:1134;height:2" coordorigin="3657,11245" coordsize="1134,2">
              <v:shape style="position:absolute;left:3657;top:11245;width:1134;height:2" coordorigin="3657,11245" coordsize="1134,0" path="m3657,11245l4791,11245e" filled="false" stroked="true" strokeweight=".5pt" strokecolor="#000000">
                <v:path arrowok="t"/>
              </v:shape>
            </v:group>
            <v:group style="position:absolute;left:4791;top:11245;width:1265;height:2" coordorigin="4791,11245" coordsize="1265,2">
              <v:shape style="position:absolute;left:4791;top:11245;width:1265;height:2" coordorigin="4791,11245" coordsize="1265,0" path="m4791,11245l6055,11245e" filled="false" stroked="true" strokeweight=".5pt" strokecolor="#000000">
                <v:path arrowok="t"/>
              </v:shape>
            </v:group>
            <v:group style="position:absolute;left:6055;top:11245;width:1384;height:2" coordorigin="6055,11245" coordsize="1384,2">
              <v:shape style="position:absolute;left:6055;top:11245;width:1384;height:2" coordorigin="6055,11245" coordsize="1384,0" path="m6055,11245l7438,11245e" filled="false" stroked="true" strokeweight=".5pt" strokecolor="#000000">
                <v:path arrowok="t"/>
              </v:shape>
            </v:group>
            <v:group style="position:absolute;left:7438;top:11245;width:1372;height:2" coordorigin="7438,11245" coordsize="1372,2">
              <v:shape style="position:absolute;left:7438;top:11245;width:1372;height:2" coordorigin="7438,11245" coordsize="1372,0" path="m7438,11245l8810,11245e" filled="false" stroked="true" strokeweight=".5pt" strokecolor="#000000">
                <v:path arrowok="t"/>
              </v:shape>
            </v:group>
            <v:group style="position:absolute;left:8810;top:11245;width:1667;height:2" coordorigin="8810,11245" coordsize="1667,2">
              <v:shape style="position:absolute;left:8810;top:11245;width:1667;height:2" coordorigin="8810,11245" coordsize="1667,0" path="m8810,11245l10477,11245e" filled="false" stroked="true" strokeweight=".5pt" strokecolor="#000000">
                <v:path arrowok="t"/>
              </v:shape>
            </v:group>
            <v:group style="position:absolute;left:1417;top:12383;width:1106;height:2" coordorigin="1417,12383" coordsize="1106,2">
              <v:shape style="position:absolute;left:1417;top:12383;width:1106;height:2" coordorigin="1417,12383" coordsize="1106,0" path="m1417,12383l2523,12383e" filled="false" stroked="true" strokeweight="2pt" strokecolor="#9c8758">
                <v:path arrowok="t"/>
              </v:shape>
            </v:group>
            <v:group style="position:absolute;left:2523;top:12383;width:1134;height:2" coordorigin="2523,12383" coordsize="1134,2">
              <v:shape style="position:absolute;left:2523;top:12383;width:1134;height:2" coordorigin="2523,12383" coordsize="1134,0" path="m2523,12383l3657,12383e" filled="false" stroked="true" strokeweight="2pt" strokecolor="#9c8758">
                <v:path arrowok="t"/>
              </v:shape>
            </v:group>
            <v:group style="position:absolute;left:3657;top:12383;width:1134;height:2" coordorigin="3657,12383" coordsize="1134,2">
              <v:shape style="position:absolute;left:3657;top:12383;width:1134;height:2" coordorigin="3657,12383" coordsize="1134,0" path="m3657,12383l4791,12383e" filled="false" stroked="true" strokeweight="2pt" strokecolor="#9c8758">
                <v:path arrowok="t"/>
              </v:shape>
            </v:group>
            <v:group style="position:absolute;left:4791;top:12383;width:1265;height:2" coordorigin="4791,12383" coordsize="1265,2">
              <v:shape style="position:absolute;left:4791;top:12383;width:1265;height:2" coordorigin="4791,12383" coordsize="1265,0" path="m4791,12383l6055,12383e" filled="false" stroked="true" strokeweight="2pt" strokecolor="#9c8758">
                <v:path arrowok="t"/>
              </v:shape>
            </v:group>
            <v:group style="position:absolute;left:6055;top:12383;width:1384;height:2" coordorigin="6055,12383" coordsize="1384,2">
              <v:shape style="position:absolute;left:6055;top:12383;width:1384;height:2" coordorigin="6055,12383" coordsize="1384,0" path="m6055,12383l7438,12383e" filled="false" stroked="true" strokeweight="2pt" strokecolor="#9c8758">
                <v:path arrowok="t"/>
              </v:shape>
            </v:group>
            <v:group style="position:absolute;left:7438;top:12383;width:1372;height:2" coordorigin="7438,12383" coordsize="1372,2">
              <v:shape style="position:absolute;left:7438;top:12383;width:1372;height:2" coordorigin="7438,12383" coordsize="1372,0" path="m7438,12383l8810,12383e" filled="false" stroked="true" strokeweight="2pt" strokecolor="#9c8758">
                <v:path arrowok="t"/>
              </v:shape>
            </v:group>
            <v:group style="position:absolute;left:8810;top:12383;width:1667;height:2" coordorigin="8810,12383" coordsize="1667,2">
              <v:shape style="position:absolute;left:8810;top:12383;width:1667;height:2" coordorigin="8810,12383" coordsize="1667,0" path="m8810,12383l10477,12383e" filled="false" stroked="true" strokeweight="2pt" strokecolor="#9c8758">
                <v:path arrowok="t"/>
              </v:shape>
            </v:group>
            <v:group style="position:absolute;left:1417;top:12805;width:1106;height:2" coordorigin="1417,12805" coordsize="1106,2">
              <v:shape style="position:absolute;left:1417;top:12805;width:1106;height:2" coordorigin="1417,12805" coordsize="1106,0" path="m1417,12805l2523,12805e" filled="false" stroked="true" strokeweight=".5pt" strokecolor="#000000">
                <v:path arrowok="t"/>
              </v:shape>
            </v:group>
            <v:group style="position:absolute;left:2523;top:12805;width:1134;height:2" coordorigin="2523,12805" coordsize="1134,2">
              <v:shape style="position:absolute;left:2523;top:12805;width:1134;height:2" coordorigin="2523,12805" coordsize="1134,0" path="m2523,12805l3657,12805e" filled="false" stroked="true" strokeweight=".5pt" strokecolor="#000000">
                <v:path arrowok="t"/>
              </v:shape>
            </v:group>
            <v:group style="position:absolute;left:3657;top:12805;width:1134;height:2" coordorigin="3657,12805" coordsize="1134,2">
              <v:shape style="position:absolute;left:3657;top:12805;width:1134;height:2" coordorigin="3657,12805" coordsize="1134,0" path="m3657,12805l4791,12805e" filled="false" stroked="true" strokeweight=".5pt" strokecolor="#000000">
                <v:path arrowok="t"/>
              </v:shape>
            </v:group>
            <v:group style="position:absolute;left:4791;top:12805;width:1265;height:2" coordorigin="4791,12805" coordsize="1265,2">
              <v:shape style="position:absolute;left:4791;top:12805;width:1265;height:2" coordorigin="4791,12805" coordsize="1265,0" path="m4791,12805l6055,12805e" filled="false" stroked="true" strokeweight=".5pt" strokecolor="#000000">
                <v:path arrowok="t"/>
              </v:shape>
            </v:group>
            <v:group style="position:absolute;left:6055;top:12805;width:1384;height:2" coordorigin="6055,12805" coordsize="1384,2">
              <v:shape style="position:absolute;left:6055;top:12805;width:1384;height:2" coordorigin="6055,12805" coordsize="1384,0" path="m6055,12805l7438,12805e" filled="false" stroked="true" strokeweight=".5pt" strokecolor="#000000">
                <v:path arrowok="t"/>
              </v:shape>
            </v:group>
            <v:group style="position:absolute;left:7438;top:12805;width:1372;height:2" coordorigin="7438,12805" coordsize="1372,2">
              <v:shape style="position:absolute;left:7438;top:12805;width:1372;height:2" coordorigin="7438,12805" coordsize="1372,0" path="m7438,12805l8810,12805e" filled="false" stroked="true" strokeweight=".5pt" strokecolor="#000000">
                <v:path arrowok="t"/>
              </v:shape>
            </v:group>
            <v:group style="position:absolute;left:8810;top:12805;width:1667;height:2" coordorigin="8810,12805" coordsize="1667,2">
              <v:shape style="position:absolute;left:8810;top:12805;width:1667;height:2" coordorigin="8810,12805" coordsize="1667,0" path="m8810,12805l10477,12805e" filled="false" stroked="true" strokeweight=".5pt" strokecolor="#000000">
                <v:path arrowok="t"/>
              </v:shape>
            </v:group>
            <w10:wrap type="none"/>
          </v:group>
        </w:pict>
      </w:r>
      <w:r>
        <w:rPr>
          <w:rFonts w:ascii="Arial" w:hAnsi="Arial" w:cs="Arial" w:eastAsia="Arial" w:hint="default"/>
          <w:b/>
          <w:bCs/>
          <w:color w:val="9C8758"/>
          <w:spacing w:val="-1"/>
          <w:position w:val="2"/>
          <w:sz w:val="16"/>
          <w:szCs w:val="16"/>
        </w:rPr>
        <w:t>32</w:t>
        <w:tab/>
      </w:r>
      <w:r>
        <w:rPr>
          <w:rFonts w:ascii="宋体" w:hAnsi="宋体" w:cs="宋体" w:eastAsia="宋体" w:hint="default"/>
          <w:color w:val="595757"/>
          <w:spacing w:val="24"/>
          <w:sz w:val="16"/>
          <w:szCs w:val="16"/>
        </w:rPr>
        <w:t>经营情况讨论与分析</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0"/>
          <w:cols w:num="2" w:equalWidth="0">
            <w:col w:w="6977" w:space="191"/>
            <w:col w:w="4042"/>
          </w:cols>
        </w:sectPr>
      </w:pPr>
    </w:p>
    <w:p>
      <w:pPr>
        <w:spacing w:line="240" w:lineRule="auto" w:before="0"/>
        <w:rPr>
          <w:rFonts w:ascii="宋体" w:hAnsi="宋体" w:cs="宋体" w:eastAsia="宋体" w:hint="default"/>
          <w:sz w:val="20"/>
          <w:szCs w:val="20"/>
        </w:rPr>
      </w:pPr>
      <w:r>
        <w:rPr/>
        <w:pict>
          <v:group style="position:absolute;margin-left:-.500001pt;margin-top:-1.499958pt;width:596.3pt;height:809.9pt;mso-position-horizontal-relative:page;mso-position-vertical-relative:page;z-index:-966568" coordorigin="-10,-30" coordsize="11926,16198">
            <v:group style="position:absolute;left:0;top:0;width:11906;height:16158" coordorigin="0,0" coordsize="11906,16158">
              <v:shape style="position:absolute;left:0;top:0;width:11906;height:16158" coordorigin="0,0" coordsize="11906,16158" path="m444,16157l0,16157,0,9987,9267,0,11906,0,11906,3804,444,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7570,16157l0,16157,0,10672,9902,0,11906,0,11906,11485,7570,16157xe" filled="true" fillcolor="#d7000f" stroked="false">
                <v:path arrowok="t"/>
                <v:fill type="solid"/>
              </v:shape>
            </v:group>
            <v:group style="position:absolute;left:0;top:0;width:226;height:233" coordorigin="0,0" coordsize="226,233">
              <v:shape style="position:absolute;left:0;top:0;width:226;height:233" coordorigin="0,0" coordsize="226,233" path="m0,233l225,0e" filled="false" stroked="true" strokeweight="1pt" strokecolor="#9c8758">
                <v:path arrowok="t"/>
              </v:shape>
              <v:shape style="position:absolute;left:3646;top:14163;width:340;height:340" type="#_x0000_t75" stroked="false">
                <v:imagedata r:id="rId94" o:title=""/>
              </v:shape>
            </v:group>
            <v:group style="position:absolute;left:3802;top:11470;width:2786;height:2878" coordorigin="3802,11470" coordsize="2786,2878">
              <v:shape style="position:absolute;left:3802;top:11470;width:2786;height:2878" coordorigin="3802,11470" coordsize="2786,2878" path="m3802,14347l6587,11470e" filled="false" stroked="true" strokeweight="1pt" strokecolor="#9c8758">
                <v:path arrowok="t"/>
              </v:shape>
              <v:shape style="position:absolute;left:5371;top:1794;width:268;height:268" type="#_x0000_t75" stroked="false">
                <v:imagedata r:id="rId95" o:title=""/>
              </v:shape>
            </v:group>
            <v:group style="position:absolute;left:5412;top:0;width:1951;height:2021" coordorigin="5412,0" coordsize="1951,2021">
              <v:shape style="position:absolute;left:5412;top:0;width:1951;height:2021" coordorigin="5412,0" coordsize="1951,2021" path="m5412,2021l7362,0e" filled="false" stroked="true" strokeweight="3pt" strokecolor="#8e9090">
                <v:path arrowok="t"/>
              </v:shape>
            </v:group>
            <v:group style="position:absolute;left:5897;top:7258;width:3956;height:4261" coordorigin="5897,7258" coordsize="3956,4261">
              <v:shape style="position:absolute;left:5897;top:7258;width:3956;height:4261" coordorigin="5897,7258" coordsize="3956,4261" path="m9853,7258l5897,11519e" filled="false" stroked="true" strokeweight="1pt" strokecolor="#8e9090">
                <v:path arrowok="t"/>
              </v:shape>
              <v:shape style="position:absolute;left:9701;top:7144;width:267;height:267" type="#_x0000_t75" stroked="false">
                <v:imagedata r:id="rId96" o:title=""/>
              </v:shape>
            </v:group>
            <v:group style="position:absolute;left:10549;top:492;width:1357;height:1470" coordorigin="10549,492" coordsize="1357,1470">
              <v:shape style="position:absolute;left:10549;top:492;width:1357;height:1470" coordorigin="10549,492" coordsize="1357,1470" path="m10549,1962l11906,492e" filled="false" stroked="true" strokeweight="1.0pt" strokecolor="#000000">
                <v:path arrowok="t"/>
              </v:shape>
              <v:shape style="position:absolute;left:10433;top:1808;width:268;height:268" type="#_x0000_t75" stroked="false">
                <v:imagedata r:id="rId97" o:title=""/>
              </v:shape>
              <v:shape style="position:absolute;left:6152;top:14060;width:340;height:340" type="#_x0000_t75" stroked="false">
                <v:imagedata r:id="rId98" o:title=""/>
              </v:shape>
            </v:group>
            <v:group style="position:absolute;left:6308;top:8369;width:5598;height:5875" coordorigin="6308,8369" coordsize="5598,5875">
              <v:shape style="position:absolute;left:6308;top:8369;width:5598;height:5875" coordorigin="6308,8369" coordsize="5598,5875" path="m6308,14244l11906,8369e" filled="false" stroked="true" strokeweight="1pt" strokecolor="#9c8758">
                <v:path arrowok="t"/>
              </v:shape>
              <v:shape style="position:absolute;left:9278;top:8801;width:340;height:340" type="#_x0000_t75" stroked="false">
                <v:imagedata r:id="rId91" o:title=""/>
              </v:shape>
            </v:group>
            <v:group style="position:absolute;left:2678;top:8914;width:6827;height:7244" coordorigin="2678,8914" coordsize="6827,7244">
              <v:shape style="position:absolute;left:2678;top:8914;width:6827;height:7244" coordorigin="2678,8914" coordsize="6827,7244" path="m9504,8914l2678,16157e" filled="false" stroked="true" strokeweight="1pt" strokecolor="#000000">
                <v:path arrowok="t"/>
              </v:shape>
            </v:group>
            <v:group style="position:absolute;left:0;top:0;width:3168;height:3265" coordorigin="0,0" coordsize="3168,3265">
              <v:shape style="position:absolute;left:0;top:0;width:3168;height:3265" coordorigin="0,0" coordsize="3168,3265" path="m0,3265l3168,0e" filled="false" stroked="true" strokeweight="1pt" strokecolor="#d7000f">
                <v:path arrowok="t"/>
              </v:shape>
            </v:group>
            <v:group style="position:absolute;left:0;top:8308;width:1248;height:7850" coordorigin="0,8308" coordsize="1248,7850">
              <v:shape style="position:absolute;left:0;top:8308;width:1248;height:7850" coordorigin="0,8308" coordsize="1248,7850" path="m0,16157l1247,16157,1247,8308,0,8308,0,16157xe" filled="true" fillcolor="#ffffff" stroked="false">
                <v:path arrowok="t"/>
                <v:fill type="solid"/>
              </v:shape>
            </v:group>
            <v:group style="position:absolute;left:1247;top:2154;width:10659;height:14004" coordorigin="1247,2154" coordsize="10659,14004">
              <v:shape style="position:absolute;left:1247;top:2154;width:10659;height:14004" coordorigin="1247,2154" coordsize="10659,14004" path="m11906,16157l11906,2154,1247,2154,1247,16157,11906,16157xe" filled="true" fillcolor="#ffffff" stroked="false">
                <v:path arrowok="t"/>
                <v:fill type="solid"/>
              </v:shape>
            </v:group>
            <v:group style="position:absolute;left:1984;top:6107;width:681;height:2" coordorigin="1984,6107" coordsize="681,2">
              <v:shape style="position:absolute;left:1984;top:6107;width:681;height:2" coordorigin="1984,6107" coordsize="681,0" path="m1984,6107l2665,6107e" filled="false" stroked="true" strokeweight=".5pt" strokecolor="#000000">
                <v:path arrowok="t"/>
              </v:shape>
            </v:group>
            <v:group style="position:absolute;left:2665;top:6107;width:1673;height:2" coordorigin="2665,6107" coordsize="1673,2">
              <v:shape style="position:absolute;left:2665;top:6107;width:1673;height:2" coordorigin="2665,6107" coordsize="1673,0" path="m2665,6107l4337,6107e" filled="false" stroked="true" strokeweight=".5pt" strokecolor="#000000">
                <v:path arrowok="t"/>
              </v:shape>
            </v:group>
            <v:group style="position:absolute;left:4337;top:6107;width:1418;height:2" coordorigin="4337,6107" coordsize="1418,2">
              <v:shape style="position:absolute;left:4337;top:6107;width:1418;height:2" coordorigin="4337,6107" coordsize="1418,0" path="m4337,6107l5754,6107e" filled="false" stroked="true" strokeweight=".5pt" strokecolor="#d7000f">
                <v:path arrowok="t"/>
              </v:shape>
            </v:group>
            <v:group style="position:absolute;left:5754;top:6107;width:908;height:2" coordorigin="5754,6107" coordsize="908,2">
              <v:shape style="position:absolute;left:5754;top:6107;width:908;height:2" coordorigin="5754,6107" coordsize="908,0" path="m5754,6107l6661,6107e" filled="false" stroked="true" strokeweight=".5pt" strokecolor="#d7000f">
                <v:path arrowok="t"/>
              </v:shape>
            </v:group>
            <v:group style="position:absolute;left:6661;top:6107;width:1375;height:2" coordorigin="6661,6107" coordsize="1375,2">
              <v:shape style="position:absolute;left:6661;top:6107;width:1375;height:2" coordorigin="6661,6107" coordsize="1375,0" path="m6661,6107l8036,6107e" filled="false" stroked="true" strokeweight=".5pt" strokecolor="#000000">
                <v:path arrowok="t"/>
              </v:shape>
            </v:group>
            <v:group style="position:absolute;left:8036;top:6107;width:964;height:2" coordorigin="8036,6107" coordsize="964,2">
              <v:shape style="position:absolute;left:8036;top:6107;width:964;height:2" coordorigin="8036,6107" coordsize="964,0" path="m8036,6107l9000,6107e" filled="false" stroked="true" strokeweight=".5pt" strokecolor="#000000">
                <v:path arrowok="t"/>
              </v:shape>
            </v:group>
            <v:group style="position:absolute;left:9000;top:6107;width:1474;height:2" coordorigin="9000,6107" coordsize="1474,2">
              <v:shape style="position:absolute;left:9000;top:6107;width:1474;height:2" coordorigin="9000,6107" coordsize="1474,0" path="m9000,6107l10474,6107e" filled="false" stroked="true" strokeweight=".5pt" strokecolor="#d7000f">
                <v:path arrowok="t"/>
              </v:shape>
            </v:group>
            <v:group style="position:absolute;left:10474;top:6107;width:582;height:2" coordorigin="10474,6107" coordsize="582,2">
              <v:shape style="position:absolute;left:10474;top:6107;width:582;height:2" coordorigin="10474,6107" coordsize="582,0" path="m10474,6107l11055,6107e" filled="false" stroked="true" strokeweight=".5pt" strokecolor="#000000">
                <v:path arrowok="t"/>
              </v:shape>
            </v:group>
            <v:group style="position:absolute;left:1984;top:9148;width:681;height:2" coordorigin="1984,9148" coordsize="681,2">
              <v:shape style="position:absolute;left:1984;top:9148;width:681;height:2" coordorigin="1984,9148" coordsize="681,0" path="m1984,9148l2665,9148e" filled="false" stroked="true" strokeweight=".5pt" strokecolor="#000000">
                <v:path arrowok="t"/>
              </v:shape>
            </v:group>
            <v:group style="position:absolute;left:2665;top:9148;width:1673;height:2" coordorigin="2665,9148" coordsize="1673,2">
              <v:shape style="position:absolute;left:2665;top:9148;width:1673;height:2" coordorigin="2665,9148" coordsize="1673,0" path="m2665,9148l4337,9148e" filled="false" stroked="true" strokeweight=".5pt" strokecolor="#000000">
                <v:path arrowok="t"/>
              </v:shape>
            </v:group>
            <v:group style="position:absolute;left:4337;top:9148;width:1418;height:2" coordorigin="4337,9148" coordsize="1418,2">
              <v:shape style="position:absolute;left:4337;top:9148;width:1418;height:2" coordorigin="4337,9148" coordsize="1418,0" path="m4337,9148l5754,9148e" filled="false" stroked="true" strokeweight=".5pt" strokecolor="#d7000f">
                <v:path arrowok="t"/>
              </v:shape>
            </v:group>
            <v:group style="position:absolute;left:5754;top:9148;width:908;height:2" coordorigin="5754,9148" coordsize="908,2">
              <v:shape style="position:absolute;left:5754;top:9148;width:908;height:2" coordorigin="5754,9148" coordsize="908,0" path="m5754,9148l6661,9148e" filled="false" stroked="true" strokeweight=".5pt" strokecolor="#d7000f">
                <v:path arrowok="t"/>
              </v:shape>
            </v:group>
            <v:group style="position:absolute;left:6661;top:9148;width:1375;height:2" coordorigin="6661,9148" coordsize="1375,2">
              <v:shape style="position:absolute;left:6661;top:9148;width:1375;height:2" coordorigin="6661,9148" coordsize="1375,0" path="m6661,9148l8036,9148e" filled="false" stroked="true" strokeweight=".5pt" strokecolor="#000000">
                <v:path arrowok="t"/>
              </v:shape>
            </v:group>
            <v:group style="position:absolute;left:8036;top:9148;width:964;height:2" coordorigin="8036,9148" coordsize="964,2">
              <v:shape style="position:absolute;left:8036;top:9148;width:964;height:2" coordorigin="8036,9148" coordsize="964,0" path="m8036,9148l9000,9148e" filled="false" stroked="true" strokeweight=".5pt" strokecolor="#000000">
                <v:path arrowok="t"/>
              </v:shape>
            </v:group>
            <v:group style="position:absolute;left:9000;top:9148;width:1474;height:2" coordorigin="9000,9148" coordsize="1474,2">
              <v:shape style="position:absolute;left:9000;top:9148;width:1474;height:2" coordorigin="9000,9148" coordsize="1474,0" path="m9000,9148l10474,9148e" filled="false" stroked="true" strokeweight=".5pt" strokecolor="#d7000f">
                <v:path arrowok="t"/>
              </v:shape>
            </v:group>
            <v:group style="position:absolute;left:10474;top:9148;width:582;height:2" coordorigin="10474,9148" coordsize="582,2">
              <v:shape style="position:absolute;left:10474;top:9148;width:582;height:2" coordorigin="10474,9148" coordsize="582,0" path="m10474,9148l11055,9148e" filled="false" stroked="true" strokeweight=".5pt" strokecolor="#000000">
                <v:path arrowok="t"/>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BodyText"/>
        <w:spacing w:line="240" w:lineRule="auto" w:before="31"/>
        <w:ind w:left="604" w:right="95"/>
        <w:jc w:val="left"/>
        <w:rPr>
          <w:rFonts w:ascii="宋体" w:hAnsi="宋体" w:cs="宋体" w:eastAsia="宋体" w:hint="default"/>
        </w:rPr>
      </w:pPr>
      <w:r>
        <w:rPr>
          <w:rFonts w:ascii="宋体" w:hAnsi="宋体" w:cs="宋体" w:eastAsia="宋体" w:hint="default"/>
          <w:w w:val="90"/>
        </w:rPr>
        <w:t>(2).</w:t>
      </w:r>
      <w:r>
        <w:rPr>
          <w:rFonts w:ascii="宋体" w:hAnsi="宋体" w:cs="宋体" w:eastAsia="宋体" w:hint="default"/>
          <w:spacing w:val="-21"/>
          <w:w w:val="90"/>
        </w:rPr>
        <w:t> </w:t>
      </w:r>
      <w:r>
        <w:rPr>
          <w:rFonts w:ascii="宋体" w:hAnsi="宋体" w:cs="宋体" w:eastAsia="宋体" w:hint="default"/>
          <w:w w:val="90"/>
        </w:rPr>
        <w:t>成本分析表</w:t>
      </w:r>
    </w:p>
    <w:p>
      <w:pPr>
        <w:spacing w:line="240" w:lineRule="auto" w:before="2"/>
        <w:rPr>
          <w:rFonts w:ascii="宋体" w:hAnsi="宋体" w:cs="宋体" w:eastAsia="宋体" w:hint="default"/>
          <w:sz w:val="10"/>
          <w:szCs w:val="10"/>
        </w:rPr>
      </w:pPr>
    </w:p>
    <w:p>
      <w:pPr>
        <w:spacing w:before="0"/>
        <w:ind w:left="0" w:right="273" w:firstLine="0"/>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7"/>
          <w:sz w:val="12"/>
          <w:szCs w:val="12"/>
        </w:rPr>
        <w:t> </w:t>
      </w:r>
      <w:r>
        <w:rPr>
          <w:rFonts w:ascii="宋体" w:hAnsi="宋体" w:cs="宋体" w:eastAsia="宋体" w:hint="default"/>
          <w:sz w:val="12"/>
          <w:szCs w:val="12"/>
        </w:rPr>
        <w:t>币种</w:t>
      </w:r>
      <w:r>
        <w:rPr>
          <w:rFonts w:ascii="宋体" w:hAnsi="宋体" w:cs="宋体" w:eastAsia="宋体" w:hint="default"/>
          <w:spacing w:val="-36"/>
          <w:sz w:val="12"/>
          <w:szCs w:val="12"/>
        </w:rPr>
        <w:t> </w:t>
      </w:r>
      <w:r>
        <w:rPr>
          <w:rFonts w:ascii="宋体" w:hAnsi="宋体" w:cs="宋体" w:eastAsia="宋体" w:hint="default"/>
          <w:w w:val="95"/>
          <w:sz w:val="12"/>
          <w:szCs w:val="12"/>
        </w:rPr>
        <w:t>:</w:t>
      </w:r>
      <w:r>
        <w:rPr>
          <w:rFonts w:ascii="宋体" w:hAnsi="宋体" w:cs="宋体" w:eastAsia="宋体" w:hint="default"/>
          <w:spacing w:val="-33"/>
          <w:w w:val="95"/>
          <w:sz w:val="12"/>
          <w:szCs w:val="12"/>
        </w:rPr>
        <w:t> </w:t>
      </w:r>
      <w:r>
        <w:rPr>
          <w:rFonts w:ascii="宋体" w:hAnsi="宋体" w:cs="宋体" w:eastAsia="宋体" w:hint="default"/>
          <w:sz w:val="12"/>
          <w:szCs w:val="12"/>
        </w:rPr>
        <w:t>人民币</w:t>
      </w:r>
    </w:p>
    <w:p>
      <w:pPr>
        <w:spacing w:before="120"/>
        <w:ind w:left="4719" w:right="4306" w:firstLine="0"/>
        <w:jc w:val="center"/>
        <w:rPr>
          <w:rFonts w:ascii="宋体" w:hAnsi="宋体" w:cs="宋体" w:eastAsia="宋体" w:hint="default"/>
          <w:sz w:val="16"/>
          <w:szCs w:val="16"/>
        </w:rPr>
      </w:pPr>
      <w:r>
        <w:rPr>
          <w:rFonts w:ascii="宋体" w:hAnsi="宋体" w:cs="宋体" w:eastAsia="宋体" w:hint="default"/>
          <w:sz w:val="16"/>
          <w:szCs w:val="16"/>
        </w:rPr>
        <w:t>分行业情况</w:t>
      </w:r>
    </w:p>
    <w:p>
      <w:pPr>
        <w:spacing w:line="240" w:lineRule="auto" w:before="1"/>
        <w:rPr>
          <w:rFonts w:ascii="宋体" w:hAnsi="宋体" w:cs="宋体" w:eastAsia="宋体" w:hint="default"/>
          <w:sz w:val="6"/>
          <w:szCs w:val="6"/>
        </w:rPr>
      </w:pPr>
    </w:p>
    <w:tbl>
      <w:tblPr>
        <w:tblW w:w="0" w:type="auto"/>
        <w:jc w:val="left"/>
        <w:tblInd w:w="604" w:type="dxa"/>
        <w:tblLayout w:type="fixed"/>
        <w:tblCellMar>
          <w:top w:w="0" w:type="dxa"/>
          <w:left w:w="0" w:type="dxa"/>
          <w:bottom w:w="0" w:type="dxa"/>
          <w:right w:w="0" w:type="dxa"/>
        </w:tblCellMar>
        <w:tblLook w:val="01E0"/>
      </w:tblPr>
      <w:tblGrid>
        <w:gridCol w:w="665"/>
        <w:gridCol w:w="1725"/>
        <w:gridCol w:w="1445"/>
        <w:gridCol w:w="889"/>
        <w:gridCol w:w="1405"/>
        <w:gridCol w:w="915"/>
        <w:gridCol w:w="2027"/>
      </w:tblGrid>
      <w:tr>
        <w:trPr>
          <w:trHeight w:val="764" w:hRule="exact"/>
        </w:trPr>
        <w:tc>
          <w:tcPr>
            <w:tcW w:w="665"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2"/>
              <w:jc w:val="center"/>
              <w:rPr>
                <w:rFonts w:ascii="宋体" w:hAnsi="宋体" w:cs="宋体" w:eastAsia="宋体" w:hint="default"/>
                <w:sz w:val="16"/>
                <w:szCs w:val="16"/>
              </w:rPr>
            </w:pPr>
            <w:r>
              <w:rPr>
                <w:rFonts w:ascii="宋体" w:hAnsi="宋体" w:cs="宋体" w:eastAsia="宋体" w:hint="default"/>
                <w:sz w:val="16"/>
                <w:szCs w:val="16"/>
              </w:rPr>
              <w:t>分行业</w:t>
            </w:r>
          </w:p>
        </w:tc>
        <w:tc>
          <w:tcPr>
            <w:tcW w:w="1725"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6"/>
                <w:szCs w:val="16"/>
              </w:rPr>
            </w:pPr>
            <w:r>
              <w:rPr>
                <w:rFonts w:ascii="宋体" w:hAnsi="宋体" w:cs="宋体" w:eastAsia="宋体" w:hint="default"/>
                <w:sz w:val="16"/>
                <w:szCs w:val="16"/>
              </w:rPr>
              <w:t>成本构成项目</w:t>
            </w:r>
          </w:p>
        </w:tc>
        <w:tc>
          <w:tcPr>
            <w:tcW w:w="1445" w:type="dxa"/>
            <w:tcBorders>
              <w:top w:val="nil" w:sz="6" w:space="0" w:color="auto"/>
              <w:left w:val="nil" w:sz="6" w:space="0" w:color="auto"/>
              <w:bottom w:val="single" w:sz="16" w:space="0" w:color="D7000F"/>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48"/>
              <w:jc w:val="right"/>
              <w:rPr>
                <w:rFonts w:ascii="宋体" w:hAnsi="宋体" w:cs="宋体" w:eastAsia="宋体" w:hint="default"/>
                <w:sz w:val="16"/>
                <w:szCs w:val="16"/>
              </w:rPr>
            </w:pPr>
            <w:r>
              <w:rPr>
                <w:rFonts w:ascii="宋体" w:hAnsi="宋体" w:cs="宋体" w:eastAsia="宋体" w:hint="default"/>
                <w:color w:val="D7000F"/>
                <w:sz w:val="16"/>
                <w:szCs w:val="16"/>
              </w:rPr>
              <w:t>本期金额</w:t>
            </w:r>
            <w:r>
              <w:rPr>
                <w:rFonts w:ascii="宋体" w:hAnsi="宋体" w:cs="宋体" w:eastAsia="宋体" w:hint="default"/>
                <w:sz w:val="16"/>
                <w:szCs w:val="16"/>
              </w:rPr>
            </w:r>
          </w:p>
        </w:tc>
        <w:tc>
          <w:tcPr>
            <w:tcW w:w="889" w:type="dxa"/>
            <w:tcBorders>
              <w:top w:val="nil" w:sz="6" w:space="0" w:color="auto"/>
              <w:left w:val="nil" w:sz="6" w:space="0" w:color="auto"/>
              <w:bottom w:val="single" w:sz="16" w:space="0" w:color="D7000F"/>
              <w:right w:val="nil" w:sz="6" w:space="0" w:color="auto"/>
            </w:tcBorders>
            <w:shd w:val="clear" w:color="auto" w:fill="FFFFFF"/>
          </w:tcPr>
          <w:p>
            <w:pPr>
              <w:pStyle w:val="TableParagraph"/>
              <w:spacing w:line="200" w:lineRule="exact" w:before="67"/>
              <w:ind w:left="149" w:right="130" w:firstLine="126"/>
              <w:jc w:val="right"/>
              <w:rPr>
                <w:rFonts w:ascii="宋体" w:hAnsi="宋体" w:cs="宋体" w:eastAsia="宋体" w:hint="default"/>
                <w:sz w:val="16"/>
                <w:szCs w:val="16"/>
              </w:rPr>
            </w:pPr>
            <w:r>
              <w:rPr>
                <w:rFonts w:ascii="宋体" w:hAnsi="宋体" w:cs="宋体" w:eastAsia="宋体" w:hint="default"/>
                <w:color w:val="D7000F"/>
                <w:sz w:val="16"/>
                <w:szCs w:val="16"/>
              </w:rPr>
              <w:t>本期占 总成本 比例</w:t>
            </w:r>
            <w:r>
              <w:rPr>
                <w:rFonts w:ascii="宋体" w:hAnsi="宋体" w:cs="宋体" w:eastAsia="宋体" w:hint="default"/>
                <w:color w:val="D7000F"/>
                <w:spacing w:val="-34"/>
                <w:sz w:val="16"/>
                <w:szCs w:val="16"/>
              </w:rPr>
              <w:t> </w:t>
            </w:r>
            <w:r>
              <w:rPr>
                <w:rFonts w:ascii="宋体" w:hAnsi="宋体" w:cs="宋体" w:eastAsia="宋体" w:hint="default"/>
                <w:color w:val="D7000F"/>
                <w:sz w:val="16"/>
                <w:szCs w:val="16"/>
              </w:rPr>
              <w:t>(%)</w:t>
            </w:r>
            <w:r>
              <w:rPr>
                <w:rFonts w:ascii="宋体" w:hAnsi="宋体" w:cs="宋体" w:eastAsia="宋体" w:hint="default"/>
                <w:sz w:val="16"/>
                <w:szCs w:val="16"/>
              </w:rPr>
            </w:r>
          </w:p>
        </w:tc>
        <w:tc>
          <w:tcPr>
            <w:tcW w:w="1405"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60"/>
              <w:jc w:val="right"/>
              <w:rPr>
                <w:rFonts w:ascii="宋体" w:hAnsi="宋体" w:cs="宋体" w:eastAsia="宋体" w:hint="default"/>
                <w:sz w:val="16"/>
                <w:szCs w:val="16"/>
              </w:rPr>
            </w:pPr>
            <w:r>
              <w:rPr>
                <w:rFonts w:ascii="宋体" w:hAnsi="宋体" w:cs="宋体" w:eastAsia="宋体" w:hint="default"/>
                <w:sz w:val="16"/>
                <w:szCs w:val="16"/>
              </w:rPr>
              <w:t>上年同期金额</w:t>
            </w:r>
          </w:p>
        </w:tc>
        <w:tc>
          <w:tcPr>
            <w:tcW w:w="915"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00" w:lineRule="exact" w:before="67"/>
              <w:ind w:left="161" w:right="111"/>
              <w:jc w:val="both"/>
              <w:rPr>
                <w:rFonts w:ascii="宋体" w:hAnsi="宋体" w:cs="宋体" w:eastAsia="宋体" w:hint="default"/>
                <w:sz w:val="16"/>
                <w:szCs w:val="16"/>
              </w:rPr>
            </w:pPr>
            <w:r>
              <w:rPr>
                <w:rFonts w:ascii="宋体" w:hAnsi="宋体" w:cs="宋体" w:eastAsia="宋体" w:hint="default"/>
                <w:sz w:val="16"/>
                <w:szCs w:val="16"/>
              </w:rPr>
              <w:t>上年同期 占总成本 比例</w:t>
            </w:r>
            <w:r>
              <w:rPr>
                <w:rFonts w:ascii="宋体" w:hAnsi="宋体" w:cs="宋体" w:eastAsia="宋体" w:hint="default"/>
                <w:spacing w:val="-34"/>
                <w:sz w:val="16"/>
                <w:szCs w:val="16"/>
              </w:rPr>
              <w:t> </w:t>
            </w:r>
            <w:r>
              <w:rPr>
                <w:rFonts w:ascii="宋体" w:hAnsi="宋体" w:cs="宋体" w:eastAsia="宋体" w:hint="default"/>
                <w:sz w:val="16"/>
                <w:szCs w:val="16"/>
              </w:rPr>
              <w:t>(%)</w:t>
            </w:r>
          </w:p>
        </w:tc>
        <w:tc>
          <w:tcPr>
            <w:tcW w:w="2027"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6"/>
              <w:ind w:right="0"/>
              <w:jc w:val="left"/>
              <w:rPr>
                <w:rFonts w:ascii="宋体" w:hAnsi="宋体" w:cs="宋体" w:eastAsia="宋体" w:hint="default"/>
                <w:sz w:val="20"/>
                <w:szCs w:val="20"/>
              </w:rPr>
            </w:pPr>
          </w:p>
          <w:p>
            <w:pPr>
              <w:pStyle w:val="TableParagraph"/>
              <w:tabs>
                <w:tab w:pos="1575" w:val="left" w:leader="none"/>
              </w:tabs>
              <w:spacing w:line="200" w:lineRule="exact"/>
              <w:ind w:left="113" w:right="128" w:firstLine="126"/>
              <w:jc w:val="left"/>
              <w:rPr>
                <w:rFonts w:ascii="宋体" w:hAnsi="宋体" w:cs="宋体" w:eastAsia="宋体" w:hint="default"/>
                <w:sz w:val="16"/>
                <w:szCs w:val="16"/>
              </w:rPr>
            </w:pPr>
            <w:r>
              <w:rPr>
                <w:rFonts w:ascii="宋体" w:hAnsi="宋体" w:cs="宋体" w:eastAsia="宋体" w:hint="default"/>
                <w:color w:val="D7000F"/>
                <w:sz w:val="16"/>
                <w:szCs w:val="16"/>
              </w:rPr>
              <w:t>本期金额较上年</w:t>
              <w:tab/>
            </w:r>
            <w:r>
              <w:rPr>
                <w:rFonts w:ascii="宋体" w:hAnsi="宋体" w:cs="宋体" w:eastAsia="宋体" w:hint="default"/>
                <w:sz w:val="16"/>
                <w:szCs w:val="16"/>
              </w:rPr>
              <w:t>情况</w:t>
            </w:r>
            <w:r>
              <w:rPr>
                <w:rFonts w:ascii="宋体" w:hAnsi="宋体" w:cs="宋体" w:eastAsia="宋体" w:hint="default"/>
                <w:sz w:val="16"/>
                <w:szCs w:val="16"/>
              </w:rPr>
              <w:t> </w:t>
            </w:r>
            <w:r>
              <w:rPr>
                <w:rFonts w:ascii="宋体" w:hAnsi="宋体" w:cs="宋体" w:eastAsia="宋体" w:hint="default"/>
                <w:color w:val="D7000F"/>
                <w:sz w:val="16"/>
                <w:szCs w:val="16"/>
              </w:rPr>
              <w:t>同期变动比例</w:t>
            </w:r>
            <w:r>
              <w:rPr>
                <w:rFonts w:ascii="宋体" w:hAnsi="宋体" w:cs="宋体" w:eastAsia="宋体" w:hint="default"/>
                <w:color w:val="D7000F"/>
                <w:spacing w:val="-34"/>
                <w:sz w:val="16"/>
                <w:szCs w:val="16"/>
              </w:rPr>
              <w:t> </w:t>
            </w:r>
            <w:r>
              <w:rPr>
                <w:rFonts w:ascii="宋体" w:hAnsi="宋体" w:cs="宋体" w:eastAsia="宋体" w:hint="default"/>
                <w:color w:val="D7000F"/>
                <w:sz w:val="16"/>
                <w:szCs w:val="16"/>
              </w:rPr>
              <w:t>(%)</w:t>
              <w:tab/>
            </w:r>
            <w:r>
              <w:rPr>
                <w:rFonts w:ascii="宋体" w:hAnsi="宋体" w:cs="宋体" w:eastAsia="宋体" w:hint="default"/>
                <w:sz w:val="16"/>
                <w:szCs w:val="16"/>
              </w:rPr>
              <w:t>说明</w:t>
            </w:r>
          </w:p>
        </w:tc>
      </w:tr>
      <w:tr>
        <w:trPr>
          <w:trHeight w:val="362" w:hRule="exact"/>
        </w:trPr>
        <w:tc>
          <w:tcPr>
            <w:tcW w:w="665" w:type="dxa"/>
            <w:tcBorders>
              <w:top w:val="single" w:sz="16" w:space="0" w:color="9C8758"/>
              <w:left w:val="nil" w:sz="6" w:space="0" w:color="auto"/>
              <w:bottom w:val="nil" w:sz="6" w:space="0" w:color="auto"/>
              <w:right w:val="nil" w:sz="6" w:space="0" w:color="auto"/>
            </w:tcBorders>
          </w:tcPr>
          <w:p>
            <w:pPr/>
          </w:p>
        </w:tc>
        <w:tc>
          <w:tcPr>
            <w:tcW w:w="1725"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left="100" w:right="0"/>
              <w:jc w:val="left"/>
              <w:rPr>
                <w:rFonts w:ascii="宋体" w:hAnsi="宋体" w:cs="宋体" w:eastAsia="宋体" w:hint="default"/>
                <w:sz w:val="16"/>
                <w:szCs w:val="16"/>
              </w:rPr>
            </w:pPr>
            <w:r>
              <w:rPr>
                <w:rFonts w:ascii="宋体" w:hAnsi="宋体" w:cs="宋体" w:eastAsia="宋体" w:hint="default"/>
                <w:sz w:val="16"/>
                <w:szCs w:val="16"/>
              </w:rPr>
              <w:t>网络运行及支撑成本</w:t>
            </w:r>
          </w:p>
        </w:tc>
        <w:tc>
          <w:tcPr>
            <w:tcW w:w="1445" w:type="dxa"/>
            <w:tcBorders>
              <w:top w:val="single" w:sz="16" w:space="0" w:color="D7000F"/>
              <w:left w:val="nil" w:sz="6" w:space="0" w:color="auto"/>
              <w:bottom w:val="nil" w:sz="6" w:space="0" w:color="auto"/>
              <w:right w:val="nil" w:sz="6" w:space="0" w:color="auto"/>
            </w:tcBorders>
          </w:tcPr>
          <w:p>
            <w:pPr>
              <w:pStyle w:val="TableParagraph"/>
              <w:spacing w:line="240" w:lineRule="auto" w:before="64"/>
              <w:ind w:right="147"/>
              <w:jc w:val="right"/>
              <w:rPr>
                <w:rFonts w:ascii="宋体" w:hAnsi="宋体" w:cs="宋体" w:eastAsia="宋体" w:hint="default"/>
                <w:sz w:val="16"/>
                <w:szCs w:val="16"/>
              </w:rPr>
            </w:pPr>
            <w:r>
              <w:rPr>
                <w:rFonts w:ascii="宋体"/>
                <w:color w:val="D7000F"/>
                <w:w w:val="95"/>
                <w:sz w:val="16"/>
              </w:rPr>
              <w:t>55,076,898,324</w:t>
            </w:r>
            <w:r>
              <w:rPr>
                <w:rFonts w:ascii="宋体"/>
                <w:sz w:val="16"/>
              </w:rPr>
            </w:r>
          </w:p>
        </w:tc>
        <w:tc>
          <w:tcPr>
            <w:tcW w:w="889" w:type="dxa"/>
            <w:tcBorders>
              <w:top w:val="single" w:sz="16" w:space="0" w:color="D7000F"/>
              <w:left w:val="nil" w:sz="6" w:space="0" w:color="auto"/>
              <w:bottom w:val="nil" w:sz="6" w:space="0" w:color="auto"/>
              <w:right w:val="nil" w:sz="6" w:space="0" w:color="auto"/>
            </w:tcBorders>
            <w:shd w:val="clear" w:color="auto" w:fill="FFFFFF"/>
          </w:tcPr>
          <w:p>
            <w:pPr>
              <w:pStyle w:val="TableParagraph"/>
              <w:spacing w:line="240" w:lineRule="auto" w:before="64"/>
              <w:ind w:right="130"/>
              <w:jc w:val="right"/>
              <w:rPr>
                <w:rFonts w:ascii="宋体" w:hAnsi="宋体" w:cs="宋体" w:eastAsia="宋体" w:hint="default"/>
                <w:sz w:val="16"/>
                <w:szCs w:val="16"/>
              </w:rPr>
            </w:pPr>
            <w:r>
              <w:rPr>
                <w:rFonts w:ascii="宋体"/>
                <w:color w:val="D7000F"/>
                <w:w w:val="95"/>
                <w:sz w:val="16"/>
              </w:rPr>
              <w:t>25.8</w:t>
            </w:r>
            <w:r>
              <w:rPr>
                <w:rFonts w:ascii="宋体"/>
                <w:sz w:val="16"/>
              </w:rPr>
            </w:r>
          </w:p>
        </w:tc>
        <w:tc>
          <w:tcPr>
            <w:tcW w:w="1405"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right="159"/>
              <w:jc w:val="right"/>
              <w:rPr>
                <w:rFonts w:ascii="宋体" w:hAnsi="宋体" w:cs="宋体" w:eastAsia="宋体" w:hint="default"/>
                <w:sz w:val="16"/>
                <w:szCs w:val="16"/>
              </w:rPr>
            </w:pPr>
            <w:r>
              <w:rPr>
                <w:rFonts w:ascii="宋体"/>
                <w:w w:val="95"/>
                <w:sz w:val="16"/>
              </w:rPr>
              <w:t>54,506,750,776</w:t>
            </w:r>
            <w:r>
              <w:rPr>
                <w:rFonts w:ascii="宋体"/>
                <w:sz w:val="16"/>
              </w:rPr>
            </w:r>
          </w:p>
        </w:tc>
        <w:tc>
          <w:tcPr>
            <w:tcW w:w="915"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26.3</w:t>
            </w:r>
            <w:r>
              <w:rPr>
                <w:rFonts w:ascii="宋体"/>
                <w:sz w:val="16"/>
              </w:rPr>
            </w:r>
          </w:p>
        </w:tc>
        <w:tc>
          <w:tcPr>
            <w:tcW w:w="2027"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left="1138" w:right="0"/>
              <w:jc w:val="left"/>
              <w:rPr>
                <w:rFonts w:ascii="宋体" w:hAnsi="宋体" w:cs="宋体" w:eastAsia="宋体" w:hint="default"/>
                <w:sz w:val="16"/>
                <w:szCs w:val="16"/>
              </w:rPr>
            </w:pPr>
            <w:r>
              <w:rPr>
                <w:rFonts w:ascii="宋体"/>
                <w:color w:val="D7000F"/>
                <w:sz w:val="16"/>
              </w:rPr>
              <w:t>1.0</w:t>
            </w:r>
            <w:r>
              <w:rPr>
                <w:rFonts w:ascii="宋体"/>
                <w:sz w:val="16"/>
              </w:rPr>
            </w:r>
          </w:p>
        </w:tc>
      </w:tr>
      <w:tr>
        <w:trPr>
          <w:trHeight w:val="273" w:hRule="exact"/>
        </w:trPr>
        <w:tc>
          <w:tcPr>
            <w:tcW w:w="665" w:type="dxa"/>
            <w:tcBorders>
              <w:top w:val="nil" w:sz="6" w:space="0" w:color="auto"/>
              <w:left w:val="nil" w:sz="6" w:space="0" w:color="auto"/>
              <w:bottom w:val="nil" w:sz="6" w:space="0" w:color="auto"/>
              <w:right w:val="nil" w:sz="6" w:space="0" w:color="auto"/>
            </w:tcBorders>
          </w:tcPr>
          <w:p>
            <w:pP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left="100" w:right="0"/>
              <w:jc w:val="left"/>
              <w:rPr>
                <w:rFonts w:ascii="宋体" w:hAnsi="宋体" w:cs="宋体" w:eastAsia="宋体" w:hint="default"/>
                <w:sz w:val="16"/>
                <w:szCs w:val="16"/>
              </w:rPr>
            </w:pPr>
            <w:r>
              <w:rPr>
                <w:rFonts w:ascii="宋体" w:hAnsi="宋体" w:cs="宋体" w:eastAsia="宋体" w:hint="default"/>
                <w:sz w:val="16"/>
                <w:szCs w:val="16"/>
              </w:rPr>
              <w:t>网间结算成本</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12,579,380,472</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0"/>
              <w:jc w:val="right"/>
              <w:rPr>
                <w:rFonts w:ascii="宋体" w:hAnsi="宋体" w:cs="宋体" w:eastAsia="宋体" w:hint="default"/>
                <w:sz w:val="16"/>
                <w:szCs w:val="16"/>
              </w:rPr>
            </w:pPr>
            <w:r>
              <w:rPr>
                <w:rFonts w:ascii="宋体"/>
                <w:color w:val="D7000F"/>
                <w:w w:val="90"/>
                <w:sz w:val="16"/>
              </w:rPr>
              <w:t>5.9</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59"/>
              <w:jc w:val="right"/>
              <w:rPr>
                <w:rFonts w:ascii="宋体" w:hAnsi="宋体" w:cs="宋体" w:eastAsia="宋体" w:hint="default"/>
                <w:sz w:val="16"/>
                <w:szCs w:val="16"/>
              </w:rPr>
            </w:pPr>
            <w:r>
              <w:rPr>
                <w:rFonts w:ascii="宋体"/>
                <w:w w:val="95"/>
                <w:sz w:val="16"/>
              </w:rPr>
              <w:t>12,617,033,343</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1"/>
              <w:jc w:val="right"/>
              <w:rPr>
                <w:rFonts w:ascii="宋体" w:hAnsi="宋体" w:cs="宋体" w:eastAsia="宋体" w:hint="default"/>
                <w:sz w:val="16"/>
                <w:szCs w:val="16"/>
              </w:rPr>
            </w:pPr>
            <w:r>
              <w:rPr>
                <w:rFonts w:ascii="宋体"/>
                <w:w w:val="90"/>
                <w:sz w:val="16"/>
              </w:rPr>
              <w:t>6.1</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tabs>
                <w:tab w:pos="1575" w:val="left" w:leader="none"/>
              </w:tabs>
              <w:spacing w:line="275" w:lineRule="exact"/>
              <w:ind w:left="1033" w:right="0"/>
              <w:jc w:val="left"/>
              <w:rPr>
                <w:rFonts w:ascii="宋体" w:hAnsi="宋体" w:cs="宋体" w:eastAsia="宋体" w:hint="default"/>
                <w:sz w:val="16"/>
                <w:szCs w:val="16"/>
              </w:rPr>
            </w:pPr>
            <w:r>
              <w:rPr>
                <w:rFonts w:ascii="宋体" w:hAnsi="宋体" w:cs="宋体" w:eastAsia="宋体" w:hint="default"/>
                <w:color w:val="D7000F"/>
                <w:sz w:val="16"/>
                <w:szCs w:val="16"/>
              </w:rPr>
              <w:t>-0.3</w:t>
              <w:tab/>
            </w:r>
            <w:r>
              <w:rPr>
                <w:rFonts w:ascii="宋体" w:hAnsi="宋体" w:cs="宋体" w:eastAsia="宋体" w:hint="default"/>
                <w:position w:val="-6"/>
                <w:sz w:val="16"/>
                <w:szCs w:val="16"/>
              </w:rPr>
              <w:t>见下</w:t>
            </w:r>
            <w:r>
              <w:rPr>
                <w:rFonts w:ascii="宋体" w:hAnsi="宋体" w:cs="宋体" w:eastAsia="宋体" w:hint="default"/>
                <w:sz w:val="16"/>
                <w:szCs w:val="16"/>
              </w:rPr>
            </w:r>
          </w:p>
        </w:tc>
      </w:tr>
      <w:tr>
        <w:trPr>
          <w:trHeight w:val="273" w:hRule="exact"/>
        </w:trPr>
        <w:tc>
          <w:tcPr>
            <w:tcW w:w="665" w:type="dxa"/>
            <w:tcBorders>
              <w:top w:val="nil" w:sz="6" w:space="0" w:color="auto"/>
              <w:left w:val="nil" w:sz="6" w:space="0" w:color="auto"/>
              <w:bottom w:val="nil" w:sz="6" w:space="0" w:color="auto"/>
              <w:right w:val="nil" w:sz="6" w:space="0" w:color="auto"/>
            </w:tcBorders>
          </w:tcPr>
          <w:p>
            <w:pPr>
              <w:pStyle w:val="TableParagraph"/>
              <w:spacing w:line="205" w:lineRule="exact"/>
              <w:ind w:right="12"/>
              <w:jc w:val="center"/>
              <w:rPr>
                <w:rFonts w:ascii="宋体" w:hAnsi="宋体" w:cs="宋体" w:eastAsia="宋体" w:hint="default"/>
                <w:sz w:val="16"/>
                <w:szCs w:val="16"/>
              </w:rPr>
            </w:pPr>
            <w:r>
              <w:rPr>
                <w:rFonts w:ascii="宋体" w:hAnsi="宋体" w:cs="宋体" w:eastAsia="宋体" w:hint="default"/>
                <w:sz w:val="16"/>
                <w:szCs w:val="16"/>
              </w:rPr>
              <w:t>电信业</w:t>
            </w: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left="100" w:right="0"/>
              <w:jc w:val="left"/>
              <w:rPr>
                <w:rFonts w:ascii="宋体" w:hAnsi="宋体" w:cs="宋体" w:eastAsia="宋体" w:hint="default"/>
                <w:sz w:val="16"/>
                <w:szCs w:val="16"/>
              </w:rPr>
            </w:pPr>
            <w:r>
              <w:rPr>
                <w:rFonts w:ascii="宋体" w:hAnsi="宋体" w:cs="宋体" w:eastAsia="宋体" w:hint="default"/>
                <w:sz w:val="16"/>
                <w:szCs w:val="16"/>
              </w:rPr>
              <w:t>人工成本</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34,815,398,472</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0"/>
              <w:jc w:val="right"/>
              <w:rPr>
                <w:rFonts w:ascii="宋体" w:hAnsi="宋体" w:cs="宋体" w:eastAsia="宋体" w:hint="default"/>
                <w:sz w:val="16"/>
                <w:szCs w:val="16"/>
              </w:rPr>
            </w:pPr>
            <w:r>
              <w:rPr>
                <w:rFonts w:ascii="宋体"/>
                <w:color w:val="D7000F"/>
                <w:w w:val="95"/>
                <w:sz w:val="16"/>
              </w:rPr>
              <w:t>16.3</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60"/>
              <w:jc w:val="right"/>
              <w:rPr>
                <w:rFonts w:ascii="宋体" w:hAnsi="宋体" w:cs="宋体" w:eastAsia="宋体" w:hint="default"/>
                <w:sz w:val="16"/>
                <w:szCs w:val="16"/>
              </w:rPr>
            </w:pPr>
            <w:r>
              <w:rPr>
                <w:rFonts w:ascii="宋体"/>
                <w:w w:val="95"/>
                <w:sz w:val="16"/>
              </w:rPr>
              <w:t>31,207,263,946</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2"/>
              <w:jc w:val="right"/>
              <w:rPr>
                <w:rFonts w:ascii="宋体" w:hAnsi="宋体" w:cs="宋体" w:eastAsia="宋体" w:hint="default"/>
                <w:sz w:val="16"/>
                <w:szCs w:val="16"/>
              </w:rPr>
            </w:pPr>
            <w:r>
              <w:rPr>
                <w:rFonts w:ascii="宋体"/>
                <w:w w:val="95"/>
                <w:sz w:val="16"/>
              </w:rPr>
              <w:t>15.1</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tabs>
                <w:tab w:pos="1575" w:val="left" w:leader="none"/>
              </w:tabs>
              <w:spacing w:line="205" w:lineRule="exact"/>
              <w:ind w:left="1049" w:right="0"/>
              <w:jc w:val="left"/>
              <w:rPr>
                <w:rFonts w:ascii="宋体" w:hAnsi="宋体" w:cs="宋体" w:eastAsia="宋体" w:hint="default"/>
                <w:sz w:val="16"/>
                <w:szCs w:val="16"/>
              </w:rPr>
            </w:pPr>
            <w:r>
              <w:rPr>
                <w:rFonts w:ascii="宋体" w:hAnsi="宋体" w:cs="宋体" w:eastAsia="宋体" w:hint="default"/>
                <w:color w:val="D7000F"/>
                <w:w w:val="95"/>
                <w:sz w:val="16"/>
                <w:szCs w:val="16"/>
              </w:rPr>
              <w:t>11.6</w:t>
              <w:tab/>
            </w:r>
            <w:r>
              <w:rPr>
                <w:rFonts w:ascii="宋体" w:hAnsi="宋体" w:cs="宋体" w:eastAsia="宋体" w:hint="default"/>
                <w:sz w:val="16"/>
                <w:szCs w:val="16"/>
              </w:rPr>
              <w:t>说明</w:t>
            </w:r>
          </w:p>
        </w:tc>
      </w:tr>
      <w:tr>
        <w:trPr>
          <w:trHeight w:val="273" w:hRule="exact"/>
        </w:trPr>
        <w:tc>
          <w:tcPr>
            <w:tcW w:w="665" w:type="dxa"/>
            <w:tcBorders>
              <w:top w:val="nil" w:sz="6" w:space="0" w:color="auto"/>
              <w:left w:val="nil" w:sz="6" w:space="0" w:color="auto"/>
              <w:bottom w:val="nil" w:sz="6" w:space="0" w:color="auto"/>
              <w:right w:val="nil" w:sz="6" w:space="0" w:color="auto"/>
            </w:tcBorders>
          </w:tcPr>
          <w:p>
            <w:pP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left="99" w:right="0"/>
              <w:jc w:val="left"/>
              <w:rPr>
                <w:rFonts w:ascii="宋体" w:hAnsi="宋体" w:cs="宋体" w:eastAsia="宋体" w:hint="default"/>
                <w:sz w:val="16"/>
                <w:szCs w:val="16"/>
              </w:rPr>
            </w:pPr>
            <w:r>
              <w:rPr>
                <w:rFonts w:ascii="宋体" w:hAnsi="宋体" w:cs="宋体" w:eastAsia="宋体" w:hint="default"/>
                <w:sz w:val="16"/>
                <w:szCs w:val="16"/>
              </w:rPr>
              <w:t>折旧及摊销</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71,565,352,182</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0"/>
              <w:jc w:val="right"/>
              <w:rPr>
                <w:rFonts w:ascii="宋体" w:hAnsi="宋体" w:cs="宋体" w:eastAsia="宋体" w:hint="default"/>
                <w:sz w:val="16"/>
                <w:szCs w:val="16"/>
              </w:rPr>
            </w:pPr>
            <w:r>
              <w:rPr>
                <w:rFonts w:ascii="宋体"/>
                <w:color w:val="D7000F"/>
                <w:w w:val="95"/>
                <w:sz w:val="16"/>
              </w:rPr>
              <w:t>33.5</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60"/>
              <w:jc w:val="right"/>
              <w:rPr>
                <w:rFonts w:ascii="宋体" w:hAnsi="宋体" w:cs="宋体" w:eastAsia="宋体" w:hint="default"/>
                <w:sz w:val="16"/>
                <w:szCs w:val="16"/>
              </w:rPr>
            </w:pPr>
            <w:r>
              <w:rPr>
                <w:rFonts w:ascii="宋体"/>
                <w:w w:val="95"/>
                <w:sz w:val="16"/>
              </w:rPr>
              <w:t>73,607,747,081</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2"/>
              <w:jc w:val="right"/>
              <w:rPr>
                <w:rFonts w:ascii="宋体" w:hAnsi="宋体" w:cs="宋体" w:eastAsia="宋体" w:hint="default"/>
                <w:sz w:val="16"/>
                <w:szCs w:val="16"/>
              </w:rPr>
            </w:pPr>
            <w:r>
              <w:rPr>
                <w:rFonts w:ascii="宋体"/>
                <w:w w:val="95"/>
                <w:sz w:val="16"/>
              </w:rPr>
              <w:t>35.6</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032" w:right="0"/>
              <w:jc w:val="left"/>
              <w:rPr>
                <w:rFonts w:ascii="宋体" w:hAnsi="宋体" w:cs="宋体" w:eastAsia="宋体" w:hint="default"/>
                <w:sz w:val="16"/>
                <w:szCs w:val="16"/>
              </w:rPr>
            </w:pPr>
            <w:r>
              <w:rPr>
                <w:rFonts w:ascii="宋体"/>
                <w:color w:val="D7000F"/>
                <w:sz w:val="16"/>
              </w:rPr>
              <w:t>-2.8</w:t>
            </w:r>
            <w:r>
              <w:rPr>
                <w:rFonts w:ascii="宋体"/>
                <w:sz w:val="16"/>
              </w:rPr>
            </w:r>
          </w:p>
        </w:tc>
      </w:tr>
      <w:tr>
        <w:trPr>
          <w:trHeight w:val="317" w:hRule="exact"/>
        </w:trPr>
        <w:tc>
          <w:tcPr>
            <w:tcW w:w="665" w:type="dxa"/>
            <w:tcBorders>
              <w:top w:val="nil" w:sz="6" w:space="0" w:color="auto"/>
              <w:left w:val="nil" w:sz="6" w:space="0" w:color="auto"/>
              <w:bottom w:val="nil" w:sz="6" w:space="0" w:color="auto"/>
              <w:right w:val="nil" w:sz="6" w:space="0" w:color="auto"/>
            </w:tcBorders>
          </w:tcPr>
          <w:p>
            <w:pP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left="99" w:right="0"/>
              <w:jc w:val="left"/>
              <w:rPr>
                <w:rFonts w:ascii="宋体" w:hAnsi="宋体" w:cs="宋体" w:eastAsia="宋体" w:hint="default"/>
                <w:sz w:val="16"/>
                <w:szCs w:val="16"/>
              </w:rPr>
            </w:pPr>
            <w:r>
              <w:rPr>
                <w:rFonts w:ascii="宋体" w:hAnsi="宋体" w:cs="宋体" w:eastAsia="宋体" w:hint="default"/>
                <w:sz w:val="16"/>
                <w:szCs w:val="16"/>
              </w:rPr>
              <w:t>销售通信产品支出</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27,604,015,917</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1"/>
              <w:jc w:val="right"/>
              <w:rPr>
                <w:rFonts w:ascii="宋体" w:hAnsi="宋体" w:cs="宋体" w:eastAsia="宋体" w:hint="default"/>
                <w:sz w:val="16"/>
                <w:szCs w:val="16"/>
              </w:rPr>
            </w:pPr>
            <w:r>
              <w:rPr>
                <w:rFonts w:ascii="宋体"/>
                <w:color w:val="D7000F"/>
                <w:w w:val="95"/>
                <w:sz w:val="16"/>
              </w:rPr>
              <w:t>12.9</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60"/>
              <w:jc w:val="right"/>
              <w:rPr>
                <w:rFonts w:ascii="宋体" w:hAnsi="宋体" w:cs="宋体" w:eastAsia="宋体" w:hint="default"/>
                <w:sz w:val="16"/>
                <w:szCs w:val="16"/>
              </w:rPr>
            </w:pPr>
            <w:r>
              <w:rPr>
                <w:rFonts w:ascii="宋体"/>
                <w:w w:val="95"/>
                <w:sz w:val="16"/>
              </w:rPr>
              <w:t>26,643,306,016</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2"/>
              <w:jc w:val="right"/>
              <w:rPr>
                <w:rFonts w:ascii="宋体" w:hAnsi="宋体" w:cs="宋体" w:eastAsia="宋体" w:hint="default"/>
                <w:sz w:val="16"/>
                <w:szCs w:val="16"/>
              </w:rPr>
            </w:pPr>
            <w:r>
              <w:rPr>
                <w:rFonts w:ascii="宋体"/>
                <w:w w:val="95"/>
                <w:sz w:val="16"/>
              </w:rPr>
              <w:t>12.9</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37" w:right="0"/>
              <w:jc w:val="left"/>
              <w:rPr>
                <w:rFonts w:ascii="宋体" w:hAnsi="宋体" w:cs="宋体" w:eastAsia="宋体" w:hint="default"/>
                <w:sz w:val="16"/>
                <w:szCs w:val="16"/>
              </w:rPr>
            </w:pPr>
            <w:r>
              <w:rPr>
                <w:rFonts w:ascii="宋体"/>
                <w:color w:val="D7000F"/>
                <w:sz w:val="16"/>
              </w:rPr>
              <w:t>3.6</w:t>
            </w:r>
            <w:r>
              <w:rPr>
                <w:rFonts w:ascii="宋体"/>
                <w:sz w:val="16"/>
              </w:rPr>
            </w:r>
          </w:p>
        </w:tc>
      </w:tr>
    </w:tbl>
    <w:p>
      <w:pPr>
        <w:spacing w:line="240" w:lineRule="auto" w:before="0"/>
        <w:rPr>
          <w:rFonts w:ascii="宋体" w:hAnsi="宋体" w:cs="宋体" w:eastAsia="宋体" w:hint="default"/>
          <w:sz w:val="12"/>
          <w:szCs w:val="12"/>
        </w:rPr>
      </w:pPr>
    </w:p>
    <w:p>
      <w:pPr>
        <w:spacing w:before="54"/>
        <w:ind w:left="0" w:right="273" w:firstLine="0"/>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7"/>
          <w:sz w:val="12"/>
          <w:szCs w:val="12"/>
        </w:rPr>
        <w:t> </w:t>
      </w:r>
      <w:r>
        <w:rPr>
          <w:rFonts w:ascii="宋体" w:hAnsi="宋体" w:cs="宋体" w:eastAsia="宋体" w:hint="default"/>
          <w:sz w:val="12"/>
          <w:szCs w:val="12"/>
        </w:rPr>
        <w:t>币种</w:t>
      </w:r>
      <w:r>
        <w:rPr>
          <w:rFonts w:ascii="宋体" w:hAnsi="宋体" w:cs="宋体" w:eastAsia="宋体" w:hint="default"/>
          <w:spacing w:val="-36"/>
          <w:sz w:val="12"/>
          <w:szCs w:val="12"/>
        </w:rPr>
        <w:t> </w:t>
      </w:r>
      <w:r>
        <w:rPr>
          <w:rFonts w:ascii="宋体" w:hAnsi="宋体" w:cs="宋体" w:eastAsia="宋体" w:hint="default"/>
          <w:w w:val="95"/>
          <w:sz w:val="12"/>
          <w:szCs w:val="12"/>
        </w:rPr>
        <w:t>:</w:t>
      </w:r>
      <w:r>
        <w:rPr>
          <w:rFonts w:ascii="宋体" w:hAnsi="宋体" w:cs="宋体" w:eastAsia="宋体" w:hint="default"/>
          <w:spacing w:val="-33"/>
          <w:w w:val="95"/>
          <w:sz w:val="12"/>
          <w:szCs w:val="12"/>
        </w:rPr>
        <w:t> </w:t>
      </w:r>
      <w:r>
        <w:rPr>
          <w:rFonts w:ascii="宋体" w:hAnsi="宋体" w:cs="宋体" w:eastAsia="宋体" w:hint="default"/>
          <w:sz w:val="12"/>
          <w:szCs w:val="12"/>
        </w:rPr>
        <w:t>人民币</w:t>
      </w:r>
    </w:p>
    <w:p>
      <w:pPr>
        <w:spacing w:before="120"/>
        <w:ind w:left="4719" w:right="4306" w:firstLine="0"/>
        <w:jc w:val="center"/>
        <w:rPr>
          <w:rFonts w:ascii="宋体" w:hAnsi="宋体" w:cs="宋体" w:eastAsia="宋体" w:hint="default"/>
          <w:sz w:val="16"/>
          <w:szCs w:val="16"/>
        </w:rPr>
      </w:pPr>
      <w:r>
        <w:rPr>
          <w:rFonts w:ascii="宋体" w:hAnsi="宋体" w:cs="宋体" w:eastAsia="宋体" w:hint="default"/>
          <w:sz w:val="16"/>
          <w:szCs w:val="16"/>
        </w:rPr>
        <w:t>分产品情况</w:t>
      </w:r>
    </w:p>
    <w:p>
      <w:pPr>
        <w:spacing w:line="240" w:lineRule="auto" w:before="1"/>
        <w:rPr>
          <w:rFonts w:ascii="宋体" w:hAnsi="宋体" w:cs="宋体" w:eastAsia="宋体" w:hint="default"/>
          <w:sz w:val="6"/>
          <w:szCs w:val="6"/>
        </w:rPr>
      </w:pPr>
    </w:p>
    <w:tbl>
      <w:tblPr>
        <w:tblW w:w="0" w:type="auto"/>
        <w:jc w:val="left"/>
        <w:tblInd w:w="604" w:type="dxa"/>
        <w:tblLayout w:type="fixed"/>
        <w:tblCellMar>
          <w:top w:w="0" w:type="dxa"/>
          <w:left w:w="0" w:type="dxa"/>
          <w:bottom w:w="0" w:type="dxa"/>
          <w:right w:w="0" w:type="dxa"/>
        </w:tblCellMar>
        <w:tblLook w:val="01E0"/>
      </w:tblPr>
      <w:tblGrid>
        <w:gridCol w:w="665"/>
        <w:gridCol w:w="1725"/>
        <w:gridCol w:w="1445"/>
        <w:gridCol w:w="889"/>
        <w:gridCol w:w="1405"/>
        <w:gridCol w:w="915"/>
        <w:gridCol w:w="2027"/>
      </w:tblGrid>
      <w:tr>
        <w:trPr>
          <w:trHeight w:val="764" w:hRule="exact"/>
        </w:trPr>
        <w:tc>
          <w:tcPr>
            <w:tcW w:w="665"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2"/>
              <w:jc w:val="center"/>
              <w:rPr>
                <w:rFonts w:ascii="宋体" w:hAnsi="宋体" w:cs="宋体" w:eastAsia="宋体" w:hint="default"/>
                <w:sz w:val="16"/>
                <w:szCs w:val="16"/>
              </w:rPr>
            </w:pPr>
            <w:r>
              <w:rPr>
                <w:rFonts w:ascii="宋体" w:hAnsi="宋体" w:cs="宋体" w:eastAsia="宋体" w:hint="default"/>
                <w:sz w:val="16"/>
                <w:szCs w:val="16"/>
              </w:rPr>
              <w:t>分行业</w:t>
            </w:r>
          </w:p>
        </w:tc>
        <w:tc>
          <w:tcPr>
            <w:tcW w:w="1725"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16"/>
                <w:szCs w:val="16"/>
              </w:rPr>
            </w:pPr>
            <w:r>
              <w:rPr>
                <w:rFonts w:ascii="宋体" w:hAnsi="宋体" w:cs="宋体" w:eastAsia="宋体" w:hint="default"/>
                <w:sz w:val="16"/>
                <w:szCs w:val="16"/>
              </w:rPr>
              <w:t>成本构成项目</w:t>
            </w:r>
          </w:p>
        </w:tc>
        <w:tc>
          <w:tcPr>
            <w:tcW w:w="1445" w:type="dxa"/>
            <w:tcBorders>
              <w:top w:val="nil" w:sz="6" w:space="0" w:color="auto"/>
              <w:left w:val="nil" w:sz="6" w:space="0" w:color="auto"/>
              <w:bottom w:val="single" w:sz="16" w:space="0" w:color="D7000F"/>
              <w:right w:val="nil" w:sz="6" w:space="0" w:color="auto"/>
            </w:tcBorders>
            <w:shd w:val="clear" w:color="auto" w:fill="FFFFFF"/>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48"/>
              <w:jc w:val="right"/>
              <w:rPr>
                <w:rFonts w:ascii="宋体" w:hAnsi="宋体" w:cs="宋体" w:eastAsia="宋体" w:hint="default"/>
                <w:sz w:val="16"/>
                <w:szCs w:val="16"/>
              </w:rPr>
            </w:pPr>
            <w:r>
              <w:rPr>
                <w:rFonts w:ascii="宋体" w:hAnsi="宋体" w:cs="宋体" w:eastAsia="宋体" w:hint="default"/>
                <w:color w:val="D7000F"/>
                <w:sz w:val="16"/>
                <w:szCs w:val="16"/>
              </w:rPr>
              <w:t>本期金额</w:t>
            </w:r>
            <w:r>
              <w:rPr>
                <w:rFonts w:ascii="宋体" w:hAnsi="宋体" w:cs="宋体" w:eastAsia="宋体" w:hint="default"/>
                <w:sz w:val="16"/>
                <w:szCs w:val="16"/>
              </w:rPr>
            </w:r>
          </w:p>
        </w:tc>
        <w:tc>
          <w:tcPr>
            <w:tcW w:w="889" w:type="dxa"/>
            <w:tcBorders>
              <w:top w:val="nil" w:sz="6" w:space="0" w:color="auto"/>
              <w:left w:val="nil" w:sz="6" w:space="0" w:color="auto"/>
              <w:bottom w:val="single" w:sz="16" w:space="0" w:color="D7000F"/>
              <w:right w:val="nil" w:sz="6" w:space="0" w:color="auto"/>
            </w:tcBorders>
            <w:shd w:val="clear" w:color="auto" w:fill="FFFFFF"/>
          </w:tcPr>
          <w:p>
            <w:pPr>
              <w:pStyle w:val="TableParagraph"/>
              <w:spacing w:line="200" w:lineRule="exact" w:before="67"/>
              <w:ind w:left="149" w:right="130" w:firstLine="126"/>
              <w:jc w:val="right"/>
              <w:rPr>
                <w:rFonts w:ascii="宋体" w:hAnsi="宋体" w:cs="宋体" w:eastAsia="宋体" w:hint="default"/>
                <w:sz w:val="16"/>
                <w:szCs w:val="16"/>
              </w:rPr>
            </w:pPr>
            <w:r>
              <w:rPr>
                <w:rFonts w:ascii="宋体" w:hAnsi="宋体" w:cs="宋体" w:eastAsia="宋体" w:hint="default"/>
                <w:color w:val="D7000F"/>
                <w:sz w:val="16"/>
                <w:szCs w:val="16"/>
              </w:rPr>
              <w:t>本期占 总成本 比例</w:t>
            </w:r>
            <w:r>
              <w:rPr>
                <w:rFonts w:ascii="宋体" w:hAnsi="宋体" w:cs="宋体" w:eastAsia="宋体" w:hint="default"/>
                <w:color w:val="D7000F"/>
                <w:spacing w:val="-34"/>
                <w:sz w:val="16"/>
                <w:szCs w:val="16"/>
              </w:rPr>
              <w:t> </w:t>
            </w:r>
            <w:r>
              <w:rPr>
                <w:rFonts w:ascii="宋体" w:hAnsi="宋体" w:cs="宋体" w:eastAsia="宋体" w:hint="default"/>
                <w:color w:val="D7000F"/>
                <w:sz w:val="16"/>
                <w:szCs w:val="16"/>
              </w:rPr>
              <w:t>(%)</w:t>
            </w:r>
            <w:r>
              <w:rPr>
                <w:rFonts w:ascii="宋体" w:hAnsi="宋体" w:cs="宋体" w:eastAsia="宋体" w:hint="default"/>
                <w:sz w:val="16"/>
                <w:szCs w:val="16"/>
              </w:rPr>
            </w:r>
          </w:p>
        </w:tc>
        <w:tc>
          <w:tcPr>
            <w:tcW w:w="1405"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right="160"/>
              <w:jc w:val="right"/>
              <w:rPr>
                <w:rFonts w:ascii="宋体" w:hAnsi="宋体" w:cs="宋体" w:eastAsia="宋体" w:hint="default"/>
                <w:sz w:val="16"/>
                <w:szCs w:val="16"/>
              </w:rPr>
            </w:pPr>
            <w:r>
              <w:rPr>
                <w:rFonts w:ascii="宋体" w:hAnsi="宋体" w:cs="宋体" w:eastAsia="宋体" w:hint="default"/>
                <w:sz w:val="16"/>
                <w:szCs w:val="16"/>
              </w:rPr>
              <w:t>上年同期金额</w:t>
            </w:r>
          </w:p>
        </w:tc>
        <w:tc>
          <w:tcPr>
            <w:tcW w:w="915"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00" w:lineRule="exact" w:before="67"/>
              <w:ind w:left="161" w:right="111"/>
              <w:jc w:val="both"/>
              <w:rPr>
                <w:rFonts w:ascii="宋体" w:hAnsi="宋体" w:cs="宋体" w:eastAsia="宋体" w:hint="default"/>
                <w:sz w:val="16"/>
                <w:szCs w:val="16"/>
              </w:rPr>
            </w:pPr>
            <w:r>
              <w:rPr>
                <w:rFonts w:ascii="宋体" w:hAnsi="宋体" w:cs="宋体" w:eastAsia="宋体" w:hint="default"/>
                <w:sz w:val="16"/>
                <w:szCs w:val="16"/>
              </w:rPr>
              <w:t>上年同期 占总成本 比例</w:t>
            </w:r>
            <w:r>
              <w:rPr>
                <w:rFonts w:ascii="宋体" w:hAnsi="宋体" w:cs="宋体" w:eastAsia="宋体" w:hint="default"/>
                <w:spacing w:val="-34"/>
                <w:sz w:val="16"/>
                <w:szCs w:val="16"/>
              </w:rPr>
              <w:t> </w:t>
            </w:r>
            <w:r>
              <w:rPr>
                <w:rFonts w:ascii="宋体" w:hAnsi="宋体" w:cs="宋体" w:eastAsia="宋体" w:hint="default"/>
                <w:sz w:val="16"/>
                <w:szCs w:val="16"/>
              </w:rPr>
              <w:t>(%)</w:t>
            </w:r>
          </w:p>
        </w:tc>
        <w:tc>
          <w:tcPr>
            <w:tcW w:w="2027"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6"/>
              <w:ind w:right="0"/>
              <w:jc w:val="left"/>
              <w:rPr>
                <w:rFonts w:ascii="宋体" w:hAnsi="宋体" w:cs="宋体" w:eastAsia="宋体" w:hint="default"/>
                <w:sz w:val="20"/>
                <w:szCs w:val="20"/>
              </w:rPr>
            </w:pPr>
          </w:p>
          <w:p>
            <w:pPr>
              <w:pStyle w:val="TableParagraph"/>
              <w:tabs>
                <w:tab w:pos="1575" w:val="left" w:leader="none"/>
              </w:tabs>
              <w:spacing w:line="200" w:lineRule="exact"/>
              <w:ind w:left="113" w:right="128" w:firstLine="126"/>
              <w:jc w:val="left"/>
              <w:rPr>
                <w:rFonts w:ascii="宋体" w:hAnsi="宋体" w:cs="宋体" w:eastAsia="宋体" w:hint="default"/>
                <w:sz w:val="16"/>
                <w:szCs w:val="16"/>
              </w:rPr>
            </w:pPr>
            <w:r>
              <w:rPr>
                <w:rFonts w:ascii="宋体" w:hAnsi="宋体" w:cs="宋体" w:eastAsia="宋体" w:hint="default"/>
                <w:color w:val="D7000F"/>
                <w:sz w:val="16"/>
                <w:szCs w:val="16"/>
              </w:rPr>
              <w:t>本期金额较上年</w:t>
              <w:tab/>
            </w:r>
            <w:r>
              <w:rPr>
                <w:rFonts w:ascii="宋体" w:hAnsi="宋体" w:cs="宋体" w:eastAsia="宋体" w:hint="default"/>
                <w:sz w:val="16"/>
                <w:szCs w:val="16"/>
              </w:rPr>
              <w:t>情况</w:t>
            </w:r>
            <w:r>
              <w:rPr>
                <w:rFonts w:ascii="宋体" w:hAnsi="宋体" w:cs="宋体" w:eastAsia="宋体" w:hint="default"/>
                <w:sz w:val="16"/>
                <w:szCs w:val="16"/>
              </w:rPr>
              <w:t> </w:t>
            </w:r>
            <w:r>
              <w:rPr>
                <w:rFonts w:ascii="宋体" w:hAnsi="宋体" w:cs="宋体" w:eastAsia="宋体" w:hint="default"/>
                <w:color w:val="D7000F"/>
                <w:sz w:val="16"/>
                <w:szCs w:val="16"/>
              </w:rPr>
              <w:t>同期变动比例</w:t>
            </w:r>
            <w:r>
              <w:rPr>
                <w:rFonts w:ascii="宋体" w:hAnsi="宋体" w:cs="宋体" w:eastAsia="宋体" w:hint="default"/>
                <w:color w:val="D7000F"/>
                <w:spacing w:val="-34"/>
                <w:sz w:val="16"/>
                <w:szCs w:val="16"/>
              </w:rPr>
              <w:t> </w:t>
            </w:r>
            <w:r>
              <w:rPr>
                <w:rFonts w:ascii="宋体" w:hAnsi="宋体" w:cs="宋体" w:eastAsia="宋体" w:hint="default"/>
                <w:color w:val="D7000F"/>
                <w:sz w:val="16"/>
                <w:szCs w:val="16"/>
              </w:rPr>
              <w:t>(%)</w:t>
              <w:tab/>
            </w:r>
            <w:r>
              <w:rPr>
                <w:rFonts w:ascii="宋体" w:hAnsi="宋体" w:cs="宋体" w:eastAsia="宋体" w:hint="default"/>
                <w:sz w:val="16"/>
                <w:szCs w:val="16"/>
              </w:rPr>
              <w:t>说明</w:t>
            </w:r>
          </w:p>
        </w:tc>
      </w:tr>
      <w:tr>
        <w:trPr>
          <w:trHeight w:val="362" w:hRule="exact"/>
        </w:trPr>
        <w:tc>
          <w:tcPr>
            <w:tcW w:w="665" w:type="dxa"/>
            <w:tcBorders>
              <w:top w:val="single" w:sz="16" w:space="0" w:color="9C8758"/>
              <w:left w:val="nil" w:sz="6" w:space="0" w:color="auto"/>
              <w:bottom w:val="nil" w:sz="6" w:space="0" w:color="auto"/>
              <w:right w:val="nil" w:sz="6" w:space="0" w:color="auto"/>
            </w:tcBorders>
            <w:shd w:val="clear" w:color="auto" w:fill="FFFFFF"/>
          </w:tcPr>
          <w:p>
            <w:pPr/>
          </w:p>
        </w:tc>
        <w:tc>
          <w:tcPr>
            <w:tcW w:w="1725"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left="100" w:right="0"/>
              <w:jc w:val="left"/>
              <w:rPr>
                <w:rFonts w:ascii="宋体" w:hAnsi="宋体" w:cs="宋体" w:eastAsia="宋体" w:hint="default"/>
                <w:sz w:val="16"/>
                <w:szCs w:val="16"/>
              </w:rPr>
            </w:pPr>
            <w:r>
              <w:rPr>
                <w:rFonts w:ascii="宋体" w:hAnsi="宋体" w:cs="宋体" w:eastAsia="宋体" w:hint="default"/>
                <w:sz w:val="16"/>
                <w:szCs w:val="16"/>
              </w:rPr>
              <w:t>网络运行及支撑成本</w:t>
            </w:r>
          </w:p>
        </w:tc>
        <w:tc>
          <w:tcPr>
            <w:tcW w:w="1445" w:type="dxa"/>
            <w:tcBorders>
              <w:top w:val="single" w:sz="16" w:space="0" w:color="D7000F"/>
              <w:left w:val="nil" w:sz="6" w:space="0" w:color="auto"/>
              <w:bottom w:val="nil" w:sz="6" w:space="0" w:color="auto"/>
              <w:right w:val="nil" w:sz="6" w:space="0" w:color="auto"/>
            </w:tcBorders>
            <w:shd w:val="clear" w:color="auto" w:fill="FFFFFF"/>
          </w:tcPr>
          <w:p>
            <w:pPr>
              <w:pStyle w:val="TableParagraph"/>
              <w:spacing w:line="240" w:lineRule="auto" w:before="64"/>
              <w:ind w:right="147"/>
              <w:jc w:val="right"/>
              <w:rPr>
                <w:rFonts w:ascii="宋体" w:hAnsi="宋体" w:cs="宋体" w:eastAsia="宋体" w:hint="default"/>
                <w:sz w:val="16"/>
                <w:szCs w:val="16"/>
              </w:rPr>
            </w:pPr>
            <w:r>
              <w:rPr>
                <w:rFonts w:ascii="宋体"/>
                <w:color w:val="D7000F"/>
                <w:w w:val="95"/>
                <w:sz w:val="16"/>
              </w:rPr>
              <w:t>55,076,898,324</w:t>
            </w:r>
            <w:r>
              <w:rPr>
                <w:rFonts w:ascii="宋体"/>
                <w:sz w:val="16"/>
              </w:rPr>
            </w:r>
          </w:p>
        </w:tc>
        <w:tc>
          <w:tcPr>
            <w:tcW w:w="889" w:type="dxa"/>
            <w:tcBorders>
              <w:top w:val="single" w:sz="16" w:space="0" w:color="D7000F"/>
              <w:left w:val="nil" w:sz="6" w:space="0" w:color="auto"/>
              <w:bottom w:val="nil" w:sz="6" w:space="0" w:color="auto"/>
              <w:right w:val="nil" w:sz="6" w:space="0" w:color="auto"/>
            </w:tcBorders>
            <w:shd w:val="clear" w:color="auto" w:fill="FFFFFF"/>
          </w:tcPr>
          <w:p>
            <w:pPr>
              <w:pStyle w:val="TableParagraph"/>
              <w:spacing w:line="240" w:lineRule="auto" w:before="64"/>
              <w:ind w:right="130"/>
              <w:jc w:val="right"/>
              <w:rPr>
                <w:rFonts w:ascii="宋体" w:hAnsi="宋体" w:cs="宋体" w:eastAsia="宋体" w:hint="default"/>
                <w:sz w:val="16"/>
                <w:szCs w:val="16"/>
              </w:rPr>
            </w:pPr>
            <w:r>
              <w:rPr>
                <w:rFonts w:ascii="宋体"/>
                <w:color w:val="D7000F"/>
                <w:w w:val="95"/>
                <w:sz w:val="16"/>
              </w:rPr>
              <w:t>25.8</w:t>
            </w:r>
            <w:r>
              <w:rPr>
                <w:rFonts w:ascii="宋体"/>
                <w:sz w:val="16"/>
              </w:rPr>
            </w:r>
          </w:p>
        </w:tc>
        <w:tc>
          <w:tcPr>
            <w:tcW w:w="1405"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right="159"/>
              <w:jc w:val="right"/>
              <w:rPr>
                <w:rFonts w:ascii="宋体" w:hAnsi="宋体" w:cs="宋体" w:eastAsia="宋体" w:hint="default"/>
                <w:sz w:val="16"/>
                <w:szCs w:val="16"/>
              </w:rPr>
            </w:pPr>
            <w:r>
              <w:rPr>
                <w:rFonts w:ascii="宋体"/>
                <w:w w:val="95"/>
                <w:sz w:val="16"/>
              </w:rPr>
              <w:t>54,506,750,776</w:t>
            </w:r>
            <w:r>
              <w:rPr>
                <w:rFonts w:ascii="宋体"/>
                <w:sz w:val="16"/>
              </w:rPr>
            </w:r>
          </w:p>
        </w:tc>
        <w:tc>
          <w:tcPr>
            <w:tcW w:w="915"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26.3</w:t>
            </w:r>
            <w:r>
              <w:rPr>
                <w:rFonts w:ascii="宋体"/>
                <w:sz w:val="16"/>
              </w:rPr>
            </w:r>
          </w:p>
        </w:tc>
        <w:tc>
          <w:tcPr>
            <w:tcW w:w="2027"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left="1138" w:right="0"/>
              <w:jc w:val="left"/>
              <w:rPr>
                <w:rFonts w:ascii="宋体" w:hAnsi="宋体" w:cs="宋体" w:eastAsia="宋体" w:hint="default"/>
                <w:sz w:val="16"/>
                <w:szCs w:val="16"/>
              </w:rPr>
            </w:pPr>
            <w:r>
              <w:rPr>
                <w:rFonts w:ascii="宋体"/>
                <w:color w:val="D7000F"/>
                <w:sz w:val="16"/>
              </w:rPr>
              <w:t>1.0</w:t>
            </w:r>
            <w:r>
              <w:rPr>
                <w:rFonts w:ascii="宋体"/>
                <w:sz w:val="16"/>
              </w:rPr>
            </w:r>
          </w:p>
        </w:tc>
      </w:tr>
      <w:tr>
        <w:trPr>
          <w:trHeight w:val="273" w:hRule="exact"/>
        </w:trPr>
        <w:tc>
          <w:tcPr>
            <w:tcW w:w="665" w:type="dxa"/>
            <w:tcBorders>
              <w:top w:val="nil" w:sz="6" w:space="0" w:color="auto"/>
              <w:left w:val="nil" w:sz="6" w:space="0" w:color="auto"/>
              <w:bottom w:val="nil" w:sz="6" w:space="0" w:color="auto"/>
              <w:right w:val="nil" w:sz="6" w:space="0" w:color="auto"/>
            </w:tcBorders>
            <w:shd w:val="clear" w:color="auto" w:fill="FFFFFF"/>
          </w:tcPr>
          <w:p>
            <w:pPr/>
          </w:p>
        </w:tc>
        <w:tc>
          <w:tcPr>
            <w:tcW w:w="172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00" w:right="0"/>
              <w:jc w:val="left"/>
              <w:rPr>
                <w:rFonts w:ascii="宋体" w:hAnsi="宋体" w:cs="宋体" w:eastAsia="宋体" w:hint="default"/>
                <w:sz w:val="16"/>
                <w:szCs w:val="16"/>
              </w:rPr>
            </w:pPr>
            <w:r>
              <w:rPr>
                <w:rFonts w:ascii="宋体" w:hAnsi="宋体" w:cs="宋体" w:eastAsia="宋体" w:hint="default"/>
                <w:sz w:val="16"/>
                <w:szCs w:val="16"/>
              </w:rPr>
              <w:t>网间结算成本</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12,579,380,472</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0"/>
              <w:jc w:val="right"/>
              <w:rPr>
                <w:rFonts w:ascii="宋体" w:hAnsi="宋体" w:cs="宋体" w:eastAsia="宋体" w:hint="default"/>
                <w:sz w:val="16"/>
                <w:szCs w:val="16"/>
              </w:rPr>
            </w:pPr>
            <w:r>
              <w:rPr>
                <w:rFonts w:ascii="宋体"/>
                <w:color w:val="D7000F"/>
                <w:w w:val="90"/>
                <w:sz w:val="16"/>
              </w:rPr>
              <w:t>5.9</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59"/>
              <w:jc w:val="right"/>
              <w:rPr>
                <w:rFonts w:ascii="宋体" w:hAnsi="宋体" w:cs="宋体" w:eastAsia="宋体" w:hint="default"/>
                <w:sz w:val="16"/>
                <w:szCs w:val="16"/>
              </w:rPr>
            </w:pPr>
            <w:r>
              <w:rPr>
                <w:rFonts w:ascii="宋体"/>
                <w:w w:val="95"/>
                <w:sz w:val="16"/>
              </w:rPr>
              <w:t>12,617,033,343</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1"/>
              <w:jc w:val="right"/>
              <w:rPr>
                <w:rFonts w:ascii="宋体" w:hAnsi="宋体" w:cs="宋体" w:eastAsia="宋体" w:hint="default"/>
                <w:sz w:val="16"/>
                <w:szCs w:val="16"/>
              </w:rPr>
            </w:pPr>
            <w:r>
              <w:rPr>
                <w:rFonts w:ascii="宋体"/>
                <w:w w:val="90"/>
                <w:sz w:val="16"/>
              </w:rPr>
              <w:t>6.1</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tabs>
                <w:tab w:pos="1575" w:val="left" w:leader="none"/>
              </w:tabs>
              <w:spacing w:line="275" w:lineRule="exact"/>
              <w:ind w:left="1033" w:right="0"/>
              <w:jc w:val="left"/>
              <w:rPr>
                <w:rFonts w:ascii="宋体" w:hAnsi="宋体" w:cs="宋体" w:eastAsia="宋体" w:hint="default"/>
                <w:sz w:val="16"/>
                <w:szCs w:val="16"/>
              </w:rPr>
            </w:pPr>
            <w:r>
              <w:rPr>
                <w:rFonts w:ascii="宋体" w:hAnsi="宋体" w:cs="宋体" w:eastAsia="宋体" w:hint="default"/>
                <w:color w:val="D7000F"/>
                <w:sz w:val="16"/>
                <w:szCs w:val="16"/>
              </w:rPr>
              <w:t>-0.3</w:t>
              <w:tab/>
            </w:r>
            <w:r>
              <w:rPr>
                <w:rFonts w:ascii="宋体" w:hAnsi="宋体" w:cs="宋体" w:eastAsia="宋体" w:hint="default"/>
                <w:position w:val="-6"/>
                <w:sz w:val="16"/>
                <w:szCs w:val="16"/>
              </w:rPr>
              <w:t>见下</w:t>
            </w:r>
            <w:r>
              <w:rPr>
                <w:rFonts w:ascii="宋体" w:hAnsi="宋体" w:cs="宋体" w:eastAsia="宋体" w:hint="default"/>
                <w:sz w:val="16"/>
                <w:szCs w:val="16"/>
              </w:rPr>
            </w:r>
          </w:p>
        </w:tc>
      </w:tr>
      <w:tr>
        <w:trPr>
          <w:trHeight w:val="273" w:hRule="exact"/>
        </w:trPr>
        <w:tc>
          <w:tcPr>
            <w:tcW w:w="66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2"/>
              <w:jc w:val="center"/>
              <w:rPr>
                <w:rFonts w:ascii="宋体" w:hAnsi="宋体" w:cs="宋体" w:eastAsia="宋体" w:hint="default"/>
                <w:sz w:val="16"/>
                <w:szCs w:val="16"/>
              </w:rPr>
            </w:pPr>
            <w:r>
              <w:rPr>
                <w:rFonts w:ascii="宋体" w:hAnsi="宋体" w:cs="宋体" w:eastAsia="宋体" w:hint="default"/>
                <w:sz w:val="16"/>
                <w:szCs w:val="16"/>
              </w:rPr>
              <w:t>电信业</w:t>
            </w:r>
          </w:p>
        </w:tc>
        <w:tc>
          <w:tcPr>
            <w:tcW w:w="172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00" w:right="0"/>
              <w:jc w:val="left"/>
              <w:rPr>
                <w:rFonts w:ascii="宋体" w:hAnsi="宋体" w:cs="宋体" w:eastAsia="宋体" w:hint="default"/>
                <w:sz w:val="16"/>
                <w:szCs w:val="16"/>
              </w:rPr>
            </w:pPr>
            <w:r>
              <w:rPr>
                <w:rFonts w:ascii="宋体" w:hAnsi="宋体" w:cs="宋体" w:eastAsia="宋体" w:hint="default"/>
                <w:sz w:val="16"/>
                <w:szCs w:val="16"/>
              </w:rPr>
              <w:t>人工成本</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34,815,398,472</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0"/>
              <w:jc w:val="right"/>
              <w:rPr>
                <w:rFonts w:ascii="宋体" w:hAnsi="宋体" w:cs="宋体" w:eastAsia="宋体" w:hint="default"/>
                <w:sz w:val="16"/>
                <w:szCs w:val="16"/>
              </w:rPr>
            </w:pPr>
            <w:r>
              <w:rPr>
                <w:rFonts w:ascii="宋体"/>
                <w:color w:val="D7000F"/>
                <w:w w:val="95"/>
                <w:sz w:val="16"/>
              </w:rPr>
              <w:t>16.3</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60"/>
              <w:jc w:val="right"/>
              <w:rPr>
                <w:rFonts w:ascii="宋体" w:hAnsi="宋体" w:cs="宋体" w:eastAsia="宋体" w:hint="default"/>
                <w:sz w:val="16"/>
                <w:szCs w:val="16"/>
              </w:rPr>
            </w:pPr>
            <w:r>
              <w:rPr>
                <w:rFonts w:ascii="宋体"/>
                <w:w w:val="95"/>
                <w:sz w:val="16"/>
              </w:rPr>
              <w:t>31,207,263,946</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2"/>
              <w:jc w:val="right"/>
              <w:rPr>
                <w:rFonts w:ascii="宋体" w:hAnsi="宋体" w:cs="宋体" w:eastAsia="宋体" w:hint="default"/>
                <w:sz w:val="16"/>
                <w:szCs w:val="16"/>
              </w:rPr>
            </w:pPr>
            <w:r>
              <w:rPr>
                <w:rFonts w:ascii="宋体"/>
                <w:w w:val="95"/>
                <w:sz w:val="16"/>
              </w:rPr>
              <w:t>15.1</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tabs>
                <w:tab w:pos="1575" w:val="left" w:leader="none"/>
              </w:tabs>
              <w:spacing w:line="205" w:lineRule="exact"/>
              <w:ind w:left="1049" w:right="0"/>
              <w:jc w:val="left"/>
              <w:rPr>
                <w:rFonts w:ascii="宋体" w:hAnsi="宋体" w:cs="宋体" w:eastAsia="宋体" w:hint="default"/>
                <w:sz w:val="16"/>
                <w:szCs w:val="16"/>
              </w:rPr>
            </w:pPr>
            <w:r>
              <w:rPr>
                <w:rFonts w:ascii="宋体" w:hAnsi="宋体" w:cs="宋体" w:eastAsia="宋体" w:hint="default"/>
                <w:color w:val="D7000F"/>
                <w:w w:val="95"/>
                <w:sz w:val="16"/>
                <w:szCs w:val="16"/>
              </w:rPr>
              <w:t>11.6</w:t>
              <w:tab/>
            </w:r>
            <w:r>
              <w:rPr>
                <w:rFonts w:ascii="宋体" w:hAnsi="宋体" w:cs="宋体" w:eastAsia="宋体" w:hint="default"/>
                <w:sz w:val="16"/>
                <w:szCs w:val="16"/>
              </w:rPr>
              <w:t>说明</w:t>
            </w:r>
          </w:p>
        </w:tc>
      </w:tr>
      <w:tr>
        <w:trPr>
          <w:trHeight w:val="273" w:hRule="exact"/>
        </w:trPr>
        <w:tc>
          <w:tcPr>
            <w:tcW w:w="665" w:type="dxa"/>
            <w:tcBorders>
              <w:top w:val="nil" w:sz="6" w:space="0" w:color="auto"/>
              <w:left w:val="nil" w:sz="6" w:space="0" w:color="auto"/>
              <w:bottom w:val="nil" w:sz="6" w:space="0" w:color="auto"/>
              <w:right w:val="nil" w:sz="6" w:space="0" w:color="auto"/>
            </w:tcBorders>
            <w:shd w:val="clear" w:color="auto" w:fill="FFFFFF"/>
          </w:tcPr>
          <w:p>
            <w:pPr/>
          </w:p>
        </w:tc>
        <w:tc>
          <w:tcPr>
            <w:tcW w:w="172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99" w:right="0"/>
              <w:jc w:val="left"/>
              <w:rPr>
                <w:rFonts w:ascii="宋体" w:hAnsi="宋体" w:cs="宋体" w:eastAsia="宋体" w:hint="default"/>
                <w:sz w:val="16"/>
                <w:szCs w:val="16"/>
              </w:rPr>
            </w:pPr>
            <w:r>
              <w:rPr>
                <w:rFonts w:ascii="宋体" w:hAnsi="宋体" w:cs="宋体" w:eastAsia="宋体" w:hint="default"/>
                <w:sz w:val="16"/>
                <w:szCs w:val="16"/>
              </w:rPr>
              <w:t>折旧及摊销</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71,565,352,182</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0"/>
              <w:jc w:val="right"/>
              <w:rPr>
                <w:rFonts w:ascii="宋体" w:hAnsi="宋体" w:cs="宋体" w:eastAsia="宋体" w:hint="default"/>
                <w:sz w:val="16"/>
                <w:szCs w:val="16"/>
              </w:rPr>
            </w:pPr>
            <w:r>
              <w:rPr>
                <w:rFonts w:ascii="宋体"/>
                <w:color w:val="D7000F"/>
                <w:w w:val="95"/>
                <w:sz w:val="16"/>
              </w:rPr>
              <w:t>33.5</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60"/>
              <w:jc w:val="right"/>
              <w:rPr>
                <w:rFonts w:ascii="宋体" w:hAnsi="宋体" w:cs="宋体" w:eastAsia="宋体" w:hint="default"/>
                <w:sz w:val="16"/>
                <w:szCs w:val="16"/>
              </w:rPr>
            </w:pPr>
            <w:r>
              <w:rPr>
                <w:rFonts w:ascii="宋体"/>
                <w:w w:val="95"/>
                <w:sz w:val="16"/>
              </w:rPr>
              <w:t>73,607,747,081</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2"/>
              <w:jc w:val="right"/>
              <w:rPr>
                <w:rFonts w:ascii="宋体" w:hAnsi="宋体" w:cs="宋体" w:eastAsia="宋体" w:hint="default"/>
                <w:sz w:val="16"/>
                <w:szCs w:val="16"/>
              </w:rPr>
            </w:pPr>
            <w:r>
              <w:rPr>
                <w:rFonts w:ascii="宋体"/>
                <w:w w:val="95"/>
                <w:sz w:val="16"/>
              </w:rPr>
              <w:t>35.6</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032" w:right="0"/>
              <w:jc w:val="left"/>
              <w:rPr>
                <w:rFonts w:ascii="宋体" w:hAnsi="宋体" w:cs="宋体" w:eastAsia="宋体" w:hint="default"/>
                <w:sz w:val="16"/>
                <w:szCs w:val="16"/>
              </w:rPr>
            </w:pPr>
            <w:r>
              <w:rPr>
                <w:rFonts w:ascii="宋体"/>
                <w:color w:val="D7000F"/>
                <w:sz w:val="16"/>
              </w:rPr>
              <w:t>-2.8</w:t>
            </w:r>
            <w:r>
              <w:rPr>
                <w:rFonts w:ascii="宋体"/>
                <w:sz w:val="16"/>
              </w:rPr>
            </w:r>
          </w:p>
        </w:tc>
      </w:tr>
      <w:tr>
        <w:trPr>
          <w:trHeight w:val="317" w:hRule="exact"/>
        </w:trPr>
        <w:tc>
          <w:tcPr>
            <w:tcW w:w="665" w:type="dxa"/>
            <w:tcBorders>
              <w:top w:val="nil" w:sz="6" w:space="0" w:color="auto"/>
              <w:left w:val="nil" w:sz="6" w:space="0" w:color="auto"/>
              <w:bottom w:val="nil" w:sz="6" w:space="0" w:color="auto"/>
              <w:right w:val="nil" w:sz="6" w:space="0" w:color="auto"/>
            </w:tcBorders>
            <w:shd w:val="clear" w:color="auto" w:fill="FFFFFF"/>
          </w:tcPr>
          <w:p>
            <w:pPr/>
          </w:p>
        </w:tc>
        <w:tc>
          <w:tcPr>
            <w:tcW w:w="172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99" w:right="0"/>
              <w:jc w:val="left"/>
              <w:rPr>
                <w:rFonts w:ascii="宋体" w:hAnsi="宋体" w:cs="宋体" w:eastAsia="宋体" w:hint="default"/>
                <w:sz w:val="16"/>
                <w:szCs w:val="16"/>
              </w:rPr>
            </w:pPr>
            <w:r>
              <w:rPr>
                <w:rFonts w:ascii="宋体" w:hAnsi="宋体" w:cs="宋体" w:eastAsia="宋体" w:hint="default"/>
                <w:sz w:val="16"/>
                <w:szCs w:val="16"/>
              </w:rPr>
              <w:t>销售通信产品支出</w:t>
            </w:r>
          </w:p>
        </w:tc>
        <w:tc>
          <w:tcPr>
            <w:tcW w:w="144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48"/>
              <w:jc w:val="right"/>
              <w:rPr>
                <w:rFonts w:ascii="宋体" w:hAnsi="宋体" w:cs="宋体" w:eastAsia="宋体" w:hint="default"/>
                <w:sz w:val="16"/>
                <w:szCs w:val="16"/>
              </w:rPr>
            </w:pPr>
            <w:r>
              <w:rPr>
                <w:rFonts w:ascii="宋体"/>
                <w:color w:val="D7000F"/>
                <w:w w:val="95"/>
                <w:sz w:val="16"/>
              </w:rPr>
              <w:t>27,604,015,917</w:t>
            </w:r>
            <w:r>
              <w:rPr>
                <w:rFonts w:ascii="宋体"/>
                <w:sz w:val="16"/>
              </w:rPr>
            </w:r>
          </w:p>
        </w:tc>
        <w:tc>
          <w:tcPr>
            <w:tcW w:w="889"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31"/>
              <w:jc w:val="right"/>
              <w:rPr>
                <w:rFonts w:ascii="宋体" w:hAnsi="宋体" w:cs="宋体" w:eastAsia="宋体" w:hint="default"/>
                <w:sz w:val="16"/>
                <w:szCs w:val="16"/>
              </w:rPr>
            </w:pPr>
            <w:r>
              <w:rPr>
                <w:rFonts w:ascii="宋体"/>
                <w:color w:val="D7000F"/>
                <w:w w:val="95"/>
                <w:sz w:val="16"/>
              </w:rPr>
              <w:t>12.9</w:t>
            </w:r>
            <w:r>
              <w:rPr>
                <w:rFonts w:ascii="宋体"/>
                <w:sz w:val="16"/>
              </w:rPr>
            </w:r>
          </w:p>
        </w:tc>
        <w:tc>
          <w:tcPr>
            <w:tcW w:w="140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60"/>
              <w:jc w:val="right"/>
              <w:rPr>
                <w:rFonts w:ascii="宋体" w:hAnsi="宋体" w:cs="宋体" w:eastAsia="宋体" w:hint="default"/>
                <w:sz w:val="16"/>
                <w:szCs w:val="16"/>
              </w:rPr>
            </w:pPr>
            <w:r>
              <w:rPr>
                <w:rFonts w:ascii="宋体"/>
                <w:w w:val="95"/>
                <w:sz w:val="16"/>
              </w:rPr>
              <w:t>26,643,306,016</w:t>
            </w:r>
            <w:r>
              <w:rPr>
                <w:rFonts w:ascii="宋体"/>
                <w:sz w:val="16"/>
              </w:rPr>
            </w:r>
          </w:p>
        </w:tc>
        <w:tc>
          <w:tcPr>
            <w:tcW w:w="915"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12"/>
              <w:jc w:val="right"/>
              <w:rPr>
                <w:rFonts w:ascii="宋体" w:hAnsi="宋体" w:cs="宋体" w:eastAsia="宋体" w:hint="default"/>
                <w:sz w:val="16"/>
                <w:szCs w:val="16"/>
              </w:rPr>
            </w:pPr>
            <w:r>
              <w:rPr>
                <w:rFonts w:ascii="宋体"/>
                <w:w w:val="95"/>
                <w:sz w:val="16"/>
              </w:rPr>
              <w:t>12.9</w:t>
            </w:r>
            <w:r>
              <w:rPr>
                <w:rFonts w:ascii="宋体"/>
                <w:sz w:val="16"/>
              </w:rPr>
            </w:r>
          </w:p>
        </w:tc>
        <w:tc>
          <w:tcPr>
            <w:tcW w:w="2027"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37" w:right="0"/>
              <w:jc w:val="left"/>
              <w:rPr>
                <w:rFonts w:ascii="宋体" w:hAnsi="宋体" w:cs="宋体" w:eastAsia="宋体" w:hint="default"/>
                <w:sz w:val="16"/>
                <w:szCs w:val="16"/>
              </w:rPr>
            </w:pPr>
            <w:r>
              <w:rPr>
                <w:rFonts w:ascii="宋体"/>
                <w:color w:val="D7000F"/>
                <w:sz w:val="16"/>
              </w:rPr>
              <w:t>3.6</w:t>
            </w:r>
            <w:r>
              <w:rPr>
                <w:rFonts w:ascii="宋体"/>
                <w:sz w:val="16"/>
              </w:rPr>
            </w:r>
          </w:p>
        </w:tc>
      </w:tr>
    </w:tbl>
    <w:p>
      <w:pPr>
        <w:spacing w:line="240" w:lineRule="auto" w:before="5"/>
        <w:rPr>
          <w:rFonts w:ascii="宋体" w:hAnsi="宋体" w:cs="宋体" w:eastAsia="宋体" w:hint="default"/>
          <w:sz w:val="12"/>
          <w:szCs w:val="12"/>
        </w:rPr>
      </w:pPr>
    </w:p>
    <w:p>
      <w:pPr>
        <w:pStyle w:val="BodyText"/>
        <w:spacing w:line="240" w:lineRule="auto" w:before="31"/>
        <w:ind w:left="604" w:right="95"/>
        <w:jc w:val="left"/>
        <w:rPr>
          <w:rFonts w:ascii="宋体" w:hAnsi="宋体" w:cs="宋体" w:eastAsia="宋体" w:hint="default"/>
        </w:rPr>
      </w:pPr>
      <w:r>
        <w:rPr>
          <w:rFonts w:ascii="宋体" w:hAnsi="宋体" w:cs="宋体" w:eastAsia="宋体" w:hint="default"/>
        </w:rPr>
        <w:t>成本分析其他情况说明：</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spacing w:val="-1"/>
          <w:w w:val="111"/>
        </w:rPr>
        <w:t>1</w:t>
      </w:r>
      <w:r>
        <w:rPr>
          <w:rFonts w:ascii="宋体" w:hAnsi="宋体" w:cs="宋体" w:eastAsia="宋体" w:hint="default"/>
          <w:w w:val="55"/>
        </w:rPr>
        <w:t>.</w:t>
      </w:r>
      <w:r>
        <w:rPr>
          <w:rFonts w:ascii="宋体" w:hAnsi="宋体" w:cs="宋体" w:eastAsia="宋体" w:hint="default"/>
          <w:spacing w:val="-45"/>
        </w:rPr>
        <w:t> </w:t>
      </w:r>
      <w:r>
        <w:rPr>
          <w:rFonts w:ascii="宋体" w:hAnsi="宋体" w:cs="宋体" w:eastAsia="宋体" w:hint="default"/>
          <w:spacing w:val="3"/>
        </w:rPr>
        <w:t>网络运行及支撑成</w:t>
      </w:r>
      <w:r>
        <w:rPr>
          <w:rFonts w:ascii="宋体" w:hAnsi="宋体" w:cs="宋体" w:eastAsia="宋体" w:hint="default"/>
        </w:rPr>
        <w:t>本</w:t>
      </w:r>
      <w:r>
        <w:rPr>
          <w:rFonts w:ascii="宋体" w:hAnsi="宋体" w:cs="宋体" w:eastAsia="宋体" w:hint="default"/>
          <w:spacing w:val="3"/>
        </w:rPr>
        <w:t>：同比微</w:t>
      </w:r>
      <w:r>
        <w:rPr>
          <w:rFonts w:ascii="宋体" w:hAnsi="宋体" w:cs="宋体" w:eastAsia="宋体" w:hint="default"/>
        </w:rPr>
        <w:t>增</w:t>
      </w:r>
      <w:r>
        <w:rPr>
          <w:rFonts w:ascii="宋体" w:hAnsi="宋体" w:cs="宋体" w:eastAsia="宋体" w:hint="default"/>
          <w:spacing w:val="-45"/>
        </w:rPr>
        <w:t> </w:t>
      </w:r>
      <w:r>
        <w:rPr>
          <w:rFonts w:ascii="宋体" w:hAnsi="宋体" w:cs="宋体" w:eastAsia="宋体" w:hint="default"/>
          <w:spacing w:val="-1"/>
          <w:w w:val="111"/>
        </w:rPr>
        <w:t>5</w:t>
      </w:r>
      <w:r>
        <w:rPr>
          <w:rFonts w:ascii="宋体" w:hAnsi="宋体" w:cs="宋体" w:eastAsia="宋体" w:hint="default"/>
          <w:w w:val="55"/>
        </w:rPr>
        <w:t>.</w:t>
      </w:r>
      <w:r>
        <w:rPr>
          <w:rFonts w:ascii="宋体" w:hAnsi="宋体" w:cs="宋体" w:eastAsia="宋体" w:hint="default"/>
          <w:w w:val="111"/>
        </w:rPr>
        <w:t>7</w:t>
      </w:r>
      <w:r>
        <w:rPr>
          <w:rFonts w:ascii="宋体" w:hAnsi="宋体" w:cs="宋体" w:eastAsia="宋体" w:hint="default"/>
          <w:spacing w:val="-45"/>
        </w:rPr>
        <w:t> </w:t>
      </w:r>
      <w:r>
        <w:rPr>
          <w:rFonts w:ascii="宋体" w:hAnsi="宋体" w:cs="宋体" w:eastAsia="宋体" w:hint="default"/>
          <w:spacing w:val="3"/>
        </w:rPr>
        <w:t>亿</w:t>
      </w:r>
      <w:r>
        <w:rPr>
          <w:rFonts w:ascii="宋体" w:hAnsi="宋体" w:cs="宋体" w:eastAsia="宋体" w:hint="default"/>
        </w:rPr>
        <w:t>元</w:t>
      </w:r>
      <w:r>
        <w:rPr>
          <w:rFonts w:ascii="宋体" w:hAnsi="宋体" w:cs="宋体" w:eastAsia="宋体" w:hint="default"/>
          <w:spacing w:val="3"/>
        </w:rPr>
        <w:t>，其中得益于新增铁塔使用的良好控制以</w:t>
      </w:r>
      <w:r>
        <w:rPr>
          <w:rFonts w:ascii="宋体" w:hAnsi="宋体" w:cs="宋体" w:eastAsia="宋体" w:hint="default"/>
        </w:rPr>
        <w:t>及</w:t>
      </w:r>
      <w:r>
        <w:rPr>
          <w:rFonts w:ascii="宋体" w:hAnsi="宋体" w:cs="宋体" w:eastAsia="宋体" w:hint="default"/>
          <w:spacing w:val="-45"/>
        </w:rPr>
        <w:t> </w:t>
      </w: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5"/>
        </w:rPr>
        <w:t> </w:t>
      </w:r>
      <w:r>
        <w:rPr>
          <w:rFonts w:ascii="宋体" w:hAnsi="宋体" w:cs="宋体" w:eastAsia="宋体" w:hint="default"/>
        </w:rPr>
        <w:t>年</w:t>
      </w:r>
      <w:r>
        <w:rPr>
          <w:rFonts w:ascii="宋体" w:hAnsi="宋体" w:cs="宋体" w:eastAsia="宋体" w:hint="default"/>
          <w:spacing w:val="-45"/>
        </w:rPr>
        <w:t> </w:t>
      </w:r>
      <w:r>
        <w:rPr>
          <w:rFonts w:ascii="宋体" w:hAnsi="宋体" w:cs="宋体" w:eastAsia="宋体" w:hint="default"/>
          <w:w w:val="111"/>
        </w:rPr>
        <w:t>1</w:t>
      </w:r>
      <w:r>
        <w:rPr>
          <w:rFonts w:ascii="宋体" w:hAnsi="宋体" w:cs="宋体" w:eastAsia="宋体" w:hint="default"/>
          <w:spacing w:val="-45"/>
        </w:rPr>
        <w:t> </w:t>
      </w:r>
      <w:r>
        <w:rPr>
          <w:rFonts w:ascii="宋体" w:hAnsi="宋体" w:cs="宋体" w:eastAsia="宋体" w:hint="default"/>
          <w:spacing w:val="3"/>
        </w:rPr>
        <w:t>月起生效的通信</w:t>
      </w:r>
      <w:r>
        <w:rPr>
          <w:rFonts w:ascii="宋体" w:hAnsi="宋体" w:cs="宋体" w:eastAsia="宋体" w:hint="default"/>
        </w:rPr>
      </w:r>
    </w:p>
    <w:p>
      <w:pPr>
        <w:pStyle w:val="BodyText"/>
        <w:spacing w:line="240" w:lineRule="auto" w:before="44"/>
        <w:ind w:left="604" w:right="95"/>
        <w:jc w:val="left"/>
        <w:rPr>
          <w:rFonts w:ascii="宋体" w:hAnsi="宋体" w:cs="宋体" w:eastAsia="宋体" w:hint="default"/>
        </w:rPr>
      </w:pPr>
      <w:r>
        <w:rPr>
          <w:rFonts w:ascii="宋体" w:hAnsi="宋体" w:cs="宋体" w:eastAsia="宋体" w:hint="default"/>
        </w:rPr>
        <w:t>铁塔及相关资产的新商务定价使得铁塔使用费同比下降</w:t>
      </w:r>
      <w:r>
        <w:rPr>
          <w:rFonts w:ascii="宋体" w:hAnsi="宋体" w:cs="宋体" w:eastAsia="宋体" w:hint="default"/>
          <w:spacing w:val="-56"/>
        </w:rPr>
        <w:t> </w:t>
      </w:r>
      <w:r>
        <w:rPr>
          <w:rFonts w:ascii="宋体" w:hAnsi="宋体" w:cs="宋体" w:eastAsia="宋体" w:hint="default"/>
        </w:rPr>
        <w:t>5.4</w:t>
      </w:r>
      <w:r>
        <w:rPr>
          <w:rFonts w:ascii="宋体" w:hAnsi="宋体" w:cs="宋体" w:eastAsia="宋体" w:hint="default"/>
          <w:spacing w:val="-57"/>
        </w:rPr>
        <w:t> </w:t>
      </w:r>
      <w:r>
        <w:rPr>
          <w:rFonts w:ascii="宋体" w:hAnsi="宋体" w:cs="宋体" w:eastAsia="宋体" w:hint="default"/>
        </w:rPr>
        <w:t>亿元；</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w w:val="95"/>
        </w:rPr>
        <w:t>2. </w:t>
      </w:r>
      <w:r>
        <w:rPr>
          <w:rFonts w:ascii="宋体" w:hAnsi="宋体" w:cs="宋体" w:eastAsia="宋体" w:hint="default"/>
          <w:spacing w:val="68"/>
          <w:w w:val="95"/>
        </w:rPr>
        <w:t> </w:t>
      </w:r>
      <w:r>
        <w:rPr>
          <w:rFonts w:ascii="宋体" w:hAnsi="宋体" w:cs="宋体" w:eastAsia="宋体" w:hint="default"/>
          <w:w w:val="95"/>
        </w:rPr>
        <w:t>网间结算成本：成本下降主要受网间话务量下滑影响；</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w w:val="95"/>
        </w:rPr>
        <w:t>3.   </w:t>
      </w:r>
      <w:r>
        <w:rPr>
          <w:rFonts w:ascii="宋体" w:hAnsi="宋体" w:cs="宋体" w:eastAsia="宋体" w:hint="default"/>
          <w:spacing w:val="68"/>
          <w:w w:val="95"/>
        </w:rPr>
        <w:t> </w:t>
      </w:r>
      <w:r>
        <w:rPr>
          <w:rFonts w:ascii="宋体" w:hAnsi="宋体" w:cs="宋体" w:eastAsia="宋体" w:hint="default"/>
          <w:w w:val="95"/>
        </w:rPr>
        <w:t>人工成本：主要由于公司积极推进激励机制改革，强化激励与绩效挂钩，同时加大引入创新人才；</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w w:val="95"/>
        </w:rPr>
        <w:t>4.  </w:t>
      </w:r>
      <w:r>
        <w:rPr>
          <w:rFonts w:ascii="宋体" w:hAnsi="宋体" w:cs="宋体" w:eastAsia="宋体" w:hint="default"/>
          <w:spacing w:val="10"/>
          <w:w w:val="95"/>
        </w:rPr>
        <w:t> </w:t>
      </w:r>
      <w:r>
        <w:rPr>
          <w:rFonts w:ascii="宋体" w:hAnsi="宋体" w:cs="宋体" w:eastAsia="宋体" w:hint="default"/>
          <w:w w:val="95"/>
        </w:rPr>
        <w:t>折旧及摊销：折旧下降主要得益于近年资本开支的良好管控；</w:t>
      </w:r>
    </w:p>
    <w:p>
      <w:pPr>
        <w:pStyle w:val="BodyText"/>
        <w:spacing w:line="240" w:lineRule="auto" w:before="157"/>
        <w:ind w:left="604" w:right="0"/>
        <w:jc w:val="left"/>
        <w:rPr>
          <w:rFonts w:ascii="宋体" w:hAnsi="宋体" w:cs="宋体" w:eastAsia="宋体" w:hint="default"/>
        </w:rPr>
      </w:pPr>
      <w:r>
        <w:rPr>
          <w:rFonts w:ascii="宋体" w:hAnsi="宋体" w:cs="宋体" w:eastAsia="宋体" w:hint="default"/>
        </w:rPr>
        <w:t>5.</w:t>
      </w:r>
      <w:r>
        <w:rPr>
          <w:rFonts w:ascii="宋体" w:hAnsi="宋体" w:cs="宋体" w:eastAsia="宋体" w:hint="default"/>
          <w:spacing w:val="-59"/>
        </w:rPr>
        <w:t> </w:t>
      </w:r>
      <w:r>
        <w:rPr>
          <w:rFonts w:ascii="宋体" w:hAnsi="宋体" w:cs="宋体" w:eastAsia="宋体" w:hint="default"/>
        </w:rPr>
        <w:t>销售通信产品成本：公司销售通信产品成本发生人民币</w:t>
      </w:r>
      <w:r>
        <w:rPr>
          <w:rFonts w:ascii="宋体" w:hAnsi="宋体" w:cs="宋体" w:eastAsia="宋体" w:hint="default"/>
          <w:spacing w:val="-59"/>
        </w:rPr>
        <w:t> </w:t>
      </w:r>
      <w:r>
        <w:rPr>
          <w:rFonts w:ascii="宋体" w:hAnsi="宋体" w:cs="宋体" w:eastAsia="宋体" w:hint="default"/>
        </w:rPr>
        <w:t>276.0</w:t>
      </w:r>
      <w:r>
        <w:rPr>
          <w:rFonts w:ascii="宋体" w:hAnsi="宋体" w:cs="宋体" w:eastAsia="宋体" w:hint="default"/>
          <w:spacing w:val="-59"/>
        </w:rPr>
        <w:t> </w:t>
      </w:r>
      <w:r>
        <w:rPr>
          <w:rFonts w:ascii="宋体" w:hAnsi="宋体" w:cs="宋体" w:eastAsia="宋体" w:hint="default"/>
        </w:rPr>
        <w:t>亿元，同期销售通信产品收入为人民币</w:t>
      </w:r>
      <w:r>
        <w:rPr>
          <w:rFonts w:ascii="宋体" w:hAnsi="宋体" w:cs="宋体" w:eastAsia="宋体" w:hint="default"/>
          <w:spacing w:val="-59"/>
        </w:rPr>
        <w:t> </w:t>
      </w:r>
      <w:r>
        <w:rPr>
          <w:rFonts w:ascii="宋体" w:hAnsi="宋体" w:cs="宋体" w:eastAsia="宋体" w:hint="default"/>
        </w:rPr>
        <w:t>271.9</w:t>
      </w:r>
      <w:r>
        <w:rPr>
          <w:rFonts w:ascii="宋体" w:hAnsi="宋体" w:cs="宋体" w:eastAsia="宋体" w:hint="default"/>
          <w:spacing w:val="-59"/>
        </w:rPr>
        <w:t> </w:t>
      </w:r>
      <w:r>
        <w:rPr>
          <w:rFonts w:ascii="宋体" w:hAnsi="宋体" w:cs="宋体" w:eastAsia="宋体" w:hint="default"/>
        </w:rPr>
        <w:t>亿元，</w:t>
      </w:r>
    </w:p>
    <w:p>
      <w:pPr>
        <w:pStyle w:val="BodyText"/>
        <w:spacing w:line="285" w:lineRule="auto" w:before="44"/>
        <w:ind w:left="604" w:right="95"/>
        <w:jc w:val="left"/>
        <w:rPr>
          <w:rFonts w:ascii="宋体" w:hAnsi="宋体" w:cs="宋体" w:eastAsia="宋体" w:hint="default"/>
        </w:rPr>
      </w:pPr>
      <w:r>
        <w:rPr>
          <w:rFonts w:ascii="宋体" w:hAnsi="宋体" w:cs="宋体" w:eastAsia="宋体" w:hint="default"/>
        </w:rPr>
        <w:t>销售通信产品亏损为人民币</w:t>
      </w:r>
      <w:r>
        <w:rPr>
          <w:rFonts w:ascii="宋体" w:hAnsi="宋体" w:cs="宋体" w:eastAsia="宋体" w:hint="default"/>
          <w:spacing w:val="-46"/>
        </w:rPr>
        <w:t> </w:t>
      </w:r>
      <w:r>
        <w:rPr>
          <w:rFonts w:ascii="宋体" w:hAnsi="宋体" w:cs="宋体" w:eastAsia="宋体" w:hint="default"/>
          <w:spacing w:val="-1"/>
          <w:w w:val="92"/>
        </w:rPr>
        <w:t>4.1</w:t>
      </w:r>
      <w:r>
        <w:rPr>
          <w:rFonts w:ascii="宋体" w:hAnsi="宋体" w:cs="宋体" w:eastAsia="宋体" w:hint="default"/>
          <w:spacing w:val="-39"/>
          <w:w w:val="92"/>
        </w:rPr>
        <w:t> </w:t>
      </w:r>
      <w:r>
        <w:rPr>
          <w:rFonts w:ascii="宋体" w:hAnsi="宋体" w:cs="宋体" w:eastAsia="宋体" w:hint="default"/>
        </w:rPr>
        <w:t>亿元，其中包括终端补贴人民币</w:t>
      </w:r>
      <w:r>
        <w:rPr>
          <w:rFonts w:ascii="宋体" w:hAnsi="宋体" w:cs="宋体" w:eastAsia="宋体" w:hint="default"/>
          <w:spacing w:val="-46"/>
        </w:rPr>
        <w:t> </w:t>
      </w:r>
      <w:r>
        <w:rPr>
          <w:rFonts w:ascii="宋体" w:hAnsi="宋体" w:cs="宋体" w:eastAsia="宋体" w:hint="default"/>
          <w:spacing w:val="-1"/>
          <w:w w:val="92"/>
        </w:rPr>
        <w:t>9.6</w:t>
      </w:r>
      <w:r>
        <w:rPr>
          <w:rFonts w:ascii="宋体" w:hAnsi="宋体" w:cs="宋体" w:eastAsia="宋体" w:hint="default"/>
          <w:spacing w:val="-39"/>
          <w:w w:val="92"/>
        </w:rPr>
        <w:t> </w:t>
      </w:r>
      <w:r>
        <w:rPr>
          <w:rFonts w:ascii="宋体" w:hAnsi="宋体" w:cs="宋体" w:eastAsia="宋体" w:hint="default"/>
        </w:rPr>
        <w:t>亿元，终端补贴较上年下降</w:t>
      </w:r>
      <w:r>
        <w:rPr>
          <w:rFonts w:ascii="宋体" w:hAnsi="宋体" w:cs="宋体" w:eastAsia="宋体" w:hint="default"/>
          <w:spacing w:val="-46"/>
        </w:rPr>
        <w:t> </w:t>
      </w:r>
      <w:r>
        <w:rPr>
          <w:rFonts w:ascii="宋体" w:hAnsi="宋体" w:cs="宋体" w:eastAsia="宋体" w:hint="default"/>
          <w:w w:val="108"/>
        </w:rPr>
        <w:t>23.7%，主要得益</w:t>
      </w:r>
      <w:r>
        <w:rPr>
          <w:rFonts w:ascii="宋体" w:hAnsi="宋体" w:cs="宋体" w:eastAsia="宋体" w:hint="default"/>
          <w:spacing w:val="1"/>
        </w:rPr>
        <w:t> </w:t>
      </w:r>
      <w:r>
        <w:rPr>
          <w:rFonts w:ascii="宋体" w:hAnsi="宋体" w:cs="宋体" w:eastAsia="宋体" w:hint="default"/>
        </w:rPr>
        <w:t>于公司全面推动商业模式转型。</w:t>
      </w:r>
    </w:p>
    <w:p>
      <w:pPr>
        <w:pStyle w:val="BodyText"/>
        <w:spacing w:line="240" w:lineRule="auto" w:before="123"/>
        <w:ind w:left="604" w:right="95"/>
        <w:jc w:val="left"/>
        <w:rPr>
          <w:rFonts w:ascii="宋体" w:hAnsi="宋体" w:cs="宋体" w:eastAsia="宋体" w:hint="default"/>
        </w:rPr>
      </w:pPr>
      <w:r>
        <w:rPr>
          <w:rFonts w:ascii="宋体" w:hAnsi="宋体" w:cs="宋体" w:eastAsia="宋体" w:hint="default"/>
          <w:w w:val="95"/>
        </w:rPr>
        <w:t>(3).</w:t>
      </w:r>
      <w:r>
        <w:rPr>
          <w:rFonts w:ascii="宋体" w:hAnsi="宋体" w:cs="宋体" w:eastAsia="宋体" w:hint="default"/>
          <w:spacing w:val="-8"/>
          <w:w w:val="95"/>
        </w:rPr>
        <w:t> </w:t>
      </w:r>
      <w:r>
        <w:rPr>
          <w:rFonts w:ascii="宋体" w:hAnsi="宋体" w:cs="宋体" w:eastAsia="宋体" w:hint="default"/>
          <w:w w:val="95"/>
        </w:rPr>
        <w:t>主要销售客户及主要供应商情况</w:t>
      </w:r>
    </w:p>
    <w:p>
      <w:pPr>
        <w:pStyle w:val="BodyText"/>
        <w:spacing w:line="240" w:lineRule="auto" w:before="157"/>
        <w:ind w:left="604" w:right="95"/>
        <w:jc w:val="left"/>
        <w:rPr>
          <w:rFonts w:ascii="宋体" w:hAnsi="宋体" w:cs="宋体" w:eastAsia="宋体" w:hint="default"/>
        </w:rPr>
      </w:pPr>
      <w:r>
        <w:rPr>
          <w:rFonts w:ascii="宋体" w:hAnsi="宋体" w:cs="宋体" w:eastAsia="宋体" w:hint="default"/>
          <w:spacing w:val="3"/>
        </w:rPr>
        <w:t>前五名客户销售</w:t>
      </w:r>
      <w:r>
        <w:rPr>
          <w:rFonts w:ascii="宋体" w:hAnsi="宋体" w:cs="宋体" w:eastAsia="宋体" w:hint="default"/>
        </w:rPr>
        <w:t>额</w:t>
      </w:r>
      <w:r>
        <w:rPr>
          <w:rFonts w:ascii="宋体" w:hAnsi="宋体" w:cs="宋体" w:eastAsia="宋体" w:hint="default"/>
          <w:spacing w:val="-45"/>
        </w:rPr>
        <w:t> </w:t>
      </w:r>
      <w:r>
        <w:rPr>
          <w:rFonts w:ascii="宋体" w:hAnsi="宋体" w:cs="宋体" w:eastAsia="宋体" w:hint="default"/>
          <w:spacing w:val="-1"/>
          <w:w w:val="111"/>
        </w:rPr>
        <w:t>35</w:t>
      </w:r>
      <w:r>
        <w:rPr>
          <w:rFonts w:ascii="宋体" w:hAnsi="宋体" w:cs="宋体" w:eastAsia="宋体" w:hint="default"/>
          <w:w w:val="55"/>
        </w:rPr>
        <w:t>.</w:t>
      </w:r>
      <w:r>
        <w:rPr>
          <w:rFonts w:ascii="宋体" w:hAnsi="宋体" w:cs="宋体" w:eastAsia="宋体" w:hint="default"/>
          <w:spacing w:val="-1"/>
          <w:w w:val="111"/>
        </w:rPr>
        <w:t>2</w:t>
      </w:r>
      <w:r>
        <w:rPr>
          <w:rFonts w:ascii="宋体" w:hAnsi="宋体" w:cs="宋体" w:eastAsia="宋体" w:hint="default"/>
          <w:w w:val="111"/>
        </w:rPr>
        <w:t>5</w:t>
      </w:r>
      <w:r>
        <w:rPr>
          <w:rFonts w:ascii="宋体" w:hAnsi="宋体" w:cs="宋体" w:eastAsia="宋体" w:hint="default"/>
          <w:spacing w:val="-45"/>
        </w:rPr>
        <w:t> </w:t>
      </w:r>
      <w:r>
        <w:rPr>
          <w:rFonts w:ascii="宋体" w:hAnsi="宋体" w:cs="宋体" w:eastAsia="宋体" w:hint="default"/>
          <w:spacing w:val="3"/>
        </w:rPr>
        <w:t>亿</w:t>
      </w:r>
      <w:r>
        <w:rPr>
          <w:rFonts w:ascii="宋体" w:hAnsi="宋体" w:cs="宋体" w:eastAsia="宋体" w:hint="default"/>
        </w:rPr>
        <w:t>元</w:t>
      </w:r>
      <w:r>
        <w:rPr>
          <w:rFonts w:ascii="宋体" w:hAnsi="宋体" w:cs="宋体" w:eastAsia="宋体" w:hint="default"/>
          <w:spacing w:val="3"/>
        </w:rPr>
        <w:t>，占年度销售总</w:t>
      </w:r>
      <w:r>
        <w:rPr>
          <w:rFonts w:ascii="宋体" w:hAnsi="宋体" w:cs="宋体" w:eastAsia="宋体" w:hint="default"/>
        </w:rPr>
        <w:t>额</w:t>
      </w:r>
      <w:r>
        <w:rPr>
          <w:rFonts w:ascii="宋体" w:hAnsi="宋体" w:cs="宋体" w:eastAsia="宋体" w:hint="default"/>
          <w:spacing w:val="-45"/>
        </w:rPr>
        <w:t> </w:t>
      </w:r>
      <w:r>
        <w:rPr>
          <w:rFonts w:ascii="宋体" w:hAnsi="宋体" w:cs="宋体" w:eastAsia="宋体" w:hint="default"/>
          <w:spacing w:val="-1"/>
          <w:w w:val="111"/>
        </w:rPr>
        <w:t>1</w:t>
      </w:r>
      <w:r>
        <w:rPr>
          <w:rFonts w:ascii="宋体" w:hAnsi="宋体" w:cs="宋体" w:eastAsia="宋体" w:hint="default"/>
          <w:w w:val="55"/>
        </w:rPr>
        <w:t>.</w:t>
      </w:r>
      <w:r>
        <w:rPr>
          <w:rFonts w:ascii="宋体" w:hAnsi="宋体" w:cs="宋体" w:eastAsia="宋体" w:hint="default"/>
          <w:spacing w:val="-1"/>
          <w:w w:val="111"/>
        </w:rPr>
        <w:t>2</w:t>
      </w:r>
      <w:r>
        <w:rPr>
          <w:rFonts w:ascii="宋体" w:hAnsi="宋体" w:cs="宋体" w:eastAsia="宋体" w:hint="default"/>
          <w:w w:val="200"/>
        </w:rPr>
        <w:t>%</w:t>
      </w:r>
      <w:r>
        <w:rPr>
          <w:rFonts w:ascii="宋体" w:hAnsi="宋体" w:cs="宋体" w:eastAsia="宋体" w:hint="default"/>
          <w:spacing w:val="3"/>
        </w:rPr>
        <w:t>；其中前五名客户销售额中关联方销售</w:t>
      </w:r>
      <w:r>
        <w:rPr>
          <w:rFonts w:ascii="宋体" w:hAnsi="宋体" w:cs="宋体" w:eastAsia="宋体" w:hint="default"/>
        </w:rPr>
        <w:t>额</w:t>
      </w:r>
      <w:r>
        <w:rPr>
          <w:rFonts w:ascii="宋体" w:hAnsi="宋体" w:cs="宋体" w:eastAsia="宋体" w:hint="default"/>
          <w:spacing w:val="-45"/>
        </w:rPr>
        <w:t> </w:t>
      </w:r>
      <w:r>
        <w:rPr>
          <w:rFonts w:ascii="宋体" w:hAnsi="宋体" w:cs="宋体" w:eastAsia="宋体" w:hint="default"/>
          <w:w w:val="111"/>
        </w:rPr>
        <w:t>6</w:t>
      </w:r>
      <w:r>
        <w:rPr>
          <w:rFonts w:ascii="宋体" w:hAnsi="宋体" w:cs="宋体" w:eastAsia="宋体" w:hint="default"/>
          <w:spacing w:val="-45"/>
        </w:rPr>
        <w:t> </w:t>
      </w:r>
      <w:r>
        <w:rPr>
          <w:rFonts w:ascii="宋体" w:hAnsi="宋体" w:cs="宋体" w:eastAsia="宋体" w:hint="default"/>
          <w:spacing w:val="3"/>
        </w:rPr>
        <w:t>亿</w:t>
      </w:r>
      <w:r>
        <w:rPr>
          <w:rFonts w:ascii="宋体" w:hAnsi="宋体" w:cs="宋体" w:eastAsia="宋体" w:hint="default"/>
        </w:rPr>
        <w:t>元</w:t>
      </w:r>
      <w:r>
        <w:rPr>
          <w:rFonts w:ascii="宋体" w:hAnsi="宋体" w:cs="宋体" w:eastAsia="宋体" w:hint="default"/>
          <w:spacing w:val="3"/>
        </w:rPr>
        <w:t>，占年度</w:t>
      </w:r>
      <w:r>
        <w:rPr>
          <w:rFonts w:ascii="宋体" w:hAnsi="宋体" w:cs="宋体" w:eastAsia="宋体" w:hint="default"/>
        </w:rPr>
        <w:t>销</w:t>
      </w:r>
    </w:p>
    <w:p>
      <w:pPr>
        <w:pStyle w:val="BodyText"/>
        <w:spacing w:line="240" w:lineRule="auto" w:before="44"/>
        <w:ind w:left="604" w:right="95"/>
        <w:jc w:val="left"/>
        <w:rPr>
          <w:rFonts w:ascii="宋体" w:hAnsi="宋体" w:cs="宋体" w:eastAsia="宋体" w:hint="default"/>
        </w:rPr>
      </w:pPr>
      <w:r>
        <w:rPr>
          <w:rFonts w:ascii="宋体" w:hAnsi="宋体" w:cs="宋体" w:eastAsia="宋体" w:hint="default"/>
          <w:w w:val="110"/>
        </w:rPr>
        <w:t>售总额</w:t>
      </w:r>
      <w:r>
        <w:rPr>
          <w:rFonts w:ascii="宋体" w:hAnsi="宋体" w:cs="宋体" w:eastAsia="宋体" w:hint="default"/>
          <w:spacing w:val="-79"/>
          <w:w w:val="110"/>
        </w:rPr>
        <w:t> </w:t>
      </w:r>
      <w:r>
        <w:rPr>
          <w:rFonts w:ascii="宋体" w:hAnsi="宋体" w:cs="宋体" w:eastAsia="宋体" w:hint="default"/>
          <w:w w:val="110"/>
        </w:rPr>
        <w:t>0.2</w:t>
      </w:r>
      <w:r>
        <w:rPr>
          <w:rFonts w:ascii="宋体" w:hAnsi="宋体" w:cs="宋体" w:eastAsia="宋体" w:hint="default"/>
          <w:spacing w:val="-78"/>
          <w:w w:val="110"/>
        </w:rPr>
        <w:t> </w:t>
      </w:r>
      <w:r>
        <w:rPr>
          <w:rFonts w:ascii="宋体" w:hAnsi="宋体" w:cs="宋体" w:eastAsia="宋体" w:hint="default"/>
          <w:w w:val="115"/>
        </w:rPr>
        <w:t>%。</w:t>
      </w:r>
      <w:r>
        <w:rPr>
          <w:rFonts w:ascii="宋体" w:hAnsi="宋体" w:cs="宋体" w:eastAsia="宋体" w:hint="default"/>
        </w:rPr>
      </w:r>
    </w:p>
    <w:p>
      <w:pPr>
        <w:pStyle w:val="BodyText"/>
        <w:spacing w:line="285" w:lineRule="auto" w:before="157"/>
        <w:ind w:left="604" w:right="95"/>
        <w:jc w:val="left"/>
        <w:rPr>
          <w:rFonts w:ascii="宋体" w:hAnsi="宋体" w:cs="宋体" w:eastAsia="宋体" w:hint="default"/>
        </w:rPr>
      </w:pPr>
      <w:r>
        <w:rPr>
          <w:rFonts w:ascii="宋体" w:hAnsi="宋体" w:cs="宋体" w:eastAsia="宋体" w:hint="default"/>
          <w:spacing w:val="1"/>
        </w:rPr>
        <w:t>前五名供应商采购额</w:t>
      </w:r>
      <w:r>
        <w:rPr>
          <w:rFonts w:ascii="宋体" w:hAnsi="宋体" w:cs="宋体" w:eastAsia="宋体" w:hint="default"/>
          <w:spacing w:val="-52"/>
        </w:rPr>
        <w:t> </w:t>
      </w:r>
      <w:r>
        <w:rPr>
          <w:rFonts w:ascii="宋体" w:hAnsi="宋体" w:cs="宋体" w:eastAsia="宋体" w:hint="default"/>
          <w:spacing w:val="-1"/>
          <w:w w:val="101"/>
        </w:rPr>
        <w:t>447.82</w:t>
      </w:r>
      <w:r>
        <w:rPr>
          <w:rFonts w:ascii="宋体" w:hAnsi="宋体" w:cs="宋体" w:eastAsia="宋体" w:hint="default"/>
          <w:spacing w:val="-53"/>
          <w:w w:val="101"/>
        </w:rPr>
        <w:t> </w:t>
      </w:r>
      <w:r>
        <w:rPr>
          <w:rFonts w:ascii="宋体" w:hAnsi="宋体" w:cs="宋体" w:eastAsia="宋体" w:hint="default"/>
          <w:spacing w:val="1"/>
        </w:rPr>
        <w:t>亿元，占年度采购总额</w:t>
      </w:r>
      <w:r>
        <w:rPr>
          <w:rFonts w:ascii="宋体" w:hAnsi="宋体" w:cs="宋体" w:eastAsia="宋体" w:hint="default"/>
          <w:spacing w:val="-52"/>
        </w:rPr>
        <w:t> </w:t>
      </w:r>
      <w:r>
        <w:rPr>
          <w:rFonts w:ascii="宋体" w:hAnsi="宋体" w:cs="宋体" w:eastAsia="宋体" w:hint="default"/>
          <w:spacing w:val="1"/>
          <w:w w:val="103"/>
        </w:rPr>
        <w:t>45.7%；其中前五名供应商采购额中关联方采购额</w:t>
      </w:r>
      <w:r>
        <w:rPr>
          <w:rFonts w:ascii="宋体" w:hAnsi="宋体" w:cs="宋体" w:eastAsia="宋体" w:hint="default"/>
          <w:spacing w:val="-55"/>
          <w:w w:val="103"/>
        </w:rPr>
        <w:t> </w:t>
      </w:r>
      <w:r>
        <w:rPr>
          <w:rFonts w:ascii="宋体" w:hAnsi="宋体" w:cs="宋体" w:eastAsia="宋体" w:hint="default"/>
          <w:w w:val="111"/>
        </w:rPr>
        <w:t>0</w:t>
      </w:r>
      <w:r>
        <w:rPr>
          <w:rFonts w:ascii="宋体" w:hAnsi="宋体" w:cs="宋体" w:eastAsia="宋体" w:hint="default"/>
          <w:spacing w:val="-61"/>
          <w:w w:val="111"/>
        </w:rPr>
        <w:t> </w:t>
      </w:r>
      <w:r>
        <w:rPr>
          <w:rFonts w:ascii="宋体" w:hAnsi="宋体" w:cs="宋体" w:eastAsia="宋体" w:hint="default"/>
          <w:spacing w:val="1"/>
        </w:rPr>
        <w:t>万元，占</w:t>
      </w:r>
      <w:r>
        <w:rPr>
          <w:rFonts w:ascii="宋体" w:hAnsi="宋体" w:cs="宋体" w:eastAsia="宋体" w:hint="default"/>
          <w:spacing w:val="2"/>
        </w:rPr>
        <w:t> </w:t>
      </w:r>
      <w:r>
        <w:rPr>
          <w:rFonts w:ascii="宋体" w:hAnsi="宋体" w:cs="宋体" w:eastAsia="宋体" w:hint="default"/>
          <w:w w:val="105"/>
        </w:rPr>
        <w:t>年度采购总额</w:t>
      </w:r>
      <w:r>
        <w:rPr>
          <w:rFonts w:ascii="宋体" w:hAnsi="宋体" w:cs="宋体" w:eastAsia="宋体" w:hint="default"/>
          <w:spacing w:val="-22"/>
          <w:w w:val="105"/>
        </w:rPr>
        <w:t> </w:t>
      </w:r>
      <w:r>
        <w:rPr>
          <w:rFonts w:ascii="宋体" w:hAnsi="宋体" w:cs="宋体" w:eastAsia="宋体" w:hint="default"/>
          <w:w w:val="105"/>
        </w:rPr>
        <w:t>0%。</w:t>
      </w:r>
      <w:r>
        <w:rPr>
          <w:rFonts w:ascii="宋体" w:hAnsi="宋体" w:cs="宋体" w:eastAsia="宋体" w:hint="default"/>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8"/>
          <w:szCs w:val="28"/>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33</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131"/>
          <w:footerReference w:type="default" r:id="rId132"/>
          <w:pgSz w:w="11910" w:h="16160"/>
          <w:pgMar w:header="0" w:footer="0" w:top="1520" w:bottom="0" w:left="1380" w:right="660"/>
        </w:sectPr>
      </w:pPr>
    </w:p>
    <w:p>
      <w:pPr>
        <w:spacing w:line="240" w:lineRule="auto" w:before="0"/>
        <w:rPr>
          <w:rFonts w:ascii="Arial" w:hAnsi="Arial" w:cs="Arial" w:eastAsia="Arial" w:hint="default"/>
          <w:b/>
          <w:bCs/>
          <w:sz w:val="20"/>
          <w:szCs w:val="20"/>
        </w:rPr>
      </w:pPr>
    </w:p>
    <w:p>
      <w:pPr>
        <w:spacing w:line="240" w:lineRule="auto" w:before="5"/>
        <w:rPr>
          <w:rFonts w:ascii="Arial" w:hAnsi="Arial" w:cs="Arial" w:eastAsia="Arial" w:hint="default"/>
          <w:b/>
          <w:bCs/>
          <w:sz w:val="22"/>
          <w:szCs w:val="22"/>
        </w:rPr>
      </w:pPr>
    </w:p>
    <w:tbl>
      <w:tblPr>
        <w:tblW w:w="0" w:type="auto"/>
        <w:jc w:val="left"/>
        <w:tblInd w:w="455" w:type="dxa"/>
        <w:tblLayout w:type="fixed"/>
        <w:tblCellMar>
          <w:top w:w="0" w:type="dxa"/>
          <w:left w:w="0" w:type="dxa"/>
          <w:bottom w:w="0" w:type="dxa"/>
          <w:right w:w="0" w:type="dxa"/>
        </w:tblCellMar>
        <w:tblLook w:val="01E0"/>
      </w:tblPr>
      <w:tblGrid>
        <w:gridCol w:w="2522"/>
        <w:gridCol w:w="3110"/>
        <w:gridCol w:w="1976"/>
        <w:gridCol w:w="1725"/>
      </w:tblGrid>
      <w:tr>
        <w:trPr>
          <w:trHeight w:val="679" w:hRule="exact"/>
        </w:trPr>
        <w:tc>
          <w:tcPr>
            <w:tcW w:w="252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color w:val="D7000F"/>
                <w:w w:val="95"/>
                <w:sz w:val="18"/>
                <w:szCs w:val="18"/>
              </w:rPr>
              <w:t>3.</w:t>
            </w:r>
            <w:r>
              <w:rPr>
                <w:rFonts w:ascii="宋体" w:hAnsi="宋体" w:cs="宋体" w:eastAsia="宋体" w:hint="default"/>
                <w:color w:val="D7000F"/>
                <w:spacing w:val="-44"/>
                <w:w w:val="95"/>
                <w:sz w:val="18"/>
                <w:szCs w:val="18"/>
              </w:rPr>
              <w:t> </w:t>
            </w:r>
            <w:r>
              <w:rPr>
                <w:rFonts w:ascii="宋体" w:hAnsi="宋体" w:cs="宋体" w:eastAsia="宋体" w:hint="default"/>
                <w:color w:val="D7000F"/>
                <w:w w:val="95"/>
                <w:sz w:val="18"/>
                <w:szCs w:val="18"/>
              </w:rPr>
              <w:t>费用</w:t>
            </w:r>
            <w:r>
              <w:rPr>
                <w:rFonts w:ascii="宋体" w:hAnsi="宋体" w:cs="宋体" w:eastAsia="宋体" w:hint="default"/>
                <w:w w:val="95"/>
                <w:sz w:val="18"/>
                <w:szCs w:val="18"/>
              </w:rPr>
            </w:r>
          </w:p>
        </w:tc>
        <w:tc>
          <w:tcPr>
            <w:tcW w:w="3110" w:type="dxa"/>
            <w:tcBorders>
              <w:top w:val="nil" w:sz="6" w:space="0" w:color="auto"/>
              <w:left w:val="nil" w:sz="6" w:space="0" w:color="auto"/>
              <w:bottom w:val="nil" w:sz="6" w:space="0" w:color="auto"/>
              <w:right w:val="nil" w:sz="6" w:space="0" w:color="auto"/>
            </w:tcBorders>
            <w:shd w:val="clear" w:color="auto" w:fill="FFFFFF"/>
          </w:tcPr>
          <w:p>
            <w:pPr/>
          </w:p>
        </w:tc>
        <w:tc>
          <w:tcPr>
            <w:tcW w:w="1976" w:type="dxa"/>
            <w:tcBorders>
              <w:top w:val="nil" w:sz="6" w:space="0" w:color="auto"/>
              <w:left w:val="nil" w:sz="6" w:space="0" w:color="auto"/>
              <w:bottom w:val="nil" w:sz="6" w:space="0" w:color="auto"/>
              <w:right w:val="nil" w:sz="6" w:space="0" w:color="auto"/>
            </w:tcBorders>
          </w:tcPr>
          <w:p>
            <w:pPr/>
          </w:p>
        </w:tc>
        <w:tc>
          <w:tcPr>
            <w:tcW w:w="172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b/>
                <w:bCs/>
                <w:sz w:val="12"/>
                <w:szCs w:val="12"/>
              </w:rPr>
            </w:pPr>
          </w:p>
          <w:p>
            <w:pPr>
              <w:pStyle w:val="TableParagraph"/>
              <w:spacing w:line="240" w:lineRule="auto"/>
              <w:ind w:right="0"/>
              <w:jc w:val="left"/>
              <w:rPr>
                <w:rFonts w:ascii="Arial" w:hAnsi="Arial" w:cs="Arial" w:eastAsia="Arial" w:hint="default"/>
                <w:b/>
                <w:bCs/>
                <w:sz w:val="12"/>
                <w:szCs w:val="12"/>
              </w:rPr>
            </w:pPr>
          </w:p>
          <w:p>
            <w:pPr>
              <w:pStyle w:val="TableParagraph"/>
              <w:spacing w:line="240" w:lineRule="auto" w:before="8"/>
              <w:ind w:right="0"/>
              <w:jc w:val="left"/>
              <w:rPr>
                <w:rFonts w:ascii="Arial" w:hAnsi="Arial" w:cs="Arial" w:eastAsia="Arial" w:hint="default"/>
                <w:b/>
                <w:bCs/>
                <w:sz w:val="15"/>
                <w:szCs w:val="15"/>
              </w:rPr>
            </w:pPr>
          </w:p>
          <w:p>
            <w:pPr>
              <w:pStyle w:val="TableParagraph"/>
              <w:spacing w:line="240" w:lineRule="auto"/>
              <w:ind w:right="83"/>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7"/>
                <w:sz w:val="12"/>
                <w:szCs w:val="12"/>
              </w:rPr>
              <w:t> </w:t>
            </w:r>
            <w:r>
              <w:rPr>
                <w:rFonts w:ascii="宋体" w:hAnsi="宋体" w:cs="宋体" w:eastAsia="宋体" w:hint="default"/>
                <w:sz w:val="12"/>
                <w:szCs w:val="12"/>
              </w:rPr>
              <w:t>币种</w:t>
            </w:r>
            <w:r>
              <w:rPr>
                <w:rFonts w:ascii="宋体" w:hAnsi="宋体" w:cs="宋体" w:eastAsia="宋体" w:hint="default"/>
                <w:spacing w:val="-36"/>
                <w:sz w:val="12"/>
                <w:szCs w:val="12"/>
              </w:rPr>
              <w:t> </w:t>
            </w:r>
            <w:r>
              <w:rPr>
                <w:rFonts w:ascii="宋体" w:hAnsi="宋体" w:cs="宋体" w:eastAsia="宋体" w:hint="default"/>
                <w:w w:val="95"/>
                <w:sz w:val="12"/>
                <w:szCs w:val="12"/>
              </w:rPr>
              <w:t>:</w:t>
            </w:r>
            <w:r>
              <w:rPr>
                <w:rFonts w:ascii="宋体" w:hAnsi="宋体" w:cs="宋体" w:eastAsia="宋体" w:hint="default"/>
                <w:spacing w:val="-33"/>
                <w:w w:val="95"/>
                <w:sz w:val="12"/>
                <w:szCs w:val="12"/>
              </w:rPr>
              <w:t> </w:t>
            </w:r>
            <w:r>
              <w:rPr>
                <w:rFonts w:ascii="宋体" w:hAnsi="宋体" w:cs="宋体" w:eastAsia="宋体" w:hint="default"/>
                <w:sz w:val="12"/>
                <w:szCs w:val="12"/>
              </w:rPr>
              <w:t>人民币</w:t>
            </w:r>
          </w:p>
        </w:tc>
      </w:tr>
      <w:tr>
        <w:trPr>
          <w:trHeight w:val="321" w:hRule="exact"/>
        </w:trPr>
        <w:tc>
          <w:tcPr>
            <w:tcW w:w="2522" w:type="dxa"/>
            <w:tcBorders>
              <w:top w:val="nil" w:sz="6" w:space="0" w:color="auto"/>
              <w:left w:val="nil" w:sz="6" w:space="0" w:color="auto"/>
              <w:bottom w:val="single" w:sz="16" w:space="0" w:color="9C8758"/>
              <w:right w:val="nil" w:sz="6" w:space="0" w:color="auto"/>
            </w:tcBorders>
          </w:tcPr>
          <w:p>
            <w:pPr>
              <w:pStyle w:val="TableParagraph"/>
              <w:spacing w:line="207" w:lineRule="exact"/>
              <w:ind w:left="346" w:right="0"/>
              <w:jc w:val="left"/>
              <w:rPr>
                <w:rFonts w:ascii="宋体" w:hAnsi="宋体" w:cs="宋体" w:eastAsia="宋体" w:hint="default"/>
                <w:sz w:val="16"/>
                <w:szCs w:val="16"/>
              </w:rPr>
            </w:pPr>
            <w:r>
              <w:rPr>
                <w:rFonts w:ascii="宋体" w:hAnsi="宋体" w:cs="宋体" w:eastAsia="宋体" w:hint="default"/>
                <w:sz w:val="16"/>
                <w:szCs w:val="16"/>
              </w:rPr>
              <w:t>科目</w:t>
            </w:r>
          </w:p>
        </w:tc>
        <w:tc>
          <w:tcPr>
            <w:tcW w:w="3110" w:type="dxa"/>
            <w:tcBorders>
              <w:top w:val="nil" w:sz="6" w:space="0" w:color="auto"/>
              <w:left w:val="nil" w:sz="6" w:space="0" w:color="auto"/>
              <w:bottom w:val="single" w:sz="16" w:space="0" w:color="9C8758"/>
              <w:right w:val="nil" w:sz="6" w:space="0" w:color="auto"/>
            </w:tcBorders>
          </w:tcPr>
          <w:p>
            <w:pPr>
              <w:pStyle w:val="TableParagraph"/>
              <w:spacing w:line="207" w:lineRule="exact"/>
              <w:ind w:right="464"/>
              <w:jc w:val="right"/>
              <w:rPr>
                <w:rFonts w:ascii="宋体" w:hAnsi="宋体" w:cs="宋体" w:eastAsia="宋体" w:hint="default"/>
                <w:sz w:val="16"/>
                <w:szCs w:val="16"/>
              </w:rPr>
            </w:pPr>
            <w:r>
              <w:rPr>
                <w:rFonts w:ascii="宋体" w:hAnsi="宋体" w:cs="宋体" w:eastAsia="宋体" w:hint="default"/>
                <w:color w:val="D7000F"/>
                <w:sz w:val="16"/>
                <w:szCs w:val="16"/>
              </w:rPr>
              <w:t>本期数</w:t>
            </w:r>
            <w:r>
              <w:rPr>
                <w:rFonts w:ascii="宋体" w:hAnsi="宋体" w:cs="宋体" w:eastAsia="宋体" w:hint="default"/>
                <w:sz w:val="16"/>
                <w:szCs w:val="16"/>
              </w:rPr>
            </w:r>
          </w:p>
        </w:tc>
        <w:tc>
          <w:tcPr>
            <w:tcW w:w="1976" w:type="dxa"/>
            <w:tcBorders>
              <w:top w:val="nil" w:sz="6" w:space="0" w:color="auto"/>
              <w:left w:val="nil" w:sz="6" w:space="0" w:color="auto"/>
              <w:bottom w:val="single" w:sz="16" w:space="0" w:color="9C8758"/>
              <w:right w:val="nil" w:sz="6" w:space="0" w:color="auto"/>
            </w:tcBorders>
          </w:tcPr>
          <w:p>
            <w:pPr>
              <w:pStyle w:val="TableParagraph"/>
              <w:spacing w:line="207" w:lineRule="exact"/>
              <w:ind w:right="398"/>
              <w:jc w:val="right"/>
              <w:rPr>
                <w:rFonts w:ascii="宋体" w:hAnsi="宋体" w:cs="宋体" w:eastAsia="宋体" w:hint="default"/>
                <w:sz w:val="16"/>
                <w:szCs w:val="16"/>
              </w:rPr>
            </w:pPr>
            <w:r>
              <w:rPr>
                <w:rFonts w:ascii="宋体" w:hAnsi="宋体" w:cs="宋体" w:eastAsia="宋体" w:hint="default"/>
                <w:sz w:val="16"/>
                <w:szCs w:val="16"/>
              </w:rPr>
              <w:t>上年同期数</w:t>
            </w:r>
          </w:p>
        </w:tc>
        <w:tc>
          <w:tcPr>
            <w:tcW w:w="1725" w:type="dxa"/>
            <w:tcBorders>
              <w:top w:val="nil" w:sz="6" w:space="0" w:color="auto"/>
              <w:left w:val="nil" w:sz="6" w:space="0" w:color="auto"/>
              <w:bottom w:val="single" w:sz="16" w:space="0" w:color="9C8758"/>
              <w:right w:val="nil" w:sz="6" w:space="0" w:color="auto"/>
            </w:tcBorders>
          </w:tcPr>
          <w:p>
            <w:pPr>
              <w:pStyle w:val="TableParagraph"/>
              <w:spacing w:line="207" w:lineRule="exact"/>
              <w:ind w:right="83"/>
              <w:jc w:val="right"/>
              <w:rPr>
                <w:rFonts w:ascii="宋体" w:hAnsi="宋体" w:cs="宋体" w:eastAsia="宋体" w:hint="default"/>
                <w:sz w:val="16"/>
                <w:szCs w:val="16"/>
              </w:rPr>
            </w:pPr>
            <w:r>
              <w:rPr>
                <w:rFonts w:ascii="宋体" w:hAnsi="宋体" w:cs="宋体" w:eastAsia="宋体" w:hint="default"/>
                <w:sz w:val="16"/>
                <w:szCs w:val="16"/>
              </w:rPr>
              <w:t>变动比例</w:t>
            </w:r>
            <w:r>
              <w:rPr>
                <w:rFonts w:ascii="宋体" w:hAnsi="宋体" w:cs="宋体" w:eastAsia="宋体" w:hint="default"/>
                <w:spacing w:val="-34"/>
                <w:sz w:val="16"/>
                <w:szCs w:val="16"/>
              </w:rPr>
              <w:t> </w:t>
            </w:r>
            <w:r>
              <w:rPr>
                <w:rFonts w:ascii="宋体" w:hAnsi="宋体" w:cs="宋体" w:eastAsia="宋体" w:hint="default"/>
                <w:sz w:val="16"/>
                <w:szCs w:val="16"/>
              </w:rPr>
              <w:t>(%)</w:t>
            </w:r>
          </w:p>
        </w:tc>
      </w:tr>
      <w:tr>
        <w:trPr>
          <w:trHeight w:val="362" w:hRule="exact"/>
        </w:trPr>
        <w:tc>
          <w:tcPr>
            <w:tcW w:w="2522"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1532"/>
              <w:jc w:val="right"/>
              <w:rPr>
                <w:rFonts w:ascii="宋体" w:hAnsi="宋体" w:cs="宋体" w:eastAsia="宋体" w:hint="default"/>
                <w:sz w:val="16"/>
                <w:szCs w:val="16"/>
              </w:rPr>
            </w:pPr>
            <w:r>
              <w:rPr>
                <w:rFonts w:ascii="宋体" w:hAnsi="宋体" w:cs="宋体" w:eastAsia="宋体" w:hint="default"/>
                <w:sz w:val="16"/>
                <w:szCs w:val="16"/>
              </w:rPr>
              <w:t>销售费用</w:t>
            </w:r>
          </w:p>
        </w:tc>
        <w:tc>
          <w:tcPr>
            <w:tcW w:w="3110"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463"/>
              <w:jc w:val="right"/>
              <w:rPr>
                <w:rFonts w:ascii="宋体" w:hAnsi="宋体" w:cs="宋体" w:eastAsia="宋体" w:hint="default"/>
                <w:sz w:val="16"/>
                <w:szCs w:val="16"/>
              </w:rPr>
            </w:pPr>
            <w:r>
              <w:rPr>
                <w:rFonts w:ascii="宋体"/>
                <w:color w:val="D7000F"/>
                <w:w w:val="95"/>
                <w:sz w:val="16"/>
              </w:rPr>
              <w:t>35,169,715,460</w:t>
            </w:r>
            <w:r>
              <w:rPr>
                <w:rFonts w:ascii="宋体"/>
                <w:sz w:val="16"/>
              </w:rPr>
            </w:r>
          </w:p>
        </w:tc>
        <w:tc>
          <w:tcPr>
            <w:tcW w:w="1976"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398"/>
              <w:jc w:val="right"/>
              <w:rPr>
                <w:rFonts w:ascii="宋体" w:hAnsi="宋体" w:cs="宋体" w:eastAsia="宋体" w:hint="default"/>
                <w:sz w:val="16"/>
                <w:szCs w:val="16"/>
              </w:rPr>
            </w:pPr>
            <w:r>
              <w:rPr>
                <w:rFonts w:ascii="宋体"/>
                <w:w w:val="95"/>
                <w:sz w:val="16"/>
              </w:rPr>
              <w:t>34,085,464,556</w:t>
            </w:r>
            <w:r>
              <w:rPr>
                <w:rFonts w:ascii="宋体"/>
                <w:sz w:val="16"/>
              </w:rPr>
            </w:r>
          </w:p>
        </w:tc>
        <w:tc>
          <w:tcPr>
            <w:tcW w:w="1725"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82"/>
              <w:jc w:val="right"/>
              <w:rPr>
                <w:rFonts w:ascii="宋体" w:hAnsi="宋体" w:cs="宋体" w:eastAsia="宋体" w:hint="default"/>
                <w:sz w:val="16"/>
                <w:szCs w:val="16"/>
              </w:rPr>
            </w:pPr>
            <w:r>
              <w:rPr>
                <w:rFonts w:ascii="宋体"/>
                <w:w w:val="90"/>
                <w:sz w:val="16"/>
              </w:rPr>
              <w:t>3.2</w:t>
            </w:r>
            <w:r>
              <w:rPr>
                <w:rFonts w:ascii="宋体"/>
                <w:sz w:val="16"/>
              </w:rPr>
            </w:r>
          </w:p>
        </w:tc>
      </w:tr>
      <w:tr>
        <w:trPr>
          <w:trHeight w:val="273" w:hRule="exact"/>
        </w:trPr>
        <w:tc>
          <w:tcPr>
            <w:tcW w:w="252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532"/>
              <w:jc w:val="right"/>
              <w:rPr>
                <w:rFonts w:ascii="宋体" w:hAnsi="宋体" w:cs="宋体" w:eastAsia="宋体" w:hint="default"/>
                <w:sz w:val="16"/>
                <w:szCs w:val="16"/>
              </w:rPr>
            </w:pPr>
            <w:r>
              <w:rPr>
                <w:rFonts w:ascii="宋体" w:hAnsi="宋体" w:cs="宋体" w:eastAsia="宋体" w:hint="default"/>
                <w:sz w:val="16"/>
                <w:szCs w:val="16"/>
              </w:rPr>
              <w:t>管理费用</w:t>
            </w:r>
          </w:p>
        </w:tc>
        <w:tc>
          <w:tcPr>
            <w:tcW w:w="3110" w:type="dxa"/>
            <w:tcBorders>
              <w:top w:val="nil" w:sz="6" w:space="0" w:color="auto"/>
              <w:left w:val="nil" w:sz="6" w:space="0" w:color="auto"/>
              <w:bottom w:val="nil" w:sz="6" w:space="0" w:color="auto"/>
              <w:right w:val="nil" w:sz="6" w:space="0" w:color="auto"/>
            </w:tcBorders>
          </w:tcPr>
          <w:p>
            <w:pPr>
              <w:pStyle w:val="TableParagraph"/>
              <w:spacing w:line="205" w:lineRule="exact"/>
              <w:ind w:right="463"/>
              <w:jc w:val="right"/>
              <w:rPr>
                <w:rFonts w:ascii="宋体" w:hAnsi="宋体" w:cs="宋体" w:eastAsia="宋体" w:hint="default"/>
                <w:sz w:val="16"/>
                <w:szCs w:val="16"/>
              </w:rPr>
            </w:pPr>
            <w:r>
              <w:rPr>
                <w:rFonts w:ascii="宋体"/>
                <w:color w:val="D7000F"/>
                <w:w w:val="95"/>
                <w:sz w:val="16"/>
              </w:rPr>
              <w:t>22,925,119,665</w:t>
            </w:r>
            <w:r>
              <w:rPr>
                <w:rFonts w:ascii="宋体"/>
                <w:sz w:val="16"/>
              </w:rPr>
            </w:r>
          </w:p>
        </w:tc>
        <w:tc>
          <w:tcPr>
            <w:tcW w:w="1976" w:type="dxa"/>
            <w:tcBorders>
              <w:top w:val="nil" w:sz="6" w:space="0" w:color="auto"/>
              <w:left w:val="nil" w:sz="6" w:space="0" w:color="auto"/>
              <w:bottom w:val="nil" w:sz="6" w:space="0" w:color="auto"/>
              <w:right w:val="nil" w:sz="6" w:space="0" w:color="auto"/>
            </w:tcBorders>
          </w:tcPr>
          <w:p>
            <w:pPr>
              <w:pStyle w:val="TableParagraph"/>
              <w:spacing w:line="205" w:lineRule="exact"/>
              <w:ind w:right="398"/>
              <w:jc w:val="right"/>
              <w:rPr>
                <w:rFonts w:ascii="宋体" w:hAnsi="宋体" w:cs="宋体" w:eastAsia="宋体" w:hint="default"/>
                <w:sz w:val="16"/>
                <w:szCs w:val="16"/>
              </w:rPr>
            </w:pPr>
            <w:r>
              <w:rPr>
                <w:rFonts w:ascii="宋体"/>
                <w:w w:val="95"/>
                <w:sz w:val="16"/>
              </w:rPr>
              <w:t>20,841,707,747</w:t>
            </w:r>
            <w:r>
              <w:rPr>
                <w:rFonts w:ascii="宋体"/>
                <w:sz w:val="16"/>
              </w:rPr>
            </w: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10.0</w:t>
            </w:r>
            <w:r>
              <w:rPr>
                <w:rFonts w:ascii="宋体"/>
                <w:sz w:val="16"/>
              </w:rPr>
            </w:r>
          </w:p>
        </w:tc>
      </w:tr>
      <w:tr>
        <w:trPr>
          <w:trHeight w:val="273" w:hRule="exact"/>
        </w:trPr>
        <w:tc>
          <w:tcPr>
            <w:tcW w:w="252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532"/>
              <w:jc w:val="right"/>
              <w:rPr>
                <w:rFonts w:ascii="宋体" w:hAnsi="宋体" w:cs="宋体" w:eastAsia="宋体" w:hint="default"/>
                <w:sz w:val="16"/>
                <w:szCs w:val="16"/>
              </w:rPr>
            </w:pPr>
            <w:r>
              <w:rPr>
                <w:rFonts w:ascii="宋体" w:hAnsi="宋体" w:cs="宋体" w:eastAsia="宋体" w:hint="default"/>
                <w:sz w:val="16"/>
                <w:szCs w:val="16"/>
              </w:rPr>
              <w:t>研发费用</w:t>
            </w:r>
          </w:p>
        </w:tc>
        <w:tc>
          <w:tcPr>
            <w:tcW w:w="3110" w:type="dxa"/>
            <w:tcBorders>
              <w:top w:val="nil" w:sz="6" w:space="0" w:color="auto"/>
              <w:left w:val="nil" w:sz="6" w:space="0" w:color="auto"/>
              <w:bottom w:val="nil" w:sz="6" w:space="0" w:color="auto"/>
              <w:right w:val="nil" w:sz="6" w:space="0" w:color="auto"/>
            </w:tcBorders>
          </w:tcPr>
          <w:p>
            <w:pPr>
              <w:pStyle w:val="TableParagraph"/>
              <w:spacing w:line="205" w:lineRule="exact"/>
              <w:ind w:right="463"/>
              <w:jc w:val="right"/>
              <w:rPr>
                <w:rFonts w:ascii="宋体" w:hAnsi="宋体" w:cs="宋体" w:eastAsia="宋体" w:hint="default"/>
                <w:sz w:val="16"/>
                <w:szCs w:val="16"/>
              </w:rPr>
            </w:pPr>
            <w:r>
              <w:rPr>
                <w:rFonts w:ascii="宋体"/>
                <w:color w:val="D7000F"/>
                <w:sz w:val="16"/>
              </w:rPr>
              <w:t>872,225,770</w:t>
            </w:r>
            <w:r>
              <w:rPr>
                <w:rFonts w:ascii="宋体"/>
                <w:sz w:val="16"/>
              </w:rPr>
            </w:r>
          </w:p>
        </w:tc>
        <w:tc>
          <w:tcPr>
            <w:tcW w:w="1976" w:type="dxa"/>
            <w:tcBorders>
              <w:top w:val="nil" w:sz="6" w:space="0" w:color="auto"/>
              <w:left w:val="nil" w:sz="6" w:space="0" w:color="auto"/>
              <w:bottom w:val="nil" w:sz="6" w:space="0" w:color="auto"/>
              <w:right w:val="nil" w:sz="6" w:space="0" w:color="auto"/>
            </w:tcBorders>
          </w:tcPr>
          <w:p>
            <w:pPr>
              <w:pStyle w:val="TableParagraph"/>
              <w:spacing w:line="205" w:lineRule="exact"/>
              <w:ind w:right="398"/>
              <w:jc w:val="right"/>
              <w:rPr>
                <w:rFonts w:ascii="宋体" w:hAnsi="宋体" w:cs="宋体" w:eastAsia="宋体" w:hint="default"/>
                <w:sz w:val="16"/>
                <w:szCs w:val="16"/>
              </w:rPr>
            </w:pPr>
            <w:r>
              <w:rPr>
                <w:rFonts w:ascii="宋体"/>
                <w:sz w:val="16"/>
              </w:rPr>
              <w:t>491,941,948</w:t>
            </w: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77.3</w:t>
            </w:r>
            <w:r>
              <w:rPr>
                <w:rFonts w:ascii="宋体"/>
                <w:sz w:val="16"/>
              </w:rPr>
            </w:r>
          </w:p>
        </w:tc>
      </w:tr>
      <w:tr>
        <w:trPr>
          <w:trHeight w:val="317" w:hRule="exact"/>
        </w:trPr>
        <w:tc>
          <w:tcPr>
            <w:tcW w:w="2522"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532"/>
              <w:jc w:val="right"/>
              <w:rPr>
                <w:rFonts w:ascii="宋体" w:hAnsi="宋体" w:cs="宋体" w:eastAsia="宋体" w:hint="default"/>
                <w:sz w:val="16"/>
                <w:szCs w:val="16"/>
              </w:rPr>
            </w:pPr>
            <w:r>
              <w:rPr>
                <w:rFonts w:ascii="宋体" w:hAnsi="宋体" w:cs="宋体" w:eastAsia="宋体" w:hint="default"/>
                <w:sz w:val="16"/>
                <w:szCs w:val="16"/>
              </w:rPr>
              <w:t>财务费用</w:t>
            </w:r>
          </w:p>
        </w:tc>
        <w:tc>
          <w:tcPr>
            <w:tcW w:w="3110" w:type="dxa"/>
            <w:tcBorders>
              <w:top w:val="nil" w:sz="6" w:space="0" w:color="auto"/>
              <w:left w:val="nil" w:sz="6" w:space="0" w:color="auto"/>
              <w:bottom w:val="nil" w:sz="6" w:space="0" w:color="auto"/>
              <w:right w:val="nil" w:sz="6" w:space="0" w:color="auto"/>
            </w:tcBorders>
          </w:tcPr>
          <w:p>
            <w:pPr>
              <w:pStyle w:val="TableParagraph"/>
              <w:spacing w:line="205" w:lineRule="exact"/>
              <w:ind w:right="463"/>
              <w:jc w:val="right"/>
              <w:rPr>
                <w:rFonts w:ascii="宋体" w:hAnsi="宋体" w:cs="宋体" w:eastAsia="宋体" w:hint="default"/>
                <w:sz w:val="16"/>
                <w:szCs w:val="16"/>
              </w:rPr>
            </w:pPr>
            <w:r>
              <w:rPr>
                <w:rFonts w:ascii="宋体"/>
                <w:color w:val="D7000F"/>
                <w:sz w:val="16"/>
              </w:rPr>
              <w:t>-137,779,791</w:t>
            </w:r>
            <w:r>
              <w:rPr>
                <w:rFonts w:ascii="宋体"/>
                <w:sz w:val="16"/>
              </w:rPr>
            </w:r>
          </w:p>
        </w:tc>
        <w:tc>
          <w:tcPr>
            <w:tcW w:w="1976" w:type="dxa"/>
            <w:tcBorders>
              <w:top w:val="nil" w:sz="6" w:space="0" w:color="auto"/>
              <w:left w:val="nil" w:sz="6" w:space="0" w:color="auto"/>
              <w:bottom w:val="nil" w:sz="6" w:space="0" w:color="auto"/>
              <w:right w:val="nil" w:sz="6" w:space="0" w:color="auto"/>
            </w:tcBorders>
          </w:tcPr>
          <w:p>
            <w:pPr>
              <w:pStyle w:val="TableParagraph"/>
              <w:spacing w:line="205" w:lineRule="exact"/>
              <w:ind w:right="398"/>
              <w:jc w:val="right"/>
              <w:rPr>
                <w:rFonts w:ascii="宋体" w:hAnsi="宋体" w:cs="宋体" w:eastAsia="宋体" w:hint="default"/>
                <w:sz w:val="16"/>
                <w:szCs w:val="16"/>
              </w:rPr>
            </w:pPr>
            <w:r>
              <w:rPr>
                <w:rFonts w:ascii="宋体"/>
                <w:w w:val="95"/>
                <w:sz w:val="16"/>
              </w:rPr>
              <w:t>4,079,005,515</w:t>
            </w:r>
            <w:r>
              <w:rPr>
                <w:rFonts w:ascii="宋体"/>
                <w:sz w:val="16"/>
              </w:rPr>
            </w: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05"/>
                <w:sz w:val="16"/>
              </w:rPr>
              <w:t>-103.4</w:t>
            </w:r>
            <w:r>
              <w:rPr>
                <w:rFonts w:ascii="宋体"/>
                <w:sz w:val="16"/>
              </w:rPr>
            </w:r>
          </w:p>
        </w:tc>
      </w:tr>
    </w:tbl>
    <w:p>
      <w:pPr>
        <w:spacing w:line="240" w:lineRule="auto" w:before="9"/>
        <w:rPr>
          <w:rFonts w:ascii="Arial" w:hAnsi="Arial" w:cs="Arial" w:eastAsia="Arial" w:hint="default"/>
          <w:b/>
          <w:bCs/>
          <w:sz w:val="16"/>
          <w:szCs w:val="16"/>
        </w:rPr>
      </w:pPr>
    </w:p>
    <w:p>
      <w:pPr>
        <w:pStyle w:val="BodyText"/>
        <w:spacing w:line="240" w:lineRule="auto"/>
        <w:ind w:left="717" w:right="1314"/>
        <w:jc w:val="left"/>
        <w:rPr>
          <w:rFonts w:ascii="宋体" w:hAnsi="宋体" w:cs="宋体" w:eastAsia="宋体" w:hint="default"/>
        </w:rPr>
      </w:pPr>
      <w:r>
        <w:rPr>
          <w:rFonts w:ascii="宋体" w:hAnsi="宋体" w:cs="宋体" w:eastAsia="宋体" w:hint="default"/>
          <w:w w:val="95"/>
        </w:rPr>
        <w:t>1.  </w:t>
      </w:r>
      <w:r>
        <w:rPr>
          <w:rFonts w:ascii="宋体" w:hAnsi="宋体" w:cs="宋体" w:eastAsia="宋体" w:hint="default"/>
          <w:spacing w:val="28"/>
          <w:w w:val="95"/>
        </w:rPr>
        <w:t> </w:t>
      </w:r>
      <w:r>
        <w:rPr>
          <w:rFonts w:ascii="宋体" w:hAnsi="宋体" w:cs="宋体" w:eastAsia="宋体" w:hint="default"/>
          <w:w w:val="95"/>
        </w:rPr>
        <w:t>销售费用增加主要是由于适度加大营销投入应对激烈的市场竞争；</w:t>
      </w:r>
    </w:p>
    <w:p>
      <w:pPr>
        <w:pStyle w:val="BodyText"/>
        <w:spacing w:line="240" w:lineRule="auto" w:before="44"/>
        <w:ind w:left="717" w:right="1314"/>
        <w:jc w:val="left"/>
        <w:rPr>
          <w:rFonts w:ascii="宋体" w:hAnsi="宋体" w:cs="宋体" w:eastAsia="宋体" w:hint="default"/>
        </w:rPr>
      </w:pPr>
      <w:r>
        <w:rPr>
          <w:rFonts w:ascii="宋体" w:hAnsi="宋体" w:cs="宋体" w:eastAsia="宋体" w:hint="default"/>
          <w:w w:val="95"/>
        </w:rPr>
        <w:t>2.    </w:t>
      </w:r>
      <w:r>
        <w:rPr>
          <w:rFonts w:ascii="宋体" w:hAnsi="宋体" w:cs="宋体" w:eastAsia="宋体" w:hint="default"/>
          <w:spacing w:val="47"/>
          <w:w w:val="95"/>
        </w:rPr>
        <w:t> </w:t>
      </w:r>
      <w:r>
        <w:rPr>
          <w:rFonts w:ascii="宋体" w:hAnsi="宋体" w:cs="宋体" w:eastAsia="宋体" w:hint="default"/>
          <w:spacing w:val="-5"/>
          <w:w w:val="95"/>
        </w:rPr>
        <w:t>管理费用增加主要由于公司积极推进激励机制改革，强化激励与绩效挂钩，同时加大引入创新人才，人工成本增加；</w:t>
      </w:r>
    </w:p>
    <w:p>
      <w:pPr>
        <w:pStyle w:val="BodyText"/>
        <w:spacing w:line="240" w:lineRule="auto" w:before="44"/>
        <w:ind w:left="717" w:right="1314"/>
        <w:jc w:val="left"/>
        <w:rPr>
          <w:rFonts w:ascii="宋体" w:hAnsi="宋体" w:cs="宋体" w:eastAsia="宋体" w:hint="default"/>
        </w:rPr>
      </w:pPr>
      <w:r>
        <w:rPr>
          <w:rFonts w:ascii="宋体" w:hAnsi="宋体" w:cs="宋体" w:eastAsia="宋体" w:hint="default"/>
          <w:w w:val="95"/>
        </w:rPr>
        <w:t>3. </w:t>
      </w:r>
      <w:r>
        <w:rPr>
          <w:rFonts w:ascii="宋体" w:hAnsi="宋体" w:cs="宋体" w:eastAsia="宋体" w:hint="default"/>
          <w:spacing w:val="14"/>
          <w:w w:val="95"/>
        </w:rPr>
        <w:t> </w:t>
      </w:r>
      <w:r>
        <w:rPr>
          <w:rFonts w:ascii="宋体" w:hAnsi="宋体" w:cs="宋体" w:eastAsia="宋体" w:hint="default"/>
          <w:w w:val="95"/>
        </w:rPr>
        <w:t>研发费用增加主要是增加研发投入所致；</w:t>
      </w:r>
    </w:p>
    <w:p>
      <w:pPr>
        <w:pStyle w:val="BodyText"/>
        <w:spacing w:line="240" w:lineRule="auto" w:before="44"/>
        <w:ind w:left="717" w:right="1314"/>
        <w:jc w:val="left"/>
        <w:rPr>
          <w:rFonts w:ascii="宋体" w:hAnsi="宋体" w:cs="宋体" w:eastAsia="宋体" w:hint="default"/>
        </w:rPr>
      </w:pPr>
      <w:r>
        <w:rPr>
          <w:rFonts w:ascii="宋体" w:hAnsi="宋体" w:cs="宋体" w:eastAsia="宋体" w:hint="default"/>
          <w:w w:val="95"/>
        </w:rPr>
        <w:t>4.  </w:t>
      </w:r>
      <w:r>
        <w:rPr>
          <w:rFonts w:ascii="宋体" w:hAnsi="宋体" w:cs="宋体" w:eastAsia="宋体" w:hint="default"/>
          <w:spacing w:val="37"/>
          <w:w w:val="95"/>
        </w:rPr>
        <w:t> </w:t>
      </w:r>
      <w:r>
        <w:rPr>
          <w:rFonts w:ascii="宋体" w:hAnsi="宋体" w:cs="宋体" w:eastAsia="宋体" w:hint="default"/>
          <w:w w:val="95"/>
        </w:rPr>
        <w:t>财务费用减少主要由于公司带息债务减少，利息支出大幅下降所致。</w:t>
      </w:r>
    </w:p>
    <w:p>
      <w:pPr>
        <w:pStyle w:val="BodyText"/>
        <w:spacing w:line="240" w:lineRule="auto" w:before="157"/>
        <w:ind w:left="490" w:right="1314"/>
        <w:jc w:val="left"/>
        <w:rPr>
          <w:rFonts w:ascii="宋体" w:hAnsi="宋体" w:cs="宋体" w:eastAsia="宋体" w:hint="default"/>
        </w:rPr>
      </w:pPr>
      <w:r>
        <w:rPr>
          <w:rFonts w:ascii="宋体" w:hAnsi="宋体" w:cs="宋体" w:eastAsia="宋体" w:hint="default"/>
          <w:color w:val="D7000F"/>
          <w:w w:val="95"/>
        </w:rPr>
        <w:t>4.</w:t>
      </w:r>
      <w:r>
        <w:rPr>
          <w:rFonts w:ascii="宋体" w:hAnsi="宋体" w:cs="宋体" w:eastAsia="宋体" w:hint="default"/>
          <w:color w:val="D7000F"/>
          <w:spacing w:val="-26"/>
          <w:w w:val="95"/>
        </w:rPr>
        <w:t> </w:t>
      </w:r>
      <w:r>
        <w:rPr>
          <w:rFonts w:ascii="宋体" w:hAnsi="宋体" w:cs="宋体" w:eastAsia="宋体" w:hint="default"/>
          <w:color w:val="D7000F"/>
          <w:w w:val="95"/>
        </w:rPr>
        <w:t>研发投入</w:t>
      </w:r>
      <w:r>
        <w:rPr>
          <w:rFonts w:ascii="宋体" w:hAnsi="宋体" w:cs="宋体" w:eastAsia="宋体" w:hint="default"/>
          <w:w w:val="95"/>
        </w:rPr>
      </w:r>
    </w:p>
    <w:p>
      <w:pPr>
        <w:spacing w:line="240" w:lineRule="auto" w:before="9"/>
        <w:rPr>
          <w:rFonts w:ascii="宋体" w:hAnsi="宋体" w:cs="宋体" w:eastAsia="宋体" w:hint="default"/>
          <w:sz w:val="9"/>
          <w:szCs w:val="9"/>
        </w:rPr>
      </w:pPr>
    </w:p>
    <w:p>
      <w:pPr>
        <w:spacing w:after="0" w:line="240" w:lineRule="auto"/>
        <w:rPr>
          <w:rFonts w:ascii="宋体" w:hAnsi="宋体" w:cs="宋体" w:eastAsia="宋体" w:hint="default"/>
          <w:sz w:val="9"/>
          <w:szCs w:val="9"/>
        </w:rPr>
        <w:sectPr>
          <w:headerReference w:type="even" r:id="rId133"/>
          <w:footerReference w:type="even" r:id="rId134"/>
          <w:pgSz w:w="11910" w:h="16160"/>
          <w:pgMar w:header="0" w:footer="0" w:top="2360" w:bottom="0" w:left="700" w:right="0"/>
        </w:sectPr>
      </w:pPr>
    </w:p>
    <w:p>
      <w:pPr>
        <w:pStyle w:val="BodyText"/>
        <w:spacing w:line="240" w:lineRule="auto" w:before="31"/>
        <w:ind w:left="717" w:right="-20"/>
        <w:jc w:val="left"/>
        <w:rPr>
          <w:rFonts w:ascii="宋体" w:hAnsi="宋体" w:cs="宋体" w:eastAsia="宋体" w:hint="default"/>
        </w:rPr>
      </w:pPr>
      <w:r>
        <w:rPr>
          <w:rFonts w:ascii="宋体" w:hAnsi="宋体" w:cs="宋体" w:eastAsia="宋体" w:hint="default"/>
        </w:rPr>
        <w:t>研发投入情况表</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3"/>
        <w:rPr>
          <w:rFonts w:ascii="宋体" w:hAnsi="宋体" w:cs="宋体" w:eastAsia="宋体" w:hint="default"/>
          <w:sz w:val="14"/>
          <w:szCs w:val="14"/>
        </w:rPr>
      </w:pPr>
    </w:p>
    <w:p>
      <w:pPr>
        <w:spacing w:before="0"/>
        <w:ind w:left="717" w:right="0" w:firstLine="0"/>
        <w:jc w:val="lef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7"/>
          <w:sz w:val="12"/>
          <w:szCs w:val="12"/>
        </w:rPr>
        <w:t> </w:t>
      </w:r>
      <w:r>
        <w:rPr>
          <w:rFonts w:ascii="宋体" w:hAnsi="宋体" w:cs="宋体" w:eastAsia="宋体" w:hint="default"/>
          <w:sz w:val="12"/>
          <w:szCs w:val="12"/>
        </w:rPr>
        <w:t>币种</w:t>
      </w:r>
      <w:r>
        <w:rPr>
          <w:rFonts w:ascii="宋体" w:hAnsi="宋体" w:cs="宋体" w:eastAsia="宋体" w:hint="default"/>
          <w:spacing w:val="-36"/>
          <w:sz w:val="12"/>
          <w:szCs w:val="12"/>
        </w:rPr>
        <w:t> </w:t>
      </w:r>
      <w:r>
        <w:rPr>
          <w:rFonts w:ascii="宋体" w:hAnsi="宋体" w:cs="宋体" w:eastAsia="宋体" w:hint="default"/>
          <w:w w:val="95"/>
          <w:sz w:val="12"/>
          <w:szCs w:val="12"/>
        </w:rPr>
        <w:t>:</w:t>
      </w:r>
      <w:r>
        <w:rPr>
          <w:rFonts w:ascii="宋体" w:hAnsi="宋体" w:cs="宋体" w:eastAsia="宋体" w:hint="default"/>
          <w:spacing w:val="-33"/>
          <w:w w:val="95"/>
          <w:sz w:val="12"/>
          <w:szCs w:val="12"/>
        </w:rPr>
        <w:t> </w:t>
      </w:r>
      <w:r>
        <w:rPr>
          <w:rFonts w:ascii="宋体" w:hAnsi="宋体" w:cs="宋体" w:eastAsia="宋体" w:hint="default"/>
          <w:sz w:val="12"/>
          <w:szCs w:val="12"/>
        </w:rPr>
        <w:t>人民币</w:t>
      </w:r>
    </w:p>
    <w:p>
      <w:pPr>
        <w:spacing w:after="0"/>
        <w:jc w:val="left"/>
        <w:rPr>
          <w:rFonts w:ascii="宋体" w:hAnsi="宋体" w:cs="宋体" w:eastAsia="宋体" w:hint="default"/>
          <w:sz w:val="12"/>
          <w:szCs w:val="12"/>
        </w:rPr>
        <w:sectPr>
          <w:type w:val="continuous"/>
          <w:pgSz w:w="11910" w:h="16160"/>
          <w:pgMar w:top="1520" w:bottom="280" w:left="700" w:right="0"/>
          <w:cols w:num="2" w:equalWidth="0">
            <w:col w:w="1978" w:space="5754"/>
            <w:col w:w="3478"/>
          </w:cols>
        </w:sectPr>
      </w:pPr>
    </w:p>
    <w:p>
      <w:pPr>
        <w:spacing w:line="240" w:lineRule="auto" w:before="2"/>
        <w:rPr>
          <w:rFonts w:ascii="宋体" w:hAnsi="宋体" w:cs="宋体" w:eastAsia="宋体" w:hint="default"/>
          <w:sz w:val="12"/>
          <w:szCs w:val="12"/>
        </w:rPr>
      </w:pPr>
    </w:p>
    <w:p>
      <w:pPr>
        <w:tabs>
          <w:tab w:pos="8801" w:val="left" w:leader="none"/>
        </w:tabs>
        <w:spacing w:before="38"/>
        <w:ind w:left="802" w:right="1314" w:firstLine="0"/>
        <w:jc w:val="left"/>
        <w:rPr>
          <w:rFonts w:ascii="宋体" w:hAnsi="宋体" w:cs="宋体" w:eastAsia="宋体" w:hint="default"/>
          <w:sz w:val="16"/>
          <w:szCs w:val="16"/>
        </w:rPr>
      </w:pPr>
      <w:r>
        <w:rPr>
          <w:rFonts w:ascii="宋体" w:hAnsi="宋体" w:cs="宋体" w:eastAsia="宋体" w:hint="default"/>
          <w:sz w:val="16"/>
          <w:szCs w:val="16"/>
        </w:rPr>
        <w:t>本期费用化研发投入</w:t>
        <w:tab/>
        <w:t>872,225,770</w:t>
      </w:r>
    </w:p>
    <w:p>
      <w:pPr>
        <w:tabs>
          <w:tab w:pos="8801" w:val="left" w:leader="none"/>
        </w:tabs>
        <w:spacing w:before="64"/>
        <w:ind w:left="802" w:right="1314" w:firstLine="0"/>
        <w:jc w:val="left"/>
        <w:rPr>
          <w:rFonts w:ascii="宋体" w:hAnsi="宋体" w:cs="宋体" w:eastAsia="宋体" w:hint="default"/>
          <w:sz w:val="16"/>
          <w:szCs w:val="16"/>
        </w:rPr>
      </w:pPr>
      <w:r>
        <w:rPr>
          <w:rFonts w:ascii="宋体" w:hAnsi="宋体" w:cs="宋体" w:eastAsia="宋体" w:hint="default"/>
          <w:sz w:val="16"/>
          <w:szCs w:val="16"/>
        </w:rPr>
        <w:t>本期资本化研发投入</w:t>
        <w:tab/>
        <w:t>546,333,090</w:t>
      </w:r>
    </w:p>
    <w:p>
      <w:pPr>
        <w:tabs>
          <w:tab w:pos="8668" w:val="left" w:leader="none"/>
        </w:tabs>
        <w:spacing w:before="64"/>
        <w:ind w:left="802" w:right="1314" w:firstLine="0"/>
        <w:jc w:val="left"/>
        <w:rPr>
          <w:rFonts w:ascii="宋体" w:hAnsi="宋体" w:cs="宋体" w:eastAsia="宋体" w:hint="default"/>
          <w:sz w:val="16"/>
          <w:szCs w:val="16"/>
        </w:rPr>
      </w:pPr>
      <w:r>
        <w:rPr>
          <w:rFonts w:ascii="宋体" w:hAnsi="宋体" w:cs="宋体" w:eastAsia="宋体" w:hint="default"/>
          <w:sz w:val="16"/>
          <w:szCs w:val="16"/>
        </w:rPr>
        <w:t>研发投入合计</w:t>
        <w:tab/>
        <w:t>1,418,558,860</w:t>
      </w:r>
    </w:p>
    <w:p>
      <w:pPr>
        <w:tabs>
          <w:tab w:pos="9689" w:val="right" w:leader="none"/>
        </w:tabs>
        <w:spacing w:before="64"/>
        <w:ind w:left="802" w:right="0" w:firstLine="0"/>
        <w:jc w:val="left"/>
        <w:rPr>
          <w:rFonts w:ascii="宋体" w:hAnsi="宋体" w:cs="宋体" w:eastAsia="宋体" w:hint="default"/>
          <w:sz w:val="16"/>
          <w:szCs w:val="16"/>
        </w:rPr>
      </w:pPr>
      <w:r>
        <w:rPr>
          <w:rFonts w:ascii="宋体" w:hAnsi="宋体" w:cs="宋体" w:eastAsia="宋体" w:hint="default"/>
          <w:sz w:val="16"/>
          <w:szCs w:val="16"/>
        </w:rPr>
        <w:t>研发投入总额占营业收入比例（%）</w:t>
      </w:r>
      <w:r>
        <w:rPr>
          <w:rFonts w:ascii="Times New Roman" w:hAnsi="Times New Roman" w:cs="Times New Roman" w:eastAsia="Times New Roman" w:hint="default"/>
          <w:sz w:val="16"/>
          <w:szCs w:val="16"/>
        </w:rPr>
        <w:tab/>
      </w:r>
      <w:r>
        <w:rPr>
          <w:rFonts w:ascii="宋体" w:hAnsi="宋体" w:cs="宋体" w:eastAsia="宋体" w:hint="default"/>
          <w:sz w:val="16"/>
          <w:szCs w:val="16"/>
        </w:rPr>
        <w:t>0.49</w:t>
      </w:r>
    </w:p>
    <w:p>
      <w:pPr>
        <w:tabs>
          <w:tab w:pos="9289" w:val="left" w:leader="none"/>
        </w:tabs>
        <w:spacing w:before="64"/>
        <w:ind w:left="802" w:right="1314" w:firstLine="0"/>
        <w:jc w:val="left"/>
        <w:rPr>
          <w:rFonts w:ascii="宋体" w:hAnsi="宋体" w:cs="宋体" w:eastAsia="宋体" w:hint="default"/>
          <w:sz w:val="16"/>
          <w:szCs w:val="16"/>
        </w:rPr>
      </w:pPr>
      <w:r>
        <w:rPr>
          <w:rFonts w:ascii="宋体" w:hAnsi="宋体" w:cs="宋体" w:eastAsia="宋体" w:hint="default"/>
          <w:sz w:val="16"/>
          <w:szCs w:val="16"/>
        </w:rPr>
        <w:t>公司研发人员的数量</w:t>
        <w:tab/>
        <w:t>5,259</w:t>
      </w:r>
    </w:p>
    <w:p>
      <w:pPr>
        <w:tabs>
          <w:tab w:pos="9467" w:val="left" w:leader="none"/>
        </w:tabs>
        <w:spacing w:before="64"/>
        <w:ind w:left="802" w:right="1314" w:firstLine="0"/>
        <w:jc w:val="left"/>
        <w:rPr>
          <w:rFonts w:ascii="宋体" w:hAnsi="宋体" w:cs="宋体" w:eastAsia="宋体" w:hint="default"/>
          <w:sz w:val="16"/>
          <w:szCs w:val="16"/>
        </w:rPr>
      </w:pPr>
      <w:r>
        <w:rPr>
          <w:rFonts w:ascii="宋体" w:hAnsi="宋体" w:cs="宋体" w:eastAsia="宋体" w:hint="default"/>
          <w:sz w:val="16"/>
          <w:szCs w:val="16"/>
        </w:rPr>
        <w:t>研发人员数量占公司总人数的比例（%）</w:t>
      </w:r>
      <w:r>
        <w:rPr>
          <w:rFonts w:ascii="Times New Roman" w:hAnsi="Times New Roman" w:cs="Times New Roman" w:eastAsia="Times New Roman" w:hint="default"/>
          <w:sz w:val="16"/>
          <w:szCs w:val="16"/>
        </w:rPr>
        <w:tab/>
      </w:r>
      <w:r>
        <w:rPr>
          <w:rFonts w:ascii="宋体" w:hAnsi="宋体" w:cs="宋体" w:eastAsia="宋体" w:hint="default"/>
          <w:sz w:val="16"/>
          <w:szCs w:val="16"/>
        </w:rPr>
        <w:t>2.0</w:t>
      </w:r>
    </w:p>
    <w:p>
      <w:pPr>
        <w:tabs>
          <w:tab w:pos="9689" w:val="right" w:leader="none"/>
        </w:tabs>
        <w:spacing w:before="64"/>
        <w:ind w:left="802" w:right="0" w:firstLine="0"/>
        <w:jc w:val="left"/>
        <w:rPr>
          <w:rFonts w:ascii="宋体" w:hAnsi="宋体" w:cs="宋体" w:eastAsia="宋体" w:hint="default"/>
          <w:sz w:val="16"/>
          <w:szCs w:val="16"/>
        </w:rPr>
      </w:pPr>
      <w:r>
        <w:rPr>
          <w:rFonts w:ascii="宋体" w:hAnsi="宋体" w:cs="宋体" w:eastAsia="宋体" w:hint="default"/>
          <w:sz w:val="16"/>
          <w:szCs w:val="16"/>
        </w:rPr>
        <w:t>研发投入资本化的比重（%）</w:t>
      </w:r>
      <w:r>
        <w:rPr>
          <w:rFonts w:ascii="Times New Roman" w:hAnsi="Times New Roman" w:cs="Times New Roman" w:eastAsia="Times New Roman" w:hint="default"/>
          <w:sz w:val="16"/>
          <w:szCs w:val="16"/>
        </w:rPr>
        <w:tab/>
      </w:r>
      <w:r>
        <w:rPr>
          <w:rFonts w:ascii="宋体" w:hAnsi="宋体" w:cs="宋体" w:eastAsia="宋体" w:hint="default"/>
          <w:sz w:val="16"/>
          <w:szCs w:val="16"/>
        </w:rPr>
        <w:t>38.51</w:t>
      </w:r>
    </w:p>
    <w:p>
      <w:pPr>
        <w:spacing w:line="240" w:lineRule="auto" w:before="3"/>
        <w:rPr>
          <w:rFonts w:ascii="宋体" w:hAnsi="宋体" w:cs="宋体" w:eastAsia="宋体" w:hint="default"/>
          <w:sz w:val="23"/>
          <w:szCs w:val="23"/>
        </w:rPr>
      </w:pPr>
    </w:p>
    <w:p>
      <w:pPr>
        <w:pStyle w:val="BodyText"/>
        <w:spacing w:line="240" w:lineRule="auto"/>
        <w:ind w:left="490" w:right="1314"/>
        <w:jc w:val="left"/>
        <w:rPr>
          <w:rFonts w:ascii="宋体" w:hAnsi="宋体" w:cs="宋体" w:eastAsia="宋体" w:hint="default"/>
        </w:rPr>
      </w:pPr>
      <w:r>
        <w:rPr>
          <w:rFonts w:ascii="宋体" w:hAnsi="宋体" w:cs="宋体" w:eastAsia="宋体" w:hint="default"/>
          <w:color w:val="D7000F"/>
          <w:w w:val="95"/>
        </w:rPr>
        <w:t>5.</w:t>
      </w:r>
      <w:r>
        <w:rPr>
          <w:rFonts w:ascii="宋体" w:hAnsi="宋体" w:cs="宋体" w:eastAsia="宋体" w:hint="default"/>
          <w:color w:val="D7000F"/>
          <w:spacing w:val="-35"/>
          <w:w w:val="95"/>
        </w:rPr>
        <w:t> </w:t>
      </w:r>
      <w:r>
        <w:rPr>
          <w:rFonts w:ascii="宋体" w:hAnsi="宋体" w:cs="宋体" w:eastAsia="宋体" w:hint="default"/>
          <w:color w:val="D7000F"/>
          <w:w w:val="95"/>
        </w:rPr>
        <w:t>现金流</w:t>
      </w:r>
      <w:r>
        <w:rPr>
          <w:rFonts w:ascii="宋体" w:hAnsi="宋体" w:cs="宋体" w:eastAsia="宋体" w:hint="default"/>
          <w:w w:val="95"/>
        </w:rPr>
      </w:r>
    </w:p>
    <w:p>
      <w:pPr>
        <w:pStyle w:val="BodyText"/>
        <w:spacing w:line="285" w:lineRule="auto" w:before="157"/>
        <w:ind w:left="717" w:right="1314"/>
        <w:jc w:val="left"/>
        <w:rPr>
          <w:rFonts w:ascii="宋体" w:hAnsi="宋体" w:cs="宋体" w:eastAsia="宋体" w:hint="default"/>
        </w:rPr>
      </w:pPr>
      <w:r>
        <w:rPr>
          <w:rFonts w:ascii="宋体" w:hAnsi="宋体" w:cs="宋体" w:eastAsia="宋体" w:hint="default"/>
          <w:spacing w:val="-3"/>
          <w:w w:val="111"/>
        </w:rPr>
        <w:t>2018</w:t>
      </w:r>
      <w:r>
        <w:rPr>
          <w:rFonts w:ascii="宋体" w:hAnsi="宋体" w:cs="宋体" w:eastAsia="宋体" w:hint="default"/>
          <w:spacing w:val="-56"/>
          <w:w w:val="111"/>
        </w:rPr>
        <w:t> </w:t>
      </w:r>
      <w:r>
        <w:rPr>
          <w:rFonts w:ascii="宋体" w:hAnsi="宋体" w:cs="宋体" w:eastAsia="宋体" w:hint="default"/>
          <w:spacing w:val="-4"/>
        </w:rPr>
        <w:t>年公司经营活动现金流量净额为人民币</w:t>
      </w:r>
      <w:r>
        <w:rPr>
          <w:rFonts w:ascii="宋体" w:hAnsi="宋体" w:cs="宋体" w:eastAsia="宋体" w:hint="default"/>
          <w:spacing w:val="-47"/>
        </w:rPr>
        <w:t> </w:t>
      </w:r>
      <w:r>
        <w:rPr>
          <w:rFonts w:ascii="宋体" w:hAnsi="宋体" w:cs="宋体" w:eastAsia="宋体" w:hint="default"/>
          <w:spacing w:val="-4"/>
          <w:w w:val="99"/>
        </w:rPr>
        <w:t>948.3</w:t>
      </w:r>
      <w:r>
        <w:rPr>
          <w:rFonts w:ascii="宋体" w:hAnsi="宋体" w:cs="宋体" w:eastAsia="宋体" w:hint="default"/>
          <w:spacing w:val="-46"/>
          <w:w w:val="99"/>
        </w:rPr>
        <w:t> </w:t>
      </w:r>
      <w:r>
        <w:rPr>
          <w:rFonts w:ascii="宋体" w:hAnsi="宋体" w:cs="宋体" w:eastAsia="宋体" w:hint="default"/>
          <w:spacing w:val="-4"/>
        </w:rPr>
        <w:t>亿元，扣除本年资本开支后自由现金流为人民币</w:t>
      </w:r>
      <w:r>
        <w:rPr>
          <w:rFonts w:ascii="宋体" w:hAnsi="宋体" w:cs="宋体" w:eastAsia="宋体" w:hint="default"/>
          <w:spacing w:val="-47"/>
        </w:rPr>
        <w:t> </w:t>
      </w:r>
      <w:r>
        <w:rPr>
          <w:rFonts w:ascii="宋体" w:hAnsi="宋体" w:cs="宋体" w:eastAsia="宋体" w:hint="default"/>
          <w:spacing w:val="-4"/>
          <w:w w:val="99"/>
        </w:rPr>
        <w:t>499.6</w:t>
      </w:r>
      <w:r>
        <w:rPr>
          <w:rFonts w:ascii="宋体" w:hAnsi="宋体" w:cs="宋体" w:eastAsia="宋体" w:hint="default"/>
          <w:spacing w:val="-46"/>
          <w:w w:val="99"/>
        </w:rPr>
        <w:t> </w:t>
      </w:r>
      <w:r>
        <w:rPr>
          <w:rFonts w:ascii="宋体" w:hAnsi="宋体" w:cs="宋体" w:eastAsia="宋体" w:hint="default"/>
          <w:spacing w:val="-4"/>
        </w:rPr>
        <w:t>亿元。考虑</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spacing w:val="-4"/>
        </w:rPr>
        <w:t>到公司经营活动净现金流入保持稳定以及良好的信贷信用，我们相信公司应有足够的运营资金满足生产经营需要。</w:t>
      </w:r>
      <w:r>
        <w:rPr>
          <w:rFonts w:ascii="宋体" w:hAnsi="宋体" w:cs="宋体" w:eastAsia="宋体" w:hint="default"/>
        </w:rPr>
      </w:r>
    </w:p>
    <w:p>
      <w:pPr>
        <w:spacing w:line="240" w:lineRule="auto" w:before="9"/>
        <w:rPr>
          <w:rFonts w:ascii="宋体" w:hAnsi="宋体" w:cs="宋体" w:eastAsia="宋体" w:hint="default"/>
          <w:sz w:val="22"/>
          <w:szCs w:val="22"/>
        </w:rPr>
      </w:pPr>
    </w:p>
    <w:p>
      <w:pPr>
        <w:spacing w:before="0"/>
        <w:ind w:left="150" w:right="131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资产、负债情况分析</w:t>
      </w:r>
    </w:p>
    <w:p>
      <w:pPr>
        <w:spacing w:line="240" w:lineRule="auto" w:before="6"/>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type w:val="continuous"/>
          <w:pgSz w:w="11910" w:h="16160"/>
          <w:pgMar w:top="1520" w:bottom="280" w:left="700" w:right="0"/>
        </w:sectPr>
      </w:pPr>
    </w:p>
    <w:p>
      <w:pPr>
        <w:pStyle w:val="BodyText"/>
        <w:spacing w:line="240" w:lineRule="auto" w:before="31"/>
        <w:ind w:left="490" w:right="-20"/>
        <w:jc w:val="left"/>
        <w:rPr>
          <w:rFonts w:ascii="宋体" w:hAnsi="宋体" w:cs="宋体" w:eastAsia="宋体" w:hint="default"/>
        </w:rPr>
      </w:pPr>
      <w:r>
        <w:rPr>
          <w:rFonts w:ascii="宋体" w:hAnsi="宋体" w:cs="宋体" w:eastAsia="宋体" w:hint="default"/>
          <w:color w:val="D7000F"/>
        </w:rPr>
        <w:t>资产及负债状况</w:t>
      </w:r>
      <w:r>
        <w:rPr>
          <w:rFonts w:ascii="宋体" w:hAnsi="宋体" w:cs="宋体" w:eastAsia="宋体" w:hint="default"/>
        </w:rPr>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3"/>
        <w:rPr>
          <w:rFonts w:ascii="宋体" w:hAnsi="宋体" w:cs="宋体" w:eastAsia="宋体" w:hint="default"/>
          <w:sz w:val="14"/>
          <w:szCs w:val="14"/>
        </w:rPr>
      </w:pPr>
    </w:p>
    <w:p>
      <w:pPr>
        <w:spacing w:before="0"/>
        <w:ind w:left="490" w:right="0" w:firstLine="0"/>
        <w:jc w:val="lef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7"/>
          <w:sz w:val="12"/>
          <w:szCs w:val="12"/>
        </w:rPr>
        <w:t> </w:t>
      </w:r>
      <w:r>
        <w:rPr>
          <w:rFonts w:ascii="宋体" w:hAnsi="宋体" w:cs="宋体" w:eastAsia="宋体" w:hint="default"/>
          <w:sz w:val="12"/>
          <w:szCs w:val="12"/>
        </w:rPr>
        <w:t>币种</w:t>
      </w:r>
      <w:r>
        <w:rPr>
          <w:rFonts w:ascii="宋体" w:hAnsi="宋体" w:cs="宋体" w:eastAsia="宋体" w:hint="default"/>
          <w:spacing w:val="-36"/>
          <w:sz w:val="12"/>
          <w:szCs w:val="12"/>
        </w:rPr>
        <w:t> </w:t>
      </w:r>
      <w:r>
        <w:rPr>
          <w:rFonts w:ascii="宋体" w:hAnsi="宋体" w:cs="宋体" w:eastAsia="宋体" w:hint="default"/>
          <w:w w:val="95"/>
          <w:sz w:val="12"/>
          <w:szCs w:val="12"/>
        </w:rPr>
        <w:t>:</w:t>
      </w:r>
      <w:r>
        <w:rPr>
          <w:rFonts w:ascii="宋体" w:hAnsi="宋体" w:cs="宋体" w:eastAsia="宋体" w:hint="default"/>
          <w:spacing w:val="-33"/>
          <w:w w:val="95"/>
          <w:sz w:val="12"/>
          <w:szCs w:val="12"/>
        </w:rPr>
        <w:t> </w:t>
      </w:r>
      <w:r>
        <w:rPr>
          <w:rFonts w:ascii="宋体" w:hAnsi="宋体" w:cs="宋体" w:eastAsia="宋体" w:hint="default"/>
          <w:sz w:val="12"/>
          <w:szCs w:val="12"/>
        </w:rPr>
        <w:t>人民币</w:t>
      </w:r>
    </w:p>
    <w:p>
      <w:pPr>
        <w:spacing w:after="0"/>
        <w:jc w:val="left"/>
        <w:rPr>
          <w:rFonts w:ascii="宋体" w:hAnsi="宋体" w:cs="宋体" w:eastAsia="宋体" w:hint="default"/>
          <w:sz w:val="12"/>
          <w:szCs w:val="12"/>
        </w:rPr>
        <w:sectPr>
          <w:type w:val="continuous"/>
          <w:pgSz w:w="11910" w:h="16160"/>
          <w:pgMar w:top="1520" w:bottom="280" w:left="700" w:right="0"/>
          <w:cols w:num="2" w:equalWidth="0">
            <w:col w:w="1751" w:space="6222"/>
            <w:col w:w="3237"/>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spacing w:before="38"/>
        <w:ind w:left="7435" w:right="1314" w:firstLine="0"/>
        <w:jc w:val="left"/>
        <w:rPr>
          <w:rFonts w:ascii="宋体" w:hAnsi="宋体" w:cs="宋体" w:eastAsia="宋体" w:hint="default"/>
          <w:sz w:val="16"/>
          <w:szCs w:val="16"/>
        </w:rPr>
      </w:pPr>
      <w:r>
        <w:rPr/>
        <w:pict>
          <v:shape style="position:absolute;margin-left:59.5275pt;margin-top:-87.531448pt;width:464.9pt;height:138.550pt;mso-position-horizontal-relative:page;mso-position-vertical-relative:paragraph;z-index:34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72"/>
                    <w:gridCol w:w="1252"/>
                    <w:gridCol w:w="1002"/>
                    <w:gridCol w:w="1311"/>
                    <w:gridCol w:w="991"/>
                    <w:gridCol w:w="3570"/>
                  </w:tblGrid>
                  <w:tr>
                    <w:trPr>
                      <w:trHeight w:val="738" w:hRule="exact"/>
                    </w:trPr>
                    <w:tc>
                      <w:tcPr>
                        <w:tcW w:w="1172"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项目名称</w:t>
                        </w:r>
                      </w:p>
                    </w:tc>
                    <w:tc>
                      <w:tcPr>
                        <w:tcW w:w="1252" w:type="dxa"/>
                        <w:tcBorders>
                          <w:top w:val="nil" w:sz="6" w:space="0" w:color="auto"/>
                          <w:left w:val="nil" w:sz="6" w:space="0" w:color="auto"/>
                          <w:bottom w:val="single" w:sz="16" w:space="0" w:color="D7000F"/>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6"/>
                            <w:szCs w:val="16"/>
                          </w:rPr>
                        </w:pPr>
                        <w:r>
                          <w:rPr>
                            <w:rFonts w:ascii="宋体" w:hAnsi="宋体" w:cs="宋体" w:eastAsia="宋体" w:hint="default"/>
                            <w:color w:val="D7000F"/>
                            <w:sz w:val="16"/>
                            <w:szCs w:val="16"/>
                          </w:rPr>
                          <w:t>本期期末数</w:t>
                        </w:r>
                        <w:r>
                          <w:rPr>
                            <w:rFonts w:ascii="宋体" w:hAnsi="宋体" w:cs="宋体" w:eastAsia="宋体" w:hint="default"/>
                            <w:sz w:val="16"/>
                            <w:szCs w:val="16"/>
                          </w:rPr>
                        </w:r>
                      </w:p>
                    </w:tc>
                    <w:tc>
                      <w:tcPr>
                        <w:tcW w:w="1002" w:type="dxa"/>
                        <w:tcBorders>
                          <w:top w:val="nil" w:sz="6" w:space="0" w:color="auto"/>
                          <w:left w:val="nil" w:sz="6" w:space="0" w:color="auto"/>
                          <w:bottom w:val="single" w:sz="16" w:space="0" w:color="D7000F"/>
                          <w:right w:val="nil" w:sz="6" w:space="0" w:color="auto"/>
                        </w:tcBorders>
                      </w:tcPr>
                      <w:p>
                        <w:pPr>
                          <w:pStyle w:val="TableParagraph"/>
                          <w:spacing w:line="200" w:lineRule="exact" w:before="42"/>
                          <w:ind w:left="104" w:right="95"/>
                          <w:jc w:val="right"/>
                          <w:rPr>
                            <w:rFonts w:ascii="宋体" w:hAnsi="宋体" w:cs="宋体" w:eastAsia="宋体" w:hint="default"/>
                            <w:sz w:val="16"/>
                            <w:szCs w:val="16"/>
                          </w:rPr>
                        </w:pPr>
                        <w:r>
                          <w:rPr>
                            <w:rFonts w:ascii="宋体" w:hAnsi="宋体" w:cs="宋体" w:eastAsia="宋体" w:hint="default"/>
                            <w:color w:val="D7000F"/>
                            <w:sz w:val="16"/>
                            <w:szCs w:val="16"/>
                          </w:rPr>
                          <w:t>本期期末数 占总资产的 比例</w:t>
                        </w:r>
                        <w:r>
                          <w:rPr>
                            <w:rFonts w:ascii="宋体" w:hAnsi="宋体" w:cs="宋体" w:eastAsia="宋体" w:hint="default"/>
                            <w:color w:val="D7000F"/>
                            <w:spacing w:val="-34"/>
                            <w:sz w:val="16"/>
                            <w:szCs w:val="16"/>
                          </w:rPr>
                          <w:t> </w:t>
                        </w:r>
                        <w:r>
                          <w:rPr>
                            <w:rFonts w:ascii="宋体" w:hAnsi="宋体" w:cs="宋体" w:eastAsia="宋体" w:hint="default"/>
                            <w:color w:val="D7000F"/>
                            <w:sz w:val="16"/>
                            <w:szCs w:val="16"/>
                          </w:rPr>
                          <w:t>(%)</w:t>
                        </w:r>
                        <w:r>
                          <w:rPr>
                            <w:rFonts w:ascii="宋体" w:hAnsi="宋体" w:cs="宋体" w:eastAsia="宋体" w:hint="default"/>
                            <w:sz w:val="16"/>
                            <w:szCs w:val="16"/>
                          </w:rPr>
                        </w:r>
                      </w:p>
                    </w:tc>
                    <w:tc>
                      <w:tcPr>
                        <w:tcW w:w="1311"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right="102"/>
                          <w:jc w:val="right"/>
                          <w:rPr>
                            <w:rFonts w:ascii="宋体" w:hAnsi="宋体" w:cs="宋体" w:eastAsia="宋体" w:hint="default"/>
                            <w:sz w:val="16"/>
                            <w:szCs w:val="16"/>
                          </w:rPr>
                        </w:pPr>
                        <w:r>
                          <w:rPr>
                            <w:rFonts w:ascii="宋体" w:hAnsi="宋体" w:cs="宋体" w:eastAsia="宋体" w:hint="default"/>
                            <w:sz w:val="16"/>
                            <w:szCs w:val="16"/>
                          </w:rPr>
                          <w:t>上期期末数</w:t>
                        </w:r>
                      </w:p>
                    </w:tc>
                    <w:tc>
                      <w:tcPr>
                        <w:tcW w:w="991" w:type="dxa"/>
                        <w:tcBorders>
                          <w:top w:val="nil" w:sz="6" w:space="0" w:color="auto"/>
                          <w:left w:val="nil" w:sz="6" w:space="0" w:color="auto"/>
                          <w:bottom w:val="single" w:sz="16" w:space="0" w:color="9C8758"/>
                          <w:right w:val="nil" w:sz="6" w:space="0" w:color="auto"/>
                        </w:tcBorders>
                      </w:tcPr>
                      <w:p>
                        <w:pPr>
                          <w:pStyle w:val="TableParagraph"/>
                          <w:spacing w:line="200" w:lineRule="exact" w:before="42"/>
                          <w:ind w:left="104" w:right="84"/>
                          <w:jc w:val="right"/>
                          <w:rPr>
                            <w:rFonts w:ascii="宋体" w:hAnsi="宋体" w:cs="宋体" w:eastAsia="宋体" w:hint="default"/>
                            <w:sz w:val="16"/>
                            <w:szCs w:val="16"/>
                          </w:rPr>
                        </w:pPr>
                        <w:r>
                          <w:rPr>
                            <w:rFonts w:ascii="宋体" w:hAnsi="宋体" w:cs="宋体" w:eastAsia="宋体" w:hint="default"/>
                            <w:sz w:val="16"/>
                            <w:szCs w:val="16"/>
                          </w:rPr>
                          <w:t>上期期末数 占总资产的 比例</w:t>
                        </w:r>
                        <w:r>
                          <w:rPr>
                            <w:rFonts w:ascii="宋体" w:hAnsi="宋体" w:cs="宋体" w:eastAsia="宋体" w:hint="default"/>
                            <w:spacing w:val="-34"/>
                            <w:sz w:val="16"/>
                            <w:szCs w:val="16"/>
                          </w:rPr>
                          <w:t> </w:t>
                        </w:r>
                        <w:r>
                          <w:rPr>
                            <w:rFonts w:ascii="宋体" w:hAnsi="宋体" w:cs="宋体" w:eastAsia="宋体" w:hint="default"/>
                            <w:sz w:val="16"/>
                            <w:szCs w:val="16"/>
                          </w:rPr>
                          <w:t>(%)</w:t>
                        </w:r>
                      </w:p>
                    </w:tc>
                    <w:tc>
                      <w:tcPr>
                        <w:tcW w:w="3570" w:type="dxa"/>
                        <w:tcBorders>
                          <w:top w:val="nil" w:sz="6" w:space="0" w:color="auto"/>
                          <w:left w:val="nil" w:sz="6" w:space="0" w:color="auto"/>
                          <w:bottom w:val="single" w:sz="16" w:space="0" w:color="9C8758"/>
                          <w:right w:val="nil" w:sz="6" w:space="0" w:color="auto"/>
                        </w:tcBorders>
                      </w:tcPr>
                      <w:p>
                        <w:pPr>
                          <w:pStyle w:val="TableParagraph"/>
                          <w:spacing w:line="200" w:lineRule="exact" w:before="42"/>
                          <w:ind w:left="246" w:right="2520" w:hanging="160"/>
                          <w:jc w:val="left"/>
                          <w:rPr>
                            <w:rFonts w:ascii="宋体" w:hAnsi="宋体" w:cs="宋体" w:eastAsia="宋体" w:hint="default"/>
                            <w:sz w:val="16"/>
                            <w:szCs w:val="16"/>
                          </w:rPr>
                        </w:pPr>
                        <w:r>
                          <w:rPr>
                            <w:rFonts w:ascii="宋体" w:hAnsi="宋体" w:cs="宋体" w:eastAsia="宋体" w:hint="default"/>
                            <w:color w:val="D7000F"/>
                            <w:sz w:val="16"/>
                            <w:szCs w:val="16"/>
                          </w:rPr>
                          <w:t>本期期末金额 较上期期末</w:t>
                        </w:r>
                        <w:r>
                          <w:rPr>
                            <w:rFonts w:ascii="宋体" w:hAnsi="宋体" w:cs="宋体" w:eastAsia="宋体" w:hint="default"/>
                            <w:sz w:val="16"/>
                            <w:szCs w:val="16"/>
                          </w:rPr>
                        </w:r>
                      </w:p>
                      <w:p>
                        <w:pPr>
                          <w:pStyle w:val="TableParagraph"/>
                          <w:tabs>
                            <w:tab w:pos="2844" w:val="left" w:leader="none"/>
                          </w:tabs>
                          <w:spacing w:line="183" w:lineRule="exact"/>
                          <w:ind w:left="120" w:right="0"/>
                          <w:jc w:val="left"/>
                          <w:rPr>
                            <w:rFonts w:ascii="宋体" w:hAnsi="宋体" w:cs="宋体" w:eastAsia="宋体" w:hint="default"/>
                            <w:sz w:val="16"/>
                            <w:szCs w:val="16"/>
                          </w:rPr>
                        </w:pPr>
                        <w:r>
                          <w:rPr>
                            <w:rFonts w:ascii="宋体" w:hAnsi="宋体" w:cs="宋体" w:eastAsia="宋体" w:hint="default"/>
                            <w:color w:val="D7000F"/>
                            <w:sz w:val="16"/>
                            <w:szCs w:val="16"/>
                          </w:rPr>
                          <w:t>变动比例</w:t>
                        </w:r>
                        <w:r>
                          <w:rPr>
                            <w:rFonts w:ascii="宋体" w:hAnsi="宋体" w:cs="宋体" w:eastAsia="宋体" w:hint="default"/>
                            <w:color w:val="D7000F"/>
                            <w:spacing w:val="-34"/>
                            <w:sz w:val="16"/>
                            <w:szCs w:val="16"/>
                          </w:rPr>
                          <w:t> </w:t>
                        </w:r>
                        <w:r>
                          <w:rPr>
                            <w:rFonts w:ascii="宋体" w:hAnsi="宋体" w:cs="宋体" w:eastAsia="宋体" w:hint="default"/>
                            <w:color w:val="D7000F"/>
                            <w:sz w:val="16"/>
                            <w:szCs w:val="16"/>
                          </w:rPr>
                          <w:t>(%)</w:t>
                          <w:tab/>
                        </w:r>
                        <w:r>
                          <w:rPr>
                            <w:rFonts w:ascii="宋体" w:hAnsi="宋体" w:cs="宋体" w:eastAsia="宋体" w:hint="default"/>
                            <w:sz w:val="16"/>
                            <w:szCs w:val="16"/>
                          </w:rPr>
                          <w:t>情况说明</w:t>
                        </w:r>
                      </w:p>
                    </w:tc>
                  </w:tr>
                  <w:tr>
                    <w:trPr>
                      <w:trHeight w:val="777" w:hRule="exact"/>
                    </w:trPr>
                    <w:tc>
                      <w:tcPr>
                        <w:tcW w:w="1172" w:type="dxa"/>
                        <w:tcBorders>
                          <w:top w:val="single" w:sz="16" w:space="0" w:color="9C8758"/>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应付职工薪酬</w:t>
                        </w:r>
                      </w:p>
                    </w:tc>
                    <w:tc>
                      <w:tcPr>
                        <w:tcW w:w="1252" w:type="dxa"/>
                        <w:tcBorders>
                          <w:top w:val="single" w:sz="16" w:space="0" w:color="D7000F"/>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16"/>
                            <w:szCs w:val="16"/>
                          </w:rPr>
                        </w:pPr>
                        <w:r>
                          <w:rPr>
                            <w:rFonts w:ascii="宋体"/>
                            <w:color w:val="D7000F"/>
                            <w:w w:val="95"/>
                            <w:sz w:val="16"/>
                          </w:rPr>
                          <w:t>8,263,357,851</w:t>
                        </w:r>
                        <w:r>
                          <w:rPr>
                            <w:rFonts w:ascii="宋体"/>
                            <w:sz w:val="16"/>
                          </w:rPr>
                        </w:r>
                      </w:p>
                    </w:tc>
                    <w:tc>
                      <w:tcPr>
                        <w:tcW w:w="1002" w:type="dxa"/>
                        <w:tcBorders>
                          <w:top w:val="single" w:sz="16" w:space="0" w:color="D7000F"/>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95"/>
                          <w:jc w:val="right"/>
                          <w:rPr>
                            <w:rFonts w:ascii="宋体" w:hAnsi="宋体" w:cs="宋体" w:eastAsia="宋体" w:hint="default"/>
                            <w:sz w:val="16"/>
                            <w:szCs w:val="16"/>
                          </w:rPr>
                        </w:pPr>
                        <w:r>
                          <w:rPr>
                            <w:rFonts w:ascii="宋体"/>
                            <w:color w:val="D7000F"/>
                            <w:w w:val="115"/>
                            <w:sz w:val="16"/>
                          </w:rPr>
                          <w:t>1.5%</w:t>
                        </w:r>
                        <w:r>
                          <w:rPr>
                            <w:rFonts w:ascii="宋体"/>
                            <w:sz w:val="16"/>
                          </w:rPr>
                        </w:r>
                      </w:p>
                    </w:tc>
                    <w:tc>
                      <w:tcPr>
                        <w:tcW w:w="1311" w:type="dxa"/>
                        <w:tcBorders>
                          <w:top w:val="single" w:sz="16" w:space="0" w:color="9C8758"/>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102"/>
                          <w:jc w:val="right"/>
                          <w:rPr>
                            <w:rFonts w:ascii="宋体" w:hAnsi="宋体" w:cs="宋体" w:eastAsia="宋体" w:hint="default"/>
                            <w:sz w:val="16"/>
                            <w:szCs w:val="16"/>
                          </w:rPr>
                        </w:pPr>
                        <w:r>
                          <w:rPr>
                            <w:rFonts w:ascii="宋体"/>
                            <w:w w:val="95"/>
                            <w:sz w:val="16"/>
                          </w:rPr>
                          <w:t>5,935,674,406</w:t>
                        </w:r>
                        <w:r>
                          <w:rPr>
                            <w:rFonts w:ascii="宋体"/>
                            <w:sz w:val="16"/>
                          </w:rPr>
                        </w:r>
                      </w:p>
                    </w:tc>
                    <w:tc>
                      <w:tcPr>
                        <w:tcW w:w="991" w:type="dxa"/>
                        <w:tcBorders>
                          <w:top w:val="single" w:sz="16" w:space="0" w:color="9C8758"/>
                          <w:left w:val="nil" w:sz="6" w:space="0" w:color="auto"/>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22"/>
                            <w:szCs w:val="22"/>
                          </w:rPr>
                        </w:pPr>
                      </w:p>
                      <w:p>
                        <w:pPr>
                          <w:pStyle w:val="TableParagraph"/>
                          <w:spacing w:line="240" w:lineRule="auto"/>
                          <w:ind w:right="85"/>
                          <w:jc w:val="right"/>
                          <w:rPr>
                            <w:rFonts w:ascii="宋体" w:hAnsi="宋体" w:cs="宋体" w:eastAsia="宋体" w:hint="default"/>
                            <w:sz w:val="16"/>
                            <w:szCs w:val="16"/>
                          </w:rPr>
                        </w:pPr>
                        <w:r>
                          <w:rPr>
                            <w:rFonts w:ascii="宋体"/>
                            <w:w w:val="115"/>
                            <w:sz w:val="16"/>
                          </w:rPr>
                          <w:t>1.0%</w:t>
                        </w:r>
                        <w:r>
                          <w:rPr>
                            <w:rFonts w:ascii="宋体"/>
                            <w:sz w:val="16"/>
                          </w:rPr>
                        </w:r>
                      </w:p>
                    </w:tc>
                    <w:tc>
                      <w:tcPr>
                        <w:tcW w:w="3570" w:type="dxa"/>
                        <w:tcBorders>
                          <w:top w:val="single" w:sz="16" w:space="0" w:color="9C8758"/>
                          <w:left w:val="nil" w:sz="6" w:space="0" w:color="auto"/>
                          <w:bottom w:val="nil" w:sz="6" w:space="0" w:color="auto"/>
                          <w:right w:val="nil" w:sz="6" w:space="0" w:color="auto"/>
                        </w:tcBorders>
                      </w:tcPr>
                      <w:p>
                        <w:pPr>
                          <w:pStyle w:val="TableParagraph"/>
                          <w:spacing w:line="200" w:lineRule="exact" w:before="127"/>
                          <w:ind w:left="576" w:right="110" w:firstLine="640"/>
                          <w:jc w:val="left"/>
                          <w:rPr>
                            <w:rFonts w:ascii="宋体" w:hAnsi="宋体" w:cs="宋体" w:eastAsia="宋体" w:hint="default"/>
                            <w:sz w:val="16"/>
                            <w:szCs w:val="16"/>
                          </w:rPr>
                        </w:pPr>
                        <w:r>
                          <w:rPr>
                            <w:rFonts w:ascii="宋体" w:hAnsi="宋体" w:cs="宋体" w:eastAsia="宋体" w:hint="default"/>
                            <w:sz w:val="16"/>
                            <w:szCs w:val="16"/>
                          </w:rPr>
                          <w:t>主要由于全面实施了增量收益分 </w:t>
                        </w:r>
                        <w:r>
                          <w:rPr>
                            <w:rFonts w:ascii="宋体" w:hAnsi="宋体" w:cs="宋体" w:eastAsia="宋体" w:hint="default"/>
                            <w:color w:val="D7000F"/>
                            <w:w w:val="105"/>
                            <w:sz w:val="16"/>
                            <w:szCs w:val="16"/>
                          </w:rPr>
                          <w:t>39.2%</w:t>
                        </w:r>
                        <w:r>
                          <w:rPr>
                            <w:rFonts w:ascii="宋体" w:hAnsi="宋体" w:cs="宋体" w:eastAsia="宋体" w:hint="default"/>
                            <w:color w:val="D7000F"/>
                            <w:spacing w:val="23"/>
                            <w:w w:val="105"/>
                            <w:sz w:val="16"/>
                            <w:szCs w:val="16"/>
                          </w:rPr>
                          <w:t> </w:t>
                        </w:r>
                        <w:r>
                          <w:rPr>
                            <w:rFonts w:ascii="宋体" w:hAnsi="宋体" w:cs="宋体" w:eastAsia="宋体" w:hint="default"/>
                            <w:w w:val="105"/>
                            <w:sz w:val="16"/>
                            <w:szCs w:val="16"/>
                          </w:rPr>
                          <w:t>享机制计提待发放的薪酬及提高</w:t>
                        </w:r>
                      </w:p>
                      <w:p>
                        <w:pPr>
                          <w:pStyle w:val="TableParagraph"/>
                          <w:spacing w:line="183" w:lineRule="exact"/>
                          <w:ind w:left="1216" w:right="0"/>
                          <w:jc w:val="left"/>
                          <w:rPr>
                            <w:rFonts w:ascii="宋体" w:hAnsi="宋体" w:cs="宋体" w:eastAsia="宋体" w:hint="default"/>
                            <w:sz w:val="16"/>
                            <w:szCs w:val="16"/>
                          </w:rPr>
                        </w:pPr>
                        <w:r>
                          <w:rPr>
                            <w:rFonts w:ascii="宋体" w:hAnsi="宋体" w:cs="宋体" w:eastAsia="宋体" w:hint="default"/>
                            <w:sz w:val="16"/>
                            <w:szCs w:val="16"/>
                          </w:rPr>
                          <w:t>企业年金计提比例所致。</w:t>
                        </w:r>
                      </w:p>
                    </w:tc>
                  </w:tr>
                  <w:tr>
                    <w:trPr>
                      <w:trHeight w:val="530"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84"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color w:val="D7000F"/>
                            <w:w w:val="95"/>
                            <w:sz w:val="16"/>
                          </w:rPr>
                          <w:t>3,397,762,622</w:t>
                        </w:r>
                        <w:r>
                          <w:rPr>
                            <w:rFonts w:ascii="宋体"/>
                            <w:sz w:val="16"/>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95"/>
                          <w:jc w:val="right"/>
                          <w:rPr>
                            <w:rFonts w:ascii="宋体" w:hAnsi="宋体" w:cs="宋体" w:eastAsia="宋体" w:hint="default"/>
                            <w:sz w:val="16"/>
                            <w:szCs w:val="16"/>
                          </w:rPr>
                        </w:pPr>
                        <w:r>
                          <w:rPr>
                            <w:rFonts w:ascii="宋体"/>
                            <w:color w:val="D7000F"/>
                            <w:w w:val="115"/>
                            <w:sz w:val="16"/>
                          </w:rPr>
                          <w:t>0.6%</w:t>
                        </w:r>
                        <w:r>
                          <w:rPr>
                            <w:rFonts w:ascii="宋体"/>
                            <w:sz w:val="16"/>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102"/>
                          <w:jc w:val="right"/>
                          <w:rPr>
                            <w:rFonts w:ascii="宋体" w:hAnsi="宋体" w:cs="宋体" w:eastAsia="宋体" w:hint="default"/>
                            <w:sz w:val="16"/>
                            <w:szCs w:val="16"/>
                          </w:rPr>
                        </w:pPr>
                        <w:r>
                          <w:rPr>
                            <w:rFonts w:ascii="宋体"/>
                            <w:w w:val="95"/>
                            <w:sz w:val="16"/>
                          </w:rPr>
                          <w:t>8,990,833,333</w:t>
                        </w:r>
                        <w:r>
                          <w:rPr>
                            <w:rFonts w:ascii="宋体"/>
                            <w:sz w:val="16"/>
                          </w:rPr>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right="85"/>
                          <w:jc w:val="right"/>
                          <w:rPr>
                            <w:rFonts w:ascii="宋体" w:hAnsi="宋体" w:cs="宋体" w:eastAsia="宋体" w:hint="default"/>
                            <w:sz w:val="16"/>
                            <w:szCs w:val="16"/>
                          </w:rPr>
                        </w:pPr>
                        <w:r>
                          <w:rPr>
                            <w:rFonts w:ascii="宋体"/>
                            <w:w w:val="115"/>
                            <w:sz w:val="16"/>
                          </w:rPr>
                          <w:t>1.6%</w:t>
                        </w:r>
                        <w:r>
                          <w:rPr>
                            <w:rFonts w:ascii="宋体"/>
                            <w:sz w:val="16"/>
                          </w:rPr>
                        </w:r>
                      </w:p>
                    </w:tc>
                    <w:tc>
                      <w:tcPr>
                        <w:tcW w:w="3570"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10"/>
                          <w:jc w:val="right"/>
                          <w:rPr>
                            <w:rFonts w:ascii="宋体" w:hAnsi="宋体" w:cs="宋体" w:eastAsia="宋体" w:hint="default"/>
                            <w:sz w:val="16"/>
                            <w:szCs w:val="16"/>
                          </w:rPr>
                        </w:pPr>
                        <w:r>
                          <w:rPr>
                            <w:rFonts w:ascii="宋体" w:hAnsi="宋体" w:cs="宋体" w:eastAsia="宋体" w:hint="default"/>
                            <w:color w:val="D7000F"/>
                            <w:w w:val="105"/>
                            <w:position w:val="-9"/>
                            <w:sz w:val="16"/>
                            <w:szCs w:val="16"/>
                          </w:rPr>
                          <w:t>-62.2%</w:t>
                        </w:r>
                        <w:r>
                          <w:rPr>
                            <w:rFonts w:ascii="宋体" w:hAnsi="宋体" w:cs="宋体" w:eastAsia="宋体" w:hint="default"/>
                            <w:color w:val="D7000F"/>
                            <w:spacing w:val="45"/>
                            <w:w w:val="105"/>
                            <w:position w:val="-9"/>
                            <w:sz w:val="16"/>
                            <w:szCs w:val="16"/>
                          </w:rPr>
                          <w:t> </w:t>
                        </w:r>
                        <w:r>
                          <w:rPr>
                            <w:rFonts w:ascii="宋体" w:hAnsi="宋体" w:cs="宋体" w:eastAsia="宋体" w:hint="default"/>
                            <w:w w:val="105"/>
                            <w:sz w:val="16"/>
                            <w:szCs w:val="16"/>
                          </w:rPr>
                          <w:t>主要由于本期偿还超短期融资券</w:t>
                        </w:r>
                      </w:p>
                    </w:tc>
                  </w:tr>
                  <w:tr>
                    <w:trPr>
                      <w:trHeight w:val="430"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73"/>
                          <w:ind w:left="84"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2"/>
                          <w:jc w:val="right"/>
                          <w:rPr>
                            <w:rFonts w:ascii="宋体" w:hAnsi="宋体" w:cs="宋体" w:eastAsia="宋体" w:hint="default"/>
                            <w:sz w:val="16"/>
                            <w:szCs w:val="16"/>
                          </w:rPr>
                        </w:pPr>
                        <w:r>
                          <w:rPr>
                            <w:rFonts w:ascii="宋体"/>
                            <w:color w:val="D7000F"/>
                            <w:sz w:val="16"/>
                          </w:rPr>
                          <w:t>998,985,859</w:t>
                        </w:r>
                        <w:r>
                          <w:rPr>
                            <w:rFonts w:ascii="宋体"/>
                            <w:sz w:val="16"/>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5"/>
                          <w:jc w:val="right"/>
                          <w:rPr>
                            <w:rFonts w:ascii="宋体" w:hAnsi="宋体" w:cs="宋体" w:eastAsia="宋体" w:hint="default"/>
                            <w:sz w:val="16"/>
                            <w:szCs w:val="16"/>
                          </w:rPr>
                        </w:pPr>
                        <w:r>
                          <w:rPr>
                            <w:rFonts w:ascii="宋体"/>
                            <w:color w:val="D7000F"/>
                            <w:w w:val="115"/>
                            <w:sz w:val="16"/>
                          </w:rPr>
                          <w:t>0.2%</w:t>
                        </w:r>
                        <w:r>
                          <w:rPr>
                            <w:rFonts w:ascii="宋体"/>
                            <w:sz w:val="16"/>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2"/>
                          <w:jc w:val="right"/>
                          <w:rPr>
                            <w:rFonts w:ascii="宋体" w:hAnsi="宋体" w:cs="宋体" w:eastAsia="宋体" w:hint="default"/>
                            <w:sz w:val="16"/>
                            <w:szCs w:val="16"/>
                          </w:rPr>
                        </w:pPr>
                        <w:r>
                          <w:rPr>
                            <w:rFonts w:ascii="宋体"/>
                            <w:w w:val="95"/>
                            <w:sz w:val="16"/>
                          </w:rPr>
                          <w:t>17,981,334,362</w:t>
                        </w:r>
                        <w:r>
                          <w:rPr>
                            <w:rFonts w:ascii="宋体"/>
                            <w:sz w:val="16"/>
                          </w:rPr>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85"/>
                          <w:jc w:val="right"/>
                          <w:rPr>
                            <w:rFonts w:ascii="宋体" w:hAnsi="宋体" w:cs="宋体" w:eastAsia="宋体" w:hint="default"/>
                            <w:sz w:val="16"/>
                            <w:szCs w:val="16"/>
                          </w:rPr>
                        </w:pPr>
                        <w:r>
                          <w:rPr>
                            <w:rFonts w:ascii="宋体"/>
                            <w:w w:val="115"/>
                            <w:sz w:val="16"/>
                          </w:rPr>
                          <w:t>3.1%</w:t>
                        </w:r>
                        <w:r>
                          <w:rPr>
                            <w:rFonts w:ascii="宋体"/>
                            <w:sz w:val="16"/>
                          </w:rPr>
                        </w:r>
                      </w:p>
                    </w:tc>
                    <w:tc>
                      <w:tcPr>
                        <w:tcW w:w="3570"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46"/>
                          <w:jc w:val="right"/>
                          <w:rPr>
                            <w:rFonts w:ascii="宋体" w:hAnsi="宋体" w:cs="宋体" w:eastAsia="宋体" w:hint="default"/>
                            <w:sz w:val="16"/>
                            <w:szCs w:val="16"/>
                          </w:rPr>
                        </w:pPr>
                        <w:r>
                          <w:rPr>
                            <w:rFonts w:ascii="宋体" w:hAnsi="宋体" w:cs="宋体" w:eastAsia="宋体" w:hint="default"/>
                            <w:color w:val="D7000F"/>
                            <w:w w:val="105"/>
                            <w:sz w:val="16"/>
                            <w:szCs w:val="16"/>
                          </w:rPr>
                          <w:t>-94.4%</w:t>
                        </w:r>
                        <w:r>
                          <w:rPr>
                            <w:rFonts w:ascii="宋体" w:hAnsi="宋体" w:cs="宋体" w:eastAsia="宋体" w:hint="default"/>
                            <w:color w:val="D7000F"/>
                            <w:spacing w:val="37"/>
                            <w:w w:val="105"/>
                            <w:sz w:val="16"/>
                            <w:szCs w:val="16"/>
                          </w:rPr>
                          <w:t> </w:t>
                        </w:r>
                        <w:r>
                          <w:rPr>
                            <w:rFonts w:ascii="宋体" w:hAnsi="宋体" w:cs="宋体" w:eastAsia="宋体" w:hint="default"/>
                            <w:spacing w:val="-7"/>
                            <w:w w:val="105"/>
                            <w:sz w:val="16"/>
                            <w:szCs w:val="16"/>
                          </w:rPr>
                          <w:t>主要由于本期偿还中期票据所致。</w:t>
                        </w:r>
                        <w:r>
                          <w:rPr>
                            <w:rFonts w:ascii="宋体" w:hAnsi="宋体" w:cs="宋体" w:eastAsia="宋体" w:hint="default"/>
                            <w:w w:val="105"/>
                            <w:sz w:val="16"/>
                            <w:szCs w:val="16"/>
                          </w:rPr>
                        </w:r>
                      </w:p>
                    </w:tc>
                  </w:tr>
                  <w:tr>
                    <w:trPr>
                      <w:trHeight w:val="295" w:hRule="exact"/>
                    </w:trPr>
                    <w:tc>
                      <w:tcPr>
                        <w:tcW w:w="1172" w:type="dxa"/>
                        <w:tcBorders>
                          <w:top w:val="nil" w:sz="6" w:space="0" w:color="auto"/>
                          <w:left w:val="nil" w:sz="6" w:space="0" w:color="auto"/>
                          <w:bottom w:val="nil" w:sz="6" w:space="0" w:color="auto"/>
                          <w:right w:val="nil" w:sz="6" w:space="0" w:color="auto"/>
                        </w:tcBorders>
                      </w:tcPr>
                      <w:p>
                        <w:pPr>
                          <w:pStyle w:val="TableParagraph"/>
                          <w:spacing w:line="240" w:lineRule="auto" w:before="73"/>
                          <w:ind w:left="85"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125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2"/>
                          <w:jc w:val="right"/>
                          <w:rPr>
                            <w:rFonts w:ascii="宋体" w:hAnsi="宋体" w:cs="宋体" w:eastAsia="宋体" w:hint="default"/>
                            <w:sz w:val="16"/>
                            <w:szCs w:val="16"/>
                          </w:rPr>
                        </w:pPr>
                        <w:r>
                          <w:rPr>
                            <w:rFonts w:ascii="宋体"/>
                            <w:color w:val="D7000F"/>
                            <w:w w:val="95"/>
                            <w:sz w:val="16"/>
                          </w:rPr>
                          <w:t>3,055,491,131</w:t>
                        </w:r>
                        <w:r>
                          <w:rPr>
                            <w:rFonts w:ascii="宋体"/>
                            <w:sz w:val="16"/>
                          </w:rPr>
                        </w:r>
                      </w:p>
                    </w:tc>
                    <w:tc>
                      <w:tcPr>
                        <w:tcW w:w="1002"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95"/>
                          <w:jc w:val="right"/>
                          <w:rPr>
                            <w:rFonts w:ascii="宋体" w:hAnsi="宋体" w:cs="宋体" w:eastAsia="宋体" w:hint="default"/>
                            <w:sz w:val="16"/>
                            <w:szCs w:val="16"/>
                          </w:rPr>
                        </w:pPr>
                        <w:r>
                          <w:rPr>
                            <w:rFonts w:ascii="宋体"/>
                            <w:color w:val="D7000F"/>
                            <w:w w:val="115"/>
                            <w:sz w:val="16"/>
                          </w:rPr>
                          <w:t>0.6%</w:t>
                        </w:r>
                        <w:r>
                          <w:rPr>
                            <w:rFonts w:ascii="宋体"/>
                            <w:sz w:val="16"/>
                          </w:rPr>
                        </w:r>
                      </w:p>
                    </w:tc>
                    <w:tc>
                      <w:tcPr>
                        <w:tcW w:w="131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02"/>
                          <w:jc w:val="right"/>
                          <w:rPr>
                            <w:rFonts w:ascii="宋体" w:hAnsi="宋体" w:cs="宋体" w:eastAsia="宋体" w:hint="default"/>
                            <w:sz w:val="16"/>
                            <w:szCs w:val="16"/>
                          </w:rPr>
                        </w:pPr>
                        <w:r>
                          <w:rPr>
                            <w:rFonts w:ascii="宋体"/>
                            <w:sz w:val="16"/>
                          </w:rPr>
                          <w:t>321,520,929</w:t>
                        </w:r>
                      </w:p>
                    </w:tc>
                    <w:tc>
                      <w:tcPr>
                        <w:tcW w:w="991"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85"/>
                          <w:jc w:val="right"/>
                          <w:rPr>
                            <w:rFonts w:ascii="宋体" w:hAnsi="宋体" w:cs="宋体" w:eastAsia="宋体" w:hint="default"/>
                            <w:sz w:val="16"/>
                            <w:szCs w:val="16"/>
                          </w:rPr>
                        </w:pPr>
                        <w:r>
                          <w:rPr>
                            <w:rFonts w:ascii="宋体"/>
                            <w:w w:val="115"/>
                            <w:sz w:val="16"/>
                          </w:rPr>
                          <w:t>0.1%</w:t>
                        </w:r>
                        <w:r>
                          <w:rPr>
                            <w:rFonts w:ascii="宋体"/>
                            <w:sz w:val="16"/>
                          </w:rPr>
                        </w:r>
                      </w:p>
                    </w:tc>
                    <w:tc>
                      <w:tcPr>
                        <w:tcW w:w="3570" w:type="dxa"/>
                        <w:tcBorders>
                          <w:top w:val="nil" w:sz="6" w:space="0" w:color="auto"/>
                          <w:left w:val="nil" w:sz="6" w:space="0" w:color="auto"/>
                          <w:bottom w:val="nil" w:sz="6" w:space="0" w:color="auto"/>
                          <w:right w:val="nil" w:sz="6" w:space="0" w:color="auto"/>
                        </w:tcBorders>
                      </w:tcPr>
                      <w:p>
                        <w:pPr>
                          <w:pStyle w:val="TableParagraph"/>
                          <w:spacing w:line="283" w:lineRule="exact"/>
                          <w:ind w:right="110"/>
                          <w:jc w:val="right"/>
                          <w:rPr>
                            <w:rFonts w:ascii="宋体" w:hAnsi="宋体" w:cs="宋体" w:eastAsia="宋体" w:hint="default"/>
                            <w:sz w:val="16"/>
                            <w:szCs w:val="16"/>
                          </w:rPr>
                        </w:pPr>
                        <w:r>
                          <w:rPr>
                            <w:rFonts w:ascii="宋体" w:hAnsi="宋体" w:cs="宋体" w:eastAsia="宋体" w:hint="default"/>
                            <w:color w:val="D7000F"/>
                            <w:w w:val="105"/>
                            <w:position w:val="-9"/>
                            <w:sz w:val="16"/>
                            <w:szCs w:val="16"/>
                          </w:rPr>
                          <w:t>850.3%</w:t>
                        </w:r>
                        <w:r>
                          <w:rPr>
                            <w:rFonts w:ascii="宋体" w:hAnsi="宋体" w:cs="宋体" w:eastAsia="宋体" w:hint="default"/>
                            <w:color w:val="D7000F"/>
                            <w:spacing w:val="28"/>
                            <w:w w:val="105"/>
                            <w:position w:val="-9"/>
                            <w:sz w:val="16"/>
                            <w:szCs w:val="16"/>
                          </w:rPr>
                          <w:t> </w:t>
                        </w:r>
                        <w:r>
                          <w:rPr>
                            <w:rFonts w:ascii="宋体" w:hAnsi="宋体" w:cs="宋体" w:eastAsia="宋体" w:hint="default"/>
                            <w:w w:val="105"/>
                            <w:sz w:val="16"/>
                            <w:szCs w:val="16"/>
                          </w:rPr>
                          <w:t>主要由于限制性股票回购义务确</w:t>
                        </w:r>
                      </w:p>
                    </w:tc>
                  </w:tr>
                </w:tbl>
                <w:p>
                  <w:pPr/>
                </w:p>
              </w:txbxContent>
            </v:textbox>
            <w10:wrap type="none"/>
          </v:shape>
        </w:pict>
      </w:r>
      <w:r>
        <w:rPr>
          <w:rFonts w:ascii="宋体" w:hAnsi="宋体" w:cs="宋体" w:eastAsia="宋体" w:hint="default"/>
          <w:sz w:val="16"/>
          <w:szCs w:val="16"/>
        </w:rPr>
        <w:t>所致。</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6"/>
          <w:szCs w:val="26"/>
        </w:rPr>
      </w:pPr>
    </w:p>
    <w:p>
      <w:pPr>
        <w:spacing w:before="38"/>
        <w:ind w:left="7435" w:right="1314" w:firstLine="0"/>
        <w:jc w:val="left"/>
        <w:rPr>
          <w:rFonts w:ascii="宋体" w:hAnsi="宋体" w:cs="宋体" w:eastAsia="宋体" w:hint="default"/>
          <w:sz w:val="16"/>
          <w:szCs w:val="16"/>
        </w:rPr>
      </w:pPr>
      <w:r>
        <w:rPr>
          <w:rFonts w:ascii="宋体" w:hAnsi="宋体" w:cs="宋体" w:eastAsia="宋体" w:hint="default"/>
          <w:sz w:val="16"/>
          <w:szCs w:val="16"/>
        </w:rPr>
        <w:t>认负债所致。</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spacing w:after="0" w:line="240" w:lineRule="auto"/>
        <w:rPr>
          <w:rFonts w:ascii="宋体" w:hAnsi="宋体" w:cs="宋体" w:eastAsia="宋体" w:hint="default"/>
          <w:sz w:val="21"/>
          <w:szCs w:val="21"/>
        </w:rPr>
        <w:sectPr>
          <w:type w:val="continuous"/>
          <w:pgSz w:w="11910" w:h="16160"/>
          <w:pgMar w:top="1520" w:bottom="280" w:left="700" w:right="0"/>
        </w:sectPr>
      </w:pPr>
    </w:p>
    <w:p>
      <w:pPr>
        <w:tabs>
          <w:tab w:pos="5277" w:val="left" w:leader="none"/>
        </w:tabs>
        <w:spacing w:before="61"/>
        <w:ind w:left="114" w:right="0" w:firstLine="0"/>
        <w:jc w:val="left"/>
        <w:rPr>
          <w:rFonts w:ascii="宋体" w:hAnsi="宋体" w:cs="宋体" w:eastAsia="宋体" w:hint="default"/>
          <w:sz w:val="16"/>
          <w:szCs w:val="16"/>
        </w:rPr>
      </w:pPr>
      <w:r>
        <w:rPr/>
        <w:pict>
          <v:group style="position:absolute;margin-left:-.5pt;margin-top:119.055023pt;width:596.3pt;height:689.35pt;mso-position-horizontal-relative:page;mso-position-vertical-relative:page;z-index:-966544" coordorigin="-10,2381" coordsize="11926,13787">
            <v:shape style="position:absolute;left:9259;top:6539;width:340;height:340" type="#_x0000_t75" stroked="false">
              <v:imagedata r:id="rId85" o:title=""/>
            </v:shape>
            <v:group style="position:absolute;left:5621;top:6695;width:3823;height:4059" coordorigin="5621,6695" coordsize="3823,4059">
              <v:shape style="position:absolute;left:5621;top:6695;width:3823;height:4059" coordorigin="5621,6695" coordsize="3823,4059" path="m9443,6695l5621,10753e" filled="false" stroked="true" strokeweight="1pt" strokecolor="#9c8758">
                <v:path arrowok="t"/>
              </v:shape>
            </v:group>
            <v:group style="position:absolute;left:0;top:2500;width:7159;height:7304" coordorigin="0,2500" coordsize="7159,7304">
              <v:shape style="position:absolute;left:0;top:2500;width:7159;height:7304" coordorigin="0,2500" coordsize="7159,7304" path="m337,9804l0,9804,0,6187,3444,2500,7159,2500,337,9804xe" filled="true" fillcolor="#8e9090" stroked="false">
                <v:path arrowok="t"/>
                <v:fill type="solid"/>
              </v:shape>
            </v:group>
            <v:group style="position:absolute;left:6181;top:9987;width:5725;height:6171" coordorigin="6181,9987" coordsize="5725,6171">
              <v:shape style="position:absolute;left:6181;top:9987;width:5725;height:6171" coordorigin="6181,9987" coordsize="5725,6171" path="m11906,16157l6181,16157,11906,9987,11906,16157xe" filled="true" fillcolor="#8e9090" stroked="false">
                <v:path arrowok="t"/>
                <v:fill type="solid"/>
              </v:shape>
            </v:group>
            <v:group style="position:absolute;left:6816;top:10672;width:5090;height:5486" coordorigin="6816,10672" coordsize="5090,5486">
              <v:shape style="position:absolute;left:6816;top:10672;width:5090;height:5486" coordorigin="6816,10672" coordsize="5090,5486" path="m11906,16157l6816,16157,11906,10672,11906,16157xe" filled="true" fillcolor="#d7000f" stroked="false">
                <v:path arrowok="t"/>
                <v:fill type="solid"/>
              </v:shape>
              <v:shape style="position:absolute;left:2072;top:2665;width:340;height:340" type="#_x0000_t75" stroked="false">
                <v:imagedata r:id="rId86" o:title=""/>
              </v:shape>
            </v:group>
            <v:group style="position:absolute;left:0;top:2778;width:2299;height:2474" coordorigin="0,2778" coordsize="2299,2474">
              <v:shape style="position:absolute;left:0;top:2778;width:2299;height:2474" coordorigin="0,2778" coordsize="2299,2474" path="m2298,2778l0,5252e" filled="false" stroked="true" strokeweight="1pt" strokecolor="#000000">
                <v:path arrowok="t"/>
              </v:shape>
            </v:group>
            <v:group style="position:absolute;left:0;top:12410;width:434;height:447" coordorigin="0,12410" coordsize="434,447">
              <v:shape style="position:absolute;left:0;top:12410;width:434;height:447" coordorigin="0,12410" coordsize="434,447" path="m433,12410l0,12857e" filled="false" stroked="true" strokeweight="1pt" strokecolor="#8e9090">
                <v:path arrowok="t"/>
              </v:shape>
              <v:shape style="position:absolute;left:298;top:12307;width:241;height:241" type="#_x0000_t75" stroked="false">
                <v:imagedata r:id="rId87" o:title=""/>
              </v:shape>
            </v:group>
            <v:group style="position:absolute;left:4935;top:12190;width:3851;height:3968" coordorigin="4935,12190" coordsize="3851,3968">
              <v:shape style="position:absolute;left:4935;top:12190;width:3851;height:3968" coordorigin="4935,12190" coordsize="3851,3968" path="m8785,12190l4935,16157e" filled="false" stroked="true" strokeweight="1pt" strokecolor="#8e9090">
                <v:path arrowok="t"/>
              </v:shape>
              <v:shape style="position:absolute;left:8634;top:12076;width:268;height:268" type="#_x0000_t75" stroked="false">
                <v:imagedata r:id="rId88" o:title=""/>
              </v:shape>
            </v:group>
            <v:group style="position:absolute;left:8600;top:13607;width:2475;height:2551" coordorigin="8600,13607" coordsize="2475,2551">
              <v:shape style="position:absolute;left:8600;top:13607;width:2475;height:2551" coordorigin="8600,13607" coordsize="2475,2551" path="m11075,13607l8600,16157e" filled="false" stroked="true" strokeweight="1pt" strokecolor="#d7000f">
                <v:path arrowok="t"/>
              </v:shape>
              <v:shape style="position:absolute;left:10923;top:13493;width:268;height:268" type="#_x0000_t75" stroked="false">
                <v:imagedata r:id="rId89" o:title=""/>
              </v:shape>
            </v:group>
            <v:group style="position:absolute;left:2349;top:8171;width:7527;height:7987" coordorigin="2349,8171" coordsize="7527,7987">
              <v:shape style="position:absolute;left:2349;top:8171;width:7527;height:7987" coordorigin="2349,8171" coordsize="7527,7987" path="m9876,8171l2349,16157e" filled="false" stroked="true" strokeweight="1pt" strokecolor="#000000">
                <v:path arrowok="t"/>
              </v:shape>
              <v:shape style="position:absolute;left:11425;top:3255;width:491;height:500" type="#_x0000_t75" stroked="false">
                <v:imagedata r:id="rId90" o:title=""/>
              </v:shape>
            </v:group>
            <v:group style="position:absolute;left:6123;top:8308;width:5783;height:7850" coordorigin="6123,8308" coordsize="5783,7850">
              <v:shape style="position:absolute;left:6123;top:8308;width:5783;height:7850" coordorigin="6123,8308" coordsize="5783,7850" path="m11906,16157l11906,8308,6123,8308,6123,16157,11906,16157xe" filled="true" fillcolor="#ffffff" stroked="false">
                <v:path arrowok="t"/>
                <v:fill type="solid"/>
              </v:shape>
            </v:group>
            <v:group style="position:absolute;left:0;top:2381;width:10656;height:12867" coordorigin="0,2381" coordsize="10656,12867">
              <v:shape style="position:absolute;left:0;top:2381;width:10656;height:12867" coordorigin="0,2381" coordsize="10656,12867" path="m0,2381l0,15248,10655,15248,10655,2381,0,2381xe" filled="true" fillcolor="#ffffff" stroked="false">
                <v:path arrowok="t"/>
                <v:fill type="solid"/>
              </v:shape>
            </v:group>
            <v:group style="position:absolute;left:1417;top:5104;width:2949;height:2" coordorigin="1417,5104" coordsize="2949,2">
              <v:shape style="position:absolute;left:1417;top:5104;width:2949;height:2" coordorigin="1417,5104" coordsize="2949,0" path="m1417,5104l4365,5104e" filled="false" stroked="true" strokeweight=".5pt" strokecolor="#000000">
                <v:path arrowok="t"/>
              </v:shape>
            </v:group>
            <v:group style="position:absolute;left:4365;top:5104;width:2041;height:2" coordorigin="4365,5104" coordsize="2041,2">
              <v:shape style="position:absolute;left:4365;top:5104;width:2041;height:2" coordorigin="4365,5104" coordsize="2041,0" path="m4365,5104l6406,5104e" filled="false" stroked="true" strokeweight=".5pt" strokecolor="#d7000f">
                <v:path arrowok="t"/>
              </v:shape>
            </v:group>
            <v:group style="position:absolute;left:6406;top:5104;width:2041;height:2" coordorigin="6406,5104" coordsize="2041,2">
              <v:shape style="position:absolute;left:6406;top:5104;width:2041;height:2" coordorigin="6406,5104" coordsize="2041,0" path="m6406,5104l8447,5104e" filled="false" stroked="true" strokeweight=".5pt" strokecolor="#000000">
                <v:path arrowok="t"/>
              </v:shape>
            </v:group>
            <v:group style="position:absolute;left:8447;top:5104;width:2041;height:2" coordorigin="8447,5104" coordsize="2041,2">
              <v:shape style="position:absolute;left:8447;top:5104;width:2041;height:2" coordorigin="8447,5104" coordsize="2041,0" path="m8447,5104l10488,5104e" filled="false" stroked="true" strokeweight=".5pt" strokecolor="#000000">
                <v:path arrowok="t"/>
              </v:shape>
            </v:group>
            <v:group style="position:absolute;left:1417;top:7489;width:4876;height:2" coordorigin="1417,7489" coordsize="4876,2">
              <v:shape style="position:absolute;left:1417;top:7489;width:4876;height:2" coordorigin="1417,7489" coordsize="4876,0" path="m1417,7489l6293,7489e" filled="false" stroked="true" strokeweight="2pt" strokecolor="#9c8758">
                <v:path arrowok="t"/>
              </v:shape>
            </v:group>
            <v:group style="position:absolute;left:6293;top:7489;width:4182;height:2" coordorigin="6293,7489" coordsize="4182,2">
              <v:shape style="position:absolute;left:6293;top:7489;width:4182;height:2" coordorigin="6293,7489" coordsize="4182,0" path="m6293,7489l10474,7489e" filled="false" stroked="true" strokeweight="2pt" strokecolor="#9c8758">
                <v:path arrowok="t"/>
              </v:shape>
            </v:group>
            <v:group style="position:absolute;left:1417;top:9551;width:4876;height:2" coordorigin="1417,9551" coordsize="4876,2">
              <v:shape style="position:absolute;left:1417;top:9551;width:4876;height:2" coordorigin="1417,9551" coordsize="4876,0" path="m1417,9551l6293,9551e" filled="false" stroked="true" strokeweight=".5pt" strokecolor="#000000">
                <v:path arrowok="t"/>
              </v:shape>
            </v:group>
            <v:group style="position:absolute;left:6293;top:9551;width:4182;height:2" coordorigin="6293,9551" coordsize="4182,2">
              <v:shape style="position:absolute;left:6293;top:9551;width:4182;height:2" coordorigin="6293,9551" coordsize="4182,0" path="m6293,9551l10474,9551e" filled="false" stroked="true" strokeweight=".5pt" strokecolor="#000000">
                <v:path arrowok="t"/>
              </v:shape>
            </v:group>
            <v:group style="position:absolute;left:1191;top:14890;width:1152;height:2" coordorigin="1191,14890" coordsize="1152,2">
              <v:shape style="position:absolute;left:1191;top:14890;width:1152;height:2" coordorigin="1191,14890" coordsize="1152,0" path="m1191,14890l2342,14890e" filled="false" stroked="true" strokeweight=".5pt" strokecolor="#000000">
                <v:path arrowok="t"/>
              </v:shape>
            </v:group>
            <v:group style="position:absolute;left:2342;top:14890;width:1252;height:2" coordorigin="2342,14890" coordsize="1252,2">
              <v:shape style="position:absolute;left:2342;top:14890;width:1252;height:2" coordorigin="2342,14890" coordsize="1252,0" path="m2342,14890l3594,14890e" filled="false" stroked="true" strokeweight=".5pt" strokecolor="#d7000f">
                <v:path arrowok="t"/>
              </v:shape>
            </v:group>
            <v:group style="position:absolute;left:3594;top:14890;width:1010;height:2" coordorigin="3594,14890" coordsize="1010,2">
              <v:shape style="position:absolute;left:3594;top:14890;width:1010;height:2" coordorigin="3594,14890" coordsize="1010,0" path="m3594,14890l4603,14890e" filled="false" stroked="true" strokeweight=".5pt" strokecolor="#d7000f">
                <v:path arrowok="t"/>
              </v:shape>
            </v:group>
            <v:group style="position:absolute;left:4603;top:14890;width:1304;height:2" coordorigin="4603,14890" coordsize="1304,2">
              <v:shape style="position:absolute;left:4603;top:14890;width:1304;height:2" coordorigin="4603,14890" coordsize="1304,0" path="m4603,14890l5907,14890e" filled="false" stroked="true" strokeweight=".5pt" strokecolor="#000000">
                <v:path arrowok="t"/>
              </v:shape>
            </v:group>
            <v:group style="position:absolute;left:5907;top:14890;width:1010;height:2" coordorigin="5907,14890" coordsize="1010,2">
              <v:shape style="position:absolute;left:5907;top:14890;width:1010;height:2" coordorigin="5907,14890" coordsize="1010,0" path="m5907,14890l6917,14890e" filled="false" stroked="true" strokeweight=".5pt" strokecolor="#000000">
                <v:path arrowok="t"/>
              </v:shape>
            </v:group>
            <v:group style="position:absolute;left:6917;top:14890;width:1134;height:2" coordorigin="6917,14890" coordsize="1134,2">
              <v:shape style="position:absolute;left:6917;top:14890;width:1134;height:2" coordorigin="6917,14890" coordsize="1134,0" path="m6917,14890l8050,14890e" filled="false" stroked="true" strokeweight=".5pt" strokecolor="#d7000f">
                <v:path arrowok="t"/>
              </v:shape>
            </v:group>
            <v:group style="position:absolute;left:8050;top:14890;width:2438;height:2" coordorigin="8050,14890" coordsize="2438,2">
              <v:shape style="position:absolute;left:8050;top:14890;width:2438;height:2" coordorigin="8050,14890" coordsize="2438,0" path="m8050,14890l10488,14890e" filled="false" stroked="true" strokeweight=".5pt" strokecolor="#000000">
                <v:path arrowok="t"/>
              </v:shape>
            </v:group>
            <w10:wrap type="none"/>
          </v:group>
        </w:pict>
      </w:r>
      <w:r>
        <w:rPr>
          <w:rFonts w:ascii="Arial" w:hAnsi="Arial" w:cs="Arial" w:eastAsia="Arial" w:hint="default"/>
          <w:b/>
          <w:bCs/>
          <w:color w:val="9C8758"/>
          <w:spacing w:val="-1"/>
          <w:position w:val="2"/>
          <w:sz w:val="16"/>
          <w:szCs w:val="16"/>
        </w:rPr>
        <w:t>34</w:t>
        <w:tab/>
      </w:r>
      <w:r>
        <w:rPr>
          <w:rFonts w:ascii="宋体" w:hAnsi="宋体" w:cs="宋体" w:eastAsia="宋体" w:hint="default"/>
          <w:color w:val="595757"/>
          <w:spacing w:val="24"/>
          <w:sz w:val="16"/>
          <w:szCs w:val="16"/>
        </w:rPr>
        <w:t>经营情况讨论与分析</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0"/>
          <w:cols w:num="2" w:equalWidth="0">
            <w:col w:w="6977" w:space="191"/>
            <w:col w:w="404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1"/>
          <w:szCs w:val="21"/>
        </w:rPr>
      </w:pPr>
    </w:p>
    <w:p>
      <w:pPr>
        <w:pStyle w:val="BodyText"/>
        <w:spacing w:line="240" w:lineRule="auto" w:before="31"/>
        <w:ind w:left="457" w:right="0"/>
        <w:jc w:val="both"/>
        <w:rPr>
          <w:rFonts w:ascii="宋体" w:hAnsi="宋体" w:cs="宋体" w:eastAsia="宋体" w:hint="default"/>
        </w:rPr>
      </w:pPr>
      <w:r>
        <w:rPr>
          <w:rFonts w:ascii="宋体" w:hAnsi="宋体" w:cs="宋体" w:eastAsia="宋体" w:hint="default"/>
        </w:rPr>
        <w:t>其他说明</w:t>
      </w:r>
    </w:p>
    <w:p>
      <w:pPr>
        <w:pStyle w:val="BodyText"/>
        <w:spacing w:line="240" w:lineRule="auto" w:before="157"/>
        <w:ind w:left="457" w:right="0"/>
        <w:jc w:val="both"/>
        <w:rPr>
          <w:rFonts w:ascii="宋体" w:hAnsi="宋体" w:cs="宋体" w:eastAsia="宋体" w:hint="default"/>
        </w:rPr>
      </w:pPr>
      <w:r>
        <w:rPr>
          <w:rFonts w:ascii="宋体" w:hAnsi="宋体" w:cs="宋体" w:eastAsia="宋体" w:hint="default"/>
          <w:spacing w:val="1"/>
        </w:rPr>
        <w:t>截</w:t>
      </w:r>
      <w:r>
        <w:rPr>
          <w:rFonts w:ascii="宋体" w:hAnsi="宋体" w:cs="宋体" w:eastAsia="宋体" w:hint="default"/>
        </w:rPr>
        <w:t>至</w:t>
      </w:r>
      <w:r>
        <w:rPr>
          <w:rFonts w:ascii="宋体" w:hAnsi="宋体" w:cs="宋体" w:eastAsia="宋体" w:hint="default"/>
          <w:spacing w:val="-45"/>
        </w:rPr>
        <w:t> </w:t>
      </w: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5"/>
        </w:rPr>
        <w:t> </w:t>
      </w:r>
      <w:r>
        <w:rPr>
          <w:rFonts w:ascii="宋体" w:hAnsi="宋体" w:cs="宋体" w:eastAsia="宋体" w:hint="default"/>
          <w:spacing w:val="1"/>
        </w:rPr>
        <w:t>年</w:t>
      </w:r>
      <w:r>
        <w:rPr>
          <w:rFonts w:ascii="宋体" w:hAnsi="宋体" w:cs="宋体" w:eastAsia="宋体" w:hint="default"/>
        </w:rPr>
        <w:t>底</w:t>
      </w:r>
      <w:r>
        <w:rPr>
          <w:rFonts w:ascii="宋体" w:hAnsi="宋体" w:cs="宋体" w:eastAsia="宋体" w:hint="default"/>
          <w:spacing w:val="1"/>
        </w:rPr>
        <w:t>，公司资产总额由上年底的人民</w:t>
      </w:r>
      <w:r>
        <w:rPr>
          <w:rFonts w:ascii="宋体" w:hAnsi="宋体" w:cs="宋体" w:eastAsia="宋体" w:hint="default"/>
        </w:rPr>
        <w:t>币</w:t>
      </w:r>
      <w:r>
        <w:rPr>
          <w:rFonts w:ascii="宋体" w:hAnsi="宋体" w:cs="宋体" w:eastAsia="宋体" w:hint="default"/>
          <w:spacing w:val="-45"/>
        </w:rPr>
        <w:t> </w:t>
      </w:r>
      <w:r>
        <w:rPr>
          <w:rFonts w:ascii="宋体" w:hAnsi="宋体" w:cs="宋体" w:eastAsia="宋体" w:hint="default"/>
          <w:spacing w:val="-1"/>
          <w:w w:val="111"/>
        </w:rPr>
        <w:t>5</w:t>
      </w:r>
      <w:r>
        <w:rPr>
          <w:rFonts w:ascii="宋体" w:hAnsi="宋体" w:cs="宋体" w:eastAsia="宋体" w:hint="default"/>
          <w:w w:val="55"/>
        </w:rPr>
        <w:t>,</w:t>
      </w:r>
      <w:r>
        <w:rPr>
          <w:rFonts w:ascii="宋体" w:hAnsi="宋体" w:cs="宋体" w:eastAsia="宋体" w:hint="default"/>
          <w:spacing w:val="-1"/>
          <w:w w:val="111"/>
        </w:rPr>
        <w:t>736</w:t>
      </w:r>
      <w:r>
        <w:rPr>
          <w:rFonts w:ascii="宋体" w:hAnsi="宋体" w:cs="宋体" w:eastAsia="宋体" w:hint="default"/>
          <w:w w:val="55"/>
        </w:rPr>
        <w:t>.</w:t>
      </w:r>
      <w:r>
        <w:rPr>
          <w:rFonts w:ascii="宋体" w:hAnsi="宋体" w:cs="宋体" w:eastAsia="宋体" w:hint="default"/>
          <w:w w:val="111"/>
        </w:rPr>
        <w:t>2</w:t>
      </w:r>
      <w:r>
        <w:rPr>
          <w:rFonts w:ascii="宋体" w:hAnsi="宋体" w:cs="宋体" w:eastAsia="宋体" w:hint="default"/>
          <w:spacing w:val="-45"/>
        </w:rPr>
        <w:t> </w:t>
      </w:r>
      <w:r>
        <w:rPr>
          <w:rFonts w:ascii="宋体" w:hAnsi="宋体" w:cs="宋体" w:eastAsia="宋体" w:hint="default"/>
          <w:spacing w:val="1"/>
        </w:rPr>
        <w:t>亿元变化至人民</w:t>
      </w:r>
      <w:r>
        <w:rPr>
          <w:rFonts w:ascii="宋体" w:hAnsi="宋体" w:cs="宋体" w:eastAsia="宋体" w:hint="default"/>
        </w:rPr>
        <w:t>币</w:t>
      </w:r>
      <w:r>
        <w:rPr>
          <w:rFonts w:ascii="宋体" w:hAnsi="宋体" w:cs="宋体" w:eastAsia="宋体" w:hint="default"/>
          <w:spacing w:val="-45"/>
        </w:rPr>
        <w:t> </w:t>
      </w:r>
      <w:r>
        <w:rPr>
          <w:rFonts w:ascii="宋体" w:hAnsi="宋体" w:cs="宋体" w:eastAsia="宋体" w:hint="default"/>
          <w:spacing w:val="-1"/>
          <w:w w:val="111"/>
        </w:rPr>
        <w:t>5</w:t>
      </w:r>
      <w:r>
        <w:rPr>
          <w:rFonts w:ascii="宋体" w:hAnsi="宋体" w:cs="宋体" w:eastAsia="宋体" w:hint="default"/>
          <w:w w:val="55"/>
        </w:rPr>
        <w:t>,</w:t>
      </w:r>
      <w:r>
        <w:rPr>
          <w:rFonts w:ascii="宋体" w:hAnsi="宋体" w:cs="宋体" w:eastAsia="宋体" w:hint="default"/>
          <w:spacing w:val="-1"/>
          <w:w w:val="111"/>
        </w:rPr>
        <w:t>417</w:t>
      </w:r>
      <w:r>
        <w:rPr>
          <w:rFonts w:ascii="宋体" w:hAnsi="宋体" w:cs="宋体" w:eastAsia="宋体" w:hint="default"/>
          <w:w w:val="55"/>
        </w:rPr>
        <w:t>.</w:t>
      </w:r>
      <w:r>
        <w:rPr>
          <w:rFonts w:ascii="宋体" w:hAnsi="宋体" w:cs="宋体" w:eastAsia="宋体" w:hint="default"/>
          <w:w w:val="111"/>
        </w:rPr>
        <w:t>6</w:t>
      </w:r>
      <w:r>
        <w:rPr>
          <w:rFonts w:ascii="宋体" w:hAnsi="宋体" w:cs="宋体" w:eastAsia="宋体" w:hint="default"/>
          <w:spacing w:val="-45"/>
        </w:rPr>
        <w:t> </w:t>
      </w:r>
      <w:r>
        <w:rPr>
          <w:rFonts w:ascii="宋体" w:hAnsi="宋体" w:cs="宋体" w:eastAsia="宋体" w:hint="default"/>
          <w:spacing w:val="1"/>
        </w:rPr>
        <w:t>亿</w:t>
      </w:r>
      <w:r>
        <w:rPr>
          <w:rFonts w:ascii="宋体" w:hAnsi="宋体" w:cs="宋体" w:eastAsia="宋体" w:hint="default"/>
        </w:rPr>
        <w:t>元</w:t>
      </w:r>
      <w:r>
        <w:rPr>
          <w:rFonts w:ascii="宋体" w:hAnsi="宋体" w:cs="宋体" w:eastAsia="宋体" w:hint="default"/>
          <w:spacing w:val="1"/>
        </w:rPr>
        <w:t>，负债总额由上年底的人民</w:t>
      </w:r>
      <w:r>
        <w:rPr>
          <w:rFonts w:ascii="宋体" w:hAnsi="宋体" w:cs="宋体" w:eastAsia="宋体" w:hint="default"/>
        </w:rPr>
      </w:r>
    </w:p>
    <w:p>
      <w:pPr>
        <w:pStyle w:val="BodyText"/>
        <w:spacing w:line="240" w:lineRule="auto" w:before="44"/>
        <w:ind w:left="457" w:right="0"/>
        <w:jc w:val="both"/>
        <w:rPr>
          <w:rFonts w:ascii="宋体" w:hAnsi="宋体" w:cs="宋体" w:eastAsia="宋体" w:hint="default"/>
        </w:rPr>
      </w:pPr>
      <w:r>
        <w:rPr>
          <w:rFonts w:ascii="宋体" w:hAnsi="宋体" w:cs="宋体" w:eastAsia="宋体" w:hint="default"/>
        </w:rPr>
        <w:t>币</w:t>
      </w:r>
      <w:r>
        <w:rPr>
          <w:rFonts w:ascii="宋体" w:hAnsi="宋体" w:cs="宋体" w:eastAsia="宋体" w:hint="default"/>
          <w:spacing w:val="-31"/>
        </w:rPr>
        <w:t> </w:t>
      </w:r>
      <w:r>
        <w:rPr>
          <w:rFonts w:ascii="宋体" w:hAnsi="宋体" w:cs="宋体" w:eastAsia="宋体" w:hint="default"/>
        </w:rPr>
        <w:t>2,666.0</w:t>
      </w:r>
      <w:r>
        <w:rPr>
          <w:rFonts w:ascii="宋体" w:hAnsi="宋体" w:cs="宋体" w:eastAsia="宋体" w:hint="default"/>
          <w:spacing w:val="-33"/>
        </w:rPr>
        <w:t> </w:t>
      </w:r>
      <w:r>
        <w:rPr>
          <w:rFonts w:ascii="宋体" w:hAnsi="宋体" w:cs="宋体" w:eastAsia="宋体" w:hint="default"/>
        </w:rPr>
        <w:t>亿元变化至人民币</w:t>
      </w:r>
      <w:r>
        <w:rPr>
          <w:rFonts w:ascii="宋体" w:hAnsi="宋体" w:cs="宋体" w:eastAsia="宋体" w:hint="default"/>
          <w:spacing w:val="-31"/>
        </w:rPr>
        <w:t> </w:t>
      </w:r>
      <w:r>
        <w:rPr>
          <w:rFonts w:ascii="宋体" w:hAnsi="宋体" w:cs="宋体" w:eastAsia="宋体" w:hint="default"/>
        </w:rPr>
        <w:t>2,248.2</w:t>
      </w:r>
      <w:r>
        <w:rPr>
          <w:rFonts w:ascii="宋体" w:hAnsi="宋体" w:cs="宋体" w:eastAsia="宋体" w:hint="default"/>
          <w:spacing w:val="-33"/>
        </w:rPr>
        <w:t> </w:t>
      </w:r>
      <w:r>
        <w:rPr>
          <w:rFonts w:ascii="宋体" w:hAnsi="宋体" w:cs="宋体" w:eastAsia="宋体" w:hint="default"/>
        </w:rPr>
        <w:t>亿元，资产负债率由上年底的</w:t>
      </w:r>
      <w:r>
        <w:rPr>
          <w:rFonts w:ascii="宋体" w:hAnsi="宋体" w:cs="宋体" w:eastAsia="宋体" w:hint="default"/>
          <w:spacing w:val="-31"/>
        </w:rPr>
        <w:t> </w:t>
      </w:r>
      <w:r>
        <w:rPr>
          <w:rFonts w:ascii="宋体" w:hAnsi="宋体" w:cs="宋体" w:eastAsia="宋体" w:hint="default"/>
        </w:rPr>
        <w:t>46.5%</w:t>
      </w:r>
      <w:r>
        <w:rPr>
          <w:rFonts w:ascii="宋体" w:hAnsi="宋体" w:cs="宋体" w:eastAsia="宋体" w:hint="default"/>
          <w:spacing w:val="-33"/>
        </w:rPr>
        <w:t> </w:t>
      </w:r>
      <w:r>
        <w:rPr>
          <w:rFonts w:ascii="宋体" w:hAnsi="宋体" w:cs="宋体" w:eastAsia="宋体" w:hint="default"/>
        </w:rPr>
        <w:t>下降至</w:t>
      </w:r>
      <w:r>
        <w:rPr>
          <w:rFonts w:ascii="宋体" w:hAnsi="宋体" w:cs="宋体" w:eastAsia="宋体" w:hint="default"/>
          <w:spacing w:val="-31"/>
        </w:rPr>
        <w:t> </w:t>
      </w:r>
      <w:r>
        <w:rPr>
          <w:rFonts w:ascii="宋体" w:hAnsi="宋体" w:cs="宋体" w:eastAsia="宋体" w:hint="default"/>
        </w:rPr>
        <w:t>41.5%。</w:t>
      </w:r>
    </w:p>
    <w:p>
      <w:pPr>
        <w:spacing w:line="240" w:lineRule="auto" w:before="4"/>
        <w:rPr>
          <w:rFonts w:ascii="宋体" w:hAnsi="宋体" w:cs="宋体" w:eastAsia="宋体" w:hint="default"/>
          <w:sz w:val="25"/>
          <w:szCs w:val="25"/>
        </w:rPr>
      </w:pPr>
    </w:p>
    <w:p>
      <w:pPr>
        <w:spacing w:before="0"/>
        <w:ind w:left="117" w:right="0"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三</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行业经营性信息分析</w:t>
      </w:r>
    </w:p>
    <w:p>
      <w:pPr>
        <w:spacing w:line="240" w:lineRule="auto" w:before="11"/>
        <w:rPr>
          <w:rFonts w:ascii="宋体" w:hAnsi="宋体" w:cs="宋体" w:eastAsia="宋体" w:hint="default"/>
          <w:sz w:val="12"/>
          <w:szCs w:val="12"/>
        </w:rPr>
      </w:pPr>
    </w:p>
    <w:p>
      <w:pPr>
        <w:pStyle w:val="BodyText"/>
        <w:spacing w:line="285" w:lineRule="auto"/>
        <w:ind w:left="457" w:right="170"/>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6"/>
        </w:rPr>
        <w:t> </w:t>
      </w:r>
      <w:r>
        <w:rPr>
          <w:rFonts w:ascii="宋体" w:hAnsi="宋体" w:cs="宋体" w:eastAsia="宋体" w:hint="default"/>
        </w:rPr>
        <w:t>年，我国通信业大力推进网络强国建设，着力提升基础设施能力，助力信息消费活力释放。行业发展稳中有进，</w:t>
      </w:r>
      <w:r>
        <w:rPr>
          <w:rFonts w:ascii="宋体" w:hAnsi="宋体" w:cs="宋体" w:eastAsia="宋体" w:hint="default"/>
          <w:spacing w:val="-73"/>
        </w:rPr>
        <w:t> </w:t>
      </w:r>
      <w:r>
        <w:rPr>
          <w:rFonts w:ascii="宋体" w:hAnsi="宋体" w:cs="宋体" w:eastAsia="宋体" w:hint="default"/>
          <w:spacing w:val="-73"/>
        </w:rPr>
      </w:r>
      <w:r>
        <w:rPr>
          <w:rFonts w:ascii="宋体" w:hAnsi="宋体" w:cs="宋体" w:eastAsia="宋体" w:hint="default"/>
        </w:rPr>
        <w:t>对国民经济和社会发展支撑作用不断增强。</w:t>
      </w:r>
    </w:p>
    <w:p>
      <w:pPr>
        <w:pStyle w:val="BodyText"/>
        <w:spacing w:line="285" w:lineRule="auto" w:before="123"/>
        <w:ind w:left="457" w:right="163"/>
        <w:jc w:val="both"/>
        <w:rPr>
          <w:rFonts w:ascii="宋体" w:hAnsi="宋体" w:cs="宋体" w:eastAsia="宋体" w:hint="default"/>
        </w:rPr>
      </w:pPr>
      <w:r>
        <w:rPr>
          <w:rFonts w:ascii="宋体" w:hAnsi="宋体" w:cs="宋体" w:eastAsia="宋体" w:hint="default"/>
          <w:spacing w:val="-1"/>
          <w:w w:val="111"/>
        </w:rPr>
        <w:t>2018</w:t>
      </w:r>
      <w:r>
        <w:rPr>
          <w:rFonts w:ascii="宋体" w:hAnsi="宋体" w:cs="宋体" w:eastAsia="宋体" w:hint="default"/>
          <w:spacing w:val="-72"/>
          <w:w w:val="111"/>
        </w:rPr>
        <w:t> </w:t>
      </w:r>
      <w:r>
        <w:rPr>
          <w:rFonts w:ascii="宋体" w:hAnsi="宋体" w:cs="宋体" w:eastAsia="宋体" w:hint="default"/>
          <w:spacing w:val="2"/>
        </w:rPr>
        <w:t>年，我国电信业务总量高速增长，比上年增长</w:t>
      </w:r>
      <w:r>
        <w:rPr>
          <w:rFonts w:ascii="宋体" w:hAnsi="宋体" w:cs="宋体" w:eastAsia="宋体" w:hint="default"/>
          <w:spacing w:val="-62"/>
        </w:rPr>
        <w:t> </w:t>
      </w:r>
      <w:r>
        <w:rPr>
          <w:rFonts w:ascii="宋体" w:hAnsi="宋体" w:cs="宋体" w:eastAsia="宋体" w:hint="default"/>
          <w:spacing w:val="1"/>
          <w:w w:val="104"/>
        </w:rPr>
        <w:t>137.9%，电信收入增速保持平稳，比上年增长</w:t>
      </w:r>
      <w:r>
        <w:rPr>
          <w:rFonts w:ascii="宋体" w:hAnsi="宋体" w:cs="宋体" w:eastAsia="宋体" w:hint="default"/>
          <w:spacing w:val="-66"/>
          <w:w w:val="104"/>
        </w:rPr>
        <w:t> </w:t>
      </w:r>
      <w:r>
        <w:rPr>
          <w:rFonts w:ascii="宋体" w:hAnsi="宋体" w:cs="宋体" w:eastAsia="宋体" w:hint="default"/>
          <w:spacing w:val="1"/>
          <w:w w:val="108"/>
        </w:rPr>
        <w:t>3.0%。固定通信</w:t>
      </w:r>
      <w:r>
        <w:rPr>
          <w:rFonts w:ascii="宋体" w:hAnsi="宋体" w:cs="宋体" w:eastAsia="宋体" w:hint="default"/>
          <w:spacing w:val="3"/>
        </w:rPr>
        <w:t> </w:t>
      </w:r>
      <w:r>
        <w:rPr>
          <w:rFonts w:ascii="宋体" w:hAnsi="宋体" w:cs="宋体" w:eastAsia="宋体" w:hint="default"/>
        </w:rPr>
        <w:t>业务实现收入</w:t>
      </w:r>
      <w:r>
        <w:rPr>
          <w:rFonts w:ascii="宋体" w:hAnsi="宋体" w:cs="宋体" w:eastAsia="宋体" w:hint="default"/>
          <w:spacing w:val="-54"/>
        </w:rPr>
        <w:t> </w:t>
      </w:r>
      <w:r>
        <w:rPr>
          <w:rFonts w:ascii="宋体" w:hAnsi="宋体" w:cs="宋体" w:eastAsia="宋体" w:hint="default"/>
          <w:spacing w:val="-1"/>
          <w:w w:val="99"/>
        </w:rPr>
        <w:t>3,876</w:t>
      </w:r>
      <w:r>
        <w:rPr>
          <w:rFonts w:ascii="宋体" w:hAnsi="宋体" w:cs="宋体" w:eastAsia="宋体" w:hint="default"/>
          <w:spacing w:val="-54"/>
          <w:w w:val="99"/>
        </w:rPr>
        <w:t> </w:t>
      </w:r>
      <w:r>
        <w:rPr>
          <w:rFonts w:ascii="宋体" w:hAnsi="宋体" w:cs="宋体" w:eastAsia="宋体" w:hint="default"/>
        </w:rPr>
        <w:t>亿元，比上年增长</w:t>
      </w:r>
      <w:r>
        <w:rPr>
          <w:rFonts w:ascii="宋体" w:hAnsi="宋体" w:cs="宋体" w:eastAsia="宋体" w:hint="default"/>
          <w:spacing w:val="-54"/>
        </w:rPr>
        <w:t> </w:t>
      </w:r>
      <w:r>
        <w:rPr>
          <w:rFonts w:ascii="宋体" w:hAnsi="宋体" w:cs="宋体" w:eastAsia="宋体" w:hint="default"/>
          <w:w w:val="105"/>
        </w:rPr>
        <w:t>9.1%，移动通信业务实现收入</w:t>
      </w:r>
      <w:r>
        <w:rPr>
          <w:rFonts w:ascii="宋体" w:hAnsi="宋体" w:cs="宋体" w:eastAsia="宋体" w:hint="default"/>
          <w:spacing w:val="-59"/>
          <w:w w:val="105"/>
        </w:rPr>
        <w:t> </w:t>
      </w:r>
      <w:r>
        <w:rPr>
          <w:rFonts w:ascii="宋体" w:hAnsi="宋体" w:cs="宋体" w:eastAsia="宋体" w:hint="default"/>
          <w:spacing w:val="-1"/>
          <w:w w:val="99"/>
        </w:rPr>
        <w:t>9,134</w:t>
      </w:r>
      <w:r>
        <w:rPr>
          <w:rFonts w:ascii="宋体" w:hAnsi="宋体" w:cs="宋体" w:eastAsia="宋体" w:hint="default"/>
          <w:spacing w:val="-54"/>
          <w:w w:val="99"/>
        </w:rPr>
        <w:t> </w:t>
      </w:r>
      <w:r>
        <w:rPr>
          <w:rFonts w:ascii="宋体" w:hAnsi="宋体" w:cs="宋体" w:eastAsia="宋体" w:hint="default"/>
        </w:rPr>
        <w:t>亿元，比上年增长</w:t>
      </w:r>
      <w:r>
        <w:rPr>
          <w:rFonts w:ascii="宋体" w:hAnsi="宋体" w:cs="宋体" w:eastAsia="宋体" w:hint="default"/>
          <w:spacing w:val="-54"/>
        </w:rPr>
        <w:t> </w:t>
      </w:r>
      <w:r>
        <w:rPr>
          <w:rFonts w:ascii="宋体" w:hAnsi="宋体" w:cs="宋体" w:eastAsia="宋体" w:hint="default"/>
          <w:w w:val="107"/>
        </w:rPr>
        <w:t>0.6%。在互联网应用</w:t>
      </w:r>
      <w:r>
        <w:rPr>
          <w:rFonts w:ascii="宋体" w:hAnsi="宋体" w:cs="宋体" w:eastAsia="宋体" w:hint="default"/>
          <w:spacing w:val="1"/>
        </w:rPr>
        <w:t> </w:t>
      </w:r>
      <w:r>
        <w:rPr>
          <w:rFonts w:ascii="宋体" w:hAnsi="宋体" w:cs="宋体" w:eastAsia="宋体" w:hint="default"/>
        </w:rPr>
        <w:t>的替代作用及取消长途漫游资费双重影响下，2018 年，话音业务收入比上年下降</w:t>
      </w:r>
      <w:r>
        <w:rPr>
          <w:rFonts w:ascii="宋体" w:hAnsi="宋体" w:cs="宋体" w:eastAsia="宋体" w:hint="default"/>
          <w:spacing w:val="28"/>
        </w:rPr>
        <w:t> </w:t>
      </w:r>
      <w:r>
        <w:rPr>
          <w:rFonts w:ascii="宋体" w:hAnsi="宋体" w:cs="宋体" w:eastAsia="宋体" w:hint="default"/>
        </w:rPr>
        <w:t>25.7%。</w:t>
      </w:r>
    </w:p>
    <w:p>
      <w:pPr>
        <w:pStyle w:val="BodyText"/>
        <w:spacing w:line="285" w:lineRule="auto" w:before="123"/>
        <w:ind w:left="457" w:right="163"/>
        <w:jc w:val="both"/>
        <w:rPr>
          <w:rFonts w:ascii="宋体" w:hAnsi="宋体" w:cs="宋体" w:eastAsia="宋体" w:hint="default"/>
        </w:rPr>
      </w:pPr>
      <w:r>
        <w:rPr>
          <w:rFonts w:ascii="宋体" w:hAnsi="宋体" w:cs="宋体" w:eastAsia="宋体" w:hint="default"/>
        </w:rPr>
        <w:t>融合业务快速发展，数据和互联网业务收入占比稳步提高。固定数据及互联网业务收入比上年增长 5.1%，在电信业务</w:t>
      </w:r>
      <w:r>
        <w:rPr>
          <w:rFonts w:ascii="宋体" w:hAnsi="宋体" w:cs="宋体" w:eastAsia="宋体" w:hint="default"/>
          <w:spacing w:val="-66"/>
        </w:rPr>
        <w:t> </w:t>
      </w:r>
      <w:r>
        <w:rPr>
          <w:rFonts w:ascii="宋体" w:hAnsi="宋体" w:cs="宋体" w:eastAsia="宋体" w:hint="default"/>
          <w:spacing w:val="-66"/>
        </w:rPr>
      </w:r>
      <w:r>
        <w:rPr>
          <w:rFonts w:ascii="宋体" w:hAnsi="宋体" w:cs="宋体" w:eastAsia="宋体" w:hint="default"/>
          <w:spacing w:val="2"/>
        </w:rPr>
        <w:t>收入中占比由上年的</w:t>
      </w:r>
      <w:r>
        <w:rPr>
          <w:rFonts w:ascii="宋体" w:hAnsi="宋体" w:cs="宋体" w:eastAsia="宋体" w:hint="default"/>
          <w:spacing w:val="-63"/>
        </w:rPr>
        <w:t> </w:t>
      </w:r>
      <w:r>
        <w:rPr>
          <w:rFonts w:ascii="宋体" w:hAnsi="宋体" w:cs="宋体" w:eastAsia="宋体" w:hint="default"/>
          <w:spacing w:val="-1"/>
          <w:w w:val="117"/>
        </w:rPr>
        <w:t>15.6%</w:t>
      </w:r>
      <w:r>
        <w:rPr>
          <w:rFonts w:ascii="宋体" w:hAnsi="宋体" w:cs="宋体" w:eastAsia="宋体" w:hint="default"/>
          <w:spacing w:val="-79"/>
          <w:w w:val="117"/>
        </w:rPr>
        <w:t> </w:t>
      </w:r>
      <w:r>
        <w:rPr>
          <w:rFonts w:ascii="宋体" w:hAnsi="宋体" w:cs="宋体" w:eastAsia="宋体" w:hint="default"/>
          <w:spacing w:val="2"/>
        </w:rPr>
        <w:t>提升到</w:t>
      </w:r>
      <w:r>
        <w:rPr>
          <w:rFonts w:ascii="宋体" w:hAnsi="宋体" w:cs="宋体" w:eastAsia="宋体" w:hint="default"/>
          <w:spacing w:val="-63"/>
        </w:rPr>
        <w:t> </w:t>
      </w:r>
      <w:r>
        <w:rPr>
          <w:rFonts w:ascii="宋体" w:hAnsi="宋体" w:cs="宋体" w:eastAsia="宋体" w:hint="default"/>
          <w:spacing w:val="2"/>
          <w:w w:val="103"/>
        </w:rPr>
        <w:t>15.9%；移动数据及互联网业务收入比上年增长</w:t>
      </w:r>
      <w:r>
        <w:rPr>
          <w:rFonts w:ascii="宋体" w:hAnsi="宋体" w:cs="宋体" w:eastAsia="宋体" w:hint="default"/>
          <w:spacing w:val="-66"/>
          <w:w w:val="103"/>
        </w:rPr>
        <w:t> </w:t>
      </w:r>
      <w:r>
        <w:rPr>
          <w:rFonts w:ascii="宋体" w:hAnsi="宋体" w:cs="宋体" w:eastAsia="宋体" w:hint="default"/>
          <w:spacing w:val="1"/>
          <w:w w:val="105"/>
        </w:rPr>
        <w:t>10.2%，在电信业务收入中占比</w:t>
      </w:r>
      <w:r>
        <w:rPr>
          <w:rFonts w:ascii="宋体" w:hAnsi="宋体" w:cs="宋体" w:eastAsia="宋体" w:hint="default"/>
          <w:spacing w:val="3"/>
        </w:rPr>
        <w:t> </w:t>
      </w:r>
      <w:r>
        <w:rPr>
          <w:rFonts w:ascii="宋体" w:hAnsi="宋体" w:cs="宋体" w:eastAsia="宋体" w:hint="default"/>
          <w:w w:val="105"/>
        </w:rPr>
        <w:t>从上年的</w:t>
      </w:r>
      <w:r>
        <w:rPr>
          <w:rFonts w:ascii="宋体" w:hAnsi="宋体" w:cs="宋体" w:eastAsia="宋体" w:hint="default"/>
          <w:spacing w:val="-63"/>
          <w:w w:val="105"/>
        </w:rPr>
        <w:t> </w:t>
      </w:r>
      <w:r>
        <w:rPr>
          <w:rFonts w:ascii="宋体" w:hAnsi="宋体" w:cs="宋体" w:eastAsia="宋体" w:hint="default"/>
          <w:w w:val="105"/>
        </w:rPr>
        <w:t>43.5%</w:t>
      </w:r>
      <w:r>
        <w:rPr>
          <w:rFonts w:ascii="宋体" w:hAnsi="宋体" w:cs="宋体" w:eastAsia="宋体" w:hint="default"/>
          <w:spacing w:val="-64"/>
          <w:w w:val="105"/>
        </w:rPr>
        <w:t> </w:t>
      </w:r>
      <w:r>
        <w:rPr>
          <w:rFonts w:ascii="宋体" w:hAnsi="宋体" w:cs="宋体" w:eastAsia="宋体" w:hint="default"/>
          <w:w w:val="105"/>
        </w:rPr>
        <w:t>提高到</w:t>
      </w:r>
      <w:r>
        <w:rPr>
          <w:rFonts w:ascii="宋体" w:hAnsi="宋体" w:cs="宋体" w:eastAsia="宋体" w:hint="default"/>
          <w:spacing w:val="-63"/>
          <w:w w:val="105"/>
        </w:rPr>
        <w:t> </w:t>
      </w:r>
      <w:r>
        <w:rPr>
          <w:rFonts w:ascii="宋体" w:hAnsi="宋体" w:cs="宋体" w:eastAsia="宋体" w:hint="default"/>
          <w:w w:val="105"/>
        </w:rPr>
        <w:t>46.6%。IPTV</w:t>
      </w:r>
      <w:r>
        <w:rPr>
          <w:rFonts w:ascii="宋体" w:hAnsi="宋体" w:cs="宋体" w:eastAsia="宋体" w:hint="default"/>
          <w:spacing w:val="-63"/>
          <w:w w:val="105"/>
        </w:rPr>
        <w:t> </w:t>
      </w:r>
      <w:r>
        <w:rPr>
          <w:rFonts w:ascii="宋体" w:hAnsi="宋体" w:cs="宋体" w:eastAsia="宋体" w:hint="default"/>
          <w:w w:val="105"/>
        </w:rPr>
        <w:t>业务收入比上年增长</w:t>
      </w:r>
      <w:r>
        <w:rPr>
          <w:rFonts w:ascii="宋体" w:hAnsi="宋体" w:cs="宋体" w:eastAsia="宋体" w:hint="default"/>
          <w:spacing w:val="-63"/>
          <w:w w:val="105"/>
        </w:rPr>
        <w:t> </w:t>
      </w:r>
      <w:r>
        <w:rPr>
          <w:rFonts w:ascii="宋体" w:hAnsi="宋体" w:cs="宋体" w:eastAsia="宋体" w:hint="default"/>
          <w:w w:val="105"/>
        </w:rPr>
        <w:t>19.4%；物联网业务收入比上年大幅增长</w:t>
      </w:r>
      <w:r>
        <w:rPr>
          <w:rFonts w:ascii="宋体" w:hAnsi="宋体" w:cs="宋体" w:eastAsia="宋体" w:hint="default"/>
          <w:spacing w:val="-64"/>
          <w:w w:val="105"/>
        </w:rPr>
        <w:t> </w:t>
      </w:r>
      <w:r>
        <w:rPr>
          <w:rFonts w:ascii="宋体" w:hAnsi="宋体" w:cs="宋体" w:eastAsia="宋体" w:hint="default"/>
          <w:w w:val="105"/>
        </w:rPr>
        <w:t>72.9%。</w:t>
      </w:r>
      <w:r>
        <w:rPr>
          <w:rFonts w:ascii="宋体" w:hAnsi="宋体" w:cs="宋体" w:eastAsia="宋体" w:hint="default"/>
        </w:rPr>
      </w:r>
    </w:p>
    <w:p>
      <w:pPr>
        <w:pStyle w:val="BodyText"/>
        <w:spacing w:line="285" w:lineRule="auto" w:before="123"/>
        <w:ind w:left="457" w:right="163"/>
        <w:jc w:val="both"/>
        <w:rPr>
          <w:rFonts w:ascii="宋体" w:hAnsi="宋体" w:cs="宋体" w:eastAsia="宋体" w:hint="default"/>
        </w:rPr>
      </w:pPr>
      <w:r>
        <w:rPr>
          <w:rFonts w:ascii="宋体" w:hAnsi="宋体" w:cs="宋体" w:eastAsia="宋体" w:hint="default"/>
          <w:spacing w:val="5"/>
        </w:rPr>
        <w:t>移动互联网接入月户均流量（DOU）继续呈现成倍上升态势。移动互联网接入流量消费达</w:t>
      </w:r>
      <w:r>
        <w:rPr>
          <w:rFonts w:ascii="宋体" w:hAnsi="宋体" w:cs="宋体" w:eastAsia="宋体" w:hint="default"/>
        </w:rPr>
        <w:t> </w:t>
      </w:r>
      <w:r>
        <w:rPr>
          <w:rFonts w:ascii="宋体" w:hAnsi="宋体" w:cs="宋体" w:eastAsia="宋体" w:hint="default"/>
          <w:spacing w:val="-1"/>
        </w:rPr>
        <w:t>711</w:t>
      </w:r>
      <w:r>
        <w:rPr>
          <w:rFonts w:ascii="宋体" w:hAnsi="宋体" w:cs="宋体" w:eastAsia="宋体" w:hint="default"/>
        </w:rPr>
        <w:t> 亿 </w:t>
      </w:r>
      <w:r>
        <w:rPr>
          <w:rFonts w:ascii="宋体" w:hAnsi="宋体" w:cs="宋体" w:eastAsia="宋体" w:hint="default"/>
          <w:spacing w:val="5"/>
        </w:rPr>
        <w:t>GB，比上年增长</w:t>
      </w:r>
      <w:r>
        <w:rPr>
          <w:rFonts w:ascii="宋体" w:hAnsi="宋体" w:cs="宋体" w:eastAsia="宋体" w:hint="default"/>
          <w:spacing w:val="36"/>
        </w:rPr>
        <w:t> </w:t>
      </w:r>
      <w:r>
        <w:rPr>
          <w:rFonts w:ascii="宋体" w:hAnsi="宋体" w:cs="宋体" w:eastAsia="宋体" w:hint="default"/>
          <w:spacing w:val="36"/>
        </w:rPr>
      </w:r>
      <w:r>
        <w:rPr>
          <w:rFonts w:ascii="宋体" w:hAnsi="宋体" w:cs="宋体" w:eastAsia="宋体" w:hint="default"/>
        </w:rPr>
        <w:t>189.1%，增速较上年提高</w:t>
      </w:r>
      <w:r>
        <w:rPr>
          <w:rFonts w:ascii="宋体" w:hAnsi="宋体" w:cs="宋体" w:eastAsia="宋体" w:hint="default"/>
          <w:spacing w:val="-24"/>
        </w:rPr>
        <w:t> </w:t>
      </w:r>
      <w:r>
        <w:rPr>
          <w:rFonts w:ascii="宋体" w:hAnsi="宋体" w:cs="宋体" w:eastAsia="宋体" w:hint="default"/>
        </w:rPr>
        <w:t>26.9</w:t>
      </w:r>
      <w:r>
        <w:rPr>
          <w:rFonts w:ascii="宋体" w:hAnsi="宋体" w:cs="宋体" w:eastAsia="宋体" w:hint="default"/>
          <w:spacing w:val="-24"/>
        </w:rPr>
        <w:t> </w:t>
      </w:r>
      <w:r>
        <w:rPr>
          <w:rFonts w:ascii="宋体" w:hAnsi="宋体" w:cs="宋体" w:eastAsia="宋体" w:hint="default"/>
        </w:rPr>
        <w:t>个百分点。全年移动互联网接入月户均流量（DOU）达</w:t>
      </w:r>
      <w:r>
        <w:rPr>
          <w:rFonts w:ascii="宋体" w:hAnsi="宋体" w:cs="宋体" w:eastAsia="宋体" w:hint="default"/>
          <w:spacing w:val="-24"/>
        </w:rPr>
        <w:t> </w:t>
      </w:r>
      <w:r>
        <w:rPr>
          <w:rFonts w:ascii="宋体" w:hAnsi="宋体" w:cs="宋体" w:eastAsia="宋体" w:hint="default"/>
        </w:rPr>
        <w:t>4.42GB/</w:t>
      </w:r>
      <w:r>
        <w:rPr>
          <w:rFonts w:ascii="宋体" w:hAnsi="宋体" w:cs="宋体" w:eastAsia="宋体" w:hint="default"/>
          <w:spacing w:val="-24"/>
        </w:rPr>
        <w:t> </w:t>
      </w:r>
      <w:r>
        <w:rPr>
          <w:rFonts w:ascii="宋体" w:hAnsi="宋体" w:cs="宋体" w:eastAsia="宋体" w:hint="default"/>
        </w:rPr>
        <w:t>月</w:t>
      </w:r>
      <w:r>
        <w:rPr>
          <w:rFonts w:ascii="宋体" w:hAnsi="宋体" w:cs="宋体" w:eastAsia="宋体" w:hint="default"/>
          <w:spacing w:val="-24"/>
        </w:rPr>
        <w:t> </w:t>
      </w:r>
      <w:r>
        <w:rPr>
          <w:rFonts w:ascii="宋体" w:hAnsi="宋体" w:cs="宋体" w:eastAsia="宋体" w:hint="default"/>
          <w:w w:val="95"/>
        </w:rPr>
        <w:t>/</w:t>
      </w:r>
      <w:r>
        <w:rPr>
          <w:rFonts w:ascii="宋体" w:hAnsi="宋体" w:cs="宋体" w:eastAsia="宋体" w:hint="default"/>
          <w:spacing w:val="-20"/>
          <w:w w:val="95"/>
        </w:rPr>
        <w:t> </w:t>
      </w:r>
      <w:r>
        <w:rPr>
          <w:rFonts w:ascii="宋体" w:hAnsi="宋体" w:cs="宋体" w:eastAsia="宋体" w:hint="default"/>
        </w:rPr>
        <w:t>户，是上年的</w:t>
      </w:r>
      <w:r>
        <w:rPr>
          <w:rFonts w:ascii="宋体" w:hAnsi="宋体" w:cs="宋体" w:eastAsia="宋体" w:hint="default"/>
          <w:spacing w:val="-24"/>
        </w:rPr>
        <w:t> </w:t>
      </w:r>
      <w:r>
        <w:rPr>
          <w:rFonts w:ascii="宋体" w:hAnsi="宋体" w:cs="宋体" w:eastAsia="宋体" w:hint="default"/>
        </w:rPr>
        <w:t>2.6</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倍。移动短信业务止跌转升，话音业务量小幅下滑。</w:t>
      </w:r>
    </w:p>
    <w:p>
      <w:pPr>
        <w:spacing w:line="240" w:lineRule="auto" w:before="9"/>
        <w:rPr>
          <w:rFonts w:ascii="宋体" w:hAnsi="宋体" w:cs="宋体" w:eastAsia="宋体" w:hint="default"/>
          <w:sz w:val="22"/>
          <w:szCs w:val="22"/>
        </w:rPr>
      </w:pPr>
    </w:p>
    <w:p>
      <w:pPr>
        <w:spacing w:before="0"/>
        <w:ind w:left="117" w:right="0"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四</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投资状况分析</w:t>
      </w:r>
    </w:p>
    <w:p>
      <w:pPr>
        <w:spacing w:line="240" w:lineRule="auto" w:before="11"/>
        <w:rPr>
          <w:rFonts w:ascii="宋体" w:hAnsi="宋体" w:cs="宋体" w:eastAsia="宋体" w:hint="default"/>
          <w:sz w:val="12"/>
          <w:szCs w:val="12"/>
        </w:rPr>
      </w:pPr>
    </w:p>
    <w:p>
      <w:pPr>
        <w:pStyle w:val="BodyText"/>
        <w:spacing w:line="240" w:lineRule="auto"/>
        <w:ind w:left="457" w:right="0"/>
        <w:jc w:val="both"/>
        <w:rPr>
          <w:rFonts w:ascii="宋体" w:hAnsi="宋体" w:cs="宋体" w:eastAsia="宋体" w:hint="default"/>
        </w:rPr>
      </w:pPr>
      <w:r>
        <w:rPr>
          <w:rFonts w:ascii="宋体" w:hAnsi="宋体" w:cs="宋体" w:eastAsia="宋体" w:hint="default"/>
          <w:color w:val="D7000F"/>
        </w:rPr>
        <w:t>1、对外股权投资总体分析</w:t>
      </w:r>
      <w:r>
        <w:rPr>
          <w:rFonts w:ascii="宋体" w:hAnsi="宋体" w:cs="宋体" w:eastAsia="宋体" w:hint="default"/>
        </w:rPr>
      </w:r>
    </w:p>
    <w:p>
      <w:pPr>
        <w:pStyle w:val="BodyText"/>
        <w:spacing w:line="240" w:lineRule="auto" w:before="157"/>
        <w:ind w:left="684" w:right="0"/>
        <w:jc w:val="left"/>
        <w:rPr>
          <w:rFonts w:ascii="宋体" w:hAnsi="宋体" w:cs="宋体" w:eastAsia="宋体" w:hint="default"/>
        </w:rPr>
      </w:pPr>
      <w:r>
        <w:rPr>
          <w:rFonts w:ascii="宋体" w:hAnsi="宋体" w:cs="宋体" w:eastAsia="宋体" w:hint="default"/>
        </w:rPr>
        <w:t>1）持有其他上市公司股权情况</w:t>
      </w:r>
    </w:p>
    <w:p>
      <w:pPr>
        <w:spacing w:after="0" w:line="240" w:lineRule="auto"/>
        <w:jc w:val="left"/>
        <w:rPr>
          <w:rFonts w:ascii="宋体" w:hAnsi="宋体" w:cs="宋体" w:eastAsia="宋体" w:hint="default"/>
        </w:rPr>
        <w:sectPr>
          <w:headerReference w:type="default" r:id="rId135"/>
          <w:footerReference w:type="default" r:id="rId136"/>
          <w:pgSz w:w="11910" w:h="16160"/>
          <w:pgMar w:header="0" w:footer="0" w:top="1520" w:bottom="0" w:left="1300" w:right="680"/>
        </w:sect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1"/>
          <w:szCs w:val="11"/>
        </w:rPr>
      </w:pPr>
    </w:p>
    <w:p>
      <w:pPr>
        <w:tabs>
          <w:tab w:pos="2912" w:val="left" w:leader="none"/>
        </w:tabs>
        <w:spacing w:before="0"/>
        <w:ind w:left="1984" w:right="-20" w:firstLine="0"/>
        <w:jc w:val="left"/>
        <w:rPr>
          <w:rFonts w:ascii="宋体" w:hAnsi="宋体" w:cs="宋体" w:eastAsia="宋体" w:hint="default"/>
          <w:sz w:val="16"/>
          <w:szCs w:val="16"/>
        </w:rPr>
      </w:pPr>
      <w:r>
        <w:rPr>
          <w:rFonts w:ascii="宋体" w:hAnsi="宋体" w:cs="宋体" w:eastAsia="宋体" w:hint="default"/>
          <w:sz w:val="16"/>
          <w:szCs w:val="16"/>
        </w:rPr>
        <w:t>证券</w:t>
        <w:tab/>
        <w:t>最初</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1"/>
          <w:szCs w:val="11"/>
        </w:rPr>
      </w:pPr>
    </w:p>
    <w:p>
      <w:pPr>
        <w:spacing w:before="0"/>
        <w:ind w:left="433" w:right="-20" w:firstLine="0"/>
        <w:jc w:val="left"/>
        <w:rPr>
          <w:rFonts w:ascii="宋体" w:hAnsi="宋体" w:cs="宋体" w:eastAsia="宋体" w:hint="default"/>
          <w:sz w:val="16"/>
          <w:szCs w:val="16"/>
        </w:rPr>
      </w:pPr>
      <w:r>
        <w:rPr>
          <w:rFonts w:ascii="宋体" w:hAnsi="宋体" w:cs="宋体" w:eastAsia="宋体" w:hint="default"/>
          <w:sz w:val="16"/>
          <w:szCs w:val="16"/>
        </w:rPr>
        <w:t>占该公司股</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1"/>
          <w:szCs w:val="11"/>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报告期</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1"/>
          <w:szCs w:val="11"/>
        </w:rPr>
      </w:pPr>
    </w:p>
    <w:p>
      <w:pPr>
        <w:spacing w:before="0"/>
        <w:ind w:left="227" w:right="-20" w:firstLine="0"/>
        <w:jc w:val="left"/>
        <w:rPr>
          <w:rFonts w:ascii="宋体" w:hAnsi="宋体" w:cs="宋体" w:eastAsia="宋体" w:hint="default"/>
          <w:sz w:val="16"/>
          <w:szCs w:val="16"/>
        </w:rPr>
      </w:pPr>
      <w:r>
        <w:rPr>
          <w:rFonts w:ascii="宋体" w:hAnsi="宋体" w:cs="宋体" w:eastAsia="宋体" w:hint="default"/>
          <w:sz w:val="16"/>
          <w:szCs w:val="16"/>
        </w:rPr>
        <w:t>报告期所有</w:t>
      </w:r>
    </w:p>
    <w:p>
      <w:pPr>
        <w:spacing w:line="240" w:lineRule="auto" w:before="2"/>
        <w:rPr>
          <w:rFonts w:ascii="宋体" w:hAnsi="宋体" w:cs="宋体" w:eastAsia="宋体" w:hint="default"/>
          <w:sz w:val="10"/>
          <w:szCs w:val="10"/>
        </w:rPr>
      </w:pPr>
      <w:r>
        <w:rPr/>
        <w:br w:type="column"/>
      </w:r>
      <w:r>
        <w:rPr>
          <w:rFonts w:ascii="宋体"/>
          <w:sz w:val="10"/>
        </w:rPr>
      </w:r>
    </w:p>
    <w:p>
      <w:pPr>
        <w:spacing w:before="0"/>
        <w:ind w:left="0" w:right="256" w:firstLine="0"/>
        <w:jc w:val="right"/>
        <w:rPr>
          <w:rFonts w:ascii="宋体" w:hAnsi="宋体" w:cs="宋体" w:eastAsia="宋体" w:hint="default"/>
          <w:sz w:val="12"/>
          <w:szCs w:val="12"/>
        </w:rPr>
      </w:pPr>
      <w:r>
        <w:rPr>
          <w:rFonts w:ascii="宋体" w:hAnsi="宋体" w:cs="宋体" w:eastAsia="宋体" w:hint="default"/>
          <w:sz w:val="12"/>
          <w:szCs w:val="12"/>
        </w:rPr>
        <w:t>单位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元</w:t>
      </w:r>
      <w:r>
        <w:rPr>
          <w:rFonts w:ascii="宋体" w:hAnsi="宋体" w:cs="宋体" w:eastAsia="宋体" w:hint="default"/>
          <w:spacing w:val="-11"/>
          <w:sz w:val="12"/>
          <w:szCs w:val="12"/>
        </w:rPr>
        <w:t> </w:t>
      </w:r>
      <w:r>
        <w:rPr>
          <w:rFonts w:ascii="宋体" w:hAnsi="宋体" w:cs="宋体" w:eastAsia="宋体" w:hint="default"/>
          <w:sz w:val="12"/>
          <w:szCs w:val="12"/>
        </w:rPr>
        <w:t>币种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人民币</w:t>
      </w:r>
    </w:p>
    <w:p>
      <w:pPr>
        <w:spacing w:before="64"/>
        <w:ind w:left="0" w:right="294" w:firstLine="0"/>
        <w:jc w:val="right"/>
        <w:rPr>
          <w:rFonts w:ascii="宋体" w:hAnsi="宋体" w:cs="宋体" w:eastAsia="宋体" w:hint="default"/>
          <w:sz w:val="16"/>
          <w:szCs w:val="16"/>
        </w:rPr>
      </w:pPr>
      <w:r>
        <w:rPr>
          <w:rFonts w:ascii="宋体" w:hAnsi="宋体" w:cs="宋体" w:eastAsia="宋体" w:hint="default"/>
          <w:sz w:val="16"/>
          <w:szCs w:val="16"/>
        </w:rPr>
        <w:t>股份</w:t>
      </w:r>
    </w:p>
    <w:p>
      <w:pPr>
        <w:spacing w:after="0"/>
        <w:jc w:val="right"/>
        <w:rPr>
          <w:rFonts w:ascii="宋体" w:hAnsi="宋体" w:cs="宋体" w:eastAsia="宋体" w:hint="default"/>
          <w:sz w:val="16"/>
          <w:szCs w:val="16"/>
        </w:rPr>
        <w:sectPr>
          <w:type w:val="continuous"/>
          <w:pgSz w:w="11910" w:h="16160"/>
          <w:pgMar w:top="1520" w:bottom="280" w:left="1300" w:right="680"/>
          <w:cols w:num="5" w:equalWidth="0">
            <w:col w:w="3233" w:space="40"/>
            <w:col w:w="1234" w:space="40"/>
            <w:col w:w="1833" w:space="40"/>
            <w:col w:w="1028" w:space="40"/>
            <w:col w:w="2442"/>
          </w:cols>
        </w:sectPr>
      </w:pPr>
    </w:p>
    <w:p>
      <w:pPr>
        <w:spacing w:line="200" w:lineRule="exact" w:before="0"/>
        <w:ind w:left="874" w:right="-20" w:firstLine="0"/>
        <w:jc w:val="left"/>
        <w:rPr>
          <w:rFonts w:ascii="宋体" w:hAnsi="宋体" w:cs="宋体" w:eastAsia="宋体" w:hint="default"/>
          <w:sz w:val="16"/>
          <w:szCs w:val="16"/>
        </w:rPr>
      </w:pPr>
      <w:r>
        <w:rPr>
          <w:rFonts w:ascii="宋体" w:hAnsi="宋体" w:cs="宋体" w:eastAsia="宋体" w:hint="default"/>
          <w:sz w:val="16"/>
          <w:szCs w:val="16"/>
        </w:rPr>
        <w:t>证券代码</w:t>
      </w:r>
    </w:p>
    <w:p>
      <w:pPr>
        <w:tabs>
          <w:tab w:pos="1197" w:val="left" w:leader="none"/>
        </w:tabs>
        <w:spacing w:line="200" w:lineRule="exact" w:before="0"/>
        <w:ind w:left="429"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简称</w:t>
        <w:tab/>
        <w:t>投资成本</w:t>
      </w:r>
    </w:p>
    <w:p>
      <w:pPr>
        <w:tabs>
          <w:tab w:pos="1384" w:val="left" w:leader="none"/>
        </w:tabs>
        <w:spacing w:line="200" w:lineRule="exact" w:before="0"/>
        <w:ind w:left="289"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权比例</w:t>
      </w:r>
      <w:r>
        <w:rPr>
          <w:rFonts w:ascii="宋体" w:hAnsi="宋体" w:cs="宋体" w:eastAsia="宋体" w:hint="default"/>
          <w:spacing w:val="-34"/>
          <w:sz w:val="16"/>
          <w:szCs w:val="16"/>
        </w:rPr>
        <w:t> </w:t>
      </w:r>
      <w:r>
        <w:rPr>
          <w:rFonts w:ascii="宋体" w:hAnsi="宋体" w:cs="宋体" w:eastAsia="宋体" w:hint="default"/>
          <w:sz w:val="16"/>
          <w:szCs w:val="16"/>
        </w:rPr>
        <w:t>(%)</w:t>
        <w:tab/>
        <w:t>期末账面值</w:t>
      </w:r>
    </w:p>
    <w:p>
      <w:pPr>
        <w:tabs>
          <w:tab w:pos="988" w:val="left" w:leader="none"/>
          <w:tab w:pos="2254" w:val="left" w:leader="none"/>
          <w:tab w:pos="3651" w:val="left" w:leader="none"/>
        </w:tabs>
        <w:spacing w:line="200" w:lineRule="exact" w:before="0"/>
        <w:ind w:left="321"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损益</w:t>
        <w:tab/>
        <w:t>者权益变动</w:t>
        <w:tab/>
        <w:t>会计核算科目</w:t>
        <w:tab/>
        <w:t>来源</w:t>
      </w:r>
    </w:p>
    <w:p>
      <w:pPr>
        <w:spacing w:after="0" w:line="200" w:lineRule="exact"/>
        <w:jc w:val="left"/>
        <w:rPr>
          <w:rFonts w:ascii="宋体" w:hAnsi="宋体" w:cs="宋体" w:eastAsia="宋体" w:hint="default"/>
          <w:sz w:val="16"/>
          <w:szCs w:val="16"/>
        </w:rPr>
        <w:sectPr>
          <w:type w:val="continuous"/>
          <w:pgSz w:w="11910" w:h="16160"/>
          <w:pgMar w:top="1520" w:bottom="280" w:left="1300" w:right="680"/>
          <w:cols w:num="4" w:equalWidth="0">
            <w:col w:w="1515" w:space="40"/>
            <w:col w:w="1838" w:space="40"/>
            <w:col w:w="2185" w:space="40"/>
            <w:col w:w="4272"/>
          </w:cols>
        </w:sectPr>
      </w:pPr>
    </w:p>
    <w:p>
      <w:pPr>
        <w:spacing w:line="240" w:lineRule="auto" w:before="2"/>
        <w:rPr>
          <w:rFonts w:ascii="宋体" w:hAnsi="宋体" w:cs="宋体" w:eastAsia="宋体" w:hint="default"/>
          <w:sz w:val="12"/>
          <w:szCs w:val="12"/>
        </w:rPr>
      </w:pPr>
    </w:p>
    <w:p>
      <w:pPr>
        <w:tabs>
          <w:tab w:pos="1527" w:val="left" w:leader="none"/>
          <w:tab w:pos="2376" w:val="left" w:leader="none"/>
          <w:tab w:pos="3653" w:val="left" w:leader="none"/>
          <w:tab w:pos="4476" w:val="left" w:leader="none"/>
          <w:tab w:pos="5796" w:val="left" w:leader="none"/>
          <w:tab w:pos="6340" w:val="left" w:leader="none"/>
          <w:tab w:pos="7614" w:val="left" w:leader="none"/>
          <w:tab w:pos="9011" w:val="left" w:leader="none"/>
        </w:tabs>
        <w:spacing w:before="38"/>
        <w:ind w:left="631" w:right="0" w:firstLine="0"/>
        <w:jc w:val="center"/>
        <w:rPr>
          <w:rFonts w:ascii="宋体" w:hAnsi="宋体" w:cs="宋体" w:eastAsia="宋体" w:hint="default"/>
          <w:sz w:val="16"/>
          <w:szCs w:val="16"/>
        </w:rPr>
      </w:pPr>
      <w:r>
        <w:rPr>
          <w:rFonts w:ascii="宋体" w:hAnsi="宋体" w:cs="宋体" w:eastAsia="宋体" w:hint="default"/>
          <w:sz w:val="16"/>
          <w:szCs w:val="16"/>
        </w:rPr>
        <w:t>601328</w:t>
        <w:tab/>
        <w:t>交通银行</w:t>
        <w:tab/>
      </w:r>
      <w:r>
        <w:rPr>
          <w:rFonts w:ascii="宋体" w:hAnsi="宋体" w:cs="宋体" w:eastAsia="宋体" w:hint="default"/>
          <w:w w:val="95"/>
          <w:sz w:val="16"/>
          <w:szCs w:val="16"/>
        </w:rPr>
        <w:t>50,176,997</w:t>
        <w:tab/>
        <w:t>0.04</w:t>
        <w:tab/>
      </w:r>
      <w:r>
        <w:rPr>
          <w:rFonts w:ascii="宋体" w:hAnsi="宋体" w:cs="宋体" w:eastAsia="宋体" w:hint="default"/>
          <w:sz w:val="16"/>
          <w:szCs w:val="16"/>
        </w:rPr>
        <w:t>146,975,276</w:t>
        <w:tab/>
        <w:t>0</w:t>
        <w:tab/>
        <w:t>-9,062,206</w:t>
        <w:tab/>
        <w:t>其他权益工具</w:t>
        <w:tab/>
        <w:t>购买</w:t>
      </w:r>
    </w:p>
    <w:p>
      <w:pPr>
        <w:tabs>
          <w:tab w:pos="1686" w:val="left" w:leader="none"/>
          <w:tab w:pos="2238" w:val="left" w:leader="none"/>
          <w:tab w:pos="3515" w:val="left" w:leader="none"/>
          <w:tab w:pos="4338" w:val="left" w:leader="none"/>
          <w:tab w:pos="5658" w:val="left" w:leader="none"/>
          <w:tab w:pos="6202" w:val="left" w:leader="none"/>
          <w:tab w:pos="7934" w:val="left" w:leader="none"/>
          <w:tab w:pos="9011" w:val="left" w:leader="none"/>
        </w:tabs>
        <w:spacing w:before="64"/>
        <w:ind w:left="599" w:right="0" w:firstLine="0"/>
        <w:jc w:val="center"/>
        <w:rPr>
          <w:rFonts w:ascii="宋体" w:hAnsi="宋体" w:cs="宋体" w:eastAsia="宋体" w:hint="default"/>
          <w:sz w:val="16"/>
          <w:szCs w:val="16"/>
        </w:rPr>
      </w:pPr>
      <w:r>
        <w:rPr>
          <w:rFonts w:ascii="宋体" w:hAnsi="宋体" w:cs="宋体" w:eastAsia="宋体" w:hint="default"/>
          <w:sz w:val="16"/>
          <w:szCs w:val="16"/>
        </w:rPr>
        <w:t>合计</w:t>
        <w:tab/>
      </w:r>
      <w:r>
        <w:rPr>
          <w:rFonts w:ascii="宋体" w:hAnsi="宋体" w:cs="宋体" w:eastAsia="宋体" w:hint="default"/>
          <w:w w:val="55"/>
          <w:sz w:val="16"/>
          <w:szCs w:val="16"/>
        </w:rPr>
        <w:t>/</w:t>
        <w:tab/>
      </w:r>
      <w:r>
        <w:rPr>
          <w:rFonts w:ascii="宋体" w:hAnsi="宋体" w:cs="宋体" w:eastAsia="宋体" w:hint="default"/>
          <w:w w:val="95"/>
          <w:sz w:val="16"/>
          <w:szCs w:val="16"/>
        </w:rPr>
        <w:t>50,176,997</w:t>
        <w:tab/>
        <w:t>0.04</w:t>
        <w:tab/>
      </w:r>
      <w:r>
        <w:rPr>
          <w:rFonts w:ascii="宋体" w:hAnsi="宋体" w:cs="宋体" w:eastAsia="宋体" w:hint="default"/>
          <w:sz w:val="16"/>
          <w:szCs w:val="16"/>
        </w:rPr>
        <w:t>146,975,276</w:t>
        <w:tab/>
        <w:t>0</w:t>
        <w:tab/>
        <w:t>-9,062,206</w:t>
        <w:tab/>
      </w:r>
      <w:r>
        <w:rPr>
          <w:rFonts w:ascii="宋体" w:hAnsi="宋体" w:cs="宋体" w:eastAsia="宋体" w:hint="default"/>
          <w:w w:val="55"/>
          <w:sz w:val="16"/>
          <w:szCs w:val="16"/>
        </w:rPr>
        <w:t>/</w:t>
        <w:tab/>
      </w:r>
      <w:r>
        <w:rPr>
          <w:rFonts w:ascii="宋体" w:hAnsi="宋体" w:cs="宋体" w:eastAsia="宋体" w:hint="default"/>
          <w:w w:val="95"/>
          <w:sz w:val="16"/>
          <w:szCs w:val="16"/>
        </w:rPr>
        <w:t>/</w:t>
      </w:r>
      <w:r>
        <w:rPr>
          <w:rFonts w:ascii="宋体" w:hAnsi="宋体" w:cs="宋体" w:eastAsia="宋体" w:hint="default"/>
          <w:sz w:val="16"/>
          <w:szCs w:val="16"/>
        </w:rPr>
      </w:r>
    </w:p>
    <w:p>
      <w:pPr>
        <w:spacing w:line="240" w:lineRule="auto" w:before="12"/>
        <w:rPr>
          <w:rFonts w:ascii="宋体" w:hAnsi="宋体" w:cs="宋体" w:eastAsia="宋体" w:hint="default"/>
          <w:sz w:val="20"/>
          <w:szCs w:val="20"/>
        </w:rPr>
      </w:pPr>
    </w:p>
    <w:p>
      <w:pPr>
        <w:pStyle w:val="BodyText"/>
        <w:spacing w:line="285" w:lineRule="auto" w:before="31"/>
        <w:ind w:left="684" w:right="166"/>
        <w:jc w:val="both"/>
        <w:rPr>
          <w:rFonts w:ascii="宋体" w:hAnsi="宋体" w:cs="宋体" w:eastAsia="宋体" w:hint="default"/>
        </w:rPr>
      </w:pPr>
      <w:r>
        <w:rPr>
          <w:rFonts w:ascii="宋体" w:hAnsi="宋体" w:cs="宋体" w:eastAsia="宋体" w:hint="default"/>
        </w:rPr>
        <w:t>本公司的子公司于报告期持有交通银行股份有限公司于上海证券交易所上市的</w:t>
      </w:r>
      <w:r>
        <w:rPr>
          <w:rFonts w:ascii="宋体" w:hAnsi="宋体" w:cs="宋体" w:eastAsia="宋体" w:hint="default"/>
          <w:spacing w:val="-45"/>
        </w:rPr>
        <w:t> </w:t>
      </w:r>
      <w:r>
        <w:rPr>
          <w:rFonts w:ascii="宋体" w:hAnsi="宋体" w:cs="宋体" w:eastAsia="宋体" w:hint="default"/>
          <w:w w:val="132"/>
        </w:rPr>
        <w:t>A</w:t>
      </w:r>
      <w:r>
        <w:rPr>
          <w:rFonts w:ascii="宋体" w:hAnsi="宋体" w:cs="宋体" w:eastAsia="宋体" w:hint="default"/>
          <w:spacing w:val="-75"/>
          <w:w w:val="132"/>
        </w:rPr>
        <w:t> </w:t>
      </w:r>
      <w:r>
        <w:rPr>
          <w:rFonts w:ascii="宋体" w:hAnsi="宋体" w:cs="宋体" w:eastAsia="宋体" w:hint="default"/>
        </w:rPr>
        <w:t>股普通股股份约</w:t>
      </w:r>
      <w:r>
        <w:rPr>
          <w:rFonts w:ascii="宋体" w:hAnsi="宋体" w:cs="宋体" w:eastAsia="宋体" w:hint="default"/>
          <w:spacing w:val="-45"/>
        </w:rPr>
        <w:t> </w:t>
      </w:r>
      <w:r>
        <w:rPr>
          <w:rFonts w:ascii="宋体" w:hAnsi="宋体" w:cs="宋体" w:eastAsia="宋体" w:hint="default"/>
          <w:spacing w:val="-1"/>
          <w:w w:val="99"/>
        </w:rPr>
        <w:t>2,538</w:t>
      </w:r>
      <w:r>
        <w:rPr>
          <w:rFonts w:ascii="宋体" w:hAnsi="宋体" w:cs="宋体" w:eastAsia="宋体" w:hint="default"/>
          <w:spacing w:val="-45"/>
          <w:w w:val="99"/>
        </w:rPr>
        <w:t> </w:t>
      </w:r>
      <w:r>
        <w:rPr>
          <w:rFonts w:ascii="宋体" w:hAnsi="宋体" w:cs="宋体" w:eastAsia="宋体" w:hint="default"/>
        </w:rPr>
        <w:t>万股，约占</w:t>
      </w:r>
      <w:r>
        <w:rPr>
          <w:rFonts w:ascii="宋体" w:hAnsi="宋体" w:cs="宋体" w:eastAsia="宋体" w:hint="default"/>
        </w:rPr>
        <w:t> 交通银行股份有限公司总股份的</w:t>
      </w:r>
      <w:r>
        <w:rPr>
          <w:rFonts w:ascii="宋体" w:hAnsi="宋体" w:cs="宋体" w:eastAsia="宋体" w:hint="default"/>
          <w:spacing w:val="-62"/>
        </w:rPr>
        <w:t> </w:t>
      </w:r>
      <w:r>
        <w:rPr>
          <w:rFonts w:ascii="宋体" w:hAnsi="宋体" w:cs="宋体" w:eastAsia="宋体" w:hint="default"/>
          <w:spacing w:val="-1"/>
          <w:w w:val="102"/>
        </w:rPr>
        <w:t>0.04%；除上述子公司持有的交通银行股票外，本公司所属联通红筹公司持有的国</w:t>
      </w:r>
      <w:r>
        <w:rPr>
          <w:rFonts w:ascii="宋体" w:hAnsi="宋体" w:cs="宋体" w:eastAsia="宋体" w:hint="default"/>
        </w:rPr>
        <w:t> 外的西班牙电信普通股股份约 6,420 万股，约占西班牙电信总股份的</w:t>
      </w:r>
      <w:r>
        <w:rPr>
          <w:rFonts w:ascii="宋体" w:hAnsi="宋体" w:cs="宋体" w:eastAsia="宋体" w:hint="default"/>
          <w:spacing w:val="-57"/>
        </w:rPr>
        <w:t> </w:t>
      </w:r>
      <w:r>
        <w:rPr>
          <w:rFonts w:ascii="宋体" w:hAnsi="宋体" w:cs="宋体" w:eastAsia="宋体" w:hint="default"/>
        </w:rPr>
        <w:t>1.24%。</w:t>
      </w:r>
    </w:p>
    <w:p>
      <w:pPr>
        <w:pStyle w:val="BodyText"/>
        <w:spacing w:line="240" w:lineRule="auto" w:before="123"/>
        <w:ind w:left="684" w:right="0"/>
        <w:jc w:val="both"/>
        <w:rPr>
          <w:rFonts w:ascii="宋体" w:hAnsi="宋体" w:cs="宋体" w:eastAsia="宋体" w:hint="default"/>
        </w:rPr>
      </w:pPr>
      <w:r>
        <w:rPr>
          <w:rFonts w:ascii="宋体" w:hAnsi="宋体" w:cs="宋体" w:eastAsia="宋体" w:hint="default"/>
        </w:rPr>
        <w:t>2）持有金融企业股权情况</w:t>
      </w:r>
    </w:p>
    <w:p>
      <w:pPr>
        <w:spacing w:after="0" w:line="240" w:lineRule="auto"/>
        <w:jc w:val="both"/>
        <w:rPr>
          <w:rFonts w:ascii="宋体" w:hAnsi="宋体" w:cs="宋体" w:eastAsia="宋体" w:hint="default"/>
        </w:rPr>
        <w:sectPr>
          <w:type w:val="continuous"/>
          <w:pgSz w:w="11910" w:h="16160"/>
          <w:pgMar w:top="1520" w:bottom="280" w:left="1300" w:right="680"/>
        </w:sect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1"/>
          <w:szCs w:val="11"/>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持股数量</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1"/>
          <w:szCs w:val="11"/>
        </w:rPr>
      </w:pPr>
    </w:p>
    <w:p>
      <w:pPr>
        <w:spacing w:before="0"/>
        <w:ind w:left="237" w:right="-20" w:firstLine="0"/>
        <w:jc w:val="left"/>
        <w:rPr>
          <w:rFonts w:ascii="宋体" w:hAnsi="宋体" w:cs="宋体" w:eastAsia="宋体" w:hint="default"/>
          <w:sz w:val="16"/>
          <w:szCs w:val="16"/>
        </w:rPr>
      </w:pPr>
      <w:r>
        <w:rPr>
          <w:rFonts w:ascii="宋体" w:hAnsi="宋体" w:cs="宋体" w:eastAsia="宋体" w:hint="default"/>
          <w:sz w:val="16"/>
          <w:szCs w:val="16"/>
        </w:rPr>
        <w:t>占该公司股</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1"/>
          <w:szCs w:val="11"/>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报告期</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1"/>
          <w:szCs w:val="11"/>
        </w:rPr>
      </w:pPr>
    </w:p>
    <w:p>
      <w:pPr>
        <w:spacing w:before="0"/>
        <w:ind w:left="147" w:right="-20" w:firstLine="0"/>
        <w:jc w:val="left"/>
        <w:rPr>
          <w:rFonts w:ascii="宋体" w:hAnsi="宋体" w:cs="宋体" w:eastAsia="宋体" w:hint="default"/>
          <w:sz w:val="16"/>
          <w:szCs w:val="16"/>
        </w:rPr>
      </w:pPr>
      <w:r>
        <w:rPr>
          <w:rFonts w:ascii="宋体" w:hAnsi="宋体" w:cs="宋体" w:eastAsia="宋体" w:hint="default"/>
          <w:sz w:val="16"/>
          <w:szCs w:val="16"/>
        </w:rPr>
        <w:t>报告期所有</w:t>
      </w:r>
    </w:p>
    <w:p>
      <w:pPr>
        <w:spacing w:line="240" w:lineRule="auto" w:before="2"/>
        <w:rPr>
          <w:rFonts w:ascii="宋体" w:hAnsi="宋体" w:cs="宋体" w:eastAsia="宋体" w:hint="default"/>
          <w:sz w:val="10"/>
          <w:szCs w:val="10"/>
        </w:rPr>
      </w:pPr>
      <w:r>
        <w:rPr/>
        <w:br w:type="column"/>
      </w:r>
      <w:r>
        <w:rPr>
          <w:rFonts w:ascii="宋体"/>
          <w:sz w:val="10"/>
        </w:rPr>
      </w:r>
    </w:p>
    <w:p>
      <w:pPr>
        <w:spacing w:before="0"/>
        <w:ind w:left="0" w:right="242" w:firstLine="0"/>
        <w:jc w:val="right"/>
        <w:rPr>
          <w:rFonts w:ascii="宋体" w:hAnsi="宋体" w:cs="宋体" w:eastAsia="宋体" w:hint="default"/>
          <w:sz w:val="12"/>
          <w:szCs w:val="12"/>
        </w:rPr>
      </w:pPr>
      <w:r>
        <w:rPr>
          <w:rFonts w:ascii="宋体" w:hAnsi="宋体" w:cs="宋体" w:eastAsia="宋体" w:hint="default"/>
          <w:sz w:val="12"/>
          <w:szCs w:val="12"/>
        </w:rPr>
        <w:t>单位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元</w:t>
      </w:r>
      <w:r>
        <w:rPr>
          <w:rFonts w:ascii="宋体" w:hAnsi="宋体" w:cs="宋体" w:eastAsia="宋体" w:hint="default"/>
          <w:spacing w:val="-11"/>
          <w:sz w:val="12"/>
          <w:szCs w:val="12"/>
        </w:rPr>
        <w:t> </w:t>
      </w:r>
      <w:r>
        <w:rPr>
          <w:rFonts w:ascii="宋体" w:hAnsi="宋体" w:cs="宋体" w:eastAsia="宋体" w:hint="default"/>
          <w:sz w:val="12"/>
          <w:szCs w:val="12"/>
        </w:rPr>
        <w:t>币种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人民币</w:t>
      </w:r>
    </w:p>
    <w:p>
      <w:pPr>
        <w:spacing w:before="64"/>
        <w:ind w:left="0" w:right="284" w:firstLine="0"/>
        <w:jc w:val="right"/>
        <w:rPr>
          <w:rFonts w:ascii="宋体" w:hAnsi="宋体" w:cs="宋体" w:eastAsia="宋体" w:hint="default"/>
          <w:sz w:val="16"/>
          <w:szCs w:val="16"/>
        </w:rPr>
      </w:pPr>
      <w:r>
        <w:rPr>
          <w:rFonts w:ascii="宋体" w:hAnsi="宋体" w:cs="宋体" w:eastAsia="宋体" w:hint="default"/>
          <w:sz w:val="16"/>
          <w:szCs w:val="16"/>
        </w:rPr>
        <w:t>股份</w:t>
      </w:r>
    </w:p>
    <w:p>
      <w:pPr>
        <w:spacing w:after="0"/>
        <w:jc w:val="right"/>
        <w:rPr>
          <w:rFonts w:ascii="宋体" w:hAnsi="宋体" w:cs="宋体" w:eastAsia="宋体" w:hint="default"/>
          <w:sz w:val="16"/>
          <w:szCs w:val="16"/>
        </w:rPr>
        <w:sectPr>
          <w:type w:val="continuous"/>
          <w:pgSz w:w="11910" w:h="16160"/>
          <w:pgMar w:top="1520" w:bottom="280" w:left="1300" w:right="680"/>
          <w:cols w:num="5" w:equalWidth="0">
            <w:col w:w="3829" w:space="40"/>
            <w:col w:w="1038" w:space="40"/>
            <w:col w:w="1685" w:space="40"/>
            <w:col w:w="948" w:space="40"/>
            <w:col w:w="2270"/>
          </w:cols>
        </w:sectPr>
      </w:pPr>
    </w:p>
    <w:p>
      <w:pPr>
        <w:tabs>
          <w:tab w:pos="1967" w:val="left" w:leader="none"/>
        </w:tabs>
        <w:spacing w:line="200" w:lineRule="exact" w:before="0"/>
        <w:ind w:left="799" w:right="-20" w:firstLine="0"/>
        <w:jc w:val="left"/>
        <w:rPr>
          <w:rFonts w:ascii="宋体" w:hAnsi="宋体" w:cs="宋体" w:eastAsia="宋体" w:hint="default"/>
          <w:sz w:val="16"/>
          <w:szCs w:val="16"/>
        </w:rPr>
      </w:pPr>
      <w:r>
        <w:rPr>
          <w:rFonts w:ascii="宋体" w:hAnsi="宋体" w:cs="宋体" w:eastAsia="宋体" w:hint="default"/>
          <w:sz w:val="16"/>
          <w:szCs w:val="16"/>
        </w:rPr>
        <w:t>所持对象名称</w:t>
        <w:tab/>
        <w:t>最初投资金额</w:t>
      </w:r>
    </w:p>
    <w:p>
      <w:pPr>
        <w:spacing w:line="200" w:lineRule="exact" w:before="0"/>
        <w:ind w:left="301"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（股）</w:t>
      </w:r>
    </w:p>
    <w:p>
      <w:pPr>
        <w:spacing w:line="200" w:lineRule="exact" w:before="0"/>
        <w:ind w:left="293" w:right="-18" w:firstLine="0"/>
        <w:jc w:val="left"/>
        <w:rPr>
          <w:rFonts w:ascii="宋体" w:hAnsi="宋体" w:cs="宋体" w:eastAsia="宋体" w:hint="default"/>
          <w:sz w:val="16"/>
          <w:szCs w:val="16"/>
        </w:rPr>
      </w:pPr>
      <w:r>
        <w:rPr>
          <w:spacing w:val="-3"/>
          <w:w w:val="105"/>
        </w:rPr>
        <w:br w:type="column"/>
      </w:r>
      <w:r>
        <w:rPr>
          <w:rFonts w:ascii="宋体" w:hAnsi="宋体" w:cs="宋体" w:eastAsia="宋体" w:hint="default"/>
          <w:spacing w:val="-3"/>
          <w:w w:val="105"/>
          <w:sz w:val="16"/>
          <w:szCs w:val="16"/>
        </w:rPr>
        <w:t>权比例（%）</w:t>
      </w:r>
      <w:r>
        <w:rPr>
          <w:rFonts w:ascii="宋体" w:hAnsi="宋体" w:cs="宋体" w:eastAsia="宋体" w:hint="default"/>
          <w:spacing w:val="21"/>
          <w:w w:val="105"/>
          <w:sz w:val="16"/>
          <w:szCs w:val="16"/>
        </w:rPr>
        <w:t> </w:t>
      </w:r>
      <w:r>
        <w:rPr>
          <w:rFonts w:ascii="宋体" w:hAnsi="宋体" w:cs="宋体" w:eastAsia="宋体" w:hint="default"/>
          <w:w w:val="105"/>
          <w:sz w:val="16"/>
          <w:szCs w:val="16"/>
        </w:rPr>
        <w:t>期末账面值</w:t>
      </w:r>
    </w:p>
    <w:p>
      <w:pPr>
        <w:tabs>
          <w:tab w:pos="843" w:val="left" w:leader="none"/>
          <w:tab w:pos="1995" w:val="left" w:leader="none"/>
          <w:tab w:pos="3342" w:val="left" w:leader="none"/>
        </w:tabs>
        <w:spacing w:line="200" w:lineRule="exact" w:before="0"/>
        <w:ind w:left="255"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损益</w:t>
        <w:tab/>
        <w:t>者权益变动</w:t>
        <w:tab/>
        <w:t>会计核算科目</w:t>
        <w:tab/>
        <w:t>来源</w:t>
      </w:r>
    </w:p>
    <w:p>
      <w:pPr>
        <w:spacing w:after="0" w:line="200" w:lineRule="exact"/>
        <w:jc w:val="left"/>
        <w:rPr>
          <w:rFonts w:ascii="宋体" w:hAnsi="宋体" w:cs="宋体" w:eastAsia="宋体" w:hint="default"/>
          <w:sz w:val="16"/>
          <w:szCs w:val="16"/>
        </w:rPr>
        <w:sectPr>
          <w:type w:val="continuous"/>
          <w:pgSz w:w="11910" w:h="16160"/>
          <w:pgMar w:top="1520" w:bottom="280" w:left="1300" w:right="680"/>
          <w:cols w:num="4" w:equalWidth="0">
            <w:col w:w="2928" w:space="40"/>
            <w:col w:w="782" w:space="40"/>
            <w:col w:w="2147" w:space="40"/>
            <w:col w:w="3953"/>
          </w:cols>
        </w:sectPr>
      </w:pPr>
    </w:p>
    <w:p>
      <w:pPr>
        <w:spacing w:line="240" w:lineRule="auto" w:before="2"/>
        <w:rPr>
          <w:rFonts w:ascii="宋体" w:hAnsi="宋体" w:cs="宋体" w:eastAsia="宋体" w:hint="default"/>
          <w:sz w:val="12"/>
          <w:szCs w:val="12"/>
        </w:rPr>
      </w:pPr>
      <w:r>
        <w:rPr/>
        <w:pict>
          <v:group style="position:absolute;margin-left:-.500001pt;margin-top:-1.499958pt;width:596.3pt;height:809.9pt;mso-position-horizontal-relative:page;mso-position-vertical-relative:page;z-index:-966496" coordorigin="-10,-30" coordsize="11926,16198">
            <v:group style="position:absolute;left:0;top:0;width:11906;height:16158" coordorigin="0,0" coordsize="11906,16158">
              <v:shape style="position:absolute;left:0;top:0;width:11906;height:16158" coordorigin="0,0" coordsize="11906,16158" path="m444,16157l0,16157,0,9987,9267,0,11906,0,11906,3804,444,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7570,16157l0,16157,0,10672,9902,0,11906,0,11906,11485,7570,16157xe" filled="true" fillcolor="#d7000f" stroked="false">
                <v:path arrowok="t"/>
                <v:fill type="solid"/>
              </v:shape>
            </v:group>
            <v:group style="position:absolute;left:0;top:0;width:226;height:233" coordorigin="0,0" coordsize="226,233">
              <v:shape style="position:absolute;left:0;top:0;width:226;height:233" coordorigin="0,0" coordsize="226,233" path="m0,233l225,0e" filled="false" stroked="true" strokeweight="1pt" strokecolor="#9c8758">
                <v:path arrowok="t"/>
              </v:shape>
              <v:shape style="position:absolute;left:3646;top:14163;width:340;height:340" type="#_x0000_t75" stroked="false">
                <v:imagedata r:id="rId94" o:title=""/>
              </v:shape>
            </v:group>
            <v:group style="position:absolute;left:3802;top:11470;width:2786;height:2878" coordorigin="3802,11470" coordsize="2786,2878">
              <v:shape style="position:absolute;left:3802;top:11470;width:2786;height:2878" coordorigin="3802,11470" coordsize="2786,2878" path="m3802,14347l6587,11470e" filled="false" stroked="true" strokeweight="1pt" strokecolor="#9c8758">
                <v:path arrowok="t"/>
              </v:shape>
              <v:shape style="position:absolute;left:5371;top:1794;width:268;height:268" type="#_x0000_t75" stroked="false">
                <v:imagedata r:id="rId95" o:title=""/>
              </v:shape>
            </v:group>
            <v:group style="position:absolute;left:5412;top:0;width:1951;height:2021" coordorigin="5412,0" coordsize="1951,2021">
              <v:shape style="position:absolute;left:5412;top:0;width:1951;height:2021" coordorigin="5412,0" coordsize="1951,2021" path="m5412,2021l7362,0e" filled="false" stroked="true" strokeweight="3pt" strokecolor="#8e9090">
                <v:path arrowok="t"/>
              </v:shape>
            </v:group>
            <v:group style="position:absolute;left:5897;top:7258;width:3956;height:4261" coordorigin="5897,7258" coordsize="3956,4261">
              <v:shape style="position:absolute;left:5897;top:7258;width:3956;height:4261" coordorigin="5897,7258" coordsize="3956,4261" path="m9853,7258l5897,11519e" filled="false" stroked="true" strokeweight="1pt" strokecolor="#8e9090">
                <v:path arrowok="t"/>
              </v:shape>
              <v:shape style="position:absolute;left:9701;top:7144;width:267;height:267" type="#_x0000_t75" stroked="false">
                <v:imagedata r:id="rId96" o:title=""/>
              </v:shape>
            </v:group>
            <v:group style="position:absolute;left:10549;top:492;width:1357;height:1470" coordorigin="10549,492" coordsize="1357,1470">
              <v:shape style="position:absolute;left:10549;top:492;width:1357;height:1470" coordorigin="10549,492" coordsize="1357,1470" path="m10549,1962l11906,492e" filled="false" stroked="true" strokeweight="1.0pt" strokecolor="#000000">
                <v:path arrowok="t"/>
              </v:shape>
              <v:shape style="position:absolute;left:10433;top:1808;width:268;height:268" type="#_x0000_t75" stroked="false">
                <v:imagedata r:id="rId97" o:title=""/>
              </v:shape>
              <v:shape style="position:absolute;left:6152;top:14060;width:340;height:340" type="#_x0000_t75" stroked="false">
                <v:imagedata r:id="rId98" o:title=""/>
              </v:shape>
            </v:group>
            <v:group style="position:absolute;left:6308;top:8369;width:5598;height:5875" coordorigin="6308,8369" coordsize="5598,5875">
              <v:shape style="position:absolute;left:6308;top:8369;width:5598;height:5875" coordorigin="6308,8369" coordsize="5598,5875" path="m6308,14244l11906,8369e" filled="false" stroked="true" strokeweight="1pt" strokecolor="#9c8758">
                <v:path arrowok="t"/>
              </v:shape>
              <v:shape style="position:absolute;left:9278;top:8801;width:340;height:340" type="#_x0000_t75" stroked="false">
                <v:imagedata r:id="rId91" o:title=""/>
              </v:shape>
            </v:group>
            <v:group style="position:absolute;left:2678;top:8914;width:6827;height:7244" coordorigin="2678,8914" coordsize="6827,7244">
              <v:shape style="position:absolute;left:2678;top:8914;width:6827;height:7244" coordorigin="2678,8914" coordsize="6827,7244" path="m9504,8914l2678,16157e" filled="false" stroked="true" strokeweight="1pt" strokecolor="#000000">
                <v:path arrowok="t"/>
              </v:shape>
            </v:group>
            <v:group style="position:absolute;left:0;top:0;width:3168;height:3265" coordorigin="0,0" coordsize="3168,3265">
              <v:shape style="position:absolute;left:0;top:0;width:3168;height:3265" coordorigin="0,0" coordsize="3168,3265" path="m0,3265l3168,0e" filled="false" stroked="true" strokeweight="1pt" strokecolor="#d7000f">
                <v:path arrowok="t"/>
              </v:shape>
            </v:group>
            <v:group style="position:absolute;left:0;top:8308;width:1248;height:7850" coordorigin="0,8308" coordsize="1248,7850">
              <v:shape style="position:absolute;left:0;top:8308;width:1248;height:7850" coordorigin="0,8308" coordsize="1248,7850" path="m0,16157l1247,16157,1247,8308,0,8308,0,16157xe" filled="true" fillcolor="#ffffff" stroked="false">
                <v:path arrowok="t"/>
                <v:fill type="solid"/>
              </v:shape>
            </v:group>
            <v:group style="position:absolute;left:1247;top:2154;width:10659;height:14004" coordorigin="1247,2154" coordsize="10659,14004">
              <v:shape style="position:absolute;left:1247;top:2154;width:10659;height:14004" coordorigin="1247,2154" coordsize="10659,14004" path="m11906,16157l11906,2154,1247,2154,1247,16157,11906,16157xe" filled="true" fillcolor="#ffffff" stroked="false">
                <v:path arrowok="t"/>
                <v:fill type="solid"/>
              </v:shape>
            </v:group>
            <v:group style="position:absolute;left:1984;top:10126;width:1021;height:2" coordorigin="1984,10126" coordsize="1021,2">
              <v:shape style="position:absolute;left:1984;top:10126;width:1021;height:2" coordorigin="1984,10126" coordsize="1021,0" path="m1984,10126l3005,10126e" filled="false" stroked="true" strokeweight="2pt" strokecolor="#9c8758">
                <v:path arrowok="t"/>
              </v:shape>
            </v:group>
            <v:group style="position:absolute;left:3005;top:10126;width:879;height:2" coordorigin="3005,10126" coordsize="879,2">
              <v:shape style="position:absolute;left:3005;top:10126;width:879;height:2" coordorigin="3005,10126" coordsize="879,0" path="m3005,10126l3883,10126e" filled="false" stroked="true" strokeweight="2pt" strokecolor="#9c8758">
                <v:path arrowok="t"/>
              </v:shape>
            </v:group>
            <v:group style="position:absolute;left:3883;top:10126;width:978;height:2" coordorigin="3883,10126" coordsize="978,2">
              <v:shape style="position:absolute;left:3883;top:10126;width:978;height:2" coordorigin="3883,10126" coordsize="978,0" path="m3883,10126l4861,10126e" filled="false" stroked="true" strokeweight="2pt" strokecolor="#9c8758">
                <v:path arrowok="t"/>
              </v:shape>
            </v:group>
            <v:group style="position:absolute;left:4861;top:10126;width:1089;height:2" coordorigin="4861,10126" coordsize="1089,2">
              <v:shape style="position:absolute;left:4861;top:10126;width:1089;height:2" coordorigin="4861,10126" coordsize="1089,0" path="m4861,10126l5950,10126e" filled="false" stroked="true" strokeweight="2pt" strokecolor="#9c8758">
                <v:path arrowok="t"/>
              </v:shape>
            </v:group>
            <v:group style="position:absolute;left:5950;top:10126;width:1134;height:2" coordorigin="5950,10126" coordsize="1134,2">
              <v:shape style="position:absolute;left:5950;top:10126;width:1134;height:2" coordorigin="5950,10126" coordsize="1134,0" path="m5950,10126l7084,10126e" filled="false" stroked="true" strokeweight="2pt" strokecolor="#9c8758">
                <v:path arrowok="t"/>
              </v:shape>
            </v:group>
            <v:group style="position:absolute;left:7084;top:10126;width:709;height:2" coordorigin="7084,10126" coordsize="709,2">
              <v:shape style="position:absolute;left:7084;top:10126;width:709;height:2" coordorigin="7084,10126" coordsize="709,0" path="m7084,10126l7792,10126e" filled="false" stroked="true" strokeweight="2pt" strokecolor="#9c8758">
                <v:path arrowok="t"/>
              </v:shape>
            </v:group>
            <v:group style="position:absolute;left:7792;top:10126;width:1106;height:2" coordorigin="7792,10126" coordsize="1106,2">
              <v:shape style="position:absolute;left:7792;top:10126;width:1106;height:2" coordorigin="7792,10126" coordsize="1106,0" path="m7792,10126l8898,10126e" filled="false" stroked="true" strokeweight="2pt" strokecolor="#9c8758">
                <v:path arrowok="t"/>
              </v:shape>
            </v:group>
            <v:group style="position:absolute;left:8898;top:10126;width:1588;height:2" coordorigin="8898,10126" coordsize="1588,2">
              <v:shape style="position:absolute;left:8898;top:10126;width:1588;height:2" coordorigin="8898,10126" coordsize="1588,0" path="m8898,10126l10485,10126e" filled="false" stroked="true" strokeweight="2pt" strokecolor="#9c8758">
                <v:path arrowok="t"/>
              </v:shape>
            </v:group>
            <v:group style="position:absolute;left:10485;top:10126;width:567;height:2" coordorigin="10485,10126" coordsize="567,2">
              <v:shape style="position:absolute;left:10485;top:10126;width:567;height:2" coordorigin="10485,10126" coordsize="567,0" path="m10485,10126l11052,10126e" filled="false" stroked="true" strokeweight="2pt" strokecolor="#9c8758">
                <v:path arrowok="t"/>
              </v:shape>
            </v:group>
            <v:group style="position:absolute;left:1984;top:10821;width:1021;height:2" coordorigin="1984,10821" coordsize="1021,2">
              <v:shape style="position:absolute;left:1984;top:10821;width:1021;height:2" coordorigin="1984,10821" coordsize="1021,0" path="m1984,10821l3005,10821e" filled="false" stroked="true" strokeweight=".5pt" strokecolor="#000000">
                <v:path arrowok="t"/>
              </v:shape>
            </v:group>
            <v:group style="position:absolute;left:3005;top:10821;width:879;height:2" coordorigin="3005,10821" coordsize="879,2">
              <v:shape style="position:absolute;left:3005;top:10821;width:879;height:2" coordorigin="3005,10821" coordsize="879,0" path="m3005,10821l3883,10821e" filled="false" stroked="true" strokeweight=".5pt" strokecolor="#000000">
                <v:path arrowok="t"/>
              </v:shape>
            </v:group>
            <v:group style="position:absolute;left:3883;top:10821;width:978;height:2" coordorigin="3883,10821" coordsize="978,2">
              <v:shape style="position:absolute;left:3883;top:10821;width:978;height:2" coordorigin="3883,10821" coordsize="978,0" path="m3883,10821l4861,10821e" filled="false" stroked="true" strokeweight=".5pt" strokecolor="#000000">
                <v:path arrowok="t"/>
              </v:shape>
            </v:group>
            <v:group style="position:absolute;left:4861;top:10821;width:1089;height:2" coordorigin="4861,10821" coordsize="1089,2">
              <v:shape style="position:absolute;left:4861;top:10821;width:1089;height:2" coordorigin="4861,10821" coordsize="1089,0" path="m4861,10821l5950,10821e" filled="false" stroked="true" strokeweight=".5pt" strokecolor="#000000">
                <v:path arrowok="t"/>
              </v:shape>
            </v:group>
            <v:group style="position:absolute;left:5950;top:10821;width:1134;height:2" coordorigin="5950,10821" coordsize="1134,2">
              <v:shape style="position:absolute;left:5950;top:10821;width:1134;height:2" coordorigin="5950,10821" coordsize="1134,0" path="m5950,10821l7084,10821e" filled="false" stroked="true" strokeweight=".5pt" strokecolor="#000000">
                <v:path arrowok="t"/>
              </v:shape>
            </v:group>
            <v:group style="position:absolute;left:7084;top:10821;width:709;height:2" coordorigin="7084,10821" coordsize="709,2">
              <v:shape style="position:absolute;left:7084;top:10821;width:709;height:2" coordorigin="7084,10821" coordsize="709,0" path="m7084,10821l7792,10821e" filled="false" stroked="true" strokeweight=".5pt" strokecolor="#000000">
                <v:path arrowok="t"/>
              </v:shape>
            </v:group>
            <v:group style="position:absolute;left:7792;top:10821;width:1106;height:2" coordorigin="7792,10821" coordsize="1106,2">
              <v:shape style="position:absolute;left:7792;top:10821;width:1106;height:2" coordorigin="7792,10821" coordsize="1106,0" path="m7792,10821l8898,10821e" filled="false" stroked="true" strokeweight=".5pt" strokecolor="#000000">
                <v:path arrowok="t"/>
              </v:shape>
            </v:group>
            <v:group style="position:absolute;left:8898;top:10821;width:1588;height:2" coordorigin="8898,10821" coordsize="1588,2">
              <v:shape style="position:absolute;left:8898;top:10821;width:1588;height:2" coordorigin="8898,10821" coordsize="1588,0" path="m8898,10821l10485,10821e" filled="false" stroked="true" strokeweight=".5pt" strokecolor="#000000">
                <v:path arrowok="t"/>
              </v:shape>
            </v:group>
            <v:group style="position:absolute;left:10485;top:10821;width:567;height:2" coordorigin="10485,10821" coordsize="567,2">
              <v:shape style="position:absolute;left:10485;top:10821;width:567;height:2" coordorigin="10485,10821" coordsize="567,0" path="m10485,10821l11052,10821e" filled="false" stroked="true" strokeweight=".5pt" strokecolor="#000000">
                <v:path arrowok="t"/>
              </v:shape>
            </v:group>
            <v:group style="position:absolute;left:1984;top:13063;width:1191;height:2" coordorigin="1984,13063" coordsize="1191,2">
              <v:shape style="position:absolute;left:1984;top:13063;width:1191;height:2" coordorigin="1984,13063" coordsize="1191,0" path="m1984,13063l3175,13063e" filled="false" stroked="true" strokeweight="2pt" strokecolor="#9c8758">
                <v:path arrowok="t"/>
              </v:shape>
            </v:group>
            <v:group style="position:absolute;left:3175;top:13063;width:1146;height:2" coordorigin="3175,13063" coordsize="1146,2">
              <v:shape style="position:absolute;left:3175;top:13063;width:1146;height:2" coordorigin="3175,13063" coordsize="1146,0" path="m3175,13063l4320,13063e" filled="false" stroked="true" strokeweight="2pt" strokecolor="#9c8758">
                <v:path arrowok="t"/>
              </v:shape>
            </v:group>
            <v:group style="position:absolute;left:4320;top:13063;width:978;height:2" coordorigin="4320,13063" coordsize="978,2">
              <v:shape style="position:absolute;left:4320;top:13063;width:978;height:2" coordorigin="4320,13063" coordsize="978,0" path="m4320,13063l5298,13063e" filled="false" stroked="true" strokeweight="2pt" strokecolor="#9c8758">
                <v:path arrowok="t"/>
              </v:shape>
            </v:group>
            <v:group style="position:absolute;left:5298;top:13063;width:1018;height:2" coordorigin="5298,13063" coordsize="1018,2">
              <v:shape style="position:absolute;left:5298;top:13063;width:1018;height:2" coordorigin="5298,13063" coordsize="1018,0" path="m5298,13063l6316,13063e" filled="false" stroked="true" strokeweight="2pt" strokecolor="#9c8758">
                <v:path arrowok="t"/>
              </v:shape>
            </v:group>
            <v:group style="position:absolute;left:6316;top:13063;width:1041;height:2" coordorigin="6316,13063" coordsize="1041,2">
              <v:shape style="position:absolute;left:6316;top:13063;width:1041;height:2" coordorigin="6316,13063" coordsize="1041,0" path="m6316,13063l7356,13063e" filled="false" stroked="true" strokeweight="2pt" strokecolor="#9c8758">
                <v:path arrowok="t"/>
              </v:shape>
            </v:group>
            <v:group style="position:absolute;left:7356;top:13063;width:672;height:2" coordorigin="7356,13063" coordsize="672,2">
              <v:shape style="position:absolute;left:7356;top:13063;width:672;height:2" coordorigin="7356,13063" coordsize="672,0" path="m7356,13063l8028,13063e" filled="false" stroked="true" strokeweight="2pt" strokecolor="#9c8758">
                <v:path arrowok="t"/>
              </v:shape>
            </v:group>
            <v:group style="position:absolute;left:8028;top:13063;width:984;height:2" coordorigin="8028,13063" coordsize="984,2">
              <v:shape style="position:absolute;left:8028;top:13063;width:984;height:2" coordorigin="8028,13063" coordsize="984,0" path="m8028,13063l9011,13063e" filled="false" stroked="true" strokeweight="2pt" strokecolor="#9c8758">
                <v:path arrowok="t"/>
              </v:shape>
            </v:group>
            <v:group style="position:absolute;left:9011;top:13063;width:1480;height:2" coordorigin="9011,13063" coordsize="1480,2">
              <v:shape style="position:absolute;left:9011;top:13063;width:1480;height:2" coordorigin="9011,13063" coordsize="1480,0" path="m9011,13063l10491,13063e" filled="false" stroked="true" strokeweight="2pt" strokecolor="#9c8758">
                <v:path arrowok="t"/>
              </v:shape>
            </v:group>
            <v:group style="position:absolute;left:10491;top:13063;width:576;height:2" coordorigin="10491,13063" coordsize="576,2">
              <v:shape style="position:absolute;left:10491;top:13063;width:576;height:2" coordorigin="10491,13063" coordsize="576,0" path="m10491,13063l11066,13063e" filled="false" stroked="true" strokeweight="2pt" strokecolor="#9c8758">
                <v:path arrowok="t"/>
              </v:shape>
            </v:group>
            <v:group style="position:absolute;left:1984;top:13758;width:1191;height:2" coordorigin="1984,13758" coordsize="1191,2">
              <v:shape style="position:absolute;left:1984;top:13758;width:1191;height:2" coordorigin="1984,13758" coordsize="1191,0" path="m1984,13758l3175,13758e" filled="false" stroked="true" strokeweight=".5pt" strokecolor="#000000">
                <v:path arrowok="t"/>
              </v:shape>
            </v:group>
            <v:group style="position:absolute;left:3175;top:13758;width:1146;height:2" coordorigin="3175,13758" coordsize="1146,2">
              <v:shape style="position:absolute;left:3175;top:13758;width:1146;height:2" coordorigin="3175,13758" coordsize="1146,0" path="m3175,13758l4320,13758e" filled="false" stroked="true" strokeweight=".5pt" strokecolor="#000000">
                <v:path arrowok="t"/>
              </v:shape>
            </v:group>
            <v:group style="position:absolute;left:4320;top:13758;width:978;height:2" coordorigin="4320,13758" coordsize="978,2">
              <v:shape style="position:absolute;left:4320;top:13758;width:978;height:2" coordorigin="4320,13758" coordsize="978,0" path="m4320,13758l5298,13758e" filled="false" stroked="true" strokeweight=".5pt" strokecolor="#000000">
                <v:path arrowok="t"/>
              </v:shape>
            </v:group>
            <v:group style="position:absolute;left:5298;top:13758;width:1018;height:2" coordorigin="5298,13758" coordsize="1018,2">
              <v:shape style="position:absolute;left:5298;top:13758;width:1018;height:2" coordorigin="5298,13758" coordsize="1018,0" path="m5298,13758l6316,13758e" filled="false" stroked="true" strokeweight=".5pt" strokecolor="#000000">
                <v:path arrowok="t"/>
              </v:shape>
            </v:group>
            <v:group style="position:absolute;left:6316;top:13758;width:1041;height:2" coordorigin="6316,13758" coordsize="1041,2">
              <v:shape style="position:absolute;left:6316;top:13758;width:1041;height:2" coordorigin="6316,13758" coordsize="1041,0" path="m6316,13758l7356,13758e" filled="false" stroked="true" strokeweight=".5pt" strokecolor="#000000">
                <v:path arrowok="t"/>
              </v:shape>
            </v:group>
            <v:group style="position:absolute;left:7356;top:13758;width:672;height:2" coordorigin="7356,13758" coordsize="672,2">
              <v:shape style="position:absolute;left:7356;top:13758;width:672;height:2" coordorigin="7356,13758" coordsize="672,0" path="m7356,13758l8028,13758e" filled="false" stroked="true" strokeweight=".5pt" strokecolor="#000000">
                <v:path arrowok="t"/>
              </v:shape>
            </v:group>
            <v:group style="position:absolute;left:8028;top:13758;width:984;height:2" coordorigin="8028,13758" coordsize="984,2">
              <v:shape style="position:absolute;left:8028;top:13758;width:984;height:2" coordorigin="8028,13758" coordsize="984,0" path="m8028,13758l9011,13758e" filled="false" stroked="true" strokeweight=".5pt" strokecolor="#000000">
                <v:path arrowok="t"/>
              </v:shape>
            </v:group>
            <v:group style="position:absolute;left:9011;top:13758;width:1480;height:2" coordorigin="9011,13758" coordsize="1480,2">
              <v:shape style="position:absolute;left:9011;top:13758;width:1480;height:2" coordorigin="9011,13758" coordsize="1480,0" path="m9011,13758l10491,13758e" filled="false" stroked="true" strokeweight=".5pt" strokecolor="#000000">
                <v:path arrowok="t"/>
              </v:shape>
            </v:group>
            <v:group style="position:absolute;left:10491;top:13758;width:576;height:2" coordorigin="10491,13758" coordsize="576,2">
              <v:shape style="position:absolute;left:10491;top:13758;width:576;height:2" coordorigin="10491,13758" coordsize="576,0" path="m10491,13758l11066,13758e" filled="false" stroked="true" strokeweight=".5pt" strokecolor="#000000">
                <v:path arrowok="t"/>
              </v:shape>
            </v:group>
            <w10:wrap type="none"/>
          </v:group>
        </w:pict>
      </w:r>
    </w:p>
    <w:p>
      <w:pPr>
        <w:tabs>
          <w:tab w:pos="1760" w:val="left" w:leader="none"/>
          <w:tab w:pos="2866" w:val="left" w:leader="none"/>
          <w:tab w:pos="4064" w:val="left" w:leader="none"/>
          <w:tab w:pos="4849" w:val="left" w:leader="none"/>
          <w:tab w:pos="6060" w:val="left" w:leader="none"/>
          <w:tab w:pos="6888" w:val="left" w:leader="none"/>
          <w:tab w:pos="7684" w:val="left" w:leader="none"/>
          <w:tab w:pos="9031" w:val="left" w:leader="none"/>
        </w:tabs>
        <w:spacing w:before="38"/>
        <w:ind w:left="512" w:right="0" w:firstLine="0"/>
        <w:jc w:val="center"/>
        <w:rPr>
          <w:rFonts w:ascii="宋体" w:hAnsi="宋体" w:cs="宋体" w:eastAsia="宋体" w:hint="default"/>
          <w:sz w:val="16"/>
          <w:szCs w:val="16"/>
        </w:rPr>
      </w:pPr>
      <w:r>
        <w:rPr>
          <w:rFonts w:ascii="宋体" w:hAnsi="宋体" w:cs="宋体" w:eastAsia="宋体" w:hint="default"/>
          <w:sz w:val="16"/>
          <w:szCs w:val="16"/>
        </w:rPr>
        <w:t>广东发展银行</w:t>
        <w:tab/>
      </w:r>
      <w:r>
        <w:rPr>
          <w:rFonts w:ascii="宋体" w:hAnsi="宋体" w:cs="宋体" w:eastAsia="宋体" w:hint="default"/>
          <w:w w:val="95"/>
          <w:sz w:val="16"/>
          <w:szCs w:val="16"/>
        </w:rPr>
        <w:t>19,730,271</w:t>
        <w:tab/>
        <w:t>7,356,985</w:t>
        <w:tab/>
        <w:t>0.05</w:t>
        <w:tab/>
        <w:t>19,730,271</w:t>
        <w:tab/>
      </w:r>
      <w:r>
        <w:rPr>
          <w:rFonts w:ascii="宋体" w:hAnsi="宋体" w:cs="宋体" w:eastAsia="宋体" w:hint="default"/>
          <w:sz w:val="16"/>
          <w:szCs w:val="16"/>
        </w:rPr>
        <w:t>0</w:t>
        <w:tab/>
        <w:t>0</w:t>
        <w:tab/>
        <w:t>其他权益工具</w:t>
        <w:tab/>
        <w:t>购买</w:t>
      </w:r>
    </w:p>
    <w:p>
      <w:pPr>
        <w:tabs>
          <w:tab w:pos="1622" w:val="left" w:leader="none"/>
          <w:tab w:pos="2728" w:val="left" w:leader="none"/>
          <w:tab w:pos="3926" w:val="left" w:leader="none"/>
          <w:tab w:pos="4711" w:val="left" w:leader="none"/>
          <w:tab w:pos="5922" w:val="left" w:leader="none"/>
          <w:tab w:pos="6749" w:val="left" w:leader="none"/>
          <w:tab w:pos="8003" w:val="left" w:leader="none"/>
          <w:tab w:pos="9031" w:val="left" w:leader="none"/>
        </w:tabs>
        <w:spacing w:before="64"/>
        <w:ind w:left="694" w:right="0" w:firstLine="0"/>
        <w:jc w:val="center"/>
        <w:rPr>
          <w:rFonts w:ascii="宋体" w:hAnsi="宋体" w:cs="宋体" w:eastAsia="宋体" w:hint="default"/>
          <w:sz w:val="16"/>
          <w:szCs w:val="16"/>
        </w:rPr>
      </w:pPr>
      <w:r>
        <w:rPr>
          <w:rFonts w:ascii="宋体" w:hAnsi="宋体" w:cs="宋体" w:eastAsia="宋体" w:hint="default"/>
          <w:sz w:val="16"/>
          <w:szCs w:val="16"/>
        </w:rPr>
        <w:t>合计</w:t>
        <w:tab/>
      </w:r>
      <w:r>
        <w:rPr>
          <w:rFonts w:ascii="宋体" w:hAnsi="宋体" w:cs="宋体" w:eastAsia="宋体" w:hint="default"/>
          <w:w w:val="95"/>
          <w:sz w:val="16"/>
          <w:szCs w:val="16"/>
        </w:rPr>
        <w:t>19,730,271</w:t>
        <w:tab/>
        <w:t>7,356,985</w:t>
        <w:tab/>
        <w:t>0.05</w:t>
        <w:tab/>
        <w:t>19,730,271</w:t>
        <w:tab/>
      </w:r>
      <w:r>
        <w:rPr>
          <w:rFonts w:ascii="宋体" w:hAnsi="宋体" w:cs="宋体" w:eastAsia="宋体" w:hint="default"/>
          <w:sz w:val="16"/>
          <w:szCs w:val="16"/>
        </w:rPr>
        <w:t>0</w:t>
        <w:tab/>
        <w:t>0</w:t>
        <w:tab/>
      </w:r>
      <w:r>
        <w:rPr>
          <w:rFonts w:ascii="宋体" w:hAnsi="宋体" w:cs="宋体" w:eastAsia="宋体" w:hint="default"/>
          <w:w w:val="55"/>
          <w:sz w:val="16"/>
          <w:szCs w:val="16"/>
        </w:rPr>
        <w:t>/</w:t>
        <w:tab/>
      </w:r>
      <w:r>
        <w:rPr>
          <w:rFonts w:ascii="宋体" w:hAnsi="宋体" w:cs="宋体" w:eastAsia="宋体" w:hint="default"/>
          <w:w w:val="95"/>
          <w:sz w:val="16"/>
          <w:szCs w:val="16"/>
        </w:rPr>
        <w:t>/</w:t>
      </w:r>
      <w:r>
        <w:rPr>
          <w:rFonts w:ascii="宋体" w:hAnsi="宋体" w:cs="宋体" w:eastAsia="宋体" w:hint="default"/>
          <w:sz w:val="16"/>
          <w:szCs w:val="16"/>
        </w:rPr>
      </w:r>
    </w:p>
    <w:p>
      <w:pPr>
        <w:spacing w:line="240" w:lineRule="auto" w:before="12"/>
        <w:rPr>
          <w:rFonts w:ascii="宋体" w:hAnsi="宋体" w:cs="宋体" w:eastAsia="宋体" w:hint="default"/>
          <w:sz w:val="20"/>
          <w:szCs w:val="20"/>
        </w:rPr>
      </w:pPr>
    </w:p>
    <w:p>
      <w:pPr>
        <w:pStyle w:val="BodyText"/>
        <w:spacing w:line="400" w:lineRule="auto" w:before="31"/>
        <w:ind w:left="684" w:right="941"/>
        <w:jc w:val="left"/>
        <w:rPr>
          <w:rFonts w:ascii="宋体" w:hAnsi="宋体" w:cs="宋体" w:eastAsia="宋体" w:hint="default"/>
        </w:rPr>
      </w:pPr>
      <w:r>
        <w:rPr>
          <w:rFonts w:ascii="宋体" w:hAnsi="宋体" w:cs="宋体" w:eastAsia="宋体" w:hint="default"/>
        </w:rPr>
        <w:t>本公司所属子公司对广东发展银行不具有控制、共同控制或重大影响。 上述“报告期损益”及“报告期所有者权益变动”为本集团所持对上述两家公司的投资对本集团的影响。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6"/>
          <w:szCs w:val="26"/>
        </w:rPr>
      </w:pPr>
    </w:p>
    <w:p>
      <w:pPr>
        <w:tabs>
          <w:tab w:pos="1789" w:val="left" w:leader="none"/>
          <w:tab w:pos="9811" w:val="right" w:leader="none"/>
        </w:tabs>
        <w:spacing w:before="42"/>
        <w:ind w:left="18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35</w:t>
      </w:r>
      <w:r>
        <w:rPr>
          <w:rFonts w:ascii="Arial" w:hAnsi="Arial" w:cs="Arial" w:eastAsia="Arial" w:hint="default"/>
          <w:w w:val="105"/>
          <w:sz w:val="16"/>
          <w:szCs w:val="16"/>
        </w:rPr>
      </w:r>
    </w:p>
    <w:p>
      <w:pPr>
        <w:spacing w:after="0"/>
        <w:jc w:val="left"/>
        <w:rPr>
          <w:rFonts w:ascii="Arial" w:hAnsi="Arial" w:cs="Arial" w:eastAsia="Arial" w:hint="default"/>
          <w:sz w:val="16"/>
          <w:szCs w:val="16"/>
        </w:rPr>
        <w:sectPr>
          <w:type w:val="continuous"/>
          <w:pgSz w:w="11910" w:h="16160"/>
          <w:pgMar w:top="1520" w:bottom="280" w:left="1300" w:right="680"/>
        </w:sectPr>
      </w:pPr>
    </w:p>
    <w:p>
      <w:pPr>
        <w:spacing w:line="240" w:lineRule="auto" w:before="0"/>
        <w:rPr>
          <w:rFonts w:ascii="Arial" w:hAnsi="Arial" w:cs="Arial" w:eastAsia="Arial" w:hint="default"/>
          <w:b/>
          <w:bCs/>
          <w:sz w:val="20"/>
          <w:szCs w:val="20"/>
        </w:rPr>
      </w:pPr>
    </w:p>
    <w:p>
      <w:pPr>
        <w:spacing w:line="240" w:lineRule="auto" w:before="5"/>
        <w:rPr>
          <w:rFonts w:ascii="Arial" w:hAnsi="Arial" w:cs="Arial" w:eastAsia="Arial" w:hint="default"/>
          <w:b/>
          <w:bCs/>
          <w:sz w:val="22"/>
          <w:szCs w:val="22"/>
        </w:rPr>
      </w:pPr>
    </w:p>
    <w:tbl>
      <w:tblPr>
        <w:tblW w:w="0" w:type="auto"/>
        <w:jc w:val="left"/>
        <w:tblInd w:w="682" w:type="dxa"/>
        <w:tblLayout w:type="fixed"/>
        <w:tblCellMar>
          <w:top w:w="0" w:type="dxa"/>
          <w:left w:w="0" w:type="dxa"/>
          <w:bottom w:w="0" w:type="dxa"/>
          <w:right w:w="0" w:type="dxa"/>
        </w:tblCellMar>
        <w:tblLook w:val="01E0"/>
      </w:tblPr>
      <w:tblGrid>
        <w:gridCol w:w="2771"/>
        <w:gridCol w:w="1516"/>
        <w:gridCol w:w="1431"/>
        <w:gridCol w:w="1454"/>
        <w:gridCol w:w="1934"/>
      </w:tblGrid>
      <w:tr>
        <w:trPr>
          <w:trHeight w:val="679" w:hRule="exact"/>
        </w:trPr>
        <w:tc>
          <w:tcPr>
            <w:tcW w:w="2771"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3）以公允价值计量的金融资产</w:t>
            </w:r>
          </w:p>
        </w:tc>
        <w:tc>
          <w:tcPr>
            <w:tcW w:w="1516" w:type="dxa"/>
            <w:tcBorders>
              <w:top w:val="nil" w:sz="6" w:space="0" w:color="auto"/>
              <w:left w:val="nil" w:sz="6" w:space="0" w:color="auto"/>
              <w:bottom w:val="nil" w:sz="6" w:space="0" w:color="auto"/>
              <w:right w:val="nil" w:sz="6" w:space="0" w:color="auto"/>
            </w:tcBorders>
            <w:shd w:val="clear" w:color="auto" w:fill="FFFFFF"/>
          </w:tcPr>
          <w:p>
            <w:pPr/>
          </w:p>
        </w:tc>
        <w:tc>
          <w:tcPr>
            <w:tcW w:w="1431"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nil" w:sz="6" w:space="0" w:color="auto"/>
            </w:tcBorders>
          </w:tcPr>
          <w:p>
            <w:pPr/>
          </w:p>
        </w:tc>
        <w:tc>
          <w:tcPr>
            <w:tcW w:w="193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Arial" w:hAnsi="Arial" w:cs="Arial" w:eastAsia="Arial" w:hint="default"/>
                <w:b/>
                <w:bCs/>
                <w:sz w:val="12"/>
                <w:szCs w:val="12"/>
              </w:rPr>
            </w:pPr>
          </w:p>
          <w:p>
            <w:pPr>
              <w:pStyle w:val="TableParagraph"/>
              <w:spacing w:line="240" w:lineRule="auto"/>
              <w:ind w:right="0"/>
              <w:jc w:val="left"/>
              <w:rPr>
                <w:rFonts w:ascii="Arial" w:hAnsi="Arial" w:cs="Arial" w:eastAsia="Arial" w:hint="default"/>
                <w:b/>
                <w:bCs/>
                <w:sz w:val="12"/>
                <w:szCs w:val="12"/>
              </w:rPr>
            </w:pPr>
          </w:p>
          <w:p>
            <w:pPr>
              <w:pStyle w:val="TableParagraph"/>
              <w:spacing w:line="240" w:lineRule="auto" w:before="8"/>
              <w:ind w:right="0"/>
              <w:jc w:val="left"/>
              <w:rPr>
                <w:rFonts w:ascii="Arial" w:hAnsi="Arial" w:cs="Arial" w:eastAsia="Arial" w:hint="default"/>
                <w:b/>
                <w:bCs/>
                <w:sz w:val="15"/>
                <w:szCs w:val="15"/>
              </w:rPr>
            </w:pPr>
          </w:p>
          <w:p>
            <w:pPr>
              <w:pStyle w:val="TableParagraph"/>
              <w:spacing w:line="240" w:lineRule="auto"/>
              <w:ind w:right="83"/>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7"/>
                <w:sz w:val="12"/>
                <w:szCs w:val="12"/>
              </w:rPr>
              <w:t> </w:t>
            </w:r>
            <w:r>
              <w:rPr>
                <w:rFonts w:ascii="宋体" w:hAnsi="宋体" w:cs="宋体" w:eastAsia="宋体" w:hint="default"/>
                <w:sz w:val="12"/>
                <w:szCs w:val="12"/>
              </w:rPr>
              <w:t>币种</w:t>
            </w:r>
            <w:r>
              <w:rPr>
                <w:rFonts w:ascii="宋体" w:hAnsi="宋体" w:cs="宋体" w:eastAsia="宋体" w:hint="default"/>
                <w:spacing w:val="-36"/>
                <w:sz w:val="12"/>
                <w:szCs w:val="12"/>
              </w:rPr>
              <w:t> </w:t>
            </w:r>
            <w:r>
              <w:rPr>
                <w:rFonts w:ascii="宋体" w:hAnsi="宋体" w:cs="宋体" w:eastAsia="宋体" w:hint="default"/>
                <w:w w:val="95"/>
                <w:sz w:val="12"/>
                <w:szCs w:val="12"/>
              </w:rPr>
              <w:t>:</w:t>
            </w:r>
            <w:r>
              <w:rPr>
                <w:rFonts w:ascii="宋体" w:hAnsi="宋体" w:cs="宋体" w:eastAsia="宋体" w:hint="default"/>
                <w:spacing w:val="-33"/>
                <w:w w:val="95"/>
                <w:sz w:val="12"/>
                <w:szCs w:val="12"/>
              </w:rPr>
              <w:t> </w:t>
            </w:r>
            <w:r>
              <w:rPr>
                <w:rFonts w:ascii="宋体" w:hAnsi="宋体" w:cs="宋体" w:eastAsia="宋体" w:hint="default"/>
                <w:sz w:val="12"/>
                <w:szCs w:val="12"/>
              </w:rPr>
              <w:t>人民币</w:t>
            </w:r>
          </w:p>
        </w:tc>
      </w:tr>
      <w:tr>
        <w:trPr>
          <w:trHeight w:val="321" w:hRule="exact"/>
        </w:trPr>
        <w:tc>
          <w:tcPr>
            <w:tcW w:w="2771" w:type="dxa"/>
            <w:tcBorders>
              <w:top w:val="nil" w:sz="6" w:space="0" w:color="auto"/>
              <w:left w:val="nil" w:sz="6" w:space="0" w:color="auto"/>
              <w:bottom w:val="single" w:sz="16" w:space="0" w:color="9C8758"/>
              <w:right w:val="nil" w:sz="6" w:space="0" w:color="auto"/>
            </w:tcBorders>
          </w:tcPr>
          <w:p>
            <w:pPr>
              <w:pStyle w:val="TableParagraph"/>
              <w:spacing w:line="207" w:lineRule="exact"/>
              <w:ind w:left="120" w:right="0"/>
              <w:jc w:val="left"/>
              <w:rPr>
                <w:rFonts w:ascii="宋体" w:hAnsi="宋体" w:cs="宋体" w:eastAsia="宋体" w:hint="default"/>
                <w:sz w:val="16"/>
                <w:szCs w:val="16"/>
              </w:rPr>
            </w:pPr>
            <w:r>
              <w:rPr>
                <w:rFonts w:ascii="宋体" w:hAnsi="宋体" w:cs="宋体" w:eastAsia="宋体" w:hint="default"/>
                <w:sz w:val="16"/>
                <w:szCs w:val="16"/>
              </w:rPr>
              <w:t>项目名称</w:t>
            </w:r>
          </w:p>
        </w:tc>
        <w:tc>
          <w:tcPr>
            <w:tcW w:w="1516"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07" w:lineRule="exact"/>
              <w:ind w:right="196"/>
              <w:jc w:val="right"/>
              <w:rPr>
                <w:rFonts w:ascii="宋体" w:hAnsi="宋体" w:cs="宋体" w:eastAsia="宋体" w:hint="default"/>
                <w:sz w:val="16"/>
                <w:szCs w:val="16"/>
              </w:rPr>
            </w:pPr>
            <w:r>
              <w:rPr>
                <w:rFonts w:ascii="宋体" w:hAnsi="宋体" w:cs="宋体" w:eastAsia="宋体" w:hint="default"/>
                <w:sz w:val="16"/>
                <w:szCs w:val="16"/>
              </w:rPr>
              <w:t>期初余额</w:t>
            </w:r>
          </w:p>
        </w:tc>
        <w:tc>
          <w:tcPr>
            <w:tcW w:w="1431" w:type="dxa"/>
            <w:tcBorders>
              <w:top w:val="nil" w:sz="6" w:space="0" w:color="auto"/>
              <w:left w:val="nil" w:sz="6" w:space="0" w:color="auto"/>
              <w:bottom w:val="single" w:sz="16" w:space="0" w:color="9C8758"/>
              <w:right w:val="nil" w:sz="6" w:space="0" w:color="auto"/>
            </w:tcBorders>
          </w:tcPr>
          <w:p>
            <w:pPr>
              <w:pStyle w:val="TableParagraph"/>
              <w:spacing w:line="207" w:lineRule="exact"/>
              <w:ind w:right="210"/>
              <w:jc w:val="right"/>
              <w:rPr>
                <w:rFonts w:ascii="宋体" w:hAnsi="宋体" w:cs="宋体" w:eastAsia="宋体" w:hint="default"/>
                <w:sz w:val="16"/>
                <w:szCs w:val="16"/>
              </w:rPr>
            </w:pPr>
            <w:r>
              <w:rPr>
                <w:rFonts w:ascii="宋体" w:hAnsi="宋体" w:cs="宋体" w:eastAsia="宋体" w:hint="default"/>
                <w:sz w:val="16"/>
                <w:szCs w:val="16"/>
              </w:rPr>
              <w:t>期末余额</w:t>
            </w:r>
          </w:p>
        </w:tc>
        <w:tc>
          <w:tcPr>
            <w:tcW w:w="1454" w:type="dxa"/>
            <w:tcBorders>
              <w:top w:val="nil" w:sz="6" w:space="0" w:color="auto"/>
              <w:left w:val="nil" w:sz="6" w:space="0" w:color="auto"/>
              <w:bottom w:val="single" w:sz="16" w:space="0" w:color="9C8758"/>
              <w:right w:val="nil" w:sz="6" w:space="0" w:color="auto"/>
            </w:tcBorders>
          </w:tcPr>
          <w:p>
            <w:pPr>
              <w:pStyle w:val="TableParagraph"/>
              <w:spacing w:line="207" w:lineRule="exact"/>
              <w:ind w:right="246"/>
              <w:jc w:val="right"/>
              <w:rPr>
                <w:rFonts w:ascii="宋体" w:hAnsi="宋体" w:cs="宋体" w:eastAsia="宋体" w:hint="default"/>
                <w:sz w:val="16"/>
                <w:szCs w:val="16"/>
              </w:rPr>
            </w:pPr>
            <w:r>
              <w:rPr>
                <w:rFonts w:ascii="宋体" w:hAnsi="宋体" w:cs="宋体" w:eastAsia="宋体" w:hint="default"/>
                <w:sz w:val="16"/>
                <w:szCs w:val="16"/>
              </w:rPr>
              <w:t>当期变动</w:t>
            </w:r>
          </w:p>
        </w:tc>
        <w:tc>
          <w:tcPr>
            <w:tcW w:w="1934" w:type="dxa"/>
            <w:tcBorders>
              <w:top w:val="nil" w:sz="6" w:space="0" w:color="auto"/>
              <w:left w:val="nil" w:sz="6" w:space="0" w:color="auto"/>
              <w:bottom w:val="single" w:sz="16" w:space="0" w:color="9C8758"/>
              <w:right w:val="nil" w:sz="6" w:space="0" w:color="auto"/>
            </w:tcBorders>
          </w:tcPr>
          <w:p>
            <w:pPr>
              <w:pStyle w:val="TableParagraph"/>
              <w:spacing w:line="207" w:lineRule="exact"/>
              <w:ind w:right="83"/>
              <w:jc w:val="right"/>
              <w:rPr>
                <w:rFonts w:ascii="宋体" w:hAnsi="宋体" w:cs="宋体" w:eastAsia="宋体" w:hint="default"/>
                <w:sz w:val="16"/>
                <w:szCs w:val="16"/>
              </w:rPr>
            </w:pPr>
            <w:r>
              <w:rPr>
                <w:rFonts w:ascii="宋体" w:hAnsi="宋体" w:cs="宋体" w:eastAsia="宋体" w:hint="default"/>
                <w:sz w:val="16"/>
                <w:szCs w:val="16"/>
              </w:rPr>
              <w:t>对当期利润的影响金额</w:t>
            </w:r>
          </w:p>
        </w:tc>
      </w:tr>
      <w:tr>
        <w:trPr>
          <w:trHeight w:val="362" w:hRule="exact"/>
        </w:trPr>
        <w:tc>
          <w:tcPr>
            <w:tcW w:w="2771"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left="120" w:right="0"/>
              <w:jc w:val="left"/>
              <w:rPr>
                <w:rFonts w:ascii="宋体" w:hAnsi="宋体" w:cs="宋体" w:eastAsia="宋体" w:hint="default"/>
                <w:sz w:val="16"/>
                <w:szCs w:val="16"/>
              </w:rPr>
            </w:pPr>
            <w:r>
              <w:rPr>
                <w:rFonts w:ascii="宋体" w:hAnsi="宋体" w:cs="宋体" w:eastAsia="宋体" w:hint="default"/>
                <w:sz w:val="16"/>
                <w:szCs w:val="16"/>
              </w:rPr>
              <w:t>交易性金融资产</w:t>
            </w:r>
          </w:p>
        </w:tc>
        <w:tc>
          <w:tcPr>
            <w:tcW w:w="1516"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right="196"/>
              <w:jc w:val="right"/>
              <w:rPr>
                <w:rFonts w:ascii="宋体" w:hAnsi="宋体" w:cs="宋体" w:eastAsia="宋体" w:hint="default"/>
                <w:sz w:val="16"/>
                <w:szCs w:val="16"/>
              </w:rPr>
            </w:pPr>
            <w:r>
              <w:rPr>
                <w:rFonts w:ascii="宋体"/>
                <w:sz w:val="16"/>
              </w:rPr>
              <w:t>159,510,345</w:t>
            </w:r>
          </w:p>
        </w:tc>
        <w:tc>
          <w:tcPr>
            <w:tcW w:w="1431"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210"/>
              <w:jc w:val="right"/>
              <w:rPr>
                <w:rFonts w:ascii="宋体" w:hAnsi="宋体" w:cs="宋体" w:eastAsia="宋体" w:hint="default"/>
                <w:sz w:val="16"/>
                <w:szCs w:val="16"/>
              </w:rPr>
            </w:pPr>
            <w:r>
              <w:rPr>
                <w:rFonts w:ascii="宋体"/>
                <w:sz w:val="16"/>
              </w:rPr>
              <w:t>769,905,347</w:t>
            </w:r>
          </w:p>
        </w:tc>
        <w:tc>
          <w:tcPr>
            <w:tcW w:w="1454"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246"/>
              <w:jc w:val="right"/>
              <w:rPr>
                <w:rFonts w:ascii="宋体" w:hAnsi="宋体" w:cs="宋体" w:eastAsia="宋体" w:hint="default"/>
                <w:sz w:val="16"/>
                <w:szCs w:val="16"/>
              </w:rPr>
            </w:pPr>
            <w:r>
              <w:rPr>
                <w:rFonts w:ascii="宋体"/>
                <w:sz w:val="16"/>
              </w:rPr>
              <w:t>610,395,002</w:t>
            </w:r>
          </w:p>
        </w:tc>
        <w:tc>
          <w:tcPr>
            <w:tcW w:w="1934"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82"/>
              <w:jc w:val="right"/>
              <w:rPr>
                <w:rFonts w:ascii="宋体" w:hAnsi="宋体" w:cs="宋体" w:eastAsia="宋体" w:hint="default"/>
                <w:sz w:val="16"/>
                <w:szCs w:val="16"/>
              </w:rPr>
            </w:pPr>
            <w:r>
              <w:rPr>
                <w:rFonts w:ascii="宋体"/>
                <w:w w:val="95"/>
                <w:sz w:val="16"/>
              </w:rPr>
              <w:t>21,394,130</w:t>
            </w:r>
            <w:r>
              <w:rPr>
                <w:rFonts w:ascii="宋体"/>
                <w:sz w:val="16"/>
              </w:rPr>
            </w:r>
          </w:p>
        </w:tc>
      </w:tr>
      <w:tr>
        <w:trPr>
          <w:trHeight w:val="273" w:hRule="exact"/>
        </w:trPr>
        <w:tc>
          <w:tcPr>
            <w:tcW w:w="2771"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9" w:right="0"/>
              <w:jc w:val="left"/>
              <w:rPr>
                <w:rFonts w:ascii="宋体" w:hAnsi="宋体" w:cs="宋体" w:eastAsia="宋体" w:hint="default"/>
                <w:sz w:val="16"/>
                <w:szCs w:val="16"/>
              </w:rPr>
            </w:pPr>
            <w:r>
              <w:rPr>
                <w:rFonts w:ascii="宋体" w:hAnsi="宋体" w:cs="宋体" w:eastAsia="宋体" w:hint="default"/>
                <w:sz w:val="16"/>
                <w:szCs w:val="16"/>
              </w:rPr>
              <w:t>子公司持有的交通银行股票</w:t>
            </w:r>
          </w:p>
        </w:tc>
        <w:tc>
          <w:tcPr>
            <w:tcW w:w="1516"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right="196"/>
              <w:jc w:val="right"/>
              <w:rPr>
                <w:rFonts w:ascii="宋体" w:hAnsi="宋体" w:cs="宋体" w:eastAsia="宋体" w:hint="default"/>
                <w:sz w:val="16"/>
                <w:szCs w:val="16"/>
              </w:rPr>
            </w:pPr>
            <w:r>
              <w:rPr>
                <w:rFonts w:ascii="宋体"/>
                <w:sz w:val="16"/>
              </w:rPr>
              <w:t>157,636,695</w:t>
            </w:r>
          </w:p>
        </w:tc>
        <w:tc>
          <w:tcPr>
            <w:tcW w:w="1431" w:type="dxa"/>
            <w:tcBorders>
              <w:top w:val="nil" w:sz="6" w:space="0" w:color="auto"/>
              <w:left w:val="nil" w:sz="6" w:space="0" w:color="auto"/>
              <w:bottom w:val="nil" w:sz="6" w:space="0" w:color="auto"/>
              <w:right w:val="nil" w:sz="6" w:space="0" w:color="auto"/>
            </w:tcBorders>
          </w:tcPr>
          <w:p>
            <w:pPr>
              <w:pStyle w:val="TableParagraph"/>
              <w:spacing w:line="205" w:lineRule="exact"/>
              <w:ind w:right="210"/>
              <w:jc w:val="right"/>
              <w:rPr>
                <w:rFonts w:ascii="宋体" w:hAnsi="宋体" w:cs="宋体" w:eastAsia="宋体" w:hint="default"/>
                <w:sz w:val="16"/>
                <w:szCs w:val="16"/>
              </w:rPr>
            </w:pPr>
            <w:r>
              <w:rPr>
                <w:rFonts w:ascii="宋体"/>
                <w:sz w:val="16"/>
              </w:rPr>
              <w:t>146,975,276</w:t>
            </w:r>
          </w:p>
        </w:tc>
        <w:tc>
          <w:tcPr>
            <w:tcW w:w="1454" w:type="dxa"/>
            <w:tcBorders>
              <w:top w:val="nil" w:sz="6" w:space="0" w:color="auto"/>
              <w:left w:val="nil" w:sz="6" w:space="0" w:color="auto"/>
              <w:bottom w:val="nil" w:sz="6" w:space="0" w:color="auto"/>
              <w:right w:val="nil" w:sz="6" w:space="0" w:color="auto"/>
            </w:tcBorders>
          </w:tcPr>
          <w:p>
            <w:pPr>
              <w:pStyle w:val="TableParagraph"/>
              <w:spacing w:line="205" w:lineRule="exact"/>
              <w:ind w:right="246"/>
              <w:jc w:val="right"/>
              <w:rPr>
                <w:rFonts w:ascii="宋体" w:hAnsi="宋体" w:cs="宋体" w:eastAsia="宋体" w:hint="default"/>
                <w:sz w:val="16"/>
                <w:szCs w:val="16"/>
              </w:rPr>
            </w:pPr>
            <w:r>
              <w:rPr>
                <w:rFonts w:ascii="宋体"/>
                <w:sz w:val="16"/>
              </w:rPr>
              <w:t>-10,661,419</w:t>
            </w:r>
          </w:p>
        </w:tc>
        <w:tc>
          <w:tcPr>
            <w:tcW w:w="193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2771"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9" w:right="0"/>
              <w:jc w:val="left"/>
              <w:rPr>
                <w:rFonts w:ascii="宋体" w:hAnsi="宋体" w:cs="宋体" w:eastAsia="宋体" w:hint="default"/>
                <w:sz w:val="16"/>
                <w:szCs w:val="16"/>
              </w:rPr>
            </w:pPr>
            <w:r>
              <w:rPr>
                <w:rFonts w:ascii="宋体" w:hAnsi="宋体" w:cs="宋体" w:eastAsia="宋体" w:hint="default"/>
                <w:sz w:val="16"/>
                <w:szCs w:val="16"/>
              </w:rPr>
              <w:t>子公司持有的西班牙电信股票</w:t>
            </w:r>
          </w:p>
        </w:tc>
        <w:tc>
          <w:tcPr>
            <w:tcW w:w="1516" w:type="dxa"/>
            <w:tcBorders>
              <w:top w:val="nil" w:sz="6" w:space="0" w:color="auto"/>
              <w:left w:val="nil" w:sz="6" w:space="0" w:color="auto"/>
              <w:bottom w:val="nil" w:sz="6" w:space="0" w:color="auto"/>
              <w:right w:val="nil" w:sz="6" w:space="0" w:color="auto"/>
            </w:tcBorders>
          </w:tcPr>
          <w:p>
            <w:pPr>
              <w:pStyle w:val="TableParagraph"/>
              <w:spacing w:line="205" w:lineRule="exact"/>
              <w:ind w:right="196"/>
              <w:jc w:val="right"/>
              <w:rPr>
                <w:rFonts w:ascii="宋体" w:hAnsi="宋体" w:cs="宋体" w:eastAsia="宋体" w:hint="default"/>
                <w:sz w:val="16"/>
                <w:szCs w:val="16"/>
              </w:rPr>
            </w:pPr>
            <w:r>
              <w:rPr>
                <w:rFonts w:ascii="宋体"/>
                <w:w w:val="95"/>
                <w:sz w:val="16"/>
              </w:rPr>
              <w:t>4,070,155,300</w:t>
            </w:r>
            <w:r>
              <w:rPr>
                <w:rFonts w:ascii="宋体"/>
                <w:sz w:val="16"/>
              </w:rPr>
            </w:r>
          </w:p>
        </w:tc>
        <w:tc>
          <w:tcPr>
            <w:tcW w:w="1431" w:type="dxa"/>
            <w:tcBorders>
              <w:top w:val="nil" w:sz="6" w:space="0" w:color="auto"/>
              <w:left w:val="nil" w:sz="6" w:space="0" w:color="auto"/>
              <w:bottom w:val="nil" w:sz="6" w:space="0" w:color="auto"/>
              <w:right w:val="nil" w:sz="6" w:space="0" w:color="auto"/>
            </w:tcBorders>
          </w:tcPr>
          <w:p>
            <w:pPr>
              <w:pStyle w:val="TableParagraph"/>
              <w:spacing w:line="205" w:lineRule="exact"/>
              <w:ind w:right="210"/>
              <w:jc w:val="right"/>
              <w:rPr>
                <w:rFonts w:ascii="宋体" w:hAnsi="宋体" w:cs="宋体" w:eastAsia="宋体" w:hint="default"/>
                <w:sz w:val="16"/>
                <w:szCs w:val="16"/>
              </w:rPr>
            </w:pPr>
            <w:r>
              <w:rPr>
                <w:rFonts w:ascii="宋体"/>
                <w:w w:val="95"/>
                <w:sz w:val="16"/>
              </w:rPr>
              <w:t>3,697,639,436</w:t>
            </w:r>
            <w:r>
              <w:rPr>
                <w:rFonts w:ascii="宋体"/>
                <w:sz w:val="16"/>
              </w:rPr>
            </w:r>
          </w:p>
        </w:tc>
        <w:tc>
          <w:tcPr>
            <w:tcW w:w="1454" w:type="dxa"/>
            <w:tcBorders>
              <w:top w:val="nil" w:sz="6" w:space="0" w:color="auto"/>
              <w:left w:val="nil" w:sz="6" w:space="0" w:color="auto"/>
              <w:bottom w:val="nil" w:sz="6" w:space="0" w:color="auto"/>
              <w:right w:val="nil" w:sz="6" w:space="0" w:color="auto"/>
            </w:tcBorders>
          </w:tcPr>
          <w:p>
            <w:pPr>
              <w:pStyle w:val="TableParagraph"/>
              <w:spacing w:line="205" w:lineRule="exact"/>
              <w:ind w:right="246"/>
              <w:jc w:val="right"/>
              <w:rPr>
                <w:rFonts w:ascii="宋体" w:hAnsi="宋体" w:cs="宋体" w:eastAsia="宋体" w:hint="default"/>
                <w:sz w:val="16"/>
                <w:szCs w:val="16"/>
              </w:rPr>
            </w:pPr>
            <w:r>
              <w:rPr>
                <w:rFonts w:ascii="宋体"/>
                <w:sz w:val="16"/>
              </w:rPr>
              <w:t>-372,515,864</w:t>
            </w:r>
          </w:p>
        </w:tc>
        <w:tc>
          <w:tcPr>
            <w:tcW w:w="193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2771"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9" w:right="0"/>
              <w:jc w:val="left"/>
              <w:rPr>
                <w:rFonts w:ascii="宋体" w:hAnsi="宋体" w:cs="宋体" w:eastAsia="宋体" w:hint="default"/>
                <w:sz w:val="16"/>
                <w:szCs w:val="16"/>
              </w:rPr>
            </w:pPr>
            <w:r>
              <w:rPr>
                <w:rFonts w:ascii="宋体" w:hAnsi="宋体" w:cs="宋体" w:eastAsia="宋体" w:hint="default"/>
                <w:sz w:val="16"/>
                <w:szCs w:val="16"/>
              </w:rPr>
              <w:t>其他子公司持有的其他权益工具</w:t>
            </w:r>
          </w:p>
        </w:tc>
        <w:tc>
          <w:tcPr>
            <w:tcW w:w="1516" w:type="dxa"/>
            <w:tcBorders>
              <w:top w:val="nil" w:sz="6" w:space="0" w:color="auto"/>
              <w:left w:val="nil" w:sz="6" w:space="0" w:color="auto"/>
              <w:bottom w:val="nil" w:sz="6" w:space="0" w:color="auto"/>
              <w:right w:val="nil" w:sz="6" w:space="0" w:color="auto"/>
            </w:tcBorders>
          </w:tcPr>
          <w:p>
            <w:pPr>
              <w:pStyle w:val="TableParagraph"/>
              <w:spacing w:line="205" w:lineRule="exact"/>
              <w:ind w:right="196"/>
              <w:jc w:val="right"/>
              <w:rPr>
                <w:rFonts w:ascii="宋体" w:hAnsi="宋体" w:cs="宋体" w:eastAsia="宋体" w:hint="default"/>
                <w:sz w:val="16"/>
                <w:szCs w:val="16"/>
              </w:rPr>
            </w:pPr>
            <w:r>
              <w:rPr>
                <w:rFonts w:ascii="宋体"/>
                <w:w w:val="95"/>
                <w:sz w:val="16"/>
              </w:rPr>
              <w:t>58,280,271</w:t>
            </w:r>
            <w:r>
              <w:rPr>
                <w:rFonts w:ascii="宋体"/>
                <w:sz w:val="16"/>
              </w:rPr>
            </w:r>
          </w:p>
        </w:tc>
        <w:tc>
          <w:tcPr>
            <w:tcW w:w="1431" w:type="dxa"/>
            <w:tcBorders>
              <w:top w:val="nil" w:sz="6" w:space="0" w:color="auto"/>
              <w:left w:val="nil" w:sz="6" w:space="0" w:color="auto"/>
              <w:bottom w:val="nil" w:sz="6" w:space="0" w:color="auto"/>
              <w:right w:val="nil" w:sz="6" w:space="0" w:color="auto"/>
            </w:tcBorders>
          </w:tcPr>
          <w:p>
            <w:pPr>
              <w:pStyle w:val="TableParagraph"/>
              <w:spacing w:line="205" w:lineRule="exact"/>
              <w:ind w:right="210"/>
              <w:jc w:val="right"/>
              <w:rPr>
                <w:rFonts w:ascii="宋体" w:hAnsi="宋体" w:cs="宋体" w:eastAsia="宋体" w:hint="default"/>
                <w:sz w:val="16"/>
                <w:szCs w:val="16"/>
              </w:rPr>
            </w:pPr>
            <w:r>
              <w:rPr>
                <w:rFonts w:ascii="宋体"/>
                <w:w w:val="95"/>
                <w:sz w:val="16"/>
              </w:rPr>
              <w:t>58,280,271</w:t>
            </w:r>
            <w:r>
              <w:rPr>
                <w:rFonts w:ascii="宋体"/>
                <w:sz w:val="16"/>
              </w:rPr>
            </w:r>
          </w:p>
        </w:tc>
        <w:tc>
          <w:tcPr>
            <w:tcW w:w="1454" w:type="dxa"/>
            <w:tcBorders>
              <w:top w:val="nil" w:sz="6" w:space="0" w:color="auto"/>
              <w:left w:val="nil" w:sz="6" w:space="0" w:color="auto"/>
              <w:bottom w:val="nil" w:sz="6" w:space="0" w:color="auto"/>
              <w:right w:val="nil" w:sz="6" w:space="0" w:color="auto"/>
            </w:tcBorders>
          </w:tcPr>
          <w:p>
            <w:pPr>
              <w:pStyle w:val="TableParagraph"/>
              <w:spacing w:line="205" w:lineRule="exact"/>
              <w:ind w:right="246"/>
              <w:jc w:val="right"/>
              <w:rPr>
                <w:rFonts w:ascii="宋体" w:hAnsi="宋体" w:cs="宋体" w:eastAsia="宋体" w:hint="default"/>
                <w:sz w:val="16"/>
                <w:szCs w:val="16"/>
              </w:rPr>
            </w:pPr>
            <w:r>
              <w:rPr>
                <w:rFonts w:ascii="宋体"/>
                <w:w w:val="111"/>
                <w:sz w:val="16"/>
              </w:rPr>
              <w:t>0</w:t>
            </w:r>
            <w:r>
              <w:rPr>
                <w:rFonts w:ascii="宋体"/>
                <w:sz w:val="16"/>
              </w:rPr>
            </w:r>
          </w:p>
        </w:tc>
        <w:tc>
          <w:tcPr>
            <w:tcW w:w="193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11"/>
                <w:sz w:val="16"/>
              </w:rPr>
              <w:t>0</w:t>
            </w:r>
            <w:r>
              <w:rPr>
                <w:rFonts w:ascii="宋体"/>
                <w:sz w:val="16"/>
              </w:rPr>
            </w:r>
          </w:p>
        </w:tc>
      </w:tr>
      <w:tr>
        <w:trPr>
          <w:trHeight w:val="317" w:hRule="exact"/>
        </w:trPr>
        <w:tc>
          <w:tcPr>
            <w:tcW w:w="2771"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9"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516" w:type="dxa"/>
            <w:tcBorders>
              <w:top w:val="nil" w:sz="6" w:space="0" w:color="auto"/>
              <w:left w:val="nil" w:sz="6" w:space="0" w:color="auto"/>
              <w:bottom w:val="nil" w:sz="6" w:space="0" w:color="auto"/>
              <w:right w:val="nil" w:sz="6" w:space="0" w:color="auto"/>
            </w:tcBorders>
          </w:tcPr>
          <w:p>
            <w:pPr>
              <w:pStyle w:val="TableParagraph"/>
              <w:spacing w:line="205" w:lineRule="exact"/>
              <w:ind w:right="196"/>
              <w:jc w:val="right"/>
              <w:rPr>
                <w:rFonts w:ascii="宋体" w:hAnsi="宋体" w:cs="宋体" w:eastAsia="宋体" w:hint="default"/>
                <w:sz w:val="16"/>
                <w:szCs w:val="16"/>
              </w:rPr>
            </w:pPr>
            <w:r>
              <w:rPr>
                <w:rFonts w:ascii="宋体"/>
                <w:w w:val="95"/>
                <w:sz w:val="16"/>
              </w:rPr>
              <w:t>4,445,582,611</w:t>
            </w:r>
            <w:r>
              <w:rPr>
                <w:rFonts w:ascii="宋体"/>
                <w:sz w:val="16"/>
              </w:rPr>
            </w:r>
          </w:p>
        </w:tc>
        <w:tc>
          <w:tcPr>
            <w:tcW w:w="1431" w:type="dxa"/>
            <w:tcBorders>
              <w:top w:val="nil" w:sz="6" w:space="0" w:color="auto"/>
              <w:left w:val="nil" w:sz="6" w:space="0" w:color="auto"/>
              <w:bottom w:val="nil" w:sz="6" w:space="0" w:color="auto"/>
              <w:right w:val="nil" w:sz="6" w:space="0" w:color="auto"/>
            </w:tcBorders>
          </w:tcPr>
          <w:p>
            <w:pPr>
              <w:pStyle w:val="TableParagraph"/>
              <w:spacing w:line="205" w:lineRule="exact"/>
              <w:ind w:right="210"/>
              <w:jc w:val="right"/>
              <w:rPr>
                <w:rFonts w:ascii="宋体" w:hAnsi="宋体" w:cs="宋体" w:eastAsia="宋体" w:hint="default"/>
                <w:sz w:val="16"/>
                <w:szCs w:val="16"/>
              </w:rPr>
            </w:pPr>
            <w:r>
              <w:rPr>
                <w:rFonts w:ascii="宋体"/>
                <w:w w:val="95"/>
                <w:sz w:val="16"/>
              </w:rPr>
              <w:t>4,672,800,330</w:t>
            </w:r>
            <w:r>
              <w:rPr>
                <w:rFonts w:ascii="宋体"/>
                <w:sz w:val="16"/>
              </w:rPr>
            </w:r>
          </w:p>
        </w:tc>
        <w:tc>
          <w:tcPr>
            <w:tcW w:w="1454" w:type="dxa"/>
            <w:tcBorders>
              <w:top w:val="nil" w:sz="6" w:space="0" w:color="auto"/>
              <w:left w:val="nil" w:sz="6" w:space="0" w:color="auto"/>
              <w:bottom w:val="nil" w:sz="6" w:space="0" w:color="auto"/>
              <w:right w:val="nil" w:sz="6" w:space="0" w:color="auto"/>
            </w:tcBorders>
          </w:tcPr>
          <w:p>
            <w:pPr>
              <w:pStyle w:val="TableParagraph"/>
              <w:spacing w:line="205" w:lineRule="exact"/>
              <w:ind w:right="246"/>
              <w:jc w:val="right"/>
              <w:rPr>
                <w:rFonts w:ascii="宋体" w:hAnsi="宋体" w:cs="宋体" w:eastAsia="宋体" w:hint="default"/>
                <w:sz w:val="16"/>
                <w:szCs w:val="16"/>
              </w:rPr>
            </w:pPr>
            <w:r>
              <w:rPr>
                <w:rFonts w:ascii="宋体"/>
                <w:sz w:val="16"/>
              </w:rPr>
              <w:t>227,217,719</w:t>
            </w:r>
          </w:p>
        </w:tc>
        <w:tc>
          <w:tcPr>
            <w:tcW w:w="193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5"/>
                <w:sz w:val="16"/>
              </w:rPr>
              <w:t>21,394,130</w:t>
            </w:r>
            <w:r>
              <w:rPr>
                <w:rFonts w:ascii="宋体"/>
                <w:sz w:val="16"/>
              </w:rPr>
            </w:r>
          </w:p>
        </w:tc>
      </w:tr>
    </w:tbl>
    <w:p>
      <w:pPr>
        <w:spacing w:line="240" w:lineRule="auto" w:before="0"/>
        <w:rPr>
          <w:rFonts w:ascii="Arial" w:hAnsi="Arial" w:cs="Arial" w:eastAsia="Arial" w:hint="default"/>
          <w:b/>
          <w:bCs/>
          <w:sz w:val="18"/>
          <w:szCs w:val="18"/>
        </w:rPr>
      </w:pPr>
    </w:p>
    <w:p>
      <w:pPr>
        <w:spacing w:line="410" w:lineRule="auto" w:before="158"/>
        <w:ind w:left="490" w:right="4755" w:hanging="341"/>
        <w:jc w:val="left"/>
        <w:rPr>
          <w:rFonts w:ascii="宋体" w:hAnsi="宋体" w:cs="宋体" w:eastAsia="宋体" w:hint="default"/>
          <w:sz w:val="18"/>
          <w:szCs w:val="18"/>
        </w:rPr>
      </w:pPr>
      <w:r>
        <w:rPr>
          <w:rFonts w:ascii="宋体" w:hAnsi="宋体" w:cs="宋体" w:eastAsia="宋体" w:hint="default"/>
          <w:sz w:val="17"/>
          <w:szCs w:val="17"/>
        </w:rPr>
        <w:t>(</w:t>
      </w:r>
      <w:r>
        <w:rPr>
          <w:rFonts w:ascii="宋体" w:hAnsi="宋体" w:cs="宋体" w:eastAsia="宋体" w:hint="default"/>
          <w:spacing w:val="-44"/>
          <w:sz w:val="17"/>
          <w:szCs w:val="17"/>
        </w:rPr>
        <w:t> </w:t>
      </w:r>
      <w:r>
        <w:rPr>
          <w:rFonts w:ascii="宋体" w:hAnsi="宋体" w:cs="宋体" w:eastAsia="宋体" w:hint="default"/>
          <w:sz w:val="17"/>
          <w:szCs w:val="17"/>
        </w:rPr>
        <w:t>五</w:t>
      </w:r>
      <w:r>
        <w:rPr>
          <w:rFonts w:ascii="宋体" w:hAnsi="宋体" w:cs="宋体" w:eastAsia="宋体" w:hint="default"/>
          <w:spacing w:val="-44"/>
          <w:sz w:val="17"/>
          <w:szCs w:val="17"/>
        </w:rPr>
        <w:t> </w:t>
      </w:r>
      <w:r>
        <w:rPr>
          <w:rFonts w:ascii="宋体" w:hAnsi="宋体" w:cs="宋体" w:eastAsia="宋体" w:hint="default"/>
          <w:sz w:val="17"/>
          <w:szCs w:val="17"/>
        </w:rPr>
        <w:t>)</w:t>
      </w:r>
      <w:r>
        <w:rPr>
          <w:rFonts w:ascii="宋体" w:hAnsi="宋体" w:cs="宋体" w:eastAsia="宋体" w:hint="default"/>
          <w:spacing w:val="-44"/>
          <w:sz w:val="17"/>
          <w:szCs w:val="17"/>
        </w:rPr>
        <w:t> </w:t>
      </w:r>
      <w:r>
        <w:rPr>
          <w:rFonts w:ascii="宋体" w:hAnsi="宋体" w:cs="宋体" w:eastAsia="宋体" w:hint="default"/>
          <w:sz w:val="17"/>
          <w:szCs w:val="17"/>
        </w:rPr>
        <w:t>主要控股参股公司分析</w:t>
      </w:r>
      <w:r>
        <w:rPr>
          <w:rFonts w:ascii="宋体" w:hAnsi="宋体" w:cs="宋体" w:eastAsia="宋体" w:hint="default"/>
          <w:sz w:val="17"/>
          <w:szCs w:val="17"/>
        </w:rPr>
        <w:t> </w:t>
      </w:r>
      <w:r>
        <w:rPr>
          <w:rFonts w:ascii="宋体" w:hAnsi="宋体" w:cs="宋体" w:eastAsia="宋体" w:hint="default"/>
          <w:sz w:val="18"/>
          <w:szCs w:val="18"/>
        </w:rPr>
        <w:t>公司主要子公司为联通运营公司，详见本节“一、经营情况讨论与分析”。 公司主要参股公司为西班牙电信及中国铁塔股份有限公司。</w:t>
      </w:r>
    </w:p>
    <w:p>
      <w:pPr>
        <w:pStyle w:val="BodyText"/>
        <w:spacing w:line="240" w:lineRule="auto" w:before="30"/>
        <w:ind w:left="490" w:right="0"/>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7"/>
        </w:rPr>
        <w:t> </w:t>
      </w:r>
      <w:r>
        <w:rPr>
          <w:rFonts w:ascii="宋体" w:hAnsi="宋体" w:cs="宋体" w:eastAsia="宋体" w:hint="default"/>
        </w:rPr>
        <w:t>年度，本公司所属子公司联通红筹公司收到西班牙电信宣布派发的现金股利人民币</w:t>
      </w:r>
      <w:r>
        <w:rPr>
          <w:rFonts w:ascii="宋体" w:hAnsi="宋体" w:cs="宋体" w:eastAsia="宋体" w:hint="default"/>
          <w:spacing w:val="-36"/>
        </w:rPr>
        <w:t> </w:t>
      </w:r>
      <w:r>
        <w:rPr>
          <w:rFonts w:ascii="宋体" w:hAnsi="宋体" w:cs="宋体" w:eastAsia="宋体" w:hint="default"/>
        </w:rPr>
        <w:t>1.96</w:t>
      </w:r>
      <w:r>
        <w:rPr>
          <w:rFonts w:ascii="宋体" w:hAnsi="宋体" w:cs="宋体" w:eastAsia="宋体" w:hint="default"/>
          <w:spacing w:val="-37"/>
        </w:rPr>
        <w:t> </w:t>
      </w:r>
      <w:r>
        <w:rPr>
          <w:rFonts w:ascii="宋体" w:hAnsi="宋体" w:cs="宋体" w:eastAsia="宋体" w:hint="default"/>
        </w:rPr>
        <w:t>亿元。</w:t>
      </w:r>
    </w:p>
    <w:p>
      <w:pPr>
        <w:pStyle w:val="BodyText"/>
        <w:spacing w:line="240" w:lineRule="auto" w:before="157"/>
        <w:ind w:left="490" w:right="0"/>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年度，公司对铁塔公司权益法核算的投资收益为人民币</w:t>
      </w:r>
      <w:r>
        <w:rPr>
          <w:rFonts w:ascii="宋体" w:hAnsi="宋体" w:cs="宋体" w:eastAsia="宋体" w:hint="default"/>
          <w:spacing w:val="-32"/>
        </w:rPr>
        <w:t> </w:t>
      </w:r>
      <w:r>
        <w:rPr>
          <w:rFonts w:ascii="宋体" w:hAnsi="宋体" w:cs="宋体" w:eastAsia="宋体" w:hint="default"/>
        </w:rPr>
        <w:t>16.63</w:t>
      </w:r>
      <w:r>
        <w:rPr>
          <w:rFonts w:ascii="宋体" w:hAnsi="宋体" w:cs="宋体" w:eastAsia="宋体" w:hint="default"/>
          <w:spacing w:val="-34"/>
        </w:rPr>
        <w:t> </w:t>
      </w:r>
      <w:r>
        <w:rPr>
          <w:rFonts w:ascii="宋体" w:hAnsi="宋体" w:cs="宋体" w:eastAsia="宋体" w:hint="default"/>
        </w:rPr>
        <w:t>亿元。</w:t>
      </w:r>
    </w:p>
    <w:p>
      <w:pPr>
        <w:spacing w:line="240" w:lineRule="auto" w:before="1"/>
        <w:rPr>
          <w:rFonts w:ascii="宋体" w:hAnsi="宋体" w:cs="宋体" w:eastAsia="宋体" w:hint="default"/>
          <w:sz w:val="25"/>
          <w:szCs w:val="25"/>
        </w:rPr>
      </w:pPr>
    </w:p>
    <w:p>
      <w:pPr>
        <w:pStyle w:val="BodyText"/>
        <w:spacing w:line="240" w:lineRule="auto"/>
        <w:ind w:left="150" w:right="1314"/>
        <w:jc w:val="left"/>
        <w:rPr>
          <w:rFonts w:ascii="宋体" w:hAnsi="宋体" w:cs="宋体" w:eastAsia="宋体" w:hint="default"/>
        </w:rPr>
      </w:pPr>
      <w:r>
        <w:rPr>
          <w:rFonts w:ascii="宋体" w:hAnsi="宋体" w:cs="宋体" w:eastAsia="宋体" w:hint="default"/>
          <w:color w:val="D7000F"/>
        </w:rPr>
        <w:t>三、公司关于公司未来发展的讨论与分析</w:t>
      </w:r>
      <w:r>
        <w:rPr>
          <w:rFonts w:ascii="宋体" w:hAnsi="宋体" w:cs="宋体" w:eastAsia="宋体" w:hint="default"/>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13"/>
          <w:szCs w:val="13"/>
        </w:rPr>
      </w:pPr>
    </w:p>
    <w:p>
      <w:pPr>
        <w:spacing w:before="0"/>
        <w:ind w:left="150" w:right="131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行业格局和趋势</w:t>
      </w:r>
    </w:p>
    <w:p>
      <w:pPr>
        <w:spacing w:line="240" w:lineRule="auto" w:before="11"/>
        <w:rPr>
          <w:rFonts w:ascii="宋体" w:hAnsi="宋体" w:cs="宋体" w:eastAsia="宋体" w:hint="default"/>
          <w:sz w:val="12"/>
          <w:szCs w:val="12"/>
        </w:rPr>
      </w:pPr>
    </w:p>
    <w:p>
      <w:pPr>
        <w:pStyle w:val="BodyText"/>
        <w:spacing w:line="285" w:lineRule="auto"/>
        <w:ind w:left="490" w:right="1412"/>
        <w:jc w:val="both"/>
        <w:rPr>
          <w:rFonts w:ascii="宋体" w:hAnsi="宋体" w:cs="宋体" w:eastAsia="宋体" w:hint="default"/>
        </w:rPr>
      </w:pPr>
      <w:r>
        <w:rPr>
          <w:rFonts w:ascii="宋体" w:hAnsi="宋体" w:cs="宋体" w:eastAsia="宋体" w:hint="default"/>
        </w:rPr>
        <w:t>2018 年，我国数字经济发展进入快车道，规模大幅增长，在 GDP 中所占比重持续提升。建设数字中国，已成为更好</w:t>
      </w:r>
      <w:r>
        <w:rPr>
          <w:rFonts w:ascii="宋体" w:hAnsi="宋体" w:cs="宋体" w:eastAsia="宋体" w:hint="default"/>
          <w:spacing w:val="-13"/>
        </w:rPr>
        <w:t> </w:t>
      </w:r>
      <w:r>
        <w:rPr>
          <w:rFonts w:ascii="宋体" w:hAnsi="宋体" w:cs="宋体" w:eastAsia="宋体" w:hint="default"/>
          <w:spacing w:val="-13"/>
        </w:rPr>
      </w:r>
      <w:r>
        <w:rPr>
          <w:rFonts w:ascii="宋体" w:hAnsi="宋体" w:cs="宋体" w:eastAsia="宋体" w:hint="default"/>
        </w:rPr>
        <w:t>地服务经济社会发展、加快建设社会主义现代化强国的迫切需要。从信息通信产业的发展趋势来看，我们也正在进入</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数字化、智能化新时代。未来，随着人工智能、5G</w:t>
      </w:r>
      <w:r>
        <w:rPr>
          <w:rFonts w:ascii="宋体" w:hAnsi="宋体" w:cs="宋体" w:eastAsia="宋体" w:hint="default"/>
          <w:spacing w:val="-18"/>
        </w:rPr>
        <w:t> </w:t>
      </w:r>
      <w:r>
        <w:rPr>
          <w:rFonts w:ascii="宋体" w:hAnsi="宋体" w:cs="宋体" w:eastAsia="宋体" w:hint="default"/>
        </w:rPr>
        <w:t>商用等信息服务的进一步落地，信息服务业将由“万人互联”发展</w:t>
      </w:r>
      <w:r>
        <w:rPr>
          <w:rFonts w:ascii="宋体" w:hAnsi="宋体" w:cs="宋体" w:eastAsia="宋体" w:hint="default"/>
          <w:spacing w:val="-69"/>
        </w:rPr>
        <w:t> </w:t>
      </w:r>
      <w:r>
        <w:rPr>
          <w:rFonts w:ascii="宋体" w:hAnsi="宋体" w:cs="宋体" w:eastAsia="宋体" w:hint="default"/>
          <w:spacing w:val="-69"/>
        </w:rPr>
      </w:r>
      <w:r>
        <w:rPr>
          <w:rFonts w:ascii="宋体" w:hAnsi="宋体" w:cs="宋体" w:eastAsia="宋体" w:hint="default"/>
        </w:rPr>
        <w:t>到“万物互联”、“万事互联”的新阶段，空间潜力巨大。通信运营商要顺应趋势，深入贯彻落实党中央、国务院各</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项决策部署，加快发展</w:t>
      </w:r>
      <w:r>
        <w:rPr>
          <w:rFonts w:ascii="宋体" w:hAnsi="宋体" w:cs="宋体" w:eastAsia="宋体" w:hint="default"/>
          <w:spacing w:val="4"/>
        </w:rPr>
        <w:t> </w:t>
      </w:r>
      <w:r>
        <w:rPr>
          <w:rFonts w:ascii="宋体" w:hAnsi="宋体" w:cs="宋体" w:eastAsia="宋体" w:hint="default"/>
        </w:rPr>
        <w:t>5G、物联网等新型业务，不断拓展业务空间，为国民经济和社会发展提供有力支撑。</w:t>
      </w:r>
    </w:p>
    <w:p>
      <w:pPr>
        <w:pStyle w:val="BodyText"/>
        <w:spacing w:line="285" w:lineRule="auto" w:before="123"/>
        <w:ind w:left="490" w:right="1411"/>
        <w:jc w:val="both"/>
        <w:rPr>
          <w:rFonts w:ascii="宋体" w:hAnsi="宋体" w:cs="宋体" w:eastAsia="宋体" w:hint="default"/>
        </w:rPr>
      </w:pPr>
      <w:r>
        <w:rPr>
          <w:rFonts w:ascii="宋体" w:hAnsi="宋体" w:cs="宋体" w:eastAsia="宋体" w:hint="default"/>
        </w:rPr>
        <w:t>与此同时，行业竞争形势日趋加剧，通信业务量收剪刀差持续扩大，传统业务增长空间不足，落实提速降费也为行业</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和公司发展带来挑战。未来，公司将抢抓机遇、直面挑战，践行新发展理念，深化实施聚焦创新合作战略，纵深推进</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混合所有制改革，以新治理释放更多制度红利、新基因迸发更大内在活力、新运营实现更高效率效益、新动能拓展更</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广发展蓝海、新生态汇聚更多协同优势，奋力开创“五新”联通建设和高质量发展的新局面。</w:t>
      </w:r>
    </w:p>
    <w:p>
      <w:pPr>
        <w:spacing w:line="240" w:lineRule="auto" w:before="8"/>
        <w:rPr>
          <w:rFonts w:ascii="宋体" w:hAnsi="宋体" w:cs="宋体" w:eastAsia="宋体" w:hint="default"/>
          <w:sz w:val="22"/>
          <w:szCs w:val="22"/>
        </w:rPr>
      </w:pPr>
    </w:p>
    <w:p>
      <w:pPr>
        <w:spacing w:before="0"/>
        <w:ind w:left="150" w:right="131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公司发展战略</w:t>
      </w:r>
    </w:p>
    <w:p>
      <w:pPr>
        <w:spacing w:line="240" w:lineRule="auto" w:before="11"/>
        <w:rPr>
          <w:rFonts w:ascii="宋体" w:hAnsi="宋体" w:cs="宋体" w:eastAsia="宋体" w:hint="default"/>
          <w:sz w:val="12"/>
          <w:szCs w:val="12"/>
        </w:rPr>
      </w:pPr>
    </w:p>
    <w:p>
      <w:pPr>
        <w:pStyle w:val="BodyText"/>
        <w:spacing w:line="285" w:lineRule="auto"/>
        <w:ind w:left="490" w:right="1409"/>
        <w:jc w:val="both"/>
        <w:rPr>
          <w:rFonts w:ascii="宋体" w:hAnsi="宋体" w:cs="宋体" w:eastAsia="宋体" w:hint="default"/>
        </w:rPr>
      </w:pPr>
      <w:r>
        <w:rPr>
          <w:rFonts w:ascii="宋体" w:hAnsi="宋体" w:cs="宋体" w:eastAsia="宋体" w:hint="default"/>
        </w:rPr>
        <w:t>公司深入学习贯彻落实习近平新时代中国特色社会主义思想和党的十九大精神，坚持新发展理念，按照高质量发展的</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要求，以混合所有制改革为突破，顺应大势，抢抓机遇，深入实施聚焦创新合作战略，培育强健互联网新基因，探索</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完善公司混改新治理，全力加快互联网化新运营，着力增强创新发展新动能，积极构建外联内通新生态，打造差异化</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竞争优势，奋力建设新时代中国特色社会主义新央企。通过努力，公司战略转型和互联网化运营取得重大进展，基础</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spacing w:val="-2"/>
        </w:rPr>
        <w:t>业务有效发展，创新业务重点突破，体制机制更加完善，客户体验极致卓越，品牌影响持续扩大，运营管理简捷高效，</w:t>
      </w:r>
      <w:r>
        <w:rPr>
          <w:rFonts w:ascii="宋体" w:hAnsi="宋体" w:cs="宋体" w:eastAsia="宋体" w:hint="default"/>
          <w:spacing w:val="-51"/>
        </w:rPr>
        <w:t> </w:t>
      </w:r>
      <w:r>
        <w:rPr>
          <w:rFonts w:ascii="宋体" w:hAnsi="宋体" w:cs="宋体" w:eastAsia="宋体" w:hint="default"/>
          <w:spacing w:val="-51"/>
        </w:rPr>
      </w:r>
      <w:r>
        <w:rPr>
          <w:rFonts w:ascii="宋体" w:hAnsi="宋体" w:cs="宋体" w:eastAsia="宋体" w:hint="default"/>
        </w:rPr>
        <w:t>价值创造全面提升，争创具有全球竞争力的世界一流企业。</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headerReference w:type="even" r:id="rId137"/>
          <w:footerReference w:type="even" r:id="rId138"/>
          <w:pgSz w:w="11910" w:h="16160"/>
          <w:pgMar w:header="0" w:footer="0" w:top="2360" w:bottom="0" w:left="700" w:right="0"/>
        </w:sectPr>
      </w:pPr>
    </w:p>
    <w:p>
      <w:pPr>
        <w:tabs>
          <w:tab w:pos="5277" w:val="left" w:leader="none"/>
        </w:tabs>
        <w:spacing w:before="61"/>
        <w:ind w:left="114" w:right="0" w:firstLine="0"/>
        <w:jc w:val="left"/>
        <w:rPr>
          <w:rFonts w:ascii="宋体" w:hAnsi="宋体" w:cs="宋体" w:eastAsia="宋体" w:hint="default"/>
          <w:sz w:val="16"/>
          <w:szCs w:val="16"/>
        </w:rPr>
      </w:pPr>
      <w:r>
        <w:rPr/>
        <w:pict>
          <v:group style="position:absolute;margin-left:-.5pt;margin-top:119.055023pt;width:596.3pt;height:689.35pt;mso-position-horizontal-relative:page;mso-position-vertical-relative:page;z-index:-966472" coordorigin="-10,2381" coordsize="11926,13787">
            <v:shape style="position:absolute;left:9259;top:6539;width:340;height:340" type="#_x0000_t75" stroked="false">
              <v:imagedata r:id="rId85" o:title=""/>
            </v:shape>
            <v:group style="position:absolute;left:5621;top:6695;width:3823;height:4059" coordorigin="5621,6695" coordsize="3823,4059">
              <v:shape style="position:absolute;left:5621;top:6695;width:3823;height:4059" coordorigin="5621,6695" coordsize="3823,4059" path="m9443,6695l5621,10753e" filled="false" stroked="true" strokeweight="1pt" strokecolor="#9c8758">
                <v:path arrowok="t"/>
              </v:shape>
            </v:group>
            <v:group style="position:absolute;left:0;top:2500;width:7159;height:7304" coordorigin="0,2500" coordsize="7159,7304">
              <v:shape style="position:absolute;left:0;top:2500;width:7159;height:7304" coordorigin="0,2500" coordsize="7159,7304" path="m337,9804l0,9804,0,6187,3444,2500,7159,2500,337,9804xe" filled="true" fillcolor="#8e9090" stroked="false">
                <v:path arrowok="t"/>
                <v:fill type="solid"/>
              </v:shape>
            </v:group>
            <v:group style="position:absolute;left:6181;top:9987;width:5725;height:6171" coordorigin="6181,9987" coordsize="5725,6171">
              <v:shape style="position:absolute;left:6181;top:9987;width:5725;height:6171" coordorigin="6181,9987" coordsize="5725,6171" path="m11906,16157l6181,16157,11906,9987,11906,16157xe" filled="true" fillcolor="#8e9090" stroked="false">
                <v:path arrowok="t"/>
                <v:fill type="solid"/>
              </v:shape>
            </v:group>
            <v:group style="position:absolute;left:6816;top:10672;width:5090;height:5486" coordorigin="6816,10672" coordsize="5090,5486">
              <v:shape style="position:absolute;left:6816;top:10672;width:5090;height:5486" coordorigin="6816,10672" coordsize="5090,5486" path="m11906,16157l6816,16157,11906,10672,11906,16157xe" filled="true" fillcolor="#d7000f" stroked="false">
                <v:path arrowok="t"/>
                <v:fill type="solid"/>
              </v:shape>
              <v:shape style="position:absolute;left:2072;top:2665;width:340;height:340" type="#_x0000_t75" stroked="false">
                <v:imagedata r:id="rId86" o:title=""/>
              </v:shape>
            </v:group>
            <v:group style="position:absolute;left:0;top:2778;width:2299;height:2474" coordorigin="0,2778" coordsize="2299,2474">
              <v:shape style="position:absolute;left:0;top:2778;width:2299;height:2474" coordorigin="0,2778" coordsize="2299,2474" path="m2298,2778l0,5252e" filled="false" stroked="true" strokeweight="1pt" strokecolor="#000000">
                <v:path arrowok="t"/>
              </v:shape>
            </v:group>
            <v:group style="position:absolute;left:0;top:12410;width:434;height:447" coordorigin="0,12410" coordsize="434,447">
              <v:shape style="position:absolute;left:0;top:12410;width:434;height:447" coordorigin="0,12410" coordsize="434,447" path="m433,12410l0,12857e" filled="false" stroked="true" strokeweight="1pt" strokecolor="#8e9090">
                <v:path arrowok="t"/>
              </v:shape>
              <v:shape style="position:absolute;left:298;top:12307;width:241;height:241" type="#_x0000_t75" stroked="false">
                <v:imagedata r:id="rId87" o:title=""/>
              </v:shape>
            </v:group>
            <v:group style="position:absolute;left:4935;top:12190;width:3851;height:3968" coordorigin="4935,12190" coordsize="3851,3968">
              <v:shape style="position:absolute;left:4935;top:12190;width:3851;height:3968" coordorigin="4935,12190" coordsize="3851,3968" path="m8785,12190l4935,16157e" filled="false" stroked="true" strokeweight="1pt" strokecolor="#8e9090">
                <v:path arrowok="t"/>
              </v:shape>
              <v:shape style="position:absolute;left:8634;top:12076;width:268;height:268" type="#_x0000_t75" stroked="false">
                <v:imagedata r:id="rId88" o:title=""/>
              </v:shape>
            </v:group>
            <v:group style="position:absolute;left:8600;top:13607;width:2475;height:2551" coordorigin="8600,13607" coordsize="2475,2551">
              <v:shape style="position:absolute;left:8600;top:13607;width:2475;height:2551" coordorigin="8600,13607" coordsize="2475,2551" path="m11075,13607l8600,16157e" filled="false" stroked="true" strokeweight="1pt" strokecolor="#d7000f">
                <v:path arrowok="t"/>
              </v:shape>
              <v:shape style="position:absolute;left:10923;top:13493;width:268;height:268" type="#_x0000_t75" stroked="false">
                <v:imagedata r:id="rId89" o:title=""/>
              </v:shape>
            </v:group>
            <v:group style="position:absolute;left:2349;top:8171;width:7527;height:7987" coordorigin="2349,8171" coordsize="7527,7987">
              <v:shape style="position:absolute;left:2349;top:8171;width:7527;height:7987" coordorigin="2349,8171" coordsize="7527,7987" path="m9876,8171l2349,16157e" filled="false" stroked="true" strokeweight="1pt" strokecolor="#000000">
                <v:path arrowok="t"/>
              </v:shape>
              <v:shape style="position:absolute;left:11425;top:3255;width:491;height:500" type="#_x0000_t75" stroked="false">
                <v:imagedata r:id="rId90" o:title=""/>
              </v:shape>
            </v:group>
            <v:group style="position:absolute;left:6123;top:8308;width:5783;height:7850" coordorigin="6123,8308" coordsize="5783,7850">
              <v:shape style="position:absolute;left:6123;top:8308;width:5783;height:7850" coordorigin="6123,8308" coordsize="5783,7850" path="m11906,16157l11906,8308,6123,8308,6123,16157,11906,16157xe" filled="true" fillcolor="#ffffff" stroked="false">
                <v:path arrowok="t"/>
                <v:fill type="solid"/>
              </v:shape>
            </v:group>
            <v:group style="position:absolute;left:0;top:2381;width:10656;height:12867" coordorigin="0,2381" coordsize="10656,12867">
              <v:shape style="position:absolute;left:0;top:2381;width:10656;height:12867" coordorigin="0,2381" coordsize="10656,12867" path="m0,2381l0,15248,10655,15248,10655,2381,0,2381xe" filled="true" fillcolor="#ffffff" stroked="false">
                <v:path arrowok="t"/>
                <v:fill type="solid"/>
              </v:shape>
            </v:group>
            <v:group style="position:absolute;left:1417;top:5377;width:2722;height:2" coordorigin="1417,5377" coordsize="2722,2">
              <v:shape style="position:absolute;left:1417;top:5377;width:2722;height:2" coordorigin="1417,5377" coordsize="2722,0" path="m1417,5377l4139,5377e" filled="false" stroked="true" strokeweight=".5pt" strokecolor="#000000">
                <v:path arrowok="t"/>
              </v:shape>
            </v:group>
            <v:group style="position:absolute;left:4139;top:5377;width:1418;height:2" coordorigin="4139,5377" coordsize="1418,2">
              <v:shape style="position:absolute;left:4139;top:5377;width:1418;height:2" coordorigin="4139,5377" coordsize="1418,0" path="m4139,5377l5556,5377e" filled="false" stroked="true" strokeweight=".5pt" strokecolor="#000000">
                <v:path arrowok="t"/>
              </v:shape>
            </v:group>
            <v:group style="position:absolute;left:5556;top:5377;width:1418;height:2" coordorigin="5556,5377" coordsize="1418,2">
              <v:shape style="position:absolute;left:5556;top:5377;width:1418;height:2" coordorigin="5556,5377" coordsize="1418,0" path="m5556,5377l6973,5377e" filled="false" stroked="true" strokeweight=".5pt" strokecolor="#000000">
                <v:path arrowok="t"/>
              </v:shape>
            </v:group>
            <v:group style="position:absolute;left:6973;top:5377;width:1418;height:2" coordorigin="6973,5377" coordsize="1418,2">
              <v:shape style="position:absolute;left:6973;top:5377;width:1418;height:2" coordorigin="6973,5377" coordsize="1418,0" path="m6973,5377l8391,5377e" filled="false" stroked="true" strokeweight=".5pt" strokecolor="#000000">
                <v:path arrowok="t"/>
              </v:shape>
            </v:group>
            <v:group style="position:absolute;left:8391;top:5377;width:2098;height:2" coordorigin="8391,5377" coordsize="2098,2">
              <v:shape style="position:absolute;left:8391;top:5377;width:2098;height:2" coordorigin="8391,5377" coordsize="2098,0" path="m8391,5377l10488,5377e" filled="false" stroked="true" strokeweight=".5pt" strokecolor="#000000">
                <v:path arrowok="t"/>
              </v:shape>
            </v:group>
            <w10:wrap type="none"/>
          </v:group>
        </w:pict>
      </w:r>
      <w:r>
        <w:rPr>
          <w:rFonts w:ascii="Arial" w:hAnsi="Arial" w:cs="Arial" w:eastAsia="Arial" w:hint="default"/>
          <w:b/>
          <w:bCs/>
          <w:color w:val="9C8758"/>
          <w:spacing w:val="-1"/>
          <w:position w:val="2"/>
          <w:sz w:val="16"/>
          <w:szCs w:val="16"/>
        </w:rPr>
        <w:t>36</w:t>
        <w:tab/>
      </w:r>
      <w:r>
        <w:rPr>
          <w:rFonts w:ascii="宋体" w:hAnsi="宋体" w:cs="宋体" w:eastAsia="宋体" w:hint="default"/>
          <w:color w:val="595757"/>
          <w:spacing w:val="24"/>
          <w:sz w:val="16"/>
          <w:szCs w:val="16"/>
        </w:rPr>
        <w:t>经营情况讨论与分析</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0"/>
          <w:cols w:num="2" w:equalWidth="0">
            <w:col w:w="6977" w:space="191"/>
            <w:col w:w="4042"/>
          </w:cols>
        </w:sectPr>
      </w:pPr>
    </w:p>
    <w:p>
      <w:pPr>
        <w:spacing w:line="240" w:lineRule="auto" w:before="0"/>
        <w:rPr>
          <w:rFonts w:ascii="宋体" w:hAnsi="宋体" w:cs="宋体" w:eastAsia="宋体" w:hint="default"/>
          <w:sz w:val="20"/>
          <w:szCs w:val="20"/>
        </w:rPr>
      </w:pPr>
      <w:r>
        <w:rPr/>
        <w:pict>
          <v:group style="position:absolute;margin-left:-.500001pt;margin-top:-1.499958pt;width:596.3pt;height:809.9pt;mso-position-horizontal-relative:page;mso-position-vertical-relative:page;z-index:-966448" coordorigin="-10,-30" coordsize="11926,16198">
            <v:group style="position:absolute;left:0;top:0;width:11906;height:16158" coordorigin="0,0" coordsize="11906,16158">
              <v:shape style="position:absolute;left:0;top:0;width:11906;height:16158" coordorigin="0,0" coordsize="11906,16158" path="m444,16157l0,16157,0,9987,9267,0,11906,0,11906,3804,444,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7570,16157l0,16157,0,10672,9902,0,11906,0,11906,11485,7570,16157xe" filled="true" fillcolor="#d7000f" stroked="false">
                <v:path arrowok="t"/>
                <v:fill type="solid"/>
              </v:shape>
            </v:group>
            <v:group style="position:absolute;left:0;top:0;width:226;height:233" coordorigin="0,0" coordsize="226,233">
              <v:shape style="position:absolute;left:0;top:0;width:226;height:233" coordorigin="0,0" coordsize="226,233" path="m0,233l225,0e" filled="false" stroked="true" strokeweight="1pt" strokecolor="#9c8758">
                <v:path arrowok="t"/>
              </v:shape>
              <v:shape style="position:absolute;left:3646;top:14163;width:340;height:340" type="#_x0000_t75" stroked="false">
                <v:imagedata r:id="rId94" o:title=""/>
              </v:shape>
            </v:group>
            <v:group style="position:absolute;left:3802;top:11470;width:2786;height:2878" coordorigin="3802,11470" coordsize="2786,2878">
              <v:shape style="position:absolute;left:3802;top:11470;width:2786;height:2878" coordorigin="3802,11470" coordsize="2786,2878" path="m3802,14347l6587,11470e" filled="false" stroked="true" strokeweight="1pt" strokecolor="#9c8758">
                <v:path arrowok="t"/>
              </v:shape>
              <v:shape style="position:absolute;left:5371;top:1794;width:268;height:268" type="#_x0000_t75" stroked="false">
                <v:imagedata r:id="rId95" o:title=""/>
              </v:shape>
            </v:group>
            <v:group style="position:absolute;left:5412;top:0;width:1951;height:2021" coordorigin="5412,0" coordsize="1951,2021">
              <v:shape style="position:absolute;left:5412;top:0;width:1951;height:2021" coordorigin="5412,0" coordsize="1951,2021" path="m5412,2021l7362,0e" filled="false" stroked="true" strokeweight="3pt" strokecolor="#8e9090">
                <v:path arrowok="t"/>
              </v:shape>
            </v:group>
            <v:group style="position:absolute;left:5897;top:7258;width:3956;height:4261" coordorigin="5897,7258" coordsize="3956,4261">
              <v:shape style="position:absolute;left:5897;top:7258;width:3956;height:4261" coordorigin="5897,7258" coordsize="3956,4261" path="m9853,7258l5897,11519e" filled="false" stroked="true" strokeweight="1pt" strokecolor="#8e9090">
                <v:path arrowok="t"/>
              </v:shape>
              <v:shape style="position:absolute;left:9701;top:7144;width:267;height:267" type="#_x0000_t75" stroked="false">
                <v:imagedata r:id="rId96" o:title=""/>
              </v:shape>
            </v:group>
            <v:group style="position:absolute;left:10549;top:492;width:1357;height:1470" coordorigin="10549,492" coordsize="1357,1470">
              <v:shape style="position:absolute;left:10549;top:492;width:1357;height:1470" coordorigin="10549,492" coordsize="1357,1470" path="m10549,1962l11906,492e" filled="false" stroked="true" strokeweight="1.0pt" strokecolor="#000000">
                <v:path arrowok="t"/>
              </v:shape>
              <v:shape style="position:absolute;left:10433;top:1808;width:268;height:268" type="#_x0000_t75" stroked="false">
                <v:imagedata r:id="rId97" o:title=""/>
              </v:shape>
              <v:shape style="position:absolute;left:6152;top:14060;width:340;height:340" type="#_x0000_t75" stroked="false">
                <v:imagedata r:id="rId98" o:title=""/>
              </v:shape>
            </v:group>
            <v:group style="position:absolute;left:6308;top:8369;width:5598;height:5875" coordorigin="6308,8369" coordsize="5598,5875">
              <v:shape style="position:absolute;left:6308;top:8369;width:5598;height:5875" coordorigin="6308,8369" coordsize="5598,5875" path="m6308,14244l11906,8369e" filled="false" stroked="true" strokeweight="1pt" strokecolor="#9c8758">
                <v:path arrowok="t"/>
              </v:shape>
              <v:shape style="position:absolute;left:9278;top:8801;width:340;height:340" type="#_x0000_t75" stroked="false">
                <v:imagedata r:id="rId91" o:title=""/>
              </v:shape>
            </v:group>
            <v:group style="position:absolute;left:2678;top:8914;width:6827;height:7244" coordorigin="2678,8914" coordsize="6827,7244">
              <v:shape style="position:absolute;left:2678;top:8914;width:6827;height:7244" coordorigin="2678,8914" coordsize="6827,7244" path="m9504,8914l2678,16157e" filled="false" stroked="true" strokeweight="1pt" strokecolor="#000000">
                <v:path arrowok="t"/>
              </v:shape>
            </v:group>
            <v:group style="position:absolute;left:0;top:0;width:3168;height:3265" coordorigin="0,0" coordsize="3168,3265">
              <v:shape style="position:absolute;left:0;top:0;width:3168;height:3265" coordorigin="0,0" coordsize="3168,3265" path="m0,3265l3168,0e" filled="false" stroked="true" strokeweight="1pt" strokecolor="#d7000f">
                <v:path arrowok="t"/>
              </v:shape>
            </v:group>
            <v:group style="position:absolute;left:0;top:8308;width:1248;height:7850" coordorigin="0,8308" coordsize="1248,7850">
              <v:shape style="position:absolute;left:0;top:8308;width:1248;height:7850" coordorigin="0,8308" coordsize="1248,7850" path="m0,16157l1247,16157,1247,8308,0,8308,0,16157xe" filled="true" fillcolor="#ffffff" stroked="false">
                <v:path arrowok="t"/>
                <v:fill type="solid"/>
              </v:shape>
            </v:group>
            <v:group style="position:absolute;left:1247;top:2154;width:10659;height:14004" coordorigin="1247,2154" coordsize="10659,14004">
              <v:shape style="position:absolute;left:1247;top:2154;width:10659;height:14004" coordorigin="1247,2154" coordsize="10659,14004" path="m11906,16157l11906,2154,1247,2154,1247,16157,11906,16157xe" filled="true" fillcolor="#ffffff"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1"/>
          <w:szCs w:val="21"/>
        </w:rPr>
      </w:pPr>
    </w:p>
    <w:p>
      <w:pPr>
        <w:spacing w:before="30"/>
        <w:ind w:left="117" w:right="87"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三</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经营计划</w:t>
      </w:r>
    </w:p>
    <w:p>
      <w:pPr>
        <w:spacing w:line="240" w:lineRule="auto" w:before="11"/>
        <w:rPr>
          <w:rFonts w:ascii="宋体" w:hAnsi="宋体" w:cs="宋体" w:eastAsia="宋体" w:hint="default"/>
          <w:sz w:val="12"/>
          <w:szCs w:val="12"/>
        </w:rPr>
      </w:pPr>
    </w:p>
    <w:p>
      <w:pPr>
        <w:pStyle w:val="BodyText"/>
        <w:spacing w:line="285" w:lineRule="auto"/>
        <w:ind w:left="457" w:right="185"/>
        <w:jc w:val="both"/>
        <w:rPr>
          <w:rFonts w:ascii="宋体" w:hAnsi="宋体" w:cs="宋体" w:eastAsia="宋体" w:hint="default"/>
        </w:rPr>
      </w:pPr>
      <w:r>
        <w:rPr>
          <w:rFonts w:ascii="宋体" w:hAnsi="宋体" w:cs="宋体" w:eastAsia="宋体" w:hint="default"/>
        </w:rPr>
        <w:t>2019</w:t>
      </w:r>
      <w:r>
        <w:rPr>
          <w:rFonts w:ascii="宋体" w:hAnsi="宋体" w:cs="宋体" w:eastAsia="宋体" w:hint="default"/>
          <w:spacing w:val="-27"/>
        </w:rPr>
        <w:t> </w:t>
      </w:r>
      <w:r>
        <w:rPr>
          <w:rFonts w:ascii="宋体" w:hAnsi="宋体" w:cs="宋体" w:eastAsia="宋体" w:hint="default"/>
        </w:rPr>
        <w:t>年，公司将坚定深化实施聚焦创新合作战略定力不动摇，纵深推进混改，不断巩固和创造自身差异化优势，持续</w:t>
      </w:r>
      <w:r>
        <w:rPr>
          <w:rFonts w:ascii="宋体" w:hAnsi="宋体" w:cs="宋体" w:eastAsia="宋体" w:hint="default"/>
          <w:spacing w:val="-72"/>
        </w:rPr>
        <w:t> </w:t>
      </w:r>
      <w:r>
        <w:rPr>
          <w:rFonts w:ascii="宋体" w:hAnsi="宋体" w:cs="宋体" w:eastAsia="宋体" w:hint="default"/>
          <w:spacing w:val="-72"/>
        </w:rPr>
      </w:r>
      <w:r>
        <w:rPr>
          <w:rFonts w:ascii="宋体" w:hAnsi="宋体" w:cs="宋体" w:eastAsia="宋体" w:hint="default"/>
        </w:rPr>
        <w:t>推进市场经营的互联网化转型。构建市场为先、产品为纲、触点为王、能力为本的中国联通“四为”市场体系，巩固</w:t>
      </w:r>
      <w:r>
        <w:rPr>
          <w:rFonts w:ascii="宋体" w:hAnsi="宋体" w:cs="宋体" w:eastAsia="宋体" w:hint="default"/>
          <w:spacing w:val="-2"/>
        </w:rPr>
        <w:t> </w:t>
      </w:r>
      <w:r>
        <w:rPr>
          <w:rFonts w:ascii="宋体" w:hAnsi="宋体" w:cs="宋体" w:eastAsia="宋体" w:hint="default"/>
          <w:spacing w:val="-2"/>
        </w:rPr>
      </w:r>
      <w:r>
        <w:rPr>
          <w:rFonts w:ascii="宋体" w:hAnsi="宋体" w:cs="宋体" w:eastAsia="宋体" w:hint="default"/>
        </w:rPr>
        <w:t>基础业务市场地位，培育创新业务发展新动能，实现 2019</w:t>
      </w:r>
      <w:r>
        <w:rPr>
          <w:rFonts w:ascii="宋体" w:hAnsi="宋体" w:cs="宋体" w:eastAsia="宋体" w:hint="default"/>
          <w:spacing w:val="-52"/>
        </w:rPr>
        <w:t> </w:t>
      </w:r>
      <w:r>
        <w:rPr>
          <w:rFonts w:ascii="宋体" w:hAnsi="宋体" w:cs="宋体" w:eastAsia="宋体" w:hint="default"/>
        </w:rPr>
        <w:t>年高质量规模化发展，开创“五新”联通新局面。</w:t>
      </w:r>
    </w:p>
    <w:p>
      <w:pPr>
        <w:pStyle w:val="BodyText"/>
        <w:spacing w:line="285" w:lineRule="auto" w:before="123"/>
        <w:ind w:left="457" w:right="184"/>
        <w:jc w:val="both"/>
        <w:rPr>
          <w:rFonts w:ascii="宋体" w:hAnsi="宋体" w:cs="宋体" w:eastAsia="宋体" w:hint="default"/>
        </w:rPr>
      </w:pPr>
      <w:r>
        <w:rPr>
          <w:rFonts w:ascii="宋体" w:hAnsi="宋体" w:cs="宋体" w:eastAsia="宋体" w:hint="default"/>
        </w:rPr>
        <w:t>公司将坚定不移实施互联网化运营转型，立足用户需求，深度挖掘和细分市场，稳定基础业务，规模提升创新业务，</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驱动整体业务持续增长。精准高效建设精品网络，积极布局备战</w:t>
      </w:r>
      <w:r>
        <w:rPr>
          <w:rFonts w:ascii="宋体" w:hAnsi="宋体" w:cs="宋体" w:eastAsia="宋体" w:hint="default"/>
          <w:spacing w:val="-51"/>
        </w:rPr>
        <w:t> </w:t>
      </w:r>
      <w:r>
        <w:rPr>
          <w:rFonts w:ascii="宋体" w:hAnsi="宋体" w:cs="宋体" w:eastAsia="宋体" w:hint="default"/>
          <w:w w:val="107"/>
        </w:rPr>
        <w:t>5G、持续完善</w:t>
      </w:r>
      <w:r>
        <w:rPr>
          <w:rFonts w:ascii="宋体" w:hAnsi="宋体" w:cs="宋体" w:eastAsia="宋体" w:hint="default"/>
          <w:spacing w:val="-59"/>
          <w:w w:val="107"/>
        </w:rPr>
        <w:t> </w:t>
      </w:r>
      <w:r>
        <w:rPr>
          <w:rFonts w:ascii="宋体" w:hAnsi="宋体" w:cs="宋体" w:eastAsia="宋体" w:hint="default"/>
          <w:w w:val="110"/>
        </w:rPr>
        <w:t>4G、简化</w:t>
      </w:r>
      <w:r>
        <w:rPr>
          <w:rFonts w:ascii="宋体" w:hAnsi="宋体" w:cs="宋体" w:eastAsia="宋体" w:hint="default"/>
          <w:spacing w:val="-61"/>
          <w:w w:val="110"/>
        </w:rPr>
        <w:t> </w:t>
      </w:r>
      <w:r>
        <w:rPr>
          <w:rFonts w:ascii="宋体" w:hAnsi="宋体" w:cs="宋体" w:eastAsia="宋体" w:hint="default"/>
          <w:spacing w:val="-1"/>
          <w:w w:val="112"/>
        </w:rPr>
        <w:t>2G/3G</w:t>
      </w:r>
      <w:r>
        <w:rPr>
          <w:rFonts w:ascii="宋体" w:hAnsi="宋体" w:cs="宋体" w:eastAsia="宋体" w:hint="default"/>
          <w:spacing w:val="-63"/>
          <w:w w:val="112"/>
        </w:rPr>
        <w:t> </w:t>
      </w:r>
      <w:r>
        <w:rPr>
          <w:rFonts w:ascii="宋体" w:hAnsi="宋体" w:cs="宋体" w:eastAsia="宋体" w:hint="default"/>
        </w:rPr>
        <w:t>网络，为业务发展提</w:t>
      </w:r>
      <w:r>
        <w:rPr>
          <w:rFonts w:ascii="宋体" w:hAnsi="宋体" w:cs="宋体" w:eastAsia="宋体" w:hint="default"/>
          <w:spacing w:val="1"/>
        </w:rPr>
        <w:t> </w:t>
      </w:r>
      <w:r>
        <w:rPr>
          <w:rFonts w:ascii="宋体" w:hAnsi="宋体" w:cs="宋体" w:eastAsia="宋体" w:hint="default"/>
        </w:rPr>
        <w:t>供坚实保障。纵深推进组织机构、人力资源、划小承包、子企业混改等各领域的创新变革，在破解体制机制障碍、激</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发微观主体活力方面攻坚克难，壮大发展内生动力。持续强化基础管理和风险管控，推进降本增效，不断提升企业运</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营效益和竞争实力，实现高质量规模化发展。</w:t>
      </w:r>
    </w:p>
    <w:p>
      <w:pPr>
        <w:spacing w:line="240" w:lineRule="auto" w:before="9"/>
        <w:rPr>
          <w:rFonts w:ascii="宋体" w:hAnsi="宋体" w:cs="宋体" w:eastAsia="宋体" w:hint="default"/>
          <w:sz w:val="22"/>
          <w:szCs w:val="22"/>
        </w:rPr>
      </w:pPr>
    </w:p>
    <w:p>
      <w:pPr>
        <w:spacing w:before="0"/>
        <w:ind w:left="117" w:right="87"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四</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可能面对的风险</w:t>
      </w:r>
    </w:p>
    <w:p>
      <w:pPr>
        <w:spacing w:line="240" w:lineRule="auto" w:before="11"/>
        <w:rPr>
          <w:rFonts w:ascii="宋体" w:hAnsi="宋体" w:cs="宋体" w:eastAsia="宋体" w:hint="default"/>
          <w:sz w:val="12"/>
          <w:szCs w:val="12"/>
        </w:rPr>
      </w:pPr>
    </w:p>
    <w:p>
      <w:pPr>
        <w:pStyle w:val="BodyText"/>
        <w:spacing w:line="240" w:lineRule="auto"/>
        <w:ind w:left="457" w:right="0"/>
        <w:jc w:val="both"/>
        <w:rPr>
          <w:rFonts w:ascii="宋体" w:hAnsi="宋体" w:cs="宋体" w:eastAsia="宋体" w:hint="default"/>
        </w:rPr>
      </w:pPr>
      <w:r>
        <w:rPr>
          <w:rFonts w:ascii="宋体" w:hAnsi="宋体" w:cs="宋体" w:eastAsia="宋体" w:hint="default"/>
          <w:color w:val="D7000F"/>
          <w:w w:val="95"/>
        </w:rPr>
        <w:t>1.</w:t>
      </w:r>
      <w:r>
        <w:rPr>
          <w:rFonts w:ascii="宋体" w:hAnsi="宋体" w:cs="宋体" w:eastAsia="宋体" w:hint="default"/>
          <w:color w:val="D7000F"/>
          <w:spacing w:val="37"/>
          <w:w w:val="95"/>
        </w:rPr>
        <w:t> </w:t>
      </w:r>
      <w:r>
        <w:rPr>
          <w:rFonts w:ascii="宋体" w:hAnsi="宋体" w:cs="宋体" w:eastAsia="宋体" w:hint="default"/>
          <w:color w:val="D7000F"/>
          <w:w w:val="95"/>
        </w:rPr>
        <w:t>行业竞争持续加剧的风险</w:t>
      </w:r>
      <w:r>
        <w:rPr>
          <w:rFonts w:ascii="宋体" w:hAnsi="宋体" w:cs="宋体" w:eastAsia="宋体" w:hint="default"/>
          <w:w w:val="95"/>
        </w:rPr>
      </w:r>
    </w:p>
    <w:p>
      <w:pPr>
        <w:pStyle w:val="BodyText"/>
        <w:spacing w:line="285" w:lineRule="auto" w:before="157"/>
        <w:ind w:left="457" w:right="182"/>
        <w:jc w:val="both"/>
        <w:rPr>
          <w:rFonts w:ascii="宋体" w:hAnsi="宋体" w:cs="宋体" w:eastAsia="宋体" w:hint="default"/>
        </w:rPr>
      </w:pPr>
      <w:r>
        <w:rPr>
          <w:rFonts w:ascii="宋体" w:hAnsi="宋体" w:cs="宋体" w:eastAsia="宋体" w:hint="default"/>
        </w:rPr>
        <w:t>中国经济受到内外部环境深刻变化等多重因素影响，当前国际经济环境错综复杂，国内经济下行压力有所加大，国内</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电信业传统业务逐步饱和，市场竞争日趋白热化。4G</w:t>
      </w:r>
      <w:r>
        <w:rPr>
          <w:rFonts w:ascii="宋体" w:hAnsi="宋体" w:cs="宋体" w:eastAsia="宋体" w:hint="default"/>
          <w:spacing w:val="-19"/>
        </w:rPr>
        <w:t> </w:t>
      </w:r>
      <w:r>
        <w:rPr>
          <w:rFonts w:ascii="宋体" w:hAnsi="宋体" w:cs="宋体" w:eastAsia="宋体" w:hint="default"/>
        </w:rPr>
        <w:t>业务仍是国内运营商主要竞争领域，收入增长受流量快速释放、</w:t>
      </w:r>
      <w:r>
        <w:rPr>
          <w:rFonts w:ascii="宋体" w:hAnsi="宋体" w:cs="宋体" w:eastAsia="宋体" w:hint="default"/>
          <w:spacing w:val="-68"/>
        </w:rPr>
        <w:t> </w:t>
      </w:r>
      <w:r>
        <w:rPr>
          <w:rFonts w:ascii="宋体" w:hAnsi="宋体" w:cs="宋体" w:eastAsia="宋体" w:hint="default"/>
          <w:spacing w:val="-68"/>
        </w:rPr>
      </w:r>
      <w:r>
        <w:rPr>
          <w:rFonts w:ascii="宋体" w:hAnsi="宋体" w:cs="宋体" w:eastAsia="宋体" w:hint="default"/>
        </w:rPr>
        <w:t>量收增长不匹配等因素影响。公司深刻认识当前发展的外部环境和市场竞争格局，将积极应对市场环境变化和竞争带</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来的影响，持之以恒实施聚焦创新合作战略，坚定不移推进互联网化运营落地，以混改为契机深化改革释放红利，发</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扬钉钉子精神打造关键能力，推动公司实现高质量规模化发展。</w:t>
      </w:r>
    </w:p>
    <w:p>
      <w:pPr>
        <w:pStyle w:val="BodyText"/>
        <w:spacing w:line="240" w:lineRule="auto" w:before="123"/>
        <w:ind w:left="457" w:right="0"/>
        <w:jc w:val="both"/>
        <w:rPr>
          <w:rFonts w:ascii="宋体" w:hAnsi="宋体" w:cs="宋体" w:eastAsia="宋体" w:hint="default"/>
        </w:rPr>
      </w:pPr>
      <w:r>
        <w:rPr>
          <w:rFonts w:ascii="宋体" w:hAnsi="宋体" w:cs="宋体" w:eastAsia="宋体" w:hint="default"/>
          <w:color w:val="D7000F"/>
          <w:w w:val="95"/>
        </w:rPr>
        <w:t>2.</w:t>
      </w:r>
      <w:r>
        <w:rPr>
          <w:rFonts w:ascii="宋体" w:hAnsi="宋体" w:cs="宋体" w:eastAsia="宋体" w:hint="default"/>
          <w:color w:val="D7000F"/>
          <w:spacing w:val="28"/>
          <w:w w:val="95"/>
        </w:rPr>
        <w:t> </w:t>
      </w:r>
      <w:r>
        <w:rPr>
          <w:rFonts w:ascii="宋体" w:hAnsi="宋体" w:cs="宋体" w:eastAsia="宋体" w:hint="default"/>
          <w:color w:val="D7000F"/>
          <w:w w:val="95"/>
        </w:rPr>
        <w:t>行业监管政策变化风险</w:t>
      </w:r>
      <w:r>
        <w:rPr>
          <w:rFonts w:ascii="宋体" w:hAnsi="宋体" w:cs="宋体" w:eastAsia="宋体" w:hint="default"/>
          <w:w w:val="95"/>
        </w:rPr>
      </w:r>
    </w:p>
    <w:p>
      <w:pPr>
        <w:pStyle w:val="BodyText"/>
        <w:spacing w:line="285" w:lineRule="auto" w:before="157"/>
        <w:ind w:left="457" w:right="185"/>
        <w:jc w:val="both"/>
        <w:rPr>
          <w:rFonts w:ascii="宋体" w:hAnsi="宋体" w:cs="宋体" w:eastAsia="宋体" w:hint="default"/>
        </w:rPr>
      </w:pPr>
      <w:r>
        <w:rPr>
          <w:rFonts w:ascii="宋体" w:hAnsi="宋体" w:cs="宋体" w:eastAsia="宋体" w:hint="default"/>
        </w:rPr>
        <w:t>中国政府将继续推进电信业向外资和民间资本开放、“提速降费”、扩大号码携带试验、国内电信业务网间结算调整</w:t>
      </w:r>
      <w:r>
        <w:rPr>
          <w:rFonts w:ascii="宋体" w:hAnsi="宋体" w:cs="宋体" w:eastAsia="宋体" w:hint="default"/>
          <w:spacing w:val="2"/>
        </w:rPr>
        <w:t> </w:t>
      </w:r>
      <w:r>
        <w:rPr>
          <w:rFonts w:ascii="宋体" w:hAnsi="宋体" w:cs="宋体" w:eastAsia="宋体" w:hint="default"/>
          <w:spacing w:val="2"/>
        </w:rPr>
      </w:r>
      <w:r>
        <w:rPr>
          <w:rFonts w:ascii="宋体" w:hAnsi="宋体" w:cs="宋体" w:eastAsia="宋体" w:hint="default"/>
        </w:rPr>
        <w:t>等政策，这些监管政策在给公司带来新的发展机遇的同时也带来挑战。公司将密切关注监管政策的变化，及时应对监</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管政策调整带来的相关影响。</w:t>
      </w:r>
    </w:p>
    <w:p>
      <w:pPr>
        <w:pStyle w:val="BodyText"/>
        <w:spacing w:line="240" w:lineRule="auto" w:before="123"/>
        <w:ind w:left="457" w:right="0"/>
        <w:jc w:val="both"/>
        <w:rPr>
          <w:rFonts w:ascii="宋体" w:hAnsi="宋体" w:cs="宋体" w:eastAsia="宋体" w:hint="default"/>
        </w:rPr>
      </w:pPr>
      <w:r>
        <w:rPr>
          <w:rFonts w:ascii="宋体" w:hAnsi="宋体" w:cs="宋体" w:eastAsia="宋体" w:hint="default"/>
          <w:color w:val="D7000F"/>
          <w:w w:val="95"/>
        </w:rPr>
        <w:t>3.</w:t>
      </w:r>
      <w:r>
        <w:rPr>
          <w:rFonts w:ascii="宋体" w:hAnsi="宋体" w:cs="宋体" w:eastAsia="宋体" w:hint="default"/>
          <w:color w:val="D7000F"/>
          <w:spacing w:val="-8"/>
          <w:w w:val="95"/>
        </w:rPr>
        <w:t> </w:t>
      </w:r>
      <w:r>
        <w:rPr>
          <w:rFonts w:ascii="宋体" w:hAnsi="宋体" w:cs="宋体" w:eastAsia="宋体" w:hint="default"/>
          <w:color w:val="D7000F"/>
          <w:w w:val="95"/>
        </w:rPr>
        <w:t>技术升级风险</w:t>
      </w:r>
      <w:r>
        <w:rPr>
          <w:rFonts w:ascii="宋体" w:hAnsi="宋体" w:cs="宋体" w:eastAsia="宋体" w:hint="default"/>
          <w:w w:val="95"/>
        </w:rPr>
      </w:r>
    </w:p>
    <w:p>
      <w:pPr>
        <w:pStyle w:val="BodyText"/>
        <w:spacing w:line="285" w:lineRule="auto" w:before="157"/>
        <w:ind w:left="457" w:right="87"/>
        <w:jc w:val="left"/>
        <w:rPr>
          <w:rFonts w:ascii="宋体" w:hAnsi="宋体" w:cs="宋体" w:eastAsia="宋体" w:hint="default"/>
        </w:rPr>
      </w:pPr>
      <w:r>
        <w:rPr>
          <w:rFonts w:ascii="宋体" w:hAnsi="宋体" w:cs="宋体" w:eastAsia="宋体" w:hint="default"/>
          <w:spacing w:val="-3"/>
        </w:rPr>
        <w:t>全球电信运营商加快网络升级与业务转型，信息通信新技术加速升级迭代，给公司带来新的发展机遇的同时也带来挑战。</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公司拥有丰富的移动网络建设及运营经验，积极参与世界主流国际标准组织工作，深入开展新技术与新业务的研究与</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试验，持续提高技术创新能力，合理规划建设网络，努力保持和提升竞争实力。</w:t>
      </w:r>
    </w:p>
    <w:p>
      <w:pPr>
        <w:pStyle w:val="BodyText"/>
        <w:spacing w:line="240" w:lineRule="auto" w:before="123"/>
        <w:ind w:left="457" w:right="0"/>
        <w:jc w:val="both"/>
        <w:rPr>
          <w:rFonts w:ascii="宋体" w:hAnsi="宋体" w:cs="宋体" w:eastAsia="宋体" w:hint="default"/>
        </w:rPr>
      </w:pPr>
      <w:r>
        <w:rPr>
          <w:rFonts w:ascii="宋体" w:hAnsi="宋体" w:cs="宋体" w:eastAsia="宋体" w:hint="default"/>
          <w:color w:val="D7000F"/>
          <w:w w:val="95"/>
        </w:rPr>
        <w:t>4.</w:t>
      </w:r>
      <w:r>
        <w:rPr>
          <w:rFonts w:ascii="宋体" w:hAnsi="宋体" w:cs="宋体" w:eastAsia="宋体" w:hint="default"/>
          <w:color w:val="D7000F"/>
          <w:spacing w:val="1"/>
          <w:w w:val="95"/>
        </w:rPr>
        <w:t> </w:t>
      </w:r>
      <w:r>
        <w:rPr>
          <w:rFonts w:ascii="宋体" w:hAnsi="宋体" w:cs="宋体" w:eastAsia="宋体" w:hint="default"/>
          <w:color w:val="D7000F"/>
          <w:w w:val="95"/>
        </w:rPr>
        <w:t>利率和汇率风险</w:t>
      </w:r>
      <w:r>
        <w:rPr>
          <w:rFonts w:ascii="宋体" w:hAnsi="宋体" w:cs="宋体" w:eastAsia="宋体" w:hint="default"/>
          <w:w w:val="95"/>
        </w:rPr>
      </w:r>
    </w:p>
    <w:p>
      <w:pPr>
        <w:pStyle w:val="BodyText"/>
        <w:spacing w:line="285" w:lineRule="auto" w:before="157"/>
        <w:ind w:left="457" w:right="182"/>
        <w:jc w:val="both"/>
        <w:rPr>
          <w:rFonts w:ascii="宋体" w:hAnsi="宋体" w:cs="宋体" w:eastAsia="宋体" w:hint="default"/>
        </w:rPr>
      </w:pPr>
      <w:r>
        <w:rPr>
          <w:rFonts w:ascii="宋体" w:hAnsi="宋体" w:cs="宋体" w:eastAsia="宋体" w:hint="default"/>
        </w:rPr>
        <w:t>本公司持有以外币计价的资产及负债，人民币汇率变动可能会对本公司的利润产生一定的影响；利率上升可能使公司</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带息债务的利息支出上升。公司将持续关注汇率及利率市场变化，通过合理调整债务结构，加强资金管理，降低汇率</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及利率风险。</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1"/>
          <w:szCs w:val="21"/>
        </w:rPr>
      </w:pPr>
    </w:p>
    <w:p>
      <w:pPr>
        <w:tabs>
          <w:tab w:pos="1789" w:val="left" w:leader="none"/>
          <w:tab w:pos="9811" w:val="right" w:leader="none"/>
        </w:tabs>
        <w:spacing w:before="42"/>
        <w:ind w:left="18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经营情况讨论与分析</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37</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139"/>
          <w:footerReference w:type="default" r:id="rId140"/>
          <w:pgSz w:w="11910" w:h="16160"/>
          <w:pgMar w:header="0" w:footer="0" w:top="1520" w:bottom="0" w:left="1300" w:right="660"/>
        </w:sectPr>
      </w:pPr>
    </w:p>
    <w:p>
      <w:pPr>
        <w:spacing w:line="240" w:lineRule="auto" w:before="0"/>
        <w:rPr>
          <w:rFonts w:ascii="Arial" w:hAnsi="Arial" w:cs="Arial" w:eastAsia="Arial" w:hint="default"/>
          <w:b/>
          <w:bCs/>
          <w:sz w:val="96"/>
          <w:szCs w:val="96"/>
        </w:rPr>
      </w:pPr>
    </w:p>
    <w:p>
      <w:pPr>
        <w:spacing w:line="240" w:lineRule="auto" w:before="10"/>
        <w:rPr>
          <w:rFonts w:ascii="Arial" w:hAnsi="Arial" w:cs="Arial" w:eastAsia="Arial" w:hint="default"/>
          <w:b/>
          <w:bCs/>
          <w:sz w:val="111"/>
          <w:szCs w:val="111"/>
        </w:rPr>
      </w:pPr>
    </w:p>
    <w:p>
      <w:pPr>
        <w:pStyle w:val="Heading1"/>
        <w:spacing w:line="240" w:lineRule="auto"/>
        <w:ind w:left="377" w:right="95"/>
        <w:jc w:val="left"/>
      </w:pPr>
      <w:r>
        <w:rPr>
          <w:color w:val="D7000F"/>
          <w:spacing w:val="47"/>
        </w:rPr>
        <w:t>重要事项</w:t>
      </w:r>
      <w:r>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pStyle w:val="BodyText"/>
        <w:spacing w:line="240" w:lineRule="auto" w:before="26"/>
        <w:ind w:left="1312" w:right="95"/>
        <w:jc w:val="left"/>
        <w:rPr>
          <w:rFonts w:ascii="宋体" w:hAnsi="宋体" w:cs="宋体" w:eastAsia="宋体" w:hint="default"/>
        </w:rPr>
      </w:pPr>
      <w:r>
        <w:rPr>
          <w:rFonts w:ascii="宋体" w:hAnsi="宋体" w:cs="宋体" w:eastAsia="宋体" w:hint="default"/>
          <w:color w:val="FFFFFF"/>
        </w:rPr>
        <w:t>一、普通股利润分配或资本公积金转增预案</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1312" w:right="95"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现金分红政策的制定、执行或调整情况</w:t>
      </w:r>
    </w:p>
    <w:p>
      <w:pPr>
        <w:spacing w:line="240" w:lineRule="auto" w:before="11"/>
        <w:rPr>
          <w:rFonts w:ascii="宋体" w:hAnsi="宋体" w:cs="宋体" w:eastAsia="宋体" w:hint="default"/>
          <w:sz w:val="12"/>
          <w:szCs w:val="12"/>
        </w:rPr>
      </w:pPr>
    </w:p>
    <w:p>
      <w:pPr>
        <w:pStyle w:val="BodyText"/>
        <w:spacing w:line="285" w:lineRule="auto"/>
        <w:ind w:left="1652" w:right="1887"/>
        <w:jc w:val="both"/>
        <w:rPr>
          <w:rFonts w:ascii="宋体" w:hAnsi="宋体" w:cs="宋体" w:eastAsia="宋体" w:hint="default"/>
        </w:rPr>
      </w:pPr>
      <w:r>
        <w:rPr>
          <w:rFonts w:ascii="宋体" w:hAnsi="宋体" w:cs="宋体" w:eastAsia="宋体" w:hint="default"/>
        </w:rPr>
        <w:t>公司董事会审议的报告期利润分配预案如下：本公司通过联通</w:t>
      </w:r>
      <w:r>
        <w:rPr>
          <w:rFonts w:ascii="宋体" w:hAnsi="宋体" w:cs="宋体" w:eastAsia="宋体" w:hint="default"/>
          <w:spacing w:val="-45"/>
        </w:rPr>
        <w:t> </w:t>
      </w:r>
      <w:r>
        <w:rPr>
          <w:rFonts w:ascii="宋体" w:hAnsi="宋体" w:cs="宋体" w:eastAsia="宋体" w:hint="default"/>
          <w:w w:val="103"/>
        </w:rPr>
        <w:t>BVI</w:t>
      </w:r>
      <w:r>
        <w:rPr>
          <w:rFonts w:ascii="宋体" w:hAnsi="宋体" w:cs="宋体" w:eastAsia="宋体" w:hint="default"/>
          <w:spacing w:val="-48"/>
          <w:w w:val="103"/>
        </w:rPr>
        <w:t> </w:t>
      </w:r>
      <w:r>
        <w:rPr>
          <w:rFonts w:ascii="宋体" w:hAnsi="宋体" w:cs="宋体" w:eastAsia="宋体" w:hint="default"/>
        </w:rPr>
        <w:t>公司持有联通</w:t>
      </w:r>
      <w:r>
        <w:rPr>
          <w:rFonts w:ascii="宋体" w:hAnsi="宋体" w:cs="宋体" w:eastAsia="宋体" w:hint="default"/>
        </w:rPr>
        <w:t> 红筹公司的股权，按本公司章程规定，应将自联通红筹公司分红所得现金在扣除 公司日常现金开支、税费及法律法规规定应当提取的各项公积金后，以现金方式 全额分配给股东。</w:t>
      </w:r>
    </w:p>
    <w:p>
      <w:pPr>
        <w:pStyle w:val="BodyText"/>
        <w:spacing w:line="240" w:lineRule="auto" w:before="123"/>
        <w:ind w:left="1652" w:right="0"/>
        <w:jc w:val="both"/>
        <w:rPr>
          <w:rFonts w:ascii="宋体" w:hAnsi="宋体" w:cs="宋体" w:eastAsia="宋体" w:hint="default"/>
        </w:rPr>
      </w:pPr>
      <w:r>
        <w:rPr>
          <w:rFonts w:ascii="宋体" w:hAnsi="宋体" w:cs="宋体" w:eastAsia="宋体" w:hint="default"/>
          <w:w w:val="105"/>
        </w:rPr>
        <w:t>联通红筹公司董事会于</w:t>
      </w:r>
      <w:r>
        <w:rPr>
          <w:rFonts w:ascii="宋体" w:hAnsi="宋体" w:cs="宋体" w:eastAsia="宋体" w:hint="default"/>
          <w:spacing w:val="-74"/>
          <w:w w:val="105"/>
        </w:rPr>
        <w:t> </w:t>
      </w:r>
      <w:r>
        <w:rPr>
          <w:rFonts w:ascii="宋体" w:hAnsi="宋体" w:cs="宋体" w:eastAsia="宋体" w:hint="default"/>
          <w:w w:val="105"/>
        </w:rPr>
        <w:t>2019</w:t>
      </w:r>
      <w:r>
        <w:rPr>
          <w:rFonts w:ascii="宋体" w:hAnsi="宋体" w:cs="宋体" w:eastAsia="宋体" w:hint="default"/>
          <w:spacing w:val="-74"/>
          <w:w w:val="105"/>
        </w:rPr>
        <w:t> </w:t>
      </w:r>
      <w:r>
        <w:rPr>
          <w:rFonts w:ascii="宋体" w:hAnsi="宋体" w:cs="宋体" w:eastAsia="宋体" w:hint="default"/>
          <w:w w:val="105"/>
        </w:rPr>
        <w:t>年</w:t>
      </w:r>
      <w:r>
        <w:rPr>
          <w:rFonts w:ascii="宋体" w:hAnsi="宋体" w:cs="宋体" w:eastAsia="宋体" w:hint="default"/>
          <w:spacing w:val="-74"/>
          <w:w w:val="105"/>
        </w:rPr>
        <w:t> </w:t>
      </w:r>
      <w:r>
        <w:rPr>
          <w:rFonts w:ascii="宋体" w:hAnsi="宋体" w:cs="宋体" w:eastAsia="宋体" w:hint="default"/>
          <w:w w:val="105"/>
        </w:rPr>
        <w:t>3</w:t>
      </w:r>
      <w:r>
        <w:rPr>
          <w:rFonts w:ascii="宋体" w:hAnsi="宋体" w:cs="宋体" w:eastAsia="宋体" w:hint="default"/>
          <w:spacing w:val="-74"/>
          <w:w w:val="105"/>
        </w:rPr>
        <w:t> </w:t>
      </w:r>
      <w:r>
        <w:rPr>
          <w:rFonts w:ascii="宋体" w:hAnsi="宋体" w:cs="宋体" w:eastAsia="宋体" w:hint="default"/>
          <w:w w:val="105"/>
        </w:rPr>
        <w:t>月</w:t>
      </w:r>
      <w:r>
        <w:rPr>
          <w:rFonts w:ascii="宋体" w:hAnsi="宋体" w:cs="宋体" w:eastAsia="宋体" w:hint="default"/>
          <w:spacing w:val="-74"/>
          <w:w w:val="105"/>
        </w:rPr>
        <w:t> </w:t>
      </w:r>
      <w:r>
        <w:rPr>
          <w:rFonts w:ascii="宋体" w:hAnsi="宋体" w:cs="宋体" w:eastAsia="宋体" w:hint="default"/>
          <w:w w:val="105"/>
        </w:rPr>
        <w:t>13</w:t>
      </w:r>
      <w:r>
        <w:rPr>
          <w:rFonts w:ascii="宋体" w:hAnsi="宋体" w:cs="宋体" w:eastAsia="宋体" w:hint="default"/>
          <w:spacing w:val="-74"/>
          <w:w w:val="105"/>
        </w:rPr>
        <w:t> </w:t>
      </w:r>
      <w:r>
        <w:rPr>
          <w:rFonts w:ascii="宋体" w:hAnsi="宋体" w:cs="宋体" w:eastAsia="宋体" w:hint="default"/>
          <w:w w:val="105"/>
        </w:rPr>
        <w:t>日提议派发</w:t>
      </w:r>
      <w:r>
        <w:rPr>
          <w:rFonts w:ascii="宋体" w:hAnsi="宋体" w:cs="宋体" w:eastAsia="宋体" w:hint="default"/>
          <w:spacing w:val="-74"/>
          <w:w w:val="105"/>
        </w:rPr>
        <w:t> </w:t>
      </w:r>
      <w:r>
        <w:rPr>
          <w:rFonts w:ascii="宋体" w:hAnsi="宋体" w:cs="宋体" w:eastAsia="宋体" w:hint="default"/>
          <w:w w:val="105"/>
        </w:rPr>
        <w:t>2018</w:t>
      </w:r>
      <w:r>
        <w:rPr>
          <w:rFonts w:ascii="宋体" w:hAnsi="宋体" w:cs="宋体" w:eastAsia="宋体" w:hint="default"/>
          <w:spacing w:val="-74"/>
          <w:w w:val="105"/>
        </w:rPr>
        <w:t> </w:t>
      </w:r>
      <w:r>
        <w:rPr>
          <w:rFonts w:ascii="宋体" w:hAnsi="宋体" w:cs="宋体" w:eastAsia="宋体" w:hint="default"/>
          <w:w w:val="105"/>
        </w:rPr>
        <w:t>年度股利，每股派发股</w:t>
      </w:r>
    </w:p>
    <w:p>
      <w:pPr>
        <w:pStyle w:val="BodyText"/>
        <w:spacing w:line="240" w:lineRule="auto" w:before="44"/>
        <w:ind w:left="1652" w:right="0"/>
        <w:jc w:val="both"/>
        <w:rPr>
          <w:rFonts w:ascii="宋体" w:hAnsi="宋体" w:cs="宋体" w:eastAsia="宋体" w:hint="default"/>
        </w:rPr>
      </w:pPr>
      <w:r>
        <w:rPr>
          <w:rFonts w:ascii="宋体" w:hAnsi="宋体" w:cs="宋体" w:eastAsia="宋体" w:hint="default"/>
        </w:rPr>
        <w:t>利</w:t>
      </w:r>
      <w:r>
        <w:rPr>
          <w:rFonts w:ascii="宋体" w:hAnsi="宋体" w:cs="宋体" w:eastAsia="宋体" w:hint="default"/>
          <w:spacing w:val="-44"/>
        </w:rPr>
        <w:t> </w:t>
      </w:r>
      <w:r>
        <w:rPr>
          <w:rFonts w:ascii="宋体" w:hAnsi="宋体" w:cs="宋体" w:eastAsia="宋体" w:hint="default"/>
          <w:spacing w:val="-1"/>
          <w:w w:val="111"/>
        </w:rPr>
        <w:t>0</w:t>
      </w:r>
      <w:r>
        <w:rPr>
          <w:rFonts w:ascii="宋体" w:hAnsi="宋体" w:cs="宋体" w:eastAsia="宋体" w:hint="default"/>
          <w:w w:val="55"/>
        </w:rPr>
        <w:t>.</w:t>
      </w:r>
      <w:r>
        <w:rPr>
          <w:rFonts w:ascii="宋体" w:hAnsi="宋体" w:cs="宋体" w:eastAsia="宋体" w:hint="default"/>
          <w:spacing w:val="-1"/>
          <w:w w:val="111"/>
        </w:rPr>
        <w:t>13</w:t>
      </w:r>
      <w:r>
        <w:rPr>
          <w:rFonts w:ascii="宋体" w:hAnsi="宋体" w:cs="宋体" w:eastAsia="宋体" w:hint="default"/>
          <w:w w:val="111"/>
        </w:rPr>
        <w:t>4</w:t>
      </w:r>
      <w:r>
        <w:rPr>
          <w:rFonts w:ascii="宋体" w:hAnsi="宋体" w:cs="宋体" w:eastAsia="宋体" w:hint="default"/>
          <w:spacing w:val="-44"/>
        </w:rPr>
        <w:t> </w:t>
      </w:r>
      <w:r>
        <w:rPr>
          <w:rFonts w:ascii="宋体" w:hAnsi="宋体" w:cs="宋体" w:eastAsia="宋体" w:hint="default"/>
        </w:rPr>
        <w:t>元</w:t>
      </w:r>
      <w:r>
        <w:rPr>
          <w:rFonts w:ascii="宋体" w:hAnsi="宋体" w:cs="宋体" w:eastAsia="宋体" w:hint="default"/>
          <w:spacing w:val="4"/>
        </w:rPr>
        <w:t>。如获联通红筹公司周年股东大会批</w:t>
      </w:r>
      <w:r>
        <w:rPr>
          <w:rFonts w:ascii="宋体" w:hAnsi="宋体" w:cs="宋体" w:eastAsia="宋体" w:hint="default"/>
        </w:rPr>
        <w:t>准</w:t>
      </w:r>
      <w:r>
        <w:rPr>
          <w:rFonts w:ascii="宋体" w:hAnsi="宋体" w:cs="宋体" w:eastAsia="宋体" w:hint="default"/>
          <w:spacing w:val="4"/>
        </w:rPr>
        <w:t>，本公司预计将</w:t>
      </w:r>
      <w:r>
        <w:rPr>
          <w:rFonts w:ascii="宋体" w:hAnsi="宋体" w:cs="宋体" w:eastAsia="宋体" w:hint="default"/>
        </w:rPr>
        <w:t>于</w:t>
      </w:r>
      <w:r>
        <w:rPr>
          <w:rFonts w:ascii="宋体" w:hAnsi="宋体" w:cs="宋体" w:eastAsia="宋体" w:hint="default"/>
          <w:spacing w:val="-44"/>
        </w:rPr>
        <w:t> </w:t>
      </w:r>
      <w:r>
        <w:rPr>
          <w:rFonts w:ascii="宋体" w:hAnsi="宋体" w:cs="宋体" w:eastAsia="宋体" w:hint="default"/>
          <w:spacing w:val="-1"/>
          <w:w w:val="111"/>
        </w:rPr>
        <w:t>201</w:t>
      </w:r>
      <w:r>
        <w:rPr>
          <w:rFonts w:ascii="宋体" w:hAnsi="宋体" w:cs="宋体" w:eastAsia="宋体" w:hint="default"/>
          <w:w w:val="111"/>
        </w:rPr>
        <w:t>9</w:t>
      </w:r>
      <w:r>
        <w:rPr>
          <w:rFonts w:ascii="宋体" w:hAnsi="宋体" w:cs="宋体" w:eastAsia="宋体" w:hint="default"/>
          <w:spacing w:val="-44"/>
        </w:rPr>
        <w:t> </w:t>
      </w:r>
      <w:r>
        <w:rPr>
          <w:rFonts w:ascii="宋体" w:hAnsi="宋体" w:cs="宋体" w:eastAsia="宋体" w:hint="default"/>
        </w:rPr>
        <w:t>年</w:t>
      </w:r>
      <w:r>
        <w:rPr>
          <w:rFonts w:ascii="宋体" w:hAnsi="宋体" w:cs="宋体" w:eastAsia="宋体" w:hint="default"/>
          <w:spacing w:val="-44"/>
        </w:rPr>
        <w:t> </w:t>
      </w:r>
      <w:r>
        <w:rPr>
          <w:rFonts w:ascii="宋体" w:hAnsi="宋体" w:cs="宋体" w:eastAsia="宋体" w:hint="default"/>
          <w:w w:val="111"/>
        </w:rPr>
        <w:t>6</w:t>
      </w:r>
      <w:r>
        <w:rPr>
          <w:rFonts w:ascii="宋体" w:hAnsi="宋体" w:cs="宋体" w:eastAsia="宋体" w:hint="default"/>
        </w:rPr>
      </w:r>
    </w:p>
    <w:p>
      <w:pPr>
        <w:pStyle w:val="BodyText"/>
        <w:spacing w:line="240" w:lineRule="auto" w:before="44"/>
        <w:ind w:left="1652" w:right="0"/>
        <w:jc w:val="both"/>
        <w:rPr>
          <w:rFonts w:ascii="宋体" w:hAnsi="宋体" w:cs="宋体" w:eastAsia="宋体" w:hint="default"/>
        </w:rPr>
      </w:pPr>
      <w:r>
        <w:rPr>
          <w:rFonts w:ascii="宋体" w:hAnsi="宋体" w:cs="宋体" w:eastAsia="宋体" w:hint="default"/>
        </w:rPr>
        <w:t>月收到按持股比例计算的股利约</w:t>
      </w:r>
      <w:r>
        <w:rPr>
          <w:rFonts w:ascii="宋体" w:hAnsi="宋体" w:cs="宋体" w:eastAsia="宋体" w:hint="default"/>
          <w:spacing w:val="-52"/>
        </w:rPr>
        <w:t> </w:t>
      </w:r>
      <w:r>
        <w:rPr>
          <w:rFonts w:ascii="宋体" w:hAnsi="宋体" w:cs="宋体" w:eastAsia="宋体" w:hint="default"/>
        </w:rPr>
        <w:t>18.02</w:t>
      </w:r>
      <w:r>
        <w:rPr>
          <w:rFonts w:ascii="宋体" w:hAnsi="宋体" w:cs="宋体" w:eastAsia="宋体" w:hint="default"/>
          <w:spacing w:val="-52"/>
        </w:rPr>
        <w:t> </w:t>
      </w:r>
      <w:r>
        <w:rPr>
          <w:rFonts w:ascii="宋体" w:hAnsi="宋体" w:cs="宋体" w:eastAsia="宋体" w:hint="default"/>
          <w:spacing w:val="-3"/>
        </w:rPr>
        <w:t>亿元。依照公司章程，在收到此等股利后，</w:t>
      </w:r>
    </w:p>
    <w:p>
      <w:pPr>
        <w:pStyle w:val="BodyText"/>
        <w:spacing w:line="240" w:lineRule="auto" w:before="44"/>
        <w:ind w:left="1652" w:right="0"/>
        <w:jc w:val="both"/>
        <w:rPr>
          <w:rFonts w:ascii="宋体" w:hAnsi="宋体" w:cs="宋体" w:eastAsia="宋体" w:hint="default"/>
        </w:rPr>
      </w:pPr>
      <w:r>
        <w:rPr>
          <w:rFonts w:ascii="宋体" w:hAnsi="宋体" w:cs="宋体" w:eastAsia="宋体" w:hint="default"/>
        </w:rPr>
        <w:t>扣除本公司日常开支约</w:t>
      </w:r>
      <w:r>
        <w:rPr>
          <w:rFonts w:ascii="宋体" w:hAnsi="宋体" w:cs="宋体" w:eastAsia="宋体" w:hint="default"/>
          <w:spacing w:val="-45"/>
        </w:rPr>
        <w:t> </w:t>
      </w:r>
      <w:r>
        <w:rPr>
          <w:rFonts w:ascii="宋体" w:hAnsi="宋体" w:cs="宋体" w:eastAsia="宋体" w:hint="default"/>
          <w:spacing w:val="-1"/>
          <w:w w:val="111"/>
        </w:rPr>
        <w:t>0</w:t>
      </w:r>
      <w:r>
        <w:rPr>
          <w:rFonts w:ascii="宋体" w:hAnsi="宋体" w:cs="宋体" w:eastAsia="宋体" w:hint="default"/>
          <w:w w:val="55"/>
        </w:rPr>
        <w:t>.</w:t>
      </w:r>
      <w:r>
        <w:rPr>
          <w:rFonts w:ascii="宋体" w:hAnsi="宋体" w:cs="宋体" w:eastAsia="宋体" w:hint="default"/>
          <w:w w:val="111"/>
        </w:rPr>
        <w:t>1</w:t>
      </w:r>
      <w:r>
        <w:rPr>
          <w:rFonts w:ascii="宋体" w:hAnsi="宋体" w:cs="宋体" w:eastAsia="宋体" w:hint="default"/>
          <w:spacing w:val="-45"/>
        </w:rPr>
        <w:t> </w:t>
      </w:r>
      <w:r>
        <w:rPr>
          <w:rFonts w:ascii="宋体" w:hAnsi="宋体" w:cs="宋体" w:eastAsia="宋体" w:hint="default"/>
        </w:rPr>
        <w:t>亿元，减去预提</w:t>
      </w:r>
      <w:r>
        <w:rPr>
          <w:rFonts w:ascii="宋体" w:hAnsi="宋体" w:cs="宋体" w:eastAsia="宋体" w:hint="default"/>
          <w:spacing w:val="-45"/>
        </w:rPr>
        <w:t> </w:t>
      </w:r>
      <w:r>
        <w:rPr>
          <w:rFonts w:ascii="宋体" w:hAnsi="宋体" w:cs="宋体" w:eastAsia="宋体" w:hint="default"/>
          <w:spacing w:val="-1"/>
          <w:w w:val="111"/>
        </w:rPr>
        <w:t>201</w:t>
      </w:r>
      <w:r>
        <w:rPr>
          <w:rFonts w:ascii="宋体" w:hAnsi="宋体" w:cs="宋体" w:eastAsia="宋体" w:hint="default"/>
          <w:w w:val="111"/>
        </w:rPr>
        <w:t>9</w:t>
      </w:r>
      <w:r>
        <w:rPr>
          <w:rFonts w:ascii="宋体" w:hAnsi="宋体" w:cs="宋体" w:eastAsia="宋体" w:hint="default"/>
          <w:spacing w:val="-45"/>
        </w:rPr>
        <w:t> </w:t>
      </w:r>
      <w:r>
        <w:rPr>
          <w:rFonts w:ascii="宋体" w:hAnsi="宋体" w:cs="宋体" w:eastAsia="宋体" w:hint="default"/>
        </w:rPr>
        <w:t>年度法定公积金约</w:t>
      </w:r>
      <w:r>
        <w:rPr>
          <w:rFonts w:ascii="宋体" w:hAnsi="宋体" w:cs="宋体" w:eastAsia="宋体" w:hint="default"/>
          <w:spacing w:val="-45"/>
        </w:rPr>
        <w:t> </w:t>
      </w:r>
      <w:r>
        <w:rPr>
          <w:rFonts w:ascii="宋体" w:hAnsi="宋体" w:cs="宋体" w:eastAsia="宋体" w:hint="default"/>
          <w:spacing w:val="-1"/>
          <w:w w:val="111"/>
        </w:rPr>
        <w:t>1</w:t>
      </w:r>
      <w:r>
        <w:rPr>
          <w:rFonts w:ascii="宋体" w:hAnsi="宋体" w:cs="宋体" w:eastAsia="宋体" w:hint="default"/>
          <w:w w:val="55"/>
        </w:rPr>
        <w:t>.</w:t>
      </w:r>
      <w:r>
        <w:rPr>
          <w:rFonts w:ascii="宋体" w:hAnsi="宋体" w:cs="宋体" w:eastAsia="宋体" w:hint="default"/>
          <w:spacing w:val="-1"/>
          <w:w w:val="111"/>
        </w:rPr>
        <w:t>8</w:t>
      </w:r>
      <w:r>
        <w:rPr>
          <w:rFonts w:ascii="宋体" w:hAnsi="宋体" w:cs="宋体" w:eastAsia="宋体" w:hint="default"/>
          <w:w w:val="111"/>
        </w:rPr>
        <w:t>0</w:t>
      </w:r>
      <w:r>
        <w:rPr>
          <w:rFonts w:ascii="宋体" w:hAnsi="宋体" w:cs="宋体" w:eastAsia="宋体" w:hint="default"/>
          <w:spacing w:val="-45"/>
        </w:rPr>
        <w:t> </w:t>
      </w:r>
      <w:r>
        <w:rPr>
          <w:rFonts w:ascii="宋体" w:hAnsi="宋体" w:cs="宋体" w:eastAsia="宋体" w:hint="default"/>
        </w:rPr>
        <w:t>亿元，</w:t>
      </w:r>
    </w:p>
    <w:p>
      <w:pPr>
        <w:pStyle w:val="BodyText"/>
        <w:spacing w:line="240" w:lineRule="auto" w:before="44"/>
        <w:ind w:left="1652" w:right="0"/>
        <w:jc w:val="both"/>
        <w:rPr>
          <w:rFonts w:ascii="宋体" w:hAnsi="宋体" w:cs="宋体" w:eastAsia="宋体" w:hint="default"/>
        </w:rPr>
      </w:pPr>
      <w:r>
        <w:rPr>
          <w:rFonts w:ascii="宋体" w:hAnsi="宋体" w:cs="宋体" w:eastAsia="宋体" w:hint="default"/>
          <w:spacing w:val="6"/>
        </w:rPr>
        <w:t>加</w:t>
      </w:r>
      <w:r>
        <w:rPr>
          <w:rFonts w:ascii="宋体" w:hAnsi="宋体" w:cs="宋体" w:eastAsia="宋体" w:hint="default"/>
        </w:rPr>
        <w:t>上</w:t>
      </w:r>
      <w:r>
        <w:rPr>
          <w:rFonts w:ascii="宋体" w:hAnsi="宋体" w:cs="宋体" w:eastAsia="宋体" w:hint="default"/>
          <w:spacing w:val="-44"/>
        </w:rPr>
        <w:t> </w:t>
      </w: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4"/>
        </w:rPr>
        <w:t> </w:t>
      </w:r>
      <w:r>
        <w:rPr>
          <w:rFonts w:ascii="宋体" w:hAnsi="宋体" w:cs="宋体" w:eastAsia="宋体" w:hint="default"/>
          <w:spacing w:val="6"/>
        </w:rPr>
        <w:t>年末本公司可供股东分配利</w:t>
      </w:r>
      <w:r>
        <w:rPr>
          <w:rFonts w:ascii="宋体" w:hAnsi="宋体" w:cs="宋体" w:eastAsia="宋体" w:hint="default"/>
        </w:rPr>
        <w:t>润</w:t>
      </w:r>
      <w:r>
        <w:rPr>
          <w:rFonts w:ascii="宋体" w:hAnsi="宋体" w:cs="宋体" w:eastAsia="宋体" w:hint="default"/>
          <w:spacing w:val="-44"/>
        </w:rPr>
        <w:t> </w:t>
      </w:r>
      <w:r>
        <w:rPr>
          <w:rFonts w:ascii="宋体" w:hAnsi="宋体" w:cs="宋体" w:eastAsia="宋体" w:hint="default"/>
          <w:spacing w:val="-1"/>
          <w:w w:val="111"/>
        </w:rPr>
        <w:t>0</w:t>
      </w:r>
      <w:r>
        <w:rPr>
          <w:rFonts w:ascii="宋体" w:hAnsi="宋体" w:cs="宋体" w:eastAsia="宋体" w:hint="default"/>
          <w:w w:val="55"/>
        </w:rPr>
        <w:t>.</w:t>
      </w:r>
      <w:r>
        <w:rPr>
          <w:rFonts w:ascii="宋体" w:hAnsi="宋体" w:cs="宋体" w:eastAsia="宋体" w:hint="default"/>
          <w:spacing w:val="-1"/>
          <w:w w:val="111"/>
        </w:rPr>
        <w:t>4</w:t>
      </w:r>
      <w:r>
        <w:rPr>
          <w:rFonts w:ascii="宋体" w:hAnsi="宋体" w:cs="宋体" w:eastAsia="宋体" w:hint="default"/>
          <w:w w:val="111"/>
        </w:rPr>
        <w:t>5</w:t>
      </w:r>
      <w:r>
        <w:rPr>
          <w:rFonts w:ascii="宋体" w:hAnsi="宋体" w:cs="宋体" w:eastAsia="宋体" w:hint="default"/>
          <w:spacing w:val="-44"/>
        </w:rPr>
        <w:t> </w:t>
      </w:r>
      <w:r>
        <w:rPr>
          <w:rFonts w:ascii="宋体" w:hAnsi="宋体" w:cs="宋体" w:eastAsia="宋体" w:hint="default"/>
          <w:spacing w:val="6"/>
        </w:rPr>
        <w:t>亿元</w:t>
      </w:r>
      <w:r>
        <w:rPr>
          <w:rFonts w:ascii="宋体" w:hAnsi="宋体" w:cs="宋体" w:eastAsia="宋体" w:hint="default"/>
        </w:rPr>
        <w:t>后</w:t>
      </w:r>
      <w:r>
        <w:rPr>
          <w:rFonts w:ascii="宋体" w:hAnsi="宋体" w:cs="宋体" w:eastAsia="宋体" w:hint="default"/>
          <w:spacing w:val="6"/>
        </w:rPr>
        <w:t>，可供股东分配的利润约</w:t>
      </w:r>
      <w:r>
        <w:rPr>
          <w:rFonts w:ascii="宋体" w:hAnsi="宋体" w:cs="宋体" w:eastAsia="宋体" w:hint="default"/>
        </w:rPr>
      </w:r>
    </w:p>
    <w:p>
      <w:pPr>
        <w:pStyle w:val="BodyText"/>
        <w:spacing w:line="285" w:lineRule="auto" w:before="44"/>
        <w:ind w:left="1652" w:right="1887"/>
        <w:jc w:val="both"/>
        <w:rPr>
          <w:rFonts w:ascii="宋体" w:hAnsi="宋体" w:cs="宋体" w:eastAsia="宋体" w:hint="default"/>
        </w:rPr>
      </w:pPr>
      <w:r>
        <w:rPr>
          <w:rFonts w:ascii="宋体" w:hAnsi="宋体" w:cs="宋体" w:eastAsia="宋体" w:hint="default"/>
          <w:spacing w:val="-1"/>
          <w:w w:val="99"/>
        </w:rPr>
        <w:t>16.57</w:t>
      </w:r>
      <w:r>
        <w:rPr>
          <w:rFonts w:ascii="宋体" w:hAnsi="宋体" w:cs="宋体" w:eastAsia="宋体" w:hint="default"/>
          <w:spacing w:val="-27"/>
          <w:w w:val="99"/>
        </w:rPr>
        <w:t> </w:t>
      </w:r>
      <w:r>
        <w:rPr>
          <w:rFonts w:ascii="宋体" w:hAnsi="宋体" w:cs="宋体" w:eastAsia="宋体" w:hint="default"/>
          <w:spacing w:val="1"/>
        </w:rPr>
        <w:t>亿元。据此，董事会建议，本公司对现金红利实施公告中确定的股权登记</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rPr>
        <w:t>日收市后在册的股东，每股派发现金股利</w:t>
      </w:r>
      <w:r>
        <w:rPr>
          <w:rFonts w:ascii="宋体" w:hAnsi="宋体" w:cs="宋体" w:eastAsia="宋体" w:hint="default"/>
          <w:spacing w:val="-34"/>
        </w:rPr>
        <w:t> </w:t>
      </w:r>
      <w:r>
        <w:rPr>
          <w:rFonts w:ascii="宋体" w:hAnsi="宋体" w:cs="宋体" w:eastAsia="宋体" w:hint="default"/>
          <w:spacing w:val="-1"/>
          <w:w w:val="101"/>
        </w:rPr>
        <w:t>0.0533</w:t>
      </w:r>
      <w:r>
        <w:rPr>
          <w:rFonts w:ascii="宋体" w:hAnsi="宋体" w:cs="宋体" w:eastAsia="宋体" w:hint="default"/>
          <w:spacing w:val="-36"/>
          <w:w w:val="101"/>
        </w:rPr>
        <w:t> </w:t>
      </w:r>
      <w:r>
        <w:rPr>
          <w:rFonts w:ascii="宋体" w:hAnsi="宋体" w:cs="宋体" w:eastAsia="宋体" w:hint="default"/>
        </w:rPr>
        <w:t>元</w:t>
      </w:r>
      <w:r>
        <w:rPr>
          <w:rFonts w:ascii="宋体" w:hAnsi="宋体" w:cs="宋体" w:eastAsia="宋体" w:hint="default"/>
          <w:spacing w:val="-34"/>
        </w:rPr>
        <w:t> </w:t>
      </w:r>
      <w:r>
        <w:rPr>
          <w:rFonts w:ascii="宋体" w:hAnsi="宋体" w:cs="宋体" w:eastAsia="宋体" w:hint="default"/>
          <w:w w:val="55"/>
        </w:rPr>
        <w:t>(</w:t>
      </w:r>
      <w:r>
        <w:rPr>
          <w:rFonts w:ascii="宋体" w:hAnsi="宋体" w:cs="宋体" w:eastAsia="宋体" w:hint="default"/>
          <w:spacing w:val="6"/>
          <w:w w:val="55"/>
        </w:rPr>
        <w:t> </w:t>
      </w:r>
      <w:r>
        <w:rPr>
          <w:rFonts w:ascii="宋体" w:hAnsi="宋体" w:cs="宋体" w:eastAsia="宋体" w:hint="default"/>
        </w:rPr>
        <w:t>含税</w:t>
      </w:r>
      <w:r>
        <w:rPr>
          <w:rFonts w:ascii="宋体" w:hAnsi="宋体" w:cs="宋体" w:eastAsia="宋体" w:hint="default"/>
          <w:spacing w:val="-34"/>
        </w:rPr>
        <w:t> </w:t>
      </w:r>
      <w:r>
        <w:rPr>
          <w:rFonts w:ascii="宋体" w:hAnsi="宋体" w:cs="宋体" w:eastAsia="宋体" w:hint="default"/>
          <w:w w:val="95"/>
        </w:rPr>
        <w:t>)，共计向本公司股东</w:t>
      </w:r>
      <w:r>
        <w:rPr>
          <w:rFonts w:ascii="宋体" w:hAnsi="宋体" w:cs="宋体" w:eastAsia="宋体" w:hint="default"/>
          <w:spacing w:val="-78"/>
          <w:w w:val="95"/>
        </w:rPr>
        <w:t> </w:t>
      </w:r>
      <w:r>
        <w:rPr>
          <w:rFonts w:ascii="宋体" w:hAnsi="宋体" w:cs="宋体" w:eastAsia="宋体" w:hint="default"/>
          <w:spacing w:val="-78"/>
          <w:w w:val="95"/>
        </w:rPr>
      </w:r>
      <w:r>
        <w:rPr>
          <w:rFonts w:ascii="宋体" w:hAnsi="宋体" w:cs="宋体" w:eastAsia="宋体" w:hint="default"/>
          <w:spacing w:val="2"/>
        </w:rPr>
        <w:t>派发约</w:t>
      </w:r>
      <w:r>
        <w:rPr>
          <w:rFonts w:ascii="宋体" w:hAnsi="宋体" w:cs="宋体" w:eastAsia="宋体" w:hint="default"/>
          <w:spacing w:val="-42"/>
        </w:rPr>
        <w:t> </w:t>
      </w:r>
      <w:r>
        <w:rPr>
          <w:rFonts w:ascii="宋体" w:hAnsi="宋体" w:cs="宋体" w:eastAsia="宋体" w:hint="default"/>
          <w:spacing w:val="-1"/>
          <w:w w:val="99"/>
        </w:rPr>
        <w:t>16.55</w:t>
      </w:r>
      <w:r>
        <w:rPr>
          <w:rFonts w:ascii="宋体" w:hAnsi="宋体" w:cs="宋体" w:eastAsia="宋体" w:hint="default"/>
          <w:spacing w:val="-42"/>
          <w:w w:val="99"/>
        </w:rPr>
        <w:t> </w:t>
      </w:r>
      <w:r>
        <w:rPr>
          <w:rFonts w:ascii="宋体" w:hAnsi="宋体" w:cs="宋体" w:eastAsia="宋体" w:hint="default"/>
          <w:spacing w:val="1"/>
        </w:rPr>
        <w:t>亿元</w:t>
      </w:r>
      <w:r>
        <w:rPr>
          <w:rFonts w:ascii="宋体" w:hAnsi="宋体" w:cs="宋体" w:eastAsia="宋体" w:hint="default"/>
          <w:spacing w:val="-42"/>
        </w:rPr>
        <w:t> </w:t>
      </w:r>
      <w:r>
        <w:rPr>
          <w:rFonts w:ascii="宋体" w:hAnsi="宋体" w:cs="宋体" w:eastAsia="宋体" w:hint="default"/>
          <w:w w:val="55"/>
        </w:rPr>
        <w:t>(</w:t>
      </w:r>
      <w:r>
        <w:rPr>
          <w:rFonts w:ascii="宋体" w:hAnsi="宋体" w:cs="宋体" w:eastAsia="宋体" w:hint="default"/>
          <w:spacing w:val="-1"/>
          <w:w w:val="55"/>
        </w:rPr>
        <w:t> </w:t>
      </w:r>
      <w:r>
        <w:rPr>
          <w:rFonts w:ascii="宋体" w:hAnsi="宋体" w:cs="宋体" w:eastAsia="宋体" w:hint="default"/>
          <w:spacing w:val="1"/>
        </w:rPr>
        <w:t>含税</w:t>
      </w:r>
      <w:r>
        <w:rPr>
          <w:rFonts w:ascii="宋体" w:hAnsi="宋体" w:cs="宋体" w:eastAsia="宋体" w:hint="default"/>
          <w:spacing w:val="-42"/>
        </w:rPr>
        <w:t> </w:t>
      </w:r>
      <w:r>
        <w:rPr>
          <w:rFonts w:ascii="宋体" w:hAnsi="宋体" w:cs="宋体" w:eastAsia="宋体" w:hint="default"/>
          <w:w w:val="55"/>
        </w:rPr>
        <w:t>)</w:t>
      </w:r>
      <w:r>
        <w:rPr>
          <w:rFonts w:ascii="宋体" w:hAnsi="宋体" w:cs="宋体" w:eastAsia="宋体" w:hint="default"/>
          <w:spacing w:val="-1"/>
          <w:w w:val="55"/>
        </w:rPr>
        <w:t> </w:t>
      </w:r>
      <w:r>
        <w:rPr>
          <w:rFonts w:ascii="宋体" w:hAnsi="宋体" w:cs="宋体" w:eastAsia="宋体" w:hint="default"/>
          <w:spacing w:val="2"/>
        </w:rPr>
        <w:t>的股利，剩余可供股东分配的利润将用于以后年度的</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利润分配。</w:t>
      </w:r>
    </w:p>
    <w:p>
      <w:pPr>
        <w:pStyle w:val="BodyText"/>
        <w:spacing w:line="240" w:lineRule="auto" w:before="123"/>
        <w:ind w:left="1652" w:right="0"/>
        <w:jc w:val="both"/>
        <w:rPr>
          <w:rFonts w:ascii="宋体" w:hAnsi="宋体" w:cs="宋体" w:eastAsia="宋体" w:hint="default"/>
        </w:rPr>
      </w:pPr>
      <w:r>
        <w:rPr>
          <w:rFonts w:ascii="宋体" w:hAnsi="宋体" w:cs="宋体" w:eastAsia="宋体" w:hint="default"/>
        </w:rPr>
        <w:t>此方案尚需提交本公司股东大会审议。</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headerReference w:type="even" r:id="rId141"/>
          <w:footerReference w:type="even" r:id="rId142"/>
          <w:pgSz w:w="11910" w:h="16160"/>
          <w:pgMar w:header="0" w:footer="0" w:top="1520" w:bottom="0" w:left="700" w:right="1340"/>
        </w:sectPr>
      </w:pPr>
    </w:p>
    <w:p>
      <w:pPr>
        <w:tabs>
          <w:tab w:pos="6221" w:val="left" w:leader="none"/>
        </w:tabs>
        <w:spacing w:before="61"/>
        <w:ind w:left="114" w:right="0" w:firstLine="0"/>
        <w:jc w:val="left"/>
        <w:rPr>
          <w:rFonts w:ascii="宋体" w:hAnsi="宋体" w:cs="宋体" w:eastAsia="宋体" w:hint="default"/>
          <w:sz w:val="16"/>
          <w:szCs w:val="16"/>
        </w:rPr>
      </w:pPr>
      <w:r>
        <w:rPr/>
        <w:pict>
          <v:group style="position:absolute;margin-left:-.477997pt;margin-top:-.000177pt;width:596.25pt;height:807.9pt;mso-position-horizontal-relative:page;mso-position-vertical-relative:page;z-index:-966424" coordorigin="-10,0" coordsize="11925,16158">
            <v:group style="position:absolute;left:11891;top:9742;width:15;height:4" coordorigin="11891,9742" coordsize="15,4">
              <v:shape style="position:absolute;left:11891;top:9742;width:15;height:4" coordorigin="11891,9742" coordsize="15,4" path="m11906,9742l11891,9746e" filled="false" stroked="true" strokeweight=".968pt" strokecolor="#8c8f90">
                <v:path arrowok="t"/>
              </v:shape>
            </v:group>
            <v:group style="position:absolute;left:0;top:0;width:11906;height:15478" coordorigin="0,0" coordsize="11906,15478">
              <v:shape style="position:absolute;left:0;top:0;width:11906;height:15478" coordorigin="0,0" coordsize="11906,15478" path="m11906,0l0,0,0,15477,11906,3572,11906,0xe" filled="true" fillcolor="#9c8758" stroked="false">
                <v:path arrowok="t"/>
                <v:fill type="solid"/>
              </v:shape>
            </v:group>
            <v:group style="position:absolute;left:0;top:8759;width:11906;height:7399" coordorigin="0,8759" coordsize="11906,7399">
              <v:shape style="position:absolute;left:0;top:8759;width:11906;height:7399" coordorigin="0,8759" coordsize="11906,7399" path="m6149,8759l0,14908,0,16157,11906,16157,11906,14516,6149,8759xe" filled="true" fillcolor="#000000" stroked="false">
                <v:path arrowok="t"/>
                <v:fill type="solid"/>
              </v:shape>
            </v:group>
            <v:group style="position:absolute;left:0;top:13141;width:5154;height:3017" coordorigin="0,13141" coordsize="5154,3017">
              <v:shape style="position:absolute;left:0;top:13141;width:5154;height:3017" coordorigin="0,13141" coordsize="5154,3017" path="m2138,13141l0,15279,0,16157,5154,16157,2138,13141xe" filled="true" fillcolor="#000000" stroked="false">
                <v:path arrowok="t"/>
                <v:fill type="solid"/>
              </v:shape>
            </v:group>
            <v:group style="position:absolute;left:0;top:0;width:8986;height:13153" coordorigin="0,0" coordsize="8986,13153">
              <v:shape style="position:absolute;left:0;top:0;width:8986;height:13153" coordorigin="0,0" coordsize="8986,13153" path="m4819,0l0,0,0,13153,8986,4167,4819,0xe" filled="true" fillcolor="#ffffff" stroked="false">
                <v:path arrowok="t"/>
                <v:fill type="solid"/>
              </v:shape>
              <v:shape style="position:absolute;left:1956;top:8079;width:188;height:188" type="#_x0000_t75" stroked="false">
                <v:imagedata r:id="rId75" o:title=""/>
              </v:shape>
            </v:group>
            <v:group style="position:absolute;left:2073;top:8173;width:2831;height:2" coordorigin="2073,8173" coordsize="2831,2">
              <v:shape style="position:absolute;left:2073;top:8173;width:2831;height:2" coordorigin="2073,8173" coordsize="2831,0" path="m2073,8173l4904,8173e" filled="false" stroked="true" strokeweight=".956pt" strokecolor="#9c8758">
                <v:path arrowok="t"/>
              </v:shape>
            </v:group>
            <v:group style="position:absolute;left:0;top:6180;width:11906;height:9978" coordorigin="0,6180" coordsize="11906,9978">
              <v:shape style="position:absolute;left:0;top:6180;width:11906;height:9978" coordorigin="0,6180" coordsize="11906,9978" path="m5315,6180l0,11495,0,16157,11906,16157,11906,12770,5315,6180xe" filled="true" fillcolor="#8e9090" stroked="false">
                <v:path arrowok="t"/>
                <v:fill type="solid"/>
              </v:shape>
            </v:group>
            <v:group style="position:absolute;left:0;top:6534;width:11906;height:9624" coordorigin="0,6534" coordsize="11906,9624">
              <v:shape style="position:absolute;left:0;top:6534;width:11906;height:9624" coordorigin="0,6534" coordsize="11906,9624" path="m4957,6534l0,11491,0,16157,11906,16157,11906,13482,4957,6534xe" filled="true" fillcolor="#d7000f" stroked="false">
                <v:path arrowok="t"/>
                <v:fill type="solid"/>
              </v:shape>
              <v:shape style="position:absolute;left:1513;top:2080;width:188;height:188" type="#_x0000_t75" stroked="false">
                <v:imagedata r:id="rId143" o:title=""/>
              </v:shape>
            </v:group>
            <v:group style="position:absolute;left:0;top:2174;width:1584;height:2" coordorigin="0,2174" coordsize="1584,2">
              <v:shape style="position:absolute;left:0;top:2174;width:1584;height:2" coordorigin="0,2174" coordsize="1584,0" path="m1583,2174l0,2174e" filled="false" stroked="true" strokeweight=".956pt" strokecolor="#d7000f">
                <v:path arrowok="t"/>
              </v:shape>
            </v:group>
            <w10:wrap type="none"/>
          </v:group>
        </w:pict>
      </w:r>
      <w:r>
        <w:rPr>
          <w:rFonts w:ascii="Arial" w:hAnsi="Arial" w:cs="Arial" w:eastAsia="Arial" w:hint="default"/>
          <w:b/>
          <w:bCs/>
          <w:color w:val="9C8758"/>
          <w:spacing w:val="-1"/>
          <w:position w:val="2"/>
          <w:sz w:val="16"/>
          <w:szCs w:val="16"/>
        </w:rPr>
        <w:t>38</w:t>
        <w:tab/>
      </w:r>
      <w:r>
        <w:rPr>
          <w:rFonts w:ascii="宋体" w:hAnsi="宋体" w:cs="宋体" w:eastAsia="宋体" w:hint="default"/>
          <w:color w:val="595757"/>
          <w:spacing w:val="21"/>
          <w:sz w:val="16"/>
          <w:szCs w:val="16"/>
        </w:rPr>
        <w:t>重要事项</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1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1340"/>
          <w:cols w:num="2" w:equalWidth="0">
            <w:col w:w="6977" w:space="191"/>
            <w:col w:w="2702"/>
          </w:cols>
        </w:sectPr>
      </w:pPr>
    </w:p>
    <w:p>
      <w:pPr>
        <w:spacing w:line="149" w:lineRule="exact"/>
        <w:ind w:left="5048" w:right="0" w:firstLine="0"/>
        <w:rPr>
          <w:rFonts w:ascii="宋体" w:hAnsi="宋体" w:cs="宋体" w:eastAsia="宋体" w:hint="default"/>
          <w:sz w:val="14"/>
          <w:szCs w:val="14"/>
        </w:rPr>
      </w:pPr>
      <w:r>
        <w:rPr/>
        <w:pict>
          <v:group style="position:absolute;margin-left:-.483998pt;margin-top:-.006003pt;width:596.5pt;height:807.9pt;mso-position-horizontal-relative:page;mso-position-vertical-relative:page;z-index:-966376" coordorigin="-10,0" coordsize="11930,16158">
            <v:group style="position:absolute;left:340;top:11059;width:1128;height:707" coordorigin="340,11059" coordsize="1128,707">
              <v:shape style="position:absolute;left:340;top:11059;width:1128;height:707" coordorigin="340,11059" coordsize="1128,707" path="m1467,11059l340,11765e" filled="false" stroked="true" strokeweight=".968pt" strokecolor="#8c8f90">
                <v:path arrowok="t"/>
              </v:shape>
            </v:group>
            <v:group style="position:absolute;left:1287;top:11409;width:1811;height:1938" coordorigin="1287,11409" coordsize="1811,1938">
              <v:shape style="position:absolute;left:1287;top:11409;width:1811;height:1938" coordorigin="1287,11409" coordsize="1811,1938" path="m3097,11409l1287,13347e" filled="false" stroked="true" strokeweight=".968pt" strokecolor="#9c8758">
                <v:path arrowok="t"/>
              </v:shape>
            </v:group>
            <v:group style="position:absolute;left:1896;top:10022;width:1226;height:768" coordorigin="1896,10022" coordsize="1226,768">
              <v:shape style="position:absolute;left:1896;top:10022;width:1226;height:768" coordorigin="1896,10022" coordsize="1226,768" path="m3121,10022l1896,10790e" filled="false" stroked="true" strokeweight=".968pt" strokecolor="#8c8f90">
                <v:path arrowok="t"/>
              </v:shape>
            </v:group>
            <v:group style="position:absolute;left:826;top:10676;width:2435;height:2143" coordorigin="826,10676" coordsize="2435,2143">
              <v:shape style="position:absolute;left:826;top:10676;width:2435;height:2143" coordorigin="826,10676" coordsize="2435,2143" path="m3261,10676l826,12818e" filled="false" stroked="true" strokeweight="1.452pt" strokecolor="#8c8f90">
                <v:path arrowok="t"/>
              </v:shape>
            </v:group>
            <v:group style="position:absolute;left:141;top:9694;width:2343;height:1009" coordorigin="141,9694" coordsize="2343,1009">
              <v:shape style="position:absolute;left:141;top:9694;width:2343;height:1009" coordorigin="141,9694" coordsize="2343,1009" path="m2484,9694l141,10703e" filled="false" stroked="true" strokeweight=".484pt" strokecolor="#8c8f90">
                <v:path arrowok="t"/>
              </v:shape>
            </v:group>
            <v:group style="position:absolute;left:5122;top:12730;width:396;height:2945" coordorigin="5122,12730" coordsize="396,2945">
              <v:shape style="position:absolute;left:5122;top:12730;width:396;height:2945" coordorigin="5122,12730" coordsize="396,2945" path="m5518,12730l5122,15674e" filled="false" stroked="true" strokeweight=".484pt" strokecolor="#8c8f90">
                <v:path arrowok="t"/>
              </v:shape>
            </v:group>
            <v:group style="position:absolute;left:4522;top:12637;width:669;height:3031" coordorigin="4522,12637" coordsize="669,3031">
              <v:shape style="position:absolute;left:4522;top:12637;width:669;height:3031" coordorigin="4522,12637" coordsize="669,3031" path="m5190,12637l4522,15667e" filled="false" stroked="true" strokeweight=".484pt" strokecolor="#8c8f90">
                <v:path arrowok="t"/>
              </v:shape>
            </v:group>
            <v:group style="position:absolute;left:3304;top:12283;width:1186;height:2916" coordorigin="3304,12283" coordsize="1186,2916">
              <v:shape style="position:absolute;left:3304;top:12283;width:1186;height:2916" coordorigin="3304,12283" coordsize="1186,2916" path="m4490,12283l3304,15198e" filled="false" stroked="true" strokeweight=".242pt" strokecolor="#9c8758">
                <v:path arrowok="t"/>
              </v:shape>
            </v:group>
            <v:group style="position:absolute;left:4436;top:12611;width:706;height:3033" coordorigin="4436,12611" coordsize="706,3033">
              <v:shape style="position:absolute;left:4436;top:12611;width:706;height:3033" coordorigin="4436,12611" coordsize="706,3033" path="m5141,12611l4436,15643e" filled="false" stroked="true" strokeweight="1.452pt" strokecolor="#9c8758">
                <v:path arrowok="t"/>
              </v:shape>
            </v:group>
            <v:group style="position:absolute;left:531;top:11687;width:764;height:560" coordorigin="531,11687" coordsize="764,560">
              <v:shape style="position:absolute;left:531;top:11687;width:764;height:560" coordorigin="531,11687" coordsize="764,560" path="m1294,11687l531,12247e" filled="false" stroked="true" strokeweight=".484pt" strokecolor="#9c8758">
                <v:path arrowok="t"/>
              </v:shape>
            </v:group>
            <v:group style="position:absolute;left:1468;top:10316;width:1697;height:1244" coordorigin="1468,10316" coordsize="1697,1244">
              <v:shape style="position:absolute;left:1468;top:10316;width:1697;height:1244" coordorigin="1468,10316" coordsize="1697,1244" path="m3165,10316l1468,11559e" filled="false" stroked="true" strokeweight=".484pt" strokecolor="#8c8f90">
                <v:path arrowok="t"/>
              </v:shape>
            </v:group>
            <v:group style="position:absolute;left:279;top:9920;width:2832;height:1675" coordorigin="279,9920" coordsize="2832,1675">
              <v:shape style="position:absolute;left:279;top:9920;width:2832;height:1675" coordorigin="279,9920" coordsize="2832,1675" path="m3111,9920l279,11594e" filled="false" stroked="true" strokeweight=".484pt" strokecolor="#8c8f90">
                <v:path arrowok="t"/>
              </v:shape>
            </v:group>
            <v:group style="position:absolute;left:129;top:9694;width:2765;height:1339" coordorigin="129,9694" coordsize="2765,1339">
              <v:shape style="position:absolute;left:129;top:9694;width:2765;height:1339" coordorigin="129,9694" coordsize="2765,1339" path="m2894,9694l129,11033e" filled="false" stroked="true" strokeweight=".242pt" strokecolor="#9c8758">
                <v:path arrowok="t"/>
              </v:shape>
            </v:group>
            <v:group style="position:absolute;left:422;top:10159;width:2715;height:1832" coordorigin="422,10159" coordsize="2715,1832">
              <v:shape style="position:absolute;left:422;top:10159;width:2715;height:1832" coordorigin="422,10159" coordsize="2715,1832" path="m3137,10159l422,11991e" filled="false" stroked="true" strokeweight=".968pt" strokecolor="#9c8758">
                <v:path arrowok="t"/>
              </v:shape>
            </v:group>
            <v:group style="position:absolute;left:765;top:12440;width:322;height:274" coordorigin="765,12440" coordsize="322,274">
              <v:shape style="position:absolute;left:765;top:12440;width:322;height:274" coordorigin="765,12440" coordsize="322,274" path="m1086,12440l765,12713e" filled="false" stroked="true" strokeweight="1.452pt" strokecolor="#8c8f90">
                <v:path arrowok="t"/>
              </v:shape>
            </v:group>
            <v:group style="position:absolute;left:1377;top:10608;width:1863;height:1585" coordorigin="1377,10608" coordsize="1863,1585">
              <v:shape style="position:absolute;left:1377;top:10608;width:1863;height:1585" coordorigin="1377,10608" coordsize="1863,1585" path="m3240,10608l1377,12192e" filled="false" stroked="true" strokeweight="1.452pt" strokecolor="#8c8f90">
                <v:path arrowok="t"/>
              </v:shape>
            </v:group>
            <v:group style="position:absolute;left:1003;top:10860;width:2326;height:2244" coordorigin="1003,10860" coordsize="2326,2244">
              <v:shape style="position:absolute;left:1003;top:10860;width:2326;height:2244" coordorigin="1003,10860" coordsize="2326,2244" path="m3329,10860l1003,13103e" filled="false" stroked="true" strokeweight="1.452pt" strokecolor="#9c8758">
                <v:path arrowok="t"/>
              </v:shape>
            </v:group>
            <v:group style="position:absolute;left:4140;top:12535;width:808;height:3027" coordorigin="4140,12535" coordsize="808,3027">
              <v:shape style="position:absolute;left:4140;top:12535;width:808;height:3027" coordorigin="4140,12535" coordsize="808,3027" path="m4948,12535l4140,15561e" filled="false" stroked="true" strokeweight=".968pt" strokecolor="#9c8758">
                <v:path arrowok="t"/>
              </v:shape>
            </v:group>
            <v:group style="position:absolute;left:3465;top:12342;width:1115;height:2937" coordorigin="3465,12342" coordsize="1115,2937">
              <v:shape style="position:absolute;left:3465;top:12342;width:1115;height:2937" coordorigin="3465,12342" coordsize="1115,2937" path="m4580,12342l3465,15279e" filled="false" stroked="true" strokeweight="1.452pt" strokecolor="#9c8758">
                <v:path arrowok="t"/>
              </v:shape>
            </v:group>
            <v:group style="position:absolute;left:4650;top:12658;width:614;height:3017" coordorigin="4650,12658" coordsize="614,3017">
              <v:shape style="position:absolute;left:4650;top:12658;width:614;height:3017" coordorigin="4650,12658" coordsize="614,3017" path="m5264,12658l4650,15674e" filled="false" stroked="true" strokeweight=".968pt" strokecolor="#9c8758">
                <v:path arrowok="t"/>
              </v:shape>
            </v:group>
            <v:group style="position:absolute;left:3890;top:12478;width:934;height:2989" coordorigin="3890,12478" coordsize="934,2989">
              <v:shape style="position:absolute;left:3890;top:12478;width:934;height:2989" coordorigin="3890,12478" coordsize="934,2989" path="m4823,12478l3890,15467e" filled="false" stroked="true" strokeweight="1.452pt" strokecolor="#8c8f90">
                <v:path arrowok="t"/>
              </v:shape>
            </v:group>
            <v:group style="position:absolute;left:1978;top:10992;width:1405;height:1448" coordorigin="1978,10992" coordsize="1405,1448">
              <v:shape style="position:absolute;left:1978;top:10992;width:1405;height:1448" coordorigin="1978,10992" coordsize="1405,1448" path="m1978,12439l3382,10992e" filled="false" stroked="true" strokeweight=".484pt" strokecolor="#9c8758">
                <v:path arrowok="t"/>
              </v:shape>
            </v:group>
            <v:group style="position:absolute;left:1141;top:12820;width:468;height:482" coordorigin="1141,12820" coordsize="468,482">
              <v:shape style="position:absolute;left:1141;top:12820;width:468;height:482" coordorigin="1141,12820" coordsize="468,482" path="m1141,13301l1608,12820e" filled="false" stroked="true" strokeweight=".484pt" strokecolor="#8c8f90">
                <v:path arrowok="t"/>
              </v:shape>
            </v:group>
            <v:group style="position:absolute;left:833;top:10650;width:2419;height:2182" coordorigin="833,10650" coordsize="2419,2182">
              <v:shape style="position:absolute;left:833;top:10650;width:2419;height:2182" coordorigin="833,10650" coordsize="2419,2182" path="m833,12832l3251,10650e" filled="false" stroked="true" strokeweight=".242pt" strokecolor="#8c8f90">
                <v:path arrowok="t"/>
              </v:shape>
            </v:group>
            <v:group style="position:absolute;left:564;top:10362;width:2610;height:1958" coordorigin="564,10362" coordsize="2610,1958">
              <v:shape style="position:absolute;left:564;top:10362;width:2610;height:1958" coordorigin="564,10362" coordsize="2610,1958" path="m564,12319l3174,10362e" filled="false" stroked="true" strokeweight=".242pt" strokecolor="#9c8758">
                <v:path arrowok="t"/>
              </v:shape>
            </v:group>
            <v:group style="position:absolute;left:49;top:9694;width:2205;height:894" coordorigin="49,9694" coordsize="2205,894">
              <v:shape style="position:absolute;left:49;top:9694;width:2205;height:894" coordorigin="49,9694" coordsize="2205,894" path="m2254,9694l49,10588e" filled="false" stroked="true" strokeweight=".968pt" strokecolor="#8c8f90">
                <v:path arrowok="t"/>
              </v:shape>
            </v:group>
            <v:group style="position:absolute;left:218;top:9694;width:488;height:142" coordorigin="218,9694" coordsize="488,142">
              <v:shape style="position:absolute;left:218;top:9694;width:488;height:142" coordorigin="218,9694" coordsize="488,142" path="m706,9694l218,9836e" filled="false" stroked="true" strokeweight="1.452pt" strokecolor="#8c8f90">
                <v:path arrowok="t"/>
              </v:shape>
            </v:group>
            <v:group style="position:absolute;left:0;top:9694;width:179;height:48" coordorigin="0,9694" coordsize="179,48">
              <v:shape style="position:absolute;left:0;top:9694;width:179;height:48" coordorigin="0,9694" coordsize="179,48" path="m179,9694l0,9742e" filled="false" stroked="true" strokeweight=".968pt" strokecolor="#8c8f90">
                <v:path arrowok="t"/>
              </v:shape>
            </v:group>
            <v:group style="position:absolute;left:1;top:9749;width:1204;height:399" coordorigin="1,9749" coordsize="1204,399">
              <v:shape style="position:absolute;left:1;top:9749;width:1204;height:399" coordorigin="1,9749" coordsize="1204,399" path="m1204,9749l1,10148e" filled="false" stroked="true" strokeweight=".968pt" strokecolor="#9c8758">
                <v:path arrowok="t"/>
              </v:shape>
            </v:group>
            <v:group style="position:absolute;left:600;top:10411;width:2587;height:1991" coordorigin="600,10411" coordsize="2587,1991">
              <v:shape style="position:absolute;left:600;top:10411;width:2587;height:1991" coordorigin="600,10411" coordsize="2587,1991" path="m3186,10411l600,12401e" filled="false" stroked="true" strokeweight=".968pt" strokecolor="#9c8758">
                <v:path arrowok="t"/>
              </v:shape>
            </v:group>
            <v:group style="position:absolute;left:423;top:10240;width:2229;height:1349" coordorigin="423,10240" coordsize="2229,1349">
              <v:shape style="position:absolute;left:423;top:10240;width:2229;height:1349" coordorigin="423,10240" coordsize="2229,1349" path="m2651,10240l423,11588e" filled="false" stroked="true" strokeweight="1.452pt" strokecolor="#8c8f90">
                <v:path arrowok="t"/>
              </v:shape>
            </v:group>
            <v:group style="position:absolute;left:3609;top:12395;width:1052;height:2949" coordorigin="3609,12395" coordsize="1052,2949">
              <v:shape style="position:absolute;left:3609;top:12395;width:1052;height:2949" coordorigin="3609,12395" coordsize="1052,2949" path="m4660,12395l3609,15344e" filled="false" stroked="true" strokeweight=".484pt" strokecolor="#8c8f90">
                <v:path arrowok="t"/>
              </v:shape>
            </v:group>
            <v:group style="position:absolute;left:3171;top:12231;width:1243;height:2890" coordorigin="3171,12231" coordsize="1243,2890">
              <v:shape style="position:absolute;left:3171;top:12231;width:1243;height:2890" coordorigin="3171,12231" coordsize="1243,2890" path="m4414,12231l3171,15120e" filled="false" stroked="true" strokeweight=".484pt" strokecolor="#9c8758">
                <v:path arrowok="t"/>
              </v:shape>
            </v:group>
            <v:group style="position:absolute;left:1905;top:11564;width:1826;height:2624" coordorigin="1905,11564" coordsize="1826,2624">
              <v:shape style="position:absolute;left:1905;top:11564;width:1826;height:2624" coordorigin="1905,11564" coordsize="1826,2624" path="m3731,11564l1905,14187e" filled="false" stroked="true" strokeweight=".242pt" strokecolor="#8c8f90">
                <v:path arrowok="t"/>
              </v:shape>
            </v:group>
            <v:group style="position:absolute;left:2063;top:12560;width:1171;height:1767" coordorigin="2063,12560" coordsize="1171,1767">
              <v:shape style="position:absolute;left:2063;top:12560;width:1171;height:1767" coordorigin="2063,12560" coordsize="1171,1767" path="m3233,12560l2063,14326e" filled="false" stroked="true" strokeweight=".968pt" strokecolor="#9c8758">
                <v:path arrowok="t"/>
              </v:shape>
            </v:group>
            <v:group style="position:absolute;left:3518;top:11680;width:299;height:450" coordorigin="3518,11680" coordsize="299,450">
              <v:shape style="position:absolute;left:3518;top:11680;width:299;height:450" coordorigin="3518,11680" coordsize="299,450" path="m3817,11680l3518,12130e" filled="false" stroked="true" strokeweight=".968pt" strokecolor="#9c8758">
                <v:path arrowok="t"/>
              </v:shape>
            </v:group>
            <v:group style="position:absolute;left:3726;top:12420;width:1005;height:2973" coordorigin="3726,12420" coordsize="1005,2973">
              <v:shape style="position:absolute;left:3726;top:12420;width:1005;height:2973" coordorigin="3726,12420" coordsize="1005,2973" path="m4730,12420l3726,15392e" filled="false" stroked="true" strokeweight=".968pt" strokecolor="#9c8758">
                <v:path arrowok="t"/>
              </v:shape>
            </v:group>
            <v:group style="position:absolute;left:1845;top:14043;width:59;height:82" coordorigin="1845,14043" coordsize="59,82">
              <v:shape style="position:absolute;left:1845;top:14043;width:59;height:82" coordorigin="1845,14043" coordsize="59,82" path="m1903,14043l1845,14124e" filled="false" stroked="true" strokeweight="1.452pt" strokecolor="#8c8f90">
                <v:path arrowok="t"/>
              </v:shape>
            </v:group>
            <v:group style="position:absolute;left:2217;top:11536;width:1495;height:2072" coordorigin="2217,11536" coordsize="1495,2072">
              <v:shape style="position:absolute;left:2217;top:11536;width:1495;height:2072" coordorigin="2217,11536" coordsize="1495,2072" path="m3711,11536l2217,13608e" filled="false" stroked="true" strokeweight="1.452pt" strokecolor="#8c8f90">
                <v:path arrowok="t"/>
              </v:shape>
            </v:group>
            <v:group style="position:absolute;left:3028;top:12174;width:1304;height:2859" coordorigin="3028,12174" coordsize="1304,2859">
              <v:shape style="position:absolute;left:3028;top:12174;width:1304;height:2859" coordorigin="3028,12174" coordsize="1304,2859" path="m4332,12174l3028,15032e" filled="false" stroked="true" strokeweight="1.452pt" strokecolor="#9c8758">
                <v:path arrowok="t"/>
              </v:shape>
            </v:group>
            <v:group style="position:absolute;left:2485;top:11918;width:1555;height:2762" coordorigin="2485,11918" coordsize="1555,2762">
              <v:shape style="position:absolute;left:2485;top:11918;width:1555;height:2762" coordorigin="2485,11918" coordsize="1555,2762" path="m4040,11918l2485,14680e" filled="false" stroked="true" strokeweight=".484pt" strokecolor="#9c8758">
                <v:path arrowok="t"/>
              </v:shape>
            </v:group>
            <v:group style="position:absolute;left:1453;top:11255;width:2075;height:2458" coordorigin="1453,11255" coordsize="2075,2458">
              <v:shape style="position:absolute;left:1453;top:11255;width:2075;height:2458" coordorigin="1453,11255" coordsize="2075,2458" path="m3527,11255l1453,13712e" filled="false" stroked="true" strokeweight=".242pt" strokecolor="#8c8f90">
                <v:path arrowok="t"/>
              </v:shape>
            </v:group>
            <v:group style="position:absolute;left:256;top:9876;width:2852;height:1645" coordorigin="256,9876" coordsize="2852,1645">
              <v:shape style="position:absolute;left:256;top:9876;width:2852;height:1645" coordorigin="256,9876" coordsize="2852,1645" path="m3108,9876l256,11521e" filled="false" stroked="true" strokeweight=".968pt" strokecolor="#8c8f90">
                <v:path arrowok="t"/>
              </v:shape>
            </v:group>
            <v:group style="position:absolute;left:538;top:9694;width:2163;height:989" coordorigin="538,9694" coordsize="2163,989">
              <v:shape style="position:absolute;left:538;top:9694;width:2163;height:989" coordorigin="538,9694" coordsize="2163,989" path="m2700,9694l538,10683e" filled="false" stroked="true" strokeweight="1.452pt" strokecolor="#9c8758">
                <v:path arrowok="t"/>
              </v:shape>
            </v:group>
            <v:group style="position:absolute;left:2;top:9694;width:1358;height:471" coordorigin="2,9694" coordsize="1358,471">
              <v:shape style="position:absolute;left:2;top:9694;width:1358;height:471" coordorigin="2,9694" coordsize="1358,471" path="m1360,9694l2,10164e" filled="false" stroked="true" strokeweight=".484pt" strokecolor="#9c8758">
                <v:path arrowok="t"/>
              </v:shape>
            </v:group>
            <v:group style="position:absolute;left:186;top:9694;width:2906;height:1576" coordorigin="186,9694" coordsize="2906,1576">
              <v:shape style="position:absolute;left:186;top:9694;width:2906;height:1576" coordorigin="186,9694" coordsize="2906,1576" path="m186,11270l3091,9694e" filled="false" stroked="true" strokeweight=".484pt" strokecolor="#9c8758">
                <v:path arrowok="t"/>
              </v:shape>
            </v:group>
            <v:group style="position:absolute;left:893;top:10716;width:2383;height:2223" coordorigin="893,10716" coordsize="2383,2223">
              <v:shape style="position:absolute;left:893;top:10716;width:2383;height:2223" coordorigin="893,10716" coordsize="2383,2223" path="m893,12938l3276,10716e" filled="false" stroked="true" strokeweight=".242pt" strokecolor="#9c8758">
                <v:path arrowok="t"/>
              </v:shape>
            </v:group>
            <v:group style="position:absolute;left:149;top:9694;width:2858;height:1433" coordorigin="149,9694" coordsize="2858,1433">
              <v:shape style="position:absolute;left:149;top:9694;width:2858;height:1433" coordorigin="149,9694" coordsize="2858,1433" path="m149,11127l3006,9694e" filled="false" stroked="true" strokeweight=".242pt" strokecolor="#8c8f90">
                <v:path arrowok="t"/>
              </v:shape>
            </v:group>
            <v:group style="position:absolute;left:25;top:10056;width:928;height:347" coordorigin="25,10056" coordsize="928,347">
              <v:shape style="position:absolute;left:25;top:10056;width:928;height:347" coordorigin="25,10056" coordsize="928,347" path="m953,10056l25,10403e" filled="false" stroked="true" strokeweight=".968pt" strokecolor="#9c8758">
                <v:path arrowok="t"/>
              </v:shape>
            </v:group>
            <v:group style="position:absolute;left:1478;top:9694;width:442;height:166" coordorigin="1478,9694" coordsize="442,166">
              <v:shape style="position:absolute;left:1478;top:9694;width:442;height:166" coordorigin="1478,9694" coordsize="442,166" path="m1920,9694l1478,9860e" filled="false" stroked="true" strokeweight=".968pt" strokecolor="#9c8758">
                <v:path arrowok="t"/>
              </v:shape>
            </v:group>
            <v:group style="position:absolute;left:393;top:10109;width:2738;height:1799" coordorigin="393,10109" coordsize="2738,1799">
              <v:shape style="position:absolute;left:393;top:10109;width:2738;height:1799" coordorigin="393,10109" coordsize="2738,1799" path="m3130,10109l393,11908e" filled="false" stroked="true" strokeweight=".242pt" strokecolor="#9c8758">
                <v:path arrowok="t"/>
              </v:shape>
            </v:group>
            <v:group style="position:absolute;left:2252;top:13515;width:606;height:985" coordorigin="2252,13515" coordsize="606,985">
              <v:shape style="position:absolute;left:2252;top:13515;width:606;height:985" coordorigin="2252,13515" coordsize="606,985" path="m2857,13515l2252,14500e" filled="false" stroked="true" strokeweight=".968pt" strokecolor="#9c8758">
                <v:path arrowok="t"/>
              </v:shape>
            </v:group>
            <v:group style="position:absolute;left:3026;top:11791;width:893;height:1451" coordorigin="3026,11791" coordsize="893,1451">
              <v:shape style="position:absolute;left:3026;top:11791;width:893;height:1451" coordorigin="3026,11791" coordsize="893,1451" path="m3918,11791l3026,13241e" filled="false" stroked="true" strokeweight=".968pt" strokecolor="#8c8f90">
                <v:path arrowok="t"/>
              </v:shape>
            </v:group>
            <v:group style="position:absolute;left:2815;top:12077;width:1401;height:2820" coordorigin="2815,12077" coordsize="1401,2820">
              <v:shape style="position:absolute;left:2815;top:12077;width:1401;height:2820" coordorigin="2815,12077" coordsize="1401,2820" path="m4215,12077l2815,14897e" filled="false" stroked="true" strokeweight="1.452pt" strokecolor="#8c8f90">
                <v:path arrowok="t"/>
              </v:shape>
            </v:group>
            <v:group style="position:absolute;left:4895;top:12698;width:510;height:2977" coordorigin="4895,12698" coordsize="510,2977">
              <v:shape style="position:absolute;left:4895;top:12698;width:510;height:2977" coordorigin="4895,12698" coordsize="510,2977" path="m5404,12698l4895,15674e" filled="false" stroked="true" strokeweight=".242pt" strokecolor="#8c8f90">
                <v:path arrowok="t"/>
              </v:shape>
            </v:group>
            <v:group style="position:absolute;left:2688;top:11183;width:798;height:909" coordorigin="2688,11183" coordsize="798,909">
              <v:shape style="position:absolute;left:2688;top:11183;width:798;height:909" coordorigin="2688,11183" coordsize="798,909" path="m2688,12092l3485,11183e" filled="false" stroked="true" strokeweight=".968pt" strokecolor="#9c8758">
                <v:path arrowok="t"/>
              </v:shape>
            </v:group>
            <v:group style="position:absolute;left:1365;top:12449;width:1010;height:1151" coordorigin="1365,12449" coordsize="1010,1151">
              <v:shape style="position:absolute;left:1365;top:12449;width:1010;height:1151" coordorigin="1365,12449" coordsize="1010,1151" path="m1365,13600l2374,12449e" filled="false" stroked="true" strokeweight=".968pt" strokecolor="#8c8f90">
                <v:path arrowok="t"/>
              </v:shape>
            </v:group>
            <v:group style="position:absolute;left:5951;top:13748;width:61;height:1927" coordorigin="5951,13748" coordsize="61,1927">
              <v:shape style="position:absolute;left:5951;top:13748;width:61;height:1927" coordorigin="5951,13748" coordsize="61,1927" path="m6012,13748l5951,15674e" filled="false" stroked="true" strokeweight="1.452pt" strokecolor="#8c8f90">
                <v:path arrowok="t"/>
              </v:shape>
            </v:group>
            <v:group style="position:absolute;left:6028;top:12794;width:15;height:444" coordorigin="6028,12794" coordsize="15,444">
              <v:shape style="position:absolute;left:6028;top:12794;width:15;height:444" coordorigin="6028,12794" coordsize="15,444" path="m6042,12794l6028,13238e" filled="false" stroked="true" strokeweight="1.452pt" strokecolor="#8c8f90">
                <v:path arrowok="t"/>
              </v:shape>
            </v:group>
            <v:group style="position:absolute;left:5827;top:12792;width:139;height:2883" coordorigin="5827,12792" coordsize="139,2883">
              <v:shape style="position:absolute;left:5827;top:12792;width:139;height:2883" coordorigin="5827,12792" coordsize="139,2883" path="m5965,12792l5827,15674e" filled="false" stroked="true" strokeweight=".242pt" strokecolor="#8c8f90">
                <v:path arrowok="t"/>
              </v:shape>
            </v:group>
            <v:group style="position:absolute;left:5613;top:12774;width:204;height:2900" coordorigin="5613,12774" coordsize="204,2900">
              <v:shape style="position:absolute;left:5613;top:12774;width:204;height:2900" coordorigin="5613,12774" coordsize="204,2900" path="m5816,12774l5613,15674e" filled="false" stroked="true" strokeweight=".242pt" strokecolor="#9c8758">
                <v:path arrowok="t"/>
              </v:shape>
            </v:group>
            <v:group style="position:absolute;left:5600;top:12774;width:170;height:1880" coordorigin="5600,12774" coordsize="170,1880">
              <v:shape style="position:absolute;left:5600;top:12774;width:170;height:1880" coordorigin="5600,12774" coordsize="170,1880" path="m5600,14654l5769,12774e" filled="false" stroked="true" strokeweight="1.452pt" strokecolor="#8c8f90">
                <v:path arrowok="t"/>
              </v:shape>
            </v:group>
            <v:group style="position:absolute;left:5508;top:15222;width:41;height:453" coordorigin="5508,15222" coordsize="41,453">
              <v:shape style="position:absolute;left:5508;top:15222;width:41;height:453" coordorigin="5508,15222" coordsize="41,453" path="m5508,15674l5548,15222e" filled="false" stroked="true" strokeweight="1.452pt" strokecolor="#9c8758">
                <v:path arrowok="t"/>
              </v:shape>
            </v:group>
            <v:group style="position:absolute;left:5327;top:12749;width:334;height:2925" coordorigin="5327,12749" coordsize="334,2925">
              <v:shape style="position:absolute;left:5327;top:12749;width:334;height:2925" coordorigin="5327,12749" coordsize="334,2925" path="m5327,15674l5660,12749e" filled="false" stroked="true" strokeweight=".968pt" strokecolor="#9c8758">
                <v:path arrowok="t"/>
              </v:shape>
            </v:group>
            <v:group style="position:absolute;left:4679;top:12657;width:581;height:3018" coordorigin="4679,12657" coordsize="581,3018">
              <v:shape style="position:absolute;left:4679;top:12657;width:581;height:3018" coordorigin="4679,12657" coordsize="581,3018" path="m5260,12657l4679,15674e" filled="false" stroked="true" strokeweight=".242pt" strokecolor="#9c8758">
                <v:path arrowok="t"/>
              </v:shape>
            </v:group>
            <v:group style="position:absolute;left:4072;top:12524;width:858;height:3007" coordorigin="4072,12524" coordsize="858,3007">
              <v:shape style="position:absolute;left:4072;top:12524;width:858;height:3007" coordorigin="4072,12524" coordsize="858,3007" path="m4929,12524l4072,15530e" filled="false" stroked="true" strokeweight=".242pt" strokecolor="#9c8758">
                <v:path arrowok="t"/>
              </v:shape>
            </v:group>
            <v:group style="position:absolute;left:2513;top:10529;width:704;height:575" coordorigin="2513,10529" coordsize="704,575">
              <v:shape style="position:absolute;left:2513;top:10529;width:704;height:575" coordorigin="2513,10529" coordsize="704,575" path="m2513,11104l3216,10529e" filled="false" stroked="true" strokeweight=".968pt" strokecolor="#9c8758">
                <v:path arrowok="t"/>
              </v:shape>
            </v:group>
            <v:group style="position:absolute;left:695;top:11551;width:1270;height:1038" coordorigin="695,11551" coordsize="1270,1038">
              <v:shape style="position:absolute;left:695;top:11551;width:1270;height:1038" coordorigin="695,11551" coordsize="1270,1038" path="m695,12589l1965,11551e" filled="false" stroked="true" strokeweight=".968pt" strokecolor="#8c8f90">
                <v:path arrowok="t"/>
              </v:shape>
            </v:group>
            <v:group style="position:absolute;left:3773;top:12437;width:985;height:2980" coordorigin="3773,12437" coordsize="985,2980">
              <v:shape style="position:absolute;left:3773;top:12437;width:985;height:2980" coordorigin="3773,12437" coordsize="985,2980" path="m3773,15417l4757,12437e" filled="false" stroked="true" strokeweight=".968pt" strokecolor="#9c8758">
                <v:path arrowok="t"/>
              </v:shape>
            </v:group>
            <v:group style="position:absolute;left:2919;top:12129;width:1351;height:2834" coordorigin="2919,12129" coordsize="1351,2834">
              <v:shape style="position:absolute;left:2919;top:12129;width:1351;height:2834" coordorigin="2919,12129" coordsize="1351,2834" path="m2919,14963l4269,12129e" filled="false" stroked="true" strokeweight=".968pt" strokecolor="#9c8758">
                <v:path arrowok="t"/>
              </v:shape>
            </v:group>
            <v:group style="position:absolute;left:3009;top:12657;width:834;height:1619" coordorigin="3009,12657" coordsize="834,1619">
              <v:shape style="position:absolute;left:3009;top:12657;width:834;height:1619" coordorigin="3009,12657" coordsize="834,1619" path="m3009,14276l3843,12657e" filled="false" stroked="true" strokeweight=".968pt" strokecolor="#8c8f90">
                <v:path arrowok="t"/>
              </v:shape>
            </v:group>
            <v:group style="position:absolute;left:2721;top:14672;width:85;height:165" coordorigin="2721,14672" coordsize="85,165">
              <v:shape style="position:absolute;left:2721;top:14672;width:85;height:165" coordorigin="2721,14672" coordsize="85,165" path="m2721,14836l2805,14672e" filled="false" stroked="true" strokeweight=".968pt" strokecolor="#9c8758">
                <v:path arrowok="t"/>
              </v:shape>
            </v:group>
            <v:group style="position:absolute;left:2940;top:11417;width:691;height:895" coordorigin="2940,11417" coordsize="691,895">
              <v:shape style="position:absolute;left:2940;top:11417;width:691;height:895" coordorigin="2940,11417" coordsize="691,895" path="m2940,12312l3630,11417e" filled="false" stroked="true" strokeweight=".968pt" strokecolor="#9c8758">
                <v:path arrowok="t"/>
              </v:shape>
            </v:group>
            <v:group style="position:absolute;left:1674;top:12688;width:976;height:1265" coordorigin="1674,12688" coordsize="976,1265">
              <v:shape style="position:absolute;left:1674;top:12688;width:976;height:1265" coordorigin="1674,12688" coordsize="976,1265" path="m1674,13952l2649,12688e" filled="false" stroked="true" strokeweight=".968pt" strokecolor="#9c8758">
                <v:path arrowok="t"/>
              </v:shape>
            </v:group>
            <v:group style="position:absolute;left:4967;top:12710;width:480;height:2965" coordorigin="4967,12710" coordsize="480,2965">
              <v:shape style="position:absolute;left:4967;top:12710;width:480;height:2965" coordorigin="4967,12710" coordsize="480,2965" path="m4967,15674l5446,12710e" filled="false" stroked="true" strokeweight="1.452pt" strokecolor="#9c8758">
                <v:path arrowok="t"/>
              </v:shape>
            </v:group>
            <v:group style="position:absolute;left:6576;top:12794;width:259;height:2880" coordorigin="6576,12794" coordsize="259,2880">
              <v:shape style="position:absolute;left:6576;top:12794;width:259;height:2880" coordorigin="6576,12794" coordsize="259,2880" path="m6576,12794l6834,15674e" filled="false" stroked="true" strokeweight=".968pt" strokecolor="#8c8f90">
                <v:path arrowok="t"/>
              </v:shape>
            </v:group>
            <v:group style="position:absolute;left:6574;top:12774;width:2;height:20" coordorigin="6574,12774" coordsize="2,20">
              <v:shape style="position:absolute;left:6574;top:12774;width:2;height:20" coordorigin="6574,12774" coordsize="2,20" path="m6574,12774l6576,12794e" filled="false" stroked="true" strokeweight=".968pt" strokecolor="#8c8f90">
                <v:path arrowok="t"/>
              </v:shape>
            </v:group>
            <v:group style="position:absolute;left:6533;top:12794;width:210;height:2880" coordorigin="6533,12794" coordsize="210,2880">
              <v:shape style="position:absolute;left:6533;top:12794;width:210;height:2880" coordorigin="6533,12794" coordsize="210,2880" path="m6533,12794l6742,15674e" filled="false" stroked="true" strokeweight="1.452pt" strokecolor="#8c8f90">
                <v:path arrowok="t"/>
              </v:shape>
            </v:group>
            <v:group style="position:absolute;left:6531;top:12774;width:2;height:20" coordorigin="6531,12774" coordsize="2,20">
              <v:shape style="position:absolute;left:6531;top:12774;width:2;height:20" coordorigin="6531,12774" coordsize="2,20" path="m6531,12774l6533,12794e" filled="false" stroked="true" strokeweight="1.452pt" strokecolor="#8c8f90">
                <v:path arrowok="t"/>
              </v:shape>
            </v:group>
            <v:group style="position:absolute;left:9047;top:8466;width:2859;height:369" coordorigin="9047,8466" coordsize="2859,369">
              <v:shape style="position:absolute;left:9047;top:8466;width:2859;height:369" coordorigin="9047,8466" coordsize="2859,369" path="m11905,8834l9047,8466e" filled="false" stroked="true" strokeweight=".968pt" strokecolor="#8c8f90">
                <v:path arrowok="t"/>
              </v:shape>
            </v:group>
            <v:group style="position:absolute;left:9097;top:8590;width:2691;height:456" coordorigin="9097,8590" coordsize="2691,456">
              <v:shape style="position:absolute;left:9097;top:8590;width:2691;height:456" coordorigin="9097,8590" coordsize="2691,456" path="m11788,9045l9097,8590e" filled="false" stroked="true" strokeweight="1.452pt" strokecolor="#8c8f90">
                <v:path arrowok="t"/>
              </v:shape>
            </v:group>
            <v:group style="position:absolute;left:8946;top:8251;width:2960;height:165" coordorigin="8946,8251" coordsize="2960,165">
              <v:shape style="position:absolute;left:8946;top:8251;width:2960;height:165" coordorigin="8946,8251" coordsize="2960,165" path="m11906,8416l8946,8251e" filled="false" stroked="true" strokeweight=".484pt" strokecolor="#9c8758">
                <v:path arrowok="t"/>
              </v:shape>
            </v:group>
            <v:group style="position:absolute;left:9083;top:8547;width:2823;height:439" coordorigin="9083,8547" coordsize="2823,439">
              <v:shape style="position:absolute;left:9083;top:8547;width:2823;height:439" coordorigin="9083,8547" coordsize="2823,439" path="m11906,8985l9083,8547e" filled="false" stroked="true" strokeweight=".484pt" strokecolor="#9c8758">
                <v:path arrowok="t"/>
              </v:shape>
            </v:group>
            <v:group style="position:absolute;left:9261;top:9196;width:2023;height:724" coordorigin="9261,9196" coordsize="2023,724">
              <v:shape style="position:absolute;left:9261;top:9196;width:2023;height:724" coordorigin="9261,9196" coordsize="2023,724" path="m11283,9919l9261,9196e" filled="false" stroked="true" strokeweight=".484pt" strokecolor="#9c8758">
                <v:path arrowok="t"/>
              </v:shape>
            </v:group>
            <v:group style="position:absolute;left:11724;top:10077;width:182;height:65" coordorigin="11724,10077" coordsize="182,65">
              <v:shape style="position:absolute;left:11724;top:10077;width:182;height:65" coordorigin="11724,10077" coordsize="182,65" path="m11906,10142l11724,10077e" filled="false" stroked="true" strokeweight=".484pt" strokecolor="#8c8f90">
                <v:path arrowok="t"/>
              </v:shape>
            </v:group>
            <v:group style="position:absolute;left:9273;top:9275;width:2633;height:1006" coordorigin="9273,9275" coordsize="2633,1006">
              <v:shape style="position:absolute;left:9273;top:9275;width:2633;height:1006" coordorigin="9273,9275" coordsize="2633,1006" path="m11906,10281l9273,9275e" filled="false" stroked="true" strokeweight=".484pt" strokecolor="#8c8f90">
                <v:path arrowok="t"/>
              </v:shape>
            </v:group>
            <v:group style="position:absolute;left:9294;top:9933;width:2612;height:1545" coordorigin="9294,9933" coordsize="2612,1545">
              <v:shape style="position:absolute;left:9294;top:9933;width:2612;height:1545" coordorigin="9294,9933" coordsize="2612,1545" path="m11905,11477l9294,9933e" filled="false" stroked="true" strokeweight=".242pt" strokecolor="#8c8f90">
                <v:path arrowok="t"/>
              </v:shape>
            </v:group>
            <v:group style="position:absolute;left:9181;top:8842;width:2725;height:678" coordorigin="9181,8842" coordsize="2725,678">
              <v:shape style="position:absolute;left:9181;top:8842;width:2725;height:678" coordorigin="9181,8842" coordsize="2725,678" path="m11906,9520l9181,8842e" filled="false" stroked="true" strokeweight=".242pt" strokecolor="#8c8f90">
                <v:path arrowok="t"/>
              </v:shape>
            </v:group>
            <v:group style="position:absolute;left:8996;top:8364;width:2910;height:276" coordorigin="8996,8364" coordsize="2910,276">
              <v:shape style="position:absolute;left:8996;top:8364;width:2910;height:276" coordorigin="8996,8364" coordsize="2910,276" path="m11905,8639l8996,8364e" filled="false" stroked="true" strokeweight=".968pt" strokecolor="#8c8f90">
                <v:path arrowok="t"/>
              </v:shape>
            </v:group>
            <v:group style="position:absolute;left:10161;top:9196;width:1745;height:483" coordorigin="10161,9196" coordsize="1745,483">
              <v:shape style="position:absolute;left:10161;top:9196;width:1745;height:483" coordorigin="10161,9196" coordsize="1745,483" path="m11905,9678l10161,9196e" filled="false" stroked="true" strokeweight=".968pt" strokecolor="#8c8f90">
                <v:path arrowok="t"/>
              </v:shape>
            </v:group>
            <v:group style="position:absolute;left:9239;top:9072;width:2667;height:852" coordorigin="9239,9072" coordsize="2667,852">
              <v:shape style="position:absolute;left:9239;top:9072;width:2667;height:852" coordorigin="9239,9072" coordsize="2667,852" path="m11905,9924l9239,9072e" filled="false" stroked="true" strokeweight="1.452pt" strokecolor="#8c8f90">
                <v:path arrowok="t"/>
              </v:shape>
            </v:group>
            <v:group style="position:absolute;left:9133;top:8686;width:2773;height:554" coordorigin="9133,8686" coordsize="2773,554">
              <v:shape style="position:absolute;left:9133;top:8686;width:2773;height:554" coordorigin="9133,8686" coordsize="2773,554" path="m11905,9240l9133,8686e" filled="false" stroked="true" strokeweight=".484pt" strokecolor="#9c8758">
                <v:path arrowok="t"/>
              </v:shape>
            </v:group>
            <v:group style="position:absolute;left:9216;top:8970;width:2690;height:819" coordorigin="9216,8970" coordsize="2690,819">
              <v:shape style="position:absolute;left:9216;top:8970;width:2690;height:819" coordorigin="9216,8970" coordsize="2690,819" path="m11905,9789l9216,8970e" filled="false" stroked="true" strokeweight=".484pt" strokecolor="#9c8758">
                <v:path arrowok="t"/>
              </v:shape>
            </v:group>
            <v:group style="position:absolute;left:9153;top:8756;width:2753;height:628" coordorigin="9153,8756" coordsize="2753,628">
              <v:shape style="position:absolute;left:9153;top:8756;width:2753;height:628" coordorigin="9153,8756" coordsize="2753,628" path="m11906,9383l9153,8756e" filled="false" stroked="true" strokeweight=".968pt" strokecolor="#9c8758">
                <v:path arrowok="t"/>
              </v:shape>
            </v:group>
            <v:group style="position:absolute;left:8890;top:8153;width:3016;height:62" coordorigin="8890,8153" coordsize="3016,62">
              <v:shape style="position:absolute;left:8890;top:8153;width:3016;height:62" coordorigin="8890,8153" coordsize="3016,62" path="m11905,8214l8890,8153e" filled="false" stroked="true" strokeweight="1.452pt" strokecolor="#8c8f90">
                <v:path arrowok="t"/>
              </v:shape>
            </v:group>
            <v:group style="position:absolute;left:8270;top:13060;width:876;height:2091" coordorigin="8270,13060" coordsize="876,2091">
              <v:shape style="position:absolute;left:8270;top:13060;width:876;height:2091" coordorigin="8270,13060" coordsize="876,2091" path="m8270,13060l9146,15151e" filled="false" stroked="true" strokeweight=".968pt" strokecolor="#9c8758">
                <v:path arrowok="t"/>
              </v:shape>
            </v:group>
            <v:group style="position:absolute;left:8250;top:14959;width:164;height:541" coordorigin="8250,14959" coordsize="164,541">
              <v:shape style="position:absolute;left:8250;top:14959;width:164;height:541" coordorigin="8250,14959" coordsize="164,541" path="m8250,14959l8414,15499e" filled="false" stroked="true" strokeweight="1.452pt" strokecolor="#8c8f90">
                <v:path arrowok="t"/>
              </v:shape>
            </v:group>
            <v:group style="position:absolute;left:8500;top:12794;width:1043;height:2120" coordorigin="8500,12794" coordsize="1043,2120">
              <v:shape style="position:absolute;left:8500;top:12794;width:1043;height:2120" coordorigin="8500,12794" coordsize="1043,2120" path="m8500,12794l9542,14914e" filled="false" stroked="true" strokeweight=".968pt" strokecolor="#8c8f90">
                <v:path arrowok="t"/>
              </v:shape>
            </v:group>
            <v:group style="position:absolute;left:7617;top:12794;width:527;height:1734" coordorigin="7617,12794" coordsize="527,1734">
              <v:shape style="position:absolute;left:7617;top:12794;width:527;height:1734" coordorigin="7617,12794" coordsize="527,1734" path="m7617,12794l8143,14528e" filled="false" stroked="true" strokeweight="1.452pt" strokecolor="#9c8758">
                <v:path arrowok="t"/>
              </v:shape>
            </v:group>
            <v:group style="position:absolute;left:7528;top:12503;width:89;height:292" coordorigin="7528,12503" coordsize="89,292">
              <v:shape style="position:absolute;left:7528;top:12503;width:89;height:292" coordorigin="7528,12503" coordsize="89,292" path="m7528,12503l7617,12794e" filled="false" stroked="true" strokeweight="1.452pt" strokecolor="#9c8758">
                <v:path arrowok="t"/>
              </v:shape>
            </v:group>
            <v:group style="position:absolute;left:8162;top:12108;width:338;height:687" coordorigin="8162,12108" coordsize="338,687">
              <v:shape style="position:absolute;left:8162;top:12108;width:338;height:687" coordorigin="8162,12108" coordsize="338,687" path="m8162,12108l8500,12794e" filled="false" stroked="true" strokeweight=".968pt" strokecolor="#8c8f90">
                <v:path arrowok="t"/>
              </v:shape>
            </v:group>
            <v:group style="position:absolute;left:8839;top:13077;width:912;height:1709" coordorigin="8839,13077" coordsize="912,1709">
              <v:shape style="position:absolute;left:8839;top:13077;width:912;height:1709" coordorigin="8839,13077" coordsize="912,1709" path="m8839,13077l9751,14785e" filled="false" stroked="true" strokeweight=".968pt" strokecolor="#9c8758">
                <v:path arrowok="t"/>
              </v:shape>
            </v:group>
            <v:group style="position:absolute;left:8276;top:12006;width:370;height:692" coordorigin="8276,12006" coordsize="370,692">
              <v:shape style="position:absolute;left:8276;top:12006;width:370;height:692" coordorigin="8276,12006" coordsize="370,692" path="m8276,12006l8646,12697e" filled="false" stroked="true" strokeweight=".968pt" strokecolor="#8c8f90">
                <v:path arrowok="t"/>
              </v:shape>
            </v:group>
            <v:group style="position:absolute;left:8851;top:12794;width:803;height:1417" coordorigin="8851,12794" coordsize="803,1417">
              <v:shape style="position:absolute;left:8851;top:12794;width:803;height:1417" coordorigin="8851,12794" coordsize="803,1417" path="m8851,12794l9653,14211e" filled="false" stroked="true" strokeweight=".968pt" strokecolor="#8c8f90">
                <v:path arrowok="t"/>
              </v:shape>
            </v:group>
            <v:group style="position:absolute;left:8435;top:12060;width:416;height:735" coordorigin="8435,12060" coordsize="416,735">
              <v:shape style="position:absolute;left:8435;top:12060;width:416;height:735" coordorigin="8435,12060" coordsize="416,735" path="m8435,12060l8851,12794e" filled="false" stroked="true" strokeweight=".968pt" strokecolor="#8c8f90">
                <v:path arrowok="t"/>
              </v:shape>
            </v:group>
            <v:group style="position:absolute;left:7932;top:12794;width:928;height:2503" coordorigin="7932,12794" coordsize="928,2503">
              <v:shape style="position:absolute;left:7932;top:12794;width:928;height:2503" coordorigin="7932,12794" coordsize="928,2503" path="m7932,12794l8859,15297e" filled="false" stroked="true" strokeweight="1.452pt" strokecolor="#9c8758">
                <v:path arrowok="t"/>
              </v:shape>
            </v:group>
            <v:group style="position:absolute;left:7776;top:12375;width:156;height:420" coordorigin="7776,12375" coordsize="156,420">
              <v:shape style="position:absolute;left:7776;top:12375;width:156;height:420" coordorigin="7776,12375" coordsize="156,420" path="m7776,12375l7932,12794e" filled="false" stroked="true" strokeweight="1.452pt" strokecolor="#9c8758">
                <v:path arrowok="t"/>
              </v:shape>
            </v:group>
            <v:group style="position:absolute;left:10887;top:12794;width:420;height:422" coordorigin="10887,12794" coordsize="420,422">
              <v:shape style="position:absolute;left:10887;top:12794;width:420;height:422" coordorigin="10887,12794" coordsize="420,422" path="m10887,12794l11306,13216e" filled="false" stroked="true" strokeweight=".484pt" strokecolor="#8c8f90">
                <v:path arrowok="t"/>
              </v:shape>
            </v:group>
            <v:group style="position:absolute;left:9041;top:10941;width:1846;height:1854" coordorigin="9041,10941" coordsize="1846,1854">
              <v:shape style="position:absolute;left:9041;top:10941;width:1846;height:1854" coordorigin="9041,10941" coordsize="1846,1854" path="m9041,10941l10887,12794e" filled="false" stroked="true" strokeweight=".484pt" strokecolor="#8c8f90">
                <v:path arrowok="t"/>
              </v:shape>
            </v:group>
            <v:group style="position:absolute;left:9132;top:10709;width:2145;height:1904" coordorigin="9132,10709" coordsize="2145,1904">
              <v:shape style="position:absolute;left:9132;top:10709;width:2145;height:1904" coordorigin="9132,10709" coordsize="2145,1904" path="m9132,10709l11277,12613e" filled="false" stroked="true" strokeweight="1.452pt" strokecolor="#8c8f90">
                <v:path arrowok="t"/>
              </v:shape>
            </v:group>
            <v:group style="position:absolute;left:7806;top:12794;width:890;height:2587" coordorigin="7806,12794" coordsize="890,2587">
              <v:shape style="position:absolute;left:7806;top:12794;width:890;height:2587" coordorigin="7806,12794" coordsize="890,2587" path="m7806,12794l8696,15381e" filled="false" stroked="true" strokeweight=".968pt" strokecolor="#9c8758">
                <v:path arrowok="t"/>
              </v:shape>
            </v:group>
            <v:group style="position:absolute;left:7677;top:12419;width:130;height:376" coordorigin="7677,12419" coordsize="130,376">
              <v:shape style="position:absolute;left:7677;top:12419;width:130;height:376" coordorigin="7677,12419" coordsize="130,376" path="m7677,12419l7806,12794e" filled="false" stroked="true" strokeweight=".968pt" strokecolor="#9c8758">
                <v:path arrowok="t"/>
              </v:shape>
            </v:group>
            <v:group style="position:absolute;left:9753;top:12794;width:914;height:1206" coordorigin="9753,12794" coordsize="914,1206">
              <v:shape style="position:absolute;left:9753;top:12794;width:914;height:1206" coordorigin="9753,12794" coordsize="914,1206" path="m9753,12794l10667,14000e" filled="false" stroked="true" strokeweight=".968pt" strokecolor="#8c8f90">
                <v:path arrowok="t"/>
              </v:shape>
            </v:group>
            <v:group style="position:absolute;left:9331;top:12238;width:422;height:557" coordorigin="9331,12238" coordsize="422,557">
              <v:shape style="position:absolute;left:9331;top:12238;width:422;height:557" coordorigin="9331,12238" coordsize="422,557" path="m9331,12238l9753,12794e" filled="false" stroked="true" strokeweight=".968pt" strokecolor="#8c8f90">
                <v:path arrowok="t"/>
              </v:shape>
            </v:group>
            <v:group style="position:absolute;left:10056;top:14323;width:93;height:149" coordorigin="10056,14323" coordsize="93,149">
              <v:shape style="position:absolute;left:10056;top:14323;width:93;height:149" coordorigin="10056,14323" coordsize="93,149" path="m10056,14323l10149,14472e" filled="false" stroked="true" strokeweight="1.452pt" strokecolor="#9c8758">
                <v:path arrowok="t"/>
              </v:shape>
            </v:group>
            <v:group style="position:absolute;left:9107;top:12794;width:736;height:1184" coordorigin="9107,12794" coordsize="736,1184">
              <v:shape style="position:absolute;left:9107;top:12794;width:736;height:1184" coordorigin="9107,12794" coordsize="736,1184" path="m9107,12794l9842,13978e" filled="false" stroked="true" strokeweight="1.452pt" strokecolor="#8c8f90">
                <v:path arrowok="t"/>
              </v:shape>
            </v:group>
            <v:group style="position:absolute;left:8962;top:12561;width:146;height:234" coordorigin="8962,12561" coordsize="146,234">
              <v:shape style="position:absolute;left:8962;top:12561;width:146;height:234" coordorigin="8962,12561" coordsize="146,234" path="m8962,12561l9107,12794e" filled="false" stroked="true" strokeweight="1.452pt" strokecolor="#8c8f90">
                <v:path arrowok="t"/>
              </v:shape>
            </v:group>
            <v:group style="position:absolute;left:8485;top:11793;width:315;height:507" coordorigin="8485,11793" coordsize="315,507">
              <v:shape style="position:absolute;left:8485;top:11793;width:315;height:507" coordorigin="8485,11793" coordsize="315,507" path="m8485,11793l8800,12300e" filled="false" stroked="true" strokeweight="1.452pt" strokecolor="#8c8f90">
                <v:path arrowok="t"/>
              </v:shape>
            </v:group>
            <v:group style="position:absolute;left:10292;top:12794;width:711;height:814" coordorigin="10292,12794" coordsize="711,814">
              <v:shape style="position:absolute;left:10292;top:12794;width:711;height:814" coordorigin="10292,12794" coordsize="711,814" path="m10292,12794l11003,13608e" filled="false" stroked="true" strokeweight=".968pt" strokecolor="#9c8758">
                <v:path arrowok="t"/>
              </v:shape>
            </v:group>
            <v:group style="position:absolute;left:9099;top:11428;width:1193;height:1367" coordorigin="9099,11428" coordsize="1193,1367">
              <v:shape style="position:absolute;left:9099;top:11428;width:1193;height:1367" coordorigin="9099,11428" coordsize="1193,1367" path="m9099,11428l10292,12794e" filled="false" stroked="true" strokeweight=".968pt" strokecolor="#9c8758">
                <v:path arrowok="t"/>
              </v:shape>
            </v:group>
            <v:group style="position:absolute;left:10028;top:13519;width:464;height:656" coordorigin="10028,13519" coordsize="464,656">
              <v:shape style="position:absolute;left:10028;top:13519;width:464;height:656" coordorigin="10028,13519" coordsize="464,656" path="m10028,13519l10491,14175e" filled="false" stroked="true" strokeweight="1.452pt" strokecolor="#8c8f90">
                <v:path arrowok="t"/>
              </v:shape>
            </v:group>
            <v:group style="position:absolute;left:9515;top:12794;width:198;height:279" coordorigin="9515,12794" coordsize="198,279">
              <v:shape style="position:absolute;left:9515;top:12794;width:198;height:279" coordorigin="9515,12794" coordsize="198,279" path="m9515,12794l9712,13073e" filled="false" stroked="true" strokeweight="1.452pt" strokecolor="#8c8f90">
                <v:path arrowok="t"/>
              </v:shape>
            </v:group>
            <v:group style="position:absolute;left:8659;top:11585;width:856;height:1209" coordorigin="8659,11585" coordsize="856,1209">
              <v:shape style="position:absolute;left:8659;top:11585;width:856;height:1209" coordorigin="8659,11585" coordsize="856,1209" path="m8659,11585l9515,12794e" filled="false" stroked="true" strokeweight="1.452pt" strokecolor="#8c8f90">
                <v:path arrowok="t"/>
              </v:shape>
            </v:group>
            <v:group style="position:absolute;left:9295;top:9903;width:2611;height:1518" coordorigin="9295,9903" coordsize="2611,1518">
              <v:shape style="position:absolute;left:9295;top:9903;width:2611;height:1518" coordorigin="9295,9903" coordsize="2611,1518" path="m9295,9903l11906,11420e" filled="false" stroked="true" strokeweight=".968pt" strokecolor="#8c8f90">
                <v:path arrowok="t"/>
              </v:shape>
            </v:group>
            <v:group style="position:absolute;left:9241;top:10315;width:1923;height:1398" coordorigin="9241,10315" coordsize="1923,1398">
              <v:shape style="position:absolute;left:9241;top:10315;width:1923;height:1398" coordorigin="9241,10315" coordsize="1923,1398" path="m9241,10315l11163,11712e" filled="false" stroked="true" strokeweight="1.452pt" strokecolor="#8c8f90">
                <v:path arrowok="t"/>
              </v:shape>
            </v:group>
            <v:group style="position:absolute;left:8009;top:12794;width:962;height:2459" coordorigin="8009,12794" coordsize="962,2459">
              <v:shape style="position:absolute;left:8009;top:12794;width:962;height:2459" coordorigin="8009,12794" coordsize="962,2459" path="m8970,15253l8009,12794e" filled="false" stroked="true" strokeweight=".484pt" strokecolor="#9c8758">
                <v:path arrowok="t"/>
              </v:shape>
            </v:group>
            <v:group style="position:absolute;left:7831;top:12339;width:179;height:456" coordorigin="7831,12339" coordsize="179,456">
              <v:shape style="position:absolute;left:7831;top:12339;width:179;height:456" coordorigin="7831,12339" coordsize="179,456" path="m8009,12794l7831,12339e" filled="false" stroked="true" strokeweight=".484pt" strokecolor="#9c8758">
                <v:path arrowok="t"/>
              </v:shape>
            </v:group>
            <v:group style="position:absolute;left:8356;top:12794;width:431;height:935" coordorigin="8356,12794" coordsize="431,935">
              <v:shape style="position:absolute;left:8356;top:12794;width:431;height:935" coordorigin="8356,12794" coordsize="431,935" path="m8787,13729l8356,12794e" filled="false" stroked="true" strokeweight=".484pt" strokecolor="#9c8758">
                <v:path arrowok="t"/>
              </v:shape>
            </v:group>
            <v:group style="position:absolute;left:8071;top:12176;width:286;height:619" coordorigin="8071,12176" coordsize="286,619">
              <v:shape style="position:absolute;left:8071;top:12176;width:286;height:619" coordorigin="8071,12176" coordsize="286,619" path="m8356,12794l8071,12176e" filled="false" stroked="true" strokeweight=".484pt" strokecolor="#9c8758">
                <v:path arrowok="t"/>
              </v:shape>
            </v:group>
            <v:group style="position:absolute;left:9140;top:14496;width:239;height:518" coordorigin="9140,14496" coordsize="239,518">
              <v:shape style="position:absolute;left:9140;top:14496;width:239;height:518" coordorigin="9140,14496" coordsize="239,518" path="m9379,15013l9140,14496e" filled="false" stroked="true" strokeweight=".484pt" strokecolor="#8c8f90">
                <v:path arrowok="t"/>
              </v:shape>
            </v:group>
            <v:group style="position:absolute;left:7414;top:12794;width:143;height:549" coordorigin="7414,12794" coordsize="143,549">
              <v:shape style="position:absolute;left:7414;top:12794;width:143;height:549" coordorigin="7414,12794" coordsize="143,549" path="m7557,13343l7414,12794e" filled="false" stroked="true" strokeweight=".242pt" strokecolor="#8c8f90">
                <v:path arrowok="t"/>
              </v:shape>
            </v:group>
            <v:group style="position:absolute;left:7357;top:12575;width:58;height:220" coordorigin="7357,12575" coordsize="58,220">
              <v:shape style="position:absolute;left:7357;top:12575;width:58;height:220" coordorigin="7357,12575" coordsize="58,220" path="m7414,12794l7357,12575e" filled="false" stroked="true" strokeweight=".242pt" strokecolor="#8c8f90">
                <v:path arrowok="t"/>
              </v:shape>
            </v:group>
            <v:group style="position:absolute;left:7794;top:14256;width:349;height:1337" coordorigin="7794,14256" coordsize="349,1337">
              <v:shape style="position:absolute;left:7794;top:14256;width:349;height:1337" coordorigin="7794,14256" coordsize="349,1337" path="m8142,15592l7794,14256e" filled="false" stroked="true" strokeweight=".242pt" strokecolor="#8c8f90">
                <v:path arrowok="t"/>
              </v:shape>
            </v:group>
            <v:group style="position:absolute;left:7054;top:12794;width:530;height:2880" coordorigin="7054,12794" coordsize="530,2880">
              <v:shape style="position:absolute;left:7054;top:12794;width:530;height:2880" coordorigin="7054,12794" coordsize="530,2880" path="m7584,15674l7054,12794e" filled="false" stroked="true" strokeweight=".242pt" strokecolor="#8c8f90">
                <v:path arrowok="t"/>
              </v:shape>
            </v:group>
            <v:group style="position:absolute;left:7035;top:12688;width:20;height:107" coordorigin="7035,12688" coordsize="20,107">
              <v:shape style="position:absolute;left:7035;top:12688;width:20;height:107" coordorigin="7035,12688" coordsize="20,107" path="m7054,12794l7035,12688e" filled="false" stroked="true" strokeweight=".242pt" strokecolor="#8c8f90">
                <v:path arrowok="t"/>
              </v:shape>
            </v:group>
            <v:group style="position:absolute;left:7120;top:12794;width:570;height:2880" coordorigin="7120,12794" coordsize="570,2880">
              <v:shape style="position:absolute;left:7120;top:12794;width:570;height:2880" coordorigin="7120,12794" coordsize="570,2880" path="m7120,12794l7690,15674e" filled="false" stroked="true" strokeweight=".968pt" strokecolor="#9c8758">
                <v:path arrowok="t"/>
              </v:shape>
            </v:group>
            <v:group style="position:absolute;left:7096;top:12671;width:25;height:124" coordorigin="7096,12671" coordsize="25,124">
              <v:shape style="position:absolute;left:7096;top:12671;width:25;height:124" coordorigin="7096,12671" coordsize="25,124" path="m7096,12671l7120,12794e" filled="false" stroked="true" strokeweight=".968pt" strokecolor="#9c8758">
                <v:path arrowok="t"/>
              </v:shape>
            </v:group>
            <v:group style="position:absolute;left:7068;top:15035;width:81;height:640" coordorigin="7068,15035" coordsize="81,640">
              <v:shape style="position:absolute;left:7068;top:15035;width:81;height:640" coordorigin="7068,15035" coordsize="81,640" path="m7068,15035l7149,15674e" filled="false" stroked="true" strokeweight=".968pt" strokecolor="#8c8f90">
                <v:path arrowok="t"/>
              </v:shape>
            </v:group>
            <v:group style="position:absolute;left:6785;top:12794;width:204;height:1609" coordorigin="6785,12794" coordsize="204,1609">
              <v:shape style="position:absolute;left:6785;top:12794;width:204;height:1609" coordorigin="6785,12794" coordsize="204,1609" path="m6785,12794l6988,14403e" filled="false" stroked="true" strokeweight=".968pt" strokecolor="#9c8758">
                <v:path arrowok="t"/>
              </v:shape>
            </v:group>
            <v:group style="position:absolute;left:6778;top:12741;width:7;height:54" coordorigin="6778,12741" coordsize="7,54">
              <v:shape style="position:absolute;left:6778;top:12741;width:7;height:54" coordorigin="6778,12741" coordsize="7,54" path="m6778,12741l6785,12794e" filled="false" stroked="true" strokeweight=".968pt" strokecolor="#9c8758">
                <v:path arrowok="t"/>
              </v:shape>
            </v:group>
            <v:group style="position:absolute;left:7736;top:14884;width:167;height:772" coordorigin="7736,14884" coordsize="167,772">
              <v:shape style="position:absolute;left:7736;top:14884;width:167;height:772" coordorigin="7736,14884" coordsize="167,772" path="m7736,14884l7903,15655e" filled="false" stroked="true" strokeweight=".968pt" strokecolor="#9c8758">
                <v:path arrowok="t"/>
              </v:shape>
            </v:group>
            <v:group style="position:absolute;left:7260;top:12794;width:207;height:909" coordorigin="7260,12794" coordsize="207,909">
              <v:shape style="position:absolute;left:7260;top:12794;width:207;height:909" coordorigin="7260,12794" coordsize="207,909" path="m7260,12794l7467,13703e" filled="false" stroked="true" strokeweight=".968pt" strokecolor="#9c8758">
                <v:path arrowok="t"/>
              </v:shape>
            </v:group>
            <v:group style="position:absolute;left:7224;top:12634;width:37;height:161" coordorigin="7224,12634" coordsize="37,161">
              <v:shape style="position:absolute;left:7224;top:12634;width:37;height:161" coordorigin="7224,12634" coordsize="37,161" path="m7224,12634l7260,12794e" filled="false" stroked="true" strokeweight=".968pt" strokecolor="#9c8758">
                <v:path arrowok="t"/>
              </v:shape>
            </v:group>
            <v:group style="position:absolute;left:7502;top:12794;width:724;height:2595" coordorigin="7502,12794" coordsize="724,2595">
              <v:shape style="position:absolute;left:7502;top:12794;width:724;height:2595" coordorigin="7502,12794" coordsize="724,2595" path="m7502,12794l8226,15388e" filled="false" stroked="true" strokeweight=".968pt" strokecolor="#9c8758">
                <v:path arrowok="t"/>
              </v:shape>
            </v:group>
            <v:group style="position:absolute;left:7433;top:12550;width:69;height:245" coordorigin="7433,12550" coordsize="69,245">
              <v:shape style="position:absolute;left:7433;top:12550;width:69;height:245" coordorigin="7433,12550" coordsize="69,245" path="m7433,12550l7502,12794e" filled="false" stroked="true" strokeweight=".968pt" strokecolor="#9c8758">
                <v:path arrowok="t"/>
              </v:shape>
            </v:group>
            <v:group style="position:absolute;left:6589;top:14692;width:60;height:982" coordorigin="6589,14692" coordsize="60,982">
              <v:shape style="position:absolute;left:6589;top:14692;width:60;height:982" coordorigin="6589,14692" coordsize="60,982" path="m6589,14692l6648,15674e" filled="false" stroked="true" strokeweight=".968pt" strokecolor="#8c8f90">
                <v:path arrowok="t"/>
              </v:shape>
            </v:group>
            <v:group style="position:absolute;left:6474;top:12794;width:61;height:1003" coordorigin="6474,12794" coordsize="61,1003">
              <v:shape style="position:absolute;left:6474;top:12794;width:61;height:1003" coordorigin="6474,12794" coordsize="61,1003" path="m6474,12794l6535,13797e" filled="false" stroked="true" strokeweight=".968pt" strokecolor="#8c8f90">
                <v:path arrowok="t"/>
              </v:shape>
            </v:group>
            <v:group style="position:absolute;left:6474;top:12783;width:2;height:12" coordorigin="6474,12783" coordsize="2,12">
              <v:shape style="position:absolute;left:6474;top:12783;width:2;height:12" coordorigin="6474,12783" coordsize="1,12" path="m6474,12783l6474,12794e" filled="false" stroked="true" strokeweight=".968pt" strokecolor="#8c8f90">
                <v:path arrowok="t"/>
              </v:shape>
            </v:group>
            <v:group style="position:absolute;left:9899;top:14645;width:11;height:19" coordorigin="9899,14645" coordsize="11,19">
              <v:shape style="position:absolute;left:9899;top:14645;width:11;height:19" coordorigin="9899,14645" coordsize="11,19" path="m9899,14645l9909,14663e" filled="false" stroked="true" strokeweight=".968pt" strokecolor="#8c8f90">
                <v:path arrowok="t"/>
              </v:shape>
            </v:group>
            <v:group style="position:absolute;left:8950;top:12794;width:1057;height:1799" coordorigin="8950,12794" coordsize="1057,1799">
              <v:shape style="position:absolute;left:8950;top:12794;width:1057;height:1799" coordorigin="8950,12794" coordsize="1057,1799" path="m8950,12794l10007,14593e" filled="false" stroked="true" strokeweight=".484pt" strokecolor="#9c8758">
                <v:path arrowok="t"/>
              </v:shape>
            </v:group>
            <v:group style="position:absolute;left:8412;top:11880;width:538;height:915" coordorigin="8412,11880" coordsize="538,915">
              <v:shape style="position:absolute;left:8412;top:11880;width:538;height:915" coordorigin="8412,11880" coordsize="538,915" path="m8412,11880l8950,12794e" filled="false" stroked="true" strokeweight=".484pt" strokecolor="#9c8758">
                <v:path arrowok="t"/>
              </v:shape>
            </v:group>
            <v:group style="position:absolute;left:6976;top:12794;width:482;height:2880" coordorigin="6976,12794" coordsize="482,2880">
              <v:shape style="position:absolute;left:6976;top:12794;width:482;height:2880" coordorigin="6976,12794" coordsize="482,2880" path="m6976,12794l7458,15674e" filled="false" stroked="true" strokeweight="1.452pt" strokecolor="#9c8758">
                <v:path arrowok="t"/>
              </v:shape>
            </v:group>
            <v:group style="position:absolute;left:6962;top:12709;width:15;height:86" coordorigin="6962,12709" coordsize="15,86">
              <v:shape style="position:absolute;left:6962;top:12709;width:15;height:86" coordorigin="6962,12709" coordsize="15,86" path="m6962,12709l6976,12794e" filled="false" stroked="true" strokeweight="1.452pt" strokecolor="#9c8758">
                <v:path arrowok="t"/>
              </v:shape>
            </v:group>
            <v:group style="position:absolute;left:8859;top:8102;width:3047;height:5" coordorigin="8859,8102" coordsize="3047,5">
              <v:shape style="position:absolute;left:8859;top:8102;width:3047;height:5" coordorigin="8859,8102" coordsize="3047,5" path="m11905,8106l8859,8102e" filled="false" stroked="true" strokeweight=".968pt" strokecolor="#9c8758">
                <v:path arrowok="t"/>
              </v:shape>
            </v:group>
            <v:group style="position:absolute;left:9294;top:9484;width:2612;height:1166" coordorigin="9294,9484" coordsize="2612,1166">
              <v:shape style="position:absolute;left:9294;top:9484;width:2612;height:1166" coordorigin="9294,9484" coordsize="2612,1166" path="m11905,10650l9294,9484e" filled="false" stroked="true" strokeweight=".242pt" strokecolor="#8c8f90">
                <v:path arrowok="t"/>
              </v:shape>
            </v:group>
            <v:group style="position:absolute;left:9300;top:9789;width:2606;height:1449" coordorigin="9300,9789" coordsize="2606,1449">
              <v:shape style="position:absolute;left:9300;top:9789;width:2606;height:1449" coordorigin="9300,9789" coordsize="2606,1449" path="m11906,11238l9300,9789e" filled="false" stroked="true" strokeweight=".242pt" strokecolor="#8c8f90">
                <v:path arrowok="t"/>
              </v:shape>
            </v:group>
            <v:group style="position:absolute;left:9282;top:9340;width:2624;height:1055" coordorigin="9282,9340" coordsize="2624,1055">
              <v:shape style="position:absolute;left:9282;top:9340;width:2624;height:1055" coordorigin="9282,9340" coordsize="2624,1055" path="m11905,10395l9282,9340e" filled="false" stroked="true" strokeweight=".968pt" strokecolor="#9c8758">
                <v:path arrowok="t"/>
              </v:shape>
            </v:group>
            <v:group style="position:absolute;left:9301;top:9734;width:2119;height:1115" coordorigin="9301,9734" coordsize="2119,1115">
              <v:shape style="position:absolute;left:9301;top:9734;width:2119;height:1115" coordorigin="9301,9734" coordsize="2119,1115" path="m11420,10848l9301,9734e" filled="false" stroked="true" strokeweight="1.452pt" strokecolor="#8c8f90">
                <v:path arrowok="t"/>
              </v:shape>
            </v:group>
            <v:group style="position:absolute;left:11788;top:11041;width:118;height:62" coordorigin="11788,11041" coordsize="118,62">
              <v:shape style="position:absolute;left:11788;top:11041;width:118;height:62" coordorigin="11788,11041" coordsize="118,62" path="m11906,11103l11788,11041e" filled="false" stroked="true" strokeweight="1.452pt" strokecolor="#8c8f90">
                <v:path arrowok="t"/>
              </v:shape>
            </v:group>
            <v:group style="position:absolute;left:9290;top:9427;width:1323;height:568" coordorigin="9290,9427" coordsize="1323,568">
              <v:shape style="position:absolute;left:9290;top:9427;width:1323;height:568" coordorigin="9290,9427" coordsize="1323,568" path="m10613,9994l9290,9427e" filled="false" stroked="true" strokeweight="1.452pt" strokecolor="#8c8f90">
                <v:path arrowok="t"/>
              </v:shape>
            </v:group>
            <v:group style="position:absolute;left:11389;top:10327;width:517;height:222" coordorigin="11389,10327" coordsize="517,222">
              <v:shape style="position:absolute;left:11389;top:10327;width:517;height:222" coordorigin="11389,10327" coordsize="517,222" path="m11906,10549l11389,10327e" filled="false" stroked="true" strokeweight="1.452pt" strokecolor="#8c8f90">
                <v:path arrowok="t"/>
              </v:shape>
            </v:group>
            <v:group style="position:absolute;left:9301;top:9654;width:2605;height:1303" coordorigin="9301,9654" coordsize="2605,1303">
              <v:shape style="position:absolute;left:9301;top:9654;width:2605;height:1303" coordorigin="9301,9654" coordsize="2605,1303" path="m11905,10956l9301,9654e" filled="false" stroked="true" strokeweight=".484pt" strokecolor="#9c8758">
                <v:path arrowok="t"/>
              </v:shape>
            </v:group>
            <v:group style="position:absolute;left:9253;top:10243;width:2653;height:1858" coordorigin="9253,10243" coordsize="2653,1858">
              <v:shape style="position:absolute;left:9253;top:10243;width:2653;height:1858" coordorigin="9253,10243" coordsize="2653,1858" path="m11906,12101l9253,10243e" filled="false" stroked="true" strokeweight=".242pt" strokecolor="#9c8758">
                <v:path arrowok="t"/>
              </v:shape>
            </v:group>
            <v:group style="position:absolute;left:9300;top:9589;width:2606;height:1250" coordorigin="9300,9589" coordsize="2606,1250">
              <v:shape style="position:absolute;left:9300;top:9589;width:2606;height:1250" coordorigin="9300,9589" coordsize="2606,1250" path="m11905,10839l9300,9589e" filled="false" stroked="true" strokeweight=".968pt" strokecolor="#8c8f90">
                <v:path arrowok="t"/>
              </v:shape>
            </v:group>
            <v:group style="position:absolute;left:9287;top:9993;width:2361;height:1446" coordorigin="9287,9993" coordsize="2361,1446">
              <v:shape style="position:absolute;left:9287;top:9993;width:2361;height:1446" coordorigin="9287,9993" coordsize="2361,1446" path="m11648,11439l9287,9993e" filled="false" stroked="true" strokeweight="1.452pt" strokecolor="#8c8f90">
                <v:path arrowok="t"/>
              </v:shape>
            </v:group>
            <v:group style="position:absolute;left:9226;top:10387;width:2584;height:1949" coordorigin="9226,10387" coordsize="2584,1949">
              <v:shape style="position:absolute;left:9226;top:10387;width:2584;height:1949" coordorigin="9226,10387" coordsize="2584,1949" path="m11810,12335l9226,10387e" filled="false" stroked="true" strokeweight=".484pt" strokecolor="#9c8758">
                <v:path arrowok="t"/>
              </v:shape>
            </v:group>
            <v:group style="position:absolute;left:9199;top:10496;width:1186;height:945" coordorigin="9199,10496" coordsize="1186,945">
              <v:shape style="position:absolute;left:9199;top:10496;width:1186;height:945" coordorigin="9199,10496" coordsize="1186,945" path="m10384,11440l9199,10496e" filled="false" stroked="true" strokeweight=".968pt" strokecolor="#9c8758">
                <v:path arrowok="t"/>
              </v:shape>
            </v:group>
            <v:group style="position:absolute;left:10922;top:11869;width:801;height:638" coordorigin="10922,11869" coordsize="801,638">
              <v:shape style="position:absolute;left:10922;top:11869;width:801;height:638" coordorigin="10922,11869" coordsize="801,638" path="m11722,12507l10922,11869e" filled="false" stroked="true" strokeweight=".968pt" strokecolor="#8c8f90">
                <v:path arrowok="t"/>
              </v:shape>
            </v:group>
            <v:group style="position:absolute;left:11322;top:12794;width:161;height:148" coordorigin="11322,12794" coordsize="161,148">
              <v:shape style="position:absolute;left:11322;top:12794;width:161;height:148" coordorigin="11322,12794" coordsize="161,148" path="m11322,12794l11483,12941e" filled="false" stroked="true" strokeweight=".968pt" strokecolor="#8c8f90">
                <v:path arrowok="t"/>
              </v:shape>
            </v:group>
            <v:group style="position:absolute;left:9112;top:10772;width:2211;height:2023" coordorigin="9112,10772" coordsize="2211,2023">
              <v:shape style="position:absolute;left:9112;top:10772;width:2211;height:2023" coordorigin="9112,10772" coordsize="2211,2023" path="m9112,10772l11322,12794e" filled="false" stroked="true" strokeweight=".968pt" strokecolor="#8c8f90">
                <v:path arrowok="t"/>
              </v:shape>
            </v:group>
            <v:group style="position:absolute;left:11070;top:13479;width:20;height:22" coordorigin="11070,13479" coordsize="20,22">
              <v:shape style="position:absolute;left:11070;top:13479;width:20;height:22" coordorigin="11070,13479" coordsize="20,22" path="m11070,13479l11089,13500e" filled="false" stroked="true" strokeweight="1.452pt" strokecolor="#8c8f90">
                <v:path arrowok="t"/>
              </v:shape>
            </v:group>
            <v:group style="position:absolute;left:10450;top:12794;width:77;height:85" coordorigin="10450,12794" coordsize="77,85">
              <v:shape style="position:absolute;left:10450;top:12794;width:77;height:85" coordorigin="10450,12794" coordsize="77,85" path="m10450,12794l10526,12879e" filled="false" stroked="true" strokeweight="1.452pt" strokecolor="#8c8f90">
                <v:path arrowok="t"/>
              </v:shape>
            </v:group>
            <v:group style="position:absolute;left:8947;top:11137;width:1503;height:1658" coordorigin="8947,11137" coordsize="1503,1658">
              <v:shape style="position:absolute;left:8947;top:11137;width:1503;height:1658" coordorigin="8947,11137" coordsize="1503,1658" path="m8947,11137l10450,12794e" filled="false" stroked="true" strokeweight="1.452pt" strokecolor="#8c8f90">
                <v:path arrowok="t"/>
              </v:shape>
            </v:group>
            <v:group style="position:absolute;left:10179;top:12794;width:759;height:894" coordorigin="10179,12794" coordsize="759,894">
              <v:shape style="position:absolute;left:10179;top:12794;width:759;height:894" coordorigin="10179,12794" coordsize="759,894" path="m10179,12794l10937,13688e" filled="false" stroked="true" strokeweight=".968pt" strokecolor="#8c8f90">
                <v:path arrowok="t"/>
              </v:shape>
            </v:group>
            <v:group style="position:absolute;left:9720;top:12254;width:459;height:541" coordorigin="9720,12254" coordsize="459,541">
              <v:shape style="position:absolute;left:9720;top:12254;width:459;height:541" coordorigin="9720,12254" coordsize="459,541" path="m9720,12254l10179,12794e" filled="false" stroked="true" strokeweight=".968pt" strokecolor="#8c8f90">
                <v:path arrowok="t"/>
              </v:shape>
            </v:group>
            <v:group style="position:absolute;left:10692;top:12794;width:523;height:545" coordorigin="10692,12794" coordsize="523,545">
              <v:shape style="position:absolute;left:10692;top:12794;width:523;height:545" coordorigin="10692,12794" coordsize="523,545" path="m10692,12794l11214,13339e" filled="false" stroked="true" strokeweight=".968pt" strokecolor="#9c8758">
                <v:path arrowok="t"/>
              </v:shape>
            </v:group>
            <v:group style="position:absolute;left:9003;top:11032;width:1690;height:1763" coordorigin="9003,11032" coordsize="1690,1763">
              <v:shape style="position:absolute;left:9003;top:11032;width:1690;height:1763" coordorigin="9003,11032" coordsize="1690,1763" path="m9003,11032l10692,12794e" filled="false" stroked="true" strokeweight=".968pt" strokecolor="#9c8758">
                <v:path arrowok="t"/>
              </v:shape>
            </v:group>
            <v:group style="position:absolute;left:11095;top:12794;width:297;height:285" coordorigin="11095,12794" coordsize="297,285">
              <v:shape style="position:absolute;left:11095;top:12794;width:297;height:285" coordorigin="11095,12794" coordsize="297,285" path="m11095,12794l11391,13078e" filled="false" stroked="true" strokeweight=".968pt" strokecolor="#9c8758">
                <v:path arrowok="t"/>
              </v:shape>
            </v:group>
            <v:group style="position:absolute;left:9076;top:10861;width:2019;height:1934" coordorigin="9076,10861" coordsize="2019,1934">
              <v:shape style="position:absolute;left:9076;top:10861;width:2019;height:1934" coordorigin="9076,10861" coordsize="2019,1934" path="m9076,10861l11095,12794e" filled="false" stroked="true" strokeweight=".968pt" strokecolor="#9c8758">
                <v:path arrowok="t"/>
              </v:shape>
            </v:group>
            <v:group style="position:absolute;left:10634;top:13789;width:104;height:134" coordorigin="10634,13789" coordsize="104,134">
              <v:shape style="position:absolute;left:10634;top:13789;width:104;height:134" coordorigin="10634,13789" coordsize="104,134" path="m10634,13789l10737,13922e" filled="false" stroked="true" strokeweight="1.452pt" strokecolor="#9c8758">
                <v:path arrowok="t"/>
              </v:shape>
            </v:group>
            <v:group style="position:absolute;left:9852;top:12794;width:578;height:742" coordorigin="9852,12794" coordsize="578,742">
              <v:shape style="position:absolute;left:9852;top:12794;width:578;height:742" coordorigin="9852,12794" coordsize="578,742" path="m9852,12794l10430,13535e" filled="false" stroked="true" strokeweight="1.452pt" strokecolor="#8c8f90">
                <v:path arrowok="t"/>
              </v:shape>
            </v:group>
            <v:group style="position:absolute;left:8777;top:11415;width:1076;height:1380" coordorigin="8777,11415" coordsize="1076,1380">
              <v:shape style="position:absolute;left:8777;top:11415;width:1076;height:1380" coordorigin="8777,11415" coordsize="1076,1380" path="m8777,11415l9852,12794e" filled="false" stroked="true" strokeweight="1.452pt" strokecolor="#8c8f90">
                <v:path arrowok="t"/>
              </v:shape>
            </v:group>
            <v:group style="position:absolute;left:9160;top:10628;width:2453;height:2090" coordorigin="9160,10628" coordsize="2453,2090">
              <v:shape style="position:absolute;left:9160;top:10628;width:2453;height:2090" coordorigin="9160,10628" coordsize="2453,2090" path="m11612,12718l9160,10628e" filled="false" stroked="true" strokeweight=".242pt" strokecolor="#9c8758">
                <v:path arrowok="t"/>
              </v:shape>
            </v:group>
            <v:group style="position:absolute;left:9270;top:10150;width:2636;height:1757" coordorigin="9270,10150" coordsize="2636,1757">
              <v:shape style="position:absolute;left:9270;top:10150;width:2636;height:1757" coordorigin="9270,10150" coordsize="2636,1757" path="m11905,11906l9270,10150e" filled="false" stroked="true" strokeweight=".484pt" strokecolor="#8c8f90">
                <v:path arrowok="t"/>
              </v:shape>
            </v:group>
            <v:group style="position:absolute;left:9340;top:12794;width:1014;height:1508" coordorigin="9340,12794" coordsize="1014,1508">
              <v:shape style="position:absolute;left:9340;top:12794;width:1014;height:1508" coordorigin="9340,12794" coordsize="1014,1508" path="m10353,14301l9340,12794e" filled="false" stroked="true" strokeweight=".968pt" strokecolor="#9c8758">
                <v:path arrowok="t"/>
              </v:shape>
            </v:group>
            <v:group style="position:absolute;left:8590;top:11679;width:751;height:1116" coordorigin="8590,11679" coordsize="751,1116">
              <v:shape style="position:absolute;left:8590;top:11679;width:751;height:1116" coordorigin="8590,11679" coordsize="751,1116" path="m9340,12794l8590,11679e" filled="false" stroked="true" strokeweight=".968pt" strokecolor="#9c8758">
                <v:path arrowok="t"/>
              </v:shape>
            </v:group>
            <v:group style="position:absolute;left:9276;top:10098;width:2630;height:1705" coordorigin="9276,10098" coordsize="2630,1705">
              <v:shape style="position:absolute;left:9276;top:10098;width:2630;height:1705" coordorigin="9276,10098" coordsize="2630,1705" path="m11906,11802l9276,10098e" filled="false" stroked="true" strokeweight="1.452pt" strokecolor="#9c8758">
                <v:path arrowok="t"/>
              </v:shape>
            </v:group>
            <v:group style="position:absolute;left:7129;top:11004;width:567;height:636" coordorigin="7129,11004" coordsize="567,636">
              <v:shape style="position:absolute;left:7129;top:11004;width:567;height:636" coordorigin="7129,11004" coordsize="567,636" path="m7695,11004l7129,11639e" filled="false" stroked="true" strokeweight=".968pt" strokecolor="#8c8f90">
                <v:path arrowok="t"/>
              </v:shape>
            </v:group>
            <v:group style="position:absolute;left:7129;top:10852;width:567;height:587" coordorigin="7129,10852" coordsize="567,587">
              <v:shape style="position:absolute;left:7129;top:10852;width:567;height:587" coordorigin="7129,10852" coordsize="567,587" path="m7695,10852l7129,11439e" filled="false" stroked="true" strokeweight="1.452pt" strokecolor="#8c8f90">
                <v:path arrowok="t"/>
              </v:shape>
            </v:group>
            <v:group style="position:absolute;left:7683;top:11703;width:12;height:19" coordorigin="7683,11703" coordsize="12,19">
              <v:shape style="position:absolute;left:7683;top:11703;width:12;height:19" coordorigin="7683,11703" coordsize="12,19" path="m7695,11703l7683,11721e" filled="false" stroked="true" strokeweight="1.452pt" strokecolor="#8c8f90">
                <v:path arrowok="t"/>
              </v:shape>
            </v:group>
            <v:group style="position:absolute;left:5928;top:11100;width:661;height:480" coordorigin="5928,11100" coordsize="661,480">
              <v:shape style="position:absolute;left:5928;top:11100;width:661;height:480" coordorigin="5928,11100" coordsize="661,480" path="m6588,11100l5928,11579e" filled="false" stroked="true" strokeweight=".484pt" strokecolor="#9c8758">
                <v:path arrowok="t"/>
              </v:shape>
            </v:group>
            <v:group style="position:absolute;left:7129;top:10297;width:567;height:411" coordorigin="7129,10297" coordsize="567,411">
              <v:shape style="position:absolute;left:7129;top:10297;width:567;height:411" coordorigin="7129,10297" coordsize="567,411" path="m7695,10297l7129,10708e" filled="false" stroked="true" strokeweight=".484pt" strokecolor="#9c8758">
                <v:path arrowok="t"/>
              </v:shape>
            </v:group>
            <v:group style="position:absolute;left:5838;top:10977;width:794;height:551" coordorigin="5838,10977" coordsize="794,551">
              <v:shape style="position:absolute;left:5838;top:10977;width:794;height:551" coordorigin="5838,10977" coordsize="794,551" path="m6632,10977l5838,11527e" filled="false" stroked="true" strokeweight=".484pt" strokecolor="#8c8f90">
                <v:path arrowok="t"/>
              </v:shape>
            </v:group>
            <v:group style="position:absolute;left:7129;top:10240;width:567;height:393" coordorigin="7129,10240" coordsize="567,393">
              <v:shape style="position:absolute;left:7129;top:10240;width:567;height:393" coordorigin="7129,10240" coordsize="567,393" path="m7695,10240l7129,10632e" filled="false" stroked="true" strokeweight=".484pt" strokecolor="#8c8f90">
                <v:path arrowok="t"/>
              </v:shape>
            </v:group>
            <v:group style="position:absolute;left:7129;top:9837;width:567;height:265" coordorigin="7129,9837" coordsize="567,265">
              <v:shape style="position:absolute;left:7129;top:9837;width:567;height:265" coordorigin="7129,9837" coordsize="567,265" path="m7695,9837l7129,10102e" filled="false" stroked="true" strokeweight=".242pt" strokecolor="#8c8f90">
                <v:path arrowok="t"/>
              </v:shape>
            </v:group>
            <v:group style="position:absolute;left:4598;top:10904;width:814;height:381" coordorigin="4598,10904" coordsize="814,381">
              <v:shape style="position:absolute;left:4598;top:10904;width:814;height:381" coordorigin="4598,10904" coordsize="814,381" path="m5412,10904l4598,11284e" filled="false" stroked="true" strokeweight=".242pt" strokecolor="#8c8f90">
                <v:path arrowok="t"/>
              </v:shape>
            </v:group>
            <v:group style="position:absolute;left:5607;top:10611;width:433;height:203" coordorigin="5607,10611" coordsize="433,203">
              <v:shape style="position:absolute;left:5607;top:10611;width:433;height:203" coordorigin="5607,10611" coordsize="433,203" path="m6040,10611l5607,10813e" filled="false" stroked="true" strokeweight=".242pt" strokecolor="#8c8f90">
                <v:path arrowok="t"/>
              </v:shape>
            </v:group>
            <v:group style="position:absolute;left:6169;top:10259;width:624;height:292" coordorigin="6169,10259" coordsize="624,292">
              <v:shape style="position:absolute;left:6169;top:10259;width:624;height:292" coordorigin="6169,10259" coordsize="624,292" path="m6793,10259l6169,10550e" filled="false" stroked="true" strokeweight=".242pt" strokecolor="#8c8f90">
                <v:path arrowok="t"/>
              </v:shape>
            </v:group>
            <v:group style="position:absolute;left:7389;top:11323;width:307;height:399" coordorigin="7389,11323" coordsize="307,399">
              <v:shape style="position:absolute;left:7389;top:11323;width:307;height:399" coordorigin="7389,11323" coordsize="307,399" path="m7695,11323l7389,11721e" filled="false" stroked="true" strokeweight=".484pt" strokecolor="#9c8758">
                <v:path arrowok="t"/>
              </v:shape>
            </v:group>
            <v:group style="position:absolute;left:7129;top:10903;width:567;height:604" coordorigin="7129,10903" coordsize="567,604">
              <v:shape style="position:absolute;left:7129;top:10903;width:567;height:604" coordorigin="7129,10903" coordsize="567,604" path="m7695,10903l7129,11506e" filled="false" stroked="true" strokeweight=".484pt" strokecolor="#9c8758">
                <v:path arrowok="t"/>
              </v:shape>
            </v:group>
            <v:group style="position:absolute;left:7129;top:10590;width:567;height:504" coordorigin="7129,10590" coordsize="567,504">
              <v:shape style="position:absolute;left:7129;top:10590;width:567;height:504" coordorigin="7129,10590" coordsize="567,504" path="m7695,10590l7129,11094e" filled="false" stroked="true" strokeweight=".242pt" strokecolor="#8c8f90">
                <v:path arrowok="t"/>
              </v:shape>
            </v:group>
            <v:group style="position:absolute;left:7329;top:11145;width:367;height:440" coordorigin="7329,11145" coordsize="367,440">
              <v:shape style="position:absolute;left:7329;top:11145;width:367;height:440" coordorigin="7329,11145" coordsize="367,440" path="m7695,11145l7329,11585e" filled="false" stroked="true" strokeweight=".968pt" strokecolor="#8c8f90">
                <v:path arrowok="t"/>
              </v:shape>
            </v:group>
            <v:group style="position:absolute;left:6220;top:11729;width:32;height:27" coordorigin="6220,11729" coordsize="32,27">
              <v:shape style="position:absolute;left:6220;top:11729;width:32;height:27" coordorigin="6220,11729" coordsize="32,27" path="m6251,11729l6220,11755e" filled="false" stroked="true" strokeweight=".968pt" strokecolor="#9c8758">
                <v:path arrowok="t"/>
              </v:shape>
            </v:group>
            <v:group style="position:absolute;left:7129;top:10730;width:305;height:258" coordorigin="7129,10730" coordsize="305,258">
              <v:shape style="position:absolute;left:7129;top:10730;width:305;height:258" coordorigin="7129,10730" coordsize="305,258" path="m7434,10730l7129,10988e" filled="false" stroked="true" strokeweight=".968pt" strokecolor="#9c8758">
                <v:path arrowok="t"/>
              </v:shape>
            </v:group>
            <v:group style="position:absolute;left:6070;top:11373;width:367;height:286" coordorigin="6070,11373" coordsize="367,286">
              <v:shape style="position:absolute;left:6070;top:11373;width:367;height:286" coordorigin="6070,11373" coordsize="367,286" path="m6436,11373l6070,11659e" filled="false" stroked="true" strokeweight="1.452pt" strokecolor="#9c8758">
                <v:path arrowok="t"/>
              </v:shape>
            </v:group>
            <v:group style="position:absolute;left:7129;top:10782;width:67;height:52" coordorigin="7129,10782" coordsize="67,52">
              <v:shape style="position:absolute;left:7129;top:10782;width:67;height:52" coordorigin="7129,10782" coordsize="67,52" path="m7195,10782l7129,10834e" filled="false" stroked="true" strokeweight="1.452pt" strokecolor="#8c8f90">
                <v:path arrowok="t"/>
              </v:shape>
            </v:group>
            <v:group style="position:absolute;left:7492;top:10393;width:203;height:159" coordorigin="7492,10393" coordsize="203,159">
              <v:shape style="position:absolute;left:7492;top:10393;width:203;height:159" coordorigin="7492,10393" coordsize="203,159" path="m7695,10393l7492,10551e" filled="false" stroked="true" strokeweight="1.452pt" strokecolor="#8c8f90">
                <v:path arrowok="t"/>
              </v:shape>
            </v:group>
            <v:group style="position:absolute;left:7129;top:10746;width:567;height:554" coordorigin="7129,10746" coordsize="567,554">
              <v:shape style="position:absolute;left:7129;top:10746;width:567;height:554" coordorigin="7129,10746" coordsize="567,554" path="m7695,10746l7129,11299e" filled="false" stroked="true" strokeweight=".484pt" strokecolor="#9c8758">
                <v:path arrowok="t"/>
              </v:shape>
            </v:group>
            <v:group style="position:absolute;left:6093;top:11386;width:362;height:290" coordorigin="6093,11386" coordsize="362,290">
              <v:shape style="position:absolute;left:6093;top:11386;width:362;height:290" coordorigin="6093,11386" coordsize="362,290" path="m6454,11386l6093,11675e" filled="false" stroked="true" strokeweight=".484pt" strokecolor="#9c8758">
                <v:path arrowok="t"/>
              </v:shape>
            </v:group>
            <v:group style="position:absolute;left:7129;top:10392;width:567;height:454" coordorigin="7129,10392" coordsize="567,454">
              <v:shape style="position:absolute;left:7129;top:10392;width:567;height:454" coordorigin="7129,10392" coordsize="567,454" path="m7695,10392l7129,10845e" filled="false" stroked="true" strokeweight=".484pt" strokecolor="#9c8758">
                <v:path arrowok="t"/>
              </v:shape>
            </v:group>
            <v:group style="position:absolute;left:7129;top:10639;width:567;height:525" coordorigin="7129,10639" coordsize="567,525">
              <v:shape style="position:absolute;left:7129;top:10639;width:567;height:525" coordorigin="7129,10639" coordsize="567,525" path="m7695,10639l7129,11163e" filled="false" stroked="true" strokeweight=".968pt" strokecolor="#9c8758">
                <v:path arrowok="t"/>
              </v:shape>
            </v:group>
            <v:group style="position:absolute;left:7537;top:11500;width:158;height:222" coordorigin="7537,11500" coordsize="158,222">
              <v:shape style="position:absolute;left:7537;top:11500;width:158;height:222" coordorigin="7537,11500" coordsize="158,222" path="m7695,11500l7537,11721e" filled="false" stroked="true" strokeweight="1.452pt" strokecolor="#8c8f90">
                <v:path arrowok="t"/>
              </v:shape>
            </v:group>
            <v:group style="position:absolute;left:6262;top:8343;width:549;height:113" coordorigin="6262,8343" coordsize="549,113">
              <v:shape style="position:absolute;left:6262;top:8343;width:549;height:113" coordorigin="6262,8343" coordsize="549,113" path="m6262,8343l6810,8456e" filled="false" stroked="true" strokeweight=".968pt" strokecolor="#8c8f90">
                <v:path arrowok="t"/>
              </v:shape>
            </v:group>
            <v:group style="position:absolute;left:5227;top:8131;width:634;height:131" coordorigin="5227,8131" coordsize="634,131">
              <v:shape style="position:absolute;left:5227;top:8131;width:634;height:131" coordorigin="5227,8131" coordsize="634,131" path="m5227,8131l5861,8261e" filled="false" stroked="true" strokeweight=".968pt" strokecolor="#8c8f90">
                <v:path arrowok="t"/>
              </v:shape>
            </v:group>
            <v:group style="position:absolute;left:7831;top:5334;width:2770;height:1737" coordorigin="7831,5334" coordsize="2770,1737">
              <v:shape style="position:absolute;left:7831;top:5334;width:2770;height:1737" coordorigin="7831,5334" coordsize="2770,1737" path="m10601,5334l7831,7070e" filled="false" stroked="true" strokeweight=".968pt" strokecolor="#8c8f90">
                <v:path arrowok="t"/>
              </v:shape>
            </v:group>
            <v:group style="position:absolute;left:9260;top:4492;width:301;height:322" coordorigin="9260,4492" coordsize="301,322">
              <v:shape style="position:absolute;left:9260;top:4492;width:301;height:322" coordorigin="9260,4492" coordsize="301,322" path="m9560,4492l9260,4813e" filled="false" stroked="true" strokeweight=".968pt" strokecolor="#8c8f90">
                <v:path arrowok="t"/>
              </v:shape>
            </v:group>
            <v:group style="position:absolute;left:7545;top:4778;width:2421;height:2130" coordorigin="7545,4778" coordsize="2421,2130">
              <v:shape style="position:absolute;left:7545;top:4778;width:2421;height:2130" coordorigin="7545,4778" coordsize="2421,2130" path="m9965,4778l7545,6907e" filled="false" stroked="true" strokeweight="1.452pt" strokecolor="#8c8f90">
                <v:path arrowok="t"/>
              </v:shape>
            </v:group>
            <v:group style="position:absolute;left:8120;top:5964;width:3029;height:1304" coordorigin="8120,5964" coordsize="3029,1304">
              <v:shape style="position:absolute;left:8120;top:5964;width:3029;height:1304" coordorigin="8120,5964" coordsize="3029,1304" path="m11148,5964l8120,7268e" filled="false" stroked="true" strokeweight=".484pt" strokecolor="#8c8f90">
                <v:path arrowok="t"/>
              </v:shape>
            </v:group>
            <v:group style="position:absolute;left:8379;top:6689;width:3238;height:798" coordorigin="8379,6689" coordsize="3238,798">
              <v:shape style="position:absolute;left:8379;top:6689;width:3238;height:798" coordorigin="8379,6689" coordsize="3238,798" path="m11617,6689l8379,7487e" filled="false" stroked="true" strokeweight=".242pt" strokecolor="#9c8758">
                <v:path arrowok="t"/>
              </v:shape>
            </v:group>
            <v:group style="position:absolute;left:8696;top:7543;width:3210;height:312" coordorigin="8696,7543" coordsize="3210,312">
              <v:shape style="position:absolute;left:8696;top:7543;width:3210;height:312" coordorigin="8696,7543" coordsize="3210,312" path="m11906,7543l8696,7855e" filled="false" stroked="true" strokeweight=".242pt" strokecolor="#8c8f90">
                <v:path arrowok="t"/>
              </v:shape>
            </v:group>
            <v:group style="position:absolute;left:6343;top:3517;width:414;height:3078" coordorigin="6343,3517" coordsize="414,3078">
              <v:shape style="position:absolute;left:6343;top:3517;width:414;height:3078" coordorigin="6343,3517" coordsize="414,3078" path="m6756,3517l6343,6594e" filled="false" stroked="true" strokeweight=".484pt" strokecolor="#8c8f90">
                <v:path arrowok="t"/>
              </v:shape>
            </v:group>
            <v:group style="position:absolute;left:6518;top:3574;width:671;height:3040" coordorigin="6518,3574" coordsize="671,3040">
              <v:shape style="position:absolute;left:6518;top:3574;width:671;height:3040" coordorigin="6518,3574" coordsize="671,3040" path="m7189,3574l6518,6614e" filled="false" stroked="true" strokeweight=".484pt" strokecolor="#8c8f90">
                <v:path arrowok="t"/>
              </v:shape>
            </v:group>
            <v:group style="position:absolute;left:6780;top:3754;width:1177;height:2895" coordorigin="6780,3754" coordsize="1177,2895">
              <v:shape style="position:absolute;left:6780;top:3754;width:1177;height:2895" coordorigin="6780,3754" coordsize="1177,2895" path="m7957,3754l6780,6649e" filled="false" stroked="true" strokeweight=".242pt" strokecolor="#9c8758">
                <v:path arrowok="t"/>
              </v:shape>
            </v:group>
            <v:group style="position:absolute;left:6536;top:3582;width:706;height:3033" coordorigin="6536,3582" coordsize="706,3033">
              <v:shape style="position:absolute;left:6536;top:3582;width:706;height:3033" coordorigin="6536,3582" coordsize="706,3033" path="m7241,3582l6536,6614e" filled="false" stroked="true" strokeweight="1.452pt" strokecolor="#9c8758">
                <v:path arrowok="t"/>
              </v:shape>
            </v:group>
            <v:group style="position:absolute;left:7705;top:5072;width:2616;height:1917" coordorigin="7705,5072" coordsize="2616,1917">
              <v:shape style="position:absolute;left:7705;top:5072;width:2616;height:1917" coordorigin="7705,5072" coordsize="2616,1917" path="m10320,5072l7705,6988e" filled="false" stroked="true" strokeweight=".484pt" strokecolor="#8c8f90">
                <v:path arrowok="t"/>
              </v:shape>
            </v:group>
            <v:group style="position:absolute;left:7881;top:5434;width:2815;height:1665" coordorigin="7881,5434" coordsize="2815,1665">
              <v:shape style="position:absolute;left:7881;top:5434;width:2815;height:1665" coordorigin="7881,5434" coordsize="2815,1665" path="m10696,5434l7881,7099e" filled="false" stroked="true" strokeweight=".484pt" strokecolor="#8c8f90">
                <v:path arrowok="t"/>
              </v:shape>
            </v:group>
            <v:group style="position:absolute;left:8033;top:5774;width:2959;height:1433" coordorigin="8033,5774" coordsize="2959,1433">
              <v:shape style="position:absolute;left:8033;top:5774;width:2959;height:1433" coordorigin="8033,5774" coordsize="2959,1433" path="m10991,5774l8033,7206e" filled="false" stroked="true" strokeweight=".242pt" strokecolor="#9c8758">
                <v:path arrowok="t"/>
              </v:shape>
            </v:group>
            <v:group style="position:absolute;left:7772;top:5212;width:2696;height:1819" coordorigin="7772,5212" coordsize="2696,1819">
              <v:shape style="position:absolute;left:7772;top:5212;width:2696;height:1819" coordorigin="7772,5212" coordsize="2696,1819" path="m10467,5212l7772,7031e" filled="false" stroked="true" strokeweight=".968pt" strokecolor="#9c8758">
                <v:path arrowok="t"/>
              </v:shape>
            </v:group>
            <v:group style="position:absolute;left:7576;top:4827;width:2462;height:2094" coordorigin="7576,4827" coordsize="2462,2094">
              <v:shape style="position:absolute;left:7576;top:4827;width:2462;height:2094" coordorigin="7576,4827" coordsize="2462,2094" path="m10037,4827l7576,6920e" filled="false" stroked="true" strokeweight="1.452pt" strokecolor="#8c8f90">
                <v:path arrowok="t"/>
              </v:shape>
            </v:group>
            <v:group style="position:absolute;left:7467;top:4635;width:2314;height:2232" coordorigin="7467,4635" coordsize="2314,2232">
              <v:shape style="position:absolute;left:7467;top:4635;width:2314;height:2232" coordorigin="7467,4635" coordsize="2314,2232" path="m9780,4635l7467,6867e" filled="false" stroked="true" strokeweight="1.452pt" strokecolor="#9c8758">
                <v:path arrowok="t"/>
              </v:shape>
            </v:group>
            <v:group style="position:absolute;left:8632;top:7707;width:519;height:69" coordorigin="8632,7707" coordsize="519,69">
              <v:shape style="position:absolute;left:8632;top:7707;width:519;height:69" coordorigin="8632,7707" coordsize="519,69" path="m9150,7707l8632,7776e" filled="false" stroked="true" strokeweight=".968pt" strokecolor="#8c8f90">
                <v:path arrowok="t"/>
              </v:shape>
            </v:group>
            <v:group style="position:absolute;left:11113;top:7344;width:793;height:105" coordorigin="11113,7344" coordsize="793,105">
              <v:shape style="position:absolute;left:11113;top:7344;width:793;height:105" coordorigin="11113,7344" coordsize="793,105" path="m11906,7344l11113,7448e" filled="false" stroked="true" strokeweight=".968pt" strokecolor="#8c8f90">
                <v:path arrowok="t"/>
              </v:shape>
            </v:group>
            <v:group style="position:absolute;left:8768;top:7868;width:3138;height:92" coordorigin="8768,7868" coordsize="3138,92">
              <v:shape style="position:absolute;left:8768;top:7868;width:3138;height:92" coordorigin="8768,7868" coordsize="3138,92" path="m11906,7868l8768,7960e" filled="false" stroked="true" strokeweight="1.452pt" strokecolor="#8c8f90">
                <v:path arrowok="t"/>
              </v:shape>
            </v:group>
            <v:group style="position:absolute;left:10600;top:6931;width:1146;height:241" coordorigin="10600,6931" coordsize="1146,241">
              <v:shape style="position:absolute;left:10600;top:6931;width:1146;height:241" coordorigin="10600,6931" coordsize="1146,241" path="m11746,6931l10600,7172e" filled="false" stroked="true" strokeweight="1.452pt" strokecolor="#9c8758">
                <v:path arrowok="t"/>
              </v:shape>
            </v:group>
            <v:group style="position:absolute;left:6528;top:3606;width:804;height:3009" coordorigin="6528,3606" coordsize="804,3009">
              <v:shape style="position:absolute;left:6528;top:3606;width:804;height:3009" coordorigin="6528,3606" coordsize="804,3009" path="m7331,3606l6528,6614e" filled="false" stroked="true" strokeweight=".968pt" strokecolor="#9c8758">
                <v:path arrowok="t"/>
              </v:shape>
            </v:group>
            <v:group style="position:absolute;left:6745;top:3726;width:1107;height:2914" coordorigin="6745,3726" coordsize="1107,2914">
              <v:shape style="position:absolute;left:6745;top:3726;width:1107;height:2914" coordorigin="6745,3726" coordsize="1107,2914" path="m7851,3726l6745,6639e" filled="false" stroked="true" strokeweight="1.452pt" strokecolor="#9c8758">
                <v:path arrowok="t"/>
              </v:shape>
            </v:group>
            <v:group style="position:absolute;left:6493;top:3569;width:620;height:3046" coordorigin="6493,3569" coordsize="620,3046">
              <v:shape style="position:absolute;left:6493;top:3569;width:620;height:3046" coordorigin="6493,3569" coordsize="620,3046" path="m7112,3569l6493,6614e" filled="false" stroked="true" strokeweight=".968pt" strokecolor="#9c8758">
                <v:path arrowok="t"/>
              </v:shape>
            </v:group>
            <v:group style="position:absolute;left:6648;top:3652;width:931;height:2981" coordorigin="6648,3652" coordsize="931,2981">
              <v:shape style="position:absolute;left:6648;top:3652;width:931;height:2981" coordorigin="6648,3652" coordsize="931,2981" path="m7579,3652l6648,6633e" filled="false" stroked="true" strokeweight="1.452pt" strokecolor="#8c8f90">
                <v:path arrowok="t"/>
              </v:shape>
            </v:group>
            <v:group style="position:absolute;left:7408;top:4544;width:2233;height:2301" coordorigin="7408,4544" coordsize="2233,2301">
              <v:shape style="position:absolute;left:7408;top:4544;width:2233;height:2301" coordorigin="7408,4544" coordsize="2233,2301" path="m7408,6844l9641,4544e" filled="false" stroked="true" strokeweight=".484pt" strokecolor="#9c8758">
                <v:path arrowok="t"/>
              </v:shape>
            </v:group>
            <v:group style="position:absolute;left:7451;top:4691;width:2407;height:2171" coordorigin="7451,4691" coordsize="2407,2171">
              <v:shape style="position:absolute;left:7451;top:4691;width:2407;height:2171" coordorigin="7451,4691" coordsize="2407,2171" path="m7451,6862l9857,4691e" filled="false" stroked="true" strokeweight=".242pt" strokecolor="#8c8f90">
                <v:path arrowok="t"/>
              </v:shape>
            </v:group>
            <v:group style="position:absolute;left:7686;top:5034;width:2590;height:1943" coordorigin="7686,5034" coordsize="2590,1943">
              <v:shape style="position:absolute;left:7686;top:5034;width:2590;height:1943" coordorigin="7686,5034" coordsize="2590,1943" path="m7686,6976l10276,5034e" filled="false" stroked="true" strokeweight=".242pt" strokecolor="#9c8758">
                <v:path arrowok="t"/>
              </v:shape>
            </v:group>
            <v:group style="position:absolute;left:8759;top:7762;width:3147;height:186" coordorigin="8759,7762" coordsize="3147,186">
              <v:shape style="position:absolute;left:8759;top:7762;width:3147;height:186" coordorigin="8759,7762" coordsize="3147,186" path="m11905,7762l8759,7947e" filled="false" stroked="true" strokeweight=".968pt" strokecolor="#8c8f90">
                <v:path arrowok="t"/>
              </v:shape>
            </v:group>
            <v:group style="position:absolute;left:8093;top:5998;width:3085;height:1251" coordorigin="8093,5998" coordsize="3085,1251">
              <v:shape style="position:absolute;left:8093;top:5998;width:3085;height:1251" coordorigin="8093,5998" coordsize="3085,1251" path="m11177,5998l8093,7248e" filled="false" stroked="true" strokeweight=".968pt" strokecolor="#8c8f90">
                <v:path arrowok="t"/>
              </v:shape>
            </v:group>
            <v:group style="position:absolute;left:8359;top:6542;width:3178;height:925" coordorigin="8359,6542" coordsize="3178,925">
              <v:shape style="position:absolute;left:8359;top:6542;width:3178;height:925" coordorigin="8359,6542" coordsize="3178,925" path="m11537,6542l8359,7467e" filled="false" stroked="true" strokeweight="1.452pt" strokecolor="#8c8f90">
                <v:path arrowok="t"/>
              </v:shape>
            </v:group>
            <v:group style="position:absolute;left:8400;top:6662;width:3201;height:850" coordorigin="8400,6662" coordsize="3201,850">
              <v:shape style="position:absolute;left:8400;top:6662;width:3201;height:850" coordorigin="8400,6662" coordsize="3201,850" path="m11600,6662l8400,7512e" filled="false" stroked="true" strokeweight=".968pt" strokecolor="#8c8f90">
                <v:path arrowok="t"/>
              </v:shape>
            </v:group>
            <v:group style="position:absolute;left:8581;top:7196;width:3288;height:523" coordorigin="8581,7196" coordsize="3288,523">
              <v:shape style="position:absolute;left:8581;top:7196;width:3288;height:523" coordorigin="8581,7196" coordsize="3288,523" path="m11869,7196l8581,7718e" filled="false" stroked="true" strokeweight="1.452pt" strokecolor="#8c8f90">
                <v:path arrowok="t"/>
              </v:shape>
            </v:group>
            <v:group style="position:absolute;left:8737;top:7686;width:3169;height:229" coordorigin="8737,7686" coordsize="3169,229">
              <v:shape style="position:absolute;left:8737;top:7686;width:3169;height:229" coordorigin="8737,7686" coordsize="3169,229" path="m11906,7686l8737,7915e" filled="false" stroked="true" strokeweight="1.452pt" strokecolor="#9c8758">
                <v:path arrowok="t"/>
              </v:shape>
            </v:group>
            <v:group style="position:absolute;left:8281;top:6366;width:3143;height:1041" coordorigin="8281,6366" coordsize="3143,1041">
              <v:shape style="position:absolute;left:8281;top:6366;width:3143;height:1041" coordorigin="8281,6366" coordsize="3143,1041" path="m11423,6366l8281,7406e" filled="false" stroked="true" strokeweight=".968pt" strokecolor="#8c8f90">
                <v:path arrowok="t"/>
              </v:shape>
            </v:group>
            <v:group style="position:absolute;left:7666;top:4992;width:2562;height:1972" coordorigin="7666,4992" coordsize="2562,1972">
              <v:shape style="position:absolute;left:7666;top:4992;width:2562;height:1972" coordorigin="7666,4992" coordsize="2562,1972" path="m10227,4992l7666,6963e" filled="false" stroked="true" strokeweight=".968pt" strokecolor="#9c8758">
                <v:path arrowok="t"/>
              </v:shape>
            </v:group>
            <v:group style="position:absolute;left:7860;top:5393;width:2802;height:1696" coordorigin="7860,5393" coordsize="2802,1696">
              <v:shape style="position:absolute;left:7860;top:5393;width:2802;height:1696" coordorigin="7860,5393" coordsize="2802,1696" path="m10661,5393l7860,7089e" filled="false" stroked="true" strokeweight="1.452pt" strokecolor="#9c8758">
                <v:path arrowok="t"/>
              </v:shape>
            </v:group>
            <v:group style="position:absolute;left:6713;top:3701;width:1046;height:2934" coordorigin="6713,3701" coordsize="1046,2934">
              <v:shape style="position:absolute;left:6713;top:3701;width:1046;height:2934" coordorigin="6713,3701" coordsize="1046,2934" path="m7758,3701l6713,6634e" filled="false" stroked="true" strokeweight=".484pt" strokecolor="#8c8f90">
                <v:path arrowok="t"/>
              </v:shape>
            </v:group>
            <v:group style="position:absolute;left:6811;top:3779;width:1238;height:2879" coordorigin="6811,3779" coordsize="1238,2879">
              <v:shape style="position:absolute;left:6811;top:3779;width:1238;height:2879" coordorigin="6811,3779" coordsize="1238,2879" path="m8048,3779l6811,6657e" filled="false" stroked="true" strokeweight=".484pt" strokecolor="#9c8758">
                <v:path arrowok="t"/>
              </v:shape>
            </v:group>
            <v:group style="position:absolute;left:5741;top:3494;width:279;height:3100" coordorigin="5741,3494" coordsize="279,3100">
              <v:shape style="position:absolute;left:5741;top:3494;width:279;height:3100" coordorigin="5741,3494" coordsize="279,3100" path="m5741,3494l6019,6594e" filled="false" stroked="true" strokeweight=".968pt" strokecolor="#8c8f90">
                <v:path arrowok="t"/>
              </v:shape>
            </v:group>
            <v:group style="position:absolute;left:4262;top:3494;width:1299;height:3100" coordorigin="4262,3494" coordsize="1299,3100">
              <v:shape style="position:absolute;left:4262;top:3494;width:1299;height:3100" coordorigin="4262,3494" coordsize="1299,3100" path="m4262,3494l5561,6594e" filled="false" stroked="true" strokeweight=".968pt" strokecolor="#8c8f90">
                <v:path arrowok="t"/>
              </v:shape>
            </v:group>
            <v:group style="position:absolute;left:4793;top:3494;width:942;height:3100" coordorigin="4793,3494" coordsize="942,3100">
              <v:shape style="position:absolute;left:4793;top:3494;width:942;height:3100" coordorigin="4793,3494" coordsize="942,3100" path="m4793,3494l5734,6594e" filled="false" stroked="true" strokeweight="1.452pt" strokecolor="#9c8758">
                <v:path arrowok="t"/>
              </v:shape>
            </v:group>
            <v:group style="position:absolute;left:851;top:6189;width:1135;height:406" coordorigin="851,6189" coordsize="1135,406">
              <v:shape style="position:absolute;left:851;top:6189;width:1135;height:406" coordorigin="851,6189" coordsize="1135,406" path="m1986,6594l851,6189e" filled="false" stroked="true" strokeweight=".484pt" strokecolor="#9c8758">
                <v:path arrowok="t"/>
              </v:shape>
            </v:group>
            <v:group style="position:absolute;left:861;top:6062;width:1394;height:533" coordorigin="861,6062" coordsize="1394,533">
              <v:shape style="position:absolute;left:861;top:6062;width:1394;height:533" coordorigin="861,6062" coordsize="1394,533" path="m2255,6594l861,6062e" filled="false" stroked="true" strokeweight=".484pt" strokecolor="#8c8f90">
                <v:path arrowok="t"/>
              </v:shape>
            </v:group>
            <v:group style="position:absolute;left:945;top:4996;width:2704;height:1599" coordorigin="945,4996" coordsize="2704,1599">
              <v:shape style="position:absolute;left:945;top:4996;width:2704;height:1599" coordorigin="945,4996" coordsize="2704,1599" path="m3648,6594l945,4996e" filled="false" stroked="true" strokeweight=".242pt" strokecolor="#8c8f90">
                <v:path arrowok="t"/>
              </v:shape>
            </v:group>
            <v:group style="position:absolute;left:1162;top:6492;width:323;height:103" coordorigin="1162,6492" coordsize="323,103">
              <v:shape style="position:absolute;left:1162;top:6492;width:323;height:103" coordorigin="1162,6492" coordsize="323,103" path="m1484,6594l1162,6492e" filled="false" stroked="true" strokeweight="1.452pt" strokecolor="#8c8f90">
                <v:path arrowok="t"/>
              </v:shape>
            </v:group>
            <v:group style="position:absolute;left:834;top:6418;width:580;height:177" coordorigin="834,6418" coordsize="580,177">
              <v:shape style="position:absolute;left:834;top:6418;width:580;height:177" coordorigin="834,6418" coordsize="580,177" path="m1413,6594l834,6418e" filled="false" stroked="true" strokeweight=".484pt" strokecolor="#9c8758">
                <v:path arrowok="t"/>
              </v:shape>
            </v:group>
            <v:group style="position:absolute;left:3711;top:2179;width:510;height:1218" coordorigin="3711,2179" coordsize="510,1218">
              <v:shape style="position:absolute;left:3711;top:2179;width:510;height:1218" coordorigin="3711,2179" coordsize="510,1218" path="m3711,2179l4221,3396e" filled="false" stroked="true" strokeweight=".968pt" strokecolor="#8c8f90">
                <v:path arrowok="t"/>
              </v:shape>
            </v:group>
            <v:group style="position:absolute;left:2804;top:14;width:681;height:1626" coordorigin="2804,14" coordsize="681,1626">
              <v:shape style="position:absolute;left:2804;top:14;width:681;height:1626" coordorigin="2804,14" coordsize="681,1626" path="m2804,14l3485,1640e" filled="false" stroked="true" strokeweight=".968pt" strokecolor="#8c8f90">
                <v:path arrowok="t"/>
              </v:shape>
            </v:group>
            <v:group style="position:absolute;left:3737;top:14;width:600;height:1974" coordorigin="3737,14" coordsize="600,1974">
              <v:shape style="position:absolute;left:3737;top:14;width:600;height:1974" coordorigin="3737,14" coordsize="600,1974" path="m3737,14l4336,1988e" filled="false" stroked="true" strokeweight="1.452pt" strokecolor="#9c8758">
                <v:path arrowok="t"/>
              </v:shape>
            </v:group>
            <v:group style="position:absolute;left:2835;top:1272;width:2617;height:5323" coordorigin="2835,1272" coordsize="2617,5323">
              <v:shape style="position:absolute;left:2835;top:1272;width:2617;height:5323" coordorigin="2835,1272" coordsize="2617,5323" path="m2835,1272l5452,6594e" filled="false" stroked="true" strokeweight=".968pt" strokecolor="#8c8f90">
                <v:path arrowok="t"/>
              </v:shape>
            </v:group>
            <v:group style="position:absolute;left:2217;top:14;width:334;height:680" coordorigin="2217,14" coordsize="334,680">
              <v:shape style="position:absolute;left:2217;top:14;width:334;height:680" coordorigin="2217,14" coordsize="334,680" path="m2217,14l2551,694e" filled="false" stroked="true" strokeweight=".968pt" strokecolor="#9c8758">
                <v:path arrowok="t"/>
              </v:shape>
            </v:group>
            <v:group style="position:absolute;left:5466;top:15;width:72;height:800" coordorigin="5466,15" coordsize="72,800">
              <v:shape style="position:absolute;left:5466;top:15;width:72;height:800" coordorigin="5466,15" coordsize="72,800" path="m5466,15l5537,814e" filled="false" stroked="true" strokeweight=".968pt" strokecolor="#8c8f90">
                <v:path arrowok="t"/>
              </v:shape>
            </v:group>
            <v:group style="position:absolute;left:1877;top:14;width:3512;height:6580" coordorigin="1877,14" coordsize="3512,6580">
              <v:shape style="position:absolute;left:1877;top:14;width:3512;height:6580" coordorigin="1877,14" coordsize="3512,6580" path="m1877,14l5388,6594e" filled="false" stroked="true" strokeweight=".968pt" strokecolor="#8c8f90">
                <v:path arrowok="t"/>
              </v:shape>
            </v:group>
            <v:group style="position:absolute;left:1613;top:14;width:3727;height:6580" coordorigin="1613,14" coordsize="3727,6580">
              <v:shape style="position:absolute;left:1613;top:14;width:3727;height:6580" coordorigin="1613,14" coordsize="3727,6580" path="m1613,14l5339,6594e" filled="false" stroked="true" strokeweight=".968pt" strokecolor="#9c8758">
                <v:path arrowok="t"/>
              </v:shape>
            </v:group>
            <v:group style="position:absolute;left:3195;top:14;width:1068;height:2880" coordorigin="3195,14" coordsize="1068,2880">
              <v:shape style="position:absolute;left:3195;top:14;width:1068;height:2880" coordorigin="3195,14" coordsize="1068,2880" path="m3195,14l4262,2894e" filled="false" stroked="true" strokeweight="1.452pt" strokecolor="#9c8758">
                <v:path arrowok="t"/>
              </v:shape>
            </v:group>
            <v:group style="position:absolute;left:4485;top:3494;width:1149;height:3100" coordorigin="4485,3494" coordsize="1149,3100">
              <v:shape style="position:absolute;left:4485;top:3494;width:1149;height:3100" coordorigin="4485,3494" coordsize="1149,3100" path="m4485,3494l5634,6594e" filled="false" stroked="true" strokeweight="1.452pt" strokecolor="#9c8758">
                <v:path arrowok="t"/>
              </v:shape>
            </v:group>
            <v:group style="position:absolute;left:1103;top:2970;width:3610;height:3625" coordorigin="1103,2970" coordsize="3610,3625">
              <v:shape style="position:absolute;left:1103;top:2970;width:3610;height:3625" coordorigin="1103,2970" coordsize="3610,3625" path="m1103,2970l4713,6594e" filled="false" stroked="true" strokeweight=".484pt" strokecolor="#8c8f90">
                <v:path arrowok="t"/>
              </v:shape>
            </v:group>
            <v:group style="position:absolute;left:4000;top:6153;width:497;height:442" coordorigin="4000,6153" coordsize="497,442">
              <v:shape style="position:absolute;left:4000;top:6153;width:497;height:442" coordorigin="4000,6153" coordsize="497,442" path="m4000,6153l4497,6594e" filled="false" stroked="true" strokeweight="1.452pt" strokecolor="#8c8f90">
                <v:path arrowok="t"/>
              </v:shape>
            </v:group>
            <v:group style="position:absolute;left:1058;top:3541;width:2119;height:1881" coordorigin="1058,3541" coordsize="2119,1881">
              <v:shape style="position:absolute;left:1058;top:3541;width:2119;height:1881" coordorigin="1058,3541" coordsize="2119,1881" path="m1058,3541l3176,5422e" filled="false" stroked="true" strokeweight="1.452pt" strokecolor="#8c8f90">
                <v:path arrowok="t"/>
              </v:shape>
            </v:group>
            <v:group style="position:absolute;left:3410;top:14;width:879;height:2554" coordorigin="3410,14" coordsize="879,2554">
              <v:shape style="position:absolute;left:3410;top:14;width:879;height:2554" coordorigin="3410,14" coordsize="879,2554" path="m3410,14l4289,2568e" filled="false" stroked="true" strokeweight=".968pt" strokecolor="#9c8758">
                <v:path arrowok="t"/>
              </v:shape>
            </v:group>
            <v:group style="position:absolute;left:4607;top:3494;width:1067;height:3100" coordorigin="4607,3494" coordsize="1067,3100">
              <v:shape style="position:absolute;left:4607;top:3494;width:1067;height:3100" coordorigin="4607,3494" coordsize="1067,3100" path="m4607,3494l5674,6594e" filled="false" stroked="true" strokeweight=".968pt" strokecolor="#9c8758">
                <v:path arrowok="t"/>
              </v:shape>
            </v:group>
            <v:group style="position:absolute;left:1215;top:1537;width:3836;height:5058" coordorigin="1215,1537" coordsize="3836,5058">
              <v:shape style="position:absolute;left:1215;top:1537;width:3836;height:5058" coordorigin="1215,1537" coordsize="3836,5058" path="m1215,1537l5051,6594e" filled="false" stroked="true" strokeweight=".968pt" strokecolor="#8c8f90">
                <v:path arrowok="t"/>
              </v:shape>
            </v:group>
            <v:group style="position:absolute;left:2770;top:2589;width:2488;height:4006" coordorigin="2770,2589" coordsize="2488,4006">
              <v:shape style="position:absolute;left:2770;top:2589;width:2488;height:4006" coordorigin="2770,2589" coordsize="2488,4006" path="m2770,2589l5257,6594e" filled="false" stroked="true" strokeweight="1.452pt" strokecolor="#8c8f90">
                <v:path arrowok="t"/>
              </v:shape>
            </v:group>
            <v:group style="position:absolute;left:1316;top:246;width:1206;height:1942" coordorigin="1316,246" coordsize="1206,1942">
              <v:shape style="position:absolute;left:1316;top:246;width:1206;height:1942" coordorigin="1316,246" coordsize="1206,1942" path="m1316,246l2521,2188e" filled="false" stroked="true" strokeweight="1.452pt" strokecolor="#8c8f90">
                <v:path arrowok="t"/>
              </v:shape>
            </v:group>
            <v:group style="position:absolute;left:1153;top:2329;width:2314;height:2650" coordorigin="1153,2329" coordsize="2314,2650">
              <v:shape style="position:absolute;left:1153;top:2329;width:2314;height:2650" coordorigin="1153,2329" coordsize="2314,2650" path="m1153,2329l3467,4979e" filled="false" stroked="true" strokeweight=".968pt" strokecolor="#9c8758">
                <v:path arrowok="t"/>
              </v:shape>
            </v:group>
            <v:group style="position:absolute;left:4051;top:5074;width:1076;height:1521" coordorigin="4051,5074" coordsize="1076,1521">
              <v:shape style="position:absolute;left:4051;top:5074;width:1076;height:1521" coordorigin="4051,5074" coordsize="1076,1521" path="m4051,5074l5127,6594e" filled="false" stroked="true" strokeweight="1.452pt" strokecolor="#8c8f90">
                <v:path arrowok="t"/>
              </v:shape>
            </v:group>
            <v:group style="position:absolute;left:2175;top:2424;width:762;height:1076" coordorigin="2175,2424" coordsize="762,1076">
              <v:shape style="position:absolute;left:2175;top:2424;width:762;height:1076" coordorigin="2175,2424" coordsize="762,1076" path="m2175,2424l2937,3500e" filled="false" stroked="true" strokeweight="1.452pt" strokecolor="#9c8758">
                <v:path arrowok="t"/>
              </v:shape>
            </v:group>
            <v:group style="position:absolute;left:1248;top:1113;width:649;height:917" coordorigin="1248,1113" coordsize="649,917">
              <v:shape style="position:absolute;left:1248;top:1113;width:649;height:917" coordorigin="1248,1113" coordsize="649,917" path="m1248,1113l1665,1703,1896,2030e" filled="false" stroked="true" strokeweight="1.452pt" strokecolor="#9c8758">
                <v:path arrowok="t"/>
              </v:shape>
            </v:group>
            <v:group style="position:absolute;left:941;top:5046;width:2664;height:1549" coordorigin="941,5046" coordsize="2664,1549">
              <v:shape style="position:absolute;left:941;top:5046;width:2664;height:1549" coordorigin="941,5046" coordsize="2664,1549" path="m941,5046l3604,6594e" filled="false" stroked="true" strokeweight=".968pt" strokecolor="#8c8f90">
                <v:path arrowok="t"/>
              </v:shape>
            </v:group>
            <v:group style="position:absolute;left:1878;top:4963;width:2245;height:1632" coordorigin="1878,4963" coordsize="2245,1632">
              <v:shape style="position:absolute;left:1878;top:4963;width:2245;height:1632" coordorigin="1878,4963" coordsize="2245,1632" path="m1878,4963l4122,6594e" filled="false" stroked="true" strokeweight="1.452pt" strokecolor="#8c8f90">
                <v:path arrowok="t"/>
              </v:shape>
            </v:group>
            <v:group style="position:absolute;left:997;top:4323;width:223;height:163" coordorigin="997,4323" coordsize="223,163">
              <v:shape style="position:absolute;left:997;top:4323;width:223;height:163" coordorigin="997,4323" coordsize="223,163" path="m997,4323l1220,4485e" filled="false" stroked="true" strokeweight="1.452pt" strokecolor="#8c8f90">
                <v:path arrowok="t"/>
              </v:shape>
            </v:group>
            <v:group style="position:absolute;left:4373;top:3494;width:1213;height:3100" coordorigin="4373,3494" coordsize="1213,3100">
              <v:shape style="position:absolute;left:4373;top:3494;width:1213;height:3100" coordorigin="4373,3494" coordsize="1213,3100" path="m5585,6594l4373,3494e" filled="false" stroked="true" strokeweight=".484pt" strokecolor="#9c8758">
                <v:path arrowok="t"/>
              </v:shape>
            </v:group>
            <v:group style="position:absolute;left:3012;top:14;width:1229;height:3142" coordorigin="3012,14" coordsize="1229,3142">
              <v:shape style="position:absolute;left:3012;top:14;width:1229;height:3142" coordorigin="3012,14" coordsize="1229,3142" path="m4241,3156l3012,14e" filled="false" stroked="true" strokeweight=".484pt" strokecolor="#9c8758">
                <v:path arrowok="t"/>
              </v:shape>
            </v:group>
            <v:group style="position:absolute;left:2464;top:14;width:3034;height:6580" coordorigin="2464,14" coordsize="3034,6580">
              <v:shape style="position:absolute;left:2464;top:14;width:3034;height:6580" coordorigin="2464,14" coordsize="3034,6580" path="m5498,6594l2464,14e" filled="false" stroked="true" strokeweight=".484pt" strokecolor="#9c8758">
                <v:path arrowok="t"/>
              </v:shape>
            </v:group>
            <v:group style="position:absolute;left:4992;top:3494;width:808;height:3100" coordorigin="4992,3494" coordsize="808,3100">
              <v:shape style="position:absolute;left:4992;top:3494;width:808;height:3100" coordorigin="4992,3494" coordsize="808,3100" path="m5799,6594l4992,3494e" filled="false" stroked="true" strokeweight=".242pt" strokecolor="#8c8f90">
                <v:path arrowok="t"/>
              </v:shape>
            </v:group>
            <v:group style="position:absolute;left:4086;top:14;width:314;height:1203" coordorigin="4086,14" coordsize="314,1203">
              <v:shape style="position:absolute;left:4086;top:14;width:314;height:1203" coordorigin="4086,14" coordsize="314,1203" path="m4399,1217l4086,14e" filled="false" stroked="true" strokeweight=".242pt" strokecolor="#8c8f90">
                <v:path arrowok="t"/>
              </v:shape>
            </v:group>
            <v:group style="position:absolute;left:5345;top:3494;width:570;height:3100" coordorigin="5345,3494" coordsize="570,3100">
              <v:shape style="position:absolute;left:5345;top:3494;width:570;height:3100" coordorigin="5345,3494" coordsize="570,3100" path="m5915,6594l5345,3494e" filled="false" stroked="true" strokeweight=".242pt" strokecolor="#8c8f90">
                <v:path arrowok="t"/>
              </v:shape>
            </v:group>
            <v:group style="position:absolute;left:4705;top:14;width:148;height:800" coordorigin="4705,14" coordsize="148,800">
              <v:shape style="position:absolute;left:4705;top:14;width:148;height:800" coordorigin="4705,14" coordsize="148,800" path="m4852,814l4705,14e" filled="false" stroked="true" strokeweight=".242pt" strokecolor="#8c8f90">
                <v:path arrowok="t"/>
              </v:shape>
            </v:group>
            <v:group style="position:absolute;left:5280;top:3494;width:614;height:3100" coordorigin="5280,3494" coordsize="614,3100">
              <v:shape style="position:absolute;left:5280;top:3494;width:614;height:3100" coordorigin="5280,3494" coordsize="614,3100" path="m5280,3494l5893,6594e" filled="false" stroked="true" strokeweight=".968pt" strokecolor="#9c8758">
                <v:path arrowok="t"/>
              </v:shape>
            </v:group>
            <v:group style="position:absolute;left:4591;top:14;width:159;height:800" coordorigin="4591,14" coordsize="159,800">
              <v:shape style="position:absolute;left:4591;top:14;width:159;height:800" coordorigin="4591,14" coordsize="159,800" path="m4591,14l4749,814e" filled="false" stroked="true" strokeweight=".968pt" strokecolor="#8c8f90">
                <v:path arrowok="t"/>
              </v:shape>
            </v:group>
            <v:group style="position:absolute;left:5948;top:4763;width:134;height:1832" coordorigin="5948,4763" coordsize="134,1832">
              <v:shape style="position:absolute;left:5948;top:4763;width:134;height:1832" coordorigin="5948,4763" coordsize="134,1832" path="m5948,4763l6082,6594e" filled="false" stroked="true" strokeweight="1.452pt" strokecolor="#8c8f90">
                <v:path arrowok="t"/>
              </v:shape>
            </v:group>
            <v:group style="position:absolute;left:5603;top:14;width:47;height:645" coordorigin="5603,14" coordsize="47,645">
              <v:shape style="position:absolute;left:5603;top:14;width:47;height:645" coordorigin="5603,14" coordsize="47,645" path="m5603,14l5650,659e" filled="false" stroked="true" strokeweight="1.452pt" strokecolor="#9c8758">
                <v:path arrowok="t"/>
              </v:shape>
            </v:group>
            <v:group style="position:absolute;left:5169;top:14;width:102;height:800" coordorigin="5169,14" coordsize="102,800">
              <v:shape style="position:absolute;left:5169;top:14;width:102;height:800" coordorigin="5169,14" coordsize="102,800" path="m5169,14l5270,814e" filled="false" stroked="true" strokeweight=".968pt" strokecolor="#9c8758">
                <v:path arrowok="t"/>
              </v:shape>
            </v:group>
            <v:group style="position:absolute;left:5609;top:3494;width:392;height:3100" coordorigin="5609,3494" coordsize="392,3100">
              <v:shape style="position:absolute;left:5609;top:3494;width:392;height:3100" coordorigin="5609,3494" coordsize="392,3100" path="m5609,3494l6001,6594e" filled="false" stroked="true" strokeweight=".968pt" strokecolor="#9c8758">
                <v:path arrowok="t"/>
              </v:shape>
            </v:group>
            <v:group style="position:absolute;left:4350;top:14;width:183;height:800" coordorigin="4350,14" coordsize="183,800">
              <v:shape style="position:absolute;left:4350;top:14;width:183;height:800" coordorigin="4350,14" coordsize="183,800" path="m4350,14l4533,814e" filled="false" stroked="true" strokeweight=".968pt" strokecolor="#9c8758">
                <v:path arrowok="t"/>
              </v:shape>
            </v:group>
            <v:group style="position:absolute;left:5143;top:3494;width:706;height:3100" coordorigin="5143,3494" coordsize="706,3100">
              <v:shape style="position:absolute;left:5143;top:3494;width:706;height:3100" coordorigin="5143,3494" coordsize="706,3100" path="m5143,3494l5849,6594e" filled="false" stroked="true" strokeweight=".968pt" strokecolor="#9c8758">
                <v:path arrowok="t"/>
              </v:shape>
            </v:group>
            <v:group style="position:absolute;left:6000;top:70;width:18;height:745" coordorigin="6000,70" coordsize="18,745">
              <v:shape style="position:absolute;left:6000;top:70;width:18;height:745" coordorigin="6000,70" coordsize="18,745" path="m6000,70l6018,814e" filled="false" stroked="true" strokeweight="1.452pt" strokecolor="#9c8758">
                <v:path arrowok="t"/>
              </v:shape>
            </v:group>
            <v:group style="position:absolute;left:6082;top:3494;width:74;height:3100" coordorigin="6082,3494" coordsize="74,3100">
              <v:shape style="position:absolute;left:6082;top:3494;width:74;height:3100" coordorigin="6082,3494" coordsize="74,3100" path="m6082,3494l6155,6594e" filled="false" stroked="true" strokeweight="1.452pt" strokecolor="#9c8758">
                <v:path arrowok="t"/>
              </v:shape>
            </v:group>
            <v:group style="position:absolute;left:4105;top:624;width:265;height:949" coordorigin="4105,624" coordsize="265,949">
              <v:shape style="position:absolute;left:4105;top:624;width:265;height:949" coordorigin="4105,624" coordsize="265,949" path="m4105,624l4370,1573e" filled="false" stroked="true" strokeweight=".968pt" strokecolor="#9c8758">
                <v:path arrowok="t"/>
              </v:shape>
            </v:group>
            <v:group style="position:absolute;left:4906;top:3494;width:866;height:3100" coordorigin="4906,3494" coordsize="866,3100">
              <v:shape style="position:absolute;left:4906;top:3494;width:866;height:3100" coordorigin="4906,3494" coordsize="866,3100" path="m4906,3494l5771,6594e" filled="false" stroked="true" strokeweight=".968pt" strokecolor="#9c8758">
                <v:path arrowok="t"/>
              </v:shape>
            </v:group>
            <v:group style="position:absolute;left:3935;top:14;width:16;height:57" coordorigin="3935,14" coordsize="16,57">
              <v:shape style="position:absolute;left:3935;top:14;width:16;height:57" coordorigin="3935,14" coordsize="16,57" path="m3935,14l3951,71e" filled="false" stroked="true" strokeweight=".968pt" strokecolor="#8c8f90">
                <v:path arrowok="t"/>
              </v:shape>
            </v:group>
            <v:group style="position:absolute;left:6191;top:3494;width:2;height:3100" coordorigin="6191,3494" coordsize="2,3100">
              <v:shape style="position:absolute;left:6191;top:3494;width:2;height:3100" coordorigin="6191,3494" coordsize="1,3100" path="m6191,3494l6191,6594e" filled="false" stroked="true" strokeweight=".968pt" strokecolor="#8c8f90">
                <v:path arrowok="t"/>
              </v:shape>
            </v:group>
            <v:group style="position:absolute;left:6190;top:14;width:2;height:800" coordorigin="6190,14" coordsize="2,800">
              <v:shape style="position:absolute;left:6190;top:14;width:2;height:800" coordorigin="6190,14" coordsize="1,800" path="m6190,14l6190,814e" filled="false" stroked="true" strokeweight=".968pt" strokecolor="#8c8f90">
                <v:path arrowok="t"/>
              </v:shape>
            </v:group>
            <v:group style="position:absolute;left:6067;top:6053;width:33;height:542" coordorigin="6067,6053" coordsize="33,542">
              <v:shape style="position:absolute;left:6067;top:6053;width:33;height:542" coordorigin="6067,6053" coordsize="33,542" path="m6067,6053l6100,6594e" filled="false" stroked="true" strokeweight=".968pt" strokecolor="#8c8f90">
                <v:path arrowok="t"/>
              </v:shape>
            </v:group>
            <v:group style="position:absolute;left:5703;top:14;width:49;height:800" coordorigin="5703,14" coordsize="49,800">
              <v:shape style="position:absolute;left:5703;top:14;width:49;height:800" coordorigin="5703,14" coordsize="49,800" path="m5703,14l5751,814e" filled="false" stroked="true" strokeweight=".968pt" strokecolor="#8c8f90">
                <v:path arrowok="t"/>
              </v:shape>
            </v:group>
            <v:group style="position:absolute;left:5913;top:3494;width:53;height:870" coordorigin="5913,3494" coordsize="53,870">
              <v:shape style="position:absolute;left:5913;top:3494;width:53;height:870" coordorigin="5913,3494" coordsize="53,870" path="m5913,3494l5966,4364e" filled="false" stroked="true" strokeweight=".968pt" strokecolor="#8c8f90">
                <v:path arrowok="t"/>
              </v:shape>
            </v:group>
            <v:group style="position:absolute;left:3435;top:3407;width:1873;height:3188" coordorigin="3435,3407" coordsize="1873,3188">
              <v:shape style="position:absolute;left:3435;top:3407;width:1873;height:3188" coordorigin="3435,3407" coordsize="1873,3188" path="m3435,3407l5308,6594e" filled="false" stroked="true" strokeweight=".484pt" strokecolor="#9c8758">
                <v:path arrowok="t"/>
              </v:shape>
            </v:group>
            <v:group style="position:absolute;left:1442;top:14;width:1734;height:2952" coordorigin="1442,14" coordsize="1734,2952">
              <v:shape style="position:absolute;left:1442;top:14;width:1734;height:2952" coordorigin="1442,14" coordsize="1734,2952" path="m1442,14l3176,2966e" filled="false" stroked="true" strokeweight=".484pt" strokecolor="#9c8758">
                <v:path arrowok="t"/>
              </v:shape>
            </v:group>
            <v:group style="position:absolute;left:5421;top:3494;width:519;height:3100" coordorigin="5421,3494" coordsize="519,3100">
              <v:shape style="position:absolute;left:5421;top:3494;width:519;height:3100" coordorigin="5421,3494" coordsize="519,3100" path="m5421,3494l5939,6594e" filled="false" stroked="true" strokeweight="1.452pt" strokecolor="#9c8758">
                <v:path arrowok="t"/>
              </v:shape>
            </v:group>
            <v:group style="position:absolute;left:4839;top:14;width:64;height:380" coordorigin="4839,14" coordsize="64,380">
              <v:shape style="position:absolute;left:4839;top:14;width:64;height:380" coordorigin="4839,14" coordsize="64,380" path="m4839,14l4903,394e" filled="false" stroked="true" strokeweight="1.452pt" strokecolor="#9c8758">
                <v:path arrowok="t"/>
              </v:shape>
            </v:group>
            <v:group style="position:absolute;left:6263;top:3494;width:149;height:3100" coordorigin="6263,3494" coordsize="149,3100">
              <v:shape style="position:absolute;left:6263;top:3494;width:149;height:3100" coordorigin="6263,3494" coordsize="149,3100" path="m6412,3494l6263,6594e" filled="false" stroked="true" strokeweight=".242pt" strokecolor="#8c8f90">
                <v:path arrowok="t"/>
              </v:shape>
            </v:group>
            <v:group style="position:absolute;left:11213;top:135;width:473;height:679" coordorigin="11213,135" coordsize="473,679">
              <v:shape style="position:absolute;left:11213;top:135;width:473;height:679" coordorigin="11213,135" coordsize="473,679" path="m11686,135l11213,814e" filled="false" stroked="true" strokeweight=".242pt" strokecolor="#8c8f90">
                <v:path arrowok="t"/>
              </v:shape>
            </v:group>
            <v:group style="position:absolute;left:7091;top:4124;width:1820;height:2614" coordorigin="7091,4124" coordsize="1820,2614">
              <v:shape style="position:absolute;left:7091;top:4124;width:1820;height:2614" coordorigin="7091,4124" coordsize="1820,2614" path="m8910,4124l7091,6737e" filled="false" stroked="true" strokeweight=".242pt" strokecolor="#8c8f90">
                <v:path arrowok="t"/>
              </v:shape>
            </v:group>
            <v:group style="position:absolute;left:11019;top:14;width:531;height:800" coordorigin="11019,14" coordsize="531,800">
              <v:shape style="position:absolute;left:11019;top:14;width:531;height:800" coordorigin="11019,14" coordsize="531,800" path="m11550,14l11019,814e" filled="false" stroked="true" strokeweight=".968pt" strokecolor="#9c8758">
                <v:path arrowok="t"/>
              </v:shape>
            </v:group>
            <v:group style="position:absolute;left:7093;top:4095;width:1753;height:2644" coordorigin="7093,4095" coordsize="1753,2644">
              <v:shape style="position:absolute;left:7093;top:4095;width:1753;height:2644" coordorigin="7093,4095" coordsize="1753,2644" path="m8845,4095l7093,6738e" filled="false" stroked="true" strokeweight=".968pt" strokecolor="#9c8758">
                <v:path arrowok="t"/>
              </v:shape>
            </v:group>
            <v:group style="position:absolute;left:8433;top:14;width:247;height:800" coordorigin="8433,14" coordsize="247,800">
              <v:shape style="position:absolute;left:8433;top:14;width:247;height:800" coordorigin="8433,14" coordsize="247,800" path="m8679,14l8433,814e" filled="false" stroked="true" strokeweight=".242pt" strokecolor="#8c8f90">
                <v:path arrowok="t"/>
              </v:shape>
            </v:group>
            <v:group style="position:absolute;left:8465;top:14;width:250;height:800" coordorigin="8465,14" coordsize="250,800">
              <v:shape style="position:absolute;left:8465;top:14;width:250;height:800" coordorigin="8465,14" coordsize="250,800" path="m8715,14l8465,814e" filled="false" stroked="true" strokeweight="1.452pt" strokecolor="#8c8f90">
                <v:path arrowok="t"/>
              </v:shape>
            </v:group>
            <v:group style="position:absolute;left:9153;top:14;width:326;height:800" coordorigin="9153,14" coordsize="326,800">
              <v:shape style="position:absolute;left:9153;top:14;width:326;height:800" coordorigin="9153,14" coordsize="326,800" path="m9478,14l9153,814e" filled="false" stroked="true" strokeweight=".242pt" strokecolor="#9c8758">
                <v:path arrowok="t"/>
              </v:shape>
            </v:group>
            <v:group style="position:absolute;left:8956;top:14;width:304;height:800" coordorigin="8956,14" coordsize="304,800">
              <v:shape style="position:absolute;left:8956;top:14;width:304;height:800" coordorigin="8956,14" coordsize="304,800" path="m9260,14l8956,814e" filled="false" stroked="true" strokeweight="1.452pt" strokecolor="#8c8f90">
                <v:path arrowok="t"/>
              </v:shape>
            </v:group>
            <v:group style="position:absolute;left:8787;top:14;width:286;height:800" coordorigin="8787,14" coordsize="286,800">
              <v:shape style="position:absolute;left:8787;top:14;width:286;height:800" coordorigin="8787,14" coordsize="286,800" path="m9072,14l8787,814e" filled="false" stroked="true" strokeweight=".484pt" strokecolor="#8c8f90">
                <v:path arrowok="t"/>
              </v:shape>
            </v:group>
            <v:group style="position:absolute;left:9323;top:14;width:345;height:800" coordorigin="9323,14" coordsize="345,800">
              <v:shape style="position:absolute;left:9323;top:14;width:345;height:800" coordorigin="9323,14" coordsize="345,800" path="m9667,14l9323,814e" filled="false" stroked="true" strokeweight=".484pt" strokecolor="#9c8758">
                <v:path arrowok="t"/>
              </v:shape>
            </v:group>
            <v:group style="position:absolute;left:8653;top:14;width:271;height:800" coordorigin="8653,14" coordsize="271,800">
              <v:shape style="position:absolute;left:8653;top:14;width:271;height:800" coordorigin="8653,14" coordsize="271,800" path="m8923,14l8653,814e" filled="false" stroked="true" strokeweight=".968pt" strokecolor="#9c8758">
                <v:path arrowok="t"/>
              </v:shape>
            </v:group>
            <v:group style="position:absolute;left:6686;top:3681;width:999;height:2954" coordorigin="6686,3681" coordsize="999,2954">
              <v:shape style="position:absolute;left:6686;top:3681;width:999;height:2954" coordorigin="6686,3681" coordsize="999,2954" path="m7684,3681l6686,6634e" filled="false" stroked="true" strokeweight=".968pt" strokecolor="#9c8758">
                <v:path arrowok="t"/>
              </v:shape>
            </v:group>
            <v:group style="position:absolute;left:7158;top:4974;width:1286;height:1783" coordorigin="7158,4974" coordsize="1286,1783">
              <v:shape style="position:absolute;left:7158;top:4974;width:1286;height:1783" coordorigin="7158,4974" coordsize="1286,1783" path="m8444,4974l7158,6757e" filled="false" stroked="true" strokeweight="1.452pt" strokecolor="#8c8f90">
                <v:path arrowok="t"/>
              </v:shape>
            </v:group>
            <v:group style="position:absolute;left:8980;top:4178;width:39;height:53" coordorigin="8980,4178" coordsize="39,53">
              <v:shape style="position:absolute;left:8980;top:4178;width:39;height:53" coordorigin="8980,4178" coordsize="39,53" path="m9018,4178l8980,4231e" filled="false" stroked="true" strokeweight="1.452pt" strokecolor="#8c8f90">
                <v:path arrowok="t"/>
              </v:shape>
            </v:group>
            <v:group style="position:absolute;left:11444;top:527;width:208;height:288" coordorigin="11444,527" coordsize="208,288">
              <v:shape style="position:absolute;left:11444;top:527;width:208;height:288" coordorigin="11444,527" coordsize="208,288" path="m11652,527l11444,814e" filled="false" stroked="true" strokeweight="1.452pt" strokecolor="#8c8f90">
                <v:path arrowok="t"/>
              </v:shape>
            </v:group>
            <v:group style="position:absolute;left:9513;top:14;width:365;height:800" coordorigin="9513,14" coordsize="365,800">
              <v:shape style="position:absolute;left:9513;top:14;width:365;height:800" coordorigin="9513,14" coordsize="365,800" path="m9878,14l9513,814e" filled="false" stroked="true" strokeweight="1.452pt" strokecolor="#9c8758">
                <v:path arrowok="t"/>
              </v:shape>
            </v:group>
            <v:group style="position:absolute;left:6844;top:3806;width:1305;height:2861" coordorigin="6844,3806" coordsize="1305,2861">
              <v:shape style="position:absolute;left:6844;top:3806;width:1305;height:2861" coordorigin="6844,3806" coordsize="1305,2861" path="m8149,3806l6844,6667e" filled="false" stroked="true" strokeweight="1.452pt" strokecolor="#9c8758">
                <v:path arrowok="t"/>
              </v:shape>
            </v:group>
            <v:group style="position:absolute;left:6976;top:4223;width:1397;height:2482" coordorigin="6976,4223" coordsize="1397,2482">
              <v:shape style="position:absolute;left:6976;top:4223;width:1397;height:2482" coordorigin="6976,4223" coordsize="1397,2482" path="m8373,4223l6976,6704e" filled="false" stroked="true" strokeweight=".484pt" strokecolor="#9c8758">
                <v:path arrowok="t"/>
              </v:shape>
            </v:group>
            <v:group style="position:absolute;left:10292;top:113;width:396;height:702" coordorigin="10292,113" coordsize="396,702">
              <v:shape style="position:absolute;left:10292;top:113;width:396;height:702" coordorigin="10292,113" coordsize="396,702" path="m10687,113l10292,814e" filled="false" stroked="true" strokeweight=".484pt" strokecolor="#9c8758">
                <v:path arrowok="t"/>
              </v:shape>
            </v:group>
            <v:group style="position:absolute;left:7291;top:4412;width:2011;height:2383" coordorigin="7291,4412" coordsize="2011,2383">
              <v:shape style="position:absolute;left:7291;top:4412;width:2011;height:2383" coordorigin="7291,4412" coordsize="2011,2383" path="m9302,4412l7291,6795e" filled="false" stroked="true" strokeweight=".242pt" strokecolor="#8c8f90">
                <v:path arrowok="t"/>
              </v:shape>
            </v:group>
            <v:group style="position:absolute;left:7908;top:5478;width:2826;height:1630" coordorigin="7908,5478" coordsize="2826,1630">
              <v:shape style="position:absolute;left:7908;top:5478;width:2826;height:1630" coordorigin="7908,5478" coordsize="2826,1630" path="m10734,5478l7908,7108e" filled="false" stroked="true" strokeweight=".968pt" strokecolor="#8c8f90">
                <v:path arrowok="t"/>
              </v:shape>
            </v:group>
            <v:group style="position:absolute;left:8075;top:5869;width:2990;height:1368" coordorigin="8075,5869" coordsize="2990,1368">
              <v:shape style="position:absolute;left:8075;top:5869;width:2990;height:1368" coordorigin="8075,5869" coordsize="2990,1368" path="m11065,5869l8075,7236e" filled="false" stroked="true" strokeweight="1.452pt" strokecolor="#9c8758">
                <v:path arrowok="t"/>
              </v:shape>
            </v:group>
            <v:group style="position:absolute;left:8200;top:6240;width:3137;height:1086" coordorigin="8200,6240" coordsize="3137,1086">
              <v:shape style="position:absolute;left:8200;top:6240;width:3137;height:1086" coordorigin="8200,6240" coordsize="3137,1086" path="m11337,6240l8200,7326e" filled="false" stroked="true" strokeweight=".484pt" strokecolor="#9c8758">
                <v:path arrowok="t"/>
              </v:shape>
            </v:group>
            <v:group style="position:absolute;left:7880;top:5528;width:2896;height:1571" coordorigin="7880,5528" coordsize="2896,1571">
              <v:shape style="position:absolute;left:7880;top:5528;width:2896;height:1571" coordorigin="7880,5528" coordsize="2896,1571" path="m7880,7098l10775,5528e" filled="false" stroked="true" strokeweight=".484pt" strokecolor="#9c8758">
                <v:path arrowok="t"/>
              </v:shape>
            </v:group>
            <v:group style="position:absolute;left:7420;top:4641;width:2370;height:2211" coordorigin="7420,4641" coordsize="2370,2211">
              <v:shape style="position:absolute;left:7420;top:4641;width:2370;height:2211" coordorigin="7420,4641" coordsize="2370,2211" path="m7420,6851l9790,4641e" filled="false" stroked="true" strokeweight=".242pt" strokecolor="#9c8758">
                <v:path arrowok="t"/>
              </v:shape>
            </v:group>
            <v:group style="position:absolute;left:8006;top:5715;width:2939;height:1473" coordorigin="8006,5715" coordsize="2939,1473">
              <v:shape style="position:absolute;left:8006;top:5715;width:2939;height:1473" coordorigin="8006,5715" coordsize="2939,1473" path="m8006,7188l10945,5715e" filled="false" stroked="true" strokeweight=".242pt" strokecolor="#8c8f90">
                <v:path arrowok="t"/>
              </v:shape>
            </v:group>
            <v:group style="position:absolute;left:8217;top:6188;width:3084;height:1153" coordorigin="8217,6188" coordsize="3084,1153">
              <v:shape style="position:absolute;left:8217;top:6188;width:3084;height:1153" coordorigin="8217,6188" coordsize="3084,1153" path="m11301,6188l8217,7341e" filled="false" stroked="true" strokeweight=".968pt" strokecolor="#9c8758">
                <v:path arrowok="t"/>
              </v:shape>
            </v:group>
            <v:group style="position:absolute;left:7793;top:5253;width:2728;height:1793" coordorigin="7793,5253" coordsize="2728,1793">
              <v:shape style="position:absolute;left:7793;top:5253;width:2728;height:1793" coordorigin="7793,5253" coordsize="2728,1793" path="m10521,5253l7793,7045e" filled="false" stroked="true" strokeweight=".242pt" strokecolor="#9c8758">
                <v:path arrowok="t"/>
              </v:shape>
            </v:group>
            <v:group style="position:absolute;left:7038;top:4022;width:1662;height:2700" coordorigin="7038,4022" coordsize="1662,2700">
              <v:shape style="position:absolute;left:7038;top:4022;width:1662;height:2700" coordorigin="7038,4022" coordsize="1662,2700" path="m8699,4022l7038,6722e" filled="false" stroked="true" strokeweight=".968pt" strokecolor="#8c8f90">
                <v:path arrowok="t"/>
              </v:shape>
            </v:group>
            <v:group style="position:absolute;left:10673;top:14;width:493;height:800" coordorigin="10673,14" coordsize="493,800">
              <v:shape style="position:absolute;left:10673;top:14;width:493;height:800" coordorigin="10673,14" coordsize="493,800" path="m11165,14l10673,814e" filled="false" stroked="true" strokeweight=".968pt" strokecolor="#8c8f90">
                <v:path arrowok="t"/>
              </v:shape>
            </v:group>
            <v:group style="position:absolute;left:9808;top:619;width:98;height:196" coordorigin="9808,619" coordsize="98,196">
              <v:shape style="position:absolute;left:9808;top:619;width:98;height:196" coordorigin="9808,619" coordsize="98,196" path="m9905,619l9808,814e" filled="false" stroked="true" strokeweight="1.452pt" strokecolor="#9c8758">
                <v:path arrowok="t"/>
              </v:shape>
            </v:group>
            <v:group style="position:absolute;left:6895;top:3866;width:1398;height:2815" coordorigin="6895,3866" coordsize="1398,2815">
              <v:shape style="position:absolute;left:6895;top:3866;width:1398;height:2815" coordorigin="6895,3866" coordsize="1398,2815" path="m8293,3866l6895,6681e" filled="false" stroked="true" strokeweight="1.452pt" strokecolor="#9c8758">
                <v:path arrowok="t"/>
              </v:shape>
            </v:group>
            <v:group style="position:absolute;left:10140;top:14;width:66;height:132" coordorigin="10140,14" coordsize="66,132">
              <v:shape style="position:absolute;left:10140;top:14;width:66;height:132" coordorigin="10140,14" coordsize="66,132" path="m10205,14l10140,145e" filled="false" stroked="true" strokeweight="1.452pt" strokecolor="#8c8f90">
                <v:path arrowok="t"/>
              </v:shape>
            </v:group>
            <v:group style="position:absolute;left:887;top:5730;width:1936;height:865" coordorigin="887,5730" coordsize="1936,865">
              <v:shape style="position:absolute;left:887;top:5730;width:1936;height:865" coordorigin="887,5730" coordsize="1936,865" path="m2823,6594l887,5730e" filled="false" stroked="true" strokeweight=".242pt" strokecolor="#8c8f90">
                <v:path arrowok="t"/>
              </v:shape>
            </v:group>
            <v:group style="position:absolute;left:1334;top:5359;width:2222;height:1236" coordorigin="1334,5359" coordsize="2222,1236">
              <v:shape style="position:absolute;left:1334;top:5359;width:2222;height:1236" coordorigin="1334,5359" coordsize="2222,1236" path="m3556,6594l1334,5359e" filled="false" stroked="true" strokeweight=".242pt" strokecolor="#8c8f90">
                <v:path arrowok="t"/>
              </v:shape>
            </v:group>
            <v:group style="position:absolute;left:869;top:5959;width:1581;height:636" coordorigin="869,5959" coordsize="1581,636">
              <v:shape style="position:absolute;left:869;top:5959;width:1581;height:636" coordorigin="869,5959" coordsize="1581,636" path="m2450,6594l869,5959e" filled="false" stroked="true" strokeweight=".968pt" strokecolor="#9c8758">
                <v:path arrowok="t"/>
              </v:shape>
            </v:group>
            <v:group style="position:absolute;left:919;top:5326;width:726;height:382" coordorigin="919,5326" coordsize="726,382">
              <v:shape style="position:absolute;left:919;top:5326;width:726;height:382" coordorigin="919,5326" coordsize="726,382" path="m1645,5707l919,5326e" filled="false" stroked="true" strokeweight="1.452pt" strokecolor="#8c8f90">
                <v:path arrowok="t"/>
              </v:shape>
            </v:group>
            <v:group style="position:absolute;left:1911;top:5847;width:1421;height:748" coordorigin="1911,5847" coordsize="1421,748">
              <v:shape style="position:absolute;left:1911;top:5847;width:1421;height:748" coordorigin="1911,5847" coordsize="1421,748" path="m3332,6594l1911,5847e" filled="false" stroked="true" strokeweight="1.452pt" strokecolor="#8c8f90">
                <v:path arrowok="t"/>
              </v:shape>
            </v:group>
            <v:group style="position:absolute;left:880;top:5821;width:926;height:398" coordorigin="880,5821" coordsize="926,398">
              <v:shape style="position:absolute;left:880;top:5821;width:926;height:398" coordorigin="880,5821" coordsize="926,398" path="m1806,6218l880,5821e" filled="false" stroked="true" strokeweight="1.452pt" strokecolor="#8c8f90">
                <v:path arrowok="t"/>
              </v:shape>
            </v:group>
            <v:group style="position:absolute;left:2343;top:6448;width:342;height:147" coordorigin="2343,6448" coordsize="342,147">
              <v:shape style="position:absolute;left:2343;top:6448;width:342;height:147" coordorigin="2343,6448" coordsize="342,147" path="m2684,6594l2343,6448e" filled="false" stroked="true" strokeweight="1.452pt" strokecolor="#8c8f90">
                <v:path arrowok="t"/>
              </v:shape>
            </v:group>
            <v:group style="position:absolute;left:909;top:5457;width:2276;height:1138" coordorigin="909,5457" coordsize="2276,1138">
              <v:shape style="position:absolute;left:909;top:5457;width:2276;height:1138" coordorigin="909,5457" coordsize="2276,1138" path="m3184,6594l909,5457e" filled="false" stroked="true" strokeweight=".484pt" strokecolor="#9c8758">
                <v:path arrowok="t"/>
              </v:shape>
            </v:group>
            <v:group style="position:absolute;left:987;top:4453;width:3057;height:2142" coordorigin="987,4453" coordsize="3057,2142">
              <v:shape style="position:absolute;left:987;top:4453;width:3057;height:2142" coordorigin="987,4453" coordsize="3057,2142" path="m4044,6594l987,4453e" filled="false" stroked="true" strokeweight=".242pt" strokecolor="#9c8758">
                <v:path arrowok="t"/>
              </v:shape>
            </v:group>
            <v:group style="position:absolute;left:901;top:5560;width:2156;height:1035" coordorigin="901,5560" coordsize="2156,1035">
              <v:shape style="position:absolute;left:901;top:5560;width:2156;height:1035" coordorigin="901,5560" coordsize="2156,1035" path="m3056,6594l901,5560e" filled="false" stroked="true" strokeweight=".968pt" strokecolor="#8c8f90">
                <v:path arrowok="t"/>
              </v:shape>
            </v:group>
            <v:group style="position:absolute;left:953;top:4892;width:764;height:468" coordorigin="953,4892" coordsize="764,468">
              <v:shape style="position:absolute;left:953;top:4892;width:764;height:468" coordorigin="953,4892" coordsize="764,468" path="m1716,5359l953,4892e" filled="false" stroked="true" strokeweight="1.452pt" strokecolor="#9c8758">
                <v:path arrowok="t"/>
              </v:shape>
            </v:group>
            <v:group style="position:absolute;left:2153;top:5627;width:1349;height:826" coordorigin="2153,5627" coordsize="1349,826">
              <v:shape style="position:absolute;left:2153;top:5627;width:1349;height:826" coordorigin="2153,5627" coordsize="1349,826" path="m3501,6452l2153,5627e" filled="false" stroked="true" strokeweight="1.452pt" strokecolor="#8c8f90">
                <v:path arrowok="t"/>
              </v:shape>
            </v:group>
            <v:group style="position:absolute;left:1008;top:4190;width:3190;height:2405" coordorigin="1008,4190" coordsize="3190,2405">
              <v:shape style="position:absolute;left:1008;top:4190;width:3190;height:2405" coordorigin="1008,4190" coordsize="3190,2405" path="m4197,6594l1008,4190e" filled="false" stroked="true" strokeweight=".484pt" strokecolor="#9c8758">
                <v:path arrowok="t"/>
              </v:shape>
            </v:group>
            <v:group style="position:absolute;left:1024;top:3980;width:3281;height:2615" coordorigin="1024,3980" coordsize="3281,2615">
              <v:shape style="position:absolute;left:1024;top:3980;width:3281;height:2615" coordorigin="1024,3980" coordsize="3281,2615" path="m4304,6594l1024,3980e" filled="false" stroked="true" strokeweight=".968pt" strokecolor="#9c8758">
                <v:path arrowok="t"/>
              </v:shape>
            </v:group>
            <v:group style="position:absolute;left:2459;top:4683;width:2089;height:1912" coordorigin="2459,4683" coordsize="2089,1912">
              <v:shape style="position:absolute;left:2459;top:4683;width:2089;height:1912" coordorigin="2459,4683" coordsize="2089,1912" path="m2459,4683l4548,6594e" filled="false" stroked="true" strokeweight=".968pt" strokecolor="#8c8f90">
                <v:path arrowok="t"/>
              </v:shape>
            </v:group>
            <v:group style="position:absolute;left:1068;top:3410;width:519;height:475" coordorigin="1068,3410" coordsize="519,475">
              <v:shape style="position:absolute;left:1068;top:3410;width:519;height:475" coordorigin="1068,3410" coordsize="519,475" path="m1068,3410l1587,3885e" filled="false" stroked="true" strokeweight=".968pt" strokecolor="#8c8f90">
                <v:path arrowok="t"/>
              </v:shape>
            </v:group>
            <v:group style="position:absolute;left:2581;top:4117;width:2247;height:2478" coordorigin="2581,4117" coordsize="2247,2478">
              <v:shape style="position:absolute;left:2581;top:4117;width:2247;height:2478" coordorigin="2581,4117" coordsize="2247,2478" path="m2581,4117l4827,6594e" filled="false" stroked="true" strokeweight="1.452pt" strokecolor="#8c8f90">
                <v:path arrowok="t"/>
              </v:shape>
            </v:group>
            <v:group style="position:absolute;left:1138;top:2525;width:1130;height:1247" coordorigin="1138,2525" coordsize="1130,1247">
              <v:shape style="position:absolute;left:1138;top:2525;width:1130;height:1247" coordorigin="1138,2525" coordsize="1130,1247" path="m1138,2525l2268,3771e" filled="false" stroked="true" strokeweight="1.452pt" strokecolor="#9c8758">
                <v:path arrowok="t"/>
              </v:shape>
            </v:group>
            <v:group style="position:absolute;left:1778;top:2901;width:2482;height:2922" coordorigin="1778,2901" coordsize="2482,2922">
              <v:shape style="position:absolute;left:1778;top:2901;width:2482;height:2922" coordorigin="1778,2901" coordsize="2482,2922" path="m1778,2901l4259,5823e" filled="false" stroked="true" strokeweight=".968pt" strokecolor="#8c8f90">
                <v:path arrowok="t"/>
              </v:shape>
            </v:group>
            <v:group style="position:absolute;left:1165;top:2179;width:214;height:252" coordorigin="1165,2179" coordsize="214,252">
              <v:shape style="position:absolute;left:1165;top:2179;width:214;height:252" coordorigin="1165,2179" coordsize="214,252" path="m1165,2179l1378,2430e" filled="false" stroked="true" strokeweight=".968pt" strokecolor="#8c8f90">
                <v:path arrowok="t"/>
              </v:shape>
            </v:group>
            <v:group style="position:absolute;left:1116;top:2803;width:3634;height:3792" coordorigin="1116,2803" coordsize="3634,3792">
              <v:shape style="position:absolute;left:1116;top:2803;width:3634;height:3792" coordorigin="1116,2803" coordsize="3634,3792" path="m1116,2803l4750,6594e" filled="false" stroked="true" strokeweight=".968pt" strokecolor="#9c8758">
                <v:path arrowok="t"/>
              </v:shape>
            </v:group>
            <v:group style="position:absolute;left:1084;top:3207;width:3537;height:3387" coordorigin="1084,3207" coordsize="3537,3387">
              <v:shape style="position:absolute;left:1084;top:3207;width:3537;height:3387" coordorigin="1084,3207" coordsize="3537,3387" path="m1084,3207l4621,6594e" filled="false" stroked="true" strokeweight=".968pt" strokecolor="#9c8758">
                <v:path arrowok="t"/>
              </v:shape>
            </v:group>
            <v:group style="position:absolute;left:1263;top:1777;width:3756;height:4818" coordorigin="1263,1777" coordsize="3756,4818">
              <v:shape style="position:absolute;left:1263;top:1777;width:3756;height:4818" coordorigin="1263,1777" coordsize="3756,4818" path="m1263,1777l5019,6594e" filled="false" stroked="true" strokeweight="1.452pt" strokecolor="#8c8f90">
                <v:path arrowok="t"/>
              </v:shape>
            </v:group>
            <v:group style="position:absolute;left:1045;top:3713;width:3382;height:2882" coordorigin="1045,3713" coordsize="3382,2882">
              <v:shape style="position:absolute;left:1045;top:3713;width:3382;height:2882" coordorigin="1045,3713" coordsize="3382,2882" path="m4426,6594l1045,3713e" filled="false" stroked="true" strokeweight=".242pt" strokecolor="#9c8758">
                <v:path arrowok="t"/>
              </v:shape>
            </v:group>
            <v:group style="position:absolute;left:974;top:4622;width:2961;height:1973" coordorigin="974,4622" coordsize="2961,1973">
              <v:shape style="position:absolute;left:974;top:4622;width:2961;height:1973" coordorigin="974,4622" coordsize="2961,1973" path="m3934,6594l974,4622e" filled="false" stroked="true" strokeweight=".484pt" strokecolor="#8c8f90">
                <v:path arrowok="t"/>
              </v:shape>
            </v:group>
            <v:group style="position:absolute;left:1272;top:799;width:3898;height:5796" coordorigin="1272,799" coordsize="3898,5796">
              <v:shape style="position:absolute;left:1272;top:799;width:3898;height:5796" coordorigin="1272,799" coordsize="3898,5796" path="m5170,6594l1272,799e" filled="false" stroked="true" strokeweight=".968pt" strokecolor="#9c8758">
                <v:path arrowok="t"/>
              </v:shape>
            </v:group>
            <v:group style="position:absolute;left:967;top:4712;width:2905;height:1883" coordorigin="967,4712" coordsize="2905,1883">
              <v:shape style="position:absolute;left:967;top:4712;width:2905;height:1883" coordorigin="967,4712" coordsize="2905,1883" path="m3871,6594l967,4712e" filled="false" stroked="true" strokeweight="1.452pt" strokecolor="#9c8758">
                <v:path arrowok="t"/>
              </v:shape>
            </v:group>
            <v:group style="position:absolute;left:6656;top:14;width:57;height:800" coordorigin="6656,14" coordsize="57,800">
              <v:shape style="position:absolute;left:6656;top:14;width:57;height:800" coordorigin="6656,14" coordsize="57,800" path="m6712,14l6656,814e" filled="false" stroked="true" strokeweight=".242pt" strokecolor="#9c8758">
                <v:path arrowok="t"/>
              </v:shape>
            </v:group>
            <v:group style="position:absolute;left:6250;top:3494;width:218;height:3100" coordorigin="6250,3494" coordsize="218,3100">
              <v:shape style="position:absolute;left:6250;top:3494;width:218;height:3100" coordorigin="6250,3494" coordsize="218,3100" path="m6468,3494l6250,6594e" filled="false" stroked="true" strokeweight=".242pt" strokecolor="#9c8758">
                <v:path arrowok="t"/>
              </v:shape>
            </v:group>
            <v:group style="position:absolute;left:7437;top:167;width:111;height:648" coordorigin="7437,167" coordsize="111,648">
              <v:shape style="position:absolute;left:7437;top:167;width:111;height:648" coordorigin="7437,167" coordsize="111,648" path="m7548,167l7437,814e" filled="false" stroked="true" strokeweight=".242pt" strokecolor="#8c8f90">
                <v:path arrowok="t"/>
              </v:shape>
            </v:group>
            <v:group style="position:absolute;left:6445;top:3534;width:527;height:3080" coordorigin="6445,3534" coordsize="527,3080">
              <v:shape style="position:absolute;left:6445;top:3534;width:527;height:3080" coordorigin="6445,3534" coordsize="527,3080" path="m6972,3534l6445,6614e" filled="false" stroked="true" strokeweight=".242pt" strokecolor="#8c8f90">
                <v:path arrowok="t"/>
              </v:shape>
            </v:group>
            <v:group style="position:absolute;left:7325;top:4408;width:2102;height:2397" coordorigin="7325,4408" coordsize="2102,2397">
              <v:shape style="position:absolute;left:7325;top:4408;width:2102;height:2397" coordorigin="7325,4408" coordsize="2102,2397" path="m7325,6805l9427,4408e" filled="false" stroked="true" strokeweight=".968pt" strokecolor="#9c8758">
                <v:path arrowok="t"/>
              </v:shape>
            </v:group>
            <v:group style="position:absolute;left:6848;top:14;width:73;height:800" coordorigin="6848,14" coordsize="73,800">
              <v:shape style="position:absolute;left:6848;top:14;width:73;height:800" coordorigin="6848,14" coordsize="73,800" path="m6848,814l6920,14e" filled="false" stroked="true" strokeweight="1.452pt" strokecolor="#9c8758">
                <v:path arrowok="t"/>
              </v:shape>
            </v:group>
            <v:group style="position:absolute;left:6327;top:3514;width:278;height:3080" coordorigin="6327,3514" coordsize="278,3080">
              <v:shape style="position:absolute;left:6327;top:3514;width:278;height:3080" coordorigin="6327,3514" coordsize="278,3080" path="m6327,6594l6604,3514e" filled="false" stroked="true" strokeweight="1.452pt" strokecolor="#8c8f90">
                <v:path arrowok="t"/>
              </v:shape>
            </v:group>
            <v:group style="position:absolute;left:6362;top:3514;width:352;height:3082" coordorigin="6362,3514" coordsize="352,3082">
              <v:shape style="position:absolute;left:6362;top:3514;width:352;height:3082" coordorigin="6362,3514" coordsize="352,3082" path="m6362,6596l6714,3514e" filled="false" stroked="true" strokeweight=".968pt" strokecolor="#9c8758">
                <v:path arrowok="t"/>
              </v:shape>
            </v:group>
            <v:group style="position:absolute;left:7170;top:14;width:108;height:800" coordorigin="7170,14" coordsize="108,800">
              <v:shape style="position:absolute;left:7170;top:14;width:108;height:800" coordorigin="7170,14" coordsize="108,800" path="m7278,14l7170,814e" filled="false" stroked="true" strokeweight=".484pt" strokecolor="#9c8758">
                <v:path arrowok="t"/>
              </v:shape>
            </v:group>
            <v:group style="position:absolute;left:7022;top:14;width:92;height:800" coordorigin="7022,14" coordsize="92,800">
              <v:shape style="position:absolute;left:7022;top:14;width:92;height:800" coordorigin="7022,14" coordsize="92,800" path="m7022,814l7113,14e" filled="false" stroked="true" strokeweight=".968pt" strokecolor="#9c8758">
                <v:path arrowok="t"/>
              </v:shape>
            </v:group>
            <v:group style="position:absolute;left:7797;top:14;width:177;height:800" coordorigin="7797,14" coordsize="177,800">
              <v:shape style="position:absolute;left:7797;top:14;width:177;height:800" coordorigin="7797,14" coordsize="177,800" path="m7974,14l7797,814e" filled="false" stroked="true" strokeweight=".484pt" strokecolor="#8c8f90">
                <v:path arrowok="t"/>
              </v:shape>
            </v:group>
            <v:group style="position:absolute;left:7885;top:14;width:187;height:800" coordorigin="7885,14" coordsize="187,800">
              <v:shape style="position:absolute;left:7885;top:14;width:187;height:800" coordorigin="7885,14" coordsize="187,800" path="m8071,14l7885,814e" filled="false" stroked="true" strokeweight="1.452pt" strokecolor="#9c8758">
                <v:path arrowok="t"/>
              </v:shape>
            </v:group>
            <v:group style="position:absolute;left:8135;top:263;width:148;height:551" coordorigin="8135,263" coordsize="148,551">
              <v:shape style="position:absolute;left:8135;top:263;width:148;height:551" coordorigin="8135,263" coordsize="148,551" path="m8282,263l8135,814e" filled="false" stroked="true" strokeweight=".968pt" strokecolor="#8c8f90">
                <v:path arrowok="t"/>
              </v:shape>
            </v:group>
            <v:group style="position:absolute;left:7672;top:14;width:163;height:800" coordorigin="7672,14" coordsize="163,800">
              <v:shape style="position:absolute;left:7672;top:14;width:163;height:800" coordorigin="7672,14" coordsize="163,800" path="m7835,14l7672,814e" filled="false" stroked="true" strokeweight=".968pt" strokecolor="#9c8758">
                <v:path arrowok="t"/>
              </v:shape>
            </v:group>
            <v:group style="position:absolute;left:7539;top:14;width:154;height:800" coordorigin="7539,14" coordsize="154,800">
              <v:shape style="position:absolute;left:7539;top:14;width:154;height:800" coordorigin="7539,14" coordsize="154,800" path="m7693,14l7539,814e" filled="false" stroked="true" strokeweight=".242pt" strokecolor="#9c8758">
                <v:path arrowok="t"/>
              </v:shape>
            </v:group>
            <v:group style="position:absolute;left:6423;top:3543;width:591;height:3070" coordorigin="6423,3543" coordsize="591,3070">
              <v:shape style="position:absolute;left:6423;top:3543;width:591;height:3070" coordorigin="6423,3543" coordsize="591,3070" path="m7014,3543l6423,6612e" filled="false" stroked="true" strokeweight=".242pt" strokecolor="#9c8758">
                <v:path arrowok="t"/>
              </v:shape>
            </v:group>
            <v:group style="position:absolute;left:8267;top:14;width:229;height:800" coordorigin="8267,14" coordsize="229,800">
              <v:shape style="position:absolute;left:8267;top:14;width:229;height:800" coordorigin="8267,14" coordsize="229,800" path="m8495,14l8267,814e" filled="false" stroked="true" strokeweight=".242pt" strokecolor="#9c8758">
                <v:path arrowok="t"/>
              </v:shape>
            </v:group>
            <v:group style="position:absolute;left:6611;top:3622;width:856;height:3002" coordorigin="6611,3622" coordsize="856,3002">
              <v:shape style="position:absolute;left:6611;top:3622;width:856;height:3002" coordorigin="6611,3622" coordsize="856,3002" path="m7467,3622l6611,6623e" filled="false" stroked="true" strokeweight=".242pt" strokecolor="#9c8758">
                <v:path arrowok="t"/>
              </v:shape>
            </v:group>
            <v:group style="position:absolute;left:7617;top:4893;width:2498;height:2041" coordorigin="7617,4893" coordsize="2498,2041">
              <v:shape style="position:absolute;left:7617;top:4893;width:2498;height:2041" coordorigin="7617,4893" coordsize="2498,2041" path="m7617,6933l10114,4893e" filled="false" stroked="true" strokeweight=".968pt" strokecolor="#9c8758">
                <v:path arrowok="t"/>
              </v:shape>
            </v:group>
            <v:group style="position:absolute;left:6675;top:3672;width:979;height:2963" coordorigin="6675,3672" coordsize="979,2963">
              <v:shape style="position:absolute;left:6675;top:3672;width:979;height:2963" coordorigin="6675,3672" coordsize="979,2963" path="m6675,6634l7653,3672e" filled="false" stroked="true" strokeweight=".968pt" strokecolor="#9c8758">
                <v:path arrowok="t"/>
              </v:shape>
            </v:group>
            <v:group style="position:absolute;left:8598;top:14;width:265;height:800" coordorigin="8598,14" coordsize="265,800">
              <v:shape style="position:absolute;left:8598;top:14;width:265;height:800" coordorigin="8598,14" coordsize="265,800" path="m8598,814l8862,14e" filled="false" stroked="true" strokeweight=".968pt" strokecolor="#9c8758">
                <v:path arrowok="t"/>
              </v:shape>
            </v:group>
            <v:group style="position:absolute;left:9663;top:209;width:289;height:605" coordorigin="9663,209" coordsize="289,605">
              <v:shape style="position:absolute;left:9663;top:209;width:289;height:605" coordorigin="9663,209" coordsize="289,605" path="m9663,814l9951,209e" filled="false" stroked="true" strokeweight=".968pt" strokecolor="#9c8758">
                <v:path arrowok="t"/>
              </v:shape>
            </v:group>
            <v:group style="position:absolute;left:6870;top:3838;width:1352;height:2836" coordorigin="6870,3838" coordsize="1352,2836">
              <v:shape style="position:absolute;left:6870;top:3838;width:1352;height:2836" coordorigin="6870,3838" coordsize="1352,2836" path="m6870,6674l8222,3838e" filled="false" stroked="true" strokeweight=".968pt" strokecolor="#9c8758">
                <v:path arrowok="t"/>
              </v:shape>
            </v:group>
            <v:group style="position:absolute;left:10286;top:14;width:70;height:135" coordorigin="10286,14" coordsize="70,135">
              <v:shape style="position:absolute;left:10286;top:14;width:70;height:135" coordorigin="10286,14" coordsize="70,135" path="m10286,149l10355,14e" filled="false" stroked="true" strokeweight=".968pt" strokecolor="#9c8758">
                <v:path arrowok="t"/>
              </v:shape>
            </v:group>
            <v:group style="position:absolute;left:9943;top:601;width:111;height:214" coordorigin="9943,601" coordsize="111,214">
              <v:shape style="position:absolute;left:9943;top:601;width:111;height:214" coordorigin="9943,601" coordsize="111,214" path="m9943,814l10053,601e" filled="false" stroked="true" strokeweight=".968pt" strokecolor="#8c8f90">
                <v:path arrowok="t"/>
              </v:shape>
            </v:group>
            <v:group style="position:absolute;left:6918;top:3885;width:1444;height:2802" coordorigin="6918,3885" coordsize="1444,2802">
              <v:shape style="position:absolute;left:6918;top:3885;width:1444;height:2802" coordorigin="6918,3885" coordsize="1444,2802" path="m6918,6687l8361,3885e" filled="false" stroked="true" strokeweight=".968pt" strokecolor="#8c8f90">
                <v:path arrowok="t"/>
              </v:shape>
            </v:group>
            <v:group style="position:absolute;left:7214;top:4245;width:1951;height:2528" coordorigin="7214,4245" coordsize="1951,2528">
              <v:shape style="position:absolute;left:7214;top:4245;width:1951;height:2528" coordorigin="7214,4245" coordsize="1951,2528" path="m7214,6773l9164,4245e" filled="false" stroked="true" strokeweight=".968pt" strokecolor="#9c8758">
                <v:path arrowok="t"/>
              </v:shape>
            </v:group>
            <v:group style="position:absolute;left:7368;top:14;width:130;height:800" coordorigin="7368,14" coordsize="130,800">
              <v:shape style="position:absolute;left:7368;top:14;width:130;height:800" coordorigin="7368,14" coordsize="130,800" path="m7368,814l7497,14e" filled="false" stroked="true" strokeweight="1.452pt" strokecolor="#9c8758">
                <v:path arrowok="t"/>
              </v:shape>
            </v:group>
            <v:group style="position:absolute;left:6431;top:3888;width:441;height:2727" coordorigin="6431,3888" coordsize="441,2727">
              <v:shape style="position:absolute;left:6431;top:3888;width:441;height:2727" coordorigin="6431,3888" coordsize="441,2727" path="m6431,6614l6871,3888e" filled="false" stroked="true" strokeweight="1.452pt" strokecolor="#9c8758">
                <v:path arrowok="t"/>
              </v:shape>
            </v:group>
            <v:group style="position:absolute;left:7597;top:7357;width:255;height:230" coordorigin="7597,7357" coordsize="255,230">
              <v:shape style="position:absolute;left:7597;top:7357;width:255;height:230" coordorigin="7597,7357" coordsize="255,230" path="m7597,7357l7851,7587e" filled="false" stroked="true" strokeweight=".484pt" strokecolor="#8c8f90">
                <v:path arrowok="t"/>
              </v:shape>
            </v:group>
            <v:group style="position:absolute;left:6913;top:7599;width:731;height:409" coordorigin="6913,7599" coordsize="731,409">
              <v:shape style="position:absolute;left:6913;top:7599;width:731;height:409" coordorigin="6913,7599" coordsize="731,409" path="m6913,7599l7643,8007e" filled="false" stroked="true" strokeweight=".968pt" strokecolor="#8c8f90">
                <v:path arrowok="t"/>
              </v:shape>
            </v:group>
            <v:group style="position:absolute;left:4156;top:7910;width:684;height:141" coordorigin="4156,7910" coordsize="684,141">
              <v:shape style="position:absolute;left:4156;top:7910;width:684;height:141" coordorigin="4156,7910" coordsize="684,141" path="m4156,7910l4840,8051e" filled="false" stroked="true" strokeweight=".968pt" strokecolor="#8c8f90">
                <v:path arrowok="t"/>
              </v:shape>
            </v:group>
            <v:group style="position:absolute;left:6262;top:7993;width:575;height:181" coordorigin="6262,7993" coordsize="575,181">
              <v:shape style="position:absolute;left:6262;top:7993;width:575;height:181" coordorigin="6262,7993" coordsize="575,181" path="m6262,7993l6836,8174e" filled="false" stroked="true" strokeweight="1.452pt" strokecolor="#9c8758">
                <v:path arrowok="t"/>
              </v:shape>
            </v:group>
            <v:group style="position:absolute;left:5587;top:7781;width:515;height:163" coordorigin="5587,7781" coordsize="515,163">
              <v:shape style="position:absolute;left:5587;top:7781;width:515;height:163" coordorigin="5587,7781" coordsize="515,163" path="m5587,7781l6102,7943e" filled="false" stroked="true" strokeweight="1.452pt" strokecolor="#9c8758">
                <v:path arrowok="t"/>
              </v:shape>
            </v:group>
            <v:group style="position:absolute;left:4779;top:7526;width:651;height:205" coordorigin="4779,7526" coordsize="651,205">
              <v:shape style="position:absolute;left:4779;top:7526;width:651;height:205" coordorigin="4779,7526" coordsize="651,205" path="m4779,7526l5429,7731e" filled="false" stroked="true" strokeweight="1.452pt" strokecolor="#9c8758">
                <v:path arrowok="t"/>
              </v:shape>
            </v:group>
            <v:group style="position:absolute;left:6262;top:8543;width:549;height:79" coordorigin="6262,8543" coordsize="549,79">
              <v:shape style="position:absolute;left:6262;top:8543;width:549;height:79" coordorigin="6262,8543" coordsize="549,79" path="m6262,8543l6810,8622e" filled="false" stroked="true" strokeweight=".968pt" strokecolor="#8c8f90">
                <v:path arrowok="t"/>
              </v:shape>
            </v:group>
            <v:group style="position:absolute;left:4612;top:8306;width:276;height:40" coordorigin="4612,8306" coordsize="276,40">
              <v:shape style="position:absolute;left:4612;top:8306;width:276;height:40" coordorigin="4612,8306" coordsize="276,40" path="m4612,8306l4887,8345e" filled="false" stroked="true" strokeweight=".968pt" strokecolor="#8c8f90">
                <v:path arrowok="t"/>
              </v:shape>
            </v:group>
            <v:group style="position:absolute;left:5364;top:8414;width:569;height:82" coordorigin="5364,8414" coordsize="569,82">
              <v:shape style="position:absolute;left:5364;top:8414;width:569;height:82" coordorigin="5364,8414" coordsize="569,82" path="m5364,8414l5932,8496e" filled="false" stroked="true" strokeweight=".968pt" strokecolor="#8c8f90">
                <v:path arrowok="t"/>
              </v:shape>
            </v:group>
            <v:group style="position:absolute;left:6262;top:8652;width:549;height:61" coordorigin="6262,8652" coordsize="549,61">
              <v:shape style="position:absolute;left:6262;top:8652;width:549;height:61" coordorigin="6262,8652" coordsize="549,61" path="m6262,8652l6810,8712e" filled="false" stroked="true" strokeweight=".968pt" strokecolor="#8c8f90">
                <v:path arrowok="t"/>
              </v:shape>
            </v:group>
            <v:group style="position:absolute;left:7801;top:8821;width:336;height:37" coordorigin="7801,8821" coordsize="336,37">
              <v:shape style="position:absolute;left:7801;top:8821;width:336;height:37" coordorigin="7801,8821" coordsize="336,37" path="m7801,8821l8137,8858e" filled="false" stroked="true" strokeweight=".968pt" strokecolor="#8c8f90">
                <v:path arrowok="t"/>
              </v:shape>
            </v:group>
            <v:group style="position:absolute;left:4365;top:8443;width:573;height:63" coordorigin="4365,8443" coordsize="573,63">
              <v:shape style="position:absolute;left:4365;top:8443;width:573;height:63" coordorigin="4365,8443" coordsize="573,63" path="m4365,8443l4937,8506e" filled="false" stroked="true" strokeweight=".968pt" strokecolor="#8c8f90">
                <v:path arrowok="t"/>
              </v:shape>
            </v:group>
            <v:group style="position:absolute;left:5315;top:8548;width:546;height:60" coordorigin="5315,8548" coordsize="546,60">
              <v:shape style="position:absolute;left:5315;top:8548;width:546;height:60" coordorigin="5315,8548" coordsize="546,60" path="m5315,8548l5860,8608e" filled="false" stroked="true" strokeweight=".968pt" strokecolor="#8c8f90">
                <v:path arrowok="t"/>
              </v:shape>
            </v:group>
            <v:group style="position:absolute;left:6262;top:8733;width:549;height:47" coordorigin="6262,8733" coordsize="549,47">
              <v:shape style="position:absolute;left:6262;top:8733;width:549;height:47" coordorigin="6262,8733" coordsize="549,47" path="m6262,8733l6810,8780e" filled="false" stroked="true" strokeweight=".968pt" strokecolor="#9c8758">
                <v:path arrowok="t"/>
              </v:shape>
            </v:group>
            <v:group style="position:absolute;left:7300;top:8821;width:837;height:71" coordorigin="7300,8821" coordsize="837,71">
              <v:shape style="position:absolute;left:7300;top:8821;width:837;height:71" coordorigin="7300,8821" coordsize="837,71" path="m7300,8821l8137,8892e" filled="false" stroked="true" strokeweight=".968pt" strokecolor="#9c8758">
                <v:path arrowok="t"/>
              </v:shape>
            </v:group>
            <v:group style="position:absolute;left:4410;top:8577;width:575;height:49" coordorigin="4410,8577" coordsize="575,49">
              <v:shape style="position:absolute;left:4410;top:8577;width:575;height:49" coordorigin="4410,8577" coordsize="575,49" path="m4410,8577l4984,8625e" filled="false" stroked="true" strokeweight=".968pt" strokecolor="#9c8758">
                <v:path arrowok="t"/>
              </v:shape>
            </v:group>
            <v:group style="position:absolute;left:5277;top:8650;width:532;height:45" coordorigin="5277,8650" coordsize="532,45">
              <v:shape style="position:absolute;left:5277;top:8650;width:532;height:45" coordorigin="5277,8650" coordsize="532,45" path="m5277,8650l5808,8695e" filled="false" stroked="true" strokeweight=".968pt" strokecolor="#9c8758">
                <v:path arrowok="t"/>
              </v:shape>
            </v:group>
            <v:group style="position:absolute;left:6262;top:8202;width:549;height:138" coordorigin="6262,8202" coordsize="549,138">
              <v:shape style="position:absolute;left:6262;top:8202;width:549;height:138" coordorigin="6262,8202" coordsize="549,138" path="m6262,8202l6810,8339e" filled="false" stroked="true" strokeweight="1.452pt" strokecolor="#9c8758">
                <v:path arrowok="t"/>
              </v:shape>
            </v:group>
            <v:group style="position:absolute;left:4575;top:7781;width:1528;height:382" coordorigin="4575,7781" coordsize="1528,382">
              <v:shape style="position:absolute;left:4575;top:7781;width:1528;height:382" coordorigin="4575,7781" coordsize="1528,382" path="m4575,7781l6102,8162e" filled="false" stroked="true" strokeweight="1.452pt" strokecolor="#9c8758">
                <v:path arrowok="t"/>
              </v:shape>
            </v:group>
            <v:group style="position:absolute;left:7129;top:9326;width:567;height:106" coordorigin="7129,9326" coordsize="567,106">
              <v:shape style="position:absolute;left:7129;top:9326;width:567;height:106" coordorigin="7129,9326" coordsize="567,106" path="m7129,9432l7695,9326e" filled="false" stroked="true" strokeweight=".484pt" strokecolor="#8c8f90">
                <v:path arrowok="t"/>
              </v:shape>
            </v:group>
            <v:group style="position:absolute;left:6262;top:9491;width:549;height:102" coordorigin="6262,9491" coordsize="549,102">
              <v:shape style="position:absolute;left:6262;top:9491;width:549;height:102" coordorigin="6262,9491" coordsize="549,102" path="m6262,9593l6810,9491e" filled="false" stroked="true" strokeweight=".484pt" strokecolor="#8c8f90">
                <v:path arrowok="t"/>
              </v:shape>
            </v:group>
            <v:group style="position:absolute;left:7724;top:9244;width:413;height:77" coordorigin="7724,9244" coordsize="413,77">
              <v:shape style="position:absolute;left:7724;top:9244;width:413;height:77" coordorigin="7724,9244" coordsize="413,77" path="m7724,9321l8137,9244e" filled="false" stroked="true" strokeweight=".484pt" strokecolor="#8c8f90">
                <v:path arrowok="t"/>
              </v:shape>
            </v:group>
            <v:group style="position:absolute;left:4192;top:9661;width:1702;height:316" coordorigin="4192,9661" coordsize="1702,316">
              <v:shape style="position:absolute;left:4192;top:9661;width:1702;height:316" coordorigin="4192,9661" coordsize="1702,316" path="m4192,9977l5893,9661e" filled="false" stroked="true" strokeweight=".484pt" strokecolor="#8c8f90">
                <v:path arrowok="t"/>
              </v:shape>
            </v:group>
            <v:group style="position:absolute;left:7555;top:9451;width:140;height:35" coordorigin="7555,9451" coordsize="140,35">
              <v:shape style="position:absolute;left:7555;top:9451;width:140;height:35" coordorigin="7555,9451" coordsize="140,35" path="m7555,9485l7695,9451e" filled="false" stroked="true" strokeweight="1.452pt" strokecolor="#8c8f90">
                <v:path arrowok="t"/>
              </v:shape>
            </v:group>
            <v:group style="position:absolute;left:4882;top:10101;width:213;height:54" coordorigin="4882,10101" coordsize="213,54">
              <v:shape style="position:absolute;left:4882;top:10101;width:213;height:54" coordorigin="4882,10101" coordsize="213,54" path="m4882,10154l5094,10101e" filled="false" stroked="true" strokeweight="1.452pt" strokecolor="#8c8f90">
                <v:path arrowok="t"/>
              </v:shape>
            </v:group>
            <v:group style="position:absolute;left:6262;top:9672;width:549;height:138" coordorigin="6262,9672" coordsize="549,138">
              <v:shape style="position:absolute;left:6262;top:9672;width:549;height:138" coordorigin="6262,9672" coordsize="549,138" path="m6262,9809l6810,9672e" filled="false" stroked="true" strokeweight="1.452pt" strokecolor="#8c8f90">
                <v:path arrowok="t"/>
              </v:shape>
            </v:group>
            <v:group style="position:absolute;left:5094;top:9858;width:974;height:244" coordorigin="5094,9858" coordsize="974,244">
              <v:shape style="position:absolute;left:5094;top:9858;width:974;height:244" coordorigin="5094,9858" coordsize="974,244" path="m5094,10101l6067,9858e" filled="false" stroked="true" strokeweight="1.452pt" strokecolor="#8c8f90">
                <v:path arrowok="t"/>
              </v:shape>
            </v:group>
            <v:group style="position:absolute;left:6262;top:8121;width:549;height:151" coordorigin="6262,8121" coordsize="549,151">
              <v:shape style="position:absolute;left:6262;top:8121;width:549;height:151" coordorigin="6262,8121" coordsize="549,151" path="m6262,8121l6810,8272e" filled="false" stroked="true" strokeweight=".968pt" strokecolor="#9c8758">
                <v:path arrowok="t"/>
              </v:shape>
            </v:group>
            <v:group style="position:absolute;left:5026;top:7781;width:1077;height:297" coordorigin="5026,7781" coordsize="1077,297">
              <v:shape style="position:absolute;left:5026;top:7781;width:1077;height:297" coordorigin="5026,7781" coordsize="1077,297" path="m5026,7781l6102,8077e" filled="false" stroked="true" strokeweight=".968pt" strokecolor="#9c8758">
                <v:path arrowok="t"/>
              </v:shape>
            </v:group>
            <v:group style="position:absolute;left:4816;top:7723;width:211;height:58" coordorigin="4816,7723" coordsize="211,58">
              <v:shape style="position:absolute;left:4816;top:7723;width:211;height:58" coordorigin="4816,7723" coordsize="211,58" path="m4816,7723l5026,7781e" filled="false" stroked="true" strokeweight=".968pt" strokecolor="#9c8758">
                <v:path arrowok="t"/>
              </v:shape>
            </v:group>
            <v:group style="position:absolute;left:6262;top:9071;width:1876;height:93" coordorigin="6262,9071" coordsize="1876,93">
              <v:shape style="position:absolute;left:6262;top:9071;width:1876;height:93" coordorigin="6262,9071" coordsize="1876,93" path="m6262,9163l8137,9071e" filled="false" stroked="true" strokeweight=".968pt" strokecolor="#8c8f90">
                <v:path arrowok="t"/>
              </v:shape>
            </v:group>
            <v:group style="position:absolute;left:4032;top:9169;width:2106;height:104" coordorigin="4032,9169" coordsize="2106,104">
              <v:shape style="position:absolute;left:4032;top:9169;width:2106;height:104" coordorigin="4032,9169" coordsize="2106,104" path="m4032,9273l6138,9169e" filled="false" stroked="true" strokeweight=".968pt" strokecolor="#8c8f90">
                <v:path arrowok="t"/>
              </v:shape>
            </v:group>
            <v:group style="position:absolute;left:6262;top:8863;width:1876;height:83" coordorigin="6262,8863" coordsize="1876,83">
              <v:shape style="position:absolute;left:6262;top:8863;width:1876;height:83" coordorigin="6262,8863" coordsize="1876,83" path="m6262,8863l8137,8946e" filled="false" stroked="true" strokeweight="1.452pt" strokecolor="#8c8f90">
                <v:path arrowok="t"/>
              </v:shape>
            </v:group>
            <v:group style="position:absolute;left:5216;top:8817;width:525;height:24" coordorigin="5216,8817" coordsize="525,24">
              <v:shape style="position:absolute;left:5216;top:8817;width:525;height:24" coordorigin="5216,8817" coordsize="525,24" path="m5216,8817l5740,8840e" filled="false" stroked="true" strokeweight="1.452pt" strokecolor="#8c8f90">
                <v:path arrowok="t"/>
              </v:shape>
            </v:group>
            <v:group style="position:absolute;left:4490;top:8785;width:288;height:13" coordorigin="4490,8785" coordsize="288,13">
              <v:shape style="position:absolute;left:4490;top:8785;width:288;height:13" coordorigin="4490,8785" coordsize="288,13" path="m4490,8785l4778,8798e" filled="false" stroked="true" strokeweight="1.452pt" strokecolor="#8c8f90">
                <v:path arrowok="t"/>
              </v:shape>
            </v:group>
            <v:group style="position:absolute;left:6262;top:9335;width:435;height:52" coordorigin="6262,9335" coordsize="435,52">
              <v:shape style="position:absolute;left:6262;top:9335;width:435;height:52" coordorigin="6262,9335" coordsize="435,52" path="m6262,9387l6696,9335e" filled="false" stroked="true" strokeweight=".968pt" strokecolor="#9c8758">
                <v:path arrowok="t"/>
              </v:shape>
            </v:group>
            <v:group style="position:absolute;left:4882;top:9487;width:531;height:63" coordorigin="4882,9487" coordsize="531,63">
              <v:shape style="position:absolute;left:4882;top:9487;width:531;height:63" coordorigin="4882,9487" coordsize="531,63" path="m4882,9550l5412,9487e" filled="false" stroked="true" strokeweight=".968pt" strokecolor="#9c8758">
                <v:path arrowok="t"/>
              </v:shape>
            </v:group>
            <v:group style="position:absolute;left:6972;top:9027;width:1165;height:19" coordorigin="6972,9027" coordsize="1165,19">
              <v:shape style="position:absolute;left:6972;top:9027;width:1165;height:19" coordorigin="6972,9027" coordsize="1165,19" path="m6972,9046l8137,9027e" filled="false" stroked="true" strokeweight="1.452pt" strokecolor="#8c8f90">
                <v:path arrowok="t"/>
              </v:shape>
            </v:group>
            <v:group style="position:absolute;left:4778;top:9067;width:891;height:15" coordorigin="4778,9067" coordsize="891,15">
              <v:shape style="position:absolute;left:4778;top:9067;width:891;height:15" coordorigin="4778,9067" coordsize="891,15" path="m4778,9081l5669,9067e" filled="false" stroked="true" strokeweight="1.452pt" strokecolor="#9c8758">
                <v:path arrowok="t"/>
              </v:shape>
            </v:group>
            <v:group style="position:absolute;left:4032;top:9086;width:420;height:7" coordorigin="4032,9086" coordsize="420,7">
              <v:shape style="position:absolute;left:4032;top:9086;width:420;height:7" coordorigin="4032,9086" coordsize="420,7" path="m4032,9093l4181,9091,4452,9086e" filled="false" stroked="true" strokeweight="1.452pt" strokecolor="#9c8758">
                <v:path arrowok="t"/>
              </v:shape>
            </v:group>
            <v:group style="position:absolute;left:7129;top:9854;width:567;height:270" coordorigin="7129,9854" coordsize="567,270">
              <v:shape style="position:absolute;left:7129;top:9854;width:567;height:270" coordorigin="7129,9854" coordsize="567,270" path="m7129,10123l7695,9854e" filled="false" stroked="true" strokeweight=".968pt" strokecolor="#8c8f90">
                <v:path arrowok="t"/>
              </v:shape>
            </v:group>
            <v:group style="position:absolute;left:4608;top:10941;width:805;height:384" coordorigin="4608,10941" coordsize="805,384">
              <v:shape style="position:absolute;left:4608;top:10941;width:805;height:384" coordorigin="4608,10941" coordsize="805,384" path="m4608,11324l5412,10941e" filled="false" stroked="true" strokeweight=".968pt" strokecolor="#8c8f90">
                <v:path arrowok="t"/>
              </v:shape>
            </v:group>
            <v:group style="position:absolute;left:5618;top:10636;width:435;height:207" coordorigin="5618,10636" coordsize="435,207">
              <v:shape style="position:absolute;left:5618;top:10636;width:435;height:207" coordorigin="5618,10636" coordsize="435,207" path="m5618,10843l6052,10636e" filled="false" stroked="true" strokeweight=".968pt" strokecolor="#8c8f90">
                <v:path arrowok="t"/>
              </v:shape>
            </v:group>
            <v:group style="position:absolute;left:6160;top:10284;width:632;height:301" coordorigin="6160,10284" coordsize="632,301">
              <v:shape style="position:absolute;left:6160;top:10284;width:632;height:301" coordorigin="6160,10284" coordsize="632,301" path="m6160,10585l6791,10284e" filled="false" stroked="true" strokeweight=".968pt" strokecolor="#8c8f90">
                <v:path arrowok="t"/>
              </v:shape>
            </v:group>
            <v:group style="position:absolute;left:7129;top:9640;width:567;height:202" coordorigin="7129,9640" coordsize="567,202">
              <v:shape style="position:absolute;left:7129;top:9640;width:567;height:202" coordorigin="7129,9640" coordsize="567,202" path="m7129,9842l7695,9640e" filled="false" stroked="true" strokeweight="1.452pt" strokecolor="#8c8f90">
                <v:path arrowok="t"/>
              </v:shape>
            </v:group>
            <v:group style="position:absolute;left:6250;top:9956;width:560;height:200" coordorigin="6250,9956" coordsize="560,200">
              <v:shape style="position:absolute;left:6250;top:9956;width:560;height:200" coordorigin="6250,9956" coordsize="560,200" path="m6250,10155l6810,9956e" filled="false" stroked="true" strokeweight="1.452pt" strokecolor="#8c8f90">
                <v:path arrowok="t"/>
              </v:shape>
            </v:group>
            <v:group style="position:absolute;left:4882;top:10454;width:531;height:190" coordorigin="4882,10454" coordsize="531,190">
              <v:shape style="position:absolute;left:4882;top:10454;width:531;height:190" coordorigin="4882,10454" coordsize="531,190" path="m4882,10643l5412,10454e" filled="false" stroked="true" strokeweight="1.452pt" strokecolor="#8c8f90">
                <v:path arrowok="t"/>
              </v:shape>
            </v:group>
            <v:group style="position:absolute;left:4017;top:10712;width:673;height:240" coordorigin="4017,10712" coordsize="673,240">
              <v:shape style="position:absolute;left:4017;top:10712;width:673;height:240" coordorigin="4017,10712" coordsize="673,240" path="m4017,10952l4690,10712e" filled="false" stroked="true" strokeweight="1.452pt" strokecolor="#8c8f90">
                <v:path arrowok="t"/>
              </v:shape>
            </v:group>
            <v:group style="position:absolute;left:5467;top:10400;width:97;height:35" coordorigin="5467,10400" coordsize="97,35">
              <v:shape style="position:absolute;left:5467;top:10400;width:97;height:35" coordorigin="5467,10400" coordsize="97,35" path="m5467,10434l5564,10400e" filled="false" stroked="true" strokeweight="1.452pt" strokecolor="#8c8f90">
                <v:path arrowok="t"/>
              </v:shape>
            </v:group>
            <v:group style="position:absolute;left:6262;top:8274;width:549;height:127" coordorigin="6262,8274" coordsize="549,127">
              <v:shape style="position:absolute;left:6262;top:8274;width:549;height:127" coordorigin="6262,8274" coordsize="549,127" path="m6810,8401l6262,8274e" filled="false" stroked="true" strokeweight=".484pt" strokecolor="#9c8758">
                <v:path arrowok="t"/>
              </v:shape>
            </v:group>
            <v:group style="position:absolute;left:4156;top:7788;width:1946;height:450" coordorigin="4156,7788" coordsize="1946,450">
              <v:shape style="position:absolute;left:4156;top:7788;width:1946;height:450" coordorigin="4156,7788" coordsize="1946,450" path="m6102,8237l4156,7788e" filled="false" stroked="true" strokeweight=".484pt" strokecolor="#9c8758">
                <v:path arrowok="t"/>
              </v:shape>
            </v:group>
            <v:group style="position:absolute;left:6262;top:8461;width:549;height:93" coordorigin="6262,8461" coordsize="549,93">
              <v:shape style="position:absolute;left:6262;top:8461;width:549;height:93" coordorigin="6262,8461" coordsize="549,93" path="m6810,8554l6262,8461e" filled="false" stroked="true" strokeweight=".484pt" strokecolor="#9c8758">
                <v:path arrowok="t"/>
              </v:shape>
            </v:group>
            <v:group style="position:absolute;left:5400;top:8315;width:577;height:98" coordorigin="5400,8315" coordsize="577,98">
              <v:shape style="position:absolute;left:5400;top:8315;width:577;height:98" coordorigin="5400,8315" coordsize="577,98" path="m5977,8412l5400,8315e" filled="false" stroked="true" strokeweight=".484pt" strokecolor="#9c8758">
                <v:path arrowok="t"/>
              </v:shape>
            </v:group>
            <v:group style="position:absolute;left:4156;top:8104;width:926;height:157" coordorigin="4156,8104" coordsize="926,157">
              <v:shape style="position:absolute;left:4156;top:8104;width:926;height:157" coordorigin="4156,8104" coordsize="926,157" path="m5082,8261l4156,8104e" filled="false" stroked="true" strokeweight=".484pt" strokecolor="#9c8758">
                <v:path arrowok="t"/>
              </v:shape>
            </v:group>
            <v:group style="position:absolute;left:6262;top:7850;width:763;height:274" coordorigin="6262,7850" coordsize="763,274">
              <v:shape style="position:absolute;left:6262;top:7850;width:763;height:274" coordorigin="6262,7850" coordsize="763,274" path="m7024,8124l6262,7850e" filled="false" stroked="true" strokeweight=".242pt" strokecolor="#8c8f90">
                <v:path arrowok="t"/>
              </v:shape>
            </v:group>
            <v:group style="position:absolute;left:6070;top:7781;width:33;height:12" coordorigin="6070,7781" coordsize="33,12">
              <v:shape style="position:absolute;left:6070;top:7781;width:33;height:12" coordorigin="6070,7781" coordsize="33,12" path="m6102,7793l6070,7781e" filled="false" stroked="true" strokeweight=".242pt" strokecolor="#8c8f90">
                <v:path arrowok="t"/>
              </v:shape>
            </v:group>
            <v:group style="position:absolute;left:4845;top:7341;width:571;height:206" coordorigin="4845,7341" coordsize="571,206">
              <v:shape style="position:absolute;left:4845;top:7341;width:571;height:206" coordorigin="4845,7341" coordsize="571,206" path="m5416,7546l4845,7341e" filled="false" stroked="true" strokeweight=".242pt" strokecolor="#8c8f90">
                <v:path arrowok="t"/>
              </v:shape>
            </v:group>
            <v:group style="position:absolute;left:6500;top:7684;width:850;height:378" coordorigin="6500,7684" coordsize="850,378">
              <v:shape style="position:absolute;left:6500;top:7684;width:850;height:378" coordorigin="6500,7684" coordsize="850,378" path="m7350,8061l6500,7684e" filled="false" stroked="true" strokeweight=".242pt" strokecolor="#8c8f90">
                <v:path arrowok="t"/>
              </v:shape>
            </v:group>
            <v:group style="position:absolute;left:6428;top:7701;width:868;height:372" coordorigin="6428,7701" coordsize="868,372">
              <v:shape style="position:absolute;left:6428;top:7701;width:868;height:372" coordorigin="6428,7701" coordsize="868,372" path="m6428,7701l7296,8072e" filled="false" stroked="true" strokeweight=".968pt" strokecolor="#9c8758">
                <v:path arrowok="t"/>
              </v:shape>
            </v:group>
            <v:group style="position:absolute;left:7523;top:7868;width:211;height:123" coordorigin="7523,7868" coordsize="211,123">
              <v:shape style="position:absolute;left:7523;top:7868;width:211;height:123" coordorigin="7523,7868" coordsize="211,123" path="m7523,7868l7733,7990e" filled="false" stroked="true" strokeweight="1.452pt" strokecolor="#8c8f90">
                <v:path arrowok="t"/>
              </v:shape>
            </v:group>
            <v:group style="position:absolute;left:6794;top:7629;width:769;height:394" coordorigin="6794,7629" coordsize="769,394">
              <v:shape style="position:absolute;left:6794;top:7629;width:769;height:394" coordorigin="6794,7629" coordsize="769,394" path="m6794,7629l7562,8023e" filled="false" stroked="true" strokeweight=".968pt" strokecolor="#9c8758">
                <v:path arrowok="t"/>
              </v:shape>
            </v:group>
            <v:group style="position:absolute;left:6262;top:7737;width:924;height:365" coordorigin="6262,7737" coordsize="924,365">
              <v:shape style="position:absolute;left:6262;top:7737;width:924;height:365" coordorigin="6262,7737" coordsize="924,365" path="m6262,7737l7185,8101e" filled="false" stroked="true" strokeweight=".968pt" strokecolor="#9c8758">
                <v:path arrowok="t"/>
              </v:shape>
            </v:group>
            <v:group style="position:absolute;left:5209;top:7321;width:188;height:75" coordorigin="5209,7321" coordsize="188,75">
              <v:shape style="position:absolute;left:5209;top:7321;width:188;height:75" coordorigin="5209,7321" coordsize="188,75" path="m5209,7321l5397,7395e" filled="false" stroked="true" strokeweight=".968pt" strokecolor="#9c8758">
                <v:path arrowok="t"/>
              </v:shape>
            </v:group>
            <v:group style="position:absolute;left:7195;top:7523;width:679;height:441" coordorigin="7195,7523" coordsize="679,441">
              <v:shape style="position:absolute;left:7195;top:7523;width:679;height:441" coordorigin="7195,7523" coordsize="679,441" path="m7195,7523l7873,7964e" filled="false" stroked="true" strokeweight="1.452pt" strokecolor="#9c8758">
                <v:path arrowok="t"/>
              </v:shape>
            </v:group>
            <v:group style="position:absolute;left:6262;top:7913;width:684;height:233" coordorigin="6262,7913" coordsize="684,233">
              <v:shape style="position:absolute;left:6262;top:7913;width:684;height:233" coordorigin="6262,7913" coordsize="684,233" path="m6262,7913l6945,8145e" filled="false" stroked="true" strokeweight=".968pt" strokecolor="#9c8758">
                <v:path arrowok="t"/>
              </v:shape>
            </v:group>
            <v:group style="position:absolute;left:5874;top:7781;width:229;height:78" coordorigin="5874,7781" coordsize="229,78">
              <v:shape style="position:absolute;left:5874;top:7781;width:229;height:78" coordorigin="5874,7781" coordsize="229,78" path="m5874,7781l6102,7859e" filled="false" stroked="true" strokeweight=".968pt" strokecolor="#9c8758">
                <v:path arrowok="t"/>
              </v:shape>
            </v:group>
            <v:group style="position:absolute;left:4758;top:7402;width:666;height:227" coordorigin="4758,7402" coordsize="666,227">
              <v:shape style="position:absolute;left:4758;top:7402;width:666;height:227" coordorigin="4758,7402" coordsize="666,227" path="m4758,7402l5423,7628e" filled="false" stroked="true" strokeweight=".968pt" strokecolor="#9c8758">
                <v:path arrowok="t"/>
              </v:shape>
            </v:group>
            <v:group style="position:absolute;left:7276;top:7501;width:660;height:451" coordorigin="7276,7501" coordsize="660,451">
              <v:shape style="position:absolute;left:7276;top:7501;width:660;height:451" coordorigin="7276,7501" coordsize="660,451" path="m7276,7501l7936,7952e" filled="false" stroked="true" strokeweight=".968pt" strokecolor="#8c8f90">
                <v:path arrowok="t"/>
              </v:shape>
            </v:group>
            <v:group style="position:absolute;left:7061;top:7560;width:245;height:147" coordorigin="7061,7560" coordsize="245,147">
              <v:shape style="position:absolute;left:7061;top:7560;width:245;height:147" coordorigin="7061,7560" coordsize="245,147" path="m7061,7560l7306,7706e" filled="false" stroked="true" strokeweight=".968pt" strokecolor="#8c8f90">
                <v:path arrowok="t"/>
              </v:shape>
            </v:group>
            <v:group style="position:absolute;left:6262;top:8784;width:1876;height:129" coordorigin="6262,8784" coordsize="1876,129">
              <v:shape style="position:absolute;left:6262;top:8784;width:1876;height:129" coordorigin="6262,8784" coordsize="1876,129" path="m6262,8784l8137,8913e" filled="false" stroked="true" strokeweight=".484pt" strokecolor="#9c8758">
                <v:path arrowok="t"/>
              </v:shape>
            </v:group>
            <v:group style="position:absolute;left:4444;top:8659;width:568;height:39" coordorigin="4444,8659" coordsize="568,39">
              <v:shape style="position:absolute;left:4444;top:8659;width:568;height:39" coordorigin="4444,8659" coordsize="568,39" path="m4444,8659l5011,8698e" filled="false" stroked="true" strokeweight=".484pt" strokecolor="#9c8758">
                <v:path arrowok="t"/>
              </v:shape>
            </v:group>
            <v:group style="position:absolute;left:5253;top:8715;width:209;height:15" coordorigin="5253,8715" coordsize="209,15">
              <v:shape style="position:absolute;left:5253;top:8715;width:209;height:15" coordorigin="5253,8715" coordsize="209,15" path="m5253,8715l5462,8729e" filled="false" stroked="true" strokeweight=".484pt" strokecolor="#9c8758">
                <v:path arrowok="t"/>
              </v:shape>
            </v:group>
            <v:group style="position:absolute;left:6609;top:7676;width:822;height:381" coordorigin="6609,7676" coordsize="822,381">
              <v:shape style="position:absolute;left:6609;top:7676;width:822;height:381" coordorigin="6609,7676" coordsize="822,381" path="m6609,7676l7431,8057e" filled="false" stroked="true" strokeweight="1.452pt" strokecolor="#9c8758">
                <v:path arrowok="t"/>
              </v:shape>
            </v:group>
            <v:group style="position:absolute;left:7613;top:11602;width:82;height:119" coordorigin="7613,11602" coordsize="82,119">
              <v:shape style="position:absolute;left:7613;top:11602;width:82;height:119" coordorigin="7613,11602" coordsize="82,119" path="m7695,11602l7613,11721e" filled="false" stroked="true" strokeweight=".968pt" strokecolor="#9c8758">
                <v:path arrowok="t"/>
              </v:shape>
            </v:group>
            <v:group style="position:absolute;left:7412;top:7443;width:644;height:487" coordorigin="7412,7443" coordsize="644,487">
              <v:shape style="position:absolute;left:7412;top:7443;width:644;height:487" coordorigin="7412,7443" coordsize="644,487" path="m7412,7443l8055,7930e" filled="false" stroked="true" strokeweight=".242pt" strokecolor="#8c8f90">
                <v:path arrowok="t"/>
              </v:shape>
            </v:group>
            <v:group style="position:absolute;left:5814;top:10921;width:546;height:335" coordorigin="5814,10921" coordsize="546,335">
              <v:shape style="position:absolute;left:5814;top:10921;width:546;height:335" coordorigin="5814,10921" coordsize="546,335" path="m6359,10921l5814,11256e" filled="false" stroked="true" strokeweight=".242pt" strokecolor="#8c8f90">
                <v:path arrowok="t"/>
              </v:shape>
            </v:group>
            <v:group style="position:absolute;left:7129;top:10100;width:567;height:348" coordorigin="7129,10100" coordsize="567,348">
              <v:shape style="position:absolute;left:7129;top:10100;width:567;height:348" coordorigin="7129,10100" coordsize="567,348" path="m7695,10100l7129,10448e" filled="false" stroked="true" strokeweight=".242pt" strokecolor="#8c8f90">
                <v:path arrowok="t"/>
              </v:shape>
            </v:group>
            <v:group style="position:absolute;left:6359;top:10741;width:293;height:180" coordorigin="6359,10741" coordsize="293,180">
              <v:shape style="position:absolute;left:6359;top:10741;width:293;height:180" coordorigin="6359,10741" coordsize="293,180" path="m6652,10741l6359,10921e" filled="false" stroked="true" strokeweight=".242pt" strokecolor="#8c8f90">
                <v:path arrowok="t"/>
              </v:shape>
            </v:group>
            <v:group style="position:absolute;left:6652;top:10703;width:63;height:39" coordorigin="6652,10703" coordsize="63,39">
              <v:shape style="position:absolute;left:6652;top:10703;width:63;height:39" coordorigin="6652,10703" coordsize="63,39" path="m6714,10703l6652,10741e" filled="false" stroked="true" strokeweight=".242pt" strokecolor="#8c8f90">
                <v:path arrowok="t"/>
              </v:shape>
            </v:group>
            <v:group style="position:absolute;left:4630;top:11036;width:783;height:392" coordorigin="4630,11036" coordsize="783,392">
              <v:shape style="position:absolute;left:4630;top:11036;width:783;height:392" coordorigin="4630,11036" coordsize="783,392" path="m5412,11036l4630,11428e" filled="false" stroked="true" strokeweight=".242pt" strokecolor="#9c8758">
                <v:path arrowok="t"/>
              </v:shape>
            </v:group>
            <v:group style="position:absolute;left:7129;top:9870;width:567;height:283" coordorigin="7129,9870" coordsize="567,283">
              <v:shape style="position:absolute;left:7129;top:9870;width:567;height:283" coordorigin="7129,9870" coordsize="567,283" path="m7695,9870l7129,10153e" filled="false" stroked="true" strokeweight=".242pt" strokecolor="#8c8f90">
                <v:path arrowok="t"/>
              </v:shape>
            </v:group>
            <v:group style="position:absolute;left:6141;top:10325;width:646;height:323" coordorigin="6141,10325" coordsize="646,323">
              <v:shape style="position:absolute;left:6141;top:10325;width:646;height:323" coordorigin="6141,10325" coordsize="646,323" path="m6786,10325l6141,10647e" filled="false" stroked="true" strokeweight=".242pt" strokecolor="#8c8f90">
                <v:path arrowok="t"/>
              </v:shape>
            </v:group>
            <v:group style="position:absolute;left:5759;top:10921;width:849;height:567" coordorigin="5759,10921" coordsize="849,567">
              <v:shape style="position:absolute;left:5759;top:10921;width:849;height:567" coordorigin="5759,10921" coordsize="849,567" path="m6608,10921l5759,11488e" filled="false" stroked="true" strokeweight=".968pt" strokecolor="#9c8758">
                <v:path arrowok="t"/>
              </v:shape>
            </v:group>
            <v:group style="position:absolute;left:7129;top:10195;width:567;height:379" coordorigin="7129,10195" coordsize="567,379">
              <v:shape style="position:absolute;left:7129;top:10195;width:567;height:379" coordorigin="7129,10195" coordsize="567,379" path="m7695,10195l7129,10573e" filled="false" stroked="true" strokeweight=".968pt" strokecolor="#9c8758">
                <v:path arrowok="t"/>
              </v:shape>
            </v:group>
            <v:group style="position:absolute;left:6608;top:10882;width:59;height:40" coordorigin="6608,10882" coordsize="59,40">
              <v:shape style="position:absolute;left:6608;top:10882;width:59;height:40" coordorigin="6608,10882" coordsize="59,40" path="m6667,10882l6608,10921e" filled="false" stroked="true" strokeweight=".968pt" strokecolor="#9c8758">
                <v:path arrowok="t"/>
              </v:shape>
            </v:group>
            <v:group style="position:absolute;left:4648;top:11156;width:765;height:405" coordorigin="4648,11156" coordsize="765,405">
              <v:shape style="position:absolute;left:4648;top:11156;width:765;height:405" coordorigin="4648,11156" coordsize="765,405" path="m5412,11156l4648,11561e" filled="false" stroked="true" strokeweight="1.452pt" strokecolor="#8c8f90">
                <v:path arrowok="t"/>
              </v:shape>
            </v:group>
            <v:group style="position:absolute;left:5681;top:10741;width:516;height:274" coordorigin="5681,10741" coordsize="516,274">
              <v:shape style="position:absolute;left:5681;top:10741;width:516;height:274" coordorigin="5681,10741" coordsize="516,274" path="m6197,10741l5681,11014e" filled="false" stroked="true" strokeweight="1.452pt" strokecolor="#8c8f90">
                <v:path arrowok="t"/>
              </v:shape>
            </v:group>
            <v:group style="position:absolute;left:6197;top:10630;width:211;height:112" coordorigin="6197,10630" coordsize="211,112">
              <v:shape style="position:absolute;left:6197;top:10630;width:211;height:112" coordorigin="6197,10630" coordsize="211,112" path="m6408,10630l6197,10741e" filled="false" stroked="true" strokeweight="1.452pt" strokecolor="#8c8f90">
                <v:path arrowok="t"/>
              </v:shape>
            </v:group>
            <v:group style="position:absolute;left:7129;top:9948;width:567;height:300" coordorigin="7129,9948" coordsize="567,300">
              <v:shape style="position:absolute;left:7129;top:9948;width:567;height:300" coordorigin="7129,9948" coordsize="567,300" path="m7695,9948l7129,10248e" filled="false" stroked="true" strokeweight="1.452pt" strokecolor="#8c8f90">
                <v:path arrowok="t"/>
              </v:shape>
            </v:group>
            <v:group style="position:absolute;left:6587;top:10438;width:183;height:97" coordorigin="6587,10438" coordsize="183,97">
              <v:shape style="position:absolute;left:6587;top:10438;width:183;height:97" coordorigin="6587,10438" coordsize="183,97" path="m6770,10438l6587,10534e" filled="false" stroked="true" strokeweight="1.452pt" strokecolor="#8c8f90">
                <v:path arrowok="t"/>
              </v:shape>
            </v:group>
            <v:group style="position:absolute;left:5749;top:10921;width:712;height:453" coordorigin="5749,10921" coordsize="712,453">
              <v:shape style="position:absolute;left:5749;top:10921;width:712;height:453" coordorigin="5749,10921" coordsize="712,453" path="m6460,10921l5749,11373e" filled="false" stroked="true" strokeweight="1.452pt" strokecolor="#8c8f90">
                <v:path arrowok="t"/>
              </v:shape>
            </v:group>
            <v:group style="position:absolute;left:6460;top:10770;width:238;height:151" coordorigin="6460,10770" coordsize="238,151">
              <v:shape style="position:absolute;left:6460;top:10770;width:238;height:151" coordorigin="6460,10770" coordsize="238,151" path="m6697,10770l6460,10921e" filled="false" stroked="true" strokeweight="1.452pt" strokecolor="#8c8f90">
                <v:path arrowok="t"/>
              </v:shape>
            </v:group>
            <v:group style="position:absolute;left:7129;top:10137;width:567;height:360" coordorigin="7129,10137" coordsize="567,360">
              <v:shape style="position:absolute;left:7129;top:10137;width:567;height:360" coordorigin="7129,10137" coordsize="567,360" path="m7695,10137l7129,10496e" filled="false" stroked="true" strokeweight="1.452pt" strokecolor="#8c8f90">
                <v:path arrowok="t"/>
              </v:shape>
            </v:group>
            <v:group style="position:absolute;left:7129;top:9995;width:567;height:315" coordorigin="7129,9995" coordsize="567,315">
              <v:shape style="position:absolute;left:7129;top:9995;width:567;height:315" coordorigin="7129,9995" coordsize="567,315" path="m7695,9995l7129,10310e" filled="false" stroked="true" strokeweight=".484pt" strokecolor="#9c8758">
                <v:path arrowok="t"/>
              </v:shape>
            </v:group>
            <v:group style="position:absolute;left:4734;top:11262;width:683;height:380" coordorigin="4734,11262" coordsize="683,380">
              <v:shape style="position:absolute;left:4734;top:11262;width:683;height:380" coordorigin="4734,11262" coordsize="683,380" path="m5417,11262l4734,11641e" filled="false" stroked="true" strokeweight=".484pt" strokecolor="#9c8758">
                <v:path arrowok="t"/>
              </v:shape>
            </v:group>
            <v:group style="position:absolute;left:6017;top:10741;width:336;height:187" coordorigin="6017,10741" coordsize="336,187">
              <v:shape style="position:absolute;left:6017;top:10741;width:336;height:187" coordorigin="6017,10741" coordsize="336,187" path="m6353,10741l6017,10928e" filled="false" stroked="true" strokeweight=".484pt" strokecolor="#9c8758">
                <v:path arrowok="t"/>
              </v:shape>
            </v:group>
            <v:group style="position:absolute;left:5712;top:10946;width:273;height:152" coordorigin="5712,10946" coordsize="273,152">
              <v:shape style="position:absolute;left:5712;top:10946;width:273;height:152" coordorigin="5712,10946" coordsize="273,152" path="m5985,10946l5712,11098e" filled="false" stroked="true" strokeweight=".484pt" strokecolor="#9c8758">
                <v:path arrowok="t"/>
              </v:shape>
            </v:group>
            <v:group style="position:absolute;left:6353;top:10516;width:404;height:225" coordorigin="6353,10516" coordsize="404,225">
              <v:shape style="position:absolute;left:6353;top:10516;width:404;height:225" coordorigin="6353,10516" coordsize="404,225" path="m6757,10516l6353,10741e" filled="false" stroked="true" strokeweight=".484pt" strokecolor="#9c8758">
                <v:path arrowok="t"/>
              </v:shape>
            </v:group>
            <v:group style="position:absolute;left:7129;top:9676;width:567;height:214" coordorigin="7129,9676" coordsize="567,214">
              <v:shape style="position:absolute;left:7129;top:9676;width:567;height:214" coordorigin="7129,9676" coordsize="567,214" path="m7695,9676l7129,9889e" filled="false" stroked="true" strokeweight=".242pt" strokecolor="#9c8758">
                <v:path arrowok="t"/>
              </v:shape>
            </v:group>
            <v:group style="position:absolute;left:4882;top:10535;width:531;height:200" coordorigin="4882,10535" coordsize="531,200">
              <v:shape style="position:absolute;left:4882;top:10535;width:531;height:200" coordorigin="4882,10535" coordsize="531,200" path="m5412,10535l4882,10735e" filled="false" stroked="true" strokeweight=".242pt" strokecolor="#9c8758">
                <v:path arrowok="t"/>
              </v:shape>
            </v:group>
            <v:group style="position:absolute;left:3981;top:10833;width:639;height:241" coordorigin="3981,10833" coordsize="639,241">
              <v:shape style="position:absolute;left:3981;top:10833;width:639;height:241" coordorigin="3981,10833" coordsize="639,241" path="m4620,10833l3981,11074e" filled="false" stroked="true" strokeweight=".242pt" strokecolor="#9c8758">
                <v:path arrowok="t"/>
              </v:shape>
            </v:group>
            <v:group style="position:absolute;left:5493;top:10346;width:421;height:159" coordorigin="5493,10346" coordsize="421,159">
              <v:shape style="position:absolute;left:5493;top:10346;width:421;height:159" coordorigin="5493,10346" coordsize="421,159" path="m5914,10346l5493,10505e" filled="false" stroked="true" strokeweight=".242pt" strokecolor="#9c8758">
                <v:path arrowok="t"/>
              </v:shape>
            </v:group>
            <v:group style="position:absolute;left:6240;top:10009;width:570;height:215" coordorigin="6240,10009" coordsize="570,215">
              <v:shape style="position:absolute;left:6240;top:10009;width:570;height:215" coordorigin="6240,10009" coordsize="570,215" path="m6810,10009l6240,10223e" filled="false" stroked="true" strokeweight=".242pt" strokecolor="#9c8758">
                <v:path arrowok="t"/>
              </v:shape>
            </v:group>
            <v:group style="position:absolute;left:5966;top:10921;width:193;height:112" coordorigin="5966,10921" coordsize="193,112">
              <v:shape style="position:absolute;left:5966;top:10921;width:193;height:112" coordorigin="5966,10921" coordsize="193,112" path="m6159,10921l5966,11032e" filled="false" stroked="true" strokeweight=".968pt" strokecolor="#8c8f90">
                <v:path arrowok="t"/>
              </v:shape>
            </v:group>
            <v:group style="position:absolute;left:7129;top:10034;width:567;height:327" coordorigin="7129,10034" coordsize="567,327">
              <v:shape style="position:absolute;left:7129;top:10034;width:567;height:327" coordorigin="7129,10034" coordsize="567,327" path="m7695,10034l7129,10361e" filled="false" stroked="true" strokeweight=".968pt" strokecolor="#8c8f90">
                <v:path arrowok="t"/>
              </v:shape>
            </v:group>
            <v:group style="position:absolute;left:4913;top:11353;width:499;height:288" coordorigin="4913,11353" coordsize="499,288">
              <v:shape style="position:absolute;left:4913;top:11353;width:499;height:288" coordorigin="4913,11353" coordsize="499,288" path="m5411,11353l4913,11641e" filled="false" stroked="true" strokeweight=".968pt" strokecolor="#8c8f90">
                <v:path arrowok="t"/>
              </v:shape>
            </v:group>
            <v:group style="position:absolute;left:6159;top:10741;width:312;height:180" coordorigin="6159,10741" coordsize="312,180">
              <v:shape style="position:absolute;left:6159;top:10741;width:312;height:180" coordorigin="6159,10741" coordsize="312,180" path="m6471,10741l6159,10921e" filled="false" stroked="true" strokeweight=".968pt" strokecolor="#8c8f90">
                <v:path arrowok="t"/>
              </v:shape>
            </v:group>
            <v:group style="position:absolute;left:6471;top:10583;width:275;height:159" coordorigin="6471,10583" coordsize="275,159">
              <v:shape style="position:absolute;left:6471;top:10583;width:275;height:159" coordorigin="6471,10583" coordsize="275,159" path="m6745,10583l6471,10741e" filled="false" stroked="true" strokeweight=".968pt" strokecolor="#8c8f90">
                <v:path arrowok="t"/>
              </v:shape>
            </v:group>
            <v:group style="position:absolute;left:4579;top:10829;width:834;height:374" coordorigin="4579,10829" coordsize="834,374">
              <v:shape style="position:absolute;left:4579;top:10829;width:834;height:374" coordorigin="4579,10829" coordsize="834,374" path="m5412,10829l4579,11203e" filled="false" stroked="true" strokeweight="1.452pt" strokecolor="#9c8758">
                <v:path arrowok="t"/>
              </v:shape>
            </v:group>
            <v:group style="position:absolute;left:4315;top:11321;width:2;height:2" coordorigin="4315,11321" coordsize="2,2">
              <v:shape style="position:absolute;left:4315;top:11321;width:2;height:2" coordorigin="4315,11321" coordsize="1,1" path="m4316,11321l4315,11321e" filled="false" stroked="true" strokeweight="1.452pt" strokecolor="#9c8758">
                <v:path arrowok="t"/>
              </v:shape>
            </v:group>
            <v:group style="position:absolute;left:5584;top:10559;width:430;height:193" coordorigin="5584,10559" coordsize="430,193">
              <v:shape style="position:absolute;left:5584;top:10559;width:430;height:193" coordorigin="5584,10559" coordsize="430,193" path="m6013,10559l5584,10751e" filled="false" stroked="true" strokeweight="1.452pt" strokecolor="#9c8758">
                <v:path arrowok="t"/>
              </v:shape>
            </v:group>
            <v:group style="position:absolute;left:6191;top:10457;width:50;height:23" coordorigin="6191,10457" coordsize="50,23">
              <v:shape style="position:absolute;left:6191;top:10457;width:50;height:23" coordorigin="6191,10457" coordsize="50,23" path="m6241,10457l6191,10479e" filled="false" stroked="true" strokeweight="1.452pt" strokecolor="#9c8758">
                <v:path arrowok="t"/>
              </v:shape>
            </v:group>
            <v:group style="position:absolute;left:7129;top:9878;width:403;height:181" coordorigin="7129,9878" coordsize="403,181">
              <v:shape style="position:absolute;left:7129;top:9878;width:403;height:181" coordorigin="7129,9878" coordsize="403,181" path="m7531,9878l7129,10058e" filled="false" stroked="true" strokeweight="1.452pt" strokecolor="#8c8f90">
                <v:path arrowok="t"/>
              </v:shape>
            </v:group>
            <v:group style="position:absolute;left:6556;top:10207;width:243;height:109" coordorigin="6556,10207" coordsize="243,109">
              <v:shape style="position:absolute;left:6556;top:10207;width:243;height:109" coordorigin="6556,10207" coordsize="243,109" path="m6799,10207l6556,10315e" filled="false" stroked="true" strokeweight="1.452pt" strokecolor="#8c8f90">
                <v:path arrowok="t"/>
              </v:shape>
            </v:group>
            <v:group style="position:absolute;left:7129;top:9605;width:567;height:191" coordorigin="7129,9605" coordsize="567,191">
              <v:shape style="position:absolute;left:7129;top:9605;width:567;height:191" coordorigin="7129,9605" coordsize="567,191" path="m7695,9605l7129,9796e" filled="false" stroked="true" strokeweight=".484pt" strokecolor="#9c8758">
                <v:path arrowok="t"/>
              </v:shape>
            </v:group>
            <v:group style="position:absolute;left:4882;top:10374;width:531;height:179" coordorigin="4882,10374" coordsize="531,179">
              <v:shape style="position:absolute;left:4882;top:10374;width:531;height:179" coordorigin="4882,10374" coordsize="531,179" path="m5412,10374l4882,10553e" filled="false" stroked="true" strokeweight=".484pt" strokecolor="#9c8758">
                <v:path arrowok="t"/>
              </v:shape>
            </v:group>
            <v:group style="position:absolute;left:4095;top:10597;width:657;height:222" coordorigin="4095,10597" coordsize="657,222">
              <v:shape style="position:absolute;left:4095;top:10597;width:657;height:222" coordorigin="4095,10597" coordsize="657,222" path="m4752,10597l4095,10818e" filled="false" stroked="true" strokeweight=".484pt" strokecolor="#9c8758">
                <v:path arrowok="t"/>
              </v:shape>
            </v:group>
            <v:group style="position:absolute;left:5721;top:10229;width:124;height:42" coordorigin="5721,10229" coordsize="124,42">
              <v:shape style="position:absolute;left:5721;top:10229;width:124;height:42" coordorigin="5721,10229" coordsize="124,42" path="m5844,10229l5721,10270e" filled="false" stroked="true" strokeweight=".484pt" strokecolor="#9c8758">
                <v:path arrowok="t"/>
              </v:shape>
            </v:group>
            <v:group style="position:absolute;left:6256;top:9903;width:555;height:187" coordorigin="6256,9903" coordsize="555,187">
              <v:shape style="position:absolute;left:6256;top:9903;width:555;height:187" coordorigin="6256,9903" coordsize="555,187" path="m6810,9903l6256,10090e" filled="false" stroked="true" strokeweight=".484pt" strokecolor="#9c8758">
                <v:path arrowok="t"/>
              </v:shape>
            </v:group>
            <v:group style="position:absolute;left:4202;top:10488;width:455;height:140" coordorigin="4202,10488" coordsize="455,140">
              <v:shape style="position:absolute;left:4202;top:10488;width:455;height:140" coordorigin="4202,10488" coordsize="455,140" path="m4657,10488l4202,10627e" filled="false" stroked="true" strokeweight=".968pt" strokecolor="#9c8758">
                <v:path arrowok="t"/>
              </v:shape>
            </v:group>
            <v:group style="position:absolute;left:7129;top:9552;width:567;height:174" coordorigin="7129,9552" coordsize="567,174">
              <v:shape style="position:absolute;left:7129;top:9552;width:567;height:174" coordorigin="7129,9552" coordsize="567,174" path="m7695,9552l7129,9726e" filled="false" stroked="true" strokeweight=".968pt" strokecolor="#9c8758">
                <v:path arrowok="t"/>
              </v:shape>
            </v:group>
            <v:group style="position:absolute;left:4896;top:10254;width:516;height:159" coordorigin="4896,10254" coordsize="516,159">
              <v:shape style="position:absolute;left:4896;top:10254;width:516;height:159" coordorigin="4896,10254" coordsize="516,159" path="m5412,10254l4896,10412e" filled="false" stroked="true" strokeweight=".968pt" strokecolor="#9c8758">
                <v:path arrowok="t"/>
              </v:shape>
            </v:group>
            <v:group style="position:absolute;left:6260;top:9824;width:550;height:169" coordorigin="6260,9824" coordsize="550,169">
              <v:shape style="position:absolute;left:6260;top:9824;width:550;height:169" coordorigin="6260,9824" coordsize="550,169" path="m6810,9824l6260,9993e" filled="false" stroked="true" strokeweight=".968pt" strokecolor="#9c8758">
                <v:path arrowok="t"/>
              </v:shape>
            </v:group>
            <v:group style="position:absolute;left:5909;top:10052;width:158;height:49" coordorigin="5909,10052" coordsize="158,49">
              <v:shape style="position:absolute;left:5909;top:10052;width:158;height:49" coordorigin="5909,10052" coordsize="158,49" path="m6067,10052l5909,10101e" filled="false" stroked="true" strokeweight=".968pt" strokecolor="#9c8758">
                <v:path arrowok="t"/>
              </v:shape>
            </v:group>
            <v:group style="position:absolute;left:7129;top:9422;width:567;height:133" coordorigin="7129,9422" coordsize="567,133">
              <v:shape style="position:absolute;left:7129;top:9422;width:567;height:133" coordorigin="7129,9422" coordsize="567,133" path="m7129,9555l7695,9422e" filled="false" stroked="true" strokeweight=".968pt" strokecolor="#8c8f90">
                <v:path arrowok="t"/>
              </v:shape>
            </v:group>
            <v:group style="position:absolute;left:6262;top:9629;width:549;height:129" coordorigin="6262,9629" coordsize="549,129">
              <v:shape style="position:absolute;left:6262;top:9629;width:549;height:129" coordorigin="6262,9629" coordsize="549,129" path="m6262,9757l6810,9629e" filled="false" stroked="true" strokeweight=".968pt" strokecolor="#8c8f90">
                <v:path arrowok="t"/>
              </v:shape>
            </v:group>
            <v:group style="position:absolute;left:8126;top:9319;width:11;height:3" coordorigin="8126,9319" coordsize="11,3">
              <v:shape style="position:absolute;left:8126;top:9319;width:11;height:3" coordorigin="8126,9319" coordsize="11,3" path="m8126,9321l8137,9319e" filled="false" stroked="true" strokeweight=".968pt" strokecolor="#8c8f90">
                <v:path arrowok="t"/>
              </v:shape>
            </v:group>
            <v:group style="position:absolute;left:4794;top:9966;width:575;height:135" coordorigin="4794,9966" coordsize="575,135">
              <v:shape style="position:absolute;left:4794;top:9966;width:575;height:135" coordorigin="4794,9966" coordsize="575,135" path="m4794,10101l5369,9966e" filled="false" stroked="true" strokeweight=".968pt" strokecolor="#8c8f90">
                <v:path arrowok="t"/>
              </v:shape>
            </v:group>
            <v:group style="position:absolute;left:7129;top:9321;width:54;height:8" coordorigin="7129,9321" coordsize="54,8">
              <v:shape style="position:absolute;left:7129;top:9321;width:54;height:8" coordorigin="7129,9321" coordsize="54,8" path="m7129,9328l7182,9321e" filled="false" stroked="true" strokeweight="1.452pt" strokecolor="#8c8f90">
                <v:path arrowok="t"/>
              </v:shape>
            </v:group>
            <v:group style="position:absolute;left:6262;top:9372;width:549;height:76" coordorigin="6262,9372" coordsize="549,76">
              <v:shape style="position:absolute;left:6262;top:9372;width:549;height:76" coordorigin="6262,9372" coordsize="549,76" path="m6262,9448l6810,9372e" filled="false" stroked="true" strokeweight="1.452pt" strokecolor="#8c8f90">
                <v:path arrowok="t"/>
              </v:shape>
            </v:group>
            <v:group style="position:absolute;left:7182;top:9189;width:955;height:132" coordorigin="7182,9189" coordsize="955,132">
              <v:shape style="position:absolute;left:7182;top:9189;width:955;height:132" coordorigin="7182,9189" coordsize="955,132" path="m7182,9321l8137,9189e" filled="false" stroked="true" strokeweight="1.452pt" strokecolor="#8c8f90">
                <v:path arrowok="t"/>
              </v:shape>
            </v:group>
            <v:group style="position:absolute;left:4192;top:9661;width:521;height:72" coordorigin="4192,9661" coordsize="521,72">
              <v:shape style="position:absolute;left:4192;top:9661;width:521;height:72" coordorigin="4192,9661" coordsize="521,72" path="m4192,9733l4712,9661e" filled="false" stroked="true" strokeweight="1.452pt" strokecolor="#9c8758">
                <v:path arrowok="t"/>
              </v:shape>
            </v:group>
            <v:group style="position:absolute;left:4882;top:9565;width:531;height:74" coordorigin="4882,9565" coordsize="531,74">
              <v:shape style="position:absolute;left:4882;top:9565;width:531;height:74" coordorigin="4882,9565" coordsize="531,74" path="m4882,9638l5412,9565e" filled="false" stroked="true" strokeweight="1.452pt" strokecolor="#9c8758">
                <v:path arrowok="t"/>
              </v:shape>
            </v:group>
            <v:group style="position:absolute;left:6262;top:9215;width:1209;height:127" coordorigin="6262,9215" coordsize="1209,127">
              <v:shape style="position:absolute;left:6262;top:9215;width:1209;height:127" coordorigin="6262,9215" coordsize="1209,127" path="m6262,9341l7470,9215e" filled="false" stroked="true" strokeweight=".968pt" strokecolor="#8c8f90">
                <v:path arrowok="t"/>
              </v:shape>
            </v:group>
            <v:group style="position:absolute;left:4893;top:9430;width:520;height:55" coordorigin="4893,9430" coordsize="520,55">
              <v:shape style="position:absolute;left:4893;top:9430;width:520;height:55" coordorigin="4893,9430" coordsize="520,55" path="m4893,9485l5412,9430e" filled="false" stroked="true" strokeweight=".968pt" strokecolor="#8c8f90">
                <v:path arrowok="t"/>
              </v:shape>
            </v:group>
            <v:group style="position:absolute;left:7129;top:9321;width:445;height:74" coordorigin="7129,9321" coordsize="445,74">
              <v:shape style="position:absolute;left:7129;top:9321;width:445;height:74" coordorigin="7129,9321" coordsize="445,74" path="m7129,9395l7573,9321e" filled="false" stroked="true" strokeweight=".968pt" strokecolor="#9c8758">
                <v:path arrowok="t"/>
              </v:shape>
            </v:group>
            <v:group style="position:absolute;left:6262;top:9448;width:549;height:92" coordorigin="6262,9448" coordsize="549,92">
              <v:shape style="position:absolute;left:6262;top:9448;width:549;height:92" coordorigin="6262,9448" coordsize="549,92" path="m6262,9539l6810,9448e" filled="false" stroked="true" strokeweight=".968pt" strokecolor="#9c8758">
                <v:path arrowok="t"/>
              </v:shape>
            </v:group>
            <v:group style="position:absolute;left:7573;top:9227;width:565;height:94" coordorigin="7573,9227" coordsize="565,94">
              <v:shape style="position:absolute;left:7573;top:9227;width:565;height:94" coordorigin="7573,9227" coordsize="565,94" path="m7573,9321l8137,9227e" filled="false" stroked="true" strokeweight=".968pt" strokecolor="#9c8758">
                <v:path arrowok="t"/>
              </v:shape>
            </v:group>
            <v:group style="position:absolute;left:4192;top:9661;width:1333;height:222" coordorigin="4192,9661" coordsize="1333,222">
              <v:shape style="position:absolute;left:4192;top:9661;width:1333;height:222" coordorigin="4192,9661" coordsize="1333,222" path="m4192,9882l5524,9661e" filled="false" stroked="true" strokeweight=".968pt" strokecolor="#9c8758">
                <v:path arrowok="t"/>
              </v:shape>
            </v:group>
            <v:group style="position:absolute;left:7129;top:9380;width:567;height:120" coordorigin="7129,9380" coordsize="567,120">
              <v:shape style="position:absolute;left:7129;top:9380;width:567;height:120" coordorigin="7129,9380" coordsize="567,120" path="m7129,9499l7695,9380e" filled="false" stroked="true" strokeweight=".968pt" strokecolor="#9c8758">
                <v:path arrowok="t"/>
              </v:shape>
            </v:group>
            <v:group style="position:absolute;left:6262;top:9566;width:549;height:116" coordorigin="6262,9566" coordsize="549,116">
              <v:shape style="position:absolute;left:6262;top:9566;width:549;height:116" coordorigin="6262,9566" coordsize="549,116" path="m6262,9681l6810,9566e" filled="false" stroked="true" strokeweight=".968pt" strokecolor="#9c8758">
                <v:path arrowok="t"/>
              </v:shape>
            </v:group>
            <v:group style="position:absolute;left:7974;top:9287;width:163;height:35" coordorigin="7974,9287" coordsize="163,35">
              <v:shape style="position:absolute;left:7974;top:9287;width:163;height:35" coordorigin="7974,9287" coordsize="163,35" path="m7974,9321l8137,9287e" filled="false" stroked="true" strokeweight=".968pt" strokecolor="#9c8758">
                <v:path arrowok="t"/>
              </v:shape>
            </v:group>
            <v:group style="position:absolute;left:4265;top:9722;width:1803;height:379" coordorigin="4265,9722" coordsize="1803,379">
              <v:shape style="position:absolute;left:4265;top:9722;width:1803;height:379" coordorigin="4265,9722" coordsize="1803,379" path="m4265,10101l6067,9722e" filled="false" stroked="true" strokeweight=".968pt" strokecolor="#9c8758">
                <v:path arrowok="t"/>
              </v:shape>
            </v:group>
            <v:group style="position:absolute;left:6262;top:9089;width:1876;height:118" coordorigin="6262,9089" coordsize="1876,118">
              <v:shape style="position:absolute;left:6262;top:9089;width:1876;height:118" coordorigin="6262,9089" coordsize="1876,118" path="m6262,9206l8137,9089e" filled="false" stroked="true" strokeweight="1.452pt" strokecolor="#8c8f90">
                <v:path arrowok="t"/>
              </v:shape>
            </v:group>
            <v:group style="position:absolute;left:4108;top:9214;width:2030;height:128" coordorigin="4108,9214" coordsize="2030,128">
              <v:shape style="position:absolute;left:4108;top:9214;width:2030;height:128" coordorigin="4108,9214" coordsize="2030,128" path="m4108,9341l6138,9214e" filled="false" stroked="true" strokeweight="1.452pt" strokecolor="#8c8f90">
                <v:path arrowok="t"/>
              </v:shape>
            </v:group>
            <v:group style="position:absolute;left:7129;top:9489;width:567;height:154" coordorigin="7129,9489" coordsize="567,154">
              <v:shape style="position:absolute;left:7129;top:9489;width:567;height:154" coordorigin="7129,9489" coordsize="567,154" path="m7695,9489l7129,9643e" filled="false" stroked="true" strokeweight=".242pt" strokecolor="#9c8758">
                <v:path arrowok="t"/>
              </v:shape>
            </v:group>
            <v:group style="position:absolute;left:4882;top:10109;width:531;height:145" coordorigin="4882,10109" coordsize="531,145">
              <v:shape style="position:absolute;left:4882;top:10109;width:531;height:145" coordorigin="4882,10109" coordsize="531,145" path="m5412,10109l4882,10254e" filled="false" stroked="true" strokeweight=".242pt" strokecolor="#9c8758">
                <v:path arrowok="t"/>
              </v:shape>
            </v:group>
            <v:group style="position:absolute;left:4341;top:10333;width:250;height:68" coordorigin="4341,10333" coordsize="250,68">
              <v:shape style="position:absolute;left:4341;top:10333;width:250;height:68" coordorigin="4341,10333" coordsize="250,68" path="m4590,10333l4341,10401e" filled="false" stroked="true" strokeweight=".242pt" strokecolor="#9c8758">
                <v:path arrowok="t"/>
              </v:shape>
            </v:group>
            <v:group style="position:absolute;left:6262;top:9730;width:549;height:150" coordorigin="6262,9730" coordsize="549,150">
              <v:shape style="position:absolute;left:6262;top:9730;width:549;height:150" coordorigin="6262,9730" coordsize="549,150" path="m6810,9730l6262,9879e" filled="false" stroked="true" strokeweight=".242pt" strokecolor="#9c8758">
                <v:path arrowok="t"/>
              </v:shape>
            </v:group>
            <v:group style="position:absolute;left:5443;top:9931;width:624;height:170" coordorigin="5443,9931" coordsize="624,170">
              <v:shape style="position:absolute;left:5443;top:9931;width:624;height:170" coordorigin="5443,9931" coordsize="624,170" path="m6067,9931l5443,10101e" filled="false" stroked="true" strokeweight=".242pt" strokecolor="#9c8758">
                <v:path arrowok="t"/>
              </v:shape>
            </v:group>
            <v:group style="position:absolute;left:7129;top:9723;width:567;height:229" coordorigin="7129,9723" coordsize="567,229">
              <v:shape style="position:absolute;left:7129;top:9723;width:567;height:229" coordorigin="7129,9723" coordsize="567,229" path="m7695,9723l7129,9952e" filled="false" stroked="true" strokeweight=".484pt" strokecolor="#8c8f90">
                <v:path arrowok="t"/>
              </v:shape>
            </v:group>
            <v:group style="position:absolute;left:4882;top:10644;width:531;height:214" coordorigin="4882,10644" coordsize="531,214">
              <v:shape style="position:absolute;left:4882;top:10644;width:531;height:214" coordorigin="4882,10644" coordsize="531,214" path="m5412,10644l4882,10858e" filled="false" stroked="true" strokeweight=".484pt" strokecolor="#8c8f90">
                <v:path arrowok="t"/>
              </v:shape>
            </v:group>
            <v:group style="position:absolute;left:4108;top:11003;width:413;height:167" coordorigin="4108,11003" coordsize="413,167">
              <v:shape style="position:absolute;left:4108;top:11003;width:413;height:167" coordorigin="4108,11003" coordsize="413,167" path="m4521,11003l4108,11170e" filled="false" stroked="true" strokeweight=".484pt" strokecolor="#8c8f90">
                <v:path arrowok="t"/>
              </v:shape>
            </v:group>
            <v:group style="position:absolute;left:5528;top:10426;width:425;height:172" coordorigin="5528,10426" coordsize="425,172">
              <v:shape style="position:absolute;left:5528;top:10426;width:425;height:172" coordorigin="5528,10426" coordsize="425,172" path="m5952,10426l5528,10597e" filled="false" stroked="true" strokeweight=".484pt" strokecolor="#8c8f90">
                <v:path arrowok="t"/>
              </v:shape>
            </v:group>
            <v:group style="position:absolute;left:6226;top:10081;width:582;height:235" coordorigin="6226,10081" coordsize="582,235">
              <v:shape style="position:absolute;left:6226;top:10081;width:582;height:235" coordorigin="6226,10081" coordsize="582,235" path="m6808,10081l6226,10316e" filled="false" stroked="true" strokeweight=".484pt" strokecolor="#8c8f90">
                <v:path arrowok="t"/>
              </v:shape>
            </v:group>
            <v:group style="position:absolute;left:6262;top:8986;width:1876;height:15" coordorigin="6262,8986" coordsize="1876,15">
              <v:shape style="position:absolute;left:6262;top:8986;width:1876;height:15" coordorigin="6262,8986" coordsize="1876,15" path="m8137,9000l6262,8986e" filled="false" stroked="true" strokeweight=".968pt" strokecolor="#9c8758">
                <v:path arrowok="t"/>
              </v:shape>
            </v:group>
            <v:group style="position:absolute;left:4032;top:8969;width:2106;height:17" coordorigin="4032,8969" coordsize="2106,17">
              <v:shape style="position:absolute;left:4032;top:8969;width:2106;height:17" coordorigin="4032,8969" coordsize="2106,17" path="m6138,8985l4032,8969e" filled="false" stroked="true" strokeweight=".968pt" strokecolor="#9c8758">
                <v:path arrowok="t"/>
              </v:shape>
            </v:group>
            <v:group style="position:absolute;left:4881;top:10918;width:18;height:8" coordorigin="4881,10918" coordsize="18,8">
              <v:shape style="position:absolute;left:4881;top:10918;width:18;height:8" coordorigin="4881,10918" coordsize="18,8" path="m4899,10918l4881,10926e" filled="false" stroked="true" strokeweight="1.452pt" strokecolor="#9c8758">
                <v:path arrowok="t"/>
              </v:shape>
            </v:group>
            <v:group style="position:absolute;left:4171;top:11102;width:290;height:122" coordorigin="4171,11102" coordsize="290,122">
              <v:shape style="position:absolute;left:4171;top:11102;width:290;height:122" coordorigin="4171,11102" coordsize="290,122" path="m4461,11102l4171,11223e" filled="false" stroked="true" strokeweight="1.452pt" strokecolor="#9c8758">
                <v:path arrowok="t"/>
              </v:shape>
            </v:group>
            <v:group style="position:absolute;left:7129;top:9750;width:567;height:237" coordorigin="7129,9750" coordsize="567,237">
              <v:shape style="position:absolute;left:7129;top:9750;width:567;height:237" coordorigin="7129,9750" coordsize="567,237" path="m7695,9750l7129,9986e" filled="false" stroked="true" strokeweight="1.452pt" strokecolor="#9c8758">
                <v:path arrowok="t"/>
              </v:shape>
            </v:group>
            <v:group style="position:absolute;left:5558;top:10470;width:414;height:174" coordorigin="5558,10470" coordsize="414,174">
              <v:shape style="position:absolute;left:5558;top:10470;width:414;height:174" coordorigin="5558,10470" coordsize="414,174" path="m5971,10470l5558,10643e" filled="false" stroked="true" strokeweight="1.452pt" strokecolor="#9c8758">
                <v:path arrowok="t"/>
              </v:shape>
            </v:group>
            <v:group style="position:absolute;left:6217;top:10121;width:589;height:247" coordorigin="6217,10121" coordsize="589,247">
              <v:shape style="position:absolute;left:6217;top:10121;width:589;height:247" coordorigin="6217,10121" coordsize="589,247" path="m6805,10121l6217,10368e" filled="false" stroked="true" strokeweight="1.452pt" strokecolor="#9c8758">
                <v:path arrowok="t"/>
              </v:shape>
            </v:group>
            <v:group style="position:absolute;left:7437;top:7430;width:628;height:498" coordorigin="7437,7430" coordsize="628,498">
              <v:shape style="position:absolute;left:7437;top:7430;width:628;height:498" coordorigin="7437,7430" coordsize="628,498" path="m7437,7430l8065,7928e" filled="false" stroked="true" strokeweight=".242pt" strokecolor="#9c8758">
                <v:path arrowok="t"/>
              </v:shape>
            </v:group>
            <v:group style="position:absolute;left:7520;top:7392;width:605;height:499" coordorigin="7520,7392" coordsize="605,499">
              <v:shape style="position:absolute;left:7520;top:7392;width:605;height:499" coordorigin="7520,7392" coordsize="605,499" path="m8124,7890l7520,7392e" filled="false" stroked="true" strokeweight="1.452pt" strokecolor="#8c8f90">
                <v:path arrowok="t"/>
              </v:shape>
            </v:group>
            <v:group style="position:absolute;left:7582;top:7366;width:331;height:286" coordorigin="7582,7366" coordsize="331,286">
              <v:shape style="position:absolute;left:7582;top:7366;width:331;height:286" coordorigin="7582,7366" coordsize="331,286" path="m7912,7652l7582,7366e" filled="false" stroked="true" strokeweight=".968pt" strokecolor="#9c8758">
                <v:path arrowok="t"/>
              </v:shape>
            </v:group>
            <v:group style="position:absolute;left:0;top:0;width:3572;height:3572" coordorigin="0,0" coordsize="3572,3572">
              <v:shape style="position:absolute;left:0;top:0;width:3572;height:3572" coordorigin="0,0" coordsize="3572,3572" path="m3572,0l0,0,0,3572,3572,0xe" filled="true" fillcolor="#9c8758" stroked="false">
                <v:path arrowok="t"/>
                <v:fill type="solid"/>
              </v:shape>
            </v:group>
            <v:group style="position:absolute;left:0;top:14516;width:1642;height:1642" coordorigin="0,14516" coordsize="1642,1642">
              <v:shape style="position:absolute;left:0;top:14516;width:1642;height:1642" coordorigin="0,14516" coordsize="1642,1642" path="m0,14516l0,16157,1642,16157,0,14516xe" filled="true" fillcolor="#000000" stroked="false">
                <v:path arrowok="t"/>
                <v:fill type="solid"/>
              </v:shape>
            </v:group>
            <v:group style="position:absolute;left:0;top:12770;width:3388;height:3388" coordorigin="0,12770" coordsize="3388,3388">
              <v:shape style="position:absolute;left:0;top:12770;width:3388;height:3388" coordorigin="0,12770" coordsize="3388,3388" path="m0,12770l0,16157,3387,16157,0,12770xe" filled="true" fillcolor="#8e9090" stroked="false">
                <v:path arrowok="t"/>
                <v:fill type="solid"/>
              </v:shape>
            </v:group>
            <v:group style="position:absolute;left:0;top:13482;width:2676;height:2676" coordorigin="0,13482" coordsize="2676,2676">
              <v:shape style="position:absolute;left:0;top:13482;width:2676;height:2676" coordorigin="0,13482" coordsize="2676,2676" path="m0,13482l0,16157,2675,16157,0,13482xe" filled="true" fillcolor="#d7000f" stroked="false">
                <v:path arrowok="t"/>
                <v:fill type="solid"/>
              </v:shape>
            </v:group>
            <v:group style="position:absolute;left:8982;top:13234;width:2924;height:2924" coordorigin="8982,13234" coordsize="2924,2924">
              <v:shape style="position:absolute;left:8982;top:13234;width:2924;height:2924" coordorigin="8982,13234" coordsize="2924,2924" path="m11906,13234l8982,16157,11906,16157,11906,13234xe" filled="true" fillcolor="#8e9090" stroked="false">
                <v:path arrowok="t"/>
                <v:fill type="solid"/>
              </v:shape>
            </v:group>
            <w10:wrap type="none"/>
          </v:group>
        </w:pict>
      </w:r>
      <w:r>
        <w:rPr/>
        <w:pict>
          <v:group style="position:absolute;margin-left:327.052002pt;margin-top:.72004pt;width:1.95pt;height:40pt;mso-position-horizontal-relative:page;mso-position-vertical-relative:page;z-index:3616" coordorigin="6541,14" coordsize="39,800">
            <v:shape style="position:absolute;left:6541;top:14;width:39;height:800" coordorigin="6541,14" coordsize="39,800" path="m6579,14l6541,814e" filled="false" stroked="true" strokeweight=".242pt" strokecolor="#8c8f90">
              <v:path arrowok="t"/>
            </v:shape>
            <w10:wrap type="none"/>
          </v:group>
        </w:pict>
      </w:r>
      <w:r>
        <w:rPr>
          <w:rFonts w:ascii="宋体" w:hAnsi="宋体" w:cs="宋体" w:eastAsia="宋体" w:hint="default"/>
          <w:position w:val="-2"/>
          <w:sz w:val="14"/>
          <w:szCs w:val="14"/>
        </w:rPr>
        <w:pict>
          <v:group style="width:1.65pt;height:7.5pt;mso-position-horizontal-relative:char;mso-position-vertical-relative:line" coordorigin="0,0" coordsize="33,150">
            <v:group style="position:absolute;left:15;top:15;width:4;height:121" coordorigin="15,15" coordsize="4,121">
              <v:shape style="position:absolute;left:15;top:15;width:4;height:121" coordorigin="15,15" coordsize="4,121" path="m18,15l15,135e" filled="false" stroked="true" strokeweight="1.452pt" strokecolor="#8c8f90">
                <v:path arrowok="t"/>
              </v:shape>
            </v:group>
          </v:group>
        </w:pict>
      </w:r>
      <w:r>
        <w:rPr>
          <w:rFonts w:ascii="宋体" w:hAnsi="宋体" w:cs="宋体" w:eastAsia="宋体" w:hint="default"/>
          <w:position w:val="-2"/>
          <w:sz w:val="14"/>
          <w:szCs w:val="14"/>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pict>
          <v:group style="position:absolute;margin-left:315.124786pt;margin-top:-138.277679pt;width:3.45pt;height:144pt;mso-position-horizontal-relative:page;mso-position-vertical-relative:paragraph;z-index:-966352" coordorigin="6302,-2766" coordsize="69,2880">
            <v:shape style="position:absolute;left:6302;top:-2766;width:69;height:2880" coordorigin="6302,-2766" coordsize="69,2880" path="m6302,-2766l6371,114e" filled="false" stroked="true" strokeweight="1.452pt" strokecolor="#9c8758">
              <v:path arrowok="t"/>
            </v:shape>
            <w10:wrap type="none"/>
          </v:group>
        </w:pict>
      </w:r>
      <w:r>
        <w:rPr/>
        <w:pict>
          <v:group style="position:absolute;margin-left:309.567993pt;margin-top:-138.277634pt;width:.1pt;height:144pt;mso-position-horizontal-relative:page;mso-position-vertical-relative:paragraph;z-index:-966328" coordorigin="6191,-2766" coordsize="2,2880">
            <v:shape style="position:absolute;left:6191;top:-2766;width:2;height:2880" coordorigin="6191,-2766" coordsize="1,2880" path="m6191,-2766l6192,114e" filled="false" stroked="true" strokeweight=".968pt" strokecolor="#8c8f90">
              <v:path arrowok="t"/>
            </v:shape>
            <w10:wrap type="none"/>
          </v:group>
        </w:pict>
      </w: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1"/>
          <w:w w:val="105"/>
          <w:sz w:val="16"/>
          <w:szCs w:val="16"/>
        </w:rPr>
        <w:t>重要事项</w:t>
      </w:r>
      <w:r>
        <w:rPr>
          <w:rFonts w:ascii="Arial" w:hAnsi="Arial" w:cs="Arial" w:eastAsia="Arial" w:hint="default"/>
          <w:b/>
          <w:bCs/>
          <w:color w:val="9C8758"/>
          <w:spacing w:val="21"/>
          <w:w w:val="105"/>
          <w:position w:val="1"/>
          <w:sz w:val="16"/>
          <w:szCs w:val="16"/>
        </w:rPr>
        <w:tab/>
      </w:r>
      <w:r>
        <w:rPr>
          <w:rFonts w:ascii="Arial" w:hAnsi="Arial" w:cs="Arial" w:eastAsia="Arial" w:hint="default"/>
          <w:b/>
          <w:bCs/>
          <w:color w:val="9C8758"/>
          <w:w w:val="105"/>
          <w:position w:val="1"/>
          <w:sz w:val="16"/>
          <w:szCs w:val="16"/>
        </w:rPr>
        <w:t>39</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144"/>
          <w:footerReference w:type="default" r:id="rId145"/>
          <w:pgSz w:w="11910" w:h="16160"/>
          <w:pgMar w:header="0" w:footer="0" w:top="0" w:bottom="0" w:left="1380" w:right="680"/>
        </w:sectPr>
      </w:pPr>
    </w:p>
    <w:p>
      <w:pPr>
        <w:spacing w:before="679"/>
        <w:ind w:left="590" w:right="0"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公司近三年（含报告期）的普通股股利分配方案或预案、资本公积金转增股本方案或预案</w:t>
      </w:r>
    </w:p>
    <w:p>
      <w:pPr>
        <w:spacing w:after="0"/>
        <w:jc w:val="left"/>
        <w:rPr>
          <w:rFonts w:ascii="宋体" w:hAnsi="宋体" w:cs="宋体" w:eastAsia="宋体" w:hint="default"/>
          <w:sz w:val="17"/>
          <w:szCs w:val="17"/>
        </w:rPr>
        <w:sectPr>
          <w:headerReference w:type="even" r:id="rId146"/>
          <w:headerReference w:type="default" r:id="rId147"/>
          <w:footerReference w:type="even" r:id="rId148"/>
          <w:pgSz w:w="11910" w:h="16160"/>
          <w:pgMar w:header="0" w:footer="0" w:top="2200" w:bottom="0" w:left="260" w:right="1300"/>
        </w:sectPr>
      </w:pPr>
    </w:p>
    <w:p>
      <w:pPr>
        <w:tabs>
          <w:tab w:pos="2352" w:val="left" w:leader="none"/>
        </w:tabs>
        <w:spacing w:line="205" w:lineRule="exact" w:before="554"/>
        <w:ind w:left="1015" w:right="-18" w:firstLine="0"/>
        <w:jc w:val="left"/>
        <w:rPr>
          <w:rFonts w:ascii="宋体" w:hAnsi="宋体" w:cs="宋体" w:eastAsia="宋体" w:hint="default"/>
          <w:sz w:val="16"/>
          <w:szCs w:val="16"/>
        </w:rPr>
      </w:pPr>
      <w:r>
        <w:rPr>
          <w:rFonts w:ascii="宋体" w:hAnsi="宋体" w:cs="宋体" w:eastAsia="宋体" w:hint="default"/>
          <w:sz w:val="16"/>
          <w:szCs w:val="16"/>
        </w:rPr>
        <w:t>分红</w:t>
        <w:tab/>
        <w:t>每 10</w:t>
      </w:r>
      <w:r>
        <w:rPr>
          <w:rFonts w:ascii="宋体" w:hAnsi="宋体" w:cs="宋体" w:eastAsia="宋体" w:hint="default"/>
          <w:spacing w:val="-64"/>
          <w:sz w:val="16"/>
          <w:szCs w:val="16"/>
        </w:rPr>
        <w:t> </w:t>
      </w:r>
      <w:r>
        <w:rPr>
          <w:rFonts w:ascii="宋体" w:hAnsi="宋体" w:cs="宋体" w:eastAsia="宋体" w:hint="default"/>
          <w:sz w:val="16"/>
          <w:szCs w:val="16"/>
        </w:rPr>
        <w:t>股送</w:t>
      </w:r>
    </w:p>
    <w:p>
      <w:pPr>
        <w:tabs>
          <w:tab w:pos="2274" w:val="left" w:leader="none"/>
        </w:tabs>
        <w:spacing w:line="205" w:lineRule="exact" w:before="0"/>
        <w:ind w:left="1015" w:right="-18" w:firstLine="0"/>
        <w:jc w:val="left"/>
        <w:rPr>
          <w:rFonts w:ascii="宋体" w:hAnsi="宋体" w:cs="宋体" w:eastAsia="宋体" w:hint="default"/>
          <w:sz w:val="16"/>
          <w:szCs w:val="16"/>
        </w:rPr>
      </w:pPr>
      <w:r>
        <w:rPr>
          <w:rFonts w:ascii="宋体" w:hAnsi="宋体" w:cs="宋体" w:eastAsia="宋体" w:hint="default"/>
          <w:sz w:val="16"/>
          <w:szCs w:val="16"/>
        </w:rPr>
        <w:t>年度</w:t>
        <w:tab/>
      </w:r>
      <w:r>
        <w:rPr>
          <w:rFonts w:ascii="宋体" w:hAnsi="宋体" w:cs="宋体" w:eastAsia="宋体" w:hint="default"/>
          <w:spacing w:val="-11"/>
          <w:sz w:val="16"/>
          <w:szCs w:val="16"/>
        </w:rPr>
        <w:t>红股数（股）</w:t>
      </w:r>
    </w:p>
    <w:p>
      <w:pPr>
        <w:spacing w:line="200" w:lineRule="exact" w:before="381"/>
        <w:ind w:left="148" w:right="-7" w:firstLine="287"/>
        <w:jc w:val="left"/>
        <w:rPr>
          <w:rFonts w:ascii="宋体" w:hAnsi="宋体" w:cs="宋体" w:eastAsia="宋体" w:hint="default"/>
          <w:sz w:val="16"/>
          <w:szCs w:val="16"/>
        </w:rPr>
      </w:pPr>
      <w:r>
        <w:rPr/>
        <w:br w:type="column"/>
      </w:r>
      <w:r>
        <w:rPr>
          <w:rFonts w:ascii="宋体" w:hAnsi="宋体" w:cs="宋体" w:eastAsia="宋体" w:hint="default"/>
          <w:sz w:val="16"/>
          <w:szCs w:val="16"/>
        </w:rPr>
        <w:t>每</w:t>
      </w:r>
      <w:r>
        <w:rPr>
          <w:rFonts w:ascii="宋体" w:hAnsi="宋体" w:cs="宋体" w:eastAsia="宋体" w:hint="default"/>
          <w:spacing w:val="-30"/>
          <w:sz w:val="16"/>
          <w:szCs w:val="16"/>
        </w:rPr>
        <w:t> </w:t>
      </w:r>
      <w:r>
        <w:rPr>
          <w:rFonts w:ascii="宋体" w:hAnsi="宋体" w:cs="宋体" w:eastAsia="宋体" w:hint="default"/>
          <w:spacing w:val="12"/>
          <w:sz w:val="16"/>
          <w:szCs w:val="16"/>
        </w:rPr>
        <w:t>10股</w:t>
      </w:r>
      <w:r>
        <w:rPr>
          <w:rFonts w:ascii="宋体" w:hAnsi="宋体" w:cs="宋体" w:eastAsia="宋体" w:hint="default"/>
          <w:spacing w:val="-40"/>
          <w:sz w:val="16"/>
          <w:szCs w:val="16"/>
        </w:rPr>
        <w:t> </w:t>
      </w:r>
      <w:r>
        <w:rPr>
          <w:rFonts w:ascii="宋体" w:hAnsi="宋体" w:cs="宋体" w:eastAsia="宋体" w:hint="default"/>
          <w:spacing w:val="22"/>
          <w:w w:val="95"/>
          <w:sz w:val="16"/>
          <w:szCs w:val="16"/>
        </w:rPr>
        <w:t>派息数(元)</w:t>
      </w:r>
      <w:r>
        <w:rPr>
          <w:rFonts w:ascii="宋体" w:hAnsi="宋体" w:cs="宋体" w:eastAsia="宋体" w:hint="default"/>
          <w:spacing w:val="-40"/>
          <w:sz w:val="16"/>
          <w:szCs w:val="16"/>
        </w:rPr>
        <w:t> </w:t>
      </w:r>
      <w:r>
        <w:rPr>
          <w:rFonts w:ascii="宋体" w:hAnsi="宋体" w:cs="宋体" w:eastAsia="宋体" w:hint="default"/>
          <w:sz w:val="16"/>
          <w:szCs w:val="16"/>
        </w:rPr>
      </w:r>
    </w:p>
    <w:p>
      <w:pPr>
        <w:spacing w:line="183" w:lineRule="exact" w:before="0"/>
        <w:ind w:left="373" w:right="-7" w:firstLine="0"/>
        <w:jc w:val="left"/>
        <w:rPr>
          <w:rFonts w:ascii="宋体" w:hAnsi="宋体" w:cs="宋体" w:eastAsia="宋体" w:hint="default"/>
          <w:sz w:val="16"/>
          <w:szCs w:val="16"/>
        </w:rPr>
      </w:pPr>
      <w:r>
        <w:rPr>
          <w:rFonts w:ascii="宋体" w:hAnsi="宋体" w:cs="宋体" w:eastAsia="宋体" w:hint="default"/>
          <w:sz w:val="16"/>
          <w:szCs w:val="16"/>
        </w:rPr>
        <w:t>（含税）</w:t>
      </w:r>
    </w:p>
    <w:p>
      <w:pPr>
        <w:spacing w:line="200" w:lineRule="exact" w:before="581"/>
        <w:ind w:left="148" w:right="-20" w:firstLine="62"/>
        <w:jc w:val="left"/>
        <w:rPr>
          <w:rFonts w:ascii="宋体" w:hAnsi="宋体" w:cs="宋体" w:eastAsia="宋体" w:hint="default"/>
          <w:sz w:val="16"/>
          <w:szCs w:val="16"/>
        </w:rPr>
      </w:pPr>
      <w:r>
        <w:rPr/>
        <w:br w:type="column"/>
      </w:r>
      <w:r>
        <w:rPr>
          <w:rFonts w:ascii="宋体" w:hAnsi="宋体" w:cs="宋体" w:eastAsia="宋体" w:hint="default"/>
          <w:sz w:val="16"/>
          <w:szCs w:val="16"/>
        </w:rPr>
        <w:t>每 10</w:t>
      </w:r>
      <w:r>
        <w:rPr>
          <w:rFonts w:ascii="宋体" w:hAnsi="宋体" w:cs="宋体" w:eastAsia="宋体" w:hint="default"/>
          <w:spacing w:val="-64"/>
          <w:sz w:val="16"/>
          <w:szCs w:val="16"/>
        </w:rPr>
        <w:t> </w:t>
      </w:r>
      <w:r>
        <w:rPr>
          <w:rFonts w:ascii="宋体" w:hAnsi="宋体" w:cs="宋体" w:eastAsia="宋体" w:hint="default"/>
          <w:sz w:val="16"/>
          <w:szCs w:val="16"/>
        </w:rPr>
        <w:t>股转</w:t>
      </w:r>
      <w:r>
        <w:rPr>
          <w:rFonts w:ascii="宋体" w:hAnsi="宋体" w:cs="宋体" w:eastAsia="宋体" w:hint="default"/>
          <w:sz w:val="16"/>
          <w:szCs w:val="16"/>
        </w:rPr>
        <w:t> 增数（股）</w:t>
      </w:r>
    </w:p>
    <w:p>
      <w:pPr>
        <w:spacing w:line="200" w:lineRule="exact" w:before="581"/>
        <w:ind w:left="442" w:right="-20" w:firstLine="160"/>
        <w:jc w:val="left"/>
        <w:rPr>
          <w:rFonts w:ascii="宋体" w:hAnsi="宋体" w:cs="宋体" w:eastAsia="宋体" w:hint="default"/>
          <w:sz w:val="16"/>
          <w:szCs w:val="16"/>
        </w:rPr>
      </w:pPr>
      <w:r>
        <w:rPr/>
        <w:br w:type="column"/>
      </w:r>
      <w:r>
        <w:rPr>
          <w:rFonts w:ascii="宋体" w:hAnsi="宋体" w:cs="宋体" w:eastAsia="宋体" w:hint="default"/>
          <w:sz w:val="16"/>
          <w:szCs w:val="16"/>
        </w:rPr>
        <w:t>现金分红的 数额（含税）</w:t>
      </w:r>
    </w:p>
    <w:p>
      <w:pPr>
        <w:spacing w:line="200" w:lineRule="exact" w:before="381"/>
        <w:ind w:left="0" w:right="0" w:firstLine="0"/>
        <w:jc w:val="right"/>
        <w:rPr>
          <w:rFonts w:ascii="宋体" w:hAnsi="宋体" w:cs="宋体" w:eastAsia="宋体" w:hint="default"/>
          <w:sz w:val="16"/>
          <w:szCs w:val="16"/>
        </w:rPr>
      </w:pPr>
      <w:r>
        <w:rPr/>
        <w:br w:type="column"/>
      </w:r>
      <w:r>
        <w:rPr>
          <w:rFonts w:ascii="宋体" w:hAnsi="宋体" w:cs="宋体" w:eastAsia="宋体" w:hint="default"/>
          <w:sz w:val="16"/>
          <w:szCs w:val="16"/>
        </w:rPr>
        <w:t>分红年度合并报表中 归属于上市公司普通 股股东的净利润</w:t>
      </w:r>
    </w:p>
    <w:p>
      <w:pPr>
        <w:spacing w:before="133"/>
        <w:ind w:left="422" w:right="0" w:firstLine="0"/>
        <w:jc w:val="left"/>
        <w:rPr>
          <w:rFonts w:ascii="宋体" w:hAnsi="宋体" w:cs="宋体" w:eastAsia="宋体" w:hint="default"/>
          <w:sz w:val="12"/>
          <w:szCs w:val="12"/>
        </w:rPr>
      </w:pPr>
      <w:r>
        <w:rPr/>
        <w:br w:type="column"/>
      </w: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spacing w:line="200" w:lineRule="exact" w:before="91"/>
        <w:ind w:left="249" w:right="217" w:firstLine="0"/>
        <w:jc w:val="both"/>
        <w:rPr>
          <w:rFonts w:ascii="宋体" w:hAnsi="宋体" w:cs="宋体" w:eastAsia="宋体" w:hint="default"/>
          <w:sz w:val="16"/>
          <w:szCs w:val="16"/>
        </w:rPr>
      </w:pPr>
      <w:r>
        <w:rPr>
          <w:rFonts w:ascii="宋体" w:hAnsi="宋体" w:cs="宋体" w:eastAsia="宋体" w:hint="default"/>
          <w:sz w:val="16"/>
          <w:szCs w:val="16"/>
        </w:rPr>
        <w:t>占合并报表中归属于 上市公司普通股股东 的净利润的比率</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after="0" w:line="200" w:lineRule="exact"/>
        <w:jc w:val="both"/>
        <w:rPr>
          <w:rFonts w:ascii="宋体" w:hAnsi="宋体" w:cs="宋体" w:eastAsia="宋体" w:hint="default"/>
          <w:sz w:val="16"/>
          <w:szCs w:val="16"/>
        </w:rPr>
        <w:sectPr>
          <w:type w:val="continuous"/>
          <w:pgSz w:w="11910" w:h="16160"/>
          <w:pgMar w:top="1520" w:bottom="280" w:left="260" w:right="1300"/>
          <w:cols w:num="6" w:equalWidth="0">
            <w:col w:w="3171" w:space="40"/>
            <w:col w:w="1054" w:space="40"/>
            <w:col w:w="949" w:space="40"/>
            <w:col w:w="1403" w:space="40"/>
            <w:col w:w="1661" w:space="40"/>
            <w:col w:w="1912"/>
          </w:cols>
        </w:sectPr>
      </w:pPr>
    </w:p>
    <w:p>
      <w:pPr>
        <w:tabs>
          <w:tab w:pos="3001" w:val="left" w:leader="none"/>
          <w:tab w:pos="3824" w:val="left" w:leader="none"/>
          <w:tab w:pos="5164" w:val="left" w:leader="none"/>
          <w:tab w:pos="5675" w:val="left" w:leader="none"/>
          <w:tab w:pos="7376" w:val="left" w:leader="none"/>
          <w:tab w:pos="10126" w:val="right" w:leader="none"/>
        </w:tabs>
        <w:spacing w:before="180"/>
        <w:ind w:left="1015" w:right="0"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w:t>
        <w:tab/>
        <w:t>0</w:t>
        <w:tab/>
      </w:r>
      <w:r>
        <w:rPr>
          <w:rFonts w:ascii="宋体" w:hAnsi="宋体" w:cs="宋体" w:eastAsia="宋体" w:hint="default"/>
          <w:w w:val="95"/>
          <w:sz w:val="16"/>
          <w:szCs w:val="16"/>
        </w:rPr>
        <w:t>0.533</w:t>
        <w:tab/>
      </w:r>
      <w:r>
        <w:rPr>
          <w:rFonts w:ascii="宋体" w:hAnsi="宋体" w:cs="宋体" w:eastAsia="宋体" w:hint="default"/>
          <w:sz w:val="16"/>
          <w:szCs w:val="16"/>
        </w:rPr>
        <w:t>0</w:t>
        <w:tab/>
      </w:r>
      <w:r>
        <w:rPr>
          <w:rFonts w:ascii="宋体" w:hAnsi="宋体" w:cs="宋体" w:eastAsia="宋体" w:hint="default"/>
          <w:w w:val="95"/>
          <w:sz w:val="16"/>
          <w:szCs w:val="16"/>
        </w:rPr>
        <w:t>1,654,483,578</w:t>
        <w:tab/>
      </w:r>
      <w:r>
        <w:rPr>
          <w:rFonts w:ascii="宋体" w:hAnsi="宋体" w:cs="宋体" w:eastAsia="宋体" w:hint="default"/>
          <w:sz w:val="16"/>
          <w:szCs w:val="16"/>
        </w:rPr>
        <w:t>4,080,771,727</w:t>
      </w:r>
      <w:r>
        <w:rPr>
          <w:rFonts w:ascii="Times New Roman" w:hAnsi="Times New Roman" w:cs="Times New Roman" w:eastAsia="Times New Roman" w:hint="default"/>
          <w:sz w:val="16"/>
          <w:szCs w:val="16"/>
        </w:rPr>
        <w:tab/>
      </w:r>
      <w:r>
        <w:rPr>
          <w:rFonts w:ascii="宋体" w:hAnsi="宋体" w:cs="宋体" w:eastAsia="宋体" w:hint="default"/>
          <w:sz w:val="16"/>
          <w:szCs w:val="16"/>
        </w:rPr>
        <w:t>40.54</w:t>
      </w:r>
    </w:p>
    <w:p>
      <w:pPr>
        <w:tabs>
          <w:tab w:pos="3001" w:val="left" w:leader="none"/>
          <w:tab w:pos="3824" w:val="left" w:leader="none"/>
          <w:tab w:pos="5164" w:val="left" w:leader="none"/>
          <w:tab w:pos="5808" w:val="left" w:leader="none"/>
          <w:tab w:pos="7509" w:val="left" w:leader="none"/>
          <w:tab w:pos="10126" w:val="right" w:leader="none"/>
        </w:tabs>
        <w:spacing w:before="64"/>
        <w:ind w:left="1015" w:right="0" w:firstLine="0"/>
        <w:jc w:val="lef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34"/>
          <w:w w:val="105"/>
          <w:sz w:val="16"/>
          <w:szCs w:val="16"/>
        </w:rPr>
        <w:t> </w:t>
      </w:r>
      <w:r>
        <w:rPr>
          <w:rFonts w:ascii="宋体" w:hAnsi="宋体" w:cs="宋体" w:eastAsia="宋体" w:hint="default"/>
          <w:w w:val="105"/>
          <w:sz w:val="16"/>
          <w:szCs w:val="16"/>
        </w:rPr>
        <w:t>年</w:t>
        <w:tab/>
        <w:t>0</w:t>
        <w:tab/>
      </w:r>
      <w:r>
        <w:rPr>
          <w:rFonts w:ascii="宋体" w:hAnsi="宋体" w:cs="宋体" w:eastAsia="宋体" w:hint="default"/>
          <w:w w:val="95"/>
          <w:sz w:val="16"/>
          <w:szCs w:val="16"/>
        </w:rPr>
        <w:t>0.204</w:t>
        <w:tab/>
      </w:r>
      <w:r>
        <w:rPr>
          <w:rFonts w:ascii="宋体" w:hAnsi="宋体" w:cs="宋体" w:eastAsia="宋体" w:hint="default"/>
          <w:w w:val="105"/>
          <w:sz w:val="16"/>
          <w:szCs w:val="16"/>
        </w:rPr>
        <w:t>0</w:t>
        <w:tab/>
      </w:r>
      <w:r>
        <w:rPr>
          <w:rFonts w:ascii="宋体" w:hAnsi="宋体" w:cs="宋体" w:eastAsia="宋体" w:hint="default"/>
          <w:sz w:val="16"/>
          <w:szCs w:val="16"/>
        </w:rPr>
        <w:t>614,350,671</w:t>
        <w:tab/>
      </w:r>
      <w:r>
        <w:rPr>
          <w:rFonts w:ascii="宋体" w:hAnsi="宋体" w:cs="宋体" w:eastAsia="宋体" w:hint="default"/>
          <w:w w:val="105"/>
          <w:sz w:val="16"/>
          <w:szCs w:val="16"/>
        </w:rPr>
        <w:t>425,844,654</w:t>
      </w:r>
      <w:r>
        <w:rPr>
          <w:rFonts w:ascii="Times New Roman" w:hAnsi="Times New Roman" w:cs="Times New Roman" w:eastAsia="Times New Roman" w:hint="default"/>
          <w:w w:val="105"/>
          <w:sz w:val="16"/>
          <w:szCs w:val="16"/>
        </w:rPr>
        <w:tab/>
      </w:r>
      <w:r>
        <w:rPr>
          <w:rFonts w:ascii="宋体" w:hAnsi="宋体" w:cs="宋体" w:eastAsia="宋体" w:hint="default"/>
          <w:w w:val="105"/>
          <w:sz w:val="16"/>
          <w:szCs w:val="16"/>
        </w:rPr>
        <w:t>144.27</w:t>
      </w:r>
      <w:r>
        <w:rPr>
          <w:rFonts w:ascii="宋体" w:hAnsi="宋体" w:cs="宋体" w:eastAsia="宋体" w:hint="default"/>
          <w:sz w:val="16"/>
          <w:szCs w:val="16"/>
        </w:rPr>
      </w:r>
    </w:p>
    <w:p>
      <w:pPr>
        <w:tabs>
          <w:tab w:pos="3001" w:val="left" w:leader="none"/>
          <w:tab w:pos="4135" w:val="left" w:leader="none"/>
          <w:tab w:pos="5164" w:val="left" w:leader="none"/>
          <w:tab w:pos="6607" w:val="left" w:leader="none"/>
          <w:tab w:pos="7509" w:val="left" w:leader="none"/>
          <w:tab w:pos="10037" w:val="left" w:leader="none"/>
        </w:tabs>
        <w:spacing w:before="64"/>
        <w:ind w:left="1015" w:right="0" w:firstLine="0"/>
        <w:jc w:val="left"/>
        <w:rPr>
          <w:rFonts w:ascii="宋体" w:hAnsi="宋体" w:cs="宋体" w:eastAsia="宋体" w:hint="default"/>
          <w:sz w:val="16"/>
          <w:szCs w:val="16"/>
        </w:rPr>
      </w:pPr>
      <w:r>
        <w:rPr>
          <w:rFonts w:ascii="宋体" w:hAnsi="宋体" w:cs="宋体" w:eastAsia="宋体" w:hint="default"/>
          <w:w w:val="110"/>
          <w:sz w:val="16"/>
          <w:szCs w:val="16"/>
        </w:rPr>
        <w:t>2016</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tab/>
        <w:t>0</w:t>
        <w:tab/>
        <w:t>0</w:t>
        <w:tab/>
        <w:t>0</w:t>
        <w:tab/>
        <w:t>0</w:t>
        <w:tab/>
      </w:r>
      <w:r>
        <w:rPr>
          <w:rFonts w:ascii="宋体" w:hAnsi="宋体" w:cs="宋体" w:eastAsia="宋体" w:hint="default"/>
          <w:sz w:val="16"/>
          <w:szCs w:val="16"/>
        </w:rPr>
        <w:t>154,074,131</w:t>
      </w:r>
      <w:r>
        <w:rPr>
          <w:rFonts w:ascii="Times New Roman" w:hAnsi="Times New Roman" w:cs="Times New Roman" w:eastAsia="Times New Roman" w:hint="default"/>
          <w:sz w:val="16"/>
          <w:szCs w:val="16"/>
        </w:rPr>
        <w:tab/>
      </w:r>
      <w:r>
        <w:rPr>
          <w:rFonts w:ascii="宋体" w:hAnsi="宋体" w:cs="宋体" w:eastAsia="宋体" w:hint="default"/>
          <w:w w:val="110"/>
          <w:sz w:val="16"/>
          <w:szCs w:val="16"/>
        </w:rPr>
        <w:t>0</w:t>
      </w:r>
      <w:r>
        <w:rPr>
          <w:rFonts w:ascii="宋体" w:hAnsi="宋体" w:cs="宋体" w:eastAsia="宋体" w:hint="default"/>
          <w:sz w:val="16"/>
          <w:szCs w:val="16"/>
        </w:rPr>
      </w:r>
    </w:p>
    <w:p>
      <w:pPr>
        <w:pStyle w:val="BodyText"/>
        <w:spacing w:line="240" w:lineRule="auto" w:before="474"/>
        <w:ind w:left="590" w:right="0"/>
        <w:jc w:val="left"/>
        <w:rPr>
          <w:rFonts w:ascii="宋体" w:hAnsi="宋体" w:cs="宋体" w:eastAsia="宋体" w:hint="default"/>
        </w:rPr>
      </w:pPr>
      <w:r>
        <w:rPr>
          <w:rFonts w:ascii="宋体" w:hAnsi="宋体" w:cs="宋体" w:eastAsia="宋体" w:hint="default"/>
          <w:color w:val="D7000F"/>
        </w:rPr>
        <w:t>二、承诺事项履行情况</w:t>
      </w:r>
      <w:r>
        <w:rPr>
          <w:rFonts w:ascii="宋体" w:hAnsi="宋体" w:cs="宋体" w:eastAsia="宋体" w:hint="default"/>
        </w:rPr>
      </w:r>
    </w:p>
    <w:p>
      <w:pPr>
        <w:spacing w:before="237"/>
        <w:ind w:left="590" w:right="0"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公司实际控制人、股东、关联方、收购人以及公司等承诺相关方在报告期内或持续到报告期内的承诺事项</w:t>
      </w:r>
    </w:p>
    <w:p>
      <w:pPr>
        <w:spacing w:after="0"/>
        <w:jc w:val="left"/>
        <w:rPr>
          <w:rFonts w:ascii="宋体" w:hAnsi="宋体" w:cs="宋体" w:eastAsia="宋体" w:hint="default"/>
          <w:sz w:val="17"/>
          <w:szCs w:val="17"/>
        </w:rPr>
        <w:sectPr>
          <w:type w:val="continuous"/>
          <w:pgSz w:w="11910" w:h="16160"/>
          <w:pgMar w:top="1520" w:bottom="280" w:left="260" w:right="130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9"/>
          <w:szCs w:val="19"/>
        </w:rPr>
      </w:pPr>
    </w:p>
    <w:p>
      <w:pPr>
        <w:spacing w:line="200" w:lineRule="exact" w:before="0"/>
        <w:ind w:left="1015" w:right="0" w:firstLine="0"/>
        <w:jc w:val="both"/>
        <w:rPr>
          <w:rFonts w:ascii="宋体" w:hAnsi="宋体" w:cs="宋体" w:eastAsia="宋体" w:hint="default"/>
          <w:sz w:val="16"/>
          <w:szCs w:val="16"/>
        </w:rPr>
      </w:pPr>
      <w:r>
        <w:rPr/>
        <w:pict>
          <v:shape style="position:absolute;margin-left:70.431pt;margin-top:-83.727493pt;width:450.9pt;height:78.2pt;mso-position-horizontal-relative:page;mso-position-vertical-relative:paragraph;z-index:36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6"/>
                    <w:gridCol w:w="905"/>
                    <w:gridCol w:w="1776"/>
                    <w:gridCol w:w="1899"/>
                    <w:gridCol w:w="1530"/>
                    <w:gridCol w:w="648"/>
                    <w:gridCol w:w="528"/>
                    <w:gridCol w:w="702"/>
                    <w:gridCol w:w="624"/>
                  </w:tblGrid>
                  <w:tr>
                    <w:trPr>
                      <w:trHeight w:val="280" w:hRule="exact"/>
                    </w:trPr>
                    <w:tc>
                      <w:tcPr>
                        <w:tcW w:w="7692" w:type="dxa"/>
                        <w:gridSpan w:val="7"/>
                        <w:vMerge w:val="restart"/>
                        <w:tcBorders>
                          <w:top w:val="nil" w:sz="6" w:space="0" w:color="auto"/>
                          <w:left w:val="nil" w:sz="6" w:space="0" w:color="auto"/>
                          <w:right w:val="nil" w:sz="6" w:space="0" w:color="auto"/>
                        </w:tcBorders>
                      </w:tcPr>
                      <w:p>
                        <w:pPr/>
                      </w:p>
                    </w:tc>
                    <w:tc>
                      <w:tcPr>
                        <w:tcW w:w="702" w:type="dxa"/>
                        <w:tcBorders>
                          <w:top w:val="nil" w:sz="6" w:space="0" w:color="auto"/>
                          <w:left w:val="nil" w:sz="6" w:space="0" w:color="auto"/>
                          <w:bottom w:val="nil" w:sz="6" w:space="0" w:color="auto"/>
                          <w:right w:val="nil" w:sz="6" w:space="0" w:color="auto"/>
                        </w:tcBorders>
                      </w:tcPr>
                      <w:p>
                        <w:pPr>
                          <w:pStyle w:val="TableParagraph"/>
                          <w:spacing w:line="240" w:lineRule="auto" w:before="41"/>
                          <w:ind w:left="4" w:right="0"/>
                          <w:jc w:val="center"/>
                          <w:rPr>
                            <w:rFonts w:ascii="宋体" w:hAnsi="宋体" w:cs="宋体" w:eastAsia="宋体" w:hint="default"/>
                            <w:sz w:val="16"/>
                            <w:szCs w:val="16"/>
                          </w:rPr>
                        </w:pPr>
                        <w:r>
                          <w:rPr>
                            <w:rFonts w:ascii="宋体" w:hAnsi="宋体" w:cs="宋体" w:eastAsia="宋体" w:hint="default"/>
                            <w:sz w:val="16"/>
                            <w:szCs w:val="16"/>
                          </w:rPr>
                          <w:t>如未能</w:t>
                        </w:r>
                      </w:p>
                    </w:tc>
                    <w:tc>
                      <w:tcPr>
                        <w:tcW w:w="624" w:type="dxa"/>
                        <w:vMerge w:val="restart"/>
                        <w:tcBorders>
                          <w:top w:val="nil" w:sz="6" w:space="0" w:color="auto"/>
                          <w:left w:val="nil" w:sz="6" w:space="0" w:color="auto"/>
                          <w:right w:val="nil" w:sz="6" w:space="0" w:color="auto"/>
                        </w:tcBorders>
                      </w:tcPr>
                      <w:p>
                        <w:pPr/>
                      </w:p>
                    </w:tc>
                  </w:tr>
                  <w:tr>
                    <w:trPr>
                      <w:trHeight w:val="200" w:hRule="exact"/>
                    </w:trPr>
                    <w:tc>
                      <w:tcPr>
                        <w:tcW w:w="7692" w:type="dxa"/>
                        <w:gridSpan w:val="7"/>
                        <w:vMerge/>
                        <w:tcBorders>
                          <w:left w:val="nil" w:sz="6" w:space="0" w:color="auto"/>
                          <w:right w:val="nil" w:sz="6" w:space="0" w:color="auto"/>
                        </w:tcBorders>
                      </w:tcPr>
                      <w:p>
                        <w:pPr/>
                      </w:p>
                    </w:tc>
                    <w:tc>
                      <w:tcPr>
                        <w:tcW w:w="702" w:type="dxa"/>
                        <w:tcBorders>
                          <w:top w:val="nil" w:sz="6" w:space="0" w:color="auto"/>
                          <w:left w:val="nil" w:sz="6" w:space="0" w:color="auto"/>
                          <w:bottom w:val="nil" w:sz="6" w:space="0" w:color="auto"/>
                          <w:right w:val="nil" w:sz="6" w:space="0" w:color="auto"/>
                        </w:tcBorders>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及时履</w:t>
                        </w:r>
                      </w:p>
                    </w:tc>
                    <w:tc>
                      <w:tcPr>
                        <w:tcW w:w="624" w:type="dxa"/>
                        <w:vMerge/>
                        <w:tcBorders>
                          <w:left w:val="nil" w:sz="6" w:space="0" w:color="auto"/>
                          <w:bottom w:val="nil" w:sz="6" w:space="0" w:color="auto"/>
                          <w:right w:val="nil" w:sz="6" w:space="0" w:color="auto"/>
                        </w:tcBorders>
                      </w:tcPr>
                      <w:p>
                        <w:pPr/>
                      </w:p>
                    </w:tc>
                  </w:tr>
                  <w:tr>
                    <w:trPr>
                      <w:trHeight w:val="200" w:hRule="exact"/>
                    </w:trPr>
                    <w:tc>
                      <w:tcPr>
                        <w:tcW w:w="7692" w:type="dxa"/>
                        <w:gridSpan w:val="7"/>
                        <w:vMerge/>
                        <w:tcBorders>
                          <w:left w:val="nil" w:sz="6" w:space="0" w:color="auto"/>
                          <w:bottom w:val="nil" w:sz="6" w:space="0" w:color="auto"/>
                          <w:right w:val="nil" w:sz="6" w:space="0" w:color="auto"/>
                        </w:tcBorders>
                      </w:tcPr>
                      <w:p>
                        <w:pPr/>
                      </w:p>
                    </w:tc>
                    <w:tc>
                      <w:tcPr>
                        <w:tcW w:w="702" w:type="dxa"/>
                        <w:tcBorders>
                          <w:top w:val="nil" w:sz="6" w:space="0" w:color="auto"/>
                          <w:left w:val="nil" w:sz="6" w:space="0" w:color="auto"/>
                          <w:bottom w:val="nil" w:sz="6" w:space="0" w:color="auto"/>
                          <w:right w:val="nil" w:sz="6" w:space="0" w:color="auto"/>
                        </w:tcBorders>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行应说</w:t>
                        </w:r>
                      </w:p>
                    </w:tc>
                    <w:tc>
                      <w:tcPr>
                        <w:tcW w:w="624" w:type="dxa"/>
                        <w:tcBorders>
                          <w:top w:val="nil" w:sz="6" w:space="0" w:color="auto"/>
                          <w:left w:val="nil" w:sz="6" w:space="0" w:color="auto"/>
                          <w:bottom w:val="nil" w:sz="6" w:space="0" w:color="auto"/>
                          <w:right w:val="nil" w:sz="6" w:space="0" w:color="auto"/>
                        </w:tcBorders>
                      </w:tcPr>
                      <w:p>
                        <w:pPr>
                          <w:pStyle w:val="TableParagraph"/>
                          <w:spacing w:line="170" w:lineRule="exact"/>
                          <w:ind w:right="33"/>
                          <w:jc w:val="right"/>
                          <w:rPr>
                            <w:rFonts w:ascii="宋体" w:hAnsi="宋体" w:cs="宋体" w:eastAsia="宋体" w:hint="default"/>
                            <w:sz w:val="16"/>
                            <w:szCs w:val="16"/>
                          </w:rPr>
                        </w:pPr>
                        <w:r>
                          <w:rPr>
                            <w:rFonts w:ascii="宋体" w:hAnsi="宋体" w:cs="宋体" w:eastAsia="宋体" w:hint="default"/>
                            <w:sz w:val="16"/>
                            <w:szCs w:val="16"/>
                          </w:rPr>
                          <w:t>如未能</w:t>
                        </w:r>
                      </w:p>
                    </w:tc>
                  </w:tr>
                  <w:tr>
                    <w:trPr>
                      <w:trHeight w:val="200" w:hRule="exact"/>
                    </w:trPr>
                    <w:tc>
                      <w:tcPr>
                        <w:tcW w:w="406"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承</w:t>
                        </w:r>
                      </w:p>
                    </w:tc>
                    <w:tc>
                      <w:tcPr>
                        <w:tcW w:w="905" w:type="dxa"/>
                        <w:tcBorders>
                          <w:top w:val="nil" w:sz="6" w:space="0" w:color="auto"/>
                          <w:left w:val="nil" w:sz="6" w:space="0" w:color="auto"/>
                          <w:bottom w:val="nil" w:sz="6" w:space="0" w:color="auto"/>
                          <w:right w:val="nil" w:sz="6" w:space="0" w:color="auto"/>
                        </w:tcBorders>
                      </w:tcPr>
                      <w:p>
                        <w:pPr>
                          <w:pStyle w:val="TableParagraph"/>
                          <w:spacing w:line="170" w:lineRule="exact"/>
                          <w:ind w:left="210" w:right="0"/>
                          <w:jc w:val="left"/>
                          <w:rPr>
                            <w:rFonts w:ascii="宋体" w:hAnsi="宋体" w:cs="宋体" w:eastAsia="宋体" w:hint="default"/>
                            <w:sz w:val="16"/>
                            <w:szCs w:val="16"/>
                          </w:rPr>
                        </w:pPr>
                        <w:r>
                          <w:rPr>
                            <w:rFonts w:ascii="宋体" w:hAnsi="宋体" w:cs="宋体" w:eastAsia="宋体" w:hint="default"/>
                            <w:sz w:val="16"/>
                            <w:szCs w:val="16"/>
                          </w:rPr>
                          <w:t>承</w:t>
                        </w:r>
                      </w:p>
                    </w:tc>
                    <w:tc>
                      <w:tcPr>
                        <w:tcW w:w="1776" w:type="dxa"/>
                        <w:tcBorders>
                          <w:top w:val="nil" w:sz="6" w:space="0" w:color="auto"/>
                          <w:left w:val="nil" w:sz="6" w:space="0" w:color="auto"/>
                          <w:bottom w:val="nil" w:sz="6" w:space="0" w:color="auto"/>
                          <w:right w:val="nil" w:sz="6" w:space="0" w:color="auto"/>
                        </w:tcBorders>
                      </w:tcPr>
                      <w:p>
                        <w:pPr/>
                      </w:p>
                    </w:tc>
                    <w:tc>
                      <w:tcPr>
                        <w:tcW w:w="1899"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c>
                      <w:tcPr>
                        <w:tcW w:w="648" w:type="dxa"/>
                        <w:tcBorders>
                          <w:top w:val="nil" w:sz="6" w:space="0" w:color="auto"/>
                          <w:left w:val="nil" w:sz="6" w:space="0" w:color="auto"/>
                          <w:bottom w:val="nil" w:sz="6" w:space="0" w:color="auto"/>
                          <w:right w:val="nil" w:sz="6" w:space="0" w:color="auto"/>
                        </w:tcBorders>
                      </w:tcPr>
                      <w:p>
                        <w:pPr>
                          <w:pStyle w:val="TableParagraph"/>
                          <w:spacing w:line="170" w:lineRule="exact"/>
                          <w:ind w:left="137" w:right="0"/>
                          <w:jc w:val="center"/>
                          <w:rPr>
                            <w:rFonts w:ascii="宋体" w:hAnsi="宋体" w:cs="宋体" w:eastAsia="宋体" w:hint="default"/>
                            <w:sz w:val="16"/>
                            <w:szCs w:val="16"/>
                          </w:rPr>
                        </w:pPr>
                        <w:r>
                          <w:rPr>
                            <w:rFonts w:ascii="宋体" w:hAnsi="宋体" w:cs="宋体" w:eastAsia="宋体" w:hint="default"/>
                            <w:sz w:val="16"/>
                            <w:szCs w:val="16"/>
                          </w:rPr>
                          <w:t>是否</w:t>
                        </w:r>
                      </w:p>
                    </w:tc>
                    <w:tc>
                      <w:tcPr>
                        <w:tcW w:w="528" w:type="dxa"/>
                        <w:tcBorders>
                          <w:top w:val="nil" w:sz="6" w:space="0" w:color="auto"/>
                          <w:left w:val="nil" w:sz="6" w:space="0" w:color="auto"/>
                          <w:bottom w:val="nil" w:sz="6" w:space="0" w:color="auto"/>
                          <w:right w:val="nil" w:sz="6" w:space="0" w:color="auto"/>
                        </w:tcBorders>
                      </w:tcPr>
                      <w:p>
                        <w:pPr>
                          <w:pStyle w:val="TableParagraph"/>
                          <w:spacing w:line="170" w:lineRule="exact"/>
                          <w:ind w:left="95" w:right="0"/>
                          <w:jc w:val="left"/>
                          <w:rPr>
                            <w:rFonts w:ascii="宋体" w:hAnsi="宋体" w:cs="宋体" w:eastAsia="宋体" w:hint="default"/>
                            <w:sz w:val="16"/>
                            <w:szCs w:val="16"/>
                          </w:rPr>
                        </w:pPr>
                        <w:r>
                          <w:rPr>
                            <w:rFonts w:ascii="宋体" w:hAnsi="宋体" w:cs="宋体" w:eastAsia="宋体" w:hint="default"/>
                            <w:sz w:val="16"/>
                            <w:szCs w:val="16"/>
                          </w:rPr>
                          <w:t>是否</w:t>
                        </w:r>
                      </w:p>
                    </w:tc>
                    <w:tc>
                      <w:tcPr>
                        <w:tcW w:w="702" w:type="dxa"/>
                        <w:tcBorders>
                          <w:top w:val="nil" w:sz="6" w:space="0" w:color="auto"/>
                          <w:left w:val="nil" w:sz="6" w:space="0" w:color="auto"/>
                          <w:bottom w:val="nil" w:sz="6" w:space="0" w:color="auto"/>
                          <w:right w:val="nil" w:sz="6" w:space="0" w:color="auto"/>
                        </w:tcBorders>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明未完</w:t>
                        </w:r>
                      </w:p>
                    </w:tc>
                    <w:tc>
                      <w:tcPr>
                        <w:tcW w:w="624" w:type="dxa"/>
                        <w:tcBorders>
                          <w:top w:val="nil" w:sz="6" w:space="0" w:color="auto"/>
                          <w:left w:val="nil" w:sz="6" w:space="0" w:color="auto"/>
                          <w:bottom w:val="nil" w:sz="6" w:space="0" w:color="auto"/>
                          <w:right w:val="nil" w:sz="6" w:space="0" w:color="auto"/>
                        </w:tcBorders>
                      </w:tcPr>
                      <w:p>
                        <w:pPr>
                          <w:pStyle w:val="TableParagraph"/>
                          <w:spacing w:line="170" w:lineRule="exact"/>
                          <w:ind w:right="33"/>
                          <w:jc w:val="right"/>
                          <w:rPr>
                            <w:rFonts w:ascii="宋体" w:hAnsi="宋体" w:cs="宋体" w:eastAsia="宋体" w:hint="default"/>
                            <w:sz w:val="16"/>
                            <w:szCs w:val="16"/>
                          </w:rPr>
                        </w:pPr>
                        <w:r>
                          <w:rPr>
                            <w:rFonts w:ascii="宋体" w:hAnsi="宋体" w:cs="宋体" w:eastAsia="宋体" w:hint="default"/>
                            <w:sz w:val="16"/>
                            <w:szCs w:val="16"/>
                          </w:rPr>
                          <w:t>及时履</w:t>
                        </w:r>
                      </w:p>
                    </w:tc>
                  </w:tr>
                  <w:tr>
                    <w:trPr>
                      <w:trHeight w:val="200" w:hRule="exact"/>
                    </w:trPr>
                    <w:tc>
                      <w:tcPr>
                        <w:tcW w:w="406"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诺</w:t>
                        </w:r>
                      </w:p>
                    </w:tc>
                    <w:tc>
                      <w:tcPr>
                        <w:tcW w:w="905" w:type="dxa"/>
                        <w:tcBorders>
                          <w:top w:val="nil" w:sz="6" w:space="0" w:color="auto"/>
                          <w:left w:val="nil" w:sz="6" w:space="0" w:color="auto"/>
                          <w:bottom w:val="nil" w:sz="6" w:space="0" w:color="auto"/>
                          <w:right w:val="nil" w:sz="6" w:space="0" w:color="auto"/>
                        </w:tcBorders>
                      </w:tcPr>
                      <w:p>
                        <w:pPr>
                          <w:pStyle w:val="TableParagraph"/>
                          <w:spacing w:line="170" w:lineRule="exact"/>
                          <w:ind w:left="210" w:right="0"/>
                          <w:jc w:val="left"/>
                          <w:rPr>
                            <w:rFonts w:ascii="宋体" w:hAnsi="宋体" w:cs="宋体" w:eastAsia="宋体" w:hint="default"/>
                            <w:sz w:val="16"/>
                            <w:szCs w:val="16"/>
                          </w:rPr>
                        </w:pPr>
                        <w:r>
                          <w:rPr>
                            <w:rFonts w:ascii="宋体" w:hAnsi="宋体" w:cs="宋体" w:eastAsia="宋体" w:hint="default"/>
                            <w:sz w:val="16"/>
                            <w:szCs w:val="16"/>
                          </w:rPr>
                          <w:t>诺</w:t>
                        </w:r>
                      </w:p>
                    </w:tc>
                    <w:tc>
                      <w:tcPr>
                        <w:tcW w:w="1776" w:type="dxa"/>
                        <w:tcBorders>
                          <w:top w:val="nil" w:sz="6" w:space="0" w:color="auto"/>
                          <w:left w:val="nil" w:sz="6" w:space="0" w:color="auto"/>
                          <w:bottom w:val="nil" w:sz="6" w:space="0" w:color="auto"/>
                          <w:right w:val="nil" w:sz="6" w:space="0" w:color="auto"/>
                        </w:tcBorders>
                      </w:tcPr>
                      <w:p>
                        <w:pPr/>
                      </w:p>
                    </w:tc>
                    <w:tc>
                      <w:tcPr>
                        <w:tcW w:w="1899"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
                    </w:tc>
                    <w:tc>
                      <w:tcPr>
                        <w:tcW w:w="648" w:type="dxa"/>
                        <w:tcBorders>
                          <w:top w:val="nil" w:sz="6" w:space="0" w:color="auto"/>
                          <w:left w:val="nil" w:sz="6" w:space="0" w:color="auto"/>
                          <w:bottom w:val="nil" w:sz="6" w:space="0" w:color="auto"/>
                          <w:right w:val="nil" w:sz="6" w:space="0" w:color="auto"/>
                        </w:tcBorders>
                      </w:tcPr>
                      <w:p>
                        <w:pPr>
                          <w:pStyle w:val="TableParagraph"/>
                          <w:spacing w:line="170" w:lineRule="exact"/>
                          <w:ind w:left="137" w:right="0"/>
                          <w:jc w:val="center"/>
                          <w:rPr>
                            <w:rFonts w:ascii="宋体" w:hAnsi="宋体" w:cs="宋体" w:eastAsia="宋体" w:hint="default"/>
                            <w:sz w:val="16"/>
                            <w:szCs w:val="16"/>
                          </w:rPr>
                        </w:pPr>
                        <w:r>
                          <w:rPr>
                            <w:rFonts w:ascii="宋体" w:hAnsi="宋体" w:cs="宋体" w:eastAsia="宋体" w:hint="default"/>
                            <w:sz w:val="16"/>
                            <w:szCs w:val="16"/>
                          </w:rPr>
                          <w:t>有履</w:t>
                        </w:r>
                      </w:p>
                    </w:tc>
                    <w:tc>
                      <w:tcPr>
                        <w:tcW w:w="528" w:type="dxa"/>
                        <w:tcBorders>
                          <w:top w:val="nil" w:sz="6" w:space="0" w:color="auto"/>
                          <w:left w:val="nil" w:sz="6" w:space="0" w:color="auto"/>
                          <w:bottom w:val="nil" w:sz="6" w:space="0" w:color="auto"/>
                          <w:right w:val="nil" w:sz="6" w:space="0" w:color="auto"/>
                        </w:tcBorders>
                      </w:tcPr>
                      <w:p>
                        <w:pPr>
                          <w:pStyle w:val="TableParagraph"/>
                          <w:spacing w:line="170" w:lineRule="exact"/>
                          <w:ind w:left="95" w:right="0"/>
                          <w:jc w:val="left"/>
                          <w:rPr>
                            <w:rFonts w:ascii="宋体" w:hAnsi="宋体" w:cs="宋体" w:eastAsia="宋体" w:hint="default"/>
                            <w:sz w:val="16"/>
                            <w:szCs w:val="16"/>
                          </w:rPr>
                        </w:pPr>
                        <w:r>
                          <w:rPr>
                            <w:rFonts w:ascii="宋体" w:hAnsi="宋体" w:cs="宋体" w:eastAsia="宋体" w:hint="default"/>
                            <w:sz w:val="16"/>
                            <w:szCs w:val="16"/>
                          </w:rPr>
                          <w:t>及时</w:t>
                        </w:r>
                      </w:p>
                    </w:tc>
                    <w:tc>
                      <w:tcPr>
                        <w:tcW w:w="702" w:type="dxa"/>
                        <w:tcBorders>
                          <w:top w:val="nil" w:sz="6" w:space="0" w:color="auto"/>
                          <w:left w:val="nil" w:sz="6" w:space="0" w:color="auto"/>
                          <w:bottom w:val="nil" w:sz="6" w:space="0" w:color="auto"/>
                          <w:right w:val="nil" w:sz="6" w:space="0" w:color="auto"/>
                        </w:tcBorders>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成履行</w:t>
                        </w:r>
                      </w:p>
                    </w:tc>
                    <w:tc>
                      <w:tcPr>
                        <w:tcW w:w="624" w:type="dxa"/>
                        <w:tcBorders>
                          <w:top w:val="nil" w:sz="6" w:space="0" w:color="auto"/>
                          <w:left w:val="nil" w:sz="6" w:space="0" w:color="auto"/>
                          <w:bottom w:val="nil" w:sz="6" w:space="0" w:color="auto"/>
                          <w:right w:val="nil" w:sz="6" w:space="0" w:color="auto"/>
                        </w:tcBorders>
                      </w:tcPr>
                      <w:p>
                        <w:pPr>
                          <w:pStyle w:val="TableParagraph"/>
                          <w:spacing w:line="170" w:lineRule="exact"/>
                          <w:ind w:right="33"/>
                          <w:jc w:val="right"/>
                          <w:rPr>
                            <w:rFonts w:ascii="宋体" w:hAnsi="宋体" w:cs="宋体" w:eastAsia="宋体" w:hint="default"/>
                            <w:sz w:val="16"/>
                            <w:szCs w:val="16"/>
                          </w:rPr>
                        </w:pPr>
                        <w:r>
                          <w:rPr>
                            <w:rFonts w:ascii="宋体" w:hAnsi="宋体" w:cs="宋体" w:eastAsia="宋体" w:hint="default"/>
                            <w:sz w:val="16"/>
                            <w:szCs w:val="16"/>
                          </w:rPr>
                          <w:t>行应说</w:t>
                        </w:r>
                      </w:p>
                    </w:tc>
                  </w:tr>
                  <w:tr>
                    <w:trPr>
                      <w:trHeight w:val="200" w:hRule="exact"/>
                    </w:trPr>
                    <w:tc>
                      <w:tcPr>
                        <w:tcW w:w="406"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背</w:t>
                        </w:r>
                      </w:p>
                    </w:tc>
                    <w:tc>
                      <w:tcPr>
                        <w:tcW w:w="905" w:type="dxa"/>
                        <w:tcBorders>
                          <w:top w:val="nil" w:sz="6" w:space="0" w:color="auto"/>
                          <w:left w:val="nil" w:sz="6" w:space="0" w:color="auto"/>
                          <w:bottom w:val="nil" w:sz="6" w:space="0" w:color="auto"/>
                          <w:right w:val="nil" w:sz="6" w:space="0" w:color="auto"/>
                        </w:tcBorders>
                      </w:tcPr>
                      <w:p>
                        <w:pPr>
                          <w:pStyle w:val="TableParagraph"/>
                          <w:spacing w:line="170" w:lineRule="exact"/>
                          <w:ind w:left="210" w:right="0"/>
                          <w:jc w:val="left"/>
                          <w:rPr>
                            <w:rFonts w:ascii="宋体" w:hAnsi="宋体" w:cs="宋体" w:eastAsia="宋体" w:hint="default"/>
                            <w:sz w:val="16"/>
                            <w:szCs w:val="16"/>
                          </w:rPr>
                        </w:pPr>
                        <w:r>
                          <w:rPr>
                            <w:rFonts w:ascii="宋体" w:hAnsi="宋体" w:cs="宋体" w:eastAsia="宋体" w:hint="default"/>
                            <w:sz w:val="16"/>
                            <w:szCs w:val="16"/>
                          </w:rPr>
                          <w:t>类</w:t>
                        </w:r>
                      </w:p>
                    </w:tc>
                    <w:tc>
                      <w:tcPr>
                        <w:tcW w:w="1776" w:type="dxa"/>
                        <w:tcBorders>
                          <w:top w:val="nil" w:sz="6" w:space="0" w:color="auto"/>
                          <w:left w:val="nil" w:sz="6" w:space="0" w:color="auto"/>
                          <w:bottom w:val="nil" w:sz="6" w:space="0" w:color="auto"/>
                          <w:right w:val="nil" w:sz="6" w:space="0" w:color="auto"/>
                        </w:tcBorders>
                      </w:tcPr>
                      <w:p>
                        <w:pPr/>
                      </w:p>
                    </w:tc>
                    <w:tc>
                      <w:tcPr>
                        <w:tcW w:w="1899" w:type="dxa"/>
                        <w:tcBorders>
                          <w:top w:val="nil" w:sz="6" w:space="0" w:color="auto"/>
                          <w:left w:val="nil" w:sz="6" w:space="0" w:color="auto"/>
                          <w:bottom w:val="nil" w:sz="6" w:space="0" w:color="auto"/>
                          <w:right w:val="nil" w:sz="6" w:space="0" w:color="auto"/>
                        </w:tcBorders>
                      </w:tcPr>
                      <w:p>
                        <w:pPr/>
                      </w:p>
                    </w:tc>
                    <w:tc>
                      <w:tcPr>
                        <w:tcW w:w="1530" w:type="dxa"/>
                        <w:tcBorders>
                          <w:top w:val="nil" w:sz="6" w:space="0" w:color="auto"/>
                          <w:left w:val="nil" w:sz="6" w:space="0" w:color="auto"/>
                          <w:bottom w:val="nil" w:sz="6" w:space="0" w:color="auto"/>
                          <w:right w:val="nil" w:sz="6" w:space="0" w:color="auto"/>
                        </w:tcBorders>
                      </w:tcPr>
                      <w:p>
                        <w:pPr>
                          <w:pStyle w:val="TableParagraph"/>
                          <w:spacing w:line="170" w:lineRule="exact"/>
                          <w:ind w:left="265" w:right="0"/>
                          <w:jc w:val="center"/>
                          <w:rPr>
                            <w:rFonts w:ascii="宋体" w:hAnsi="宋体" w:cs="宋体" w:eastAsia="宋体" w:hint="default"/>
                            <w:sz w:val="16"/>
                            <w:szCs w:val="16"/>
                          </w:rPr>
                        </w:pPr>
                        <w:r>
                          <w:rPr>
                            <w:rFonts w:ascii="宋体" w:hAnsi="宋体" w:cs="宋体" w:eastAsia="宋体" w:hint="default"/>
                            <w:sz w:val="16"/>
                            <w:szCs w:val="16"/>
                          </w:rPr>
                          <w:t>承诺</w:t>
                        </w:r>
                      </w:p>
                    </w:tc>
                    <w:tc>
                      <w:tcPr>
                        <w:tcW w:w="648" w:type="dxa"/>
                        <w:tcBorders>
                          <w:top w:val="nil" w:sz="6" w:space="0" w:color="auto"/>
                          <w:left w:val="nil" w:sz="6" w:space="0" w:color="auto"/>
                          <w:bottom w:val="nil" w:sz="6" w:space="0" w:color="auto"/>
                          <w:right w:val="nil" w:sz="6" w:space="0" w:color="auto"/>
                        </w:tcBorders>
                      </w:tcPr>
                      <w:p>
                        <w:pPr>
                          <w:pStyle w:val="TableParagraph"/>
                          <w:spacing w:line="170" w:lineRule="exact"/>
                          <w:ind w:left="137" w:right="0"/>
                          <w:jc w:val="center"/>
                          <w:rPr>
                            <w:rFonts w:ascii="宋体" w:hAnsi="宋体" w:cs="宋体" w:eastAsia="宋体" w:hint="default"/>
                            <w:sz w:val="16"/>
                            <w:szCs w:val="16"/>
                          </w:rPr>
                        </w:pPr>
                        <w:r>
                          <w:rPr>
                            <w:rFonts w:ascii="宋体" w:hAnsi="宋体" w:cs="宋体" w:eastAsia="宋体" w:hint="default"/>
                            <w:sz w:val="16"/>
                            <w:szCs w:val="16"/>
                          </w:rPr>
                          <w:t>行期</w:t>
                        </w:r>
                      </w:p>
                    </w:tc>
                    <w:tc>
                      <w:tcPr>
                        <w:tcW w:w="528" w:type="dxa"/>
                        <w:tcBorders>
                          <w:top w:val="nil" w:sz="6" w:space="0" w:color="auto"/>
                          <w:left w:val="nil" w:sz="6" w:space="0" w:color="auto"/>
                          <w:bottom w:val="nil" w:sz="6" w:space="0" w:color="auto"/>
                          <w:right w:val="nil" w:sz="6" w:space="0" w:color="auto"/>
                        </w:tcBorders>
                      </w:tcPr>
                      <w:p>
                        <w:pPr>
                          <w:pStyle w:val="TableParagraph"/>
                          <w:spacing w:line="170" w:lineRule="exact"/>
                          <w:ind w:left="95" w:right="0"/>
                          <w:jc w:val="left"/>
                          <w:rPr>
                            <w:rFonts w:ascii="宋体" w:hAnsi="宋体" w:cs="宋体" w:eastAsia="宋体" w:hint="default"/>
                            <w:sz w:val="16"/>
                            <w:szCs w:val="16"/>
                          </w:rPr>
                        </w:pPr>
                        <w:r>
                          <w:rPr>
                            <w:rFonts w:ascii="宋体" w:hAnsi="宋体" w:cs="宋体" w:eastAsia="宋体" w:hint="default"/>
                            <w:sz w:val="16"/>
                            <w:szCs w:val="16"/>
                          </w:rPr>
                          <w:t>严格</w:t>
                        </w:r>
                      </w:p>
                    </w:tc>
                    <w:tc>
                      <w:tcPr>
                        <w:tcW w:w="702" w:type="dxa"/>
                        <w:tcBorders>
                          <w:top w:val="nil" w:sz="6" w:space="0" w:color="auto"/>
                          <w:left w:val="nil" w:sz="6" w:space="0" w:color="auto"/>
                          <w:bottom w:val="nil" w:sz="6" w:space="0" w:color="auto"/>
                          <w:right w:val="nil" w:sz="6" w:space="0" w:color="auto"/>
                        </w:tcBorders>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的具体</w:t>
                        </w:r>
                      </w:p>
                    </w:tc>
                    <w:tc>
                      <w:tcPr>
                        <w:tcW w:w="624" w:type="dxa"/>
                        <w:tcBorders>
                          <w:top w:val="nil" w:sz="6" w:space="0" w:color="auto"/>
                          <w:left w:val="nil" w:sz="6" w:space="0" w:color="auto"/>
                          <w:bottom w:val="nil" w:sz="6" w:space="0" w:color="auto"/>
                          <w:right w:val="nil" w:sz="6" w:space="0" w:color="auto"/>
                        </w:tcBorders>
                      </w:tcPr>
                      <w:p>
                        <w:pPr>
                          <w:pStyle w:val="TableParagraph"/>
                          <w:spacing w:line="170" w:lineRule="exact"/>
                          <w:ind w:right="33"/>
                          <w:jc w:val="right"/>
                          <w:rPr>
                            <w:rFonts w:ascii="宋体" w:hAnsi="宋体" w:cs="宋体" w:eastAsia="宋体" w:hint="default"/>
                            <w:sz w:val="16"/>
                            <w:szCs w:val="16"/>
                          </w:rPr>
                        </w:pPr>
                        <w:r>
                          <w:rPr>
                            <w:rFonts w:ascii="宋体" w:hAnsi="宋体" w:cs="宋体" w:eastAsia="宋体" w:hint="default"/>
                            <w:sz w:val="16"/>
                            <w:szCs w:val="16"/>
                          </w:rPr>
                          <w:t>明下一</w:t>
                        </w:r>
                      </w:p>
                    </w:tc>
                  </w:tr>
                  <w:tr>
                    <w:trPr>
                      <w:trHeight w:val="284" w:hRule="exact"/>
                    </w:trPr>
                    <w:tc>
                      <w:tcPr>
                        <w:tcW w:w="406" w:type="dxa"/>
                        <w:tcBorders>
                          <w:top w:val="nil" w:sz="6" w:space="0" w:color="auto"/>
                          <w:left w:val="nil" w:sz="6" w:space="0" w:color="auto"/>
                          <w:bottom w:val="nil" w:sz="6" w:space="0" w:color="auto"/>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景</w:t>
                        </w:r>
                      </w:p>
                    </w:tc>
                    <w:tc>
                      <w:tcPr>
                        <w:tcW w:w="905" w:type="dxa"/>
                        <w:tcBorders>
                          <w:top w:val="nil" w:sz="6" w:space="0" w:color="auto"/>
                          <w:left w:val="nil" w:sz="6" w:space="0" w:color="auto"/>
                          <w:bottom w:val="nil" w:sz="6" w:space="0" w:color="auto"/>
                          <w:right w:val="nil" w:sz="6" w:space="0" w:color="auto"/>
                        </w:tcBorders>
                      </w:tcPr>
                      <w:p>
                        <w:pPr>
                          <w:pStyle w:val="TableParagraph"/>
                          <w:spacing w:line="170" w:lineRule="exact"/>
                          <w:ind w:left="210" w:right="0"/>
                          <w:jc w:val="left"/>
                          <w:rPr>
                            <w:rFonts w:ascii="宋体" w:hAnsi="宋体" w:cs="宋体" w:eastAsia="宋体" w:hint="default"/>
                            <w:sz w:val="16"/>
                            <w:szCs w:val="16"/>
                          </w:rPr>
                        </w:pPr>
                        <w:r>
                          <w:rPr>
                            <w:rFonts w:ascii="宋体" w:hAnsi="宋体" w:cs="宋体" w:eastAsia="宋体" w:hint="default"/>
                            <w:sz w:val="16"/>
                            <w:szCs w:val="16"/>
                          </w:rPr>
                          <w:t>型</w:t>
                        </w:r>
                      </w:p>
                    </w:tc>
                    <w:tc>
                      <w:tcPr>
                        <w:tcW w:w="1776" w:type="dxa"/>
                        <w:tcBorders>
                          <w:top w:val="nil" w:sz="6" w:space="0" w:color="auto"/>
                          <w:left w:val="nil" w:sz="6" w:space="0" w:color="auto"/>
                          <w:bottom w:val="nil" w:sz="6" w:space="0" w:color="auto"/>
                          <w:right w:val="nil" w:sz="6" w:space="0" w:color="auto"/>
                        </w:tcBorders>
                      </w:tcPr>
                      <w:p>
                        <w:pPr>
                          <w:pStyle w:val="TableParagraph"/>
                          <w:spacing w:line="170" w:lineRule="exact"/>
                          <w:ind w:left="534" w:right="0"/>
                          <w:jc w:val="left"/>
                          <w:rPr>
                            <w:rFonts w:ascii="宋体" w:hAnsi="宋体" w:cs="宋体" w:eastAsia="宋体" w:hint="default"/>
                            <w:sz w:val="16"/>
                            <w:szCs w:val="16"/>
                          </w:rPr>
                        </w:pPr>
                        <w:r>
                          <w:rPr>
                            <w:rFonts w:ascii="宋体" w:hAnsi="宋体" w:cs="宋体" w:eastAsia="宋体" w:hint="default"/>
                            <w:sz w:val="16"/>
                            <w:szCs w:val="16"/>
                          </w:rPr>
                          <w:t>承诺方</w:t>
                        </w:r>
                      </w:p>
                    </w:tc>
                    <w:tc>
                      <w:tcPr>
                        <w:tcW w:w="1899" w:type="dxa"/>
                        <w:tcBorders>
                          <w:top w:val="nil" w:sz="6" w:space="0" w:color="auto"/>
                          <w:left w:val="nil" w:sz="6" w:space="0" w:color="auto"/>
                          <w:bottom w:val="nil" w:sz="6" w:space="0" w:color="auto"/>
                          <w:right w:val="nil" w:sz="6" w:space="0" w:color="auto"/>
                        </w:tcBorders>
                      </w:tcPr>
                      <w:p>
                        <w:pPr>
                          <w:pStyle w:val="TableParagraph"/>
                          <w:spacing w:line="170" w:lineRule="exact"/>
                          <w:ind w:left="761" w:right="0"/>
                          <w:jc w:val="left"/>
                          <w:rPr>
                            <w:rFonts w:ascii="宋体" w:hAnsi="宋体" w:cs="宋体" w:eastAsia="宋体" w:hint="default"/>
                            <w:sz w:val="16"/>
                            <w:szCs w:val="16"/>
                          </w:rPr>
                        </w:pPr>
                        <w:r>
                          <w:rPr>
                            <w:rFonts w:ascii="宋体" w:hAnsi="宋体" w:cs="宋体" w:eastAsia="宋体" w:hint="default"/>
                            <w:sz w:val="16"/>
                            <w:szCs w:val="16"/>
                          </w:rPr>
                          <w:t>承诺内容</w:t>
                        </w:r>
                      </w:p>
                    </w:tc>
                    <w:tc>
                      <w:tcPr>
                        <w:tcW w:w="1530" w:type="dxa"/>
                        <w:tcBorders>
                          <w:top w:val="nil" w:sz="6" w:space="0" w:color="auto"/>
                          <w:left w:val="nil" w:sz="6" w:space="0" w:color="auto"/>
                          <w:bottom w:val="nil" w:sz="6" w:space="0" w:color="auto"/>
                          <w:right w:val="nil" w:sz="6" w:space="0" w:color="auto"/>
                        </w:tcBorders>
                      </w:tcPr>
                      <w:p>
                        <w:pPr>
                          <w:pStyle w:val="TableParagraph"/>
                          <w:spacing w:line="170" w:lineRule="exact"/>
                          <w:ind w:left="265" w:right="0"/>
                          <w:jc w:val="center"/>
                          <w:rPr>
                            <w:rFonts w:ascii="宋体" w:hAnsi="宋体" w:cs="宋体" w:eastAsia="宋体" w:hint="default"/>
                            <w:sz w:val="16"/>
                            <w:szCs w:val="16"/>
                          </w:rPr>
                        </w:pPr>
                        <w:r>
                          <w:rPr>
                            <w:rFonts w:ascii="宋体" w:hAnsi="宋体" w:cs="宋体" w:eastAsia="宋体" w:hint="default"/>
                            <w:sz w:val="16"/>
                            <w:szCs w:val="16"/>
                          </w:rPr>
                          <w:t>时间及期限</w:t>
                        </w:r>
                      </w:p>
                    </w:tc>
                    <w:tc>
                      <w:tcPr>
                        <w:tcW w:w="648" w:type="dxa"/>
                        <w:tcBorders>
                          <w:top w:val="nil" w:sz="6" w:space="0" w:color="auto"/>
                          <w:left w:val="nil" w:sz="6" w:space="0" w:color="auto"/>
                          <w:bottom w:val="nil" w:sz="6" w:space="0" w:color="auto"/>
                          <w:right w:val="nil" w:sz="6" w:space="0" w:color="auto"/>
                        </w:tcBorders>
                      </w:tcPr>
                      <w:p>
                        <w:pPr>
                          <w:pStyle w:val="TableParagraph"/>
                          <w:spacing w:line="170" w:lineRule="exact"/>
                          <w:ind w:left="137" w:right="0"/>
                          <w:jc w:val="center"/>
                          <w:rPr>
                            <w:rFonts w:ascii="宋体" w:hAnsi="宋体" w:cs="宋体" w:eastAsia="宋体" w:hint="default"/>
                            <w:sz w:val="16"/>
                            <w:szCs w:val="16"/>
                          </w:rPr>
                        </w:pPr>
                        <w:r>
                          <w:rPr>
                            <w:rFonts w:ascii="宋体" w:hAnsi="宋体" w:cs="宋体" w:eastAsia="宋体" w:hint="default"/>
                            <w:sz w:val="16"/>
                            <w:szCs w:val="16"/>
                          </w:rPr>
                          <w:t>限</w:t>
                        </w:r>
                      </w:p>
                    </w:tc>
                    <w:tc>
                      <w:tcPr>
                        <w:tcW w:w="528" w:type="dxa"/>
                        <w:tcBorders>
                          <w:top w:val="nil" w:sz="6" w:space="0" w:color="auto"/>
                          <w:left w:val="nil" w:sz="6" w:space="0" w:color="auto"/>
                          <w:bottom w:val="nil" w:sz="6" w:space="0" w:color="auto"/>
                          <w:right w:val="nil" w:sz="6" w:space="0" w:color="auto"/>
                        </w:tcBorders>
                      </w:tcPr>
                      <w:p>
                        <w:pPr>
                          <w:pStyle w:val="TableParagraph"/>
                          <w:spacing w:line="170" w:lineRule="exact"/>
                          <w:ind w:left="95" w:right="0"/>
                          <w:jc w:val="left"/>
                          <w:rPr>
                            <w:rFonts w:ascii="宋体" w:hAnsi="宋体" w:cs="宋体" w:eastAsia="宋体" w:hint="default"/>
                            <w:sz w:val="16"/>
                            <w:szCs w:val="16"/>
                          </w:rPr>
                        </w:pPr>
                        <w:r>
                          <w:rPr>
                            <w:rFonts w:ascii="宋体" w:hAnsi="宋体" w:cs="宋体" w:eastAsia="宋体" w:hint="default"/>
                            <w:sz w:val="16"/>
                            <w:szCs w:val="16"/>
                          </w:rPr>
                          <w:t>履行</w:t>
                        </w:r>
                      </w:p>
                    </w:tc>
                    <w:tc>
                      <w:tcPr>
                        <w:tcW w:w="702" w:type="dxa"/>
                        <w:tcBorders>
                          <w:top w:val="nil" w:sz="6" w:space="0" w:color="auto"/>
                          <w:left w:val="nil" w:sz="6" w:space="0" w:color="auto"/>
                          <w:bottom w:val="nil" w:sz="6" w:space="0" w:color="auto"/>
                          <w:right w:val="nil" w:sz="6" w:space="0" w:color="auto"/>
                        </w:tcBorders>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原因</w:t>
                        </w:r>
                      </w:p>
                    </w:tc>
                    <w:tc>
                      <w:tcPr>
                        <w:tcW w:w="624" w:type="dxa"/>
                        <w:tcBorders>
                          <w:top w:val="nil" w:sz="6" w:space="0" w:color="auto"/>
                          <w:left w:val="nil" w:sz="6" w:space="0" w:color="auto"/>
                          <w:bottom w:val="nil" w:sz="6" w:space="0" w:color="auto"/>
                          <w:right w:val="nil" w:sz="6" w:space="0" w:color="auto"/>
                        </w:tcBorders>
                      </w:tcPr>
                      <w:p>
                        <w:pPr>
                          <w:pStyle w:val="TableParagraph"/>
                          <w:spacing w:line="170" w:lineRule="exact"/>
                          <w:ind w:right="33"/>
                          <w:jc w:val="right"/>
                          <w:rPr>
                            <w:rFonts w:ascii="宋体" w:hAnsi="宋体" w:cs="宋体" w:eastAsia="宋体" w:hint="default"/>
                            <w:sz w:val="16"/>
                            <w:szCs w:val="16"/>
                          </w:rPr>
                        </w:pPr>
                        <w:r>
                          <w:rPr>
                            <w:rFonts w:ascii="宋体" w:hAnsi="宋体" w:cs="宋体" w:eastAsia="宋体" w:hint="default"/>
                            <w:sz w:val="16"/>
                            <w:szCs w:val="16"/>
                          </w:rPr>
                          <w:t>步计划</w:t>
                        </w:r>
                      </w:p>
                    </w:tc>
                  </w:tr>
                </w:tbl>
                <w:p>
                  <w:pPr/>
                </w:p>
              </w:txbxContent>
            </v:textbox>
            <w10:wrap type="none"/>
          </v:shape>
        </w:pict>
      </w:r>
      <w:r>
        <w:rPr>
          <w:rFonts w:ascii="宋体" w:hAnsi="宋体" w:cs="宋体" w:eastAsia="宋体" w:hint="default"/>
          <w:sz w:val="16"/>
          <w:szCs w:val="16"/>
        </w:rPr>
        <w:t>收购报 告书或 权益变 动报告 书中所 作承诺</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8"/>
        <w:rPr>
          <w:rFonts w:ascii="宋体" w:hAnsi="宋体" w:cs="宋体" w:eastAsia="宋体" w:hint="default"/>
          <w:sz w:val="17"/>
          <w:szCs w:val="17"/>
        </w:rPr>
      </w:pPr>
    </w:p>
    <w:p>
      <w:pPr>
        <w:spacing w:line="200" w:lineRule="exact" w:before="0"/>
        <w:ind w:left="149" w:right="0" w:firstLine="0"/>
        <w:jc w:val="left"/>
        <w:rPr>
          <w:rFonts w:ascii="宋体" w:hAnsi="宋体" w:cs="宋体" w:eastAsia="宋体" w:hint="default"/>
          <w:sz w:val="16"/>
          <w:szCs w:val="16"/>
        </w:rPr>
      </w:pPr>
      <w:r>
        <w:rPr>
          <w:rFonts w:ascii="宋体" w:hAnsi="宋体" w:cs="宋体" w:eastAsia="宋体" w:hint="default"/>
          <w:sz w:val="16"/>
          <w:szCs w:val="16"/>
        </w:rPr>
        <w:t>股份</w:t>
      </w:r>
      <w:r>
        <w:rPr>
          <w:rFonts w:ascii="宋体" w:hAnsi="宋体" w:cs="宋体" w:eastAsia="宋体" w:hint="default"/>
          <w:spacing w:val="35"/>
          <w:sz w:val="16"/>
          <w:szCs w:val="16"/>
        </w:rPr>
        <w:t> </w:t>
      </w:r>
      <w:r>
        <w:rPr>
          <w:rFonts w:ascii="宋体" w:hAnsi="宋体" w:cs="宋体" w:eastAsia="宋体" w:hint="default"/>
          <w:sz w:val="16"/>
          <w:szCs w:val="16"/>
        </w:rPr>
        <w:t>中国国有企业结构调整基金股</w:t>
      </w:r>
      <w:r>
        <w:rPr>
          <w:rFonts w:ascii="宋体" w:hAnsi="宋体" w:cs="宋体" w:eastAsia="宋体" w:hint="default"/>
          <w:sz w:val="16"/>
          <w:szCs w:val="16"/>
        </w:rPr>
        <w:t> 限售 </w:t>
      </w:r>
      <w:r>
        <w:rPr>
          <w:rFonts w:ascii="宋体" w:hAnsi="宋体" w:cs="宋体" w:eastAsia="宋体" w:hint="default"/>
          <w:spacing w:val="13"/>
          <w:sz w:val="16"/>
          <w:szCs w:val="16"/>
        </w:rPr>
        <w:t> </w:t>
      </w:r>
      <w:r>
        <w:rPr>
          <w:rFonts w:ascii="宋体" w:hAnsi="宋体" w:cs="宋体" w:eastAsia="宋体" w:hint="default"/>
          <w:sz w:val="16"/>
          <w:szCs w:val="16"/>
        </w:rPr>
        <w:t>份有限公司</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00" w:lineRule="exact" w:before="130"/>
        <w:ind w:left="129" w:right="0" w:firstLine="0"/>
        <w:jc w:val="both"/>
        <w:rPr>
          <w:rFonts w:ascii="宋体" w:hAnsi="宋体" w:cs="宋体" w:eastAsia="宋体" w:hint="default"/>
          <w:sz w:val="16"/>
          <w:szCs w:val="16"/>
        </w:rPr>
      </w:pPr>
      <w:r>
        <w:rPr>
          <w:rFonts w:ascii="宋体" w:hAnsi="宋体" w:cs="宋体" w:eastAsia="宋体" w:hint="default"/>
          <w:sz w:val="16"/>
          <w:szCs w:val="16"/>
        </w:rPr>
        <w:t>自交割日起</w:t>
      </w:r>
      <w:r>
        <w:rPr>
          <w:rFonts w:ascii="宋体" w:hAnsi="宋体" w:cs="宋体" w:eastAsia="宋体" w:hint="default"/>
          <w:spacing w:val="-28"/>
          <w:sz w:val="16"/>
          <w:szCs w:val="16"/>
        </w:rPr>
        <w:t> </w:t>
      </w:r>
      <w:r>
        <w:rPr>
          <w:rFonts w:ascii="宋体" w:hAnsi="宋体" w:cs="宋体" w:eastAsia="宋体" w:hint="default"/>
          <w:sz w:val="16"/>
          <w:szCs w:val="16"/>
        </w:rPr>
        <w:t>36</w:t>
      </w:r>
      <w:r>
        <w:rPr>
          <w:rFonts w:ascii="宋体" w:hAnsi="宋体" w:cs="宋体" w:eastAsia="宋体" w:hint="default"/>
          <w:spacing w:val="-28"/>
          <w:sz w:val="16"/>
          <w:szCs w:val="16"/>
        </w:rPr>
        <w:t> </w:t>
      </w:r>
      <w:r>
        <w:rPr>
          <w:rFonts w:ascii="宋体" w:hAnsi="宋体" w:cs="宋体" w:eastAsia="宋体" w:hint="default"/>
          <w:sz w:val="16"/>
          <w:szCs w:val="16"/>
        </w:rPr>
        <w:t>个月内不</w:t>
      </w:r>
      <w:r>
        <w:rPr>
          <w:rFonts w:ascii="宋体" w:hAnsi="宋体" w:cs="宋体" w:eastAsia="宋体" w:hint="default"/>
          <w:spacing w:val="-75"/>
          <w:sz w:val="16"/>
          <w:szCs w:val="16"/>
        </w:rPr>
        <w:t> </w:t>
      </w:r>
      <w:r>
        <w:rPr>
          <w:rFonts w:ascii="宋体" w:hAnsi="宋体" w:cs="宋体" w:eastAsia="宋体" w:hint="default"/>
          <w:spacing w:val="-75"/>
          <w:sz w:val="16"/>
          <w:szCs w:val="16"/>
        </w:rPr>
      </w:r>
      <w:r>
        <w:rPr>
          <w:rFonts w:ascii="宋体" w:hAnsi="宋体" w:cs="宋体" w:eastAsia="宋体" w:hint="default"/>
          <w:spacing w:val="12"/>
          <w:sz w:val="16"/>
          <w:szCs w:val="16"/>
        </w:rPr>
        <w:t>得直接或间接转让此次</w:t>
      </w:r>
      <w:r>
        <w:rPr>
          <w:rFonts w:ascii="宋体" w:hAnsi="宋体" w:cs="宋体" w:eastAsia="宋体" w:hint="default"/>
          <w:spacing w:val="12"/>
          <w:sz w:val="16"/>
          <w:szCs w:val="16"/>
        </w:rPr>
        <w:t> </w:t>
      </w:r>
      <w:r>
        <w:rPr>
          <w:rFonts w:ascii="宋体" w:hAnsi="宋体" w:cs="宋体" w:eastAsia="宋体" w:hint="default"/>
          <w:sz w:val="16"/>
          <w:szCs w:val="16"/>
        </w:rPr>
        <w:t>协议转让股份</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00" w:lineRule="exact" w:before="140"/>
        <w:ind w:left="117" w:right="-16" w:firstLine="0"/>
        <w:jc w:val="left"/>
        <w:rPr>
          <w:rFonts w:ascii="宋体" w:hAnsi="宋体" w:cs="宋体" w:eastAsia="宋体" w:hint="default"/>
          <w:sz w:val="16"/>
          <w:szCs w:val="16"/>
        </w:rPr>
      </w:pPr>
      <w:r>
        <w:rPr>
          <w:rFonts w:ascii="宋体" w:hAnsi="宋体" w:cs="宋体" w:eastAsia="宋体" w:hint="default"/>
          <w:w w:val="105"/>
          <w:sz w:val="16"/>
          <w:szCs w:val="16"/>
        </w:rPr>
        <w:t>承诺时间：2017</w:t>
      </w:r>
      <w:r>
        <w:rPr>
          <w:rFonts w:ascii="宋体" w:hAnsi="宋体" w:cs="宋体" w:eastAsia="宋体" w:hint="default"/>
          <w:spacing w:val="-57"/>
          <w:w w:val="105"/>
          <w:sz w:val="16"/>
          <w:szCs w:val="16"/>
        </w:rPr>
        <w:t> </w:t>
      </w:r>
      <w:r>
        <w:rPr>
          <w:rFonts w:ascii="宋体" w:hAnsi="宋体" w:cs="宋体" w:eastAsia="宋体" w:hint="default"/>
          <w:w w:val="105"/>
          <w:sz w:val="16"/>
          <w:szCs w:val="16"/>
        </w:rPr>
        <w:t>年</w:t>
      </w:r>
      <w:r>
        <w:rPr>
          <w:rFonts w:ascii="宋体" w:hAnsi="宋体" w:cs="宋体" w:eastAsia="宋体" w:hint="default"/>
          <w:sz w:val="16"/>
          <w:szCs w:val="16"/>
        </w:rPr>
        <w:t> </w:t>
      </w:r>
      <w:r>
        <w:rPr>
          <w:rFonts w:ascii="宋体" w:hAnsi="宋体" w:cs="宋体" w:eastAsia="宋体" w:hint="default"/>
          <w:w w:val="105"/>
          <w:sz w:val="16"/>
          <w:szCs w:val="16"/>
        </w:rPr>
        <w:t>8</w:t>
      </w:r>
      <w:r>
        <w:rPr>
          <w:rFonts w:ascii="宋体" w:hAnsi="宋体" w:cs="宋体" w:eastAsia="宋体" w:hint="default"/>
          <w:spacing w:val="-76"/>
          <w:w w:val="105"/>
          <w:sz w:val="16"/>
          <w:szCs w:val="16"/>
        </w:rPr>
        <w:t> </w:t>
      </w:r>
      <w:r>
        <w:rPr>
          <w:rFonts w:ascii="宋体" w:hAnsi="宋体" w:cs="宋体" w:eastAsia="宋体" w:hint="default"/>
          <w:w w:val="105"/>
          <w:sz w:val="16"/>
          <w:szCs w:val="16"/>
        </w:rPr>
        <w:t>月</w:t>
      </w:r>
      <w:r>
        <w:rPr>
          <w:rFonts w:ascii="宋体" w:hAnsi="宋体" w:cs="宋体" w:eastAsia="宋体" w:hint="default"/>
          <w:spacing w:val="-76"/>
          <w:w w:val="105"/>
          <w:sz w:val="16"/>
          <w:szCs w:val="16"/>
        </w:rPr>
        <w:t> </w:t>
      </w:r>
      <w:r>
        <w:rPr>
          <w:rFonts w:ascii="宋体" w:hAnsi="宋体" w:cs="宋体" w:eastAsia="宋体" w:hint="default"/>
          <w:w w:val="105"/>
          <w:sz w:val="16"/>
          <w:szCs w:val="16"/>
        </w:rPr>
        <w:t>16</w:t>
      </w:r>
      <w:r>
        <w:rPr>
          <w:rFonts w:ascii="宋体" w:hAnsi="宋体" w:cs="宋体" w:eastAsia="宋体" w:hint="default"/>
          <w:spacing w:val="-76"/>
          <w:w w:val="105"/>
          <w:sz w:val="16"/>
          <w:szCs w:val="16"/>
        </w:rPr>
        <w:t> </w:t>
      </w:r>
      <w:r>
        <w:rPr>
          <w:rFonts w:ascii="宋体" w:hAnsi="宋体" w:cs="宋体" w:eastAsia="宋体" w:hint="default"/>
          <w:spacing w:val="-7"/>
          <w:w w:val="105"/>
          <w:sz w:val="16"/>
          <w:szCs w:val="16"/>
        </w:rPr>
        <w:t>日承诺期限：</w:t>
      </w:r>
    </w:p>
    <w:p>
      <w:pPr>
        <w:spacing w:line="178" w:lineRule="exact" w:before="0"/>
        <w:ind w:left="117" w:right="-16" w:firstLine="0"/>
        <w:jc w:val="left"/>
        <w:rPr>
          <w:rFonts w:ascii="宋体" w:hAnsi="宋体" w:cs="宋体" w:eastAsia="宋体" w:hint="default"/>
          <w:sz w:val="16"/>
          <w:szCs w:val="16"/>
        </w:rPr>
      </w:pPr>
      <w:r>
        <w:rPr>
          <w:rFonts w:ascii="宋体" w:hAnsi="宋体" w:cs="宋体" w:eastAsia="宋体" w:hint="default"/>
          <w:w w:val="105"/>
          <w:sz w:val="16"/>
          <w:szCs w:val="16"/>
        </w:rPr>
        <w:t>36</w:t>
      </w:r>
      <w:r>
        <w:rPr>
          <w:rFonts w:ascii="宋体" w:hAnsi="宋体" w:cs="宋体" w:eastAsia="宋体" w:hint="default"/>
          <w:spacing w:val="-47"/>
          <w:w w:val="105"/>
          <w:sz w:val="16"/>
          <w:szCs w:val="16"/>
        </w:rPr>
        <w:t> </w:t>
      </w:r>
      <w:r>
        <w:rPr>
          <w:rFonts w:ascii="宋体" w:hAnsi="宋体" w:cs="宋体" w:eastAsia="宋体" w:hint="default"/>
          <w:w w:val="105"/>
          <w:sz w:val="16"/>
          <w:szCs w:val="16"/>
        </w:rPr>
        <w:t>个月（2017</w:t>
      </w:r>
      <w:r>
        <w:rPr>
          <w:rFonts w:ascii="宋体" w:hAnsi="宋体" w:cs="宋体" w:eastAsia="宋体" w:hint="default"/>
          <w:spacing w:val="-47"/>
          <w:w w:val="105"/>
          <w:sz w:val="16"/>
          <w:szCs w:val="16"/>
        </w:rPr>
        <w:t> </w:t>
      </w:r>
      <w:r>
        <w:rPr>
          <w:rFonts w:ascii="宋体" w:hAnsi="宋体" w:cs="宋体" w:eastAsia="宋体" w:hint="default"/>
          <w:w w:val="105"/>
          <w:sz w:val="16"/>
          <w:szCs w:val="16"/>
        </w:rPr>
        <w:t>年</w:t>
      </w:r>
    </w:p>
    <w:p>
      <w:pPr>
        <w:spacing w:line="200" w:lineRule="exact" w:before="0"/>
        <w:ind w:left="117" w:right="-16" w:firstLine="0"/>
        <w:jc w:val="left"/>
        <w:rPr>
          <w:rFonts w:ascii="宋体" w:hAnsi="宋体" w:cs="宋体" w:eastAsia="宋体" w:hint="default"/>
          <w:sz w:val="16"/>
          <w:szCs w:val="16"/>
        </w:rPr>
      </w:pPr>
      <w:r>
        <w:rPr>
          <w:rFonts w:ascii="宋体" w:hAnsi="宋体" w:cs="宋体" w:eastAsia="宋体" w:hint="default"/>
          <w:w w:val="110"/>
          <w:sz w:val="16"/>
          <w:szCs w:val="16"/>
        </w:rPr>
        <w:t>11</w:t>
      </w:r>
      <w:r>
        <w:rPr>
          <w:rFonts w:ascii="宋体" w:hAnsi="宋体" w:cs="宋体" w:eastAsia="宋体" w:hint="default"/>
          <w:spacing w:val="-60"/>
          <w:w w:val="110"/>
          <w:sz w:val="16"/>
          <w:szCs w:val="16"/>
        </w:rPr>
        <w:t> </w:t>
      </w:r>
      <w:r>
        <w:rPr>
          <w:rFonts w:ascii="宋体" w:hAnsi="宋体" w:cs="宋体" w:eastAsia="宋体" w:hint="default"/>
          <w:w w:val="110"/>
          <w:sz w:val="16"/>
          <w:szCs w:val="16"/>
        </w:rPr>
        <w:t>月</w:t>
      </w:r>
      <w:r>
        <w:rPr>
          <w:rFonts w:ascii="宋体" w:hAnsi="宋体" w:cs="宋体" w:eastAsia="宋体" w:hint="default"/>
          <w:spacing w:val="-59"/>
          <w:w w:val="110"/>
          <w:sz w:val="16"/>
          <w:szCs w:val="16"/>
        </w:rPr>
        <w:t> </w:t>
      </w:r>
      <w:r>
        <w:rPr>
          <w:rFonts w:ascii="宋体" w:hAnsi="宋体" w:cs="宋体" w:eastAsia="宋体" w:hint="default"/>
          <w:w w:val="110"/>
          <w:sz w:val="16"/>
          <w:szCs w:val="16"/>
        </w:rPr>
        <w:t>27</w:t>
      </w:r>
      <w:r>
        <w:rPr>
          <w:rFonts w:ascii="宋体" w:hAnsi="宋体" w:cs="宋体" w:eastAsia="宋体" w:hint="default"/>
          <w:spacing w:val="-60"/>
          <w:w w:val="110"/>
          <w:sz w:val="16"/>
          <w:szCs w:val="16"/>
        </w:rPr>
        <w:t> </w:t>
      </w:r>
      <w:r>
        <w:rPr>
          <w:rFonts w:ascii="宋体" w:hAnsi="宋体" w:cs="宋体" w:eastAsia="宋体" w:hint="default"/>
          <w:w w:val="110"/>
          <w:sz w:val="16"/>
          <w:szCs w:val="16"/>
        </w:rPr>
        <w:t>日至</w:t>
      </w:r>
      <w:r>
        <w:rPr>
          <w:rFonts w:ascii="宋体" w:hAnsi="宋体" w:cs="宋体" w:eastAsia="宋体" w:hint="default"/>
          <w:spacing w:val="-59"/>
          <w:w w:val="110"/>
          <w:sz w:val="16"/>
          <w:szCs w:val="16"/>
        </w:rPr>
        <w:t> </w:t>
      </w:r>
      <w:r>
        <w:rPr>
          <w:rFonts w:ascii="宋体" w:hAnsi="宋体" w:cs="宋体" w:eastAsia="宋体" w:hint="default"/>
          <w:w w:val="110"/>
          <w:sz w:val="16"/>
          <w:szCs w:val="16"/>
        </w:rPr>
        <w:t>2020</w:t>
      </w:r>
      <w:r>
        <w:rPr>
          <w:rFonts w:ascii="宋体" w:hAnsi="宋体" w:cs="宋体" w:eastAsia="宋体" w:hint="default"/>
          <w:sz w:val="16"/>
          <w:szCs w:val="16"/>
        </w:rPr>
      </w:r>
    </w:p>
    <w:p>
      <w:pPr>
        <w:spacing w:line="205" w:lineRule="exact" w:before="0"/>
        <w:ind w:left="117" w:right="-16" w:firstLine="0"/>
        <w:jc w:val="left"/>
        <w:rPr>
          <w:rFonts w:ascii="宋体" w:hAnsi="宋体" w:cs="宋体" w:eastAsia="宋体" w:hint="default"/>
          <w:sz w:val="16"/>
          <w:szCs w:val="16"/>
        </w:rPr>
      </w:pPr>
      <w:r>
        <w:rPr>
          <w:rFonts w:ascii="宋体" w:hAnsi="宋体" w:cs="宋体" w:eastAsia="宋体" w:hint="default"/>
          <w:w w:val="105"/>
          <w:sz w:val="16"/>
          <w:szCs w:val="16"/>
        </w:rPr>
        <w:t>年</w:t>
      </w:r>
      <w:r>
        <w:rPr>
          <w:rFonts w:ascii="宋体" w:hAnsi="宋体" w:cs="宋体" w:eastAsia="宋体" w:hint="default"/>
          <w:spacing w:val="-48"/>
          <w:w w:val="105"/>
          <w:sz w:val="16"/>
          <w:szCs w:val="16"/>
        </w:rPr>
        <w:t> </w:t>
      </w:r>
      <w:r>
        <w:rPr>
          <w:rFonts w:ascii="宋体" w:hAnsi="宋体" w:cs="宋体" w:eastAsia="宋体" w:hint="default"/>
          <w:spacing w:val="12"/>
          <w:w w:val="105"/>
          <w:sz w:val="16"/>
          <w:szCs w:val="16"/>
        </w:rPr>
        <w:t>11月</w:t>
      </w:r>
      <w:r>
        <w:rPr>
          <w:rFonts w:ascii="宋体" w:hAnsi="宋体" w:cs="宋体" w:eastAsia="宋体" w:hint="default"/>
          <w:spacing w:val="-48"/>
          <w:w w:val="105"/>
          <w:sz w:val="16"/>
          <w:szCs w:val="16"/>
        </w:rPr>
        <w:t> </w:t>
      </w:r>
      <w:r>
        <w:rPr>
          <w:rFonts w:ascii="宋体" w:hAnsi="宋体" w:cs="宋体" w:eastAsia="宋体" w:hint="default"/>
          <w:w w:val="105"/>
          <w:sz w:val="16"/>
          <w:szCs w:val="16"/>
        </w:rPr>
        <w:t>26</w:t>
      </w:r>
      <w:r>
        <w:rPr>
          <w:rFonts w:ascii="宋体" w:hAnsi="宋体" w:cs="宋体" w:eastAsia="宋体" w:hint="default"/>
          <w:spacing w:val="-48"/>
          <w:w w:val="105"/>
          <w:sz w:val="16"/>
          <w:szCs w:val="16"/>
        </w:rPr>
        <w:t> </w:t>
      </w:r>
      <w:r>
        <w:rPr>
          <w:rFonts w:ascii="宋体" w:hAnsi="宋体" w:cs="宋体" w:eastAsia="宋体" w:hint="default"/>
          <w:w w:val="105"/>
          <w:sz w:val="16"/>
          <w:szCs w:val="16"/>
        </w:rPr>
        <w:t>日）</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3"/>
        <w:rPr>
          <w:rFonts w:ascii="宋体" w:hAnsi="宋体" w:cs="宋体" w:eastAsia="宋体" w:hint="default"/>
          <w:sz w:val="23"/>
          <w:szCs w:val="23"/>
        </w:rPr>
      </w:pPr>
    </w:p>
    <w:p>
      <w:pPr>
        <w:tabs>
          <w:tab w:pos="687" w:val="left" w:leader="none"/>
          <w:tab w:pos="1153" w:val="left" w:leader="none"/>
          <w:tab w:pos="1851" w:val="left" w:leader="none"/>
        </w:tabs>
        <w:spacing w:before="0"/>
        <w:ind w:left="177" w:right="0" w:firstLine="0"/>
        <w:jc w:val="left"/>
        <w:rPr>
          <w:rFonts w:ascii="宋体" w:hAnsi="宋体" w:cs="宋体" w:eastAsia="宋体" w:hint="default"/>
          <w:sz w:val="16"/>
          <w:szCs w:val="16"/>
        </w:rPr>
      </w:pPr>
      <w:r>
        <w:rPr>
          <w:rFonts w:ascii="宋体" w:hAnsi="宋体" w:cs="宋体" w:eastAsia="宋体" w:hint="default"/>
          <w:sz w:val="16"/>
          <w:szCs w:val="16"/>
        </w:rPr>
        <w:t>是</w:t>
        <w:tab/>
        <w:t>是</w:t>
        <w:tab/>
        <w:t>不适用</w:t>
        <w:tab/>
        <w:t>不适用</w:t>
      </w:r>
    </w:p>
    <w:p>
      <w:pPr>
        <w:spacing w:after="0"/>
        <w:jc w:val="left"/>
        <w:rPr>
          <w:rFonts w:ascii="宋体" w:hAnsi="宋体" w:cs="宋体" w:eastAsia="宋体" w:hint="default"/>
          <w:sz w:val="16"/>
          <w:szCs w:val="16"/>
        </w:rPr>
        <w:sectPr>
          <w:type w:val="continuous"/>
          <w:pgSz w:w="11910" w:h="16160"/>
          <w:pgMar w:top="1520" w:bottom="280" w:left="260" w:right="1300"/>
          <w:cols w:num="5" w:equalWidth="0">
            <w:col w:w="1496" w:space="40"/>
            <w:col w:w="2755" w:space="40"/>
            <w:col w:w="1858" w:space="40"/>
            <w:col w:w="1532" w:space="40"/>
            <w:col w:w="2549"/>
          </w:cols>
        </w:sectPr>
      </w:pPr>
    </w:p>
    <w:p>
      <w:pPr>
        <w:spacing w:line="240" w:lineRule="auto" w:before="10"/>
        <w:rPr>
          <w:rFonts w:ascii="宋体" w:hAnsi="宋体" w:cs="宋体" w:eastAsia="宋体" w:hint="default"/>
          <w:sz w:val="10"/>
          <w:szCs w:val="10"/>
        </w:rPr>
      </w:pPr>
    </w:p>
    <w:p>
      <w:pPr>
        <w:spacing w:after="0" w:line="240" w:lineRule="auto"/>
        <w:rPr>
          <w:rFonts w:ascii="宋体" w:hAnsi="宋体" w:cs="宋体" w:eastAsia="宋体" w:hint="default"/>
          <w:sz w:val="10"/>
          <w:szCs w:val="10"/>
        </w:rPr>
        <w:sectPr>
          <w:type w:val="continuous"/>
          <w:pgSz w:w="11910" w:h="16160"/>
          <w:pgMar w:top="1520" w:bottom="280" w:left="260" w:right="130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6"/>
        <w:rPr>
          <w:rFonts w:ascii="宋体" w:hAnsi="宋体" w:cs="宋体" w:eastAsia="宋体" w:hint="default"/>
          <w:sz w:val="17"/>
          <w:szCs w:val="17"/>
        </w:rPr>
      </w:pPr>
    </w:p>
    <w:p>
      <w:pPr>
        <w:spacing w:line="200" w:lineRule="exact" w:before="0"/>
        <w:ind w:left="1023" w:right="0" w:firstLine="0"/>
        <w:jc w:val="both"/>
        <w:rPr>
          <w:rFonts w:ascii="宋体" w:hAnsi="宋体" w:cs="宋体" w:eastAsia="宋体" w:hint="default"/>
          <w:sz w:val="16"/>
          <w:szCs w:val="16"/>
        </w:rPr>
      </w:pPr>
      <w:r>
        <w:rPr>
          <w:rFonts w:ascii="宋体" w:hAnsi="宋体" w:cs="宋体" w:eastAsia="宋体" w:hint="default"/>
          <w:sz w:val="16"/>
          <w:szCs w:val="16"/>
        </w:rPr>
        <w:t>与再融 资相关 的承诺</w:t>
      </w:r>
    </w:p>
    <w:p>
      <w:pPr>
        <w:spacing w:line="200" w:lineRule="exact" w:before="65"/>
        <w:ind w:left="634" w:right="37" w:firstLine="0"/>
        <w:jc w:val="both"/>
        <w:rPr>
          <w:rFonts w:ascii="宋体" w:hAnsi="宋体" w:cs="宋体" w:eastAsia="宋体" w:hint="default"/>
          <w:sz w:val="16"/>
          <w:szCs w:val="16"/>
        </w:rPr>
      </w:pPr>
      <w:r>
        <w:rPr/>
        <w:br w:type="column"/>
      </w:r>
      <w:r>
        <w:rPr>
          <w:rFonts w:ascii="宋体" w:hAnsi="宋体" w:cs="宋体" w:eastAsia="宋体" w:hint="default"/>
          <w:sz w:val="16"/>
          <w:szCs w:val="16"/>
        </w:rPr>
        <w:t>中国人寿保险股份有限公司；</w:t>
      </w:r>
      <w:r>
        <w:rPr>
          <w:rFonts w:ascii="宋体" w:hAnsi="宋体" w:cs="宋体" w:eastAsia="宋体" w:hint="default"/>
          <w:spacing w:val="-59"/>
          <w:sz w:val="16"/>
          <w:szCs w:val="16"/>
        </w:rPr>
        <w:t> </w:t>
      </w:r>
      <w:r>
        <w:rPr>
          <w:rFonts w:ascii="宋体" w:hAnsi="宋体" w:cs="宋体" w:eastAsia="宋体" w:hint="default"/>
          <w:spacing w:val="-59"/>
          <w:sz w:val="16"/>
          <w:szCs w:val="16"/>
        </w:rPr>
      </w:r>
      <w:r>
        <w:rPr>
          <w:rFonts w:ascii="宋体" w:hAnsi="宋体" w:cs="宋体" w:eastAsia="宋体" w:hint="default"/>
          <w:sz w:val="16"/>
          <w:szCs w:val="16"/>
        </w:rPr>
        <w:t>深圳市腾讯信达有限合伙企业</w:t>
      </w:r>
    </w:p>
    <w:p>
      <w:pPr>
        <w:spacing w:line="200" w:lineRule="exact" w:before="0"/>
        <w:ind w:left="634" w:right="20" w:firstLine="0"/>
        <w:jc w:val="both"/>
        <w:rPr>
          <w:rFonts w:ascii="宋体" w:hAnsi="宋体" w:cs="宋体" w:eastAsia="宋体" w:hint="default"/>
          <w:sz w:val="16"/>
          <w:szCs w:val="16"/>
        </w:rPr>
      </w:pPr>
      <w:r>
        <w:rPr>
          <w:rFonts w:ascii="宋体" w:hAnsi="宋体" w:cs="宋体" w:eastAsia="宋体" w:hint="default"/>
          <w:spacing w:val="2"/>
          <w:sz w:val="16"/>
          <w:szCs w:val="16"/>
        </w:rPr>
        <w:t>（有限合伙）；宁波梅山保税</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pacing w:val="15"/>
          <w:sz w:val="16"/>
          <w:szCs w:val="16"/>
        </w:rPr>
        <w:t>港区百度鹏寰投资合伙企业</w:t>
      </w:r>
      <w:r>
        <w:rPr>
          <w:rFonts w:ascii="宋体" w:hAnsi="宋体" w:cs="宋体" w:eastAsia="宋体" w:hint="default"/>
          <w:spacing w:val="-63"/>
          <w:sz w:val="16"/>
          <w:szCs w:val="16"/>
        </w:rPr>
        <w:t> </w:t>
      </w:r>
      <w:r>
        <w:rPr>
          <w:rFonts w:ascii="宋体" w:hAnsi="宋体" w:cs="宋体" w:eastAsia="宋体" w:hint="default"/>
          <w:sz w:val="16"/>
          <w:szCs w:val="16"/>
        </w:rPr>
      </w:r>
    </w:p>
    <w:p>
      <w:pPr>
        <w:spacing w:line="178" w:lineRule="exact" w:before="0"/>
        <w:ind w:left="0" w:right="34" w:firstLine="0"/>
        <w:jc w:val="right"/>
        <w:rPr>
          <w:rFonts w:ascii="宋体" w:hAnsi="宋体" w:cs="宋体" w:eastAsia="宋体" w:hint="default"/>
          <w:sz w:val="16"/>
          <w:szCs w:val="16"/>
        </w:rPr>
      </w:pPr>
      <w:r>
        <w:rPr>
          <w:rFonts w:ascii="宋体" w:hAnsi="宋体" w:cs="宋体" w:eastAsia="宋体" w:hint="default"/>
          <w:spacing w:val="2"/>
          <w:sz w:val="16"/>
          <w:szCs w:val="16"/>
        </w:rPr>
        <w:t>（有限合伙）；宿迁京东三弘</w:t>
      </w:r>
      <w:r>
        <w:rPr>
          <w:rFonts w:ascii="宋体" w:hAnsi="宋体" w:cs="宋体" w:eastAsia="宋体" w:hint="default"/>
          <w:sz w:val="16"/>
          <w:szCs w:val="16"/>
        </w:rPr>
      </w:r>
    </w:p>
    <w:p>
      <w:pPr>
        <w:spacing w:line="156" w:lineRule="auto" w:before="60"/>
        <w:ind w:left="0" w:right="0" w:firstLine="0"/>
        <w:jc w:val="right"/>
        <w:rPr>
          <w:rFonts w:ascii="宋体" w:hAnsi="宋体" w:cs="宋体" w:eastAsia="宋体" w:hint="default"/>
          <w:sz w:val="16"/>
          <w:szCs w:val="16"/>
        </w:rPr>
      </w:pPr>
      <w:r>
        <w:rPr>
          <w:rFonts w:ascii="宋体" w:hAnsi="宋体" w:cs="宋体" w:eastAsia="宋体" w:hint="default"/>
          <w:position w:val="-9"/>
          <w:sz w:val="16"/>
          <w:szCs w:val="16"/>
        </w:rPr>
        <w:t>股份</w:t>
      </w:r>
      <w:r>
        <w:rPr>
          <w:rFonts w:ascii="宋体" w:hAnsi="宋体" w:cs="宋体" w:eastAsia="宋体" w:hint="default"/>
          <w:spacing w:val="14"/>
          <w:position w:val="-9"/>
          <w:sz w:val="16"/>
          <w:szCs w:val="16"/>
        </w:rPr>
        <w:t> </w:t>
      </w:r>
      <w:r>
        <w:rPr>
          <w:rFonts w:ascii="宋体" w:hAnsi="宋体" w:cs="宋体" w:eastAsia="宋体" w:hint="default"/>
          <w:spacing w:val="2"/>
          <w:sz w:val="16"/>
          <w:szCs w:val="16"/>
        </w:rPr>
        <w:t>企业管理中心（有限合伙）；</w:t>
      </w:r>
      <w:r>
        <w:rPr>
          <w:rFonts w:ascii="宋体" w:hAnsi="宋体" w:cs="宋体" w:eastAsia="宋体" w:hint="default"/>
          <w:sz w:val="16"/>
          <w:szCs w:val="16"/>
        </w:rPr>
        <w:t> </w:t>
      </w:r>
      <w:r>
        <w:rPr>
          <w:rFonts w:ascii="宋体" w:hAnsi="宋体" w:cs="宋体" w:eastAsia="宋体" w:hint="default"/>
          <w:position w:val="-9"/>
          <w:sz w:val="16"/>
          <w:szCs w:val="16"/>
        </w:rPr>
        <w:t>限售</w:t>
      </w:r>
      <w:r>
        <w:rPr>
          <w:rFonts w:ascii="宋体" w:hAnsi="宋体" w:cs="宋体" w:eastAsia="宋体" w:hint="default"/>
          <w:spacing w:val="34"/>
          <w:position w:val="-9"/>
          <w:sz w:val="16"/>
          <w:szCs w:val="16"/>
        </w:rPr>
        <w:t> </w:t>
      </w:r>
      <w:r>
        <w:rPr>
          <w:rFonts w:ascii="宋体" w:hAnsi="宋体" w:cs="宋体" w:eastAsia="宋体" w:hint="default"/>
          <w:sz w:val="16"/>
          <w:szCs w:val="16"/>
        </w:rPr>
        <w:t>杭州阿里创业投资有限公司；</w:t>
      </w:r>
      <w:r>
        <w:rPr>
          <w:rFonts w:ascii="宋体" w:hAnsi="宋体" w:cs="宋体" w:eastAsia="宋体" w:hint="default"/>
          <w:sz w:val="16"/>
          <w:szCs w:val="16"/>
        </w:rPr>
        <w:t> 苏宁易购集团股份有限公司</w:t>
      </w:r>
      <w:r>
        <w:rPr>
          <w:rFonts w:ascii="宋体" w:hAnsi="宋体" w:cs="宋体" w:eastAsia="宋体" w:hint="default"/>
          <w:spacing w:val="-53"/>
          <w:sz w:val="16"/>
          <w:szCs w:val="16"/>
        </w:rPr>
        <w:t> </w:t>
      </w:r>
      <w:r>
        <w:rPr>
          <w:rFonts w:ascii="宋体" w:hAnsi="宋体" w:cs="宋体" w:eastAsia="宋体" w:hint="default"/>
          <w:spacing w:val="-18"/>
          <w:sz w:val="16"/>
          <w:szCs w:val="16"/>
        </w:rPr>
        <w:t>*；</w:t>
      </w:r>
    </w:p>
    <w:p>
      <w:pPr>
        <w:spacing w:line="200" w:lineRule="exact" w:before="25"/>
        <w:ind w:left="634" w:right="34" w:firstLine="0"/>
        <w:jc w:val="both"/>
        <w:rPr>
          <w:rFonts w:ascii="宋体" w:hAnsi="宋体" w:cs="宋体" w:eastAsia="宋体" w:hint="default"/>
          <w:sz w:val="16"/>
          <w:szCs w:val="16"/>
        </w:rPr>
      </w:pPr>
      <w:r>
        <w:rPr>
          <w:rFonts w:ascii="宋体" w:hAnsi="宋体" w:cs="宋体" w:eastAsia="宋体" w:hint="default"/>
          <w:sz w:val="16"/>
          <w:szCs w:val="16"/>
        </w:rPr>
        <w:t>深圳光启互联技术投资合伙企</w:t>
      </w:r>
      <w:r>
        <w:rPr>
          <w:rFonts w:ascii="宋体" w:hAnsi="宋体" w:cs="宋体" w:eastAsia="宋体" w:hint="default"/>
          <w:spacing w:val="-57"/>
          <w:sz w:val="16"/>
          <w:szCs w:val="16"/>
        </w:rPr>
        <w:t> </w:t>
      </w:r>
      <w:r>
        <w:rPr>
          <w:rFonts w:ascii="宋体" w:hAnsi="宋体" w:cs="宋体" w:eastAsia="宋体" w:hint="default"/>
          <w:spacing w:val="-57"/>
          <w:sz w:val="16"/>
          <w:szCs w:val="16"/>
        </w:rPr>
      </w:r>
      <w:r>
        <w:rPr>
          <w:rFonts w:ascii="宋体" w:hAnsi="宋体" w:cs="宋体" w:eastAsia="宋体" w:hint="default"/>
          <w:spacing w:val="2"/>
          <w:sz w:val="16"/>
          <w:szCs w:val="16"/>
        </w:rPr>
        <w:t>业（有限合伙）；深圳淮海方</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z w:val="16"/>
          <w:szCs w:val="16"/>
        </w:rPr>
        <w:t>舟信息产业股权投资基金（有</w:t>
      </w:r>
      <w:r>
        <w:rPr>
          <w:rFonts w:ascii="宋体" w:hAnsi="宋体" w:cs="宋体" w:eastAsia="宋体" w:hint="default"/>
          <w:spacing w:val="-57"/>
          <w:sz w:val="16"/>
          <w:szCs w:val="16"/>
        </w:rPr>
        <w:t> </w:t>
      </w:r>
      <w:r>
        <w:rPr>
          <w:rFonts w:ascii="宋体" w:hAnsi="宋体" w:cs="宋体" w:eastAsia="宋体" w:hint="default"/>
          <w:spacing w:val="-57"/>
          <w:sz w:val="16"/>
          <w:szCs w:val="16"/>
        </w:rPr>
      </w:r>
      <w:r>
        <w:rPr>
          <w:rFonts w:ascii="宋体" w:hAnsi="宋体" w:cs="宋体" w:eastAsia="宋体" w:hint="default"/>
          <w:spacing w:val="2"/>
          <w:sz w:val="16"/>
          <w:szCs w:val="16"/>
        </w:rPr>
        <w:t>限合伙）；兴全基金管理有限</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公司</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8"/>
        <w:rPr>
          <w:rFonts w:ascii="宋体" w:hAnsi="宋体" w:cs="宋体" w:eastAsia="宋体" w:hint="default"/>
          <w:sz w:val="19"/>
          <w:szCs w:val="19"/>
        </w:rPr>
      </w:pPr>
    </w:p>
    <w:p>
      <w:pPr>
        <w:spacing w:line="200" w:lineRule="exact" w:before="0"/>
        <w:ind w:left="90" w:right="0" w:firstLine="0"/>
        <w:jc w:val="both"/>
        <w:rPr>
          <w:rFonts w:ascii="宋体" w:hAnsi="宋体" w:cs="宋体" w:eastAsia="宋体" w:hint="default"/>
          <w:sz w:val="16"/>
          <w:szCs w:val="16"/>
        </w:rPr>
      </w:pPr>
      <w:r>
        <w:rPr>
          <w:rFonts w:ascii="宋体" w:hAnsi="宋体" w:cs="宋体" w:eastAsia="宋体" w:hint="default"/>
          <w:spacing w:val="12"/>
          <w:sz w:val="16"/>
          <w:szCs w:val="16"/>
        </w:rPr>
        <w:t>认购的本公司非公开发 </w:t>
      </w:r>
      <w:r>
        <w:rPr>
          <w:rFonts w:ascii="宋体" w:hAnsi="宋体" w:cs="宋体" w:eastAsia="宋体" w:hint="default"/>
          <w:spacing w:val="6"/>
          <w:w w:val="105"/>
          <w:sz w:val="16"/>
          <w:szCs w:val="16"/>
        </w:rPr>
        <w:t>行的</w:t>
      </w:r>
      <w:r>
        <w:rPr>
          <w:rFonts w:ascii="宋体" w:hAnsi="宋体" w:cs="宋体" w:eastAsia="宋体" w:hint="default"/>
          <w:spacing w:val="-64"/>
          <w:w w:val="105"/>
          <w:sz w:val="16"/>
          <w:szCs w:val="16"/>
        </w:rPr>
        <w:t> </w:t>
      </w:r>
      <w:r>
        <w:rPr>
          <w:rFonts w:ascii="宋体" w:hAnsi="宋体" w:cs="宋体" w:eastAsia="宋体" w:hint="default"/>
          <w:w w:val="105"/>
          <w:sz w:val="16"/>
          <w:szCs w:val="16"/>
        </w:rPr>
        <w:t>A</w:t>
      </w:r>
      <w:r>
        <w:rPr>
          <w:rFonts w:ascii="宋体" w:hAnsi="宋体" w:cs="宋体" w:eastAsia="宋体" w:hint="default"/>
          <w:spacing w:val="-64"/>
          <w:w w:val="105"/>
          <w:sz w:val="16"/>
          <w:szCs w:val="16"/>
        </w:rPr>
        <w:t> </w:t>
      </w:r>
      <w:r>
        <w:rPr>
          <w:rFonts w:ascii="宋体" w:hAnsi="宋体" w:cs="宋体" w:eastAsia="宋体" w:hint="default"/>
          <w:spacing w:val="11"/>
          <w:w w:val="105"/>
          <w:sz w:val="16"/>
          <w:szCs w:val="16"/>
        </w:rPr>
        <w:t>股股票，以及发</w:t>
      </w:r>
      <w:r>
        <w:rPr>
          <w:rFonts w:ascii="宋体" w:hAnsi="宋体" w:cs="宋体" w:eastAsia="宋体" w:hint="default"/>
          <w:spacing w:val="13"/>
          <w:sz w:val="16"/>
          <w:szCs w:val="16"/>
        </w:rPr>
        <w:t> </w:t>
      </w:r>
      <w:r>
        <w:rPr>
          <w:rFonts w:ascii="宋体" w:hAnsi="宋体" w:cs="宋体" w:eastAsia="宋体" w:hint="default"/>
          <w:spacing w:val="12"/>
          <w:sz w:val="16"/>
          <w:szCs w:val="16"/>
        </w:rPr>
        <w:t>行结束后基于本次认购</w:t>
      </w:r>
      <w:r>
        <w:rPr>
          <w:rFonts w:ascii="宋体" w:hAnsi="宋体" w:cs="宋体" w:eastAsia="宋体" w:hint="default"/>
          <w:spacing w:val="12"/>
          <w:sz w:val="16"/>
          <w:szCs w:val="16"/>
        </w:rPr>
        <w:t> </w:t>
      </w:r>
      <w:r>
        <w:rPr>
          <w:rFonts w:ascii="宋体" w:hAnsi="宋体" w:cs="宋体" w:eastAsia="宋体" w:hint="default"/>
          <w:w w:val="105"/>
          <w:sz w:val="16"/>
          <w:szCs w:val="16"/>
        </w:rPr>
        <w:t>的</w:t>
      </w:r>
      <w:r>
        <w:rPr>
          <w:rFonts w:ascii="宋体" w:hAnsi="宋体" w:cs="宋体" w:eastAsia="宋体" w:hint="default"/>
          <w:spacing w:val="-64"/>
          <w:w w:val="105"/>
          <w:sz w:val="16"/>
          <w:szCs w:val="16"/>
        </w:rPr>
        <w:t> </w:t>
      </w:r>
      <w:r>
        <w:rPr>
          <w:rFonts w:ascii="宋体" w:hAnsi="宋体" w:cs="宋体" w:eastAsia="宋体" w:hint="default"/>
          <w:w w:val="105"/>
          <w:sz w:val="16"/>
          <w:szCs w:val="16"/>
        </w:rPr>
        <w:t>A</w:t>
      </w:r>
      <w:r>
        <w:rPr>
          <w:rFonts w:ascii="宋体" w:hAnsi="宋体" w:cs="宋体" w:eastAsia="宋体" w:hint="default"/>
          <w:spacing w:val="-64"/>
          <w:w w:val="105"/>
          <w:sz w:val="16"/>
          <w:szCs w:val="16"/>
        </w:rPr>
        <w:t> </w:t>
      </w:r>
      <w:r>
        <w:rPr>
          <w:rFonts w:ascii="宋体" w:hAnsi="宋体" w:cs="宋体" w:eastAsia="宋体" w:hint="default"/>
          <w:spacing w:val="11"/>
          <w:w w:val="105"/>
          <w:sz w:val="16"/>
          <w:szCs w:val="16"/>
        </w:rPr>
        <w:t>股股票因公司派发</w:t>
      </w:r>
      <w:r>
        <w:rPr>
          <w:rFonts w:ascii="宋体" w:hAnsi="宋体" w:cs="宋体" w:eastAsia="宋体" w:hint="default"/>
          <w:spacing w:val="11"/>
          <w:sz w:val="16"/>
          <w:szCs w:val="16"/>
        </w:rPr>
        <w:t> 股票股利、转增股本而</w:t>
      </w:r>
      <w:r>
        <w:rPr>
          <w:rFonts w:ascii="宋体" w:hAnsi="宋体" w:cs="宋体" w:eastAsia="宋体" w:hint="default"/>
          <w:spacing w:val="-66"/>
          <w:sz w:val="16"/>
          <w:szCs w:val="16"/>
        </w:rPr>
        <w:t> </w:t>
      </w:r>
      <w:r>
        <w:rPr>
          <w:rFonts w:ascii="宋体" w:hAnsi="宋体" w:cs="宋体" w:eastAsia="宋体" w:hint="default"/>
          <w:spacing w:val="11"/>
          <w:sz w:val="16"/>
          <w:szCs w:val="16"/>
        </w:rPr>
        <w:t>持有的公司股份，自股</w:t>
      </w:r>
      <w:r>
        <w:rPr>
          <w:rFonts w:ascii="宋体" w:hAnsi="宋体" w:cs="宋体" w:eastAsia="宋体" w:hint="default"/>
          <w:spacing w:val="-66"/>
          <w:sz w:val="16"/>
          <w:szCs w:val="16"/>
        </w:rPr>
        <w:t> </w:t>
      </w:r>
      <w:r>
        <w:rPr>
          <w:rFonts w:ascii="宋体" w:hAnsi="宋体" w:cs="宋体" w:eastAsia="宋体" w:hint="default"/>
          <w:w w:val="105"/>
          <w:sz w:val="16"/>
          <w:szCs w:val="16"/>
        </w:rPr>
        <w:t>份登记完成之日起</w:t>
      </w:r>
      <w:r>
        <w:rPr>
          <w:rFonts w:ascii="宋体" w:hAnsi="宋体" w:cs="宋体" w:eastAsia="宋体" w:hint="default"/>
          <w:spacing w:val="-64"/>
          <w:w w:val="105"/>
          <w:sz w:val="16"/>
          <w:szCs w:val="16"/>
        </w:rPr>
        <w:t> </w:t>
      </w:r>
      <w:r>
        <w:rPr>
          <w:rFonts w:ascii="宋体" w:hAnsi="宋体" w:cs="宋体" w:eastAsia="宋体" w:hint="default"/>
          <w:w w:val="105"/>
          <w:sz w:val="16"/>
          <w:szCs w:val="16"/>
        </w:rPr>
        <w:t>36</w:t>
      </w:r>
      <w:r>
        <w:rPr>
          <w:rFonts w:ascii="宋体" w:hAnsi="宋体" w:cs="宋体" w:eastAsia="宋体" w:hint="default"/>
          <w:spacing w:val="-64"/>
          <w:w w:val="105"/>
          <w:sz w:val="16"/>
          <w:szCs w:val="16"/>
        </w:rPr>
        <w:t> </w:t>
      </w:r>
      <w:r>
        <w:rPr>
          <w:rFonts w:ascii="宋体" w:hAnsi="宋体" w:cs="宋体" w:eastAsia="宋体" w:hint="default"/>
          <w:w w:val="105"/>
          <w:sz w:val="16"/>
          <w:szCs w:val="16"/>
        </w:rPr>
        <w:t>个</w:t>
      </w:r>
      <w:r>
        <w:rPr>
          <w:rFonts w:ascii="宋体" w:hAnsi="宋体" w:cs="宋体" w:eastAsia="宋体" w:hint="default"/>
          <w:sz w:val="16"/>
          <w:szCs w:val="16"/>
        </w:rPr>
        <w:t> </w:t>
      </w:r>
      <w:r>
        <w:rPr>
          <w:rFonts w:ascii="宋体" w:hAnsi="宋体" w:cs="宋体" w:eastAsia="宋体" w:hint="default"/>
          <w:spacing w:val="12"/>
          <w:sz w:val="16"/>
          <w:szCs w:val="16"/>
        </w:rPr>
        <w:t>月内不得直接或间接转</w:t>
      </w:r>
      <w:r>
        <w:rPr>
          <w:rFonts w:ascii="宋体" w:hAnsi="宋体" w:cs="宋体" w:eastAsia="宋体" w:hint="default"/>
          <w:spacing w:val="12"/>
          <w:sz w:val="16"/>
          <w:szCs w:val="16"/>
        </w:rPr>
        <w:t> </w:t>
      </w:r>
      <w:r>
        <w:rPr>
          <w:rFonts w:ascii="宋体" w:hAnsi="宋体" w:cs="宋体" w:eastAsia="宋体" w:hint="default"/>
          <w:w w:val="105"/>
          <w:sz w:val="16"/>
          <w:szCs w:val="16"/>
        </w:rPr>
        <w:t>让</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2"/>
        <w:rPr>
          <w:rFonts w:ascii="宋体" w:hAnsi="宋体" w:cs="宋体" w:eastAsia="宋体" w:hint="default"/>
          <w:sz w:val="18"/>
          <w:szCs w:val="18"/>
        </w:rPr>
      </w:pPr>
    </w:p>
    <w:p>
      <w:pPr>
        <w:spacing w:line="200" w:lineRule="exact" w:before="0"/>
        <w:ind w:left="115" w:right="-15" w:firstLine="9"/>
        <w:jc w:val="left"/>
        <w:rPr>
          <w:rFonts w:ascii="宋体" w:hAnsi="宋体" w:cs="宋体" w:eastAsia="宋体" w:hint="default"/>
          <w:sz w:val="16"/>
          <w:szCs w:val="16"/>
        </w:rPr>
      </w:pPr>
      <w:r>
        <w:rPr>
          <w:rFonts w:ascii="宋体" w:hAnsi="宋体" w:cs="宋体" w:eastAsia="宋体" w:hint="default"/>
          <w:w w:val="105"/>
          <w:sz w:val="16"/>
          <w:szCs w:val="16"/>
        </w:rPr>
        <w:t>承诺时间：2017</w:t>
      </w:r>
      <w:r>
        <w:rPr>
          <w:rFonts w:ascii="宋体" w:hAnsi="宋体" w:cs="宋体" w:eastAsia="宋体" w:hint="default"/>
          <w:spacing w:val="-58"/>
          <w:w w:val="105"/>
          <w:sz w:val="16"/>
          <w:szCs w:val="16"/>
        </w:rPr>
        <w:t> </w:t>
      </w:r>
      <w:r>
        <w:rPr>
          <w:rFonts w:ascii="宋体" w:hAnsi="宋体" w:cs="宋体" w:eastAsia="宋体" w:hint="default"/>
          <w:w w:val="105"/>
          <w:sz w:val="16"/>
          <w:szCs w:val="16"/>
        </w:rPr>
        <w:t>年</w:t>
      </w:r>
      <w:r>
        <w:rPr>
          <w:rFonts w:ascii="宋体" w:hAnsi="宋体" w:cs="宋体" w:eastAsia="宋体" w:hint="default"/>
          <w:sz w:val="16"/>
          <w:szCs w:val="16"/>
        </w:rPr>
        <w:t> </w:t>
      </w:r>
      <w:r>
        <w:rPr>
          <w:rFonts w:ascii="宋体" w:hAnsi="宋体" w:cs="宋体" w:eastAsia="宋体" w:hint="default"/>
          <w:w w:val="105"/>
          <w:sz w:val="16"/>
          <w:szCs w:val="16"/>
        </w:rPr>
        <w:t>8</w:t>
      </w:r>
      <w:r>
        <w:rPr>
          <w:rFonts w:ascii="宋体" w:hAnsi="宋体" w:cs="宋体" w:eastAsia="宋体" w:hint="default"/>
          <w:spacing w:val="-76"/>
          <w:w w:val="105"/>
          <w:sz w:val="16"/>
          <w:szCs w:val="16"/>
        </w:rPr>
        <w:t> </w:t>
      </w:r>
      <w:r>
        <w:rPr>
          <w:rFonts w:ascii="宋体" w:hAnsi="宋体" w:cs="宋体" w:eastAsia="宋体" w:hint="default"/>
          <w:w w:val="105"/>
          <w:sz w:val="16"/>
          <w:szCs w:val="16"/>
        </w:rPr>
        <w:t>月</w:t>
      </w:r>
      <w:r>
        <w:rPr>
          <w:rFonts w:ascii="宋体" w:hAnsi="宋体" w:cs="宋体" w:eastAsia="宋体" w:hint="default"/>
          <w:spacing w:val="-76"/>
          <w:w w:val="105"/>
          <w:sz w:val="16"/>
          <w:szCs w:val="16"/>
        </w:rPr>
        <w:t> </w:t>
      </w:r>
      <w:r>
        <w:rPr>
          <w:rFonts w:ascii="宋体" w:hAnsi="宋体" w:cs="宋体" w:eastAsia="宋体" w:hint="default"/>
          <w:w w:val="105"/>
          <w:sz w:val="16"/>
          <w:szCs w:val="16"/>
        </w:rPr>
        <w:t>16</w:t>
      </w:r>
      <w:r>
        <w:rPr>
          <w:rFonts w:ascii="宋体" w:hAnsi="宋体" w:cs="宋体" w:eastAsia="宋体" w:hint="default"/>
          <w:spacing w:val="-76"/>
          <w:w w:val="105"/>
          <w:sz w:val="16"/>
          <w:szCs w:val="16"/>
        </w:rPr>
        <w:t> </w:t>
      </w:r>
      <w:r>
        <w:rPr>
          <w:rFonts w:ascii="宋体" w:hAnsi="宋体" w:cs="宋体" w:eastAsia="宋体" w:hint="default"/>
          <w:spacing w:val="-7"/>
          <w:w w:val="105"/>
          <w:sz w:val="16"/>
          <w:szCs w:val="16"/>
        </w:rPr>
        <w:t>日承诺期限：</w:t>
      </w:r>
    </w:p>
    <w:p>
      <w:pPr>
        <w:spacing w:line="178" w:lineRule="exact" w:before="0"/>
        <w:ind w:left="176" w:right="-15" w:firstLine="0"/>
        <w:jc w:val="left"/>
        <w:rPr>
          <w:rFonts w:ascii="宋体" w:hAnsi="宋体" w:cs="宋体" w:eastAsia="宋体" w:hint="default"/>
          <w:sz w:val="16"/>
          <w:szCs w:val="16"/>
        </w:rPr>
      </w:pPr>
      <w:r>
        <w:rPr>
          <w:rFonts w:ascii="宋体" w:hAnsi="宋体" w:cs="宋体" w:eastAsia="宋体" w:hint="default"/>
          <w:w w:val="105"/>
          <w:sz w:val="16"/>
          <w:szCs w:val="16"/>
        </w:rPr>
        <w:t>36</w:t>
      </w:r>
      <w:r>
        <w:rPr>
          <w:rFonts w:ascii="宋体" w:hAnsi="宋体" w:cs="宋体" w:eastAsia="宋体" w:hint="default"/>
          <w:spacing w:val="-47"/>
          <w:w w:val="105"/>
          <w:sz w:val="16"/>
          <w:szCs w:val="16"/>
        </w:rPr>
        <w:t> </w:t>
      </w:r>
      <w:r>
        <w:rPr>
          <w:rFonts w:ascii="宋体" w:hAnsi="宋体" w:cs="宋体" w:eastAsia="宋体" w:hint="default"/>
          <w:w w:val="105"/>
          <w:sz w:val="16"/>
          <w:szCs w:val="16"/>
        </w:rPr>
        <w:t>个月（2017</w:t>
      </w:r>
      <w:r>
        <w:rPr>
          <w:rFonts w:ascii="宋体" w:hAnsi="宋体" w:cs="宋体" w:eastAsia="宋体" w:hint="default"/>
          <w:spacing w:val="-47"/>
          <w:w w:val="105"/>
          <w:sz w:val="16"/>
          <w:szCs w:val="16"/>
        </w:rPr>
        <w:t> </w:t>
      </w:r>
      <w:r>
        <w:rPr>
          <w:rFonts w:ascii="宋体" w:hAnsi="宋体" w:cs="宋体" w:eastAsia="宋体" w:hint="default"/>
          <w:w w:val="105"/>
          <w:sz w:val="16"/>
          <w:szCs w:val="16"/>
        </w:rPr>
        <w:t>年</w:t>
      </w:r>
    </w:p>
    <w:p>
      <w:pPr>
        <w:spacing w:line="200" w:lineRule="exact" w:before="0"/>
        <w:ind w:left="127" w:right="-15" w:firstLine="0"/>
        <w:jc w:val="left"/>
        <w:rPr>
          <w:rFonts w:ascii="宋体" w:hAnsi="宋体" w:cs="宋体" w:eastAsia="宋体" w:hint="default"/>
          <w:sz w:val="16"/>
          <w:szCs w:val="16"/>
        </w:rPr>
      </w:pPr>
      <w:r>
        <w:rPr>
          <w:rFonts w:ascii="宋体" w:hAnsi="宋体" w:cs="宋体" w:eastAsia="宋体" w:hint="default"/>
          <w:w w:val="110"/>
          <w:sz w:val="16"/>
          <w:szCs w:val="16"/>
        </w:rPr>
        <w:t>10</w:t>
      </w:r>
      <w:r>
        <w:rPr>
          <w:rFonts w:ascii="宋体" w:hAnsi="宋体" w:cs="宋体" w:eastAsia="宋体" w:hint="default"/>
          <w:spacing w:val="-60"/>
          <w:w w:val="110"/>
          <w:sz w:val="16"/>
          <w:szCs w:val="16"/>
        </w:rPr>
        <w:t> </w:t>
      </w:r>
      <w:r>
        <w:rPr>
          <w:rFonts w:ascii="宋体" w:hAnsi="宋体" w:cs="宋体" w:eastAsia="宋体" w:hint="default"/>
          <w:w w:val="110"/>
          <w:sz w:val="16"/>
          <w:szCs w:val="16"/>
        </w:rPr>
        <w:t>月</w:t>
      </w:r>
      <w:r>
        <w:rPr>
          <w:rFonts w:ascii="宋体" w:hAnsi="宋体" w:cs="宋体" w:eastAsia="宋体" w:hint="default"/>
          <w:spacing w:val="-59"/>
          <w:w w:val="110"/>
          <w:sz w:val="16"/>
          <w:szCs w:val="16"/>
        </w:rPr>
        <w:t> </w:t>
      </w:r>
      <w:r>
        <w:rPr>
          <w:rFonts w:ascii="宋体" w:hAnsi="宋体" w:cs="宋体" w:eastAsia="宋体" w:hint="default"/>
          <w:w w:val="110"/>
          <w:sz w:val="16"/>
          <w:szCs w:val="16"/>
        </w:rPr>
        <w:t>31</w:t>
      </w:r>
      <w:r>
        <w:rPr>
          <w:rFonts w:ascii="宋体" w:hAnsi="宋体" w:cs="宋体" w:eastAsia="宋体" w:hint="default"/>
          <w:spacing w:val="-60"/>
          <w:w w:val="110"/>
          <w:sz w:val="16"/>
          <w:szCs w:val="16"/>
        </w:rPr>
        <w:t> </w:t>
      </w:r>
      <w:r>
        <w:rPr>
          <w:rFonts w:ascii="宋体" w:hAnsi="宋体" w:cs="宋体" w:eastAsia="宋体" w:hint="default"/>
          <w:w w:val="110"/>
          <w:sz w:val="16"/>
          <w:szCs w:val="16"/>
        </w:rPr>
        <w:t>日至</w:t>
      </w:r>
      <w:r>
        <w:rPr>
          <w:rFonts w:ascii="宋体" w:hAnsi="宋体" w:cs="宋体" w:eastAsia="宋体" w:hint="default"/>
          <w:spacing w:val="-59"/>
          <w:w w:val="110"/>
          <w:sz w:val="16"/>
          <w:szCs w:val="16"/>
        </w:rPr>
        <w:t> </w:t>
      </w:r>
      <w:r>
        <w:rPr>
          <w:rFonts w:ascii="宋体" w:hAnsi="宋体" w:cs="宋体" w:eastAsia="宋体" w:hint="default"/>
          <w:w w:val="110"/>
          <w:sz w:val="16"/>
          <w:szCs w:val="16"/>
        </w:rPr>
        <w:t>2020</w:t>
      </w:r>
      <w:r>
        <w:rPr>
          <w:rFonts w:ascii="宋体" w:hAnsi="宋体" w:cs="宋体" w:eastAsia="宋体" w:hint="default"/>
          <w:sz w:val="16"/>
          <w:szCs w:val="16"/>
        </w:rPr>
      </w:r>
    </w:p>
    <w:p>
      <w:pPr>
        <w:spacing w:line="205" w:lineRule="exact" w:before="0"/>
        <w:ind w:left="225" w:right="-15" w:firstLine="0"/>
        <w:jc w:val="left"/>
        <w:rPr>
          <w:rFonts w:ascii="宋体" w:hAnsi="宋体" w:cs="宋体" w:eastAsia="宋体" w:hint="default"/>
          <w:sz w:val="16"/>
          <w:szCs w:val="16"/>
        </w:rPr>
      </w:pPr>
      <w:r>
        <w:rPr>
          <w:rFonts w:ascii="宋体" w:hAnsi="宋体" w:cs="宋体" w:eastAsia="宋体" w:hint="default"/>
          <w:w w:val="105"/>
          <w:sz w:val="16"/>
          <w:szCs w:val="16"/>
        </w:rPr>
        <w:t>年</w:t>
      </w:r>
      <w:r>
        <w:rPr>
          <w:rFonts w:ascii="宋体" w:hAnsi="宋体" w:cs="宋体" w:eastAsia="宋体" w:hint="default"/>
          <w:spacing w:val="-48"/>
          <w:w w:val="105"/>
          <w:sz w:val="16"/>
          <w:szCs w:val="16"/>
        </w:rPr>
        <w:t> </w:t>
      </w:r>
      <w:r>
        <w:rPr>
          <w:rFonts w:ascii="宋体" w:hAnsi="宋体" w:cs="宋体" w:eastAsia="宋体" w:hint="default"/>
          <w:spacing w:val="12"/>
          <w:w w:val="105"/>
          <w:sz w:val="16"/>
          <w:szCs w:val="16"/>
        </w:rPr>
        <w:t>10月</w:t>
      </w:r>
      <w:r>
        <w:rPr>
          <w:rFonts w:ascii="宋体" w:hAnsi="宋体" w:cs="宋体" w:eastAsia="宋体" w:hint="default"/>
          <w:spacing w:val="-48"/>
          <w:w w:val="105"/>
          <w:sz w:val="16"/>
          <w:szCs w:val="16"/>
        </w:rPr>
        <w:t> </w:t>
      </w:r>
      <w:r>
        <w:rPr>
          <w:rFonts w:ascii="宋体" w:hAnsi="宋体" w:cs="宋体" w:eastAsia="宋体" w:hint="default"/>
          <w:w w:val="105"/>
          <w:sz w:val="16"/>
          <w:szCs w:val="16"/>
        </w:rPr>
        <w:t>30</w:t>
      </w:r>
      <w:r>
        <w:rPr>
          <w:rFonts w:ascii="宋体" w:hAnsi="宋体" w:cs="宋体" w:eastAsia="宋体" w:hint="default"/>
          <w:spacing w:val="-48"/>
          <w:w w:val="105"/>
          <w:sz w:val="16"/>
          <w:szCs w:val="16"/>
        </w:rPr>
        <w:t> </w:t>
      </w:r>
      <w:r>
        <w:rPr>
          <w:rFonts w:ascii="宋体" w:hAnsi="宋体" w:cs="宋体" w:eastAsia="宋体" w:hint="default"/>
          <w:w w:val="105"/>
          <w:sz w:val="16"/>
          <w:szCs w:val="16"/>
        </w:rPr>
        <w:t>日）</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9"/>
        <w:rPr>
          <w:rFonts w:ascii="宋体" w:hAnsi="宋体" w:cs="宋体" w:eastAsia="宋体" w:hint="default"/>
          <w:sz w:val="14"/>
          <w:szCs w:val="14"/>
        </w:rPr>
      </w:pPr>
    </w:p>
    <w:p>
      <w:pPr>
        <w:tabs>
          <w:tab w:pos="687" w:val="left" w:leader="none"/>
          <w:tab w:pos="1153" w:val="left" w:leader="none"/>
          <w:tab w:pos="1851" w:val="left" w:leader="none"/>
        </w:tabs>
        <w:spacing w:before="0"/>
        <w:ind w:left="177" w:right="0" w:firstLine="0"/>
        <w:jc w:val="left"/>
        <w:rPr>
          <w:rFonts w:ascii="宋体" w:hAnsi="宋体" w:cs="宋体" w:eastAsia="宋体" w:hint="default"/>
          <w:sz w:val="16"/>
          <w:szCs w:val="16"/>
        </w:rPr>
      </w:pPr>
      <w:r>
        <w:rPr>
          <w:rFonts w:ascii="宋体" w:hAnsi="宋体" w:cs="宋体" w:eastAsia="宋体" w:hint="default"/>
          <w:sz w:val="16"/>
          <w:szCs w:val="16"/>
        </w:rPr>
        <w:t>是</w:t>
        <w:tab/>
        <w:t>是</w:t>
        <w:tab/>
        <w:t>不适用</w:t>
        <w:tab/>
        <w:t>不适用</w:t>
      </w:r>
    </w:p>
    <w:p>
      <w:pPr>
        <w:spacing w:after="0"/>
        <w:jc w:val="left"/>
        <w:rPr>
          <w:rFonts w:ascii="宋体" w:hAnsi="宋体" w:cs="宋体" w:eastAsia="宋体" w:hint="default"/>
          <w:sz w:val="16"/>
          <w:szCs w:val="16"/>
        </w:rPr>
        <w:sectPr>
          <w:type w:val="continuous"/>
          <w:pgSz w:w="11910" w:h="16160"/>
          <w:pgMar w:top="1520" w:bottom="280" w:left="260" w:right="1300"/>
          <w:cols w:num="5" w:equalWidth="0">
            <w:col w:w="1504" w:space="40"/>
            <w:col w:w="2787" w:space="40"/>
            <w:col w:w="1820" w:space="40"/>
            <w:col w:w="1531" w:space="40"/>
            <w:col w:w="2548"/>
          </w:cols>
        </w:sectPr>
      </w:pPr>
    </w:p>
    <w:p>
      <w:pPr>
        <w:spacing w:line="240" w:lineRule="auto" w:before="2"/>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160"/>
          <w:pgMar w:top="1520" w:bottom="280" w:left="260" w:right="1300"/>
        </w:sectPr>
      </w:pPr>
    </w:p>
    <w:p>
      <w:pPr>
        <w:spacing w:line="240" w:lineRule="auto" w:before="9"/>
        <w:rPr>
          <w:rFonts w:ascii="宋体" w:hAnsi="宋体" w:cs="宋体" w:eastAsia="宋体" w:hint="default"/>
          <w:sz w:val="12"/>
          <w:szCs w:val="12"/>
        </w:rPr>
      </w:pPr>
    </w:p>
    <w:p>
      <w:pPr>
        <w:spacing w:line="200" w:lineRule="exact" w:before="0"/>
        <w:ind w:left="1023" w:right="0" w:firstLine="0"/>
        <w:jc w:val="center"/>
        <w:rPr>
          <w:rFonts w:ascii="宋体" w:hAnsi="宋体" w:cs="宋体" w:eastAsia="宋体" w:hint="default"/>
          <w:sz w:val="16"/>
          <w:szCs w:val="16"/>
        </w:rPr>
      </w:pPr>
      <w:r>
        <w:rPr>
          <w:rFonts w:ascii="宋体" w:hAnsi="宋体" w:cs="宋体" w:eastAsia="宋体" w:hint="default"/>
          <w:sz w:val="16"/>
          <w:szCs w:val="16"/>
        </w:rPr>
        <w:t>与股权 激励相 关的承 诺</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7"/>
        <w:rPr>
          <w:rFonts w:ascii="宋体" w:hAnsi="宋体" w:cs="宋体" w:eastAsia="宋体" w:hint="default"/>
          <w:sz w:val="17"/>
          <w:szCs w:val="17"/>
        </w:rPr>
      </w:pPr>
    </w:p>
    <w:p>
      <w:pPr>
        <w:tabs>
          <w:tab w:pos="1529" w:val="left" w:leader="none"/>
        </w:tabs>
        <w:spacing w:before="0"/>
        <w:ind w:left="141" w:right="-19" w:firstLine="0"/>
        <w:jc w:val="left"/>
        <w:rPr>
          <w:rFonts w:ascii="宋体" w:hAnsi="宋体" w:cs="宋体" w:eastAsia="宋体" w:hint="default"/>
          <w:sz w:val="16"/>
          <w:szCs w:val="16"/>
        </w:rPr>
      </w:pPr>
      <w:r>
        <w:rPr>
          <w:rFonts w:ascii="宋体" w:hAnsi="宋体" w:cs="宋体" w:eastAsia="宋体" w:hint="default"/>
          <w:sz w:val="16"/>
          <w:szCs w:val="16"/>
        </w:rPr>
        <w:t>其他</w:t>
        <w:tab/>
        <w:t>公司</w:t>
      </w:r>
    </w:p>
    <w:p>
      <w:pPr>
        <w:spacing w:line="200" w:lineRule="exact" w:before="65"/>
        <w:ind w:left="1023" w:right="0" w:firstLine="0"/>
        <w:jc w:val="both"/>
        <w:rPr>
          <w:rFonts w:ascii="宋体" w:hAnsi="宋体" w:cs="宋体" w:eastAsia="宋体" w:hint="default"/>
          <w:sz w:val="16"/>
          <w:szCs w:val="16"/>
        </w:rPr>
      </w:pPr>
      <w:r>
        <w:rPr>
          <w:spacing w:val="12"/>
        </w:rPr>
        <w:br w:type="column"/>
      </w:r>
      <w:r>
        <w:rPr>
          <w:rFonts w:ascii="宋体" w:hAnsi="宋体" w:cs="宋体" w:eastAsia="宋体" w:hint="default"/>
          <w:spacing w:val="12"/>
          <w:sz w:val="16"/>
          <w:szCs w:val="16"/>
        </w:rPr>
        <w:t>不为激励对象依据股权 激励方案获得的有关权 益提供贷款或任何形式 </w:t>
      </w:r>
      <w:r>
        <w:rPr>
          <w:rFonts w:ascii="宋体" w:hAnsi="宋体" w:cs="宋体" w:eastAsia="宋体" w:hint="default"/>
          <w:spacing w:val="11"/>
          <w:sz w:val="16"/>
          <w:szCs w:val="16"/>
        </w:rPr>
        <w:t>的财务资助，包括为其</w:t>
      </w:r>
      <w:r>
        <w:rPr>
          <w:rFonts w:ascii="宋体" w:hAnsi="宋体" w:cs="宋体" w:eastAsia="宋体" w:hint="default"/>
          <w:spacing w:val="-66"/>
          <w:sz w:val="16"/>
          <w:szCs w:val="16"/>
        </w:rPr>
        <w:t> </w:t>
      </w:r>
      <w:r>
        <w:rPr>
          <w:rFonts w:ascii="宋体" w:hAnsi="宋体" w:cs="宋体" w:eastAsia="宋体" w:hint="default"/>
          <w:sz w:val="16"/>
          <w:szCs w:val="16"/>
        </w:rPr>
        <w:t>贷款提供担保。</w:t>
      </w:r>
    </w:p>
    <w:p>
      <w:pPr>
        <w:spacing w:line="240" w:lineRule="auto" w:before="4"/>
        <w:rPr>
          <w:rFonts w:ascii="宋体" w:hAnsi="宋体" w:cs="宋体" w:eastAsia="宋体" w:hint="default"/>
          <w:sz w:val="20"/>
          <w:szCs w:val="20"/>
        </w:rPr>
      </w:pPr>
      <w:r>
        <w:rPr/>
        <w:br w:type="column"/>
      </w:r>
      <w:r>
        <w:rPr>
          <w:rFonts w:ascii="宋体"/>
          <w:sz w:val="20"/>
        </w:rPr>
      </w:r>
    </w:p>
    <w:p>
      <w:pPr>
        <w:spacing w:line="200" w:lineRule="exact" w:before="0"/>
        <w:ind w:left="115" w:right="-15" w:firstLine="9"/>
        <w:jc w:val="left"/>
        <w:rPr>
          <w:rFonts w:ascii="宋体" w:hAnsi="宋体" w:cs="宋体" w:eastAsia="宋体" w:hint="default"/>
          <w:sz w:val="16"/>
          <w:szCs w:val="16"/>
        </w:rPr>
      </w:pPr>
      <w:r>
        <w:rPr>
          <w:rFonts w:ascii="宋体" w:hAnsi="宋体" w:cs="宋体" w:eastAsia="宋体" w:hint="default"/>
          <w:w w:val="105"/>
          <w:sz w:val="16"/>
          <w:szCs w:val="16"/>
        </w:rPr>
        <w:t>承诺时间：2017</w:t>
      </w:r>
      <w:r>
        <w:rPr>
          <w:rFonts w:ascii="宋体" w:hAnsi="宋体" w:cs="宋体" w:eastAsia="宋体" w:hint="default"/>
          <w:spacing w:val="-58"/>
          <w:w w:val="105"/>
          <w:sz w:val="16"/>
          <w:szCs w:val="16"/>
        </w:rPr>
        <w:t> </w:t>
      </w:r>
      <w:r>
        <w:rPr>
          <w:rFonts w:ascii="宋体" w:hAnsi="宋体" w:cs="宋体" w:eastAsia="宋体" w:hint="default"/>
          <w:w w:val="105"/>
          <w:sz w:val="16"/>
          <w:szCs w:val="16"/>
        </w:rPr>
        <w:t>年</w:t>
      </w:r>
      <w:r>
        <w:rPr>
          <w:rFonts w:ascii="宋体" w:hAnsi="宋体" w:cs="宋体" w:eastAsia="宋体" w:hint="default"/>
          <w:sz w:val="16"/>
          <w:szCs w:val="16"/>
        </w:rPr>
        <w:t> </w:t>
      </w:r>
      <w:r>
        <w:rPr>
          <w:rFonts w:ascii="宋体" w:hAnsi="宋体" w:cs="宋体" w:eastAsia="宋体" w:hint="default"/>
          <w:w w:val="105"/>
          <w:sz w:val="16"/>
          <w:szCs w:val="16"/>
        </w:rPr>
        <w:t>8</w:t>
      </w:r>
      <w:r>
        <w:rPr>
          <w:rFonts w:ascii="宋体" w:hAnsi="宋体" w:cs="宋体" w:eastAsia="宋体" w:hint="default"/>
          <w:spacing w:val="-76"/>
          <w:w w:val="105"/>
          <w:sz w:val="16"/>
          <w:szCs w:val="16"/>
        </w:rPr>
        <w:t> </w:t>
      </w:r>
      <w:r>
        <w:rPr>
          <w:rFonts w:ascii="宋体" w:hAnsi="宋体" w:cs="宋体" w:eastAsia="宋体" w:hint="default"/>
          <w:w w:val="105"/>
          <w:sz w:val="16"/>
          <w:szCs w:val="16"/>
        </w:rPr>
        <w:t>月</w:t>
      </w:r>
      <w:r>
        <w:rPr>
          <w:rFonts w:ascii="宋体" w:hAnsi="宋体" w:cs="宋体" w:eastAsia="宋体" w:hint="default"/>
          <w:spacing w:val="-76"/>
          <w:w w:val="105"/>
          <w:sz w:val="16"/>
          <w:szCs w:val="16"/>
        </w:rPr>
        <w:t> </w:t>
      </w:r>
      <w:r>
        <w:rPr>
          <w:rFonts w:ascii="宋体" w:hAnsi="宋体" w:cs="宋体" w:eastAsia="宋体" w:hint="default"/>
          <w:w w:val="105"/>
          <w:sz w:val="16"/>
          <w:szCs w:val="16"/>
        </w:rPr>
        <w:t>16</w:t>
      </w:r>
      <w:r>
        <w:rPr>
          <w:rFonts w:ascii="宋体" w:hAnsi="宋体" w:cs="宋体" w:eastAsia="宋体" w:hint="default"/>
          <w:spacing w:val="-76"/>
          <w:w w:val="105"/>
          <w:sz w:val="16"/>
          <w:szCs w:val="16"/>
        </w:rPr>
        <w:t> </w:t>
      </w:r>
      <w:r>
        <w:rPr>
          <w:rFonts w:ascii="宋体" w:hAnsi="宋体" w:cs="宋体" w:eastAsia="宋体" w:hint="default"/>
          <w:spacing w:val="-7"/>
          <w:w w:val="105"/>
          <w:sz w:val="16"/>
          <w:szCs w:val="16"/>
        </w:rPr>
        <w:t>日承诺期限：</w:t>
      </w:r>
    </w:p>
    <w:p>
      <w:pPr>
        <w:spacing w:line="183" w:lineRule="exact" w:before="0"/>
        <w:ind w:left="242" w:right="-15" w:firstLine="0"/>
        <w:jc w:val="left"/>
        <w:rPr>
          <w:rFonts w:ascii="宋体" w:hAnsi="宋体" w:cs="宋体" w:eastAsia="宋体" w:hint="default"/>
          <w:sz w:val="16"/>
          <w:szCs w:val="16"/>
        </w:rPr>
      </w:pPr>
      <w:r>
        <w:rPr>
          <w:rFonts w:ascii="宋体" w:hAnsi="宋体" w:cs="宋体" w:eastAsia="宋体" w:hint="default"/>
          <w:sz w:val="16"/>
          <w:szCs w:val="16"/>
        </w:rPr>
        <w:t>至承诺履行完毕</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7"/>
        <w:rPr>
          <w:rFonts w:ascii="宋体" w:hAnsi="宋体" w:cs="宋体" w:eastAsia="宋体" w:hint="default"/>
          <w:sz w:val="17"/>
          <w:szCs w:val="17"/>
        </w:rPr>
      </w:pPr>
    </w:p>
    <w:p>
      <w:pPr>
        <w:tabs>
          <w:tab w:pos="687" w:val="left" w:leader="none"/>
          <w:tab w:pos="1153" w:val="left" w:leader="none"/>
          <w:tab w:pos="1851" w:val="left" w:leader="none"/>
        </w:tabs>
        <w:spacing w:before="0"/>
        <w:ind w:left="177" w:right="0" w:firstLine="0"/>
        <w:jc w:val="left"/>
        <w:rPr>
          <w:rFonts w:ascii="宋体" w:hAnsi="宋体" w:cs="宋体" w:eastAsia="宋体" w:hint="default"/>
          <w:sz w:val="16"/>
          <w:szCs w:val="16"/>
        </w:rPr>
      </w:pPr>
      <w:r>
        <w:rPr>
          <w:rFonts w:ascii="宋体" w:hAnsi="宋体" w:cs="宋体" w:eastAsia="宋体" w:hint="default"/>
          <w:sz w:val="16"/>
          <w:szCs w:val="16"/>
        </w:rPr>
        <w:t>是</w:t>
        <w:tab/>
        <w:t>是</w:t>
        <w:tab/>
        <w:t>不适用</w:t>
        <w:tab/>
        <w:t>不适用</w:t>
      </w:r>
    </w:p>
    <w:p>
      <w:pPr>
        <w:spacing w:after="0"/>
        <w:jc w:val="left"/>
        <w:rPr>
          <w:rFonts w:ascii="宋体" w:hAnsi="宋体" w:cs="宋体" w:eastAsia="宋体" w:hint="default"/>
          <w:sz w:val="16"/>
          <w:szCs w:val="16"/>
        </w:rPr>
        <w:sectPr>
          <w:type w:val="continuous"/>
          <w:pgSz w:w="11910" w:h="16160"/>
          <w:pgMar w:top="1520" w:bottom="280" w:left="260" w:right="1300"/>
          <w:cols w:num="5" w:equalWidth="0">
            <w:col w:w="1504" w:space="40"/>
            <w:col w:w="1851" w:space="42"/>
            <w:col w:w="2754" w:space="40"/>
            <w:col w:w="1531" w:space="40"/>
            <w:col w:w="2548"/>
          </w:cols>
        </w:sectPr>
      </w:pPr>
    </w:p>
    <w:p>
      <w:pPr>
        <w:spacing w:line="240" w:lineRule="auto" w:before="6"/>
        <w:rPr>
          <w:rFonts w:ascii="宋体" w:hAnsi="宋体" w:cs="宋体" w:eastAsia="宋体" w:hint="default"/>
          <w:sz w:val="23"/>
          <w:szCs w:val="23"/>
        </w:rPr>
      </w:pPr>
    </w:p>
    <w:p>
      <w:pPr>
        <w:spacing w:line="321" w:lineRule="auto" w:before="43"/>
        <w:ind w:left="915" w:right="123" w:firstLine="0"/>
        <w:jc w:val="left"/>
        <w:rPr>
          <w:rFonts w:ascii="宋体" w:hAnsi="宋体" w:cs="宋体" w:eastAsia="宋体" w:hint="default"/>
          <w:sz w:val="16"/>
          <w:szCs w:val="16"/>
        </w:rPr>
      </w:pPr>
      <w:r>
        <w:rPr>
          <w:rFonts w:ascii="宋体" w:hAnsi="宋体" w:cs="宋体" w:eastAsia="宋体" w:hint="default"/>
          <w:sz w:val="16"/>
          <w:szCs w:val="16"/>
        </w:rPr>
        <w:t>注：根据公开披露信息，2018</w:t>
      </w:r>
      <w:r>
        <w:rPr>
          <w:rFonts w:ascii="宋体" w:hAnsi="宋体" w:cs="宋体" w:eastAsia="宋体" w:hint="default"/>
          <w:spacing w:val="-47"/>
          <w:sz w:val="16"/>
          <w:szCs w:val="16"/>
        </w:rPr>
        <w:t> </w:t>
      </w:r>
      <w:r>
        <w:rPr>
          <w:rFonts w:ascii="宋体" w:hAnsi="宋体" w:cs="宋体" w:eastAsia="宋体" w:hint="default"/>
          <w:sz w:val="16"/>
          <w:szCs w:val="16"/>
        </w:rPr>
        <w:t>年</w:t>
      </w:r>
      <w:r>
        <w:rPr>
          <w:rFonts w:ascii="宋体" w:hAnsi="宋体" w:cs="宋体" w:eastAsia="宋体" w:hint="default"/>
          <w:spacing w:val="-46"/>
          <w:sz w:val="16"/>
          <w:szCs w:val="16"/>
        </w:rPr>
        <w:t> </w:t>
      </w:r>
      <w:r>
        <w:rPr>
          <w:rFonts w:ascii="宋体" w:hAnsi="宋体" w:cs="宋体" w:eastAsia="宋体" w:hint="default"/>
          <w:sz w:val="16"/>
          <w:szCs w:val="16"/>
        </w:rPr>
        <w:t>2</w:t>
      </w:r>
      <w:r>
        <w:rPr>
          <w:rFonts w:ascii="宋体" w:hAnsi="宋体" w:cs="宋体" w:eastAsia="宋体" w:hint="default"/>
          <w:spacing w:val="-47"/>
          <w:sz w:val="16"/>
          <w:szCs w:val="16"/>
        </w:rPr>
        <w:t> </w:t>
      </w:r>
      <w:r>
        <w:rPr>
          <w:rFonts w:ascii="宋体" w:hAnsi="宋体" w:cs="宋体" w:eastAsia="宋体" w:hint="default"/>
          <w:sz w:val="16"/>
          <w:szCs w:val="16"/>
        </w:rPr>
        <w:t>月</w:t>
      </w:r>
      <w:r>
        <w:rPr>
          <w:rFonts w:ascii="宋体" w:hAnsi="宋体" w:cs="宋体" w:eastAsia="宋体" w:hint="default"/>
          <w:spacing w:val="-46"/>
          <w:sz w:val="16"/>
          <w:szCs w:val="16"/>
        </w:rPr>
        <w:t> </w:t>
      </w:r>
      <w:r>
        <w:rPr>
          <w:rFonts w:ascii="宋体" w:hAnsi="宋体" w:cs="宋体" w:eastAsia="宋体" w:hint="default"/>
          <w:sz w:val="16"/>
          <w:szCs w:val="16"/>
        </w:rPr>
        <w:t>5</w:t>
      </w:r>
      <w:r>
        <w:rPr>
          <w:rFonts w:ascii="宋体" w:hAnsi="宋体" w:cs="宋体" w:eastAsia="宋体" w:hint="default"/>
          <w:spacing w:val="-47"/>
          <w:sz w:val="16"/>
          <w:szCs w:val="16"/>
        </w:rPr>
        <w:t> </w:t>
      </w:r>
      <w:r>
        <w:rPr>
          <w:rFonts w:ascii="宋体" w:hAnsi="宋体" w:cs="宋体" w:eastAsia="宋体" w:hint="default"/>
          <w:sz w:val="16"/>
          <w:szCs w:val="16"/>
        </w:rPr>
        <w:t>日，公司股东“苏宁云商集团股份有限公司”名称变更为“苏宁易购集团股份有限公司”（简</w:t>
      </w:r>
      <w:r>
        <w:rPr>
          <w:rFonts w:ascii="宋体" w:hAnsi="宋体" w:cs="宋体" w:eastAsia="宋体" w:hint="default"/>
          <w:sz w:val="16"/>
          <w:szCs w:val="16"/>
        </w:rPr>
        <w:t> 称“苏宁易购”）</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type w:val="continuous"/>
          <w:pgSz w:w="11910" w:h="16160"/>
          <w:pgMar w:top="1520" w:bottom="280" w:left="260" w:right="1300"/>
        </w:sectPr>
      </w:pPr>
    </w:p>
    <w:p>
      <w:pPr>
        <w:tabs>
          <w:tab w:pos="6661" w:val="left" w:leader="none"/>
        </w:tabs>
        <w:spacing w:before="61"/>
        <w:ind w:left="554" w:right="0" w:firstLine="0"/>
        <w:jc w:val="left"/>
        <w:rPr>
          <w:rFonts w:ascii="宋体" w:hAnsi="宋体" w:cs="宋体" w:eastAsia="宋体" w:hint="default"/>
          <w:sz w:val="16"/>
          <w:szCs w:val="16"/>
        </w:rPr>
      </w:pPr>
      <w:r>
        <w:rPr/>
        <w:pict>
          <v:group style="position:absolute;margin-left:18.4256pt;margin-top:147.401016pt;width:506.6pt;height:660.5pt;mso-position-horizontal-relative:page;mso-position-vertical-relative:page;z-index:-966280" coordorigin="369,2948" coordsize="10132,13210">
            <v:group style="position:absolute;left:1189;top:10460;width:8726;height:5698" coordorigin="1189,10460" coordsize="8726,5698">
              <v:shape style="position:absolute;left:1189;top:10460;width:8726;height:5698" coordorigin="1189,10460" coordsize="8726,5698" path="m7643,16157l1189,16157,3461,10460,9915,10460,7643,16157xe" filled="true" fillcolor="#8e9090" stroked="false">
                <v:path arrowok="t"/>
                <v:fill type="solid"/>
              </v:shape>
              <v:shape style="position:absolute;left:369;top:15176;width:188;height:188" type="#_x0000_t75" stroked="false">
                <v:imagedata r:id="rId76" o:title=""/>
              </v:shape>
            </v:group>
            <v:group style="position:absolute;left:486;top:15270;width:5145;height:2" coordorigin="486,15270" coordsize="5145,2">
              <v:shape style="position:absolute;left:486;top:15270;width:5145;height:2" coordorigin="486,15270" coordsize="5145,0" path="m486,15270l5631,15270e" filled="false" stroked="true" strokeweight=".956pt" strokecolor="#8e9090">
                <v:path arrowok="t"/>
              </v:shape>
            </v:group>
            <v:group style="position:absolute;left:850;top:2948;width:9638;height:11566" coordorigin="850,2948" coordsize="9638,11566">
              <v:shape style="position:absolute;left:850;top:2948;width:9638;height:11566" coordorigin="850,2948" coordsize="9638,11566" path="m850,14513l10488,14513,10488,2948,850,2948,850,14513xe" filled="true" fillcolor="#ffffff" stroked="false">
                <v:path arrowok="t"/>
                <v:fill type="solid"/>
              </v:shape>
            </v:group>
            <v:group style="position:absolute;left:1191;top:4195;width:1259;height:2" coordorigin="1191,4195" coordsize="1259,2">
              <v:shape style="position:absolute;left:1191;top:4195;width:1259;height:2" coordorigin="1191,4195" coordsize="1259,0" path="m1191,4195l2449,4195e" filled="false" stroked="true" strokeweight="2pt" strokecolor="#9c8758">
                <v:path arrowok="t"/>
              </v:shape>
            </v:group>
            <v:group style="position:absolute;left:2449;top:4195;width:987;height:2" coordorigin="2449,4195" coordsize="987,2">
              <v:shape style="position:absolute;left:2449;top:4195;width:987;height:2" coordorigin="2449,4195" coordsize="987,0" path="m2449,4195l3436,4195e" filled="false" stroked="true" strokeweight="2pt" strokecolor="#9c8758">
                <v:path arrowok="t"/>
              </v:shape>
            </v:group>
            <v:group style="position:absolute;left:3436;top:4195;width:1134;height:2" coordorigin="3436,4195" coordsize="1134,2">
              <v:shape style="position:absolute;left:3436;top:4195;width:1134;height:2" coordorigin="3436,4195" coordsize="1134,0" path="m3436,4195l4569,4195e" filled="false" stroked="true" strokeweight="2pt" strokecolor="#9c8758">
                <v:path arrowok="t"/>
              </v:shape>
            </v:group>
            <v:group style="position:absolute;left:4569;top:4195;width:1029;height:2" coordorigin="4569,4195" coordsize="1029,2">
              <v:shape style="position:absolute;left:4569;top:4195;width:1029;height:2" coordorigin="4569,4195" coordsize="1029,0" path="m4569,4195l5598,4195e" filled="false" stroked="true" strokeweight="2pt" strokecolor="#9c8758">
                <v:path arrowok="t"/>
              </v:shape>
            </v:group>
            <v:group style="position:absolute;left:5598;top:4195;width:1443;height:2" coordorigin="5598,4195" coordsize="1443,2">
              <v:shape style="position:absolute;left:5598;top:4195;width:1443;height:2" coordorigin="5598,4195" coordsize="1443,0" path="m5598,4195l7041,4195e" filled="false" stroked="true" strokeweight="2pt" strokecolor="#9c8758">
                <v:path arrowok="t"/>
              </v:shape>
            </v:group>
            <v:group style="position:absolute;left:7041;top:4195;width:1701;height:2" coordorigin="7041,4195" coordsize="1701,2">
              <v:shape style="position:absolute;left:7041;top:4195;width:1701;height:2" coordorigin="7041,4195" coordsize="1701,0" path="m7041,4195l8742,4195e" filled="false" stroked="true" strokeweight="2pt" strokecolor="#9c8758">
                <v:path arrowok="t"/>
              </v:shape>
            </v:group>
            <v:group style="position:absolute;left:8742;top:4195;width:1730;height:2" coordorigin="8742,4195" coordsize="1730,2">
              <v:shape style="position:absolute;left:8742;top:4195;width:1730;height:2" coordorigin="8742,4195" coordsize="1730,0" path="m8742,4195l10471,4195e" filled="false" stroked="true" strokeweight="2pt" strokecolor="#9c8758">
                <v:path arrowok="t"/>
              </v:shape>
            </v:group>
            <v:group style="position:absolute;left:1191;top:5163;width:1259;height:2" coordorigin="1191,5163" coordsize="1259,2">
              <v:shape style="position:absolute;left:1191;top:5163;width:1259;height:2" coordorigin="1191,5163" coordsize="1259,0" path="m1191,5163l2449,5163e" filled="false" stroked="true" strokeweight=".5pt" strokecolor="#000000">
                <v:path arrowok="t"/>
              </v:shape>
            </v:group>
            <v:group style="position:absolute;left:2449;top:5163;width:987;height:2" coordorigin="2449,5163" coordsize="987,2">
              <v:shape style="position:absolute;left:2449;top:5163;width:987;height:2" coordorigin="2449,5163" coordsize="987,0" path="m2449,5163l3436,5163e" filled="false" stroked="true" strokeweight=".5pt" strokecolor="#000000">
                <v:path arrowok="t"/>
              </v:shape>
            </v:group>
            <v:group style="position:absolute;left:3436;top:5163;width:1134;height:2" coordorigin="3436,5163" coordsize="1134,2">
              <v:shape style="position:absolute;left:3436;top:5163;width:1134;height:2" coordorigin="3436,5163" coordsize="1134,0" path="m3436,5163l4569,5163e" filled="false" stroked="true" strokeweight=".5pt" strokecolor="#000000">
                <v:path arrowok="t"/>
              </v:shape>
            </v:group>
            <v:group style="position:absolute;left:4569;top:5163;width:1029;height:2" coordorigin="4569,5163" coordsize="1029,2">
              <v:shape style="position:absolute;left:4569;top:5163;width:1029;height:2" coordorigin="4569,5163" coordsize="1029,0" path="m4569,5163l5598,5163e" filled="false" stroked="true" strokeweight=".5pt" strokecolor="#000000">
                <v:path arrowok="t"/>
              </v:shape>
            </v:group>
            <v:group style="position:absolute;left:5598;top:5163;width:1443;height:2" coordorigin="5598,5163" coordsize="1443,2">
              <v:shape style="position:absolute;left:5598;top:5163;width:1443;height:2" coordorigin="5598,5163" coordsize="1443,0" path="m5598,5163l7041,5163e" filled="false" stroked="true" strokeweight=".5pt" strokecolor="#000000">
                <v:path arrowok="t"/>
              </v:shape>
            </v:group>
            <v:group style="position:absolute;left:7041;top:5163;width:1701;height:2" coordorigin="7041,5163" coordsize="1701,2">
              <v:shape style="position:absolute;left:7041;top:5163;width:1701;height:2" coordorigin="7041,5163" coordsize="1701,0" path="m7041,5163l8742,5163e" filled="false" stroked="true" strokeweight=".5pt" strokecolor="#000000">
                <v:path arrowok="t"/>
              </v:shape>
            </v:group>
            <v:group style="position:absolute;left:8742;top:5163;width:1730;height:2" coordorigin="8742,5163" coordsize="1730,2">
              <v:shape style="position:absolute;left:8742;top:5163;width:1730;height:2" coordorigin="8742,5163" coordsize="1730,0" path="m8742,5163l10471,5163e" filled="false" stroked="true" strokeweight=".5pt" strokecolor="#000000">
                <v:path arrowok="t"/>
              </v:shape>
            </v:group>
            <v:group style="position:absolute;left:1191;top:8019;width:667;height:2" coordorigin="1191,8019" coordsize="667,2">
              <v:shape style="position:absolute;left:1191;top:8019;width:667;height:2" coordorigin="1191,8019" coordsize="667,0" path="m1191,8019l1857,8019e" filled="false" stroked="true" strokeweight="2pt" strokecolor="#9c8758">
                <v:path arrowok="t"/>
              </v:shape>
            </v:group>
            <v:group style="position:absolute;left:1857;top:8019;width:497;height:2" coordorigin="1857,8019" coordsize="497,2">
              <v:shape style="position:absolute;left:1857;top:8019;width:497;height:2" coordorigin="1857,8019" coordsize="497,0" path="m1857,8019l2353,8019e" filled="false" stroked="true" strokeweight="2pt" strokecolor="#9c8758">
                <v:path arrowok="t"/>
              </v:shape>
            </v:group>
            <v:group style="position:absolute;left:2353;top:8019;width:2282;height:2" coordorigin="2353,8019" coordsize="2282,2">
              <v:shape style="position:absolute;left:2353;top:8019;width:2282;height:2" coordorigin="2353,8019" coordsize="2282,0" path="m2353,8019l4635,8019e" filled="false" stroked="true" strokeweight="2pt" strokecolor="#9c8758">
                <v:path arrowok="t"/>
              </v:shape>
            </v:group>
            <v:group style="position:absolute;left:4635;top:8019;width:1886;height:2" coordorigin="4635,8019" coordsize="1886,2">
              <v:shape style="position:absolute;left:4635;top:8019;width:1886;height:2" coordorigin="4635,8019" coordsize="1886,0" path="m4635,8019l6520,8019e" filled="false" stroked="true" strokeweight="2pt" strokecolor="#9c8758">
                <v:path arrowok="t"/>
              </v:shape>
            </v:group>
            <v:group style="position:absolute;left:6520;top:8019;width:1545;height:2" coordorigin="6520,8019" coordsize="1545,2">
              <v:shape style="position:absolute;left:6520;top:8019;width:1545;height:2" coordorigin="6520,8019" coordsize="1545,0" path="m6520,8019l8065,8019e" filled="false" stroked="true" strokeweight="2pt" strokecolor="#9c8758">
                <v:path arrowok="t"/>
              </v:shape>
            </v:group>
            <v:group style="position:absolute;left:8065;top:8019;width:505;height:2" coordorigin="8065,8019" coordsize="505,2">
              <v:shape style="position:absolute;left:8065;top:8019;width:505;height:2" coordorigin="8065,8019" coordsize="505,0" path="m8065,8019l8569,8019e" filled="false" stroked="true" strokeweight="2pt" strokecolor="#9c8758">
                <v:path arrowok="t"/>
              </v:shape>
            </v:group>
            <v:group style="position:absolute;left:8569;top:8019;width:516;height:2" coordorigin="8569,8019" coordsize="516,2">
              <v:shape style="position:absolute;left:8569;top:8019;width:516;height:2" coordorigin="8569,8019" coordsize="516,0" path="m8569,8019l9085,8019e" filled="false" stroked="true" strokeweight="2pt" strokecolor="#9c8758">
                <v:path arrowok="t"/>
              </v:shape>
            </v:group>
            <v:group style="position:absolute;left:9085;top:8019;width:737;height:2" coordorigin="9085,8019" coordsize="737,2">
              <v:shape style="position:absolute;left:9085;top:8019;width:737;height:2" coordorigin="9085,8019" coordsize="737,0" path="m9085,8019l9822,8019e" filled="false" stroked="true" strokeweight="2pt" strokecolor="#9c8758">
                <v:path arrowok="t"/>
              </v:shape>
            </v:group>
            <v:group style="position:absolute;left:9822;top:8019;width:658;height:2" coordorigin="9822,8019" coordsize="658,2">
              <v:shape style="position:absolute;left:9822;top:8019;width:658;height:2" coordorigin="9822,8019" coordsize="658,0" path="m9822,8019l10480,8019e" filled="false" stroked="true" strokeweight="2pt" strokecolor="#9c8758">
                <v:path arrowok="t"/>
              </v:shape>
            </v:group>
            <v:group style="position:absolute;left:1191;top:9436;width:667;height:2" coordorigin="1191,9436" coordsize="667,2">
              <v:shape style="position:absolute;left:1191;top:9436;width:667;height:2" coordorigin="1191,9436" coordsize="667,0" path="m1191,9436l1857,9436e" filled="false" stroked="true" strokeweight="1pt" strokecolor="#000000">
                <v:path arrowok="t"/>
              </v:shape>
            </v:group>
            <v:group style="position:absolute;left:1857;top:9436;width:497;height:2" coordorigin="1857,9436" coordsize="497,2">
              <v:shape style="position:absolute;left:1857;top:9436;width:497;height:2" coordorigin="1857,9436" coordsize="497,0" path="m1857,9436l2353,9436e" filled="false" stroked="true" strokeweight="1pt" strokecolor="#000000">
                <v:path arrowok="t"/>
              </v:shape>
            </v:group>
            <v:group style="position:absolute;left:2353;top:9436;width:2282;height:2" coordorigin="2353,9436" coordsize="2282,2">
              <v:shape style="position:absolute;left:2353;top:9436;width:2282;height:2" coordorigin="2353,9436" coordsize="2282,0" path="m2353,9436l4635,9436e" filled="false" stroked="true" strokeweight="1pt" strokecolor="#000000">
                <v:path arrowok="t"/>
              </v:shape>
            </v:group>
            <v:group style="position:absolute;left:4635;top:9436;width:1886;height:2" coordorigin="4635,9436" coordsize="1886,2">
              <v:shape style="position:absolute;left:4635;top:9436;width:1886;height:2" coordorigin="4635,9436" coordsize="1886,0" path="m4635,9436l6520,9436e" filled="false" stroked="true" strokeweight="1pt" strokecolor="#000000">
                <v:path arrowok="t"/>
              </v:shape>
            </v:group>
            <v:group style="position:absolute;left:6520;top:9436;width:1545;height:2" coordorigin="6520,9436" coordsize="1545,2">
              <v:shape style="position:absolute;left:6520;top:9436;width:1545;height:2" coordorigin="6520,9436" coordsize="1545,0" path="m6520,9436l8065,9436e" filled="false" stroked="true" strokeweight="1pt" strokecolor="#000000">
                <v:path arrowok="t"/>
              </v:shape>
            </v:group>
            <v:group style="position:absolute;left:8065;top:9436;width:505;height:2" coordorigin="8065,9436" coordsize="505,2">
              <v:shape style="position:absolute;left:8065;top:9436;width:505;height:2" coordorigin="8065,9436" coordsize="505,0" path="m8065,9436l8569,9436e" filled="false" stroked="true" strokeweight="1pt" strokecolor="#000000">
                <v:path arrowok="t"/>
              </v:shape>
            </v:group>
            <v:group style="position:absolute;left:8569;top:9436;width:516;height:2" coordorigin="8569,9436" coordsize="516,2">
              <v:shape style="position:absolute;left:8569;top:9436;width:516;height:2" coordorigin="8569,9436" coordsize="516,0" path="m8569,9436l9085,9436e" filled="false" stroked="true" strokeweight="1pt" strokecolor="#000000">
                <v:path arrowok="t"/>
              </v:shape>
            </v:group>
            <v:group style="position:absolute;left:9085;top:9436;width:737;height:2" coordorigin="9085,9436" coordsize="737,2">
              <v:shape style="position:absolute;left:9085;top:9436;width:737;height:2" coordorigin="9085,9436" coordsize="737,0" path="m9085,9436l9822,9436e" filled="false" stroked="true" strokeweight="1pt" strokecolor="#000000">
                <v:path arrowok="t"/>
              </v:shape>
            </v:group>
            <v:group style="position:absolute;left:9822;top:9436;width:658;height:2" coordorigin="9822,9436" coordsize="658,2">
              <v:shape style="position:absolute;left:9822;top:9436;width:658;height:2" coordorigin="9822,9436" coordsize="658,0" path="m9822,9436l10480,9436e" filled="false" stroked="true" strokeweight="1pt" strokecolor="#000000">
                <v:path arrowok="t"/>
              </v:shape>
            </v:group>
            <v:group style="position:absolute;left:1191;top:12242;width:667;height:2" coordorigin="1191,12242" coordsize="667,2">
              <v:shape style="position:absolute;left:1191;top:12242;width:667;height:2" coordorigin="1191,12242" coordsize="667,0" path="m1191,12242l1857,12242e" filled="false" stroked="true" strokeweight="1pt" strokecolor="#000000">
                <v:path arrowok="t"/>
              </v:shape>
            </v:group>
            <v:group style="position:absolute;left:1857;top:12242;width:497;height:2" coordorigin="1857,12242" coordsize="497,2">
              <v:shape style="position:absolute;left:1857;top:12242;width:497;height:2" coordorigin="1857,12242" coordsize="497,0" path="m1857,12242l2353,12242e" filled="false" stroked="true" strokeweight="1pt" strokecolor="#000000">
                <v:path arrowok="t"/>
              </v:shape>
            </v:group>
            <v:group style="position:absolute;left:2353;top:12242;width:2282;height:2" coordorigin="2353,12242" coordsize="2282,2">
              <v:shape style="position:absolute;left:2353;top:12242;width:2282;height:2" coordorigin="2353,12242" coordsize="2282,0" path="m2353,12242l4635,12242e" filled="false" stroked="true" strokeweight="1pt" strokecolor="#000000">
                <v:path arrowok="t"/>
              </v:shape>
            </v:group>
            <v:group style="position:absolute;left:4635;top:12242;width:1886;height:2" coordorigin="4635,12242" coordsize="1886,2">
              <v:shape style="position:absolute;left:4635;top:12242;width:1886;height:2" coordorigin="4635,12242" coordsize="1886,0" path="m4635,12242l6520,12242e" filled="false" stroked="true" strokeweight="1pt" strokecolor="#000000">
                <v:path arrowok="t"/>
              </v:shape>
            </v:group>
            <v:group style="position:absolute;left:6520;top:12242;width:1545;height:2" coordorigin="6520,12242" coordsize="1545,2">
              <v:shape style="position:absolute;left:6520;top:12242;width:1545;height:2" coordorigin="6520,12242" coordsize="1545,0" path="m6520,12242l8065,12242e" filled="false" stroked="true" strokeweight="1pt" strokecolor="#000000">
                <v:path arrowok="t"/>
              </v:shape>
            </v:group>
            <v:group style="position:absolute;left:8065;top:12242;width:505;height:2" coordorigin="8065,12242" coordsize="505,2">
              <v:shape style="position:absolute;left:8065;top:12242;width:505;height:2" coordorigin="8065,12242" coordsize="505,0" path="m8065,12242l8569,12242e" filled="false" stroked="true" strokeweight="1pt" strokecolor="#000000">
                <v:path arrowok="t"/>
              </v:shape>
            </v:group>
            <v:group style="position:absolute;left:8569;top:12242;width:516;height:2" coordorigin="8569,12242" coordsize="516,2">
              <v:shape style="position:absolute;left:8569;top:12242;width:516;height:2" coordorigin="8569,12242" coordsize="516,0" path="m8569,12242l9085,12242e" filled="false" stroked="true" strokeweight="1pt" strokecolor="#000000">
                <v:path arrowok="t"/>
              </v:shape>
            </v:group>
            <v:group style="position:absolute;left:9085;top:12242;width:737;height:2" coordorigin="9085,12242" coordsize="737,2">
              <v:shape style="position:absolute;left:9085;top:12242;width:737;height:2" coordorigin="9085,12242" coordsize="737,0" path="m9085,12242l9822,12242e" filled="false" stroked="true" strokeweight="1pt" strokecolor="#000000">
                <v:path arrowok="t"/>
              </v:shape>
            </v:group>
            <v:group style="position:absolute;left:9822;top:12242;width:658;height:2" coordorigin="9822,12242" coordsize="658,2">
              <v:shape style="position:absolute;left:9822;top:12242;width:658;height:2" coordorigin="9822,12242" coordsize="658,0" path="m9822,12242l10480,12242e" filled="false" stroked="true" strokeweight="1pt" strokecolor="#000000">
                <v:path arrowok="t"/>
              </v:shape>
            </v:group>
            <v:group style="position:absolute;left:1191;top:13568;width:667;height:2" coordorigin="1191,13568" coordsize="667,2">
              <v:shape style="position:absolute;left:1191;top:13568;width:667;height:2" coordorigin="1191,13568" coordsize="667,0" path="m1191,13568l1857,13568e" filled="false" stroked="true" strokeweight=".5pt" strokecolor="#000000">
                <v:path arrowok="t"/>
              </v:shape>
            </v:group>
            <v:group style="position:absolute;left:1857;top:13568;width:497;height:2" coordorigin="1857,13568" coordsize="497,2">
              <v:shape style="position:absolute;left:1857;top:13568;width:497;height:2" coordorigin="1857,13568" coordsize="497,0" path="m1857,13568l2353,13568e" filled="false" stroked="true" strokeweight=".5pt" strokecolor="#000000">
                <v:path arrowok="t"/>
              </v:shape>
            </v:group>
            <v:group style="position:absolute;left:2353;top:13568;width:2282;height:2" coordorigin="2353,13568" coordsize="2282,2">
              <v:shape style="position:absolute;left:2353;top:13568;width:2282;height:2" coordorigin="2353,13568" coordsize="2282,0" path="m2353,13568l4635,13568e" filled="false" stroked="true" strokeweight=".5pt" strokecolor="#000000">
                <v:path arrowok="t"/>
              </v:shape>
            </v:group>
            <v:group style="position:absolute;left:4635;top:13568;width:1886;height:2" coordorigin="4635,13568" coordsize="1886,2">
              <v:shape style="position:absolute;left:4635;top:13568;width:1886;height:2" coordorigin="4635,13568" coordsize="1886,0" path="m4635,13568l6520,13568e" filled="false" stroked="true" strokeweight=".5pt" strokecolor="#000000">
                <v:path arrowok="t"/>
              </v:shape>
            </v:group>
            <v:group style="position:absolute;left:6520;top:13568;width:1545;height:2" coordorigin="6520,13568" coordsize="1545,2">
              <v:shape style="position:absolute;left:6520;top:13568;width:1545;height:2" coordorigin="6520,13568" coordsize="1545,0" path="m6520,13568l8065,13568e" filled="false" stroked="true" strokeweight=".5pt" strokecolor="#000000">
                <v:path arrowok="t"/>
              </v:shape>
            </v:group>
            <v:group style="position:absolute;left:8065;top:13568;width:505;height:2" coordorigin="8065,13568" coordsize="505,2">
              <v:shape style="position:absolute;left:8065;top:13568;width:505;height:2" coordorigin="8065,13568" coordsize="505,0" path="m8065,13568l8569,13568e" filled="false" stroked="true" strokeweight=".5pt" strokecolor="#000000">
                <v:path arrowok="t"/>
              </v:shape>
            </v:group>
            <v:group style="position:absolute;left:8569;top:13568;width:516;height:2" coordorigin="8569,13568" coordsize="516,2">
              <v:shape style="position:absolute;left:8569;top:13568;width:516;height:2" coordorigin="8569,13568" coordsize="516,0" path="m8569,13568l9085,13568e" filled="false" stroked="true" strokeweight=".5pt" strokecolor="#000000">
                <v:path arrowok="t"/>
              </v:shape>
            </v:group>
            <v:group style="position:absolute;left:9085;top:13568;width:737;height:2" coordorigin="9085,13568" coordsize="737,2">
              <v:shape style="position:absolute;left:9085;top:13568;width:737;height:2" coordorigin="9085,13568" coordsize="737,0" path="m9085,13568l9822,13568e" filled="false" stroked="true" strokeweight=".5pt" strokecolor="#000000">
                <v:path arrowok="t"/>
              </v:shape>
            </v:group>
            <v:group style="position:absolute;left:9822;top:13568;width:658;height:2" coordorigin="9822,13568" coordsize="658,2">
              <v:shape style="position:absolute;left:9822;top:13568;width:658;height:2" coordorigin="9822,13568" coordsize="658,0" path="m9822,13568l10480,13568e" filled="false" stroked="true" strokeweight=".5pt" strokecolor="#000000">
                <v:path arrowok="t"/>
              </v:shape>
            </v:group>
            <w10:wrap type="none"/>
          </v:group>
        </w:pict>
      </w:r>
      <w:r>
        <w:rPr>
          <w:rFonts w:ascii="Arial" w:hAnsi="Arial" w:cs="Arial" w:eastAsia="Arial" w:hint="default"/>
          <w:b/>
          <w:bCs/>
          <w:color w:val="9C8758"/>
          <w:spacing w:val="-1"/>
          <w:position w:val="2"/>
          <w:sz w:val="16"/>
          <w:szCs w:val="16"/>
        </w:rPr>
        <w:t>40</w:t>
        <w:tab/>
      </w:r>
      <w:r>
        <w:rPr>
          <w:rFonts w:ascii="宋体" w:hAnsi="宋体" w:cs="宋体" w:eastAsia="宋体" w:hint="default"/>
          <w:color w:val="595757"/>
          <w:spacing w:val="21"/>
          <w:sz w:val="16"/>
          <w:szCs w:val="16"/>
        </w:rPr>
        <w:t>重要事项</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266"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260" w:right="1300"/>
          <w:cols w:num="2" w:equalWidth="0">
            <w:col w:w="7417" w:space="40"/>
            <w:col w:w="2893"/>
          </w:cols>
        </w:sectPr>
      </w:pPr>
    </w:p>
    <w:p>
      <w:pPr>
        <w:spacing w:line="240" w:lineRule="auto" w:before="6"/>
        <w:rPr>
          <w:rFonts w:ascii="宋体" w:hAnsi="宋体" w:cs="宋体" w:eastAsia="宋体" w:hint="default"/>
          <w:sz w:val="16"/>
          <w:szCs w:val="16"/>
        </w:rPr>
      </w:pPr>
    </w:p>
    <w:p>
      <w:pPr>
        <w:pStyle w:val="BodyText"/>
        <w:spacing w:line="240" w:lineRule="auto" w:before="26"/>
        <w:ind w:left="117" w:right="34"/>
        <w:jc w:val="left"/>
        <w:rPr>
          <w:rFonts w:ascii="宋体" w:hAnsi="宋体" w:cs="宋体" w:eastAsia="宋体" w:hint="default"/>
        </w:rPr>
      </w:pPr>
      <w:r>
        <w:rPr>
          <w:rFonts w:ascii="宋体" w:hAnsi="宋体" w:cs="宋体" w:eastAsia="宋体" w:hint="default"/>
          <w:color w:val="D7000F"/>
        </w:rPr>
        <w:t>三、公司对会计政策、会计估计变更或重大会计差错更正原因和影响的分析说明</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117" w:right="34" w:firstLine="0"/>
        <w:jc w:val="left"/>
        <w:rPr>
          <w:rFonts w:ascii="宋体" w:hAnsi="宋体" w:cs="宋体" w:eastAsia="宋体" w:hint="default"/>
          <w:sz w:val="17"/>
          <w:szCs w:val="17"/>
        </w:rPr>
      </w:pPr>
      <w:r>
        <w:rPr>
          <w:rFonts w:ascii="宋体" w:hAnsi="宋体" w:cs="宋体" w:eastAsia="宋体" w:hint="default"/>
          <w:sz w:val="17"/>
          <w:szCs w:val="17"/>
        </w:rPr>
        <w:t>（一）公司对会计政策、会计估计变更原因及影响的分析说明</w:t>
      </w:r>
    </w:p>
    <w:p>
      <w:pPr>
        <w:spacing w:line="240" w:lineRule="auto" w:before="6"/>
        <w:rPr>
          <w:rFonts w:ascii="宋体" w:hAnsi="宋体" w:cs="宋体" w:eastAsia="宋体" w:hint="default"/>
          <w:sz w:val="21"/>
          <w:szCs w:val="21"/>
        </w:rPr>
      </w:pPr>
    </w:p>
    <w:p>
      <w:pPr>
        <w:pStyle w:val="BodyText"/>
        <w:spacing w:line="240" w:lineRule="auto"/>
        <w:ind w:left="457" w:right="0"/>
        <w:jc w:val="both"/>
        <w:rPr>
          <w:rFonts w:ascii="宋体" w:hAnsi="宋体" w:cs="宋体" w:eastAsia="宋体" w:hint="default"/>
        </w:rPr>
      </w:pPr>
      <w:r>
        <w:rPr>
          <w:rFonts w:ascii="宋体" w:hAnsi="宋体" w:cs="宋体" w:eastAsia="宋体" w:hint="default"/>
        </w:rPr>
        <w:t>财政部于</w:t>
      </w:r>
      <w:r>
        <w:rPr>
          <w:rFonts w:ascii="宋体" w:hAnsi="宋体" w:cs="宋体" w:eastAsia="宋体" w:hint="default"/>
          <w:spacing w:val="-25"/>
        </w:rPr>
        <w:t> </w:t>
      </w:r>
      <w:r>
        <w:rPr>
          <w:rFonts w:ascii="宋体" w:hAnsi="宋体" w:cs="宋体" w:eastAsia="宋体" w:hint="default"/>
        </w:rPr>
        <w:t>2017</w:t>
      </w:r>
      <w:r>
        <w:rPr>
          <w:rFonts w:ascii="宋体" w:hAnsi="宋体" w:cs="宋体" w:eastAsia="宋体" w:hint="default"/>
          <w:spacing w:val="-27"/>
        </w:rPr>
        <w:t> </w:t>
      </w:r>
      <w:r>
        <w:rPr>
          <w:rFonts w:ascii="宋体" w:hAnsi="宋体" w:cs="宋体" w:eastAsia="宋体" w:hint="default"/>
        </w:rPr>
        <w:t>年及</w:t>
      </w:r>
      <w:r>
        <w:rPr>
          <w:rFonts w:ascii="宋体" w:hAnsi="宋体" w:cs="宋体" w:eastAsia="宋体" w:hint="default"/>
          <w:spacing w:val="-25"/>
        </w:rPr>
        <w:t> </w:t>
      </w: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rPr>
        <w:t>年颁布了以下企业会计准则修订及解释：</w:t>
      </w:r>
    </w:p>
    <w:p>
      <w:pPr>
        <w:pStyle w:val="BodyText"/>
        <w:spacing w:line="240" w:lineRule="auto" w:before="157"/>
        <w:ind w:left="457" w:right="0"/>
        <w:jc w:val="both"/>
        <w:rPr>
          <w:rFonts w:ascii="宋体" w:hAnsi="宋体" w:cs="宋体" w:eastAsia="宋体" w:hint="default"/>
        </w:rPr>
      </w:pPr>
      <w:r>
        <w:rPr>
          <w:rFonts w:ascii="宋体" w:hAnsi="宋体" w:cs="宋体" w:eastAsia="宋体" w:hint="default"/>
        </w:rPr>
        <w:t>（1）《企业会计准则第 14</w:t>
      </w:r>
      <w:r>
        <w:rPr>
          <w:rFonts w:ascii="宋体" w:hAnsi="宋体" w:cs="宋体" w:eastAsia="宋体" w:hint="default"/>
          <w:spacing w:val="-63"/>
        </w:rPr>
        <w:t> </w:t>
      </w:r>
      <w:r>
        <w:rPr>
          <w:rFonts w:ascii="宋体" w:hAnsi="宋体" w:cs="宋体" w:eastAsia="宋体" w:hint="default"/>
        </w:rPr>
        <w:t>号——收入（修订）》，即“新收入准则”。</w:t>
      </w:r>
    </w:p>
    <w:p>
      <w:pPr>
        <w:pStyle w:val="BodyText"/>
        <w:spacing w:line="240" w:lineRule="auto" w:before="157"/>
        <w:ind w:left="457" w:right="0"/>
        <w:jc w:val="both"/>
        <w:rPr>
          <w:rFonts w:ascii="宋体" w:hAnsi="宋体" w:cs="宋体" w:eastAsia="宋体" w:hint="default"/>
        </w:rPr>
      </w:pPr>
      <w:r>
        <w:rPr>
          <w:rFonts w:ascii="宋体" w:hAnsi="宋体" w:cs="宋体" w:eastAsia="宋体" w:hint="default"/>
          <w:w w:val="103"/>
        </w:rPr>
        <w:t>（2</w:t>
      </w:r>
      <w:r>
        <w:rPr>
          <w:rFonts w:ascii="宋体" w:hAnsi="宋体" w:cs="宋体" w:eastAsia="宋体" w:hint="default"/>
          <w:spacing w:val="-90"/>
        </w:rPr>
        <w:t>）</w:t>
      </w:r>
      <w:r>
        <w:rPr>
          <w:rFonts w:ascii="宋体" w:hAnsi="宋体" w:cs="宋体" w:eastAsia="宋体" w:hint="default"/>
        </w:rPr>
        <w:t>《企业会计准则第</w:t>
      </w:r>
      <w:r>
        <w:rPr>
          <w:rFonts w:ascii="宋体" w:hAnsi="宋体" w:cs="宋体" w:eastAsia="宋体" w:hint="default"/>
          <w:spacing w:val="-57"/>
        </w:rPr>
        <w:t> </w:t>
      </w:r>
      <w:r>
        <w:rPr>
          <w:rFonts w:ascii="宋体" w:hAnsi="宋体" w:cs="宋体" w:eastAsia="宋体" w:hint="default"/>
          <w:w w:val="111"/>
        </w:rPr>
        <w:t>22</w:t>
      </w:r>
      <w:r>
        <w:rPr>
          <w:rFonts w:ascii="宋体" w:hAnsi="宋体" w:cs="宋体" w:eastAsia="宋体" w:hint="default"/>
          <w:spacing w:val="-57"/>
        </w:rPr>
        <w:t> </w:t>
      </w:r>
      <w:r>
        <w:rPr>
          <w:rFonts w:ascii="宋体" w:hAnsi="宋体" w:cs="宋体" w:eastAsia="宋体" w:hint="default"/>
        </w:rPr>
        <w:t>号——金融工具确认和计</w:t>
      </w:r>
      <w:r>
        <w:rPr>
          <w:rFonts w:ascii="宋体" w:hAnsi="宋体" w:cs="宋体" w:eastAsia="宋体" w:hint="default"/>
          <w:spacing w:val="-45"/>
        </w:rPr>
        <w:t>量</w:t>
      </w:r>
      <w:r>
        <w:rPr>
          <w:rFonts w:ascii="宋体" w:hAnsi="宋体" w:cs="宋体" w:eastAsia="宋体" w:hint="default"/>
        </w:rPr>
        <w:t>（修订</w:t>
      </w:r>
      <w:r>
        <w:rPr>
          <w:rFonts w:ascii="宋体" w:hAnsi="宋体" w:cs="宋体" w:eastAsia="宋体" w:hint="default"/>
          <w:spacing w:val="-45"/>
        </w:rPr>
        <w:t>）</w:t>
      </w:r>
      <w:r>
        <w:rPr>
          <w:rFonts w:ascii="宋体" w:hAnsi="宋体" w:cs="宋体" w:eastAsia="宋体" w:hint="default"/>
          <w:spacing w:val="-68"/>
        </w:rPr>
        <w:t>》；</w:t>
      </w:r>
      <w:r>
        <w:rPr>
          <w:rFonts w:ascii="宋体" w:hAnsi="宋体" w:cs="宋体" w:eastAsia="宋体" w:hint="default"/>
        </w:rPr>
        <w:t>《企业会计准则第</w:t>
      </w:r>
      <w:r>
        <w:rPr>
          <w:rFonts w:ascii="宋体" w:hAnsi="宋体" w:cs="宋体" w:eastAsia="宋体" w:hint="default"/>
          <w:spacing w:val="-57"/>
        </w:rPr>
        <w:t> </w:t>
      </w:r>
      <w:r>
        <w:rPr>
          <w:rFonts w:ascii="宋体" w:hAnsi="宋体" w:cs="宋体" w:eastAsia="宋体" w:hint="default"/>
          <w:w w:val="111"/>
        </w:rPr>
        <w:t>23</w:t>
      </w:r>
      <w:r>
        <w:rPr>
          <w:rFonts w:ascii="宋体" w:hAnsi="宋体" w:cs="宋体" w:eastAsia="宋体" w:hint="default"/>
          <w:spacing w:val="-57"/>
        </w:rPr>
        <w:t> </w:t>
      </w:r>
      <w:r>
        <w:rPr>
          <w:rFonts w:ascii="宋体" w:hAnsi="宋体" w:cs="宋体" w:eastAsia="宋体" w:hint="default"/>
        </w:rPr>
        <w:t>号——金融资产转</w:t>
      </w:r>
      <w:r>
        <w:rPr>
          <w:rFonts w:ascii="宋体" w:hAnsi="宋体" w:cs="宋体" w:eastAsia="宋体" w:hint="default"/>
          <w:spacing w:val="-45"/>
        </w:rPr>
        <w:t>移</w:t>
      </w:r>
      <w:r>
        <w:rPr>
          <w:rFonts w:ascii="宋体" w:hAnsi="宋体" w:cs="宋体" w:eastAsia="宋体" w:hint="default"/>
        </w:rPr>
        <w:t>（修订</w:t>
      </w:r>
      <w:r>
        <w:rPr>
          <w:rFonts w:ascii="宋体" w:hAnsi="宋体" w:cs="宋体" w:eastAsia="宋体" w:hint="default"/>
          <w:spacing w:val="-45"/>
        </w:rPr>
        <w:t>）</w:t>
      </w:r>
      <w:r>
        <w:rPr>
          <w:rFonts w:ascii="宋体" w:hAnsi="宋体" w:cs="宋体" w:eastAsia="宋体" w:hint="default"/>
          <w:spacing w:val="-68"/>
        </w:rPr>
        <w:t>》</w:t>
      </w:r>
      <w:r>
        <w:rPr>
          <w:rFonts w:ascii="宋体" w:hAnsi="宋体" w:cs="宋体" w:eastAsia="宋体" w:hint="default"/>
        </w:rPr>
        <w:t>；</w:t>
      </w:r>
    </w:p>
    <w:p>
      <w:pPr>
        <w:pStyle w:val="BodyText"/>
        <w:spacing w:line="285" w:lineRule="auto" w:before="44"/>
        <w:ind w:left="457" w:right="34" w:hanging="90"/>
        <w:jc w:val="left"/>
        <w:rPr>
          <w:rFonts w:ascii="宋体" w:hAnsi="宋体" w:cs="宋体" w:eastAsia="宋体" w:hint="default"/>
        </w:rPr>
      </w:pPr>
      <w:r>
        <w:rPr>
          <w:rFonts w:ascii="宋体" w:hAnsi="宋体" w:cs="宋体" w:eastAsia="宋体" w:hint="default"/>
        </w:rPr>
        <w:t>《企业会计准则第</w:t>
      </w:r>
      <w:r>
        <w:rPr>
          <w:rFonts w:ascii="宋体" w:hAnsi="宋体" w:cs="宋体" w:eastAsia="宋体" w:hint="default"/>
          <w:spacing w:val="-35"/>
        </w:rPr>
        <w:t> </w:t>
      </w:r>
      <w:r>
        <w:rPr>
          <w:rFonts w:ascii="宋体" w:hAnsi="宋体" w:cs="宋体" w:eastAsia="宋体" w:hint="default"/>
        </w:rPr>
        <w:t>24</w:t>
      </w:r>
      <w:r>
        <w:rPr>
          <w:rFonts w:ascii="宋体" w:hAnsi="宋体" w:cs="宋体" w:eastAsia="宋体" w:hint="default"/>
          <w:spacing w:val="-35"/>
        </w:rPr>
        <w:t> </w:t>
      </w:r>
      <w:r>
        <w:rPr>
          <w:rFonts w:ascii="宋体" w:hAnsi="宋体" w:cs="宋体" w:eastAsia="宋体" w:hint="default"/>
          <w:spacing w:val="-5"/>
        </w:rPr>
        <w:t>号——套期会计（修订）》；《企业会计准则第</w:t>
      </w:r>
      <w:r>
        <w:rPr>
          <w:rFonts w:ascii="宋体" w:hAnsi="宋体" w:cs="宋体" w:eastAsia="宋体" w:hint="default"/>
          <w:spacing w:val="-35"/>
        </w:rPr>
        <w:t> </w:t>
      </w:r>
      <w:r>
        <w:rPr>
          <w:rFonts w:ascii="宋体" w:hAnsi="宋体" w:cs="宋体" w:eastAsia="宋体" w:hint="default"/>
        </w:rPr>
        <w:t>37</w:t>
      </w:r>
      <w:r>
        <w:rPr>
          <w:rFonts w:ascii="宋体" w:hAnsi="宋体" w:cs="宋体" w:eastAsia="宋体" w:hint="default"/>
          <w:spacing w:val="-35"/>
        </w:rPr>
        <w:t> </w:t>
      </w:r>
      <w:r>
        <w:rPr>
          <w:rFonts w:ascii="宋体" w:hAnsi="宋体" w:cs="宋体" w:eastAsia="宋体" w:hint="default"/>
          <w:spacing w:val="-5"/>
        </w:rPr>
        <w:t>号——金融工具列报（修订）》。以上统称“新</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金融工具准则”。</w:t>
      </w:r>
    </w:p>
    <w:p>
      <w:pPr>
        <w:pStyle w:val="BodyText"/>
        <w:spacing w:line="240" w:lineRule="auto" w:before="123"/>
        <w:ind w:left="457" w:right="0"/>
        <w:jc w:val="both"/>
        <w:rPr>
          <w:rFonts w:ascii="宋体" w:hAnsi="宋体" w:cs="宋体" w:eastAsia="宋体" w:hint="default"/>
        </w:rPr>
      </w:pPr>
      <w:r>
        <w:rPr>
          <w:rFonts w:ascii="宋体" w:hAnsi="宋体" w:cs="宋体" w:eastAsia="宋体" w:hint="default"/>
        </w:rPr>
        <w:t>（3）《企业会计准则解释第</w:t>
      </w:r>
      <w:r>
        <w:rPr>
          <w:rFonts w:ascii="宋体" w:hAnsi="宋体" w:cs="宋体" w:eastAsia="宋体" w:hint="default"/>
          <w:spacing w:val="-26"/>
        </w:rPr>
        <w:t> </w:t>
      </w:r>
      <w:r>
        <w:rPr>
          <w:rFonts w:ascii="宋体" w:hAnsi="宋体" w:cs="宋体" w:eastAsia="宋体" w:hint="default"/>
        </w:rPr>
        <w:t>9</w:t>
      </w:r>
      <w:r>
        <w:rPr>
          <w:rFonts w:ascii="宋体" w:hAnsi="宋体" w:cs="宋体" w:eastAsia="宋体" w:hint="default"/>
          <w:spacing w:val="-26"/>
        </w:rPr>
        <w:t> </w:t>
      </w:r>
      <w:r>
        <w:rPr>
          <w:rFonts w:ascii="宋体" w:hAnsi="宋体" w:cs="宋体" w:eastAsia="宋体" w:hint="default"/>
        </w:rPr>
        <w:t>号——关于权益法下投资净损失的会计处理》；《企业会计准则解释第</w:t>
      </w:r>
      <w:r>
        <w:rPr>
          <w:rFonts w:ascii="宋体" w:hAnsi="宋体" w:cs="宋体" w:eastAsia="宋体" w:hint="default"/>
          <w:spacing w:val="-26"/>
        </w:rPr>
        <w:t> </w:t>
      </w:r>
      <w:r>
        <w:rPr>
          <w:rFonts w:ascii="宋体" w:hAnsi="宋体" w:cs="宋体" w:eastAsia="宋体" w:hint="default"/>
        </w:rPr>
        <w:t>10</w:t>
      </w:r>
      <w:r>
        <w:rPr>
          <w:rFonts w:ascii="宋体" w:hAnsi="宋体" w:cs="宋体" w:eastAsia="宋体" w:hint="default"/>
          <w:spacing w:val="-26"/>
        </w:rPr>
        <w:t> </w:t>
      </w:r>
      <w:r>
        <w:rPr>
          <w:rFonts w:ascii="宋体" w:hAnsi="宋体" w:cs="宋体" w:eastAsia="宋体" w:hint="default"/>
        </w:rPr>
        <w:t>号——关于</w:t>
      </w:r>
    </w:p>
    <w:p>
      <w:pPr>
        <w:pStyle w:val="BodyText"/>
        <w:spacing w:line="240" w:lineRule="auto" w:before="44"/>
        <w:ind w:left="457" w:right="0"/>
        <w:jc w:val="both"/>
        <w:rPr>
          <w:rFonts w:ascii="宋体" w:hAnsi="宋体" w:cs="宋体" w:eastAsia="宋体" w:hint="default"/>
        </w:rPr>
      </w:pPr>
      <w:r>
        <w:rPr>
          <w:rFonts w:ascii="宋体" w:hAnsi="宋体" w:cs="宋体" w:eastAsia="宋体" w:hint="default"/>
        </w:rPr>
        <w:t>以使用固定资产产生的收入为基础的折旧方法》；《企业会计准则解释第 11</w:t>
      </w:r>
      <w:r>
        <w:rPr>
          <w:rFonts w:ascii="宋体" w:hAnsi="宋体" w:cs="宋体" w:eastAsia="宋体" w:hint="default"/>
          <w:spacing w:val="-72"/>
        </w:rPr>
        <w:t> </w:t>
      </w:r>
      <w:r>
        <w:rPr>
          <w:rFonts w:ascii="宋体" w:hAnsi="宋体" w:cs="宋体" w:eastAsia="宋体" w:hint="default"/>
        </w:rPr>
        <w:t>号——关于以使用无形资产产生的收入为</w:t>
      </w:r>
    </w:p>
    <w:p>
      <w:pPr>
        <w:pStyle w:val="BodyText"/>
        <w:spacing w:line="240" w:lineRule="auto" w:before="44"/>
        <w:ind w:left="457" w:right="0"/>
        <w:jc w:val="both"/>
        <w:rPr>
          <w:rFonts w:ascii="宋体" w:hAnsi="宋体" w:cs="宋体" w:eastAsia="宋体" w:hint="default"/>
        </w:rPr>
      </w:pPr>
      <w:r>
        <w:rPr>
          <w:rFonts w:ascii="宋体" w:hAnsi="宋体" w:cs="宋体" w:eastAsia="宋体" w:hint="default"/>
        </w:rPr>
        <w:t>基础的摊销方法》；《企业会计准则解释第 12</w:t>
      </w:r>
      <w:r>
        <w:rPr>
          <w:rFonts w:ascii="宋体" w:hAnsi="宋体" w:cs="宋体" w:eastAsia="宋体" w:hint="default"/>
          <w:spacing w:val="-72"/>
        </w:rPr>
        <w:t> </w:t>
      </w:r>
      <w:r>
        <w:rPr>
          <w:rFonts w:ascii="宋体" w:hAnsi="宋体" w:cs="宋体" w:eastAsia="宋体" w:hint="default"/>
        </w:rPr>
        <w:t>号——关于关键管理人员服务的提供方与接受方是否为关联方》。以上</w:t>
      </w:r>
    </w:p>
    <w:p>
      <w:pPr>
        <w:pStyle w:val="BodyText"/>
        <w:spacing w:line="240" w:lineRule="auto" w:before="44"/>
        <w:ind w:left="457" w:right="0"/>
        <w:jc w:val="both"/>
        <w:rPr>
          <w:rFonts w:ascii="宋体" w:hAnsi="宋体" w:cs="宋体" w:eastAsia="宋体" w:hint="default"/>
        </w:rPr>
      </w:pPr>
      <w:r>
        <w:rPr>
          <w:rFonts w:ascii="宋体" w:hAnsi="宋体" w:cs="宋体" w:eastAsia="宋体" w:hint="default"/>
          <w:w w:val="105"/>
        </w:rPr>
        <w:t>统称“解释第</w:t>
      </w:r>
      <w:r>
        <w:rPr>
          <w:rFonts w:ascii="宋体" w:hAnsi="宋体" w:cs="宋体" w:eastAsia="宋体" w:hint="default"/>
          <w:spacing w:val="-71"/>
          <w:w w:val="105"/>
        </w:rPr>
        <w:t> </w:t>
      </w:r>
      <w:r>
        <w:rPr>
          <w:rFonts w:ascii="宋体" w:hAnsi="宋体" w:cs="宋体" w:eastAsia="宋体" w:hint="default"/>
          <w:w w:val="105"/>
        </w:rPr>
        <w:t>9-12</w:t>
      </w:r>
      <w:r>
        <w:rPr>
          <w:rFonts w:ascii="宋体" w:hAnsi="宋体" w:cs="宋体" w:eastAsia="宋体" w:hint="default"/>
          <w:spacing w:val="-71"/>
          <w:w w:val="105"/>
        </w:rPr>
        <w:t> </w:t>
      </w:r>
      <w:r>
        <w:rPr>
          <w:rFonts w:ascii="宋体" w:hAnsi="宋体" w:cs="宋体" w:eastAsia="宋体" w:hint="default"/>
          <w:w w:val="105"/>
        </w:rPr>
        <w:t>号”。</w:t>
      </w:r>
    </w:p>
    <w:p>
      <w:pPr>
        <w:pStyle w:val="BodyText"/>
        <w:spacing w:line="240" w:lineRule="auto" w:before="157"/>
        <w:ind w:left="457" w:right="0"/>
        <w:jc w:val="both"/>
        <w:rPr>
          <w:rFonts w:ascii="宋体" w:hAnsi="宋体" w:cs="宋体" w:eastAsia="宋体" w:hint="default"/>
        </w:rPr>
      </w:pPr>
      <w:r>
        <w:rPr>
          <w:rFonts w:ascii="宋体" w:hAnsi="宋体" w:cs="宋体" w:eastAsia="宋体" w:hint="default"/>
        </w:rPr>
        <w:t>（4）《关于修订印发</w:t>
      </w:r>
      <w:r>
        <w:rPr>
          <w:rFonts w:ascii="宋体" w:hAnsi="宋体" w:cs="宋体" w:eastAsia="宋体" w:hint="default"/>
          <w:spacing w:val="-39"/>
        </w:rPr>
        <w:t> </w:t>
      </w:r>
      <w:r>
        <w:rPr>
          <w:rFonts w:ascii="宋体" w:hAnsi="宋体" w:cs="宋体" w:eastAsia="宋体" w:hint="default"/>
        </w:rPr>
        <w:t>2018</w:t>
      </w:r>
      <w:r>
        <w:rPr>
          <w:rFonts w:ascii="宋体" w:hAnsi="宋体" w:cs="宋体" w:eastAsia="宋体" w:hint="default"/>
          <w:spacing w:val="-39"/>
        </w:rPr>
        <w:t> </w:t>
      </w:r>
      <w:r>
        <w:rPr>
          <w:rFonts w:ascii="宋体" w:hAnsi="宋体" w:cs="宋体" w:eastAsia="宋体" w:hint="default"/>
        </w:rPr>
        <w:t>年度一般企业财务报表格式的通知》（财会</w:t>
      </w:r>
      <w:r>
        <w:rPr>
          <w:rFonts w:ascii="宋体" w:hAnsi="宋体" w:cs="宋体" w:eastAsia="宋体" w:hint="default"/>
          <w:spacing w:val="-38"/>
        </w:rPr>
        <w:t> </w:t>
      </w:r>
      <w:r>
        <w:rPr>
          <w:rFonts w:ascii="宋体" w:hAnsi="宋体" w:cs="宋体" w:eastAsia="宋体" w:hint="default"/>
        </w:rPr>
        <w:t>[2018]15</w:t>
      </w:r>
      <w:r>
        <w:rPr>
          <w:rFonts w:ascii="宋体" w:hAnsi="宋体" w:cs="宋体" w:eastAsia="宋体" w:hint="default"/>
          <w:spacing w:val="-39"/>
        </w:rPr>
        <w:t> </w:t>
      </w:r>
      <w:r>
        <w:rPr>
          <w:rFonts w:ascii="宋体" w:hAnsi="宋体" w:cs="宋体" w:eastAsia="宋体" w:hint="default"/>
        </w:rPr>
        <w:t>号及相关解读）。</w:t>
      </w:r>
    </w:p>
    <w:p>
      <w:pPr>
        <w:pStyle w:val="BodyText"/>
        <w:spacing w:line="240" w:lineRule="auto" w:before="157"/>
        <w:ind w:left="457" w:right="0"/>
        <w:jc w:val="both"/>
        <w:rPr>
          <w:rFonts w:ascii="宋体" w:hAnsi="宋体" w:cs="宋体" w:eastAsia="宋体" w:hint="default"/>
        </w:rPr>
      </w:pPr>
      <w:r>
        <w:rPr>
          <w:rFonts w:ascii="宋体" w:hAnsi="宋体" w:cs="宋体" w:eastAsia="宋体" w:hint="default"/>
        </w:rPr>
        <w:t>（5）《关于修订印发</w:t>
      </w:r>
      <w:r>
        <w:rPr>
          <w:rFonts w:ascii="宋体" w:hAnsi="宋体" w:cs="宋体" w:eastAsia="宋体" w:hint="default"/>
          <w:spacing w:val="-42"/>
        </w:rPr>
        <w:t> </w:t>
      </w:r>
      <w:r>
        <w:rPr>
          <w:rFonts w:ascii="宋体" w:hAnsi="宋体" w:cs="宋体" w:eastAsia="宋体" w:hint="default"/>
        </w:rPr>
        <w:t>2018</w:t>
      </w:r>
      <w:r>
        <w:rPr>
          <w:rFonts w:ascii="宋体" w:hAnsi="宋体" w:cs="宋体" w:eastAsia="宋体" w:hint="default"/>
          <w:spacing w:val="-42"/>
        </w:rPr>
        <w:t> </w:t>
      </w:r>
      <w:r>
        <w:rPr>
          <w:rFonts w:ascii="宋体" w:hAnsi="宋体" w:cs="宋体" w:eastAsia="宋体" w:hint="default"/>
        </w:rPr>
        <w:t>年度合并财务报表格式的通知》（财会</w:t>
      </w:r>
      <w:r>
        <w:rPr>
          <w:rFonts w:ascii="宋体" w:hAnsi="宋体" w:cs="宋体" w:eastAsia="宋体" w:hint="default"/>
          <w:spacing w:val="-41"/>
        </w:rPr>
        <w:t> </w:t>
      </w:r>
      <w:r>
        <w:rPr>
          <w:rFonts w:ascii="宋体" w:hAnsi="宋体" w:cs="宋体" w:eastAsia="宋体" w:hint="default"/>
        </w:rPr>
        <w:t>[2019]1</w:t>
      </w:r>
      <w:r>
        <w:rPr>
          <w:rFonts w:ascii="宋体" w:hAnsi="宋体" w:cs="宋体" w:eastAsia="宋体" w:hint="default"/>
          <w:spacing w:val="-42"/>
        </w:rPr>
        <w:t> </w:t>
      </w:r>
      <w:r>
        <w:rPr>
          <w:rFonts w:ascii="宋体" w:hAnsi="宋体" w:cs="宋体" w:eastAsia="宋体" w:hint="default"/>
        </w:rPr>
        <w:t>号）。</w:t>
      </w:r>
    </w:p>
    <w:p>
      <w:pPr>
        <w:pStyle w:val="BodyText"/>
        <w:spacing w:line="240" w:lineRule="auto" w:before="157"/>
        <w:ind w:left="457" w:right="0"/>
        <w:jc w:val="both"/>
        <w:rPr>
          <w:rFonts w:ascii="宋体" w:hAnsi="宋体" w:cs="宋体" w:eastAsia="宋体" w:hint="default"/>
        </w:rPr>
      </w:pPr>
      <w:r>
        <w:rPr>
          <w:rFonts w:ascii="宋体" w:hAnsi="宋体" w:cs="宋体" w:eastAsia="宋体" w:hint="default"/>
        </w:rPr>
        <w:t>本集团自</w:t>
      </w:r>
      <w:r>
        <w:rPr>
          <w:rFonts w:ascii="宋体" w:hAnsi="宋体" w:cs="宋体" w:eastAsia="宋体" w:hint="default"/>
          <w:spacing w:val="-35"/>
        </w:rPr>
        <w:t> </w:t>
      </w:r>
      <w:r>
        <w:rPr>
          <w:rFonts w:ascii="宋体" w:hAnsi="宋体" w:cs="宋体" w:eastAsia="宋体" w:hint="default"/>
        </w:rPr>
        <w:t>2018</w:t>
      </w:r>
      <w:r>
        <w:rPr>
          <w:rFonts w:ascii="宋体" w:hAnsi="宋体" w:cs="宋体" w:eastAsia="宋体" w:hint="default"/>
          <w:spacing w:val="-37"/>
        </w:rPr>
        <w:t> </w:t>
      </w:r>
      <w:r>
        <w:rPr>
          <w:rFonts w:ascii="宋体" w:hAnsi="宋体" w:cs="宋体" w:eastAsia="宋体" w:hint="default"/>
        </w:rPr>
        <w:t>年</w:t>
      </w:r>
      <w:r>
        <w:rPr>
          <w:rFonts w:ascii="宋体" w:hAnsi="宋体" w:cs="宋体" w:eastAsia="宋体" w:hint="default"/>
          <w:spacing w:val="-35"/>
        </w:rPr>
        <w:t> </w:t>
      </w:r>
      <w:r>
        <w:rPr>
          <w:rFonts w:ascii="宋体" w:hAnsi="宋体" w:cs="宋体" w:eastAsia="宋体" w:hint="default"/>
        </w:rPr>
        <w:t>1</w:t>
      </w:r>
      <w:r>
        <w:rPr>
          <w:rFonts w:ascii="宋体" w:hAnsi="宋体" w:cs="宋体" w:eastAsia="宋体" w:hint="default"/>
          <w:spacing w:val="-37"/>
        </w:rPr>
        <w:t> </w:t>
      </w:r>
      <w:r>
        <w:rPr>
          <w:rFonts w:ascii="宋体" w:hAnsi="宋体" w:cs="宋体" w:eastAsia="宋体" w:hint="default"/>
        </w:rPr>
        <w:t>月</w:t>
      </w:r>
      <w:r>
        <w:rPr>
          <w:rFonts w:ascii="宋体" w:hAnsi="宋体" w:cs="宋体" w:eastAsia="宋体" w:hint="default"/>
          <w:spacing w:val="-35"/>
        </w:rPr>
        <w:t> </w:t>
      </w:r>
      <w:r>
        <w:rPr>
          <w:rFonts w:ascii="宋体" w:hAnsi="宋体" w:cs="宋体" w:eastAsia="宋体" w:hint="default"/>
        </w:rPr>
        <w:t>1</w:t>
      </w:r>
      <w:r>
        <w:rPr>
          <w:rFonts w:ascii="宋体" w:hAnsi="宋体" w:cs="宋体" w:eastAsia="宋体" w:hint="default"/>
          <w:spacing w:val="-37"/>
        </w:rPr>
        <w:t> </w:t>
      </w:r>
      <w:r>
        <w:rPr>
          <w:rFonts w:ascii="宋体" w:hAnsi="宋体" w:cs="宋体" w:eastAsia="宋体" w:hint="default"/>
        </w:rPr>
        <w:t>日起执行上述企业会计准则修订及解释，对会计政策相关内容进行调整。</w:t>
      </w:r>
    </w:p>
    <w:p>
      <w:pPr>
        <w:pStyle w:val="BodyText"/>
        <w:spacing w:line="285" w:lineRule="auto" w:before="157"/>
        <w:ind w:left="457" w:right="848"/>
        <w:jc w:val="both"/>
        <w:rPr>
          <w:rFonts w:ascii="宋体" w:hAnsi="宋体" w:cs="宋体" w:eastAsia="宋体" w:hint="default"/>
        </w:rPr>
      </w:pPr>
      <w:r>
        <w:rPr>
          <w:rFonts w:ascii="宋体" w:hAnsi="宋体" w:cs="宋体" w:eastAsia="宋体" w:hint="default"/>
        </w:rPr>
        <w:t>会计政策变更是本集团根据财政部截止本报告日已发布的相关规定并结合本集团具体情况而做出的，如果财政部后续</w:t>
      </w:r>
      <w:r>
        <w:rPr>
          <w:rFonts w:ascii="宋体" w:hAnsi="宋体" w:cs="宋体" w:eastAsia="宋体" w:hint="default"/>
          <w:spacing w:val="9"/>
        </w:rPr>
        <w:t> </w:t>
      </w:r>
      <w:r>
        <w:rPr>
          <w:rFonts w:ascii="宋体" w:hAnsi="宋体" w:cs="宋体" w:eastAsia="宋体" w:hint="default"/>
          <w:spacing w:val="9"/>
        </w:rPr>
      </w:r>
      <w:r>
        <w:rPr>
          <w:rFonts w:ascii="宋体" w:hAnsi="宋体" w:cs="宋体" w:eastAsia="宋体" w:hint="default"/>
          <w:spacing w:val="-2"/>
        </w:rPr>
        <w:t>就上述企业会计准则修订发布相关指南或给出进一步解释，则本集团需重新审阅会计政策变更及相关重大判断和估计，</w:t>
      </w:r>
      <w:r>
        <w:rPr>
          <w:rFonts w:ascii="宋体" w:hAnsi="宋体" w:cs="宋体" w:eastAsia="宋体" w:hint="default"/>
          <w:spacing w:val="-49"/>
        </w:rPr>
        <w:t> </w:t>
      </w:r>
      <w:r>
        <w:rPr>
          <w:rFonts w:ascii="宋体" w:hAnsi="宋体" w:cs="宋体" w:eastAsia="宋体" w:hint="default"/>
          <w:spacing w:val="-49"/>
        </w:rPr>
      </w:r>
      <w:r>
        <w:rPr>
          <w:rFonts w:ascii="宋体" w:hAnsi="宋体" w:cs="宋体" w:eastAsia="宋体" w:hint="default"/>
        </w:rPr>
        <w:t>该等审阅及相关调整可能导致会计政策变更影响的披露与本集团</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5"/>
        </w:rPr>
        <w:t> </w:t>
      </w:r>
      <w:r>
        <w:rPr>
          <w:rFonts w:ascii="宋体" w:hAnsi="宋体" w:cs="宋体" w:eastAsia="宋体" w:hint="default"/>
        </w:rPr>
        <w:t>年度财务报表中列报的相应数据之间存在差异。</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rPr>
        <w:t>具体影响详见财务报告。</w:t>
      </w:r>
    </w:p>
    <w:p>
      <w:pPr>
        <w:spacing w:line="240" w:lineRule="auto" w:before="6"/>
        <w:rPr>
          <w:rFonts w:ascii="宋体" w:hAnsi="宋体" w:cs="宋体" w:eastAsia="宋体" w:hint="default"/>
          <w:sz w:val="22"/>
          <w:szCs w:val="22"/>
        </w:rPr>
      </w:pPr>
    </w:p>
    <w:p>
      <w:pPr>
        <w:pStyle w:val="BodyText"/>
        <w:spacing w:line="240" w:lineRule="auto"/>
        <w:ind w:left="117" w:right="34"/>
        <w:jc w:val="left"/>
        <w:rPr>
          <w:rFonts w:ascii="宋体" w:hAnsi="宋体" w:cs="宋体" w:eastAsia="宋体" w:hint="default"/>
        </w:rPr>
      </w:pPr>
      <w:r>
        <w:rPr>
          <w:rFonts w:ascii="宋体" w:hAnsi="宋体" w:cs="宋体" w:eastAsia="宋体" w:hint="default"/>
          <w:color w:val="D7000F"/>
        </w:rPr>
        <w:t>四、聘任、解聘会计师事务所情况</w:t>
      </w:r>
      <w:r>
        <w:rPr>
          <w:rFonts w:ascii="宋体" w:hAnsi="宋体" w:cs="宋体" w:eastAsia="宋体" w:hint="default"/>
        </w:rPr>
      </w:r>
    </w:p>
    <w:p>
      <w:pPr>
        <w:spacing w:line="240" w:lineRule="auto" w:before="7"/>
        <w:rPr>
          <w:rFonts w:ascii="宋体" w:hAnsi="宋体" w:cs="宋体" w:eastAsia="宋体" w:hint="default"/>
          <w:sz w:val="14"/>
          <w:szCs w:val="14"/>
        </w:rPr>
      </w:pPr>
    </w:p>
    <w:p>
      <w:pPr>
        <w:spacing w:before="0"/>
        <w:ind w:left="0" w:right="919" w:firstLine="0"/>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spacing w:before="64"/>
        <w:ind w:left="0" w:right="919" w:firstLine="0"/>
        <w:jc w:val="right"/>
        <w:rPr>
          <w:rFonts w:ascii="宋体" w:hAnsi="宋体" w:cs="宋体" w:eastAsia="宋体" w:hint="default"/>
          <w:sz w:val="16"/>
          <w:szCs w:val="16"/>
        </w:rPr>
      </w:pPr>
      <w:r>
        <w:rPr>
          <w:rFonts w:ascii="宋体" w:hAnsi="宋体" w:cs="宋体" w:eastAsia="宋体" w:hint="default"/>
          <w:sz w:val="16"/>
          <w:szCs w:val="16"/>
        </w:rPr>
        <w:t>现聘任</w:t>
      </w:r>
    </w:p>
    <w:p>
      <w:pPr>
        <w:spacing w:line="240" w:lineRule="auto" w:before="2"/>
        <w:rPr>
          <w:rFonts w:ascii="宋体" w:hAnsi="宋体" w:cs="宋体" w:eastAsia="宋体" w:hint="default"/>
          <w:sz w:val="7"/>
          <w:szCs w:val="7"/>
        </w:rPr>
      </w:pPr>
    </w:p>
    <w:p>
      <w:pPr>
        <w:spacing w:line="40" w:lineRule="exact"/>
        <w:ind w:left="43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7.6pt;height:2pt;mso-position-horizontal-relative:char;mso-position-vertical-relative:line" coordorigin="0,0" coordsize="9352,40">
            <v:group style="position:absolute;left:20;top:20;width:3530;height:2" coordorigin="20,20" coordsize="3530,2">
              <v:shape style="position:absolute;left:20;top:20;width:3530;height:2" coordorigin="20,20" coordsize="3530,0" path="m20,20l3549,20e" filled="false" stroked="true" strokeweight="2pt" strokecolor="#9c8758">
                <v:path arrowok="t"/>
              </v:shape>
            </v:group>
            <v:group style="position:absolute;left:3549;top:20;width:5783;height:2" coordorigin="3549,20" coordsize="5783,2">
              <v:shape style="position:absolute;left:3549;top:20;width:5783;height:2" coordorigin="3549,20" coordsize="5783,0" path="m3549,20l9332,20e" filled="false" stroked="true" strokeweight="2pt" strokecolor="#9c8758">
                <v:path arrowok="t"/>
              </v:shape>
            </v:group>
          </v:group>
        </w:pict>
      </w:r>
      <w:r>
        <w:rPr>
          <w:rFonts w:ascii="宋体" w:hAnsi="宋体" w:cs="宋体" w:eastAsia="宋体" w:hint="default"/>
          <w:position w:val="0"/>
          <w:sz w:val="4"/>
          <w:szCs w:val="4"/>
        </w:rPr>
      </w:r>
    </w:p>
    <w:p>
      <w:pPr>
        <w:tabs>
          <w:tab w:pos="6644" w:val="left" w:leader="none"/>
        </w:tabs>
        <w:spacing w:before="64"/>
        <w:ind w:left="542" w:right="34" w:firstLine="0"/>
        <w:jc w:val="left"/>
        <w:rPr>
          <w:rFonts w:ascii="宋体" w:hAnsi="宋体" w:cs="宋体" w:eastAsia="宋体" w:hint="default"/>
          <w:sz w:val="16"/>
          <w:szCs w:val="16"/>
        </w:rPr>
      </w:pPr>
      <w:r>
        <w:rPr>
          <w:rFonts w:ascii="宋体" w:hAnsi="宋体" w:cs="宋体" w:eastAsia="宋体" w:hint="default"/>
          <w:sz w:val="16"/>
          <w:szCs w:val="16"/>
        </w:rPr>
        <w:t>境内会计师事务所名称</w:t>
        <w:tab/>
        <w:t>毕马威华振会计师事务所（特殊普通合伙）</w:t>
      </w:r>
    </w:p>
    <w:p>
      <w:pPr>
        <w:tabs>
          <w:tab w:pos="9057" w:val="left" w:leader="none"/>
        </w:tabs>
        <w:spacing w:before="64"/>
        <w:ind w:left="542" w:right="34" w:firstLine="0"/>
        <w:jc w:val="left"/>
        <w:rPr>
          <w:rFonts w:ascii="宋体" w:hAnsi="宋体" w:cs="宋体" w:eastAsia="宋体" w:hint="default"/>
          <w:sz w:val="16"/>
          <w:szCs w:val="16"/>
        </w:rPr>
      </w:pPr>
      <w:r>
        <w:rPr>
          <w:rFonts w:ascii="宋体" w:hAnsi="宋体" w:cs="宋体" w:eastAsia="宋体" w:hint="default"/>
          <w:sz w:val="16"/>
          <w:szCs w:val="16"/>
        </w:rPr>
        <w:t>境内会计师事务所报酬</w:t>
        <w:tab/>
        <w:t>660</w:t>
      </w:r>
      <w:r>
        <w:rPr>
          <w:rFonts w:ascii="宋体" w:hAnsi="宋体" w:cs="宋体" w:eastAsia="宋体" w:hint="default"/>
          <w:spacing w:val="-15"/>
          <w:sz w:val="16"/>
          <w:szCs w:val="16"/>
        </w:rPr>
        <w:t> </w:t>
      </w:r>
      <w:r>
        <w:rPr>
          <w:rFonts w:ascii="宋体" w:hAnsi="宋体" w:cs="宋体" w:eastAsia="宋体" w:hint="default"/>
          <w:sz w:val="16"/>
          <w:szCs w:val="16"/>
        </w:rPr>
        <w:t>万元</w:t>
      </w:r>
    </w:p>
    <w:p>
      <w:pPr>
        <w:tabs>
          <w:tab w:pos="9395" w:val="left" w:leader="none"/>
        </w:tabs>
        <w:spacing w:before="64"/>
        <w:ind w:left="542" w:right="34" w:firstLine="0"/>
        <w:jc w:val="left"/>
        <w:rPr>
          <w:rFonts w:ascii="宋体" w:hAnsi="宋体" w:cs="宋体" w:eastAsia="宋体" w:hint="default"/>
          <w:sz w:val="16"/>
          <w:szCs w:val="16"/>
        </w:rPr>
      </w:pPr>
      <w:r>
        <w:rPr>
          <w:rFonts w:ascii="宋体" w:hAnsi="宋体" w:cs="宋体" w:eastAsia="宋体" w:hint="default"/>
          <w:sz w:val="16"/>
          <w:szCs w:val="16"/>
        </w:rPr>
        <w:t>境内会计师事务所审计年限</w:t>
        <w:tab/>
      </w:r>
      <w:r>
        <w:rPr>
          <w:rFonts w:ascii="宋体" w:hAnsi="宋体" w:cs="宋体" w:eastAsia="宋体" w:hint="default"/>
          <w:spacing w:val="19"/>
          <w:sz w:val="16"/>
          <w:szCs w:val="16"/>
        </w:rPr>
        <w:t>6年</w:t>
      </w:r>
      <w:r>
        <w:rPr>
          <w:rFonts w:ascii="宋体" w:hAnsi="宋体" w:cs="宋体" w:eastAsia="宋体" w:hint="default"/>
          <w:spacing w:val="-40"/>
          <w:sz w:val="16"/>
          <w:szCs w:val="16"/>
        </w:rPr>
        <w:t> </w:t>
      </w:r>
      <w:r>
        <w:rPr>
          <w:rFonts w:ascii="宋体" w:hAnsi="宋体" w:cs="宋体" w:eastAsia="宋体" w:hint="default"/>
          <w:sz w:val="16"/>
          <w:szCs w:val="16"/>
        </w:rPr>
      </w:r>
    </w:p>
    <w:p>
      <w:pPr>
        <w:spacing w:line="240" w:lineRule="auto" w:before="6"/>
        <w:rPr>
          <w:rFonts w:ascii="宋体" w:hAnsi="宋体" w:cs="宋体" w:eastAsia="宋体" w:hint="default"/>
          <w:sz w:val="9"/>
          <w:szCs w:val="9"/>
        </w:rPr>
      </w:pPr>
    </w:p>
    <w:p>
      <w:pPr>
        <w:spacing w:line="20" w:lineRule="exact"/>
        <w:ind w:left="452" w:right="0" w:firstLine="0"/>
        <w:rPr>
          <w:rFonts w:ascii="宋体" w:hAnsi="宋体" w:cs="宋体" w:eastAsia="宋体" w:hint="default"/>
          <w:sz w:val="2"/>
          <w:szCs w:val="2"/>
        </w:rPr>
      </w:pPr>
      <w:r>
        <w:rPr>
          <w:rFonts w:ascii="宋体" w:hAnsi="宋体" w:cs="宋体" w:eastAsia="宋体" w:hint="default"/>
          <w:sz w:val="2"/>
          <w:szCs w:val="2"/>
        </w:rPr>
        <w:pict>
          <v:group style="width:466.1pt;height:.5pt;mso-position-horizontal-relative:char;mso-position-vertical-relative:line" coordorigin="0,0" coordsize="9322,10">
            <v:group style="position:absolute;left:5;top:5;width:3530;height:2" coordorigin="5,5" coordsize="3530,2">
              <v:shape style="position:absolute;left:5;top:5;width:3530;height:2" coordorigin="5,5" coordsize="3530,0" path="m5,5l3534,5e" filled="false" stroked="true" strokeweight=".5pt" strokecolor="#000000">
                <v:path arrowok="t"/>
              </v:shape>
            </v:group>
            <v:group style="position:absolute;left:3534;top:5;width:5783;height:2" coordorigin="3534,5" coordsize="5783,2">
              <v:shape style="position:absolute;left:3534;top:5;width:5783;height:2" coordorigin="3534,5" coordsize="5783,0" path="m3534,5l9317,5e" filled="false" stroked="true" strokeweight=".5pt" strokecolor="#000000">
                <v:path arrowok="t"/>
              </v:shape>
            </v:group>
          </v:group>
        </w:pict>
      </w:r>
      <w:r>
        <w:rPr>
          <w:rFonts w:ascii="宋体" w:hAnsi="宋体" w:cs="宋体" w:eastAsia="宋体" w:hint="default"/>
          <w:sz w:val="2"/>
          <w:szCs w:val="2"/>
        </w:rPr>
      </w:r>
    </w:p>
    <w:p>
      <w:pPr>
        <w:spacing w:line="240" w:lineRule="auto" w:before="4"/>
        <w:rPr>
          <w:rFonts w:ascii="宋体" w:hAnsi="宋体" w:cs="宋体" w:eastAsia="宋体" w:hint="default"/>
          <w:sz w:val="14"/>
          <w:szCs w:val="14"/>
        </w:rPr>
      </w:pPr>
    </w:p>
    <w:p>
      <w:pPr>
        <w:spacing w:before="43"/>
        <w:ind w:left="442" w:right="34" w:firstLine="0"/>
        <w:jc w:val="left"/>
        <w:rPr>
          <w:rFonts w:ascii="宋体" w:hAnsi="宋体" w:cs="宋体" w:eastAsia="宋体" w:hint="default"/>
          <w:sz w:val="16"/>
          <w:szCs w:val="16"/>
        </w:rPr>
      </w:pPr>
      <w:r>
        <w:rPr>
          <w:rFonts w:ascii="宋体" w:hAnsi="宋体" w:cs="宋体" w:eastAsia="宋体" w:hint="default"/>
          <w:sz w:val="16"/>
          <w:szCs w:val="16"/>
        </w:rPr>
        <w:t>注：2018</w:t>
      </w:r>
      <w:r>
        <w:rPr>
          <w:rFonts w:ascii="宋体" w:hAnsi="宋体" w:cs="宋体" w:eastAsia="宋体" w:hint="default"/>
          <w:spacing w:val="-24"/>
          <w:sz w:val="16"/>
          <w:szCs w:val="16"/>
        </w:rPr>
        <w:t> </w:t>
      </w:r>
      <w:r>
        <w:rPr>
          <w:rFonts w:ascii="宋体" w:hAnsi="宋体" w:cs="宋体" w:eastAsia="宋体" w:hint="default"/>
          <w:sz w:val="16"/>
          <w:szCs w:val="16"/>
        </w:rPr>
        <w:t>年度境内会计师事务所报酬合计</w:t>
      </w:r>
      <w:r>
        <w:rPr>
          <w:rFonts w:ascii="宋体" w:hAnsi="宋体" w:cs="宋体" w:eastAsia="宋体" w:hint="default"/>
          <w:spacing w:val="-23"/>
          <w:sz w:val="16"/>
          <w:szCs w:val="16"/>
        </w:rPr>
        <w:t> </w:t>
      </w:r>
      <w:r>
        <w:rPr>
          <w:rFonts w:ascii="宋体" w:hAnsi="宋体" w:cs="宋体" w:eastAsia="宋体" w:hint="default"/>
          <w:sz w:val="16"/>
          <w:szCs w:val="16"/>
        </w:rPr>
        <w:t>660</w:t>
      </w:r>
      <w:r>
        <w:rPr>
          <w:rFonts w:ascii="宋体" w:hAnsi="宋体" w:cs="宋体" w:eastAsia="宋体" w:hint="default"/>
          <w:spacing w:val="-24"/>
          <w:sz w:val="16"/>
          <w:szCs w:val="16"/>
        </w:rPr>
        <w:t> </w:t>
      </w:r>
      <w:r>
        <w:rPr>
          <w:rFonts w:ascii="宋体" w:hAnsi="宋体" w:cs="宋体" w:eastAsia="宋体" w:hint="default"/>
          <w:sz w:val="16"/>
          <w:szCs w:val="16"/>
        </w:rPr>
        <w:t>万元（不含增值税，含内控审计费用</w:t>
      </w:r>
      <w:r>
        <w:rPr>
          <w:rFonts w:ascii="宋体" w:hAnsi="宋体" w:cs="宋体" w:eastAsia="宋体" w:hint="default"/>
          <w:spacing w:val="-23"/>
          <w:sz w:val="16"/>
          <w:szCs w:val="16"/>
        </w:rPr>
        <w:t> </w:t>
      </w:r>
      <w:r>
        <w:rPr>
          <w:rFonts w:ascii="宋体" w:hAnsi="宋体" w:cs="宋体" w:eastAsia="宋体" w:hint="default"/>
          <w:sz w:val="16"/>
          <w:szCs w:val="16"/>
        </w:rPr>
        <w:t>152</w:t>
      </w:r>
      <w:r>
        <w:rPr>
          <w:rFonts w:ascii="宋体" w:hAnsi="宋体" w:cs="宋体" w:eastAsia="宋体" w:hint="default"/>
          <w:spacing w:val="-24"/>
          <w:sz w:val="16"/>
          <w:szCs w:val="16"/>
        </w:rPr>
        <w:t> </w:t>
      </w:r>
      <w:r>
        <w:rPr>
          <w:rFonts w:ascii="宋体" w:hAnsi="宋体" w:cs="宋体" w:eastAsia="宋体" w:hint="default"/>
          <w:sz w:val="16"/>
          <w:szCs w:val="16"/>
        </w:rPr>
        <w:t>万元）</w:t>
      </w:r>
    </w:p>
    <w:p>
      <w:pPr>
        <w:spacing w:line="240" w:lineRule="auto" w:before="11"/>
        <w:rPr>
          <w:rFonts w:ascii="宋体" w:hAnsi="宋体" w:cs="宋体" w:eastAsia="宋体" w:hint="default"/>
          <w:sz w:val="18"/>
          <w:szCs w:val="18"/>
        </w:rPr>
      </w:pPr>
    </w:p>
    <w:p>
      <w:pPr>
        <w:spacing w:before="0"/>
        <w:ind w:left="0" w:right="919" w:firstLine="0"/>
        <w:jc w:val="righ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tabs>
          <w:tab w:pos="8333" w:val="left" w:leader="none"/>
        </w:tabs>
        <w:spacing w:before="64"/>
        <w:ind w:left="5442" w:right="34" w:firstLine="0"/>
        <w:jc w:val="left"/>
        <w:rPr>
          <w:rFonts w:ascii="宋体" w:hAnsi="宋体" w:cs="宋体" w:eastAsia="宋体" w:hint="default"/>
          <w:sz w:val="16"/>
          <w:szCs w:val="16"/>
        </w:rPr>
      </w:pPr>
      <w:r>
        <w:rPr>
          <w:rFonts w:ascii="宋体" w:hAnsi="宋体" w:cs="宋体" w:eastAsia="宋体" w:hint="default"/>
          <w:sz w:val="16"/>
          <w:szCs w:val="16"/>
        </w:rPr>
        <w:t>名称</w:t>
        <w:tab/>
        <w:t>报酬</w:t>
      </w:r>
    </w:p>
    <w:p>
      <w:pPr>
        <w:spacing w:line="240" w:lineRule="auto" w:before="2"/>
        <w:rPr>
          <w:rFonts w:ascii="宋体" w:hAnsi="宋体" w:cs="宋体" w:eastAsia="宋体" w:hint="default"/>
          <w:sz w:val="7"/>
          <w:szCs w:val="7"/>
        </w:rPr>
      </w:pPr>
    </w:p>
    <w:p>
      <w:pPr>
        <w:spacing w:line="40" w:lineRule="exact"/>
        <w:ind w:left="43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7.6pt;height:2pt;mso-position-horizontal-relative:char;mso-position-vertical-relative:line" coordorigin="0,0" coordsize="9352,40">
            <v:group style="position:absolute;left:20;top:20;width:3530;height:2" coordorigin="20,20" coordsize="3530,2">
              <v:shape style="position:absolute;left:20;top:20;width:3530;height:2" coordorigin="20,20" coordsize="3530,0" path="m20,20l3549,20e" filled="false" stroked="true" strokeweight="2pt" strokecolor="#9c8758">
                <v:path arrowok="t"/>
              </v:shape>
            </v:group>
            <v:group style="position:absolute;left:3549;top:20;width:3232;height:2" coordorigin="3549,20" coordsize="3232,2">
              <v:shape style="position:absolute;left:3549;top:20;width:3232;height:2" coordorigin="3549,20" coordsize="3232,0" path="m3549,20l6781,20e" filled="false" stroked="true" strokeweight="2pt" strokecolor="#9c8758">
                <v:path arrowok="t"/>
              </v:shape>
            </v:group>
            <v:group style="position:absolute;left:6781;top:20;width:2552;height:2" coordorigin="6781,20" coordsize="2552,2">
              <v:shape style="position:absolute;left:6781;top:20;width:2552;height:2" coordorigin="6781,20" coordsize="2552,0" path="m6781,20l9332,20e" filled="false" stroked="true" strokeweight="2pt" strokecolor="#9c8758">
                <v:path arrowok="t"/>
              </v:shape>
            </v:group>
          </v:group>
        </w:pict>
      </w:r>
      <w:r>
        <w:rPr>
          <w:rFonts w:ascii="宋体" w:hAnsi="宋体" w:cs="宋体" w:eastAsia="宋体" w:hint="default"/>
          <w:position w:val="0"/>
          <w:sz w:val="4"/>
          <w:szCs w:val="4"/>
        </w:rPr>
      </w:r>
    </w:p>
    <w:p>
      <w:pPr>
        <w:tabs>
          <w:tab w:pos="4092" w:val="left" w:leader="none"/>
          <w:tab w:pos="9057" w:val="left" w:leader="none"/>
        </w:tabs>
        <w:spacing w:before="64"/>
        <w:ind w:left="542" w:right="34" w:firstLine="0"/>
        <w:jc w:val="left"/>
        <w:rPr>
          <w:rFonts w:ascii="宋体" w:hAnsi="宋体" w:cs="宋体" w:eastAsia="宋体" w:hint="default"/>
          <w:sz w:val="16"/>
          <w:szCs w:val="16"/>
        </w:rPr>
      </w:pPr>
      <w:r>
        <w:rPr>
          <w:rFonts w:ascii="宋体" w:hAnsi="宋体" w:cs="宋体" w:eastAsia="宋体" w:hint="default"/>
          <w:sz w:val="16"/>
          <w:szCs w:val="16"/>
        </w:rPr>
        <w:t>内部控制审计会计师事务所</w:t>
        <w:tab/>
        <w:t>毕马威华振会计师事务所（特殊普通合伙）</w:t>
        <w:tab/>
        <w:t>152</w:t>
      </w:r>
      <w:r>
        <w:rPr>
          <w:rFonts w:ascii="宋体" w:hAnsi="宋体" w:cs="宋体" w:eastAsia="宋体" w:hint="default"/>
          <w:spacing w:val="-15"/>
          <w:sz w:val="16"/>
          <w:szCs w:val="16"/>
        </w:rPr>
        <w:t> </w:t>
      </w:r>
      <w:r>
        <w:rPr>
          <w:rFonts w:ascii="宋体" w:hAnsi="宋体" w:cs="宋体" w:eastAsia="宋体" w:hint="default"/>
          <w:sz w:val="16"/>
          <w:szCs w:val="16"/>
        </w:rPr>
        <w:t>万元</w:t>
      </w:r>
    </w:p>
    <w:p>
      <w:pPr>
        <w:spacing w:line="240" w:lineRule="auto" w:before="6"/>
        <w:rPr>
          <w:rFonts w:ascii="宋体" w:hAnsi="宋体" w:cs="宋体" w:eastAsia="宋体" w:hint="default"/>
          <w:sz w:val="9"/>
          <w:szCs w:val="9"/>
        </w:rPr>
      </w:pPr>
    </w:p>
    <w:p>
      <w:pPr>
        <w:spacing w:line="20" w:lineRule="exact"/>
        <w:ind w:left="452" w:right="0" w:firstLine="0"/>
        <w:rPr>
          <w:rFonts w:ascii="宋体" w:hAnsi="宋体" w:cs="宋体" w:eastAsia="宋体" w:hint="default"/>
          <w:sz w:val="2"/>
          <w:szCs w:val="2"/>
        </w:rPr>
      </w:pPr>
      <w:r>
        <w:rPr>
          <w:rFonts w:ascii="宋体" w:hAnsi="宋体" w:cs="宋体" w:eastAsia="宋体" w:hint="default"/>
          <w:sz w:val="2"/>
          <w:szCs w:val="2"/>
        </w:rPr>
        <w:pict>
          <v:group style="width:466.1pt;height:.5pt;mso-position-horizontal-relative:char;mso-position-vertical-relative:line" coordorigin="0,0" coordsize="9322,10">
            <v:group style="position:absolute;left:5;top:5;width:3530;height:2" coordorigin="5,5" coordsize="3530,2">
              <v:shape style="position:absolute;left:5;top:5;width:3530;height:2" coordorigin="5,5" coordsize="3530,0" path="m5,5l3534,5e" filled="false" stroked="true" strokeweight=".5pt" strokecolor="#000000">
                <v:path arrowok="t"/>
              </v:shape>
            </v:group>
            <v:group style="position:absolute;left:3534;top:5;width:3232;height:2" coordorigin="3534,5" coordsize="3232,2">
              <v:shape style="position:absolute;left:3534;top:5;width:3232;height:2" coordorigin="3534,5" coordsize="3232,0" path="m3534,5l6766,5e" filled="false" stroked="true" strokeweight=".5pt" strokecolor="#000000">
                <v:path arrowok="t"/>
              </v:shape>
            </v:group>
            <v:group style="position:absolute;left:6766;top:5;width:2552;height:2" coordorigin="6766,5" coordsize="2552,2">
              <v:shape style="position:absolute;left:6766;top:5;width:2552;height:2" coordorigin="6766,5" coordsize="2552,0" path="m6766,5l9317,5e" filled="false" stroked="true" strokeweight=".5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4"/>
          <w:szCs w:val="14"/>
        </w:rPr>
      </w:pPr>
    </w:p>
    <w:p>
      <w:pPr>
        <w:pStyle w:val="BodyText"/>
        <w:spacing w:line="240" w:lineRule="auto" w:before="31"/>
        <w:ind w:left="457" w:right="34"/>
        <w:jc w:val="left"/>
        <w:rPr>
          <w:rFonts w:ascii="宋体" w:hAnsi="宋体" w:cs="宋体" w:eastAsia="宋体" w:hint="default"/>
        </w:rPr>
      </w:pPr>
      <w:r>
        <w:rPr>
          <w:rFonts w:ascii="宋体" w:hAnsi="宋体" w:cs="宋体" w:eastAsia="宋体" w:hint="default"/>
        </w:rPr>
        <w:t>聘任、解聘会计师事务所的情况说明</w:t>
      </w:r>
    </w:p>
    <w:p>
      <w:pPr>
        <w:pStyle w:val="BodyText"/>
        <w:spacing w:line="240" w:lineRule="auto" w:before="157"/>
        <w:ind w:left="457" w:right="34"/>
        <w:jc w:val="left"/>
        <w:rPr>
          <w:rFonts w:ascii="宋体" w:hAnsi="宋体" w:cs="宋体" w:eastAsia="宋体" w:hint="default"/>
        </w:rPr>
      </w:pPr>
      <w:r>
        <w:rPr>
          <w:rFonts w:ascii="宋体" w:hAnsi="宋体" w:cs="宋体" w:eastAsia="宋体" w:hint="default"/>
        </w:rPr>
        <w:t>经公司</w:t>
      </w:r>
      <w:r>
        <w:rPr>
          <w:rFonts w:ascii="宋体" w:hAnsi="宋体" w:cs="宋体" w:eastAsia="宋体" w:hint="default"/>
          <w:spacing w:val="-34"/>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5</w:t>
      </w:r>
      <w:r>
        <w:rPr>
          <w:rFonts w:ascii="宋体" w:hAnsi="宋体" w:cs="宋体" w:eastAsia="宋体" w:hint="default"/>
          <w:spacing w:val="-34"/>
        </w:rPr>
        <w:t> </w:t>
      </w:r>
      <w:r>
        <w:rPr>
          <w:rFonts w:ascii="宋体" w:hAnsi="宋体" w:cs="宋体" w:eastAsia="宋体" w:hint="default"/>
        </w:rPr>
        <w:t>月</w:t>
      </w:r>
      <w:r>
        <w:rPr>
          <w:rFonts w:ascii="宋体" w:hAnsi="宋体" w:cs="宋体" w:eastAsia="宋体" w:hint="default"/>
          <w:spacing w:val="-34"/>
        </w:rPr>
        <w:t> </w:t>
      </w:r>
      <w:r>
        <w:rPr>
          <w:rFonts w:ascii="宋体" w:hAnsi="宋体" w:cs="宋体" w:eastAsia="宋体" w:hint="default"/>
        </w:rPr>
        <w:t>9</w:t>
      </w:r>
      <w:r>
        <w:rPr>
          <w:rFonts w:ascii="宋体" w:hAnsi="宋体" w:cs="宋体" w:eastAsia="宋体" w:hint="default"/>
          <w:spacing w:val="-34"/>
        </w:rPr>
        <w:t> </w:t>
      </w:r>
      <w:r>
        <w:rPr>
          <w:rFonts w:ascii="宋体" w:hAnsi="宋体" w:cs="宋体" w:eastAsia="宋体" w:hint="default"/>
        </w:rPr>
        <w:t>日召开的</w:t>
      </w:r>
      <w:r>
        <w:rPr>
          <w:rFonts w:ascii="宋体" w:hAnsi="宋体" w:cs="宋体" w:eastAsia="宋体" w:hint="default"/>
          <w:spacing w:val="-34"/>
        </w:rPr>
        <w:t> </w:t>
      </w:r>
      <w:r>
        <w:rPr>
          <w:rFonts w:ascii="宋体" w:hAnsi="宋体" w:cs="宋体" w:eastAsia="宋体" w:hint="default"/>
        </w:rPr>
        <w:t>2017</w:t>
      </w:r>
      <w:r>
        <w:rPr>
          <w:rFonts w:ascii="宋体" w:hAnsi="宋体" w:cs="宋体" w:eastAsia="宋体" w:hint="default"/>
          <w:spacing w:val="-34"/>
        </w:rPr>
        <w:t> </w:t>
      </w:r>
      <w:r>
        <w:rPr>
          <w:rFonts w:ascii="宋体" w:hAnsi="宋体" w:cs="宋体" w:eastAsia="宋体" w:hint="default"/>
        </w:rPr>
        <w:t>年度股东大会通过，同意续聘毕马威华振会计师事务所（特殊普通合伙）为公司</w:t>
      </w:r>
    </w:p>
    <w:p>
      <w:pPr>
        <w:pStyle w:val="BodyText"/>
        <w:spacing w:line="240" w:lineRule="auto" w:before="44"/>
        <w:ind w:left="457" w:right="34"/>
        <w:jc w:val="left"/>
        <w:rPr>
          <w:rFonts w:ascii="宋体" w:hAnsi="宋体" w:cs="宋体" w:eastAsia="宋体" w:hint="default"/>
        </w:rPr>
      </w:pPr>
      <w:r>
        <w:rPr>
          <w:rFonts w:ascii="宋体" w:hAnsi="宋体" w:cs="宋体" w:eastAsia="宋体" w:hint="default"/>
        </w:rPr>
        <w:t>2018 年度审计师，为公司提供包括 2018 年年度审计、2018 年度与财务报告相关内控审计、2018</w:t>
      </w:r>
      <w:r>
        <w:rPr>
          <w:rFonts w:ascii="宋体" w:hAnsi="宋体" w:cs="宋体" w:eastAsia="宋体" w:hint="default"/>
          <w:spacing w:val="-9"/>
        </w:rPr>
        <w:t> </w:t>
      </w:r>
      <w:r>
        <w:rPr>
          <w:rFonts w:ascii="宋体" w:hAnsi="宋体" w:cs="宋体" w:eastAsia="宋体" w:hint="default"/>
        </w:rPr>
        <w:t>年度半年度审阅以</w:t>
      </w:r>
    </w:p>
    <w:p>
      <w:pPr>
        <w:pStyle w:val="BodyText"/>
        <w:spacing w:line="285" w:lineRule="auto" w:before="44"/>
        <w:ind w:left="457" w:right="34"/>
        <w:jc w:val="left"/>
        <w:rPr>
          <w:rFonts w:ascii="宋体" w:hAnsi="宋体" w:cs="宋体" w:eastAsia="宋体" w:hint="default"/>
        </w:rPr>
      </w:pPr>
      <w:r>
        <w:rPr>
          <w:rFonts w:ascii="宋体" w:hAnsi="宋体" w:cs="宋体" w:eastAsia="宋体" w:hint="default"/>
        </w:rPr>
        <w:t>及</w:t>
      </w:r>
      <w:r>
        <w:rPr>
          <w:rFonts w:ascii="宋体" w:hAnsi="宋体" w:cs="宋体" w:eastAsia="宋体" w:hint="default"/>
          <w:spacing w:val="-20"/>
        </w:rPr>
        <w:t> </w:t>
      </w:r>
      <w:r>
        <w:rPr>
          <w:rFonts w:ascii="宋体" w:hAnsi="宋体" w:cs="宋体" w:eastAsia="宋体" w:hint="default"/>
        </w:rPr>
        <w:t>2018</w:t>
      </w:r>
      <w:r>
        <w:rPr>
          <w:rFonts w:ascii="宋体" w:hAnsi="宋体" w:cs="宋体" w:eastAsia="宋体" w:hint="default"/>
          <w:spacing w:val="-20"/>
        </w:rPr>
        <w:t> </w:t>
      </w:r>
      <w:r>
        <w:rPr>
          <w:rFonts w:ascii="宋体" w:hAnsi="宋体" w:cs="宋体" w:eastAsia="宋体" w:hint="default"/>
          <w:spacing w:val="2"/>
        </w:rPr>
        <w:t>年第一季度和第三季度财务信息商定程序的专业服务。同时授权管理层按照成本控制的原则决定审计及相关</w:t>
      </w:r>
      <w:r>
        <w:rPr>
          <w:rFonts w:ascii="宋体" w:hAnsi="宋体" w:cs="宋体" w:eastAsia="宋体" w:hint="default"/>
          <w:spacing w:val="-64"/>
        </w:rPr>
        <w:t> </w:t>
      </w:r>
      <w:r>
        <w:rPr>
          <w:rFonts w:ascii="宋体" w:hAnsi="宋体" w:cs="宋体" w:eastAsia="宋体" w:hint="default"/>
          <w:spacing w:val="-64"/>
        </w:rPr>
      </w:r>
      <w:r>
        <w:rPr>
          <w:rFonts w:ascii="宋体" w:hAnsi="宋体" w:cs="宋体" w:eastAsia="宋体" w:hint="default"/>
        </w:rPr>
        <w:t>服务费用。</w:t>
      </w:r>
    </w:p>
    <w:p>
      <w:pPr>
        <w:spacing w:after="0" w:line="285" w:lineRule="auto"/>
        <w:jc w:val="left"/>
        <w:rPr>
          <w:rFonts w:ascii="宋体" w:hAnsi="宋体" w:cs="宋体" w:eastAsia="宋体" w:hint="default"/>
        </w:rPr>
        <w:sectPr>
          <w:headerReference w:type="default" r:id="rId149"/>
          <w:headerReference w:type="even" r:id="rId150"/>
          <w:footerReference w:type="default" r:id="rId151"/>
          <w:pgSz w:w="11910" w:h="16160"/>
          <w:pgMar w:header="0" w:footer="298" w:top="2640" w:bottom="480" w:left="1300" w:right="0"/>
          <w:pgNumType w:start="41"/>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pStyle w:val="BodyText"/>
        <w:spacing w:line="240" w:lineRule="auto" w:before="26"/>
        <w:ind w:left="590" w:right="0"/>
        <w:jc w:val="left"/>
        <w:rPr>
          <w:rFonts w:ascii="宋体" w:hAnsi="宋体" w:cs="宋体" w:eastAsia="宋体" w:hint="default"/>
        </w:rPr>
      </w:pPr>
      <w:r>
        <w:rPr>
          <w:rFonts w:ascii="宋体" w:hAnsi="宋体" w:cs="宋体" w:eastAsia="宋体" w:hint="default"/>
          <w:color w:val="D7000F"/>
        </w:rPr>
        <w:t>五、重大诉讼、仲裁事项</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930" w:right="0"/>
        <w:jc w:val="left"/>
        <w:rPr>
          <w:rFonts w:ascii="宋体" w:hAnsi="宋体" w:cs="宋体" w:eastAsia="宋体" w:hint="default"/>
        </w:rPr>
      </w:pPr>
      <w:r>
        <w:rPr>
          <w:rFonts w:ascii="宋体" w:hAnsi="宋体" w:cs="宋体" w:eastAsia="宋体" w:hint="default"/>
        </w:rPr>
        <w:t>本年度公司无重大诉讼、仲裁事项</w:t>
      </w:r>
    </w:p>
    <w:p>
      <w:pPr>
        <w:spacing w:line="240" w:lineRule="auto" w:before="1"/>
        <w:rPr>
          <w:rFonts w:ascii="宋体" w:hAnsi="宋体" w:cs="宋体" w:eastAsia="宋体" w:hint="default"/>
          <w:sz w:val="25"/>
          <w:szCs w:val="25"/>
        </w:rPr>
      </w:pPr>
    </w:p>
    <w:p>
      <w:pPr>
        <w:pStyle w:val="BodyText"/>
        <w:spacing w:line="240" w:lineRule="auto"/>
        <w:ind w:left="590" w:right="0"/>
        <w:jc w:val="left"/>
        <w:rPr>
          <w:rFonts w:ascii="宋体" w:hAnsi="宋体" w:cs="宋体" w:eastAsia="宋体" w:hint="default"/>
        </w:rPr>
      </w:pPr>
      <w:r>
        <w:rPr>
          <w:rFonts w:ascii="宋体" w:hAnsi="宋体" w:cs="宋体" w:eastAsia="宋体" w:hint="default"/>
          <w:color w:val="D7000F"/>
        </w:rPr>
        <w:t>六、报告期内公司及其控股股东、实际控制人诚信状况的说明</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930" w:right="0"/>
        <w:jc w:val="left"/>
        <w:rPr>
          <w:rFonts w:ascii="宋体" w:hAnsi="宋体" w:cs="宋体" w:eastAsia="宋体" w:hint="default"/>
        </w:rPr>
      </w:pPr>
      <w:r>
        <w:rPr>
          <w:rFonts w:ascii="宋体" w:hAnsi="宋体" w:cs="宋体" w:eastAsia="宋体" w:hint="default"/>
        </w:rPr>
        <w:t>报告期内，本公司及其控股股东、实际控制人的诚信状况良好，不存在未履行法院生效判决、所负数额较大的债务到</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期未清偿等情况。</w:t>
      </w:r>
    </w:p>
    <w:p>
      <w:pPr>
        <w:pStyle w:val="BodyText"/>
        <w:spacing w:line="285" w:lineRule="auto" w:before="123"/>
        <w:ind w:left="930" w:right="0"/>
        <w:jc w:val="left"/>
        <w:rPr>
          <w:rFonts w:ascii="宋体" w:hAnsi="宋体" w:cs="宋体" w:eastAsia="宋体" w:hint="default"/>
        </w:rPr>
      </w:pPr>
      <w:r>
        <w:rPr>
          <w:rFonts w:ascii="宋体" w:hAnsi="宋体" w:cs="宋体" w:eastAsia="宋体" w:hint="default"/>
        </w:rPr>
        <w:t>公司严格按照法律法规及监管规则要求，据实公平披露信息，积极履行对资本市场的承诺事项。有关本公司及其实际</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spacing w:val="-2"/>
        </w:rPr>
        <w:t>控制人、股东、关联方等在报告期内或持续到报告期内的承诺事项履行情况，请参见本节“二、承诺事项履行情况”。</w:t>
      </w:r>
    </w:p>
    <w:p>
      <w:pPr>
        <w:spacing w:line="240" w:lineRule="auto" w:before="6"/>
        <w:rPr>
          <w:rFonts w:ascii="宋体" w:hAnsi="宋体" w:cs="宋体" w:eastAsia="宋体" w:hint="default"/>
          <w:sz w:val="22"/>
          <w:szCs w:val="22"/>
        </w:rPr>
      </w:pPr>
    </w:p>
    <w:p>
      <w:pPr>
        <w:pStyle w:val="BodyText"/>
        <w:spacing w:line="240" w:lineRule="auto"/>
        <w:ind w:left="590" w:right="0"/>
        <w:jc w:val="left"/>
        <w:rPr>
          <w:rFonts w:ascii="宋体" w:hAnsi="宋体" w:cs="宋体" w:eastAsia="宋体" w:hint="default"/>
        </w:rPr>
      </w:pPr>
      <w:r>
        <w:rPr>
          <w:rFonts w:ascii="宋体" w:hAnsi="宋体" w:cs="宋体" w:eastAsia="宋体" w:hint="default"/>
          <w:color w:val="D7000F"/>
        </w:rPr>
        <w:t>七、公司股权激励计划、员工持股计划或其他员工激励措施的情况及其影响</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590" w:right="0"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相关激励事项已在临时公告披露且后续实施无进展或变化的</w:t>
      </w:r>
    </w:p>
    <w:p>
      <w:pPr>
        <w:spacing w:line="240" w:lineRule="auto" w:before="0"/>
        <w:rPr>
          <w:rFonts w:ascii="宋体" w:hAnsi="宋体" w:cs="宋体" w:eastAsia="宋体" w:hint="default"/>
          <w:sz w:val="16"/>
          <w:szCs w:val="16"/>
        </w:rPr>
      </w:pPr>
    </w:p>
    <w:p>
      <w:pPr>
        <w:spacing w:line="240" w:lineRule="auto" w:before="2"/>
        <w:rPr>
          <w:rFonts w:ascii="宋体" w:hAnsi="宋体" w:cs="宋体" w:eastAsia="宋体" w:hint="default"/>
          <w:sz w:val="14"/>
          <w:szCs w:val="14"/>
        </w:rPr>
      </w:pPr>
    </w:p>
    <w:p>
      <w:pPr>
        <w:tabs>
          <w:tab w:pos="5381" w:val="left" w:leader="none"/>
        </w:tabs>
        <w:spacing w:before="0"/>
        <w:ind w:left="733" w:right="0" w:firstLine="0"/>
        <w:jc w:val="center"/>
        <w:rPr>
          <w:rFonts w:ascii="宋体" w:hAnsi="宋体" w:cs="宋体" w:eastAsia="宋体" w:hint="default"/>
          <w:sz w:val="16"/>
          <w:szCs w:val="16"/>
        </w:rPr>
      </w:pPr>
      <w:r>
        <w:rPr>
          <w:rFonts w:ascii="宋体" w:hAnsi="宋体" w:cs="宋体" w:eastAsia="宋体" w:hint="default"/>
          <w:sz w:val="16"/>
          <w:szCs w:val="16"/>
        </w:rPr>
        <w:t>事项概述</w:t>
        <w:tab/>
        <w:t>查询索引</w:t>
      </w:r>
    </w:p>
    <w:p>
      <w:pPr>
        <w:spacing w:line="240" w:lineRule="auto" w:before="2"/>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footerReference w:type="even" r:id="rId152"/>
          <w:pgSz w:w="11910" w:h="16160"/>
          <w:pgMar w:footer="0" w:header="0" w:top="2200" w:bottom="0" w:left="260" w:right="1220"/>
        </w:sectPr>
      </w:pPr>
    </w:p>
    <w:p>
      <w:pPr>
        <w:spacing w:line="205" w:lineRule="exact" w:before="38"/>
        <w:ind w:left="1015" w:right="35"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31"/>
          <w:sz w:val="16"/>
          <w:szCs w:val="16"/>
        </w:rPr>
        <w:t> </w:t>
      </w:r>
      <w:r>
        <w:rPr>
          <w:rFonts w:ascii="宋体" w:hAnsi="宋体" w:cs="宋体" w:eastAsia="宋体" w:hint="default"/>
          <w:sz w:val="16"/>
          <w:szCs w:val="16"/>
        </w:rPr>
        <w:t>年</w:t>
      </w:r>
      <w:r>
        <w:rPr>
          <w:rFonts w:ascii="宋体" w:hAnsi="宋体" w:cs="宋体" w:eastAsia="宋体" w:hint="default"/>
          <w:spacing w:val="-30"/>
          <w:sz w:val="16"/>
          <w:szCs w:val="16"/>
        </w:rPr>
        <w:t> </w:t>
      </w:r>
      <w:r>
        <w:rPr>
          <w:rFonts w:ascii="宋体" w:hAnsi="宋体" w:cs="宋体" w:eastAsia="宋体" w:hint="default"/>
          <w:sz w:val="16"/>
          <w:szCs w:val="16"/>
        </w:rPr>
        <w:t>4</w:t>
      </w:r>
      <w:r>
        <w:rPr>
          <w:rFonts w:ascii="宋体" w:hAnsi="宋体" w:cs="宋体" w:eastAsia="宋体" w:hint="default"/>
          <w:spacing w:val="-31"/>
          <w:sz w:val="16"/>
          <w:szCs w:val="16"/>
        </w:rPr>
        <w:t> </w:t>
      </w:r>
      <w:r>
        <w:rPr>
          <w:rFonts w:ascii="宋体" w:hAnsi="宋体" w:cs="宋体" w:eastAsia="宋体" w:hint="default"/>
          <w:sz w:val="16"/>
          <w:szCs w:val="16"/>
        </w:rPr>
        <w:t>月</w:t>
      </w:r>
      <w:r>
        <w:rPr>
          <w:rFonts w:ascii="宋体" w:hAnsi="宋体" w:cs="宋体" w:eastAsia="宋体" w:hint="default"/>
          <w:spacing w:val="-30"/>
          <w:sz w:val="16"/>
          <w:szCs w:val="16"/>
        </w:rPr>
        <w:t> </w:t>
      </w:r>
      <w:r>
        <w:rPr>
          <w:rFonts w:ascii="宋体" w:hAnsi="宋体" w:cs="宋体" w:eastAsia="宋体" w:hint="default"/>
          <w:sz w:val="16"/>
          <w:szCs w:val="16"/>
        </w:rPr>
        <w:t>9</w:t>
      </w:r>
      <w:r>
        <w:rPr>
          <w:rFonts w:ascii="宋体" w:hAnsi="宋体" w:cs="宋体" w:eastAsia="宋体" w:hint="default"/>
          <w:spacing w:val="-31"/>
          <w:sz w:val="16"/>
          <w:szCs w:val="16"/>
        </w:rPr>
        <w:t> </w:t>
      </w:r>
      <w:r>
        <w:rPr>
          <w:rFonts w:ascii="宋体" w:hAnsi="宋体" w:cs="宋体" w:eastAsia="宋体" w:hint="default"/>
          <w:sz w:val="16"/>
          <w:szCs w:val="16"/>
        </w:rPr>
        <w:t>日，公司限制性股票员工激励计划首次授予登记</w:t>
      </w:r>
    </w:p>
    <w:p>
      <w:pPr>
        <w:spacing w:line="200" w:lineRule="exact" w:before="22"/>
        <w:ind w:left="1015" w:right="35" w:firstLine="0"/>
        <w:jc w:val="left"/>
        <w:rPr>
          <w:rFonts w:ascii="宋体" w:hAnsi="宋体" w:cs="宋体" w:eastAsia="宋体" w:hint="default"/>
          <w:sz w:val="16"/>
          <w:szCs w:val="16"/>
        </w:rPr>
      </w:pPr>
      <w:r>
        <w:rPr>
          <w:rFonts w:ascii="宋体" w:hAnsi="宋体" w:cs="宋体" w:eastAsia="宋体" w:hint="default"/>
          <w:w w:val="105"/>
          <w:sz w:val="16"/>
          <w:szCs w:val="16"/>
        </w:rPr>
        <w:t>完成。首次授予日为</w:t>
      </w:r>
      <w:r>
        <w:rPr>
          <w:rFonts w:ascii="宋体" w:hAnsi="宋体" w:cs="宋体" w:eastAsia="宋体" w:hint="default"/>
          <w:spacing w:val="-61"/>
          <w:w w:val="105"/>
          <w:sz w:val="16"/>
          <w:szCs w:val="16"/>
        </w:rPr>
        <w:t> </w:t>
      </w:r>
      <w:r>
        <w:rPr>
          <w:rFonts w:ascii="宋体" w:hAnsi="宋体" w:cs="宋体" w:eastAsia="宋体" w:hint="default"/>
          <w:w w:val="105"/>
          <w:sz w:val="16"/>
          <w:szCs w:val="16"/>
        </w:rPr>
        <w:t>2018</w:t>
      </w:r>
      <w:r>
        <w:rPr>
          <w:rFonts w:ascii="宋体" w:hAnsi="宋体" w:cs="宋体" w:eastAsia="宋体" w:hint="default"/>
          <w:spacing w:val="-62"/>
          <w:w w:val="105"/>
          <w:sz w:val="16"/>
          <w:szCs w:val="16"/>
        </w:rPr>
        <w:t> </w:t>
      </w:r>
      <w:r>
        <w:rPr>
          <w:rFonts w:ascii="宋体" w:hAnsi="宋体" w:cs="宋体" w:eastAsia="宋体" w:hint="default"/>
          <w:w w:val="105"/>
          <w:sz w:val="16"/>
          <w:szCs w:val="16"/>
        </w:rPr>
        <w:t>年</w:t>
      </w:r>
      <w:r>
        <w:rPr>
          <w:rFonts w:ascii="宋体" w:hAnsi="宋体" w:cs="宋体" w:eastAsia="宋体" w:hint="default"/>
          <w:spacing w:val="-61"/>
          <w:w w:val="105"/>
          <w:sz w:val="16"/>
          <w:szCs w:val="16"/>
        </w:rPr>
        <w:t> </w:t>
      </w:r>
      <w:r>
        <w:rPr>
          <w:rFonts w:ascii="宋体" w:hAnsi="宋体" w:cs="宋体" w:eastAsia="宋体" w:hint="default"/>
          <w:w w:val="105"/>
          <w:sz w:val="16"/>
          <w:szCs w:val="16"/>
        </w:rPr>
        <w:t>3</w:t>
      </w:r>
      <w:r>
        <w:rPr>
          <w:rFonts w:ascii="宋体" w:hAnsi="宋体" w:cs="宋体" w:eastAsia="宋体" w:hint="default"/>
          <w:spacing w:val="-62"/>
          <w:w w:val="105"/>
          <w:sz w:val="16"/>
          <w:szCs w:val="16"/>
        </w:rPr>
        <w:t> </w:t>
      </w:r>
      <w:r>
        <w:rPr>
          <w:rFonts w:ascii="宋体" w:hAnsi="宋体" w:cs="宋体" w:eastAsia="宋体" w:hint="default"/>
          <w:w w:val="105"/>
          <w:sz w:val="16"/>
          <w:szCs w:val="16"/>
        </w:rPr>
        <w:t>月</w:t>
      </w:r>
      <w:r>
        <w:rPr>
          <w:rFonts w:ascii="宋体" w:hAnsi="宋体" w:cs="宋体" w:eastAsia="宋体" w:hint="default"/>
          <w:spacing w:val="-61"/>
          <w:w w:val="105"/>
          <w:sz w:val="16"/>
          <w:szCs w:val="16"/>
        </w:rPr>
        <w:t> </w:t>
      </w:r>
      <w:r>
        <w:rPr>
          <w:rFonts w:ascii="宋体" w:hAnsi="宋体" w:cs="宋体" w:eastAsia="宋体" w:hint="default"/>
          <w:w w:val="105"/>
          <w:sz w:val="16"/>
          <w:szCs w:val="16"/>
        </w:rPr>
        <w:t>21</w:t>
      </w:r>
      <w:r>
        <w:rPr>
          <w:rFonts w:ascii="宋体" w:hAnsi="宋体" w:cs="宋体" w:eastAsia="宋体" w:hint="default"/>
          <w:spacing w:val="-62"/>
          <w:w w:val="105"/>
          <w:sz w:val="16"/>
          <w:szCs w:val="16"/>
        </w:rPr>
        <w:t> </w:t>
      </w:r>
      <w:r>
        <w:rPr>
          <w:rFonts w:ascii="宋体" w:hAnsi="宋体" w:cs="宋体" w:eastAsia="宋体" w:hint="default"/>
          <w:w w:val="105"/>
          <w:sz w:val="16"/>
          <w:szCs w:val="16"/>
        </w:rPr>
        <w:t>日；授予数量为</w:t>
      </w:r>
      <w:r>
        <w:rPr>
          <w:rFonts w:ascii="宋体" w:hAnsi="宋体" w:cs="宋体" w:eastAsia="宋体" w:hint="default"/>
          <w:spacing w:val="-61"/>
          <w:w w:val="105"/>
          <w:sz w:val="16"/>
          <w:szCs w:val="16"/>
        </w:rPr>
        <w:t> </w:t>
      </w:r>
      <w:r>
        <w:rPr>
          <w:rFonts w:ascii="宋体" w:hAnsi="宋体" w:cs="宋体" w:eastAsia="宋体" w:hint="default"/>
          <w:w w:val="105"/>
          <w:sz w:val="16"/>
          <w:szCs w:val="16"/>
        </w:rPr>
        <w:t>79,386</w:t>
      </w:r>
      <w:r>
        <w:rPr>
          <w:rFonts w:ascii="宋体" w:hAnsi="宋体" w:cs="宋体" w:eastAsia="宋体" w:hint="default"/>
          <w:spacing w:val="-62"/>
          <w:w w:val="105"/>
          <w:sz w:val="16"/>
          <w:szCs w:val="16"/>
        </w:rPr>
        <w:t> </w:t>
      </w:r>
      <w:r>
        <w:rPr>
          <w:rFonts w:ascii="宋体" w:hAnsi="宋体" w:cs="宋体" w:eastAsia="宋体" w:hint="default"/>
          <w:w w:val="105"/>
          <w:sz w:val="16"/>
          <w:szCs w:val="16"/>
        </w:rPr>
        <w:t>万</w:t>
      </w:r>
      <w:r>
        <w:rPr>
          <w:rFonts w:ascii="宋体" w:hAnsi="宋体" w:cs="宋体" w:eastAsia="宋体" w:hint="default"/>
          <w:sz w:val="16"/>
          <w:szCs w:val="16"/>
        </w:rPr>
        <w:t> 股；授予人数为</w:t>
      </w:r>
      <w:r>
        <w:rPr>
          <w:rFonts w:ascii="宋体" w:hAnsi="宋体" w:cs="宋体" w:eastAsia="宋体" w:hint="default"/>
          <w:spacing w:val="-45"/>
          <w:sz w:val="16"/>
          <w:szCs w:val="16"/>
        </w:rPr>
        <w:t> </w:t>
      </w:r>
      <w:r>
        <w:rPr>
          <w:rFonts w:ascii="宋体" w:hAnsi="宋体" w:cs="宋体" w:eastAsia="宋体" w:hint="default"/>
          <w:sz w:val="16"/>
          <w:szCs w:val="16"/>
        </w:rPr>
        <w:t>7,752</w:t>
      </w:r>
      <w:r>
        <w:rPr>
          <w:rFonts w:ascii="宋体" w:hAnsi="宋体" w:cs="宋体" w:eastAsia="宋体" w:hint="default"/>
          <w:spacing w:val="-46"/>
          <w:sz w:val="16"/>
          <w:szCs w:val="16"/>
        </w:rPr>
        <w:t> </w:t>
      </w:r>
      <w:r>
        <w:rPr>
          <w:rFonts w:ascii="宋体" w:hAnsi="宋体" w:cs="宋体" w:eastAsia="宋体" w:hint="default"/>
          <w:sz w:val="16"/>
          <w:szCs w:val="16"/>
        </w:rPr>
        <w:t>人；授予价格为</w:t>
      </w:r>
      <w:r>
        <w:rPr>
          <w:rFonts w:ascii="宋体" w:hAnsi="宋体" w:cs="宋体" w:eastAsia="宋体" w:hint="default"/>
          <w:spacing w:val="-45"/>
          <w:sz w:val="16"/>
          <w:szCs w:val="16"/>
        </w:rPr>
        <w:t> </w:t>
      </w:r>
      <w:r>
        <w:rPr>
          <w:rFonts w:ascii="宋体" w:hAnsi="宋体" w:cs="宋体" w:eastAsia="宋体" w:hint="default"/>
          <w:sz w:val="16"/>
          <w:szCs w:val="16"/>
        </w:rPr>
        <w:t>3.79</w:t>
      </w:r>
      <w:r>
        <w:rPr>
          <w:rFonts w:ascii="宋体" w:hAnsi="宋体" w:cs="宋体" w:eastAsia="宋体" w:hint="default"/>
          <w:spacing w:val="-46"/>
          <w:sz w:val="16"/>
          <w:szCs w:val="16"/>
        </w:rPr>
        <w:t> </w:t>
      </w:r>
      <w:r>
        <w:rPr>
          <w:rFonts w:ascii="宋体" w:hAnsi="宋体" w:cs="宋体" w:eastAsia="宋体" w:hint="default"/>
          <w:sz w:val="16"/>
          <w:szCs w:val="16"/>
        </w:rPr>
        <w:t>元人民币</w:t>
      </w:r>
      <w:r>
        <w:rPr>
          <w:rFonts w:ascii="宋体" w:hAnsi="宋体" w:cs="宋体" w:eastAsia="宋体" w:hint="default"/>
          <w:spacing w:val="-45"/>
          <w:sz w:val="16"/>
          <w:szCs w:val="16"/>
        </w:rPr>
        <w:t> </w:t>
      </w:r>
      <w:r>
        <w:rPr>
          <w:rFonts w:ascii="宋体" w:hAnsi="宋体" w:cs="宋体" w:eastAsia="宋体" w:hint="default"/>
          <w:w w:val="95"/>
          <w:sz w:val="16"/>
          <w:szCs w:val="16"/>
        </w:rPr>
        <w:t>/</w:t>
      </w:r>
      <w:r>
        <w:rPr>
          <w:rFonts w:ascii="宋体" w:hAnsi="宋体" w:cs="宋体" w:eastAsia="宋体" w:hint="default"/>
          <w:spacing w:val="-41"/>
          <w:w w:val="95"/>
          <w:sz w:val="16"/>
          <w:szCs w:val="16"/>
        </w:rPr>
        <w:t> </w:t>
      </w:r>
      <w:r>
        <w:rPr>
          <w:rFonts w:ascii="宋体" w:hAnsi="宋体" w:cs="宋体" w:eastAsia="宋体" w:hint="default"/>
          <w:sz w:val="16"/>
          <w:szCs w:val="16"/>
        </w:rPr>
        <w:t>股；股</w:t>
      </w:r>
      <w:r>
        <w:rPr>
          <w:rFonts w:ascii="宋体" w:hAnsi="宋体" w:cs="宋体" w:eastAsia="宋体" w:hint="default"/>
          <w:sz w:val="16"/>
          <w:szCs w:val="16"/>
        </w:rPr>
        <w:t> 票来源为公司向激励对象定向发行的公司 A</w:t>
      </w:r>
      <w:r>
        <w:rPr>
          <w:rFonts w:ascii="宋体" w:hAnsi="宋体" w:cs="宋体" w:eastAsia="宋体" w:hint="default"/>
          <w:spacing w:val="-54"/>
          <w:sz w:val="16"/>
          <w:szCs w:val="16"/>
        </w:rPr>
        <w:t> </w:t>
      </w:r>
      <w:r>
        <w:rPr>
          <w:rFonts w:ascii="宋体" w:hAnsi="宋体" w:cs="宋体" w:eastAsia="宋体" w:hint="default"/>
          <w:sz w:val="16"/>
          <w:szCs w:val="16"/>
        </w:rPr>
        <w:t>股普通股股票。</w:t>
      </w:r>
    </w:p>
    <w:p>
      <w:pPr>
        <w:spacing w:line="240" w:lineRule="auto" w:before="10"/>
        <w:rPr>
          <w:rFonts w:ascii="宋体" w:hAnsi="宋体" w:cs="宋体" w:eastAsia="宋体" w:hint="default"/>
          <w:sz w:val="15"/>
          <w:szCs w:val="15"/>
        </w:rPr>
      </w:pPr>
    </w:p>
    <w:p>
      <w:pPr>
        <w:spacing w:line="200" w:lineRule="exact" w:before="0"/>
        <w:ind w:left="1015" w:right="-15" w:firstLine="0"/>
        <w:jc w:val="left"/>
        <w:rPr>
          <w:rFonts w:ascii="宋体" w:hAnsi="宋体" w:cs="宋体" w:eastAsia="宋体" w:hint="default"/>
          <w:sz w:val="16"/>
          <w:szCs w:val="16"/>
        </w:rPr>
      </w:pPr>
      <w:r>
        <w:rPr>
          <w:rFonts w:ascii="宋体" w:hAnsi="宋体" w:cs="宋体" w:eastAsia="宋体" w:hint="default"/>
          <w:w w:val="105"/>
          <w:sz w:val="16"/>
          <w:szCs w:val="16"/>
        </w:rPr>
        <w:t>2019</w:t>
      </w:r>
      <w:r>
        <w:rPr>
          <w:rFonts w:ascii="宋体" w:hAnsi="宋体" w:cs="宋体" w:eastAsia="宋体" w:hint="default"/>
          <w:spacing w:val="-65"/>
          <w:w w:val="105"/>
          <w:sz w:val="16"/>
          <w:szCs w:val="16"/>
        </w:rPr>
        <w:t> </w:t>
      </w:r>
      <w:r>
        <w:rPr>
          <w:rFonts w:ascii="宋体" w:hAnsi="宋体" w:cs="宋体" w:eastAsia="宋体" w:hint="default"/>
          <w:w w:val="105"/>
          <w:sz w:val="16"/>
          <w:szCs w:val="16"/>
        </w:rPr>
        <w:t>年</w:t>
      </w:r>
      <w:r>
        <w:rPr>
          <w:rFonts w:ascii="宋体" w:hAnsi="宋体" w:cs="宋体" w:eastAsia="宋体" w:hint="default"/>
          <w:spacing w:val="-65"/>
          <w:w w:val="105"/>
          <w:sz w:val="16"/>
          <w:szCs w:val="16"/>
        </w:rPr>
        <w:t> </w:t>
      </w:r>
      <w:r>
        <w:rPr>
          <w:rFonts w:ascii="宋体" w:hAnsi="宋体" w:cs="宋体" w:eastAsia="宋体" w:hint="default"/>
          <w:w w:val="105"/>
          <w:sz w:val="16"/>
          <w:szCs w:val="16"/>
        </w:rPr>
        <w:t>3</w:t>
      </w:r>
      <w:r>
        <w:rPr>
          <w:rFonts w:ascii="宋体" w:hAnsi="宋体" w:cs="宋体" w:eastAsia="宋体" w:hint="default"/>
          <w:spacing w:val="-65"/>
          <w:w w:val="105"/>
          <w:sz w:val="16"/>
          <w:szCs w:val="16"/>
        </w:rPr>
        <w:t> </w:t>
      </w:r>
      <w:r>
        <w:rPr>
          <w:rFonts w:ascii="宋体" w:hAnsi="宋体" w:cs="宋体" w:eastAsia="宋体" w:hint="default"/>
          <w:w w:val="105"/>
          <w:sz w:val="16"/>
          <w:szCs w:val="16"/>
        </w:rPr>
        <w:t>月</w:t>
      </w:r>
      <w:r>
        <w:rPr>
          <w:rFonts w:ascii="宋体" w:hAnsi="宋体" w:cs="宋体" w:eastAsia="宋体" w:hint="default"/>
          <w:spacing w:val="-65"/>
          <w:w w:val="105"/>
          <w:sz w:val="16"/>
          <w:szCs w:val="16"/>
        </w:rPr>
        <w:t> </w:t>
      </w:r>
      <w:r>
        <w:rPr>
          <w:rFonts w:ascii="宋体" w:hAnsi="宋体" w:cs="宋体" w:eastAsia="宋体" w:hint="default"/>
          <w:w w:val="105"/>
          <w:sz w:val="16"/>
          <w:szCs w:val="16"/>
        </w:rPr>
        <w:t>5</w:t>
      </w:r>
      <w:r>
        <w:rPr>
          <w:rFonts w:ascii="宋体" w:hAnsi="宋体" w:cs="宋体" w:eastAsia="宋体" w:hint="default"/>
          <w:spacing w:val="-65"/>
          <w:w w:val="105"/>
          <w:sz w:val="16"/>
          <w:szCs w:val="16"/>
        </w:rPr>
        <w:t> </w:t>
      </w:r>
      <w:r>
        <w:rPr>
          <w:rFonts w:ascii="宋体" w:hAnsi="宋体" w:cs="宋体" w:eastAsia="宋体" w:hint="default"/>
          <w:w w:val="105"/>
          <w:sz w:val="16"/>
          <w:szCs w:val="16"/>
        </w:rPr>
        <w:t>日，公司限制性股票激励计划首期授予预留股票</w:t>
      </w:r>
      <w:r>
        <w:rPr>
          <w:rFonts w:ascii="宋体" w:hAnsi="宋体" w:cs="宋体" w:eastAsia="宋体" w:hint="default"/>
          <w:sz w:val="16"/>
          <w:szCs w:val="16"/>
        </w:rPr>
        <w:t> 工作（以下简称“本次授予”）登记完成。本次授予的授予日为 </w:t>
      </w:r>
      <w:r>
        <w:rPr>
          <w:rFonts w:ascii="宋体" w:hAnsi="宋体" w:cs="宋体" w:eastAsia="宋体" w:hint="default"/>
          <w:w w:val="105"/>
          <w:sz w:val="16"/>
          <w:szCs w:val="16"/>
        </w:rPr>
        <w:t>2019</w:t>
      </w:r>
      <w:r>
        <w:rPr>
          <w:rFonts w:ascii="宋体" w:hAnsi="宋体" w:cs="宋体" w:eastAsia="宋体" w:hint="default"/>
          <w:spacing w:val="-73"/>
          <w:w w:val="105"/>
          <w:sz w:val="16"/>
          <w:szCs w:val="16"/>
        </w:rPr>
        <w:t> </w:t>
      </w:r>
      <w:r>
        <w:rPr>
          <w:rFonts w:ascii="宋体" w:hAnsi="宋体" w:cs="宋体" w:eastAsia="宋体" w:hint="default"/>
          <w:w w:val="105"/>
          <w:sz w:val="16"/>
          <w:szCs w:val="16"/>
        </w:rPr>
        <w:t>年</w:t>
      </w:r>
      <w:r>
        <w:rPr>
          <w:rFonts w:ascii="宋体" w:hAnsi="宋体" w:cs="宋体" w:eastAsia="宋体" w:hint="default"/>
          <w:spacing w:val="-73"/>
          <w:w w:val="105"/>
          <w:sz w:val="16"/>
          <w:szCs w:val="16"/>
        </w:rPr>
        <w:t> </w:t>
      </w:r>
      <w:r>
        <w:rPr>
          <w:rFonts w:ascii="宋体" w:hAnsi="宋体" w:cs="宋体" w:eastAsia="宋体" w:hint="default"/>
          <w:w w:val="105"/>
          <w:sz w:val="16"/>
          <w:szCs w:val="16"/>
        </w:rPr>
        <w:t>2</w:t>
      </w:r>
      <w:r>
        <w:rPr>
          <w:rFonts w:ascii="宋体" w:hAnsi="宋体" w:cs="宋体" w:eastAsia="宋体" w:hint="default"/>
          <w:spacing w:val="-73"/>
          <w:w w:val="105"/>
          <w:sz w:val="16"/>
          <w:szCs w:val="16"/>
        </w:rPr>
        <w:t> </w:t>
      </w:r>
      <w:r>
        <w:rPr>
          <w:rFonts w:ascii="宋体" w:hAnsi="宋体" w:cs="宋体" w:eastAsia="宋体" w:hint="default"/>
          <w:w w:val="105"/>
          <w:sz w:val="16"/>
          <w:szCs w:val="16"/>
        </w:rPr>
        <w:t>月</w:t>
      </w:r>
      <w:r>
        <w:rPr>
          <w:rFonts w:ascii="宋体" w:hAnsi="宋体" w:cs="宋体" w:eastAsia="宋体" w:hint="default"/>
          <w:spacing w:val="-73"/>
          <w:w w:val="105"/>
          <w:sz w:val="16"/>
          <w:szCs w:val="16"/>
        </w:rPr>
        <w:t> </w:t>
      </w:r>
      <w:r>
        <w:rPr>
          <w:rFonts w:ascii="宋体" w:hAnsi="宋体" w:cs="宋体" w:eastAsia="宋体" w:hint="default"/>
          <w:w w:val="105"/>
          <w:sz w:val="16"/>
          <w:szCs w:val="16"/>
        </w:rPr>
        <w:t>1</w:t>
      </w:r>
      <w:r>
        <w:rPr>
          <w:rFonts w:ascii="宋体" w:hAnsi="宋体" w:cs="宋体" w:eastAsia="宋体" w:hint="default"/>
          <w:spacing w:val="-73"/>
          <w:w w:val="105"/>
          <w:sz w:val="16"/>
          <w:szCs w:val="16"/>
        </w:rPr>
        <w:t> </w:t>
      </w:r>
      <w:r>
        <w:rPr>
          <w:rFonts w:ascii="宋体" w:hAnsi="宋体" w:cs="宋体" w:eastAsia="宋体" w:hint="default"/>
          <w:spacing w:val="-7"/>
          <w:w w:val="105"/>
          <w:sz w:val="16"/>
          <w:szCs w:val="16"/>
        </w:rPr>
        <w:t>日；授予数量为</w:t>
      </w:r>
      <w:r>
        <w:rPr>
          <w:rFonts w:ascii="宋体" w:hAnsi="宋体" w:cs="宋体" w:eastAsia="宋体" w:hint="default"/>
          <w:spacing w:val="-73"/>
          <w:w w:val="105"/>
          <w:sz w:val="16"/>
          <w:szCs w:val="16"/>
        </w:rPr>
        <w:t> </w:t>
      </w:r>
      <w:r>
        <w:rPr>
          <w:rFonts w:ascii="宋体" w:hAnsi="宋体" w:cs="宋体" w:eastAsia="宋体" w:hint="default"/>
          <w:w w:val="105"/>
          <w:sz w:val="16"/>
          <w:szCs w:val="16"/>
        </w:rPr>
        <w:t>1,315.6</w:t>
      </w:r>
      <w:r>
        <w:rPr>
          <w:rFonts w:ascii="宋体" w:hAnsi="宋体" w:cs="宋体" w:eastAsia="宋体" w:hint="default"/>
          <w:spacing w:val="-73"/>
          <w:w w:val="105"/>
          <w:sz w:val="16"/>
          <w:szCs w:val="16"/>
        </w:rPr>
        <w:t> </w:t>
      </w:r>
      <w:r>
        <w:rPr>
          <w:rFonts w:ascii="宋体" w:hAnsi="宋体" w:cs="宋体" w:eastAsia="宋体" w:hint="default"/>
          <w:spacing w:val="-6"/>
          <w:w w:val="105"/>
          <w:sz w:val="16"/>
          <w:szCs w:val="16"/>
        </w:rPr>
        <w:t>万股；授予人数为</w:t>
      </w:r>
      <w:r>
        <w:rPr>
          <w:rFonts w:ascii="宋体" w:hAnsi="宋体" w:cs="宋体" w:eastAsia="宋体" w:hint="default"/>
          <w:spacing w:val="-73"/>
          <w:w w:val="105"/>
          <w:sz w:val="16"/>
          <w:szCs w:val="16"/>
        </w:rPr>
        <w:t> </w:t>
      </w:r>
      <w:r>
        <w:rPr>
          <w:rFonts w:ascii="宋体" w:hAnsi="宋体" w:cs="宋体" w:eastAsia="宋体" w:hint="default"/>
          <w:w w:val="105"/>
          <w:sz w:val="16"/>
          <w:szCs w:val="16"/>
        </w:rPr>
        <w:t>193</w:t>
      </w:r>
      <w:r>
        <w:rPr>
          <w:rFonts w:ascii="宋体" w:hAnsi="宋体" w:cs="宋体" w:eastAsia="宋体" w:hint="default"/>
          <w:spacing w:val="-73"/>
          <w:w w:val="105"/>
          <w:sz w:val="16"/>
          <w:szCs w:val="16"/>
        </w:rPr>
        <w:t> </w:t>
      </w:r>
      <w:r>
        <w:rPr>
          <w:rFonts w:ascii="宋体" w:hAnsi="宋体" w:cs="宋体" w:eastAsia="宋体" w:hint="default"/>
          <w:spacing w:val="-12"/>
          <w:w w:val="105"/>
          <w:sz w:val="16"/>
          <w:szCs w:val="16"/>
        </w:rPr>
        <w:t>人；</w:t>
      </w:r>
      <w:r>
        <w:rPr>
          <w:rFonts w:ascii="宋体" w:hAnsi="宋体" w:cs="宋体" w:eastAsia="宋体" w:hint="default"/>
          <w:sz w:val="16"/>
          <w:szCs w:val="16"/>
        </w:rPr>
        <w:t> 授予价格为</w:t>
      </w:r>
      <w:r>
        <w:rPr>
          <w:rFonts w:ascii="宋体" w:hAnsi="宋体" w:cs="宋体" w:eastAsia="宋体" w:hint="default"/>
          <w:spacing w:val="-46"/>
          <w:sz w:val="16"/>
          <w:szCs w:val="16"/>
        </w:rPr>
        <w:t> </w:t>
      </w:r>
      <w:r>
        <w:rPr>
          <w:rFonts w:ascii="宋体" w:hAnsi="宋体" w:cs="宋体" w:eastAsia="宋体" w:hint="default"/>
          <w:sz w:val="16"/>
          <w:szCs w:val="16"/>
        </w:rPr>
        <w:t>3.79</w:t>
      </w:r>
      <w:r>
        <w:rPr>
          <w:rFonts w:ascii="宋体" w:hAnsi="宋体" w:cs="宋体" w:eastAsia="宋体" w:hint="default"/>
          <w:spacing w:val="-46"/>
          <w:sz w:val="16"/>
          <w:szCs w:val="16"/>
        </w:rPr>
        <w:t> </w:t>
      </w:r>
      <w:r>
        <w:rPr>
          <w:rFonts w:ascii="宋体" w:hAnsi="宋体" w:cs="宋体" w:eastAsia="宋体" w:hint="default"/>
          <w:sz w:val="16"/>
          <w:szCs w:val="16"/>
        </w:rPr>
        <w:t>元人民币</w:t>
      </w:r>
      <w:r>
        <w:rPr>
          <w:rFonts w:ascii="宋体" w:hAnsi="宋体" w:cs="宋体" w:eastAsia="宋体" w:hint="default"/>
          <w:spacing w:val="-46"/>
          <w:sz w:val="16"/>
          <w:szCs w:val="16"/>
        </w:rPr>
        <w:t> </w:t>
      </w:r>
      <w:r>
        <w:rPr>
          <w:rFonts w:ascii="宋体" w:hAnsi="宋体" w:cs="宋体" w:eastAsia="宋体" w:hint="default"/>
          <w:w w:val="95"/>
          <w:sz w:val="16"/>
          <w:szCs w:val="16"/>
        </w:rPr>
        <w:t>/</w:t>
      </w:r>
      <w:r>
        <w:rPr>
          <w:rFonts w:ascii="宋体" w:hAnsi="宋体" w:cs="宋体" w:eastAsia="宋体" w:hint="default"/>
          <w:spacing w:val="-42"/>
          <w:w w:val="95"/>
          <w:sz w:val="16"/>
          <w:szCs w:val="16"/>
        </w:rPr>
        <w:t> </w:t>
      </w:r>
      <w:r>
        <w:rPr>
          <w:rFonts w:ascii="宋体" w:hAnsi="宋体" w:cs="宋体" w:eastAsia="宋体" w:hint="default"/>
          <w:sz w:val="16"/>
          <w:szCs w:val="16"/>
        </w:rPr>
        <w:t>股；股票来源为公司向激励对象定</w:t>
      </w:r>
      <w:r>
        <w:rPr>
          <w:rFonts w:ascii="宋体" w:hAnsi="宋体" w:cs="宋体" w:eastAsia="宋体" w:hint="default"/>
          <w:sz w:val="16"/>
          <w:szCs w:val="16"/>
        </w:rPr>
        <w:t> 向发行的公司 A</w:t>
      </w:r>
      <w:r>
        <w:rPr>
          <w:rFonts w:ascii="宋体" w:hAnsi="宋体" w:cs="宋体" w:eastAsia="宋体" w:hint="default"/>
          <w:spacing w:val="-54"/>
          <w:sz w:val="16"/>
          <w:szCs w:val="16"/>
        </w:rPr>
        <w:t> </w:t>
      </w:r>
      <w:r>
        <w:rPr>
          <w:rFonts w:ascii="宋体" w:hAnsi="宋体" w:cs="宋体" w:eastAsia="宋体" w:hint="default"/>
          <w:sz w:val="16"/>
          <w:szCs w:val="16"/>
        </w:rPr>
        <w:t>股普通股股票。</w:t>
      </w:r>
    </w:p>
    <w:p>
      <w:pPr>
        <w:spacing w:line="200" w:lineRule="exact" w:before="65"/>
        <w:ind w:left="90" w:right="280" w:firstLine="0"/>
        <w:jc w:val="left"/>
        <w:rPr>
          <w:rFonts w:ascii="宋体" w:hAnsi="宋体" w:cs="宋体" w:eastAsia="宋体" w:hint="default"/>
          <w:sz w:val="16"/>
          <w:szCs w:val="16"/>
        </w:rPr>
      </w:pPr>
      <w:r>
        <w:rPr/>
        <w:br w:type="column"/>
      </w:r>
      <w:r>
        <w:rPr>
          <w:rFonts w:ascii="宋体" w:hAnsi="宋体" w:cs="宋体" w:eastAsia="宋体" w:hint="default"/>
          <w:sz w:val="16"/>
          <w:szCs w:val="16"/>
        </w:rPr>
        <w:t>有关详情请见公司于</w:t>
      </w:r>
      <w:r>
        <w:rPr>
          <w:rFonts w:ascii="宋体" w:hAnsi="宋体" w:cs="宋体" w:eastAsia="宋体" w:hint="default"/>
          <w:spacing w:val="-33"/>
          <w:sz w:val="16"/>
          <w:szCs w:val="16"/>
        </w:rPr>
        <w:t> </w:t>
      </w:r>
      <w:r>
        <w:rPr>
          <w:rFonts w:ascii="宋体" w:hAnsi="宋体" w:cs="宋体" w:eastAsia="宋体" w:hint="default"/>
          <w:sz w:val="16"/>
          <w:szCs w:val="16"/>
        </w:rPr>
        <w:t>2018</w:t>
      </w:r>
      <w:r>
        <w:rPr>
          <w:rFonts w:ascii="宋体" w:hAnsi="宋体" w:cs="宋体" w:eastAsia="宋体" w:hint="default"/>
          <w:spacing w:val="-34"/>
          <w:sz w:val="16"/>
          <w:szCs w:val="16"/>
        </w:rPr>
        <w:t> </w:t>
      </w:r>
      <w:r>
        <w:rPr>
          <w:rFonts w:ascii="宋体" w:hAnsi="宋体" w:cs="宋体" w:eastAsia="宋体" w:hint="default"/>
          <w:sz w:val="16"/>
          <w:szCs w:val="16"/>
        </w:rPr>
        <w:t>年</w:t>
      </w:r>
      <w:r>
        <w:rPr>
          <w:rFonts w:ascii="宋体" w:hAnsi="宋体" w:cs="宋体" w:eastAsia="宋体" w:hint="default"/>
          <w:spacing w:val="-33"/>
          <w:sz w:val="16"/>
          <w:szCs w:val="16"/>
        </w:rPr>
        <w:t> </w:t>
      </w:r>
      <w:r>
        <w:rPr>
          <w:rFonts w:ascii="宋体" w:hAnsi="宋体" w:cs="宋体" w:eastAsia="宋体" w:hint="default"/>
          <w:sz w:val="16"/>
          <w:szCs w:val="16"/>
        </w:rPr>
        <w:t>4</w:t>
      </w:r>
      <w:r>
        <w:rPr>
          <w:rFonts w:ascii="宋体" w:hAnsi="宋体" w:cs="宋体" w:eastAsia="宋体" w:hint="default"/>
          <w:spacing w:val="-34"/>
          <w:sz w:val="16"/>
          <w:szCs w:val="16"/>
        </w:rPr>
        <w:t> </w:t>
      </w:r>
      <w:r>
        <w:rPr>
          <w:rFonts w:ascii="宋体" w:hAnsi="宋体" w:cs="宋体" w:eastAsia="宋体" w:hint="default"/>
          <w:sz w:val="16"/>
          <w:szCs w:val="16"/>
        </w:rPr>
        <w:t>月</w:t>
      </w:r>
      <w:r>
        <w:rPr>
          <w:rFonts w:ascii="宋体" w:hAnsi="宋体" w:cs="宋体" w:eastAsia="宋体" w:hint="default"/>
          <w:spacing w:val="-33"/>
          <w:sz w:val="16"/>
          <w:szCs w:val="16"/>
        </w:rPr>
        <w:t> </w:t>
      </w:r>
      <w:r>
        <w:rPr>
          <w:rFonts w:ascii="宋体" w:hAnsi="宋体" w:cs="宋体" w:eastAsia="宋体" w:hint="default"/>
          <w:sz w:val="16"/>
          <w:szCs w:val="16"/>
        </w:rPr>
        <w:t>11</w:t>
      </w:r>
      <w:r>
        <w:rPr>
          <w:rFonts w:ascii="宋体" w:hAnsi="宋体" w:cs="宋体" w:eastAsia="宋体" w:hint="default"/>
          <w:spacing w:val="-34"/>
          <w:sz w:val="16"/>
          <w:szCs w:val="16"/>
        </w:rPr>
        <w:t> </w:t>
      </w:r>
      <w:r>
        <w:rPr>
          <w:rFonts w:ascii="宋体" w:hAnsi="宋体" w:cs="宋体" w:eastAsia="宋体" w:hint="default"/>
          <w:sz w:val="16"/>
          <w:szCs w:val="16"/>
        </w:rPr>
        <w:t>日在《中国证券报》《上</w:t>
      </w:r>
      <w:r>
        <w:rPr>
          <w:rFonts w:ascii="宋体" w:hAnsi="宋体" w:cs="宋体" w:eastAsia="宋体" w:hint="default"/>
          <w:spacing w:val="-61"/>
          <w:sz w:val="16"/>
          <w:szCs w:val="16"/>
        </w:rPr>
        <w:t> </w:t>
      </w:r>
      <w:r>
        <w:rPr>
          <w:rFonts w:ascii="宋体" w:hAnsi="宋体" w:cs="宋体" w:eastAsia="宋体" w:hint="default"/>
          <w:spacing w:val="-61"/>
          <w:sz w:val="16"/>
          <w:szCs w:val="16"/>
        </w:rPr>
      </w:r>
      <w:r>
        <w:rPr>
          <w:rFonts w:ascii="宋体" w:hAnsi="宋体" w:cs="宋体" w:eastAsia="宋体" w:hint="default"/>
          <w:sz w:val="16"/>
          <w:szCs w:val="16"/>
        </w:rPr>
        <w:t>海证券报》《证券时报》、上海证券交易所网站及本公司网站发</w:t>
      </w:r>
      <w:r>
        <w:rPr>
          <w:rFonts w:ascii="宋体" w:hAnsi="宋体" w:cs="宋体" w:eastAsia="宋体" w:hint="default"/>
          <w:sz w:val="16"/>
          <w:szCs w:val="16"/>
        </w:rPr>
        <w:t> 布的《中国联合网络通信股份有限公司关于限制性股票激励计划 首次授予登记完成的公告》（公告编号：2018-034）</w:t>
      </w:r>
    </w:p>
    <w:p>
      <w:pPr>
        <w:spacing w:line="240" w:lineRule="auto" w:before="6"/>
        <w:rPr>
          <w:rFonts w:ascii="宋体" w:hAnsi="宋体" w:cs="宋体" w:eastAsia="宋体" w:hint="default"/>
          <w:sz w:val="23"/>
          <w:szCs w:val="23"/>
        </w:rPr>
      </w:pPr>
    </w:p>
    <w:p>
      <w:pPr>
        <w:spacing w:line="200" w:lineRule="exact" w:before="0"/>
        <w:ind w:left="90" w:right="280" w:firstLine="0"/>
        <w:jc w:val="both"/>
        <w:rPr>
          <w:rFonts w:ascii="宋体" w:hAnsi="宋体" w:cs="宋体" w:eastAsia="宋体" w:hint="default"/>
          <w:sz w:val="16"/>
          <w:szCs w:val="16"/>
        </w:rPr>
      </w:pPr>
      <w:r>
        <w:rPr>
          <w:rFonts w:ascii="宋体" w:hAnsi="宋体" w:cs="宋体" w:eastAsia="宋体" w:hint="default"/>
          <w:sz w:val="16"/>
          <w:szCs w:val="16"/>
        </w:rPr>
        <w:t>有关详情请见公司于</w:t>
      </w:r>
      <w:r>
        <w:rPr>
          <w:rFonts w:ascii="宋体" w:hAnsi="宋体" w:cs="宋体" w:eastAsia="宋体" w:hint="default"/>
          <w:spacing w:val="-33"/>
          <w:sz w:val="16"/>
          <w:szCs w:val="16"/>
        </w:rPr>
        <w:t> </w:t>
      </w:r>
      <w:r>
        <w:rPr>
          <w:rFonts w:ascii="宋体" w:hAnsi="宋体" w:cs="宋体" w:eastAsia="宋体" w:hint="default"/>
          <w:sz w:val="16"/>
          <w:szCs w:val="16"/>
        </w:rPr>
        <w:t>2019</w:t>
      </w:r>
      <w:r>
        <w:rPr>
          <w:rFonts w:ascii="宋体" w:hAnsi="宋体" w:cs="宋体" w:eastAsia="宋体" w:hint="default"/>
          <w:spacing w:val="-34"/>
          <w:sz w:val="16"/>
          <w:szCs w:val="16"/>
        </w:rPr>
        <w:t> </w:t>
      </w:r>
      <w:r>
        <w:rPr>
          <w:rFonts w:ascii="宋体" w:hAnsi="宋体" w:cs="宋体" w:eastAsia="宋体" w:hint="default"/>
          <w:sz w:val="16"/>
          <w:szCs w:val="16"/>
        </w:rPr>
        <w:t>年</w:t>
      </w:r>
      <w:r>
        <w:rPr>
          <w:rFonts w:ascii="宋体" w:hAnsi="宋体" w:cs="宋体" w:eastAsia="宋体" w:hint="default"/>
          <w:spacing w:val="-33"/>
          <w:sz w:val="16"/>
          <w:szCs w:val="16"/>
        </w:rPr>
        <w:t> </w:t>
      </w:r>
      <w:r>
        <w:rPr>
          <w:rFonts w:ascii="宋体" w:hAnsi="宋体" w:cs="宋体" w:eastAsia="宋体" w:hint="default"/>
          <w:sz w:val="16"/>
          <w:szCs w:val="16"/>
        </w:rPr>
        <w:t>3</w:t>
      </w:r>
      <w:r>
        <w:rPr>
          <w:rFonts w:ascii="宋体" w:hAnsi="宋体" w:cs="宋体" w:eastAsia="宋体" w:hint="default"/>
          <w:spacing w:val="-34"/>
          <w:sz w:val="16"/>
          <w:szCs w:val="16"/>
        </w:rPr>
        <w:t> </w:t>
      </w:r>
      <w:r>
        <w:rPr>
          <w:rFonts w:ascii="宋体" w:hAnsi="宋体" w:cs="宋体" w:eastAsia="宋体" w:hint="default"/>
          <w:sz w:val="16"/>
          <w:szCs w:val="16"/>
        </w:rPr>
        <w:t>月</w:t>
      </w:r>
      <w:r>
        <w:rPr>
          <w:rFonts w:ascii="宋体" w:hAnsi="宋体" w:cs="宋体" w:eastAsia="宋体" w:hint="default"/>
          <w:spacing w:val="-33"/>
          <w:sz w:val="16"/>
          <w:szCs w:val="16"/>
        </w:rPr>
        <w:t> </w:t>
      </w:r>
      <w:r>
        <w:rPr>
          <w:rFonts w:ascii="宋体" w:hAnsi="宋体" w:cs="宋体" w:eastAsia="宋体" w:hint="default"/>
          <w:sz w:val="16"/>
          <w:szCs w:val="16"/>
        </w:rPr>
        <w:t>7</w:t>
      </w:r>
      <w:r>
        <w:rPr>
          <w:rFonts w:ascii="宋体" w:hAnsi="宋体" w:cs="宋体" w:eastAsia="宋体" w:hint="default"/>
          <w:spacing w:val="-34"/>
          <w:sz w:val="16"/>
          <w:szCs w:val="16"/>
        </w:rPr>
        <w:t> </w:t>
      </w:r>
      <w:r>
        <w:rPr>
          <w:rFonts w:ascii="宋体" w:hAnsi="宋体" w:cs="宋体" w:eastAsia="宋体" w:hint="default"/>
          <w:sz w:val="16"/>
          <w:szCs w:val="16"/>
        </w:rPr>
        <w:t>日在《中国证券报》《上海</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z w:val="16"/>
          <w:szCs w:val="16"/>
        </w:rPr>
        <w:t>证券报》《证券时报》、上海证券交易所网站及本公司网站发布</w:t>
      </w:r>
      <w:r>
        <w:rPr>
          <w:rFonts w:ascii="宋体" w:hAnsi="宋体" w:cs="宋体" w:eastAsia="宋体" w:hint="default"/>
          <w:sz w:val="16"/>
          <w:szCs w:val="16"/>
        </w:rPr>
        <w:t> 的《中国联合网络通信股份有限公司关于限制性股票激励计划首 期授予预留股票登记完成的公告》（公告编号：2019-010）</w:t>
      </w:r>
    </w:p>
    <w:p>
      <w:pPr>
        <w:spacing w:after="0" w:line="200" w:lineRule="exact"/>
        <w:jc w:val="both"/>
        <w:rPr>
          <w:rFonts w:ascii="宋体" w:hAnsi="宋体" w:cs="宋体" w:eastAsia="宋体" w:hint="default"/>
          <w:sz w:val="16"/>
          <w:szCs w:val="16"/>
        </w:rPr>
        <w:sectPr>
          <w:type w:val="continuous"/>
          <w:pgSz w:w="11910" w:h="16160"/>
          <w:pgMar w:top="1520" w:bottom="280" w:left="260" w:right="1220"/>
          <w:cols w:num="2" w:equalWidth="0">
            <w:col w:w="5535" w:space="40"/>
            <w:col w:w="4855"/>
          </w:cols>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pStyle w:val="BodyText"/>
        <w:spacing w:line="240" w:lineRule="auto"/>
        <w:ind w:left="590" w:right="0"/>
        <w:jc w:val="left"/>
        <w:rPr>
          <w:rFonts w:ascii="宋体" w:hAnsi="宋体" w:cs="宋体" w:eastAsia="宋体" w:hint="default"/>
        </w:rPr>
      </w:pPr>
      <w:r>
        <w:rPr>
          <w:rFonts w:ascii="宋体" w:hAnsi="宋体" w:cs="宋体" w:eastAsia="宋体" w:hint="default"/>
          <w:color w:val="D7000F"/>
        </w:rPr>
        <w:t>八、重大关联交易</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590" w:right="0"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与日常经营相关的关联交易</w:t>
      </w:r>
    </w:p>
    <w:p>
      <w:pPr>
        <w:spacing w:line="240" w:lineRule="auto" w:before="11"/>
        <w:rPr>
          <w:rFonts w:ascii="宋体" w:hAnsi="宋体" w:cs="宋体" w:eastAsia="宋体" w:hint="default"/>
          <w:sz w:val="12"/>
          <w:szCs w:val="12"/>
        </w:rPr>
      </w:pPr>
    </w:p>
    <w:p>
      <w:pPr>
        <w:pStyle w:val="BodyText"/>
        <w:spacing w:line="240" w:lineRule="auto"/>
        <w:ind w:left="930" w:right="0"/>
        <w:jc w:val="left"/>
        <w:rPr>
          <w:rFonts w:ascii="宋体" w:hAnsi="宋体" w:cs="宋体" w:eastAsia="宋体" w:hint="default"/>
        </w:rPr>
      </w:pPr>
      <w:r>
        <w:rPr>
          <w:rFonts w:ascii="宋体" w:hAnsi="宋体" w:cs="宋体" w:eastAsia="宋体" w:hint="default"/>
        </w:rPr>
        <w:t>本年度公司关联交易事项请参见财务报告附注十二。</w:t>
      </w:r>
    </w:p>
    <w:p>
      <w:pPr>
        <w:pStyle w:val="BodyText"/>
        <w:spacing w:line="240" w:lineRule="auto" w:before="157"/>
        <w:ind w:left="930" w:right="0"/>
        <w:jc w:val="left"/>
        <w:rPr>
          <w:rFonts w:ascii="宋体" w:hAnsi="宋体" w:cs="宋体" w:eastAsia="宋体" w:hint="default"/>
        </w:rPr>
      </w:pPr>
      <w:r>
        <w:rPr>
          <w:rFonts w:ascii="宋体" w:hAnsi="宋体" w:cs="宋体" w:eastAsia="宋体" w:hint="default"/>
          <w:color w:val="D7000F"/>
          <w:w w:val="95"/>
        </w:rPr>
        <w:t>1. </w:t>
      </w:r>
      <w:r>
        <w:rPr>
          <w:rFonts w:ascii="宋体" w:hAnsi="宋体" w:cs="宋体" w:eastAsia="宋体" w:hint="default"/>
          <w:color w:val="D7000F"/>
          <w:spacing w:val="68"/>
          <w:w w:val="95"/>
        </w:rPr>
        <w:t> </w:t>
      </w:r>
      <w:r>
        <w:rPr>
          <w:rFonts w:ascii="宋体" w:hAnsi="宋体" w:cs="宋体" w:eastAsia="宋体" w:hint="default"/>
          <w:color w:val="D7000F"/>
          <w:w w:val="95"/>
        </w:rPr>
        <w:t>已在临时公告披露，但有后续实施的进展或变化的事项</w:t>
      </w:r>
      <w:r>
        <w:rPr>
          <w:rFonts w:ascii="宋体" w:hAnsi="宋体" w:cs="宋体" w:eastAsia="宋体" w:hint="default"/>
          <w:w w:val="95"/>
        </w:rPr>
      </w:r>
    </w:p>
    <w:p>
      <w:pPr>
        <w:pStyle w:val="BodyText"/>
        <w:spacing w:line="240" w:lineRule="auto" w:before="157"/>
        <w:ind w:left="930" w:right="0"/>
        <w:jc w:val="left"/>
        <w:rPr>
          <w:rFonts w:ascii="宋体" w:hAnsi="宋体" w:cs="宋体" w:eastAsia="宋体" w:hint="default"/>
        </w:rPr>
      </w:pPr>
      <w:r>
        <w:rPr>
          <w:rFonts w:ascii="宋体" w:hAnsi="宋体" w:cs="宋体" w:eastAsia="宋体" w:hint="default"/>
        </w:rPr>
        <w:t>经公司第五届董事会第四次会议及 2016</w:t>
      </w:r>
      <w:r>
        <w:rPr>
          <w:rFonts w:ascii="宋体" w:hAnsi="宋体" w:cs="宋体" w:eastAsia="宋体" w:hint="default"/>
          <w:spacing w:val="63"/>
        </w:rPr>
        <w:t> </w:t>
      </w:r>
      <w:r>
        <w:rPr>
          <w:rFonts w:ascii="宋体" w:hAnsi="宋体" w:cs="宋体" w:eastAsia="宋体" w:hint="default"/>
          <w:spacing w:val="-1"/>
        </w:rPr>
        <w:t>年第一次临时股东大会审议通过，联通运营公司与联通集团签订《2017-2019</w:t>
      </w:r>
    </w:p>
    <w:p>
      <w:pPr>
        <w:pStyle w:val="BodyText"/>
        <w:spacing w:line="240" w:lineRule="auto" w:before="44"/>
        <w:ind w:left="930" w:right="0"/>
        <w:jc w:val="left"/>
        <w:rPr>
          <w:rFonts w:ascii="宋体" w:hAnsi="宋体" w:cs="宋体" w:eastAsia="宋体" w:hint="default"/>
        </w:rPr>
      </w:pPr>
      <w:r>
        <w:rPr>
          <w:rFonts w:ascii="宋体" w:hAnsi="宋体" w:cs="宋体" w:eastAsia="宋体" w:hint="default"/>
          <w:spacing w:val="3"/>
          <w:w w:val="105"/>
        </w:rPr>
        <w:t>年综合服务协议》并设定了</w:t>
      </w:r>
      <w:r>
        <w:rPr>
          <w:rFonts w:ascii="宋体" w:hAnsi="宋体" w:cs="宋体" w:eastAsia="宋体" w:hint="default"/>
          <w:spacing w:val="-73"/>
          <w:w w:val="105"/>
        </w:rPr>
        <w:t> </w:t>
      </w:r>
      <w:r>
        <w:rPr>
          <w:rFonts w:ascii="宋体" w:hAnsi="宋体" w:cs="宋体" w:eastAsia="宋体" w:hint="default"/>
          <w:w w:val="105"/>
        </w:rPr>
        <w:t>2017-2019</w:t>
      </w:r>
      <w:r>
        <w:rPr>
          <w:rFonts w:ascii="宋体" w:hAnsi="宋体" w:cs="宋体" w:eastAsia="宋体" w:hint="default"/>
          <w:spacing w:val="-73"/>
          <w:w w:val="105"/>
        </w:rPr>
        <w:t> </w:t>
      </w:r>
      <w:r>
        <w:rPr>
          <w:rFonts w:ascii="宋体" w:hAnsi="宋体" w:cs="宋体" w:eastAsia="宋体" w:hint="default"/>
          <w:spacing w:val="3"/>
          <w:w w:val="105"/>
        </w:rPr>
        <w:t>年各年度的交易额度上限，该协议期限三年，自</w:t>
      </w:r>
      <w:r>
        <w:rPr>
          <w:rFonts w:ascii="宋体" w:hAnsi="宋体" w:cs="宋体" w:eastAsia="宋体" w:hint="default"/>
          <w:spacing w:val="-73"/>
          <w:w w:val="105"/>
        </w:rPr>
        <w:t> </w:t>
      </w:r>
      <w:r>
        <w:rPr>
          <w:rFonts w:ascii="宋体" w:hAnsi="宋体" w:cs="宋体" w:eastAsia="宋体" w:hint="default"/>
          <w:w w:val="105"/>
        </w:rPr>
        <w:t>2017</w:t>
      </w:r>
      <w:r>
        <w:rPr>
          <w:rFonts w:ascii="宋体" w:hAnsi="宋体" w:cs="宋体" w:eastAsia="宋体" w:hint="default"/>
          <w:spacing w:val="-73"/>
          <w:w w:val="105"/>
        </w:rPr>
        <w:t> </w:t>
      </w:r>
      <w:r>
        <w:rPr>
          <w:rFonts w:ascii="宋体" w:hAnsi="宋体" w:cs="宋体" w:eastAsia="宋体" w:hint="default"/>
          <w:w w:val="105"/>
        </w:rPr>
        <w:t>年</w:t>
      </w:r>
      <w:r>
        <w:rPr>
          <w:rFonts w:ascii="宋体" w:hAnsi="宋体" w:cs="宋体" w:eastAsia="宋体" w:hint="default"/>
          <w:spacing w:val="-73"/>
          <w:w w:val="105"/>
        </w:rPr>
        <w:t> </w:t>
      </w:r>
      <w:r>
        <w:rPr>
          <w:rFonts w:ascii="宋体" w:hAnsi="宋体" w:cs="宋体" w:eastAsia="宋体" w:hint="default"/>
          <w:w w:val="105"/>
        </w:rPr>
        <w:t>1</w:t>
      </w:r>
      <w:r>
        <w:rPr>
          <w:rFonts w:ascii="宋体" w:hAnsi="宋体" w:cs="宋体" w:eastAsia="宋体" w:hint="default"/>
          <w:spacing w:val="-73"/>
          <w:w w:val="105"/>
        </w:rPr>
        <w:t> </w:t>
      </w:r>
      <w:r>
        <w:rPr>
          <w:rFonts w:ascii="宋体" w:hAnsi="宋体" w:cs="宋体" w:eastAsia="宋体" w:hint="default"/>
          <w:w w:val="105"/>
        </w:rPr>
        <w:t>月</w:t>
      </w:r>
      <w:r>
        <w:rPr>
          <w:rFonts w:ascii="宋体" w:hAnsi="宋体" w:cs="宋体" w:eastAsia="宋体" w:hint="default"/>
          <w:spacing w:val="-73"/>
          <w:w w:val="105"/>
        </w:rPr>
        <w:t> </w:t>
      </w:r>
      <w:r>
        <w:rPr>
          <w:rFonts w:ascii="宋体" w:hAnsi="宋体" w:cs="宋体" w:eastAsia="宋体" w:hint="default"/>
          <w:w w:val="105"/>
        </w:rPr>
        <w:t>1</w:t>
      </w:r>
      <w:r>
        <w:rPr>
          <w:rFonts w:ascii="宋体" w:hAnsi="宋体" w:cs="宋体" w:eastAsia="宋体" w:hint="default"/>
          <w:spacing w:val="-73"/>
          <w:w w:val="105"/>
        </w:rPr>
        <w:t> </w:t>
      </w:r>
      <w:r>
        <w:rPr>
          <w:rFonts w:ascii="宋体" w:hAnsi="宋体" w:cs="宋体" w:eastAsia="宋体" w:hint="default"/>
          <w:spacing w:val="2"/>
          <w:w w:val="105"/>
        </w:rPr>
        <w:t>日起至</w:t>
      </w:r>
      <w:r>
        <w:rPr>
          <w:rFonts w:ascii="宋体" w:hAnsi="宋体" w:cs="宋体" w:eastAsia="宋体" w:hint="default"/>
          <w:spacing w:val="-73"/>
          <w:w w:val="105"/>
        </w:rPr>
        <w:t> </w:t>
      </w:r>
      <w:r>
        <w:rPr>
          <w:rFonts w:ascii="宋体" w:hAnsi="宋体" w:cs="宋体" w:eastAsia="宋体" w:hint="default"/>
          <w:w w:val="105"/>
        </w:rPr>
        <w:t>2019</w:t>
      </w:r>
      <w:r>
        <w:rPr>
          <w:rFonts w:ascii="宋体" w:hAnsi="宋体" w:cs="宋体" w:eastAsia="宋体" w:hint="default"/>
        </w:rPr>
      </w:r>
    </w:p>
    <w:p>
      <w:pPr>
        <w:pStyle w:val="BodyText"/>
        <w:spacing w:line="285" w:lineRule="auto" w:before="44"/>
        <w:ind w:left="930" w:right="191"/>
        <w:jc w:val="both"/>
        <w:rPr>
          <w:rFonts w:ascii="宋体" w:hAnsi="宋体" w:cs="宋体" w:eastAsia="宋体" w:hint="default"/>
        </w:rPr>
      </w:pPr>
      <w:r>
        <w:rPr>
          <w:rFonts w:ascii="宋体" w:hAnsi="宋体" w:cs="宋体" w:eastAsia="宋体" w:hint="default"/>
        </w:rPr>
        <w:t>年</w:t>
      </w:r>
      <w:r>
        <w:rPr>
          <w:rFonts w:ascii="宋体" w:hAnsi="宋体" w:cs="宋体" w:eastAsia="宋体" w:hint="default"/>
          <w:spacing w:val="-19"/>
        </w:rPr>
        <w:t> </w:t>
      </w:r>
      <w:r>
        <w:rPr>
          <w:rFonts w:ascii="宋体" w:hAnsi="宋体" w:cs="宋体" w:eastAsia="宋体" w:hint="default"/>
        </w:rPr>
        <w:t>12</w:t>
      </w:r>
      <w:r>
        <w:rPr>
          <w:rFonts w:ascii="宋体" w:hAnsi="宋体" w:cs="宋体" w:eastAsia="宋体" w:hint="default"/>
          <w:spacing w:val="-19"/>
        </w:rPr>
        <w:t> </w:t>
      </w:r>
      <w:r>
        <w:rPr>
          <w:rFonts w:ascii="宋体" w:hAnsi="宋体" w:cs="宋体" w:eastAsia="宋体" w:hint="default"/>
        </w:rPr>
        <w:t>月</w:t>
      </w:r>
      <w:r>
        <w:rPr>
          <w:rFonts w:ascii="宋体" w:hAnsi="宋体" w:cs="宋体" w:eastAsia="宋体" w:hint="default"/>
          <w:spacing w:val="-19"/>
        </w:rPr>
        <w:t> </w:t>
      </w:r>
      <w:r>
        <w:rPr>
          <w:rFonts w:ascii="宋体" w:hAnsi="宋体" w:cs="宋体" w:eastAsia="宋体" w:hint="default"/>
        </w:rPr>
        <w:t>31</w:t>
      </w:r>
      <w:r>
        <w:rPr>
          <w:rFonts w:ascii="宋体" w:hAnsi="宋体" w:cs="宋体" w:eastAsia="宋体" w:hint="default"/>
          <w:spacing w:val="-19"/>
        </w:rPr>
        <w:t> </w:t>
      </w:r>
      <w:r>
        <w:rPr>
          <w:rFonts w:ascii="宋体" w:hAnsi="宋体" w:cs="宋体" w:eastAsia="宋体" w:hint="default"/>
          <w:spacing w:val="5"/>
        </w:rPr>
        <w:t>日止。详见《中国联合网络通信股份有限公司第五届董事会第四次会议决议公告》（公告编号：2016-</w:t>
      </w:r>
      <w:r>
        <w:rPr>
          <w:rFonts w:ascii="宋体" w:hAnsi="宋体" w:cs="宋体" w:eastAsia="宋体" w:hint="default"/>
          <w:spacing w:val="-69"/>
        </w:rPr>
        <w:t> </w:t>
      </w:r>
      <w:r>
        <w:rPr>
          <w:rFonts w:ascii="宋体" w:hAnsi="宋体" w:cs="宋体" w:eastAsia="宋体" w:hint="default"/>
          <w:spacing w:val="-69"/>
        </w:rPr>
      </w:r>
      <w:r>
        <w:rPr>
          <w:rFonts w:ascii="宋体" w:hAnsi="宋体" w:cs="宋体" w:eastAsia="宋体" w:hint="default"/>
        </w:rPr>
        <w:t>049）、《关于中国联合网络通信有限公司与中国联合网络通信集团有限公司签署 &lt;2017-2019 年综合服务协议 &gt; 的</w:t>
      </w:r>
      <w:r>
        <w:rPr>
          <w:rFonts w:ascii="宋体" w:hAnsi="宋体" w:cs="宋体" w:eastAsia="宋体" w:hint="default"/>
          <w:spacing w:val="-14"/>
        </w:rPr>
        <w:t> </w:t>
      </w:r>
      <w:r>
        <w:rPr>
          <w:rFonts w:ascii="宋体" w:hAnsi="宋体" w:cs="宋体" w:eastAsia="宋体" w:hint="default"/>
          <w:spacing w:val="-14"/>
        </w:rPr>
      </w:r>
      <w:r>
        <w:rPr>
          <w:rFonts w:ascii="宋体" w:hAnsi="宋体" w:cs="宋体" w:eastAsia="宋体" w:hint="default"/>
        </w:rPr>
        <w:t>日常关联交易公告》（公告编号：2016-051）、《中国联合网络通信股份有限公司 2016 年第一次临时股东大会决议</w:t>
      </w:r>
      <w:r>
        <w:rPr>
          <w:rFonts w:ascii="宋体" w:hAnsi="宋体" w:cs="宋体" w:eastAsia="宋体" w:hint="default"/>
          <w:spacing w:val="-17"/>
        </w:rPr>
        <w:t> </w:t>
      </w:r>
      <w:r>
        <w:rPr>
          <w:rFonts w:ascii="宋体" w:hAnsi="宋体" w:cs="宋体" w:eastAsia="宋体" w:hint="default"/>
          <w:spacing w:val="-17"/>
        </w:rPr>
      </w:r>
      <w:r>
        <w:rPr>
          <w:rFonts w:ascii="宋体" w:hAnsi="宋体" w:cs="宋体" w:eastAsia="宋体" w:hint="default"/>
          <w:w w:val="105"/>
        </w:rPr>
        <w:t>公告》（公告编号：2016-059）。</w:t>
      </w:r>
      <w:r>
        <w:rPr>
          <w:rFonts w:ascii="宋体" w:hAnsi="宋体" w:cs="宋体" w:eastAsia="宋体" w:hint="default"/>
        </w:rPr>
      </w:r>
    </w:p>
    <w:p>
      <w:pPr>
        <w:pStyle w:val="BodyText"/>
        <w:spacing w:line="285" w:lineRule="auto" w:before="123"/>
        <w:ind w:left="930" w:right="0"/>
        <w:jc w:val="left"/>
        <w:rPr>
          <w:rFonts w:ascii="宋体" w:hAnsi="宋体" w:cs="宋体" w:eastAsia="宋体" w:hint="default"/>
        </w:rPr>
      </w:pPr>
      <w:r>
        <w:rPr>
          <w:rFonts w:ascii="宋体" w:hAnsi="宋体" w:cs="宋体" w:eastAsia="宋体" w:hint="default"/>
        </w:rPr>
        <w:t>鉴于上述日常关联交易的“金融服务</w:t>
      </w:r>
      <w:r>
        <w:rPr>
          <w:rFonts w:ascii="宋体" w:hAnsi="宋体" w:cs="宋体" w:eastAsia="宋体" w:hint="default"/>
          <w:spacing w:val="-31"/>
        </w:rPr>
        <w:t> </w:t>
      </w:r>
      <w:r>
        <w:rPr>
          <w:rFonts w:ascii="宋体" w:hAnsi="宋体" w:cs="宋体" w:eastAsia="宋体" w:hint="default"/>
        </w:rPr>
        <w:t>-</w:t>
      </w:r>
      <w:r>
        <w:rPr>
          <w:rFonts w:ascii="宋体" w:hAnsi="宋体" w:cs="宋体" w:eastAsia="宋体" w:hint="default"/>
          <w:spacing w:val="-31"/>
        </w:rPr>
        <w:t> </w:t>
      </w:r>
      <w:r>
        <w:rPr>
          <w:rFonts w:ascii="宋体" w:hAnsi="宋体" w:cs="宋体" w:eastAsia="宋体" w:hint="default"/>
        </w:rPr>
        <w:t>贷款服务”实际发生金额已接近有关上限，为进一步满足联通运营公司资金管</w:t>
      </w:r>
      <w:r>
        <w:rPr>
          <w:rFonts w:ascii="宋体" w:hAnsi="宋体" w:cs="宋体" w:eastAsia="宋体" w:hint="default"/>
          <w:spacing w:val="-45"/>
        </w:rPr>
        <w:t> </w:t>
      </w:r>
      <w:r>
        <w:rPr>
          <w:rFonts w:ascii="宋体" w:hAnsi="宋体" w:cs="宋体" w:eastAsia="宋体" w:hint="default"/>
          <w:spacing w:val="-45"/>
        </w:rPr>
      </w:r>
      <w:r>
        <w:rPr>
          <w:rFonts w:ascii="宋体" w:hAnsi="宋体" w:cs="宋体" w:eastAsia="宋体" w:hint="default"/>
          <w:spacing w:val="-8"/>
        </w:rPr>
        <w:t>理需求，经公司于</w:t>
      </w:r>
      <w:r>
        <w:rPr>
          <w:rFonts w:ascii="宋体" w:hAnsi="宋体" w:cs="宋体" w:eastAsia="宋体" w:hint="default"/>
          <w:spacing w:val="-47"/>
        </w:rPr>
        <w:t> </w:t>
      </w:r>
      <w:r>
        <w:rPr>
          <w:rFonts w:ascii="宋体" w:hAnsi="宋体" w:cs="宋体" w:eastAsia="宋体" w:hint="default"/>
        </w:rPr>
        <w:t>2018</w:t>
      </w:r>
      <w:r>
        <w:rPr>
          <w:rFonts w:ascii="宋体" w:hAnsi="宋体" w:cs="宋体" w:eastAsia="宋体" w:hint="default"/>
          <w:spacing w:val="-47"/>
        </w:rPr>
        <w:t> </w:t>
      </w:r>
      <w:r>
        <w:rPr>
          <w:rFonts w:ascii="宋体" w:hAnsi="宋体" w:cs="宋体" w:eastAsia="宋体" w:hint="default"/>
        </w:rPr>
        <w:t>年</w:t>
      </w:r>
      <w:r>
        <w:rPr>
          <w:rFonts w:ascii="宋体" w:hAnsi="宋体" w:cs="宋体" w:eastAsia="宋体" w:hint="default"/>
          <w:spacing w:val="-47"/>
        </w:rPr>
        <w:t> </w:t>
      </w:r>
      <w:r>
        <w:rPr>
          <w:rFonts w:ascii="宋体" w:hAnsi="宋体" w:cs="宋体" w:eastAsia="宋体" w:hint="default"/>
        </w:rPr>
        <w:t>8</w:t>
      </w:r>
      <w:r>
        <w:rPr>
          <w:rFonts w:ascii="宋体" w:hAnsi="宋体" w:cs="宋体" w:eastAsia="宋体" w:hint="default"/>
          <w:spacing w:val="-47"/>
        </w:rPr>
        <w:t> </w:t>
      </w:r>
      <w:r>
        <w:rPr>
          <w:rFonts w:ascii="宋体" w:hAnsi="宋体" w:cs="宋体" w:eastAsia="宋体" w:hint="default"/>
        </w:rPr>
        <w:t>月</w:t>
      </w:r>
      <w:r>
        <w:rPr>
          <w:rFonts w:ascii="宋体" w:hAnsi="宋体" w:cs="宋体" w:eastAsia="宋体" w:hint="default"/>
          <w:spacing w:val="-47"/>
        </w:rPr>
        <w:t> </w:t>
      </w:r>
      <w:r>
        <w:rPr>
          <w:rFonts w:ascii="宋体" w:hAnsi="宋体" w:cs="宋体" w:eastAsia="宋体" w:hint="default"/>
        </w:rPr>
        <w:t>15</w:t>
      </w:r>
      <w:r>
        <w:rPr>
          <w:rFonts w:ascii="宋体" w:hAnsi="宋体" w:cs="宋体" w:eastAsia="宋体" w:hint="default"/>
          <w:spacing w:val="-47"/>
        </w:rPr>
        <w:t> </w:t>
      </w:r>
      <w:r>
        <w:rPr>
          <w:rFonts w:ascii="宋体" w:hAnsi="宋体" w:cs="宋体" w:eastAsia="宋体" w:hint="default"/>
          <w:spacing w:val="-5"/>
        </w:rPr>
        <w:t>日召开的第六届董事会第五次会议审议通过，公司将提高“金融服务</w:t>
      </w:r>
      <w:r>
        <w:rPr>
          <w:rFonts w:ascii="宋体" w:hAnsi="宋体" w:cs="宋体" w:eastAsia="宋体" w:hint="default"/>
          <w:spacing w:val="-47"/>
        </w:rPr>
        <w:t> </w:t>
      </w:r>
      <w:r>
        <w:rPr>
          <w:rFonts w:ascii="宋体" w:hAnsi="宋体" w:cs="宋体" w:eastAsia="宋体" w:hint="default"/>
        </w:rPr>
        <w:t>-</w:t>
      </w:r>
      <w:r>
        <w:rPr>
          <w:rFonts w:ascii="宋体" w:hAnsi="宋体" w:cs="宋体" w:eastAsia="宋体" w:hint="default"/>
          <w:spacing w:val="-47"/>
        </w:rPr>
        <w:t> </w:t>
      </w:r>
      <w:r>
        <w:rPr>
          <w:rFonts w:ascii="宋体" w:hAnsi="宋体" w:cs="宋体" w:eastAsia="宋体" w:hint="default"/>
          <w:spacing w:val="-8"/>
        </w:rPr>
        <w:t>贷款服务”2018</w:t>
      </w:r>
      <w:r>
        <w:rPr>
          <w:rFonts w:ascii="宋体" w:hAnsi="宋体" w:cs="宋体" w:eastAsia="宋体" w:hint="default"/>
          <w:spacing w:val="-39"/>
        </w:rPr>
        <w:t> </w:t>
      </w:r>
      <w:r>
        <w:rPr>
          <w:rFonts w:ascii="宋体" w:hAnsi="宋体" w:cs="宋体" w:eastAsia="宋体" w:hint="default"/>
          <w:spacing w:val="-39"/>
        </w:rPr>
      </w:r>
      <w:r>
        <w:rPr>
          <w:rFonts w:ascii="宋体" w:hAnsi="宋体" w:cs="宋体" w:eastAsia="宋体" w:hint="default"/>
        </w:rPr>
        <w:t>年及</w:t>
      </w:r>
      <w:r>
        <w:rPr>
          <w:rFonts w:ascii="宋体" w:hAnsi="宋体" w:cs="宋体" w:eastAsia="宋体" w:hint="default"/>
          <w:spacing w:val="-15"/>
        </w:rPr>
        <w:t> </w:t>
      </w:r>
      <w:r>
        <w:rPr>
          <w:rFonts w:ascii="宋体" w:hAnsi="宋体" w:cs="宋体" w:eastAsia="宋体" w:hint="default"/>
        </w:rPr>
        <w:t>2019</w:t>
      </w:r>
      <w:r>
        <w:rPr>
          <w:rFonts w:ascii="宋体" w:hAnsi="宋体" w:cs="宋体" w:eastAsia="宋体" w:hint="default"/>
          <w:spacing w:val="-15"/>
        </w:rPr>
        <w:t> </w:t>
      </w:r>
      <w:r>
        <w:rPr>
          <w:rFonts w:ascii="宋体" w:hAnsi="宋体" w:cs="宋体" w:eastAsia="宋体" w:hint="default"/>
          <w:spacing w:val="-3"/>
        </w:rPr>
        <w:t>年有关交易限额，即将协议中约定的“2017</w:t>
      </w:r>
      <w:r>
        <w:rPr>
          <w:rFonts w:ascii="宋体" w:hAnsi="宋体" w:cs="宋体" w:eastAsia="宋体" w:hint="default"/>
          <w:spacing w:val="-15"/>
        </w:rPr>
        <w:t> </w:t>
      </w:r>
      <w:r>
        <w:rPr>
          <w:rFonts w:ascii="宋体" w:hAnsi="宋体" w:cs="宋体" w:eastAsia="宋体" w:hint="default"/>
          <w:spacing w:val="-4"/>
        </w:rPr>
        <w:t>年、2018</w:t>
      </w:r>
      <w:r>
        <w:rPr>
          <w:rFonts w:ascii="宋体" w:hAnsi="宋体" w:cs="宋体" w:eastAsia="宋体" w:hint="default"/>
          <w:spacing w:val="-15"/>
        </w:rPr>
        <w:t> </w:t>
      </w:r>
      <w:r>
        <w:rPr>
          <w:rFonts w:ascii="宋体" w:hAnsi="宋体" w:cs="宋体" w:eastAsia="宋体" w:hint="default"/>
          <w:spacing w:val="-4"/>
        </w:rPr>
        <w:t>年、2019</w:t>
      </w:r>
      <w:r>
        <w:rPr>
          <w:rFonts w:ascii="宋体" w:hAnsi="宋体" w:cs="宋体" w:eastAsia="宋体" w:hint="default"/>
          <w:spacing w:val="-15"/>
        </w:rPr>
        <w:t> </w:t>
      </w:r>
      <w:r>
        <w:rPr>
          <w:rFonts w:ascii="宋体" w:hAnsi="宋体" w:cs="宋体" w:eastAsia="宋体" w:hint="default"/>
          <w:spacing w:val="-4"/>
        </w:rPr>
        <w:t>年乙方（联通运营公司）向甲方（联通集团）</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rPr>
        <w:t>提供的金融服务交易上限”中的“每日贷款余额（含利息）及每日其他授信服务余额不超过人民币</w:t>
      </w:r>
      <w:r>
        <w:rPr>
          <w:rFonts w:ascii="宋体" w:hAnsi="宋体" w:cs="宋体" w:eastAsia="宋体" w:hint="default"/>
          <w:spacing w:val="-41"/>
        </w:rPr>
        <w:t> </w:t>
      </w:r>
      <w:r>
        <w:rPr>
          <w:rFonts w:ascii="宋体" w:hAnsi="宋体" w:cs="宋体" w:eastAsia="宋体" w:hint="default"/>
        </w:rPr>
        <w:t>63</w:t>
      </w:r>
      <w:r>
        <w:rPr>
          <w:rFonts w:ascii="宋体" w:hAnsi="宋体" w:cs="宋体" w:eastAsia="宋体" w:hint="default"/>
          <w:spacing w:val="-41"/>
        </w:rPr>
        <w:t> </w:t>
      </w:r>
      <w:r>
        <w:rPr>
          <w:rFonts w:ascii="宋体" w:hAnsi="宋体" w:cs="宋体" w:eastAsia="宋体" w:hint="default"/>
        </w:rPr>
        <w:t>亿元”内容调整</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为“每日贷款余额（含利息）及每日其他授信服务余额各年分别不超过人民币</w:t>
      </w:r>
      <w:r>
        <w:rPr>
          <w:rFonts w:ascii="宋体" w:hAnsi="宋体" w:cs="宋体" w:eastAsia="宋体" w:hint="default"/>
          <w:spacing w:val="-28"/>
        </w:rPr>
        <w:t> </w:t>
      </w:r>
      <w:r>
        <w:rPr>
          <w:rFonts w:ascii="宋体" w:hAnsi="宋体" w:cs="宋体" w:eastAsia="宋体" w:hint="default"/>
        </w:rPr>
        <w:t>63</w:t>
      </w:r>
      <w:r>
        <w:rPr>
          <w:rFonts w:ascii="宋体" w:hAnsi="宋体" w:cs="宋体" w:eastAsia="宋体" w:hint="default"/>
          <w:spacing w:val="-28"/>
        </w:rPr>
        <w:t> </w:t>
      </w:r>
      <w:r>
        <w:rPr>
          <w:rFonts w:ascii="宋体" w:hAnsi="宋体" w:cs="宋体" w:eastAsia="宋体" w:hint="default"/>
        </w:rPr>
        <w:t>亿元、110</w:t>
      </w:r>
      <w:r>
        <w:rPr>
          <w:rFonts w:ascii="宋体" w:hAnsi="宋体" w:cs="宋体" w:eastAsia="宋体" w:hint="default"/>
          <w:spacing w:val="-28"/>
        </w:rPr>
        <w:t> </w:t>
      </w:r>
      <w:r>
        <w:rPr>
          <w:rFonts w:ascii="宋体" w:hAnsi="宋体" w:cs="宋体" w:eastAsia="宋体" w:hint="default"/>
        </w:rPr>
        <w:t>亿元、110</w:t>
      </w:r>
      <w:r>
        <w:rPr>
          <w:rFonts w:ascii="宋体" w:hAnsi="宋体" w:cs="宋体" w:eastAsia="宋体" w:hint="default"/>
          <w:spacing w:val="-28"/>
        </w:rPr>
        <w:t> </w:t>
      </w:r>
      <w:r>
        <w:rPr>
          <w:rFonts w:ascii="宋体" w:hAnsi="宋体" w:cs="宋体" w:eastAsia="宋体" w:hint="default"/>
        </w:rPr>
        <w:t>亿元”，原协</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w w:val="105"/>
        </w:rPr>
        <w:t>议的其他条款不变且有效。</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type w:val="continuous"/>
          <w:pgSz w:w="11910" w:h="16160"/>
          <w:pgMar w:top="1520" w:bottom="280" w:left="260" w:right="1220"/>
        </w:sectPr>
      </w:pPr>
    </w:p>
    <w:p>
      <w:pPr>
        <w:tabs>
          <w:tab w:pos="6661" w:val="left" w:leader="none"/>
        </w:tabs>
        <w:spacing w:before="61"/>
        <w:ind w:left="554" w:right="0" w:firstLine="0"/>
        <w:jc w:val="left"/>
        <w:rPr>
          <w:rFonts w:ascii="宋体" w:hAnsi="宋体" w:cs="宋体" w:eastAsia="宋体" w:hint="default"/>
          <w:sz w:val="16"/>
          <w:szCs w:val="16"/>
        </w:rPr>
      </w:pPr>
      <w:r>
        <w:rPr/>
        <w:pict>
          <v:group style="position:absolute;margin-left:18.4256pt;margin-top:147.402023pt;width:507pt;height:660.5pt;mso-position-horizontal-relative:page;mso-position-vertical-relative:page;z-index:-966136" coordorigin="369,2948" coordsize="10140,13210">
            <v:group style="position:absolute;left:1189;top:10460;width:8726;height:5698" coordorigin="1189,10460" coordsize="8726,5698">
              <v:shape style="position:absolute;left:1189;top:10460;width:8726;height:5698" coordorigin="1189,10460" coordsize="8726,5698" path="m7643,16157l1189,16157,3461,10460,9915,10460,7643,16157xe" filled="true" fillcolor="#8e9090" stroked="false">
                <v:path arrowok="t"/>
                <v:fill type="solid"/>
              </v:shape>
              <v:shape style="position:absolute;left:369;top:15176;width:188;height:188" type="#_x0000_t75" stroked="false">
                <v:imagedata r:id="rId76" o:title=""/>
              </v:shape>
            </v:group>
            <v:group style="position:absolute;left:486;top:15270;width:5145;height:2" coordorigin="486,15270" coordsize="5145,2">
              <v:shape style="position:absolute;left:486;top:15270;width:5145;height:2" coordorigin="486,15270" coordsize="5145,0" path="m486,15270l5631,15270e" filled="false" stroked="true" strokeweight=".956pt" strokecolor="#8e9090">
                <v:path arrowok="t"/>
              </v:shape>
            </v:group>
            <v:group style="position:absolute;left:850;top:2948;width:9638;height:12218" coordorigin="850,2948" coordsize="9638,12218">
              <v:shape style="position:absolute;left:850;top:2948;width:9638;height:12218" coordorigin="850,2948" coordsize="9638,12218" path="m850,15165l10488,15165,10488,2948,850,2948,850,15165xe" filled="true" fillcolor="#ffffff" stroked="false">
                <v:path arrowok="t"/>
                <v:fill type="solid"/>
              </v:shape>
            </v:group>
            <v:group style="position:absolute;left:1191;top:7325;width:4649;height:2" coordorigin="1191,7325" coordsize="4649,2">
              <v:shape style="position:absolute;left:1191;top:7325;width:4649;height:2" coordorigin="1191,7325" coordsize="4649,0" path="m1191,7325l5839,7325e" filled="false" stroked="true" strokeweight="2pt" strokecolor="#9c8758">
                <v:path arrowok="t"/>
              </v:shape>
            </v:group>
            <v:group style="position:absolute;left:5839;top:7325;width:4649;height:2" coordorigin="5839,7325" coordsize="4649,2">
              <v:shape style="position:absolute;left:5839;top:7325;width:4649;height:2" coordorigin="5839,7325" coordsize="4649,0" path="m5839,7325l10488,7325e" filled="false" stroked="true" strokeweight="2pt" strokecolor="#9c8758">
                <v:path arrowok="t"/>
              </v:shape>
            </v:group>
            <v:group style="position:absolute;left:1191;top:8347;width:4649;height:2" coordorigin="1191,8347" coordsize="4649,2">
              <v:shape style="position:absolute;left:1191;top:8347;width:4649;height:2" coordorigin="1191,8347" coordsize="4649,0" path="m1191,8347l5839,8347e" filled="false" stroked="true" strokeweight=".5pt" strokecolor="#000000">
                <v:path arrowok="t"/>
              </v:shape>
            </v:group>
            <v:group style="position:absolute;left:5839;top:8347;width:4649;height:2" coordorigin="5839,8347" coordsize="4649,2">
              <v:shape style="position:absolute;left:5839;top:8347;width:4649;height:2" coordorigin="5839,8347" coordsize="4649,0" path="m5839,8347l10488,8347e" filled="false" stroked="true" strokeweight=".5pt" strokecolor="#000000">
                <v:path arrowok="t"/>
              </v:shape>
            </v:group>
            <v:group style="position:absolute;left:1191;top:9539;width:4649;height:2" coordorigin="1191,9539" coordsize="4649,2">
              <v:shape style="position:absolute;left:1191;top:9539;width:4649;height:2" coordorigin="1191,9539" coordsize="4649,0" path="m1191,9539l5839,9539e" filled="false" stroked="true" strokeweight="2pt" strokecolor="#9c8758">
                <v:path arrowok="t"/>
              </v:shape>
            </v:group>
            <v:group style="position:absolute;left:5839;top:9539;width:4649;height:2" coordorigin="5839,9539" coordsize="4649,2">
              <v:shape style="position:absolute;left:5839;top:9539;width:4649;height:2" coordorigin="5839,9539" coordsize="4649,0" path="m5839,9539l10488,9539e" filled="false" stroked="true" strokeweight="2pt" strokecolor="#9c8758">
                <v:path arrowok="t"/>
              </v:shape>
            </v:group>
            <w10:wrap type="none"/>
          </v:group>
        </w:pict>
      </w:r>
      <w:r>
        <w:rPr>
          <w:rFonts w:ascii="Arial" w:hAnsi="Arial" w:cs="Arial" w:eastAsia="Arial" w:hint="default"/>
          <w:b/>
          <w:bCs/>
          <w:color w:val="9C8758"/>
          <w:spacing w:val="-1"/>
          <w:position w:val="2"/>
          <w:sz w:val="16"/>
          <w:szCs w:val="16"/>
        </w:rPr>
        <w:t>42</w:t>
        <w:tab/>
      </w:r>
      <w:r>
        <w:rPr>
          <w:rFonts w:ascii="宋体" w:hAnsi="宋体" w:cs="宋体" w:eastAsia="宋体" w:hint="default"/>
          <w:color w:val="595757"/>
          <w:spacing w:val="21"/>
          <w:sz w:val="16"/>
          <w:szCs w:val="16"/>
        </w:rPr>
        <w:t>重要事项</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266"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260" w:right="1220"/>
          <w:cols w:num="2" w:equalWidth="0">
            <w:col w:w="7417" w:space="40"/>
            <w:col w:w="2973"/>
          </w:cols>
        </w:sectPr>
      </w:pPr>
    </w:p>
    <w:p>
      <w:pPr>
        <w:spacing w:line="240" w:lineRule="auto" w:before="2"/>
        <w:rPr>
          <w:rFonts w:ascii="宋体" w:hAnsi="宋体" w:cs="宋体" w:eastAsia="宋体" w:hint="default"/>
          <w:sz w:val="16"/>
          <w:szCs w:val="16"/>
        </w:rPr>
      </w:pPr>
    </w:p>
    <w:p>
      <w:pPr>
        <w:pStyle w:val="BodyText"/>
        <w:spacing w:line="285" w:lineRule="auto" w:before="31"/>
        <w:ind w:left="457" w:right="847"/>
        <w:jc w:val="left"/>
        <w:rPr>
          <w:rFonts w:ascii="宋体" w:hAnsi="宋体" w:cs="宋体" w:eastAsia="宋体" w:hint="default"/>
        </w:rPr>
      </w:pPr>
      <w:r>
        <w:rPr>
          <w:rFonts w:ascii="宋体" w:hAnsi="宋体" w:cs="宋体" w:eastAsia="宋体" w:hint="default"/>
        </w:rPr>
        <w:t>有关详情请见公司于</w:t>
      </w:r>
      <w:r>
        <w:rPr>
          <w:rFonts w:ascii="宋体" w:hAnsi="宋体" w:cs="宋体" w:eastAsia="宋体" w:hint="default"/>
          <w:spacing w:val="-30"/>
        </w:rPr>
        <w:t> </w:t>
      </w:r>
      <w:r>
        <w:rPr>
          <w:rFonts w:ascii="宋体" w:hAnsi="宋体" w:cs="宋体" w:eastAsia="宋体" w:hint="default"/>
        </w:rPr>
        <w:t>2018</w:t>
      </w:r>
      <w:r>
        <w:rPr>
          <w:rFonts w:ascii="宋体" w:hAnsi="宋体" w:cs="宋体" w:eastAsia="宋体" w:hint="default"/>
          <w:spacing w:val="-30"/>
        </w:rPr>
        <w:t> </w:t>
      </w:r>
      <w:r>
        <w:rPr>
          <w:rFonts w:ascii="宋体" w:hAnsi="宋体" w:cs="宋体" w:eastAsia="宋体" w:hint="default"/>
        </w:rPr>
        <w:t>年</w:t>
      </w:r>
      <w:r>
        <w:rPr>
          <w:rFonts w:ascii="宋体" w:hAnsi="宋体" w:cs="宋体" w:eastAsia="宋体" w:hint="default"/>
          <w:spacing w:val="-30"/>
        </w:rPr>
        <w:t> </w:t>
      </w:r>
      <w:r>
        <w:rPr>
          <w:rFonts w:ascii="宋体" w:hAnsi="宋体" w:cs="宋体" w:eastAsia="宋体" w:hint="default"/>
        </w:rPr>
        <w:t>8</w:t>
      </w:r>
      <w:r>
        <w:rPr>
          <w:rFonts w:ascii="宋体" w:hAnsi="宋体" w:cs="宋体" w:eastAsia="宋体" w:hint="default"/>
          <w:spacing w:val="-30"/>
        </w:rPr>
        <w:t> </w:t>
      </w:r>
      <w:r>
        <w:rPr>
          <w:rFonts w:ascii="宋体" w:hAnsi="宋体" w:cs="宋体" w:eastAsia="宋体" w:hint="default"/>
        </w:rPr>
        <w:t>月</w:t>
      </w:r>
      <w:r>
        <w:rPr>
          <w:rFonts w:ascii="宋体" w:hAnsi="宋体" w:cs="宋体" w:eastAsia="宋体" w:hint="default"/>
          <w:spacing w:val="-30"/>
        </w:rPr>
        <w:t> </w:t>
      </w:r>
      <w:r>
        <w:rPr>
          <w:rFonts w:ascii="宋体" w:hAnsi="宋体" w:cs="宋体" w:eastAsia="宋体" w:hint="default"/>
        </w:rPr>
        <w:t>16</w:t>
      </w:r>
      <w:r>
        <w:rPr>
          <w:rFonts w:ascii="宋体" w:hAnsi="宋体" w:cs="宋体" w:eastAsia="宋体" w:hint="default"/>
          <w:spacing w:val="-30"/>
        </w:rPr>
        <w:t> </w:t>
      </w:r>
      <w:r>
        <w:rPr>
          <w:rFonts w:ascii="宋体" w:hAnsi="宋体" w:cs="宋体" w:eastAsia="宋体" w:hint="default"/>
        </w:rPr>
        <w:t>日在《中国证券报》《上海证券报》《证券时报》、上海证券交易所网站及本公</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rPr>
        <w:t>司网站发布的《中国联合网络通信股份有限公司关于调增相关日常关联交易额度的公告》（公告编号：2018-059）。</w:t>
      </w:r>
    </w:p>
    <w:p>
      <w:pPr>
        <w:spacing w:before="126"/>
        <w:ind w:left="457" w:right="3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共同对外投资的重大关联交易</w:t>
      </w:r>
    </w:p>
    <w:p>
      <w:pPr>
        <w:spacing w:line="240" w:lineRule="auto" w:before="11"/>
        <w:rPr>
          <w:rFonts w:ascii="宋体" w:hAnsi="宋体" w:cs="宋体" w:eastAsia="宋体" w:hint="default"/>
          <w:sz w:val="12"/>
          <w:szCs w:val="12"/>
        </w:rPr>
      </w:pPr>
    </w:p>
    <w:p>
      <w:pPr>
        <w:pStyle w:val="BodyText"/>
        <w:spacing w:line="240" w:lineRule="auto"/>
        <w:ind w:left="457" w:right="34"/>
        <w:jc w:val="left"/>
        <w:rPr>
          <w:rFonts w:ascii="宋体" w:hAnsi="宋体" w:cs="宋体" w:eastAsia="宋体" w:hint="default"/>
        </w:rPr>
      </w:pPr>
      <w:r>
        <w:rPr>
          <w:rFonts w:ascii="宋体" w:hAnsi="宋体" w:cs="宋体" w:eastAsia="宋体" w:hint="default"/>
          <w:color w:val="D7000F"/>
        </w:rPr>
        <w:t>1、已在临时公告披露且后续实施无进展或变化的事项</w:t>
      </w:r>
      <w:r>
        <w:rPr>
          <w:rFonts w:ascii="宋体" w:hAnsi="宋体" w:cs="宋体" w:eastAsia="宋体" w:hint="default"/>
        </w:rPr>
      </w:r>
    </w:p>
    <w:p>
      <w:pPr>
        <w:spacing w:line="240" w:lineRule="auto" w:before="7"/>
        <w:rPr>
          <w:rFonts w:ascii="宋体" w:hAnsi="宋体" w:cs="宋体" w:eastAsia="宋体" w:hint="default"/>
          <w:sz w:val="13"/>
          <w:szCs w:val="13"/>
        </w:rPr>
      </w:pPr>
    </w:p>
    <w:p>
      <w:pPr>
        <w:tabs>
          <w:tab w:pos="7286" w:val="left" w:leader="none"/>
        </w:tabs>
        <w:spacing w:before="0"/>
        <w:ind w:left="2637" w:right="34" w:firstLine="0"/>
        <w:jc w:val="left"/>
        <w:rPr>
          <w:rFonts w:ascii="宋体" w:hAnsi="宋体" w:cs="宋体" w:eastAsia="宋体" w:hint="default"/>
          <w:sz w:val="16"/>
          <w:szCs w:val="16"/>
        </w:rPr>
      </w:pPr>
      <w:r>
        <w:rPr>
          <w:rFonts w:ascii="宋体" w:hAnsi="宋体" w:cs="宋体" w:eastAsia="宋体" w:hint="default"/>
          <w:sz w:val="16"/>
          <w:szCs w:val="16"/>
        </w:rPr>
        <w:t>事项概述</w:t>
        <w:tab/>
        <w:t>查询索引</w:t>
      </w:r>
    </w:p>
    <w:p>
      <w:pPr>
        <w:spacing w:line="240" w:lineRule="auto" w:before="2"/>
        <w:rPr>
          <w:rFonts w:ascii="宋体" w:hAnsi="宋体" w:cs="宋体" w:eastAsia="宋体" w:hint="default"/>
          <w:sz w:val="7"/>
          <w:szCs w:val="7"/>
        </w:rPr>
      </w:pPr>
    </w:p>
    <w:p>
      <w:pPr>
        <w:spacing w:line="40" w:lineRule="exact"/>
        <w:ind w:left="43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5001;height:2" coordorigin="20,20" coordsize="5001,2">
              <v:shape style="position:absolute;left:20;top:20;width:5001;height:2" coordorigin="20,20" coordsize="5001,0" path="m20,20l5020,20e" filled="false" stroked="true" strokeweight="2pt" strokecolor="#9c8758">
                <v:path arrowok="t"/>
              </v:shape>
            </v:group>
            <v:group style="position:absolute;left:5020;top:20;width:4298;height:2" coordorigin="5020,20" coordsize="4298,2">
              <v:shape style="position:absolute;left:5020;top:20;width:4298;height:2" coordorigin="5020,20" coordsize="4298,0" path="m5020,20l9318,20e" filled="false" stroked="true" strokeweight="2pt" strokecolor="#9c8758">
                <v:path arrowok="t"/>
              </v:shape>
            </v:group>
          </v:group>
        </w:pict>
      </w:r>
      <w:r>
        <w:rPr>
          <w:rFonts w:ascii="宋体" w:hAnsi="宋体" w:cs="宋体" w:eastAsia="宋体" w:hint="default"/>
          <w:position w:val="0"/>
          <w:sz w:val="4"/>
          <w:szCs w:val="4"/>
        </w:rPr>
      </w:r>
    </w:p>
    <w:p>
      <w:pPr>
        <w:spacing w:line="240" w:lineRule="auto" w:before="3"/>
        <w:rPr>
          <w:rFonts w:ascii="宋体" w:hAnsi="宋体" w:cs="宋体" w:eastAsia="宋体" w:hint="default"/>
          <w:sz w:val="6"/>
          <w:szCs w:val="6"/>
        </w:rPr>
      </w:pPr>
    </w:p>
    <w:p>
      <w:pPr>
        <w:spacing w:after="0" w:line="240" w:lineRule="auto"/>
        <w:rPr>
          <w:rFonts w:ascii="宋体" w:hAnsi="宋体" w:cs="宋体" w:eastAsia="宋体" w:hint="default"/>
          <w:sz w:val="6"/>
          <w:szCs w:val="6"/>
        </w:rPr>
        <w:sectPr>
          <w:headerReference w:type="default" r:id="rId153"/>
          <w:headerReference w:type="even" r:id="rId154"/>
          <w:footerReference w:type="default" r:id="rId155"/>
          <w:pgSz w:w="11910" w:h="16160"/>
          <w:pgMar w:header="0" w:footer="298" w:top="2640" w:bottom="480" w:left="1300" w:right="0"/>
          <w:pgNumType w:start="43"/>
        </w:sectPr>
      </w:pPr>
    </w:p>
    <w:p>
      <w:pPr>
        <w:spacing w:line="200" w:lineRule="exact" w:before="65"/>
        <w:ind w:left="542" w:right="0" w:firstLine="0"/>
        <w:jc w:val="both"/>
        <w:rPr>
          <w:rFonts w:ascii="宋体" w:hAnsi="宋体" w:cs="宋体" w:eastAsia="宋体" w:hint="default"/>
          <w:sz w:val="16"/>
          <w:szCs w:val="16"/>
        </w:rPr>
      </w:pPr>
      <w:r>
        <w:rPr>
          <w:rFonts w:ascii="宋体" w:hAnsi="宋体" w:cs="宋体" w:eastAsia="宋体" w:hint="default"/>
          <w:sz w:val="16"/>
          <w:szCs w:val="16"/>
        </w:rPr>
        <w:t>报告期内，公司董事会同意联通运营公司（本公司控股子公司联通红 筹公司之全资子公司）与联通集团按照当前各自在联通集团财务有限 公司（以下简称“财务公司”）的持股比例，以现金方式向财务公司 同比例增资，其中联通运营公司增资人民币</w:t>
      </w:r>
      <w:r>
        <w:rPr>
          <w:rFonts w:ascii="宋体" w:hAnsi="宋体" w:cs="宋体" w:eastAsia="宋体" w:hint="default"/>
          <w:spacing w:val="-45"/>
          <w:sz w:val="16"/>
          <w:szCs w:val="16"/>
        </w:rPr>
        <w:t> </w:t>
      </w:r>
      <w:r>
        <w:rPr>
          <w:rFonts w:ascii="宋体" w:hAnsi="宋体" w:cs="宋体" w:eastAsia="宋体" w:hint="default"/>
          <w:sz w:val="16"/>
          <w:szCs w:val="16"/>
        </w:rPr>
        <w:t>63.7</w:t>
      </w:r>
      <w:r>
        <w:rPr>
          <w:rFonts w:ascii="宋体" w:hAnsi="宋体" w:cs="宋体" w:eastAsia="宋体" w:hint="default"/>
          <w:spacing w:val="-46"/>
          <w:sz w:val="16"/>
          <w:szCs w:val="16"/>
        </w:rPr>
        <w:t> </w:t>
      </w:r>
      <w:r>
        <w:rPr>
          <w:rFonts w:ascii="宋体" w:hAnsi="宋体" w:cs="宋体" w:eastAsia="宋体" w:hint="default"/>
          <w:sz w:val="16"/>
          <w:szCs w:val="16"/>
        </w:rPr>
        <w:t>亿元，联通集团增</w:t>
      </w:r>
    </w:p>
    <w:p>
      <w:pPr>
        <w:spacing w:line="183" w:lineRule="exact" w:before="0"/>
        <w:ind w:left="542" w:right="0" w:firstLine="0"/>
        <w:jc w:val="both"/>
        <w:rPr>
          <w:rFonts w:ascii="宋体" w:hAnsi="宋体" w:cs="宋体" w:eastAsia="宋体" w:hint="default"/>
          <w:sz w:val="16"/>
          <w:szCs w:val="16"/>
        </w:rPr>
      </w:pPr>
      <w:r>
        <w:rPr>
          <w:rFonts w:ascii="宋体" w:hAnsi="宋体" w:cs="宋体" w:eastAsia="宋体" w:hint="default"/>
          <w:sz w:val="16"/>
          <w:szCs w:val="16"/>
        </w:rPr>
        <w:t>资人民币</w:t>
      </w:r>
      <w:r>
        <w:rPr>
          <w:rFonts w:ascii="宋体" w:hAnsi="宋体" w:cs="宋体" w:eastAsia="宋体" w:hint="default"/>
          <w:spacing w:val="-50"/>
          <w:sz w:val="16"/>
          <w:szCs w:val="16"/>
        </w:rPr>
        <w:t> </w:t>
      </w:r>
      <w:r>
        <w:rPr>
          <w:rFonts w:ascii="宋体" w:hAnsi="宋体" w:cs="宋体" w:eastAsia="宋体" w:hint="default"/>
          <w:sz w:val="16"/>
          <w:szCs w:val="16"/>
        </w:rPr>
        <w:t>6.3</w:t>
      </w:r>
      <w:r>
        <w:rPr>
          <w:rFonts w:ascii="宋体" w:hAnsi="宋体" w:cs="宋体" w:eastAsia="宋体" w:hint="default"/>
          <w:spacing w:val="-50"/>
          <w:sz w:val="16"/>
          <w:szCs w:val="16"/>
        </w:rPr>
        <w:t> </w:t>
      </w:r>
      <w:r>
        <w:rPr>
          <w:rFonts w:ascii="宋体" w:hAnsi="宋体" w:cs="宋体" w:eastAsia="宋体" w:hint="default"/>
          <w:sz w:val="16"/>
          <w:szCs w:val="16"/>
        </w:rPr>
        <w:t>亿元。</w:t>
      </w:r>
    </w:p>
    <w:p>
      <w:pPr>
        <w:spacing w:line="200" w:lineRule="exact" w:before="65"/>
        <w:ind w:left="160" w:right="925" w:firstLine="0"/>
        <w:jc w:val="left"/>
        <w:rPr>
          <w:rFonts w:ascii="宋体" w:hAnsi="宋体" w:cs="宋体" w:eastAsia="宋体" w:hint="default"/>
          <w:sz w:val="16"/>
          <w:szCs w:val="16"/>
        </w:rPr>
      </w:pPr>
      <w:r>
        <w:rPr/>
        <w:br w:type="column"/>
      </w:r>
      <w:r>
        <w:rPr>
          <w:rFonts w:ascii="宋体" w:hAnsi="宋体" w:cs="宋体" w:eastAsia="宋体" w:hint="default"/>
          <w:sz w:val="16"/>
          <w:szCs w:val="16"/>
        </w:rPr>
        <w:t>详情请参见公司于</w:t>
      </w:r>
      <w:r>
        <w:rPr>
          <w:rFonts w:ascii="宋体" w:hAnsi="宋体" w:cs="宋体" w:eastAsia="宋体" w:hint="default"/>
          <w:spacing w:val="-36"/>
          <w:sz w:val="16"/>
          <w:szCs w:val="16"/>
        </w:rPr>
        <w:t> </w:t>
      </w:r>
      <w:r>
        <w:rPr>
          <w:rFonts w:ascii="宋体" w:hAnsi="宋体" w:cs="宋体" w:eastAsia="宋体" w:hint="default"/>
          <w:sz w:val="16"/>
          <w:szCs w:val="16"/>
        </w:rPr>
        <w:t>2018</w:t>
      </w:r>
      <w:r>
        <w:rPr>
          <w:rFonts w:ascii="宋体" w:hAnsi="宋体" w:cs="宋体" w:eastAsia="宋体" w:hint="default"/>
          <w:spacing w:val="-36"/>
          <w:sz w:val="16"/>
          <w:szCs w:val="16"/>
        </w:rPr>
        <w:t> </w:t>
      </w:r>
      <w:r>
        <w:rPr>
          <w:rFonts w:ascii="宋体" w:hAnsi="宋体" w:cs="宋体" w:eastAsia="宋体" w:hint="default"/>
          <w:sz w:val="16"/>
          <w:szCs w:val="16"/>
        </w:rPr>
        <w:t>年</w:t>
      </w:r>
      <w:r>
        <w:rPr>
          <w:rFonts w:ascii="宋体" w:hAnsi="宋体" w:cs="宋体" w:eastAsia="宋体" w:hint="default"/>
          <w:spacing w:val="-36"/>
          <w:sz w:val="16"/>
          <w:szCs w:val="16"/>
        </w:rPr>
        <w:t> </w:t>
      </w:r>
      <w:r>
        <w:rPr>
          <w:rFonts w:ascii="宋体" w:hAnsi="宋体" w:cs="宋体" w:eastAsia="宋体" w:hint="default"/>
          <w:sz w:val="16"/>
          <w:szCs w:val="16"/>
        </w:rPr>
        <w:t>1</w:t>
      </w:r>
      <w:r>
        <w:rPr>
          <w:rFonts w:ascii="宋体" w:hAnsi="宋体" w:cs="宋体" w:eastAsia="宋体" w:hint="default"/>
          <w:spacing w:val="-36"/>
          <w:sz w:val="16"/>
          <w:szCs w:val="16"/>
        </w:rPr>
        <w:t> </w:t>
      </w:r>
      <w:r>
        <w:rPr>
          <w:rFonts w:ascii="宋体" w:hAnsi="宋体" w:cs="宋体" w:eastAsia="宋体" w:hint="default"/>
          <w:sz w:val="16"/>
          <w:szCs w:val="16"/>
        </w:rPr>
        <w:t>月</w:t>
      </w:r>
      <w:r>
        <w:rPr>
          <w:rFonts w:ascii="宋体" w:hAnsi="宋体" w:cs="宋体" w:eastAsia="宋体" w:hint="default"/>
          <w:spacing w:val="-36"/>
          <w:sz w:val="16"/>
          <w:szCs w:val="16"/>
        </w:rPr>
        <w:t> </w:t>
      </w:r>
      <w:r>
        <w:rPr>
          <w:rFonts w:ascii="宋体" w:hAnsi="宋体" w:cs="宋体" w:eastAsia="宋体" w:hint="default"/>
          <w:sz w:val="16"/>
          <w:szCs w:val="16"/>
        </w:rPr>
        <w:t>24</w:t>
      </w:r>
      <w:r>
        <w:rPr>
          <w:rFonts w:ascii="宋体" w:hAnsi="宋体" w:cs="宋体" w:eastAsia="宋体" w:hint="default"/>
          <w:spacing w:val="-36"/>
          <w:sz w:val="16"/>
          <w:szCs w:val="16"/>
        </w:rPr>
        <w:t> </w:t>
      </w:r>
      <w:r>
        <w:rPr>
          <w:rFonts w:ascii="宋体" w:hAnsi="宋体" w:cs="宋体" w:eastAsia="宋体" w:hint="default"/>
          <w:spacing w:val="-6"/>
          <w:sz w:val="16"/>
          <w:szCs w:val="16"/>
        </w:rPr>
        <w:t>日在《中国证券报》《上</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z w:val="16"/>
          <w:szCs w:val="16"/>
        </w:rPr>
        <w:t>海证券报》《证券时报》、上海证券交易所网站及本公司 网站发布的《中国联合网络通信股份有限公司关于拟与关 联方共同增资联通集团财务有限公司暨关联交易的公告》</w:t>
      </w:r>
    </w:p>
    <w:p>
      <w:pPr>
        <w:spacing w:line="183" w:lineRule="exact" w:before="0"/>
        <w:ind w:left="160" w:right="925" w:firstLine="0"/>
        <w:jc w:val="left"/>
        <w:rPr>
          <w:rFonts w:ascii="宋体" w:hAnsi="宋体" w:cs="宋体" w:eastAsia="宋体" w:hint="default"/>
          <w:sz w:val="16"/>
          <w:szCs w:val="16"/>
        </w:rPr>
      </w:pPr>
      <w:r>
        <w:rPr>
          <w:rFonts w:ascii="宋体" w:hAnsi="宋体" w:cs="宋体" w:eastAsia="宋体" w:hint="default"/>
          <w:w w:val="105"/>
          <w:sz w:val="16"/>
          <w:szCs w:val="16"/>
        </w:rPr>
        <w:t>（公告编号：2018-004）</w:t>
      </w:r>
      <w:r>
        <w:rPr>
          <w:rFonts w:ascii="宋体" w:hAnsi="宋体" w:cs="宋体" w:eastAsia="宋体" w:hint="default"/>
          <w:sz w:val="16"/>
          <w:szCs w:val="16"/>
        </w:rPr>
      </w:r>
    </w:p>
    <w:p>
      <w:pPr>
        <w:spacing w:after="0" w:line="183" w:lineRule="exact"/>
        <w:jc w:val="left"/>
        <w:rPr>
          <w:rFonts w:ascii="宋体" w:hAnsi="宋体" w:cs="宋体" w:eastAsia="宋体" w:hint="default"/>
          <w:sz w:val="16"/>
          <w:szCs w:val="16"/>
        </w:rPr>
        <w:sectPr>
          <w:type w:val="continuous"/>
          <w:pgSz w:w="11910" w:h="16160"/>
          <w:pgMar w:top="1520" w:bottom="280" w:left="1300" w:right="0"/>
          <w:cols w:num="2" w:equalWidth="0">
            <w:col w:w="5343" w:space="40"/>
            <w:col w:w="5227"/>
          </w:cols>
        </w:sectPr>
      </w:pPr>
    </w:p>
    <w:p>
      <w:pPr>
        <w:spacing w:line="240" w:lineRule="auto" w:before="10"/>
        <w:rPr>
          <w:rFonts w:ascii="宋体" w:hAnsi="宋体" w:cs="宋体" w:eastAsia="宋体" w:hint="default"/>
          <w:sz w:val="13"/>
          <w:szCs w:val="13"/>
        </w:rPr>
      </w:pPr>
    </w:p>
    <w:p>
      <w:pPr>
        <w:spacing w:line="20" w:lineRule="exact"/>
        <w:ind w:left="452"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5001;height:2" coordorigin="5,5" coordsize="5001,2">
              <v:shape style="position:absolute;left:5;top:5;width:5001;height:2" coordorigin="5,5" coordsize="5001,0" path="m5,5l5005,5e" filled="false" stroked="true" strokeweight=".5pt" strokecolor="#000000">
                <v:path arrowok="t"/>
              </v:shape>
            </v:group>
            <v:group style="position:absolute;left:5005;top:5;width:4298;height:2" coordorigin="5005,5" coordsize="4298,2">
              <v:shape style="position:absolute;left:5005;top:5;width:4298;height:2" coordorigin="5005,5" coordsize="4298,0" path="m5005,5l9303,5e" filled="false" stroked="true" strokeweight=".5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4"/>
          <w:szCs w:val="14"/>
        </w:rPr>
      </w:pPr>
    </w:p>
    <w:p>
      <w:pPr>
        <w:pStyle w:val="BodyText"/>
        <w:spacing w:line="240" w:lineRule="auto" w:before="31"/>
        <w:ind w:left="457" w:right="0"/>
        <w:jc w:val="both"/>
        <w:rPr>
          <w:rFonts w:ascii="宋体" w:hAnsi="宋体" w:cs="宋体" w:eastAsia="宋体" w:hint="default"/>
        </w:rPr>
      </w:pPr>
      <w:r>
        <w:rPr>
          <w:rFonts w:ascii="宋体" w:hAnsi="宋体" w:cs="宋体" w:eastAsia="宋体" w:hint="default"/>
          <w:color w:val="D7000F"/>
        </w:rPr>
        <w:t>2、已在临时公告披露，但有后续实施的进展或变化的事项</w:t>
      </w:r>
      <w:r>
        <w:rPr>
          <w:rFonts w:ascii="宋体" w:hAnsi="宋体" w:cs="宋体" w:eastAsia="宋体" w:hint="default"/>
        </w:rPr>
      </w:r>
    </w:p>
    <w:p>
      <w:pPr>
        <w:pStyle w:val="BodyText"/>
        <w:spacing w:line="285" w:lineRule="auto" w:before="157"/>
        <w:ind w:left="457" w:right="843"/>
        <w:jc w:val="both"/>
        <w:rPr>
          <w:rFonts w:ascii="宋体" w:hAnsi="宋体" w:cs="宋体" w:eastAsia="宋体" w:hint="default"/>
        </w:rPr>
      </w:pPr>
      <w:r>
        <w:rPr>
          <w:rFonts w:ascii="宋体" w:hAnsi="宋体" w:cs="宋体" w:eastAsia="宋体" w:hint="default"/>
        </w:rPr>
        <w:t>报告期内，联通运营公司（本公司控股子公司联通红筹公司之全资子公司）与合营方招商银行股份有限公司共同增资</w:t>
      </w:r>
      <w:r>
        <w:rPr>
          <w:rFonts w:ascii="宋体" w:hAnsi="宋体" w:cs="宋体" w:eastAsia="宋体" w:hint="default"/>
          <w:spacing w:val="6"/>
        </w:rPr>
        <w:t> </w:t>
      </w:r>
      <w:r>
        <w:rPr>
          <w:rFonts w:ascii="宋体" w:hAnsi="宋体" w:cs="宋体" w:eastAsia="宋体" w:hint="default"/>
          <w:spacing w:val="6"/>
        </w:rPr>
      </w:r>
      <w:r>
        <w:rPr>
          <w:rFonts w:ascii="宋体" w:hAnsi="宋体" w:cs="宋体" w:eastAsia="宋体" w:hint="default"/>
        </w:rPr>
        <w:t>其合营企业招联消费金融有限公司</w:t>
      </w:r>
      <w:r>
        <w:rPr>
          <w:rFonts w:ascii="宋体" w:hAnsi="宋体" w:cs="宋体" w:eastAsia="宋体" w:hint="default"/>
          <w:spacing w:val="-60"/>
        </w:rPr>
        <w:t> </w:t>
      </w:r>
      <w:r>
        <w:rPr>
          <w:rFonts w:ascii="宋体" w:hAnsi="宋体" w:cs="宋体" w:eastAsia="宋体" w:hint="default"/>
          <w:w w:val="95"/>
        </w:rPr>
        <w:t>(</w:t>
      </w:r>
      <w:r>
        <w:rPr>
          <w:rFonts w:ascii="宋体" w:hAnsi="宋体" w:cs="宋体" w:eastAsia="宋体" w:hint="default"/>
          <w:spacing w:val="-56"/>
          <w:w w:val="95"/>
        </w:rPr>
        <w:t> </w:t>
      </w:r>
      <w:r>
        <w:rPr>
          <w:rFonts w:ascii="宋体" w:hAnsi="宋体" w:cs="宋体" w:eastAsia="宋体" w:hint="default"/>
        </w:rPr>
        <w:t>以下简称“招联公司”)，双方各自增资金额均为人民币</w:t>
      </w:r>
      <w:r>
        <w:rPr>
          <w:rFonts w:ascii="宋体" w:hAnsi="宋体" w:cs="宋体" w:eastAsia="宋体" w:hint="default"/>
          <w:spacing w:val="-60"/>
        </w:rPr>
        <w:t> </w:t>
      </w:r>
      <w:r>
        <w:rPr>
          <w:rFonts w:ascii="宋体" w:hAnsi="宋体" w:cs="宋体" w:eastAsia="宋体" w:hint="default"/>
        </w:rPr>
        <w:t>10</w:t>
      </w:r>
      <w:r>
        <w:rPr>
          <w:rFonts w:ascii="宋体" w:hAnsi="宋体" w:cs="宋体" w:eastAsia="宋体" w:hint="default"/>
          <w:spacing w:val="-60"/>
        </w:rPr>
        <w:t> </w:t>
      </w:r>
      <w:r>
        <w:rPr>
          <w:rFonts w:ascii="宋体" w:hAnsi="宋体" w:cs="宋体" w:eastAsia="宋体" w:hint="default"/>
        </w:rPr>
        <w:t>亿元。除联通运营公司</w:t>
      </w:r>
      <w:r>
        <w:rPr>
          <w:rFonts w:ascii="宋体" w:hAnsi="宋体" w:cs="宋体" w:eastAsia="宋体" w:hint="default"/>
        </w:rPr>
        <w:t> 在</w:t>
      </w:r>
      <w:r>
        <w:rPr>
          <w:rFonts w:ascii="宋体" w:hAnsi="宋体" w:cs="宋体" w:eastAsia="宋体" w:hint="default"/>
          <w:spacing w:val="-36"/>
        </w:rPr>
        <w:t> </w:t>
      </w:r>
      <w:r>
        <w:rPr>
          <w:rFonts w:ascii="宋体" w:hAnsi="宋体" w:cs="宋体" w:eastAsia="宋体" w:hint="default"/>
        </w:rPr>
        <w:t>2017</w:t>
      </w:r>
      <w:r>
        <w:rPr>
          <w:rFonts w:ascii="宋体" w:hAnsi="宋体" w:cs="宋体" w:eastAsia="宋体" w:hint="default"/>
          <w:spacing w:val="-36"/>
        </w:rPr>
        <w:t> </w:t>
      </w:r>
      <w:r>
        <w:rPr>
          <w:rFonts w:ascii="宋体" w:hAnsi="宋体" w:cs="宋体" w:eastAsia="宋体" w:hint="default"/>
        </w:rPr>
        <w:t>年</w:t>
      </w:r>
      <w:r>
        <w:rPr>
          <w:rFonts w:ascii="宋体" w:hAnsi="宋体" w:cs="宋体" w:eastAsia="宋体" w:hint="default"/>
          <w:spacing w:val="-36"/>
        </w:rPr>
        <w:t> </w:t>
      </w:r>
      <w:r>
        <w:rPr>
          <w:rFonts w:ascii="宋体" w:hAnsi="宋体" w:cs="宋体" w:eastAsia="宋体" w:hint="default"/>
        </w:rPr>
        <w:t>12</w:t>
      </w:r>
      <w:r>
        <w:rPr>
          <w:rFonts w:ascii="宋体" w:hAnsi="宋体" w:cs="宋体" w:eastAsia="宋体" w:hint="default"/>
          <w:spacing w:val="-36"/>
        </w:rPr>
        <w:t> </w:t>
      </w:r>
      <w:r>
        <w:rPr>
          <w:rFonts w:ascii="宋体" w:hAnsi="宋体" w:cs="宋体" w:eastAsia="宋体" w:hint="default"/>
          <w:spacing w:val="2"/>
        </w:rPr>
        <w:t>月对招联公司增资人民币</w:t>
      </w:r>
      <w:r>
        <w:rPr>
          <w:rFonts w:ascii="宋体" w:hAnsi="宋体" w:cs="宋体" w:eastAsia="宋体" w:hint="default"/>
          <w:spacing w:val="-36"/>
        </w:rPr>
        <w:t> </w:t>
      </w:r>
      <w:r>
        <w:rPr>
          <w:rFonts w:ascii="宋体" w:hAnsi="宋体" w:cs="宋体" w:eastAsia="宋体" w:hint="default"/>
        </w:rPr>
        <w:t>6</w:t>
      </w:r>
      <w:r>
        <w:rPr>
          <w:rFonts w:ascii="宋体" w:hAnsi="宋体" w:cs="宋体" w:eastAsia="宋体" w:hint="default"/>
          <w:spacing w:val="-36"/>
        </w:rPr>
        <w:t> </w:t>
      </w:r>
      <w:r>
        <w:rPr>
          <w:rFonts w:ascii="宋体" w:hAnsi="宋体" w:cs="宋体" w:eastAsia="宋体" w:hint="default"/>
          <w:spacing w:val="2"/>
        </w:rPr>
        <w:t>亿元外，本公司及下属子公司在本次增资过去</w:t>
      </w:r>
      <w:r>
        <w:rPr>
          <w:rFonts w:ascii="宋体" w:hAnsi="宋体" w:cs="宋体" w:eastAsia="宋体" w:hint="default"/>
          <w:spacing w:val="-36"/>
        </w:rPr>
        <w:t> </w:t>
      </w:r>
      <w:r>
        <w:rPr>
          <w:rFonts w:ascii="宋体" w:hAnsi="宋体" w:cs="宋体" w:eastAsia="宋体" w:hint="default"/>
        </w:rPr>
        <w:t>12</w:t>
      </w:r>
      <w:r>
        <w:rPr>
          <w:rFonts w:ascii="宋体" w:hAnsi="宋体" w:cs="宋体" w:eastAsia="宋体" w:hint="default"/>
          <w:spacing w:val="-36"/>
        </w:rPr>
        <w:t> </w:t>
      </w:r>
      <w:r>
        <w:rPr>
          <w:rFonts w:ascii="宋体" w:hAnsi="宋体" w:cs="宋体" w:eastAsia="宋体" w:hint="default"/>
          <w:spacing w:val="2"/>
        </w:rPr>
        <w:t>个月未与同一关联人招联</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公司进行过同类交易。增资完成后，联通运营公司持有招联公司股权比例不变，仍为</w:t>
      </w:r>
      <w:r>
        <w:rPr>
          <w:rFonts w:ascii="宋体" w:hAnsi="宋体" w:cs="宋体" w:eastAsia="宋体" w:hint="default"/>
          <w:spacing w:val="64"/>
        </w:rPr>
        <w:t> </w:t>
      </w:r>
      <w:r>
        <w:rPr>
          <w:rFonts w:ascii="宋体" w:hAnsi="宋体" w:cs="宋体" w:eastAsia="宋体" w:hint="default"/>
        </w:rPr>
        <w:t>50%。</w:t>
      </w:r>
    </w:p>
    <w:p>
      <w:pPr>
        <w:spacing w:line="240" w:lineRule="auto" w:before="10"/>
        <w:rPr>
          <w:rFonts w:ascii="宋体" w:hAnsi="宋体" w:cs="宋体" w:eastAsia="宋体" w:hint="default"/>
          <w:sz w:val="13"/>
          <w:szCs w:val="13"/>
        </w:rPr>
      </w:pPr>
    </w:p>
    <w:p>
      <w:pPr>
        <w:pStyle w:val="BodyText"/>
        <w:spacing w:line="285" w:lineRule="auto"/>
        <w:ind w:left="457" w:right="848"/>
        <w:jc w:val="both"/>
        <w:rPr>
          <w:rFonts w:ascii="宋体" w:hAnsi="宋体" w:cs="宋体" w:eastAsia="宋体" w:hint="default"/>
        </w:rPr>
      </w:pPr>
      <w:r>
        <w:rPr>
          <w:rFonts w:ascii="宋体" w:hAnsi="宋体" w:cs="宋体" w:eastAsia="宋体" w:hint="default"/>
        </w:rPr>
        <w:t>该事项于</w:t>
      </w:r>
      <w:r>
        <w:rPr>
          <w:rFonts w:ascii="宋体" w:hAnsi="宋体" w:cs="宋体" w:eastAsia="宋体" w:hint="default"/>
          <w:spacing w:val="-35"/>
        </w:rPr>
        <w:t> </w:t>
      </w:r>
      <w:r>
        <w:rPr>
          <w:rFonts w:ascii="宋体" w:hAnsi="宋体" w:cs="宋体" w:eastAsia="宋体" w:hint="default"/>
        </w:rPr>
        <w:t>2018</w:t>
      </w:r>
      <w:r>
        <w:rPr>
          <w:rFonts w:ascii="宋体" w:hAnsi="宋体" w:cs="宋体" w:eastAsia="宋体" w:hint="default"/>
          <w:spacing w:val="-35"/>
        </w:rPr>
        <w:t> </w:t>
      </w:r>
      <w:r>
        <w:rPr>
          <w:rFonts w:ascii="宋体" w:hAnsi="宋体" w:cs="宋体" w:eastAsia="宋体" w:hint="default"/>
        </w:rPr>
        <w:t>年底增资完成，详情请参见公司于</w:t>
      </w:r>
      <w:r>
        <w:rPr>
          <w:rFonts w:ascii="宋体" w:hAnsi="宋体" w:cs="宋体" w:eastAsia="宋体" w:hint="default"/>
          <w:spacing w:val="-35"/>
        </w:rPr>
        <w:t> </w:t>
      </w:r>
      <w:r>
        <w:rPr>
          <w:rFonts w:ascii="宋体" w:hAnsi="宋体" w:cs="宋体" w:eastAsia="宋体" w:hint="default"/>
        </w:rPr>
        <w:t>2018</w:t>
      </w:r>
      <w:r>
        <w:rPr>
          <w:rFonts w:ascii="宋体" w:hAnsi="宋体" w:cs="宋体" w:eastAsia="宋体" w:hint="default"/>
          <w:spacing w:val="-35"/>
        </w:rPr>
        <w:t> </w:t>
      </w:r>
      <w:r>
        <w:rPr>
          <w:rFonts w:ascii="宋体" w:hAnsi="宋体" w:cs="宋体" w:eastAsia="宋体" w:hint="default"/>
        </w:rPr>
        <w:t>年</w:t>
      </w:r>
      <w:r>
        <w:rPr>
          <w:rFonts w:ascii="宋体" w:hAnsi="宋体" w:cs="宋体" w:eastAsia="宋体" w:hint="default"/>
          <w:spacing w:val="-35"/>
        </w:rPr>
        <w:t> </w:t>
      </w:r>
      <w:r>
        <w:rPr>
          <w:rFonts w:ascii="宋体" w:hAnsi="宋体" w:cs="宋体" w:eastAsia="宋体" w:hint="default"/>
        </w:rPr>
        <w:t>12</w:t>
      </w:r>
      <w:r>
        <w:rPr>
          <w:rFonts w:ascii="宋体" w:hAnsi="宋体" w:cs="宋体" w:eastAsia="宋体" w:hint="default"/>
          <w:spacing w:val="-35"/>
        </w:rPr>
        <w:t> </w:t>
      </w:r>
      <w:r>
        <w:rPr>
          <w:rFonts w:ascii="宋体" w:hAnsi="宋体" w:cs="宋体" w:eastAsia="宋体" w:hint="default"/>
        </w:rPr>
        <w:t>月</w:t>
      </w:r>
      <w:r>
        <w:rPr>
          <w:rFonts w:ascii="宋体" w:hAnsi="宋体" w:cs="宋体" w:eastAsia="宋体" w:hint="default"/>
          <w:spacing w:val="-35"/>
        </w:rPr>
        <w:t> </w:t>
      </w:r>
      <w:r>
        <w:rPr>
          <w:rFonts w:ascii="宋体" w:hAnsi="宋体" w:cs="宋体" w:eastAsia="宋体" w:hint="default"/>
        </w:rPr>
        <w:t>5</w:t>
      </w:r>
      <w:r>
        <w:rPr>
          <w:rFonts w:ascii="宋体" w:hAnsi="宋体" w:cs="宋体" w:eastAsia="宋体" w:hint="default"/>
          <w:spacing w:val="-35"/>
        </w:rPr>
        <w:t> </w:t>
      </w:r>
      <w:r>
        <w:rPr>
          <w:rFonts w:ascii="宋体" w:hAnsi="宋体" w:cs="宋体" w:eastAsia="宋体" w:hint="default"/>
          <w:spacing w:val="-3"/>
        </w:rPr>
        <w:t>日在《中国证券报》《上海证券报》《证券时报》、</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上海证券交易所网站及本公司网站发布的《中国联合网络通信股份有限公司关于中国联合网络通信有限公司向其合营</w:t>
      </w:r>
      <w:r>
        <w:rPr>
          <w:rFonts w:ascii="宋体" w:hAnsi="宋体" w:cs="宋体" w:eastAsia="宋体" w:hint="default"/>
          <w:spacing w:val="9"/>
        </w:rPr>
        <w:t> </w:t>
      </w:r>
      <w:r>
        <w:rPr>
          <w:rFonts w:ascii="宋体" w:hAnsi="宋体" w:cs="宋体" w:eastAsia="宋体" w:hint="default"/>
          <w:spacing w:val="9"/>
        </w:rPr>
      </w:r>
      <w:r>
        <w:rPr>
          <w:rFonts w:ascii="宋体" w:hAnsi="宋体" w:cs="宋体" w:eastAsia="宋体" w:hint="default"/>
        </w:rPr>
        <w:t>企业招联消费金融有限公司增资暨关联交易的公告》（公告编号：2018-078）。</w:t>
      </w:r>
    </w:p>
    <w:p>
      <w:pPr>
        <w:spacing w:line="240" w:lineRule="auto" w:before="10"/>
        <w:rPr>
          <w:rFonts w:ascii="宋体" w:hAnsi="宋体" w:cs="宋体" w:eastAsia="宋体" w:hint="default"/>
          <w:sz w:val="26"/>
          <w:szCs w:val="26"/>
        </w:rPr>
      </w:pPr>
    </w:p>
    <w:p>
      <w:pPr>
        <w:pStyle w:val="BodyText"/>
        <w:spacing w:line="240" w:lineRule="auto"/>
        <w:ind w:left="117" w:right="34"/>
        <w:jc w:val="left"/>
        <w:rPr>
          <w:rFonts w:ascii="宋体" w:hAnsi="宋体" w:cs="宋体" w:eastAsia="宋体" w:hint="default"/>
        </w:rPr>
      </w:pPr>
      <w:r>
        <w:rPr>
          <w:rFonts w:ascii="宋体" w:hAnsi="宋体" w:cs="宋体" w:eastAsia="宋体" w:hint="default"/>
          <w:color w:val="D7000F"/>
        </w:rPr>
        <w:t>九、重大合同及其履行情况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117" w:right="3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委托他人进行现金资产管理的情况</w:t>
      </w:r>
    </w:p>
    <w:p>
      <w:pPr>
        <w:spacing w:line="240" w:lineRule="auto" w:before="11"/>
        <w:rPr>
          <w:rFonts w:ascii="宋体" w:hAnsi="宋体" w:cs="宋体" w:eastAsia="宋体" w:hint="default"/>
          <w:sz w:val="12"/>
          <w:szCs w:val="12"/>
        </w:rPr>
      </w:pPr>
    </w:p>
    <w:p>
      <w:pPr>
        <w:pStyle w:val="BodyText"/>
        <w:spacing w:line="400" w:lineRule="auto"/>
        <w:ind w:left="457" w:right="8888"/>
        <w:jc w:val="left"/>
        <w:rPr>
          <w:rFonts w:ascii="宋体" w:hAnsi="宋体" w:cs="宋体" w:eastAsia="宋体" w:hint="default"/>
        </w:rPr>
      </w:pPr>
      <w:r>
        <w:rPr>
          <w:rFonts w:ascii="宋体" w:hAnsi="宋体" w:cs="宋体" w:eastAsia="宋体" w:hint="default"/>
          <w:color w:val="D7000F"/>
        </w:rPr>
        <w:t>1.</w:t>
      </w:r>
      <w:r>
        <w:rPr>
          <w:rFonts w:ascii="宋体" w:hAnsi="宋体" w:cs="宋体" w:eastAsia="宋体" w:hint="default"/>
          <w:color w:val="D7000F"/>
          <w:spacing w:val="-72"/>
        </w:rPr>
        <w:t> </w:t>
      </w:r>
      <w:r>
        <w:rPr>
          <w:rFonts w:ascii="宋体" w:hAnsi="宋体" w:cs="宋体" w:eastAsia="宋体" w:hint="default"/>
          <w:color w:val="D7000F"/>
        </w:rPr>
        <w:t>委托贷款情况</w:t>
      </w:r>
      <w:r>
        <w:rPr>
          <w:rFonts w:ascii="宋体" w:hAnsi="宋体" w:cs="宋体" w:eastAsia="宋体" w:hint="default"/>
          <w:color w:val="D7000F"/>
        </w:rPr>
        <w:t> </w:t>
      </w:r>
      <w:r>
        <w:rPr>
          <w:rFonts w:ascii="宋体" w:hAnsi="宋体" w:cs="宋体" w:eastAsia="宋体" w:hint="default"/>
        </w:rPr>
        <w:t>其他情况</w:t>
      </w:r>
    </w:p>
    <w:p>
      <w:pPr>
        <w:pStyle w:val="BodyText"/>
        <w:spacing w:line="240" w:lineRule="auto" w:before="37"/>
        <w:ind w:left="457" w:right="0"/>
        <w:jc w:val="both"/>
        <w:rPr>
          <w:rFonts w:ascii="宋体" w:hAnsi="宋体" w:cs="宋体" w:eastAsia="宋体" w:hint="default"/>
        </w:rPr>
      </w:pPr>
      <w:r>
        <w:rPr>
          <w:rFonts w:ascii="宋体" w:hAnsi="宋体" w:cs="宋体" w:eastAsia="宋体" w:hint="default"/>
        </w:rPr>
        <w:t>详见第十一节财务报告附注十五 -4</w:t>
      </w:r>
      <w:r>
        <w:rPr>
          <w:rFonts w:ascii="宋体" w:hAnsi="宋体" w:cs="宋体" w:eastAsia="宋体" w:hint="default"/>
          <w:spacing w:val="-53"/>
        </w:rPr>
        <w:t> </w:t>
      </w:r>
      <w:r>
        <w:rPr>
          <w:rFonts w:ascii="宋体" w:hAnsi="宋体" w:cs="宋体" w:eastAsia="宋体" w:hint="default"/>
        </w:rPr>
        <w:t>其他非流动资产。</w:t>
      </w:r>
    </w:p>
    <w:p>
      <w:pPr>
        <w:spacing w:line="240" w:lineRule="auto" w:before="1"/>
        <w:rPr>
          <w:rFonts w:ascii="宋体" w:hAnsi="宋体" w:cs="宋体" w:eastAsia="宋体" w:hint="default"/>
          <w:sz w:val="25"/>
          <w:szCs w:val="25"/>
        </w:rPr>
      </w:pPr>
    </w:p>
    <w:p>
      <w:pPr>
        <w:pStyle w:val="BodyText"/>
        <w:spacing w:line="240" w:lineRule="auto"/>
        <w:ind w:left="117" w:right="34"/>
        <w:jc w:val="left"/>
        <w:rPr>
          <w:rFonts w:ascii="宋体" w:hAnsi="宋体" w:cs="宋体" w:eastAsia="宋体" w:hint="default"/>
        </w:rPr>
      </w:pPr>
      <w:r>
        <w:rPr>
          <w:rFonts w:ascii="宋体" w:hAnsi="宋体" w:cs="宋体" w:eastAsia="宋体" w:hint="default"/>
          <w:color w:val="D7000F"/>
        </w:rPr>
        <w:t>十、积极履行社会责任的工作情况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117" w:right="3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上市公司扶贫工作情况</w:t>
      </w:r>
    </w:p>
    <w:p>
      <w:pPr>
        <w:spacing w:line="240" w:lineRule="auto" w:before="11"/>
        <w:rPr>
          <w:rFonts w:ascii="宋体" w:hAnsi="宋体" w:cs="宋体" w:eastAsia="宋体" w:hint="default"/>
          <w:sz w:val="12"/>
          <w:szCs w:val="12"/>
        </w:rPr>
      </w:pPr>
    </w:p>
    <w:p>
      <w:pPr>
        <w:pStyle w:val="BodyText"/>
        <w:spacing w:line="240" w:lineRule="auto"/>
        <w:ind w:left="457" w:right="0"/>
        <w:jc w:val="both"/>
        <w:rPr>
          <w:rFonts w:ascii="宋体" w:hAnsi="宋体" w:cs="宋体" w:eastAsia="宋体" w:hint="default"/>
        </w:rPr>
      </w:pPr>
      <w:r>
        <w:rPr>
          <w:rFonts w:ascii="宋体" w:hAnsi="宋体" w:cs="宋体" w:eastAsia="宋体" w:hint="default"/>
          <w:color w:val="D7000F"/>
          <w:w w:val="95"/>
        </w:rPr>
        <w:t>1.</w:t>
      </w:r>
      <w:r>
        <w:rPr>
          <w:rFonts w:ascii="宋体" w:hAnsi="宋体" w:cs="宋体" w:eastAsia="宋体" w:hint="default"/>
          <w:color w:val="D7000F"/>
          <w:spacing w:val="-8"/>
          <w:w w:val="95"/>
        </w:rPr>
        <w:t> </w:t>
      </w:r>
      <w:r>
        <w:rPr>
          <w:rFonts w:ascii="宋体" w:hAnsi="宋体" w:cs="宋体" w:eastAsia="宋体" w:hint="default"/>
          <w:color w:val="D7000F"/>
          <w:w w:val="95"/>
        </w:rPr>
        <w:t>精准扶贫规划</w:t>
      </w:r>
      <w:r>
        <w:rPr>
          <w:rFonts w:ascii="宋体" w:hAnsi="宋体" w:cs="宋体" w:eastAsia="宋体" w:hint="default"/>
          <w:w w:val="95"/>
        </w:rPr>
      </w:r>
    </w:p>
    <w:p>
      <w:pPr>
        <w:pStyle w:val="BodyText"/>
        <w:spacing w:line="285" w:lineRule="auto" w:before="157"/>
        <w:ind w:left="457" w:right="758"/>
        <w:jc w:val="both"/>
        <w:rPr>
          <w:rFonts w:ascii="宋体" w:hAnsi="宋体" w:cs="宋体" w:eastAsia="宋体" w:hint="default"/>
        </w:rPr>
      </w:pPr>
      <w:r>
        <w:rPr>
          <w:rFonts w:ascii="宋体" w:hAnsi="宋体" w:cs="宋体" w:eastAsia="宋体" w:hint="default"/>
          <w:spacing w:val="-7"/>
        </w:rPr>
        <w:t>本公司控股股东联通集团编制中国联通帮扶定点扶贫“十三五”规划，以地方政府为主导，围绕精准扶贫，安排帮扶项目，</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rPr>
        <w:t>拨付扶贫资金，确保定点扶贫取得实效。</w:t>
      </w:r>
    </w:p>
    <w:p>
      <w:pPr>
        <w:pStyle w:val="BodyText"/>
        <w:spacing w:line="240" w:lineRule="auto" w:before="123"/>
        <w:ind w:left="457" w:right="0"/>
        <w:jc w:val="both"/>
        <w:rPr>
          <w:rFonts w:ascii="宋体" w:hAnsi="宋体" w:cs="宋体" w:eastAsia="宋体" w:hint="default"/>
        </w:rPr>
      </w:pPr>
      <w:r>
        <w:rPr>
          <w:rFonts w:ascii="宋体" w:hAnsi="宋体" w:cs="宋体" w:eastAsia="宋体" w:hint="default"/>
          <w:color w:val="D7000F"/>
          <w:w w:val="95"/>
        </w:rPr>
        <w:t>2.</w:t>
      </w:r>
      <w:r>
        <w:rPr>
          <w:rFonts w:ascii="宋体" w:hAnsi="宋体" w:cs="宋体" w:eastAsia="宋体" w:hint="default"/>
          <w:color w:val="D7000F"/>
          <w:spacing w:val="10"/>
          <w:w w:val="95"/>
        </w:rPr>
        <w:t> </w:t>
      </w:r>
      <w:r>
        <w:rPr>
          <w:rFonts w:ascii="宋体" w:hAnsi="宋体" w:cs="宋体" w:eastAsia="宋体" w:hint="default"/>
          <w:color w:val="D7000F"/>
          <w:w w:val="95"/>
        </w:rPr>
        <w:t>年度精准扶贫概要</w:t>
      </w:r>
      <w:r>
        <w:rPr>
          <w:rFonts w:ascii="宋体" w:hAnsi="宋体" w:cs="宋体" w:eastAsia="宋体" w:hint="default"/>
          <w:w w:val="95"/>
        </w:rPr>
      </w:r>
    </w:p>
    <w:p>
      <w:pPr>
        <w:pStyle w:val="BodyText"/>
        <w:spacing w:line="285" w:lineRule="auto" w:before="157"/>
        <w:ind w:left="457" w:right="844"/>
        <w:jc w:val="both"/>
        <w:rPr>
          <w:rFonts w:ascii="宋体" w:hAnsi="宋体" w:cs="宋体" w:eastAsia="宋体" w:hint="default"/>
        </w:rPr>
      </w:pPr>
      <w:r>
        <w:rPr>
          <w:rFonts w:ascii="宋体" w:hAnsi="宋体" w:cs="宋体" w:eastAsia="宋体" w:hint="default"/>
        </w:rPr>
        <w:t>积极贯彻落实国家精准扶贫战略，搭建大扶贫格局，完善各级单位扶贫攻坚组织保障，出台各类扶贫制度</w:t>
      </w:r>
      <w:r>
        <w:rPr>
          <w:rFonts w:ascii="宋体" w:hAnsi="宋体" w:cs="宋体" w:eastAsia="宋体" w:hint="default"/>
          <w:spacing w:val="-38"/>
        </w:rPr>
        <w:t> </w:t>
      </w:r>
      <w:r>
        <w:rPr>
          <w:rFonts w:ascii="宋体" w:hAnsi="宋体" w:cs="宋体" w:eastAsia="宋体" w:hint="default"/>
        </w:rPr>
        <w:t>16</w:t>
      </w:r>
      <w:r>
        <w:rPr>
          <w:rFonts w:ascii="宋体" w:hAnsi="宋体" w:cs="宋体" w:eastAsia="宋体" w:hint="default"/>
          <w:spacing w:val="-38"/>
        </w:rPr>
        <w:t> </w:t>
      </w:r>
      <w:r>
        <w:rPr>
          <w:rFonts w:ascii="宋体" w:hAnsi="宋体" w:cs="宋体" w:eastAsia="宋体" w:hint="default"/>
        </w:rPr>
        <w:t>项，强化</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rPr>
        <w:t>扶贫领域作风建设和监督检查，全方位推动扶贫工作扎实开展。进一步加大对贫困地区的直接帮扶力度，以地方政府</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为主导，落实扶贫项目，助力地方脱贫攻坚。发挥行业优势，加大网络建设投资，提高贫困地区无线网络覆盖率和行</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政村宽带覆盖率，让贫困地区群众“用得上”通信服务；加大贫困地区提速降费力度，推出扶贫专属资费优惠套餐，</w:t>
      </w:r>
      <w:r>
        <w:rPr>
          <w:rFonts w:ascii="宋体" w:hAnsi="宋体" w:cs="宋体" w:eastAsia="宋体" w:hint="default"/>
          <w:spacing w:val="-2"/>
        </w:rPr>
        <w:t> </w:t>
      </w:r>
      <w:r>
        <w:rPr>
          <w:rFonts w:ascii="宋体" w:hAnsi="宋体" w:cs="宋体" w:eastAsia="宋体" w:hint="default"/>
          <w:spacing w:val="-2"/>
        </w:rPr>
      </w:r>
      <w:r>
        <w:rPr>
          <w:rFonts w:ascii="宋体" w:hAnsi="宋体" w:cs="宋体" w:eastAsia="宋体" w:hint="default"/>
        </w:rPr>
        <w:t>让贫困地区群众“用得起”通信服务；推进“互联网 +</w:t>
      </w:r>
      <w:r>
        <w:rPr>
          <w:rFonts w:ascii="宋体" w:hAnsi="宋体" w:cs="宋体" w:eastAsia="宋体" w:hint="default"/>
          <w:spacing w:val="-62"/>
        </w:rPr>
        <w:t> </w:t>
      </w:r>
      <w:r>
        <w:rPr>
          <w:rFonts w:ascii="宋体" w:hAnsi="宋体" w:cs="宋体" w:eastAsia="宋体" w:hint="default"/>
        </w:rPr>
        <w:t>扶贫”，让贫困地区群众“用得好”通信服务。</w:t>
      </w:r>
    </w:p>
    <w:p>
      <w:pPr>
        <w:spacing w:after="0" w:line="285" w:lineRule="auto"/>
        <w:jc w:val="both"/>
        <w:rPr>
          <w:rFonts w:ascii="宋体" w:hAnsi="宋体" w:cs="宋体" w:eastAsia="宋体" w:hint="default"/>
        </w:rPr>
        <w:sectPr>
          <w:type w:val="continuous"/>
          <w:pgSz w:w="11910" w:h="16160"/>
          <w:pgMar w:top="1520" w:bottom="280" w:left="1300" w:right="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p>
      <w:pPr>
        <w:pStyle w:val="BodyText"/>
        <w:tabs>
          <w:tab w:pos="1310" w:val="left" w:leader="none"/>
        </w:tabs>
        <w:spacing w:line="240" w:lineRule="auto" w:before="31"/>
        <w:ind w:left="930" w:right="0"/>
        <w:jc w:val="left"/>
        <w:rPr>
          <w:rFonts w:ascii="宋体" w:hAnsi="宋体" w:cs="宋体" w:eastAsia="宋体" w:hint="default"/>
        </w:rPr>
      </w:pPr>
      <w:r>
        <w:rPr>
          <w:rFonts w:ascii="宋体" w:hAnsi="宋体" w:cs="宋体" w:eastAsia="宋体" w:hint="default"/>
          <w:color w:val="D7000F"/>
          <w:w w:val="80"/>
        </w:rPr>
        <w:t>3.</w:t>
        <w:tab/>
      </w:r>
      <w:r>
        <w:rPr>
          <w:rFonts w:ascii="宋体" w:hAnsi="宋体" w:cs="宋体" w:eastAsia="宋体" w:hint="default"/>
          <w:color w:val="D7000F"/>
        </w:rPr>
        <w:t>精准扶贫成效</w:t>
      </w:r>
      <w:r>
        <w:rPr>
          <w:rFonts w:ascii="宋体" w:hAnsi="宋体" w:cs="宋体" w:eastAsia="宋体" w:hint="default"/>
        </w:rPr>
      </w:r>
    </w:p>
    <w:p>
      <w:pPr>
        <w:spacing w:before="133"/>
        <w:ind w:left="0" w:right="360" w:firstLine="0"/>
        <w:jc w:val="right"/>
        <w:rPr>
          <w:rFonts w:ascii="宋体" w:hAnsi="宋体" w:cs="宋体" w:eastAsia="宋体" w:hint="default"/>
          <w:sz w:val="12"/>
          <w:szCs w:val="12"/>
        </w:rPr>
      </w:pPr>
      <w:r>
        <w:rPr>
          <w:rFonts w:ascii="宋体" w:hAnsi="宋体" w:cs="宋体" w:eastAsia="宋体" w:hint="default"/>
          <w:sz w:val="12"/>
          <w:szCs w:val="12"/>
        </w:rPr>
        <w:t>单位：万元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tabs>
          <w:tab w:pos="8007" w:val="left" w:leader="none"/>
        </w:tabs>
        <w:spacing w:before="64"/>
        <w:ind w:left="0" w:right="360" w:firstLine="0"/>
        <w:jc w:val="right"/>
        <w:rPr>
          <w:rFonts w:ascii="宋体" w:hAnsi="宋体" w:cs="宋体" w:eastAsia="宋体" w:hint="default"/>
          <w:sz w:val="16"/>
          <w:szCs w:val="16"/>
        </w:rPr>
      </w:pPr>
      <w:r>
        <w:rPr>
          <w:rFonts w:ascii="宋体" w:hAnsi="宋体" w:cs="宋体" w:eastAsia="宋体" w:hint="default"/>
          <w:sz w:val="16"/>
          <w:szCs w:val="16"/>
        </w:rPr>
        <w:t>指标</w:t>
        <w:tab/>
        <w:t>数量及开展情况</w:t>
      </w:r>
    </w:p>
    <w:p>
      <w:pPr>
        <w:spacing w:line="240" w:lineRule="auto" w:before="2"/>
        <w:rPr>
          <w:rFonts w:ascii="宋体" w:hAnsi="宋体" w:cs="宋体" w:eastAsia="宋体" w:hint="default"/>
          <w:sz w:val="7"/>
          <w:szCs w:val="7"/>
        </w:rPr>
      </w:pPr>
    </w:p>
    <w:p>
      <w:pPr>
        <w:spacing w:line="40" w:lineRule="exact"/>
        <w:ind w:left="91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4842;height:2" coordorigin="20,20" coordsize="4842,2">
              <v:shape style="position:absolute;left:20;top:20;width:4842;height:2" coordorigin="20,20" coordsize="4842,0" path="m20,20l4862,20e" filled="false" stroked="true" strokeweight="2pt" strokecolor="#9c8758">
                <v:path arrowok="t"/>
              </v:shape>
            </v:group>
            <v:group style="position:absolute;left:4862;top:20;width:4457;height:2" coordorigin="4862,20" coordsize="4457,2">
              <v:shape style="position:absolute;left:4862;top:20;width:4457;height:2" coordorigin="4862,20" coordsize="4457,0" path="m4862,20l9318,20e" filled="false" stroked="true" strokeweight="2pt" strokecolor="#9c8758">
                <v:path arrowok="t"/>
              </v:shape>
            </v:group>
          </v:group>
        </w:pict>
      </w:r>
      <w:r>
        <w:rPr>
          <w:rFonts w:ascii="宋体" w:hAnsi="宋体" w:cs="宋体" w:eastAsia="宋体" w:hint="default"/>
          <w:position w:val="0"/>
          <w:sz w:val="4"/>
          <w:szCs w:val="4"/>
        </w:rPr>
      </w:r>
    </w:p>
    <w:p>
      <w:pPr>
        <w:spacing w:before="41"/>
        <w:ind w:left="1015" w:right="0" w:firstLine="0"/>
        <w:jc w:val="left"/>
        <w:rPr>
          <w:rFonts w:ascii="宋体" w:hAnsi="宋体" w:cs="宋体" w:eastAsia="宋体" w:hint="default"/>
          <w:sz w:val="16"/>
          <w:szCs w:val="16"/>
        </w:rPr>
      </w:pPr>
      <w:r>
        <w:rPr>
          <w:rFonts w:ascii="宋体" w:hAnsi="宋体" w:cs="宋体" w:eastAsia="宋体" w:hint="default"/>
          <w:sz w:val="16"/>
          <w:szCs w:val="16"/>
        </w:rPr>
        <w:t>一、总体情况</w:t>
      </w:r>
    </w:p>
    <w:p>
      <w:pPr>
        <w:tabs>
          <w:tab w:pos="9521" w:val="left" w:leader="none"/>
        </w:tabs>
        <w:spacing w:before="18"/>
        <w:ind w:left="1299" w:right="0" w:firstLine="0"/>
        <w:jc w:val="left"/>
        <w:rPr>
          <w:rFonts w:ascii="宋体" w:hAnsi="宋体" w:cs="宋体" w:eastAsia="宋体" w:hint="default"/>
          <w:sz w:val="16"/>
          <w:szCs w:val="16"/>
        </w:rPr>
      </w:pPr>
      <w:r>
        <w:rPr>
          <w:rFonts w:ascii="宋体" w:hAnsi="宋体" w:cs="宋体" w:eastAsia="宋体" w:hint="default"/>
          <w:w w:val="95"/>
          <w:sz w:val="16"/>
          <w:szCs w:val="16"/>
        </w:rPr>
        <w:t>其中：1.</w:t>
      </w:r>
      <w:r>
        <w:rPr>
          <w:rFonts w:ascii="宋体" w:hAnsi="宋体" w:cs="宋体" w:eastAsia="宋体" w:hint="default"/>
          <w:spacing w:val="-15"/>
          <w:w w:val="95"/>
          <w:sz w:val="16"/>
          <w:szCs w:val="16"/>
        </w:rPr>
        <w:t> </w:t>
      </w:r>
      <w:r>
        <w:rPr>
          <w:rFonts w:ascii="宋体" w:hAnsi="宋体" w:cs="宋体" w:eastAsia="宋体" w:hint="default"/>
          <w:w w:val="95"/>
          <w:sz w:val="16"/>
          <w:szCs w:val="16"/>
        </w:rPr>
        <w:t>资金</w:t>
        <w:tab/>
      </w:r>
      <w:r>
        <w:rPr>
          <w:rFonts w:ascii="宋体" w:hAnsi="宋体" w:cs="宋体" w:eastAsia="宋体" w:hint="default"/>
          <w:sz w:val="16"/>
          <w:szCs w:val="16"/>
        </w:rPr>
        <w:t>15,269.0</w:t>
      </w:r>
    </w:p>
    <w:p>
      <w:pPr>
        <w:tabs>
          <w:tab w:pos="9521" w:val="left" w:leader="none"/>
        </w:tabs>
        <w:spacing w:before="18"/>
        <w:ind w:left="1781" w:right="0" w:firstLine="0"/>
        <w:jc w:val="left"/>
        <w:rPr>
          <w:rFonts w:ascii="宋体" w:hAnsi="宋体" w:cs="宋体" w:eastAsia="宋体" w:hint="default"/>
          <w:sz w:val="16"/>
          <w:szCs w:val="16"/>
        </w:rPr>
      </w:pPr>
      <w:r>
        <w:rPr>
          <w:rFonts w:ascii="宋体" w:hAnsi="宋体" w:cs="宋体" w:eastAsia="宋体" w:hint="default"/>
          <w:w w:val="95"/>
          <w:sz w:val="16"/>
          <w:szCs w:val="16"/>
        </w:rPr>
        <w:t>2.</w:t>
      </w:r>
      <w:r>
        <w:rPr>
          <w:rFonts w:ascii="宋体" w:hAnsi="宋体" w:cs="宋体" w:eastAsia="宋体" w:hint="default"/>
          <w:spacing w:val="-23"/>
          <w:w w:val="95"/>
          <w:sz w:val="16"/>
          <w:szCs w:val="16"/>
        </w:rPr>
        <w:t> </w:t>
      </w:r>
      <w:r>
        <w:rPr>
          <w:rFonts w:ascii="宋体" w:hAnsi="宋体" w:cs="宋体" w:eastAsia="宋体" w:hint="default"/>
          <w:w w:val="95"/>
          <w:sz w:val="16"/>
          <w:szCs w:val="16"/>
        </w:rPr>
        <w:t>物资折款</w:t>
        <w:tab/>
      </w:r>
      <w:r>
        <w:rPr>
          <w:rFonts w:ascii="宋体" w:hAnsi="宋体" w:cs="宋体" w:eastAsia="宋体" w:hint="default"/>
          <w:sz w:val="16"/>
          <w:szCs w:val="16"/>
        </w:rPr>
        <w:t>1,165.39</w:t>
      </w:r>
    </w:p>
    <w:p>
      <w:pPr>
        <w:tabs>
          <w:tab w:pos="9655" w:val="left" w:leader="none"/>
        </w:tabs>
        <w:spacing w:before="18"/>
        <w:ind w:left="1781" w:right="0" w:firstLine="0"/>
        <w:jc w:val="left"/>
        <w:rPr>
          <w:rFonts w:ascii="宋体" w:hAnsi="宋体" w:cs="宋体" w:eastAsia="宋体" w:hint="default"/>
          <w:sz w:val="16"/>
          <w:szCs w:val="16"/>
        </w:rPr>
      </w:pPr>
      <w:r>
        <w:rPr>
          <w:rFonts w:ascii="宋体" w:hAnsi="宋体" w:cs="宋体" w:eastAsia="宋体" w:hint="default"/>
          <w:w w:val="95"/>
          <w:sz w:val="16"/>
          <w:szCs w:val="16"/>
        </w:rPr>
        <w:t>3.</w:t>
      </w:r>
      <w:r>
        <w:rPr>
          <w:rFonts w:ascii="宋体" w:hAnsi="宋体" w:cs="宋体" w:eastAsia="宋体" w:hint="default"/>
          <w:spacing w:val="73"/>
          <w:w w:val="95"/>
          <w:sz w:val="16"/>
          <w:szCs w:val="16"/>
        </w:rPr>
        <w:t> </w:t>
      </w:r>
      <w:r>
        <w:rPr>
          <w:rFonts w:ascii="宋体" w:hAnsi="宋体" w:cs="宋体" w:eastAsia="宋体" w:hint="default"/>
          <w:w w:val="95"/>
          <w:sz w:val="16"/>
          <w:szCs w:val="16"/>
        </w:rPr>
        <w:t>帮助建档立卡贫困人口脱贫数（人）</w:t>
        <w:tab/>
      </w:r>
      <w:r>
        <w:rPr>
          <w:rFonts w:ascii="宋体" w:hAnsi="宋体" w:cs="宋体" w:eastAsia="宋体" w:hint="default"/>
          <w:sz w:val="16"/>
          <w:szCs w:val="16"/>
        </w:rPr>
        <w:t>72,168</w:t>
      </w:r>
    </w:p>
    <w:p>
      <w:pPr>
        <w:spacing w:before="18"/>
        <w:ind w:left="1015" w:right="0" w:firstLine="0"/>
        <w:jc w:val="left"/>
        <w:rPr>
          <w:rFonts w:ascii="宋体" w:hAnsi="宋体" w:cs="宋体" w:eastAsia="宋体" w:hint="default"/>
          <w:sz w:val="16"/>
          <w:szCs w:val="16"/>
        </w:rPr>
      </w:pPr>
      <w:r>
        <w:rPr>
          <w:rFonts w:ascii="宋体" w:hAnsi="宋体" w:cs="宋体" w:eastAsia="宋体" w:hint="default"/>
          <w:sz w:val="16"/>
          <w:szCs w:val="16"/>
        </w:rPr>
        <w:t>二、分项投入</w:t>
      </w:r>
    </w:p>
    <w:p>
      <w:pPr>
        <w:spacing w:before="18"/>
        <w:ind w:left="1299" w:right="0" w:firstLine="0"/>
        <w:jc w:val="left"/>
        <w:rPr>
          <w:rFonts w:ascii="宋体" w:hAnsi="宋体" w:cs="宋体" w:eastAsia="宋体" w:hint="default"/>
          <w:sz w:val="16"/>
          <w:szCs w:val="16"/>
        </w:rPr>
      </w:pPr>
      <w:r>
        <w:rPr>
          <w:rFonts w:ascii="宋体" w:hAnsi="宋体" w:cs="宋体" w:eastAsia="宋体" w:hint="default"/>
          <w:w w:val="95"/>
          <w:sz w:val="16"/>
          <w:szCs w:val="16"/>
        </w:rPr>
        <w:t>1.</w:t>
      </w:r>
      <w:r>
        <w:rPr>
          <w:rFonts w:ascii="宋体" w:hAnsi="宋体" w:cs="宋体" w:eastAsia="宋体" w:hint="default"/>
          <w:spacing w:val="-7"/>
          <w:w w:val="95"/>
          <w:sz w:val="16"/>
          <w:szCs w:val="16"/>
        </w:rPr>
        <w:t> </w:t>
      </w:r>
      <w:r>
        <w:rPr>
          <w:rFonts w:ascii="宋体" w:hAnsi="宋体" w:cs="宋体" w:eastAsia="宋体" w:hint="default"/>
          <w:w w:val="95"/>
          <w:sz w:val="16"/>
          <w:szCs w:val="16"/>
        </w:rPr>
        <w:t>产业发展脱贫</w:t>
      </w:r>
    </w:p>
    <w:p>
      <w:pPr>
        <w:spacing w:after="0"/>
        <w:jc w:val="left"/>
        <w:rPr>
          <w:rFonts w:ascii="宋体" w:hAnsi="宋体" w:cs="宋体" w:eastAsia="宋体" w:hint="default"/>
          <w:sz w:val="16"/>
          <w:szCs w:val="16"/>
        </w:rPr>
        <w:sectPr>
          <w:footerReference w:type="even" r:id="rId156"/>
          <w:pgSz w:w="11910" w:h="16160"/>
          <w:pgMar w:footer="0" w:header="0" w:top="2200" w:bottom="0" w:left="260" w:right="114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3"/>
        <w:rPr>
          <w:rFonts w:ascii="宋体" w:hAnsi="宋体" w:cs="宋体" w:eastAsia="宋体" w:hint="default"/>
          <w:sz w:val="12"/>
          <w:szCs w:val="12"/>
        </w:rPr>
      </w:pPr>
    </w:p>
    <w:p>
      <w:pPr>
        <w:spacing w:before="0"/>
        <w:ind w:left="1469" w:right="-18" w:firstLine="0"/>
        <w:jc w:val="left"/>
        <w:rPr>
          <w:rFonts w:ascii="宋体" w:hAnsi="宋体" w:cs="宋体" w:eastAsia="宋体" w:hint="default"/>
          <w:sz w:val="16"/>
          <w:szCs w:val="16"/>
        </w:rPr>
      </w:pPr>
      <w:r>
        <w:rPr>
          <w:rFonts w:ascii="宋体" w:hAnsi="宋体" w:cs="宋体" w:eastAsia="宋体" w:hint="default"/>
          <w:sz w:val="16"/>
          <w:szCs w:val="16"/>
        </w:rPr>
        <w:t>其中：1.1</w:t>
      </w:r>
      <w:r>
        <w:rPr>
          <w:rFonts w:ascii="宋体" w:hAnsi="宋体" w:cs="宋体" w:eastAsia="宋体" w:hint="default"/>
          <w:spacing w:val="-60"/>
          <w:sz w:val="16"/>
          <w:szCs w:val="16"/>
        </w:rPr>
        <w:t> </w:t>
      </w:r>
      <w:r>
        <w:rPr>
          <w:rFonts w:ascii="宋体" w:hAnsi="宋体" w:cs="宋体" w:eastAsia="宋体" w:hint="default"/>
          <w:sz w:val="16"/>
          <w:szCs w:val="16"/>
        </w:rPr>
        <w:t>产业扶贫项目类型</w:t>
      </w:r>
    </w:p>
    <w:p>
      <w:pPr>
        <w:spacing w:before="18"/>
        <w:ind w:left="1469"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农林产业扶贫</w:t>
      </w:r>
    </w:p>
    <w:p>
      <w:pPr>
        <w:spacing w:before="18"/>
        <w:ind w:left="1469"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旅游扶贫</w:t>
      </w:r>
    </w:p>
    <w:p>
      <w:pPr>
        <w:spacing w:before="18"/>
        <w:ind w:left="1469"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电商扶贫</w:t>
      </w:r>
    </w:p>
    <w:p>
      <w:pPr>
        <w:spacing w:before="18"/>
        <w:ind w:left="1469"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资产收益扶贫</w:t>
      </w:r>
    </w:p>
    <w:p>
      <w:pPr>
        <w:spacing w:before="18"/>
        <w:ind w:left="1469"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科技扶贫</w:t>
      </w:r>
    </w:p>
    <w:p>
      <w:pPr>
        <w:spacing w:before="18"/>
        <w:ind w:left="1469"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其他</w:t>
      </w:r>
    </w:p>
    <w:p>
      <w:pPr>
        <w:spacing w:after="0"/>
        <w:jc w:val="left"/>
        <w:rPr>
          <w:rFonts w:ascii="宋体" w:hAnsi="宋体" w:cs="宋体" w:eastAsia="宋体" w:hint="default"/>
          <w:sz w:val="16"/>
          <w:szCs w:val="16"/>
        </w:rPr>
        <w:sectPr>
          <w:type w:val="continuous"/>
          <w:pgSz w:w="11910" w:h="16160"/>
          <w:pgMar w:top="1520" w:bottom="280" w:left="260" w:right="1140"/>
          <w:cols w:num="2" w:equalWidth="0">
            <w:col w:w="3492" w:space="896"/>
            <w:col w:w="6122"/>
          </w:cols>
        </w:sectPr>
      </w:pPr>
    </w:p>
    <w:p>
      <w:pPr>
        <w:tabs>
          <w:tab w:pos="10143" w:val="right" w:leader="none"/>
        </w:tabs>
        <w:spacing w:before="18"/>
        <w:ind w:left="1951" w:right="0" w:firstLine="0"/>
        <w:jc w:val="left"/>
        <w:rPr>
          <w:rFonts w:ascii="宋体" w:hAnsi="宋体" w:cs="宋体" w:eastAsia="宋体" w:hint="default"/>
          <w:sz w:val="16"/>
          <w:szCs w:val="16"/>
        </w:rPr>
      </w:pPr>
      <w:r>
        <w:rPr/>
        <w:pict>
          <v:group style="position:absolute;margin-left:18.4256pt;margin-top:510.235016pt;width:514.5pt;height:297.650pt;mso-position-horizontal-relative:page;mso-position-vertical-relative:page;z-index:3928" coordorigin="369,10205" coordsize="10290,5953">
            <v:group style="position:absolute;left:1189;top:10460;width:8726;height:5698" coordorigin="1189,10460" coordsize="8726,5698">
              <v:shape style="position:absolute;left:1189;top:10460;width:8726;height:5698" coordorigin="1189,10460" coordsize="8726,5698" path="m7643,16157l1189,16157,3461,10460,9915,10460,7643,16157xe" filled="true" fillcolor="#8e9090" stroked="false">
                <v:path arrowok="t"/>
                <v:fill type="solid"/>
              </v:shape>
              <v:shape style="position:absolute;left:369;top:15176;width:188;height:188" type="#_x0000_t75" stroked="false">
                <v:imagedata r:id="rId76" o:title=""/>
              </v:shape>
            </v:group>
            <v:group style="position:absolute;left:486;top:15270;width:5145;height:2" coordorigin="486,15270" coordsize="5145,2">
              <v:shape style="position:absolute;left:486;top:15270;width:5145;height:2" coordorigin="486,15270" coordsize="5145,0" path="m486,15270l5631,15270e" filled="false" stroked="true" strokeweight=".956pt" strokecolor="#8e9090">
                <v:path arrowok="t"/>
              </v:shape>
            </v:group>
            <v:group style="position:absolute;left:935;top:10205;width:9723;height:1900" coordorigin="935,10205" coordsize="9723,1900">
              <v:shape style="position:absolute;left:935;top:10205;width:9723;height:1900" coordorigin="935,10205" coordsize="9723,1900" path="m935,12104l10658,12104,10658,10205,935,10205,935,12104xe" filled="true" fillcolor="#ffffff" stroked="false">
                <v:path arrowok="t"/>
                <v:fill type="solid"/>
              </v:shape>
              <v:shape style="position:absolute;left:815;top:15637;width:178;height:160" type="#_x0000_t202" filled="false" stroked="false">
                <v:textbox inset="0,0,0,0">
                  <w:txbxContent>
                    <w:p>
                      <w:pPr>
                        <w:spacing w:line="160" w:lineRule="exact" w:before="0"/>
                        <w:ind w:left="0" w:right="0" w:firstLine="0"/>
                        <w:jc w:val="left"/>
                        <w:rPr>
                          <w:rFonts w:ascii="Arial" w:hAnsi="Arial" w:cs="Arial" w:eastAsia="Arial" w:hint="default"/>
                          <w:sz w:val="16"/>
                          <w:szCs w:val="16"/>
                        </w:rPr>
                      </w:pPr>
                      <w:r>
                        <w:rPr>
                          <w:rFonts w:ascii="Arial"/>
                          <w:b/>
                          <w:color w:val="9C8758"/>
                          <w:spacing w:val="-1"/>
                          <w:sz w:val="16"/>
                        </w:rPr>
                        <w:t>44</w:t>
                      </w:r>
                      <w:r>
                        <w:rPr>
                          <w:rFonts w:ascii="Arial"/>
                          <w:sz w:val="16"/>
                        </w:rPr>
                      </w:r>
                    </w:p>
                  </w:txbxContent>
                </v:textbox>
                <w10:wrap type="none"/>
              </v:shape>
              <v:shape style="position:absolute;left:6921;top:15660;width:3527;height:169" type="#_x0000_t202" filled="false" stroked="false">
                <v:textbox inset="0,0,0,0">
                  <w:txbxContent>
                    <w:p>
                      <w:pPr>
                        <w:tabs>
                          <w:tab w:pos="1061" w:val="left" w:leader="none"/>
                        </w:tabs>
                        <w:spacing w:line="154" w:lineRule="exact" w:before="0"/>
                        <w:ind w:left="0" w:right="0" w:firstLine="0"/>
                        <w:jc w:val="left"/>
                        <w:rPr>
                          <w:rFonts w:ascii="宋体" w:hAnsi="宋体" w:cs="宋体" w:eastAsia="宋体" w:hint="default"/>
                          <w:sz w:val="16"/>
                          <w:szCs w:val="16"/>
                        </w:rPr>
                      </w:pPr>
                      <w:r>
                        <w:rPr>
                          <w:rFonts w:ascii="宋体" w:hAnsi="宋体" w:cs="宋体" w:eastAsia="宋体" w:hint="default"/>
                          <w:color w:val="595757"/>
                          <w:spacing w:val="21"/>
                          <w:w w:val="95"/>
                          <w:position w:val="1"/>
                          <w:sz w:val="16"/>
                          <w:szCs w:val="16"/>
                        </w:rPr>
                        <w:t>重要事项</w:t>
                        <w:tab/>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v:group>
            <w10:wrap type="none"/>
          </v:group>
        </w:pict>
      </w:r>
      <w:r>
        <w:rPr>
          <w:rFonts w:ascii="宋体" w:hAnsi="宋体" w:cs="宋体" w:eastAsia="宋体" w:hint="default"/>
          <w:sz w:val="16"/>
          <w:szCs w:val="16"/>
        </w:rPr>
        <w:t>1.2</w:t>
      </w:r>
      <w:r>
        <w:rPr>
          <w:rFonts w:ascii="宋体" w:hAnsi="宋体" w:cs="宋体" w:eastAsia="宋体" w:hint="default"/>
          <w:spacing w:val="-41"/>
          <w:sz w:val="16"/>
          <w:szCs w:val="16"/>
        </w:rPr>
        <w:t> </w:t>
      </w:r>
      <w:r>
        <w:rPr>
          <w:rFonts w:ascii="宋体" w:hAnsi="宋体" w:cs="宋体" w:eastAsia="宋体" w:hint="default"/>
          <w:sz w:val="16"/>
          <w:szCs w:val="16"/>
        </w:rPr>
        <w:t>产业扶贫项目个数（个）</w:t>
      </w:r>
      <w:r>
        <w:rPr>
          <w:rFonts w:ascii="Times New Roman" w:hAnsi="Times New Roman" w:cs="Times New Roman" w:eastAsia="Times New Roman" w:hint="default"/>
          <w:sz w:val="16"/>
          <w:szCs w:val="16"/>
        </w:rPr>
        <w:tab/>
      </w:r>
      <w:r>
        <w:rPr>
          <w:rFonts w:ascii="宋体" w:hAnsi="宋体" w:cs="宋体" w:eastAsia="宋体" w:hint="default"/>
          <w:sz w:val="16"/>
          <w:szCs w:val="16"/>
        </w:rPr>
        <w:t>360</w:t>
      </w:r>
    </w:p>
    <w:p>
      <w:pPr>
        <w:tabs>
          <w:tab w:pos="9433" w:val="left" w:leader="none"/>
        </w:tabs>
        <w:spacing w:before="18"/>
        <w:ind w:left="1951" w:right="0" w:firstLine="0"/>
        <w:jc w:val="left"/>
        <w:rPr>
          <w:rFonts w:ascii="宋体" w:hAnsi="宋体" w:cs="宋体" w:eastAsia="宋体" w:hint="default"/>
          <w:sz w:val="16"/>
          <w:szCs w:val="16"/>
        </w:rPr>
      </w:pPr>
      <w:r>
        <w:rPr>
          <w:rFonts w:ascii="宋体" w:hAnsi="宋体" w:cs="宋体" w:eastAsia="宋体" w:hint="default"/>
          <w:sz w:val="16"/>
          <w:szCs w:val="16"/>
        </w:rPr>
        <w:t>1.3</w:t>
      </w:r>
      <w:r>
        <w:rPr>
          <w:rFonts w:ascii="宋体" w:hAnsi="宋体" w:cs="宋体" w:eastAsia="宋体" w:hint="default"/>
          <w:spacing w:val="-60"/>
          <w:sz w:val="16"/>
          <w:szCs w:val="16"/>
        </w:rPr>
        <w:t> </w:t>
      </w:r>
      <w:r>
        <w:rPr>
          <w:rFonts w:ascii="宋体" w:hAnsi="宋体" w:cs="宋体" w:eastAsia="宋体" w:hint="default"/>
          <w:sz w:val="16"/>
          <w:szCs w:val="16"/>
        </w:rPr>
        <w:t>产业扶贫项目投入金额</w:t>
        <w:tab/>
        <w:t>10,134.19</w:t>
      </w:r>
    </w:p>
    <w:p>
      <w:pPr>
        <w:tabs>
          <w:tab w:pos="9655" w:val="left" w:leader="none"/>
        </w:tabs>
        <w:spacing w:before="18"/>
        <w:ind w:left="1951" w:right="0" w:firstLine="0"/>
        <w:jc w:val="left"/>
        <w:rPr>
          <w:rFonts w:ascii="宋体" w:hAnsi="宋体" w:cs="宋体" w:eastAsia="宋体" w:hint="default"/>
          <w:sz w:val="16"/>
          <w:szCs w:val="16"/>
        </w:rPr>
      </w:pPr>
      <w:r>
        <w:rPr>
          <w:rFonts w:ascii="宋体" w:hAnsi="宋体" w:cs="宋体" w:eastAsia="宋体" w:hint="default"/>
          <w:sz w:val="16"/>
          <w:szCs w:val="16"/>
        </w:rPr>
        <w:t>1.4</w:t>
      </w:r>
      <w:r>
        <w:rPr>
          <w:rFonts w:ascii="宋体" w:hAnsi="宋体" w:cs="宋体" w:eastAsia="宋体" w:hint="default"/>
          <w:spacing w:val="-60"/>
          <w:sz w:val="16"/>
          <w:szCs w:val="16"/>
        </w:rPr>
        <w:t> </w:t>
      </w:r>
      <w:r>
        <w:rPr>
          <w:rFonts w:ascii="宋体" w:hAnsi="宋体" w:cs="宋体" w:eastAsia="宋体" w:hint="default"/>
          <w:sz w:val="16"/>
          <w:szCs w:val="16"/>
        </w:rPr>
        <w:t>帮助建档立卡贫困人口脱贫数（人）</w:t>
        <w:tab/>
        <w:t>39,441</w:t>
      </w:r>
    </w:p>
    <w:p>
      <w:pPr>
        <w:spacing w:before="18"/>
        <w:ind w:left="1299" w:right="0" w:firstLine="0"/>
        <w:jc w:val="left"/>
        <w:rPr>
          <w:rFonts w:ascii="宋体" w:hAnsi="宋体" w:cs="宋体" w:eastAsia="宋体" w:hint="default"/>
          <w:sz w:val="16"/>
          <w:szCs w:val="16"/>
        </w:rPr>
      </w:pPr>
      <w:r>
        <w:rPr>
          <w:rFonts w:ascii="宋体" w:hAnsi="宋体" w:cs="宋体" w:eastAsia="宋体" w:hint="default"/>
          <w:w w:val="95"/>
          <w:sz w:val="16"/>
          <w:szCs w:val="16"/>
        </w:rPr>
        <w:t>2.</w:t>
      </w:r>
      <w:r>
        <w:rPr>
          <w:rFonts w:ascii="宋体" w:hAnsi="宋体" w:cs="宋体" w:eastAsia="宋体" w:hint="default"/>
          <w:spacing w:val="-7"/>
          <w:w w:val="95"/>
          <w:sz w:val="16"/>
          <w:szCs w:val="16"/>
        </w:rPr>
        <w:t> </w:t>
      </w:r>
      <w:r>
        <w:rPr>
          <w:rFonts w:ascii="宋体" w:hAnsi="宋体" w:cs="宋体" w:eastAsia="宋体" w:hint="default"/>
          <w:w w:val="95"/>
          <w:sz w:val="16"/>
          <w:szCs w:val="16"/>
        </w:rPr>
        <w:t>转移就业脱贫</w:t>
      </w:r>
    </w:p>
    <w:p>
      <w:pPr>
        <w:spacing w:line="240" w:lineRule="auto" w:before="13"/>
        <w:rPr>
          <w:rFonts w:ascii="宋体" w:hAnsi="宋体" w:cs="宋体" w:eastAsia="宋体" w:hint="default"/>
          <w:sz w:val="3"/>
          <w:szCs w:val="3"/>
        </w:rPr>
      </w:pPr>
    </w:p>
    <w:tbl>
      <w:tblPr>
        <w:tblW w:w="0" w:type="auto"/>
        <w:jc w:val="left"/>
        <w:tblInd w:w="1434" w:type="dxa"/>
        <w:tblLayout w:type="fixed"/>
        <w:tblCellMar>
          <w:top w:w="0" w:type="dxa"/>
          <w:left w:w="0" w:type="dxa"/>
          <w:bottom w:w="0" w:type="dxa"/>
          <w:right w:w="0" w:type="dxa"/>
        </w:tblCellMar>
        <w:tblLook w:val="01E0"/>
      </w:tblPr>
      <w:tblGrid>
        <w:gridCol w:w="5940"/>
        <w:gridCol w:w="2804"/>
      </w:tblGrid>
      <w:tr>
        <w:trPr>
          <w:trHeight w:val="222" w:hRule="exact"/>
        </w:trPr>
        <w:tc>
          <w:tcPr>
            <w:tcW w:w="5940" w:type="dxa"/>
            <w:tcBorders>
              <w:top w:val="nil" w:sz="6" w:space="0" w:color="auto"/>
              <w:left w:val="nil" w:sz="6" w:space="0" w:color="auto"/>
              <w:bottom w:val="nil" w:sz="6" w:space="0" w:color="auto"/>
              <w:right w:val="nil" w:sz="6" w:space="0" w:color="auto"/>
            </w:tcBorders>
          </w:tcPr>
          <w:p>
            <w:pPr>
              <w:pStyle w:val="TableParagraph"/>
              <w:spacing w:line="176" w:lineRule="exact"/>
              <w:ind w:left="35" w:right="0"/>
              <w:jc w:val="left"/>
              <w:rPr>
                <w:rFonts w:ascii="宋体" w:hAnsi="宋体" w:cs="宋体" w:eastAsia="宋体" w:hint="default"/>
                <w:sz w:val="16"/>
                <w:szCs w:val="16"/>
              </w:rPr>
            </w:pPr>
            <w:r>
              <w:rPr>
                <w:rFonts w:ascii="宋体" w:hAnsi="宋体" w:cs="宋体" w:eastAsia="宋体" w:hint="default"/>
                <w:sz w:val="16"/>
                <w:szCs w:val="16"/>
              </w:rPr>
              <w:t>其中：2.1</w:t>
            </w:r>
            <w:r>
              <w:rPr>
                <w:rFonts w:ascii="宋体" w:hAnsi="宋体" w:cs="宋体" w:eastAsia="宋体" w:hint="default"/>
                <w:spacing w:val="-60"/>
                <w:sz w:val="16"/>
                <w:szCs w:val="16"/>
              </w:rPr>
              <w:t> </w:t>
            </w:r>
            <w:r>
              <w:rPr>
                <w:rFonts w:ascii="宋体" w:hAnsi="宋体" w:cs="宋体" w:eastAsia="宋体" w:hint="default"/>
                <w:sz w:val="16"/>
                <w:szCs w:val="16"/>
              </w:rPr>
              <w:t>职业技能培训投入金额</w:t>
            </w:r>
          </w:p>
        </w:tc>
        <w:tc>
          <w:tcPr>
            <w:tcW w:w="2804" w:type="dxa"/>
            <w:tcBorders>
              <w:top w:val="nil" w:sz="6" w:space="0" w:color="auto"/>
              <w:left w:val="nil" w:sz="6" w:space="0" w:color="auto"/>
              <w:bottom w:val="nil" w:sz="6" w:space="0" w:color="auto"/>
              <w:right w:val="nil" w:sz="6" w:space="0" w:color="auto"/>
            </w:tcBorders>
          </w:tcPr>
          <w:p>
            <w:pPr>
              <w:pStyle w:val="TableParagraph"/>
              <w:spacing w:line="176" w:lineRule="exact"/>
              <w:ind w:right="33"/>
              <w:jc w:val="right"/>
              <w:rPr>
                <w:rFonts w:ascii="宋体" w:hAnsi="宋体" w:cs="宋体" w:eastAsia="宋体" w:hint="default"/>
                <w:sz w:val="16"/>
                <w:szCs w:val="16"/>
              </w:rPr>
            </w:pPr>
            <w:r>
              <w:rPr>
                <w:rFonts w:ascii="宋体"/>
                <w:sz w:val="16"/>
              </w:rPr>
              <w:t>418.87</w:t>
            </w:r>
          </w:p>
        </w:tc>
      </w:tr>
      <w:tr>
        <w:trPr>
          <w:trHeight w:val="228" w:hRule="exact"/>
        </w:trPr>
        <w:tc>
          <w:tcPr>
            <w:tcW w:w="5940" w:type="dxa"/>
            <w:tcBorders>
              <w:top w:val="nil" w:sz="6" w:space="0" w:color="auto"/>
              <w:left w:val="nil" w:sz="6" w:space="0" w:color="auto"/>
              <w:bottom w:val="nil" w:sz="6" w:space="0" w:color="auto"/>
              <w:right w:val="nil" w:sz="6" w:space="0" w:color="auto"/>
            </w:tcBorders>
          </w:tcPr>
          <w:p>
            <w:pPr>
              <w:pStyle w:val="TableParagraph"/>
              <w:spacing w:line="182" w:lineRule="exact"/>
              <w:ind w:left="516" w:right="0"/>
              <w:jc w:val="left"/>
              <w:rPr>
                <w:rFonts w:ascii="宋体" w:hAnsi="宋体" w:cs="宋体" w:eastAsia="宋体" w:hint="default"/>
                <w:sz w:val="16"/>
                <w:szCs w:val="16"/>
              </w:rPr>
            </w:pPr>
            <w:r>
              <w:rPr>
                <w:rFonts w:ascii="宋体" w:hAnsi="宋体" w:cs="宋体" w:eastAsia="宋体" w:hint="default"/>
                <w:sz w:val="16"/>
                <w:szCs w:val="16"/>
              </w:rPr>
              <w:t>2.2</w:t>
            </w:r>
            <w:r>
              <w:rPr>
                <w:rFonts w:ascii="宋体" w:hAnsi="宋体" w:cs="宋体" w:eastAsia="宋体" w:hint="default"/>
                <w:spacing w:val="-58"/>
                <w:sz w:val="16"/>
                <w:szCs w:val="16"/>
              </w:rPr>
              <w:t> </w:t>
            </w:r>
            <w:r>
              <w:rPr>
                <w:rFonts w:ascii="宋体" w:hAnsi="宋体" w:cs="宋体" w:eastAsia="宋体" w:hint="default"/>
                <w:sz w:val="16"/>
                <w:szCs w:val="16"/>
              </w:rPr>
              <w:t>职业技能培训人数（人</w:t>
            </w:r>
            <w:r>
              <w:rPr>
                <w:rFonts w:ascii="宋体" w:hAnsi="宋体" w:cs="宋体" w:eastAsia="宋体" w:hint="default"/>
                <w:spacing w:val="-57"/>
                <w:sz w:val="16"/>
                <w:szCs w:val="16"/>
              </w:rPr>
              <w:t> </w:t>
            </w:r>
            <w:r>
              <w:rPr>
                <w:rFonts w:ascii="宋体" w:hAnsi="宋体" w:cs="宋体" w:eastAsia="宋体" w:hint="default"/>
                <w:w w:val="95"/>
                <w:sz w:val="16"/>
                <w:szCs w:val="16"/>
              </w:rPr>
              <w:t>/</w:t>
            </w:r>
            <w:r>
              <w:rPr>
                <w:rFonts w:ascii="宋体" w:hAnsi="宋体" w:cs="宋体" w:eastAsia="宋体" w:hint="default"/>
                <w:spacing w:val="-53"/>
                <w:w w:val="95"/>
                <w:sz w:val="16"/>
                <w:szCs w:val="16"/>
              </w:rPr>
              <w:t> </w:t>
            </w:r>
            <w:r>
              <w:rPr>
                <w:rFonts w:ascii="宋体" w:hAnsi="宋体" w:cs="宋体" w:eastAsia="宋体" w:hint="default"/>
                <w:sz w:val="16"/>
                <w:szCs w:val="16"/>
              </w:rPr>
              <w:t>次）</w:t>
            </w:r>
          </w:p>
        </w:tc>
        <w:tc>
          <w:tcPr>
            <w:tcW w:w="28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sz w:val="16"/>
              </w:rPr>
              <w:t>20,283</w:t>
            </w:r>
          </w:p>
        </w:tc>
      </w:tr>
      <w:tr>
        <w:trPr>
          <w:trHeight w:val="222" w:hRule="exact"/>
        </w:trPr>
        <w:tc>
          <w:tcPr>
            <w:tcW w:w="5940" w:type="dxa"/>
            <w:tcBorders>
              <w:top w:val="nil" w:sz="6" w:space="0" w:color="auto"/>
              <w:left w:val="nil" w:sz="6" w:space="0" w:color="auto"/>
              <w:bottom w:val="nil" w:sz="6" w:space="0" w:color="auto"/>
              <w:right w:val="nil" w:sz="6" w:space="0" w:color="auto"/>
            </w:tcBorders>
          </w:tcPr>
          <w:p>
            <w:pPr>
              <w:pStyle w:val="TableParagraph"/>
              <w:spacing w:line="182" w:lineRule="exact"/>
              <w:ind w:left="516" w:right="0"/>
              <w:jc w:val="left"/>
              <w:rPr>
                <w:rFonts w:ascii="宋体" w:hAnsi="宋体" w:cs="宋体" w:eastAsia="宋体" w:hint="default"/>
                <w:sz w:val="16"/>
                <w:szCs w:val="16"/>
              </w:rPr>
            </w:pPr>
            <w:r>
              <w:rPr>
                <w:rFonts w:ascii="宋体" w:hAnsi="宋体" w:cs="宋体" w:eastAsia="宋体" w:hint="default"/>
                <w:sz w:val="16"/>
                <w:szCs w:val="16"/>
              </w:rPr>
              <w:t>2.3</w:t>
            </w:r>
            <w:r>
              <w:rPr>
                <w:rFonts w:ascii="宋体" w:hAnsi="宋体" w:cs="宋体" w:eastAsia="宋体" w:hint="default"/>
                <w:spacing w:val="-60"/>
                <w:sz w:val="16"/>
                <w:szCs w:val="16"/>
              </w:rPr>
              <w:t> </w:t>
            </w:r>
            <w:r>
              <w:rPr>
                <w:rFonts w:ascii="宋体" w:hAnsi="宋体" w:cs="宋体" w:eastAsia="宋体" w:hint="default"/>
                <w:sz w:val="16"/>
                <w:szCs w:val="16"/>
              </w:rPr>
              <w:t>帮助建档立卡贫困户实现就业人数（人）</w:t>
            </w:r>
          </w:p>
        </w:tc>
        <w:tc>
          <w:tcPr>
            <w:tcW w:w="28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sz w:val="16"/>
              </w:rPr>
              <w:t>10,129</w:t>
            </w:r>
          </w:p>
        </w:tc>
      </w:tr>
    </w:tbl>
    <w:p>
      <w:pPr>
        <w:spacing w:line="188" w:lineRule="exact" w:before="0"/>
        <w:ind w:left="1299" w:right="0" w:firstLine="0"/>
        <w:jc w:val="left"/>
        <w:rPr>
          <w:rFonts w:ascii="宋体" w:hAnsi="宋体" w:cs="宋体" w:eastAsia="宋体" w:hint="default"/>
          <w:sz w:val="16"/>
          <w:szCs w:val="16"/>
        </w:rPr>
      </w:pPr>
      <w:r>
        <w:rPr>
          <w:rFonts w:ascii="宋体" w:hAnsi="宋体" w:cs="宋体" w:eastAsia="宋体" w:hint="default"/>
          <w:w w:val="95"/>
          <w:sz w:val="16"/>
          <w:szCs w:val="16"/>
        </w:rPr>
        <w:t>3.</w:t>
      </w:r>
      <w:r>
        <w:rPr>
          <w:rFonts w:ascii="宋体" w:hAnsi="宋体" w:cs="宋体" w:eastAsia="宋体" w:hint="default"/>
          <w:spacing w:val="-7"/>
          <w:w w:val="95"/>
          <w:sz w:val="16"/>
          <w:szCs w:val="16"/>
        </w:rPr>
        <w:t> </w:t>
      </w:r>
      <w:r>
        <w:rPr>
          <w:rFonts w:ascii="宋体" w:hAnsi="宋体" w:cs="宋体" w:eastAsia="宋体" w:hint="default"/>
          <w:w w:val="95"/>
          <w:sz w:val="16"/>
          <w:szCs w:val="16"/>
        </w:rPr>
        <w:t>易地搬迁脱贫</w:t>
      </w:r>
    </w:p>
    <w:p>
      <w:pPr>
        <w:tabs>
          <w:tab w:pos="9743" w:val="left" w:leader="none"/>
        </w:tabs>
        <w:spacing w:before="18"/>
        <w:ind w:left="1469" w:right="0" w:firstLine="0"/>
        <w:jc w:val="left"/>
        <w:rPr>
          <w:rFonts w:ascii="宋体" w:hAnsi="宋体" w:cs="宋体" w:eastAsia="宋体" w:hint="default"/>
          <w:sz w:val="16"/>
          <w:szCs w:val="16"/>
        </w:rPr>
      </w:pPr>
      <w:r>
        <w:rPr>
          <w:rFonts w:ascii="宋体" w:hAnsi="宋体" w:cs="宋体" w:eastAsia="宋体" w:hint="default"/>
          <w:sz w:val="16"/>
          <w:szCs w:val="16"/>
        </w:rPr>
        <w:t>其中：3.1</w:t>
      </w:r>
      <w:r>
        <w:rPr>
          <w:rFonts w:ascii="宋体" w:hAnsi="宋体" w:cs="宋体" w:eastAsia="宋体" w:hint="default"/>
          <w:spacing w:val="-60"/>
          <w:sz w:val="16"/>
          <w:szCs w:val="16"/>
        </w:rPr>
        <w:t> </w:t>
      </w:r>
      <w:r>
        <w:rPr>
          <w:rFonts w:ascii="宋体" w:hAnsi="宋体" w:cs="宋体" w:eastAsia="宋体" w:hint="default"/>
          <w:sz w:val="16"/>
          <w:szCs w:val="16"/>
        </w:rPr>
        <w:t>帮助搬迁户就业人数（人）</w:t>
        <w:tab/>
        <w:t>4,572</w:t>
      </w:r>
    </w:p>
    <w:p>
      <w:pPr>
        <w:spacing w:before="18"/>
        <w:ind w:left="1299" w:right="0" w:firstLine="0"/>
        <w:jc w:val="left"/>
        <w:rPr>
          <w:rFonts w:ascii="宋体" w:hAnsi="宋体" w:cs="宋体" w:eastAsia="宋体" w:hint="default"/>
          <w:sz w:val="16"/>
          <w:szCs w:val="16"/>
        </w:rPr>
      </w:pPr>
      <w:r>
        <w:rPr/>
        <w:pict>
          <v:group style="position:absolute;margin-left:59.277599pt;margin-top:50.641937pt;width:465.4pt;height:.5pt;mso-position-horizontal-relative:page;mso-position-vertical-relative:paragraph;z-index:-965968" coordorigin="1186,1013" coordsize="9308,10">
            <v:group style="position:absolute;left:1191;top:1018;width:4842;height:2" coordorigin="1191,1018" coordsize="4842,2">
              <v:shape style="position:absolute;left:1191;top:1018;width:4842;height:2" coordorigin="1191,1018" coordsize="4842,0" path="m1191,1018l6032,1018e" filled="false" stroked="true" strokeweight=".5pt" strokecolor="#000000">
                <v:path arrowok="t"/>
              </v:shape>
            </v:group>
            <v:group style="position:absolute;left:6032;top:1018;width:4457;height:2" coordorigin="6032,1018" coordsize="4457,2">
              <v:shape style="position:absolute;left:6032;top:1018;width:4457;height:2" coordorigin="6032,1018" coordsize="4457,0" path="m6032,1018l10488,1018e" filled="false" stroked="true" strokeweight=".5pt" strokecolor="#000000">
                <v:path arrowok="t"/>
              </v:shape>
            </v:group>
            <w10:wrap type="none"/>
          </v:group>
        </w:pict>
      </w:r>
      <w:r>
        <w:rPr>
          <w:rFonts w:ascii="宋体" w:hAnsi="宋体" w:cs="宋体" w:eastAsia="宋体" w:hint="default"/>
          <w:w w:val="95"/>
          <w:sz w:val="16"/>
          <w:szCs w:val="16"/>
        </w:rPr>
        <w:t>4.</w:t>
      </w:r>
      <w:r>
        <w:rPr>
          <w:rFonts w:ascii="宋体" w:hAnsi="宋体" w:cs="宋体" w:eastAsia="宋体" w:hint="default"/>
          <w:spacing w:val="-23"/>
          <w:w w:val="95"/>
          <w:sz w:val="16"/>
          <w:szCs w:val="16"/>
        </w:rPr>
        <w:t> </w:t>
      </w:r>
      <w:r>
        <w:rPr>
          <w:rFonts w:ascii="宋体" w:hAnsi="宋体" w:cs="宋体" w:eastAsia="宋体" w:hint="default"/>
          <w:w w:val="95"/>
          <w:sz w:val="16"/>
          <w:szCs w:val="16"/>
        </w:rPr>
        <w:t>教育脱贫</w:t>
      </w:r>
    </w:p>
    <w:p>
      <w:pPr>
        <w:spacing w:line="240" w:lineRule="auto" w:before="13"/>
        <w:rPr>
          <w:rFonts w:ascii="宋体" w:hAnsi="宋体" w:cs="宋体" w:eastAsia="宋体" w:hint="default"/>
          <w:sz w:val="3"/>
          <w:szCs w:val="3"/>
        </w:rPr>
      </w:pPr>
    </w:p>
    <w:tbl>
      <w:tblPr>
        <w:tblW w:w="0" w:type="auto"/>
        <w:jc w:val="left"/>
        <w:tblInd w:w="1434" w:type="dxa"/>
        <w:tblLayout w:type="fixed"/>
        <w:tblCellMar>
          <w:top w:w="0" w:type="dxa"/>
          <w:left w:w="0" w:type="dxa"/>
          <w:bottom w:w="0" w:type="dxa"/>
          <w:right w:w="0" w:type="dxa"/>
        </w:tblCellMar>
        <w:tblLook w:val="01E0"/>
      </w:tblPr>
      <w:tblGrid>
        <w:gridCol w:w="5620"/>
        <w:gridCol w:w="3124"/>
      </w:tblGrid>
      <w:tr>
        <w:trPr>
          <w:trHeight w:val="222" w:hRule="exact"/>
        </w:trPr>
        <w:tc>
          <w:tcPr>
            <w:tcW w:w="5620" w:type="dxa"/>
            <w:tcBorders>
              <w:top w:val="nil" w:sz="6" w:space="0" w:color="auto"/>
              <w:left w:val="nil" w:sz="6" w:space="0" w:color="auto"/>
              <w:bottom w:val="nil" w:sz="6" w:space="0" w:color="auto"/>
              <w:right w:val="nil" w:sz="6" w:space="0" w:color="auto"/>
            </w:tcBorders>
          </w:tcPr>
          <w:p>
            <w:pPr>
              <w:pStyle w:val="TableParagraph"/>
              <w:spacing w:line="176" w:lineRule="exact"/>
              <w:ind w:left="35" w:right="0"/>
              <w:jc w:val="left"/>
              <w:rPr>
                <w:rFonts w:ascii="宋体" w:hAnsi="宋体" w:cs="宋体" w:eastAsia="宋体" w:hint="default"/>
                <w:sz w:val="16"/>
                <w:szCs w:val="16"/>
              </w:rPr>
            </w:pPr>
            <w:r>
              <w:rPr>
                <w:rFonts w:ascii="宋体" w:hAnsi="宋体" w:cs="宋体" w:eastAsia="宋体" w:hint="default"/>
                <w:sz w:val="16"/>
                <w:szCs w:val="16"/>
              </w:rPr>
              <w:t>其中：4.1</w:t>
            </w:r>
            <w:r>
              <w:rPr>
                <w:rFonts w:ascii="宋体" w:hAnsi="宋体" w:cs="宋体" w:eastAsia="宋体" w:hint="default"/>
                <w:spacing w:val="-60"/>
                <w:sz w:val="16"/>
                <w:szCs w:val="16"/>
              </w:rPr>
              <w:t> </w:t>
            </w:r>
            <w:r>
              <w:rPr>
                <w:rFonts w:ascii="宋体" w:hAnsi="宋体" w:cs="宋体" w:eastAsia="宋体" w:hint="default"/>
                <w:sz w:val="16"/>
                <w:szCs w:val="16"/>
              </w:rPr>
              <w:t>资助贫困学生投入金额</w:t>
            </w:r>
          </w:p>
        </w:tc>
        <w:tc>
          <w:tcPr>
            <w:tcW w:w="3124" w:type="dxa"/>
            <w:tcBorders>
              <w:top w:val="nil" w:sz="6" w:space="0" w:color="auto"/>
              <w:left w:val="nil" w:sz="6" w:space="0" w:color="auto"/>
              <w:bottom w:val="nil" w:sz="6" w:space="0" w:color="auto"/>
              <w:right w:val="nil" w:sz="6" w:space="0" w:color="auto"/>
            </w:tcBorders>
          </w:tcPr>
          <w:p>
            <w:pPr>
              <w:pStyle w:val="TableParagraph"/>
              <w:spacing w:line="176" w:lineRule="exact"/>
              <w:ind w:right="33"/>
              <w:jc w:val="right"/>
              <w:rPr>
                <w:rFonts w:ascii="宋体" w:hAnsi="宋体" w:cs="宋体" w:eastAsia="宋体" w:hint="default"/>
                <w:sz w:val="16"/>
                <w:szCs w:val="16"/>
              </w:rPr>
            </w:pPr>
            <w:r>
              <w:rPr>
                <w:rFonts w:ascii="宋体"/>
                <w:sz w:val="16"/>
              </w:rPr>
              <w:t>210.46</w:t>
            </w:r>
          </w:p>
        </w:tc>
      </w:tr>
      <w:tr>
        <w:trPr>
          <w:trHeight w:val="228" w:hRule="exact"/>
        </w:trPr>
        <w:tc>
          <w:tcPr>
            <w:tcW w:w="5620" w:type="dxa"/>
            <w:tcBorders>
              <w:top w:val="nil" w:sz="6" w:space="0" w:color="auto"/>
              <w:left w:val="nil" w:sz="6" w:space="0" w:color="auto"/>
              <w:bottom w:val="nil" w:sz="6" w:space="0" w:color="auto"/>
              <w:right w:val="nil" w:sz="6" w:space="0" w:color="auto"/>
            </w:tcBorders>
          </w:tcPr>
          <w:p>
            <w:pPr>
              <w:pStyle w:val="TableParagraph"/>
              <w:spacing w:line="182" w:lineRule="exact"/>
              <w:ind w:left="516" w:right="0"/>
              <w:jc w:val="left"/>
              <w:rPr>
                <w:rFonts w:ascii="宋体" w:hAnsi="宋体" w:cs="宋体" w:eastAsia="宋体" w:hint="default"/>
                <w:sz w:val="16"/>
                <w:szCs w:val="16"/>
              </w:rPr>
            </w:pPr>
            <w:r>
              <w:rPr>
                <w:rFonts w:ascii="宋体" w:hAnsi="宋体" w:cs="宋体" w:eastAsia="宋体" w:hint="default"/>
                <w:sz w:val="16"/>
                <w:szCs w:val="16"/>
              </w:rPr>
              <w:t>4.2</w:t>
            </w:r>
            <w:r>
              <w:rPr>
                <w:rFonts w:ascii="宋体" w:hAnsi="宋体" w:cs="宋体" w:eastAsia="宋体" w:hint="default"/>
                <w:spacing w:val="-60"/>
                <w:sz w:val="16"/>
                <w:szCs w:val="16"/>
              </w:rPr>
              <w:t> </w:t>
            </w:r>
            <w:r>
              <w:rPr>
                <w:rFonts w:ascii="宋体" w:hAnsi="宋体" w:cs="宋体" w:eastAsia="宋体" w:hint="default"/>
                <w:sz w:val="16"/>
                <w:szCs w:val="16"/>
              </w:rPr>
              <w:t>资助贫困学生人数（人）</w:t>
            </w:r>
          </w:p>
        </w:tc>
        <w:tc>
          <w:tcPr>
            <w:tcW w:w="312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w w:val="95"/>
                <w:sz w:val="16"/>
              </w:rPr>
              <w:t>2,290</w:t>
            </w:r>
            <w:r>
              <w:rPr>
                <w:rFonts w:ascii="宋体"/>
                <w:sz w:val="16"/>
              </w:rPr>
            </w:r>
          </w:p>
        </w:tc>
      </w:tr>
      <w:tr>
        <w:trPr>
          <w:trHeight w:val="289" w:hRule="exact"/>
        </w:trPr>
        <w:tc>
          <w:tcPr>
            <w:tcW w:w="5620" w:type="dxa"/>
            <w:tcBorders>
              <w:top w:val="nil" w:sz="6" w:space="0" w:color="auto"/>
              <w:left w:val="nil" w:sz="6" w:space="0" w:color="auto"/>
              <w:bottom w:val="nil" w:sz="6" w:space="0" w:color="auto"/>
              <w:right w:val="nil" w:sz="6" w:space="0" w:color="auto"/>
            </w:tcBorders>
          </w:tcPr>
          <w:p>
            <w:pPr>
              <w:pStyle w:val="TableParagraph"/>
              <w:spacing w:line="182" w:lineRule="exact"/>
              <w:ind w:left="516" w:right="0"/>
              <w:jc w:val="left"/>
              <w:rPr>
                <w:rFonts w:ascii="宋体" w:hAnsi="宋体" w:cs="宋体" w:eastAsia="宋体" w:hint="default"/>
                <w:sz w:val="16"/>
                <w:szCs w:val="16"/>
              </w:rPr>
            </w:pPr>
            <w:r>
              <w:rPr>
                <w:rFonts w:ascii="宋体" w:hAnsi="宋体" w:cs="宋体" w:eastAsia="宋体" w:hint="default"/>
                <w:sz w:val="16"/>
                <w:szCs w:val="16"/>
              </w:rPr>
              <w:t>4.3</w:t>
            </w:r>
            <w:r>
              <w:rPr>
                <w:rFonts w:ascii="宋体" w:hAnsi="宋体" w:cs="宋体" w:eastAsia="宋体" w:hint="default"/>
                <w:spacing w:val="-60"/>
                <w:sz w:val="16"/>
                <w:szCs w:val="16"/>
              </w:rPr>
              <w:t> </w:t>
            </w:r>
            <w:r>
              <w:rPr>
                <w:rFonts w:ascii="宋体" w:hAnsi="宋体" w:cs="宋体" w:eastAsia="宋体" w:hint="default"/>
                <w:sz w:val="16"/>
                <w:szCs w:val="16"/>
              </w:rPr>
              <w:t>改善贫困地区教育资源投入金额</w:t>
            </w:r>
          </w:p>
        </w:tc>
        <w:tc>
          <w:tcPr>
            <w:tcW w:w="312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sz w:val="16"/>
              </w:rPr>
              <w:t>522.36</w:t>
            </w:r>
          </w:p>
        </w:tc>
      </w:tr>
    </w:tbl>
    <w:p>
      <w:pPr>
        <w:spacing w:after="0" w:line="182" w:lineRule="exact"/>
        <w:jc w:val="right"/>
        <w:rPr>
          <w:rFonts w:ascii="宋体" w:hAnsi="宋体" w:cs="宋体" w:eastAsia="宋体" w:hint="default"/>
          <w:sz w:val="16"/>
          <w:szCs w:val="16"/>
        </w:rPr>
        <w:sectPr>
          <w:type w:val="continuous"/>
          <w:pgSz w:w="11910" w:h="16160"/>
          <w:pgMar w:top="1520" w:bottom="280" w:left="260" w:right="1140"/>
        </w:sectPr>
      </w:pPr>
    </w:p>
    <w:p>
      <w:pPr>
        <w:spacing w:line="240" w:lineRule="auto" w:before="10"/>
        <w:rPr>
          <w:rFonts w:ascii="宋体" w:hAnsi="宋体" w:cs="宋体" w:eastAsia="宋体" w:hint="default"/>
          <w:sz w:val="15"/>
          <w:szCs w:val="15"/>
        </w:rPr>
      </w:pPr>
    </w:p>
    <w:p>
      <w:pPr>
        <w:spacing w:before="54"/>
        <w:ind w:left="0" w:right="933" w:firstLine="0"/>
        <w:jc w:val="right"/>
        <w:rPr>
          <w:rFonts w:ascii="宋体" w:hAnsi="宋体" w:cs="宋体" w:eastAsia="宋体" w:hint="default"/>
          <w:sz w:val="12"/>
          <w:szCs w:val="12"/>
        </w:rPr>
      </w:pPr>
      <w:r>
        <w:rPr>
          <w:rFonts w:ascii="宋体" w:hAnsi="宋体" w:cs="宋体" w:eastAsia="宋体" w:hint="default"/>
          <w:sz w:val="12"/>
          <w:szCs w:val="12"/>
        </w:rPr>
        <w:t>单位：万元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tabs>
          <w:tab w:pos="8007" w:val="left" w:leader="none"/>
        </w:tabs>
        <w:spacing w:before="64"/>
        <w:ind w:left="0" w:right="933" w:firstLine="0"/>
        <w:jc w:val="right"/>
        <w:rPr>
          <w:rFonts w:ascii="宋体" w:hAnsi="宋体" w:cs="宋体" w:eastAsia="宋体" w:hint="default"/>
          <w:sz w:val="16"/>
          <w:szCs w:val="16"/>
        </w:rPr>
      </w:pPr>
      <w:r>
        <w:rPr>
          <w:rFonts w:ascii="宋体" w:hAnsi="宋体" w:cs="宋体" w:eastAsia="宋体" w:hint="default"/>
          <w:sz w:val="16"/>
          <w:szCs w:val="16"/>
        </w:rPr>
        <w:t>指标</w:t>
        <w:tab/>
        <w:t>数量及开展情况</w:t>
      </w:r>
    </w:p>
    <w:p>
      <w:pPr>
        <w:spacing w:line="240" w:lineRule="auto" w:before="2"/>
        <w:rPr>
          <w:rFonts w:ascii="宋体" w:hAnsi="宋体" w:cs="宋体" w:eastAsia="宋体" w:hint="default"/>
          <w:sz w:val="7"/>
          <w:szCs w:val="7"/>
        </w:rPr>
      </w:pPr>
    </w:p>
    <w:p>
      <w:pPr>
        <w:spacing w:line="40" w:lineRule="exact"/>
        <w:ind w:left="43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4842;height:2" coordorigin="20,20" coordsize="4842,2">
              <v:shape style="position:absolute;left:20;top:20;width:4842;height:2" coordorigin="20,20" coordsize="4842,0" path="m20,20l4862,20e" filled="false" stroked="true" strokeweight="2pt" strokecolor="#9c8758">
                <v:path arrowok="t"/>
              </v:shape>
            </v:group>
            <v:group style="position:absolute;left:4862;top:20;width:4457;height:2" coordorigin="4862,20" coordsize="4457,2">
              <v:shape style="position:absolute;left:4862;top:20;width:4457;height:2" coordorigin="4862,20" coordsize="4457,0" path="m4862,20l9318,20e" filled="false" stroked="true" strokeweight="2pt" strokecolor="#9c8758">
                <v:path arrowok="t"/>
              </v:shape>
            </v:group>
          </v:group>
        </w:pict>
      </w:r>
      <w:r>
        <w:rPr>
          <w:rFonts w:ascii="宋体" w:hAnsi="宋体" w:cs="宋体" w:eastAsia="宋体" w:hint="default"/>
          <w:position w:val="0"/>
          <w:sz w:val="4"/>
          <w:szCs w:val="4"/>
        </w:rPr>
      </w:r>
    </w:p>
    <w:p>
      <w:pPr>
        <w:spacing w:before="41"/>
        <w:ind w:left="825" w:right="34" w:firstLine="0"/>
        <w:jc w:val="left"/>
        <w:rPr>
          <w:rFonts w:ascii="宋体" w:hAnsi="宋体" w:cs="宋体" w:eastAsia="宋体" w:hint="default"/>
          <w:sz w:val="16"/>
          <w:szCs w:val="16"/>
        </w:rPr>
      </w:pPr>
      <w:r>
        <w:rPr>
          <w:rFonts w:ascii="宋体" w:hAnsi="宋体" w:cs="宋体" w:eastAsia="宋体" w:hint="default"/>
          <w:w w:val="95"/>
          <w:sz w:val="16"/>
          <w:szCs w:val="16"/>
        </w:rPr>
        <w:t>5.</w:t>
      </w:r>
      <w:r>
        <w:rPr>
          <w:rFonts w:ascii="宋体" w:hAnsi="宋体" w:cs="宋体" w:eastAsia="宋体" w:hint="default"/>
          <w:spacing w:val="-23"/>
          <w:w w:val="95"/>
          <w:sz w:val="16"/>
          <w:szCs w:val="16"/>
        </w:rPr>
        <w:t> </w:t>
      </w:r>
      <w:r>
        <w:rPr>
          <w:rFonts w:ascii="宋体" w:hAnsi="宋体" w:cs="宋体" w:eastAsia="宋体" w:hint="default"/>
          <w:w w:val="95"/>
          <w:sz w:val="16"/>
          <w:szCs w:val="16"/>
        </w:rPr>
        <w:t>健康扶贫</w:t>
      </w:r>
    </w:p>
    <w:p>
      <w:pPr>
        <w:tabs>
          <w:tab w:pos="9670" w:val="right" w:leader="none"/>
        </w:tabs>
        <w:spacing w:before="18"/>
        <w:ind w:left="996" w:right="0" w:firstLine="0"/>
        <w:jc w:val="left"/>
        <w:rPr>
          <w:rFonts w:ascii="宋体" w:hAnsi="宋体" w:cs="宋体" w:eastAsia="宋体" w:hint="default"/>
          <w:sz w:val="16"/>
          <w:szCs w:val="16"/>
        </w:rPr>
      </w:pPr>
      <w:r>
        <w:rPr>
          <w:rFonts w:ascii="宋体" w:hAnsi="宋体" w:cs="宋体" w:eastAsia="宋体" w:hint="default"/>
          <w:sz w:val="16"/>
          <w:szCs w:val="16"/>
        </w:rPr>
        <w:t>其中：5.1</w:t>
      </w:r>
      <w:r>
        <w:rPr>
          <w:rFonts w:ascii="宋体" w:hAnsi="宋体" w:cs="宋体" w:eastAsia="宋体" w:hint="default"/>
          <w:spacing w:val="-42"/>
          <w:sz w:val="16"/>
          <w:szCs w:val="16"/>
        </w:rPr>
        <w:t> </w:t>
      </w:r>
      <w:r>
        <w:rPr>
          <w:rFonts w:ascii="宋体" w:hAnsi="宋体" w:cs="宋体" w:eastAsia="宋体" w:hint="default"/>
          <w:sz w:val="16"/>
          <w:szCs w:val="16"/>
        </w:rPr>
        <w:t>贫困地区医疗卫生资源投入金额</w:t>
      </w:r>
      <w:r>
        <w:rPr>
          <w:rFonts w:ascii="Times New Roman" w:hAnsi="Times New Roman" w:cs="Times New Roman" w:eastAsia="Times New Roman" w:hint="default"/>
          <w:sz w:val="16"/>
          <w:szCs w:val="16"/>
        </w:rPr>
        <w:tab/>
      </w:r>
      <w:r>
        <w:rPr>
          <w:rFonts w:ascii="宋体" w:hAnsi="宋体" w:cs="宋体" w:eastAsia="宋体" w:hint="default"/>
          <w:sz w:val="16"/>
          <w:szCs w:val="16"/>
        </w:rPr>
        <w:t>741.68</w:t>
      </w:r>
    </w:p>
    <w:p>
      <w:pPr>
        <w:spacing w:before="18"/>
        <w:ind w:left="825" w:right="34" w:firstLine="0"/>
        <w:jc w:val="left"/>
        <w:rPr>
          <w:rFonts w:ascii="宋体" w:hAnsi="宋体" w:cs="宋体" w:eastAsia="宋体" w:hint="default"/>
          <w:sz w:val="16"/>
          <w:szCs w:val="16"/>
        </w:rPr>
      </w:pPr>
      <w:r>
        <w:rPr>
          <w:rFonts w:ascii="宋体" w:hAnsi="宋体" w:cs="宋体" w:eastAsia="宋体" w:hint="default"/>
          <w:w w:val="95"/>
          <w:sz w:val="16"/>
          <w:szCs w:val="16"/>
        </w:rPr>
        <w:t>6.</w:t>
      </w:r>
      <w:r>
        <w:rPr>
          <w:rFonts w:ascii="宋体" w:hAnsi="宋体" w:cs="宋体" w:eastAsia="宋体" w:hint="default"/>
          <w:spacing w:val="-7"/>
          <w:w w:val="95"/>
          <w:sz w:val="16"/>
          <w:szCs w:val="16"/>
        </w:rPr>
        <w:t> </w:t>
      </w:r>
      <w:r>
        <w:rPr>
          <w:rFonts w:ascii="宋体" w:hAnsi="宋体" w:cs="宋体" w:eastAsia="宋体" w:hint="default"/>
          <w:w w:val="95"/>
          <w:sz w:val="16"/>
          <w:szCs w:val="16"/>
        </w:rPr>
        <w:t>生态保护扶贫</w:t>
      </w:r>
    </w:p>
    <w:p>
      <w:pPr>
        <w:spacing w:after="0"/>
        <w:jc w:val="left"/>
        <w:rPr>
          <w:rFonts w:ascii="宋体" w:hAnsi="宋体" w:cs="宋体" w:eastAsia="宋体" w:hint="default"/>
          <w:sz w:val="16"/>
          <w:szCs w:val="16"/>
        </w:rPr>
        <w:sectPr>
          <w:headerReference w:type="default" r:id="rId157"/>
          <w:footerReference w:type="default" r:id="rId158"/>
          <w:pgSz w:w="11910" w:h="16160"/>
          <w:pgMar w:header="0" w:footer="298" w:top="2640" w:bottom="480" w:left="1300" w:right="0"/>
          <w:pgNumType w:start="45"/>
        </w:sectPr>
      </w:pPr>
    </w:p>
    <w:p>
      <w:pPr>
        <w:spacing w:before="360"/>
        <w:ind w:left="996" w:right="-19" w:firstLine="0"/>
        <w:jc w:val="left"/>
        <w:rPr>
          <w:rFonts w:ascii="宋体" w:hAnsi="宋体" w:cs="宋体" w:eastAsia="宋体" w:hint="default"/>
          <w:sz w:val="16"/>
          <w:szCs w:val="16"/>
        </w:rPr>
      </w:pPr>
      <w:r>
        <w:rPr>
          <w:rFonts w:ascii="宋体" w:hAnsi="宋体" w:cs="宋体" w:eastAsia="宋体" w:hint="default"/>
          <w:sz w:val="16"/>
          <w:szCs w:val="16"/>
        </w:rPr>
        <w:t>其中：6.1</w:t>
      </w:r>
      <w:r>
        <w:rPr>
          <w:rFonts w:ascii="宋体" w:hAnsi="宋体" w:cs="宋体" w:eastAsia="宋体" w:hint="default"/>
          <w:spacing w:val="-60"/>
          <w:sz w:val="16"/>
          <w:szCs w:val="16"/>
        </w:rPr>
        <w:t> </w:t>
      </w:r>
      <w:r>
        <w:rPr>
          <w:rFonts w:ascii="宋体" w:hAnsi="宋体" w:cs="宋体" w:eastAsia="宋体" w:hint="default"/>
          <w:sz w:val="16"/>
          <w:szCs w:val="16"/>
        </w:rPr>
        <w:t>项目名称</w:t>
      </w:r>
    </w:p>
    <w:p>
      <w:pPr>
        <w:spacing w:before="18"/>
        <w:ind w:left="996"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开展生态保护与建设</w:t>
      </w:r>
    </w:p>
    <w:p>
      <w:pPr>
        <w:spacing w:before="18"/>
        <w:ind w:left="996"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建立生态保护补偿方式</w:t>
      </w:r>
    </w:p>
    <w:p>
      <w:pPr>
        <w:spacing w:before="18"/>
        <w:ind w:left="996"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设立生态公益岗位</w:t>
      </w:r>
    </w:p>
    <w:p>
      <w:pPr>
        <w:spacing w:before="18"/>
        <w:ind w:left="996" w:right="0" w:firstLine="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6"/>
          <w:sz w:val="16"/>
          <w:szCs w:val="16"/>
        </w:rPr>
        <w:t> </w:t>
      </w:r>
      <w:r>
        <w:rPr>
          <w:rFonts w:ascii="宋体" w:hAnsi="宋体" w:cs="宋体" w:eastAsia="宋体" w:hint="default"/>
          <w:sz w:val="16"/>
          <w:szCs w:val="16"/>
        </w:rPr>
        <w:t>其他</w:t>
      </w:r>
    </w:p>
    <w:p>
      <w:pPr>
        <w:spacing w:after="0"/>
        <w:jc w:val="left"/>
        <w:rPr>
          <w:rFonts w:ascii="宋体" w:hAnsi="宋体" w:cs="宋体" w:eastAsia="宋体" w:hint="default"/>
          <w:sz w:val="16"/>
          <w:szCs w:val="16"/>
        </w:rPr>
        <w:sectPr>
          <w:type w:val="continuous"/>
          <w:pgSz w:w="11910" w:h="16160"/>
          <w:pgMar w:top="1520" w:bottom="280" w:left="1300" w:right="0"/>
          <w:cols w:num="2" w:equalWidth="0">
            <w:col w:w="2378" w:space="2010"/>
            <w:col w:w="6222"/>
          </w:cols>
        </w:sectPr>
      </w:pPr>
    </w:p>
    <w:p>
      <w:pPr>
        <w:tabs>
          <w:tab w:pos="9670" w:val="right" w:leader="none"/>
        </w:tabs>
        <w:spacing w:before="18"/>
        <w:ind w:left="1477" w:right="0" w:firstLine="0"/>
        <w:jc w:val="left"/>
        <w:rPr>
          <w:rFonts w:ascii="宋体" w:hAnsi="宋体" w:cs="宋体" w:eastAsia="宋体" w:hint="default"/>
          <w:sz w:val="16"/>
          <w:szCs w:val="16"/>
        </w:rPr>
      </w:pPr>
      <w:r>
        <w:rPr>
          <w:rFonts w:ascii="宋体" w:hAnsi="宋体" w:cs="宋体" w:eastAsia="宋体" w:hint="default"/>
          <w:sz w:val="16"/>
          <w:szCs w:val="16"/>
        </w:rPr>
        <w:t>6.2</w:t>
      </w:r>
      <w:r>
        <w:rPr>
          <w:rFonts w:ascii="宋体" w:hAnsi="宋体" w:cs="宋体" w:eastAsia="宋体" w:hint="default"/>
          <w:spacing w:val="-42"/>
          <w:sz w:val="16"/>
          <w:szCs w:val="16"/>
        </w:rPr>
        <w:t> </w:t>
      </w:r>
      <w:r>
        <w:rPr>
          <w:rFonts w:ascii="宋体" w:hAnsi="宋体" w:cs="宋体" w:eastAsia="宋体" w:hint="default"/>
          <w:sz w:val="16"/>
          <w:szCs w:val="16"/>
        </w:rPr>
        <w:t>投入金额</w:t>
      </w:r>
      <w:r>
        <w:rPr>
          <w:rFonts w:ascii="Times New Roman" w:hAnsi="Times New Roman" w:cs="Times New Roman" w:eastAsia="Times New Roman" w:hint="default"/>
          <w:sz w:val="16"/>
          <w:szCs w:val="16"/>
        </w:rPr>
        <w:tab/>
      </w:r>
      <w:r>
        <w:rPr>
          <w:rFonts w:ascii="宋体" w:hAnsi="宋体" w:cs="宋体" w:eastAsia="宋体" w:hint="default"/>
          <w:sz w:val="16"/>
          <w:szCs w:val="16"/>
        </w:rPr>
        <w:t>209.95</w:t>
      </w:r>
    </w:p>
    <w:p>
      <w:pPr>
        <w:spacing w:before="18"/>
        <w:ind w:left="825" w:right="34" w:firstLine="0"/>
        <w:jc w:val="left"/>
        <w:rPr>
          <w:rFonts w:ascii="宋体" w:hAnsi="宋体" w:cs="宋体" w:eastAsia="宋体" w:hint="default"/>
          <w:sz w:val="16"/>
          <w:szCs w:val="16"/>
        </w:rPr>
      </w:pPr>
      <w:r>
        <w:rPr/>
        <w:pict>
          <v:shape style="position:absolute;margin-left:106.307297pt;margin-top:13.963863pt;width:444pt;height:90.6pt;mso-position-horizontal-relative:page;mso-position-vertical-relative:paragraph;z-index:40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675"/>
                    <w:gridCol w:w="3204"/>
                  </w:tblGrid>
                  <w:tr>
                    <w:trPr>
                      <w:trHeight w:val="222"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176" w:lineRule="exact"/>
                          <w:ind w:right="2682"/>
                          <w:jc w:val="right"/>
                          <w:rPr>
                            <w:rFonts w:ascii="宋体" w:hAnsi="宋体" w:cs="宋体" w:eastAsia="宋体" w:hint="default"/>
                            <w:sz w:val="16"/>
                            <w:szCs w:val="16"/>
                          </w:rPr>
                        </w:pPr>
                        <w:r>
                          <w:rPr>
                            <w:rFonts w:ascii="宋体" w:hAnsi="宋体" w:cs="宋体" w:eastAsia="宋体" w:hint="default"/>
                            <w:sz w:val="16"/>
                            <w:szCs w:val="16"/>
                          </w:rPr>
                          <w:t>其中：7.1</w:t>
                        </w:r>
                        <w:r>
                          <w:rPr>
                            <w:rFonts w:ascii="宋体" w:hAnsi="宋体" w:cs="宋体" w:eastAsia="宋体" w:hint="default"/>
                            <w:spacing w:val="-60"/>
                            <w:sz w:val="16"/>
                            <w:szCs w:val="16"/>
                          </w:rPr>
                          <w:t> </w:t>
                        </w:r>
                        <w:r>
                          <w:rPr>
                            <w:rFonts w:ascii="宋体" w:hAnsi="宋体" w:cs="宋体" w:eastAsia="宋体" w:hint="default"/>
                            <w:sz w:val="16"/>
                            <w:szCs w:val="16"/>
                          </w:rPr>
                          <w:t>帮助“三留守”人员投入金额</w:t>
                        </w:r>
                      </w:p>
                    </w:tc>
                    <w:tc>
                      <w:tcPr>
                        <w:tcW w:w="3204" w:type="dxa"/>
                        <w:tcBorders>
                          <w:top w:val="nil" w:sz="6" w:space="0" w:color="auto"/>
                          <w:left w:val="nil" w:sz="6" w:space="0" w:color="auto"/>
                          <w:bottom w:val="nil" w:sz="6" w:space="0" w:color="auto"/>
                          <w:right w:val="nil" w:sz="6" w:space="0" w:color="auto"/>
                        </w:tcBorders>
                      </w:tcPr>
                      <w:p>
                        <w:pPr>
                          <w:pStyle w:val="TableParagraph"/>
                          <w:spacing w:line="176" w:lineRule="exact"/>
                          <w:ind w:right="33"/>
                          <w:jc w:val="right"/>
                          <w:rPr>
                            <w:rFonts w:ascii="宋体" w:hAnsi="宋体" w:cs="宋体" w:eastAsia="宋体" w:hint="default"/>
                            <w:sz w:val="16"/>
                            <w:szCs w:val="16"/>
                          </w:rPr>
                        </w:pPr>
                        <w:r>
                          <w:rPr>
                            <w:rFonts w:ascii="宋体"/>
                            <w:sz w:val="16"/>
                          </w:rPr>
                          <w:t>169.05</w:t>
                        </w:r>
                      </w:p>
                    </w:tc>
                  </w:tr>
                  <w:tr>
                    <w:trPr>
                      <w:trHeight w:val="228"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182" w:lineRule="exact"/>
                          <w:ind w:right="2679"/>
                          <w:jc w:val="right"/>
                          <w:rPr>
                            <w:rFonts w:ascii="宋体" w:hAnsi="宋体" w:cs="宋体" w:eastAsia="宋体" w:hint="default"/>
                            <w:sz w:val="16"/>
                            <w:szCs w:val="16"/>
                          </w:rPr>
                        </w:pPr>
                        <w:r>
                          <w:rPr>
                            <w:rFonts w:ascii="宋体" w:hAnsi="宋体" w:cs="宋体" w:eastAsia="宋体" w:hint="default"/>
                            <w:sz w:val="16"/>
                            <w:szCs w:val="16"/>
                          </w:rPr>
                          <w:t>7.2</w:t>
                        </w:r>
                        <w:r>
                          <w:rPr>
                            <w:rFonts w:ascii="宋体" w:hAnsi="宋体" w:cs="宋体" w:eastAsia="宋体" w:hint="default"/>
                            <w:spacing w:val="-60"/>
                            <w:sz w:val="16"/>
                            <w:szCs w:val="16"/>
                          </w:rPr>
                          <w:t> </w:t>
                        </w:r>
                        <w:r>
                          <w:rPr>
                            <w:rFonts w:ascii="宋体" w:hAnsi="宋体" w:cs="宋体" w:eastAsia="宋体" w:hint="default"/>
                            <w:sz w:val="16"/>
                            <w:szCs w:val="16"/>
                          </w:rPr>
                          <w:t>帮助“三留守”人员数（人）</w:t>
                        </w:r>
                      </w:p>
                    </w:tc>
                    <w:tc>
                      <w:tcPr>
                        <w:tcW w:w="32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w w:val="95"/>
                            <w:sz w:val="16"/>
                          </w:rPr>
                          <w:t>3,858</w:t>
                        </w:r>
                        <w:r>
                          <w:rPr>
                            <w:rFonts w:ascii="宋体"/>
                            <w:sz w:val="16"/>
                          </w:rPr>
                        </w:r>
                      </w:p>
                    </w:tc>
                  </w:tr>
                  <w:tr>
                    <w:trPr>
                      <w:trHeight w:val="228"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182" w:lineRule="exact"/>
                          <w:ind w:left="651" w:right="0"/>
                          <w:jc w:val="left"/>
                          <w:rPr>
                            <w:rFonts w:ascii="宋体" w:hAnsi="宋体" w:cs="宋体" w:eastAsia="宋体" w:hint="default"/>
                            <w:sz w:val="16"/>
                            <w:szCs w:val="16"/>
                          </w:rPr>
                        </w:pPr>
                        <w:r>
                          <w:rPr>
                            <w:rFonts w:ascii="宋体" w:hAnsi="宋体" w:cs="宋体" w:eastAsia="宋体" w:hint="default"/>
                            <w:sz w:val="16"/>
                            <w:szCs w:val="16"/>
                          </w:rPr>
                          <w:t>7.3</w:t>
                        </w:r>
                        <w:r>
                          <w:rPr>
                            <w:rFonts w:ascii="宋体" w:hAnsi="宋体" w:cs="宋体" w:eastAsia="宋体" w:hint="default"/>
                            <w:spacing w:val="-60"/>
                            <w:sz w:val="16"/>
                            <w:szCs w:val="16"/>
                          </w:rPr>
                          <w:t> </w:t>
                        </w:r>
                        <w:r>
                          <w:rPr>
                            <w:rFonts w:ascii="宋体" w:hAnsi="宋体" w:cs="宋体" w:eastAsia="宋体" w:hint="default"/>
                            <w:sz w:val="16"/>
                            <w:szCs w:val="16"/>
                          </w:rPr>
                          <w:t>帮助贫困残疾人投入金额</w:t>
                        </w:r>
                      </w:p>
                    </w:tc>
                    <w:tc>
                      <w:tcPr>
                        <w:tcW w:w="32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w w:val="95"/>
                            <w:sz w:val="16"/>
                          </w:rPr>
                          <w:t>68.75</w:t>
                        </w:r>
                        <w:r>
                          <w:rPr>
                            <w:rFonts w:ascii="宋体"/>
                            <w:sz w:val="16"/>
                          </w:rPr>
                        </w:r>
                      </w:p>
                    </w:tc>
                  </w:tr>
                  <w:tr>
                    <w:trPr>
                      <w:trHeight w:val="194"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182" w:lineRule="exact"/>
                          <w:ind w:left="651" w:right="0"/>
                          <w:jc w:val="left"/>
                          <w:rPr>
                            <w:rFonts w:ascii="宋体" w:hAnsi="宋体" w:cs="宋体" w:eastAsia="宋体" w:hint="default"/>
                            <w:sz w:val="16"/>
                            <w:szCs w:val="16"/>
                          </w:rPr>
                        </w:pPr>
                        <w:r>
                          <w:rPr>
                            <w:rFonts w:ascii="宋体" w:hAnsi="宋体" w:cs="宋体" w:eastAsia="宋体" w:hint="default"/>
                            <w:sz w:val="16"/>
                            <w:szCs w:val="16"/>
                          </w:rPr>
                          <w:t>7.4</w:t>
                        </w:r>
                        <w:r>
                          <w:rPr>
                            <w:rFonts w:ascii="宋体" w:hAnsi="宋体" w:cs="宋体" w:eastAsia="宋体" w:hint="default"/>
                            <w:spacing w:val="-60"/>
                            <w:sz w:val="16"/>
                            <w:szCs w:val="16"/>
                          </w:rPr>
                          <w:t> </w:t>
                        </w:r>
                        <w:r>
                          <w:rPr>
                            <w:rFonts w:ascii="宋体" w:hAnsi="宋体" w:cs="宋体" w:eastAsia="宋体" w:hint="default"/>
                            <w:sz w:val="16"/>
                            <w:szCs w:val="16"/>
                          </w:rPr>
                          <w:t>帮助贫困残疾人数（人）</w:t>
                        </w:r>
                      </w:p>
                    </w:tc>
                    <w:tc>
                      <w:tcPr>
                        <w:tcW w:w="32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w w:val="95"/>
                            <w:sz w:val="16"/>
                          </w:rPr>
                          <w:t>1,244</w:t>
                        </w:r>
                        <w:r>
                          <w:rPr>
                            <w:rFonts w:ascii="宋体"/>
                            <w:sz w:val="16"/>
                          </w:rPr>
                        </w:r>
                      </w:p>
                    </w:tc>
                  </w:tr>
                  <w:tr>
                    <w:trPr>
                      <w:trHeight w:val="262"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6"/>
                            <w:szCs w:val="16"/>
                          </w:rPr>
                        </w:pPr>
                        <w:r>
                          <w:rPr>
                            <w:rFonts w:ascii="宋体" w:hAnsi="宋体" w:cs="宋体" w:eastAsia="宋体" w:hint="default"/>
                            <w:w w:val="95"/>
                            <w:sz w:val="16"/>
                            <w:szCs w:val="16"/>
                          </w:rPr>
                          <w:t>8.</w:t>
                        </w:r>
                        <w:r>
                          <w:rPr>
                            <w:rFonts w:ascii="宋体" w:hAnsi="宋体" w:cs="宋体" w:eastAsia="宋体" w:hint="default"/>
                            <w:spacing w:val="-23"/>
                            <w:w w:val="95"/>
                            <w:sz w:val="16"/>
                            <w:szCs w:val="16"/>
                          </w:rPr>
                          <w:t> </w:t>
                        </w:r>
                        <w:r>
                          <w:rPr>
                            <w:rFonts w:ascii="宋体" w:hAnsi="宋体" w:cs="宋体" w:eastAsia="宋体" w:hint="default"/>
                            <w:w w:val="95"/>
                            <w:sz w:val="16"/>
                            <w:szCs w:val="16"/>
                          </w:rPr>
                          <w:t>社会扶贫</w:t>
                        </w:r>
                      </w:p>
                    </w:tc>
                    <w:tc>
                      <w:tcPr>
                        <w:tcW w:w="3204" w:type="dxa"/>
                        <w:tcBorders>
                          <w:top w:val="nil" w:sz="6" w:space="0" w:color="auto"/>
                          <w:left w:val="nil" w:sz="6" w:space="0" w:color="auto"/>
                          <w:bottom w:val="nil" w:sz="6" w:space="0" w:color="auto"/>
                          <w:right w:val="nil" w:sz="6" w:space="0" w:color="auto"/>
                        </w:tcBorders>
                      </w:tcPr>
                      <w:p>
                        <w:pPr/>
                      </w:p>
                    </w:tc>
                  </w:tr>
                  <w:tr>
                    <w:trPr>
                      <w:trHeight w:val="228"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182" w:lineRule="exact"/>
                          <w:ind w:left="170" w:right="0"/>
                          <w:jc w:val="left"/>
                          <w:rPr>
                            <w:rFonts w:ascii="宋体" w:hAnsi="宋体" w:cs="宋体" w:eastAsia="宋体" w:hint="default"/>
                            <w:sz w:val="16"/>
                            <w:szCs w:val="16"/>
                          </w:rPr>
                        </w:pPr>
                        <w:r>
                          <w:rPr>
                            <w:rFonts w:ascii="宋体" w:hAnsi="宋体" w:cs="宋体" w:eastAsia="宋体" w:hint="default"/>
                            <w:sz w:val="16"/>
                            <w:szCs w:val="16"/>
                          </w:rPr>
                          <w:t>其中：8.1</w:t>
                        </w:r>
                        <w:r>
                          <w:rPr>
                            <w:rFonts w:ascii="宋体" w:hAnsi="宋体" w:cs="宋体" w:eastAsia="宋体" w:hint="default"/>
                            <w:spacing w:val="-60"/>
                            <w:sz w:val="16"/>
                            <w:szCs w:val="16"/>
                          </w:rPr>
                          <w:t> </w:t>
                        </w:r>
                        <w:r>
                          <w:rPr>
                            <w:rFonts w:ascii="宋体" w:hAnsi="宋体" w:cs="宋体" w:eastAsia="宋体" w:hint="default"/>
                            <w:sz w:val="16"/>
                            <w:szCs w:val="16"/>
                          </w:rPr>
                          <w:t>东西部扶贫协作投入金额</w:t>
                        </w:r>
                      </w:p>
                    </w:tc>
                    <w:tc>
                      <w:tcPr>
                        <w:tcW w:w="32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w w:val="90"/>
                            <w:sz w:val="16"/>
                          </w:rPr>
                          <w:t>2.2</w:t>
                        </w:r>
                        <w:r>
                          <w:rPr>
                            <w:rFonts w:ascii="宋体"/>
                            <w:sz w:val="16"/>
                          </w:rPr>
                        </w:r>
                      </w:p>
                    </w:tc>
                  </w:tr>
                  <w:tr>
                    <w:trPr>
                      <w:trHeight w:val="228"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182" w:lineRule="exact"/>
                          <w:ind w:left="652" w:right="0"/>
                          <w:jc w:val="left"/>
                          <w:rPr>
                            <w:rFonts w:ascii="宋体" w:hAnsi="宋体" w:cs="宋体" w:eastAsia="宋体" w:hint="default"/>
                            <w:sz w:val="16"/>
                            <w:szCs w:val="16"/>
                          </w:rPr>
                        </w:pPr>
                        <w:r>
                          <w:rPr>
                            <w:rFonts w:ascii="宋体" w:hAnsi="宋体" w:cs="宋体" w:eastAsia="宋体" w:hint="default"/>
                            <w:sz w:val="16"/>
                            <w:szCs w:val="16"/>
                          </w:rPr>
                          <w:t>8.2</w:t>
                        </w:r>
                        <w:r>
                          <w:rPr>
                            <w:rFonts w:ascii="宋体" w:hAnsi="宋体" w:cs="宋体" w:eastAsia="宋体" w:hint="default"/>
                            <w:spacing w:val="-60"/>
                            <w:sz w:val="16"/>
                            <w:szCs w:val="16"/>
                          </w:rPr>
                          <w:t> </w:t>
                        </w:r>
                        <w:r>
                          <w:rPr>
                            <w:rFonts w:ascii="宋体" w:hAnsi="宋体" w:cs="宋体" w:eastAsia="宋体" w:hint="default"/>
                            <w:sz w:val="16"/>
                            <w:szCs w:val="16"/>
                          </w:rPr>
                          <w:t>定点扶贫工作投入金额</w:t>
                        </w:r>
                      </w:p>
                    </w:tc>
                    <w:tc>
                      <w:tcPr>
                        <w:tcW w:w="32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w w:val="111"/>
                            <w:sz w:val="16"/>
                          </w:rPr>
                          <w:t>0</w:t>
                        </w:r>
                        <w:r>
                          <w:rPr>
                            <w:rFonts w:ascii="宋体"/>
                            <w:sz w:val="16"/>
                          </w:rPr>
                        </w:r>
                      </w:p>
                    </w:tc>
                  </w:tr>
                  <w:tr>
                    <w:trPr>
                      <w:trHeight w:val="222" w:hRule="exact"/>
                    </w:trPr>
                    <w:tc>
                      <w:tcPr>
                        <w:tcW w:w="5675" w:type="dxa"/>
                        <w:tcBorders>
                          <w:top w:val="nil" w:sz="6" w:space="0" w:color="auto"/>
                          <w:left w:val="nil" w:sz="6" w:space="0" w:color="auto"/>
                          <w:bottom w:val="nil" w:sz="6" w:space="0" w:color="auto"/>
                          <w:right w:val="nil" w:sz="6" w:space="0" w:color="auto"/>
                        </w:tcBorders>
                      </w:tcPr>
                      <w:p>
                        <w:pPr>
                          <w:pStyle w:val="TableParagraph"/>
                          <w:spacing w:line="182" w:lineRule="exact"/>
                          <w:ind w:left="652" w:right="0"/>
                          <w:jc w:val="left"/>
                          <w:rPr>
                            <w:rFonts w:ascii="宋体" w:hAnsi="宋体" w:cs="宋体" w:eastAsia="宋体" w:hint="default"/>
                            <w:sz w:val="16"/>
                            <w:szCs w:val="16"/>
                          </w:rPr>
                        </w:pPr>
                        <w:r>
                          <w:rPr>
                            <w:rFonts w:ascii="宋体" w:hAnsi="宋体" w:cs="宋体" w:eastAsia="宋体" w:hint="default"/>
                            <w:sz w:val="16"/>
                            <w:szCs w:val="16"/>
                          </w:rPr>
                          <w:t>8.3</w:t>
                        </w:r>
                        <w:r>
                          <w:rPr>
                            <w:rFonts w:ascii="宋体" w:hAnsi="宋体" w:cs="宋体" w:eastAsia="宋体" w:hint="default"/>
                            <w:spacing w:val="-60"/>
                            <w:sz w:val="16"/>
                            <w:szCs w:val="16"/>
                          </w:rPr>
                          <w:t> </w:t>
                        </w:r>
                        <w:r>
                          <w:rPr>
                            <w:rFonts w:ascii="宋体" w:hAnsi="宋体" w:cs="宋体" w:eastAsia="宋体" w:hint="default"/>
                            <w:sz w:val="16"/>
                            <w:szCs w:val="16"/>
                          </w:rPr>
                          <w:t>扶贫公益基金</w:t>
                        </w:r>
                      </w:p>
                    </w:tc>
                    <w:tc>
                      <w:tcPr>
                        <w:tcW w:w="3204" w:type="dxa"/>
                        <w:tcBorders>
                          <w:top w:val="nil" w:sz="6" w:space="0" w:color="auto"/>
                          <w:left w:val="nil" w:sz="6" w:space="0" w:color="auto"/>
                          <w:bottom w:val="nil" w:sz="6" w:space="0" w:color="auto"/>
                          <w:right w:val="nil" w:sz="6" w:space="0" w:color="auto"/>
                        </w:tcBorders>
                      </w:tcPr>
                      <w:p>
                        <w:pPr>
                          <w:pStyle w:val="TableParagraph"/>
                          <w:spacing w:line="182" w:lineRule="exact"/>
                          <w:ind w:right="33"/>
                          <w:jc w:val="right"/>
                          <w:rPr>
                            <w:rFonts w:ascii="宋体" w:hAnsi="宋体" w:cs="宋体" w:eastAsia="宋体" w:hint="default"/>
                            <w:sz w:val="16"/>
                            <w:szCs w:val="16"/>
                          </w:rPr>
                        </w:pPr>
                        <w:r>
                          <w:rPr>
                            <w:rFonts w:ascii="宋体"/>
                            <w:w w:val="95"/>
                            <w:sz w:val="16"/>
                          </w:rPr>
                          <w:t>3.94</w:t>
                        </w:r>
                        <w:r>
                          <w:rPr>
                            <w:rFonts w:ascii="宋体"/>
                            <w:sz w:val="16"/>
                          </w:rPr>
                        </w:r>
                      </w:p>
                    </w:tc>
                  </w:tr>
                </w:tbl>
                <w:p>
                  <w:pPr/>
                </w:p>
              </w:txbxContent>
            </v:textbox>
            <w10:wrap type="none"/>
          </v:shape>
        </w:pict>
      </w:r>
      <w:r>
        <w:rPr>
          <w:rFonts w:ascii="宋体" w:hAnsi="宋体" w:cs="宋体" w:eastAsia="宋体" w:hint="default"/>
          <w:w w:val="95"/>
          <w:sz w:val="16"/>
          <w:szCs w:val="16"/>
        </w:rPr>
        <w:t>7.</w:t>
      </w:r>
      <w:r>
        <w:rPr>
          <w:rFonts w:ascii="宋体" w:hAnsi="宋体" w:cs="宋体" w:eastAsia="宋体" w:hint="default"/>
          <w:spacing w:val="-23"/>
          <w:w w:val="95"/>
          <w:sz w:val="16"/>
          <w:szCs w:val="16"/>
        </w:rPr>
        <w:t> </w:t>
      </w:r>
      <w:r>
        <w:rPr>
          <w:rFonts w:ascii="宋体" w:hAnsi="宋体" w:cs="宋体" w:eastAsia="宋体" w:hint="default"/>
          <w:w w:val="95"/>
          <w:sz w:val="16"/>
          <w:szCs w:val="16"/>
        </w:rPr>
        <w:t>兜底保障</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1"/>
        <w:rPr>
          <w:rFonts w:ascii="宋体" w:hAnsi="宋体" w:cs="宋体" w:eastAsia="宋体" w:hint="default"/>
          <w:sz w:val="12"/>
          <w:szCs w:val="12"/>
        </w:rPr>
      </w:pPr>
    </w:p>
    <w:p>
      <w:pPr>
        <w:spacing w:before="0"/>
        <w:ind w:left="826" w:right="34" w:firstLine="0"/>
        <w:jc w:val="left"/>
        <w:rPr>
          <w:rFonts w:ascii="宋体" w:hAnsi="宋体" w:cs="宋体" w:eastAsia="宋体" w:hint="default"/>
          <w:sz w:val="16"/>
          <w:szCs w:val="16"/>
        </w:rPr>
      </w:pPr>
      <w:r>
        <w:rPr>
          <w:rFonts w:ascii="宋体" w:hAnsi="宋体" w:cs="宋体" w:eastAsia="宋体" w:hint="default"/>
          <w:w w:val="95"/>
          <w:sz w:val="16"/>
          <w:szCs w:val="16"/>
        </w:rPr>
        <w:t>9.</w:t>
      </w:r>
      <w:r>
        <w:rPr>
          <w:rFonts w:ascii="宋体" w:hAnsi="宋体" w:cs="宋体" w:eastAsia="宋体" w:hint="default"/>
          <w:spacing w:val="-23"/>
          <w:w w:val="95"/>
          <w:sz w:val="16"/>
          <w:szCs w:val="16"/>
        </w:rPr>
        <w:t> </w:t>
      </w:r>
      <w:r>
        <w:rPr>
          <w:rFonts w:ascii="宋体" w:hAnsi="宋体" w:cs="宋体" w:eastAsia="宋体" w:hint="default"/>
          <w:w w:val="95"/>
          <w:sz w:val="16"/>
          <w:szCs w:val="16"/>
        </w:rPr>
        <w:t>其他项目</w:t>
      </w:r>
    </w:p>
    <w:p>
      <w:pPr>
        <w:tabs>
          <w:tab w:pos="9670" w:val="right" w:leader="none"/>
        </w:tabs>
        <w:spacing w:before="18"/>
        <w:ind w:left="996" w:right="0" w:firstLine="0"/>
        <w:jc w:val="left"/>
        <w:rPr>
          <w:rFonts w:ascii="宋体" w:hAnsi="宋体" w:cs="宋体" w:eastAsia="宋体" w:hint="default"/>
          <w:sz w:val="16"/>
          <w:szCs w:val="16"/>
        </w:rPr>
      </w:pPr>
      <w:r>
        <w:rPr>
          <w:rFonts w:ascii="宋体" w:hAnsi="宋体" w:cs="宋体" w:eastAsia="宋体" w:hint="default"/>
          <w:sz w:val="16"/>
          <w:szCs w:val="16"/>
        </w:rPr>
        <w:t>其中：9.1</w:t>
      </w:r>
      <w:r>
        <w:rPr>
          <w:rFonts w:ascii="宋体" w:hAnsi="宋体" w:cs="宋体" w:eastAsia="宋体" w:hint="default"/>
          <w:spacing w:val="-41"/>
          <w:sz w:val="16"/>
          <w:szCs w:val="16"/>
        </w:rPr>
        <w:t> </w:t>
      </w:r>
      <w:r>
        <w:rPr>
          <w:rFonts w:ascii="宋体" w:hAnsi="宋体" w:cs="宋体" w:eastAsia="宋体" w:hint="default"/>
          <w:sz w:val="16"/>
          <w:szCs w:val="16"/>
        </w:rPr>
        <w:t>项目个数（个）</w:t>
      </w:r>
      <w:r>
        <w:rPr>
          <w:rFonts w:ascii="Times New Roman" w:hAnsi="Times New Roman" w:cs="Times New Roman" w:eastAsia="Times New Roman" w:hint="default"/>
          <w:sz w:val="16"/>
          <w:szCs w:val="16"/>
        </w:rPr>
        <w:tab/>
      </w:r>
      <w:r>
        <w:rPr>
          <w:rFonts w:ascii="宋体" w:hAnsi="宋体" w:cs="宋体" w:eastAsia="宋体" w:hint="default"/>
          <w:sz w:val="16"/>
          <w:szCs w:val="16"/>
        </w:rPr>
        <w:t>259</w:t>
      </w:r>
    </w:p>
    <w:p>
      <w:pPr>
        <w:tabs>
          <w:tab w:pos="9048" w:val="left" w:leader="none"/>
        </w:tabs>
        <w:spacing w:before="18"/>
        <w:ind w:left="1478" w:right="34" w:firstLine="0"/>
        <w:jc w:val="left"/>
        <w:rPr>
          <w:rFonts w:ascii="宋体" w:hAnsi="宋体" w:cs="宋体" w:eastAsia="宋体" w:hint="default"/>
          <w:sz w:val="16"/>
          <w:szCs w:val="16"/>
        </w:rPr>
      </w:pPr>
      <w:r>
        <w:rPr>
          <w:rFonts w:ascii="宋体" w:hAnsi="宋体" w:cs="宋体" w:eastAsia="宋体" w:hint="default"/>
          <w:sz w:val="16"/>
          <w:szCs w:val="16"/>
        </w:rPr>
        <w:t>9.2</w:t>
      </w:r>
      <w:r>
        <w:rPr>
          <w:rFonts w:ascii="宋体" w:hAnsi="宋体" w:cs="宋体" w:eastAsia="宋体" w:hint="default"/>
          <w:spacing w:val="-60"/>
          <w:sz w:val="16"/>
          <w:szCs w:val="16"/>
        </w:rPr>
        <w:t> </w:t>
      </w:r>
      <w:r>
        <w:rPr>
          <w:rFonts w:ascii="宋体" w:hAnsi="宋体" w:cs="宋体" w:eastAsia="宋体" w:hint="default"/>
          <w:sz w:val="16"/>
          <w:szCs w:val="16"/>
        </w:rPr>
        <w:t>投入金额</w:t>
        <w:tab/>
        <w:t>2,787.55</w:t>
      </w:r>
    </w:p>
    <w:p>
      <w:pPr>
        <w:tabs>
          <w:tab w:pos="9182" w:val="left" w:leader="none"/>
        </w:tabs>
        <w:spacing w:before="18"/>
        <w:ind w:left="1478" w:right="34" w:firstLine="0"/>
        <w:jc w:val="left"/>
        <w:rPr>
          <w:rFonts w:ascii="宋体" w:hAnsi="宋体" w:cs="宋体" w:eastAsia="宋体" w:hint="default"/>
          <w:sz w:val="16"/>
          <w:szCs w:val="16"/>
        </w:rPr>
      </w:pPr>
      <w:r>
        <w:rPr>
          <w:rFonts w:ascii="宋体" w:hAnsi="宋体" w:cs="宋体" w:eastAsia="宋体" w:hint="default"/>
          <w:sz w:val="16"/>
          <w:szCs w:val="16"/>
        </w:rPr>
        <w:t>9.3</w:t>
      </w:r>
      <w:r>
        <w:rPr>
          <w:rFonts w:ascii="宋体" w:hAnsi="宋体" w:cs="宋体" w:eastAsia="宋体" w:hint="default"/>
          <w:spacing w:val="-60"/>
          <w:sz w:val="16"/>
          <w:szCs w:val="16"/>
        </w:rPr>
        <w:t> </w:t>
      </w:r>
      <w:r>
        <w:rPr>
          <w:rFonts w:ascii="宋体" w:hAnsi="宋体" w:cs="宋体" w:eastAsia="宋体" w:hint="default"/>
          <w:sz w:val="16"/>
          <w:szCs w:val="16"/>
        </w:rPr>
        <w:t>帮助建档立卡贫困人口脱贫数（人）</w:t>
        <w:tab/>
        <w:t>10,634</w:t>
      </w:r>
    </w:p>
    <w:p>
      <w:pPr>
        <w:tabs>
          <w:tab w:pos="9510" w:val="left" w:leader="none"/>
        </w:tabs>
        <w:spacing w:before="18"/>
        <w:ind w:left="1478" w:right="34" w:firstLine="0"/>
        <w:jc w:val="left"/>
        <w:rPr>
          <w:rFonts w:ascii="宋体" w:hAnsi="宋体" w:cs="宋体" w:eastAsia="宋体" w:hint="default"/>
          <w:sz w:val="16"/>
          <w:szCs w:val="16"/>
        </w:rPr>
      </w:pPr>
      <w:r>
        <w:rPr>
          <w:rFonts w:ascii="宋体" w:hAnsi="宋体" w:cs="宋体" w:eastAsia="宋体" w:hint="default"/>
          <w:sz w:val="16"/>
          <w:szCs w:val="16"/>
        </w:rPr>
        <w:t>9.4</w:t>
      </w:r>
      <w:r>
        <w:rPr>
          <w:rFonts w:ascii="宋体" w:hAnsi="宋体" w:cs="宋体" w:eastAsia="宋体" w:hint="default"/>
          <w:spacing w:val="-60"/>
          <w:sz w:val="16"/>
          <w:szCs w:val="16"/>
        </w:rPr>
        <w:t> </w:t>
      </w:r>
      <w:r>
        <w:rPr>
          <w:rFonts w:ascii="宋体" w:hAnsi="宋体" w:cs="宋体" w:eastAsia="宋体" w:hint="default"/>
          <w:sz w:val="16"/>
          <w:szCs w:val="16"/>
        </w:rPr>
        <w:t>其他项目说明</w:t>
        <w:tab/>
        <w:t>无</w:t>
      </w:r>
    </w:p>
    <w:p>
      <w:pPr>
        <w:tabs>
          <w:tab w:pos="5435" w:val="left" w:leader="none"/>
        </w:tabs>
        <w:spacing w:before="18"/>
        <w:ind w:left="542" w:right="34" w:firstLine="0"/>
        <w:jc w:val="left"/>
        <w:rPr>
          <w:rFonts w:ascii="宋体" w:hAnsi="宋体" w:cs="宋体" w:eastAsia="宋体" w:hint="default"/>
          <w:sz w:val="16"/>
          <w:szCs w:val="16"/>
        </w:rPr>
      </w:pPr>
      <w:r>
        <w:rPr>
          <w:rFonts w:ascii="宋体" w:hAnsi="宋体" w:cs="宋体" w:eastAsia="宋体" w:hint="default"/>
          <w:sz w:val="16"/>
          <w:szCs w:val="16"/>
        </w:rPr>
        <w:t>三、所获奖项（内容、级别）</w:t>
        <w:tab/>
      </w:r>
      <w:r>
        <w:rPr>
          <w:rFonts w:ascii="宋体" w:hAnsi="宋体" w:cs="宋体" w:eastAsia="宋体" w:hint="default"/>
          <w:sz w:val="16"/>
          <w:szCs w:val="16"/>
        </w:rPr>
        <w:t>荣获“2018</w:t>
      </w:r>
      <w:r>
        <w:rPr>
          <w:rFonts w:ascii="宋体" w:hAnsi="宋体" w:cs="宋体" w:eastAsia="宋体" w:hint="default"/>
          <w:spacing w:val="-6"/>
          <w:sz w:val="16"/>
          <w:szCs w:val="16"/>
        </w:rPr>
        <w:t> </w:t>
      </w:r>
      <w:r>
        <w:rPr>
          <w:rFonts w:ascii="宋体" w:hAnsi="宋体" w:cs="宋体" w:eastAsia="宋体" w:hint="default"/>
          <w:sz w:val="16"/>
          <w:szCs w:val="16"/>
        </w:rPr>
        <w:t>年度中国上市公司精准扶贫优秀案例”金智奖。</w:t>
      </w:r>
    </w:p>
    <w:p>
      <w:pPr>
        <w:spacing w:line="240" w:lineRule="auto" w:before="10"/>
        <w:rPr>
          <w:rFonts w:ascii="宋体" w:hAnsi="宋体" w:cs="宋体" w:eastAsia="宋体" w:hint="default"/>
          <w:sz w:val="7"/>
          <w:szCs w:val="7"/>
        </w:rPr>
      </w:pPr>
    </w:p>
    <w:p>
      <w:pPr>
        <w:spacing w:line="20" w:lineRule="exact"/>
        <w:ind w:left="452"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4842;height:2" coordorigin="5,5" coordsize="4842,2">
              <v:shape style="position:absolute;left:5;top:5;width:4842;height:2" coordorigin="5,5" coordsize="4842,0" path="m5,5l4847,5e" filled="false" stroked="true" strokeweight=".5pt" strokecolor="#000000">
                <v:path arrowok="t"/>
              </v:shape>
            </v:group>
            <v:group style="position:absolute;left:4847;top:5;width:4457;height:2" coordorigin="4847,5" coordsize="4457,2">
              <v:shape style="position:absolute;left:4847;top:5;width:4457;height:2" coordorigin="4847,5" coordsize="4457,0" path="m4847,5l9303,5e" filled="false" stroked="true" strokeweight=".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9"/>
          <w:szCs w:val="9"/>
        </w:rPr>
      </w:pPr>
    </w:p>
    <w:p>
      <w:pPr>
        <w:spacing w:before="43"/>
        <w:ind w:left="442" w:right="34" w:firstLine="0"/>
        <w:jc w:val="left"/>
        <w:rPr>
          <w:rFonts w:ascii="宋体" w:hAnsi="宋体" w:cs="宋体" w:eastAsia="宋体" w:hint="default"/>
          <w:sz w:val="16"/>
          <w:szCs w:val="16"/>
        </w:rPr>
      </w:pPr>
      <w:r>
        <w:rPr>
          <w:rFonts w:ascii="宋体" w:hAnsi="宋体" w:cs="宋体" w:eastAsia="宋体" w:hint="default"/>
          <w:sz w:val="16"/>
          <w:szCs w:val="16"/>
        </w:rPr>
        <w:t>说明：上表包含本公司控股股东联通集团 2018</w:t>
      </w:r>
      <w:r>
        <w:rPr>
          <w:rFonts w:ascii="宋体" w:hAnsi="宋体" w:cs="宋体" w:eastAsia="宋体" w:hint="default"/>
          <w:spacing w:val="3"/>
          <w:sz w:val="16"/>
          <w:szCs w:val="16"/>
        </w:rPr>
        <w:t> </w:t>
      </w:r>
      <w:r>
        <w:rPr>
          <w:rFonts w:ascii="宋体" w:hAnsi="宋体" w:cs="宋体" w:eastAsia="宋体" w:hint="default"/>
          <w:sz w:val="16"/>
          <w:szCs w:val="16"/>
        </w:rPr>
        <w:t>年精准扶贫工作情况。不包含联通集团后，本公司及所属子公司报告期内扶贫支出人</w:t>
      </w:r>
    </w:p>
    <w:p>
      <w:pPr>
        <w:spacing w:before="70"/>
        <w:ind w:left="442" w:right="34" w:firstLine="0"/>
        <w:jc w:val="left"/>
        <w:rPr>
          <w:rFonts w:ascii="宋体" w:hAnsi="宋体" w:cs="宋体" w:eastAsia="宋体" w:hint="default"/>
          <w:sz w:val="16"/>
          <w:szCs w:val="16"/>
        </w:rPr>
      </w:pPr>
      <w:r>
        <w:rPr>
          <w:rFonts w:ascii="宋体" w:hAnsi="宋体" w:cs="宋体" w:eastAsia="宋体" w:hint="default"/>
          <w:sz w:val="16"/>
          <w:szCs w:val="16"/>
        </w:rPr>
        <w:t>民币 945</w:t>
      </w:r>
      <w:r>
        <w:rPr>
          <w:rFonts w:ascii="宋体" w:hAnsi="宋体" w:cs="宋体" w:eastAsia="宋体" w:hint="default"/>
          <w:spacing w:val="-55"/>
          <w:sz w:val="16"/>
          <w:szCs w:val="16"/>
        </w:rPr>
        <w:t> </w:t>
      </w:r>
      <w:r>
        <w:rPr>
          <w:rFonts w:ascii="宋体" w:hAnsi="宋体" w:cs="宋体" w:eastAsia="宋体" w:hint="default"/>
          <w:sz w:val="16"/>
          <w:szCs w:val="16"/>
        </w:rPr>
        <w:t>万元。</w:t>
      </w:r>
    </w:p>
    <w:p>
      <w:pPr>
        <w:spacing w:line="240" w:lineRule="auto" w:before="8"/>
        <w:rPr>
          <w:rFonts w:ascii="宋体" w:hAnsi="宋体" w:cs="宋体" w:eastAsia="宋体" w:hint="default"/>
          <w:sz w:val="13"/>
          <w:szCs w:val="13"/>
        </w:rPr>
      </w:pPr>
    </w:p>
    <w:p>
      <w:pPr>
        <w:pStyle w:val="BodyText"/>
        <w:spacing w:line="240" w:lineRule="auto"/>
        <w:ind w:left="457" w:right="34"/>
        <w:jc w:val="left"/>
        <w:rPr>
          <w:rFonts w:ascii="宋体" w:hAnsi="宋体" w:cs="宋体" w:eastAsia="宋体" w:hint="default"/>
        </w:rPr>
      </w:pPr>
      <w:r>
        <w:rPr>
          <w:rFonts w:ascii="宋体" w:hAnsi="宋体" w:cs="宋体" w:eastAsia="宋体" w:hint="default"/>
          <w:color w:val="D7000F"/>
          <w:w w:val="95"/>
        </w:rPr>
        <w:t>4.</w:t>
      </w:r>
      <w:r>
        <w:rPr>
          <w:rFonts w:ascii="宋体" w:hAnsi="宋体" w:cs="宋体" w:eastAsia="宋体" w:hint="default"/>
          <w:color w:val="D7000F"/>
          <w:spacing w:val="10"/>
          <w:w w:val="95"/>
        </w:rPr>
        <w:t> </w:t>
      </w:r>
      <w:r>
        <w:rPr>
          <w:rFonts w:ascii="宋体" w:hAnsi="宋体" w:cs="宋体" w:eastAsia="宋体" w:hint="default"/>
          <w:color w:val="D7000F"/>
          <w:w w:val="95"/>
        </w:rPr>
        <w:t>后续精准扶贫计划</w:t>
      </w:r>
      <w:r>
        <w:rPr>
          <w:rFonts w:ascii="宋体" w:hAnsi="宋体" w:cs="宋体" w:eastAsia="宋体" w:hint="default"/>
          <w:w w:val="95"/>
        </w:rPr>
      </w:r>
    </w:p>
    <w:p>
      <w:pPr>
        <w:spacing w:line="240" w:lineRule="auto" w:before="7"/>
        <w:rPr>
          <w:rFonts w:ascii="宋体" w:hAnsi="宋体" w:cs="宋体" w:eastAsia="宋体" w:hint="default"/>
          <w:sz w:val="12"/>
          <w:szCs w:val="12"/>
        </w:rPr>
      </w:pPr>
    </w:p>
    <w:p>
      <w:pPr>
        <w:spacing w:line="321" w:lineRule="auto" w:before="0"/>
        <w:ind w:left="457" w:right="849" w:firstLine="0"/>
        <w:jc w:val="both"/>
        <w:rPr>
          <w:rFonts w:ascii="宋体" w:hAnsi="宋体" w:cs="宋体" w:eastAsia="宋体" w:hint="default"/>
          <w:sz w:val="16"/>
          <w:szCs w:val="16"/>
        </w:rPr>
      </w:pPr>
      <w:r>
        <w:rPr>
          <w:rFonts w:ascii="宋体" w:hAnsi="宋体" w:cs="宋体" w:eastAsia="宋体" w:hint="default"/>
          <w:sz w:val="16"/>
          <w:szCs w:val="16"/>
        </w:rPr>
        <w:t>深化大扶贫体系，按照精准扶贫要求，切实履行帮扶责任，持续选派挂职干部，安排扶贫资金，落实扶贫项目，助力地方政府打赢脱 贫攻坚战；加大贫困地区网络扶贫力度，提升电信普遍服务，解决“数字鸿沟”带来的差距；对贫困人口实行资费优惠政策。未来， 中国联通将坚持在实践中不断总结提升脱贫攻坚工作质量，创新扶贫模式，多措并举，切实履行企业社会责任。</w:t>
      </w:r>
    </w:p>
    <w:p>
      <w:pPr>
        <w:spacing w:before="126"/>
        <w:ind w:left="117" w:right="3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社会责任工作情况</w:t>
      </w:r>
    </w:p>
    <w:p>
      <w:pPr>
        <w:spacing w:line="240" w:lineRule="auto" w:before="11"/>
        <w:rPr>
          <w:rFonts w:ascii="宋体" w:hAnsi="宋体" w:cs="宋体" w:eastAsia="宋体" w:hint="default"/>
          <w:sz w:val="12"/>
          <w:szCs w:val="12"/>
        </w:rPr>
      </w:pPr>
    </w:p>
    <w:p>
      <w:pPr>
        <w:pStyle w:val="BodyText"/>
        <w:spacing w:line="240" w:lineRule="auto"/>
        <w:ind w:left="457" w:right="34"/>
        <w:jc w:val="left"/>
        <w:rPr>
          <w:rFonts w:ascii="宋体" w:hAnsi="宋体" w:cs="宋体" w:eastAsia="宋体" w:hint="default"/>
        </w:rPr>
      </w:pPr>
      <w:r>
        <w:rPr>
          <w:rFonts w:ascii="宋体" w:hAnsi="宋体" w:cs="宋体" w:eastAsia="宋体" w:hint="default"/>
          <w:w w:val="105"/>
        </w:rPr>
        <w:t>详见本公司与本报告同日在上海证券交易</w:t>
      </w:r>
      <w:hyperlink r:id="rId159">
        <w:r>
          <w:rPr>
            <w:rFonts w:ascii="宋体" w:hAnsi="宋体" w:cs="宋体" w:eastAsia="宋体" w:hint="default"/>
            <w:w w:val="105"/>
          </w:rPr>
          <w:t>所（www.sse.com.cn）</w:t>
        </w:r>
      </w:hyperlink>
      <w:r>
        <w:rPr>
          <w:rFonts w:ascii="宋体" w:hAnsi="宋体" w:cs="宋体" w:eastAsia="宋体" w:hint="default"/>
          <w:w w:val="105"/>
        </w:rPr>
        <w:t>和本公司网</w:t>
      </w:r>
      <w:hyperlink r:id="rId52">
        <w:r>
          <w:rPr>
            <w:rFonts w:ascii="宋体" w:hAnsi="宋体" w:cs="宋体" w:eastAsia="宋体" w:hint="default"/>
            <w:w w:val="105"/>
          </w:rPr>
          <w:t>站（www.chinaunicom-a.com）</w:t>
        </w:r>
      </w:hyperlink>
      <w:r>
        <w:rPr>
          <w:rFonts w:ascii="宋体" w:hAnsi="宋体" w:cs="宋体" w:eastAsia="宋体" w:hint="default"/>
          <w:w w:val="105"/>
        </w:rPr>
        <w:t>披露的</w:t>
      </w:r>
    </w:p>
    <w:p>
      <w:pPr>
        <w:pStyle w:val="BodyText"/>
        <w:spacing w:line="240" w:lineRule="auto" w:before="44"/>
        <w:ind w:left="457" w:right="34"/>
        <w:jc w:val="left"/>
        <w:rPr>
          <w:rFonts w:ascii="宋体" w:hAnsi="宋体" w:cs="宋体" w:eastAsia="宋体" w:hint="default"/>
        </w:rPr>
      </w:pPr>
      <w:r>
        <w:rPr>
          <w:rFonts w:ascii="宋体" w:hAnsi="宋体" w:cs="宋体" w:eastAsia="宋体" w:hint="default"/>
        </w:rPr>
        <w:t>《中国联合网络通信股份有限公司 2018</w:t>
      </w:r>
      <w:r>
        <w:rPr>
          <w:rFonts w:ascii="宋体" w:hAnsi="宋体" w:cs="宋体" w:eastAsia="宋体" w:hint="default"/>
          <w:spacing w:val="-52"/>
        </w:rPr>
        <w:t> </w:t>
      </w:r>
      <w:r>
        <w:rPr>
          <w:rFonts w:ascii="宋体" w:hAnsi="宋体" w:cs="宋体" w:eastAsia="宋体" w:hint="default"/>
        </w:rPr>
        <w:t>年度社会责任报告》。</w:t>
      </w:r>
    </w:p>
    <w:p>
      <w:pPr>
        <w:spacing w:before="161"/>
        <w:ind w:left="117" w:right="3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三</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环境信息情况</w:t>
      </w:r>
    </w:p>
    <w:p>
      <w:pPr>
        <w:spacing w:line="240" w:lineRule="auto" w:before="11"/>
        <w:rPr>
          <w:rFonts w:ascii="宋体" w:hAnsi="宋体" w:cs="宋体" w:eastAsia="宋体" w:hint="default"/>
          <w:sz w:val="12"/>
          <w:szCs w:val="12"/>
        </w:rPr>
      </w:pPr>
    </w:p>
    <w:p>
      <w:pPr>
        <w:pStyle w:val="BodyText"/>
        <w:spacing w:line="400" w:lineRule="auto"/>
        <w:ind w:left="457" w:right="1938"/>
        <w:jc w:val="left"/>
        <w:rPr>
          <w:rFonts w:ascii="宋体" w:hAnsi="宋体" w:cs="宋体" w:eastAsia="宋体" w:hint="default"/>
        </w:rPr>
      </w:pPr>
      <w:r>
        <w:rPr>
          <w:rFonts w:ascii="宋体" w:hAnsi="宋体" w:cs="宋体" w:eastAsia="宋体" w:hint="default"/>
          <w:color w:val="D7000F"/>
        </w:rPr>
        <w:t>1.</w:t>
      </w:r>
      <w:r>
        <w:rPr>
          <w:rFonts w:ascii="宋体" w:hAnsi="宋体" w:cs="宋体" w:eastAsia="宋体" w:hint="default"/>
          <w:color w:val="D7000F"/>
          <w:spacing w:val="-46"/>
        </w:rPr>
        <w:t> </w:t>
      </w:r>
      <w:r>
        <w:rPr>
          <w:rFonts w:ascii="宋体" w:hAnsi="宋体" w:cs="宋体" w:eastAsia="宋体" w:hint="default"/>
          <w:color w:val="D7000F"/>
        </w:rPr>
        <w:t>重点排污单位之外的公司的环保情况说明</w:t>
      </w:r>
      <w:r>
        <w:rPr>
          <w:rFonts w:ascii="宋体" w:hAnsi="宋体" w:cs="宋体" w:eastAsia="宋体" w:hint="default"/>
          <w:color w:val="D7000F"/>
        </w:rPr>
        <w:t> </w:t>
      </w:r>
      <w:r>
        <w:rPr>
          <w:rFonts w:ascii="宋体" w:hAnsi="宋体" w:cs="宋体" w:eastAsia="宋体" w:hint="default"/>
        </w:rPr>
        <w:t>公司不属于环境保护部门公布的重点排污单位。为减少环境污染，公司采取如下措施：</w:t>
      </w:r>
      <w:r>
        <w:rPr>
          <w:rFonts w:ascii="宋体" w:hAnsi="宋体" w:cs="宋体" w:eastAsia="宋体" w:hint="default"/>
        </w:rPr>
        <w:t> 1）确保污水和污染物零排放。公司在全部运营地点实现污水和污染物全部进入污水管网系统进行处理。</w:t>
      </w:r>
    </w:p>
    <w:p>
      <w:pPr>
        <w:pStyle w:val="BodyText"/>
        <w:spacing w:line="285" w:lineRule="auto" w:before="37"/>
        <w:ind w:left="457" w:right="34"/>
        <w:jc w:val="left"/>
        <w:rPr>
          <w:rFonts w:ascii="宋体" w:hAnsi="宋体" w:cs="宋体" w:eastAsia="宋体" w:hint="default"/>
        </w:rPr>
      </w:pPr>
      <w:r>
        <w:rPr>
          <w:rFonts w:ascii="宋体" w:hAnsi="宋体" w:cs="宋体" w:eastAsia="宋体" w:hint="default"/>
        </w:rPr>
        <w:t>2）实现废弃物有效处置回收。公司对机房、基站、接入站点、数据中心等在日常运行过程中产生的废弃物，交由专业</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rPr>
        <w:t>第三方机构进行综合处置回收。</w:t>
      </w:r>
    </w:p>
    <w:p>
      <w:pPr>
        <w:pStyle w:val="BodyText"/>
        <w:spacing w:line="240" w:lineRule="auto" w:before="123"/>
        <w:ind w:left="457" w:right="34"/>
        <w:jc w:val="left"/>
        <w:rPr>
          <w:rFonts w:ascii="宋体" w:hAnsi="宋体" w:cs="宋体" w:eastAsia="宋体" w:hint="default"/>
        </w:rPr>
      </w:pPr>
      <w:r>
        <w:rPr>
          <w:rFonts w:ascii="宋体" w:hAnsi="宋体" w:cs="宋体" w:eastAsia="宋体" w:hint="default"/>
        </w:rPr>
        <w:t>3）加强绿色采购</w:t>
      </w:r>
      <w:r>
        <w:rPr>
          <w:rFonts w:ascii="宋体" w:hAnsi="宋体" w:cs="宋体" w:eastAsia="宋体" w:hint="default"/>
          <w:spacing w:val="-38"/>
        </w:rPr>
        <w:t> </w:t>
      </w:r>
      <w:r>
        <w:rPr>
          <w:rFonts w:ascii="宋体" w:hAnsi="宋体" w:cs="宋体" w:eastAsia="宋体" w:hint="default"/>
          <w:w w:val="95"/>
        </w:rPr>
        <w:t>,</w:t>
      </w:r>
      <w:r>
        <w:rPr>
          <w:rFonts w:ascii="宋体" w:hAnsi="宋体" w:cs="宋体" w:eastAsia="宋体" w:hint="default"/>
          <w:spacing w:val="-33"/>
          <w:w w:val="95"/>
        </w:rPr>
        <w:t> </w:t>
      </w:r>
      <w:r>
        <w:rPr>
          <w:rFonts w:ascii="宋体" w:hAnsi="宋体" w:cs="宋体" w:eastAsia="宋体" w:hint="default"/>
        </w:rPr>
        <w:t>实施共建共享，重视电磁辐射管理，加快</w:t>
      </w:r>
      <w:r>
        <w:rPr>
          <w:rFonts w:ascii="宋体" w:hAnsi="宋体" w:cs="宋体" w:eastAsia="宋体" w:hint="default"/>
          <w:spacing w:val="-37"/>
        </w:rPr>
        <w:t> </w:t>
      </w:r>
      <w:r>
        <w:rPr>
          <w:rFonts w:ascii="宋体" w:hAnsi="宋体" w:cs="宋体" w:eastAsia="宋体" w:hint="default"/>
        </w:rPr>
        <w:t>2G/3G</w:t>
      </w:r>
      <w:r>
        <w:rPr>
          <w:rFonts w:ascii="宋体" w:hAnsi="宋体" w:cs="宋体" w:eastAsia="宋体" w:hint="default"/>
          <w:spacing w:val="-38"/>
        </w:rPr>
        <w:t> </w:t>
      </w:r>
      <w:r>
        <w:rPr>
          <w:rFonts w:ascii="宋体" w:hAnsi="宋体" w:cs="宋体" w:eastAsia="宋体" w:hint="default"/>
        </w:rPr>
        <w:t>网络精简，开展设备退网和机房整合工作。</w:t>
      </w:r>
    </w:p>
    <w:p>
      <w:pPr>
        <w:spacing w:after="0" w:line="240" w:lineRule="auto"/>
        <w:jc w:val="left"/>
        <w:rPr>
          <w:rFonts w:ascii="宋体" w:hAnsi="宋体" w:cs="宋体" w:eastAsia="宋体" w:hint="default"/>
        </w:rPr>
        <w:sectPr>
          <w:type w:val="continuous"/>
          <w:pgSz w:w="11910" w:h="16160"/>
          <w:pgMar w:top="1520" w:bottom="280" w:left="1300" w:right="0"/>
        </w:sectPr>
      </w:pPr>
    </w:p>
    <w:p>
      <w:pPr>
        <w:spacing w:line="2948" w:lineRule="exact"/>
        <w:ind w:left="0" w:right="0" w:firstLine="0"/>
        <w:rPr>
          <w:rFonts w:ascii="宋体" w:hAnsi="宋体" w:cs="宋体" w:eastAsia="宋体" w:hint="default"/>
          <w:sz w:val="20"/>
          <w:szCs w:val="20"/>
        </w:rPr>
      </w:pPr>
      <w:r>
        <w:rPr>
          <w:rFonts w:ascii="宋体" w:hAnsi="宋体" w:cs="宋体" w:eastAsia="宋体" w:hint="default"/>
          <w:position w:val="-58"/>
          <w:sz w:val="20"/>
          <w:szCs w:val="20"/>
        </w:rPr>
        <w:pict>
          <v:group style="width:231.05pt;height:147.450pt;mso-position-horizontal-relative:char;mso-position-vertical-relative:line" coordorigin="0,0" coordsize="4621,2949">
            <v:group style="position:absolute;left:0;top:0;width:3271;height:2949" coordorigin="0,0" coordsize="3271,2949">
              <v:shape style="position:absolute;left:0;top:0;width:3271;height:2949" coordorigin="0,0" coordsize="3271,2949" path="m2095,2948l0,2948,0,2450,977,0,3270,0,2095,2948xe" filled="true" fillcolor="#d7000f" stroked="false">
                <v:path arrowok="t"/>
                <v:fill type="solid"/>
              </v:shape>
              <v:shape style="position:absolute;left:4433;top:1984;width:188;height:188" type="#_x0000_t75" stroked="false">
                <v:imagedata r:id="rId143" o:title=""/>
              </v:shape>
            </v:group>
            <v:group style="position:absolute;left:1559;top:2077;width:2945;height:2" coordorigin="1559,2077" coordsize="2945,2">
              <v:shape style="position:absolute;left:1559;top:2077;width:2945;height:2" coordorigin="1559,2077" coordsize="2945,0" path="m4503,2077l1559,2077e" filled="false" stroked="true" strokeweight=".956pt" strokecolor="#d7000f">
                <v:path arrowok="t"/>
              </v:shape>
            </v:group>
          </v:group>
        </w:pict>
      </w:r>
      <w:r>
        <w:rPr>
          <w:rFonts w:ascii="宋体" w:hAnsi="宋体" w:cs="宋体" w:eastAsia="宋体" w:hint="default"/>
          <w:position w:val="-58"/>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1"/>
        <w:spacing w:line="897" w:lineRule="exact"/>
        <w:ind w:right="0"/>
        <w:jc w:val="left"/>
      </w:pPr>
      <w:r>
        <w:rPr>
          <w:color w:val="D7000F"/>
          <w:spacing w:val="47"/>
        </w:rPr>
        <w:t>普通股</w:t>
      </w:r>
      <w:r>
        <w:rPr/>
      </w:r>
    </w:p>
    <w:p>
      <w:pPr>
        <w:spacing w:line="1204" w:lineRule="exact" w:before="0"/>
        <w:ind w:left="850" w:right="0" w:firstLine="0"/>
        <w:jc w:val="left"/>
        <w:rPr>
          <w:rFonts w:ascii="宋体" w:hAnsi="宋体" w:cs="宋体" w:eastAsia="宋体" w:hint="default"/>
          <w:sz w:val="96"/>
          <w:szCs w:val="96"/>
        </w:rPr>
      </w:pPr>
      <w:r>
        <w:rPr>
          <w:rFonts w:ascii="宋体" w:hAnsi="宋体" w:cs="宋体" w:eastAsia="宋体" w:hint="default"/>
          <w:color w:val="D7000F"/>
          <w:spacing w:val="47"/>
          <w:sz w:val="96"/>
          <w:szCs w:val="96"/>
        </w:rPr>
        <w:t>股份变动及股东情况</w:t>
      </w:r>
      <w:r>
        <w:rPr>
          <w:rFonts w:ascii="宋体" w:hAnsi="宋体" w:cs="宋体" w:eastAsia="宋体" w:hint="default"/>
          <w:sz w:val="96"/>
          <w:szCs w:val="96"/>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2"/>
          <w:szCs w:val="12"/>
        </w:rPr>
      </w:pPr>
    </w:p>
    <w:p>
      <w:pPr>
        <w:pStyle w:val="BodyText"/>
        <w:spacing w:line="240" w:lineRule="auto"/>
        <w:ind w:left="850" w:right="0"/>
        <w:jc w:val="left"/>
        <w:rPr>
          <w:rFonts w:ascii="宋体" w:hAnsi="宋体" w:cs="宋体" w:eastAsia="宋体" w:hint="default"/>
        </w:rPr>
      </w:pPr>
      <w:r>
        <w:rPr>
          <w:rFonts w:ascii="宋体" w:hAnsi="宋体" w:cs="宋体" w:eastAsia="宋体" w:hint="default"/>
          <w:color w:val="D7000F"/>
        </w:rPr>
        <w:t>一、普通股股本变动情况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850" w:right="0"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普通股股份变动情况表</w:t>
      </w:r>
    </w:p>
    <w:p>
      <w:pPr>
        <w:spacing w:line="240" w:lineRule="auto" w:before="11"/>
        <w:rPr>
          <w:rFonts w:ascii="宋体" w:hAnsi="宋体" w:cs="宋体" w:eastAsia="宋体" w:hint="default"/>
          <w:sz w:val="12"/>
          <w:szCs w:val="12"/>
        </w:rPr>
      </w:pPr>
    </w:p>
    <w:p>
      <w:pPr>
        <w:pStyle w:val="BodyText"/>
        <w:spacing w:line="240" w:lineRule="auto"/>
        <w:ind w:left="1190" w:right="0"/>
        <w:jc w:val="left"/>
        <w:rPr>
          <w:rFonts w:ascii="宋体" w:hAnsi="宋体" w:cs="宋体" w:eastAsia="宋体" w:hint="default"/>
        </w:rPr>
      </w:pPr>
      <w:r>
        <w:rPr>
          <w:rFonts w:ascii="宋体" w:hAnsi="宋体" w:cs="宋体" w:eastAsia="宋体" w:hint="default"/>
          <w:color w:val="D7000F"/>
        </w:rPr>
        <w:t>1、普通股股份变动情况表</w:t>
      </w:r>
      <w:r>
        <w:rPr>
          <w:rFonts w:ascii="宋体" w:hAnsi="宋体" w:cs="宋体" w:eastAsia="宋体" w:hint="default"/>
        </w:rPr>
      </w:r>
    </w:p>
    <w:p>
      <w:pPr>
        <w:spacing w:line="240" w:lineRule="auto" w:before="2"/>
        <w:rPr>
          <w:rFonts w:ascii="宋体" w:hAnsi="宋体" w:cs="宋体" w:eastAsia="宋体" w:hint="default"/>
          <w:sz w:val="10"/>
          <w:szCs w:val="10"/>
        </w:rPr>
      </w:pPr>
    </w:p>
    <w:p>
      <w:pPr>
        <w:spacing w:before="0"/>
        <w:ind w:left="0" w:right="188" w:firstLine="0"/>
        <w:jc w:val="right"/>
        <w:rPr>
          <w:rFonts w:ascii="宋体" w:hAnsi="宋体" w:cs="宋体" w:eastAsia="宋体" w:hint="default"/>
          <w:sz w:val="12"/>
          <w:szCs w:val="12"/>
        </w:rPr>
      </w:pPr>
      <w:r>
        <w:rPr>
          <w:rFonts w:ascii="宋体" w:hAnsi="宋体" w:cs="宋体" w:eastAsia="宋体" w:hint="default"/>
          <w:sz w:val="12"/>
          <w:szCs w:val="12"/>
        </w:rPr>
        <w:t>单位：股</w:t>
      </w:r>
    </w:p>
    <w:p>
      <w:pPr>
        <w:tabs>
          <w:tab w:pos="2044" w:val="left" w:leader="none"/>
          <w:tab w:pos="5062" w:val="left" w:leader="none"/>
        </w:tabs>
        <w:spacing w:before="64"/>
        <w:ind w:left="0" w:right="188" w:firstLine="0"/>
        <w:jc w:val="right"/>
        <w:rPr>
          <w:rFonts w:ascii="宋体" w:hAnsi="宋体" w:cs="宋体" w:eastAsia="宋体" w:hint="default"/>
          <w:sz w:val="16"/>
          <w:szCs w:val="16"/>
        </w:rPr>
      </w:pPr>
      <w:r>
        <w:rPr>
          <w:rFonts w:ascii="宋体" w:hAnsi="宋体" w:cs="宋体" w:eastAsia="宋体" w:hint="default"/>
          <w:sz w:val="16"/>
          <w:szCs w:val="16"/>
        </w:rPr>
        <w:t>本次变动前</w:t>
        <w:tab/>
        <w:t>本次变动增减（＋，－）</w:t>
        <w:tab/>
        <w:t>本次变动后</w:t>
      </w:r>
    </w:p>
    <w:p>
      <w:pPr>
        <w:spacing w:line="240" w:lineRule="auto" w:before="13"/>
        <w:rPr>
          <w:rFonts w:ascii="宋体" w:hAnsi="宋体" w:cs="宋体" w:eastAsia="宋体" w:hint="default"/>
          <w:sz w:val="11"/>
          <w:szCs w:val="11"/>
        </w:rPr>
      </w:pPr>
    </w:p>
    <w:tbl>
      <w:tblPr>
        <w:tblW w:w="0" w:type="auto"/>
        <w:jc w:val="left"/>
        <w:tblInd w:w="1190" w:type="dxa"/>
        <w:tblLayout w:type="fixed"/>
        <w:tblCellMar>
          <w:top w:w="0" w:type="dxa"/>
          <w:left w:w="0" w:type="dxa"/>
          <w:bottom w:w="0" w:type="dxa"/>
          <w:right w:w="0" w:type="dxa"/>
        </w:tblCellMar>
        <w:tblLook w:val="01E0"/>
      </w:tblPr>
      <w:tblGrid>
        <w:gridCol w:w="2076"/>
        <w:gridCol w:w="1468"/>
        <w:gridCol w:w="786"/>
        <w:gridCol w:w="1155"/>
        <w:gridCol w:w="623"/>
        <w:gridCol w:w="1173"/>
        <w:gridCol w:w="1342"/>
        <w:gridCol w:w="667"/>
      </w:tblGrid>
      <w:tr>
        <w:trPr>
          <w:trHeight w:val="364" w:hRule="exact"/>
        </w:trPr>
        <w:tc>
          <w:tcPr>
            <w:tcW w:w="2076" w:type="dxa"/>
            <w:tcBorders>
              <w:top w:val="nil" w:sz="6" w:space="0" w:color="auto"/>
              <w:left w:val="nil" w:sz="6" w:space="0" w:color="auto"/>
              <w:bottom w:val="single" w:sz="16" w:space="0" w:color="9C8758"/>
              <w:right w:val="nil" w:sz="6" w:space="0" w:color="auto"/>
            </w:tcBorders>
            <w:shd w:val="clear" w:color="auto" w:fill="8E9090"/>
          </w:tcPr>
          <w:p>
            <w:pPr/>
          </w:p>
        </w:tc>
        <w:tc>
          <w:tcPr>
            <w:tcW w:w="1468" w:type="dxa"/>
            <w:tcBorders>
              <w:top w:val="nil" w:sz="6" w:space="0" w:color="auto"/>
              <w:left w:val="nil" w:sz="6" w:space="0" w:color="auto"/>
              <w:bottom w:val="single" w:sz="16" w:space="0" w:color="9C8758"/>
              <w:right w:val="nil" w:sz="6" w:space="0" w:color="auto"/>
            </w:tcBorders>
            <w:shd w:val="clear" w:color="auto" w:fill="8E9090"/>
          </w:tcPr>
          <w:p>
            <w:pPr>
              <w:pStyle w:val="TableParagraph"/>
              <w:spacing w:line="240" w:lineRule="auto" w:before="41"/>
              <w:ind w:right="125"/>
              <w:jc w:val="right"/>
              <w:rPr>
                <w:rFonts w:ascii="宋体" w:hAnsi="宋体" w:cs="宋体" w:eastAsia="宋体" w:hint="default"/>
                <w:sz w:val="16"/>
                <w:szCs w:val="16"/>
              </w:rPr>
            </w:pPr>
            <w:r>
              <w:rPr>
                <w:rFonts w:ascii="宋体" w:hAnsi="宋体" w:cs="宋体" w:eastAsia="宋体" w:hint="default"/>
                <w:sz w:val="16"/>
                <w:szCs w:val="16"/>
              </w:rPr>
              <w:t>数量</w:t>
            </w:r>
          </w:p>
        </w:tc>
        <w:tc>
          <w:tcPr>
            <w:tcW w:w="786" w:type="dxa"/>
            <w:tcBorders>
              <w:top w:val="nil" w:sz="6" w:space="0" w:color="auto"/>
              <w:left w:val="nil" w:sz="6" w:space="0" w:color="auto"/>
              <w:bottom w:val="single" w:sz="16" w:space="0" w:color="9C8758"/>
              <w:right w:val="nil" w:sz="6" w:space="0" w:color="auto"/>
            </w:tcBorders>
            <w:shd w:val="clear" w:color="auto" w:fill="8E9090"/>
          </w:tcPr>
          <w:p>
            <w:pPr>
              <w:pStyle w:val="TableParagraph"/>
              <w:spacing w:line="240" w:lineRule="auto" w:before="41"/>
              <w:ind w:left="127" w:right="0"/>
              <w:jc w:val="left"/>
              <w:rPr>
                <w:rFonts w:ascii="宋体" w:hAnsi="宋体" w:cs="宋体" w:eastAsia="宋体" w:hint="default"/>
                <w:sz w:val="16"/>
                <w:szCs w:val="16"/>
              </w:rPr>
            </w:pPr>
            <w:r>
              <w:rPr>
                <w:rFonts w:ascii="宋体" w:hAnsi="宋体" w:cs="宋体" w:eastAsia="宋体" w:hint="default"/>
                <w:spacing w:val="-7"/>
                <w:sz w:val="16"/>
                <w:szCs w:val="16"/>
              </w:rPr>
              <w:t>比例</w:t>
            </w:r>
            <w:r>
              <w:rPr>
                <w:rFonts w:ascii="宋体" w:hAnsi="宋体" w:cs="宋体" w:eastAsia="宋体" w:hint="default"/>
                <w:spacing w:val="-46"/>
                <w:sz w:val="16"/>
                <w:szCs w:val="16"/>
              </w:rPr>
              <w:t> </w:t>
            </w:r>
            <w:r>
              <w:rPr>
                <w:rFonts w:ascii="宋体" w:hAnsi="宋体" w:cs="宋体" w:eastAsia="宋体" w:hint="default"/>
                <w:spacing w:val="-13"/>
                <w:sz w:val="16"/>
                <w:szCs w:val="16"/>
              </w:rPr>
              <w:t>(%)</w:t>
            </w:r>
            <w:r>
              <w:rPr>
                <w:rFonts w:ascii="宋体" w:hAnsi="宋体" w:cs="宋体" w:eastAsia="宋体" w:hint="default"/>
                <w:sz w:val="16"/>
                <w:szCs w:val="16"/>
              </w:rPr>
            </w:r>
          </w:p>
        </w:tc>
        <w:tc>
          <w:tcPr>
            <w:tcW w:w="1155" w:type="dxa"/>
            <w:tcBorders>
              <w:top w:val="nil" w:sz="6" w:space="0" w:color="auto"/>
              <w:left w:val="nil" w:sz="6" w:space="0" w:color="auto"/>
              <w:bottom w:val="single" w:sz="16" w:space="0" w:color="9C8758"/>
              <w:right w:val="nil" w:sz="6" w:space="0" w:color="auto"/>
            </w:tcBorders>
            <w:shd w:val="clear" w:color="auto" w:fill="8E9090"/>
          </w:tcPr>
          <w:p>
            <w:pPr>
              <w:pStyle w:val="TableParagraph"/>
              <w:spacing w:line="240" w:lineRule="auto" w:before="41"/>
              <w:ind w:right="150"/>
              <w:jc w:val="right"/>
              <w:rPr>
                <w:rFonts w:ascii="宋体" w:hAnsi="宋体" w:cs="宋体" w:eastAsia="宋体" w:hint="default"/>
                <w:sz w:val="16"/>
                <w:szCs w:val="16"/>
              </w:rPr>
            </w:pPr>
            <w:r>
              <w:rPr>
                <w:rFonts w:ascii="宋体" w:hAnsi="宋体" w:cs="宋体" w:eastAsia="宋体" w:hint="default"/>
                <w:sz w:val="16"/>
                <w:szCs w:val="16"/>
              </w:rPr>
              <w:t>发行新股</w:t>
            </w:r>
          </w:p>
        </w:tc>
        <w:tc>
          <w:tcPr>
            <w:tcW w:w="623" w:type="dxa"/>
            <w:tcBorders>
              <w:top w:val="nil" w:sz="6" w:space="0" w:color="auto"/>
              <w:left w:val="nil" w:sz="6" w:space="0" w:color="auto"/>
              <w:bottom w:val="single" w:sz="16" w:space="0" w:color="9C8758"/>
              <w:right w:val="nil" w:sz="6" w:space="0" w:color="auto"/>
            </w:tcBorders>
            <w:shd w:val="clear" w:color="auto" w:fill="8E9090"/>
          </w:tcPr>
          <w:p>
            <w:pPr>
              <w:pStyle w:val="TableParagraph"/>
              <w:spacing w:line="240" w:lineRule="auto" w:before="41"/>
              <w:ind w:right="149"/>
              <w:jc w:val="right"/>
              <w:rPr>
                <w:rFonts w:ascii="宋体" w:hAnsi="宋体" w:cs="宋体" w:eastAsia="宋体" w:hint="default"/>
                <w:sz w:val="16"/>
                <w:szCs w:val="16"/>
              </w:rPr>
            </w:pPr>
            <w:r>
              <w:rPr>
                <w:rFonts w:ascii="宋体" w:hAnsi="宋体" w:cs="宋体" w:eastAsia="宋体" w:hint="default"/>
                <w:sz w:val="16"/>
                <w:szCs w:val="16"/>
              </w:rPr>
              <w:t>其他</w:t>
            </w:r>
          </w:p>
        </w:tc>
        <w:tc>
          <w:tcPr>
            <w:tcW w:w="1173" w:type="dxa"/>
            <w:tcBorders>
              <w:top w:val="nil" w:sz="6" w:space="0" w:color="auto"/>
              <w:left w:val="nil" w:sz="6" w:space="0" w:color="auto"/>
              <w:bottom w:val="single" w:sz="16" w:space="0" w:color="9C8758"/>
              <w:right w:val="nil" w:sz="6" w:space="0" w:color="auto"/>
            </w:tcBorders>
            <w:shd w:val="clear" w:color="auto" w:fill="8E9090"/>
          </w:tcPr>
          <w:p>
            <w:pPr>
              <w:pStyle w:val="TableParagraph"/>
              <w:spacing w:line="240" w:lineRule="auto" w:before="41"/>
              <w:ind w:right="132"/>
              <w:jc w:val="right"/>
              <w:rPr>
                <w:rFonts w:ascii="宋体" w:hAnsi="宋体" w:cs="宋体" w:eastAsia="宋体" w:hint="default"/>
                <w:sz w:val="16"/>
                <w:szCs w:val="16"/>
              </w:rPr>
            </w:pPr>
            <w:r>
              <w:rPr>
                <w:rFonts w:ascii="宋体" w:hAnsi="宋体" w:cs="宋体" w:eastAsia="宋体" w:hint="default"/>
                <w:sz w:val="16"/>
                <w:szCs w:val="16"/>
              </w:rPr>
              <w:t>小计</w:t>
            </w:r>
          </w:p>
        </w:tc>
        <w:tc>
          <w:tcPr>
            <w:tcW w:w="1342" w:type="dxa"/>
            <w:tcBorders>
              <w:top w:val="nil" w:sz="6" w:space="0" w:color="auto"/>
              <w:left w:val="nil" w:sz="6" w:space="0" w:color="auto"/>
              <w:bottom w:val="single" w:sz="16" w:space="0" w:color="9C8758"/>
              <w:right w:val="nil" w:sz="6" w:space="0" w:color="auto"/>
            </w:tcBorders>
            <w:shd w:val="clear" w:color="auto" w:fill="8E9090"/>
          </w:tcPr>
          <w:p>
            <w:pPr>
              <w:pStyle w:val="TableParagraph"/>
              <w:spacing w:line="240" w:lineRule="auto" w:before="41"/>
              <w:ind w:right="96"/>
              <w:jc w:val="right"/>
              <w:rPr>
                <w:rFonts w:ascii="宋体" w:hAnsi="宋体" w:cs="宋体" w:eastAsia="宋体" w:hint="default"/>
                <w:sz w:val="16"/>
                <w:szCs w:val="16"/>
              </w:rPr>
            </w:pPr>
            <w:r>
              <w:rPr>
                <w:rFonts w:ascii="宋体" w:hAnsi="宋体" w:cs="宋体" w:eastAsia="宋体" w:hint="default"/>
                <w:sz w:val="16"/>
                <w:szCs w:val="16"/>
              </w:rPr>
              <w:t>数量</w:t>
            </w:r>
          </w:p>
        </w:tc>
        <w:tc>
          <w:tcPr>
            <w:tcW w:w="667" w:type="dxa"/>
            <w:tcBorders>
              <w:top w:val="nil" w:sz="6" w:space="0" w:color="auto"/>
              <w:left w:val="nil" w:sz="6" w:space="0" w:color="auto"/>
              <w:bottom w:val="single" w:sz="16" w:space="0" w:color="9C8758"/>
              <w:right w:val="nil" w:sz="6" w:space="0" w:color="auto"/>
            </w:tcBorders>
            <w:shd w:val="clear" w:color="auto" w:fill="FFFFFF"/>
          </w:tcPr>
          <w:p>
            <w:pPr>
              <w:pStyle w:val="TableParagraph"/>
              <w:spacing w:line="240" w:lineRule="auto" w:before="41"/>
              <w:ind w:left="98" w:right="0"/>
              <w:jc w:val="left"/>
              <w:rPr>
                <w:rFonts w:ascii="宋体" w:hAnsi="宋体" w:cs="宋体" w:eastAsia="宋体" w:hint="default"/>
                <w:sz w:val="16"/>
                <w:szCs w:val="16"/>
              </w:rPr>
            </w:pPr>
            <w:r>
              <w:rPr>
                <w:rFonts w:ascii="宋体" w:hAnsi="宋体" w:cs="宋体" w:eastAsia="宋体" w:hint="default"/>
                <w:spacing w:val="-5"/>
                <w:sz w:val="16"/>
                <w:szCs w:val="16"/>
              </w:rPr>
              <w:t>比例</w:t>
            </w:r>
            <w:r>
              <w:rPr>
                <w:rFonts w:ascii="宋体" w:hAnsi="宋体" w:cs="宋体" w:eastAsia="宋体" w:hint="default"/>
                <w:spacing w:val="-44"/>
                <w:sz w:val="16"/>
                <w:szCs w:val="16"/>
              </w:rPr>
              <w:t> </w:t>
            </w:r>
            <w:r>
              <w:rPr>
                <w:rFonts w:ascii="宋体" w:hAnsi="宋体" w:cs="宋体" w:eastAsia="宋体" w:hint="default"/>
                <w:spacing w:val="-10"/>
                <w:sz w:val="16"/>
                <w:szCs w:val="16"/>
              </w:rPr>
              <w:t>(%)</w:t>
            </w:r>
            <w:r>
              <w:rPr>
                <w:rFonts w:ascii="宋体" w:hAnsi="宋体" w:cs="宋体" w:eastAsia="宋体" w:hint="default"/>
                <w:sz w:val="16"/>
                <w:szCs w:val="16"/>
              </w:rPr>
            </w:r>
          </w:p>
        </w:tc>
      </w:tr>
      <w:tr>
        <w:trPr>
          <w:trHeight w:val="362" w:hRule="exact"/>
        </w:trPr>
        <w:tc>
          <w:tcPr>
            <w:tcW w:w="2076" w:type="dxa"/>
            <w:tcBorders>
              <w:top w:val="single" w:sz="16" w:space="0" w:color="9C8758"/>
              <w:left w:val="nil" w:sz="6" w:space="0" w:color="auto"/>
              <w:bottom w:val="nil" w:sz="6" w:space="0" w:color="auto"/>
              <w:right w:val="nil" w:sz="6" w:space="0" w:color="auto"/>
            </w:tcBorders>
            <w:shd w:val="clear" w:color="auto" w:fill="8E9090"/>
          </w:tcPr>
          <w:p>
            <w:pPr>
              <w:pStyle w:val="TableParagraph"/>
              <w:spacing w:line="240" w:lineRule="auto" w:before="64"/>
              <w:ind w:left="85" w:right="0"/>
              <w:jc w:val="left"/>
              <w:rPr>
                <w:rFonts w:ascii="宋体" w:hAnsi="宋体" w:cs="宋体" w:eastAsia="宋体" w:hint="default"/>
                <w:sz w:val="16"/>
                <w:szCs w:val="16"/>
              </w:rPr>
            </w:pPr>
            <w:r>
              <w:rPr>
                <w:rFonts w:ascii="宋体" w:hAnsi="宋体" w:cs="宋体" w:eastAsia="宋体" w:hint="default"/>
                <w:sz w:val="16"/>
                <w:szCs w:val="16"/>
              </w:rPr>
              <w:t>一、有限售条件股份</w:t>
            </w:r>
          </w:p>
        </w:tc>
        <w:tc>
          <w:tcPr>
            <w:tcW w:w="1468" w:type="dxa"/>
            <w:tcBorders>
              <w:top w:val="single" w:sz="16" w:space="0" w:color="9C8758"/>
              <w:left w:val="nil" w:sz="6" w:space="0" w:color="auto"/>
              <w:bottom w:val="nil" w:sz="6" w:space="0" w:color="auto"/>
              <w:right w:val="nil" w:sz="6" w:space="0" w:color="auto"/>
            </w:tcBorders>
            <w:shd w:val="clear" w:color="auto" w:fill="8E9090"/>
          </w:tcPr>
          <w:p>
            <w:pPr>
              <w:pStyle w:val="TableParagraph"/>
              <w:spacing w:line="240" w:lineRule="auto" w:before="64"/>
              <w:ind w:right="125"/>
              <w:jc w:val="right"/>
              <w:rPr>
                <w:rFonts w:ascii="宋体" w:hAnsi="宋体" w:cs="宋体" w:eastAsia="宋体" w:hint="default"/>
                <w:sz w:val="16"/>
                <w:szCs w:val="16"/>
              </w:rPr>
            </w:pPr>
            <w:r>
              <w:rPr>
                <w:rFonts w:ascii="宋体"/>
                <w:w w:val="95"/>
                <w:sz w:val="16"/>
              </w:rPr>
              <w:t>9,037,354,292</w:t>
            </w:r>
            <w:r>
              <w:rPr>
                <w:rFonts w:ascii="宋体"/>
                <w:sz w:val="16"/>
              </w:rPr>
            </w:r>
          </w:p>
        </w:tc>
        <w:tc>
          <w:tcPr>
            <w:tcW w:w="786" w:type="dxa"/>
            <w:tcBorders>
              <w:top w:val="single" w:sz="16" w:space="0" w:color="9C8758"/>
              <w:left w:val="nil" w:sz="6" w:space="0" w:color="auto"/>
              <w:bottom w:val="nil" w:sz="6" w:space="0" w:color="auto"/>
              <w:right w:val="nil" w:sz="6" w:space="0" w:color="auto"/>
            </w:tcBorders>
            <w:shd w:val="clear" w:color="auto" w:fill="8E9090"/>
          </w:tcPr>
          <w:p>
            <w:pPr>
              <w:pStyle w:val="TableParagraph"/>
              <w:spacing w:line="240" w:lineRule="auto" w:before="64"/>
              <w:ind w:left="127" w:right="0"/>
              <w:jc w:val="left"/>
              <w:rPr>
                <w:rFonts w:ascii="宋体" w:hAnsi="宋体" w:cs="宋体" w:eastAsia="宋体" w:hint="default"/>
                <w:sz w:val="16"/>
                <w:szCs w:val="16"/>
              </w:rPr>
            </w:pPr>
            <w:r>
              <w:rPr>
                <w:rFonts w:ascii="宋体"/>
                <w:w w:val="120"/>
                <w:sz w:val="16"/>
              </w:rPr>
              <w:t>29.9%</w:t>
            </w:r>
            <w:r>
              <w:rPr>
                <w:rFonts w:ascii="宋体"/>
                <w:sz w:val="16"/>
              </w:rPr>
            </w:r>
          </w:p>
        </w:tc>
        <w:tc>
          <w:tcPr>
            <w:tcW w:w="1155" w:type="dxa"/>
            <w:tcBorders>
              <w:top w:val="single" w:sz="16" w:space="0" w:color="9C8758"/>
              <w:left w:val="nil" w:sz="6" w:space="0" w:color="auto"/>
              <w:bottom w:val="nil" w:sz="6" w:space="0" w:color="auto"/>
              <w:right w:val="nil" w:sz="6" w:space="0" w:color="auto"/>
            </w:tcBorders>
            <w:shd w:val="clear" w:color="auto" w:fill="8E9090"/>
          </w:tcPr>
          <w:p>
            <w:pPr>
              <w:pStyle w:val="TableParagraph"/>
              <w:spacing w:line="240" w:lineRule="auto" w:before="64"/>
              <w:ind w:right="149"/>
              <w:jc w:val="right"/>
              <w:rPr>
                <w:rFonts w:ascii="宋体" w:hAnsi="宋体" w:cs="宋体" w:eastAsia="宋体" w:hint="default"/>
                <w:sz w:val="16"/>
                <w:szCs w:val="16"/>
              </w:rPr>
            </w:pPr>
            <w:r>
              <w:rPr>
                <w:rFonts w:ascii="宋体"/>
                <w:sz w:val="16"/>
              </w:rPr>
              <w:t>793,861,000</w:t>
            </w:r>
          </w:p>
        </w:tc>
        <w:tc>
          <w:tcPr>
            <w:tcW w:w="623" w:type="dxa"/>
            <w:tcBorders>
              <w:top w:val="single" w:sz="16" w:space="0" w:color="9C8758"/>
              <w:left w:val="nil" w:sz="6" w:space="0" w:color="auto"/>
              <w:bottom w:val="nil" w:sz="6" w:space="0" w:color="auto"/>
              <w:right w:val="nil" w:sz="6" w:space="0" w:color="auto"/>
            </w:tcBorders>
            <w:shd w:val="clear" w:color="auto" w:fill="8E9090"/>
          </w:tcPr>
          <w:p>
            <w:pPr>
              <w:pStyle w:val="TableParagraph"/>
              <w:spacing w:line="240" w:lineRule="auto" w:before="64"/>
              <w:ind w:right="149"/>
              <w:jc w:val="right"/>
              <w:rPr>
                <w:rFonts w:ascii="宋体" w:hAnsi="宋体" w:cs="宋体" w:eastAsia="宋体" w:hint="default"/>
                <w:sz w:val="16"/>
                <w:szCs w:val="16"/>
              </w:rPr>
            </w:pPr>
            <w:r>
              <w:rPr>
                <w:rFonts w:ascii="宋体"/>
                <w:w w:val="111"/>
                <w:sz w:val="16"/>
              </w:rPr>
              <w:t>0</w:t>
            </w:r>
            <w:r>
              <w:rPr>
                <w:rFonts w:ascii="宋体"/>
                <w:sz w:val="16"/>
              </w:rPr>
            </w:r>
          </w:p>
        </w:tc>
        <w:tc>
          <w:tcPr>
            <w:tcW w:w="1173" w:type="dxa"/>
            <w:tcBorders>
              <w:top w:val="single" w:sz="16" w:space="0" w:color="9C8758"/>
              <w:left w:val="nil" w:sz="6" w:space="0" w:color="auto"/>
              <w:bottom w:val="nil" w:sz="6" w:space="0" w:color="auto"/>
              <w:right w:val="nil" w:sz="6" w:space="0" w:color="auto"/>
            </w:tcBorders>
            <w:shd w:val="clear" w:color="auto" w:fill="8E9090"/>
          </w:tcPr>
          <w:p>
            <w:pPr>
              <w:pStyle w:val="TableParagraph"/>
              <w:spacing w:line="240" w:lineRule="auto" w:before="64"/>
              <w:ind w:right="131"/>
              <w:jc w:val="right"/>
              <w:rPr>
                <w:rFonts w:ascii="宋体" w:hAnsi="宋体" w:cs="宋体" w:eastAsia="宋体" w:hint="default"/>
                <w:sz w:val="16"/>
                <w:szCs w:val="16"/>
              </w:rPr>
            </w:pPr>
            <w:r>
              <w:rPr>
                <w:rFonts w:ascii="宋体"/>
                <w:sz w:val="16"/>
              </w:rPr>
              <w:t>793,861,000</w:t>
            </w:r>
          </w:p>
        </w:tc>
        <w:tc>
          <w:tcPr>
            <w:tcW w:w="1342" w:type="dxa"/>
            <w:tcBorders>
              <w:top w:val="single" w:sz="16" w:space="0" w:color="9C8758"/>
              <w:left w:val="nil" w:sz="6" w:space="0" w:color="auto"/>
              <w:bottom w:val="nil" w:sz="6" w:space="0" w:color="auto"/>
              <w:right w:val="nil" w:sz="6" w:space="0" w:color="auto"/>
            </w:tcBorders>
            <w:shd w:val="clear" w:color="auto" w:fill="8E9090"/>
          </w:tcPr>
          <w:p>
            <w:pPr>
              <w:pStyle w:val="TableParagraph"/>
              <w:spacing w:line="240" w:lineRule="auto" w:before="64"/>
              <w:ind w:right="96"/>
              <w:jc w:val="right"/>
              <w:rPr>
                <w:rFonts w:ascii="宋体" w:hAnsi="宋体" w:cs="宋体" w:eastAsia="宋体" w:hint="default"/>
                <w:sz w:val="16"/>
                <w:szCs w:val="16"/>
              </w:rPr>
            </w:pPr>
            <w:r>
              <w:rPr>
                <w:rFonts w:ascii="宋体"/>
                <w:w w:val="95"/>
                <w:sz w:val="16"/>
              </w:rPr>
              <w:t>9,831,215,292</w:t>
            </w:r>
            <w:r>
              <w:rPr>
                <w:rFonts w:ascii="宋体"/>
                <w:sz w:val="16"/>
              </w:rPr>
            </w:r>
          </w:p>
        </w:tc>
        <w:tc>
          <w:tcPr>
            <w:tcW w:w="667" w:type="dxa"/>
            <w:tcBorders>
              <w:top w:val="single" w:sz="16" w:space="0" w:color="9C8758"/>
              <w:left w:val="nil" w:sz="6" w:space="0" w:color="auto"/>
              <w:bottom w:val="nil" w:sz="6" w:space="0" w:color="auto"/>
              <w:right w:val="nil" w:sz="6" w:space="0" w:color="auto"/>
            </w:tcBorders>
            <w:shd w:val="clear" w:color="auto" w:fill="FFFFFF"/>
          </w:tcPr>
          <w:p>
            <w:pPr>
              <w:pStyle w:val="TableParagraph"/>
              <w:spacing w:line="240" w:lineRule="auto" w:before="64"/>
              <w:ind w:left="111" w:right="0"/>
              <w:jc w:val="left"/>
              <w:rPr>
                <w:rFonts w:ascii="宋体" w:hAnsi="宋体" w:cs="宋体" w:eastAsia="宋体" w:hint="default"/>
                <w:sz w:val="16"/>
                <w:szCs w:val="16"/>
              </w:rPr>
            </w:pPr>
            <w:r>
              <w:rPr>
                <w:rFonts w:ascii="宋体"/>
                <w:w w:val="120"/>
                <w:sz w:val="16"/>
              </w:rPr>
              <w:t>31.7%</w:t>
            </w:r>
            <w:r>
              <w:rPr>
                <w:rFonts w:ascii="宋体"/>
                <w:sz w:val="16"/>
              </w:rPr>
            </w:r>
          </w:p>
        </w:tc>
      </w:tr>
      <w:tr>
        <w:trPr>
          <w:trHeight w:val="308" w:hRule="exact"/>
        </w:trPr>
        <w:tc>
          <w:tcPr>
            <w:tcW w:w="207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205" w:lineRule="exact"/>
              <w:ind w:left="84" w:right="0"/>
              <w:jc w:val="left"/>
              <w:rPr>
                <w:rFonts w:ascii="宋体" w:hAnsi="宋体" w:cs="宋体" w:eastAsia="宋体" w:hint="default"/>
                <w:sz w:val="16"/>
                <w:szCs w:val="16"/>
              </w:rPr>
            </w:pPr>
            <w:r>
              <w:rPr>
                <w:rFonts w:ascii="宋体" w:hAnsi="宋体" w:cs="宋体" w:eastAsia="宋体" w:hint="default"/>
                <w:sz w:val="16"/>
                <w:szCs w:val="16"/>
              </w:rPr>
              <w:t>二、无限售条件流通股份</w:t>
            </w:r>
          </w:p>
        </w:tc>
        <w:tc>
          <w:tcPr>
            <w:tcW w:w="1468" w:type="dxa"/>
            <w:tcBorders>
              <w:top w:val="nil" w:sz="6" w:space="0" w:color="auto"/>
              <w:left w:val="nil" w:sz="6" w:space="0" w:color="auto"/>
              <w:bottom w:val="nil" w:sz="6" w:space="0" w:color="auto"/>
              <w:right w:val="nil" w:sz="6" w:space="0" w:color="auto"/>
            </w:tcBorders>
            <w:shd w:val="clear" w:color="auto" w:fill="8E9090"/>
          </w:tcPr>
          <w:p>
            <w:pPr>
              <w:pStyle w:val="TableParagraph"/>
              <w:spacing w:line="205" w:lineRule="exact"/>
              <w:ind w:right="125"/>
              <w:jc w:val="right"/>
              <w:rPr>
                <w:rFonts w:ascii="宋体" w:hAnsi="宋体" w:cs="宋体" w:eastAsia="宋体" w:hint="default"/>
                <w:sz w:val="16"/>
                <w:szCs w:val="16"/>
              </w:rPr>
            </w:pPr>
            <w:r>
              <w:rPr>
                <w:rFonts w:ascii="宋体"/>
                <w:w w:val="95"/>
                <w:sz w:val="16"/>
              </w:rPr>
              <w:t>21,196,596,395</w:t>
            </w:r>
            <w:r>
              <w:rPr>
                <w:rFonts w:ascii="宋体"/>
                <w:sz w:val="16"/>
              </w:rPr>
            </w:r>
          </w:p>
        </w:tc>
        <w:tc>
          <w:tcPr>
            <w:tcW w:w="786" w:type="dxa"/>
            <w:tcBorders>
              <w:top w:val="nil" w:sz="6" w:space="0" w:color="auto"/>
              <w:left w:val="nil" w:sz="6" w:space="0" w:color="auto"/>
              <w:bottom w:val="single" w:sz="8" w:space="0" w:color="9C8758"/>
              <w:right w:val="nil" w:sz="6" w:space="0" w:color="auto"/>
            </w:tcBorders>
            <w:shd w:val="clear" w:color="auto" w:fill="8E9090"/>
          </w:tcPr>
          <w:p>
            <w:pPr>
              <w:pStyle w:val="TableParagraph"/>
              <w:spacing w:line="205" w:lineRule="exact"/>
              <w:ind w:left="127" w:right="0"/>
              <w:jc w:val="left"/>
              <w:rPr>
                <w:rFonts w:ascii="宋体" w:hAnsi="宋体" w:cs="宋体" w:eastAsia="宋体" w:hint="default"/>
                <w:sz w:val="16"/>
                <w:szCs w:val="16"/>
              </w:rPr>
            </w:pPr>
            <w:r>
              <w:rPr>
                <w:rFonts w:ascii="宋体"/>
                <w:w w:val="120"/>
                <w:sz w:val="16"/>
              </w:rPr>
              <w:t>70.1%</w:t>
            </w:r>
            <w:r>
              <w:rPr>
                <w:rFonts w:ascii="宋体"/>
                <w:sz w:val="16"/>
              </w:rPr>
            </w:r>
          </w:p>
        </w:tc>
        <w:tc>
          <w:tcPr>
            <w:tcW w:w="1155" w:type="dxa"/>
            <w:tcBorders>
              <w:top w:val="nil" w:sz="6" w:space="0" w:color="auto"/>
              <w:left w:val="nil" w:sz="6" w:space="0" w:color="auto"/>
              <w:bottom w:val="single" w:sz="8" w:space="0" w:color="9C8758"/>
              <w:right w:val="nil" w:sz="6" w:space="0" w:color="auto"/>
            </w:tcBorders>
            <w:shd w:val="clear" w:color="auto" w:fill="8E9090"/>
          </w:tcPr>
          <w:p>
            <w:pPr>
              <w:pStyle w:val="TableParagraph"/>
              <w:spacing w:line="205" w:lineRule="exact"/>
              <w:ind w:right="151"/>
              <w:jc w:val="right"/>
              <w:rPr>
                <w:rFonts w:ascii="宋体" w:hAnsi="宋体" w:cs="宋体" w:eastAsia="宋体" w:hint="default"/>
                <w:sz w:val="16"/>
                <w:szCs w:val="16"/>
              </w:rPr>
            </w:pPr>
            <w:r>
              <w:rPr>
                <w:rFonts w:ascii="宋体"/>
                <w:w w:val="111"/>
                <w:sz w:val="16"/>
              </w:rPr>
              <w:t>0</w:t>
            </w:r>
            <w:r>
              <w:rPr>
                <w:rFonts w:ascii="宋体"/>
                <w:sz w:val="16"/>
              </w:rPr>
            </w:r>
          </w:p>
        </w:tc>
        <w:tc>
          <w:tcPr>
            <w:tcW w:w="623" w:type="dxa"/>
            <w:tcBorders>
              <w:top w:val="nil" w:sz="6" w:space="0" w:color="auto"/>
              <w:left w:val="nil" w:sz="6" w:space="0" w:color="auto"/>
              <w:bottom w:val="single" w:sz="8" w:space="0" w:color="9C8758"/>
              <w:right w:val="nil" w:sz="6" w:space="0" w:color="auto"/>
            </w:tcBorders>
            <w:shd w:val="clear" w:color="auto" w:fill="8E9090"/>
          </w:tcPr>
          <w:p>
            <w:pPr>
              <w:pStyle w:val="TableParagraph"/>
              <w:spacing w:line="205" w:lineRule="exact"/>
              <w:ind w:right="149"/>
              <w:jc w:val="right"/>
              <w:rPr>
                <w:rFonts w:ascii="宋体" w:hAnsi="宋体" w:cs="宋体" w:eastAsia="宋体" w:hint="default"/>
                <w:sz w:val="16"/>
                <w:szCs w:val="16"/>
              </w:rPr>
            </w:pPr>
            <w:r>
              <w:rPr>
                <w:rFonts w:ascii="宋体"/>
                <w:w w:val="111"/>
                <w:sz w:val="16"/>
              </w:rPr>
              <w:t>0</w:t>
            </w:r>
            <w:r>
              <w:rPr>
                <w:rFonts w:ascii="宋体"/>
                <w:sz w:val="16"/>
              </w:rPr>
            </w:r>
          </w:p>
        </w:tc>
        <w:tc>
          <w:tcPr>
            <w:tcW w:w="1173" w:type="dxa"/>
            <w:tcBorders>
              <w:top w:val="nil" w:sz="6" w:space="0" w:color="auto"/>
              <w:left w:val="nil" w:sz="6" w:space="0" w:color="auto"/>
              <w:bottom w:val="single" w:sz="8" w:space="0" w:color="9C8758"/>
              <w:right w:val="nil" w:sz="6" w:space="0" w:color="auto"/>
            </w:tcBorders>
            <w:shd w:val="clear" w:color="auto" w:fill="8E9090"/>
          </w:tcPr>
          <w:p>
            <w:pPr>
              <w:pStyle w:val="TableParagraph"/>
              <w:spacing w:line="205" w:lineRule="exact"/>
              <w:ind w:right="132"/>
              <w:jc w:val="right"/>
              <w:rPr>
                <w:rFonts w:ascii="宋体" w:hAnsi="宋体" w:cs="宋体" w:eastAsia="宋体" w:hint="default"/>
                <w:sz w:val="16"/>
                <w:szCs w:val="16"/>
              </w:rPr>
            </w:pPr>
            <w:r>
              <w:rPr>
                <w:rFonts w:ascii="宋体"/>
                <w:w w:val="111"/>
                <w:sz w:val="16"/>
              </w:rPr>
              <w:t>0</w:t>
            </w:r>
            <w:r>
              <w:rPr>
                <w:rFonts w:ascii="宋体"/>
                <w:sz w:val="16"/>
              </w:rPr>
            </w:r>
          </w:p>
        </w:tc>
        <w:tc>
          <w:tcPr>
            <w:tcW w:w="1342"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95"/>
                <w:sz w:val="16"/>
              </w:rPr>
              <w:t>21,196,596,395</w:t>
            </w:r>
            <w:r>
              <w:rPr>
                <w:rFonts w:ascii="宋体"/>
                <w:sz w:val="16"/>
              </w:rPr>
            </w:r>
          </w:p>
        </w:tc>
        <w:tc>
          <w:tcPr>
            <w:tcW w:w="667" w:type="dxa"/>
            <w:tcBorders>
              <w:top w:val="nil" w:sz="6" w:space="0" w:color="auto"/>
              <w:left w:val="nil" w:sz="6" w:space="0" w:color="auto"/>
              <w:bottom w:val="nil" w:sz="6" w:space="0" w:color="auto"/>
              <w:right w:val="nil" w:sz="6" w:space="0" w:color="auto"/>
            </w:tcBorders>
            <w:shd w:val="clear" w:color="auto" w:fill="FFFFFF"/>
          </w:tcPr>
          <w:p>
            <w:pPr>
              <w:pStyle w:val="TableParagraph"/>
              <w:spacing w:line="205" w:lineRule="exact"/>
              <w:ind w:left="111" w:right="0"/>
              <w:jc w:val="left"/>
              <w:rPr>
                <w:rFonts w:ascii="宋体" w:hAnsi="宋体" w:cs="宋体" w:eastAsia="宋体" w:hint="default"/>
                <w:sz w:val="16"/>
                <w:szCs w:val="16"/>
              </w:rPr>
            </w:pPr>
            <w:r>
              <w:rPr>
                <w:rFonts w:ascii="宋体"/>
                <w:w w:val="120"/>
                <w:sz w:val="16"/>
              </w:rPr>
              <w:t>68.3%</w:t>
            </w:r>
            <w:r>
              <w:rPr>
                <w:rFonts w:ascii="宋体"/>
                <w:sz w:val="16"/>
              </w:rPr>
            </w:r>
          </w:p>
        </w:tc>
      </w:tr>
      <w:tr>
        <w:trPr>
          <w:trHeight w:val="282" w:hRule="exact"/>
        </w:trPr>
        <w:tc>
          <w:tcPr>
            <w:tcW w:w="207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170" w:lineRule="exact"/>
              <w:ind w:left="84" w:right="0"/>
              <w:jc w:val="left"/>
              <w:rPr>
                <w:rFonts w:ascii="宋体" w:hAnsi="宋体" w:cs="宋体" w:eastAsia="宋体" w:hint="default"/>
                <w:sz w:val="16"/>
                <w:szCs w:val="16"/>
              </w:rPr>
            </w:pPr>
            <w:r>
              <w:rPr>
                <w:rFonts w:ascii="宋体" w:hAnsi="宋体" w:cs="宋体" w:eastAsia="宋体" w:hint="default"/>
                <w:sz w:val="16"/>
                <w:szCs w:val="16"/>
              </w:rPr>
              <w:t>三、普通股股份总数</w:t>
            </w:r>
          </w:p>
        </w:tc>
        <w:tc>
          <w:tcPr>
            <w:tcW w:w="1468" w:type="dxa"/>
            <w:tcBorders>
              <w:top w:val="nil" w:sz="6" w:space="0" w:color="auto"/>
              <w:left w:val="nil" w:sz="6" w:space="0" w:color="auto"/>
              <w:bottom w:val="nil" w:sz="6" w:space="0" w:color="auto"/>
              <w:right w:val="nil" w:sz="6" w:space="0" w:color="auto"/>
            </w:tcBorders>
            <w:shd w:val="clear" w:color="auto" w:fill="8E9090"/>
          </w:tcPr>
          <w:p>
            <w:pPr>
              <w:pStyle w:val="TableParagraph"/>
              <w:spacing w:line="170" w:lineRule="exact"/>
              <w:ind w:right="125"/>
              <w:jc w:val="right"/>
              <w:rPr>
                <w:rFonts w:ascii="宋体" w:hAnsi="宋体" w:cs="宋体" w:eastAsia="宋体" w:hint="default"/>
                <w:sz w:val="16"/>
                <w:szCs w:val="16"/>
              </w:rPr>
            </w:pPr>
            <w:r>
              <w:rPr>
                <w:rFonts w:ascii="宋体"/>
                <w:w w:val="95"/>
                <w:sz w:val="16"/>
              </w:rPr>
              <w:t>30,233,950,687</w:t>
            </w:r>
            <w:r>
              <w:rPr>
                <w:rFonts w:ascii="宋体"/>
                <w:sz w:val="16"/>
              </w:rPr>
            </w:r>
          </w:p>
        </w:tc>
        <w:tc>
          <w:tcPr>
            <w:tcW w:w="786" w:type="dxa"/>
            <w:tcBorders>
              <w:top w:val="single" w:sz="8" w:space="0" w:color="9C8758"/>
              <w:left w:val="nil" w:sz="6" w:space="0" w:color="auto"/>
              <w:bottom w:val="nil" w:sz="6" w:space="0" w:color="auto"/>
              <w:right w:val="nil" w:sz="6" w:space="0" w:color="auto"/>
            </w:tcBorders>
            <w:shd w:val="clear" w:color="auto" w:fill="8E9090"/>
          </w:tcPr>
          <w:p>
            <w:pPr>
              <w:pStyle w:val="TableParagraph"/>
              <w:spacing w:line="160" w:lineRule="exact"/>
              <w:ind w:left="171" w:right="0"/>
              <w:jc w:val="left"/>
              <w:rPr>
                <w:rFonts w:ascii="宋体" w:hAnsi="宋体" w:cs="宋体" w:eastAsia="宋体" w:hint="default"/>
                <w:sz w:val="16"/>
                <w:szCs w:val="16"/>
              </w:rPr>
            </w:pPr>
            <w:r>
              <w:rPr>
                <w:rFonts w:ascii="宋体"/>
                <w:w w:val="135"/>
                <w:sz w:val="16"/>
              </w:rPr>
              <w:t>100%</w:t>
            </w:r>
            <w:r>
              <w:rPr>
                <w:rFonts w:ascii="宋体"/>
                <w:sz w:val="16"/>
              </w:rPr>
            </w:r>
          </w:p>
        </w:tc>
        <w:tc>
          <w:tcPr>
            <w:tcW w:w="1155" w:type="dxa"/>
            <w:tcBorders>
              <w:top w:val="single" w:sz="8" w:space="0" w:color="9C8758"/>
              <w:left w:val="nil" w:sz="6" w:space="0" w:color="auto"/>
              <w:bottom w:val="nil" w:sz="6" w:space="0" w:color="auto"/>
              <w:right w:val="nil" w:sz="6" w:space="0" w:color="auto"/>
            </w:tcBorders>
            <w:shd w:val="clear" w:color="auto" w:fill="8E9090"/>
          </w:tcPr>
          <w:p>
            <w:pPr>
              <w:pStyle w:val="TableParagraph"/>
              <w:spacing w:line="160" w:lineRule="exact"/>
              <w:ind w:right="149"/>
              <w:jc w:val="right"/>
              <w:rPr>
                <w:rFonts w:ascii="宋体" w:hAnsi="宋体" w:cs="宋体" w:eastAsia="宋体" w:hint="default"/>
                <w:sz w:val="16"/>
                <w:szCs w:val="16"/>
              </w:rPr>
            </w:pPr>
            <w:r>
              <w:rPr>
                <w:rFonts w:ascii="宋体"/>
                <w:sz w:val="16"/>
              </w:rPr>
              <w:t>793,861,000</w:t>
            </w:r>
          </w:p>
        </w:tc>
        <w:tc>
          <w:tcPr>
            <w:tcW w:w="623" w:type="dxa"/>
            <w:tcBorders>
              <w:top w:val="single" w:sz="8" w:space="0" w:color="9C8758"/>
              <w:left w:val="nil" w:sz="6" w:space="0" w:color="auto"/>
              <w:bottom w:val="nil" w:sz="6" w:space="0" w:color="auto"/>
              <w:right w:val="nil" w:sz="6" w:space="0" w:color="auto"/>
            </w:tcBorders>
            <w:shd w:val="clear" w:color="auto" w:fill="8E9090"/>
          </w:tcPr>
          <w:p>
            <w:pPr>
              <w:pStyle w:val="TableParagraph"/>
              <w:spacing w:line="160" w:lineRule="exact"/>
              <w:ind w:right="149"/>
              <w:jc w:val="right"/>
              <w:rPr>
                <w:rFonts w:ascii="宋体" w:hAnsi="宋体" w:cs="宋体" w:eastAsia="宋体" w:hint="default"/>
                <w:sz w:val="16"/>
                <w:szCs w:val="16"/>
              </w:rPr>
            </w:pPr>
            <w:r>
              <w:rPr>
                <w:rFonts w:ascii="宋体"/>
                <w:w w:val="111"/>
                <w:sz w:val="16"/>
              </w:rPr>
              <w:t>0</w:t>
            </w:r>
            <w:r>
              <w:rPr>
                <w:rFonts w:ascii="宋体"/>
                <w:sz w:val="16"/>
              </w:rPr>
            </w:r>
          </w:p>
        </w:tc>
        <w:tc>
          <w:tcPr>
            <w:tcW w:w="1173" w:type="dxa"/>
            <w:tcBorders>
              <w:top w:val="single" w:sz="8" w:space="0" w:color="9C8758"/>
              <w:left w:val="nil" w:sz="6" w:space="0" w:color="auto"/>
              <w:bottom w:val="nil" w:sz="6" w:space="0" w:color="auto"/>
              <w:right w:val="nil" w:sz="6" w:space="0" w:color="auto"/>
            </w:tcBorders>
            <w:shd w:val="clear" w:color="auto" w:fill="8E9090"/>
          </w:tcPr>
          <w:p>
            <w:pPr>
              <w:pStyle w:val="TableParagraph"/>
              <w:spacing w:line="160" w:lineRule="exact"/>
              <w:ind w:right="132"/>
              <w:jc w:val="right"/>
              <w:rPr>
                <w:rFonts w:ascii="宋体" w:hAnsi="宋体" w:cs="宋体" w:eastAsia="宋体" w:hint="default"/>
                <w:sz w:val="16"/>
                <w:szCs w:val="16"/>
              </w:rPr>
            </w:pPr>
            <w:r>
              <w:rPr>
                <w:rFonts w:ascii="宋体"/>
                <w:sz w:val="16"/>
              </w:rPr>
              <w:t>793,861,000</w:t>
            </w:r>
          </w:p>
        </w:tc>
        <w:tc>
          <w:tcPr>
            <w:tcW w:w="1342" w:type="dxa"/>
            <w:tcBorders>
              <w:top w:val="nil" w:sz="6" w:space="0" w:color="auto"/>
              <w:left w:val="nil" w:sz="6" w:space="0" w:color="auto"/>
              <w:bottom w:val="nil" w:sz="6" w:space="0" w:color="auto"/>
              <w:right w:val="nil" w:sz="6" w:space="0" w:color="auto"/>
            </w:tcBorders>
          </w:tcPr>
          <w:p>
            <w:pPr>
              <w:pStyle w:val="TableParagraph"/>
              <w:spacing w:line="170" w:lineRule="exact"/>
              <w:ind w:right="96"/>
              <w:jc w:val="right"/>
              <w:rPr>
                <w:rFonts w:ascii="宋体" w:hAnsi="宋体" w:cs="宋体" w:eastAsia="宋体" w:hint="default"/>
                <w:sz w:val="16"/>
                <w:szCs w:val="16"/>
              </w:rPr>
            </w:pPr>
            <w:r>
              <w:rPr>
                <w:rFonts w:ascii="宋体"/>
                <w:w w:val="95"/>
                <w:sz w:val="16"/>
              </w:rPr>
              <w:t>31,027,811,687</w:t>
            </w:r>
            <w:r>
              <w:rPr>
                <w:rFonts w:ascii="宋体"/>
                <w:sz w:val="16"/>
              </w:rPr>
            </w:r>
          </w:p>
        </w:tc>
        <w:tc>
          <w:tcPr>
            <w:tcW w:w="667" w:type="dxa"/>
            <w:tcBorders>
              <w:top w:val="nil" w:sz="6" w:space="0" w:color="auto"/>
              <w:left w:val="nil" w:sz="6" w:space="0" w:color="auto"/>
              <w:bottom w:val="nil" w:sz="6" w:space="0" w:color="auto"/>
              <w:right w:val="nil" w:sz="6" w:space="0" w:color="auto"/>
            </w:tcBorders>
            <w:shd w:val="clear" w:color="auto" w:fill="FFFFFF"/>
          </w:tcPr>
          <w:p>
            <w:pPr>
              <w:pStyle w:val="TableParagraph"/>
              <w:spacing w:line="170" w:lineRule="exact"/>
              <w:ind w:left="155" w:right="0"/>
              <w:jc w:val="left"/>
              <w:rPr>
                <w:rFonts w:ascii="宋体" w:hAnsi="宋体" w:cs="宋体" w:eastAsia="宋体" w:hint="default"/>
                <w:sz w:val="16"/>
                <w:szCs w:val="16"/>
              </w:rPr>
            </w:pPr>
            <w:r>
              <w:rPr>
                <w:rFonts w:ascii="宋体"/>
                <w:w w:val="135"/>
                <w:sz w:val="16"/>
              </w:rPr>
              <w:t>100%</w:t>
            </w:r>
            <w:r>
              <w:rPr>
                <w:rFonts w:ascii="宋体"/>
                <w:sz w:val="16"/>
              </w:rPr>
            </w:r>
          </w:p>
        </w:tc>
      </w:tr>
    </w:tbl>
    <w:p>
      <w:pPr>
        <w:spacing w:line="240" w:lineRule="auto" w:before="5"/>
        <w:rPr>
          <w:rFonts w:ascii="宋体" w:hAnsi="宋体" w:cs="宋体" w:eastAsia="宋体" w:hint="default"/>
          <w:sz w:val="12"/>
          <w:szCs w:val="12"/>
        </w:rPr>
      </w:pPr>
    </w:p>
    <w:p>
      <w:pPr>
        <w:spacing w:before="43"/>
        <w:ind w:left="1175" w:right="0" w:firstLine="0"/>
        <w:jc w:val="left"/>
        <w:rPr>
          <w:rFonts w:ascii="宋体" w:hAnsi="宋体" w:cs="宋体" w:eastAsia="宋体" w:hint="default"/>
          <w:sz w:val="16"/>
          <w:szCs w:val="16"/>
        </w:rPr>
      </w:pPr>
      <w:r>
        <w:rPr>
          <w:rFonts w:ascii="宋体" w:hAnsi="宋体" w:cs="宋体" w:eastAsia="宋体" w:hint="default"/>
          <w:sz w:val="16"/>
          <w:szCs w:val="16"/>
        </w:rPr>
        <w:t>注：无限售条件流通股中包含公司控股股东联通集团于 2017 年 11</w:t>
      </w:r>
      <w:r>
        <w:rPr>
          <w:rFonts w:ascii="宋体" w:hAnsi="宋体" w:cs="宋体" w:eastAsia="宋体" w:hint="default"/>
          <w:spacing w:val="-16"/>
          <w:sz w:val="16"/>
          <w:szCs w:val="16"/>
        </w:rPr>
        <w:t> </w:t>
      </w:r>
      <w:r>
        <w:rPr>
          <w:rFonts w:ascii="宋体" w:hAnsi="宋体" w:cs="宋体" w:eastAsia="宋体" w:hint="default"/>
          <w:sz w:val="16"/>
          <w:szCs w:val="16"/>
        </w:rPr>
        <w:t>月底向中国国有企业结构调整基金股份有限公司（简称“结构调</w:t>
      </w:r>
    </w:p>
    <w:p>
      <w:pPr>
        <w:spacing w:line="321" w:lineRule="auto" w:before="70"/>
        <w:ind w:left="1175" w:right="0" w:firstLine="0"/>
        <w:jc w:val="left"/>
        <w:rPr>
          <w:rFonts w:ascii="宋体" w:hAnsi="宋体" w:cs="宋体" w:eastAsia="宋体" w:hint="default"/>
          <w:sz w:val="16"/>
          <w:szCs w:val="16"/>
        </w:rPr>
      </w:pPr>
      <w:r>
        <w:rPr>
          <w:rFonts w:ascii="宋体" w:hAnsi="宋体" w:cs="宋体" w:eastAsia="宋体" w:hint="default"/>
          <w:spacing w:val="1"/>
          <w:w w:val="99"/>
          <w:sz w:val="16"/>
          <w:szCs w:val="16"/>
        </w:rPr>
        <w:t>整基金”）完成协议转让的</w:t>
      </w:r>
      <w:r>
        <w:rPr>
          <w:rFonts w:ascii="宋体" w:hAnsi="宋体" w:cs="宋体" w:eastAsia="宋体" w:hint="default"/>
          <w:spacing w:val="-33"/>
          <w:w w:val="99"/>
          <w:sz w:val="16"/>
          <w:szCs w:val="16"/>
        </w:rPr>
        <w:t> </w:t>
      </w:r>
      <w:r>
        <w:rPr>
          <w:rFonts w:ascii="宋体" w:hAnsi="宋体" w:cs="宋体" w:eastAsia="宋体" w:hint="default"/>
          <w:spacing w:val="-1"/>
          <w:w w:val="98"/>
          <w:sz w:val="16"/>
          <w:szCs w:val="16"/>
        </w:rPr>
        <w:t>1,899,764,201</w:t>
      </w:r>
      <w:r>
        <w:rPr>
          <w:rFonts w:ascii="宋体" w:hAnsi="宋体" w:cs="宋体" w:eastAsia="宋体" w:hint="default"/>
          <w:spacing w:val="-31"/>
          <w:w w:val="98"/>
          <w:sz w:val="16"/>
          <w:szCs w:val="16"/>
        </w:rPr>
        <w:t> </w:t>
      </w:r>
      <w:r>
        <w:rPr>
          <w:rFonts w:ascii="宋体" w:hAnsi="宋体" w:cs="宋体" w:eastAsia="宋体" w:hint="default"/>
          <w:spacing w:val="1"/>
          <w:sz w:val="16"/>
          <w:szCs w:val="16"/>
        </w:rPr>
        <w:t>股本公司股份。根据双方《股份转让协议》相关约定，自交割日起</w:t>
      </w:r>
      <w:r>
        <w:rPr>
          <w:rFonts w:ascii="宋体" w:hAnsi="宋体" w:cs="宋体" w:eastAsia="宋体" w:hint="default"/>
          <w:spacing w:val="-33"/>
          <w:sz w:val="16"/>
          <w:szCs w:val="16"/>
        </w:rPr>
        <w:t> </w:t>
      </w:r>
      <w:r>
        <w:rPr>
          <w:rFonts w:ascii="宋体" w:hAnsi="宋体" w:cs="宋体" w:eastAsia="宋体" w:hint="default"/>
          <w:spacing w:val="-1"/>
          <w:w w:val="110"/>
          <w:sz w:val="16"/>
          <w:szCs w:val="16"/>
        </w:rPr>
        <w:t>36</w:t>
      </w:r>
      <w:r>
        <w:rPr>
          <w:rFonts w:ascii="宋体" w:hAnsi="宋体" w:cs="宋体" w:eastAsia="宋体" w:hint="default"/>
          <w:spacing w:val="-42"/>
          <w:w w:val="110"/>
          <w:sz w:val="16"/>
          <w:szCs w:val="16"/>
        </w:rPr>
        <w:t> </w:t>
      </w:r>
      <w:r>
        <w:rPr>
          <w:rFonts w:ascii="宋体" w:hAnsi="宋体" w:cs="宋体" w:eastAsia="宋体" w:hint="default"/>
          <w:spacing w:val="1"/>
          <w:sz w:val="16"/>
          <w:szCs w:val="16"/>
        </w:rPr>
        <w:t>个月内，结构调整</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z w:val="16"/>
          <w:szCs w:val="16"/>
        </w:rPr>
        <w:t>基金不得直接或间接转让此次协议转让股份。</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even" r:id="rId160"/>
          <w:footerReference w:type="even" r:id="rId161"/>
          <w:pgSz w:w="11910" w:h="16160"/>
          <w:pgMar w:header="0" w:footer="0" w:top="0" w:bottom="0" w:left="0" w:right="1320"/>
        </w:sectPr>
      </w:pPr>
    </w:p>
    <w:p>
      <w:pPr>
        <w:spacing w:line="240" w:lineRule="auto" w:before="11"/>
        <w:rPr>
          <w:rFonts w:ascii="宋体" w:hAnsi="宋体" w:cs="宋体" w:eastAsia="宋体" w:hint="default"/>
          <w:sz w:val="17"/>
          <w:szCs w:val="17"/>
        </w:rPr>
      </w:pPr>
      <w:r>
        <w:rPr/>
        <w:pict>
          <v:group style="position:absolute;margin-left:-.335501pt;margin-top:.000006pt;width:595.65pt;height:807.9pt;mso-position-horizontal-relative:page;mso-position-vertical-relative:page;z-index:-965848" coordorigin="-7,0" coordsize="11913,16158">
            <v:shape style="position:absolute;left:5046;top:11604;width:188;height:188" type="#_x0000_t75" stroked="false">
              <v:imagedata r:id="rId75" o:title=""/>
            </v:shape>
            <v:group style="position:absolute;left:4959;top:0;width:6947;height:16158" coordorigin="4959,0" coordsize="6947,16158">
              <v:shape style="position:absolute;left:4959;top:0;width:6947;height:16158" coordorigin="4959,0" coordsize="6947,16158" path="m11906,16157l4959,16157,11402,0,11906,0,11906,16157xe" filled="true" fillcolor="#9c8758" stroked="false">
                <v:path arrowok="t"/>
                <v:fill type="solid"/>
              </v:shape>
            </v:group>
            <v:group style="position:absolute;left:5269;top:0;width:6637;height:16158" coordorigin="5269,0" coordsize="6637,16158">
              <v:shape style="position:absolute;left:5269;top:0;width:6637;height:16158" coordorigin="5269,0" coordsize="6637,16158" path="m11906,16157l5269,16157,11711,0,11906,0,11906,16157xe" filled="true" fillcolor="#d7000f" stroked="false">
                <v:path arrowok="t"/>
                <v:fill type="solid"/>
              </v:shape>
              <v:shape style="position:absolute;left:10345;top:13606;width:143;height:143" type="#_x0000_t75" stroked="false">
                <v:imagedata r:id="rId162" o:title=""/>
              </v:shape>
            </v:group>
            <v:group style="position:absolute;left:4740;top:13678;width:5682;height:2" coordorigin="4740,13678" coordsize="5682,2">
              <v:shape style="position:absolute;left:4740;top:13678;width:5682;height:2" coordorigin="4740,13678" coordsize="5682,0" path="m10421,13678l4740,13678e" filled="false" stroked="true" strokeweight=".671pt" strokecolor="#000000">
                <v:path arrowok="t"/>
              </v:shape>
            </v:group>
            <v:group style="position:absolute;left:0;top:13861;width:2445;height:2297" coordorigin="0,13861" coordsize="2445,2297">
              <v:shape style="position:absolute;left:0;top:13861;width:2445;height:2297" coordorigin="0,13861" coordsize="2445,2297" path="m1529,16157l0,16157,0,13861,2445,13861,1529,16157xe" filled="true" fillcolor="#8e9090" stroked="false">
                <v:path arrowok="t"/>
                <v:fill type="solid"/>
              </v:shape>
              <v:shape style="position:absolute;left:1127;top:15164;width:143;height:143" type="#_x0000_t75" stroked="false">
                <v:imagedata r:id="rId162" o:title=""/>
              </v:shape>
            </v:group>
            <v:group style="position:absolute;left:0;top:15236;width:1203;height:2" coordorigin="0,15236" coordsize="1203,2">
              <v:shape style="position:absolute;left:0;top:15236;width:1203;height:2" coordorigin="0,15236" coordsize="1203,0" path="m1203,15236l0,15236e" filled="false" stroked="true" strokeweight=".671pt" strokecolor="#000000">
                <v:path arrowok="t"/>
              </v:shape>
            </v:group>
            <v:group style="position:absolute;left:0;top:7172;width:11906;height:7597" coordorigin="0,7172" coordsize="11906,7597">
              <v:shape style="position:absolute;left:0;top:7172;width:11906;height:7597" coordorigin="0,7172" coordsize="11906,7597" path="m10750,14769l0,14769,0,9001,591,7172,11906,7172,11906,11192,10750,14769xe" filled="true" fillcolor="#8e9090" stroked="false">
                <v:path arrowok="t"/>
                <v:fill type="solid"/>
              </v:shape>
            </v:group>
            <v:group style="position:absolute;left:8306;top:5315;width:3600;height:9029" coordorigin="8306,5315" coordsize="3600,9029">
              <v:shape style="position:absolute;left:8306;top:5315;width:3600;height:9029" coordorigin="8306,5315" coordsize="3600,9029" path="m11906,14343l8306,14343,11906,5315,11906,14343xe" filled="true" fillcolor="#ffffff" stroked="false">
                <v:path arrowok="t"/>
                <v:fill type="solid"/>
              </v:shape>
            </v:group>
            <v:group style="position:absolute;left:3197;top:10636;width:2220;height:2" coordorigin="3197,10636" coordsize="2220,2">
              <v:shape style="position:absolute;left:3197;top:10636;width:2220;height:2" coordorigin="3197,10636" coordsize="2220,0" path="m3197,10636l5417,10636e" filled="false" stroked="true" strokeweight=".5pt" strokecolor="#000000">
                <v:path arrowok="t"/>
              </v:shape>
            </v:group>
            <v:group style="position:absolute;left:5417;top:10636;width:3005;height:2" coordorigin="5417,10636" coordsize="3005,2">
              <v:shape style="position:absolute;left:5417;top:10636;width:3005;height:2" coordorigin="5417,10636" coordsize="3005,0" path="m5417,10636l8422,10636e" filled="false" stroked="true" strokeweight=".5pt" strokecolor="#000000">
                <v:path arrowok="t"/>
              </v:shape>
            </v:group>
            <v:group style="position:absolute;left:8422;top:10636;width:2058;height:2" coordorigin="8422,10636" coordsize="2058,2">
              <v:shape style="position:absolute;left:8422;top:10636;width:2058;height:2" coordorigin="8422,10636" coordsize="2058,0" path="m8422,10636l10480,10636e" filled="false" stroked="true" strokeweight=".5pt" strokecolor="#000000">
                <v:path arrowok="t"/>
              </v:shape>
            </v:group>
            <v:group style="position:absolute;left:1191;top:11996;width:2007;height:2" coordorigin="1191,11996" coordsize="2007,2">
              <v:shape style="position:absolute;left:1191;top:11996;width:2007;height:2" coordorigin="1191,11996" coordsize="2007,0" path="m1191,11996l3197,11996e" filled="false" stroked="true" strokeweight=".5pt" strokecolor="#000000">
                <v:path arrowok="t"/>
              </v:shape>
            </v:group>
            <v:group style="position:absolute;left:3197;top:11996;width:1494;height:2" coordorigin="3197,11996" coordsize="1494,2">
              <v:shape style="position:absolute;left:3197;top:11996;width:1494;height:2" coordorigin="3197,11996" coordsize="1494,0" path="m3197,11996l4691,11996e" filled="false" stroked="true" strokeweight=".5pt" strokecolor="#000000">
                <v:path arrowok="t"/>
              </v:shape>
            </v:group>
            <v:group style="position:absolute;left:4691;top:11996;width:726;height:2" coordorigin="4691,11996" coordsize="726,2">
              <v:shape style="position:absolute;left:4691;top:11996;width:726;height:2" coordorigin="4691,11996" coordsize="726,0" path="m4691,11996l5417,11996e" filled="false" stroked="true" strokeweight=".5pt" strokecolor="#000000">
                <v:path arrowok="t"/>
              </v:shape>
            </v:group>
            <v:group style="position:absolute;left:5417;top:11996;width:1191;height:2" coordorigin="5417,11996" coordsize="1191,2">
              <v:shape style="position:absolute;left:5417;top:11996;width:1191;height:2" coordorigin="5417,11996" coordsize="1191,0" path="m5417,11996l6608,11996e" filled="false" stroked="true" strokeweight=".5pt" strokecolor="#000000">
                <v:path arrowok="t"/>
              </v:shape>
            </v:group>
            <v:group style="position:absolute;left:6608;top:11996;width:624;height:2" coordorigin="6608,11996" coordsize="624,2">
              <v:shape style="position:absolute;left:6608;top:11996;width:624;height:2" coordorigin="6608,11996" coordsize="624,0" path="m6608,11996l7231,11996e" filled="false" stroked="true" strokeweight=".5pt" strokecolor="#000000">
                <v:path arrowok="t"/>
              </v:shape>
            </v:group>
            <v:group style="position:absolute;left:7231;top:11996;width:1191;height:2" coordorigin="7231,11996" coordsize="1191,2">
              <v:shape style="position:absolute;left:7231;top:11996;width:1191;height:2" coordorigin="7231,11996" coordsize="1191,0" path="m7231,11996l8422,11996e" filled="false" stroked="true" strokeweight=".5pt" strokecolor="#000000">
                <v:path arrowok="t"/>
              </v:shape>
            </v:group>
            <v:group style="position:absolute;left:8422;top:11996;width:1378;height:2" coordorigin="8422,11996" coordsize="1378,2">
              <v:shape style="position:absolute;left:8422;top:11996;width:1378;height:2" coordorigin="8422,11996" coordsize="1378,0" path="m8422,11996l9799,11996e" filled="false" stroked="true" strokeweight=".5pt" strokecolor="#000000">
                <v:path arrowok="t"/>
              </v:shape>
            </v:group>
            <v:group style="position:absolute;left:9799;top:11996;width:681;height:2" coordorigin="9799,11996" coordsize="681,2">
              <v:shape style="position:absolute;left:9799;top:11996;width:681;height:2" coordorigin="9799,11996" coordsize="681,0" path="m9799,11996l10480,11996e" filled="false" stroked="true" strokeweight=".5pt" strokecolor="#000000">
                <v:path arrowok="t"/>
              </v:shape>
            </v:group>
            <w10:wrap type="none"/>
          </v:group>
        </w:pict>
      </w:r>
    </w:p>
    <w:p>
      <w:pPr>
        <w:tabs>
          <w:tab w:pos="5410" w:val="left" w:leader="none"/>
        </w:tabs>
        <w:spacing w:before="0"/>
        <w:ind w:left="814" w:right="0" w:firstLine="0"/>
        <w:jc w:val="left"/>
        <w:rPr>
          <w:rFonts w:ascii="宋体" w:hAnsi="宋体" w:cs="宋体" w:eastAsia="宋体" w:hint="default"/>
          <w:sz w:val="16"/>
          <w:szCs w:val="16"/>
        </w:rPr>
      </w:pPr>
      <w:r>
        <w:rPr>
          <w:rFonts w:ascii="Arial" w:hAnsi="Arial" w:cs="Arial" w:eastAsia="Arial" w:hint="default"/>
          <w:b/>
          <w:bCs/>
          <w:color w:val="9C8758"/>
          <w:spacing w:val="-1"/>
          <w:position w:val="2"/>
          <w:sz w:val="16"/>
          <w:szCs w:val="16"/>
        </w:rPr>
        <w:t>46</w:t>
        <w:tab/>
      </w:r>
      <w:r>
        <w:rPr>
          <w:rFonts w:ascii="宋体" w:hAnsi="宋体" w:cs="宋体" w:eastAsia="宋体" w:hint="default"/>
          <w:color w:val="595757"/>
          <w:spacing w:val="25"/>
          <w:sz w:val="16"/>
          <w:szCs w:val="16"/>
        </w:rPr>
        <w:t>普通股股份变动及股东情况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line="240" w:lineRule="auto" w:before="5"/>
        <w:rPr>
          <w:rFonts w:ascii="宋体" w:hAnsi="宋体" w:cs="宋体" w:eastAsia="宋体" w:hint="default"/>
          <w:sz w:val="18"/>
          <w:szCs w:val="18"/>
        </w:rPr>
      </w:pPr>
      <w:r>
        <w:rPr/>
        <w:br w:type="column"/>
      </w:r>
      <w:r>
        <w:rPr>
          <w:rFonts w:ascii="宋体"/>
          <w:sz w:val="18"/>
        </w:rPr>
      </w:r>
    </w:p>
    <w:p>
      <w:pPr>
        <w:spacing w:before="0"/>
        <w:ind w:left="266"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1320"/>
          <w:cols w:num="2" w:equalWidth="0">
            <w:col w:w="7677" w:space="40"/>
            <w:col w:w="2873"/>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9"/>
          <w:szCs w:val="29"/>
        </w:rPr>
      </w:pPr>
    </w:p>
    <w:p>
      <w:pPr>
        <w:pStyle w:val="BodyText"/>
        <w:spacing w:line="400" w:lineRule="auto" w:before="31"/>
        <w:ind w:left="457" w:right="828"/>
        <w:jc w:val="left"/>
        <w:rPr>
          <w:rFonts w:ascii="宋体" w:hAnsi="宋体" w:cs="宋体" w:eastAsia="宋体" w:hint="default"/>
        </w:rPr>
      </w:pPr>
      <w:r>
        <w:rPr>
          <w:rFonts w:ascii="宋体" w:hAnsi="宋体" w:cs="宋体" w:eastAsia="宋体" w:hint="default"/>
          <w:color w:val="D7000F"/>
        </w:rPr>
        <w:t>2、普通股股份变动情况说明</w:t>
      </w:r>
      <w:r>
        <w:rPr>
          <w:rFonts w:ascii="宋体" w:hAnsi="宋体" w:cs="宋体" w:eastAsia="宋体" w:hint="default"/>
          <w:color w:val="D7000F"/>
          <w:spacing w:val="-81"/>
        </w:rPr>
        <w:t> </w:t>
      </w:r>
      <w:r>
        <w:rPr>
          <w:rFonts w:ascii="宋体" w:hAnsi="宋体" w:cs="宋体" w:eastAsia="宋体" w:hint="default"/>
        </w:rPr>
        <w:t>报告期内，公司推进混合所有制改革，建立限制性股票员工激励计划，努力实现股东、公司、员工利益一致。</w:t>
      </w:r>
    </w:p>
    <w:p>
      <w:pPr>
        <w:pStyle w:val="BodyText"/>
        <w:spacing w:line="240" w:lineRule="auto" w:before="37"/>
        <w:ind w:left="457" w:right="87"/>
        <w:jc w:val="left"/>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16"/>
        </w:rPr>
        <w:t> </w:t>
      </w:r>
      <w:r>
        <w:rPr>
          <w:rFonts w:ascii="宋体" w:hAnsi="宋体" w:cs="宋体" w:eastAsia="宋体" w:hint="default"/>
        </w:rPr>
        <w:t>年</w:t>
      </w:r>
      <w:r>
        <w:rPr>
          <w:rFonts w:ascii="宋体" w:hAnsi="宋体" w:cs="宋体" w:eastAsia="宋体" w:hint="default"/>
          <w:spacing w:val="-16"/>
        </w:rPr>
        <w:t> </w:t>
      </w:r>
      <w:r>
        <w:rPr>
          <w:rFonts w:ascii="宋体" w:hAnsi="宋体" w:cs="宋体" w:eastAsia="宋体" w:hint="default"/>
        </w:rPr>
        <w:t>3</w:t>
      </w:r>
      <w:r>
        <w:rPr>
          <w:rFonts w:ascii="宋体" w:hAnsi="宋体" w:cs="宋体" w:eastAsia="宋体" w:hint="default"/>
          <w:spacing w:val="-16"/>
        </w:rPr>
        <w:t> </w:t>
      </w:r>
      <w:r>
        <w:rPr>
          <w:rFonts w:ascii="宋体" w:hAnsi="宋体" w:cs="宋体" w:eastAsia="宋体" w:hint="default"/>
        </w:rPr>
        <w:t>月</w:t>
      </w:r>
      <w:r>
        <w:rPr>
          <w:rFonts w:ascii="宋体" w:hAnsi="宋体" w:cs="宋体" w:eastAsia="宋体" w:hint="default"/>
          <w:spacing w:val="-16"/>
        </w:rPr>
        <w:t> </w:t>
      </w:r>
      <w:r>
        <w:rPr>
          <w:rFonts w:ascii="宋体" w:hAnsi="宋体" w:cs="宋体" w:eastAsia="宋体" w:hint="default"/>
        </w:rPr>
        <w:t>15</w:t>
      </w:r>
      <w:r>
        <w:rPr>
          <w:rFonts w:ascii="宋体" w:hAnsi="宋体" w:cs="宋体" w:eastAsia="宋体" w:hint="default"/>
          <w:spacing w:val="-16"/>
        </w:rPr>
        <w:t> </w:t>
      </w:r>
      <w:r>
        <w:rPr>
          <w:rFonts w:ascii="宋体" w:hAnsi="宋体" w:cs="宋体" w:eastAsia="宋体" w:hint="default"/>
        </w:rPr>
        <w:t>日，公司第六届董事会第二次会议审议通过了《关于公司限制性股票激励计划首期授予方案实施授予</w:t>
      </w:r>
    </w:p>
    <w:p>
      <w:pPr>
        <w:pStyle w:val="BodyText"/>
        <w:spacing w:line="285" w:lineRule="auto" w:before="44"/>
        <w:ind w:left="457" w:right="86"/>
        <w:jc w:val="left"/>
        <w:rPr>
          <w:rFonts w:ascii="宋体" w:hAnsi="宋体" w:cs="宋体" w:eastAsia="宋体" w:hint="default"/>
        </w:rPr>
      </w:pPr>
      <w:r>
        <w:rPr>
          <w:rFonts w:ascii="宋体" w:hAnsi="宋体" w:cs="宋体" w:eastAsia="宋体" w:hint="default"/>
          <w:spacing w:val="1"/>
          <w:w w:val="103"/>
        </w:rPr>
        <w:t>相关事项的议案》。2018</w:t>
      </w:r>
      <w:r>
        <w:rPr>
          <w:rFonts w:ascii="宋体" w:hAnsi="宋体" w:cs="宋体" w:eastAsia="宋体" w:hint="default"/>
          <w:spacing w:val="-49"/>
          <w:w w:val="103"/>
        </w:rPr>
        <w:t> </w:t>
      </w:r>
      <w:r>
        <w:rPr>
          <w:rFonts w:ascii="宋体" w:hAnsi="宋体" w:cs="宋体" w:eastAsia="宋体" w:hint="default"/>
        </w:rPr>
        <w:t>年</w:t>
      </w:r>
      <w:r>
        <w:rPr>
          <w:rFonts w:ascii="宋体" w:hAnsi="宋体" w:cs="宋体" w:eastAsia="宋体" w:hint="default"/>
          <w:spacing w:val="-46"/>
        </w:rPr>
        <w:t> </w:t>
      </w:r>
      <w:r>
        <w:rPr>
          <w:rFonts w:ascii="宋体" w:hAnsi="宋体" w:cs="宋体" w:eastAsia="宋体" w:hint="default"/>
          <w:w w:val="111"/>
        </w:rPr>
        <w:t>4</w:t>
      </w:r>
      <w:r>
        <w:rPr>
          <w:rFonts w:ascii="宋体" w:hAnsi="宋体" w:cs="宋体" w:eastAsia="宋体" w:hint="default"/>
          <w:spacing w:val="-55"/>
          <w:w w:val="111"/>
        </w:rPr>
        <w:t> </w:t>
      </w:r>
      <w:r>
        <w:rPr>
          <w:rFonts w:ascii="宋体" w:hAnsi="宋体" w:cs="宋体" w:eastAsia="宋体" w:hint="default"/>
          <w:spacing w:val="2"/>
        </w:rPr>
        <w:t>月，公司限制性股票激励计划首次授予工作登记完成，授予数量为</w:t>
      </w:r>
      <w:r>
        <w:rPr>
          <w:rFonts w:ascii="宋体" w:hAnsi="宋体" w:cs="宋体" w:eastAsia="宋体" w:hint="default"/>
          <w:spacing w:val="-46"/>
        </w:rPr>
        <w:t> </w:t>
      </w:r>
      <w:r>
        <w:rPr>
          <w:rFonts w:ascii="宋体" w:hAnsi="宋体" w:cs="宋体" w:eastAsia="宋体" w:hint="default"/>
          <w:spacing w:val="-1"/>
          <w:w w:val="97"/>
        </w:rPr>
        <w:t>79,386.1</w:t>
      </w:r>
      <w:r>
        <w:rPr>
          <w:rFonts w:ascii="宋体" w:hAnsi="宋体" w:cs="宋体" w:eastAsia="宋体" w:hint="default"/>
          <w:spacing w:val="-43"/>
          <w:w w:val="97"/>
        </w:rPr>
        <w:t> </w:t>
      </w:r>
      <w:r>
        <w:rPr>
          <w:rFonts w:ascii="宋体" w:hAnsi="宋体" w:cs="宋体" w:eastAsia="宋体" w:hint="default"/>
          <w:spacing w:val="2"/>
        </w:rPr>
        <w:t>万股，授</w:t>
      </w:r>
      <w:r>
        <w:rPr>
          <w:rFonts w:ascii="宋体" w:hAnsi="宋体" w:cs="宋体" w:eastAsia="宋体" w:hint="default"/>
          <w:spacing w:val="3"/>
        </w:rPr>
        <w:t> </w:t>
      </w:r>
      <w:r>
        <w:rPr>
          <w:rFonts w:ascii="宋体" w:hAnsi="宋体" w:cs="宋体" w:eastAsia="宋体" w:hint="default"/>
        </w:rPr>
        <w:t>予人数为</w:t>
      </w:r>
      <w:r>
        <w:rPr>
          <w:rFonts w:ascii="宋体" w:hAnsi="宋体" w:cs="宋体" w:eastAsia="宋体" w:hint="default"/>
          <w:spacing w:val="-55"/>
        </w:rPr>
        <w:t> </w:t>
      </w:r>
      <w:r>
        <w:rPr>
          <w:rFonts w:ascii="宋体" w:hAnsi="宋体" w:cs="宋体" w:eastAsia="宋体" w:hint="default"/>
        </w:rPr>
        <w:t>7,752</w:t>
      </w:r>
      <w:r>
        <w:rPr>
          <w:rFonts w:ascii="宋体" w:hAnsi="宋体" w:cs="宋体" w:eastAsia="宋体" w:hint="default"/>
          <w:spacing w:val="-55"/>
        </w:rPr>
        <w:t> </w:t>
      </w:r>
      <w:r>
        <w:rPr>
          <w:rFonts w:ascii="宋体" w:hAnsi="宋体" w:cs="宋体" w:eastAsia="宋体" w:hint="default"/>
          <w:spacing w:val="-3"/>
        </w:rPr>
        <w:t>人（包括公司中高层管理人员以及对公司经营业绩和持续发展有直接影响的核心管理人才及专业人才），</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授予价格为</w:t>
      </w:r>
      <w:r>
        <w:rPr>
          <w:rFonts w:ascii="宋体" w:hAnsi="宋体" w:cs="宋体" w:eastAsia="宋体" w:hint="default"/>
          <w:spacing w:val="-41"/>
        </w:rPr>
        <w:t> </w:t>
      </w:r>
      <w:r>
        <w:rPr>
          <w:rFonts w:ascii="宋体" w:hAnsi="宋体" w:cs="宋体" w:eastAsia="宋体" w:hint="default"/>
          <w:spacing w:val="-1"/>
          <w:w w:val="97"/>
        </w:rPr>
        <w:t>3.79</w:t>
      </w:r>
      <w:r>
        <w:rPr>
          <w:rFonts w:ascii="宋体" w:hAnsi="宋体" w:cs="宋体" w:eastAsia="宋体" w:hint="default"/>
          <w:spacing w:val="-38"/>
          <w:w w:val="97"/>
        </w:rPr>
        <w:t> </w:t>
      </w:r>
      <w:r>
        <w:rPr>
          <w:rFonts w:ascii="宋体" w:hAnsi="宋体" w:cs="宋体" w:eastAsia="宋体" w:hint="default"/>
        </w:rPr>
        <w:t>元人民币</w:t>
      </w:r>
      <w:r>
        <w:rPr>
          <w:rFonts w:ascii="宋体" w:hAnsi="宋体" w:cs="宋体" w:eastAsia="宋体" w:hint="default"/>
          <w:spacing w:val="-41"/>
        </w:rPr>
        <w:t> </w:t>
      </w:r>
      <w:r>
        <w:rPr>
          <w:rFonts w:ascii="宋体" w:hAnsi="宋体" w:cs="宋体" w:eastAsia="宋体" w:hint="default"/>
          <w:w w:val="55"/>
        </w:rPr>
        <w:t>/ </w:t>
      </w:r>
      <w:r>
        <w:rPr>
          <w:rFonts w:ascii="宋体" w:hAnsi="宋体" w:cs="宋体" w:eastAsia="宋体" w:hint="default"/>
        </w:rPr>
        <w:t>股，股票来源为公司向激励对象定向发行的公司</w:t>
      </w:r>
      <w:r>
        <w:rPr>
          <w:rFonts w:ascii="宋体" w:hAnsi="宋体" w:cs="宋体" w:eastAsia="宋体" w:hint="default"/>
          <w:spacing w:val="-41"/>
        </w:rPr>
        <w:t> </w:t>
      </w:r>
      <w:r>
        <w:rPr>
          <w:rFonts w:ascii="宋体" w:hAnsi="宋体" w:cs="宋体" w:eastAsia="宋体" w:hint="default"/>
          <w:w w:val="132"/>
        </w:rPr>
        <w:t>A</w:t>
      </w:r>
      <w:r>
        <w:rPr>
          <w:rFonts w:ascii="宋体" w:hAnsi="宋体" w:cs="宋体" w:eastAsia="宋体" w:hint="default"/>
          <w:spacing w:val="-70"/>
          <w:w w:val="132"/>
        </w:rPr>
        <w:t> </w:t>
      </w:r>
      <w:r>
        <w:rPr>
          <w:rFonts w:ascii="宋体" w:hAnsi="宋体" w:cs="宋体" w:eastAsia="宋体" w:hint="default"/>
        </w:rPr>
        <w:t>股普通股股票。该次登记完成后，公司</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rPr>
        <w:t>注册资本变更为</w:t>
      </w:r>
      <w:r>
        <w:rPr>
          <w:rFonts w:ascii="宋体" w:hAnsi="宋体" w:cs="宋体" w:eastAsia="宋体" w:hint="default"/>
          <w:spacing w:val="-51"/>
        </w:rPr>
        <w:t> </w:t>
      </w:r>
      <w:r>
        <w:rPr>
          <w:rFonts w:ascii="宋体" w:hAnsi="宋体" w:cs="宋体" w:eastAsia="宋体" w:hint="default"/>
        </w:rPr>
        <w:t>31,027,811,687</w:t>
      </w:r>
      <w:r>
        <w:rPr>
          <w:rFonts w:ascii="宋体" w:hAnsi="宋体" w:cs="宋体" w:eastAsia="宋体" w:hint="default"/>
          <w:spacing w:val="-52"/>
        </w:rPr>
        <w:t> </w:t>
      </w:r>
      <w:r>
        <w:rPr>
          <w:rFonts w:ascii="宋体" w:hAnsi="宋体" w:cs="宋体" w:eastAsia="宋体" w:hint="default"/>
        </w:rPr>
        <w:t>元人民币，总股本变更为</w:t>
      </w:r>
      <w:r>
        <w:rPr>
          <w:rFonts w:ascii="宋体" w:hAnsi="宋体" w:cs="宋体" w:eastAsia="宋体" w:hint="default"/>
          <w:spacing w:val="-51"/>
        </w:rPr>
        <w:t> </w:t>
      </w:r>
      <w:r>
        <w:rPr>
          <w:rFonts w:ascii="宋体" w:hAnsi="宋体" w:cs="宋体" w:eastAsia="宋体" w:hint="default"/>
        </w:rPr>
        <w:t>31,027,811,687</w:t>
      </w:r>
      <w:r>
        <w:rPr>
          <w:rFonts w:ascii="宋体" w:hAnsi="宋体" w:cs="宋体" w:eastAsia="宋体" w:hint="default"/>
          <w:spacing w:val="-52"/>
        </w:rPr>
        <w:t> </w:t>
      </w:r>
      <w:r>
        <w:rPr>
          <w:rFonts w:ascii="宋体" w:hAnsi="宋体" w:cs="宋体" w:eastAsia="宋体" w:hint="default"/>
        </w:rPr>
        <w:t>股。</w:t>
      </w:r>
    </w:p>
    <w:p>
      <w:pPr>
        <w:pStyle w:val="BodyText"/>
        <w:spacing w:line="285" w:lineRule="auto" w:before="123"/>
        <w:ind w:left="457" w:right="187"/>
        <w:jc w:val="both"/>
        <w:rPr>
          <w:rFonts w:ascii="宋体" w:hAnsi="宋体" w:cs="宋体" w:eastAsia="宋体" w:hint="default"/>
        </w:rPr>
      </w:pPr>
      <w:r>
        <w:rPr>
          <w:rFonts w:ascii="宋体" w:hAnsi="宋体" w:cs="宋体" w:eastAsia="宋体" w:hint="default"/>
        </w:rPr>
        <w:t>详情请见公司于</w:t>
      </w:r>
      <w:r>
        <w:rPr>
          <w:rFonts w:ascii="宋体" w:hAnsi="宋体" w:cs="宋体" w:eastAsia="宋体" w:hint="default"/>
          <w:spacing w:val="-30"/>
        </w:rPr>
        <w:t> </w:t>
      </w:r>
      <w:r>
        <w:rPr>
          <w:rFonts w:ascii="宋体" w:hAnsi="宋体" w:cs="宋体" w:eastAsia="宋体" w:hint="default"/>
        </w:rPr>
        <w:t>2018</w:t>
      </w:r>
      <w:r>
        <w:rPr>
          <w:rFonts w:ascii="宋体" w:hAnsi="宋体" w:cs="宋体" w:eastAsia="宋体" w:hint="default"/>
          <w:spacing w:val="-30"/>
        </w:rPr>
        <w:t> </w:t>
      </w:r>
      <w:r>
        <w:rPr>
          <w:rFonts w:ascii="宋体" w:hAnsi="宋体" w:cs="宋体" w:eastAsia="宋体" w:hint="default"/>
        </w:rPr>
        <w:t>年</w:t>
      </w:r>
      <w:r>
        <w:rPr>
          <w:rFonts w:ascii="宋体" w:hAnsi="宋体" w:cs="宋体" w:eastAsia="宋体" w:hint="default"/>
          <w:spacing w:val="-30"/>
        </w:rPr>
        <w:t> </w:t>
      </w:r>
      <w:r>
        <w:rPr>
          <w:rFonts w:ascii="宋体" w:hAnsi="宋体" w:cs="宋体" w:eastAsia="宋体" w:hint="default"/>
        </w:rPr>
        <w:t>4</w:t>
      </w:r>
      <w:r>
        <w:rPr>
          <w:rFonts w:ascii="宋体" w:hAnsi="宋体" w:cs="宋体" w:eastAsia="宋体" w:hint="default"/>
          <w:spacing w:val="-30"/>
        </w:rPr>
        <w:t> </w:t>
      </w:r>
      <w:r>
        <w:rPr>
          <w:rFonts w:ascii="宋体" w:hAnsi="宋体" w:cs="宋体" w:eastAsia="宋体" w:hint="default"/>
        </w:rPr>
        <w:t>月</w:t>
      </w:r>
      <w:r>
        <w:rPr>
          <w:rFonts w:ascii="宋体" w:hAnsi="宋体" w:cs="宋体" w:eastAsia="宋体" w:hint="default"/>
          <w:spacing w:val="-30"/>
        </w:rPr>
        <w:t> </w:t>
      </w:r>
      <w:r>
        <w:rPr>
          <w:rFonts w:ascii="宋体" w:hAnsi="宋体" w:cs="宋体" w:eastAsia="宋体" w:hint="default"/>
        </w:rPr>
        <w:t>11</w:t>
      </w:r>
      <w:r>
        <w:rPr>
          <w:rFonts w:ascii="宋体" w:hAnsi="宋体" w:cs="宋体" w:eastAsia="宋体" w:hint="default"/>
          <w:spacing w:val="-30"/>
        </w:rPr>
        <w:t> </w:t>
      </w:r>
      <w:r>
        <w:rPr>
          <w:rFonts w:ascii="宋体" w:hAnsi="宋体" w:cs="宋体" w:eastAsia="宋体" w:hint="default"/>
        </w:rPr>
        <w:t>日在《中国证券报》《上海证券报》《证券时报》、上海证券交易所网站及本公司网</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spacing w:val="2"/>
        </w:rPr>
        <w:t>站发布的《中国联合网络通信股份有限公司关于限制性股票激励计划首次授予登记完成的公告》（公告编号：2018-</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w w:val="105"/>
        </w:rPr>
        <w:t>034）。</w:t>
      </w:r>
      <w:r>
        <w:rPr>
          <w:rFonts w:ascii="宋体" w:hAnsi="宋体" w:cs="宋体" w:eastAsia="宋体" w:hint="default"/>
        </w:rPr>
      </w:r>
    </w:p>
    <w:p>
      <w:pPr>
        <w:pStyle w:val="BodyText"/>
        <w:spacing w:line="240" w:lineRule="auto" w:before="123"/>
        <w:ind w:left="457" w:right="87"/>
        <w:jc w:val="left"/>
        <w:rPr>
          <w:rFonts w:ascii="宋体" w:hAnsi="宋体" w:cs="宋体" w:eastAsia="宋体" w:hint="default"/>
        </w:rPr>
      </w:pPr>
      <w:r>
        <w:rPr>
          <w:rFonts w:ascii="宋体" w:hAnsi="宋体" w:cs="宋体" w:eastAsia="宋体" w:hint="default"/>
          <w:color w:val="D7000F"/>
        </w:rPr>
        <w:t>3、普通股股份变动对最近一年和最近一期每股收益、每股净资产等财务指标的影响（如有）</w:t>
      </w:r>
      <w:r>
        <w:rPr>
          <w:rFonts w:ascii="宋体" w:hAnsi="宋体" w:cs="宋体" w:eastAsia="宋体" w:hint="default"/>
        </w:rPr>
      </w: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5"/>
          <w:szCs w:val="25"/>
        </w:rPr>
      </w:pPr>
    </w:p>
    <w:p>
      <w:pPr>
        <w:tabs>
          <w:tab w:pos="5033" w:val="left" w:leader="none"/>
          <w:tab w:pos="5944" w:val="left" w:leader="none"/>
          <w:tab w:pos="8550" w:val="left" w:leader="none"/>
        </w:tabs>
        <w:spacing w:before="0"/>
        <w:ind w:left="542" w:right="87"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主要财务指标</w:t>
        <w:tab/>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w:t>
        <w:tab/>
        <w:t>还原回 2017</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年年末股数的指标</w:t>
        <w:tab/>
        <w:t>增加股数的影响</w:t>
      </w:r>
    </w:p>
    <w:p>
      <w:pPr>
        <w:spacing w:line="240" w:lineRule="auto" w:before="7"/>
        <w:rPr>
          <w:rFonts w:ascii="华文细黑" w:hAnsi="华文细黑" w:cs="华文细黑" w:eastAsia="华文细黑" w:hint="default"/>
          <w:sz w:val="10"/>
          <w:szCs w:val="10"/>
        </w:rPr>
      </w:pPr>
    </w:p>
    <w:p>
      <w:pPr>
        <w:tabs>
          <w:tab w:pos="5100" w:val="left" w:leader="none"/>
          <w:tab w:pos="7651" w:val="left" w:leader="none"/>
          <w:tab w:pos="9076" w:val="left" w:leader="none"/>
        </w:tabs>
        <w:spacing w:before="38"/>
        <w:ind w:left="542" w:right="87" w:firstLine="0"/>
        <w:jc w:val="left"/>
        <w:rPr>
          <w:rFonts w:ascii="宋体" w:hAnsi="宋体" w:cs="宋体" w:eastAsia="宋体" w:hint="default"/>
          <w:sz w:val="16"/>
          <w:szCs w:val="16"/>
        </w:rPr>
      </w:pPr>
      <w:r>
        <w:rPr>
          <w:rFonts w:ascii="宋体" w:hAnsi="宋体" w:cs="宋体" w:eastAsia="宋体" w:hint="default"/>
          <w:sz w:val="16"/>
          <w:szCs w:val="16"/>
        </w:rPr>
        <w:t>基本每股收益（元／股）</w:t>
        <w:tab/>
        <w:t>0.1321</w:t>
        <w:tab/>
        <w:t>0.1345</w:t>
        <w:tab/>
        <w:t>-0.0024</w:t>
      </w:r>
    </w:p>
    <w:p>
      <w:pPr>
        <w:tabs>
          <w:tab w:pos="5277" w:val="left" w:leader="none"/>
          <w:tab w:pos="7828" w:val="left" w:leader="none"/>
          <w:tab w:pos="9254" w:val="left" w:leader="none"/>
        </w:tabs>
        <w:spacing w:before="64"/>
        <w:ind w:left="542" w:right="87" w:firstLine="0"/>
        <w:jc w:val="left"/>
        <w:rPr>
          <w:rFonts w:ascii="宋体" w:hAnsi="宋体" w:cs="宋体" w:eastAsia="宋体" w:hint="default"/>
          <w:sz w:val="16"/>
          <w:szCs w:val="16"/>
        </w:rPr>
      </w:pPr>
      <w:r>
        <w:rPr>
          <w:rFonts w:ascii="宋体" w:hAnsi="宋体" w:cs="宋体" w:eastAsia="宋体" w:hint="default"/>
          <w:sz w:val="16"/>
          <w:szCs w:val="16"/>
        </w:rPr>
        <w:t>归属于上市公司股东的每股净资产（元／股）</w:t>
        <w:tab/>
      </w:r>
      <w:r>
        <w:rPr>
          <w:rFonts w:ascii="宋体" w:hAnsi="宋体" w:cs="宋体" w:eastAsia="宋体" w:hint="default"/>
          <w:w w:val="95"/>
          <w:sz w:val="16"/>
          <w:szCs w:val="16"/>
        </w:rPr>
        <w:t>4.52</w:t>
        <w:tab/>
        <w:t>4.64</w:t>
        <w:tab/>
      </w:r>
      <w:r>
        <w:rPr>
          <w:rFonts w:ascii="宋体" w:hAnsi="宋体" w:cs="宋体" w:eastAsia="宋体" w:hint="default"/>
          <w:sz w:val="16"/>
          <w:szCs w:val="16"/>
        </w:rPr>
        <w:t>-0.12</w:t>
      </w:r>
    </w:p>
    <w:p>
      <w:pPr>
        <w:spacing w:line="240" w:lineRule="auto" w:before="12"/>
        <w:rPr>
          <w:rFonts w:ascii="宋体" w:hAnsi="宋体" w:cs="宋体" w:eastAsia="宋体" w:hint="default"/>
          <w:sz w:val="25"/>
          <w:szCs w:val="25"/>
        </w:rPr>
      </w:pPr>
    </w:p>
    <w:p>
      <w:pPr>
        <w:spacing w:before="30"/>
        <w:ind w:left="117" w:right="87"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限售股份变动情况</w:t>
      </w:r>
    </w:p>
    <w:p>
      <w:pPr>
        <w:spacing w:after="0"/>
        <w:jc w:val="left"/>
        <w:rPr>
          <w:rFonts w:ascii="宋体" w:hAnsi="宋体" w:cs="宋体" w:eastAsia="宋体" w:hint="default"/>
          <w:sz w:val="17"/>
          <w:szCs w:val="17"/>
        </w:rPr>
        <w:sectPr>
          <w:headerReference w:type="default" r:id="rId163"/>
          <w:footerReference w:type="default" r:id="rId164"/>
          <w:pgSz w:w="11910" w:h="16160"/>
          <w:pgMar w:header="0" w:footer="0" w:top="1520" w:bottom="0" w:left="1300" w:right="66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before="120"/>
        <w:ind w:left="542" w:right="-2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股东名称</w:t>
      </w:r>
    </w:p>
    <w:p>
      <w:pPr>
        <w:spacing w:line="240" w:lineRule="auto" w:before="0"/>
        <w:rPr>
          <w:rFonts w:ascii="华文细黑" w:hAnsi="华文细黑" w:cs="华文细黑" w:eastAsia="华文细黑" w:hint="default"/>
          <w:sz w:val="16"/>
          <w:szCs w:val="16"/>
        </w:rPr>
      </w:pPr>
    </w:p>
    <w:p>
      <w:pPr>
        <w:spacing w:line="240" w:lineRule="auto" w:before="0"/>
        <w:rPr>
          <w:rFonts w:ascii="华文细黑" w:hAnsi="华文细黑" w:cs="华文细黑" w:eastAsia="华文细黑" w:hint="default"/>
          <w:sz w:val="16"/>
          <w:szCs w:val="16"/>
        </w:rPr>
      </w:pPr>
    </w:p>
    <w:p>
      <w:pPr>
        <w:spacing w:line="240" w:lineRule="auto" w:before="0"/>
        <w:rPr>
          <w:rFonts w:ascii="华文细黑" w:hAnsi="华文细黑" w:cs="华文细黑" w:eastAsia="华文细黑" w:hint="default"/>
          <w:sz w:val="16"/>
          <w:szCs w:val="16"/>
        </w:rPr>
      </w:pPr>
    </w:p>
    <w:p>
      <w:pPr>
        <w:spacing w:line="240" w:lineRule="auto" w:before="0"/>
        <w:rPr>
          <w:rFonts w:ascii="华文细黑" w:hAnsi="华文细黑" w:cs="华文细黑" w:eastAsia="华文细黑" w:hint="default"/>
          <w:sz w:val="16"/>
          <w:szCs w:val="16"/>
        </w:rPr>
      </w:pPr>
    </w:p>
    <w:p>
      <w:pPr>
        <w:spacing w:line="240" w:lineRule="auto" w:before="0"/>
        <w:rPr>
          <w:rFonts w:ascii="华文细黑" w:hAnsi="华文细黑" w:cs="华文细黑" w:eastAsia="华文细黑" w:hint="default"/>
          <w:sz w:val="16"/>
          <w:szCs w:val="16"/>
        </w:rPr>
      </w:pPr>
    </w:p>
    <w:p>
      <w:pPr>
        <w:spacing w:line="240" w:lineRule="auto" w:before="2"/>
        <w:rPr>
          <w:rFonts w:ascii="华文细黑" w:hAnsi="华文细黑" w:cs="华文细黑" w:eastAsia="华文细黑" w:hint="default"/>
          <w:sz w:val="11"/>
          <w:szCs w:val="11"/>
        </w:rPr>
      </w:pPr>
    </w:p>
    <w:p>
      <w:pPr>
        <w:spacing w:line="161" w:lineRule="exact" w:before="0"/>
        <w:ind w:left="542" w:right="-20" w:firstLine="0"/>
        <w:jc w:val="left"/>
        <w:rPr>
          <w:rFonts w:ascii="宋体" w:hAnsi="宋体" w:cs="宋体" w:eastAsia="宋体" w:hint="default"/>
          <w:sz w:val="16"/>
          <w:szCs w:val="16"/>
        </w:rPr>
      </w:pPr>
      <w:r>
        <w:rPr>
          <w:rFonts w:ascii="宋体" w:hAnsi="宋体" w:cs="宋体" w:eastAsia="宋体" w:hint="default"/>
          <w:sz w:val="16"/>
          <w:szCs w:val="16"/>
        </w:rPr>
        <w:t>限制性股票</w:t>
      </w:r>
    </w:p>
    <w:p>
      <w:pPr>
        <w:spacing w:line="240" w:lineRule="auto" w:before="0"/>
        <w:rPr>
          <w:rFonts w:ascii="宋体" w:hAnsi="宋体" w:cs="宋体" w:eastAsia="宋体" w:hint="default"/>
          <w:sz w:val="16"/>
          <w:szCs w:val="16"/>
        </w:rPr>
      </w:pPr>
      <w:r>
        <w:rPr/>
        <w:br w:type="column"/>
      </w:r>
      <w:r>
        <w:rPr>
          <w:rFonts w:ascii="宋体"/>
          <w:sz w:val="16"/>
        </w:rPr>
      </w:r>
    </w:p>
    <w:p>
      <w:pPr>
        <w:tabs>
          <w:tab w:pos="703" w:val="left" w:leader="none"/>
        </w:tabs>
        <w:spacing w:line="213" w:lineRule="exact" w:before="139"/>
        <w:ind w:left="183" w:right="-19"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年初</w:t>
        <w:tab/>
        <w:t>本年解</w:t>
      </w:r>
    </w:p>
    <w:p>
      <w:pPr>
        <w:tabs>
          <w:tab w:pos="703" w:val="left" w:leader="none"/>
        </w:tabs>
        <w:spacing w:line="200" w:lineRule="exact" w:before="0"/>
        <w:ind w:left="183" w:right="-19"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限售</w:t>
        <w:tab/>
        <w:t>除限售</w:t>
      </w:r>
    </w:p>
    <w:p>
      <w:pPr>
        <w:tabs>
          <w:tab w:pos="863" w:val="left" w:leader="none"/>
        </w:tabs>
        <w:spacing w:line="213" w:lineRule="exact" w:before="0"/>
        <w:ind w:left="183" w:right="-19"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股数</w:t>
        <w:tab/>
        <w:t>股数</w:t>
      </w:r>
    </w:p>
    <w:p>
      <w:pPr>
        <w:spacing w:line="240" w:lineRule="auto" w:before="0"/>
        <w:rPr>
          <w:rFonts w:ascii="华文细黑" w:hAnsi="华文细黑" w:cs="华文细黑" w:eastAsia="华文细黑" w:hint="default"/>
          <w:sz w:val="16"/>
          <w:szCs w:val="16"/>
        </w:rPr>
      </w:pPr>
      <w:r>
        <w:rPr/>
        <w:br w:type="column"/>
      </w:r>
      <w:r>
        <w:rPr>
          <w:rFonts w:ascii="华文细黑"/>
          <w:sz w:val="16"/>
        </w:rPr>
      </w:r>
    </w:p>
    <w:p>
      <w:pPr>
        <w:spacing w:line="240" w:lineRule="auto" w:before="0"/>
        <w:rPr>
          <w:rFonts w:ascii="华文细黑" w:hAnsi="华文细黑" w:cs="华文细黑" w:eastAsia="华文细黑" w:hint="default"/>
          <w:sz w:val="16"/>
          <w:szCs w:val="16"/>
        </w:rPr>
      </w:pPr>
    </w:p>
    <w:p>
      <w:pPr>
        <w:spacing w:line="200" w:lineRule="exact" w:before="129"/>
        <w:ind w:left="402" w:right="-2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本年增加 限售股数</w:t>
      </w:r>
    </w:p>
    <w:p>
      <w:pPr>
        <w:spacing w:line="240" w:lineRule="auto" w:before="0"/>
        <w:rPr>
          <w:rFonts w:ascii="华文细黑" w:hAnsi="华文细黑" w:cs="华文细黑" w:eastAsia="华文细黑" w:hint="default"/>
          <w:sz w:val="16"/>
          <w:szCs w:val="16"/>
        </w:rPr>
      </w:pPr>
      <w:r>
        <w:rPr/>
        <w:br w:type="column"/>
      </w:r>
      <w:r>
        <w:rPr>
          <w:rFonts w:ascii="华文细黑"/>
          <w:sz w:val="16"/>
        </w:rPr>
      </w:r>
    </w:p>
    <w:p>
      <w:pPr>
        <w:spacing w:line="240" w:lineRule="auto" w:before="12"/>
        <w:rPr>
          <w:rFonts w:ascii="华文细黑" w:hAnsi="华文细黑" w:cs="华文细黑" w:eastAsia="华文细黑" w:hint="default"/>
          <w:sz w:val="22"/>
          <w:szCs w:val="22"/>
        </w:rPr>
      </w:pPr>
    </w:p>
    <w:p>
      <w:pPr>
        <w:spacing w:line="213" w:lineRule="exact" w:before="0"/>
        <w:ind w:left="762" w:right="-2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年末</w:t>
      </w:r>
    </w:p>
    <w:p>
      <w:pPr>
        <w:tabs>
          <w:tab w:pos="1984" w:val="left" w:leader="none"/>
        </w:tabs>
        <w:spacing w:line="213" w:lineRule="exact" w:before="0"/>
        <w:ind w:left="442" w:right="-2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限售股数</w:t>
        <w:tab/>
        <w:t>限售原因</w:t>
      </w:r>
    </w:p>
    <w:p>
      <w:pPr>
        <w:spacing w:line="240" w:lineRule="auto" w:before="3"/>
        <w:rPr>
          <w:rFonts w:ascii="华文细黑" w:hAnsi="华文细黑" w:cs="华文细黑" w:eastAsia="华文细黑" w:hint="default"/>
          <w:sz w:val="22"/>
          <w:szCs w:val="22"/>
        </w:rPr>
      </w:pPr>
    </w:p>
    <w:p>
      <w:pPr>
        <w:spacing w:line="200" w:lineRule="exact" w:before="0"/>
        <w:ind w:left="1252" w:right="91" w:firstLine="0"/>
        <w:jc w:val="both"/>
        <w:rPr>
          <w:rFonts w:ascii="宋体" w:hAnsi="宋体" w:cs="宋体" w:eastAsia="宋体" w:hint="default"/>
          <w:sz w:val="16"/>
          <w:szCs w:val="16"/>
        </w:rPr>
      </w:pPr>
      <w:r>
        <w:rPr>
          <w:rFonts w:ascii="宋体" w:hAnsi="宋体" w:cs="宋体" w:eastAsia="宋体" w:hint="default"/>
          <w:sz w:val="16"/>
          <w:szCs w:val="16"/>
        </w:rPr>
        <w:t>为进一步完善公司 治理结构，健全公 司激励与约束相结 合的中长期激励机 制，应对行业激烈 竞争和支撑公司长</w:t>
      </w:r>
    </w:p>
    <w:p>
      <w:pPr>
        <w:spacing w:line="240" w:lineRule="auto" w:before="2"/>
        <w:rPr>
          <w:rFonts w:ascii="宋体" w:hAnsi="宋体" w:cs="宋体" w:eastAsia="宋体" w:hint="default"/>
          <w:sz w:val="10"/>
          <w:szCs w:val="10"/>
        </w:rPr>
      </w:pPr>
      <w:r>
        <w:rPr/>
        <w:br w:type="column"/>
      </w:r>
      <w:r>
        <w:rPr>
          <w:rFonts w:ascii="宋体"/>
          <w:sz w:val="10"/>
        </w:rPr>
      </w:r>
    </w:p>
    <w:p>
      <w:pPr>
        <w:spacing w:before="0"/>
        <w:ind w:left="0" w:right="273" w:firstLine="0"/>
        <w:jc w:val="right"/>
        <w:rPr>
          <w:rFonts w:ascii="宋体" w:hAnsi="宋体" w:cs="宋体" w:eastAsia="宋体" w:hint="default"/>
          <w:sz w:val="12"/>
          <w:szCs w:val="12"/>
        </w:rPr>
      </w:pPr>
      <w:r>
        <w:rPr>
          <w:rFonts w:ascii="宋体" w:hAnsi="宋体" w:cs="宋体" w:eastAsia="宋体" w:hint="default"/>
          <w:sz w:val="12"/>
          <w:szCs w:val="12"/>
        </w:rPr>
        <w:t>单位：股</w:t>
      </w:r>
    </w:p>
    <w:p>
      <w:pPr>
        <w:spacing w:line="240" w:lineRule="auto" w:before="0"/>
        <w:rPr>
          <w:rFonts w:ascii="宋体" w:hAnsi="宋体" w:cs="宋体" w:eastAsia="宋体" w:hint="default"/>
          <w:sz w:val="12"/>
          <w:szCs w:val="12"/>
        </w:rPr>
      </w:pPr>
    </w:p>
    <w:p>
      <w:pPr>
        <w:spacing w:line="240" w:lineRule="auto" w:before="3"/>
        <w:rPr>
          <w:rFonts w:ascii="宋体" w:hAnsi="宋体" w:cs="宋体" w:eastAsia="宋体" w:hint="default"/>
          <w:sz w:val="10"/>
          <w:szCs w:val="10"/>
        </w:rPr>
      </w:pPr>
    </w:p>
    <w:p>
      <w:pPr>
        <w:spacing w:line="200" w:lineRule="exact" w:before="0"/>
        <w:ind w:left="130" w:right="244" w:firstLine="2894"/>
        <w:jc w:val="right"/>
        <w:rPr>
          <w:rFonts w:ascii="华文细黑" w:hAnsi="华文细黑" w:cs="华文细黑" w:eastAsia="华文细黑" w:hint="default"/>
          <w:sz w:val="16"/>
          <w:szCs w:val="16"/>
        </w:rPr>
      </w:pPr>
      <w:r>
        <w:rPr>
          <w:rFonts w:ascii="华文细黑" w:hAnsi="华文细黑" w:cs="华文细黑" w:eastAsia="华文细黑" w:hint="default"/>
          <w:sz w:val="16"/>
          <w:szCs w:val="16"/>
        </w:rPr>
        <w:t>解除 限售日期</w:t>
      </w:r>
    </w:p>
    <w:p>
      <w:pPr>
        <w:spacing w:line="240" w:lineRule="auto" w:before="9"/>
        <w:rPr>
          <w:rFonts w:ascii="华文细黑" w:hAnsi="华文细黑" w:cs="华文细黑" w:eastAsia="华文细黑" w:hint="default"/>
          <w:sz w:val="14"/>
          <w:szCs w:val="14"/>
        </w:rPr>
      </w:pPr>
    </w:p>
    <w:p>
      <w:pPr>
        <w:spacing w:line="200" w:lineRule="exact" w:before="0"/>
        <w:ind w:left="130" w:right="264" w:firstLine="0"/>
        <w:jc w:val="both"/>
        <w:rPr>
          <w:rFonts w:ascii="宋体" w:hAnsi="宋体" w:cs="宋体" w:eastAsia="宋体" w:hint="default"/>
          <w:sz w:val="16"/>
          <w:szCs w:val="16"/>
        </w:rPr>
      </w:pPr>
      <w:r>
        <w:rPr>
          <w:rFonts w:ascii="宋体" w:hAnsi="宋体" w:cs="宋体" w:eastAsia="宋体" w:hint="default"/>
          <w:spacing w:val="8"/>
          <w:sz w:val="16"/>
          <w:szCs w:val="16"/>
        </w:rPr>
        <w:t>本次限制性股票员工激励计划首次授予的授 </w:t>
      </w:r>
      <w:r>
        <w:rPr>
          <w:rFonts w:ascii="宋体" w:hAnsi="宋体" w:cs="宋体" w:eastAsia="宋体" w:hint="default"/>
          <w:sz w:val="16"/>
          <w:szCs w:val="16"/>
        </w:rPr>
        <w:t>予</w:t>
      </w:r>
      <w:r>
        <w:rPr>
          <w:rFonts w:ascii="宋体" w:hAnsi="宋体" w:cs="宋体" w:eastAsia="宋体" w:hint="default"/>
          <w:spacing w:val="-55"/>
          <w:sz w:val="16"/>
          <w:szCs w:val="16"/>
        </w:rPr>
        <w:t> </w:t>
      </w:r>
      <w:r>
        <w:rPr>
          <w:rFonts w:ascii="宋体" w:hAnsi="宋体" w:cs="宋体" w:eastAsia="宋体" w:hint="default"/>
          <w:sz w:val="16"/>
          <w:szCs w:val="16"/>
        </w:rPr>
        <w:t>日</w:t>
      </w:r>
      <w:r>
        <w:rPr>
          <w:rFonts w:ascii="宋体" w:hAnsi="宋体" w:cs="宋体" w:eastAsia="宋体" w:hint="default"/>
          <w:spacing w:val="-55"/>
          <w:sz w:val="16"/>
          <w:szCs w:val="16"/>
        </w:rPr>
        <w:t> </w:t>
      </w:r>
      <w:r>
        <w:rPr>
          <w:rFonts w:ascii="宋体" w:hAnsi="宋体" w:cs="宋体" w:eastAsia="宋体" w:hint="default"/>
          <w:sz w:val="16"/>
          <w:szCs w:val="16"/>
        </w:rPr>
        <w:t>为</w:t>
      </w:r>
      <w:r>
        <w:rPr>
          <w:rFonts w:ascii="宋体" w:hAnsi="宋体" w:cs="宋体" w:eastAsia="宋体" w:hint="default"/>
          <w:spacing w:val="-26"/>
          <w:sz w:val="16"/>
          <w:szCs w:val="16"/>
        </w:rPr>
        <w:t> </w:t>
      </w:r>
      <w:r>
        <w:rPr>
          <w:rFonts w:ascii="宋体" w:hAnsi="宋体" w:cs="宋体" w:eastAsia="宋体" w:hint="default"/>
          <w:sz w:val="16"/>
          <w:szCs w:val="16"/>
        </w:rPr>
        <w:t>2018</w:t>
      </w:r>
      <w:r>
        <w:rPr>
          <w:rFonts w:ascii="宋体" w:hAnsi="宋体" w:cs="宋体" w:eastAsia="宋体" w:hint="default"/>
          <w:spacing w:val="-26"/>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6"/>
          <w:sz w:val="16"/>
          <w:szCs w:val="16"/>
        </w:rPr>
        <w:t> </w:t>
      </w:r>
      <w:r>
        <w:rPr>
          <w:rFonts w:ascii="宋体" w:hAnsi="宋体" w:cs="宋体" w:eastAsia="宋体" w:hint="default"/>
          <w:sz w:val="16"/>
          <w:szCs w:val="16"/>
        </w:rPr>
        <w:t>月</w:t>
      </w:r>
      <w:r>
        <w:rPr>
          <w:rFonts w:ascii="宋体" w:hAnsi="宋体" w:cs="宋体" w:eastAsia="宋体" w:hint="default"/>
          <w:spacing w:val="-26"/>
          <w:sz w:val="16"/>
          <w:szCs w:val="16"/>
        </w:rPr>
        <w:t> </w:t>
      </w:r>
      <w:r>
        <w:rPr>
          <w:rFonts w:ascii="宋体" w:hAnsi="宋体" w:cs="宋体" w:eastAsia="宋体" w:hint="default"/>
          <w:sz w:val="16"/>
          <w:szCs w:val="16"/>
        </w:rPr>
        <w:t>21</w:t>
      </w:r>
      <w:r>
        <w:rPr>
          <w:rFonts w:ascii="宋体" w:hAnsi="宋体" w:cs="宋体" w:eastAsia="宋体" w:hint="default"/>
          <w:spacing w:val="-26"/>
          <w:sz w:val="16"/>
          <w:szCs w:val="16"/>
        </w:rPr>
        <w:t> </w:t>
      </w:r>
      <w:r>
        <w:rPr>
          <w:rFonts w:ascii="宋体" w:hAnsi="宋体" w:cs="宋体" w:eastAsia="宋体" w:hint="default"/>
          <w:sz w:val="16"/>
          <w:szCs w:val="16"/>
        </w:rPr>
        <w:t>日，</w:t>
      </w:r>
      <w:r>
        <w:rPr>
          <w:rFonts w:ascii="宋体" w:hAnsi="宋体" w:cs="宋体" w:eastAsia="宋体" w:hint="default"/>
          <w:spacing w:val="-55"/>
          <w:sz w:val="16"/>
          <w:szCs w:val="16"/>
        </w:rPr>
        <w:t> </w:t>
      </w:r>
      <w:r>
        <w:rPr>
          <w:rFonts w:ascii="宋体" w:hAnsi="宋体" w:cs="宋体" w:eastAsia="宋体" w:hint="default"/>
          <w:sz w:val="16"/>
          <w:szCs w:val="16"/>
        </w:rPr>
        <w:t>登</w:t>
      </w:r>
      <w:r>
        <w:rPr>
          <w:rFonts w:ascii="宋体" w:hAnsi="宋体" w:cs="宋体" w:eastAsia="宋体" w:hint="default"/>
          <w:spacing w:val="-55"/>
          <w:sz w:val="16"/>
          <w:szCs w:val="16"/>
        </w:rPr>
        <w:t> </w:t>
      </w:r>
      <w:r>
        <w:rPr>
          <w:rFonts w:ascii="宋体" w:hAnsi="宋体" w:cs="宋体" w:eastAsia="宋体" w:hint="default"/>
          <w:sz w:val="16"/>
          <w:szCs w:val="16"/>
        </w:rPr>
        <w:t>记</w:t>
      </w:r>
      <w:r>
        <w:rPr>
          <w:rFonts w:ascii="宋体" w:hAnsi="宋体" w:cs="宋体" w:eastAsia="宋体" w:hint="default"/>
          <w:spacing w:val="-55"/>
          <w:sz w:val="16"/>
          <w:szCs w:val="16"/>
        </w:rPr>
        <w:t> </w:t>
      </w:r>
      <w:r>
        <w:rPr>
          <w:rFonts w:ascii="宋体" w:hAnsi="宋体" w:cs="宋体" w:eastAsia="宋体" w:hint="default"/>
          <w:sz w:val="16"/>
          <w:szCs w:val="16"/>
        </w:rPr>
        <w:t>日</w:t>
      </w:r>
      <w:r>
        <w:rPr>
          <w:rFonts w:ascii="宋体" w:hAnsi="宋体" w:cs="宋体" w:eastAsia="宋体" w:hint="default"/>
          <w:spacing w:val="-55"/>
          <w:sz w:val="16"/>
          <w:szCs w:val="16"/>
        </w:rPr>
        <w:t> </w:t>
      </w:r>
      <w:r>
        <w:rPr>
          <w:rFonts w:ascii="宋体" w:hAnsi="宋体" w:cs="宋体" w:eastAsia="宋体" w:hint="default"/>
          <w:sz w:val="16"/>
          <w:szCs w:val="16"/>
        </w:rPr>
        <w:t>为</w:t>
      </w:r>
      <w:r>
        <w:rPr>
          <w:rFonts w:ascii="宋体" w:hAnsi="宋体" w:cs="宋体" w:eastAsia="宋体" w:hint="default"/>
          <w:spacing w:val="-26"/>
          <w:sz w:val="16"/>
          <w:szCs w:val="16"/>
        </w:rPr>
        <w:t> </w:t>
      </w:r>
      <w:r>
        <w:rPr>
          <w:rFonts w:ascii="宋体" w:hAnsi="宋体" w:cs="宋体" w:eastAsia="宋体" w:hint="default"/>
          <w:sz w:val="16"/>
          <w:szCs w:val="16"/>
        </w:rPr>
        <w:t>2018</w:t>
      </w:r>
      <w:r>
        <w:rPr>
          <w:rFonts w:ascii="宋体" w:hAnsi="宋体" w:cs="宋体" w:eastAsia="宋体" w:hint="default"/>
          <w:spacing w:val="-76"/>
          <w:sz w:val="16"/>
          <w:szCs w:val="16"/>
        </w:rPr>
        <w:t> </w:t>
      </w:r>
      <w:r>
        <w:rPr>
          <w:rFonts w:ascii="宋体" w:hAnsi="宋体" w:cs="宋体" w:eastAsia="宋体" w:hint="default"/>
          <w:spacing w:val="-76"/>
          <w:sz w:val="16"/>
          <w:szCs w:val="16"/>
        </w:rPr>
      </w:r>
      <w:r>
        <w:rPr>
          <w:rFonts w:ascii="宋体" w:hAnsi="宋体" w:cs="宋体" w:eastAsia="宋体" w:hint="default"/>
          <w:sz w:val="16"/>
          <w:szCs w:val="16"/>
        </w:rPr>
        <w:t>年</w:t>
      </w:r>
      <w:r>
        <w:rPr>
          <w:rFonts w:ascii="宋体" w:hAnsi="宋体" w:cs="宋体" w:eastAsia="宋体" w:hint="default"/>
          <w:spacing w:val="-33"/>
          <w:sz w:val="16"/>
          <w:szCs w:val="16"/>
        </w:rPr>
        <w:t> </w:t>
      </w:r>
      <w:r>
        <w:rPr>
          <w:rFonts w:ascii="宋体" w:hAnsi="宋体" w:cs="宋体" w:eastAsia="宋体" w:hint="default"/>
          <w:sz w:val="16"/>
          <w:szCs w:val="16"/>
        </w:rPr>
        <w:t>4</w:t>
      </w:r>
      <w:r>
        <w:rPr>
          <w:rFonts w:ascii="宋体" w:hAnsi="宋体" w:cs="宋体" w:eastAsia="宋体" w:hint="default"/>
          <w:spacing w:val="-33"/>
          <w:sz w:val="16"/>
          <w:szCs w:val="16"/>
        </w:rPr>
        <w:t> </w:t>
      </w:r>
      <w:r>
        <w:rPr>
          <w:rFonts w:ascii="宋体" w:hAnsi="宋体" w:cs="宋体" w:eastAsia="宋体" w:hint="default"/>
          <w:sz w:val="16"/>
          <w:szCs w:val="16"/>
        </w:rPr>
        <w:t>月</w:t>
      </w:r>
      <w:r>
        <w:rPr>
          <w:rFonts w:ascii="宋体" w:hAnsi="宋体" w:cs="宋体" w:eastAsia="宋体" w:hint="default"/>
          <w:spacing w:val="-33"/>
          <w:sz w:val="16"/>
          <w:szCs w:val="16"/>
        </w:rPr>
        <w:t> </w:t>
      </w:r>
      <w:r>
        <w:rPr>
          <w:rFonts w:ascii="宋体" w:hAnsi="宋体" w:cs="宋体" w:eastAsia="宋体" w:hint="default"/>
          <w:sz w:val="16"/>
          <w:szCs w:val="16"/>
        </w:rPr>
        <w:t>9</w:t>
      </w:r>
      <w:r>
        <w:rPr>
          <w:rFonts w:ascii="宋体" w:hAnsi="宋体" w:cs="宋体" w:eastAsia="宋体" w:hint="default"/>
          <w:spacing w:val="-33"/>
          <w:sz w:val="16"/>
          <w:szCs w:val="16"/>
        </w:rPr>
        <w:t> </w:t>
      </w:r>
      <w:r>
        <w:rPr>
          <w:rFonts w:ascii="宋体" w:hAnsi="宋体" w:cs="宋体" w:eastAsia="宋体" w:hint="default"/>
          <w:spacing w:val="4"/>
          <w:sz w:val="16"/>
          <w:szCs w:val="16"/>
        </w:rPr>
        <w:t>日，限制性股票在获授之日起满</w:t>
      </w:r>
      <w:r>
        <w:rPr>
          <w:rFonts w:ascii="宋体" w:hAnsi="宋体" w:cs="宋体" w:eastAsia="宋体" w:hint="default"/>
          <w:spacing w:val="-33"/>
          <w:sz w:val="16"/>
          <w:szCs w:val="16"/>
        </w:rPr>
        <w:t> </w:t>
      </w:r>
      <w:r>
        <w:rPr>
          <w:rFonts w:ascii="宋体" w:hAnsi="宋体" w:cs="宋体" w:eastAsia="宋体" w:hint="default"/>
          <w:sz w:val="16"/>
          <w:szCs w:val="16"/>
        </w:rPr>
        <w:t>24</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pacing w:val="8"/>
          <w:w w:val="98"/>
          <w:sz w:val="16"/>
          <w:szCs w:val="16"/>
        </w:rPr>
        <w:t>个月后分三期解锁，具体解锁安排如下：1)</w:t>
      </w:r>
      <w:r>
        <w:rPr>
          <w:rFonts w:ascii="宋体" w:hAnsi="宋体" w:cs="宋体" w:eastAsia="宋体" w:hint="default"/>
          <w:spacing w:val="-51"/>
          <w:w w:val="98"/>
          <w:sz w:val="16"/>
          <w:szCs w:val="16"/>
        </w:rPr>
        <w:t> </w:t>
      </w:r>
      <w:r>
        <w:rPr>
          <w:rFonts w:ascii="宋体" w:hAnsi="宋体" w:cs="宋体" w:eastAsia="宋体" w:hint="default"/>
          <w:spacing w:val="-51"/>
          <w:w w:val="98"/>
          <w:sz w:val="16"/>
          <w:szCs w:val="16"/>
        </w:rPr>
      </w:r>
      <w:r>
        <w:rPr>
          <w:rFonts w:ascii="宋体" w:hAnsi="宋体" w:cs="宋体" w:eastAsia="宋体" w:hint="default"/>
          <w:spacing w:val="2"/>
          <w:sz w:val="16"/>
          <w:szCs w:val="16"/>
        </w:rPr>
        <w:t>第一个解锁期，自获授之日起 </w:t>
      </w:r>
      <w:r>
        <w:rPr>
          <w:rFonts w:ascii="宋体" w:hAnsi="宋体" w:cs="宋体" w:eastAsia="宋体" w:hint="default"/>
          <w:sz w:val="16"/>
          <w:szCs w:val="16"/>
        </w:rPr>
        <w:t>24</w:t>
      </w:r>
      <w:r>
        <w:rPr>
          <w:rFonts w:ascii="宋体" w:hAnsi="宋体" w:cs="宋体" w:eastAsia="宋体" w:hint="default"/>
          <w:spacing w:val="-59"/>
          <w:sz w:val="16"/>
          <w:szCs w:val="16"/>
        </w:rPr>
        <w:t> </w:t>
      </w:r>
      <w:r>
        <w:rPr>
          <w:rFonts w:ascii="宋体" w:hAnsi="宋体" w:cs="宋体" w:eastAsia="宋体" w:hint="default"/>
          <w:spacing w:val="3"/>
          <w:sz w:val="16"/>
          <w:szCs w:val="16"/>
        </w:rPr>
        <w:t>个月后的首</w:t>
      </w:r>
      <w:r>
        <w:rPr>
          <w:rFonts w:ascii="宋体" w:hAnsi="宋体" w:cs="宋体" w:eastAsia="宋体" w:hint="default"/>
          <w:sz w:val="16"/>
          <w:szCs w:val="16"/>
        </w:rPr>
      </w:r>
    </w:p>
    <w:p>
      <w:pPr>
        <w:spacing w:line="182" w:lineRule="exact" w:before="0"/>
        <w:ind w:left="0" w:right="260" w:firstLine="0"/>
        <w:jc w:val="right"/>
        <w:rPr>
          <w:rFonts w:ascii="宋体" w:hAnsi="宋体" w:cs="宋体" w:eastAsia="宋体" w:hint="default"/>
          <w:sz w:val="16"/>
          <w:szCs w:val="16"/>
        </w:rPr>
      </w:pPr>
      <w:r>
        <w:rPr>
          <w:rFonts w:ascii="宋体" w:hAnsi="宋体" w:cs="宋体" w:eastAsia="宋体" w:hint="default"/>
          <w:spacing w:val="11"/>
          <w:sz w:val="16"/>
          <w:szCs w:val="16"/>
        </w:rPr>
        <w:t>个交易日起至获授之日起 </w:t>
      </w:r>
      <w:r>
        <w:rPr>
          <w:rFonts w:ascii="宋体" w:hAnsi="宋体" w:cs="宋体" w:eastAsia="宋体" w:hint="default"/>
          <w:sz w:val="16"/>
          <w:szCs w:val="16"/>
        </w:rPr>
        <w:t>36</w:t>
      </w:r>
      <w:r>
        <w:rPr>
          <w:rFonts w:ascii="宋体" w:hAnsi="宋体" w:cs="宋体" w:eastAsia="宋体" w:hint="default"/>
          <w:spacing w:val="-60"/>
          <w:sz w:val="16"/>
          <w:szCs w:val="16"/>
        </w:rPr>
        <w:t> </w:t>
      </w:r>
      <w:r>
        <w:rPr>
          <w:rFonts w:ascii="宋体" w:hAnsi="宋体" w:cs="宋体" w:eastAsia="宋体" w:hint="default"/>
          <w:spacing w:val="13"/>
          <w:sz w:val="16"/>
          <w:szCs w:val="16"/>
        </w:rPr>
        <w:t>个月内的最后</w:t>
      </w:r>
      <w:r>
        <w:rPr>
          <w:rFonts w:ascii="宋体" w:hAnsi="宋体" w:cs="宋体" w:eastAsia="宋体" w:hint="default"/>
          <w:sz w:val="16"/>
          <w:szCs w:val="16"/>
        </w:rPr>
      </w:r>
    </w:p>
    <w:p>
      <w:pPr>
        <w:spacing w:after="0" w:line="182" w:lineRule="exact"/>
        <w:jc w:val="right"/>
        <w:rPr>
          <w:rFonts w:ascii="宋体" w:hAnsi="宋体" w:cs="宋体" w:eastAsia="宋体" w:hint="default"/>
          <w:sz w:val="16"/>
          <w:szCs w:val="16"/>
        </w:rPr>
        <w:sectPr>
          <w:type w:val="continuous"/>
          <w:pgSz w:w="11910" w:h="16160"/>
          <w:pgMar w:top="1520" w:bottom="280" w:left="1300" w:right="660"/>
          <w:cols w:num="5" w:equalWidth="0">
            <w:col w:w="1343" w:space="40"/>
            <w:col w:w="1184" w:space="40"/>
            <w:col w:w="1043" w:space="40"/>
            <w:col w:w="2625" w:space="40"/>
            <w:col w:w="3595"/>
          </w:cols>
        </w:sectPr>
      </w:pPr>
    </w:p>
    <w:p>
      <w:pPr>
        <w:spacing w:line="200" w:lineRule="exact" w:before="0"/>
        <w:ind w:left="542" w:right="-20" w:firstLine="0"/>
        <w:jc w:val="left"/>
        <w:rPr>
          <w:rFonts w:ascii="宋体" w:hAnsi="宋体" w:cs="宋体" w:eastAsia="宋体" w:hint="default"/>
          <w:sz w:val="16"/>
          <w:szCs w:val="16"/>
        </w:rPr>
      </w:pPr>
      <w:r>
        <w:rPr>
          <w:rFonts w:ascii="宋体" w:hAnsi="宋体" w:cs="宋体" w:eastAsia="宋体" w:hint="default"/>
          <w:sz w:val="16"/>
          <w:szCs w:val="16"/>
        </w:rPr>
        <w:t>员工激励计 划授予对象</w:t>
      </w:r>
    </w:p>
    <w:p>
      <w:pPr>
        <w:tabs>
          <w:tab w:pos="1066" w:val="left" w:leader="none"/>
          <w:tab w:pos="1379" w:val="left" w:leader="none"/>
          <w:tab w:pos="2501" w:val="left" w:leader="none"/>
        </w:tabs>
        <w:spacing w:line="183" w:lineRule="exact" w:before="0"/>
        <w:ind w:left="386" w:right="-12" w:firstLine="0"/>
        <w:jc w:val="left"/>
        <w:rPr>
          <w:rFonts w:ascii="宋体" w:hAnsi="宋体" w:cs="宋体" w:eastAsia="宋体" w:hint="default"/>
          <w:sz w:val="16"/>
          <w:szCs w:val="16"/>
        </w:rPr>
      </w:pPr>
      <w:r>
        <w:rPr>
          <w:w w:val="105"/>
        </w:rPr>
        <w:br w:type="column"/>
      </w:r>
      <w:r>
        <w:rPr>
          <w:rFonts w:ascii="宋体"/>
          <w:w w:val="105"/>
          <w:sz w:val="16"/>
        </w:rPr>
        <w:t>0</w:t>
        <w:tab/>
        <w:t>0</w:t>
        <w:tab/>
      </w:r>
      <w:r>
        <w:rPr>
          <w:rFonts w:ascii="宋体"/>
          <w:sz w:val="16"/>
        </w:rPr>
        <w:t>793,861,000</w:t>
        <w:tab/>
        <w:t>793,861,000</w:t>
      </w:r>
    </w:p>
    <w:p>
      <w:pPr>
        <w:spacing w:line="200" w:lineRule="exact" w:before="0"/>
        <w:ind w:left="129"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远发展，充分调动 公司核心管理者和 骨干员工的积极性， 公司建立限制性员 工激励计划，首次 授予于</w:t>
      </w:r>
      <w:r>
        <w:rPr>
          <w:rFonts w:ascii="宋体" w:hAnsi="宋体" w:cs="宋体" w:eastAsia="宋体" w:hint="default"/>
          <w:spacing w:val="-26"/>
          <w:sz w:val="16"/>
          <w:szCs w:val="16"/>
        </w:rPr>
        <w:t> </w:t>
      </w:r>
      <w:r>
        <w:rPr>
          <w:rFonts w:ascii="宋体" w:hAnsi="宋体" w:cs="宋体" w:eastAsia="宋体" w:hint="default"/>
          <w:sz w:val="16"/>
          <w:szCs w:val="16"/>
        </w:rPr>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4</w:t>
      </w:r>
    </w:p>
    <w:p>
      <w:pPr>
        <w:spacing w:line="183" w:lineRule="exact" w:before="0"/>
        <w:ind w:left="129" w:right="-20" w:firstLine="0"/>
        <w:jc w:val="left"/>
        <w:rPr>
          <w:rFonts w:ascii="宋体" w:hAnsi="宋体" w:cs="宋体" w:eastAsia="宋体" w:hint="default"/>
          <w:sz w:val="16"/>
          <w:szCs w:val="16"/>
        </w:rPr>
      </w:pPr>
      <w:r>
        <w:rPr>
          <w:rFonts w:ascii="宋体" w:hAnsi="宋体" w:cs="宋体" w:eastAsia="宋体" w:hint="default"/>
          <w:sz w:val="16"/>
          <w:szCs w:val="16"/>
        </w:rPr>
        <w:t>月</w:t>
      </w:r>
      <w:r>
        <w:rPr>
          <w:rFonts w:ascii="宋体" w:hAnsi="宋体" w:cs="宋体" w:eastAsia="宋体" w:hint="default"/>
          <w:spacing w:val="-36"/>
          <w:sz w:val="16"/>
          <w:szCs w:val="16"/>
        </w:rPr>
        <w:t> </w:t>
      </w:r>
      <w:r>
        <w:rPr>
          <w:rFonts w:ascii="宋体" w:hAnsi="宋体" w:cs="宋体" w:eastAsia="宋体" w:hint="default"/>
          <w:sz w:val="16"/>
          <w:szCs w:val="16"/>
        </w:rPr>
        <w:t>9</w:t>
      </w:r>
      <w:r>
        <w:rPr>
          <w:rFonts w:ascii="宋体" w:hAnsi="宋体" w:cs="宋体" w:eastAsia="宋体" w:hint="default"/>
          <w:spacing w:val="-37"/>
          <w:sz w:val="16"/>
          <w:szCs w:val="16"/>
        </w:rPr>
        <w:t> </w:t>
      </w:r>
      <w:r>
        <w:rPr>
          <w:rFonts w:ascii="宋体" w:hAnsi="宋体" w:cs="宋体" w:eastAsia="宋体" w:hint="default"/>
          <w:sz w:val="16"/>
          <w:szCs w:val="16"/>
        </w:rPr>
        <w:t>日登记完成。</w:t>
      </w:r>
    </w:p>
    <w:p>
      <w:pPr>
        <w:spacing w:line="78" w:lineRule="exact" w:before="0"/>
        <w:ind w:left="62" w:right="0" w:firstLine="0"/>
        <w:jc w:val="both"/>
        <w:rPr>
          <w:rFonts w:ascii="宋体" w:hAnsi="宋体" w:cs="宋体" w:eastAsia="宋体" w:hint="default"/>
          <w:sz w:val="16"/>
          <w:szCs w:val="16"/>
        </w:rPr>
      </w:pPr>
      <w:r>
        <w:rPr>
          <w:spacing w:val="7"/>
        </w:rPr>
        <w:br w:type="column"/>
      </w:r>
      <w:r>
        <w:rPr>
          <w:rFonts w:ascii="宋体" w:hAnsi="宋体" w:cs="宋体" w:eastAsia="宋体" w:hint="default"/>
          <w:spacing w:val="7"/>
          <w:sz w:val="16"/>
          <w:szCs w:val="16"/>
        </w:rPr>
        <w:t>一个交易日当日止，解锁数量占获授数量的</w:t>
      </w:r>
      <w:r>
        <w:rPr>
          <w:rFonts w:ascii="宋体" w:hAnsi="宋体" w:cs="宋体" w:eastAsia="宋体" w:hint="default"/>
          <w:sz w:val="16"/>
          <w:szCs w:val="16"/>
        </w:rPr>
      </w:r>
    </w:p>
    <w:p>
      <w:pPr>
        <w:spacing w:line="200" w:lineRule="exact" w:before="22"/>
        <w:ind w:left="62" w:right="260" w:firstLine="0"/>
        <w:jc w:val="both"/>
        <w:rPr>
          <w:rFonts w:ascii="宋体" w:hAnsi="宋体" w:cs="宋体" w:eastAsia="宋体" w:hint="default"/>
          <w:sz w:val="16"/>
          <w:szCs w:val="16"/>
        </w:rPr>
      </w:pPr>
      <w:r>
        <w:rPr>
          <w:rFonts w:ascii="宋体" w:hAnsi="宋体" w:cs="宋体" w:eastAsia="宋体" w:hint="default"/>
          <w:spacing w:val="-1"/>
          <w:w w:val="114"/>
          <w:sz w:val="16"/>
          <w:szCs w:val="16"/>
        </w:rPr>
        <w:t>40%；2)</w:t>
      </w:r>
      <w:r>
        <w:rPr>
          <w:rFonts w:ascii="宋体" w:hAnsi="宋体" w:cs="宋体" w:eastAsia="宋体" w:hint="default"/>
          <w:spacing w:val="-51"/>
          <w:w w:val="114"/>
          <w:sz w:val="16"/>
          <w:szCs w:val="16"/>
        </w:rPr>
        <w:t> </w:t>
      </w:r>
      <w:r>
        <w:rPr>
          <w:rFonts w:ascii="宋体" w:hAnsi="宋体" w:cs="宋体" w:eastAsia="宋体" w:hint="default"/>
          <w:sz w:val="16"/>
          <w:szCs w:val="16"/>
        </w:rPr>
        <w:t>第二个解锁期，自获授之日起</w:t>
      </w:r>
      <w:r>
        <w:rPr>
          <w:rFonts w:ascii="宋体" w:hAnsi="宋体" w:cs="宋体" w:eastAsia="宋体" w:hint="default"/>
          <w:spacing w:val="-40"/>
          <w:sz w:val="16"/>
          <w:szCs w:val="16"/>
        </w:rPr>
        <w:t> </w:t>
      </w:r>
      <w:r>
        <w:rPr>
          <w:rFonts w:ascii="宋体" w:hAnsi="宋体" w:cs="宋体" w:eastAsia="宋体" w:hint="default"/>
          <w:spacing w:val="-1"/>
          <w:w w:val="111"/>
          <w:sz w:val="16"/>
          <w:szCs w:val="16"/>
        </w:rPr>
        <w:t>36</w:t>
      </w:r>
      <w:r>
        <w:rPr>
          <w:rFonts w:ascii="宋体" w:hAnsi="宋体" w:cs="宋体" w:eastAsia="宋体" w:hint="default"/>
          <w:spacing w:val="-48"/>
          <w:w w:val="111"/>
          <w:sz w:val="16"/>
          <w:szCs w:val="16"/>
        </w:rPr>
        <w:t> </w:t>
      </w:r>
      <w:r>
        <w:rPr>
          <w:rFonts w:ascii="宋体" w:hAnsi="宋体" w:cs="宋体" w:eastAsia="宋体" w:hint="default"/>
          <w:sz w:val="16"/>
          <w:szCs w:val="16"/>
        </w:rPr>
        <w:t>个</w:t>
      </w:r>
      <w:r>
        <w:rPr>
          <w:rFonts w:ascii="宋体" w:hAnsi="宋体" w:cs="宋体" w:eastAsia="宋体" w:hint="default"/>
          <w:sz w:val="16"/>
          <w:szCs w:val="16"/>
        </w:rPr>
        <w:t> 月后的首个交易日起至获授之日起</w:t>
      </w:r>
      <w:r>
        <w:rPr>
          <w:rFonts w:ascii="宋体" w:hAnsi="宋体" w:cs="宋体" w:eastAsia="宋体" w:hint="default"/>
          <w:spacing w:val="-25"/>
          <w:sz w:val="16"/>
          <w:szCs w:val="16"/>
        </w:rPr>
        <w:t> </w:t>
      </w:r>
      <w:r>
        <w:rPr>
          <w:rFonts w:ascii="宋体" w:hAnsi="宋体" w:cs="宋体" w:eastAsia="宋体" w:hint="default"/>
          <w:sz w:val="16"/>
          <w:szCs w:val="16"/>
        </w:rPr>
        <w:t>48</w:t>
      </w:r>
      <w:r>
        <w:rPr>
          <w:rFonts w:ascii="宋体" w:hAnsi="宋体" w:cs="宋体" w:eastAsia="宋体" w:hint="default"/>
          <w:spacing w:val="-25"/>
          <w:sz w:val="16"/>
          <w:szCs w:val="16"/>
        </w:rPr>
        <w:t> </w:t>
      </w:r>
      <w:r>
        <w:rPr>
          <w:rFonts w:ascii="宋体" w:hAnsi="宋体" w:cs="宋体" w:eastAsia="宋体" w:hint="default"/>
          <w:spacing w:val="2"/>
          <w:sz w:val="16"/>
          <w:szCs w:val="16"/>
        </w:rPr>
        <w:t>个月内</w:t>
      </w:r>
      <w:r>
        <w:rPr>
          <w:rFonts w:ascii="宋体" w:hAnsi="宋体" w:cs="宋体" w:eastAsia="宋体" w:hint="default"/>
          <w:spacing w:val="-67"/>
          <w:sz w:val="16"/>
          <w:szCs w:val="16"/>
        </w:rPr>
        <w:t> </w:t>
      </w:r>
      <w:r>
        <w:rPr>
          <w:rFonts w:ascii="宋体" w:hAnsi="宋体" w:cs="宋体" w:eastAsia="宋体" w:hint="default"/>
          <w:spacing w:val="-67"/>
          <w:sz w:val="16"/>
          <w:szCs w:val="16"/>
        </w:rPr>
      </w:r>
      <w:r>
        <w:rPr>
          <w:rFonts w:ascii="宋体" w:hAnsi="宋体" w:cs="宋体" w:eastAsia="宋体" w:hint="default"/>
          <w:spacing w:val="7"/>
          <w:sz w:val="16"/>
          <w:szCs w:val="16"/>
        </w:rPr>
        <w:t>的最后一个交易日当日止，解锁数量占获授</w:t>
      </w:r>
      <w:r>
        <w:rPr>
          <w:rFonts w:ascii="宋体" w:hAnsi="宋体" w:cs="宋体" w:eastAsia="宋体" w:hint="default"/>
          <w:spacing w:val="-70"/>
          <w:sz w:val="16"/>
          <w:szCs w:val="16"/>
        </w:rPr>
        <w:t> </w:t>
      </w:r>
      <w:r>
        <w:rPr>
          <w:rFonts w:ascii="宋体" w:hAnsi="宋体" w:cs="宋体" w:eastAsia="宋体" w:hint="default"/>
          <w:spacing w:val="-70"/>
          <w:sz w:val="16"/>
          <w:szCs w:val="16"/>
        </w:rPr>
      </w:r>
      <w:r>
        <w:rPr>
          <w:rFonts w:ascii="宋体" w:hAnsi="宋体" w:cs="宋体" w:eastAsia="宋体" w:hint="default"/>
          <w:spacing w:val="4"/>
          <w:sz w:val="16"/>
          <w:szCs w:val="16"/>
        </w:rPr>
        <w:t>数量的</w:t>
      </w:r>
      <w:r>
        <w:rPr>
          <w:rFonts w:ascii="宋体" w:hAnsi="宋体" w:cs="宋体" w:eastAsia="宋体" w:hint="default"/>
          <w:spacing w:val="-41"/>
          <w:sz w:val="16"/>
          <w:szCs w:val="16"/>
        </w:rPr>
        <w:t> </w:t>
      </w:r>
      <w:r>
        <w:rPr>
          <w:rFonts w:ascii="宋体" w:hAnsi="宋体" w:cs="宋体" w:eastAsia="宋体" w:hint="default"/>
          <w:spacing w:val="-1"/>
          <w:w w:val="114"/>
          <w:sz w:val="16"/>
          <w:szCs w:val="16"/>
        </w:rPr>
        <w:t>30%；3)</w:t>
      </w:r>
      <w:r>
        <w:rPr>
          <w:rFonts w:ascii="宋体" w:hAnsi="宋体" w:cs="宋体" w:eastAsia="宋体" w:hint="default"/>
          <w:spacing w:val="-52"/>
          <w:w w:val="114"/>
          <w:sz w:val="16"/>
          <w:szCs w:val="16"/>
        </w:rPr>
        <w:t> </w:t>
      </w:r>
      <w:r>
        <w:rPr>
          <w:rFonts w:ascii="宋体" w:hAnsi="宋体" w:cs="宋体" w:eastAsia="宋体" w:hint="default"/>
          <w:spacing w:val="5"/>
          <w:sz w:val="16"/>
          <w:szCs w:val="16"/>
        </w:rPr>
        <w:t>第三个解锁期，自获授之日</w:t>
      </w:r>
      <w:r>
        <w:rPr>
          <w:rFonts w:ascii="宋体" w:hAnsi="宋体" w:cs="宋体" w:eastAsia="宋体" w:hint="default"/>
          <w:spacing w:val="6"/>
          <w:sz w:val="16"/>
          <w:szCs w:val="16"/>
        </w:rPr>
        <w:t> </w:t>
      </w:r>
      <w:r>
        <w:rPr>
          <w:rFonts w:ascii="宋体" w:hAnsi="宋体" w:cs="宋体" w:eastAsia="宋体" w:hint="default"/>
          <w:sz w:val="16"/>
          <w:szCs w:val="16"/>
        </w:rPr>
        <w:t>起 48</w:t>
      </w:r>
      <w:r>
        <w:rPr>
          <w:rFonts w:ascii="宋体" w:hAnsi="宋体" w:cs="宋体" w:eastAsia="宋体" w:hint="default"/>
          <w:spacing w:val="-58"/>
          <w:sz w:val="16"/>
          <w:szCs w:val="16"/>
        </w:rPr>
        <w:t> </w:t>
      </w:r>
      <w:r>
        <w:rPr>
          <w:rFonts w:ascii="宋体" w:hAnsi="宋体" w:cs="宋体" w:eastAsia="宋体" w:hint="default"/>
          <w:spacing w:val="13"/>
          <w:sz w:val="16"/>
          <w:szCs w:val="16"/>
        </w:rPr>
        <w:t>个月后的首个交易日起至获授之日起</w:t>
      </w:r>
      <w:r>
        <w:rPr>
          <w:rFonts w:ascii="宋体" w:hAnsi="宋体" w:cs="宋体" w:eastAsia="宋体" w:hint="default"/>
          <w:sz w:val="16"/>
          <w:szCs w:val="16"/>
        </w:rPr>
      </w:r>
    </w:p>
    <w:p>
      <w:pPr>
        <w:spacing w:line="200" w:lineRule="exact" w:before="0"/>
        <w:ind w:left="62" w:right="268" w:firstLine="0"/>
        <w:jc w:val="both"/>
        <w:rPr>
          <w:rFonts w:ascii="宋体" w:hAnsi="宋体" w:cs="宋体" w:eastAsia="宋体" w:hint="default"/>
          <w:sz w:val="16"/>
          <w:szCs w:val="16"/>
        </w:rPr>
      </w:pPr>
      <w:r>
        <w:rPr>
          <w:rFonts w:ascii="宋体" w:hAnsi="宋体" w:cs="宋体" w:eastAsia="宋体" w:hint="default"/>
          <w:sz w:val="16"/>
          <w:szCs w:val="16"/>
        </w:rPr>
        <w:t>60</w:t>
      </w:r>
      <w:r>
        <w:rPr>
          <w:rFonts w:ascii="宋体" w:hAnsi="宋体" w:cs="宋体" w:eastAsia="宋体" w:hint="default"/>
          <w:spacing w:val="-18"/>
          <w:sz w:val="16"/>
          <w:szCs w:val="16"/>
        </w:rPr>
        <w:t> </w:t>
      </w:r>
      <w:r>
        <w:rPr>
          <w:rFonts w:ascii="宋体" w:hAnsi="宋体" w:cs="宋体" w:eastAsia="宋体" w:hint="default"/>
          <w:spacing w:val="4"/>
          <w:sz w:val="16"/>
          <w:szCs w:val="16"/>
        </w:rPr>
        <w:t>个月内的最后一个交易日当日止，解锁数</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w w:val="105"/>
          <w:sz w:val="16"/>
          <w:szCs w:val="16"/>
        </w:rPr>
        <w:t>量占获授数量的</w:t>
      </w:r>
      <w:r>
        <w:rPr>
          <w:rFonts w:ascii="宋体" w:hAnsi="宋体" w:cs="宋体" w:eastAsia="宋体" w:hint="default"/>
          <w:spacing w:val="-23"/>
          <w:w w:val="105"/>
          <w:sz w:val="16"/>
          <w:szCs w:val="16"/>
        </w:rPr>
        <w:t> </w:t>
      </w:r>
      <w:r>
        <w:rPr>
          <w:rFonts w:ascii="宋体" w:hAnsi="宋体" w:cs="宋体" w:eastAsia="宋体" w:hint="default"/>
          <w:w w:val="105"/>
          <w:sz w:val="16"/>
          <w:szCs w:val="16"/>
        </w:rPr>
        <w:t>30%。</w:t>
      </w:r>
      <w:r>
        <w:rPr>
          <w:rFonts w:ascii="宋体" w:hAnsi="宋体" w:cs="宋体" w:eastAsia="宋体" w:hint="default"/>
          <w:sz w:val="16"/>
          <w:szCs w:val="16"/>
        </w:rPr>
      </w:r>
    </w:p>
    <w:p>
      <w:pPr>
        <w:spacing w:after="0" w:line="200" w:lineRule="exact"/>
        <w:jc w:val="both"/>
        <w:rPr>
          <w:rFonts w:ascii="宋体" w:hAnsi="宋体" w:cs="宋体" w:eastAsia="宋体" w:hint="default"/>
          <w:sz w:val="16"/>
          <w:szCs w:val="16"/>
        </w:rPr>
        <w:sectPr>
          <w:type w:val="continuous"/>
          <w:pgSz w:w="11910" w:h="16160"/>
          <w:pgMar w:top="1520" w:bottom="280" w:left="1300" w:right="660"/>
          <w:cols w:num="4" w:equalWidth="0">
            <w:col w:w="1343" w:space="40"/>
            <w:col w:w="3390" w:space="40"/>
            <w:col w:w="1570" w:space="40"/>
            <w:col w:w="3527"/>
          </w:cols>
        </w:sectPr>
      </w:pPr>
    </w:p>
    <w:p>
      <w:pPr>
        <w:tabs>
          <w:tab w:pos="1769" w:val="left" w:leader="none"/>
          <w:tab w:pos="2449" w:val="left" w:leader="none"/>
          <w:tab w:pos="2761" w:val="left" w:leader="none"/>
          <w:tab w:pos="3884" w:val="left" w:leader="none"/>
          <w:tab w:pos="6269" w:val="left" w:leader="none"/>
          <w:tab w:pos="9625" w:val="left" w:leader="none"/>
        </w:tabs>
        <w:spacing w:before="46"/>
        <w:ind w:left="542" w:right="87" w:firstLine="0"/>
        <w:jc w:val="left"/>
        <w:rPr>
          <w:rFonts w:ascii="宋体" w:hAnsi="宋体" w:cs="宋体" w:eastAsia="宋体" w:hint="default"/>
          <w:sz w:val="16"/>
          <w:szCs w:val="16"/>
        </w:rPr>
      </w:pPr>
      <w:r>
        <w:rPr/>
        <w:pict>
          <v:group style="position:absolute;margin-left:-.000127pt;margin-top:.000006pt;width:595.3pt;height:807.9pt;mso-position-horizontal-relative:page;mso-position-vertical-relative:page;z-index:-965824" coordorigin="0,0" coordsize="11906,16158">
            <v:shape style="position:absolute;left:9865;top:2760;width:188;height:188" type="#_x0000_t75" stroked="false">
              <v:imagedata r:id="rId76" o:title=""/>
            </v:shape>
            <v:group style="position:absolute;left:4791;top:2854;width:5145;height:2" coordorigin="4791,2854" coordsize="5145,2">
              <v:shape style="position:absolute;left:4791;top:2854;width:5145;height:2" coordorigin="4791,2854" coordsize="5145,0" path="m9935,2854l4791,2854e" filled="false" stroked="true" strokeweight=".956pt" strokecolor="#8e9090">
                <v:path arrowok="t"/>
              </v:shape>
              <v:shape style="position:absolute;left:7030;top:15213;width:188;height:188" type="#_x0000_t75" stroked="false">
                <v:imagedata r:id="rId75" o:title=""/>
              </v:shape>
            </v:group>
            <v:group style="position:absolute;left:7147;top:15307;width:2831;height:2" coordorigin="7147,15307" coordsize="2831,2">
              <v:shape style="position:absolute;left:7147;top:15307;width:2831;height:2" coordorigin="7147,15307" coordsize="2831,0" path="m7147,15307l9978,15307e" filled="false" stroked="true" strokeweight=".956pt" strokecolor="#9c8758">
                <v:path arrowok="t"/>
              </v:shape>
            </v:group>
            <v:group style="position:absolute;left:0;top:0;width:8689;height:16158" coordorigin="0,0" coordsize="8689,16158">
              <v:shape style="position:absolute;left:0;top:0;width:8689;height:16158" coordorigin="0,0" coordsize="8689,16158" path="m2246,16157l0,16157,0,0,8688,0,2246,16157xe" filled="true" fillcolor="#9c8758" stroked="false">
                <v:path arrowok="t"/>
                <v:fill type="solid"/>
              </v:shape>
            </v:group>
            <v:group style="position:absolute;left:0;top:0;width:8998;height:16158" coordorigin="0,0" coordsize="8998,16158">
              <v:shape style="position:absolute;left:0;top:0;width:8998;height:16158" coordorigin="0,0" coordsize="8998,16158" path="m2555,16157l0,16157,0,0,8997,0,2555,16157xe" filled="true" fillcolor="#d7000f" stroked="false">
                <v:path arrowok="t"/>
                <v:fill type="solid"/>
              </v:shape>
            </v:group>
            <v:group style="position:absolute;left:9734;top:14734;width:2172;height:1424" coordorigin="9734,14734" coordsize="2172,1424">
              <v:shape style="position:absolute;left:9734;top:14734;width:2172;height:1424" coordorigin="9734,14734" coordsize="2172,1424" path="m11906,16157l9734,16157,10302,14734,11906,14734,11906,16157xe" filled="true" fillcolor="#8e9090" stroked="false">
                <v:path arrowok="t"/>
                <v:fill type="solid"/>
              </v:shape>
            </v:group>
            <v:group style="position:absolute;left:9398;top:13890;width:2508;height:2268" coordorigin="9398,13890" coordsize="2508,2268">
              <v:shape style="position:absolute;left:9398;top:13890;width:2508;height:2268" coordorigin="9398,13890" coordsize="2508,2268" path="m11906,16157l9398,16157,10302,13890,11906,13890,11906,16157xe" filled="true" fillcolor="#d7000f" stroked="false">
                <v:path arrowok="t"/>
                <v:fill type="solid"/>
              </v:shape>
              <v:shape style="position:absolute;left:6672;top:8164;width:188;height:188" type="#_x0000_t75" stroked="false">
                <v:imagedata r:id="rId143" o:title=""/>
              </v:shape>
            </v:group>
            <v:group style="position:absolute;left:3798;top:8258;width:2945;height:2" coordorigin="3798,8258" coordsize="2945,2">
              <v:shape style="position:absolute;left:3798;top:8258;width:2945;height:2" coordorigin="3798,8258" coordsize="2945,0" path="m6742,8258l3798,8258e" filled="false" stroked="true" strokeweight=".956pt" strokecolor="#d7000f">
                <v:path arrowok="t"/>
              </v:shape>
            </v:group>
            <v:group style="position:absolute;left:0;top:7172;width:1299;height:4020" coordorigin="0,7172" coordsize="1299,4020">
              <v:shape style="position:absolute;left:0;top:7172;width:1299;height:4020" coordorigin="0,7172" coordsize="1299,4020" path="m0,11192l0,7172,1298,7172,0,11192xe" filled="true" fillcolor="#8e9090" stroked="false">
                <v:path arrowok="t"/>
                <v:fill type="solid"/>
              </v:shape>
            </v:group>
            <v:group style="position:absolute;left:0;top:2268;width:11906;height:12076" coordorigin="0,2268" coordsize="11906,12076">
              <v:shape style="position:absolute;left:0;top:2268;width:11906;height:12076" coordorigin="0,2268" coordsize="11906,12076" path="m11905,14343l0,14343,0,5315,1215,2268,11906,2268,11905,14343xe" filled="true" fillcolor="#ffffff" stroked="false">
                <v:path arrowok="t"/>
                <v:fill type="solid"/>
              </v:shape>
            </v:group>
            <v:group style="position:absolute;left:1757;top:7644;width:4120;height:2" coordorigin="1757,7644" coordsize="4120,2">
              <v:shape style="position:absolute;left:1757;top:7644;width:4120;height:2" coordorigin="1757,7644" coordsize="4120,0" path="m1757,7644l5877,7644e" filled="false" stroked="true" strokeweight="2pt" strokecolor="#9c8758">
                <v:path arrowok="t"/>
              </v:shape>
            </v:group>
            <v:group style="position:absolute;left:5877;top:7644;width:1097;height:2" coordorigin="5877,7644" coordsize="1097,2">
              <v:shape style="position:absolute;left:5877;top:7644;width:1097;height:2" coordorigin="5877,7644" coordsize="1097,0" path="m5877,7644l6973,7644e" filled="false" stroked="true" strokeweight="2pt" strokecolor="#9c8758">
                <v:path arrowok="t"/>
              </v:shape>
            </v:group>
            <v:group style="position:absolute;left:6973;top:7644;width:2552;height:2" coordorigin="6973,7644" coordsize="2552,2">
              <v:shape style="position:absolute;left:6973;top:7644;width:2552;height:2" coordorigin="6973,7644" coordsize="2552,0" path="m6973,7644l9524,7644e" filled="false" stroked="true" strokeweight="2pt" strokecolor="#9c8758">
                <v:path arrowok="t"/>
              </v:shape>
            </v:group>
            <v:group style="position:absolute;left:9524;top:7644;width:1531;height:2" coordorigin="9524,7644" coordsize="1531,2">
              <v:shape style="position:absolute;left:9524;top:7644;width:1531;height:2" coordorigin="9524,7644" coordsize="1531,0" path="m9524,7644l11055,7644e" filled="false" stroked="true" strokeweight="2pt" strokecolor="#9c8758">
                <v:path arrowok="t"/>
              </v:shape>
            </v:group>
            <v:group style="position:absolute;left:1757;top:8339;width:4120;height:2" coordorigin="1757,8339" coordsize="4120,2">
              <v:shape style="position:absolute;left:1757;top:8339;width:4120;height:2" coordorigin="1757,8339" coordsize="4120,0" path="m1757,8339l5877,8339e" filled="false" stroked="true" strokeweight=".5pt" strokecolor="#000000">
                <v:path arrowok="t"/>
              </v:shape>
            </v:group>
            <v:group style="position:absolute;left:5877;top:8339;width:1097;height:2" coordorigin="5877,8339" coordsize="1097,2">
              <v:shape style="position:absolute;left:5877;top:8339;width:1097;height:2" coordorigin="5877,8339" coordsize="1097,0" path="m5877,8339l6973,8339e" filled="false" stroked="true" strokeweight=".5pt" strokecolor="#000000">
                <v:path arrowok="t"/>
              </v:shape>
            </v:group>
            <v:group style="position:absolute;left:6973;top:8339;width:2552;height:2" coordorigin="6973,8339" coordsize="2552,2">
              <v:shape style="position:absolute;left:6973;top:8339;width:2552;height:2" coordorigin="6973,8339" coordsize="2552,0" path="m6973,8339l9524,8339e" filled="false" stroked="true" strokeweight=".5pt" strokecolor="#000000">
                <v:path arrowok="t"/>
              </v:shape>
            </v:group>
            <v:group style="position:absolute;left:9524;top:8339;width:1531;height:2" coordorigin="9524,8339" coordsize="1531,2">
              <v:shape style="position:absolute;left:9524;top:8339;width:1531;height:2" coordorigin="9524,8339" coordsize="1531,0" path="m9524,8339l11055,8339e" filled="false" stroked="true" strokeweight=".5pt" strokecolor="#000000">
                <v:path arrowok="t"/>
              </v:shape>
            </v:group>
            <v:group style="position:absolute;left:1757;top:9880;width:998;height:2" coordorigin="1757,9880" coordsize="998,2">
              <v:shape style="position:absolute;left:1757;top:9880;width:998;height:2" coordorigin="1757,9880" coordsize="998,0" path="m1757,9880l2755,9880e" filled="false" stroked="true" strokeweight="2pt" strokecolor="#9c8758">
                <v:path arrowok="t"/>
              </v:shape>
            </v:group>
            <v:group style="position:absolute;left:2755;top:9880;width:488;height:2" coordorigin="2755,9880" coordsize="488,2">
              <v:shape style="position:absolute;left:2755;top:9880;width:488;height:2" coordorigin="2755,9880" coordsize="488,0" path="m2755,9880l3243,9880e" filled="false" stroked="true" strokeweight="2pt" strokecolor="#9c8758">
                <v:path arrowok="t"/>
              </v:shape>
            </v:group>
            <v:group style="position:absolute;left:3243;top:9880;width:681;height:2" coordorigin="3243,9880" coordsize="681,2">
              <v:shape style="position:absolute;left:3243;top:9880;width:681;height:2" coordorigin="3243,9880" coordsize="681,0" path="m3243,9880l3923,9880e" filled="false" stroked="true" strokeweight="2pt" strokecolor="#9c8758">
                <v:path arrowok="t"/>
              </v:shape>
            </v:group>
            <v:group style="position:absolute;left:3923;top:9880;width:1112;height:2" coordorigin="3923,9880" coordsize="1112,2">
              <v:shape style="position:absolute;left:3923;top:9880;width:1112;height:2" coordorigin="3923,9880" coordsize="1112,0" path="m3923,9880l5034,9880e" filled="false" stroked="true" strokeweight="2pt" strokecolor="#9c8758">
                <v:path arrowok="t"/>
              </v:shape>
            </v:group>
            <v:group style="position:absolute;left:5034;top:9880;width:1123;height:2" coordorigin="5034,9880" coordsize="1123,2">
              <v:shape style="position:absolute;left:5034;top:9880;width:1123;height:2" coordorigin="5034,9880" coordsize="1123,0" path="m5034,9880l6157,9880e" filled="false" stroked="true" strokeweight="2pt" strokecolor="#9c8758">
                <v:path arrowok="t"/>
              </v:shape>
            </v:group>
            <v:group style="position:absolute;left:6157;top:9880;width:1543;height:2" coordorigin="6157,9880" coordsize="1543,2">
              <v:shape style="position:absolute;left:6157;top:9880;width:1543;height:2" coordorigin="6157,9880" coordsize="1543,0" path="m6157,9880l7699,9880e" filled="false" stroked="true" strokeweight="2pt" strokecolor="#9c8758">
                <v:path arrowok="t"/>
              </v:shape>
            </v:group>
            <v:group style="position:absolute;left:7699;top:9880;width:3357;height:2" coordorigin="7699,9880" coordsize="3357,2">
              <v:shape style="position:absolute;left:7699;top:9880;width:3357;height:2" coordorigin="7699,9880" coordsize="3357,0" path="m7699,9880l11055,9880e" filled="false" stroked="true" strokeweight="2pt" strokecolor="#9c8758">
                <v:path arrowok="t"/>
              </v:shape>
            </v:group>
            <v:group style="position:absolute;left:1757;top:13175;width:998;height:2" coordorigin="1757,13175" coordsize="998,2">
              <v:shape style="position:absolute;left:1757;top:13175;width:998;height:2" coordorigin="1757,13175" coordsize="998,0" path="m1757,13175l2755,13175e" filled="false" stroked="true" strokeweight=".5pt" strokecolor="#000000">
                <v:path arrowok="t"/>
              </v:shape>
            </v:group>
            <v:group style="position:absolute;left:2755;top:13175;width:488;height:2" coordorigin="2755,13175" coordsize="488,2">
              <v:shape style="position:absolute;left:2755;top:13175;width:488;height:2" coordorigin="2755,13175" coordsize="488,0" path="m2755,13175l3243,13175e" filled="false" stroked="true" strokeweight=".5pt" strokecolor="#000000">
                <v:path arrowok="t"/>
              </v:shape>
            </v:group>
            <v:group style="position:absolute;left:3243;top:13175;width:681;height:2" coordorigin="3243,13175" coordsize="681,2">
              <v:shape style="position:absolute;left:3243;top:13175;width:681;height:2" coordorigin="3243,13175" coordsize="681,0" path="m3243,13175l3923,13175e" filled="false" stroked="true" strokeweight=".5pt" strokecolor="#000000">
                <v:path arrowok="t"/>
              </v:shape>
            </v:group>
            <v:group style="position:absolute;left:3923;top:13175;width:1112;height:2" coordorigin="3923,13175" coordsize="1112,2">
              <v:shape style="position:absolute;left:3923;top:13175;width:1112;height:2" coordorigin="3923,13175" coordsize="1112,0" path="m3923,13175l5034,13175e" filled="false" stroked="true" strokeweight=".5pt" strokecolor="#000000">
                <v:path arrowok="t"/>
              </v:shape>
            </v:group>
            <v:group style="position:absolute;left:5034;top:13175;width:1123;height:2" coordorigin="5034,13175" coordsize="1123,2">
              <v:shape style="position:absolute;left:5034;top:13175;width:1123;height:2" coordorigin="5034,13175" coordsize="1123,0" path="m5034,13175l6157,13175e" filled="false" stroked="true" strokeweight=".5pt" strokecolor="#000000">
                <v:path arrowok="t"/>
              </v:shape>
            </v:group>
            <v:group style="position:absolute;left:6157;top:13175;width:1543;height:2" coordorigin="6157,13175" coordsize="1543,2">
              <v:shape style="position:absolute;left:6157;top:13175;width:1543;height:2" coordorigin="6157,13175" coordsize="1543,0" path="m6157,13175l7699,13175e" filled="false" stroked="true" strokeweight=".5pt" strokecolor="#000000">
                <v:path arrowok="t"/>
              </v:shape>
            </v:group>
            <v:group style="position:absolute;left:7699;top:13175;width:3357;height:2" coordorigin="7699,13175" coordsize="3357,2">
              <v:shape style="position:absolute;left:7699;top:13175;width:3357;height:2" coordorigin="7699,13175" coordsize="3357,0" path="m7699,13175l11055,13175e" filled="false" stroked="true" strokeweight=".5pt" strokecolor="#000000">
                <v:path arrowok="t"/>
              </v:shape>
            </v:group>
            <w10:wrap type="none"/>
          </v:group>
        </w:pict>
      </w:r>
      <w:r>
        <w:rPr>
          <w:rFonts w:ascii="宋体" w:hAnsi="宋体" w:cs="宋体" w:eastAsia="宋体" w:hint="default"/>
          <w:sz w:val="16"/>
          <w:szCs w:val="16"/>
        </w:rPr>
        <w:t>合计</w:t>
        <w:tab/>
        <w:t>0</w:t>
        <w:tab/>
        <w:t>0</w:t>
        <w:tab/>
        <w:t>793,861,000</w:t>
        <w:tab/>
        <w:t>793,861,000</w:t>
        <w:tab/>
      </w:r>
      <w:r>
        <w:rPr>
          <w:rFonts w:ascii="宋体" w:hAnsi="宋体" w:cs="宋体" w:eastAsia="宋体" w:hint="default"/>
          <w:w w:val="55"/>
          <w:sz w:val="16"/>
          <w:szCs w:val="16"/>
        </w:rPr>
        <w:t>/</w:t>
        <w:tab/>
      </w:r>
      <w:r>
        <w:rPr>
          <w:rFonts w:ascii="宋体" w:hAnsi="宋体" w:cs="宋体" w:eastAsia="宋体" w:hint="default"/>
          <w:w w:val="95"/>
          <w:sz w:val="16"/>
          <w:szCs w:val="16"/>
        </w:rPr>
        <w:t>/</w:t>
      </w:r>
      <w:r>
        <w:rPr>
          <w:rFonts w:ascii="宋体" w:hAnsi="宋体" w:cs="宋体" w:eastAsia="宋体" w:hint="default"/>
          <w:sz w:val="16"/>
          <w:szCs w:val="16"/>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1789" w:val="left" w:leader="none"/>
          <w:tab w:pos="9811" w:val="right" w:leader="none"/>
        </w:tabs>
        <w:spacing w:before="199"/>
        <w:ind w:left="18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5"/>
          <w:w w:val="105"/>
          <w:sz w:val="16"/>
          <w:szCs w:val="16"/>
        </w:rPr>
        <w:t>普通股股份变动及股东情况</w:t>
      </w:r>
      <w:r>
        <w:rPr>
          <w:rFonts w:ascii="Arial" w:hAnsi="Arial" w:cs="Arial" w:eastAsia="Arial" w:hint="default"/>
          <w:b/>
          <w:bCs/>
          <w:color w:val="9C8758"/>
          <w:spacing w:val="25"/>
          <w:w w:val="105"/>
          <w:position w:val="1"/>
          <w:sz w:val="16"/>
          <w:szCs w:val="16"/>
        </w:rPr>
        <w:tab/>
      </w:r>
      <w:r>
        <w:rPr>
          <w:rFonts w:ascii="Arial" w:hAnsi="Arial" w:cs="Arial" w:eastAsia="Arial" w:hint="default"/>
          <w:b/>
          <w:bCs/>
          <w:color w:val="9C8758"/>
          <w:w w:val="105"/>
          <w:position w:val="1"/>
          <w:sz w:val="16"/>
          <w:szCs w:val="16"/>
        </w:rPr>
        <w:t>47</w:t>
      </w:r>
      <w:r>
        <w:rPr>
          <w:rFonts w:ascii="Arial" w:hAnsi="Arial" w:cs="Arial" w:eastAsia="Arial" w:hint="default"/>
          <w:w w:val="105"/>
          <w:sz w:val="16"/>
          <w:szCs w:val="16"/>
        </w:rPr>
      </w:r>
    </w:p>
    <w:p>
      <w:pPr>
        <w:spacing w:after="0"/>
        <w:jc w:val="left"/>
        <w:rPr>
          <w:rFonts w:ascii="Arial" w:hAnsi="Arial" w:cs="Arial" w:eastAsia="Arial" w:hint="default"/>
          <w:sz w:val="16"/>
          <w:szCs w:val="16"/>
        </w:rPr>
        <w:sectPr>
          <w:type w:val="continuous"/>
          <w:pgSz w:w="11910" w:h="16160"/>
          <w:pgMar w:top="1520" w:bottom="280" w:left="1300" w:right="660"/>
        </w:sectPr>
      </w:pPr>
    </w:p>
    <w:p>
      <w:pPr>
        <w:pStyle w:val="BodyText"/>
        <w:spacing w:line="240" w:lineRule="auto" w:before="660"/>
        <w:ind w:left="150" w:right="1314"/>
        <w:jc w:val="left"/>
        <w:rPr>
          <w:rFonts w:ascii="宋体" w:hAnsi="宋体" w:cs="宋体" w:eastAsia="宋体" w:hint="default"/>
        </w:rPr>
      </w:pPr>
      <w:r>
        <w:rPr>
          <w:rFonts w:ascii="宋体" w:hAnsi="宋体" w:cs="宋体" w:eastAsia="宋体" w:hint="default"/>
          <w:color w:val="D7000F"/>
        </w:rPr>
        <w:t>二、证券发行与上市情况</w:t>
      </w:r>
      <w:r>
        <w:rPr>
          <w:rFonts w:ascii="宋体" w:hAnsi="宋体" w:cs="宋体" w:eastAsia="宋体" w:hint="default"/>
        </w:rPr>
      </w:r>
    </w:p>
    <w:p>
      <w:pPr>
        <w:spacing w:before="237"/>
        <w:ind w:left="150" w:right="131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截至报告期内证券发行情况</w:t>
      </w:r>
    </w:p>
    <w:p>
      <w:pPr>
        <w:spacing w:before="133"/>
        <w:ind w:left="0" w:right="1517" w:firstLine="0"/>
        <w:jc w:val="right"/>
        <w:rPr>
          <w:rFonts w:ascii="宋体" w:hAnsi="宋体" w:cs="宋体" w:eastAsia="宋体" w:hint="default"/>
          <w:sz w:val="12"/>
          <w:szCs w:val="12"/>
        </w:rPr>
      </w:pPr>
      <w:r>
        <w:rPr>
          <w:rFonts w:ascii="宋体" w:hAnsi="宋体" w:cs="宋体" w:eastAsia="宋体" w:hint="default"/>
          <w:sz w:val="12"/>
          <w:szCs w:val="12"/>
        </w:rPr>
        <w:t>单位：股</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spacing w:line="240" w:lineRule="auto" w:before="10"/>
        <w:rPr>
          <w:rFonts w:ascii="宋体" w:hAnsi="宋体" w:cs="宋体" w:eastAsia="宋体" w:hint="default"/>
          <w:sz w:val="3"/>
          <w:szCs w:val="3"/>
        </w:rPr>
      </w:pPr>
    </w:p>
    <w:tbl>
      <w:tblPr>
        <w:tblW w:w="0" w:type="auto"/>
        <w:jc w:val="left"/>
        <w:tblInd w:w="490" w:type="dxa"/>
        <w:tblLayout w:type="fixed"/>
        <w:tblCellMar>
          <w:top w:w="0" w:type="dxa"/>
          <w:left w:w="0" w:type="dxa"/>
          <w:bottom w:w="0" w:type="dxa"/>
          <w:right w:w="0" w:type="dxa"/>
        </w:tblCellMar>
        <w:tblLook w:val="01E0"/>
      </w:tblPr>
      <w:tblGrid>
        <w:gridCol w:w="2148"/>
        <w:gridCol w:w="1032"/>
        <w:gridCol w:w="1062"/>
        <w:gridCol w:w="1360"/>
        <w:gridCol w:w="1233"/>
        <w:gridCol w:w="1450"/>
        <w:gridCol w:w="995"/>
      </w:tblGrid>
      <w:tr>
        <w:trPr>
          <w:trHeight w:val="538" w:hRule="exact"/>
        </w:trPr>
        <w:tc>
          <w:tcPr>
            <w:tcW w:w="2148" w:type="dxa"/>
            <w:tcBorders>
              <w:top w:val="nil" w:sz="6" w:space="0" w:color="auto"/>
              <w:left w:val="nil" w:sz="6" w:space="0" w:color="auto"/>
              <w:bottom w:val="single" w:sz="16" w:space="0" w:color="9C8758"/>
              <w:right w:val="nil" w:sz="6" w:space="0" w:color="auto"/>
            </w:tcBorders>
          </w:tcPr>
          <w:p>
            <w:pPr>
              <w:pStyle w:val="TableParagraph"/>
              <w:spacing w:line="240" w:lineRule="auto" w:before="215"/>
              <w:ind w:left="85" w:right="0"/>
              <w:jc w:val="left"/>
              <w:rPr>
                <w:rFonts w:ascii="宋体" w:hAnsi="宋体" w:cs="宋体" w:eastAsia="宋体" w:hint="default"/>
                <w:sz w:val="16"/>
                <w:szCs w:val="16"/>
              </w:rPr>
            </w:pPr>
            <w:r>
              <w:rPr>
                <w:rFonts w:ascii="宋体" w:hAnsi="宋体" w:cs="宋体" w:eastAsia="宋体" w:hint="default"/>
                <w:sz w:val="16"/>
                <w:szCs w:val="16"/>
              </w:rPr>
              <w:t>股票及其衍生证券的种类</w:t>
            </w:r>
          </w:p>
        </w:tc>
        <w:tc>
          <w:tcPr>
            <w:tcW w:w="1032" w:type="dxa"/>
            <w:tcBorders>
              <w:top w:val="nil" w:sz="6" w:space="0" w:color="auto"/>
              <w:left w:val="nil" w:sz="6" w:space="0" w:color="auto"/>
              <w:bottom w:val="single" w:sz="16" w:space="0" w:color="9C8758"/>
              <w:right w:val="nil" w:sz="6" w:space="0" w:color="auto"/>
            </w:tcBorders>
          </w:tcPr>
          <w:p>
            <w:pPr>
              <w:pStyle w:val="TableParagraph"/>
              <w:spacing w:line="200" w:lineRule="exact" w:before="42"/>
              <w:ind w:left="604" w:right="105"/>
              <w:jc w:val="left"/>
              <w:rPr>
                <w:rFonts w:ascii="宋体" w:hAnsi="宋体" w:cs="宋体" w:eastAsia="宋体" w:hint="default"/>
                <w:sz w:val="16"/>
                <w:szCs w:val="16"/>
              </w:rPr>
            </w:pPr>
            <w:r>
              <w:rPr>
                <w:rFonts w:ascii="宋体" w:hAnsi="宋体" w:cs="宋体" w:eastAsia="宋体" w:hint="default"/>
                <w:sz w:val="16"/>
                <w:szCs w:val="16"/>
              </w:rPr>
              <w:t>发行 日期</w:t>
            </w:r>
          </w:p>
        </w:tc>
        <w:tc>
          <w:tcPr>
            <w:tcW w:w="1062" w:type="dxa"/>
            <w:tcBorders>
              <w:top w:val="nil" w:sz="6" w:space="0" w:color="auto"/>
              <w:left w:val="nil" w:sz="6" w:space="0" w:color="auto"/>
              <w:bottom w:val="single" w:sz="16" w:space="0" w:color="9C8758"/>
              <w:right w:val="nil" w:sz="6" w:space="0" w:color="auto"/>
            </w:tcBorders>
          </w:tcPr>
          <w:p>
            <w:pPr>
              <w:pStyle w:val="TableParagraph"/>
              <w:spacing w:line="205" w:lineRule="exact" w:before="15"/>
              <w:ind w:left="187" w:right="0"/>
              <w:jc w:val="left"/>
              <w:rPr>
                <w:rFonts w:ascii="宋体" w:hAnsi="宋体" w:cs="宋体" w:eastAsia="宋体" w:hint="default"/>
                <w:sz w:val="16"/>
                <w:szCs w:val="16"/>
              </w:rPr>
            </w:pPr>
            <w:r>
              <w:rPr>
                <w:rFonts w:ascii="宋体" w:hAnsi="宋体" w:cs="宋体" w:eastAsia="宋体" w:hint="default"/>
                <w:sz w:val="16"/>
                <w:szCs w:val="16"/>
              </w:rPr>
              <w:t>发行价格</w:t>
            </w:r>
          </w:p>
          <w:p>
            <w:pPr>
              <w:pStyle w:val="TableParagraph"/>
              <w:spacing w:line="205" w:lineRule="exact"/>
              <w:ind w:left="107" w:right="0"/>
              <w:jc w:val="left"/>
              <w:rPr>
                <w:rFonts w:ascii="宋体" w:hAnsi="宋体" w:cs="宋体" w:eastAsia="宋体" w:hint="default"/>
                <w:sz w:val="16"/>
                <w:szCs w:val="16"/>
              </w:rPr>
            </w:pPr>
            <w:r>
              <w:rPr>
                <w:rFonts w:ascii="宋体" w:hAnsi="宋体" w:cs="宋体" w:eastAsia="宋体" w:hint="default"/>
                <w:sz w:val="16"/>
                <w:szCs w:val="16"/>
              </w:rPr>
              <w:t>（或利率）</w:t>
            </w:r>
          </w:p>
        </w:tc>
        <w:tc>
          <w:tcPr>
            <w:tcW w:w="1360" w:type="dxa"/>
            <w:tcBorders>
              <w:top w:val="nil" w:sz="6" w:space="0" w:color="auto"/>
              <w:left w:val="nil" w:sz="6" w:space="0" w:color="auto"/>
              <w:bottom w:val="single" w:sz="16" w:space="0" w:color="9C8758"/>
              <w:right w:val="nil" w:sz="6" w:space="0" w:color="auto"/>
            </w:tcBorders>
          </w:tcPr>
          <w:p>
            <w:pPr>
              <w:pStyle w:val="TableParagraph"/>
              <w:spacing w:line="200" w:lineRule="exact" w:before="42"/>
              <w:ind w:left="721" w:right="316"/>
              <w:jc w:val="left"/>
              <w:rPr>
                <w:rFonts w:ascii="宋体" w:hAnsi="宋体" w:cs="宋体" w:eastAsia="宋体" w:hint="default"/>
                <w:sz w:val="16"/>
                <w:szCs w:val="16"/>
              </w:rPr>
            </w:pPr>
            <w:r>
              <w:rPr>
                <w:rFonts w:ascii="宋体" w:hAnsi="宋体" w:cs="宋体" w:eastAsia="宋体" w:hint="default"/>
                <w:sz w:val="16"/>
                <w:szCs w:val="16"/>
              </w:rPr>
              <w:t>发行 数量</w:t>
            </w:r>
          </w:p>
        </w:tc>
        <w:tc>
          <w:tcPr>
            <w:tcW w:w="1233" w:type="dxa"/>
            <w:tcBorders>
              <w:top w:val="nil" w:sz="6" w:space="0" w:color="auto"/>
              <w:left w:val="nil" w:sz="6" w:space="0" w:color="auto"/>
              <w:bottom w:val="single" w:sz="16" w:space="0" w:color="9C8758"/>
              <w:right w:val="nil" w:sz="6" w:space="0" w:color="auto"/>
            </w:tcBorders>
          </w:tcPr>
          <w:p>
            <w:pPr>
              <w:pStyle w:val="TableParagraph"/>
              <w:spacing w:line="200" w:lineRule="exact" w:before="42"/>
              <w:ind w:left="619" w:right="291"/>
              <w:jc w:val="left"/>
              <w:rPr>
                <w:rFonts w:ascii="宋体" w:hAnsi="宋体" w:cs="宋体" w:eastAsia="宋体" w:hint="default"/>
                <w:sz w:val="16"/>
                <w:szCs w:val="16"/>
              </w:rPr>
            </w:pPr>
            <w:r>
              <w:rPr>
                <w:rFonts w:ascii="宋体" w:hAnsi="宋体" w:cs="宋体" w:eastAsia="宋体" w:hint="default"/>
                <w:sz w:val="16"/>
                <w:szCs w:val="16"/>
              </w:rPr>
              <w:t>上市 日期</w:t>
            </w:r>
          </w:p>
        </w:tc>
        <w:tc>
          <w:tcPr>
            <w:tcW w:w="1450" w:type="dxa"/>
            <w:tcBorders>
              <w:top w:val="nil" w:sz="6" w:space="0" w:color="auto"/>
              <w:left w:val="nil" w:sz="6" w:space="0" w:color="auto"/>
              <w:bottom w:val="single" w:sz="16" w:space="0" w:color="9C8758"/>
              <w:right w:val="nil" w:sz="6" w:space="0" w:color="auto"/>
            </w:tcBorders>
          </w:tcPr>
          <w:p>
            <w:pPr>
              <w:pStyle w:val="TableParagraph"/>
              <w:spacing w:line="200" w:lineRule="exact" w:before="42"/>
              <w:ind w:left="540" w:right="267"/>
              <w:jc w:val="left"/>
              <w:rPr>
                <w:rFonts w:ascii="宋体" w:hAnsi="宋体" w:cs="宋体" w:eastAsia="宋体" w:hint="default"/>
                <w:sz w:val="16"/>
                <w:szCs w:val="16"/>
              </w:rPr>
            </w:pPr>
            <w:r>
              <w:rPr>
                <w:rFonts w:ascii="宋体" w:hAnsi="宋体" w:cs="宋体" w:eastAsia="宋体" w:hint="default"/>
                <w:sz w:val="16"/>
                <w:szCs w:val="16"/>
              </w:rPr>
              <w:t>获准上市 交易数量</w:t>
            </w:r>
          </w:p>
        </w:tc>
        <w:tc>
          <w:tcPr>
            <w:tcW w:w="995" w:type="dxa"/>
            <w:tcBorders>
              <w:top w:val="nil" w:sz="6" w:space="0" w:color="auto"/>
              <w:left w:val="nil" w:sz="6" w:space="0" w:color="auto"/>
              <w:bottom w:val="single" w:sz="16" w:space="0" w:color="9C8758"/>
              <w:right w:val="nil" w:sz="6" w:space="0" w:color="auto"/>
            </w:tcBorders>
          </w:tcPr>
          <w:p>
            <w:pPr>
              <w:pStyle w:val="TableParagraph"/>
              <w:spacing w:line="205" w:lineRule="exact" w:before="15"/>
              <w:ind w:left="269" w:right="0"/>
              <w:jc w:val="left"/>
              <w:rPr>
                <w:rFonts w:ascii="宋体" w:hAnsi="宋体" w:cs="宋体" w:eastAsia="宋体" w:hint="default"/>
                <w:sz w:val="16"/>
                <w:szCs w:val="16"/>
              </w:rPr>
            </w:pPr>
            <w:r>
              <w:rPr>
                <w:rFonts w:ascii="宋体" w:hAnsi="宋体" w:cs="宋体" w:eastAsia="宋体" w:hint="default"/>
                <w:sz w:val="16"/>
                <w:szCs w:val="16"/>
              </w:rPr>
              <w:t>交易终止</w:t>
            </w:r>
          </w:p>
          <w:p>
            <w:pPr>
              <w:pStyle w:val="TableParagraph"/>
              <w:spacing w:line="205" w:lineRule="exact"/>
              <w:ind w:left="589" w:right="0"/>
              <w:jc w:val="left"/>
              <w:rPr>
                <w:rFonts w:ascii="宋体" w:hAnsi="宋体" w:cs="宋体" w:eastAsia="宋体" w:hint="default"/>
                <w:sz w:val="16"/>
                <w:szCs w:val="16"/>
              </w:rPr>
            </w:pPr>
            <w:r>
              <w:rPr>
                <w:rFonts w:ascii="宋体" w:hAnsi="宋体" w:cs="宋体" w:eastAsia="宋体" w:hint="default"/>
                <w:sz w:val="16"/>
                <w:szCs w:val="16"/>
              </w:rPr>
              <w:t>日期</w:t>
            </w:r>
          </w:p>
        </w:tc>
      </w:tr>
      <w:tr>
        <w:trPr>
          <w:trHeight w:val="679" w:hRule="exact"/>
        </w:trPr>
        <w:tc>
          <w:tcPr>
            <w:tcW w:w="2148" w:type="dxa"/>
            <w:tcBorders>
              <w:top w:val="single" w:sz="16" w:space="0" w:color="9C8758"/>
              <w:left w:val="nil" w:sz="6" w:space="0" w:color="auto"/>
              <w:bottom w:val="nil" w:sz="6" w:space="0" w:color="auto"/>
              <w:right w:val="nil" w:sz="6" w:space="0" w:color="auto"/>
            </w:tcBorders>
          </w:tcPr>
          <w:p>
            <w:pPr>
              <w:pStyle w:val="TableParagraph"/>
              <w:spacing w:line="314" w:lineRule="auto" w:before="64"/>
              <w:ind w:left="85" w:right="621"/>
              <w:jc w:val="left"/>
              <w:rPr>
                <w:rFonts w:ascii="宋体" w:hAnsi="宋体" w:cs="宋体" w:eastAsia="宋体" w:hint="default"/>
                <w:sz w:val="16"/>
                <w:szCs w:val="16"/>
              </w:rPr>
            </w:pPr>
            <w:r>
              <w:rPr>
                <w:rFonts w:ascii="宋体" w:hAnsi="宋体" w:cs="宋体" w:eastAsia="宋体" w:hint="default"/>
                <w:sz w:val="16"/>
                <w:szCs w:val="16"/>
              </w:rPr>
              <w:t>普通股股票类 限制性股票激励计划</w:t>
            </w:r>
          </w:p>
        </w:tc>
        <w:tc>
          <w:tcPr>
            <w:tcW w:w="1032" w:type="dxa"/>
            <w:tcBorders>
              <w:top w:val="single" w:sz="16" w:space="0" w:color="9C87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303" w:right="0"/>
              <w:jc w:val="left"/>
              <w:rPr>
                <w:rFonts w:ascii="宋体" w:hAnsi="宋体" w:cs="宋体" w:eastAsia="宋体" w:hint="default"/>
                <w:sz w:val="16"/>
                <w:szCs w:val="16"/>
              </w:rPr>
            </w:pPr>
            <w:r>
              <w:rPr>
                <w:rFonts w:ascii="宋体"/>
                <w:sz w:val="16"/>
              </w:rPr>
              <w:t>2018.4.9</w:t>
            </w:r>
          </w:p>
        </w:tc>
        <w:tc>
          <w:tcPr>
            <w:tcW w:w="1062" w:type="dxa"/>
            <w:tcBorders>
              <w:top w:val="single" w:sz="16" w:space="0" w:color="9C87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317" w:right="0"/>
              <w:jc w:val="left"/>
              <w:rPr>
                <w:rFonts w:ascii="宋体" w:hAnsi="宋体" w:cs="宋体" w:eastAsia="宋体" w:hint="default"/>
                <w:sz w:val="16"/>
                <w:szCs w:val="16"/>
              </w:rPr>
            </w:pPr>
            <w:r>
              <w:rPr>
                <w:rFonts w:ascii="宋体" w:hAnsi="宋体" w:cs="宋体" w:eastAsia="宋体" w:hint="default"/>
                <w:sz w:val="16"/>
                <w:szCs w:val="16"/>
              </w:rPr>
              <w:t>3.79</w:t>
            </w:r>
            <w:r>
              <w:rPr>
                <w:rFonts w:ascii="宋体" w:hAnsi="宋体" w:cs="宋体" w:eastAsia="宋体" w:hint="default"/>
                <w:spacing w:val="-51"/>
                <w:sz w:val="16"/>
                <w:szCs w:val="16"/>
              </w:rPr>
              <w:t> </w:t>
            </w:r>
            <w:r>
              <w:rPr>
                <w:rFonts w:ascii="宋体" w:hAnsi="宋体" w:cs="宋体" w:eastAsia="宋体" w:hint="default"/>
                <w:sz w:val="16"/>
                <w:szCs w:val="16"/>
              </w:rPr>
              <w:t>元</w:t>
            </w:r>
          </w:p>
        </w:tc>
        <w:tc>
          <w:tcPr>
            <w:tcW w:w="1360" w:type="dxa"/>
            <w:tcBorders>
              <w:top w:val="single" w:sz="16" w:space="0" w:color="9C87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154" w:right="0"/>
              <w:jc w:val="left"/>
              <w:rPr>
                <w:rFonts w:ascii="宋体" w:hAnsi="宋体" w:cs="宋体" w:eastAsia="宋体" w:hint="default"/>
                <w:sz w:val="16"/>
                <w:szCs w:val="16"/>
              </w:rPr>
            </w:pPr>
            <w:r>
              <w:rPr>
                <w:rFonts w:ascii="宋体"/>
                <w:sz w:val="16"/>
              </w:rPr>
              <w:t>793,861,000</w:t>
            </w:r>
          </w:p>
        </w:tc>
        <w:tc>
          <w:tcPr>
            <w:tcW w:w="1233" w:type="dxa"/>
            <w:tcBorders>
              <w:top w:val="single" w:sz="16" w:space="0" w:color="9C87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318" w:right="0"/>
              <w:jc w:val="left"/>
              <w:rPr>
                <w:rFonts w:ascii="宋体" w:hAnsi="宋体" w:cs="宋体" w:eastAsia="宋体" w:hint="default"/>
                <w:sz w:val="16"/>
                <w:szCs w:val="16"/>
              </w:rPr>
            </w:pPr>
            <w:r>
              <w:rPr>
                <w:rFonts w:ascii="宋体"/>
                <w:sz w:val="16"/>
              </w:rPr>
              <w:t>2018.4.9</w:t>
            </w:r>
          </w:p>
        </w:tc>
        <w:tc>
          <w:tcPr>
            <w:tcW w:w="1450" w:type="dxa"/>
            <w:tcBorders>
              <w:top w:val="single" w:sz="16" w:space="0" w:color="9C87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293" w:right="0"/>
              <w:jc w:val="left"/>
              <w:rPr>
                <w:rFonts w:ascii="宋体" w:hAnsi="宋体" w:cs="宋体" w:eastAsia="宋体" w:hint="default"/>
                <w:sz w:val="16"/>
                <w:szCs w:val="16"/>
              </w:rPr>
            </w:pPr>
            <w:r>
              <w:rPr>
                <w:rFonts w:ascii="宋体"/>
                <w:sz w:val="16"/>
              </w:rPr>
              <w:t>793,861,000</w:t>
            </w:r>
          </w:p>
        </w:tc>
        <w:tc>
          <w:tcPr>
            <w:tcW w:w="995" w:type="dxa"/>
            <w:tcBorders>
              <w:top w:val="single" w:sz="16" w:space="0" w:color="9C87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429" w:right="0"/>
              <w:jc w:val="left"/>
              <w:rPr>
                <w:rFonts w:ascii="宋体" w:hAnsi="宋体" w:cs="宋体" w:eastAsia="宋体" w:hint="default"/>
                <w:sz w:val="16"/>
                <w:szCs w:val="16"/>
              </w:rPr>
            </w:pPr>
            <w:r>
              <w:rPr>
                <w:rFonts w:ascii="宋体" w:hAnsi="宋体" w:cs="宋体" w:eastAsia="宋体" w:hint="default"/>
                <w:sz w:val="16"/>
                <w:szCs w:val="16"/>
              </w:rPr>
              <w:t>不适用</w:t>
            </w:r>
          </w:p>
        </w:tc>
      </w:tr>
    </w:tbl>
    <w:p>
      <w:pPr>
        <w:spacing w:line="20" w:lineRule="exact"/>
        <w:ind w:left="485" w:right="0" w:firstLine="0"/>
        <w:rPr>
          <w:rFonts w:ascii="宋体" w:hAnsi="宋体" w:cs="宋体" w:eastAsia="宋体" w:hint="default"/>
          <w:sz w:val="2"/>
          <w:szCs w:val="2"/>
        </w:rPr>
      </w:pPr>
      <w:r>
        <w:rPr>
          <w:rFonts w:ascii="宋体" w:hAnsi="宋体" w:cs="宋体" w:eastAsia="宋体" w:hint="default"/>
          <w:sz w:val="2"/>
          <w:szCs w:val="2"/>
        </w:rPr>
        <w:pict>
          <v:group style="width:464.55pt;height:.5pt;mso-position-horizontal-relative:char;mso-position-vertical-relative:line" coordorigin="0,0" coordsize="9291,10">
            <v:group style="position:absolute;left:5;top:5;width:2183;height:2" coordorigin="5,5" coordsize="2183,2">
              <v:shape style="position:absolute;left:5;top:5;width:2183;height:2" coordorigin="5,5" coordsize="2183,0" path="m5,5l2188,5e" filled="false" stroked="true" strokeweight=".5pt" strokecolor="#000000">
                <v:path arrowok="t"/>
              </v:shape>
            </v:group>
            <v:group style="position:absolute;left:2188;top:5;width:976;height:2" coordorigin="2188,5" coordsize="976,2">
              <v:shape style="position:absolute;left:2188;top:5;width:976;height:2" coordorigin="2188,5" coordsize="976,0" path="m2188,5l3163,5e" filled="false" stroked="true" strokeweight=".5pt" strokecolor="#000000">
                <v:path arrowok="t"/>
              </v:shape>
            </v:group>
            <v:group style="position:absolute;left:3163;top:5;width:936;height:2" coordorigin="3163,5" coordsize="936,2">
              <v:shape style="position:absolute;left:3163;top:5;width:936;height:2" coordorigin="3163,5" coordsize="936,0" path="m3163,5l4098,5e" filled="false" stroked="true" strokeweight=".5pt" strokecolor="#000000">
                <v:path arrowok="t"/>
              </v:shape>
            </v:group>
            <v:group style="position:absolute;left:4098;top:5;width:1276;height:2" coordorigin="4098,5" coordsize="1276,2">
              <v:shape style="position:absolute;left:4098;top:5;width:1276;height:2" coordorigin="4098,5" coordsize="1276,0" path="m4098,5l5374,5e" filled="false" stroked="true" strokeweight=".5pt" strokecolor="#000000">
                <v:path arrowok="t"/>
              </v:shape>
            </v:group>
            <v:group style="position:absolute;left:5374;top:5;width:1259;height:2" coordorigin="5374,5" coordsize="1259,2">
              <v:shape style="position:absolute;left:5374;top:5;width:1259;height:2" coordorigin="5374,5" coordsize="1259,0" path="m5374,5l6632,5e" filled="false" stroked="true" strokeweight=".5pt" strokecolor="#000000">
                <v:path arrowok="t"/>
              </v:shape>
            </v:group>
            <v:group style="position:absolute;left:6632;top:5;width:1474;height:2" coordorigin="6632,5" coordsize="1474,2">
              <v:shape style="position:absolute;left:6632;top:5;width:1474;height:2" coordorigin="6632,5" coordsize="1474,0" path="m6632,5l8106,5e" filled="false" stroked="true" strokeweight=".5pt" strokecolor="#000000">
                <v:path arrowok="t"/>
              </v:shape>
            </v:group>
            <v:group style="position:absolute;left:8106;top:5;width:1180;height:2" coordorigin="8106,5" coordsize="1180,2">
              <v:shape style="position:absolute;left:8106;top:5;width:1180;height:2" coordorigin="8106,5" coordsize="1180,0" path="m8106,5l9286,5e" filled="false" stroked="true" strokeweight=".5pt" strokecolor="#000000">
                <v:path arrowok="t"/>
              </v:shape>
            </v:group>
          </v:group>
        </w:pict>
      </w:r>
      <w:r>
        <w:rPr>
          <w:rFonts w:ascii="宋体" w:hAnsi="宋体" w:cs="宋体" w:eastAsia="宋体" w:hint="default"/>
          <w:sz w:val="2"/>
          <w:szCs w:val="2"/>
        </w:rPr>
      </w:r>
    </w:p>
    <w:p>
      <w:pPr>
        <w:spacing w:line="240" w:lineRule="auto" w:before="13"/>
        <w:rPr>
          <w:rFonts w:ascii="宋体" w:hAnsi="宋体" w:cs="宋体" w:eastAsia="宋体" w:hint="default"/>
          <w:sz w:val="17"/>
          <w:szCs w:val="17"/>
        </w:rPr>
      </w:pPr>
    </w:p>
    <w:p>
      <w:pPr>
        <w:pStyle w:val="BodyText"/>
        <w:spacing w:line="400" w:lineRule="auto"/>
        <w:ind w:left="490" w:right="3892"/>
        <w:jc w:val="left"/>
        <w:rPr>
          <w:rFonts w:ascii="宋体" w:hAnsi="宋体" w:cs="宋体" w:eastAsia="宋体" w:hint="default"/>
        </w:rPr>
      </w:pPr>
      <w:r>
        <w:rPr>
          <w:rFonts w:ascii="宋体" w:hAnsi="宋体" w:cs="宋体" w:eastAsia="宋体" w:hint="default"/>
        </w:rPr>
        <w:t>截至报告期内证券发行情况的说明（存续期内利率不同的债券，请分别说明）： 详见本年度报告第六节普通股股份变动及股东情况一（一）2</w:t>
      </w:r>
      <w:r>
        <w:rPr>
          <w:rFonts w:ascii="宋体" w:hAnsi="宋体" w:cs="宋体" w:eastAsia="宋体" w:hint="default"/>
          <w:spacing w:val="-37"/>
        </w:rPr>
        <w:t> </w:t>
      </w:r>
      <w:r>
        <w:rPr>
          <w:rFonts w:ascii="宋体" w:hAnsi="宋体" w:cs="宋体" w:eastAsia="宋体" w:hint="default"/>
        </w:rPr>
        <w:t>普通股股份变动情况说明</w:t>
      </w:r>
    </w:p>
    <w:p>
      <w:pPr>
        <w:spacing w:before="40"/>
        <w:ind w:left="150" w:right="131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1"/>
          <w:sz w:val="17"/>
          <w:szCs w:val="17"/>
        </w:rPr>
        <w:t> </w:t>
      </w:r>
      <w:r>
        <w:rPr>
          <w:rFonts w:ascii="宋体" w:hAnsi="宋体" w:cs="宋体" w:eastAsia="宋体" w:hint="default"/>
          <w:sz w:val="17"/>
          <w:szCs w:val="17"/>
        </w:rPr>
        <w:t>公司普通股股份总数及股东结构变动及公司资产和负债结构的变动情况</w:t>
      </w:r>
    </w:p>
    <w:p>
      <w:pPr>
        <w:spacing w:line="240" w:lineRule="auto" w:before="11"/>
        <w:rPr>
          <w:rFonts w:ascii="宋体" w:hAnsi="宋体" w:cs="宋体" w:eastAsia="宋体" w:hint="default"/>
          <w:sz w:val="12"/>
          <w:szCs w:val="12"/>
        </w:rPr>
      </w:pPr>
    </w:p>
    <w:p>
      <w:pPr>
        <w:pStyle w:val="BodyText"/>
        <w:spacing w:line="285" w:lineRule="auto"/>
        <w:ind w:left="490" w:right="1314"/>
        <w:jc w:val="left"/>
        <w:rPr>
          <w:rFonts w:ascii="宋体" w:hAnsi="宋体" w:cs="宋体" w:eastAsia="宋体" w:hint="default"/>
        </w:rPr>
      </w:pPr>
      <w:r>
        <w:rPr>
          <w:rFonts w:ascii="宋体" w:hAnsi="宋体" w:cs="宋体" w:eastAsia="宋体" w:hint="default"/>
          <w:spacing w:val="2"/>
        </w:rPr>
        <w:t>关于公司普通股股份总数及股东结构变动的情况详见本年度报告第六节普通股股份变动及股东情况一（一）2</w:t>
      </w:r>
      <w:r>
        <w:rPr>
          <w:rFonts w:ascii="宋体" w:hAnsi="宋体" w:cs="宋体" w:eastAsia="宋体" w:hint="default"/>
          <w:spacing w:val="-14"/>
        </w:rPr>
        <w:t> </w:t>
      </w:r>
      <w:r>
        <w:rPr>
          <w:rFonts w:ascii="宋体" w:hAnsi="宋体" w:cs="宋体" w:eastAsia="宋体" w:hint="default"/>
          <w:spacing w:val="3"/>
        </w:rPr>
        <w:t>普通股</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rPr>
        <w:t>股份变动情况说明。</w:t>
      </w:r>
    </w:p>
    <w:p>
      <w:pPr>
        <w:pStyle w:val="BodyText"/>
        <w:spacing w:line="240" w:lineRule="auto" w:before="123"/>
        <w:ind w:left="490" w:right="1314"/>
        <w:jc w:val="left"/>
        <w:rPr>
          <w:rFonts w:ascii="宋体" w:hAnsi="宋体" w:cs="宋体" w:eastAsia="宋体" w:hint="default"/>
        </w:rPr>
      </w:pPr>
      <w:r>
        <w:rPr>
          <w:rFonts w:ascii="宋体" w:hAnsi="宋体" w:cs="宋体" w:eastAsia="宋体" w:hint="default"/>
        </w:rPr>
        <w:t>限制性股票员工激励计划资金到位后增加了公司的资产和负债，公司在长期应付款确认了限制性股票回购义务。</w:t>
      </w:r>
    </w:p>
    <w:p>
      <w:pPr>
        <w:spacing w:line="240" w:lineRule="auto" w:before="1"/>
        <w:rPr>
          <w:rFonts w:ascii="宋体" w:hAnsi="宋体" w:cs="宋体" w:eastAsia="宋体" w:hint="default"/>
          <w:sz w:val="25"/>
          <w:szCs w:val="25"/>
        </w:rPr>
      </w:pPr>
    </w:p>
    <w:p>
      <w:pPr>
        <w:pStyle w:val="BodyText"/>
        <w:spacing w:line="240" w:lineRule="auto"/>
        <w:ind w:left="150" w:right="1314"/>
        <w:jc w:val="left"/>
        <w:rPr>
          <w:rFonts w:ascii="宋体" w:hAnsi="宋体" w:cs="宋体" w:eastAsia="宋体" w:hint="default"/>
        </w:rPr>
      </w:pPr>
      <w:r>
        <w:rPr>
          <w:rFonts w:ascii="宋体" w:hAnsi="宋体" w:cs="宋体" w:eastAsia="宋体" w:hint="default"/>
          <w:color w:val="D7000F"/>
        </w:rPr>
        <w:t>三、股东和实际控制人情况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150" w:right="131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股东总数</w:t>
      </w:r>
    </w:p>
    <w:p>
      <w:pPr>
        <w:spacing w:line="240" w:lineRule="auto" w:before="10"/>
        <w:rPr>
          <w:rFonts w:ascii="宋体" w:hAnsi="宋体" w:cs="宋体" w:eastAsia="宋体" w:hint="default"/>
          <w:sz w:val="15"/>
          <w:szCs w:val="15"/>
        </w:rPr>
      </w:pPr>
    </w:p>
    <w:p>
      <w:pPr>
        <w:spacing w:line="40" w:lineRule="exact"/>
        <w:ind w:left="4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6350;height:2" coordorigin="20,20" coordsize="6350,2">
              <v:shape style="position:absolute;left:20;top:20;width:6350;height:2" coordorigin="20,20" coordsize="6350,0" path="m20,20l6370,20e" filled="false" stroked="true" strokeweight="2pt" strokecolor="#9c8758">
                <v:path arrowok="t"/>
              </v:shape>
            </v:group>
            <v:group style="position:absolute;left:6370;top:20;width:2949;height:2" coordorigin="6370,20" coordsize="2949,2">
              <v:shape style="position:absolute;left:6370;top:20;width:2949;height:2" coordorigin="6370,20" coordsize="2949,0" path="m6370,20l9318,20e" filled="false" stroked="true" strokeweight="2pt" strokecolor="#9c8758">
                <v:path arrowok="t"/>
              </v:shape>
            </v:group>
          </v:group>
        </w:pict>
      </w:r>
      <w:r>
        <w:rPr>
          <w:rFonts w:ascii="宋体" w:hAnsi="宋体" w:cs="宋体" w:eastAsia="宋体" w:hint="default"/>
          <w:position w:val="0"/>
          <w:sz w:val="4"/>
          <w:szCs w:val="4"/>
        </w:rPr>
      </w:r>
    </w:p>
    <w:p>
      <w:pPr>
        <w:tabs>
          <w:tab w:pos="9126" w:val="left" w:leader="none"/>
        </w:tabs>
        <w:spacing w:before="64"/>
        <w:ind w:left="575" w:right="1314" w:firstLine="0"/>
        <w:jc w:val="left"/>
        <w:rPr>
          <w:rFonts w:ascii="宋体" w:hAnsi="宋体" w:cs="宋体" w:eastAsia="宋体" w:hint="default"/>
          <w:sz w:val="16"/>
          <w:szCs w:val="16"/>
        </w:rPr>
      </w:pPr>
      <w:r>
        <w:rPr>
          <w:rFonts w:ascii="宋体" w:hAnsi="宋体" w:cs="宋体" w:eastAsia="宋体" w:hint="default"/>
          <w:sz w:val="16"/>
          <w:szCs w:val="16"/>
        </w:rPr>
        <w:t>截止报告期末普通股股东总数</w:t>
      </w:r>
      <w:r>
        <w:rPr>
          <w:rFonts w:ascii="宋体" w:hAnsi="宋体" w:cs="宋体" w:eastAsia="宋体" w:hint="default"/>
          <w:spacing w:val="-62"/>
          <w:sz w:val="16"/>
          <w:szCs w:val="16"/>
        </w:rPr>
        <w:t> </w:t>
      </w:r>
      <w:r>
        <w:rPr>
          <w:rFonts w:ascii="宋体" w:hAnsi="宋体" w:cs="宋体" w:eastAsia="宋体" w:hint="default"/>
          <w:w w:val="95"/>
          <w:sz w:val="16"/>
          <w:szCs w:val="16"/>
        </w:rPr>
        <w:t>(</w:t>
      </w:r>
      <w:r>
        <w:rPr>
          <w:rFonts w:ascii="宋体" w:hAnsi="宋体" w:cs="宋体" w:eastAsia="宋体" w:hint="default"/>
          <w:spacing w:val="-58"/>
          <w:w w:val="95"/>
          <w:sz w:val="16"/>
          <w:szCs w:val="16"/>
        </w:rPr>
        <w:t> </w:t>
      </w:r>
      <w:r>
        <w:rPr>
          <w:rFonts w:ascii="宋体" w:hAnsi="宋体" w:cs="宋体" w:eastAsia="宋体" w:hint="default"/>
          <w:sz w:val="16"/>
          <w:szCs w:val="16"/>
        </w:rPr>
        <w:t>户</w:t>
      </w:r>
      <w:r>
        <w:rPr>
          <w:rFonts w:ascii="宋体" w:hAnsi="宋体" w:cs="宋体" w:eastAsia="宋体" w:hint="default"/>
          <w:spacing w:val="-62"/>
          <w:sz w:val="16"/>
          <w:szCs w:val="16"/>
        </w:rPr>
        <w:t> </w:t>
      </w:r>
      <w:r>
        <w:rPr>
          <w:rFonts w:ascii="宋体" w:hAnsi="宋体" w:cs="宋体" w:eastAsia="宋体" w:hint="default"/>
          <w:w w:val="95"/>
          <w:sz w:val="16"/>
          <w:szCs w:val="16"/>
        </w:rPr>
        <w:t>)</w:t>
        <w:tab/>
      </w:r>
      <w:r>
        <w:rPr>
          <w:rFonts w:ascii="宋体" w:hAnsi="宋体" w:cs="宋体" w:eastAsia="宋体" w:hint="default"/>
          <w:sz w:val="16"/>
          <w:szCs w:val="16"/>
        </w:rPr>
        <w:t>697,464</w:t>
      </w:r>
    </w:p>
    <w:p>
      <w:pPr>
        <w:tabs>
          <w:tab w:pos="9126" w:val="left" w:leader="none"/>
        </w:tabs>
        <w:spacing w:before="64"/>
        <w:ind w:left="575" w:right="1314" w:firstLine="0"/>
        <w:jc w:val="left"/>
        <w:rPr>
          <w:rFonts w:ascii="宋体" w:hAnsi="宋体" w:cs="宋体" w:eastAsia="宋体" w:hint="default"/>
          <w:sz w:val="16"/>
          <w:szCs w:val="16"/>
        </w:rPr>
      </w:pPr>
      <w:r>
        <w:rPr>
          <w:rFonts w:ascii="宋体" w:hAnsi="宋体" w:cs="宋体" w:eastAsia="宋体" w:hint="default"/>
          <w:sz w:val="16"/>
          <w:szCs w:val="16"/>
        </w:rPr>
        <w:t>年度报告披露日前上一月末的普通股股东总数</w:t>
      </w:r>
      <w:r>
        <w:rPr>
          <w:rFonts w:ascii="宋体" w:hAnsi="宋体" w:cs="宋体" w:eastAsia="宋体" w:hint="default"/>
          <w:spacing w:val="-62"/>
          <w:sz w:val="16"/>
          <w:szCs w:val="16"/>
        </w:rPr>
        <w:t> </w:t>
      </w:r>
      <w:r>
        <w:rPr>
          <w:rFonts w:ascii="宋体" w:hAnsi="宋体" w:cs="宋体" w:eastAsia="宋体" w:hint="default"/>
          <w:w w:val="95"/>
          <w:sz w:val="16"/>
          <w:szCs w:val="16"/>
        </w:rPr>
        <w:t>(</w:t>
      </w:r>
      <w:r>
        <w:rPr>
          <w:rFonts w:ascii="宋体" w:hAnsi="宋体" w:cs="宋体" w:eastAsia="宋体" w:hint="default"/>
          <w:spacing w:val="-58"/>
          <w:w w:val="95"/>
          <w:sz w:val="16"/>
          <w:szCs w:val="16"/>
        </w:rPr>
        <w:t> </w:t>
      </w:r>
      <w:r>
        <w:rPr>
          <w:rFonts w:ascii="宋体" w:hAnsi="宋体" w:cs="宋体" w:eastAsia="宋体" w:hint="default"/>
          <w:sz w:val="16"/>
          <w:szCs w:val="16"/>
        </w:rPr>
        <w:t>户</w:t>
      </w:r>
      <w:r>
        <w:rPr>
          <w:rFonts w:ascii="宋体" w:hAnsi="宋体" w:cs="宋体" w:eastAsia="宋体" w:hint="default"/>
          <w:spacing w:val="-62"/>
          <w:sz w:val="16"/>
          <w:szCs w:val="16"/>
        </w:rPr>
        <w:t> </w:t>
      </w:r>
      <w:r>
        <w:rPr>
          <w:rFonts w:ascii="宋体" w:hAnsi="宋体" w:cs="宋体" w:eastAsia="宋体" w:hint="default"/>
          <w:w w:val="95"/>
          <w:sz w:val="16"/>
          <w:szCs w:val="16"/>
        </w:rPr>
        <w:t>)</w:t>
        <w:tab/>
      </w:r>
      <w:r>
        <w:rPr>
          <w:rFonts w:ascii="宋体" w:hAnsi="宋体" w:cs="宋体" w:eastAsia="宋体" w:hint="default"/>
          <w:sz w:val="16"/>
          <w:szCs w:val="16"/>
        </w:rPr>
        <w:t>699,885</w:t>
      </w:r>
    </w:p>
    <w:p>
      <w:pPr>
        <w:tabs>
          <w:tab w:pos="9223" w:val="left" w:leader="none"/>
        </w:tabs>
        <w:spacing w:before="64"/>
        <w:ind w:left="575" w:right="1314" w:firstLine="0"/>
        <w:jc w:val="left"/>
        <w:rPr>
          <w:rFonts w:ascii="宋体" w:hAnsi="宋体" w:cs="宋体" w:eastAsia="宋体" w:hint="default"/>
          <w:sz w:val="16"/>
          <w:szCs w:val="16"/>
        </w:rPr>
      </w:pPr>
      <w:r>
        <w:rPr>
          <w:rFonts w:ascii="宋体" w:hAnsi="宋体" w:cs="宋体" w:eastAsia="宋体" w:hint="default"/>
          <w:sz w:val="16"/>
          <w:szCs w:val="16"/>
        </w:rPr>
        <w:t>截止报告期末表决权恢复的优先股股东总数（户）</w:t>
        <w:tab/>
        <w:t>不适用</w:t>
      </w:r>
    </w:p>
    <w:p>
      <w:pPr>
        <w:tabs>
          <w:tab w:pos="9223" w:val="left" w:leader="none"/>
        </w:tabs>
        <w:spacing w:before="64"/>
        <w:ind w:left="575" w:right="1314" w:firstLine="0"/>
        <w:jc w:val="left"/>
        <w:rPr>
          <w:rFonts w:ascii="宋体" w:hAnsi="宋体" w:cs="宋体" w:eastAsia="宋体" w:hint="default"/>
          <w:sz w:val="16"/>
          <w:szCs w:val="16"/>
        </w:rPr>
      </w:pPr>
      <w:r>
        <w:rPr>
          <w:rFonts w:ascii="宋体" w:hAnsi="宋体" w:cs="宋体" w:eastAsia="宋体" w:hint="default"/>
          <w:sz w:val="16"/>
          <w:szCs w:val="16"/>
        </w:rPr>
        <w:t>年度报告披露日前上一月末表决权恢复的优先股股东总数（户）</w:t>
        <w:tab/>
        <w:t>不适用</w:t>
      </w:r>
    </w:p>
    <w:p>
      <w:pPr>
        <w:spacing w:line="240" w:lineRule="auto" w:before="5"/>
        <w:rPr>
          <w:rFonts w:ascii="宋体" w:hAnsi="宋体" w:cs="宋体" w:eastAsia="宋体" w:hint="default"/>
          <w:sz w:val="9"/>
          <w:szCs w:val="9"/>
        </w:rPr>
      </w:pPr>
    </w:p>
    <w:p>
      <w:pPr>
        <w:spacing w:line="20" w:lineRule="exact"/>
        <w:ind w:left="4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6350;height:2" coordorigin="5,5" coordsize="6350,2">
              <v:shape style="position:absolute;left:5;top:5;width:6350;height:2" coordorigin="5,5" coordsize="6350,0" path="m5,5l6355,5e" filled="false" stroked="true" strokeweight=".5pt" strokecolor="#000000">
                <v:path arrowok="t"/>
              </v:shape>
            </v:group>
            <v:group style="position:absolute;left:6355;top:5;width:2949;height:2" coordorigin="6355,5" coordsize="2949,2">
              <v:shape style="position:absolute;left:6355;top:5;width:2949;height:2" coordorigin="6355,5" coordsize="2949,0" path="m6355,5l9303,5e" filled="false" stroked="true" strokeweight=".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9"/>
          <w:szCs w:val="9"/>
        </w:rPr>
      </w:pPr>
    </w:p>
    <w:p>
      <w:pPr>
        <w:spacing w:line="321" w:lineRule="auto" w:before="43"/>
        <w:ind w:left="475" w:right="1314" w:firstLine="0"/>
        <w:jc w:val="left"/>
        <w:rPr>
          <w:rFonts w:ascii="宋体" w:hAnsi="宋体" w:cs="宋体" w:eastAsia="宋体" w:hint="default"/>
          <w:sz w:val="16"/>
          <w:szCs w:val="16"/>
        </w:rPr>
      </w:pPr>
      <w:r>
        <w:rPr>
          <w:rFonts w:ascii="宋体" w:hAnsi="宋体" w:cs="宋体" w:eastAsia="宋体" w:hint="default"/>
          <w:sz w:val="16"/>
          <w:szCs w:val="16"/>
        </w:rPr>
        <w:t>注：上表所列数据为合并普通账户和融资融券信用账户后的普通股股东总数。截至报告期末，未合并融资融券信用账户普通股股东总</w:t>
      </w:r>
      <w:r>
        <w:rPr>
          <w:rFonts w:ascii="宋体" w:hAnsi="宋体" w:cs="宋体" w:eastAsia="宋体" w:hint="default"/>
          <w:w w:val="99"/>
          <w:sz w:val="16"/>
          <w:szCs w:val="16"/>
        </w:rPr>
        <w:t> </w:t>
      </w:r>
      <w:r>
        <w:rPr>
          <w:rFonts w:ascii="宋体" w:hAnsi="宋体" w:cs="宋体" w:eastAsia="宋体" w:hint="default"/>
          <w:sz w:val="16"/>
          <w:szCs w:val="16"/>
        </w:rPr>
        <w:t>户数为 680,206</w:t>
      </w:r>
      <w:r>
        <w:rPr>
          <w:rFonts w:ascii="宋体" w:hAnsi="宋体" w:cs="宋体" w:eastAsia="宋体" w:hint="default"/>
          <w:spacing w:val="-64"/>
          <w:sz w:val="16"/>
          <w:szCs w:val="16"/>
        </w:rPr>
        <w:t> </w:t>
      </w:r>
      <w:r>
        <w:rPr>
          <w:rFonts w:ascii="宋体" w:hAnsi="宋体" w:cs="宋体" w:eastAsia="宋体" w:hint="default"/>
          <w:sz w:val="16"/>
          <w:szCs w:val="16"/>
        </w:rPr>
        <w:t>户。</w:t>
      </w:r>
    </w:p>
    <w:p>
      <w:pPr>
        <w:spacing w:after="0" w:line="321" w:lineRule="auto"/>
        <w:jc w:val="left"/>
        <w:rPr>
          <w:rFonts w:ascii="宋体" w:hAnsi="宋体" w:cs="宋体" w:eastAsia="宋体" w:hint="default"/>
          <w:sz w:val="16"/>
          <w:szCs w:val="16"/>
        </w:rPr>
        <w:sectPr>
          <w:headerReference w:type="even" r:id="rId165"/>
          <w:headerReference w:type="default" r:id="rId166"/>
          <w:footerReference w:type="even" r:id="rId167"/>
          <w:footerReference w:type="default" r:id="rId168"/>
          <w:pgSz w:w="11910" w:h="16160"/>
          <w:pgMar w:header="0" w:footer="1538" w:top="2220" w:bottom="1720" w:left="7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spacing w:before="30"/>
        <w:ind w:left="1417"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截止报告期末前十名股东、前十名流通股东（或无限售条件股东）持股情况表</w:t>
      </w:r>
    </w:p>
    <w:p>
      <w:pPr>
        <w:spacing w:after="0"/>
        <w:jc w:val="left"/>
        <w:rPr>
          <w:rFonts w:ascii="宋体" w:hAnsi="宋体" w:cs="宋体" w:eastAsia="宋体" w:hint="default"/>
          <w:sz w:val="17"/>
          <w:szCs w:val="17"/>
        </w:rPr>
        <w:sectPr>
          <w:pgSz w:w="11910" w:h="16160"/>
          <w:pgMar w:header="0" w:footer="298" w:top="1680" w:bottom="480" w:left="0" w:right="0"/>
        </w:sectPr>
      </w:pPr>
    </w:p>
    <w:p>
      <w:pPr>
        <w:spacing w:line="240" w:lineRule="auto" w:before="0"/>
        <w:rPr>
          <w:rFonts w:ascii="宋体" w:hAnsi="宋体" w:cs="宋体" w:eastAsia="宋体" w:hint="default"/>
          <w:sz w:val="16"/>
          <w:szCs w:val="16"/>
        </w:rPr>
      </w:pPr>
    </w:p>
    <w:p>
      <w:pPr>
        <w:spacing w:line="240" w:lineRule="auto" w:before="5"/>
        <w:rPr>
          <w:rFonts w:ascii="宋体" w:hAnsi="宋体" w:cs="宋体" w:eastAsia="宋体" w:hint="default"/>
          <w:sz w:val="12"/>
          <w:szCs w:val="12"/>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前十名股东持股情况</w:t>
      </w:r>
    </w:p>
    <w:p>
      <w:pPr>
        <w:spacing w:line="240" w:lineRule="auto" w:before="2"/>
        <w:rPr>
          <w:rFonts w:ascii="宋体" w:hAnsi="宋体" w:cs="宋体" w:eastAsia="宋体" w:hint="default"/>
          <w:sz w:val="10"/>
          <w:szCs w:val="10"/>
        </w:rPr>
      </w:pPr>
      <w:r>
        <w:rPr/>
        <w:br w:type="column"/>
      </w:r>
      <w:r>
        <w:rPr>
          <w:rFonts w:ascii="宋体"/>
          <w:sz w:val="10"/>
        </w:rPr>
      </w:r>
    </w:p>
    <w:p>
      <w:pPr>
        <w:spacing w:before="0"/>
        <w:ind w:left="0" w:right="933" w:firstLine="0"/>
        <w:jc w:val="right"/>
        <w:rPr>
          <w:rFonts w:ascii="宋体" w:hAnsi="宋体" w:cs="宋体" w:eastAsia="宋体" w:hint="default"/>
          <w:sz w:val="12"/>
          <w:szCs w:val="12"/>
        </w:rPr>
      </w:pPr>
      <w:r>
        <w:rPr>
          <w:rFonts w:ascii="宋体" w:hAnsi="宋体" w:cs="宋体" w:eastAsia="宋体" w:hint="default"/>
          <w:sz w:val="12"/>
          <w:szCs w:val="12"/>
        </w:rPr>
        <w:t>单位：股</w:t>
      </w:r>
    </w:p>
    <w:p>
      <w:pPr>
        <w:spacing w:after="0"/>
        <w:jc w:val="right"/>
        <w:rPr>
          <w:rFonts w:ascii="宋体" w:hAnsi="宋体" w:cs="宋体" w:eastAsia="宋体" w:hint="default"/>
          <w:sz w:val="12"/>
          <w:szCs w:val="12"/>
        </w:rPr>
        <w:sectPr>
          <w:type w:val="continuous"/>
          <w:pgSz w:w="11910" w:h="16160"/>
          <w:pgMar w:top="1520" w:bottom="280" w:left="0" w:right="0"/>
          <w:cols w:num="2" w:equalWidth="0">
            <w:col w:w="7127" w:space="40"/>
            <w:col w:w="4743"/>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5"/>
          <w:szCs w:val="25"/>
        </w:rPr>
      </w:pPr>
    </w:p>
    <w:p>
      <w:pPr>
        <w:spacing w:before="46"/>
        <w:ind w:left="1842" w:right="764" w:firstLine="0"/>
        <w:jc w:val="left"/>
        <w:rPr>
          <w:rFonts w:ascii="宋体" w:hAnsi="宋体" w:cs="宋体" w:eastAsia="宋体" w:hint="default"/>
          <w:sz w:val="14"/>
          <w:szCs w:val="14"/>
        </w:rPr>
      </w:pPr>
      <w:r>
        <w:rPr/>
        <w:pict>
          <v:shape style="position:absolute;margin-left:87.8741pt;margin-top:-65.942894pt;width:464.9pt;height:204.3pt;mso-position-horizontal-relative:page;mso-position-vertical-relative:paragraph;z-index:4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78"/>
                    <w:gridCol w:w="1247"/>
                    <w:gridCol w:w="566"/>
                    <w:gridCol w:w="1153"/>
                    <w:gridCol w:w="1517"/>
                    <w:gridCol w:w="737"/>
                  </w:tblGrid>
                  <w:tr>
                    <w:trPr>
                      <w:trHeight w:val="291" w:hRule="exact"/>
                    </w:trPr>
                    <w:tc>
                      <w:tcPr>
                        <w:tcW w:w="7044" w:type="dxa"/>
                        <w:gridSpan w:val="4"/>
                        <w:tcBorders>
                          <w:top w:val="nil" w:sz="6" w:space="0" w:color="auto"/>
                          <w:left w:val="nil" w:sz="6" w:space="0" w:color="auto"/>
                          <w:bottom w:val="nil" w:sz="6" w:space="0" w:color="auto"/>
                          <w:right w:val="nil" w:sz="6" w:space="0" w:color="auto"/>
                        </w:tcBorders>
                      </w:tcPr>
                      <w:p>
                        <w:pPr/>
                      </w:p>
                    </w:tc>
                    <w:tc>
                      <w:tcPr>
                        <w:tcW w:w="1517" w:type="dxa"/>
                        <w:tcBorders>
                          <w:top w:val="nil" w:sz="6" w:space="0" w:color="auto"/>
                          <w:left w:val="nil" w:sz="6" w:space="0" w:color="auto"/>
                          <w:bottom w:val="single" w:sz="6" w:space="0" w:color="000000"/>
                          <w:right w:val="nil" w:sz="6" w:space="0" w:color="auto"/>
                        </w:tcBorders>
                      </w:tcPr>
                      <w:p>
                        <w:pPr>
                          <w:pStyle w:val="TableParagraph"/>
                          <w:spacing w:line="240" w:lineRule="auto" w:before="25"/>
                          <w:ind w:right="83"/>
                          <w:jc w:val="right"/>
                          <w:rPr>
                            <w:rFonts w:ascii="宋体" w:hAnsi="宋体" w:cs="宋体" w:eastAsia="宋体" w:hint="default"/>
                            <w:sz w:val="16"/>
                            <w:szCs w:val="16"/>
                          </w:rPr>
                        </w:pPr>
                        <w:r>
                          <w:rPr>
                            <w:rFonts w:ascii="宋体" w:hAnsi="宋体" w:cs="宋体" w:eastAsia="宋体" w:hint="default"/>
                            <w:sz w:val="16"/>
                            <w:szCs w:val="16"/>
                          </w:rPr>
                          <w:t>质押或冻结情况</w:t>
                        </w:r>
                      </w:p>
                    </w:tc>
                    <w:tc>
                      <w:tcPr>
                        <w:tcW w:w="737" w:type="dxa"/>
                        <w:tcBorders>
                          <w:top w:val="nil" w:sz="6" w:space="0" w:color="auto"/>
                          <w:left w:val="nil" w:sz="6" w:space="0" w:color="auto"/>
                          <w:bottom w:val="nil" w:sz="6" w:space="0" w:color="auto"/>
                          <w:right w:val="nil" w:sz="6" w:space="0" w:color="auto"/>
                        </w:tcBorders>
                      </w:tcPr>
                      <w:p>
                        <w:pPr/>
                      </w:p>
                    </w:tc>
                  </w:tr>
                  <w:tr>
                    <w:trPr>
                      <w:trHeight w:val="246" w:hRule="exact"/>
                    </w:trPr>
                    <w:tc>
                      <w:tcPr>
                        <w:tcW w:w="4078"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36"/>
                          <w:jc w:val="right"/>
                          <w:rPr>
                            <w:rFonts w:ascii="宋体" w:hAnsi="宋体" w:cs="宋体" w:eastAsia="宋体" w:hint="default"/>
                            <w:sz w:val="16"/>
                            <w:szCs w:val="16"/>
                          </w:rPr>
                        </w:pPr>
                        <w:r>
                          <w:rPr>
                            <w:rFonts w:ascii="宋体" w:hAnsi="宋体" w:cs="宋体" w:eastAsia="宋体" w:hint="default"/>
                            <w:sz w:val="16"/>
                            <w:szCs w:val="16"/>
                          </w:rPr>
                          <w:t>报告期内</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35"/>
                          <w:jc w:val="right"/>
                          <w:rPr>
                            <w:rFonts w:ascii="宋体" w:hAnsi="宋体" w:cs="宋体" w:eastAsia="宋体" w:hint="default"/>
                            <w:sz w:val="16"/>
                            <w:szCs w:val="16"/>
                          </w:rPr>
                        </w:pPr>
                        <w:r>
                          <w:rPr>
                            <w:rFonts w:ascii="宋体" w:hAnsi="宋体" w:cs="宋体" w:eastAsia="宋体" w:hint="default"/>
                            <w:sz w:val="16"/>
                            <w:szCs w:val="16"/>
                          </w:rPr>
                          <w:t>期末持股</w:t>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06"/>
                          <w:jc w:val="right"/>
                          <w:rPr>
                            <w:rFonts w:ascii="宋体" w:hAnsi="宋体" w:cs="宋体" w:eastAsia="宋体" w:hint="default"/>
                            <w:sz w:val="16"/>
                            <w:szCs w:val="16"/>
                          </w:rPr>
                        </w:pPr>
                        <w:r>
                          <w:rPr>
                            <w:rFonts w:ascii="宋体" w:hAnsi="宋体" w:cs="宋体" w:eastAsia="宋体" w:hint="default"/>
                            <w:sz w:val="16"/>
                            <w:szCs w:val="16"/>
                          </w:rPr>
                          <w:t>比例</w:t>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83"/>
                          <w:jc w:val="right"/>
                          <w:rPr>
                            <w:rFonts w:ascii="宋体" w:hAnsi="宋体" w:cs="宋体" w:eastAsia="宋体" w:hint="default"/>
                            <w:sz w:val="16"/>
                            <w:szCs w:val="16"/>
                          </w:rPr>
                        </w:pPr>
                        <w:r>
                          <w:rPr>
                            <w:rFonts w:ascii="宋体" w:hAnsi="宋体" w:cs="宋体" w:eastAsia="宋体" w:hint="default"/>
                            <w:sz w:val="16"/>
                            <w:szCs w:val="16"/>
                          </w:rPr>
                          <w:t>持有有限售条</w:t>
                        </w:r>
                      </w:p>
                    </w:tc>
                    <w:tc>
                      <w:tcPr>
                        <w:tcW w:w="1517" w:type="dxa"/>
                        <w:tcBorders>
                          <w:top w:val="single" w:sz="6" w:space="0" w:color="000000"/>
                          <w:left w:val="nil" w:sz="6" w:space="0" w:color="auto"/>
                          <w:bottom w:val="nil" w:sz="6" w:space="0" w:color="auto"/>
                          <w:right w:val="nil" w:sz="6" w:space="0" w:color="auto"/>
                        </w:tcBorders>
                      </w:tcPr>
                      <w:p>
                        <w:pPr>
                          <w:pStyle w:val="TableParagraph"/>
                          <w:spacing w:line="240" w:lineRule="auto"/>
                          <w:ind w:left="104" w:right="0"/>
                          <w:jc w:val="left"/>
                          <w:rPr>
                            <w:rFonts w:ascii="宋体" w:hAnsi="宋体" w:cs="宋体" w:eastAsia="宋体" w:hint="default"/>
                            <w:sz w:val="16"/>
                            <w:szCs w:val="16"/>
                          </w:rPr>
                        </w:pPr>
                        <w:r>
                          <w:rPr>
                            <w:rFonts w:ascii="宋体" w:hAnsi="宋体" w:cs="宋体" w:eastAsia="宋体" w:hint="default"/>
                            <w:sz w:val="16"/>
                            <w:szCs w:val="16"/>
                          </w:rPr>
                          <w:t>股份</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7"/>
                          <w:ind w:right="83"/>
                          <w:jc w:val="right"/>
                          <w:rPr>
                            <w:rFonts w:ascii="宋体" w:hAnsi="宋体" w:cs="宋体" w:eastAsia="宋体" w:hint="default"/>
                            <w:sz w:val="16"/>
                            <w:szCs w:val="16"/>
                          </w:rPr>
                        </w:pPr>
                        <w:r>
                          <w:rPr>
                            <w:rFonts w:ascii="宋体" w:hAnsi="宋体" w:cs="宋体" w:eastAsia="宋体" w:hint="default"/>
                            <w:sz w:val="16"/>
                            <w:szCs w:val="16"/>
                          </w:rPr>
                          <w:t>股东</w:t>
                        </w:r>
                      </w:p>
                    </w:tc>
                  </w:tr>
                  <w:tr>
                    <w:trPr>
                      <w:trHeight w:val="284" w:hRule="exact"/>
                    </w:trPr>
                    <w:tc>
                      <w:tcPr>
                        <w:tcW w:w="4078" w:type="dxa"/>
                        <w:tcBorders>
                          <w:top w:val="nil" w:sz="6" w:space="0" w:color="auto"/>
                          <w:left w:val="nil" w:sz="6" w:space="0" w:color="auto"/>
                          <w:bottom w:val="single" w:sz="16" w:space="0" w:color="9C8758"/>
                          <w:right w:val="nil" w:sz="6" w:space="0" w:color="auto"/>
                        </w:tcBorders>
                      </w:tcPr>
                      <w:p>
                        <w:pPr>
                          <w:pStyle w:val="TableParagraph"/>
                          <w:tabs>
                            <w:tab w:pos="3534" w:val="left" w:leader="none"/>
                          </w:tabs>
                          <w:spacing w:line="170" w:lineRule="exact"/>
                          <w:ind w:right="136"/>
                          <w:jc w:val="right"/>
                          <w:rPr>
                            <w:rFonts w:ascii="宋体" w:hAnsi="宋体" w:cs="宋体" w:eastAsia="宋体" w:hint="default"/>
                            <w:sz w:val="16"/>
                            <w:szCs w:val="16"/>
                          </w:rPr>
                        </w:pPr>
                        <w:r>
                          <w:rPr>
                            <w:rFonts w:ascii="宋体" w:hAnsi="宋体" w:cs="宋体" w:eastAsia="宋体" w:hint="default"/>
                            <w:sz w:val="16"/>
                            <w:szCs w:val="16"/>
                          </w:rPr>
                          <w:t>股东名称（全称）</w:t>
                          <w:tab/>
                          <w:t>增减</w:t>
                        </w:r>
                      </w:p>
                    </w:tc>
                    <w:tc>
                      <w:tcPr>
                        <w:tcW w:w="1247" w:type="dxa"/>
                        <w:tcBorders>
                          <w:top w:val="nil" w:sz="6" w:space="0" w:color="auto"/>
                          <w:left w:val="nil" w:sz="6" w:space="0" w:color="auto"/>
                          <w:bottom w:val="single" w:sz="16" w:space="0" w:color="9C8758"/>
                          <w:right w:val="nil" w:sz="6" w:space="0" w:color="auto"/>
                        </w:tcBorders>
                      </w:tcPr>
                      <w:p>
                        <w:pPr>
                          <w:pStyle w:val="TableParagraph"/>
                          <w:spacing w:line="170" w:lineRule="exact"/>
                          <w:ind w:right="135"/>
                          <w:jc w:val="right"/>
                          <w:rPr>
                            <w:rFonts w:ascii="宋体" w:hAnsi="宋体" w:cs="宋体" w:eastAsia="宋体" w:hint="default"/>
                            <w:sz w:val="16"/>
                            <w:szCs w:val="16"/>
                          </w:rPr>
                        </w:pPr>
                        <w:r>
                          <w:rPr>
                            <w:rFonts w:ascii="宋体" w:hAnsi="宋体" w:cs="宋体" w:eastAsia="宋体" w:hint="default"/>
                            <w:sz w:val="16"/>
                            <w:szCs w:val="16"/>
                          </w:rPr>
                          <w:t>数量</w:t>
                        </w:r>
                      </w:p>
                    </w:tc>
                    <w:tc>
                      <w:tcPr>
                        <w:tcW w:w="566" w:type="dxa"/>
                        <w:tcBorders>
                          <w:top w:val="nil" w:sz="6" w:space="0" w:color="auto"/>
                          <w:left w:val="nil" w:sz="6" w:space="0" w:color="auto"/>
                          <w:bottom w:val="single" w:sz="16" w:space="0" w:color="9C8758"/>
                          <w:right w:val="nil" w:sz="6" w:space="0" w:color="auto"/>
                        </w:tcBorders>
                      </w:tcPr>
                      <w:p>
                        <w:pPr>
                          <w:pStyle w:val="TableParagraph"/>
                          <w:spacing w:line="170" w:lineRule="exact"/>
                          <w:ind w:right="106"/>
                          <w:jc w:val="right"/>
                          <w:rPr>
                            <w:rFonts w:ascii="宋体" w:hAnsi="宋体" w:cs="宋体" w:eastAsia="宋体" w:hint="default"/>
                            <w:sz w:val="16"/>
                            <w:szCs w:val="16"/>
                          </w:rPr>
                        </w:pPr>
                        <w:r>
                          <w:rPr>
                            <w:rFonts w:ascii="宋体"/>
                            <w:sz w:val="16"/>
                          </w:rPr>
                          <w:t>(%)</w:t>
                        </w:r>
                      </w:p>
                    </w:tc>
                    <w:tc>
                      <w:tcPr>
                        <w:tcW w:w="1153" w:type="dxa"/>
                        <w:tcBorders>
                          <w:top w:val="nil" w:sz="6" w:space="0" w:color="auto"/>
                          <w:left w:val="nil" w:sz="6" w:space="0" w:color="auto"/>
                          <w:bottom w:val="single" w:sz="16" w:space="0" w:color="9C8758"/>
                          <w:right w:val="nil" w:sz="6" w:space="0" w:color="auto"/>
                        </w:tcBorders>
                      </w:tcPr>
                      <w:p>
                        <w:pPr>
                          <w:pStyle w:val="TableParagraph"/>
                          <w:spacing w:line="170" w:lineRule="exact"/>
                          <w:ind w:right="83"/>
                          <w:jc w:val="right"/>
                          <w:rPr>
                            <w:rFonts w:ascii="宋体" w:hAnsi="宋体" w:cs="宋体" w:eastAsia="宋体" w:hint="default"/>
                            <w:sz w:val="16"/>
                            <w:szCs w:val="16"/>
                          </w:rPr>
                        </w:pPr>
                        <w:r>
                          <w:rPr>
                            <w:rFonts w:ascii="宋体" w:hAnsi="宋体" w:cs="宋体" w:eastAsia="宋体" w:hint="default"/>
                            <w:sz w:val="16"/>
                            <w:szCs w:val="16"/>
                          </w:rPr>
                          <w:t>件股份数量</w:t>
                        </w:r>
                      </w:p>
                    </w:tc>
                    <w:tc>
                      <w:tcPr>
                        <w:tcW w:w="1517" w:type="dxa"/>
                        <w:tcBorders>
                          <w:top w:val="nil" w:sz="6" w:space="0" w:color="auto"/>
                          <w:left w:val="nil" w:sz="6" w:space="0" w:color="auto"/>
                          <w:bottom w:val="single" w:sz="16" w:space="0" w:color="9C8758"/>
                          <w:right w:val="nil" w:sz="6" w:space="0" w:color="auto"/>
                        </w:tcBorders>
                      </w:tcPr>
                      <w:p>
                        <w:pPr>
                          <w:pStyle w:val="TableParagraph"/>
                          <w:tabs>
                            <w:tab w:pos="1111" w:val="left" w:leader="none"/>
                          </w:tabs>
                          <w:spacing w:line="170" w:lineRule="exact"/>
                          <w:ind w:left="104" w:right="0"/>
                          <w:jc w:val="left"/>
                          <w:rPr>
                            <w:rFonts w:ascii="宋体" w:hAnsi="宋体" w:cs="宋体" w:eastAsia="宋体" w:hint="default"/>
                            <w:sz w:val="16"/>
                            <w:szCs w:val="16"/>
                          </w:rPr>
                        </w:pPr>
                        <w:r>
                          <w:rPr>
                            <w:rFonts w:ascii="宋体" w:hAnsi="宋体" w:cs="宋体" w:eastAsia="宋体" w:hint="default"/>
                            <w:sz w:val="16"/>
                            <w:szCs w:val="16"/>
                          </w:rPr>
                          <w:t>状态</w:t>
                          <w:tab/>
                          <w:t>数量</w:t>
                        </w:r>
                      </w:p>
                    </w:tc>
                    <w:tc>
                      <w:tcPr>
                        <w:tcW w:w="737" w:type="dxa"/>
                        <w:tcBorders>
                          <w:top w:val="nil" w:sz="6" w:space="0" w:color="auto"/>
                          <w:left w:val="nil" w:sz="6" w:space="0" w:color="auto"/>
                          <w:bottom w:val="single" w:sz="16" w:space="0" w:color="9C8758"/>
                          <w:right w:val="nil" w:sz="6" w:space="0" w:color="auto"/>
                        </w:tcBorders>
                      </w:tcPr>
                      <w:p>
                        <w:pPr>
                          <w:pStyle w:val="TableParagraph"/>
                          <w:spacing w:line="170" w:lineRule="exact"/>
                          <w:ind w:right="83"/>
                          <w:jc w:val="right"/>
                          <w:rPr>
                            <w:rFonts w:ascii="宋体" w:hAnsi="宋体" w:cs="宋体" w:eastAsia="宋体" w:hint="default"/>
                            <w:sz w:val="16"/>
                            <w:szCs w:val="16"/>
                          </w:rPr>
                        </w:pPr>
                        <w:r>
                          <w:rPr>
                            <w:rFonts w:ascii="宋体" w:hAnsi="宋体" w:cs="宋体" w:eastAsia="宋体" w:hint="default"/>
                            <w:sz w:val="16"/>
                            <w:szCs w:val="16"/>
                          </w:rPr>
                          <w:t>性质</w:t>
                        </w:r>
                      </w:p>
                    </w:tc>
                  </w:tr>
                  <w:tr>
                    <w:trPr>
                      <w:trHeight w:val="391" w:hRule="exact"/>
                    </w:trPr>
                    <w:tc>
                      <w:tcPr>
                        <w:tcW w:w="4078" w:type="dxa"/>
                        <w:tcBorders>
                          <w:top w:val="single" w:sz="16" w:space="0" w:color="9C8758"/>
                          <w:left w:val="nil" w:sz="6" w:space="0" w:color="auto"/>
                          <w:bottom w:val="nil" w:sz="6" w:space="0" w:color="auto"/>
                          <w:right w:val="nil" w:sz="6" w:space="0" w:color="auto"/>
                        </w:tcBorders>
                      </w:tcPr>
                      <w:p>
                        <w:pPr>
                          <w:pStyle w:val="TableParagraph"/>
                          <w:tabs>
                            <w:tab w:pos="3777" w:val="left" w:leader="none"/>
                          </w:tabs>
                          <w:spacing w:line="240" w:lineRule="auto" w:before="70"/>
                          <w:ind w:right="136"/>
                          <w:jc w:val="right"/>
                          <w:rPr>
                            <w:rFonts w:ascii="宋体" w:hAnsi="宋体" w:cs="宋体" w:eastAsia="宋体" w:hint="default"/>
                            <w:sz w:val="14"/>
                            <w:szCs w:val="14"/>
                          </w:rPr>
                        </w:pPr>
                        <w:r>
                          <w:rPr>
                            <w:rFonts w:ascii="宋体" w:hAnsi="宋体" w:cs="宋体" w:eastAsia="宋体" w:hint="default"/>
                            <w:sz w:val="14"/>
                            <w:szCs w:val="14"/>
                          </w:rPr>
                          <w:t>中国联合网络通信集团有限公司</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1247"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right="135"/>
                          <w:jc w:val="right"/>
                          <w:rPr>
                            <w:rFonts w:ascii="宋体" w:hAnsi="宋体" w:cs="宋体" w:eastAsia="宋体" w:hint="default"/>
                            <w:sz w:val="14"/>
                            <w:szCs w:val="14"/>
                          </w:rPr>
                        </w:pPr>
                        <w:r>
                          <w:rPr>
                            <w:rFonts w:ascii="宋体"/>
                            <w:w w:val="95"/>
                            <w:sz w:val="14"/>
                          </w:rPr>
                          <w:t>11,399,724,220</w:t>
                        </w:r>
                        <w:r>
                          <w:rPr>
                            <w:rFonts w:ascii="宋体"/>
                            <w:sz w:val="14"/>
                          </w:rPr>
                        </w:r>
                      </w:p>
                    </w:tc>
                    <w:tc>
                      <w:tcPr>
                        <w:tcW w:w="566"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right="107"/>
                          <w:jc w:val="right"/>
                          <w:rPr>
                            <w:rFonts w:ascii="宋体" w:hAnsi="宋体" w:cs="宋体" w:eastAsia="宋体" w:hint="default"/>
                            <w:sz w:val="14"/>
                            <w:szCs w:val="14"/>
                          </w:rPr>
                        </w:pPr>
                        <w:r>
                          <w:rPr>
                            <w:rFonts w:ascii="宋体"/>
                            <w:w w:val="95"/>
                            <w:sz w:val="14"/>
                          </w:rPr>
                          <w:t>36.7</w:t>
                        </w:r>
                        <w:r>
                          <w:rPr>
                            <w:rFonts w:ascii="宋体"/>
                            <w:sz w:val="14"/>
                          </w:rPr>
                        </w:r>
                      </w:p>
                    </w:tc>
                    <w:tc>
                      <w:tcPr>
                        <w:tcW w:w="1153"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right="83"/>
                          <w:jc w:val="right"/>
                          <w:rPr>
                            <w:rFonts w:ascii="宋体" w:hAnsi="宋体" w:cs="宋体" w:eastAsia="宋体" w:hint="default"/>
                            <w:sz w:val="14"/>
                            <w:szCs w:val="14"/>
                          </w:rPr>
                        </w:pPr>
                        <w:r>
                          <w:rPr>
                            <w:rFonts w:ascii="宋体"/>
                            <w:w w:val="111"/>
                            <w:sz w:val="14"/>
                          </w:rPr>
                          <w:t>0</w:t>
                        </w:r>
                        <w:r>
                          <w:rPr>
                            <w:rFonts w:ascii="宋体"/>
                            <w:sz w:val="14"/>
                          </w:rPr>
                        </w:r>
                      </w:p>
                    </w:tc>
                    <w:tc>
                      <w:tcPr>
                        <w:tcW w:w="1517" w:type="dxa"/>
                        <w:tcBorders>
                          <w:top w:val="single" w:sz="16" w:space="0" w:color="9C8758"/>
                          <w:left w:val="nil" w:sz="6" w:space="0" w:color="auto"/>
                          <w:bottom w:val="nil" w:sz="6" w:space="0" w:color="auto"/>
                          <w:right w:val="nil" w:sz="6" w:space="0" w:color="auto"/>
                        </w:tcBorders>
                      </w:tcPr>
                      <w:p>
                        <w:pPr>
                          <w:pStyle w:val="TableParagraph"/>
                          <w:tabs>
                            <w:tab w:pos="1068" w:val="left" w:leader="none"/>
                          </w:tabs>
                          <w:spacing w:line="240" w:lineRule="auto" w:before="70"/>
                          <w:ind w:right="83"/>
                          <w:jc w:val="right"/>
                          <w:rPr>
                            <w:rFonts w:ascii="宋体" w:hAnsi="宋体" w:cs="宋体" w:eastAsia="宋体" w:hint="default"/>
                            <w:sz w:val="14"/>
                            <w:szCs w:val="14"/>
                          </w:rPr>
                        </w:pPr>
                        <w:r>
                          <w:rPr>
                            <w:rFonts w:ascii="宋体" w:hAnsi="宋体" w:cs="宋体" w:eastAsia="宋体" w:hint="default"/>
                            <w:sz w:val="14"/>
                            <w:szCs w:val="14"/>
                          </w:rPr>
                          <w:t>无</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737"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right="83"/>
                          <w:jc w:val="right"/>
                          <w:rPr>
                            <w:rFonts w:ascii="宋体" w:hAnsi="宋体" w:cs="宋体" w:eastAsia="宋体" w:hint="default"/>
                            <w:sz w:val="14"/>
                            <w:szCs w:val="14"/>
                          </w:rPr>
                        </w:pPr>
                        <w:r>
                          <w:rPr>
                            <w:rFonts w:ascii="宋体" w:hAnsi="宋体" w:cs="宋体" w:eastAsia="宋体" w:hint="default"/>
                            <w:sz w:val="14"/>
                            <w:szCs w:val="14"/>
                          </w:rPr>
                          <w:t>国有法人</w:t>
                        </w:r>
                      </w:p>
                    </w:tc>
                  </w:tr>
                  <w:tr>
                    <w:trPr>
                      <w:trHeight w:val="353" w:hRule="exact"/>
                    </w:trPr>
                    <w:tc>
                      <w:tcPr>
                        <w:tcW w:w="4078" w:type="dxa"/>
                        <w:tcBorders>
                          <w:top w:val="nil" w:sz="6" w:space="0" w:color="auto"/>
                          <w:left w:val="nil" w:sz="6" w:space="0" w:color="auto"/>
                          <w:bottom w:val="nil" w:sz="6" w:space="0" w:color="auto"/>
                          <w:right w:val="nil" w:sz="6" w:space="0" w:color="auto"/>
                        </w:tcBorders>
                      </w:tcPr>
                      <w:p>
                        <w:pPr>
                          <w:pStyle w:val="TableParagraph"/>
                          <w:spacing w:line="95" w:lineRule="exact"/>
                          <w:ind w:left="84" w:right="0"/>
                          <w:jc w:val="left"/>
                          <w:rPr>
                            <w:rFonts w:ascii="宋体" w:hAnsi="宋体" w:cs="宋体" w:eastAsia="宋体" w:hint="default"/>
                            <w:sz w:val="14"/>
                            <w:szCs w:val="14"/>
                          </w:rPr>
                        </w:pPr>
                        <w:r>
                          <w:rPr>
                            <w:rFonts w:ascii="宋体" w:hAnsi="宋体" w:cs="宋体" w:eastAsia="宋体" w:hint="default"/>
                            <w:sz w:val="14"/>
                            <w:szCs w:val="14"/>
                          </w:rPr>
                          <w:t>中国人寿保险股份有限公司－传统－普通保险产</w:t>
                        </w:r>
                      </w:p>
                      <w:p>
                        <w:pPr>
                          <w:pStyle w:val="TableParagraph"/>
                          <w:spacing w:line="142" w:lineRule="exact"/>
                          <w:ind w:right="136"/>
                          <w:jc w:val="right"/>
                          <w:rPr>
                            <w:rFonts w:ascii="宋体" w:hAnsi="宋体" w:cs="宋体" w:eastAsia="宋体" w:hint="default"/>
                            <w:sz w:val="14"/>
                            <w:szCs w:val="14"/>
                          </w:rPr>
                        </w:pPr>
                        <w:r>
                          <w:rPr>
                            <w:rFonts w:ascii="宋体"/>
                            <w:w w:val="111"/>
                            <w:sz w:val="14"/>
                          </w:rPr>
                          <w:t>0</w:t>
                        </w:r>
                        <w:r>
                          <w:rPr>
                            <w:rFonts w:ascii="宋体"/>
                            <w:sz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5"/>
                          <w:jc w:val="right"/>
                          <w:rPr>
                            <w:rFonts w:ascii="宋体" w:hAnsi="宋体" w:cs="宋体" w:eastAsia="宋体" w:hint="default"/>
                            <w:sz w:val="14"/>
                            <w:szCs w:val="14"/>
                          </w:rPr>
                        </w:pPr>
                        <w:r>
                          <w:rPr>
                            <w:rFonts w:ascii="宋体"/>
                            <w:w w:val="95"/>
                            <w:sz w:val="14"/>
                          </w:rPr>
                          <w:t>3,190,419,687</w:t>
                        </w:r>
                        <w:r>
                          <w:rPr>
                            <w:rFonts w:ascii="宋体"/>
                            <w:sz w:val="14"/>
                          </w:rPr>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4"/>
                            <w:szCs w:val="14"/>
                          </w:rPr>
                        </w:pPr>
                        <w:r>
                          <w:rPr>
                            <w:rFonts w:ascii="宋体"/>
                            <w:w w:val="95"/>
                            <w:sz w:val="14"/>
                          </w:rPr>
                          <w:t>10.3</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2"/>
                          <w:jc w:val="right"/>
                          <w:rPr>
                            <w:rFonts w:ascii="宋体" w:hAnsi="宋体" w:cs="宋体" w:eastAsia="宋体" w:hint="default"/>
                            <w:sz w:val="14"/>
                            <w:szCs w:val="14"/>
                          </w:rPr>
                        </w:pPr>
                        <w:r>
                          <w:rPr>
                            <w:rFonts w:ascii="宋体"/>
                            <w:w w:val="95"/>
                            <w:sz w:val="14"/>
                          </w:rPr>
                          <w:t>3,177,159,590</w:t>
                        </w:r>
                        <w:r>
                          <w:rPr>
                            <w:rFonts w:ascii="宋体"/>
                            <w:sz w:val="14"/>
                          </w:rPr>
                        </w:r>
                      </w:p>
                    </w:tc>
                    <w:tc>
                      <w:tcPr>
                        <w:tcW w:w="1517" w:type="dxa"/>
                        <w:tcBorders>
                          <w:top w:val="nil" w:sz="6" w:space="0" w:color="auto"/>
                          <w:left w:val="nil" w:sz="6" w:space="0" w:color="auto"/>
                          <w:bottom w:val="nil" w:sz="6" w:space="0" w:color="auto"/>
                          <w:right w:val="nil" w:sz="6" w:space="0" w:color="auto"/>
                        </w:tcBorders>
                      </w:tcPr>
                      <w:p>
                        <w:pPr>
                          <w:pStyle w:val="TableParagraph"/>
                          <w:tabs>
                            <w:tab w:pos="1068" w:val="left" w:leader="none"/>
                          </w:tabs>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无</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303" w:hRule="exact"/>
                    </w:trPr>
                    <w:tc>
                      <w:tcPr>
                        <w:tcW w:w="4078" w:type="dxa"/>
                        <w:tcBorders>
                          <w:top w:val="nil" w:sz="6" w:space="0" w:color="auto"/>
                          <w:left w:val="nil" w:sz="6" w:space="0" w:color="auto"/>
                          <w:bottom w:val="nil" w:sz="6" w:space="0" w:color="auto"/>
                          <w:right w:val="nil" w:sz="6" w:space="0" w:color="auto"/>
                        </w:tcBorders>
                      </w:tcPr>
                      <w:p>
                        <w:pPr>
                          <w:pStyle w:val="TableParagraph"/>
                          <w:tabs>
                            <w:tab w:pos="3777" w:val="left" w:leader="none"/>
                          </w:tabs>
                          <w:spacing w:line="240" w:lineRule="auto" w:before="53"/>
                          <w:ind w:right="136"/>
                          <w:jc w:val="right"/>
                          <w:rPr>
                            <w:rFonts w:ascii="宋体" w:hAnsi="宋体" w:cs="宋体" w:eastAsia="宋体" w:hint="default"/>
                            <w:sz w:val="14"/>
                            <w:szCs w:val="14"/>
                          </w:rPr>
                        </w:pPr>
                        <w:r>
                          <w:rPr>
                            <w:rFonts w:ascii="宋体" w:hAnsi="宋体" w:cs="宋体" w:eastAsia="宋体" w:hint="default"/>
                            <w:sz w:val="14"/>
                            <w:szCs w:val="14"/>
                          </w:rPr>
                          <w:t>中国国有企业结构调整基金股份有限公司（注</w:t>
                        </w:r>
                        <w:r>
                          <w:rPr>
                            <w:rFonts w:ascii="宋体" w:hAnsi="宋体" w:cs="宋体" w:eastAsia="宋体" w:hint="default"/>
                            <w:spacing w:val="-48"/>
                            <w:sz w:val="14"/>
                            <w:szCs w:val="14"/>
                          </w:rPr>
                          <w:t> </w:t>
                        </w:r>
                        <w:r>
                          <w:rPr>
                            <w:rFonts w:ascii="宋体" w:hAnsi="宋体" w:cs="宋体" w:eastAsia="宋体" w:hint="default"/>
                            <w:sz w:val="14"/>
                            <w:szCs w:val="14"/>
                          </w:rPr>
                          <w:t>2）</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5"/>
                          <w:jc w:val="right"/>
                          <w:rPr>
                            <w:rFonts w:ascii="宋体" w:hAnsi="宋体" w:cs="宋体" w:eastAsia="宋体" w:hint="default"/>
                            <w:sz w:val="14"/>
                            <w:szCs w:val="14"/>
                          </w:rPr>
                        </w:pPr>
                        <w:r>
                          <w:rPr>
                            <w:rFonts w:ascii="宋体"/>
                            <w:w w:val="95"/>
                            <w:sz w:val="14"/>
                          </w:rPr>
                          <w:t>1,899,764,201</w:t>
                        </w:r>
                        <w:r>
                          <w:rPr>
                            <w:rFonts w:ascii="宋体"/>
                            <w:sz w:val="14"/>
                          </w:rPr>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4"/>
                            <w:szCs w:val="14"/>
                          </w:rPr>
                        </w:pPr>
                        <w:r>
                          <w:rPr>
                            <w:rFonts w:ascii="宋体"/>
                            <w:w w:val="90"/>
                            <w:sz w:val="14"/>
                          </w:rPr>
                          <w:t>6.1</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
                          <w:jc w:val="right"/>
                          <w:rPr>
                            <w:rFonts w:ascii="宋体" w:hAnsi="宋体" w:cs="宋体" w:eastAsia="宋体" w:hint="default"/>
                            <w:sz w:val="14"/>
                            <w:szCs w:val="14"/>
                          </w:rPr>
                        </w:pPr>
                        <w:r>
                          <w:rPr>
                            <w:rFonts w:ascii="宋体"/>
                            <w:w w:val="111"/>
                            <w:sz w:val="14"/>
                          </w:rPr>
                          <w:t>0</w:t>
                        </w:r>
                        <w:r>
                          <w:rPr>
                            <w:rFonts w:ascii="宋体"/>
                            <w:sz w:val="14"/>
                          </w:rPr>
                        </w:r>
                      </w:p>
                    </w:tc>
                    <w:tc>
                      <w:tcPr>
                        <w:tcW w:w="1517" w:type="dxa"/>
                        <w:tcBorders>
                          <w:top w:val="nil" w:sz="6" w:space="0" w:color="auto"/>
                          <w:left w:val="nil" w:sz="6" w:space="0" w:color="auto"/>
                          <w:bottom w:val="nil" w:sz="6" w:space="0" w:color="auto"/>
                          <w:right w:val="nil" w:sz="6" w:space="0" w:color="auto"/>
                        </w:tcBorders>
                      </w:tcPr>
                      <w:p>
                        <w:pPr>
                          <w:pStyle w:val="TableParagraph"/>
                          <w:tabs>
                            <w:tab w:pos="1068" w:val="left" w:leader="none"/>
                          </w:tabs>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无</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303" w:hRule="exact"/>
                    </w:trPr>
                    <w:tc>
                      <w:tcPr>
                        <w:tcW w:w="4078" w:type="dxa"/>
                        <w:tcBorders>
                          <w:top w:val="nil" w:sz="6" w:space="0" w:color="auto"/>
                          <w:left w:val="nil" w:sz="6" w:space="0" w:color="auto"/>
                          <w:bottom w:val="nil" w:sz="6" w:space="0" w:color="auto"/>
                          <w:right w:val="nil" w:sz="6" w:space="0" w:color="auto"/>
                        </w:tcBorders>
                      </w:tcPr>
                      <w:p>
                        <w:pPr>
                          <w:pStyle w:val="TableParagraph"/>
                          <w:tabs>
                            <w:tab w:pos="3777" w:val="left" w:leader="none"/>
                          </w:tabs>
                          <w:spacing w:line="240" w:lineRule="auto" w:before="3"/>
                          <w:ind w:right="136"/>
                          <w:jc w:val="right"/>
                          <w:rPr>
                            <w:rFonts w:ascii="宋体" w:hAnsi="宋体" w:cs="宋体" w:eastAsia="宋体" w:hint="default"/>
                            <w:sz w:val="14"/>
                            <w:szCs w:val="14"/>
                          </w:rPr>
                        </w:pPr>
                        <w:r>
                          <w:rPr>
                            <w:rFonts w:ascii="宋体" w:hAnsi="宋体" w:cs="宋体" w:eastAsia="宋体" w:hint="default"/>
                            <w:sz w:val="14"/>
                            <w:szCs w:val="14"/>
                          </w:rPr>
                          <w:t>深圳市腾讯信达有限合伙企业（有限合伙）</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5"/>
                          <w:jc w:val="right"/>
                          <w:rPr>
                            <w:rFonts w:ascii="宋体" w:hAnsi="宋体" w:cs="宋体" w:eastAsia="宋体" w:hint="default"/>
                            <w:sz w:val="14"/>
                            <w:szCs w:val="14"/>
                          </w:rPr>
                        </w:pPr>
                        <w:r>
                          <w:rPr>
                            <w:rFonts w:ascii="宋体"/>
                            <w:w w:val="95"/>
                            <w:sz w:val="14"/>
                          </w:rPr>
                          <w:t>1,610,541,728</w:t>
                        </w:r>
                        <w:r>
                          <w:rPr>
                            <w:rFonts w:ascii="宋体"/>
                            <w:sz w:val="14"/>
                          </w:rPr>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6"/>
                          <w:jc w:val="right"/>
                          <w:rPr>
                            <w:rFonts w:ascii="宋体" w:hAnsi="宋体" w:cs="宋体" w:eastAsia="宋体" w:hint="default"/>
                            <w:sz w:val="14"/>
                            <w:szCs w:val="14"/>
                          </w:rPr>
                        </w:pPr>
                        <w:r>
                          <w:rPr>
                            <w:rFonts w:ascii="宋体"/>
                            <w:w w:val="90"/>
                            <w:sz w:val="14"/>
                          </w:rPr>
                          <w:t>5.2</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1,610,541,728</w:t>
                        </w:r>
                        <w:r>
                          <w:rPr>
                            <w:rFonts w:ascii="宋体"/>
                            <w:sz w:val="14"/>
                          </w:rPr>
                        </w:r>
                      </w:p>
                    </w:tc>
                    <w:tc>
                      <w:tcPr>
                        <w:tcW w:w="1517" w:type="dxa"/>
                        <w:tcBorders>
                          <w:top w:val="nil" w:sz="6" w:space="0" w:color="auto"/>
                          <w:left w:val="nil" w:sz="6" w:space="0" w:color="auto"/>
                          <w:bottom w:val="nil" w:sz="6" w:space="0" w:color="auto"/>
                          <w:right w:val="nil" w:sz="6" w:space="0" w:color="auto"/>
                        </w:tcBorders>
                      </w:tcPr>
                      <w:p>
                        <w:pPr>
                          <w:pStyle w:val="TableParagraph"/>
                          <w:tabs>
                            <w:tab w:pos="1068" w:val="left" w:leader="none"/>
                          </w:tabs>
                          <w:spacing w:line="240" w:lineRule="auto" w:before="3"/>
                          <w:ind w:right="83"/>
                          <w:jc w:val="right"/>
                          <w:rPr>
                            <w:rFonts w:ascii="宋体" w:hAnsi="宋体" w:cs="宋体" w:eastAsia="宋体" w:hint="default"/>
                            <w:sz w:val="14"/>
                            <w:szCs w:val="14"/>
                          </w:rPr>
                        </w:pPr>
                        <w:r>
                          <w:rPr>
                            <w:rFonts w:ascii="宋体" w:hAnsi="宋体" w:cs="宋体" w:eastAsia="宋体" w:hint="default"/>
                            <w:sz w:val="14"/>
                            <w:szCs w:val="14"/>
                          </w:rPr>
                          <w:t>无</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353" w:hRule="exact"/>
                    </w:trPr>
                    <w:tc>
                      <w:tcPr>
                        <w:tcW w:w="4078" w:type="dxa"/>
                        <w:tcBorders>
                          <w:top w:val="nil" w:sz="6" w:space="0" w:color="auto"/>
                          <w:left w:val="nil" w:sz="6" w:space="0" w:color="auto"/>
                          <w:bottom w:val="nil" w:sz="6" w:space="0" w:color="auto"/>
                          <w:right w:val="nil" w:sz="6" w:space="0" w:color="auto"/>
                        </w:tcBorders>
                      </w:tcPr>
                      <w:p>
                        <w:pPr>
                          <w:pStyle w:val="TableParagraph"/>
                          <w:spacing w:line="95" w:lineRule="exact"/>
                          <w:ind w:left="84" w:right="0"/>
                          <w:jc w:val="left"/>
                          <w:rPr>
                            <w:rFonts w:ascii="宋体" w:hAnsi="宋体" w:cs="宋体" w:eastAsia="宋体" w:hint="default"/>
                            <w:sz w:val="14"/>
                            <w:szCs w:val="14"/>
                          </w:rPr>
                        </w:pPr>
                        <w:r>
                          <w:rPr>
                            <w:rFonts w:ascii="宋体" w:hAnsi="宋体" w:cs="宋体" w:eastAsia="宋体" w:hint="default"/>
                            <w:sz w:val="14"/>
                            <w:szCs w:val="14"/>
                          </w:rPr>
                          <w:t>嘉兴小度投资管理有限公司－宁波梅山保税港区</w:t>
                        </w:r>
                      </w:p>
                      <w:p>
                        <w:pPr>
                          <w:pStyle w:val="TableParagraph"/>
                          <w:spacing w:line="142" w:lineRule="exact"/>
                          <w:ind w:right="136"/>
                          <w:jc w:val="right"/>
                          <w:rPr>
                            <w:rFonts w:ascii="宋体" w:hAnsi="宋体" w:cs="宋体" w:eastAsia="宋体" w:hint="default"/>
                            <w:sz w:val="14"/>
                            <w:szCs w:val="14"/>
                          </w:rPr>
                        </w:pPr>
                        <w:r>
                          <w:rPr>
                            <w:rFonts w:ascii="宋体"/>
                            <w:w w:val="111"/>
                            <w:sz w:val="14"/>
                          </w:rPr>
                          <w:t>0</w:t>
                        </w:r>
                        <w:r>
                          <w:rPr>
                            <w:rFonts w:ascii="宋体"/>
                            <w:sz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5"/>
                          <w:jc w:val="right"/>
                          <w:rPr>
                            <w:rFonts w:ascii="宋体" w:hAnsi="宋体" w:cs="宋体" w:eastAsia="宋体" w:hint="default"/>
                            <w:sz w:val="14"/>
                            <w:szCs w:val="14"/>
                          </w:rPr>
                        </w:pPr>
                        <w:r>
                          <w:rPr>
                            <w:rFonts w:ascii="宋体"/>
                            <w:w w:val="95"/>
                            <w:sz w:val="14"/>
                          </w:rPr>
                          <w:t>1,024,890,190</w:t>
                        </w:r>
                        <w:r>
                          <w:rPr>
                            <w:rFonts w:ascii="宋体"/>
                            <w:sz w:val="14"/>
                          </w:rPr>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4"/>
                            <w:szCs w:val="14"/>
                          </w:rPr>
                        </w:pPr>
                        <w:r>
                          <w:rPr>
                            <w:rFonts w:ascii="宋体"/>
                            <w:w w:val="90"/>
                            <w:sz w:val="14"/>
                          </w:rPr>
                          <w:t>3.3</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2"/>
                          <w:jc w:val="right"/>
                          <w:rPr>
                            <w:rFonts w:ascii="宋体" w:hAnsi="宋体" w:cs="宋体" w:eastAsia="宋体" w:hint="default"/>
                            <w:sz w:val="14"/>
                            <w:szCs w:val="14"/>
                          </w:rPr>
                        </w:pPr>
                        <w:r>
                          <w:rPr>
                            <w:rFonts w:ascii="宋体"/>
                            <w:w w:val="95"/>
                            <w:sz w:val="14"/>
                          </w:rPr>
                          <w:t>1,024,890,190</w:t>
                        </w:r>
                        <w:r>
                          <w:rPr>
                            <w:rFonts w:ascii="宋体"/>
                            <w:sz w:val="14"/>
                          </w:rPr>
                        </w:r>
                      </w:p>
                    </w:tc>
                    <w:tc>
                      <w:tcPr>
                        <w:tcW w:w="1517" w:type="dxa"/>
                        <w:tcBorders>
                          <w:top w:val="nil" w:sz="6" w:space="0" w:color="auto"/>
                          <w:left w:val="nil" w:sz="6" w:space="0" w:color="auto"/>
                          <w:bottom w:val="nil" w:sz="6" w:space="0" w:color="auto"/>
                          <w:right w:val="nil" w:sz="6" w:space="0" w:color="auto"/>
                        </w:tcBorders>
                      </w:tcPr>
                      <w:p>
                        <w:pPr>
                          <w:pStyle w:val="TableParagraph"/>
                          <w:tabs>
                            <w:tab w:pos="1068" w:val="left" w:leader="none"/>
                          </w:tabs>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无</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303" w:hRule="exact"/>
                    </w:trPr>
                    <w:tc>
                      <w:tcPr>
                        <w:tcW w:w="4078" w:type="dxa"/>
                        <w:tcBorders>
                          <w:top w:val="nil" w:sz="6" w:space="0" w:color="auto"/>
                          <w:left w:val="nil" w:sz="6" w:space="0" w:color="auto"/>
                          <w:bottom w:val="nil" w:sz="6" w:space="0" w:color="auto"/>
                          <w:right w:val="nil" w:sz="6" w:space="0" w:color="auto"/>
                        </w:tcBorders>
                      </w:tcPr>
                      <w:p>
                        <w:pPr>
                          <w:pStyle w:val="TableParagraph"/>
                          <w:tabs>
                            <w:tab w:pos="3777" w:val="left" w:leader="none"/>
                          </w:tabs>
                          <w:spacing w:line="240" w:lineRule="auto" w:before="53"/>
                          <w:ind w:right="136"/>
                          <w:jc w:val="right"/>
                          <w:rPr>
                            <w:rFonts w:ascii="宋体" w:hAnsi="宋体" w:cs="宋体" w:eastAsia="宋体" w:hint="default"/>
                            <w:sz w:val="14"/>
                            <w:szCs w:val="14"/>
                          </w:rPr>
                        </w:pPr>
                        <w:r>
                          <w:rPr>
                            <w:rFonts w:ascii="宋体" w:hAnsi="宋体" w:cs="宋体" w:eastAsia="宋体" w:hint="default"/>
                            <w:spacing w:val="-14"/>
                            <w:sz w:val="14"/>
                            <w:szCs w:val="14"/>
                          </w:rPr>
                          <w:t>宿迁京东三弘企业管理中心（有限合伙）</w:t>
                        </w:r>
                        <w:r>
                          <w:rPr>
                            <w:rFonts w:ascii="Times New Roman" w:hAnsi="Times New Roman" w:cs="Times New Roman" w:eastAsia="Times New Roman" w:hint="default"/>
                            <w:spacing w:val="-14"/>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5"/>
                          <w:jc w:val="right"/>
                          <w:rPr>
                            <w:rFonts w:ascii="宋体" w:hAnsi="宋体" w:cs="宋体" w:eastAsia="宋体" w:hint="default"/>
                            <w:sz w:val="14"/>
                            <w:szCs w:val="14"/>
                          </w:rPr>
                        </w:pPr>
                        <w:r>
                          <w:rPr>
                            <w:rFonts w:ascii="宋体"/>
                            <w:sz w:val="14"/>
                          </w:rPr>
                          <w:t>732,064,421</w:t>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4"/>
                            <w:szCs w:val="14"/>
                          </w:rPr>
                        </w:pPr>
                        <w:r>
                          <w:rPr>
                            <w:rFonts w:ascii="宋体"/>
                            <w:w w:val="90"/>
                            <w:sz w:val="14"/>
                          </w:rPr>
                          <w:t>2.4</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2"/>
                          <w:jc w:val="right"/>
                          <w:rPr>
                            <w:rFonts w:ascii="宋体" w:hAnsi="宋体" w:cs="宋体" w:eastAsia="宋体" w:hint="default"/>
                            <w:sz w:val="14"/>
                            <w:szCs w:val="14"/>
                          </w:rPr>
                        </w:pPr>
                        <w:r>
                          <w:rPr>
                            <w:rFonts w:ascii="宋体"/>
                            <w:sz w:val="14"/>
                          </w:rPr>
                          <w:t>732,064,421</w:t>
                        </w:r>
                      </w:p>
                    </w:tc>
                    <w:tc>
                      <w:tcPr>
                        <w:tcW w:w="1517" w:type="dxa"/>
                        <w:tcBorders>
                          <w:top w:val="nil" w:sz="6" w:space="0" w:color="auto"/>
                          <w:left w:val="nil" w:sz="6" w:space="0" w:color="auto"/>
                          <w:bottom w:val="nil" w:sz="6" w:space="0" w:color="auto"/>
                          <w:right w:val="nil" w:sz="6" w:space="0" w:color="auto"/>
                        </w:tcBorders>
                      </w:tcPr>
                      <w:p>
                        <w:pPr>
                          <w:pStyle w:val="TableParagraph"/>
                          <w:tabs>
                            <w:tab w:pos="1068" w:val="left" w:leader="none"/>
                          </w:tabs>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无</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253" w:hRule="exact"/>
                    </w:trPr>
                    <w:tc>
                      <w:tcPr>
                        <w:tcW w:w="4078" w:type="dxa"/>
                        <w:tcBorders>
                          <w:top w:val="nil" w:sz="6" w:space="0" w:color="auto"/>
                          <w:left w:val="nil" w:sz="6" w:space="0" w:color="auto"/>
                          <w:bottom w:val="nil" w:sz="6" w:space="0" w:color="auto"/>
                          <w:right w:val="nil" w:sz="6" w:space="0" w:color="auto"/>
                        </w:tcBorders>
                      </w:tcPr>
                      <w:p>
                        <w:pPr>
                          <w:pStyle w:val="TableParagraph"/>
                          <w:tabs>
                            <w:tab w:pos="3777" w:val="left" w:leader="none"/>
                          </w:tabs>
                          <w:spacing w:line="240" w:lineRule="auto" w:before="3"/>
                          <w:ind w:right="136"/>
                          <w:jc w:val="right"/>
                          <w:rPr>
                            <w:rFonts w:ascii="宋体" w:hAnsi="宋体" w:cs="宋体" w:eastAsia="宋体" w:hint="default"/>
                            <w:sz w:val="14"/>
                            <w:szCs w:val="14"/>
                          </w:rPr>
                        </w:pPr>
                        <w:r>
                          <w:rPr>
                            <w:rFonts w:ascii="宋体" w:hAnsi="宋体" w:cs="宋体" w:eastAsia="宋体" w:hint="default"/>
                            <w:sz w:val="14"/>
                            <w:szCs w:val="14"/>
                          </w:rPr>
                          <w:t>杭州阿里创业投资有限公司</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5"/>
                          <w:jc w:val="right"/>
                          <w:rPr>
                            <w:rFonts w:ascii="宋体" w:hAnsi="宋体" w:cs="宋体" w:eastAsia="宋体" w:hint="default"/>
                            <w:sz w:val="14"/>
                            <w:szCs w:val="14"/>
                          </w:rPr>
                        </w:pPr>
                        <w:r>
                          <w:rPr>
                            <w:rFonts w:ascii="宋体"/>
                            <w:sz w:val="14"/>
                          </w:rPr>
                          <w:t>633,254,734</w:t>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6"/>
                          <w:jc w:val="right"/>
                          <w:rPr>
                            <w:rFonts w:ascii="宋体" w:hAnsi="宋体" w:cs="宋体" w:eastAsia="宋体" w:hint="default"/>
                            <w:sz w:val="14"/>
                            <w:szCs w:val="14"/>
                          </w:rPr>
                        </w:pPr>
                        <w:r>
                          <w:rPr>
                            <w:rFonts w:ascii="宋体"/>
                            <w:w w:val="90"/>
                            <w:sz w:val="14"/>
                          </w:rPr>
                          <w:t>2.0</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633,254,734</w:t>
                        </w:r>
                      </w:p>
                    </w:tc>
                    <w:tc>
                      <w:tcPr>
                        <w:tcW w:w="1517" w:type="dxa"/>
                        <w:tcBorders>
                          <w:top w:val="nil" w:sz="6" w:space="0" w:color="auto"/>
                          <w:left w:val="nil" w:sz="6" w:space="0" w:color="auto"/>
                          <w:bottom w:val="nil" w:sz="6" w:space="0" w:color="auto"/>
                          <w:right w:val="nil" w:sz="6" w:space="0" w:color="auto"/>
                        </w:tcBorders>
                      </w:tcPr>
                      <w:p>
                        <w:pPr>
                          <w:pStyle w:val="TableParagraph"/>
                          <w:tabs>
                            <w:tab w:pos="1068" w:val="left" w:leader="none"/>
                          </w:tabs>
                          <w:spacing w:line="240" w:lineRule="auto" w:before="3"/>
                          <w:ind w:right="83"/>
                          <w:jc w:val="right"/>
                          <w:rPr>
                            <w:rFonts w:ascii="宋体" w:hAnsi="宋体" w:cs="宋体" w:eastAsia="宋体" w:hint="default"/>
                            <w:sz w:val="14"/>
                            <w:szCs w:val="14"/>
                          </w:rPr>
                        </w:pPr>
                        <w:r>
                          <w:rPr>
                            <w:rFonts w:ascii="宋体" w:hAnsi="宋体" w:cs="宋体" w:eastAsia="宋体" w:hint="default"/>
                            <w:sz w:val="14"/>
                            <w:szCs w:val="14"/>
                          </w:rPr>
                          <w:t>无</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303" w:hRule="exact"/>
                    </w:trPr>
                    <w:tc>
                      <w:tcPr>
                        <w:tcW w:w="4078" w:type="dxa"/>
                        <w:tcBorders>
                          <w:top w:val="nil" w:sz="6" w:space="0" w:color="auto"/>
                          <w:left w:val="nil" w:sz="6" w:space="0" w:color="auto"/>
                          <w:bottom w:val="nil" w:sz="6" w:space="0" w:color="auto"/>
                          <w:right w:val="nil" w:sz="6" w:space="0" w:color="auto"/>
                        </w:tcBorders>
                      </w:tcPr>
                      <w:p>
                        <w:pPr>
                          <w:pStyle w:val="TableParagraph"/>
                          <w:tabs>
                            <w:tab w:pos="3777" w:val="left" w:leader="none"/>
                          </w:tabs>
                          <w:spacing w:line="240" w:lineRule="auto" w:before="3"/>
                          <w:ind w:right="136"/>
                          <w:jc w:val="right"/>
                          <w:rPr>
                            <w:rFonts w:ascii="宋体" w:hAnsi="宋体" w:cs="宋体" w:eastAsia="宋体" w:hint="default"/>
                            <w:sz w:val="14"/>
                            <w:szCs w:val="14"/>
                          </w:rPr>
                        </w:pPr>
                        <w:r>
                          <w:rPr>
                            <w:rFonts w:ascii="宋体" w:hAnsi="宋体" w:cs="宋体" w:eastAsia="宋体" w:hint="default"/>
                            <w:sz w:val="14"/>
                            <w:szCs w:val="14"/>
                          </w:rPr>
                          <w:t>苏宁易购集团股份有限公司</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5"/>
                          <w:jc w:val="right"/>
                          <w:rPr>
                            <w:rFonts w:ascii="宋体" w:hAnsi="宋体" w:cs="宋体" w:eastAsia="宋体" w:hint="default"/>
                            <w:sz w:val="14"/>
                            <w:szCs w:val="14"/>
                          </w:rPr>
                        </w:pPr>
                        <w:r>
                          <w:rPr>
                            <w:rFonts w:ascii="宋体"/>
                            <w:sz w:val="14"/>
                          </w:rPr>
                          <w:t>585,651,537</w:t>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06"/>
                          <w:jc w:val="right"/>
                          <w:rPr>
                            <w:rFonts w:ascii="宋体" w:hAnsi="宋体" w:cs="宋体" w:eastAsia="宋体" w:hint="default"/>
                            <w:sz w:val="14"/>
                            <w:szCs w:val="14"/>
                          </w:rPr>
                        </w:pPr>
                        <w:r>
                          <w:rPr>
                            <w:rFonts w:ascii="宋体"/>
                            <w:w w:val="90"/>
                            <w:sz w:val="14"/>
                          </w:rPr>
                          <w:t>1.9</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585,651,537</w:t>
                        </w:r>
                      </w:p>
                    </w:tc>
                    <w:tc>
                      <w:tcPr>
                        <w:tcW w:w="1517" w:type="dxa"/>
                        <w:tcBorders>
                          <w:top w:val="nil" w:sz="6" w:space="0" w:color="auto"/>
                          <w:left w:val="nil" w:sz="6" w:space="0" w:color="auto"/>
                          <w:bottom w:val="nil" w:sz="6" w:space="0" w:color="auto"/>
                          <w:right w:val="nil" w:sz="6" w:space="0" w:color="auto"/>
                        </w:tcBorders>
                      </w:tcPr>
                      <w:p>
                        <w:pPr>
                          <w:pStyle w:val="TableParagraph"/>
                          <w:tabs>
                            <w:tab w:pos="654" w:val="left" w:leader="none"/>
                          </w:tabs>
                          <w:spacing w:line="240" w:lineRule="auto" w:before="3"/>
                          <w:ind w:left="144" w:right="0"/>
                          <w:jc w:val="left"/>
                          <w:rPr>
                            <w:rFonts w:ascii="宋体" w:hAnsi="宋体" w:cs="宋体" w:eastAsia="宋体" w:hint="default"/>
                            <w:sz w:val="14"/>
                            <w:szCs w:val="14"/>
                          </w:rPr>
                        </w:pPr>
                        <w:r>
                          <w:rPr>
                            <w:rFonts w:ascii="宋体" w:hAnsi="宋体" w:cs="宋体" w:eastAsia="宋体" w:hint="default"/>
                            <w:sz w:val="14"/>
                            <w:szCs w:val="14"/>
                          </w:rPr>
                          <w:t>质押</w:t>
                          <w:tab/>
                          <w:t>585,651,537</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353" w:hRule="exact"/>
                    </w:trPr>
                    <w:tc>
                      <w:tcPr>
                        <w:tcW w:w="4078" w:type="dxa"/>
                        <w:tcBorders>
                          <w:top w:val="nil" w:sz="6" w:space="0" w:color="auto"/>
                          <w:left w:val="nil" w:sz="6" w:space="0" w:color="auto"/>
                          <w:bottom w:val="nil" w:sz="6" w:space="0" w:color="auto"/>
                          <w:right w:val="nil" w:sz="6" w:space="0" w:color="auto"/>
                        </w:tcBorders>
                      </w:tcPr>
                      <w:p>
                        <w:pPr>
                          <w:pStyle w:val="TableParagraph"/>
                          <w:spacing w:line="95" w:lineRule="exact"/>
                          <w:ind w:left="84" w:right="0"/>
                          <w:jc w:val="left"/>
                          <w:rPr>
                            <w:rFonts w:ascii="宋体" w:hAnsi="宋体" w:cs="宋体" w:eastAsia="宋体" w:hint="default"/>
                            <w:sz w:val="14"/>
                            <w:szCs w:val="14"/>
                          </w:rPr>
                        </w:pPr>
                        <w:r>
                          <w:rPr>
                            <w:rFonts w:ascii="宋体" w:hAnsi="宋体" w:cs="宋体" w:eastAsia="宋体" w:hint="default"/>
                            <w:spacing w:val="-3"/>
                            <w:sz w:val="14"/>
                            <w:szCs w:val="14"/>
                          </w:rPr>
                          <w:t>深圳淮海方舟信息产业股权投资基金（有限合伙）</w:t>
                        </w:r>
                      </w:p>
                      <w:p>
                        <w:pPr>
                          <w:pStyle w:val="TableParagraph"/>
                          <w:spacing w:line="142" w:lineRule="exact"/>
                          <w:ind w:right="136"/>
                          <w:jc w:val="right"/>
                          <w:rPr>
                            <w:rFonts w:ascii="宋体" w:hAnsi="宋体" w:cs="宋体" w:eastAsia="宋体" w:hint="default"/>
                            <w:sz w:val="14"/>
                            <w:szCs w:val="14"/>
                          </w:rPr>
                        </w:pPr>
                        <w:r>
                          <w:rPr>
                            <w:rFonts w:ascii="宋体"/>
                            <w:w w:val="111"/>
                            <w:sz w:val="14"/>
                          </w:rPr>
                          <w:t>0</w:t>
                        </w:r>
                        <w:r>
                          <w:rPr>
                            <w:rFonts w:ascii="宋体"/>
                            <w:sz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5"/>
                          <w:jc w:val="right"/>
                          <w:rPr>
                            <w:rFonts w:ascii="宋体" w:hAnsi="宋体" w:cs="宋体" w:eastAsia="宋体" w:hint="default"/>
                            <w:sz w:val="14"/>
                            <w:szCs w:val="14"/>
                          </w:rPr>
                        </w:pPr>
                        <w:r>
                          <w:rPr>
                            <w:rFonts w:ascii="宋体"/>
                            <w:sz w:val="14"/>
                          </w:rPr>
                          <w:t>585,651,537</w:t>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4"/>
                            <w:szCs w:val="14"/>
                          </w:rPr>
                        </w:pPr>
                        <w:r>
                          <w:rPr>
                            <w:rFonts w:ascii="宋体"/>
                            <w:w w:val="90"/>
                            <w:sz w:val="14"/>
                          </w:rPr>
                          <w:t>1.9</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2"/>
                          <w:jc w:val="right"/>
                          <w:rPr>
                            <w:rFonts w:ascii="宋体" w:hAnsi="宋体" w:cs="宋体" w:eastAsia="宋体" w:hint="default"/>
                            <w:sz w:val="14"/>
                            <w:szCs w:val="14"/>
                          </w:rPr>
                        </w:pPr>
                        <w:r>
                          <w:rPr>
                            <w:rFonts w:ascii="宋体"/>
                            <w:sz w:val="14"/>
                          </w:rPr>
                          <w:t>585,651,537</w:t>
                        </w:r>
                      </w:p>
                    </w:tc>
                    <w:tc>
                      <w:tcPr>
                        <w:tcW w:w="1517" w:type="dxa"/>
                        <w:tcBorders>
                          <w:top w:val="nil" w:sz="6" w:space="0" w:color="auto"/>
                          <w:left w:val="nil" w:sz="6" w:space="0" w:color="auto"/>
                          <w:bottom w:val="nil" w:sz="6" w:space="0" w:color="auto"/>
                          <w:right w:val="nil" w:sz="6" w:space="0" w:color="auto"/>
                        </w:tcBorders>
                      </w:tcPr>
                      <w:p>
                        <w:pPr>
                          <w:pStyle w:val="TableParagraph"/>
                          <w:tabs>
                            <w:tab w:pos="654" w:val="left" w:leader="none"/>
                          </w:tabs>
                          <w:spacing w:line="240" w:lineRule="auto" w:before="53"/>
                          <w:ind w:left="144" w:right="0"/>
                          <w:jc w:val="left"/>
                          <w:rPr>
                            <w:rFonts w:ascii="宋体" w:hAnsi="宋体" w:cs="宋体" w:eastAsia="宋体" w:hint="default"/>
                            <w:sz w:val="14"/>
                            <w:szCs w:val="14"/>
                          </w:rPr>
                        </w:pPr>
                        <w:r>
                          <w:rPr>
                            <w:rFonts w:ascii="宋体" w:hAnsi="宋体" w:cs="宋体" w:eastAsia="宋体" w:hint="default"/>
                            <w:sz w:val="14"/>
                            <w:szCs w:val="14"/>
                          </w:rPr>
                          <w:t>质押</w:t>
                          <w:tab/>
                          <w:t>434,846,266</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未知</w:t>
                        </w:r>
                      </w:p>
                    </w:tc>
                  </w:tr>
                  <w:tr>
                    <w:trPr>
                      <w:trHeight w:val="347" w:hRule="exact"/>
                    </w:trPr>
                    <w:tc>
                      <w:tcPr>
                        <w:tcW w:w="4078" w:type="dxa"/>
                        <w:tcBorders>
                          <w:top w:val="nil" w:sz="6" w:space="0" w:color="auto"/>
                          <w:left w:val="nil" w:sz="6" w:space="0" w:color="auto"/>
                          <w:bottom w:val="nil" w:sz="6" w:space="0" w:color="auto"/>
                          <w:right w:val="nil" w:sz="6" w:space="0" w:color="auto"/>
                        </w:tcBorders>
                      </w:tcPr>
                      <w:p>
                        <w:pPr>
                          <w:pStyle w:val="TableParagraph"/>
                          <w:tabs>
                            <w:tab w:pos="3777" w:val="left" w:leader="none"/>
                          </w:tabs>
                          <w:spacing w:line="240" w:lineRule="auto" w:before="53"/>
                          <w:ind w:right="136"/>
                          <w:jc w:val="right"/>
                          <w:rPr>
                            <w:rFonts w:ascii="宋体" w:hAnsi="宋体" w:cs="宋体" w:eastAsia="宋体" w:hint="default"/>
                            <w:sz w:val="14"/>
                            <w:szCs w:val="14"/>
                          </w:rPr>
                        </w:pPr>
                        <w:r>
                          <w:rPr>
                            <w:rFonts w:ascii="宋体" w:hAnsi="宋体" w:cs="宋体" w:eastAsia="宋体" w:hint="default"/>
                            <w:sz w:val="14"/>
                            <w:szCs w:val="14"/>
                          </w:rPr>
                          <w:t>深圳光启互联技术投资合伙企业（有限合伙）</w:t>
                        </w:r>
                        <w:r>
                          <w:rPr>
                            <w:rFonts w:ascii="Times New Roman" w:hAnsi="Times New Roman" w:cs="Times New Roman" w:eastAsia="Times New Roman" w:hint="default"/>
                            <w:sz w:val="14"/>
                            <w:szCs w:val="14"/>
                          </w:rPr>
                          <w:tab/>
                        </w:r>
                        <w:r>
                          <w:rPr>
                            <w:rFonts w:ascii="宋体" w:hAnsi="宋体" w:cs="宋体" w:eastAsia="宋体" w:hint="default"/>
                            <w:w w:val="105"/>
                            <w:sz w:val="14"/>
                            <w:szCs w:val="14"/>
                          </w:rPr>
                          <w:t>0</w:t>
                        </w:r>
                        <w:r>
                          <w:rPr>
                            <w:rFonts w:ascii="宋体" w:hAnsi="宋体" w:cs="宋体" w:eastAsia="宋体" w:hint="default"/>
                            <w:sz w:val="14"/>
                            <w:szCs w:val="14"/>
                          </w:rPr>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5"/>
                          <w:jc w:val="right"/>
                          <w:rPr>
                            <w:rFonts w:ascii="宋体" w:hAnsi="宋体" w:cs="宋体" w:eastAsia="宋体" w:hint="default"/>
                            <w:sz w:val="14"/>
                            <w:szCs w:val="14"/>
                          </w:rPr>
                        </w:pPr>
                        <w:r>
                          <w:rPr>
                            <w:rFonts w:ascii="宋体"/>
                            <w:sz w:val="14"/>
                          </w:rPr>
                          <w:t>585,651,537</w:t>
                        </w:r>
                      </w:p>
                    </w:tc>
                    <w:tc>
                      <w:tcPr>
                        <w:tcW w:w="566"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06"/>
                          <w:jc w:val="right"/>
                          <w:rPr>
                            <w:rFonts w:ascii="宋体" w:hAnsi="宋体" w:cs="宋体" w:eastAsia="宋体" w:hint="default"/>
                            <w:sz w:val="14"/>
                            <w:szCs w:val="14"/>
                          </w:rPr>
                        </w:pPr>
                        <w:r>
                          <w:rPr>
                            <w:rFonts w:ascii="宋体"/>
                            <w:w w:val="90"/>
                            <w:sz w:val="14"/>
                          </w:rPr>
                          <w:t>1.9</w:t>
                        </w:r>
                        <w:r>
                          <w:rPr>
                            <w:rFonts w:ascii="宋体"/>
                            <w:sz w:val="14"/>
                          </w:rPr>
                        </w:r>
                      </w:p>
                    </w:tc>
                    <w:tc>
                      <w:tcPr>
                        <w:tcW w:w="1153"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2"/>
                          <w:jc w:val="right"/>
                          <w:rPr>
                            <w:rFonts w:ascii="宋体" w:hAnsi="宋体" w:cs="宋体" w:eastAsia="宋体" w:hint="default"/>
                            <w:sz w:val="14"/>
                            <w:szCs w:val="14"/>
                          </w:rPr>
                        </w:pPr>
                        <w:r>
                          <w:rPr>
                            <w:rFonts w:ascii="宋体"/>
                            <w:sz w:val="14"/>
                          </w:rPr>
                          <w:t>585,651,537</w:t>
                        </w:r>
                      </w:p>
                    </w:tc>
                    <w:tc>
                      <w:tcPr>
                        <w:tcW w:w="1517" w:type="dxa"/>
                        <w:tcBorders>
                          <w:top w:val="nil" w:sz="6" w:space="0" w:color="auto"/>
                          <w:left w:val="nil" w:sz="6" w:space="0" w:color="auto"/>
                          <w:bottom w:val="nil" w:sz="6" w:space="0" w:color="auto"/>
                          <w:right w:val="nil" w:sz="6" w:space="0" w:color="auto"/>
                        </w:tcBorders>
                      </w:tcPr>
                      <w:p>
                        <w:pPr>
                          <w:pStyle w:val="TableParagraph"/>
                          <w:tabs>
                            <w:tab w:pos="654" w:val="left" w:leader="none"/>
                          </w:tabs>
                          <w:spacing w:line="240" w:lineRule="auto" w:before="53"/>
                          <w:ind w:left="144" w:right="0"/>
                          <w:jc w:val="left"/>
                          <w:rPr>
                            <w:rFonts w:ascii="宋体" w:hAnsi="宋体" w:cs="宋体" w:eastAsia="宋体" w:hint="default"/>
                            <w:sz w:val="14"/>
                            <w:szCs w:val="14"/>
                          </w:rPr>
                        </w:pPr>
                        <w:r>
                          <w:rPr>
                            <w:rFonts w:ascii="宋体" w:hAnsi="宋体" w:cs="宋体" w:eastAsia="宋体" w:hint="default"/>
                            <w:sz w:val="14"/>
                            <w:szCs w:val="14"/>
                          </w:rPr>
                          <w:t>质押</w:t>
                          <w:tab/>
                          <w:t>306,600,000</w:t>
                        </w:r>
                      </w:p>
                    </w:tc>
                    <w:tc>
                      <w:tcPr>
                        <w:tcW w:w="73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83"/>
                          <w:jc w:val="right"/>
                          <w:rPr>
                            <w:rFonts w:ascii="宋体" w:hAnsi="宋体" w:cs="宋体" w:eastAsia="宋体" w:hint="default"/>
                            <w:sz w:val="14"/>
                            <w:szCs w:val="14"/>
                          </w:rPr>
                        </w:pPr>
                        <w:r>
                          <w:rPr>
                            <w:rFonts w:ascii="宋体" w:hAnsi="宋体" w:cs="宋体" w:eastAsia="宋体" w:hint="default"/>
                            <w:sz w:val="14"/>
                            <w:szCs w:val="14"/>
                          </w:rPr>
                          <w:t>未知</w:t>
                        </w:r>
                      </w:p>
                    </w:tc>
                  </w:tr>
                </w:tbl>
                <w:p>
                  <w:pPr/>
                </w:p>
              </w:txbxContent>
            </v:textbox>
            <w10:wrap type="none"/>
          </v:shape>
        </w:pict>
      </w:r>
      <w:r>
        <w:rPr>
          <w:rFonts w:ascii="宋体" w:hAnsi="宋体" w:cs="宋体" w:eastAsia="宋体" w:hint="default"/>
          <w:w w:val="105"/>
          <w:sz w:val="14"/>
          <w:szCs w:val="14"/>
        </w:rPr>
        <w:t>品－</w:t>
      </w:r>
      <w:r>
        <w:rPr>
          <w:rFonts w:ascii="宋体" w:hAnsi="宋体" w:cs="宋体" w:eastAsia="宋体" w:hint="default"/>
          <w:spacing w:val="-37"/>
          <w:w w:val="105"/>
          <w:sz w:val="14"/>
          <w:szCs w:val="14"/>
        </w:rPr>
        <w:t> </w:t>
      </w:r>
      <w:r>
        <w:rPr>
          <w:rFonts w:ascii="宋体" w:hAnsi="宋体" w:cs="宋体" w:eastAsia="宋体" w:hint="default"/>
          <w:w w:val="105"/>
          <w:sz w:val="14"/>
          <w:szCs w:val="14"/>
        </w:rPr>
        <w:t>005L</w:t>
      </w:r>
      <w:r>
        <w:rPr>
          <w:rFonts w:ascii="宋体" w:hAnsi="宋体" w:cs="宋体" w:eastAsia="宋体" w:hint="default"/>
          <w:spacing w:val="-38"/>
          <w:w w:val="105"/>
          <w:sz w:val="14"/>
          <w:szCs w:val="14"/>
        </w:rPr>
        <w:t> </w:t>
      </w:r>
      <w:r>
        <w:rPr>
          <w:rFonts w:ascii="宋体" w:hAnsi="宋体" w:cs="宋体" w:eastAsia="宋体" w:hint="default"/>
          <w:w w:val="105"/>
          <w:sz w:val="14"/>
          <w:szCs w:val="14"/>
        </w:rPr>
        <w:t>－</w:t>
      </w:r>
      <w:r>
        <w:rPr>
          <w:rFonts w:ascii="宋体" w:hAnsi="宋体" w:cs="宋体" w:eastAsia="宋体" w:hint="default"/>
          <w:spacing w:val="-37"/>
          <w:w w:val="105"/>
          <w:sz w:val="14"/>
          <w:szCs w:val="14"/>
        </w:rPr>
        <w:t> </w:t>
      </w:r>
      <w:r>
        <w:rPr>
          <w:rFonts w:ascii="宋体" w:hAnsi="宋体" w:cs="宋体" w:eastAsia="宋体" w:hint="default"/>
          <w:w w:val="105"/>
          <w:sz w:val="14"/>
          <w:szCs w:val="14"/>
        </w:rPr>
        <w:t>CT001</w:t>
      </w:r>
      <w:r>
        <w:rPr>
          <w:rFonts w:ascii="宋体" w:hAnsi="宋体" w:cs="宋体" w:eastAsia="宋体" w:hint="default"/>
          <w:spacing w:val="-38"/>
          <w:w w:val="105"/>
          <w:sz w:val="14"/>
          <w:szCs w:val="14"/>
        </w:rPr>
        <w:t> </w:t>
      </w:r>
      <w:r>
        <w:rPr>
          <w:rFonts w:ascii="宋体" w:hAnsi="宋体" w:cs="宋体" w:eastAsia="宋体" w:hint="default"/>
          <w:w w:val="105"/>
          <w:sz w:val="14"/>
          <w:szCs w:val="14"/>
        </w:rPr>
        <w:t>沪（注</w:t>
      </w:r>
      <w:r>
        <w:rPr>
          <w:rFonts w:ascii="宋体" w:hAnsi="宋体" w:cs="宋体" w:eastAsia="宋体" w:hint="default"/>
          <w:spacing w:val="-37"/>
          <w:w w:val="105"/>
          <w:sz w:val="14"/>
          <w:szCs w:val="14"/>
        </w:rPr>
        <w:t> </w:t>
      </w:r>
      <w:r>
        <w:rPr>
          <w:rFonts w:ascii="宋体" w:hAnsi="宋体" w:cs="宋体" w:eastAsia="宋体" w:hint="default"/>
          <w:w w:val="105"/>
          <w:sz w:val="14"/>
          <w:szCs w:val="14"/>
        </w:rPr>
        <w:t>1）</w:t>
      </w:r>
      <w:r>
        <w:rPr>
          <w:rFonts w:ascii="宋体" w:hAnsi="宋体" w:cs="宋体" w:eastAsia="宋体" w:hint="default"/>
          <w:sz w:val="14"/>
          <w:szCs w:val="14"/>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spacing w:before="46"/>
        <w:ind w:left="1842" w:right="764" w:firstLine="0"/>
        <w:jc w:val="left"/>
        <w:rPr>
          <w:rFonts w:ascii="宋体" w:hAnsi="宋体" w:cs="宋体" w:eastAsia="宋体" w:hint="default"/>
          <w:sz w:val="14"/>
          <w:szCs w:val="14"/>
        </w:rPr>
      </w:pPr>
      <w:r>
        <w:rPr>
          <w:rFonts w:ascii="宋体" w:hAnsi="宋体" w:cs="宋体" w:eastAsia="宋体" w:hint="default"/>
          <w:sz w:val="14"/>
          <w:szCs w:val="14"/>
        </w:rPr>
        <w:t>百度鹏寰投资合伙企业（有限合伙）</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before="46"/>
        <w:ind w:left="1842" w:right="764" w:firstLine="0"/>
        <w:jc w:val="left"/>
        <w:rPr>
          <w:rFonts w:ascii="宋体" w:hAnsi="宋体" w:cs="宋体" w:eastAsia="宋体" w:hint="default"/>
          <w:sz w:val="14"/>
          <w:szCs w:val="14"/>
        </w:rPr>
      </w:pPr>
      <w:r>
        <w:rPr>
          <w:rFonts w:ascii="宋体" w:hAnsi="宋体" w:cs="宋体" w:eastAsia="宋体" w:hint="default"/>
          <w:spacing w:val="35"/>
          <w:w w:val="85"/>
          <w:sz w:val="14"/>
          <w:szCs w:val="14"/>
        </w:rPr>
        <w:t>(</w:t>
      </w:r>
      <w:r>
        <w:rPr>
          <w:rFonts w:ascii="宋体" w:hAnsi="宋体" w:cs="宋体" w:eastAsia="宋体" w:hint="default"/>
          <w:w w:val="85"/>
          <w:sz w:val="14"/>
          <w:szCs w:val="14"/>
        </w:rPr>
        <w:t>注</w:t>
      </w:r>
      <w:r>
        <w:rPr>
          <w:rFonts w:ascii="宋体" w:hAnsi="宋体" w:cs="宋体" w:eastAsia="宋体" w:hint="default"/>
          <w:spacing w:val="-35"/>
          <w:sz w:val="14"/>
          <w:szCs w:val="14"/>
        </w:rPr>
        <w:t> </w:t>
      </w:r>
      <w:r>
        <w:rPr>
          <w:rFonts w:ascii="宋体" w:hAnsi="宋体" w:cs="宋体" w:eastAsia="宋体" w:hint="default"/>
          <w:spacing w:val="-1"/>
          <w:w w:val="111"/>
          <w:sz w:val="14"/>
          <w:szCs w:val="14"/>
        </w:rPr>
        <w:t>3</w:t>
      </w:r>
      <w:r>
        <w:rPr>
          <w:rFonts w:ascii="宋体" w:hAnsi="宋体" w:cs="宋体" w:eastAsia="宋体" w:hint="default"/>
          <w:w w:val="55"/>
          <w:sz w:val="14"/>
          <w:szCs w:val="14"/>
        </w:rPr>
        <w:t>)</w:t>
      </w:r>
      <w:r>
        <w:rPr>
          <w:rFonts w:ascii="宋体" w:hAnsi="宋体" w:cs="宋体" w:eastAsia="宋体" w:hint="default"/>
          <w:sz w:val="14"/>
          <w:szCs w:val="14"/>
        </w:rPr>
      </w:r>
    </w:p>
    <w:p>
      <w:pPr>
        <w:spacing w:line="240" w:lineRule="auto" w:before="10"/>
        <w:rPr>
          <w:rFonts w:ascii="宋体" w:hAnsi="宋体" w:cs="宋体" w:eastAsia="宋体" w:hint="default"/>
          <w:sz w:val="28"/>
          <w:szCs w:val="28"/>
        </w:rPr>
      </w:pPr>
    </w:p>
    <w:p>
      <w:pPr>
        <w:spacing w:line="20" w:lineRule="exact"/>
        <w:ind w:left="1752"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3204;height:2" coordorigin="5,5" coordsize="3204,2">
              <v:shape style="position:absolute;left:5;top:5;width:3204;height:2" coordorigin="5,5" coordsize="3204,0" path="m5,5l3208,5e" filled="false" stroked="true" strokeweight=".5pt" strokecolor="#000000">
                <v:path arrowok="t"/>
              </v:shape>
            </v:group>
            <v:group style="position:absolute;left:3208;top:5;width:823;height:2" coordorigin="3208,5" coordsize="823,2">
              <v:shape style="position:absolute;left:3208;top:5;width:823;height:2" coordorigin="3208,5" coordsize="823,0" path="m3208,5l4030,5e" filled="false" stroked="true" strokeweight=".5pt" strokecolor="#000000">
                <v:path arrowok="t"/>
              </v:shape>
            </v:group>
            <v:group style="position:absolute;left:4030;top:5;width:1248;height:2" coordorigin="4030,5" coordsize="1248,2">
              <v:shape style="position:absolute;left:4030;top:5;width:1248;height:2" coordorigin="4030,5" coordsize="1248,0" path="m4030,5l5277,5e" filled="false" stroked="true" strokeweight=".5pt" strokecolor="#000000">
                <v:path arrowok="t"/>
              </v:shape>
            </v:group>
            <v:group style="position:absolute;left:5277;top:5;width:596;height:2" coordorigin="5277,5" coordsize="596,2">
              <v:shape style="position:absolute;left:5277;top:5;width:596;height:2" coordorigin="5277,5" coordsize="596,0" path="m5277,5l5873,5e" filled="false" stroked="true" strokeweight=".5pt" strokecolor="#000000">
                <v:path arrowok="t"/>
              </v:shape>
            </v:group>
            <v:group style="position:absolute;left:5873;top:5;width:1177;height:2" coordorigin="5873,5" coordsize="1177,2">
              <v:shape style="position:absolute;left:5873;top:5;width:1177;height:2" coordorigin="5873,5" coordsize="1177,0" path="m5873,5l7049,5e" filled="false" stroked="true" strokeweight=".5pt" strokecolor="#000000">
                <v:path arrowok="t"/>
              </v:shape>
            </v:group>
            <v:group style="position:absolute;left:7049;top:5;width:511;height:2" coordorigin="7049,5" coordsize="511,2">
              <v:shape style="position:absolute;left:7049;top:5;width:511;height:2" coordorigin="7049,5" coordsize="511,0" path="m7049,5l7559,5e" filled="false" stroked="true" strokeweight=".5pt" strokecolor="#000000">
                <v:path arrowok="t"/>
              </v:shape>
            </v:group>
            <v:group style="position:absolute;left:7559;top:5;width:1007;height:2" coordorigin="7559,5" coordsize="1007,2">
              <v:shape style="position:absolute;left:7559;top:5;width:1007;height:2" coordorigin="7559,5" coordsize="1007,0" path="m7559,5l8566,5e" filled="false" stroked="true" strokeweight=".5pt" strokecolor="#000000">
                <v:path arrowok="t"/>
              </v:shape>
            </v:group>
            <v:group style="position:absolute;left:8566;top:5;width:737;height:2" coordorigin="8566,5" coordsize="737,2">
              <v:shape style="position:absolute;left:8566;top:5;width:737;height:2" coordorigin="8566,5" coordsize="737,0" path="m8566,5l9303,5e" filled="false" stroked="true" strokeweight=".5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9"/>
          <w:szCs w:val="9"/>
        </w:rPr>
      </w:pPr>
    </w:p>
    <w:p>
      <w:pPr>
        <w:spacing w:before="43"/>
        <w:ind w:left="1742" w:right="0" w:firstLine="0"/>
        <w:jc w:val="both"/>
        <w:rPr>
          <w:rFonts w:ascii="宋体" w:hAnsi="宋体" w:cs="宋体" w:eastAsia="宋体" w:hint="default"/>
          <w:sz w:val="16"/>
          <w:szCs w:val="16"/>
        </w:rPr>
      </w:pPr>
      <w:r>
        <w:rPr>
          <w:rFonts w:ascii="宋体" w:hAnsi="宋体" w:cs="宋体" w:eastAsia="宋体" w:hint="default"/>
          <w:sz w:val="16"/>
          <w:szCs w:val="16"/>
        </w:rPr>
        <w:t>注：</w:t>
      </w:r>
    </w:p>
    <w:p>
      <w:pPr>
        <w:spacing w:before="70"/>
        <w:ind w:left="1742" w:right="0" w:firstLine="0"/>
        <w:jc w:val="both"/>
        <w:rPr>
          <w:rFonts w:ascii="宋体" w:hAnsi="宋体" w:cs="宋体" w:eastAsia="宋体" w:hint="default"/>
          <w:sz w:val="16"/>
          <w:szCs w:val="16"/>
        </w:rPr>
      </w:pPr>
      <w:r>
        <w:rPr>
          <w:rFonts w:ascii="宋体" w:hAnsi="宋体" w:cs="宋体" w:eastAsia="宋体" w:hint="default"/>
          <w:spacing w:val="-1"/>
          <w:w w:val="110"/>
          <w:sz w:val="16"/>
          <w:szCs w:val="16"/>
        </w:rPr>
        <w:t>1</w:t>
      </w:r>
      <w:r>
        <w:rPr>
          <w:rFonts w:ascii="宋体" w:hAnsi="宋体" w:cs="宋体" w:eastAsia="宋体" w:hint="default"/>
          <w:w w:val="55"/>
          <w:sz w:val="16"/>
          <w:szCs w:val="16"/>
        </w:rPr>
        <w:t>.</w:t>
      </w:r>
      <w:r>
        <w:rPr>
          <w:rFonts w:ascii="宋体" w:hAnsi="宋体" w:cs="宋体" w:eastAsia="宋体" w:hint="default"/>
          <w:spacing w:val="-40"/>
          <w:sz w:val="16"/>
          <w:szCs w:val="16"/>
        </w:rPr>
        <w:t> </w:t>
      </w:r>
      <w:r>
        <w:rPr>
          <w:rFonts w:ascii="宋体" w:hAnsi="宋体" w:cs="宋体" w:eastAsia="宋体" w:hint="default"/>
          <w:sz w:val="16"/>
          <w:szCs w:val="16"/>
        </w:rPr>
        <w:t>上表数据来源于中国证券登记结算有限责任公司上海分公司（简称“中国结算”）提供的合并普通账户和融资融券信用账户股东名</w:t>
      </w:r>
    </w:p>
    <w:p>
      <w:pPr>
        <w:spacing w:line="321" w:lineRule="auto" w:before="70"/>
        <w:ind w:left="1742" w:right="861" w:firstLine="0"/>
        <w:jc w:val="both"/>
        <w:rPr>
          <w:rFonts w:ascii="宋体" w:hAnsi="宋体" w:cs="宋体" w:eastAsia="宋体" w:hint="default"/>
          <w:sz w:val="16"/>
          <w:szCs w:val="16"/>
        </w:rPr>
      </w:pPr>
      <w:r>
        <w:rPr>
          <w:rFonts w:ascii="宋体" w:hAnsi="宋体" w:cs="宋体" w:eastAsia="宋体" w:hint="default"/>
          <w:spacing w:val="2"/>
          <w:sz w:val="16"/>
          <w:szCs w:val="16"/>
        </w:rPr>
        <w:t>册的前十大股东信息（简称“本次前十大股东信息”），其中，中国人寿保险股份有限公司（简称“中国人寿”）于</w:t>
      </w:r>
      <w:r>
        <w:rPr>
          <w:rFonts w:ascii="宋体" w:hAnsi="宋体" w:cs="宋体" w:eastAsia="宋体" w:hint="default"/>
          <w:spacing w:val="-25"/>
          <w:sz w:val="16"/>
          <w:szCs w:val="16"/>
        </w:rPr>
        <w:t> </w:t>
      </w:r>
      <w:r>
        <w:rPr>
          <w:rFonts w:ascii="宋体" w:hAnsi="宋体" w:cs="宋体" w:eastAsia="宋体" w:hint="default"/>
          <w:sz w:val="16"/>
          <w:szCs w:val="16"/>
        </w:rPr>
        <w:t>2017</w:t>
      </w:r>
      <w:r>
        <w:rPr>
          <w:rFonts w:ascii="宋体" w:hAnsi="宋体" w:cs="宋体" w:eastAsia="宋体" w:hint="default"/>
          <w:spacing w:val="-25"/>
          <w:sz w:val="16"/>
          <w:szCs w:val="16"/>
        </w:rPr>
        <w:t> </w:t>
      </w:r>
      <w:r>
        <w:rPr>
          <w:rFonts w:ascii="宋体" w:hAnsi="宋体" w:cs="宋体" w:eastAsia="宋体" w:hint="default"/>
          <w:sz w:val="16"/>
          <w:szCs w:val="16"/>
        </w:rPr>
        <w:t>年</w:t>
      </w:r>
      <w:r>
        <w:rPr>
          <w:rFonts w:ascii="宋体" w:hAnsi="宋体" w:cs="宋体" w:eastAsia="宋体" w:hint="default"/>
          <w:spacing w:val="-25"/>
          <w:sz w:val="16"/>
          <w:szCs w:val="16"/>
        </w:rPr>
        <w:t> </w:t>
      </w:r>
      <w:r>
        <w:rPr>
          <w:rFonts w:ascii="宋体" w:hAnsi="宋体" w:cs="宋体" w:eastAsia="宋体" w:hint="default"/>
          <w:sz w:val="16"/>
          <w:szCs w:val="16"/>
        </w:rPr>
        <w:t>10</w:t>
      </w:r>
      <w:r>
        <w:rPr>
          <w:rFonts w:ascii="宋体" w:hAnsi="宋体" w:cs="宋体" w:eastAsia="宋体" w:hint="default"/>
          <w:spacing w:val="-25"/>
          <w:sz w:val="16"/>
          <w:szCs w:val="16"/>
        </w:rPr>
        <w:t> </w:t>
      </w:r>
      <w:r>
        <w:rPr>
          <w:rFonts w:ascii="宋体" w:hAnsi="宋体" w:cs="宋体" w:eastAsia="宋体" w:hint="default"/>
          <w:sz w:val="16"/>
          <w:szCs w:val="16"/>
        </w:rPr>
        <w:t>月</w:t>
      </w:r>
      <w:r>
        <w:rPr>
          <w:rFonts w:ascii="宋体" w:hAnsi="宋体" w:cs="宋体" w:eastAsia="宋体" w:hint="default"/>
          <w:spacing w:val="-74"/>
          <w:sz w:val="16"/>
          <w:szCs w:val="16"/>
        </w:rPr>
        <w:t> </w:t>
      </w:r>
      <w:r>
        <w:rPr>
          <w:rFonts w:ascii="宋体" w:hAnsi="宋体" w:cs="宋体" w:eastAsia="宋体" w:hint="default"/>
          <w:spacing w:val="-74"/>
          <w:sz w:val="16"/>
          <w:szCs w:val="16"/>
        </w:rPr>
      </w:r>
      <w:r>
        <w:rPr>
          <w:rFonts w:ascii="宋体" w:hAnsi="宋体" w:cs="宋体" w:eastAsia="宋体" w:hint="default"/>
          <w:sz w:val="16"/>
          <w:szCs w:val="16"/>
        </w:rPr>
        <w:t>底通过“中国人寿保险股份有限公司—传统—普通保险产品—005L—CT001 沪”账户完成本公司非公开发行股份的认购。除上述账</w:t>
      </w:r>
      <w:r>
        <w:rPr>
          <w:rFonts w:ascii="宋体" w:hAnsi="宋体" w:cs="宋体" w:eastAsia="宋体" w:hint="default"/>
          <w:spacing w:val="3"/>
          <w:sz w:val="16"/>
          <w:szCs w:val="16"/>
        </w:rPr>
        <w:t> </w:t>
      </w:r>
      <w:r>
        <w:rPr>
          <w:rFonts w:ascii="宋体" w:hAnsi="宋体" w:cs="宋体" w:eastAsia="宋体" w:hint="default"/>
          <w:spacing w:val="3"/>
          <w:sz w:val="16"/>
          <w:szCs w:val="16"/>
        </w:rPr>
      </w:r>
      <w:r>
        <w:rPr>
          <w:rFonts w:ascii="宋体" w:hAnsi="宋体" w:cs="宋体" w:eastAsia="宋体" w:hint="default"/>
          <w:sz w:val="16"/>
          <w:szCs w:val="16"/>
        </w:rPr>
        <w:t>户外，中国人寿通过其自身控制的其他账户合计持有本公司股份约 370</w:t>
      </w:r>
      <w:r>
        <w:rPr>
          <w:rFonts w:ascii="宋体" w:hAnsi="宋体" w:cs="宋体" w:eastAsia="宋体" w:hint="default"/>
          <w:spacing w:val="-55"/>
          <w:sz w:val="16"/>
          <w:szCs w:val="16"/>
        </w:rPr>
        <w:t> </w:t>
      </w:r>
      <w:r>
        <w:rPr>
          <w:rFonts w:ascii="宋体" w:hAnsi="宋体" w:cs="宋体" w:eastAsia="宋体" w:hint="default"/>
          <w:sz w:val="16"/>
          <w:szCs w:val="16"/>
        </w:rPr>
        <w:t>万股。</w:t>
      </w:r>
    </w:p>
    <w:p>
      <w:pPr>
        <w:spacing w:before="129"/>
        <w:ind w:left="1742" w:right="0" w:firstLine="0"/>
        <w:jc w:val="both"/>
        <w:rPr>
          <w:rFonts w:ascii="宋体" w:hAnsi="宋体" w:cs="宋体" w:eastAsia="宋体" w:hint="default"/>
          <w:sz w:val="16"/>
          <w:szCs w:val="16"/>
        </w:rPr>
      </w:pPr>
      <w:r>
        <w:rPr>
          <w:rFonts w:ascii="宋体" w:hAnsi="宋体" w:cs="宋体" w:eastAsia="宋体" w:hint="default"/>
          <w:spacing w:val="-1"/>
          <w:w w:val="110"/>
          <w:sz w:val="16"/>
          <w:szCs w:val="16"/>
        </w:rPr>
        <w:t>2</w:t>
      </w:r>
      <w:r>
        <w:rPr>
          <w:rFonts w:ascii="宋体" w:hAnsi="宋体" w:cs="宋体" w:eastAsia="宋体" w:hint="default"/>
          <w:w w:val="55"/>
          <w:sz w:val="16"/>
          <w:szCs w:val="16"/>
        </w:rPr>
        <w:t>.</w:t>
      </w:r>
      <w:r>
        <w:rPr>
          <w:rFonts w:ascii="宋体" w:hAnsi="宋体" w:cs="宋体" w:eastAsia="宋体" w:hint="default"/>
          <w:spacing w:val="-40"/>
          <w:sz w:val="16"/>
          <w:szCs w:val="16"/>
        </w:rPr>
        <w:t> </w:t>
      </w:r>
      <w:r>
        <w:rPr>
          <w:rFonts w:ascii="宋体" w:hAnsi="宋体" w:cs="宋体" w:eastAsia="宋体" w:hint="default"/>
          <w:sz w:val="16"/>
          <w:szCs w:val="16"/>
        </w:rPr>
        <w:t>前十名无限售条件股东中，包含中国国有企业结构调整基金股份有限公司（简称“结构调整基金”）。公司控股股东中国联合网络</w:t>
      </w:r>
    </w:p>
    <w:p>
      <w:pPr>
        <w:spacing w:before="70"/>
        <w:ind w:left="1742" w:right="0" w:firstLine="0"/>
        <w:jc w:val="both"/>
        <w:rPr>
          <w:rFonts w:ascii="宋体" w:hAnsi="宋体" w:cs="宋体" w:eastAsia="宋体" w:hint="default"/>
          <w:sz w:val="16"/>
          <w:szCs w:val="16"/>
        </w:rPr>
      </w:pPr>
      <w:r>
        <w:rPr>
          <w:rFonts w:ascii="宋体" w:hAnsi="宋体" w:cs="宋体" w:eastAsia="宋体" w:hint="default"/>
          <w:sz w:val="16"/>
          <w:szCs w:val="16"/>
        </w:rPr>
        <w:t>通信集团有限公司于</w:t>
      </w:r>
      <w:r>
        <w:rPr>
          <w:rFonts w:ascii="宋体" w:hAnsi="宋体" w:cs="宋体" w:eastAsia="宋体" w:hint="default"/>
          <w:spacing w:val="-46"/>
          <w:sz w:val="16"/>
          <w:szCs w:val="16"/>
        </w:rPr>
        <w:t> </w:t>
      </w:r>
      <w:r>
        <w:rPr>
          <w:rFonts w:ascii="宋体" w:hAnsi="宋体" w:cs="宋体" w:eastAsia="宋体" w:hint="default"/>
          <w:sz w:val="16"/>
          <w:szCs w:val="16"/>
        </w:rPr>
        <w:t>2017</w:t>
      </w:r>
      <w:r>
        <w:rPr>
          <w:rFonts w:ascii="宋体" w:hAnsi="宋体" w:cs="宋体" w:eastAsia="宋体" w:hint="default"/>
          <w:spacing w:val="-46"/>
          <w:sz w:val="16"/>
          <w:szCs w:val="16"/>
        </w:rPr>
        <w:t> </w:t>
      </w:r>
      <w:r>
        <w:rPr>
          <w:rFonts w:ascii="宋体" w:hAnsi="宋体" w:cs="宋体" w:eastAsia="宋体" w:hint="default"/>
          <w:sz w:val="16"/>
          <w:szCs w:val="16"/>
        </w:rPr>
        <w:t>年</w:t>
      </w:r>
      <w:r>
        <w:rPr>
          <w:rFonts w:ascii="宋体" w:hAnsi="宋体" w:cs="宋体" w:eastAsia="宋体" w:hint="default"/>
          <w:spacing w:val="-46"/>
          <w:sz w:val="16"/>
          <w:szCs w:val="16"/>
        </w:rPr>
        <w:t> </w:t>
      </w:r>
      <w:r>
        <w:rPr>
          <w:rFonts w:ascii="宋体" w:hAnsi="宋体" w:cs="宋体" w:eastAsia="宋体" w:hint="default"/>
          <w:sz w:val="16"/>
          <w:szCs w:val="16"/>
        </w:rPr>
        <w:t>11</w:t>
      </w:r>
      <w:r>
        <w:rPr>
          <w:rFonts w:ascii="宋体" w:hAnsi="宋体" w:cs="宋体" w:eastAsia="宋体" w:hint="default"/>
          <w:spacing w:val="-46"/>
          <w:sz w:val="16"/>
          <w:szCs w:val="16"/>
        </w:rPr>
        <w:t> </w:t>
      </w:r>
      <w:r>
        <w:rPr>
          <w:rFonts w:ascii="宋体" w:hAnsi="宋体" w:cs="宋体" w:eastAsia="宋体" w:hint="default"/>
          <w:sz w:val="16"/>
          <w:szCs w:val="16"/>
        </w:rPr>
        <w:t>月底向结构调整基金完成协议转让</w:t>
      </w:r>
      <w:r>
        <w:rPr>
          <w:rFonts w:ascii="宋体" w:hAnsi="宋体" w:cs="宋体" w:eastAsia="宋体" w:hint="default"/>
          <w:spacing w:val="-46"/>
          <w:sz w:val="16"/>
          <w:szCs w:val="16"/>
        </w:rPr>
        <w:t> </w:t>
      </w:r>
      <w:r>
        <w:rPr>
          <w:rFonts w:ascii="宋体" w:hAnsi="宋体" w:cs="宋体" w:eastAsia="宋体" w:hint="default"/>
          <w:sz w:val="16"/>
          <w:szCs w:val="16"/>
        </w:rPr>
        <w:t>1,899,764,201</w:t>
      </w:r>
      <w:r>
        <w:rPr>
          <w:rFonts w:ascii="宋体" w:hAnsi="宋体" w:cs="宋体" w:eastAsia="宋体" w:hint="default"/>
          <w:spacing w:val="-46"/>
          <w:sz w:val="16"/>
          <w:szCs w:val="16"/>
        </w:rPr>
        <w:t> </w:t>
      </w:r>
      <w:r>
        <w:rPr>
          <w:rFonts w:ascii="宋体" w:hAnsi="宋体" w:cs="宋体" w:eastAsia="宋体" w:hint="default"/>
          <w:spacing w:val="-8"/>
          <w:sz w:val="16"/>
          <w:szCs w:val="16"/>
        </w:rPr>
        <w:t>股本公司股份。根据双方《股份转让协议》相关约定，</w:t>
      </w:r>
    </w:p>
    <w:p>
      <w:pPr>
        <w:spacing w:before="70"/>
        <w:ind w:left="1742" w:right="0" w:firstLine="0"/>
        <w:jc w:val="both"/>
        <w:rPr>
          <w:rFonts w:ascii="宋体" w:hAnsi="宋体" w:cs="宋体" w:eastAsia="宋体" w:hint="default"/>
          <w:sz w:val="16"/>
          <w:szCs w:val="16"/>
        </w:rPr>
      </w:pPr>
      <w:r>
        <w:rPr>
          <w:rFonts w:ascii="宋体" w:hAnsi="宋体" w:cs="宋体" w:eastAsia="宋体" w:hint="default"/>
          <w:sz w:val="16"/>
          <w:szCs w:val="16"/>
        </w:rPr>
        <w:t>自交割日起 36</w:t>
      </w:r>
      <w:r>
        <w:rPr>
          <w:rFonts w:ascii="宋体" w:hAnsi="宋体" w:cs="宋体" w:eastAsia="宋体" w:hint="default"/>
          <w:spacing w:val="-64"/>
          <w:sz w:val="16"/>
          <w:szCs w:val="16"/>
        </w:rPr>
        <w:t> </w:t>
      </w:r>
      <w:r>
        <w:rPr>
          <w:rFonts w:ascii="宋体" w:hAnsi="宋体" w:cs="宋体" w:eastAsia="宋体" w:hint="default"/>
          <w:sz w:val="16"/>
          <w:szCs w:val="16"/>
        </w:rPr>
        <w:t>个月内，结构调整基金不得直接或间接转让此次协议转让股份。</w:t>
      </w:r>
    </w:p>
    <w:p>
      <w:pPr>
        <w:spacing w:line="240" w:lineRule="auto" w:before="1"/>
        <w:rPr>
          <w:rFonts w:ascii="宋体" w:hAnsi="宋体" w:cs="宋体" w:eastAsia="宋体" w:hint="default"/>
          <w:sz w:val="14"/>
          <w:szCs w:val="14"/>
        </w:rPr>
      </w:pPr>
    </w:p>
    <w:p>
      <w:pPr>
        <w:spacing w:line="321" w:lineRule="auto" w:before="0"/>
        <w:ind w:left="1742" w:right="862" w:firstLine="0"/>
        <w:jc w:val="both"/>
        <w:rPr>
          <w:rFonts w:ascii="宋体" w:hAnsi="宋体" w:cs="宋体" w:eastAsia="宋体" w:hint="default"/>
          <w:sz w:val="16"/>
          <w:szCs w:val="16"/>
        </w:rPr>
      </w:pPr>
      <w:r>
        <w:rPr>
          <w:rFonts w:ascii="宋体" w:hAnsi="宋体" w:cs="宋体" w:eastAsia="宋体" w:hint="default"/>
          <w:spacing w:val="-1"/>
          <w:w w:val="83"/>
          <w:sz w:val="16"/>
          <w:szCs w:val="16"/>
        </w:rPr>
        <w:t>3.</w:t>
      </w:r>
      <w:r>
        <w:rPr>
          <w:rFonts w:ascii="宋体" w:hAnsi="宋体" w:cs="宋体" w:eastAsia="宋体" w:hint="default"/>
          <w:spacing w:val="-26"/>
          <w:w w:val="83"/>
          <w:sz w:val="16"/>
          <w:szCs w:val="16"/>
        </w:rPr>
        <w:t> </w:t>
      </w:r>
      <w:r>
        <w:rPr>
          <w:rFonts w:ascii="宋体" w:hAnsi="宋体" w:cs="宋体" w:eastAsia="宋体" w:hint="default"/>
          <w:sz w:val="16"/>
          <w:szCs w:val="16"/>
        </w:rPr>
        <w:t>报告期内，公司股东深圳淮海方舟信息产业股权投资基金（有限合伙）持有本公司股份的账户由“前海方舟资产管理有限公司－深</w:t>
      </w:r>
      <w:r>
        <w:rPr>
          <w:rFonts w:ascii="宋体" w:hAnsi="宋体" w:cs="宋体" w:eastAsia="宋体" w:hint="default"/>
          <w:sz w:val="16"/>
          <w:szCs w:val="16"/>
        </w:rPr>
        <w:t> 圳淮海方舟信息产业股权投资基金（有限合伙）”变更为“深圳淮海方舟信息产业股权投资基金（有限合伙）”。</w:t>
      </w:r>
    </w:p>
    <w:p>
      <w:pPr>
        <w:spacing w:after="0" w:line="321" w:lineRule="auto"/>
        <w:jc w:val="both"/>
        <w:rPr>
          <w:rFonts w:ascii="宋体" w:hAnsi="宋体" w:cs="宋体" w:eastAsia="宋体" w:hint="default"/>
          <w:sz w:val="16"/>
          <w:szCs w:val="16"/>
        </w:rPr>
        <w:sectPr>
          <w:type w:val="continuous"/>
          <w:pgSz w:w="11910" w:h="16160"/>
          <w:pgMar w:top="1520" w:bottom="280" w:left="0" w:right="0"/>
        </w:sectPr>
      </w:pPr>
    </w:p>
    <w:p>
      <w:pPr>
        <w:spacing w:line="240" w:lineRule="auto" w:before="0"/>
        <w:rPr>
          <w:rFonts w:ascii="宋体" w:hAnsi="宋体" w:cs="宋体" w:eastAsia="宋体" w:hint="default"/>
          <w:sz w:val="23"/>
          <w:szCs w:val="23"/>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前十名无限售条件股东持股情况</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2"/>
          <w:szCs w:val="12"/>
        </w:rPr>
      </w:pPr>
    </w:p>
    <w:p>
      <w:pPr>
        <w:spacing w:before="0"/>
        <w:ind w:left="774" w:right="-20" w:firstLine="0"/>
        <w:jc w:val="left"/>
        <w:rPr>
          <w:rFonts w:ascii="宋体" w:hAnsi="宋体" w:cs="宋体" w:eastAsia="宋体" w:hint="default"/>
          <w:sz w:val="16"/>
          <w:szCs w:val="16"/>
        </w:rPr>
      </w:pPr>
      <w:r>
        <w:rPr/>
        <w:pict>
          <v:shape style="position:absolute;margin-left:87.8741pt;margin-top:6.626868pt;width:459.25pt;height:166.45pt;mso-position-horizontal-relative:page;mso-position-vertical-relative:paragraph;z-index:424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95"/>
                    <w:gridCol w:w="1794"/>
                    <w:gridCol w:w="2576"/>
                    <w:gridCol w:w="1619"/>
                  </w:tblGrid>
                  <w:tr>
                    <w:trPr>
                      <w:trHeight w:val="160" w:hRule="exact"/>
                    </w:trPr>
                    <w:tc>
                      <w:tcPr>
                        <w:tcW w:w="3195" w:type="dxa"/>
                        <w:tcBorders>
                          <w:top w:val="nil" w:sz="6" w:space="0" w:color="auto"/>
                          <w:left w:val="nil" w:sz="6" w:space="0" w:color="auto"/>
                          <w:bottom w:val="nil" w:sz="6" w:space="0" w:color="auto"/>
                          <w:right w:val="nil" w:sz="6" w:space="0" w:color="auto"/>
                        </w:tcBorders>
                      </w:tcPr>
                      <w:p>
                        <w:pPr/>
                      </w:p>
                    </w:tc>
                    <w:tc>
                      <w:tcPr>
                        <w:tcW w:w="1794" w:type="dxa"/>
                        <w:tcBorders>
                          <w:top w:val="nil" w:sz="6" w:space="0" w:color="auto"/>
                          <w:left w:val="nil" w:sz="6" w:space="0" w:color="auto"/>
                          <w:bottom w:val="nil" w:sz="6" w:space="0" w:color="auto"/>
                          <w:right w:val="nil" w:sz="6" w:space="0" w:color="auto"/>
                        </w:tcBorders>
                      </w:tcPr>
                      <w:p>
                        <w:pPr>
                          <w:pStyle w:val="TableParagraph"/>
                          <w:spacing w:line="150" w:lineRule="exact"/>
                          <w:ind w:right="83"/>
                          <w:jc w:val="right"/>
                          <w:rPr>
                            <w:rFonts w:ascii="宋体" w:hAnsi="宋体" w:cs="宋体" w:eastAsia="宋体" w:hint="default"/>
                            <w:sz w:val="16"/>
                            <w:szCs w:val="16"/>
                          </w:rPr>
                        </w:pPr>
                        <w:r>
                          <w:rPr>
                            <w:rFonts w:ascii="宋体" w:hAnsi="宋体" w:cs="宋体" w:eastAsia="宋体" w:hint="default"/>
                            <w:sz w:val="16"/>
                            <w:szCs w:val="16"/>
                          </w:rPr>
                          <w:t>持有无限售条件</w:t>
                        </w:r>
                      </w:p>
                    </w:tc>
                    <w:tc>
                      <w:tcPr>
                        <w:tcW w:w="4195" w:type="dxa"/>
                        <w:gridSpan w:val="2"/>
                        <w:tcBorders>
                          <w:top w:val="nil" w:sz="6" w:space="0" w:color="auto"/>
                          <w:left w:val="nil" w:sz="6" w:space="0" w:color="auto"/>
                          <w:bottom w:val="single" w:sz="6" w:space="0" w:color="000000"/>
                          <w:right w:val="nil" w:sz="6" w:space="0" w:color="auto"/>
                        </w:tcBorders>
                      </w:tcPr>
                      <w:p>
                        <w:pPr/>
                      </w:p>
                    </w:tc>
                  </w:tr>
                  <w:tr>
                    <w:trPr>
                      <w:trHeight w:val="304" w:hRule="exact"/>
                    </w:trPr>
                    <w:tc>
                      <w:tcPr>
                        <w:tcW w:w="3195" w:type="dxa"/>
                        <w:tcBorders>
                          <w:top w:val="nil" w:sz="6" w:space="0" w:color="auto"/>
                          <w:left w:val="nil" w:sz="6" w:space="0" w:color="auto"/>
                          <w:bottom w:val="single" w:sz="16" w:space="0" w:color="9C8758"/>
                          <w:right w:val="nil" w:sz="6" w:space="0" w:color="auto"/>
                        </w:tcBorders>
                      </w:tcPr>
                      <w:p>
                        <w:pPr>
                          <w:pStyle w:val="TableParagraph"/>
                          <w:spacing w:line="190" w:lineRule="exact"/>
                          <w:ind w:left="85" w:right="0"/>
                          <w:jc w:val="left"/>
                          <w:rPr>
                            <w:rFonts w:ascii="宋体" w:hAnsi="宋体" w:cs="宋体" w:eastAsia="宋体" w:hint="default"/>
                            <w:sz w:val="16"/>
                            <w:szCs w:val="16"/>
                          </w:rPr>
                        </w:pPr>
                        <w:r>
                          <w:rPr>
                            <w:rFonts w:ascii="宋体" w:hAnsi="宋体" w:cs="宋体" w:eastAsia="宋体" w:hint="default"/>
                            <w:sz w:val="16"/>
                            <w:szCs w:val="16"/>
                          </w:rPr>
                          <w:t>股东名称</w:t>
                        </w:r>
                      </w:p>
                    </w:tc>
                    <w:tc>
                      <w:tcPr>
                        <w:tcW w:w="1794" w:type="dxa"/>
                        <w:tcBorders>
                          <w:top w:val="nil" w:sz="6" w:space="0" w:color="auto"/>
                          <w:left w:val="nil" w:sz="6" w:space="0" w:color="auto"/>
                          <w:bottom w:val="single" w:sz="16" w:space="0" w:color="9C8758"/>
                          <w:right w:val="nil" w:sz="6" w:space="0" w:color="auto"/>
                        </w:tcBorders>
                      </w:tcPr>
                      <w:p>
                        <w:pPr>
                          <w:pStyle w:val="TableParagraph"/>
                          <w:spacing w:line="190" w:lineRule="exact"/>
                          <w:ind w:right="83"/>
                          <w:jc w:val="right"/>
                          <w:rPr>
                            <w:rFonts w:ascii="宋体" w:hAnsi="宋体" w:cs="宋体" w:eastAsia="宋体" w:hint="default"/>
                            <w:sz w:val="16"/>
                            <w:szCs w:val="16"/>
                          </w:rPr>
                        </w:pPr>
                        <w:r>
                          <w:rPr>
                            <w:rFonts w:ascii="宋体" w:hAnsi="宋体" w:cs="宋体" w:eastAsia="宋体" w:hint="default"/>
                            <w:sz w:val="16"/>
                            <w:szCs w:val="16"/>
                          </w:rPr>
                          <w:t>流通股的数量</w:t>
                        </w:r>
                      </w:p>
                    </w:tc>
                    <w:tc>
                      <w:tcPr>
                        <w:tcW w:w="2576" w:type="dxa"/>
                        <w:tcBorders>
                          <w:top w:val="single" w:sz="6" w:space="0" w:color="000000"/>
                          <w:left w:val="nil" w:sz="6" w:space="0" w:color="auto"/>
                          <w:bottom w:val="single" w:sz="16" w:space="0" w:color="9C8758"/>
                          <w:right w:val="nil" w:sz="6" w:space="0" w:color="auto"/>
                        </w:tcBorders>
                      </w:tcPr>
                      <w:p>
                        <w:pPr>
                          <w:pStyle w:val="TableParagraph"/>
                          <w:spacing w:line="209" w:lineRule="exact"/>
                          <w:ind w:right="561"/>
                          <w:jc w:val="right"/>
                          <w:rPr>
                            <w:rFonts w:ascii="宋体" w:hAnsi="宋体" w:cs="宋体" w:eastAsia="宋体" w:hint="default"/>
                            <w:sz w:val="16"/>
                            <w:szCs w:val="16"/>
                          </w:rPr>
                        </w:pPr>
                        <w:r>
                          <w:rPr>
                            <w:rFonts w:ascii="宋体" w:hAnsi="宋体" w:cs="宋体" w:eastAsia="宋体" w:hint="default"/>
                            <w:sz w:val="16"/>
                            <w:szCs w:val="16"/>
                          </w:rPr>
                          <w:t>种类</w:t>
                        </w:r>
                      </w:p>
                    </w:tc>
                    <w:tc>
                      <w:tcPr>
                        <w:tcW w:w="1619" w:type="dxa"/>
                        <w:tcBorders>
                          <w:top w:val="single" w:sz="6" w:space="0" w:color="000000"/>
                          <w:left w:val="nil" w:sz="6" w:space="0" w:color="auto"/>
                          <w:bottom w:val="single" w:sz="16" w:space="0" w:color="9C8758"/>
                          <w:right w:val="nil" w:sz="6" w:space="0" w:color="auto"/>
                        </w:tcBorders>
                      </w:tcPr>
                      <w:p>
                        <w:pPr>
                          <w:pStyle w:val="TableParagraph"/>
                          <w:spacing w:line="209" w:lineRule="exact"/>
                          <w:ind w:right="82"/>
                          <w:jc w:val="right"/>
                          <w:rPr>
                            <w:rFonts w:ascii="宋体" w:hAnsi="宋体" w:cs="宋体" w:eastAsia="宋体" w:hint="default"/>
                            <w:sz w:val="16"/>
                            <w:szCs w:val="16"/>
                          </w:rPr>
                        </w:pPr>
                        <w:r>
                          <w:rPr>
                            <w:rFonts w:ascii="宋体" w:hAnsi="宋体" w:cs="宋体" w:eastAsia="宋体" w:hint="default"/>
                            <w:sz w:val="16"/>
                            <w:szCs w:val="16"/>
                          </w:rPr>
                          <w:t>数量</w:t>
                        </w:r>
                      </w:p>
                    </w:tc>
                  </w:tr>
                  <w:tr>
                    <w:trPr>
                      <w:trHeight w:val="341" w:hRule="exact"/>
                    </w:trPr>
                    <w:tc>
                      <w:tcPr>
                        <w:tcW w:w="3195"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left="85" w:right="0"/>
                          <w:jc w:val="left"/>
                          <w:rPr>
                            <w:rFonts w:ascii="宋体" w:hAnsi="宋体" w:cs="宋体" w:eastAsia="宋体" w:hint="default"/>
                            <w:sz w:val="14"/>
                            <w:szCs w:val="14"/>
                          </w:rPr>
                        </w:pPr>
                        <w:r>
                          <w:rPr>
                            <w:rFonts w:ascii="宋体" w:hAnsi="宋体" w:cs="宋体" w:eastAsia="宋体" w:hint="default"/>
                            <w:sz w:val="14"/>
                            <w:szCs w:val="14"/>
                          </w:rPr>
                          <w:t>中国联合网络通信集团有限公司</w:t>
                        </w:r>
                      </w:p>
                    </w:tc>
                    <w:tc>
                      <w:tcPr>
                        <w:tcW w:w="1794"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right="82"/>
                          <w:jc w:val="right"/>
                          <w:rPr>
                            <w:rFonts w:ascii="宋体" w:hAnsi="宋体" w:cs="宋体" w:eastAsia="宋体" w:hint="default"/>
                            <w:sz w:val="14"/>
                            <w:szCs w:val="14"/>
                          </w:rPr>
                        </w:pPr>
                        <w:r>
                          <w:rPr>
                            <w:rFonts w:ascii="宋体"/>
                            <w:w w:val="95"/>
                            <w:sz w:val="14"/>
                          </w:rPr>
                          <w:t>11,399,724,220</w:t>
                        </w:r>
                        <w:r>
                          <w:rPr>
                            <w:rFonts w:ascii="宋体"/>
                            <w:sz w:val="14"/>
                          </w:rPr>
                        </w:r>
                      </w:p>
                    </w:tc>
                    <w:tc>
                      <w:tcPr>
                        <w:tcW w:w="2576"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single" w:sz="16" w:space="0" w:color="9C8758"/>
                          <w:left w:val="nil" w:sz="6" w:space="0" w:color="auto"/>
                          <w:bottom w:val="nil" w:sz="6" w:space="0" w:color="auto"/>
                          <w:right w:val="nil" w:sz="6" w:space="0" w:color="auto"/>
                        </w:tcBorders>
                      </w:tcPr>
                      <w:p>
                        <w:pPr>
                          <w:pStyle w:val="TableParagraph"/>
                          <w:spacing w:line="240" w:lineRule="auto" w:before="70"/>
                          <w:ind w:right="82"/>
                          <w:jc w:val="right"/>
                          <w:rPr>
                            <w:rFonts w:ascii="宋体" w:hAnsi="宋体" w:cs="宋体" w:eastAsia="宋体" w:hint="default"/>
                            <w:sz w:val="14"/>
                            <w:szCs w:val="14"/>
                          </w:rPr>
                        </w:pPr>
                        <w:r>
                          <w:rPr>
                            <w:rFonts w:ascii="宋体"/>
                            <w:w w:val="95"/>
                            <w:sz w:val="14"/>
                          </w:rPr>
                          <w:t>11,399,724,220</w:t>
                        </w:r>
                        <w:r>
                          <w:rPr>
                            <w:rFonts w:ascii="宋体"/>
                            <w:sz w:val="14"/>
                          </w:rPr>
                        </w:r>
                      </w:p>
                    </w:tc>
                  </w:tr>
                  <w:tr>
                    <w:trPr>
                      <w:trHeight w:val="25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中国国有企业结构调整基金股份有限公司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1,899,764,201</w:t>
                        </w:r>
                        <w:r>
                          <w:rPr>
                            <w:rFonts w:ascii="宋体"/>
                            <w:sz w:val="14"/>
                          </w:rPr>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1,899,764,201</w:t>
                        </w:r>
                        <w:r>
                          <w:rPr>
                            <w:rFonts w:ascii="宋体"/>
                            <w:sz w:val="14"/>
                          </w:rPr>
                        </w:r>
                      </w:p>
                    </w:tc>
                  </w:tr>
                  <w:tr>
                    <w:trPr>
                      <w:trHeight w:val="25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香港中央结算有限公司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364,372,422</w:t>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364,372,422</w:t>
                        </w:r>
                      </w:p>
                    </w:tc>
                  </w:tr>
                  <w:tr>
                    <w:trPr>
                      <w:trHeight w:val="25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中央汇金资产管理有限责任公司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288,488,300</w:t>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288,488,300</w:t>
                        </w:r>
                      </w:p>
                    </w:tc>
                  </w:tr>
                  <w:tr>
                    <w:trPr>
                      <w:trHeight w:val="25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北京凤山投资有限责任公司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107,287,440</w:t>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107,287,440</w:t>
                        </w:r>
                      </w:p>
                    </w:tc>
                  </w:tr>
                  <w:tr>
                    <w:trPr>
                      <w:trHeight w:val="197"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北京坤藤投资有限责任公司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100,581,975</w:t>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sz w:val="14"/>
                          </w:rPr>
                          <w:t>100,581,975</w:t>
                        </w:r>
                      </w:p>
                    </w:tc>
                  </w:tr>
                  <w:tr>
                    <w:trPr>
                      <w:trHeight w:val="33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59"/>
                          <w:ind w:left="85" w:right="0"/>
                          <w:jc w:val="left"/>
                          <w:rPr>
                            <w:rFonts w:ascii="宋体" w:hAnsi="宋体" w:cs="宋体" w:eastAsia="宋体" w:hint="default"/>
                            <w:sz w:val="14"/>
                            <w:szCs w:val="14"/>
                          </w:rPr>
                        </w:pPr>
                        <w:r>
                          <w:rPr>
                            <w:rFonts w:ascii="宋体" w:hAnsi="宋体" w:cs="宋体" w:eastAsia="宋体" w:hint="default"/>
                            <w:sz w:val="14"/>
                            <w:szCs w:val="14"/>
                          </w:rPr>
                          <w:t>中国工商银行－上证 50</w:t>
                        </w:r>
                        <w:r>
                          <w:rPr>
                            <w:rFonts w:ascii="宋体" w:hAnsi="宋体" w:cs="宋体" w:eastAsia="宋体" w:hint="default"/>
                            <w:spacing w:val="-56"/>
                            <w:sz w:val="14"/>
                            <w:szCs w:val="14"/>
                          </w:rPr>
                          <w:t> </w:t>
                        </w:r>
                        <w:r>
                          <w:rPr>
                            <w:rFonts w:ascii="宋体" w:hAnsi="宋体" w:cs="宋体" w:eastAsia="宋体" w:hint="default"/>
                            <w:sz w:val="14"/>
                            <w:szCs w:val="14"/>
                          </w:rPr>
                          <w:t>交易型开放式指数证券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2"/>
                          <w:jc w:val="right"/>
                          <w:rPr>
                            <w:rFonts w:ascii="宋体" w:hAnsi="宋体" w:cs="宋体" w:eastAsia="宋体" w:hint="default"/>
                            <w:sz w:val="14"/>
                            <w:szCs w:val="14"/>
                          </w:rPr>
                        </w:pPr>
                        <w:r>
                          <w:rPr>
                            <w:rFonts w:ascii="宋体"/>
                            <w:w w:val="95"/>
                            <w:sz w:val="14"/>
                          </w:rPr>
                          <w:t>98,672,293</w:t>
                        </w:r>
                        <w:r>
                          <w:rPr>
                            <w:rFonts w:ascii="宋体"/>
                            <w:sz w:val="14"/>
                          </w:rPr>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2"/>
                          <w:jc w:val="right"/>
                          <w:rPr>
                            <w:rFonts w:ascii="宋体" w:hAnsi="宋体" w:cs="宋体" w:eastAsia="宋体" w:hint="default"/>
                            <w:sz w:val="14"/>
                            <w:szCs w:val="14"/>
                          </w:rPr>
                        </w:pPr>
                        <w:r>
                          <w:rPr>
                            <w:rFonts w:ascii="宋体"/>
                            <w:w w:val="95"/>
                            <w:sz w:val="14"/>
                          </w:rPr>
                          <w:t>98,672,293</w:t>
                        </w:r>
                        <w:r>
                          <w:rPr>
                            <w:rFonts w:ascii="宋体"/>
                            <w:sz w:val="14"/>
                          </w:rPr>
                        </w:r>
                      </w:p>
                    </w:tc>
                  </w:tr>
                  <w:tr>
                    <w:trPr>
                      <w:trHeight w:val="177"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110" w:lineRule="exact"/>
                          <w:ind w:left="85" w:right="0"/>
                          <w:jc w:val="left"/>
                          <w:rPr>
                            <w:rFonts w:ascii="宋体" w:hAnsi="宋体" w:cs="宋体" w:eastAsia="宋体" w:hint="default"/>
                            <w:sz w:val="14"/>
                            <w:szCs w:val="14"/>
                          </w:rPr>
                        </w:pPr>
                        <w:r>
                          <w:rPr>
                            <w:rFonts w:ascii="宋体" w:hAnsi="宋体" w:cs="宋体" w:eastAsia="宋体" w:hint="default"/>
                            <w:sz w:val="14"/>
                            <w:szCs w:val="14"/>
                          </w:rPr>
                          <w:t>投资基金</w:t>
                        </w:r>
                      </w:p>
                    </w:tc>
                    <w:tc>
                      <w:tcPr>
                        <w:tcW w:w="1794" w:type="dxa"/>
                        <w:tcBorders>
                          <w:top w:val="nil" w:sz="6" w:space="0" w:color="auto"/>
                          <w:left w:val="nil" w:sz="6" w:space="0" w:color="auto"/>
                          <w:bottom w:val="nil" w:sz="6" w:space="0" w:color="auto"/>
                          <w:right w:val="nil" w:sz="6" w:space="0" w:color="auto"/>
                        </w:tcBorders>
                      </w:tcPr>
                      <w:p>
                        <w:pPr/>
                      </w:p>
                    </w:tc>
                    <w:tc>
                      <w:tcPr>
                        <w:tcW w:w="2576" w:type="dxa"/>
                        <w:tcBorders>
                          <w:top w:val="nil" w:sz="6" w:space="0" w:color="auto"/>
                          <w:left w:val="nil" w:sz="6" w:space="0" w:color="auto"/>
                          <w:bottom w:val="nil" w:sz="6" w:space="0" w:color="auto"/>
                          <w:right w:val="nil" w:sz="6" w:space="0" w:color="auto"/>
                        </w:tcBorders>
                      </w:tcPr>
                      <w:p>
                        <w:pPr/>
                      </w:p>
                    </w:tc>
                    <w:tc>
                      <w:tcPr>
                        <w:tcW w:w="1619" w:type="dxa"/>
                        <w:tcBorders>
                          <w:top w:val="nil" w:sz="6" w:space="0" w:color="auto"/>
                          <w:left w:val="nil" w:sz="6" w:space="0" w:color="auto"/>
                          <w:bottom w:val="nil" w:sz="6" w:space="0" w:color="auto"/>
                          <w:right w:val="nil" w:sz="6" w:space="0" w:color="auto"/>
                        </w:tcBorders>
                      </w:tcPr>
                      <w:p>
                        <w:pPr/>
                      </w:p>
                    </w:tc>
                  </w:tr>
                  <w:tr>
                    <w:trPr>
                      <w:trHeight w:val="25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齐齐哈尔市中正房地产开发有限公司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94,698,508</w:t>
                        </w:r>
                        <w:r>
                          <w:rPr>
                            <w:rFonts w:ascii="宋体"/>
                            <w:sz w:val="14"/>
                          </w:rPr>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94,698,508</w:t>
                        </w:r>
                        <w:r>
                          <w:rPr>
                            <w:rFonts w:ascii="宋体"/>
                            <w:sz w:val="14"/>
                          </w:rPr>
                        </w:r>
                      </w:p>
                    </w:tc>
                  </w:tr>
                  <w:tr>
                    <w:trPr>
                      <w:trHeight w:val="253"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北京国融远景投资有限公司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59,343,776</w:t>
                        </w:r>
                        <w:r>
                          <w:rPr>
                            <w:rFonts w:ascii="宋体"/>
                            <w:sz w:val="14"/>
                          </w:rPr>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59,343,776</w:t>
                        </w:r>
                        <w:r>
                          <w:rPr>
                            <w:rFonts w:ascii="宋体"/>
                            <w:sz w:val="14"/>
                          </w:rPr>
                        </w:r>
                      </w:p>
                    </w:tc>
                  </w:tr>
                  <w:tr>
                    <w:trPr>
                      <w:trHeight w:val="297" w:hRule="exact"/>
                    </w:trPr>
                    <w:tc>
                      <w:tcPr>
                        <w:tcW w:w="3195" w:type="dxa"/>
                        <w:tcBorders>
                          <w:top w:val="nil" w:sz="6" w:space="0" w:color="auto"/>
                          <w:left w:val="nil" w:sz="6" w:space="0" w:color="auto"/>
                          <w:bottom w:val="nil" w:sz="6" w:space="0" w:color="auto"/>
                          <w:right w:val="nil" w:sz="6" w:space="0" w:color="auto"/>
                        </w:tcBorders>
                      </w:tcPr>
                      <w:p>
                        <w:pPr>
                          <w:pStyle w:val="TableParagraph"/>
                          <w:spacing w:line="240" w:lineRule="auto" w:before="3"/>
                          <w:ind w:left="85" w:right="0"/>
                          <w:jc w:val="left"/>
                          <w:rPr>
                            <w:rFonts w:ascii="宋体" w:hAnsi="宋体" w:cs="宋体" w:eastAsia="宋体" w:hint="default"/>
                            <w:sz w:val="14"/>
                            <w:szCs w:val="14"/>
                          </w:rPr>
                        </w:pPr>
                        <w:r>
                          <w:rPr>
                            <w:rFonts w:ascii="宋体" w:hAnsi="宋体" w:cs="宋体" w:eastAsia="宋体" w:hint="default"/>
                            <w:sz w:val="14"/>
                            <w:szCs w:val="14"/>
                          </w:rPr>
                          <w:t>梧桐树投资平台有限责任公司</w:t>
                        </w:r>
                      </w:p>
                    </w:tc>
                    <w:tc>
                      <w:tcPr>
                        <w:tcW w:w="17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57,529,742</w:t>
                        </w:r>
                        <w:r>
                          <w:rPr>
                            <w:rFonts w:ascii="宋体"/>
                            <w:sz w:val="14"/>
                          </w:rPr>
                        </w:r>
                      </w:p>
                    </w:tc>
                    <w:tc>
                      <w:tcPr>
                        <w:tcW w:w="257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61"/>
                          <w:jc w:val="right"/>
                          <w:rPr>
                            <w:rFonts w:ascii="宋体" w:hAnsi="宋体" w:cs="宋体" w:eastAsia="宋体" w:hint="default"/>
                            <w:sz w:val="14"/>
                            <w:szCs w:val="14"/>
                          </w:rPr>
                        </w:pPr>
                        <w:r>
                          <w:rPr>
                            <w:rFonts w:ascii="宋体" w:hAnsi="宋体" w:cs="宋体" w:eastAsia="宋体" w:hint="default"/>
                            <w:sz w:val="14"/>
                            <w:szCs w:val="14"/>
                          </w:rPr>
                          <w:t>人民币普通股</w:t>
                        </w:r>
                      </w:p>
                    </w:tc>
                    <w:tc>
                      <w:tcPr>
                        <w:tcW w:w="161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57,529,742</w:t>
                        </w:r>
                        <w:r>
                          <w:rPr>
                            <w:rFonts w:ascii="宋体"/>
                            <w:sz w:val="14"/>
                          </w:rPr>
                        </w:r>
                      </w:p>
                    </w:tc>
                  </w:tr>
                </w:tbl>
                <w:p>
                  <w:pPr/>
                </w:p>
              </w:txbxContent>
            </v:textbox>
            <w10:wrap type="none"/>
          </v:shape>
        </w:pict>
      </w:r>
      <w:r>
        <w:rPr>
          <w:rFonts w:ascii="宋体" w:hAnsi="宋体" w:cs="宋体" w:eastAsia="宋体" w:hint="default"/>
          <w:sz w:val="16"/>
          <w:szCs w:val="16"/>
        </w:rPr>
        <w:t>股份种类及数量</w:t>
      </w:r>
    </w:p>
    <w:p>
      <w:pPr>
        <w:spacing w:before="78"/>
        <w:ind w:left="913" w:right="1027" w:firstLine="0"/>
        <w:jc w:val="center"/>
        <w:rPr>
          <w:rFonts w:ascii="宋体" w:hAnsi="宋体" w:cs="宋体" w:eastAsia="宋体" w:hint="default"/>
          <w:sz w:val="12"/>
          <w:szCs w:val="12"/>
        </w:rPr>
      </w:pPr>
      <w:r>
        <w:rPr/>
        <w:br w:type="column"/>
      </w:r>
      <w:r>
        <w:rPr>
          <w:rFonts w:ascii="宋体" w:hAnsi="宋体" w:cs="宋体" w:eastAsia="宋体" w:hint="default"/>
          <w:sz w:val="12"/>
          <w:szCs w:val="12"/>
        </w:rPr>
        <w:t>单位：股</w:t>
      </w:r>
    </w:p>
    <w:p>
      <w:pPr>
        <w:spacing w:after="0"/>
        <w:jc w:val="center"/>
        <w:rPr>
          <w:rFonts w:ascii="宋体" w:hAnsi="宋体" w:cs="宋体" w:eastAsia="宋体" w:hint="default"/>
          <w:sz w:val="12"/>
          <w:szCs w:val="12"/>
        </w:rPr>
        <w:sectPr>
          <w:type w:val="continuous"/>
          <w:pgSz w:w="11910" w:h="16160"/>
          <w:pgMar w:top="1520" w:bottom="280" w:left="0" w:right="0"/>
          <w:cols w:num="3" w:equalWidth="0">
            <w:col w:w="7470" w:space="40"/>
            <w:col w:w="1895" w:space="40"/>
            <w:col w:w="2465"/>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9"/>
          <w:szCs w:val="29"/>
        </w:rPr>
      </w:pPr>
    </w:p>
    <w:p>
      <w:pPr>
        <w:spacing w:line="20" w:lineRule="exact"/>
        <w:ind w:left="1752" w:right="0" w:firstLine="0"/>
        <w:rPr>
          <w:rFonts w:ascii="宋体" w:hAnsi="宋体" w:cs="宋体" w:eastAsia="宋体" w:hint="default"/>
          <w:sz w:val="2"/>
          <w:szCs w:val="2"/>
        </w:rPr>
      </w:pPr>
      <w:r>
        <w:rPr>
          <w:rFonts w:ascii="宋体" w:hAnsi="宋体" w:cs="宋体" w:eastAsia="宋体" w:hint="default"/>
          <w:sz w:val="2"/>
          <w:szCs w:val="2"/>
        </w:rPr>
        <w:pict>
          <v:group style="width:459.75pt;height:.5pt;mso-position-horizontal-relative:char;mso-position-vertical-relative:line" coordorigin="0,0" coordsize="9195,10">
            <v:group style="position:absolute;left:5;top:5;width:3119;height:2" coordorigin="5,5" coordsize="3119,2">
              <v:shape style="position:absolute;left:5;top:5;width:3119;height:2" coordorigin="5,5" coordsize="3119,0" path="m5,5l3123,5e" filled="false" stroked="true" strokeweight=".5pt" strokecolor="#000000">
                <v:path arrowok="t"/>
              </v:shape>
            </v:group>
            <v:group style="position:absolute;left:3123;top:5;width:1871;height:2" coordorigin="3123,5" coordsize="1871,2">
              <v:shape style="position:absolute;left:3123;top:5;width:1871;height:2" coordorigin="3123,5" coordsize="1871,0" path="m3123,5l4994,5e" filled="false" stroked="true" strokeweight=".5pt" strokecolor="#000000">
                <v:path arrowok="t"/>
              </v:shape>
            </v:group>
            <v:group style="position:absolute;left:4994;top:5;width:2098;height:2" coordorigin="4994,5" coordsize="2098,2">
              <v:shape style="position:absolute;left:4994;top:5;width:2098;height:2" coordorigin="4994,5" coordsize="2098,0" path="m4994,5l7092,5e" filled="false" stroked="true" strokeweight=".5pt" strokecolor="#000000">
                <v:path arrowok="t"/>
              </v:shape>
            </v:group>
            <v:group style="position:absolute;left:7092;top:5;width:2098;height:2" coordorigin="7092,5" coordsize="2098,2">
              <v:shape style="position:absolute;left:7092;top:5;width:2098;height:2" coordorigin="7092,5" coordsize="2098,0" path="m7092,5l9189,5e" filled="false" stroked="true" strokeweight=".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160"/>
          <w:pgMar w:top="1520" w:bottom="2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spacing w:line="20" w:lineRule="exact"/>
        <w:ind w:left="4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1739;height:2" coordorigin="5,5" coordsize="1739,2">
              <v:shape style="position:absolute;left:5;top:5;width:1739;height:2" coordorigin="5,5" coordsize="1739,0" path="m5,5l1744,5e" filled="false" stroked="true" strokeweight=".5pt" strokecolor="#000000">
                <v:path arrowok="t"/>
              </v:shape>
            </v:group>
            <v:group style="position:absolute;left:1744;top:5;width:2098;height:2" coordorigin="1744,5" coordsize="2098,2">
              <v:shape style="position:absolute;left:1744;top:5;width:2098;height:2" coordorigin="1744,5" coordsize="2098,0" path="m1744,5l3841,5e" filled="false" stroked="true" strokeweight=".5pt" strokecolor="#000000">
                <v:path arrowok="t"/>
              </v:shape>
            </v:group>
            <v:group style="position:absolute;left:3841;top:5;width:2098;height:2" coordorigin="3841,5" coordsize="2098,2">
              <v:shape style="position:absolute;left:3841;top:5;width:2098;height:2" coordorigin="3841,5" coordsize="2098,0" path="m3841,5l5939,5e" filled="false" stroked="true" strokeweight=".5pt" strokecolor="#000000">
                <v:path arrowok="t"/>
              </v:shape>
            </v:group>
            <v:group style="position:absolute;left:5939;top:5;width:3364;height:2" coordorigin="5939,5" coordsize="3364,2">
              <v:shape style="position:absolute;left:5939;top:5;width:3364;height:2" coordorigin="5939,5" coordsize="3364,0" path="m5939,5l9303,5e" filled="false" stroked="true" strokeweight=".5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5"/>
          <w:szCs w:val="5"/>
        </w:rPr>
      </w:pPr>
    </w:p>
    <w:p>
      <w:pPr>
        <w:spacing w:after="0" w:line="240" w:lineRule="auto"/>
        <w:rPr>
          <w:rFonts w:ascii="宋体" w:hAnsi="宋体" w:cs="宋体" w:eastAsia="宋体" w:hint="default"/>
          <w:sz w:val="5"/>
          <w:szCs w:val="5"/>
        </w:rPr>
        <w:sectPr>
          <w:footerReference w:type="even" r:id="rId169"/>
          <w:footerReference w:type="default" r:id="rId170"/>
          <w:pgSz w:w="11910" w:h="16160"/>
          <w:pgMar w:footer="1538" w:header="0" w:top="2220" w:bottom="1720" w:left="700" w:right="0"/>
        </w:sect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61" w:lineRule="auto" w:before="113"/>
        <w:ind w:left="575" w:right="-20" w:firstLine="0"/>
        <w:jc w:val="left"/>
        <w:rPr>
          <w:rFonts w:ascii="宋体" w:hAnsi="宋体" w:cs="宋体" w:eastAsia="宋体" w:hint="default"/>
          <w:sz w:val="14"/>
          <w:szCs w:val="14"/>
        </w:rPr>
      </w:pPr>
      <w:r>
        <w:rPr>
          <w:rFonts w:ascii="宋体" w:hAnsi="宋体" w:cs="宋体" w:eastAsia="宋体" w:hint="default"/>
          <w:sz w:val="14"/>
          <w:szCs w:val="14"/>
        </w:rPr>
        <w:t>上述股东关联关系或一致 行动的说明</w:t>
      </w:r>
    </w:p>
    <w:p>
      <w:pPr>
        <w:spacing w:before="46"/>
        <w:ind w:left="158" w:right="1481" w:firstLine="0"/>
        <w:jc w:val="left"/>
        <w:rPr>
          <w:rFonts w:ascii="宋体" w:hAnsi="宋体" w:cs="宋体" w:eastAsia="宋体" w:hint="default"/>
          <w:sz w:val="14"/>
          <w:szCs w:val="14"/>
        </w:rPr>
      </w:pPr>
      <w:r>
        <w:rPr>
          <w:w w:val="95"/>
        </w:rPr>
        <w:br w:type="column"/>
      </w:r>
      <w:r>
        <w:rPr>
          <w:rFonts w:ascii="宋体" w:hAnsi="宋体" w:cs="宋体" w:eastAsia="宋体" w:hint="default"/>
          <w:w w:val="95"/>
          <w:sz w:val="14"/>
          <w:szCs w:val="14"/>
        </w:rPr>
        <w:t>1. </w:t>
      </w:r>
      <w:r>
        <w:rPr>
          <w:rFonts w:ascii="宋体" w:hAnsi="宋体" w:cs="宋体" w:eastAsia="宋体" w:hint="default"/>
          <w:spacing w:val="46"/>
          <w:w w:val="95"/>
          <w:sz w:val="14"/>
          <w:szCs w:val="14"/>
        </w:rPr>
        <w:t> </w:t>
      </w:r>
      <w:r>
        <w:rPr>
          <w:rFonts w:ascii="宋体" w:hAnsi="宋体" w:cs="宋体" w:eastAsia="宋体" w:hint="default"/>
          <w:w w:val="95"/>
          <w:sz w:val="14"/>
          <w:szCs w:val="14"/>
        </w:rPr>
        <w:t>中国联合网络通信集团有限公司为本公司控股股东。</w:t>
      </w:r>
    </w:p>
    <w:p>
      <w:pPr>
        <w:spacing w:line="261" w:lineRule="auto" w:before="17"/>
        <w:ind w:left="158" w:right="1481" w:firstLine="0"/>
        <w:jc w:val="left"/>
        <w:rPr>
          <w:rFonts w:ascii="宋体" w:hAnsi="宋体" w:cs="宋体" w:eastAsia="宋体" w:hint="default"/>
          <w:sz w:val="14"/>
          <w:szCs w:val="14"/>
        </w:rPr>
      </w:pPr>
      <w:r>
        <w:rPr>
          <w:rFonts w:ascii="宋体" w:hAnsi="宋体" w:cs="宋体" w:eastAsia="宋体" w:hint="default"/>
          <w:spacing w:val="-1"/>
          <w:w w:val="83"/>
          <w:sz w:val="14"/>
          <w:szCs w:val="14"/>
        </w:rPr>
        <w:t>2.</w:t>
      </w:r>
      <w:r>
        <w:rPr>
          <w:rFonts w:ascii="宋体" w:hAnsi="宋体" w:cs="宋体" w:eastAsia="宋体" w:hint="default"/>
          <w:spacing w:val="-25"/>
          <w:w w:val="83"/>
          <w:sz w:val="14"/>
          <w:szCs w:val="14"/>
        </w:rPr>
        <w:t> </w:t>
      </w:r>
      <w:r>
        <w:rPr>
          <w:rFonts w:ascii="宋体" w:hAnsi="宋体" w:cs="宋体" w:eastAsia="宋体" w:hint="default"/>
          <w:spacing w:val="-1"/>
          <w:w w:val="103"/>
          <w:sz w:val="14"/>
          <w:szCs w:val="14"/>
        </w:rPr>
        <w:t>根据公开披露信息，2018</w:t>
      </w:r>
      <w:r>
        <w:rPr>
          <w:rFonts w:ascii="宋体" w:hAnsi="宋体" w:cs="宋体" w:eastAsia="宋体" w:hint="default"/>
          <w:spacing w:val="-39"/>
          <w:w w:val="103"/>
          <w:sz w:val="14"/>
          <w:szCs w:val="14"/>
        </w:rPr>
        <w:t> </w:t>
      </w:r>
      <w:r>
        <w:rPr>
          <w:rFonts w:ascii="宋体" w:hAnsi="宋体" w:cs="宋体" w:eastAsia="宋体" w:hint="default"/>
          <w:sz w:val="14"/>
          <w:szCs w:val="14"/>
        </w:rPr>
        <w:t>年</w:t>
      </w:r>
      <w:r>
        <w:rPr>
          <w:rFonts w:ascii="宋体" w:hAnsi="宋体" w:cs="宋体" w:eastAsia="宋体" w:hint="default"/>
          <w:spacing w:val="-37"/>
          <w:sz w:val="14"/>
          <w:szCs w:val="14"/>
        </w:rPr>
        <w:t> </w:t>
      </w:r>
      <w:r>
        <w:rPr>
          <w:rFonts w:ascii="宋体" w:hAnsi="宋体" w:cs="宋体" w:eastAsia="宋体" w:hint="default"/>
          <w:w w:val="111"/>
          <w:sz w:val="14"/>
          <w:szCs w:val="14"/>
        </w:rPr>
        <w:t>2</w:t>
      </w:r>
      <w:r>
        <w:rPr>
          <w:rFonts w:ascii="宋体" w:hAnsi="宋体" w:cs="宋体" w:eastAsia="宋体" w:hint="default"/>
          <w:spacing w:val="-45"/>
          <w:w w:val="111"/>
          <w:sz w:val="14"/>
          <w:szCs w:val="14"/>
        </w:rPr>
        <w:t> </w:t>
      </w:r>
      <w:r>
        <w:rPr>
          <w:rFonts w:ascii="宋体" w:hAnsi="宋体" w:cs="宋体" w:eastAsia="宋体" w:hint="default"/>
          <w:sz w:val="14"/>
          <w:szCs w:val="14"/>
        </w:rPr>
        <w:t>月</w:t>
      </w:r>
      <w:r>
        <w:rPr>
          <w:rFonts w:ascii="宋体" w:hAnsi="宋体" w:cs="宋体" w:eastAsia="宋体" w:hint="default"/>
          <w:spacing w:val="-37"/>
          <w:sz w:val="14"/>
          <w:szCs w:val="14"/>
        </w:rPr>
        <w:t> </w:t>
      </w:r>
      <w:r>
        <w:rPr>
          <w:rFonts w:ascii="宋体" w:hAnsi="宋体" w:cs="宋体" w:eastAsia="宋体" w:hint="default"/>
          <w:w w:val="111"/>
          <w:sz w:val="14"/>
          <w:szCs w:val="14"/>
        </w:rPr>
        <w:t>5</w:t>
      </w:r>
      <w:r>
        <w:rPr>
          <w:rFonts w:ascii="宋体" w:hAnsi="宋体" w:cs="宋体" w:eastAsia="宋体" w:hint="default"/>
          <w:spacing w:val="-45"/>
          <w:w w:val="111"/>
          <w:sz w:val="14"/>
          <w:szCs w:val="14"/>
        </w:rPr>
        <w:t> </w:t>
      </w:r>
      <w:r>
        <w:rPr>
          <w:rFonts w:ascii="宋体" w:hAnsi="宋体" w:cs="宋体" w:eastAsia="宋体" w:hint="default"/>
          <w:sz w:val="14"/>
          <w:szCs w:val="14"/>
        </w:rPr>
        <w:t>日，公司股东“苏宁云商集团股份有限公司”名称变更为“苏宁易购集团股份有限</w:t>
      </w:r>
      <w:r>
        <w:rPr>
          <w:rFonts w:ascii="宋体" w:hAnsi="宋体" w:cs="宋体" w:eastAsia="宋体" w:hint="default"/>
          <w:sz w:val="14"/>
          <w:szCs w:val="14"/>
        </w:rPr>
        <w:t> 公司”（简称“苏宁易购”）。</w:t>
      </w:r>
    </w:p>
    <w:p>
      <w:pPr>
        <w:spacing w:before="4"/>
        <w:ind w:left="158" w:right="1481" w:firstLine="0"/>
        <w:jc w:val="left"/>
        <w:rPr>
          <w:rFonts w:ascii="宋体" w:hAnsi="宋体" w:cs="宋体" w:eastAsia="宋体" w:hint="default"/>
          <w:sz w:val="14"/>
          <w:szCs w:val="14"/>
        </w:rPr>
      </w:pPr>
      <w:r>
        <w:rPr>
          <w:rFonts w:ascii="宋体" w:hAnsi="宋体" w:cs="宋体" w:eastAsia="宋体" w:hint="default"/>
          <w:w w:val="95"/>
          <w:sz w:val="14"/>
          <w:szCs w:val="14"/>
        </w:rPr>
        <w:t>3.    </w:t>
      </w:r>
      <w:r>
        <w:rPr>
          <w:rFonts w:ascii="宋体" w:hAnsi="宋体" w:cs="宋体" w:eastAsia="宋体" w:hint="default"/>
          <w:spacing w:val="14"/>
          <w:w w:val="95"/>
          <w:sz w:val="14"/>
          <w:szCs w:val="14"/>
        </w:rPr>
        <w:t> </w:t>
      </w:r>
      <w:r>
        <w:rPr>
          <w:rFonts w:ascii="宋体" w:hAnsi="宋体" w:cs="宋体" w:eastAsia="宋体" w:hint="default"/>
          <w:w w:val="95"/>
          <w:sz w:val="14"/>
          <w:szCs w:val="14"/>
        </w:rPr>
        <w:t>根据公开披露信息，杭州阿里创业投资有限公司为苏宁易购集团股份有限公司关联方，双方构成关联关系。</w:t>
      </w:r>
    </w:p>
    <w:p>
      <w:pPr>
        <w:spacing w:line="261" w:lineRule="auto" w:before="17"/>
        <w:ind w:left="158" w:right="1481" w:firstLine="0"/>
        <w:jc w:val="left"/>
        <w:rPr>
          <w:rFonts w:ascii="宋体" w:hAnsi="宋体" w:cs="宋体" w:eastAsia="宋体" w:hint="default"/>
          <w:sz w:val="14"/>
          <w:szCs w:val="14"/>
        </w:rPr>
      </w:pPr>
      <w:r>
        <w:rPr>
          <w:rFonts w:ascii="宋体" w:hAnsi="宋体" w:cs="宋体" w:eastAsia="宋体" w:hint="default"/>
          <w:sz w:val="14"/>
          <w:szCs w:val="14"/>
        </w:rPr>
        <w:t>4.</w:t>
      </w:r>
      <w:r>
        <w:rPr>
          <w:rFonts w:ascii="宋体" w:hAnsi="宋体" w:cs="宋体" w:eastAsia="宋体" w:hint="default"/>
          <w:spacing w:val="-48"/>
          <w:sz w:val="14"/>
          <w:szCs w:val="14"/>
        </w:rPr>
        <w:t> </w:t>
      </w:r>
      <w:r>
        <w:rPr>
          <w:rFonts w:ascii="宋体" w:hAnsi="宋体" w:cs="宋体" w:eastAsia="宋体" w:hint="default"/>
          <w:spacing w:val="-1"/>
          <w:sz w:val="14"/>
          <w:szCs w:val="14"/>
        </w:rPr>
        <w:t>除上述情况外，本公司未知前十名股东之间是否存在其他《上海证券交易所股票上市规则》规定的关联关系或构成《上</w:t>
      </w:r>
      <w:r>
        <w:rPr>
          <w:rFonts w:ascii="宋体" w:hAnsi="宋体" w:cs="宋体" w:eastAsia="宋体" w:hint="default"/>
          <w:sz w:val="14"/>
          <w:szCs w:val="14"/>
        </w:rPr>
        <w:t> 市公司收购管理办法》规定的一致行动人。</w:t>
      </w:r>
    </w:p>
    <w:p>
      <w:pPr>
        <w:spacing w:line="261" w:lineRule="auto" w:before="4"/>
        <w:ind w:left="158" w:right="1481" w:firstLine="0"/>
        <w:jc w:val="left"/>
        <w:rPr>
          <w:rFonts w:ascii="宋体" w:hAnsi="宋体" w:cs="宋体" w:eastAsia="宋体" w:hint="default"/>
          <w:sz w:val="14"/>
          <w:szCs w:val="14"/>
        </w:rPr>
      </w:pPr>
      <w:r>
        <w:rPr>
          <w:rFonts w:ascii="宋体" w:hAnsi="宋体" w:cs="宋体" w:eastAsia="宋体" w:hint="default"/>
          <w:spacing w:val="-1"/>
          <w:w w:val="83"/>
          <w:sz w:val="14"/>
          <w:szCs w:val="14"/>
        </w:rPr>
        <w:t>5.</w:t>
      </w:r>
      <w:r>
        <w:rPr>
          <w:rFonts w:ascii="宋体" w:hAnsi="宋体" w:cs="宋体" w:eastAsia="宋体" w:hint="default"/>
          <w:w w:val="83"/>
          <w:sz w:val="14"/>
          <w:szCs w:val="14"/>
        </w:rPr>
        <w:t> </w:t>
      </w:r>
      <w:r>
        <w:rPr>
          <w:rFonts w:ascii="宋体" w:hAnsi="宋体" w:cs="宋体" w:eastAsia="宋体" w:hint="default"/>
          <w:spacing w:val="1"/>
          <w:sz w:val="14"/>
          <w:szCs w:val="14"/>
        </w:rPr>
        <w:t>本公司未知前十名无限售条件股东之间是否存在《上海证券交易所股票上市规则》规定的关联关系或构成《上市公司</w:t>
      </w:r>
      <w:r>
        <w:rPr>
          <w:rFonts w:ascii="宋体" w:hAnsi="宋体" w:cs="宋体" w:eastAsia="宋体" w:hint="default"/>
          <w:spacing w:val="-47"/>
          <w:sz w:val="14"/>
          <w:szCs w:val="14"/>
        </w:rPr>
        <w:t> </w:t>
      </w:r>
      <w:r>
        <w:rPr>
          <w:rFonts w:ascii="宋体" w:hAnsi="宋体" w:cs="宋体" w:eastAsia="宋体" w:hint="default"/>
          <w:spacing w:val="-47"/>
          <w:sz w:val="14"/>
          <w:szCs w:val="14"/>
        </w:rPr>
      </w:r>
      <w:r>
        <w:rPr>
          <w:rFonts w:ascii="宋体" w:hAnsi="宋体" w:cs="宋体" w:eastAsia="宋体" w:hint="default"/>
          <w:sz w:val="14"/>
          <w:szCs w:val="14"/>
        </w:rPr>
        <w:t>收购管理办法》规定的一致行动人。</w:t>
      </w:r>
    </w:p>
    <w:p>
      <w:pPr>
        <w:spacing w:line="261" w:lineRule="auto" w:before="4"/>
        <w:ind w:left="158" w:right="1481" w:firstLine="0"/>
        <w:jc w:val="left"/>
        <w:rPr>
          <w:rFonts w:ascii="宋体" w:hAnsi="宋体" w:cs="宋体" w:eastAsia="宋体" w:hint="default"/>
          <w:sz w:val="14"/>
          <w:szCs w:val="14"/>
        </w:rPr>
      </w:pPr>
      <w:r>
        <w:rPr>
          <w:rFonts w:ascii="宋体" w:hAnsi="宋体" w:cs="宋体" w:eastAsia="宋体" w:hint="default"/>
          <w:spacing w:val="-1"/>
          <w:w w:val="83"/>
          <w:sz w:val="14"/>
          <w:szCs w:val="14"/>
        </w:rPr>
        <w:t>6.</w:t>
      </w:r>
      <w:r>
        <w:rPr>
          <w:rFonts w:ascii="宋体" w:hAnsi="宋体" w:cs="宋体" w:eastAsia="宋体" w:hint="default"/>
          <w:w w:val="83"/>
          <w:sz w:val="14"/>
          <w:szCs w:val="14"/>
        </w:rPr>
        <w:t> </w:t>
      </w:r>
      <w:r>
        <w:rPr>
          <w:rFonts w:ascii="宋体" w:hAnsi="宋体" w:cs="宋体" w:eastAsia="宋体" w:hint="default"/>
          <w:sz w:val="14"/>
          <w:szCs w:val="14"/>
        </w:rPr>
        <w:t>本公司未知前十名无限售条件股东和前十名股东之间是否存在《上海证券交易所股票上市规则》规定的关联关系或构</w:t>
      </w:r>
      <w:r>
        <w:rPr>
          <w:rFonts w:ascii="宋体" w:hAnsi="宋体" w:cs="宋体" w:eastAsia="宋体" w:hint="default"/>
          <w:spacing w:val="-43"/>
          <w:sz w:val="14"/>
          <w:szCs w:val="14"/>
        </w:rPr>
        <w:t> </w:t>
      </w:r>
      <w:r>
        <w:rPr>
          <w:rFonts w:ascii="宋体" w:hAnsi="宋体" w:cs="宋体" w:eastAsia="宋体" w:hint="default"/>
          <w:spacing w:val="-43"/>
          <w:sz w:val="14"/>
          <w:szCs w:val="14"/>
        </w:rPr>
      </w:r>
      <w:r>
        <w:rPr>
          <w:rFonts w:ascii="宋体" w:hAnsi="宋体" w:cs="宋体" w:eastAsia="宋体" w:hint="default"/>
          <w:sz w:val="14"/>
          <w:szCs w:val="14"/>
        </w:rPr>
        <w:t>成《上市公司收购管理办法》规定的一致行动人。</w:t>
      </w:r>
    </w:p>
    <w:p>
      <w:pPr>
        <w:spacing w:after="0" w:line="261" w:lineRule="auto"/>
        <w:jc w:val="left"/>
        <w:rPr>
          <w:rFonts w:ascii="宋体" w:hAnsi="宋体" w:cs="宋体" w:eastAsia="宋体" w:hint="default"/>
          <w:sz w:val="14"/>
          <w:szCs w:val="14"/>
        </w:rPr>
        <w:sectPr>
          <w:type w:val="continuous"/>
          <w:pgSz w:w="11910" w:h="16160"/>
          <w:pgMar w:top="1520" w:bottom="280" w:left="700" w:right="0"/>
          <w:cols w:num="2" w:equalWidth="0">
            <w:col w:w="2116" w:space="40"/>
            <w:col w:w="9054"/>
          </w:cols>
        </w:sectPr>
      </w:pPr>
    </w:p>
    <w:p>
      <w:pPr>
        <w:spacing w:line="261" w:lineRule="auto" w:before="114"/>
        <w:ind w:left="575" w:right="-20" w:firstLine="0"/>
        <w:jc w:val="left"/>
        <w:rPr>
          <w:rFonts w:ascii="宋体" w:hAnsi="宋体" w:cs="宋体" w:eastAsia="宋体" w:hint="default"/>
          <w:sz w:val="14"/>
          <w:szCs w:val="14"/>
        </w:rPr>
      </w:pPr>
      <w:r>
        <w:rPr>
          <w:rFonts w:ascii="宋体" w:hAnsi="宋体" w:cs="宋体" w:eastAsia="宋体" w:hint="default"/>
          <w:sz w:val="14"/>
          <w:szCs w:val="14"/>
        </w:rPr>
        <w:t>表决权恢复的优先股股东 及持股数量的说明</w:t>
      </w:r>
    </w:p>
    <w:p>
      <w:pPr>
        <w:spacing w:line="240" w:lineRule="auto" w:before="5"/>
        <w:rPr>
          <w:rFonts w:ascii="宋体" w:hAnsi="宋体" w:cs="宋体" w:eastAsia="宋体" w:hint="default"/>
          <w:sz w:val="16"/>
          <w:szCs w:val="16"/>
        </w:rPr>
      </w:pPr>
      <w:r>
        <w:rPr/>
        <w:br w:type="column"/>
      </w:r>
      <w:r>
        <w:rPr>
          <w:rFonts w:ascii="宋体"/>
          <w:sz w:val="16"/>
        </w:rPr>
      </w:r>
    </w:p>
    <w:p>
      <w:pPr>
        <w:spacing w:before="0"/>
        <w:ind w:left="158" w:right="1481" w:firstLine="0"/>
        <w:jc w:val="left"/>
        <w:rPr>
          <w:rFonts w:ascii="宋体" w:hAnsi="宋体" w:cs="宋体" w:eastAsia="宋体" w:hint="default"/>
          <w:sz w:val="14"/>
          <w:szCs w:val="14"/>
        </w:rPr>
      </w:pPr>
      <w:r>
        <w:rPr>
          <w:rFonts w:ascii="宋体" w:hAnsi="宋体" w:cs="宋体" w:eastAsia="宋体" w:hint="default"/>
          <w:sz w:val="14"/>
          <w:szCs w:val="14"/>
        </w:rPr>
        <w:t>不适用</w:t>
      </w:r>
    </w:p>
    <w:p>
      <w:pPr>
        <w:spacing w:after="0"/>
        <w:jc w:val="left"/>
        <w:rPr>
          <w:rFonts w:ascii="宋体" w:hAnsi="宋体" w:cs="宋体" w:eastAsia="宋体" w:hint="default"/>
          <w:sz w:val="14"/>
          <w:szCs w:val="14"/>
        </w:rPr>
        <w:sectPr>
          <w:type w:val="continuous"/>
          <w:pgSz w:w="11910" w:h="16160"/>
          <w:pgMar w:top="1520" w:bottom="280" w:left="700" w:right="0"/>
          <w:cols w:num="2" w:equalWidth="0">
            <w:col w:w="2116" w:space="40"/>
            <w:col w:w="9054"/>
          </w:cols>
        </w:sectPr>
      </w:pPr>
    </w:p>
    <w:p>
      <w:pPr>
        <w:spacing w:line="240" w:lineRule="auto" w:before="5"/>
        <w:rPr>
          <w:rFonts w:ascii="宋体" w:hAnsi="宋体" w:cs="宋体" w:eastAsia="宋体" w:hint="default"/>
          <w:sz w:val="8"/>
          <w:szCs w:val="8"/>
        </w:rPr>
      </w:pPr>
    </w:p>
    <w:p>
      <w:pPr>
        <w:spacing w:line="20" w:lineRule="exact"/>
        <w:ind w:left="4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1739;height:2" coordorigin="5,5" coordsize="1739,2">
              <v:shape style="position:absolute;left:5;top:5;width:1739;height:2" coordorigin="5,5" coordsize="1739,0" path="m5,5l1744,5e" filled="false" stroked="true" strokeweight=".5pt" strokecolor="#000000">
                <v:path arrowok="t"/>
              </v:shape>
            </v:group>
            <v:group style="position:absolute;left:1744;top:5;width:2098;height:2" coordorigin="1744,5" coordsize="2098,2">
              <v:shape style="position:absolute;left:1744;top:5;width:2098;height:2" coordorigin="1744,5" coordsize="2098,0" path="m1744,5l3841,5e" filled="false" stroked="true" strokeweight=".5pt" strokecolor="#000000">
                <v:path arrowok="t"/>
              </v:shape>
            </v:group>
            <v:group style="position:absolute;left:3841;top:5;width:2098;height:2" coordorigin="3841,5" coordsize="2098,2">
              <v:shape style="position:absolute;left:3841;top:5;width:2098;height:2" coordorigin="3841,5" coordsize="2098,0" path="m3841,5l5939,5e" filled="false" stroked="true" strokeweight=".5pt" strokecolor="#000000">
                <v:path arrowok="t"/>
              </v:shape>
            </v:group>
            <v:group style="position:absolute;left:5939;top:5;width:3364;height:2" coordorigin="5939,5" coordsize="3364,2">
              <v:shape style="position:absolute;left:5939;top:5;width:3364;height:2" coordorigin="5939,5" coordsize="3364,0" path="m5939,5l9303,5e" filled="false" stroked="true" strokeweight=".5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10"/>
          <w:szCs w:val="10"/>
        </w:rPr>
      </w:pPr>
    </w:p>
    <w:p>
      <w:pPr>
        <w:spacing w:before="35"/>
        <w:ind w:left="3449" w:right="1314" w:firstLine="0"/>
        <w:jc w:val="left"/>
        <w:rPr>
          <w:rFonts w:ascii="宋体" w:hAnsi="宋体" w:cs="宋体" w:eastAsia="宋体" w:hint="default"/>
          <w:sz w:val="16"/>
          <w:szCs w:val="16"/>
        </w:rPr>
      </w:pPr>
      <w:r>
        <w:rPr>
          <w:rFonts w:ascii="宋体" w:hAnsi="宋体" w:cs="宋体" w:eastAsia="宋体" w:hint="default"/>
          <w:sz w:val="16"/>
          <w:szCs w:val="16"/>
        </w:rPr>
        <w:t>前十名有限售条件股东持股数量及限售条件</w:t>
      </w:r>
    </w:p>
    <w:p>
      <w:pPr>
        <w:spacing w:line="240" w:lineRule="auto" w:before="10"/>
        <w:rPr>
          <w:rFonts w:ascii="宋体" w:hAnsi="宋体" w:cs="宋体" w:eastAsia="宋体" w:hint="default"/>
          <w:sz w:val="18"/>
          <w:szCs w:val="18"/>
        </w:rPr>
      </w:pPr>
    </w:p>
    <w:p>
      <w:pPr>
        <w:spacing w:before="54"/>
        <w:ind w:left="0" w:right="1483" w:firstLine="0"/>
        <w:jc w:val="right"/>
        <w:rPr>
          <w:rFonts w:ascii="宋体" w:hAnsi="宋体" w:cs="宋体" w:eastAsia="宋体" w:hint="default"/>
          <w:sz w:val="12"/>
          <w:szCs w:val="12"/>
        </w:rPr>
      </w:pPr>
      <w:r>
        <w:rPr>
          <w:rFonts w:ascii="宋体" w:hAnsi="宋体" w:cs="宋体" w:eastAsia="宋体" w:hint="default"/>
          <w:sz w:val="12"/>
          <w:szCs w:val="12"/>
        </w:rPr>
        <w:t>单位：股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6"/>
          <w:szCs w:val="16"/>
        </w:rPr>
      </w:pPr>
    </w:p>
    <w:p>
      <w:pPr>
        <w:tabs>
          <w:tab w:pos="4558" w:val="left" w:leader="none"/>
          <w:tab w:pos="5880" w:val="left" w:leader="none"/>
          <w:tab w:pos="7805" w:val="left" w:leader="none"/>
        </w:tabs>
        <w:spacing w:before="46"/>
        <w:ind w:left="650" w:right="1314" w:firstLine="0"/>
        <w:jc w:val="left"/>
        <w:rPr>
          <w:rFonts w:ascii="宋体" w:hAnsi="宋体" w:cs="宋体" w:eastAsia="宋体" w:hint="default"/>
          <w:sz w:val="14"/>
          <w:szCs w:val="14"/>
        </w:rPr>
      </w:pPr>
      <w:r>
        <w:rPr/>
        <w:pict>
          <v:shape style="position:absolute;margin-left:63.698799pt;margin-top:-47.770611pt;width:459.1pt;height:212.5pt;mso-position-horizontal-relative:page;mso-position-vertical-relative:paragraph;z-index:43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6"/>
                    <w:gridCol w:w="3101"/>
                    <w:gridCol w:w="1565"/>
                    <w:gridCol w:w="1215"/>
                    <w:gridCol w:w="1217"/>
                    <w:gridCol w:w="1787"/>
                  </w:tblGrid>
                  <w:tr>
                    <w:trPr>
                      <w:trHeight w:val="281" w:hRule="exact"/>
                    </w:trPr>
                    <w:tc>
                      <w:tcPr>
                        <w:tcW w:w="9181" w:type="dxa"/>
                        <w:gridSpan w:val="6"/>
                        <w:tcBorders>
                          <w:top w:val="nil" w:sz="6" w:space="0" w:color="auto"/>
                          <w:left w:val="nil" w:sz="6" w:space="0" w:color="auto"/>
                          <w:bottom w:val="nil" w:sz="6" w:space="0" w:color="auto"/>
                          <w:right w:val="nil" w:sz="6" w:space="0" w:color="auto"/>
                        </w:tcBorders>
                      </w:tcPr>
                      <w:p>
                        <w:pPr>
                          <w:pStyle w:val="TableParagraph"/>
                          <w:spacing w:line="240" w:lineRule="auto" w:before="15"/>
                          <w:ind w:left="5069" w:right="0"/>
                          <w:jc w:val="left"/>
                          <w:rPr>
                            <w:rFonts w:ascii="宋体" w:hAnsi="宋体" w:cs="宋体" w:eastAsia="宋体" w:hint="default"/>
                            <w:sz w:val="16"/>
                            <w:szCs w:val="16"/>
                          </w:rPr>
                        </w:pPr>
                        <w:r>
                          <w:rPr>
                            <w:rFonts w:ascii="宋体" w:hAnsi="宋体" w:cs="宋体" w:eastAsia="宋体" w:hint="default"/>
                            <w:sz w:val="16"/>
                            <w:szCs w:val="16"/>
                          </w:rPr>
                          <w:t>有限售条件股份可上市交易情况</w:t>
                        </w:r>
                      </w:p>
                    </w:tc>
                  </w:tr>
                  <w:tr>
                    <w:trPr>
                      <w:trHeight w:val="246"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7"/>
                          <w:ind w:left="35" w:right="0"/>
                          <w:jc w:val="left"/>
                          <w:rPr>
                            <w:rFonts w:ascii="宋体" w:hAnsi="宋体" w:cs="宋体" w:eastAsia="宋体" w:hint="default"/>
                            <w:sz w:val="16"/>
                            <w:szCs w:val="16"/>
                          </w:rPr>
                        </w:pPr>
                        <w:r>
                          <w:rPr>
                            <w:rFonts w:ascii="宋体" w:hAnsi="宋体" w:cs="宋体" w:eastAsia="宋体" w:hint="default"/>
                            <w:sz w:val="16"/>
                            <w:szCs w:val="16"/>
                          </w:rPr>
                          <w:t>序</w:t>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7"/>
                          <w:ind w:left="102" w:right="0"/>
                          <w:jc w:val="left"/>
                          <w:rPr>
                            <w:rFonts w:ascii="宋体" w:hAnsi="宋体" w:cs="宋体" w:eastAsia="宋体" w:hint="default"/>
                            <w:sz w:val="16"/>
                            <w:szCs w:val="16"/>
                          </w:rPr>
                        </w:pPr>
                        <w:r>
                          <w:rPr>
                            <w:rFonts w:ascii="宋体" w:hAnsi="宋体" w:cs="宋体" w:eastAsia="宋体" w:hint="default"/>
                            <w:sz w:val="16"/>
                            <w:szCs w:val="16"/>
                          </w:rPr>
                          <w:t>有限售条件</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83"/>
                          <w:jc w:val="right"/>
                          <w:rPr>
                            <w:rFonts w:ascii="宋体" w:hAnsi="宋体" w:cs="宋体" w:eastAsia="宋体" w:hint="default"/>
                            <w:sz w:val="16"/>
                            <w:szCs w:val="16"/>
                          </w:rPr>
                        </w:pPr>
                        <w:r>
                          <w:rPr>
                            <w:rFonts w:ascii="宋体" w:hAnsi="宋体" w:cs="宋体" w:eastAsia="宋体" w:hint="default"/>
                            <w:sz w:val="16"/>
                            <w:szCs w:val="16"/>
                          </w:rPr>
                          <w:t>持有的有限售条件</w:t>
                        </w:r>
                      </w:p>
                    </w:tc>
                    <w:tc>
                      <w:tcPr>
                        <w:tcW w:w="1215" w:type="dxa"/>
                        <w:tcBorders>
                          <w:top w:val="single" w:sz="6" w:space="0" w:color="000000"/>
                          <w:left w:val="nil" w:sz="6" w:space="0" w:color="auto"/>
                          <w:bottom w:val="nil" w:sz="6" w:space="0" w:color="auto"/>
                          <w:right w:val="nil" w:sz="6" w:space="0" w:color="auto"/>
                        </w:tcBorders>
                      </w:tcPr>
                      <w:p>
                        <w:pPr>
                          <w:pStyle w:val="TableParagraph"/>
                          <w:spacing w:line="240" w:lineRule="auto"/>
                          <w:ind w:right="170"/>
                          <w:jc w:val="right"/>
                          <w:rPr>
                            <w:rFonts w:ascii="宋体" w:hAnsi="宋体" w:cs="宋体" w:eastAsia="宋体" w:hint="default"/>
                            <w:sz w:val="16"/>
                            <w:szCs w:val="16"/>
                          </w:rPr>
                        </w:pPr>
                        <w:r>
                          <w:rPr>
                            <w:rFonts w:ascii="宋体" w:hAnsi="宋体" w:cs="宋体" w:eastAsia="宋体" w:hint="default"/>
                            <w:sz w:val="16"/>
                            <w:szCs w:val="16"/>
                          </w:rPr>
                          <w:t>可上市</w:t>
                        </w:r>
                      </w:p>
                    </w:tc>
                    <w:tc>
                      <w:tcPr>
                        <w:tcW w:w="1217" w:type="dxa"/>
                        <w:tcBorders>
                          <w:top w:val="single" w:sz="6" w:space="0" w:color="000000"/>
                          <w:left w:val="nil" w:sz="6" w:space="0" w:color="auto"/>
                          <w:bottom w:val="nil" w:sz="6" w:space="0" w:color="auto"/>
                          <w:right w:val="nil" w:sz="6" w:space="0" w:color="auto"/>
                        </w:tcBorders>
                      </w:tcPr>
                      <w:p>
                        <w:pPr>
                          <w:pStyle w:val="TableParagraph"/>
                          <w:spacing w:line="240" w:lineRule="auto"/>
                          <w:ind w:right="82"/>
                          <w:jc w:val="right"/>
                          <w:rPr>
                            <w:rFonts w:ascii="宋体" w:hAnsi="宋体" w:cs="宋体" w:eastAsia="宋体" w:hint="default"/>
                            <w:sz w:val="16"/>
                            <w:szCs w:val="16"/>
                          </w:rPr>
                        </w:pPr>
                        <w:r>
                          <w:rPr>
                            <w:rFonts w:ascii="宋体" w:hAnsi="宋体" w:cs="宋体" w:eastAsia="宋体" w:hint="default"/>
                            <w:sz w:val="16"/>
                            <w:szCs w:val="16"/>
                          </w:rPr>
                          <w:t>新增可上市</w:t>
                        </w:r>
                      </w:p>
                    </w:tc>
                    <w:tc>
                      <w:tcPr>
                        <w:tcW w:w="1787" w:type="dxa"/>
                        <w:tcBorders>
                          <w:top w:val="nil" w:sz="6" w:space="0" w:color="auto"/>
                          <w:left w:val="nil" w:sz="6" w:space="0" w:color="auto"/>
                          <w:bottom w:val="nil" w:sz="6" w:space="0" w:color="auto"/>
                          <w:right w:val="nil" w:sz="6" w:space="0" w:color="auto"/>
                        </w:tcBorders>
                      </w:tcPr>
                      <w:p>
                        <w:pPr/>
                      </w:p>
                    </w:tc>
                  </w:tr>
                  <w:tr>
                    <w:trPr>
                      <w:trHeight w:val="284" w:hRule="exact"/>
                    </w:trPr>
                    <w:tc>
                      <w:tcPr>
                        <w:tcW w:w="296" w:type="dxa"/>
                        <w:tcBorders>
                          <w:top w:val="nil" w:sz="6" w:space="0" w:color="auto"/>
                          <w:left w:val="nil" w:sz="6" w:space="0" w:color="auto"/>
                          <w:bottom w:val="single" w:sz="16" w:space="0" w:color="9C8758"/>
                          <w:right w:val="nil" w:sz="6" w:space="0" w:color="auto"/>
                        </w:tcBorders>
                      </w:tcPr>
                      <w:p>
                        <w:pPr>
                          <w:pStyle w:val="TableParagraph"/>
                          <w:spacing w:line="170" w:lineRule="exact"/>
                          <w:ind w:left="35" w:right="0"/>
                          <w:jc w:val="left"/>
                          <w:rPr>
                            <w:rFonts w:ascii="宋体" w:hAnsi="宋体" w:cs="宋体" w:eastAsia="宋体" w:hint="default"/>
                            <w:sz w:val="16"/>
                            <w:szCs w:val="16"/>
                          </w:rPr>
                        </w:pPr>
                        <w:r>
                          <w:rPr>
                            <w:rFonts w:ascii="宋体" w:hAnsi="宋体" w:cs="宋体" w:eastAsia="宋体" w:hint="default"/>
                            <w:sz w:val="16"/>
                            <w:szCs w:val="16"/>
                          </w:rPr>
                          <w:t>号</w:t>
                        </w:r>
                      </w:p>
                    </w:tc>
                    <w:tc>
                      <w:tcPr>
                        <w:tcW w:w="3101" w:type="dxa"/>
                        <w:tcBorders>
                          <w:top w:val="nil" w:sz="6" w:space="0" w:color="auto"/>
                          <w:left w:val="nil" w:sz="6" w:space="0" w:color="auto"/>
                          <w:bottom w:val="single" w:sz="16" w:space="0" w:color="9C8758"/>
                          <w:right w:val="nil" w:sz="6" w:space="0" w:color="auto"/>
                        </w:tcBorders>
                      </w:tcPr>
                      <w:p>
                        <w:pPr>
                          <w:pStyle w:val="TableParagraph"/>
                          <w:spacing w:line="170" w:lineRule="exact"/>
                          <w:ind w:left="102" w:right="0"/>
                          <w:jc w:val="left"/>
                          <w:rPr>
                            <w:rFonts w:ascii="宋体" w:hAnsi="宋体" w:cs="宋体" w:eastAsia="宋体" w:hint="default"/>
                            <w:sz w:val="16"/>
                            <w:szCs w:val="16"/>
                          </w:rPr>
                        </w:pPr>
                        <w:r>
                          <w:rPr>
                            <w:rFonts w:ascii="宋体" w:hAnsi="宋体" w:cs="宋体" w:eastAsia="宋体" w:hint="default"/>
                            <w:sz w:val="16"/>
                            <w:szCs w:val="16"/>
                          </w:rPr>
                          <w:t>股东名称</w:t>
                        </w:r>
                      </w:p>
                    </w:tc>
                    <w:tc>
                      <w:tcPr>
                        <w:tcW w:w="1565" w:type="dxa"/>
                        <w:tcBorders>
                          <w:top w:val="nil" w:sz="6" w:space="0" w:color="auto"/>
                          <w:left w:val="nil" w:sz="6" w:space="0" w:color="auto"/>
                          <w:bottom w:val="single" w:sz="16" w:space="0" w:color="9C8758"/>
                          <w:right w:val="nil" w:sz="6" w:space="0" w:color="auto"/>
                        </w:tcBorders>
                      </w:tcPr>
                      <w:p>
                        <w:pPr>
                          <w:pStyle w:val="TableParagraph"/>
                          <w:spacing w:line="170" w:lineRule="exact"/>
                          <w:ind w:right="83"/>
                          <w:jc w:val="right"/>
                          <w:rPr>
                            <w:rFonts w:ascii="宋体" w:hAnsi="宋体" w:cs="宋体" w:eastAsia="宋体" w:hint="default"/>
                            <w:sz w:val="16"/>
                            <w:szCs w:val="16"/>
                          </w:rPr>
                        </w:pPr>
                        <w:r>
                          <w:rPr>
                            <w:rFonts w:ascii="宋体" w:hAnsi="宋体" w:cs="宋体" w:eastAsia="宋体" w:hint="default"/>
                            <w:sz w:val="16"/>
                            <w:szCs w:val="16"/>
                          </w:rPr>
                          <w:t>股份数量</w:t>
                        </w:r>
                      </w:p>
                    </w:tc>
                    <w:tc>
                      <w:tcPr>
                        <w:tcW w:w="1215" w:type="dxa"/>
                        <w:tcBorders>
                          <w:top w:val="nil" w:sz="6" w:space="0" w:color="auto"/>
                          <w:left w:val="nil" w:sz="6" w:space="0" w:color="auto"/>
                          <w:bottom w:val="single" w:sz="16" w:space="0" w:color="9C8758"/>
                          <w:right w:val="nil" w:sz="6" w:space="0" w:color="auto"/>
                        </w:tcBorders>
                      </w:tcPr>
                      <w:p>
                        <w:pPr>
                          <w:pStyle w:val="TableParagraph"/>
                          <w:spacing w:line="170" w:lineRule="exact"/>
                          <w:ind w:right="170"/>
                          <w:jc w:val="right"/>
                          <w:rPr>
                            <w:rFonts w:ascii="宋体" w:hAnsi="宋体" w:cs="宋体" w:eastAsia="宋体" w:hint="default"/>
                            <w:sz w:val="16"/>
                            <w:szCs w:val="16"/>
                          </w:rPr>
                        </w:pPr>
                        <w:r>
                          <w:rPr>
                            <w:rFonts w:ascii="宋体" w:hAnsi="宋体" w:cs="宋体" w:eastAsia="宋体" w:hint="default"/>
                            <w:sz w:val="16"/>
                            <w:szCs w:val="16"/>
                          </w:rPr>
                          <w:t>交易时间</w:t>
                        </w:r>
                      </w:p>
                    </w:tc>
                    <w:tc>
                      <w:tcPr>
                        <w:tcW w:w="1217" w:type="dxa"/>
                        <w:tcBorders>
                          <w:top w:val="nil" w:sz="6" w:space="0" w:color="auto"/>
                          <w:left w:val="nil" w:sz="6" w:space="0" w:color="auto"/>
                          <w:bottom w:val="single" w:sz="16" w:space="0" w:color="9C8758"/>
                          <w:right w:val="nil" w:sz="6" w:space="0" w:color="auto"/>
                        </w:tcBorders>
                      </w:tcPr>
                      <w:p>
                        <w:pPr>
                          <w:pStyle w:val="TableParagraph"/>
                          <w:spacing w:line="170" w:lineRule="exact"/>
                          <w:ind w:right="82"/>
                          <w:jc w:val="right"/>
                          <w:rPr>
                            <w:rFonts w:ascii="宋体" w:hAnsi="宋体" w:cs="宋体" w:eastAsia="宋体" w:hint="default"/>
                            <w:sz w:val="16"/>
                            <w:szCs w:val="16"/>
                          </w:rPr>
                        </w:pPr>
                        <w:r>
                          <w:rPr>
                            <w:rFonts w:ascii="宋体" w:hAnsi="宋体" w:cs="宋体" w:eastAsia="宋体" w:hint="default"/>
                            <w:sz w:val="16"/>
                            <w:szCs w:val="16"/>
                          </w:rPr>
                          <w:t>交易股份数量</w:t>
                        </w:r>
                      </w:p>
                    </w:tc>
                    <w:tc>
                      <w:tcPr>
                        <w:tcW w:w="1787" w:type="dxa"/>
                        <w:tcBorders>
                          <w:top w:val="nil" w:sz="6" w:space="0" w:color="auto"/>
                          <w:left w:val="nil" w:sz="6" w:space="0" w:color="auto"/>
                          <w:bottom w:val="single" w:sz="16" w:space="0" w:color="9C8758"/>
                          <w:right w:val="nil" w:sz="6" w:space="0" w:color="auto"/>
                        </w:tcBorders>
                      </w:tcPr>
                      <w:p>
                        <w:pPr>
                          <w:pStyle w:val="TableParagraph"/>
                          <w:spacing w:line="170" w:lineRule="exact"/>
                          <w:ind w:right="33"/>
                          <w:jc w:val="right"/>
                          <w:rPr>
                            <w:rFonts w:ascii="宋体" w:hAnsi="宋体" w:cs="宋体" w:eastAsia="宋体" w:hint="default"/>
                            <w:sz w:val="16"/>
                            <w:szCs w:val="16"/>
                          </w:rPr>
                        </w:pPr>
                        <w:r>
                          <w:rPr>
                            <w:rFonts w:ascii="宋体" w:hAnsi="宋体" w:cs="宋体" w:eastAsia="宋体" w:hint="default"/>
                            <w:sz w:val="16"/>
                            <w:szCs w:val="16"/>
                          </w:rPr>
                          <w:t>限售条件</w:t>
                        </w:r>
                      </w:p>
                    </w:tc>
                  </w:tr>
                  <w:tr>
                    <w:trPr>
                      <w:trHeight w:val="364" w:hRule="exact"/>
                    </w:trPr>
                    <w:tc>
                      <w:tcPr>
                        <w:tcW w:w="9181" w:type="dxa"/>
                        <w:gridSpan w:val="6"/>
                        <w:tcBorders>
                          <w:top w:val="nil" w:sz="6" w:space="0" w:color="auto"/>
                          <w:left w:val="nil" w:sz="6" w:space="0" w:color="auto"/>
                          <w:bottom w:val="nil" w:sz="6" w:space="0" w:color="auto"/>
                          <w:right w:val="nil" w:sz="6" w:space="0" w:color="auto"/>
                        </w:tcBorders>
                      </w:tcPr>
                      <w:p>
                        <w:pPr>
                          <w:pStyle w:val="TableParagraph"/>
                          <w:tabs>
                            <w:tab w:pos="7505" w:val="left" w:leader="none"/>
                          </w:tabs>
                          <w:spacing w:line="240" w:lineRule="auto" w:before="90"/>
                          <w:ind w:left="398" w:right="0"/>
                          <w:jc w:val="left"/>
                          <w:rPr>
                            <w:rFonts w:ascii="宋体" w:hAnsi="宋体" w:cs="宋体" w:eastAsia="宋体" w:hint="default"/>
                            <w:sz w:val="14"/>
                            <w:szCs w:val="14"/>
                          </w:rPr>
                        </w:pPr>
                        <w:r>
                          <w:rPr>
                            <w:rFonts w:ascii="宋体" w:hAnsi="宋体" w:cs="宋体" w:eastAsia="宋体" w:hint="default"/>
                            <w:sz w:val="14"/>
                            <w:szCs w:val="14"/>
                          </w:rPr>
                          <w:t>中国人寿保险股份有限公司－传统－普通保险</w:t>
                          <w:tab/>
                          <w:t>公司 2017</w:t>
                        </w:r>
                        <w:r>
                          <w:rPr>
                            <w:rFonts w:ascii="宋体" w:hAnsi="宋体" w:cs="宋体" w:eastAsia="宋体" w:hint="default"/>
                            <w:spacing w:val="-41"/>
                            <w:sz w:val="14"/>
                            <w:szCs w:val="14"/>
                          </w:rPr>
                          <w:t> </w:t>
                        </w:r>
                        <w:r>
                          <w:rPr>
                            <w:rFonts w:ascii="宋体" w:hAnsi="宋体" w:cs="宋体" w:eastAsia="宋体" w:hint="default"/>
                            <w:sz w:val="14"/>
                            <w:szCs w:val="14"/>
                          </w:rPr>
                          <w:t>年非公开发行股</w:t>
                        </w:r>
                      </w:p>
                    </w:tc>
                  </w:tr>
                  <w:tr>
                    <w:trPr>
                      <w:trHeight w:val="177" w:hRule="exact"/>
                    </w:trPr>
                    <w:tc>
                      <w:tcPr>
                        <w:tcW w:w="296"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110" w:lineRule="exact"/>
                          <w:ind w:left="102" w:right="0"/>
                          <w:jc w:val="left"/>
                          <w:rPr>
                            <w:rFonts w:ascii="宋体" w:hAnsi="宋体" w:cs="宋体" w:eastAsia="宋体" w:hint="default"/>
                            <w:sz w:val="14"/>
                            <w:szCs w:val="14"/>
                          </w:rPr>
                        </w:pPr>
                        <w:r>
                          <w:rPr>
                            <w:rFonts w:ascii="宋体" w:hAnsi="宋体" w:cs="宋体" w:eastAsia="宋体" w:hint="default"/>
                            <w:w w:val="105"/>
                            <w:sz w:val="14"/>
                            <w:szCs w:val="14"/>
                          </w:rPr>
                          <w:t>产品－</w:t>
                        </w:r>
                        <w:r>
                          <w:rPr>
                            <w:rFonts w:ascii="宋体" w:hAnsi="宋体" w:cs="宋体" w:eastAsia="宋体" w:hint="default"/>
                            <w:spacing w:val="-34"/>
                            <w:w w:val="105"/>
                            <w:sz w:val="14"/>
                            <w:szCs w:val="14"/>
                          </w:rPr>
                          <w:t> </w:t>
                        </w:r>
                        <w:r>
                          <w:rPr>
                            <w:rFonts w:ascii="宋体" w:hAnsi="宋体" w:cs="宋体" w:eastAsia="宋体" w:hint="default"/>
                            <w:w w:val="105"/>
                            <w:sz w:val="14"/>
                            <w:szCs w:val="14"/>
                          </w:rPr>
                          <w:t>005L</w:t>
                        </w:r>
                        <w:r>
                          <w:rPr>
                            <w:rFonts w:ascii="宋体" w:hAnsi="宋体" w:cs="宋体" w:eastAsia="宋体" w:hint="default"/>
                            <w:spacing w:val="-36"/>
                            <w:w w:val="105"/>
                            <w:sz w:val="14"/>
                            <w:szCs w:val="14"/>
                          </w:rPr>
                          <w:t> </w:t>
                        </w:r>
                        <w:r>
                          <w:rPr>
                            <w:rFonts w:ascii="宋体" w:hAnsi="宋体" w:cs="宋体" w:eastAsia="宋体" w:hint="default"/>
                            <w:w w:val="105"/>
                            <w:sz w:val="14"/>
                            <w:szCs w:val="14"/>
                          </w:rPr>
                          <w:t>－</w:t>
                        </w:r>
                        <w:r>
                          <w:rPr>
                            <w:rFonts w:ascii="宋体" w:hAnsi="宋体" w:cs="宋体" w:eastAsia="宋体" w:hint="default"/>
                            <w:spacing w:val="-34"/>
                            <w:w w:val="105"/>
                            <w:sz w:val="14"/>
                            <w:szCs w:val="14"/>
                          </w:rPr>
                          <w:t> </w:t>
                        </w:r>
                        <w:r>
                          <w:rPr>
                            <w:rFonts w:ascii="宋体" w:hAnsi="宋体" w:cs="宋体" w:eastAsia="宋体" w:hint="default"/>
                            <w:w w:val="105"/>
                            <w:sz w:val="14"/>
                            <w:szCs w:val="14"/>
                          </w:rPr>
                          <w:t>CT001</w:t>
                        </w:r>
                        <w:r>
                          <w:rPr>
                            <w:rFonts w:ascii="宋体" w:hAnsi="宋体" w:cs="宋体" w:eastAsia="宋体" w:hint="default"/>
                            <w:spacing w:val="-36"/>
                            <w:w w:val="105"/>
                            <w:sz w:val="14"/>
                            <w:szCs w:val="14"/>
                          </w:rPr>
                          <w:t> </w:t>
                        </w:r>
                        <w:r>
                          <w:rPr>
                            <w:rFonts w:ascii="宋体" w:hAnsi="宋体" w:cs="宋体" w:eastAsia="宋体" w:hint="default"/>
                            <w:w w:val="105"/>
                            <w:sz w:val="14"/>
                            <w:szCs w:val="14"/>
                          </w:rPr>
                          <w:t>沪</w:t>
                        </w:r>
                      </w:p>
                    </w:tc>
                    <w:tc>
                      <w:tcPr>
                        <w:tcW w:w="1565"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nil" w:sz="6" w:space="0" w:color="auto"/>
                        </w:tcBorders>
                      </w:tcPr>
                      <w:p>
                        <w:pPr>
                          <w:pStyle w:val="TableParagraph"/>
                          <w:spacing w:line="110" w:lineRule="exact"/>
                          <w:ind w:right="33"/>
                          <w:jc w:val="right"/>
                          <w:rPr>
                            <w:rFonts w:ascii="宋体" w:hAnsi="宋体" w:cs="宋体" w:eastAsia="宋体" w:hint="default"/>
                            <w:sz w:val="14"/>
                            <w:szCs w:val="14"/>
                          </w:rPr>
                        </w:pPr>
                        <w:r>
                          <w:rPr>
                            <w:rFonts w:ascii="宋体" w:hAnsi="宋体" w:cs="宋体" w:eastAsia="宋体" w:hint="default"/>
                            <w:w w:val="105"/>
                            <w:sz w:val="14"/>
                            <w:szCs w:val="14"/>
                          </w:rPr>
                          <w:t>票完成后限售期</w:t>
                        </w:r>
                        <w:r>
                          <w:rPr>
                            <w:rFonts w:ascii="宋体" w:hAnsi="宋体" w:cs="宋体" w:eastAsia="宋体" w:hint="default"/>
                            <w:spacing w:val="-56"/>
                            <w:w w:val="105"/>
                            <w:sz w:val="14"/>
                            <w:szCs w:val="14"/>
                          </w:rPr>
                          <w:t> </w:t>
                        </w:r>
                        <w:r>
                          <w:rPr>
                            <w:rFonts w:ascii="宋体" w:hAnsi="宋体" w:cs="宋体" w:eastAsia="宋体" w:hint="default"/>
                            <w:w w:val="105"/>
                            <w:sz w:val="14"/>
                            <w:szCs w:val="14"/>
                          </w:rPr>
                          <w:t>36</w:t>
                        </w:r>
                        <w:r>
                          <w:rPr>
                            <w:rFonts w:ascii="宋体" w:hAnsi="宋体" w:cs="宋体" w:eastAsia="宋体" w:hint="default"/>
                            <w:spacing w:val="-56"/>
                            <w:w w:val="105"/>
                            <w:sz w:val="14"/>
                            <w:szCs w:val="14"/>
                          </w:rPr>
                          <w:t> </w:t>
                        </w:r>
                        <w:r>
                          <w:rPr>
                            <w:rFonts w:ascii="宋体" w:hAnsi="宋体" w:cs="宋体" w:eastAsia="宋体" w:hint="default"/>
                            <w:w w:val="105"/>
                            <w:sz w:val="14"/>
                            <w:szCs w:val="14"/>
                          </w:rPr>
                          <w:t>个月</w:t>
                        </w:r>
                        <w:r>
                          <w:rPr>
                            <w:rFonts w:ascii="宋体" w:hAnsi="宋体" w:cs="宋体" w:eastAsia="宋体" w:hint="default"/>
                            <w:spacing w:val="-56"/>
                            <w:w w:val="105"/>
                            <w:sz w:val="14"/>
                            <w:szCs w:val="14"/>
                          </w:rPr>
                          <w:t> </w:t>
                        </w:r>
                        <w:r>
                          <w:rPr>
                            <w:rFonts w:ascii="宋体" w:hAnsi="宋体" w:cs="宋体" w:eastAsia="宋体" w:hint="default"/>
                            <w:w w:val="105"/>
                            <w:sz w:val="14"/>
                            <w:szCs w:val="14"/>
                          </w:rPr>
                          <w:t>*</w:t>
                        </w:r>
                        <w:r>
                          <w:rPr>
                            <w:rFonts w:ascii="宋体" w:hAnsi="宋体" w:cs="宋体" w:eastAsia="宋体" w:hint="default"/>
                            <w:sz w:val="14"/>
                            <w:szCs w:val="14"/>
                          </w:rPr>
                        </w:r>
                      </w:p>
                    </w:tc>
                  </w:tr>
                  <w:tr>
                    <w:trPr>
                      <w:trHeight w:val="197"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left="76" w:right="0"/>
                          <w:jc w:val="left"/>
                          <w:rPr>
                            <w:rFonts w:ascii="宋体" w:hAnsi="宋体" w:cs="宋体" w:eastAsia="宋体" w:hint="default"/>
                            <w:sz w:val="14"/>
                            <w:szCs w:val="14"/>
                          </w:rPr>
                        </w:pPr>
                        <w:r>
                          <w:rPr>
                            <w:rFonts w:ascii="宋体"/>
                            <w:w w:val="111"/>
                            <w:sz w:val="14"/>
                          </w:rPr>
                          <w:t>2</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2" w:right="0"/>
                          <w:jc w:val="left"/>
                          <w:rPr>
                            <w:rFonts w:ascii="宋体" w:hAnsi="宋体" w:cs="宋体" w:eastAsia="宋体" w:hint="default"/>
                            <w:sz w:val="14"/>
                            <w:szCs w:val="14"/>
                          </w:rPr>
                        </w:pPr>
                        <w:r>
                          <w:rPr>
                            <w:rFonts w:ascii="宋体" w:hAnsi="宋体" w:cs="宋体" w:eastAsia="宋体" w:hint="default"/>
                            <w:sz w:val="14"/>
                            <w:szCs w:val="14"/>
                          </w:rPr>
                          <w:t>深圳市腾讯信达有限合伙企业（有限合伙）</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2"/>
                          <w:jc w:val="right"/>
                          <w:rPr>
                            <w:rFonts w:ascii="宋体" w:hAnsi="宋体" w:cs="宋体" w:eastAsia="宋体" w:hint="default"/>
                            <w:sz w:val="14"/>
                            <w:szCs w:val="14"/>
                          </w:rPr>
                        </w:pPr>
                        <w:r>
                          <w:rPr>
                            <w:rFonts w:ascii="宋体"/>
                            <w:w w:val="95"/>
                            <w:sz w:val="14"/>
                          </w:rPr>
                          <w:t>1,610,541,728</w:t>
                        </w:r>
                        <w:r>
                          <w:rPr>
                            <w:rFonts w:ascii="宋体"/>
                            <w:sz w:val="14"/>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9"/>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333"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75" w:right="0"/>
                          <w:jc w:val="left"/>
                          <w:rPr>
                            <w:rFonts w:ascii="宋体" w:hAnsi="宋体" w:cs="宋体" w:eastAsia="宋体" w:hint="default"/>
                            <w:sz w:val="14"/>
                            <w:szCs w:val="14"/>
                          </w:rPr>
                        </w:pPr>
                        <w:r>
                          <w:rPr>
                            <w:rFonts w:ascii="宋体"/>
                            <w:w w:val="111"/>
                            <w:sz w:val="14"/>
                          </w:rPr>
                          <w:t>3</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2" w:right="0"/>
                          <w:jc w:val="left"/>
                          <w:rPr>
                            <w:rFonts w:ascii="宋体" w:hAnsi="宋体" w:cs="宋体" w:eastAsia="宋体" w:hint="default"/>
                            <w:sz w:val="14"/>
                            <w:szCs w:val="14"/>
                          </w:rPr>
                        </w:pPr>
                        <w:r>
                          <w:rPr>
                            <w:rFonts w:ascii="宋体" w:hAnsi="宋体" w:cs="宋体" w:eastAsia="宋体" w:hint="default"/>
                            <w:sz w:val="14"/>
                            <w:szCs w:val="14"/>
                          </w:rPr>
                          <w:t>嘉兴小度投资管理有限公司－宁波梅山保税港</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3"/>
                          <w:jc w:val="right"/>
                          <w:rPr>
                            <w:rFonts w:ascii="宋体" w:hAnsi="宋体" w:cs="宋体" w:eastAsia="宋体" w:hint="default"/>
                            <w:sz w:val="14"/>
                            <w:szCs w:val="14"/>
                          </w:rPr>
                        </w:pPr>
                        <w:r>
                          <w:rPr>
                            <w:rFonts w:ascii="宋体"/>
                            <w:w w:val="95"/>
                            <w:sz w:val="14"/>
                          </w:rPr>
                          <w:t>1,024,890,190</w:t>
                        </w:r>
                        <w:r>
                          <w:rPr>
                            <w:rFonts w:ascii="宋体"/>
                            <w:sz w:val="14"/>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3"/>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33"/>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177" w:hRule="exact"/>
                    </w:trPr>
                    <w:tc>
                      <w:tcPr>
                        <w:tcW w:w="296"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110" w:lineRule="exact"/>
                          <w:ind w:left="102" w:right="0"/>
                          <w:jc w:val="left"/>
                          <w:rPr>
                            <w:rFonts w:ascii="宋体" w:hAnsi="宋体" w:cs="宋体" w:eastAsia="宋体" w:hint="default"/>
                            <w:sz w:val="14"/>
                            <w:szCs w:val="14"/>
                          </w:rPr>
                        </w:pPr>
                        <w:r>
                          <w:rPr>
                            <w:rFonts w:ascii="宋体" w:hAnsi="宋体" w:cs="宋体" w:eastAsia="宋体" w:hint="default"/>
                            <w:sz w:val="14"/>
                            <w:szCs w:val="14"/>
                          </w:rPr>
                          <w:t>区百度鹏寰投资合伙企业（有限合伙）</w:t>
                        </w:r>
                      </w:p>
                    </w:tc>
                    <w:tc>
                      <w:tcPr>
                        <w:tcW w:w="1565"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nil" w:sz="6" w:space="0" w:color="auto"/>
                        </w:tcBorders>
                      </w:tcPr>
                      <w:p>
                        <w:pPr/>
                      </w:p>
                    </w:tc>
                  </w:tr>
                  <w:tr>
                    <w:trPr>
                      <w:trHeight w:val="253"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left="75" w:right="0"/>
                          <w:jc w:val="left"/>
                          <w:rPr>
                            <w:rFonts w:ascii="宋体" w:hAnsi="宋体" w:cs="宋体" w:eastAsia="宋体" w:hint="default"/>
                            <w:sz w:val="14"/>
                            <w:szCs w:val="14"/>
                          </w:rPr>
                        </w:pPr>
                        <w:r>
                          <w:rPr>
                            <w:rFonts w:ascii="宋体"/>
                            <w:w w:val="111"/>
                            <w:sz w:val="14"/>
                          </w:rPr>
                          <w:t>4</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1" w:right="0"/>
                          <w:jc w:val="left"/>
                          <w:rPr>
                            <w:rFonts w:ascii="宋体" w:hAnsi="宋体" w:cs="宋体" w:eastAsia="宋体" w:hint="default"/>
                            <w:sz w:val="14"/>
                            <w:szCs w:val="14"/>
                          </w:rPr>
                        </w:pPr>
                        <w:r>
                          <w:rPr>
                            <w:rFonts w:ascii="宋体" w:hAnsi="宋体" w:cs="宋体" w:eastAsia="宋体" w:hint="default"/>
                            <w:sz w:val="14"/>
                            <w:szCs w:val="14"/>
                          </w:rPr>
                          <w:t>宿迁京东三弘企业管理中心（有限合伙）</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sz w:val="14"/>
                          </w:rPr>
                          <w:t>732,064,421</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253"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left="75" w:right="0"/>
                          <w:jc w:val="left"/>
                          <w:rPr>
                            <w:rFonts w:ascii="宋体" w:hAnsi="宋体" w:cs="宋体" w:eastAsia="宋体" w:hint="default"/>
                            <w:sz w:val="14"/>
                            <w:szCs w:val="14"/>
                          </w:rPr>
                        </w:pPr>
                        <w:r>
                          <w:rPr>
                            <w:rFonts w:ascii="宋体"/>
                            <w:w w:val="111"/>
                            <w:sz w:val="14"/>
                          </w:rPr>
                          <w:t>5</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1" w:right="0"/>
                          <w:jc w:val="left"/>
                          <w:rPr>
                            <w:rFonts w:ascii="宋体" w:hAnsi="宋体" w:cs="宋体" w:eastAsia="宋体" w:hint="default"/>
                            <w:sz w:val="14"/>
                            <w:szCs w:val="14"/>
                          </w:rPr>
                        </w:pPr>
                        <w:r>
                          <w:rPr>
                            <w:rFonts w:ascii="宋体" w:hAnsi="宋体" w:cs="宋体" w:eastAsia="宋体" w:hint="default"/>
                            <w:sz w:val="14"/>
                            <w:szCs w:val="14"/>
                          </w:rPr>
                          <w:t>杭州阿里创业投资有限公司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sz w:val="14"/>
                          </w:rPr>
                          <w:t>633,254,734</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197"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left="75" w:right="0"/>
                          <w:jc w:val="left"/>
                          <w:rPr>
                            <w:rFonts w:ascii="宋体" w:hAnsi="宋体" w:cs="宋体" w:eastAsia="宋体" w:hint="default"/>
                            <w:sz w:val="14"/>
                            <w:szCs w:val="14"/>
                          </w:rPr>
                        </w:pPr>
                        <w:r>
                          <w:rPr>
                            <w:rFonts w:ascii="宋体"/>
                            <w:w w:val="111"/>
                            <w:sz w:val="14"/>
                          </w:rPr>
                          <w:t>6</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1" w:right="0"/>
                          <w:jc w:val="left"/>
                          <w:rPr>
                            <w:rFonts w:ascii="宋体" w:hAnsi="宋体" w:cs="宋体" w:eastAsia="宋体" w:hint="default"/>
                            <w:sz w:val="14"/>
                            <w:szCs w:val="14"/>
                          </w:rPr>
                        </w:pPr>
                        <w:r>
                          <w:rPr>
                            <w:rFonts w:ascii="宋体" w:hAnsi="宋体" w:cs="宋体" w:eastAsia="宋体" w:hint="default"/>
                            <w:sz w:val="14"/>
                            <w:szCs w:val="14"/>
                          </w:rPr>
                          <w:t>苏宁易购集团股份有限公司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sz w:val="14"/>
                          </w:rPr>
                          <w:t>585,651,537</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333"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75" w:right="0"/>
                          <w:jc w:val="left"/>
                          <w:rPr>
                            <w:rFonts w:ascii="宋体" w:hAnsi="宋体" w:cs="宋体" w:eastAsia="宋体" w:hint="default"/>
                            <w:sz w:val="14"/>
                            <w:szCs w:val="14"/>
                          </w:rPr>
                        </w:pPr>
                        <w:r>
                          <w:rPr>
                            <w:rFonts w:ascii="宋体"/>
                            <w:w w:val="111"/>
                            <w:sz w:val="14"/>
                          </w:rPr>
                          <w:t>7</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1" w:right="0"/>
                          <w:jc w:val="left"/>
                          <w:rPr>
                            <w:rFonts w:ascii="宋体" w:hAnsi="宋体" w:cs="宋体" w:eastAsia="宋体" w:hint="default"/>
                            <w:sz w:val="14"/>
                            <w:szCs w:val="14"/>
                          </w:rPr>
                        </w:pPr>
                        <w:r>
                          <w:rPr>
                            <w:rFonts w:ascii="宋体" w:hAnsi="宋体" w:cs="宋体" w:eastAsia="宋体" w:hint="default"/>
                            <w:sz w:val="14"/>
                            <w:szCs w:val="14"/>
                          </w:rPr>
                          <w:t>深圳淮海方舟信息产业股权投资基金（有限合</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3"/>
                          <w:jc w:val="right"/>
                          <w:rPr>
                            <w:rFonts w:ascii="宋体" w:hAnsi="宋体" w:cs="宋体" w:eastAsia="宋体" w:hint="default"/>
                            <w:sz w:val="14"/>
                            <w:szCs w:val="14"/>
                          </w:rPr>
                        </w:pPr>
                        <w:r>
                          <w:rPr>
                            <w:rFonts w:ascii="宋体"/>
                            <w:sz w:val="14"/>
                          </w:rPr>
                          <w:t>585,651,537</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3"/>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33"/>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177" w:hRule="exact"/>
                    </w:trPr>
                    <w:tc>
                      <w:tcPr>
                        <w:tcW w:w="296"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110" w:lineRule="exact"/>
                          <w:ind w:left="101" w:right="0"/>
                          <w:jc w:val="left"/>
                          <w:rPr>
                            <w:rFonts w:ascii="宋体" w:hAnsi="宋体" w:cs="宋体" w:eastAsia="宋体" w:hint="default"/>
                            <w:sz w:val="14"/>
                            <w:szCs w:val="14"/>
                          </w:rPr>
                        </w:pPr>
                        <w:r>
                          <w:rPr>
                            <w:rFonts w:ascii="宋体" w:hAnsi="宋体" w:cs="宋体" w:eastAsia="宋体" w:hint="default"/>
                            <w:sz w:val="14"/>
                            <w:szCs w:val="14"/>
                          </w:rPr>
                          <w:t>伙）</w:t>
                        </w:r>
                      </w:p>
                    </w:tc>
                    <w:tc>
                      <w:tcPr>
                        <w:tcW w:w="1565"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nil" w:sz="6" w:space="0" w:color="auto"/>
                        </w:tcBorders>
                      </w:tcPr>
                      <w:p>
                        <w:pPr/>
                      </w:p>
                    </w:tc>
                  </w:tr>
                  <w:tr>
                    <w:trPr>
                      <w:trHeight w:val="197"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left="75" w:right="0"/>
                          <w:jc w:val="left"/>
                          <w:rPr>
                            <w:rFonts w:ascii="宋体" w:hAnsi="宋体" w:cs="宋体" w:eastAsia="宋体" w:hint="default"/>
                            <w:sz w:val="14"/>
                            <w:szCs w:val="14"/>
                          </w:rPr>
                        </w:pPr>
                        <w:r>
                          <w:rPr>
                            <w:rFonts w:ascii="宋体"/>
                            <w:w w:val="111"/>
                            <w:sz w:val="14"/>
                          </w:rPr>
                          <w:t>8</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1" w:right="0"/>
                          <w:jc w:val="left"/>
                          <w:rPr>
                            <w:rFonts w:ascii="宋体" w:hAnsi="宋体" w:cs="宋体" w:eastAsia="宋体" w:hint="default"/>
                            <w:sz w:val="14"/>
                            <w:szCs w:val="14"/>
                          </w:rPr>
                        </w:pPr>
                        <w:r>
                          <w:rPr>
                            <w:rFonts w:ascii="宋体" w:hAnsi="宋体" w:cs="宋体" w:eastAsia="宋体" w:hint="default"/>
                            <w:sz w:val="14"/>
                            <w:szCs w:val="14"/>
                          </w:rPr>
                          <w:t>深圳光启互联技术投资合伙企业（有限合伙）</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sz w:val="14"/>
                          </w:rPr>
                          <w:t>585,651,537</w:t>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4"/>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333"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left="75" w:right="0"/>
                          <w:jc w:val="left"/>
                          <w:rPr>
                            <w:rFonts w:ascii="宋体" w:hAnsi="宋体" w:cs="宋体" w:eastAsia="宋体" w:hint="default"/>
                            <w:sz w:val="14"/>
                            <w:szCs w:val="14"/>
                          </w:rPr>
                        </w:pPr>
                        <w:r>
                          <w:rPr>
                            <w:rFonts w:ascii="宋体"/>
                            <w:w w:val="111"/>
                            <w:sz w:val="14"/>
                          </w:rPr>
                          <w:t>9</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59"/>
                          <w:ind w:left="101" w:right="0"/>
                          <w:jc w:val="left"/>
                          <w:rPr>
                            <w:rFonts w:ascii="宋体" w:hAnsi="宋体" w:cs="宋体" w:eastAsia="宋体" w:hint="default"/>
                            <w:sz w:val="14"/>
                            <w:szCs w:val="14"/>
                          </w:rPr>
                        </w:pPr>
                        <w:r>
                          <w:rPr>
                            <w:rFonts w:ascii="宋体" w:hAnsi="宋体" w:cs="宋体" w:eastAsia="宋体" w:hint="default"/>
                            <w:sz w:val="14"/>
                            <w:szCs w:val="14"/>
                          </w:rPr>
                          <w:t>兴全基金－招商银行－上海网宿投资管理有限</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3"/>
                          <w:jc w:val="right"/>
                          <w:rPr>
                            <w:rFonts w:ascii="宋体" w:hAnsi="宋体" w:cs="宋体" w:eastAsia="宋体" w:hint="default"/>
                            <w:sz w:val="14"/>
                            <w:szCs w:val="14"/>
                          </w:rPr>
                        </w:pPr>
                        <w:r>
                          <w:rPr>
                            <w:rFonts w:ascii="宋体"/>
                            <w:w w:val="95"/>
                            <w:sz w:val="14"/>
                          </w:rPr>
                          <w:t>58,565,153</w:t>
                        </w:r>
                        <w:r>
                          <w:rPr>
                            <w:rFonts w:ascii="宋体"/>
                            <w:sz w:val="14"/>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84"/>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12"/>
                            <w:szCs w:val="12"/>
                          </w:rPr>
                        </w:pPr>
                      </w:p>
                      <w:p>
                        <w:pPr>
                          <w:pStyle w:val="TableParagraph"/>
                          <w:spacing w:line="240" w:lineRule="auto"/>
                          <w:ind w:right="34"/>
                          <w:jc w:val="right"/>
                          <w:rPr>
                            <w:rFonts w:ascii="宋体" w:hAnsi="宋体" w:cs="宋体" w:eastAsia="宋体" w:hint="default"/>
                            <w:sz w:val="14"/>
                            <w:szCs w:val="14"/>
                          </w:rPr>
                        </w:pPr>
                        <w:r>
                          <w:rPr>
                            <w:rFonts w:ascii="宋体" w:hAnsi="宋体" w:cs="宋体" w:eastAsia="宋体" w:hint="default"/>
                            <w:sz w:val="14"/>
                            <w:szCs w:val="14"/>
                          </w:rPr>
                          <w:t>同上</w:t>
                        </w:r>
                      </w:p>
                    </w:tc>
                  </w:tr>
                  <w:tr>
                    <w:trPr>
                      <w:trHeight w:val="177" w:hRule="exact"/>
                    </w:trPr>
                    <w:tc>
                      <w:tcPr>
                        <w:tcW w:w="296" w:type="dxa"/>
                        <w:tcBorders>
                          <w:top w:val="nil" w:sz="6" w:space="0" w:color="auto"/>
                          <w:left w:val="nil" w:sz="6" w:space="0" w:color="auto"/>
                          <w:bottom w:val="nil" w:sz="6" w:space="0" w:color="auto"/>
                          <w:right w:val="nil" w:sz="6" w:space="0" w:color="auto"/>
                        </w:tcBorders>
                      </w:tcPr>
                      <w:p>
                        <w:pPr/>
                      </w:p>
                    </w:tc>
                    <w:tc>
                      <w:tcPr>
                        <w:tcW w:w="3101" w:type="dxa"/>
                        <w:tcBorders>
                          <w:top w:val="nil" w:sz="6" w:space="0" w:color="auto"/>
                          <w:left w:val="nil" w:sz="6" w:space="0" w:color="auto"/>
                          <w:bottom w:val="nil" w:sz="6" w:space="0" w:color="auto"/>
                          <w:right w:val="nil" w:sz="6" w:space="0" w:color="auto"/>
                        </w:tcBorders>
                      </w:tcPr>
                      <w:p>
                        <w:pPr>
                          <w:pStyle w:val="TableParagraph"/>
                          <w:spacing w:line="110" w:lineRule="exact"/>
                          <w:ind w:left="101" w:right="0"/>
                          <w:jc w:val="left"/>
                          <w:rPr>
                            <w:rFonts w:ascii="宋体" w:hAnsi="宋体" w:cs="宋体" w:eastAsia="宋体" w:hint="default"/>
                            <w:sz w:val="14"/>
                            <w:szCs w:val="14"/>
                          </w:rPr>
                        </w:pPr>
                        <w:r>
                          <w:rPr>
                            <w:rFonts w:ascii="宋体" w:hAnsi="宋体" w:cs="宋体" w:eastAsia="宋体" w:hint="default"/>
                            <w:sz w:val="14"/>
                            <w:szCs w:val="14"/>
                          </w:rPr>
                          <w:t>公司</w:t>
                        </w:r>
                      </w:p>
                    </w:tc>
                    <w:tc>
                      <w:tcPr>
                        <w:tcW w:w="1565" w:type="dxa"/>
                        <w:tcBorders>
                          <w:top w:val="nil" w:sz="6" w:space="0" w:color="auto"/>
                          <w:left w:val="nil" w:sz="6" w:space="0" w:color="auto"/>
                          <w:bottom w:val="nil" w:sz="6" w:space="0" w:color="auto"/>
                          <w:right w:val="nil" w:sz="6" w:space="0" w:color="auto"/>
                        </w:tcBorders>
                      </w:tcPr>
                      <w:p>
                        <w:pPr/>
                      </w:p>
                    </w:tc>
                    <w:tc>
                      <w:tcPr>
                        <w:tcW w:w="1215"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1787" w:type="dxa"/>
                        <w:tcBorders>
                          <w:top w:val="nil" w:sz="6" w:space="0" w:color="auto"/>
                          <w:left w:val="nil" w:sz="6" w:space="0" w:color="auto"/>
                          <w:bottom w:val="nil" w:sz="6" w:space="0" w:color="auto"/>
                          <w:right w:val="nil" w:sz="6" w:space="0" w:color="auto"/>
                        </w:tcBorders>
                      </w:tcPr>
                      <w:p>
                        <w:pPr/>
                      </w:p>
                    </w:tc>
                  </w:tr>
                  <w:tr>
                    <w:trPr>
                      <w:trHeight w:val="270" w:hRule="exact"/>
                    </w:trPr>
                    <w:tc>
                      <w:tcPr>
                        <w:tcW w:w="296" w:type="dxa"/>
                        <w:tcBorders>
                          <w:top w:val="nil" w:sz="6" w:space="0" w:color="auto"/>
                          <w:left w:val="nil" w:sz="6" w:space="0" w:color="auto"/>
                          <w:bottom w:val="nil" w:sz="6" w:space="0" w:color="auto"/>
                          <w:right w:val="nil" w:sz="6" w:space="0" w:color="auto"/>
                        </w:tcBorders>
                      </w:tcPr>
                      <w:p>
                        <w:pPr>
                          <w:pStyle w:val="TableParagraph"/>
                          <w:spacing w:line="240" w:lineRule="auto" w:before="3"/>
                          <w:ind w:left="36" w:right="0"/>
                          <w:jc w:val="left"/>
                          <w:rPr>
                            <w:rFonts w:ascii="宋体" w:hAnsi="宋体" w:cs="宋体" w:eastAsia="宋体" w:hint="default"/>
                            <w:sz w:val="14"/>
                            <w:szCs w:val="14"/>
                          </w:rPr>
                        </w:pPr>
                        <w:r>
                          <w:rPr>
                            <w:rFonts w:ascii="宋体"/>
                            <w:w w:val="110"/>
                            <w:sz w:val="14"/>
                          </w:rPr>
                          <w:t>10</w:t>
                        </w:r>
                        <w:r>
                          <w:rPr>
                            <w:rFonts w:ascii="宋体"/>
                            <w:sz w:val="14"/>
                          </w:rPr>
                        </w:r>
                      </w:p>
                    </w:tc>
                    <w:tc>
                      <w:tcPr>
                        <w:tcW w:w="3101" w:type="dxa"/>
                        <w:tcBorders>
                          <w:top w:val="nil" w:sz="6" w:space="0" w:color="auto"/>
                          <w:left w:val="nil" w:sz="6" w:space="0" w:color="auto"/>
                          <w:bottom w:val="nil" w:sz="6" w:space="0" w:color="auto"/>
                          <w:right w:val="nil" w:sz="6" w:space="0" w:color="auto"/>
                        </w:tcBorders>
                      </w:tcPr>
                      <w:p>
                        <w:pPr>
                          <w:pStyle w:val="TableParagraph"/>
                          <w:spacing w:line="240" w:lineRule="auto" w:before="3"/>
                          <w:ind w:left="101" w:right="0"/>
                          <w:jc w:val="left"/>
                          <w:rPr>
                            <w:rFonts w:ascii="宋体" w:hAnsi="宋体" w:cs="宋体" w:eastAsia="宋体" w:hint="default"/>
                            <w:sz w:val="14"/>
                            <w:szCs w:val="14"/>
                          </w:rPr>
                        </w:pPr>
                        <w:r>
                          <w:rPr>
                            <w:rFonts w:ascii="宋体" w:hAnsi="宋体" w:cs="宋体" w:eastAsia="宋体" w:hint="default"/>
                            <w:sz w:val="14"/>
                            <w:szCs w:val="14"/>
                          </w:rPr>
                          <w:t>兴全基金－招商银行－中车金证投资有限公司</w:t>
                        </w:r>
                      </w:p>
                    </w:tc>
                    <w:tc>
                      <w:tcPr>
                        <w:tcW w:w="156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3"/>
                          <w:jc w:val="right"/>
                          <w:rPr>
                            <w:rFonts w:ascii="宋体" w:hAnsi="宋体" w:cs="宋体" w:eastAsia="宋体" w:hint="default"/>
                            <w:sz w:val="14"/>
                            <w:szCs w:val="14"/>
                          </w:rPr>
                        </w:pPr>
                        <w:r>
                          <w:rPr>
                            <w:rFonts w:ascii="宋体"/>
                            <w:w w:val="95"/>
                            <w:sz w:val="14"/>
                          </w:rPr>
                          <w:t>43,923,865</w:t>
                        </w:r>
                        <w:r>
                          <w:rPr>
                            <w:rFonts w:ascii="宋体"/>
                            <w:sz w:val="14"/>
                          </w:rPr>
                        </w:r>
                      </w:p>
                    </w:tc>
                    <w:tc>
                      <w:tcPr>
                        <w:tcW w:w="121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70"/>
                          <w:jc w:val="right"/>
                          <w:rPr>
                            <w:rFonts w:ascii="宋体" w:hAnsi="宋体" w:cs="宋体" w:eastAsia="宋体" w:hint="default"/>
                            <w:sz w:val="14"/>
                            <w:szCs w:val="14"/>
                          </w:rPr>
                        </w:pPr>
                        <w:r>
                          <w:rPr>
                            <w:rFonts w:ascii="宋体"/>
                            <w:w w:val="95"/>
                            <w:sz w:val="14"/>
                          </w:rPr>
                          <w:t>2020.10.31</w:t>
                        </w:r>
                        <w:r>
                          <w:rPr>
                            <w:rFonts w:ascii="宋体"/>
                            <w:sz w:val="14"/>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84"/>
                          <w:jc w:val="right"/>
                          <w:rPr>
                            <w:rFonts w:ascii="宋体" w:hAnsi="宋体" w:cs="宋体" w:eastAsia="宋体" w:hint="default"/>
                            <w:sz w:val="14"/>
                            <w:szCs w:val="14"/>
                          </w:rPr>
                        </w:pPr>
                        <w:r>
                          <w:rPr>
                            <w:rFonts w:ascii="宋体"/>
                            <w:w w:val="111"/>
                            <w:sz w:val="14"/>
                          </w:rPr>
                          <w:t>0</w:t>
                        </w:r>
                        <w:r>
                          <w:rPr>
                            <w:rFonts w:ascii="宋体"/>
                            <w:sz w:val="14"/>
                          </w:rPr>
                        </w:r>
                      </w:p>
                    </w:tc>
                    <w:tc>
                      <w:tcPr>
                        <w:tcW w:w="178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4"/>
                          <w:jc w:val="right"/>
                          <w:rPr>
                            <w:rFonts w:ascii="宋体" w:hAnsi="宋体" w:cs="宋体" w:eastAsia="宋体" w:hint="default"/>
                            <w:sz w:val="14"/>
                            <w:szCs w:val="14"/>
                          </w:rPr>
                        </w:pPr>
                        <w:r>
                          <w:rPr>
                            <w:rFonts w:ascii="宋体" w:hAnsi="宋体" w:cs="宋体" w:eastAsia="宋体" w:hint="default"/>
                            <w:sz w:val="14"/>
                            <w:szCs w:val="14"/>
                          </w:rPr>
                          <w:t>同上</w:t>
                        </w:r>
                      </w:p>
                    </w:tc>
                  </w:tr>
                </w:tbl>
                <w:p>
                  <w:pPr/>
                </w:p>
              </w:txbxContent>
            </v:textbox>
            <w10:wrap type="none"/>
          </v:shape>
        </w:pict>
      </w:r>
      <w:r>
        <w:rPr>
          <w:rFonts w:ascii="宋体"/>
          <w:w w:val="105"/>
          <w:sz w:val="14"/>
        </w:rPr>
        <w:t>1</w:t>
        <w:tab/>
      </w:r>
      <w:r>
        <w:rPr>
          <w:rFonts w:ascii="宋体"/>
          <w:w w:val="95"/>
          <w:sz w:val="14"/>
        </w:rPr>
        <w:t>3,177,159,590</w:t>
        <w:tab/>
        <w:t>2020.10.31</w:t>
        <w:tab/>
      </w:r>
      <w:r>
        <w:rPr>
          <w:rFonts w:ascii="宋体"/>
          <w:w w:val="105"/>
          <w:sz w:val="14"/>
        </w:rPr>
        <w:t>0</w:t>
      </w:r>
      <w:r>
        <w:rPr>
          <w:rFonts w:ascii="宋体"/>
          <w:sz w:val="14"/>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9"/>
          <w:szCs w:val="29"/>
        </w:rPr>
      </w:pPr>
    </w:p>
    <w:p>
      <w:pPr>
        <w:tabs>
          <w:tab w:pos="4078" w:val="left" w:leader="none"/>
        </w:tabs>
        <w:spacing w:before="46"/>
        <w:ind w:left="574" w:right="1314" w:firstLine="0"/>
        <w:jc w:val="left"/>
        <w:rPr>
          <w:rFonts w:ascii="宋体" w:hAnsi="宋体" w:cs="宋体" w:eastAsia="宋体" w:hint="default"/>
          <w:sz w:val="14"/>
          <w:szCs w:val="14"/>
        </w:rPr>
      </w:pPr>
      <w:r>
        <w:rPr>
          <w:rFonts w:ascii="宋体" w:hAnsi="宋体" w:cs="宋体" w:eastAsia="宋体" w:hint="default"/>
          <w:sz w:val="14"/>
          <w:szCs w:val="14"/>
        </w:rPr>
        <w:t>上述股东关联关系或一致行动的说明</w:t>
        <w:tab/>
      </w:r>
      <w:r>
        <w:rPr>
          <w:rFonts w:ascii="宋体" w:hAnsi="宋体" w:cs="宋体" w:eastAsia="宋体" w:hint="default"/>
          <w:spacing w:val="-3"/>
          <w:sz w:val="14"/>
          <w:szCs w:val="14"/>
        </w:rPr>
        <w:t>除上一张表格提及的股东间有关关系以外，公司未知其他上述股东关联关系或一致行动的情况</w:t>
      </w:r>
      <w:r>
        <w:rPr>
          <w:rFonts w:ascii="宋体" w:hAnsi="宋体" w:cs="宋体" w:eastAsia="宋体" w:hint="default"/>
          <w:sz w:val="14"/>
          <w:szCs w:val="14"/>
        </w:rPr>
      </w:r>
    </w:p>
    <w:p>
      <w:pPr>
        <w:spacing w:line="240" w:lineRule="auto" w:before="5"/>
        <w:rPr>
          <w:rFonts w:ascii="宋体" w:hAnsi="宋体" w:cs="宋体" w:eastAsia="宋体" w:hint="default"/>
          <w:sz w:val="9"/>
          <w:szCs w:val="9"/>
        </w:rPr>
      </w:pPr>
    </w:p>
    <w:p>
      <w:pPr>
        <w:spacing w:line="20" w:lineRule="exact"/>
        <w:ind w:left="485" w:right="0" w:firstLine="0"/>
        <w:rPr>
          <w:rFonts w:ascii="宋体" w:hAnsi="宋体" w:cs="宋体" w:eastAsia="宋体" w:hint="default"/>
          <w:sz w:val="2"/>
          <w:szCs w:val="2"/>
        </w:rPr>
      </w:pPr>
      <w:r>
        <w:rPr>
          <w:rFonts w:ascii="宋体" w:hAnsi="宋体" w:cs="宋体" w:eastAsia="宋体" w:hint="default"/>
          <w:sz w:val="2"/>
          <w:szCs w:val="2"/>
        </w:rPr>
        <w:pict>
          <v:group style="width:466.25pt;height:.5pt;mso-position-horizontal-relative:char;mso-position-vertical-relative:line" coordorigin="0,0" coordsize="9325,10">
            <v:group style="position:absolute;left:5;top:5;width:397;height:2" coordorigin="5,5" coordsize="397,2">
              <v:shape style="position:absolute;left:5;top:5;width:397;height:2" coordorigin="5,5" coordsize="397,0" path="m5,5l402,5e" filled="false" stroked="true" strokeweight=".5pt" strokecolor="#000000">
                <v:path arrowok="t"/>
              </v:shape>
            </v:group>
            <v:group style="position:absolute;left:402;top:5;width:3107;height:2" coordorigin="402,5" coordsize="3107,2">
              <v:shape style="position:absolute;left:402;top:5;width:3107;height:2" coordorigin="402,5" coordsize="3107,0" path="m402,5l3509,5e" filled="false" stroked="true" strokeweight=".5pt" strokecolor="#000000">
                <v:path arrowok="t"/>
              </v:shape>
            </v:group>
            <v:group style="position:absolute;left:3509;top:5;width:1543;height:2" coordorigin="3509,5" coordsize="1543,2">
              <v:shape style="position:absolute;left:3509;top:5;width:1543;height:2" coordorigin="3509,5" coordsize="1543,0" path="m3509,5l5051,5e" filled="false" stroked="true" strokeweight=".5pt" strokecolor="#000000">
                <v:path arrowok="t"/>
              </v:shape>
            </v:group>
            <v:group style="position:absolute;left:5051;top:5;width:1129;height:2" coordorigin="5051,5" coordsize="1129,2">
              <v:shape style="position:absolute;left:5051;top:5;width:1129;height:2" coordorigin="5051,5" coordsize="1129,0" path="m5051,5l6179,5e" filled="false" stroked="true" strokeweight=".5pt" strokecolor="#000000">
                <v:path arrowok="t"/>
              </v:shape>
            </v:group>
            <v:group style="position:absolute;left:6179;top:5;width:1304;height:2" coordorigin="6179,5" coordsize="1304,2">
              <v:shape style="position:absolute;left:6179;top:5;width:1304;height:2" coordorigin="6179,5" coordsize="1304,0" path="m6179,5l7483,5e" filled="false" stroked="true" strokeweight=".5pt" strokecolor="#000000">
                <v:path arrowok="t"/>
              </v:shape>
            </v:group>
            <v:group style="position:absolute;left:7483;top:5;width:1837;height:2" coordorigin="7483,5" coordsize="1837,2">
              <v:shape style="position:absolute;left:7483;top:5;width:1837;height:2" coordorigin="7483,5" coordsize="1837,0" path="m7483,5l9320,5e" filled="false" stroked="true" strokeweight=".5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9"/>
          <w:szCs w:val="9"/>
        </w:rPr>
      </w:pPr>
    </w:p>
    <w:p>
      <w:pPr>
        <w:spacing w:before="43"/>
        <w:ind w:left="475" w:right="1314" w:firstLine="0"/>
        <w:jc w:val="left"/>
        <w:rPr>
          <w:rFonts w:ascii="宋体" w:hAnsi="宋体" w:cs="宋体" w:eastAsia="宋体" w:hint="default"/>
          <w:sz w:val="16"/>
          <w:szCs w:val="16"/>
        </w:rPr>
      </w:pPr>
      <w:r>
        <w:rPr>
          <w:rFonts w:ascii="宋体" w:hAnsi="宋体" w:cs="宋体" w:eastAsia="宋体" w:hint="default"/>
          <w:sz w:val="16"/>
          <w:szCs w:val="16"/>
        </w:rPr>
        <w:t>注：2017</w:t>
      </w:r>
      <w:r>
        <w:rPr>
          <w:rFonts w:ascii="宋体" w:hAnsi="宋体" w:cs="宋体" w:eastAsia="宋体" w:hint="default"/>
          <w:spacing w:val="-18"/>
          <w:sz w:val="16"/>
          <w:szCs w:val="16"/>
        </w:rPr>
        <w:t> </w:t>
      </w:r>
      <w:r>
        <w:rPr>
          <w:rFonts w:ascii="宋体" w:hAnsi="宋体" w:cs="宋体" w:eastAsia="宋体" w:hint="default"/>
          <w:sz w:val="16"/>
          <w:szCs w:val="16"/>
        </w:rPr>
        <w:t>年</w:t>
      </w:r>
      <w:r>
        <w:rPr>
          <w:rFonts w:ascii="宋体" w:hAnsi="宋体" w:cs="宋体" w:eastAsia="宋体" w:hint="default"/>
          <w:spacing w:val="-18"/>
          <w:sz w:val="16"/>
          <w:szCs w:val="16"/>
        </w:rPr>
        <w:t> </w:t>
      </w:r>
      <w:r>
        <w:rPr>
          <w:rFonts w:ascii="宋体" w:hAnsi="宋体" w:cs="宋体" w:eastAsia="宋体" w:hint="default"/>
          <w:sz w:val="16"/>
          <w:szCs w:val="16"/>
        </w:rPr>
        <w:t>10</w:t>
      </w:r>
      <w:r>
        <w:rPr>
          <w:rFonts w:ascii="宋体" w:hAnsi="宋体" w:cs="宋体" w:eastAsia="宋体" w:hint="default"/>
          <w:spacing w:val="-18"/>
          <w:sz w:val="16"/>
          <w:szCs w:val="16"/>
        </w:rPr>
        <w:t> </w:t>
      </w:r>
      <w:r>
        <w:rPr>
          <w:rFonts w:ascii="宋体" w:hAnsi="宋体" w:cs="宋体" w:eastAsia="宋体" w:hint="default"/>
          <w:sz w:val="16"/>
          <w:szCs w:val="16"/>
        </w:rPr>
        <w:t>月</w:t>
      </w:r>
      <w:r>
        <w:rPr>
          <w:rFonts w:ascii="宋体" w:hAnsi="宋体" w:cs="宋体" w:eastAsia="宋体" w:hint="default"/>
          <w:spacing w:val="-18"/>
          <w:sz w:val="16"/>
          <w:szCs w:val="16"/>
        </w:rPr>
        <w:t> </w:t>
      </w:r>
      <w:r>
        <w:rPr>
          <w:rFonts w:ascii="宋体" w:hAnsi="宋体" w:cs="宋体" w:eastAsia="宋体" w:hint="default"/>
          <w:sz w:val="16"/>
          <w:szCs w:val="16"/>
        </w:rPr>
        <w:t>31</w:t>
      </w:r>
      <w:r>
        <w:rPr>
          <w:rFonts w:ascii="宋体" w:hAnsi="宋体" w:cs="宋体" w:eastAsia="宋体" w:hint="default"/>
          <w:spacing w:val="-18"/>
          <w:sz w:val="16"/>
          <w:szCs w:val="16"/>
        </w:rPr>
        <w:t> </w:t>
      </w:r>
      <w:r>
        <w:rPr>
          <w:rFonts w:ascii="宋体" w:hAnsi="宋体" w:cs="宋体" w:eastAsia="宋体" w:hint="default"/>
          <w:sz w:val="16"/>
          <w:szCs w:val="16"/>
        </w:rPr>
        <w:t>日，公司混合所有制改革非公开发行新增股份于中国证券登记结算有限责任公司上海分公司办理完毕登记托管</w:t>
      </w:r>
    </w:p>
    <w:p>
      <w:pPr>
        <w:spacing w:before="70"/>
        <w:ind w:left="475" w:right="1314" w:firstLine="0"/>
        <w:jc w:val="left"/>
        <w:rPr>
          <w:rFonts w:ascii="宋体" w:hAnsi="宋体" w:cs="宋体" w:eastAsia="宋体" w:hint="default"/>
          <w:sz w:val="16"/>
          <w:szCs w:val="16"/>
        </w:rPr>
      </w:pPr>
      <w:r>
        <w:rPr>
          <w:rFonts w:ascii="宋体" w:hAnsi="宋体" w:cs="宋体" w:eastAsia="宋体" w:hint="default"/>
          <w:sz w:val="16"/>
          <w:szCs w:val="16"/>
        </w:rPr>
        <w:t>手续。本次发行新增股份的性质为有限售条件流通股，自股份登记完成之日起限售期</w:t>
      </w:r>
      <w:r>
        <w:rPr>
          <w:rFonts w:ascii="宋体" w:hAnsi="宋体" w:cs="宋体" w:eastAsia="宋体" w:hint="default"/>
          <w:spacing w:val="-31"/>
          <w:sz w:val="16"/>
          <w:szCs w:val="16"/>
        </w:rPr>
        <w:t> </w:t>
      </w:r>
      <w:r>
        <w:rPr>
          <w:rFonts w:ascii="宋体" w:hAnsi="宋体" w:cs="宋体" w:eastAsia="宋体" w:hint="default"/>
          <w:sz w:val="16"/>
          <w:szCs w:val="16"/>
        </w:rPr>
        <w:t>36</w:t>
      </w:r>
      <w:r>
        <w:rPr>
          <w:rFonts w:ascii="宋体" w:hAnsi="宋体" w:cs="宋体" w:eastAsia="宋体" w:hint="default"/>
          <w:spacing w:val="-31"/>
          <w:sz w:val="16"/>
          <w:szCs w:val="16"/>
        </w:rPr>
        <w:t> </w:t>
      </w:r>
      <w:r>
        <w:rPr>
          <w:rFonts w:ascii="宋体" w:hAnsi="宋体" w:cs="宋体" w:eastAsia="宋体" w:hint="default"/>
          <w:sz w:val="16"/>
          <w:szCs w:val="16"/>
        </w:rPr>
        <w:t>个月。详情请见公司于</w:t>
      </w:r>
      <w:r>
        <w:rPr>
          <w:rFonts w:ascii="宋体" w:hAnsi="宋体" w:cs="宋体" w:eastAsia="宋体" w:hint="default"/>
          <w:spacing w:val="-31"/>
          <w:sz w:val="16"/>
          <w:szCs w:val="16"/>
        </w:rPr>
        <w:t> </w:t>
      </w:r>
      <w:r>
        <w:rPr>
          <w:rFonts w:ascii="宋体" w:hAnsi="宋体" w:cs="宋体" w:eastAsia="宋体" w:hint="default"/>
          <w:sz w:val="16"/>
          <w:szCs w:val="16"/>
        </w:rPr>
        <w:t>2017</w:t>
      </w:r>
      <w:r>
        <w:rPr>
          <w:rFonts w:ascii="宋体" w:hAnsi="宋体" w:cs="宋体" w:eastAsia="宋体" w:hint="default"/>
          <w:spacing w:val="-31"/>
          <w:sz w:val="16"/>
          <w:szCs w:val="16"/>
        </w:rPr>
        <w:t> </w:t>
      </w:r>
      <w:r>
        <w:rPr>
          <w:rFonts w:ascii="宋体" w:hAnsi="宋体" w:cs="宋体" w:eastAsia="宋体" w:hint="default"/>
          <w:sz w:val="16"/>
          <w:szCs w:val="16"/>
        </w:rPr>
        <w:t>年</w:t>
      </w:r>
      <w:r>
        <w:rPr>
          <w:rFonts w:ascii="宋体" w:hAnsi="宋体" w:cs="宋体" w:eastAsia="宋体" w:hint="default"/>
          <w:spacing w:val="-31"/>
          <w:sz w:val="16"/>
          <w:szCs w:val="16"/>
        </w:rPr>
        <w:t> </w:t>
      </w:r>
      <w:r>
        <w:rPr>
          <w:rFonts w:ascii="宋体" w:hAnsi="宋体" w:cs="宋体" w:eastAsia="宋体" w:hint="default"/>
          <w:sz w:val="16"/>
          <w:szCs w:val="16"/>
        </w:rPr>
        <w:t>11</w:t>
      </w:r>
      <w:r>
        <w:rPr>
          <w:rFonts w:ascii="宋体" w:hAnsi="宋体" w:cs="宋体" w:eastAsia="宋体" w:hint="default"/>
          <w:spacing w:val="-31"/>
          <w:sz w:val="16"/>
          <w:szCs w:val="16"/>
        </w:rPr>
        <w:t> </w:t>
      </w:r>
      <w:r>
        <w:rPr>
          <w:rFonts w:ascii="宋体" w:hAnsi="宋体" w:cs="宋体" w:eastAsia="宋体" w:hint="default"/>
          <w:sz w:val="16"/>
          <w:szCs w:val="16"/>
        </w:rPr>
        <w:t>月</w:t>
      </w:r>
      <w:r>
        <w:rPr>
          <w:rFonts w:ascii="宋体" w:hAnsi="宋体" w:cs="宋体" w:eastAsia="宋体" w:hint="default"/>
          <w:spacing w:val="-31"/>
          <w:sz w:val="16"/>
          <w:szCs w:val="16"/>
        </w:rPr>
        <w:t> </w:t>
      </w:r>
      <w:r>
        <w:rPr>
          <w:rFonts w:ascii="宋体" w:hAnsi="宋体" w:cs="宋体" w:eastAsia="宋体" w:hint="default"/>
          <w:sz w:val="16"/>
          <w:szCs w:val="16"/>
        </w:rPr>
        <w:t>2</w:t>
      </w:r>
      <w:r>
        <w:rPr>
          <w:rFonts w:ascii="宋体" w:hAnsi="宋体" w:cs="宋体" w:eastAsia="宋体" w:hint="default"/>
          <w:spacing w:val="-31"/>
          <w:sz w:val="16"/>
          <w:szCs w:val="16"/>
        </w:rPr>
        <w:t> </w:t>
      </w:r>
      <w:r>
        <w:rPr>
          <w:rFonts w:ascii="宋体" w:hAnsi="宋体" w:cs="宋体" w:eastAsia="宋体" w:hint="default"/>
          <w:sz w:val="16"/>
          <w:szCs w:val="16"/>
        </w:rPr>
        <w:t>日在</w:t>
      </w:r>
    </w:p>
    <w:p>
      <w:pPr>
        <w:spacing w:line="321" w:lineRule="auto" w:before="70"/>
        <w:ind w:left="475" w:right="1430" w:firstLine="0"/>
        <w:jc w:val="left"/>
        <w:rPr>
          <w:rFonts w:ascii="宋体" w:hAnsi="宋体" w:cs="宋体" w:eastAsia="宋体" w:hint="default"/>
          <w:sz w:val="16"/>
          <w:szCs w:val="16"/>
        </w:rPr>
      </w:pPr>
      <w:r>
        <w:rPr>
          <w:rFonts w:ascii="宋体" w:hAnsi="宋体" w:cs="宋体" w:eastAsia="宋体" w:hint="default"/>
          <w:sz w:val="16"/>
          <w:szCs w:val="16"/>
        </w:rPr>
        <w:t>《中国证券报》《上海证券报》《证券时报》、上海证券交易所网站及本公司网站发布的《中国联合网络通信股份有限公司非公开发 行 A</w:t>
      </w:r>
      <w:r>
        <w:rPr>
          <w:rFonts w:ascii="宋体" w:hAnsi="宋体" w:cs="宋体" w:eastAsia="宋体" w:hint="default"/>
          <w:spacing w:val="32"/>
          <w:sz w:val="16"/>
          <w:szCs w:val="16"/>
        </w:rPr>
        <w:t> </w:t>
      </w:r>
      <w:r>
        <w:rPr>
          <w:rFonts w:ascii="宋体" w:hAnsi="宋体" w:cs="宋体" w:eastAsia="宋体" w:hint="default"/>
          <w:sz w:val="16"/>
          <w:szCs w:val="16"/>
        </w:rPr>
        <w:t>股股票发行结果暨股本变动公告》（公告编号：2017-075）。</w:t>
      </w:r>
    </w:p>
    <w:p>
      <w:pPr>
        <w:spacing w:after="0" w:line="321" w:lineRule="auto"/>
        <w:jc w:val="left"/>
        <w:rPr>
          <w:rFonts w:ascii="宋体" w:hAnsi="宋体" w:cs="宋体" w:eastAsia="宋体" w:hint="default"/>
          <w:sz w:val="16"/>
          <w:szCs w:val="16"/>
        </w:rPr>
        <w:sectPr>
          <w:type w:val="continuous"/>
          <w:pgSz w:w="11910" w:h="16160"/>
          <w:pgMar w:top="1520" w:bottom="280" w:left="70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9"/>
          <w:szCs w:val="29"/>
        </w:rPr>
      </w:pPr>
    </w:p>
    <w:p>
      <w:pPr>
        <w:pStyle w:val="BodyText"/>
        <w:spacing w:line="240" w:lineRule="auto" w:before="26"/>
        <w:ind w:left="1417" w:right="764"/>
        <w:jc w:val="left"/>
        <w:rPr>
          <w:rFonts w:ascii="宋体" w:hAnsi="宋体" w:cs="宋体" w:eastAsia="宋体" w:hint="default"/>
        </w:rPr>
      </w:pPr>
      <w:r>
        <w:rPr>
          <w:rFonts w:ascii="宋体" w:hAnsi="宋体" w:cs="宋体" w:eastAsia="宋体" w:hint="default"/>
          <w:color w:val="D7000F"/>
        </w:rPr>
        <w:t>四、控股股东及实际控制人情况</w:t>
      </w:r>
      <w:r>
        <w:rPr>
          <w:rFonts w:ascii="宋体" w:hAnsi="宋体" w:cs="宋体" w:eastAsia="宋体" w:hint="default"/>
        </w:rPr>
      </w:r>
    </w:p>
    <w:p>
      <w:pPr>
        <w:spacing w:line="240" w:lineRule="auto" w:before="11"/>
        <w:rPr>
          <w:rFonts w:ascii="宋体" w:hAnsi="宋体" w:cs="宋体" w:eastAsia="宋体" w:hint="default"/>
          <w:sz w:val="26"/>
          <w:szCs w:val="26"/>
        </w:rPr>
      </w:pPr>
    </w:p>
    <w:p>
      <w:pPr>
        <w:spacing w:before="0"/>
        <w:ind w:left="1417"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控股股东情况</w:t>
      </w:r>
    </w:p>
    <w:p>
      <w:pPr>
        <w:spacing w:line="240" w:lineRule="auto" w:before="11"/>
        <w:rPr>
          <w:rFonts w:ascii="宋体" w:hAnsi="宋体" w:cs="宋体" w:eastAsia="宋体" w:hint="default"/>
          <w:sz w:val="12"/>
          <w:szCs w:val="12"/>
        </w:rPr>
      </w:pPr>
    </w:p>
    <w:p>
      <w:pPr>
        <w:pStyle w:val="BodyText"/>
        <w:spacing w:line="240" w:lineRule="auto"/>
        <w:ind w:left="1757" w:right="764"/>
        <w:jc w:val="left"/>
        <w:rPr>
          <w:rFonts w:ascii="宋体" w:hAnsi="宋体" w:cs="宋体" w:eastAsia="宋体" w:hint="default"/>
        </w:rPr>
      </w:pPr>
      <w:r>
        <w:rPr>
          <w:rFonts w:ascii="宋体" w:hAnsi="宋体" w:cs="宋体" w:eastAsia="宋体" w:hint="default"/>
          <w:color w:val="D7000F"/>
          <w:w w:val="95"/>
        </w:rPr>
        <w:t>1.</w:t>
      </w:r>
      <w:r>
        <w:rPr>
          <w:rFonts w:ascii="宋体" w:hAnsi="宋体" w:cs="宋体" w:eastAsia="宋体" w:hint="default"/>
          <w:color w:val="D7000F"/>
          <w:spacing w:val="-44"/>
          <w:w w:val="95"/>
        </w:rPr>
        <w:t> </w:t>
      </w:r>
      <w:r>
        <w:rPr>
          <w:rFonts w:ascii="宋体" w:hAnsi="宋体" w:cs="宋体" w:eastAsia="宋体" w:hint="default"/>
          <w:color w:val="D7000F"/>
          <w:w w:val="95"/>
        </w:rPr>
        <w:t>法人</w:t>
      </w:r>
      <w:r>
        <w:rPr>
          <w:rFonts w:ascii="宋体" w:hAnsi="宋体" w:cs="宋体" w:eastAsia="宋体" w:hint="default"/>
          <w:w w:val="95"/>
        </w:rPr>
      </w:r>
    </w:p>
    <w:p>
      <w:pPr>
        <w:spacing w:line="240" w:lineRule="auto" w:before="10"/>
        <w:rPr>
          <w:rFonts w:ascii="宋体" w:hAnsi="宋体" w:cs="宋体" w:eastAsia="宋体" w:hint="default"/>
          <w:sz w:val="15"/>
          <w:szCs w:val="15"/>
        </w:rPr>
      </w:pPr>
    </w:p>
    <w:p>
      <w:pPr>
        <w:spacing w:line="40" w:lineRule="exact"/>
        <w:ind w:left="173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2410;height:2" coordorigin="20,20" coordsize="2410,2">
              <v:shape style="position:absolute;left:20;top:20;width:2410;height:2" coordorigin="20,20" coordsize="2410,0" path="m20,20l2429,20e" filled="false" stroked="true" strokeweight="2pt" strokecolor="#9c8758">
                <v:path arrowok="t"/>
              </v:shape>
            </v:group>
            <v:group style="position:absolute;left:2429;top:20;width:6889;height:2" coordorigin="2429,20" coordsize="6889,2">
              <v:shape style="position:absolute;left:2429;top:20;width:6889;height:2" coordorigin="2429,20" coordsize="6889,0" path="m2429,20l9318,20e" filled="false" stroked="true" strokeweight="2pt" strokecolor="#9c8758">
                <v:path arrowok="t"/>
              </v:shape>
            </v:group>
          </v:group>
        </w:pict>
      </w:r>
      <w:r>
        <w:rPr>
          <w:rFonts w:ascii="宋体" w:hAnsi="宋体" w:cs="宋体" w:eastAsia="宋体" w:hint="default"/>
          <w:position w:val="0"/>
          <w:sz w:val="4"/>
          <w:szCs w:val="4"/>
        </w:rPr>
      </w:r>
    </w:p>
    <w:p>
      <w:pPr>
        <w:tabs>
          <w:tab w:pos="4251" w:val="left" w:leader="none"/>
        </w:tabs>
        <w:spacing w:before="92"/>
        <w:ind w:left="1842" w:right="764" w:firstLine="0"/>
        <w:jc w:val="left"/>
        <w:rPr>
          <w:rFonts w:ascii="宋体" w:hAnsi="宋体" w:cs="宋体" w:eastAsia="宋体" w:hint="default"/>
          <w:sz w:val="16"/>
          <w:szCs w:val="16"/>
        </w:rPr>
      </w:pPr>
      <w:r>
        <w:rPr>
          <w:rFonts w:ascii="宋体" w:hAnsi="宋体" w:cs="宋体" w:eastAsia="宋体" w:hint="default"/>
          <w:sz w:val="16"/>
          <w:szCs w:val="16"/>
        </w:rPr>
        <w:t>名称</w:t>
        <w:tab/>
      </w:r>
      <w:r>
        <w:rPr>
          <w:rFonts w:ascii="宋体" w:hAnsi="宋体" w:cs="宋体" w:eastAsia="宋体" w:hint="default"/>
          <w:sz w:val="16"/>
          <w:szCs w:val="16"/>
        </w:rPr>
        <w:t>中国联合网络通信集团有限公司</w:t>
      </w:r>
    </w:p>
    <w:p>
      <w:pPr>
        <w:tabs>
          <w:tab w:pos="4251" w:val="left" w:leader="none"/>
        </w:tabs>
        <w:spacing w:before="120"/>
        <w:ind w:left="1842" w:right="764" w:firstLine="0"/>
        <w:jc w:val="left"/>
        <w:rPr>
          <w:rFonts w:ascii="宋体" w:hAnsi="宋体" w:cs="宋体" w:eastAsia="宋体" w:hint="default"/>
          <w:sz w:val="16"/>
          <w:szCs w:val="16"/>
        </w:rPr>
      </w:pPr>
      <w:r>
        <w:rPr>
          <w:rFonts w:ascii="宋体" w:hAnsi="宋体" w:cs="宋体" w:eastAsia="宋体" w:hint="default"/>
          <w:sz w:val="16"/>
          <w:szCs w:val="16"/>
        </w:rPr>
        <w:t>单位负责人或法定代表人</w:t>
        <w:tab/>
      </w:r>
      <w:r>
        <w:rPr>
          <w:rFonts w:ascii="宋体" w:hAnsi="宋体" w:cs="宋体" w:eastAsia="宋体" w:hint="default"/>
          <w:sz w:val="16"/>
          <w:szCs w:val="16"/>
        </w:rPr>
        <w:t>王晓初</w:t>
      </w:r>
    </w:p>
    <w:p>
      <w:pPr>
        <w:tabs>
          <w:tab w:pos="4251" w:val="left" w:leader="none"/>
        </w:tabs>
        <w:spacing w:before="120"/>
        <w:ind w:left="1842" w:right="764" w:firstLine="0"/>
        <w:jc w:val="left"/>
        <w:rPr>
          <w:rFonts w:ascii="宋体" w:hAnsi="宋体" w:cs="宋体" w:eastAsia="宋体" w:hint="default"/>
          <w:sz w:val="16"/>
          <w:szCs w:val="16"/>
        </w:rPr>
      </w:pPr>
      <w:r>
        <w:rPr>
          <w:rFonts w:ascii="宋体" w:hAnsi="宋体" w:cs="宋体" w:eastAsia="宋体" w:hint="default"/>
          <w:sz w:val="16"/>
          <w:szCs w:val="16"/>
        </w:rPr>
        <w:t>成立日期</w:t>
        <w:tab/>
      </w:r>
      <w:r>
        <w:rPr>
          <w:rFonts w:ascii="宋体" w:hAnsi="宋体" w:cs="宋体" w:eastAsia="宋体" w:hint="default"/>
          <w:spacing w:val="15"/>
          <w:w w:val="105"/>
          <w:sz w:val="16"/>
          <w:szCs w:val="16"/>
        </w:rPr>
        <w:t>1994年6月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18日</w:t>
      </w:r>
      <w:r>
        <w:rPr>
          <w:rFonts w:ascii="宋体" w:hAnsi="宋体" w:cs="宋体" w:eastAsia="宋体" w:hint="default"/>
          <w:spacing w:val="-40"/>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pgSz w:w="11910" w:h="16160"/>
          <w:pgMar w:header="0" w:footer="298" w:top="1680" w:bottom="480" w:left="0" w:right="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4"/>
          <w:szCs w:val="14"/>
        </w:rPr>
      </w:pPr>
    </w:p>
    <w:p>
      <w:pPr>
        <w:spacing w:before="0"/>
        <w:ind w:left="1842" w:right="-20" w:firstLine="0"/>
        <w:jc w:val="left"/>
        <w:rPr>
          <w:rFonts w:ascii="宋体" w:hAnsi="宋体" w:cs="宋体" w:eastAsia="宋体" w:hint="default"/>
          <w:sz w:val="16"/>
          <w:szCs w:val="16"/>
        </w:rPr>
      </w:pPr>
      <w:r>
        <w:rPr>
          <w:rFonts w:ascii="宋体" w:hAnsi="宋体" w:cs="宋体" w:eastAsia="宋体" w:hint="default"/>
          <w:sz w:val="16"/>
          <w:szCs w:val="16"/>
        </w:rPr>
        <w:t>主要经营业务</w:t>
      </w:r>
    </w:p>
    <w:p>
      <w:pPr>
        <w:spacing w:line="240" w:lineRule="auto" w:before="4"/>
        <w:rPr>
          <w:rFonts w:ascii="宋体" w:hAnsi="宋体" w:cs="宋体" w:eastAsia="宋体" w:hint="default"/>
          <w:sz w:val="11"/>
          <w:szCs w:val="11"/>
        </w:rPr>
      </w:pPr>
      <w:r>
        <w:rPr/>
        <w:br w:type="column"/>
      </w:r>
      <w:r>
        <w:rPr>
          <w:rFonts w:ascii="宋体"/>
          <w:sz w:val="11"/>
        </w:rPr>
      </w:r>
    </w:p>
    <w:p>
      <w:pPr>
        <w:spacing w:line="200" w:lineRule="exact" w:before="0"/>
        <w:ind w:left="1409" w:right="840" w:firstLine="0"/>
        <w:jc w:val="left"/>
        <w:rPr>
          <w:rFonts w:ascii="宋体" w:hAnsi="宋体" w:cs="宋体" w:eastAsia="宋体" w:hint="default"/>
          <w:sz w:val="16"/>
          <w:szCs w:val="16"/>
        </w:rPr>
      </w:pPr>
      <w:r>
        <w:rPr>
          <w:rFonts w:ascii="宋体" w:hAnsi="宋体" w:cs="宋体" w:eastAsia="宋体" w:hint="default"/>
          <w:spacing w:val="-8"/>
          <w:sz w:val="16"/>
          <w:szCs w:val="16"/>
        </w:rPr>
        <w:t>固定通信业务、蜂窝移动通信业务、第一类卫星通信业务、第一类数据通信业务、网络接入业务（具</w:t>
      </w:r>
      <w:r>
        <w:rPr>
          <w:rFonts w:ascii="宋体" w:hAnsi="宋体" w:cs="宋体" w:eastAsia="宋体" w:hint="default"/>
          <w:spacing w:val="-53"/>
          <w:sz w:val="16"/>
          <w:szCs w:val="16"/>
        </w:rPr>
        <w:t> </w:t>
      </w:r>
      <w:r>
        <w:rPr>
          <w:rFonts w:ascii="宋体" w:hAnsi="宋体" w:cs="宋体" w:eastAsia="宋体" w:hint="default"/>
          <w:spacing w:val="-53"/>
          <w:sz w:val="16"/>
          <w:szCs w:val="16"/>
        </w:rPr>
      </w:r>
      <w:r>
        <w:rPr>
          <w:rFonts w:ascii="宋体" w:hAnsi="宋体" w:cs="宋体" w:eastAsia="宋体" w:hint="default"/>
          <w:sz w:val="16"/>
          <w:szCs w:val="16"/>
        </w:rPr>
        <w:t>体业务种类、覆盖范围以许可证为准）；国内甚小口径终端地球站（VSAT）通信业务、固定网</w:t>
      </w:r>
      <w:r>
        <w:rPr>
          <w:rFonts w:ascii="宋体" w:hAnsi="宋体" w:cs="宋体" w:eastAsia="宋体" w:hint="default"/>
          <w:spacing w:val="-11"/>
          <w:sz w:val="16"/>
          <w:szCs w:val="16"/>
        </w:rPr>
        <w:t> </w:t>
      </w:r>
      <w:r>
        <w:rPr>
          <w:rFonts w:ascii="宋体" w:hAnsi="宋体" w:cs="宋体" w:eastAsia="宋体" w:hint="default"/>
          <w:spacing w:val="-11"/>
          <w:sz w:val="16"/>
          <w:szCs w:val="16"/>
        </w:rPr>
      </w:r>
      <w:r>
        <w:rPr>
          <w:rFonts w:ascii="宋体" w:hAnsi="宋体" w:cs="宋体" w:eastAsia="宋体" w:hint="default"/>
          <w:sz w:val="16"/>
          <w:szCs w:val="16"/>
        </w:rPr>
        <w:t>国内数据传送业务、无线数据传送业务、用户驻地网业务和网络托管业务、增值电信业务中的在</w:t>
      </w:r>
      <w:r>
        <w:rPr>
          <w:rFonts w:ascii="宋体" w:hAnsi="宋体" w:cs="宋体" w:eastAsia="宋体" w:hint="default"/>
          <w:sz w:val="16"/>
          <w:szCs w:val="16"/>
        </w:rPr>
        <w:t> </w:t>
      </w:r>
      <w:r>
        <w:rPr>
          <w:rFonts w:ascii="宋体" w:hAnsi="宋体" w:cs="宋体" w:eastAsia="宋体" w:hint="default"/>
          <w:spacing w:val="-2"/>
          <w:sz w:val="16"/>
          <w:szCs w:val="16"/>
        </w:rPr>
        <w:t>线数据处理与交易处理业务、国内因特网虚拟专用网业务、因特网数据中心业务、语音信箱业务、</w:t>
      </w:r>
      <w:r>
        <w:rPr>
          <w:rFonts w:ascii="宋体" w:hAnsi="宋体" w:cs="宋体" w:eastAsia="宋体" w:hint="default"/>
          <w:spacing w:val="-78"/>
          <w:sz w:val="16"/>
          <w:szCs w:val="16"/>
        </w:rPr>
        <w:t> </w:t>
      </w:r>
      <w:r>
        <w:rPr>
          <w:rFonts w:ascii="宋体" w:hAnsi="宋体" w:cs="宋体" w:eastAsia="宋体" w:hint="default"/>
          <w:spacing w:val="-78"/>
          <w:sz w:val="16"/>
          <w:szCs w:val="16"/>
        </w:rPr>
      </w:r>
      <w:r>
        <w:rPr>
          <w:rFonts w:ascii="宋体" w:hAnsi="宋体" w:cs="宋体" w:eastAsia="宋体" w:hint="default"/>
          <w:sz w:val="16"/>
          <w:szCs w:val="16"/>
        </w:rPr>
        <w:t>传真存储转发业务、X.400</w:t>
      </w:r>
      <w:r>
        <w:rPr>
          <w:rFonts w:ascii="宋体" w:hAnsi="宋体" w:cs="宋体" w:eastAsia="宋体" w:hint="default"/>
          <w:spacing w:val="-33"/>
          <w:sz w:val="16"/>
          <w:szCs w:val="16"/>
        </w:rPr>
        <w:t> </w:t>
      </w:r>
      <w:r>
        <w:rPr>
          <w:rFonts w:ascii="宋体" w:hAnsi="宋体" w:cs="宋体" w:eastAsia="宋体" w:hint="default"/>
          <w:sz w:val="16"/>
          <w:szCs w:val="16"/>
        </w:rPr>
        <w:t>电子邮件业务、呼叫中心业务、因特网接入服务业务和信息服务业务</w:t>
      </w:r>
    </w:p>
    <w:p>
      <w:pPr>
        <w:spacing w:line="200" w:lineRule="exact" w:before="0"/>
        <w:ind w:left="1409" w:right="834" w:hanging="80"/>
        <w:jc w:val="left"/>
        <w:rPr>
          <w:rFonts w:ascii="宋体" w:hAnsi="宋体" w:cs="宋体" w:eastAsia="宋体" w:hint="default"/>
          <w:sz w:val="16"/>
          <w:szCs w:val="16"/>
        </w:rPr>
      </w:pPr>
      <w:r>
        <w:rPr>
          <w:rFonts w:ascii="宋体" w:hAnsi="宋体" w:cs="宋体" w:eastAsia="宋体" w:hint="default"/>
          <w:sz w:val="16"/>
          <w:szCs w:val="16"/>
        </w:rPr>
        <w:t>（含固定网电话信息服务业务、互联网信息服务业务和移动网信息服务业务）；《信息通信技术》 期刊出版；利用信息网络经营音乐娱乐产品、演出剧（节）目、表演，动漫产品，游戏产品（含 网络游戏虚拟货币发行）。经营与通信及信息业务相关的系统集成、技术开发、技术服务、设备 生产、销售、设计施工业务；招标代理；自有房屋出租；电子通信器材的销售；承办展览；专业 人员培训；物业管理；技术交流和信息咨询；广告业务；编制、发行电话号码簿。</w:t>
      </w:r>
    </w:p>
    <w:p>
      <w:pPr>
        <w:spacing w:after="0" w:line="200" w:lineRule="exact"/>
        <w:jc w:val="left"/>
        <w:rPr>
          <w:rFonts w:ascii="宋体" w:hAnsi="宋体" w:cs="宋体" w:eastAsia="宋体" w:hint="default"/>
          <w:sz w:val="16"/>
          <w:szCs w:val="16"/>
        </w:rPr>
        <w:sectPr>
          <w:type w:val="continuous"/>
          <w:pgSz w:w="11910" w:h="16160"/>
          <w:pgMar w:top="1520" w:bottom="280" w:left="0" w:right="0"/>
          <w:cols w:num="2" w:equalWidth="0">
            <w:col w:w="2803" w:space="40"/>
            <w:col w:w="9067"/>
          </w:cols>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0"/>
        <w:rPr>
          <w:rFonts w:ascii="宋体" w:hAnsi="宋体" w:cs="宋体" w:eastAsia="宋体" w:hint="default"/>
          <w:sz w:val="23"/>
          <w:szCs w:val="23"/>
        </w:rPr>
      </w:pPr>
    </w:p>
    <w:p>
      <w:pPr>
        <w:spacing w:line="200" w:lineRule="exact" w:before="0"/>
        <w:ind w:left="1842" w:right="-20" w:firstLine="0"/>
        <w:jc w:val="left"/>
        <w:rPr>
          <w:rFonts w:ascii="宋体" w:hAnsi="宋体" w:cs="宋体" w:eastAsia="宋体" w:hint="default"/>
          <w:sz w:val="16"/>
          <w:szCs w:val="16"/>
        </w:rPr>
      </w:pPr>
      <w:r>
        <w:rPr>
          <w:rFonts w:ascii="宋体" w:hAnsi="宋体" w:cs="宋体" w:eastAsia="宋体" w:hint="default"/>
          <w:sz w:val="16"/>
          <w:szCs w:val="16"/>
        </w:rPr>
        <w:t>报告期内控股和参股的其他境内 外上市公司的股权情况</w:t>
      </w:r>
    </w:p>
    <w:p>
      <w:pPr>
        <w:spacing w:line="205" w:lineRule="exact" w:before="103"/>
        <w:ind w:left="129" w:right="914" w:firstLine="0"/>
        <w:jc w:val="left"/>
        <w:rPr>
          <w:rFonts w:ascii="宋体" w:hAnsi="宋体" w:cs="宋体" w:eastAsia="宋体" w:hint="default"/>
          <w:sz w:val="16"/>
          <w:szCs w:val="16"/>
        </w:rPr>
      </w:pPr>
      <w:r>
        <w:rPr/>
        <w:br w:type="column"/>
      </w:r>
      <w:r>
        <w:rPr>
          <w:rFonts w:ascii="宋体" w:hAnsi="宋体" w:cs="宋体" w:eastAsia="宋体" w:hint="default"/>
          <w:sz w:val="16"/>
          <w:szCs w:val="16"/>
        </w:rPr>
        <w:t>联通集团持有中国通信服务股份有限公司 3.41% 股权，持有人民网股份有限公司 1.45%</w:t>
      </w:r>
      <w:r>
        <w:rPr>
          <w:rFonts w:ascii="宋体" w:hAnsi="宋体" w:cs="宋体" w:eastAsia="宋体" w:hint="default"/>
          <w:spacing w:val="-21"/>
          <w:sz w:val="16"/>
          <w:szCs w:val="16"/>
        </w:rPr>
        <w:t> </w:t>
      </w:r>
      <w:r>
        <w:rPr>
          <w:rFonts w:ascii="宋体" w:hAnsi="宋体" w:cs="宋体" w:eastAsia="宋体" w:hint="default"/>
          <w:sz w:val="16"/>
          <w:szCs w:val="16"/>
        </w:rPr>
        <w:t>股权，</w:t>
      </w:r>
    </w:p>
    <w:p>
      <w:pPr>
        <w:spacing w:line="200" w:lineRule="exact" w:before="0"/>
        <w:ind w:left="129" w:right="914" w:firstLine="0"/>
        <w:jc w:val="left"/>
        <w:rPr>
          <w:rFonts w:ascii="宋体" w:hAnsi="宋体" w:cs="宋体" w:eastAsia="宋体" w:hint="default"/>
          <w:sz w:val="16"/>
          <w:szCs w:val="16"/>
        </w:rPr>
      </w:pPr>
      <w:r>
        <w:rPr>
          <w:rFonts w:ascii="宋体" w:hAnsi="宋体" w:cs="宋体" w:eastAsia="宋体" w:hint="default"/>
          <w:sz w:val="16"/>
          <w:szCs w:val="16"/>
        </w:rPr>
        <w:t>持有新华网股份有限公司 1.45% 股权，持有中国出版传媒股份有限公司 0.78%</w:t>
      </w:r>
      <w:r>
        <w:rPr>
          <w:rFonts w:ascii="宋体" w:hAnsi="宋体" w:cs="宋体" w:eastAsia="宋体" w:hint="default"/>
          <w:spacing w:val="-21"/>
          <w:sz w:val="16"/>
          <w:szCs w:val="16"/>
        </w:rPr>
        <w:t> </w:t>
      </w:r>
      <w:r>
        <w:rPr>
          <w:rFonts w:ascii="宋体" w:hAnsi="宋体" w:cs="宋体" w:eastAsia="宋体" w:hint="default"/>
          <w:sz w:val="16"/>
          <w:szCs w:val="16"/>
        </w:rPr>
        <w:t>股权，持有中国</w:t>
      </w:r>
    </w:p>
    <w:p>
      <w:pPr>
        <w:spacing w:line="200" w:lineRule="exact" w:before="22"/>
        <w:ind w:left="129" w:right="914" w:firstLine="0"/>
        <w:jc w:val="left"/>
        <w:rPr>
          <w:rFonts w:ascii="宋体" w:hAnsi="宋体" w:cs="宋体" w:eastAsia="宋体" w:hint="default"/>
          <w:sz w:val="16"/>
          <w:szCs w:val="16"/>
        </w:rPr>
      </w:pPr>
      <w:r>
        <w:rPr>
          <w:rFonts w:ascii="宋体" w:hAnsi="宋体" w:cs="宋体" w:eastAsia="宋体" w:hint="default"/>
          <w:sz w:val="16"/>
          <w:szCs w:val="16"/>
        </w:rPr>
        <w:t>电影股份有限公司</w:t>
      </w:r>
      <w:r>
        <w:rPr>
          <w:rFonts w:ascii="宋体" w:hAnsi="宋体" w:cs="宋体" w:eastAsia="宋体" w:hint="default"/>
          <w:spacing w:val="-24"/>
          <w:sz w:val="16"/>
          <w:szCs w:val="16"/>
        </w:rPr>
        <w:t> </w:t>
      </w:r>
      <w:r>
        <w:rPr>
          <w:rFonts w:ascii="宋体" w:hAnsi="宋体" w:cs="宋体" w:eastAsia="宋体" w:hint="default"/>
          <w:sz w:val="16"/>
          <w:szCs w:val="16"/>
        </w:rPr>
        <w:t>0.72%</w:t>
      </w:r>
      <w:r>
        <w:rPr>
          <w:rFonts w:ascii="宋体" w:hAnsi="宋体" w:cs="宋体" w:eastAsia="宋体" w:hint="default"/>
          <w:spacing w:val="-26"/>
          <w:sz w:val="16"/>
          <w:szCs w:val="16"/>
        </w:rPr>
        <w:t> </w:t>
      </w:r>
      <w:r>
        <w:rPr>
          <w:rFonts w:ascii="宋体" w:hAnsi="宋体" w:cs="宋体" w:eastAsia="宋体" w:hint="default"/>
          <w:sz w:val="16"/>
          <w:szCs w:val="16"/>
        </w:rPr>
        <w:t>股权。此外，联通集团持有国电电力发展股份有限公司、中国中铁股</w:t>
      </w:r>
      <w:r>
        <w:rPr>
          <w:rFonts w:ascii="宋体" w:hAnsi="宋体" w:cs="宋体" w:eastAsia="宋体" w:hint="default"/>
          <w:spacing w:val="-42"/>
          <w:sz w:val="16"/>
          <w:szCs w:val="16"/>
        </w:rPr>
        <w:t> </w:t>
      </w:r>
      <w:r>
        <w:rPr>
          <w:rFonts w:ascii="宋体" w:hAnsi="宋体" w:cs="宋体" w:eastAsia="宋体" w:hint="default"/>
          <w:spacing w:val="-42"/>
          <w:sz w:val="16"/>
          <w:szCs w:val="16"/>
        </w:rPr>
      </w:r>
      <w:r>
        <w:rPr>
          <w:rFonts w:ascii="宋体" w:hAnsi="宋体" w:cs="宋体" w:eastAsia="宋体" w:hint="default"/>
          <w:sz w:val="16"/>
          <w:szCs w:val="16"/>
        </w:rPr>
        <w:t>份有限公司、中国神华能源股份有限公司、宝山钢铁股份有限公司、招商银行股份有限公司、中</w:t>
      </w:r>
      <w:r>
        <w:rPr>
          <w:rFonts w:ascii="宋体" w:hAnsi="宋体" w:cs="宋体" w:eastAsia="宋体" w:hint="default"/>
          <w:sz w:val="16"/>
          <w:szCs w:val="16"/>
        </w:rPr>
        <w:t> 国交通建设股份有限公司、中国中车股份有限公司、华能国际电力股份有限公司、中国铁建股份 有限公司、中国建筑股份有限公司、中国电力建设股份有限公司、中国石油化工股份有限公司、 中国石油天然气股份有限公司、北京首商集团股份有限公司、交通银行股份有限公司股票，占比 极小。</w:t>
      </w:r>
    </w:p>
    <w:p>
      <w:pPr>
        <w:spacing w:after="0" w:line="200" w:lineRule="exact"/>
        <w:jc w:val="left"/>
        <w:rPr>
          <w:rFonts w:ascii="宋体" w:hAnsi="宋体" w:cs="宋体" w:eastAsia="宋体" w:hint="default"/>
          <w:sz w:val="16"/>
          <w:szCs w:val="16"/>
        </w:rPr>
        <w:sectPr>
          <w:type w:val="continuous"/>
          <w:pgSz w:w="11910" w:h="16160"/>
          <w:pgMar w:top="1520" w:bottom="280" w:left="0" w:right="0"/>
          <w:cols w:num="2" w:equalWidth="0">
            <w:col w:w="4083" w:space="40"/>
            <w:col w:w="7787"/>
          </w:cols>
        </w:sectPr>
      </w:pPr>
    </w:p>
    <w:p>
      <w:pPr>
        <w:tabs>
          <w:tab w:pos="4251" w:val="left" w:leader="none"/>
        </w:tabs>
        <w:spacing w:before="103"/>
        <w:ind w:left="1842" w:right="764" w:firstLine="0"/>
        <w:jc w:val="left"/>
        <w:rPr>
          <w:rFonts w:ascii="宋体" w:hAnsi="宋体" w:cs="宋体" w:eastAsia="宋体" w:hint="default"/>
          <w:sz w:val="16"/>
          <w:szCs w:val="16"/>
        </w:rPr>
      </w:pPr>
      <w:r>
        <w:rPr>
          <w:rFonts w:ascii="宋体" w:hAnsi="宋体" w:cs="宋体" w:eastAsia="宋体" w:hint="default"/>
          <w:sz w:val="16"/>
          <w:szCs w:val="16"/>
        </w:rPr>
        <w:t>其他情况说明</w:t>
        <w:tab/>
      </w:r>
      <w:r>
        <w:rPr>
          <w:rFonts w:ascii="宋体" w:hAnsi="宋体" w:cs="宋体" w:eastAsia="宋体" w:hint="default"/>
          <w:sz w:val="16"/>
          <w:szCs w:val="16"/>
        </w:rPr>
        <w:t>无</w:t>
      </w:r>
    </w:p>
    <w:p>
      <w:pPr>
        <w:spacing w:line="240" w:lineRule="auto" w:before="8"/>
        <w:rPr>
          <w:rFonts w:ascii="宋体" w:hAnsi="宋体" w:cs="宋体" w:eastAsia="宋体" w:hint="default"/>
          <w:sz w:val="11"/>
          <w:szCs w:val="11"/>
        </w:rPr>
      </w:pPr>
    </w:p>
    <w:p>
      <w:pPr>
        <w:spacing w:line="20" w:lineRule="exact"/>
        <w:ind w:left="1752"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2410;height:2" coordorigin="5,5" coordsize="2410,2">
              <v:shape style="position:absolute;left:5;top:5;width:2410;height:2" coordorigin="5,5" coordsize="2410,0" path="m5,5l2414,5e" filled="false" stroked="true" strokeweight=".5pt" strokecolor="#000000">
                <v:path arrowok="t"/>
              </v:shape>
            </v:group>
            <v:group style="position:absolute;left:2414;top:5;width:6889;height:2" coordorigin="2414,5" coordsize="6889,2">
              <v:shape style="position:absolute;left:2414;top:5;width:6889;height:2" coordorigin="2414,5" coordsize="6889,0" path="m2414,5l9303,5e" filled="false" stroked="true" strokeweight=".5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spacing w:line="3844" w:lineRule="exact"/>
        <w:ind w:left="1740" w:right="0" w:firstLine="0"/>
        <w:rPr>
          <w:rFonts w:ascii="宋体" w:hAnsi="宋体" w:cs="宋体" w:eastAsia="宋体" w:hint="default"/>
          <w:sz w:val="20"/>
          <w:szCs w:val="20"/>
        </w:rPr>
      </w:pPr>
      <w:r>
        <w:rPr>
          <w:rFonts w:ascii="宋体" w:hAnsi="宋体" w:cs="宋体" w:eastAsia="宋体" w:hint="default"/>
          <w:position w:val="-76"/>
          <w:sz w:val="20"/>
          <w:szCs w:val="20"/>
        </w:rPr>
        <w:pict>
          <v:group style="width:426.25pt;height:192.25pt;mso-position-horizontal-relative:char;mso-position-vertical-relative:line" coordorigin="0,0" coordsize="8525,3845">
            <v:shape style="position:absolute;left:7157;top:2607;width:188;height:188" type="#_x0000_t75" stroked="false">
              <v:imagedata r:id="rId143" o:title=""/>
            </v:shape>
            <v:group style="position:absolute;left:4283;top:2701;width:2945;height:2" coordorigin="4283,2701" coordsize="2945,2">
              <v:shape style="position:absolute;left:4283;top:2701;width:2945;height:2" coordorigin="4283,2701" coordsize="2945,0" path="m7227,2701l4283,2701e" filled="false" stroked="true" strokeweight=".956pt" strokecolor="#d7000f">
                <v:path arrowok="t"/>
              </v:shape>
              <v:shape style="position:absolute;left:8337;top:2040;width:188;height:188" type="#_x0000_t75" stroked="false">
                <v:imagedata r:id="rId76" o:title=""/>
              </v:shape>
            </v:group>
            <v:group style="position:absolute;left:3263;top:2134;width:5145;height:2" coordorigin="3263,2134" coordsize="5145,2">
              <v:shape style="position:absolute;left:3263;top:2134;width:5145;height:2" coordorigin="3263,2134" coordsize="5145,0" path="m8408,2134l3263,2134e" filled="false" stroked="true" strokeweight=".956pt" strokecolor="#8e9090">
                <v:path arrowok="t"/>
              </v:shape>
              <v:shape style="position:absolute;left:0;top:0;width:6021;height:3844" type="#_x0000_t75" stroked="false">
                <v:imagedata r:id="rId171" o:title=""/>
              </v:shape>
            </v:group>
          </v:group>
        </w:pict>
      </w:r>
      <w:r>
        <w:rPr>
          <w:rFonts w:ascii="宋体" w:hAnsi="宋体" w:cs="宋体" w:eastAsia="宋体" w:hint="default"/>
          <w:position w:val="-76"/>
          <w:sz w:val="20"/>
          <w:szCs w:val="20"/>
        </w:rPr>
      </w:r>
    </w:p>
    <w:p>
      <w:pPr>
        <w:spacing w:after="0" w:line="3844" w:lineRule="exact"/>
        <w:rPr>
          <w:rFonts w:ascii="宋体" w:hAnsi="宋体" w:cs="宋体" w:eastAsia="宋体" w:hint="default"/>
          <w:sz w:val="20"/>
          <w:szCs w:val="20"/>
        </w:rPr>
        <w:sectPr>
          <w:type w:val="continuous"/>
          <w:pgSz w:w="11910" w:h="16160"/>
          <w:pgMar w:top="1520" w:bottom="280" w:left="0" w:right="0"/>
        </w:sectPr>
      </w:pPr>
    </w:p>
    <w:p>
      <w:pPr>
        <w:spacing w:line="240" w:lineRule="auto" w:before="0"/>
        <w:rPr>
          <w:rFonts w:ascii="宋体" w:hAnsi="宋体" w:cs="宋体" w:eastAsia="宋体" w:hint="default"/>
          <w:sz w:val="20"/>
          <w:szCs w:val="20"/>
        </w:rPr>
      </w:pPr>
      <w:r>
        <w:rPr/>
        <w:pict>
          <v:group style="position:absolute;margin-left:338.881989pt;margin-top:.000002pt;width:256.4pt;height:104.75pt;mso-position-horizontal-relative:page;mso-position-vertical-relative:page;z-index:4984" coordorigin="6778,0" coordsize="5128,2095">
            <v:shape style="position:absolute;left:7512;top:1247;width:188;height:188" type="#_x0000_t75" stroked="false">
              <v:imagedata r:id="rId175" o:title=""/>
            </v:shape>
            <v:group style="position:absolute;left:10006;top:0;width:1900;height:522" coordorigin="10006,0" coordsize="1900,522">
              <v:shape style="position:absolute;left:10006;top:0;width:1900;height:522" coordorigin="10006,0" coordsize="1900,522" path="m11906,521l10006,521,10214,0,11906,0,11906,521xe" filled="true" fillcolor="#9c8758" stroked="false">
                <v:path arrowok="t"/>
                <v:fill type="solid"/>
              </v:shape>
            </v:group>
            <v:group style="position:absolute;left:9950;top:0;width:1956;height:1542" coordorigin="9950,0" coordsize="1956,1542">
              <v:shape style="position:absolute;left:9950;top:0;width:1956;height:1542" coordorigin="9950,0" coordsize="1956,1542" path="m11906,1542l9950,1542,10564,0,11906,0,11906,1542xe" filled="true" fillcolor="#8e9090" stroked="false">
                <v:path arrowok="t"/>
                <v:fill type="solid"/>
              </v:shape>
            </v:group>
            <v:group style="position:absolute;left:6778;top:797;width:5128;height:1299" coordorigin="6778,797" coordsize="5128,1299">
              <v:shape style="position:absolute;left:6778;top:797;width:5128;height:1299" coordorigin="6778,797" coordsize="5128,1299" path="m6778,2095l11906,2095,11906,797,6778,797,6778,2095xe" filled="true" fillcolor="#ffffff" stroked="false">
                <v:path arrowok="t"/>
                <v:fill type="solid"/>
              </v:shape>
            </v:group>
            <w10:wrap type="none"/>
          </v:group>
        </w:pict>
      </w:r>
    </w:p>
    <w:p>
      <w:pPr>
        <w:spacing w:line="240" w:lineRule="auto" w:before="1"/>
        <w:rPr>
          <w:rFonts w:ascii="宋体" w:hAnsi="宋体" w:cs="宋体" w:eastAsia="宋体" w:hint="default"/>
          <w:sz w:val="28"/>
          <w:szCs w:val="28"/>
        </w:rPr>
      </w:pPr>
    </w:p>
    <w:p>
      <w:pPr>
        <w:pStyle w:val="BodyText"/>
        <w:spacing w:line="240" w:lineRule="auto" w:before="31"/>
        <w:ind w:left="490" w:right="1314"/>
        <w:jc w:val="left"/>
        <w:rPr>
          <w:rFonts w:ascii="宋体" w:hAnsi="宋体" w:cs="宋体" w:eastAsia="宋体" w:hint="default"/>
        </w:rPr>
      </w:pPr>
      <w:r>
        <w:rPr>
          <w:rFonts w:ascii="宋体" w:hAnsi="宋体" w:cs="宋体" w:eastAsia="宋体" w:hint="default"/>
          <w:color w:val="D7000F"/>
          <w:w w:val="95"/>
        </w:rPr>
        <w:t>2. </w:t>
      </w:r>
      <w:r>
        <w:rPr>
          <w:rFonts w:ascii="宋体" w:hAnsi="宋体" w:cs="宋体" w:eastAsia="宋体" w:hint="default"/>
          <w:color w:val="D7000F"/>
          <w:spacing w:val="41"/>
          <w:w w:val="95"/>
        </w:rPr>
        <w:t> </w:t>
      </w:r>
      <w:r>
        <w:rPr>
          <w:rFonts w:ascii="宋体" w:hAnsi="宋体" w:cs="宋体" w:eastAsia="宋体" w:hint="default"/>
          <w:color w:val="D7000F"/>
          <w:w w:val="95"/>
        </w:rPr>
        <w:t>公司与控股股东之间的产权及控制关系的方框图</w:t>
      </w:r>
      <w:r>
        <w:rPr>
          <w:rFonts w:ascii="宋体" w:hAnsi="宋体" w:cs="宋体" w:eastAsia="宋体" w:hint="default"/>
          <w:w w:val="95"/>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5"/>
          <w:szCs w:val="15"/>
        </w:rPr>
      </w:pPr>
    </w:p>
    <w:p>
      <w:pPr>
        <w:pStyle w:val="Heading9"/>
        <w:spacing w:line="589" w:lineRule="exact"/>
        <w:ind w:left="1216" w:right="0"/>
        <w:jc w:val="left"/>
        <w:rPr>
          <w:rFonts w:ascii="宋体" w:hAnsi="宋体" w:cs="宋体" w:eastAsia="宋体" w:hint="default"/>
        </w:rPr>
      </w:pPr>
      <w:r>
        <w:rPr>
          <w:rFonts w:ascii="宋体"/>
          <w:position w:val="-9"/>
        </w:rPr>
        <w:pict>
          <v:group style="width:192.25pt;height:28.8pt;mso-position-horizontal-relative:char;mso-position-vertical-relative:line" coordorigin="0,0" coordsize="3845,576">
            <v:group style="position:absolute;left:35;top:541;width:3776;height:2" coordorigin="35,541" coordsize="3776,2">
              <v:shape style="position:absolute;left:35;top:541;width:3776;height:2" coordorigin="35,541" coordsize="3776,0" path="m35,541l3810,541e" filled="false" stroked="true" strokeweight="3.453pt" strokecolor="#950000">
                <v:path arrowok="t"/>
              </v:shape>
            </v:group>
            <v:group style="position:absolute;left:33;top:0;width:3780;height:511" coordorigin="33,0" coordsize="3780,511">
              <v:shape style="position:absolute;left:33;top:0;width:3780;height:511" coordorigin="33,0" coordsize="3780,511" path="m33,510l3812,510,3812,0,33,0,33,510xe" filled="true" fillcolor="#d7000f" stroked="false">
                <v:path arrowok="t"/>
                <v:fill type="solid"/>
              </v:shape>
              <v:shape style="position:absolute;left:33;top:0;width:3780;height:542" type="#_x0000_t202" filled="false" stroked="false">
                <v:textbox inset="0,0,0,0">
                  <w:txbxContent>
                    <w:p>
                      <w:pPr>
                        <w:spacing w:line="240" w:lineRule="auto" w:before="1"/>
                        <w:rPr>
                          <w:rFonts w:ascii="宋体" w:hAnsi="宋体" w:cs="宋体" w:eastAsia="宋体" w:hint="default"/>
                          <w:sz w:val="11"/>
                          <w:szCs w:val="11"/>
                        </w:rPr>
                      </w:pPr>
                    </w:p>
                    <w:p>
                      <w:pPr>
                        <w:spacing w:before="0"/>
                        <w:ind w:left="834" w:right="0" w:firstLine="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中国联合网络通信集团有限公司</w:t>
                      </w:r>
                      <w:r>
                        <w:rPr>
                          <w:rFonts w:ascii="宋体" w:hAnsi="宋体" w:cs="宋体" w:eastAsia="宋体" w:hint="default"/>
                          <w:sz w:val="16"/>
                          <w:szCs w:val="16"/>
                        </w:rPr>
                      </w:r>
                    </w:p>
                  </w:txbxContent>
                </v:textbox>
                <w10:wrap type="none"/>
              </v:shape>
            </v:group>
          </v:group>
        </w:pict>
      </w:r>
      <w:r>
        <w:rPr>
          <w:rFonts w:ascii="宋体"/>
          <w:position w:val="-9"/>
        </w:rPr>
      </w:r>
      <w:r>
        <w:rPr>
          <w:rFonts w:ascii="Times New Roman"/>
          <w:spacing w:val="36"/>
          <w:position w:val="-9"/>
        </w:rPr>
        <w:t> </w:t>
      </w:r>
      <w:r>
        <w:rPr>
          <w:rFonts w:ascii="宋体"/>
          <w:spacing w:val="36"/>
          <w:position w:val="-11"/>
        </w:rPr>
        <w:pict>
          <v:group style="width:58.75pt;height:29.05pt;mso-position-horizontal-relative:char;mso-position-vertical-relative:line" coordorigin="0,0" coordsize="1175,581">
            <v:group style="position:absolute;left:33;top:0;width:1108;height:511" coordorigin="33,0" coordsize="1108,511">
              <v:shape style="position:absolute;left:33;top:0;width:1108;height:511" coordorigin="33,0" coordsize="1108,511" path="m33,510l1140,510,1140,0,33,0,33,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704;top:576;width:2;height:2" coordorigin="704,576" coordsize="2,2">
              <v:shape style="position:absolute;left:704;top:576;width:2;height:2" coordorigin="704,576" coordsize="0,0" path="m704,576l704,576e" filled="false" stroked="true" strokeweight=".47pt" strokecolor="#9c8758">
                <v:path arrowok="t"/>
              </v:shape>
              <v:shape style="position:absolute;left:0;top:0;width:1175;height:581" type="#_x0000_t202" filled="false" stroked="false">
                <v:textbox inset="0,0,0,0">
                  <w:txbxContent>
                    <w:p>
                      <w:pPr>
                        <w:spacing w:before="142"/>
                        <w:ind w:left="182" w:right="0" w:firstLine="0"/>
                        <w:jc w:val="left"/>
                        <w:rPr>
                          <w:rFonts w:ascii="宋体" w:hAnsi="宋体" w:cs="宋体" w:eastAsia="宋体" w:hint="default"/>
                          <w:sz w:val="15"/>
                          <w:szCs w:val="15"/>
                        </w:rPr>
                      </w:pPr>
                      <w:r>
                        <w:rPr>
                          <w:rFonts w:ascii="宋体" w:hAnsi="宋体" w:cs="宋体" w:eastAsia="宋体" w:hint="default"/>
                          <w:w w:val="105"/>
                          <w:sz w:val="15"/>
                          <w:szCs w:val="15"/>
                        </w:rPr>
                        <w:t>战略投资者</w:t>
                      </w:r>
                      <w:r>
                        <w:rPr>
                          <w:rFonts w:ascii="宋体" w:hAnsi="宋体" w:cs="宋体" w:eastAsia="宋体" w:hint="default"/>
                          <w:sz w:val="15"/>
                          <w:szCs w:val="15"/>
                        </w:rPr>
                      </w:r>
                    </w:p>
                  </w:txbxContent>
                </v:textbox>
                <w10:wrap type="none"/>
              </v:shape>
            </v:group>
          </v:group>
        </w:pict>
      </w:r>
      <w:r>
        <w:rPr>
          <w:rFonts w:ascii="宋体"/>
          <w:spacing w:val="36"/>
          <w:position w:val="-11"/>
        </w:rPr>
      </w:r>
      <w:r>
        <w:rPr>
          <w:rFonts w:ascii="Times New Roman"/>
          <w:spacing w:val="25"/>
          <w:position w:val="-11"/>
        </w:rPr>
        <w:t> </w:t>
      </w:r>
      <w:r>
        <w:rPr>
          <w:rFonts w:ascii="宋体"/>
          <w:spacing w:val="25"/>
          <w:position w:val="-11"/>
        </w:rPr>
        <w:pict>
          <v:group style="width:58.75pt;height:29.05pt;mso-position-horizontal-relative:char;mso-position-vertical-relative:line" coordorigin="0,0" coordsize="1175,581">
            <v:group style="position:absolute;left:33;top:0;width:1108;height:511" coordorigin="33,0" coordsize="1108,511">
              <v:shape style="position:absolute;left:33;top:0;width:1108;height:511" coordorigin="33,0" coordsize="1108,511" path="m33,510l1141,510,1141,0,33,0,33,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532;top:576;width:2;height:2" coordorigin="532,576" coordsize="2,2">
              <v:shape style="position:absolute;left:532;top:576;width:2;height:2" coordorigin="532,576" coordsize="0,0" path="m532,576l532,576e" filled="false" stroked="true" strokeweight=".47pt" strokecolor="#9c8758">
                <v:path arrowok="t"/>
              </v:shape>
              <v:shape style="position:absolute;left:0;top:0;width:1175;height:581" type="#_x0000_t202" filled="false" stroked="false">
                <v:textbox inset="0,0,0,0">
                  <w:txbxContent>
                    <w:p>
                      <w:pPr>
                        <w:spacing w:line="170" w:lineRule="exact" w:before="85"/>
                        <w:ind w:left="247" w:right="227" w:hanging="78"/>
                        <w:jc w:val="left"/>
                        <w:rPr>
                          <w:rFonts w:ascii="宋体" w:hAnsi="宋体" w:cs="宋体" w:eastAsia="宋体" w:hint="default"/>
                          <w:sz w:val="15"/>
                          <w:szCs w:val="15"/>
                        </w:rPr>
                      </w:pPr>
                      <w:r>
                        <w:rPr>
                          <w:rFonts w:ascii="宋体" w:hAnsi="宋体" w:cs="宋体" w:eastAsia="宋体" w:hint="default"/>
                          <w:sz w:val="15"/>
                          <w:szCs w:val="15"/>
                        </w:rPr>
                        <w:t>员工限制性</w:t>
                      </w:r>
                      <w:r>
                        <w:rPr>
                          <w:rFonts w:ascii="宋体" w:hAnsi="宋体" w:cs="宋体" w:eastAsia="宋体" w:hint="default"/>
                          <w:spacing w:val="-49"/>
                          <w:sz w:val="15"/>
                          <w:szCs w:val="15"/>
                        </w:rPr>
                        <w:t> </w:t>
                      </w:r>
                      <w:r>
                        <w:rPr>
                          <w:rFonts w:ascii="宋体" w:hAnsi="宋体" w:cs="宋体" w:eastAsia="宋体" w:hint="default"/>
                          <w:w w:val="105"/>
                          <w:sz w:val="15"/>
                          <w:szCs w:val="15"/>
                        </w:rPr>
                        <w:t>股票激励</w:t>
                      </w:r>
                      <w:r>
                        <w:rPr>
                          <w:rFonts w:ascii="宋体" w:hAnsi="宋体" w:cs="宋体" w:eastAsia="宋体" w:hint="default"/>
                          <w:sz w:val="15"/>
                          <w:szCs w:val="15"/>
                        </w:rPr>
                      </w:r>
                    </w:p>
                  </w:txbxContent>
                </v:textbox>
                <w10:wrap type="none"/>
              </v:shape>
            </v:group>
          </v:group>
        </w:pict>
      </w:r>
      <w:r>
        <w:rPr>
          <w:rFonts w:ascii="宋体"/>
          <w:spacing w:val="25"/>
          <w:position w:val="-11"/>
        </w:rPr>
      </w:r>
      <w:r>
        <w:rPr>
          <w:rFonts w:ascii="Times New Roman"/>
          <w:spacing w:val="19"/>
          <w:position w:val="-11"/>
        </w:rPr>
        <w:t> </w:t>
      </w:r>
      <w:r>
        <w:rPr>
          <w:rFonts w:ascii="宋体"/>
          <w:spacing w:val="19"/>
          <w:position w:val="-11"/>
        </w:rPr>
        <w:pict>
          <v:group style="width:58.75pt;height:29.05pt;mso-position-horizontal-relative:char;mso-position-vertical-relative:line" coordorigin="0,0" coordsize="1175,581">
            <v:group style="position:absolute;left:36;top:0;width:1108;height:511" coordorigin="36,0" coordsize="1108,511">
              <v:shape style="position:absolute;left:36;top:0;width:1108;height:511" coordorigin="36,0" coordsize="1108,511" path="m36,510l1143,510,1143,0,36,0,36,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557;top:576;width:2;height:2" coordorigin="557,576" coordsize="2,2">
              <v:shape style="position:absolute;left:557;top:576;width:2;height:2" coordorigin="557,576" coordsize="0,0" path="m557,576l557,576e" filled="false" stroked="true" strokeweight=".47pt" strokecolor="#9c8758">
                <v:path arrowok="t"/>
              </v:shape>
              <v:shape style="position:absolute;left:0;top:0;width:1175;height:581" type="#_x0000_t202" filled="false" stroked="false">
                <v:textbox inset="0,0,0,0">
                  <w:txbxContent>
                    <w:p>
                      <w:pPr>
                        <w:spacing w:before="142"/>
                        <w:ind w:left="123" w:right="0" w:firstLine="0"/>
                        <w:jc w:val="left"/>
                        <w:rPr>
                          <w:rFonts w:ascii="宋体" w:hAnsi="宋体" w:cs="宋体" w:eastAsia="宋体" w:hint="default"/>
                          <w:sz w:val="15"/>
                          <w:szCs w:val="15"/>
                        </w:rPr>
                      </w:pPr>
                      <w:r>
                        <w:rPr>
                          <w:rFonts w:ascii="宋体" w:hAnsi="宋体" w:cs="宋体" w:eastAsia="宋体" w:hint="default"/>
                          <w:w w:val="105"/>
                          <w:sz w:val="15"/>
                          <w:szCs w:val="15"/>
                        </w:rPr>
                        <w:t>其他公众股东</w:t>
                      </w:r>
                      <w:r>
                        <w:rPr>
                          <w:rFonts w:ascii="宋体" w:hAnsi="宋体" w:cs="宋体" w:eastAsia="宋体" w:hint="default"/>
                          <w:sz w:val="15"/>
                          <w:szCs w:val="15"/>
                        </w:rPr>
                      </w:r>
                    </w:p>
                  </w:txbxContent>
                </v:textbox>
                <w10:wrap type="none"/>
              </v:shape>
            </v:group>
          </v:group>
        </w:pict>
      </w:r>
      <w:r>
        <w:rPr>
          <w:rFonts w:ascii="宋体"/>
          <w:spacing w:val="19"/>
          <w:position w:val="-11"/>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tabs>
          <w:tab w:pos="5827" w:val="left" w:leader="none"/>
          <w:tab w:pos="6885" w:val="left" w:leader="none"/>
          <w:tab w:pos="8135" w:val="left" w:leader="none"/>
        </w:tabs>
        <w:spacing w:line="20" w:lineRule="exact"/>
        <w:ind w:left="4863" w:right="0" w:firstLine="0"/>
        <w:rPr>
          <w:rFonts w:ascii="宋体" w:hAnsi="宋体" w:cs="宋体" w:eastAsia="宋体" w:hint="default"/>
          <w:sz w:val="2"/>
          <w:szCs w:val="2"/>
        </w:rPr>
      </w:pP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p>
    <w:p>
      <w:pPr>
        <w:spacing w:line="240" w:lineRule="auto" w:before="6"/>
        <w:rPr>
          <w:rFonts w:ascii="宋体" w:hAnsi="宋体" w:cs="宋体" w:eastAsia="宋体" w:hint="default"/>
          <w:sz w:val="17"/>
          <w:szCs w:val="17"/>
        </w:rPr>
      </w:pPr>
    </w:p>
    <w:p>
      <w:pPr>
        <w:spacing w:before="37"/>
        <w:ind w:left="3617" w:right="1314" w:firstLine="0"/>
        <w:jc w:val="left"/>
        <w:rPr>
          <w:rFonts w:ascii="宋体" w:hAnsi="宋体" w:cs="宋体" w:eastAsia="宋体" w:hint="default"/>
          <w:sz w:val="16"/>
          <w:szCs w:val="16"/>
        </w:rPr>
      </w:pPr>
      <w:r>
        <w:rPr/>
        <w:pict>
          <v:shape style="position:absolute;margin-left:260.473511pt;margin-top:-37.508663pt;width:198.8pt;height:54.4pt;mso-position-horizontal-relative:page;mso-position-vertical-relative:paragraph;z-index:500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4"/>
                    <w:gridCol w:w="964"/>
                    <w:gridCol w:w="1058"/>
                    <w:gridCol w:w="1250"/>
                    <w:gridCol w:w="276"/>
                  </w:tblGrid>
                  <w:tr>
                    <w:trPr>
                      <w:trHeight w:val="519" w:hRule="exact"/>
                    </w:trPr>
                    <w:tc>
                      <w:tcPr>
                        <w:tcW w:w="324" w:type="dxa"/>
                        <w:tcBorders>
                          <w:top w:val="nil" w:sz="6" w:space="0" w:color="auto"/>
                          <w:left w:val="nil" w:sz="6" w:space="0" w:color="auto"/>
                          <w:bottom w:val="nil" w:sz="6" w:space="0" w:color="auto"/>
                          <w:right w:val="dotted" w:sz="4" w:space="0" w:color="9C8758"/>
                        </w:tcBorders>
                      </w:tcPr>
                      <w:p>
                        <w:pPr>
                          <w:pStyle w:val="TableParagraph"/>
                          <w:spacing w:line="240" w:lineRule="auto" w:before="118"/>
                          <w:ind w:left="-119" w:right="0"/>
                          <w:jc w:val="left"/>
                          <w:rPr>
                            <w:rFonts w:ascii="宋体" w:hAnsi="宋体" w:cs="宋体" w:eastAsia="宋体" w:hint="default"/>
                            <w:sz w:val="16"/>
                            <w:szCs w:val="16"/>
                          </w:rPr>
                        </w:pPr>
                        <w:r>
                          <w:rPr>
                            <w:rFonts w:ascii="宋体"/>
                            <w:w w:val="125"/>
                            <w:sz w:val="16"/>
                          </w:rPr>
                          <w:t>6.7%</w:t>
                        </w:r>
                        <w:r>
                          <w:rPr>
                            <w:rFonts w:ascii="宋体"/>
                            <w:sz w:val="16"/>
                          </w:rPr>
                        </w:r>
                      </w:p>
                    </w:tc>
                    <w:tc>
                      <w:tcPr>
                        <w:tcW w:w="964" w:type="dxa"/>
                        <w:tcBorders>
                          <w:top w:val="nil" w:sz="6" w:space="0" w:color="auto"/>
                          <w:left w:val="dotted" w:sz="4" w:space="0" w:color="9C8758"/>
                          <w:bottom w:val="nil" w:sz="6" w:space="0" w:color="auto"/>
                          <w:right w:val="dotted" w:sz="4" w:space="0" w:color="9C8758"/>
                        </w:tcBorders>
                      </w:tcPr>
                      <w:p>
                        <w:pPr>
                          <w:pStyle w:val="TableParagraph"/>
                          <w:spacing w:line="240" w:lineRule="auto" w:before="118"/>
                          <w:ind w:left="419" w:right="0"/>
                          <w:jc w:val="left"/>
                          <w:rPr>
                            <w:rFonts w:ascii="宋体" w:hAnsi="宋体" w:cs="宋体" w:eastAsia="宋体" w:hint="default"/>
                            <w:sz w:val="16"/>
                            <w:szCs w:val="16"/>
                          </w:rPr>
                        </w:pPr>
                        <w:r>
                          <w:rPr>
                            <w:rFonts w:ascii="宋体"/>
                            <w:w w:val="125"/>
                            <w:sz w:val="16"/>
                          </w:rPr>
                          <w:t>35.2%</w:t>
                        </w:r>
                        <w:r>
                          <w:rPr>
                            <w:rFonts w:ascii="宋体"/>
                            <w:sz w:val="16"/>
                          </w:rPr>
                        </w:r>
                      </w:p>
                    </w:tc>
                    <w:tc>
                      <w:tcPr>
                        <w:tcW w:w="1058" w:type="dxa"/>
                        <w:tcBorders>
                          <w:top w:val="nil" w:sz="6" w:space="0" w:color="auto"/>
                          <w:left w:val="dotted" w:sz="4" w:space="0" w:color="9C8758"/>
                          <w:bottom w:val="nil" w:sz="6" w:space="0" w:color="auto"/>
                          <w:right w:val="dotted" w:sz="4" w:space="0" w:color="9C8758"/>
                        </w:tcBorders>
                      </w:tcPr>
                      <w:p>
                        <w:pPr>
                          <w:pStyle w:val="TableParagraph"/>
                          <w:spacing w:line="240" w:lineRule="auto" w:before="118"/>
                          <w:ind w:left="598" w:right="0"/>
                          <w:jc w:val="left"/>
                          <w:rPr>
                            <w:rFonts w:ascii="宋体" w:hAnsi="宋体" w:cs="宋体" w:eastAsia="宋体" w:hint="default"/>
                            <w:sz w:val="16"/>
                            <w:szCs w:val="16"/>
                          </w:rPr>
                        </w:pPr>
                        <w:r>
                          <w:rPr>
                            <w:rFonts w:ascii="宋体"/>
                            <w:w w:val="125"/>
                            <w:sz w:val="16"/>
                          </w:rPr>
                          <w:t>2.6%</w:t>
                        </w:r>
                        <w:r>
                          <w:rPr>
                            <w:rFonts w:ascii="宋体"/>
                            <w:sz w:val="16"/>
                          </w:rPr>
                        </w:r>
                      </w:p>
                    </w:tc>
                    <w:tc>
                      <w:tcPr>
                        <w:tcW w:w="1250" w:type="dxa"/>
                        <w:tcBorders>
                          <w:top w:val="nil" w:sz="6" w:space="0" w:color="auto"/>
                          <w:left w:val="dotted" w:sz="4" w:space="0" w:color="9C8758"/>
                          <w:bottom w:val="nil" w:sz="6" w:space="0" w:color="auto"/>
                          <w:right w:val="dotted" w:sz="4" w:space="0" w:color="9C8758"/>
                        </w:tcBorders>
                      </w:tcPr>
                      <w:p>
                        <w:pPr>
                          <w:pStyle w:val="TableParagraph"/>
                          <w:spacing w:line="240" w:lineRule="auto" w:before="118"/>
                          <w:ind w:left="697" w:right="0"/>
                          <w:jc w:val="left"/>
                          <w:rPr>
                            <w:rFonts w:ascii="宋体" w:hAnsi="宋体" w:cs="宋体" w:eastAsia="宋体" w:hint="default"/>
                            <w:sz w:val="16"/>
                            <w:szCs w:val="16"/>
                          </w:rPr>
                        </w:pPr>
                        <w:r>
                          <w:rPr>
                            <w:rFonts w:ascii="宋体"/>
                            <w:w w:val="125"/>
                            <w:sz w:val="16"/>
                          </w:rPr>
                          <w:t>25.5%</w:t>
                        </w:r>
                        <w:r>
                          <w:rPr>
                            <w:rFonts w:ascii="宋体"/>
                            <w:sz w:val="16"/>
                          </w:rPr>
                        </w:r>
                      </w:p>
                    </w:tc>
                    <w:tc>
                      <w:tcPr>
                        <w:tcW w:w="27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9"/>
                            <w:szCs w:val="19"/>
                          </w:rPr>
                        </w:pPr>
                      </w:p>
                    </w:tc>
                  </w:tr>
                  <w:tr>
                    <w:trPr>
                      <w:trHeight w:val="534" w:hRule="exact"/>
                    </w:trPr>
                    <w:tc>
                      <w:tcPr>
                        <w:tcW w:w="3872" w:type="dxa"/>
                        <w:gridSpan w:val="5"/>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36"/>
                          <w:ind w:left="834"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中国联合网络通信股份有限公司</w:t>
                        </w:r>
                        <w:r>
                          <w:rPr>
                            <w:rFonts w:ascii="宋体" w:hAnsi="宋体" w:cs="宋体" w:eastAsia="宋体" w:hint="default"/>
                            <w:sz w:val="16"/>
                            <w:szCs w:val="16"/>
                          </w:rPr>
                        </w:r>
                      </w:p>
                    </w:tc>
                  </w:tr>
                </w:tbl>
                <w:p>
                  <w:pPr/>
                </w:p>
              </w:txbxContent>
            </v:textbox>
            <w10:wrap type="none"/>
          </v:shape>
        </w:pict>
      </w:r>
      <w:r>
        <w:rPr/>
        <w:pict>
          <v:shape style="position:absolute;margin-left:95.0345pt;margin-top:-36.440762pt;width:124.25pt;height:106.85pt;mso-position-horizontal-relative:page;mso-position-vertical-relative:paragraph;z-index:50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6"/>
                    <w:gridCol w:w="1126"/>
                  </w:tblGrid>
                  <w:tr>
                    <w:trPr>
                      <w:trHeight w:val="1558" w:hRule="exact"/>
                    </w:trPr>
                    <w:tc>
                      <w:tcPr>
                        <w:tcW w:w="1256" w:type="dxa"/>
                        <w:tcBorders>
                          <w:top w:val="nil" w:sz="6" w:space="0" w:color="auto"/>
                          <w:left w:val="nil" w:sz="6" w:space="0" w:color="auto"/>
                          <w:bottom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756" w:right="0"/>
                          <w:jc w:val="left"/>
                          <w:rPr>
                            <w:rFonts w:ascii="宋体" w:hAnsi="宋体" w:cs="宋体" w:eastAsia="宋体" w:hint="default"/>
                            <w:sz w:val="16"/>
                            <w:szCs w:val="16"/>
                          </w:rPr>
                        </w:pPr>
                        <w:r>
                          <w:rPr>
                            <w:rFonts w:ascii="宋体"/>
                            <w:w w:val="140"/>
                            <w:sz w:val="16"/>
                          </w:rPr>
                          <w:t>100%</w:t>
                        </w:r>
                        <w:r>
                          <w:rPr>
                            <w:rFonts w:ascii="宋体"/>
                            <w:sz w:val="16"/>
                          </w:rPr>
                        </w:r>
                      </w:p>
                    </w:tc>
                    <w:tc>
                      <w:tcPr>
                        <w:tcW w:w="112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7"/>
                          <w:ind w:right="-2"/>
                          <w:jc w:val="right"/>
                          <w:rPr>
                            <w:rFonts w:ascii="宋体" w:hAnsi="宋体" w:cs="宋体" w:eastAsia="宋体" w:hint="default"/>
                            <w:sz w:val="16"/>
                            <w:szCs w:val="16"/>
                          </w:rPr>
                        </w:pPr>
                        <w:r>
                          <w:rPr>
                            <w:rFonts w:ascii="宋体"/>
                            <w:w w:val="98"/>
                            <w:sz w:val="16"/>
                          </w:rPr>
                          <w:t>1</w:t>
                        </w:r>
                        <w:r>
                          <w:rPr>
                            <w:rFonts w:ascii="宋体"/>
                            <w:sz w:val="16"/>
                          </w:rPr>
                        </w:r>
                      </w:p>
                    </w:tc>
                  </w:tr>
                  <w:tr>
                    <w:trPr>
                      <w:trHeight w:val="545" w:hRule="exact"/>
                    </w:trPr>
                    <w:tc>
                      <w:tcPr>
                        <w:tcW w:w="2381" w:type="dxa"/>
                        <w:gridSpan w:val="2"/>
                        <w:tcBorders>
                          <w:top w:val="nil" w:sz="6" w:space="0" w:color="auto"/>
                          <w:left w:val="nil" w:sz="6" w:space="0" w:color="auto"/>
                          <w:bottom w:val="single" w:sz="28" w:space="0" w:color="950000"/>
                          <w:right w:val="nil" w:sz="6" w:space="0" w:color="auto"/>
                        </w:tcBorders>
                        <w:shd w:val="clear" w:color="auto" w:fill="FAD7C7"/>
                      </w:tcPr>
                      <w:p>
                        <w:pPr>
                          <w:pStyle w:val="TableParagraph"/>
                          <w:spacing w:line="240" w:lineRule="auto" w:before="132"/>
                          <w:ind w:left="85" w:right="0"/>
                          <w:jc w:val="left"/>
                          <w:rPr>
                            <w:rFonts w:ascii="宋体" w:hAnsi="宋体" w:cs="宋体" w:eastAsia="宋体" w:hint="default"/>
                            <w:sz w:val="16"/>
                            <w:szCs w:val="16"/>
                          </w:rPr>
                        </w:pPr>
                        <w:r>
                          <w:rPr>
                            <w:rFonts w:ascii="宋体" w:hAnsi="宋体" w:cs="宋体" w:eastAsia="宋体" w:hint="default"/>
                            <w:sz w:val="16"/>
                            <w:szCs w:val="16"/>
                          </w:rPr>
                          <w:t>中国联通集团（BVI）有限公司</w:t>
                        </w:r>
                      </w:p>
                    </w:tc>
                  </w:tr>
                </w:tbl>
                <w:p>
                  <w:pPr/>
                </w:p>
              </w:txbxContent>
            </v:textbox>
            <w10:wrap type="none"/>
          </v:shape>
        </w:pict>
      </w:r>
      <w:r>
        <w:rPr/>
        <w:pict>
          <v:shape style="position:absolute;margin-left:223.718506pt;margin-top:-37.507164pt;width:124pt;height:107.95pt;mso-position-horizontal-relative:page;mso-position-vertical-relative:paragraph;z-index:50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8"/>
                    <w:gridCol w:w="1309"/>
                    <w:gridCol w:w="808"/>
                  </w:tblGrid>
                  <w:tr>
                    <w:trPr>
                      <w:trHeight w:val="1112" w:hRule="exact"/>
                    </w:trPr>
                    <w:tc>
                      <w:tcPr>
                        <w:tcW w:w="258" w:type="dxa"/>
                        <w:vMerge w:val="restart"/>
                        <w:tcBorders>
                          <w:top w:val="nil" w:sz="6" w:space="0" w:color="auto"/>
                          <w:left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left="-47" w:right="0"/>
                          <w:jc w:val="left"/>
                          <w:rPr>
                            <w:rFonts w:ascii="宋体" w:hAnsi="宋体" w:cs="宋体" w:eastAsia="宋体" w:hint="default"/>
                            <w:sz w:val="16"/>
                            <w:szCs w:val="16"/>
                          </w:rPr>
                        </w:pPr>
                        <w:r>
                          <w:rPr>
                            <w:rFonts w:ascii="宋体"/>
                            <w:w w:val="165"/>
                            <w:sz w:val="16"/>
                          </w:rPr>
                          <w:t>9%</w:t>
                        </w:r>
                        <w:r>
                          <w:rPr>
                            <w:rFonts w:ascii="宋体"/>
                            <w:sz w:val="16"/>
                          </w:rPr>
                        </w:r>
                      </w:p>
                    </w:tc>
                    <w:tc>
                      <w:tcPr>
                        <w:tcW w:w="2117" w:type="dxa"/>
                        <w:gridSpan w:val="2"/>
                        <w:tcBorders>
                          <w:top w:val="nil" w:sz="6" w:space="0" w:color="auto"/>
                          <w:left w:val="dotted" w:sz="4" w:space="0" w:color="9C8758"/>
                          <w:bottom w:val="nil" w:sz="6" w:space="0" w:color="auto"/>
                          <w:right w:val="nil" w:sz="6" w:space="0" w:color="auto"/>
                        </w:tcBorders>
                      </w:tcPr>
                      <w:p>
                        <w:pPr>
                          <w:pStyle w:val="TableParagraph"/>
                          <w:spacing w:line="240" w:lineRule="auto" w:before="118"/>
                          <w:ind w:left="255" w:right="0"/>
                          <w:jc w:val="left"/>
                          <w:rPr>
                            <w:rFonts w:ascii="宋体" w:hAnsi="宋体" w:cs="宋体" w:eastAsia="宋体" w:hint="default"/>
                            <w:sz w:val="16"/>
                            <w:szCs w:val="16"/>
                          </w:rPr>
                        </w:pPr>
                        <w:r>
                          <w:rPr>
                            <w:rFonts w:ascii="宋体"/>
                            <w:w w:val="123"/>
                            <w:sz w:val="16"/>
                          </w:rPr>
                          <w:t>3</w:t>
                        </w:r>
                        <w:r>
                          <w:rPr>
                            <w:rFonts w:ascii="宋体"/>
                            <w:sz w:val="16"/>
                          </w:rPr>
                        </w:r>
                      </w:p>
                    </w:tc>
                  </w:tr>
                  <w:tr>
                    <w:trPr>
                      <w:trHeight w:val="467" w:hRule="exact"/>
                    </w:trPr>
                    <w:tc>
                      <w:tcPr>
                        <w:tcW w:w="258" w:type="dxa"/>
                        <w:vMerge/>
                        <w:tcBorders>
                          <w:left w:val="nil" w:sz="6" w:space="0" w:color="auto"/>
                          <w:bottom w:val="nil" w:sz="6" w:space="0" w:color="auto"/>
                          <w:right w:val="dotted" w:sz="4" w:space="0" w:color="9C8758"/>
                        </w:tcBorders>
                      </w:tcPr>
                      <w:p>
                        <w:pPr/>
                      </w:p>
                    </w:tc>
                    <w:tc>
                      <w:tcPr>
                        <w:tcW w:w="1309" w:type="dxa"/>
                        <w:tcBorders>
                          <w:top w:val="nil" w:sz="6" w:space="0" w:color="auto"/>
                          <w:left w:val="dotted" w:sz="4" w:space="0" w:color="9C8758"/>
                          <w:bottom w:val="nil" w:sz="6" w:space="0" w:color="auto"/>
                          <w:right w:val="dotted" w:sz="4" w:space="0" w:color="9C8758"/>
                        </w:tcBorders>
                      </w:tcPr>
                      <w:p>
                        <w:pPr>
                          <w:pStyle w:val="TableParagraph"/>
                          <w:spacing w:line="240" w:lineRule="auto" w:before="102"/>
                          <w:ind w:left="756" w:right="0"/>
                          <w:jc w:val="left"/>
                          <w:rPr>
                            <w:rFonts w:ascii="宋体" w:hAnsi="宋体" w:cs="宋体" w:eastAsia="宋体" w:hint="default"/>
                            <w:sz w:val="16"/>
                            <w:szCs w:val="16"/>
                          </w:rPr>
                        </w:pPr>
                        <w:r>
                          <w:rPr>
                            <w:rFonts w:ascii="宋体"/>
                            <w:w w:val="120"/>
                            <w:sz w:val="16"/>
                          </w:rPr>
                          <w:t>82.1%</w:t>
                        </w:r>
                        <w:r>
                          <w:rPr>
                            <w:rFonts w:ascii="宋体"/>
                            <w:sz w:val="16"/>
                          </w:rPr>
                        </w:r>
                      </w:p>
                    </w:tc>
                    <w:tc>
                      <w:tcPr>
                        <w:tcW w:w="808" w:type="dxa"/>
                        <w:tcBorders>
                          <w:top w:val="nil" w:sz="6" w:space="0" w:color="auto"/>
                          <w:left w:val="dotted" w:sz="4" w:space="0" w:color="9C8758"/>
                          <w:bottom w:val="nil" w:sz="6" w:space="0" w:color="auto"/>
                          <w:right w:val="nil" w:sz="6" w:space="0" w:color="auto"/>
                        </w:tcBorders>
                      </w:tcPr>
                      <w:p>
                        <w:pPr/>
                      </w:p>
                    </w:tc>
                  </w:tr>
                  <w:tr>
                    <w:trPr>
                      <w:trHeight w:val="545" w:hRule="exact"/>
                    </w:trPr>
                    <w:tc>
                      <w:tcPr>
                        <w:tcW w:w="2375" w:type="dxa"/>
                        <w:gridSpan w:val="3"/>
                        <w:tcBorders>
                          <w:top w:val="nil" w:sz="6" w:space="0" w:color="auto"/>
                          <w:left w:val="nil" w:sz="6" w:space="0" w:color="auto"/>
                          <w:bottom w:val="single" w:sz="28" w:space="0" w:color="950000"/>
                          <w:right w:val="nil" w:sz="6" w:space="0" w:color="auto"/>
                        </w:tcBorders>
                        <w:shd w:val="clear" w:color="auto" w:fill="FAD7C7"/>
                      </w:tcPr>
                      <w:p>
                        <w:pPr>
                          <w:pStyle w:val="TableParagraph"/>
                          <w:spacing w:line="240" w:lineRule="auto" w:before="132"/>
                          <w:ind w:left="240" w:right="0"/>
                          <w:jc w:val="left"/>
                          <w:rPr>
                            <w:rFonts w:ascii="宋体" w:hAnsi="宋体" w:cs="宋体" w:eastAsia="宋体" w:hint="default"/>
                            <w:sz w:val="16"/>
                            <w:szCs w:val="16"/>
                          </w:rPr>
                        </w:pPr>
                        <w:r>
                          <w:rPr>
                            <w:rFonts w:ascii="宋体" w:hAnsi="宋体" w:cs="宋体" w:eastAsia="宋体" w:hint="default"/>
                            <w:sz w:val="16"/>
                            <w:szCs w:val="16"/>
                          </w:rPr>
                          <w:t>中国联通（BVI）有限公司</w:t>
                        </w:r>
                      </w:p>
                    </w:tc>
                  </w:tr>
                </w:tbl>
                <w:p>
                  <w:pPr/>
                </w:p>
              </w:txbxContent>
            </v:textbox>
            <w10:wrap type="none"/>
          </v:shape>
        </w:pict>
      </w:r>
      <w:r>
        <w:rPr>
          <w:rFonts w:ascii="宋体"/>
          <w:sz w:val="16"/>
        </w:rPr>
        <w:t>7.</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line="20" w:lineRule="exact"/>
        <w:ind w:left="2486" w:right="0" w:firstLine="0"/>
        <w:rPr>
          <w:rFonts w:ascii="宋体" w:hAnsi="宋体" w:cs="宋体" w:eastAsia="宋体" w:hint="default"/>
          <w:sz w:val="2"/>
          <w:szCs w:val="2"/>
        </w:rPr>
      </w:pPr>
      <w:r>
        <w:rPr>
          <w:rFonts w:ascii="宋体" w:hAnsi="宋体" w:cs="宋体" w:eastAsia="宋体" w:hint="default"/>
          <w:sz w:val="2"/>
          <w:szCs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hAnsi="宋体" w:cs="宋体" w:eastAsia="宋体" w:hint="default"/>
          <w:sz w:val="2"/>
          <w:szCs w:val="2"/>
        </w:rPr>
      </w:r>
    </w:p>
    <w:p>
      <w:pPr>
        <w:tabs>
          <w:tab w:pos="6314" w:val="left" w:leader="none"/>
        </w:tabs>
        <w:spacing w:line="579" w:lineRule="exact"/>
        <w:ind w:left="5371" w:right="0" w:firstLine="0"/>
        <w:rPr>
          <w:rFonts w:ascii="宋体" w:hAnsi="宋体" w:cs="宋体" w:eastAsia="宋体" w:hint="default"/>
          <w:sz w:val="20"/>
          <w:szCs w:val="20"/>
        </w:rPr>
      </w:pPr>
      <w:r>
        <w:rPr>
          <w:rFonts w:ascii="宋体"/>
          <w:position w:val="35"/>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position w:val="35"/>
          <w:sz w:val="2"/>
        </w:rPr>
      </w:r>
      <w:r>
        <w:rPr>
          <w:rFonts w:ascii="宋体"/>
          <w:position w:val="35"/>
          <w:sz w:val="2"/>
        </w:rPr>
        <w:tab/>
      </w:r>
      <w:r>
        <w:rPr>
          <w:rFonts w:ascii="宋体"/>
          <w:position w:val="-11"/>
          <w:sz w:val="20"/>
        </w:rPr>
        <w:pict>
          <v:group style="width:122.3pt;height:29pt;mso-position-horizontal-relative:char;mso-position-vertical-relative:line" coordorigin="0,0" coordsize="2446,580">
            <v:group style="position:absolute;left:35;top:545;width:2377;height:2" coordorigin="35,545" coordsize="2377,2">
              <v:shape style="position:absolute;left:35;top:545;width:2377;height:2" coordorigin="35,545" coordsize="2377,0" path="m35,545l2411,545e" filled="false" stroked="true" strokeweight="3.453pt" strokecolor="#950000">
                <v:path arrowok="t"/>
              </v:shape>
            </v:group>
            <v:group style="position:absolute;left:35;top:0;width:2376;height:511" coordorigin="35,0" coordsize="2376,511">
              <v:shape style="position:absolute;left:35;top:0;width:2376;height:511" coordorigin="35,0" coordsize="2376,511" path="m35,510l2410,510,2410,0,35,0,35,510xe" filled="true" fillcolor="#fad7c7" stroked="false">
                <v:path arrowok="t"/>
                <v:fill type="solid"/>
              </v:shape>
              <v:shape style="position:absolute;left:35;top:0;width:2376;height:545" type="#_x0000_t202" filled="false" stroked="false">
                <v:textbox inset="0,0,0,0">
                  <w:txbxContent>
                    <w:p>
                      <w:pPr>
                        <w:spacing w:before="132"/>
                        <w:ind w:left="561" w:right="0" w:firstLine="0"/>
                        <w:jc w:val="left"/>
                        <w:rPr>
                          <w:rFonts w:ascii="宋体" w:hAnsi="宋体" w:cs="宋体" w:eastAsia="宋体" w:hint="default"/>
                          <w:sz w:val="16"/>
                          <w:szCs w:val="16"/>
                        </w:rPr>
                      </w:pPr>
                      <w:r>
                        <w:rPr>
                          <w:rFonts w:ascii="宋体" w:hAnsi="宋体" w:cs="宋体" w:eastAsia="宋体" w:hint="default"/>
                          <w:sz w:val="16"/>
                          <w:szCs w:val="16"/>
                        </w:rPr>
                        <w:t>其他公众股东</w:t>
                      </w:r>
                    </w:p>
                  </w:txbxContent>
                </v:textbox>
                <w10:wrap type="none"/>
              </v:shape>
            </v:group>
          </v:group>
        </w:pict>
      </w:r>
      <w:r>
        <w:rPr>
          <w:rFonts w:ascii="宋体"/>
          <w:position w:val="-11"/>
          <w:sz w:val="20"/>
        </w:rPr>
      </w:r>
    </w:p>
    <w:p>
      <w:pPr>
        <w:spacing w:line="240" w:lineRule="auto" w:before="1"/>
        <w:rPr>
          <w:rFonts w:ascii="宋体" w:hAnsi="宋体" w:cs="宋体" w:eastAsia="宋体" w:hint="default"/>
          <w:sz w:val="9"/>
          <w:szCs w:val="9"/>
        </w:rPr>
      </w:pPr>
    </w:p>
    <w:p>
      <w:pPr>
        <w:spacing w:before="37"/>
        <w:ind w:left="2342" w:right="1314" w:firstLine="0"/>
        <w:jc w:val="left"/>
        <w:rPr>
          <w:rFonts w:ascii="宋体" w:hAnsi="宋体" w:cs="宋体" w:eastAsia="宋体" w:hint="default"/>
          <w:sz w:val="16"/>
          <w:szCs w:val="16"/>
        </w:rPr>
      </w:pPr>
      <w:r>
        <w:rPr/>
        <w:pict>
          <v:shape style="position:absolute;margin-left:165.537506pt;margin-top:-4.460022pt;width:228.55pt;height:56.15pt;mso-position-horizontal-relative:page;mso-position-vertical-relative:paragraph;z-index:508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7"/>
                    <w:gridCol w:w="2019"/>
                    <w:gridCol w:w="1945"/>
                    <w:gridCol w:w="186"/>
                  </w:tblGrid>
                  <w:tr>
                    <w:trPr>
                      <w:trHeight w:val="545" w:hRule="exact"/>
                    </w:trPr>
                    <w:tc>
                      <w:tcPr>
                        <w:tcW w:w="317" w:type="dxa"/>
                        <w:tcBorders>
                          <w:top w:val="nil" w:sz="6" w:space="0" w:color="auto"/>
                          <w:left w:val="nil" w:sz="6" w:space="0" w:color="auto"/>
                          <w:bottom w:val="nil" w:sz="6" w:space="0" w:color="auto"/>
                          <w:right w:val="dotted" w:sz="4" w:space="0" w:color="9C8758"/>
                        </w:tcBorders>
                      </w:tcPr>
                      <w:p>
                        <w:pPr>
                          <w:pStyle w:val="TableParagraph"/>
                          <w:spacing w:line="240" w:lineRule="auto" w:before="126"/>
                          <w:ind w:left="-60" w:right="0"/>
                          <w:jc w:val="left"/>
                          <w:rPr>
                            <w:rFonts w:ascii="宋体" w:hAnsi="宋体" w:cs="宋体" w:eastAsia="宋体" w:hint="default"/>
                            <w:sz w:val="16"/>
                            <w:szCs w:val="16"/>
                          </w:rPr>
                        </w:pPr>
                        <w:r>
                          <w:rPr>
                            <w:rFonts w:ascii="宋体"/>
                            <w:w w:val="165"/>
                            <w:sz w:val="16"/>
                          </w:rPr>
                          <w:t>4%</w:t>
                        </w:r>
                        <w:r>
                          <w:rPr>
                            <w:rFonts w:ascii="宋体"/>
                            <w:sz w:val="16"/>
                          </w:rPr>
                        </w:r>
                      </w:p>
                    </w:tc>
                    <w:tc>
                      <w:tcPr>
                        <w:tcW w:w="2019" w:type="dxa"/>
                        <w:tcBorders>
                          <w:top w:val="nil" w:sz="6" w:space="0" w:color="auto"/>
                          <w:left w:val="dotted" w:sz="4" w:space="0" w:color="9C8758"/>
                          <w:bottom w:val="nil" w:sz="6" w:space="0" w:color="auto"/>
                          <w:right w:val="dotted" w:sz="4" w:space="0" w:color="9C8758"/>
                        </w:tcBorders>
                      </w:tcPr>
                      <w:p>
                        <w:pPr>
                          <w:pStyle w:val="TableParagraph"/>
                          <w:spacing w:line="240" w:lineRule="auto" w:before="126"/>
                          <w:ind w:right="96"/>
                          <w:jc w:val="right"/>
                          <w:rPr>
                            <w:rFonts w:ascii="宋体" w:hAnsi="宋体" w:cs="宋体" w:eastAsia="宋体" w:hint="default"/>
                            <w:sz w:val="16"/>
                            <w:szCs w:val="16"/>
                          </w:rPr>
                        </w:pPr>
                        <w:r>
                          <w:rPr>
                            <w:rFonts w:ascii="宋体"/>
                            <w:w w:val="125"/>
                            <w:sz w:val="16"/>
                          </w:rPr>
                          <w:t>53.5%</w:t>
                        </w:r>
                        <w:r>
                          <w:rPr>
                            <w:rFonts w:ascii="宋体"/>
                            <w:sz w:val="16"/>
                          </w:rPr>
                        </w:r>
                      </w:p>
                    </w:tc>
                    <w:tc>
                      <w:tcPr>
                        <w:tcW w:w="1945" w:type="dxa"/>
                        <w:tcBorders>
                          <w:top w:val="nil" w:sz="6" w:space="0" w:color="auto"/>
                          <w:left w:val="dotted" w:sz="4" w:space="0" w:color="9C8758"/>
                          <w:bottom w:val="nil" w:sz="6" w:space="0" w:color="auto"/>
                          <w:right w:val="dotted" w:sz="4" w:space="0" w:color="9C8758"/>
                        </w:tcBorders>
                      </w:tcPr>
                      <w:p>
                        <w:pPr>
                          <w:pStyle w:val="TableParagraph"/>
                          <w:spacing w:line="240" w:lineRule="auto" w:before="123"/>
                          <w:ind w:right="87"/>
                          <w:jc w:val="right"/>
                          <w:rPr>
                            <w:rFonts w:ascii="宋体" w:hAnsi="宋体" w:cs="宋体" w:eastAsia="宋体" w:hint="default"/>
                            <w:sz w:val="16"/>
                            <w:szCs w:val="16"/>
                          </w:rPr>
                        </w:pPr>
                        <w:r>
                          <w:rPr>
                            <w:rFonts w:ascii="宋体"/>
                            <w:w w:val="120"/>
                            <w:sz w:val="16"/>
                          </w:rPr>
                          <w:t>20.1%</w:t>
                        </w:r>
                        <w:r>
                          <w:rPr>
                            <w:rFonts w:ascii="宋体"/>
                            <w:sz w:val="16"/>
                          </w:rPr>
                        </w:r>
                      </w:p>
                    </w:tc>
                    <w:tc>
                      <w:tcPr>
                        <w:tcW w:w="18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1"/>
                            <w:szCs w:val="21"/>
                          </w:rPr>
                        </w:pPr>
                      </w:p>
                    </w:tc>
                  </w:tr>
                  <w:tr>
                    <w:trPr>
                      <w:trHeight w:val="544" w:hRule="exact"/>
                    </w:trPr>
                    <w:tc>
                      <w:tcPr>
                        <w:tcW w:w="4467" w:type="dxa"/>
                        <w:gridSpan w:val="4"/>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34"/>
                          <w:ind w:left="780"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中国联合网络通信（香港）股份有限公司</w:t>
                        </w:r>
                        <w:r>
                          <w:rPr>
                            <w:rFonts w:ascii="宋体" w:hAnsi="宋体" w:cs="宋体" w:eastAsia="宋体" w:hint="default"/>
                            <w:sz w:val="16"/>
                            <w:szCs w:val="16"/>
                          </w:rPr>
                        </w:r>
                      </w:p>
                    </w:tc>
                  </w:tr>
                </w:tbl>
                <w:p>
                  <w:pPr/>
                </w:p>
              </w:txbxContent>
            </v:textbox>
            <w10:wrap type="none"/>
          </v:shape>
        </w:pict>
      </w:r>
      <w:r>
        <w:rPr>
          <w:rFonts w:ascii="宋体"/>
          <w:sz w:val="16"/>
        </w:rPr>
        <w:t>26.</w:t>
      </w:r>
    </w:p>
    <w:p>
      <w:pPr>
        <w:spacing w:line="240" w:lineRule="auto" w:before="2"/>
        <w:rPr>
          <w:rFonts w:ascii="宋体" w:hAnsi="宋体" w:cs="宋体" w:eastAsia="宋体" w:hint="default"/>
          <w:sz w:val="15"/>
          <w:szCs w:val="15"/>
        </w:rPr>
      </w:pPr>
    </w:p>
    <w:p>
      <w:pPr>
        <w:tabs>
          <w:tab w:pos="4976" w:val="left" w:leader="none"/>
          <w:tab w:pos="6922" w:val="left" w:leader="none"/>
        </w:tabs>
        <w:spacing w:line="20" w:lineRule="exact"/>
        <w:ind w:left="2958" w:right="0" w:firstLine="0"/>
        <w:rPr>
          <w:rFonts w:ascii="宋体" w:hAnsi="宋体" w:cs="宋体" w:eastAsia="宋体" w:hint="default"/>
          <w:sz w:val="2"/>
          <w:szCs w:val="2"/>
        </w:rPr>
      </w:pP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tbl>
      <w:tblPr>
        <w:tblW w:w="0" w:type="auto"/>
        <w:jc w:val="left"/>
        <w:tblInd w:w="2607" w:type="dxa"/>
        <w:tblLayout w:type="fixed"/>
        <w:tblCellMar>
          <w:top w:w="0" w:type="dxa"/>
          <w:left w:w="0" w:type="dxa"/>
          <w:bottom w:w="0" w:type="dxa"/>
          <w:right w:w="0" w:type="dxa"/>
        </w:tblCellMar>
        <w:tblLook w:val="01E0"/>
      </w:tblPr>
      <w:tblGrid>
        <w:gridCol w:w="2332"/>
        <w:gridCol w:w="2139"/>
      </w:tblGrid>
      <w:tr>
        <w:trPr>
          <w:trHeight w:val="493" w:hRule="exact"/>
        </w:trPr>
        <w:tc>
          <w:tcPr>
            <w:tcW w:w="2332" w:type="dxa"/>
            <w:tcBorders>
              <w:top w:val="nil" w:sz="6" w:space="0" w:color="auto"/>
              <w:left w:val="nil" w:sz="6" w:space="0" w:color="auto"/>
              <w:bottom w:val="nil" w:sz="6" w:space="0" w:color="auto"/>
              <w:right w:val="dotted" w:sz="4" w:space="0" w:color="9C8758"/>
            </w:tcBorders>
          </w:tcPr>
          <w:p>
            <w:pPr>
              <w:pStyle w:val="TableParagraph"/>
              <w:spacing w:line="240" w:lineRule="auto" w:before="122"/>
              <w:ind w:right="113"/>
              <w:jc w:val="right"/>
              <w:rPr>
                <w:rFonts w:ascii="宋体" w:hAnsi="宋体" w:cs="宋体" w:eastAsia="宋体" w:hint="default"/>
                <w:sz w:val="16"/>
                <w:szCs w:val="16"/>
              </w:rPr>
            </w:pPr>
            <w:r>
              <w:rPr>
                <w:rFonts w:ascii="宋体"/>
                <w:w w:val="135"/>
                <w:sz w:val="16"/>
              </w:rPr>
              <w:t>100%</w:t>
            </w:r>
            <w:r>
              <w:rPr>
                <w:rFonts w:ascii="宋体"/>
                <w:sz w:val="16"/>
              </w:rPr>
            </w:r>
          </w:p>
        </w:tc>
        <w:tc>
          <w:tcPr>
            <w:tcW w:w="2139"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7"/>
                <w:szCs w:val="17"/>
              </w:rPr>
            </w:pPr>
          </w:p>
        </w:tc>
      </w:tr>
      <w:tr>
        <w:trPr>
          <w:trHeight w:val="545" w:hRule="exact"/>
        </w:trPr>
        <w:tc>
          <w:tcPr>
            <w:tcW w:w="4471" w:type="dxa"/>
            <w:gridSpan w:val="2"/>
            <w:tcBorders>
              <w:top w:val="nil" w:sz="6" w:space="0" w:color="auto"/>
              <w:left w:val="nil" w:sz="6" w:space="0" w:color="auto"/>
              <w:bottom w:val="single" w:sz="28" w:space="0" w:color="950000"/>
              <w:right w:val="nil" w:sz="6" w:space="0" w:color="auto"/>
            </w:tcBorders>
            <w:shd w:val="clear" w:color="auto" w:fill="D7000F"/>
          </w:tcPr>
          <w:p>
            <w:pPr>
              <w:pStyle w:val="TableParagraph"/>
              <w:spacing w:line="20" w:lineRule="exact"/>
              <w:ind w:left="2327" w:right="0"/>
              <w:jc w:val="left"/>
              <w:rPr>
                <w:rFonts w:ascii="宋体" w:hAnsi="宋体" w:cs="宋体" w:eastAsia="宋体" w:hint="default"/>
                <w:sz w:val="2"/>
                <w:szCs w:val="2"/>
              </w:rPr>
            </w:pPr>
            <w:r>
              <w:rPr>
                <w:rFonts w:ascii="宋体" w:hAnsi="宋体" w:cs="宋体" w:eastAsia="宋体" w:hint="default"/>
                <w:sz w:val="2"/>
                <w:szCs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hAnsi="宋体" w:cs="宋体" w:eastAsia="宋体" w:hint="default"/>
                <w:sz w:val="2"/>
                <w:szCs w:val="2"/>
              </w:rPr>
            </w:r>
          </w:p>
          <w:p>
            <w:pPr>
              <w:pStyle w:val="TableParagraph"/>
              <w:spacing w:line="240" w:lineRule="auto" w:before="116"/>
              <w:ind w:left="1271"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中国联合网络通信有限公司</w:t>
            </w:r>
            <w:r>
              <w:rPr>
                <w:rFonts w:ascii="宋体" w:hAnsi="宋体" w:cs="宋体" w:eastAsia="宋体" w:hint="default"/>
                <w:sz w:val="16"/>
                <w:szCs w:val="16"/>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1"/>
          <w:szCs w:val="21"/>
        </w:rPr>
      </w:pPr>
    </w:p>
    <w:p>
      <w:pPr>
        <w:spacing w:before="43"/>
        <w:ind w:left="701" w:right="1314" w:firstLine="0"/>
        <w:jc w:val="left"/>
        <w:rPr>
          <w:rFonts w:ascii="宋体" w:hAnsi="宋体" w:cs="宋体" w:eastAsia="宋体" w:hint="default"/>
          <w:sz w:val="16"/>
          <w:szCs w:val="16"/>
        </w:rPr>
      </w:pPr>
      <w:r>
        <w:rPr>
          <w:rFonts w:ascii="宋体" w:hAnsi="宋体" w:cs="宋体" w:eastAsia="宋体" w:hint="default"/>
          <w:sz w:val="16"/>
          <w:szCs w:val="16"/>
        </w:rPr>
        <w:t>注：</w:t>
      </w:r>
    </w:p>
    <w:p>
      <w:pPr>
        <w:spacing w:before="70"/>
        <w:ind w:left="701" w:right="1314" w:firstLine="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3"/>
          <w:w w:val="105"/>
          <w:sz w:val="16"/>
          <w:szCs w:val="16"/>
        </w:rPr>
        <w:t> </w:t>
      </w:r>
      <w:r>
        <w:rPr>
          <w:rFonts w:ascii="宋体" w:hAnsi="宋体" w:cs="宋体" w:eastAsia="宋体" w:hint="default"/>
          <w:w w:val="105"/>
          <w:sz w:val="16"/>
          <w:szCs w:val="16"/>
        </w:rPr>
        <w:t>数据截至</w:t>
      </w:r>
      <w:r>
        <w:rPr>
          <w:rFonts w:ascii="宋体" w:hAnsi="宋体" w:cs="宋体" w:eastAsia="宋体" w:hint="default"/>
          <w:spacing w:val="-53"/>
          <w:w w:val="105"/>
          <w:sz w:val="16"/>
          <w:szCs w:val="16"/>
        </w:rPr>
        <w:t> </w:t>
      </w:r>
      <w:r>
        <w:rPr>
          <w:rFonts w:ascii="宋体" w:hAnsi="宋体" w:cs="宋体" w:eastAsia="宋体" w:hint="default"/>
          <w:w w:val="105"/>
          <w:sz w:val="16"/>
          <w:szCs w:val="16"/>
        </w:rPr>
        <w:t>2018</w:t>
      </w:r>
      <w:r>
        <w:rPr>
          <w:rFonts w:ascii="宋体" w:hAnsi="宋体" w:cs="宋体" w:eastAsia="宋体" w:hint="default"/>
          <w:spacing w:val="-54"/>
          <w:w w:val="105"/>
          <w:sz w:val="16"/>
          <w:szCs w:val="16"/>
        </w:rPr>
        <w:t> </w:t>
      </w:r>
      <w:r>
        <w:rPr>
          <w:rFonts w:ascii="宋体" w:hAnsi="宋体" w:cs="宋体" w:eastAsia="宋体" w:hint="default"/>
          <w:w w:val="105"/>
          <w:sz w:val="16"/>
          <w:szCs w:val="16"/>
        </w:rPr>
        <w:t>年</w:t>
      </w:r>
      <w:r>
        <w:rPr>
          <w:rFonts w:ascii="宋体" w:hAnsi="宋体" w:cs="宋体" w:eastAsia="宋体" w:hint="default"/>
          <w:spacing w:val="-53"/>
          <w:w w:val="105"/>
          <w:sz w:val="16"/>
          <w:szCs w:val="16"/>
        </w:rPr>
        <w:t> </w:t>
      </w:r>
      <w:r>
        <w:rPr>
          <w:rFonts w:ascii="宋体" w:hAnsi="宋体" w:cs="宋体" w:eastAsia="宋体" w:hint="default"/>
          <w:w w:val="105"/>
          <w:sz w:val="16"/>
          <w:szCs w:val="16"/>
        </w:rPr>
        <w:t>12</w:t>
      </w:r>
      <w:r>
        <w:rPr>
          <w:rFonts w:ascii="宋体" w:hAnsi="宋体" w:cs="宋体" w:eastAsia="宋体" w:hint="default"/>
          <w:spacing w:val="-54"/>
          <w:w w:val="105"/>
          <w:sz w:val="16"/>
          <w:szCs w:val="16"/>
        </w:rPr>
        <w:t> </w:t>
      </w:r>
      <w:r>
        <w:rPr>
          <w:rFonts w:ascii="宋体" w:hAnsi="宋体" w:cs="宋体" w:eastAsia="宋体" w:hint="default"/>
          <w:w w:val="105"/>
          <w:sz w:val="16"/>
          <w:szCs w:val="16"/>
        </w:rPr>
        <w:t>月</w:t>
      </w:r>
      <w:r>
        <w:rPr>
          <w:rFonts w:ascii="宋体" w:hAnsi="宋体" w:cs="宋体" w:eastAsia="宋体" w:hint="default"/>
          <w:spacing w:val="-53"/>
          <w:w w:val="105"/>
          <w:sz w:val="16"/>
          <w:szCs w:val="16"/>
        </w:rPr>
        <w:t> </w:t>
      </w:r>
      <w:r>
        <w:rPr>
          <w:rFonts w:ascii="宋体" w:hAnsi="宋体" w:cs="宋体" w:eastAsia="宋体" w:hint="default"/>
          <w:w w:val="105"/>
          <w:sz w:val="16"/>
          <w:szCs w:val="16"/>
        </w:rPr>
        <w:t>31</w:t>
      </w:r>
      <w:r>
        <w:rPr>
          <w:rFonts w:ascii="宋体" w:hAnsi="宋体" w:cs="宋体" w:eastAsia="宋体" w:hint="default"/>
          <w:spacing w:val="-54"/>
          <w:w w:val="105"/>
          <w:sz w:val="16"/>
          <w:szCs w:val="16"/>
        </w:rPr>
        <w:t> </w:t>
      </w:r>
      <w:r>
        <w:rPr>
          <w:rFonts w:ascii="宋体" w:hAnsi="宋体" w:cs="宋体" w:eastAsia="宋体" w:hint="default"/>
          <w:w w:val="105"/>
          <w:sz w:val="16"/>
          <w:szCs w:val="16"/>
        </w:rPr>
        <w:t>日；</w:t>
      </w:r>
    </w:p>
    <w:p>
      <w:pPr>
        <w:spacing w:before="70"/>
        <w:ind w:left="701" w:right="1314" w:firstLine="0"/>
        <w:jc w:val="left"/>
        <w:rPr>
          <w:rFonts w:ascii="宋体" w:hAnsi="宋体" w:cs="宋体" w:eastAsia="宋体" w:hint="default"/>
          <w:sz w:val="16"/>
          <w:szCs w:val="16"/>
        </w:rPr>
      </w:pPr>
      <w:r>
        <w:rPr>
          <w:rFonts w:ascii="宋体" w:hAnsi="宋体" w:cs="宋体" w:eastAsia="宋体" w:hint="default"/>
          <w:w w:val="95"/>
          <w:sz w:val="16"/>
          <w:szCs w:val="16"/>
        </w:rPr>
        <w:t>2.    </w:t>
      </w:r>
      <w:r>
        <w:rPr>
          <w:rFonts w:ascii="宋体" w:hAnsi="宋体" w:cs="宋体" w:eastAsia="宋体" w:hint="default"/>
          <w:spacing w:val="1"/>
          <w:w w:val="95"/>
          <w:sz w:val="16"/>
          <w:szCs w:val="16"/>
        </w:rPr>
        <w:t> </w:t>
      </w:r>
      <w:r>
        <w:rPr>
          <w:rFonts w:ascii="宋体" w:hAnsi="宋体" w:cs="宋体" w:eastAsia="宋体" w:hint="default"/>
          <w:w w:val="95"/>
          <w:sz w:val="16"/>
          <w:szCs w:val="16"/>
        </w:rPr>
        <w:t>战略投资者持有本公司股份指混合所有制改革引入的战略投资者因非公开发行及老股转让取得的股份；</w:t>
      </w:r>
    </w:p>
    <w:p>
      <w:pPr>
        <w:spacing w:line="321" w:lineRule="auto" w:before="70"/>
        <w:ind w:left="701" w:right="1331" w:firstLine="0"/>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69"/>
          <w:sz w:val="16"/>
          <w:szCs w:val="16"/>
        </w:rPr>
        <w:t> </w:t>
      </w:r>
      <w:r>
        <w:rPr>
          <w:rFonts w:ascii="宋体" w:hAnsi="宋体" w:cs="宋体" w:eastAsia="宋体" w:hint="default"/>
          <w:sz w:val="16"/>
          <w:szCs w:val="16"/>
        </w:rPr>
        <w:t>中国联通集团（BVI）有限公司持有股份中不包含其作为受托人代一中国籍股东持有的</w:t>
      </w:r>
      <w:r>
        <w:rPr>
          <w:rFonts w:ascii="宋体" w:hAnsi="宋体" w:cs="宋体" w:eastAsia="宋体" w:hint="default"/>
          <w:spacing w:val="-69"/>
          <w:sz w:val="16"/>
          <w:szCs w:val="16"/>
        </w:rPr>
        <w:t> </w:t>
      </w:r>
      <w:r>
        <w:rPr>
          <w:rFonts w:ascii="宋体" w:hAnsi="宋体" w:cs="宋体" w:eastAsia="宋体" w:hint="default"/>
          <w:sz w:val="16"/>
          <w:szCs w:val="16"/>
        </w:rPr>
        <w:t>225,722,791</w:t>
      </w:r>
      <w:r>
        <w:rPr>
          <w:rFonts w:ascii="宋体" w:hAnsi="宋体" w:cs="宋体" w:eastAsia="宋体" w:hint="default"/>
          <w:spacing w:val="-69"/>
          <w:sz w:val="16"/>
          <w:szCs w:val="16"/>
        </w:rPr>
        <w:t> </w:t>
      </w:r>
      <w:r>
        <w:rPr>
          <w:rFonts w:ascii="宋体" w:hAnsi="宋体" w:cs="宋体" w:eastAsia="宋体" w:hint="default"/>
          <w:sz w:val="16"/>
          <w:szCs w:val="16"/>
        </w:rPr>
        <w:t>股中国联合网络通信（香港）</w:t>
      </w:r>
      <w:r>
        <w:rPr>
          <w:rFonts w:ascii="宋体" w:hAnsi="宋体" w:cs="宋体" w:eastAsia="宋体" w:hint="default"/>
          <w:sz w:val="16"/>
          <w:szCs w:val="16"/>
        </w:rPr>
        <w:t> 股份有限公司股份。</w:t>
      </w: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5"/>
          <w:szCs w:val="15"/>
        </w:rPr>
      </w:pPr>
    </w:p>
    <w:p>
      <w:pPr>
        <w:spacing w:before="0"/>
        <w:ind w:left="131" w:right="9412" w:firstLine="0"/>
        <w:jc w:val="center"/>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实际控制人情况</w:t>
      </w:r>
    </w:p>
    <w:p>
      <w:pPr>
        <w:spacing w:line="240" w:lineRule="auto" w:before="11"/>
        <w:rPr>
          <w:rFonts w:ascii="宋体" w:hAnsi="宋体" w:cs="宋体" w:eastAsia="宋体" w:hint="default"/>
          <w:sz w:val="12"/>
          <w:szCs w:val="12"/>
        </w:rPr>
      </w:pPr>
    </w:p>
    <w:p>
      <w:pPr>
        <w:pStyle w:val="BodyText"/>
        <w:spacing w:line="240" w:lineRule="auto"/>
        <w:ind w:left="131" w:right="9798"/>
        <w:jc w:val="center"/>
        <w:rPr>
          <w:rFonts w:ascii="宋体" w:hAnsi="宋体" w:cs="宋体" w:eastAsia="宋体" w:hint="default"/>
        </w:rPr>
      </w:pPr>
      <w:r>
        <w:rPr>
          <w:rFonts w:ascii="宋体" w:hAnsi="宋体" w:cs="宋体" w:eastAsia="宋体" w:hint="default"/>
          <w:color w:val="D7000F"/>
          <w:w w:val="95"/>
        </w:rPr>
        <w:t>1.</w:t>
      </w:r>
      <w:r>
        <w:rPr>
          <w:rFonts w:ascii="宋体" w:hAnsi="宋体" w:cs="宋体" w:eastAsia="宋体" w:hint="default"/>
          <w:color w:val="D7000F"/>
          <w:spacing w:val="-44"/>
          <w:w w:val="95"/>
        </w:rPr>
        <w:t> </w:t>
      </w:r>
      <w:r>
        <w:rPr>
          <w:rFonts w:ascii="宋体" w:hAnsi="宋体" w:cs="宋体" w:eastAsia="宋体" w:hint="default"/>
          <w:color w:val="D7000F"/>
          <w:w w:val="95"/>
        </w:rPr>
        <w:t>法人</w:t>
      </w:r>
      <w:r>
        <w:rPr>
          <w:rFonts w:ascii="宋体" w:hAnsi="宋体" w:cs="宋体" w:eastAsia="宋体" w:hint="default"/>
          <w:w w:val="95"/>
        </w:rPr>
      </w:r>
    </w:p>
    <w:p>
      <w:pPr>
        <w:spacing w:line="240" w:lineRule="auto" w:before="10"/>
        <w:rPr>
          <w:rFonts w:ascii="宋体" w:hAnsi="宋体" w:cs="宋体" w:eastAsia="宋体" w:hint="default"/>
          <w:sz w:val="15"/>
          <w:szCs w:val="15"/>
        </w:rPr>
      </w:pPr>
    </w:p>
    <w:p>
      <w:pPr>
        <w:spacing w:line="40" w:lineRule="exact"/>
        <w:ind w:left="4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2410;height:2" coordorigin="20,20" coordsize="2410,2">
              <v:shape style="position:absolute;left:20;top:20;width:2410;height:2" coordorigin="20,20" coordsize="2410,0" path="m20,20l2429,20e" filled="false" stroked="true" strokeweight="2pt" strokecolor="#9c8758">
                <v:path arrowok="t"/>
              </v:shape>
            </v:group>
            <v:group style="position:absolute;left:2429;top:20;width:6889;height:2" coordorigin="2429,20" coordsize="6889,2">
              <v:shape style="position:absolute;left:2429;top:20;width:6889;height:2" coordorigin="2429,20" coordsize="6889,0" path="m2429,20l9318,20e" filled="false" stroked="true" strokeweight="2pt" strokecolor="#9c8758">
                <v:path arrowok="t"/>
              </v:shape>
            </v:group>
          </v:group>
        </w:pict>
      </w:r>
      <w:r>
        <w:rPr>
          <w:rFonts w:ascii="宋体" w:hAnsi="宋体" w:cs="宋体" w:eastAsia="宋体" w:hint="default"/>
          <w:position w:val="0"/>
          <w:sz w:val="4"/>
          <w:szCs w:val="4"/>
        </w:rPr>
      </w:r>
    </w:p>
    <w:p>
      <w:pPr>
        <w:tabs>
          <w:tab w:pos="2984" w:val="left" w:leader="none"/>
        </w:tabs>
        <w:spacing w:before="100"/>
        <w:ind w:left="575" w:right="1314" w:firstLine="0"/>
        <w:jc w:val="left"/>
        <w:rPr>
          <w:rFonts w:ascii="宋体" w:hAnsi="宋体" w:cs="宋体" w:eastAsia="宋体" w:hint="default"/>
          <w:sz w:val="16"/>
          <w:szCs w:val="16"/>
        </w:rPr>
      </w:pPr>
      <w:r>
        <w:rPr>
          <w:rFonts w:ascii="宋体" w:hAnsi="宋体" w:cs="宋体" w:eastAsia="宋体" w:hint="default"/>
          <w:sz w:val="16"/>
          <w:szCs w:val="16"/>
        </w:rPr>
        <w:t>名称</w:t>
        <w:tab/>
      </w:r>
      <w:r>
        <w:rPr>
          <w:rFonts w:ascii="宋体" w:hAnsi="宋体" w:cs="宋体" w:eastAsia="宋体" w:hint="default"/>
          <w:sz w:val="16"/>
          <w:szCs w:val="16"/>
        </w:rPr>
        <w:t>国务院国有资产监督管理委员会</w:t>
      </w:r>
    </w:p>
    <w:p>
      <w:pPr>
        <w:spacing w:line="240" w:lineRule="auto" w:before="8"/>
        <w:rPr>
          <w:rFonts w:ascii="宋体" w:hAnsi="宋体" w:cs="宋体" w:eastAsia="宋体" w:hint="default"/>
          <w:sz w:val="11"/>
          <w:szCs w:val="11"/>
        </w:rPr>
      </w:pPr>
    </w:p>
    <w:p>
      <w:pPr>
        <w:spacing w:line="20" w:lineRule="exact"/>
        <w:ind w:left="4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2410;height:2" coordorigin="5,5" coordsize="2410,2">
              <v:shape style="position:absolute;left:5;top:5;width:2410;height:2" coordorigin="5,5" coordsize="2410,0" path="m5,5l2414,5e" filled="false" stroked="true" strokeweight=".5pt" strokecolor="#000000">
                <v:path arrowok="t"/>
              </v:shape>
            </v:group>
            <v:group style="position:absolute;left:2414;top:5;width:6889;height:2" coordorigin="2414,5" coordsize="6889,2">
              <v:shape style="position:absolute;left:2414;top:5;width:6889;height:2" coordorigin="2414,5" coordsize="6889,0" path="m2414,5l9303,5e" filled="false" stroked="true" strokeweight=".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9"/>
          <w:szCs w:val="9"/>
        </w:rPr>
      </w:pPr>
    </w:p>
    <w:p>
      <w:pPr>
        <w:pStyle w:val="BodyText"/>
        <w:spacing w:line="240" w:lineRule="auto" w:before="31"/>
        <w:ind w:left="490" w:right="1314"/>
        <w:jc w:val="left"/>
        <w:rPr>
          <w:rFonts w:ascii="宋体" w:hAnsi="宋体" w:cs="宋体" w:eastAsia="宋体" w:hint="default"/>
        </w:rPr>
      </w:pPr>
      <w:r>
        <w:rPr>
          <w:rFonts w:ascii="宋体" w:hAnsi="宋体" w:cs="宋体" w:eastAsia="宋体" w:hint="default"/>
        </w:rPr>
        <w:t>本公司的控股股东为联通集团，本公司的实际最终控制人为国务院国有资产监督管理委员会。</w:t>
      </w:r>
    </w:p>
    <w:p>
      <w:pPr>
        <w:spacing w:after="0" w:line="240" w:lineRule="auto"/>
        <w:jc w:val="left"/>
        <w:rPr>
          <w:rFonts w:ascii="宋体" w:hAnsi="宋体" w:cs="宋体" w:eastAsia="宋体" w:hint="default"/>
        </w:rPr>
        <w:sectPr>
          <w:headerReference w:type="even" r:id="rId172"/>
          <w:footerReference w:type="even" r:id="rId173"/>
          <w:footerReference w:type="default" r:id="rId174"/>
          <w:pgSz w:w="11910" w:h="16160"/>
          <w:pgMar w:header="1528" w:footer="1538" w:top="2220" w:bottom="1720" w:left="700" w:right="0"/>
        </w:sectPr>
      </w:pPr>
    </w:p>
    <w:p>
      <w:pPr>
        <w:spacing w:line="2094" w:lineRule="exact"/>
        <w:ind w:left="0" w:right="0" w:firstLine="0"/>
        <w:rPr>
          <w:rFonts w:ascii="宋体" w:hAnsi="宋体" w:cs="宋体" w:eastAsia="宋体" w:hint="default"/>
          <w:sz w:val="20"/>
          <w:szCs w:val="20"/>
        </w:rPr>
      </w:pPr>
      <w:r>
        <w:rPr>
          <w:rFonts w:ascii="宋体" w:hAnsi="宋体" w:cs="宋体" w:eastAsia="宋体" w:hint="default"/>
          <w:position w:val="-41"/>
          <w:sz w:val="20"/>
          <w:szCs w:val="20"/>
        </w:rPr>
        <w:pict>
          <v:group style="width:483.25pt;height:104.75pt;mso-position-horizontal-relative:char;mso-position-vertical-relative:line" coordorigin="0,0" coordsize="9665,2095">
            <v:shape style="position:absolute;left:5510;top:907;width:188;height:188" type="#_x0000_t75" stroked="false">
              <v:imagedata r:id="rId143" o:title=""/>
            </v:shape>
            <v:group style="position:absolute;left:7077;top:0;width:2588;height:738" coordorigin="7077,0" coordsize="2588,738">
              <v:shape style="position:absolute;left:7077;top:0;width:2588;height:738" coordorigin="7077,0" coordsize="2588,738" path="m9370,737l7077,737,7371,0,9664,0,9370,737xe" filled="true" fillcolor="#d7000f" stroked="false">
                <v:path arrowok="t"/>
                <v:fill type="solid"/>
              </v:shape>
            </v:group>
            <v:group style="position:absolute;left:0;top:0;width:3722;height:522" coordorigin="0,0" coordsize="3722,522">
              <v:shape style="position:absolute;left:0;top:0;width:3722;height:522" coordorigin="0,0" coordsize="3722,522" path="m3514,521l0,521,0,0,3722,0,3514,521xe" filled="true" fillcolor="#9c8758" stroked="false">
                <v:path arrowok="t"/>
                <v:fill type="solid"/>
              </v:shape>
            </v:group>
            <v:group style="position:absolute;left:0;top:0;width:4072;height:1542" coordorigin="0,0" coordsize="4072,1542">
              <v:shape style="position:absolute;left:0;top:0;width:4072;height:1542" coordorigin="0,0" coordsize="4072,1542" path="m3457,1542l0,1542,0,0,4072,0,3457,1542xe" filled="true" fillcolor="#8e9090" stroked="false">
                <v:path arrowok="t"/>
                <v:fill type="solid"/>
              </v:shape>
            </v:group>
            <v:group style="position:absolute;left:0;top:797;width:7481;height:1299" coordorigin="0,797" coordsize="7481,1299">
              <v:shape style="position:absolute;left:0;top:797;width:7481;height:1299" coordorigin="0,797" coordsize="7481,1299" path="m0,2095l7481,2095,7481,797,0,797,0,2095xe" filled="true" fillcolor="#ffffff" stroked="false">
                <v:path arrowok="t"/>
                <v:fill type="solid"/>
              </v:shape>
            </v:group>
          </v:group>
        </w:pict>
      </w:r>
      <w:r>
        <w:rPr>
          <w:rFonts w:ascii="宋体" w:hAnsi="宋体" w:cs="宋体" w:eastAsia="宋体" w:hint="default"/>
          <w:position w:val="-41"/>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pStyle w:val="BodyText"/>
        <w:spacing w:line="240" w:lineRule="auto" w:before="31"/>
        <w:ind w:left="1757" w:right="764"/>
        <w:jc w:val="left"/>
        <w:rPr>
          <w:rFonts w:ascii="宋体" w:hAnsi="宋体" w:cs="宋体" w:eastAsia="宋体" w:hint="default"/>
        </w:rPr>
      </w:pPr>
      <w:r>
        <w:rPr/>
        <w:pict>
          <v:group style="position:absolute;margin-left:456.378296pt;margin-top:-67.958107pt;width:139.4pt;height:9.4pt;mso-position-horizontal-relative:page;mso-position-vertical-relative:paragraph;z-index:-964264" coordorigin="9128,-1359" coordsize="2788,188">
            <v:shape style="position:absolute;left:9128;top:-1359;width:188;height:188" type="#_x0000_t75" stroked="false">
              <v:imagedata r:id="rId177" o:title=""/>
            </v:shape>
            <v:group style="position:absolute;left:9245;top:-1265;width:2661;height:2" coordorigin="9245,-1265" coordsize="2661,2">
              <v:shape style="position:absolute;left:9245;top:-1265;width:2661;height:2" coordorigin="9245,-1265" coordsize="2661,0" path="m9245,-1265l11906,-1265e" filled="false" stroked="true" strokeweight=".956pt" strokecolor="#9c8758">
                <v:path arrowok="t"/>
              </v:shape>
            </v:group>
            <w10:wrap type="none"/>
          </v:group>
        </w:pict>
      </w:r>
      <w:r>
        <w:rPr>
          <w:rFonts w:ascii="宋体" w:hAnsi="宋体" w:cs="宋体" w:eastAsia="宋体" w:hint="default"/>
          <w:color w:val="D7000F"/>
          <w:w w:val="95"/>
        </w:rPr>
        <w:t>2. </w:t>
      </w:r>
      <w:r>
        <w:rPr>
          <w:rFonts w:ascii="宋体" w:hAnsi="宋体" w:cs="宋体" w:eastAsia="宋体" w:hint="default"/>
          <w:color w:val="D7000F"/>
          <w:spacing w:val="50"/>
          <w:w w:val="95"/>
        </w:rPr>
        <w:t> </w:t>
      </w:r>
      <w:r>
        <w:rPr>
          <w:rFonts w:ascii="宋体" w:hAnsi="宋体" w:cs="宋体" w:eastAsia="宋体" w:hint="default"/>
          <w:color w:val="D7000F"/>
          <w:w w:val="95"/>
        </w:rPr>
        <w:t>公司与实际控制人之间的产权及控制关系的方框图</w:t>
      </w:r>
      <w:r>
        <w:rPr>
          <w:rFonts w:ascii="宋体" w:hAnsi="宋体" w:cs="宋体" w:eastAsia="宋体" w:hint="default"/>
          <w:w w:val="95"/>
        </w:rPr>
      </w:r>
    </w:p>
    <w:p>
      <w:pPr>
        <w:spacing w:line="240" w:lineRule="auto" w:before="13"/>
        <w:rPr>
          <w:rFonts w:ascii="宋体" w:hAnsi="宋体" w:cs="宋体" w:eastAsia="宋体" w:hint="default"/>
          <w:sz w:val="17"/>
          <w:szCs w:val="17"/>
        </w:rPr>
      </w:pPr>
    </w:p>
    <w:p>
      <w:pPr>
        <w:spacing w:line="575" w:lineRule="exact"/>
        <w:ind w:left="2653" w:right="0" w:firstLine="0"/>
        <w:rPr>
          <w:rFonts w:ascii="宋体" w:hAnsi="宋体" w:cs="宋体" w:eastAsia="宋体" w:hint="default"/>
          <w:sz w:val="20"/>
          <w:szCs w:val="20"/>
        </w:rPr>
      </w:pPr>
      <w:r>
        <w:rPr>
          <w:rFonts w:ascii="宋体" w:hAnsi="宋体" w:cs="宋体" w:eastAsia="宋体" w:hint="default"/>
          <w:position w:val="-11"/>
          <w:sz w:val="20"/>
          <w:szCs w:val="20"/>
        </w:rPr>
        <w:pict>
          <v:group style="width:192.25pt;height:28.8pt;mso-position-horizontal-relative:char;mso-position-vertical-relative:line" coordorigin="0,0" coordsize="3845,576">
            <v:group style="position:absolute;left:35;top:541;width:3776;height:2" coordorigin="35,541" coordsize="3776,2">
              <v:shape style="position:absolute;left:35;top:541;width:3776;height:2" coordorigin="35,541" coordsize="3776,0" path="m35,541l3810,541e" filled="false" stroked="true" strokeweight="3.453pt" strokecolor="#950000">
                <v:path arrowok="t"/>
              </v:shape>
            </v:group>
            <v:group style="position:absolute;left:33;top:0;width:3780;height:511" coordorigin="33,0" coordsize="3780,511">
              <v:shape style="position:absolute;left:33;top:0;width:3780;height:511" coordorigin="33,0" coordsize="3780,511" path="m33,510l3812,510,3812,0,33,0,33,510xe" filled="true" fillcolor="#fad7c7" stroked="false">
                <v:path arrowok="t"/>
                <v:fill type="solid"/>
              </v:shape>
              <v:shape style="position:absolute;left:33;top:0;width:3780;height:542" type="#_x0000_t202" filled="false" stroked="false">
                <v:textbox inset="0,0,0,0">
                  <w:txbxContent>
                    <w:p>
                      <w:pPr>
                        <w:spacing w:before="130"/>
                        <w:ind w:left="834" w:right="0" w:firstLine="0"/>
                        <w:jc w:val="left"/>
                        <w:rPr>
                          <w:rFonts w:ascii="宋体" w:hAnsi="宋体" w:cs="宋体" w:eastAsia="宋体" w:hint="default"/>
                          <w:sz w:val="16"/>
                          <w:szCs w:val="16"/>
                        </w:rPr>
                      </w:pPr>
                      <w:r>
                        <w:rPr>
                          <w:rFonts w:ascii="宋体" w:hAnsi="宋体" w:cs="宋体" w:eastAsia="宋体" w:hint="default"/>
                          <w:sz w:val="16"/>
                          <w:szCs w:val="16"/>
                        </w:rPr>
                        <w:t>国务院国有资产监督管理委员会</w:t>
                      </w:r>
                    </w:p>
                  </w:txbxContent>
                </v:textbox>
                <w10:wrap type="none"/>
              </v:shape>
            </v:group>
          </v:group>
        </w:pict>
      </w:r>
      <w:r>
        <w:rPr>
          <w:rFonts w:ascii="宋体" w:hAnsi="宋体" w:cs="宋体" w:eastAsia="宋体" w:hint="default"/>
          <w:position w:val="-11"/>
          <w:sz w:val="20"/>
          <w:szCs w:val="20"/>
        </w:rPr>
      </w:r>
    </w:p>
    <w:p>
      <w:pPr>
        <w:spacing w:line="240" w:lineRule="auto" w:before="1"/>
        <w:rPr>
          <w:rFonts w:ascii="宋体" w:hAnsi="宋体" w:cs="宋体" w:eastAsia="宋体" w:hint="default"/>
          <w:sz w:val="2"/>
          <w:szCs w:val="2"/>
        </w:rPr>
      </w:pPr>
    </w:p>
    <w:p>
      <w:pPr>
        <w:pStyle w:val="Heading9"/>
        <w:spacing w:line="1133" w:lineRule="exact"/>
        <w:ind w:left="2651" w:right="0"/>
        <w:jc w:val="left"/>
        <w:rPr>
          <w:rFonts w:ascii="宋体" w:hAnsi="宋体" w:cs="宋体" w:eastAsia="宋体" w:hint="default"/>
        </w:rPr>
      </w:pPr>
      <w:r>
        <w:rPr>
          <w:rFonts w:ascii="宋体"/>
          <w:position w:val="-20"/>
        </w:rPr>
        <w:pict>
          <v:shape style="width:194.15pt;height:56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1881"/>
                    <w:gridCol w:w="1899"/>
                  </w:tblGrid>
                  <w:tr>
                    <w:trPr>
                      <w:trHeight w:val="543" w:hRule="exact"/>
                    </w:trPr>
                    <w:tc>
                      <w:tcPr>
                        <w:tcW w:w="1881" w:type="dxa"/>
                        <w:tcBorders>
                          <w:top w:val="nil" w:sz="6" w:space="0" w:color="auto"/>
                          <w:left w:val="nil" w:sz="6" w:space="0" w:color="auto"/>
                          <w:bottom w:val="nil" w:sz="6" w:space="0" w:color="auto"/>
                          <w:right w:val="dotted" w:sz="4" w:space="0" w:color="9C8758"/>
                        </w:tcBorders>
                      </w:tcPr>
                      <w:p>
                        <w:pPr>
                          <w:pStyle w:val="TableParagraph"/>
                          <w:spacing w:line="240" w:lineRule="auto" w:before="130"/>
                          <w:ind w:right="90"/>
                          <w:jc w:val="right"/>
                          <w:rPr>
                            <w:rFonts w:ascii="宋体" w:hAnsi="宋体" w:cs="宋体" w:eastAsia="宋体" w:hint="default"/>
                            <w:sz w:val="16"/>
                            <w:szCs w:val="16"/>
                          </w:rPr>
                        </w:pPr>
                        <w:r>
                          <w:rPr>
                            <w:rFonts w:ascii="宋体" w:hAnsi="宋体" w:cs="宋体" w:eastAsia="宋体" w:hint="default"/>
                            <w:w w:val="90"/>
                            <w:sz w:val="16"/>
                            <w:szCs w:val="16"/>
                          </w:rPr>
                          <w:t>控制</w:t>
                        </w:r>
                        <w:r>
                          <w:rPr>
                            <w:rFonts w:ascii="宋体" w:hAnsi="宋体" w:cs="宋体" w:eastAsia="宋体" w:hint="default"/>
                            <w:sz w:val="16"/>
                            <w:szCs w:val="16"/>
                          </w:rPr>
                        </w:r>
                      </w:p>
                    </w:tc>
                    <w:tc>
                      <w:tcPr>
                        <w:tcW w:w="1899"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1"/>
                            <w:szCs w:val="21"/>
                          </w:rPr>
                        </w:pPr>
                      </w:p>
                    </w:tc>
                  </w:tr>
                  <w:tr>
                    <w:trPr>
                      <w:trHeight w:val="541" w:hRule="exact"/>
                    </w:trPr>
                    <w:tc>
                      <w:tcPr>
                        <w:tcW w:w="3779" w:type="dxa"/>
                        <w:gridSpan w:val="2"/>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
                          <w:ind w:right="0"/>
                          <w:jc w:val="left"/>
                          <w:rPr>
                            <w:rFonts w:ascii="宋体" w:hAnsi="宋体" w:cs="宋体" w:eastAsia="宋体" w:hint="default"/>
                            <w:sz w:val="11"/>
                            <w:szCs w:val="11"/>
                          </w:rPr>
                        </w:pPr>
                      </w:p>
                      <w:p>
                        <w:pPr>
                          <w:pStyle w:val="TableParagraph"/>
                          <w:spacing w:line="240" w:lineRule="auto"/>
                          <w:ind w:left="834"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中国联合网络通信集团有限公司</w:t>
                        </w:r>
                        <w:r>
                          <w:rPr>
                            <w:rFonts w:ascii="宋体" w:hAnsi="宋体" w:cs="宋体" w:eastAsia="宋体" w:hint="default"/>
                            <w:sz w:val="16"/>
                            <w:szCs w:val="16"/>
                          </w:rPr>
                        </w:r>
                      </w:p>
                    </w:tc>
                  </w:tr>
                </w:tbl>
                <w:p>
                  <w:pPr/>
                </w:p>
              </w:txbxContent>
            </v:textbox>
          </v:shape>
        </w:pict>
      </w:r>
      <w:r>
        <w:rPr>
          <w:rFonts w:ascii="宋体"/>
          <w:position w:val="-20"/>
        </w:rPr>
      </w:r>
      <w:r>
        <w:rPr>
          <w:rFonts w:ascii="Times New Roman"/>
          <w:spacing w:val="-20"/>
          <w:position w:val="-20"/>
        </w:rPr>
        <w:t> </w:t>
      </w:r>
      <w:r>
        <w:rPr>
          <w:rFonts w:ascii="宋体"/>
          <w:spacing w:val="-20"/>
          <w:position w:val="-22"/>
        </w:rPr>
        <w:pict>
          <v:group style="width:58.75pt;height:29.05pt;mso-position-horizontal-relative:char;mso-position-vertical-relative:line" coordorigin="0,0" coordsize="1175,581">
            <v:group style="position:absolute;left:33;top:0;width:1108;height:511" coordorigin="33,0" coordsize="1108,511">
              <v:shape style="position:absolute;left:33;top:0;width:1108;height:511" coordorigin="33,0" coordsize="1108,511" path="m33,510l1140,510,1140,0,33,0,33,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704;top:576;width:2;height:2" coordorigin="704,576" coordsize="2,2">
              <v:shape style="position:absolute;left:704;top:576;width:2;height:2" coordorigin="704,576" coordsize="0,0" path="m704,576l704,576e" filled="false" stroked="true" strokeweight=".47pt" strokecolor="#9c8758">
                <v:path arrowok="t"/>
              </v:shape>
              <v:shape style="position:absolute;left:0;top:0;width:1175;height:581" type="#_x0000_t202" filled="false" stroked="false">
                <v:textbox inset="0,0,0,0">
                  <w:txbxContent>
                    <w:p>
                      <w:pPr>
                        <w:spacing w:before="142"/>
                        <w:ind w:left="182" w:right="0" w:firstLine="0"/>
                        <w:jc w:val="left"/>
                        <w:rPr>
                          <w:rFonts w:ascii="宋体" w:hAnsi="宋体" w:cs="宋体" w:eastAsia="宋体" w:hint="default"/>
                          <w:sz w:val="15"/>
                          <w:szCs w:val="15"/>
                        </w:rPr>
                      </w:pPr>
                      <w:r>
                        <w:rPr>
                          <w:rFonts w:ascii="宋体" w:hAnsi="宋体" w:cs="宋体" w:eastAsia="宋体" w:hint="default"/>
                          <w:w w:val="105"/>
                          <w:sz w:val="15"/>
                          <w:szCs w:val="15"/>
                        </w:rPr>
                        <w:t>战略投资者</w:t>
                      </w:r>
                      <w:r>
                        <w:rPr>
                          <w:rFonts w:ascii="宋体" w:hAnsi="宋体" w:cs="宋体" w:eastAsia="宋体" w:hint="default"/>
                          <w:sz w:val="15"/>
                          <w:szCs w:val="15"/>
                        </w:rPr>
                      </w:r>
                    </w:p>
                  </w:txbxContent>
                </v:textbox>
                <w10:wrap type="none"/>
              </v:shape>
            </v:group>
          </v:group>
        </w:pict>
      </w:r>
      <w:r>
        <w:rPr>
          <w:rFonts w:ascii="宋体"/>
          <w:spacing w:val="-20"/>
          <w:position w:val="-22"/>
        </w:rPr>
      </w:r>
      <w:r>
        <w:rPr>
          <w:rFonts w:ascii="Times New Roman"/>
          <w:spacing w:val="25"/>
          <w:position w:val="-22"/>
        </w:rPr>
        <w:t> </w:t>
      </w:r>
      <w:r>
        <w:rPr>
          <w:rFonts w:ascii="宋体"/>
          <w:spacing w:val="25"/>
          <w:position w:val="-22"/>
        </w:rPr>
        <w:pict>
          <v:group style="width:58.75pt;height:29.05pt;mso-position-horizontal-relative:char;mso-position-vertical-relative:line" coordorigin="0,0" coordsize="1175,581">
            <v:group style="position:absolute;left:33;top:0;width:1108;height:511" coordorigin="33,0" coordsize="1108,511">
              <v:shape style="position:absolute;left:33;top:0;width:1108;height:511" coordorigin="33,0" coordsize="1108,511" path="m33,510l1141,510,1141,0,33,0,33,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532;top:576;width:2;height:2" coordorigin="532,576" coordsize="2,2">
              <v:shape style="position:absolute;left:532;top:576;width:2;height:2" coordorigin="532,576" coordsize="0,0" path="m532,576l532,576e" filled="false" stroked="true" strokeweight=".47pt" strokecolor="#9c8758">
                <v:path arrowok="t"/>
              </v:shape>
              <v:shape style="position:absolute;left:0;top:0;width:1175;height:581" type="#_x0000_t202" filled="false" stroked="false">
                <v:textbox inset="0,0,0,0">
                  <w:txbxContent>
                    <w:p>
                      <w:pPr>
                        <w:spacing w:line="170" w:lineRule="exact" w:before="85"/>
                        <w:ind w:left="247" w:right="227" w:hanging="78"/>
                        <w:jc w:val="left"/>
                        <w:rPr>
                          <w:rFonts w:ascii="宋体" w:hAnsi="宋体" w:cs="宋体" w:eastAsia="宋体" w:hint="default"/>
                          <w:sz w:val="15"/>
                          <w:szCs w:val="15"/>
                        </w:rPr>
                      </w:pPr>
                      <w:r>
                        <w:rPr>
                          <w:rFonts w:ascii="宋体" w:hAnsi="宋体" w:cs="宋体" w:eastAsia="宋体" w:hint="default"/>
                          <w:sz w:val="15"/>
                          <w:szCs w:val="15"/>
                        </w:rPr>
                        <w:t>员工限制性</w:t>
                      </w:r>
                      <w:r>
                        <w:rPr>
                          <w:rFonts w:ascii="宋体" w:hAnsi="宋体" w:cs="宋体" w:eastAsia="宋体" w:hint="default"/>
                          <w:spacing w:val="-49"/>
                          <w:sz w:val="15"/>
                          <w:szCs w:val="15"/>
                        </w:rPr>
                        <w:t> </w:t>
                      </w:r>
                      <w:r>
                        <w:rPr>
                          <w:rFonts w:ascii="宋体" w:hAnsi="宋体" w:cs="宋体" w:eastAsia="宋体" w:hint="default"/>
                          <w:w w:val="105"/>
                          <w:sz w:val="15"/>
                          <w:szCs w:val="15"/>
                        </w:rPr>
                        <w:t>股票激励</w:t>
                      </w:r>
                      <w:r>
                        <w:rPr>
                          <w:rFonts w:ascii="宋体" w:hAnsi="宋体" w:cs="宋体" w:eastAsia="宋体" w:hint="default"/>
                          <w:sz w:val="15"/>
                          <w:szCs w:val="15"/>
                        </w:rPr>
                      </w:r>
                    </w:p>
                  </w:txbxContent>
                </v:textbox>
                <w10:wrap type="none"/>
              </v:shape>
            </v:group>
          </v:group>
        </w:pict>
      </w:r>
      <w:r>
        <w:rPr>
          <w:rFonts w:ascii="宋体"/>
          <w:spacing w:val="25"/>
          <w:position w:val="-22"/>
        </w:rPr>
      </w:r>
      <w:r>
        <w:rPr>
          <w:rFonts w:ascii="Times New Roman"/>
          <w:spacing w:val="19"/>
          <w:position w:val="-22"/>
        </w:rPr>
        <w:t> </w:t>
      </w:r>
      <w:r>
        <w:rPr>
          <w:rFonts w:ascii="宋体"/>
          <w:spacing w:val="19"/>
          <w:position w:val="-22"/>
        </w:rPr>
        <w:pict>
          <v:group style="width:58.75pt;height:29.05pt;mso-position-horizontal-relative:char;mso-position-vertical-relative:line" coordorigin="0,0" coordsize="1175,581">
            <v:group style="position:absolute;left:36;top:0;width:1108;height:511" coordorigin="36,0" coordsize="1108,511">
              <v:shape style="position:absolute;left:36;top:0;width:1108;height:511" coordorigin="36,0" coordsize="1108,511" path="m36,510l1143,510,1143,0,36,0,36,510xe" filled="true" fillcolor="#fad7c7" stroked="false">
                <v:path arrowok="t"/>
                <v:fill type="solid"/>
              </v:shape>
            </v:group>
            <v:group style="position:absolute;left:35;top:532;width:1106;height:2" coordorigin="35,532" coordsize="1106,2">
              <v:shape style="position:absolute;left:35;top:532;width:1106;height:2" coordorigin="35,532" coordsize="1106,0" path="m35,532l1140,532e" filled="false" stroked="true" strokeweight="3.453pt" strokecolor="#950000">
                <v:path arrowok="t"/>
              </v:shape>
            </v:group>
            <v:group style="position:absolute;left:557;top:576;width:2;height:2" coordorigin="557,576" coordsize="2,2">
              <v:shape style="position:absolute;left:557;top:576;width:2;height:2" coordorigin="557,576" coordsize="0,0" path="m557,576l557,576e" filled="false" stroked="true" strokeweight=".47pt" strokecolor="#9c8758">
                <v:path arrowok="t"/>
              </v:shape>
              <v:shape style="position:absolute;left:0;top:0;width:1175;height:581" type="#_x0000_t202" filled="false" stroked="false">
                <v:textbox inset="0,0,0,0">
                  <w:txbxContent>
                    <w:p>
                      <w:pPr>
                        <w:spacing w:before="142"/>
                        <w:ind w:left="123" w:right="0" w:firstLine="0"/>
                        <w:jc w:val="left"/>
                        <w:rPr>
                          <w:rFonts w:ascii="宋体" w:hAnsi="宋体" w:cs="宋体" w:eastAsia="宋体" w:hint="default"/>
                          <w:sz w:val="15"/>
                          <w:szCs w:val="15"/>
                        </w:rPr>
                      </w:pPr>
                      <w:r>
                        <w:rPr>
                          <w:rFonts w:ascii="宋体" w:hAnsi="宋体" w:cs="宋体" w:eastAsia="宋体" w:hint="default"/>
                          <w:w w:val="105"/>
                          <w:sz w:val="15"/>
                          <w:szCs w:val="15"/>
                        </w:rPr>
                        <w:t>其他公众股东</w:t>
                      </w:r>
                      <w:r>
                        <w:rPr>
                          <w:rFonts w:ascii="宋体" w:hAnsi="宋体" w:cs="宋体" w:eastAsia="宋体" w:hint="default"/>
                          <w:sz w:val="15"/>
                          <w:szCs w:val="15"/>
                        </w:rPr>
                      </w:r>
                    </w:p>
                  </w:txbxContent>
                </v:textbox>
                <w10:wrap type="none"/>
              </v:shape>
            </v:group>
          </v:group>
        </w:pict>
      </w:r>
      <w:r>
        <w:rPr>
          <w:rFonts w:ascii="宋体"/>
          <w:spacing w:val="19"/>
          <w:position w:val="-22"/>
        </w:rPr>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8"/>
          <w:szCs w:val="18"/>
        </w:rPr>
      </w:pPr>
    </w:p>
    <w:p>
      <w:pPr>
        <w:tabs>
          <w:tab w:pos="7264" w:val="left" w:leader="none"/>
          <w:tab w:pos="8322" w:val="left" w:leader="none"/>
          <w:tab w:pos="9572" w:val="left" w:leader="none"/>
        </w:tabs>
        <w:spacing w:line="20" w:lineRule="exact"/>
        <w:ind w:left="6300" w:right="0" w:firstLine="0"/>
        <w:rPr>
          <w:rFonts w:ascii="宋体" w:hAnsi="宋体" w:cs="宋体" w:eastAsia="宋体" w:hint="default"/>
          <w:sz w:val="2"/>
          <w:szCs w:val="2"/>
        </w:rPr>
      </w:pP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p>
    <w:p>
      <w:pPr>
        <w:spacing w:line="240" w:lineRule="auto" w:before="6"/>
        <w:rPr>
          <w:rFonts w:ascii="宋体" w:hAnsi="宋体" w:cs="宋体" w:eastAsia="宋体" w:hint="default"/>
          <w:sz w:val="17"/>
          <w:szCs w:val="17"/>
        </w:rPr>
      </w:pPr>
    </w:p>
    <w:p>
      <w:pPr>
        <w:spacing w:before="37"/>
        <w:ind w:left="2706" w:right="4356" w:firstLine="0"/>
        <w:jc w:val="center"/>
        <w:rPr>
          <w:rFonts w:ascii="宋体" w:hAnsi="宋体" w:cs="宋体" w:eastAsia="宋体" w:hint="default"/>
          <w:sz w:val="16"/>
          <w:szCs w:val="16"/>
        </w:rPr>
      </w:pPr>
      <w:r>
        <w:rPr/>
        <w:pict>
          <v:group style="position:absolute;margin-left:228.332901pt;margin-top:-66.936638pt;width:.1pt;height:.1pt;mso-position-horizontal-relative:page;mso-position-vertical-relative:paragraph;z-index:-964240" coordorigin="4567,-1339" coordsize="2,2">
            <v:shape style="position:absolute;left:4567;top:-1339;width:2;height:2" coordorigin="4567,-1339" coordsize="0,0" path="m4567,-1339l4567,-1339e" filled="false" stroked="true" strokeweight=".47pt" strokecolor="#9c8758">
              <v:path arrowok="t"/>
            </v:shape>
            <w10:wrap type="none"/>
          </v:group>
        </w:pict>
      </w:r>
      <w:r>
        <w:rPr/>
        <w:pict>
          <v:shape style="position:absolute;margin-left:297.323486pt;margin-top:-37.508537pt;width:198.8pt;height:54.4pt;mso-position-horizontal-relative:page;mso-position-vertical-relative:paragraph;z-index:57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4"/>
                    <w:gridCol w:w="964"/>
                    <w:gridCol w:w="1058"/>
                    <w:gridCol w:w="1250"/>
                    <w:gridCol w:w="276"/>
                  </w:tblGrid>
                  <w:tr>
                    <w:trPr>
                      <w:trHeight w:val="519" w:hRule="exact"/>
                    </w:trPr>
                    <w:tc>
                      <w:tcPr>
                        <w:tcW w:w="324" w:type="dxa"/>
                        <w:tcBorders>
                          <w:top w:val="nil" w:sz="6" w:space="0" w:color="auto"/>
                          <w:left w:val="nil" w:sz="6" w:space="0" w:color="auto"/>
                          <w:bottom w:val="nil" w:sz="6" w:space="0" w:color="auto"/>
                          <w:right w:val="dotted" w:sz="4" w:space="0" w:color="9C8758"/>
                        </w:tcBorders>
                      </w:tcPr>
                      <w:p>
                        <w:pPr>
                          <w:pStyle w:val="TableParagraph"/>
                          <w:spacing w:line="240" w:lineRule="auto" w:before="118"/>
                          <w:ind w:left="-119" w:right="0"/>
                          <w:jc w:val="left"/>
                          <w:rPr>
                            <w:rFonts w:ascii="宋体" w:hAnsi="宋体" w:cs="宋体" w:eastAsia="宋体" w:hint="default"/>
                            <w:sz w:val="16"/>
                            <w:szCs w:val="16"/>
                          </w:rPr>
                        </w:pPr>
                        <w:r>
                          <w:rPr>
                            <w:rFonts w:ascii="宋体"/>
                            <w:w w:val="125"/>
                            <w:sz w:val="16"/>
                          </w:rPr>
                          <w:t>6.7%</w:t>
                        </w:r>
                        <w:r>
                          <w:rPr>
                            <w:rFonts w:ascii="宋体"/>
                            <w:sz w:val="16"/>
                          </w:rPr>
                        </w:r>
                      </w:p>
                    </w:tc>
                    <w:tc>
                      <w:tcPr>
                        <w:tcW w:w="964" w:type="dxa"/>
                        <w:tcBorders>
                          <w:top w:val="nil" w:sz="6" w:space="0" w:color="auto"/>
                          <w:left w:val="dotted" w:sz="4" w:space="0" w:color="9C8758"/>
                          <w:bottom w:val="nil" w:sz="6" w:space="0" w:color="auto"/>
                          <w:right w:val="dotted" w:sz="4" w:space="0" w:color="9C8758"/>
                        </w:tcBorders>
                      </w:tcPr>
                      <w:p>
                        <w:pPr>
                          <w:pStyle w:val="TableParagraph"/>
                          <w:spacing w:line="240" w:lineRule="auto" w:before="118"/>
                          <w:ind w:left="419" w:right="0"/>
                          <w:jc w:val="left"/>
                          <w:rPr>
                            <w:rFonts w:ascii="宋体" w:hAnsi="宋体" w:cs="宋体" w:eastAsia="宋体" w:hint="default"/>
                            <w:sz w:val="16"/>
                            <w:szCs w:val="16"/>
                          </w:rPr>
                        </w:pPr>
                        <w:r>
                          <w:rPr>
                            <w:rFonts w:ascii="宋体"/>
                            <w:w w:val="125"/>
                            <w:sz w:val="16"/>
                          </w:rPr>
                          <w:t>35.2%</w:t>
                        </w:r>
                        <w:r>
                          <w:rPr>
                            <w:rFonts w:ascii="宋体"/>
                            <w:sz w:val="16"/>
                          </w:rPr>
                        </w:r>
                      </w:p>
                    </w:tc>
                    <w:tc>
                      <w:tcPr>
                        <w:tcW w:w="1058" w:type="dxa"/>
                        <w:tcBorders>
                          <w:top w:val="nil" w:sz="6" w:space="0" w:color="auto"/>
                          <w:left w:val="dotted" w:sz="4" w:space="0" w:color="9C8758"/>
                          <w:bottom w:val="nil" w:sz="6" w:space="0" w:color="auto"/>
                          <w:right w:val="dotted" w:sz="4" w:space="0" w:color="9C8758"/>
                        </w:tcBorders>
                      </w:tcPr>
                      <w:p>
                        <w:pPr>
                          <w:pStyle w:val="TableParagraph"/>
                          <w:spacing w:line="240" w:lineRule="auto" w:before="118"/>
                          <w:ind w:left="598" w:right="0"/>
                          <w:jc w:val="left"/>
                          <w:rPr>
                            <w:rFonts w:ascii="宋体" w:hAnsi="宋体" w:cs="宋体" w:eastAsia="宋体" w:hint="default"/>
                            <w:sz w:val="16"/>
                            <w:szCs w:val="16"/>
                          </w:rPr>
                        </w:pPr>
                        <w:r>
                          <w:rPr>
                            <w:rFonts w:ascii="宋体"/>
                            <w:w w:val="125"/>
                            <w:sz w:val="16"/>
                          </w:rPr>
                          <w:t>2.6%</w:t>
                        </w:r>
                        <w:r>
                          <w:rPr>
                            <w:rFonts w:ascii="宋体"/>
                            <w:sz w:val="16"/>
                          </w:rPr>
                        </w:r>
                      </w:p>
                    </w:tc>
                    <w:tc>
                      <w:tcPr>
                        <w:tcW w:w="1250" w:type="dxa"/>
                        <w:tcBorders>
                          <w:top w:val="nil" w:sz="6" w:space="0" w:color="auto"/>
                          <w:left w:val="dotted" w:sz="4" w:space="0" w:color="9C8758"/>
                          <w:bottom w:val="nil" w:sz="6" w:space="0" w:color="auto"/>
                          <w:right w:val="dotted" w:sz="4" w:space="0" w:color="9C8758"/>
                        </w:tcBorders>
                      </w:tcPr>
                      <w:p>
                        <w:pPr>
                          <w:pStyle w:val="TableParagraph"/>
                          <w:spacing w:line="240" w:lineRule="auto" w:before="118"/>
                          <w:ind w:left="697" w:right="0"/>
                          <w:jc w:val="left"/>
                          <w:rPr>
                            <w:rFonts w:ascii="宋体" w:hAnsi="宋体" w:cs="宋体" w:eastAsia="宋体" w:hint="default"/>
                            <w:sz w:val="16"/>
                            <w:szCs w:val="16"/>
                          </w:rPr>
                        </w:pPr>
                        <w:r>
                          <w:rPr>
                            <w:rFonts w:ascii="宋体"/>
                            <w:w w:val="125"/>
                            <w:sz w:val="16"/>
                          </w:rPr>
                          <w:t>25.5%</w:t>
                        </w:r>
                        <w:r>
                          <w:rPr>
                            <w:rFonts w:ascii="宋体"/>
                            <w:sz w:val="16"/>
                          </w:rPr>
                        </w:r>
                      </w:p>
                    </w:tc>
                    <w:tc>
                      <w:tcPr>
                        <w:tcW w:w="27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9"/>
                            <w:szCs w:val="19"/>
                          </w:rPr>
                        </w:pPr>
                      </w:p>
                    </w:tc>
                  </w:tr>
                  <w:tr>
                    <w:trPr>
                      <w:trHeight w:val="534" w:hRule="exact"/>
                    </w:trPr>
                    <w:tc>
                      <w:tcPr>
                        <w:tcW w:w="3872" w:type="dxa"/>
                        <w:gridSpan w:val="5"/>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36"/>
                          <w:ind w:left="834"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中国联合网络通信股份有限公司</w:t>
                        </w:r>
                        <w:r>
                          <w:rPr>
                            <w:rFonts w:ascii="宋体" w:hAnsi="宋体" w:cs="宋体" w:eastAsia="宋体" w:hint="default"/>
                            <w:sz w:val="16"/>
                            <w:szCs w:val="16"/>
                          </w:rPr>
                        </w:r>
                      </w:p>
                    </w:tc>
                  </w:tr>
                </w:tbl>
                <w:p>
                  <w:pPr/>
                </w:p>
              </w:txbxContent>
            </v:textbox>
            <w10:wrap type="none"/>
          </v:shape>
        </w:pict>
      </w:r>
      <w:r>
        <w:rPr/>
        <w:pict>
          <v:shape style="position:absolute;margin-left:131.885498pt;margin-top:-36.440735pt;width:124.25pt;height:106.85pt;mso-position-horizontal-relative:page;mso-position-vertical-relative:paragraph;z-index:57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56"/>
                    <w:gridCol w:w="1126"/>
                  </w:tblGrid>
                  <w:tr>
                    <w:trPr>
                      <w:trHeight w:val="1558" w:hRule="exact"/>
                    </w:trPr>
                    <w:tc>
                      <w:tcPr>
                        <w:tcW w:w="1256" w:type="dxa"/>
                        <w:tcBorders>
                          <w:top w:val="nil" w:sz="6" w:space="0" w:color="auto"/>
                          <w:left w:val="nil" w:sz="6" w:space="0" w:color="auto"/>
                          <w:bottom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7"/>
                          <w:ind w:right="0"/>
                          <w:jc w:val="left"/>
                          <w:rPr>
                            <w:rFonts w:ascii="宋体" w:hAnsi="宋体" w:cs="宋体" w:eastAsia="宋体" w:hint="default"/>
                            <w:sz w:val="11"/>
                            <w:szCs w:val="11"/>
                          </w:rPr>
                        </w:pPr>
                      </w:p>
                      <w:p>
                        <w:pPr>
                          <w:pStyle w:val="TableParagraph"/>
                          <w:spacing w:line="240" w:lineRule="auto"/>
                          <w:ind w:left="756" w:right="0"/>
                          <w:jc w:val="left"/>
                          <w:rPr>
                            <w:rFonts w:ascii="宋体" w:hAnsi="宋体" w:cs="宋体" w:eastAsia="宋体" w:hint="default"/>
                            <w:sz w:val="16"/>
                            <w:szCs w:val="16"/>
                          </w:rPr>
                        </w:pPr>
                        <w:r>
                          <w:rPr>
                            <w:rFonts w:ascii="宋体"/>
                            <w:w w:val="140"/>
                            <w:sz w:val="16"/>
                          </w:rPr>
                          <w:t>100%</w:t>
                        </w:r>
                        <w:r>
                          <w:rPr>
                            <w:rFonts w:ascii="宋体"/>
                            <w:sz w:val="16"/>
                          </w:rPr>
                        </w:r>
                      </w:p>
                    </w:tc>
                    <w:tc>
                      <w:tcPr>
                        <w:tcW w:w="112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37"/>
                          <w:ind w:right="-1"/>
                          <w:jc w:val="right"/>
                          <w:rPr>
                            <w:rFonts w:ascii="宋体" w:hAnsi="宋体" w:cs="宋体" w:eastAsia="宋体" w:hint="default"/>
                            <w:sz w:val="16"/>
                            <w:szCs w:val="16"/>
                          </w:rPr>
                        </w:pPr>
                        <w:r>
                          <w:rPr>
                            <w:rFonts w:ascii="宋体"/>
                            <w:w w:val="98"/>
                            <w:sz w:val="16"/>
                          </w:rPr>
                          <w:t>1</w:t>
                        </w:r>
                        <w:r>
                          <w:rPr>
                            <w:rFonts w:ascii="宋体"/>
                            <w:sz w:val="16"/>
                          </w:rPr>
                        </w:r>
                      </w:p>
                    </w:tc>
                  </w:tr>
                  <w:tr>
                    <w:trPr>
                      <w:trHeight w:val="545" w:hRule="exact"/>
                    </w:trPr>
                    <w:tc>
                      <w:tcPr>
                        <w:tcW w:w="2381" w:type="dxa"/>
                        <w:gridSpan w:val="2"/>
                        <w:tcBorders>
                          <w:top w:val="nil" w:sz="6" w:space="0" w:color="auto"/>
                          <w:left w:val="nil" w:sz="6" w:space="0" w:color="auto"/>
                          <w:bottom w:val="single" w:sz="28" w:space="0" w:color="950000"/>
                          <w:right w:val="nil" w:sz="6" w:space="0" w:color="auto"/>
                        </w:tcBorders>
                        <w:shd w:val="clear" w:color="auto" w:fill="FAD7C7"/>
                      </w:tcPr>
                      <w:p>
                        <w:pPr>
                          <w:pStyle w:val="TableParagraph"/>
                          <w:spacing w:line="240" w:lineRule="auto" w:before="131"/>
                          <w:ind w:left="85" w:right="0"/>
                          <w:jc w:val="left"/>
                          <w:rPr>
                            <w:rFonts w:ascii="宋体" w:hAnsi="宋体" w:cs="宋体" w:eastAsia="宋体" w:hint="default"/>
                            <w:sz w:val="16"/>
                            <w:szCs w:val="16"/>
                          </w:rPr>
                        </w:pPr>
                        <w:r>
                          <w:rPr>
                            <w:rFonts w:ascii="宋体" w:hAnsi="宋体" w:cs="宋体" w:eastAsia="宋体" w:hint="default"/>
                            <w:sz w:val="16"/>
                            <w:szCs w:val="16"/>
                          </w:rPr>
                          <w:t>中国联通集团（BVI）有限公司</w:t>
                        </w:r>
                      </w:p>
                    </w:tc>
                  </w:tr>
                </w:tbl>
                <w:p>
                  <w:pPr/>
                </w:p>
              </w:txbxContent>
            </v:textbox>
            <w10:wrap type="none"/>
          </v:shape>
        </w:pict>
      </w:r>
      <w:r>
        <w:rPr/>
        <w:pict>
          <v:shape style="position:absolute;margin-left:260.569489pt;margin-top:-37.507137pt;width:124pt;height:107.95pt;mso-position-horizontal-relative:page;mso-position-vertical-relative:paragraph;z-index:57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8"/>
                    <w:gridCol w:w="1309"/>
                    <w:gridCol w:w="808"/>
                  </w:tblGrid>
                  <w:tr>
                    <w:trPr>
                      <w:trHeight w:val="1112" w:hRule="exact"/>
                    </w:trPr>
                    <w:tc>
                      <w:tcPr>
                        <w:tcW w:w="258" w:type="dxa"/>
                        <w:vMerge w:val="restart"/>
                        <w:tcBorders>
                          <w:top w:val="nil" w:sz="6" w:space="0" w:color="auto"/>
                          <w:left w:val="nil" w:sz="6" w:space="0" w:color="auto"/>
                          <w:right w:val="dotted" w:sz="4" w:space="0" w:color="9C8758"/>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2"/>
                          <w:ind w:right="0"/>
                          <w:jc w:val="left"/>
                          <w:rPr>
                            <w:rFonts w:ascii="宋体" w:hAnsi="宋体" w:cs="宋体" w:eastAsia="宋体" w:hint="default"/>
                            <w:sz w:val="12"/>
                            <w:szCs w:val="12"/>
                          </w:rPr>
                        </w:pPr>
                      </w:p>
                      <w:p>
                        <w:pPr>
                          <w:pStyle w:val="TableParagraph"/>
                          <w:spacing w:line="240" w:lineRule="auto"/>
                          <w:ind w:left="-47" w:right="0"/>
                          <w:jc w:val="left"/>
                          <w:rPr>
                            <w:rFonts w:ascii="宋体" w:hAnsi="宋体" w:cs="宋体" w:eastAsia="宋体" w:hint="default"/>
                            <w:sz w:val="16"/>
                            <w:szCs w:val="16"/>
                          </w:rPr>
                        </w:pPr>
                        <w:r>
                          <w:rPr>
                            <w:rFonts w:ascii="宋体"/>
                            <w:w w:val="165"/>
                            <w:sz w:val="16"/>
                          </w:rPr>
                          <w:t>9%</w:t>
                        </w:r>
                        <w:r>
                          <w:rPr>
                            <w:rFonts w:ascii="宋体"/>
                            <w:sz w:val="16"/>
                          </w:rPr>
                        </w:r>
                      </w:p>
                    </w:tc>
                    <w:tc>
                      <w:tcPr>
                        <w:tcW w:w="2117" w:type="dxa"/>
                        <w:gridSpan w:val="2"/>
                        <w:tcBorders>
                          <w:top w:val="nil" w:sz="6" w:space="0" w:color="auto"/>
                          <w:left w:val="dotted" w:sz="4" w:space="0" w:color="9C8758"/>
                          <w:bottom w:val="nil" w:sz="6" w:space="0" w:color="auto"/>
                          <w:right w:val="nil" w:sz="6" w:space="0" w:color="auto"/>
                        </w:tcBorders>
                      </w:tcPr>
                      <w:p>
                        <w:pPr>
                          <w:pStyle w:val="TableParagraph"/>
                          <w:spacing w:line="240" w:lineRule="auto" w:before="118"/>
                          <w:ind w:left="255" w:right="0"/>
                          <w:jc w:val="left"/>
                          <w:rPr>
                            <w:rFonts w:ascii="宋体" w:hAnsi="宋体" w:cs="宋体" w:eastAsia="宋体" w:hint="default"/>
                            <w:sz w:val="16"/>
                            <w:szCs w:val="16"/>
                          </w:rPr>
                        </w:pPr>
                        <w:r>
                          <w:rPr>
                            <w:rFonts w:ascii="宋体"/>
                            <w:w w:val="123"/>
                            <w:sz w:val="16"/>
                          </w:rPr>
                          <w:t>3</w:t>
                        </w:r>
                        <w:r>
                          <w:rPr>
                            <w:rFonts w:ascii="宋体"/>
                            <w:sz w:val="16"/>
                          </w:rPr>
                        </w:r>
                      </w:p>
                    </w:tc>
                  </w:tr>
                  <w:tr>
                    <w:trPr>
                      <w:trHeight w:val="467" w:hRule="exact"/>
                    </w:trPr>
                    <w:tc>
                      <w:tcPr>
                        <w:tcW w:w="258" w:type="dxa"/>
                        <w:vMerge/>
                        <w:tcBorders>
                          <w:left w:val="nil" w:sz="6" w:space="0" w:color="auto"/>
                          <w:bottom w:val="nil" w:sz="6" w:space="0" w:color="auto"/>
                          <w:right w:val="dotted" w:sz="4" w:space="0" w:color="9C8758"/>
                        </w:tcBorders>
                      </w:tcPr>
                      <w:p>
                        <w:pPr/>
                      </w:p>
                    </w:tc>
                    <w:tc>
                      <w:tcPr>
                        <w:tcW w:w="1309" w:type="dxa"/>
                        <w:tcBorders>
                          <w:top w:val="nil" w:sz="6" w:space="0" w:color="auto"/>
                          <w:left w:val="dotted" w:sz="4" w:space="0" w:color="9C8758"/>
                          <w:bottom w:val="nil" w:sz="6" w:space="0" w:color="auto"/>
                          <w:right w:val="dotted" w:sz="4" w:space="0" w:color="9C8758"/>
                        </w:tcBorders>
                      </w:tcPr>
                      <w:p>
                        <w:pPr>
                          <w:pStyle w:val="TableParagraph"/>
                          <w:spacing w:line="240" w:lineRule="auto" w:before="102"/>
                          <w:ind w:left="756" w:right="0"/>
                          <w:jc w:val="left"/>
                          <w:rPr>
                            <w:rFonts w:ascii="宋体" w:hAnsi="宋体" w:cs="宋体" w:eastAsia="宋体" w:hint="default"/>
                            <w:sz w:val="16"/>
                            <w:szCs w:val="16"/>
                          </w:rPr>
                        </w:pPr>
                        <w:r>
                          <w:rPr>
                            <w:rFonts w:ascii="宋体"/>
                            <w:w w:val="120"/>
                            <w:sz w:val="16"/>
                          </w:rPr>
                          <w:t>82.1%</w:t>
                        </w:r>
                        <w:r>
                          <w:rPr>
                            <w:rFonts w:ascii="宋体"/>
                            <w:sz w:val="16"/>
                          </w:rPr>
                        </w:r>
                      </w:p>
                    </w:tc>
                    <w:tc>
                      <w:tcPr>
                        <w:tcW w:w="808" w:type="dxa"/>
                        <w:tcBorders>
                          <w:top w:val="nil" w:sz="6" w:space="0" w:color="auto"/>
                          <w:left w:val="dotted" w:sz="4" w:space="0" w:color="9C8758"/>
                          <w:bottom w:val="nil" w:sz="6" w:space="0" w:color="auto"/>
                          <w:right w:val="nil" w:sz="6" w:space="0" w:color="auto"/>
                        </w:tcBorders>
                      </w:tcPr>
                      <w:p>
                        <w:pPr/>
                      </w:p>
                    </w:tc>
                  </w:tr>
                  <w:tr>
                    <w:trPr>
                      <w:trHeight w:val="545" w:hRule="exact"/>
                    </w:trPr>
                    <w:tc>
                      <w:tcPr>
                        <w:tcW w:w="2375" w:type="dxa"/>
                        <w:gridSpan w:val="3"/>
                        <w:tcBorders>
                          <w:top w:val="nil" w:sz="6" w:space="0" w:color="auto"/>
                          <w:left w:val="nil" w:sz="6" w:space="0" w:color="auto"/>
                          <w:bottom w:val="single" w:sz="28" w:space="0" w:color="950000"/>
                          <w:right w:val="nil" w:sz="6" w:space="0" w:color="auto"/>
                        </w:tcBorders>
                        <w:shd w:val="clear" w:color="auto" w:fill="FAD7C7"/>
                      </w:tcPr>
                      <w:p>
                        <w:pPr>
                          <w:pStyle w:val="TableParagraph"/>
                          <w:spacing w:line="240" w:lineRule="auto" w:before="131"/>
                          <w:ind w:left="240" w:right="0"/>
                          <w:jc w:val="left"/>
                          <w:rPr>
                            <w:rFonts w:ascii="宋体" w:hAnsi="宋体" w:cs="宋体" w:eastAsia="宋体" w:hint="default"/>
                            <w:sz w:val="16"/>
                            <w:szCs w:val="16"/>
                          </w:rPr>
                        </w:pPr>
                        <w:r>
                          <w:rPr>
                            <w:rFonts w:ascii="宋体" w:hAnsi="宋体" w:cs="宋体" w:eastAsia="宋体" w:hint="default"/>
                            <w:sz w:val="16"/>
                            <w:szCs w:val="16"/>
                          </w:rPr>
                          <w:t>中国联通（BVI）有限公司</w:t>
                        </w:r>
                      </w:p>
                    </w:tc>
                  </w:tr>
                </w:tbl>
                <w:p>
                  <w:pPr/>
                </w:p>
              </w:txbxContent>
            </v:textbox>
            <w10:wrap type="none"/>
          </v:shape>
        </w:pict>
      </w:r>
      <w:r>
        <w:rPr>
          <w:rFonts w:ascii="宋体"/>
          <w:sz w:val="16"/>
        </w:rPr>
        <w:t>7.</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spacing w:line="20" w:lineRule="exact"/>
        <w:ind w:left="3923" w:right="0" w:firstLine="0"/>
        <w:rPr>
          <w:rFonts w:ascii="宋体" w:hAnsi="宋体" w:cs="宋体" w:eastAsia="宋体" w:hint="default"/>
          <w:sz w:val="2"/>
          <w:szCs w:val="2"/>
        </w:rPr>
      </w:pPr>
      <w:r>
        <w:rPr>
          <w:rFonts w:ascii="宋体" w:hAnsi="宋体" w:cs="宋体" w:eastAsia="宋体" w:hint="default"/>
          <w:sz w:val="2"/>
          <w:szCs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hAnsi="宋体" w:cs="宋体" w:eastAsia="宋体" w:hint="default"/>
          <w:sz w:val="2"/>
          <w:szCs w:val="2"/>
        </w:rPr>
      </w:r>
    </w:p>
    <w:p>
      <w:pPr>
        <w:tabs>
          <w:tab w:pos="7751" w:val="left" w:leader="none"/>
        </w:tabs>
        <w:spacing w:line="579" w:lineRule="exact"/>
        <w:ind w:left="6808" w:right="0" w:firstLine="0"/>
        <w:rPr>
          <w:rFonts w:ascii="宋体" w:hAnsi="宋体" w:cs="宋体" w:eastAsia="宋体" w:hint="default"/>
          <w:sz w:val="20"/>
          <w:szCs w:val="20"/>
        </w:rPr>
      </w:pPr>
      <w:r>
        <w:rPr>
          <w:rFonts w:ascii="宋体"/>
          <w:position w:val="35"/>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position w:val="35"/>
          <w:sz w:val="2"/>
        </w:rPr>
      </w:r>
      <w:r>
        <w:rPr>
          <w:rFonts w:ascii="宋体"/>
          <w:position w:val="35"/>
          <w:sz w:val="2"/>
        </w:rPr>
        <w:tab/>
      </w:r>
      <w:r>
        <w:rPr>
          <w:rFonts w:ascii="宋体"/>
          <w:position w:val="-11"/>
          <w:sz w:val="20"/>
        </w:rPr>
        <w:pict>
          <v:group style="width:122.3pt;height:29pt;mso-position-horizontal-relative:char;mso-position-vertical-relative:line" coordorigin="0,0" coordsize="2446,580">
            <v:group style="position:absolute;left:35;top:545;width:2377;height:2" coordorigin="35,545" coordsize="2377,2">
              <v:shape style="position:absolute;left:35;top:545;width:2377;height:2" coordorigin="35,545" coordsize="2377,0" path="m35,545l2411,545e" filled="false" stroked="true" strokeweight="3.453pt" strokecolor="#950000">
                <v:path arrowok="t"/>
              </v:shape>
            </v:group>
            <v:group style="position:absolute;left:35;top:0;width:2376;height:511" coordorigin="35,0" coordsize="2376,511">
              <v:shape style="position:absolute;left:35;top:0;width:2376;height:511" coordorigin="35,0" coordsize="2376,511" path="m35,510l2410,510,2410,0,35,0,35,510xe" filled="true" fillcolor="#fad7c7" stroked="false">
                <v:path arrowok="t"/>
                <v:fill type="solid"/>
              </v:shape>
              <v:shape style="position:absolute;left:35;top:0;width:2376;height:545" type="#_x0000_t202" filled="false" stroked="false">
                <v:textbox inset="0,0,0,0">
                  <w:txbxContent>
                    <w:p>
                      <w:pPr>
                        <w:spacing w:before="132"/>
                        <w:ind w:left="561" w:right="0" w:firstLine="0"/>
                        <w:jc w:val="left"/>
                        <w:rPr>
                          <w:rFonts w:ascii="宋体" w:hAnsi="宋体" w:cs="宋体" w:eastAsia="宋体" w:hint="default"/>
                          <w:sz w:val="16"/>
                          <w:szCs w:val="16"/>
                        </w:rPr>
                      </w:pPr>
                      <w:r>
                        <w:rPr>
                          <w:rFonts w:ascii="宋体" w:hAnsi="宋体" w:cs="宋体" w:eastAsia="宋体" w:hint="default"/>
                          <w:sz w:val="16"/>
                          <w:szCs w:val="16"/>
                        </w:rPr>
                        <w:t>其他公众股东</w:t>
                      </w:r>
                    </w:p>
                  </w:txbxContent>
                </v:textbox>
                <w10:wrap type="none"/>
              </v:shape>
            </v:group>
          </v:group>
        </w:pict>
      </w:r>
      <w:r>
        <w:rPr>
          <w:rFonts w:ascii="宋体"/>
          <w:position w:val="-11"/>
          <w:sz w:val="20"/>
        </w:rPr>
      </w:r>
    </w:p>
    <w:p>
      <w:pPr>
        <w:spacing w:line="240" w:lineRule="auto" w:before="1"/>
        <w:rPr>
          <w:rFonts w:ascii="宋体" w:hAnsi="宋体" w:cs="宋体" w:eastAsia="宋体" w:hint="default"/>
          <w:sz w:val="9"/>
          <w:szCs w:val="9"/>
        </w:rPr>
      </w:pPr>
    </w:p>
    <w:p>
      <w:pPr>
        <w:spacing w:before="37"/>
        <w:ind w:left="3779" w:right="764" w:firstLine="0"/>
        <w:jc w:val="left"/>
        <w:rPr>
          <w:rFonts w:ascii="宋体" w:hAnsi="宋体" w:cs="宋体" w:eastAsia="宋体" w:hint="default"/>
          <w:sz w:val="16"/>
          <w:szCs w:val="16"/>
        </w:rPr>
      </w:pPr>
      <w:r>
        <w:rPr/>
        <w:pict>
          <v:shape style="position:absolute;margin-left:202.388504pt;margin-top:-4.460025pt;width:228.55pt;height:56.15pt;mso-position-horizontal-relative:page;mso-position-vertical-relative:paragraph;z-index:57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17"/>
                    <w:gridCol w:w="2019"/>
                    <w:gridCol w:w="1945"/>
                    <w:gridCol w:w="186"/>
                  </w:tblGrid>
                  <w:tr>
                    <w:trPr>
                      <w:trHeight w:val="545" w:hRule="exact"/>
                    </w:trPr>
                    <w:tc>
                      <w:tcPr>
                        <w:tcW w:w="317" w:type="dxa"/>
                        <w:tcBorders>
                          <w:top w:val="nil" w:sz="6" w:space="0" w:color="auto"/>
                          <w:left w:val="nil" w:sz="6" w:space="0" w:color="auto"/>
                          <w:bottom w:val="nil" w:sz="6" w:space="0" w:color="auto"/>
                          <w:right w:val="dotted" w:sz="4" w:space="0" w:color="9C8758"/>
                        </w:tcBorders>
                      </w:tcPr>
                      <w:p>
                        <w:pPr>
                          <w:pStyle w:val="TableParagraph"/>
                          <w:spacing w:line="240" w:lineRule="auto" w:before="126"/>
                          <w:ind w:left="-60" w:right="0"/>
                          <w:jc w:val="left"/>
                          <w:rPr>
                            <w:rFonts w:ascii="宋体" w:hAnsi="宋体" w:cs="宋体" w:eastAsia="宋体" w:hint="default"/>
                            <w:sz w:val="16"/>
                            <w:szCs w:val="16"/>
                          </w:rPr>
                        </w:pPr>
                        <w:r>
                          <w:rPr>
                            <w:rFonts w:ascii="宋体"/>
                            <w:w w:val="165"/>
                            <w:sz w:val="16"/>
                          </w:rPr>
                          <w:t>4%</w:t>
                        </w:r>
                        <w:r>
                          <w:rPr>
                            <w:rFonts w:ascii="宋体"/>
                            <w:sz w:val="16"/>
                          </w:rPr>
                        </w:r>
                      </w:p>
                    </w:tc>
                    <w:tc>
                      <w:tcPr>
                        <w:tcW w:w="2019" w:type="dxa"/>
                        <w:tcBorders>
                          <w:top w:val="nil" w:sz="6" w:space="0" w:color="auto"/>
                          <w:left w:val="dotted" w:sz="4" w:space="0" w:color="9C8758"/>
                          <w:bottom w:val="nil" w:sz="6" w:space="0" w:color="auto"/>
                          <w:right w:val="dotted" w:sz="4" w:space="0" w:color="9C8758"/>
                        </w:tcBorders>
                      </w:tcPr>
                      <w:p>
                        <w:pPr>
                          <w:pStyle w:val="TableParagraph"/>
                          <w:spacing w:line="240" w:lineRule="auto" w:before="126"/>
                          <w:ind w:right="96"/>
                          <w:jc w:val="right"/>
                          <w:rPr>
                            <w:rFonts w:ascii="宋体" w:hAnsi="宋体" w:cs="宋体" w:eastAsia="宋体" w:hint="default"/>
                            <w:sz w:val="16"/>
                            <w:szCs w:val="16"/>
                          </w:rPr>
                        </w:pPr>
                        <w:r>
                          <w:rPr>
                            <w:rFonts w:ascii="宋体"/>
                            <w:w w:val="125"/>
                            <w:sz w:val="16"/>
                          </w:rPr>
                          <w:t>53.5%</w:t>
                        </w:r>
                        <w:r>
                          <w:rPr>
                            <w:rFonts w:ascii="宋体"/>
                            <w:sz w:val="16"/>
                          </w:rPr>
                        </w:r>
                      </w:p>
                    </w:tc>
                    <w:tc>
                      <w:tcPr>
                        <w:tcW w:w="1945" w:type="dxa"/>
                        <w:tcBorders>
                          <w:top w:val="nil" w:sz="6" w:space="0" w:color="auto"/>
                          <w:left w:val="dotted" w:sz="4" w:space="0" w:color="9C8758"/>
                          <w:bottom w:val="nil" w:sz="6" w:space="0" w:color="auto"/>
                          <w:right w:val="dotted" w:sz="4" w:space="0" w:color="9C8758"/>
                        </w:tcBorders>
                      </w:tcPr>
                      <w:p>
                        <w:pPr>
                          <w:pStyle w:val="TableParagraph"/>
                          <w:spacing w:line="240" w:lineRule="auto" w:before="123"/>
                          <w:ind w:right="87"/>
                          <w:jc w:val="right"/>
                          <w:rPr>
                            <w:rFonts w:ascii="宋体" w:hAnsi="宋体" w:cs="宋体" w:eastAsia="宋体" w:hint="default"/>
                            <w:sz w:val="16"/>
                            <w:szCs w:val="16"/>
                          </w:rPr>
                        </w:pPr>
                        <w:r>
                          <w:rPr>
                            <w:rFonts w:ascii="宋体"/>
                            <w:w w:val="120"/>
                            <w:sz w:val="16"/>
                          </w:rPr>
                          <w:t>20.1%</w:t>
                        </w:r>
                        <w:r>
                          <w:rPr>
                            <w:rFonts w:ascii="宋体"/>
                            <w:sz w:val="16"/>
                          </w:rPr>
                        </w:r>
                      </w:p>
                    </w:tc>
                    <w:tc>
                      <w:tcPr>
                        <w:tcW w:w="186"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1"/>
                            <w:szCs w:val="21"/>
                          </w:rPr>
                        </w:pPr>
                      </w:p>
                    </w:tc>
                  </w:tr>
                  <w:tr>
                    <w:trPr>
                      <w:trHeight w:val="544" w:hRule="exact"/>
                    </w:trPr>
                    <w:tc>
                      <w:tcPr>
                        <w:tcW w:w="4467" w:type="dxa"/>
                        <w:gridSpan w:val="4"/>
                        <w:tcBorders>
                          <w:top w:val="nil" w:sz="6" w:space="0" w:color="auto"/>
                          <w:left w:val="nil" w:sz="6" w:space="0" w:color="auto"/>
                          <w:bottom w:val="single" w:sz="28" w:space="0" w:color="950000"/>
                          <w:right w:val="nil" w:sz="6" w:space="0" w:color="auto"/>
                        </w:tcBorders>
                        <w:shd w:val="clear" w:color="auto" w:fill="D7000F"/>
                      </w:tcPr>
                      <w:p>
                        <w:pPr>
                          <w:pStyle w:val="TableParagraph"/>
                          <w:spacing w:line="240" w:lineRule="auto" w:before="134"/>
                          <w:ind w:left="780"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中国联合网络通信（香港）股份有限公司</w:t>
                        </w:r>
                        <w:r>
                          <w:rPr>
                            <w:rFonts w:ascii="宋体" w:hAnsi="宋体" w:cs="宋体" w:eastAsia="宋体" w:hint="default"/>
                            <w:sz w:val="16"/>
                            <w:szCs w:val="16"/>
                          </w:rPr>
                        </w:r>
                      </w:p>
                    </w:tc>
                  </w:tr>
                </w:tbl>
                <w:p>
                  <w:pPr/>
                </w:p>
              </w:txbxContent>
            </v:textbox>
            <w10:wrap type="none"/>
          </v:shape>
        </w:pict>
      </w:r>
      <w:r>
        <w:rPr>
          <w:rFonts w:ascii="宋体"/>
          <w:sz w:val="16"/>
        </w:rPr>
        <w:t>26.</w:t>
      </w:r>
    </w:p>
    <w:p>
      <w:pPr>
        <w:spacing w:line="240" w:lineRule="auto" w:before="2"/>
        <w:rPr>
          <w:rFonts w:ascii="宋体" w:hAnsi="宋体" w:cs="宋体" w:eastAsia="宋体" w:hint="default"/>
          <w:sz w:val="15"/>
          <w:szCs w:val="15"/>
        </w:rPr>
      </w:pPr>
    </w:p>
    <w:p>
      <w:pPr>
        <w:tabs>
          <w:tab w:pos="6413" w:val="left" w:leader="none"/>
          <w:tab w:pos="8359" w:val="left" w:leader="none"/>
        </w:tabs>
        <w:spacing w:line="20" w:lineRule="exact"/>
        <w:ind w:left="4395" w:right="0" w:firstLine="0"/>
        <w:rPr>
          <w:rFonts w:ascii="宋体" w:hAnsi="宋体" w:cs="宋体" w:eastAsia="宋体" w:hint="default"/>
          <w:sz w:val="2"/>
          <w:szCs w:val="2"/>
        </w:rPr>
      </w:pP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r>
        <w:rPr>
          <w:rFonts w:ascii="宋体"/>
          <w:sz w:val="2"/>
        </w:rPr>
        <w:tab/>
      </w:r>
      <w:r>
        <w:rPr>
          <w:rFonts w:ascii="宋体"/>
          <w:sz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sz w:val="2"/>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6"/>
          <w:szCs w:val="26"/>
        </w:rPr>
      </w:pPr>
    </w:p>
    <w:tbl>
      <w:tblPr>
        <w:tblW w:w="0" w:type="auto"/>
        <w:jc w:val="left"/>
        <w:tblInd w:w="4044" w:type="dxa"/>
        <w:tblLayout w:type="fixed"/>
        <w:tblCellMar>
          <w:top w:w="0" w:type="dxa"/>
          <w:left w:w="0" w:type="dxa"/>
          <w:bottom w:w="0" w:type="dxa"/>
          <w:right w:w="0" w:type="dxa"/>
        </w:tblCellMar>
        <w:tblLook w:val="01E0"/>
      </w:tblPr>
      <w:tblGrid>
        <w:gridCol w:w="2332"/>
        <w:gridCol w:w="2139"/>
      </w:tblGrid>
      <w:tr>
        <w:trPr>
          <w:trHeight w:val="493" w:hRule="exact"/>
        </w:trPr>
        <w:tc>
          <w:tcPr>
            <w:tcW w:w="2332" w:type="dxa"/>
            <w:tcBorders>
              <w:top w:val="nil" w:sz="6" w:space="0" w:color="auto"/>
              <w:left w:val="nil" w:sz="6" w:space="0" w:color="auto"/>
              <w:bottom w:val="nil" w:sz="6" w:space="0" w:color="auto"/>
              <w:right w:val="dotted" w:sz="4" w:space="0" w:color="9C8758"/>
            </w:tcBorders>
          </w:tcPr>
          <w:p>
            <w:pPr>
              <w:pStyle w:val="TableParagraph"/>
              <w:spacing w:line="240" w:lineRule="auto" w:before="122"/>
              <w:ind w:right="113"/>
              <w:jc w:val="right"/>
              <w:rPr>
                <w:rFonts w:ascii="宋体" w:hAnsi="宋体" w:cs="宋体" w:eastAsia="宋体" w:hint="default"/>
                <w:sz w:val="16"/>
                <w:szCs w:val="16"/>
              </w:rPr>
            </w:pPr>
            <w:r>
              <w:rPr>
                <w:rFonts w:ascii="宋体"/>
                <w:w w:val="135"/>
                <w:sz w:val="16"/>
              </w:rPr>
              <w:t>100%</w:t>
            </w:r>
            <w:r>
              <w:rPr>
                <w:rFonts w:ascii="宋体"/>
                <w:sz w:val="16"/>
              </w:rPr>
            </w:r>
          </w:p>
        </w:tc>
        <w:tc>
          <w:tcPr>
            <w:tcW w:w="2139" w:type="dxa"/>
            <w:tcBorders>
              <w:top w:val="nil" w:sz="6" w:space="0" w:color="auto"/>
              <w:left w:val="dotted" w:sz="4" w:space="0" w:color="9C8758"/>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7"/>
                <w:szCs w:val="17"/>
              </w:rPr>
            </w:pPr>
          </w:p>
        </w:tc>
      </w:tr>
      <w:tr>
        <w:trPr>
          <w:trHeight w:val="545" w:hRule="exact"/>
        </w:trPr>
        <w:tc>
          <w:tcPr>
            <w:tcW w:w="4471" w:type="dxa"/>
            <w:gridSpan w:val="2"/>
            <w:tcBorders>
              <w:top w:val="nil" w:sz="6" w:space="0" w:color="auto"/>
              <w:left w:val="nil" w:sz="6" w:space="0" w:color="auto"/>
              <w:bottom w:val="single" w:sz="28" w:space="0" w:color="950000"/>
              <w:right w:val="nil" w:sz="6" w:space="0" w:color="auto"/>
            </w:tcBorders>
            <w:shd w:val="clear" w:color="auto" w:fill="D7000F"/>
          </w:tcPr>
          <w:p>
            <w:pPr>
              <w:pStyle w:val="TableParagraph"/>
              <w:spacing w:line="20" w:lineRule="exact"/>
              <w:ind w:left="2327" w:right="0"/>
              <w:jc w:val="left"/>
              <w:rPr>
                <w:rFonts w:ascii="宋体" w:hAnsi="宋体" w:cs="宋体" w:eastAsia="宋体" w:hint="default"/>
                <w:sz w:val="2"/>
                <w:szCs w:val="2"/>
              </w:rPr>
            </w:pPr>
            <w:r>
              <w:rPr>
                <w:rFonts w:ascii="宋体" w:hAnsi="宋体" w:cs="宋体" w:eastAsia="宋体" w:hint="default"/>
                <w:sz w:val="2"/>
                <w:szCs w:val="2"/>
              </w:rPr>
              <w:pict>
                <v:group style="width:.5pt;height:.5pt;mso-position-horizontal-relative:char;mso-position-vertical-relative:line" coordorigin="0,0" coordsize="10,10">
                  <v:group style="position:absolute;left:5;top:5;width:2;height:2" coordorigin="5,5" coordsize="2,2">
                    <v:shape style="position:absolute;left:5;top:5;width:2;height:2" coordorigin="5,5" coordsize="0,0" path="m5,5l5,5e" filled="false" stroked="true" strokeweight=".47pt" strokecolor="#9c8758">
                      <v:path arrowok="t"/>
                    </v:shape>
                  </v:group>
                </v:group>
              </w:pict>
            </w:r>
            <w:r>
              <w:rPr>
                <w:rFonts w:ascii="宋体" w:hAnsi="宋体" w:cs="宋体" w:eastAsia="宋体" w:hint="default"/>
                <w:sz w:val="2"/>
                <w:szCs w:val="2"/>
              </w:rPr>
            </w:r>
          </w:p>
          <w:p>
            <w:pPr>
              <w:pStyle w:val="TableParagraph"/>
              <w:spacing w:line="240" w:lineRule="auto" w:before="116"/>
              <w:ind w:left="1271" w:right="0"/>
              <w:jc w:val="left"/>
              <w:rPr>
                <w:rFonts w:ascii="宋体" w:hAnsi="宋体" w:cs="宋体" w:eastAsia="宋体" w:hint="default"/>
                <w:sz w:val="16"/>
                <w:szCs w:val="16"/>
              </w:rPr>
            </w:pPr>
            <w:r>
              <w:rPr>
                <w:rFonts w:ascii="宋体" w:hAnsi="宋体" w:cs="宋体" w:eastAsia="宋体" w:hint="default"/>
                <w:color w:val="FFFFFF"/>
                <w:sz w:val="16"/>
                <w:szCs w:val="16"/>
              </w:rPr>
              <w:t>中国联合网络通信有限公司</w:t>
            </w:r>
            <w:r>
              <w:rPr>
                <w:rFonts w:ascii="宋体" w:hAnsi="宋体" w:cs="宋体" w:eastAsia="宋体" w:hint="default"/>
                <w:sz w:val="16"/>
                <w:szCs w:val="16"/>
              </w:rPr>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5"/>
          <w:szCs w:val="15"/>
        </w:rPr>
      </w:pPr>
    </w:p>
    <w:p>
      <w:pPr>
        <w:spacing w:before="43"/>
        <w:ind w:left="1968" w:right="764" w:firstLine="0"/>
        <w:jc w:val="left"/>
        <w:rPr>
          <w:rFonts w:ascii="宋体" w:hAnsi="宋体" w:cs="宋体" w:eastAsia="宋体" w:hint="default"/>
          <w:sz w:val="16"/>
          <w:szCs w:val="16"/>
        </w:rPr>
      </w:pPr>
      <w:r>
        <w:rPr>
          <w:rFonts w:ascii="宋体" w:hAnsi="宋体" w:cs="宋体" w:eastAsia="宋体" w:hint="default"/>
          <w:sz w:val="16"/>
          <w:szCs w:val="16"/>
        </w:rPr>
        <w:t>注：</w:t>
      </w:r>
    </w:p>
    <w:p>
      <w:pPr>
        <w:spacing w:before="70"/>
        <w:ind w:left="1968" w:right="764" w:firstLine="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3"/>
          <w:w w:val="105"/>
          <w:sz w:val="16"/>
          <w:szCs w:val="16"/>
        </w:rPr>
        <w:t> </w:t>
      </w:r>
      <w:r>
        <w:rPr>
          <w:rFonts w:ascii="宋体" w:hAnsi="宋体" w:cs="宋体" w:eastAsia="宋体" w:hint="default"/>
          <w:w w:val="105"/>
          <w:sz w:val="16"/>
          <w:szCs w:val="16"/>
        </w:rPr>
        <w:t>数据截至</w:t>
      </w:r>
      <w:r>
        <w:rPr>
          <w:rFonts w:ascii="宋体" w:hAnsi="宋体" w:cs="宋体" w:eastAsia="宋体" w:hint="default"/>
          <w:spacing w:val="-53"/>
          <w:w w:val="105"/>
          <w:sz w:val="16"/>
          <w:szCs w:val="16"/>
        </w:rPr>
        <w:t> </w:t>
      </w:r>
      <w:r>
        <w:rPr>
          <w:rFonts w:ascii="宋体" w:hAnsi="宋体" w:cs="宋体" w:eastAsia="宋体" w:hint="default"/>
          <w:w w:val="105"/>
          <w:sz w:val="16"/>
          <w:szCs w:val="16"/>
        </w:rPr>
        <w:t>2018</w:t>
      </w:r>
      <w:r>
        <w:rPr>
          <w:rFonts w:ascii="宋体" w:hAnsi="宋体" w:cs="宋体" w:eastAsia="宋体" w:hint="default"/>
          <w:spacing w:val="-54"/>
          <w:w w:val="105"/>
          <w:sz w:val="16"/>
          <w:szCs w:val="16"/>
        </w:rPr>
        <w:t> </w:t>
      </w:r>
      <w:r>
        <w:rPr>
          <w:rFonts w:ascii="宋体" w:hAnsi="宋体" w:cs="宋体" w:eastAsia="宋体" w:hint="default"/>
          <w:w w:val="105"/>
          <w:sz w:val="16"/>
          <w:szCs w:val="16"/>
        </w:rPr>
        <w:t>年</w:t>
      </w:r>
      <w:r>
        <w:rPr>
          <w:rFonts w:ascii="宋体" w:hAnsi="宋体" w:cs="宋体" w:eastAsia="宋体" w:hint="default"/>
          <w:spacing w:val="-53"/>
          <w:w w:val="105"/>
          <w:sz w:val="16"/>
          <w:szCs w:val="16"/>
        </w:rPr>
        <w:t> </w:t>
      </w:r>
      <w:r>
        <w:rPr>
          <w:rFonts w:ascii="宋体" w:hAnsi="宋体" w:cs="宋体" w:eastAsia="宋体" w:hint="default"/>
          <w:w w:val="105"/>
          <w:sz w:val="16"/>
          <w:szCs w:val="16"/>
        </w:rPr>
        <w:t>12</w:t>
      </w:r>
      <w:r>
        <w:rPr>
          <w:rFonts w:ascii="宋体" w:hAnsi="宋体" w:cs="宋体" w:eastAsia="宋体" w:hint="default"/>
          <w:spacing w:val="-54"/>
          <w:w w:val="105"/>
          <w:sz w:val="16"/>
          <w:szCs w:val="16"/>
        </w:rPr>
        <w:t> </w:t>
      </w:r>
      <w:r>
        <w:rPr>
          <w:rFonts w:ascii="宋体" w:hAnsi="宋体" w:cs="宋体" w:eastAsia="宋体" w:hint="default"/>
          <w:w w:val="105"/>
          <w:sz w:val="16"/>
          <w:szCs w:val="16"/>
        </w:rPr>
        <w:t>月</w:t>
      </w:r>
      <w:r>
        <w:rPr>
          <w:rFonts w:ascii="宋体" w:hAnsi="宋体" w:cs="宋体" w:eastAsia="宋体" w:hint="default"/>
          <w:spacing w:val="-53"/>
          <w:w w:val="105"/>
          <w:sz w:val="16"/>
          <w:szCs w:val="16"/>
        </w:rPr>
        <w:t> </w:t>
      </w:r>
      <w:r>
        <w:rPr>
          <w:rFonts w:ascii="宋体" w:hAnsi="宋体" w:cs="宋体" w:eastAsia="宋体" w:hint="default"/>
          <w:w w:val="105"/>
          <w:sz w:val="16"/>
          <w:szCs w:val="16"/>
        </w:rPr>
        <w:t>31</w:t>
      </w:r>
      <w:r>
        <w:rPr>
          <w:rFonts w:ascii="宋体" w:hAnsi="宋体" w:cs="宋体" w:eastAsia="宋体" w:hint="default"/>
          <w:spacing w:val="-54"/>
          <w:w w:val="105"/>
          <w:sz w:val="16"/>
          <w:szCs w:val="16"/>
        </w:rPr>
        <w:t> </w:t>
      </w:r>
      <w:r>
        <w:rPr>
          <w:rFonts w:ascii="宋体" w:hAnsi="宋体" w:cs="宋体" w:eastAsia="宋体" w:hint="default"/>
          <w:w w:val="105"/>
          <w:sz w:val="16"/>
          <w:szCs w:val="16"/>
        </w:rPr>
        <w:t>日；</w:t>
      </w:r>
    </w:p>
    <w:p>
      <w:pPr>
        <w:spacing w:before="70"/>
        <w:ind w:left="1968" w:right="764" w:firstLine="0"/>
        <w:jc w:val="left"/>
        <w:rPr>
          <w:rFonts w:ascii="宋体" w:hAnsi="宋体" w:cs="宋体" w:eastAsia="宋体" w:hint="default"/>
          <w:sz w:val="16"/>
          <w:szCs w:val="16"/>
        </w:rPr>
      </w:pPr>
      <w:r>
        <w:rPr>
          <w:rFonts w:ascii="宋体" w:hAnsi="宋体" w:cs="宋体" w:eastAsia="宋体" w:hint="default"/>
          <w:w w:val="95"/>
          <w:sz w:val="16"/>
          <w:szCs w:val="16"/>
        </w:rPr>
        <w:t>2.    </w:t>
      </w:r>
      <w:r>
        <w:rPr>
          <w:rFonts w:ascii="宋体" w:hAnsi="宋体" w:cs="宋体" w:eastAsia="宋体" w:hint="default"/>
          <w:spacing w:val="1"/>
          <w:w w:val="95"/>
          <w:sz w:val="16"/>
          <w:szCs w:val="16"/>
        </w:rPr>
        <w:t> </w:t>
      </w:r>
      <w:r>
        <w:rPr>
          <w:rFonts w:ascii="宋体" w:hAnsi="宋体" w:cs="宋体" w:eastAsia="宋体" w:hint="default"/>
          <w:w w:val="95"/>
          <w:sz w:val="16"/>
          <w:szCs w:val="16"/>
        </w:rPr>
        <w:t>战略投资者持有本公司股份指混合所有制改革引入的战略投资者因非公开发行及老股转让取得的股份；</w:t>
      </w:r>
    </w:p>
    <w:p>
      <w:pPr>
        <w:spacing w:line="321" w:lineRule="auto" w:before="70"/>
        <w:ind w:left="1968" w:right="764" w:firstLine="0"/>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69"/>
          <w:sz w:val="16"/>
          <w:szCs w:val="16"/>
        </w:rPr>
        <w:t> </w:t>
      </w:r>
      <w:r>
        <w:rPr>
          <w:rFonts w:ascii="宋体" w:hAnsi="宋体" w:cs="宋体" w:eastAsia="宋体" w:hint="default"/>
          <w:sz w:val="16"/>
          <w:szCs w:val="16"/>
        </w:rPr>
        <w:t>中国联通集团（BVI）有限公司持有股份中不包含其作为受托人代一中国籍股东持有的</w:t>
      </w:r>
      <w:r>
        <w:rPr>
          <w:rFonts w:ascii="宋体" w:hAnsi="宋体" w:cs="宋体" w:eastAsia="宋体" w:hint="default"/>
          <w:spacing w:val="-69"/>
          <w:sz w:val="16"/>
          <w:szCs w:val="16"/>
        </w:rPr>
        <w:t> </w:t>
      </w:r>
      <w:r>
        <w:rPr>
          <w:rFonts w:ascii="宋体" w:hAnsi="宋体" w:cs="宋体" w:eastAsia="宋体" w:hint="default"/>
          <w:sz w:val="16"/>
          <w:szCs w:val="16"/>
        </w:rPr>
        <w:t>225,722,791</w:t>
      </w:r>
      <w:r>
        <w:rPr>
          <w:rFonts w:ascii="宋体" w:hAnsi="宋体" w:cs="宋体" w:eastAsia="宋体" w:hint="default"/>
          <w:spacing w:val="-69"/>
          <w:sz w:val="16"/>
          <w:szCs w:val="16"/>
        </w:rPr>
        <w:t> </w:t>
      </w:r>
      <w:r>
        <w:rPr>
          <w:rFonts w:ascii="宋体" w:hAnsi="宋体" w:cs="宋体" w:eastAsia="宋体" w:hint="default"/>
          <w:sz w:val="16"/>
          <w:szCs w:val="16"/>
        </w:rPr>
        <w:t>股中国联合网络通信（香港）</w:t>
      </w:r>
      <w:r>
        <w:rPr>
          <w:rFonts w:ascii="宋体" w:hAnsi="宋体" w:cs="宋体" w:eastAsia="宋体" w:hint="default"/>
          <w:sz w:val="16"/>
          <w:szCs w:val="16"/>
        </w:rPr>
        <w:t> 股份有限公司股份。</w:t>
      </w:r>
    </w:p>
    <w:p>
      <w:pPr>
        <w:spacing w:line="240" w:lineRule="auto" w:before="0"/>
        <w:rPr>
          <w:rFonts w:ascii="宋体" w:hAnsi="宋体" w:cs="宋体" w:eastAsia="宋体" w:hint="default"/>
          <w:sz w:val="16"/>
          <w:szCs w:val="16"/>
        </w:rPr>
      </w:pPr>
    </w:p>
    <w:p>
      <w:pPr>
        <w:spacing w:line="240" w:lineRule="auto" w:before="2"/>
        <w:rPr>
          <w:rFonts w:ascii="宋体" w:hAnsi="宋体" w:cs="宋体" w:eastAsia="宋体" w:hint="default"/>
          <w:sz w:val="19"/>
          <w:szCs w:val="19"/>
        </w:rPr>
      </w:pPr>
    </w:p>
    <w:p>
      <w:pPr>
        <w:pStyle w:val="BodyText"/>
        <w:spacing w:line="240" w:lineRule="auto"/>
        <w:ind w:left="1417" w:right="764"/>
        <w:jc w:val="left"/>
        <w:rPr>
          <w:rFonts w:ascii="宋体" w:hAnsi="宋体" w:cs="宋体" w:eastAsia="宋体" w:hint="default"/>
        </w:rPr>
      </w:pPr>
      <w:r>
        <w:rPr>
          <w:rFonts w:ascii="宋体" w:hAnsi="宋体" w:cs="宋体" w:eastAsia="宋体" w:hint="default"/>
          <w:color w:val="D7000F"/>
        </w:rPr>
        <w:t>五、其他持股在百分之十以上的法人股东</w:t>
      </w:r>
      <w:r>
        <w:rPr>
          <w:rFonts w:ascii="宋体" w:hAnsi="宋体" w:cs="宋体" w:eastAsia="宋体" w:hint="default"/>
        </w:rPr>
      </w:r>
    </w:p>
    <w:p>
      <w:pPr>
        <w:spacing w:line="240" w:lineRule="auto" w:before="0"/>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headerReference w:type="default" r:id="rId176"/>
          <w:pgSz w:w="11910" w:h="16160"/>
          <w:pgMar w:header="0" w:footer="298" w:top="0" w:bottom="480" w:left="0" w:right="0"/>
        </w:sectPr>
      </w:pPr>
    </w:p>
    <w:p>
      <w:pPr>
        <w:spacing w:line="240" w:lineRule="auto" w:before="0"/>
        <w:rPr>
          <w:rFonts w:ascii="宋体" w:hAnsi="宋体" w:cs="宋体" w:eastAsia="宋体" w:hint="default"/>
          <w:sz w:val="21"/>
          <w:szCs w:val="21"/>
        </w:rPr>
      </w:pPr>
    </w:p>
    <w:p>
      <w:pPr>
        <w:tabs>
          <w:tab w:pos="5652" w:val="left" w:leader="none"/>
        </w:tabs>
        <w:spacing w:before="0"/>
        <w:ind w:left="3221" w:right="-20" w:firstLine="0"/>
        <w:jc w:val="left"/>
        <w:rPr>
          <w:rFonts w:ascii="宋体" w:hAnsi="宋体" w:cs="宋体" w:eastAsia="宋体" w:hint="default"/>
          <w:sz w:val="16"/>
          <w:szCs w:val="16"/>
        </w:rPr>
      </w:pPr>
      <w:r>
        <w:rPr>
          <w:rFonts w:ascii="宋体" w:hAnsi="宋体" w:cs="宋体" w:eastAsia="宋体" w:hint="default"/>
          <w:sz w:val="16"/>
          <w:szCs w:val="16"/>
        </w:rPr>
        <w:t>单位负责人</w:t>
        <w:tab/>
        <w:t>组织</w:t>
      </w:r>
    </w:p>
    <w:p>
      <w:pPr>
        <w:spacing w:before="54"/>
        <w:ind w:left="3221" w:right="0" w:firstLine="0"/>
        <w:jc w:val="left"/>
        <w:rPr>
          <w:rFonts w:ascii="宋体" w:hAnsi="宋体" w:cs="宋体" w:eastAsia="宋体" w:hint="default"/>
          <w:sz w:val="12"/>
          <w:szCs w:val="12"/>
        </w:rPr>
      </w:pPr>
      <w:r>
        <w:rPr/>
        <w:br w:type="column"/>
      </w: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p>
      <w:pPr>
        <w:spacing w:after="0"/>
        <w:jc w:val="left"/>
        <w:rPr>
          <w:rFonts w:ascii="宋体" w:hAnsi="宋体" w:cs="宋体" w:eastAsia="宋体" w:hint="default"/>
          <w:sz w:val="12"/>
          <w:szCs w:val="12"/>
        </w:rPr>
        <w:sectPr>
          <w:type w:val="continuous"/>
          <w:pgSz w:w="11910" w:h="16160"/>
          <w:pgMar w:top="1520" w:bottom="280" w:left="0" w:right="0"/>
          <w:cols w:num="2" w:equalWidth="0">
            <w:col w:w="5973" w:space="498"/>
            <w:col w:w="5439"/>
          </w:cols>
        </w:sectPr>
      </w:pPr>
    </w:p>
    <w:p>
      <w:pPr>
        <w:spacing w:line="200" w:lineRule="exact" w:before="0"/>
        <w:ind w:left="1842" w:right="-20" w:firstLine="0"/>
        <w:jc w:val="left"/>
        <w:rPr>
          <w:rFonts w:ascii="宋体" w:hAnsi="宋体" w:cs="宋体" w:eastAsia="宋体" w:hint="default"/>
          <w:sz w:val="16"/>
          <w:szCs w:val="16"/>
        </w:rPr>
      </w:pPr>
      <w:r>
        <w:rPr>
          <w:rFonts w:ascii="宋体" w:hAnsi="宋体" w:cs="宋体" w:eastAsia="宋体" w:hint="default"/>
          <w:sz w:val="16"/>
          <w:szCs w:val="16"/>
        </w:rPr>
        <w:t>法人股东名称</w:t>
      </w:r>
    </w:p>
    <w:p>
      <w:pPr>
        <w:tabs>
          <w:tab w:pos="1606" w:val="left" w:leader="none"/>
        </w:tabs>
        <w:spacing w:line="200" w:lineRule="exact" w:before="0"/>
        <w:ind w:left="298"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或法定代表人</w:t>
        <w:tab/>
        <w:t>成立日期</w:t>
      </w:r>
    </w:p>
    <w:p>
      <w:pPr>
        <w:tabs>
          <w:tab w:pos="1540" w:val="left" w:leader="none"/>
          <w:tab w:pos="3093" w:val="left" w:leader="none"/>
        </w:tabs>
        <w:spacing w:line="200" w:lineRule="exact" w:before="0"/>
        <w:ind w:left="363"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机构代码</w:t>
        <w:tab/>
        <w:t>注册资本</w:t>
        <w:tab/>
        <w:t>主要经营业务或管理活动等情况</w:t>
      </w:r>
    </w:p>
    <w:p>
      <w:pPr>
        <w:spacing w:after="0" w:line="200" w:lineRule="exact"/>
        <w:jc w:val="left"/>
        <w:rPr>
          <w:rFonts w:ascii="宋体" w:hAnsi="宋体" w:cs="宋体" w:eastAsia="宋体" w:hint="default"/>
          <w:sz w:val="16"/>
          <w:szCs w:val="16"/>
        </w:rPr>
        <w:sectPr>
          <w:type w:val="continuous"/>
          <w:pgSz w:w="11910" w:h="16160"/>
          <w:pgMar w:top="1520" w:bottom="280" w:left="0" w:right="0"/>
          <w:cols w:num="3" w:equalWidth="0">
            <w:col w:w="2803" w:space="40"/>
            <w:col w:w="2247" w:space="39"/>
            <w:col w:w="6781"/>
          </w:cols>
        </w:sectPr>
      </w:pPr>
    </w:p>
    <w:p>
      <w:pPr>
        <w:spacing w:line="240" w:lineRule="auto" w:before="2"/>
        <w:rPr>
          <w:rFonts w:ascii="宋体" w:hAnsi="宋体" w:cs="宋体" w:eastAsia="宋体" w:hint="default"/>
          <w:sz w:val="7"/>
          <w:szCs w:val="7"/>
        </w:rPr>
      </w:pPr>
    </w:p>
    <w:p>
      <w:pPr>
        <w:spacing w:line="40" w:lineRule="exact"/>
        <w:ind w:left="173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35pt;height:2pt;mso-position-horizontal-relative:char;mso-position-vertical-relative:line" coordorigin="0,0" coordsize="9327,40">
            <v:group style="position:absolute;left:20;top:20;width:1234;height:2" coordorigin="20,20" coordsize="1234,2">
              <v:shape style="position:absolute;left:20;top:20;width:1234;height:2" coordorigin="20,20" coordsize="1234,0" path="m20,20l1253,20e" filled="false" stroked="true" strokeweight="2pt" strokecolor="#9c8758">
                <v:path arrowok="t"/>
              </v:shape>
            </v:group>
            <v:group style="position:absolute;left:1253;top:20;width:1262;height:2" coordorigin="1253,20" coordsize="1262,2">
              <v:shape style="position:absolute;left:1253;top:20;width:1262;height:2" coordorigin="1253,20" coordsize="1262,0" path="m1253,20l2514,20e" filled="false" stroked="true" strokeweight="2pt" strokecolor="#9c8758">
                <v:path arrowok="t"/>
              </v:shape>
            </v:group>
            <v:group style="position:absolute;left:2514;top:20;width:1035;height:2" coordorigin="2514,20" coordsize="1035,2">
              <v:shape style="position:absolute;left:2514;top:20;width:1035;height:2" coordorigin="2514,20" coordsize="1035,0" path="m2514,20l3549,20e" filled="false" stroked="true" strokeweight="2pt" strokecolor="#9c8758">
                <v:path arrowok="t"/>
              </v:shape>
            </v:group>
            <v:group style="position:absolute;left:3549;top:20;width:1052;height:2" coordorigin="3549,20" coordsize="1052,2">
              <v:shape style="position:absolute;left:3549;top:20;width:1052;height:2" coordorigin="3549,20" coordsize="1052,0" path="m3549,20l4601,20e" filled="false" stroked="true" strokeweight="2pt" strokecolor="#9c8758">
                <v:path arrowok="t"/>
              </v:shape>
            </v:group>
            <v:group style="position:absolute;left:4601;top:20;width:1304;height:2" coordorigin="4601,20" coordsize="1304,2">
              <v:shape style="position:absolute;left:4601;top:20;width:1304;height:2" coordorigin="4601,20" coordsize="1304,0" path="m4601,20l5905,20e" filled="false" stroked="true" strokeweight="2pt" strokecolor="#9c8758">
                <v:path arrowok="t"/>
              </v:shape>
            </v:group>
            <v:group style="position:absolute;left:5905;top:20;width:3402;height:2" coordorigin="5905,20" coordsize="3402,2">
              <v:shape style="position:absolute;left:5905;top:20;width:3402;height:2" coordorigin="5905,20" coordsize="3402,0" path="m5905,20l9306,20e" filled="false" stroked="true" strokeweight="2pt" strokecolor="#9c87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type w:val="continuous"/>
          <w:pgSz w:w="11910" w:h="16160"/>
          <w:pgMar w:top="1520" w:bottom="280" w:left="0" w:right="0"/>
        </w:sectPr>
      </w:pP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142" w:lineRule="exact" w:before="103"/>
        <w:ind w:left="1863" w:right="877" w:firstLine="0"/>
        <w:jc w:val="center"/>
        <w:rPr>
          <w:rFonts w:ascii="宋体" w:hAnsi="宋体" w:cs="宋体" w:eastAsia="宋体" w:hint="default"/>
          <w:sz w:val="14"/>
          <w:szCs w:val="14"/>
        </w:rPr>
      </w:pPr>
      <w:r>
        <w:rPr>
          <w:rFonts w:ascii="宋体" w:hAnsi="宋体" w:cs="宋体" w:eastAsia="宋体" w:hint="default"/>
          <w:sz w:val="14"/>
          <w:szCs w:val="14"/>
        </w:rPr>
        <w:t>中国人寿保险股</w:t>
      </w:r>
    </w:p>
    <w:p>
      <w:pPr>
        <w:spacing w:line="100" w:lineRule="exact" w:before="0"/>
        <w:ind w:left="0" w:right="0" w:firstLine="0"/>
        <w:jc w:val="right"/>
        <w:rPr>
          <w:rFonts w:ascii="宋体" w:hAnsi="宋体" w:cs="宋体" w:eastAsia="宋体" w:hint="default"/>
          <w:sz w:val="14"/>
          <w:szCs w:val="14"/>
        </w:rPr>
      </w:pPr>
      <w:r>
        <w:rPr>
          <w:rFonts w:ascii="宋体" w:hAnsi="宋体" w:cs="宋体" w:eastAsia="宋体" w:hint="default"/>
          <w:sz w:val="14"/>
          <w:szCs w:val="14"/>
        </w:rPr>
        <w:t>王滨</w:t>
      </w:r>
    </w:p>
    <w:p>
      <w:pPr>
        <w:spacing w:line="142" w:lineRule="exact" w:before="0"/>
        <w:ind w:left="1863" w:right="877" w:firstLine="0"/>
        <w:jc w:val="center"/>
        <w:rPr>
          <w:rFonts w:ascii="宋体" w:hAnsi="宋体" w:cs="宋体" w:eastAsia="宋体" w:hint="default"/>
          <w:sz w:val="14"/>
          <w:szCs w:val="14"/>
        </w:rPr>
      </w:pPr>
      <w:r>
        <w:rPr>
          <w:rFonts w:ascii="宋体" w:hAnsi="宋体" w:cs="宋体" w:eastAsia="宋体" w:hint="default"/>
          <w:sz w:val="14"/>
          <w:szCs w:val="14"/>
        </w:rPr>
        <w:t>份有限公司</w:t>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before="104"/>
        <w:ind w:left="725" w:right="0" w:firstLine="0"/>
        <w:jc w:val="left"/>
        <w:rPr>
          <w:rFonts w:ascii="宋体" w:hAnsi="宋体" w:cs="宋体" w:eastAsia="宋体" w:hint="default"/>
          <w:sz w:val="14"/>
          <w:szCs w:val="14"/>
        </w:rPr>
      </w:pPr>
      <w:r>
        <w:rPr>
          <w:rFonts w:ascii="宋体" w:hAnsi="宋体" w:cs="宋体" w:eastAsia="宋体" w:hint="default"/>
          <w:w w:val="110"/>
          <w:sz w:val="14"/>
          <w:szCs w:val="14"/>
        </w:rPr>
        <w:t>2003</w:t>
      </w:r>
      <w:r>
        <w:rPr>
          <w:rFonts w:ascii="宋体" w:hAnsi="宋体" w:cs="宋体" w:eastAsia="宋体" w:hint="default"/>
          <w:spacing w:val="-55"/>
          <w:w w:val="110"/>
          <w:sz w:val="14"/>
          <w:szCs w:val="14"/>
        </w:rPr>
        <w:t> </w:t>
      </w:r>
      <w:r>
        <w:rPr>
          <w:rFonts w:ascii="宋体" w:hAnsi="宋体" w:cs="宋体" w:eastAsia="宋体" w:hint="default"/>
          <w:w w:val="110"/>
          <w:sz w:val="14"/>
          <w:szCs w:val="14"/>
        </w:rPr>
        <w:t>年</w:t>
      </w:r>
    </w:p>
    <w:p>
      <w:pPr>
        <w:spacing w:before="17"/>
        <w:ind w:left="659" w:right="0" w:firstLine="0"/>
        <w:jc w:val="left"/>
        <w:rPr>
          <w:rFonts w:ascii="宋体" w:hAnsi="宋体" w:cs="宋体" w:eastAsia="宋体" w:hint="default"/>
          <w:sz w:val="14"/>
          <w:szCs w:val="14"/>
        </w:rPr>
      </w:pPr>
      <w:r>
        <w:rPr>
          <w:rFonts w:ascii="宋体" w:hAnsi="宋体" w:cs="宋体" w:eastAsia="宋体" w:hint="default"/>
          <w:spacing w:val="16"/>
          <w:w w:val="105"/>
          <w:sz w:val="14"/>
          <w:szCs w:val="14"/>
        </w:rPr>
        <w:t>6月</w:t>
      </w:r>
      <w:r>
        <w:rPr>
          <w:rFonts w:ascii="宋体" w:hAnsi="宋体" w:cs="宋体" w:eastAsia="宋体" w:hint="default"/>
          <w:spacing w:val="-33"/>
          <w:w w:val="105"/>
          <w:sz w:val="14"/>
          <w:szCs w:val="14"/>
        </w:rPr>
        <w:t> </w:t>
      </w:r>
      <w:r>
        <w:rPr>
          <w:rFonts w:ascii="宋体" w:hAnsi="宋体" w:cs="宋体" w:eastAsia="宋体" w:hint="default"/>
          <w:spacing w:val="10"/>
          <w:w w:val="105"/>
          <w:sz w:val="14"/>
          <w:szCs w:val="14"/>
        </w:rPr>
        <w:t>30日</w:t>
      </w:r>
      <w:r>
        <w:rPr>
          <w:rFonts w:ascii="宋体" w:hAnsi="宋体" w:cs="宋体" w:eastAsia="宋体" w:hint="default"/>
          <w:spacing w:val="-35"/>
          <w:sz w:val="14"/>
          <w:szCs w:val="14"/>
        </w:rPr>
        <w:t> </w:t>
      </w:r>
      <w:r>
        <w:rPr>
          <w:rFonts w:ascii="宋体" w:hAnsi="宋体" w:cs="宋体" w:eastAsia="宋体" w:hint="default"/>
          <w:sz w:val="14"/>
          <w:szCs w:val="14"/>
        </w:rPr>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before="104"/>
        <w:ind w:left="348" w:right="0" w:firstLine="0"/>
        <w:jc w:val="left"/>
        <w:rPr>
          <w:rFonts w:ascii="宋体" w:hAnsi="宋体" w:cs="宋体" w:eastAsia="宋体" w:hint="default"/>
          <w:sz w:val="14"/>
          <w:szCs w:val="14"/>
        </w:rPr>
      </w:pPr>
      <w:r>
        <w:rPr>
          <w:rFonts w:ascii="宋体"/>
          <w:w w:val="110"/>
          <w:sz w:val="14"/>
        </w:rPr>
        <w:t>91100000</w:t>
      </w:r>
      <w:r>
        <w:rPr>
          <w:rFonts w:ascii="宋体"/>
          <w:sz w:val="14"/>
        </w:rPr>
      </w:r>
    </w:p>
    <w:p>
      <w:pPr>
        <w:spacing w:before="17"/>
        <w:ind w:left="263" w:right="0" w:firstLine="0"/>
        <w:jc w:val="left"/>
        <w:rPr>
          <w:rFonts w:ascii="宋体" w:hAnsi="宋体" w:cs="宋体" w:eastAsia="宋体" w:hint="default"/>
          <w:sz w:val="14"/>
          <w:szCs w:val="14"/>
        </w:rPr>
      </w:pPr>
      <w:r>
        <w:rPr>
          <w:rFonts w:ascii="宋体"/>
          <w:w w:val="110"/>
          <w:sz w:val="14"/>
        </w:rPr>
        <w:t>71092841XX</w:t>
      </w:r>
      <w:r>
        <w:rPr>
          <w:rFonts w:ascii="宋体"/>
          <w:sz w:val="14"/>
        </w:rPr>
      </w:r>
    </w:p>
    <w:p>
      <w:pPr>
        <w:spacing w:line="240" w:lineRule="auto" w:before="0"/>
        <w:rPr>
          <w:rFonts w:ascii="宋体" w:hAnsi="宋体" w:cs="宋体" w:eastAsia="宋体" w:hint="default"/>
          <w:sz w:val="14"/>
          <w:szCs w:val="14"/>
        </w:rPr>
      </w:pPr>
      <w:r>
        <w:rPr/>
        <w:br w:type="column"/>
      </w:r>
      <w:r>
        <w:rPr>
          <w:rFonts w:ascii="宋体"/>
          <w:sz w:val="14"/>
        </w:rPr>
      </w:r>
    </w:p>
    <w:p>
      <w:pPr>
        <w:spacing w:line="240" w:lineRule="auto" w:before="0"/>
        <w:rPr>
          <w:rFonts w:ascii="宋体" w:hAnsi="宋体" w:cs="宋体" w:eastAsia="宋体" w:hint="default"/>
          <w:sz w:val="14"/>
          <w:szCs w:val="14"/>
        </w:rPr>
      </w:pPr>
    </w:p>
    <w:p>
      <w:pPr>
        <w:spacing w:line="240" w:lineRule="auto" w:before="8"/>
        <w:rPr>
          <w:rFonts w:ascii="宋体" w:hAnsi="宋体" w:cs="宋体" w:eastAsia="宋体" w:hint="default"/>
          <w:sz w:val="15"/>
          <w:szCs w:val="15"/>
        </w:rPr>
      </w:pPr>
    </w:p>
    <w:p>
      <w:pPr>
        <w:spacing w:before="0"/>
        <w:ind w:left="176" w:right="-19" w:firstLine="0"/>
        <w:jc w:val="left"/>
        <w:rPr>
          <w:rFonts w:ascii="宋体" w:hAnsi="宋体" w:cs="宋体" w:eastAsia="宋体" w:hint="default"/>
          <w:sz w:val="14"/>
          <w:szCs w:val="14"/>
        </w:rPr>
      </w:pPr>
      <w:r>
        <w:rPr>
          <w:rFonts w:ascii="宋体" w:hAnsi="宋体" w:cs="宋体" w:eastAsia="宋体" w:hint="default"/>
          <w:w w:val="95"/>
          <w:sz w:val="14"/>
          <w:szCs w:val="14"/>
        </w:rPr>
        <w:t>2,826,470.50</w:t>
      </w:r>
      <w:r>
        <w:rPr>
          <w:rFonts w:ascii="宋体" w:hAnsi="宋体" w:cs="宋体" w:eastAsia="宋体" w:hint="default"/>
          <w:spacing w:val="-1"/>
          <w:w w:val="95"/>
          <w:sz w:val="14"/>
          <w:szCs w:val="14"/>
        </w:rPr>
        <w:t> </w:t>
      </w:r>
      <w:r>
        <w:rPr>
          <w:rFonts w:ascii="宋体" w:hAnsi="宋体" w:cs="宋体" w:eastAsia="宋体" w:hint="default"/>
          <w:w w:val="95"/>
          <w:sz w:val="14"/>
          <w:szCs w:val="14"/>
        </w:rPr>
        <w:t>万元</w:t>
      </w:r>
    </w:p>
    <w:p>
      <w:pPr>
        <w:spacing w:line="261" w:lineRule="auto" w:before="70"/>
        <w:ind w:left="131" w:right="956" w:firstLine="0"/>
        <w:jc w:val="both"/>
        <w:rPr>
          <w:rFonts w:ascii="宋体" w:hAnsi="宋体" w:cs="宋体" w:eastAsia="宋体" w:hint="default"/>
          <w:sz w:val="14"/>
          <w:szCs w:val="14"/>
        </w:rPr>
      </w:pPr>
      <w:r>
        <w:rPr/>
        <w:br w:type="column"/>
      </w:r>
      <w:r>
        <w:rPr>
          <w:rFonts w:ascii="宋体" w:hAnsi="宋体" w:cs="宋体" w:eastAsia="宋体" w:hint="default"/>
          <w:sz w:val="14"/>
          <w:szCs w:val="14"/>
        </w:rPr>
        <w:t>人寿保险、健康保险、意外伤害保险等各类人身保险 业务；人身保险的再保险业务；国家法律、法规允许 或国务院批准的资金运用业务；各类人身保险服务、 咨询和代理业务；证券投资基金销售业务；国家保险 监督管理部门批准的其他业务。（依法须经批准的项 目，经相关部门批准后方可开展经营活动）</w:t>
      </w:r>
    </w:p>
    <w:p>
      <w:pPr>
        <w:spacing w:after="0" w:line="261" w:lineRule="auto"/>
        <w:jc w:val="both"/>
        <w:rPr>
          <w:rFonts w:ascii="宋体" w:hAnsi="宋体" w:cs="宋体" w:eastAsia="宋体" w:hint="default"/>
          <w:sz w:val="14"/>
          <w:szCs w:val="14"/>
        </w:rPr>
        <w:sectPr>
          <w:type w:val="continuous"/>
          <w:pgSz w:w="11910" w:h="16160"/>
          <w:pgMar w:top="1520" w:bottom="280" w:left="0" w:right="0"/>
          <w:cols w:num="5" w:equalWidth="0">
            <w:col w:w="3762" w:space="40"/>
            <w:col w:w="1313" w:space="40"/>
            <w:col w:w="1056" w:space="40"/>
            <w:col w:w="1307" w:space="40"/>
            <w:col w:w="4312"/>
          </w:cols>
        </w:sectPr>
      </w:pPr>
    </w:p>
    <w:p>
      <w:pPr>
        <w:tabs>
          <w:tab w:pos="3541" w:val="left" w:leader="none"/>
        </w:tabs>
        <w:spacing w:before="51"/>
        <w:ind w:left="2054" w:right="764" w:firstLine="0"/>
        <w:jc w:val="left"/>
        <w:rPr>
          <w:rFonts w:ascii="宋体" w:hAnsi="宋体" w:cs="宋体" w:eastAsia="宋体" w:hint="default"/>
          <w:sz w:val="16"/>
          <w:szCs w:val="16"/>
        </w:rPr>
      </w:pPr>
      <w:r>
        <w:rPr>
          <w:rFonts w:ascii="宋体" w:hAnsi="宋体" w:cs="宋体" w:eastAsia="宋体" w:hint="default"/>
          <w:sz w:val="16"/>
          <w:szCs w:val="16"/>
        </w:rPr>
        <w:t>情况说明</w:t>
        <w:tab/>
        <w:t>无</w:t>
      </w:r>
    </w:p>
    <w:p>
      <w:pPr>
        <w:spacing w:line="240" w:lineRule="auto" w:before="6"/>
        <w:rPr>
          <w:rFonts w:ascii="宋体" w:hAnsi="宋体" w:cs="宋体" w:eastAsia="宋体" w:hint="default"/>
          <w:sz w:val="9"/>
          <w:szCs w:val="9"/>
        </w:rPr>
      </w:pPr>
    </w:p>
    <w:p>
      <w:pPr>
        <w:spacing w:line="20" w:lineRule="exact"/>
        <w:ind w:left="1752" w:right="0" w:firstLine="0"/>
        <w:rPr>
          <w:rFonts w:ascii="宋体" w:hAnsi="宋体" w:cs="宋体" w:eastAsia="宋体" w:hint="default"/>
          <w:sz w:val="2"/>
          <w:szCs w:val="2"/>
        </w:rPr>
      </w:pPr>
      <w:r>
        <w:rPr>
          <w:rFonts w:ascii="宋体" w:hAnsi="宋体" w:cs="宋体" w:eastAsia="宋体" w:hint="default"/>
          <w:sz w:val="2"/>
          <w:szCs w:val="2"/>
        </w:rPr>
        <w:pict>
          <v:group style="width:464.85pt;height:.5pt;mso-position-horizontal-relative:char;mso-position-vertical-relative:line" coordorigin="0,0" coordsize="9297,10">
            <v:group style="position:absolute;left:5;top:5;width:1234;height:2" coordorigin="5,5" coordsize="1234,2">
              <v:shape style="position:absolute;left:5;top:5;width:1234;height:2" coordorigin="5,5" coordsize="1234,0" path="m5,5l1238,5e" filled="false" stroked="true" strokeweight=".5pt" strokecolor="#000000">
                <v:path arrowok="t"/>
              </v:shape>
            </v:group>
            <v:group style="position:absolute;left:1238;top:5;width:1262;height:2" coordorigin="1238,5" coordsize="1262,2">
              <v:shape style="position:absolute;left:1238;top:5;width:1262;height:2" coordorigin="1238,5" coordsize="1262,0" path="m1238,5l2499,5e" filled="false" stroked="true" strokeweight=".5pt" strokecolor="#000000">
                <v:path arrowok="t"/>
              </v:shape>
            </v:group>
            <v:group style="position:absolute;left:2499;top:5;width:1035;height:2" coordorigin="2499,5" coordsize="1035,2">
              <v:shape style="position:absolute;left:2499;top:5;width:1035;height:2" coordorigin="2499,5" coordsize="1035,0" path="m2499,5l3534,5e" filled="false" stroked="true" strokeweight=".5pt" strokecolor="#000000">
                <v:path arrowok="t"/>
              </v:shape>
            </v:group>
            <v:group style="position:absolute;left:3534;top:5;width:1052;height:2" coordorigin="3534,5" coordsize="1052,2">
              <v:shape style="position:absolute;left:3534;top:5;width:1052;height:2" coordorigin="3534,5" coordsize="1052,0" path="m3534,5l4586,5e" filled="false" stroked="true" strokeweight=".5pt" strokecolor="#000000">
                <v:path arrowok="t"/>
              </v:shape>
            </v:group>
            <v:group style="position:absolute;left:4586;top:5;width:1304;height:2" coordorigin="4586,5" coordsize="1304,2">
              <v:shape style="position:absolute;left:4586;top:5;width:1304;height:2" coordorigin="4586,5" coordsize="1304,0" path="m4586,5l5890,5e" filled="false" stroked="true" strokeweight=".5pt" strokecolor="#000000">
                <v:path arrowok="t"/>
              </v:shape>
            </v:group>
            <v:group style="position:absolute;left:5890;top:5;width:3402;height:2" coordorigin="5890,5" coordsize="3402,2">
              <v:shape style="position:absolute;left:5890;top:5;width:3402;height:2" coordorigin="5890,5" coordsize="3402,0" path="m5890,5l9291,5e" filled="false" stroked="true" strokeweight=".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160"/>
          <w:pgMar w:top="1520" w:bottom="2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pStyle w:val="Heading1"/>
        <w:spacing w:line="897" w:lineRule="exact"/>
        <w:ind w:right="764"/>
        <w:jc w:val="left"/>
      </w:pPr>
      <w:r>
        <w:rPr/>
        <w:pict>
          <v:group style="position:absolute;margin-left:-.477996pt;margin-top:-132.372498pt;width:413.85pt;height:330.15pt;mso-position-horizontal-relative:page;mso-position-vertical-relative:paragraph;z-index:-964120" coordorigin="-10,-2647" coordsize="8277,6603">
            <v:group style="position:absolute;left:0;top:-2647;width:7805;height:6603" coordorigin="0,-2647" coordsize="7805,6603">
              <v:shape style="position:absolute;left:0;top:-2647;width:7805;height:6603" coordorigin="0,-2647" coordsize="7805,6603" path="m5172,3955l0,3955,0,1823,1782,-2647,7805,-2647,5172,3955xe" filled="true" fillcolor="#9c8758" stroked="false">
                <v:path arrowok="t"/>
                <v:fill type="solid"/>
              </v:shape>
              <v:shape style="position:absolute;left:8079;top:-947;width:188;height:188" type="#_x0000_t75" stroked="false">
                <v:imagedata r:id="rId143" o:title=""/>
              </v:shape>
            </v:group>
            <v:group style="position:absolute;left:3912;top:-853;width:4238;height:2" coordorigin="3912,-853" coordsize="4238,2">
              <v:shape style="position:absolute;left:3912;top:-853;width:4238;height:2" coordorigin="3912,-853" coordsize="4238,0" path="m8150,-853l3912,-853e" filled="false" stroked="true" strokeweight=".956pt" strokecolor="#d7000f">
                <v:path arrowok="t"/>
              </v:shape>
              <v:shape style="position:absolute;left:3813;top:-1366;width:188;height:188" type="#_x0000_t75" stroked="false">
                <v:imagedata r:id="rId180" o:title=""/>
              </v:shape>
            </v:group>
            <v:group style="position:absolute;left:0;top:-1272;width:3884;height:2" coordorigin="0,-1272" coordsize="3884,2">
              <v:shape style="position:absolute;left:0;top:-1272;width:3884;height:2" coordorigin="0,-1272" coordsize="3884,0" path="m3883,-1272l0,-1272e" filled="false" stroked="true" strokeweight=".956pt" strokecolor="#9d8757">
                <v:path arrowok="t"/>
              </v:shape>
            </v:group>
            <w10:wrap type="none"/>
          </v:group>
        </w:pict>
      </w:r>
      <w:r>
        <w:rPr>
          <w:color w:val="D7000F"/>
        </w:rPr>
        <w:t>董事、监事、</w:t>
      </w:r>
      <w:r>
        <w:rPr/>
      </w:r>
    </w:p>
    <w:p>
      <w:pPr>
        <w:spacing w:line="1204" w:lineRule="exact" w:before="0"/>
        <w:ind w:left="850" w:right="764" w:firstLine="0"/>
        <w:jc w:val="left"/>
        <w:rPr>
          <w:rFonts w:ascii="宋体" w:hAnsi="宋体" w:cs="宋体" w:eastAsia="宋体" w:hint="default"/>
          <w:sz w:val="96"/>
          <w:szCs w:val="96"/>
        </w:rPr>
      </w:pPr>
      <w:r>
        <w:rPr>
          <w:rFonts w:ascii="宋体" w:hAnsi="宋体" w:cs="宋体" w:eastAsia="宋体" w:hint="default"/>
          <w:color w:val="D7000F"/>
          <w:w w:val="95"/>
          <w:sz w:val="96"/>
          <w:szCs w:val="96"/>
        </w:rPr>
        <w:t>高级管理人员和员工情况</w:t>
      </w:r>
      <w:r>
        <w:rPr>
          <w:rFonts w:ascii="宋体" w:hAnsi="宋体" w:cs="宋体" w:eastAsia="宋体" w:hint="default"/>
          <w:sz w:val="96"/>
          <w:szCs w:val="96"/>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BodyText"/>
        <w:spacing w:line="240" w:lineRule="auto" w:before="26"/>
        <w:ind w:left="850" w:right="764"/>
        <w:jc w:val="left"/>
        <w:rPr>
          <w:rFonts w:ascii="宋体" w:hAnsi="宋体" w:cs="宋体" w:eastAsia="宋体" w:hint="default"/>
        </w:rPr>
      </w:pPr>
      <w:r>
        <w:rPr>
          <w:rFonts w:ascii="宋体" w:hAnsi="宋体" w:cs="宋体" w:eastAsia="宋体" w:hint="default"/>
          <w:color w:val="D7000F"/>
        </w:rPr>
        <w:t>一、持股变动情况及报酬情况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850"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现任及报告期内离任董事、监事和高级管理人员持股变动及报酬情况</w:t>
      </w:r>
    </w:p>
    <w:p>
      <w:pPr>
        <w:spacing w:line="240" w:lineRule="auto" w:before="4"/>
        <w:rPr>
          <w:rFonts w:ascii="宋体" w:hAnsi="宋体" w:cs="宋体" w:eastAsia="宋体" w:hint="default"/>
          <w:sz w:val="13"/>
          <w:szCs w:val="13"/>
        </w:rPr>
      </w:pPr>
    </w:p>
    <w:p>
      <w:pPr>
        <w:spacing w:line="321" w:lineRule="auto" w:before="0"/>
        <w:ind w:left="1175" w:right="3063" w:firstLine="0"/>
        <w:jc w:val="both"/>
        <w:rPr>
          <w:rFonts w:ascii="宋体" w:hAnsi="宋体" w:cs="宋体" w:eastAsia="宋体" w:hint="default"/>
          <w:sz w:val="16"/>
          <w:szCs w:val="16"/>
        </w:rPr>
      </w:pPr>
      <w:r>
        <w:rPr>
          <w:rFonts w:ascii="宋体" w:hAnsi="宋体" w:cs="宋体" w:eastAsia="宋体" w:hint="default"/>
          <w:sz w:val="16"/>
          <w:szCs w:val="16"/>
        </w:rPr>
        <w:t>报告期内，分别经股东大会及董事会审议通过，2018</w:t>
      </w:r>
      <w:r>
        <w:rPr>
          <w:rFonts w:ascii="宋体" w:hAnsi="宋体" w:cs="宋体" w:eastAsia="宋体" w:hint="default"/>
          <w:spacing w:val="-32"/>
          <w:sz w:val="16"/>
          <w:szCs w:val="16"/>
        </w:rPr>
        <w:t> </w:t>
      </w:r>
      <w:r>
        <w:rPr>
          <w:rFonts w:ascii="宋体" w:hAnsi="宋体" w:cs="宋体" w:eastAsia="宋体" w:hint="default"/>
          <w:sz w:val="16"/>
          <w:szCs w:val="16"/>
        </w:rPr>
        <w:t>年</w:t>
      </w:r>
      <w:r>
        <w:rPr>
          <w:rFonts w:ascii="宋体" w:hAnsi="宋体" w:cs="宋体" w:eastAsia="宋体" w:hint="default"/>
          <w:spacing w:val="-32"/>
          <w:sz w:val="16"/>
          <w:szCs w:val="16"/>
        </w:rPr>
        <w:t> </w:t>
      </w:r>
      <w:r>
        <w:rPr>
          <w:rFonts w:ascii="宋体" w:hAnsi="宋体" w:cs="宋体" w:eastAsia="宋体" w:hint="default"/>
          <w:sz w:val="16"/>
          <w:szCs w:val="16"/>
        </w:rPr>
        <w:t>2</w:t>
      </w:r>
      <w:r>
        <w:rPr>
          <w:rFonts w:ascii="宋体" w:hAnsi="宋体" w:cs="宋体" w:eastAsia="宋体" w:hint="default"/>
          <w:spacing w:val="-32"/>
          <w:sz w:val="16"/>
          <w:szCs w:val="16"/>
        </w:rPr>
        <w:t> </w:t>
      </w:r>
      <w:r>
        <w:rPr>
          <w:rFonts w:ascii="宋体" w:hAnsi="宋体" w:cs="宋体" w:eastAsia="宋体" w:hint="default"/>
          <w:sz w:val="16"/>
          <w:szCs w:val="16"/>
        </w:rPr>
        <w:t>月，公司董事会、监事会提前换届选举，选举成立</w:t>
      </w:r>
      <w:r>
        <w:rPr>
          <w:rFonts w:ascii="宋体" w:hAnsi="宋体" w:cs="宋体" w:eastAsia="宋体" w:hint="default"/>
          <w:spacing w:val="-65"/>
          <w:sz w:val="16"/>
          <w:szCs w:val="16"/>
        </w:rPr>
        <w:t> </w:t>
      </w:r>
      <w:r>
        <w:rPr>
          <w:rFonts w:ascii="宋体" w:hAnsi="宋体" w:cs="宋体" w:eastAsia="宋体" w:hint="default"/>
          <w:spacing w:val="-65"/>
          <w:sz w:val="16"/>
          <w:szCs w:val="16"/>
        </w:rPr>
      </w:r>
      <w:r>
        <w:rPr>
          <w:rFonts w:ascii="宋体" w:hAnsi="宋体" w:cs="宋体" w:eastAsia="宋体" w:hint="default"/>
          <w:sz w:val="16"/>
          <w:szCs w:val="16"/>
        </w:rPr>
        <w:t>第六届董事会及第六届监事会，并选举董事长及监事会主席，并聘任公司总裁、高级副总裁。</w:t>
      </w:r>
    </w:p>
    <w:p>
      <w:pPr>
        <w:spacing w:line="321" w:lineRule="auto" w:before="129"/>
        <w:ind w:left="1175" w:right="3063" w:firstLine="0"/>
        <w:jc w:val="both"/>
        <w:rPr>
          <w:rFonts w:ascii="宋体" w:hAnsi="宋体" w:cs="宋体" w:eastAsia="宋体" w:hint="default"/>
          <w:sz w:val="16"/>
          <w:szCs w:val="16"/>
        </w:rPr>
      </w:pPr>
      <w:r>
        <w:rPr>
          <w:rFonts w:ascii="宋体" w:hAnsi="宋体" w:cs="宋体" w:eastAsia="宋体" w:hint="default"/>
          <w:spacing w:val="-1"/>
          <w:sz w:val="16"/>
          <w:szCs w:val="16"/>
        </w:rPr>
        <w:t>报告期内，公司董事、总裁陆益民先生因工作调动，辞去公司董事、董事会发展战略委员会委员及总裁职务；</w:t>
      </w:r>
      <w:r>
        <w:rPr>
          <w:rFonts w:ascii="宋体" w:hAnsi="宋体" w:cs="宋体" w:eastAsia="宋体" w:hint="default"/>
          <w:spacing w:val="-50"/>
          <w:sz w:val="16"/>
          <w:szCs w:val="16"/>
        </w:rPr>
        <w:t> </w:t>
      </w:r>
      <w:r>
        <w:rPr>
          <w:rFonts w:ascii="宋体" w:hAnsi="宋体" w:cs="宋体" w:eastAsia="宋体" w:hint="default"/>
          <w:spacing w:val="-50"/>
          <w:sz w:val="16"/>
          <w:szCs w:val="16"/>
        </w:rPr>
      </w:r>
      <w:r>
        <w:rPr>
          <w:rFonts w:ascii="宋体" w:hAnsi="宋体" w:cs="宋体" w:eastAsia="宋体" w:hint="default"/>
          <w:sz w:val="16"/>
          <w:szCs w:val="16"/>
        </w:rPr>
        <w:t>公司董事李福申先生因工作职责调整，不再兼任公司高级副总裁职务；公司董事李彦宏先生因工作繁忙，辞</w:t>
      </w:r>
      <w:r>
        <w:rPr>
          <w:rFonts w:ascii="宋体" w:hAnsi="宋体" w:cs="宋体" w:eastAsia="宋体" w:hint="default"/>
          <w:spacing w:val="7"/>
          <w:sz w:val="16"/>
          <w:szCs w:val="16"/>
        </w:rPr>
        <w:t> </w:t>
      </w:r>
      <w:r>
        <w:rPr>
          <w:rFonts w:ascii="宋体" w:hAnsi="宋体" w:cs="宋体" w:eastAsia="宋体" w:hint="default"/>
          <w:spacing w:val="7"/>
          <w:sz w:val="16"/>
          <w:szCs w:val="16"/>
        </w:rPr>
      </w:r>
      <w:r>
        <w:rPr>
          <w:rFonts w:ascii="宋体" w:hAnsi="宋体" w:cs="宋体" w:eastAsia="宋体" w:hint="default"/>
          <w:sz w:val="16"/>
          <w:szCs w:val="16"/>
        </w:rPr>
        <w:t>去公司董事、董事会发展战略委员会委员职务；董事会秘书王霞女士因工作变动，辞去董事会秘书职务。经</w:t>
      </w:r>
      <w:r>
        <w:rPr>
          <w:rFonts w:ascii="宋体" w:hAnsi="宋体" w:cs="宋体" w:eastAsia="宋体" w:hint="default"/>
          <w:spacing w:val="5"/>
          <w:sz w:val="16"/>
          <w:szCs w:val="16"/>
        </w:rPr>
        <w:t> </w:t>
      </w:r>
      <w:r>
        <w:rPr>
          <w:rFonts w:ascii="宋体" w:hAnsi="宋体" w:cs="宋体" w:eastAsia="宋体" w:hint="default"/>
          <w:spacing w:val="5"/>
          <w:sz w:val="16"/>
          <w:szCs w:val="16"/>
        </w:rPr>
      </w:r>
      <w:r>
        <w:rPr>
          <w:rFonts w:ascii="宋体" w:hAnsi="宋体" w:cs="宋体" w:eastAsia="宋体" w:hint="default"/>
          <w:sz w:val="16"/>
          <w:szCs w:val="16"/>
        </w:rPr>
        <w:t>公司董事会审议通过，聘任李国华先生为公司总裁、总法律顾问，聘任朱可炳先生为公司首席财务官、董事</w:t>
      </w:r>
      <w:r>
        <w:rPr>
          <w:rFonts w:ascii="宋体" w:hAnsi="宋体" w:cs="宋体" w:eastAsia="宋体" w:hint="default"/>
          <w:spacing w:val="5"/>
          <w:sz w:val="16"/>
          <w:szCs w:val="16"/>
        </w:rPr>
        <w:t> </w:t>
      </w:r>
      <w:r>
        <w:rPr>
          <w:rFonts w:ascii="宋体" w:hAnsi="宋体" w:cs="宋体" w:eastAsia="宋体" w:hint="default"/>
          <w:spacing w:val="5"/>
          <w:sz w:val="16"/>
          <w:szCs w:val="16"/>
        </w:rPr>
      </w:r>
      <w:r>
        <w:rPr>
          <w:rFonts w:ascii="宋体" w:hAnsi="宋体" w:cs="宋体" w:eastAsia="宋体" w:hint="default"/>
          <w:sz w:val="16"/>
          <w:szCs w:val="16"/>
        </w:rPr>
        <w:t>会秘书；经公司临时股东大会审议通过，李国华先生、王路先生获选举为第六届董事会董事。</w:t>
      </w:r>
    </w:p>
    <w:p>
      <w:pPr>
        <w:spacing w:before="129"/>
        <w:ind w:left="1175" w:right="0" w:firstLine="0"/>
        <w:jc w:val="both"/>
        <w:rPr>
          <w:rFonts w:ascii="宋体" w:hAnsi="宋体" w:cs="宋体" w:eastAsia="宋体" w:hint="default"/>
          <w:sz w:val="16"/>
          <w:szCs w:val="16"/>
        </w:rPr>
      </w:pPr>
      <w:r>
        <w:rPr>
          <w:rFonts w:ascii="宋体" w:hAnsi="宋体" w:cs="宋体" w:eastAsia="宋体" w:hint="default"/>
          <w:sz w:val="16"/>
          <w:szCs w:val="16"/>
        </w:rPr>
        <w:t>报告期末至披露日期间，经公司董事会审议通过，聘任范云军先生为公司高级副总裁。</w:t>
      </w:r>
    </w:p>
    <w:p>
      <w:pPr>
        <w:spacing w:line="240" w:lineRule="auto" w:before="1"/>
        <w:rPr>
          <w:rFonts w:ascii="宋体" w:hAnsi="宋体" w:cs="宋体" w:eastAsia="宋体" w:hint="default"/>
          <w:sz w:val="14"/>
          <w:szCs w:val="14"/>
        </w:rPr>
      </w:pPr>
    </w:p>
    <w:p>
      <w:pPr>
        <w:spacing w:line="321" w:lineRule="auto" w:before="0"/>
        <w:ind w:left="1175" w:right="3062" w:firstLine="0"/>
        <w:jc w:val="both"/>
        <w:rPr>
          <w:rFonts w:ascii="宋体" w:hAnsi="宋体" w:cs="宋体" w:eastAsia="宋体" w:hint="default"/>
          <w:sz w:val="16"/>
          <w:szCs w:val="16"/>
        </w:rPr>
      </w:pPr>
      <w:r>
        <w:rPr>
          <w:rFonts w:ascii="宋体" w:hAnsi="宋体" w:cs="宋体" w:eastAsia="宋体" w:hint="default"/>
          <w:sz w:val="16"/>
          <w:szCs w:val="16"/>
        </w:rPr>
        <w:t>详情请见公司在《中国证券报》《上海证券报》《证券时报》、上海证券交易所网站及公司网站发布的《中 </w:t>
      </w:r>
      <w:r>
        <w:rPr>
          <w:rFonts w:ascii="宋体" w:hAnsi="宋体" w:cs="宋体" w:eastAsia="宋体" w:hint="default"/>
          <w:spacing w:val="3"/>
          <w:sz w:val="16"/>
          <w:szCs w:val="16"/>
        </w:rPr>
        <w:t>国联合网络通信股份有限公司第五届董事会第十四次会议决议公告》（公告编号：2018-002）、《中国联</w:t>
      </w:r>
      <w:r>
        <w:rPr>
          <w:rFonts w:ascii="宋体" w:hAnsi="宋体" w:cs="宋体" w:eastAsia="宋体" w:hint="default"/>
          <w:spacing w:val="26"/>
          <w:sz w:val="16"/>
          <w:szCs w:val="16"/>
        </w:rPr>
        <w:t> </w:t>
      </w:r>
      <w:r>
        <w:rPr>
          <w:rFonts w:ascii="宋体" w:hAnsi="宋体" w:cs="宋体" w:eastAsia="宋体" w:hint="default"/>
          <w:spacing w:val="26"/>
          <w:sz w:val="16"/>
          <w:szCs w:val="16"/>
        </w:rPr>
      </w:r>
      <w:r>
        <w:rPr>
          <w:rFonts w:ascii="宋体" w:hAnsi="宋体" w:cs="宋体" w:eastAsia="宋体" w:hint="default"/>
          <w:sz w:val="16"/>
          <w:szCs w:val="16"/>
        </w:rPr>
        <w:t>合网络通信股份有限公司 2018 年第一次临时股东大会决议公告》（公告编号：2018-010）、《中国联合网</w:t>
      </w:r>
      <w:r>
        <w:rPr>
          <w:rFonts w:ascii="宋体" w:hAnsi="宋体" w:cs="宋体" w:eastAsia="宋体" w:hint="default"/>
          <w:spacing w:val="-16"/>
          <w:sz w:val="16"/>
          <w:szCs w:val="16"/>
        </w:rPr>
        <w:t> </w:t>
      </w:r>
      <w:r>
        <w:rPr>
          <w:rFonts w:ascii="宋体" w:hAnsi="宋体" w:cs="宋体" w:eastAsia="宋体" w:hint="default"/>
          <w:spacing w:val="-16"/>
          <w:sz w:val="16"/>
          <w:szCs w:val="16"/>
        </w:rPr>
      </w:r>
      <w:r>
        <w:rPr>
          <w:rFonts w:ascii="宋体" w:hAnsi="宋体" w:cs="宋体" w:eastAsia="宋体" w:hint="default"/>
          <w:spacing w:val="3"/>
          <w:sz w:val="16"/>
          <w:szCs w:val="16"/>
        </w:rPr>
        <w:t>络通信股份有限公司第六届董事会第一次会议决议公告》（公告编号：2018-012）、《关于公司董事辞任</w:t>
      </w:r>
      <w:r>
        <w:rPr>
          <w:rFonts w:ascii="宋体" w:hAnsi="宋体" w:cs="宋体" w:eastAsia="宋体" w:hint="default"/>
          <w:spacing w:val="26"/>
          <w:sz w:val="16"/>
          <w:szCs w:val="16"/>
        </w:rPr>
        <w:t> </w:t>
      </w:r>
      <w:r>
        <w:rPr>
          <w:rFonts w:ascii="宋体" w:hAnsi="宋体" w:cs="宋体" w:eastAsia="宋体" w:hint="default"/>
          <w:spacing w:val="26"/>
          <w:sz w:val="16"/>
          <w:szCs w:val="16"/>
        </w:rPr>
      </w:r>
      <w:r>
        <w:rPr>
          <w:rFonts w:ascii="宋体" w:hAnsi="宋体" w:cs="宋体" w:eastAsia="宋体" w:hint="default"/>
          <w:spacing w:val="3"/>
          <w:sz w:val="16"/>
          <w:szCs w:val="16"/>
        </w:rPr>
        <w:t>和增补董事的公告》（公告编号：2018-050）、《关于公司董事、总裁辞任的公告》（公告编号：2018-</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052）、《第六届董事会第五次会议决议公告》（公告编号：2018-054）、《关于公司高级管理人员变动的</w:t>
      </w:r>
      <w:r>
        <w:rPr>
          <w:rFonts w:ascii="宋体" w:hAnsi="宋体" w:cs="宋体" w:eastAsia="宋体" w:hint="default"/>
          <w:spacing w:val="9"/>
          <w:sz w:val="16"/>
          <w:szCs w:val="16"/>
        </w:rPr>
        <w:t> </w:t>
      </w:r>
      <w:r>
        <w:rPr>
          <w:rFonts w:ascii="宋体" w:hAnsi="宋体" w:cs="宋体" w:eastAsia="宋体" w:hint="default"/>
          <w:spacing w:val="9"/>
          <w:sz w:val="16"/>
          <w:szCs w:val="16"/>
        </w:rPr>
      </w:r>
      <w:r>
        <w:rPr>
          <w:rFonts w:ascii="宋体" w:hAnsi="宋体" w:cs="宋体" w:eastAsia="宋体" w:hint="default"/>
          <w:sz w:val="16"/>
          <w:szCs w:val="16"/>
        </w:rPr>
        <w:t>公告》（公告编号：2018-056）、《第六届董事会第六次会议决议公告》（公告编号：2018-061）、《关</w:t>
      </w:r>
      <w:r>
        <w:rPr>
          <w:rFonts w:ascii="宋体" w:hAnsi="宋体" w:cs="宋体" w:eastAsia="宋体" w:hint="default"/>
          <w:spacing w:val="9"/>
          <w:sz w:val="16"/>
          <w:szCs w:val="16"/>
        </w:rPr>
        <w:t> </w:t>
      </w:r>
      <w:r>
        <w:rPr>
          <w:rFonts w:ascii="宋体" w:hAnsi="宋体" w:cs="宋体" w:eastAsia="宋体" w:hint="default"/>
          <w:spacing w:val="9"/>
          <w:sz w:val="16"/>
          <w:szCs w:val="16"/>
        </w:rPr>
      </w:r>
      <w:r>
        <w:rPr>
          <w:rFonts w:ascii="宋体" w:hAnsi="宋体" w:cs="宋体" w:eastAsia="宋体" w:hint="default"/>
          <w:spacing w:val="-1"/>
          <w:sz w:val="16"/>
          <w:szCs w:val="16"/>
        </w:rPr>
        <w:t>于公司增补董事和聘任总裁的公告》（公告编号：2018-062）、《第六届董事会第七次会议决议公告》（公</w:t>
      </w:r>
      <w:r>
        <w:rPr>
          <w:rFonts w:ascii="宋体" w:hAnsi="宋体" w:cs="宋体" w:eastAsia="宋体" w:hint="default"/>
          <w:spacing w:val="50"/>
          <w:sz w:val="16"/>
          <w:szCs w:val="16"/>
        </w:rPr>
        <w:t> </w:t>
      </w:r>
      <w:r>
        <w:rPr>
          <w:rFonts w:ascii="宋体" w:hAnsi="宋体" w:cs="宋体" w:eastAsia="宋体" w:hint="default"/>
          <w:spacing w:val="50"/>
          <w:sz w:val="16"/>
          <w:szCs w:val="16"/>
        </w:rPr>
      </w:r>
      <w:r>
        <w:rPr>
          <w:rFonts w:ascii="宋体" w:hAnsi="宋体" w:cs="宋体" w:eastAsia="宋体" w:hint="default"/>
          <w:spacing w:val="1"/>
          <w:sz w:val="16"/>
          <w:szCs w:val="16"/>
        </w:rPr>
        <w:t>告编号：2018-065）、《关于聘任总法律顾问的公告》（公告编号：2018-066）、《关于董事会秘书辞任</w:t>
      </w:r>
      <w:r>
        <w:rPr>
          <w:rFonts w:ascii="宋体" w:hAnsi="宋体" w:cs="宋体" w:eastAsia="宋体" w:hint="default"/>
          <w:spacing w:val="26"/>
          <w:sz w:val="16"/>
          <w:szCs w:val="16"/>
        </w:rPr>
        <w:t> </w:t>
      </w:r>
      <w:r>
        <w:rPr>
          <w:rFonts w:ascii="宋体" w:hAnsi="宋体" w:cs="宋体" w:eastAsia="宋体" w:hint="default"/>
          <w:spacing w:val="26"/>
          <w:sz w:val="16"/>
          <w:szCs w:val="16"/>
        </w:rPr>
      </w:r>
      <w:r>
        <w:rPr>
          <w:rFonts w:ascii="宋体" w:hAnsi="宋体" w:cs="宋体" w:eastAsia="宋体" w:hint="default"/>
          <w:spacing w:val="-4"/>
          <w:sz w:val="16"/>
          <w:szCs w:val="16"/>
        </w:rPr>
        <w:t>和聘任董事会秘书的公告》（公告编号：2018-067）、《2018</w:t>
      </w:r>
      <w:r>
        <w:rPr>
          <w:rFonts w:ascii="宋体" w:hAnsi="宋体" w:cs="宋体" w:eastAsia="宋体" w:hint="default"/>
          <w:sz w:val="16"/>
          <w:szCs w:val="16"/>
        </w:rPr>
        <w:t> </w:t>
      </w:r>
      <w:r>
        <w:rPr>
          <w:rFonts w:ascii="宋体" w:hAnsi="宋体" w:cs="宋体" w:eastAsia="宋体" w:hint="default"/>
          <w:spacing w:val="-3"/>
          <w:sz w:val="16"/>
          <w:szCs w:val="16"/>
        </w:rPr>
        <w:t>年第三次临时股东大会决议公告》（公告编号：</w:t>
      </w:r>
      <w:r>
        <w:rPr>
          <w:rFonts w:ascii="宋体" w:hAnsi="宋体" w:cs="宋体" w:eastAsia="宋体" w:hint="default"/>
          <w:spacing w:val="-67"/>
          <w:sz w:val="16"/>
          <w:szCs w:val="16"/>
        </w:rPr>
        <w:t> </w:t>
      </w:r>
      <w:r>
        <w:rPr>
          <w:rFonts w:ascii="宋体" w:hAnsi="宋体" w:cs="宋体" w:eastAsia="宋体" w:hint="default"/>
          <w:spacing w:val="-67"/>
          <w:sz w:val="16"/>
          <w:szCs w:val="16"/>
        </w:rPr>
      </w:r>
      <w:r>
        <w:rPr>
          <w:rFonts w:ascii="宋体" w:hAnsi="宋体" w:cs="宋体" w:eastAsia="宋体" w:hint="default"/>
          <w:w w:val="105"/>
          <w:sz w:val="16"/>
          <w:szCs w:val="16"/>
        </w:rPr>
        <w:t>2018-068）、《关于聘任公司高级副总裁的公告》（公告编号：2019-005）。</w:t>
      </w:r>
      <w:r>
        <w:rPr>
          <w:rFonts w:ascii="宋体" w:hAnsi="宋体" w:cs="宋体" w:eastAsia="宋体" w:hint="default"/>
          <w:sz w:val="16"/>
          <w:szCs w:val="16"/>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after="0" w:line="240" w:lineRule="auto"/>
        <w:rPr>
          <w:rFonts w:ascii="宋体" w:hAnsi="宋体" w:cs="宋体" w:eastAsia="宋体" w:hint="default"/>
          <w:sz w:val="26"/>
          <w:szCs w:val="26"/>
        </w:rPr>
        <w:sectPr>
          <w:headerReference w:type="even" r:id="rId178"/>
          <w:footerReference w:type="even" r:id="rId179"/>
          <w:pgSz w:w="11910" w:h="16160"/>
          <w:pgMar w:header="0" w:footer="0" w:top="0" w:bottom="0" w:left="0" w:right="0"/>
        </w:sectPr>
      </w:pPr>
    </w:p>
    <w:p>
      <w:pPr>
        <w:tabs>
          <w:tab w:pos="4466" w:val="left" w:leader="none"/>
        </w:tabs>
        <w:spacing w:before="61"/>
        <w:ind w:left="814" w:right="0" w:firstLine="0"/>
        <w:jc w:val="left"/>
        <w:rPr>
          <w:rFonts w:ascii="宋体" w:hAnsi="宋体" w:cs="宋体" w:eastAsia="宋体" w:hint="default"/>
          <w:sz w:val="16"/>
          <w:szCs w:val="16"/>
        </w:rPr>
      </w:pPr>
      <w:r>
        <w:rPr/>
        <w:pict>
          <v:group style="position:absolute;margin-left:17.312981pt;margin-top:151.74292pt;width:578.3pt;height:656.15pt;mso-position-horizontal-relative:page;mso-position-vertical-relative:page;z-index:-964096" coordorigin="346,3035" coordsize="11566,13123">
            <v:group style="position:absolute;left:346;top:14490;width:4779;height:1668" coordorigin="346,14490" coordsize="4779,1668">
              <v:shape style="position:absolute;left:346;top:14490;width:4779;height:1668" coordorigin="346,14490" coordsize="4779,1668" path="m4459,16157l346,16157,1011,14490,5124,14490,4459,16157xe" filled="true" fillcolor="#d7000f" stroked="false">
                <v:path arrowok="t"/>
                <v:fill type="solid"/>
              </v:shape>
            </v:group>
            <v:group style="position:absolute;left:10105;top:3035;width:1801;height:4516" coordorigin="10105,3035" coordsize="1801,4516">
              <v:shape style="position:absolute;left:10105;top:3035;width:1801;height:4516" coordorigin="10105,3035" coordsize="1801,4516" path="m11906,7550l10105,7550,11906,3035,11906,7550xe" filled="true" fillcolor="#a5a5a4" stroked="false">
                <v:path arrowok="t"/>
                <v:fill type="solid"/>
              </v:shape>
            </v:group>
            <v:group style="position:absolute;left:8124;top:5971;width:3782;height:9485" coordorigin="8124,5971" coordsize="3782,9485">
              <v:shape style="position:absolute;left:8124;top:5971;width:3782;height:9485" coordorigin="8124,5971" coordsize="3782,9485" path="m11906,15455l8124,15455,11906,5971,11906,15455xe" filled="true" fillcolor="#9c8758" stroked="false">
                <v:path arrowok="t"/>
                <v:fill type="solid"/>
              </v:shape>
            </v:group>
            <v:group style="position:absolute;left:8139;top:6712;width:3767;height:9446" coordorigin="8139,6712" coordsize="3767,9446">
              <v:shape style="position:absolute;left:8139;top:6712;width:3767;height:9446" coordorigin="8139,6712" coordsize="3767,9446" path="m11906,16157l8139,16157,11906,6712,11906,16157xe" filled="true" fillcolor="#d7000f" stroked="false">
                <v:path arrowok="t"/>
                <v:fill type="solid"/>
              </v:shape>
            </v:group>
            <v:group style="position:absolute;left:8514;top:14499;width:3392;height:2" coordorigin="8514,14499" coordsize="3392,2">
              <v:shape style="position:absolute;left:8514;top:14499;width:3392;height:2" coordorigin="8514,14499" coordsize="3392,0" path="m11906,14499l8514,14499e" filled="false" stroked="true" strokeweight=".671pt" strokecolor="#000000">
                <v:path arrowok="t"/>
              </v:shape>
            </v:group>
            <v:group style="position:absolute;left:4025;top:14930;width:4649;height:2" coordorigin="4025,14930" coordsize="4649,2">
              <v:shape style="position:absolute;left:4025;top:14930;width:4649;height:2" coordorigin="4025,14930" coordsize="4649,0" path="m8674,14930l4025,14930e" filled="false" stroked="true" strokeweight=".956pt" strokecolor="#d7000f">
                <v:path arrowok="t"/>
              </v:shape>
            </v:group>
            <w10:wrap type="none"/>
          </v:group>
        </w:pict>
      </w:r>
      <w:r>
        <w:rPr>
          <w:rFonts w:ascii="Arial" w:hAnsi="Arial" w:cs="Arial" w:eastAsia="Arial" w:hint="default"/>
          <w:b/>
          <w:bCs/>
          <w:color w:val="9C8758"/>
          <w:spacing w:val="-1"/>
          <w:position w:val="2"/>
          <w:sz w:val="16"/>
          <w:szCs w:val="16"/>
        </w:rPr>
        <w:t>54</w:t>
        <w:tab/>
      </w: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266"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0"/>
          <w:cols w:num="2" w:equalWidth="0">
            <w:col w:w="7677" w:space="40"/>
            <w:col w:w="4193"/>
          </w:cols>
        </w:sectPr>
      </w:pPr>
    </w:p>
    <w:p>
      <w:pPr>
        <w:spacing w:line="240" w:lineRule="auto" w:before="0"/>
        <w:rPr>
          <w:rFonts w:ascii="宋体" w:hAnsi="宋体" w:cs="宋体" w:eastAsia="宋体" w:hint="default"/>
          <w:sz w:val="20"/>
          <w:szCs w:val="20"/>
        </w:rPr>
      </w:pPr>
      <w:r>
        <w:rPr/>
        <w:pict>
          <v:group style="position:absolute;margin-left:-.3495pt;margin-top:-.00008pt;width:595.65pt;height:807.9pt;mso-position-horizontal-relative:page;mso-position-vertical-relative:page;z-index:-964072" coordorigin="-7,0" coordsize="11913,16158">
            <v:group style="position:absolute;left:0;top:0;width:7081;height:7551" coordorigin="0,0" coordsize="7081,7551">
              <v:shape style="position:absolute;left:0;top:0;width:7081;height:7551" coordorigin="0,0" coordsize="7081,7551" path="m4070,7550l0,7550,0,3035,1210,0,7080,0,4070,7550xe" filled="true" fillcolor="#a5a5a4" stroked="false">
                <v:path arrowok="t"/>
                <v:fill type="solid"/>
              </v:shape>
            </v:group>
            <v:group style="position:absolute;left:0;top:0;width:11906;height:15456" coordorigin="0,0" coordsize="11906,15456">
              <v:shape style="position:absolute;left:0;top:0;width:11906;height:15456" coordorigin="0,0" coordsize="11906,15456" path="m7728,15455l0,15455,0,5971,2381,0,11905,0,11905,4979,7728,15455xe" filled="true" fillcolor="#9c8758" stroked="false">
                <v:path arrowok="t"/>
                <v:fill type="solid"/>
              </v:shape>
            </v:group>
            <v:group style="position:absolute;left:7357;top:7974;width:4549;height:8184" coordorigin="7357,7974" coordsize="4549,8184">
              <v:shape style="position:absolute;left:7357;top:7974;width:4549;height:8184" coordorigin="7357,7974" coordsize="4549,8184" path="m11906,16157l7357,16157,10620,7974,11906,7974,11906,16157xe" filled="true" fillcolor="#8e9090" stroked="false">
                <v:path arrowok="t"/>
                <v:fill type="solid"/>
              </v:shape>
            </v:group>
            <v:group style="position:absolute;left:0;top:0;width:11906;height:16158" coordorigin="0,0" coordsize="11906,16158">
              <v:shape style="position:absolute;left:0;top:0;width:11906;height:16158" coordorigin="0,0" coordsize="11906,16158" path="m8839,16157l0,16157,0,6712,2676,0,11906,0,11906,8466,8839,16157xe" filled="true" fillcolor="#d7000f" stroked="false">
                <v:path arrowok="t"/>
                <v:fill type="solid"/>
              </v:shape>
              <v:shape style="position:absolute;left:4601;top:1020;width:188;height:188" type="#_x0000_t75" stroked="false">
                <v:imagedata r:id="rId183" o:title=""/>
              </v:shape>
            </v:group>
            <v:group style="position:absolute;left:2178;top:1114;width:2495;height:2" coordorigin="2178,1114" coordsize="2495,2">
              <v:shape style="position:absolute;left:2178;top:1114;width:2495;height:2" coordorigin="2178,1114" coordsize="2495,0" path="m4672,1114l2178,1114e" filled="false" stroked="true" strokeweight=".956pt" strokecolor="#d7000f">
                <v:path arrowok="t"/>
              </v:shape>
              <v:shape style="position:absolute;left:3249;top:14427;width:143;height:143" type="#_x0000_t75" stroked="false">
                <v:imagedata r:id="rId162" o:title=""/>
              </v:shape>
            </v:group>
            <v:group style="position:absolute;left:0;top:14499;width:3325;height:2" coordorigin="0,14499" coordsize="3325,2">
              <v:shape style="position:absolute;left:0;top:14499;width:3325;height:2" coordorigin="0,14499" coordsize="3325,0" path="m3325,14499l0,14499e" filled="false" stroked="true" strokeweight=".671pt" strokecolor="#000000">
                <v:path arrowok="t"/>
              </v:shape>
              <v:shape style="position:absolute;left:1171;top:14836;width:188;height:188" type="#_x0000_t75" stroked="false">
                <v:imagedata r:id="rId184" o:title=""/>
              </v:shape>
              <v:shape style="position:absolute;left:6668;top:1474;width:149;height:149" type="#_x0000_t75" stroked="false">
                <v:imagedata r:id="rId185" o:title=""/>
              </v:shape>
            </v:group>
            <v:group style="position:absolute;left:0;top:1548;width:6753;height:2" coordorigin="0,1548" coordsize="6753,2">
              <v:shape style="position:absolute;left:0;top:1548;width:6753;height:2" coordorigin="0,1548" coordsize="6753,0" path="m6752,1548l0,1548e" filled="false" stroked="true" strokeweight=".698pt" strokecolor="#ffffff">
                <v:path arrowok="t"/>
              </v:shape>
              <v:shape style="position:absolute;left:5038;top:2154;width:143;height:143" type="#_x0000_t75" stroked="false">
                <v:imagedata r:id="rId186" o:title=""/>
              </v:shape>
            </v:group>
            <v:group style="position:absolute;left:340;top:2226;width:4775;height:2" coordorigin="340,2226" coordsize="4775,2">
              <v:shape style="position:absolute;left:340;top:2226;width:4775;height:2" coordorigin="340,2226" coordsize="4775,0" path="m5114,2226l340,2226e" filled="false" stroked="true" strokeweight=".671pt" strokecolor="#000000">
                <v:path arrowok="t"/>
              </v:shape>
            </v:group>
            <v:group style="position:absolute;left:1757;top:13802;width:942;height:2" coordorigin="1757,13802" coordsize="942,2">
              <v:shape style="position:absolute;left:1757;top:13802;width:942;height:2" coordorigin="1757,13802" coordsize="942,0" path="m1757,13802l2699,13802e" filled="false" stroked="true" strokeweight=".5pt" strokecolor="#000000">
                <v:path arrowok="t"/>
              </v:shape>
            </v:group>
            <v:group style="position:absolute;left:2699;top:13802;width:1120;height:2" coordorigin="2699,13802" coordsize="1120,2">
              <v:shape style="position:absolute;left:2699;top:13802;width:1120;height:2" coordorigin="2699,13802" coordsize="1120,0" path="m2699,13802l3818,13802e" filled="false" stroked="true" strokeweight=".5pt" strokecolor="#000000">
                <v:path arrowok="t"/>
              </v:shape>
            </v:group>
            <v:group style="position:absolute;left:3818;top:13802;width:397;height:2" coordorigin="3818,13802" coordsize="397,2">
              <v:shape style="position:absolute;left:3818;top:13802;width:397;height:2" coordorigin="3818,13802" coordsize="397,0" path="m3818,13802l4215,13802e" filled="false" stroked="true" strokeweight=".5pt" strokecolor="#000000">
                <v:path arrowok="t"/>
              </v:shape>
            </v:group>
            <v:group style="position:absolute;left:4215;top:13802;width:397;height:2" coordorigin="4215,13802" coordsize="397,2">
              <v:shape style="position:absolute;left:4215;top:13802;width:397;height:2" coordorigin="4215,13802" coordsize="397,0" path="m4215,13802l4612,13802e" filled="false" stroked="true" strokeweight=".5pt" strokecolor="#000000">
                <v:path arrowok="t"/>
              </v:shape>
            </v:group>
            <v:group style="position:absolute;left:4612;top:13802;width:1429;height:2" coordorigin="4612,13802" coordsize="1429,2">
              <v:shape style="position:absolute;left:4612;top:13802;width:1429;height:2" coordorigin="4612,13802" coordsize="1429,0" path="m4612,13802l6041,13802e" filled="false" stroked="true" strokeweight=".5pt" strokecolor="#000000">
                <v:path arrowok="t"/>
              </v:shape>
            </v:group>
            <v:group style="position:absolute;left:6041;top:13802;width:1157;height:2" coordorigin="6041,13802" coordsize="1157,2">
              <v:shape style="position:absolute;left:6041;top:13802;width:1157;height:2" coordorigin="6041,13802" coordsize="1157,0" path="m6041,13802l7197,13802e" filled="false" stroked="true" strokeweight=".5pt" strokecolor="#000000">
                <v:path arrowok="t"/>
              </v:shape>
            </v:group>
            <v:group style="position:absolute;left:7197;top:13802;width:397;height:2" coordorigin="7197,13802" coordsize="397,2">
              <v:shape style="position:absolute;left:7197;top:13802;width:397;height:2" coordorigin="7197,13802" coordsize="397,0" path="m7197,13802l7594,13802e" filled="false" stroked="true" strokeweight=".5pt" strokecolor="#000000">
                <v:path arrowok="t"/>
              </v:shape>
            </v:group>
            <v:group style="position:absolute;left:7594;top:13802;width:363;height:2" coordorigin="7594,13802" coordsize="363,2">
              <v:shape style="position:absolute;left:7594;top:13802;width:363;height:2" coordorigin="7594,13802" coordsize="363,0" path="m7594,13802l7957,13802e" filled="false" stroked="true" strokeweight=".5pt" strokecolor="#000000">
                <v:path arrowok="t"/>
              </v:shape>
            </v:group>
            <v:group style="position:absolute;left:7957;top:13802;width:522;height:2" coordorigin="7957,13802" coordsize="522,2">
              <v:shape style="position:absolute;left:7957;top:13802;width:522;height:2" coordorigin="7957,13802" coordsize="522,0" path="m7957,13802l8478,13802e" filled="false" stroked="true" strokeweight=".5pt" strokecolor="#000000">
                <v:path arrowok="t"/>
              </v:shape>
            </v:group>
            <v:group style="position:absolute;left:8478;top:13802;width:806;height:2" coordorigin="8478,13802" coordsize="806,2">
              <v:shape style="position:absolute;left:8478;top:13802;width:806;height:2" coordorigin="8478,13802" coordsize="806,0" path="m8478,13802l9283,13802e" filled="false" stroked="true" strokeweight=".5pt" strokecolor="#000000">
                <v:path arrowok="t"/>
              </v:shape>
            </v:group>
            <v:group style="position:absolute;left:9283;top:13802;width:1143;height:2" coordorigin="9283,13802" coordsize="1143,2">
              <v:shape style="position:absolute;left:9283;top:13802;width:1143;height:2" coordorigin="9283,13802" coordsize="1143,0" path="m9283,13802l10426,13802e" filled="false" stroked="true" strokeweight=".5pt" strokecolor="#000000">
                <v:path arrowok="t"/>
              </v:shape>
            </v:group>
            <v:group style="position:absolute;left:10426;top:13802;width:635;height:2" coordorigin="10426,13802" coordsize="635,2">
              <v:shape style="position:absolute;left:10426;top:13802;width:635;height:2" coordorigin="10426,13802" coordsize="635,0" path="m10426,13802l11061,13802e" filled="false" stroked="true" strokeweight=".5pt" strokecolor="#000000">
                <v:path arrowok="t"/>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5"/>
          <w:szCs w:val="25"/>
        </w:rPr>
      </w:pPr>
    </w:p>
    <w:p>
      <w:pPr>
        <w:pStyle w:val="BodyText"/>
        <w:spacing w:line="240" w:lineRule="auto" w:before="31"/>
        <w:ind w:left="377" w:right="2908"/>
        <w:jc w:val="left"/>
        <w:rPr>
          <w:rFonts w:ascii="宋体" w:hAnsi="宋体" w:cs="宋体" w:eastAsia="宋体" w:hint="default"/>
        </w:rPr>
      </w:pPr>
      <w:r>
        <w:rPr>
          <w:rFonts w:ascii="宋体" w:hAnsi="宋体" w:cs="宋体" w:eastAsia="宋体" w:hint="default"/>
          <w:color w:val="FFFFFF"/>
        </w:rPr>
        <w:t>截至年报披露日，公司现任董事、监事和高级管理人员：</w:t>
      </w:r>
      <w:r>
        <w:rPr>
          <w:rFonts w:ascii="宋体" w:hAnsi="宋体" w:cs="宋体" w:eastAsia="宋体" w:hint="default"/>
        </w:rPr>
      </w:r>
    </w:p>
    <w:p>
      <w:pPr>
        <w:spacing w:line="240" w:lineRule="auto" w:before="0"/>
        <w:rPr>
          <w:rFonts w:ascii="宋体" w:hAnsi="宋体" w:cs="宋体" w:eastAsia="宋体" w:hint="default"/>
          <w:sz w:val="6"/>
          <w:szCs w:val="6"/>
        </w:rPr>
      </w:pPr>
    </w:p>
    <w:tbl>
      <w:tblPr>
        <w:tblW w:w="0" w:type="auto"/>
        <w:jc w:val="left"/>
        <w:tblInd w:w="377" w:type="dxa"/>
        <w:tblLayout w:type="fixed"/>
        <w:tblCellMar>
          <w:top w:w="0" w:type="dxa"/>
          <w:left w:w="0" w:type="dxa"/>
          <w:bottom w:w="0" w:type="dxa"/>
          <w:right w:w="0" w:type="dxa"/>
        </w:tblCellMar>
        <w:tblLook w:val="01E0"/>
      </w:tblPr>
      <w:tblGrid>
        <w:gridCol w:w="907"/>
        <w:gridCol w:w="1134"/>
        <w:gridCol w:w="413"/>
        <w:gridCol w:w="327"/>
        <w:gridCol w:w="1559"/>
        <w:gridCol w:w="1091"/>
        <w:gridCol w:w="397"/>
        <w:gridCol w:w="371"/>
        <w:gridCol w:w="593"/>
        <w:gridCol w:w="659"/>
        <w:gridCol w:w="1207"/>
        <w:gridCol w:w="646"/>
      </w:tblGrid>
      <w:tr>
        <w:trPr>
          <w:trHeight w:val="514" w:hRule="exact"/>
        </w:trPr>
        <w:tc>
          <w:tcPr>
            <w:tcW w:w="5431" w:type="dxa"/>
            <w:gridSpan w:val="6"/>
            <w:vMerge w:val="restart"/>
            <w:tcBorders>
              <w:top w:val="nil" w:sz="6" w:space="0" w:color="auto"/>
              <w:left w:val="nil" w:sz="6" w:space="0" w:color="auto"/>
              <w:right w:val="nil" w:sz="6" w:space="0" w:color="auto"/>
            </w:tcBorders>
            <w:shd w:val="clear" w:color="auto" w:fill="D7000F"/>
          </w:tcPr>
          <w:p>
            <w:pP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126" w:right="0"/>
              <w:jc w:val="left"/>
              <w:rPr>
                <w:rFonts w:ascii="宋体" w:hAnsi="宋体" w:cs="宋体" w:eastAsia="宋体" w:hint="default"/>
                <w:sz w:val="16"/>
                <w:szCs w:val="16"/>
              </w:rPr>
            </w:pPr>
            <w:r>
              <w:rPr>
                <w:rFonts w:ascii="宋体" w:hAnsi="宋体" w:cs="宋体" w:eastAsia="宋体" w:hint="default"/>
                <w:sz w:val="16"/>
                <w:szCs w:val="16"/>
              </w:rPr>
              <w:t>年</w:t>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left="8" w:right="0"/>
              <w:jc w:val="center"/>
              <w:rPr>
                <w:rFonts w:ascii="宋体" w:hAnsi="宋体" w:cs="宋体" w:eastAsia="宋体" w:hint="default"/>
                <w:sz w:val="16"/>
                <w:szCs w:val="16"/>
              </w:rPr>
            </w:pPr>
            <w:r>
              <w:rPr>
                <w:rFonts w:ascii="宋体" w:hAnsi="宋体" w:cs="宋体" w:eastAsia="宋体" w:hint="default"/>
                <w:sz w:val="16"/>
                <w:szCs w:val="16"/>
              </w:rPr>
              <w:t>年</w:t>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68"/>
              <w:jc w:val="center"/>
              <w:rPr>
                <w:rFonts w:ascii="宋体" w:hAnsi="宋体" w:cs="宋体" w:eastAsia="宋体" w:hint="default"/>
                <w:sz w:val="16"/>
                <w:szCs w:val="16"/>
              </w:rPr>
            </w:pPr>
            <w:r>
              <w:rPr>
                <w:rFonts w:ascii="宋体" w:hAnsi="宋体" w:cs="宋体" w:eastAsia="宋体" w:hint="default"/>
                <w:sz w:val="16"/>
                <w:szCs w:val="16"/>
              </w:rPr>
              <w:t>年度</w:t>
            </w:r>
          </w:p>
        </w:tc>
        <w:tc>
          <w:tcPr>
            <w:tcW w:w="659" w:type="dxa"/>
            <w:tcBorders>
              <w:top w:val="nil" w:sz="6" w:space="0" w:color="auto"/>
              <w:left w:val="nil" w:sz="6" w:space="0" w:color="auto"/>
              <w:bottom w:val="nil" w:sz="6" w:space="0" w:color="auto"/>
              <w:right w:val="nil" w:sz="6" w:space="0" w:color="auto"/>
            </w:tcBorders>
            <w:shd w:val="clear" w:color="auto" w:fill="D7000F"/>
          </w:tcPr>
          <w:p>
            <w:pPr/>
          </w:p>
        </w:tc>
        <w:tc>
          <w:tcPr>
            <w:tcW w:w="1207" w:type="dxa"/>
            <w:tcBorders>
              <w:top w:val="nil" w:sz="6" w:space="0" w:color="auto"/>
              <w:left w:val="nil" w:sz="6" w:space="0" w:color="auto"/>
              <w:bottom w:val="nil" w:sz="6" w:space="0" w:color="auto"/>
              <w:right w:val="nil" w:sz="6" w:space="0" w:color="auto"/>
            </w:tcBorders>
            <w:shd w:val="clear" w:color="auto" w:fill="D7000F"/>
          </w:tcPr>
          <w:p>
            <w:pP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54"/>
              <w:ind w:right="2"/>
              <w:jc w:val="center"/>
              <w:rPr>
                <w:rFonts w:ascii="宋体" w:hAnsi="宋体" w:cs="宋体" w:eastAsia="宋体" w:hint="default"/>
                <w:sz w:val="12"/>
                <w:szCs w:val="12"/>
              </w:rPr>
            </w:pPr>
            <w:r>
              <w:rPr>
                <w:rFonts w:ascii="宋体" w:hAnsi="宋体" w:cs="宋体" w:eastAsia="宋体" w:hint="default"/>
                <w:color w:val="FFFFFF"/>
                <w:sz w:val="12"/>
                <w:szCs w:val="12"/>
              </w:rPr>
              <w:t>单位：股</w:t>
            </w:r>
            <w:r>
              <w:rPr>
                <w:rFonts w:ascii="宋体" w:hAnsi="宋体" w:cs="宋体" w:eastAsia="宋体" w:hint="default"/>
                <w:sz w:val="12"/>
                <w:szCs w:val="12"/>
              </w:rPr>
            </w:r>
          </w:p>
        </w:tc>
      </w:tr>
      <w:tr>
        <w:trPr>
          <w:trHeight w:val="200" w:hRule="exact"/>
        </w:trPr>
        <w:tc>
          <w:tcPr>
            <w:tcW w:w="5431" w:type="dxa"/>
            <w:gridSpan w:val="6"/>
            <w:vMerge/>
            <w:tcBorders>
              <w:left w:val="nil" w:sz="6" w:space="0" w:color="auto"/>
              <w:right w:val="nil" w:sz="6" w:space="0" w:color="auto"/>
            </w:tcBorders>
            <w:shd w:val="clear" w:color="auto" w:fill="D7000F"/>
          </w:tcPr>
          <w:p>
            <w:pP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126" w:right="0"/>
              <w:jc w:val="left"/>
              <w:rPr>
                <w:rFonts w:ascii="宋体" w:hAnsi="宋体" w:cs="宋体" w:eastAsia="宋体" w:hint="default"/>
                <w:sz w:val="16"/>
                <w:szCs w:val="16"/>
              </w:rPr>
            </w:pPr>
            <w:r>
              <w:rPr>
                <w:rFonts w:ascii="宋体" w:hAnsi="宋体" w:cs="宋体" w:eastAsia="宋体" w:hint="default"/>
                <w:sz w:val="16"/>
                <w:szCs w:val="16"/>
              </w:rPr>
              <w:t>初</w:t>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8" w:right="0"/>
              <w:jc w:val="center"/>
              <w:rPr>
                <w:rFonts w:ascii="宋体" w:hAnsi="宋体" w:cs="宋体" w:eastAsia="宋体" w:hint="default"/>
                <w:sz w:val="16"/>
                <w:szCs w:val="16"/>
              </w:rPr>
            </w:pPr>
            <w:r>
              <w:rPr>
                <w:rFonts w:ascii="宋体" w:hAnsi="宋体" w:cs="宋体" w:eastAsia="宋体" w:hint="default"/>
                <w:sz w:val="16"/>
                <w:szCs w:val="16"/>
              </w:rPr>
              <w:t>末</w:t>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right="68"/>
              <w:jc w:val="center"/>
              <w:rPr>
                <w:rFonts w:ascii="宋体" w:hAnsi="宋体" w:cs="宋体" w:eastAsia="宋体" w:hint="default"/>
                <w:sz w:val="16"/>
                <w:szCs w:val="16"/>
              </w:rPr>
            </w:pPr>
            <w:r>
              <w:rPr>
                <w:rFonts w:ascii="宋体" w:hAnsi="宋体" w:cs="宋体" w:eastAsia="宋体" w:hint="default"/>
                <w:sz w:val="16"/>
                <w:szCs w:val="16"/>
              </w:rPr>
              <w:t>内股</w:t>
            </w:r>
          </w:p>
        </w:tc>
        <w:tc>
          <w:tcPr>
            <w:tcW w:w="659" w:type="dxa"/>
            <w:tcBorders>
              <w:top w:val="nil" w:sz="6" w:space="0" w:color="auto"/>
              <w:left w:val="nil" w:sz="6" w:space="0" w:color="auto"/>
              <w:bottom w:val="nil" w:sz="6" w:space="0" w:color="auto"/>
              <w:right w:val="nil" w:sz="6" w:space="0" w:color="auto"/>
            </w:tcBorders>
            <w:shd w:val="clear" w:color="auto" w:fill="D7000F"/>
          </w:tcPr>
          <w:p>
            <w:pP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86" w:right="0"/>
              <w:jc w:val="center"/>
              <w:rPr>
                <w:rFonts w:ascii="宋体" w:hAnsi="宋体" w:cs="宋体" w:eastAsia="宋体" w:hint="default"/>
                <w:sz w:val="16"/>
                <w:szCs w:val="16"/>
              </w:rPr>
            </w:pPr>
            <w:r>
              <w:rPr>
                <w:rFonts w:ascii="宋体" w:hAnsi="宋体" w:cs="宋体" w:eastAsia="宋体" w:hint="default"/>
                <w:sz w:val="16"/>
                <w:szCs w:val="16"/>
              </w:rPr>
              <w:t>报告期内从公</w:t>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是否在</w:t>
            </w:r>
          </w:p>
        </w:tc>
      </w:tr>
      <w:tr>
        <w:trPr>
          <w:trHeight w:val="200" w:hRule="exact"/>
        </w:trPr>
        <w:tc>
          <w:tcPr>
            <w:tcW w:w="5431" w:type="dxa"/>
            <w:gridSpan w:val="6"/>
            <w:vMerge/>
            <w:tcBorders>
              <w:left w:val="nil" w:sz="6" w:space="0" w:color="auto"/>
              <w:bottom w:val="nil" w:sz="6" w:space="0" w:color="auto"/>
              <w:right w:val="nil" w:sz="6" w:space="0" w:color="auto"/>
            </w:tcBorders>
            <w:shd w:val="clear" w:color="auto" w:fill="D7000F"/>
          </w:tcPr>
          <w:p>
            <w:pP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126" w:right="0"/>
              <w:jc w:val="left"/>
              <w:rPr>
                <w:rFonts w:ascii="宋体" w:hAnsi="宋体" w:cs="宋体" w:eastAsia="宋体" w:hint="default"/>
                <w:sz w:val="16"/>
                <w:szCs w:val="16"/>
              </w:rPr>
            </w:pPr>
            <w:r>
              <w:rPr>
                <w:rFonts w:ascii="宋体" w:hAnsi="宋体" w:cs="宋体" w:eastAsia="宋体" w:hint="default"/>
                <w:sz w:val="16"/>
                <w:szCs w:val="16"/>
              </w:rPr>
              <w:t>持</w:t>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8" w:right="0"/>
              <w:jc w:val="center"/>
              <w:rPr>
                <w:rFonts w:ascii="宋体" w:hAnsi="宋体" w:cs="宋体" w:eastAsia="宋体" w:hint="default"/>
                <w:sz w:val="16"/>
                <w:szCs w:val="16"/>
              </w:rPr>
            </w:pPr>
            <w:r>
              <w:rPr>
                <w:rFonts w:ascii="宋体" w:hAnsi="宋体" w:cs="宋体" w:eastAsia="宋体" w:hint="default"/>
                <w:sz w:val="16"/>
                <w:szCs w:val="16"/>
              </w:rPr>
              <w:t>持</w:t>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right="68"/>
              <w:jc w:val="center"/>
              <w:rPr>
                <w:rFonts w:ascii="宋体" w:hAnsi="宋体" w:cs="宋体" w:eastAsia="宋体" w:hint="default"/>
                <w:sz w:val="16"/>
                <w:szCs w:val="16"/>
              </w:rPr>
            </w:pPr>
            <w:r>
              <w:rPr>
                <w:rFonts w:ascii="宋体" w:hAnsi="宋体" w:cs="宋体" w:eastAsia="宋体" w:hint="default"/>
                <w:sz w:val="16"/>
                <w:szCs w:val="16"/>
              </w:rPr>
              <w:t>份增</w:t>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增减</w:t>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86" w:right="0"/>
              <w:jc w:val="center"/>
              <w:rPr>
                <w:rFonts w:ascii="宋体" w:hAnsi="宋体" w:cs="宋体" w:eastAsia="宋体" w:hint="default"/>
                <w:sz w:val="16"/>
                <w:szCs w:val="16"/>
              </w:rPr>
            </w:pPr>
            <w:r>
              <w:rPr>
                <w:rFonts w:ascii="宋体" w:hAnsi="宋体" w:cs="宋体" w:eastAsia="宋体" w:hint="default"/>
                <w:sz w:val="16"/>
                <w:szCs w:val="16"/>
              </w:rPr>
              <w:t>司获得的税前</w:t>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公司关</w:t>
            </w:r>
          </w:p>
        </w:tc>
      </w:tr>
      <w:tr>
        <w:trPr>
          <w:trHeight w:val="200"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22" w:right="0"/>
              <w:jc w:val="center"/>
              <w:rPr>
                <w:rFonts w:ascii="宋体" w:hAnsi="宋体" w:cs="宋体" w:eastAsia="宋体" w:hint="default"/>
                <w:sz w:val="16"/>
                <w:szCs w:val="16"/>
              </w:rPr>
            </w:pPr>
            <w:r>
              <w:rPr>
                <w:rFonts w:ascii="宋体" w:hAnsi="宋体" w:cs="宋体" w:eastAsia="宋体" w:hint="default"/>
                <w:sz w:val="16"/>
                <w:szCs w:val="16"/>
              </w:rPr>
              <w:t>性</w:t>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76" w:right="0"/>
              <w:jc w:val="center"/>
              <w:rPr>
                <w:rFonts w:ascii="宋体" w:hAnsi="宋体" w:cs="宋体" w:eastAsia="宋体" w:hint="default"/>
                <w:sz w:val="16"/>
                <w:szCs w:val="16"/>
              </w:rPr>
            </w:pPr>
            <w:r>
              <w:rPr>
                <w:rFonts w:ascii="宋体" w:hAnsi="宋体" w:cs="宋体" w:eastAsia="宋体" w:hint="default"/>
                <w:sz w:val="16"/>
                <w:szCs w:val="16"/>
              </w:rPr>
              <w:t>年</w:t>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15" w:right="0"/>
              <w:jc w:val="center"/>
              <w:rPr>
                <w:rFonts w:ascii="宋体" w:hAnsi="宋体" w:cs="宋体" w:eastAsia="宋体" w:hint="default"/>
                <w:sz w:val="16"/>
                <w:szCs w:val="16"/>
              </w:rPr>
            </w:pPr>
            <w:r>
              <w:rPr>
                <w:rFonts w:ascii="宋体" w:hAnsi="宋体" w:cs="宋体" w:eastAsia="宋体" w:hint="default"/>
                <w:sz w:val="16"/>
                <w:szCs w:val="16"/>
              </w:rPr>
              <w:t>任期</w:t>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right="46"/>
              <w:jc w:val="center"/>
              <w:rPr>
                <w:rFonts w:ascii="宋体" w:hAnsi="宋体" w:cs="宋体" w:eastAsia="宋体" w:hint="default"/>
                <w:sz w:val="16"/>
                <w:szCs w:val="16"/>
              </w:rPr>
            </w:pPr>
            <w:r>
              <w:rPr>
                <w:rFonts w:ascii="宋体" w:hAnsi="宋体" w:cs="宋体" w:eastAsia="宋体" w:hint="default"/>
                <w:sz w:val="16"/>
                <w:szCs w:val="16"/>
              </w:rPr>
              <w:t>任期</w:t>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126" w:right="0"/>
              <w:jc w:val="left"/>
              <w:rPr>
                <w:rFonts w:ascii="宋体" w:hAnsi="宋体" w:cs="宋体" w:eastAsia="宋体" w:hint="default"/>
                <w:sz w:val="16"/>
                <w:szCs w:val="16"/>
              </w:rPr>
            </w:pPr>
            <w:r>
              <w:rPr>
                <w:rFonts w:ascii="宋体" w:hAnsi="宋体" w:cs="宋体" w:eastAsia="宋体" w:hint="default"/>
                <w:sz w:val="16"/>
                <w:szCs w:val="16"/>
              </w:rPr>
              <w:t>股</w:t>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8" w:right="0"/>
              <w:jc w:val="center"/>
              <w:rPr>
                <w:rFonts w:ascii="宋体" w:hAnsi="宋体" w:cs="宋体" w:eastAsia="宋体" w:hint="default"/>
                <w:sz w:val="16"/>
                <w:szCs w:val="16"/>
              </w:rPr>
            </w:pPr>
            <w:r>
              <w:rPr>
                <w:rFonts w:ascii="宋体" w:hAnsi="宋体" w:cs="宋体" w:eastAsia="宋体" w:hint="default"/>
                <w:sz w:val="16"/>
                <w:szCs w:val="16"/>
              </w:rPr>
              <w:t>股</w:t>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right="68"/>
              <w:jc w:val="center"/>
              <w:rPr>
                <w:rFonts w:ascii="宋体" w:hAnsi="宋体" w:cs="宋体" w:eastAsia="宋体" w:hint="default"/>
                <w:sz w:val="16"/>
                <w:szCs w:val="16"/>
              </w:rPr>
            </w:pPr>
            <w:r>
              <w:rPr>
                <w:rFonts w:ascii="宋体" w:hAnsi="宋体" w:cs="宋体" w:eastAsia="宋体" w:hint="default"/>
                <w:sz w:val="16"/>
                <w:szCs w:val="16"/>
              </w:rPr>
              <w:t>减变</w:t>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变动</w:t>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86" w:right="0"/>
              <w:jc w:val="center"/>
              <w:rPr>
                <w:rFonts w:ascii="宋体" w:hAnsi="宋体" w:cs="宋体" w:eastAsia="宋体" w:hint="default"/>
                <w:sz w:val="16"/>
                <w:szCs w:val="16"/>
              </w:rPr>
            </w:pPr>
            <w:r>
              <w:rPr>
                <w:rFonts w:ascii="宋体" w:hAnsi="宋体" w:cs="宋体" w:eastAsia="宋体" w:hint="default"/>
                <w:sz w:val="16"/>
                <w:szCs w:val="16"/>
              </w:rPr>
              <w:t>报酬总额</w:t>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联方获</w:t>
            </w:r>
          </w:p>
        </w:tc>
      </w:tr>
      <w:tr>
        <w:trPr>
          <w:trHeight w:val="284" w:hRule="exact"/>
        </w:trPr>
        <w:tc>
          <w:tcPr>
            <w:tcW w:w="907"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34" w:right="0"/>
              <w:jc w:val="center"/>
              <w:rPr>
                <w:rFonts w:ascii="宋体" w:hAnsi="宋体" w:cs="宋体" w:eastAsia="宋体" w:hint="default"/>
                <w:sz w:val="16"/>
                <w:szCs w:val="16"/>
              </w:rPr>
            </w:pPr>
            <w:r>
              <w:rPr>
                <w:rFonts w:ascii="宋体" w:hAnsi="宋体" w:cs="宋体" w:eastAsia="宋体" w:hint="default"/>
                <w:sz w:val="16"/>
                <w:szCs w:val="16"/>
              </w:rPr>
              <w:t>姓名</w:t>
            </w:r>
          </w:p>
        </w:tc>
        <w:tc>
          <w:tcPr>
            <w:tcW w:w="1134"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241" w:right="0"/>
              <w:jc w:val="left"/>
              <w:rPr>
                <w:rFonts w:ascii="宋体" w:hAnsi="宋体" w:cs="宋体" w:eastAsia="宋体" w:hint="default"/>
                <w:sz w:val="16"/>
                <w:szCs w:val="16"/>
              </w:rPr>
            </w:pPr>
            <w:r>
              <w:rPr>
                <w:rFonts w:ascii="宋体" w:hAnsi="宋体" w:cs="宋体" w:eastAsia="宋体" w:hint="default"/>
                <w:spacing w:val="27"/>
                <w:sz w:val="16"/>
                <w:szCs w:val="16"/>
              </w:rPr>
              <w:t>职务(注)</w:t>
            </w:r>
            <w:r>
              <w:rPr>
                <w:rFonts w:ascii="宋体" w:hAnsi="宋体" w:cs="宋体" w:eastAsia="宋体" w:hint="default"/>
                <w:spacing w:val="-40"/>
                <w:sz w:val="16"/>
                <w:szCs w:val="16"/>
              </w:rPr>
              <w:t> </w:t>
            </w:r>
            <w:r>
              <w:rPr>
                <w:rFonts w:ascii="宋体" w:hAnsi="宋体" w:cs="宋体" w:eastAsia="宋体" w:hint="default"/>
                <w:sz w:val="16"/>
                <w:szCs w:val="16"/>
              </w:rPr>
            </w:r>
          </w:p>
        </w:tc>
        <w:tc>
          <w:tcPr>
            <w:tcW w:w="413"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22" w:right="0"/>
              <w:jc w:val="center"/>
              <w:rPr>
                <w:rFonts w:ascii="宋体" w:hAnsi="宋体" w:cs="宋体" w:eastAsia="宋体" w:hint="default"/>
                <w:sz w:val="16"/>
                <w:szCs w:val="16"/>
              </w:rPr>
            </w:pPr>
            <w:r>
              <w:rPr>
                <w:rFonts w:ascii="宋体" w:hAnsi="宋体" w:cs="宋体" w:eastAsia="宋体" w:hint="default"/>
                <w:sz w:val="16"/>
                <w:szCs w:val="16"/>
              </w:rPr>
              <w:t>别</w:t>
            </w:r>
          </w:p>
        </w:tc>
        <w:tc>
          <w:tcPr>
            <w:tcW w:w="327"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76" w:right="0"/>
              <w:jc w:val="center"/>
              <w:rPr>
                <w:rFonts w:ascii="宋体" w:hAnsi="宋体" w:cs="宋体" w:eastAsia="宋体" w:hint="default"/>
                <w:sz w:val="16"/>
                <w:szCs w:val="16"/>
              </w:rPr>
            </w:pPr>
            <w:r>
              <w:rPr>
                <w:rFonts w:ascii="宋体" w:hAnsi="宋体" w:cs="宋体" w:eastAsia="宋体" w:hint="default"/>
                <w:sz w:val="16"/>
                <w:szCs w:val="16"/>
              </w:rPr>
              <w:t>龄</w:t>
            </w:r>
          </w:p>
        </w:tc>
        <w:tc>
          <w:tcPr>
            <w:tcW w:w="1559"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15" w:right="0"/>
              <w:jc w:val="center"/>
              <w:rPr>
                <w:rFonts w:ascii="宋体" w:hAnsi="宋体" w:cs="宋体" w:eastAsia="宋体" w:hint="default"/>
                <w:sz w:val="16"/>
                <w:szCs w:val="16"/>
              </w:rPr>
            </w:pPr>
            <w:r>
              <w:rPr>
                <w:rFonts w:ascii="宋体" w:hAnsi="宋体" w:cs="宋体" w:eastAsia="宋体" w:hint="default"/>
                <w:sz w:val="16"/>
                <w:szCs w:val="16"/>
              </w:rPr>
              <w:t>起始日期</w:t>
            </w:r>
          </w:p>
        </w:tc>
        <w:tc>
          <w:tcPr>
            <w:tcW w:w="1091"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right="46"/>
              <w:jc w:val="center"/>
              <w:rPr>
                <w:rFonts w:ascii="宋体" w:hAnsi="宋体" w:cs="宋体" w:eastAsia="宋体" w:hint="default"/>
                <w:sz w:val="16"/>
                <w:szCs w:val="16"/>
              </w:rPr>
            </w:pPr>
            <w:r>
              <w:rPr>
                <w:rFonts w:ascii="宋体" w:hAnsi="宋体" w:cs="宋体" w:eastAsia="宋体" w:hint="default"/>
                <w:sz w:val="16"/>
                <w:szCs w:val="16"/>
              </w:rPr>
              <w:t>终止日期</w:t>
            </w:r>
          </w:p>
        </w:tc>
        <w:tc>
          <w:tcPr>
            <w:tcW w:w="397"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126" w:right="0"/>
              <w:jc w:val="left"/>
              <w:rPr>
                <w:rFonts w:ascii="宋体" w:hAnsi="宋体" w:cs="宋体" w:eastAsia="宋体" w:hint="default"/>
                <w:sz w:val="16"/>
                <w:szCs w:val="16"/>
              </w:rPr>
            </w:pPr>
            <w:r>
              <w:rPr>
                <w:rFonts w:ascii="宋体" w:hAnsi="宋体" w:cs="宋体" w:eastAsia="宋体" w:hint="default"/>
                <w:sz w:val="16"/>
                <w:szCs w:val="16"/>
              </w:rPr>
              <w:t>数</w:t>
            </w:r>
          </w:p>
        </w:tc>
        <w:tc>
          <w:tcPr>
            <w:tcW w:w="371"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8" w:right="0"/>
              <w:jc w:val="center"/>
              <w:rPr>
                <w:rFonts w:ascii="宋体" w:hAnsi="宋体" w:cs="宋体" w:eastAsia="宋体" w:hint="default"/>
                <w:sz w:val="16"/>
                <w:szCs w:val="16"/>
              </w:rPr>
            </w:pPr>
            <w:r>
              <w:rPr>
                <w:rFonts w:ascii="宋体" w:hAnsi="宋体" w:cs="宋体" w:eastAsia="宋体" w:hint="default"/>
                <w:sz w:val="16"/>
                <w:szCs w:val="16"/>
              </w:rPr>
              <w:t>数</w:t>
            </w:r>
          </w:p>
        </w:tc>
        <w:tc>
          <w:tcPr>
            <w:tcW w:w="593"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right="68"/>
              <w:jc w:val="center"/>
              <w:rPr>
                <w:rFonts w:ascii="宋体" w:hAnsi="宋体" w:cs="宋体" w:eastAsia="宋体" w:hint="default"/>
                <w:sz w:val="16"/>
                <w:szCs w:val="16"/>
              </w:rPr>
            </w:pPr>
            <w:r>
              <w:rPr>
                <w:rFonts w:ascii="宋体" w:hAnsi="宋体" w:cs="宋体" w:eastAsia="宋体" w:hint="default"/>
                <w:sz w:val="16"/>
                <w:szCs w:val="16"/>
              </w:rPr>
              <w:t>动量</w:t>
            </w:r>
          </w:p>
        </w:tc>
        <w:tc>
          <w:tcPr>
            <w:tcW w:w="659"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4" w:right="0"/>
              <w:jc w:val="center"/>
              <w:rPr>
                <w:rFonts w:ascii="宋体" w:hAnsi="宋体" w:cs="宋体" w:eastAsia="宋体" w:hint="default"/>
                <w:sz w:val="16"/>
                <w:szCs w:val="16"/>
              </w:rPr>
            </w:pPr>
            <w:r>
              <w:rPr>
                <w:rFonts w:ascii="宋体" w:hAnsi="宋体" w:cs="宋体" w:eastAsia="宋体" w:hint="default"/>
                <w:sz w:val="16"/>
                <w:szCs w:val="16"/>
              </w:rPr>
              <w:t>原因</w:t>
            </w:r>
          </w:p>
        </w:tc>
        <w:tc>
          <w:tcPr>
            <w:tcW w:w="1207"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86" w:right="0"/>
              <w:jc w:val="center"/>
              <w:rPr>
                <w:rFonts w:ascii="宋体" w:hAnsi="宋体" w:cs="宋体" w:eastAsia="宋体" w:hint="default"/>
                <w:sz w:val="16"/>
                <w:szCs w:val="16"/>
              </w:rPr>
            </w:pPr>
            <w:r>
              <w:rPr>
                <w:rFonts w:ascii="宋体" w:hAnsi="宋体" w:cs="宋体" w:eastAsia="宋体" w:hint="default"/>
                <w:sz w:val="16"/>
                <w:szCs w:val="16"/>
              </w:rPr>
              <w:t>（万元）</w:t>
            </w:r>
          </w:p>
        </w:tc>
        <w:tc>
          <w:tcPr>
            <w:tcW w:w="646" w:type="dxa"/>
            <w:tcBorders>
              <w:top w:val="nil" w:sz="6" w:space="0" w:color="auto"/>
              <w:left w:val="nil" w:sz="6" w:space="0" w:color="auto"/>
              <w:bottom w:val="single" w:sz="16" w:space="0" w:color="9C8758"/>
              <w:right w:val="nil" w:sz="6" w:space="0" w:color="auto"/>
            </w:tcBorders>
            <w:shd w:val="clear" w:color="auto" w:fill="D7000F"/>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取报酬</w:t>
            </w:r>
          </w:p>
        </w:tc>
      </w:tr>
      <w:tr>
        <w:trPr>
          <w:trHeight w:val="393" w:hRule="exact"/>
        </w:trPr>
        <w:tc>
          <w:tcPr>
            <w:tcW w:w="907"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34" w:right="0"/>
              <w:jc w:val="center"/>
              <w:rPr>
                <w:rFonts w:ascii="宋体" w:hAnsi="宋体" w:cs="宋体" w:eastAsia="宋体" w:hint="default"/>
                <w:sz w:val="16"/>
                <w:szCs w:val="16"/>
              </w:rPr>
            </w:pPr>
            <w:r>
              <w:rPr>
                <w:rFonts w:ascii="宋体" w:hAnsi="宋体" w:cs="宋体" w:eastAsia="宋体" w:hint="default"/>
                <w:color w:val="FFFFFF"/>
                <w:sz w:val="16"/>
                <w:szCs w:val="16"/>
              </w:rPr>
              <w:t>王晓初</w:t>
            </w:r>
            <w:r>
              <w:rPr>
                <w:rFonts w:ascii="宋体" w:hAnsi="宋体" w:cs="宋体" w:eastAsia="宋体" w:hint="default"/>
                <w:sz w:val="16"/>
                <w:szCs w:val="16"/>
              </w:rPr>
            </w:r>
          </w:p>
        </w:tc>
        <w:tc>
          <w:tcPr>
            <w:tcW w:w="1134"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354" w:right="0"/>
              <w:jc w:val="left"/>
              <w:rPr>
                <w:rFonts w:ascii="宋体" w:hAnsi="宋体" w:cs="宋体" w:eastAsia="宋体" w:hint="default"/>
                <w:sz w:val="16"/>
                <w:szCs w:val="16"/>
              </w:rPr>
            </w:pPr>
            <w:r>
              <w:rPr>
                <w:rFonts w:ascii="宋体" w:hAnsi="宋体" w:cs="宋体" w:eastAsia="宋体" w:hint="default"/>
                <w:color w:val="FFFFFF"/>
                <w:sz w:val="16"/>
                <w:szCs w:val="16"/>
              </w:rPr>
              <w:t>董事长</w:t>
            </w:r>
            <w:r>
              <w:rPr>
                <w:rFonts w:ascii="宋体" w:hAnsi="宋体" w:cs="宋体" w:eastAsia="宋体" w:hint="default"/>
                <w:sz w:val="16"/>
                <w:szCs w:val="16"/>
              </w:rPr>
            </w:r>
          </w:p>
        </w:tc>
        <w:tc>
          <w:tcPr>
            <w:tcW w:w="413"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22"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76" w:right="0"/>
              <w:jc w:val="center"/>
              <w:rPr>
                <w:rFonts w:ascii="宋体" w:hAnsi="宋体" w:cs="宋体" w:eastAsia="宋体" w:hint="default"/>
                <w:sz w:val="16"/>
                <w:szCs w:val="16"/>
              </w:rPr>
            </w:pPr>
            <w:r>
              <w:rPr>
                <w:rFonts w:ascii="宋体"/>
                <w:color w:val="FFFFFF"/>
                <w:w w:val="110"/>
                <w:sz w:val="16"/>
              </w:rPr>
              <w:t>60</w:t>
            </w:r>
            <w:r>
              <w:rPr>
                <w:rFonts w:ascii="宋体"/>
                <w:sz w:val="16"/>
              </w:rPr>
            </w:r>
          </w:p>
        </w:tc>
        <w:tc>
          <w:tcPr>
            <w:tcW w:w="1559"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56"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2015年9月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right="47"/>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8"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right="68"/>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4"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86"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single" w:sz="16" w:space="0" w:color="9C8758"/>
              <w:left w:val="nil" w:sz="6" w:space="0" w:color="auto"/>
              <w:bottom w:val="nil" w:sz="6" w:space="0" w:color="auto"/>
              <w:right w:val="nil" w:sz="6" w:space="0" w:color="auto"/>
            </w:tcBorders>
            <w:shd w:val="clear" w:color="auto" w:fill="D7000F"/>
          </w:tcPr>
          <w:p>
            <w:pPr>
              <w:pStyle w:val="TableParagraph"/>
              <w:spacing w:line="240" w:lineRule="auto" w:before="83"/>
              <w:ind w:left="10"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4" w:right="0"/>
              <w:jc w:val="center"/>
              <w:rPr>
                <w:rFonts w:ascii="宋体" w:hAnsi="宋体" w:cs="宋体" w:eastAsia="宋体" w:hint="default"/>
                <w:sz w:val="16"/>
                <w:szCs w:val="16"/>
              </w:rPr>
            </w:pPr>
            <w:r>
              <w:rPr>
                <w:rFonts w:ascii="宋体" w:hAnsi="宋体" w:cs="宋体" w:eastAsia="宋体" w:hint="default"/>
                <w:color w:val="FFFFFF"/>
                <w:sz w:val="16"/>
                <w:szCs w:val="16"/>
              </w:rPr>
              <w:t>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6"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2018年9月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14日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68"/>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86"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4" w:right="0"/>
              <w:jc w:val="center"/>
              <w:rPr>
                <w:rFonts w:ascii="宋体" w:hAnsi="宋体" w:cs="宋体" w:eastAsia="宋体" w:hint="default"/>
                <w:sz w:val="16"/>
                <w:szCs w:val="16"/>
              </w:rPr>
            </w:pPr>
            <w:r>
              <w:rPr>
                <w:rFonts w:ascii="宋体" w:hAnsi="宋体" w:cs="宋体" w:eastAsia="宋体" w:hint="default"/>
                <w:color w:val="FFFFFF"/>
                <w:sz w:val="16"/>
                <w:szCs w:val="16"/>
              </w:rPr>
              <w:t>李国华</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4" w:right="0"/>
              <w:jc w:val="center"/>
              <w:rPr>
                <w:rFonts w:ascii="宋体" w:hAnsi="宋体" w:cs="宋体" w:eastAsia="宋体" w:hint="default"/>
                <w:sz w:val="16"/>
                <w:szCs w:val="16"/>
              </w:rPr>
            </w:pPr>
            <w:r>
              <w:rPr>
                <w:rFonts w:ascii="宋体" w:hAnsi="宋体" w:cs="宋体" w:eastAsia="宋体" w:hint="default"/>
                <w:color w:val="FFFFFF"/>
                <w:sz w:val="16"/>
                <w:szCs w:val="16"/>
              </w:rPr>
              <w:t>总裁</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7" w:right="0"/>
              <w:jc w:val="center"/>
              <w:rPr>
                <w:rFonts w:ascii="宋体" w:hAnsi="宋体" w:cs="宋体" w:eastAsia="宋体" w:hint="default"/>
                <w:sz w:val="16"/>
                <w:szCs w:val="16"/>
              </w:rPr>
            </w:pPr>
            <w:r>
              <w:rPr>
                <w:rFonts w:ascii="宋体"/>
                <w:color w:val="FFFFFF"/>
                <w:w w:val="110"/>
                <w:sz w:val="16"/>
              </w:rPr>
              <w:t>59</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6"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2018年8月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17日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8"/>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6"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94" w:right="0"/>
              <w:jc w:val="left"/>
              <w:rPr>
                <w:rFonts w:ascii="宋体" w:hAnsi="宋体" w:cs="宋体" w:eastAsia="宋体" w:hint="default"/>
                <w:sz w:val="16"/>
                <w:szCs w:val="16"/>
              </w:rPr>
            </w:pPr>
            <w:r>
              <w:rPr>
                <w:rFonts w:ascii="宋体" w:hAnsi="宋体" w:cs="宋体" w:eastAsia="宋体" w:hint="default"/>
                <w:color w:val="FFFFFF"/>
                <w:sz w:val="16"/>
                <w:szCs w:val="16"/>
              </w:rPr>
              <w:t>总法律顾问</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6"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2018年9月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11日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8"/>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6"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72"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4" w:right="0"/>
              <w:jc w:val="center"/>
              <w:rPr>
                <w:rFonts w:ascii="宋体" w:hAnsi="宋体" w:cs="宋体" w:eastAsia="宋体" w:hint="default"/>
                <w:sz w:val="16"/>
                <w:szCs w:val="16"/>
              </w:rPr>
            </w:pPr>
            <w:r>
              <w:rPr>
                <w:rFonts w:ascii="宋体" w:hAnsi="宋体" w:cs="宋体" w:eastAsia="宋体" w:hint="default"/>
                <w:color w:val="FFFFFF"/>
                <w:sz w:val="16"/>
                <w:szCs w:val="16"/>
              </w:rPr>
              <w:t>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6"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2011年5月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24日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87"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72"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92" w:lineRule="exact"/>
              <w:ind w:left="34" w:right="0"/>
              <w:jc w:val="center"/>
              <w:rPr>
                <w:rFonts w:ascii="宋体" w:hAnsi="宋体" w:cs="宋体" w:eastAsia="宋体" w:hint="default"/>
                <w:sz w:val="16"/>
                <w:szCs w:val="16"/>
              </w:rPr>
            </w:pPr>
            <w:r>
              <w:rPr>
                <w:rFonts w:ascii="宋体" w:hAnsi="宋体" w:cs="宋体" w:eastAsia="宋体" w:hint="default"/>
                <w:color w:val="FFFFFF"/>
                <w:sz w:val="16"/>
                <w:szCs w:val="16"/>
              </w:rPr>
              <w:t>李福申</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30"/>
              <w:ind w:left="54" w:right="0"/>
              <w:jc w:val="center"/>
              <w:rPr>
                <w:rFonts w:ascii="宋体" w:hAnsi="宋体" w:cs="宋体" w:eastAsia="宋体" w:hint="default"/>
                <w:sz w:val="16"/>
                <w:szCs w:val="16"/>
              </w:rPr>
            </w:pPr>
            <w:r>
              <w:rPr>
                <w:rFonts w:ascii="宋体" w:hAnsi="宋体" w:cs="宋体" w:eastAsia="宋体" w:hint="default"/>
                <w:color w:val="FFFFFF"/>
                <w:sz w:val="16"/>
                <w:szCs w:val="16"/>
              </w:rPr>
              <w:t>离任</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92" w:lineRule="exact"/>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6849" w:type="dxa"/>
            <w:gridSpan w:val="9"/>
            <w:tcBorders>
              <w:top w:val="nil" w:sz="6" w:space="0" w:color="auto"/>
              <w:left w:val="nil" w:sz="6" w:space="0" w:color="auto"/>
              <w:bottom w:val="nil" w:sz="6" w:space="0" w:color="auto"/>
              <w:right w:val="nil" w:sz="6" w:space="0" w:color="auto"/>
            </w:tcBorders>
            <w:shd w:val="clear" w:color="auto" w:fill="D7000F"/>
          </w:tcPr>
          <w:p>
            <w:pPr>
              <w:pStyle w:val="TableParagraph"/>
              <w:spacing w:line="192" w:lineRule="exact"/>
              <w:ind w:left="113" w:right="0"/>
              <w:jc w:val="left"/>
              <w:rPr>
                <w:rFonts w:ascii="宋体" w:hAnsi="宋体" w:cs="宋体" w:eastAsia="宋体" w:hint="default"/>
                <w:sz w:val="16"/>
                <w:szCs w:val="16"/>
              </w:rPr>
            </w:pPr>
            <w:r>
              <w:rPr>
                <w:rFonts w:ascii="宋体"/>
                <w:color w:val="FFFFFF"/>
                <w:w w:val="110"/>
                <w:sz w:val="16"/>
              </w:rPr>
              <w:t>56</w:t>
            </w:r>
            <w:r>
              <w:rPr>
                <w:rFonts w:ascii="宋体"/>
                <w:sz w:val="16"/>
              </w:rPr>
            </w:r>
          </w:p>
        </w:tc>
      </w:tr>
      <w:tr>
        <w:trPr>
          <w:trHeight w:val="248"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68" w:lineRule="exact"/>
              <w:ind w:left="194" w:right="0"/>
              <w:jc w:val="left"/>
              <w:rPr>
                <w:rFonts w:ascii="宋体" w:hAnsi="宋体" w:cs="宋体" w:eastAsia="宋体" w:hint="default"/>
                <w:sz w:val="16"/>
                <w:szCs w:val="16"/>
              </w:rPr>
            </w:pPr>
            <w:r>
              <w:rPr>
                <w:rFonts w:ascii="宋体" w:hAnsi="宋体" w:cs="宋体" w:eastAsia="宋体" w:hint="default"/>
                <w:color w:val="FFFFFF"/>
                <w:sz w:val="16"/>
                <w:szCs w:val="16"/>
              </w:rPr>
              <w:t>高级副总裁</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left="56"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2018年2月9日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2018</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8</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left="87"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68" w:lineRule="exact"/>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尹兆君</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4" w:right="0"/>
              <w:jc w:val="center"/>
              <w:rPr>
                <w:rFonts w:ascii="宋体" w:hAnsi="宋体" w:cs="宋体" w:eastAsia="宋体" w:hint="default"/>
                <w:sz w:val="16"/>
                <w:szCs w:val="16"/>
              </w:rPr>
            </w:pPr>
            <w:r>
              <w:rPr>
                <w:rFonts w:ascii="宋体" w:hAnsi="宋体" w:cs="宋体" w:eastAsia="宋体" w:hint="default"/>
                <w:color w:val="FFFFFF"/>
                <w:sz w:val="16"/>
                <w:szCs w:val="16"/>
              </w:rPr>
              <w:t>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7" w:right="0"/>
              <w:jc w:val="center"/>
              <w:rPr>
                <w:rFonts w:ascii="宋体" w:hAnsi="宋体" w:cs="宋体" w:eastAsia="宋体" w:hint="default"/>
                <w:sz w:val="16"/>
                <w:szCs w:val="16"/>
              </w:rPr>
            </w:pPr>
            <w:r>
              <w:rPr>
                <w:rFonts w:ascii="宋体"/>
                <w:color w:val="FFFFFF"/>
                <w:w w:val="110"/>
                <w:sz w:val="16"/>
              </w:rPr>
              <w:t>53</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卢山</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4" w:right="0"/>
              <w:jc w:val="center"/>
              <w:rPr>
                <w:rFonts w:ascii="宋体" w:hAnsi="宋体" w:cs="宋体" w:eastAsia="宋体" w:hint="default"/>
                <w:sz w:val="16"/>
                <w:szCs w:val="16"/>
              </w:rPr>
            </w:pPr>
            <w:r>
              <w:rPr>
                <w:rFonts w:ascii="宋体" w:hAnsi="宋体" w:cs="宋体" w:eastAsia="宋体" w:hint="default"/>
                <w:color w:val="FFFFFF"/>
                <w:sz w:val="16"/>
                <w:szCs w:val="16"/>
              </w:rPr>
              <w:t>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7" w:right="0"/>
              <w:jc w:val="center"/>
              <w:rPr>
                <w:rFonts w:ascii="宋体" w:hAnsi="宋体" w:cs="宋体" w:eastAsia="宋体" w:hint="default"/>
                <w:sz w:val="16"/>
                <w:szCs w:val="16"/>
              </w:rPr>
            </w:pPr>
            <w:r>
              <w:rPr>
                <w:rFonts w:ascii="宋体"/>
                <w:color w:val="FFFFFF"/>
                <w:w w:val="110"/>
                <w:sz w:val="16"/>
              </w:rPr>
              <w:t>43</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王路</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4" w:right="0"/>
              <w:jc w:val="center"/>
              <w:rPr>
                <w:rFonts w:ascii="宋体" w:hAnsi="宋体" w:cs="宋体" w:eastAsia="宋体" w:hint="default"/>
                <w:sz w:val="16"/>
                <w:szCs w:val="16"/>
              </w:rPr>
            </w:pPr>
            <w:r>
              <w:rPr>
                <w:rFonts w:ascii="宋体" w:hAnsi="宋体" w:cs="宋体" w:eastAsia="宋体" w:hint="default"/>
                <w:color w:val="FFFFFF"/>
                <w:sz w:val="16"/>
                <w:szCs w:val="16"/>
              </w:rPr>
              <w:t>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7" w:right="0"/>
              <w:jc w:val="center"/>
              <w:rPr>
                <w:rFonts w:ascii="宋体" w:hAnsi="宋体" w:cs="宋体" w:eastAsia="宋体" w:hint="default"/>
                <w:sz w:val="16"/>
                <w:szCs w:val="16"/>
              </w:rPr>
            </w:pPr>
            <w:r>
              <w:rPr>
                <w:rFonts w:ascii="宋体"/>
                <w:color w:val="FFFFFF"/>
                <w:w w:val="110"/>
                <w:sz w:val="16"/>
              </w:rPr>
              <w:t>52</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2018年9月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14日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廖建文</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4" w:right="0"/>
              <w:jc w:val="center"/>
              <w:rPr>
                <w:rFonts w:ascii="宋体" w:hAnsi="宋体" w:cs="宋体" w:eastAsia="宋体" w:hint="default"/>
                <w:sz w:val="16"/>
                <w:szCs w:val="16"/>
              </w:rPr>
            </w:pPr>
            <w:r>
              <w:rPr>
                <w:rFonts w:ascii="宋体" w:hAnsi="宋体" w:cs="宋体" w:eastAsia="宋体" w:hint="default"/>
                <w:color w:val="FFFFFF"/>
                <w:sz w:val="16"/>
                <w:szCs w:val="16"/>
              </w:rPr>
              <w:t>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7" w:right="0"/>
              <w:jc w:val="center"/>
              <w:rPr>
                <w:rFonts w:ascii="宋体" w:hAnsi="宋体" w:cs="宋体" w:eastAsia="宋体" w:hint="default"/>
                <w:sz w:val="16"/>
                <w:szCs w:val="16"/>
              </w:rPr>
            </w:pPr>
            <w:r>
              <w:rPr>
                <w:rFonts w:ascii="宋体"/>
                <w:color w:val="FFFFFF"/>
                <w:w w:val="110"/>
                <w:sz w:val="16"/>
              </w:rPr>
              <w:t>51</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胡晓明</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4" w:right="0"/>
              <w:jc w:val="center"/>
              <w:rPr>
                <w:rFonts w:ascii="宋体" w:hAnsi="宋体" w:cs="宋体" w:eastAsia="宋体" w:hint="default"/>
                <w:sz w:val="16"/>
                <w:szCs w:val="16"/>
              </w:rPr>
            </w:pPr>
            <w:r>
              <w:rPr>
                <w:rFonts w:ascii="宋体" w:hAnsi="宋体" w:cs="宋体" w:eastAsia="宋体" w:hint="default"/>
                <w:color w:val="FFFFFF"/>
                <w:sz w:val="16"/>
                <w:szCs w:val="16"/>
              </w:rPr>
              <w:t>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7" w:right="0"/>
              <w:jc w:val="center"/>
              <w:rPr>
                <w:rFonts w:ascii="宋体" w:hAnsi="宋体" w:cs="宋体" w:eastAsia="宋体" w:hint="default"/>
                <w:sz w:val="16"/>
                <w:szCs w:val="16"/>
              </w:rPr>
            </w:pPr>
            <w:r>
              <w:rPr>
                <w:rFonts w:ascii="宋体"/>
                <w:color w:val="FFFFFF"/>
                <w:w w:val="110"/>
                <w:sz w:val="16"/>
              </w:rPr>
              <w:t>49</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冯士栋</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74" w:right="0"/>
              <w:jc w:val="left"/>
              <w:rPr>
                <w:rFonts w:ascii="宋体" w:hAnsi="宋体" w:cs="宋体" w:eastAsia="宋体" w:hint="default"/>
                <w:sz w:val="16"/>
                <w:szCs w:val="16"/>
              </w:rPr>
            </w:pPr>
            <w:r>
              <w:rPr>
                <w:rFonts w:ascii="宋体" w:hAnsi="宋体" w:cs="宋体" w:eastAsia="宋体" w:hint="default"/>
                <w:color w:val="FFFFFF"/>
                <w:sz w:val="16"/>
                <w:szCs w:val="16"/>
              </w:rPr>
              <w:t>独立董事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3"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7" w:right="0"/>
              <w:jc w:val="center"/>
              <w:rPr>
                <w:rFonts w:ascii="宋体" w:hAnsi="宋体" w:cs="宋体" w:eastAsia="宋体" w:hint="default"/>
                <w:sz w:val="16"/>
                <w:szCs w:val="16"/>
              </w:rPr>
            </w:pPr>
            <w:r>
              <w:rPr>
                <w:rFonts w:ascii="宋体"/>
                <w:color w:val="FFFFFF"/>
                <w:w w:val="110"/>
                <w:sz w:val="16"/>
              </w:rPr>
              <w:t>62</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2"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9"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sz w:val="16"/>
              </w:rPr>
              <w:t>5.36</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吴晓根</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74" w:right="0"/>
              <w:jc w:val="left"/>
              <w:rPr>
                <w:rFonts w:ascii="宋体" w:hAnsi="宋体" w:cs="宋体" w:eastAsia="宋体" w:hint="default"/>
                <w:sz w:val="16"/>
                <w:szCs w:val="16"/>
              </w:rPr>
            </w:pPr>
            <w:r>
              <w:rPr>
                <w:rFonts w:ascii="宋体" w:hAnsi="宋体" w:cs="宋体" w:eastAsia="宋体" w:hint="default"/>
                <w:color w:val="FFFFFF"/>
                <w:sz w:val="16"/>
                <w:szCs w:val="16"/>
              </w:rPr>
              <w:t>独立董事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4"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8" w:right="0"/>
              <w:jc w:val="center"/>
              <w:rPr>
                <w:rFonts w:ascii="宋体" w:hAnsi="宋体" w:cs="宋体" w:eastAsia="宋体" w:hint="default"/>
                <w:sz w:val="16"/>
                <w:szCs w:val="16"/>
              </w:rPr>
            </w:pPr>
            <w:r>
              <w:rPr>
                <w:rFonts w:ascii="宋体"/>
                <w:color w:val="FFFFFF"/>
                <w:w w:val="110"/>
                <w:sz w:val="16"/>
              </w:rPr>
              <w:t>53</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5"/>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0"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6"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吕廷杰</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74" w:right="0"/>
              <w:jc w:val="left"/>
              <w:rPr>
                <w:rFonts w:ascii="宋体" w:hAnsi="宋体" w:cs="宋体" w:eastAsia="宋体" w:hint="default"/>
                <w:sz w:val="16"/>
                <w:szCs w:val="16"/>
              </w:rPr>
            </w:pPr>
            <w:r>
              <w:rPr>
                <w:rFonts w:ascii="宋体" w:hAnsi="宋体" w:cs="宋体" w:eastAsia="宋体" w:hint="default"/>
                <w:color w:val="FFFFFF"/>
                <w:sz w:val="16"/>
                <w:szCs w:val="16"/>
              </w:rPr>
              <w:t>独立董事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4"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8" w:right="0"/>
              <w:jc w:val="center"/>
              <w:rPr>
                <w:rFonts w:ascii="宋体" w:hAnsi="宋体" w:cs="宋体" w:eastAsia="宋体" w:hint="default"/>
                <w:sz w:val="16"/>
                <w:szCs w:val="16"/>
              </w:rPr>
            </w:pPr>
            <w:r>
              <w:rPr>
                <w:rFonts w:ascii="宋体"/>
                <w:color w:val="FFFFFF"/>
                <w:w w:val="110"/>
                <w:sz w:val="16"/>
              </w:rPr>
              <w:t>63</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2016年5月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11日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5"/>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0"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7"/>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6"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sz w:val="16"/>
              </w:rPr>
              <w:t>13.17</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陈建新</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74" w:right="0"/>
              <w:jc w:val="left"/>
              <w:rPr>
                <w:rFonts w:ascii="宋体" w:hAnsi="宋体" w:cs="宋体" w:eastAsia="宋体" w:hint="default"/>
                <w:sz w:val="16"/>
                <w:szCs w:val="16"/>
              </w:rPr>
            </w:pPr>
            <w:r>
              <w:rPr>
                <w:rFonts w:ascii="宋体" w:hAnsi="宋体" w:cs="宋体" w:eastAsia="宋体" w:hint="default"/>
                <w:color w:val="FFFFFF"/>
                <w:sz w:val="16"/>
                <w:szCs w:val="16"/>
              </w:rPr>
              <w:t>独立董事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4"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8" w:right="0"/>
              <w:jc w:val="center"/>
              <w:rPr>
                <w:rFonts w:ascii="宋体" w:hAnsi="宋体" w:cs="宋体" w:eastAsia="宋体" w:hint="default"/>
                <w:sz w:val="16"/>
                <w:szCs w:val="16"/>
              </w:rPr>
            </w:pPr>
            <w:r>
              <w:rPr>
                <w:rFonts w:ascii="宋体"/>
                <w:color w:val="FFFFFF"/>
                <w:w w:val="110"/>
                <w:sz w:val="16"/>
              </w:rPr>
              <w:t>64</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5"/>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0"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6"/>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6"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7"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5" w:right="0"/>
              <w:jc w:val="center"/>
              <w:rPr>
                <w:rFonts w:ascii="宋体" w:hAnsi="宋体" w:cs="宋体" w:eastAsia="宋体" w:hint="default"/>
                <w:sz w:val="16"/>
                <w:szCs w:val="16"/>
              </w:rPr>
            </w:pPr>
            <w:r>
              <w:rPr>
                <w:rFonts w:ascii="宋体" w:hAnsi="宋体" w:cs="宋体" w:eastAsia="宋体" w:hint="default"/>
                <w:color w:val="FFFFFF"/>
                <w:sz w:val="16"/>
                <w:szCs w:val="16"/>
              </w:rPr>
              <w:t>熊晓鸽</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74" w:right="0"/>
              <w:jc w:val="left"/>
              <w:rPr>
                <w:rFonts w:ascii="宋体" w:hAnsi="宋体" w:cs="宋体" w:eastAsia="宋体" w:hint="default"/>
                <w:sz w:val="16"/>
                <w:szCs w:val="16"/>
              </w:rPr>
            </w:pPr>
            <w:r>
              <w:rPr>
                <w:rFonts w:ascii="宋体" w:hAnsi="宋体" w:cs="宋体" w:eastAsia="宋体" w:hint="default"/>
                <w:color w:val="FFFFFF"/>
                <w:sz w:val="16"/>
                <w:szCs w:val="16"/>
              </w:rPr>
              <w:t>独立董事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4"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8" w:right="0"/>
              <w:jc w:val="center"/>
              <w:rPr>
                <w:rFonts w:ascii="宋体" w:hAnsi="宋体" w:cs="宋体" w:eastAsia="宋体" w:hint="default"/>
                <w:sz w:val="16"/>
                <w:szCs w:val="16"/>
              </w:rPr>
            </w:pPr>
            <w:r>
              <w:rPr>
                <w:rFonts w:ascii="宋体"/>
                <w:color w:val="FFFFFF"/>
                <w:w w:val="110"/>
                <w:sz w:val="16"/>
              </w:rPr>
              <w:t>62</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5"/>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0"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6"/>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6"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8" w:right="0"/>
              <w:jc w:val="center"/>
              <w:rPr>
                <w:rFonts w:ascii="宋体" w:hAnsi="宋体" w:cs="宋体" w:eastAsia="宋体" w:hint="default"/>
                <w:sz w:val="16"/>
                <w:szCs w:val="16"/>
              </w:rPr>
            </w:pPr>
            <w:r>
              <w:rPr>
                <w:rFonts w:ascii="宋体"/>
                <w:color w:val="FFFFFF"/>
                <w:sz w:val="16"/>
              </w:rPr>
              <w:t>10.05</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6" w:right="0"/>
              <w:jc w:val="center"/>
              <w:rPr>
                <w:rFonts w:ascii="宋体" w:hAnsi="宋体" w:cs="宋体" w:eastAsia="宋体" w:hint="default"/>
                <w:sz w:val="16"/>
                <w:szCs w:val="16"/>
              </w:rPr>
            </w:pPr>
            <w:r>
              <w:rPr>
                <w:rFonts w:ascii="宋体" w:hAnsi="宋体" w:cs="宋体" w:eastAsia="宋体" w:hint="default"/>
                <w:color w:val="FFFFFF"/>
                <w:sz w:val="16"/>
                <w:szCs w:val="16"/>
              </w:rPr>
              <w:t>林旸川</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95" w:right="0"/>
              <w:jc w:val="left"/>
              <w:rPr>
                <w:rFonts w:ascii="宋体" w:hAnsi="宋体" w:cs="宋体" w:eastAsia="宋体" w:hint="default"/>
                <w:sz w:val="16"/>
                <w:szCs w:val="16"/>
              </w:rPr>
            </w:pPr>
            <w:r>
              <w:rPr>
                <w:rFonts w:ascii="宋体" w:hAnsi="宋体" w:cs="宋体" w:eastAsia="宋体" w:hint="default"/>
                <w:color w:val="FFFFFF"/>
                <w:sz w:val="16"/>
                <w:szCs w:val="16"/>
              </w:rPr>
              <w:t>监事会主席</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4"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8" w:right="0"/>
              <w:jc w:val="center"/>
              <w:rPr>
                <w:rFonts w:ascii="宋体" w:hAnsi="宋体" w:cs="宋体" w:eastAsia="宋体" w:hint="default"/>
                <w:sz w:val="16"/>
                <w:szCs w:val="16"/>
              </w:rPr>
            </w:pPr>
            <w:r>
              <w:rPr>
                <w:rFonts w:ascii="宋体"/>
                <w:color w:val="FFFFFF"/>
                <w:w w:val="110"/>
                <w:sz w:val="16"/>
              </w:rPr>
              <w:t>59</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7"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5"/>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0"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6"/>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6"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8"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6" w:right="0"/>
              <w:jc w:val="center"/>
              <w:rPr>
                <w:rFonts w:ascii="宋体" w:hAnsi="宋体" w:cs="宋体" w:eastAsia="宋体" w:hint="default"/>
                <w:sz w:val="16"/>
                <w:szCs w:val="16"/>
              </w:rPr>
            </w:pPr>
            <w:r>
              <w:rPr>
                <w:rFonts w:ascii="宋体" w:hAnsi="宋体" w:cs="宋体" w:eastAsia="宋体" w:hint="default"/>
                <w:color w:val="FFFFFF"/>
                <w:sz w:val="16"/>
                <w:szCs w:val="16"/>
              </w:rPr>
              <w:t>方向明</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6" w:right="0"/>
              <w:jc w:val="center"/>
              <w:rPr>
                <w:rFonts w:ascii="宋体" w:hAnsi="宋体" w:cs="宋体" w:eastAsia="宋体" w:hint="default"/>
                <w:sz w:val="16"/>
                <w:szCs w:val="16"/>
              </w:rPr>
            </w:pPr>
            <w:r>
              <w:rPr>
                <w:rFonts w:ascii="宋体" w:hAnsi="宋体" w:cs="宋体" w:eastAsia="宋体" w:hint="default"/>
                <w:color w:val="FFFFFF"/>
                <w:sz w:val="16"/>
                <w:szCs w:val="16"/>
              </w:rPr>
              <w:t>监事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5" w:right="0"/>
              <w:jc w:val="center"/>
              <w:rPr>
                <w:rFonts w:ascii="宋体" w:hAnsi="宋体" w:cs="宋体" w:eastAsia="宋体" w:hint="default"/>
                <w:sz w:val="16"/>
                <w:szCs w:val="16"/>
              </w:rPr>
            </w:pPr>
            <w:r>
              <w:rPr>
                <w:rFonts w:ascii="宋体" w:hAnsi="宋体" w:cs="宋体" w:eastAsia="宋体" w:hint="default"/>
                <w:color w:val="FFFFFF"/>
                <w:sz w:val="16"/>
                <w:szCs w:val="16"/>
              </w:rPr>
              <w:t>女</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9" w:right="0"/>
              <w:jc w:val="center"/>
              <w:rPr>
                <w:rFonts w:ascii="宋体" w:hAnsi="宋体" w:cs="宋体" w:eastAsia="宋体" w:hint="default"/>
                <w:sz w:val="16"/>
                <w:szCs w:val="16"/>
              </w:rPr>
            </w:pPr>
            <w:r>
              <w:rPr>
                <w:rFonts w:ascii="宋体"/>
                <w:color w:val="FFFFFF"/>
                <w:w w:val="110"/>
                <w:sz w:val="16"/>
              </w:rPr>
              <w:t>48</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8"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4"/>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6"/>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8"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6" w:right="0"/>
              <w:jc w:val="center"/>
              <w:rPr>
                <w:rFonts w:ascii="宋体" w:hAnsi="宋体" w:cs="宋体" w:eastAsia="宋体" w:hint="default"/>
                <w:sz w:val="16"/>
                <w:szCs w:val="16"/>
              </w:rPr>
            </w:pPr>
            <w:r>
              <w:rPr>
                <w:rFonts w:ascii="宋体" w:hAnsi="宋体" w:cs="宋体" w:eastAsia="宋体" w:hint="default"/>
                <w:color w:val="FFFFFF"/>
                <w:sz w:val="16"/>
                <w:szCs w:val="16"/>
              </w:rPr>
              <w:t>周仁杰</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75" w:right="0"/>
              <w:jc w:val="left"/>
              <w:rPr>
                <w:rFonts w:ascii="宋体" w:hAnsi="宋体" w:cs="宋体" w:eastAsia="宋体" w:hint="default"/>
                <w:sz w:val="16"/>
                <w:szCs w:val="16"/>
              </w:rPr>
            </w:pPr>
            <w:r>
              <w:rPr>
                <w:rFonts w:ascii="宋体" w:hAnsi="宋体" w:cs="宋体" w:eastAsia="宋体" w:hint="default"/>
                <w:color w:val="FFFFFF"/>
                <w:sz w:val="16"/>
                <w:szCs w:val="16"/>
              </w:rPr>
              <w:t>职工监事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5"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9" w:right="0"/>
              <w:jc w:val="center"/>
              <w:rPr>
                <w:rFonts w:ascii="宋体" w:hAnsi="宋体" w:cs="宋体" w:eastAsia="宋体" w:hint="default"/>
                <w:sz w:val="16"/>
                <w:szCs w:val="16"/>
              </w:rPr>
            </w:pPr>
            <w:r>
              <w:rPr>
                <w:rFonts w:ascii="宋体"/>
                <w:color w:val="FFFFFF"/>
                <w:w w:val="110"/>
                <w:sz w:val="16"/>
              </w:rPr>
              <w:t>59</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8"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2018年2月8日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4"/>
              <w:jc w:val="center"/>
              <w:rPr>
                <w:rFonts w:ascii="宋体" w:hAnsi="宋体" w:cs="宋体" w:eastAsia="宋体" w:hint="default"/>
                <w:sz w:val="16"/>
                <w:szCs w:val="16"/>
              </w:rPr>
            </w:pPr>
            <w:r>
              <w:rPr>
                <w:rFonts w:ascii="宋体" w:hAnsi="宋体" w:cs="宋体" w:eastAsia="宋体" w:hint="default"/>
                <w:color w:val="FFFFFF"/>
                <w:w w:val="110"/>
                <w:sz w:val="16"/>
                <w:szCs w:val="16"/>
              </w:rPr>
              <w:t>2021</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6"/>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8"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22"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95" w:right="0"/>
              <w:jc w:val="left"/>
              <w:rPr>
                <w:rFonts w:ascii="宋体" w:hAnsi="宋体" w:cs="宋体" w:eastAsia="宋体" w:hint="default"/>
                <w:sz w:val="16"/>
                <w:szCs w:val="16"/>
              </w:rPr>
            </w:pPr>
            <w:r>
              <w:rPr>
                <w:rFonts w:ascii="宋体" w:hAnsi="宋体" w:cs="宋体" w:eastAsia="宋体" w:hint="default"/>
                <w:color w:val="FFFFFF"/>
                <w:sz w:val="16"/>
                <w:szCs w:val="16"/>
              </w:rPr>
              <w:t>高级副总裁</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8"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2018年2月9日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44"/>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1"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65"/>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7"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88"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7"/>
              <w:ind w:left="13"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148"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36" w:right="0"/>
              <w:jc w:val="center"/>
              <w:rPr>
                <w:rFonts w:ascii="宋体" w:hAnsi="宋体" w:cs="宋体" w:eastAsia="宋体" w:hint="default"/>
                <w:sz w:val="16"/>
                <w:szCs w:val="16"/>
              </w:rPr>
            </w:pPr>
            <w:r>
              <w:rPr>
                <w:rFonts w:ascii="宋体" w:hAnsi="宋体" w:cs="宋体" w:eastAsia="宋体" w:hint="default"/>
                <w:color w:val="FFFFFF"/>
                <w:sz w:val="16"/>
                <w:szCs w:val="16"/>
              </w:rPr>
              <w:t>邵广禄</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25"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79" w:right="0"/>
              <w:jc w:val="center"/>
              <w:rPr>
                <w:rFonts w:ascii="宋体" w:hAnsi="宋体" w:cs="宋体" w:eastAsia="宋体" w:hint="default"/>
                <w:sz w:val="16"/>
                <w:szCs w:val="16"/>
              </w:rPr>
            </w:pPr>
            <w:r>
              <w:rPr>
                <w:rFonts w:ascii="宋体"/>
                <w:color w:val="FFFFFF"/>
                <w:w w:val="110"/>
                <w:sz w:val="16"/>
              </w:rPr>
              <w:t>54</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
        </w:tc>
        <w:tc>
          <w:tcPr>
            <w:tcW w:w="1091" w:type="dxa"/>
            <w:tcBorders>
              <w:top w:val="nil" w:sz="6" w:space="0" w:color="auto"/>
              <w:left w:val="nil" w:sz="6" w:space="0" w:color="auto"/>
              <w:bottom w:val="nil" w:sz="6" w:space="0" w:color="auto"/>
              <w:right w:val="nil" w:sz="6" w:space="0" w:color="auto"/>
            </w:tcBorders>
            <w:shd w:val="clear" w:color="auto" w:fill="D7000F"/>
          </w:tcPr>
          <w:p>
            <w:pPr/>
          </w:p>
        </w:tc>
        <w:tc>
          <w:tcPr>
            <w:tcW w:w="397" w:type="dxa"/>
            <w:tcBorders>
              <w:top w:val="nil" w:sz="6" w:space="0" w:color="auto"/>
              <w:left w:val="nil" w:sz="6" w:space="0" w:color="auto"/>
              <w:bottom w:val="nil" w:sz="6" w:space="0" w:color="auto"/>
              <w:right w:val="nil" w:sz="6" w:space="0" w:color="auto"/>
            </w:tcBorders>
            <w:shd w:val="clear" w:color="auto" w:fill="D7000F"/>
          </w:tcPr>
          <w:p>
            <w:pPr/>
          </w:p>
        </w:tc>
        <w:tc>
          <w:tcPr>
            <w:tcW w:w="371" w:type="dxa"/>
            <w:tcBorders>
              <w:top w:val="nil" w:sz="6" w:space="0" w:color="auto"/>
              <w:left w:val="nil" w:sz="6" w:space="0" w:color="auto"/>
              <w:bottom w:val="nil" w:sz="6" w:space="0" w:color="auto"/>
              <w:right w:val="nil" w:sz="6" w:space="0" w:color="auto"/>
            </w:tcBorders>
            <w:shd w:val="clear" w:color="auto" w:fill="D7000F"/>
          </w:tcPr>
          <w:p>
            <w:pPr/>
          </w:p>
        </w:tc>
        <w:tc>
          <w:tcPr>
            <w:tcW w:w="593" w:type="dxa"/>
            <w:tcBorders>
              <w:top w:val="nil" w:sz="6" w:space="0" w:color="auto"/>
              <w:left w:val="nil" w:sz="6" w:space="0" w:color="auto"/>
              <w:bottom w:val="nil" w:sz="6" w:space="0" w:color="auto"/>
              <w:right w:val="nil" w:sz="6" w:space="0" w:color="auto"/>
            </w:tcBorders>
            <w:shd w:val="clear" w:color="auto" w:fill="D7000F"/>
          </w:tcPr>
          <w:p>
            <w:pPr/>
          </w:p>
        </w:tc>
        <w:tc>
          <w:tcPr>
            <w:tcW w:w="659" w:type="dxa"/>
            <w:tcBorders>
              <w:top w:val="nil" w:sz="6" w:space="0" w:color="auto"/>
              <w:left w:val="nil" w:sz="6" w:space="0" w:color="auto"/>
              <w:bottom w:val="nil" w:sz="6" w:space="0" w:color="auto"/>
              <w:right w:val="nil" w:sz="6" w:space="0" w:color="auto"/>
            </w:tcBorders>
            <w:shd w:val="clear" w:color="auto" w:fill="D7000F"/>
          </w:tcPr>
          <w:p>
            <w:pPr/>
          </w:p>
        </w:tc>
        <w:tc>
          <w:tcPr>
            <w:tcW w:w="1207" w:type="dxa"/>
            <w:tcBorders>
              <w:top w:val="nil" w:sz="6" w:space="0" w:color="auto"/>
              <w:left w:val="nil" w:sz="6" w:space="0" w:color="auto"/>
              <w:bottom w:val="nil" w:sz="6" w:space="0" w:color="auto"/>
              <w:right w:val="nil" w:sz="6" w:space="0" w:color="auto"/>
            </w:tcBorders>
            <w:shd w:val="clear" w:color="auto" w:fill="D7000F"/>
          </w:tcPr>
          <w:p>
            <w:pPr/>
          </w:p>
        </w:tc>
        <w:tc>
          <w:tcPr>
            <w:tcW w:w="646" w:type="dxa"/>
            <w:tcBorders>
              <w:top w:val="nil" w:sz="6" w:space="0" w:color="auto"/>
              <w:left w:val="nil" w:sz="6" w:space="0" w:color="auto"/>
              <w:bottom w:val="nil" w:sz="6" w:space="0" w:color="auto"/>
              <w:right w:val="nil" w:sz="6" w:space="0" w:color="auto"/>
            </w:tcBorders>
          </w:tcPr>
          <w:p>
            <w:pPr/>
          </w:p>
        </w:tc>
      </w:tr>
      <w:tr>
        <w:trPr>
          <w:trHeight w:val="222"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275" w:right="0"/>
              <w:jc w:val="left"/>
              <w:rPr>
                <w:rFonts w:ascii="宋体" w:hAnsi="宋体" w:cs="宋体" w:eastAsia="宋体" w:hint="default"/>
                <w:sz w:val="16"/>
                <w:szCs w:val="16"/>
              </w:rPr>
            </w:pPr>
            <w:r>
              <w:rPr>
                <w:rFonts w:ascii="宋体" w:hAnsi="宋体" w:cs="宋体" w:eastAsia="宋体" w:hint="default"/>
                <w:color w:val="FFFFFF"/>
                <w:sz w:val="16"/>
                <w:szCs w:val="16"/>
              </w:rPr>
              <w:t>离任董事</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58"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2016年5月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11日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right="44"/>
              <w:jc w:val="center"/>
              <w:rPr>
                <w:rFonts w:ascii="宋体" w:hAnsi="宋体" w:cs="宋体" w:eastAsia="宋体" w:hint="default"/>
                <w:sz w:val="16"/>
                <w:szCs w:val="16"/>
              </w:rPr>
            </w:pPr>
            <w:r>
              <w:rPr>
                <w:rFonts w:ascii="宋体" w:hAnsi="宋体" w:cs="宋体" w:eastAsia="宋体" w:hint="default"/>
                <w:color w:val="FFFFFF"/>
                <w:w w:val="110"/>
                <w:sz w:val="16"/>
                <w:szCs w:val="16"/>
              </w:rPr>
              <w:t>2018</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58"/>
                <w:w w:val="110"/>
                <w:sz w:val="16"/>
                <w:szCs w:val="16"/>
              </w:rPr>
              <w:t> </w:t>
            </w:r>
            <w:r>
              <w:rPr>
                <w:rFonts w:ascii="宋体" w:hAnsi="宋体" w:cs="宋体" w:eastAsia="宋体" w:hint="default"/>
                <w:color w:val="FFFFFF"/>
                <w:w w:val="110"/>
                <w:sz w:val="16"/>
                <w:szCs w:val="16"/>
              </w:rPr>
              <w:t>2</w:t>
            </w:r>
            <w:r>
              <w:rPr>
                <w:rFonts w:ascii="宋体" w:hAnsi="宋体" w:cs="宋体" w:eastAsia="宋体" w:hint="default"/>
                <w:color w:val="FFFFFF"/>
                <w:spacing w:val="-59"/>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w w:val="110"/>
                <w:sz w:val="16"/>
                <w:szCs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11"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right="65"/>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7"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88"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142" w:lineRule="exact"/>
              <w:ind w:left="13"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7" w:right="0"/>
              <w:jc w:val="center"/>
              <w:rPr>
                <w:rFonts w:ascii="宋体" w:hAnsi="宋体" w:cs="宋体" w:eastAsia="宋体" w:hint="default"/>
                <w:sz w:val="16"/>
                <w:szCs w:val="16"/>
              </w:rPr>
            </w:pPr>
            <w:r>
              <w:rPr>
                <w:rFonts w:ascii="宋体" w:hAnsi="宋体" w:cs="宋体" w:eastAsia="宋体" w:hint="default"/>
                <w:color w:val="FFFFFF"/>
                <w:sz w:val="16"/>
                <w:szCs w:val="16"/>
              </w:rPr>
              <w:t>买彦州</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95" w:right="0"/>
              <w:jc w:val="left"/>
              <w:rPr>
                <w:rFonts w:ascii="宋体" w:hAnsi="宋体" w:cs="宋体" w:eastAsia="宋体" w:hint="default"/>
                <w:sz w:val="16"/>
                <w:szCs w:val="16"/>
              </w:rPr>
            </w:pPr>
            <w:r>
              <w:rPr>
                <w:rFonts w:ascii="宋体" w:hAnsi="宋体" w:cs="宋体" w:eastAsia="宋体" w:hint="default"/>
                <w:color w:val="FFFFFF"/>
                <w:sz w:val="16"/>
                <w:szCs w:val="16"/>
              </w:rPr>
              <w:t>高级副总裁</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5"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9" w:right="0"/>
              <w:jc w:val="center"/>
              <w:rPr>
                <w:rFonts w:ascii="宋体" w:hAnsi="宋体" w:cs="宋体" w:eastAsia="宋体" w:hint="default"/>
                <w:sz w:val="16"/>
                <w:szCs w:val="16"/>
              </w:rPr>
            </w:pPr>
            <w:r>
              <w:rPr>
                <w:rFonts w:ascii="宋体"/>
                <w:color w:val="FFFFFF"/>
                <w:w w:val="110"/>
                <w:sz w:val="16"/>
              </w:rPr>
              <w:t>50</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8"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2018年2月9日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4"/>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3"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1"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5"/>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9"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240" w:lineRule="auto" w:before="6"/>
              <w:ind w:left="13"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7" w:right="0"/>
              <w:jc w:val="center"/>
              <w:rPr>
                <w:rFonts w:ascii="宋体" w:hAnsi="宋体" w:cs="宋体" w:eastAsia="宋体" w:hint="default"/>
                <w:sz w:val="16"/>
                <w:szCs w:val="16"/>
              </w:rPr>
            </w:pPr>
            <w:r>
              <w:rPr>
                <w:rFonts w:ascii="宋体" w:hAnsi="宋体" w:cs="宋体" w:eastAsia="宋体" w:hint="default"/>
                <w:color w:val="FFFFFF"/>
                <w:sz w:val="16"/>
                <w:szCs w:val="16"/>
              </w:rPr>
              <w:t>梁宝俊</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95" w:right="0"/>
              <w:jc w:val="left"/>
              <w:rPr>
                <w:rFonts w:ascii="宋体" w:hAnsi="宋体" w:cs="宋体" w:eastAsia="宋体" w:hint="default"/>
                <w:sz w:val="16"/>
                <w:szCs w:val="16"/>
              </w:rPr>
            </w:pPr>
            <w:r>
              <w:rPr>
                <w:rFonts w:ascii="宋体" w:hAnsi="宋体" w:cs="宋体" w:eastAsia="宋体" w:hint="default"/>
                <w:color w:val="FFFFFF"/>
                <w:sz w:val="16"/>
                <w:szCs w:val="16"/>
              </w:rPr>
              <w:t>高级副总裁</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6"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0" w:right="0"/>
              <w:jc w:val="center"/>
              <w:rPr>
                <w:rFonts w:ascii="宋体" w:hAnsi="宋体" w:cs="宋体" w:eastAsia="宋体" w:hint="default"/>
                <w:sz w:val="16"/>
                <w:szCs w:val="16"/>
              </w:rPr>
            </w:pPr>
            <w:r>
              <w:rPr>
                <w:rFonts w:ascii="宋体"/>
                <w:color w:val="FFFFFF"/>
                <w:w w:val="110"/>
                <w:sz w:val="16"/>
              </w:rPr>
              <w:t>49</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59" w:right="0"/>
              <w:jc w:val="center"/>
              <w:rPr>
                <w:rFonts w:ascii="宋体" w:hAnsi="宋体" w:cs="宋体" w:eastAsia="宋体" w:hint="default"/>
                <w:sz w:val="16"/>
                <w:szCs w:val="16"/>
              </w:rPr>
            </w:pPr>
            <w:r>
              <w:rPr>
                <w:rFonts w:ascii="宋体" w:hAnsi="宋体" w:cs="宋体" w:eastAsia="宋体" w:hint="default"/>
                <w:color w:val="FFFFFF"/>
                <w:spacing w:val="20"/>
                <w:w w:val="105"/>
                <w:sz w:val="16"/>
                <w:szCs w:val="16"/>
              </w:rPr>
              <w:t>2018年2月9日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3"/>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4"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2"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5"/>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7"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9"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240" w:lineRule="auto" w:before="6"/>
              <w:ind w:left="13"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22"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95" w:right="0"/>
              <w:jc w:val="left"/>
              <w:rPr>
                <w:rFonts w:ascii="宋体" w:hAnsi="宋体" w:cs="宋体" w:eastAsia="宋体" w:hint="default"/>
                <w:sz w:val="16"/>
                <w:szCs w:val="16"/>
              </w:rPr>
            </w:pPr>
            <w:r>
              <w:rPr>
                <w:rFonts w:ascii="宋体" w:hAnsi="宋体" w:cs="宋体" w:eastAsia="宋体" w:hint="default"/>
                <w:color w:val="FFFFFF"/>
                <w:sz w:val="16"/>
                <w:szCs w:val="16"/>
              </w:rPr>
              <w:t>首席财务官</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59"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2018年8月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15日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43"/>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64"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12"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right="64"/>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8"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7"/>
              <w:ind w:left="89"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240" w:lineRule="auto" w:before="7"/>
              <w:ind w:left="14"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148"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37" w:right="0"/>
              <w:jc w:val="center"/>
              <w:rPr>
                <w:rFonts w:ascii="宋体" w:hAnsi="宋体" w:cs="宋体" w:eastAsia="宋体" w:hint="default"/>
                <w:sz w:val="16"/>
                <w:szCs w:val="16"/>
              </w:rPr>
            </w:pPr>
            <w:r>
              <w:rPr>
                <w:rFonts w:ascii="宋体" w:hAnsi="宋体" w:cs="宋体" w:eastAsia="宋体" w:hint="default"/>
                <w:color w:val="FFFFFF"/>
                <w:sz w:val="16"/>
                <w:szCs w:val="16"/>
              </w:rPr>
              <w:t>朱可炳</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26"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80" w:right="0"/>
              <w:jc w:val="center"/>
              <w:rPr>
                <w:rFonts w:ascii="宋体" w:hAnsi="宋体" w:cs="宋体" w:eastAsia="宋体" w:hint="default"/>
                <w:sz w:val="16"/>
                <w:szCs w:val="16"/>
              </w:rPr>
            </w:pPr>
            <w:r>
              <w:rPr>
                <w:rFonts w:ascii="宋体"/>
                <w:color w:val="FFFFFF"/>
                <w:w w:val="110"/>
                <w:sz w:val="16"/>
              </w:rPr>
              <w:t>44</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
        </w:tc>
        <w:tc>
          <w:tcPr>
            <w:tcW w:w="1091" w:type="dxa"/>
            <w:tcBorders>
              <w:top w:val="nil" w:sz="6" w:space="0" w:color="auto"/>
              <w:left w:val="nil" w:sz="6" w:space="0" w:color="auto"/>
              <w:bottom w:val="nil" w:sz="6" w:space="0" w:color="auto"/>
              <w:right w:val="nil" w:sz="6" w:space="0" w:color="auto"/>
            </w:tcBorders>
            <w:shd w:val="clear" w:color="auto" w:fill="D7000F"/>
          </w:tcPr>
          <w:p>
            <w:pPr/>
          </w:p>
        </w:tc>
        <w:tc>
          <w:tcPr>
            <w:tcW w:w="397" w:type="dxa"/>
            <w:tcBorders>
              <w:top w:val="nil" w:sz="6" w:space="0" w:color="auto"/>
              <w:left w:val="nil" w:sz="6" w:space="0" w:color="auto"/>
              <w:bottom w:val="nil" w:sz="6" w:space="0" w:color="auto"/>
              <w:right w:val="nil" w:sz="6" w:space="0" w:color="auto"/>
            </w:tcBorders>
            <w:shd w:val="clear" w:color="auto" w:fill="D7000F"/>
          </w:tcPr>
          <w:p>
            <w:pPr/>
          </w:p>
        </w:tc>
        <w:tc>
          <w:tcPr>
            <w:tcW w:w="371" w:type="dxa"/>
            <w:tcBorders>
              <w:top w:val="nil" w:sz="6" w:space="0" w:color="auto"/>
              <w:left w:val="nil" w:sz="6" w:space="0" w:color="auto"/>
              <w:bottom w:val="nil" w:sz="6" w:space="0" w:color="auto"/>
              <w:right w:val="nil" w:sz="6" w:space="0" w:color="auto"/>
            </w:tcBorders>
            <w:shd w:val="clear" w:color="auto" w:fill="D7000F"/>
          </w:tcPr>
          <w:p>
            <w:pPr/>
          </w:p>
        </w:tc>
        <w:tc>
          <w:tcPr>
            <w:tcW w:w="593" w:type="dxa"/>
            <w:tcBorders>
              <w:top w:val="nil" w:sz="6" w:space="0" w:color="auto"/>
              <w:left w:val="nil" w:sz="6" w:space="0" w:color="auto"/>
              <w:bottom w:val="nil" w:sz="6" w:space="0" w:color="auto"/>
              <w:right w:val="nil" w:sz="6" w:space="0" w:color="auto"/>
            </w:tcBorders>
            <w:shd w:val="clear" w:color="auto" w:fill="D7000F"/>
          </w:tcPr>
          <w:p>
            <w:pPr/>
          </w:p>
        </w:tc>
        <w:tc>
          <w:tcPr>
            <w:tcW w:w="659" w:type="dxa"/>
            <w:tcBorders>
              <w:top w:val="nil" w:sz="6" w:space="0" w:color="auto"/>
              <w:left w:val="nil" w:sz="6" w:space="0" w:color="auto"/>
              <w:bottom w:val="nil" w:sz="6" w:space="0" w:color="auto"/>
              <w:right w:val="nil" w:sz="6" w:space="0" w:color="auto"/>
            </w:tcBorders>
            <w:shd w:val="clear" w:color="auto" w:fill="D7000F"/>
          </w:tcPr>
          <w:p>
            <w:pPr/>
          </w:p>
        </w:tc>
        <w:tc>
          <w:tcPr>
            <w:tcW w:w="1207" w:type="dxa"/>
            <w:tcBorders>
              <w:top w:val="nil" w:sz="6" w:space="0" w:color="auto"/>
              <w:left w:val="nil" w:sz="6" w:space="0" w:color="auto"/>
              <w:bottom w:val="nil" w:sz="6" w:space="0" w:color="auto"/>
              <w:right w:val="nil" w:sz="6" w:space="0" w:color="auto"/>
            </w:tcBorders>
            <w:shd w:val="clear" w:color="auto" w:fill="D7000F"/>
          </w:tcPr>
          <w:p>
            <w:pPr/>
          </w:p>
        </w:tc>
        <w:tc>
          <w:tcPr>
            <w:tcW w:w="646" w:type="dxa"/>
            <w:tcBorders>
              <w:top w:val="nil" w:sz="6" w:space="0" w:color="auto"/>
              <w:left w:val="nil" w:sz="6" w:space="0" w:color="auto"/>
              <w:bottom w:val="nil" w:sz="6" w:space="0" w:color="auto"/>
              <w:right w:val="nil" w:sz="6" w:space="0" w:color="auto"/>
            </w:tcBorders>
            <w:shd w:val="clear" w:color="auto" w:fill="8E9090"/>
          </w:tcPr>
          <w:p>
            <w:pPr/>
          </w:p>
        </w:tc>
      </w:tr>
      <w:tr>
        <w:trPr>
          <w:trHeight w:val="222" w:hRule="exact"/>
        </w:trPr>
        <w:tc>
          <w:tcPr>
            <w:tcW w:w="907" w:type="dxa"/>
            <w:tcBorders>
              <w:top w:val="nil" w:sz="6" w:space="0" w:color="auto"/>
              <w:left w:val="nil" w:sz="6" w:space="0" w:color="auto"/>
              <w:bottom w:val="nil" w:sz="6" w:space="0" w:color="auto"/>
              <w:right w:val="nil" w:sz="6" w:space="0" w:color="auto"/>
            </w:tcBorders>
            <w:shd w:val="clear" w:color="auto" w:fill="D7000F"/>
          </w:tcPr>
          <w:p>
            <w:pP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195" w:right="0"/>
              <w:jc w:val="left"/>
              <w:rPr>
                <w:rFonts w:ascii="宋体" w:hAnsi="宋体" w:cs="宋体" w:eastAsia="宋体" w:hint="default"/>
                <w:sz w:val="16"/>
                <w:szCs w:val="16"/>
              </w:rPr>
            </w:pPr>
            <w:r>
              <w:rPr>
                <w:rFonts w:ascii="宋体" w:hAnsi="宋体" w:cs="宋体" w:eastAsia="宋体" w:hint="default"/>
                <w:color w:val="FFFFFF"/>
                <w:sz w:val="16"/>
                <w:szCs w:val="16"/>
              </w:rPr>
              <w:t>董事会秘书</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
        </w:tc>
        <w:tc>
          <w:tcPr>
            <w:tcW w:w="327" w:type="dxa"/>
            <w:tcBorders>
              <w:top w:val="nil" w:sz="6" w:space="0" w:color="auto"/>
              <w:left w:val="nil" w:sz="6" w:space="0" w:color="auto"/>
              <w:bottom w:val="nil" w:sz="6" w:space="0" w:color="auto"/>
              <w:right w:val="nil" w:sz="6" w:space="0" w:color="auto"/>
            </w:tcBorders>
            <w:shd w:val="clear" w:color="auto" w:fill="D7000F"/>
          </w:tcPr>
          <w:p>
            <w:pP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59"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2018年9月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11日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right="43"/>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164"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12"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right="64"/>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142" w:lineRule="exact"/>
              <w:ind w:left="8"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tcPr>
          <w:p>
            <w:pPr>
              <w:pStyle w:val="TableParagraph"/>
              <w:spacing w:line="142" w:lineRule="exact"/>
              <w:ind w:left="89"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142" w:lineRule="exact"/>
              <w:ind w:left="14"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296"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8" w:right="0"/>
              <w:jc w:val="center"/>
              <w:rPr>
                <w:rFonts w:ascii="宋体" w:hAnsi="宋体" w:cs="宋体" w:eastAsia="宋体" w:hint="default"/>
                <w:sz w:val="16"/>
                <w:szCs w:val="16"/>
              </w:rPr>
            </w:pPr>
            <w:r>
              <w:rPr>
                <w:rFonts w:ascii="宋体" w:hAnsi="宋体" w:cs="宋体" w:eastAsia="宋体" w:hint="default"/>
                <w:color w:val="FFFFFF"/>
                <w:sz w:val="16"/>
                <w:szCs w:val="16"/>
              </w:rPr>
              <w:t>范云军</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95" w:right="0"/>
              <w:jc w:val="left"/>
              <w:rPr>
                <w:rFonts w:ascii="宋体" w:hAnsi="宋体" w:cs="宋体" w:eastAsia="宋体" w:hint="default"/>
                <w:sz w:val="16"/>
                <w:szCs w:val="16"/>
              </w:rPr>
            </w:pPr>
            <w:r>
              <w:rPr>
                <w:rFonts w:ascii="宋体" w:hAnsi="宋体" w:cs="宋体" w:eastAsia="宋体" w:hint="default"/>
                <w:color w:val="FFFFFF"/>
                <w:sz w:val="16"/>
                <w:szCs w:val="16"/>
              </w:rPr>
              <w:t>高级副总裁</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6" w:right="0"/>
              <w:jc w:val="center"/>
              <w:rPr>
                <w:rFonts w:ascii="宋体" w:hAnsi="宋体" w:cs="宋体" w:eastAsia="宋体" w:hint="default"/>
                <w:sz w:val="16"/>
                <w:szCs w:val="16"/>
              </w:rPr>
            </w:pPr>
            <w:r>
              <w:rPr>
                <w:rFonts w:ascii="宋体" w:hAnsi="宋体" w:cs="宋体" w:eastAsia="宋体" w:hint="default"/>
                <w:color w:val="FFFFFF"/>
                <w:sz w:val="16"/>
                <w:szCs w:val="16"/>
              </w:rPr>
              <w:t>男</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0" w:right="0"/>
              <w:jc w:val="center"/>
              <w:rPr>
                <w:rFonts w:ascii="宋体" w:hAnsi="宋体" w:cs="宋体" w:eastAsia="宋体" w:hint="default"/>
                <w:sz w:val="16"/>
                <w:szCs w:val="16"/>
              </w:rPr>
            </w:pPr>
            <w:r>
              <w:rPr>
                <w:rFonts w:ascii="宋体"/>
                <w:color w:val="FFFFFF"/>
                <w:w w:val="110"/>
                <w:sz w:val="16"/>
              </w:rPr>
              <w:t>46</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60" w:right="0"/>
              <w:jc w:val="center"/>
              <w:rPr>
                <w:rFonts w:ascii="宋体" w:hAnsi="宋体" w:cs="宋体" w:eastAsia="宋体" w:hint="default"/>
                <w:sz w:val="16"/>
                <w:szCs w:val="16"/>
              </w:rPr>
            </w:pPr>
            <w:r>
              <w:rPr>
                <w:rFonts w:ascii="宋体" w:hAnsi="宋体" w:cs="宋体" w:eastAsia="宋体" w:hint="default"/>
                <w:color w:val="FFFFFF"/>
                <w:spacing w:val="15"/>
                <w:w w:val="105"/>
                <w:sz w:val="16"/>
                <w:szCs w:val="16"/>
              </w:rPr>
              <w:t>2019年1月</w:t>
            </w:r>
            <w:r>
              <w:rPr>
                <w:rFonts w:ascii="宋体" w:hAnsi="宋体" w:cs="宋体" w:eastAsia="宋体" w:hint="default"/>
                <w:color w:val="FFFFFF"/>
                <w:spacing w:val="-20"/>
                <w:w w:val="105"/>
                <w:sz w:val="16"/>
                <w:szCs w:val="16"/>
              </w:rPr>
              <w:t> </w:t>
            </w:r>
            <w:r>
              <w:rPr>
                <w:rFonts w:ascii="宋体" w:hAnsi="宋体" w:cs="宋体" w:eastAsia="宋体" w:hint="default"/>
                <w:color w:val="FFFFFF"/>
                <w:spacing w:val="12"/>
                <w:w w:val="105"/>
                <w:sz w:val="16"/>
                <w:szCs w:val="16"/>
              </w:rPr>
              <w:t>30日</w:t>
            </w:r>
            <w:r>
              <w:rPr>
                <w:rFonts w:ascii="宋体" w:hAnsi="宋体" w:cs="宋体" w:eastAsia="宋体" w:hint="default"/>
                <w:color w:val="FFFFFF"/>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3"/>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4"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2"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4"/>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6"/>
              <w:ind w:left="90"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240" w:lineRule="auto" w:before="6"/>
              <w:ind w:left="14"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r>
        <w:trPr>
          <w:trHeight w:val="328" w:hRule="exact"/>
        </w:trPr>
        <w:tc>
          <w:tcPr>
            <w:tcW w:w="90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38" w:right="0"/>
              <w:jc w:val="center"/>
              <w:rPr>
                <w:rFonts w:ascii="宋体" w:hAnsi="宋体" w:cs="宋体" w:eastAsia="宋体" w:hint="default"/>
                <w:sz w:val="16"/>
                <w:szCs w:val="16"/>
              </w:rPr>
            </w:pPr>
            <w:r>
              <w:rPr>
                <w:rFonts w:ascii="宋体" w:hAnsi="宋体" w:cs="宋体" w:eastAsia="宋体" w:hint="default"/>
                <w:color w:val="FFFFFF"/>
                <w:sz w:val="16"/>
                <w:szCs w:val="16"/>
              </w:rPr>
              <w:t>姜爱华</w:t>
            </w:r>
            <w:r>
              <w:rPr>
                <w:rFonts w:ascii="宋体" w:hAnsi="宋体" w:cs="宋体" w:eastAsia="宋体" w:hint="default"/>
                <w:sz w:val="16"/>
                <w:szCs w:val="16"/>
              </w:rPr>
            </w:r>
          </w:p>
        </w:tc>
        <w:tc>
          <w:tcPr>
            <w:tcW w:w="1134"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96" w:right="0"/>
              <w:jc w:val="left"/>
              <w:rPr>
                <w:rFonts w:ascii="宋体" w:hAnsi="宋体" w:cs="宋体" w:eastAsia="宋体" w:hint="default"/>
                <w:sz w:val="16"/>
                <w:szCs w:val="16"/>
              </w:rPr>
            </w:pPr>
            <w:r>
              <w:rPr>
                <w:rFonts w:ascii="宋体" w:hAnsi="宋体" w:cs="宋体" w:eastAsia="宋体" w:hint="default"/>
                <w:color w:val="FFFFFF"/>
                <w:sz w:val="16"/>
                <w:szCs w:val="16"/>
              </w:rPr>
              <w:t>财务负责人</w:t>
            </w:r>
            <w:r>
              <w:rPr>
                <w:rFonts w:ascii="宋体" w:hAnsi="宋体" w:cs="宋体" w:eastAsia="宋体" w:hint="default"/>
                <w:sz w:val="16"/>
                <w:szCs w:val="16"/>
              </w:rPr>
            </w:r>
          </w:p>
        </w:tc>
        <w:tc>
          <w:tcPr>
            <w:tcW w:w="41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7" w:right="0"/>
              <w:jc w:val="center"/>
              <w:rPr>
                <w:rFonts w:ascii="宋体" w:hAnsi="宋体" w:cs="宋体" w:eastAsia="宋体" w:hint="default"/>
                <w:sz w:val="16"/>
                <w:szCs w:val="16"/>
              </w:rPr>
            </w:pPr>
            <w:r>
              <w:rPr>
                <w:rFonts w:ascii="宋体" w:hAnsi="宋体" w:cs="宋体" w:eastAsia="宋体" w:hint="default"/>
                <w:color w:val="FFFFFF"/>
                <w:sz w:val="16"/>
                <w:szCs w:val="16"/>
              </w:rPr>
              <w:t>女</w:t>
            </w:r>
            <w:r>
              <w:rPr>
                <w:rFonts w:ascii="宋体" w:hAnsi="宋体" w:cs="宋体" w:eastAsia="宋体" w:hint="default"/>
                <w:sz w:val="16"/>
                <w:szCs w:val="16"/>
              </w:rPr>
            </w:r>
          </w:p>
        </w:tc>
        <w:tc>
          <w:tcPr>
            <w:tcW w:w="32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0" w:right="0"/>
              <w:jc w:val="center"/>
              <w:rPr>
                <w:rFonts w:ascii="宋体" w:hAnsi="宋体" w:cs="宋体" w:eastAsia="宋体" w:hint="default"/>
                <w:sz w:val="16"/>
                <w:szCs w:val="16"/>
              </w:rPr>
            </w:pPr>
            <w:r>
              <w:rPr>
                <w:rFonts w:ascii="宋体"/>
                <w:color w:val="FFFFFF"/>
                <w:w w:val="110"/>
                <w:sz w:val="16"/>
              </w:rPr>
              <w:t>55</w:t>
            </w:r>
            <w:r>
              <w:rPr>
                <w:rFonts w:ascii="宋体"/>
                <w:sz w:val="16"/>
              </w:rPr>
            </w:r>
          </w:p>
        </w:tc>
        <w:tc>
          <w:tcPr>
            <w:tcW w:w="15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20" w:right="0"/>
              <w:jc w:val="center"/>
              <w:rPr>
                <w:rFonts w:ascii="宋体" w:hAnsi="宋体" w:cs="宋体" w:eastAsia="宋体" w:hint="default"/>
                <w:sz w:val="16"/>
                <w:szCs w:val="16"/>
              </w:rPr>
            </w:pPr>
            <w:r>
              <w:rPr>
                <w:rFonts w:ascii="宋体" w:hAnsi="宋体" w:cs="宋体" w:eastAsia="宋体" w:hint="default"/>
                <w:color w:val="FFFFFF"/>
                <w:spacing w:val="-7"/>
                <w:w w:val="110"/>
                <w:sz w:val="16"/>
                <w:szCs w:val="16"/>
              </w:rPr>
              <w:t>2017</w:t>
            </w:r>
            <w:r>
              <w:rPr>
                <w:rFonts w:ascii="宋体" w:hAnsi="宋体" w:cs="宋体" w:eastAsia="宋体" w:hint="default"/>
                <w:color w:val="FFFFFF"/>
                <w:spacing w:val="-67"/>
                <w:w w:val="110"/>
                <w:sz w:val="16"/>
                <w:szCs w:val="16"/>
              </w:rPr>
              <w:t> </w:t>
            </w:r>
            <w:r>
              <w:rPr>
                <w:rFonts w:ascii="宋体" w:hAnsi="宋体" w:cs="宋体" w:eastAsia="宋体" w:hint="default"/>
                <w:color w:val="FFFFFF"/>
                <w:w w:val="110"/>
                <w:sz w:val="16"/>
                <w:szCs w:val="16"/>
              </w:rPr>
              <w:t>年</w:t>
            </w:r>
            <w:r>
              <w:rPr>
                <w:rFonts w:ascii="宋体" w:hAnsi="宋体" w:cs="宋体" w:eastAsia="宋体" w:hint="default"/>
                <w:color w:val="FFFFFF"/>
                <w:spacing w:val="-67"/>
                <w:w w:val="110"/>
                <w:sz w:val="16"/>
                <w:szCs w:val="16"/>
              </w:rPr>
              <w:t> </w:t>
            </w:r>
            <w:r>
              <w:rPr>
                <w:rFonts w:ascii="宋体" w:hAnsi="宋体" w:cs="宋体" w:eastAsia="宋体" w:hint="default"/>
                <w:color w:val="FFFFFF"/>
                <w:spacing w:val="-5"/>
                <w:w w:val="110"/>
                <w:sz w:val="16"/>
                <w:szCs w:val="16"/>
              </w:rPr>
              <w:t>10</w:t>
            </w:r>
            <w:r>
              <w:rPr>
                <w:rFonts w:ascii="宋体" w:hAnsi="宋体" w:cs="宋体" w:eastAsia="宋体" w:hint="default"/>
                <w:color w:val="FFFFFF"/>
                <w:spacing w:val="-67"/>
                <w:w w:val="110"/>
                <w:sz w:val="16"/>
                <w:szCs w:val="16"/>
              </w:rPr>
              <w:t> </w:t>
            </w:r>
            <w:r>
              <w:rPr>
                <w:rFonts w:ascii="宋体" w:hAnsi="宋体" w:cs="宋体" w:eastAsia="宋体" w:hint="default"/>
                <w:color w:val="FFFFFF"/>
                <w:w w:val="110"/>
                <w:sz w:val="16"/>
                <w:szCs w:val="16"/>
              </w:rPr>
              <w:t>月</w:t>
            </w:r>
            <w:r>
              <w:rPr>
                <w:rFonts w:ascii="宋体" w:hAnsi="宋体" w:cs="宋体" w:eastAsia="宋体" w:hint="default"/>
                <w:color w:val="FFFFFF"/>
                <w:spacing w:val="-67"/>
                <w:w w:val="110"/>
                <w:sz w:val="16"/>
                <w:szCs w:val="16"/>
              </w:rPr>
              <w:t> </w:t>
            </w:r>
            <w:r>
              <w:rPr>
                <w:rFonts w:ascii="宋体" w:hAnsi="宋体" w:cs="宋体" w:eastAsia="宋体" w:hint="default"/>
                <w:color w:val="FFFFFF"/>
                <w:spacing w:val="-5"/>
                <w:w w:val="110"/>
                <w:sz w:val="16"/>
                <w:szCs w:val="16"/>
              </w:rPr>
              <w:t>27</w:t>
            </w:r>
            <w:r>
              <w:rPr>
                <w:rFonts w:ascii="宋体" w:hAnsi="宋体" w:cs="宋体" w:eastAsia="宋体" w:hint="default"/>
                <w:color w:val="FFFFFF"/>
                <w:spacing w:val="-67"/>
                <w:w w:val="110"/>
                <w:sz w:val="16"/>
                <w:szCs w:val="16"/>
              </w:rPr>
              <w:t> </w:t>
            </w:r>
            <w:r>
              <w:rPr>
                <w:rFonts w:ascii="宋体" w:hAnsi="宋体" w:cs="宋体" w:eastAsia="宋体" w:hint="default"/>
                <w:color w:val="FFFFFF"/>
                <w:w w:val="110"/>
                <w:sz w:val="16"/>
                <w:szCs w:val="16"/>
              </w:rPr>
              <w:t>日</w:t>
            </w:r>
            <w:r>
              <w:rPr>
                <w:rFonts w:ascii="宋体" w:hAnsi="宋体" w:cs="宋体" w:eastAsia="宋体" w:hint="default"/>
                <w:w w:val="110"/>
                <w:sz w:val="16"/>
                <w:szCs w:val="16"/>
              </w:rPr>
            </w:r>
          </w:p>
        </w:tc>
        <w:tc>
          <w:tcPr>
            <w:tcW w:w="109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42"/>
              <w:jc w:val="center"/>
              <w:rPr>
                <w:rFonts w:ascii="宋体" w:hAnsi="宋体" w:cs="宋体" w:eastAsia="宋体" w:hint="default"/>
                <w:sz w:val="16"/>
                <w:szCs w:val="16"/>
              </w:rPr>
            </w:pPr>
            <w:r>
              <w:rPr>
                <w:rFonts w:ascii="宋体"/>
                <w:color w:val="FFFFFF"/>
                <w:w w:val="130"/>
                <w:sz w:val="16"/>
              </w:rPr>
              <w:t>--</w:t>
            </w:r>
            <w:r>
              <w:rPr>
                <w:rFonts w:ascii="宋体"/>
                <w:sz w:val="16"/>
              </w:rPr>
            </w:r>
          </w:p>
        </w:tc>
        <w:tc>
          <w:tcPr>
            <w:tcW w:w="397"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64" w:right="0"/>
              <w:jc w:val="left"/>
              <w:rPr>
                <w:rFonts w:ascii="宋体" w:hAnsi="宋体" w:cs="宋体" w:eastAsia="宋体" w:hint="default"/>
                <w:sz w:val="16"/>
                <w:szCs w:val="16"/>
              </w:rPr>
            </w:pPr>
            <w:r>
              <w:rPr>
                <w:rFonts w:ascii="宋体"/>
                <w:color w:val="FFFFFF"/>
                <w:w w:val="111"/>
                <w:sz w:val="16"/>
              </w:rPr>
              <w:t>0</w:t>
            </w:r>
            <w:r>
              <w:rPr>
                <w:rFonts w:ascii="宋体"/>
                <w:sz w:val="16"/>
              </w:rPr>
            </w:r>
          </w:p>
        </w:tc>
        <w:tc>
          <w:tcPr>
            <w:tcW w:w="371"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13" w:right="0"/>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593"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right="64"/>
              <w:jc w:val="center"/>
              <w:rPr>
                <w:rFonts w:ascii="宋体" w:hAnsi="宋体" w:cs="宋体" w:eastAsia="宋体" w:hint="default"/>
                <w:sz w:val="16"/>
                <w:szCs w:val="16"/>
              </w:rPr>
            </w:pPr>
            <w:r>
              <w:rPr>
                <w:rFonts w:ascii="宋体"/>
                <w:color w:val="FFFFFF"/>
                <w:w w:val="111"/>
                <w:sz w:val="16"/>
              </w:rPr>
              <w:t>0</w:t>
            </w:r>
            <w:r>
              <w:rPr>
                <w:rFonts w:ascii="宋体"/>
                <w:sz w:val="16"/>
              </w:rPr>
            </w:r>
          </w:p>
        </w:tc>
        <w:tc>
          <w:tcPr>
            <w:tcW w:w="659" w:type="dxa"/>
            <w:tcBorders>
              <w:top w:val="nil" w:sz="6" w:space="0" w:color="auto"/>
              <w:left w:val="nil" w:sz="6" w:space="0" w:color="auto"/>
              <w:bottom w:val="nil" w:sz="6" w:space="0" w:color="auto"/>
              <w:right w:val="nil" w:sz="6" w:space="0" w:color="auto"/>
            </w:tcBorders>
            <w:shd w:val="clear" w:color="auto" w:fill="D7000F"/>
          </w:tcPr>
          <w:p>
            <w:pPr>
              <w:pStyle w:val="TableParagraph"/>
              <w:spacing w:line="240" w:lineRule="auto" w:before="6"/>
              <w:ind w:left="8" w:right="0"/>
              <w:jc w:val="center"/>
              <w:rPr>
                <w:rFonts w:ascii="宋体" w:hAnsi="宋体" w:cs="宋体" w:eastAsia="宋体" w:hint="default"/>
                <w:sz w:val="16"/>
                <w:szCs w:val="16"/>
              </w:rPr>
            </w:pPr>
            <w:r>
              <w:rPr>
                <w:rFonts w:ascii="宋体" w:hAnsi="宋体" w:cs="宋体" w:eastAsia="宋体" w:hint="default"/>
                <w:color w:val="FFFFFF"/>
                <w:sz w:val="16"/>
                <w:szCs w:val="16"/>
              </w:rPr>
              <w:t>无</w:t>
            </w:r>
            <w:r>
              <w:rPr>
                <w:rFonts w:ascii="宋体" w:hAnsi="宋体" w:cs="宋体" w:eastAsia="宋体" w:hint="default"/>
                <w:sz w:val="16"/>
                <w:szCs w:val="16"/>
              </w:rPr>
            </w:r>
          </w:p>
        </w:tc>
        <w:tc>
          <w:tcPr>
            <w:tcW w:w="1207" w:type="dxa"/>
            <w:tcBorders>
              <w:top w:val="nil" w:sz="6" w:space="0" w:color="auto"/>
              <w:left w:val="nil" w:sz="6" w:space="0" w:color="auto"/>
              <w:bottom w:val="nil" w:sz="6" w:space="0" w:color="auto"/>
              <w:right w:val="nil" w:sz="6" w:space="0" w:color="auto"/>
            </w:tcBorders>
          </w:tcPr>
          <w:p>
            <w:pPr>
              <w:pStyle w:val="TableParagraph"/>
              <w:spacing w:line="240" w:lineRule="auto" w:before="6"/>
              <w:ind w:left="90" w:right="0"/>
              <w:jc w:val="center"/>
              <w:rPr>
                <w:rFonts w:ascii="宋体" w:hAnsi="宋体" w:cs="宋体" w:eastAsia="宋体" w:hint="default"/>
                <w:sz w:val="16"/>
                <w:szCs w:val="16"/>
              </w:rPr>
            </w:pPr>
            <w:r>
              <w:rPr>
                <w:rFonts w:ascii="宋体" w:hAnsi="宋体" w:cs="宋体" w:eastAsia="宋体" w:hint="default"/>
                <w:color w:val="FFFFFF"/>
                <w:sz w:val="16"/>
                <w:szCs w:val="16"/>
              </w:rPr>
              <w:t>见下注</w:t>
            </w:r>
            <w:r>
              <w:rPr>
                <w:rFonts w:ascii="宋体" w:hAnsi="宋体" w:cs="宋体" w:eastAsia="宋体" w:hint="default"/>
                <w:sz w:val="16"/>
                <w:szCs w:val="16"/>
              </w:rPr>
            </w:r>
          </w:p>
        </w:tc>
        <w:tc>
          <w:tcPr>
            <w:tcW w:w="646" w:type="dxa"/>
            <w:tcBorders>
              <w:top w:val="nil" w:sz="6" w:space="0" w:color="auto"/>
              <w:left w:val="nil" w:sz="6" w:space="0" w:color="auto"/>
              <w:bottom w:val="nil" w:sz="6" w:space="0" w:color="auto"/>
              <w:right w:val="nil" w:sz="6" w:space="0" w:color="auto"/>
            </w:tcBorders>
            <w:shd w:val="clear" w:color="auto" w:fill="8E9090"/>
          </w:tcPr>
          <w:p>
            <w:pPr>
              <w:pStyle w:val="TableParagraph"/>
              <w:spacing w:line="240" w:lineRule="auto" w:before="6"/>
              <w:ind w:left="14" w:right="0"/>
              <w:jc w:val="center"/>
              <w:rPr>
                <w:rFonts w:ascii="宋体" w:hAnsi="宋体" w:cs="宋体" w:eastAsia="宋体" w:hint="default"/>
                <w:sz w:val="16"/>
                <w:szCs w:val="16"/>
              </w:rPr>
            </w:pPr>
            <w:r>
              <w:rPr>
                <w:rFonts w:ascii="宋体" w:hAnsi="宋体" w:cs="宋体" w:eastAsia="宋体" w:hint="default"/>
                <w:color w:val="FFFFFF"/>
                <w:sz w:val="16"/>
                <w:szCs w:val="16"/>
              </w:rPr>
              <w:t>否</w:t>
            </w:r>
            <w:r>
              <w:rPr>
                <w:rFonts w:ascii="宋体" w:hAnsi="宋体" w:cs="宋体" w:eastAsia="宋体" w:hint="default"/>
                <w:sz w:val="16"/>
                <w:szCs w:val="16"/>
              </w:rPr>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p>
      <w:pPr>
        <w:tabs>
          <w:tab w:pos="1709" w:val="left" w:leader="none"/>
          <w:tab w:pos="9731" w:val="right" w:leader="none"/>
        </w:tabs>
        <w:spacing w:before="42"/>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6"/>
          <w:w w:val="105"/>
          <w:sz w:val="16"/>
          <w:szCs w:val="16"/>
        </w:rPr>
        <w:t>董事、监事、高级管理人员和员工情况</w:t>
      </w:r>
      <w:r>
        <w:rPr>
          <w:rFonts w:ascii="Arial" w:hAnsi="Arial" w:cs="Arial" w:eastAsia="Arial" w:hint="default"/>
          <w:b/>
          <w:bCs/>
          <w:color w:val="9C8758"/>
          <w:spacing w:val="26"/>
          <w:w w:val="105"/>
          <w:position w:val="1"/>
          <w:sz w:val="16"/>
          <w:szCs w:val="16"/>
        </w:rPr>
        <w:tab/>
      </w:r>
      <w:r>
        <w:rPr>
          <w:rFonts w:ascii="Arial" w:hAnsi="Arial" w:cs="Arial" w:eastAsia="Arial" w:hint="default"/>
          <w:b/>
          <w:bCs/>
          <w:color w:val="9C8758"/>
          <w:w w:val="105"/>
          <w:position w:val="1"/>
          <w:sz w:val="16"/>
          <w:szCs w:val="16"/>
        </w:rPr>
        <w:t>55</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181"/>
          <w:footerReference w:type="default" r:id="rId182"/>
          <w:pgSz w:w="11910" w:h="16160"/>
          <w:pgMar w:header="0" w:footer="0" w:top="1520" w:bottom="0" w:left="1380" w:right="680"/>
        </w:sectPr>
      </w:pPr>
    </w:p>
    <w:p>
      <w:pPr>
        <w:pStyle w:val="BodyText"/>
        <w:spacing w:line="240" w:lineRule="auto" w:before="660"/>
        <w:ind w:left="1190" w:right="764"/>
        <w:jc w:val="left"/>
        <w:rPr>
          <w:rFonts w:ascii="宋体" w:hAnsi="宋体" w:cs="宋体" w:eastAsia="宋体" w:hint="default"/>
        </w:rPr>
      </w:pPr>
      <w:r>
        <w:rPr>
          <w:rFonts w:ascii="宋体" w:hAnsi="宋体" w:cs="宋体" w:eastAsia="宋体" w:hint="default"/>
        </w:rPr>
        <w:t>报告期内，公司离任董事、监事和高级管理人员：</w:t>
      </w:r>
    </w:p>
    <w:p>
      <w:pPr>
        <w:spacing w:line="240" w:lineRule="auto" w:before="0"/>
        <w:rPr>
          <w:rFonts w:ascii="宋体" w:hAnsi="宋体" w:cs="宋体" w:eastAsia="宋体" w:hint="default"/>
          <w:sz w:val="6"/>
          <w:szCs w:val="6"/>
        </w:rPr>
      </w:pPr>
    </w:p>
    <w:tbl>
      <w:tblPr>
        <w:tblW w:w="0" w:type="auto"/>
        <w:jc w:val="left"/>
        <w:tblInd w:w="833" w:type="dxa"/>
        <w:tblLayout w:type="fixed"/>
        <w:tblCellMar>
          <w:top w:w="0" w:type="dxa"/>
          <w:left w:w="0" w:type="dxa"/>
          <w:bottom w:w="0" w:type="dxa"/>
          <w:right w:w="0" w:type="dxa"/>
        </w:tblCellMar>
        <w:tblLook w:val="01E0"/>
      </w:tblPr>
      <w:tblGrid>
        <w:gridCol w:w="842"/>
        <w:gridCol w:w="1223"/>
        <w:gridCol w:w="372"/>
        <w:gridCol w:w="378"/>
        <w:gridCol w:w="1508"/>
        <w:gridCol w:w="1091"/>
        <w:gridCol w:w="401"/>
        <w:gridCol w:w="692"/>
        <w:gridCol w:w="674"/>
        <w:gridCol w:w="682"/>
        <w:gridCol w:w="1147"/>
        <w:gridCol w:w="646"/>
      </w:tblGrid>
      <w:tr>
        <w:trPr>
          <w:trHeight w:val="514" w:hRule="exact"/>
        </w:trPr>
        <w:tc>
          <w:tcPr>
            <w:tcW w:w="5414" w:type="dxa"/>
            <w:gridSpan w:val="6"/>
            <w:vMerge w:val="restart"/>
            <w:tcBorders>
              <w:top w:val="nil" w:sz="6" w:space="0" w:color="auto"/>
              <w:left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275"/>
              <w:ind w:left="13" w:right="0"/>
              <w:jc w:val="center"/>
              <w:rPr>
                <w:rFonts w:ascii="宋体" w:hAnsi="宋体" w:cs="宋体" w:eastAsia="宋体" w:hint="default"/>
                <w:sz w:val="16"/>
                <w:szCs w:val="16"/>
              </w:rPr>
            </w:pPr>
            <w:r>
              <w:rPr>
                <w:rFonts w:ascii="宋体" w:hAnsi="宋体" w:cs="宋体" w:eastAsia="宋体" w:hint="default"/>
                <w:sz w:val="16"/>
                <w:szCs w:val="16"/>
              </w:rPr>
              <w:t>年</w:t>
            </w:r>
          </w:p>
        </w:tc>
        <w:tc>
          <w:tcPr>
            <w:tcW w:w="692"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2"/>
              <w:jc w:val="center"/>
              <w:rPr>
                <w:rFonts w:ascii="宋体" w:hAnsi="宋体" w:cs="宋体" w:eastAsia="宋体" w:hint="default"/>
                <w:sz w:val="12"/>
                <w:szCs w:val="12"/>
              </w:rPr>
            </w:pPr>
            <w:r>
              <w:rPr>
                <w:rFonts w:ascii="宋体" w:hAnsi="宋体" w:cs="宋体" w:eastAsia="宋体" w:hint="default"/>
                <w:sz w:val="12"/>
                <w:szCs w:val="12"/>
              </w:rPr>
              <w:t>单位：股</w:t>
            </w:r>
          </w:p>
        </w:tc>
      </w:tr>
      <w:tr>
        <w:trPr>
          <w:trHeight w:val="200" w:hRule="exact"/>
        </w:trPr>
        <w:tc>
          <w:tcPr>
            <w:tcW w:w="5414" w:type="dxa"/>
            <w:gridSpan w:val="6"/>
            <w:vMerge/>
            <w:tcBorders>
              <w:left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170" w:lineRule="exact"/>
              <w:ind w:left="13" w:right="0"/>
              <w:jc w:val="center"/>
              <w:rPr>
                <w:rFonts w:ascii="宋体" w:hAnsi="宋体" w:cs="宋体" w:eastAsia="宋体" w:hint="default"/>
                <w:sz w:val="16"/>
                <w:szCs w:val="16"/>
              </w:rPr>
            </w:pPr>
            <w:r>
              <w:rPr>
                <w:rFonts w:ascii="宋体" w:hAnsi="宋体" w:cs="宋体" w:eastAsia="宋体" w:hint="default"/>
                <w:sz w:val="16"/>
                <w:szCs w:val="16"/>
              </w:rPr>
              <w:t>初</w:t>
            </w:r>
          </w:p>
        </w:tc>
        <w:tc>
          <w:tcPr>
            <w:tcW w:w="692"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Style w:val="TableParagraph"/>
              <w:spacing w:line="170" w:lineRule="exact"/>
              <w:ind w:right="6"/>
              <w:jc w:val="center"/>
              <w:rPr>
                <w:rFonts w:ascii="宋体" w:hAnsi="宋体" w:cs="宋体" w:eastAsia="宋体" w:hint="default"/>
                <w:sz w:val="16"/>
                <w:szCs w:val="16"/>
              </w:rPr>
            </w:pPr>
            <w:r>
              <w:rPr>
                <w:rFonts w:ascii="宋体" w:hAnsi="宋体" w:cs="宋体" w:eastAsia="宋体" w:hint="default"/>
                <w:sz w:val="16"/>
                <w:szCs w:val="16"/>
              </w:rPr>
              <w:t>年度内</w:t>
            </w:r>
          </w:p>
        </w:tc>
        <w:tc>
          <w:tcPr>
            <w:tcW w:w="682"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Style w:val="TableParagraph"/>
              <w:spacing w:line="170" w:lineRule="exact"/>
              <w:ind w:left="25" w:right="0"/>
              <w:jc w:val="center"/>
              <w:rPr>
                <w:rFonts w:ascii="宋体" w:hAnsi="宋体" w:cs="宋体" w:eastAsia="宋体" w:hint="default"/>
                <w:sz w:val="16"/>
                <w:szCs w:val="16"/>
              </w:rPr>
            </w:pPr>
            <w:r>
              <w:rPr>
                <w:rFonts w:ascii="宋体" w:hAnsi="宋体" w:cs="宋体" w:eastAsia="宋体" w:hint="default"/>
                <w:sz w:val="16"/>
                <w:szCs w:val="16"/>
              </w:rPr>
              <w:t>报告期内从公</w:t>
            </w:r>
          </w:p>
        </w:tc>
        <w:tc>
          <w:tcPr>
            <w:tcW w:w="646" w:type="dxa"/>
            <w:tcBorders>
              <w:top w:val="nil" w:sz="6" w:space="0" w:color="auto"/>
              <w:left w:val="nil" w:sz="6" w:space="0" w:color="auto"/>
              <w:bottom w:val="nil" w:sz="6" w:space="0" w:color="auto"/>
              <w:right w:val="nil" w:sz="6" w:space="0" w:color="auto"/>
            </w:tcBorders>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是否在</w:t>
            </w:r>
          </w:p>
        </w:tc>
      </w:tr>
      <w:tr>
        <w:trPr>
          <w:trHeight w:val="200" w:hRule="exact"/>
        </w:trPr>
        <w:tc>
          <w:tcPr>
            <w:tcW w:w="5414" w:type="dxa"/>
            <w:gridSpan w:val="6"/>
            <w:vMerge/>
            <w:tcBorders>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Style w:val="TableParagraph"/>
              <w:spacing w:line="170" w:lineRule="exact"/>
              <w:ind w:left="13" w:right="0"/>
              <w:jc w:val="center"/>
              <w:rPr>
                <w:rFonts w:ascii="宋体" w:hAnsi="宋体" w:cs="宋体" w:eastAsia="宋体" w:hint="default"/>
                <w:sz w:val="16"/>
                <w:szCs w:val="16"/>
              </w:rPr>
            </w:pPr>
            <w:r>
              <w:rPr>
                <w:rFonts w:ascii="宋体" w:hAnsi="宋体" w:cs="宋体" w:eastAsia="宋体" w:hint="default"/>
                <w:sz w:val="16"/>
                <w:szCs w:val="16"/>
              </w:rPr>
              <w:t>持</w:t>
            </w:r>
          </w:p>
        </w:tc>
        <w:tc>
          <w:tcPr>
            <w:tcW w:w="692"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Style w:val="TableParagraph"/>
              <w:spacing w:line="170" w:lineRule="exact"/>
              <w:ind w:right="6"/>
              <w:jc w:val="center"/>
              <w:rPr>
                <w:rFonts w:ascii="宋体" w:hAnsi="宋体" w:cs="宋体" w:eastAsia="宋体" w:hint="default"/>
                <w:sz w:val="16"/>
                <w:szCs w:val="16"/>
              </w:rPr>
            </w:pPr>
            <w:r>
              <w:rPr>
                <w:rFonts w:ascii="宋体" w:hAnsi="宋体" w:cs="宋体" w:eastAsia="宋体" w:hint="default"/>
                <w:sz w:val="16"/>
                <w:szCs w:val="16"/>
              </w:rPr>
              <w:t>股份增</w:t>
            </w:r>
          </w:p>
        </w:tc>
        <w:tc>
          <w:tcPr>
            <w:tcW w:w="682" w:type="dxa"/>
            <w:tcBorders>
              <w:top w:val="nil" w:sz="6" w:space="0" w:color="auto"/>
              <w:left w:val="nil" w:sz="6" w:space="0" w:color="auto"/>
              <w:bottom w:val="nil" w:sz="6" w:space="0" w:color="auto"/>
              <w:right w:val="nil" w:sz="6" w:space="0" w:color="auto"/>
            </w:tcBorders>
          </w:tcPr>
          <w:p>
            <w:pPr>
              <w:pStyle w:val="TableParagraph"/>
              <w:spacing w:line="170" w:lineRule="exact"/>
              <w:ind w:right="9"/>
              <w:jc w:val="center"/>
              <w:rPr>
                <w:rFonts w:ascii="宋体" w:hAnsi="宋体" w:cs="宋体" w:eastAsia="宋体" w:hint="default"/>
                <w:sz w:val="16"/>
                <w:szCs w:val="16"/>
              </w:rPr>
            </w:pPr>
            <w:r>
              <w:rPr>
                <w:rFonts w:ascii="宋体" w:hAnsi="宋体" w:cs="宋体" w:eastAsia="宋体" w:hint="default"/>
                <w:sz w:val="16"/>
                <w:szCs w:val="16"/>
              </w:rPr>
              <w:t>增减</w:t>
            </w:r>
          </w:p>
        </w:tc>
        <w:tc>
          <w:tcPr>
            <w:tcW w:w="1147" w:type="dxa"/>
            <w:tcBorders>
              <w:top w:val="nil" w:sz="6" w:space="0" w:color="auto"/>
              <w:left w:val="nil" w:sz="6" w:space="0" w:color="auto"/>
              <w:bottom w:val="nil" w:sz="6" w:space="0" w:color="auto"/>
              <w:right w:val="nil" w:sz="6" w:space="0" w:color="auto"/>
            </w:tcBorders>
          </w:tcPr>
          <w:p>
            <w:pPr>
              <w:pStyle w:val="TableParagraph"/>
              <w:spacing w:line="170" w:lineRule="exact"/>
              <w:ind w:left="25" w:right="0"/>
              <w:jc w:val="center"/>
              <w:rPr>
                <w:rFonts w:ascii="宋体" w:hAnsi="宋体" w:cs="宋体" w:eastAsia="宋体" w:hint="default"/>
                <w:sz w:val="16"/>
                <w:szCs w:val="16"/>
              </w:rPr>
            </w:pPr>
            <w:r>
              <w:rPr>
                <w:rFonts w:ascii="宋体" w:hAnsi="宋体" w:cs="宋体" w:eastAsia="宋体" w:hint="default"/>
                <w:sz w:val="16"/>
                <w:szCs w:val="16"/>
              </w:rPr>
              <w:t>司获得的税前</w:t>
            </w:r>
          </w:p>
        </w:tc>
        <w:tc>
          <w:tcPr>
            <w:tcW w:w="646" w:type="dxa"/>
            <w:tcBorders>
              <w:top w:val="nil" w:sz="6" w:space="0" w:color="auto"/>
              <w:left w:val="nil" w:sz="6" w:space="0" w:color="auto"/>
              <w:bottom w:val="nil" w:sz="6" w:space="0" w:color="auto"/>
              <w:right w:val="nil" w:sz="6" w:space="0" w:color="auto"/>
            </w:tcBorders>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公司关</w:t>
            </w:r>
          </w:p>
        </w:tc>
      </w:tr>
      <w:tr>
        <w:trPr>
          <w:trHeight w:val="200" w:hRule="exact"/>
        </w:trPr>
        <w:tc>
          <w:tcPr>
            <w:tcW w:w="842" w:type="dxa"/>
            <w:tcBorders>
              <w:top w:val="nil" w:sz="6" w:space="0" w:color="auto"/>
              <w:left w:val="nil" w:sz="6" w:space="0" w:color="auto"/>
              <w:bottom w:val="nil" w:sz="6" w:space="0" w:color="auto"/>
              <w:right w:val="nil" w:sz="6" w:space="0" w:color="auto"/>
            </w:tcBorders>
          </w:tcPr>
          <w:p>
            <w:pPr/>
          </w:p>
        </w:tc>
        <w:tc>
          <w:tcPr>
            <w:tcW w:w="1223" w:type="dxa"/>
            <w:tcBorders>
              <w:top w:val="nil" w:sz="6" w:space="0" w:color="auto"/>
              <w:left w:val="nil" w:sz="6" w:space="0" w:color="auto"/>
              <w:bottom w:val="nil" w:sz="6" w:space="0" w:color="auto"/>
              <w:right w:val="nil" w:sz="6" w:space="0" w:color="auto"/>
            </w:tcBorders>
          </w:tcPr>
          <w:p>
            <w:pPr/>
          </w:p>
        </w:tc>
        <w:tc>
          <w:tcPr>
            <w:tcW w:w="372" w:type="dxa"/>
            <w:tcBorders>
              <w:top w:val="nil" w:sz="6" w:space="0" w:color="auto"/>
              <w:left w:val="nil" w:sz="6" w:space="0" w:color="auto"/>
              <w:bottom w:val="nil" w:sz="6" w:space="0" w:color="auto"/>
              <w:right w:val="nil" w:sz="6" w:space="0" w:color="auto"/>
            </w:tcBorders>
          </w:tcPr>
          <w:p>
            <w:pPr>
              <w:pStyle w:val="TableParagraph"/>
              <w:spacing w:line="170" w:lineRule="exact"/>
              <w:ind w:right="112"/>
              <w:jc w:val="right"/>
              <w:rPr>
                <w:rFonts w:ascii="宋体" w:hAnsi="宋体" w:cs="宋体" w:eastAsia="宋体" w:hint="default"/>
                <w:sz w:val="16"/>
                <w:szCs w:val="16"/>
              </w:rPr>
            </w:pPr>
            <w:r>
              <w:rPr>
                <w:rFonts w:ascii="宋体" w:hAnsi="宋体" w:cs="宋体" w:eastAsia="宋体" w:hint="default"/>
                <w:sz w:val="16"/>
                <w:szCs w:val="16"/>
              </w:rPr>
              <w:t>性</w:t>
            </w:r>
          </w:p>
        </w:tc>
        <w:tc>
          <w:tcPr>
            <w:tcW w:w="378" w:type="dxa"/>
            <w:tcBorders>
              <w:top w:val="nil" w:sz="6" w:space="0" w:color="auto"/>
              <w:left w:val="nil" w:sz="6" w:space="0" w:color="auto"/>
              <w:bottom w:val="nil" w:sz="6" w:space="0" w:color="auto"/>
              <w:right w:val="nil" w:sz="6" w:space="0" w:color="auto"/>
            </w:tcBorders>
          </w:tcPr>
          <w:p>
            <w:pPr>
              <w:pStyle w:val="TableParagraph"/>
              <w:spacing w:line="170" w:lineRule="exact"/>
              <w:ind w:right="94"/>
              <w:jc w:val="right"/>
              <w:rPr>
                <w:rFonts w:ascii="宋体" w:hAnsi="宋体" w:cs="宋体" w:eastAsia="宋体" w:hint="default"/>
                <w:sz w:val="16"/>
                <w:szCs w:val="16"/>
              </w:rPr>
            </w:pPr>
            <w:r>
              <w:rPr>
                <w:rFonts w:ascii="宋体" w:hAnsi="宋体" w:cs="宋体" w:eastAsia="宋体" w:hint="default"/>
                <w:sz w:val="16"/>
                <w:szCs w:val="16"/>
              </w:rPr>
              <w:t>年</w:t>
            </w:r>
          </w:p>
        </w:tc>
        <w:tc>
          <w:tcPr>
            <w:tcW w:w="1508" w:type="dxa"/>
            <w:tcBorders>
              <w:top w:val="nil" w:sz="6" w:space="0" w:color="auto"/>
              <w:left w:val="nil" w:sz="6" w:space="0" w:color="auto"/>
              <w:bottom w:val="nil" w:sz="6" w:space="0" w:color="auto"/>
              <w:right w:val="nil" w:sz="6" w:space="0" w:color="auto"/>
            </w:tcBorders>
          </w:tcPr>
          <w:p>
            <w:pPr>
              <w:pStyle w:val="TableParagraph"/>
              <w:spacing w:line="170" w:lineRule="exact"/>
              <w:ind w:right="32"/>
              <w:jc w:val="center"/>
              <w:rPr>
                <w:rFonts w:ascii="宋体" w:hAnsi="宋体" w:cs="宋体" w:eastAsia="宋体" w:hint="default"/>
                <w:sz w:val="16"/>
                <w:szCs w:val="16"/>
              </w:rPr>
            </w:pPr>
            <w:r>
              <w:rPr>
                <w:rFonts w:ascii="宋体" w:hAnsi="宋体" w:cs="宋体" w:eastAsia="宋体" w:hint="default"/>
                <w:sz w:val="16"/>
                <w:szCs w:val="16"/>
              </w:rPr>
              <w:t>任期</w:t>
            </w:r>
          </w:p>
        </w:tc>
        <w:tc>
          <w:tcPr>
            <w:tcW w:w="1091" w:type="dxa"/>
            <w:tcBorders>
              <w:top w:val="nil" w:sz="6" w:space="0" w:color="auto"/>
              <w:left w:val="nil" w:sz="6" w:space="0" w:color="auto"/>
              <w:bottom w:val="nil" w:sz="6" w:space="0" w:color="auto"/>
              <w:right w:val="nil" w:sz="6" w:space="0" w:color="auto"/>
            </w:tcBorders>
          </w:tcPr>
          <w:p>
            <w:pPr>
              <w:pStyle w:val="TableParagraph"/>
              <w:spacing w:line="170" w:lineRule="exact"/>
              <w:ind w:right="46"/>
              <w:jc w:val="center"/>
              <w:rPr>
                <w:rFonts w:ascii="宋体" w:hAnsi="宋体" w:cs="宋体" w:eastAsia="宋体" w:hint="default"/>
                <w:sz w:val="16"/>
                <w:szCs w:val="16"/>
              </w:rPr>
            </w:pPr>
            <w:r>
              <w:rPr>
                <w:rFonts w:ascii="宋体" w:hAnsi="宋体" w:cs="宋体" w:eastAsia="宋体" w:hint="default"/>
                <w:sz w:val="16"/>
                <w:szCs w:val="16"/>
              </w:rPr>
              <w:t>任期</w:t>
            </w:r>
          </w:p>
        </w:tc>
        <w:tc>
          <w:tcPr>
            <w:tcW w:w="401" w:type="dxa"/>
            <w:tcBorders>
              <w:top w:val="nil" w:sz="6" w:space="0" w:color="auto"/>
              <w:left w:val="nil" w:sz="6" w:space="0" w:color="auto"/>
              <w:bottom w:val="nil" w:sz="6" w:space="0" w:color="auto"/>
              <w:right w:val="nil" w:sz="6" w:space="0" w:color="auto"/>
            </w:tcBorders>
          </w:tcPr>
          <w:p>
            <w:pPr>
              <w:pStyle w:val="TableParagraph"/>
              <w:spacing w:line="170" w:lineRule="exact"/>
              <w:ind w:left="13" w:right="0"/>
              <w:jc w:val="center"/>
              <w:rPr>
                <w:rFonts w:ascii="宋体" w:hAnsi="宋体" w:cs="宋体" w:eastAsia="宋体" w:hint="default"/>
                <w:sz w:val="16"/>
                <w:szCs w:val="16"/>
              </w:rPr>
            </w:pPr>
            <w:r>
              <w:rPr>
                <w:rFonts w:ascii="宋体" w:hAnsi="宋体" w:cs="宋体" w:eastAsia="宋体" w:hint="default"/>
                <w:sz w:val="16"/>
                <w:szCs w:val="16"/>
              </w:rPr>
              <w:t>股</w:t>
            </w:r>
          </w:p>
        </w:tc>
        <w:tc>
          <w:tcPr>
            <w:tcW w:w="692" w:type="dxa"/>
            <w:tcBorders>
              <w:top w:val="nil" w:sz="6" w:space="0" w:color="auto"/>
              <w:left w:val="nil" w:sz="6" w:space="0" w:color="auto"/>
              <w:bottom w:val="nil" w:sz="6" w:space="0" w:color="auto"/>
              <w:right w:val="nil" w:sz="6" w:space="0" w:color="auto"/>
            </w:tcBorders>
          </w:tcPr>
          <w:p>
            <w:pPr>
              <w:pStyle w:val="TableParagraph"/>
              <w:spacing w:line="170" w:lineRule="exact"/>
              <w:ind w:left="22" w:right="0"/>
              <w:jc w:val="center"/>
              <w:rPr>
                <w:rFonts w:ascii="宋体" w:hAnsi="宋体" w:cs="宋体" w:eastAsia="宋体" w:hint="default"/>
                <w:sz w:val="16"/>
                <w:szCs w:val="16"/>
              </w:rPr>
            </w:pPr>
            <w:r>
              <w:rPr>
                <w:rFonts w:ascii="宋体" w:hAnsi="宋体" w:cs="宋体" w:eastAsia="宋体" w:hint="default"/>
                <w:sz w:val="16"/>
                <w:szCs w:val="16"/>
              </w:rPr>
              <w:t>年末持</w:t>
            </w:r>
          </w:p>
        </w:tc>
        <w:tc>
          <w:tcPr>
            <w:tcW w:w="674" w:type="dxa"/>
            <w:tcBorders>
              <w:top w:val="nil" w:sz="6" w:space="0" w:color="auto"/>
              <w:left w:val="nil" w:sz="6" w:space="0" w:color="auto"/>
              <w:bottom w:val="nil" w:sz="6" w:space="0" w:color="auto"/>
              <w:right w:val="nil" w:sz="6" w:space="0" w:color="auto"/>
            </w:tcBorders>
          </w:tcPr>
          <w:p>
            <w:pPr>
              <w:pStyle w:val="TableParagraph"/>
              <w:spacing w:line="170" w:lineRule="exact"/>
              <w:ind w:right="6"/>
              <w:jc w:val="center"/>
              <w:rPr>
                <w:rFonts w:ascii="宋体" w:hAnsi="宋体" w:cs="宋体" w:eastAsia="宋体" w:hint="default"/>
                <w:sz w:val="16"/>
                <w:szCs w:val="16"/>
              </w:rPr>
            </w:pPr>
            <w:r>
              <w:rPr>
                <w:rFonts w:ascii="宋体" w:hAnsi="宋体" w:cs="宋体" w:eastAsia="宋体" w:hint="default"/>
                <w:sz w:val="16"/>
                <w:szCs w:val="16"/>
              </w:rPr>
              <w:t>减变动</w:t>
            </w:r>
          </w:p>
        </w:tc>
        <w:tc>
          <w:tcPr>
            <w:tcW w:w="682" w:type="dxa"/>
            <w:tcBorders>
              <w:top w:val="nil" w:sz="6" w:space="0" w:color="auto"/>
              <w:left w:val="nil" w:sz="6" w:space="0" w:color="auto"/>
              <w:bottom w:val="nil" w:sz="6" w:space="0" w:color="auto"/>
              <w:right w:val="nil" w:sz="6" w:space="0" w:color="auto"/>
            </w:tcBorders>
          </w:tcPr>
          <w:p>
            <w:pPr>
              <w:pStyle w:val="TableParagraph"/>
              <w:spacing w:line="170" w:lineRule="exact"/>
              <w:ind w:right="9"/>
              <w:jc w:val="center"/>
              <w:rPr>
                <w:rFonts w:ascii="宋体" w:hAnsi="宋体" w:cs="宋体" w:eastAsia="宋体" w:hint="default"/>
                <w:sz w:val="16"/>
                <w:szCs w:val="16"/>
              </w:rPr>
            </w:pPr>
            <w:r>
              <w:rPr>
                <w:rFonts w:ascii="宋体" w:hAnsi="宋体" w:cs="宋体" w:eastAsia="宋体" w:hint="default"/>
                <w:sz w:val="16"/>
                <w:szCs w:val="16"/>
              </w:rPr>
              <w:t>变动</w:t>
            </w:r>
          </w:p>
        </w:tc>
        <w:tc>
          <w:tcPr>
            <w:tcW w:w="1147" w:type="dxa"/>
            <w:tcBorders>
              <w:top w:val="nil" w:sz="6" w:space="0" w:color="auto"/>
              <w:left w:val="nil" w:sz="6" w:space="0" w:color="auto"/>
              <w:bottom w:val="nil" w:sz="6" w:space="0" w:color="auto"/>
              <w:right w:val="nil" w:sz="6" w:space="0" w:color="auto"/>
            </w:tcBorders>
          </w:tcPr>
          <w:p>
            <w:pPr>
              <w:pStyle w:val="TableParagraph"/>
              <w:spacing w:line="170" w:lineRule="exact"/>
              <w:ind w:left="25" w:right="0"/>
              <w:jc w:val="center"/>
              <w:rPr>
                <w:rFonts w:ascii="宋体" w:hAnsi="宋体" w:cs="宋体" w:eastAsia="宋体" w:hint="default"/>
                <w:sz w:val="16"/>
                <w:szCs w:val="16"/>
              </w:rPr>
            </w:pPr>
            <w:r>
              <w:rPr>
                <w:rFonts w:ascii="宋体" w:hAnsi="宋体" w:cs="宋体" w:eastAsia="宋体" w:hint="default"/>
                <w:sz w:val="16"/>
                <w:szCs w:val="16"/>
              </w:rPr>
              <w:t>报酬总额</w:t>
            </w:r>
          </w:p>
        </w:tc>
        <w:tc>
          <w:tcPr>
            <w:tcW w:w="646" w:type="dxa"/>
            <w:tcBorders>
              <w:top w:val="nil" w:sz="6" w:space="0" w:color="auto"/>
              <w:left w:val="nil" w:sz="6" w:space="0" w:color="auto"/>
              <w:bottom w:val="nil" w:sz="6" w:space="0" w:color="auto"/>
              <w:right w:val="nil" w:sz="6" w:space="0" w:color="auto"/>
            </w:tcBorders>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联方获</w:t>
            </w:r>
          </w:p>
        </w:tc>
      </w:tr>
      <w:tr>
        <w:trPr>
          <w:trHeight w:val="284" w:hRule="exact"/>
        </w:trPr>
        <w:tc>
          <w:tcPr>
            <w:tcW w:w="842" w:type="dxa"/>
            <w:tcBorders>
              <w:top w:val="nil" w:sz="6" w:space="0" w:color="auto"/>
              <w:left w:val="nil" w:sz="6" w:space="0" w:color="auto"/>
              <w:bottom w:val="single" w:sz="16" w:space="0" w:color="9C8758"/>
              <w:right w:val="nil" w:sz="6" w:space="0" w:color="auto"/>
            </w:tcBorders>
          </w:tcPr>
          <w:p>
            <w:pPr>
              <w:pStyle w:val="TableParagraph"/>
              <w:spacing w:line="170" w:lineRule="exact"/>
              <w:ind w:left="81" w:right="0"/>
              <w:jc w:val="center"/>
              <w:rPr>
                <w:rFonts w:ascii="宋体" w:hAnsi="宋体" w:cs="宋体" w:eastAsia="宋体" w:hint="default"/>
                <w:sz w:val="16"/>
                <w:szCs w:val="16"/>
              </w:rPr>
            </w:pPr>
            <w:r>
              <w:rPr>
                <w:rFonts w:ascii="宋体" w:hAnsi="宋体" w:cs="宋体" w:eastAsia="宋体" w:hint="default"/>
                <w:sz w:val="16"/>
                <w:szCs w:val="16"/>
              </w:rPr>
              <w:t>姓名</w:t>
            </w:r>
          </w:p>
        </w:tc>
        <w:tc>
          <w:tcPr>
            <w:tcW w:w="1223" w:type="dxa"/>
            <w:tcBorders>
              <w:top w:val="nil" w:sz="6" w:space="0" w:color="auto"/>
              <w:left w:val="nil" w:sz="6" w:space="0" w:color="auto"/>
              <w:bottom w:val="single" w:sz="16" w:space="0" w:color="9C8758"/>
              <w:right w:val="nil" w:sz="6" w:space="0" w:color="auto"/>
            </w:tcBorders>
          </w:tcPr>
          <w:p>
            <w:pPr>
              <w:pStyle w:val="TableParagraph"/>
              <w:spacing w:line="170" w:lineRule="exact"/>
              <w:ind w:left="100" w:right="0"/>
              <w:jc w:val="center"/>
              <w:rPr>
                <w:rFonts w:ascii="宋体" w:hAnsi="宋体" w:cs="宋体" w:eastAsia="宋体" w:hint="default"/>
                <w:sz w:val="16"/>
                <w:szCs w:val="16"/>
              </w:rPr>
            </w:pPr>
            <w:r>
              <w:rPr>
                <w:rFonts w:ascii="宋体" w:hAnsi="宋体" w:cs="宋体" w:eastAsia="宋体" w:hint="default"/>
                <w:spacing w:val="27"/>
                <w:sz w:val="16"/>
                <w:szCs w:val="16"/>
              </w:rPr>
              <w:t>职务(注)</w:t>
            </w:r>
            <w:r>
              <w:rPr>
                <w:rFonts w:ascii="宋体" w:hAnsi="宋体" w:cs="宋体" w:eastAsia="宋体" w:hint="default"/>
                <w:spacing w:val="-40"/>
                <w:sz w:val="16"/>
                <w:szCs w:val="16"/>
              </w:rPr>
              <w:t> </w:t>
            </w:r>
            <w:r>
              <w:rPr>
                <w:rFonts w:ascii="宋体" w:hAnsi="宋体" w:cs="宋体" w:eastAsia="宋体" w:hint="default"/>
                <w:sz w:val="16"/>
                <w:szCs w:val="16"/>
              </w:rPr>
            </w:r>
          </w:p>
        </w:tc>
        <w:tc>
          <w:tcPr>
            <w:tcW w:w="372" w:type="dxa"/>
            <w:tcBorders>
              <w:top w:val="nil" w:sz="6" w:space="0" w:color="auto"/>
              <w:left w:val="nil" w:sz="6" w:space="0" w:color="auto"/>
              <w:bottom w:val="single" w:sz="16" w:space="0" w:color="9C8758"/>
              <w:right w:val="nil" w:sz="6" w:space="0" w:color="auto"/>
            </w:tcBorders>
          </w:tcPr>
          <w:p>
            <w:pPr>
              <w:pStyle w:val="TableParagraph"/>
              <w:spacing w:line="170" w:lineRule="exact"/>
              <w:ind w:right="112"/>
              <w:jc w:val="right"/>
              <w:rPr>
                <w:rFonts w:ascii="宋体" w:hAnsi="宋体" w:cs="宋体" w:eastAsia="宋体" w:hint="default"/>
                <w:sz w:val="16"/>
                <w:szCs w:val="16"/>
              </w:rPr>
            </w:pPr>
            <w:r>
              <w:rPr>
                <w:rFonts w:ascii="宋体" w:hAnsi="宋体" w:cs="宋体" w:eastAsia="宋体" w:hint="default"/>
                <w:sz w:val="16"/>
                <w:szCs w:val="16"/>
              </w:rPr>
              <w:t>别</w:t>
            </w:r>
          </w:p>
        </w:tc>
        <w:tc>
          <w:tcPr>
            <w:tcW w:w="378" w:type="dxa"/>
            <w:tcBorders>
              <w:top w:val="nil" w:sz="6" w:space="0" w:color="auto"/>
              <w:left w:val="nil" w:sz="6" w:space="0" w:color="auto"/>
              <w:bottom w:val="single" w:sz="16" w:space="0" w:color="9C8758"/>
              <w:right w:val="nil" w:sz="6" w:space="0" w:color="auto"/>
            </w:tcBorders>
          </w:tcPr>
          <w:p>
            <w:pPr>
              <w:pStyle w:val="TableParagraph"/>
              <w:spacing w:line="170" w:lineRule="exact"/>
              <w:ind w:right="94"/>
              <w:jc w:val="right"/>
              <w:rPr>
                <w:rFonts w:ascii="宋体" w:hAnsi="宋体" w:cs="宋体" w:eastAsia="宋体" w:hint="default"/>
                <w:sz w:val="16"/>
                <w:szCs w:val="16"/>
              </w:rPr>
            </w:pPr>
            <w:r>
              <w:rPr>
                <w:rFonts w:ascii="宋体" w:hAnsi="宋体" w:cs="宋体" w:eastAsia="宋体" w:hint="default"/>
                <w:sz w:val="16"/>
                <w:szCs w:val="16"/>
              </w:rPr>
              <w:t>龄</w:t>
            </w:r>
          </w:p>
        </w:tc>
        <w:tc>
          <w:tcPr>
            <w:tcW w:w="1508" w:type="dxa"/>
            <w:tcBorders>
              <w:top w:val="nil" w:sz="6" w:space="0" w:color="auto"/>
              <w:left w:val="nil" w:sz="6" w:space="0" w:color="auto"/>
              <w:bottom w:val="single" w:sz="16" w:space="0" w:color="9C8758"/>
              <w:right w:val="nil" w:sz="6" w:space="0" w:color="auto"/>
            </w:tcBorders>
          </w:tcPr>
          <w:p>
            <w:pPr>
              <w:pStyle w:val="TableParagraph"/>
              <w:spacing w:line="170" w:lineRule="exact"/>
              <w:ind w:right="32"/>
              <w:jc w:val="center"/>
              <w:rPr>
                <w:rFonts w:ascii="宋体" w:hAnsi="宋体" w:cs="宋体" w:eastAsia="宋体" w:hint="default"/>
                <w:sz w:val="16"/>
                <w:szCs w:val="16"/>
              </w:rPr>
            </w:pPr>
            <w:r>
              <w:rPr>
                <w:rFonts w:ascii="宋体" w:hAnsi="宋体" w:cs="宋体" w:eastAsia="宋体" w:hint="default"/>
                <w:sz w:val="16"/>
                <w:szCs w:val="16"/>
              </w:rPr>
              <w:t>起始日期</w:t>
            </w:r>
          </w:p>
        </w:tc>
        <w:tc>
          <w:tcPr>
            <w:tcW w:w="1091" w:type="dxa"/>
            <w:tcBorders>
              <w:top w:val="nil" w:sz="6" w:space="0" w:color="auto"/>
              <w:left w:val="nil" w:sz="6" w:space="0" w:color="auto"/>
              <w:bottom w:val="single" w:sz="16" w:space="0" w:color="9C8758"/>
              <w:right w:val="nil" w:sz="6" w:space="0" w:color="auto"/>
            </w:tcBorders>
          </w:tcPr>
          <w:p>
            <w:pPr>
              <w:pStyle w:val="TableParagraph"/>
              <w:spacing w:line="170" w:lineRule="exact"/>
              <w:ind w:right="46"/>
              <w:jc w:val="center"/>
              <w:rPr>
                <w:rFonts w:ascii="宋体" w:hAnsi="宋体" w:cs="宋体" w:eastAsia="宋体" w:hint="default"/>
                <w:sz w:val="16"/>
                <w:szCs w:val="16"/>
              </w:rPr>
            </w:pPr>
            <w:r>
              <w:rPr>
                <w:rFonts w:ascii="宋体" w:hAnsi="宋体" w:cs="宋体" w:eastAsia="宋体" w:hint="default"/>
                <w:sz w:val="16"/>
                <w:szCs w:val="16"/>
              </w:rPr>
              <w:t>终止日期</w:t>
            </w:r>
          </w:p>
        </w:tc>
        <w:tc>
          <w:tcPr>
            <w:tcW w:w="401" w:type="dxa"/>
            <w:tcBorders>
              <w:top w:val="nil" w:sz="6" w:space="0" w:color="auto"/>
              <w:left w:val="nil" w:sz="6" w:space="0" w:color="auto"/>
              <w:bottom w:val="single" w:sz="16" w:space="0" w:color="9C8758"/>
              <w:right w:val="nil" w:sz="6" w:space="0" w:color="auto"/>
            </w:tcBorders>
          </w:tcPr>
          <w:p>
            <w:pPr>
              <w:pStyle w:val="TableParagraph"/>
              <w:spacing w:line="170" w:lineRule="exact"/>
              <w:ind w:left="13" w:right="0"/>
              <w:jc w:val="center"/>
              <w:rPr>
                <w:rFonts w:ascii="宋体" w:hAnsi="宋体" w:cs="宋体" w:eastAsia="宋体" w:hint="default"/>
                <w:sz w:val="16"/>
                <w:szCs w:val="16"/>
              </w:rPr>
            </w:pPr>
            <w:r>
              <w:rPr>
                <w:rFonts w:ascii="宋体" w:hAnsi="宋体" w:cs="宋体" w:eastAsia="宋体" w:hint="default"/>
                <w:sz w:val="16"/>
                <w:szCs w:val="16"/>
              </w:rPr>
              <w:t>数</w:t>
            </w:r>
          </w:p>
        </w:tc>
        <w:tc>
          <w:tcPr>
            <w:tcW w:w="692" w:type="dxa"/>
            <w:tcBorders>
              <w:top w:val="nil" w:sz="6" w:space="0" w:color="auto"/>
              <w:left w:val="nil" w:sz="6" w:space="0" w:color="auto"/>
              <w:bottom w:val="single" w:sz="16" w:space="0" w:color="9C8758"/>
              <w:right w:val="nil" w:sz="6" w:space="0" w:color="auto"/>
            </w:tcBorders>
          </w:tcPr>
          <w:p>
            <w:pPr>
              <w:pStyle w:val="TableParagraph"/>
              <w:spacing w:line="170" w:lineRule="exact"/>
              <w:ind w:left="22" w:right="0"/>
              <w:jc w:val="center"/>
              <w:rPr>
                <w:rFonts w:ascii="宋体" w:hAnsi="宋体" w:cs="宋体" w:eastAsia="宋体" w:hint="default"/>
                <w:sz w:val="16"/>
                <w:szCs w:val="16"/>
              </w:rPr>
            </w:pPr>
            <w:r>
              <w:rPr>
                <w:rFonts w:ascii="宋体" w:hAnsi="宋体" w:cs="宋体" w:eastAsia="宋体" w:hint="default"/>
                <w:sz w:val="16"/>
                <w:szCs w:val="16"/>
              </w:rPr>
              <w:t>股数</w:t>
            </w:r>
          </w:p>
        </w:tc>
        <w:tc>
          <w:tcPr>
            <w:tcW w:w="674" w:type="dxa"/>
            <w:tcBorders>
              <w:top w:val="nil" w:sz="6" w:space="0" w:color="auto"/>
              <w:left w:val="nil" w:sz="6" w:space="0" w:color="auto"/>
              <w:bottom w:val="single" w:sz="16" w:space="0" w:color="9C8758"/>
              <w:right w:val="nil" w:sz="6" w:space="0" w:color="auto"/>
            </w:tcBorders>
          </w:tcPr>
          <w:p>
            <w:pPr>
              <w:pStyle w:val="TableParagraph"/>
              <w:spacing w:line="170" w:lineRule="exact"/>
              <w:ind w:right="6"/>
              <w:jc w:val="center"/>
              <w:rPr>
                <w:rFonts w:ascii="宋体" w:hAnsi="宋体" w:cs="宋体" w:eastAsia="宋体" w:hint="default"/>
                <w:sz w:val="16"/>
                <w:szCs w:val="16"/>
              </w:rPr>
            </w:pPr>
            <w:r>
              <w:rPr>
                <w:rFonts w:ascii="宋体" w:hAnsi="宋体" w:cs="宋体" w:eastAsia="宋体" w:hint="default"/>
                <w:sz w:val="16"/>
                <w:szCs w:val="16"/>
              </w:rPr>
              <w:t>量</w:t>
            </w:r>
          </w:p>
        </w:tc>
        <w:tc>
          <w:tcPr>
            <w:tcW w:w="682" w:type="dxa"/>
            <w:tcBorders>
              <w:top w:val="nil" w:sz="6" w:space="0" w:color="auto"/>
              <w:left w:val="nil" w:sz="6" w:space="0" w:color="auto"/>
              <w:bottom w:val="single" w:sz="16" w:space="0" w:color="9C8758"/>
              <w:right w:val="nil" w:sz="6" w:space="0" w:color="auto"/>
            </w:tcBorders>
          </w:tcPr>
          <w:p>
            <w:pPr>
              <w:pStyle w:val="TableParagraph"/>
              <w:spacing w:line="170" w:lineRule="exact"/>
              <w:ind w:right="9"/>
              <w:jc w:val="center"/>
              <w:rPr>
                <w:rFonts w:ascii="宋体" w:hAnsi="宋体" w:cs="宋体" w:eastAsia="宋体" w:hint="default"/>
                <w:sz w:val="16"/>
                <w:szCs w:val="16"/>
              </w:rPr>
            </w:pPr>
            <w:r>
              <w:rPr>
                <w:rFonts w:ascii="宋体" w:hAnsi="宋体" w:cs="宋体" w:eastAsia="宋体" w:hint="default"/>
                <w:sz w:val="16"/>
                <w:szCs w:val="16"/>
              </w:rPr>
              <w:t>原因</w:t>
            </w:r>
          </w:p>
        </w:tc>
        <w:tc>
          <w:tcPr>
            <w:tcW w:w="1147" w:type="dxa"/>
            <w:tcBorders>
              <w:top w:val="nil" w:sz="6" w:space="0" w:color="auto"/>
              <w:left w:val="nil" w:sz="6" w:space="0" w:color="auto"/>
              <w:bottom w:val="single" w:sz="16" w:space="0" w:color="9C8758"/>
              <w:right w:val="nil" w:sz="6" w:space="0" w:color="auto"/>
            </w:tcBorders>
          </w:tcPr>
          <w:p>
            <w:pPr>
              <w:pStyle w:val="TableParagraph"/>
              <w:spacing w:line="170" w:lineRule="exact"/>
              <w:ind w:left="25" w:right="0"/>
              <w:jc w:val="center"/>
              <w:rPr>
                <w:rFonts w:ascii="宋体" w:hAnsi="宋体" w:cs="宋体" w:eastAsia="宋体" w:hint="default"/>
                <w:sz w:val="16"/>
                <w:szCs w:val="16"/>
              </w:rPr>
            </w:pPr>
            <w:r>
              <w:rPr>
                <w:rFonts w:ascii="宋体" w:hAnsi="宋体" w:cs="宋体" w:eastAsia="宋体" w:hint="default"/>
                <w:sz w:val="16"/>
                <w:szCs w:val="16"/>
              </w:rPr>
              <w:t>（万元）</w:t>
            </w:r>
          </w:p>
        </w:tc>
        <w:tc>
          <w:tcPr>
            <w:tcW w:w="646" w:type="dxa"/>
            <w:tcBorders>
              <w:top w:val="nil" w:sz="6" w:space="0" w:color="auto"/>
              <w:left w:val="nil" w:sz="6" w:space="0" w:color="auto"/>
              <w:bottom w:val="single" w:sz="16" w:space="0" w:color="9C8758"/>
              <w:right w:val="nil" w:sz="6" w:space="0" w:color="auto"/>
            </w:tcBorders>
          </w:tcPr>
          <w:p>
            <w:pPr>
              <w:pStyle w:val="TableParagraph"/>
              <w:spacing w:line="170" w:lineRule="exact"/>
              <w:ind w:left="10" w:right="0"/>
              <w:jc w:val="center"/>
              <w:rPr>
                <w:rFonts w:ascii="宋体" w:hAnsi="宋体" w:cs="宋体" w:eastAsia="宋体" w:hint="default"/>
                <w:sz w:val="16"/>
                <w:szCs w:val="16"/>
              </w:rPr>
            </w:pPr>
            <w:r>
              <w:rPr>
                <w:rFonts w:ascii="宋体" w:hAnsi="宋体" w:cs="宋体" w:eastAsia="宋体" w:hint="default"/>
                <w:sz w:val="16"/>
                <w:szCs w:val="16"/>
              </w:rPr>
              <w:t>取报酬</w:t>
            </w:r>
          </w:p>
        </w:tc>
      </w:tr>
      <w:tr>
        <w:trPr>
          <w:trHeight w:val="319" w:hRule="exact"/>
        </w:trPr>
        <w:tc>
          <w:tcPr>
            <w:tcW w:w="842" w:type="dxa"/>
            <w:tcBorders>
              <w:top w:val="single" w:sz="16" w:space="0" w:color="9C8758"/>
              <w:left w:val="nil" w:sz="6" w:space="0" w:color="auto"/>
              <w:bottom w:val="nil" w:sz="6" w:space="0" w:color="auto"/>
              <w:right w:val="nil" w:sz="6" w:space="0" w:color="auto"/>
            </w:tcBorders>
          </w:tcPr>
          <w:p>
            <w:pPr/>
          </w:p>
        </w:tc>
        <w:tc>
          <w:tcPr>
            <w:tcW w:w="1223"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left="60" w:right="0"/>
              <w:jc w:val="center"/>
              <w:rPr>
                <w:rFonts w:ascii="宋体" w:hAnsi="宋体" w:cs="宋体" w:eastAsia="宋体" w:hint="default"/>
                <w:sz w:val="16"/>
                <w:szCs w:val="16"/>
              </w:rPr>
            </w:pPr>
            <w:r>
              <w:rPr>
                <w:rFonts w:ascii="宋体" w:hAnsi="宋体" w:cs="宋体" w:eastAsia="宋体" w:hint="default"/>
                <w:sz w:val="16"/>
                <w:szCs w:val="16"/>
              </w:rPr>
              <w:t>离任董事</w:t>
            </w:r>
          </w:p>
        </w:tc>
        <w:tc>
          <w:tcPr>
            <w:tcW w:w="372" w:type="dxa"/>
            <w:tcBorders>
              <w:top w:val="single" w:sz="16" w:space="0" w:color="9C8758"/>
              <w:left w:val="nil" w:sz="6" w:space="0" w:color="auto"/>
              <w:bottom w:val="nil" w:sz="6" w:space="0" w:color="auto"/>
              <w:right w:val="nil" w:sz="6" w:space="0" w:color="auto"/>
            </w:tcBorders>
          </w:tcPr>
          <w:p>
            <w:pPr/>
          </w:p>
        </w:tc>
        <w:tc>
          <w:tcPr>
            <w:tcW w:w="378" w:type="dxa"/>
            <w:tcBorders>
              <w:top w:val="single" w:sz="16" w:space="0" w:color="9C8758"/>
              <w:left w:val="nil" w:sz="6" w:space="0" w:color="auto"/>
              <w:bottom w:val="nil" w:sz="6" w:space="0" w:color="auto"/>
              <w:right w:val="nil" w:sz="6" w:space="0" w:color="auto"/>
            </w:tcBorders>
          </w:tcPr>
          <w:p>
            <w:pPr/>
          </w:p>
        </w:tc>
        <w:tc>
          <w:tcPr>
            <w:tcW w:w="1508"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left="5" w:right="0"/>
              <w:jc w:val="center"/>
              <w:rPr>
                <w:rFonts w:ascii="宋体" w:hAnsi="宋体" w:cs="宋体" w:eastAsia="宋体" w:hint="default"/>
                <w:sz w:val="16"/>
                <w:szCs w:val="16"/>
              </w:rPr>
            </w:pPr>
            <w:r>
              <w:rPr>
                <w:rFonts w:ascii="宋体" w:hAnsi="宋体" w:cs="宋体" w:eastAsia="宋体" w:hint="default"/>
                <w:spacing w:val="15"/>
                <w:w w:val="105"/>
                <w:sz w:val="16"/>
                <w:szCs w:val="16"/>
              </w:rPr>
              <w:t>2009年5月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26日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091"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right="46"/>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left="13"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left="23"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right="5"/>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right="9"/>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left="25" w:right="0"/>
              <w:jc w:val="center"/>
              <w:rPr>
                <w:rFonts w:ascii="宋体" w:hAnsi="宋体" w:cs="宋体" w:eastAsia="宋体" w:hint="default"/>
                <w:sz w:val="16"/>
                <w:szCs w:val="16"/>
              </w:rPr>
            </w:pPr>
            <w:r>
              <w:rPr>
                <w:rFonts w:ascii="宋体" w:hAnsi="宋体" w:cs="宋体" w:eastAsia="宋体" w:hint="default"/>
                <w:sz w:val="16"/>
                <w:szCs w:val="16"/>
              </w:rPr>
              <w:t>见下注</w:t>
            </w:r>
          </w:p>
        </w:tc>
        <w:tc>
          <w:tcPr>
            <w:tcW w:w="646" w:type="dxa"/>
            <w:tcBorders>
              <w:top w:val="single" w:sz="16" w:space="0" w:color="9C8758"/>
              <w:left w:val="nil" w:sz="6" w:space="0" w:color="auto"/>
              <w:bottom w:val="nil" w:sz="6" w:space="0" w:color="auto"/>
              <w:right w:val="nil" w:sz="6" w:space="0" w:color="auto"/>
            </w:tcBorders>
          </w:tcPr>
          <w:p>
            <w:pPr>
              <w:pStyle w:val="TableParagraph"/>
              <w:spacing w:line="240" w:lineRule="auto" w:before="83"/>
              <w:ind w:left="10"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148"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142" w:lineRule="exact"/>
              <w:ind w:left="81" w:right="0"/>
              <w:jc w:val="center"/>
              <w:rPr>
                <w:rFonts w:ascii="宋体" w:hAnsi="宋体" w:cs="宋体" w:eastAsia="宋体" w:hint="default"/>
                <w:sz w:val="16"/>
                <w:szCs w:val="16"/>
              </w:rPr>
            </w:pPr>
            <w:r>
              <w:rPr>
                <w:rFonts w:ascii="宋体" w:hAnsi="宋体" w:cs="宋体" w:eastAsia="宋体" w:hint="default"/>
                <w:sz w:val="16"/>
                <w:szCs w:val="16"/>
              </w:rPr>
              <w:t>陆益民</w:t>
            </w:r>
          </w:p>
        </w:tc>
        <w:tc>
          <w:tcPr>
            <w:tcW w:w="1223" w:type="dxa"/>
            <w:tcBorders>
              <w:top w:val="nil" w:sz="6" w:space="0" w:color="auto"/>
              <w:left w:val="nil" w:sz="6" w:space="0" w:color="auto"/>
              <w:bottom w:val="nil" w:sz="6" w:space="0" w:color="auto"/>
              <w:right w:val="nil" w:sz="6" w:space="0" w:color="auto"/>
            </w:tcBorders>
          </w:tcPr>
          <w:p>
            <w:pPr/>
          </w:p>
        </w:tc>
        <w:tc>
          <w:tcPr>
            <w:tcW w:w="372" w:type="dxa"/>
            <w:tcBorders>
              <w:top w:val="nil" w:sz="6" w:space="0" w:color="auto"/>
              <w:left w:val="nil" w:sz="6" w:space="0" w:color="auto"/>
              <w:bottom w:val="nil" w:sz="6" w:space="0" w:color="auto"/>
              <w:right w:val="nil" w:sz="6" w:space="0" w:color="auto"/>
            </w:tcBorders>
          </w:tcPr>
          <w:p>
            <w:pPr>
              <w:pStyle w:val="TableParagraph"/>
              <w:spacing w:line="142" w:lineRule="exact"/>
              <w:ind w:right="112"/>
              <w:jc w:val="right"/>
              <w:rPr>
                <w:rFonts w:ascii="宋体" w:hAnsi="宋体" w:cs="宋体" w:eastAsia="宋体" w:hint="default"/>
                <w:sz w:val="16"/>
                <w:szCs w:val="16"/>
              </w:rPr>
            </w:pPr>
            <w:r>
              <w:rPr>
                <w:rFonts w:ascii="宋体" w:hAnsi="宋体" w:cs="宋体" w:eastAsia="宋体" w:hint="default"/>
                <w:sz w:val="16"/>
                <w:szCs w:val="16"/>
              </w:rPr>
              <w:t>男</w:t>
            </w:r>
          </w:p>
        </w:tc>
        <w:tc>
          <w:tcPr>
            <w:tcW w:w="378" w:type="dxa"/>
            <w:tcBorders>
              <w:top w:val="nil" w:sz="6" w:space="0" w:color="auto"/>
              <w:left w:val="nil" w:sz="6" w:space="0" w:color="auto"/>
              <w:bottom w:val="nil" w:sz="6" w:space="0" w:color="auto"/>
              <w:right w:val="nil" w:sz="6" w:space="0" w:color="auto"/>
            </w:tcBorders>
          </w:tcPr>
          <w:p>
            <w:pPr>
              <w:pStyle w:val="TableParagraph"/>
              <w:spacing w:line="142" w:lineRule="exact"/>
              <w:ind w:right="85"/>
              <w:jc w:val="right"/>
              <w:rPr>
                <w:rFonts w:ascii="宋体" w:hAnsi="宋体" w:cs="宋体" w:eastAsia="宋体" w:hint="default"/>
                <w:sz w:val="16"/>
                <w:szCs w:val="16"/>
              </w:rPr>
            </w:pPr>
            <w:r>
              <w:rPr>
                <w:rFonts w:ascii="宋体"/>
                <w:w w:val="110"/>
                <w:sz w:val="16"/>
              </w:rPr>
              <w:t>55</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
        </w:tc>
        <w:tc>
          <w:tcPr>
            <w:tcW w:w="1091" w:type="dxa"/>
            <w:tcBorders>
              <w:top w:val="nil" w:sz="6" w:space="0" w:color="auto"/>
              <w:left w:val="nil" w:sz="6" w:space="0" w:color="auto"/>
              <w:bottom w:val="nil" w:sz="6" w:space="0" w:color="auto"/>
              <w:right w:val="nil" w:sz="6" w:space="0" w:color="auto"/>
            </w:tcBorders>
          </w:tcPr>
          <w:p>
            <w:pPr/>
          </w:p>
        </w:tc>
        <w:tc>
          <w:tcPr>
            <w:tcW w:w="401" w:type="dxa"/>
            <w:tcBorders>
              <w:top w:val="nil" w:sz="6" w:space="0" w:color="auto"/>
              <w:left w:val="nil" w:sz="6" w:space="0" w:color="auto"/>
              <w:bottom w:val="nil" w:sz="6" w:space="0" w:color="auto"/>
              <w:right w:val="nil" w:sz="6" w:space="0" w:color="auto"/>
            </w:tcBorders>
          </w:tcPr>
          <w:p>
            <w:pPr/>
          </w:p>
        </w:tc>
        <w:tc>
          <w:tcPr>
            <w:tcW w:w="692" w:type="dxa"/>
            <w:tcBorders>
              <w:top w:val="nil" w:sz="6" w:space="0" w:color="auto"/>
              <w:left w:val="nil" w:sz="6" w:space="0" w:color="auto"/>
              <w:bottom w:val="nil" w:sz="6" w:space="0" w:color="auto"/>
              <w:right w:val="nil" w:sz="6" w:space="0" w:color="auto"/>
            </w:tcBorders>
          </w:tcPr>
          <w:p>
            <w:pPr/>
          </w:p>
        </w:tc>
        <w:tc>
          <w:tcPr>
            <w:tcW w:w="674" w:type="dxa"/>
            <w:tcBorders>
              <w:top w:val="nil" w:sz="6" w:space="0" w:color="auto"/>
              <w:left w:val="nil" w:sz="6" w:space="0" w:color="auto"/>
              <w:bottom w:val="nil" w:sz="6" w:space="0" w:color="auto"/>
              <w:right w:val="nil" w:sz="6" w:space="0" w:color="auto"/>
            </w:tcBorders>
          </w:tcPr>
          <w:p>
            <w:pPr/>
          </w:p>
        </w:tc>
        <w:tc>
          <w:tcPr>
            <w:tcW w:w="682" w:type="dxa"/>
            <w:tcBorders>
              <w:top w:val="nil" w:sz="6" w:space="0" w:color="auto"/>
              <w:left w:val="nil" w:sz="6" w:space="0" w:color="auto"/>
              <w:bottom w:val="nil" w:sz="6" w:space="0" w:color="auto"/>
              <w:right w:val="nil" w:sz="6" w:space="0" w:color="auto"/>
            </w:tcBorders>
          </w:tcPr>
          <w:p>
            <w:pPr/>
          </w:p>
        </w:tc>
        <w:tc>
          <w:tcPr>
            <w:tcW w:w="1147" w:type="dxa"/>
            <w:tcBorders>
              <w:top w:val="nil" w:sz="6" w:space="0" w:color="auto"/>
              <w:left w:val="nil" w:sz="6" w:space="0" w:color="auto"/>
              <w:bottom w:val="nil" w:sz="6" w:space="0" w:color="auto"/>
              <w:right w:val="nil" w:sz="6" w:space="0" w:color="auto"/>
            </w:tcBorders>
          </w:tcPr>
          <w:p>
            <w:pPr/>
          </w:p>
        </w:tc>
        <w:tc>
          <w:tcPr>
            <w:tcW w:w="646" w:type="dxa"/>
            <w:tcBorders>
              <w:top w:val="nil" w:sz="6" w:space="0" w:color="auto"/>
              <w:left w:val="nil" w:sz="6" w:space="0" w:color="auto"/>
              <w:bottom w:val="nil" w:sz="6" w:space="0" w:color="auto"/>
              <w:right w:val="nil" w:sz="6" w:space="0" w:color="auto"/>
            </w:tcBorders>
          </w:tcPr>
          <w:p>
            <w:pPr/>
          </w:p>
        </w:tc>
      </w:tr>
      <w:tr>
        <w:trPr>
          <w:trHeight w:val="222" w:hRule="exact"/>
        </w:trPr>
        <w:tc>
          <w:tcPr>
            <w:tcW w:w="842" w:type="dxa"/>
            <w:tcBorders>
              <w:top w:val="nil" w:sz="6" w:space="0" w:color="auto"/>
              <w:left w:val="nil" w:sz="6" w:space="0" w:color="auto"/>
              <w:bottom w:val="nil" w:sz="6" w:space="0" w:color="auto"/>
              <w:right w:val="nil" w:sz="6" w:space="0" w:color="auto"/>
            </w:tcBorders>
          </w:tcPr>
          <w:p>
            <w:pPr/>
          </w:p>
        </w:tc>
        <w:tc>
          <w:tcPr>
            <w:tcW w:w="1223" w:type="dxa"/>
            <w:tcBorders>
              <w:top w:val="nil" w:sz="6" w:space="0" w:color="auto"/>
              <w:left w:val="nil" w:sz="6" w:space="0" w:color="auto"/>
              <w:bottom w:val="nil" w:sz="6" w:space="0" w:color="auto"/>
              <w:right w:val="nil" w:sz="6" w:space="0" w:color="auto"/>
            </w:tcBorders>
          </w:tcPr>
          <w:p>
            <w:pPr>
              <w:pStyle w:val="TableParagraph"/>
              <w:spacing w:line="142" w:lineRule="exact"/>
              <w:ind w:left="60" w:right="0"/>
              <w:jc w:val="center"/>
              <w:rPr>
                <w:rFonts w:ascii="宋体" w:hAnsi="宋体" w:cs="宋体" w:eastAsia="宋体" w:hint="default"/>
                <w:sz w:val="16"/>
                <w:szCs w:val="16"/>
              </w:rPr>
            </w:pPr>
            <w:r>
              <w:rPr>
                <w:rFonts w:ascii="宋体" w:hAnsi="宋体" w:cs="宋体" w:eastAsia="宋体" w:hint="default"/>
                <w:sz w:val="16"/>
                <w:szCs w:val="16"/>
              </w:rPr>
              <w:t>离任总裁</w:t>
            </w:r>
          </w:p>
        </w:tc>
        <w:tc>
          <w:tcPr>
            <w:tcW w:w="372" w:type="dxa"/>
            <w:tcBorders>
              <w:top w:val="nil" w:sz="6" w:space="0" w:color="auto"/>
              <w:left w:val="nil" w:sz="6" w:space="0" w:color="auto"/>
              <w:bottom w:val="nil" w:sz="6" w:space="0" w:color="auto"/>
              <w:right w:val="nil" w:sz="6" w:space="0" w:color="auto"/>
            </w:tcBorders>
          </w:tcPr>
          <w:p>
            <w:pPr/>
          </w:p>
        </w:tc>
        <w:tc>
          <w:tcPr>
            <w:tcW w:w="378"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Style w:val="TableParagraph"/>
              <w:spacing w:line="142" w:lineRule="exact"/>
              <w:ind w:left="5" w:right="0"/>
              <w:jc w:val="center"/>
              <w:rPr>
                <w:rFonts w:ascii="宋体" w:hAnsi="宋体" w:cs="宋体" w:eastAsia="宋体" w:hint="default"/>
                <w:sz w:val="16"/>
                <w:szCs w:val="16"/>
              </w:rPr>
            </w:pPr>
            <w:r>
              <w:rPr>
                <w:rFonts w:ascii="宋体" w:hAnsi="宋体" w:cs="宋体" w:eastAsia="宋体" w:hint="default"/>
                <w:spacing w:val="15"/>
                <w:w w:val="105"/>
                <w:sz w:val="16"/>
                <w:szCs w:val="16"/>
              </w:rPr>
              <w:t>2009年3月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tcPr>
          <w:p>
            <w:pPr>
              <w:pStyle w:val="TableParagraph"/>
              <w:spacing w:line="142" w:lineRule="exact"/>
              <w:ind w:right="46"/>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142" w:lineRule="exact"/>
              <w:ind w:left="13"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142" w:lineRule="exact"/>
              <w:ind w:left="23"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nil" w:sz="6" w:space="0" w:color="auto"/>
              <w:left w:val="nil" w:sz="6" w:space="0" w:color="auto"/>
              <w:bottom w:val="nil" w:sz="6" w:space="0" w:color="auto"/>
              <w:right w:val="nil" w:sz="6" w:space="0" w:color="auto"/>
            </w:tcBorders>
          </w:tcPr>
          <w:p>
            <w:pPr>
              <w:pStyle w:val="TableParagraph"/>
              <w:spacing w:line="142" w:lineRule="exact"/>
              <w:ind w:right="5"/>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142" w:lineRule="exact"/>
              <w:ind w:right="9"/>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nil" w:sz="6" w:space="0" w:color="auto"/>
              <w:left w:val="nil" w:sz="6" w:space="0" w:color="auto"/>
              <w:bottom w:val="nil" w:sz="6" w:space="0" w:color="auto"/>
              <w:right w:val="nil" w:sz="6" w:space="0" w:color="auto"/>
            </w:tcBorders>
          </w:tcPr>
          <w:p>
            <w:pPr>
              <w:pStyle w:val="TableParagraph"/>
              <w:spacing w:line="142" w:lineRule="exact"/>
              <w:ind w:left="25" w:right="0"/>
              <w:jc w:val="center"/>
              <w:rPr>
                <w:rFonts w:ascii="宋体" w:hAnsi="宋体" w:cs="宋体" w:eastAsia="宋体" w:hint="default"/>
                <w:sz w:val="16"/>
                <w:szCs w:val="16"/>
              </w:rPr>
            </w:pPr>
            <w:r>
              <w:rPr>
                <w:rFonts w:ascii="宋体" w:hAnsi="宋体" w:cs="宋体" w:eastAsia="宋体" w:hint="default"/>
                <w:sz w:val="16"/>
                <w:szCs w:val="16"/>
              </w:rPr>
              <w:t>见下注</w:t>
            </w:r>
          </w:p>
        </w:tc>
        <w:tc>
          <w:tcPr>
            <w:tcW w:w="646" w:type="dxa"/>
            <w:tcBorders>
              <w:top w:val="nil" w:sz="6" w:space="0" w:color="auto"/>
              <w:left w:val="nil" w:sz="6" w:space="0" w:color="auto"/>
              <w:bottom w:val="nil" w:sz="6" w:space="0" w:color="auto"/>
              <w:right w:val="nil" w:sz="6" w:space="0" w:color="auto"/>
            </w:tcBorders>
          </w:tcPr>
          <w:p>
            <w:pPr>
              <w:pStyle w:val="TableParagraph"/>
              <w:spacing w:line="142" w:lineRule="exact"/>
              <w:ind w:left="10"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296"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1" w:right="0"/>
              <w:jc w:val="center"/>
              <w:rPr>
                <w:rFonts w:ascii="宋体" w:hAnsi="宋体" w:cs="宋体" w:eastAsia="宋体" w:hint="default"/>
                <w:sz w:val="16"/>
                <w:szCs w:val="16"/>
              </w:rPr>
            </w:pPr>
            <w:r>
              <w:rPr>
                <w:rFonts w:ascii="宋体" w:hAnsi="宋体" w:cs="宋体" w:eastAsia="宋体" w:hint="default"/>
                <w:sz w:val="16"/>
                <w:szCs w:val="16"/>
              </w:rPr>
              <w:t>李彦宏</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41" w:right="0"/>
              <w:jc w:val="center"/>
              <w:rPr>
                <w:rFonts w:ascii="宋体" w:hAnsi="宋体" w:cs="宋体" w:eastAsia="宋体" w:hint="default"/>
                <w:sz w:val="16"/>
                <w:szCs w:val="16"/>
              </w:rPr>
            </w:pPr>
            <w:r>
              <w:rPr>
                <w:rFonts w:ascii="宋体" w:hAnsi="宋体" w:cs="宋体" w:eastAsia="宋体" w:hint="default"/>
                <w:spacing w:val="-20"/>
                <w:sz w:val="16"/>
                <w:szCs w:val="16"/>
              </w:rPr>
              <w:t>离任董事</w:t>
            </w:r>
            <w:r>
              <w:rPr>
                <w:rFonts w:ascii="宋体" w:hAnsi="宋体" w:cs="宋体" w:eastAsia="宋体" w:hint="default"/>
                <w:sz w:val="16"/>
                <w:szCs w:val="16"/>
              </w:rPr>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2"/>
              <w:jc w:val="right"/>
              <w:rPr>
                <w:rFonts w:ascii="宋体" w:hAnsi="宋体" w:cs="宋体" w:eastAsia="宋体" w:hint="default"/>
                <w:sz w:val="16"/>
                <w:szCs w:val="16"/>
              </w:rPr>
            </w:pPr>
            <w:r>
              <w:rPr>
                <w:rFonts w:ascii="宋体" w:hAnsi="宋体" w:cs="宋体" w:eastAsia="宋体" w:hint="default"/>
                <w:sz w:val="16"/>
                <w:szCs w:val="16"/>
              </w:rPr>
              <w:t>男</w:t>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right"/>
              <w:rPr>
                <w:rFonts w:ascii="宋体" w:hAnsi="宋体" w:cs="宋体" w:eastAsia="宋体" w:hint="default"/>
                <w:sz w:val="16"/>
                <w:szCs w:val="16"/>
              </w:rPr>
            </w:pPr>
            <w:r>
              <w:rPr>
                <w:rFonts w:ascii="宋体"/>
                <w:w w:val="110"/>
                <w:sz w:val="16"/>
              </w:rPr>
              <w:t>50</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left="5" w:right="0"/>
              <w:jc w:val="center"/>
              <w:rPr>
                <w:rFonts w:ascii="宋体" w:hAnsi="宋体" w:cs="宋体" w:eastAsia="宋体" w:hint="default"/>
                <w:sz w:val="16"/>
                <w:szCs w:val="16"/>
              </w:rPr>
            </w:pPr>
            <w:r>
              <w:rPr>
                <w:rFonts w:ascii="宋体" w:hAnsi="宋体" w:cs="宋体" w:eastAsia="宋体" w:hint="default"/>
                <w:spacing w:val="20"/>
                <w:w w:val="105"/>
                <w:sz w:val="16"/>
                <w:szCs w:val="16"/>
              </w:rPr>
              <w:t>2018年2月8日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6</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3"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5" w:right="0"/>
              <w:jc w:val="center"/>
              <w:rPr>
                <w:rFonts w:ascii="宋体" w:hAnsi="宋体" w:cs="宋体" w:eastAsia="宋体" w:hint="default"/>
                <w:sz w:val="16"/>
                <w:szCs w:val="16"/>
              </w:rPr>
            </w:pPr>
            <w:r>
              <w:rPr>
                <w:rFonts w:ascii="宋体"/>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0"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296"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1" w:right="0"/>
              <w:jc w:val="center"/>
              <w:rPr>
                <w:rFonts w:ascii="宋体" w:hAnsi="宋体" w:cs="宋体" w:eastAsia="宋体" w:hint="default"/>
                <w:sz w:val="16"/>
                <w:szCs w:val="16"/>
              </w:rPr>
            </w:pPr>
            <w:r>
              <w:rPr>
                <w:rFonts w:ascii="宋体" w:hAnsi="宋体" w:cs="宋体" w:eastAsia="宋体" w:hint="default"/>
                <w:sz w:val="16"/>
                <w:szCs w:val="16"/>
              </w:rPr>
              <w:t>陈永宏</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60" w:right="0"/>
              <w:jc w:val="center"/>
              <w:rPr>
                <w:rFonts w:ascii="宋体" w:hAnsi="宋体" w:cs="宋体" w:eastAsia="宋体" w:hint="default"/>
                <w:sz w:val="16"/>
                <w:szCs w:val="16"/>
              </w:rPr>
            </w:pPr>
            <w:r>
              <w:rPr>
                <w:rFonts w:ascii="宋体" w:hAnsi="宋体" w:cs="宋体" w:eastAsia="宋体" w:hint="default"/>
                <w:sz w:val="16"/>
                <w:szCs w:val="16"/>
              </w:rPr>
              <w:t>离任独立董事</w:t>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2"/>
              <w:jc w:val="right"/>
              <w:rPr>
                <w:rFonts w:ascii="宋体" w:hAnsi="宋体" w:cs="宋体" w:eastAsia="宋体" w:hint="default"/>
                <w:sz w:val="16"/>
                <w:szCs w:val="16"/>
              </w:rPr>
            </w:pPr>
            <w:r>
              <w:rPr>
                <w:rFonts w:ascii="宋体" w:hAnsi="宋体" w:cs="宋体" w:eastAsia="宋体" w:hint="default"/>
                <w:sz w:val="16"/>
                <w:szCs w:val="16"/>
              </w:rPr>
              <w:t>男</w:t>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right"/>
              <w:rPr>
                <w:rFonts w:ascii="宋体" w:hAnsi="宋体" w:cs="宋体" w:eastAsia="宋体" w:hint="default"/>
                <w:sz w:val="16"/>
                <w:szCs w:val="16"/>
              </w:rPr>
            </w:pPr>
            <w:r>
              <w:rPr>
                <w:rFonts w:ascii="宋体"/>
                <w:w w:val="110"/>
                <w:sz w:val="16"/>
              </w:rPr>
              <w:t>56</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宋体" w:hAnsi="宋体" w:cs="宋体" w:eastAsia="宋体" w:hint="default"/>
                <w:sz w:val="16"/>
                <w:szCs w:val="16"/>
              </w:rPr>
            </w:pPr>
            <w:r>
              <w:rPr>
                <w:rFonts w:ascii="宋体" w:hAnsi="宋体" w:cs="宋体" w:eastAsia="宋体" w:hint="default"/>
                <w:spacing w:val="8"/>
                <w:w w:val="105"/>
                <w:sz w:val="16"/>
                <w:szCs w:val="16"/>
              </w:rPr>
              <w:t>2016年5月</w:t>
            </w:r>
            <w:r>
              <w:rPr>
                <w:rFonts w:ascii="宋体" w:hAnsi="宋体" w:cs="宋体" w:eastAsia="宋体" w:hint="default"/>
                <w:spacing w:val="-39"/>
                <w:w w:val="105"/>
                <w:sz w:val="16"/>
                <w:szCs w:val="16"/>
              </w:rPr>
              <w:t> </w:t>
            </w:r>
            <w:r>
              <w:rPr>
                <w:rFonts w:ascii="宋体" w:hAnsi="宋体" w:cs="宋体" w:eastAsia="宋体" w:hint="default"/>
                <w:spacing w:val="6"/>
                <w:w w:val="105"/>
                <w:sz w:val="16"/>
                <w:szCs w:val="16"/>
              </w:rPr>
              <w:t>11日</w:t>
            </w:r>
            <w:r>
              <w:rPr>
                <w:rFonts w:ascii="宋体" w:hAnsi="宋体" w:cs="宋体" w:eastAsia="宋体" w:hint="default"/>
                <w:spacing w:val="-5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6"/>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3"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6" w:right="0"/>
              <w:jc w:val="center"/>
              <w:rPr>
                <w:rFonts w:ascii="宋体" w:hAnsi="宋体" w:cs="宋体" w:eastAsia="宋体" w:hint="default"/>
                <w:sz w:val="16"/>
                <w:szCs w:val="16"/>
              </w:rPr>
            </w:pPr>
            <w:r>
              <w:rPr>
                <w:rFonts w:ascii="宋体"/>
                <w:sz w:val="16"/>
              </w:rPr>
              <w:t>1.53</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296"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2" w:right="0"/>
              <w:jc w:val="center"/>
              <w:rPr>
                <w:rFonts w:ascii="宋体" w:hAnsi="宋体" w:cs="宋体" w:eastAsia="宋体" w:hint="default"/>
                <w:sz w:val="16"/>
                <w:szCs w:val="16"/>
              </w:rPr>
            </w:pPr>
            <w:r>
              <w:rPr>
                <w:rFonts w:ascii="宋体" w:hAnsi="宋体" w:cs="宋体" w:eastAsia="宋体" w:hint="default"/>
                <w:sz w:val="16"/>
                <w:szCs w:val="16"/>
              </w:rPr>
              <w:t>李红滨</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60" w:right="0"/>
              <w:jc w:val="center"/>
              <w:rPr>
                <w:rFonts w:ascii="宋体" w:hAnsi="宋体" w:cs="宋体" w:eastAsia="宋体" w:hint="default"/>
                <w:sz w:val="16"/>
                <w:szCs w:val="16"/>
              </w:rPr>
            </w:pPr>
            <w:r>
              <w:rPr>
                <w:rFonts w:ascii="宋体" w:hAnsi="宋体" w:cs="宋体" w:eastAsia="宋体" w:hint="default"/>
                <w:sz w:val="16"/>
                <w:szCs w:val="16"/>
              </w:rPr>
              <w:t>离任独立董事</w:t>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2"/>
              <w:jc w:val="right"/>
              <w:rPr>
                <w:rFonts w:ascii="宋体" w:hAnsi="宋体" w:cs="宋体" w:eastAsia="宋体" w:hint="default"/>
                <w:sz w:val="16"/>
                <w:szCs w:val="16"/>
              </w:rPr>
            </w:pPr>
            <w:r>
              <w:rPr>
                <w:rFonts w:ascii="宋体" w:hAnsi="宋体" w:cs="宋体" w:eastAsia="宋体" w:hint="default"/>
                <w:sz w:val="16"/>
                <w:szCs w:val="16"/>
              </w:rPr>
              <w:t>男</w:t>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right"/>
              <w:rPr>
                <w:rFonts w:ascii="宋体" w:hAnsi="宋体" w:cs="宋体" w:eastAsia="宋体" w:hint="default"/>
                <w:sz w:val="16"/>
                <w:szCs w:val="16"/>
              </w:rPr>
            </w:pPr>
            <w:r>
              <w:rPr>
                <w:rFonts w:ascii="宋体"/>
                <w:w w:val="110"/>
                <w:sz w:val="16"/>
              </w:rPr>
              <w:t>53</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
              <w:jc w:val="center"/>
              <w:rPr>
                <w:rFonts w:ascii="宋体" w:hAnsi="宋体" w:cs="宋体" w:eastAsia="宋体" w:hint="default"/>
                <w:sz w:val="16"/>
                <w:szCs w:val="16"/>
              </w:rPr>
            </w:pPr>
            <w:r>
              <w:rPr>
                <w:rFonts w:ascii="宋体" w:hAnsi="宋体" w:cs="宋体" w:eastAsia="宋体" w:hint="default"/>
                <w:spacing w:val="8"/>
                <w:w w:val="105"/>
                <w:sz w:val="16"/>
                <w:szCs w:val="16"/>
              </w:rPr>
              <w:t>2016年5月</w:t>
            </w:r>
            <w:r>
              <w:rPr>
                <w:rFonts w:ascii="宋体" w:hAnsi="宋体" w:cs="宋体" w:eastAsia="宋体" w:hint="default"/>
                <w:spacing w:val="-39"/>
                <w:w w:val="105"/>
                <w:sz w:val="16"/>
                <w:szCs w:val="16"/>
              </w:rPr>
              <w:t> </w:t>
            </w:r>
            <w:r>
              <w:rPr>
                <w:rFonts w:ascii="宋体" w:hAnsi="宋体" w:cs="宋体" w:eastAsia="宋体" w:hint="default"/>
                <w:spacing w:val="6"/>
                <w:w w:val="105"/>
                <w:sz w:val="16"/>
                <w:szCs w:val="16"/>
              </w:rPr>
              <w:t>11日</w:t>
            </w:r>
            <w:r>
              <w:rPr>
                <w:rFonts w:ascii="宋体" w:hAnsi="宋体" w:cs="宋体" w:eastAsia="宋体" w:hint="default"/>
                <w:spacing w:val="-5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5"/>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3"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3" w:right="0"/>
              <w:jc w:val="center"/>
              <w:rPr>
                <w:rFonts w:ascii="宋体" w:hAnsi="宋体" w:cs="宋体" w:eastAsia="宋体" w:hint="default"/>
                <w:sz w:val="16"/>
                <w:szCs w:val="16"/>
              </w:rPr>
            </w:pPr>
            <w:r>
              <w:rPr>
                <w:rFonts w:ascii="宋体"/>
                <w:sz w:val="16"/>
              </w:rPr>
              <w:t>28,000</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
              <w:jc w:val="center"/>
              <w:rPr>
                <w:rFonts w:ascii="宋体" w:hAnsi="宋体" w:cs="宋体" w:eastAsia="宋体" w:hint="default"/>
                <w:sz w:val="16"/>
                <w:szCs w:val="16"/>
              </w:rPr>
            </w:pPr>
            <w:r>
              <w:rPr>
                <w:rFonts w:ascii="宋体"/>
                <w:sz w:val="16"/>
              </w:rPr>
              <w:t>28,000</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宋体" w:hAnsi="宋体" w:cs="宋体" w:eastAsia="宋体" w:hint="default"/>
                <w:sz w:val="16"/>
                <w:szCs w:val="16"/>
              </w:rPr>
            </w:pPr>
            <w:r>
              <w:rPr>
                <w:rFonts w:ascii="宋体" w:hAnsi="宋体" w:cs="宋体" w:eastAsia="宋体" w:hint="default"/>
                <w:sz w:val="16"/>
                <w:szCs w:val="16"/>
              </w:rPr>
              <w:t>见下注</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6" w:right="0"/>
              <w:jc w:val="center"/>
              <w:rPr>
                <w:rFonts w:ascii="宋体" w:hAnsi="宋体" w:cs="宋体" w:eastAsia="宋体" w:hint="default"/>
                <w:sz w:val="16"/>
                <w:szCs w:val="16"/>
              </w:rPr>
            </w:pPr>
            <w:r>
              <w:rPr>
                <w:rFonts w:ascii="宋体"/>
                <w:sz w:val="16"/>
              </w:rPr>
              <w:t>1.53</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296"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2" w:right="0"/>
              <w:jc w:val="center"/>
              <w:rPr>
                <w:rFonts w:ascii="宋体" w:hAnsi="宋体" w:cs="宋体" w:eastAsia="宋体" w:hint="default"/>
                <w:sz w:val="16"/>
                <w:szCs w:val="16"/>
              </w:rPr>
            </w:pPr>
            <w:r>
              <w:rPr>
                <w:rFonts w:ascii="宋体" w:hAnsi="宋体" w:cs="宋体" w:eastAsia="宋体" w:hint="default"/>
                <w:sz w:val="16"/>
                <w:szCs w:val="16"/>
              </w:rPr>
              <w:t>姜正新</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42" w:right="0"/>
              <w:jc w:val="center"/>
              <w:rPr>
                <w:rFonts w:ascii="宋体" w:hAnsi="宋体" w:cs="宋体" w:eastAsia="宋体" w:hint="default"/>
                <w:sz w:val="16"/>
                <w:szCs w:val="16"/>
              </w:rPr>
            </w:pPr>
            <w:r>
              <w:rPr>
                <w:rFonts w:ascii="宋体" w:hAnsi="宋体" w:cs="宋体" w:eastAsia="宋体" w:hint="default"/>
                <w:spacing w:val="-20"/>
                <w:sz w:val="16"/>
                <w:szCs w:val="16"/>
              </w:rPr>
              <w:t>离任监事会主席</w:t>
            </w:r>
            <w:r>
              <w:rPr>
                <w:rFonts w:ascii="宋体" w:hAnsi="宋体" w:cs="宋体" w:eastAsia="宋体" w:hint="default"/>
                <w:sz w:val="16"/>
                <w:szCs w:val="16"/>
              </w:rPr>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2"/>
              <w:jc w:val="right"/>
              <w:rPr>
                <w:rFonts w:ascii="宋体" w:hAnsi="宋体" w:cs="宋体" w:eastAsia="宋体" w:hint="default"/>
                <w:sz w:val="16"/>
                <w:szCs w:val="16"/>
              </w:rPr>
            </w:pPr>
            <w:r>
              <w:rPr>
                <w:rFonts w:ascii="宋体" w:hAnsi="宋体" w:cs="宋体" w:eastAsia="宋体" w:hint="default"/>
                <w:sz w:val="16"/>
                <w:szCs w:val="16"/>
              </w:rPr>
              <w:t>男</w:t>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right"/>
              <w:rPr>
                <w:rFonts w:ascii="宋体" w:hAnsi="宋体" w:cs="宋体" w:eastAsia="宋体" w:hint="default"/>
                <w:sz w:val="16"/>
                <w:szCs w:val="16"/>
              </w:rPr>
            </w:pPr>
            <w:r>
              <w:rPr>
                <w:rFonts w:ascii="宋体"/>
                <w:w w:val="110"/>
                <w:sz w:val="16"/>
              </w:rPr>
              <w:t>61</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left="6" w:right="0"/>
              <w:jc w:val="center"/>
              <w:rPr>
                <w:rFonts w:ascii="宋体" w:hAnsi="宋体" w:cs="宋体" w:eastAsia="宋体" w:hint="default"/>
                <w:sz w:val="16"/>
                <w:szCs w:val="16"/>
              </w:rPr>
            </w:pPr>
            <w:r>
              <w:rPr>
                <w:rFonts w:ascii="宋体" w:hAnsi="宋体" w:cs="宋体" w:eastAsia="宋体" w:hint="default"/>
                <w:spacing w:val="15"/>
                <w:w w:val="105"/>
                <w:sz w:val="16"/>
                <w:szCs w:val="16"/>
              </w:rPr>
              <w:t>2015年6月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26日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5"/>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4"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3"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6" w:right="0"/>
              <w:jc w:val="center"/>
              <w:rPr>
                <w:rFonts w:ascii="宋体" w:hAnsi="宋体" w:cs="宋体" w:eastAsia="宋体" w:hint="default"/>
                <w:sz w:val="16"/>
                <w:szCs w:val="16"/>
              </w:rPr>
            </w:pPr>
            <w:r>
              <w:rPr>
                <w:rFonts w:ascii="宋体" w:hAnsi="宋体" w:cs="宋体" w:eastAsia="宋体" w:hint="default"/>
                <w:sz w:val="16"/>
                <w:szCs w:val="16"/>
              </w:rPr>
              <w:t>见下注</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1"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296"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2" w:right="0"/>
              <w:jc w:val="center"/>
              <w:rPr>
                <w:rFonts w:ascii="宋体" w:hAnsi="宋体" w:cs="宋体" w:eastAsia="宋体" w:hint="default"/>
                <w:sz w:val="16"/>
                <w:szCs w:val="16"/>
              </w:rPr>
            </w:pPr>
            <w:r>
              <w:rPr>
                <w:rFonts w:ascii="宋体" w:hAnsi="宋体" w:cs="宋体" w:eastAsia="宋体" w:hint="default"/>
                <w:sz w:val="16"/>
                <w:szCs w:val="16"/>
              </w:rPr>
              <w:t>汪世昌</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42" w:right="0"/>
              <w:jc w:val="center"/>
              <w:rPr>
                <w:rFonts w:ascii="宋体" w:hAnsi="宋体" w:cs="宋体" w:eastAsia="宋体" w:hint="default"/>
                <w:sz w:val="16"/>
                <w:szCs w:val="16"/>
              </w:rPr>
            </w:pPr>
            <w:r>
              <w:rPr>
                <w:rFonts w:ascii="宋体" w:hAnsi="宋体" w:cs="宋体" w:eastAsia="宋体" w:hint="default"/>
                <w:spacing w:val="-20"/>
                <w:sz w:val="16"/>
                <w:szCs w:val="16"/>
              </w:rPr>
              <w:t>离任职工监事</w:t>
            </w:r>
            <w:r>
              <w:rPr>
                <w:rFonts w:ascii="宋体" w:hAnsi="宋体" w:cs="宋体" w:eastAsia="宋体" w:hint="default"/>
                <w:sz w:val="16"/>
                <w:szCs w:val="16"/>
              </w:rPr>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1"/>
              <w:jc w:val="right"/>
              <w:rPr>
                <w:rFonts w:ascii="宋体" w:hAnsi="宋体" w:cs="宋体" w:eastAsia="宋体" w:hint="default"/>
                <w:sz w:val="16"/>
                <w:szCs w:val="16"/>
              </w:rPr>
            </w:pPr>
            <w:r>
              <w:rPr>
                <w:rFonts w:ascii="宋体" w:hAnsi="宋体" w:cs="宋体" w:eastAsia="宋体" w:hint="default"/>
                <w:sz w:val="16"/>
                <w:szCs w:val="16"/>
              </w:rPr>
              <w:t>男</w:t>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right"/>
              <w:rPr>
                <w:rFonts w:ascii="宋体" w:hAnsi="宋体" w:cs="宋体" w:eastAsia="宋体" w:hint="default"/>
                <w:sz w:val="16"/>
                <w:szCs w:val="16"/>
              </w:rPr>
            </w:pPr>
            <w:r>
              <w:rPr>
                <w:rFonts w:ascii="宋体"/>
                <w:w w:val="110"/>
                <w:sz w:val="16"/>
              </w:rPr>
              <w:t>61</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0"/>
              <w:jc w:val="center"/>
              <w:rPr>
                <w:rFonts w:ascii="宋体" w:hAnsi="宋体" w:cs="宋体" w:eastAsia="宋体" w:hint="default"/>
                <w:sz w:val="16"/>
                <w:szCs w:val="16"/>
              </w:rPr>
            </w:pPr>
            <w:r>
              <w:rPr>
                <w:rFonts w:ascii="宋体" w:hAnsi="宋体" w:cs="宋体" w:eastAsia="宋体" w:hint="default"/>
                <w:spacing w:val="-7"/>
                <w:w w:val="110"/>
                <w:sz w:val="16"/>
                <w:szCs w:val="16"/>
              </w:rPr>
              <w:t>2014</w:t>
            </w:r>
            <w:r>
              <w:rPr>
                <w:rFonts w:ascii="宋体" w:hAnsi="宋体" w:cs="宋体" w:eastAsia="宋体" w:hint="default"/>
                <w:spacing w:val="-67"/>
                <w:w w:val="110"/>
                <w:sz w:val="16"/>
                <w:szCs w:val="16"/>
              </w:rPr>
              <w:t> </w:t>
            </w:r>
            <w:r>
              <w:rPr>
                <w:rFonts w:ascii="宋体" w:hAnsi="宋体" w:cs="宋体" w:eastAsia="宋体" w:hint="default"/>
                <w:w w:val="110"/>
                <w:sz w:val="16"/>
                <w:szCs w:val="16"/>
              </w:rPr>
              <w:t>年</w:t>
            </w:r>
            <w:r>
              <w:rPr>
                <w:rFonts w:ascii="宋体" w:hAnsi="宋体" w:cs="宋体" w:eastAsia="宋体" w:hint="default"/>
                <w:spacing w:val="-67"/>
                <w:w w:val="110"/>
                <w:sz w:val="16"/>
                <w:szCs w:val="16"/>
              </w:rPr>
              <w:t> </w:t>
            </w:r>
            <w:r>
              <w:rPr>
                <w:rFonts w:ascii="宋体" w:hAnsi="宋体" w:cs="宋体" w:eastAsia="宋体" w:hint="default"/>
                <w:spacing w:val="-5"/>
                <w:w w:val="110"/>
                <w:sz w:val="16"/>
                <w:szCs w:val="16"/>
              </w:rPr>
              <w:t>11</w:t>
            </w:r>
            <w:r>
              <w:rPr>
                <w:rFonts w:ascii="宋体" w:hAnsi="宋体" w:cs="宋体" w:eastAsia="宋体" w:hint="default"/>
                <w:spacing w:val="-67"/>
                <w:w w:val="110"/>
                <w:sz w:val="16"/>
                <w:szCs w:val="16"/>
              </w:rPr>
              <w:t> </w:t>
            </w:r>
            <w:r>
              <w:rPr>
                <w:rFonts w:ascii="宋体" w:hAnsi="宋体" w:cs="宋体" w:eastAsia="宋体" w:hint="default"/>
                <w:w w:val="110"/>
                <w:sz w:val="16"/>
                <w:szCs w:val="16"/>
              </w:rPr>
              <w:t>月</w:t>
            </w:r>
            <w:r>
              <w:rPr>
                <w:rFonts w:ascii="宋体" w:hAnsi="宋体" w:cs="宋体" w:eastAsia="宋体" w:hint="default"/>
                <w:spacing w:val="-67"/>
                <w:w w:val="110"/>
                <w:sz w:val="16"/>
                <w:szCs w:val="16"/>
              </w:rPr>
              <w:t> </w:t>
            </w:r>
            <w:r>
              <w:rPr>
                <w:rFonts w:ascii="宋体" w:hAnsi="宋体" w:cs="宋体" w:eastAsia="宋体" w:hint="default"/>
                <w:spacing w:val="-5"/>
                <w:w w:val="110"/>
                <w:sz w:val="16"/>
                <w:szCs w:val="16"/>
              </w:rPr>
              <w:t>24</w:t>
            </w:r>
            <w:r>
              <w:rPr>
                <w:rFonts w:ascii="宋体" w:hAnsi="宋体" w:cs="宋体" w:eastAsia="宋体" w:hint="default"/>
                <w:spacing w:val="-67"/>
                <w:w w:val="110"/>
                <w:sz w:val="16"/>
                <w:szCs w:val="16"/>
              </w:rPr>
              <w:t> </w:t>
            </w:r>
            <w:r>
              <w:rPr>
                <w:rFonts w:ascii="宋体" w:hAnsi="宋体" w:cs="宋体" w:eastAsia="宋体" w:hint="default"/>
                <w:w w:val="110"/>
                <w:sz w:val="16"/>
                <w:szCs w:val="16"/>
              </w:rPr>
              <w:t>日</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4"/>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4"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4"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7" w:right="0"/>
              <w:jc w:val="center"/>
              <w:rPr>
                <w:rFonts w:ascii="宋体" w:hAnsi="宋体" w:cs="宋体" w:eastAsia="宋体" w:hint="default"/>
                <w:sz w:val="16"/>
                <w:szCs w:val="16"/>
              </w:rPr>
            </w:pPr>
            <w:r>
              <w:rPr>
                <w:rFonts w:ascii="宋体"/>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296"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3" w:right="0"/>
              <w:jc w:val="center"/>
              <w:rPr>
                <w:rFonts w:ascii="宋体" w:hAnsi="宋体" w:cs="宋体" w:eastAsia="宋体" w:hint="default"/>
                <w:sz w:val="16"/>
                <w:szCs w:val="16"/>
              </w:rPr>
            </w:pPr>
            <w:r>
              <w:rPr>
                <w:rFonts w:ascii="宋体" w:hAnsi="宋体" w:cs="宋体" w:eastAsia="宋体" w:hint="default"/>
                <w:sz w:val="16"/>
                <w:szCs w:val="16"/>
              </w:rPr>
              <w:t>蔡全根</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42" w:right="0"/>
              <w:jc w:val="center"/>
              <w:rPr>
                <w:rFonts w:ascii="宋体" w:hAnsi="宋体" w:cs="宋体" w:eastAsia="宋体" w:hint="default"/>
                <w:sz w:val="16"/>
                <w:szCs w:val="16"/>
              </w:rPr>
            </w:pPr>
            <w:r>
              <w:rPr>
                <w:rFonts w:ascii="宋体" w:hAnsi="宋体" w:cs="宋体" w:eastAsia="宋体" w:hint="default"/>
                <w:spacing w:val="-20"/>
                <w:sz w:val="16"/>
                <w:szCs w:val="16"/>
              </w:rPr>
              <w:t>离任监事</w:t>
            </w:r>
            <w:r>
              <w:rPr>
                <w:rFonts w:ascii="宋体" w:hAnsi="宋体" w:cs="宋体" w:eastAsia="宋体" w:hint="default"/>
                <w:sz w:val="16"/>
                <w:szCs w:val="16"/>
              </w:rPr>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1"/>
              <w:jc w:val="right"/>
              <w:rPr>
                <w:rFonts w:ascii="宋体" w:hAnsi="宋体" w:cs="宋体" w:eastAsia="宋体" w:hint="default"/>
                <w:sz w:val="16"/>
                <w:szCs w:val="16"/>
              </w:rPr>
            </w:pPr>
            <w:r>
              <w:rPr>
                <w:rFonts w:ascii="宋体" w:hAnsi="宋体" w:cs="宋体" w:eastAsia="宋体" w:hint="default"/>
                <w:sz w:val="16"/>
                <w:szCs w:val="16"/>
              </w:rPr>
              <w:t>男</w:t>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right"/>
              <w:rPr>
                <w:rFonts w:ascii="宋体" w:hAnsi="宋体" w:cs="宋体" w:eastAsia="宋体" w:hint="default"/>
                <w:sz w:val="16"/>
                <w:szCs w:val="16"/>
              </w:rPr>
            </w:pPr>
            <w:r>
              <w:rPr>
                <w:rFonts w:ascii="宋体"/>
                <w:w w:val="110"/>
                <w:sz w:val="16"/>
              </w:rPr>
              <w:t>61</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0"/>
              <w:jc w:val="center"/>
              <w:rPr>
                <w:rFonts w:ascii="宋体" w:hAnsi="宋体" w:cs="宋体" w:eastAsia="宋体" w:hint="default"/>
                <w:sz w:val="16"/>
                <w:szCs w:val="16"/>
              </w:rPr>
            </w:pPr>
            <w:r>
              <w:rPr>
                <w:rFonts w:ascii="宋体" w:hAnsi="宋体" w:cs="宋体" w:eastAsia="宋体" w:hint="default"/>
                <w:spacing w:val="-7"/>
                <w:w w:val="110"/>
                <w:sz w:val="16"/>
                <w:szCs w:val="16"/>
              </w:rPr>
              <w:t>2014</w:t>
            </w:r>
            <w:r>
              <w:rPr>
                <w:rFonts w:ascii="宋体" w:hAnsi="宋体" w:cs="宋体" w:eastAsia="宋体" w:hint="default"/>
                <w:spacing w:val="-67"/>
                <w:w w:val="110"/>
                <w:sz w:val="16"/>
                <w:szCs w:val="16"/>
              </w:rPr>
              <w:t> </w:t>
            </w:r>
            <w:r>
              <w:rPr>
                <w:rFonts w:ascii="宋体" w:hAnsi="宋体" w:cs="宋体" w:eastAsia="宋体" w:hint="default"/>
                <w:w w:val="110"/>
                <w:sz w:val="16"/>
                <w:szCs w:val="16"/>
              </w:rPr>
              <w:t>年</w:t>
            </w:r>
            <w:r>
              <w:rPr>
                <w:rFonts w:ascii="宋体" w:hAnsi="宋体" w:cs="宋体" w:eastAsia="宋体" w:hint="default"/>
                <w:spacing w:val="-67"/>
                <w:w w:val="110"/>
                <w:sz w:val="16"/>
                <w:szCs w:val="16"/>
              </w:rPr>
              <w:t> </w:t>
            </w:r>
            <w:r>
              <w:rPr>
                <w:rFonts w:ascii="宋体" w:hAnsi="宋体" w:cs="宋体" w:eastAsia="宋体" w:hint="default"/>
                <w:spacing w:val="-5"/>
                <w:w w:val="110"/>
                <w:sz w:val="16"/>
                <w:szCs w:val="16"/>
              </w:rPr>
              <w:t>11</w:t>
            </w:r>
            <w:r>
              <w:rPr>
                <w:rFonts w:ascii="宋体" w:hAnsi="宋体" w:cs="宋体" w:eastAsia="宋体" w:hint="default"/>
                <w:spacing w:val="-67"/>
                <w:w w:val="110"/>
                <w:sz w:val="16"/>
                <w:szCs w:val="16"/>
              </w:rPr>
              <w:t> </w:t>
            </w:r>
            <w:r>
              <w:rPr>
                <w:rFonts w:ascii="宋体" w:hAnsi="宋体" w:cs="宋体" w:eastAsia="宋体" w:hint="default"/>
                <w:w w:val="110"/>
                <w:sz w:val="16"/>
                <w:szCs w:val="16"/>
              </w:rPr>
              <w:t>月</w:t>
            </w:r>
            <w:r>
              <w:rPr>
                <w:rFonts w:ascii="宋体" w:hAnsi="宋体" w:cs="宋体" w:eastAsia="宋体" w:hint="default"/>
                <w:spacing w:val="-67"/>
                <w:w w:val="110"/>
                <w:sz w:val="16"/>
                <w:szCs w:val="16"/>
              </w:rPr>
              <w:t> </w:t>
            </w:r>
            <w:r>
              <w:rPr>
                <w:rFonts w:ascii="宋体" w:hAnsi="宋体" w:cs="宋体" w:eastAsia="宋体" w:hint="default"/>
                <w:spacing w:val="-5"/>
                <w:w w:val="110"/>
                <w:sz w:val="16"/>
                <w:szCs w:val="16"/>
              </w:rPr>
              <w:t>24</w:t>
            </w:r>
            <w:r>
              <w:rPr>
                <w:rFonts w:ascii="宋体" w:hAnsi="宋体" w:cs="宋体" w:eastAsia="宋体" w:hint="default"/>
                <w:spacing w:val="-67"/>
                <w:w w:val="110"/>
                <w:sz w:val="16"/>
                <w:szCs w:val="16"/>
              </w:rPr>
              <w:t> </w:t>
            </w:r>
            <w:r>
              <w:rPr>
                <w:rFonts w:ascii="宋体" w:hAnsi="宋体" w:cs="宋体" w:eastAsia="宋体" w:hint="default"/>
                <w:w w:val="110"/>
                <w:sz w:val="16"/>
                <w:szCs w:val="16"/>
              </w:rPr>
              <w:t>日</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4"/>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5"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4"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7" w:right="0"/>
              <w:jc w:val="center"/>
              <w:rPr>
                <w:rFonts w:ascii="宋体" w:hAnsi="宋体" w:cs="宋体" w:eastAsia="宋体" w:hint="default"/>
                <w:sz w:val="16"/>
                <w:szCs w:val="16"/>
              </w:rPr>
            </w:pPr>
            <w:r>
              <w:rPr>
                <w:rFonts w:ascii="宋体"/>
                <w:w w:val="111"/>
                <w:sz w:val="16"/>
              </w:rPr>
              <w:t>0</w:t>
            </w:r>
            <w:r>
              <w:rPr>
                <w:rFonts w:ascii="宋体"/>
                <w:sz w:val="16"/>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296"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3" w:right="0"/>
              <w:jc w:val="center"/>
              <w:rPr>
                <w:rFonts w:ascii="宋体" w:hAnsi="宋体" w:cs="宋体" w:eastAsia="宋体" w:hint="default"/>
                <w:sz w:val="16"/>
                <w:szCs w:val="16"/>
              </w:rPr>
            </w:pPr>
            <w:r>
              <w:rPr>
                <w:rFonts w:ascii="宋体" w:hAnsi="宋体" w:cs="宋体" w:eastAsia="宋体" w:hint="default"/>
                <w:sz w:val="16"/>
                <w:szCs w:val="16"/>
              </w:rPr>
              <w:t>王霞</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43" w:right="0"/>
              <w:jc w:val="center"/>
              <w:rPr>
                <w:rFonts w:ascii="宋体" w:hAnsi="宋体" w:cs="宋体" w:eastAsia="宋体" w:hint="default"/>
                <w:sz w:val="16"/>
                <w:szCs w:val="16"/>
              </w:rPr>
            </w:pPr>
            <w:r>
              <w:rPr>
                <w:rFonts w:ascii="宋体" w:hAnsi="宋体" w:cs="宋体" w:eastAsia="宋体" w:hint="default"/>
                <w:spacing w:val="-20"/>
                <w:sz w:val="16"/>
                <w:szCs w:val="16"/>
              </w:rPr>
              <w:t>离任董事会秘书</w:t>
            </w:r>
            <w:r>
              <w:rPr>
                <w:rFonts w:ascii="宋体" w:hAnsi="宋体" w:cs="宋体" w:eastAsia="宋体" w:hint="default"/>
                <w:sz w:val="16"/>
                <w:szCs w:val="16"/>
              </w:rPr>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11"/>
              <w:jc w:val="right"/>
              <w:rPr>
                <w:rFonts w:ascii="宋体" w:hAnsi="宋体" w:cs="宋体" w:eastAsia="宋体" w:hint="default"/>
                <w:sz w:val="16"/>
                <w:szCs w:val="16"/>
              </w:rPr>
            </w:pPr>
            <w:r>
              <w:rPr>
                <w:rFonts w:ascii="宋体" w:hAnsi="宋体" w:cs="宋体" w:eastAsia="宋体" w:hint="default"/>
                <w:sz w:val="16"/>
                <w:szCs w:val="16"/>
              </w:rPr>
              <w:t>女</w:t>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4"/>
              <w:jc w:val="right"/>
              <w:rPr>
                <w:rFonts w:ascii="宋体" w:hAnsi="宋体" w:cs="宋体" w:eastAsia="宋体" w:hint="default"/>
                <w:sz w:val="16"/>
                <w:szCs w:val="16"/>
              </w:rPr>
            </w:pPr>
            <w:r>
              <w:rPr>
                <w:rFonts w:ascii="宋体"/>
                <w:w w:val="110"/>
                <w:sz w:val="16"/>
              </w:rPr>
              <w:t>54</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left="7" w:right="0"/>
              <w:jc w:val="center"/>
              <w:rPr>
                <w:rFonts w:ascii="宋体" w:hAnsi="宋体" w:cs="宋体" w:eastAsia="宋体" w:hint="default"/>
                <w:sz w:val="16"/>
                <w:szCs w:val="16"/>
              </w:rPr>
            </w:pPr>
            <w:r>
              <w:rPr>
                <w:rFonts w:ascii="宋体" w:hAnsi="宋体" w:cs="宋体" w:eastAsia="宋体" w:hint="default"/>
                <w:spacing w:val="15"/>
                <w:w w:val="105"/>
                <w:sz w:val="16"/>
                <w:szCs w:val="16"/>
              </w:rPr>
              <w:t>2016年3月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15日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4"/>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5"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4" w:right="0"/>
              <w:jc w:val="center"/>
              <w:rPr>
                <w:rFonts w:ascii="宋体" w:hAnsi="宋体" w:cs="宋体" w:eastAsia="宋体" w:hint="default"/>
                <w:sz w:val="16"/>
                <w:szCs w:val="16"/>
              </w:rPr>
            </w:pPr>
            <w:r>
              <w:rPr>
                <w:rFonts w:ascii="宋体"/>
                <w:w w:val="111"/>
                <w:sz w:val="16"/>
              </w:rPr>
              <w:t>0</w:t>
            </w:r>
            <w:r>
              <w:rPr>
                <w:rFonts w:ascii="宋体"/>
                <w:sz w:val="16"/>
              </w:rPr>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
              <w:jc w:val="center"/>
              <w:rPr>
                <w:rFonts w:ascii="宋体" w:hAnsi="宋体" w:cs="宋体" w:eastAsia="宋体" w:hint="default"/>
                <w:sz w:val="16"/>
                <w:szCs w:val="16"/>
              </w:rPr>
            </w:pPr>
            <w:r>
              <w:rPr>
                <w:rFonts w:ascii="宋体"/>
                <w:w w:val="111"/>
                <w:sz w:val="16"/>
              </w:rPr>
              <w:t>0</w:t>
            </w:r>
            <w:r>
              <w:rPr>
                <w:rFonts w:ascii="宋体"/>
                <w:sz w:val="16"/>
              </w:rPr>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
              <w:jc w:val="center"/>
              <w:rPr>
                <w:rFonts w:ascii="宋体" w:hAnsi="宋体" w:cs="宋体" w:eastAsia="宋体" w:hint="default"/>
                <w:sz w:val="16"/>
                <w:szCs w:val="16"/>
              </w:rPr>
            </w:pPr>
            <w:r>
              <w:rPr>
                <w:rFonts w:ascii="宋体" w:hAnsi="宋体" w:cs="宋体" w:eastAsia="宋体" w:hint="default"/>
                <w:sz w:val="16"/>
                <w:szCs w:val="16"/>
              </w:rPr>
              <w:t>无</w:t>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7" w:right="0"/>
              <w:jc w:val="center"/>
              <w:rPr>
                <w:rFonts w:ascii="宋体" w:hAnsi="宋体" w:cs="宋体" w:eastAsia="宋体" w:hint="default"/>
                <w:sz w:val="16"/>
                <w:szCs w:val="16"/>
              </w:rPr>
            </w:pPr>
            <w:r>
              <w:rPr>
                <w:rFonts w:ascii="宋体" w:hAnsi="宋体" w:cs="宋体" w:eastAsia="宋体" w:hint="default"/>
                <w:sz w:val="16"/>
                <w:szCs w:val="16"/>
              </w:rPr>
              <w:t>见下注</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 w:right="0"/>
              <w:jc w:val="center"/>
              <w:rPr>
                <w:rFonts w:ascii="宋体" w:hAnsi="宋体" w:cs="宋体" w:eastAsia="宋体" w:hint="default"/>
                <w:sz w:val="16"/>
                <w:szCs w:val="16"/>
              </w:rPr>
            </w:pPr>
            <w:r>
              <w:rPr>
                <w:rFonts w:ascii="宋体" w:hAnsi="宋体" w:cs="宋体" w:eastAsia="宋体" w:hint="default"/>
                <w:sz w:val="16"/>
                <w:szCs w:val="16"/>
              </w:rPr>
              <w:t>否</w:t>
            </w:r>
          </w:p>
        </w:tc>
      </w:tr>
      <w:tr>
        <w:trPr>
          <w:trHeight w:val="328" w:hRule="exact"/>
        </w:trPr>
        <w:tc>
          <w:tcPr>
            <w:tcW w:w="842" w:type="dxa"/>
            <w:tcBorders>
              <w:top w:val="nil" w:sz="6" w:space="0" w:color="auto"/>
              <w:left w:val="nil" w:sz="6" w:space="0" w:color="auto"/>
              <w:bottom w:val="nil" w:sz="6" w:space="0" w:color="auto"/>
              <w:right w:val="nil" w:sz="6" w:space="0" w:color="auto"/>
            </w:tcBorders>
          </w:tcPr>
          <w:p>
            <w:pPr>
              <w:pStyle w:val="TableParagraph"/>
              <w:spacing w:line="240" w:lineRule="auto" w:before="6"/>
              <w:ind w:left="83" w:right="0"/>
              <w:jc w:val="center"/>
              <w:rPr>
                <w:rFonts w:ascii="宋体" w:hAnsi="宋体" w:cs="宋体" w:eastAsia="宋体" w:hint="default"/>
                <w:sz w:val="16"/>
                <w:szCs w:val="16"/>
              </w:rPr>
            </w:pPr>
            <w:r>
              <w:rPr>
                <w:rFonts w:ascii="宋体" w:hAnsi="宋体" w:cs="宋体" w:eastAsia="宋体" w:hint="default"/>
                <w:sz w:val="16"/>
                <w:szCs w:val="16"/>
              </w:rPr>
              <w:t>合计</w:t>
            </w:r>
          </w:p>
        </w:tc>
        <w:tc>
          <w:tcPr>
            <w:tcW w:w="1223" w:type="dxa"/>
            <w:tcBorders>
              <w:top w:val="nil" w:sz="6" w:space="0" w:color="auto"/>
              <w:left w:val="nil" w:sz="6" w:space="0" w:color="auto"/>
              <w:bottom w:val="nil" w:sz="6" w:space="0" w:color="auto"/>
              <w:right w:val="nil" w:sz="6" w:space="0" w:color="auto"/>
            </w:tcBorders>
          </w:tcPr>
          <w:p>
            <w:pPr>
              <w:pStyle w:val="TableParagraph"/>
              <w:spacing w:line="240" w:lineRule="auto" w:before="6"/>
              <w:ind w:left="62" w:right="0"/>
              <w:jc w:val="center"/>
              <w:rPr>
                <w:rFonts w:ascii="宋体" w:hAnsi="宋体" w:cs="宋体" w:eastAsia="宋体" w:hint="default"/>
                <w:sz w:val="16"/>
                <w:szCs w:val="16"/>
              </w:rPr>
            </w:pPr>
            <w:r>
              <w:rPr>
                <w:rFonts w:ascii="宋体"/>
                <w:w w:val="55"/>
                <w:sz w:val="16"/>
              </w:rPr>
              <w:t>/</w:t>
            </w:r>
            <w:r>
              <w:rPr>
                <w:rFonts w:ascii="宋体"/>
                <w:sz w:val="16"/>
              </w:rPr>
            </w:r>
          </w:p>
        </w:tc>
        <w:tc>
          <w:tcPr>
            <w:tcW w:w="37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69"/>
              <w:jc w:val="right"/>
              <w:rPr>
                <w:rFonts w:ascii="宋体" w:hAnsi="宋体" w:cs="宋体" w:eastAsia="宋体" w:hint="default"/>
                <w:sz w:val="16"/>
                <w:szCs w:val="16"/>
              </w:rPr>
            </w:pPr>
            <w:r>
              <w:rPr>
                <w:rFonts w:ascii="宋体"/>
                <w:w w:val="55"/>
                <w:sz w:val="16"/>
              </w:rPr>
              <w:t>/</w:t>
            </w:r>
            <w:r>
              <w:rPr>
                <w:rFonts w:ascii="宋体"/>
                <w:sz w:val="16"/>
              </w:rPr>
            </w:r>
          </w:p>
        </w:tc>
        <w:tc>
          <w:tcPr>
            <w:tcW w:w="37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50"/>
              <w:jc w:val="right"/>
              <w:rPr>
                <w:rFonts w:ascii="宋体" w:hAnsi="宋体" w:cs="宋体" w:eastAsia="宋体" w:hint="default"/>
                <w:sz w:val="16"/>
                <w:szCs w:val="16"/>
              </w:rPr>
            </w:pPr>
            <w:r>
              <w:rPr>
                <w:rFonts w:ascii="宋体"/>
                <w:w w:val="55"/>
                <w:sz w:val="16"/>
              </w:rPr>
              <w:t>/</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0"/>
              <w:jc w:val="center"/>
              <w:rPr>
                <w:rFonts w:ascii="宋体" w:hAnsi="宋体" w:cs="宋体" w:eastAsia="宋体" w:hint="default"/>
                <w:sz w:val="16"/>
                <w:szCs w:val="16"/>
              </w:rPr>
            </w:pPr>
            <w:r>
              <w:rPr>
                <w:rFonts w:ascii="宋体"/>
                <w:w w:val="55"/>
                <w:sz w:val="16"/>
              </w:rPr>
              <w:t>/</w:t>
            </w:r>
            <w:r>
              <w:rPr>
                <w:rFonts w:ascii="宋体"/>
                <w:sz w:val="16"/>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44"/>
              <w:jc w:val="center"/>
              <w:rPr>
                <w:rFonts w:ascii="宋体" w:hAnsi="宋体" w:cs="宋体" w:eastAsia="宋体" w:hint="default"/>
                <w:sz w:val="16"/>
                <w:szCs w:val="16"/>
              </w:rPr>
            </w:pPr>
            <w:r>
              <w:rPr>
                <w:rFonts w:ascii="宋体"/>
                <w:w w:val="55"/>
                <w:sz w:val="16"/>
              </w:rPr>
              <w:t>/</w:t>
            </w:r>
            <w:r>
              <w:rPr>
                <w:rFonts w:ascii="宋体"/>
                <w:sz w:val="16"/>
              </w:rPr>
            </w:r>
          </w:p>
        </w:tc>
        <w:tc>
          <w:tcPr>
            <w:tcW w:w="401" w:type="dxa"/>
            <w:tcBorders>
              <w:top w:val="nil" w:sz="6" w:space="0" w:color="auto"/>
              <w:left w:val="nil" w:sz="6" w:space="0" w:color="auto"/>
              <w:bottom w:val="nil" w:sz="6" w:space="0" w:color="auto"/>
              <w:right w:val="nil" w:sz="6" w:space="0" w:color="auto"/>
            </w:tcBorders>
          </w:tcPr>
          <w:p>
            <w:pPr>
              <w:pStyle w:val="TableParagraph"/>
              <w:spacing w:line="240" w:lineRule="auto" w:before="6"/>
              <w:ind w:left="15" w:right="0"/>
              <w:jc w:val="center"/>
              <w:rPr>
                <w:rFonts w:ascii="宋体" w:hAnsi="宋体" w:cs="宋体" w:eastAsia="宋体" w:hint="default"/>
                <w:sz w:val="16"/>
                <w:szCs w:val="16"/>
              </w:rPr>
            </w:pPr>
            <w:r>
              <w:rPr>
                <w:rFonts w:ascii="宋体"/>
                <w:w w:val="111"/>
                <w:sz w:val="16"/>
              </w:rPr>
              <w:t>0</w:t>
            </w:r>
            <w:r>
              <w:rPr>
                <w:rFonts w:ascii="宋体"/>
                <w:sz w:val="16"/>
              </w:rPr>
            </w:r>
          </w:p>
        </w:tc>
        <w:tc>
          <w:tcPr>
            <w:tcW w:w="692" w:type="dxa"/>
            <w:tcBorders>
              <w:top w:val="nil" w:sz="6" w:space="0" w:color="auto"/>
              <w:left w:val="nil" w:sz="6" w:space="0" w:color="auto"/>
              <w:bottom w:val="nil" w:sz="6" w:space="0" w:color="auto"/>
              <w:right w:val="nil" w:sz="6" w:space="0" w:color="auto"/>
            </w:tcBorders>
          </w:tcPr>
          <w:p>
            <w:pPr>
              <w:pStyle w:val="TableParagraph"/>
              <w:spacing w:line="240" w:lineRule="auto" w:before="6"/>
              <w:ind w:left="25" w:right="0"/>
              <w:jc w:val="center"/>
              <w:rPr>
                <w:rFonts w:ascii="宋体" w:hAnsi="宋体" w:cs="宋体" w:eastAsia="宋体" w:hint="default"/>
                <w:sz w:val="16"/>
                <w:szCs w:val="16"/>
              </w:rPr>
            </w:pPr>
            <w:r>
              <w:rPr>
                <w:rFonts w:ascii="宋体"/>
                <w:sz w:val="16"/>
              </w:rPr>
              <w:t>28,000</w:t>
            </w:r>
          </w:p>
        </w:tc>
        <w:tc>
          <w:tcPr>
            <w:tcW w:w="67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
              <w:jc w:val="center"/>
              <w:rPr>
                <w:rFonts w:ascii="宋体" w:hAnsi="宋体" w:cs="宋体" w:eastAsia="宋体" w:hint="default"/>
                <w:sz w:val="16"/>
                <w:szCs w:val="16"/>
              </w:rPr>
            </w:pPr>
            <w:r>
              <w:rPr>
                <w:rFonts w:ascii="宋体"/>
                <w:sz w:val="16"/>
              </w:rPr>
              <w:t>28,000</w:t>
            </w:r>
          </w:p>
        </w:tc>
        <w:tc>
          <w:tcPr>
            <w:tcW w:w="68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7"/>
              <w:jc w:val="center"/>
              <w:rPr>
                <w:rFonts w:ascii="宋体" w:hAnsi="宋体" w:cs="宋体" w:eastAsia="宋体" w:hint="default"/>
                <w:sz w:val="16"/>
                <w:szCs w:val="16"/>
              </w:rPr>
            </w:pPr>
            <w:r>
              <w:rPr>
                <w:rFonts w:ascii="宋体"/>
                <w:w w:val="55"/>
                <w:sz w:val="16"/>
              </w:rPr>
              <w:t>/</w:t>
            </w:r>
            <w:r>
              <w:rPr>
                <w:rFonts w:ascii="宋体"/>
                <w:sz w:val="16"/>
              </w:rPr>
            </w:r>
          </w:p>
        </w:tc>
        <w:tc>
          <w:tcPr>
            <w:tcW w:w="1147" w:type="dxa"/>
            <w:tcBorders>
              <w:top w:val="nil" w:sz="6" w:space="0" w:color="auto"/>
              <w:left w:val="nil" w:sz="6" w:space="0" w:color="auto"/>
              <w:bottom w:val="nil" w:sz="6" w:space="0" w:color="auto"/>
              <w:right w:val="nil" w:sz="6" w:space="0" w:color="auto"/>
            </w:tcBorders>
          </w:tcPr>
          <w:p>
            <w:pPr>
              <w:pStyle w:val="TableParagraph"/>
              <w:spacing w:line="240" w:lineRule="auto" w:before="6"/>
              <w:ind w:left="27" w:right="0"/>
              <w:jc w:val="center"/>
              <w:rPr>
                <w:rFonts w:ascii="宋体" w:hAnsi="宋体" w:cs="宋体" w:eastAsia="宋体" w:hint="default"/>
                <w:sz w:val="16"/>
                <w:szCs w:val="16"/>
              </w:rPr>
            </w:pPr>
            <w:r>
              <w:rPr>
                <w:rFonts w:ascii="宋体"/>
                <w:w w:val="55"/>
                <w:sz w:val="16"/>
              </w:rPr>
              <w:t>/</w:t>
            </w:r>
            <w:r>
              <w:rPr>
                <w:rFonts w:ascii="宋体"/>
                <w:sz w:val="16"/>
              </w:rPr>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6"/>
              <w:ind w:left="12" w:right="0"/>
              <w:jc w:val="center"/>
              <w:rPr>
                <w:rFonts w:ascii="宋体" w:hAnsi="宋体" w:cs="宋体" w:eastAsia="宋体" w:hint="default"/>
                <w:sz w:val="16"/>
                <w:szCs w:val="16"/>
              </w:rPr>
            </w:pPr>
            <w:r>
              <w:rPr>
                <w:rFonts w:ascii="宋体"/>
                <w:w w:val="55"/>
                <w:sz w:val="16"/>
              </w:rPr>
              <w:t>/</w:t>
            </w:r>
            <w:r>
              <w:rPr>
                <w:rFonts w:ascii="宋体"/>
                <w:sz w:val="16"/>
              </w:rPr>
            </w:r>
          </w:p>
        </w:tc>
      </w:tr>
    </w:tbl>
    <w:p>
      <w:pPr>
        <w:spacing w:line="20" w:lineRule="exact"/>
        <w:ind w:left="828" w:right="0" w:firstLine="0"/>
        <w:rPr>
          <w:rFonts w:ascii="宋体" w:hAnsi="宋体" w:cs="宋体" w:eastAsia="宋体" w:hint="default"/>
          <w:sz w:val="2"/>
          <w:szCs w:val="2"/>
        </w:rPr>
      </w:pPr>
      <w:r>
        <w:rPr>
          <w:rFonts w:ascii="宋体" w:hAnsi="宋体" w:cs="宋体" w:eastAsia="宋体" w:hint="default"/>
          <w:sz w:val="2"/>
          <w:szCs w:val="2"/>
        </w:rPr>
        <w:pict>
          <v:group style="width:483.25pt;height:.5pt;mso-position-horizontal-relative:char;mso-position-vertical-relative:line" coordorigin="0,0" coordsize="9665,10">
            <v:group style="position:absolute;left:5;top:5;width:925;height:2" coordorigin="5,5" coordsize="925,2">
              <v:shape style="position:absolute;left:5;top:5;width:925;height:2" coordorigin="5,5" coordsize="925,0" path="m5,5l929,5e" filled="false" stroked="true" strokeweight=".5pt" strokecolor="#000000">
                <v:path arrowok="t"/>
              </v:shape>
            </v:group>
            <v:group style="position:absolute;left:929;top:5;width:1120;height:2" coordorigin="929,5" coordsize="1120,2">
              <v:shape style="position:absolute;left:929;top:5;width:1120;height:2" coordorigin="929,5" coordsize="1120,0" path="m929,5l2049,5e" filled="false" stroked="true" strokeweight=".5pt" strokecolor="#000000">
                <v:path arrowok="t"/>
              </v:shape>
            </v:group>
            <v:group style="position:absolute;left:2049;top:5;width:397;height:2" coordorigin="2049,5" coordsize="397,2">
              <v:shape style="position:absolute;left:2049;top:5;width:397;height:2" coordorigin="2049,5" coordsize="397,0" path="m2049,5l2446,5e" filled="false" stroked="true" strokeweight=".5pt" strokecolor="#000000">
                <v:path arrowok="t"/>
              </v:shape>
            </v:group>
            <v:group style="position:absolute;left:2446;top:5;width:397;height:2" coordorigin="2446,5" coordsize="397,2">
              <v:shape style="position:absolute;left:2446;top:5;width:397;height:2" coordorigin="2446,5" coordsize="397,0" path="m2446,5l2842,5e" filled="false" stroked="true" strokeweight=".5pt" strokecolor="#000000">
                <v:path arrowok="t"/>
              </v:shape>
            </v:group>
            <v:group style="position:absolute;left:2842;top:5;width:1429;height:2" coordorigin="2842,5" coordsize="1429,2">
              <v:shape style="position:absolute;left:2842;top:5;width:1429;height:2" coordorigin="2842,5" coordsize="1429,0" path="m2842,5l4271,5e" filled="false" stroked="true" strokeweight=".5pt" strokecolor="#000000">
                <v:path arrowok="t"/>
              </v:shape>
            </v:group>
            <v:group style="position:absolute;left:4271;top:5;width:1157;height:2" coordorigin="4271,5" coordsize="1157,2">
              <v:shape style="position:absolute;left:4271;top:5;width:1157;height:2" coordorigin="4271,5" coordsize="1157,0" path="m4271,5l5428,5e" filled="false" stroked="true" strokeweight=".5pt" strokecolor="#000000">
                <v:path arrowok="t"/>
              </v:shape>
            </v:group>
            <v:group style="position:absolute;left:5428;top:5;width:397;height:2" coordorigin="5428,5" coordsize="397,2">
              <v:shape style="position:absolute;left:5428;top:5;width:397;height:2" coordorigin="5428,5" coordsize="397,0" path="m5428,5l5825,5e" filled="false" stroked="true" strokeweight=".5pt" strokecolor="#000000">
                <v:path arrowok="t"/>
              </v:shape>
            </v:group>
            <v:group style="position:absolute;left:5825;top:5;width:706;height:2" coordorigin="5825,5" coordsize="706,2">
              <v:shape style="position:absolute;left:5825;top:5;width:706;height:2" coordorigin="5825,5" coordsize="706,0" path="m5825,5l6530,5e" filled="false" stroked="true" strokeweight=".5pt" strokecolor="#000000">
                <v:path arrowok="t"/>
              </v:shape>
            </v:group>
            <v:group style="position:absolute;left:6530;top:5;width:630;height:2" coordorigin="6530,5" coordsize="630,2">
              <v:shape style="position:absolute;left:6530;top:5;width:630;height:2" coordorigin="6530,5" coordsize="630,0" path="m6530,5l7160,5e" filled="false" stroked="true" strokeweight=".5pt" strokecolor="#000000">
                <v:path arrowok="t"/>
              </v:shape>
            </v:group>
            <v:group style="position:absolute;left:7160;top:5;width:723;height:2" coordorigin="7160,5" coordsize="723,2">
              <v:shape style="position:absolute;left:7160;top:5;width:723;height:2" coordorigin="7160,5" coordsize="723,0" path="m7160,5l7882,5e" filled="false" stroked="true" strokeweight=".5pt" strokecolor="#000000">
                <v:path arrowok="t"/>
              </v:shape>
            </v:group>
            <v:group style="position:absolute;left:7882;top:5;width:1143;height:2" coordorigin="7882,5" coordsize="1143,2">
              <v:shape style="position:absolute;left:7882;top:5;width:1143;height:2" coordorigin="7882,5" coordsize="1143,0" path="m7882,5l9025,5e" filled="false" stroked="true" strokeweight=".5pt" strokecolor="#000000">
                <v:path arrowok="t"/>
              </v:shape>
            </v:group>
            <v:group style="position:absolute;left:9025;top:5;width:635;height:2" coordorigin="9025,5" coordsize="635,2">
              <v:shape style="position:absolute;left:9025;top:5;width:635;height:2" coordorigin="9025,5" coordsize="635,0" path="m9025,5l9660,5e" filled="false" stroked="true" strokeweight=".5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15"/>
          <w:szCs w:val="15"/>
        </w:rPr>
      </w:pPr>
    </w:p>
    <w:p>
      <w:pPr>
        <w:spacing w:before="0"/>
        <w:ind w:left="1175" w:right="0" w:firstLine="0"/>
        <w:jc w:val="both"/>
        <w:rPr>
          <w:rFonts w:ascii="宋体" w:hAnsi="宋体" w:cs="宋体" w:eastAsia="宋体" w:hint="default"/>
          <w:sz w:val="16"/>
          <w:szCs w:val="16"/>
        </w:rPr>
      </w:pPr>
      <w:r>
        <w:rPr>
          <w:rFonts w:ascii="宋体" w:hAnsi="宋体" w:cs="宋体" w:eastAsia="宋体" w:hint="default"/>
          <w:sz w:val="16"/>
          <w:szCs w:val="16"/>
        </w:rPr>
        <w:t>注：</w:t>
      </w:r>
    </w:p>
    <w:p>
      <w:pPr>
        <w:spacing w:line="321" w:lineRule="auto" w:before="70"/>
        <w:ind w:left="1175" w:right="1429" w:firstLine="0"/>
        <w:jc w:val="both"/>
        <w:rPr>
          <w:rFonts w:ascii="宋体" w:hAnsi="宋体" w:cs="宋体" w:eastAsia="宋体" w:hint="default"/>
          <w:sz w:val="16"/>
          <w:szCs w:val="16"/>
        </w:rPr>
      </w:pPr>
      <w:r>
        <w:rPr>
          <w:rFonts w:ascii="宋体" w:hAnsi="宋体" w:cs="宋体" w:eastAsia="宋体" w:hint="default"/>
          <w:spacing w:val="-1"/>
          <w:w w:val="83"/>
          <w:sz w:val="16"/>
          <w:szCs w:val="16"/>
        </w:rPr>
        <w:t>1.</w:t>
      </w:r>
      <w:r>
        <w:rPr>
          <w:rFonts w:ascii="宋体" w:hAnsi="宋体" w:cs="宋体" w:eastAsia="宋体" w:hint="default"/>
          <w:spacing w:val="-26"/>
          <w:w w:val="83"/>
          <w:sz w:val="16"/>
          <w:szCs w:val="16"/>
        </w:rPr>
        <w:t> </w:t>
      </w:r>
      <w:r>
        <w:rPr>
          <w:rFonts w:ascii="宋体" w:hAnsi="宋体" w:cs="宋体" w:eastAsia="宋体" w:hint="default"/>
          <w:sz w:val="16"/>
          <w:szCs w:val="16"/>
        </w:rPr>
        <w:t>本公司董事长王晓初、董事兼总裁及总法律顾问李国华、董事李福申、监事会主席林旸川、职工监事周仁杰、高级副总裁邵广禄、</w:t>
      </w:r>
      <w:r>
        <w:rPr>
          <w:rFonts w:ascii="宋体" w:hAnsi="宋体" w:cs="宋体" w:eastAsia="宋体" w:hint="default"/>
          <w:sz w:val="16"/>
          <w:szCs w:val="16"/>
        </w:rPr>
        <w:t> 高级副总裁买彦州、高级副总裁梁宝俊、首席财务官兼董事会秘书朱可炳、高级副总裁范云军先生、财务负责人姜爱华、离任董事兼 总裁陆益民、离任监事会主席姜正新、离任董事会秘书王霞均在本公司的控股子公司 - 联通红筹公司之全资附属公司联通运营公司</w:t>
      </w:r>
      <w:r>
        <w:rPr>
          <w:rFonts w:ascii="宋体" w:hAnsi="宋体" w:cs="宋体" w:eastAsia="宋体" w:hint="default"/>
          <w:spacing w:val="-30"/>
          <w:sz w:val="16"/>
          <w:szCs w:val="16"/>
        </w:rPr>
        <w:t> </w:t>
      </w:r>
      <w:r>
        <w:rPr>
          <w:rFonts w:ascii="宋体" w:hAnsi="宋体" w:cs="宋体" w:eastAsia="宋体" w:hint="default"/>
          <w:spacing w:val="-30"/>
          <w:sz w:val="16"/>
          <w:szCs w:val="16"/>
        </w:rPr>
      </w:r>
      <w:r>
        <w:rPr>
          <w:rFonts w:ascii="宋体" w:hAnsi="宋体" w:cs="宋体" w:eastAsia="宋体" w:hint="default"/>
          <w:sz w:val="16"/>
          <w:szCs w:val="16"/>
        </w:rPr>
        <w:t>领取报酬；</w:t>
      </w:r>
    </w:p>
    <w:p>
      <w:pPr>
        <w:spacing w:before="129"/>
        <w:ind w:left="1175" w:right="0" w:firstLine="0"/>
        <w:jc w:val="both"/>
        <w:rPr>
          <w:rFonts w:ascii="宋体" w:hAnsi="宋体" w:cs="宋体" w:eastAsia="宋体" w:hint="default"/>
          <w:sz w:val="16"/>
          <w:szCs w:val="16"/>
        </w:rPr>
      </w:pPr>
      <w:r>
        <w:rPr>
          <w:rFonts w:ascii="宋体" w:hAnsi="宋体" w:cs="宋体" w:eastAsia="宋体" w:hint="default"/>
          <w:w w:val="83"/>
          <w:sz w:val="16"/>
          <w:szCs w:val="16"/>
        </w:rPr>
        <w:t>2.</w:t>
      </w:r>
      <w:r>
        <w:rPr>
          <w:rFonts w:ascii="宋体" w:hAnsi="宋体" w:cs="宋体" w:eastAsia="宋体" w:hint="default"/>
          <w:spacing w:val="-59"/>
          <w:sz w:val="16"/>
          <w:szCs w:val="16"/>
        </w:rPr>
        <w:t> </w:t>
      </w:r>
      <w:r>
        <w:rPr>
          <w:rFonts w:ascii="宋体" w:hAnsi="宋体" w:cs="宋体" w:eastAsia="宋体" w:hint="default"/>
          <w:sz w:val="16"/>
          <w:szCs w:val="16"/>
        </w:rPr>
        <w:t>报告期内</w:t>
      </w:r>
      <w:r>
        <w:rPr>
          <w:rFonts w:ascii="宋体" w:hAnsi="宋体" w:cs="宋体" w:eastAsia="宋体" w:hint="default"/>
          <w:spacing w:val="-75"/>
          <w:sz w:val="16"/>
          <w:szCs w:val="16"/>
        </w:rPr>
        <w:t>，</w:t>
      </w:r>
      <w:r>
        <w:rPr>
          <w:rFonts w:ascii="宋体" w:hAnsi="宋体" w:cs="宋体" w:eastAsia="宋体" w:hint="default"/>
          <w:sz w:val="16"/>
          <w:szCs w:val="16"/>
        </w:rPr>
        <w:t>上述人员</w:t>
      </w:r>
      <w:r>
        <w:rPr>
          <w:rFonts w:ascii="宋体" w:hAnsi="宋体" w:cs="宋体" w:eastAsia="宋体" w:hint="default"/>
          <w:spacing w:val="-59"/>
          <w:sz w:val="16"/>
          <w:szCs w:val="16"/>
        </w:rPr>
        <w:t> </w:t>
      </w:r>
      <w:r>
        <w:rPr>
          <w:rFonts w:ascii="宋体" w:hAnsi="宋体" w:cs="宋体" w:eastAsia="宋体" w:hint="default"/>
          <w:w w:val="111"/>
          <w:sz w:val="16"/>
          <w:szCs w:val="16"/>
        </w:rPr>
        <w:t>2018</w:t>
      </w:r>
      <w:r>
        <w:rPr>
          <w:rFonts w:ascii="宋体" w:hAnsi="宋体" w:cs="宋体" w:eastAsia="宋体" w:hint="default"/>
          <w:spacing w:val="-59"/>
          <w:sz w:val="16"/>
          <w:szCs w:val="16"/>
        </w:rPr>
        <w:t> </w:t>
      </w:r>
      <w:r>
        <w:rPr>
          <w:rFonts w:ascii="宋体" w:hAnsi="宋体" w:cs="宋体" w:eastAsia="宋体" w:hint="default"/>
          <w:sz w:val="16"/>
          <w:szCs w:val="16"/>
        </w:rPr>
        <w:t>年度薪酬</w:t>
      </w:r>
      <w:r>
        <w:rPr>
          <w:rFonts w:ascii="宋体" w:hAnsi="宋体" w:cs="宋体" w:eastAsia="宋体" w:hint="default"/>
          <w:spacing w:val="-38"/>
          <w:sz w:val="16"/>
          <w:szCs w:val="16"/>
        </w:rPr>
        <w:t>为：</w:t>
      </w:r>
      <w:r>
        <w:rPr>
          <w:rFonts w:ascii="宋体" w:hAnsi="宋体" w:cs="宋体" w:eastAsia="宋体" w:hint="default"/>
          <w:sz w:val="16"/>
          <w:szCs w:val="16"/>
        </w:rPr>
        <w:t>王晓初先生</w:t>
      </w:r>
      <w:r>
        <w:rPr>
          <w:rFonts w:ascii="宋体" w:hAnsi="宋体" w:cs="宋体" w:eastAsia="宋体" w:hint="default"/>
          <w:spacing w:val="-59"/>
          <w:sz w:val="16"/>
          <w:szCs w:val="16"/>
        </w:rPr>
        <w:t> </w:t>
      </w:r>
      <w:r>
        <w:rPr>
          <w:rFonts w:ascii="宋体" w:hAnsi="宋体" w:cs="宋体" w:eastAsia="宋体" w:hint="default"/>
          <w:w w:val="99"/>
          <w:sz w:val="16"/>
          <w:szCs w:val="16"/>
        </w:rPr>
        <w:t>67.33</w:t>
      </w:r>
      <w:r>
        <w:rPr>
          <w:rFonts w:ascii="宋体" w:hAnsi="宋体" w:cs="宋体" w:eastAsia="宋体" w:hint="default"/>
          <w:spacing w:val="-59"/>
          <w:sz w:val="16"/>
          <w:szCs w:val="16"/>
        </w:rPr>
        <w:t> </w:t>
      </w:r>
      <w:r>
        <w:rPr>
          <w:rFonts w:ascii="宋体" w:hAnsi="宋体" w:cs="宋体" w:eastAsia="宋体" w:hint="default"/>
          <w:sz w:val="16"/>
          <w:szCs w:val="16"/>
        </w:rPr>
        <w:t>万元</w:t>
      </w:r>
      <w:r>
        <w:rPr>
          <w:rFonts w:ascii="宋体" w:hAnsi="宋体" w:cs="宋体" w:eastAsia="宋体" w:hint="default"/>
          <w:spacing w:val="-75"/>
          <w:sz w:val="16"/>
          <w:szCs w:val="16"/>
        </w:rPr>
        <w:t>，</w:t>
      </w:r>
      <w:r>
        <w:rPr>
          <w:rFonts w:ascii="宋体" w:hAnsi="宋体" w:cs="宋体" w:eastAsia="宋体" w:hint="default"/>
          <w:sz w:val="16"/>
          <w:szCs w:val="16"/>
        </w:rPr>
        <w:t>李国华先生</w:t>
      </w:r>
      <w:r>
        <w:rPr>
          <w:rFonts w:ascii="宋体" w:hAnsi="宋体" w:cs="宋体" w:eastAsia="宋体" w:hint="default"/>
          <w:spacing w:val="-59"/>
          <w:sz w:val="16"/>
          <w:szCs w:val="16"/>
        </w:rPr>
        <w:t> </w:t>
      </w:r>
      <w:r>
        <w:rPr>
          <w:rFonts w:ascii="宋体" w:hAnsi="宋体" w:cs="宋体" w:eastAsia="宋体" w:hint="default"/>
          <w:w w:val="99"/>
          <w:sz w:val="16"/>
          <w:szCs w:val="16"/>
        </w:rPr>
        <w:t>17.23</w:t>
      </w:r>
      <w:r>
        <w:rPr>
          <w:rFonts w:ascii="宋体" w:hAnsi="宋体" w:cs="宋体" w:eastAsia="宋体" w:hint="default"/>
          <w:spacing w:val="-59"/>
          <w:sz w:val="16"/>
          <w:szCs w:val="16"/>
        </w:rPr>
        <w:t> </w:t>
      </w:r>
      <w:r>
        <w:rPr>
          <w:rFonts w:ascii="宋体" w:hAnsi="宋体" w:cs="宋体" w:eastAsia="宋体" w:hint="default"/>
          <w:sz w:val="16"/>
          <w:szCs w:val="16"/>
        </w:rPr>
        <w:t>万元</w:t>
      </w:r>
      <w:r>
        <w:rPr>
          <w:rFonts w:ascii="宋体" w:hAnsi="宋体" w:cs="宋体" w:eastAsia="宋体" w:hint="default"/>
          <w:spacing w:val="-75"/>
          <w:sz w:val="16"/>
          <w:szCs w:val="16"/>
        </w:rPr>
        <w:t>，</w:t>
      </w:r>
      <w:r>
        <w:rPr>
          <w:rFonts w:ascii="宋体" w:hAnsi="宋体" w:cs="宋体" w:eastAsia="宋体" w:hint="default"/>
          <w:sz w:val="16"/>
          <w:szCs w:val="16"/>
        </w:rPr>
        <w:t>李福申先生</w:t>
      </w:r>
      <w:r>
        <w:rPr>
          <w:rFonts w:ascii="宋体" w:hAnsi="宋体" w:cs="宋体" w:eastAsia="宋体" w:hint="default"/>
          <w:spacing w:val="-59"/>
          <w:sz w:val="16"/>
          <w:szCs w:val="16"/>
        </w:rPr>
        <w:t> </w:t>
      </w:r>
      <w:r>
        <w:rPr>
          <w:rFonts w:ascii="宋体" w:hAnsi="宋体" w:cs="宋体" w:eastAsia="宋体" w:hint="default"/>
          <w:w w:val="99"/>
          <w:sz w:val="16"/>
          <w:szCs w:val="16"/>
        </w:rPr>
        <w:t>60.48</w:t>
      </w:r>
      <w:r>
        <w:rPr>
          <w:rFonts w:ascii="宋体" w:hAnsi="宋体" w:cs="宋体" w:eastAsia="宋体" w:hint="default"/>
          <w:spacing w:val="-59"/>
          <w:sz w:val="16"/>
          <w:szCs w:val="16"/>
        </w:rPr>
        <w:t> </w:t>
      </w:r>
      <w:r>
        <w:rPr>
          <w:rFonts w:ascii="宋体" w:hAnsi="宋体" w:cs="宋体" w:eastAsia="宋体" w:hint="default"/>
          <w:sz w:val="16"/>
          <w:szCs w:val="16"/>
        </w:rPr>
        <w:t>万元</w:t>
      </w:r>
      <w:r>
        <w:rPr>
          <w:rFonts w:ascii="宋体" w:hAnsi="宋体" w:cs="宋体" w:eastAsia="宋体" w:hint="default"/>
          <w:spacing w:val="-75"/>
          <w:sz w:val="16"/>
          <w:szCs w:val="16"/>
        </w:rPr>
        <w:t>，</w:t>
      </w:r>
      <w:r>
        <w:rPr>
          <w:rFonts w:ascii="宋体" w:hAnsi="宋体" w:cs="宋体" w:eastAsia="宋体" w:hint="default"/>
          <w:sz w:val="16"/>
          <w:szCs w:val="16"/>
        </w:rPr>
        <w:t>林旸川先生</w:t>
      </w:r>
      <w:r>
        <w:rPr>
          <w:rFonts w:ascii="宋体" w:hAnsi="宋体" w:cs="宋体" w:eastAsia="宋体" w:hint="default"/>
          <w:spacing w:val="-59"/>
          <w:sz w:val="16"/>
          <w:szCs w:val="16"/>
        </w:rPr>
        <w:t> </w:t>
      </w:r>
      <w:r>
        <w:rPr>
          <w:rFonts w:ascii="宋体" w:hAnsi="宋体" w:cs="宋体" w:eastAsia="宋体" w:hint="default"/>
          <w:w w:val="97"/>
          <w:sz w:val="16"/>
          <w:szCs w:val="16"/>
        </w:rPr>
        <w:t>80.2</w:t>
      </w:r>
      <w:r>
        <w:rPr>
          <w:rFonts w:ascii="宋体" w:hAnsi="宋体" w:cs="宋体" w:eastAsia="宋体" w:hint="default"/>
          <w:spacing w:val="-59"/>
          <w:sz w:val="16"/>
          <w:szCs w:val="16"/>
        </w:rPr>
        <w:t> </w:t>
      </w:r>
      <w:r>
        <w:rPr>
          <w:rFonts w:ascii="宋体" w:hAnsi="宋体" w:cs="宋体" w:eastAsia="宋体" w:hint="default"/>
          <w:sz w:val="16"/>
          <w:szCs w:val="16"/>
        </w:rPr>
        <w:t>万元，</w:t>
      </w:r>
    </w:p>
    <w:p>
      <w:pPr>
        <w:spacing w:before="70"/>
        <w:ind w:left="1175" w:right="0" w:firstLine="0"/>
        <w:jc w:val="both"/>
        <w:rPr>
          <w:rFonts w:ascii="宋体" w:hAnsi="宋体" w:cs="宋体" w:eastAsia="宋体" w:hint="default"/>
          <w:sz w:val="16"/>
          <w:szCs w:val="16"/>
        </w:rPr>
      </w:pPr>
      <w:r>
        <w:rPr>
          <w:rFonts w:ascii="宋体" w:hAnsi="宋体" w:cs="宋体" w:eastAsia="宋体" w:hint="default"/>
          <w:sz w:val="16"/>
          <w:szCs w:val="16"/>
        </w:rPr>
        <w:t>周仁杰先生</w:t>
      </w:r>
      <w:r>
        <w:rPr>
          <w:rFonts w:ascii="宋体" w:hAnsi="宋体" w:cs="宋体" w:eastAsia="宋体" w:hint="default"/>
          <w:spacing w:val="-40"/>
          <w:sz w:val="16"/>
          <w:szCs w:val="16"/>
        </w:rPr>
        <w:t> </w:t>
      </w:r>
      <w:r>
        <w:rPr>
          <w:rFonts w:ascii="宋体" w:hAnsi="宋体" w:cs="宋体" w:eastAsia="宋体" w:hint="default"/>
          <w:spacing w:val="-1"/>
          <w:w w:val="111"/>
          <w:sz w:val="16"/>
          <w:szCs w:val="16"/>
        </w:rPr>
        <w:t>83</w:t>
      </w:r>
      <w:r>
        <w:rPr>
          <w:rFonts w:ascii="宋体" w:hAnsi="宋体" w:cs="宋体" w:eastAsia="宋体" w:hint="default"/>
          <w:w w:val="55"/>
          <w:sz w:val="16"/>
          <w:szCs w:val="16"/>
        </w:rPr>
        <w:t>.</w:t>
      </w:r>
      <w:r>
        <w:rPr>
          <w:rFonts w:ascii="宋体" w:hAnsi="宋体" w:cs="宋体" w:eastAsia="宋体" w:hint="default"/>
          <w:spacing w:val="-1"/>
          <w:w w:val="111"/>
          <w:sz w:val="16"/>
          <w:szCs w:val="16"/>
        </w:rPr>
        <w:t>5</w:t>
      </w:r>
      <w:r>
        <w:rPr>
          <w:rFonts w:ascii="宋体" w:hAnsi="宋体" w:cs="宋体" w:eastAsia="宋体" w:hint="default"/>
          <w:w w:val="111"/>
          <w:sz w:val="16"/>
          <w:szCs w:val="16"/>
        </w:rPr>
        <w:t>9</w:t>
      </w:r>
      <w:r>
        <w:rPr>
          <w:rFonts w:ascii="宋体" w:hAnsi="宋体" w:cs="宋体" w:eastAsia="宋体" w:hint="default"/>
          <w:spacing w:val="-40"/>
          <w:sz w:val="16"/>
          <w:szCs w:val="16"/>
        </w:rPr>
        <w:t> </w:t>
      </w:r>
      <w:r>
        <w:rPr>
          <w:rFonts w:ascii="宋体" w:hAnsi="宋体" w:cs="宋体" w:eastAsia="宋体" w:hint="default"/>
          <w:sz w:val="16"/>
          <w:szCs w:val="16"/>
        </w:rPr>
        <w:t>万元，邵广禄先生</w:t>
      </w:r>
      <w:r>
        <w:rPr>
          <w:rFonts w:ascii="宋体" w:hAnsi="宋体" w:cs="宋体" w:eastAsia="宋体" w:hint="default"/>
          <w:spacing w:val="-40"/>
          <w:sz w:val="16"/>
          <w:szCs w:val="16"/>
        </w:rPr>
        <w:t> </w:t>
      </w:r>
      <w:r>
        <w:rPr>
          <w:rFonts w:ascii="宋体" w:hAnsi="宋体" w:cs="宋体" w:eastAsia="宋体" w:hint="default"/>
          <w:spacing w:val="-1"/>
          <w:w w:val="111"/>
          <w:sz w:val="16"/>
          <w:szCs w:val="16"/>
        </w:rPr>
        <w:t>59</w:t>
      </w:r>
      <w:r>
        <w:rPr>
          <w:rFonts w:ascii="宋体" w:hAnsi="宋体" w:cs="宋体" w:eastAsia="宋体" w:hint="default"/>
          <w:w w:val="55"/>
          <w:sz w:val="16"/>
          <w:szCs w:val="16"/>
        </w:rPr>
        <w:t>.</w:t>
      </w:r>
      <w:r>
        <w:rPr>
          <w:rFonts w:ascii="宋体" w:hAnsi="宋体" w:cs="宋体" w:eastAsia="宋体" w:hint="default"/>
          <w:spacing w:val="-1"/>
          <w:w w:val="111"/>
          <w:sz w:val="16"/>
          <w:szCs w:val="16"/>
        </w:rPr>
        <w:t>1</w:t>
      </w:r>
      <w:r>
        <w:rPr>
          <w:rFonts w:ascii="宋体" w:hAnsi="宋体" w:cs="宋体" w:eastAsia="宋体" w:hint="default"/>
          <w:w w:val="111"/>
          <w:sz w:val="16"/>
          <w:szCs w:val="16"/>
        </w:rPr>
        <w:t>8</w:t>
      </w:r>
      <w:r>
        <w:rPr>
          <w:rFonts w:ascii="宋体" w:hAnsi="宋体" w:cs="宋体" w:eastAsia="宋体" w:hint="default"/>
          <w:spacing w:val="-40"/>
          <w:sz w:val="16"/>
          <w:szCs w:val="16"/>
        </w:rPr>
        <w:t> </w:t>
      </w:r>
      <w:r>
        <w:rPr>
          <w:rFonts w:ascii="宋体" w:hAnsi="宋体" w:cs="宋体" w:eastAsia="宋体" w:hint="default"/>
          <w:sz w:val="16"/>
          <w:szCs w:val="16"/>
        </w:rPr>
        <w:t>万元，买彦州先生</w:t>
      </w:r>
      <w:r>
        <w:rPr>
          <w:rFonts w:ascii="宋体" w:hAnsi="宋体" w:cs="宋体" w:eastAsia="宋体" w:hint="default"/>
          <w:spacing w:val="-40"/>
          <w:sz w:val="16"/>
          <w:szCs w:val="16"/>
        </w:rPr>
        <w:t> </w:t>
      </w:r>
      <w:r>
        <w:rPr>
          <w:rFonts w:ascii="宋体" w:hAnsi="宋体" w:cs="宋体" w:eastAsia="宋体" w:hint="default"/>
          <w:spacing w:val="-1"/>
          <w:w w:val="111"/>
          <w:sz w:val="16"/>
          <w:szCs w:val="16"/>
        </w:rPr>
        <w:t>34</w:t>
      </w:r>
      <w:r>
        <w:rPr>
          <w:rFonts w:ascii="宋体" w:hAnsi="宋体" w:cs="宋体" w:eastAsia="宋体" w:hint="default"/>
          <w:w w:val="55"/>
          <w:sz w:val="16"/>
          <w:szCs w:val="16"/>
        </w:rPr>
        <w:t>.</w:t>
      </w:r>
      <w:r>
        <w:rPr>
          <w:rFonts w:ascii="宋体" w:hAnsi="宋体" w:cs="宋体" w:eastAsia="宋体" w:hint="default"/>
          <w:spacing w:val="-1"/>
          <w:w w:val="111"/>
          <w:sz w:val="16"/>
          <w:szCs w:val="16"/>
        </w:rPr>
        <w:t>1</w:t>
      </w:r>
      <w:r>
        <w:rPr>
          <w:rFonts w:ascii="宋体" w:hAnsi="宋体" w:cs="宋体" w:eastAsia="宋体" w:hint="default"/>
          <w:w w:val="111"/>
          <w:sz w:val="16"/>
          <w:szCs w:val="16"/>
        </w:rPr>
        <w:t>7</w:t>
      </w:r>
      <w:r>
        <w:rPr>
          <w:rFonts w:ascii="宋体" w:hAnsi="宋体" w:cs="宋体" w:eastAsia="宋体" w:hint="default"/>
          <w:spacing w:val="-40"/>
          <w:sz w:val="16"/>
          <w:szCs w:val="16"/>
        </w:rPr>
        <w:t> </w:t>
      </w:r>
      <w:r>
        <w:rPr>
          <w:rFonts w:ascii="宋体" w:hAnsi="宋体" w:cs="宋体" w:eastAsia="宋体" w:hint="default"/>
          <w:sz w:val="16"/>
          <w:szCs w:val="16"/>
        </w:rPr>
        <w:t>万元，梁宝俊先生</w:t>
      </w:r>
      <w:r>
        <w:rPr>
          <w:rFonts w:ascii="宋体" w:hAnsi="宋体" w:cs="宋体" w:eastAsia="宋体" w:hint="default"/>
          <w:spacing w:val="-40"/>
          <w:sz w:val="16"/>
          <w:szCs w:val="16"/>
        </w:rPr>
        <w:t> </w:t>
      </w:r>
      <w:r>
        <w:rPr>
          <w:rFonts w:ascii="宋体" w:hAnsi="宋体" w:cs="宋体" w:eastAsia="宋体" w:hint="default"/>
          <w:spacing w:val="-1"/>
          <w:w w:val="111"/>
          <w:sz w:val="16"/>
          <w:szCs w:val="16"/>
        </w:rPr>
        <w:t>34</w:t>
      </w:r>
      <w:r>
        <w:rPr>
          <w:rFonts w:ascii="宋体" w:hAnsi="宋体" w:cs="宋体" w:eastAsia="宋体" w:hint="default"/>
          <w:w w:val="55"/>
          <w:sz w:val="16"/>
          <w:szCs w:val="16"/>
        </w:rPr>
        <w:t>.</w:t>
      </w:r>
      <w:r>
        <w:rPr>
          <w:rFonts w:ascii="宋体" w:hAnsi="宋体" w:cs="宋体" w:eastAsia="宋体" w:hint="default"/>
          <w:spacing w:val="-1"/>
          <w:w w:val="111"/>
          <w:sz w:val="16"/>
          <w:szCs w:val="16"/>
        </w:rPr>
        <w:t>1</w:t>
      </w:r>
      <w:r>
        <w:rPr>
          <w:rFonts w:ascii="宋体" w:hAnsi="宋体" w:cs="宋体" w:eastAsia="宋体" w:hint="default"/>
          <w:w w:val="111"/>
          <w:sz w:val="16"/>
          <w:szCs w:val="16"/>
        </w:rPr>
        <w:t>7</w:t>
      </w:r>
      <w:r>
        <w:rPr>
          <w:rFonts w:ascii="宋体" w:hAnsi="宋体" w:cs="宋体" w:eastAsia="宋体" w:hint="default"/>
          <w:spacing w:val="-40"/>
          <w:sz w:val="16"/>
          <w:szCs w:val="16"/>
        </w:rPr>
        <w:t> </w:t>
      </w:r>
      <w:r>
        <w:rPr>
          <w:rFonts w:ascii="宋体" w:hAnsi="宋体" w:cs="宋体" w:eastAsia="宋体" w:hint="default"/>
          <w:sz w:val="16"/>
          <w:szCs w:val="16"/>
        </w:rPr>
        <w:t>万元，朱可炳先生</w:t>
      </w:r>
      <w:r>
        <w:rPr>
          <w:rFonts w:ascii="宋体" w:hAnsi="宋体" w:cs="宋体" w:eastAsia="宋体" w:hint="default"/>
          <w:spacing w:val="-40"/>
          <w:sz w:val="16"/>
          <w:szCs w:val="16"/>
        </w:rPr>
        <w:t> </w:t>
      </w:r>
      <w:r>
        <w:rPr>
          <w:rFonts w:ascii="宋体" w:hAnsi="宋体" w:cs="宋体" w:eastAsia="宋体" w:hint="default"/>
          <w:spacing w:val="-1"/>
          <w:w w:val="111"/>
          <w:sz w:val="16"/>
          <w:szCs w:val="16"/>
        </w:rPr>
        <w:t>14</w:t>
      </w:r>
      <w:r>
        <w:rPr>
          <w:rFonts w:ascii="宋体" w:hAnsi="宋体" w:cs="宋体" w:eastAsia="宋体" w:hint="default"/>
          <w:w w:val="55"/>
          <w:sz w:val="16"/>
          <w:szCs w:val="16"/>
        </w:rPr>
        <w:t>.</w:t>
      </w:r>
      <w:r>
        <w:rPr>
          <w:rFonts w:ascii="宋体" w:hAnsi="宋体" w:cs="宋体" w:eastAsia="宋体" w:hint="default"/>
          <w:spacing w:val="-1"/>
          <w:w w:val="111"/>
          <w:sz w:val="16"/>
          <w:szCs w:val="16"/>
        </w:rPr>
        <w:t>6</w:t>
      </w:r>
      <w:r>
        <w:rPr>
          <w:rFonts w:ascii="宋体" w:hAnsi="宋体" w:cs="宋体" w:eastAsia="宋体" w:hint="default"/>
          <w:w w:val="111"/>
          <w:sz w:val="16"/>
          <w:szCs w:val="16"/>
        </w:rPr>
        <w:t>5</w:t>
      </w:r>
      <w:r>
        <w:rPr>
          <w:rFonts w:ascii="宋体" w:hAnsi="宋体" w:cs="宋体" w:eastAsia="宋体" w:hint="default"/>
          <w:spacing w:val="-40"/>
          <w:sz w:val="16"/>
          <w:szCs w:val="16"/>
        </w:rPr>
        <w:t> </w:t>
      </w:r>
      <w:r>
        <w:rPr>
          <w:rFonts w:ascii="宋体" w:hAnsi="宋体" w:cs="宋体" w:eastAsia="宋体" w:hint="default"/>
          <w:sz w:val="16"/>
          <w:szCs w:val="16"/>
        </w:rPr>
        <w:t>万元，姜爱华</w:t>
      </w:r>
    </w:p>
    <w:p>
      <w:pPr>
        <w:spacing w:line="321" w:lineRule="auto" w:before="70"/>
        <w:ind w:left="1175" w:right="1424" w:firstLine="0"/>
        <w:jc w:val="both"/>
        <w:rPr>
          <w:rFonts w:ascii="宋体" w:hAnsi="宋体" w:cs="宋体" w:eastAsia="宋体" w:hint="default"/>
          <w:sz w:val="16"/>
          <w:szCs w:val="16"/>
        </w:rPr>
      </w:pPr>
      <w:r>
        <w:rPr>
          <w:rFonts w:ascii="宋体" w:hAnsi="宋体" w:cs="宋体" w:eastAsia="宋体" w:hint="default"/>
          <w:spacing w:val="2"/>
          <w:sz w:val="16"/>
          <w:szCs w:val="16"/>
        </w:rPr>
        <w:t>女士</w:t>
      </w:r>
      <w:r>
        <w:rPr>
          <w:rFonts w:ascii="宋体" w:hAnsi="宋体" w:cs="宋体" w:eastAsia="宋体" w:hint="default"/>
          <w:spacing w:val="-38"/>
          <w:sz w:val="16"/>
          <w:szCs w:val="16"/>
        </w:rPr>
        <w:t> </w:t>
      </w:r>
      <w:r>
        <w:rPr>
          <w:rFonts w:ascii="宋体" w:hAnsi="宋体" w:cs="宋体" w:eastAsia="宋体" w:hint="default"/>
          <w:spacing w:val="-1"/>
          <w:w w:val="99"/>
          <w:sz w:val="16"/>
          <w:szCs w:val="16"/>
        </w:rPr>
        <w:t>79.08</w:t>
      </w:r>
      <w:r>
        <w:rPr>
          <w:rFonts w:ascii="宋体" w:hAnsi="宋体" w:cs="宋体" w:eastAsia="宋体" w:hint="default"/>
          <w:spacing w:val="-38"/>
          <w:w w:val="99"/>
          <w:sz w:val="16"/>
          <w:szCs w:val="16"/>
        </w:rPr>
        <w:t> </w:t>
      </w:r>
      <w:r>
        <w:rPr>
          <w:rFonts w:ascii="宋体" w:hAnsi="宋体" w:cs="宋体" w:eastAsia="宋体" w:hint="default"/>
          <w:spacing w:val="3"/>
          <w:sz w:val="16"/>
          <w:szCs w:val="16"/>
        </w:rPr>
        <w:t>万元，陆益民先生</w:t>
      </w:r>
      <w:r>
        <w:rPr>
          <w:rFonts w:ascii="宋体" w:hAnsi="宋体" w:cs="宋体" w:eastAsia="宋体" w:hint="default"/>
          <w:spacing w:val="-38"/>
          <w:sz w:val="16"/>
          <w:szCs w:val="16"/>
        </w:rPr>
        <w:t> </w:t>
      </w:r>
      <w:r>
        <w:rPr>
          <w:rFonts w:ascii="宋体" w:hAnsi="宋体" w:cs="宋体" w:eastAsia="宋体" w:hint="default"/>
          <w:spacing w:val="-1"/>
          <w:w w:val="99"/>
          <w:sz w:val="16"/>
          <w:szCs w:val="16"/>
        </w:rPr>
        <w:t>50.10</w:t>
      </w:r>
      <w:r>
        <w:rPr>
          <w:rFonts w:ascii="宋体" w:hAnsi="宋体" w:cs="宋体" w:eastAsia="宋体" w:hint="default"/>
          <w:spacing w:val="-38"/>
          <w:w w:val="99"/>
          <w:sz w:val="16"/>
          <w:szCs w:val="16"/>
        </w:rPr>
        <w:t> </w:t>
      </w:r>
      <w:r>
        <w:rPr>
          <w:rFonts w:ascii="宋体" w:hAnsi="宋体" w:cs="宋体" w:eastAsia="宋体" w:hint="default"/>
          <w:spacing w:val="3"/>
          <w:sz w:val="16"/>
          <w:szCs w:val="16"/>
        </w:rPr>
        <w:t>万元，姜正新先生</w:t>
      </w:r>
      <w:r>
        <w:rPr>
          <w:rFonts w:ascii="宋体" w:hAnsi="宋体" w:cs="宋体" w:eastAsia="宋体" w:hint="default"/>
          <w:spacing w:val="-38"/>
          <w:sz w:val="16"/>
          <w:szCs w:val="16"/>
        </w:rPr>
        <w:t> </w:t>
      </w:r>
      <w:r>
        <w:rPr>
          <w:rFonts w:ascii="宋体" w:hAnsi="宋体" w:cs="宋体" w:eastAsia="宋体" w:hint="default"/>
          <w:spacing w:val="-1"/>
          <w:w w:val="97"/>
          <w:sz w:val="16"/>
          <w:szCs w:val="16"/>
        </w:rPr>
        <w:t>2.76</w:t>
      </w:r>
      <w:r>
        <w:rPr>
          <w:rFonts w:ascii="宋体" w:hAnsi="宋体" w:cs="宋体" w:eastAsia="宋体" w:hint="default"/>
          <w:spacing w:val="-36"/>
          <w:w w:val="97"/>
          <w:sz w:val="16"/>
          <w:szCs w:val="16"/>
        </w:rPr>
        <w:t> </w:t>
      </w:r>
      <w:r>
        <w:rPr>
          <w:rFonts w:ascii="宋体" w:hAnsi="宋体" w:cs="宋体" w:eastAsia="宋体" w:hint="default"/>
          <w:spacing w:val="2"/>
          <w:sz w:val="16"/>
          <w:szCs w:val="16"/>
        </w:rPr>
        <w:t>万元，王霞女士</w:t>
      </w:r>
      <w:r>
        <w:rPr>
          <w:rFonts w:ascii="宋体" w:hAnsi="宋体" w:cs="宋体" w:eastAsia="宋体" w:hint="default"/>
          <w:spacing w:val="-38"/>
          <w:sz w:val="16"/>
          <w:szCs w:val="16"/>
        </w:rPr>
        <w:t> </w:t>
      </w:r>
      <w:r>
        <w:rPr>
          <w:rFonts w:ascii="宋体" w:hAnsi="宋体" w:cs="宋体" w:eastAsia="宋体" w:hint="default"/>
          <w:spacing w:val="-1"/>
          <w:w w:val="99"/>
          <w:sz w:val="16"/>
          <w:szCs w:val="16"/>
        </w:rPr>
        <w:t>49.70</w:t>
      </w:r>
      <w:r>
        <w:rPr>
          <w:rFonts w:ascii="宋体" w:hAnsi="宋体" w:cs="宋体" w:eastAsia="宋体" w:hint="default"/>
          <w:spacing w:val="-38"/>
          <w:w w:val="99"/>
          <w:sz w:val="16"/>
          <w:szCs w:val="16"/>
        </w:rPr>
        <w:t> </w:t>
      </w:r>
      <w:r>
        <w:rPr>
          <w:rFonts w:ascii="宋体" w:hAnsi="宋体" w:cs="宋体" w:eastAsia="宋体" w:hint="default"/>
          <w:spacing w:val="3"/>
          <w:sz w:val="16"/>
          <w:szCs w:val="16"/>
        </w:rPr>
        <w:t>万元，范云军先生自</w:t>
      </w:r>
      <w:r>
        <w:rPr>
          <w:rFonts w:ascii="宋体" w:hAnsi="宋体" w:cs="宋体" w:eastAsia="宋体" w:hint="default"/>
          <w:spacing w:val="-38"/>
          <w:sz w:val="16"/>
          <w:szCs w:val="16"/>
        </w:rPr>
        <w:t> </w:t>
      </w:r>
      <w:r>
        <w:rPr>
          <w:rFonts w:ascii="宋体" w:hAnsi="宋体" w:cs="宋体" w:eastAsia="宋体" w:hint="default"/>
          <w:spacing w:val="-1"/>
          <w:w w:val="111"/>
          <w:sz w:val="16"/>
          <w:szCs w:val="16"/>
        </w:rPr>
        <w:t>2019</w:t>
      </w:r>
      <w:r>
        <w:rPr>
          <w:rFonts w:ascii="宋体" w:hAnsi="宋体" w:cs="宋体" w:eastAsia="宋体" w:hint="default"/>
          <w:spacing w:val="-47"/>
          <w:w w:val="111"/>
          <w:sz w:val="16"/>
          <w:szCs w:val="16"/>
        </w:rPr>
        <w:t> </w:t>
      </w:r>
      <w:r>
        <w:rPr>
          <w:rFonts w:ascii="宋体" w:hAnsi="宋体" w:cs="宋体" w:eastAsia="宋体" w:hint="default"/>
          <w:sz w:val="16"/>
          <w:szCs w:val="16"/>
        </w:rPr>
        <w:t>年</w:t>
      </w:r>
      <w:r>
        <w:rPr>
          <w:rFonts w:ascii="宋体" w:hAnsi="宋体" w:cs="宋体" w:eastAsia="宋体" w:hint="default"/>
          <w:spacing w:val="-38"/>
          <w:sz w:val="16"/>
          <w:szCs w:val="16"/>
        </w:rPr>
        <w:t> </w:t>
      </w:r>
      <w:r>
        <w:rPr>
          <w:rFonts w:ascii="宋体" w:hAnsi="宋体" w:cs="宋体" w:eastAsia="宋体" w:hint="default"/>
          <w:w w:val="111"/>
          <w:sz w:val="16"/>
          <w:szCs w:val="16"/>
        </w:rPr>
        <w:t>1</w:t>
      </w:r>
      <w:r>
        <w:rPr>
          <w:rFonts w:ascii="宋体" w:hAnsi="宋体" w:cs="宋体" w:eastAsia="宋体" w:hint="default"/>
          <w:spacing w:val="-47"/>
          <w:w w:val="111"/>
          <w:sz w:val="16"/>
          <w:szCs w:val="16"/>
        </w:rPr>
        <w:t> </w:t>
      </w:r>
      <w:r>
        <w:rPr>
          <w:rFonts w:ascii="宋体" w:hAnsi="宋体" w:cs="宋体" w:eastAsia="宋体" w:hint="default"/>
          <w:spacing w:val="4"/>
          <w:sz w:val="16"/>
          <w:szCs w:val="16"/>
        </w:rPr>
        <w:t>月起任本公司高</w:t>
      </w:r>
      <w:r>
        <w:rPr>
          <w:rFonts w:ascii="宋体" w:hAnsi="宋体" w:cs="宋体" w:eastAsia="宋体" w:hint="default"/>
          <w:spacing w:val="4"/>
          <w:sz w:val="16"/>
          <w:szCs w:val="16"/>
        </w:rPr>
        <w:t> </w:t>
      </w:r>
      <w:r>
        <w:rPr>
          <w:rFonts w:ascii="宋体" w:hAnsi="宋体" w:cs="宋体" w:eastAsia="宋体" w:hint="default"/>
          <w:sz w:val="16"/>
          <w:szCs w:val="16"/>
        </w:rPr>
        <w:t>级副总裁，报告期内未领取薪酬。</w:t>
      </w:r>
    </w:p>
    <w:p>
      <w:pPr>
        <w:spacing w:before="129"/>
        <w:ind w:left="1175" w:right="0" w:firstLine="0"/>
        <w:jc w:val="both"/>
        <w:rPr>
          <w:rFonts w:ascii="宋体" w:hAnsi="宋体" w:cs="宋体" w:eastAsia="宋体" w:hint="default"/>
          <w:sz w:val="16"/>
          <w:szCs w:val="16"/>
        </w:rPr>
      </w:pPr>
      <w:r>
        <w:rPr>
          <w:rFonts w:ascii="宋体" w:hAnsi="宋体" w:cs="宋体" w:eastAsia="宋体" w:hint="default"/>
          <w:spacing w:val="-1"/>
          <w:w w:val="111"/>
          <w:sz w:val="16"/>
          <w:szCs w:val="16"/>
        </w:rPr>
        <w:t>3</w:t>
      </w:r>
      <w:r>
        <w:rPr>
          <w:rFonts w:ascii="宋体" w:hAnsi="宋体" w:cs="宋体" w:eastAsia="宋体" w:hint="default"/>
          <w:w w:val="55"/>
          <w:sz w:val="16"/>
          <w:szCs w:val="16"/>
        </w:rPr>
        <w:t>.</w:t>
      </w:r>
      <w:r>
        <w:rPr>
          <w:rFonts w:ascii="宋体" w:hAnsi="宋体" w:cs="宋体" w:eastAsia="宋体" w:hint="default"/>
          <w:spacing w:val="-40"/>
          <w:sz w:val="16"/>
          <w:szCs w:val="16"/>
        </w:rPr>
        <w:t> </w:t>
      </w:r>
      <w:r>
        <w:rPr>
          <w:rFonts w:ascii="宋体" w:hAnsi="宋体" w:cs="宋体" w:eastAsia="宋体" w:hint="default"/>
          <w:sz w:val="16"/>
          <w:szCs w:val="16"/>
        </w:rPr>
        <w:t>根据《关于做好中央企业负责人薪酬信息披露工作的通知》（国资分配</w:t>
      </w:r>
      <w:r>
        <w:rPr>
          <w:rFonts w:ascii="宋体" w:hAnsi="宋体" w:cs="宋体" w:eastAsia="宋体" w:hint="default"/>
          <w:spacing w:val="-40"/>
          <w:sz w:val="16"/>
          <w:szCs w:val="16"/>
        </w:rPr>
        <w:t> </w:t>
      </w:r>
      <w:r>
        <w:rPr>
          <w:rFonts w:ascii="宋体" w:hAnsi="宋体" w:cs="宋体" w:eastAsia="宋体" w:hint="default"/>
          <w:w w:val="55"/>
          <w:sz w:val="16"/>
          <w:szCs w:val="16"/>
        </w:rPr>
        <w:t>[</w:t>
      </w:r>
      <w:r>
        <w:rPr>
          <w:rFonts w:ascii="宋体" w:hAnsi="宋体" w:cs="宋体" w:eastAsia="宋体" w:hint="default"/>
          <w:spacing w:val="-1"/>
          <w:w w:val="111"/>
          <w:sz w:val="16"/>
          <w:szCs w:val="16"/>
        </w:rPr>
        <w:t>2016</w:t>
      </w:r>
      <w:r>
        <w:rPr>
          <w:rFonts w:ascii="宋体" w:hAnsi="宋体" w:cs="宋体" w:eastAsia="宋体" w:hint="default"/>
          <w:w w:val="55"/>
          <w:sz w:val="16"/>
          <w:szCs w:val="16"/>
        </w:rPr>
        <w:t>]</w:t>
      </w:r>
      <w:r>
        <w:rPr>
          <w:rFonts w:ascii="宋体" w:hAnsi="宋体" w:cs="宋体" w:eastAsia="宋体" w:hint="default"/>
          <w:spacing w:val="-1"/>
          <w:w w:val="111"/>
          <w:sz w:val="16"/>
          <w:szCs w:val="16"/>
        </w:rPr>
        <w:t>33</w:t>
      </w:r>
      <w:r>
        <w:rPr>
          <w:rFonts w:ascii="宋体" w:hAnsi="宋体" w:cs="宋体" w:eastAsia="宋体" w:hint="default"/>
          <w:w w:val="111"/>
          <w:sz w:val="16"/>
          <w:szCs w:val="16"/>
        </w:rPr>
        <w:t>9</w:t>
      </w:r>
      <w:r>
        <w:rPr>
          <w:rFonts w:ascii="宋体" w:hAnsi="宋体" w:cs="宋体" w:eastAsia="宋体" w:hint="default"/>
          <w:spacing w:val="-21"/>
          <w:sz w:val="16"/>
          <w:szCs w:val="16"/>
        </w:rPr>
        <w:t> </w:t>
      </w:r>
      <w:r>
        <w:rPr>
          <w:rFonts w:ascii="宋体" w:hAnsi="宋体" w:cs="宋体" w:eastAsia="宋体" w:hint="default"/>
          <w:sz w:val="16"/>
          <w:szCs w:val="16"/>
        </w:rPr>
        <w:t>号）要求，上述人员报告期内还获得</w:t>
      </w:r>
      <w:r>
        <w:rPr>
          <w:rFonts w:ascii="宋体" w:hAnsi="宋体" w:cs="宋体" w:eastAsia="宋体" w:hint="default"/>
          <w:spacing w:val="-40"/>
          <w:sz w:val="16"/>
          <w:szCs w:val="16"/>
        </w:rPr>
        <w:t> </w:t>
      </w:r>
      <w:r>
        <w:rPr>
          <w:rFonts w:ascii="宋体" w:hAnsi="宋体" w:cs="宋体" w:eastAsia="宋体" w:hint="default"/>
          <w:spacing w:val="-1"/>
          <w:w w:val="111"/>
          <w:sz w:val="16"/>
          <w:szCs w:val="16"/>
        </w:rPr>
        <w:t>201</w:t>
      </w:r>
      <w:r>
        <w:rPr>
          <w:rFonts w:ascii="宋体" w:hAnsi="宋体" w:cs="宋体" w:eastAsia="宋体" w:hint="default"/>
          <w:w w:val="111"/>
          <w:sz w:val="16"/>
          <w:szCs w:val="16"/>
        </w:rPr>
        <w:t>5</w:t>
      </w:r>
      <w:r>
        <w:rPr>
          <w:rFonts w:ascii="宋体" w:hAnsi="宋体" w:cs="宋体" w:eastAsia="宋体" w:hint="default"/>
          <w:spacing w:val="-40"/>
          <w:sz w:val="16"/>
          <w:szCs w:val="16"/>
        </w:rPr>
        <w:t> </w:t>
      </w:r>
      <w:r>
        <w:rPr>
          <w:rFonts w:ascii="宋体" w:hAnsi="宋体" w:cs="宋体" w:eastAsia="宋体" w:hint="default"/>
          <w:sz w:val="16"/>
          <w:szCs w:val="16"/>
        </w:rPr>
        <w:t>年度</w:t>
      </w:r>
    </w:p>
    <w:p>
      <w:pPr>
        <w:spacing w:before="70"/>
        <w:ind w:left="1175" w:right="0" w:firstLine="0"/>
        <w:jc w:val="both"/>
        <w:rPr>
          <w:rFonts w:ascii="宋体" w:hAnsi="宋体" w:cs="宋体" w:eastAsia="宋体" w:hint="default"/>
          <w:sz w:val="16"/>
          <w:szCs w:val="16"/>
        </w:rPr>
      </w:pPr>
      <w:r>
        <w:rPr>
          <w:rFonts w:ascii="宋体" w:hAnsi="宋体" w:cs="宋体" w:eastAsia="宋体" w:hint="default"/>
          <w:sz w:val="16"/>
          <w:szCs w:val="16"/>
        </w:rPr>
        <w:t>任期激励收入：王晓初先生</w:t>
      </w:r>
      <w:r>
        <w:rPr>
          <w:rFonts w:ascii="宋体" w:hAnsi="宋体" w:cs="宋体" w:eastAsia="宋体" w:hint="default"/>
          <w:spacing w:val="-42"/>
          <w:sz w:val="16"/>
          <w:szCs w:val="16"/>
        </w:rPr>
        <w:t> </w:t>
      </w:r>
      <w:r>
        <w:rPr>
          <w:rFonts w:ascii="宋体" w:hAnsi="宋体" w:cs="宋体" w:eastAsia="宋体" w:hint="default"/>
          <w:sz w:val="16"/>
          <w:szCs w:val="16"/>
        </w:rPr>
        <w:t>5.89</w:t>
      </w:r>
      <w:r>
        <w:rPr>
          <w:rFonts w:ascii="宋体" w:hAnsi="宋体" w:cs="宋体" w:eastAsia="宋体" w:hint="default"/>
          <w:spacing w:val="-43"/>
          <w:sz w:val="16"/>
          <w:szCs w:val="16"/>
        </w:rPr>
        <w:t> </w:t>
      </w:r>
      <w:r>
        <w:rPr>
          <w:rFonts w:ascii="宋体" w:hAnsi="宋体" w:cs="宋体" w:eastAsia="宋体" w:hint="default"/>
          <w:sz w:val="16"/>
          <w:szCs w:val="16"/>
        </w:rPr>
        <w:t>万元，李福申先生</w:t>
      </w:r>
      <w:r>
        <w:rPr>
          <w:rFonts w:ascii="宋体" w:hAnsi="宋体" w:cs="宋体" w:eastAsia="宋体" w:hint="default"/>
          <w:spacing w:val="-42"/>
          <w:sz w:val="16"/>
          <w:szCs w:val="16"/>
        </w:rPr>
        <w:t> </w:t>
      </w:r>
      <w:r>
        <w:rPr>
          <w:rFonts w:ascii="宋体" w:hAnsi="宋体" w:cs="宋体" w:eastAsia="宋体" w:hint="default"/>
          <w:sz w:val="16"/>
          <w:szCs w:val="16"/>
        </w:rPr>
        <w:t>15.89</w:t>
      </w:r>
      <w:r>
        <w:rPr>
          <w:rFonts w:ascii="宋体" w:hAnsi="宋体" w:cs="宋体" w:eastAsia="宋体" w:hint="default"/>
          <w:spacing w:val="-43"/>
          <w:sz w:val="16"/>
          <w:szCs w:val="16"/>
        </w:rPr>
        <w:t> </w:t>
      </w:r>
      <w:r>
        <w:rPr>
          <w:rFonts w:ascii="宋体" w:hAnsi="宋体" w:cs="宋体" w:eastAsia="宋体" w:hint="default"/>
          <w:sz w:val="16"/>
          <w:szCs w:val="16"/>
        </w:rPr>
        <w:t>万元，邵广禄先生</w:t>
      </w:r>
      <w:r>
        <w:rPr>
          <w:rFonts w:ascii="宋体" w:hAnsi="宋体" w:cs="宋体" w:eastAsia="宋体" w:hint="default"/>
          <w:spacing w:val="-42"/>
          <w:sz w:val="16"/>
          <w:szCs w:val="16"/>
        </w:rPr>
        <w:t> </w:t>
      </w:r>
      <w:r>
        <w:rPr>
          <w:rFonts w:ascii="宋体" w:hAnsi="宋体" w:cs="宋体" w:eastAsia="宋体" w:hint="default"/>
          <w:sz w:val="16"/>
          <w:szCs w:val="16"/>
        </w:rPr>
        <w:t>15.54</w:t>
      </w:r>
      <w:r>
        <w:rPr>
          <w:rFonts w:ascii="宋体" w:hAnsi="宋体" w:cs="宋体" w:eastAsia="宋体" w:hint="default"/>
          <w:spacing w:val="-43"/>
          <w:sz w:val="16"/>
          <w:szCs w:val="16"/>
        </w:rPr>
        <w:t> </w:t>
      </w:r>
      <w:r>
        <w:rPr>
          <w:rFonts w:ascii="宋体" w:hAnsi="宋体" w:cs="宋体" w:eastAsia="宋体" w:hint="default"/>
          <w:sz w:val="16"/>
          <w:szCs w:val="16"/>
        </w:rPr>
        <w:t>万元，陆益民先生</w:t>
      </w:r>
      <w:r>
        <w:rPr>
          <w:rFonts w:ascii="宋体" w:hAnsi="宋体" w:cs="宋体" w:eastAsia="宋体" w:hint="default"/>
          <w:spacing w:val="-42"/>
          <w:sz w:val="16"/>
          <w:szCs w:val="16"/>
        </w:rPr>
        <w:t> </w:t>
      </w:r>
      <w:r>
        <w:rPr>
          <w:rFonts w:ascii="宋体" w:hAnsi="宋体" w:cs="宋体" w:eastAsia="宋体" w:hint="default"/>
          <w:sz w:val="16"/>
          <w:szCs w:val="16"/>
        </w:rPr>
        <w:t>17.66</w:t>
      </w:r>
      <w:r>
        <w:rPr>
          <w:rFonts w:ascii="宋体" w:hAnsi="宋体" w:cs="宋体" w:eastAsia="宋体" w:hint="default"/>
          <w:spacing w:val="-43"/>
          <w:sz w:val="16"/>
          <w:szCs w:val="16"/>
        </w:rPr>
        <w:t> </w:t>
      </w:r>
      <w:r>
        <w:rPr>
          <w:rFonts w:ascii="宋体" w:hAnsi="宋体" w:cs="宋体" w:eastAsia="宋体" w:hint="default"/>
          <w:sz w:val="16"/>
          <w:szCs w:val="16"/>
        </w:rPr>
        <w:t>万元。</w:t>
      </w:r>
    </w:p>
    <w:p>
      <w:pPr>
        <w:spacing w:line="240" w:lineRule="auto" w:before="1"/>
        <w:rPr>
          <w:rFonts w:ascii="宋体" w:hAnsi="宋体" w:cs="宋体" w:eastAsia="宋体" w:hint="default"/>
          <w:sz w:val="14"/>
          <w:szCs w:val="14"/>
        </w:rPr>
      </w:pPr>
    </w:p>
    <w:p>
      <w:pPr>
        <w:spacing w:before="0"/>
        <w:ind w:left="1175" w:right="0" w:firstLine="0"/>
        <w:jc w:val="both"/>
        <w:rPr>
          <w:rFonts w:ascii="宋体" w:hAnsi="宋体" w:cs="宋体" w:eastAsia="宋体" w:hint="default"/>
          <w:sz w:val="16"/>
          <w:szCs w:val="16"/>
        </w:rPr>
      </w:pPr>
      <w:r>
        <w:rPr>
          <w:rFonts w:ascii="宋体" w:hAnsi="宋体" w:cs="宋体" w:eastAsia="宋体" w:hint="default"/>
          <w:sz w:val="16"/>
          <w:szCs w:val="16"/>
        </w:rPr>
        <w:t>4.</w:t>
      </w:r>
      <w:r>
        <w:rPr>
          <w:rFonts w:ascii="宋体" w:hAnsi="宋体" w:cs="宋体" w:eastAsia="宋体" w:hint="default"/>
          <w:spacing w:val="-37"/>
          <w:sz w:val="16"/>
          <w:szCs w:val="16"/>
        </w:rPr>
        <w:t> </w:t>
      </w:r>
      <w:r>
        <w:rPr>
          <w:rFonts w:ascii="宋体" w:hAnsi="宋体" w:cs="宋体" w:eastAsia="宋体" w:hint="default"/>
          <w:sz w:val="16"/>
          <w:szCs w:val="16"/>
        </w:rPr>
        <w:t>李红滨先生于</w:t>
      </w:r>
      <w:r>
        <w:rPr>
          <w:rFonts w:ascii="宋体" w:hAnsi="宋体" w:cs="宋体" w:eastAsia="宋体" w:hint="default"/>
          <w:spacing w:val="-37"/>
          <w:sz w:val="16"/>
          <w:szCs w:val="16"/>
        </w:rPr>
        <w:t> </w:t>
      </w:r>
      <w:r>
        <w:rPr>
          <w:rFonts w:ascii="宋体" w:hAnsi="宋体" w:cs="宋体" w:eastAsia="宋体" w:hint="default"/>
          <w:sz w:val="16"/>
          <w:szCs w:val="16"/>
        </w:rPr>
        <w:t>2018</w:t>
      </w:r>
      <w:r>
        <w:rPr>
          <w:rFonts w:ascii="宋体" w:hAnsi="宋体" w:cs="宋体" w:eastAsia="宋体" w:hint="default"/>
          <w:spacing w:val="-38"/>
          <w:sz w:val="16"/>
          <w:szCs w:val="16"/>
        </w:rPr>
        <w:t> </w:t>
      </w:r>
      <w:r>
        <w:rPr>
          <w:rFonts w:ascii="宋体" w:hAnsi="宋体" w:cs="宋体" w:eastAsia="宋体" w:hint="default"/>
          <w:sz w:val="16"/>
          <w:szCs w:val="16"/>
        </w:rPr>
        <w:t>年</w:t>
      </w:r>
      <w:r>
        <w:rPr>
          <w:rFonts w:ascii="宋体" w:hAnsi="宋体" w:cs="宋体" w:eastAsia="宋体" w:hint="default"/>
          <w:spacing w:val="-37"/>
          <w:sz w:val="16"/>
          <w:szCs w:val="16"/>
        </w:rPr>
        <w:t> </w:t>
      </w:r>
      <w:r>
        <w:rPr>
          <w:rFonts w:ascii="宋体" w:hAnsi="宋体" w:cs="宋体" w:eastAsia="宋体" w:hint="default"/>
          <w:sz w:val="16"/>
          <w:szCs w:val="16"/>
        </w:rPr>
        <w:t>2</w:t>
      </w:r>
      <w:r>
        <w:rPr>
          <w:rFonts w:ascii="宋体" w:hAnsi="宋体" w:cs="宋体" w:eastAsia="宋体" w:hint="default"/>
          <w:spacing w:val="-38"/>
          <w:sz w:val="16"/>
          <w:szCs w:val="16"/>
        </w:rPr>
        <w:t> </w:t>
      </w:r>
      <w:r>
        <w:rPr>
          <w:rFonts w:ascii="宋体" w:hAnsi="宋体" w:cs="宋体" w:eastAsia="宋体" w:hint="default"/>
          <w:sz w:val="16"/>
          <w:szCs w:val="16"/>
        </w:rPr>
        <w:t>月初实际离任，变动股数全部为其实际离任后于二级市场公开交易获得。</w:t>
      </w:r>
    </w:p>
    <w:p>
      <w:pPr>
        <w:spacing w:after="0"/>
        <w:jc w:val="both"/>
        <w:rPr>
          <w:rFonts w:ascii="宋体" w:hAnsi="宋体" w:cs="宋体" w:eastAsia="宋体" w:hint="default"/>
          <w:sz w:val="16"/>
          <w:szCs w:val="16"/>
        </w:rPr>
        <w:sectPr>
          <w:headerReference w:type="even" r:id="rId187"/>
          <w:headerReference w:type="default" r:id="rId188"/>
          <w:footerReference w:type="even" r:id="rId189"/>
          <w:footerReference w:type="default" r:id="rId190"/>
          <w:pgSz w:w="11910" w:h="16160"/>
          <w:pgMar w:header="0" w:footer="971" w:top="2220" w:bottom="1160" w:left="0" w:right="0"/>
          <w:pgNumType w:start="56"/>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pStyle w:val="BodyText"/>
        <w:spacing w:line="240" w:lineRule="auto" w:before="31"/>
        <w:ind w:left="1757" w:right="764"/>
        <w:jc w:val="left"/>
        <w:rPr>
          <w:rFonts w:ascii="宋体" w:hAnsi="宋体" w:cs="宋体" w:eastAsia="宋体" w:hint="default"/>
        </w:rPr>
      </w:pPr>
      <w:r>
        <w:rPr>
          <w:rFonts w:ascii="宋体" w:hAnsi="宋体" w:cs="宋体" w:eastAsia="宋体" w:hint="default"/>
          <w:w w:val="95"/>
        </w:rPr>
        <w:t>1. </w:t>
      </w:r>
      <w:r>
        <w:rPr>
          <w:rFonts w:ascii="宋体" w:hAnsi="宋体" w:cs="宋体" w:eastAsia="宋体" w:hint="default"/>
          <w:spacing w:val="77"/>
          <w:w w:val="95"/>
        </w:rPr>
        <w:t> </w:t>
      </w:r>
      <w:r>
        <w:rPr>
          <w:rFonts w:ascii="宋体" w:hAnsi="宋体" w:cs="宋体" w:eastAsia="宋体" w:hint="default"/>
          <w:w w:val="95"/>
        </w:rPr>
        <w:t>截至年报披露日，公司现任董事、监事和高级管理人员：</w:t>
      </w:r>
    </w:p>
    <w:p>
      <w:pPr>
        <w:spacing w:line="240" w:lineRule="auto" w:before="11"/>
        <w:rPr>
          <w:rFonts w:ascii="宋体" w:hAnsi="宋体" w:cs="宋体" w:eastAsia="宋体" w:hint="default"/>
          <w:sz w:val="22"/>
          <w:szCs w:val="22"/>
        </w:rPr>
      </w:pPr>
    </w:p>
    <w:p>
      <w:pPr>
        <w:pStyle w:val="Heading8"/>
        <w:spacing w:line="240" w:lineRule="auto"/>
        <w:ind w:right="764"/>
        <w:jc w:val="left"/>
        <w:rPr>
          <w:rFonts w:ascii="宋体" w:hAnsi="宋体" w:cs="宋体" w:eastAsia="宋体" w:hint="default"/>
        </w:rPr>
      </w:pPr>
      <w:r>
        <w:rPr>
          <w:rFonts w:ascii="宋体" w:hAnsi="宋体" w:cs="宋体" w:eastAsia="宋体" w:hint="default"/>
        </w:rPr>
        <w:t>王晓初</w:t>
      </w:r>
    </w:p>
    <w:p>
      <w:pPr>
        <w:spacing w:line="240" w:lineRule="auto" w:before="6"/>
        <w:rPr>
          <w:rFonts w:ascii="宋体" w:hAnsi="宋体" w:cs="宋体" w:eastAsia="宋体" w:hint="default"/>
          <w:sz w:val="9"/>
          <w:szCs w:val="9"/>
        </w:rPr>
      </w:pPr>
    </w:p>
    <w:p>
      <w:pPr>
        <w:spacing w:line="65" w:lineRule="exact"/>
        <w:ind w:left="1727"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2494" w:right="847"/>
        <w:jc w:val="both"/>
        <w:rPr>
          <w:rFonts w:ascii="宋体" w:hAnsi="宋体" w:cs="宋体" w:eastAsia="宋体" w:hint="default"/>
        </w:rPr>
      </w:pPr>
      <w:r>
        <w:rPr>
          <w:rFonts w:ascii="宋体" w:hAnsi="宋体" w:cs="宋体" w:eastAsia="宋体" w:hint="default"/>
        </w:rPr>
        <w:t>教授级高级工程师。于</w:t>
      </w:r>
      <w:r>
        <w:rPr>
          <w:rFonts w:ascii="宋体" w:hAnsi="宋体" w:cs="宋体" w:eastAsia="宋体" w:hint="default"/>
          <w:spacing w:val="-30"/>
        </w:rPr>
        <w:t> </w:t>
      </w:r>
      <w:r>
        <w:rPr>
          <w:rFonts w:ascii="宋体" w:hAnsi="宋体" w:cs="宋体" w:eastAsia="宋体" w:hint="default"/>
        </w:rPr>
        <w:t>1989</w:t>
      </w:r>
      <w:r>
        <w:rPr>
          <w:rFonts w:ascii="宋体" w:hAnsi="宋体" w:cs="宋体" w:eastAsia="宋体" w:hint="default"/>
          <w:spacing w:val="-30"/>
        </w:rPr>
        <w:t> </w:t>
      </w:r>
      <w:r>
        <w:rPr>
          <w:rFonts w:ascii="宋体" w:hAnsi="宋体" w:cs="宋体" w:eastAsia="宋体" w:hint="default"/>
        </w:rPr>
        <w:t>年毕业于北京邮电学院；于</w:t>
      </w:r>
      <w:r>
        <w:rPr>
          <w:rFonts w:ascii="宋体" w:hAnsi="宋体" w:cs="宋体" w:eastAsia="宋体" w:hint="default"/>
          <w:spacing w:val="-30"/>
        </w:rPr>
        <w:t> </w:t>
      </w:r>
      <w:r>
        <w:rPr>
          <w:rFonts w:ascii="宋体" w:hAnsi="宋体" w:cs="宋体" w:eastAsia="宋体" w:hint="default"/>
        </w:rPr>
        <w:t>2005</w:t>
      </w:r>
      <w:r>
        <w:rPr>
          <w:rFonts w:ascii="宋体" w:hAnsi="宋体" w:cs="宋体" w:eastAsia="宋体" w:hint="default"/>
          <w:spacing w:val="-30"/>
        </w:rPr>
        <w:t> </w:t>
      </w:r>
      <w:r>
        <w:rPr>
          <w:rFonts w:ascii="宋体" w:hAnsi="宋体" w:cs="宋体" w:eastAsia="宋体" w:hint="default"/>
        </w:rPr>
        <w:t>年获得香港理工大学工商管理博士学位。王晓</w:t>
      </w:r>
      <w:r>
        <w:rPr>
          <w:rFonts w:ascii="宋体" w:hAnsi="宋体" w:cs="宋体" w:eastAsia="宋体" w:hint="default"/>
          <w:spacing w:val="-78"/>
        </w:rPr>
        <w:t> </w:t>
      </w:r>
      <w:r>
        <w:rPr>
          <w:rFonts w:ascii="宋体" w:hAnsi="宋体" w:cs="宋体" w:eastAsia="宋体" w:hint="default"/>
          <w:spacing w:val="-78"/>
        </w:rPr>
      </w:r>
      <w:r>
        <w:rPr>
          <w:rFonts w:ascii="宋体" w:hAnsi="宋体" w:cs="宋体" w:eastAsia="宋体" w:hint="default"/>
        </w:rPr>
        <w:t>初先生曾任浙江省杭州市电信局副局长、局长；天津市邮电管理局局长；中国移动（香港）有限公司董事长</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rPr>
        <w:t>兼首席执行官；中国移动通信集团公司副总经理；中国电信股份有限公司执行董事、董事长兼首席执行官；</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中国电信集团公司董事长及总经理；及中国通信服务股份有限公司董事长兼非执行董事。王先生自</w:t>
      </w:r>
      <w:r>
        <w:rPr>
          <w:rFonts w:ascii="宋体" w:hAnsi="宋体" w:cs="宋体" w:eastAsia="宋体" w:hint="default"/>
          <w:spacing w:val="-32"/>
        </w:rPr>
        <w:t> </w:t>
      </w:r>
      <w:r>
        <w:rPr>
          <w:rFonts w:ascii="宋体" w:hAnsi="宋体" w:cs="宋体" w:eastAsia="宋体" w:hint="default"/>
        </w:rPr>
        <w:t>2015</w:t>
      </w:r>
      <w:r>
        <w:rPr>
          <w:rFonts w:ascii="宋体" w:hAnsi="宋体" w:cs="宋体" w:eastAsia="宋体" w:hint="default"/>
          <w:spacing w:val="-32"/>
        </w:rPr>
        <w:t> </w:t>
      </w:r>
      <w:r>
        <w:rPr>
          <w:rFonts w:ascii="宋体" w:hAnsi="宋体" w:cs="宋体" w:eastAsia="宋体" w:hint="default"/>
        </w:rPr>
        <w:t>年</w:t>
      </w:r>
      <w:r>
        <w:rPr>
          <w:rFonts w:ascii="宋体" w:hAnsi="宋体" w:cs="宋体" w:eastAsia="宋体" w:hint="default"/>
          <w:spacing w:val="-32"/>
        </w:rPr>
        <w:t> </w:t>
      </w:r>
      <w:r>
        <w:rPr>
          <w:rFonts w:ascii="宋体" w:hAnsi="宋体" w:cs="宋体" w:eastAsia="宋体" w:hint="default"/>
        </w:rPr>
        <w:t>9</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月起担任</w:t>
      </w:r>
      <w:r>
        <w:rPr>
          <w:rFonts w:ascii="宋体" w:hAnsi="宋体" w:cs="宋体" w:eastAsia="宋体" w:hint="default"/>
          <w:spacing w:val="-56"/>
        </w:rPr>
        <w:t> </w:t>
      </w:r>
      <w:r>
        <w:rPr>
          <w:rFonts w:ascii="宋体" w:hAnsi="宋体" w:cs="宋体" w:eastAsia="宋体" w:hint="default"/>
        </w:rPr>
        <w:t>Telefónica</w:t>
      </w:r>
      <w:r>
        <w:rPr>
          <w:rFonts w:ascii="宋体" w:hAnsi="宋体" w:cs="宋体" w:eastAsia="宋体" w:hint="default"/>
          <w:spacing w:val="-40"/>
        </w:rPr>
        <w:t> </w:t>
      </w:r>
      <w:r>
        <w:rPr>
          <w:rFonts w:ascii="宋体" w:hAnsi="宋体" w:cs="宋体" w:eastAsia="宋体" w:hint="default"/>
        </w:rPr>
        <w:t>S.A.（“Telefónica”，在若干证券交易所上市，包括马德里、纽约及伦敦）董事。王</w:t>
      </w:r>
      <w:r>
        <w:rPr>
          <w:rFonts w:ascii="宋体" w:hAnsi="宋体" w:cs="宋体" w:eastAsia="宋体" w:hint="default"/>
        </w:rPr>
        <w:t> </w:t>
      </w:r>
      <w:r>
        <w:rPr>
          <w:rFonts w:ascii="宋体" w:hAnsi="宋体" w:cs="宋体" w:eastAsia="宋体" w:hint="default"/>
          <w:spacing w:val="-2"/>
        </w:rPr>
        <w:t>先生目前还担任联通集团公司董事长，联通红筹公司董事长兼首席执行官、执行董事，联通运营公司董事长。</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rPr>
        <w:t>自</w:t>
      </w:r>
      <w:r>
        <w:rPr>
          <w:rFonts w:ascii="宋体" w:hAnsi="宋体" w:cs="宋体" w:eastAsia="宋体" w:hint="default"/>
          <w:spacing w:val="-33"/>
        </w:rPr>
        <w:t> </w:t>
      </w:r>
      <w:r>
        <w:rPr>
          <w:rFonts w:ascii="宋体" w:hAnsi="宋体" w:cs="宋体" w:eastAsia="宋体" w:hint="default"/>
        </w:rPr>
        <w:t>2015</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9</w:t>
      </w:r>
      <w:r>
        <w:rPr>
          <w:rFonts w:ascii="宋体" w:hAnsi="宋体" w:cs="宋体" w:eastAsia="宋体" w:hint="default"/>
          <w:spacing w:val="-34"/>
        </w:rPr>
        <w:t> </w:t>
      </w:r>
      <w:r>
        <w:rPr>
          <w:rFonts w:ascii="宋体" w:hAnsi="宋体" w:cs="宋体" w:eastAsia="宋体" w:hint="default"/>
        </w:rPr>
        <w:t>月起任本公司董事长。王晓初先生具有丰富的管理及电信行业从业经验。</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pict>
          <v:group style="position:absolute;margin-left:86.374001pt;margin-top:-14.004575pt;width:509.4pt;height:464.5pt;mso-position-horizontal-relative:page;mso-position-vertical-relative:paragraph;z-index:-964000" coordorigin="1727,-280" coordsize="10188,9290">
            <v:group style="position:absolute;left:10718;top:-280;width:1188;height:2980" coordorigin="10718,-280" coordsize="1188,2980">
              <v:shape style="position:absolute;left:10718;top:-280;width:1188;height:2980" coordorigin="10718,-280" coordsize="1188,2980" path="m11906,2699l10718,2699,11906,-280,11906,2699xe" filled="true" fillcolor="#d7000f" stroked="false">
                <v:path arrowok="t"/>
                <v:fill type="solid"/>
              </v:shape>
            </v:group>
            <v:group style="position:absolute;left:9173;top:2157;width:2733;height:6853" coordorigin="9173,2157" coordsize="2733,6853">
              <v:shape style="position:absolute;left:9173;top:2157;width:2733;height:6853" coordorigin="9173,2157" coordsize="2733,6853" path="m11906,9009l9173,9009,11906,2157,11906,9009xe" filled="true" fillcolor="#8e9090" stroked="false">
                <v:path arrowok="t"/>
                <v:fill type="solid"/>
              </v:shape>
              <v:shape style="position:absolute;left:7550;top:8074;width:188;height:188" type="#_x0000_t75" stroked="false">
                <v:imagedata r:id="rId76" o:title=""/>
              </v:shape>
            </v:group>
            <v:group style="position:absolute;left:7668;top:8168;width:4238;height:2" coordorigin="7668,8168" coordsize="4238,2">
              <v:shape style="position:absolute;left:7668;top:8168;width:4238;height:2" coordorigin="7668,8168" coordsize="4238,0" path="m7668,8168l11906,8168e" filled="false" stroked="true" strokeweight=".956pt" strokecolor="#8e9090">
                <v:path arrowok="t"/>
              </v:shape>
            </v:group>
            <v:group style="position:absolute;left:1757;top:460;width:709;height:2" coordorigin="1757,460" coordsize="709,2">
              <v:shape style="position:absolute;left:1757;top:460;width:709;height:2" coordorigin="1757,460" coordsize="709,0" path="m1757,460l2466,460e" filled="false" stroked="true" strokeweight="3pt" strokecolor="#d7000f">
                <v:path arrowok="t"/>
              </v:shape>
            </v:group>
            <v:group style="position:absolute;left:2466;top:490;width:8589;height:2" coordorigin="2466,490" coordsize="8589,2">
              <v:shape style="position:absolute;left:2466;top:490;width:8589;height:2" coordorigin="2466,490" coordsize="8589,0" path="m2466,490l11055,490e" filled="false" stroked="true" strokeweight=".5pt" strokecolor="#d7000f">
                <v:path arrowok="t"/>
              </v:shape>
            </v:group>
            <v:group style="position:absolute;left:1757;top:490;width:709;height:2" coordorigin="1757,490" coordsize="709,2">
              <v:shape style="position:absolute;left:1757;top:490;width:709;height:2" coordorigin="1757,490" coordsize="709,0" path="m1757,490l2466,490e" filled="false" stroked="true" strokeweight=".5pt" strokecolor="#d7000f">
                <v:path arrowok="t"/>
              </v:shape>
            </v:group>
            <v:group style="position:absolute;left:1757;top:2583;width:709;height:2" coordorigin="1757,2583" coordsize="709,2">
              <v:shape style="position:absolute;left:1757;top:2583;width:709;height:2" coordorigin="1757,2583" coordsize="709,0" path="m1757,2583l2466,2583e" filled="false" stroked="true" strokeweight="3pt" strokecolor="#d7000f">
                <v:path arrowok="t"/>
              </v:shape>
            </v:group>
            <v:group style="position:absolute;left:2466;top:2613;width:8589;height:2" coordorigin="2466,2613" coordsize="8589,2">
              <v:shape style="position:absolute;left:2466;top:2613;width:8589;height:2" coordorigin="2466,2613" coordsize="8589,0" path="m2466,2613l11055,2613e" filled="false" stroked="true" strokeweight=".5pt" strokecolor="#d7000f">
                <v:path arrowok="t"/>
              </v:shape>
            </v:group>
            <v:group style="position:absolute;left:1757;top:2613;width:709;height:2" coordorigin="1757,2613" coordsize="709,2">
              <v:shape style="position:absolute;left:1757;top:2613;width:709;height:2" coordorigin="1757,2613" coordsize="709,0" path="m1757,2613l2466,2613e" filled="false" stroked="true" strokeweight=".5pt" strokecolor="#d7000f">
                <v:path arrowok="t"/>
              </v:shape>
            </v:group>
            <v:group style="position:absolute;left:1757;top:5486;width:709;height:2" coordorigin="1757,5486" coordsize="709,2">
              <v:shape style="position:absolute;left:1757;top:5486;width:709;height:2" coordorigin="1757,5486" coordsize="709,0" path="m1757,5486l2466,5486e" filled="false" stroked="true" strokeweight="3pt" strokecolor="#d7000f">
                <v:path arrowok="t"/>
              </v:shape>
            </v:group>
            <v:group style="position:absolute;left:2466;top:5516;width:8589;height:2" coordorigin="2466,5516" coordsize="8589,2">
              <v:shape style="position:absolute;left:2466;top:5516;width:8589;height:2" coordorigin="2466,5516" coordsize="8589,0" path="m2466,5516l11055,5516e" filled="false" stroked="true" strokeweight=".5pt" strokecolor="#d7000f">
                <v:path arrowok="t"/>
              </v:shape>
            </v:group>
            <v:group style="position:absolute;left:1757;top:5516;width:709;height:2" coordorigin="1757,5516" coordsize="709,2">
              <v:shape style="position:absolute;left:1757;top:5516;width:709;height:2" coordorigin="1757,5516" coordsize="709,0" path="m1757,5516l2466,5516e" filled="false" stroked="true" strokeweight=".5pt" strokecolor="#d7000f">
                <v:path arrowok="t"/>
              </v:shape>
            </v:group>
            <w10:wrap type="none"/>
          </v:group>
        </w:pict>
      </w:r>
      <w:r>
        <w:rPr>
          <w:rFonts w:ascii="宋体" w:hAnsi="宋体" w:cs="宋体" w:eastAsia="宋体" w:hint="default"/>
        </w:rPr>
        <w:t>李国华</w:t>
      </w:r>
    </w:p>
    <w:p>
      <w:pPr>
        <w:spacing w:line="240" w:lineRule="auto" w:before="1"/>
        <w:rPr>
          <w:rFonts w:ascii="宋体" w:hAnsi="宋体" w:cs="宋体" w:eastAsia="宋体" w:hint="default"/>
          <w:sz w:val="16"/>
          <w:szCs w:val="16"/>
        </w:rPr>
      </w:pPr>
    </w:p>
    <w:p>
      <w:pPr>
        <w:pStyle w:val="BodyText"/>
        <w:spacing w:line="264" w:lineRule="auto" w:before="31"/>
        <w:ind w:left="2494" w:right="843"/>
        <w:jc w:val="both"/>
        <w:rPr>
          <w:rFonts w:ascii="宋体" w:hAnsi="宋体" w:cs="宋体" w:eastAsia="宋体" w:hint="default"/>
        </w:rPr>
      </w:pPr>
      <w:r>
        <w:rPr>
          <w:rFonts w:ascii="宋体" w:hAnsi="宋体" w:cs="宋体" w:eastAsia="宋体" w:hint="default"/>
        </w:rPr>
        <w:t>高级经济师，1999</w:t>
      </w:r>
      <w:r>
        <w:rPr>
          <w:rFonts w:ascii="宋体" w:hAnsi="宋体" w:cs="宋体" w:eastAsia="宋体" w:hint="default"/>
          <w:spacing w:val="-24"/>
        </w:rPr>
        <w:t> </w:t>
      </w:r>
      <w:r>
        <w:rPr>
          <w:rFonts w:ascii="宋体" w:hAnsi="宋体" w:cs="宋体" w:eastAsia="宋体" w:hint="default"/>
        </w:rPr>
        <w:t>年获得南昌大学、法国普瓦提埃大学工商管理硕士学位。李先生曾担任江西省邮电管理局</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rPr>
        <w:t>副局长；江西省邮政局副局长、局长；国家邮政局副局长；中国邮政集团公司副总经理、总经理；中国邮政</w:t>
      </w:r>
      <w:r>
        <w:rPr>
          <w:rFonts w:ascii="宋体" w:hAnsi="宋体" w:cs="宋体" w:eastAsia="宋体" w:hint="default"/>
          <w:spacing w:val="-9"/>
        </w:rPr>
        <w:t> </w:t>
      </w:r>
      <w:r>
        <w:rPr>
          <w:rFonts w:ascii="宋体" w:hAnsi="宋体" w:cs="宋体" w:eastAsia="宋体" w:hint="default"/>
          <w:spacing w:val="-9"/>
        </w:rPr>
      </w:r>
      <w:r>
        <w:rPr>
          <w:rFonts w:ascii="宋体" w:hAnsi="宋体" w:cs="宋体" w:eastAsia="宋体" w:hint="default"/>
        </w:rPr>
        <w:t>储蓄银行股份有限公司非执行董事及董事长等职务。李先生目前还担任联通集团董事及总经理，联通红筹公</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司执行董事及总裁，联通运营公司董事及总裁。李先生自</w:t>
      </w:r>
      <w:r>
        <w:rPr>
          <w:rFonts w:ascii="宋体" w:hAnsi="宋体" w:cs="宋体" w:eastAsia="宋体" w:hint="default"/>
          <w:spacing w:val="-34"/>
        </w:rPr>
        <w:t> </w:t>
      </w:r>
      <w:r>
        <w:rPr>
          <w:rFonts w:ascii="宋体" w:hAnsi="宋体" w:cs="宋体" w:eastAsia="宋体" w:hint="default"/>
        </w:rPr>
        <w:t>2018</w:t>
      </w:r>
      <w:r>
        <w:rPr>
          <w:rFonts w:ascii="宋体" w:hAnsi="宋体" w:cs="宋体" w:eastAsia="宋体" w:hint="default"/>
          <w:spacing w:val="-35"/>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8</w:t>
      </w:r>
      <w:r>
        <w:rPr>
          <w:rFonts w:ascii="宋体" w:hAnsi="宋体" w:cs="宋体" w:eastAsia="宋体" w:hint="default"/>
          <w:spacing w:val="-35"/>
        </w:rPr>
        <w:t> </w:t>
      </w:r>
      <w:r>
        <w:rPr>
          <w:rFonts w:ascii="宋体" w:hAnsi="宋体" w:cs="宋体" w:eastAsia="宋体" w:hint="default"/>
        </w:rPr>
        <w:t>月起任本公司总裁，自</w:t>
      </w:r>
      <w:r>
        <w:rPr>
          <w:rFonts w:ascii="宋体" w:hAnsi="宋体" w:cs="宋体" w:eastAsia="宋体" w:hint="default"/>
          <w:spacing w:val="-34"/>
        </w:rPr>
        <w:t> </w:t>
      </w:r>
      <w:r>
        <w:rPr>
          <w:rFonts w:ascii="宋体" w:hAnsi="宋体" w:cs="宋体" w:eastAsia="宋体" w:hint="default"/>
        </w:rPr>
        <w:t>2018</w:t>
      </w:r>
      <w:r>
        <w:rPr>
          <w:rFonts w:ascii="宋体" w:hAnsi="宋体" w:cs="宋体" w:eastAsia="宋体" w:hint="default"/>
          <w:spacing w:val="-35"/>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9</w:t>
      </w:r>
      <w:r>
        <w:rPr>
          <w:rFonts w:ascii="宋体" w:hAnsi="宋体" w:cs="宋体" w:eastAsia="宋体" w:hint="default"/>
          <w:spacing w:val="-35"/>
        </w:rPr>
        <w:t> </w:t>
      </w:r>
      <w:r>
        <w:rPr>
          <w:rFonts w:ascii="宋体" w:hAnsi="宋体" w:cs="宋体" w:eastAsia="宋体" w:hint="default"/>
        </w:rPr>
        <w:t>月起任</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本公司董事、法律总顾问。李先生具有丰富的管理经验。</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rFonts w:ascii="宋体" w:hAnsi="宋体" w:cs="宋体" w:eastAsia="宋体" w:hint="default"/>
        </w:rPr>
        <w:t>李福申</w:t>
      </w:r>
    </w:p>
    <w:p>
      <w:pPr>
        <w:spacing w:line="240" w:lineRule="auto" w:before="1"/>
        <w:rPr>
          <w:rFonts w:ascii="宋体" w:hAnsi="宋体" w:cs="宋体" w:eastAsia="宋体" w:hint="default"/>
          <w:sz w:val="16"/>
          <w:szCs w:val="16"/>
        </w:rPr>
      </w:pPr>
    </w:p>
    <w:p>
      <w:pPr>
        <w:pStyle w:val="BodyText"/>
        <w:spacing w:line="264" w:lineRule="auto" w:before="31"/>
        <w:ind w:left="2494" w:right="751"/>
        <w:jc w:val="left"/>
        <w:rPr>
          <w:rFonts w:ascii="宋体" w:hAnsi="宋体" w:cs="宋体" w:eastAsia="宋体" w:hint="default"/>
        </w:rPr>
      </w:pPr>
      <w:r>
        <w:rPr>
          <w:rFonts w:ascii="宋体" w:hAnsi="宋体" w:cs="宋体" w:eastAsia="宋体" w:hint="default"/>
        </w:rPr>
        <w:t>高级会计师，1988</w:t>
      </w:r>
      <w:r>
        <w:rPr>
          <w:rFonts w:ascii="宋体" w:hAnsi="宋体" w:cs="宋体" w:eastAsia="宋体" w:hint="default"/>
          <w:spacing w:val="-30"/>
        </w:rPr>
        <w:t> </w:t>
      </w:r>
      <w:r>
        <w:rPr>
          <w:rFonts w:ascii="宋体" w:hAnsi="宋体" w:cs="宋体" w:eastAsia="宋体" w:hint="default"/>
        </w:rPr>
        <w:t>年毕业于吉林工学院管理工程专业，并于</w:t>
      </w:r>
      <w:r>
        <w:rPr>
          <w:rFonts w:ascii="宋体" w:hAnsi="宋体" w:cs="宋体" w:eastAsia="宋体" w:hint="default"/>
          <w:spacing w:val="-30"/>
        </w:rPr>
        <w:t> </w:t>
      </w:r>
      <w:r>
        <w:rPr>
          <w:rFonts w:ascii="宋体" w:hAnsi="宋体" w:cs="宋体" w:eastAsia="宋体" w:hint="default"/>
        </w:rPr>
        <w:t>2004</w:t>
      </w:r>
      <w:r>
        <w:rPr>
          <w:rFonts w:ascii="宋体" w:hAnsi="宋体" w:cs="宋体" w:eastAsia="宋体" w:hint="default"/>
          <w:spacing w:val="-30"/>
        </w:rPr>
        <w:t> </w:t>
      </w:r>
      <w:r>
        <w:rPr>
          <w:rFonts w:ascii="宋体" w:hAnsi="宋体" w:cs="宋体" w:eastAsia="宋体" w:hint="default"/>
        </w:rPr>
        <w:t>年取得澳大利亚国立大学管理学硕士学位。</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李先生曾担任原吉林省电信公司及吉林省通信公司副总经理、中国网络通信集团公司财务部总经理、网通集</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团总会计师、中国网通集团（香港）有限公司首席财务官、中国网通执行董事、中国网通联席公司秘书、联</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rPr>
        <w:t>通集团副总经理及总会计师、联通红筹公司高级副总裁及首席财务官、联通运营公司高级副总裁。此外，李</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先生目前还担任联通集团董事、联通红筹公司执行董事、联通运营公司董事、香港电讯盈科有限公司非执行</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董事、香港电讯有限公司及香港电讯管理有限公司（作为香港电讯信托的托管人</w:t>
      </w:r>
      <w:r>
        <w:rPr>
          <w:rFonts w:ascii="宋体" w:hAnsi="宋体" w:cs="宋体" w:eastAsia="宋体" w:hint="default"/>
          <w:spacing w:val="-31"/>
        </w:rPr>
        <w:t> </w:t>
      </w:r>
      <w:r>
        <w:rPr>
          <w:rFonts w:ascii="宋体" w:hAnsi="宋体" w:cs="宋体" w:eastAsia="宋体" w:hint="default"/>
        </w:rPr>
        <w:t>-</w:t>
      </w:r>
      <w:r>
        <w:rPr>
          <w:rFonts w:ascii="宋体" w:hAnsi="宋体" w:cs="宋体" w:eastAsia="宋体" w:hint="default"/>
          <w:spacing w:val="-31"/>
        </w:rPr>
        <w:t> </w:t>
      </w:r>
      <w:r>
        <w:rPr>
          <w:rFonts w:ascii="宋体" w:hAnsi="宋体" w:cs="宋体" w:eastAsia="宋体" w:hint="default"/>
        </w:rPr>
        <w:t>经理）非执行董事。李先</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生自</w:t>
      </w:r>
      <w:r>
        <w:rPr>
          <w:rFonts w:ascii="宋体" w:hAnsi="宋体" w:cs="宋体" w:eastAsia="宋体" w:hint="default"/>
          <w:spacing w:val="-34"/>
        </w:rPr>
        <w:t> </w:t>
      </w:r>
      <w:r>
        <w:rPr>
          <w:rFonts w:ascii="宋体" w:hAnsi="宋体" w:cs="宋体" w:eastAsia="宋体" w:hint="default"/>
        </w:rPr>
        <w:t>2011</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5</w:t>
      </w:r>
      <w:r>
        <w:rPr>
          <w:rFonts w:ascii="宋体" w:hAnsi="宋体" w:cs="宋体" w:eastAsia="宋体" w:hint="default"/>
          <w:spacing w:val="-34"/>
        </w:rPr>
        <w:t> </w:t>
      </w:r>
      <w:r>
        <w:rPr>
          <w:rFonts w:ascii="宋体" w:hAnsi="宋体" w:cs="宋体" w:eastAsia="宋体" w:hint="default"/>
        </w:rPr>
        <w:t>月起任本公司董事，并于</w:t>
      </w:r>
      <w:r>
        <w:rPr>
          <w:rFonts w:ascii="宋体" w:hAnsi="宋体" w:cs="宋体" w:eastAsia="宋体" w:hint="default"/>
          <w:spacing w:val="-34"/>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月起任本公司高级副总裁，于</w:t>
      </w:r>
      <w:r>
        <w:rPr>
          <w:rFonts w:ascii="宋体" w:hAnsi="宋体" w:cs="宋体" w:eastAsia="宋体" w:hint="default"/>
          <w:spacing w:val="-34"/>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8</w:t>
      </w:r>
      <w:r>
        <w:rPr>
          <w:rFonts w:ascii="宋体" w:hAnsi="宋体" w:cs="宋体" w:eastAsia="宋体" w:hint="default"/>
          <w:spacing w:val="-34"/>
        </w:rPr>
        <w:t> </w:t>
      </w:r>
      <w:r>
        <w:rPr>
          <w:rFonts w:ascii="宋体" w:hAnsi="宋体" w:cs="宋体" w:eastAsia="宋体" w:hint="default"/>
        </w:rPr>
        <w:t>月不再兼任高级</w:t>
      </w:r>
      <w:r>
        <w:rPr>
          <w:rFonts w:ascii="宋体" w:hAnsi="宋体" w:cs="宋体" w:eastAsia="宋体" w:hint="default"/>
          <w:spacing w:val="-60"/>
        </w:rPr>
        <w:t> </w:t>
      </w:r>
      <w:r>
        <w:rPr>
          <w:rFonts w:ascii="宋体" w:hAnsi="宋体" w:cs="宋体" w:eastAsia="宋体" w:hint="default"/>
          <w:spacing w:val="-60"/>
        </w:rPr>
      </w:r>
      <w:r>
        <w:rPr>
          <w:rFonts w:ascii="宋体" w:hAnsi="宋体" w:cs="宋体" w:eastAsia="宋体" w:hint="default"/>
        </w:rPr>
        <w:t>副总裁。李福申先生长期在电信行业工作，具有丰富的管理经验。</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rFonts w:ascii="宋体" w:hAnsi="宋体" w:cs="宋体" w:eastAsia="宋体" w:hint="default"/>
        </w:rPr>
        <w:t>尹兆君</w:t>
      </w:r>
    </w:p>
    <w:p>
      <w:pPr>
        <w:spacing w:line="240" w:lineRule="auto" w:before="1"/>
        <w:rPr>
          <w:rFonts w:ascii="宋体" w:hAnsi="宋体" w:cs="宋体" w:eastAsia="宋体" w:hint="default"/>
          <w:sz w:val="16"/>
          <w:szCs w:val="16"/>
        </w:rPr>
      </w:pPr>
    </w:p>
    <w:p>
      <w:pPr>
        <w:pStyle w:val="BodyText"/>
        <w:spacing w:line="264" w:lineRule="auto" w:before="31"/>
        <w:ind w:left="2494" w:right="846"/>
        <w:jc w:val="both"/>
        <w:rPr>
          <w:rFonts w:ascii="宋体" w:hAnsi="宋体" w:cs="宋体" w:eastAsia="宋体" w:hint="default"/>
        </w:rPr>
      </w:pPr>
      <w:r>
        <w:rPr>
          <w:rFonts w:ascii="宋体" w:hAnsi="宋体" w:cs="宋体" w:eastAsia="宋体" w:hint="default"/>
        </w:rPr>
        <w:t>现任中国人寿保险（集团）公司党委委员、副总裁。尹先生于中国政法大学获得公共管理硕士学位，此前就</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rPr>
        <w:t>读于北京财贸学院会计系，获得经济学学士学位。尹先生自</w:t>
      </w:r>
      <w:r>
        <w:rPr>
          <w:rFonts w:ascii="宋体" w:hAnsi="宋体" w:cs="宋体" w:eastAsia="宋体" w:hint="default"/>
          <w:spacing w:val="-25"/>
        </w:rPr>
        <w:t> </w:t>
      </w:r>
      <w:r>
        <w:rPr>
          <w:rFonts w:ascii="宋体" w:hAnsi="宋体" w:cs="宋体" w:eastAsia="宋体" w:hint="default"/>
        </w:rPr>
        <w:t>1990</w:t>
      </w:r>
      <w:r>
        <w:rPr>
          <w:rFonts w:ascii="宋体" w:hAnsi="宋体" w:cs="宋体" w:eastAsia="宋体" w:hint="default"/>
          <w:spacing w:val="-25"/>
        </w:rPr>
        <w:t> </w:t>
      </w:r>
      <w:r>
        <w:rPr>
          <w:rFonts w:ascii="宋体" w:hAnsi="宋体" w:cs="宋体" w:eastAsia="宋体" w:hint="default"/>
        </w:rPr>
        <w:t>年</w:t>
      </w:r>
      <w:r>
        <w:rPr>
          <w:rFonts w:ascii="宋体" w:hAnsi="宋体" w:cs="宋体" w:eastAsia="宋体" w:hint="default"/>
          <w:spacing w:val="-25"/>
        </w:rPr>
        <w:t> </w:t>
      </w:r>
      <w:r>
        <w:rPr>
          <w:rFonts w:ascii="宋体" w:hAnsi="宋体" w:cs="宋体" w:eastAsia="宋体" w:hint="default"/>
        </w:rPr>
        <w:t>7</w:t>
      </w:r>
      <w:r>
        <w:rPr>
          <w:rFonts w:ascii="宋体" w:hAnsi="宋体" w:cs="宋体" w:eastAsia="宋体" w:hint="default"/>
          <w:spacing w:val="-25"/>
        </w:rPr>
        <w:t> </w:t>
      </w:r>
      <w:r>
        <w:rPr>
          <w:rFonts w:ascii="宋体" w:hAnsi="宋体" w:cs="宋体" w:eastAsia="宋体" w:hint="default"/>
        </w:rPr>
        <w:t>月加入交通银行，2005</w:t>
      </w:r>
      <w:r>
        <w:rPr>
          <w:rFonts w:ascii="宋体" w:hAnsi="宋体" w:cs="宋体" w:eastAsia="宋体" w:hint="default"/>
          <w:spacing w:val="-25"/>
        </w:rPr>
        <w:t> </w:t>
      </w:r>
      <w:r>
        <w:rPr>
          <w:rFonts w:ascii="宋体" w:hAnsi="宋体" w:cs="宋体" w:eastAsia="宋体" w:hint="default"/>
        </w:rPr>
        <w:t>年起先后任交</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rPr>
        <w:t>通银行北京市分行行长助理、山西省分行副行长，2011</w:t>
      </w:r>
      <w:r>
        <w:rPr>
          <w:rFonts w:ascii="宋体" w:hAnsi="宋体" w:cs="宋体" w:eastAsia="宋体" w:hint="default"/>
          <w:spacing w:val="-23"/>
        </w:rPr>
        <w:t> </w:t>
      </w:r>
      <w:r>
        <w:rPr>
          <w:rFonts w:ascii="宋体" w:hAnsi="宋体" w:cs="宋体" w:eastAsia="宋体" w:hint="default"/>
        </w:rPr>
        <w:t>年起历任交通银行山西省分行、河北省分行、北京市</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rPr>
        <w:t>分行行长。2016</w:t>
      </w:r>
      <w:r>
        <w:rPr>
          <w:rFonts w:ascii="宋体" w:hAnsi="宋体" w:cs="宋体" w:eastAsia="宋体" w:hint="default"/>
          <w:spacing w:val="-10"/>
        </w:rPr>
        <w:t> </w:t>
      </w:r>
      <w:r>
        <w:rPr>
          <w:rFonts w:ascii="宋体" w:hAnsi="宋体" w:cs="宋体" w:eastAsia="宋体" w:hint="default"/>
        </w:rPr>
        <w:t>年</w:t>
      </w:r>
      <w:r>
        <w:rPr>
          <w:rFonts w:ascii="宋体" w:hAnsi="宋体" w:cs="宋体" w:eastAsia="宋体" w:hint="default"/>
          <w:spacing w:val="-10"/>
        </w:rPr>
        <w:t> </w:t>
      </w:r>
      <w:r>
        <w:rPr>
          <w:rFonts w:ascii="宋体" w:hAnsi="宋体" w:cs="宋体" w:eastAsia="宋体" w:hint="default"/>
        </w:rPr>
        <w:t>10</w:t>
      </w:r>
      <w:r>
        <w:rPr>
          <w:rFonts w:ascii="宋体" w:hAnsi="宋体" w:cs="宋体" w:eastAsia="宋体" w:hint="default"/>
          <w:spacing w:val="-10"/>
        </w:rPr>
        <w:t> </w:t>
      </w:r>
      <w:r>
        <w:rPr>
          <w:rFonts w:ascii="宋体" w:hAnsi="宋体" w:cs="宋体" w:eastAsia="宋体" w:hint="default"/>
        </w:rPr>
        <w:t>月起任中国人寿保险（集团）公司党委委员、副总裁。尹先生目前同时担任国寿投资</w:t>
      </w:r>
      <w:r>
        <w:rPr>
          <w:rFonts w:ascii="宋体" w:hAnsi="宋体" w:cs="宋体" w:eastAsia="宋体" w:hint="default"/>
          <w:spacing w:val="-69"/>
        </w:rPr>
        <w:t> </w:t>
      </w:r>
      <w:r>
        <w:rPr>
          <w:rFonts w:ascii="宋体" w:hAnsi="宋体" w:cs="宋体" w:eastAsia="宋体" w:hint="default"/>
          <w:spacing w:val="-69"/>
        </w:rPr>
      </w:r>
      <w:r>
        <w:rPr>
          <w:rFonts w:ascii="宋体" w:hAnsi="宋体" w:cs="宋体" w:eastAsia="宋体" w:hint="default"/>
        </w:rPr>
        <w:t>控股有限公司董事长及中国人寿保险股份有限公司非执行董事。尹先生自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月起任本公司董事。</w:t>
      </w:r>
    </w:p>
    <w:p>
      <w:pPr>
        <w:spacing w:after="0" w:line="264" w:lineRule="auto"/>
        <w:jc w:val="both"/>
        <w:rPr>
          <w:rFonts w:ascii="宋体" w:hAnsi="宋体" w:cs="宋体" w:eastAsia="宋体" w:hint="default"/>
        </w:rPr>
        <w:sectPr>
          <w:pgSz w:w="11910" w:h="16160"/>
          <w:pgMar w:header="0" w:footer="298" w:top="2060" w:bottom="4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卢山</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5"/>
        <w:jc w:val="both"/>
        <w:rPr>
          <w:rFonts w:ascii="宋体" w:hAnsi="宋体" w:cs="宋体" w:eastAsia="宋体" w:hint="default"/>
        </w:rPr>
      </w:pPr>
      <w:r>
        <w:rPr>
          <w:rFonts w:ascii="宋体" w:hAnsi="宋体" w:cs="宋体" w:eastAsia="宋体" w:hint="default"/>
          <w:spacing w:val="3"/>
        </w:rPr>
        <w:t>现任腾讯集团高级执行副总裁，兼技术工程事业群总裁，负责技术工程事业群的管理工作。卢先生于 </w:t>
      </w:r>
      <w:r>
        <w:rPr>
          <w:rFonts w:ascii="宋体" w:hAnsi="宋体" w:cs="宋体" w:eastAsia="宋体" w:hint="default"/>
        </w:rPr>
        <w:t>2000</w:t>
      </w:r>
      <w:r>
        <w:rPr>
          <w:rFonts w:ascii="宋体" w:hAnsi="宋体" w:cs="宋体" w:eastAsia="宋体" w:hint="default"/>
          <w:spacing w:val="-73"/>
        </w:rPr>
        <w:t> </w:t>
      </w:r>
      <w:r>
        <w:rPr>
          <w:rFonts w:ascii="宋体" w:hAnsi="宋体" w:cs="宋体" w:eastAsia="宋体" w:hint="default"/>
          <w:spacing w:val="-73"/>
        </w:rPr>
      </w:r>
      <w:r>
        <w:rPr>
          <w:rFonts w:ascii="宋体" w:hAnsi="宋体" w:cs="宋体" w:eastAsia="宋体" w:hint="default"/>
          <w:spacing w:val="-2"/>
        </w:rPr>
        <w:t>年加入腾讯，历任即时通信产品部总经理、平台研发系统副总裁和运营平台系统高级副总裁。加入腾讯之前，</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rPr>
        <w:t>卢先生曾就职于深圳黎明网络系统有限公司工作。卢山于</w:t>
      </w:r>
      <w:r>
        <w:rPr>
          <w:rFonts w:ascii="宋体" w:hAnsi="宋体" w:cs="宋体" w:eastAsia="宋体" w:hint="default"/>
          <w:spacing w:val="-41"/>
        </w:rPr>
        <w:t> </w:t>
      </w:r>
      <w:r>
        <w:rPr>
          <w:rFonts w:ascii="宋体" w:hAnsi="宋体" w:cs="宋体" w:eastAsia="宋体" w:hint="default"/>
        </w:rPr>
        <w:t>1998</w:t>
      </w:r>
      <w:r>
        <w:rPr>
          <w:rFonts w:ascii="宋体" w:hAnsi="宋体" w:cs="宋体" w:eastAsia="宋体" w:hint="default"/>
          <w:spacing w:val="-42"/>
        </w:rPr>
        <w:t> </w:t>
      </w:r>
      <w:r>
        <w:rPr>
          <w:rFonts w:ascii="宋体" w:hAnsi="宋体" w:cs="宋体" w:eastAsia="宋体" w:hint="default"/>
        </w:rPr>
        <w:t>年毕业于中国科学技术大学计算机软件专业，</w:t>
      </w:r>
    </w:p>
    <w:p>
      <w:pPr>
        <w:pStyle w:val="BodyText"/>
        <w:spacing w:line="240" w:lineRule="auto" w:before="6"/>
        <w:ind w:left="1927" w:right="0"/>
        <w:jc w:val="both"/>
        <w:rPr>
          <w:rFonts w:ascii="宋体" w:hAnsi="宋体" w:cs="宋体" w:eastAsia="宋体" w:hint="default"/>
        </w:rPr>
      </w:pPr>
      <w:r>
        <w:rPr>
          <w:rFonts w:ascii="宋体" w:hAnsi="宋体" w:cs="宋体" w:eastAsia="宋体" w:hint="default"/>
        </w:rPr>
        <w:t>获理学士学位。卢先生自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月起任本公司董事。</w:t>
      </w:r>
    </w:p>
    <w:p>
      <w:pPr>
        <w:spacing w:line="240" w:lineRule="auto" w:before="12"/>
        <w:rPr>
          <w:rFonts w:ascii="宋体" w:hAnsi="宋体" w:cs="宋体" w:eastAsia="宋体" w:hint="default"/>
          <w:sz w:val="22"/>
          <w:szCs w:val="22"/>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王路</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2"/>
        <w:jc w:val="both"/>
        <w:rPr>
          <w:rFonts w:ascii="宋体" w:hAnsi="宋体" w:cs="宋体" w:eastAsia="宋体" w:hint="default"/>
        </w:rPr>
      </w:pPr>
      <w:r>
        <w:rPr>
          <w:rFonts w:ascii="宋体" w:hAnsi="宋体" w:cs="宋体" w:eastAsia="宋体" w:hint="default"/>
        </w:rPr>
        <w:t>现任百度公司副总裁，负责公司市场、公关、政府关系、智能城市业务发展、职业道德建设等业务。王先生</w:t>
      </w:r>
      <w:r>
        <w:rPr>
          <w:rFonts w:ascii="宋体" w:hAnsi="宋体" w:cs="宋体" w:eastAsia="宋体" w:hint="default"/>
          <w:spacing w:val="-9"/>
        </w:rPr>
        <w:t> </w:t>
      </w:r>
      <w:r>
        <w:rPr>
          <w:rFonts w:ascii="宋体" w:hAnsi="宋体" w:cs="宋体" w:eastAsia="宋体" w:hint="default"/>
          <w:spacing w:val="-9"/>
        </w:rPr>
      </w:r>
      <w:r>
        <w:rPr>
          <w:rFonts w:ascii="宋体" w:hAnsi="宋体" w:cs="宋体" w:eastAsia="宋体" w:hint="default"/>
        </w:rPr>
        <w:t>毕业于北京联合大学并在北京大学获得 EMBA 学位。王先生是中国数字信息领域里的老兵，拥有丰富的传媒</w:t>
      </w:r>
      <w:r>
        <w:rPr>
          <w:rFonts w:ascii="宋体" w:hAnsi="宋体" w:cs="宋体" w:eastAsia="宋体" w:hint="default"/>
          <w:spacing w:val="-22"/>
        </w:rPr>
        <w:t> </w:t>
      </w:r>
      <w:r>
        <w:rPr>
          <w:rFonts w:ascii="宋体" w:hAnsi="宋体" w:cs="宋体" w:eastAsia="宋体" w:hint="default"/>
          <w:spacing w:val="-22"/>
        </w:rPr>
      </w:r>
      <w:r>
        <w:rPr>
          <w:rFonts w:ascii="宋体" w:hAnsi="宋体" w:cs="宋体" w:eastAsia="宋体" w:hint="default"/>
        </w:rPr>
        <w:t>管理、商业拓展经验，对用户在互联网及移动世界里的行为深蕴其道。加入百度之前，王先生曾任沃尔玛电</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spacing w:val="2"/>
        </w:rPr>
        <w:t>商亚洲区总裁兼</w:t>
      </w:r>
      <w:r>
        <w:rPr>
          <w:rFonts w:ascii="宋体" w:hAnsi="宋体" w:cs="宋体" w:eastAsia="宋体" w:hint="default"/>
          <w:spacing w:val="-42"/>
        </w:rPr>
        <w:t> </w:t>
      </w:r>
      <w:r>
        <w:rPr>
          <w:rFonts w:ascii="宋体" w:hAnsi="宋体" w:cs="宋体" w:eastAsia="宋体" w:hint="default"/>
          <w:w w:val="116"/>
        </w:rPr>
        <w:t>CEO,</w:t>
      </w:r>
      <w:r>
        <w:rPr>
          <w:rFonts w:ascii="宋体" w:hAnsi="宋体" w:cs="宋体" w:eastAsia="宋体" w:hint="default"/>
          <w:spacing w:val="-57"/>
          <w:w w:val="116"/>
        </w:rPr>
        <w:t> </w:t>
      </w:r>
      <w:r>
        <w:rPr>
          <w:rFonts w:ascii="宋体" w:hAnsi="宋体" w:cs="宋体" w:eastAsia="宋体" w:hint="default"/>
          <w:spacing w:val="2"/>
        </w:rPr>
        <w:t>成功协助沃尔玛全资收购</w:t>
      </w:r>
      <w:r>
        <w:rPr>
          <w:rFonts w:ascii="宋体" w:hAnsi="宋体" w:cs="宋体" w:eastAsia="宋体" w:hint="default"/>
          <w:spacing w:val="-42"/>
        </w:rPr>
        <w:t> </w:t>
      </w:r>
      <w:r>
        <w:rPr>
          <w:rFonts w:ascii="宋体" w:hAnsi="宋体" w:cs="宋体" w:eastAsia="宋体" w:hint="default"/>
          <w:w w:val="111"/>
        </w:rPr>
        <w:t>1</w:t>
      </w:r>
      <w:r>
        <w:rPr>
          <w:rFonts w:ascii="宋体" w:hAnsi="宋体" w:cs="宋体" w:eastAsia="宋体" w:hint="default"/>
          <w:spacing w:val="-52"/>
          <w:w w:val="111"/>
        </w:rPr>
        <w:t> </w:t>
      </w:r>
      <w:r>
        <w:rPr>
          <w:rFonts w:ascii="宋体" w:hAnsi="宋体" w:cs="宋体" w:eastAsia="宋体" w:hint="default"/>
          <w:spacing w:val="1"/>
        </w:rPr>
        <w:t>号店，并领导</w:t>
      </w:r>
      <w:r>
        <w:rPr>
          <w:rFonts w:ascii="宋体" w:hAnsi="宋体" w:cs="宋体" w:eastAsia="宋体" w:hint="default"/>
          <w:spacing w:val="-42"/>
        </w:rPr>
        <w:t> </w:t>
      </w:r>
      <w:r>
        <w:rPr>
          <w:rFonts w:ascii="宋体" w:hAnsi="宋体" w:cs="宋体" w:eastAsia="宋体" w:hint="default"/>
          <w:w w:val="111"/>
        </w:rPr>
        <w:t>1</w:t>
      </w:r>
      <w:r>
        <w:rPr>
          <w:rFonts w:ascii="宋体" w:hAnsi="宋体" w:cs="宋体" w:eastAsia="宋体" w:hint="default"/>
          <w:spacing w:val="-52"/>
          <w:w w:val="111"/>
        </w:rPr>
        <w:t> </w:t>
      </w:r>
      <w:r>
        <w:rPr>
          <w:rFonts w:ascii="宋体" w:hAnsi="宋体" w:cs="宋体" w:eastAsia="宋体" w:hint="default"/>
          <w:spacing w:val="2"/>
        </w:rPr>
        <w:t>号店在华业务，后又成功协助沃尔玛达成</w:t>
      </w:r>
      <w:r>
        <w:rPr>
          <w:rFonts w:ascii="宋体" w:hAnsi="宋体" w:cs="宋体" w:eastAsia="宋体" w:hint="default"/>
        </w:rPr>
        <w:t> 与京东集团的深度全球战略合作。王先生现任北京市人大代表。王先生目前同时还担任爱奇艺、中信百信银</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行股份有限公司董事。王先生自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9</w:t>
      </w:r>
      <w:r>
        <w:rPr>
          <w:rFonts w:ascii="宋体" w:hAnsi="宋体" w:cs="宋体" w:eastAsia="宋体" w:hint="default"/>
          <w:spacing w:val="-34"/>
        </w:rPr>
        <w:t> </w:t>
      </w:r>
      <w:r>
        <w:rPr>
          <w:rFonts w:ascii="宋体" w:hAnsi="宋体" w:cs="宋体" w:eastAsia="宋体" w:hint="default"/>
        </w:rPr>
        <w:t>月起任本公司董事。</w:t>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廖建文</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6"/>
        <w:jc w:val="both"/>
        <w:rPr>
          <w:rFonts w:ascii="宋体" w:hAnsi="宋体" w:cs="宋体" w:eastAsia="宋体" w:hint="default"/>
        </w:rPr>
      </w:pPr>
      <w:r>
        <w:rPr>
          <w:rFonts w:ascii="宋体" w:hAnsi="宋体" w:cs="宋体" w:eastAsia="宋体" w:hint="default"/>
          <w:spacing w:val="-6"/>
        </w:rPr>
        <w:t>现任京东集团首席战略官，原长江商学院副院长、战略创新与创业管理实践教授</w:t>
      </w:r>
      <w:r>
        <w:rPr>
          <w:rFonts w:ascii="宋体" w:hAnsi="宋体" w:cs="宋体" w:eastAsia="宋体" w:hint="default"/>
          <w:spacing w:val="-52"/>
        </w:rPr>
        <w:t> </w:t>
      </w:r>
      <w:r>
        <w:rPr>
          <w:rFonts w:ascii="宋体" w:hAnsi="宋体" w:cs="宋体" w:eastAsia="宋体" w:hint="default"/>
          <w:w w:val="95"/>
        </w:rPr>
        <w:t>,</w:t>
      </w:r>
      <w:r>
        <w:rPr>
          <w:rFonts w:ascii="宋体" w:hAnsi="宋体" w:cs="宋体" w:eastAsia="宋体" w:hint="default"/>
          <w:spacing w:val="-48"/>
          <w:w w:val="95"/>
        </w:rPr>
        <w:t> </w:t>
      </w:r>
      <w:r>
        <w:rPr>
          <w:rFonts w:ascii="宋体" w:hAnsi="宋体" w:cs="宋体" w:eastAsia="宋体" w:hint="default"/>
          <w:spacing w:val="-5"/>
        </w:rPr>
        <w:t>长江创新研究中心学术主任。</w:t>
      </w:r>
      <w:r>
        <w:rPr>
          <w:rFonts w:ascii="宋体" w:hAnsi="宋体" w:cs="宋体" w:eastAsia="宋体" w:hint="default"/>
        </w:rPr>
        <w:t> </w:t>
      </w:r>
      <w:r>
        <w:rPr>
          <w:rFonts w:ascii="宋体" w:hAnsi="宋体" w:cs="宋体" w:eastAsia="宋体" w:hint="default"/>
          <w:spacing w:val="-7"/>
        </w:rPr>
        <w:t>廖先生有着横跨北美和亚洲地区的工作履历。他曾是美国伊利诺伊理工大学斯图沃特商学院的副教授，享有终身</w:t>
      </w:r>
      <w:r>
        <w:rPr>
          <w:rFonts w:ascii="宋体" w:hAnsi="宋体" w:cs="宋体" w:eastAsia="宋体" w:hint="default"/>
          <w:spacing w:val="-45"/>
        </w:rPr>
        <w:t> </w:t>
      </w:r>
      <w:r>
        <w:rPr>
          <w:rFonts w:ascii="宋体" w:hAnsi="宋体" w:cs="宋体" w:eastAsia="宋体" w:hint="default"/>
          <w:spacing w:val="-45"/>
        </w:rPr>
      </w:r>
      <w:r>
        <w:rPr>
          <w:rFonts w:ascii="宋体" w:hAnsi="宋体" w:cs="宋体" w:eastAsia="宋体" w:hint="default"/>
          <w:spacing w:val="-7"/>
        </w:rPr>
        <w:t>教职。此外，他也曾任教于香港科技大学、中欧商学院、以及北京大学。廖先生主要从事战略、创新和创业领域</w:t>
      </w:r>
      <w:r>
        <w:rPr>
          <w:rFonts w:ascii="宋体" w:hAnsi="宋体" w:cs="宋体" w:eastAsia="宋体" w:hint="default"/>
          <w:spacing w:val="-53"/>
        </w:rPr>
        <w:t> </w:t>
      </w:r>
      <w:r>
        <w:rPr>
          <w:rFonts w:ascii="宋体" w:hAnsi="宋体" w:cs="宋体" w:eastAsia="宋体" w:hint="default"/>
          <w:spacing w:val="-53"/>
        </w:rPr>
      </w:r>
      <w:r>
        <w:rPr>
          <w:rFonts w:ascii="宋体" w:hAnsi="宋体" w:cs="宋体" w:eastAsia="宋体" w:hint="default"/>
          <w:spacing w:val="-7"/>
        </w:rPr>
        <w:t>的跨学科研究、教学、咨询和实践，尤其关注于未来科技和战略及新商业范式的交融。他的研究和教学成果为其</w:t>
      </w:r>
      <w:r>
        <w:rPr>
          <w:rFonts w:ascii="宋体" w:hAnsi="宋体" w:cs="宋体" w:eastAsia="宋体" w:hint="default"/>
          <w:spacing w:val="-49"/>
        </w:rPr>
        <w:t> </w:t>
      </w:r>
      <w:r>
        <w:rPr>
          <w:rFonts w:ascii="宋体" w:hAnsi="宋体" w:cs="宋体" w:eastAsia="宋体" w:hint="default"/>
          <w:spacing w:val="-49"/>
        </w:rPr>
      </w:r>
      <w:r>
        <w:rPr>
          <w:rFonts w:ascii="宋体" w:hAnsi="宋体" w:cs="宋体" w:eastAsia="宋体" w:hint="default"/>
          <w:spacing w:val="-7"/>
        </w:rPr>
        <w:t>赢得了众多奖励和荣誉，其中包括美国中小企业管理局授予的研究经费奖励以及伊利诺伊理工大学斯图沃特商学</w:t>
      </w:r>
      <w:r>
        <w:rPr>
          <w:rFonts w:ascii="宋体" w:hAnsi="宋体" w:cs="宋体" w:eastAsia="宋体" w:hint="default"/>
          <w:spacing w:val="-43"/>
        </w:rPr>
        <w:t> </w:t>
      </w:r>
      <w:r>
        <w:rPr>
          <w:rFonts w:ascii="宋体" w:hAnsi="宋体" w:cs="宋体" w:eastAsia="宋体" w:hint="default"/>
          <w:spacing w:val="-43"/>
        </w:rPr>
      </w:r>
      <w:r>
        <w:rPr>
          <w:rFonts w:ascii="宋体" w:hAnsi="宋体" w:cs="宋体" w:eastAsia="宋体" w:hint="default"/>
          <w:spacing w:val="-7"/>
        </w:rPr>
        <w:t>院杰出教学奖。此外，廖先生还任赫基（中国）服饰有限公司独立董事，彩生活服务集团有限公司独立非执行董</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spacing w:val="-7"/>
        </w:rPr>
        <w:t>事，湖南绝味食品股份有限公司独立董事，花样年控股集团有限公司独立非执行董事，永辉超市股份有限公司董</w:t>
      </w:r>
      <w:r>
        <w:rPr>
          <w:rFonts w:ascii="宋体" w:hAnsi="宋体" w:cs="宋体" w:eastAsia="宋体" w:hint="default"/>
          <w:spacing w:val="-47"/>
        </w:rPr>
        <w:t> </w:t>
      </w:r>
      <w:r>
        <w:rPr>
          <w:rFonts w:ascii="宋体" w:hAnsi="宋体" w:cs="宋体" w:eastAsia="宋体" w:hint="default"/>
          <w:spacing w:val="-47"/>
        </w:rPr>
      </w:r>
      <w:r>
        <w:rPr>
          <w:rFonts w:ascii="宋体" w:hAnsi="宋体" w:cs="宋体" w:eastAsia="宋体" w:hint="default"/>
          <w:spacing w:val="-6"/>
        </w:rPr>
        <w:t>事。廖先生于</w:t>
      </w:r>
      <w:r>
        <w:rPr>
          <w:rFonts w:ascii="宋体" w:hAnsi="宋体" w:cs="宋体" w:eastAsia="宋体" w:hint="default"/>
          <w:spacing w:val="-38"/>
        </w:rPr>
        <w:t> </w:t>
      </w:r>
      <w:r>
        <w:rPr>
          <w:rFonts w:ascii="宋体" w:hAnsi="宋体" w:cs="宋体" w:eastAsia="宋体" w:hint="default"/>
          <w:spacing w:val="-6"/>
        </w:rPr>
        <w:t>1988</w:t>
      </w:r>
      <w:r>
        <w:rPr>
          <w:rFonts w:ascii="宋体" w:hAnsi="宋体" w:cs="宋体" w:eastAsia="宋体" w:hint="default"/>
          <w:spacing w:val="-38"/>
        </w:rPr>
        <w:t> </w:t>
      </w:r>
      <w:r>
        <w:rPr>
          <w:rFonts w:ascii="宋体" w:hAnsi="宋体" w:cs="宋体" w:eastAsia="宋体" w:hint="default"/>
        </w:rPr>
        <w:t>年</w:t>
      </w:r>
      <w:r>
        <w:rPr>
          <w:rFonts w:ascii="宋体" w:hAnsi="宋体" w:cs="宋体" w:eastAsia="宋体" w:hint="default"/>
          <w:spacing w:val="-38"/>
        </w:rPr>
        <w:t> </w:t>
      </w:r>
      <w:r>
        <w:rPr>
          <w:rFonts w:ascii="宋体" w:hAnsi="宋体" w:cs="宋体" w:eastAsia="宋体" w:hint="default"/>
        </w:rPr>
        <w:t>7</w:t>
      </w:r>
      <w:r>
        <w:rPr>
          <w:rFonts w:ascii="宋体" w:hAnsi="宋体" w:cs="宋体" w:eastAsia="宋体" w:hint="default"/>
          <w:spacing w:val="-38"/>
        </w:rPr>
        <w:t> </w:t>
      </w:r>
      <w:r>
        <w:rPr>
          <w:rFonts w:ascii="宋体" w:hAnsi="宋体" w:cs="宋体" w:eastAsia="宋体" w:hint="default"/>
          <w:spacing w:val="-7"/>
        </w:rPr>
        <w:t>月获得东北大学工学学士学位，于</w:t>
      </w:r>
      <w:r>
        <w:rPr>
          <w:rFonts w:ascii="宋体" w:hAnsi="宋体" w:cs="宋体" w:eastAsia="宋体" w:hint="default"/>
          <w:spacing w:val="-38"/>
        </w:rPr>
        <w:t> </w:t>
      </w:r>
      <w:r>
        <w:rPr>
          <w:rFonts w:ascii="宋体" w:hAnsi="宋体" w:cs="宋体" w:eastAsia="宋体" w:hint="default"/>
          <w:spacing w:val="-6"/>
        </w:rPr>
        <w:t>1991</w:t>
      </w:r>
      <w:r>
        <w:rPr>
          <w:rFonts w:ascii="宋体" w:hAnsi="宋体" w:cs="宋体" w:eastAsia="宋体" w:hint="default"/>
          <w:spacing w:val="-38"/>
        </w:rPr>
        <w:t> </w:t>
      </w:r>
      <w:r>
        <w:rPr>
          <w:rFonts w:ascii="宋体" w:hAnsi="宋体" w:cs="宋体" w:eastAsia="宋体" w:hint="default"/>
        </w:rPr>
        <w:t>年</w:t>
      </w:r>
      <w:r>
        <w:rPr>
          <w:rFonts w:ascii="宋体" w:hAnsi="宋体" w:cs="宋体" w:eastAsia="宋体" w:hint="default"/>
          <w:spacing w:val="-38"/>
        </w:rPr>
        <w:t> </w:t>
      </w:r>
      <w:r>
        <w:rPr>
          <w:rFonts w:ascii="宋体" w:hAnsi="宋体" w:cs="宋体" w:eastAsia="宋体" w:hint="default"/>
        </w:rPr>
        <w:t>2</w:t>
      </w:r>
      <w:r>
        <w:rPr>
          <w:rFonts w:ascii="宋体" w:hAnsi="宋体" w:cs="宋体" w:eastAsia="宋体" w:hint="default"/>
          <w:spacing w:val="-38"/>
        </w:rPr>
        <w:t> </w:t>
      </w:r>
      <w:r>
        <w:rPr>
          <w:rFonts w:ascii="宋体" w:hAnsi="宋体" w:cs="宋体" w:eastAsia="宋体" w:hint="default"/>
          <w:spacing w:val="-8"/>
        </w:rPr>
        <w:t>月年获得中国人民大学经济学硕士学位，于</w:t>
      </w:r>
      <w:r>
        <w:rPr>
          <w:rFonts w:ascii="宋体" w:hAnsi="宋体" w:cs="宋体" w:eastAsia="宋体" w:hint="default"/>
        </w:rPr>
      </w:r>
    </w:p>
    <w:p>
      <w:pPr>
        <w:pStyle w:val="BodyText"/>
        <w:spacing w:line="240" w:lineRule="auto" w:before="6"/>
        <w:ind w:left="1927" w:right="0"/>
        <w:jc w:val="both"/>
        <w:rPr>
          <w:rFonts w:ascii="宋体" w:hAnsi="宋体" w:cs="宋体" w:eastAsia="宋体" w:hint="default"/>
        </w:rPr>
      </w:pPr>
      <w:r>
        <w:rPr>
          <w:rFonts w:ascii="宋体" w:hAnsi="宋体" w:cs="宋体" w:eastAsia="宋体" w:hint="default"/>
          <w:spacing w:val="-6"/>
        </w:rPr>
        <w:t>1996</w:t>
      </w:r>
      <w:r>
        <w:rPr>
          <w:rFonts w:ascii="宋体" w:hAnsi="宋体" w:cs="宋体" w:eastAsia="宋体" w:hint="default"/>
          <w:spacing w:val="-38"/>
        </w:rPr>
        <w:t> </w:t>
      </w:r>
      <w:r>
        <w:rPr>
          <w:rFonts w:ascii="宋体" w:hAnsi="宋体" w:cs="宋体" w:eastAsia="宋体" w:hint="default"/>
        </w:rPr>
        <w:t>年</w:t>
      </w:r>
      <w:r>
        <w:rPr>
          <w:rFonts w:ascii="宋体" w:hAnsi="宋体" w:cs="宋体" w:eastAsia="宋体" w:hint="default"/>
          <w:spacing w:val="-38"/>
        </w:rPr>
        <w:t> </w:t>
      </w:r>
      <w:r>
        <w:rPr>
          <w:rFonts w:ascii="宋体" w:hAnsi="宋体" w:cs="宋体" w:eastAsia="宋体" w:hint="default"/>
        </w:rPr>
        <w:t>8</w:t>
      </w:r>
      <w:r>
        <w:rPr>
          <w:rFonts w:ascii="宋体" w:hAnsi="宋体" w:cs="宋体" w:eastAsia="宋体" w:hint="default"/>
          <w:spacing w:val="-38"/>
        </w:rPr>
        <w:t> </w:t>
      </w:r>
      <w:r>
        <w:rPr>
          <w:rFonts w:ascii="宋体" w:hAnsi="宋体" w:cs="宋体" w:eastAsia="宋体" w:hint="default"/>
          <w:spacing w:val="-8"/>
        </w:rPr>
        <w:t>月获得美国南伊利诺伊大学工商管理学博士学位。廖先生自</w:t>
      </w:r>
      <w:r>
        <w:rPr>
          <w:rFonts w:ascii="宋体" w:hAnsi="宋体" w:cs="宋体" w:eastAsia="宋体" w:hint="default"/>
          <w:spacing w:val="-38"/>
        </w:rPr>
        <w:t> </w:t>
      </w:r>
      <w:r>
        <w:rPr>
          <w:rFonts w:ascii="宋体" w:hAnsi="宋体" w:cs="宋体" w:eastAsia="宋体" w:hint="default"/>
          <w:spacing w:val="-6"/>
        </w:rPr>
        <w:t>2018</w:t>
      </w:r>
      <w:r>
        <w:rPr>
          <w:rFonts w:ascii="宋体" w:hAnsi="宋体" w:cs="宋体" w:eastAsia="宋体" w:hint="default"/>
          <w:spacing w:val="-38"/>
        </w:rPr>
        <w:t> </w:t>
      </w:r>
      <w:r>
        <w:rPr>
          <w:rFonts w:ascii="宋体" w:hAnsi="宋体" w:cs="宋体" w:eastAsia="宋体" w:hint="default"/>
        </w:rPr>
        <w:t>年</w:t>
      </w:r>
      <w:r>
        <w:rPr>
          <w:rFonts w:ascii="宋体" w:hAnsi="宋体" w:cs="宋体" w:eastAsia="宋体" w:hint="default"/>
          <w:spacing w:val="-38"/>
        </w:rPr>
        <w:t> </w:t>
      </w:r>
      <w:r>
        <w:rPr>
          <w:rFonts w:ascii="宋体" w:hAnsi="宋体" w:cs="宋体" w:eastAsia="宋体" w:hint="default"/>
        </w:rPr>
        <w:t>2</w:t>
      </w:r>
      <w:r>
        <w:rPr>
          <w:rFonts w:ascii="宋体" w:hAnsi="宋体" w:cs="宋体" w:eastAsia="宋体" w:hint="default"/>
          <w:spacing w:val="-38"/>
        </w:rPr>
        <w:t> </w:t>
      </w:r>
      <w:r>
        <w:rPr>
          <w:rFonts w:ascii="宋体" w:hAnsi="宋体" w:cs="宋体" w:eastAsia="宋体" w:hint="default"/>
          <w:spacing w:val="-8"/>
        </w:rPr>
        <w:t>月起任本公司董事。</w:t>
      </w:r>
      <w:r>
        <w:rPr>
          <w:rFonts w:ascii="宋体" w:hAnsi="宋体" w:cs="宋体" w:eastAsia="宋体" w:hint="default"/>
        </w:rPr>
      </w:r>
    </w:p>
    <w:p>
      <w:pPr>
        <w:spacing w:line="240" w:lineRule="auto" w:before="12"/>
        <w:rPr>
          <w:rFonts w:ascii="宋体" w:hAnsi="宋体" w:cs="宋体" w:eastAsia="宋体" w:hint="default"/>
          <w:sz w:val="22"/>
          <w:szCs w:val="22"/>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胡晓明</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09"/>
        <w:jc w:val="both"/>
        <w:rPr>
          <w:rFonts w:ascii="宋体" w:hAnsi="宋体" w:cs="宋体" w:eastAsia="宋体" w:hint="default"/>
        </w:rPr>
      </w:pPr>
      <w:r>
        <w:rPr>
          <w:rFonts w:ascii="宋体" w:hAnsi="宋体" w:cs="宋体" w:eastAsia="宋体" w:hint="default"/>
          <w:spacing w:val="2"/>
        </w:rPr>
        <w:t>中欧工商管理学院工商管理学硕士，现任阿里巴巴集团资深副总裁兼蚂蚁金服总裁。胡晓明先生</w:t>
      </w:r>
      <w:r>
        <w:rPr>
          <w:rFonts w:ascii="宋体" w:hAnsi="宋体" w:cs="宋体" w:eastAsia="宋体" w:hint="default"/>
          <w:spacing w:val="-22"/>
        </w:rPr>
        <w:t> </w:t>
      </w:r>
      <w:r>
        <w:rPr>
          <w:rFonts w:ascii="宋体" w:hAnsi="宋体" w:cs="宋体" w:eastAsia="宋体" w:hint="default"/>
        </w:rPr>
        <w:t>2014</w:t>
      </w:r>
      <w:r>
        <w:rPr>
          <w:rFonts w:ascii="宋体" w:hAnsi="宋体" w:cs="宋体" w:eastAsia="宋体" w:hint="default"/>
          <w:spacing w:val="-22"/>
        </w:rPr>
        <w:t> </w:t>
      </w:r>
      <w:r>
        <w:rPr>
          <w:rFonts w:ascii="宋体" w:hAnsi="宋体" w:cs="宋体" w:eastAsia="宋体" w:hint="default"/>
          <w:spacing w:val="3"/>
        </w:rPr>
        <w:t>年加</w:t>
      </w:r>
      <w:r>
        <w:rPr>
          <w:rFonts w:ascii="宋体" w:hAnsi="宋体" w:cs="宋体" w:eastAsia="宋体" w:hint="default"/>
          <w:spacing w:val="-67"/>
        </w:rPr>
        <w:t> </w:t>
      </w:r>
      <w:r>
        <w:rPr>
          <w:rFonts w:ascii="宋体" w:hAnsi="宋体" w:cs="宋体" w:eastAsia="宋体" w:hint="default"/>
          <w:spacing w:val="-67"/>
        </w:rPr>
      </w:r>
      <w:r>
        <w:rPr>
          <w:rFonts w:ascii="宋体" w:hAnsi="宋体" w:cs="宋体" w:eastAsia="宋体" w:hint="default"/>
        </w:rPr>
        <w:t>入阿里云，曾作为阿里云总裁专注于云计算领域的研究与发展，帮助企业通过大数据技术、云端安全、企业</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级中间件来构建竞争优势，激发创新能力。在出任阿里云总裁之前，胡晓明先生是国内第一批投身互联网金</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spacing w:val="-2"/>
        </w:rPr>
        <w:t>融的研究者、实践者，也是互联网金融发展的引领者之一。胡晓明先生负责或担任过网络小额信贷、支付宝、</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spacing w:val="-2"/>
        </w:rPr>
        <w:t>保险、证券、基金、互联网征信等多个金融业务板块的负责人，同时也是浙江网商银行最重要的奠基者之一，</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rPr>
        <w:t>为金融与互联网的产业</w:t>
      </w:r>
      <w:r>
        <w:rPr>
          <w:rFonts w:ascii="宋体" w:hAnsi="宋体" w:cs="宋体" w:eastAsia="宋体" w:hint="default"/>
          <w:spacing w:val="-23"/>
        </w:rPr>
        <w:t> </w:t>
      </w:r>
      <w:r>
        <w:rPr>
          <w:rFonts w:ascii="宋体" w:hAnsi="宋体" w:cs="宋体" w:eastAsia="宋体" w:hint="default"/>
        </w:rPr>
        <w:t>结合做出了非常突出的贡献。胡晓明先生加入阿里巴巴集团前曾任职中国建设银行和</w:t>
      </w:r>
      <w:r>
        <w:rPr>
          <w:rFonts w:ascii="宋体" w:hAnsi="宋体" w:cs="宋体" w:eastAsia="宋体" w:hint="default"/>
        </w:rPr>
        <w:t> 中国光大银行等金融机构，在公司及个人金融业务、微小企业融资、网络信用体系等业务方面拥有丰富的工</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作经验。2005</w:t>
      </w:r>
      <w:r>
        <w:rPr>
          <w:rFonts w:ascii="宋体" w:hAnsi="宋体" w:cs="宋体" w:eastAsia="宋体" w:hint="default"/>
          <w:spacing w:val="-32"/>
        </w:rPr>
        <w:t> </w:t>
      </w:r>
      <w:r>
        <w:rPr>
          <w:rFonts w:ascii="宋体" w:hAnsi="宋体" w:cs="宋体" w:eastAsia="宋体" w:hint="default"/>
        </w:rPr>
        <w:t>年</w:t>
      </w:r>
      <w:r>
        <w:rPr>
          <w:rFonts w:ascii="宋体" w:hAnsi="宋体" w:cs="宋体" w:eastAsia="宋体" w:hint="default"/>
          <w:spacing w:val="-31"/>
        </w:rPr>
        <w:t> </w:t>
      </w:r>
      <w:r>
        <w:rPr>
          <w:rFonts w:ascii="宋体" w:hAnsi="宋体" w:cs="宋体" w:eastAsia="宋体" w:hint="default"/>
        </w:rPr>
        <w:t>6</w:t>
      </w:r>
      <w:r>
        <w:rPr>
          <w:rFonts w:ascii="宋体" w:hAnsi="宋体" w:cs="宋体" w:eastAsia="宋体" w:hint="default"/>
          <w:spacing w:val="-32"/>
        </w:rPr>
        <w:t> </w:t>
      </w:r>
      <w:r>
        <w:rPr>
          <w:rFonts w:ascii="宋体" w:hAnsi="宋体" w:cs="宋体" w:eastAsia="宋体" w:hint="default"/>
        </w:rPr>
        <w:t>月，胡晓明先生加盟阿里巴巴集团。胡先生自</w:t>
      </w:r>
      <w:r>
        <w:rPr>
          <w:rFonts w:ascii="宋体" w:hAnsi="宋体" w:cs="宋体" w:eastAsia="宋体" w:hint="default"/>
          <w:spacing w:val="-31"/>
        </w:rPr>
        <w:t> </w:t>
      </w:r>
      <w:r>
        <w:rPr>
          <w:rFonts w:ascii="宋体" w:hAnsi="宋体" w:cs="宋体" w:eastAsia="宋体" w:hint="default"/>
        </w:rPr>
        <w:t>2018</w:t>
      </w:r>
      <w:r>
        <w:rPr>
          <w:rFonts w:ascii="宋体" w:hAnsi="宋体" w:cs="宋体" w:eastAsia="宋体" w:hint="default"/>
          <w:spacing w:val="-32"/>
        </w:rPr>
        <w:t> </w:t>
      </w:r>
      <w:r>
        <w:rPr>
          <w:rFonts w:ascii="宋体" w:hAnsi="宋体" w:cs="宋体" w:eastAsia="宋体" w:hint="default"/>
        </w:rPr>
        <w:t>年</w:t>
      </w:r>
      <w:r>
        <w:rPr>
          <w:rFonts w:ascii="宋体" w:hAnsi="宋体" w:cs="宋体" w:eastAsia="宋体" w:hint="default"/>
          <w:spacing w:val="-31"/>
        </w:rPr>
        <w:t> </w:t>
      </w:r>
      <w:r>
        <w:rPr>
          <w:rFonts w:ascii="宋体" w:hAnsi="宋体" w:cs="宋体" w:eastAsia="宋体" w:hint="default"/>
        </w:rPr>
        <w:t>2</w:t>
      </w:r>
      <w:r>
        <w:rPr>
          <w:rFonts w:ascii="宋体" w:hAnsi="宋体" w:cs="宋体" w:eastAsia="宋体" w:hint="default"/>
          <w:spacing w:val="-32"/>
        </w:rPr>
        <w:t> </w:t>
      </w:r>
      <w:r>
        <w:rPr>
          <w:rFonts w:ascii="宋体" w:hAnsi="宋体" w:cs="宋体" w:eastAsia="宋体" w:hint="default"/>
        </w:rPr>
        <w:t>月起任本公司董事。</w:t>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冯士栋</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2"/>
        <w:jc w:val="both"/>
        <w:rPr>
          <w:rFonts w:ascii="宋体" w:hAnsi="宋体" w:cs="宋体" w:eastAsia="宋体" w:hint="default"/>
        </w:rPr>
      </w:pPr>
      <w:r>
        <w:rPr>
          <w:rFonts w:ascii="宋体" w:hAnsi="宋体" w:cs="宋体" w:eastAsia="宋体" w:hint="default"/>
        </w:rPr>
        <w:t>1982</w:t>
      </w:r>
      <w:r>
        <w:rPr>
          <w:rFonts w:ascii="宋体" w:hAnsi="宋体" w:cs="宋体" w:eastAsia="宋体" w:hint="default"/>
          <w:spacing w:val="-21"/>
        </w:rPr>
        <w:t> </w:t>
      </w:r>
      <w:r>
        <w:rPr>
          <w:rFonts w:ascii="宋体" w:hAnsi="宋体" w:cs="宋体" w:eastAsia="宋体" w:hint="default"/>
        </w:rPr>
        <w:t>年</w:t>
      </w:r>
      <w:r>
        <w:rPr>
          <w:rFonts w:ascii="宋体" w:hAnsi="宋体" w:cs="宋体" w:eastAsia="宋体" w:hint="default"/>
          <w:spacing w:val="-21"/>
        </w:rPr>
        <w:t> </w:t>
      </w:r>
      <w:r>
        <w:rPr>
          <w:rFonts w:ascii="宋体" w:hAnsi="宋体" w:cs="宋体" w:eastAsia="宋体" w:hint="default"/>
        </w:rPr>
        <w:t>1</w:t>
      </w:r>
      <w:r>
        <w:rPr>
          <w:rFonts w:ascii="宋体" w:hAnsi="宋体" w:cs="宋体" w:eastAsia="宋体" w:hint="default"/>
          <w:spacing w:val="-21"/>
        </w:rPr>
        <w:t> </w:t>
      </w:r>
      <w:r>
        <w:rPr>
          <w:rFonts w:ascii="宋体" w:hAnsi="宋体" w:cs="宋体" w:eastAsia="宋体" w:hint="default"/>
        </w:rPr>
        <w:t>月毕业于中国矿业学院取得工学学士学位，1997</w:t>
      </w:r>
      <w:r>
        <w:rPr>
          <w:rFonts w:ascii="宋体" w:hAnsi="宋体" w:cs="宋体" w:eastAsia="宋体" w:hint="default"/>
          <w:spacing w:val="-21"/>
        </w:rPr>
        <w:t> </w:t>
      </w:r>
      <w:r>
        <w:rPr>
          <w:rFonts w:ascii="宋体" w:hAnsi="宋体" w:cs="宋体" w:eastAsia="宋体" w:hint="default"/>
        </w:rPr>
        <w:t>年</w:t>
      </w:r>
      <w:r>
        <w:rPr>
          <w:rFonts w:ascii="宋体" w:hAnsi="宋体" w:cs="宋体" w:eastAsia="宋体" w:hint="default"/>
          <w:spacing w:val="-21"/>
        </w:rPr>
        <w:t> </w:t>
      </w:r>
      <w:r>
        <w:rPr>
          <w:rFonts w:ascii="宋体" w:hAnsi="宋体" w:cs="宋体" w:eastAsia="宋体" w:hint="default"/>
        </w:rPr>
        <w:t>7</w:t>
      </w:r>
      <w:r>
        <w:rPr>
          <w:rFonts w:ascii="宋体" w:hAnsi="宋体" w:cs="宋体" w:eastAsia="宋体" w:hint="default"/>
          <w:spacing w:val="-21"/>
        </w:rPr>
        <w:t> </w:t>
      </w:r>
      <w:r>
        <w:rPr>
          <w:rFonts w:ascii="宋体" w:hAnsi="宋体" w:cs="宋体" w:eastAsia="宋体" w:hint="default"/>
        </w:rPr>
        <w:t>月在中国矿业大学北京研究生部硕士研究生</w:t>
      </w:r>
      <w:r>
        <w:rPr>
          <w:rFonts w:ascii="宋体" w:hAnsi="宋体" w:cs="宋体" w:eastAsia="宋体" w:hint="default"/>
          <w:spacing w:val="-71"/>
        </w:rPr>
        <w:t> </w:t>
      </w:r>
      <w:r>
        <w:rPr>
          <w:rFonts w:ascii="宋体" w:hAnsi="宋体" w:cs="宋体" w:eastAsia="宋体" w:hint="default"/>
          <w:spacing w:val="-71"/>
        </w:rPr>
      </w:r>
      <w:r>
        <w:rPr>
          <w:rFonts w:ascii="宋体" w:hAnsi="宋体" w:cs="宋体" w:eastAsia="宋体" w:hint="default"/>
        </w:rPr>
        <w:t>毕业取得工学硕士学位；冯先生曾担任国投煤炭公司总经理，国投电力公司总经理，国投华靖电力股份公司</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董事长，国家开发投资公司副总经理，国家开发投资公司董事、党组副书记、总经理职务。现退休。冯先生</w:t>
      </w:r>
      <w:r>
        <w:rPr>
          <w:rFonts w:ascii="宋体" w:hAnsi="宋体" w:cs="宋体" w:eastAsia="宋体" w:hint="default"/>
          <w:spacing w:val="-9"/>
        </w:rPr>
        <w:t> </w:t>
      </w:r>
      <w:r>
        <w:rPr>
          <w:rFonts w:ascii="宋体" w:hAnsi="宋体" w:cs="宋体" w:eastAsia="宋体" w:hint="default"/>
          <w:spacing w:val="-9"/>
        </w:rPr>
      </w:r>
      <w:r>
        <w:rPr>
          <w:rFonts w:ascii="宋体" w:hAnsi="宋体" w:cs="宋体" w:eastAsia="宋体" w:hint="default"/>
        </w:rPr>
        <w:t>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月起任本公司独立董事。</w:t>
      </w:r>
    </w:p>
    <w:p>
      <w:pPr>
        <w:spacing w:after="0" w:line="264" w:lineRule="auto"/>
        <w:jc w:val="both"/>
        <w:rPr>
          <w:rFonts w:ascii="宋体" w:hAnsi="宋体" w:cs="宋体" w:eastAsia="宋体" w:hint="default"/>
        </w:rPr>
        <w:sectPr>
          <w:pgSz w:w="11910" w:h="16160"/>
          <w:pgMar w:header="0" w:footer="971" w:top="2220" w:bottom="11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8"/>
        <w:spacing w:line="240" w:lineRule="auto"/>
        <w:ind w:right="764"/>
        <w:jc w:val="left"/>
        <w:rPr>
          <w:rFonts w:ascii="宋体" w:hAnsi="宋体" w:cs="宋体" w:eastAsia="宋体" w:hint="default"/>
        </w:rPr>
      </w:pPr>
      <w:r>
        <w:rPr>
          <w:rFonts w:ascii="宋体" w:hAnsi="宋体" w:cs="宋体" w:eastAsia="宋体" w:hint="default"/>
        </w:rPr>
        <w:t>吴晓根</w:t>
      </w:r>
    </w:p>
    <w:p>
      <w:pPr>
        <w:spacing w:line="240" w:lineRule="auto" w:before="6"/>
        <w:rPr>
          <w:rFonts w:ascii="宋体" w:hAnsi="宋体" w:cs="宋体" w:eastAsia="宋体" w:hint="default"/>
          <w:sz w:val="9"/>
          <w:szCs w:val="9"/>
        </w:rPr>
      </w:pPr>
    </w:p>
    <w:p>
      <w:pPr>
        <w:spacing w:line="65" w:lineRule="exact"/>
        <w:ind w:left="1727"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2494" w:right="846"/>
        <w:jc w:val="both"/>
        <w:rPr>
          <w:rFonts w:ascii="宋体" w:hAnsi="宋体" w:cs="宋体" w:eastAsia="宋体" w:hint="default"/>
        </w:rPr>
      </w:pPr>
      <w:r>
        <w:rPr/>
        <w:pict>
          <v:group style="position:absolute;margin-left:70.388pt;margin-top:76.491188pt;width:524.9pt;height:507.4pt;mso-position-horizontal-relative:page;mso-position-vertical-relative:paragraph;z-index:-963832" coordorigin="1408,1530" coordsize="10498,10148">
            <v:group style="position:absolute;left:10718;top:2219;width:1188;height:2980" coordorigin="10718,2219" coordsize="1188,2980">
              <v:shape style="position:absolute;left:10718;top:2219;width:1188;height:2980" coordorigin="10718,2219" coordsize="1188,2980" path="m11906,5198l10718,5198,11906,2219,11906,5198xe" filled="true" fillcolor="#d7000f" stroked="false">
                <v:path arrowok="t"/>
                <v:fill type="solid"/>
              </v:shape>
            </v:group>
            <v:group style="position:absolute;left:9173;top:4655;width:2733;height:6853" coordorigin="9173,4655" coordsize="2733,6853">
              <v:shape style="position:absolute;left:9173;top:4655;width:2733;height:6853" coordorigin="9173,4655" coordsize="2733,6853" path="m11906,11508l9173,11508,11906,4655,11906,11508xe" filled="true" fillcolor="#8e9090" stroked="false">
                <v:path arrowok="t"/>
                <v:fill type="solid"/>
              </v:shape>
              <v:shape style="position:absolute;left:7550;top:10572;width:188;height:188" type="#_x0000_t75" stroked="false">
                <v:imagedata r:id="rId76" o:title=""/>
              </v:shape>
            </v:group>
            <v:group style="position:absolute;left:1417;top:10666;width:6251;height:2" coordorigin="1417,10666" coordsize="6251,2">
              <v:shape style="position:absolute;left:1417;top:10666;width:6251;height:2" coordorigin="1417,10666" coordsize="6251,0" path="m1417,10666l7668,10666e" filled="false" stroked="true" strokeweight=".956pt" strokecolor="#8e9090">
                <v:path arrowok="t"/>
              </v:shape>
            </v:group>
            <v:group style="position:absolute;left:1417;top:1530;width:10489;height:10148" coordorigin="1417,1530" coordsize="10489,10148">
              <v:shape style="position:absolute;left:1417;top:1530;width:10489;height:10148" coordorigin="1417,1530" coordsize="10489,10148" path="m1417,11678l11905,11678,11905,1530,1417,1530,1417,11678xe" filled="true" fillcolor="#ffffff" stroked="false">
                <v:path arrowok="t"/>
                <v:fill type="solid"/>
              </v:shape>
            </v:group>
            <v:group style="position:absolute;left:1757;top:2348;width:709;height:2" coordorigin="1757,2348" coordsize="709,2">
              <v:shape style="position:absolute;left:1757;top:2348;width:709;height:2" coordorigin="1757,2348" coordsize="709,0" path="m1757,2348l2466,2348e" filled="false" stroked="true" strokeweight="3pt" strokecolor="#d7000f">
                <v:path arrowok="t"/>
              </v:shape>
            </v:group>
            <v:group style="position:absolute;left:2466;top:2378;width:8589;height:2" coordorigin="2466,2378" coordsize="8589,2">
              <v:shape style="position:absolute;left:2466;top:2378;width:8589;height:2" coordorigin="2466,2378" coordsize="8589,0" path="m2466,2378l11055,2378e" filled="false" stroked="true" strokeweight=".5pt" strokecolor="#d7000f">
                <v:path arrowok="t"/>
              </v:shape>
            </v:group>
            <v:group style="position:absolute;left:1757;top:2378;width:709;height:2" coordorigin="1757,2378" coordsize="709,2">
              <v:shape style="position:absolute;left:1757;top:2378;width:709;height:2" coordorigin="1757,2378" coordsize="709,0" path="m1757,2378l2466,2378e" filled="false" stroked="true" strokeweight=".5pt" strokecolor="#d7000f">
                <v:path arrowok="t"/>
              </v:shape>
            </v:group>
            <v:group style="position:absolute;left:1757;top:4991;width:709;height:2" coordorigin="1757,4991" coordsize="709,2">
              <v:shape style="position:absolute;left:1757;top:4991;width:709;height:2" coordorigin="1757,4991" coordsize="709,0" path="m1757,4991l2466,4991e" filled="false" stroked="true" strokeweight="3pt" strokecolor="#d7000f">
                <v:path arrowok="t"/>
              </v:shape>
            </v:group>
            <v:group style="position:absolute;left:2466;top:5021;width:8589;height:2" coordorigin="2466,5021" coordsize="8589,2">
              <v:shape style="position:absolute;left:2466;top:5021;width:8589;height:2" coordorigin="2466,5021" coordsize="8589,0" path="m2466,5021l11055,5021e" filled="false" stroked="true" strokeweight=".5pt" strokecolor="#d7000f">
                <v:path arrowok="t"/>
              </v:shape>
            </v:group>
            <v:group style="position:absolute;left:1757;top:5021;width:709;height:2" coordorigin="1757,5021" coordsize="709,2">
              <v:shape style="position:absolute;left:1757;top:5021;width:709;height:2" coordorigin="1757,5021" coordsize="709,0" path="m1757,5021l2466,5021e" filled="false" stroked="true" strokeweight=".5pt" strokecolor="#d7000f">
                <v:path arrowok="t"/>
              </v:shape>
            </v:group>
            <v:group style="position:absolute;left:1757;top:6595;width:709;height:2" coordorigin="1757,6595" coordsize="709,2">
              <v:shape style="position:absolute;left:1757;top:6595;width:709;height:2" coordorigin="1757,6595" coordsize="709,0" path="m1757,6595l2466,6595e" filled="false" stroked="true" strokeweight="3pt" strokecolor="#d7000f">
                <v:path arrowok="t"/>
              </v:shape>
            </v:group>
            <v:group style="position:absolute;left:2466;top:6625;width:8589;height:2" coordorigin="2466,6625" coordsize="8589,2">
              <v:shape style="position:absolute;left:2466;top:6625;width:8589;height:2" coordorigin="2466,6625" coordsize="8589,0" path="m2466,6625l11055,6625e" filled="false" stroked="true" strokeweight=".5pt" strokecolor="#d7000f">
                <v:path arrowok="t"/>
              </v:shape>
            </v:group>
            <v:group style="position:absolute;left:1757;top:6625;width:709;height:2" coordorigin="1757,6625" coordsize="709,2">
              <v:shape style="position:absolute;left:1757;top:6625;width:709;height:2" coordorigin="1757,6625" coordsize="709,0" path="m1757,6625l2466,6625e" filled="false" stroked="true" strokeweight=".5pt" strokecolor="#d7000f">
                <v:path arrowok="t"/>
              </v:shape>
            </v:group>
            <v:group style="position:absolute;left:1757;top:9498;width:709;height:2" coordorigin="1757,9498" coordsize="709,2">
              <v:shape style="position:absolute;left:1757;top:9498;width:709;height:2" coordorigin="1757,9498" coordsize="709,0" path="m1757,9498l2466,9498e" filled="false" stroked="true" strokeweight="3pt" strokecolor="#d7000f">
                <v:path arrowok="t"/>
              </v:shape>
            </v:group>
            <v:group style="position:absolute;left:2466;top:9528;width:8589;height:2" coordorigin="2466,9528" coordsize="8589,2">
              <v:shape style="position:absolute;left:2466;top:9528;width:8589;height:2" coordorigin="2466,9528" coordsize="8589,0" path="m2466,9528l11055,9528e" filled="false" stroked="true" strokeweight=".5pt" strokecolor="#d7000f">
                <v:path arrowok="t"/>
              </v:shape>
            </v:group>
            <v:group style="position:absolute;left:1757;top:9528;width:709;height:2" coordorigin="1757,9528" coordsize="709,2">
              <v:shape style="position:absolute;left:1757;top:9528;width:709;height:2" coordorigin="1757,9528" coordsize="709,0" path="m1757,9528l2466,9528e" filled="false" stroked="true" strokeweight=".5pt" strokecolor="#d7000f">
                <v:path arrowok="t"/>
              </v:shape>
            </v:group>
            <w10:wrap type="none"/>
          </v:group>
        </w:pict>
      </w:r>
      <w:r>
        <w:rPr>
          <w:rFonts w:ascii="宋体" w:hAnsi="宋体" w:cs="宋体" w:eastAsia="宋体" w:hint="default"/>
        </w:rPr>
        <w:t>研究员。吴先生现在是中央企业外部董事。吴先生先后于</w:t>
      </w:r>
      <w:r>
        <w:rPr>
          <w:rFonts w:ascii="宋体" w:hAnsi="宋体" w:cs="宋体" w:eastAsia="宋体" w:hint="default"/>
          <w:spacing w:val="-30"/>
        </w:rPr>
        <w:t> </w:t>
      </w:r>
      <w:r>
        <w:rPr>
          <w:rFonts w:ascii="宋体" w:hAnsi="宋体" w:cs="宋体" w:eastAsia="宋体" w:hint="default"/>
        </w:rPr>
        <w:t>1993</w:t>
      </w:r>
      <w:r>
        <w:rPr>
          <w:rFonts w:ascii="宋体" w:hAnsi="宋体" w:cs="宋体" w:eastAsia="宋体" w:hint="default"/>
          <w:spacing w:val="-30"/>
        </w:rPr>
        <w:t> </w:t>
      </w:r>
      <w:r>
        <w:rPr>
          <w:rFonts w:ascii="宋体" w:hAnsi="宋体" w:cs="宋体" w:eastAsia="宋体" w:hint="default"/>
        </w:rPr>
        <w:t>年及</w:t>
      </w:r>
      <w:r>
        <w:rPr>
          <w:rFonts w:ascii="宋体" w:hAnsi="宋体" w:cs="宋体" w:eastAsia="宋体" w:hint="default"/>
          <w:spacing w:val="-30"/>
        </w:rPr>
        <w:t> </w:t>
      </w:r>
      <w:r>
        <w:rPr>
          <w:rFonts w:ascii="宋体" w:hAnsi="宋体" w:cs="宋体" w:eastAsia="宋体" w:hint="default"/>
        </w:rPr>
        <w:t>1997</w:t>
      </w:r>
      <w:r>
        <w:rPr>
          <w:rFonts w:ascii="宋体" w:hAnsi="宋体" w:cs="宋体" w:eastAsia="宋体" w:hint="default"/>
          <w:spacing w:val="-30"/>
        </w:rPr>
        <w:t> </w:t>
      </w:r>
      <w:r>
        <w:rPr>
          <w:rFonts w:ascii="宋体" w:hAnsi="宋体" w:cs="宋体" w:eastAsia="宋体" w:hint="default"/>
        </w:rPr>
        <w:t>年在中央财经大学取得会计专业硕</w:t>
      </w:r>
      <w:r>
        <w:rPr>
          <w:rFonts w:ascii="宋体" w:hAnsi="宋体" w:cs="宋体" w:eastAsia="宋体" w:hint="default"/>
          <w:spacing w:val="-78"/>
        </w:rPr>
        <w:t> </w:t>
      </w:r>
      <w:r>
        <w:rPr>
          <w:rFonts w:ascii="宋体" w:hAnsi="宋体" w:cs="宋体" w:eastAsia="宋体" w:hint="default"/>
          <w:spacing w:val="-78"/>
        </w:rPr>
      </w:r>
      <w:r>
        <w:rPr>
          <w:rFonts w:ascii="宋体" w:hAnsi="宋体" w:cs="宋体" w:eastAsia="宋体" w:hint="default"/>
        </w:rPr>
        <w:t>士学位和经济学博士学位。吴先生曾担任中国金谷国际信托投资公司证券业务部总经理助理、副总经理；中</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国科技国际信托投资有限责任公司证券业务部副总经理兼机构管理部总经理；中央财经大学会计学院审计教</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研室主任、副院长；中国第一重型机械集团有限公司总会计师；中国东方航空股份有限公司、中国石化股份</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spacing w:val="-2"/>
        </w:rPr>
        <w:t>有限公司独立董事；中国长江三峡集团有限公司外部董事。吴先生目前同时担任中国机械工业集团有限公司、</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rPr>
        <w:t>中国电子科技集团有限公司外部董事。吴先生自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月起任本公司独立董事。</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rFonts w:ascii="宋体" w:hAnsi="宋体" w:cs="宋体" w:eastAsia="宋体" w:hint="default"/>
        </w:rPr>
        <w:t>吕廷杰</w:t>
      </w:r>
    </w:p>
    <w:p>
      <w:pPr>
        <w:spacing w:line="240" w:lineRule="auto" w:before="1"/>
        <w:rPr>
          <w:rFonts w:ascii="宋体" w:hAnsi="宋体" w:cs="宋体" w:eastAsia="宋体" w:hint="default"/>
          <w:sz w:val="16"/>
          <w:szCs w:val="16"/>
        </w:rPr>
      </w:pPr>
    </w:p>
    <w:p>
      <w:pPr>
        <w:pStyle w:val="BodyText"/>
        <w:spacing w:line="264" w:lineRule="auto" w:before="31"/>
        <w:ind w:left="2494" w:right="747"/>
        <w:jc w:val="left"/>
        <w:rPr>
          <w:rFonts w:ascii="宋体" w:hAnsi="宋体" w:cs="宋体" w:eastAsia="宋体" w:hint="default"/>
        </w:rPr>
      </w:pPr>
      <w:r>
        <w:rPr>
          <w:rFonts w:ascii="宋体" w:hAnsi="宋体" w:cs="宋体" w:eastAsia="宋体" w:hint="default"/>
        </w:rPr>
        <w:t>现任北京邮电大学教授、博士生导师。吕先生先后于</w:t>
      </w:r>
      <w:r>
        <w:rPr>
          <w:rFonts w:ascii="宋体" w:hAnsi="宋体" w:cs="宋体" w:eastAsia="宋体" w:hint="default"/>
          <w:spacing w:val="-44"/>
        </w:rPr>
        <w:t> </w:t>
      </w:r>
      <w:r>
        <w:rPr>
          <w:rFonts w:ascii="宋体" w:hAnsi="宋体" w:cs="宋体" w:eastAsia="宋体" w:hint="default"/>
        </w:rPr>
        <w:t>1982</w:t>
      </w:r>
      <w:r>
        <w:rPr>
          <w:rFonts w:ascii="宋体" w:hAnsi="宋体" w:cs="宋体" w:eastAsia="宋体" w:hint="default"/>
          <w:spacing w:val="-44"/>
        </w:rPr>
        <w:t> </w:t>
      </w:r>
      <w:r>
        <w:rPr>
          <w:rFonts w:ascii="宋体" w:hAnsi="宋体" w:cs="宋体" w:eastAsia="宋体" w:hint="default"/>
        </w:rPr>
        <w:t>年及</w:t>
      </w:r>
      <w:r>
        <w:rPr>
          <w:rFonts w:ascii="宋体" w:hAnsi="宋体" w:cs="宋体" w:eastAsia="宋体" w:hint="default"/>
          <w:spacing w:val="-44"/>
        </w:rPr>
        <w:t> </w:t>
      </w:r>
      <w:r>
        <w:rPr>
          <w:rFonts w:ascii="宋体" w:hAnsi="宋体" w:cs="宋体" w:eastAsia="宋体" w:hint="default"/>
        </w:rPr>
        <w:t>1985</w:t>
      </w:r>
      <w:r>
        <w:rPr>
          <w:rFonts w:ascii="宋体" w:hAnsi="宋体" w:cs="宋体" w:eastAsia="宋体" w:hint="default"/>
          <w:spacing w:val="-44"/>
        </w:rPr>
        <w:t> </w:t>
      </w:r>
      <w:r>
        <w:rPr>
          <w:rFonts w:ascii="宋体" w:hAnsi="宋体" w:cs="宋体" w:eastAsia="宋体" w:hint="default"/>
        </w:rPr>
        <w:t>年在北京邮电大学取得学士及硕士学位，</w:t>
      </w:r>
      <w:r>
        <w:rPr>
          <w:rFonts w:ascii="宋体" w:hAnsi="宋体" w:cs="宋体" w:eastAsia="宋体" w:hint="default"/>
        </w:rPr>
        <w:t> </w:t>
      </w:r>
      <w:r>
        <w:rPr>
          <w:rFonts w:ascii="宋体" w:hAnsi="宋体" w:cs="宋体" w:eastAsia="宋体" w:hint="default"/>
          <w:w w:val="105"/>
        </w:rPr>
        <w:t>于</w:t>
      </w:r>
      <w:r>
        <w:rPr>
          <w:rFonts w:ascii="宋体" w:hAnsi="宋体" w:cs="宋体" w:eastAsia="宋体" w:hint="default"/>
          <w:spacing w:val="-76"/>
          <w:w w:val="105"/>
        </w:rPr>
        <w:t> </w:t>
      </w:r>
      <w:r>
        <w:rPr>
          <w:rFonts w:ascii="宋体" w:hAnsi="宋体" w:cs="宋体" w:eastAsia="宋体" w:hint="default"/>
          <w:w w:val="105"/>
        </w:rPr>
        <w:t>1997</w:t>
      </w:r>
      <w:r>
        <w:rPr>
          <w:rFonts w:ascii="宋体" w:hAnsi="宋体" w:cs="宋体" w:eastAsia="宋体" w:hint="default"/>
          <w:spacing w:val="-76"/>
          <w:w w:val="105"/>
        </w:rPr>
        <w:t> </w:t>
      </w:r>
      <w:r>
        <w:rPr>
          <w:rFonts w:ascii="宋体" w:hAnsi="宋体" w:cs="宋体" w:eastAsia="宋体" w:hint="default"/>
          <w:w w:val="105"/>
        </w:rPr>
        <w:t>年获日本京都大学博士学位；1994</w:t>
      </w:r>
      <w:r>
        <w:rPr>
          <w:rFonts w:ascii="宋体" w:hAnsi="宋体" w:cs="宋体" w:eastAsia="宋体" w:hint="default"/>
          <w:spacing w:val="-76"/>
          <w:w w:val="105"/>
        </w:rPr>
        <w:t> </w:t>
      </w:r>
      <w:r>
        <w:rPr>
          <w:rFonts w:ascii="宋体" w:hAnsi="宋体" w:cs="宋体" w:eastAsia="宋体" w:hint="default"/>
          <w:w w:val="105"/>
        </w:rPr>
        <w:t>年在美国</w:t>
      </w:r>
      <w:r>
        <w:rPr>
          <w:rFonts w:ascii="宋体" w:hAnsi="宋体" w:cs="宋体" w:eastAsia="宋体" w:hint="default"/>
          <w:spacing w:val="-76"/>
          <w:w w:val="105"/>
        </w:rPr>
        <w:t> </w:t>
      </w:r>
      <w:r>
        <w:rPr>
          <w:rFonts w:ascii="宋体" w:hAnsi="宋体" w:cs="宋体" w:eastAsia="宋体" w:hint="default"/>
          <w:w w:val="105"/>
        </w:rPr>
        <w:t>AT&amp;T</w:t>
      </w:r>
      <w:r>
        <w:rPr>
          <w:rFonts w:ascii="宋体" w:hAnsi="宋体" w:cs="宋体" w:eastAsia="宋体" w:hint="default"/>
          <w:spacing w:val="-76"/>
          <w:w w:val="105"/>
        </w:rPr>
        <w:t> </w:t>
      </w:r>
      <w:r>
        <w:rPr>
          <w:rFonts w:ascii="宋体" w:hAnsi="宋体" w:cs="宋体" w:eastAsia="宋体" w:hint="default"/>
          <w:w w:val="105"/>
        </w:rPr>
        <w:t>工商管理学校和贝尔实验室做访问学者。吕先生</w:t>
      </w:r>
      <w:r>
        <w:rPr>
          <w:rFonts w:ascii="宋体" w:hAnsi="宋体" w:cs="宋体" w:eastAsia="宋体" w:hint="default"/>
          <w:spacing w:val="1"/>
        </w:rPr>
        <w:t> </w:t>
      </w:r>
      <w:r>
        <w:rPr>
          <w:rFonts w:ascii="宋体" w:hAnsi="宋体" w:cs="宋体" w:eastAsia="宋体" w:hint="default"/>
          <w:spacing w:val="3"/>
        </w:rPr>
        <w:t>曾担任北京邮电大学管理工程系副主任、副教授；北京邮电大学管理与人文学院副院长、教授；第</w:t>
      </w:r>
      <w:r>
        <w:rPr>
          <w:rFonts w:ascii="宋体" w:hAnsi="宋体" w:cs="宋体" w:eastAsia="宋体" w:hint="default"/>
          <w:spacing w:val="-35"/>
        </w:rPr>
        <w:t> </w:t>
      </w:r>
      <w:r>
        <w:rPr>
          <w:rFonts w:ascii="宋体" w:hAnsi="宋体" w:cs="宋体" w:eastAsia="宋体" w:hint="default"/>
        </w:rPr>
        <w:t>22</w:t>
      </w:r>
      <w:r>
        <w:rPr>
          <w:rFonts w:ascii="宋体" w:hAnsi="宋体" w:cs="宋体" w:eastAsia="宋体" w:hint="default"/>
          <w:spacing w:val="-35"/>
        </w:rPr>
        <w:t> </w:t>
      </w:r>
      <w:r>
        <w:rPr>
          <w:rFonts w:ascii="宋体" w:hAnsi="宋体" w:cs="宋体" w:eastAsia="宋体" w:hint="default"/>
          <w:spacing w:val="4"/>
        </w:rPr>
        <w:t>届万</w:t>
      </w:r>
      <w:r>
        <w:rPr>
          <w:rFonts w:ascii="宋体" w:hAnsi="宋体" w:cs="宋体" w:eastAsia="宋体" w:hint="default"/>
          <w:spacing w:val="-68"/>
        </w:rPr>
        <w:t> </w:t>
      </w:r>
      <w:r>
        <w:rPr>
          <w:rFonts w:ascii="宋体" w:hAnsi="宋体" w:cs="宋体" w:eastAsia="宋体" w:hint="default"/>
          <w:spacing w:val="-68"/>
        </w:rPr>
      </w:r>
      <w:r>
        <w:rPr>
          <w:rFonts w:ascii="宋体" w:hAnsi="宋体" w:cs="宋体" w:eastAsia="宋体" w:hint="default"/>
        </w:rPr>
        <w:t>国邮联大会主席助理；北京邮电大学研究生院常务副院长；北京邮电大学经济管理学院院长及执行院长；北</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spacing w:val="-2"/>
        </w:rPr>
        <w:t>京邮电大学校长助理。吕先生目前同时担任大唐高鸿数据网络技术股份有限公司、深圳爱施德股份有限公司、</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spacing w:val="2"/>
        </w:rPr>
        <w:t>京东方科技集团股份有限公司、中国通信服务股份有限公司独立董事。吕先生自</w:t>
      </w:r>
      <w:r>
        <w:rPr>
          <w:rFonts w:ascii="宋体" w:hAnsi="宋体" w:cs="宋体" w:eastAsia="宋体" w:hint="default"/>
          <w:spacing w:val="-35"/>
        </w:rPr>
        <w:t> </w:t>
      </w:r>
      <w:r>
        <w:rPr>
          <w:rFonts w:ascii="宋体" w:hAnsi="宋体" w:cs="宋体" w:eastAsia="宋体" w:hint="default"/>
        </w:rPr>
        <w:t>2016</w:t>
      </w:r>
      <w:r>
        <w:rPr>
          <w:rFonts w:ascii="宋体" w:hAnsi="宋体" w:cs="宋体" w:eastAsia="宋体" w:hint="default"/>
          <w:spacing w:val="-35"/>
        </w:rPr>
        <w:t> </w:t>
      </w:r>
      <w:r>
        <w:rPr>
          <w:rFonts w:ascii="宋体" w:hAnsi="宋体" w:cs="宋体" w:eastAsia="宋体" w:hint="default"/>
        </w:rPr>
        <w:t>年</w:t>
      </w:r>
      <w:r>
        <w:rPr>
          <w:rFonts w:ascii="宋体" w:hAnsi="宋体" w:cs="宋体" w:eastAsia="宋体" w:hint="default"/>
          <w:spacing w:val="-35"/>
        </w:rPr>
        <w:t> </w:t>
      </w:r>
      <w:r>
        <w:rPr>
          <w:rFonts w:ascii="宋体" w:hAnsi="宋体" w:cs="宋体" w:eastAsia="宋体" w:hint="default"/>
        </w:rPr>
        <w:t>5</w:t>
      </w:r>
      <w:r>
        <w:rPr>
          <w:rFonts w:ascii="宋体" w:hAnsi="宋体" w:cs="宋体" w:eastAsia="宋体" w:hint="default"/>
          <w:spacing w:val="-35"/>
        </w:rPr>
        <w:t> </w:t>
      </w:r>
      <w:r>
        <w:rPr>
          <w:rFonts w:ascii="宋体" w:hAnsi="宋体" w:cs="宋体" w:eastAsia="宋体" w:hint="default"/>
          <w:spacing w:val="3"/>
        </w:rPr>
        <w:t>月起任本公司独</w:t>
      </w:r>
      <w:r>
        <w:rPr>
          <w:rFonts w:ascii="宋体" w:hAnsi="宋体" w:cs="宋体" w:eastAsia="宋体" w:hint="default"/>
          <w:spacing w:val="-61"/>
        </w:rPr>
        <w:t> </w:t>
      </w:r>
      <w:r>
        <w:rPr>
          <w:rFonts w:ascii="宋体" w:hAnsi="宋体" w:cs="宋体" w:eastAsia="宋体" w:hint="default"/>
          <w:spacing w:val="-61"/>
        </w:rPr>
      </w:r>
      <w:r>
        <w:rPr>
          <w:rFonts w:ascii="宋体" w:hAnsi="宋体" w:cs="宋体" w:eastAsia="宋体" w:hint="default"/>
          <w:w w:val="105"/>
        </w:rPr>
        <w:t>立董事。</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rFonts w:ascii="宋体" w:hAnsi="宋体" w:cs="宋体" w:eastAsia="宋体" w:hint="default"/>
        </w:rPr>
        <w:t>陈建新</w:t>
      </w:r>
    </w:p>
    <w:p>
      <w:pPr>
        <w:spacing w:line="240" w:lineRule="auto" w:before="1"/>
        <w:rPr>
          <w:rFonts w:ascii="宋体" w:hAnsi="宋体" w:cs="宋体" w:eastAsia="宋体" w:hint="default"/>
          <w:sz w:val="16"/>
          <w:szCs w:val="16"/>
        </w:rPr>
      </w:pPr>
    </w:p>
    <w:p>
      <w:pPr>
        <w:pStyle w:val="BodyText"/>
        <w:spacing w:line="264" w:lineRule="auto" w:before="31"/>
        <w:ind w:left="2494" w:right="848"/>
        <w:jc w:val="both"/>
        <w:rPr>
          <w:rFonts w:ascii="宋体" w:hAnsi="宋体" w:cs="宋体" w:eastAsia="宋体" w:hint="default"/>
        </w:rPr>
      </w:pPr>
      <w:r>
        <w:rPr>
          <w:rFonts w:ascii="宋体" w:hAnsi="宋体" w:cs="宋体" w:eastAsia="宋体" w:hint="default"/>
        </w:rPr>
        <w:t>曾担任全国侨联财务处副处长，人事部办公厅财务处副处长、处长，人事部综合计划司经费处处长，国务院</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稽察特派员总署稽察特派员助理（正处级），国有重点大型企业监事会正处级专职监事、副局级专职监事、</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rPr>
        <w:t>正局级专职监事。现退休。陈先生自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月起任本公司独立董事。</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rFonts w:ascii="宋体" w:hAnsi="宋体" w:cs="宋体" w:eastAsia="宋体" w:hint="default"/>
        </w:rPr>
        <w:t>熊晓鸽</w:t>
      </w:r>
    </w:p>
    <w:p>
      <w:pPr>
        <w:spacing w:line="240" w:lineRule="auto" w:before="1"/>
        <w:rPr>
          <w:rFonts w:ascii="宋体" w:hAnsi="宋体" w:cs="宋体" w:eastAsia="宋体" w:hint="default"/>
          <w:sz w:val="16"/>
          <w:szCs w:val="16"/>
        </w:rPr>
      </w:pPr>
    </w:p>
    <w:p>
      <w:pPr>
        <w:pStyle w:val="BodyText"/>
        <w:spacing w:line="264" w:lineRule="auto" w:before="31"/>
        <w:ind w:left="2494" w:right="758"/>
        <w:jc w:val="both"/>
        <w:rPr>
          <w:rFonts w:ascii="宋体" w:hAnsi="宋体" w:cs="宋体" w:eastAsia="宋体" w:hint="default"/>
        </w:rPr>
      </w:pPr>
      <w:r>
        <w:rPr>
          <w:rFonts w:ascii="宋体" w:hAnsi="宋体" w:cs="宋体" w:eastAsia="宋体" w:hint="default"/>
        </w:rPr>
        <w:t>现任</w:t>
      </w:r>
      <w:r>
        <w:rPr>
          <w:rFonts w:ascii="宋体" w:hAnsi="宋体" w:cs="宋体" w:eastAsia="宋体" w:hint="default"/>
          <w:spacing w:val="-43"/>
        </w:rPr>
        <w:t> </w:t>
      </w:r>
      <w:r>
        <w:rPr>
          <w:rFonts w:ascii="宋体" w:hAnsi="宋体" w:cs="宋体" w:eastAsia="宋体" w:hint="default"/>
        </w:rPr>
        <w:t>IDG</w:t>
      </w:r>
      <w:r>
        <w:rPr>
          <w:rFonts w:ascii="宋体" w:hAnsi="宋体" w:cs="宋体" w:eastAsia="宋体" w:hint="default"/>
          <w:spacing w:val="-43"/>
        </w:rPr>
        <w:t> </w:t>
      </w:r>
      <w:r>
        <w:rPr>
          <w:rFonts w:ascii="宋体" w:hAnsi="宋体" w:cs="宋体" w:eastAsia="宋体" w:hint="default"/>
          <w:spacing w:val="-18"/>
        </w:rPr>
        <w:t>资本（原</w:t>
      </w:r>
      <w:r>
        <w:rPr>
          <w:rFonts w:ascii="宋体" w:hAnsi="宋体" w:cs="宋体" w:eastAsia="宋体" w:hint="default"/>
          <w:spacing w:val="-43"/>
        </w:rPr>
        <w:t> </w:t>
      </w:r>
      <w:r>
        <w:rPr>
          <w:rFonts w:ascii="宋体" w:hAnsi="宋体" w:cs="宋体" w:eastAsia="宋体" w:hint="default"/>
        </w:rPr>
        <w:t>IDG</w:t>
      </w:r>
      <w:r>
        <w:rPr>
          <w:rFonts w:ascii="宋体" w:hAnsi="宋体" w:cs="宋体" w:eastAsia="宋体" w:hint="default"/>
          <w:spacing w:val="-43"/>
        </w:rPr>
        <w:t> </w:t>
      </w:r>
      <w:r>
        <w:rPr>
          <w:rFonts w:ascii="宋体" w:hAnsi="宋体" w:cs="宋体" w:eastAsia="宋体" w:hint="default"/>
          <w:spacing w:val="-8"/>
        </w:rPr>
        <w:t>技术创业投资基金）创始董事长。熊先生</w:t>
      </w:r>
      <w:r>
        <w:rPr>
          <w:rFonts w:ascii="宋体" w:hAnsi="宋体" w:cs="宋体" w:eastAsia="宋体" w:hint="default"/>
          <w:spacing w:val="-43"/>
        </w:rPr>
        <w:t> </w:t>
      </w:r>
      <w:r>
        <w:rPr>
          <w:rFonts w:ascii="宋体" w:hAnsi="宋体" w:cs="宋体" w:eastAsia="宋体" w:hint="default"/>
        </w:rPr>
        <w:t>1981</w:t>
      </w:r>
      <w:r>
        <w:rPr>
          <w:rFonts w:ascii="宋体" w:hAnsi="宋体" w:cs="宋体" w:eastAsia="宋体" w:hint="default"/>
          <w:spacing w:val="-43"/>
        </w:rPr>
        <w:t> </w:t>
      </w:r>
      <w:r>
        <w:rPr>
          <w:rFonts w:ascii="宋体" w:hAnsi="宋体" w:cs="宋体" w:eastAsia="宋体" w:hint="default"/>
          <w:spacing w:val="-4"/>
        </w:rPr>
        <w:t>年毕业于湖南大学外语系，取得学士学位。</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rPr>
        <w:t>1981-1984  </w:t>
      </w:r>
      <w:r>
        <w:rPr>
          <w:rFonts w:ascii="宋体" w:hAnsi="宋体" w:cs="宋体" w:eastAsia="宋体" w:hint="default"/>
          <w:spacing w:val="-1"/>
        </w:rPr>
        <w:t>年在机械工业部研究生院担任英语教师。1984-1986</w:t>
      </w:r>
      <w:r>
        <w:rPr>
          <w:rFonts w:ascii="宋体" w:hAnsi="宋体" w:cs="宋体" w:eastAsia="宋体" w:hint="default"/>
          <w:spacing w:val="35"/>
        </w:rPr>
        <w:t> </w:t>
      </w:r>
      <w:r>
        <w:rPr>
          <w:rFonts w:ascii="宋体" w:hAnsi="宋体" w:cs="宋体" w:eastAsia="宋体" w:hint="default"/>
        </w:rPr>
        <w:t>年在中国社会科学院研究生院新闻系就读。</w:t>
      </w:r>
    </w:p>
    <w:p>
      <w:pPr>
        <w:pStyle w:val="BodyText"/>
        <w:spacing w:line="264" w:lineRule="auto" w:before="6"/>
        <w:ind w:left="2494" w:right="843"/>
        <w:jc w:val="both"/>
        <w:rPr>
          <w:rFonts w:ascii="宋体" w:hAnsi="宋体" w:cs="宋体" w:eastAsia="宋体" w:hint="default"/>
        </w:rPr>
      </w:pPr>
      <w:r>
        <w:rPr>
          <w:rFonts w:ascii="宋体" w:hAnsi="宋体" w:cs="宋体" w:eastAsia="宋体" w:hint="default"/>
          <w:w w:val="113"/>
        </w:rPr>
        <w:t>1986-1987</w:t>
      </w:r>
      <w:r>
        <w:rPr>
          <w:rFonts w:ascii="宋体" w:hAnsi="宋体" w:cs="宋体" w:eastAsia="宋体" w:hint="default"/>
          <w:spacing w:val="-66"/>
        </w:rPr>
        <w:t> </w:t>
      </w:r>
      <w:r>
        <w:rPr>
          <w:rFonts w:ascii="宋体" w:hAnsi="宋体" w:cs="宋体" w:eastAsia="宋体" w:hint="default"/>
        </w:rPr>
        <w:t>年在波士顿大学新闻传播学院就读并获得硕士学位</w:t>
      </w:r>
      <w:r>
        <w:rPr>
          <w:rFonts w:ascii="宋体" w:hAnsi="宋体" w:cs="宋体" w:eastAsia="宋体" w:hint="default"/>
          <w:spacing w:val="-82"/>
        </w:rPr>
        <w:t>。</w:t>
      </w:r>
      <w:r>
        <w:rPr>
          <w:rFonts w:ascii="宋体" w:hAnsi="宋体" w:cs="宋体" w:eastAsia="宋体" w:hint="default"/>
          <w:w w:val="113"/>
        </w:rPr>
        <w:t>1988-1991</w:t>
      </w:r>
      <w:r>
        <w:rPr>
          <w:rFonts w:ascii="宋体" w:hAnsi="宋体" w:cs="宋体" w:eastAsia="宋体" w:hint="default"/>
          <w:spacing w:val="-66"/>
        </w:rPr>
        <w:t> </w:t>
      </w:r>
      <w:r>
        <w:rPr>
          <w:rFonts w:ascii="宋体" w:hAnsi="宋体" w:cs="宋体" w:eastAsia="宋体" w:hint="default"/>
        </w:rPr>
        <w:t>年在美国卡纳斯出版公司历</w:t>
      </w:r>
      <w:r>
        <w:rPr>
          <w:rFonts w:ascii="宋体" w:hAnsi="宋体" w:cs="宋体" w:eastAsia="宋体" w:hint="default"/>
          <w:spacing w:val="-82"/>
        </w:rPr>
        <w:t>任</w:t>
      </w:r>
      <w:r>
        <w:rPr>
          <w:rFonts w:ascii="宋体" w:hAnsi="宋体" w:cs="宋体" w:eastAsia="宋体" w:hint="default"/>
        </w:rPr>
        <w:t>《电</w:t>
      </w:r>
      <w:r>
        <w:rPr>
          <w:rFonts w:ascii="宋体" w:hAnsi="宋体" w:cs="宋体" w:eastAsia="宋体" w:hint="default"/>
        </w:rPr>
        <w:t> 子导报》中国版编辑、编辑主任。1991</w:t>
      </w:r>
      <w:r>
        <w:rPr>
          <w:rFonts w:ascii="宋体" w:hAnsi="宋体" w:cs="宋体" w:eastAsia="宋体" w:hint="default"/>
          <w:spacing w:val="-20"/>
        </w:rPr>
        <w:t> </w:t>
      </w:r>
      <w:r>
        <w:rPr>
          <w:rFonts w:ascii="宋体" w:hAnsi="宋体" w:cs="宋体" w:eastAsia="宋体" w:hint="default"/>
        </w:rPr>
        <w:t>年至</w:t>
      </w:r>
      <w:r>
        <w:rPr>
          <w:rFonts w:ascii="宋体" w:hAnsi="宋体" w:cs="宋体" w:eastAsia="宋体" w:hint="default"/>
          <w:spacing w:val="-20"/>
        </w:rPr>
        <w:t> </w:t>
      </w:r>
      <w:r>
        <w:rPr>
          <w:rFonts w:ascii="宋体" w:hAnsi="宋体" w:cs="宋体" w:eastAsia="宋体" w:hint="default"/>
        </w:rPr>
        <w:t>2017</w:t>
      </w:r>
      <w:r>
        <w:rPr>
          <w:rFonts w:ascii="宋体" w:hAnsi="宋体" w:cs="宋体" w:eastAsia="宋体" w:hint="default"/>
          <w:spacing w:val="-20"/>
        </w:rPr>
        <w:t> </w:t>
      </w:r>
      <w:r>
        <w:rPr>
          <w:rFonts w:ascii="宋体" w:hAnsi="宋体" w:cs="宋体" w:eastAsia="宋体" w:hint="default"/>
        </w:rPr>
        <w:t>年，历任美国国际数据集团亚洲区主任，亚洲区总裁，大</w:t>
      </w:r>
      <w:r>
        <w:rPr>
          <w:rFonts w:ascii="宋体" w:hAnsi="宋体" w:cs="宋体" w:eastAsia="宋体" w:hint="default"/>
          <w:spacing w:val="-61"/>
        </w:rPr>
        <w:t> </w:t>
      </w:r>
      <w:r>
        <w:rPr>
          <w:rFonts w:ascii="宋体" w:hAnsi="宋体" w:cs="宋体" w:eastAsia="宋体" w:hint="default"/>
          <w:spacing w:val="-61"/>
        </w:rPr>
      </w:r>
      <w:r>
        <w:rPr>
          <w:rFonts w:ascii="宋体" w:hAnsi="宋体" w:cs="宋体" w:eastAsia="宋体" w:hint="default"/>
          <w:spacing w:val="1"/>
          <w:w w:val="102"/>
        </w:rPr>
        <w:t>中华区董事长，全球常务副总裁。1993</w:t>
      </w:r>
      <w:r>
        <w:rPr>
          <w:rFonts w:ascii="宋体" w:hAnsi="宋体" w:cs="宋体" w:eastAsia="宋体" w:hint="default"/>
          <w:spacing w:val="-47"/>
          <w:w w:val="102"/>
        </w:rPr>
        <w:t> </w:t>
      </w:r>
      <w:r>
        <w:rPr>
          <w:rFonts w:ascii="宋体" w:hAnsi="宋体" w:cs="宋体" w:eastAsia="宋体" w:hint="default"/>
          <w:spacing w:val="1"/>
        </w:rPr>
        <w:t>年至今，任</w:t>
      </w:r>
      <w:r>
        <w:rPr>
          <w:rFonts w:ascii="宋体" w:hAnsi="宋体" w:cs="宋体" w:eastAsia="宋体" w:hint="default"/>
          <w:spacing w:val="-45"/>
        </w:rPr>
        <w:t> </w:t>
      </w:r>
      <w:r>
        <w:rPr>
          <w:rFonts w:ascii="宋体" w:hAnsi="宋体" w:cs="宋体" w:eastAsia="宋体" w:hint="default"/>
          <w:spacing w:val="-1"/>
          <w:w w:val="114"/>
        </w:rPr>
        <w:t>IDG</w:t>
      </w:r>
      <w:r>
        <w:rPr>
          <w:rFonts w:ascii="宋体" w:hAnsi="宋体" w:cs="宋体" w:eastAsia="宋体" w:hint="default"/>
          <w:spacing w:val="-58"/>
          <w:w w:val="114"/>
        </w:rPr>
        <w:t> </w:t>
      </w:r>
      <w:r>
        <w:rPr>
          <w:rFonts w:ascii="宋体" w:hAnsi="宋体" w:cs="宋体" w:eastAsia="宋体" w:hint="default"/>
          <w:spacing w:val="1"/>
        </w:rPr>
        <w:t>资本（原</w:t>
      </w:r>
      <w:r>
        <w:rPr>
          <w:rFonts w:ascii="宋体" w:hAnsi="宋体" w:cs="宋体" w:eastAsia="宋体" w:hint="default"/>
          <w:spacing w:val="-45"/>
        </w:rPr>
        <w:t> </w:t>
      </w:r>
      <w:r>
        <w:rPr>
          <w:rFonts w:ascii="宋体" w:hAnsi="宋体" w:cs="宋体" w:eastAsia="宋体" w:hint="default"/>
          <w:spacing w:val="-1"/>
          <w:w w:val="114"/>
        </w:rPr>
        <w:t>IDG</w:t>
      </w:r>
      <w:r>
        <w:rPr>
          <w:rFonts w:ascii="宋体" w:hAnsi="宋体" w:cs="宋体" w:eastAsia="宋体" w:hint="default"/>
          <w:spacing w:val="-58"/>
          <w:w w:val="114"/>
        </w:rPr>
        <w:t> </w:t>
      </w:r>
      <w:r>
        <w:rPr>
          <w:rFonts w:ascii="宋体" w:hAnsi="宋体" w:cs="宋体" w:eastAsia="宋体" w:hint="default"/>
          <w:spacing w:val="2"/>
        </w:rPr>
        <w:t>技术创业投资基金）创始合伙人，创</w:t>
      </w:r>
      <w:r>
        <w:rPr>
          <w:rFonts w:ascii="宋体" w:hAnsi="宋体" w:cs="宋体" w:eastAsia="宋体" w:hint="default"/>
          <w:spacing w:val="3"/>
        </w:rPr>
        <w:t> </w:t>
      </w:r>
      <w:r>
        <w:rPr>
          <w:rFonts w:ascii="宋体" w:hAnsi="宋体" w:cs="宋体" w:eastAsia="宋体" w:hint="default"/>
          <w:w w:val="105"/>
        </w:rPr>
        <w:t>始董事长。熊先生目前同时担任</w:t>
      </w:r>
      <w:r>
        <w:rPr>
          <w:rFonts w:ascii="宋体" w:hAnsi="宋体" w:cs="宋体" w:eastAsia="宋体" w:hint="default"/>
          <w:spacing w:val="-71"/>
          <w:w w:val="105"/>
        </w:rPr>
        <w:t> </w:t>
      </w:r>
      <w:r>
        <w:rPr>
          <w:rFonts w:ascii="宋体" w:hAnsi="宋体" w:cs="宋体" w:eastAsia="宋体" w:hint="default"/>
          <w:w w:val="105"/>
        </w:rPr>
        <w:t>Mei</w:t>
      </w:r>
      <w:r>
        <w:rPr>
          <w:rFonts w:ascii="宋体" w:hAnsi="宋体" w:cs="宋体" w:eastAsia="宋体" w:hint="default"/>
          <w:spacing w:val="-60"/>
          <w:w w:val="105"/>
        </w:rPr>
        <w:t> </w:t>
      </w:r>
      <w:r>
        <w:rPr>
          <w:rFonts w:ascii="宋体" w:hAnsi="宋体" w:cs="宋体" w:eastAsia="宋体" w:hint="default"/>
          <w:w w:val="105"/>
        </w:rPr>
        <w:t>Ah</w:t>
      </w:r>
      <w:r>
        <w:rPr>
          <w:rFonts w:ascii="宋体" w:hAnsi="宋体" w:cs="宋体" w:eastAsia="宋体" w:hint="default"/>
          <w:spacing w:val="-60"/>
          <w:w w:val="105"/>
        </w:rPr>
        <w:t> </w:t>
      </w:r>
      <w:r>
        <w:rPr>
          <w:rFonts w:ascii="宋体" w:hAnsi="宋体" w:cs="宋体" w:eastAsia="宋体" w:hint="default"/>
          <w:w w:val="105"/>
        </w:rPr>
        <w:t>Entertainment</w:t>
      </w:r>
      <w:r>
        <w:rPr>
          <w:rFonts w:ascii="宋体" w:hAnsi="宋体" w:cs="宋体" w:eastAsia="宋体" w:hint="default"/>
          <w:spacing w:val="-60"/>
          <w:w w:val="105"/>
        </w:rPr>
        <w:t> </w:t>
      </w:r>
      <w:r>
        <w:rPr>
          <w:rFonts w:ascii="宋体" w:hAnsi="宋体" w:cs="宋体" w:eastAsia="宋体" w:hint="default"/>
          <w:w w:val="105"/>
        </w:rPr>
        <w:t>Group</w:t>
      </w:r>
      <w:r>
        <w:rPr>
          <w:rFonts w:ascii="宋体" w:hAnsi="宋体" w:cs="宋体" w:eastAsia="宋体" w:hint="default"/>
          <w:spacing w:val="-60"/>
          <w:w w:val="105"/>
        </w:rPr>
        <w:t> </w:t>
      </w:r>
      <w:r>
        <w:rPr>
          <w:rFonts w:ascii="宋体" w:hAnsi="宋体" w:cs="宋体" w:eastAsia="宋体" w:hint="default"/>
          <w:w w:val="105"/>
        </w:rPr>
        <w:t>Ltd.,</w:t>
      </w:r>
      <w:r>
        <w:rPr>
          <w:rFonts w:ascii="宋体" w:hAnsi="宋体" w:cs="宋体" w:eastAsia="宋体" w:hint="default"/>
          <w:spacing w:val="-60"/>
          <w:w w:val="105"/>
        </w:rPr>
        <w:t> </w:t>
      </w:r>
      <w:r>
        <w:rPr>
          <w:rFonts w:ascii="宋体" w:hAnsi="宋体" w:cs="宋体" w:eastAsia="宋体" w:hint="default"/>
          <w:w w:val="105"/>
        </w:rPr>
        <w:t>IDG</w:t>
      </w:r>
      <w:r>
        <w:rPr>
          <w:rFonts w:ascii="宋体" w:hAnsi="宋体" w:cs="宋体" w:eastAsia="宋体" w:hint="default"/>
          <w:spacing w:val="-60"/>
          <w:w w:val="105"/>
        </w:rPr>
        <w:t> </w:t>
      </w:r>
      <w:r>
        <w:rPr>
          <w:rFonts w:ascii="宋体" w:hAnsi="宋体" w:cs="宋体" w:eastAsia="宋体" w:hint="default"/>
          <w:w w:val="105"/>
        </w:rPr>
        <w:t>Energy</w:t>
      </w:r>
      <w:r>
        <w:rPr>
          <w:rFonts w:ascii="宋体" w:hAnsi="宋体" w:cs="宋体" w:eastAsia="宋体" w:hint="default"/>
          <w:spacing w:val="-60"/>
          <w:w w:val="105"/>
        </w:rPr>
        <w:t> </w:t>
      </w:r>
      <w:r>
        <w:rPr>
          <w:rFonts w:ascii="宋体" w:hAnsi="宋体" w:cs="宋体" w:eastAsia="宋体" w:hint="default"/>
          <w:w w:val="105"/>
        </w:rPr>
        <w:t>Investment</w:t>
      </w:r>
      <w:r>
        <w:rPr>
          <w:rFonts w:ascii="宋体" w:hAnsi="宋体" w:cs="宋体" w:eastAsia="宋体" w:hint="default"/>
          <w:spacing w:val="-60"/>
          <w:w w:val="105"/>
        </w:rPr>
        <w:t> </w:t>
      </w:r>
      <w:r>
        <w:rPr>
          <w:rFonts w:ascii="宋体" w:hAnsi="宋体" w:cs="宋体" w:eastAsia="宋体" w:hint="default"/>
          <w:w w:val="105"/>
        </w:rPr>
        <w:t>Group</w:t>
      </w:r>
      <w:r>
        <w:rPr>
          <w:rFonts w:ascii="宋体" w:hAnsi="宋体" w:cs="宋体" w:eastAsia="宋体" w:hint="default"/>
          <w:spacing w:val="-60"/>
          <w:w w:val="105"/>
        </w:rPr>
        <w:t> </w:t>
      </w:r>
      <w:r>
        <w:rPr>
          <w:rFonts w:ascii="宋体" w:hAnsi="宋体" w:cs="宋体" w:eastAsia="宋体" w:hint="default"/>
          <w:w w:val="105"/>
        </w:rPr>
        <w:t>Limited</w:t>
      </w:r>
      <w:r>
        <w:rPr>
          <w:rFonts w:ascii="宋体" w:hAnsi="宋体" w:cs="宋体" w:eastAsia="宋体" w:hint="default"/>
          <w:w w:val="94"/>
        </w:rPr>
        <w:t> </w:t>
      </w:r>
      <w:r>
        <w:rPr>
          <w:rFonts w:ascii="宋体" w:hAnsi="宋体" w:cs="宋体" w:eastAsia="宋体" w:hint="default"/>
        </w:rPr>
        <w:t>和</w:t>
      </w:r>
      <w:r>
        <w:rPr>
          <w:rFonts w:ascii="宋体" w:hAnsi="宋体" w:cs="宋体" w:eastAsia="宋体" w:hint="default"/>
          <w:spacing w:val="-60"/>
        </w:rPr>
        <w:t> </w:t>
      </w:r>
      <w:r>
        <w:rPr>
          <w:rFonts w:ascii="宋体" w:hAnsi="宋体" w:cs="宋体" w:eastAsia="宋体" w:hint="default"/>
        </w:rPr>
        <w:t>HJ</w:t>
      </w:r>
      <w:r>
        <w:rPr>
          <w:rFonts w:ascii="宋体" w:hAnsi="宋体" w:cs="宋体" w:eastAsia="宋体" w:hint="default"/>
          <w:spacing w:val="-52"/>
        </w:rPr>
        <w:t> </w:t>
      </w:r>
      <w:r>
        <w:rPr>
          <w:rFonts w:ascii="宋体" w:hAnsi="宋体" w:cs="宋体" w:eastAsia="宋体" w:hint="default"/>
        </w:rPr>
        <w:t>Capital</w:t>
      </w:r>
      <w:r>
        <w:rPr>
          <w:rFonts w:ascii="宋体" w:hAnsi="宋体" w:cs="宋体" w:eastAsia="宋体" w:hint="default"/>
          <w:spacing w:val="-52"/>
        </w:rPr>
        <w:t> </w:t>
      </w:r>
      <w:r>
        <w:rPr>
          <w:rFonts w:ascii="宋体" w:hAnsi="宋体" w:cs="宋体" w:eastAsia="宋体" w:hint="default"/>
        </w:rPr>
        <w:t>(International)</w:t>
      </w:r>
      <w:r>
        <w:rPr>
          <w:rFonts w:ascii="宋体" w:hAnsi="宋体" w:cs="宋体" w:eastAsia="宋体" w:hint="default"/>
          <w:spacing w:val="-52"/>
        </w:rPr>
        <w:t> </w:t>
      </w:r>
      <w:r>
        <w:rPr>
          <w:rFonts w:ascii="宋体" w:hAnsi="宋体" w:cs="宋体" w:eastAsia="宋体" w:hint="default"/>
        </w:rPr>
        <w:t>Holdings</w:t>
      </w:r>
      <w:r>
        <w:rPr>
          <w:rFonts w:ascii="宋体" w:hAnsi="宋体" w:cs="宋体" w:eastAsia="宋体" w:hint="default"/>
          <w:spacing w:val="-52"/>
        </w:rPr>
        <w:t> </w:t>
      </w:r>
      <w:r>
        <w:rPr>
          <w:rFonts w:ascii="宋体" w:hAnsi="宋体" w:cs="宋体" w:eastAsia="宋体" w:hint="default"/>
        </w:rPr>
        <w:t>Company</w:t>
      </w:r>
      <w:r>
        <w:rPr>
          <w:rFonts w:ascii="宋体" w:hAnsi="宋体" w:cs="宋体" w:eastAsia="宋体" w:hint="default"/>
          <w:spacing w:val="-52"/>
        </w:rPr>
        <w:t> </w:t>
      </w:r>
      <w:r>
        <w:rPr>
          <w:rFonts w:ascii="宋体" w:hAnsi="宋体" w:cs="宋体" w:eastAsia="宋体" w:hint="default"/>
        </w:rPr>
        <w:t>Limited</w:t>
      </w:r>
      <w:r>
        <w:rPr>
          <w:rFonts w:ascii="宋体" w:hAnsi="宋体" w:cs="宋体" w:eastAsia="宋体" w:hint="default"/>
          <w:spacing w:val="-61"/>
        </w:rPr>
        <w:t> </w:t>
      </w:r>
      <w:r>
        <w:rPr>
          <w:rFonts w:ascii="宋体" w:hAnsi="宋体" w:cs="宋体" w:eastAsia="宋体" w:hint="default"/>
        </w:rPr>
        <w:t>非执行董事。熊先生自</w:t>
      </w:r>
      <w:r>
        <w:rPr>
          <w:rFonts w:ascii="宋体" w:hAnsi="宋体" w:cs="宋体" w:eastAsia="宋体" w:hint="default"/>
          <w:spacing w:val="-60"/>
        </w:rPr>
        <w:t> </w:t>
      </w:r>
      <w:r>
        <w:rPr>
          <w:rFonts w:ascii="宋体" w:hAnsi="宋体" w:cs="宋体" w:eastAsia="宋体" w:hint="default"/>
        </w:rPr>
        <w:t>2018</w:t>
      </w:r>
      <w:r>
        <w:rPr>
          <w:rFonts w:ascii="宋体" w:hAnsi="宋体" w:cs="宋体" w:eastAsia="宋体" w:hint="default"/>
          <w:spacing w:val="-61"/>
        </w:rPr>
        <w:t> </w:t>
      </w:r>
      <w:r>
        <w:rPr>
          <w:rFonts w:ascii="宋体" w:hAnsi="宋体" w:cs="宋体" w:eastAsia="宋体" w:hint="default"/>
        </w:rPr>
        <w:t>年</w:t>
      </w:r>
      <w:r>
        <w:rPr>
          <w:rFonts w:ascii="宋体" w:hAnsi="宋体" w:cs="宋体" w:eastAsia="宋体" w:hint="default"/>
          <w:spacing w:val="-60"/>
        </w:rPr>
        <w:t> </w:t>
      </w:r>
      <w:r>
        <w:rPr>
          <w:rFonts w:ascii="宋体" w:hAnsi="宋体" w:cs="宋体" w:eastAsia="宋体" w:hint="default"/>
        </w:rPr>
        <w:t>2</w:t>
      </w:r>
      <w:r>
        <w:rPr>
          <w:rFonts w:ascii="宋体" w:hAnsi="宋体" w:cs="宋体" w:eastAsia="宋体" w:hint="default"/>
          <w:spacing w:val="-61"/>
        </w:rPr>
        <w:t> </w:t>
      </w:r>
      <w:r>
        <w:rPr>
          <w:rFonts w:ascii="宋体" w:hAnsi="宋体" w:cs="宋体" w:eastAsia="宋体" w:hint="default"/>
        </w:rPr>
        <w:t>月起任本公司独立</w:t>
      </w:r>
      <w:r>
        <w:rPr>
          <w:rFonts w:ascii="宋体" w:hAnsi="宋体" w:cs="宋体" w:eastAsia="宋体" w:hint="default"/>
        </w:rPr>
        <w:t> </w:t>
      </w:r>
      <w:r>
        <w:rPr>
          <w:rFonts w:ascii="宋体" w:hAnsi="宋体" w:cs="宋体" w:eastAsia="宋体" w:hint="default"/>
          <w:w w:val="105"/>
        </w:rPr>
        <w:t>董事。</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rFonts w:ascii="宋体" w:hAnsi="宋体" w:cs="宋体" w:eastAsia="宋体" w:hint="default"/>
        </w:rPr>
        <w:t>林旸川</w:t>
      </w:r>
    </w:p>
    <w:p>
      <w:pPr>
        <w:spacing w:line="240" w:lineRule="auto" w:before="1"/>
        <w:rPr>
          <w:rFonts w:ascii="宋体" w:hAnsi="宋体" w:cs="宋体" w:eastAsia="宋体" w:hint="default"/>
          <w:sz w:val="16"/>
          <w:szCs w:val="16"/>
        </w:rPr>
      </w:pPr>
    </w:p>
    <w:p>
      <w:pPr>
        <w:pStyle w:val="BodyText"/>
        <w:spacing w:line="240" w:lineRule="auto" w:before="31"/>
        <w:ind w:left="2494" w:right="0"/>
        <w:jc w:val="both"/>
        <w:rPr>
          <w:rFonts w:ascii="宋体" w:hAnsi="宋体" w:cs="宋体" w:eastAsia="宋体" w:hint="default"/>
        </w:rPr>
      </w:pPr>
      <w:r>
        <w:rPr>
          <w:rFonts w:ascii="宋体" w:hAnsi="宋体" w:cs="宋体" w:eastAsia="宋体" w:hint="default"/>
          <w:spacing w:val="3"/>
        </w:rPr>
        <w:t>现任中国联合网络通信集团有限公司副总法律顾问。国有企业一级法律顾问，高级工程师。林先生于</w:t>
      </w:r>
      <w:r>
        <w:rPr>
          <w:rFonts w:ascii="宋体" w:hAnsi="宋体" w:cs="宋体" w:eastAsia="宋体" w:hint="default"/>
          <w:spacing w:val="20"/>
        </w:rPr>
        <w:t> </w:t>
      </w:r>
      <w:r>
        <w:rPr>
          <w:rFonts w:ascii="宋体" w:hAnsi="宋体" w:cs="宋体" w:eastAsia="宋体" w:hint="default"/>
        </w:rPr>
        <w:t>1982</w:t>
      </w:r>
    </w:p>
    <w:p>
      <w:pPr>
        <w:pStyle w:val="BodyText"/>
        <w:spacing w:line="264" w:lineRule="auto" w:before="24"/>
        <w:ind w:left="2494" w:right="842"/>
        <w:jc w:val="both"/>
        <w:rPr>
          <w:rFonts w:ascii="宋体" w:hAnsi="宋体" w:cs="宋体" w:eastAsia="宋体" w:hint="default"/>
        </w:rPr>
      </w:pPr>
      <w:r>
        <w:rPr>
          <w:rFonts w:ascii="宋体" w:hAnsi="宋体" w:cs="宋体" w:eastAsia="宋体" w:hint="default"/>
          <w:spacing w:val="2"/>
        </w:rPr>
        <w:t>年在长春邮电学院取得电信工程学士学位；于</w:t>
      </w:r>
      <w:r>
        <w:rPr>
          <w:rFonts w:ascii="宋体" w:hAnsi="宋体" w:cs="宋体" w:eastAsia="宋体" w:hint="default"/>
          <w:spacing w:val="-22"/>
        </w:rPr>
        <w:t> </w:t>
      </w:r>
      <w:r>
        <w:rPr>
          <w:rFonts w:ascii="宋体" w:hAnsi="宋体" w:cs="宋体" w:eastAsia="宋体" w:hint="default"/>
        </w:rPr>
        <w:t>2006</w:t>
      </w:r>
      <w:r>
        <w:rPr>
          <w:rFonts w:ascii="宋体" w:hAnsi="宋体" w:cs="宋体" w:eastAsia="宋体" w:hint="default"/>
          <w:spacing w:val="-22"/>
        </w:rPr>
        <w:t> </w:t>
      </w:r>
      <w:r>
        <w:rPr>
          <w:rFonts w:ascii="宋体" w:hAnsi="宋体" w:cs="宋体" w:eastAsia="宋体" w:hint="default"/>
          <w:spacing w:val="2"/>
        </w:rPr>
        <w:t>年在北京大学取得工商管理硕士学位。林先生曾担任中</w:t>
      </w:r>
      <w:r>
        <w:rPr>
          <w:rFonts w:ascii="宋体" w:hAnsi="宋体" w:cs="宋体" w:eastAsia="宋体" w:hint="default"/>
          <w:spacing w:val="-67"/>
        </w:rPr>
        <w:t> </w:t>
      </w:r>
      <w:r>
        <w:rPr>
          <w:rFonts w:ascii="宋体" w:hAnsi="宋体" w:cs="宋体" w:eastAsia="宋体" w:hint="default"/>
          <w:spacing w:val="-67"/>
        </w:rPr>
      </w:r>
      <w:r>
        <w:rPr>
          <w:rFonts w:ascii="宋体" w:hAnsi="宋体" w:cs="宋体" w:eastAsia="宋体" w:hint="default"/>
          <w:spacing w:val="-2"/>
        </w:rPr>
        <w:t>国联通广东省分公司副总经理；中国联通总部企业发展部副总经理、综合部副总经理、法律事务部副总经理、</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rPr>
        <w:t>法律与风险管理部副总经理、法律与风险管理部总经理、法律部总经理。林先生目前还兼任联通集团财务有</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限公司监事；中国通信企业协会法治工作委员会副主任委员；北京通信法制研究会副会长；中国法学会信息</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法研究会理事。林先生自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月起任本公司监事会主席。</w:t>
      </w:r>
    </w:p>
    <w:p>
      <w:pPr>
        <w:spacing w:after="0" w:line="264" w:lineRule="auto"/>
        <w:jc w:val="both"/>
        <w:rPr>
          <w:rFonts w:ascii="宋体" w:hAnsi="宋体" w:cs="宋体" w:eastAsia="宋体" w:hint="default"/>
        </w:rPr>
        <w:sectPr>
          <w:pgSz w:w="11910" w:h="16160"/>
          <w:pgMar w:header="0" w:footer="298" w:top="2060" w:bottom="4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4"/>
          <w:szCs w:val="24"/>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方向明</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322"/>
        <w:jc w:val="left"/>
        <w:rPr>
          <w:rFonts w:ascii="宋体" w:hAnsi="宋体" w:cs="宋体" w:eastAsia="宋体" w:hint="default"/>
        </w:rPr>
      </w:pPr>
      <w:r>
        <w:rPr>
          <w:rFonts w:ascii="宋体" w:hAnsi="宋体" w:cs="宋体" w:eastAsia="宋体" w:hint="default"/>
        </w:rPr>
        <w:t>现任诚通基金管理有限公司（中国国有企业结构调整基金管理机构）副总经理，全国妇联第十二届执行委员</w:t>
      </w:r>
      <w:r>
        <w:rPr>
          <w:rFonts w:ascii="宋体" w:hAnsi="宋体" w:cs="宋体" w:eastAsia="宋体" w:hint="default"/>
          <w:spacing w:val="-2"/>
        </w:rPr>
        <w:t> </w:t>
      </w:r>
      <w:r>
        <w:rPr>
          <w:rFonts w:ascii="宋体" w:hAnsi="宋体" w:cs="宋体" w:eastAsia="宋体" w:hint="default"/>
          <w:spacing w:val="-2"/>
        </w:rPr>
      </w:r>
      <w:r>
        <w:rPr>
          <w:rFonts w:ascii="宋体" w:hAnsi="宋体" w:cs="宋体" w:eastAsia="宋体" w:hint="default"/>
        </w:rPr>
        <w:t>会委员。方女士一直服务于国内外大型知名金融机构，并担任重要职务，在私募股权投资包括基金投资和直</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接投资，以及不良资产收购处置，企业信贷，项目融资等诸多金融领域积累了非常丰富的经验。方女士曾任</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中再资产管理有限公司另类投资事业部董事总经理，主要负责私募股权投资业务。在投资领域，她还曾任泛</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亚洲</w:t>
      </w:r>
      <w:r>
        <w:rPr>
          <w:rFonts w:ascii="宋体" w:hAnsi="宋体" w:cs="宋体" w:eastAsia="宋体" w:hint="default"/>
          <w:spacing w:val="-52"/>
        </w:rPr>
        <w:t> </w:t>
      </w:r>
      <w:r>
        <w:rPr>
          <w:rFonts w:ascii="宋体" w:hAnsi="宋体" w:cs="宋体" w:eastAsia="宋体" w:hint="default"/>
        </w:rPr>
        <w:t>PE</w:t>
      </w:r>
      <w:r>
        <w:rPr>
          <w:rFonts w:ascii="宋体" w:hAnsi="宋体" w:cs="宋体" w:eastAsia="宋体" w:hint="default"/>
          <w:spacing w:val="-52"/>
        </w:rPr>
        <w:t> </w:t>
      </w:r>
      <w:r>
        <w:rPr>
          <w:rFonts w:ascii="宋体" w:hAnsi="宋体" w:cs="宋体" w:eastAsia="宋体" w:hint="default"/>
        </w:rPr>
        <w:t>基金</w:t>
      </w:r>
      <w:r>
        <w:rPr>
          <w:rFonts w:ascii="宋体" w:hAnsi="宋体" w:cs="宋体" w:eastAsia="宋体" w:hint="default"/>
          <w:spacing w:val="-52"/>
        </w:rPr>
        <w:t> </w:t>
      </w:r>
      <w:r>
        <w:rPr>
          <w:rFonts w:ascii="宋体" w:hAnsi="宋体" w:cs="宋体" w:eastAsia="宋体" w:hint="default"/>
        </w:rPr>
        <w:t>AIF</w:t>
      </w:r>
      <w:r>
        <w:rPr>
          <w:rFonts w:ascii="宋体" w:hAnsi="宋体" w:cs="宋体" w:eastAsia="宋体" w:hint="default"/>
          <w:spacing w:val="-27"/>
        </w:rPr>
        <w:t> </w:t>
      </w:r>
      <w:r>
        <w:rPr>
          <w:rFonts w:ascii="宋体" w:hAnsi="宋体" w:cs="宋体" w:eastAsia="宋体" w:hint="default"/>
        </w:rPr>
        <w:t>Capital</w:t>
      </w:r>
      <w:r>
        <w:rPr>
          <w:rFonts w:ascii="宋体" w:hAnsi="宋体" w:cs="宋体" w:eastAsia="宋体" w:hint="default"/>
          <w:spacing w:val="-52"/>
        </w:rPr>
        <w:t> </w:t>
      </w:r>
      <w:r>
        <w:rPr>
          <w:rFonts w:ascii="宋体" w:hAnsi="宋体" w:cs="宋体" w:eastAsia="宋体" w:hint="default"/>
          <w:spacing w:val="-7"/>
        </w:rPr>
        <w:t>董事总经理，IBM</w:t>
      </w:r>
      <w:r>
        <w:rPr>
          <w:rFonts w:ascii="宋体" w:hAnsi="宋体" w:cs="宋体" w:eastAsia="宋体" w:hint="default"/>
          <w:spacing w:val="-52"/>
        </w:rPr>
        <w:t> </w:t>
      </w:r>
      <w:r>
        <w:rPr>
          <w:rFonts w:ascii="宋体" w:hAnsi="宋体" w:cs="宋体" w:eastAsia="宋体" w:hint="default"/>
        </w:rPr>
        <w:t>中国投资基金投资总监和</w:t>
      </w:r>
      <w:r>
        <w:rPr>
          <w:rFonts w:ascii="宋体" w:hAnsi="宋体" w:cs="宋体" w:eastAsia="宋体" w:hint="default"/>
          <w:spacing w:val="-52"/>
        </w:rPr>
        <w:t> </w:t>
      </w:r>
      <w:r>
        <w:rPr>
          <w:rFonts w:ascii="宋体" w:hAnsi="宋体" w:cs="宋体" w:eastAsia="宋体" w:hint="default"/>
        </w:rPr>
        <w:t>GE</w:t>
      </w:r>
      <w:r>
        <w:rPr>
          <w:rFonts w:ascii="宋体" w:hAnsi="宋体" w:cs="宋体" w:eastAsia="宋体" w:hint="default"/>
          <w:spacing w:val="-52"/>
        </w:rPr>
        <w:t> </w:t>
      </w:r>
      <w:r>
        <w:rPr>
          <w:rFonts w:ascii="宋体" w:hAnsi="宋体" w:cs="宋体" w:eastAsia="宋体" w:hint="default"/>
        </w:rPr>
        <w:t>全球金融重组业务中国区总监等职位。</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spacing w:val="2"/>
        </w:rPr>
        <w:t>方女士职业生涯始于</w:t>
      </w:r>
      <w:r>
        <w:rPr>
          <w:rFonts w:ascii="宋体" w:hAnsi="宋体" w:cs="宋体" w:eastAsia="宋体" w:hint="default"/>
          <w:spacing w:val="-32"/>
        </w:rPr>
        <w:t> </w:t>
      </w:r>
      <w:r>
        <w:rPr>
          <w:rFonts w:ascii="宋体" w:hAnsi="宋体" w:cs="宋体" w:eastAsia="宋体" w:hint="default"/>
        </w:rPr>
        <w:t>1991</w:t>
      </w:r>
      <w:r>
        <w:rPr>
          <w:rFonts w:ascii="宋体" w:hAnsi="宋体" w:cs="宋体" w:eastAsia="宋体" w:hint="default"/>
          <w:spacing w:val="-32"/>
        </w:rPr>
        <w:t> </w:t>
      </w:r>
      <w:r>
        <w:rPr>
          <w:rFonts w:ascii="宋体" w:hAnsi="宋体" w:cs="宋体" w:eastAsia="宋体" w:hint="default"/>
          <w:spacing w:val="2"/>
        </w:rPr>
        <w:t>年，先后在中国工商银行，华夏证券公司和中国进出口银行工作，在英国期间在</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Bovis</w:t>
      </w:r>
      <w:r>
        <w:rPr>
          <w:rFonts w:ascii="宋体" w:hAnsi="宋体" w:cs="宋体" w:eastAsia="宋体" w:hint="default"/>
          <w:spacing w:val="-26"/>
        </w:rPr>
        <w:t> </w:t>
      </w:r>
      <w:r>
        <w:rPr>
          <w:rFonts w:ascii="宋体" w:hAnsi="宋体" w:cs="宋体" w:eastAsia="宋体" w:hint="default"/>
        </w:rPr>
        <w:t>Lend</w:t>
      </w:r>
      <w:r>
        <w:rPr>
          <w:rFonts w:ascii="宋体" w:hAnsi="宋体" w:cs="宋体" w:eastAsia="宋体" w:hint="default"/>
          <w:spacing w:val="-26"/>
        </w:rPr>
        <w:t> </w:t>
      </w:r>
      <w:r>
        <w:rPr>
          <w:rFonts w:ascii="宋体" w:hAnsi="宋体" w:cs="宋体" w:eastAsia="宋体" w:hint="default"/>
          <w:spacing w:val="-9"/>
        </w:rPr>
        <w:t>Lease，GE</w:t>
      </w:r>
      <w:r>
        <w:rPr>
          <w:rFonts w:ascii="宋体" w:hAnsi="宋体" w:cs="宋体" w:eastAsia="宋体" w:hint="default"/>
          <w:spacing w:val="-26"/>
        </w:rPr>
        <w:t> </w:t>
      </w:r>
      <w:r>
        <w:rPr>
          <w:rFonts w:ascii="宋体" w:hAnsi="宋体" w:cs="宋体" w:eastAsia="宋体" w:hint="default"/>
        </w:rPr>
        <w:t>Capital</w:t>
      </w:r>
      <w:r>
        <w:rPr>
          <w:rFonts w:ascii="宋体" w:hAnsi="宋体" w:cs="宋体" w:eastAsia="宋体" w:hint="default"/>
          <w:spacing w:val="-26"/>
        </w:rPr>
        <w:t> </w:t>
      </w:r>
      <w:r>
        <w:rPr>
          <w:rFonts w:ascii="宋体" w:hAnsi="宋体" w:cs="宋体" w:eastAsia="宋体" w:hint="default"/>
        </w:rPr>
        <w:t>Europe</w:t>
      </w:r>
      <w:r>
        <w:rPr>
          <w:rFonts w:ascii="宋体" w:hAnsi="宋体" w:cs="宋体" w:eastAsia="宋体" w:hint="default"/>
          <w:spacing w:val="-54"/>
        </w:rPr>
        <w:t> </w:t>
      </w:r>
      <w:r>
        <w:rPr>
          <w:rFonts w:ascii="宋体" w:hAnsi="宋体" w:cs="宋体" w:eastAsia="宋体" w:hint="default"/>
          <w:spacing w:val="-6"/>
        </w:rPr>
        <w:t>等机构任职。方女士毕业于中国金融学院金融专业，获经济学学士学位；</w:t>
      </w:r>
      <w:r>
        <w:rPr>
          <w:rFonts w:ascii="宋体" w:hAnsi="宋体" w:cs="宋体" w:eastAsia="宋体" w:hint="default"/>
          <w:spacing w:val="-72"/>
        </w:rPr>
        <w:t> </w:t>
      </w:r>
      <w:r>
        <w:rPr>
          <w:rFonts w:ascii="宋体" w:hAnsi="宋体" w:cs="宋体" w:eastAsia="宋体" w:hint="default"/>
          <w:spacing w:val="-72"/>
        </w:rPr>
      </w:r>
      <w:r>
        <w:rPr>
          <w:rFonts w:ascii="宋体" w:hAnsi="宋体" w:cs="宋体" w:eastAsia="宋体" w:hint="default"/>
        </w:rPr>
        <w:t>后于伦敦城市大学卡斯商学院取得工商管理硕士学位。方女士自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月起任本公司监事。</w:t>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周仁杰</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40" w:lineRule="auto" w:before="53"/>
        <w:ind w:left="1927" w:right="0"/>
        <w:jc w:val="both"/>
        <w:rPr>
          <w:rFonts w:ascii="宋体" w:hAnsi="宋体" w:cs="宋体" w:eastAsia="宋体" w:hint="default"/>
        </w:rPr>
      </w:pPr>
      <w:r>
        <w:rPr>
          <w:rFonts w:ascii="宋体" w:hAnsi="宋体" w:cs="宋体" w:eastAsia="宋体" w:hint="default"/>
          <w:spacing w:val="7"/>
        </w:rPr>
        <w:t>现任中国联合网络通信有限公司监管事务部总经理，高级工程师。周先生于 </w:t>
      </w:r>
      <w:r>
        <w:rPr>
          <w:rFonts w:ascii="宋体" w:hAnsi="宋体" w:cs="宋体" w:eastAsia="宋体" w:hint="default"/>
        </w:rPr>
        <w:t>1982</w:t>
      </w:r>
      <w:r>
        <w:rPr>
          <w:rFonts w:ascii="宋体" w:hAnsi="宋体" w:cs="宋体" w:eastAsia="宋体" w:hint="default"/>
          <w:spacing w:val="-48"/>
        </w:rPr>
        <w:t> </w:t>
      </w:r>
      <w:r>
        <w:rPr>
          <w:rFonts w:ascii="宋体" w:hAnsi="宋体" w:cs="宋体" w:eastAsia="宋体" w:hint="default"/>
          <w:spacing w:val="8"/>
        </w:rPr>
        <w:t>年在上海科技大学分校</w:t>
      </w:r>
      <w:r>
        <w:rPr>
          <w:rFonts w:ascii="宋体" w:hAnsi="宋体" w:cs="宋体" w:eastAsia="宋体" w:hint="default"/>
        </w:rPr>
      </w:r>
    </w:p>
    <w:p>
      <w:pPr>
        <w:pStyle w:val="BodyText"/>
        <w:spacing w:line="264" w:lineRule="auto" w:before="24"/>
        <w:ind w:left="1927" w:right="1410"/>
        <w:jc w:val="both"/>
        <w:rPr>
          <w:rFonts w:ascii="宋体" w:hAnsi="宋体" w:cs="宋体" w:eastAsia="宋体" w:hint="default"/>
        </w:rPr>
      </w:pPr>
      <w:r>
        <w:rPr>
          <w:rFonts w:ascii="宋体" w:hAnsi="宋体" w:cs="宋体" w:eastAsia="宋体" w:hint="default"/>
          <w:spacing w:val="3"/>
        </w:rPr>
        <w:t>获得计算机应用专业学士学位，于</w:t>
      </w:r>
      <w:r>
        <w:rPr>
          <w:rFonts w:ascii="宋体" w:hAnsi="宋体" w:cs="宋体" w:eastAsia="宋体" w:hint="default"/>
        </w:rPr>
        <w:t> </w:t>
      </w:r>
      <w:r>
        <w:rPr>
          <w:rFonts w:ascii="宋体" w:hAnsi="宋体" w:cs="宋体" w:eastAsia="宋体" w:hint="default"/>
          <w:spacing w:val="-1"/>
        </w:rPr>
        <w:t>2001</w:t>
      </w:r>
      <w:r>
        <w:rPr>
          <w:rFonts w:ascii="宋体" w:hAnsi="宋体" w:cs="宋体" w:eastAsia="宋体" w:hint="default"/>
        </w:rPr>
        <w:t> </w:t>
      </w:r>
      <w:r>
        <w:rPr>
          <w:rFonts w:ascii="宋体" w:hAnsi="宋体" w:cs="宋体" w:eastAsia="宋体" w:hint="default"/>
          <w:spacing w:val="3"/>
        </w:rPr>
        <w:t>年在北京大学光华管理学院获得工商管理硕士（EMBA）学位，于</w:t>
      </w:r>
      <w:r>
        <w:rPr>
          <w:rFonts w:ascii="宋体" w:hAnsi="宋体" w:cs="宋体" w:eastAsia="宋体" w:hint="default"/>
          <w:spacing w:val="29"/>
        </w:rPr>
        <w:t> </w:t>
      </w:r>
      <w:r>
        <w:rPr>
          <w:rFonts w:ascii="宋体" w:hAnsi="宋体" w:cs="宋体" w:eastAsia="宋体" w:hint="default"/>
          <w:spacing w:val="29"/>
        </w:rPr>
      </w:r>
      <w:r>
        <w:rPr>
          <w:rFonts w:ascii="宋体" w:hAnsi="宋体" w:cs="宋体" w:eastAsia="宋体" w:hint="default"/>
        </w:rPr>
        <w:t>2005</w:t>
      </w:r>
      <w:r>
        <w:rPr>
          <w:rFonts w:ascii="宋体" w:hAnsi="宋体" w:cs="宋体" w:eastAsia="宋体" w:hint="default"/>
          <w:spacing w:val="-30"/>
        </w:rPr>
        <w:t> </w:t>
      </w:r>
      <w:r>
        <w:rPr>
          <w:rFonts w:ascii="宋体" w:hAnsi="宋体" w:cs="宋体" w:eastAsia="宋体" w:hint="default"/>
        </w:rPr>
        <w:t>年在香港理工大学获得工商管理博士</w:t>
      </w:r>
      <w:r>
        <w:rPr>
          <w:rFonts w:ascii="宋体" w:hAnsi="宋体" w:cs="宋体" w:eastAsia="宋体" w:hint="default"/>
          <w:spacing w:val="-30"/>
        </w:rPr>
        <w:t> </w:t>
      </w:r>
      <w:r>
        <w:rPr>
          <w:rFonts w:ascii="宋体" w:hAnsi="宋体" w:cs="宋体" w:eastAsia="宋体" w:hint="default"/>
        </w:rPr>
        <w:t>(DBA)</w:t>
      </w:r>
      <w:r>
        <w:rPr>
          <w:rFonts w:ascii="宋体" w:hAnsi="宋体" w:cs="宋体" w:eastAsia="宋体" w:hint="default"/>
          <w:spacing w:val="-29"/>
        </w:rPr>
        <w:t> </w:t>
      </w:r>
      <w:r>
        <w:rPr>
          <w:rFonts w:ascii="宋体" w:hAnsi="宋体" w:cs="宋体" w:eastAsia="宋体" w:hint="default"/>
        </w:rPr>
        <w:t>学位。周先生曾担任中国网通（集团）有限公司副总工程师</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兼技术部总经理；中国网通（集团）有限公司上海市分公司总经理；中国网通（控股）有限公司上海市分公</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司总经理；中国联通上海市分公司副总经理兼总工程师；上海市电话局浦东新区局副局长兼总工程师；上海</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市邮电管理局浦东新区电信运行部总工程师等。周先生自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月起任本公司职工监事。</w:t>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邵广禄</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09"/>
        <w:jc w:val="both"/>
        <w:rPr>
          <w:rFonts w:ascii="宋体" w:hAnsi="宋体" w:cs="宋体" w:eastAsia="宋体" w:hint="default"/>
        </w:rPr>
      </w:pPr>
      <w:r>
        <w:rPr>
          <w:rFonts w:ascii="宋体" w:hAnsi="宋体" w:cs="宋体" w:eastAsia="宋体" w:hint="default"/>
        </w:rPr>
        <w:t>教授级高级工程师，1985</w:t>
      </w:r>
      <w:r>
        <w:rPr>
          <w:rFonts w:ascii="宋体" w:hAnsi="宋体" w:cs="宋体" w:eastAsia="宋体" w:hint="default"/>
          <w:spacing w:val="-21"/>
        </w:rPr>
        <w:t> </w:t>
      </w:r>
      <w:r>
        <w:rPr>
          <w:rFonts w:ascii="宋体" w:hAnsi="宋体" w:cs="宋体" w:eastAsia="宋体" w:hint="default"/>
          <w:spacing w:val="2"/>
        </w:rPr>
        <w:t>年哈尔滨工业大学本科毕业，于</w:t>
      </w:r>
      <w:r>
        <w:rPr>
          <w:rFonts w:ascii="宋体" w:hAnsi="宋体" w:cs="宋体" w:eastAsia="宋体" w:hint="default"/>
          <w:spacing w:val="-21"/>
        </w:rPr>
        <w:t> </w:t>
      </w:r>
      <w:r>
        <w:rPr>
          <w:rFonts w:ascii="宋体" w:hAnsi="宋体" w:cs="宋体" w:eastAsia="宋体" w:hint="default"/>
        </w:rPr>
        <w:t>1988</w:t>
      </w:r>
      <w:r>
        <w:rPr>
          <w:rFonts w:ascii="宋体" w:hAnsi="宋体" w:cs="宋体" w:eastAsia="宋体" w:hint="default"/>
          <w:spacing w:val="-21"/>
        </w:rPr>
        <w:t> </w:t>
      </w:r>
      <w:r>
        <w:rPr>
          <w:rFonts w:ascii="宋体" w:hAnsi="宋体" w:cs="宋体" w:eastAsia="宋体" w:hint="default"/>
        </w:rPr>
        <w:t>年及</w:t>
      </w:r>
      <w:r>
        <w:rPr>
          <w:rFonts w:ascii="宋体" w:hAnsi="宋体" w:cs="宋体" w:eastAsia="宋体" w:hint="default"/>
          <w:spacing w:val="-21"/>
        </w:rPr>
        <w:t> </w:t>
      </w:r>
      <w:r>
        <w:rPr>
          <w:rFonts w:ascii="宋体" w:hAnsi="宋体" w:cs="宋体" w:eastAsia="宋体" w:hint="default"/>
        </w:rPr>
        <w:t>1990</w:t>
      </w:r>
      <w:r>
        <w:rPr>
          <w:rFonts w:ascii="宋体" w:hAnsi="宋体" w:cs="宋体" w:eastAsia="宋体" w:hint="default"/>
          <w:spacing w:val="-21"/>
        </w:rPr>
        <w:t> </w:t>
      </w:r>
      <w:r>
        <w:rPr>
          <w:rFonts w:ascii="宋体" w:hAnsi="宋体" w:cs="宋体" w:eastAsia="宋体" w:hint="default"/>
          <w:spacing w:val="3"/>
        </w:rPr>
        <w:t>年先后取得哈尔滨工业大学工学</w:t>
      </w:r>
      <w:r>
        <w:rPr>
          <w:rFonts w:ascii="宋体" w:hAnsi="宋体" w:cs="宋体" w:eastAsia="宋体" w:hint="default"/>
          <w:spacing w:val="-70"/>
        </w:rPr>
        <w:t> </w:t>
      </w:r>
      <w:r>
        <w:rPr>
          <w:rFonts w:ascii="宋体" w:hAnsi="宋体" w:cs="宋体" w:eastAsia="宋体" w:hint="default"/>
          <w:spacing w:val="-70"/>
        </w:rPr>
      </w:r>
      <w:r>
        <w:rPr>
          <w:rFonts w:ascii="宋体" w:hAnsi="宋体" w:cs="宋体" w:eastAsia="宋体" w:hint="default"/>
          <w:spacing w:val="2"/>
        </w:rPr>
        <w:t>硕士学位及经济学硕士学位，于</w:t>
      </w:r>
      <w:r>
        <w:rPr>
          <w:rFonts w:ascii="宋体" w:hAnsi="宋体" w:cs="宋体" w:eastAsia="宋体" w:hint="default"/>
          <w:spacing w:val="-43"/>
        </w:rPr>
        <w:t> </w:t>
      </w:r>
      <w:r>
        <w:rPr>
          <w:rFonts w:ascii="宋体" w:hAnsi="宋体" w:cs="宋体" w:eastAsia="宋体" w:hint="default"/>
          <w:spacing w:val="-1"/>
          <w:w w:val="111"/>
        </w:rPr>
        <w:t>2001</w:t>
      </w:r>
      <w:r>
        <w:rPr>
          <w:rFonts w:ascii="宋体" w:hAnsi="宋体" w:cs="宋体" w:eastAsia="宋体" w:hint="default"/>
          <w:spacing w:val="-53"/>
          <w:w w:val="111"/>
        </w:rPr>
        <w:t> </w:t>
      </w:r>
      <w:r>
        <w:rPr>
          <w:rFonts w:ascii="宋体" w:hAnsi="宋体" w:cs="宋体" w:eastAsia="宋体" w:hint="default"/>
          <w:spacing w:val="2"/>
        </w:rPr>
        <w:t>年取得挪威</w:t>
      </w:r>
      <w:r>
        <w:rPr>
          <w:rFonts w:ascii="宋体" w:hAnsi="宋体" w:cs="宋体" w:eastAsia="宋体" w:hint="default"/>
          <w:spacing w:val="-43"/>
        </w:rPr>
        <w:t> </w:t>
      </w:r>
      <w:r>
        <w:rPr>
          <w:rFonts w:ascii="宋体" w:hAnsi="宋体" w:cs="宋体" w:eastAsia="宋体" w:hint="default"/>
          <w:w w:val="94"/>
        </w:rPr>
        <w:t>BI</w:t>
      </w:r>
      <w:r>
        <w:rPr>
          <w:rFonts w:ascii="宋体" w:hAnsi="宋体" w:cs="宋体" w:eastAsia="宋体" w:hint="default"/>
          <w:spacing w:val="-37"/>
          <w:w w:val="94"/>
        </w:rPr>
        <w:t> </w:t>
      </w:r>
      <w:r>
        <w:rPr>
          <w:rFonts w:ascii="宋体" w:hAnsi="宋体" w:cs="宋体" w:eastAsia="宋体" w:hint="default"/>
          <w:spacing w:val="2"/>
        </w:rPr>
        <w:t>管理学院管理学硕士学位，并于</w:t>
      </w:r>
      <w:r>
        <w:rPr>
          <w:rFonts w:ascii="宋体" w:hAnsi="宋体" w:cs="宋体" w:eastAsia="宋体" w:hint="default"/>
          <w:spacing w:val="-43"/>
        </w:rPr>
        <w:t> </w:t>
      </w:r>
      <w:r>
        <w:rPr>
          <w:rFonts w:ascii="宋体" w:hAnsi="宋体" w:cs="宋体" w:eastAsia="宋体" w:hint="default"/>
          <w:spacing w:val="-1"/>
          <w:w w:val="111"/>
        </w:rPr>
        <w:t>2009</w:t>
      </w:r>
      <w:r>
        <w:rPr>
          <w:rFonts w:ascii="宋体" w:hAnsi="宋体" w:cs="宋体" w:eastAsia="宋体" w:hint="default"/>
          <w:spacing w:val="-53"/>
          <w:w w:val="111"/>
        </w:rPr>
        <w:t> </w:t>
      </w:r>
      <w:r>
        <w:rPr>
          <w:rFonts w:ascii="宋体" w:hAnsi="宋体" w:cs="宋体" w:eastAsia="宋体" w:hint="default"/>
          <w:spacing w:val="3"/>
        </w:rPr>
        <w:t>年取得南开大学</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spacing w:val="2"/>
        </w:rPr>
        <w:t>管理学博士学位。邵先生于</w:t>
      </w:r>
      <w:r>
        <w:rPr>
          <w:rFonts w:ascii="宋体" w:hAnsi="宋体" w:cs="宋体" w:eastAsia="宋体" w:hint="default"/>
          <w:spacing w:val="-30"/>
        </w:rPr>
        <w:t> </w:t>
      </w:r>
      <w:r>
        <w:rPr>
          <w:rFonts w:ascii="宋体" w:hAnsi="宋体" w:cs="宋体" w:eastAsia="宋体" w:hint="default"/>
        </w:rPr>
        <w:t>1995</w:t>
      </w:r>
      <w:r>
        <w:rPr>
          <w:rFonts w:ascii="宋体" w:hAnsi="宋体" w:cs="宋体" w:eastAsia="宋体" w:hint="default"/>
          <w:spacing w:val="-30"/>
        </w:rPr>
        <w:t> </w:t>
      </w:r>
      <w:r>
        <w:rPr>
          <w:rFonts w:ascii="宋体" w:hAnsi="宋体" w:cs="宋体" w:eastAsia="宋体" w:hint="default"/>
        </w:rPr>
        <w:t>年</w:t>
      </w:r>
      <w:r>
        <w:rPr>
          <w:rFonts w:ascii="宋体" w:hAnsi="宋体" w:cs="宋体" w:eastAsia="宋体" w:hint="default"/>
          <w:spacing w:val="-30"/>
        </w:rPr>
        <w:t> </w:t>
      </w:r>
      <w:r>
        <w:rPr>
          <w:rFonts w:ascii="宋体" w:hAnsi="宋体" w:cs="宋体" w:eastAsia="宋体" w:hint="default"/>
        </w:rPr>
        <w:t>2</w:t>
      </w:r>
      <w:r>
        <w:rPr>
          <w:rFonts w:ascii="宋体" w:hAnsi="宋体" w:cs="宋体" w:eastAsia="宋体" w:hint="default"/>
          <w:spacing w:val="-30"/>
        </w:rPr>
        <w:t> </w:t>
      </w:r>
      <w:r>
        <w:rPr>
          <w:rFonts w:ascii="宋体" w:hAnsi="宋体" w:cs="宋体" w:eastAsia="宋体" w:hint="default"/>
          <w:spacing w:val="2"/>
        </w:rPr>
        <w:t>月加入联通集团，目前担任联通集团副总经理；联通红筹公司执行董</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rPr>
        <w:t>事及高级副总裁；联通运营公司董事及高级副总裁；电讯盈科有限公司非执行董事、中国通信服务股份有限</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公司非执行董事、中国铁塔股份有限公司非执行董事，邵先生目前还担任 ONF（开放网络基金会）理事和工</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信部通信科学技术委员会副主任。邵先生自</w:t>
      </w:r>
      <w:r>
        <w:rPr>
          <w:rFonts w:ascii="宋体" w:hAnsi="宋体" w:cs="宋体" w:eastAsia="宋体" w:hint="default"/>
          <w:spacing w:val="-44"/>
        </w:rPr>
        <w:t> </w:t>
      </w:r>
      <w:r>
        <w:rPr>
          <w:rFonts w:ascii="宋体" w:hAnsi="宋体" w:cs="宋体" w:eastAsia="宋体" w:hint="default"/>
        </w:rPr>
        <w:t>2018</w:t>
      </w:r>
      <w:r>
        <w:rPr>
          <w:rFonts w:ascii="宋体" w:hAnsi="宋体" w:cs="宋体" w:eastAsia="宋体" w:hint="default"/>
          <w:spacing w:val="-44"/>
        </w:rPr>
        <w:t> </w:t>
      </w:r>
      <w:r>
        <w:rPr>
          <w:rFonts w:ascii="宋体" w:hAnsi="宋体" w:cs="宋体" w:eastAsia="宋体" w:hint="default"/>
        </w:rPr>
        <w:t>年</w:t>
      </w:r>
      <w:r>
        <w:rPr>
          <w:rFonts w:ascii="宋体" w:hAnsi="宋体" w:cs="宋体" w:eastAsia="宋体" w:hint="default"/>
          <w:spacing w:val="-44"/>
        </w:rPr>
        <w:t> </w:t>
      </w:r>
      <w:r>
        <w:rPr>
          <w:rFonts w:ascii="宋体" w:hAnsi="宋体" w:cs="宋体" w:eastAsia="宋体" w:hint="default"/>
        </w:rPr>
        <w:t>2</w:t>
      </w:r>
      <w:r>
        <w:rPr>
          <w:rFonts w:ascii="宋体" w:hAnsi="宋体" w:cs="宋体" w:eastAsia="宋体" w:hint="default"/>
          <w:spacing w:val="-44"/>
        </w:rPr>
        <w:t> </w:t>
      </w:r>
      <w:r>
        <w:rPr>
          <w:rFonts w:ascii="宋体" w:hAnsi="宋体" w:cs="宋体" w:eastAsia="宋体" w:hint="default"/>
        </w:rPr>
        <w:t>月任本公司高级副总裁。邵先生长期在电信行业工作，</w:t>
      </w:r>
      <w:r>
        <w:rPr>
          <w:rFonts w:ascii="宋体" w:hAnsi="宋体" w:cs="宋体" w:eastAsia="宋体" w:hint="default"/>
          <w:spacing w:val="-88"/>
        </w:rPr>
        <w:t> </w:t>
      </w:r>
      <w:r>
        <w:rPr>
          <w:rFonts w:ascii="宋体" w:hAnsi="宋体" w:cs="宋体" w:eastAsia="宋体" w:hint="default"/>
          <w:spacing w:val="-88"/>
        </w:rPr>
      </w:r>
      <w:r>
        <w:rPr>
          <w:rFonts w:ascii="宋体" w:hAnsi="宋体" w:cs="宋体" w:eastAsia="宋体" w:hint="default"/>
        </w:rPr>
        <w:t>具有丰富的管理经验。</w:t>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买彦州</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0"/>
        <w:jc w:val="both"/>
        <w:rPr>
          <w:rFonts w:ascii="宋体" w:hAnsi="宋体" w:cs="宋体" w:eastAsia="宋体" w:hint="default"/>
        </w:rPr>
      </w:pPr>
      <w:r>
        <w:rPr/>
        <w:pict>
          <v:group style="position:absolute;margin-left:.000007pt;margin-top:52.334393pt;width:34.75pt;height:129.3pt;mso-position-horizontal-relative:page;mso-position-vertical-relative:paragraph;z-index:6232" coordorigin="0,1047" coordsize="695,2586">
            <v:group style="position:absolute;left:0;top:1891;width:695;height:1742" coordorigin="0,1891" coordsize="695,1742">
              <v:shape style="position:absolute;left:0;top:1891;width:695;height:1742" coordorigin="0,1891" coordsize="695,1742" path="m0,3632l0,1891,694,1891,0,3632xe" filled="true" fillcolor="#8e9090" stroked="false">
                <v:path arrowok="t"/>
                <v:fill type="solid"/>
              </v:shape>
            </v:group>
            <v:group style="position:absolute;left:0;top:1047;width:695;height:1742" coordorigin="0,1047" coordsize="695,1742">
              <v:shape style="position:absolute;left:0;top:1047;width:695;height:1742" coordorigin="0,1047" coordsize="695,1742" path="m0,2788l0,1047,694,1047,0,2788xe" filled="true" fillcolor="#d7000f" stroked="false">
                <v:path arrowok="t"/>
                <v:fill type="solid"/>
              </v:shape>
            </v:group>
            <w10:wrap type="none"/>
          </v:group>
        </w:pict>
      </w:r>
      <w:r>
        <w:rPr>
          <w:rFonts w:ascii="宋体" w:hAnsi="宋体" w:cs="宋体" w:eastAsia="宋体" w:hint="default"/>
        </w:rPr>
        <w:t>教授级高级工程师，1991 </w:t>
      </w:r>
      <w:r>
        <w:rPr>
          <w:rFonts w:ascii="宋体" w:hAnsi="宋体" w:cs="宋体" w:eastAsia="宋体" w:hint="default"/>
          <w:spacing w:val="3"/>
        </w:rPr>
        <w:t>年毕业于郑州大学电子工程系电子学与信息系统专业并取得工学学士学位，2002</w:t>
      </w:r>
      <w:r>
        <w:rPr>
          <w:rFonts w:ascii="宋体" w:hAnsi="宋体" w:cs="宋体" w:eastAsia="宋体" w:hint="default"/>
          <w:spacing w:val="-22"/>
        </w:rPr>
        <w:t> </w:t>
      </w:r>
      <w:r>
        <w:rPr>
          <w:rFonts w:ascii="宋体" w:hAnsi="宋体" w:cs="宋体" w:eastAsia="宋体" w:hint="default"/>
          <w:spacing w:val="-22"/>
        </w:rPr>
      </w:r>
      <w:r>
        <w:rPr>
          <w:rFonts w:ascii="宋体" w:hAnsi="宋体" w:cs="宋体" w:eastAsia="宋体" w:hint="default"/>
        </w:rPr>
        <w:t>年取得北京邮电大学电子与信息工程专业硕士学位。买先生曾先后担任中国网通广东分公司副总经理，中国</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联通广东分公司副总经理、福建省分公司总经理、辽宁省分公司总经理，并是第十二届全国人大代表。买先</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生目前还担任联通集团副总经理，联通红筹公司高级副总裁，联通运营公司董事及高级副总裁，自</w:t>
      </w:r>
      <w:r>
        <w:rPr>
          <w:rFonts w:ascii="宋体" w:hAnsi="宋体" w:cs="宋体" w:eastAsia="宋体" w:hint="default"/>
          <w:spacing w:val="-32"/>
        </w:rPr>
        <w:t> </w:t>
      </w:r>
      <w:r>
        <w:rPr>
          <w:rFonts w:ascii="宋体" w:hAnsi="宋体" w:cs="宋体" w:eastAsia="宋体" w:hint="default"/>
        </w:rPr>
        <w:t>2018</w:t>
      </w:r>
      <w:r>
        <w:rPr>
          <w:rFonts w:ascii="宋体" w:hAnsi="宋体" w:cs="宋体" w:eastAsia="宋体" w:hint="default"/>
          <w:spacing w:val="-32"/>
        </w:rPr>
        <w:t> </w:t>
      </w:r>
      <w:r>
        <w:rPr>
          <w:rFonts w:ascii="宋体" w:hAnsi="宋体" w:cs="宋体" w:eastAsia="宋体" w:hint="default"/>
        </w:rPr>
        <w:t>年</w:t>
      </w:r>
      <w:r>
        <w:rPr>
          <w:rFonts w:ascii="宋体" w:hAnsi="宋体" w:cs="宋体" w:eastAsia="宋体" w:hint="default"/>
          <w:spacing w:val="-32"/>
        </w:rPr>
        <w:t> </w:t>
      </w:r>
      <w:r>
        <w:rPr>
          <w:rFonts w:ascii="宋体" w:hAnsi="宋体" w:cs="宋体" w:eastAsia="宋体" w:hint="default"/>
        </w:rPr>
        <w:t>2</w:t>
      </w:r>
      <w:r>
        <w:rPr>
          <w:rFonts w:ascii="宋体" w:hAnsi="宋体" w:cs="宋体" w:eastAsia="宋体" w:hint="default"/>
          <w:spacing w:val="-84"/>
        </w:rPr>
        <w:t> </w:t>
      </w:r>
      <w:r>
        <w:rPr>
          <w:rFonts w:ascii="宋体" w:hAnsi="宋体" w:cs="宋体" w:eastAsia="宋体" w:hint="default"/>
          <w:spacing w:val="-84"/>
        </w:rPr>
      </w:r>
      <w:r>
        <w:rPr>
          <w:rFonts w:ascii="宋体" w:hAnsi="宋体" w:cs="宋体" w:eastAsia="宋体" w:hint="default"/>
        </w:rPr>
        <w:t>月起任本公司高级副总裁。买彦州先生长期在电信行业工作，具有丰富的管理经验。</w:t>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梁宝俊</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764"/>
        <w:jc w:val="left"/>
        <w:rPr>
          <w:rFonts w:ascii="宋体" w:hAnsi="宋体" w:cs="宋体" w:eastAsia="宋体" w:hint="default"/>
        </w:rPr>
      </w:pPr>
      <w:r>
        <w:rPr>
          <w:rFonts w:ascii="宋体" w:hAnsi="宋体" w:cs="宋体" w:eastAsia="宋体" w:hint="default"/>
        </w:rPr>
        <w:t>教授级高级工程师。1991</w:t>
      </w:r>
      <w:r>
        <w:rPr>
          <w:rFonts w:ascii="宋体" w:hAnsi="宋体" w:cs="宋体" w:eastAsia="宋体" w:hint="default"/>
          <w:spacing w:val="-23"/>
        </w:rPr>
        <w:t> </w:t>
      </w:r>
      <w:r>
        <w:rPr>
          <w:rFonts w:ascii="宋体" w:hAnsi="宋体" w:cs="宋体" w:eastAsia="宋体" w:hint="default"/>
          <w:spacing w:val="2"/>
        </w:rPr>
        <w:t>年毕业于长春邮电学院通信工程专业并取得工学学士学位，1998</w:t>
      </w:r>
      <w:r>
        <w:rPr>
          <w:rFonts w:ascii="宋体" w:hAnsi="宋体" w:cs="宋体" w:eastAsia="宋体" w:hint="default"/>
          <w:spacing w:val="-23"/>
        </w:rPr>
        <w:t> </w:t>
      </w:r>
      <w:r>
        <w:rPr>
          <w:rFonts w:ascii="宋体" w:hAnsi="宋体" w:cs="宋体" w:eastAsia="宋体" w:hint="default"/>
          <w:spacing w:val="2"/>
        </w:rPr>
        <w:t>年取得北京邮电</w:t>
      </w:r>
      <w:r>
        <w:rPr>
          <w:rFonts w:ascii="宋体" w:hAnsi="宋体" w:cs="宋体" w:eastAsia="宋体" w:hint="default"/>
          <w:spacing w:val="-34"/>
        </w:rPr>
        <w:t> </w:t>
      </w:r>
      <w:r>
        <w:rPr>
          <w:rFonts w:ascii="宋体" w:hAnsi="宋体" w:cs="宋体" w:eastAsia="宋体" w:hint="default"/>
          <w:spacing w:val="-34"/>
        </w:rPr>
      </w:r>
      <w:r>
        <w:rPr>
          <w:rFonts w:ascii="宋体" w:hAnsi="宋体" w:cs="宋体" w:eastAsia="宋体" w:hint="default"/>
          <w:spacing w:val="-1"/>
        </w:rPr>
        <w:t>大学管理工程专业硕士学位，2006</w:t>
      </w:r>
      <w:r>
        <w:rPr>
          <w:rFonts w:ascii="宋体" w:hAnsi="宋体" w:cs="宋体" w:eastAsia="宋体" w:hint="default"/>
        </w:rPr>
        <w:t> </w:t>
      </w:r>
      <w:r>
        <w:rPr>
          <w:rFonts w:ascii="宋体" w:hAnsi="宋体" w:cs="宋体" w:eastAsia="宋体" w:hint="default"/>
          <w:spacing w:val="-1"/>
        </w:rPr>
        <w:t>年取得清华大学经济管理学院高级管理人员工商管理硕士（EMBA）学位。</w:t>
      </w:r>
      <w:r>
        <w:rPr>
          <w:rFonts w:ascii="宋体" w:hAnsi="宋体" w:cs="宋体" w:eastAsia="宋体" w:hint="default"/>
          <w:spacing w:val="-31"/>
        </w:rPr>
        <w:t> </w:t>
      </w:r>
      <w:r>
        <w:rPr>
          <w:rFonts w:ascii="宋体" w:hAnsi="宋体" w:cs="宋体" w:eastAsia="宋体" w:hint="default"/>
          <w:spacing w:val="-31"/>
        </w:rPr>
      </w:r>
      <w:r>
        <w:rPr>
          <w:rFonts w:ascii="宋体" w:hAnsi="宋体" w:cs="宋体" w:eastAsia="宋体" w:hint="default"/>
          <w:spacing w:val="-2"/>
        </w:rPr>
        <w:t>梁先生曾先后担任中国电信股份有限公司北京分公司副总经理，中国电信集团公司河南省电信分公司总经理，</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spacing w:val="-2"/>
        </w:rPr>
        <w:t>中国电信集团公司企业信息化事业部总经理、政企客户事业部总经理。梁先生目前还担任联通集团副总经理，</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spacing w:val="2"/>
        </w:rPr>
        <w:t>联通红筹公司高级副总裁，联通运营公司董事及高级副总裁，自</w:t>
      </w:r>
      <w:r>
        <w:rPr>
          <w:rFonts w:ascii="宋体" w:hAnsi="宋体" w:cs="宋体" w:eastAsia="宋体" w:hint="default"/>
          <w:spacing w:val="-26"/>
        </w:rPr>
        <w:t> </w:t>
      </w:r>
      <w:r>
        <w:rPr>
          <w:rFonts w:ascii="宋体" w:hAnsi="宋体" w:cs="宋体" w:eastAsia="宋体" w:hint="default"/>
        </w:rPr>
        <w:t>2018</w:t>
      </w:r>
      <w:r>
        <w:rPr>
          <w:rFonts w:ascii="宋体" w:hAnsi="宋体" w:cs="宋体" w:eastAsia="宋体" w:hint="default"/>
          <w:spacing w:val="-26"/>
        </w:rPr>
        <w:t> </w:t>
      </w:r>
      <w:r>
        <w:rPr>
          <w:rFonts w:ascii="宋体" w:hAnsi="宋体" w:cs="宋体" w:eastAsia="宋体" w:hint="default"/>
        </w:rPr>
        <w:t>年</w:t>
      </w:r>
      <w:r>
        <w:rPr>
          <w:rFonts w:ascii="宋体" w:hAnsi="宋体" w:cs="宋体" w:eastAsia="宋体" w:hint="default"/>
          <w:spacing w:val="-26"/>
        </w:rPr>
        <w:t> </w:t>
      </w:r>
      <w:r>
        <w:rPr>
          <w:rFonts w:ascii="宋体" w:hAnsi="宋体" w:cs="宋体" w:eastAsia="宋体" w:hint="default"/>
        </w:rPr>
        <w:t>2</w:t>
      </w:r>
      <w:r>
        <w:rPr>
          <w:rFonts w:ascii="宋体" w:hAnsi="宋体" w:cs="宋体" w:eastAsia="宋体" w:hint="default"/>
          <w:spacing w:val="-26"/>
        </w:rPr>
        <w:t> </w:t>
      </w:r>
      <w:r>
        <w:rPr>
          <w:rFonts w:ascii="宋体" w:hAnsi="宋体" w:cs="宋体" w:eastAsia="宋体" w:hint="default"/>
          <w:spacing w:val="2"/>
        </w:rPr>
        <w:t>月起任本公司高级副总裁。梁宝</w:t>
      </w:r>
      <w:r>
        <w:rPr>
          <w:rFonts w:ascii="宋体" w:hAnsi="宋体" w:cs="宋体" w:eastAsia="宋体" w:hint="default"/>
        </w:rPr>
      </w:r>
    </w:p>
    <w:p>
      <w:pPr>
        <w:spacing w:after="0" w:line="264" w:lineRule="auto"/>
        <w:jc w:val="left"/>
        <w:rPr>
          <w:rFonts w:ascii="宋体" w:hAnsi="宋体" w:cs="宋体" w:eastAsia="宋体" w:hint="default"/>
        </w:rPr>
        <w:sectPr>
          <w:footerReference w:type="even" r:id="rId191"/>
          <w:footerReference w:type="default" r:id="rId192"/>
          <w:pgSz w:w="11910" w:h="16160"/>
          <w:pgMar w:footer="911" w:header="0" w:top="2220" w:bottom="110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8"/>
        <w:spacing w:line="240" w:lineRule="auto"/>
        <w:ind w:right="764"/>
        <w:jc w:val="left"/>
        <w:rPr>
          <w:rFonts w:ascii="宋体" w:hAnsi="宋体" w:cs="宋体" w:eastAsia="宋体" w:hint="default"/>
        </w:rPr>
      </w:pPr>
      <w:r>
        <w:rPr>
          <w:rFonts w:ascii="宋体" w:hAnsi="宋体" w:cs="宋体" w:eastAsia="宋体" w:hint="default"/>
        </w:rPr>
        <w:t>朱可炳</w:t>
      </w:r>
    </w:p>
    <w:p>
      <w:pPr>
        <w:spacing w:line="240" w:lineRule="auto" w:before="6"/>
        <w:rPr>
          <w:rFonts w:ascii="宋体" w:hAnsi="宋体" w:cs="宋体" w:eastAsia="宋体" w:hint="default"/>
          <w:sz w:val="9"/>
          <w:szCs w:val="9"/>
        </w:rPr>
      </w:pPr>
    </w:p>
    <w:p>
      <w:pPr>
        <w:spacing w:line="65" w:lineRule="exact"/>
        <w:ind w:left="1727"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2494" w:right="751"/>
        <w:jc w:val="left"/>
        <w:rPr>
          <w:rFonts w:ascii="宋体" w:hAnsi="宋体" w:cs="宋体" w:eastAsia="宋体" w:hint="default"/>
        </w:rPr>
      </w:pPr>
      <w:r>
        <w:rPr>
          <w:rFonts w:ascii="宋体" w:hAnsi="宋体" w:cs="宋体" w:eastAsia="宋体" w:hint="default"/>
        </w:rPr>
        <w:t>高级会计师，1997</w:t>
      </w:r>
      <w:r>
        <w:rPr>
          <w:rFonts w:ascii="宋体" w:hAnsi="宋体" w:cs="宋体" w:eastAsia="宋体" w:hint="default"/>
          <w:spacing w:val="-24"/>
        </w:rPr>
        <w:t> </w:t>
      </w:r>
      <w:r>
        <w:rPr>
          <w:rFonts w:ascii="宋体" w:hAnsi="宋体" w:cs="宋体" w:eastAsia="宋体" w:hint="default"/>
          <w:spacing w:val="2"/>
        </w:rPr>
        <w:t>年毕业于东北大学会计学专业，获得经济学学士学位；2011</w:t>
      </w:r>
      <w:r>
        <w:rPr>
          <w:rFonts w:ascii="宋体" w:hAnsi="宋体" w:cs="宋体" w:eastAsia="宋体" w:hint="default"/>
          <w:spacing w:val="-24"/>
        </w:rPr>
        <w:t> </w:t>
      </w:r>
      <w:r>
        <w:rPr>
          <w:rFonts w:ascii="宋体" w:hAnsi="宋体" w:cs="宋体" w:eastAsia="宋体" w:hint="default"/>
          <w:spacing w:val="3"/>
        </w:rPr>
        <w:t>年获得香港中文大学专业会</w:t>
      </w:r>
      <w:r>
        <w:rPr>
          <w:rFonts w:ascii="宋体" w:hAnsi="宋体" w:cs="宋体" w:eastAsia="宋体" w:hint="default"/>
          <w:spacing w:val="-41"/>
        </w:rPr>
        <w:t> </w:t>
      </w:r>
      <w:r>
        <w:rPr>
          <w:rFonts w:ascii="宋体" w:hAnsi="宋体" w:cs="宋体" w:eastAsia="宋体" w:hint="default"/>
          <w:spacing w:val="-41"/>
        </w:rPr>
      </w:r>
      <w:r>
        <w:rPr>
          <w:rFonts w:ascii="宋体" w:hAnsi="宋体" w:cs="宋体" w:eastAsia="宋体" w:hint="default"/>
          <w:spacing w:val="-4"/>
        </w:rPr>
        <w:t>计学硕士学位。朱先生曾担任宝钢集团有限公司财务部副部长、经营财务部总经理兼预算总监、资产管理总监，</w:t>
      </w:r>
      <w:r>
        <w:rPr>
          <w:rFonts w:ascii="宋体" w:hAnsi="宋体" w:cs="宋体" w:eastAsia="宋体" w:hint="default"/>
          <w:spacing w:val="-65"/>
        </w:rPr>
        <w:t> </w:t>
      </w:r>
      <w:r>
        <w:rPr>
          <w:rFonts w:ascii="宋体" w:hAnsi="宋体" w:cs="宋体" w:eastAsia="宋体" w:hint="default"/>
          <w:spacing w:val="-65"/>
        </w:rPr>
      </w:r>
      <w:r>
        <w:rPr>
          <w:rFonts w:ascii="宋体" w:hAnsi="宋体" w:cs="宋体" w:eastAsia="宋体" w:hint="default"/>
        </w:rPr>
        <w:t>宝山钢铁股份有限公司董事会秘书、财务总监、监事，中国宝武钢铁集团有限公司产业和金融业结合发展中</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心总经理，上海宝信软件股份有限公司董事，华宝投资有限公司总经理，中国太平洋保险（集团）股份有限</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rPr>
        <w:t>公司董事，赛领国际投资基金（上海）有限公司董事，赛领资本管理有限公司董事，四源合股权投资管理有</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spacing w:val="-5"/>
        </w:rPr>
        <w:t>限公司董事及上海股权投资协会副会长。朱先生现任联通集团总会计师；联通红筹公司执行董事及首席财务官；</w:t>
      </w:r>
      <w:r>
        <w:rPr>
          <w:rFonts w:ascii="宋体" w:hAnsi="宋体" w:cs="宋体" w:eastAsia="宋体" w:hint="default"/>
          <w:spacing w:val="-60"/>
        </w:rPr>
        <w:t> </w:t>
      </w:r>
      <w:r>
        <w:rPr>
          <w:rFonts w:ascii="宋体" w:hAnsi="宋体" w:cs="宋体" w:eastAsia="宋体" w:hint="default"/>
          <w:spacing w:val="-60"/>
        </w:rPr>
      </w:r>
      <w:r>
        <w:rPr>
          <w:rFonts w:ascii="宋体" w:hAnsi="宋体" w:cs="宋体" w:eastAsia="宋体" w:hint="default"/>
        </w:rPr>
        <w:t>联通运营公司董事及首席财务官。此外，朱先生还担任电讯盈科有限公司非执行董事、香港电讯有限公司及</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spacing w:val="2"/>
        </w:rPr>
        <w:t>香港电讯管理有限公司（作为香港电讯信托的托管人－经理）非执行董事。朱先生自</w:t>
      </w:r>
      <w:r>
        <w:rPr>
          <w:rFonts w:ascii="宋体" w:hAnsi="宋体" w:cs="宋体" w:eastAsia="宋体" w:hint="default"/>
          <w:spacing w:val="-27"/>
        </w:rPr>
        <w:t> </w:t>
      </w: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8</w:t>
      </w:r>
      <w:r>
        <w:rPr>
          <w:rFonts w:ascii="宋体" w:hAnsi="宋体" w:cs="宋体" w:eastAsia="宋体" w:hint="default"/>
          <w:spacing w:val="-27"/>
        </w:rPr>
        <w:t> </w:t>
      </w:r>
      <w:r>
        <w:rPr>
          <w:rFonts w:ascii="宋体" w:hAnsi="宋体" w:cs="宋体" w:eastAsia="宋体" w:hint="default"/>
          <w:spacing w:val="3"/>
        </w:rPr>
        <w:t>月起任本公</w:t>
      </w:r>
      <w:r>
        <w:rPr>
          <w:rFonts w:ascii="宋体" w:hAnsi="宋体" w:cs="宋体" w:eastAsia="宋体" w:hint="default"/>
        </w:rPr>
      </w:r>
    </w:p>
    <w:p>
      <w:pPr>
        <w:pStyle w:val="BodyText"/>
        <w:spacing w:line="264" w:lineRule="auto" w:before="6"/>
        <w:ind w:left="2494" w:right="764"/>
        <w:jc w:val="left"/>
        <w:rPr>
          <w:rFonts w:ascii="宋体" w:hAnsi="宋体" w:cs="宋体" w:eastAsia="宋体" w:hint="default"/>
        </w:rPr>
      </w:pPr>
      <w:r>
        <w:rPr/>
        <w:pict>
          <v:group style="position:absolute;margin-left:86.374001pt;margin-top:4.610300pt;width:509.4pt;height:464.5pt;mso-position-horizontal-relative:page;mso-position-vertical-relative:paragraph;z-index:-963640" coordorigin="1727,92" coordsize="10188,9290">
            <v:group style="position:absolute;left:10718;top:92;width:1188;height:2980" coordorigin="10718,92" coordsize="1188,2980">
              <v:shape style="position:absolute;left:10718;top:92;width:1188;height:2980" coordorigin="10718,92" coordsize="1188,2980" path="m11906,3071l10718,3071,11906,92,11906,3071xe" filled="true" fillcolor="#d7000f" stroked="false">
                <v:path arrowok="t"/>
                <v:fill type="solid"/>
              </v:shape>
            </v:group>
            <v:group style="position:absolute;left:9173;top:2529;width:2733;height:6853" coordorigin="9173,2529" coordsize="2733,6853">
              <v:shape style="position:absolute;left:9173;top:2529;width:2733;height:6853" coordorigin="9173,2529" coordsize="2733,6853" path="m11906,9381l9173,9381,11906,2529,11906,9381xe" filled="true" fillcolor="#8e9090" stroked="false">
                <v:path arrowok="t"/>
                <v:fill type="solid"/>
              </v:shape>
              <v:shape style="position:absolute;left:7550;top:8446;width:188;height:188" type="#_x0000_t75" stroked="false">
                <v:imagedata r:id="rId76" o:title=""/>
              </v:shape>
            </v:group>
            <v:group style="position:absolute;left:7668;top:8540;width:4238;height:2" coordorigin="7668,8540" coordsize="4238,2">
              <v:shape style="position:absolute;left:7668;top:8540;width:4238;height:2" coordorigin="7668,8540" coordsize="4238,0" path="m7668,8540l11906,8540e" filled="false" stroked="true" strokeweight=".956pt" strokecolor="#8e9090">
                <v:path arrowok="t"/>
              </v:shape>
            </v:group>
            <v:group style="position:absolute;left:1757;top:1205;width:709;height:2" coordorigin="1757,1205" coordsize="709,2">
              <v:shape style="position:absolute;left:1757;top:1205;width:709;height:2" coordorigin="1757,1205" coordsize="709,0" path="m1757,1205l2466,1205e" filled="false" stroked="true" strokeweight="3pt" strokecolor="#d7000f">
                <v:path arrowok="t"/>
              </v:shape>
            </v:group>
            <v:group style="position:absolute;left:2466;top:1235;width:8589;height:2" coordorigin="2466,1235" coordsize="8589,2">
              <v:shape style="position:absolute;left:2466;top:1235;width:8589;height:2" coordorigin="2466,1235" coordsize="8589,0" path="m2466,1235l11055,1235e" filled="false" stroked="true" strokeweight=".5pt" strokecolor="#d7000f">
                <v:path arrowok="t"/>
              </v:shape>
            </v:group>
            <v:group style="position:absolute;left:1757;top:3272;width:709;height:2" coordorigin="1757,3272" coordsize="709,2">
              <v:shape style="position:absolute;left:1757;top:3272;width:709;height:2" coordorigin="1757,3272" coordsize="709,0" path="m1757,3272l2466,3272e" filled="false" stroked="true" strokeweight="3pt" strokecolor="#d7000f">
                <v:path arrowok="t"/>
              </v:shape>
            </v:group>
            <v:group style="position:absolute;left:2466;top:3302;width:8589;height:2" coordorigin="2466,3302" coordsize="8589,2">
              <v:shape style="position:absolute;left:2466;top:3302;width:8589;height:2" coordorigin="2466,3302" coordsize="8589,0" path="m2466,3302l11055,3302e" filled="false" stroked="true" strokeweight=".5pt" strokecolor="#d7000f">
                <v:path arrowok="t"/>
              </v:shape>
            </v:group>
            <v:group style="position:absolute;left:1757;top:1235;width:709;height:2" coordorigin="1757,1235" coordsize="709,2">
              <v:shape style="position:absolute;left:1757;top:1235;width:709;height:2" coordorigin="1757,1235" coordsize="709,0" path="m1757,1235l2466,1235e" filled="false" stroked="true" strokeweight=".5pt" strokecolor="#d7000f">
                <v:path arrowok="t"/>
              </v:shape>
            </v:group>
            <v:group style="position:absolute;left:1757;top:3302;width:709;height:2" coordorigin="1757,3302" coordsize="709,2">
              <v:shape style="position:absolute;left:1757;top:3302;width:709;height:2" coordorigin="1757,3302" coordsize="709,0" path="m1757,3302l2466,3302e" filled="false" stroked="true" strokeweight=".5pt" strokecolor="#d7000f">
                <v:path arrowok="t"/>
              </v:shape>
            </v:group>
            <w10:wrap type="none"/>
          </v:group>
        </w:pict>
      </w:r>
      <w:r>
        <w:rPr>
          <w:rFonts w:ascii="宋体" w:hAnsi="宋体" w:cs="宋体" w:eastAsia="宋体" w:hint="default"/>
          <w:spacing w:val="2"/>
        </w:rPr>
        <w:t>司首席财务官，自</w:t>
      </w:r>
      <w:r>
        <w:rPr>
          <w:rFonts w:ascii="宋体" w:hAnsi="宋体" w:cs="宋体" w:eastAsia="宋体" w:hint="default"/>
          <w:spacing w:val="-30"/>
        </w:rPr>
        <w:t> </w:t>
      </w:r>
      <w:r>
        <w:rPr>
          <w:rFonts w:ascii="宋体" w:hAnsi="宋体" w:cs="宋体" w:eastAsia="宋体" w:hint="default"/>
        </w:rPr>
        <w:t>2018</w:t>
      </w:r>
      <w:r>
        <w:rPr>
          <w:rFonts w:ascii="宋体" w:hAnsi="宋体" w:cs="宋体" w:eastAsia="宋体" w:hint="default"/>
          <w:spacing w:val="-30"/>
        </w:rPr>
        <w:t> </w:t>
      </w:r>
      <w:r>
        <w:rPr>
          <w:rFonts w:ascii="宋体" w:hAnsi="宋体" w:cs="宋体" w:eastAsia="宋体" w:hint="default"/>
        </w:rPr>
        <w:t>年</w:t>
      </w:r>
      <w:r>
        <w:rPr>
          <w:rFonts w:ascii="宋体" w:hAnsi="宋体" w:cs="宋体" w:eastAsia="宋体" w:hint="default"/>
          <w:spacing w:val="-30"/>
        </w:rPr>
        <w:t> </w:t>
      </w:r>
      <w:r>
        <w:rPr>
          <w:rFonts w:ascii="宋体" w:hAnsi="宋体" w:cs="宋体" w:eastAsia="宋体" w:hint="default"/>
        </w:rPr>
        <w:t>9</w:t>
      </w:r>
      <w:r>
        <w:rPr>
          <w:rFonts w:ascii="宋体" w:hAnsi="宋体" w:cs="宋体" w:eastAsia="宋体" w:hint="default"/>
          <w:spacing w:val="-30"/>
        </w:rPr>
        <w:t> </w:t>
      </w:r>
      <w:r>
        <w:rPr>
          <w:rFonts w:ascii="宋体" w:hAnsi="宋体" w:cs="宋体" w:eastAsia="宋体" w:hint="default"/>
          <w:spacing w:val="2"/>
        </w:rPr>
        <w:t>月起任本公司董事会秘书。朱可炳先生拥有丰富的企业财务、投资管理及董事</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rPr>
        <w:t>会秘书工作经验。</w:t>
      </w:r>
    </w:p>
    <w:p>
      <w:pPr>
        <w:spacing w:line="240" w:lineRule="auto" w:before="3"/>
        <w:rPr>
          <w:rFonts w:ascii="宋体" w:hAnsi="宋体" w:cs="宋体" w:eastAsia="宋体" w:hint="default"/>
          <w:sz w:val="17"/>
          <w:szCs w:val="17"/>
        </w:rPr>
      </w:pPr>
    </w:p>
    <w:p>
      <w:pPr>
        <w:pStyle w:val="Heading8"/>
        <w:spacing w:line="240" w:lineRule="auto"/>
        <w:ind w:right="764"/>
        <w:jc w:val="left"/>
        <w:rPr>
          <w:rFonts w:ascii="宋体" w:hAnsi="宋体" w:cs="宋体" w:eastAsia="宋体" w:hint="default"/>
        </w:rPr>
      </w:pPr>
      <w:r>
        <w:rPr>
          <w:rFonts w:ascii="宋体" w:hAnsi="宋体" w:cs="宋体" w:eastAsia="宋体" w:hint="default"/>
        </w:rPr>
        <w:t>范云军</w:t>
      </w:r>
    </w:p>
    <w:p>
      <w:pPr>
        <w:spacing w:line="240" w:lineRule="auto" w:before="1"/>
        <w:rPr>
          <w:rFonts w:ascii="宋体" w:hAnsi="宋体" w:cs="宋体" w:eastAsia="宋体" w:hint="default"/>
          <w:sz w:val="16"/>
          <w:szCs w:val="16"/>
        </w:rPr>
      </w:pPr>
    </w:p>
    <w:p>
      <w:pPr>
        <w:pStyle w:val="BodyText"/>
        <w:spacing w:line="264" w:lineRule="auto" w:before="31"/>
        <w:ind w:left="2494" w:right="751"/>
        <w:jc w:val="left"/>
        <w:rPr>
          <w:rFonts w:ascii="宋体" w:hAnsi="宋体" w:cs="宋体" w:eastAsia="宋体" w:hint="default"/>
        </w:rPr>
      </w:pPr>
      <w:r>
        <w:rPr>
          <w:rFonts w:ascii="宋体" w:hAnsi="宋体" w:cs="宋体" w:eastAsia="宋体" w:hint="default"/>
        </w:rPr>
        <w:t>高级工程师，1998</w:t>
      </w:r>
      <w:r>
        <w:rPr>
          <w:rFonts w:ascii="宋体" w:hAnsi="宋体" w:cs="宋体" w:eastAsia="宋体" w:hint="default"/>
          <w:spacing w:val="-35"/>
        </w:rPr>
        <w:t> </w:t>
      </w:r>
      <w:r>
        <w:rPr>
          <w:rFonts w:ascii="宋体" w:hAnsi="宋体" w:cs="宋体" w:eastAsia="宋体" w:hint="default"/>
        </w:rPr>
        <w:t>年毕业于北京邮电大学信号与信息处理专业，获得工学博士学位。范先生曾任中国移动通</w:t>
      </w:r>
      <w:r>
        <w:rPr>
          <w:rFonts w:ascii="宋体" w:hAnsi="宋体" w:cs="宋体" w:eastAsia="宋体" w:hint="default"/>
          <w:spacing w:val="-64"/>
        </w:rPr>
        <w:t> </w:t>
      </w:r>
      <w:r>
        <w:rPr>
          <w:rFonts w:ascii="宋体" w:hAnsi="宋体" w:cs="宋体" w:eastAsia="宋体" w:hint="default"/>
          <w:spacing w:val="-64"/>
        </w:rPr>
      </w:r>
      <w:r>
        <w:rPr>
          <w:rFonts w:ascii="宋体" w:hAnsi="宋体" w:cs="宋体" w:eastAsia="宋体" w:hint="default"/>
          <w:spacing w:val="-4"/>
        </w:rPr>
        <w:t>信集团北京有限公司董事兼副总经理、辛姆巴科有限公司董事长兼首席执行官、中国移动香港有限公司董事长、</w:t>
      </w:r>
      <w:r>
        <w:rPr>
          <w:rFonts w:ascii="宋体" w:hAnsi="宋体" w:cs="宋体" w:eastAsia="宋体" w:hint="default"/>
          <w:spacing w:val="-64"/>
        </w:rPr>
        <w:t> </w:t>
      </w:r>
      <w:r>
        <w:rPr>
          <w:rFonts w:ascii="宋体" w:hAnsi="宋体" w:cs="宋体" w:eastAsia="宋体" w:hint="default"/>
          <w:spacing w:val="-64"/>
        </w:rPr>
      </w:r>
      <w:r>
        <w:rPr>
          <w:rFonts w:ascii="宋体" w:hAnsi="宋体" w:cs="宋体" w:eastAsia="宋体" w:hint="default"/>
        </w:rPr>
        <w:t>中国移动国际有限公司董事长兼首席执行官、中国移动通信集团北京有限公司董事长兼总经理。范先生目前</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spacing w:val="-4"/>
        </w:rPr>
        <w:t>还担任中国联合网络通信集团有限公司副总经理，联通红筹公司高级副总裁，联通运营公司董事及高级副总裁，</w:t>
      </w:r>
      <w:r>
        <w:rPr>
          <w:rFonts w:ascii="宋体" w:hAnsi="宋体" w:cs="宋体" w:eastAsia="宋体" w:hint="default"/>
          <w:spacing w:val="-64"/>
        </w:rPr>
        <w:t> </w:t>
      </w:r>
      <w:r>
        <w:rPr>
          <w:rFonts w:ascii="宋体" w:hAnsi="宋体" w:cs="宋体" w:eastAsia="宋体" w:hint="default"/>
          <w:spacing w:val="-64"/>
        </w:rPr>
      </w:r>
      <w:r>
        <w:rPr>
          <w:rFonts w:ascii="宋体" w:hAnsi="宋体" w:cs="宋体" w:eastAsia="宋体" w:hint="default"/>
        </w:rPr>
        <w:t>自</w:t>
      </w:r>
      <w:r>
        <w:rPr>
          <w:rFonts w:ascii="宋体" w:hAnsi="宋体" w:cs="宋体" w:eastAsia="宋体" w:hint="default"/>
          <w:spacing w:val="-33"/>
        </w:rPr>
        <w:t> </w:t>
      </w:r>
      <w:r>
        <w:rPr>
          <w:rFonts w:ascii="宋体" w:hAnsi="宋体" w:cs="宋体" w:eastAsia="宋体" w:hint="default"/>
        </w:rPr>
        <w:t>2019</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1</w:t>
      </w:r>
      <w:r>
        <w:rPr>
          <w:rFonts w:ascii="宋体" w:hAnsi="宋体" w:cs="宋体" w:eastAsia="宋体" w:hint="default"/>
          <w:spacing w:val="-34"/>
        </w:rPr>
        <w:t> </w:t>
      </w:r>
      <w:r>
        <w:rPr>
          <w:rFonts w:ascii="宋体" w:hAnsi="宋体" w:cs="宋体" w:eastAsia="宋体" w:hint="default"/>
        </w:rPr>
        <w:t>月起任本公司高级副总裁。范先生具有丰富的管理及电信行业从业经验。</w:t>
      </w:r>
    </w:p>
    <w:p>
      <w:pPr>
        <w:spacing w:line="240" w:lineRule="auto" w:before="2"/>
        <w:rPr>
          <w:rFonts w:ascii="宋体" w:hAnsi="宋体" w:cs="宋体" w:eastAsia="宋体" w:hint="default"/>
          <w:sz w:val="17"/>
          <w:szCs w:val="17"/>
        </w:rPr>
      </w:pPr>
    </w:p>
    <w:p>
      <w:pPr>
        <w:pStyle w:val="Heading8"/>
        <w:spacing w:line="240" w:lineRule="auto"/>
        <w:ind w:right="764"/>
        <w:jc w:val="left"/>
        <w:rPr>
          <w:rFonts w:ascii="宋体" w:hAnsi="宋体" w:cs="宋体" w:eastAsia="宋体" w:hint="default"/>
        </w:rPr>
      </w:pPr>
      <w:r>
        <w:rPr>
          <w:rFonts w:ascii="宋体" w:hAnsi="宋体" w:cs="宋体" w:eastAsia="宋体" w:hint="default"/>
        </w:rPr>
        <w:t>姜爱华</w:t>
      </w:r>
    </w:p>
    <w:p>
      <w:pPr>
        <w:spacing w:line="240" w:lineRule="auto" w:before="1"/>
        <w:rPr>
          <w:rFonts w:ascii="宋体" w:hAnsi="宋体" w:cs="宋体" w:eastAsia="宋体" w:hint="default"/>
          <w:sz w:val="16"/>
          <w:szCs w:val="16"/>
        </w:rPr>
      </w:pPr>
    </w:p>
    <w:p>
      <w:pPr>
        <w:pStyle w:val="BodyText"/>
        <w:spacing w:line="264" w:lineRule="auto" w:before="31"/>
        <w:ind w:left="2494" w:right="846"/>
        <w:jc w:val="both"/>
        <w:rPr>
          <w:rFonts w:ascii="宋体" w:hAnsi="宋体" w:cs="宋体" w:eastAsia="宋体" w:hint="default"/>
        </w:rPr>
      </w:pPr>
      <w:r>
        <w:rPr>
          <w:rFonts w:ascii="宋体" w:hAnsi="宋体" w:cs="宋体" w:eastAsia="宋体" w:hint="default"/>
        </w:rPr>
        <w:t>高级会计师，1990 </w:t>
      </w:r>
      <w:r>
        <w:rPr>
          <w:rFonts w:ascii="宋体" w:hAnsi="宋体" w:cs="宋体" w:eastAsia="宋体" w:hint="default"/>
          <w:spacing w:val="2"/>
        </w:rPr>
        <w:t>年毕业于中国人民大学函授学院工业经济管理专业并获得经济学学士学位，2005 </w:t>
      </w:r>
      <w:r>
        <w:rPr>
          <w:rFonts w:ascii="宋体" w:hAnsi="宋体" w:cs="宋体" w:eastAsia="宋体" w:hint="default"/>
        </w:rPr>
        <w:t>年获得</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rPr>
        <w:t>厦门大学管理学院工商管理硕士学位。1995</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2</w:t>
      </w:r>
      <w:r>
        <w:rPr>
          <w:rFonts w:ascii="宋体" w:hAnsi="宋体" w:cs="宋体" w:eastAsia="宋体" w:hint="default"/>
          <w:spacing w:val="-27"/>
        </w:rPr>
        <w:t> </w:t>
      </w:r>
      <w:r>
        <w:rPr>
          <w:rFonts w:ascii="宋体" w:hAnsi="宋体" w:cs="宋体" w:eastAsia="宋体" w:hint="default"/>
        </w:rPr>
        <w:t>月至</w:t>
      </w:r>
      <w:r>
        <w:rPr>
          <w:rFonts w:ascii="宋体" w:hAnsi="宋体" w:cs="宋体" w:eastAsia="宋体" w:hint="default"/>
          <w:spacing w:val="-27"/>
        </w:rPr>
        <w:t> </w:t>
      </w:r>
      <w:r>
        <w:rPr>
          <w:rFonts w:ascii="宋体" w:hAnsi="宋体" w:cs="宋体" w:eastAsia="宋体" w:hint="default"/>
        </w:rPr>
        <w:t>1998</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9</w:t>
      </w:r>
      <w:r>
        <w:rPr>
          <w:rFonts w:ascii="宋体" w:hAnsi="宋体" w:cs="宋体" w:eastAsia="宋体" w:hint="default"/>
          <w:spacing w:val="-27"/>
        </w:rPr>
        <w:t> </w:t>
      </w:r>
      <w:r>
        <w:rPr>
          <w:rFonts w:ascii="宋体" w:hAnsi="宋体" w:cs="宋体" w:eastAsia="宋体" w:hint="default"/>
        </w:rPr>
        <w:t>月任邮电部电信科学研究院计财处副处长、</w:t>
      </w:r>
    </w:p>
    <w:p>
      <w:pPr>
        <w:pStyle w:val="BodyText"/>
        <w:spacing w:line="240" w:lineRule="auto" w:before="6"/>
        <w:ind w:left="2494" w:right="0"/>
        <w:jc w:val="both"/>
        <w:rPr>
          <w:rFonts w:ascii="宋体" w:hAnsi="宋体" w:cs="宋体" w:eastAsia="宋体" w:hint="default"/>
        </w:rPr>
      </w:pPr>
      <w:r>
        <w:rPr>
          <w:rFonts w:ascii="宋体" w:hAnsi="宋体" w:cs="宋体" w:eastAsia="宋体" w:hint="default"/>
        </w:rPr>
        <w:t>处长；1998</w:t>
      </w:r>
      <w:r>
        <w:rPr>
          <w:rFonts w:ascii="宋体" w:hAnsi="宋体" w:cs="宋体" w:eastAsia="宋体" w:hint="default"/>
          <w:spacing w:val="-38"/>
        </w:rPr>
        <w:t> </w:t>
      </w:r>
      <w:r>
        <w:rPr>
          <w:rFonts w:ascii="宋体" w:hAnsi="宋体" w:cs="宋体" w:eastAsia="宋体" w:hint="default"/>
        </w:rPr>
        <w:t>年</w:t>
      </w:r>
      <w:r>
        <w:rPr>
          <w:rFonts w:ascii="宋体" w:hAnsi="宋体" w:cs="宋体" w:eastAsia="宋体" w:hint="default"/>
          <w:spacing w:val="-38"/>
        </w:rPr>
        <w:t> </w:t>
      </w:r>
      <w:r>
        <w:rPr>
          <w:rFonts w:ascii="宋体" w:hAnsi="宋体" w:cs="宋体" w:eastAsia="宋体" w:hint="default"/>
        </w:rPr>
        <w:t>9</w:t>
      </w:r>
      <w:r>
        <w:rPr>
          <w:rFonts w:ascii="宋体" w:hAnsi="宋体" w:cs="宋体" w:eastAsia="宋体" w:hint="default"/>
          <w:spacing w:val="-38"/>
        </w:rPr>
        <w:t> </w:t>
      </w:r>
      <w:r>
        <w:rPr>
          <w:rFonts w:ascii="宋体" w:hAnsi="宋体" w:cs="宋体" w:eastAsia="宋体" w:hint="default"/>
        </w:rPr>
        <w:t>月至</w:t>
      </w:r>
      <w:r>
        <w:rPr>
          <w:rFonts w:ascii="宋体" w:hAnsi="宋体" w:cs="宋体" w:eastAsia="宋体" w:hint="default"/>
          <w:spacing w:val="-38"/>
        </w:rPr>
        <w:t> </w:t>
      </w:r>
      <w:r>
        <w:rPr>
          <w:rFonts w:ascii="宋体" w:hAnsi="宋体" w:cs="宋体" w:eastAsia="宋体" w:hint="default"/>
        </w:rPr>
        <w:t>2001</w:t>
      </w:r>
      <w:r>
        <w:rPr>
          <w:rFonts w:ascii="宋体" w:hAnsi="宋体" w:cs="宋体" w:eastAsia="宋体" w:hint="default"/>
          <w:spacing w:val="-38"/>
        </w:rPr>
        <w:t> </w:t>
      </w:r>
      <w:r>
        <w:rPr>
          <w:rFonts w:ascii="宋体" w:hAnsi="宋体" w:cs="宋体" w:eastAsia="宋体" w:hint="default"/>
        </w:rPr>
        <w:t>年</w:t>
      </w:r>
      <w:r>
        <w:rPr>
          <w:rFonts w:ascii="宋体" w:hAnsi="宋体" w:cs="宋体" w:eastAsia="宋体" w:hint="default"/>
          <w:spacing w:val="-38"/>
        </w:rPr>
        <w:t> </w:t>
      </w:r>
      <w:r>
        <w:rPr>
          <w:rFonts w:ascii="宋体" w:hAnsi="宋体" w:cs="宋体" w:eastAsia="宋体" w:hint="default"/>
        </w:rPr>
        <w:t>12</w:t>
      </w:r>
      <w:r>
        <w:rPr>
          <w:rFonts w:ascii="宋体" w:hAnsi="宋体" w:cs="宋体" w:eastAsia="宋体" w:hint="default"/>
          <w:spacing w:val="-38"/>
        </w:rPr>
        <w:t> </w:t>
      </w:r>
      <w:r>
        <w:rPr>
          <w:rFonts w:ascii="宋体" w:hAnsi="宋体" w:cs="宋体" w:eastAsia="宋体" w:hint="default"/>
        </w:rPr>
        <w:t>月任大唐电信科技股份有限公司财务部总经理、总裁助理兼财务部总经理，</w:t>
      </w:r>
    </w:p>
    <w:p>
      <w:pPr>
        <w:pStyle w:val="BodyText"/>
        <w:spacing w:line="240" w:lineRule="auto" w:before="24"/>
        <w:ind w:left="2494" w:right="0"/>
        <w:jc w:val="both"/>
        <w:rPr>
          <w:rFonts w:ascii="宋体" w:hAnsi="宋体" w:cs="宋体" w:eastAsia="宋体" w:hint="default"/>
        </w:rPr>
      </w:pPr>
      <w:r>
        <w:rPr>
          <w:rFonts w:ascii="宋体" w:hAnsi="宋体" w:cs="宋体" w:eastAsia="宋体" w:hint="default"/>
          <w:spacing w:val="4"/>
        </w:rPr>
        <w:t>并任大唐电信科技股份有限公司第一任董事；2001</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12</w:t>
      </w:r>
      <w:r>
        <w:rPr>
          <w:rFonts w:ascii="宋体" w:hAnsi="宋体" w:cs="宋体" w:eastAsia="宋体" w:hint="default"/>
          <w:spacing w:val="-27"/>
        </w:rPr>
        <w:t> </w:t>
      </w:r>
      <w:r>
        <w:rPr>
          <w:rFonts w:ascii="宋体" w:hAnsi="宋体" w:cs="宋体" w:eastAsia="宋体" w:hint="default"/>
          <w:spacing w:val="3"/>
        </w:rPr>
        <w:t>月至</w:t>
      </w:r>
      <w:r>
        <w:rPr>
          <w:rFonts w:ascii="宋体" w:hAnsi="宋体" w:cs="宋体" w:eastAsia="宋体" w:hint="default"/>
          <w:spacing w:val="-27"/>
        </w:rPr>
        <w:t> </w:t>
      </w:r>
      <w:r>
        <w:rPr>
          <w:rFonts w:ascii="宋体" w:hAnsi="宋体" w:cs="宋体" w:eastAsia="宋体" w:hint="default"/>
        </w:rPr>
        <w:t>2003</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12</w:t>
      </w:r>
      <w:r>
        <w:rPr>
          <w:rFonts w:ascii="宋体" w:hAnsi="宋体" w:cs="宋体" w:eastAsia="宋体" w:hint="default"/>
          <w:spacing w:val="-27"/>
        </w:rPr>
        <w:t> </w:t>
      </w:r>
      <w:r>
        <w:rPr>
          <w:rFonts w:ascii="宋体" w:hAnsi="宋体" w:cs="宋体" w:eastAsia="宋体" w:hint="default"/>
          <w:spacing w:val="6"/>
        </w:rPr>
        <w:t>月任北京首信股份有限公司经营</w:t>
      </w:r>
      <w:r>
        <w:rPr>
          <w:rFonts w:ascii="宋体" w:hAnsi="宋体" w:cs="宋体" w:eastAsia="宋体" w:hint="default"/>
        </w:rPr>
      </w:r>
    </w:p>
    <w:p>
      <w:pPr>
        <w:pStyle w:val="BodyText"/>
        <w:spacing w:line="240" w:lineRule="auto" w:before="24"/>
        <w:ind w:left="2494" w:right="0"/>
        <w:jc w:val="both"/>
        <w:rPr>
          <w:rFonts w:ascii="宋体" w:hAnsi="宋体" w:cs="宋体" w:eastAsia="宋体" w:hint="default"/>
        </w:rPr>
      </w:pPr>
      <w:r>
        <w:rPr>
          <w:rFonts w:ascii="宋体" w:hAnsi="宋体" w:cs="宋体" w:eastAsia="宋体" w:hint="default"/>
          <w:spacing w:val="2"/>
          <w:w w:val="105"/>
        </w:rPr>
        <w:t>财务部总经理；2003</w:t>
      </w:r>
      <w:r>
        <w:rPr>
          <w:rFonts w:ascii="宋体" w:hAnsi="宋体" w:cs="宋体" w:eastAsia="宋体" w:hint="default"/>
          <w:spacing w:val="-71"/>
          <w:w w:val="105"/>
        </w:rPr>
        <w:t> </w:t>
      </w:r>
      <w:r>
        <w:rPr>
          <w:rFonts w:ascii="宋体" w:hAnsi="宋体" w:cs="宋体" w:eastAsia="宋体" w:hint="default"/>
          <w:w w:val="105"/>
        </w:rPr>
        <w:t>年</w:t>
      </w:r>
      <w:r>
        <w:rPr>
          <w:rFonts w:ascii="宋体" w:hAnsi="宋体" w:cs="宋体" w:eastAsia="宋体" w:hint="default"/>
          <w:spacing w:val="-71"/>
          <w:w w:val="105"/>
        </w:rPr>
        <w:t> </w:t>
      </w:r>
      <w:r>
        <w:rPr>
          <w:rFonts w:ascii="宋体" w:hAnsi="宋体" w:cs="宋体" w:eastAsia="宋体" w:hint="default"/>
          <w:w w:val="105"/>
        </w:rPr>
        <w:t>12</w:t>
      </w:r>
      <w:r>
        <w:rPr>
          <w:rFonts w:ascii="宋体" w:hAnsi="宋体" w:cs="宋体" w:eastAsia="宋体" w:hint="default"/>
          <w:spacing w:val="-71"/>
          <w:w w:val="105"/>
        </w:rPr>
        <w:t> </w:t>
      </w:r>
      <w:r>
        <w:rPr>
          <w:rFonts w:ascii="宋体" w:hAnsi="宋体" w:cs="宋体" w:eastAsia="宋体" w:hint="default"/>
          <w:spacing w:val="3"/>
          <w:w w:val="105"/>
        </w:rPr>
        <w:t>月至</w:t>
      </w:r>
      <w:r>
        <w:rPr>
          <w:rFonts w:ascii="宋体" w:hAnsi="宋体" w:cs="宋体" w:eastAsia="宋体" w:hint="default"/>
          <w:spacing w:val="-71"/>
          <w:w w:val="105"/>
        </w:rPr>
        <w:t> </w:t>
      </w:r>
      <w:r>
        <w:rPr>
          <w:rFonts w:ascii="宋体" w:hAnsi="宋体" w:cs="宋体" w:eastAsia="宋体" w:hint="default"/>
          <w:w w:val="105"/>
        </w:rPr>
        <w:t>2004</w:t>
      </w:r>
      <w:r>
        <w:rPr>
          <w:rFonts w:ascii="宋体" w:hAnsi="宋体" w:cs="宋体" w:eastAsia="宋体" w:hint="default"/>
          <w:spacing w:val="-71"/>
          <w:w w:val="105"/>
        </w:rPr>
        <w:t> </w:t>
      </w:r>
      <w:r>
        <w:rPr>
          <w:rFonts w:ascii="宋体" w:hAnsi="宋体" w:cs="宋体" w:eastAsia="宋体" w:hint="default"/>
          <w:w w:val="105"/>
        </w:rPr>
        <w:t>年</w:t>
      </w:r>
      <w:r>
        <w:rPr>
          <w:rFonts w:ascii="宋体" w:hAnsi="宋体" w:cs="宋体" w:eastAsia="宋体" w:hint="default"/>
          <w:spacing w:val="-71"/>
          <w:w w:val="105"/>
        </w:rPr>
        <w:t> </w:t>
      </w:r>
      <w:r>
        <w:rPr>
          <w:rFonts w:ascii="宋体" w:hAnsi="宋体" w:cs="宋体" w:eastAsia="宋体" w:hint="default"/>
          <w:w w:val="105"/>
        </w:rPr>
        <w:t>7</w:t>
      </w:r>
      <w:r>
        <w:rPr>
          <w:rFonts w:ascii="宋体" w:hAnsi="宋体" w:cs="宋体" w:eastAsia="宋体" w:hint="default"/>
          <w:spacing w:val="-71"/>
          <w:w w:val="105"/>
        </w:rPr>
        <w:t> </w:t>
      </w:r>
      <w:r>
        <w:rPr>
          <w:rFonts w:ascii="宋体" w:hAnsi="宋体" w:cs="宋体" w:eastAsia="宋体" w:hint="default"/>
          <w:spacing w:val="5"/>
          <w:w w:val="105"/>
        </w:rPr>
        <w:t>月任中国网通集团国际通信有限公司总裁助理；2004</w:t>
      </w:r>
      <w:r>
        <w:rPr>
          <w:rFonts w:ascii="宋体" w:hAnsi="宋体" w:cs="宋体" w:eastAsia="宋体" w:hint="default"/>
          <w:spacing w:val="-71"/>
          <w:w w:val="105"/>
        </w:rPr>
        <w:t> </w:t>
      </w:r>
      <w:r>
        <w:rPr>
          <w:rFonts w:ascii="宋体" w:hAnsi="宋体" w:cs="宋体" w:eastAsia="宋体" w:hint="default"/>
          <w:w w:val="105"/>
        </w:rPr>
        <w:t>年</w:t>
      </w:r>
      <w:r>
        <w:rPr>
          <w:rFonts w:ascii="宋体" w:hAnsi="宋体" w:cs="宋体" w:eastAsia="宋体" w:hint="default"/>
          <w:spacing w:val="-71"/>
          <w:w w:val="105"/>
        </w:rPr>
        <w:t> </w:t>
      </w:r>
      <w:r>
        <w:rPr>
          <w:rFonts w:ascii="宋体" w:hAnsi="宋体" w:cs="宋体" w:eastAsia="宋体" w:hint="default"/>
          <w:w w:val="105"/>
        </w:rPr>
        <w:t>7</w:t>
      </w:r>
      <w:r>
        <w:rPr>
          <w:rFonts w:ascii="宋体" w:hAnsi="宋体" w:cs="宋体" w:eastAsia="宋体" w:hint="default"/>
          <w:spacing w:val="-71"/>
          <w:w w:val="105"/>
        </w:rPr>
        <w:t> </w:t>
      </w:r>
      <w:r>
        <w:rPr>
          <w:rFonts w:ascii="宋体" w:hAnsi="宋体" w:cs="宋体" w:eastAsia="宋体" w:hint="default"/>
          <w:spacing w:val="7"/>
          <w:w w:val="105"/>
        </w:rPr>
        <w:t>月至</w:t>
      </w:r>
      <w:r>
        <w:rPr>
          <w:rFonts w:ascii="宋体" w:hAnsi="宋体" w:cs="宋体" w:eastAsia="宋体" w:hint="default"/>
          <w:w w:val="105"/>
        </w:rPr>
      </w:r>
    </w:p>
    <w:p>
      <w:pPr>
        <w:pStyle w:val="BodyText"/>
        <w:spacing w:line="264" w:lineRule="auto" w:before="24"/>
        <w:ind w:left="2494" w:right="845"/>
        <w:jc w:val="both"/>
        <w:rPr>
          <w:rFonts w:ascii="宋体" w:hAnsi="宋体" w:cs="宋体" w:eastAsia="宋体" w:hint="default"/>
        </w:rPr>
      </w:pPr>
      <w:r>
        <w:rPr>
          <w:rFonts w:ascii="宋体" w:hAnsi="宋体" w:cs="宋体" w:eastAsia="宋体" w:hint="default"/>
          <w:w w:val="105"/>
        </w:rPr>
        <w:t>2007</w:t>
      </w:r>
      <w:r>
        <w:rPr>
          <w:rFonts w:ascii="宋体" w:hAnsi="宋体" w:cs="宋体" w:eastAsia="宋体" w:hint="default"/>
          <w:spacing w:val="-70"/>
          <w:w w:val="105"/>
        </w:rPr>
        <w:t> </w:t>
      </w:r>
      <w:r>
        <w:rPr>
          <w:rFonts w:ascii="宋体" w:hAnsi="宋体" w:cs="宋体" w:eastAsia="宋体" w:hint="default"/>
          <w:w w:val="105"/>
        </w:rPr>
        <w:t>年</w:t>
      </w:r>
      <w:r>
        <w:rPr>
          <w:rFonts w:ascii="宋体" w:hAnsi="宋体" w:cs="宋体" w:eastAsia="宋体" w:hint="default"/>
          <w:spacing w:val="-70"/>
          <w:w w:val="105"/>
        </w:rPr>
        <w:t> </w:t>
      </w:r>
      <w:r>
        <w:rPr>
          <w:rFonts w:ascii="宋体" w:hAnsi="宋体" w:cs="宋体" w:eastAsia="宋体" w:hint="default"/>
          <w:w w:val="105"/>
        </w:rPr>
        <w:t>8</w:t>
      </w:r>
      <w:r>
        <w:rPr>
          <w:rFonts w:ascii="宋体" w:hAnsi="宋体" w:cs="宋体" w:eastAsia="宋体" w:hint="default"/>
          <w:spacing w:val="-70"/>
          <w:w w:val="105"/>
        </w:rPr>
        <w:t> </w:t>
      </w:r>
      <w:r>
        <w:rPr>
          <w:rFonts w:ascii="宋体" w:hAnsi="宋体" w:cs="宋体" w:eastAsia="宋体" w:hint="default"/>
          <w:spacing w:val="2"/>
          <w:w w:val="105"/>
        </w:rPr>
        <w:t>月任中国网络通信集团公司（“网通集团”）财务部副总经理；2007</w:t>
      </w:r>
      <w:r>
        <w:rPr>
          <w:rFonts w:ascii="宋体" w:hAnsi="宋体" w:cs="宋体" w:eastAsia="宋体" w:hint="default"/>
          <w:spacing w:val="-70"/>
          <w:w w:val="105"/>
        </w:rPr>
        <w:t> </w:t>
      </w:r>
      <w:r>
        <w:rPr>
          <w:rFonts w:ascii="宋体" w:hAnsi="宋体" w:cs="宋体" w:eastAsia="宋体" w:hint="default"/>
          <w:w w:val="105"/>
        </w:rPr>
        <w:t>年</w:t>
      </w:r>
      <w:r>
        <w:rPr>
          <w:rFonts w:ascii="宋体" w:hAnsi="宋体" w:cs="宋体" w:eastAsia="宋体" w:hint="default"/>
          <w:spacing w:val="-70"/>
          <w:w w:val="105"/>
        </w:rPr>
        <w:t> </w:t>
      </w:r>
      <w:r>
        <w:rPr>
          <w:rFonts w:ascii="宋体" w:hAnsi="宋体" w:cs="宋体" w:eastAsia="宋体" w:hint="default"/>
          <w:w w:val="105"/>
        </w:rPr>
        <w:t>8</w:t>
      </w:r>
      <w:r>
        <w:rPr>
          <w:rFonts w:ascii="宋体" w:hAnsi="宋体" w:cs="宋体" w:eastAsia="宋体" w:hint="default"/>
          <w:spacing w:val="-70"/>
          <w:w w:val="105"/>
        </w:rPr>
        <w:t> </w:t>
      </w:r>
      <w:r>
        <w:rPr>
          <w:rFonts w:ascii="宋体" w:hAnsi="宋体" w:cs="宋体" w:eastAsia="宋体" w:hint="default"/>
          <w:w w:val="105"/>
        </w:rPr>
        <w:t>月至</w:t>
      </w:r>
      <w:r>
        <w:rPr>
          <w:rFonts w:ascii="宋体" w:hAnsi="宋体" w:cs="宋体" w:eastAsia="宋体" w:hint="default"/>
          <w:spacing w:val="-70"/>
          <w:w w:val="105"/>
        </w:rPr>
        <w:t> </w:t>
      </w:r>
      <w:r>
        <w:rPr>
          <w:rFonts w:ascii="宋体" w:hAnsi="宋体" w:cs="宋体" w:eastAsia="宋体" w:hint="default"/>
          <w:w w:val="105"/>
        </w:rPr>
        <w:t>2010</w:t>
      </w:r>
      <w:r>
        <w:rPr>
          <w:rFonts w:ascii="宋体" w:hAnsi="宋体" w:cs="宋体" w:eastAsia="宋体" w:hint="default"/>
          <w:spacing w:val="-70"/>
          <w:w w:val="105"/>
        </w:rPr>
        <w:t> </w:t>
      </w:r>
      <w:r>
        <w:rPr>
          <w:rFonts w:ascii="宋体" w:hAnsi="宋体" w:cs="宋体" w:eastAsia="宋体" w:hint="default"/>
          <w:w w:val="105"/>
        </w:rPr>
        <w:t>年</w:t>
      </w:r>
      <w:r>
        <w:rPr>
          <w:rFonts w:ascii="宋体" w:hAnsi="宋体" w:cs="宋体" w:eastAsia="宋体" w:hint="default"/>
          <w:spacing w:val="-70"/>
          <w:w w:val="105"/>
        </w:rPr>
        <w:t> </w:t>
      </w:r>
      <w:r>
        <w:rPr>
          <w:rFonts w:ascii="宋体" w:hAnsi="宋体" w:cs="宋体" w:eastAsia="宋体" w:hint="default"/>
          <w:w w:val="105"/>
        </w:rPr>
        <w:t>3</w:t>
      </w:r>
      <w:r>
        <w:rPr>
          <w:rFonts w:ascii="宋体" w:hAnsi="宋体" w:cs="宋体" w:eastAsia="宋体" w:hint="default"/>
          <w:spacing w:val="-70"/>
          <w:w w:val="105"/>
        </w:rPr>
        <w:t> </w:t>
      </w:r>
      <w:r>
        <w:rPr>
          <w:rFonts w:ascii="宋体" w:hAnsi="宋体" w:cs="宋体" w:eastAsia="宋体" w:hint="default"/>
          <w:spacing w:val="4"/>
          <w:w w:val="105"/>
        </w:rPr>
        <w:t>月历任</w:t>
      </w:r>
      <w:r>
        <w:rPr>
          <w:rFonts w:ascii="宋体" w:hAnsi="宋体" w:cs="宋体" w:eastAsia="宋体" w:hint="default"/>
          <w:spacing w:val="4"/>
        </w:rPr>
        <w:t> </w:t>
      </w:r>
      <w:r>
        <w:rPr>
          <w:rFonts w:ascii="宋体" w:hAnsi="宋体" w:cs="宋体" w:eastAsia="宋体" w:hint="default"/>
        </w:rPr>
        <w:t>网通集团财务共享中心总经理、中国联合网络通信有限公司财务共享中心总经理；2010</w:t>
      </w:r>
      <w:r>
        <w:rPr>
          <w:rFonts w:ascii="宋体" w:hAnsi="宋体" w:cs="宋体" w:eastAsia="宋体" w:hint="default"/>
          <w:spacing w:val="-32"/>
        </w:rPr>
        <w:t> </w:t>
      </w:r>
      <w:r>
        <w:rPr>
          <w:rFonts w:ascii="宋体" w:hAnsi="宋体" w:cs="宋体" w:eastAsia="宋体" w:hint="default"/>
        </w:rPr>
        <w:t>年</w:t>
      </w:r>
      <w:r>
        <w:rPr>
          <w:rFonts w:ascii="宋体" w:hAnsi="宋体" w:cs="宋体" w:eastAsia="宋体" w:hint="default"/>
          <w:spacing w:val="-32"/>
        </w:rPr>
        <w:t> </w:t>
      </w:r>
      <w:r>
        <w:rPr>
          <w:rFonts w:ascii="宋体" w:hAnsi="宋体" w:cs="宋体" w:eastAsia="宋体" w:hint="default"/>
        </w:rPr>
        <w:t>3</w:t>
      </w:r>
      <w:r>
        <w:rPr>
          <w:rFonts w:ascii="宋体" w:hAnsi="宋体" w:cs="宋体" w:eastAsia="宋体" w:hint="default"/>
          <w:spacing w:val="-32"/>
        </w:rPr>
        <w:t> </w:t>
      </w:r>
      <w:r>
        <w:rPr>
          <w:rFonts w:ascii="宋体" w:hAnsi="宋体" w:cs="宋体" w:eastAsia="宋体" w:hint="default"/>
        </w:rPr>
        <w:t>月起至今任中国</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联合网络通信有限公司财务部副总经理，自</w:t>
      </w:r>
      <w:r>
        <w:rPr>
          <w:rFonts w:ascii="宋体" w:hAnsi="宋体" w:cs="宋体" w:eastAsia="宋体" w:hint="default"/>
          <w:spacing w:val="-24"/>
        </w:rPr>
        <w:t> </w:t>
      </w:r>
      <w:r>
        <w:rPr>
          <w:rFonts w:ascii="宋体" w:hAnsi="宋体" w:cs="宋体" w:eastAsia="宋体" w:hint="default"/>
        </w:rPr>
        <w:t>2017</w:t>
      </w:r>
      <w:r>
        <w:rPr>
          <w:rFonts w:ascii="宋体" w:hAnsi="宋体" w:cs="宋体" w:eastAsia="宋体" w:hint="default"/>
          <w:spacing w:val="-24"/>
        </w:rPr>
        <w:t> </w:t>
      </w:r>
      <w:r>
        <w:rPr>
          <w:rFonts w:ascii="宋体" w:hAnsi="宋体" w:cs="宋体" w:eastAsia="宋体" w:hint="default"/>
        </w:rPr>
        <w:t>年</w:t>
      </w:r>
      <w:r>
        <w:rPr>
          <w:rFonts w:ascii="宋体" w:hAnsi="宋体" w:cs="宋体" w:eastAsia="宋体" w:hint="default"/>
          <w:spacing w:val="-24"/>
        </w:rPr>
        <w:t> </w:t>
      </w:r>
      <w:r>
        <w:rPr>
          <w:rFonts w:ascii="宋体" w:hAnsi="宋体" w:cs="宋体" w:eastAsia="宋体" w:hint="default"/>
        </w:rPr>
        <w:t>10</w:t>
      </w:r>
      <w:r>
        <w:rPr>
          <w:rFonts w:ascii="宋体" w:hAnsi="宋体" w:cs="宋体" w:eastAsia="宋体" w:hint="default"/>
          <w:spacing w:val="-24"/>
        </w:rPr>
        <w:t> </w:t>
      </w:r>
      <w:r>
        <w:rPr>
          <w:rFonts w:ascii="宋体" w:hAnsi="宋体" w:cs="宋体" w:eastAsia="宋体" w:hint="default"/>
        </w:rPr>
        <w:t>月起担任本公司财务负责人。姜爱华女士长期在电信</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w w:val="105"/>
        </w:rPr>
        <w:t>行业工作，具有丰富的电信行业管理经验和财务管理经验。</w:t>
      </w:r>
    </w:p>
    <w:p>
      <w:pPr>
        <w:spacing w:after="0" w:line="264" w:lineRule="auto"/>
        <w:jc w:val="both"/>
        <w:rPr>
          <w:rFonts w:ascii="宋体" w:hAnsi="宋体" w:cs="宋体" w:eastAsia="宋体" w:hint="default"/>
        </w:rPr>
        <w:sectPr>
          <w:headerReference w:type="default" r:id="rId193"/>
          <w:headerReference w:type="even" r:id="rId194"/>
          <w:pgSz w:w="11910" w:h="16160"/>
          <w:pgMar w:header="0" w:footer="298" w:top="2060" w:bottom="480" w:left="0" w:right="0"/>
        </w:sectPr>
      </w:pPr>
    </w:p>
    <w:p>
      <w:pPr>
        <w:spacing w:line="240" w:lineRule="auto" w:before="0"/>
        <w:rPr>
          <w:rFonts w:ascii="宋体" w:hAnsi="宋体" w:cs="宋体" w:eastAsia="宋体" w:hint="default"/>
          <w:sz w:val="20"/>
          <w:szCs w:val="20"/>
        </w:rPr>
      </w:pPr>
      <w:r>
        <w:rPr/>
        <w:pict>
          <v:group style="position:absolute;margin-left:.000007pt;margin-top:627.43457pt;width:34.75pt;height:129.3pt;mso-position-horizontal-relative:page;mso-position-vertical-relative:page;z-index:6400" coordorigin="0,12549" coordsize="695,2586">
            <v:group style="position:absolute;left:0;top:13393;width:695;height:1742" coordorigin="0,13393" coordsize="695,1742">
              <v:shape style="position:absolute;left:0;top:13393;width:695;height:1742" coordorigin="0,13393" coordsize="695,1742" path="m0,15134l0,13393,694,13393,0,15134xe" filled="true" fillcolor="#8e9090" stroked="false">
                <v:path arrowok="t"/>
                <v:fill type="solid"/>
              </v:shape>
            </v:group>
            <v:group style="position:absolute;left:0;top:12549;width:695;height:1742" coordorigin="0,12549" coordsize="695,1742">
              <v:shape style="position:absolute;left:0;top:12549;width:695;height:1742" coordorigin="0,12549" coordsize="695,1742" path="m0,14290l0,12549,694,12549,0,14290xe" filled="true" fillcolor="#d7000f" stroked="false">
                <v:path arrowok="t"/>
                <v:fill type="solid"/>
              </v:shape>
            </v:group>
            <w10:wrap type="none"/>
          </v:group>
        </w:pict>
      </w:r>
    </w:p>
    <w:p>
      <w:pPr>
        <w:spacing w:line="240" w:lineRule="auto" w:before="1"/>
        <w:rPr>
          <w:rFonts w:ascii="宋体" w:hAnsi="宋体" w:cs="宋体" w:eastAsia="宋体" w:hint="default"/>
          <w:sz w:val="28"/>
          <w:szCs w:val="28"/>
        </w:rPr>
      </w:pPr>
    </w:p>
    <w:p>
      <w:pPr>
        <w:pStyle w:val="BodyText"/>
        <w:spacing w:line="240" w:lineRule="auto" w:before="31"/>
        <w:ind w:left="1190" w:right="764"/>
        <w:jc w:val="left"/>
        <w:rPr>
          <w:rFonts w:ascii="宋体" w:hAnsi="宋体" w:cs="宋体" w:eastAsia="宋体" w:hint="default"/>
        </w:rPr>
      </w:pPr>
      <w:r>
        <w:rPr>
          <w:rFonts w:ascii="宋体" w:hAnsi="宋体" w:cs="宋体" w:eastAsia="宋体" w:hint="default"/>
          <w:w w:val="95"/>
        </w:rPr>
        <w:t>2. </w:t>
      </w:r>
      <w:r>
        <w:rPr>
          <w:rFonts w:ascii="宋体" w:hAnsi="宋体" w:cs="宋体" w:eastAsia="宋体" w:hint="default"/>
          <w:spacing w:val="50"/>
          <w:w w:val="95"/>
        </w:rPr>
        <w:t> </w:t>
      </w:r>
      <w:r>
        <w:rPr>
          <w:rFonts w:ascii="宋体" w:hAnsi="宋体" w:cs="宋体" w:eastAsia="宋体" w:hint="default"/>
          <w:w w:val="95"/>
        </w:rPr>
        <w:t>报告期内，公司离任董事、监事和高级管理人员：</w:t>
      </w:r>
    </w:p>
    <w:p>
      <w:pPr>
        <w:spacing w:line="240" w:lineRule="auto" w:before="11"/>
        <w:rPr>
          <w:rFonts w:ascii="宋体" w:hAnsi="宋体" w:cs="宋体" w:eastAsia="宋体" w:hint="default"/>
          <w:sz w:val="22"/>
          <w:szCs w:val="22"/>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陆益民</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1"/>
        <w:jc w:val="both"/>
        <w:rPr>
          <w:rFonts w:ascii="宋体" w:hAnsi="宋体" w:cs="宋体" w:eastAsia="宋体" w:hint="default"/>
        </w:rPr>
      </w:pPr>
      <w:r>
        <w:rPr>
          <w:rFonts w:ascii="宋体" w:hAnsi="宋体" w:cs="宋体" w:eastAsia="宋体" w:hint="default"/>
        </w:rPr>
        <w:t>研究员级高级工程师，1985</w:t>
      </w:r>
      <w:r>
        <w:rPr>
          <w:rFonts w:ascii="宋体" w:hAnsi="宋体" w:cs="宋体" w:eastAsia="宋体" w:hint="default"/>
          <w:spacing w:val="-15"/>
        </w:rPr>
        <w:t> </w:t>
      </w:r>
      <w:r>
        <w:rPr>
          <w:rFonts w:ascii="宋体" w:hAnsi="宋体" w:cs="宋体" w:eastAsia="宋体" w:hint="default"/>
        </w:rPr>
        <w:t>年毕业于上海交通大学计算机科学技术专业并取得工学学士学位，2001</w:t>
      </w:r>
      <w:r>
        <w:rPr>
          <w:rFonts w:ascii="宋体" w:hAnsi="宋体" w:cs="宋体" w:eastAsia="宋体" w:hint="default"/>
          <w:spacing w:val="-15"/>
        </w:rPr>
        <w:t> </w:t>
      </w:r>
      <w:r>
        <w:rPr>
          <w:rFonts w:ascii="宋体" w:hAnsi="宋体" w:cs="宋体" w:eastAsia="宋体" w:hint="default"/>
        </w:rPr>
        <w:t>年</w:t>
      </w:r>
      <w:r>
        <w:rPr>
          <w:rFonts w:ascii="宋体" w:hAnsi="宋体" w:cs="宋体" w:eastAsia="宋体" w:hint="default"/>
          <w:spacing w:val="-15"/>
        </w:rPr>
        <w:t> </w:t>
      </w:r>
      <w:r>
        <w:rPr>
          <w:rFonts w:ascii="宋体" w:hAnsi="宋体" w:cs="宋体" w:eastAsia="宋体" w:hint="default"/>
        </w:rPr>
        <w:t>6</w:t>
      </w:r>
      <w:r>
        <w:rPr>
          <w:rFonts w:ascii="宋体" w:hAnsi="宋体" w:cs="宋体" w:eastAsia="宋体" w:hint="default"/>
          <w:spacing w:val="-15"/>
        </w:rPr>
        <w:t> </w:t>
      </w:r>
      <w:r>
        <w:rPr>
          <w:rFonts w:ascii="宋体" w:hAnsi="宋体" w:cs="宋体" w:eastAsia="宋体" w:hint="default"/>
        </w:rPr>
        <w:t>月</w:t>
      </w:r>
      <w:r>
        <w:rPr>
          <w:rFonts w:ascii="宋体" w:hAnsi="宋体" w:cs="宋体" w:eastAsia="宋体" w:hint="default"/>
          <w:spacing w:val="-58"/>
        </w:rPr>
        <w:t> </w:t>
      </w:r>
      <w:r>
        <w:rPr>
          <w:rFonts w:ascii="宋体" w:hAnsi="宋体" w:cs="宋体" w:eastAsia="宋体" w:hint="default"/>
          <w:spacing w:val="-58"/>
        </w:rPr>
      </w:r>
      <w:r>
        <w:rPr>
          <w:rFonts w:ascii="宋体" w:hAnsi="宋体" w:cs="宋体" w:eastAsia="宋体" w:hint="default"/>
        </w:rPr>
        <w:t>取得美国哈佛大学肯尼迪政府学院公共管理专业硕士学位。陆先生曾在中共中央办公厅秘书局工作，自</w:t>
      </w:r>
      <w:r>
        <w:rPr>
          <w:rFonts w:ascii="宋体" w:hAnsi="宋体" w:cs="宋体" w:eastAsia="宋体" w:hint="default"/>
          <w:spacing w:val="-24"/>
        </w:rPr>
        <w:t> </w:t>
      </w:r>
      <w:r>
        <w:rPr>
          <w:rFonts w:ascii="宋体" w:hAnsi="宋体" w:cs="宋体" w:eastAsia="宋体" w:hint="default"/>
        </w:rPr>
        <w:t>1992</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spacing w:val="2"/>
        </w:rPr>
        <w:t>年起先后担任信息处理室副主任及主任，2001 </w:t>
      </w:r>
      <w:r>
        <w:rPr>
          <w:rFonts w:ascii="宋体" w:hAnsi="宋体" w:cs="宋体" w:eastAsia="宋体" w:hint="default"/>
        </w:rPr>
        <w:t>年起担任专职副局级秘书，2005 </w:t>
      </w:r>
      <w:r>
        <w:rPr>
          <w:rFonts w:ascii="宋体" w:hAnsi="宋体" w:cs="宋体" w:eastAsia="宋体" w:hint="default"/>
          <w:spacing w:val="2"/>
        </w:rPr>
        <w:t>年起担任专职正局级秘书。</w:t>
      </w:r>
      <w:r>
        <w:rPr>
          <w:rFonts w:ascii="宋体" w:hAnsi="宋体" w:cs="宋体" w:eastAsia="宋体" w:hint="default"/>
          <w:spacing w:val="-70"/>
        </w:rPr>
        <w:t> </w:t>
      </w:r>
      <w:r>
        <w:rPr>
          <w:rFonts w:ascii="宋体" w:hAnsi="宋体" w:cs="宋体" w:eastAsia="宋体" w:hint="default"/>
          <w:spacing w:val="-70"/>
        </w:rPr>
      </w:r>
      <w:r>
        <w:rPr>
          <w:rFonts w:ascii="宋体" w:hAnsi="宋体" w:cs="宋体" w:eastAsia="宋体" w:hint="default"/>
        </w:rPr>
        <w:t>陆先生曾担任中国网络通信集团公司（“网通集团”）高级管理职务，香港电讯盈科有限公司非执行董事，</w:t>
      </w:r>
      <w:r>
        <w:rPr>
          <w:rFonts w:ascii="宋体" w:hAnsi="宋体" w:cs="宋体" w:eastAsia="宋体" w:hint="default"/>
          <w:spacing w:val="-10"/>
        </w:rPr>
        <w:t> </w:t>
      </w:r>
      <w:r>
        <w:rPr>
          <w:rFonts w:ascii="宋体" w:hAnsi="宋体" w:cs="宋体" w:eastAsia="宋体" w:hint="default"/>
          <w:spacing w:val="-10"/>
        </w:rPr>
      </w:r>
      <w:r>
        <w:rPr>
          <w:rFonts w:ascii="宋体" w:hAnsi="宋体" w:cs="宋体" w:eastAsia="宋体" w:hint="default"/>
        </w:rPr>
        <w:t>香港电讯盈科有限公司董事会副主席，香港电讯管理有限公司（作为香港电讯信托的托管人—经理）非执行</w:t>
      </w:r>
      <w:r>
        <w:rPr>
          <w:rFonts w:ascii="宋体" w:hAnsi="宋体" w:cs="宋体" w:eastAsia="宋体" w:hint="default"/>
          <w:spacing w:val="-2"/>
        </w:rPr>
        <w:t> </w:t>
      </w:r>
      <w:r>
        <w:rPr>
          <w:rFonts w:ascii="宋体" w:hAnsi="宋体" w:cs="宋体" w:eastAsia="宋体" w:hint="default"/>
          <w:spacing w:val="-2"/>
        </w:rPr>
      </w:r>
      <w:r>
        <w:rPr>
          <w:rFonts w:ascii="宋体" w:hAnsi="宋体" w:cs="宋体" w:eastAsia="宋体" w:hint="default"/>
        </w:rPr>
        <w:t>董事，联通集团副董事长及总经理，联通红筹公司执行董事及总裁，联通运营公司董事及总裁。现担任中国</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通用技术（集团）控股有限责任公司董事、总经理。陆先生自</w:t>
      </w:r>
      <w:r>
        <w:rPr>
          <w:rFonts w:ascii="宋体" w:hAnsi="宋体" w:cs="宋体" w:eastAsia="宋体" w:hint="default"/>
          <w:spacing w:val="-28"/>
        </w:rPr>
        <w:t> </w:t>
      </w:r>
      <w:r>
        <w:rPr>
          <w:rFonts w:ascii="宋体" w:hAnsi="宋体" w:cs="宋体" w:eastAsia="宋体" w:hint="default"/>
        </w:rPr>
        <w:t>2009</w:t>
      </w:r>
      <w:r>
        <w:rPr>
          <w:rFonts w:ascii="宋体" w:hAnsi="宋体" w:cs="宋体" w:eastAsia="宋体" w:hint="default"/>
          <w:spacing w:val="-28"/>
        </w:rPr>
        <w:t> </w:t>
      </w:r>
      <w:r>
        <w:rPr>
          <w:rFonts w:ascii="宋体" w:hAnsi="宋体" w:cs="宋体" w:eastAsia="宋体" w:hint="default"/>
        </w:rPr>
        <w:t>年</w:t>
      </w:r>
      <w:r>
        <w:rPr>
          <w:rFonts w:ascii="宋体" w:hAnsi="宋体" w:cs="宋体" w:eastAsia="宋体" w:hint="default"/>
          <w:spacing w:val="-28"/>
        </w:rPr>
        <w:t> </w:t>
      </w:r>
      <w:r>
        <w:rPr>
          <w:rFonts w:ascii="宋体" w:hAnsi="宋体" w:cs="宋体" w:eastAsia="宋体" w:hint="default"/>
        </w:rPr>
        <w:t>3</w:t>
      </w:r>
      <w:r>
        <w:rPr>
          <w:rFonts w:ascii="宋体" w:hAnsi="宋体" w:cs="宋体" w:eastAsia="宋体" w:hint="default"/>
          <w:spacing w:val="-28"/>
        </w:rPr>
        <w:t> </w:t>
      </w:r>
      <w:r>
        <w:rPr>
          <w:rFonts w:ascii="宋体" w:hAnsi="宋体" w:cs="宋体" w:eastAsia="宋体" w:hint="default"/>
        </w:rPr>
        <w:t>月起任本公司总裁，2009</w:t>
      </w:r>
      <w:r>
        <w:rPr>
          <w:rFonts w:ascii="宋体" w:hAnsi="宋体" w:cs="宋体" w:eastAsia="宋体" w:hint="default"/>
          <w:spacing w:val="-28"/>
        </w:rPr>
        <w:t> </w:t>
      </w:r>
      <w:r>
        <w:rPr>
          <w:rFonts w:ascii="宋体" w:hAnsi="宋体" w:cs="宋体" w:eastAsia="宋体" w:hint="default"/>
        </w:rPr>
        <w:t>年</w:t>
      </w:r>
      <w:r>
        <w:rPr>
          <w:rFonts w:ascii="宋体" w:hAnsi="宋体" w:cs="宋体" w:eastAsia="宋体" w:hint="default"/>
          <w:spacing w:val="-28"/>
        </w:rPr>
        <w:t> </w:t>
      </w:r>
      <w:r>
        <w:rPr>
          <w:rFonts w:ascii="宋体" w:hAnsi="宋体" w:cs="宋体" w:eastAsia="宋体" w:hint="default"/>
        </w:rPr>
        <w:t>5</w:t>
      </w:r>
      <w:r>
        <w:rPr>
          <w:rFonts w:ascii="宋体" w:hAnsi="宋体" w:cs="宋体" w:eastAsia="宋体" w:hint="default"/>
          <w:spacing w:val="-28"/>
        </w:rPr>
        <w:t> </w:t>
      </w:r>
      <w:r>
        <w:rPr>
          <w:rFonts w:ascii="宋体" w:hAnsi="宋体" w:cs="宋体" w:eastAsia="宋体" w:hint="default"/>
        </w:rPr>
        <w:t>月起</w:t>
      </w:r>
    </w:p>
    <w:p>
      <w:pPr>
        <w:pStyle w:val="BodyText"/>
        <w:spacing w:line="240" w:lineRule="auto" w:before="6"/>
        <w:ind w:left="1927" w:right="0"/>
        <w:jc w:val="both"/>
        <w:rPr>
          <w:rFonts w:ascii="宋体" w:hAnsi="宋体" w:cs="宋体" w:eastAsia="宋体" w:hint="default"/>
        </w:rPr>
      </w:pPr>
      <w:r>
        <w:rPr>
          <w:rFonts w:ascii="宋体" w:hAnsi="宋体" w:cs="宋体" w:eastAsia="宋体" w:hint="default"/>
        </w:rPr>
        <w:t>任本公司董事，均于</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7</w:t>
      </w:r>
      <w:r>
        <w:rPr>
          <w:rFonts w:ascii="宋体" w:hAnsi="宋体" w:cs="宋体" w:eastAsia="宋体" w:hint="default"/>
          <w:spacing w:val="-34"/>
        </w:rPr>
        <w:t> </w:t>
      </w:r>
      <w:r>
        <w:rPr>
          <w:rFonts w:ascii="宋体" w:hAnsi="宋体" w:cs="宋体" w:eastAsia="宋体" w:hint="default"/>
        </w:rPr>
        <w:t>月离任。陆益民先生具有丰富的政府工作经历和管理经验。</w:t>
      </w:r>
    </w:p>
    <w:p>
      <w:pPr>
        <w:spacing w:line="240" w:lineRule="auto" w:before="12"/>
        <w:rPr>
          <w:rFonts w:ascii="宋体" w:hAnsi="宋体" w:cs="宋体" w:eastAsia="宋体" w:hint="default"/>
          <w:sz w:val="22"/>
          <w:szCs w:val="22"/>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李彦宏</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2"/>
        <w:jc w:val="both"/>
        <w:rPr>
          <w:rFonts w:ascii="宋体" w:hAnsi="宋体" w:cs="宋体" w:eastAsia="宋体" w:hint="default"/>
        </w:rPr>
      </w:pPr>
      <w:r>
        <w:rPr>
          <w:rFonts w:ascii="宋体" w:hAnsi="宋体" w:cs="宋体" w:eastAsia="宋体" w:hint="default"/>
          <w:spacing w:val="-3"/>
        </w:rPr>
        <w:t>百度公司创始人、董事长兼首席执行官，全面负责百度公司的战略规划和运营管理。李先生毕业于北京大学信</w:t>
      </w:r>
      <w:r>
        <w:rPr>
          <w:rFonts w:ascii="宋体" w:hAnsi="宋体" w:cs="宋体" w:eastAsia="宋体" w:hint="default"/>
          <w:spacing w:val="-48"/>
        </w:rPr>
        <w:t> </w:t>
      </w:r>
      <w:r>
        <w:rPr>
          <w:rFonts w:ascii="宋体" w:hAnsi="宋体" w:cs="宋体" w:eastAsia="宋体" w:hint="default"/>
          <w:spacing w:val="-48"/>
        </w:rPr>
      </w:r>
      <w:r>
        <w:rPr>
          <w:rFonts w:ascii="宋体" w:hAnsi="宋体" w:cs="宋体" w:eastAsia="宋体" w:hint="default"/>
          <w:spacing w:val="-3"/>
        </w:rPr>
        <w:t>息管理专业，后获美国布法罗纽约州立大学计算机科学硕士学位，并作为顶尖工程师先后在道·琼斯、华尔街</w:t>
      </w:r>
      <w:r>
        <w:rPr>
          <w:rFonts w:ascii="宋体" w:hAnsi="宋体" w:cs="宋体" w:eastAsia="宋体" w:hint="default"/>
          <w:spacing w:val="-48"/>
        </w:rPr>
        <w:t> </w:t>
      </w:r>
      <w:r>
        <w:rPr>
          <w:rFonts w:ascii="宋体" w:hAnsi="宋体" w:cs="宋体" w:eastAsia="宋体" w:hint="default"/>
          <w:spacing w:val="-48"/>
        </w:rPr>
      </w:r>
      <w:r>
        <w:rPr>
          <w:rFonts w:ascii="宋体" w:hAnsi="宋体" w:cs="宋体" w:eastAsia="宋体" w:hint="default"/>
          <w:spacing w:val="-3"/>
        </w:rPr>
        <w:t>日报网络版和</w:t>
      </w:r>
      <w:r>
        <w:rPr>
          <w:rFonts w:ascii="宋体" w:hAnsi="宋体" w:cs="宋体" w:eastAsia="宋体" w:hint="default"/>
          <w:spacing w:val="-35"/>
        </w:rPr>
        <w:t> </w:t>
      </w:r>
      <w:r>
        <w:rPr>
          <w:rFonts w:ascii="宋体" w:hAnsi="宋体" w:cs="宋体" w:eastAsia="宋体" w:hint="default"/>
          <w:spacing w:val="-4"/>
          <w:w w:val="95"/>
        </w:rPr>
        <w:t>Infoseek</w:t>
      </w:r>
      <w:r>
        <w:rPr>
          <w:rFonts w:ascii="宋体" w:hAnsi="宋体" w:cs="宋体" w:eastAsia="宋体" w:hint="default"/>
          <w:spacing w:val="-32"/>
          <w:w w:val="95"/>
        </w:rPr>
        <w:t> </w:t>
      </w:r>
      <w:r>
        <w:rPr>
          <w:rFonts w:ascii="宋体" w:hAnsi="宋体" w:cs="宋体" w:eastAsia="宋体" w:hint="default"/>
          <w:spacing w:val="-4"/>
        </w:rPr>
        <w:t>公司任职。李彦宏先生持有的“超链分析”技术专利，是奠定整个现代搜索引擎发展趋</w:t>
      </w:r>
      <w:r>
        <w:rPr>
          <w:rFonts w:ascii="宋体" w:hAnsi="宋体" w:cs="宋体" w:eastAsia="宋体" w:hint="default"/>
          <w:spacing w:val="-77"/>
        </w:rPr>
        <w:t> </w:t>
      </w:r>
      <w:r>
        <w:rPr>
          <w:rFonts w:ascii="宋体" w:hAnsi="宋体" w:cs="宋体" w:eastAsia="宋体" w:hint="default"/>
          <w:spacing w:val="-77"/>
        </w:rPr>
      </w:r>
      <w:r>
        <w:rPr>
          <w:rFonts w:ascii="宋体" w:hAnsi="宋体" w:cs="宋体" w:eastAsia="宋体" w:hint="default"/>
        </w:rPr>
        <w:t>势和方向的基础发明之一。十五年来，李彦宏先生领导的百度已成为全球最大的中文搜索引擎，并于</w:t>
      </w:r>
      <w:r>
        <w:rPr>
          <w:rFonts w:ascii="宋体" w:hAnsi="宋体" w:cs="宋体" w:eastAsia="宋体" w:hint="default"/>
          <w:spacing w:val="-36"/>
        </w:rPr>
        <w:t> </w:t>
      </w:r>
      <w:r>
        <w:rPr>
          <w:rFonts w:ascii="宋体" w:hAnsi="宋体" w:cs="宋体" w:eastAsia="宋体" w:hint="default"/>
          <w:spacing w:val="-3"/>
        </w:rPr>
        <w:t>2005</w:t>
      </w:r>
      <w:r>
        <w:rPr>
          <w:rFonts w:ascii="宋体" w:hAnsi="宋体" w:cs="宋体" w:eastAsia="宋体" w:hint="default"/>
          <w:spacing w:val="-36"/>
        </w:rPr>
        <w:t> </w:t>
      </w:r>
      <w:r>
        <w:rPr>
          <w:rFonts w:ascii="宋体" w:hAnsi="宋体" w:cs="宋体" w:eastAsia="宋体" w:hint="default"/>
        </w:rPr>
        <w:t>年</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spacing w:val="-3"/>
        </w:rPr>
        <w:t>在美国纳斯达克成功上市。李先生不断完善中国互联网科学的理论体系，带动整个</w:t>
      </w:r>
      <w:r>
        <w:rPr>
          <w:rFonts w:ascii="宋体" w:hAnsi="宋体" w:cs="宋体" w:eastAsia="宋体" w:hint="default"/>
          <w:spacing w:val="-43"/>
        </w:rPr>
        <w:t> </w:t>
      </w:r>
      <w:r>
        <w:rPr>
          <w:rFonts w:ascii="宋体" w:hAnsi="宋体" w:cs="宋体" w:eastAsia="宋体" w:hint="default"/>
          <w:spacing w:val="-4"/>
          <w:w w:val="83"/>
        </w:rPr>
        <w:t>IT</w:t>
      </w:r>
      <w:r>
        <w:rPr>
          <w:rFonts w:ascii="宋体" w:hAnsi="宋体" w:cs="宋体" w:eastAsia="宋体" w:hint="default"/>
          <w:spacing w:val="-28"/>
          <w:w w:val="83"/>
        </w:rPr>
        <w:t> </w:t>
      </w:r>
      <w:r>
        <w:rPr>
          <w:rFonts w:ascii="宋体" w:hAnsi="宋体" w:cs="宋体" w:eastAsia="宋体" w:hint="default"/>
          <w:spacing w:val="-4"/>
        </w:rPr>
        <w:t>产业技术面向未来、不断</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spacing w:val="-3"/>
        </w:rPr>
        <w:t>进步。李彦宏先生现任全国政协委员、全国工商联副主席等职务，《时代》杂志多次将他评为“全球最具影响</w:t>
      </w:r>
      <w:r>
        <w:rPr>
          <w:rFonts w:ascii="宋体" w:hAnsi="宋体" w:cs="宋体" w:eastAsia="宋体" w:hint="default"/>
          <w:spacing w:val="-53"/>
        </w:rPr>
        <w:t> </w:t>
      </w:r>
      <w:r>
        <w:rPr>
          <w:rFonts w:ascii="宋体" w:hAnsi="宋体" w:cs="宋体" w:eastAsia="宋体" w:hint="default"/>
          <w:spacing w:val="-53"/>
        </w:rPr>
      </w:r>
      <w:r>
        <w:rPr>
          <w:rFonts w:ascii="宋体" w:hAnsi="宋体" w:cs="宋体" w:eastAsia="宋体" w:hint="default"/>
          <w:spacing w:val="-3"/>
        </w:rPr>
        <w:t>力人物”。李先生目前同时还担任爱奇艺、携程旅行网和北京新东方教育科技（集团）有限公司董事。李先生</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自</w:t>
      </w:r>
      <w:r>
        <w:rPr>
          <w:rFonts w:ascii="宋体" w:hAnsi="宋体" w:cs="宋体" w:eastAsia="宋体" w:hint="default"/>
          <w:spacing w:val="-37"/>
        </w:rPr>
        <w:t> </w:t>
      </w:r>
      <w:r>
        <w:rPr>
          <w:rFonts w:ascii="宋体" w:hAnsi="宋体" w:cs="宋体" w:eastAsia="宋体" w:hint="default"/>
          <w:spacing w:val="-3"/>
        </w:rPr>
        <w:t>2018</w:t>
      </w:r>
      <w:r>
        <w:rPr>
          <w:rFonts w:ascii="宋体" w:hAnsi="宋体" w:cs="宋体" w:eastAsia="宋体" w:hint="default"/>
          <w:spacing w:val="-37"/>
        </w:rPr>
        <w:t> </w:t>
      </w:r>
      <w:r>
        <w:rPr>
          <w:rFonts w:ascii="宋体" w:hAnsi="宋体" w:cs="宋体" w:eastAsia="宋体" w:hint="default"/>
        </w:rPr>
        <w:t>年</w:t>
      </w:r>
      <w:r>
        <w:rPr>
          <w:rFonts w:ascii="宋体" w:hAnsi="宋体" w:cs="宋体" w:eastAsia="宋体" w:hint="default"/>
          <w:spacing w:val="-37"/>
        </w:rPr>
        <w:t> </w:t>
      </w:r>
      <w:r>
        <w:rPr>
          <w:rFonts w:ascii="宋体" w:hAnsi="宋体" w:cs="宋体" w:eastAsia="宋体" w:hint="default"/>
        </w:rPr>
        <w:t>2</w:t>
      </w:r>
      <w:r>
        <w:rPr>
          <w:rFonts w:ascii="宋体" w:hAnsi="宋体" w:cs="宋体" w:eastAsia="宋体" w:hint="default"/>
          <w:spacing w:val="-37"/>
        </w:rPr>
        <w:t> </w:t>
      </w:r>
      <w:r>
        <w:rPr>
          <w:rFonts w:ascii="宋体" w:hAnsi="宋体" w:cs="宋体" w:eastAsia="宋体" w:hint="default"/>
          <w:spacing w:val="-4"/>
        </w:rPr>
        <w:t>月起任本公司董事，于</w:t>
      </w:r>
      <w:r>
        <w:rPr>
          <w:rFonts w:ascii="宋体" w:hAnsi="宋体" w:cs="宋体" w:eastAsia="宋体" w:hint="default"/>
          <w:spacing w:val="-37"/>
        </w:rPr>
        <w:t> </w:t>
      </w:r>
      <w:r>
        <w:rPr>
          <w:rFonts w:ascii="宋体" w:hAnsi="宋体" w:cs="宋体" w:eastAsia="宋体" w:hint="default"/>
          <w:spacing w:val="-3"/>
        </w:rPr>
        <w:t>2018</w:t>
      </w:r>
      <w:r>
        <w:rPr>
          <w:rFonts w:ascii="宋体" w:hAnsi="宋体" w:cs="宋体" w:eastAsia="宋体" w:hint="default"/>
          <w:spacing w:val="-37"/>
        </w:rPr>
        <w:t> </w:t>
      </w:r>
      <w:r>
        <w:rPr>
          <w:rFonts w:ascii="宋体" w:hAnsi="宋体" w:cs="宋体" w:eastAsia="宋体" w:hint="default"/>
        </w:rPr>
        <w:t>年</w:t>
      </w:r>
      <w:r>
        <w:rPr>
          <w:rFonts w:ascii="宋体" w:hAnsi="宋体" w:cs="宋体" w:eastAsia="宋体" w:hint="default"/>
          <w:spacing w:val="-37"/>
        </w:rPr>
        <w:t> </w:t>
      </w:r>
      <w:r>
        <w:rPr>
          <w:rFonts w:ascii="宋体" w:hAnsi="宋体" w:cs="宋体" w:eastAsia="宋体" w:hint="default"/>
        </w:rPr>
        <w:t>6</w:t>
      </w:r>
      <w:r>
        <w:rPr>
          <w:rFonts w:ascii="宋体" w:hAnsi="宋体" w:cs="宋体" w:eastAsia="宋体" w:hint="default"/>
          <w:spacing w:val="-37"/>
        </w:rPr>
        <w:t> </w:t>
      </w:r>
      <w:r>
        <w:rPr>
          <w:rFonts w:ascii="宋体" w:hAnsi="宋体" w:cs="宋体" w:eastAsia="宋体" w:hint="default"/>
          <w:spacing w:val="-4"/>
        </w:rPr>
        <w:t>月离任。</w:t>
      </w:r>
      <w:r>
        <w:rPr>
          <w:rFonts w:ascii="宋体" w:hAnsi="宋体" w:cs="宋体" w:eastAsia="宋体" w:hint="default"/>
        </w:rPr>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陈永宏</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15"/>
        <w:jc w:val="both"/>
        <w:rPr>
          <w:rFonts w:ascii="宋体" w:hAnsi="宋体" w:cs="宋体" w:eastAsia="宋体" w:hint="default"/>
        </w:rPr>
      </w:pPr>
      <w:r>
        <w:rPr>
          <w:rFonts w:ascii="宋体" w:hAnsi="宋体" w:cs="宋体" w:eastAsia="宋体" w:hint="default"/>
          <w:spacing w:val="3"/>
        </w:rPr>
        <w:t>高级会计师、中国注册会计师、全国会计领军人才。1984 </w:t>
      </w:r>
      <w:r>
        <w:rPr>
          <w:rFonts w:ascii="宋体" w:hAnsi="宋体" w:cs="宋体" w:eastAsia="宋体" w:hint="default"/>
          <w:spacing w:val="4"/>
        </w:rPr>
        <w:t>年湖南大学财政专业毕业，获经济学学士学位，</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w w:val="105"/>
        </w:rPr>
        <w:t>2000</w:t>
      </w:r>
      <w:r>
        <w:rPr>
          <w:rFonts w:ascii="宋体" w:hAnsi="宋体" w:cs="宋体" w:eastAsia="宋体" w:hint="default"/>
          <w:spacing w:val="-79"/>
          <w:w w:val="105"/>
        </w:rPr>
        <w:t> </w:t>
      </w:r>
      <w:r>
        <w:rPr>
          <w:rFonts w:ascii="宋体" w:hAnsi="宋体" w:cs="宋体" w:eastAsia="宋体" w:hint="default"/>
          <w:w w:val="105"/>
        </w:rPr>
        <w:t>年中国社会科学院研究生院投资经济学专业毕业；1984</w:t>
      </w:r>
      <w:r>
        <w:rPr>
          <w:rFonts w:ascii="宋体" w:hAnsi="宋体" w:cs="宋体" w:eastAsia="宋体" w:hint="default"/>
          <w:spacing w:val="-79"/>
          <w:w w:val="105"/>
        </w:rPr>
        <w:t> </w:t>
      </w:r>
      <w:r>
        <w:rPr>
          <w:rFonts w:ascii="宋体" w:hAnsi="宋体" w:cs="宋体" w:eastAsia="宋体" w:hint="default"/>
          <w:w w:val="105"/>
        </w:rPr>
        <w:t>年</w:t>
      </w:r>
      <w:r>
        <w:rPr>
          <w:rFonts w:ascii="宋体" w:hAnsi="宋体" w:cs="宋体" w:eastAsia="宋体" w:hint="default"/>
          <w:spacing w:val="-79"/>
          <w:w w:val="105"/>
        </w:rPr>
        <w:t> </w:t>
      </w:r>
      <w:r>
        <w:rPr>
          <w:rFonts w:ascii="宋体" w:hAnsi="宋体" w:cs="宋体" w:eastAsia="宋体" w:hint="default"/>
          <w:w w:val="105"/>
        </w:rPr>
        <w:t>7</w:t>
      </w:r>
      <w:r>
        <w:rPr>
          <w:rFonts w:ascii="宋体" w:hAnsi="宋体" w:cs="宋体" w:eastAsia="宋体" w:hint="default"/>
          <w:spacing w:val="-79"/>
          <w:w w:val="105"/>
        </w:rPr>
        <w:t> </w:t>
      </w:r>
      <w:r>
        <w:rPr>
          <w:rFonts w:ascii="宋体" w:hAnsi="宋体" w:cs="宋体" w:eastAsia="宋体" w:hint="default"/>
          <w:w w:val="105"/>
        </w:rPr>
        <w:t>月至</w:t>
      </w:r>
      <w:r>
        <w:rPr>
          <w:rFonts w:ascii="宋体" w:hAnsi="宋体" w:cs="宋体" w:eastAsia="宋体" w:hint="default"/>
          <w:spacing w:val="-79"/>
          <w:w w:val="105"/>
        </w:rPr>
        <w:t> </w:t>
      </w:r>
      <w:r>
        <w:rPr>
          <w:rFonts w:ascii="宋体" w:hAnsi="宋体" w:cs="宋体" w:eastAsia="宋体" w:hint="default"/>
          <w:w w:val="105"/>
        </w:rPr>
        <w:t>1991</w:t>
      </w:r>
      <w:r>
        <w:rPr>
          <w:rFonts w:ascii="宋体" w:hAnsi="宋体" w:cs="宋体" w:eastAsia="宋体" w:hint="default"/>
          <w:spacing w:val="-79"/>
          <w:w w:val="105"/>
        </w:rPr>
        <w:t> </w:t>
      </w:r>
      <w:r>
        <w:rPr>
          <w:rFonts w:ascii="宋体" w:hAnsi="宋体" w:cs="宋体" w:eastAsia="宋体" w:hint="default"/>
          <w:w w:val="105"/>
        </w:rPr>
        <w:t>年</w:t>
      </w:r>
      <w:r>
        <w:rPr>
          <w:rFonts w:ascii="宋体" w:hAnsi="宋体" w:cs="宋体" w:eastAsia="宋体" w:hint="default"/>
          <w:spacing w:val="-79"/>
          <w:w w:val="105"/>
        </w:rPr>
        <w:t> </w:t>
      </w:r>
      <w:r>
        <w:rPr>
          <w:rFonts w:ascii="宋体" w:hAnsi="宋体" w:cs="宋体" w:eastAsia="宋体" w:hint="default"/>
          <w:w w:val="105"/>
        </w:rPr>
        <w:t>12</w:t>
      </w:r>
      <w:r>
        <w:rPr>
          <w:rFonts w:ascii="宋体" w:hAnsi="宋体" w:cs="宋体" w:eastAsia="宋体" w:hint="default"/>
          <w:spacing w:val="-79"/>
          <w:w w:val="105"/>
        </w:rPr>
        <w:t> </w:t>
      </w:r>
      <w:r>
        <w:rPr>
          <w:rFonts w:ascii="宋体" w:hAnsi="宋体" w:cs="宋体" w:eastAsia="宋体" w:hint="default"/>
          <w:w w:val="105"/>
        </w:rPr>
        <w:t>月任湖南省审计厅投资审</w:t>
      </w:r>
    </w:p>
    <w:p>
      <w:pPr>
        <w:pStyle w:val="BodyText"/>
        <w:spacing w:line="240" w:lineRule="auto" w:before="6"/>
        <w:ind w:left="1927" w:right="0"/>
        <w:jc w:val="both"/>
        <w:rPr>
          <w:rFonts w:ascii="宋体" w:hAnsi="宋体" w:cs="宋体" w:eastAsia="宋体" w:hint="default"/>
        </w:rPr>
      </w:pPr>
      <w:r>
        <w:rPr>
          <w:rFonts w:ascii="宋体" w:hAnsi="宋体" w:cs="宋体" w:eastAsia="宋体" w:hint="default"/>
        </w:rPr>
        <w:t>计处科员、副主任科员、主任科员，1992</w:t>
      </w:r>
      <w:r>
        <w:rPr>
          <w:rFonts w:ascii="宋体" w:hAnsi="宋体" w:cs="宋体" w:eastAsia="宋体" w:hint="default"/>
          <w:spacing w:val="-24"/>
        </w:rPr>
        <w:t> </w:t>
      </w:r>
      <w:r>
        <w:rPr>
          <w:rFonts w:ascii="宋体" w:hAnsi="宋体" w:cs="宋体" w:eastAsia="宋体" w:hint="default"/>
        </w:rPr>
        <w:t>年</w:t>
      </w:r>
      <w:r>
        <w:rPr>
          <w:rFonts w:ascii="宋体" w:hAnsi="宋体" w:cs="宋体" w:eastAsia="宋体" w:hint="default"/>
          <w:spacing w:val="-22"/>
        </w:rPr>
        <w:t> </w:t>
      </w:r>
      <w:r>
        <w:rPr>
          <w:rFonts w:ascii="宋体" w:hAnsi="宋体" w:cs="宋体" w:eastAsia="宋体" w:hint="default"/>
        </w:rPr>
        <w:t>1</w:t>
      </w:r>
      <w:r>
        <w:rPr>
          <w:rFonts w:ascii="宋体" w:hAnsi="宋体" w:cs="宋体" w:eastAsia="宋体" w:hint="default"/>
          <w:spacing w:val="-24"/>
        </w:rPr>
        <w:t> </w:t>
      </w:r>
      <w:r>
        <w:rPr>
          <w:rFonts w:ascii="宋体" w:hAnsi="宋体" w:cs="宋体" w:eastAsia="宋体" w:hint="default"/>
        </w:rPr>
        <w:t>月至</w:t>
      </w:r>
      <w:r>
        <w:rPr>
          <w:rFonts w:ascii="宋体" w:hAnsi="宋体" w:cs="宋体" w:eastAsia="宋体" w:hint="default"/>
          <w:spacing w:val="-22"/>
        </w:rPr>
        <w:t> </w:t>
      </w:r>
      <w:r>
        <w:rPr>
          <w:rFonts w:ascii="宋体" w:hAnsi="宋体" w:cs="宋体" w:eastAsia="宋体" w:hint="default"/>
        </w:rPr>
        <w:t>1992</w:t>
      </w:r>
      <w:r>
        <w:rPr>
          <w:rFonts w:ascii="宋体" w:hAnsi="宋体" w:cs="宋体" w:eastAsia="宋体" w:hint="default"/>
          <w:spacing w:val="-24"/>
        </w:rPr>
        <w:t> </w:t>
      </w:r>
      <w:r>
        <w:rPr>
          <w:rFonts w:ascii="宋体" w:hAnsi="宋体" w:cs="宋体" w:eastAsia="宋体" w:hint="default"/>
        </w:rPr>
        <w:t>年</w:t>
      </w:r>
      <w:r>
        <w:rPr>
          <w:rFonts w:ascii="宋体" w:hAnsi="宋体" w:cs="宋体" w:eastAsia="宋体" w:hint="default"/>
          <w:spacing w:val="-22"/>
        </w:rPr>
        <w:t> </w:t>
      </w:r>
      <w:r>
        <w:rPr>
          <w:rFonts w:ascii="宋体" w:hAnsi="宋体" w:cs="宋体" w:eastAsia="宋体" w:hint="default"/>
        </w:rPr>
        <w:t>12</w:t>
      </w:r>
      <w:r>
        <w:rPr>
          <w:rFonts w:ascii="宋体" w:hAnsi="宋体" w:cs="宋体" w:eastAsia="宋体" w:hint="default"/>
          <w:spacing w:val="-24"/>
        </w:rPr>
        <w:t> </w:t>
      </w:r>
      <w:r>
        <w:rPr>
          <w:rFonts w:ascii="宋体" w:hAnsi="宋体" w:cs="宋体" w:eastAsia="宋体" w:hint="default"/>
          <w:spacing w:val="2"/>
        </w:rPr>
        <w:t>月任湖南省委驻通道县社教工作队副组长，</w:t>
      </w:r>
    </w:p>
    <w:p>
      <w:pPr>
        <w:pStyle w:val="BodyText"/>
        <w:spacing w:line="240" w:lineRule="auto" w:before="24"/>
        <w:ind w:left="1927" w:right="0"/>
        <w:jc w:val="both"/>
        <w:rPr>
          <w:rFonts w:ascii="宋体" w:hAnsi="宋体" w:cs="宋体" w:eastAsia="宋体" w:hint="default"/>
        </w:rPr>
      </w:pPr>
      <w:r>
        <w:rPr>
          <w:rFonts w:ascii="宋体" w:hAnsi="宋体" w:cs="宋体" w:eastAsia="宋体" w:hint="default"/>
          <w:w w:val="105"/>
        </w:rPr>
        <w:t>1993</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1</w:t>
      </w:r>
      <w:r>
        <w:rPr>
          <w:rFonts w:ascii="宋体" w:hAnsi="宋体" w:cs="宋体" w:eastAsia="宋体" w:hint="default"/>
          <w:spacing w:val="-60"/>
          <w:w w:val="105"/>
        </w:rPr>
        <w:t> </w:t>
      </w:r>
      <w:r>
        <w:rPr>
          <w:rFonts w:ascii="宋体" w:hAnsi="宋体" w:cs="宋体" w:eastAsia="宋体" w:hint="default"/>
          <w:spacing w:val="3"/>
          <w:w w:val="105"/>
        </w:rPr>
        <w:t>月至</w:t>
      </w:r>
      <w:r>
        <w:rPr>
          <w:rFonts w:ascii="宋体" w:hAnsi="宋体" w:cs="宋体" w:eastAsia="宋体" w:hint="default"/>
          <w:spacing w:val="-60"/>
          <w:w w:val="105"/>
        </w:rPr>
        <w:t> </w:t>
      </w:r>
      <w:r>
        <w:rPr>
          <w:rFonts w:ascii="宋体" w:hAnsi="宋体" w:cs="宋体" w:eastAsia="宋体" w:hint="default"/>
          <w:w w:val="105"/>
        </w:rPr>
        <w:t>1999</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10</w:t>
      </w:r>
      <w:r>
        <w:rPr>
          <w:rFonts w:ascii="宋体" w:hAnsi="宋体" w:cs="宋体" w:eastAsia="宋体" w:hint="default"/>
          <w:spacing w:val="-60"/>
          <w:w w:val="105"/>
        </w:rPr>
        <w:t> </w:t>
      </w:r>
      <w:r>
        <w:rPr>
          <w:rFonts w:ascii="宋体" w:hAnsi="宋体" w:cs="宋体" w:eastAsia="宋体" w:hint="default"/>
          <w:spacing w:val="3"/>
          <w:w w:val="105"/>
        </w:rPr>
        <w:t>月任湖南省审计师事务所副所长、所长，1999</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11</w:t>
      </w:r>
      <w:r>
        <w:rPr>
          <w:rFonts w:ascii="宋体" w:hAnsi="宋体" w:cs="宋体" w:eastAsia="宋体" w:hint="default"/>
          <w:spacing w:val="-60"/>
          <w:w w:val="105"/>
        </w:rPr>
        <w:t> </w:t>
      </w:r>
      <w:r>
        <w:rPr>
          <w:rFonts w:ascii="宋体" w:hAnsi="宋体" w:cs="宋体" w:eastAsia="宋体" w:hint="default"/>
          <w:spacing w:val="3"/>
          <w:w w:val="105"/>
        </w:rPr>
        <w:t>月至</w:t>
      </w:r>
      <w:r>
        <w:rPr>
          <w:rFonts w:ascii="宋体" w:hAnsi="宋体" w:cs="宋体" w:eastAsia="宋体" w:hint="default"/>
          <w:spacing w:val="-60"/>
          <w:w w:val="105"/>
        </w:rPr>
        <w:t> </w:t>
      </w:r>
      <w:r>
        <w:rPr>
          <w:rFonts w:ascii="宋体" w:hAnsi="宋体" w:cs="宋体" w:eastAsia="宋体" w:hint="default"/>
          <w:w w:val="105"/>
        </w:rPr>
        <w:t>2011</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8</w:t>
      </w:r>
      <w:r>
        <w:rPr>
          <w:rFonts w:ascii="宋体" w:hAnsi="宋体" w:cs="宋体" w:eastAsia="宋体" w:hint="default"/>
          <w:spacing w:val="-60"/>
          <w:w w:val="105"/>
        </w:rPr>
        <w:t> </w:t>
      </w:r>
      <w:r>
        <w:rPr>
          <w:rFonts w:ascii="宋体" w:hAnsi="宋体" w:cs="宋体" w:eastAsia="宋体" w:hint="default"/>
          <w:spacing w:val="6"/>
          <w:w w:val="105"/>
        </w:rPr>
        <w:t>月任天职国</w:t>
      </w:r>
      <w:r>
        <w:rPr>
          <w:rFonts w:ascii="宋体" w:hAnsi="宋体" w:cs="宋体" w:eastAsia="宋体" w:hint="default"/>
          <w:w w:val="105"/>
        </w:rPr>
      </w:r>
    </w:p>
    <w:p>
      <w:pPr>
        <w:pStyle w:val="BodyText"/>
        <w:spacing w:line="240" w:lineRule="auto" w:before="24"/>
        <w:ind w:left="1927" w:right="0"/>
        <w:jc w:val="both"/>
        <w:rPr>
          <w:rFonts w:ascii="宋体" w:hAnsi="宋体" w:cs="宋体" w:eastAsia="宋体" w:hint="default"/>
        </w:rPr>
      </w:pPr>
      <w:r>
        <w:rPr>
          <w:rFonts w:ascii="宋体" w:hAnsi="宋体" w:cs="宋体" w:eastAsia="宋体" w:hint="default"/>
          <w:w w:val="105"/>
        </w:rPr>
        <w:t>际会计师事务所董事长、主任会计师，2011</w:t>
      </w:r>
      <w:r>
        <w:rPr>
          <w:rFonts w:ascii="宋体" w:hAnsi="宋体" w:cs="宋体" w:eastAsia="宋体" w:hint="default"/>
          <w:spacing w:val="-75"/>
          <w:w w:val="105"/>
        </w:rPr>
        <w:t> </w:t>
      </w:r>
      <w:r>
        <w:rPr>
          <w:rFonts w:ascii="宋体" w:hAnsi="宋体" w:cs="宋体" w:eastAsia="宋体" w:hint="default"/>
          <w:w w:val="105"/>
        </w:rPr>
        <w:t>年</w:t>
      </w:r>
      <w:r>
        <w:rPr>
          <w:rFonts w:ascii="宋体" w:hAnsi="宋体" w:cs="宋体" w:eastAsia="宋体" w:hint="default"/>
          <w:spacing w:val="-75"/>
          <w:w w:val="105"/>
        </w:rPr>
        <w:t> </w:t>
      </w:r>
      <w:r>
        <w:rPr>
          <w:rFonts w:ascii="宋体" w:hAnsi="宋体" w:cs="宋体" w:eastAsia="宋体" w:hint="default"/>
          <w:w w:val="105"/>
        </w:rPr>
        <w:t>9</w:t>
      </w:r>
      <w:r>
        <w:rPr>
          <w:rFonts w:ascii="宋体" w:hAnsi="宋体" w:cs="宋体" w:eastAsia="宋体" w:hint="default"/>
          <w:spacing w:val="-75"/>
          <w:w w:val="105"/>
        </w:rPr>
        <w:t> </w:t>
      </w:r>
      <w:r>
        <w:rPr>
          <w:rFonts w:ascii="宋体" w:hAnsi="宋体" w:cs="宋体" w:eastAsia="宋体" w:hint="default"/>
          <w:w w:val="105"/>
        </w:rPr>
        <w:t>月至</w:t>
      </w:r>
      <w:r>
        <w:rPr>
          <w:rFonts w:ascii="宋体" w:hAnsi="宋体" w:cs="宋体" w:eastAsia="宋体" w:hint="default"/>
          <w:spacing w:val="-75"/>
          <w:w w:val="105"/>
        </w:rPr>
        <w:t> </w:t>
      </w:r>
      <w:r>
        <w:rPr>
          <w:rFonts w:ascii="宋体" w:hAnsi="宋体" w:cs="宋体" w:eastAsia="宋体" w:hint="default"/>
          <w:w w:val="105"/>
        </w:rPr>
        <w:t>2016</w:t>
      </w:r>
      <w:r>
        <w:rPr>
          <w:rFonts w:ascii="宋体" w:hAnsi="宋体" w:cs="宋体" w:eastAsia="宋体" w:hint="default"/>
          <w:spacing w:val="-75"/>
          <w:w w:val="105"/>
        </w:rPr>
        <w:t> </w:t>
      </w:r>
      <w:r>
        <w:rPr>
          <w:rFonts w:ascii="宋体" w:hAnsi="宋体" w:cs="宋体" w:eastAsia="宋体" w:hint="default"/>
          <w:w w:val="105"/>
        </w:rPr>
        <w:t>年</w:t>
      </w:r>
      <w:r>
        <w:rPr>
          <w:rFonts w:ascii="宋体" w:hAnsi="宋体" w:cs="宋体" w:eastAsia="宋体" w:hint="default"/>
          <w:spacing w:val="-75"/>
          <w:w w:val="105"/>
        </w:rPr>
        <w:t> </w:t>
      </w:r>
      <w:r>
        <w:rPr>
          <w:rFonts w:ascii="宋体" w:hAnsi="宋体" w:cs="宋体" w:eastAsia="宋体" w:hint="default"/>
          <w:w w:val="105"/>
        </w:rPr>
        <w:t>6</w:t>
      </w:r>
      <w:r>
        <w:rPr>
          <w:rFonts w:ascii="宋体" w:hAnsi="宋体" w:cs="宋体" w:eastAsia="宋体" w:hint="default"/>
          <w:spacing w:val="-75"/>
          <w:w w:val="105"/>
        </w:rPr>
        <w:t> </w:t>
      </w:r>
      <w:r>
        <w:rPr>
          <w:rFonts w:ascii="宋体" w:hAnsi="宋体" w:cs="宋体" w:eastAsia="宋体" w:hint="default"/>
          <w:w w:val="105"/>
        </w:rPr>
        <w:t>月</w:t>
      </w:r>
      <w:r>
        <w:rPr>
          <w:rFonts w:ascii="宋体" w:hAnsi="宋体" w:cs="宋体" w:eastAsia="宋体" w:hint="default"/>
          <w:spacing w:val="-75"/>
          <w:w w:val="105"/>
        </w:rPr>
        <w:t> </w:t>
      </w:r>
      <w:r>
        <w:rPr>
          <w:rFonts w:ascii="宋体" w:hAnsi="宋体" w:cs="宋体" w:eastAsia="宋体" w:hint="default"/>
          <w:w w:val="105"/>
        </w:rPr>
        <w:t>30</w:t>
      </w:r>
      <w:r>
        <w:rPr>
          <w:rFonts w:ascii="宋体" w:hAnsi="宋体" w:cs="宋体" w:eastAsia="宋体" w:hint="default"/>
          <w:spacing w:val="-75"/>
          <w:w w:val="105"/>
        </w:rPr>
        <w:t> </w:t>
      </w:r>
      <w:r>
        <w:rPr>
          <w:rFonts w:ascii="宋体" w:hAnsi="宋体" w:cs="宋体" w:eastAsia="宋体" w:hint="default"/>
          <w:spacing w:val="2"/>
          <w:w w:val="105"/>
        </w:rPr>
        <w:t>日，任天职国际会计师事务所（特殊</w:t>
      </w:r>
      <w:r>
        <w:rPr>
          <w:rFonts w:ascii="宋体" w:hAnsi="宋体" w:cs="宋体" w:eastAsia="宋体" w:hint="default"/>
          <w:w w:val="105"/>
        </w:rPr>
      </w:r>
    </w:p>
    <w:p>
      <w:pPr>
        <w:pStyle w:val="BodyText"/>
        <w:spacing w:line="264" w:lineRule="auto" w:before="24"/>
        <w:ind w:left="1927" w:right="1410"/>
        <w:jc w:val="both"/>
        <w:rPr>
          <w:rFonts w:ascii="宋体" w:hAnsi="宋体" w:cs="宋体" w:eastAsia="宋体" w:hint="default"/>
        </w:rPr>
      </w:pPr>
      <w:r>
        <w:rPr>
          <w:rFonts w:ascii="宋体" w:hAnsi="宋体" w:cs="宋体" w:eastAsia="宋体" w:hint="default"/>
        </w:rPr>
        <w:t>普通合伙）首席合伙人，2016</w:t>
      </w:r>
      <w:r>
        <w:rPr>
          <w:rFonts w:ascii="宋体" w:hAnsi="宋体" w:cs="宋体" w:eastAsia="宋体" w:hint="default"/>
          <w:spacing w:val="-37"/>
        </w:rPr>
        <w:t> </w:t>
      </w:r>
      <w:r>
        <w:rPr>
          <w:rFonts w:ascii="宋体" w:hAnsi="宋体" w:cs="宋体" w:eastAsia="宋体" w:hint="default"/>
        </w:rPr>
        <w:t>年</w:t>
      </w:r>
      <w:r>
        <w:rPr>
          <w:rFonts w:ascii="宋体" w:hAnsi="宋体" w:cs="宋体" w:eastAsia="宋体" w:hint="default"/>
          <w:spacing w:val="-37"/>
        </w:rPr>
        <w:t> </w:t>
      </w:r>
      <w:r>
        <w:rPr>
          <w:rFonts w:ascii="宋体" w:hAnsi="宋体" w:cs="宋体" w:eastAsia="宋体" w:hint="default"/>
        </w:rPr>
        <w:t>7</w:t>
      </w:r>
      <w:r>
        <w:rPr>
          <w:rFonts w:ascii="宋体" w:hAnsi="宋体" w:cs="宋体" w:eastAsia="宋体" w:hint="default"/>
          <w:spacing w:val="-37"/>
        </w:rPr>
        <w:t> </w:t>
      </w:r>
      <w:r>
        <w:rPr>
          <w:rFonts w:ascii="宋体" w:hAnsi="宋体" w:cs="宋体" w:eastAsia="宋体" w:hint="default"/>
        </w:rPr>
        <w:t>月</w:t>
      </w:r>
      <w:r>
        <w:rPr>
          <w:rFonts w:ascii="宋体" w:hAnsi="宋体" w:cs="宋体" w:eastAsia="宋体" w:hint="default"/>
          <w:spacing w:val="-37"/>
        </w:rPr>
        <w:t> </w:t>
      </w:r>
      <w:r>
        <w:rPr>
          <w:rFonts w:ascii="宋体" w:hAnsi="宋体" w:cs="宋体" w:eastAsia="宋体" w:hint="default"/>
        </w:rPr>
        <w:t>1</w:t>
      </w:r>
      <w:r>
        <w:rPr>
          <w:rFonts w:ascii="宋体" w:hAnsi="宋体" w:cs="宋体" w:eastAsia="宋体" w:hint="default"/>
          <w:spacing w:val="-37"/>
        </w:rPr>
        <w:t> </w:t>
      </w:r>
      <w:r>
        <w:rPr>
          <w:rFonts w:ascii="宋体" w:hAnsi="宋体" w:cs="宋体" w:eastAsia="宋体" w:hint="default"/>
        </w:rPr>
        <w:t>日至今，任天职国际会计师事务所（特殊普通合伙）合伙人。陈先生</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目前还担任华夏银行股份有限公司独立董事、金宇生物技术股份有限公司独立董事，天职工程咨询股份有限</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公司董事长。陈永宏先生自</w:t>
      </w:r>
      <w:r>
        <w:rPr>
          <w:rFonts w:ascii="宋体" w:hAnsi="宋体" w:cs="宋体" w:eastAsia="宋体" w:hint="default"/>
          <w:spacing w:val="-33"/>
        </w:rPr>
        <w:t> </w:t>
      </w:r>
      <w:r>
        <w:rPr>
          <w:rFonts w:ascii="宋体" w:hAnsi="宋体" w:cs="宋体" w:eastAsia="宋体" w:hint="default"/>
        </w:rPr>
        <w:t>2016</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5</w:t>
      </w:r>
      <w:r>
        <w:rPr>
          <w:rFonts w:ascii="宋体" w:hAnsi="宋体" w:cs="宋体" w:eastAsia="宋体" w:hint="default"/>
          <w:spacing w:val="-34"/>
        </w:rPr>
        <w:t> </w:t>
      </w:r>
      <w:r>
        <w:rPr>
          <w:rFonts w:ascii="宋体" w:hAnsi="宋体" w:cs="宋体" w:eastAsia="宋体" w:hint="default"/>
        </w:rPr>
        <w:t>月起担任本公司独立董事，自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月因公司董事会换届离任。</w:t>
      </w:r>
    </w:p>
    <w:p>
      <w:pPr>
        <w:spacing w:line="240" w:lineRule="auto" w:before="7"/>
        <w:rPr>
          <w:rFonts w:ascii="宋体" w:hAnsi="宋体" w:cs="宋体" w:eastAsia="宋体" w:hint="default"/>
          <w:sz w:val="21"/>
          <w:szCs w:val="21"/>
        </w:rPr>
      </w:pPr>
    </w:p>
    <w:p>
      <w:pPr>
        <w:pStyle w:val="Heading8"/>
        <w:spacing w:line="240" w:lineRule="auto"/>
        <w:ind w:left="1190" w:right="764"/>
        <w:jc w:val="left"/>
        <w:rPr>
          <w:rFonts w:ascii="宋体" w:hAnsi="宋体" w:cs="宋体" w:eastAsia="宋体" w:hint="default"/>
        </w:rPr>
      </w:pPr>
      <w:r>
        <w:rPr>
          <w:rFonts w:ascii="宋体" w:hAnsi="宋体" w:cs="宋体" w:eastAsia="宋体" w:hint="default"/>
        </w:rPr>
        <w:t>李红滨</w:t>
      </w:r>
    </w:p>
    <w:p>
      <w:pPr>
        <w:spacing w:line="240" w:lineRule="auto" w:before="6"/>
        <w:rPr>
          <w:rFonts w:ascii="宋体" w:hAnsi="宋体" w:cs="宋体" w:eastAsia="宋体" w:hint="default"/>
          <w:sz w:val="9"/>
          <w:szCs w:val="9"/>
        </w:rPr>
      </w:pPr>
    </w:p>
    <w:p>
      <w:pPr>
        <w:spacing w:line="65" w:lineRule="exact"/>
        <w:ind w:left="1160"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6.65pt;height:3.25pt;mso-position-horizontal-relative:char;mso-position-vertical-relative:line" coordorigin="0,0" coordsize="9333,65">
            <v:group style="position:absolute;left:30;top:30;width:709;height:2" coordorigin="30,30" coordsize="709,2">
              <v:shape style="position:absolute;left:30;top:30;width:709;height:2" coordorigin="30,30" coordsize="709,0" path="m30,30l739,30e" filled="false" stroked="true" strokeweight="3pt" strokecolor="#d7000f">
                <v:path arrowok="t"/>
              </v:shape>
            </v:group>
            <v:group style="position:absolute;left:739;top:60;width:8589;height:2" coordorigin="739,60" coordsize="8589,2">
              <v:shape style="position:absolute;left:739;top:60;width:8589;height:2" coordorigin="739,60" coordsize="8589,0" path="m739,60l9328,60e" filled="false" stroked="true" strokeweight=".5pt" strokecolor="#d7000f">
                <v:path arrowok="t"/>
              </v:shape>
            </v:group>
            <v:group style="position:absolute;left:30;top:60;width:709;height:2" coordorigin="30,60" coordsize="709,2">
              <v:shape style="position:absolute;left:30;top:60;width:709;height:2" coordorigin="30,60" coordsize="709,0" path="m30,60l739,60e" filled="false" stroked="true" strokeweight=".5pt" strokecolor="#d7000f">
                <v:path arrowok="t"/>
              </v:shape>
            </v:group>
          </v:group>
        </w:pict>
      </w:r>
      <w:r>
        <w:rPr>
          <w:rFonts w:ascii="宋体" w:hAnsi="宋体" w:cs="宋体" w:eastAsia="宋体" w:hint="default"/>
          <w:position w:val="0"/>
          <w:sz w:val="6"/>
          <w:szCs w:val="6"/>
        </w:rPr>
      </w:r>
    </w:p>
    <w:p>
      <w:pPr>
        <w:pStyle w:val="BodyText"/>
        <w:spacing w:line="264" w:lineRule="auto" w:before="53"/>
        <w:ind w:left="1927" w:right="1409"/>
        <w:jc w:val="both"/>
        <w:rPr>
          <w:rFonts w:ascii="宋体" w:hAnsi="宋体" w:cs="宋体" w:eastAsia="宋体" w:hint="default"/>
        </w:rPr>
      </w:pPr>
      <w:r>
        <w:rPr>
          <w:rFonts w:ascii="宋体" w:hAnsi="宋体" w:cs="宋体" w:eastAsia="宋体" w:hint="default"/>
        </w:rPr>
        <w:t>1989</w:t>
      </w:r>
      <w:r>
        <w:rPr>
          <w:rFonts w:ascii="宋体" w:hAnsi="宋体" w:cs="宋体" w:eastAsia="宋体" w:hint="default"/>
          <w:spacing w:val="-28"/>
        </w:rPr>
        <w:t> </w:t>
      </w:r>
      <w:r>
        <w:rPr>
          <w:rFonts w:ascii="宋体" w:hAnsi="宋体" w:cs="宋体" w:eastAsia="宋体" w:hint="default"/>
          <w:spacing w:val="3"/>
        </w:rPr>
        <w:t>年毕业于西安电子科技大学信息与通信工程专业，获硕士研究生学位；1989</w:t>
      </w:r>
      <w:r>
        <w:rPr>
          <w:rFonts w:ascii="宋体" w:hAnsi="宋体" w:cs="宋体" w:eastAsia="宋体" w:hint="default"/>
          <w:spacing w:val="-28"/>
        </w:rPr>
        <w:t> </w:t>
      </w:r>
      <w:r>
        <w:rPr>
          <w:rFonts w:ascii="宋体" w:hAnsi="宋体" w:cs="宋体" w:eastAsia="宋体" w:hint="default"/>
        </w:rPr>
        <w:t>年</w:t>
      </w:r>
      <w:r>
        <w:rPr>
          <w:rFonts w:ascii="宋体" w:hAnsi="宋体" w:cs="宋体" w:eastAsia="宋体" w:hint="default"/>
          <w:spacing w:val="-28"/>
        </w:rPr>
        <w:t> </w:t>
      </w:r>
      <w:r>
        <w:rPr>
          <w:rFonts w:ascii="宋体" w:hAnsi="宋体" w:cs="宋体" w:eastAsia="宋体" w:hint="default"/>
        </w:rPr>
        <w:t>2</w:t>
      </w:r>
      <w:r>
        <w:rPr>
          <w:rFonts w:ascii="宋体" w:hAnsi="宋体" w:cs="宋体" w:eastAsia="宋体" w:hint="default"/>
          <w:spacing w:val="-28"/>
        </w:rPr>
        <w:t> </w:t>
      </w:r>
      <w:r>
        <w:rPr>
          <w:rFonts w:ascii="宋体" w:hAnsi="宋体" w:cs="宋体" w:eastAsia="宋体" w:hint="default"/>
        </w:rPr>
        <w:t>月至</w:t>
      </w:r>
      <w:r>
        <w:rPr>
          <w:rFonts w:ascii="宋体" w:hAnsi="宋体" w:cs="宋体" w:eastAsia="宋体" w:hint="default"/>
          <w:spacing w:val="-28"/>
        </w:rPr>
        <w:t> </w:t>
      </w:r>
      <w:r>
        <w:rPr>
          <w:rFonts w:ascii="宋体" w:hAnsi="宋体" w:cs="宋体" w:eastAsia="宋体" w:hint="default"/>
        </w:rPr>
        <w:t>2002</w:t>
      </w:r>
      <w:r>
        <w:rPr>
          <w:rFonts w:ascii="宋体" w:hAnsi="宋体" w:cs="宋体" w:eastAsia="宋体" w:hint="default"/>
          <w:spacing w:val="-28"/>
        </w:rPr>
        <w:t> </w:t>
      </w:r>
      <w:r>
        <w:rPr>
          <w:rFonts w:ascii="宋体" w:hAnsi="宋体" w:cs="宋体" w:eastAsia="宋体" w:hint="default"/>
        </w:rPr>
        <w:t>年</w:t>
      </w:r>
      <w:r>
        <w:rPr>
          <w:rFonts w:ascii="宋体" w:hAnsi="宋体" w:cs="宋体" w:eastAsia="宋体" w:hint="default"/>
          <w:spacing w:val="-28"/>
        </w:rPr>
        <w:t> </w:t>
      </w:r>
      <w:r>
        <w:rPr>
          <w:rFonts w:ascii="宋体" w:hAnsi="宋体" w:cs="宋体" w:eastAsia="宋体" w:hint="default"/>
        </w:rPr>
        <w:t>7</w:t>
      </w:r>
      <w:r>
        <w:rPr>
          <w:rFonts w:ascii="宋体" w:hAnsi="宋体" w:cs="宋体" w:eastAsia="宋体" w:hint="default"/>
          <w:spacing w:val="-28"/>
        </w:rPr>
        <w:t> </w:t>
      </w:r>
      <w:r>
        <w:rPr>
          <w:rFonts w:ascii="宋体" w:hAnsi="宋体" w:cs="宋体" w:eastAsia="宋体" w:hint="default"/>
          <w:spacing w:val="4"/>
        </w:rPr>
        <w:t>月任</w:t>
      </w:r>
      <w:r>
        <w:rPr>
          <w:rFonts w:ascii="宋体" w:hAnsi="宋体" w:cs="宋体" w:eastAsia="宋体" w:hint="default"/>
          <w:spacing w:val="-79"/>
        </w:rPr>
        <w:t> </w:t>
      </w:r>
      <w:r>
        <w:rPr>
          <w:rFonts w:ascii="宋体" w:hAnsi="宋体" w:cs="宋体" w:eastAsia="宋体" w:hint="default"/>
          <w:spacing w:val="-79"/>
        </w:rPr>
      </w:r>
      <w:r>
        <w:rPr>
          <w:rFonts w:ascii="宋体" w:hAnsi="宋体" w:cs="宋体" w:eastAsia="宋体" w:hint="default"/>
        </w:rPr>
        <w:t>西安电子科技大学讲师、副教授、教授；2002</w:t>
      </w:r>
      <w:r>
        <w:rPr>
          <w:rFonts w:ascii="宋体" w:hAnsi="宋体" w:cs="宋体" w:eastAsia="宋体" w:hint="default"/>
          <w:spacing w:val="-31"/>
        </w:rPr>
        <w:t> </w:t>
      </w:r>
      <w:r>
        <w:rPr>
          <w:rFonts w:ascii="宋体" w:hAnsi="宋体" w:cs="宋体" w:eastAsia="宋体" w:hint="default"/>
        </w:rPr>
        <w:t>年</w:t>
      </w:r>
      <w:r>
        <w:rPr>
          <w:rFonts w:ascii="宋体" w:hAnsi="宋体" w:cs="宋体" w:eastAsia="宋体" w:hint="default"/>
          <w:spacing w:val="-31"/>
        </w:rPr>
        <w:t> </w:t>
      </w:r>
      <w:r>
        <w:rPr>
          <w:rFonts w:ascii="宋体" w:hAnsi="宋体" w:cs="宋体" w:eastAsia="宋体" w:hint="default"/>
        </w:rPr>
        <w:t>7</w:t>
      </w:r>
      <w:r>
        <w:rPr>
          <w:rFonts w:ascii="宋体" w:hAnsi="宋体" w:cs="宋体" w:eastAsia="宋体" w:hint="default"/>
          <w:spacing w:val="-31"/>
        </w:rPr>
        <w:t> </w:t>
      </w:r>
      <w:r>
        <w:rPr>
          <w:rFonts w:ascii="宋体" w:hAnsi="宋体" w:cs="宋体" w:eastAsia="宋体" w:hint="default"/>
        </w:rPr>
        <w:t>月至今任北京大学教授。2008</w:t>
      </w:r>
      <w:r>
        <w:rPr>
          <w:rFonts w:ascii="宋体" w:hAnsi="宋体" w:cs="宋体" w:eastAsia="宋体" w:hint="default"/>
          <w:spacing w:val="-31"/>
        </w:rPr>
        <w:t> </w:t>
      </w:r>
      <w:r>
        <w:rPr>
          <w:rFonts w:ascii="宋体" w:hAnsi="宋体" w:cs="宋体" w:eastAsia="宋体" w:hint="default"/>
        </w:rPr>
        <w:t>年至</w:t>
      </w:r>
      <w:r>
        <w:rPr>
          <w:rFonts w:ascii="宋体" w:hAnsi="宋体" w:cs="宋体" w:eastAsia="宋体" w:hint="default"/>
          <w:spacing w:val="-31"/>
        </w:rPr>
        <w:t> </w:t>
      </w:r>
      <w:r>
        <w:rPr>
          <w:rFonts w:ascii="宋体" w:hAnsi="宋体" w:cs="宋体" w:eastAsia="宋体" w:hint="default"/>
        </w:rPr>
        <w:t>2012</w:t>
      </w:r>
      <w:r>
        <w:rPr>
          <w:rFonts w:ascii="宋体" w:hAnsi="宋体" w:cs="宋体" w:eastAsia="宋体" w:hint="default"/>
          <w:spacing w:val="-31"/>
        </w:rPr>
        <w:t> </w:t>
      </w:r>
      <w:r>
        <w:rPr>
          <w:rFonts w:ascii="宋体" w:hAnsi="宋体" w:cs="宋体" w:eastAsia="宋体" w:hint="default"/>
        </w:rPr>
        <w:t>年任北京大学、</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rPr>
        <w:t>上海交通大学联合“区域光纤通信网及新型光通信系统”国家重点实验室主任、北京大学现代通信所所长；</w:t>
      </w:r>
      <w:r>
        <w:rPr>
          <w:rFonts w:ascii="宋体" w:hAnsi="宋体" w:cs="宋体" w:eastAsia="宋体" w:hint="default"/>
          <w:spacing w:val="-6"/>
        </w:rPr>
        <w:t> </w:t>
      </w:r>
      <w:r>
        <w:rPr>
          <w:rFonts w:ascii="宋体" w:hAnsi="宋体" w:cs="宋体" w:eastAsia="宋体" w:hint="default"/>
          <w:spacing w:val="-6"/>
        </w:rPr>
      </w:r>
      <w:r>
        <w:rPr>
          <w:rFonts w:ascii="宋体" w:hAnsi="宋体" w:cs="宋体" w:eastAsia="宋体" w:hint="default"/>
        </w:rPr>
        <w:t>1997</w:t>
      </w:r>
      <w:r>
        <w:rPr>
          <w:rFonts w:ascii="宋体" w:hAnsi="宋体" w:cs="宋体" w:eastAsia="宋体" w:hint="default"/>
          <w:spacing w:val="-9"/>
        </w:rPr>
        <w:t> </w:t>
      </w:r>
      <w:r>
        <w:rPr>
          <w:rFonts w:ascii="宋体" w:hAnsi="宋体" w:cs="宋体" w:eastAsia="宋体" w:hint="default"/>
        </w:rPr>
        <w:t>年起连续四届入选国家</w:t>
      </w:r>
      <w:r>
        <w:rPr>
          <w:rFonts w:ascii="宋体" w:hAnsi="宋体" w:cs="宋体" w:eastAsia="宋体" w:hint="default"/>
          <w:spacing w:val="-9"/>
        </w:rPr>
        <w:t> </w:t>
      </w:r>
      <w:r>
        <w:rPr>
          <w:rFonts w:ascii="宋体" w:hAnsi="宋体" w:cs="宋体" w:eastAsia="宋体" w:hint="default"/>
        </w:rPr>
        <w:t>863</w:t>
      </w:r>
      <w:r>
        <w:rPr>
          <w:rFonts w:ascii="宋体" w:hAnsi="宋体" w:cs="宋体" w:eastAsia="宋体" w:hint="default"/>
          <w:spacing w:val="-9"/>
        </w:rPr>
        <w:t> </w:t>
      </w:r>
      <w:r>
        <w:rPr>
          <w:rFonts w:ascii="宋体" w:hAnsi="宋体" w:cs="宋体" w:eastAsia="宋体" w:hint="default"/>
        </w:rPr>
        <w:t>计划专家组；1999</w:t>
      </w:r>
      <w:r>
        <w:rPr>
          <w:rFonts w:ascii="宋体" w:hAnsi="宋体" w:cs="宋体" w:eastAsia="宋体" w:hint="default"/>
          <w:spacing w:val="-9"/>
        </w:rPr>
        <w:t> </w:t>
      </w:r>
      <w:r>
        <w:rPr>
          <w:rFonts w:ascii="宋体" w:hAnsi="宋体" w:cs="宋体" w:eastAsia="宋体" w:hint="default"/>
        </w:rPr>
        <w:t>年担任国家重大科技专项“中国高速信息示范网”项目</w:t>
      </w:r>
      <w:r>
        <w:rPr>
          <w:rFonts w:ascii="宋体" w:hAnsi="宋体" w:cs="宋体" w:eastAsia="宋体" w:hint="default"/>
          <w:spacing w:val="-64"/>
        </w:rPr>
        <w:t> </w:t>
      </w:r>
      <w:r>
        <w:rPr>
          <w:rFonts w:ascii="宋体" w:hAnsi="宋体" w:cs="宋体" w:eastAsia="宋体" w:hint="default"/>
          <w:spacing w:val="-64"/>
        </w:rPr>
      </w:r>
      <w:r>
        <w:rPr>
          <w:rFonts w:ascii="宋体" w:hAnsi="宋体" w:cs="宋体" w:eastAsia="宋体" w:hint="default"/>
        </w:rPr>
        <w:t>总体组副组长；2001</w:t>
      </w:r>
      <w:r>
        <w:rPr>
          <w:rFonts w:ascii="宋体" w:hAnsi="宋体" w:cs="宋体" w:eastAsia="宋体" w:hint="default"/>
          <w:spacing w:val="-9"/>
        </w:rPr>
        <w:t> </w:t>
      </w:r>
      <w:r>
        <w:rPr>
          <w:rFonts w:ascii="宋体" w:hAnsi="宋体" w:cs="宋体" w:eastAsia="宋体" w:hint="default"/>
          <w:spacing w:val="2"/>
        </w:rPr>
        <w:t>年担任国家“十五”计划重大科技专项“高性能宽带信息网”总体组副组长；2007</w:t>
      </w:r>
      <w:r>
        <w:rPr>
          <w:rFonts w:ascii="宋体" w:hAnsi="宋体" w:cs="宋体" w:eastAsia="宋体" w:hint="default"/>
          <w:spacing w:val="-9"/>
        </w:rPr>
        <w:t> </w:t>
      </w:r>
      <w:r>
        <w:rPr>
          <w:rFonts w:ascii="宋体" w:hAnsi="宋体" w:cs="宋体" w:eastAsia="宋体" w:hint="default"/>
        </w:rPr>
        <w:t>年</w:t>
      </w:r>
      <w:r>
        <w:rPr>
          <w:rFonts w:ascii="宋体" w:hAnsi="宋体" w:cs="宋体" w:eastAsia="宋体" w:hint="default"/>
          <w:spacing w:val="-66"/>
        </w:rPr>
        <w:t> </w:t>
      </w:r>
      <w:r>
        <w:rPr>
          <w:rFonts w:ascii="宋体" w:hAnsi="宋体" w:cs="宋体" w:eastAsia="宋体" w:hint="default"/>
          <w:spacing w:val="-66"/>
        </w:rPr>
      </w:r>
      <w:r>
        <w:rPr>
          <w:rFonts w:ascii="宋体" w:hAnsi="宋体" w:cs="宋体" w:eastAsia="宋体" w:hint="default"/>
        </w:rPr>
        <w:t>担任国家科技部重点项目“高可信网络”总体组组长；2012</w:t>
      </w:r>
      <w:r>
        <w:rPr>
          <w:rFonts w:ascii="宋体" w:hAnsi="宋体" w:cs="宋体" w:eastAsia="宋体" w:hint="default"/>
          <w:spacing w:val="-24"/>
        </w:rPr>
        <w:t> </w:t>
      </w:r>
      <w:r>
        <w:rPr>
          <w:rFonts w:ascii="宋体" w:hAnsi="宋体" w:cs="宋体" w:eastAsia="宋体" w:hint="default"/>
        </w:rPr>
        <w:t>年担任国家科技部重点项目“三网融合演进技术</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rPr>
        <w:t>与系统”总体组组长。李先生目前担任江苏省广电有线信息网络股份有限公司、广东宜通世纪科技股份有限</w:t>
      </w:r>
      <w:r>
        <w:rPr>
          <w:rFonts w:ascii="宋体" w:hAnsi="宋体" w:cs="宋体" w:eastAsia="宋体" w:hint="default"/>
          <w:spacing w:val="-2"/>
        </w:rPr>
        <w:t> </w:t>
      </w:r>
      <w:r>
        <w:rPr>
          <w:rFonts w:ascii="宋体" w:hAnsi="宋体" w:cs="宋体" w:eastAsia="宋体" w:hint="default"/>
          <w:spacing w:val="-2"/>
        </w:rPr>
      </w:r>
      <w:r>
        <w:rPr>
          <w:rFonts w:ascii="宋体" w:hAnsi="宋体" w:cs="宋体" w:eastAsia="宋体" w:hint="default"/>
          <w:spacing w:val="2"/>
        </w:rPr>
        <w:t>公司独立董事及北京坛芯投资合伙企业（有限合伙）执行事务合伙人。李先生自</w:t>
      </w:r>
      <w:r>
        <w:rPr>
          <w:rFonts w:ascii="宋体" w:hAnsi="宋体" w:cs="宋体" w:eastAsia="宋体" w:hint="default"/>
          <w:spacing w:val="-28"/>
        </w:rPr>
        <w:t> </w:t>
      </w:r>
      <w:r>
        <w:rPr>
          <w:rFonts w:ascii="宋体" w:hAnsi="宋体" w:cs="宋体" w:eastAsia="宋体" w:hint="default"/>
        </w:rPr>
        <w:t>2016</w:t>
      </w:r>
      <w:r>
        <w:rPr>
          <w:rFonts w:ascii="宋体" w:hAnsi="宋体" w:cs="宋体" w:eastAsia="宋体" w:hint="default"/>
          <w:spacing w:val="-28"/>
        </w:rPr>
        <w:t> </w:t>
      </w:r>
      <w:r>
        <w:rPr>
          <w:rFonts w:ascii="宋体" w:hAnsi="宋体" w:cs="宋体" w:eastAsia="宋体" w:hint="default"/>
        </w:rPr>
        <w:t>年</w:t>
      </w:r>
      <w:r>
        <w:rPr>
          <w:rFonts w:ascii="宋体" w:hAnsi="宋体" w:cs="宋体" w:eastAsia="宋体" w:hint="default"/>
          <w:spacing w:val="-28"/>
        </w:rPr>
        <w:t> </w:t>
      </w:r>
      <w:r>
        <w:rPr>
          <w:rFonts w:ascii="宋体" w:hAnsi="宋体" w:cs="宋体" w:eastAsia="宋体" w:hint="default"/>
        </w:rPr>
        <w:t>5</w:t>
      </w:r>
      <w:r>
        <w:rPr>
          <w:rFonts w:ascii="宋体" w:hAnsi="宋体" w:cs="宋体" w:eastAsia="宋体" w:hint="default"/>
          <w:spacing w:val="-28"/>
        </w:rPr>
        <w:t> </w:t>
      </w:r>
      <w:r>
        <w:rPr>
          <w:rFonts w:ascii="宋体" w:hAnsi="宋体" w:cs="宋体" w:eastAsia="宋体" w:hint="default"/>
          <w:spacing w:val="3"/>
        </w:rPr>
        <w:t>月起担任本公司</w:t>
      </w:r>
      <w:r>
        <w:rPr>
          <w:rFonts w:ascii="宋体" w:hAnsi="宋体" w:cs="宋体" w:eastAsia="宋体" w:hint="default"/>
        </w:rPr>
      </w:r>
    </w:p>
    <w:p>
      <w:pPr>
        <w:spacing w:after="0" w:line="264" w:lineRule="auto"/>
        <w:jc w:val="both"/>
        <w:rPr>
          <w:rFonts w:ascii="宋体" w:hAnsi="宋体" w:cs="宋体" w:eastAsia="宋体" w:hint="default"/>
        </w:rPr>
        <w:sectPr>
          <w:footerReference w:type="even" r:id="rId195"/>
          <w:footerReference w:type="default" r:id="rId196"/>
          <w:pgSz w:w="11910" w:h="16160"/>
          <w:pgMar w:footer="1124" w:header="0" w:top="2220" w:bottom="1320" w:left="0" w:right="0"/>
          <w:pgNumType w:start="62"/>
        </w:sectPr>
      </w:pPr>
    </w:p>
    <w:p>
      <w:pPr>
        <w:spacing w:line="240" w:lineRule="auto" w:before="0"/>
        <w:rPr>
          <w:rFonts w:ascii="宋体" w:hAnsi="宋体" w:cs="宋体" w:eastAsia="宋体" w:hint="default"/>
          <w:sz w:val="20"/>
          <w:szCs w:val="20"/>
        </w:rPr>
      </w:pPr>
      <w:r>
        <w:rPr/>
        <w:pict>
          <v:group style="position:absolute;margin-left:70.865997pt;margin-top:147.401016pt;width:524.450pt;height:612.15pt;mso-position-horizontal-relative:page;mso-position-vertical-relative:page;z-index:-963496" coordorigin="1417,2948" coordsize="10489,12243">
            <v:group style="position:absolute;left:10718;top:5791;width:1188;height:2980" coordorigin="10718,5791" coordsize="1188,2980">
              <v:shape style="position:absolute;left:10718;top:5791;width:1188;height:2980" coordorigin="10718,5791" coordsize="1188,2980" path="m11906,8770l10718,8770,11906,5791,11906,8770xe" filled="true" fillcolor="#d7000f" stroked="false">
                <v:path arrowok="t"/>
                <v:fill type="solid"/>
              </v:shape>
            </v:group>
            <v:group style="position:absolute;left:9173;top:8228;width:2733;height:6853" coordorigin="9173,8228" coordsize="2733,6853">
              <v:shape style="position:absolute;left:9173;top:8228;width:2733;height:6853" coordorigin="9173,8228" coordsize="2733,6853" path="m11906,15080l9173,15080,11906,8228,11906,15080xe" filled="true" fillcolor="#8e9090" stroked="false">
                <v:path arrowok="t"/>
                <v:fill type="solid"/>
              </v:shape>
              <v:shape style="position:absolute;left:7550;top:14145;width:188;height:188" type="#_x0000_t75" stroked="false">
                <v:imagedata r:id="rId76" o:title=""/>
              </v:shape>
            </v:group>
            <v:group style="position:absolute;left:1420;top:7370;width:10486;height:7821" coordorigin="1420,7370" coordsize="10486,7821">
              <v:shape style="position:absolute;left:1420;top:7370;width:10486;height:7821" coordorigin="1420,7370" coordsize="10486,7821" path="m1420,15191l11905,15191,11905,7370,1420,7370,1420,15191xe" filled="true" fillcolor="#ffffff" stroked="false">
                <v:path arrowok="t"/>
                <v:fill type="solid"/>
              </v:shape>
            </v:group>
            <v:group style="position:absolute;left:1417;top:2948;width:9638;height:11906" coordorigin="1417,2948" coordsize="9638,11906">
              <v:shape style="position:absolute;left:1417;top:2948;width:9638;height:11906" coordorigin="1417,2948" coordsize="9638,11906" path="m1417,14854l11055,14854,11055,2948,1417,2948,1417,14854xe" filled="true" fillcolor="#ffffff" stroked="false">
                <v:path arrowok="t"/>
                <v:fill type="solid"/>
              </v:shape>
            </v:group>
            <v:group style="position:absolute;left:1757;top:3538;width:709;height:2" coordorigin="1757,3538" coordsize="709,2">
              <v:shape style="position:absolute;left:1757;top:3538;width:709;height:2" coordorigin="1757,3538" coordsize="709,0" path="m1757,3538l2466,3538e" filled="false" stroked="true" strokeweight="3pt" strokecolor="#d7000f">
                <v:path arrowok="t"/>
              </v:shape>
            </v:group>
            <v:group style="position:absolute;left:2466;top:3568;width:8589;height:2" coordorigin="2466,3568" coordsize="8589,2">
              <v:shape style="position:absolute;left:2466;top:3568;width:8589;height:2" coordorigin="2466,3568" coordsize="8589,0" path="m2466,3568l11055,3568e" filled="false" stroked="true" strokeweight=".5pt" strokecolor="#d7000f">
                <v:path arrowok="t"/>
              </v:shape>
            </v:group>
            <v:group style="position:absolute;left:1757;top:3568;width:709;height:2" coordorigin="1757,3568" coordsize="709,2">
              <v:shape style="position:absolute;left:1757;top:3568;width:709;height:2" coordorigin="1757,3568" coordsize="709,0" path="m1757,3568l2466,3568e" filled="false" stroked="true" strokeweight=".5pt" strokecolor="#d7000f">
                <v:path arrowok="t"/>
              </v:shape>
            </v:group>
            <v:group style="position:absolute;left:1757;top:6441;width:709;height:2" coordorigin="1757,6441" coordsize="709,2">
              <v:shape style="position:absolute;left:1757;top:6441;width:709;height:2" coordorigin="1757,6441" coordsize="709,0" path="m1757,6441l2466,6441e" filled="false" stroked="true" strokeweight="3pt" strokecolor="#d7000f">
                <v:path arrowok="t"/>
              </v:shape>
            </v:group>
            <v:group style="position:absolute;left:2466;top:6471;width:8589;height:2" coordorigin="2466,6471" coordsize="8589,2">
              <v:shape style="position:absolute;left:2466;top:6471;width:8589;height:2" coordorigin="2466,6471" coordsize="8589,0" path="m2466,6471l11055,6471e" filled="false" stroked="true" strokeweight=".5pt" strokecolor="#d7000f">
                <v:path arrowok="t"/>
              </v:shape>
            </v:group>
            <v:group style="position:absolute;left:1757;top:6471;width:709;height:2" coordorigin="1757,6471" coordsize="709,2">
              <v:shape style="position:absolute;left:1757;top:6471;width:709;height:2" coordorigin="1757,6471" coordsize="709,0" path="m1757,6471l2466,6471e" filled="false" stroked="true" strokeweight=".5pt" strokecolor="#d7000f">
                <v:path arrowok="t"/>
              </v:shape>
            </v:group>
            <v:group style="position:absolute;left:1757;top:9864;width:709;height:2" coordorigin="1757,9864" coordsize="709,2">
              <v:shape style="position:absolute;left:1757;top:9864;width:709;height:2" coordorigin="1757,9864" coordsize="709,0" path="m1757,9864l2466,9864e" filled="false" stroked="true" strokeweight="3pt" strokecolor="#d7000f">
                <v:path arrowok="t"/>
              </v:shape>
            </v:group>
            <v:group style="position:absolute;left:1757;top:12970;width:709;height:2" coordorigin="1757,12970" coordsize="709,2">
              <v:shape style="position:absolute;left:1757;top:12970;width:709;height:2" coordorigin="1757,12970" coordsize="709,0" path="m1757,12970l2466,12970e" filled="false" stroked="true" strokeweight="3pt" strokecolor="#d7000f">
                <v:path arrowok="t"/>
              </v:shape>
            </v:group>
            <v:group style="position:absolute;left:2466;top:9894;width:8589;height:2" coordorigin="2466,9894" coordsize="8589,2">
              <v:shape style="position:absolute;left:2466;top:9894;width:8589;height:2" coordorigin="2466,9894" coordsize="8589,0" path="m2466,9894l11055,9894e" filled="false" stroked="true" strokeweight=".5pt" strokecolor="#d7000f">
                <v:path arrowok="t"/>
              </v:shape>
            </v:group>
            <v:group style="position:absolute;left:2466;top:13000;width:8589;height:2" coordorigin="2466,13000" coordsize="8589,2">
              <v:shape style="position:absolute;left:2466;top:13000;width:8589;height:2" coordorigin="2466,13000" coordsize="8589,0" path="m2466,13000l11055,13000e" filled="false" stroked="true" strokeweight=".5pt" strokecolor="#d7000f">
                <v:path arrowok="t"/>
              </v:shape>
            </v:group>
            <v:group style="position:absolute;left:1757;top:9894;width:709;height:2" coordorigin="1757,9894" coordsize="709,2">
              <v:shape style="position:absolute;left:1757;top:9894;width:709;height:2" coordorigin="1757,9894" coordsize="709,0" path="m1757,9894l2466,9894e" filled="false" stroked="true" strokeweight=".5pt" strokecolor="#d7000f">
                <v:path arrowok="t"/>
              </v:shape>
            </v:group>
            <v:group style="position:absolute;left:1757;top:13000;width:709;height:2" coordorigin="1757,13000" coordsize="709,2">
              <v:shape style="position:absolute;left:1757;top:13000;width:709;height:2" coordorigin="1757,13000" coordsize="709,0" path="m1757,13000l2466,13000e" filled="false" stroked="true" strokeweight=".5pt" strokecolor="#d7000f">
                <v:path arrowok="t"/>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6"/>
          <w:szCs w:val="16"/>
        </w:rPr>
      </w:pPr>
    </w:p>
    <w:p>
      <w:pPr>
        <w:pStyle w:val="Heading8"/>
        <w:spacing w:line="240" w:lineRule="auto"/>
        <w:ind w:right="764"/>
        <w:jc w:val="left"/>
        <w:rPr>
          <w:rFonts w:ascii="宋体" w:hAnsi="宋体" w:cs="宋体" w:eastAsia="宋体" w:hint="default"/>
        </w:rPr>
      </w:pPr>
      <w:r>
        <w:rPr>
          <w:rFonts w:ascii="宋体" w:hAnsi="宋体" w:cs="宋体" w:eastAsia="宋体" w:hint="default"/>
        </w:rPr>
        <w:t>姜正新</w:t>
      </w:r>
    </w:p>
    <w:p>
      <w:pPr>
        <w:spacing w:line="240" w:lineRule="auto" w:before="1"/>
        <w:rPr>
          <w:rFonts w:ascii="宋体" w:hAnsi="宋体" w:cs="宋体" w:eastAsia="宋体" w:hint="default"/>
          <w:sz w:val="16"/>
          <w:szCs w:val="16"/>
        </w:rPr>
      </w:pPr>
    </w:p>
    <w:p>
      <w:pPr>
        <w:pStyle w:val="BodyText"/>
        <w:spacing w:line="264" w:lineRule="auto" w:before="31"/>
        <w:ind w:left="2494" w:right="764"/>
        <w:jc w:val="left"/>
        <w:rPr>
          <w:rFonts w:ascii="宋体" w:hAnsi="宋体" w:cs="宋体" w:eastAsia="宋体" w:hint="default"/>
        </w:rPr>
      </w:pPr>
      <w:r>
        <w:rPr>
          <w:rFonts w:ascii="宋体" w:hAnsi="宋体" w:cs="宋体" w:eastAsia="宋体" w:hint="default"/>
        </w:rPr>
        <w:t>教授级高级工程师。1982</w:t>
      </w:r>
      <w:r>
        <w:rPr>
          <w:rFonts w:ascii="宋体" w:hAnsi="宋体" w:cs="宋体" w:eastAsia="宋体" w:hint="default"/>
          <w:spacing w:val="-18"/>
        </w:rPr>
        <w:t> </w:t>
      </w:r>
      <w:r>
        <w:rPr>
          <w:rFonts w:ascii="宋体" w:hAnsi="宋体" w:cs="宋体" w:eastAsia="宋体" w:hint="default"/>
        </w:rPr>
        <w:t>年毕业于北京邮电学院无线电技术专业，于</w:t>
      </w:r>
      <w:r>
        <w:rPr>
          <w:rFonts w:ascii="宋体" w:hAnsi="宋体" w:cs="宋体" w:eastAsia="宋体" w:hint="default"/>
          <w:spacing w:val="-18"/>
        </w:rPr>
        <w:t> </w:t>
      </w:r>
      <w:r>
        <w:rPr>
          <w:rFonts w:ascii="宋体" w:hAnsi="宋体" w:cs="宋体" w:eastAsia="宋体" w:hint="default"/>
        </w:rPr>
        <w:t>2001</w:t>
      </w:r>
      <w:r>
        <w:rPr>
          <w:rFonts w:ascii="宋体" w:hAnsi="宋体" w:cs="宋体" w:eastAsia="宋体" w:hint="default"/>
          <w:spacing w:val="-18"/>
        </w:rPr>
        <w:t> </w:t>
      </w:r>
      <w:r>
        <w:rPr>
          <w:rFonts w:ascii="宋体" w:hAnsi="宋体" w:cs="宋体" w:eastAsia="宋体" w:hint="default"/>
        </w:rPr>
        <w:t>年取得吉林大学商学院工商管理</w:t>
      </w:r>
      <w:r>
        <w:rPr>
          <w:rFonts w:ascii="宋体" w:hAnsi="宋体" w:cs="宋体" w:eastAsia="宋体" w:hint="default"/>
          <w:spacing w:val="-62"/>
        </w:rPr>
        <w:t> </w:t>
      </w:r>
      <w:r>
        <w:rPr>
          <w:rFonts w:ascii="宋体" w:hAnsi="宋体" w:cs="宋体" w:eastAsia="宋体" w:hint="default"/>
          <w:spacing w:val="-62"/>
        </w:rPr>
      </w:r>
      <w:r>
        <w:rPr>
          <w:rFonts w:ascii="宋体" w:hAnsi="宋体" w:cs="宋体" w:eastAsia="宋体" w:hint="default"/>
        </w:rPr>
        <w:t>硕士学位，并于</w:t>
      </w:r>
      <w:r>
        <w:rPr>
          <w:rFonts w:ascii="宋体" w:hAnsi="宋体" w:cs="宋体" w:eastAsia="宋体" w:hint="default"/>
          <w:spacing w:val="-30"/>
        </w:rPr>
        <w:t> </w:t>
      </w:r>
      <w:r>
        <w:rPr>
          <w:rFonts w:ascii="宋体" w:hAnsi="宋体" w:cs="宋体" w:eastAsia="宋体" w:hint="default"/>
        </w:rPr>
        <w:t>2006</w:t>
      </w:r>
      <w:r>
        <w:rPr>
          <w:rFonts w:ascii="宋体" w:hAnsi="宋体" w:cs="宋体" w:eastAsia="宋体" w:hint="default"/>
          <w:spacing w:val="-30"/>
        </w:rPr>
        <w:t> </w:t>
      </w:r>
      <w:r>
        <w:rPr>
          <w:rFonts w:ascii="宋体" w:hAnsi="宋体" w:cs="宋体" w:eastAsia="宋体" w:hint="default"/>
        </w:rPr>
        <w:t>年取得吉林大学政治经济学博士学位。姜先生自</w:t>
      </w:r>
      <w:r>
        <w:rPr>
          <w:rFonts w:ascii="宋体" w:hAnsi="宋体" w:cs="宋体" w:eastAsia="宋体" w:hint="default"/>
          <w:spacing w:val="-30"/>
        </w:rPr>
        <w:t> </w:t>
      </w:r>
      <w:r>
        <w:rPr>
          <w:rFonts w:ascii="宋体" w:hAnsi="宋体" w:cs="宋体" w:eastAsia="宋体" w:hint="default"/>
        </w:rPr>
        <w:t>1998</w:t>
      </w:r>
      <w:r>
        <w:rPr>
          <w:rFonts w:ascii="宋体" w:hAnsi="宋体" w:cs="宋体" w:eastAsia="宋体" w:hint="default"/>
          <w:spacing w:val="-30"/>
        </w:rPr>
        <w:t> </w:t>
      </w:r>
      <w:r>
        <w:rPr>
          <w:rFonts w:ascii="宋体" w:hAnsi="宋体" w:cs="宋体" w:eastAsia="宋体" w:hint="default"/>
        </w:rPr>
        <w:t>年</w:t>
      </w:r>
      <w:r>
        <w:rPr>
          <w:rFonts w:ascii="宋体" w:hAnsi="宋体" w:cs="宋体" w:eastAsia="宋体" w:hint="default"/>
          <w:spacing w:val="-30"/>
        </w:rPr>
        <w:t> </w:t>
      </w:r>
      <w:r>
        <w:rPr>
          <w:rFonts w:ascii="宋体" w:hAnsi="宋体" w:cs="宋体" w:eastAsia="宋体" w:hint="default"/>
        </w:rPr>
        <w:t>2</w:t>
      </w:r>
      <w:r>
        <w:rPr>
          <w:rFonts w:ascii="宋体" w:hAnsi="宋体" w:cs="宋体" w:eastAsia="宋体" w:hint="default"/>
          <w:spacing w:val="-30"/>
        </w:rPr>
        <w:t> </w:t>
      </w:r>
      <w:r>
        <w:rPr>
          <w:rFonts w:ascii="宋体" w:hAnsi="宋体" w:cs="宋体" w:eastAsia="宋体" w:hint="default"/>
        </w:rPr>
        <w:t>月至</w:t>
      </w:r>
      <w:r>
        <w:rPr>
          <w:rFonts w:ascii="宋体" w:hAnsi="宋体" w:cs="宋体" w:eastAsia="宋体" w:hint="default"/>
          <w:spacing w:val="-30"/>
        </w:rPr>
        <w:t> </w:t>
      </w:r>
      <w:r>
        <w:rPr>
          <w:rFonts w:ascii="宋体" w:hAnsi="宋体" w:cs="宋体" w:eastAsia="宋体" w:hint="default"/>
        </w:rPr>
        <w:t>1999</w:t>
      </w:r>
      <w:r>
        <w:rPr>
          <w:rFonts w:ascii="宋体" w:hAnsi="宋体" w:cs="宋体" w:eastAsia="宋体" w:hint="default"/>
          <w:spacing w:val="-30"/>
        </w:rPr>
        <w:t> </w:t>
      </w:r>
      <w:r>
        <w:rPr>
          <w:rFonts w:ascii="宋体" w:hAnsi="宋体" w:cs="宋体" w:eastAsia="宋体" w:hint="default"/>
        </w:rPr>
        <w:t>年</w:t>
      </w:r>
      <w:r>
        <w:rPr>
          <w:rFonts w:ascii="宋体" w:hAnsi="宋体" w:cs="宋体" w:eastAsia="宋体" w:hint="default"/>
          <w:spacing w:val="-30"/>
        </w:rPr>
        <w:t> </w:t>
      </w:r>
      <w:r>
        <w:rPr>
          <w:rFonts w:ascii="宋体" w:hAnsi="宋体" w:cs="宋体" w:eastAsia="宋体" w:hint="default"/>
        </w:rPr>
        <w:t>7</w:t>
      </w:r>
      <w:r>
        <w:rPr>
          <w:rFonts w:ascii="宋体" w:hAnsi="宋体" w:cs="宋体" w:eastAsia="宋体" w:hint="default"/>
          <w:spacing w:val="-30"/>
        </w:rPr>
        <w:t> </w:t>
      </w:r>
      <w:r>
        <w:rPr>
          <w:rFonts w:ascii="宋体" w:hAnsi="宋体" w:cs="宋体" w:eastAsia="宋体" w:hint="default"/>
        </w:rPr>
        <w:t>月，曾任吉</w:t>
      </w:r>
    </w:p>
    <w:p>
      <w:pPr>
        <w:pStyle w:val="BodyText"/>
        <w:spacing w:line="240" w:lineRule="auto" w:before="6"/>
        <w:ind w:left="2494" w:right="764"/>
        <w:jc w:val="left"/>
        <w:rPr>
          <w:rFonts w:ascii="宋体" w:hAnsi="宋体" w:cs="宋体" w:eastAsia="宋体" w:hint="default"/>
        </w:rPr>
      </w:pPr>
      <w:r>
        <w:rPr>
          <w:rFonts w:ascii="宋体" w:hAnsi="宋体" w:cs="宋体" w:eastAsia="宋体" w:hint="default"/>
          <w:w w:val="105"/>
        </w:rPr>
        <w:t>林省长春市电信局副局长。自</w:t>
      </w:r>
      <w:r>
        <w:rPr>
          <w:rFonts w:ascii="宋体" w:hAnsi="宋体" w:cs="宋体" w:eastAsia="宋体" w:hint="default"/>
          <w:spacing w:val="-68"/>
          <w:w w:val="105"/>
        </w:rPr>
        <w:t> </w:t>
      </w:r>
      <w:r>
        <w:rPr>
          <w:rFonts w:ascii="宋体" w:hAnsi="宋体" w:cs="宋体" w:eastAsia="宋体" w:hint="default"/>
          <w:w w:val="105"/>
        </w:rPr>
        <w:t>1999</w:t>
      </w:r>
      <w:r>
        <w:rPr>
          <w:rFonts w:ascii="宋体" w:hAnsi="宋体" w:cs="宋体" w:eastAsia="宋体" w:hint="default"/>
          <w:spacing w:val="-68"/>
          <w:w w:val="105"/>
        </w:rPr>
        <w:t> </w:t>
      </w:r>
      <w:r>
        <w:rPr>
          <w:rFonts w:ascii="宋体" w:hAnsi="宋体" w:cs="宋体" w:eastAsia="宋体" w:hint="default"/>
          <w:w w:val="105"/>
        </w:rPr>
        <w:t>年</w:t>
      </w:r>
      <w:r>
        <w:rPr>
          <w:rFonts w:ascii="宋体" w:hAnsi="宋体" w:cs="宋体" w:eastAsia="宋体" w:hint="default"/>
          <w:spacing w:val="-68"/>
          <w:w w:val="105"/>
        </w:rPr>
        <w:t> </w:t>
      </w:r>
      <w:r>
        <w:rPr>
          <w:rFonts w:ascii="宋体" w:hAnsi="宋体" w:cs="宋体" w:eastAsia="宋体" w:hint="default"/>
          <w:w w:val="105"/>
        </w:rPr>
        <w:t>7</w:t>
      </w:r>
      <w:r>
        <w:rPr>
          <w:rFonts w:ascii="宋体" w:hAnsi="宋体" w:cs="宋体" w:eastAsia="宋体" w:hint="default"/>
          <w:spacing w:val="-68"/>
          <w:w w:val="105"/>
        </w:rPr>
        <w:t> </w:t>
      </w:r>
      <w:r>
        <w:rPr>
          <w:rFonts w:ascii="宋体" w:hAnsi="宋体" w:cs="宋体" w:eastAsia="宋体" w:hint="default"/>
          <w:w w:val="105"/>
        </w:rPr>
        <w:t>月至</w:t>
      </w:r>
      <w:r>
        <w:rPr>
          <w:rFonts w:ascii="宋体" w:hAnsi="宋体" w:cs="宋体" w:eastAsia="宋体" w:hint="default"/>
          <w:spacing w:val="-68"/>
          <w:w w:val="105"/>
        </w:rPr>
        <w:t> </w:t>
      </w:r>
      <w:r>
        <w:rPr>
          <w:rFonts w:ascii="宋体" w:hAnsi="宋体" w:cs="宋体" w:eastAsia="宋体" w:hint="default"/>
          <w:w w:val="105"/>
        </w:rPr>
        <w:t>2004</w:t>
      </w:r>
      <w:r>
        <w:rPr>
          <w:rFonts w:ascii="宋体" w:hAnsi="宋体" w:cs="宋体" w:eastAsia="宋体" w:hint="default"/>
          <w:spacing w:val="-68"/>
          <w:w w:val="105"/>
        </w:rPr>
        <w:t> </w:t>
      </w:r>
      <w:r>
        <w:rPr>
          <w:rFonts w:ascii="宋体" w:hAnsi="宋体" w:cs="宋体" w:eastAsia="宋体" w:hint="default"/>
          <w:w w:val="105"/>
        </w:rPr>
        <w:t>年</w:t>
      </w:r>
      <w:r>
        <w:rPr>
          <w:rFonts w:ascii="宋体" w:hAnsi="宋体" w:cs="宋体" w:eastAsia="宋体" w:hint="default"/>
          <w:spacing w:val="-68"/>
          <w:w w:val="105"/>
        </w:rPr>
        <w:t> </w:t>
      </w:r>
      <w:r>
        <w:rPr>
          <w:rFonts w:ascii="宋体" w:hAnsi="宋体" w:cs="宋体" w:eastAsia="宋体" w:hint="default"/>
          <w:w w:val="105"/>
        </w:rPr>
        <w:t>3</w:t>
      </w:r>
      <w:r>
        <w:rPr>
          <w:rFonts w:ascii="宋体" w:hAnsi="宋体" w:cs="宋体" w:eastAsia="宋体" w:hint="default"/>
          <w:spacing w:val="-68"/>
          <w:w w:val="105"/>
        </w:rPr>
        <w:t> </w:t>
      </w:r>
      <w:r>
        <w:rPr>
          <w:rFonts w:ascii="宋体" w:hAnsi="宋体" w:cs="宋体" w:eastAsia="宋体" w:hint="default"/>
          <w:w w:val="105"/>
        </w:rPr>
        <w:t>月，曾任吉林移动通信公司副总经理。自</w:t>
      </w:r>
      <w:r>
        <w:rPr>
          <w:rFonts w:ascii="宋体" w:hAnsi="宋体" w:cs="宋体" w:eastAsia="宋体" w:hint="default"/>
          <w:spacing w:val="-68"/>
          <w:w w:val="105"/>
        </w:rPr>
        <w:t> </w:t>
      </w:r>
      <w:r>
        <w:rPr>
          <w:rFonts w:ascii="宋体" w:hAnsi="宋体" w:cs="宋体" w:eastAsia="宋体" w:hint="default"/>
          <w:w w:val="105"/>
        </w:rPr>
        <w:t>2004</w:t>
      </w:r>
      <w:r>
        <w:rPr>
          <w:rFonts w:ascii="宋体" w:hAnsi="宋体" w:cs="宋体" w:eastAsia="宋体" w:hint="default"/>
          <w:spacing w:val="-68"/>
          <w:w w:val="105"/>
        </w:rPr>
        <w:t> </w:t>
      </w:r>
      <w:r>
        <w:rPr>
          <w:rFonts w:ascii="宋体" w:hAnsi="宋体" w:cs="宋体" w:eastAsia="宋体" w:hint="default"/>
          <w:w w:val="105"/>
        </w:rPr>
        <w:t>年</w:t>
      </w:r>
      <w:r>
        <w:rPr>
          <w:rFonts w:ascii="宋体" w:hAnsi="宋体" w:cs="宋体" w:eastAsia="宋体" w:hint="default"/>
          <w:spacing w:val="-68"/>
          <w:w w:val="105"/>
        </w:rPr>
        <w:t> </w:t>
      </w:r>
      <w:r>
        <w:rPr>
          <w:rFonts w:ascii="宋体" w:hAnsi="宋体" w:cs="宋体" w:eastAsia="宋体" w:hint="default"/>
          <w:w w:val="105"/>
        </w:rPr>
        <w:t>3</w:t>
      </w:r>
      <w:r>
        <w:rPr>
          <w:rFonts w:ascii="宋体" w:hAnsi="宋体" w:cs="宋体" w:eastAsia="宋体" w:hint="default"/>
        </w:rPr>
      </w:r>
    </w:p>
    <w:p>
      <w:pPr>
        <w:pStyle w:val="BodyText"/>
        <w:spacing w:line="240" w:lineRule="auto" w:before="24"/>
        <w:ind w:left="2494" w:right="764"/>
        <w:jc w:val="left"/>
        <w:rPr>
          <w:rFonts w:ascii="宋体" w:hAnsi="宋体" w:cs="宋体" w:eastAsia="宋体" w:hint="default"/>
        </w:rPr>
      </w:pPr>
      <w:r>
        <w:rPr>
          <w:rFonts w:ascii="宋体" w:hAnsi="宋体" w:cs="宋体" w:eastAsia="宋体" w:hint="default"/>
          <w:w w:val="105"/>
        </w:rPr>
        <w:t>月至</w:t>
      </w:r>
      <w:r>
        <w:rPr>
          <w:rFonts w:ascii="宋体" w:hAnsi="宋体" w:cs="宋体" w:eastAsia="宋体" w:hint="default"/>
          <w:spacing w:val="-69"/>
          <w:w w:val="105"/>
        </w:rPr>
        <w:t> </w:t>
      </w:r>
      <w:r>
        <w:rPr>
          <w:rFonts w:ascii="宋体" w:hAnsi="宋体" w:cs="宋体" w:eastAsia="宋体" w:hint="default"/>
          <w:w w:val="105"/>
        </w:rPr>
        <w:t>2004</w:t>
      </w:r>
      <w:r>
        <w:rPr>
          <w:rFonts w:ascii="宋体" w:hAnsi="宋体" w:cs="宋体" w:eastAsia="宋体" w:hint="default"/>
          <w:spacing w:val="-69"/>
          <w:w w:val="105"/>
        </w:rPr>
        <w:t> </w:t>
      </w:r>
      <w:r>
        <w:rPr>
          <w:rFonts w:ascii="宋体" w:hAnsi="宋体" w:cs="宋体" w:eastAsia="宋体" w:hint="default"/>
          <w:w w:val="105"/>
        </w:rPr>
        <w:t>年</w:t>
      </w:r>
      <w:r>
        <w:rPr>
          <w:rFonts w:ascii="宋体" w:hAnsi="宋体" w:cs="宋体" w:eastAsia="宋体" w:hint="default"/>
          <w:spacing w:val="-69"/>
          <w:w w:val="105"/>
        </w:rPr>
        <w:t> </w:t>
      </w:r>
      <w:r>
        <w:rPr>
          <w:rFonts w:ascii="宋体" w:hAnsi="宋体" w:cs="宋体" w:eastAsia="宋体" w:hint="default"/>
          <w:w w:val="105"/>
        </w:rPr>
        <w:t>6</w:t>
      </w:r>
      <w:r>
        <w:rPr>
          <w:rFonts w:ascii="宋体" w:hAnsi="宋体" w:cs="宋体" w:eastAsia="宋体" w:hint="default"/>
          <w:spacing w:val="-69"/>
          <w:w w:val="105"/>
        </w:rPr>
        <w:t> </w:t>
      </w:r>
      <w:r>
        <w:rPr>
          <w:rFonts w:ascii="宋体" w:hAnsi="宋体" w:cs="宋体" w:eastAsia="宋体" w:hint="default"/>
          <w:w w:val="105"/>
        </w:rPr>
        <w:t>月，曾任网通集团南方通信有限公司副总经理。自</w:t>
      </w:r>
      <w:r>
        <w:rPr>
          <w:rFonts w:ascii="宋体" w:hAnsi="宋体" w:cs="宋体" w:eastAsia="宋体" w:hint="default"/>
          <w:spacing w:val="-69"/>
          <w:w w:val="105"/>
        </w:rPr>
        <w:t> </w:t>
      </w:r>
      <w:r>
        <w:rPr>
          <w:rFonts w:ascii="宋体" w:hAnsi="宋体" w:cs="宋体" w:eastAsia="宋体" w:hint="default"/>
          <w:w w:val="105"/>
        </w:rPr>
        <w:t>2004</w:t>
      </w:r>
      <w:r>
        <w:rPr>
          <w:rFonts w:ascii="宋体" w:hAnsi="宋体" w:cs="宋体" w:eastAsia="宋体" w:hint="default"/>
          <w:spacing w:val="-69"/>
          <w:w w:val="105"/>
        </w:rPr>
        <w:t> </w:t>
      </w:r>
      <w:r>
        <w:rPr>
          <w:rFonts w:ascii="宋体" w:hAnsi="宋体" w:cs="宋体" w:eastAsia="宋体" w:hint="default"/>
          <w:w w:val="105"/>
        </w:rPr>
        <w:t>年</w:t>
      </w:r>
      <w:r>
        <w:rPr>
          <w:rFonts w:ascii="宋体" w:hAnsi="宋体" w:cs="宋体" w:eastAsia="宋体" w:hint="default"/>
          <w:spacing w:val="-69"/>
          <w:w w:val="105"/>
        </w:rPr>
        <w:t> </w:t>
      </w:r>
      <w:r>
        <w:rPr>
          <w:rFonts w:ascii="宋体" w:hAnsi="宋体" w:cs="宋体" w:eastAsia="宋体" w:hint="default"/>
          <w:w w:val="105"/>
        </w:rPr>
        <w:t>6</w:t>
      </w:r>
      <w:r>
        <w:rPr>
          <w:rFonts w:ascii="宋体" w:hAnsi="宋体" w:cs="宋体" w:eastAsia="宋体" w:hint="default"/>
          <w:spacing w:val="-69"/>
          <w:w w:val="105"/>
        </w:rPr>
        <w:t> </w:t>
      </w:r>
      <w:r>
        <w:rPr>
          <w:rFonts w:ascii="宋体" w:hAnsi="宋体" w:cs="宋体" w:eastAsia="宋体" w:hint="default"/>
          <w:w w:val="105"/>
        </w:rPr>
        <w:t>月至</w:t>
      </w:r>
      <w:r>
        <w:rPr>
          <w:rFonts w:ascii="宋体" w:hAnsi="宋体" w:cs="宋体" w:eastAsia="宋体" w:hint="default"/>
          <w:spacing w:val="-69"/>
          <w:w w:val="105"/>
        </w:rPr>
        <w:t> </w:t>
      </w:r>
      <w:r>
        <w:rPr>
          <w:rFonts w:ascii="宋体" w:hAnsi="宋体" w:cs="宋体" w:eastAsia="宋体" w:hint="default"/>
          <w:w w:val="105"/>
        </w:rPr>
        <w:t>2007</w:t>
      </w:r>
      <w:r>
        <w:rPr>
          <w:rFonts w:ascii="宋体" w:hAnsi="宋体" w:cs="宋体" w:eastAsia="宋体" w:hint="default"/>
          <w:spacing w:val="-69"/>
          <w:w w:val="105"/>
        </w:rPr>
        <w:t> </w:t>
      </w:r>
      <w:r>
        <w:rPr>
          <w:rFonts w:ascii="宋体" w:hAnsi="宋体" w:cs="宋体" w:eastAsia="宋体" w:hint="default"/>
          <w:w w:val="105"/>
        </w:rPr>
        <w:t>年</w:t>
      </w:r>
      <w:r>
        <w:rPr>
          <w:rFonts w:ascii="宋体" w:hAnsi="宋体" w:cs="宋体" w:eastAsia="宋体" w:hint="default"/>
          <w:spacing w:val="-69"/>
          <w:w w:val="105"/>
        </w:rPr>
        <w:t> </w:t>
      </w:r>
      <w:r>
        <w:rPr>
          <w:rFonts w:ascii="宋体" w:hAnsi="宋体" w:cs="宋体" w:eastAsia="宋体" w:hint="default"/>
          <w:w w:val="105"/>
        </w:rPr>
        <w:t>9</w:t>
      </w:r>
      <w:r>
        <w:rPr>
          <w:rFonts w:ascii="宋体" w:hAnsi="宋体" w:cs="宋体" w:eastAsia="宋体" w:hint="default"/>
          <w:spacing w:val="-69"/>
          <w:w w:val="105"/>
        </w:rPr>
        <w:t> </w:t>
      </w:r>
      <w:r>
        <w:rPr>
          <w:rFonts w:ascii="宋体" w:hAnsi="宋体" w:cs="宋体" w:eastAsia="宋体" w:hint="default"/>
          <w:w w:val="105"/>
        </w:rPr>
        <w:t>月，曾任网通集</w:t>
      </w:r>
    </w:p>
    <w:p>
      <w:pPr>
        <w:pStyle w:val="BodyText"/>
        <w:spacing w:line="240" w:lineRule="auto" w:before="24"/>
        <w:ind w:left="2494" w:right="764"/>
        <w:jc w:val="left"/>
        <w:rPr>
          <w:rFonts w:ascii="宋体" w:hAnsi="宋体" w:cs="宋体" w:eastAsia="宋体" w:hint="default"/>
        </w:rPr>
      </w:pPr>
      <w:r>
        <w:rPr>
          <w:rFonts w:ascii="宋体" w:hAnsi="宋体" w:cs="宋体" w:eastAsia="宋体" w:hint="default"/>
        </w:rPr>
        <w:t>团浙江省分公司总经理。自</w:t>
      </w:r>
      <w:r>
        <w:rPr>
          <w:rFonts w:ascii="宋体" w:hAnsi="宋体" w:cs="宋体" w:eastAsia="宋体" w:hint="default"/>
          <w:spacing w:val="-27"/>
        </w:rPr>
        <w:t> </w:t>
      </w:r>
      <w:r>
        <w:rPr>
          <w:rFonts w:ascii="宋体" w:hAnsi="宋体" w:cs="宋体" w:eastAsia="宋体" w:hint="default"/>
        </w:rPr>
        <w:t>2007</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9</w:t>
      </w:r>
      <w:r>
        <w:rPr>
          <w:rFonts w:ascii="宋体" w:hAnsi="宋体" w:cs="宋体" w:eastAsia="宋体" w:hint="default"/>
          <w:spacing w:val="-27"/>
        </w:rPr>
        <w:t> </w:t>
      </w:r>
      <w:r>
        <w:rPr>
          <w:rFonts w:ascii="宋体" w:hAnsi="宋体" w:cs="宋体" w:eastAsia="宋体" w:hint="default"/>
        </w:rPr>
        <w:t>月亦担任网通集团副总经理。2009</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2</w:t>
      </w:r>
      <w:r>
        <w:rPr>
          <w:rFonts w:ascii="宋体" w:hAnsi="宋体" w:cs="宋体" w:eastAsia="宋体" w:hint="default"/>
          <w:spacing w:val="-27"/>
        </w:rPr>
        <w:t> </w:t>
      </w:r>
      <w:r>
        <w:rPr>
          <w:rFonts w:ascii="宋体" w:hAnsi="宋体" w:cs="宋体" w:eastAsia="宋体" w:hint="default"/>
        </w:rPr>
        <w:t>月起曾担任联通红筹公司高级</w:t>
      </w:r>
    </w:p>
    <w:p>
      <w:pPr>
        <w:pStyle w:val="BodyText"/>
        <w:spacing w:line="240" w:lineRule="auto" w:before="24"/>
        <w:ind w:left="2494" w:right="764"/>
        <w:jc w:val="left"/>
        <w:rPr>
          <w:rFonts w:ascii="宋体" w:hAnsi="宋体" w:cs="宋体" w:eastAsia="宋体" w:hint="default"/>
        </w:rPr>
      </w:pPr>
      <w:r>
        <w:rPr>
          <w:rFonts w:ascii="宋体" w:hAnsi="宋体" w:cs="宋体" w:eastAsia="宋体" w:hint="default"/>
          <w:spacing w:val="2"/>
        </w:rPr>
        <w:t>副总裁，联通集团副总经理，联通运营公司董事及高级副总裁。自</w:t>
      </w:r>
      <w:r>
        <w:rPr>
          <w:rFonts w:ascii="宋体" w:hAnsi="宋体" w:cs="宋体" w:eastAsia="宋体" w:hint="default"/>
          <w:spacing w:val="-27"/>
        </w:rPr>
        <w:t> </w:t>
      </w:r>
      <w:r>
        <w:rPr>
          <w:rFonts w:ascii="宋体" w:hAnsi="宋体" w:cs="宋体" w:eastAsia="宋体" w:hint="default"/>
        </w:rPr>
        <w:t>2015</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6</w:t>
      </w:r>
      <w:r>
        <w:rPr>
          <w:rFonts w:ascii="宋体" w:hAnsi="宋体" w:cs="宋体" w:eastAsia="宋体" w:hint="default"/>
          <w:spacing w:val="-27"/>
        </w:rPr>
        <w:t> </w:t>
      </w:r>
      <w:r>
        <w:rPr>
          <w:rFonts w:ascii="宋体" w:hAnsi="宋体" w:cs="宋体" w:eastAsia="宋体" w:hint="default"/>
          <w:spacing w:val="2"/>
        </w:rPr>
        <w:t>月起任本公司监事会主席。姜</w:t>
      </w:r>
      <w:r>
        <w:rPr>
          <w:rFonts w:ascii="宋体" w:hAnsi="宋体" w:cs="宋体" w:eastAsia="宋体" w:hint="default"/>
        </w:rPr>
      </w:r>
    </w:p>
    <w:p>
      <w:pPr>
        <w:pStyle w:val="BodyText"/>
        <w:spacing w:line="240" w:lineRule="auto" w:before="24"/>
        <w:ind w:left="2494" w:right="764"/>
        <w:jc w:val="left"/>
        <w:rPr>
          <w:rFonts w:ascii="宋体" w:hAnsi="宋体" w:cs="宋体" w:eastAsia="宋体" w:hint="default"/>
        </w:rPr>
      </w:pPr>
      <w:r>
        <w:rPr>
          <w:rFonts w:ascii="宋体" w:hAnsi="宋体" w:cs="宋体" w:eastAsia="宋体" w:hint="default"/>
        </w:rPr>
        <w:t>正新先生长期在电信行业工作，具有丰富的管理经验。姜先生自</w:t>
      </w:r>
      <w:r>
        <w:rPr>
          <w:rFonts w:ascii="宋体" w:hAnsi="宋体" w:cs="宋体" w:eastAsia="宋体" w:hint="default"/>
          <w:spacing w:val="-32"/>
        </w:rPr>
        <w:t> </w:t>
      </w:r>
      <w:r>
        <w:rPr>
          <w:rFonts w:ascii="宋体" w:hAnsi="宋体" w:cs="宋体" w:eastAsia="宋体" w:hint="default"/>
        </w:rPr>
        <w:t>2015</w:t>
      </w:r>
      <w:r>
        <w:rPr>
          <w:rFonts w:ascii="宋体" w:hAnsi="宋体" w:cs="宋体" w:eastAsia="宋体" w:hint="default"/>
          <w:spacing w:val="-32"/>
        </w:rPr>
        <w:t> </w:t>
      </w:r>
      <w:r>
        <w:rPr>
          <w:rFonts w:ascii="宋体" w:hAnsi="宋体" w:cs="宋体" w:eastAsia="宋体" w:hint="default"/>
        </w:rPr>
        <w:t>年</w:t>
      </w:r>
      <w:r>
        <w:rPr>
          <w:rFonts w:ascii="宋体" w:hAnsi="宋体" w:cs="宋体" w:eastAsia="宋体" w:hint="default"/>
          <w:spacing w:val="-32"/>
        </w:rPr>
        <w:t> </w:t>
      </w:r>
      <w:r>
        <w:rPr>
          <w:rFonts w:ascii="宋体" w:hAnsi="宋体" w:cs="宋体" w:eastAsia="宋体" w:hint="default"/>
        </w:rPr>
        <w:t>6</w:t>
      </w:r>
      <w:r>
        <w:rPr>
          <w:rFonts w:ascii="宋体" w:hAnsi="宋体" w:cs="宋体" w:eastAsia="宋体" w:hint="default"/>
          <w:spacing w:val="-32"/>
        </w:rPr>
        <w:t> </w:t>
      </w:r>
      <w:r>
        <w:rPr>
          <w:rFonts w:ascii="宋体" w:hAnsi="宋体" w:cs="宋体" w:eastAsia="宋体" w:hint="default"/>
        </w:rPr>
        <w:t>月起担任本公司监事，自</w:t>
      </w:r>
      <w:r>
        <w:rPr>
          <w:rFonts w:ascii="宋体" w:hAnsi="宋体" w:cs="宋体" w:eastAsia="宋体" w:hint="default"/>
          <w:spacing w:val="-32"/>
        </w:rPr>
        <w:t> </w:t>
      </w:r>
      <w:r>
        <w:rPr>
          <w:rFonts w:ascii="宋体" w:hAnsi="宋体" w:cs="宋体" w:eastAsia="宋体" w:hint="default"/>
        </w:rPr>
        <w:t>2018</w:t>
      </w:r>
      <w:r>
        <w:rPr>
          <w:rFonts w:ascii="宋体" w:hAnsi="宋体" w:cs="宋体" w:eastAsia="宋体" w:hint="default"/>
          <w:spacing w:val="-32"/>
        </w:rPr>
        <w:t> </w:t>
      </w:r>
      <w:r>
        <w:rPr>
          <w:rFonts w:ascii="宋体" w:hAnsi="宋体" w:cs="宋体" w:eastAsia="宋体" w:hint="default"/>
        </w:rPr>
        <w:t>年</w:t>
      </w:r>
    </w:p>
    <w:p>
      <w:pPr>
        <w:pStyle w:val="BodyText"/>
        <w:spacing w:line="240" w:lineRule="auto" w:before="24"/>
        <w:ind w:left="2494" w:right="764"/>
        <w:jc w:val="left"/>
        <w:rPr>
          <w:rFonts w:ascii="宋体" w:hAnsi="宋体" w:cs="宋体" w:eastAsia="宋体" w:hint="default"/>
        </w:rPr>
      </w:pPr>
      <w:r>
        <w:rPr>
          <w:rFonts w:ascii="宋体" w:hAnsi="宋体" w:cs="宋体" w:eastAsia="宋体" w:hint="default"/>
        </w:rPr>
        <w:t>2</w:t>
      </w:r>
      <w:r>
        <w:rPr>
          <w:rFonts w:ascii="宋体" w:hAnsi="宋体" w:cs="宋体" w:eastAsia="宋体" w:hint="default"/>
          <w:spacing w:val="-37"/>
        </w:rPr>
        <w:t> </w:t>
      </w:r>
      <w:r>
        <w:rPr>
          <w:rFonts w:ascii="宋体" w:hAnsi="宋体" w:cs="宋体" w:eastAsia="宋体" w:hint="default"/>
        </w:rPr>
        <w:t>月因公司监事会换届离任。</w:t>
      </w:r>
    </w:p>
    <w:p>
      <w:pPr>
        <w:spacing w:line="240" w:lineRule="auto" w:before="12"/>
        <w:rPr>
          <w:rFonts w:ascii="宋体" w:hAnsi="宋体" w:cs="宋体" w:eastAsia="宋体" w:hint="default"/>
          <w:sz w:val="22"/>
          <w:szCs w:val="22"/>
        </w:rPr>
      </w:pPr>
    </w:p>
    <w:p>
      <w:pPr>
        <w:pStyle w:val="Heading8"/>
        <w:spacing w:line="240" w:lineRule="auto"/>
        <w:ind w:right="764"/>
        <w:jc w:val="left"/>
        <w:rPr>
          <w:rFonts w:ascii="宋体" w:hAnsi="宋体" w:cs="宋体" w:eastAsia="宋体" w:hint="default"/>
        </w:rPr>
      </w:pPr>
      <w:r>
        <w:rPr>
          <w:rFonts w:ascii="宋体" w:hAnsi="宋体" w:cs="宋体" w:eastAsia="宋体" w:hint="default"/>
        </w:rPr>
        <w:t>汪世昌</w:t>
      </w:r>
    </w:p>
    <w:p>
      <w:pPr>
        <w:spacing w:line="240" w:lineRule="auto" w:before="1"/>
        <w:rPr>
          <w:rFonts w:ascii="宋体" w:hAnsi="宋体" w:cs="宋体" w:eastAsia="宋体" w:hint="default"/>
          <w:sz w:val="16"/>
          <w:szCs w:val="16"/>
        </w:rPr>
      </w:pPr>
    </w:p>
    <w:p>
      <w:pPr>
        <w:pStyle w:val="BodyText"/>
        <w:spacing w:line="264" w:lineRule="auto" w:before="31"/>
        <w:ind w:left="2494" w:right="844"/>
        <w:jc w:val="both"/>
        <w:rPr>
          <w:rFonts w:ascii="宋体" w:hAnsi="宋体" w:cs="宋体" w:eastAsia="宋体" w:hint="default"/>
        </w:rPr>
      </w:pPr>
      <w:r>
        <w:rPr>
          <w:rFonts w:ascii="宋体" w:hAnsi="宋体" w:cs="宋体" w:eastAsia="宋体" w:hint="default"/>
        </w:rPr>
        <w:t>高级工程师。于</w:t>
      </w:r>
      <w:r>
        <w:rPr>
          <w:rFonts w:ascii="宋体" w:hAnsi="宋体" w:cs="宋体" w:eastAsia="宋体" w:hint="default"/>
          <w:spacing w:val="-30"/>
        </w:rPr>
        <w:t> </w:t>
      </w:r>
      <w:r>
        <w:rPr>
          <w:rFonts w:ascii="宋体" w:hAnsi="宋体" w:cs="宋体" w:eastAsia="宋体" w:hint="default"/>
        </w:rPr>
        <w:t>1982</w:t>
      </w:r>
      <w:r>
        <w:rPr>
          <w:rFonts w:ascii="宋体" w:hAnsi="宋体" w:cs="宋体" w:eastAsia="宋体" w:hint="default"/>
          <w:spacing w:val="-30"/>
        </w:rPr>
        <w:t> </w:t>
      </w:r>
      <w:r>
        <w:rPr>
          <w:rFonts w:ascii="宋体" w:hAnsi="宋体" w:cs="宋体" w:eastAsia="宋体" w:hint="default"/>
        </w:rPr>
        <w:t>年毕业于南京邮电学院有线系程控交换本科专业，于</w:t>
      </w:r>
      <w:r>
        <w:rPr>
          <w:rFonts w:ascii="宋体" w:hAnsi="宋体" w:cs="宋体" w:eastAsia="宋体" w:hint="default"/>
          <w:spacing w:val="-30"/>
        </w:rPr>
        <w:t> </w:t>
      </w:r>
      <w:r>
        <w:rPr>
          <w:rFonts w:ascii="宋体" w:hAnsi="宋体" w:cs="宋体" w:eastAsia="宋体" w:hint="default"/>
        </w:rPr>
        <w:t>2010</w:t>
      </w:r>
      <w:r>
        <w:rPr>
          <w:rFonts w:ascii="宋体" w:hAnsi="宋体" w:cs="宋体" w:eastAsia="宋体" w:hint="default"/>
          <w:spacing w:val="-30"/>
        </w:rPr>
        <w:t> </w:t>
      </w:r>
      <w:r>
        <w:rPr>
          <w:rFonts w:ascii="宋体" w:hAnsi="宋体" w:cs="宋体" w:eastAsia="宋体" w:hint="default"/>
        </w:rPr>
        <w:t>年获得剑桥商学院管理学博</w:t>
      </w:r>
      <w:r>
        <w:rPr>
          <w:rFonts w:ascii="宋体" w:hAnsi="宋体" w:cs="宋体" w:eastAsia="宋体" w:hint="default"/>
          <w:spacing w:val="-78"/>
        </w:rPr>
        <w:t> </w:t>
      </w:r>
      <w:r>
        <w:rPr>
          <w:rFonts w:ascii="宋体" w:hAnsi="宋体" w:cs="宋体" w:eastAsia="宋体" w:hint="default"/>
          <w:spacing w:val="-78"/>
        </w:rPr>
      </w:r>
      <w:r>
        <w:rPr>
          <w:rFonts w:ascii="宋体" w:hAnsi="宋体" w:cs="宋体" w:eastAsia="宋体" w:hint="default"/>
        </w:rPr>
        <w:t>士学位。曾先后担任长沙电信局总工室副主任、长沙市电信局程控办副主任、湖南省电信局总工办工程师、</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spacing w:val="3"/>
        </w:rPr>
        <w:t>湖南省“165”重点通信工程办公室工程师、湖南省电信局计划处副主任工程师、湖南省数据通信局局长、</w:t>
      </w:r>
      <w:r>
        <w:rPr>
          <w:rFonts w:ascii="宋体" w:hAnsi="宋体" w:cs="宋体" w:eastAsia="宋体" w:hint="default"/>
          <w:spacing w:val="-52"/>
        </w:rPr>
        <w:t> </w:t>
      </w:r>
      <w:r>
        <w:rPr>
          <w:rFonts w:ascii="宋体" w:hAnsi="宋体" w:cs="宋体" w:eastAsia="宋体" w:hint="default"/>
          <w:spacing w:val="-52"/>
        </w:rPr>
      </w:r>
      <w:r>
        <w:rPr>
          <w:rFonts w:ascii="宋体" w:hAnsi="宋体" w:cs="宋体" w:eastAsia="宋体" w:hint="default"/>
        </w:rPr>
        <w:t>湖南省多媒体通信局局长。2000</w:t>
      </w:r>
      <w:r>
        <w:rPr>
          <w:rFonts w:ascii="宋体" w:hAnsi="宋体" w:cs="宋体" w:eastAsia="宋体" w:hint="default"/>
          <w:spacing w:val="-22"/>
        </w:rPr>
        <w:t> </w:t>
      </w:r>
      <w:r>
        <w:rPr>
          <w:rFonts w:ascii="宋体" w:hAnsi="宋体" w:cs="宋体" w:eastAsia="宋体" w:hint="default"/>
        </w:rPr>
        <w:t>年</w:t>
      </w:r>
      <w:r>
        <w:rPr>
          <w:rFonts w:ascii="宋体" w:hAnsi="宋体" w:cs="宋体" w:eastAsia="宋体" w:hint="default"/>
          <w:spacing w:val="-21"/>
        </w:rPr>
        <w:t> </w:t>
      </w:r>
      <w:r>
        <w:rPr>
          <w:rFonts w:ascii="宋体" w:hAnsi="宋体" w:cs="宋体" w:eastAsia="宋体" w:hint="default"/>
        </w:rPr>
        <w:t>9</w:t>
      </w:r>
      <w:r>
        <w:rPr>
          <w:rFonts w:ascii="宋体" w:hAnsi="宋体" w:cs="宋体" w:eastAsia="宋体" w:hint="default"/>
          <w:spacing w:val="-22"/>
        </w:rPr>
        <w:t> </w:t>
      </w:r>
      <w:r>
        <w:rPr>
          <w:rFonts w:ascii="宋体" w:hAnsi="宋体" w:cs="宋体" w:eastAsia="宋体" w:hint="default"/>
        </w:rPr>
        <w:t>月至</w:t>
      </w:r>
      <w:r>
        <w:rPr>
          <w:rFonts w:ascii="宋体" w:hAnsi="宋体" w:cs="宋体" w:eastAsia="宋体" w:hint="default"/>
          <w:spacing w:val="-21"/>
        </w:rPr>
        <w:t> </w:t>
      </w:r>
      <w:r>
        <w:rPr>
          <w:rFonts w:ascii="宋体" w:hAnsi="宋体" w:cs="宋体" w:eastAsia="宋体" w:hint="default"/>
        </w:rPr>
        <w:t>2003</w:t>
      </w:r>
      <w:r>
        <w:rPr>
          <w:rFonts w:ascii="宋体" w:hAnsi="宋体" w:cs="宋体" w:eastAsia="宋体" w:hint="default"/>
          <w:spacing w:val="-22"/>
        </w:rPr>
        <w:t> </w:t>
      </w:r>
      <w:r>
        <w:rPr>
          <w:rFonts w:ascii="宋体" w:hAnsi="宋体" w:cs="宋体" w:eastAsia="宋体" w:hint="default"/>
        </w:rPr>
        <w:t>年</w:t>
      </w:r>
      <w:r>
        <w:rPr>
          <w:rFonts w:ascii="宋体" w:hAnsi="宋体" w:cs="宋体" w:eastAsia="宋体" w:hint="default"/>
          <w:spacing w:val="-21"/>
        </w:rPr>
        <w:t> </w:t>
      </w:r>
      <w:r>
        <w:rPr>
          <w:rFonts w:ascii="宋体" w:hAnsi="宋体" w:cs="宋体" w:eastAsia="宋体" w:hint="default"/>
        </w:rPr>
        <w:t>12</w:t>
      </w:r>
      <w:r>
        <w:rPr>
          <w:rFonts w:ascii="宋体" w:hAnsi="宋体" w:cs="宋体" w:eastAsia="宋体" w:hint="default"/>
          <w:spacing w:val="-22"/>
        </w:rPr>
        <w:t> </w:t>
      </w:r>
      <w:r>
        <w:rPr>
          <w:rFonts w:ascii="宋体" w:hAnsi="宋体" w:cs="宋体" w:eastAsia="宋体" w:hint="default"/>
        </w:rPr>
        <w:t>月任中国联通湖南分公司副总经理。2003</w:t>
      </w:r>
      <w:r>
        <w:rPr>
          <w:rFonts w:ascii="宋体" w:hAnsi="宋体" w:cs="宋体" w:eastAsia="宋体" w:hint="default"/>
          <w:spacing w:val="-22"/>
        </w:rPr>
        <w:t> </w:t>
      </w:r>
      <w:r>
        <w:rPr>
          <w:rFonts w:ascii="宋体" w:hAnsi="宋体" w:cs="宋体" w:eastAsia="宋体" w:hint="default"/>
        </w:rPr>
        <w:t>年</w:t>
      </w:r>
      <w:r>
        <w:rPr>
          <w:rFonts w:ascii="宋体" w:hAnsi="宋体" w:cs="宋体" w:eastAsia="宋体" w:hint="default"/>
          <w:spacing w:val="-21"/>
        </w:rPr>
        <w:t> </w:t>
      </w:r>
      <w:r>
        <w:rPr>
          <w:rFonts w:ascii="宋体" w:hAnsi="宋体" w:cs="宋体" w:eastAsia="宋体" w:hint="default"/>
        </w:rPr>
        <w:t>12</w:t>
      </w:r>
      <w:r>
        <w:rPr>
          <w:rFonts w:ascii="宋体" w:hAnsi="宋体" w:cs="宋体" w:eastAsia="宋体" w:hint="default"/>
          <w:spacing w:val="-22"/>
        </w:rPr>
        <w:t> </w:t>
      </w:r>
      <w:r>
        <w:rPr>
          <w:rFonts w:ascii="宋体" w:hAnsi="宋体" w:cs="宋体" w:eastAsia="宋体" w:hint="default"/>
          <w:spacing w:val="3"/>
        </w:rPr>
        <w:t>月至</w:t>
      </w:r>
      <w:r>
        <w:rPr>
          <w:rFonts w:ascii="宋体" w:hAnsi="宋体" w:cs="宋体" w:eastAsia="宋体" w:hint="default"/>
        </w:rPr>
      </w:r>
    </w:p>
    <w:p>
      <w:pPr>
        <w:pStyle w:val="BodyText"/>
        <w:spacing w:line="240" w:lineRule="auto" w:before="6"/>
        <w:ind w:left="2494" w:right="0"/>
        <w:jc w:val="both"/>
        <w:rPr>
          <w:rFonts w:ascii="宋体" w:hAnsi="宋体" w:cs="宋体" w:eastAsia="宋体" w:hint="default"/>
        </w:rPr>
      </w:pPr>
      <w:r>
        <w:rPr>
          <w:rFonts w:ascii="宋体" w:hAnsi="宋体" w:cs="宋体" w:eastAsia="宋体" w:hint="default"/>
          <w:w w:val="105"/>
        </w:rPr>
        <w:t>2008</w:t>
      </w:r>
      <w:r>
        <w:rPr>
          <w:rFonts w:ascii="宋体" w:hAnsi="宋体" w:cs="宋体" w:eastAsia="宋体" w:hint="default"/>
          <w:spacing w:val="-68"/>
          <w:w w:val="105"/>
        </w:rPr>
        <w:t> </w:t>
      </w:r>
      <w:r>
        <w:rPr>
          <w:rFonts w:ascii="宋体" w:hAnsi="宋体" w:cs="宋体" w:eastAsia="宋体" w:hint="default"/>
          <w:w w:val="105"/>
        </w:rPr>
        <w:t>年</w:t>
      </w:r>
      <w:r>
        <w:rPr>
          <w:rFonts w:ascii="宋体" w:hAnsi="宋体" w:cs="宋体" w:eastAsia="宋体" w:hint="default"/>
          <w:spacing w:val="-68"/>
          <w:w w:val="105"/>
        </w:rPr>
        <w:t> </w:t>
      </w:r>
      <w:r>
        <w:rPr>
          <w:rFonts w:ascii="宋体" w:hAnsi="宋体" w:cs="宋体" w:eastAsia="宋体" w:hint="default"/>
          <w:w w:val="105"/>
        </w:rPr>
        <w:t>11</w:t>
      </w:r>
      <w:r>
        <w:rPr>
          <w:rFonts w:ascii="宋体" w:hAnsi="宋体" w:cs="宋体" w:eastAsia="宋体" w:hint="default"/>
          <w:spacing w:val="-68"/>
          <w:w w:val="105"/>
        </w:rPr>
        <w:t> </w:t>
      </w:r>
      <w:r>
        <w:rPr>
          <w:rFonts w:ascii="宋体" w:hAnsi="宋体" w:cs="宋体" w:eastAsia="宋体" w:hint="default"/>
          <w:w w:val="105"/>
        </w:rPr>
        <w:t>月任中国联通湖南分公司总经理、党委书记。2008</w:t>
      </w:r>
      <w:r>
        <w:rPr>
          <w:rFonts w:ascii="宋体" w:hAnsi="宋体" w:cs="宋体" w:eastAsia="宋体" w:hint="default"/>
          <w:spacing w:val="-68"/>
          <w:w w:val="105"/>
        </w:rPr>
        <w:t> </w:t>
      </w:r>
      <w:r>
        <w:rPr>
          <w:rFonts w:ascii="宋体" w:hAnsi="宋体" w:cs="宋体" w:eastAsia="宋体" w:hint="default"/>
          <w:w w:val="105"/>
        </w:rPr>
        <w:t>年</w:t>
      </w:r>
      <w:r>
        <w:rPr>
          <w:rFonts w:ascii="宋体" w:hAnsi="宋体" w:cs="宋体" w:eastAsia="宋体" w:hint="default"/>
          <w:spacing w:val="-68"/>
          <w:w w:val="105"/>
        </w:rPr>
        <w:t> </w:t>
      </w:r>
      <w:r>
        <w:rPr>
          <w:rFonts w:ascii="宋体" w:hAnsi="宋体" w:cs="宋体" w:eastAsia="宋体" w:hint="default"/>
          <w:w w:val="105"/>
        </w:rPr>
        <w:t>11</w:t>
      </w:r>
      <w:r>
        <w:rPr>
          <w:rFonts w:ascii="宋体" w:hAnsi="宋体" w:cs="宋体" w:eastAsia="宋体" w:hint="default"/>
          <w:spacing w:val="-68"/>
          <w:w w:val="105"/>
        </w:rPr>
        <w:t> </w:t>
      </w:r>
      <w:r>
        <w:rPr>
          <w:rFonts w:ascii="宋体" w:hAnsi="宋体" w:cs="宋体" w:eastAsia="宋体" w:hint="default"/>
          <w:w w:val="105"/>
        </w:rPr>
        <w:t>月至</w:t>
      </w:r>
      <w:r>
        <w:rPr>
          <w:rFonts w:ascii="宋体" w:hAnsi="宋体" w:cs="宋体" w:eastAsia="宋体" w:hint="default"/>
          <w:spacing w:val="-68"/>
          <w:w w:val="105"/>
        </w:rPr>
        <w:t> </w:t>
      </w:r>
      <w:r>
        <w:rPr>
          <w:rFonts w:ascii="宋体" w:hAnsi="宋体" w:cs="宋体" w:eastAsia="宋体" w:hint="default"/>
          <w:w w:val="105"/>
        </w:rPr>
        <w:t>2009</w:t>
      </w:r>
      <w:r>
        <w:rPr>
          <w:rFonts w:ascii="宋体" w:hAnsi="宋体" w:cs="宋体" w:eastAsia="宋体" w:hint="default"/>
          <w:spacing w:val="-68"/>
          <w:w w:val="105"/>
        </w:rPr>
        <w:t> </w:t>
      </w:r>
      <w:r>
        <w:rPr>
          <w:rFonts w:ascii="宋体" w:hAnsi="宋体" w:cs="宋体" w:eastAsia="宋体" w:hint="default"/>
          <w:w w:val="105"/>
        </w:rPr>
        <w:t>年</w:t>
      </w:r>
      <w:r>
        <w:rPr>
          <w:rFonts w:ascii="宋体" w:hAnsi="宋体" w:cs="宋体" w:eastAsia="宋体" w:hint="default"/>
          <w:spacing w:val="-68"/>
          <w:w w:val="105"/>
        </w:rPr>
        <w:t> </w:t>
      </w:r>
      <w:r>
        <w:rPr>
          <w:rFonts w:ascii="宋体" w:hAnsi="宋体" w:cs="宋体" w:eastAsia="宋体" w:hint="default"/>
          <w:w w:val="105"/>
        </w:rPr>
        <w:t>3</w:t>
      </w:r>
      <w:r>
        <w:rPr>
          <w:rFonts w:ascii="宋体" w:hAnsi="宋体" w:cs="宋体" w:eastAsia="宋体" w:hint="default"/>
          <w:spacing w:val="-68"/>
          <w:w w:val="105"/>
        </w:rPr>
        <w:t> </w:t>
      </w:r>
      <w:r>
        <w:rPr>
          <w:rFonts w:ascii="宋体" w:hAnsi="宋体" w:cs="宋体" w:eastAsia="宋体" w:hint="default"/>
          <w:spacing w:val="3"/>
          <w:w w:val="105"/>
        </w:rPr>
        <w:t>月任中国联通湖南省分</w:t>
      </w:r>
      <w:r>
        <w:rPr>
          <w:rFonts w:ascii="宋体" w:hAnsi="宋体" w:cs="宋体" w:eastAsia="宋体" w:hint="default"/>
          <w:w w:val="105"/>
        </w:rPr>
      </w:r>
    </w:p>
    <w:p>
      <w:pPr>
        <w:pStyle w:val="BodyText"/>
        <w:spacing w:line="240" w:lineRule="auto" w:before="24"/>
        <w:ind w:left="2494" w:right="0"/>
        <w:jc w:val="both"/>
        <w:rPr>
          <w:rFonts w:ascii="宋体" w:hAnsi="宋体" w:cs="宋体" w:eastAsia="宋体" w:hint="default"/>
        </w:rPr>
      </w:pPr>
      <w:r>
        <w:rPr>
          <w:rFonts w:ascii="宋体" w:hAnsi="宋体" w:cs="宋体" w:eastAsia="宋体" w:hint="default"/>
          <w:w w:val="105"/>
        </w:rPr>
        <w:t>公司筹备组组长。2009</w:t>
      </w:r>
      <w:r>
        <w:rPr>
          <w:rFonts w:ascii="宋体" w:hAnsi="宋体" w:cs="宋体" w:eastAsia="宋体" w:hint="default"/>
          <w:spacing w:val="-69"/>
          <w:w w:val="105"/>
        </w:rPr>
        <w:t> </w:t>
      </w:r>
      <w:r>
        <w:rPr>
          <w:rFonts w:ascii="宋体" w:hAnsi="宋体" w:cs="宋体" w:eastAsia="宋体" w:hint="default"/>
          <w:w w:val="105"/>
        </w:rPr>
        <w:t>年</w:t>
      </w:r>
      <w:r>
        <w:rPr>
          <w:rFonts w:ascii="宋体" w:hAnsi="宋体" w:cs="宋体" w:eastAsia="宋体" w:hint="default"/>
          <w:spacing w:val="-69"/>
          <w:w w:val="105"/>
        </w:rPr>
        <w:t> </w:t>
      </w:r>
      <w:r>
        <w:rPr>
          <w:rFonts w:ascii="宋体" w:hAnsi="宋体" w:cs="宋体" w:eastAsia="宋体" w:hint="default"/>
          <w:w w:val="105"/>
        </w:rPr>
        <w:t>3</w:t>
      </w:r>
      <w:r>
        <w:rPr>
          <w:rFonts w:ascii="宋体" w:hAnsi="宋体" w:cs="宋体" w:eastAsia="宋体" w:hint="default"/>
          <w:spacing w:val="-69"/>
          <w:w w:val="105"/>
        </w:rPr>
        <w:t> </w:t>
      </w:r>
      <w:r>
        <w:rPr>
          <w:rFonts w:ascii="宋体" w:hAnsi="宋体" w:cs="宋体" w:eastAsia="宋体" w:hint="default"/>
          <w:w w:val="105"/>
        </w:rPr>
        <w:t>月至</w:t>
      </w:r>
      <w:r>
        <w:rPr>
          <w:rFonts w:ascii="宋体" w:hAnsi="宋体" w:cs="宋体" w:eastAsia="宋体" w:hint="default"/>
          <w:spacing w:val="-69"/>
          <w:w w:val="105"/>
        </w:rPr>
        <w:t> </w:t>
      </w:r>
      <w:r>
        <w:rPr>
          <w:rFonts w:ascii="宋体" w:hAnsi="宋体" w:cs="宋体" w:eastAsia="宋体" w:hint="default"/>
          <w:w w:val="105"/>
        </w:rPr>
        <w:t>2012</w:t>
      </w:r>
      <w:r>
        <w:rPr>
          <w:rFonts w:ascii="宋体" w:hAnsi="宋体" w:cs="宋体" w:eastAsia="宋体" w:hint="default"/>
          <w:spacing w:val="-69"/>
          <w:w w:val="105"/>
        </w:rPr>
        <w:t> </w:t>
      </w:r>
      <w:r>
        <w:rPr>
          <w:rFonts w:ascii="宋体" w:hAnsi="宋体" w:cs="宋体" w:eastAsia="宋体" w:hint="default"/>
          <w:w w:val="105"/>
        </w:rPr>
        <w:t>年</w:t>
      </w:r>
      <w:r>
        <w:rPr>
          <w:rFonts w:ascii="宋体" w:hAnsi="宋体" w:cs="宋体" w:eastAsia="宋体" w:hint="default"/>
          <w:spacing w:val="-69"/>
          <w:w w:val="105"/>
        </w:rPr>
        <w:t> </w:t>
      </w:r>
      <w:r>
        <w:rPr>
          <w:rFonts w:ascii="宋体" w:hAnsi="宋体" w:cs="宋体" w:eastAsia="宋体" w:hint="default"/>
          <w:w w:val="105"/>
        </w:rPr>
        <w:t>1</w:t>
      </w:r>
      <w:r>
        <w:rPr>
          <w:rFonts w:ascii="宋体" w:hAnsi="宋体" w:cs="宋体" w:eastAsia="宋体" w:hint="default"/>
          <w:spacing w:val="-69"/>
          <w:w w:val="105"/>
        </w:rPr>
        <w:t> </w:t>
      </w:r>
      <w:r>
        <w:rPr>
          <w:rFonts w:ascii="宋体" w:hAnsi="宋体" w:cs="宋体" w:eastAsia="宋体" w:hint="default"/>
          <w:spacing w:val="2"/>
          <w:w w:val="105"/>
        </w:rPr>
        <w:t>月任中国联通湖南省分公司总经理、党委书记。2012</w:t>
      </w:r>
      <w:r>
        <w:rPr>
          <w:rFonts w:ascii="宋体" w:hAnsi="宋体" w:cs="宋体" w:eastAsia="宋体" w:hint="default"/>
          <w:spacing w:val="-69"/>
          <w:w w:val="105"/>
        </w:rPr>
        <w:t> </w:t>
      </w:r>
      <w:r>
        <w:rPr>
          <w:rFonts w:ascii="宋体" w:hAnsi="宋体" w:cs="宋体" w:eastAsia="宋体" w:hint="default"/>
          <w:w w:val="105"/>
        </w:rPr>
        <w:t>年</w:t>
      </w:r>
      <w:r>
        <w:rPr>
          <w:rFonts w:ascii="宋体" w:hAnsi="宋体" w:cs="宋体" w:eastAsia="宋体" w:hint="default"/>
          <w:spacing w:val="-69"/>
          <w:w w:val="105"/>
        </w:rPr>
        <w:t> </w:t>
      </w:r>
      <w:r>
        <w:rPr>
          <w:rFonts w:ascii="宋体" w:hAnsi="宋体" w:cs="宋体" w:eastAsia="宋体" w:hint="default"/>
          <w:w w:val="105"/>
        </w:rPr>
        <w:t>1</w:t>
      </w:r>
      <w:r>
        <w:rPr>
          <w:rFonts w:ascii="宋体" w:hAnsi="宋体" w:cs="宋体" w:eastAsia="宋体" w:hint="default"/>
          <w:spacing w:val="-69"/>
          <w:w w:val="105"/>
        </w:rPr>
        <w:t> </w:t>
      </w:r>
      <w:r>
        <w:rPr>
          <w:rFonts w:ascii="宋体" w:hAnsi="宋体" w:cs="宋体" w:eastAsia="宋体" w:hint="default"/>
          <w:spacing w:val="4"/>
          <w:w w:val="105"/>
        </w:rPr>
        <w:t>月至</w:t>
      </w:r>
      <w:r>
        <w:rPr>
          <w:rFonts w:ascii="宋体" w:hAnsi="宋体" w:cs="宋体" w:eastAsia="宋体" w:hint="default"/>
          <w:w w:val="105"/>
        </w:rPr>
      </w:r>
    </w:p>
    <w:p>
      <w:pPr>
        <w:pStyle w:val="BodyText"/>
        <w:spacing w:line="264" w:lineRule="auto" w:before="24"/>
        <w:ind w:left="2494" w:right="844"/>
        <w:jc w:val="both"/>
        <w:rPr>
          <w:rFonts w:ascii="宋体" w:hAnsi="宋体" w:cs="宋体" w:eastAsia="宋体" w:hint="default"/>
        </w:rPr>
      </w:pPr>
      <w:r>
        <w:rPr>
          <w:rFonts w:ascii="宋体" w:hAnsi="宋体" w:cs="宋体" w:eastAsia="宋体" w:hint="default"/>
        </w:rPr>
        <w:t>2013</w:t>
      </w:r>
      <w:r>
        <w:rPr>
          <w:rFonts w:ascii="宋体" w:hAnsi="宋体" w:cs="宋体" w:eastAsia="宋体" w:hint="default"/>
          <w:spacing w:val="-29"/>
        </w:rPr>
        <w:t> </w:t>
      </w:r>
      <w:r>
        <w:rPr>
          <w:rFonts w:ascii="宋体" w:hAnsi="宋体" w:cs="宋体" w:eastAsia="宋体" w:hint="default"/>
        </w:rPr>
        <w:t>年</w:t>
      </w:r>
      <w:r>
        <w:rPr>
          <w:rFonts w:ascii="宋体" w:hAnsi="宋体" w:cs="宋体" w:eastAsia="宋体" w:hint="default"/>
          <w:spacing w:val="-29"/>
        </w:rPr>
        <w:t> </w:t>
      </w:r>
      <w:r>
        <w:rPr>
          <w:rFonts w:ascii="宋体" w:hAnsi="宋体" w:cs="宋体" w:eastAsia="宋体" w:hint="default"/>
        </w:rPr>
        <w:t>4</w:t>
      </w:r>
      <w:r>
        <w:rPr>
          <w:rFonts w:ascii="宋体" w:hAnsi="宋体" w:cs="宋体" w:eastAsia="宋体" w:hint="default"/>
          <w:spacing w:val="-29"/>
        </w:rPr>
        <w:t> </w:t>
      </w:r>
      <w:r>
        <w:rPr>
          <w:rFonts w:ascii="宋体" w:hAnsi="宋体" w:cs="宋体" w:eastAsia="宋体" w:hint="default"/>
        </w:rPr>
        <w:t>月任中国联通北京市分公司总经理、党委副书记。2013</w:t>
      </w:r>
      <w:r>
        <w:rPr>
          <w:rFonts w:ascii="宋体" w:hAnsi="宋体" w:cs="宋体" w:eastAsia="宋体" w:hint="default"/>
          <w:spacing w:val="-29"/>
        </w:rPr>
        <w:t> </w:t>
      </w:r>
      <w:r>
        <w:rPr>
          <w:rFonts w:ascii="宋体" w:hAnsi="宋体" w:cs="宋体" w:eastAsia="宋体" w:hint="default"/>
        </w:rPr>
        <w:t>年</w:t>
      </w:r>
      <w:r>
        <w:rPr>
          <w:rFonts w:ascii="宋体" w:hAnsi="宋体" w:cs="宋体" w:eastAsia="宋体" w:hint="default"/>
          <w:spacing w:val="-29"/>
        </w:rPr>
        <w:t> </w:t>
      </w:r>
      <w:r>
        <w:rPr>
          <w:rFonts w:ascii="宋体" w:hAnsi="宋体" w:cs="宋体" w:eastAsia="宋体" w:hint="default"/>
        </w:rPr>
        <w:t>4</w:t>
      </w:r>
      <w:r>
        <w:rPr>
          <w:rFonts w:ascii="宋体" w:hAnsi="宋体" w:cs="宋体" w:eastAsia="宋体" w:hint="default"/>
          <w:spacing w:val="-29"/>
        </w:rPr>
        <w:t> </w:t>
      </w:r>
      <w:r>
        <w:rPr>
          <w:rFonts w:ascii="宋体" w:hAnsi="宋体" w:cs="宋体" w:eastAsia="宋体" w:hint="default"/>
        </w:rPr>
        <w:t>月至</w:t>
      </w:r>
      <w:r>
        <w:rPr>
          <w:rFonts w:ascii="宋体" w:hAnsi="宋体" w:cs="宋体" w:eastAsia="宋体" w:hint="default"/>
          <w:spacing w:val="-29"/>
        </w:rPr>
        <w:t> </w:t>
      </w:r>
      <w:r>
        <w:rPr>
          <w:rFonts w:ascii="宋体" w:hAnsi="宋体" w:cs="宋体" w:eastAsia="宋体" w:hint="default"/>
        </w:rPr>
        <w:t>2015</w:t>
      </w:r>
      <w:r>
        <w:rPr>
          <w:rFonts w:ascii="宋体" w:hAnsi="宋体" w:cs="宋体" w:eastAsia="宋体" w:hint="default"/>
          <w:spacing w:val="-29"/>
        </w:rPr>
        <w:t> </w:t>
      </w:r>
      <w:r>
        <w:rPr>
          <w:rFonts w:ascii="宋体" w:hAnsi="宋体" w:cs="宋体" w:eastAsia="宋体" w:hint="default"/>
        </w:rPr>
        <w:t>年</w:t>
      </w:r>
      <w:r>
        <w:rPr>
          <w:rFonts w:ascii="宋体" w:hAnsi="宋体" w:cs="宋体" w:eastAsia="宋体" w:hint="default"/>
          <w:spacing w:val="-29"/>
        </w:rPr>
        <w:t> </w:t>
      </w:r>
      <w:r>
        <w:rPr>
          <w:rFonts w:ascii="宋体" w:hAnsi="宋体" w:cs="宋体" w:eastAsia="宋体" w:hint="default"/>
        </w:rPr>
        <w:t>12</w:t>
      </w:r>
      <w:r>
        <w:rPr>
          <w:rFonts w:ascii="宋体" w:hAnsi="宋体" w:cs="宋体" w:eastAsia="宋体" w:hint="default"/>
          <w:spacing w:val="-29"/>
        </w:rPr>
        <w:t> </w:t>
      </w:r>
      <w:r>
        <w:rPr>
          <w:rFonts w:ascii="宋体" w:hAnsi="宋体" w:cs="宋体" w:eastAsia="宋体" w:hint="default"/>
        </w:rPr>
        <w:t>月任中国联通北京市</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rPr>
        <w:t>分公司总经理、党委书记。2015</w:t>
      </w:r>
      <w:r>
        <w:rPr>
          <w:rFonts w:ascii="宋体" w:hAnsi="宋体" w:cs="宋体" w:eastAsia="宋体" w:hint="default"/>
          <w:spacing w:val="-9"/>
        </w:rPr>
        <w:t> </w:t>
      </w:r>
      <w:r>
        <w:rPr>
          <w:rFonts w:ascii="宋体" w:hAnsi="宋体" w:cs="宋体" w:eastAsia="宋体" w:hint="default"/>
        </w:rPr>
        <w:t>年</w:t>
      </w:r>
      <w:r>
        <w:rPr>
          <w:rFonts w:ascii="宋体" w:hAnsi="宋体" w:cs="宋体" w:eastAsia="宋体" w:hint="default"/>
          <w:spacing w:val="-9"/>
        </w:rPr>
        <w:t> </w:t>
      </w:r>
      <w:r>
        <w:rPr>
          <w:rFonts w:ascii="宋体" w:hAnsi="宋体" w:cs="宋体" w:eastAsia="宋体" w:hint="default"/>
        </w:rPr>
        <w:t>12</w:t>
      </w:r>
      <w:r>
        <w:rPr>
          <w:rFonts w:ascii="宋体" w:hAnsi="宋体" w:cs="宋体" w:eastAsia="宋体" w:hint="default"/>
          <w:spacing w:val="-9"/>
        </w:rPr>
        <w:t> </w:t>
      </w:r>
      <w:r>
        <w:rPr>
          <w:rFonts w:ascii="宋体" w:hAnsi="宋体" w:cs="宋体" w:eastAsia="宋体" w:hint="default"/>
        </w:rPr>
        <w:t>月任联通运营公司北京市分公司资深经理。汪世昌先生长期在电信行</w:t>
      </w:r>
      <w:r>
        <w:rPr>
          <w:rFonts w:ascii="宋体" w:hAnsi="宋体" w:cs="宋体" w:eastAsia="宋体" w:hint="default"/>
          <w:spacing w:val="-69"/>
        </w:rPr>
        <w:t> </w:t>
      </w:r>
      <w:r>
        <w:rPr>
          <w:rFonts w:ascii="宋体" w:hAnsi="宋体" w:cs="宋体" w:eastAsia="宋体" w:hint="default"/>
          <w:spacing w:val="-69"/>
        </w:rPr>
      </w:r>
      <w:r>
        <w:rPr>
          <w:rFonts w:ascii="宋体" w:hAnsi="宋体" w:cs="宋体" w:eastAsia="宋体" w:hint="default"/>
        </w:rPr>
        <w:t>业工作，具有丰富的电信行业管理经验。汪先生自</w:t>
      </w:r>
      <w:r>
        <w:rPr>
          <w:rFonts w:ascii="宋体" w:hAnsi="宋体" w:cs="宋体" w:eastAsia="宋体" w:hint="default"/>
          <w:spacing w:val="-27"/>
        </w:rPr>
        <w:t> </w:t>
      </w:r>
      <w:r>
        <w:rPr>
          <w:rFonts w:ascii="宋体" w:hAnsi="宋体" w:cs="宋体" w:eastAsia="宋体" w:hint="default"/>
        </w:rPr>
        <w:t>2014</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11</w:t>
      </w:r>
      <w:r>
        <w:rPr>
          <w:rFonts w:ascii="宋体" w:hAnsi="宋体" w:cs="宋体" w:eastAsia="宋体" w:hint="default"/>
          <w:spacing w:val="-27"/>
        </w:rPr>
        <w:t> </w:t>
      </w:r>
      <w:r>
        <w:rPr>
          <w:rFonts w:ascii="宋体" w:hAnsi="宋体" w:cs="宋体" w:eastAsia="宋体" w:hint="default"/>
        </w:rPr>
        <w:t>月起担任本公司监事，自</w:t>
      </w:r>
      <w:r>
        <w:rPr>
          <w:rFonts w:ascii="宋体" w:hAnsi="宋体" w:cs="宋体" w:eastAsia="宋体" w:hint="default"/>
          <w:spacing w:val="-27"/>
        </w:rPr>
        <w:t> </w:t>
      </w: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rPr>
        <w:t>年</w:t>
      </w:r>
      <w:r>
        <w:rPr>
          <w:rFonts w:ascii="宋体" w:hAnsi="宋体" w:cs="宋体" w:eastAsia="宋体" w:hint="default"/>
          <w:spacing w:val="-27"/>
        </w:rPr>
        <w:t> </w:t>
      </w:r>
      <w:r>
        <w:rPr>
          <w:rFonts w:ascii="宋体" w:hAnsi="宋体" w:cs="宋体" w:eastAsia="宋体" w:hint="default"/>
        </w:rPr>
        <w:t>2</w:t>
      </w:r>
      <w:r>
        <w:rPr>
          <w:rFonts w:ascii="宋体" w:hAnsi="宋体" w:cs="宋体" w:eastAsia="宋体" w:hint="default"/>
          <w:spacing w:val="-27"/>
        </w:rPr>
        <w:t> </w:t>
      </w:r>
      <w:r>
        <w:rPr>
          <w:rFonts w:ascii="宋体" w:hAnsi="宋体" w:cs="宋体" w:eastAsia="宋体" w:hint="default"/>
        </w:rPr>
        <w:t>月因公司</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rPr>
        <w:t>监事会换届离任。</w:t>
      </w:r>
    </w:p>
    <w:p>
      <w:pPr>
        <w:spacing w:line="240" w:lineRule="auto" w:before="7"/>
        <w:rPr>
          <w:rFonts w:ascii="宋体" w:hAnsi="宋体" w:cs="宋体" w:eastAsia="宋体" w:hint="default"/>
          <w:sz w:val="21"/>
          <w:szCs w:val="21"/>
        </w:rPr>
      </w:pPr>
    </w:p>
    <w:p>
      <w:pPr>
        <w:pStyle w:val="Heading8"/>
        <w:spacing w:line="240" w:lineRule="auto"/>
        <w:ind w:right="764"/>
        <w:jc w:val="left"/>
        <w:rPr>
          <w:rFonts w:ascii="宋体" w:hAnsi="宋体" w:cs="宋体" w:eastAsia="宋体" w:hint="default"/>
        </w:rPr>
      </w:pPr>
      <w:r>
        <w:rPr>
          <w:rFonts w:ascii="宋体" w:hAnsi="宋体" w:cs="宋体" w:eastAsia="宋体" w:hint="default"/>
        </w:rPr>
        <w:t>蔡全根</w:t>
      </w:r>
    </w:p>
    <w:p>
      <w:pPr>
        <w:spacing w:line="240" w:lineRule="auto" w:before="1"/>
        <w:rPr>
          <w:rFonts w:ascii="宋体" w:hAnsi="宋体" w:cs="宋体" w:eastAsia="宋体" w:hint="default"/>
          <w:sz w:val="16"/>
          <w:szCs w:val="16"/>
        </w:rPr>
      </w:pPr>
    </w:p>
    <w:p>
      <w:pPr>
        <w:pStyle w:val="BodyText"/>
        <w:spacing w:line="264" w:lineRule="auto" w:before="31"/>
        <w:ind w:left="2494" w:right="751"/>
        <w:jc w:val="left"/>
        <w:rPr>
          <w:rFonts w:ascii="宋体" w:hAnsi="宋体" w:cs="宋体" w:eastAsia="宋体" w:hint="default"/>
        </w:rPr>
      </w:pPr>
      <w:r>
        <w:rPr>
          <w:rFonts w:ascii="宋体" w:hAnsi="宋体" w:cs="宋体" w:eastAsia="宋体" w:hint="default"/>
          <w:w w:val="105"/>
        </w:rPr>
        <w:t>高级政工师、高级工程师。于</w:t>
      </w:r>
      <w:r>
        <w:rPr>
          <w:rFonts w:ascii="宋体" w:hAnsi="宋体" w:cs="宋体" w:eastAsia="宋体" w:hint="default"/>
          <w:spacing w:val="-78"/>
          <w:w w:val="105"/>
        </w:rPr>
        <w:t> </w:t>
      </w:r>
      <w:r>
        <w:rPr>
          <w:rFonts w:ascii="宋体" w:hAnsi="宋体" w:cs="宋体" w:eastAsia="宋体" w:hint="default"/>
          <w:w w:val="105"/>
        </w:rPr>
        <w:t>1977</w:t>
      </w:r>
      <w:r>
        <w:rPr>
          <w:rFonts w:ascii="宋体" w:hAnsi="宋体" w:cs="宋体" w:eastAsia="宋体" w:hint="default"/>
          <w:spacing w:val="-78"/>
          <w:w w:val="105"/>
        </w:rPr>
        <w:t> </w:t>
      </w:r>
      <w:r>
        <w:rPr>
          <w:rFonts w:ascii="宋体" w:hAnsi="宋体" w:cs="宋体" w:eastAsia="宋体" w:hint="default"/>
          <w:w w:val="105"/>
        </w:rPr>
        <w:t>年毕业于浙江省邮电学校电报专业，于</w:t>
      </w:r>
      <w:r>
        <w:rPr>
          <w:rFonts w:ascii="宋体" w:hAnsi="宋体" w:cs="宋体" w:eastAsia="宋体" w:hint="default"/>
          <w:spacing w:val="-78"/>
          <w:w w:val="105"/>
        </w:rPr>
        <w:t> </w:t>
      </w:r>
      <w:r>
        <w:rPr>
          <w:rFonts w:ascii="宋体" w:hAnsi="宋体" w:cs="宋体" w:eastAsia="宋体" w:hint="default"/>
          <w:w w:val="105"/>
        </w:rPr>
        <w:t>2000</w:t>
      </w:r>
      <w:r>
        <w:rPr>
          <w:rFonts w:ascii="宋体" w:hAnsi="宋体" w:cs="宋体" w:eastAsia="宋体" w:hint="default"/>
          <w:spacing w:val="-78"/>
          <w:w w:val="105"/>
        </w:rPr>
        <w:t> </w:t>
      </w:r>
      <w:r>
        <w:rPr>
          <w:rFonts w:ascii="宋体" w:hAnsi="宋体" w:cs="宋体" w:eastAsia="宋体" w:hint="default"/>
          <w:w w:val="105"/>
        </w:rPr>
        <w:t>年</w:t>
      </w:r>
      <w:r>
        <w:rPr>
          <w:rFonts w:ascii="宋体" w:hAnsi="宋体" w:cs="宋体" w:eastAsia="宋体" w:hint="default"/>
          <w:spacing w:val="-78"/>
          <w:w w:val="105"/>
        </w:rPr>
        <w:t> </w:t>
      </w:r>
      <w:r>
        <w:rPr>
          <w:rFonts w:ascii="宋体" w:hAnsi="宋体" w:cs="宋体" w:eastAsia="宋体" w:hint="default"/>
          <w:w w:val="105"/>
        </w:rPr>
        <w:t>12</w:t>
      </w:r>
      <w:r>
        <w:rPr>
          <w:rFonts w:ascii="宋体" w:hAnsi="宋体" w:cs="宋体" w:eastAsia="宋体" w:hint="default"/>
          <w:spacing w:val="-78"/>
          <w:w w:val="105"/>
        </w:rPr>
        <w:t> </w:t>
      </w:r>
      <w:r>
        <w:rPr>
          <w:rFonts w:ascii="宋体" w:hAnsi="宋体" w:cs="宋体" w:eastAsia="宋体" w:hint="default"/>
          <w:w w:val="105"/>
        </w:rPr>
        <w:t>月毕业于中央党校成</w:t>
      </w:r>
      <w:r>
        <w:rPr>
          <w:rFonts w:ascii="宋体" w:hAnsi="宋体" w:cs="宋体" w:eastAsia="宋体" w:hint="default"/>
          <w:spacing w:val="2"/>
        </w:rPr>
        <w:t> </w:t>
      </w:r>
      <w:r>
        <w:rPr>
          <w:rFonts w:ascii="宋体" w:hAnsi="宋体" w:cs="宋体" w:eastAsia="宋体" w:hint="default"/>
        </w:rPr>
        <w:t>人教育学院企业政工本科专业，于</w:t>
      </w:r>
      <w:r>
        <w:rPr>
          <w:rFonts w:ascii="宋体" w:hAnsi="宋体" w:cs="宋体" w:eastAsia="宋体" w:hint="default"/>
          <w:spacing w:val="-25"/>
        </w:rPr>
        <w:t> </w:t>
      </w:r>
      <w:r>
        <w:rPr>
          <w:rFonts w:ascii="宋体" w:hAnsi="宋体" w:cs="宋体" w:eastAsia="宋体" w:hint="default"/>
        </w:rPr>
        <w:t>2006</w:t>
      </w:r>
      <w:r>
        <w:rPr>
          <w:rFonts w:ascii="宋体" w:hAnsi="宋体" w:cs="宋体" w:eastAsia="宋体" w:hint="default"/>
          <w:spacing w:val="-25"/>
        </w:rPr>
        <w:t> </w:t>
      </w:r>
      <w:r>
        <w:rPr>
          <w:rFonts w:ascii="宋体" w:hAnsi="宋体" w:cs="宋体" w:eastAsia="宋体" w:hint="default"/>
        </w:rPr>
        <w:t>年获香港大学</w:t>
      </w:r>
      <w:r>
        <w:rPr>
          <w:rFonts w:ascii="宋体" w:hAnsi="宋体" w:cs="宋体" w:eastAsia="宋体" w:hint="default"/>
          <w:spacing w:val="-25"/>
        </w:rPr>
        <w:t> </w:t>
      </w:r>
      <w:r>
        <w:rPr>
          <w:rFonts w:ascii="宋体" w:hAnsi="宋体" w:cs="宋体" w:eastAsia="宋体" w:hint="default"/>
        </w:rPr>
        <w:t>EMBA</w:t>
      </w:r>
      <w:r>
        <w:rPr>
          <w:rFonts w:ascii="宋体" w:hAnsi="宋体" w:cs="宋体" w:eastAsia="宋体" w:hint="default"/>
          <w:spacing w:val="-23"/>
        </w:rPr>
        <w:t> </w:t>
      </w:r>
      <w:r>
        <w:rPr>
          <w:rFonts w:ascii="宋体" w:hAnsi="宋体" w:cs="宋体" w:eastAsia="宋体" w:hint="default"/>
          <w:spacing w:val="-3"/>
        </w:rPr>
        <w:t>学位。曾先后任浙江省舟山市邮电局副局长（主</w:t>
      </w:r>
      <w:r>
        <w:rPr>
          <w:rFonts w:ascii="宋体" w:hAnsi="宋体" w:cs="宋体" w:eastAsia="宋体" w:hint="default"/>
          <w:spacing w:val="-16"/>
        </w:rPr>
        <w:t> </w:t>
      </w:r>
      <w:r>
        <w:rPr>
          <w:rFonts w:ascii="宋体" w:hAnsi="宋体" w:cs="宋体" w:eastAsia="宋体" w:hint="default"/>
          <w:spacing w:val="-16"/>
        </w:rPr>
      </w:r>
      <w:r>
        <w:rPr>
          <w:rFonts w:ascii="宋体" w:hAnsi="宋体" w:cs="宋体" w:eastAsia="宋体" w:hint="default"/>
        </w:rPr>
        <w:t>持工作）、电信局副局长、局长、党委书记，浙江省电信公司舟山市分公司总经理、党委书记、台州市分公</w:t>
      </w:r>
      <w:r>
        <w:rPr>
          <w:rFonts w:ascii="宋体" w:hAnsi="宋体" w:cs="宋体" w:eastAsia="宋体" w:hint="default"/>
          <w:spacing w:val="-10"/>
        </w:rPr>
        <w:t> </w:t>
      </w:r>
      <w:r>
        <w:rPr>
          <w:rFonts w:ascii="宋体" w:hAnsi="宋体" w:cs="宋体" w:eastAsia="宋体" w:hint="default"/>
          <w:spacing w:val="-10"/>
        </w:rPr>
      </w:r>
      <w:r>
        <w:rPr>
          <w:rFonts w:ascii="宋体" w:hAnsi="宋体" w:cs="宋体" w:eastAsia="宋体" w:hint="default"/>
        </w:rPr>
        <w:t>司总经理、党委书记，浙江省通信股份有限公司副总经理，网通集团南方通信有限公司浙江分公司筹备组副</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spacing w:val="-4"/>
        </w:rPr>
        <w:t>组长、网通集团浙江省分公司筹备组副组长、副总经理、党组成员，网通集团陕西省分公司总经理、党组书记。</w:t>
      </w:r>
      <w:r>
        <w:rPr>
          <w:rFonts w:ascii="宋体" w:hAnsi="宋体" w:cs="宋体" w:eastAsia="宋体" w:hint="default"/>
          <w:spacing w:val="-64"/>
        </w:rPr>
        <w:t> </w:t>
      </w:r>
      <w:r>
        <w:rPr>
          <w:rFonts w:ascii="宋体" w:hAnsi="宋体" w:cs="宋体" w:eastAsia="宋体" w:hint="default"/>
          <w:spacing w:val="-64"/>
        </w:rPr>
      </w:r>
      <w:r>
        <w:rPr>
          <w:rFonts w:ascii="宋体" w:hAnsi="宋体" w:cs="宋体" w:eastAsia="宋体" w:hint="default"/>
          <w:w w:val="105"/>
        </w:rPr>
        <w:t>2008</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11</w:t>
      </w:r>
      <w:r>
        <w:rPr>
          <w:rFonts w:ascii="宋体" w:hAnsi="宋体" w:cs="宋体" w:eastAsia="宋体" w:hint="default"/>
          <w:spacing w:val="-60"/>
          <w:w w:val="105"/>
        </w:rPr>
        <w:t> </w:t>
      </w:r>
      <w:r>
        <w:rPr>
          <w:rFonts w:ascii="宋体" w:hAnsi="宋体" w:cs="宋体" w:eastAsia="宋体" w:hint="default"/>
          <w:w w:val="105"/>
        </w:rPr>
        <w:t>月至</w:t>
      </w:r>
      <w:r>
        <w:rPr>
          <w:rFonts w:ascii="宋体" w:hAnsi="宋体" w:cs="宋体" w:eastAsia="宋体" w:hint="default"/>
          <w:spacing w:val="-60"/>
          <w:w w:val="105"/>
        </w:rPr>
        <w:t> </w:t>
      </w:r>
      <w:r>
        <w:rPr>
          <w:rFonts w:ascii="宋体" w:hAnsi="宋体" w:cs="宋体" w:eastAsia="宋体" w:hint="default"/>
          <w:w w:val="105"/>
        </w:rPr>
        <w:t>2009</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3</w:t>
      </w:r>
      <w:r>
        <w:rPr>
          <w:rFonts w:ascii="宋体" w:hAnsi="宋体" w:cs="宋体" w:eastAsia="宋体" w:hint="default"/>
          <w:spacing w:val="-60"/>
          <w:w w:val="105"/>
        </w:rPr>
        <w:t> </w:t>
      </w:r>
      <w:r>
        <w:rPr>
          <w:rFonts w:ascii="宋体" w:hAnsi="宋体" w:cs="宋体" w:eastAsia="宋体" w:hint="default"/>
          <w:w w:val="105"/>
        </w:rPr>
        <w:t>月任联通运营公司上海分公司筹备组组长，2009</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3</w:t>
      </w:r>
      <w:r>
        <w:rPr>
          <w:rFonts w:ascii="宋体" w:hAnsi="宋体" w:cs="宋体" w:eastAsia="宋体" w:hint="default"/>
          <w:spacing w:val="-60"/>
          <w:w w:val="105"/>
        </w:rPr>
        <w:t> </w:t>
      </w:r>
      <w:r>
        <w:rPr>
          <w:rFonts w:ascii="宋体" w:hAnsi="宋体" w:cs="宋体" w:eastAsia="宋体" w:hint="default"/>
          <w:w w:val="105"/>
        </w:rPr>
        <w:t>月至</w:t>
      </w:r>
      <w:r>
        <w:rPr>
          <w:rFonts w:ascii="宋体" w:hAnsi="宋体" w:cs="宋体" w:eastAsia="宋体" w:hint="default"/>
          <w:spacing w:val="-60"/>
          <w:w w:val="105"/>
        </w:rPr>
        <w:t> </w:t>
      </w:r>
      <w:r>
        <w:rPr>
          <w:rFonts w:ascii="宋体" w:hAnsi="宋体" w:cs="宋体" w:eastAsia="宋体" w:hint="default"/>
          <w:w w:val="105"/>
        </w:rPr>
        <w:t>2010</w:t>
      </w:r>
      <w:r>
        <w:rPr>
          <w:rFonts w:ascii="宋体" w:hAnsi="宋体" w:cs="宋体" w:eastAsia="宋体" w:hint="default"/>
          <w:spacing w:val="-60"/>
          <w:w w:val="105"/>
        </w:rPr>
        <w:t> </w:t>
      </w:r>
      <w:r>
        <w:rPr>
          <w:rFonts w:ascii="宋体" w:hAnsi="宋体" w:cs="宋体" w:eastAsia="宋体" w:hint="default"/>
          <w:w w:val="105"/>
        </w:rPr>
        <w:t>年</w:t>
      </w:r>
      <w:r>
        <w:rPr>
          <w:rFonts w:ascii="宋体" w:hAnsi="宋体" w:cs="宋体" w:eastAsia="宋体" w:hint="default"/>
          <w:spacing w:val="-60"/>
          <w:w w:val="105"/>
        </w:rPr>
        <w:t> </w:t>
      </w:r>
      <w:r>
        <w:rPr>
          <w:rFonts w:ascii="宋体" w:hAnsi="宋体" w:cs="宋体" w:eastAsia="宋体" w:hint="default"/>
          <w:w w:val="105"/>
        </w:rPr>
        <w:t>5</w:t>
      </w:r>
      <w:r>
        <w:rPr>
          <w:rFonts w:ascii="宋体" w:hAnsi="宋体" w:cs="宋体" w:eastAsia="宋体" w:hint="default"/>
          <w:spacing w:val="-60"/>
          <w:w w:val="105"/>
        </w:rPr>
        <w:t> </w:t>
      </w:r>
      <w:r>
        <w:rPr>
          <w:rFonts w:ascii="宋体" w:hAnsi="宋体" w:cs="宋体" w:eastAsia="宋体" w:hint="default"/>
          <w:w w:val="105"/>
        </w:rPr>
        <w:t>月任联通运</w:t>
      </w:r>
    </w:p>
    <w:p>
      <w:pPr>
        <w:pStyle w:val="BodyText"/>
        <w:spacing w:line="264" w:lineRule="auto" w:before="6"/>
        <w:ind w:left="2494" w:right="744"/>
        <w:jc w:val="left"/>
        <w:rPr>
          <w:rFonts w:ascii="宋体" w:hAnsi="宋体" w:cs="宋体" w:eastAsia="宋体" w:hint="default"/>
        </w:rPr>
      </w:pPr>
      <w:r>
        <w:rPr>
          <w:rFonts w:ascii="宋体" w:hAnsi="宋体" w:cs="宋体" w:eastAsia="宋体" w:hint="default"/>
          <w:spacing w:val="-8"/>
          <w:w w:val="101"/>
        </w:rPr>
        <w:t>营公司上海市分公司总经理、党委副书记，2010</w:t>
      </w:r>
      <w:r>
        <w:rPr>
          <w:rFonts w:ascii="宋体" w:hAnsi="宋体" w:cs="宋体" w:eastAsia="宋体" w:hint="default"/>
          <w:spacing w:val="-72"/>
          <w:w w:val="101"/>
        </w:rPr>
        <w:t> </w:t>
      </w:r>
      <w:r>
        <w:rPr>
          <w:rFonts w:ascii="宋体" w:hAnsi="宋体" w:cs="宋体" w:eastAsia="宋体" w:hint="default"/>
        </w:rPr>
        <w:t>年</w:t>
      </w:r>
      <w:r>
        <w:rPr>
          <w:rFonts w:ascii="宋体" w:hAnsi="宋体" w:cs="宋体" w:eastAsia="宋体" w:hint="default"/>
          <w:spacing w:val="-70"/>
        </w:rPr>
        <w:t> </w:t>
      </w:r>
      <w:r>
        <w:rPr>
          <w:rFonts w:ascii="宋体" w:hAnsi="宋体" w:cs="宋体" w:eastAsia="宋体" w:hint="default"/>
          <w:w w:val="111"/>
        </w:rPr>
        <w:t>5</w:t>
      </w:r>
      <w:r>
        <w:rPr>
          <w:rFonts w:ascii="宋体" w:hAnsi="宋体" w:cs="宋体" w:eastAsia="宋体" w:hint="default"/>
          <w:spacing w:val="-80"/>
          <w:w w:val="111"/>
        </w:rPr>
        <w:t> </w:t>
      </w:r>
      <w:r>
        <w:rPr>
          <w:rFonts w:ascii="宋体" w:hAnsi="宋体" w:cs="宋体" w:eastAsia="宋体" w:hint="default"/>
        </w:rPr>
        <w:t>月至</w:t>
      </w:r>
      <w:r>
        <w:rPr>
          <w:rFonts w:ascii="宋体" w:hAnsi="宋体" w:cs="宋体" w:eastAsia="宋体" w:hint="default"/>
          <w:spacing w:val="-70"/>
        </w:rPr>
        <w:t> </w:t>
      </w:r>
      <w:r>
        <w:rPr>
          <w:rFonts w:ascii="宋体" w:hAnsi="宋体" w:cs="宋体" w:eastAsia="宋体" w:hint="default"/>
          <w:w w:val="111"/>
        </w:rPr>
        <w:t>2016</w:t>
      </w:r>
      <w:r>
        <w:rPr>
          <w:rFonts w:ascii="宋体" w:hAnsi="宋体" w:cs="宋体" w:eastAsia="宋体" w:hint="default"/>
          <w:spacing w:val="-80"/>
          <w:w w:val="111"/>
        </w:rPr>
        <w:t> </w:t>
      </w:r>
      <w:r>
        <w:rPr>
          <w:rFonts w:ascii="宋体" w:hAnsi="宋体" w:cs="宋体" w:eastAsia="宋体" w:hint="default"/>
        </w:rPr>
        <w:t>年</w:t>
      </w:r>
      <w:r>
        <w:rPr>
          <w:rFonts w:ascii="宋体" w:hAnsi="宋体" w:cs="宋体" w:eastAsia="宋体" w:hint="default"/>
          <w:spacing w:val="-70"/>
        </w:rPr>
        <w:t> </w:t>
      </w:r>
      <w:r>
        <w:rPr>
          <w:rFonts w:ascii="宋体" w:hAnsi="宋体" w:cs="宋体" w:eastAsia="宋体" w:hint="default"/>
          <w:w w:val="111"/>
        </w:rPr>
        <w:t>12</w:t>
      </w:r>
      <w:r>
        <w:rPr>
          <w:rFonts w:ascii="宋体" w:hAnsi="宋体" w:cs="宋体" w:eastAsia="宋体" w:hint="default"/>
          <w:spacing w:val="-80"/>
          <w:w w:val="111"/>
        </w:rPr>
        <w:t> </w:t>
      </w:r>
      <w:r>
        <w:rPr>
          <w:rFonts w:ascii="宋体" w:hAnsi="宋体" w:cs="宋体" w:eastAsia="宋体" w:hint="default"/>
        </w:rPr>
        <w:t>月担任联通运营公司上海市分公司总经理、</w:t>
      </w:r>
      <w:r>
        <w:rPr>
          <w:rFonts w:ascii="宋体" w:hAnsi="宋体" w:cs="宋体" w:eastAsia="宋体" w:hint="default"/>
        </w:rPr>
        <w:t> 党委书记。2016</w:t>
      </w:r>
      <w:r>
        <w:rPr>
          <w:rFonts w:ascii="宋体" w:hAnsi="宋体" w:cs="宋体" w:eastAsia="宋体" w:hint="default"/>
          <w:spacing w:val="-22"/>
        </w:rPr>
        <w:t> </w:t>
      </w:r>
      <w:r>
        <w:rPr>
          <w:rFonts w:ascii="宋体" w:hAnsi="宋体" w:cs="宋体" w:eastAsia="宋体" w:hint="default"/>
        </w:rPr>
        <w:t>年</w:t>
      </w:r>
      <w:r>
        <w:rPr>
          <w:rFonts w:ascii="宋体" w:hAnsi="宋体" w:cs="宋体" w:eastAsia="宋体" w:hint="default"/>
          <w:spacing w:val="-22"/>
        </w:rPr>
        <w:t> </w:t>
      </w:r>
      <w:r>
        <w:rPr>
          <w:rFonts w:ascii="宋体" w:hAnsi="宋体" w:cs="宋体" w:eastAsia="宋体" w:hint="default"/>
        </w:rPr>
        <w:t>12</w:t>
      </w:r>
      <w:r>
        <w:rPr>
          <w:rFonts w:ascii="宋体" w:hAnsi="宋体" w:cs="宋体" w:eastAsia="宋体" w:hint="default"/>
          <w:spacing w:val="-22"/>
        </w:rPr>
        <w:t> </w:t>
      </w:r>
      <w:r>
        <w:rPr>
          <w:rFonts w:ascii="宋体" w:hAnsi="宋体" w:cs="宋体" w:eastAsia="宋体" w:hint="default"/>
        </w:rPr>
        <w:t>月任联通运营公司上海市分公司资深经理。蔡全根先生长期在电信行业工作，具有丰</w:t>
      </w:r>
      <w:r>
        <w:rPr>
          <w:rFonts w:ascii="宋体" w:hAnsi="宋体" w:cs="宋体" w:eastAsia="宋体" w:hint="default"/>
          <w:spacing w:val="-31"/>
        </w:rPr>
        <w:t> </w:t>
      </w:r>
      <w:r>
        <w:rPr>
          <w:rFonts w:ascii="宋体" w:hAnsi="宋体" w:cs="宋体" w:eastAsia="宋体" w:hint="default"/>
          <w:spacing w:val="-31"/>
        </w:rPr>
      </w:r>
      <w:r>
        <w:rPr>
          <w:rFonts w:ascii="宋体" w:hAnsi="宋体" w:cs="宋体" w:eastAsia="宋体" w:hint="default"/>
        </w:rPr>
        <w:t>富的电信行业管理经验。蔡先生自</w:t>
      </w:r>
      <w:r>
        <w:rPr>
          <w:rFonts w:ascii="宋体" w:hAnsi="宋体" w:cs="宋体" w:eastAsia="宋体" w:hint="default"/>
          <w:spacing w:val="-33"/>
        </w:rPr>
        <w:t> </w:t>
      </w:r>
      <w:r>
        <w:rPr>
          <w:rFonts w:ascii="宋体" w:hAnsi="宋体" w:cs="宋体" w:eastAsia="宋体" w:hint="default"/>
        </w:rPr>
        <w:t>2014</w:t>
      </w:r>
      <w:r>
        <w:rPr>
          <w:rFonts w:ascii="宋体" w:hAnsi="宋体" w:cs="宋体" w:eastAsia="宋体" w:hint="default"/>
          <w:spacing w:val="-33"/>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11</w:t>
      </w:r>
      <w:r>
        <w:rPr>
          <w:rFonts w:ascii="宋体" w:hAnsi="宋体" w:cs="宋体" w:eastAsia="宋体" w:hint="default"/>
          <w:spacing w:val="-33"/>
        </w:rPr>
        <w:t> </w:t>
      </w:r>
      <w:r>
        <w:rPr>
          <w:rFonts w:ascii="宋体" w:hAnsi="宋体" w:cs="宋体" w:eastAsia="宋体" w:hint="default"/>
        </w:rPr>
        <w:t>月起担任本公司监事，自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3"/>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3"/>
        </w:rPr>
        <w:t> </w:t>
      </w:r>
      <w:r>
        <w:rPr>
          <w:rFonts w:ascii="宋体" w:hAnsi="宋体" w:cs="宋体" w:eastAsia="宋体" w:hint="default"/>
        </w:rPr>
        <w:t>月因公司监事会换届离任。</w:t>
      </w:r>
    </w:p>
    <w:p>
      <w:pPr>
        <w:spacing w:line="240" w:lineRule="auto" w:before="3"/>
        <w:rPr>
          <w:rFonts w:ascii="宋体" w:hAnsi="宋体" w:cs="宋体" w:eastAsia="宋体" w:hint="default"/>
          <w:sz w:val="17"/>
          <w:szCs w:val="17"/>
        </w:rPr>
      </w:pPr>
    </w:p>
    <w:p>
      <w:pPr>
        <w:pStyle w:val="Heading8"/>
        <w:spacing w:line="240" w:lineRule="auto"/>
        <w:ind w:right="764"/>
        <w:jc w:val="left"/>
        <w:rPr>
          <w:rFonts w:ascii="宋体" w:hAnsi="宋体" w:cs="宋体" w:eastAsia="宋体" w:hint="default"/>
        </w:rPr>
      </w:pPr>
      <w:r>
        <w:rPr>
          <w:rFonts w:ascii="宋体" w:hAnsi="宋体" w:cs="宋体" w:eastAsia="宋体" w:hint="default"/>
        </w:rPr>
        <w:t>王霞</w:t>
      </w:r>
    </w:p>
    <w:p>
      <w:pPr>
        <w:spacing w:line="240" w:lineRule="auto" w:before="1"/>
        <w:rPr>
          <w:rFonts w:ascii="宋体" w:hAnsi="宋体" w:cs="宋体" w:eastAsia="宋体" w:hint="default"/>
          <w:sz w:val="16"/>
          <w:szCs w:val="16"/>
        </w:rPr>
      </w:pPr>
    </w:p>
    <w:p>
      <w:pPr>
        <w:pStyle w:val="BodyText"/>
        <w:spacing w:line="264" w:lineRule="auto" w:before="31"/>
        <w:ind w:left="2494" w:right="843"/>
        <w:jc w:val="both"/>
        <w:rPr>
          <w:rFonts w:ascii="宋体" w:hAnsi="宋体" w:cs="宋体" w:eastAsia="宋体" w:hint="default"/>
        </w:rPr>
      </w:pPr>
      <w:r>
        <w:rPr>
          <w:rFonts w:ascii="宋体" w:hAnsi="宋体" w:cs="宋体" w:eastAsia="宋体" w:hint="default"/>
        </w:rPr>
        <w:t>1986 年毕业于天津南开大学金融学系并获得经济学学士学位，1989 年获得天津南开大学金融学系国际金融</w:t>
      </w:r>
      <w:r>
        <w:rPr>
          <w:rFonts w:ascii="宋体" w:hAnsi="宋体" w:cs="宋体" w:eastAsia="宋体" w:hint="default"/>
          <w:spacing w:val="-28"/>
        </w:rPr>
        <w:t> </w:t>
      </w:r>
      <w:r>
        <w:rPr>
          <w:rFonts w:ascii="宋体" w:hAnsi="宋体" w:cs="宋体" w:eastAsia="宋体" w:hint="default"/>
          <w:spacing w:val="-28"/>
        </w:rPr>
      </w:r>
      <w:r>
        <w:rPr>
          <w:rFonts w:ascii="宋体" w:hAnsi="宋体" w:cs="宋体" w:eastAsia="宋体" w:hint="default"/>
        </w:rPr>
        <w:t>专业硕士学位。2001</w:t>
      </w:r>
      <w:r>
        <w:rPr>
          <w:rFonts w:ascii="宋体" w:hAnsi="宋体" w:cs="宋体" w:eastAsia="宋体" w:hint="default"/>
          <w:spacing w:val="-24"/>
        </w:rPr>
        <w:t> </w:t>
      </w:r>
      <w:r>
        <w:rPr>
          <w:rFonts w:ascii="宋体" w:hAnsi="宋体" w:cs="宋体" w:eastAsia="宋体" w:hint="default"/>
        </w:rPr>
        <w:t>年加入中国网络通信有限公司（“小网通”），后随行业重组进入中国网络通信集团公</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rPr>
        <w:t>司及中国联合网络通信有限公司，历任财务部、综合部副总经理至今。加入小网通之前，曾任吉通通信有限</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公司董事会秘书。1989</w:t>
      </w:r>
      <w:r>
        <w:rPr>
          <w:rFonts w:ascii="宋体" w:hAnsi="宋体" w:cs="宋体" w:eastAsia="宋体" w:hint="default"/>
          <w:spacing w:val="-8"/>
        </w:rPr>
        <w:t> </w:t>
      </w:r>
      <w:r>
        <w:rPr>
          <w:rFonts w:ascii="宋体" w:hAnsi="宋体" w:cs="宋体" w:eastAsia="宋体" w:hint="default"/>
        </w:rPr>
        <w:t>年</w:t>
      </w:r>
      <w:r>
        <w:rPr>
          <w:rFonts w:ascii="宋体" w:hAnsi="宋体" w:cs="宋体" w:eastAsia="宋体" w:hint="default"/>
          <w:spacing w:val="-8"/>
        </w:rPr>
        <w:t> </w:t>
      </w:r>
      <w:r>
        <w:rPr>
          <w:rFonts w:ascii="宋体" w:hAnsi="宋体" w:cs="宋体" w:eastAsia="宋体" w:hint="default"/>
        </w:rPr>
        <w:t>-1999</w:t>
      </w:r>
      <w:r>
        <w:rPr>
          <w:rFonts w:ascii="宋体" w:hAnsi="宋体" w:cs="宋体" w:eastAsia="宋体" w:hint="default"/>
          <w:spacing w:val="-8"/>
        </w:rPr>
        <w:t> </w:t>
      </w:r>
      <w:r>
        <w:rPr>
          <w:rFonts w:ascii="宋体" w:hAnsi="宋体" w:cs="宋体" w:eastAsia="宋体" w:hint="default"/>
          <w:spacing w:val="2"/>
        </w:rPr>
        <w:t>年期间就职于中国化工进出口总公司，并担任中国对外经济贸易信托投资</w:t>
      </w:r>
      <w:r>
        <w:rPr>
          <w:rFonts w:ascii="宋体" w:hAnsi="宋体" w:cs="宋体" w:eastAsia="宋体" w:hint="default"/>
          <w:spacing w:val="-58"/>
        </w:rPr>
        <w:t> </w:t>
      </w:r>
      <w:r>
        <w:rPr>
          <w:rFonts w:ascii="宋体" w:hAnsi="宋体" w:cs="宋体" w:eastAsia="宋体" w:hint="default"/>
          <w:spacing w:val="-58"/>
        </w:rPr>
      </w:r>
      <w:r>
        <w:rPr>
          <w:rFonts w:ascii="宋体" w:hAnsi="宋体" w:cs="宋体" w:eastAsia="宋体" w:hint="default"/>
        </w:rPr>
        <w:t>公司国际部、财务部副总经理。自</w:t>
      </w:r>
      <w:r>
        <w:rPr>
          <w:rFonts w:ascii="宋体" w:hAnsi="宋体" w:cs="宋体" w:eastAsia="宋体" w:hint="default"/>
          <w:spacing w:val="-34"/>
        </w:rPr>
        <w:t> </w:t>
      </w:r>
      <w:r>
        <w:rPr>
          <w:rFonts w:ascii="宋体" w:hAnsi="宋体" w:cs="宋体" w:eastAsia="宋体" w:hint="default"/>
        </w:rPr>
        <w:t>2016</w:t>
      </w:r>
      <w:r>
        <w:rPr>
          <w:rFonts w:ascii="宋体" w:hAnsi="宋体" w:cs="宋体" w:eastAsia="宋体" w:hint="default"/>
          <w:spacing w:val="-35"/>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3</w:t>
      </w:r>
      <w:r>
        <w:rPr>
          <w:rFonts w:ascii="宋体" w:hAnsi="宋体" w:cs="宋体" w:eastAsia="宋体" w:hint="default"/>
          <w:spacing w:val="-35"/>
        </w:rPr>
        <w:t> </w:t>
      </w:r>
      <w:r>
        <w:rPr>
          <w:rFonts w:ascii="宋体" w:hAnsi="宋体" w:cs="宋体" w:eastAsia="宋体" w:hint="default"/>
        </w:rPr>
        <w:t>月起担任本公司董事会秘书，于</w:t>
      </w:r>
      <w:r>
        <w:rPr>
          <w:rFonts w:ascii="宋体" w:hAnsi="宋体" w:cs="宋体" w:eastAsia="宋体" w:hint="default"/>
          <w:spacing w:val="-34"/>
        </w:rPr>
        <w:t> </w:t>
      </w:r>
      <w:r>
        <w:rPr>
          <w:rFonts w:ascii="宋体" w:hAnsi="宋体" w:cs="宋体" w:eastAsia="宋体" w:hint="default"/>
        </w:rPr>
        <w:t>2018</w:t>
      </w:r>
      <w:r>
        <w:rPr>
          <w:rFonts w:ascii="宋体" w:hAnsi="宋体" w:cs="宋体" w:eastAsia="宋体" w:hint="default"/>
          <w:spacing w:val="-35"/>
        </w:rPr>
        <w:t> </w:t>
      </w:r>
      <w:r>
        <w:rPr>
          <w:rFonts w:ascii="宋体" w:hAnsi="宋体" w:cs="宋体" w:eastAsia="宋体" w:hint="default"/>
        </w:rPr>
        <w:t>年</w:t>
      </w:r>
      <w:r>
        <w:rPr>
          <w:rFonts w:ascii="宋体" w:hAnsi="宋体" w:cs="宋体" w:eastAsia="宋体" w:hint="default"/>
          <w:spacing w:val="-34"/>
        </w:rPr>
        <w:t> </w:t>
      </w:r>
      <w:r>
        <w:rPr>
          <w:rFonts w:ascii="宋体" w:hAnsi="宋体" w:cs="宋体" w:eastAsia="宋体" w:hint="default"/>
        </w:rPr>
        <w:t>9</w:t>
      </w:r>
      <w:r>
        <w:rPr>
          <w:rFonts w:ascii="宋体" w:hAnsi="宋体" w:cs="宋体" w:eastAsia="宋体" w:hint="default"/>
          <w:spacing w:val="-35"/>
        </w:rPr>
        <w:t> </w:t>
      </w:r>
      <w:r>
        <w:rPr>
          <w:rFonts w:ascii="宋体" w:hAnsi="宋体" w:cs="宋体" w:eastAsia="宋体" w:hint="default"/>
        </w:rPr>
        <w:t>月离任。王霞女士长</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rPr>
        <w:t>期在电信行业工作，具有丰富的电信行业管理经验。</w:t>
      </w:r>
    </w:p>
    <w:p>
      <w:pPr>
        <w:spacing w:after="0" w:line="264" w:lineRule="auto"/>
        <w:jc w:val="both"/>
        <w:rPr>
          <w:rFonts w:ascii="宋体" w:hAnsi="宋体" w:cs="宋体" w:eastAsia="宋体" w:hint="default"/>
        </w:rPr>
        <w:sectPr>
          <w:pgSz w:w="11910" w:h="16160"/>
          <w:pgMar w:header="0" w:footer="298" w:top="2060" w:bottom="480" w:left="0" w:right="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8"/>
          <w:szCs w:val="28"/>
        </w:rPr>
      </w:pPr>
    </w:p>
    <w:p>
      <w:pPr>
        <w:spacing w:before="30"/>
        <w:ind w:left="850"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董事、高级管理人员报告期内被授予的股权激励情况</w:t>
      </w:r>
    </w:p>
    <w:p>
      <w:pPr>
        <w:spacing w:after="0"/>
        <w:jc w:val="left"/>
        <w:rPr>
          <w:rFonts w:ascii="宋体" w:hAnsi="宋体" w:cs="宋体" w:eastAsia="宋体" w:hint="default"/>
          <w:sz w:val="17"/>
          <w:szCs w:val="17"/>
        </w:rPr>
        <w:sectPr>
          <w:footerReference w:type="even" r:id="rId197"/>
          <w:footerReference w:type="default" r:id="rId198"/>
          <w:pgSz w:w="11910" w:h="16160"/>
          <w:pgMar w:footer="321" w:header="0" w:top="2220" w:bottom="520" w:left="0" w:right="0"/>
          <w:pgNumType w:start="64"/>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tabs>
          <w:tab w:pos="2728" w:val="left" w:leader="none"/>
        </w:tabs>
        <w:spacing w:before="135"/>
        <w:ind w:left="1247" w:right="-20" w:firstLine="0"/>
        <w:jc w:val="left"/>
        <w:rPr>
          <w:rFonts w:ascii="宋体" w:hAnsi="宋体" w:cs="宋体" w:eastAsia="宋体" w:hint="default"/>
          <w:sz w:val="16"/>
          <w:szCs w:val="16"/>
        </w:rPr>
      </w:pPr>
      <w:r>
        <w:rPr>
          <w:rFonts w:ascii="宋体" w:hAnsi="宋体" w:cs="宋体" w:eastAsia="宋体" w:hint="default"/>
          <w:sz w:val="16"/>
          <w:szCs w:val="16"/>
        </w:rPr>
        <w:t>姓名</w:t>
        <w:tab/>
        <w:t>职务</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3"/>
          <w:szCs w:val="13"/>
        </w:rPr>
      </w:pPr>
    </w:p>
    <w:p>
      <w:pPr>
        <w:spacing w:line="200" w:lineRule="exact" w:before="0"/>
        <w:ind w:left="873" w:right="-20" w:hanging="160"/>
        <w:jc w:val="left"/>
        <w:rPr>
          <w:rFonts w:ascii="宋体" w:hAnsi="宋体" w:cs="宋体" w:eastAsia="宋体" w:hint="default"/>
          <w:sz w:val="16"/>
          <w:szCs w:val="16"/>
        </w:rPr>
      </w:pPr>
      <w:r>
        <w:rPr>
          <w:rFonts w:ascii="宋体" w:hAnsi="宋体" w:cs="宋体" w:eastAsia="宋体" w:hint="default"/>
          <w:sz w:val="16"/>
          <w:szCs w:val="16"/>
        </w:rPr>
        <w:t>年初持有限制 性股票数量</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3"/>
          <w:szCs w:val="13"/>
        </w:rPr>
      </w:pPr>
    </w:p>
    <w:p>
      <w:pPr>
        <w:spacing w:line="200" w:lineRule="exact" w:before="0"/>
        <w:ind w:left="233" w:right="-20" w:hanging="160"/>
        <w:jc w:val="left"/>
        <w:rPr>
          <w:rFonts w:ascii="宋体" w:hAnsi="宋体" w:cs="宋体" w:eastAsia="宋体" w:hint="default"/>
          <w:sz w:val="16"/>
          <w:szCs w:val="16"/>
        </w:rPr>
      </w:pPr>
      <w:r>
        <w:rPr>
          <w:rFonts w:ascii="宋体" w:hAnsi="宋体" w:cs="宋体" w:eastAsia="宋体" w:hint="default"/>
          <w:sz w:val="16"/>
          <w:szCs w:val="16"/>
        </w:rPr>
        <w:t>报告期新授予限 制性股票数量</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3"/>
          <w:szCs w:val="13"/>
        </w:rPr>
      </w:pPr>
    </w:p>
    <w:p>
      <w:pPr>
        <w:spacing w:line="200" w:lineRule="exact" w:before="0"/>
        <w:ind w:left="72" w:right="-13" w:firstLine="52"/>
        <w:jc w:val="left"/>
        <w:rPr>
          <w:rFonts w:ascii="宋体" w:hAnsi="宋体" w:cs="宋体" w:eastAsia="宋体" w:hint="default"/>
          <w:sz w:val="16"/>
          <w:szCs w:val="16"/>
        </w:rPr>
      </w:pPr>
      <w:r>
        <w:rPr>
          <w:rFonts w:ascii="宋体" w:hAnsi="宋体" w:cs="宋体" w:eastAsia="宋体" w:hint="default"/>
          <w:sz w:val="16"/>
          <w:szCs w:val="16"/>
        </w:rPr>
        <w:t>限制性股票的 </w:t>
      </w:r>
      <w:r>
        <w:rPr>
          <w:rFonts w:ascii="宋体" w:hAnsi="宋体" w:cs="宋体" w:eastAsia="宋体" w:hint="default"/>
          <w:spacing w:val="-5"/>
          <w:sz w:val="16"/>
          <w:szCs w:val="16"/>
        </w:rPr>
        <w:t>授予价格（元）</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3"/>
          <w:szCs w:val="13"/>
        </w:rPr>
      </w:pPr>
    </w:p>
    <w:p>
      <w:pPr>
        <w:spacing w:line="200" w:lineRule="exact" w:before="0"/>
        <w:ind w:left="189" w:right="-20" w:hanging="160"/>
        <w:jc w:val="left"/>
        <w:rPr>
          <w:rFonts w:ascii="宋体" w:hAnsi="宋体" w:cs="宋体" w:eastAsia="宋体" w:hint="default"/>
          <w:sz w:val="16"/>
          <w:szCs w:val="16"/>
        </w:rPr>
      </w:pPr>
      <w:r>
        <w:rPr>
          <w:rFonts w:ascii="宋体" w:hAnsi="宋体" w:cs="宋体" w:eastAsia="宋体" w:hint="default"/>
          <w:sz w:val="16"/>
          <w:szCs w:val="16"/>
        </w:rPr>
        <w:t>已解锁 股份</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3"/>
          <w:szCs w:val="13"/>
        </w:rPr>
      </w:pPr>
    </w:p>
    <w:p>
      <w:pPr>
        <w:spacing w:line="200" w:lineRule="exact" w:before="0"/>
        <w:ind w:left="362" w:right="-20" w:hanging="160"/>
        <w:jc w:val="left"/>
        <w:rPr>
          <w:rFonts w:ascii="宋体" w:hAnsi="宋体" w:cs="宋体" w:eastAsia="宋体" w:hint="default"/>
          <w:sz w:val="16"/>
          <w:szCs w:val="16"/>
        </w:rPr>
      </w:pPr>
      <w:r>
        <w:rPr>
          <w:rFonts w:ascii="宋体" w:hAnsi="宋体" w:cs="宋体" w:eastAsia="宋体" w:hint="default"/>
          <w:sz w:val="16"/>
          <w:szCs w:val="16"/>
        </w:rPr>
        <w:t>未解锁 股份</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1"/>
        <w:rPr>
          <w:rFonts w:ascii="宋体" w:hAnsi="宋体" w:cs="宋体" w:eastAsia="宋体" w:hint="default"/>
          <w:sz w:val="13"/>
          <w:szCs w:val="13"/>
        </w:rPr>
      </w:pPr>
    </w:p>
    <w:p>
      <w:pPr>
        <w:spacing w:line="200" w:lineRule="exact" w:before="0"/>
        <w:ind w:left="302" w:right="-20" w:hanging="160"/>
        <w:jc w:val="left"/>
        <w:rPr>
          <w:rFonts w:ascii="宋体" w:hAnsi="宋体" w:cs="宋体" w:eastAsia="宋体" w:hint="default"/>
          <w:sz w:val="16"/>
          <w:szCs w:val="16"/>
        </w:rPr>
      </w:pPr>
      <w:r>
        <w:rPr>
          <w:rFonts w:ascii="宋体" w:hAnsi="宋体" w:cs="宋体" w:eastAsia="宋体" w:hint="default"/>
          <w:sz w:val="16"/>
          <w:szCs w:val="16"/>
        </w:rPr>
        <w:t>期末持有限制 性股票数量</w:t>
      </w:r>
    </w:p>
    <w:p>
      <w:pPr>
        <w:spacing w:line="240" w:lineRule="auto" w:before="2"/>
        <w:rPr>
          <w:rFonts w:ascii="宋体" w:hAnsi="宋体" w:cs="宋体" w:eastAsia="宋体" w:hint="default"/>
          <w:sz w:val="10"/>
          <w:szCs w:val="10"/>
        </w:rPr>
      </w:pPr>
      <w:r>
        <w:rPr/>
        <w:br w:type="column"/>
      </w:r>
      <w:r>
        <w:rPr>
          <w:rFonts w:ascii="宋体"/>
          <w:sz w:val="10"/>
        </w:rPr>
      </w:r>
    </w:p>
    <w:p>
      <w:pPr>
        <w:spacing w:before="0"/>
        <w:ind w:left="249" w:right="1481" w:firstLine="0"/>
        <w:jc w:val="center"/>
        <w:rPr>
          <w:rFonts w:ascii="宋体" w:hAnsi="宋体" w:cs="宋体" w:eastAsia="宋体" w:hint="default"/>
          <w:sz w:val="12"/>
          <w:szCs w:val="12"/>
        </w:rPr>
      </w:pPr>
      <w:r>
        <w:rPr>
          <w:rFonts w:ascii="宋体" w:hAnsi="宋体" w:cs="宋体" w:eastAsia="宋体" w:hint="default"/>
          <w:sz w:val="12"/>
          <w:szCs w:val="12"/>
        </w:rPr>
        <w:t>单位：股</w:t>
      </w:r>
    </w:p>
    <w:p>
      <w:pPr>
        <w:spacing w:line="200" w:lineRule="exact" w:before="91"/>
        <w:ind w:left="73" w:right="1392" w:hanging="17"/>
        <w:jc w:val="center"/>
        <w:rPr>
          <w:rFonts w:ascii="宋体" w:hAnsi="宋体" w:cs="宋体" w:eastAsia="宋体" w:hint="default"/>
          <w:sz w:val="16"/>
          <w:szCs w:val="16"/>
        </w:rPr>
      </w:pPr>
      <w:r>
        <w:rPr>
          <w:rFonts w:ascii="宋体" w:hAnsi="宋体" w:cs="宋体" w:eastAsia="宋体" w:hint="default"/>
          <w:sz w:val="16"/>
          <w:szCs w:val="16"/>
        </w:rPr>
        <w:t>报告期末 </w:t>
      </w:r>
      <w:r>
        <w:rPr>
          <w:rFonts w:ascii="宋体" w:hAnsi="宋体" w:cs="宋体" w:eastAsia="宋体" w:hint="default"/>
          <w:spacing w:val="-4"/>
          <w:sz w:val="16"/>
          <w:szCs w:val="16"/>
        </w:rPr>
        <w:t>市价（元）</w:t>
      </w:r>
    </w:p>
    <w:p>
      <w:pPr>
        <w:spacing w:after="0" w:line="200" w:lineRule="exact"/>
        <w:jc w:val="center"/>
        <w:rPr>
          <w:rFonts w:ascii="宋体" w:hAnsi="宋体" w:cs="宋体" w:eastAsia="宋体" w:hint="default"/>
          <w:sz w:val="16"/>
          <w:szCs w:val="16"/>
        </w:rPr>
        <w:sectPr>
          <w:type w:val="continuous"/>
          <w:pgSz w:w="11910" w:h="16160"/>
          <w:pgMar w:top="1520" w:bottom="280" w:left="0" w:right="0"/>
          <w:cols w:num="8" w:equalWidth="0">
            <w:col w:w="3049" w:space="40"/>
            <w:col w:w="1674" w:space="40"/>
            <w:col w:w="1194" w:space="40"/>
            <w:col w:w="1165" w:space="40"/>
            <w:col w:w="510" w:space="40"/>
            <w:col w:w="683" w:space="40"/>
            <w:col w:w="1103" w:space="40"/>
            <w:col w:w="2252"/>
          </w:cols>
        </w:sectPr>
      </w:pPr>
    </w:p>
    <w:p>
      <w:pPr>
        <w:spacing w:line="240" w:lineRule="auto" w:before="10"/>
        <w:rPr>
          <w:rFonts w:ascii="宋体" w:hAnsi="宋体" w:cs="宋体" w:eastAsia="宋体" w:hint="default"/>
          <w:sz w:val="5"/>
          <w:szCs w:val="5"/>
        </w:rPr>
      </w:pPr>
    </w:p>
    <w:p>
      <w:pPr>
        <w:spacing w:line="40" w:lineRule="exact"/>
        <w:ind w:left="11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925;height:2" coordorigin="20,20" coordsize="925,2">
              <v:shape style="position:absolute;left:20;top:20;width:925;height:2" coordorigin="20,20" coordsize="925,0" path="m20,20l944,20e" filled="false" stroked="true" strokeweight="2pt" strokecolor="#9c8758">
                <v:path arrowok="t"/>
              </v:shape>
            </v:group>
            <v:group style="position:absolute;left:944;top:20;width:1548;height:2" coordorigin="944,20" coordsize="1548,2">
              <v:shape style="position:absolute;left:944;top:20;width:1548;height:2" coordorigin="944,20" coordsize="1548,0" path="m944,20l2492,20e" filled="false" stroked="true" strokeweight="2pt" strokecolor="#9c8758">
                <v:path arrowok="t"/>
              </v:shape>
            </v:group>
            <v:group style="position:absolute;left:2492;top:20;width:1157;height:2" coordorigin="2492,20" coordsize="1157,2">
              <v:shape style="position:absolute;left:2492;top:20;width:1157;height:2" coordorigin="2492,20" coordsize="1157,0" path="m2492,20l3648,20e" filled="false" stroked="true" strokeweight="2pt" strokecolor="#9c8758">
                <v:path arrowok="t"/>
              </v:shape>
            </v:group>
            <v:group style="position:absolute;left:3648;top:20;width:1234;height:2" coordorigin="3648,20" coordsize="1234,2">
              <v:shape style="position:absolute;left:3648;top:20;width:1234;height:2" coordorigin="3648,20" coordsize="1234,0" path="m3648,20l4881,20e" filled="false" stroked="true" strokeweight="2pt" strokecolor="#9c8758">
                <v:path arrowok="t"/>
              </v:shape>
            </v:group>
            <v:group style="position:absolute;left:4881;top:20;width:1126;height:2" coordorigin="4881,20" coordsize="1126,2">
              <v:shape style="position:absolute;left:4881;top:20;width:1126;height:2" coordorigin="4881,20" coordsize="1126,0" path="m4881,20l6007,20e" filled="false" stroked="true" strokeweight="2pt" strokecolor="#9c8758">
                <v:path arrowok="t"/>
              </v:shape>
            </v:group>
            <v:group style="position:absolute;left:6007;top:20;width:630;height:2" coordorigin="6007,20" coordsize="630,2">
              <v:shape style="position:absolute;left:6007;top:20;width:630;height:2" coordorigin="6007,20" coordsize="630,0" path="m6007,20l6636,20e" filled="false" stroked="true" strokeweight="2pt" strokecolor="#9c8758">
                <v:path arrowok="t"/>
              </v:shape>
            </v:group>
            <v:group style="position:absolute;left:6636;top:20;width:723;height:2" coordorigin="6636,20" coordsize="723,2">
              <v:shape style="position:absolute;left:6636;top:20;width:723;height:2" coordorigin="6636,20" coordsize="723,0" path="m6636,20l7359,20e" filled="false" stroked="true" strokeweight="2pt" strokecolor="#9c8758">
                <v:path arrowok="t"/>
              </v:shape>
            </v:group>
            <v:group style="position:absolute;left:7359;top:20;width:1143;height:2" coordorigin="7359,20" coordsize="1143,2">
              <v:shape style="position:absolute;left:7359;top:20;width:1143;height:2" coordorigin="7359,20" coordsize="1143,0" path="m7359,20l8501,20e" filled="false" stroked="true" strokeweight="2pt" strokecolor="#9c8758">
                <v:path arrowok="t"/>
              </v:shape>
            </v:group>
            <v:group style="position:absolute;left:8501;top:20;width:817;height:2" coordorigin="8501,20" coordsize="817,2">
              <v:shape style="position:absolute;left:8501;top:20;width:817;height:2" coordorigin="8501,20" coordsize="817,0" path="m8501,20l9318,20e" filled="false" stroked="true" strokeweight="2pt" strokecolor="#9c8758">
                <v:path arrowok="t"/>
              </v:shape>
            </v:group>
          </v:group>
        </w:pict>
      </w:r>
      <w:r>
        <w:rPr>
          <w:rFonts w:ascii="宋体" w:hAnsi="宋体" w:cs="宋体" w:eastAsia="宋体" w:hint="default"/>
          <w:position w:val="0"/>
          <w:sz w:val="4"/>
          <w:szCs w:val="4"/>
        </w:rPr>
      </w:r>
    </w:p>
    <w:p>
      <w:pPr>
        <w:tabs>
          <w:tab w:pos="2728" w:val="left" w:leader="none"/>
          <w:tab w:pos="4673" w:val="left" w:leader="none"/>
          <w:tab w:pos="5418" w:val="left" w:leader="none"/>
          <w:tab w:pos="6610" w:val="left" w:leader="none"/>
          <w:tab w:pos="7661" w:val="left" w:leader="none"/>
          <w:tab w:pos="9038" w:val="left" w:leader="none"/>
          <w:tab w:pos="9920" w:val="left" w:leader="none"/>
        </w:tabs>
        <w:spacing w:before="83"/>
        <w:ind w:left="1247" w:right="764" w:firstLine="0"/>
        <w:jc w:val="left"/>
        <w:rPr>
          <w:rFonts w:ascii="宋体" w:hAnsi="宋体" w:cs="宋体" w:eastAsia="宋体" w:hint="default"/>
          <w:sz w:val="16"/>
          <w:szCs w:val="16"/>
        </w:rPr>
      </w:pPr>
      <w:r>
        <w:rPr>
          <w:rFonts w:ascii="宋体" w:hAnsi="宋体" w:cs="宋体" w:eastAsia="宋体" w:hint="default"/>
          <w:sz w:val="16"/>
          <w:szCs w:val="16"/>
        </w:rPr>
        <w:t>姜爱华</w:t>
        <w:tab/>
        <w:t>高管</w:t>
        <w:tab/>
      </w:r>
      <w:r>
        <w:rPr>
          <w:rFonts w:ascii="宋体" w:hAnsi="宋体" w:cs="宋体" w:eastAsia="宋体" w:hint="default"/>
          <w:w w:val="105"/>
          <w:sz w:val="16"/>
          <w:szCs w:val="16"/>
        </w:rPr>
        <w:t>0</w:t>
        <w:tab/>
      </w:r>
      <w:r>
        <w:rPr>
          <w:rFonts w:ascii="宋体" w:hAnsi="宋体" w:cs="宋体" w:eastAsia="宋体" w:hint="default"/>
          <w:sz w:val="16"/>
          <w:szCs w:val="16"/>
        </w:rPr>
        <w:t>216,000</w:t>
        <w:tab/>
        <w:t>3.79</w:t>
      </w:r>
      <w:r>
        <w:rPr>
          <w:rFonts w:ascii="宋体" w:hAnsi="宋体" w:cs="宋体" w:eastAsia="宋体" w:hint="default"/>
          <w:spacing w:val="-51"/>
          <w:sz w:val="16"/>
          <w:szCs w:val="16"/>
        </w:rPr>
        <w:t> </w:t>
      </w:r>
      <w:r>
        <w:rPr>
          <w:rFonts w:ascii="宋体" w:hAnsi="宋体" w:cs="宋体" w:eastAsia="宋体" w:hint="default"/>
          <w:sz w:val="16"/>
          <w:szCs w:val="16"/>
        </w:rPr>
        <w:t>元</w:t>
        <w:tab/>
      </w:r>
      <w:r>
        <w:rPr>
          <w:rFonts w:ascii="宋体" w:hAnsi="宋体" w:cs="宋体" w:eastAsia="宋体" w:hint="default"/>
          <w:w w:val="105"/>
          <w:sz w:val="16"/>
          <w:szCs w:val="16"/>
        </w:rPr>
        <w:t>0</w:t>
      </w:r>
      <w:r>
        <w:rPr>
          <w:rFonts w:ascii="宋体" w:hAnsi="宋体" w:cs="宋体" w:eastAsia="宋体" w:hint="default"/>
          <w:spacing w:val="54"/>
          <w:w w:val="105"/>
          <w:sz w:val="16"/>
          <w:szCs w:val="16"/>
        </w:rPr>
        <w:t> </w:t>
      </w:r>
      <w:r>
        <w:rPr>
          <w:rFonts w:ascii="宋体" w:hAnsi="宋体" w:cs="宋体" w:eastAsia="宋体" w:hint="default"/>
          <w:w w:val="105"/>
          <w:sz w:val="16"/>
          <w:szCs w:val="16"/>
        </w:rPr>
        <w:t>216,000</w:t>
        <w:tab/>
      </w:r>
      <w:r>
        <w:rPr>
          <w:rFonts w:ascii="宋体" w:hAnsi="宋体" w:cs="宋体" w:eastAsia="宋体" w:hint="default"/>
          <w:sz w:val="16"/>
          <w:szCs w:val="16"/>
        </w:rPr>
        <w:t>216,000</w:t>
        <w:tab/>
        <w:t>5.17</w:t>
      </w:r>
      <w:r>
        <w:rPr>
          <w:rFonts w:ascii="宋体" w:hAnsi="宋体" w:cs="宋体" w:eastAsia="宋体" w:hint="default"/>
          <w:spacing w:val="-51"/>
          <w:sz w:val="16"/>
          <w:szCs w:val="16"/>
        </w:rPr>
        <w:t> </w:t>
      </w:r>
      <w:r>
        <w:rPr>
          <w:rFonts w:ascii="宋体" w:hAnsi="宋体" w:cs="宋体" w:eastAsia="宋体" w:hint="default"/>
          <w:sz w:val="16"/>
          <w:szCs w:val="16"/>
        </w:rPr>
        <w:t>元</w:t>
      </w:r>
    </w:p>
    <w:p>
      <w:pPr>
        <w:spacing w:line="155" w:lineRule="exact" w:before="86"/>
        <w:ind w:left="2728" w:right="764" w:firstLine="0"/>
        <w:jc w:val="left"/>
        <w:rPr>
          <w:rFonts w:ascii="宋体" w:hAnsi="宋体" w:cs="宋体" w:eastAsia="宋体" w:hint="default"/>
          <w:sz w:val="16"/>
          <w:szCs w:val="16"/>
        </w:rPr>
      </w:pPr>
      <w:r>
        <w:rPr>
          <w:rFonts w:ascii="宋体" w:hAnsi="宋体" w:cs="宋体" w:eastAsia="宋体" w:hint="default"/>
          <w:sz w:val="16"/>
          <w:szCs w:val="16"/>
        </w:rPr>
        <w:t>高管</w:t>
      </w:r>
    </w:p>
    <w:p>
      <w:pPr>
        <w:tabs>
          <w:tab w:pos="4673" w:val="left" w:leader="none"/>
          <w:tab w:pos="5418" w:val="left" w:leader="none"/>
          <w:tab w:pos="6610" w:val="left" w:leader="none"/>
          <w:tab w:pos="7661" w:val="left" w:leader="none"/>
          <w:tab w:pos="9038" w:val="left" w:leader="none"/>
          <w:tab w:pos="9921" w:val="left" w:leader="none"/>
        </w:tabs>
        <w:spacing w:line="255" w:lineRule="exact" w:before="0"/>
        <w:ind w:left="2171" w:right="764" w:firstLine="0"/>
        <w:jc w:val="left"/>
        <w:rPr>
          <w:rFonts w:ascii="宋体" w:hAnsi="宋体" w:cs="宋体" w:eastAsia="宋体" w:hint="default"/>
          <w:sz w:val="16"/>
          <w:szCs w:val="16"/>
        </w:rPr>
      </w:pPr>
      <w:r>
        <w:rPr/>
        <w:pict>
          <v:shape style="position:absolute;margin-left:62.370201pt;margin-top:.329503pt;width:16pt;height:8pt;mso-position-horizontal-relative:page;mso-position-vertical-relative:paragraph;z-index:6688"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王霞</w:t>
                  </w:r>
                </w:p>
              </w:txbxContent>
            </v:textbox>
            <w10:wrap type="none"/>
          </v:shape>
        </w:pict>
      </w:r>
      <w:r>
        <w:rPr>
          <w:rFonts w:ascii="宋体" w:hAnsi="宋体" w:cs="宋体" w:eastAsia="宋体" w:hint="default"/>
          <w:w w:val="105"/>
          <w:position w:val="-9"/>
          <w:sz w:val="16"/>
          <w:szCs w:val="16"/>
        </w:rPr>
        <w:t>（2018</w:t>
      </w:r>
      <w:r>
        <w:rPr>
          <w:rFonts w:ascii="宋体" w:hAnsi="宋体" w:cs="宋体" w:eastAsia="宋体" w:hint="default"/>
          <w:spacing w:val="-56"/>
          <w:w w:val="105"/>
          <w:position w:val="-9"/>
          <w:sz w:val="16"/>
          <w:szCs w:val="16"/>
        </w:rPr>
        <w:t> </w:t>
      </w:r>
      <w:r>
        <w:rPr>
          <w:rFonts w:ascii="宋体" w:hAnsi="宋体" w:cs="宋体" w:eastAsia="宋体" w:hint="default"/>
          <w:w w:val="105"/>
          <w:position w:val="-9"/>
          <w:sz w:val="16"/>
          <w:szCs w:val="16"/>
        </w:rPr>
        <w:t>年</w:t>
      </w:r>
      <w:r>
        <w:rPr>
          <w:rFonts w:ascii="宋体" w:hAnsi="宋体" w:cs="宋体" w:eastAsia="宋体" w:hint="default"/>
          <w:spacing w:val="-56"/>
          <w:w w:val="105"/>
          <w:position w:val="-9"/>
          <w:sz w:val="16"/>
          <w:szCs w:val="16"/>
        </w:rPr>
        <w:t> </w:t>
      </w:r>
      <w:r>
        <w:rPr>
          <w:rFonts w:ascii="宋体" w:hAnsi="宋体" w:cs="宋体" w:eastAsia="宋体" w:hint="default"/>
          <w:w w:val="105"/>
          <w:position w:val="-9"/>
          <w:sz w:val="16"/>
          <w:szCs w:val="16"/>
        </w:rPr>
        <w:t>9</w:t>
      </w:r>
      <w:r>
        <w:rPr>
          <w:rFonts w:ascii="宋体" w:hAnsi="宋体" w:cs="宋体" w:eastAsia="宋体" w:hint="default"/>
          <w:spacing w:val="-56"/>
          <w:w w:val="105"/>
          <w:position w:val="-9"/>
          <w:sz w:val="16"/>
          <w:szCs w:val="16"/>
        </w:rPr>
        <w:t> </w:t>
      </w:r>
      <w:r>
        <w:rPr>
          <w:rFonts w:ascii="宋体" w:hAnsi="宋体" w:cs="宋体" w:eastAsia="宋体" w:hint="default"/>
          <w:w w:val="105"/>
          <w:position w:val="-9"/>
          <w:sz w:val="16"/>
          <w:szCs w:val="16"/>
        </w:rPr>
        <w:t>月离任）</w:t>
        <w:tab/>
      </w:r>
      <w:r>
        <w:rPr>
          <w:rFonts w:ascii="宋体" w:hAnsi="宋体" w:cs="宋体" w:eastAsia="宋体" w:hint="default"/>
          <w:w w:val="105"/>
          <w:sz w:val="16"/>
          <w:szCs w:val="16"/>
        </w:rPr>
        <w:t>0</w:t>
        <w:tab/>
      </w:r>
      <w:r>
        <w:rPr>
          <w:rFonts w:ascii="宋体" w:hAnsi="宋体" w:cs="宋体" w:eastAsia="宋体" w:hint="default"/>
          <w:sz w:val="16"/>
          <w:szCs w:val="16"/>
        </w:rPr>
        <w:t>216,000</w:t>
        <w:tab/>
        <w:t>3.79</w:t>
      </w:r>
      <w:r>
        <w:rPr>
          <w:rFonts w:ascii="宋体" w:hAnsi="宋体" w:cs="宋体" w:eastAsia="宋体" w:hint="default"/>
          <w:spacing w:val="-51"/>
          <w:sz w:val="16"/>
          <w:szCs w:val="16"/>
        </w:rPr>
        <w:t> </w:t>
      </w:r>
      <w:r>
        <w:rPr>
          <w:rFonts w:ascii="宋体" w:hAnsi="宋体" w:cs="宋体" w:eastAsia="宋体" w:hint="default"/>
          <w:sz w:val="16"/>
          <w:szCs w:val="16"/>
        </w:rPr>
        <w:t>元</w:t>
        <w:tab/>
      </w:r>
      <w:r>
        <w:rPr>
          <w:rFonts w:ascii="宋体" w:hAnsi="宋体" w:cs="宋体" w:eastAsia="宋体" w:hint="default"/>
          <w:w w:val="105"/>
          <w:sz w:val="16"/>
          <w:szCs w:val="16"/>
        </w:rPr>
        <w:t>0</w:t>
      </w:r>
      <w:r>
        <w:rPr>
          <w:rFonts w:ascii="宋体" w:hAnsi="宋体" w:cs="宋体" w:eastAsia="宋体" w:hint="default"/>
          <w:spacing w:val="54"/>
          <w:w w:val="105"/>
          <w:sz w:val="16"/>
          <w:szCs w:val="16"/>
        </w:rPr>
        <w:t> </w:t>
      </w:r>
      <w:r>
        <w:rPr>
          <w:rFonts w:ascii="宋体" w:hAnsi="宋体" w:cs="宋体" w:eastAsia="宋体" w:hint="default"/>
          <w:w w:val="105"/>
          <w:sz w:val="16"/>
          <w:szCs w:val="16"/>
        </w:rPr>
        <w:t>216,000</w:t>
        <w:tab/>
      </w:r>
      <w:r>
        <w:rPr>
          <w:rFonts w:ascii="宋体" w:hAnsi="宋体" w:cs="宋体" w:eastAsia="宋体" w:hint="default"/>
          <w:sz w:val="16"/>
          <w:szCs w:val="16"/>
        </w:rPr>
        <w:t>216,000</w:t>
        <w:tab/>
        <w:t>5.17</w:t>
      </w:r>
      <w:r>
        <w:rPr>
          <w:rFonts w:ascii="宋体" w:hAnsi="宋体" w:cs="宋体" w:eastAsia="宋体" w:hint="default"/>
          <w:spacing w:val="-51"/>
          <w:sz w:val="16"/>
          <w:szCs w:val="16"/>
        </w:rPr>
        <w:t> </w:t>
      </w:r>
      <w:r>
        <w:rPr>
          <w:rFonts w:ascii="宋体" w:hAnsi="宋体" w:cs="宋体" w:eastAsia="宋体" w:hint="default"/>
          <w:sz w:val="16"/>
          <w:szCs w:val="16"/>
        </w:rPr>
        <w:t>元</w:t>
      </w:r>
    </w:p>
    <w:p>
      <w:pPr>
        <w:tabs>
          <w:tab w:pos="2866" w:val="left" w:leader="none"/>
          <w:tab w:pos="4673" w:val="left" w:leader="none"/>
          <w:tab w:pos="5418" w:val="left" w:leader="none"/>
          <w:tab w:pos="7076" w:val="left" w:leader="none"/>
          <w:tab w:pos="7661" w:val="left" w:leader="none"/>
          <w:tab w:pos="9038" w:val="left" w:leader="none"/>
          <w:tab w:pos="10387" w:val="left" w:leader="none"/>
        </w:tabs>
        <w:spacing w:before="86"/>
        <w:ind w:left="1247" w:right="764" w:firstLine="0"/>
        <w:jc w:val="left"/>
        <w:rPr>
          <w:rFonts w:ascii="宋体" w:hAnsi="宋体" w:cs="宋体" w:eastAsia="宋体" w:hint="default"/>
          <w:sz w:val="16"/>
          <w:szCs w:val="16"/>
        </w:rPr>
      </w:pPr>
      <w:r>
        <w:rPr>
          <w:rFonts w:ascii="宋体" w:hAnsi="宋体" w:cs="宋体" w:eastAsia="宋体" w:hint="default"/>
          <w:sz w:val="16"/>
          <w:szCs w:val="16"/>
        </w:rPr>
        <w:t>合计</w:t>
        <w:tab/>
      </w:r>
      <w:r>
        <w:rPr>
          <w:rFonts w:ascii="宋体" w:hAnsi="宋体" w:cs="宋体" w:eastAsia="宋体" w:hint="default"/>
          <w:w w:val="55"/>
          <w:sz w:val="16"/>
          <w:szCs w:val="16"/>
        </w:rPr>
        <w:t>/</w:t>
        <w:tab/>
      </w:r>
      <w:r>
        <w:rPr>
          <w:rFonts w:ascii="宋体" w:hAnsi="宋体" w:cs="宋体" w:eastAsia="宋体" w:hint="default"/>
          <w:sz w:val="16"/>
          <w:szCs w:val="16"/>
        </w:rPr>
        <w:t>0</w:t>
        <w:tab/>
        <w:t>432,000</w:t>
        <w:tab/>
      </w:r>
      <w:r>
        <w:rPr>
          <w:rFonts w:ascii="宋体" w:hAnsi="宋体" w:cs="宋体" w:eastAsia="宋体" w:hint="default"/>
          <w:w w:val="55"/>
          <w:sz w:val="16"/>
          <w:szCs w:val="16"/>
        </w:rPr>
        <w:t>/</w:t>
        <w:tab/>
      </w:r>
      <w:r>
        <w:rPr>
          <w:rFonts w:ascii="宋体" w:hAnsi="宋体" w:cs="宋体" w:eastAsia="宋体" w:hint="default"/>
          <w:sz w:val="16"/>
          <w:szCs w:val="16"/>
        </w:rPr>
        <w:t>0 </w:t>
      </w:r>
      <w:r>
        <w:rPr>
          <w:rFonts w:ascii="宋体" w:hAnsi="宋体" w:cs="宋体" w:eastAsia="宋体" w:hint="default"/>
          <w:spacing w:val="10"/>
          <w:sz w:val="16"/>
          <w:szCs w:val="16"/>
        </w:rPr>
        <w:t> </w:t>
      </w:r>
      <w:r>
        <w:rPr>
          <w:rFonts w:ascii="宋体" w:hAnsi="宋体" w:cs="宋体" w:eastAsia="宋体" w:hint="default"/>
          <w:sz w:val="16"/>
          <w:szCs w:val="16"/>
        </w:rPr>
        <w:t>432,000</w:t>
        <w:tab/>
        <w:t>432,000</w:t>
        <w:tab/>
      </w:r>
      <w:r>
        <w:rPr>
          <w:rFonts w:ascii="宋体" w:hAnsi="宋体" w:cs="宋体" w:eastAsia="宋体" w:hint="default"/>
          <w:w w:val="95"/>
          <w:sz w:val="16"/>
          <w:szCs w:val="16"/>
        </w:rPr>
        <w:t>/</w:t>
      </w:r>
      <w:r>
        <w:rPr>
          <w:rFonts w:ascii="宋体" w:hAnsi="宋体" w:cs="宋体" w:eastAsia="宋体" w:hint="default"/>
          <w:sz w:val="16"/>
          <w:szCs w:val="16"/>
        </w:rPr>
      </w:r>
    </w:p>
    <w:p>
      <w:pPr>
        <w:spacing w:line="240" w:lineRule="auto" w:before="4"/>
        <w:rPr>
          <w:rFonts w:ascii="宋体" w:hAnsi="宋体" w:cs="宋体" w:eastAsia="宋体" w:hint="default"/>
          <w:sz w:val="10"/>
          <w:szCs w:val="10"/>
        </w:rPr>
      </w:pPr>
    </w:p>
    <w:p>
      <w:pPr>
        <w:spacing w:line="20" w:lineRule="exact"/>
        <w:ind w:left="11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925;height:2" coordorigin="5,5" coordsize="925,2">
              <v:shape style="position:absolute;left:5;top:5;width:925;height:2" coordorigin="5,5" coordsize="925,0" path="m5,5l929,5e" filled="false" stroked="true" strokeweight=".5pt" strokecolor="#000000">
                <v:path arrowok="t"/>
              </v:shape>
            </v:group>
            <v:group style="position:absolute;left:929;top:5;width:1548;height:2" coordorigin="929,5" coordsize="1548,2">
              <v:shape style="position:absolute;left:929;top:5;width:1548;height:2" coordorigin="929,5" coordsize="1548,0" path="m929,5l2477,5e" filled="false" stroked="true" strokeweight=".5pt" strokecolor="#000000">
                <v:path arrowok="t"/>
              </v:shape>
            </v:group>
            <v:group style="position:absolute;left:2477;top:5;width:1157;height:2" coordorigin="2477,5" coordsize="1157,2">
              <v:shape style="position:absolute;left:2477;top:5;width:1157;height:2" coordorigin="2477,5" coordsize="1157,0" path="m2477,5l3633,5e" filled="false" stroked="true" strokeweight=".5pt" strokecolor="#000000">
                <v:path arrowok="t"/>
              </v:shape>
            </v:group>
            <v:group style="position:absolute;left:3633;top:5;width:1234;height:2" coordorigin="3633,5" coordsize="1234,2">
              <v:shape style="position:absolute;left:3633;top:5;width:1234;height:2" coordorigin="3633,5" coordsize="1234,0" path="m3633,5l4866,5e" filled="false" stroked="true" strokeweight=".5pt" strokecolor="#000000">
                <v:path arrowok="t"/>
              </v:shape>
            </v:group>
            <v:group style="position:absolute;left:4866;top:5;width:1126;height:2" coordorigin="4866,5" coordsize="1126,2">
              <v:shape style="position:absolute;left:4866;top:5;width:1126;height:2" coordorigin="4866,5" coordsize="1126,0" path="m4866,5l5992,5e" filled="false" stroked="true" strokeweight=".5pt" strokecolor="#000000">
                <v:path arrowok="t"/>
              </v:shape>
            </v:group>
            <v:group style="position:absolute;left:5992;top:5;width:630;height:2" coordorigin="5992,5" coordsize="630,2">
              <v:shape style="position:absolute;left:5992;top:5;width:630;height:2" coordorigin="5992,5" coordsize="630,0" path="m5992,5l6621,5e" filled="false" stroked="true" strokeweight=".5pt" strokecolor="#000000">
                <v:path arrowok="t"/>
              </v:shape>
            </v:group>
            <v:group style="position:absolute;left:6621;top:5;width:723;height:2" coordorigin="6621,5" coordsize="723,2">
              <v:shape style="position:absolute;left:6621;top:5;width:723;height:2" coordorigin="6621,5" coordsize="723,0" path="m6621,5l7344,5e" filled="false" stroked="true" strokeweight=".5pt" strokecolor="#000000">
                <v:path arrowok="t"/>
              </v:shape>
            </v:group>
            <v:group style="position:absolute;left:7344;top:5;width:1143;height:2" coordorigin="7344,5" coordsize="1143,2">
              <v:shape style="position:absolute;left:7344;top:5;width:1143;height:2" coordorigin="7344,5" coordsize="1143,0" path="m7344,5l8486,5e" filled="false" stroked="true" strokeweight=".5pt" strokecolor="#000000">
                <v:path arrowok="t"/>
              </v:shape>
            </v:group>
            <v:group style="position:absolute;left:8486;top:5;width:817;height:2" coordorigin="8486,5" coordsize="817,2">
              <v:shape style="position:absolute;left:8486;top:5;width:817;height:2" coordorigin="8486,5" coordsize="817,0" path="m8486,5l9303,5e" filled="false" stroked="true" strokeweight=".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23"/>
          <w:szCs w:val="23"/>
        </w:rPr>
      </w:pPr>
    </w:p>
    <w:p>
      <w:pPr>
        <w:pStyle w:val="BodyText"/>
        <w:spacing w:line="240" w:lineRule="auto" w:before="26"/>
        <w:ind w:left="850" w:right="764"/>
        <w:jc w:val="left"/>
        <w:rPr>
          <w:rFonts w:ascii="宋体" w:hAnsi="宋体" w:cs="宋体" w:eastAsia="宋体" w:hint="default"/>
        </w:rPr>
      </w:pPr>
      <w:r>
        <w:rPr>
          <w:rFonts w:ascii="宋体" w:hAnsi="宋体" w:cs="宋体" w:eastAsia="宋体" w:hint="default"/>
          <w:color w:val="D7000F"/>
        </w:rPr>
        <w:t>二、现任及报告期内离任董事、监事和高级管理人员的任职情况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850"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在股东单位任职情况</w:t>
      </w:r>
    </w:p>
    <w:p>
      <w:pPr>
        <w:spacing w:line="240" w:lineRule="auto" w:before="4"/>
        <w:rPr>
          <w:rFonts w:ascii="宋体" w:hAnsi="宋体" w:cs="宋体" w:eastAsia="宋体" w:hint="default"/>
          <w:sz w:val="18"/>
          <w:szCs w:val="18"/>
        </w:rPr>
      </w:pPr>
    </w:p>
    <w:p>
      <w:pPr>
        <w:tabs>
          <w:tab w:pos="3528" w:val="left" w:leader="none"/>
          <w:tab w:pos="5643" w:val="left" w:leader="none"/>
          <w:tab w:pos="7876" w:val="left" w:leader="none"/>
          <w:tab w:pos="9293" w:val="left" w:leader="none"/>
        </w:tabs>
        <w:spacing w:before="41"/>
        <w:ind w:left="1504" w:right="764" w:firstLine="0"/>
        <w:jc w:val="left"/>
        <w:rPr>
          <w:rFonts w:ascii="宋体" w:hAnsi="宋体" w:cs="宋体" w:eastAsia="宋体" w:hint="default"/>
          <w:sz w:val="16"/>
          <w:szCs w:val="16"/>
        </w:rPr>
      </w:pPr>
      <w:r>
        <w:rPr>
          <w:rFonts w:ascii="宋体" w:hAnsi="宋体" w:cs="宋体" w:eastAsia="宋体" w:hint="default"/>
          <w:sz w:val="16"/>
          <w:szCs w:val="16"/>
        </w:rPr>
        <w:t>任职人员姓名</w:t>
        <w:tab/>
        <w:t>股东单位名称</w:t>
        <w:tab/>
        <w:t>在股东单位担任的职务</w:t>
        <w:tab/>
        <w:t>任期起始日期</w:t>
        <w:tab/>
        <w:t>任期终止日期</w:t>
      </w:r>
    </w:p>
    <w:p>
      <w:pPr>
        <w:spacing w:line="240" w:lineRule="auto" w:before="2"/>
        <w:rPr>
          <w:rFonts w:ascii="宋体" w:hAnsi="宋体" w:cs="宋体" w:eastAsia="宋体" w:hint="default"/>
          <w:sz w:val="7"/>
          <w:szCs w:val="7"/>
        </w:rPr>
      </w:pPr>
    </w:p>
    <w:p>
      <w:pPr>
        <w:spacing w:line="40" w:lineRule="exact"/>
        <w:ind w:left="11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6pt;height:2pt;mso-position-horizontal-relative:char;mso-position-vertical-relative:line" coordorigin="0,0" coordsize="9332,40">
            <v:group style="position:absolute;left:20;top:20;width:1588;height:2" coordorigin="20,20" coordsize="1588,2">
              <v:shape style="position:absolute;left:20;top:20;width:1588;height:2" coordorigin="20,20" coordsize="1588,0" path="m20,20l1607,20e" filled="false" stroked="true" strokeweight="2pt" strokecolor="#9c8758">
                <v:path arrowok="t"/>
              </v:shape>
            </v:group>
            <v:group style="position:absolute;left:1607;top:20;width:2461;height:2" coordorigin="1607,20" coordsize="2461,2">
              <v:shape style="position:absolute;left:1607;top:20;width:2461;height:2" coordorigin="1607,20" coordsize="2461,0" path="m1607,20l4068,20e" filled="false" stroked="true" strokeweight="2pt" strokecolor="#9c8758">
                <v:path arrowok="t"/>
              </v:shape>
            </v:group>
            <v:group style="position:absolute;left:4068;top:20;width:2410;height:2" coordorigin="4068,20" coordsize="2410,2">
              <v:shape style="position:absolute;left:4068;top:20;width:2410;height:2" coordorigin="4068,20" coordsize="2410,0" path="m4068,20l6477,20e" filled="false" stroked="true" strokeweight="2pt" strokecolor="#9c8758">
                <v:path arrowok="t"/>
              </v:shape>
            </v:group>
            <v:group style="position:absolute;left:6477;top:20;width:1418;height:2" coordorigin="6477,20" coordsize="1418,2">
              <v:shape style="position:absolute;left:6477;top:20;width:1418;height:2" coordorigin="6477,20" coordsize="1418,0" path="m6477,20l7895,20e" filled="false" stroked="true" strokeweight="2pt" strokecolor="#9c8758">
                <v:path arrowok="t"/>
              </v:shape>
            </v:group>
            <v:group style="position:absolute;left:7895;top:20;width:1418;height:2" coordorigin="7895,20" coordsize="1418,2">
              <v:shape style="position:absolute;left:7895;top:20;width:1418;height:2" coordorigin="7895,20" coordsize="1418,0" path="m7895,20l9312,20e" filled="false" stroked="true" strokeweight="2pt" strokecolor="#9c8758">
                <v:path arrowok="t"/>
              </v:shape>
            </v:group>
          </v:group>
        </w:pict>
      </w:r>
      <w:r>
        <w:rPr>
          <w:rFonts w:ascii="宋体" w:hAnsi="宋体" w:cs="宋体" w:eastAsia="宋体" w:hint="default"/>
          <w:position w:val="0"/>
          <w:sz w:val="4"/>
          <w:szCs w:val="4"/>
        </w:rPr>
      </w:r>
    </w:p>
    <w:p>
      <w:pPr>
        <w:spacing w:before="83"/>
        <w:ind w:left="1247" w:right="764" w:firstLine="0"/>
        <w:jc w:val="left"/>
        <w:rPr>
          <w:rFonts w:ascii="宋体" w:hAnsi="宋体" w:cs="宋体" w:eastAsia="宋体" w:hint="default"/>
          <w:sz w:val="16"/>
          <w:szCs w:val="16"/>
        </w:rPr>
      </w:pPr>
      <w:r>
        <w:rPr>
          <w:rFonts w:ascii="宋体" w:hAnsi="宋体" w:cs="宋体" w:eastAsia="宋体" w:hint="default"/>
          <w:sz w:val="16"/>
          <w:szCs w:val="16"/>
        </w:rPr>
        <w:t>截至年度报告披露日，公司现任董事、监事和高级管理人员：</w:t>
      </w:r>
    </w:p>
    <w:p>
      <w:pPr>
        <w:spacing w:line="240" w:lineRule="auto" w:before="10"/>
        <w:rPr>
          <w:rFonts w:ascii="宋体" w:hAnsi="宋体" w:cs="宋体" w:eastAsia="宋体" w:hint="default"/>
          <w:sz w:val="3"/>
          <w:szCs w:val="3"/>
        </w:rPr>
      </w:pPr>
    </w:p>
    <w:tbl>
      <w:tblPr>
        <w:tblW w:w="0" w:type="auto"/>
        <w:jc w:val="left"/>
        <w:tblInd w:w="1190" w:type="dxa"/>
        <w:tblLayout w:type="fixed"/>
        <w:tblCellMar>
          <w:top w:w="0" w:type="dxa"/>
          <w:left w:w="0" w:type="dxa"/>
          <w:bottom w:w="0" w:type="dxa"/>
          <w:right w:w="0" w:type="dxa"/>
        </w:tblCellMar>
        <w:tblLook w:val="01E0"/>
      </w:tblPr>
      <w:tblGrid>
        <w:gridCol w:w="1766"/>
        <w:gridCol w:w="2190"/>
        <w:gridCol w:w="2251"/>
        <w:gridCol w:w="1691"/>
        <w:gridCol w:w="1394"/>
      </w:tblGrid>
      <w:tr>
        <w:trPr>
          <w:trHeight w:val="314"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53" w:right="0"/>
              <w:jc w:val="left"/>
              <w:rPr>
                <w:rFonts w:ascii="宋体" w:hAnsi="宋体" w:cs="宋体" w:eastAsia="宋体" w:hint="default"/>
                <w:sz w:val="16"/>
                <w:szCs w:val="16"/>
              </w:rPr>
            </w:pPr>
            <w:r>
              <w:rPr>
                <w:rFonts w:ascii="宋体" w:hAnsi="宋体" w:cs="宋体" w:eastAsia="宋体" w:hint="default"/>
                <w:sz w:val="16"/>
                <w:szCs w:val="16"/>
              </w:rPr>
              <w:t>王晓初</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37"/>
              <w:ind w:left="731"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342" w:right="0"/>
              <w:jc w:val="center"/>
              <w:rPr>
                <w:rFonts w:ascii="宋体" w:hAnsi="宋体" w:cs="宋体" w:eastAsia="宋体" w:hint="default"/>
                <w:sz w:val="16"/>
                <w:szCs w:val="16"/>
              </w:rPr>
            </w:pPr>
            <w:r>
              <w:rPr>
                <w:rFonts w:ascii="宋体" w:hAnsi="宋体" w:cs="宋体" w:eastAsia="宋体" w:hint="default"/>
                <w:sz w:val="16"/>
                <w:szCs w:val="16"/>
              </w:rPr>
              <w:t>董事长</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17" w:right="0"/>
              <w:jc w:val="lef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37"/>
              <w:ind w:left="525" w:right="0"/>
              <w:jc w:val="lef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1766"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53" w:right="0"/>
              <w:jc w:val="left"/>
              <w:rPr>
                <w:rFonts w:ascii="宋体" w:hAnsi="宋体" w:cs="宋体" w:eastAsia="宋体" w:hint="default"/>
                <w:sz w:val="16"/>
                <w:szCs w:val="16"/>
              </w:rPr>
            </w:pPr>
            <w:r>
              <w:rPr>
                <w:rFonts w:ascii="宋体" w:hAnsi="宋体" w:cs="宋体" w:eastAsia="宋体" w:hint="default"/>
                <w:sz w:val="16"/>
                <w:szCs w:val="16"/>
              </w:rPr>
              <w:t>李国华</w:t>
            </w:r>
          </w:p>
        </w:tc>
        <w:tc>
          <w:tcPr>
            <w:tcW w:w="2190"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731"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342" w:right="0"/>
              <w:jc w:val="center"/>
              <w:rPr>
                <w:rFonts w:ascii="宋体" w:hAnsi="宋体" w:cs="宋体" w:eastAsia="宋体" w:hint="default"/>
                <w:sz w:val="16"/>
                <w:szCs w:val="16"/>
              </w:rPr>
            </w:pPr>
            <w:r>
              <w:rPr>
                <w:rFonts w:ascii="宋体" w:hAnsi="宋体" w:cs="宋体" w:eastAsia="宋体" w:hint="default"/>
                <w:sz w:val="16"/>
                <w:szCs w:val="16"/>
              </w:rPr>
              <w:t>董事、总经理</w:t>
            </w:r>
          </w:p>
        </w:tc>
        <w:tc>
          <w:tcPr>
            <w:tcW w:w="169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17"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25" w:right="0"/>
              <w:jc w:val="left"/>
              <w:rPr>
                <w:rFonts w:ascii="宋体" w:hAnsi="宋体" w:cs="宋体" w:eastAsia="宋体" w:hint="default"/>
                <w:sz w:val="16"/>
                <w:szCs w:val="16"/>
              </w:rPr>
            </w:pPr>
            <w:r>
              <w:rPr>
                <w:rFonts w:ascii="宋体" w:hAnsi="宋体" w:cs="宋体" w:eastAsia="宋体" w:hint="default"/>
                <w:sz w:val="16"/>
                <w:szCs w:val="16"/>
              </w:rPr>
              <w:t>至今</w:t>
            </w:r>
          </w:p>
        </w:tc>
      </w:tr>
      <w:tr>
        <w:trPr>
          <w:trHeight w:val="888"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05"/>
              <w:ind w:left="553" w:right="0"/>
              <w:jc w:val="left"/>
              <w:rPr>
                <w:rFonts w:ascii="宋体" w:hAnsi="宋体" w:cs="宋体" w:eastAsia="宋体" w:hint="default"/>
                <w:sz w:val="16"/>
                <w:szCs w:val="16"/>
              </w:rPr>
            </w:pPr>
            <w:r>
              <w:rPr>
                <w:rFonts w:ascii="宋体" w:hAnsi="宋体" w:cs="宋体" w:eastAsia="宋体" w:hint="default"/>
                <w:sz w:val="16"/>
                <w:szCs w:val="16"/>
              </w:rPr>
              <w:t>李福申</w:t>
            </w:r>
          </w:p>
        </w:tc>
        <w:tc>
          <w:tcPr>
            <w:tcW w:w="2190" w:type="dxa"/>
            <w:tcBorders>
              <w:top w:val="nil" w:sz="6" w:space="0" w:color="auto"/>
              <w:left w:val="nil" w:sz="6" w:space="0" w:color="auto"/>
              <w:bottom w:val="nil" w:sz="6" w:space="0" w:color="auto"/>
              <w:right w:val="nil" w:sz="6" w:space="0" w:color="auto"/>
            </w:tcBorders>
          </w:tcPr>
          <w:p>
            <w:pPr>
              <w:pStyle w:val="TableParagraph"/>
              <w:spacing w:line="338" w:lineRule="auto" w:before="18"/>
              <w:ind w:left="731" w:right="815"/>
              <w:jc w:val="both"/>
              <w:rPr>
                <w:rFonts w:ascii="宋体" w:hAnsi="宋体" w:cs="宋体" w:eastAsia="宋体" w:hint="default"/>
                <w:sz w:val="16"/>
                <w:szCs w:val="16"/>
              </w:rPr>
            </w:pPr>
            <w:r>
              <w:rPr>
                <w:rFonts w:ascii="宋体" w:hAnsi="宋体" w:cs="宋体" w:eastAsia="宋体" w:hint="default"/>
                <w:sz w:val="16"/>
                <w:szCs w:val="16"/>
              </w:rPr>
              <w:t>联通集团 联通集团 联通集团</w:t>
            </w:r>
          </w:p>
        </w:tc>
        <w:tc>
          <w:tcPr>
            <w:tcW w:w="2251" w:type="dxa"/>
            <w:tcBorders>
              <w:top w:val="nil" w:sz="6" w:space="0" w:color="auto"/>
              <w:left w:val="nil" w:sz="6" w:space="0" w:color="auto"/>
              <w:bottom w:val="nil" w:sz="6" w:space="0" w:color="auto"/>
              <w:right w:val="nil" w:sz="6" w:space="0" w:color="auto"/>
            </w:tcBorders>
          </w:tcPr>
          <w:p>
            <w:pPr>
              <w:pStyle w:val="TableParagraph"/>
              <w:spacing w:line="338" w:lineRule="auto" w:before="18"/>
              <w:ind w:left="977" w:right="631" w:firstLine="159"/>
              <w:jc w:val="left"/>
              <w:rPr>
                <w:rFonts w:ascii="宋体" w:hAnsi="宋体" w:cs="宋体" w:eastAsia="宋体" w:hint="default"/>
                <w:sz w:val="16"/>
                <w:szCs w:val="16"/>
              </w:rPr>
            </w:pPr>
            <w:r>
              <w:rPr>
                <w:rFonts w:ascii="宋体" w:hAnsi="宋体" w:cs="宋体" w:eastAsia="宋体" w:hint="default"/>
                <w:sz w:val="16"/>
                <w:szCs w:val="16"/>
              </w:rPr>
              <w:t>董事 副总经理 总会计师</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17" w:right="0"/>
              <w:jc w:val="left"/>
              <w:rPr>
                <w:rFonts w:ascii="宋体" w:hAnsi="宋体" w:cs="宋体" w:eastAsia="宋体" w:hint="default"/>
                <w:sz w:val="16"/>
                <w:szCs w:val="16"/>
              </w:rPr>
            </w:pPr>
            <w:r>
              <w:rPr>
                <w:rFonts w:ascii="宋体" w:hAnsi="宋体" w:cs="宋体" w:eastAsia="宋体" w:hint="default"/>
                <w:w w:val="110"/>
                <w:sz w:val="16"/>
                <w:szCs w:val="16"/>
              </w:rPr>
              <w:t>2009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517" w:right="0"/>
              <w:jc w:val="left"/>
              <w:rPr>
                <w:rFonts w:ascii="宋体" w:hAnsi="宋体" w:cs="宋体" w:eastAsia="宋体" w:hint="default"/>
                <w:sz w:val="16"/>
                <w:szCs w:val="16"/>
              </w:rPr>
            </w:pPr>
            <w:r>
              <w:rPr>
                <w:rFonts w:ascii="宋体" w:hAnsi="宋体" w:cs="宋体" w:eastAsia="宋体" w:hint="default"/>
                <w:w w:val="110"/>
                <w:sz w:val="16"/>
                <w:szCs w:val="16"/>
              </w:rPr>
              <w:t>2009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517" w:right="0"/>
              <w:jc w:val="left"/>
              <w:rPr>
                <w:rFonts w:ascii="宋体" w:hAnsi="宋体" w:cs="宋体" w:eastAsia="宋体" w:hint="default"/>
                <w:sz w:val="16"/>
                <w:szCs w:val="16"/>
              </w:rPr>
            </w:pPr>
            <w:r>
              <w:rPr>
                <w:rFonts w:ascii="宋体" w:hAnsi="宋体" w:cs="宋体" w:eastAsia="宋体" w:hint="default"/>
                <w:w w:val="110"/>
                <w:sz w:val="16"/>
                <w:szCs w:val="16"/>
              </w:rPr>
              <w:t>2011</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4</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tcPr>
          <w:p>
            <w:pPr>
              <w:pStyle w:val="TableParagraph"/>
              <w:spacing w:line="338" w:lineRule="auto" w:before="18"/>
              <w:ind w:left="244" w:right="264" w:firstLine="281"/>
              <w:jc w:val="left"/>
              <w:rPr>
                <w:rFonts w:ascii="宋体" w:hAnsi="宋体" w:cs="宋体" w:eastAsia="宋体" w:hint="default"/>
                <w:sz w:val="16"/>
                <w:szCs w:val="16"/>
              </w:rPr>
            </w:pPr>
            <w:r>
              <w:rPr>
                <w:rFonts w:ascii="宋体" w:hAnsi="宋体" w:cs="宋体" w:eastAsia="宋体" w:hint="default"/>
                <w:w w:val="105"/>
                <w:sz w:val="16"/>
                <w:szCs w:val="16"/>
              </w:rPr>
              <w:t>至今</w:t>
            </w:r>
            <w:r>
              <w:rPr>
                <w:rFonts w:ascii="宋体" w:hAnsi="宋体" w:cs="宋体" w:eastAsia="宋体" w:hint="default"/>
                <w:sz w:val="16"/>
                <w:szCs w:val="16"/>
              </w:rPr>
              <w:t> </w:t>
            </w:r>
            <w:r>
              <w:rPr>
                <w:rFonts w:ascii="宋体" w:hAnsi="宋体" w:cs="宋体" w:eastAsia="宋体" w:hint="default"/>
                <w:w w:val="105"/>
                <w:sz w:val="16"/>
                <w:szCs w:val="16"/>
              </w:rPr>
              <w:t>2018</w:t>
            </w:r>
            <w:r>
              <w:rPr>
                <w:rFonts w:ascii="宋体" w:hAnsi="宋体" w:cs="宋体" w:eastAsia="宋体" w:hint="default"/>
                <w:spacing w:val="-43"/>
                <w:w w:val="105"/>
                <w:sz w:val="16"/>
                <w:szCs w:val="16"/>
              </w:rPr>
              <w:t> </w:t>
            </w:r>
            <w:r>
              <w:rPr>
                <w:rFonts w:ascii="宋体" w:hAnsi="宋体" w:cs="宋体" w:eastAsia="宋体" w:hint="default"/>
                <w:w w:val="105"/>
                <w:sz w:val="16"/>
                <w:szCs w:val="16"/>
              </w:rPr>
              <w:t>年</w:t>
            </w:r>
            <w:r>
              <w:rPr>
                <w:rFonts w:ascii="宋体" w:hAnsi="宋体" w:cs="宋体" w:eastAsia="宋体" w:hint="default"/>
                <w:spacing w:val="-42"/>
                <w:w w:val="105"/>
                <w:sz w:val="16"/>
                <w:szCs w:val="16"/>
              </w:rPr>
              <w:t> </w:t>
            </w:r>
            <w:r>
              <w:rPr>
                <w:rFonts w:ascii="宋体" w:hAnsi="宋体" w:cs="宋体" w:eastAsia="宋体" w:hint="default"/>
                <w:w w:val="105"/>
                <w:sz w:val="16"/>
                <w:szCs w:val="16"/>
              </w:rPr>
              <w:t>5</w:t>
            </w:r>
            <w:r>
              <w:rPr>
                <w:rFonts w:ascii="宋体" w:hAnsi="宋体" w:cs="宋体" w:eastAsia="宋体" w:hint="default"/>
                <w:spacing w:val="-43"/>
                <w:w w:val="105"/>
                <w:sz w:val="16"/>
                <w:szCs w:val="16"/>
              </w:rPr>
              <w:t> </w:t>
            </w:r>
            <w:r>
              <w:rPr>
                <w:rFonts w:ascii="宋体" w:hAnsi="宋体" w:cs="宋体" w:eastAsia="宋体" w:hint="default"/>
                <w:w w:val="105"/>
                <w:sz w:val="16"/>
                <w:szCs w:val="16"/>
              </w:rPr>
              <w:t>月</w:t>
            </w:r>
          </w:p>
          <w:p>
            <w:pPr>
              <w:pStyle w:val="TableParagraph"/>
              <w:spacing w:line="240" w:lineRule="auto" w:before="21"/>
              <w:ind w:left="244"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5</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1766"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54" w:right="0"/>
              <w:jc w:val="left"/>
              <w:rPr>
                <w:rFonts w:ascii="宋体" w:hAnsi="宋体" w:cs="宋体" w:eastAsia="宋体" w:hint="default"/>
                <w:sz w:val="16"/>
                <w:szCs w:val="16"/>
              </w:rPr>
            </w:pPr>
            <w:r>
              <w:rPr>
                <w:rFonts w:ascii="宋体" w:hAnsi="宋体" w:cs="宋体" w:eastAsia="宋体" w:hint="default"/>
                <w:sz w:val="16"/>
                <w:szCs w:val="16"/>
              </w:rPr>
              <w:t>林旸川</w:t>
            </w:r>
          </w:p>
        </w:tc>
        <w:tc>
          <w:tcPr>
            <w:tcW w:w="2190"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731"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343" w:right="0"/>
              <w:jc w:val="center"/>
              <w:rPr>
                <w:rFonts w:ascii="宋体" w:hAnsi="宋体" w:cs="宋体" w:eastAsia="宋体" w:hint="default"/>
                <w:sz w:val="16"/>
                <w:szCs w:val="16"/>
              </w:rPr>
            </w:pPr>
            <w:r>
              <w:rPr>
                <w:rFonts w:ascii="宋体" w:hAnsi="宋体" w:cs="宋体" w:eastAsia="宋体" w:hint="default"/>
                <w:sz w:val="16"/>
                <w:szCs w:val="16"/>
              </w:rPr>
              <w:t>副总法律顾问</w:t>
            </w:r>
          </w:p>
        </w:tc>
        <w:tc>
          <w:tcPr>
            <w:tcW w:w="169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17" w:right="0"/>
              <w:jc w:val="left"/>
              <w:rPr>
                <w:rFonts w:ascii="宋体" w:hAnsi="宋体" w:cs="宋体" w:eastAsia="宋体" w:hint="default"/>
                <w:sz w:val="16"/>
                <w:szCs w:val="16"/>
              </w:rPr>
            </w:pPr>
            <w:r>
              <w:rPr>
                <w:rFonts w:ascii="宋体" w:hAnsi="宋体" w:cs="宋体" w:eastAsia="宋体" w:hint="default"/>
                <w:w w:val="110"/>
                <w:sz w:val="16"/>
                <w:szCs w:val="16"/>
              </w:rPr>
              <w:t>2014</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26" w:right="0"/>
              <w:jc w:val="lef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54" w:right="0"/>
              <w:jc w:val="left"/>
              <w:rPr>
                <w:rFonts w:ascii="宋体" w:hAnsi="宋体" w:cs="宋体" w:eastAsia="宋体" w:hint="default"/>
                <w:sz w:val="16"/>
                <w:szCs w:val="16"/>
              </w:rPr>
            </w:pPr>
            <w:r>
              <w:rPr>
                <w:rFonts w:ascii="宋体" w:hAnsi="宋体" w:cs="宋体" w:eastAsia="宋体" w:hint="default"/>
                <w:sz w:val="16"/>
                <w:szCs w:val="16"/>
              </w:rPr>
              <w:t>邵广禄</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31"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43" w:right="0"/>
              <w:jc w:val="center"/>
              <w:rPr>
                <w:rFonts w:ascii="宋体" w:hAnsi="宋体" w:cs="宋体" w:eastAsia="宋体" w:hint="default"/>
                <w:sz w:val="16"/>
                <w:szCs w:val="16"/>
              </w:rPr>
            </w:pPr>
            <w:r>
              <w:rPr>
                <w:rFonts w:ascii="宋体" w:hAnsi="宋体" w:cs="宋体" w:eastAsia="宋体" w:hint="default"/>
                <w:sz w:val="16"/>
                <w:szCs w:val="16"/>
              </w:rPr>
              <w:t>副总经理</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17" w:right="0"/>
              <w:jc w:val="left"/>
              <w:rPr>
                <w:rFonts w:ascii="宋体" w:hAnsi="宋体" w:cs="宋体" w:eastAsia="宋体" w:hint="default"/>
                <w:sz w:val="16"/>
                <w:szCs w:val="16"/>
              </w:rPr>
            </w:pPr>
            <w:r>
              <w:rPr>
                <w:rFonts w:ascii="宋体" w:hAnsi="宋体" w:cs="宋体" w:eastAsia="宋体" w:hint="default"/>
                <w:w w:val="110"/>
                <w:sz w:val="16"/>
                <w:szCs w:val="16"/>
              </w:rPr>
              <w:t>2011</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3</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6" w:right="0"/>
              <w:jc w:val="lef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1766"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54" w:right="0"/>
              <w:jc w:val="left"/>
              <w:rPr>
                <w:rFonts w:ascii="宋体" w:hAnsi="宋体" w:cs="宋体" w:eastAsia="宋体" w:hint="default"/>
                <w:sz w:val="16"/>
                <w:szCs w:val="16"/>
              </w:rPr>
            </w:pPr>
            <w:r>
              <w:rPr>
                <w:rFonts w:ascii="宋体" w:hAnsi="宋体" w:cs="宋体" w:eastAsia="宋体" w:hint="default"/>
                <w:sz w:val="16"/>
                <w:szCs w:val="16"/>
              </w:rPr>
              <w:t>买彦州</w:t>
            </w:r>
          </w:p>
        </w:tc>
        <w:tc>
          <w:tcPr>
            <w:tcW w:w="2190"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732"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344" w:right="0"/>
              <w:jc w:val="center"/>
              <w:rPr>
                <w:rFonts w:ascii="宋体" w:hAnsi="宋体" w:cs="宋体" w:eastAsia="宋体" w:hint="default"/>
                <w:sz w:val="16"/>
                <w:szCs w:val="16"/>
              </w:rPr>
            </w:pPr>
            <w:r>
              <w:rPr>
                <w:rFonts w:ascii="宋体" w:hAnsi="宋体" w:cs="宋体" w:eastAsia="宋体" w:hint="default"/>
                <w:sz w:val="16"/>
                <w:szCs w:val="16"/>
              </w:rPr>
              <w:t>副总经理</w:t>
            </w:r>
          </w:p>
        </w:tc>
        <w:tc>
          <w:tcPr>
            <w:tcW w:w="169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473"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26" w:right="0"/>
              <w:jc w:val="lef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54" w:right="0"/>
              <w:jc w:val="left"/>
              <w:rPr>
                <w:rFonts w:ascii="宋体" w:hAnsi="宋体" w:cs="宋体" w:eastAsia="宋体" w:hint="default"/>
                <w:sz w:val="16"/>
                <w:szCs w:val="16"/>
              </w:rPr>
            </w:pPr>
            <w:r>
              <w:rPr>
                <w:rFonts w:ascii="宋体" w:hAnsi="宋体" w:cs="宋体" w:eastAsia="宋体" w:hint="default"/>
                <w:sz w:val="16"/>
                <w:szCs w:val="16"/>
              </w:rPr>
              <w:t>梁宝俊</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32"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44" w:right="0"/>
              <w:jc w:val="center"/>
              <w:rPr>
                <w:rFonts w:ascii="宋体" w:hAnsi="宋体" w:cs="宋体" w:eastAsia="宋体" w:hint="default"/>
                <w:sz w:val="16"/>
                <w:szCs w:val="16"/>
              </w:rPr>
            </w:pPr>
            <w:r>
              <w:rPr>
                <w:rFonts w:ascii="宋体" w:hAnsi="宋体" w:cs="宋体" w:eastAsia="宋体" w:hint="default"/>
                <w:sz w:val="16"/>
                <w:szCs w:val="16"/>
              </w:rPr>
              <w:t>副总经理</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73"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6" w:right="0"/>
              <w:jc w:val="lef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1766"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54" w:right="0"/>
              <w:jc w:val="left"/>
              <w:rPr>
                <w:rFonts w:ascii="宋体" w:hAnsi="宋体" w:cs="宋体" w:eastAsia="宋体" w:hint="default"/>
                <w:sz w:val="16"/>
                <w:szCs w:val="16"/>
              </w:rPr>
            </w:pPr>
            <w:r>
              <w:rPr>
                <w:rFonts w:ascii="宋体" w:hAnsi="宋体" w:cs="宋体" w:eastAsia="宋体" w:hint="default"/>
                <w:sz w:val="16"/>
                <w:szCs w:val="16"/>
              </w:rPr>
              <w:t>朱可炳</w:t>
            </w:r>
          </w:p>
        </w:tc>
        <w:tc>
          <w:tcPr>
            <w:tcW w:w="2190"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732"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344" w:right="0"/>
              <w:jc w:val="center"/>
              <w:rPr>
                <w:rFonts w:ascii="宋体" w:hAnsi="宋体" w:cs="宋体" w:eastAsia="宋体" w:hint="default"/>
                <w:sz w:val="16"/>
                <w:szCs w:val="16"/>
              </w:rPr>
            </w:pPr>
            <w:r>
              <w:rPr>
                <w:rFonts w:ascii="宋体" w:hAnsi="宋体" w:cs="宋体" w:eastAsia="宋体" w:hint="default"/>
                <w:sz w:val="16"/>
                <w:szCs w:val="16"/>
              </w:rPr>
              <w:t>总会计师</w:t>
            </w:r>
          </w:p>
        </w:tc>
        <w:tc>
          <w:tcPr>
            <w:tcW w:w="169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18"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5</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18"/>
              <w:ind w:left="526" w:right="0"/>
              <w:jc w:val="left"/>
              <w:rPr>
                <w:rFonts w:ascii="宋体" w:hAnsi="宋体" w:cs="宋体" w:eastAsia="宋体" w:hint="default"/>
                <w:sz w:val="16"/>
                <w:szCs w:val="16"/>
              </w:rPr>
            </w:pPr>
            <w:r>
              <w:rPr>
                <w:rFonts w:ascii="宋体" w:hAnsi="宋体" w:cs="宋体" w:eastAsia="宋体" w:hint="default"/>
                <w:sz w:val="16"/>
                <w:szCs w:val="16"/>
              </w:rPr>
              <w:t>至今</w:t>
            </w:r>
          </w:p>
        </w:tc>
      </w:tr>
      <w:tr>
        <w:trPr>
          <w:trHeight w:val="333" w:hRule="exact"/>
        </w:trPr>
        <w:tc>
          <w:tcPr>
            <w:tcW w:w="1766"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54" w:right="0"/>
              <w:jc w:val="left"/>
              <w:rPr>
                <w:rFonts w:ascii="宋体" w:hAnsi="宋体" w:cs="宋体" w:eastAsia="宋体" w:hint="default"/>
                <w:sz w:val="16"/>
                <w:szCs w:val="16"/>
              </w:rPr>
            </w:pPr>
            <w:r>
              <w:rPr>
                <w:rFonts w:ascii="宋体" w:hAnsi="宋体" w:cs="宋体" w:eastAsia="宋体" w:hint="default"/>
                <w:sz w:val="16"/>
                <w:szCs w:val="16"/>
              </w:rPr>
              <w:t>范云军</w:t>
            </w:r>
          </w:p>
        </w:tc>
        <w:tc>
          <w:tcPr>
            <w:tcW w:w="2190" w:type="dxa"/>
            <w:tcBorders>
              <w:top w:val="nil" w:sz="6" w:space="0" w:color="auto"/>
              <w:left w:val="nil" w:sz="6" w:space="0" w:color="auto"/>
              <w:bottom w:val="nil" w:sz="6" w:space="0" w:color="auto"/>
              <w:right w:val="nil" w:sz="6" w:space="0" w:color="auto"/>
            </w:tcBorders>
          </w:tcPr>
          <w:p>
            <w:pPr>
              <w:pStyle w:val="TableParagraph"/>
              <w:spacing w:line="240" w:lineRule="auto" w:before="18"/>
              <w:ind w:left="732" w:right="0"/>
              <w:jc w:val="left"/>
              <w:rPr>
                <w:rFonts w:ascii="宋体" w:hAnsi="宋体" w:cs="宋体" w:eastAsia="宋体" w:hint="default"/>
                <w:sz w:val="16"/>
                <w:szCs w:val="16"/>
              </w:rPr>
            </w:pPr>
            <w:r>
              <w:rPr>
                <w:rFonts w:ascii="宋体" w:hAnsi="宋体" w:cs="宋体" w:eastAsia="宋体" w:hint="default"/>
                <w:sz w:val="16"/>
                <w:szCs w:val="16"/>
              </w:rPr>
              <w:t>联通集团</w:t>
            </w:r>
          </w:p>
        </w:tc>
        <w:tc>
          <w:tcPr>
            <w:tcW w:w="225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345" w:right="0"/>
              <w:jc w:val="center"/>
              <w:rPr>
                <w:rFonts w:ascii="宋体" w:hAnsi="宋体" w:cs="宋体" w:eastAsia="宋体" w:hint="default"/>
                <w:sz w:val="16"/>
                <w:szCs w:val="16"/>
              </w:rPr>
            </w:pPr>
            <w:r>
              <w:rPr>
                <w:rFonts w:ascii="宋体" w:hAnsi="宋体" w:cs="宋体" w:eastAsia="宋体" w:hint="default"/>
                <w:sz w:val="16"/>
                <w:szCs w:val="16"/>
              </w:rPr>
              <w:t>副总经理</w:t>
            </w:r>
          </w:p>
        </w:tc>
        <w:tc>
          <w:tcPr>
            <w:tcW w:w="1691" w:type="dxa"/>
            <w:tcBorders>
              <w:top w:val="nil" w:sz="6" w:space="0" w:color="auto"/>
              <w:left w:val="nil" w:sz="6" w:space="0" w:color="auto"/>
              <w:bottom w:val="nil" w:sz="6" w:space="0" w:color="auto"/>
              <w:right w:val="nil" w:sz="6" w:space="0" w:color="auto"/>
            </w:tcBorders>
          </w:tcPr>
          <w:p>
            <w:pPr>
              <w:pStyle w:val="TableParagraph"/>
              <w:spacing w:line="240" w:lineRule="auto" w:before="18"/>
              <w:ind w:left="474"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18"/>
              <w:ind w:left="526" w:right="0"/>
              <w:jc w:val="left"/>
              <w:rPr>
                <w:rFonts w:ascii="宋体" w:hAnsi="宋体" w:cs="宋体" w:eastAsia="宋体" w:hint="default"/>
                <w:sz w:val="16"/>
                <w:szCs w:val="16"/>
              </w:rPr>
            </w:pPr>
            <w:r>
              <w:rPr>
                <w:rFonts w:ascii="宋体" w:hAnsi="宋体" w:cs="宋体" w:eastAsia="宋体" w:hint="default"/>
                <w:sz w:val="16"/>
                <w:szCs w:val="16"/>
              </w:rPr>
              <w:t>至今</w:t>
            </w:r>
          </w:p>
        </w:tc>
      </w:tr>
    </w:tbl>
    <w:p>
      <w:pPr>
        <w:spacing w:line="190" w:lineRule="exact" w:before="0"/>
        <w:ind w:left="1248" w:right="764" w:firstLine="0"/>
        <w:jc w:val="left"/>
        <w:rPr>
          <w:rFonts w:ascii="宋体" w:hAnsi="宋体" w:cs="宋体" w:eastAsia="宋体" w:hint="default"/>
          <w:sz w:val="16"/>
          <w:szCs w:val="16"/>
        </w:rPr>
      </w:pPr>
      <w:r>
        <w:rPr>
          <w:rFonts w:ascii="宋体" w:hAnsi="宋体" w:cs="宋体" w:eastAsia="宋体" w:hint="default"/>
          <w:sz w:val="16"/>
          <w:szCs w:val="16"/>
        </w:rPr>
        <w:t>报告期内，公司离任董事、监事：</w:t>
      </w:r>
    </w:p>
    <w:p>
      <w:pPr>
        <w:tabs>
          <w:tab w:pos="3689" w:val="left" w:leader="none"/>
          <w:tab w:pos="5804" w:val="left" w:leader="none"/>
          <w:tab w:pos="7916" w:val="left" w:leader="none"/>
          <w:tab w:pos="9333" w:val="left" w:leader="none"/>
        </w:tabs>
        <w:spacing w:line="338" w:lineRule="auto" w:before="86"/>
        <w:ind w:left="1248" w:right="1686" w:firstLine="496"/>
        <w:jc w:val="left"/>
        <w:rPr>
          <w:rFonts w:ascii="宋体" w:hAnsi="宋体" w:cs="宋体" w:eastAsia="宋体" w:hint="default"/>
          <w:sz w:val="16"/>
          <w:szCs w:val="16"/>
        </w:rPr>
      </w:pPr>
      <w:r>
        <w:rPr>
          <w:rFonts w:ascii="宋体" w:hAnsi="宋体" w:cs="宋体" w:eastAsia="宋体" w:hint="default"/>
          <w:sz w:val="16"/>
          <w:szCs w:val="16"/>
        </w:rPr>
        <w:t>陆益民</w:t>
        <w:tab/>
        <w:t>联通集团</w:t>
        <w:tab/>
        <w:t>副董事长、总经理</w:t>
        <w:tab/>
        <w:t>2009</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1</w:t>
      </w:r>
      <w:r>
        <w:rPr>
          <w:rFonts w:ascii="宋体" w:hAnsi="宋体" w:cs="宋体" w:eastAsia="宋体" w:hint="default"/>
          <w:spacing w:val="-27"/>
          <w:sz w:val="16"/>
          <w:szCs w:val="16"/>
        </w:rPr>
        <w:t> </w:t>
      </w:r>
      <w:r>
        <w:rPr>
          <w:rFonts w:ascii="宋体" w:hAnsi="宋体" w:cs="宋体" w:eastAsia="宋体" w:hint="default"/>
          <w:sz w:val="16"/>
          <w:szCs w:val="16"/>
        </w:rPr>
        <w:t>月</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7</w:t>
      </w:r>
      <w:r>
        <w:rPr>
          <w:rFonts w:ascii="宋体" w:hAnsi="宋体" w:cs="宋体" w:eastAsia="宋体" w:hint="default"/>
          <w:spacing w:val="-27"/>
          <w:sz w:val="16"/>
          <w:szCs w:val="16"/>
        </w:rPr>
        <w:t> </w:t>
      </w:r>
      <w:r>
        <w:rPr>
          <w:rFonts w:ascii="宋体" w:hAnsi="宋体" w:cs="宋体" w:eastAsia="宋体" w:hint="default"/>
          <w:sz w:val="16"/>
          <w:szCs w:val="16"/>
        </w:rPr>
        <w:t>月</w:t>
      </w:r>
      <w:r>
        <w:rPr>
          <w:rFonts w:ascii="宋体" w:hAnsi="宋体" w:cs="宋体" w:eastAsia="宋体" w:hint="default"/>
          <w:sz w:val="16"/>
          <w:szCs w:val="16"/>
        </w:rPr>
        <w:t> 在股东单位任职情况的说明</w:t>
      </w:r>
    </w:p>
    <w:p>
      <w:pPr>
        <w:spacing w:line="20" w:lineRule="exact"/>
        <w:ind w:left="1185" w:right="0" w:firstLine="0"/>
        <w:rPr>
          <w:rFonts w:ascii="宋体" w:hAnsi="宋体" w:cs="宋体" w:eastAsia="宋体" w:hint="default"/>
          <w:sz w:val="2"/>
          <w:szCs w:val="2"/>
        </w:rPr>
      </w:pPr>
      <w:r>
        <w:rPr>
          <w:rFonts w:ascii="宋体" w:hAnsi="宋体" w:cs="宋体" w:eastAsia="宋体" w:hint="default"/>
          <w:sz w:val="2"/>
          <w:szCs w:val="2"/>
        </w:rPr>
        <w:pict>
          <v:group style="width:465.1pt;height:.5pt;mso-position-horizontal-relative:char;mso-position-vertical-relative:line" coordorigin="0,0" coordsize="9302,10">
            <v:group style="position:absolute;left:5;top:5;width:1588;height:2" coordorigin="5,5" coordsize="1588,2">
              <v:shape style="position:absolute;left:5;top:5;width:1588;height:2" coordorigin="5,5" coordsize="1588,0" path="m5,5l1592,5e" filled="false" stroked="true" strokeweight=".5pt" strokecolor="#000000">
                <v:path arrowok="t"/>
              </v:shape>
            </v:group>
            <v:group style="position:absolute;left:1592;top:5;width:2461;height:2" coordorigin="1592,5" coordsize="2461,2">
              <v:shape style="position:absolute;left:1592;top:5;width:2461;height:2" coordorigin="1592,5" coordsize="2461,0" path="m1592,5l4053,5e" filled="false" stroked="true" strokeweight=".5pt" strokecolor="#000000">
                <v:path arrowok="t"/>
              </v:shape>
            </v:group>
            <v:group style="position:absolute;left:4053;top:5;width:2410;height:2" coordorigin="4053,5" coordsize="2410,2">
              <v:shape style="position:absolute;left:4053;top:5;width:2410;height:2" coordorigin="4053,5" coordsize="2410,0" path="m4053,5l6462,5e" filled="false" stroked="true" strokeweight=".5pt" strokecolor="#000000">
                <v:path arrowok="t"/>
              </v:shape>
            </v:group>
            <v:group style="position:absolute;left:6462;top:5;width:1418;height:2" coordorigin="6462,5" coordsize="1418,2">
              <v:shape style="position:absolute;left:6462;top:5;width:1418;height:2" coordorigin="6462,5" coordsize="1418,0" path="m6462,5l7880,5e" filled="false" stroked="true" strokeweight=".5pt" strokecolor="#000000">
                <v:path arrowok="t"/>
              </v:shape>
            </v:group>
            <v:group style="position:absolute;left:7880;top:5;width:1418;height:2" coordorigin="7880,5" coordsize="1418,2">
              <v:shape style="position:absolute;left:7880;top:5;width:1418;height:2" coordorigin="7880,5" coordsize="1418,0" path="m7880,5l9297,5e" filled="false" stroked="true" strokeweight=".5pt" strokecolor="#000000">
                <v:path arrowok="t"/>
              </v:shape>
            </v:group>
          </v:group>
        </w:pict>
      </w:r>
      <w:r>
        <w:rPr>
          <w:rFonts w:ascii="宋体" w:hAnsi="宋体" w:cs="宋体" w:eastAsia="宋体" w:hint="default"/>
          <w:sz w:val="2"/>
          <w:szCs w:val="2"/>
        </w:rPr>
      </w:r>
    </w:p>
    <w:p>
      <w:pPr>
        <w:spacing w:line="240" w:lineRule="auto" w:before="3"/>
        <w:rPr>
          <w:rFonts w:ascii="宋体" w:hAnsi="宋体" w:cs="宋体" w:eastAsia="宋体" w:hint="default"/>
          <w:sz w:val="21"/>
          <w:szCs w:val="21"/>
        </w:rPr>
      </w:pPr>
    </w:p>
    <w:p>
      <w:pPr>
        <w:spacing w:before="0"/>
        <w:ind w:left="850"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在其他单位任职情况</w:t>
      </w:r>
    </w:p>
    <w:p>
      <w:pPr>
        <w:spacing w:line="240" w:lineRule="auto" w:before="13"/>
        <w:rPr>
          <w:rFonts w:ascii="宋体" w:hAnsi="宋体" w:cs="宋体" w:eastAsia="宋体" w:hint="default"/>
          <w:sz w:val="26"/>
          <w:szCs w:val="26"/>
        </w:rPr>
      </w:pPr>
    </w:p>
    <w:p>
      <w:pPr>
        <w:tabs>
          <w:tab w:pos="3641" w:val="left" w:leader="none"/>
          <w:tab w:pos="6292" w:val="left" w:leader="none"/>
          <w:tab w:pos="8379" w:val="left" w:leader="none"/>
        </w:tabs>
        <w:spacing w:before="41"/>
        <w:ind w:left="1249" w:right="764" w:firstLine="0"/>
        <w:jc w:val="left"/>
        <w:rPr>
          <w:rFonts w:ascii="宋体" w:hAnsi="宋体" w:cs="宋体" w:eastAsia="宋体" w:hint="default"/>
          <w:sz w:val="16"/>
          <w:szCs w:val="16"/>
        </w:rPr>
      </w:pPr>
      <w:r>
        <w:rPr>
          <w:rFonts w:ascii="宋体" w:hAnsi="宋体" w:cs="宋体" w:eastAsia="宋体" w:hint="default"/>
          <w:sz w:val="16"/>
          <w:szCs w:val="16"/>
        </w:rPr>
        <w:t>任职人员姓名</w:t>
        <w:tab/>
        <w:t>其他单位名称</w:t>
        <w:tab/>
        <w:t>在其他单位担任的职务</w:t>
        <w:tab/>
        <w:t>任期起始日期</w:t>
      </w:r>
      <w:r>
        <w:rPr>
          <w:rFonts w:ascii="宋体" w:hAnsi="宋体" w:cs="宋体" w:eastAsia="宋体" w:hint="default"/>
          <w:spacing w:val="52"/>
          <w:sz w:val="16"/>
          <w:szCs w:val="16"/>
        </w:rPr>
        <w:t> </w:t>
      </w:r>
      <w:r>
        <w:rPr>
          <w:rFonts w:ascii="宋体" w:hAnsi="宋体" w:cs="宋体" w:eastAsia="宋体" w:hint="default"/>
          <w:sz w:val="16"/>
          <w:szCs w:val="16"/>
        </w:rPr>
        <w:t>任期终止日期</w:t>
      </w:r>
    </w:p>
    <w:p>
      <w:pPr>
        <w:spacing w:line="240" w:lineRule="auto" w:before="2"/>
        <w:rPr>
          <w:rFonts w:ascii="宋体" w:hAnsi="宋体" w:cs="宋体" w:eastAsia="宋体" w:hint="default"/>
          <w:sz w:val="7"/>
          <w:szCs w:val="7"/>
        </w:rPr>
      </w:pPr>
    </w:p>
    <w:p>
      <w:pPr>
        <w:spacing w:line="40" w:lineRule="exact"/>
        <w:ind w:left="1170" w:right="0" w:firstLine="0"/>
        <w:rPr>
          <w:rFonts w:ascii="宋体" w:hAnsi="宋体" w:cs="宋体" w:eastAsia="宋体" w:hint="default"/>
          <w:sz w:val="4"/>
          <w:szCs w:val="4"/>
        </w:rPr>
      </w:pPr>
      <w:r>
        <w:rPr>
          <w:rFonts w:ascii="宋体"/>
          <w:position w:val="0"/>
          <w:sz w:val="4"/>
        </w:rPr>
        <w:pict>
          <v:group style="width:55.9pt;height:2pt;mso-position-horizontal-relative:char;mso-position-vertical-relative:line" coordorigin="0,0" coordsize="1118,40">
            <v:group style="position:absolute;left:20;top:20;width:1078;height:2" coordorigin="20,20" coordsize="1078,2">
              <v:shape style="position:absolute;left:20;top:20;width:1078;height:2" coordorigin="20,20" coordsize="1078,0" path="m20,20l1097,20e" filled="false" stroked="true" strokeweight="2pt" strokecolor="#9c8758">
                <v:path arrowok="t"/>
              </v:shape>
            </v:group>
          </v:group>
        </w:pict>
      </w:r>
      <w:r>
        <w:rPr>
          <w:rFonts w:ascii="宋体"/>
          <w:position w:val="0"/>
          <w:sz w:val="4"/>
        </w:rPr>
      </w:r>
      <w:r>
        <w:rPr>
          <w:rFonts w:ascii="Times New Roman"/>
          <w:spacing w:val="82"/>
          <w:position w:val="0"/>
          <w:sz w:val="4"/>
        </w:rPr>
        <w:t> </w:t>
      </w:r>
      <w:r>
        <w:rPr>
          <w:rFonts w:ascii="宋体"/>
          <w:spacing w:val="82"/>
          <w:position w:val="0"/>
          <w:sz w:val="4"/>
        </w:rPr>
        <w:pict>
          <v:group style="width:407.4pt;height:2pt;mso-position-horizontal-relative:char;mso-position-vertical-relative:line" coordorigin="0,0" coordsize="8148,40">
            <v:group style="position:absolute;left:20;top:20;width:3481;height:2" coordorigin="20,20" coordsize="3481,2">
              <v:shape style="position:absolute;left:20;top:20;width:3481;height:2" coordorigin="20,20" coordsize="3481,0" path="m20,20l3501,20e" filled="false" stroked="true" strokeweight="2pt" strokecolor="#9c8758">
                <v:path arrowok="t"/>
              </v:shape>
            </v:group>
            <v:group style="position:absolute;left:3501;top:20;width:2461;height:2" coordorigin="3501,20" coordsize="2461,2">
              <v:shape style="position:absolute;left:3501;top:20;width:2461;height:2" coordorigin="3501,20" coordsize="2461,0" path="m3501,20l5961,20e" filled="false" stroked="true" strokeweight="2pt" strokecolor="#9c8758">
                <v:path arrowok="t"/>
              </v:shape>
            </v:group>
            <v:group style="position:absolute;left:5961;top:20;width:1089;height:2" coordorigin="5961,20" coordsize="1089,2">
              <v:shape style="position:absolute;left:5961;top:20;width:1089;height:2" coordorigin="5961,20" coordsize="1089,0" path="m5961,20l7050,20e" filled="false" stroked="true" strokeweight="2pt" strokecolor="#9c8758">
                <v:path arrowok="t"/>
              </v:shape>
            </v:group>
            <v:group style="position:absolute;left:7050;top:20;width:1078;height:2" coordorigin="7050,20" coordsize="1078,2">
              <v:shape style="position:absolute;left:7050;top:20;width:1078;height:2" coordorigin="7050,20" coordsize="1078,0" path="m7050,20l8127,20e" filled="false" stroked="true" strokeweight="2pt" strokecolor="#9c8758">
                <v:path arrowok="t"/>
              </v:shape>
            </v:group>
          </v:group>
        </w:pict>
      </w:r>
      <w:r>
        <w:rPr>
          <w:rFonts w:ascii="宋体"/>
          <w:spacing w:val="82"/>
          <w:position w:val="0"/>
          <w:sz w:val="4"/>
        </w:rPr>
      </w:r>
    </w:p>
    <w:p>
      <w:pPr>
        <w:spacing w:before="83"/>
        <w:ind w:left="1247" w:right="764" w:firstLine="0"/>
        <w:jc w:val="left"/>
        <w:rPr>
          <w:rFonts w:ascii="宋体" w:hAnsi="宋体" w:cs="宋体" w:eastAsia="宋体" w:hint="default"/>
          <w:sz w:val="16"/>
          <w:szCs w:val="16"/>
        </w:rPr>
      </w:pPr>
      <w:r>
        <w:rPr/>
        <w:pict>
          <v:group style="position:absolute;margin-left:.000007pt;margin-top:-6.176974pt;width:34.75pt;height:129.3pt;mso-position-horizontal-relative:page;mso-position-vertical-relative:paragraph;z-index:6664" coordorigin="0,-124" coordsize="695,2586">
            <v:group style="position:absolute;left:0;top:720;width:695;height:1742" coordorigin="0,720" coordsize="695,1742">
              <v:shape style="position:absolute;left:0;top:720;width:695;height:1742" coordorigin="0,720" coordsize="695,1742" path="m0,2462l0,720,694,720,0,2462xe" filled="true" fillcolor="#8e9090" stroked="false">
                <v:path arrowok="t"/>
                <v:fill type="solid"/>
              </v:shape>
            </v:group>
            <v:group style="position:absolute;left:0;top:-124;width:695;height:1742" coordorigin="0,-124" coordsize="695,1742">
              <v:shape style="position:absolute;left:0;top:-124;width:695;height:1742" coordorigin="0,-124" coordsize="695,1742" path="m0,1618l0,-124,694,-124,0,1618xe" filled="true" fillcolor="#d7000f" stroked="false">
                <v:path arrowok="t"/>
                <v:fill type="solid"/>
              </v:shape>
            </v:group>
            <w10:wrap type="none"/>
          </v:group>
        </w:pict>
      </w:r>
      <w:r>
        <w:rPr>
          <w:rFonts w:ascii="宋体" w:hAnsi="宋体" w:cs="宋体" w:eastAsia="宋体" w:hint="default"/>
          <w:sz w:val="16"/>
          <w:szCs w:val="16"/>
        </w:rPr>
        <w:t>截至年度报告披露日，公司现任董事、监事、高级管理人员：</w:t>
      </w:r>
    </w:p>
    <w:p>
      <w:pPr>
        <w:spacing w:line="240" w:lineRule="auto" w:before="3"/>
        <w:rPr>
          <w:rFonts w:ascii="宋体" w:hAnsi="宋体" w:cs="宋体" w:eastAsia="宋体" w:hint="default"/>
          <w:sz w:val="5"/>
          <w:szCs w:val="5"/>
        </w:rPr>
      </w:pPr>
    </w:p>
    <w:p>
      <w:pPr>
        <w:pStyle w:val="Heading9"/>
        <w:spacing w:line="1480" w:lineRule="exact"/>
        <w:ind w:left="1190" w:right="0"/>
        <w:jc w:val="left"/>
        <w:rPr>
          <w:rFonts w:ascii="宋体" w:hAnsi="宋体" w:cs="宋体" w:eastAsia="宋体" w:hint="default"/>
        </w:rPr>
      </w:pPr>
      <w:r>
        <w:rPr>
          <w:rFonts w:ascii="宋体"/>
          <w:position w:val="-29"/>
        </w:rPr>
        <w:pict>
          <v:group style="width:57.95pt;height:74.05pt;mso-position-horizontal-relative:char;mso-position-vertical-relative:line" coordorigin="0,0" coordsize="1159,1481">
            <v:group style="position:absolute;left:0;top:0;width:1078;height:889" coordorigin="0,0" coordsize="1078,889">
              <v:shape style="position:absolute;left:0;top:0;width:1078;height:889" coordorigin="0,0" coordsize="1078,889" path="m0,0l1077,0,1077,888,0,888,0,0xe" filled="true" fillcolor="#c9caca" stroked="false">
                <v:path arrowok="t"/>
                <v:fill type="solid"/>
              </v:shape>
            </v:group>
            <v:group style="position:absolute;left:0;top:888;width:1078;height:593" coordorigin="0,888" coordsize="1078,593">
              <v:shape style="position:absolute;left:0;top:888;width:1078;height:593" coordorigin="0,888" coordsize="1078,593" path="m0,888l1077,888,1077,1480,0,1480,0,888xe" filled="true" fillcolor="#f4c2a9" stroked="false">
                <v:path arrowok="t"/>
                <v:fill type="solid"/>
              </v:shape>
            </v:group>
            <v:group style="position:absolute;left:0;top:878;width:1078;height:20" coordorigin="0,878" coordsize="1078,20">
              <v:shape style="position:absolute;left:0;top:878;width:1078;height:20" coordorigin="0,878" coordsize="1078,20" path="m0,898l1077,898,1077,878,0,878,0,898xe" filled="true" fillcolor="#ffffff" stroked="false">
                <v:path arrowok="t"/>
                <v:fill type="solid"/>
              </v:shape>
              <v:shape style="position:absolute;left:981;top:92;width:177;height:184" type="#_x0000_t75" stroked="false">
                <v:imagedata r:id="rId199" o:title=""/>
              </v:shape>
              <v:shape style="position:absolute;left:981;top:959;width:177;height:184" type="#_x0000_t75" stroked="false">
                <v:imagedata r:id="rId200" o:title=""/>
              </v:shape>
              <v:shape style="position:absolute;left:299;top:376;width:48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王晓初</w:t>
                      </w:r>
                    </w:p>
                  </w:txbxContent>
                </v:textbox>
                <w10:wrap type="none"/>
              </v:shape>
              <v:shape style="position:absolute;left:299;top:1116;width:48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李国华</w:t>
                      </w:r>
                    </w:p>
                  </w:txbxContent>
                </v:textbox>
                <w10:wrap type="none"/>
              </v:shape>
            </v:group>
          </v:group>
        </w:pict>
      </w:r>
      <w:r>
        <w:rPr>
          <w:rFonts w:ascii="宋体"/>
          <w:position w:val="-29"/>
        </w:rPr>
      </w:r>
      <w:r>
        <w:rPr>
          <w:rFonts w:ascii="Times New Roman"/>
          <w:spacing w:val="-29"/>
          <w:position w:val="-29"/>
        </w:rPr>
        <w:t> </w:t>
      </w:r>
      <w:r>
        <w:rPr>
          <w:rFonts w:ascii="宋体"/>
          <w:spacing w:val="-29"/>
          <w:position w:val="-29"/>
        </w:rPr>
        <w:pict>
          <v:shape style="width:405.4pt;height:74.05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2597"/>
                    <w:gridCol w:w="3291"/>
                    <w:gridCol w:w="1418"/>
                    <w:gridCol w:w="801"/>
                  </w:tblGrid>
                  <w:tr>
                    <w:trPr>
                      <w:trHeight w:val="888" w:hRule="exact"/>
                    </w:trPr>
                    <w:tc>
                      <w:tcPr>
                        <w:tcW w:w="2597"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338" w:lineRule="auto" w:before="18"/>
                          <w:ind w:left="56" w:right="1403"/>
                          <w:jc w:val="left"/>
                          <w:rPr>
                            <w:rFonts w:ascii="宋体" w:hAnsi="宋体" w:cs="宋体" w:eastAsia="宋体" w:hint="default"/>
                            <w:sz w:val="16"/>
                            <w:szCs w:val="16"/>
                          </w:rPr>
                        </w:pPr>
                        <w:r>
                          <w:rPr>
                            <w:rFonts w:ascii="宋体" w:hAnsi="宋体" w:cs="宋体" w:eastAsia="宋体" w:hint="default"/>
                            <w:sz w:val="16"/>
                            <w:szCs w:val="16"/>
                          </w:rPr>
                          <w:t>联通红筹公司 联通运营公司 Telefónica</w:t>
                        </w:r>
                        <w:r>
                          <w:rPr>
                            <w:rFonts w:ascii="宋体" w:hAnsi="宋体" w:cs="宋体" w:eastAsia="宋体" w:hint="default"/>
                            <w:spacing w:val="-66"/>
                            <w:sz w:val="16"/>
                            <w:szCs w:val="16"/>
                          </w:rPr>
                          <w:t> </w:t>
                        </w:r>
                        <w:r>
                          <w:rPr>
                            <w:rFonts w:ascii="宋体" w:hAnsi="宋体" w:cs="宋体" w:eastAsia="宋体" w:hint="default"/>
                            <w:sz w:val="16"/>
                            <w:szCs w:val="16"/>
                          </w:rPr>
                          <w:t>S.A.</w:t>
                        </w:r>
                      </w:p>
                    </w:tc>
                    <w:tc>
                      <w:tcPr>
                        <w:tcW w:w="3291"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338" w:lineRule="auto" w:before="18"/>
                          <w:ind w:left="940" w:right="108"/>
                          <w:jc w:val="left"/>
                          <w:rPr>
                            <w:rFonts w:ascii="宋体" w:hAnsi="宋体" w:cs="宋体" w:eastAsia="宋体" w:hint="default"/>
                            <w:sz w:val="16"/>
                            <w:szCs w:val="16"/>
                          </w:rPr>
                        </w:pPr>
                        <w:r>
                          <w:rPr>
                            <w:rFonts w:ascii="宋体" w:hAnsi="宋体" w:cs="宋体" w:eastAsia="宋体" w:hint="default"/>
                            <w:sz w:val="16"/>
                            <w:szCs w:val="16"/>
                          </w:rPr>
                          <w:t>执行董事、董事长兼首席执行官 董事长</w:t>
                        </w:r>
                      </w:p>
                      <w:p>
                        <w:pPr>
                          <w:pStyle w:val="TableParagraph"/>
                          <w:spacing w:line="240" w:lineRule="auto" w:before="21"/>
                          <w:ind w:left="940" w:right="0"/>
                          <w:jc w:val="left"/>
                          <w:rPr>
                            <w:rFonts w:ascii="宋体" w:hAnsi="宋体" w:cs="宋体" w:eastAsia="宋体" w:hint="default"/>
                            <w:sz w:val="16"/>
                            <w:szCs w:val="16"/>
                          </w:rPr>
                        </w:pPr>
                        <w:r>
                          <w:rPr>
                            <w:rFonts w:ascii="宋体" w:hAnsi="宋体" w:cs="宋体" w:eastAsia="宋体" w:hint="default"/>
                            <w:sz w:val="16"/>
                            <w:szCs w:val="16"/>
                          </w:rPr>
                          <w:t>董事</w:t>
                        </w:r>
                      </w:p>
                    </w:tc>
                    <w:tc>
                      <w:tcPr>
                        <w:tcW w:w="1418"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240" w:lineRule="auto" w:before="18"/>
                          <w:ind w:left="110" w:right="0"/>
                          <w:jc w:val="lef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110" w:right="0"/>
                          <w:jc w:val="lef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110" w:right="0"/>
                          <w:jc w:val="lef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801"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338" w:lineRule="auto" w:before="18"/>
                          <w:ind w:left="424" w:right="54"/>
                          <w:jc w:val="both"/>
                          <w:rPr>
                            <w:rFonts w:ascii="宋体" w:hAnsi="宋体" w:cs="宋体" w:eastAsia="宋体" w:hint="default"/>
                            <w:sz w:val="16"/>
                            <w:szCs w:val="16"/>
                          </w:rPr>
                        </w:pPr>
                        <w:r>
                          <w:rPr>
                            <w:rFonts w:ascii="宋体" w:hAnsi="宋体" w:cs="宋体" w:eastAsia="宋体" w:hint="default"/>
                            <w:sz w:val="16"/>
                            <w:szCs w:val="16"/>
                          </w:rPr>
                          <w:t>至今 至今 至今</w:t>
                        </w:r>
                      </w:p>
                    </w:tc>
                  </w:tr>
                  <w:tr>
                    <w:trPr>
                      <w:trHeight w:val="592" w:hRule="exact"/>
                    </w:trPr>
                    <w:tc>
                      <w:tcPr>
                        <w:tcW w:w="2597"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338" w:lineRule="auto" w:before="8"/>
                          <w:ind w:left="56" w:right="938"/>
                          <w:jc w:val="left"/>
                          <w:rPr>
                            <w:rFonts w:ascii="宋体" w:hAnsi="宋体" w:cs="宋体" w:eastAsia="宋体" w:hint="default"/>
                            <w:sz w:val="16"/>
                            <w:szCs w:val="16"/>
                          </w:rPr>
                        </w:pPr>
                        <w:r>
                          <w:rPr>
                            <w:rFonts w:ascii="宋体" w:hAnsi="宋体" w:cs="宋体" w:eastAsia="宋体" w:hint="default"/>
                            <w:sz w:val="16"/>
                            <w:szCs w:val="16"/>
                          </w:rPr>
                          <w:t>招联消费金融有限公司 联通红筹公司</w:t>
                        </w:r>
                      </w:p>
                    </w:tc>
                    <w:tc>
                      <w:tcPr>
                        <w:tcW w:w="3291"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338" w:lineRule="auto" w:before="8"/>
                          <w:ind w:left="940" w:right="1868"/>
                          <w:jc w:val="left"/>
                          <w:rPr>
                            <w:rFonts w:ascii="宋体" w:hAnsi="宋体" w:cs="宋体" w:eastAsia="宋体" w:hint="default"/>
                            <w:sz w:val="16"/>
                            <w:szCs w:val="16"/>
                          </w:rPr>
                        </w:pPr>
                        <w:r>
                          <w:rPr>
                            <w:rFonts w:ascii="宋体" w:hAnsi="宋体" w:cs="宋体" w:eastAsia="宋体" w:hint="default"/>
                            <w:sz w:val="16"/>
                            <w:szCs w:val="16"/>
                          </w:rPr>
                          <w:t>董事长 总裁</w:t>
                        </w:r>
                      </w:p>
                    </w:tc>
                    <w:tc>
                      <w:tcPr>
                        <w:tcW w:w="1418"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240" w:lineRule="auto" w:before="8"/>
                          <w:ind w:left="110"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110" w:right="0"/>
                          <w:jc w:val="left"/>
                          <w:rPr>
                            <w:rFonts w:ascii="宋体" w:hAnsi="宋体" w:cs="宋体" w:eastAsia="宋体" w:hint="default"/>
                            <w:sz w:val="16"/>
                            <w:szCs w:val="16"/>
                          </w:rPr>
                        </w:pPr>
                        <w:r>
                          <w:rPr>
                            <w:rFonts w:ascii="宋体" w:hAnsi="宋体" w:cs="宋体" w:eastAsia="宋体" w:hint="default"/>
                            <w:w w:val="110"/>
                            <w:sz w:val="16"/>
                            <w:szCs w:val="16"/>
                          </w:rPr>
                          <w:t>2009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801"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338" w:lineRule="auto" w:before="8"/>
                          <w:ind w:left="424" w:right="54"/>
                          <w:jc w:val="left"/>
                          <w:rPr>
                            <w:rFonts w:ascii="宋体" w:hAnsi="宋体" w:cs="宋体" w:eastAsia="宋体" w:hint="default"/>
                            <w:sz w:val="16"/>
                            <w:szCs w:val="16"/>
                          </w:rPr>
                        </w:pPr>
                        <w:r>
                          <w:rPr>
                            <w:rFonts w:ascii="宋体" w:hAnsi="宋体" w:cs="宋体" w:eastAsia="宋体" w:hint="default"/>
                            <w:sz w:val="16"/>
                            <w:szCs w:val="16"/>
                          </w:rPr>
                          <w:t>至今 至今</w:t>
                        </w:r>
                      </w:p>
                    </w:tc>
                  </w:tr>
                </w:tbl>
                <w:p>
                  <w:pPr/>
                </w:p>
              </w:txbxContent>
            </v:textbox>
          </v:shape>
        </w:pict>
      </w:r>
      <w:r>
        <w:rPr>
          <w:rFonts w:ascii="宋体"/>
          <w:spacing w:val="-29"/>
          <w:position w:val="-29"/>
        </w:rPr>
      </w:r>
    </w:p>
    <w:p>
      <w:pPr>
        <w:spacing w:after="0" w:line="1480" w:lineRule="exact"/>
        <w:jc w:val="left"/>
        <w:rPr>
          <w:rFonts w:ascii="宋体" w:hAnsi="宋体" w:cs="宋体" w:eastAsia="宋体" w:hint="default"/>
        </w:rPr>
        <w:sectPr>
          <w:type w:val="continuous"/>
          <w:pgSz w:w="11910" w:h="16160"/>
          <w:pgMar w:top="1520" w:bottom="2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tabs>
          <w:tab w:pos="4208" w:val="left" w:leader="none"/>
          <w:tab w:pos="6859" w:val="left" w:leader="none"/>
          <w:tab w:pos="8946" w:val="left" w:leader="none"/>
        </w:tabs>
        <w:spacing w:before="41"/>
        <w:ind w:left="1816" w:right="764" w:firstLine="0"/>
        <w:jc w:val="left"/>
        <w:rPr>
          <w:rFonts w:ascii="宋体" w:hAnsi="宋体" w:cs="宋体" w:eastAsia="宋体" w:hint="default"/>
          <w:sz w:val="16"/>
          <w:szCs w:val="16"/>
        </w:rPr>
      </w:pPr>
      <w:r>
        <w:rPr/>
        <w:pict>
          <v:group style="position:absolute;margin-left:70.865997pt;margin-top:-9.15115pt;width:524.9pt;height:606.65pt;mso-position-horizontal-relative:page;mso-position-vertical-relative:paragraph;z-index:-963184" coordorigin="1417,-183" coordsize="10498,12133">
            <v:group style="position:absolute;left:10718;top:2660;width:1188;height:2980" coordorigin="10718,2660" coordsize="1188,2980">
              <v:shape style="position:absolute;left:10718;top:2660;width:1188;height:2980" coordorigin="10718,2660" coordsize="1188,2980" path="m11906,5639l10718,5639,11906,2660,11906,5639xe" filled="true" fillcolor="#d7000f" stroked="false">
                <v:path arrowok="t"/>
                <v:fill type="solid"/>
              </v:shape>
            </v:group>
            <v:group style="position:absolute;left:9173;top:5097;width:2733;height:6853" coordorigin="9173,5097" coordsize="2733,6853">
              <v:shape style="position:absolute;left:9173;top:5097;width:2733;height:6853" coordorigin="9173,5097" coordsize="2733,6853" path="m11906,11949l9173,11949,11906,5097,11906,11949xe" filled="true" fillcolor="#8e9090" stroked="false">
                <v:path arrowok="t"/>
                <v:fill type="solid"/>
              </v:shape>
              <v:shape style="position:absolute;left:7550;top:11014;width:188;height:188" type="#_x0000_t75" stroked="false">
                <v:imagedata r:id="rId76" o:title=""/>
              </v:shape>
            </v:group>
            <v:group style="position:absolute;left:7668;top:11108;width:4238;height:2" coordorigin="7668,11108" coordsize="4238,2">
              <v:shape style="position:absolute;left:7668;top:11108;width:4238;height:2" coordorigin="7668,11108" coordsize="4238,0" path="m7668,11108l11906,11108e" filled="false" stroked="true" strokeweight=".956pt" strokecolor="#8e9090">
                <v:path arrowok="t"/>
              </v:shape>
            </v:group>
            <v:group style="position:absolute;left:1417;top:-183;width:9723;height:10772" coordorigin="1417,-183" coordsize="9723,10772">
              <v:shape style="position:absolute;left:1417;top:-183;width:9723;height:10772" coordorigin="1417,-183" coordsize="9723,10772" path="m1417,10589l11140,10589,11140,-183,1417,-183,1417,10589xe" filled="true" fillcolor="#ffffff" stroked="false">
                <v:path arrowok="t"/>
                <v:fill type="solid"/>
              </v:shape>
            </v:group>
            <v:group style="position:absolute;left:1757;top:449;width:1078;height:2073" coordorigin="1757,449" coordsize="1078,2073">
              <v:shape style="position:absolute;left:1757;top:449;width:1078;height:2073" coordorigin="1757,449" coordsize="1078,2073" path="m2835,449l1757,449,1757,2521,2835,2521,2835,449xe" filled="true" fillcolor="#cec1a6" stroked="false">
                <v:path arrowok="t"/>
                <v:fill type="solid"/>
              </v:shape>
            </v:group>
            <v:group style="position:absolute;left:1757;top:7258;width:1078;height:1185" coordorigin="1757,7258" coordsize="1078,1185">
              <v:shape style="position:absolute;left:1757;top:7258;width:1078;height:1185" coordorigin="1757,7258" coordsize="1078,1185" path="m2835,7258l1757,7258,1757,8443,2835,8443,2835,7258xe" filled="true" fillcolor="#cec1a6" stroked="false">
                <v:path arrowok="t"/>
                <v:fill type="solid"/>
              </v:shape>
            </v:group>
            <v:group style="position:absolute;left:2948;top:449;width:3481;height:889" coordorigin="2948,449" coordsize="3481,889">
              <v:shape style="position:absolute;left:2948;top:449;width:3481;height:889" coordorigin="2948,449" coordsize="3481,889" path="m6429,449l2948,449,2948,1337,6429,1337,6429,449xe" filled="true" fillcolor="#ece7dd" stroked="false">
                <v:path arrowok="t"/>
                <v:fill type="solid"/>
              </v:shape>
            </v:group>
            <v:group style="position:absolute;left:6429;top:449;width:2461;height:889" coordorigin="6429,449" coordsize="2461,889">
              <v:shape style="position:absolute;left:6429;top:449;width:2461;height:889" coordorigin="6429,449" coordsize="2461,889" path="m8889,449l6429,449,6429,1337,8889,1337,8889,449xe" filled="true" fillcolor="#ece7dd" stroked="false">
                <v:path arrowok="t"/>
                <v:fill type="solid"/>
              </v:shape>
            </v:group>
            <v:group style="position:absolute;left:8889;top:449;width:2;height:889" coordorigin="8889,449" coordsize="2,889">
              <v:shape style="position:absolute;left:8889;top:449;width:2;height:889" coordorigin="8889,449" coordsize="0,889" path="m8889,449l8889,1337e" filled="false" stroked="true" strokeweight=".001pt" strokecolor="#ece7dd">
                <v:path arrowok="t"/>
              </v:shape>
            </v:group>
            <v:group style="position:absolute;left:8889;top:449;width:1089;height:889" coordorigin="8889,449" coordsize="1089,889">
              <v:shape style="position:absolute;left:8889;top:449;width:1089;height:889" coordorigin="8889,449" coordsize="1089,889" path="m9978,449l8889,449,8889,1337,9978,1337,9978,449xe" filled="true" fillcolor="#ece7dd" stroked="false">
                <v:path arrowok="t"/>
                <v:fill type="solid"/>
              </v:shape>
            </v:group>
            <v:group style="position:absolute;left:9978;top:449;width:1078;height:889" coordorigin="9978,449" coordsize="1078,889">
              <v:shape style="position:absolute;left:9978;top:449;width:1078;height:889" coordorigin="9978,449" coordsize="1078,889" path="m11055,449l9978,449,9978,1337,11055,1337,11055,449xe" filled="true" fillcolor="#ece7dd" stroked="false">
                <v:path arrowok="t"/>
                <v:fill type="solid"/>
              </v:shape>
            </v:group>
            <v:group style="position:absolute;left:2948;top:1337;width:3481;height:1185" coordorigin="2948,1337" coordsize="3481,1185">
              <v:shape style="position:absolute;left:2948;top:1337;width:3481;height:1185" coordorigin="2948,1337" coordsize="3481,1185" path="m6429,1337l2948,1337,2948,2521,6429,2521,6429,1337xe" filled="true" fillcolor="#ece7dd" stroked="false">
                <v:path arrowok="t"/>
                <v:fill type="solid"/>
              </v:shape>
            </v:group>
            <v:group style="position:absolute;left:6429;top:1337;width:2461;height:1185" coordorigin="6429,1337" coordsize="2461,1185">
              <v:shape style="position:absolute;left:6429;top:1337;width:2461;height:1185" coordorigin="6429,1337" coordsize="2461,1185" path="m8889,1337l6429,1337,6429,2521,8889,2521,8889,1337xe" filled="true" fillcolor="#ece7dd" stroked="false">
                <v:path arrowok="t"/>
                <v:fill type="solid"/>
              </v:shape>
            </v:group>
            <v:group style="position:absolute;left:8889;top:1337;width:2;height:1185" coordorigin="8889,1337" coordsize="2,1185">
              <v:shape style="position:absolute;left:8889;top:1337;width:2;height:1185" coordorigin="8889,1337" coordsize="0,1185" path="m8889,1337l8889,2521e" filled="false" stroked="true" strokeweight=".001pt" strokecolor="#ece7dd">
                <v:path arrowok="t"/>
              </v:shape>
            </v:group>
            <v:group style="position:absolute;left:8889;top:1337;width:1089;height:1185" coordorigin="8889,1337" coordsize="1089,1185">
              <v:shape style="position:absolute;left:8889;top:1337;width:1089;height:1185" coordorigin="8889,1337" coordsize="1089,1185" path="m9978,1337l8889,1337,8889,2521,9978,2521,9978,1337xe" filled="true" fillcolor="#ece7dd" stroked="false">
                <v:path arrowok="t"/>
                <v:fill type="solid"/>
              </v:shape>
            </v:group>
            <v:group style="position:absolute;left:9978;top:1337;width:1078;height:1185" coordorigin="9978,1337" coordsize="1078,1185">
              <v:shape style="position:absolute;left:9978;top:1337;width:1078;height:1185" coordorigin="9978,1337" coordsize="1078,1185" path="m11055,1337l9978,1337,9978,2521,11055,2521,11055,1337xe" filled="true" fillcolor="#ece7dd" stroked="false">
                <v:path arrowok="t"/>
                <v:fill type="solid"/>
              </v:shape>
            </v:group>
            <v:group style="position:absolute;left:2948;top:7258;width:3481;height:1185" coordorigin="2948,7258" coordsize="3481,1185">
              <v:shape style="position:absolute;left:2948;top:7258;width:3481;height:1185" coordorigin="2948,7258" coordsize="3481,1185" path="m6429,7258l2948,7258,2948,8442,6429,8442,6429,7258xe" filled="true" fillcolor="#ece7dd" stroked="false">
                <v:path arrowok="t"/>
                <v:fill type="solid"/>
              </v:shape>
            </v:group>
            <v:group style="position:absolute;left:6429;top:7258;width:2461;height:1185" coordorigin="6429,7258" coordsize="2461,1185">
              <v:shape style="position:absolute;left:6429;top:7258;width:2461;height:1185" coordorigin="6429,7258" coordsize="2461,1185" path="m8889,7258l6429,7258,6429,8442,8889,8442,8889,7258xe" filled="true" fillcolor="#ece7dd" stroked="false">
                <v:path arrowok="t"/>
                <v:fill type="solid"/>
              </v:shape>
            </v:group>
            <v:group style="position:absolute;left:8889;top:7258;width:2;height:1185" coordorigin="8889,7258" coordsize="2,1185">
              <v:shape style="position:absolute;left:8889;top:7258;width:2;height:1185" coordorigin="8889,7258" coordsize="0,1185" path="m8889,7258l8889,8442e" filled="false" stroked="true" strokeweight=".001pt" strokecolor="#ece7dd">
                <v:path arrowok="t"/>
              </v:shape>
            </v:group>
            <v:group style="position:absolute;left:8889;top:7258;width:1089;height:1185" coordorigin="8889,7258" coordsize="1089,1185">
              <v:shape style="position:absolute;left:8889;top:7258;width:1089;height:1185" coordorigin="8889,7258" coordsize="1089,1185" path="m9978,7258l8889,7258,8889,8442,9978,8442,9978,7258xe" filled="true" fillcolor="#ece7dd" stroked="false">
                <v:path arrowok="t"/>
                <v:fill type="solid"/>
              </v:shape>
            </v:group>
            <v:group style="position:absolute;left:9978;top:7258;width:1078;height:1185" coordorigin="9978,7258" coordsize="1078,1185">
              <v:shape style="position:absolute;left:9978;top:7258;width:1078;height:1185" coordorigin="9978,7258" coordsize="1078,1185" path="m11055,7258l9978,7258,9978,8442,11055,8442,11055,7258xe" filled="true" fillcolor="#ece7dd" stroked="false">
                <v:path arrowok="t"/>
                <v:fill type="solid"/>
              </v:shape>
            </v:group>
            <v:group style="position:absolute;left:1757;top:2521;width:1078;height:1777" coordorigin="1757,2521" coordsize="1078,1777">
              <v:shape style="position:absolute;left:1757;top:2521;width:1078;height:1777" coordorigin="1757,2521" coordsize="1078,1777" path="m2835,2521l1757,2521,1757,4298,2835,4298,2835,2521xe" filled="true" fillcolor="#c9caca" stroked="false">
                <v:path arrowok="t"/>
                <v:fill type="solid"/>
              </v:shape>
            </v:group>
            <v:group style="position:absolute;left:1757;top:8442;width:1078;height:2073" coordorigin="1757,8442" coordsize="1078,2073">
              <v:shape style="position:absolute;left:1757;top:8442;width:1078;height:2073" coordorigin="1757,8442" coordsize="1078,2073" path="m2835,8442l1757,8442,1757,10515,2835,10515,2835,8442xe" filled="true" fillcolor="#c9caca" stroked="false">
                <v:path arrowok="t"/>
                <v:fill type="solid"/>
              </v:shape>
            </v:group>
            <v:group style="position:absolute;left:2948;top:2521;width:3481;height:889" coordorigin="2948,2521" coordsize="3481,889">
              <v:shape style="position:absolute;left:2948;top:2521;width:3481;height:889" coordorigin="2948,2521" coordsize="3481,889" path="m6429,2521l2948,2521,2948,3409,6429,3409,6429,2521xe" filled="true" fillcolor="#efefef" stroked="false">
                <v:path arrowok="t"/>
                <v:fill type="solid"/>
              </v:shape>
            </v:group>
            <v:group style="position:absolute;left:6429;top:2521;width:2461;height:889" coordorigin="6429,2521" coordsize="2461,889">
              <v:shape style="position:absolute;left:6429;top:2521;width:2461;height:889" coordorigin="6429,2521" coordsize="2461,889" path="m8889,2521l6429,2521,6429,3409,8889,3409,8889,2521xe" filled="true" fillcolor="#efefef" stroked="false">
                <v:path arrowok="t"/>
                <v:fill type="solid"/>
              </v:shape>
            </v:group>
            <v:group style="position:absolute;left:8889;top:2521;width:2;height:889" coordorigin="8889,2521" coordsize="2,889">
              <v:shape style="position:absolute;left:8889;top:2521;width:2;height:889" coordorigin="8889,2521" coordsize="0,889" path="m8889,2521l8889,3409e" filled="false" stroked="true" strokeweight=".001pt" strokecolor="#efefef">
                <v:path arrowok="t"/>
              </v:shape>
            </v:group>
            <v:group style="position:absolute;left:8889;top:2521;width:1089;height:889" coordorigin="8889,2521" coordsize="1089,889">
              <v:shape style="position:absolute;left:8889;top:2521;width:1089;height:889" coordorigin="8889,2521" coordsize="1089,889" path="m9978,2521l8889,2521,8889,3409,9978,3409,9978,2521xe" filled="true" fillcolor="#efefef" stroked="false">
                <v:path arrowok="t"/>
                <v:fill type="solid"/>
              </v:shape>
            </v:group>
            <v:group style="position:absolute;left:9978;top:2521;width:1078;height:889" coordorigin="9978,2521" coordsize="1078,889">
              <v:shape style="position:absolute;left:9978;top:2521;width:1078;height:889" coordorigin="9978,2521" coordsize="1078,889" path="m11055,2521l9978,2521,9978,3409,11055,3409,11055,2521xe" filled="true" fillcolor="#efefef" stroked="false">
                <v:path arrowok="t"/>
                <v:fill type="solid"/>
              </v:shape>
            </v:group>
            <v:group style="position:absolute;left:2948;top:3409;width:3481;height:889" coordorigin="2948,3409" coordsize="3481,889">
              <v:shape style="position:absolute;left:2948;top:3409;width:3481;height:889" coordorigin="2948,3409" coordsize="3481,889" path="m6429,3409l2948,3409,2948,4298,6429,4298,6429,3409xe" filled="true" fillcolor="#efefef" stroked="false">
                <v:path arrowok="t"/>
                <v:fill type="solid"/>
              </v:shape>
            </v:group>
            <v:group style="position:absolute;left:6429;top:3409;width:2461;height:889" coordorigin="6429,3409" coordsize="2461,889">
              <v:shape style="position:absolute;left:6429;top:3409;width:2461;height:889" coordorigin="6429,3409" coordsize="2461,889" path="m8889,3409l6429,3409,6429,4298,8889,4298,8889,3409xe" filled="true" fillcolor="#efefef" stroked="false">
                <v:path arrowok="t"/>
                <v:fill type="solid"/>
              </v:shape>
            </v:group>
            <v:group style="position:absolute;left:8889;top:3409;width:2;height:889" coordorigin="8889,3409" coordsize="2,889">
              <v:shape style="position:absolute;left:8889;top:3409;width:2;height:889" coordorigin="8889,3409" coordsize="0,889" path="m8889,3409l8889,4298e" filled="false" stroked="true" strokeweight=".001pt" strokecolor="#efefef">
                <v:path arrowok="t"/>
              </v:shape>
            </v:group>
            <v:group style="position:absolute;left:8889;top:3409;width:1089;height:889" coordorigin="8889,3409" coordsize="1089,889">
              <v:shape style="position:absolute;left:8889;top:3409;width:1089;height:889" coordorigin="8889,3409" coordsize="1089,889" path="m9978,3409l8889,3409,8889,4298,9978,4298,9978,3409xe" filled="true" fillcolor="#efefef" stroked="false">
                <v:path arrowok="t"/>
                <v:fill type="solid"/>
              </v:shape>
            </v:group>
            <v:group style="position:absolute;left:9978;top:3409;width:1078;height:889" coordorigin="9978,3409" coordsize="1078,889">
              <v:shape style="position:absolute;left:9978;top:3409;width:1078;height:889" coordorigin="9978,3409" coordsize="1078,889" path="m11055,3409l9978,3409,9978,4298,11055,4298,11055,3409xe" filled="true" fillcolor="#efefef" stroked="false">
                <v:path arrowok="t"/>
                <v:fill type="solid"/>
              </v:shape>
            </v:group>
            <v:group style="position:absolute;left:2948;top:8442;width:3481;height:889" coordorigin="2948,8442" coordsize="3481,889">
              <v:shape style="position:absolute;left:2948;top:8442;width:3481;height:889" coordorigin="2948,8442" coordsize="3481,889" path="m6429,8442l2948,8442,2948,9331,6429,9331,6429,8442xe" filled="true" fillcolor="#efefef" stroked="false">
                <v:path arrowok="t"/>
                <v:fill type="solid"/>
              </v:shape>
            </v:group>
            <v:group style="position:absolute;left:6429;top:8442;width:2461;height:889" coordorigin="6429,8442" coordsize="2461,889">
              <v:shape style="position:absolute;left:6429;top:8442;width:2461;height:889" coordorigin="6429,8442" coordsize="2461,889" path="m8889,8442l6429,8442,6429,9331,8889,9331,8889,8442xe" filled="true" fillcolor="#efefef" stroked="false">
                <v:path arrowok="t"/>
                <v:fill type="solid"/>
              </v:shape>
            </v:group>
            <v:group style="position:absolute;left:8889;top:8442;width:2;height:889" coordorigin="8889,8442" coordsize="2,889">
              <v:shape style="position:absolute;left:8889;top:8442;width:2;height:889" coordorigin="8889,8442" coordsize="0,889" path="m8889,8442l8889,9331e" filled="false" stroked="true" strokeweight=".001pt" strokecolor="#efefef">
                <v:path arrowok="t"/>
              </v:shape>
            </v:group>
            <v:group style="position:absolute;left:8889;top:8442;width:1089;height:889" coordorigin="8889,8442" coordsize="1089,889">
              <v:shape style="position:absolute;left:8889;top:8442;width:1089;height:889" coordorigin="8889,8442" coordsize="1089,889" path="m9978,8442l8889,8442,8889,9331,9978,9331,9978,8442xe" filled="true" fillcolor="#efefef" stroked="false">
                <v:path arrowok="t"/>
                <v:fill type="solid"/>
              </v:shape>
            </v:group>
            <v:group style="position:absolute;left:9978;top:8442;width:1078;height:889" coordorigin="9978,8442" coordsize="1078,889">
              <v:shape style="position:absolute;left:9978;top:8442;width:1078;height:889" coordorigin="9978,8442" coordsize="1078,889" path="m11055,8442l9978,8442,9978,9331,11055,9331,11055,8442xe" filled="true" fillcolor="#efefef" stroked="false">
                <v:path arrowok="t"/>
                <v:fill type="solid"/>
              </v:shape>
            </v:group>
            <v:group style="position:absolute;left:2948;top:9331;width:3481;height:889" coordorigin="2948,9331" coordsize="3481,889">
              <v:shape style="position:absolute;left:2948;top:9331;width:3481;height:889" coordorigin="2948,9331" coordsize="3481,889" path="m6429,9331l2948,9331,2948,10219,6429,10219,6429,9331xe" filled="true" fillcolor="#efefef" stroked="false">
                <v:path arrowok="t"/>
                <v:fill type="solid"/>
              </v:shape>
            </v:group>
            <v:group style="position:absolute;left:6429;top:9331;width:2461;height:889" coordorigin="6429,9331" coordsize="2461,889">
              <v:shape style="position:absolute;left:6429;top:9331;width:2461;height:889" coordorigin="6429,9331" coordsize="2461,889" path="m8889,9331l6429,9331,6429,10219,8889,10219,8889,9331xe" filled="true" fillcolor="#efefef" stroked="false">
                <v:path arrowok="t"/>
                <v:fill type="solid"/>
              </v:shape>
            </v:group>
            <v:group style="position:absolute;left:8889;top:9331;width:2;height:889" coordorigin="8889,9331" coordsize="2,889">
              <v:shape style="position:absolute;left:8889;top:9331;width:2;height:889" coordorigin="8889,9331" coordsize="0,889" path="m8889,9331l8889,10219e" filled="false" stroked="true" strokeweight=".001pt" strokecolor="#efefef">
                <v:path arrowok="t"/>
              </v:shape>
            </v:group>
            <v:group style="position:absolute;left:8889;top:9331;width:1089;height:889" coordorigin="8889,9331" coordsize="1089,889">
              <v:shape style="position:absolute;left:8889;top:9331;width:1089;height:889" coordorigin="8889,9331" coordsize="1089,889" path="m9978,9331l8889,9331,8889,10219,9978,10219,9978,9331xe" filled="true" fillcolor="#efefef" stroked="false">
                <v:path arrowok="t"/>
                <v:fill type="solid"/>
              </v:shape>
            </v:group>
            <v:group style="position:absolute;left:9978;top:9331;width:1078;height:889" coordorigin="9978,9331" coordsize="1078,889">
              <v:shape style="position:absolute;left:9978;top:9331;width:1078;height:889" coordorigin="9978,9331" coordsize="1078,889" path="m11055,9331l9978,9331,9978,10219,11055,10219,11055,9331xe" filled="true" fillcolor="#efefef" stroked="false">
                <v:path arrowok="t"/>
                <v:fill type="solid"/>
              </v:shape>
            </v:group>
            <v:group style="position:absolute;left:2948;top:10219;width:3481;height:297" coordorigin="2948,10219" coordsize="3481,297">
              <v:shape style="position:absolute;left:2948;top:10219;width:3481;height:297" coordorigin="2948,10219" coordsize="3481,297" path="m6429,10219l2948,10219,2948,10515,6429,10515,6429,10219xe" filled="true" fillcolor="#efefef" stroked="false">
                <v:path arrowok="t"/>
                <v:fill type="solid"/>
              </v:shape>
            </v:group>
            <v:group style="position:absolute;left:6429;top:10219;width:2461;height:297" coordorigin="6429,10219" coordsize="2461,297">
              <v:shape style="position:absolute;left:6429;top:10219;width:2461;height:297" coordorigin="6429,10219" coordsize="2461,297" path="m8889,10219l6429,10219,6429,10515,8889,10515,8889,10219xe" filled="true" fillcolor="#efefef" stroked="false">
                <v:path arrowok="t"/>
                <v:fill type="solid"/>
              </v:shape>
            </v:group>
            <v:group style="position:absolute;left:8889;top:10219;width:2;height:297" coordorigin="8889,10219" coordsize="2,297">
              <v:shape style="position:absolute;left:8889;top:10219;width:2;height:297" coordorigin="8889,10219" coordsize="0,297" path="m8889,10219l8889,10515e" filled="false" stroked="true" strokeweight=".001pt" strokecolor="#efefef">
                <v:path arrowok="t"/>
              </v:shape>
            </v:group>
            <v:group style="position:absolute;left:8889;top:10219;width:1089;height:297" coordorigin="8889,10219" coordsize="1089,297">
              <v:shape style="position:absolute;left:8889;top:10219;width:1089;height:297" coordorigin="8889,10219" coordsize="1089,297" path="m9978,10219l8889,10219,8889,10515,9978,10515,9978,10219xe" filled="true" fillcolor="#efefef" stroked="false">
                <v:path arrowok="t"/>
                <v:fill type="solid"/>
              </v:shape>
            </v:group>
            <v:group style="position:absolute;left:9978;top:10219;width:1078;height:297" coordorigin="9978,10219" coordsize="1078,297">
              <v:shape style="position:absolute;left:9978;top:10219;width:1078;height:297" coordorigin="9978,10219" coordsize="1078,297" path="m11055,10219l9978,10219,9978,10515,11055,10515,11055,10219xe" filled="true" fillcolor="#efefef" stroked="false">
                <v:path arrowok="t"/>
                <v:fill type="solid"/>
              </v:shape>
            </v:group>
            <v:group style="position:absolute;left:1757;top:4298;width:1078;height:2961" coordorigin="1757,4298" coordsize="1078,2961">
              <v:shape style="position:absolute;left:1757;top:4298;width:1078;height:2961" coordorigin="1757,4298" coordsize="1078,2961" path="m1757,4298l2835,4298,2835,7258,1757,7258,1757,4298xe" filled="true" fillcolor="#f4c2a9" stroked="false">
                <v:path arrowok="t"/>
                <v:fill type="solid"/>
              </v:shape>
            </v:group>
            <v:group style="position:absolute;left:2948;top:4298;width:3481;height:889" coordorigin="2948,4298" coordsize="3481,889">
              <v:shape style="position:absolute;left:2948;top:4298;width:3481;height:889" coordorigin="2948,4298" coordsize="3481,889" path="m6429,4298l2948,4298,2948,5186,6429,5186,6429,4298xe" filled="true" fillcolor="#fcece3" stroked="false">
                <v:path arrowok="t"/>
                <v:fill type="solid"/>
              </v:shape>
            </v:group>
            <v:group style="position:absolute;left:6429;top:4298;width:2461;height:889" coordorigin="6429,4298" coordsize="2461,889">
              <v:shape style="position:absolute;left:6429;top:4298;width:2461;height:889" coordorigin="6429,4298" coordsize="2461,889" path="m8889,4298l6429,4298,6429,5186,8889,5186,8889,4298xe" filled="true" fillcolor="#fcece3" stroked="false">
                <v:path arrowok="t"/>
                <v:fill type="solid"/>
              </v:shape>
            </v:group>
            <v:group style="position:absolute;left:8889;top:4298;width:2;height:889" coordorigin="8889,4298" coordsize="2,889">
              <v:shape style="position:absolute;left:8889;top:4298;width:2;height:889" coordorigin="8889,4298" coordsize="0,889" path="m8889,4298l8889,5186e" filled="false" stroked="true" strokeweight=".001pt" strokecolor="#fcece3">
                <v:path arrowok="t"/>
              </v:shape>
            </v:group>
            <v:group style="position:absolute;left:8889;top:4298;width:1089;height:889" coordorigin="8889,4298" coordsize="1089,889">
              <v:shape style="position:absolute;left:8889;top:4298;width:1089;height:889" coordorigin="8889,4298" coordsize="1089,889" path="m9978,4298l8889,4298,8889,5186,9978,5186,9978,4298xe" filled="true" fillcolor="#fcece3" stroked="false">
                <v:path arrowok="t"/>
                <v:fill type="solid"/>
              </v:shape>
            </v:group>
            <v:group style="position:absolute;left:9978;top:4298;width:1078;height:889" coordorigin="9978,4298" coordsize="1078,889">
              <v:shape style="position:absolute;left:9978;top:4298;width:1078;height:889" coordorigin="9978,4298" coordsize="1078,889" path="m11055,4298l9978,4298,9978,5186,11055,5186,11055,4298xe" filled="true" fillcolor="#fcece3" stroked="false">
                <v:path arrowok="t"/>
                <v:fill type="solid"/>
              </v:shape>
            </v:group>
            <v:group style="position:absolute;left:2948;top:5186;width:3481;height:2073" coordorigin="2948,5186" coordsize="3481,2073">
              <v:shape style="position:absolute;left:2948;top:5186;width:3481;height:2073" coordorigin="2948,5186" coordsize="3481,2073" path="m6429,5186l2948,5186,2948,7258,6429,7258,6429,5186xe" filled="true" fillcolor="#fcece3" stroked="false">
                <v:path arrowok="t"/>
                <v:fill type="solid"/>
              </v:shape>
            </v:group>
            <v:group style="position:absolute;left:6429;top:5186;width:2461;height:2073" coordorigin="6429,5186" coordsize="2461,2073">
              <v:shape style="position:absolute;left:6429;top:5186;width:2461;height:2073" coordorigin="6429,5186" coordsize="2461,2073" path="m8889,5186l6429,5186,6429,7258,8889,7258,8889,5186xe" filled="true" fillcolor="#fcece3" stroked="false">
                <v:path arrowok="t"/>
                <v:fill type="solid"/>
              </v:shape>
            </v:group>
            <v:group style="position:absolute;left:8889;top:5186;width:2;height:2073" coordorigin="8889,5186" coordsize="2,2073">
              <v:shape style="position:absolute;left:8889;top:5186;width:2;height:2073" coordorigin="8889,5186" coordsize="0,2073" path="m8889,5186l8889,7258e" filled="false" stroked="true" strokeweight=".001pt" strokecolor="#fcece3">
                <v:path arrowok="t"/>
              </v:shape>
            </v:group>
            <v:group style="position:absolute;left:8889;top:5186;width:1089;height:2073" coordorigin="8889,5186" coordsize="1089,2073">
              <v:shape style="position:absolute;left:8889;top:5186;width:1089;height:2073" coordorigin="8889,5186" coordsize="1089,2073" path="m9978,5186l8889,5186,8889,7258,9978,7258,9978,5186xe" filled="true" fillcolor="#fcece3" stroked="false">
                <v:path arrowok="t"/>
                <v:fill type="solid"/>
              </v:shape>
            </v:group>
            <v:group style="position:absolute;left:9978;top:5186;width:1078;height:2073" coordorigin="9978,5186" coordsize="1078,2073">
              <v:shape style="position:absolute;left:9978;top:5186;width:1078;height:2073" coordorigin="9978,5186" coordsize="1078,2073" path="m11055,5186l9978,5186,9978,7258,11055,7258,11055,5186xe" filled="true" fillcolor="#fcece3" stroked="false">
                <v:path arrowok="t"/>
                <v:fill type="solid"/>
              </v:shape>
            </v:group>
            <v:group style="position:absolute;left:1757;top:2511;width:1078;height:20" coordorigin="1757,2511" coordsize="1078,20">
              <v:shape style="position:absolute;left:1757;top:2511;width:1078;height:20" coordorigin="1757,2511" coordsize="1078,20" path="m1757,2531l2835,2531,2835,2511,1757,2511,1757,2531xe" filled="true" fillcolor="#ffffff" stroked="false">
                <v:path arrowok="t"/>
                <v:fill type="solid"/>
              </v:shape>
            </v:group>
            <v:group style="position:absolute;left:2835;top:2521;width:114;height:2" coordorigin="2835,2521" coordsize="114,2">
              <v:shape style="position:absolute;left:2835;top:2521;width:114;height:2" coordorigin="2835,2521" coordsize="114,0" path="m2835,2521l2948,2521e" filled="false" stroked="true" strokeweight="1pt" strokecolor="#ffffff">
                <v:path arrowok="t"/>
              </v:shape>
            </v:group>
            <v:group style="position:absolute;left:2948;top:2511;width:3481;height:20" coordorigin="2948,2511" coordsize="3481,20">
              <v:shape style="position:absolute;left:2948;top:2511;width:3481;height:20" coordorigin="2948,2511" coordsize="3481,20" path="m2948,2531l6429,2531,6429,2511,2948,2511,2948,2531xe" filled="true" fillcolor="#ffffff" stroked="false">
                <v:path arrowok="t"/>
                <v:fill type="solid"/>
              </v:shape>
            </v:group>
            <v:group style="position:absolute;left:6429;top:2511;width:2461;height:20" coordorigin="6429,2511" coordsize="2461,20">
              <v:shape style="position:absolute;left:6429;top:2511;width:2461;height:20" coordorigin="6429,2511" coordsize="2461,20" path="m6429,2531l8889,2531,8889,2511,6429,2511,6429,2531xe" filled="true" fillcolor="#ffffff" stroked="false">
                <v:path arrowok="t"/>
                <v:fill type="solid"/>
              </v:shape>
            </v:group>
            <v:group style="position:absolute;left:8889;top:2511;width:1089;height:20" coordorigin="8889,2511" coordsize="1089,20">
              <v:shape style="position:absolute;left:8889;top:2511;width:1089;height:20" coordorigin="8889,2511" coordsize="1089,20" path="m8889,2531l9978,2531,9978,2511,8889,2511,8889,2531xe" filled="true" fillcolor="#ffffff" stroked="false">
                <v:path arrowok="t"/>
                <v:fill type="solid"/>
              </v:shape>
            </v:group>
            <v:group style="position:absolute;left:9978;top:2511;width:1078;height:20" coordorigin="9978,2511" coordsize="1078,20">
              <v:shape style="position:absolute;left:9978;top:2511;width:1078;height:20" coordorigin="9978,2511" coordsize="1078,20" path="m9978,2531l11055,2531,11055,2511,9978,2511,9978,2531xe" filled="true" fillcolor="#ffffff" stroked="false">
                <v:path arrowok="t"/>
                <v:fill type="solid"/>
              </v:shape>
            </v:group>
            <v:group style="position:absolute;left:1757;top:4288;width:1078;height:20" coordorigin="1757,4288" coordsize="1078,20">
              <v:shape style="position:absolute;left:1757;top:4288;width:1078;height:20" coordorigin="1757,4288" coordsize="1078,20" path="m1757,4308l2835,4308,2835,4288,1757,4288,1757,4308xe" filled="true" fillcolor="#ffffff" stroked="false">
                <v:path arrowok="t"/>
                <v:fill type="solid"/>
              </v:shape>
            </v:group>
            <v:group style="position:absolute;left:2835;top:4298;width:114;height:2" coordorigin="2835,4298" coordsize="114,2">
              <v:shape style="position:absolute;left:2835;top:4298;width:114;height:2" coordorigin="2835,4298" coordsize="114,0" path="m2835,4298l2948,4298e" filled="false" stroked="true" strokeweight="1pt" strokecolor="#ffffff">
                <v:path arrowok="t"/>
              </v:shape>
            </v:group>
            <v:group style="position:absolute;left:2948;top:4288;width:3481;height:20" coordorigin="2948,4288" coordsize="3481,20">
              <v:shape style="position:absolute;left:2948;top:4288;width:3481;height:20" coordorigin="2948,4288" coordsize="3481,20" path="m2948,4308l6429,4308,6429,4288,2948,4288,2948,4308xe" filled="true" fillcolor="#ffffff" stroked="false">
                <v:path arrowok="t"/>
                <v:fill type="solid"/>
              </v:shape>
            </v:group>
            <v:group style="position:absolute;left:6429;top:4288;width:2461;height:20" coordorigin="6429,4288" coordsize="2461,20">
              <v:shape style="position:absolute;left:6429;top:4288;width:2461;height:20" coordorigin="6429,4288" coordsize="2461,20" path="m6429,4308l8889,4308,8889,4288,6429,4288,6429,4308xe" filled="true" fillcolor="#ffffff" stroked="false">
                <v:path arrowok="t"/>
                <v:fill type="solid"/>
              </v:shape>
            </v:group>
            <v:group style="position:absolute;left:8889;top:4288;width:1089;height:20" coordorigin="8889,4288" coordsize="1089,20">
              <v:shape style="position:absolute;left:8889;top:4288;width:1089;height:20" coordorigin="8889,4288" coordsize="1089,20" path="m8889,4308l9978,4308,9978,4288,8889,4288,8889,4308xe" filled="true" fillcolor="#ffffff" stroked="false">
                <v:path arrowok="t"/>
                <v:fill type="solid"/>
              </v:shape>
            </v:group>
            <v:group style="position:absolute;left:9978;top:4288;width:1078;height:20" coordorigin="9978,4288" coordsize="1078,20">
              <v:shape style="position:absolute;left:9978;top:4288;width:1078;height:20" coordorigin="9978,4288" coordsize="1078,20" path="m9978,4308l11055,4308,11055,4288,9978,4288,9978,4308xe" filled="true" fillcolor="#ffffff" stroked="false">
                <v:path arrowok="t"/>
                <v:fill type="solid"/>
              </v:shape>
            </v:group>
            <v:group style="position:absolute;left:1757;top:7248;width:1078;height:20" coordorigin="1757,7248" coordsize="1078,20">
              <v:shape style="position:absolute;left:1757;top:7248;width:1078;height:20" coordorigin="1757,7248" coordsize="1078,20" path="m1757,7268l2835,7268,2835,7248,1757,7248,1757,7268xe" filled="true" fillcolor="#ffffff" stroked="false">
                <v:path arrowok="t"/>
                <v:fill type="solid"/>
              </v:shape>
            </v:group>
            <v:group style="position:absolute;left:2835;top:7258;width:114;height:2" coordorigin="2835,7258" coordsize="114,2">
              <v:shape style="position:absolute;left:2835;top:7258;width:114;height:2" coordorigin="2835,7258" coordsize="114,0" path="m2835,7258l2948,7258e" filled="false" stroked="true" strokeweight="1pt" strokecolor="#ffffff">
                <v:path arrowok="t"/>
              </v:shape>
            </v:group>
            <v:group style="position:absolute;left:2948;top:7248;width:3481;height:20" coordorigin="2948,7248" coordsize="3481,20">
              <v:shape style="position:absolute;left:2948;top:7248;width:3481;height:20" coordorigin="2948,7248" coordsize="3481,20" path="m2948,7268l6429,7268,6429,7248,2948,7248,2948,7268xe" filled="true" fillcolor="#ffffff" stroked="false">
                <v:path arrowok="t"/>
                <v:fill type="solid"/>
              </v:shape>
            </v:group>
            <v:group style="position:absolute;left:6429;top:7248;width:2461;height:20" coordorigin="6429,7248" coordsize="2461,20">
              <v:shape style="position:absolute;left:6429;top:7248;width:2461;height:20" coordorigin="6429,7248" coordsize="2461,20" path="m6429,7268l8889,7268,8889,7248,6429,7248,6429,7268xe" filled="true" fillcolor="#ffffff" stroked="false">
                <v:path arrowok="t"/>
                <v:fill type="solid"/>
              </v:shape>
            </v:group>
            <v:group style="position:absolute;left:8889;top:7248;width:1089;height:20" coordorigin="8889,7248" coordsize="1089,20">
              <v:shape style="position:absolute;left:8889;top:7248;width:1089;height:20" coordorigin="8889,7248" coordsize="1089,20" path="m8889,7268l9978,7268,9978,7248,8889,7248,8889,7268xe" filled="true" fillcolor="#ffffff" stroked="false">
                <v:path arrowok="t"/>
                <v:fill type="solid"/>
              </v:shape>
            </v:group>
            <v:group style="position:absolute;left:9978;top:7248;width:1078;height:20" coordorigin="9978,7248" coordsize="1078,20">
              <v:shape style="position:absolute;left:9978;top:7248;width:1078;height:20" coordorigin="9978,7248" coordsize="1078,20" path="m9978,7268l11055,7268,11055,7248,9978,7248,9978,7268xe" filled="true" fillcolor="#ffffff" stroked="false">
                <v:path arrowok="t"/>
                <v:fill type="solid"/>
              </v:shape>
            </v:group>
            <v:group style="position:absolute;left:1757;top:8433;width:1078;height:20" coordorigin="1757,8433" coordsize="1078,20">
              <v:shape style="position:absolute;left:1757;top:8433;width:1078;height:20" coordorigin="1757,8433" coordsize="1078,20" path="m1757,8453l2835,8453,2835,8433,1757,8433,1757,8453xe" filled="true" fillcolor="#ffffff" stroked="false">
                <v:path arrowok="t"/>
                <v:fill type="solid"/>
              </v:shape>
            </v:group>
            <v:group style="position:absolute;left:2835;top:8443;width:114;height:2" coordorigin="2835,8443" coordsize="114,2">
              <v:shape style="position:absolute;left:2835;top:8443;width:114;height:2" coordorigin="2835,8443" coordsize="114,0" path="m2835,8443l2948,8443e" filled="false" stroked="true" strokeweight="1pt" strokecolor="#ffffff">
                <v:path arrowok="t"/>
              </v:shape>
            </v:group>
            <v:group style="position:absolute;left:2948;top:8433;width:3481;height:20" coordorigin="2948,8433" coordsize="3481,20">
              <v:shape style="position:absolute;left:2948;top:8433;width:3481;height:20" coordorigin="2948,8433" coordsize="3481,20" path="m2948,8453l6429,8453,6429,8433,2948,8433,2948,8453xe" filled="true" fillcolor="#ffffff" stroked="false">
                <v:path arrowok="t"/>
                <v:fill type="solid"/>
              </v:shape>
            </v:group>
            <v:group style="position:absolute;left:6429;top:8433;width:2461;height:20" coordorigin="6429,8433" coordsize="2461,20">
              <v:shape style="position:absolute;left:6429;top:8433;width:2461;height:20" coordorigin="6429,8433" coordsize="2461,20" path="m6429,8453l8889,8453,8889,8433,6429,8433,6429,8453xe" filled="true" fillcolor="#ffffff" stroked="false">
                <v:path arrowok="t"/>
                <v:fill type="solid"/>
              </v:shape>
            </v:group>
            <v:group style="position:absolute;left:8889;top:8433;width:1089;height:20" coordorigin="8889,8433" coordsize="1089,20">
              <v:shape style="position:absolute;left:8889;top:8433;width:1089;height:20" coordorigin="8889,8433" coordsize="1089,20" path="m8889,8453l9978,8453,9978,8433,8889,8433,8889,8453xe" filled="true" fillcolor="#ffffff" stroked="false">
                <v:path arrowok="t"/>
                <v:fill type="solid"/>
              </v:shape>
            </v:group>
            <v:group style="position:absolute;left:9978;top:8433;width:1078;height:20" coordorigin="9978,8433" coordsize="1078,20">
              <v:shape style="position:absolute;left:9978;top:8433;width:1078;height:20" coordorigin="9978,8433" coordsize="1078,20" path="m9978,8453l11055,8453,11055,8433,9978,8433,9978,8453xe" filled="true" fillcolor="#ffffff" stroked="false">
                <v:path arrowok="t"/>
                <v:fill type="solid"/>
              </v:shape>
            </v:group>
            <v:group style="position:absolute;left:1757;top:364;width:1078;height:2" coordorigin="1757,364" coordsize="1078,2">
              <v:shape style="position:absolute;left:1757;top:364;width:1078;height:2" coordorigin="1757,364" coordsize="1078,0" path="m1757,364l2835,364e" filled="false" stroked="true" strokeweight="2pt" strokecolor="#9c8758">
                <v:path arrowok="t"/>
              </v:shape>
            </v:group>
            <v:group style="position:absolute;left:2948;top:364;width:3481;height:2" coordorigin="2948,364" coordsize="3481,2">
              <v:shape style="position:absolute;left:2948;top:364;width:3481;height:2" coordorigin="2948,364" coordsize="3481,0" path="m2948,364l6429,364e" filled="false" stroked="true" strokeweight="2pt" strokecolor="#9c8758">
                <v:path arrowok="t"/>
              </v:shape>
            </v:group>
            <v:group style="position:absolute;left:6429;top:364;width:2461;height:2" coordorigin="6429,364" coordsize="2461,2">
              <v:shape style="position:absolute;left:6429;top:364;width:2461;height:2" coordorigin="6429,364" coordsize="2461,0" path="m6429,364l8889,364e" filled="false" stroked="true" strokeweight="2pt" strokecolor="#9c8758">
                <v:path arrowok="t"/>
              </v:shape>
            </v:group>
            <v:group style="position:absolute;left:8889;top:364;width:1089;height:2" coordorigin="8889,364" coordsize="1089,2">
              <v:shape style="position:absolute;left:8889;top:364;width:1089;height:2" coordorigin="8889,364" coordsize="1089,0" path="m8889,364l9978,364e" filled="false" stroked="true" strokeweight="2pt" strokecolor="#9c8758">
                <v:path arrowok="t"/>
              </v:shape>
            </v:group>
            <v:group style="position:absolute;left:9978;top:364;width:1078;height:2" coordorigin="9978,364" coordsize="1078,2">
              <v:shape style="position:absolute;left:9978;top:364;width:1078;height:2" coordorigin="9978,364" coordsize="1078,0" path="m9978,364l11055,364e" filled="false" stroked="true" strokeweight="2pt" strokecolor="#9c8758">
                <v:path arrowok="t"/>
              </v:shape>
              <v:shape style="position:absolute;left:2738;top:2601;width:177;height:184" type="#_x0000_t75" stroked="false">
                <v:imagedata r:id="rId201" o:title=""/>
              </v:shape>
              <v:shape style="position:absolute;left:2738;top:4375;width:177;height:184" type="#_x0000_t75" stroked="false">
                <v:imagedata r:id="rId202" o:title=""/>
              </v:shape>
              <v:shape style="position:absolute;left:2738;top:7357;width:177;height:184" type="#_x0000_t75" stroked="false">
                <v:imagedata r:id="rId203" o:title=""/>
              </v:shape>
              <v:shape style="position:absolute;left:2738;top:540;width:177;height:184" type="#_x0000_t75" stroked="false">
                <v:imagedata r:id="rId203" o:title=""/>
              </v:shape>
              <v:shape style="position:absolute;left:2738;top:8548;width:177;height:184" type="#_x0000_t75" stroked="false">
                <v:imagedata r:id="rId201" o:title=""/>
              </v:shape>
            </v:group>
            <w10:wrap type="none"/>
          </v:group>
        </w:pict>
      </w:r>
      <w:r>
        <w:rPr>
          <w:rFonts w:ascii="宋体" w:hAnsi="宋体" w:cs="宋体" w:eastAsia="宋体" w:hint="default"/>
          <w:sz w:val="16"/>
          <w:szCs w:val="16"/>
        </w:rPr>
        <w:t>任职人员姓名</w:t>
        <w:tab/>
        <w:t>其他单位名称</w:t>
        <w:tab/>
        <w:t>在其他单位担任的职务</w:t>
        <w:tab/>
        <w:t>任期起始日期</w:t>
      </w:r>
      <w:r>
        <w:rPr>
          <w:rFonts w:ascii="宋体" w:hAnsi="宋体" w:cs="宋体" w:eastAsia="宋体" w:hint="default"/>
          <w:spacing w:val="52"/>
          <w:sz w:val="16"/>
          <w:szCs w:val="16"/>
        </w:rPr>
        <w:t> </w:t>
      </w:r>
      <w:r>
        <w:rPr>
          <w:rFonts w:ascii="宋体" w:hAnsi="宋体" w:cs="宋体" w:eastAsia="宋体" w:hint="default"/>
          <w:sz w:val="16"/>
          <w:szCs w:val="16"/>
        </w:rPr>
        <w:t>任期终止日期</w:t>
      </w:r>
    </w:p>
    <w:p>
      <w:pPr>
        <w:spacing w:line="240" w:lineRule="auto" w:before="8"/>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160"/>
          <w:pgMar w:header="0" w:footer="298" w:top="2060" w:bottom="480" w:left="0" w:right="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1"/>
        <w:rPr>
          <w:rFonts w:ascii="宋体" w:hAnsi="宋体" w:cs="宋体" w:eastAsia="宋体" w:hint="default"/>
          <w:sz w:val="22"/>
          <w:szCs w:val="22"/>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李福申</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p>
      <w:pPr>
        <w:spacing w:line="184" w:lineRule="exact"/>
        <w:ind w:left="328" w:right="0" w:firstLine="0"/>
        <w:rPr>
          <w:rFonts w:ascii="宋体" w:hAnsi="宋体" w:cs="宋体" w:eastAsia="宋体" w:hint="default"/>
          <w:sz w:val="18"/>
          <w:szCs w:val="18"/>
        </w:rPr>
      </w:pPr>
      <w:r>
        <w:rPr>
          <w:rFonts w:ascii="宋体" w:hAnsi="宋体" w:cs="宋体" w:eastAsia="宋体" w:hint="default"/>
          <w:position w:val="-3"/>
          <w:sz w:val="18"/>
          <w:szCs w:val="18"/>
        </w:rPr>
        <w:pict>
          <v:group style="width:9.25pt;height:9.25pt;mso-position-horizontal-relative:char;mso-position-vertical-relative:line" coordorigin="0,0" coordsize="185,185">
            <v:group style="position:absolute;left:0;top:0;width:185;height:185" coordorigin="0,0" coordsize="185,185">
              <v:shape style="position:absolute;left:0;top:0;width:185;height:185" coordorigin="0,0" coordsize="185,185" path="m92,0l0,92,92,184,184,92,92,0xe" filled="true" fillcolor="#ece7dd" stroked="false">
                <v:path arrowok="t"/>
                <v:fill type="solid"/>
              </v:shape>
            </v:group>
          </v:group>
        </w:pict>
      </w:r>
      <w:r>
        <w:rPr>
          <w:rFonts w:ascii="宋体" w:hAnsi="宋体" w:cs="宋体" w:eastAsia="宋体" w:hint="default"/>
          <w:position w:val="-3"/>
          <w:sz w:val="18"/>
          <w:szCs w:val="18"/>
        </w:rPr>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2"/>
        <w:rPr>
          <w:rFonts w:ascii="宋体" w:hAnsi="宋体" w:cs="宋体" w:eastAsia="宋体" w:hint="default"/>
          <w:sz w:val="18"/>
          <w:szCs w:val="18"/>
        </w:rPr>
      </w:pPr>
    </w:p>
    <w:p>
      <w:pPr>
        <w:spacing w:before="0"/>
        <w:ind w:left="2136" w:right="-20" w:hanging="80"/>
        <w:jc w:val="left"/>
        <w:rPr>
          <w:rFonts w:ascii="宋体" w:hAnsi="宋体" w:cs="宋体" w:eastAsia="宋体" w:hint="default"/>
          <w:sz w:val="16"/>
          <w:szCs w:val="16"/>
        </w:rPr>
      </w:pPr>
      <w:r>
        <w:rPr>
          <w:rFonts w:ascii="宋体" w:hAnsi="宋体" w:cs="宋体" w:eastAsia="宋体" w:hint="default"/>
          <w:sz w:val="16"/>
          <w:szCs w:val="16"/>
        </w:rPr>
        <w:t>尹兆君</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3"/>
        <w:rPr>
          <w:rFonts w:ascii="宋体" w:hAnsi="宋体" w:cs="宋体" w:eastAsia="宋体" w:hint="default"/>
          <w:sz w:val="20"/>
          <w:szCs w:val="20"/>
        </w:rPr>
      </w:pPr>
    </w:p>
    <w:p>
      <w:pPr>
        <w:spacing w:before="0"/>
        <w:ind w:left="0" w:right="78" w:firstLine="0"/>
        <w:jc w:val="right"/>
        <w:rPr>
          <w:rFonts w:ascii="宋体" w:hAnsi="宋体" w:cs="宋体" w:eastAsia="宋体" w:hint="default"/>
          <w:sz w:val="16"/>
          <w:szCs w:val="16"/>
        </w:rPr>
      </w:pPr>
      <w:r>
        <w:rPr>
          <w:rFonts w:ascii="宋体" w:hAnsi="宋体" w:cs="宋体" w:eastAsia="宋体" w:hint="default"/>
          <w:sz w:val="16"/>
          <w:szCs w:val="16"/>
        </w:rPr>
        <w:t>卢山</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4"/>
        <w:rPr>
          <w:rFonts w:ascii="宋体" w:hAnsi="宋体" w:cs="宋体" w:eastAsia="宋体" w:hint="default"/>
          <w:sz w:val="14"/>
          <w:szCs w:val="14"/>
        </w:rPr>
      </w:pPr>
    </w:p>
    <w:p>
      <w:pPr>
        <w:spacing w:before="0"/>
        <w:ind w:left="2056" w:right="-20" w:firstLine="80"/>
        <w:jc w:val="left"/>
        <w:rPr>
          <w:rFonts w:ascii="宋体" w:hAnsi="宋体" w:cs="宋体" w:eastAsia="宋体" w:hint="default"/>
          <w:sz w:val="16"/>
          <w:szCs w:val="16"/>
        </w:rPr>
      </w:pPr>
      <w:r>
        <w:rPr>
          <w:rFonts w:ascii="宋体" w:hAnsi="宋体" w:cs="宋体" w:eastAsia="宋体" w:hint="default"/>
          <w:sz w:val="16"/>
          <w:szCs w:val="16"/>
        </w:rPr>
        <w:t>王路</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6"/>
        <w:rPr>
          <w:rFonts w:ascii="宋体" w:hAnsi="宋体" w:cs="宋体" w:eastAsia="宋体" w:hint="default"/>
          <w:sz w:val="12"/>
          <w:szCs w:val="12"/>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廖建文</w:t>
      </w:r>
    </w:p>
    <w:p>
      <w:pPr>
        <w:tabs>
          <w:tab w:pos="3909" w:val="left" w:leader="none"/>
          <w:tab w:pos="6369" w:val="left" w:leader="none"/>
          <w:tab w:pos="8102" w:val="left" w:leader="none"/>
        </w:tabs>
        <w:spacing w:before="38"/>
        <w:ind w:left="428" w:right="0" w:firstLine="0"/>
        <w:jc w:val="both"/>
        <w:rPr>
          <w:rFonts w:ascii="宋体" w:hAnsi="宋体" w:cs="宋体" w:eastAsia="宋体" w:hint="default"/>
          <w:sz w:val="16"/>
          <w:szCs w:val="16"/>
        </w:rPr>
      </w:pPr>
      <w:r>
        <w:rPr/>
        <w:br w:type="column"/>
      </w:r>
      <w:r>
        <w:rPr>
          <w:rFonts w:ascii="宋体" w:hAnsi="宋体" w:cs="宋体" w:eastAsia="宋体" w:hint="default"/>
          <w:sz w:val="16"/>
          <w:szCs w:val="16"/>
        </w:rPr>
        <w:t>联通红筹公司</w:t>
        <w:tab/>
        <w:t>执行董事</w:t>
        <w:tab/>
        <w:t>2011</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联通红筹公司</w:t>
        <w:tab/>
        <w:t>首席财务官</w:t>
        <w:tab/>
        <w:t>2011</w:t>
      </w:r>
      <w:r>
        <w:rPr>
          <w:rFonts w:ascii="宋体" w:hAnsi="宋体" w:cs="宋体" w:eastAsia="宋体" w:hint="default"/>
          <w:spacing w:val="-35"/>
          <w:sz w:val="16"/>
          <w:szCs w:val="16"/>
        </w:rPr>
        <w:t> </w:t>
      </w:r>
      <w:r>
        <w:rPr>
          <w:rFonts w:ascii="宋体" w:hAnsi="宋体" w:cs="宋体" w:eastAsia="宋体" w:hint="default"/>
          <w:sz w:val="16"/>
          <w:szCs w:val="16"/>
        </w:rPr>
        <w:t>年</w:t>
      </w:r>
      <w:r>
        <w:rPr>
          <w:rFonts w:ascii="宋体" w:hAnsi="宋体" w:cs="宋体" w:eastAsia="宋体" w:hint="default"/>
          <w:spacing w:val="-34"/>
          <w:sz w:val="16"/>
          <w:szCs w:val="16"/>
        </w:rPr>
        <w:t> </w:t>
      </w:r>
      <w:r>
        <w:rPr>
          <w:rFonts w:ascii="宋体" w:hAnsi="宋体" w:cs="宋体" w:eastAsia="宋体" w:hint="default"/>
          <w:sz w:val="16"/>
          <w:szCs w:val="16"/>
        </w:rPr>
        <w:t>3</w:t>
      </w:r>
      <w:r>
        <w:rPr>
          <w:rFonts w:ascii="宋体" w:hAnsi="宋体" w:cs="宋体" w:eastAsia="宋体" w:hint="default"/>
          <w:spacing w:val="-35"/>
          <w:sz w:val="16"/>
          <w:szCs w:val="16"/>
        </w:rPr>
        <w:t> </w:t>
      </w:r>
      <w:r>
        <w:rPr>
          <w:rFonts w:ascii="宋体" w:hAnsi="宋体" w:cs="宋体" w:eastAsia="宋体" w:hint="default"/>
          <w:sz w:val="16"/>
          <w:szCs w:val="16"/>
        </w:rPr>
        <w:t>月   </w:t>
      </w:r>
      <w:r>
        <w:rPr>
          <w:rFonts w:ascii="宋体" w:hAnsi="宋体" w:cs="宋体" w:eastAsia="宋体" w:hint="default"/>
          <w:spacing w:val="12"/>
          <w:sz w:val="16"/>
          <w:szCs w:val="16"/>
        </w:rPr>
        <w:t> </w:t>
      </w:r>
      <w:r>
        <w:rPr>
          <w:rFonts w:ascii="宋体" w:hAnsi="宋体" w:cs="宋体" w:eastAsia="宋体" w:hint="default"/>
          <w:sz w:val="16"/>
          <w:szCs w:val="16"/>
        </w:rPr>
        <w:t>2018</w:t>
      </w:r>
      <w:r>
        <w:rPr>
          <w:rFonts w:ascii="宋体" w:hAnsi="宋体" w:cs="宋体" w:eastAsia="宋体" w:hint="default"/>
          <w:spacing w:val="-35"/>
          <w:sz w:val="16"/>
          <w:szCs w:val="16"/>
        </w:rPr>
        <w:t> </w:t>
      </w:r>
      <w:r>
        <w:rPr>
          <w:rFonts w:ascii="宋体" w:hAnsi="宋体" w:cs="宋体" w:eastAsia="宋体" w:hint="default"/>
          <w:sz w:val="16"/>
          <w:szCs w:val="16"/>
        </w:rPr>
        <w:t>年</w:t>
      </w:r>
      <w:r>
        <w:rPr>
          <w:rFonts w:ascii="宋体" w:hAnsi="宋体" w:cs="宋体" w:eastAsia="宋体" w:hint="default"/>
          <w:spacing w:val="-34"/>
          <w:sz w:val="16"/>
          <w:szCs w:val="16"/>
        </w:rPr>
        <w:t> </w:t>
      </w:r>
      <w:r>
        <w:rPr>
          <w:rFonts w:ascii="宋体" w:hAnsi="宋体" w:cs="宋体" w:eastAsia="宋体" w:hint="default"/>
          <w:sz w:val="16"/>
          <w:szCs w:val="16"/>
        </w:rPr>
        <w:t>8</w:t>
      </w:r>
      <w:r>
        <w:rPr>
          <w:rFonts w:ascii="宋体" w:hAnsi="宋体" w:cs="宋体" w:eastAsia="宋体" w:hint="default"/>
          <w:spacing w:val="-35"/>
          <w:sz w:val="16"/>
          <w:szCs w:val="16"/>
        </w:rPr>
        <w:t> </w:t>
      </w:r>
      <w:r>
        <w:rPr>
          <w:rFonts w:ascii="宋体" w:hAnsi="宋体" w:cs="宋体" w:eastAsia="宋体" w:hint="default"/>
          <w:sz w:val="16"/>
          <w:szCs w:val="16"/>
        </w:rPr>
        <w:t>月</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联通运营公司</w:t>
        <w:tab/>
        <w:t>董事</w:t>
        <w:tab/>
        <w:t>2008 年 11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联通运营公司</w:t>
        <w:tab/>
        <w:t>高级副总裁</w:t>
        <w:tab/>
        <w:t>2009</w:t>
      </w:r>
      <w:r>
        <w:rPr>
          <w:rFonts w:ascii="宋体" w:hAnsi="宋体" w:cs="宋体" w:eastAsia="宋体" w:hint="default"/>
          <w:spacing w:val="-35"/>
          <w:sz w:val="16"/>
          <w:szCs w:val="16"/>
        </w:rPr>
        <w:t> </w:t>
      </w:r>
      <w:r>
        <w:rPr>
          <w:rFonts w:ascii="宋体" w:hAnsi="宋体" w:cs="宋体" w:eastAsia="宋体" w:hint="default"/>
          <w:sz w:val="16"/>
          <w:szCs w:val="16"/>
        </w:rPr>
        <w:t>年</w:t>
      </w:r>
      <w:r>
        <w:rPr>
          <w:rFonts w:ascii="宋体" w:hAnsi="宋体" w:cs="宋体" w:eastAsia="宋体" w:hint="default"/>
          <w:spacing w:val="-34"/>
          <w:sz w:val="16"/>
          <w:szCs w:val="16"/>
        </w:rPr>
        <w:t> </w:t>
      </w:r>
      <w:r>
        <w:rPr>
          <w:rFonts w:ascii="宋体" w:hAnsi="宋体" w:cs="宋体" w:eastAsia="宋体" w:hint="default"/>
          <w:sz w:val="16"/>
          <w:szCs w:val="16"/>
        </w:rPr>
        <w:t>2</w:t>
      </w:r>
      <w:r>
        <w:rPr>
          <w:rFonts w:ascii="宋体" w:hAnsi="宋体" w:cs="宋体" w:eastAsia="宋体" w:hint="default"/>
          <w:spacing w:val="-35"/>
          <w:sz w:val="16"/>
          <w:szCs w:val="16"/>
        </w:rPr>
        <w:t> </w:t>
      </w:r>
      <w:r>
        <w:rPr>
          <w:rFonts w:ascii="宋体" w:hAnsi="宋体" w:cs="宋体" w:eastAsia="宋体" w:hint="default"/>
          <w:sz w:val="16"/>
          <w:szCs w:val="16"/>
        </w:rPr>
        <w:t>月   </w:t>
      </w:r>
      <w:r>
        <w:rPr>
          <w:rFonts w:ascii="宋体" w:hAnsi="宋体" w:cs="宋体" w:eastAsia="宋体" w:hint="default"/>
          <w:spacing w:val="12"/>
          <w:sz w:val="16"/>
          <w:szCs w:val="16"/>
        </w:rPr>
        <w:t> </w:t>
      </w:r>
      <w:r>
        <w:rPr>
          <w:rFonts w:ascii="宋体" w:hAnsi="宋体" w:cs="宋体" w:eastAsia="宋体" w:hint="default"/>
          <w:sz w:val="16"/>
          <w:szCs w:val="16"/>
        </w:rPr>
        <w:t>2018</w:t>
      </w:r>
      <w:r>
        <w:rPr>
          <w:rFonts w:ascii="宋体" w:hAnsi="宋体" w:cs="宋体" w:eastAsia="宋体" w:hint="default"/>
          <w:spacing w:val="-35"/>
          <w:sz w:val="16"/>
          <w:szCs w:val="16"/>
        </w:rPr>
        <w:t> </w:t>
      </w:r>
      <w:r>
        <w:rPr>
          <w:rFonts w:ascii="宋体" w:hAnsi="宋体" w:cs="宋体" w:eastAsia="宋体" w:hint="default"/>
          <w:sz w:val="16"/>
          <w:szCs w:val="16"/>
        </w:rPr>
        <w:t>年</w:t>
      </w:r>
      <w:r>
        <w:rPr>
          <w:rFonts w:ascii="宋体" w:hAnsi="宋体" w:cs="宋体" w:eastAsia="宋体" w:hint="default"/>
          <w:spacing w:val="-34"/>
          <w:sz w:val="16"/>
          <w:szCs w:val="16"/>
        </w:rPr>
        <w:t> </w:t>
      </w:r>
      <w:r>
        <w:rPr>
          <w:rFonts w:ascii="宋体" w:hAnsi="宋体" w:cs="宋体" w:eastAsia="宋体" w:hint="default"/>
          <w:sz w:val="16"/>
          <w:szCs w:val="16"/>
        </w:rPr>
        <w:t>8</w:t>
      </w:r>
      <w:r>
        <w:rPr>
          <w:rFonts w:ascii="宋体" w:hAnsi="宋体" w:cs="宋体" w:eastAsia="宋体" w:hint="default"/>
          <w:spacing w:val="-35"/>
          <w:sz w:val="16"/>
          <w:szCs w:val="16"/>
        </w:rPr>
        <w:t> </w:t>
      </w:r>
      <w:r>
        <w:rPr>
          <w:rFonts w:ascii="宋体" w:hAnsi="宋体" w:cs="宋体" w:eastAsia="宋体" w:hint="default"/>
          <w:sz w:val="16"/>
          <w:szCs w:val="16"/>
        </w:rPr>
        <w:t>月</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香港电讯盈科有限公司</w:t>
        <w:tab/>
        <w:t>非执行董事</w:t>
        <w:tab/>
        <w:t>2007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7</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香港电讯盈科有限公司</w:t>
        <w:tab/>
        <w:t>董事会副主席</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香港电讯管理有限公司</w:t>
        <w:tab/>
        <w:t>非执行董事</w:t>
        <w:tab/>
        <w:t>2011 年 11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中国人寿保险（集团）公司</w:t>
        <w:tab/>
        <w:t>副总裁</w:t>
        <w:tab/>
        <w:t>2016 年 10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中国人寿保险股份有限公司</w:t>
        <w:tab/>
        <w:t>非执行董事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7</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国寿投资控股有限公司</w:t>
        <w:tab/>
        <w:t>董事长</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1</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中保大厦有限公司</w:t>
        <w:tab/>
        <w:t>董事长</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中国保险行业协会第二届统计专业委员会      </w:t>
      </w:r>
      <w:r>
        <w:rPr>
          <w:rFonts w:ascii="宋体" w:hAnsi="宋体" w:cs="宋体" w:eastAsia="宋体" w:hint="default"/>
          <w:spacing w:val="40"/>
          <w:sz w:val="16"/>
          <w:szCs w:val="16"/>
        </w:rPr>
        <w:t> </w:t>
      </w:r>
      <w:r>
        <w:rPr>
          <w:rFonts w:ascii="宋体" w:hAnsi="宋体" w:cs="宋体" w:eastAsia="宋体" w:hint="default"/>
          <w:sz w:val="16"/>
          <w:szCs w:val="16"/>
        </w:rPr>
        <w:t>主任委员</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中国金融会计学会</w:t>
        <w:tab/>
        <w:t>副会长</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line="338" w:lineRule="auto" w:before="86"/>
        <w:ind w:left="428" w:right="905" w:firstLine="0"/>
        <w:jc w:val="both"/>
        <w:rPr>
          <w:rFonts w:ascii="宋体" w:hAnsi="宋体" w:cs="宋体" w:eastAsia="宋体" w:hint="default"/>
          <w:sz w:val="16"/>
          <w:szCs w:val="16"/>
        </w:rPr>
      </w:pPr>
      <w:r>
        <w:rPr>
          <w:rFonts w:ascii="宋体" w:hAnsi="宋体" w:cs="宋体" w:eastAsia="宋体" w:hint="default"/>
          <w:sz w:val="16"/>
          <w:szCs w:val="16"/>
        </w:rPr>
        <w:t>腾讯控股有限公司</w:t>
        <w:tab/>
        <w:t>高级执行副总裁</w:t>
        <w:tab/>
        <w:t>2012</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上海腾讯信息技术有限公司</w:t>
        <w:tab/>
        <w:t>法定代表人、执行董事、总经理  </w:t>
      </w:r>
      <w:r>
        <w:rPr>
          <w:rFonts w:ascii="宋体" w:hAnsi="宋体" w:cs="宋体" w:eastAsia="宋体" w:hint="default"/>
          <w:spacing w:val="8"/>
          <w:sz w:val="16"/>
          <w:szCs w:val="16"/>
        </w:rPr>
        <w:t> </w:t>
      </w:r>
      <w:r>
        <w:rPr>
          <w:rFonts w:ascii="宋体" w:hAnsi="宋体" w:cs="宋体" w:eastAsia="宋体" w:hint="default"/>
          <w:sz w:val="16"/>
          <w:szCs w:val="16"/>
        </w:rPr>
        <w:t>2012</w:t>
      </w:r>
      <w:r>
        <w:rPr>
          <w:rFonts w:ascii="宋体" w:hAnsi="宋体" w:cs="宋体" w:eastAsia="宋体" w:hint="default"/>
          <w:spacing w:val="-36"/>
          <w:sz w:val="16"/>
          <w:szCs w:val="16"/>
        </w:rPr>
        <w:t> </w:t>
      </w:r>
      <w:r>
        <w:rPr>
          <w:rFonts w:ascii="宋体" w:hAnsi="宋体" w:cs="宋体" w:eastAsia="宋体" w:hint="default"/>
          <w:sz w:val="16"/>
          <w:szCs w:val="16"/>
        </w:rPr>
        <w:t>年</w:t>
      </w:r>
      <w:r>
        <w:rPr>
          <w:rFonts w:ascii="宋体" w:hAnsi="宋体" w:cs="宋体" w:eastAsia="宋体" w:hint="default"/>
          <w:spacing w:val="-35"/>
          <w:sz w:val="16"/>
          <w:szCs w:val="16"/>
        </w:rPr>
        <w:t> </w:t>
      </w:r>
      <w:r>
        <w:rPr>
          <w:rFonts w:ascii="宋体" w:hAnsi="宋体" w:cs="宋体" w:eastAsia="宋体" w:hint="default"/>
          <w:sz w:val="16"/>
          <w:szCs w:val="16"/>
        </w:rPr>
        <w:t>9</w:t>
      </w:r>
      <w:r>
        <w:rPr>
          <w:rFonts w:ascii="宋体" w:hAnsi="宋体" w:cs="宋体" w:eastAsia="宋体" w:hint="default"/>
          <w:spacing w:val="-36"/>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重庆腾讯信息技术有限公司</w:t>
        <w:tab/>
        <w:t>法定代表人、执行董事、总经理   2013 年 10 月       </w:t>
      </w:r>
      <w:r>
        <w:rPr>
          <w:rFonts w:ascii="宋体" w:hAnsi="宋体" w:cs="宋体" w:eastAsia="宋体" w:hint="default"/>
          <w:spacing w:val="29"/>
          <w:sz w:val="16"/>
          <w:szCs w:val="16"/>
        </w:rPr>
        <w:t> </w:t>
      </w:r>
      <w:r>
        <w:rPr>
          <w:rFonts w:ascii="宋体" w:hAnsi="宋体" w:cs="宋体" w:eastAsia="宋体" w:hint="default"/>
          <w:sz w:val="16"/>
          <w:szCs w:val="16"/>
        </w:rPr>
        <w:t>至今</w:t>
      </w:r>
      <w:r>
        <w:rPr>
          <w:rFonts w:ascii="宋体" w:hAnsi="宋体" w:cs="宋体" w:eastAsia="宋体" w:hint="default"/>
          <w:sz w:val="16"/>
          <w:szCs w:val="16"/>
        </w:rPr>
        <w:t> 腾讯数码（广东深汕特别合作区）有限公司     法定代表人、董事长、经理       2012 年 6</w:t>
      </w:r>
      <w:r>
        <w:rPr>
          <w:rFonts w:ascii="宋体" w:hAnsi="宋体" w:cs="宋体" w:eastAsia="宋体" w:hint="default"/>
          <w:spacing w:val="-58"/>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腾讯数码（天津）有限公司</w:t>
        <w:tab/>
        <w:t>法定代表人、董事长、经理      </w:t>
      </w:r>
      <w:r>
        <w:rPr>
          <w:rFonts w:ascii="宋体" w:hAnsi="宋体" w:cs="宋体" w:eastAsia="宋体" w:hint="default"/>
          <w:spacing w:val="16"/>
          <w:sz w:val="16"/>
          <w:szCs w:val="16"/>
        </w:rPr>
        <w:t> </w:t>
      </w:r>
      <w:r>
        <w:rPr>
          <w:rFonts w:ascii="宋体" w:hAnsi="宋体" w:cs="宋体" w:eastAsia="宋体" w:hint="default"/>
          <w:sz w:val="16"/>
          <w:szCs w:val="16"/>
        </w:rPr>
        <w:t>2004</w:t>
      </w:r>
      <w:r>
        <w:rPr>
          <w:rFonts w:ascii="宋体" w:hAnsi="宋体" w:cs="宋体" w:eastAsia="宋体" w:hint="default"/>
          <w:spacing w:val="-39"/>
          <w:sz w:val="16"/>
          <w:szCs w:val="16"/>
        </w:rPr>
        <w:t> </w:t>
      </w:r>
      <w:r>
        <w:rPr>
          <w:rFonts w:ascii="宋体" w:hAnsi="宋体" w:cs="宋体" w:eastAsia="宋体" w:hint="default"/>
          <w:sz w:val="16"/>
          <w:szCs w:val="16"/>
        </w:rPr>
        <w:t>年</w:t>
      </w:r>
      <w:r>
        <w:rPr>
          <w:rFonts w:ascii="宋体" w:hAnsi="宋体" w:cs="宋体" w:eastAsia="宋体" w:hint="default"/>
          <w:spacing w:val="-38"/>
          <w:sz w:val="16"/>
          <w:szCs w:val="16"/>
        </w:rPr>
        <w:t> </w:t>
      </w:r>
      <w:r>
        <w:rPr>
          <w:rFonts w:ascii="宋体" w:hAnsi="宋体" w:cs="宋体" w:eastAsia="宋体" w:hint="default"/>
          <w:sz w:val="16"/>
          <w:szCs w:val="16"/>
        </w:rPr>
        <w:t>2</w:t>
      </w:r>
      <w:r>
        <w:rPr>
          <w:rFonts w:ascii="宋体" w:hAnsi="宋体" w:cs="宋体" w:eastAsia="宋体" w:hint="default"/>
          <w:spacing w:val="-39"/>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南京网典科技有限公司</w:t>
        <w:tab/>
        <w:t>董事</w:t>
        <w:tab/>
        <w:t>2006 年 10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line="338" w:lineRule="auto" w:before="21"/>
        <w:ind w:left="428" w:right="905" w:firstLine="0"/>
        <w:jc w:val="both"/>
        <w:rPr>
          <w:rFonts w:ascii="宋体" w:hAnsi="宋体" w:cs="宋体" w:eastAsia="宋体" w:hint="default"/>
          <w:sz w:val="16"/>
          <w:szCs w:val="16"/>
        </w:rPr>
      </w:pPr>
      <w:r>
        <w:rPr>
          <w:rFonts w:ascii="宋体" w:hAnsi="宋体" w:cs="宋体" w:eastAsia="宋体" w:hint="default"/>
          <w:sz w:val="16"/>
          <w:szCs w:val="16"/>
        </w:rPr>
        <w:t>Futu</w:t>
      </w:r>
      <w:r>
        <w:rPr>
          <w:rFonts w:ascii="宋体" w:hAnsi="宋体" w:cs="宋体" w:eastAsia="宋体" w:hint="default"/>
          <w:spacing w:val="-61"/>
          <w:sz w:val="16"/>
          <w:szCs w:val="16"/>
        </w:rPr>
        <w:t> </w:t>
      </w:r>
      <w:r>
        <w:rPr>
          <w:rFonts w:ascii="宋体" w:hAnsi="宋体" w:cs="宋体" w:eastAsia="宋体" w:hint="default"/>
          <w:sz w:val="16"/>
          <w:szCs w:val="16"/>
        </w:rPr>
        <w:t>Holdings</w:t>
      </w:r>
      <w:r>
        <w:rPr>
          <w:rFonts w:ascii="宋体" w:hAnsi="宋体" w:cs="宋体" w:eastAsia="宋体" w:hint="default"/>
          <w:spacing w:val="-61"/>
          <w:sz w:val="16"/>
          <w:szCs w:val="16"/>
        </w:rPr>
        <w:t> </w:t>
      </w:r>
      <w:r>
        <w:rPr>
          <w:rFonts w:ascii="宋体" w:hAnsi="宋体" w:cs="宋体" w:eastAsia="宋体" w:hint="default"/>
          <w:sz w:val="16"/>
          <w:szCs w:val="16"/>
        </w:rPr>
        <w:t>Limited</w:t>
        <w:tab/>
        <w:t>董事</w:t>
        <w:tab/>
        <w:t>2014 年 10 月       </w:t>
      </w:r>
      <w:r>
        <w:rPr>
          <w:rFonts w:ascii="宋体" w:hAnsi="宋体" w:cs="宋体" w:eastAsia="宋体" w:hint="default"/>
          <w:spacing w:val="49"/>
          <w:sz w:val="16"/>
          <w:szCs w:val="16"/>
        </w:rPr>
        <w:t> </w:t>
      </w:r>
      <w:r>
        <w:rPr>
          <w:rFonts w:ascii="宋体" w:hAnsi="宋体" w:cs="宋体" w:eastAsia="宋体" w:hint="default"/>
          <w:sz w:val="16"/>
          <w:szCs w:val="16"/>
        </w:rPr>
        <w:t>至今</w:t>
      </w:r>
      <w:r>
        <w:rPr>
          <w:rFonts w:ascii="宋体" w:hAnsi="宋体" w:cs="宋体" w:eastAsia="宋体" w:hint="default"/>
          <w:sz w:val="16"/>
          <w:szCs w:val="16"/>
        </w:rPr>
        <w:t> 深圳市世纪凯旋科技有限公司</w:t>
        <w:tab/>
        <w:t>法定代表人、董事、总经理       2018 年 12 月       </w:t>
      </w:r>
      <w:r>
        <w:rPr>
          <w:rFonts w:ascii="宋体" w:hAnsi="宋体" w:cs="宋体" w:eastAsia="宋体" w:hint="default"/>
          <w:spacing w:val="29"/>
          <w:sz w:val="16"/>
          <w:szCs w:val="16"/>
        </w:rPr>
        <w:t> </w:t>
      </w:r>
      <w:r>
        <w:rPr>
          <w:rFonts w:ascii="宋体" w:hAnsi="宋体" w:cs="宋体" w:eastAsia="宋体" w:hint="default"/>
          <w:sz w:val="16"/>
          <w:szCs w:val="16"/>
        </w:rPr>
        <w:t>至今</w:t>
      </w:r>
      <w:r>
        <w:rPr>
          <w:rFonts w:ascii="宋体" w:hAnsi="宋体" w:cs="宋体" w:eastAsia="宋体" w:hint="default"/>
          <w:sz w:val="16"/>
          <w:szCs w:val="16"/>
        </w:rPr>
        <w:t> 深圳市腾讯计算机系统有限公司</w:t>
        <w:tab/>
        <w:t>董事</w:t>
        <w:tab/>
        <w:t>2018 年 12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before="21"/>
        <w:ind w:left="428" w:right="0" w:firstLine="0"/>
        <w:jc w:val="both"/>
        <w:rPr>
          <w:rFonts w:ascii="宋体" w:hAnsi="宋体" w:cs="宋体" w:eastAsia="宋体" w:hint="default"/>
          <w:sz w:val="16"/>
          <w:szCs w:val="16"/>
        </w:rPr>
      </w:pPr>
      <w:r>
        <w:rPr>
          <w:rFonts w:ascii="宋体" w:hAnsi="宋体" w:cs="宋体" w:eastAsia="宋体" w:hint="default"/>
          <w:sz w:val="16"/>
          <w:szCs w:val="16"/>
        </w:rPr>
        <w:t>腾讯科技（深圳）有限公司</w:t>
        <w:tab/>
        <w:t>董事</w:t>
        <w:tab/>
        <w:t>2018 年 12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w w:val="85"/>
          <w:sz w:val="16"/>
          <w:szCs w:val="16"/>
        </w:rPr>
        <w:t>Baidu.Inc.</w:t>
        <w:tab/>
      </w:r>
      <w:r>
        <w:rPr>
          <w:rFonts w:ascii="宋体" w:hAnsi="宋体" w:cs="宋体" w:eastAsia="宋体" w:hint="default"/>
          <w:sz w:val="16"/>
          <w:szCs w:val="16"/>
        </w:rPr>
        <w:t>副总裁</w:t>
        <w:tab/>
      </w:r>
      <w:r>
        <w:rPr>
          <w:rFonts w:ascii="宋体" w:hAnsi="宋体" w:cs="宋体" w:eastAsia="宋体" w:hint="default"/>
          <w:w w:val="105"/>
          <w:sz w:val="16"/>
          <w:szCs w:val="16"/>
        </w:rPr>
        <w:t>2016</w:t>
      </w:r>
      <w:r>
        <w:rPr>
          <w:rFonts w:ascii="宋体" w:hAnsi="宋体" w:cs="宋体" w:eastAsia="宋体" w:hint="default"/>
          <w:spacing w:val="-43"/>
          <w:w w:val="105"/>
          <w:sz w:val="16"/>
          <w:szCs w:val="16"/>
        </w:rPr>
        <w:t> </w:t>
      </w:r>
      <w:r>
        <w:rPr>
          <w:rFonts w:ascii="宋体" w:hAnsi="宋体" w:cs="宋体" w:eastAsia="宋体" w:hint="default"/>
          <w:w w:val="105"/>
          <w:sz w:val="16"/>
          <w:szCs w:val="16"/>
        </w:rPr>
        <w:t>年</w:t>
      </w:r>
      <w:r>
        <w:rPr>
          <w:rFonts w:ascii="宋体" w:hAnsi="宋体" w:cs="宋体" w:eastAsia="宋体" w:hint="default"/>
          <w:spacing w:val="-42"/>
          <w:w w:val="105"/>
          <w:sz w:val="16"/>
          <w:szCs w:val="16"/>
        </w:rPr>
        <w:t> </w:t>
      </w:r>
      <w:r>
        <w:rPr>
          <w:rFonts w:ascii="宋体" w:hAnsi="宋体" w:cs="宋体" w:eastAsia="宋体" w:hint="default"/>
          <w:w w:val="105"/>
          <w:sz w:val="16"/>
          <w:szCs w:val="16"/>
        </w:rPr>
        <w:t>9</w:t>
      </w:r>
      <w:r>
        <w:rPr>
          <w:rFonts w:ascii="宋体" w:hAnsi="宋体" w:cs="宋体" w:eastAsia="宋体" w:hint="default"/>
          <w:spacing w:val="-43"/>
          <w:w w:val="105"/>
          <w:sz w:val="16"/>
          <w:szCs w:val="16"/>
        </w:rPr>
        <w:t> </w:t>
      </w:r>
      <w:r>
        <w:rPr>
          <w:rFonts w:ascii="宋体" w:hAnsi="宋体" w:cs="宋体" w:eastAsia="宋体" w:hint="default"/>
          <w:w w:val="105"/>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中信百信银行股份有限公司</w:t>
        <w:tab/>
        <w:t>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w w:val="80"/>
          <w:sz w:val="16"/>
          <w:szCs w:val="16"/>
        </w:rPr>
        <w:t>iQIYI,</w:t>
      </w:r>
      <w:r>
        <w:rPr>
          <w:rFonts w:ascii="宋体" w:hAnsi="宋体" w:cs="宋体" w:eastAsia="宋体" w:hint="default"/>
          <w:spacing w:val="-13"/>
          <w:w w:val="80"/>
          <w:sz w:val="16"/>
          <w:szCs w:val="16"/>
        </w:rPr>
        <w:t> </w:t>
      </w:r>
      <w:r>
        <w:rPr>
          <w:rFonts w:ascii="宋体" w:hAnsi="宋体" w:cs="宋体" w:eastAsia="宋体" w:hint="default"/>
          <w:w w:val="80"/>
          <w:sz w:val="16"/>
          <w:szCs w:val="16"/>
        </w:rPr>
        <w:t>Inc.</w:t>
        <w:tab/>
      </w:r>
      <w:r>
        <w:rPr>
          <w:rFonts w:ascii="宋体" w:hAnsi="宋体" w:cs="宋体" w:eastAsia="宋体" w:hint="default"/>
          <w:sz w:val="16"/>
          <w:szCs w:val="16"/>
        </w:rPr>
        <w:t>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北京百度公益基金会</w:t>
        <w:tab/>
        <w:t>法定代表人</w:t>
        <w:tab/>
        <w:t>2018 年 12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京东集团</w:t>
        <w:tab/>
        <w:t>首席战略官</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4</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361</w:t>
      </w:r>
      <w:r>
        <w:rPr>
          <w:rFonts w:ascii="宋体" w:hAnsi="宋体" w:cs="宋体" w:eastAsia="宋体" w:hint="default"/>
          <w:spacing w:val="-15"/>
          <w:sz w:val="16"/>
          <w:szCs w:val="16"/>
        </w:rPr>
        <w:t> </w:t>
      </w:r>
      <w:r>
        <w:rPr>
          <w:rFonts w:ascii="宋体" w:hAnsi="宋体" w:cs="宋体" w:eastAsia="宋体" w:hint="default"/>
          <w:sz w:val="16"/>
          <w:szCs w:val="16"/>
        </w:rPr>
        <w:t>度国际有限公司</w:t>
        <w:tab/>
        <w:t>独立非执行董事</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line="338" w:lineRule="auto" w:before="86"/>
        <w:ind w:left="428" w:right="905" w:firstLine="0"/>
        <w:jc w:val="both"/>
        <w:rPr>
          <w:rFonts w:ascii="宋体" w:hAnsi="宋体" w:cs="宋体" w:eastAsia="宋体" w:hint="default"/>
          <w:sz w:val="16"/>
          <w:szCs w:val="16"/>
        </w:rPr>
      </w:pPr>
      <w:r>
        <w:rPr>
          <w:rFonts w:ascii="宋体" w:hAnsi="宋体" w:cs="宋体" w:eastAsia="宋体" w:hint="default"/>
          <w:sz w:val="16"/>
          <w:szCs w:val="16"/>
        </w:rPr>
        <w:t>彩生活服务集团有限公司</w:t>
        <w:tab/>
        <w:t>独立非执行董事</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湖南绝味食品股份有限公司</w:t>
        <w:tab/>
        <w:t>独立董事</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花样年控股集团有限公司</w:t>
        <w:tab/>
        <w:t>独立非执行董事</w:t>
        <w:tab/>
        <w:t>2015</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赫基（中国）服饰有限公司</w:t>
        <w:tab/>
        <w:t>独立董事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21"/>
        <w:ind w:left="428" w:right="0" w:firstLine="0"/>
        <w:jc w:val="both"/>
        <w:rPr>
          <w:rFonts w:ascii="宋体" w:hAnsi="宋体" w:cs="宋体" w:eastAsia="宋体" w:hint="default"/>
          <w:sz w:val="16"/>
          <w:szCs w:val="16"/>
        </w:rPr>
      </w:pPr>
      <w:r>
        <w:rPr>
          <w:rFonts w:ascii="宋体" w:hAnsi="宋体" w:cs="宋体" w:eastAsia="宋体" w:hint="default"/>
          <w:sz w:val="16"/>
          <w:szCs w:val="16"/>
        </w:rPr>
        <w:t>永辉超市股份有限公司</w:t>
        <w:tab/>
        <w:t>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4</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spacing w:after="0"/>
        <w:jc w:val="both"/>
        <w:rPr>
          <w:rFonts w:ascii="宋体" w:hAnsi="宋体" w:cs="宋体" w:eastAsia="宋体" w:hint="default"/>
          <w:sz w:val="16"/>
          <w:szCs w:val="16"/>
        </w:rPr>
        <w:sectPr>
          <w:type w:val="continuous"/>
          <w:pgSz w:w="11910" w:h="16160"/>
          <w:pgMar w:top="1520" w:bottom="280" w:left="0" w:right="0"/>
          <w:cols w:num="2" w:equalWidth="0">
            <w:col w:w="2537" w:space="40"/>
            <w:col w:w="9333"/>
          </w:cols>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2"/>
        <w:rPr>
          <w:rFonts w:ascii="宋体" w:hAnsi="宋体" w:cs="宋体" w:eastAsia="宋体" w:hint="default"/>
          <w:sz w:val="20"/>
          <w:szCs w:val="20"/>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胡晓明</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3"/>
        <w:rPr>
          <w:rFonts w:ascii="宋体" w:hAnsi="宋体" w:cs="宋体" w:eastAsia="宋体" w:hint="default"/>
          <w:sz w:val="22"/>
          <w:szCs w:val="22"/>
        </w:rPr>
      </w:pPr>
    </w:p>
    <w:p>
      <w:pPr>
        <w:spacing w:before="0"/>
        <w:ind w:left="0" w:right="0" w:firstLine="0"/>
        <w:jc w:val="right"/>
        <w:rPr>
          <w:rFonts w:ascii="宋体" w:hAnsi="宋体" w:cs="宋体" w:eastAsia="宋体" w:hint="default"/>
          <w:sz w:val="16"/>
          <w:szCs w:val="16"/>
        </w:rPr>
      </w:pPr>
      <w:r>
        <w:rPr/>
        <w:pict>
          <v:group style="position:absolute;margin-left:.000007pt;margin-top:15.700614pt;width:34.75pt;height:129.3pt;mso-position-horizontal-relative:page;mso-position-vertical-relative:paragraph;z-index:6760" coordorigin="0,314" coordsize="695,2586">
            <v:group style="position:absolute;left:0;top:1158;width:695;height:1742" coordorigin="0,1158" coordsize="695,1742">
              <v:shape style="position:absolute;left:0;top:1158;width:695;height:1742" coordorigin="0,1158" coordsize="695,1742" path="m0,2900l0,1158,694,1158,0,2900xe" filled="true" fillcolor="#8e9090" stroked="false">
                <v:path arrowok="t"/>
                <v:fill type="solid"/>
              </v:shape>
            </v:group>
            <v:group style="position:absolute;left:0;top:314;width:695;height:1742" coordorigin="0,314" coordsize="695,1742">
              <v:shape style="position:absolute;left:0;top:314;width:695;height:1742" coordorigin="0,314" coordsize="695,1742" path="m0,2056l0,314,694,314,0,2056xe" filled="true" fillcolor="#d7000f" stroked="false">
                <v:path arrowok="t"/>
                <v:fill type="solid"/>
              </v:shape>
            </v:group>
            <w10:wrap type="none"/>
          </v:group>
        </w:pict>
      </w:r>
      <w:r>
        <w:rPr>
          <w:rFonts w:ascii="宋体" w:hAnsi="宋体" w:cs="宋体" w:eastAsia="宋体" w:hint="default"/>
          <w:sz w:val="16"/>
          <w:szCs w:val="16"/>
        </w:rPr>
        <w:t>吴晓根</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before="137"/>
        <w:ind w:left="0" w:right="0" w:firstLine="0"/>
        <w:jc w:val="right"/>
        <w:rPr>
          <w:rFonts w:ascii="宋体" w:hAnsi="宋体" w:cs="宋体" w:eastAsia="宋体" w:hint="default"/>
          <w:sz w:val="16"/>
          <w:szCs w:val="16"/>
        </w:rPr>
      </w:pPr>
      <w:r>
        <w:rPr>
          <w:rFonts w:ascii="宋体" w:hAnsi="宋体" w:cs="宋体" w:eastAsia="宋体" w:hint="default"/>
          <w:sz w:val="16"/>
          <w:szCs w:val="16"/>
        </w:rPr>
        <w:t>吕廷杰</w:t>
      </w:r>
    </w:p>
    <w:p>
      <w:pPr>
        <w:tabs>
          <w:tab w:pos="3909" w:val="left" w:leader="none"/>
          <w:tab w:pos="6369" w:val="left" w:leader="none"/>
        </w:tabs>
        <w:spacing w:before="83"/>
        <w:ind w:left="428" w:right="0" w:firstLine="0"/>
        <w:jc w:val="both"/>
        <w:rPr>
          <w:rFonts w:ascii="宋体" w:hAnsi="宋体" w:cs="宋体" w:eastAsia="宋体" w:hint="default"/>
          <w:sz w:val="16"/>
          <w:szCs w:val="16"/>
        </w:rPr>
      </w:pPr>
      <w:r>
        <w:rPr/>
        <w:br w:type="column"/>
      </w:r>
      <w:r>
        <w:rPr>
          <w:rFonts w:ascii="宋体" w:hAnsi="宋体" w:cs="宋体" w:eastAsia="宋体" w:hint="default"/>
          <w:sz w:val="16"/>
          <w:szCs w:val="16"/>
        </w:rPr>
        <w:t>蚂蚁金融服务集团</w:t>
        <w:tab/>
        <w:t>总裁</w:t>
        <w:tab/>
        <w:t>2018 年 11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pict>
          <v:group style="position:absolute;margin-left:59.5275pt;margin-top:-11.433928pt;width:464.9pt;height:528.15pt;mso-position-horizontal-relative:page;mso-position-vertical-relative:paragraph;z-index:-963136" coordorigin="1191,-229" coordsize="9298,10563">
            <v:group style="position:absolute;left:1191;top:-229;width:1078;height:8194" coordorigin="1191,-229" coordsize="1078,8194">
              <v:shape style="position:absolute;left:1191;top:-229;width:1078;height:8194" coordorigin="1191,-229" coordsize="1078,8194" path="m1191,-229l2268,-229,2268,7965,1191,7965,1191,-229xe" filled="true" fillcolor="#f4c2a9" stroked="false">
                <v:path arrowok="t"/>
                <v:fill type="solid"/>
              </v:shape>
            </v:group>
            <v:group style="position:absolute;left:1191;top:7965;width:1078;height:1185" coordorigin="1191,7965" coordsize="1078,1185">
              <v:shape style="position:absolute;left:1191;top:7965;width:1078;height:1185" coordorigin="1191,7965" coordsize="1078,1185" path="m1191,7965l2268,7965,2268,9149,1191,9149,1191,7965xe" filled="true" fillcolor="#c9caca" stroked="false">
                <v:path arrowok="t"/>
                <v:fill type="solid"/>
              </v:shape>
            </v:group>
            <v:group style="position:absolute;left:1191;top:9149;width:1078;height:1185" coordorigin="1191,9149" coordsize="1078,1185">
              <v:shape style="position:absolute;left:1191;top:9149;width:1078;height:1185" coordorigin="1191,9149" coordsize="1078,1185" path="m1191,9149l2268,9149,2268,10334,1191,10334,1191,9149xe" filled="true" fillcolor="#cec1a6" stroked="false">
                <v:path arrowok="t"/>
                <v:fill type="solid"/>
              </v:shape>
            </v:group>
            <v:group style="position:absolute;left:1191;top:7955;width:1078;height:20" coordorigin="1191,7955" coordsize="1078,20">
              <v:shape style="position:absolute;left:1191;top:7955;width:1078;height:20" coordorigin="1191,7955" coordsize="1078,20" path="m1191,7975l2268,7975,2268,7955,1191,7955,1191,7975xe" filled="true" fillcolor="#ffffff" stroked="false">
                <v:path arrowok="t"/>
                <v:fill type="solid"/>
              </v:shape>
            </v:group>
            <v:group style="position:absolute;left:1191;top:9139;width:1078;height:20" coordorigin="1191,9139" coordsize="1078,20">
              <v:shape style="position:absolute;left:1191;top:9139;width:1078;height:20" coordorigin="1191,9139" coordsize="1078,20" path="m1191,9159l2268,9159,2268,9139,1191,9139,1191,9159xe" filled="true" fillcolor="#ffffff" stroked="false">
                <v:path arrowok="t"/>
                <v:fill type="solid"/>
              </v:shape>
            </v:group>
            <v:group style="position:absolute;left:2381;top:-229;width:3481;height:889" coordorigin="2381,-229" coordsize="3481,889">
              <v:shape style="position:absolute;left:2381;top:-229;width:3481;height:889" coordorigin="2381,-229" coordsize="3481,889" path="m5862,-229l2381,-229,2381,660,5862,660,5862,-229xe" filled="true" fillcolor="#fcece3" stroked="false">
                <v:path arrowok="t"/>
                <v:fill type="solid"/>
              </v:shape>
            </v:group>
            <v:group style="position:absolute;left:5862;top:-229;width:2461;height:889" coordorigin="5862,-229" coordsize="2461,889">
              <v:shape style="position:absolute;left:5862;top:-229;width:2461;height:889" coordorigin="5862,-229" coordsize="2461,889" path="m8323,-229l5862,-229,5862,660,8323,660,8323,-229xe" filled="true" fillcolor="#fcece3" stroked="false">
                <v:path arrowok="t"/>
                <v:fill type="solid"/>
              </v:shape>
            </v:group>
            <v:group style="position:absolute;left:8323;top:-229;width:1089;height:889" coordorigin="8323,-229" coordsize="1089,889">
              <v:shape style="position:absolute;left:8323;top:-229;width:1089;height:889" coordorigin="8323,-229" coordsize="1089,889" path="m9411,-229l8323,-229,8323,660,9411,660,9411,-229xe" filled="true" fillcolor="#fcece3" stroked="false">
                <v:path arrowok="t"/>
                <v:fill type="solid"/>
              </v:shape>
            </v:group>
            <v:group style="position:absolute;left:9411;top:-229;width:1078;height:889" coordorigin="9411,-229" coordsize="1078,889">
              <v:shape style="position:absolute;left:9411;top:-229;width:1078;height:889" coordorigin="9411,-229" coordsize="1078,889" path="m10488,-229l9411,-229,9411,660,10488,660,10488,-229xe" filled="true" fillcolor="#fcece3" stroked="false">
                <v:path arrowok="t"/>
                <v:fill type="solid"/>
              </v:shape>
            </v:group>
            <v:group style="position:absolute;left:2381;top:660;width:3481;height:2073" coordorigin="2381,660" coordsize="3481,2073">
              <v:shape style="position:absolute;left:2381;top:660;width:3481;height:2073" coordorigin="2381,660" coordsize="3481,2073" path="m5862,660l2381,660,2381,2732,5862,2732,5862,660xe" filled="true" fillcolor="#fcece3" stroked="false">
                <v:path arrowok="t"/>
                <v:fill type="solid"/>
              </v:shape>
            </v:group>
            <v:group style="position:absolute;left:5862;top:660;width:2461;height:2073" coordorigin="5862,660" coordsize="2461,2073">
              <v:shape style="position:absolute;left:5862;top:660;width:2461;height:2073" coordorigin="5862,660" coordsize="2461,2073" path="m8323,660l5862,660,5862,2732,8323,2732,8323,660xe" filled="true" fillcolor="#fcece3" stroked="false">
                <v:path arrowok="t"/>
                <v:fill type="solid"/>
              </v:shape>
            </v:group>
            <v:group style="position:absolute;left:8323;top:660;width:1089;height:2073" coordorigin="8323,660" coordsize="1089,2073">
              <v:shape style="position:absolute;left:8323;top:660;width:1089;height:2073" coordorigin="8323,660" coordsize="1089,2073" path="m9411,660l8323,660,8323,2732,9411,2732,9411,660xe" filled="true" fillcolor="#fcece3" stroked="false">
                <v:path arrowok="t"/>
                <v:fill type="solid"/>
              </v:shape>
            </v:group>
            <v:group style="position:absolute;left:9411;top:660;width:1078;height:2073" coordorigin="9411,660" coordsize="1078,2073">
              <v:shape style="position:absolute;left:9411;top:660;width:1078;height:2073" coordorigin="9411,660" coordsize="1078,2073" path="m10488,660l9411,660,9411,2732,10488,2732,10488,660xe" filled="true" fillcolor="#fcece3" stroked="false">
                <v:path arrowok="t"/>
                <v:fill type="solid"/>
              </v:shape>
            </v:group>
            <v:group style="position:absolute;left:2381;top:2732;width:3481;height:889" coordorigin="2381,2732" coordsize="3481,889">
              <v:shape style="position:absolute;left:2381;top:2732;width:3481;height:889" coordorigin="2381,2732" coordsize="3481,889" path="m5862,2732l2381,2732,2381,3620,5862,3620,5862,2732xe" filled="true" fillcolor="#fcece3" stroked="false">
                <v:path arrowok="t"/>
                <v:fill type="solid"/>
              </v:shape>
            </v:group>
            <v:group style="position:absolute;left:5862;top:2732;width:2461;height:889" coordorigin="5862,2732" coordsize="2461,889">
              <v:shape style="position:absolute;left:5862;top:2732;width:2461;height:889" coordorigin="5862,2732" coordsize="2461,889" path="m8323,2732l5862,2732,5862,3620,8323,3620,8323,2732xe" filled="true" fillcolor="#fcece3" stroked="false">
                <v:path arrowok="t"/>
                <v:fill type="solid"/>
              </v:shape>
            </v:group>
            <v:group style="position:absolute;left:8323;top:2732;width:1089;height:889" coordorigin="8323,2732" coordsize="1089,889">
              <v:shape style="position:absolute;left:8323;top:2732;width:1089;height:889" coordorigin="8323,2732" coordsize="1089,889" path="m9411,2732l8323,2732,8323,3620,9411,3620,9411,2732xe" filled="true" fillcolor="#fcece3" stroked="false">
                <v:path arrowok="t"/>
                <v:fill type="solid"/>
              </v:shape>
            </v:group>
            <v:group style="position:absolute;left:9411;top:2732;width:1078;height:889" coordorigin="9411,2732" coordsize="1078,889">
              <v:shape style="position:absolute;left:9411;top:2732;width:1078;height:889" coordorigin="9411,2732" coordsize="1078,889" path="m10488,2732l9411,2732,9411,3620,10488,3620,10488,2732xe" filled="true" fillcolor="#fcece3" stroked="false">
                <v:path arrowok="t"/>
                <v:fill type="solid"/>
              </v:shape>
            </v:group>
            <v:group style="position:absolute;left:2381;top:3620;width:3481;height:889" coordorigin="2381,3620" coordsize="3481,889">
              <v:shape style="position:absolute;left:2381;top:3620;width:3481;height:889" coordorigin="2381,3620" coordsize="3481,889" path="m5862,3620l2381,3620,2381,4508,5862,4508,5862,3620xe" filled="true" fillcolor="#fcece3" stroked="false">
                <v:path arrowok="t"/>
                <v:fill type="solid"/>
              </v:shape>
            </v:group>
            <v:group style="position:absolute;left:5862;top:3620;width:2461;height:889" coordorigin="5862,3620" coordsize="2461,889">
              <v:shape style="position:absolute;left:5862;top:3620;width:2461;height:889" coordorigin="5862,3620" coordsize="2461,889" path="m8323,3620l5862,3620,5862,4508,8323,4508,8323,3620xe" filled="true" fillcolor="#fcece3" stroked="false">
                <v:path arrowok="t"/>
                <v:fill type="solid"/>
              </v:shape>
            </v:group>
            <v:group style="position:absolute;left:8323;top:3620;width:1089;height:889" coordorigin="8323,3620" coordsize="1089,889">
              <v:shape style="position:absolute;left:8323;top:3620;width:1089;height:889" coordorigin="8323,3620" coordsize="1089,889" path="m9411,3620l8323,3620,8323,4508,9411,4508,9411,3620xe" filled="true" fillcolor="#fcece3" stroked="false">
                <v:path arrowok="t"/>
                <v:fill type="solid"/>
              </v:shape>
            </v:group>
            <v:group style="position:absolute;left:9411;top:3620;width:1078;height:889" coordorigin="9411,3620" coordsize="1078,889">
              <v:shape style="position:absolute;left:9411;top:3620;width:1078;height:889" coordorigin="9411,3620" coordsize="1078,889" path="m10488,3620l9411,3620,9411,4508,10488,4508,10488,3620xe" filled="true" fillcolor="#fcece3" stroked="false">
                <v:path arrowok="t"/>
                <v:fill type="solid"/>
              </v:shape>
            </v:group>
            <v:group style="position:absolute;left:2381;top:4508;width:3481;height:2273" coordorigin="2381,4508" coordsize="3481,2273">
              <v:shape style="position:absolute;left:2381;top:4508;width:3481;height:2273" coordorigin="2381,4508" coordsize="3481,2273" path="m5862,4508l2381,4508,2381,6781,5862,6781,5862,4508xe" filled="true" fillcolor="#fcece3" stroked="false">
                <v:path arrowok="t"/>
                <v:fill type="solid"/>
              </v:shape>
            </v:group>
            <v:group style="position:absolute;left:5862;top:4508;width:2461;height:2273" coordorigin="5862,4508" coordsize="2461,2273">
              <v:shape style="position:absolute;left:5862;top:4508;width:2461;height:2273" coordorigin="5862,4508" coordsize="2461,2273" path="m8323,4508l5862,4508,5862,6781,8323,6781,8323,4508xe" filled="true" fillcolor="#fcece3" stroked="false">
                <v:path arrowok="t"/>
                <v:fill type="solid"/>
              </v:shape>
            </v:group>
            <v:group style="position:absolute;left:8323;top:4508;width:1089;height:2273" coordorigin="8323,4508" coordsize="1089,2273">
              <v:shape style="position:absolute;left:8323;top:4508;width:1089;height:2273" coordorigin="8323,4508" coordsize="1089,2273" path="m9411,4508l8323,4508,8323,6781,9411,6781,9411,4508xe" filled="true" fillcolor="#fcece3" stroked="false">
                <v:path arrowok="t"/>
                <v:fill type="solid"/>
              </v:shape>
            </v:group>
            <v:group style="position:absolute;left:9411;top:4508;width:1078;height:2273" coordorigin="9411,4508" coordsize="1078,2273">
              <v:shape style="position:absolute;left:9411;top:4508;width:1078;height:2273" coordorigin="9411,4508" coordsize="1078,2273" path="m10488,4508l9411,4508,9411,6781,10488,6781,10488,4508xe" filled="true" fillcolor="#fcece3" stroked="false">
                <v:path arrowok="t"/>
                <v:fill type="solid"/>
              </v:shape>
            </v:group>
            <v:group style="position:absolute;left:2381;top:6781;width:3481;height:1185" coordorigin="2381,6781" coordsize="3481,1185">
              <v:shape style="position:absolute;left:2381;top:6781;width:3481;height:1185" coordorigin="2381,6781" coordsize="3481,1185" path="m5862,6781l2381,6781,2381,7965,5862,7965,5862,6781xe" filled="true" fillcolor="#fcece3" stroked="false">
                <v:path arrowok="t"/>
                <v:fill type="solid"/>
              </v:shape>
            </v:group>
            <v:group style="position:absolute;left:5862;top:6781;width:2461;height:1185" coordorigin="5862,6781" coordsize="2461,1185">
              <v:shape style="position:absolute;left:5862;top:6781;width:2461;height:1185" coordorigin="5862,6781" coordsize="2461,1185" path="m8323,6781l5862,6781,5862,7965,8323,7965,8323,6781xe" filled="true" fillcolor="#fcece3" stroked="false">
                <v:path arrowok="t"/>
                <v:fill type="solid"/>
              </v:shape>
            </v:group>
            <v:group style="position:absolute;left:8323;top:6781;width:1089;height:1185" coordorigin="8323,6781" coordsize="1089,1185">
              <v:shape style="position:absolute;left:8323;top:6781;width:1089;height:1185" coordorigin="8323,6781" coordsize="1089,1185" path="m9411,6781l8323,6781,8323,7965,9411,7965,9411,6781xe" filled="true" fillcolor="#fcece3" stroked="false">
                <v:path arrowok="t"/>
                <v:fill type="solid"/>
              </v:shape>
            </v:group>
            <v:group style="position:absolute;left:9411;top:6781;width:1078;height:1185" coordorigin="9411,6781" coordsize="1078,1185">
              <v:shape style="position:absolute;left:9411;top:6781;width:1078;height:1185" coordorigin="9411,6781" coordsize="1078,1185" path="m10488,6781l9411,6781,9411,7965,10488,7965,10488,6781xe" filled="true" fillcolor="#fcece3" stroked="false">
                <v:path arrowok="t"/>
                <v:fill type="solid"/>
              </v:shape>
            </v:group>
            <v:group style="position:absolute;left:2381;top:7965;width:3481;height:889" coordorigin="2381,7965" coordsize="3481,889">
              <v:shape style="position:absolute;left:2381;top:7965;width:3481;height:889" coordorigin="2381,7965" coordsize="3481,889" path="m5862,7965l2381,7965,2381,8853,5862,8853,5862,7965xe" filled="true" fillcolor="#efefef" stroked="false">
                <v:path arrowok="t"/>
                <v:fill type="solid"/>
              </v:shape>
            </v:group>
            <v:group style="position:absolute;left:5862;top:7965;width:2461;height:889" coordorigin="5862,7965" coordsize="2461,889">
              <v:shape style="position:absolute;left:5862;top:7965;width:2461;height:889" coordorigin="5862,7965" coordsize="2461,889" path="m8323,7965l5862,7965,5862,8853,8323,8853,8323,7965xe" filled="true" fillcolor="#efefef" stroked="false">
                <v:path arrowok="t"/>
                <v:fill type="solid"/>
              </v:shape>
            </v:group>
            <v:group style="position:absolute;left:8323;top:7965;width:1089;height:889" coordorigin="8323,7965" coordsize="1089,889">
              <v:shape style="position:absolute;left:8323;top:7965;width:1089;height:889" coordorigin="8323,7965" coordsize="1089,889" path="m9411,7965l8323,7965,8323,8853,9411,8853,9411,7965xe" filled="true" fillcolor="#efefef" stroked="false">
                <v:path arrowok="t"/>
                <v:fill type="solid"/>
              </v:shape>
            </v:group>
            <v:group style="position:absolute;left:9411;top:7965;width:1078;height:889" coordorigin="9411,7965" coordsize="1078,889">
              <v:shape style="position:absolute;left:9411;top:7965;width:1078;height:889" coordorigin="9411,7965" coordsize="1078,889" path="m10488,7965l9411,7965,9411,8853,10488,8853,10488,7965xe" filled="true" fillcolor="#efefef" stroked="false">
                <v:path arrowok="t"/>
                <v:fill type="solid"/>
              </v:shape>
            </v:group>
            <v:group style="position:absolute;left:2381;top:8853;width:3481;height:297" coordorigin="2381,8853" coordsize="3481,297">
              <v:shape style="position:absolute;left:2381;top:8853;width:3481;height:297" coordorigin="2381,8853" coordsize="3481,297" path="m5862,8853l2381,8853,2381,9149,5862,9149,5862,8853xe" filled="true" fillcolor="#efefef" stroked="false">
                <v:path arrowok="t"/>
                <v:fill type="solid"/>
              </v:shape>
            </v:group>
            <v:group style="position:absolute;left:5862;top:8853;width:2461;height:297" coordorigin="5862,8853" coordsize="2461,297">
              <v:shape style="position:absolute;left:5862;top:8853;width:2461;height:297" coordorigin="5862,8853" coordsize="2461,297" path="m8323,8853l5862,8853,5862,9149,8323,9149,8323,8853xe" filled="true" fillcolor="#efefef" stroked="false">
                <v:path arrowok="t"/>
                <v:fill type="solid"/>
              </v:shape>
            </v:group>
            <v:group style="position:absolute;left:8323;top:8853;width:1089;height:297" coordorigin="8323,8853" coordsize="1089,297">
              <v:shape style="position:absolute;left:8323;top:8853;width:1089;height:297" coordorigin="8323,8853" coordsize="1089,297" path="m9411,8853l8323,8853,8323,9149,9411,9149,9411,8853xe" filled="true" fillcolor="#efefef" stroked="false">
                <v:path arrowok="t"/>
                <v:fill type="solid"/>
              </v:shape>
            </v:group>
            <v:group style="position:absolute;left:9411;top:8853;width:1078;height:297" coordorigin="9411,8853" coordsize="1078,297">
              <v:shape style="position:absolute;left:9411;top:8853;width:1078;height:297" coordorigin="9411,8853" coordsize="1078,297" path="m10488,8853l9411,8853,9411,9149,10488,9149,10488,8853xe" filled="true" fillcolor="#efefef" stroked="false">
                <v:path arrowok="t"/>
                <v:fill type="solid"/>
              </v:shape>
            </v:group>
            <v:group style="position:absolute;left:2381;top:9149;width:3481;height:593" coordorigin="2381,9149" coordsize="3481,593">
              <v:shape style="position:absolute;left:2381;top:9149;width:3481;height:593" coordorigin="2381,9149" coordsize="3481,593" path="m5862,9149l2381,9149,2381,9741,5862,9741,5862,9149xe" filled="true" fillcolor="#ece7dd" stroked="false">
                <v:path arrowok="t"/>
                <v:fill type="solid"/>
              </v:shape>
            </v:group>
            <v:group style="position:absolute;left:5862;top:9149;width:2461;height:593" coordorigin="5862,9149" coordsize="2461,593">
              <v:shape style="position:absolute;left:5862;top:9149;width:2461;height:593" coordorigin="5862,9149" coordsize="2461,593" path="m8323,9149l5862,9149,5862,9741,8323,9741,8323,9149xe" filled="true" fillcolor="#ece7dd" stroked="false">
                <v:path arrowok="t"/>
                <v:fill type="solid"/>
              </v:shape>
            </v:group>
            <v:group style="position:absolute;left:8323;top:9149;width:1089;height:593" coordorigin="8323,9149" coordsize="1089,593">
              <v:shape style="position:absolute;left:8323;top:9149;width:1089;height:593" coordorigin="8323,9149" coordsize="1089,593" path="m9411,9149l8323,9149,8323,9741,9411,9741,9411,9149xe" filled="true" fillcolor="#ece7dd" stroked="false">
                <v:path arrowok="t"/>
                <v:fill type="solid"/>
              </v:shape>
            </v:group>
            <v:group style="position:absolute;left:9411;top:9149;width:1078;height:593" coordorigin="9411,9149" coordsize="1078,593">
              <v:shape style="position:absolute;left:9411;top:9149;width:1078;height:593" coordorigin="9411,9149" coordsize="1078,593" path="m10488,9149l9411,9149,9411,9741,10488,9741,10488,9149xe" filled="true" fillcolor="#ece7dd" stroked="false">
                <v:path arrowok="t"/>
                <v:fill type="solid"/>
              </v:shape>
            </v:group>
            <v:group style="position:absolute;left:2381;top:9741;width:3481;height:593" coordorigin="2381,9741" coordsize="3481,593">
              <v:shape style="position:absolute;left:2381;top:9741;width:3481;height:593" coordorigin="2381,9741" coordsize="3481,593" path="m5862,9741l2381,9741,2381,10334,5862,10334,5862,9741xe" filled="true" fillcolor="#ece7dd" stroked="false">
                <v:path arrowok="t"/>
                <v:fill type="solid"/>
              </v:shape>
            </v:group>
            <v:group style="position:absolute;left:5862;top:9741;width:2461;height:593" coordorigin="5862,9741" coordsize="2461,593">
              <v:shape style="position:absolute;left:5862;top:9741;width:2461;height:593" coordorigin="5862,9741" coordsize="2461,593" path="m8323,9741l5862,9741,5862,10334,8323,10334,8323,9741xe" filled="true" fillcolor="#ece7dd" stroked="false">
                <v:path arrowok="t"/>
                <v:fill type="solid"/>
              </v:shape>
            </v:group>
            <v:group style="position:absolute;left:8323;top:9741;width:1089;height:593" coordorigin="8323,9741" coordsize="1089,593">
              <v:shape style="position:absolute;left:8323;top:9741;width:1089;height:593" coordorigin="8323,9741" coordsize="1089,593" path="m9411,9741l8323,9741,8323,10334,9411,10334,9411,9741xe" filled="true" fillcolor="#ece7dd" stroked="false">
                <v:path arrowok="t"/>
                <v:fill type="solid"/>
              </v:shape>
            </v:group>
            <v:group style="position:absolute;left:9411;top:9741;width:1078;height:593" coordorigin="9411,9741" coordsize="1078,593">
              <v:shape style="position:absolute;left:9411;top:9741;width:1078;height:593" coordorigin="9411,9741" coordsize="1078,593" path="m10488,9741l9411,9741,9411,10334,10488,10334,10488,9741xe" filled="true" fillcolor="#ece7dd" stroked="false">
                <v:path arrowok="t"/>
                <v:fill type="solid"/>
              </v:shape>
            </v:group>
            <v:group style="position:absolute;left:2381;top:7955;width:3481;height:20" coordorigin="2381,7955" coordsize="3481,20">
              <v:shape style="position:absolute;left:2381;top:7955;width:3481;height:20" coordorigin="2381,7955" coordsize="3481,20" path="m2381,7975l5862,7975,5862,7955,2381,7955,2381,7975xe" filled="true" fillcolor="#ffffff" stroked="false">
                <v:path arrowok="t"/>
                <v:fill type="solid"/>
              </v:shape>
            </v:group>
            <v:group style="position:absolute;left:5862;top:7955;width:2461;height:20" coordorigin="5862,7955" coordsize="2461,20">
              <v:shape style="position:absolute;left:5862;top:7955;width:2461;height:20" coordorigin="5862,7955" coordsize="2461,20" path="m5862,7975l8323,7975,8323,7955,5862,7955,5862,7975xe" filled="true" fillcolor="#ffffff" stroked="false">
                <v:path arrowok="t"/>
                <v:fill type="solid"/>
              </v:shape>
            </v:group>
            <v:group style="position:absolute;left:8323;top:7955;width:1089;height:20" coordorigin="8323,7955" coordsize="1089,20">
              <v:shape style="position:absolute;left:8323;top:7955;width:1089;height:20" coordorigin="8323,7955" coordsize="1089,20" path="m8323,7975l9411,7975,9411,7955,8323,7955,8323,7975xe" filled="true" fillcolor="#ffffff" stroked="false">
                <v:path arrowok="t"/>
                <v:fill type="solid"/>
              </v:shape>
            </v:group>
            <v:group style="position:absolute;left:9411;top:7955;width:1078;height:20" coordorigin="9411,7955" coordsize="1078,20">
              <v:shape style="position:absolute;left:9411;top:7955;width:1078;height:20" coordorigin="9411,7955" coordsize="1078,20" path="m9411,7975l10488,7975,10488,7955,9411,7955,9411,7975xe" filled="true" fillcolor="#ffffff" stroked="false">
                <v:path arrowok="t"/>
                <v:fill type="solid"/>
              </v:shape>
            </v:group>
            <v:group style="position:absolute;left:2381;top:9139;width:3481;height:20" coordorigin="2381,9139" coordsize="3481,20">
              <v:shape style="position:absolute;left:2381;top:9139;width:3481;height:20" coordorigin="2381,9139" coordsize="3481,20" path="m2381,9159l5862,9159,5862,9139,2381,9139,2381,9159xe" filled="true" fillcolor="#ffffff" stroked="false">
                <v:path arrowok="t"/>
                <v:fill type="solid"/>
              </v:shape>
            </v:group>
            <v:group style="position:absolute;left:5862;top:9139;width:2461;height:20" coordorigin="5862,9139" coordsize="2461,20">
              <v:shape style="position:absolute;left:5862;top:9139;width:2461;height:20" coordorigin="5862,9139" coordsize="2461,20" path="m5862,9159l8323,9159,8323,9139,5862,9139,5862,9159xe" filled="true" fillcolor="#ffffff" stroked="false">
                <v:path arrowok="t"/>
                <v:fill type="solid"/>
              </v:shape>
            </v:group>
            <v:group style="position:absolute;left:8323;top:9139;width:1089;height:20" coordorigin="8323,9139" coordsize="1089,20">
              <v:shape style="position:absolute;left:8323;top:9139;width:1089;height:20" coordorigin="8323,9139" coordsize="1089,20" path="m8323,9159l9411,9159,9411,9139,8323,9139,8323,9159xe" filled="true" fillcolor="#ffffff" stroked="false">
                <v:path arrowok="t"/>
                <v:fill type="solid"/>
              </v:shape>
            </v:group>
            <v:group style="position:absolute;left:9411;top:9139;width:1078;height:20" coordorigin="9411,9139" coordsize="1078,20">
              <v:shape style="position:absolute;left:9411;top:9139;width:1078;height:20" coordorigin="9411,9139" coordsize="1078,20" path="m9411,9159l10488,9159,10488,9139,9411,9139,9411,9159xe" filled="true" fillcolor="#ffffff" stroked="false">
                <v:path arrowok="t"/>
                <v:fill type="solid"/>
              </v:shape>
              <v:shape style="position:absolute;left:2171;top:-129;width:177;height:184" type="#_x0000_t75" stroked="false">
                <v:imagedata r:id="rId200" o:title=""/>
              </v:shape>
              <v:shape style="position:absolute;left:2171;top:8057;width:177;height:184" type="#_x0000_t75" stroked="false">
                <v:imagedata r:id="rId199" o:title=""/>
              </v:shape>
              <v:shape style="position:absolute;left:2171;top:9224;width:177;height:184" type="#_x0000_t75" stroked="false">
                <v:imagedata r:id="rId206" o:title=""/>
              </v:shape>
            </v:group>
            <w10:wrap type="none"/>
          </v:group>
        </w:pict>
      </w:r>
      <w:r>
        <w:rPr/>
        <w:pict>
          <v:group style="position:absolute;margin-left:118.055099pt;margin-top:-16.685829pt;width:407.4pt;height:2pt;mso-position-horizontal-relative:page;mso-position-vertical-relative:paragraph;z-index:6808" coordorigin="2361,-334" coordsize="8148,40">
            <v:group style="position:absolute;left:2381;top:-314;width:3481;height:2" coordorigin="2381,-314" coordsize="3481,2">
              <v:shape style="position:absolute;left:2381;top:-314;width:3481;height:2" coordorigin="2381,-314" coordsize="3481,0" path="m2381,-314l5862,-314e" filled="false" stroked="true" strokeweight="2pt" strokecolor="#9c8758">
                <v:path arrowok="t"/>
              </v:shape>
            </v:group>
            <v:group style="position:absolute;left:5862;top:-314;width:2461;height:2" coordorigin="5862,-314" coordsize="2461,2">
              <v:shape style="position:absolute;left:5862;top:-314;width:2461;height:2" coordorigin="5862,-314" coordsize="2461,0" path="m5862,-314l8323,-314e" filled="false" stroked="true" strokeweight="2pt" strokecolor="#9c8758">
                <v:path arrowok="t"/>
              </v:shape>
            </v:group>
            <v:group style="position:absolute;left:8323;top:-314;width:1089;height:2" coordorigin="8323,-314" coordsize="1089,2">
              <v:shape style="position:absolute;left:8323;top:-314;width:1089;height:2" coordorigin="8323,-314" coordsize="1089,0" path="m8323,-314l9411,-314e" filled="false" stroked="true" strokeweight="2pt" strokecolor="#9c8758">
                <v:path arrowok="t"/>
              </v:shape>
            </v:group>
            <v:group style="position:absolute;left:9411;top:-314;width:1078;height:2" coordorigin="9411,-314" coordsize="1078,2">
              <v:shape style="position:absolute;left:9411;top:-314;width:1078;height:2" coordorigin="9411,-314" coordsize="1078,0" path="m9411,-314l10488,-314e" filled="false" stroked="true" strokeweight="2pt" strokecolor="#9c8758">
                <v:path arrowok="t"/>
              </v:shape>
            </v:group>
            <w10:wrap type="none"/>
          </v:group>
        </w:pict>
      </w:r>
      <w:r>
        <w:rPr>
          <w:rFonts w:ascii="宋体" w:hAnsi="宋体" w:cs="宋体" w:eastAsia="宋体" w:hint="default"/>
          <w:sz w:val="16"/>
          <w:szCs w:val="16"/>
        </w:rPr>
        <w:t>阿里云计算有限公司</w:t>
        <w:tab/>
        <w:t>董事、经理</w:t>
        <w:tab/>
        <w:t>2017</w:t>
      </w:r>
      <w:r>
        <w:rPr>
          <w:rFonts w:ascii="宋体" w:hAnsi="宋体" w:cs="宋体" w:eastAsia="宋体" w:hint="default"/>
          <w:spacing w:val="-33"/>
          <w:sz w:val="16"/>
          <w:szCs w:val="16"/>
        </w:rPr>
        <w:t> </w:t>
      </w:r>
      <w:r>
        <w:rPr>
          <w:rFonts w:ascii="宋体" w:hAnsi="宋体" w:cs="宋体" w:eastAsia="宋体" w:hint="default"/>
          <w:sz w:val="16"/>
          <w:szCs w:val="16"/>
        </w:rPr>
        <w:t>年</w:t>
      </w:r>
      <w:r>
        <w:rPr>
          <w:rFonts w:ascii="宋体" w:hAnsi="宋体" w:cs="宋体" w:eastAsia="宋体" w:hint="default"/>
          <w:spacing w:val="-32"/>
          <w:sz w:val="16"/>
          <w:szCs w:val="16"/>
        </w:rPr>
        <w:t> </w:t>
      </w:r>
      <w:r>
        <w:rPr>
          <w:rFonts w:ascii="宋体" w:hAnsi="宋体" w:cs="宋体" w:eastAsia="宋体" w:hint="default"/>
          <w:sz w:val="16"/>
          <w:szCs w:val="16"/>
        </w:rPr>
        <w:t>5</w:t>
      </w:r>
      <w:r>
        <w:rPr>
          <w:rFonts w:ascii="宋体" w:hAnsi="宋体" w:cs="宋体" w:eastAsia="宋体" w:hint="default"/>
          <w:spacing w:val="-33"/>
          <w:sz w:val="16"/>
          <w:szCs w:val="16"/>
        </w:rPr>
        <w:t> </w:t>
      </w:r>
      <w:r>
        <w:rPr>
          <w:rFonts w:ascii="宋体" w:hAnsi="宋体" w:cs="宋体" w:eastAsia="宋体" w:hint="default"/>
          <w:sz w:val="16"/>
          <w:szCs w:val="16"/>
        </w:rPr>
        <w:t>月  </w:t>
      </w:r>
      <w:r>
        <w:rPr>
          <w:rFonts w:ascii="宋体" w:hAnsi="宋体" w:cs="宋体" w:eastAsia="宋体" w:hint="default"/>
          <w:spacing w:val="9"/>
          <w:sz w:val="16"/>
          <w:szCs w:val="16"/>
        </w:rPr>
        <w:t> </w:t>
      </w:r>
      <w:r>
        <w:rPr>
          <w:rFonts w:ascii="宋体" w:hAnsi="宋体" w:cs="宋体" w:eastAsia="宋体" w:hint="default"/>
          <w:sz w:val="16"/>
          <w:szCs w:val="16"/>
        </w:rPr>
        <w:t>2018</w:t>
      </w:r>
      <w:r>
        <w:rPr>
          <w:rFonts w:ascii="宋体" w:hAnsi="宋体" w:cs="宋体" w:eastAsia="宋体" w:hint="default"/>
          <w:spacing w:val="-36"/>
          <w:sz w:val="16"/>
          <w:szCs w:val="16"/>
        </w:rPr>
        <w:t> </w:t>
      </w:r>
      <w:r>
        <w:rPr>
          <w:rFonts w:ascii="宋体" w:hAnsi="宋体" w:cs="宋体" w:eastAsia="宋体" w:hint="default"/>
          <w:sz w:val="16"/>
          <w:szCs w:val="16"/>
        </w:rPr>
        <w:t>年</w:t>
      </w:r>
      <w:r>
        <w:rPr>
          <w:rFonts w:ascii="宋体" w:hAnsi="宋体" w:cs="宋体" w:eastAsia="宋体" w:hint="default"/>
          <w:spacing w:val="-35"/>
          <w:sz w:val="16"/>
          <w:szCs w:val="16"/>
        </w:rPr>
        <w:t> </w:t>
      </w:r>
      <w:r>
        <w:rPr>
          <w:rFonts w:ascii="宋体" w:hAnsi="宋体" w:cs="宋体" w:eastAsia="宋体" w:hint="default"/>
          <w:sz w:val="16"/>
          <w:szCs w:val="16"/>
        </w:rPr>
        <w:t>11</w:t>
      </w:r>
      <w:r>
        <w:rPr>
          <w:rFonts w:ascii="宋体" w:hAnsi="宋体" w:cs="宋体" w:eastAsia="宋体" w:hint="default"/>
          <w:spacing w:val="-35"/>
          <w:sz w:val="16"/>
          <w:szCs w:val="16"/>
        </w:rPr>
        <w:t> </w:t>
      </w:r>
      <w:r>
        <w:rPr>
          <w:rFonts w:ascii="宋体" w:hAnsi="宋体" w:cs="宋体" w:eastAsia="宋体" w:hint="default"/>
          <w:sz w:val="16"/>
          <w:szCs w:val="16"/>
        </w:rPr>
        <w:t>月</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阿里巴巴华东有限公司</w:t>
        <w:tab/>
        <w:t>董事、经理</w:t>
        <w:tab/>
        <w:t>2017 年 10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阿里巴巴丝路有限公司</w:t>
        <w:tab/>
        <w:t>董事、经理</w:t>
        <w:tab/>
        <w:t>2017 年 11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浙江阿里巴巴云计算有限公司</w:t>
        <w:tab/>
        <w:t>董事、经理</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1</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郑州阿里云计算有限公司</w:t>
        <w:tab/>
        <w:t>董事、经理</w:t>
        <w:tab/>
        <w:t>2015 年 11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阿里云计算（苏州）有限公司</w:t>
        <w:tab/>
        <w:t>董事、经理</w:t>
        <w:tab/>
        <w:t>2015 年 12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阿里云计算（张北）有限公司</w:t>
        <w:tab/>
        <w:t>董事、经理</w:t>
        <w:tab/>
        <w:t>2016</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贵州阿里云计算有限公司</w:t>
        <w:tab/>
        <w:t>董事、经理</w:t>
        <w:tab/>
        <w:t>2016</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广州阿里云计算应用技术有限公司</w:t>
        <w:tab/>
        <w:t>董事、经理</w:t>
        <w:tab/>
        <w:t>2017 年 11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北京阿里巴巴云计算技术有限公司</w:t>
        <w:tab/>
        <w:t>董事、经理</w:t>
        <w:tab/>
        <w:t>2016 年 12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杭州短趣网络传媒技术有限公司</w:t>
        <w:tab/>
        <w:t>董事、经理</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珠海市魅族科技有限公司</w:t>
        <w:tab/>
        <w:t>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杭州数梦工场科技有限公司</w:t>
        <w:tab/>
        <w:t>董事</w:t>
        <w:tab/>
        <w:t>2015</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千寻位置网络有限公司</w:t>
        <w:tab/>
        <w:t>董事</w:t>
        <w:tab/>
        <w:t>2015</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新华智云科技有限公司</w:t>
        <w:tab/>
        <w:t>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line="290" w:lineRule="atLeast" w:before="6"/>
        <w:ind w:left="428" w:right="1473" w:firstLine="0"/>
        <w:jc w:val="both"/>
        <w:rPr>
          <w:rFonts w:ascii="宋体" w:hAnsi="宋体" w:cs="宋体" w:eastAsia="宋体" w:hint="default"/>
          <w:sz w:val="16"/>
          <w:szCs w:val="16"/>
        </w:rPr>
      </w:pPr>
      <w:r>
        <w:rPr>
          <w:rFonts w:ascii="宋体" w:hAnsi="宋体" w:cs="宋体" w:eastAsia="宋体" w:hint="default"/>
          <w:sz w:val="16"/>
          <w:szCs w:val="16"/>
        </w:rPr>
        <w:t>政采云有限公司</w:t>
        <w:tab/>
        <w:t>董事</w:t>
        <w:tab/>
      </w:r>
      <w:r>
        <w:rPr>
          <w:rFonts w:ascii="宋体" w:hAnsi="宋体" w:cs="宋体" w:eastAsia="宋体" w:hint="default"/>
          <w:w w:val="105"/>
          <w:sz w:val="16"/>
          <w:szCs w:val="16"/>
        </w:rPr>
        <w:t>2017</w:t>
      </w:r>
      <w:r>
        <w:rPr>
          <w:rFonts w:ascii="宋体" w:hAnsi="宋体" w:cs="宋体" w:eastAsia="宋体" w:hint="default"/>
          <w:spacing w:val="-43"/>
          <w:w w:val="105"/>
          <w:sz w:val="16"/>
          <w:szCs w:val="16"/>
        </w:rPr>
        <w:t> </w:t>
      </w:r>
      <w:r>
        <w:rPr>
          <w:rFonts w:ascii="宋体" w:hAnsi="宋体" w:cs="宋体" w:eastAsia="宋体" w:hint="default"/>
          <w:w w:val="105"/>
          <w:sz w:val="16"/>
          <w:szCs w:val="16"/>
        </w:rPr>
        <w:t>年</w:t>
      </w:r>
      <w:r>
        <w:rPr>
          <w:rFonts w:ascii="宋体" w:hAnsi="宋体" w:cs="宋体" w:eastAsia="宋体" w:hint="default"/>
          <w:spacing w:val="-42"/>
          <w:w w:val="105"/>
          <w:sz w:val="16"/>
          <w:szCs w:val="16"/>
        </w:rPr>
        <w:t> </w:t>
      </w:r>
      <w:r>
        <w:rPr>
          <w:rFonts w:ascii="宋体" w:hAnsi="宋体" w:cs="宋体" w:eastAsia="宋体" w:hint="default"/>
          <w:w w:val="105"/>
          <w:sz w:val="16"/>
          <w:szCs w:val="16"/>
        </w:rPr>
        <w:t>5</w:t>
      </w:r>
      <w:r>
        <w:rPr>
          <w:rFonts w:ascii="宋体" w:hAnsi="宋体" w:cs="宋体" w:eastAsia="宋体" w:hint="default"/>
          <w:spacing w:val="-43"/>
          <w:w w:val="105"/>
          <w:sz w:val="16"/>
          <w:szCs w:val="16"/>
        </w:rPr>
        <w:t> </w:t>
      </w:r>
      <w:r>
        <w:rPr>
          <w:rFonts w:ascii="宋体" w:hAnsi="宋体" w:cs="宋体" w:eastAsia="宋体" w:hint="default"/>
          <w:w w:val="105"/>
          <w:sz w:val="16"/>
          <w:szCs w:val="16"/>
        </w:rPr>
        <w:t>月</w:t>
        <w:tab/>
      </w:r>
      <w:r>
        <w:rPr>
          <w:rFonts w:ascii="宋体" w:hAnsi="宋体" w:cs="宋体" w:eastAsia="宋体" w:hint="default"/>
          <w:sz w:val="16"/>
          <w:szCs w:val="16"/>
        </w:rPr>
        <w:t>至今</w:t>
      </w:r>
      <w:r>
        <w:rPr>
          <w:rFonts w:ascii="宋体" w:hAnsi="宋体" w:cs="宋体" w:eastAsia="宋体" w:hint="default"/>
          <w:sz w:val="16"/>
          <w:szCs w:val="16"/>
        </w:rPr>
        <w:t> </w:t>
      </w:r>
      <w:r>
        <w:rPr>
          <w:rFonts w:ascii="宋体" w:hAnsi="宋体" w:cs="宋体" w:eastAsia="宋体" w:hint="default"/>
          <w:w w:val="105"/>
          <w:sz w:val="16"/>
          <w:szCs w:val="16"/>
        </w:rPr>
        <w:t>SB</w:t>
      </w:r>
      <w:r>
        <w:rPr>
          <w:rFonts w:ascii="宋体" w:hAnsi="宋体" w:cs="宋体" w:eastAsia="宋体" w:hint="default"/>
          <w:spacing w:val="-41"/>
          <w:w w:val="105"/>
          <w:sz w:val="16"/>
          <w:szCs w:val="16"/>
        </w:rPr>
        <w:t> </w:t>
      </w:r>
      <w:r>
        <w:rPr>
          <w:rFonts w:ascii="宋体" w:hAnsi="宋体" w:cs="宋体" w:eastAsia="宋体" w:hint="default"/>
          <w:w w:val="105"/>
          <w:sz w:val="16"/>
          <w:szCs w:val="16"/>
        </w:rPr>
        <w:t>Cloud</w:t>
      </w:r>
      <w:r>
        <w:rPr>
          <w:rFonts w:ascii="宋体" w:hAnsi="宋体" w:cs="宋体" w:eastAsia="宋体" w:hint="default"/>
          <w:spacing w:val="-41"/>
          <w:w w:val="105"/>
          <w:sz w:val="16"/>
          <w:szCs w:val="16"/>
        </w:rPr>
        <w:t> </w:t>
      </w:r>
      <w:r>
        <w:rPr>
          <w:rFonts w:ascii="宋体" w:hAnsi="宋体" w:cs="宋体" w:eastAsia="宋体" w:hint="default"/>
          <w:w w:val="105"/>
          <w:sz w:val="16"/>
          <w:szCs w:val="16"/>
        </w:rPr>
        <w:t>Business</w:t>
      </w:r>
      <w:r>
        <w:rPr>
          <w:rFonts w:ascii="宋体" w:hAnsi="宋体" w:cs="宋体" w:eastAsia="宋体" w:hint="default"/>
          <w:sz w:val="16"/>
          <w:szCs w:val="16"/>
        </w:rPr>
      </w:r>
    </w:p>
    <w:p>
      <w:pPr>
        <w:tabs>
          <w:tab w:pos="3909" w:val="left" w:leader="none"/>
          <w:tab w:pos="6369" w:val="left" w:leader="none"/>
          <w:tab w:pos="8102" w:val="left" w:leader="none"/>
        </w:tabs>
        <w:spacing w:line="200" w:lineRule="exact" w:before="0"/>
        <w:ind w:left="428" w:right="0" w:firstLine="0"/>
        <w:jc w:val="both"/>
        <w:rPr>
          <w:rFonts w:ascii="宋体" w:hAnsi="宋体" w:cs="宋体" w:eastAsia="宋体" w:hint="default"/>
          <w:sz w:val="16"/>
          <w:szCs w:val="16"/>
        </w:rPr>
      </w:pPr>
      <w:r>
        <w:rPr>
          <w:rFonts w:ascii="宋体" w:hAnsi="宋体" w:cs="宋体" w:eastAsia="宋体" w:hint="default"/>
          <w:w w:val="95"/>
          <w:sz w:val="16"/>
          <w:szCs w:val="16"/>
        </w:rPr>
        <w:t>DevelopmentPreparation II</w:t>
      </w:r>
      <w:r>
        <w:rPr>
          <w:rFonts w:ascii="宋体" w:hAnsi="宋体" w:cs="宋体" w:eastAsia="宋体" w:hint="default"/>
          <w:spacing w:val="-34"/>
          <w:w w:val="95"/>
          <w:sz w:val="16"/>
          <w:szCs w:val="16"/>
        </w:rPr>
        <w:t> </w:t>
      </w:r>
      <w:r>
        <w:rPr>
          <w:rFonts w:ascii="宋体" w:hAnsi="宋体" w:cs="宋体" w:eastAsia="宋体" w:hint="default"/>
          <w:w w:val="95"/>
          <w:sz w:val="16"/>
          <w:szCs w:val="16"/>
        </w:rPr>
        <w:t>Corp.</w:t>
        <w:tab/>
      </w:r>
      <w:r>
        <w:rPr>
          <w:rFonts w:ascii="宋体" w:hAnsi="宋体" w:cs="宋体" w:eastAsia="宋体" w:hint="default"/>
          <w:position w:val="10"/>
          <w:sz w:val="16"/>
          <w:szCs w:val="16"/>
        </w:rPr>
        <w:t>董事</w:t>
        <w:tab/>
        <w:t>2016</w:t>
      </w:r>
      <w:r>
        <w:rPr>
          <w:rFonts w:ascii="宋体" w:hAnsi="宋体" w:cs="宋体" w:eastAsia="宋体" w:hint="default"/>
          <w:spacing w:val="-27"/>
          <w:position w:val="10"/>
          <w:sz w:val="16"/>
          <w:szCs w:val="16"/>
        </w:rPr>
        <w:t> </w:t>
      </w:r>
      <w:r>
        <w:rPr>
          <w:rFonts w:ascii="宋体" w:hAnsi="宋体" w:cs="宋体" w:eastAsia="宋体" w:hint="default"/>
          <w:position w:val="10"/>
          <w:sz w:val="16"/>
          <w:szCs w:val="16"/>
        </w:rPr>
        <w:t>年</w:t>
      </w:r>
      <w:r>
        <w:rPr>
          <w:rFonts w:ascii="宋体" w:hAnsi="宋体" w:cs="宋体" w:eastAsia="宋体" w:hint="default"/>
          <w:spacing w:val="-26"/>
          <w:position w:val="10"/>
          <w:sz w:val="16"/>
          <w:szCs w:val="16"/>
        </w:rPr>
        <w:t> </w:t>
      </w:r>
      <w:r>
        <w:rPr>
          <w:rFonts w:ascii="宋体" w:hAnsi="宋体" w:cs="宋体" w:eastAsia="宋体" w:hint="default"/>
          <w:position w:val="10"/>
          <w:sz w:val="16"/>
          <w:szCs w:val="16"/>
        </w:rPr>
        <w:t>4</w:t>
      </w:r>
      <w:r>
        <w:rPr>
          <w:rFonts w:ascii="宋体" w:hAnsi="宋体" w:cs="宋体" w:eastAsia="宋体" w:hint="default"/>
          <w:spacing w:val="-27"/>
          <w:position w:val="10"/>
          <w:sz w:val="16"/>
          <w:szCs w:val="16"/>
        </w:rPr>
        <w:t> </w:t>
      </w:r>
      <w:r>
        <w:rPr>
          <w:rFonts w:ascii="宋体" w:hAnsi="宋体" w:cs="宋体" w:eastAsia="宋体" w:hint="default"/>
          <w:position w:val="10"/>
          <w:sz w:val="16"/>
          <w:szCs w:val="16"/>
        </w:rPr>
        <w:t>月</w:t>
        <w:tab/>
        <w:t>至今</w:t>
      </w:r>
      <w:r>
        <w:rPr>
          <w:rFonts w:ascii="宋体" w:hAnsi="宋体" w:cs="宋体" w:eastAsia="宋体" w:hint="default"/>
          <w:sz w:val="16"/>
          <w:szCs w:val="16"/>
        </w:rPr>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斑马网络技术有限公司</w:t>
        <w:tab/>
        <w:t>董事</w:t>
        <w:tab/>
        <w:t>2017 年 12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云粒智慧科技有限公司</w:t>
        <w:tab/>
        <w:t>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line="338" w:lineRule="auto" w:before="86"/>
        <w:ind w:left="428" w:right="1473" w:firstLine="0"/>
        <w:jc w:val="both"/>
        <w:rPr>
          <w:rFonts w:ascii="宋体" w:hAnsi="宋体" w:cs="宋体" w:eastAsia="宋体" w:hint="default"/>
          <w:sz w:val="16"/>
          <w:szCs w:val="16"/>
        </w:rPr>
      </w:pPr>
      <w:r>
        <w:rPr>
          <w:rFonts w:ascii="宋体" w:hAnsi="宋体" w:cs="宋体" w:eastAsia="宋体" w:hint="default"/>
          <w:sz w:val="16"/>
          <w:szCs w:val="16"/>
        </w:rPr>
        <w:t>浩鲸云计算科技股份有限公司</w:t>
        <w:tab/>
        <w:t>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杭州恒生电子集团有限公司</w:t>
        <w:tab/>
        <w:t>董事长兼总经理</w:t>
        <w:tab/>
        <w:t>2014 年 10 月       </w:t>
      </w:r>
      <w:r>
        <w:rPr>
          <w:rFonts w:ascii="宋体" w:hAnsi="宋体" w:cs="宋体" w:eastAsia="宋体" w:hint="default"/>
          <w:spacing w:val="49"/>
          <w:sz w:val="16"/>
          <w:szCs w:val="16"/>
        </w:rPr>
        <w:t> </w:t>
      </w:r>
      <w:r>
        <w:rPr>
          <w:rFonts w:ascii="宋体" w:hAnsi="宋体" w:cs="宋体" w:eastAsia="宋体" w:hint="default"/>
          <w:sz w:val="16"/>
          <w:szCs w:val="16"/>
        </w:rPr>
        <w:t>至今</w:t>
      </w:r>
      <w:r>
        <w:rPr>
          <w:rFonts w:ascii="宋体" w:hAnsi="宋体" w:cs="宋体" w:eastAsia="宋体" w:hint="default"/>
          <w:sz w:val="16"/>
          <w:szCs w:val="16"/>
        </w:rPr>
        <w:t> 浙江阿里巴巴小额贷款股份有限公司</w:t>
        <w:tab/>
        <w:t>董事兼总经理</w:t>
        <w:tab/>
        <w:t>2010</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重庆市蚂蚁小微小额贷款有限公司</w:t>
        <w:tab/>
        <w:t>经理</w:t>
        <w:tab/>
        <w:t>2013</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21"/>
        <w:ind w:left="428" w:right="0" w:firstLine="0"/>
        <w:jc w:val="both"/>
        <w:rPr>
          <w:rFonts w:ascii="宋体" w:hAnsi="宋体" w:cs="宋体" w:eastAsia="宋体" w:hint="default"/>
          <w:sz w:val="16"/>
          <w:szCs w:val="16"/>
        </w:rPr>
      </w:pPr>
      <w:r>
        <w:rPr>
          <w:rFonts w:ascii="宋体" w:hAnsi="宋体" w:cs="宋体" w:eastAsia="宋体" w:hint="default"/>
          <w:sz w:val="16"/>
          <w:szCs w:val="16"/>
        </w:rPr>
        <w:t>众安在线财产保险股份有限公司</w:t>
        <w:tab/>
        <w:t>董事</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Sinosoft</w:t>
      </w:r>
      <w:r>
        <w:rPr>
          <w:rFonts w:ascii="宋体" w:hAnsi="宋体" w:cs="宋体" w:eastAsia="宋体" w:hint="default"/>
          <w:spacing w:val="-41"/>
          <w:sz w:val="16"/>
          <w:szCs w:val="16"/>
        </w:rPr>
        <w:t> </w:t>
      </w:r>
      <w:r>
        <w:rPr>
          <w:rFonts w:ascii="宋体" w:hAnsi="宋体" w:cs="宋体" w:eastAsia="宋体" w:hint="default"/>
          <w:sz w:val="16"/>
          <w:szCs w:val="16"/>
        </w:rPr>
        <w:t>Technology</w:t>
      </w:r>
      <w:r>
        <w:rPr>
          <w:rFonts w:ascii="宋体" w:hAnsi="宋体" w:cs="宋体" w:eastAsia="宋体" w:hint="default"/>
          <w:spacing w:val="-41"/>
          <w:sz w:val="16"/>
          <w:szCs w:val="16"/>
        </w:rPr>
        <w:t> </w:t>
      </w:r>
      <w:r>
        <w:rPr>
          <w:rFonts w:ascii="宋体" w:hAnsi="宋体" w:cs="宋体" w:eastAsia="宋体" w:hint="default"/>
          <w:sz w:val="16"/>
          <w:szCs w:val="16"/>
        </w:rPr>
        <w:t>Group</w:t>
      </w:r>
      <w:r>
        <w:rPr>
          <w:rFonts w:ascii="宋体" w:hAnsi="宋体" w:cs="宋体" w:eastAsia="宋体" w:hint="default"/>
          <w:spacing w:val="-41"/>
          <w:sz w:val="16"/>
          <w:szCs w:val="16"/>
        </w:rPr>
        <w:t> </w:t>
      </w:r>
      <w:r>
        <w:rPr>
          <w:rFonts w:ascii="宋体" w:hAnsi="宋体" w:cs="宋体" w:eastAsia="宋体" w:hint="default"/>
          <w:sz w:val="16"/>
          <w:szCs w:val="16"/>
        </w:rPr>
        <w:t>Ltd</w:t>
        <w:tab/>
        <w:t>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1</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line="338" w:lineRule="auto" w:before="86"/>
        <w:ind w:left="428" w:right="1473" w:firstLine="0"/>
        <w:jc w:val="both"/>
        <w:rPr>
          <w:rFonts w:ascii="宋体" w:hAnsi="宋体" w:cs="宋体" w:eastAsia="宋体" w:hint="default"/>
          <w:sz w:val="16"/>
          <w:szCs w:val="16"/>
        </w:rPr>
      </w:pPr>
      <w:r>
        <w:rPr>
          <w:rFonts w:ascii="宋体" w:hAnsi="宋体" w:cs="宋体" w:eastAsia="宋体" w:hint="default"/>
          <w:sz w:val="16"/>
          <w:szCs w:val="16"/>
        </w:rPr>
        <w:t>上海舍汇信息技术有限公司</w:t>
        <w:tab/>
        <w:t>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至今</w:t>
      </w:r>
      <w:r>
        <w:rPr>
          <w:rFonts w:ascii="宋体" w:hAnsi="宋体" w:cs="宋体" w:eastAsia="宋体" w:hint="default"/>
          <w:sz w:val="16"/>
          <w:szCs w:val="16"/>
        </w:rPr>
        <w:t> 中国国新控股有限责任公司</w:t>
        <w:tab/>
        <w:t>中央企业外部董事</w:t>
        <w:tab/>
        <w:t>2011 年 12 月       </w:t>
      </w:r>
      <w:r>
        <w:rPr>
          <w:rFonts w:ascii="宋体" w:hAnsi="宋体" w:cs="宋体" w:eastAsia="宋体" w:hint="default"/>
          <w:spacing w:val="49"/>
          <w:sz w:val="16"/>
          <w:szCs w:val="16"/>
        </w:rPr>
        <w:t> </w:t>
      </w:r>
      <w:r>
        <w:rPr>
          <w:rFonts w:ascii="宋体" w:hAnsi="宋体" w:cs="宋体" w:eastAsia="宋体" w:hint="default"/>
          <w:sz w:val="16"/>
          <w:szCs w:val="16"/>
        </w:rPr>
        <w:t>至今</w:t>
      </w:r>
      <w:r>
        <w:rPr>
          <w:rFonts w:ascii="宋体" w:hAnsi="宋体" w:cs="宋体" w:eastAsia="宋体" w:hint="default"/>
          <w:sz w:val="16"/>
          <w:szCs w:val="16"/>
        </w:rPr>
        <w:t> 中国长江三峡集团有限公司</w:t>
        <w:tab/>
        <w:t>外部董事</w:t>
        <w:tab/>
        <w:t>2011</w:t>
      </w:r>
      <w:r>
        <w:rPr>
          <w:rFonts w:ascii="宋体" w:hAnsi="宋体" w:cs="宋体" w:eastAsia="宋体" w:hint="default"/>
          <w:spacing w:val="-35"/>
          <w:sz w:val="16"/>
          <w:szCs w:val="16"/>
        </w:rPr>
        <w:t> </w:t>
      </w:r>
      <w:r>
        <w:rPr>
          <w:rFonts w:ascii="宋体" w:hAnsi="宋体" w:cs="宋体" w:eastAsia="宋体" w:hint="default"/>
          <w:sz w:val="16"/>
          <w:szCs w:val="16"/>
        </w:rPr>
        <w:t>年</w:t>
      </w:r>
      <w:r>
        <w:rPr>
          <w:rFonts w:ascii="宋体" w:hAnsi="宋体" w:cs="宋体" w:eastAsia="宋体" w:hint="default"/>
          <w:spacing w:val="-34"/>
          <w:sz w:val="16"/>
          <w:szCs w:val="16"/>
        </w:rPr>
        <w:t> </w:t>
      </w:r>
      <w:r>
        <w:rPr>
          <w:rFonts w:ascii="宋体" w:hAnsi="宋体" w:cs="宋体" w:eastAsia="宋体" w:hint="default"/>
          <w:sz w:val="16"/>
          <w:szCs w:val="16"/>
        </w:rPr>
        <w:t>3</w:t>
      </w:r>
      <w:r>
        <w:rPr>
          <w:rFonts w:ascii="宋体" w:hAnsi="宋体" w:cs="宋体" w:eastAsia="宋体" w:hint="default"/>
          <w:spacing w:val="-35"/>
          <w:sz w:val="16"/>
          <w:szCs w:val="16"/>
        </w:rPr>
        <w:t> </w:t>
      </w:r>
      <w:r>
        <w:rPr>
          <w:rFonts w:ascii="宋体" w:hAnsi="宋体" w:cs="宋体" w:eastAsia="宋体" w:hint="default"/>
          <w:sz w:val="16"/>
          <w:szCs w:val="16"/>
        </w:rPr>
        <w:t>月   </w:t>
      </w:r>
      <w:r>
        <w:rPr>
          <w:rFonts w:ascii="宋体" w:hAnsi="宋体" w:cs="宋体" w:eastAsia="宋体" w:hint="default"/>
          <w:spacing w:val="12"/>
          <w:sz w:val="16"/>
          <w:szCs w:val="16"/>
        </w:rPr>
        <w:t> </w:t>
      </w:r>
      <w:r>
        <w:rPr>
          <w:rFonts w:ascii="宋体" w:hAnsi="宋体" w:cs="宋体" w:eastAsia="宋体" w:hint="default"/>
          <w:sz w:val="16"/>
          <w:szCs w:val="16"/>
        </w:rPr>
        <w:t>2018</w:t>
      </w:r>
      <w:r>
        <w:rPr>
          <w:rFonts w:ascii="宋体" w:hAnsi="宋体" w:cs="宋体" w:eastAsia="宋体" w:hint="default"/>
          <w:spacing w:val="-35"/>
          <w:sz w:val="16"/>
          <w:szCs w:val="16"/>
        </w:rPr>
        <w:t> </w:t>
      </w:r>
      <w:r>
        <w:rPr>
          <w:rFonts w:ascii="宋体" w:hAnsi="宋体" w:cs="宋体" w:eastAsia="宋体" w:hint="default"/>
          <w:sz w:val="16"/>
          <w:szCs w:val="16"/>
        </w:rPr>
        <w:t>年</w:t>
      </w:r>
      <w:r>
        <w:rPr>
          <w:rFonts w:ascii="宋体" w:hAnsi="宋体" w:cs="宋体" w:eastAsia="宋体" w:hint="default"/>
          <w:spacing w:val="-34"/>
          <w:sz w:val="16"/>
          <w:szCs w:val="16"/>
        </w:rPr>
        <w:t> </w:t>
      </w:r>
      <w:r>
        <w:rPr>
          <w:rFonts w:ascii="宋体" w:hAnsi="宋体" w:cs="宋体" w:eastAsia="宋体" w:hint="default"/>
          <w:sz w:val="16"/>
          <w:szCs w:val="16"/>
        </w:rPr>
        <w:t>3</w:t>
      </w:r>
      <w:r>
        <w:rPr>
          <w:rFonts w:ascii="宋体" w:hAnsi="宋体" w:cs="宋体" w:eastAsia="宋体" w:hint="default"/>
          <w:spacing w:val="-35"/>
          <w:sz w:val="16"/>
          <w:szCs w:val="16"/>
        </w:rPr>
        <w:t> </w:t>
      </w:r>
      <w:r>
        <w:rPr>
          <w:rFonts w:ascii="宋体" w:hAnsi="宋体" w:cs="宋体" w:eastAsia="宋体" w:hint="default"/>
          <w:sz w:val="16"/>
          <w:szCs w:val="16"/>
        </w:rPr>
        <w:t>月</w:t>
      </w:r>
    </w:p>
    <w:p>
      <w:pPr>
        <w:tabs>
          <w:tab w:pos="3909" w:val="left" w:leader="none"/>
          <w:tab w:pos="6369" w:val="left" w:leader="none"/>
          <w:tab w:pos="8102" w:val="left" w:leader="none"/>
        </w:tabs>
        <w:spacing w:before="21"/>
        <w:ind w:left="428" w:right="0" w:firstLine="0"/>
        <w:jc w:val="both"/>
        <w:rPr>
          <w:rFonts w:ascii="宋体" w:hAnsi="宋体" w:cs="宋体" w:eastAsia="宋体" w:hint="default"/>
          <w:sz w:val="16"/>
          <w:szCs w:val="16"/>
        </w:rPr>
      </w:pPr>
      <w:r>
        <w:rPr>
          <w:rFonts w:ascii="宋体" w:hAnsi="宋体" w:cs="宋体" w:eastAsia="宋体" w:hint="default"/>
          <w:sz w:val="16"/>
          <w:szCs w:val="16"/>
        </w:rPr>
        <w:t>中国机械工业集团有限公司</w:t>
        <w:tab/>
        <w:t>外部董事</w:t>
        <w:tab/>
        <w:t>2012</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中国电子科技集团有限公司</w:t>
        <w:tab/>
        <w:t>外部董事</w:t>
        <w:tab/>
        <w:t>2015 年 12 月       </w:t>
      </w:r>
      <w:r>
        <w:rPr>
          <w:rFonts w:ascii="宋体" w:hAnsi="宋体" w:cs="宋体" w:eastAsia="宋体" w:hint="default"/>
          <w:spacing w:val="49"/>
          <w:sz w:val="16"/>
          <w:szCs w:val="16"/>
        </w:rPr>
        <w:t> </w:t>
      </w:r>
      <w:r>
        <w:rPr>
          <w:rFonts w:ascii="宋体" w:hAnsi="宋体" w:cs="宋体" w:eastAsia="宋体" w:hint="default"/>
          <w:sz w:val="16"/>
          <w:szCs w:val="16"/>
        </w:rPr>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大唐高鸿数据网络技术股份有限公司</w:t>
        <w:tab/>
        <w:t>独立董事</w:t>
        <w:tab/>
        <w:t>2012</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京东方科技集团股份有限公司</w:t>
        <w:tab/>
        <w:t>独立董事</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深圳市爱施德股份有限公司</w:t>
        <w:tab/>
        <w:t>独立董事</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both"/>
        <w:rPr>
          <w:rFonts w:ascii="宋体" w:hAnsi="宋体" w:cs="宋体" w:eastAsia="宋体" w:hint="default"/>
          <w:sz w:val="16"/>
          <w:szCs w:val="16"/>
        </w:rPr>
      </w:pPr>
      <w:r>
        <w:rPr>
          <w:rFonts w:ascii="宋体" w:hAnsi="宋体" w:cs="宋体" w:eastAsia="宋体" w:hint="default"/>
          <w:sz w:val="16"/>
          <w:szCs w:val="16"/>
        </w:rPr>
        <w:t>中国通信服务股份有限公司</w:t>
        <w:tab/>
        <w:t>独立董事</w:t>
        <w:tab/>
        <w:t>2015</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spacing w:after="0"/>
        <w:jc w:val="both"/>
        <w:rPr>
          <w:rFonts w:ascii="宋体" w:hAnsi="宋体" w:cs="宋体" w:eastAsia="宋体" w:hint="default"/>
          <w:sz w:val="16"/>
          <w:szCs w:val="16"/>
        </w:rPr>
        <w:sectPr>
          <w:headerReference w:type="even" r:id="rId204"/>
          <w:headerReference w:type="default" r:id="rId205"/>
          <w:pgSz w:w="11910" w:h="16160"/>
          <w:pgMar w:header="0" w:footer="321" w:top="3500" w:bottom="520" w:left="0" w:right="0"/>
          <w:cols w:num="2" w:equalWidth="0">
            <w:col w:w="1970" w:space="40"/>
            <w:col w:w="9900"/>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tabs>
          <w:tab w:pos="4208" w:val="left" w:leader="none"/>
          <w:tab w:pos="6859" w:val="left" w:leader="none"/>
          <w:tab w:pos="8946" w:val="left" w:leader="none"/>
        </w:tabs>
        <w:spacing w:before="41"/>
        <w:ind w:left="1816" w:right="764" w:firstLine="0"/>
        <w:jc w:val="left"/>
        <w:rPr>
          <w:rFonts w:ascii="宋体" w:hAnsi="宋体" w:cs="宋体" w:eastAsia="宋体" w:hint="default"/>
          <w:sz w:val="16"/>
          <w:szCs w:val="16"/>
        </w:rPr>
      </w:pPr>
      <w:r>
        <w:rPr/>
        <w:pict>
          <v:group style="position:absolute;margin-left:70.865997pt;margin-top:-9.150149pt;width:524.9pt;height:606.65pt;mso-position-horizontal-relative:page;mso-position-vertical-relative:paragraph;z-index:-963088" coordorigin="1417,-183" coordsize="10498,12133">
            <v:group style="position:absolute;left:10718;top:2660;width:1188;height:2980" coordorigin="10718,2660" coordsize="1188,2980">
              <v:shape style="position:absolute;left:10718;top:2660;width:1188;height:2980" coordorigin="10718,2660" coordsize="1188,2980" path="m11906,5639l10718,5639,11906,2660,11906,5639xe" filled="true" fillcolor="#d7000f" stroked="false">
                <v:path arrowok="t"/>
                <v:fill type="solid"/>
              </v:shape>
            </v:group>
            <v:group style="position:absolute;left:9173;top:5097;width:2733;height:6853" coordorigin="9173,5097" coordsize="2733,6853">
              <v:shape style="position:absolute;left:9173;top:5097;width:2733;height:6853" coordorigin="9173,5097" coordsize="2733,6853" path="m11906,11949l9173,11949,11906,5097,11906,11949xe" filled="true" fillcolor="#8e9090" stroked="false">
                <v:path arrowok="t"/>
                <v:fill type="solid"/>
              </v:shape>
              <v:shape style="position:absolute;left:7550;top:11014;width:188;height:188" type="#_x0000_t75" stroked="false">
                <v:imagedata r:id="rId76" o:title=""/>
              </v:shape>
            </v:group>
            <v:group style="position:absolute;left:7668;top:11108;width:4238;height:2" coordorigin="7668,11108" coordsize="4238,2">
              <v:shape style="position:absolute;left:7668;top:11108;width:4238;height:2" coordorigin="7668,11108" coordsize="4238,0" path="m7668,11108l11906,11108e" filled="false" stroked="true" strokeweight=".956pt" strokecolor="#8e9090">
                <v:path arrowok="t"/>
              </v:shape>
            </v:group>
            <v:group style="position:absolute;left:1417;top:-183;width:9723;height:10886" coordorigin="1417,-183" coordsize="9723,10886">
              <v:shape style="position:absolute;left:1417;top:-183;width:9723;height:10886" coordorigin="1417,-183" coordsize="9723,10886" path="m1417,10702l11140,10702,11140,-183,1417,-183,1417,10702xe" filled="true" fillcolor="#ffffff" stroked="false">
                <v:path arrowok="t"/>
                <v:fill type="solid"/>
              </v:shape>
            </v:group>
            <v:group style="position:absolute;left:1757;top:449;width:1078;height:1881" coordorigin="1757,449" coordsize="1078,1881">
              <v:shape style="position:absolute;left:1757;top:449;width:1078;height:1881" coordorigin="1757,449" coordsize="1078,1881" path="m2835,449l1757,449,1757,2329,2835,2329,2835,449xe" filled="true" fillcolor="#f4c2a9" stroked="false">
                <v:path arrowok="t"/>
                <v:fill type="solid"/>
              </v:shape>
            </v:group>
            <v:group style="position:absolute;left:1757;top:5290;width:1078;height:1777" coordorigin="1757,5290" coordsize="1078,1777">
              <v:shape style="position:absolute;left:1757;top:5290;width:1078;height:1777" coordorigin="1757,5290" coordsize="1078,1777" path="m2835,5290l1757,5290,1757,7066,2835,7066,2835,5290xe" filled="true" fillcolor="#f4c2a9" stroked="false">
                <v:path arrowok="t"/>
                <v:fill type="solid"/>
              </v:shape>
            </v:group>
            <v:group style="position:absolute;left:1757;top:8842;width:1078;height:1777" coordorigin="1757,8842" coordsize="1078,1777">
              <v:shape style="position:absolute;left:1757;top:8842;width:1078;height:1777" coordorigin="1757,8842" coordsize="1078,1777" path="m2835,8842l1757,8842,1757,10619,2835,10619,2835,8842xe" filled="true" fillcolor="#f4c2a9" stroked="false">
                <v:path arrowok="t"/>
                <v:fill type="solid"/>
              </v:shape>
            </v:group>
            <v:group style="position:absolute;left:2948;top:449;width:3481;height:889" coordorigin="2948,449" coordsize="3481,889">
              <v:shape style="position:absolute;left:2948;top:449;width:3481;height:889" coordorigin="2948,449" coordsize="3481,889" path="m6429,449l2948,449,2948,1337,6429,1337,6429,449xe" filled="true" fillcolor="#fcece3" stroked="false">
                <v:path arrowok="t"/>
                <v:fill type="solid"/>
              </v:shape>
            </v:group>
            <v:group style="position:absolute;left:6429;top:449;width:2461;height:889" coordorigin="6429,449" coordsize="2461,889">
              <v:shape style="position:absolute;left:6429;top:449;width:2461;height:889" coordorigin="6429,449" coordsize="2461,889" path="m8889,449l6429,449,6429,1337,8889,1337,8889,449xe" filled="true" fillcolor="#fcece3" stroked="false">
                <v:path arrowok="t"/>
                <v:fill type="solid"/>
              </v:shape>
            </v:group>
            <v:group style="position:absolute;left:8889;top:449;width:2;height:889" coordorigin="8889,449" coordsize="2,889">
              <v:shape style="position:absolute;left:8889;top:449;width:2;height:889" coordorigin="8889,449" coordsize="0,889" path="m8889,449l8889,1337e" filled="false" stroked="true" strokeweight=".001pt" strokecolor="#fcece3">
                <v:path arrowok="t"/>
              </v:shape>
            </v:group>
            <v:group style="position:absolute;left:8889;top:449;width:1089;height:889" coordorigin="8889,449" coordsize="1089,889">
              <v:shape style="position:absolute;left:8889;top:449;width:1089;height:889" coordorigin="8889,449" coordsize="1089,889" path="m9978,449l8889,449,8889,1337,9978,1337,9978,449xe" filled="true" fillcolor="#fcece3" stroked="false">
                <v:path arrowok="t"/>
                <v:fill type="solid"/>
              </v:shape>
            </v:group>
            <v:group style="position:absolute;left:9978;top:449;width:1078;height:889" coordorigin="9978,449" coordsize="1078,889">
              <v:shape style="position:absolute;left:9978;top:449;width:1078;height:889" coordorigin="9978,449" coordsize="1078,889" path="m11055,449l9978,449,9978,1337,11055,1337,11055,449xe" filled="true" fillcolor="#fcece3" stroked="false">
                <v:path arrowok="t"/>
                <v:fill type="solid"/>
              </v:shape>
            </v:group>
            <v:group style="position:absolute;left:2948;top:1337;width:3481;height:993" coordorigin="2948,1337" coordsize="3481,993">
              <v:shape style="position:absolute;left:2948;top:1337;width:3481;height:993" coordorigin="2948,1337" coordsize="3481,993" path="m6429,1337l2948,1337,2948,2329,6429,2329,6429,1337xe" filled="true" fillcolor="#fcece3" stroked="false">
                <v:path arrowok="t"/>
                <v:fill type="solid"/>
              </v:shape>
            </v:group>
            <v:group style="position:absolute;left:6429;top:1337;width:2461;height:993" coordorigin="6429,1337" coordsize="2461,993">
              <v:shape style="position:absolute;left:6429;top:1337;width:2461;height:993" coordorigin="6429,1337" coordsize="2461,993" path="m8889,1337l6429,1337,6429,2329,8889,2329,8889,1337xe" filled="true" fillcolor="#fcece3" stroked="false">
                <v:path arrowok="t"/>
                <v:fill type="solid"/>
              </v:shape>
            </v:group>
            <v:group style="position:absolute;left:8889;top:1337;width:2;height:993" coordorigin="8889,1337" coordsize="2,993">
              <v:shape style="position:absolute;left:8889;top:1337;width:2;height:993" coordorigin="8889,1337" coordsize="0,993" path="m8889,1337l8889,2329e" filled="false" stroked="true" strokeweight=".001pt" strokecolor="#fcece3">
                <v:path arrowok="t"/>
              </v:shape>
            </v:group>
            <v:group style="position:absolute;left:8889;top:1337;width:1089;height:993" coordorigin="8889,1337" coordsize="1089,993">
              <v:shape style="position:absolute;left:8889;top:1337;width:1089;height:993" coordorigin="8889,1337" coordsize="1089,993" path="m9978,1337l8889,1337,8889,2329,9978,2329,9978,1337xe" filled="true" fillcolor="#fcece3" stroked="false">
                <v:path arrowok="t"/>
                <v:fill type="solid"/>
              </v:shape>
            </v:group>
            <v:group style="position:absolute;left:9978;top:1337;width:1078;height:993" coordorigin="9978,1337" coordsize="1078,993">
              <v:shape style="position:absolute;left:9978;top:1337;width:1078;height:993" coordorigin="9978,1337" coordsize="1078,993" path="m11055,1337l9978,1337,9978,2329,11055,2329,11055,1337xe" filled="true" fillcolor="#fcece3" stroked="false">
                <v:path arrowok="t"/>
                <v:fill type="solid"/>
              </v:shape>
            </v:group>
            <v:group style="position:absolute;left:2948;top:5290;width:3481;height:297" coordorigin="2948,5290" coordsize="3481,297">
              <v:shape style="position:absolute;left:2948;top:5290;width:3481;height:297" coordorigin="2948,5290" coordsize="3481,297" path="m6429,5290l2948,5290,2948,5586,6429,5586,6429,5290xe" filled="true" fillcolor="#fcece3" stroked="false">
                <v:path arrowok="t"/>
                <v:fill type="solid"/>
              </v:shape>
            </v:group>
            <v:group style="position:absolute;left:6429;top:5290;width:2461;height:297" coordorigin="6429,5290" coordsize="2461,297">
              <v:shape style="position:absolute;left:6429;top:5290;width:2461;height:297" coordorigin="6429,5290" coordsize="2461,297" path="m8889,5290l6429,5290,6429,5586,8889,5586,8889,5290xe" filled="true" fillcolor="#fcece3" stroked="false">
                <v:path arrowok="t"/>
                <v:fill type="solid"/>
              </v:shape>
            </v:group>
            <v:group style="position:absolute;left:8889;top:5290;width:2;height:297" coordorigin="8889,5290" coordsize="2,297">
              <v:shape style="position:absolute;left:8889;top:5290;width:2;height:297" coordorigin="8889,5290" coordsize="0,297" path="m8889,5290l8889,5586e" filled="false" stroked="true" strokeweight=".001pt" strokecolor="#fcece3">
                <v:path arrowok="t"/>
              </v:shape>
            </v:group>
            <v:group style="position:absolute;left:8889;top:5290;width:1089;height:297" coordorigin="8889,5290" coordsize="1089,297">
              <v:shape style="position:absolute;left:8889;top:5290;width:1089;height:297" coordorigin="8889,5290" coordsize="1089,297" path="m9978,5290l8889,5290,8889,5586,9978,5586,9978,5290xe" filled="true" fillcolor="#fcece3" stroked="false">
                <v:path arrowok="t"/>
                <v:fill type="solid"/>
              </v:shape>
            </v:group>
            <v:group style="position:absolute;left:9978;top:5290;width:1078;height:297" coordorigin="9978,5290" coordsize="1078,297">
              <v:shape style="position:absolute;left:9978;top:5290;width:1078;height:297" coordorigin="9978,5290" coordsize="1078,297" path="m11055,5290l9978,5290,9978,5586,11055,5586,11055,5290xe" filled="true" fillcolor="#fcece3" stroked="false">
                <v:path arrowok="t"/>
                <v:fill type="solid"/>
              </v:shape>
            </v:group>
            <v:group style="position:absolute;left:2948;top:5586;width:3481;height:1481" coordorigin="2948,5586" coordsize="3481,1481">
              <v:shape style="position:absolute;left:2948;top:5586;width:3481;height:1481" coordorigin="2948,5586" coordsize="3481,1481" path="m6429,5586l2948,5586,2948,7066,6429,7066,6429,5586xe" filled="true" fillcolor="#fcece3" stroked="false">
                <v:path arrowok="t"/>
                <v:fill type="solid"/>
              </v:shape>
            </v:group>
            <v:group style="position:absolute;left:6429;top:5586;width:2461;height:1481" coordorigin="6429,5586" coordsize="2461,1481">
              <v:shape style="position:absolute;left:6429;top:5586;width:2461;height:1481" coordorigin="6429,5586" coordsize="2461,1481" path="m8889,5586l6429,5586,6429,7066,8889,7066,8889,5586xe" filled="true" fillcolor="#fcece3" stroked="false">
                <v:path arrowok="t"/>
                <v:fill type="solid"/>
              </v:shape>
            </v:group>
            <v:group style="position:absolute;left:8889;top:5586;width:2;height:1481" coordorigin="8889,5586" coordsize="2,1481">
              <v:shape style="position:absolute;left:8889;top:5586;width:2;height:1481" coordorigin="8889,5586" coordsize="0,1481" path="m8889,5586l8889,7066e" filled="false" stroked="true" strokeweight=".001pt" strokecolor="#fcece3">
                <v:path arrowok="t"/>
              </v:shape>
            </v:group>
            <v:group style="position:absolute;left:8889;top:5586;width:1089;height:1481" coordorigin="8889,5586" coordsize="1089,1481">
              <v:shape style="position:absolute;left:8889;top:5586;width:1089;height:1481" coordorigin="8889,5586" coordsize="1089,1481" path="m9978,5586l8889,5586,8889,7066,9978,7066,9978,5586xe" filled="true" fillcolor="#fcece3" stroked="false">
                <v:path arrowok="t"/>
                <v:fill type="solid"/>
              </v:shape>
            </v:group>
            <v:group style="position:absolute;left:9978;top:5586;width:1078;height:1481" coordorigin="9978,5586" coordsize="1078,1481">
              <v:shape style="position:absolute;left:9978;top:5586;width:1078;height:1481" coordorigin="9978,5586" coordsize="1078,1481" path="m11055,5586l9978,5586,9978,7066,11055,7066,11055,5586xe" filled="true" fillcolor="#fcece3" stroked="false">
                <v:path arrowok="t"/>
                <v:fill type="solid"/>
              </v:shape>
            </v:group>
            <v:group style="position:absolute;left:2948;top:8842;width:3481;height:889" coordorigin="2948,8842" coordsize="3481,889">
              <v:shape style="position:absolute;left:2948;top:8842;width:3481;height:889" coordorigin="2948,8842" coordsize="3481,889" path="m6429,8842l2948,8842,2948,9731,6429,9731,6429,8842xe" filled="true" fillcolor="#fcece3" stroked="false">
                <v:path arrowok="t"/>
                <v:fill type="solid"/>
              </v:shape>
            </v:group>
            <v:group style="position:absolute;left:6429;top:8842;width:2461;height:889" coordorigin="6429,8842" coordsize="2461,889">
              <v:shape style="position:absolute;left:6429;top:8842;width:2461;height:889" coordorigin="6429,8842" coordsize="2461,889" path="m8889,8842l6429,8842,6429,9731,8889,9731,8889,8842xe" filled="true" fillcolor="#fcece3" stroked="false">
                <v:path arrowok="t"/>
                <v:fill type="solid"/>
              </v:shape>
            </v:group>
            <v:group style="position:absolute;left:8889;top:8842;width:2;height:889" coordorigin="8889,8842" coordsize="2,889">
              <v:shape style="position:absolute;left:8889;top:8842;width:2;height:889" coordorigin="8889,8842" coordsize="0,889" path="m8889,8842l8889,9731e" filled="false" stroked="true" strokeweight=".001pt" strokecolor="#fcece3">
                <v:path arrowok="t"/>
              </v:shape>
            </v:group>
            <v:group style="position:absolute;left:8889;top:8842;width:1089;height:889" coordorigin="8889,8842" coordsize="1089,889">
              <v:shape style="position:absolute;left:8889;top:8842;width:1089;height:889" coordorigin="8889,8842" coordsize="1089,889" path="m9978,8842l8889,8842,8889,9731,9978,9731,9978,8842xe" filled="true" fillcolor="#fcece3" stroked="false">
                <v:path arrowok="t"/>
                <v:fill type="solid"/>
              </v:shape>
            </v:group>
            <v:group style="position:absolute;left:9978;top:8842;width:1078;height:889" coordorigin="9978,8842" coordsize="1078,889">
              <v:shape style="position:absolute;left:9978;top:8842;width:1078;height:889" coordorigin="9978,8842" coordsize="1078,889" path="m11055,8842l9978,8842,9978,9731,11055,9731,11055,8842xe" filled="true" fillcolor="#fcece3" stroked="false">
                <v:path arrowok="t"/>
                <v:fill type="solid"/>
              </v:shape>
            </v:group>
            <v:group style="position:absolute;left:2948;top:9731;width:3481;height:889" coordorigin="2948,9731" coordsize="3481,889">
              <v:shape style="position:absolute;left:2948;top:9731;width:3481;height:889" coordorigin="2948,9731" coordsize="3481,889" path="m6429,9731l2948,9731,2948,10619,6429,10619,6429,9731xe" filled="true" fillcolor="#fcece3" stroked="false">
                <v:path arrowok="t"/>
                <v:fill type="solid"/>
              </v:shape>
            </v:group>
            <v:group style="position:absolute;left:6429;top:9731;width:2461;height:889" coordorigin="6429,9731" coordsize="2461,889">
              <v:shape style="position:absolute;left:6429;top:9731;width:2461;height:889" coordorigin="6429,9731" coordsize="2461,889" path="m8889,9731l6429,9731,6429,10619,8889,10619,8889,9731xe" filled="true" fillcolor="#fcece3" stroked="false">
                <v:path arrowok="t"/>
                <v:fill type="solid"/>
              </v:shape>
            </v:group>
            <v:group style="position:absolute;left:8889;top:9731;width:2;height:889" coordorigin="8889,9731" coordsize="2,889">
              <v:shape style="position:absolute;left:8889;top:9731;width:2;height:889" coordorigin="8889,9731" coordsize="0,889" path="m8889,9731l8889,10619e" filled="false" stroked="true" strokeweight=".001pt" strokecolor="#fcece3">
                <v:path arrowok="t"/>
              </v:shape>
            </v:group>
            <v:group style="position:absolute;left:8889;top:9731;width:1089;height:889" coordorigin="8889,9731" coordsize="1089,889">
              <v:shape style="position:absolute;left:8889;top:9731;width:1089;height:889" coordorigin="8889,9731" coordsize="1089,889" path="m9978,9731l8889,9731,8889,10619,9978,10619,9978,9731xe" filled="true" fillcolor="#fcece3" stroked="false">
                <v:path arrowok="t"/>
                <v:fill type="solid"/>
              </v:shape>
            </v:group>
            <v:group style="position:absolute;left:9978;top:9731;width:1078;height:889" coordorigin="9978,9731" coordsize="1078,889">
              <v:shape style="position:absolute;left:9978;top:9731;width:1078;height:889" coordorigin="9978,9731" coordsize="1078,889" path="m11055,9731l9978,9731,9978,10619,11055,10619,11055,9731xe" filled="true" fillcolor="#fcece3" stroked="false">
                <v:path arrowok="t"/>
                <v:fill type="solid"/>
              </v:shape>
            </v:group>
            <v:group style="position:absolute;left:1757;top:2329;width:1078;height:1185" coordorigin="1757,2329" coordsize="1078,1185">
              <v:shape style="position:absolute;left:1757;top:2329;width:1078;height:1185" coordorigin="1757,2329" coordsize="1078,1185" path="m2835,2329l1757,2329,1757,3513,2835,3513,2835,2329xe" filled="true" fillcolor="#c9caca" stroked="false">
                <v:path arrowok="t"/>
                <v:fill type="solid"/>
              </v:shape>
            </v:group>
            <v:group style="position:absolute;left:1757;top:7066;width:1078;height:889" coordorigin="1757,7066" coordsize="1078,889">
              <v:shape style="position:absolute;left:1757;top:7066;width:1078;height:889" coordorigin="1757,7066" coordsize="1078,889" path="m2835,7066l1757,7066,1757,7954,2835,7954,2835,7066xe" filled="true" fillcolor="#c9caca" stroked="false">
                <v:path arrowok="t"/>
                <v:fill type="solid"/>
              </v:shape>
            </v:group>
            <v:group style="position:absolute;left:2948;top:2329;width:3481;height:1185" coordorigin="2948,2329" coordsize="3481,1185">
              <v:shape style="position:absolute;left:2948;top:2329;width:3481;height:1185" coordorigin="2948,2329" coordsize="3481,1185" path="m6429,2329l2948,2329,2948,3513,6429,3513,6429,2329xe" filled="true" fillcolor="#efefef" stroked="false">
                <v:path arrowok="t"/>
                <v:fill type="solid"/>
              </v:shape>
            </v:group>
            <v:group style="position:absolute;left:6429;top:2329;width:2461;height:1185" coordorigin="6429,2329" coordsize="2461,1185">
              <v:shape style="position:absolute;left:6429;top:2329;width:2461;height:1185" coordorigin="6429,2329" coordsize="2461,1185" path="m8889,2329l6429,2329,6429,3513,8889,3513,8889,2329xe" filled="true" fillcolor="#efefef" stroked="false">
                <v:path arrowok="t"/>
                <v:fill type="solid"/>
              </v:shape>
            </v:group>
            <v:group style="position:absolute;left:8889;top:2329;width:2;height:1185" coordorigin="8889,2329" coordsize="2,1185">
              <v:shape style="position:absolute;left:8889;top:2329;width:2;height:1185" coordorigin="8889,2329" coordsize="0,1185" path="m8889,2329l8889,3513e" filled="false" stroked="true" strokeweight=".001pt" strokecolor="#efefef">
                <v:path arrowok="t"/>
              </v:shape>
            </v:group>
            <v:group style="position:absolute;left:8889;top:2329;width:1089;height:1185" coordorigin="8889,2329" coordsize="1089,1185">
              <v:shape style="position:absolute;left:8889;top:2329;width:1089;height:1185" coordorigin="8889,2329" coordsize="1089,1185" path="m9978,2329l8889,2329,8889,3513,9978,3513,9978,2329xe" filled="true" fillcolor="#efefef" stroked="false">
                <v:path arrowok="t"/>
                <v:fill type="solid"/>
              </v:shape>
            </v:group>
            <v:group style="position:absolute;left:9978;top:2329;width:1078;height:1185" coordorigin="9978,2329" coordsize="1078,1185">
              <v:shape style="position:absolute;left:9978;top:2329;width:1078;height:1185" coordorigin="9978,2329" coordsize="1078,1185" path="m11055,2329l9978,2329,9978,3513,11055,3513,11055,2329xe" filled="true" fillcolor="#efefef" stroked="false">
                <v:path arrowok="t"/>
                <v:fill type="solid"/>
              </v:shape>
            </v:group>
            <v:group style="position:absolute;left:2948;top:7066;width:3481;height:593" coordorigin="2948,7066" coordsize="3481,593">
              <v:shape style="position:absolute;left:2948;top:7066;width:3481;height:593" coordorigin="2948,7066" coordsize="3481,593" path="m6429,7066l2948,7066,2948,7658,6429,7658,6429,7066xe" filled="true" fillcolor="#efefef" stroked="false">
                <v:path arrowok="t"/>
                <v:fill type="solid"/>
              </v:shape>
            </v:group>
            <v:group style="position:absolute;left:6429;top:7066;width:2461;height:593" coordorigin="6429,7066" coordsize="2461,593">
              <v:shape style="position:absolute;left:6429;top:7066;width:2461;height:593" coordorigin="6429,7066" coordsize="2461,593" path="m8889,7066l6429,7066,6429,7658,8889,7658,8889,7066xe" filled="true" fillcolor="#efefef" stroked="false">
                <v:path arrowok="t"/>
                <v:fill type="solid"/>
              </v:shape>
            </v:group>
            <v:group style="position:absolute;left:8889;top:7066;width:2;height:593" coordorigin="8889,7066" coordsize="2,593">
              <v:shape style="position:absolute;left:8889;top:7066;width:2;height:593" coordorigin="8889,7066" coordsize="0,593" path="m8889,7066l8889,7658e" filled="false" stroked="true" strokeweight=".001pt" strokecolor="#efefef">
                <v:path arrowok="t"/>
              </v:shape>
            </v:group>
            <v:group style="position:absolute;left:8889;top:7066;width:1089;height:593" coordorigin="8889,7066" coordsize="1089,593">
              <v:shape style="position:absolute;left:8889;top:7066;width:1089;height:593" coordorigin="8889,7066" coordsize="1089,593" path="m9978,7066l8889,7066,8889,7658,9978,7658,9978,7066xe" filled="true" fillcolor="#efefef" stroked="false">
                <v:path arrowok="t"/>
                <v:fill type="solid"/>
              </v:shape>
            </v:group>
            <v:group style="position:absolute;left:9978;top:7066;width:1078;height:593" coordorigin="9978,7066" coordsize="1078,593">
              <v:shape style="position:absolute;left:9978;top:7066;width:1078;height:593" coordorigin="9978,7066" coordsize="1078,593" path="m11055,7066l9978,7066,9978,7658,11055,7658,11055,7066xe" filled="true" fillcolor="#efefef" stroked="false">
                <v:path arrowok="t"/>
                <v:fill type="solid"/>
              </v:shape>
            </v:group>
            <v:group style="position:absolute;left:2948;top:7658;width:3481;height:297" coordorigin="2948,7658" coordsize="3481,297">
              <v:shape style="position:absolute;left:2948;top:7658;width:3481;height:297" coordorigin="2948,7658" coordsize="3481,297" path="m6429,7658l2948,7658,2948,7954,6429,7954,6429,7658xe" filled="true" fillcolor="#efefef" stroked="false">
                <v:path arrowok="t"/>
                <v:fill type="solid"/>
              </v:shape>
            </v:group>
            <v:group style="position:absolute;left:6429;top:7658;width:2461;height:297" coordorigin="6429,7658" coordsize="2461,297">
              <v:shape style="position:absolute;left:6429;top:7658;width:2461;height:297" coordorigin="6429,7658" coordsize="2461,297" path="m8889,7658l6429,7658,6429,7954,8889,7954,8889,7658xe" filled="true" fillcolor="#efefef" stroked="false">
                <v:path arrowok="t"/>
                <v:fill type="solid"/>
              </v:shape>
            </v:group>
            <v:group style="position:absolute;left:8889;top:7658;width:2;height:297" coordorigin="8889,7658" coordsize="2,297">
              <v:shape style="position:absolute;left:8889;top:7658;width:2;height:297" coordorigin="8889,7658" coordsize="0,297" path="m8889,7658l8889,7954e" filled="false" stroked="true" strokeweight=".001pt" strokecolor="#efefef">
                <v:path arrowok="t"/>
              </v:shape>
            </v:group>
            <v:group style="position:absolute;left:8889;top:7658;width:1089;height:297" coordorigin="8889,7658" coordsize="1089,297">
              <v:shape style="position:absolute;left:8889;top:7658;width:1089;height:297" coordorigin="8889,7658" coordsize="1089,297" path="m9978,7658l8889,7658,8889,7954,9978,7954,9978,7658xe" filled="true" fillcolor="#efefef" stroked="false">
                <v:path arrowok="t"/>
                <v:fill type="solid"/>
              </v:shape>
            </v:group>
            <v:group style="position:absolute;left:9978;top:7658;width:1078;height:297" coordorigin="9978,7658" coordsize="1078,297">
              <v:shape style="position:absolute;left:9978;top:7658;width:1078;height:297" coordorigin="9978,7658" coordsize="1078,297" path="m11055,7658l9978,7658,9978,7954,11055,7954,11055,7658xe" filled="true" fillcolor="#efefef" stroked="false">
                <v:path arrowok="t"/>
                <v:fill type="solid"/>
              </v:shape>
            </v:group>
            <v:group style="position:absolute;left:1757;top:3513;width:1078;height:1777" coordorigin="1757,3513" coordsize="1078,1777">
              <v:shape style="position:absolute;left:1757;top:3513;width:1078;height:1777" coordorigin="1757,3513" coordsize="1078,1777" path="m2835,3513l1757,3513,1757,5290,2835,5290,2835,3513xe" filled="true" fillcolor="#cec1a6" stroked="false">
                <v:path arrowok="t"/>
                <v:fill type="solid"/>
              </v:shape>
            </v:group>
            <v:group style="position:absolute;left:1757;top:7954;width:1078;height:889" coordorigin="1757,7954" coordsize="1078,889">
              <v:shape style="position:absolute;left:1757;top:7954;width:1078;height:889" coordorigin="1757,7954" coordsize="1078,889" path="m2835,7954l1757,7954,1757,8842,2835,8842,2835,7954xe" filled="true" fillcolor="#cec1a6" stroked="false">
                <v:path arrowok="t"/>
                <v:fill type="solid"/>
              </v:shape>
            </v:group>
            <v:group style="position:absolute;left:2948;top:3513;width:3481;height:297" coordorigin="2948,3513" coordsize="3481,297">
              <v:shape style="position:absolute;left:2948;top:3513;width:3481;height:297" coordorigin="2948,3513" coordsize="3481,297" path="m6429,3513l2948,3513,2948,3809,6429,3809,6429,3513xe" filled="true" fillcolor="#ece7dd" stroked="false">
                <v:path arrowok="t"/>
                <v:fill type="solid"/>
              </v:shape>
            </v:group>
            <v:group style="position:absolute;left:6429;top:3513;width:2461;height:297" coordorigin="6429,3513" coordsize="2461,297">
              <v:shape style="position:absolute;left:6429;top:3513;width:2461;height:297" coordorigin="6429,3513" coordsize="2461,297" path="m8889,3513l6429,3513,6429,3809,8889,3809,8889,3513xe" filled="true" fillcolor="#ece7dd" stroked="false">
                <v:path arrowok="t"/>
                <v:fill type="solid"/>
              </v:shape>
            </v:group>
            <v:group style="position:absolute;left:8889;top:3513;width:2;height:297" coordorigin="8889,3513" coordsize="2,297">
              <v:shape style="position:absolute;left:8889;top:3513;width:2;height:297" coordorigin="8889,3513" coordsize="0,297" path="m8889,3513l8889,3809e" filled="false" stroked="true" strokeweight=".001pt" strokecolor="#ece7dd">
                <v:path arrowok="t"/>
              </v:shape>
            </v:group>
            <v:group style="position:absolute;left:8889;top:3513;width:1089;height:297" coordorigin="8889,3513" coordsize="1089,297">
              <v:shape style="position:absolute;left:8889;top:3513;width:1089;height:297" coordorigin="8889,3513" coordsize="1089,297" path="m9978,3513l8889,3513,8889,3809,9978,3809,9978,3513xe" filled="true" fillcolor="#ece7dd" stroked="false">
                <v:path arrowok="t"/>
                <v:fill type="solid"/>
              </v:shape>
            </v:group>
            <v:group style="position:absolute;left:9978;top:3513;width:1078;height:297" coordorigin="9978,3513" coordsize="1078,297">
              <v:shape style="position:absolute;left:9978;top:3513;width:1078;height:297" coordorigin="9978,3513" coordsize="1078,297" path="m11055,3513l9978,3513,9978,3809,11055,3809,11055,3513xe" filled="true" fillcolor="#ece7dd" stroked="false">
                <v:path arrowok="t"/>
                <v:fill type="solid"/>
              </v:shape>
            </v:group>
            <v:group style="position:absolute;left:2948;top:3809;width:3481;height:889" coordorigin="2948,3809" coordsize="3481,889">
              <v:shape style="position:absolute;left:2948;top:3809;width:3481;height:889" coordorigin="2948,3809" coordsize="3481,889" path="m6429,3809l2948,3809,2948,4698,6429,4698,6429,3809xe" filled="true" fillcolor="#ece7dd" stroked="false">
                <v:path arrowok="t"/>
                <v:fill type="solid"/>
              </v:shape>
            </v:group>
            <v:group style="position:absolute;left:6429;top:3809;width:2461;height:889" coordorigin="6429,3809" coordsize="2461,889">
              <v:shape style="position:absolute;left:6429;top:3809;width:2461;height:889" coordorigin="6429,3809" coordsize="2461,889" path="m8889,3809l6429,3809,6429,4698,8889,4698,8889,3809xe" filled="true" fillcolor="#ece7dd" stroked="false">
                <v:path arrowok="t"/>
                <v:fill type="solid"/>
              </v:shape>
            </v:group>
            <v:group style="position:absolute;left:8889;top:3809;width:2;height:889" coordorigin="8889,3809" coordsize="2,889">
              <v:shape style="position:absolute;left:8889;top:3809;width:2;height:889" coordorigin="8889,3809" coordsize="0,889" path="m8889,3809l8889,4698e" filled="false" stroked="true" strokeweight=".001pt" strokecolor="#ece7dd">
                <v:path arrowok="t"/>
              </v:shape>
            </v:group>
            <v:group style="position:absolute;left:8889;top:3809;width:1089;height:889" coordorigin="8889,3809" coordsize="1089,889">
              <v:shape style="position:absolute;left:8889;top:3809;width:1089;height:889" coordorigin="8889,3809" coordsize="1089,889" path="m9978,3809l8889,3809,8889,4698,9978,4698,9978,3809xe" filled="true" fillcolor="#ece7dd" stroked="false">
                <v:path arrowok="t"/>
                <v:fill type="solid"/>
              </v:shape>
            </v:group>
            <v:group style="position:absolute;left:9978;top:3809;width:1078;height:889" coordorigin="9978,3809" coordsize="1078,889">
              <v:shape style="position:absolute;left:9978;top:3809;width:1078;height:889" coordorigin="9978,3809" coordsize="1078,889" path="m11055,3809l9978,3809,9978,4698,11055,4698,11055,3809xe" filled="true" fillcolor="#ece7dd" stroked="false">
                <v:path arrowok="t"/>
                <v:fill type="solid"/>
              </v:shape>
            </v:group>
            <v:group style="position:absolute;left:2948;top:4698;width:3481;height:593" coordorigin="2948,4698" coordsize="3481,593">
              <v:shape style="position:absolute;left:2948;top:4698;width:3481;height:593" coordorigin="2948,4698" coordsize="3481,593" path="m6429,4698l2948,4698,2948,5290,6429,5290,6429,4698xe" filled="true" fillcolor="#ece7dd" stroked="false">
                <v:path arrowok="t"/>
                <v:fill type="solid"/>
              </v:shape>
            </v:group>
            <v:group style="position:absolute;left:6429;top:4698;width:2461;height:593" coordorigin="6429,4698" coordsize="2461,593">
              <v:shape style="position:absolute;left:6429;top:4698;width:2461;height:593" coordorigin="6429,4698" coordsize="2461,593" path="m8889,4698l6429,4698,6429,5290,8889,5290,8889,4698xe" filled="true" fillcolor="#ece7dd" stroked="false">
                <v:path arrowok="t"/>
                <v:fill type="solid"/>
              </v:shape>
            </v:group>
            <v:group style="position:absolute;left:8889;top:4698;width:2;height:593" coordorigin="8889,4698" coordsize="2,593">
              <v:shape style="position:absolute;left:8889;top:4698;width:2;height:593" coordorigin="8889,4698" coordsize="0,593" path="m8889,4698l8889,5290e" filled="false" stroked="true" strokeweight=".001pt" strokecolor="#ece7dd">
                <v:path arrowok="t"/>
              </v:shape>
            </v:group>
            <v:group style="position:absolute;left:8889;top:4698;width:1089;height:593" coordorigin="8889,4698" coordsize="1089,593">
              <v:shape style="position:absolute;left:8889;top:4698;width:1089;height:593" coordorigin="8889,4698" coordsize="1089,593" path="m9978,4698l8889,4698,8889,5290,9978,5290,9978,4698xe" filled="true" fillcolor="#ece7dd" stroked="false">
                <v:path arrowok="t"/>
                <v:fill type="solid"/>
              </v:shape>
            </v:group>
            <v:group style="position:absolute;left:9978;top:4698;width:1078;height:593" coordorigin="9978,4698" coordsize="1078,593">
              <v:shape style="position:absolute;left:9978;top:4698;width:1078;height:593" coordorigin="9978,4698" coordsize="1078,593" path="m11055,4698l9978,4698,9978,5290,11055,5290,11055,4698xe" filled="true" fillcolor="#ece7dd" stroked="false">
                <v:path arrowok="t"/>
                <v:fill type="solid"/>
              </v:shape>
            </v:group>
            <v:group style="position:absolute;left:2948;top:7954;width:3481;height:889" coordorigin="2948,7954" coordsize="3481,889">
              <v:shape style="position:absolute;left:2948;top:7954;width:3481;height:889" coordorigin="2948,7954" coordsize="3481,889" path="m6429,7954l2948,7954,2948,8842,6429,8842,6429,7954xe" filled="true" fillcolor="#ece7dd" stroked="false">
                <v:path arrowok="t"/>
                <v:fill type="solid"/>
              </v:shape>
            </v:group>
            <v:group style="position:absolute;left:6429;top:7954;width:2461;height:889" coordorigin="6429,7954" coordsize="2461,889">
              <v:shape style="position:absolute;left:6429;top:7954;width:2461;height:889" coordorigin="6429,7954" coordsize="2461,889" path="m8889,7954l6429,7954,6429,8842,8889,8842,8889,7954xe" filled="true" fillcolor="#ece7dd" stroked="false">
                <v:path arrowok="t"/>
                <v:fill type="solid"/>
              </v:shape>
            </v:group>
            <v:group style="position:absolute;left:8889;top:7954;width:2;height:889" coordorigin="8889,7954" coordsize="2,889">
              <v:shape style="position:absolute;left:8889;top:7954;width:2;height:889" coordorigin="8889,7954" coordsize="0,889" path="m8889,7954l8889,8842e" filled="false" stroked="true" strokeweight=".001pt" strokecolor="#ece7dd">
                <v:path arrowok="t"/>
              </v:shape>
            </v:group>
            <v:group style="position:absolute;left:8889;top:7954;width:1089;height:889" coordorigin="8889,7954" coordsize="1089,889">
              <v:shape style="position:absolute;left:8889;top:7954;width:1089;height:889" coordorigin="8889,7954" coordsize="1089,889" path="m9978,7954l8889,7954,8889,8842,9978,8842,9978,7954xe" filled="true" fillcolor="#ece7dd" stroked="false">
                <v:path arrowok="t"/>
                <v:fill type="solid"/>
              </v:shape>
            </v:group>
            <v:group style="position:absolute;left:9978;top:7954;width:1078;height:889" coordorigin="9978,7954" coordsize="1078,889">
              <v:shape style="position:absolute;left:9978;top:7954;width:1078;height:889" coordorigin="9978,7954" coordsize="1078,889" path="m11055,7954l9978,7954,9978,8842,11055,8842,11055,7954xe" filled="true" fillcolor="#ece7dd" stroked="false">
                <v:path arrowok="t"/>
                <v:fill type="solid"/>
              </v:shape>
            </v:group>
            <v:group style="position:absolute;left:1757;top:2319;width:1078;height:20" coordorigin="1757,2319" coordsize="1078,20">
              <v:shape style="position:absolute;left:1757;top:2319;width:1078;height:20" coordorigin="1757,2319" coordsize="1078,20" path="m1757,2339l2835,2339,2835,2319,1757,2319,1757,2339xe" filled="true" fillcolor="#ffffff" stroked="false">
                <v:path arrowok="t"/>
                <v:fill type="solid"/>
              </v:shape>
            </v:group>
            <v:group style="position:absolute;left:2835;top:2329;width:114;height:2" coordorigin="2835,2329" coordsize="114,2">
              <v:shape style="position:absolute;left:2835;top:2329;width:114;height:2" coordorigin="2835,2329" coordsize="114,0" path="m2835,2329l2948,2329e" filled="false" stroked="true" strokeweight="1pt" strokecolor="#ffffff">
                <v:path arrowok="t"/>
              </v:shape>
            </v:group>
            <v:group style="position:absolute;left:2948;top:2319;width:3481;height:20" coordorigin="2948,2319" coordsize="3481,20">
              <v:shape style="position:absolute;left:2948;top:2319;width:3481;height:20" coordorigin="2948,2319" coordsize="3481,20" path="m2948,2339l6429,2339,6429,2319,2948,2319,2948,2339xe" filled="true" fillcolor="#ffffff" stroked="false">
                <v:path arrowok="t"/>
                <v:fill type="solid"/>
              </v:shape>
            </v:group>
            <v:group style="position:absolute;left:6429;top:2319;width:2461;height:20" coordorigin="6429,2319" coordsize="2461,20">
              <v:shape style="position:absolute;left:6429;top:2319;width:2461;height:20" coordorigin="6429,2319" coordsize="2461,20" path="m6429,2339l8889,2339,8889,2319,6429,2319,6429,2339xe" filled="true" fillcolor="#ffffff" stroked="false">
                <v:path arrowok="t"/>
                <v:fill type="solid"/>
              </v:shape>
            </v:group>
            <v:group style="position:absolute;left:8889;top:2319;width:1089;height:20" coordorigin="8889,2319" coordsize="1089,20">
              <v:shape style="position:absolute;left:8889;top:2319;width:1089;height:20" coordorigin="8889,2319" coordsize="1089,20" path="m8889,2339l9978,2339,9978,2319,8889,2319,8889,2339xe" filled="true" fillcolor="#ffffff" stroked="false">
                <v:path arrowok="t"/>
                <v:fill type="solid"/>
              </v:shape>
            </v:group>
            <v:group style="position:absolute;left:9978;top:2319;width:1078;height:20" coordorigin="9978,2319" coordsize="1078,20">
              <v:shape style="position:absolute;left:9978;top:2319;width:1078;height:20" coordorigin="9978,2319" coordsize="1078,20" path="m9978,2339l11055,2339,11055,2319,9978,2319,9978,2339xe" filled="true" fillcolor="#ffffff" stroked="false">
                <v:path arrowok="t"/>
                <v:fill type="solid"/>
              </v:shape>
            </v:group>
            <v:group style="position:absolute;left:1757;top:3503;width:1078;height:20" coordorigin="1757,3503" coordsize="1078,20">
              <v:shape style="position:absolute;left:1757;top:3503;width:1078;height:20" coordorigin="1757,3503" coordsize="1078,20" path="m1757,3523l2835,3523,2835,3503,1757,3503,1757,3523xe" filled="true" fillcolor="#ffffff" stroked="false">
                <v:path arrowok="t"/>
                <v:fill type="solid"/>
              </v:shape>
            </v:group>
            <v:group style="position:absolute;left:2835;top:3513;width:114;height:2" coordorigin="2835,3513" coordsize="114,2">
              <v:shape style="position:absolute;left:2835;top:3513;width:114;height:2" coordorigin="2835,3513" coordsize="114,0" path="m2835,3513l2948,3513e" filled="false" stroked="true" strokeweight="1pt" strokecolor="#ffffff">
                <v:path arrowok="t"/>
              </v:shape>
            </v:group>
            <v:group style="position:absolute;left:2948;top:3503;width:3481;height:20" coordorigin="2948,3503" coordsize="3481,20">
              <v:shape style="position:absolute;left:2948;top:3503;width:3481;height:20" coordorigin="2948,3503" coordsize="3481,20" path="m2948,3523l6429,3523,6429,3503,2948,3503,2948,3523xe" filled="true" fillcolor="#ffffff" stroked="false">
                <v:path arrowok="t"/>
                <v:fill type="solid"/>
              </v:shape>
            </v:group>
            <v:group style="position:absolute;left:6429;top:3503;width:2461;height:20" coordorigin="6429,3503" coordsize="2461,20">
              <v:shape style="position:absolute;left:6429;top:3503;width:2461;height:20" coordorigin="6429,3503" coordsize="2461,20" path="m6429,3523l8889,3523,8889,3503,6429,3503,6429,3523xe" filled="true" fillcolor="#ffffff" stroked="false">
                <v:path arrowok="t"/>
                <v:fill type="solid"/>
              </v:shape>
            </v:group>
            <v:group style="position:absolute;left:8889;top:3503;width:1089;height:20" coordorigin="8889,3503" coordsize="1089,20">
              <v:shape style="position:absolute;left:8889;top:3503;width:1089;height:20" coordorigin="8889,3503" coordsize="1089,20" path="m8889,3523l9978,3523,9978,3503,8889,3503,8889,3523xe" filled="true" fillcolor="#ffffff" stroked="false">
                <v:path arrowok="t"/>
                <v:fill type="solid"/>
              </v:shape>
            </v:group>
            <v:group style="position:absolute;left:9978;top:3503;width:1078;height:20" coordorigin="9978,3503" coordsize="1078,20">
              <v:shape style="position:absolute;left:9978;top:3503;width:1078;height:20" coordorigin="9978,3503" coordsize="1078,20" path="m9978,3523l11055,3523,11055,3503,9978,3503,9978,3523xe" filled="true" fillcolor="#ffffff" stroked="false">
                <v:path arrowok="t"/>
                <v:fill type="solid"/>
              </v:shape>
            </v:group>
            <v:group style="position:absolute;left:1757;top:5280;width:1078;height:20" coordorigin="1757,5280" coordsize="1078,20">
              <v:shape style="position:absolute;left:1757;top:5280;width:1078;height:20" coordorigin="1757,5280" coordsize="1078,20" path="m1757,5300l2835,5300,2835,5280,1757,5280,1757,5300xe" filled="true" fillcolor="#ffffff" stroked="false">
                <v:path arrowok="t"/>
                <v:fill type="solid"/>
              </v:shape>
            </v:group>
            <v:group style="position:absolute;left:2835;top:5290;width:114;height:2" coordorigin="2835,5290" coordsize="114,2">
              <v:shape style="position:absolute;left:2835;top:5290;width:114;height:2" coordorigin="2835,5290" coordsize="114,0" path="m2835,5290l2948,5290e" filled="false" stroked="true" strokeweight="1pt" strokecolor="#ffffff">
                <v:path arrowok="t"/>
              </v:shape>
            </v:group>
            <v:group style="position:absolute;left:2948;top:5280;width:3481;height:20" coordorigin="2948,5280" coordsize="3481,20">
              <v:shape style="position:absolute;left:2948;top:5280;width:3481;height:20" coordorigin="2948,5280" coordsize="3481,20" path="m2948,5300l6429,5300,6429,5280,2948,5280,2948,5300xe" filled="true" fillcolor="#ffffff" stroked="false">
                <v:path arrowok="t"/>
                <v:fill type="solid"/>
              </v:shape>
            </v:group>
            <v:group style="position:absolute;left:6429;top:5280;width:2461;height:20" coordorigin="6429,5280" coordsize="2461,20">
              <v:shape style="position:absolute;left:6429;top:5280;width:2461;height:20" coordorigin="6429,5280" coordsize="2461,20" path="m6429,5300l8889,5300,8889,5280,6429,5280,6429,5300xe" filled="true" fillcolor="#ffffff" stroked="false">
                <v:path arrowok="t"/>
                <v:fill type="solid"/>
              </v:shape>
            </v:group>
            <v:group style="position:absolute;left:8889;top:5280;width:1089;height:20" coordorigin="8889,5280" coordsize="1089,20">
              <v:shape style="position:absolute;left:8889;top:5280;width:1089;height:20" coordorigin="8889,5280" coordsize="1089,20" path="m8889,5300l9978,5300,9978,5280,8889,5280,8889,5300xe" filled="true" fillcolor="#ffffff" stroked="false">
                <v:path arrowok="t"/>
                <v:fill type="solid"/>
              </v:shape>
            </v:group>
            <v:group style="position:absolute;left:9978;top:5280;width:1078;height:20" coordorigin="9978,5280" coordsize="1078,20">
              <v:shape style="position:absolute;left:9978;top:5280;width:1078;height:20" coordorigin="9978,5280" coordsize="1078,20" path="m9978,5300l11055,5300,11055,5280,9978,5280,9978,5300xe" filled="true" fillcolor="#ffffff" stroked="false">
                <v:path arrowok="t"/>
                <v:fill type="solid"/>
              </v:shape>
            </v:group>
            <v:group style="position:absolute;left:1757;top:7056;width:1078;height:20" coordorigin="1757,7056" coordsize="1078,20">
              <v:shape style="position:absolute;left:1757;top:7056;width:1078;height:20" coordorigin="1757,7056" coordsize="1078,20" path="m1757,7076l2835,7076,2835,7056,1757,7056,1757,7076xe" filled="true" fillcolor="#ffffff" stroked="false">
                <v:path arrowok="t"/>
                <v:fill type="solid"/>
              </v:shape>
            </v:group>
            <v:group style="position:absolute;left:2835;top:7066;width:114;height:2" coordorigin="2835,7066" coordsize="114,2">
              <v:shape style="position:absolute;left:2835;top:7066;width:114;height:2" coordorigin="2835,7066" coordsize="114,0" path="m2835,7066l2948,7066e" filled="false" stroked="true" strokeweight="1pt" strokecolor="#ffffff">
                <v:path arrowok="t"/>
              </v:shape>
            </v:group>
            <v:group style="position:absolute;left:2948;top:7056;width:3481;height:20" coordorigin="2948,7056" coordsize="3481,20">
              <v:shape style="position:absolute;left:2948;top:7056;width:3481;height:20" coordorigin="2948,7056" coordsize="3481,20" path="m2948,7076l6429,7076,6429,7056,2948,7056,2948,7076xe" filled="true" fillcolor="#ffffff" stroked="false">
                <v:path arrowok="t"/>
                <v:fill type="solid"/>
              </v:shape>
            </v:group>
            <v:group style="position:absolute;left:6429;top:7056;width:2461;height:20" coordorigin="6429,7056" coordsize="2461,20">
              <v:shape style="position:absolute;left:6429;top:7056;width:2461;height:20" coordorigin="6429,7056" coordsize="2461,20" path="m6429,7076l8889,7076,8889,7056,6429,7056,6429,7076xe" filled="true" fillcolor="#ffffff" stroked="false">
                <v:path arrowok="t"/>
                <v:fill type="solid"/>
              </v:shape>
            </v:group>
            <v:group style="position:absolute;left:8889;top:7056;width:1089;height:20" coordorigin="8889,7056" coordsize="1089,20">
              <v:shape style="position:absolute;left:8889;top:7056;width:1089;height:20" coordorigin="8889,7056" coordsize="1089,20" path="m8889,7076l9978,7076,9978,7056,8889,7056,8889,7076xe" filled="true" fillcolor="#ffffff" stroked="false">
                <v:path arrowok="t"/>
                <v:fill type="solid"/>
              </v:shape>
            </v:group>
            <v:group style="position:absolute;left:9978;top:7056;width:1078;height:20" coordorigin="9978,7056" coordsize="1078,20">
              <v:shape style="position:absolute;left:9978;top:7056;width:1078;height:20" coordorigin="9978,7056" coordsize="1078,20" path="m9978,7076l11055,7076,11055,7056,9978,7056,9978,7076xe" filled="true" fillcolor="#ffffff" stroked="false">
                <v:path arrowok="t"/>
                <v:fill type="solid"/>
              </v:shape>
            </v:group>
            <v:group style="position:absolute;left:1757;top:7944;width:1078;height:20" coordorigin="1757,7944" coordsize="1078,20">
              <v:shape style="position:absolute;left:1757;top:7944;width:1078;height:20" coordorigin="1757,7944" coordsize="1078,20" path="m1757,7964l2835,7964,2835,7944,1757,7944,1757,7964xe" filled="true" fillcolor="#ffffff" stroked="false">
                <v:path arrowok="t"/>
                <v:fill type="solid"/>
              </v:shape>
            </v:group>
            <v:group style="position:absolute;left:2835;top:7954;width:114;height:2" coordorigin="2835,7954" coordsize="114,2">
              <v:shape style="position:absolute;left:2835;top:7954;width:114;height:2" coordorigin="2835,7954" coordsize="114,0" path="m2835,7954l2948,7954e" filled="false" stroked="true" strokeweight="1pt" strokecolor="#ffffff">
                <v:path arrowok="t"/>
              </v:shape>
            </v:group>
            <v:group style="position:absolute;left:2948;top:7944;width:3481;height:20" coordorigin="2948,7944" coordsize="3481,20">
              <v:shape style="position:absolute;left:2948;top:7944;width:3481;height:20" coordorigin="2948,7944" coordsize="3481,20" path="m2948,7964l6429,7964,6429,7944,2948,7944,2948,7964xe" filled="true" fillcolor="#ffffff" stroked="false">
                <v:path arrowok="t"/>
                <v:fill type="solid"/>
              </v:shape>
            </v:group>
            <v:group style="position:absolute;left:6429;top:7944;width:2461;height:20" coordorigin="6429,7944" coordsize="2461,20">
              <v:shape style="position:absolute;left:6429;top:7944;width:2461;height:20" coordorigin="6429,7944" coordsize="2461,20" path="m6429,7964l8889,7964,8889,7944,6429,7944,6429,7964xe" filled="true" fillcolor="#ffffff" stroked="false">
                <v:path arrowok="t"/>
                <v:fill type="solid"/>
              </v:shape>
            </v:group>
            <v:group style="position:absolute;left:8889;top:7944;width:1089;height:20" coordorigin="8889,7944" coordsize="1089,20">
              <v:shape style="position:absolute;left:8889;top:7944;width:1089;height:20" coordorigin="8889,7944" coordsize="1089,20" path="m8889,7964l9978,7964,9978,7944,8889,7944,8889,7964xe" filled="true" fillcolor="#ffffff" stroked="false">
                <v:path arrowok="t"/>
                <v:fill type="solid"/>
              </v:shape>
            </v:group>
            <v:group style="position:absolute;left:9978;top:7944;width:1078;height:20" coordorigin="9978,7944" coordsize="1078,20">
              <v:shape style="position:absolute;left:9978;top:7944;width:1078;height:20" coordorigin="9978,7944" coordsize="1078,20" path="m9978,7964l11055,7964,11055,7944,9978,7944,9978,7964xe" filled="true" fillcolor="#ffffff" stroked="false">
                <v:path arrowok="t"/>
                <v:fill type="solid"/>
              </v:shape>
            </v:group>
            <v:group style="position:absolute;left:1757;top:8833;width:1078;height:20" coordorigin="1757,8833" coordsize="1078,20">
              <v:shape style="position:absolute;left:1757;top:8833;width:1078;height:20" coordorigin="1757,8833" coordsize="1078,20" path="m1757,8853l2835,8853,2835,8833,1757,8833,1757,8853xe" filled="true" fillcolor="#ffffff" stroked="false">
                <v:path arrowok="t"/>
                <v:fill type="solid"/>
              </v:shape>
            </v:group>
            <v:group style="position:absolute;left:2835;top:8843;width:114;height:2" coordorigin="2835,8843" coordsize="114,2">
              <v:shape style="position:absolute;left:2835;top:8843;width:114;height:2" coordorigin="2835,8843" coordsize="114,0" path="m2835,8843l2948,8843e" filled="false" stroked="true" strokeweight="1pt" strokecolor="#ffffff">
                <v:path arrowok="t"/>
              </v:shape>
            </v:group>
            <v:group style="position:absolute;left:2948;top:8833;width:3481;height:20" coordorigin="2948,8833" coordsize="3481,20">
              <v:shape style="position:absolute;left:2948;top:8833;width:3481;height:20" coordorigin="2948,8833" coordsize="3481,20" path="m2948,8853l6429,8853,6429,8833,2948,8833,2948,8853xe" filled="true" fillcolor="#ffffff" stroked="false">
                <v:path arrowok="t"/>
                <v:fill type="solid"/>
              </v:shape>
            </v:group>
            <v:group style="position:absolute;left:6429;top:8833;width:2461;height:20" coordorigin="6429,8833" coordsize="2461,20">
              <v:shape style="position:absolute;left:6429;top:8833;width:2461;height:20" coordorigin="6429,8833" coordsize="2461,20" path="m6429,8853l8889,8853,8889,8833,6429,8833,6429,8853xe" filled="true" fillcolor="#ffffff" stroked="false">
                <v:path arrowok="t"/>
                <v:fill type="solid"/>
              </v:shape>
            </v:group>
            <v:group style="position:absolute;left:8889;top:8833;width:1089;height:20" coordorigin="8889,8833" coordsize="1089,20">
              <v:shape style="position:absolute;left:8889;top:8833;width:1089;height:20" coordorigin="8889,8833" coordsize="1089,20" path="m8889,8853l9978,8853,9978,8833,8889,8833,8889,8853xe" filled="true" fillcolor="#ffffff" stroked="false">
                <v:path arrowok="t"/>
                <v:fill type="solid"/>
              </v:shape>
            </v:group>
            <v:group style="position:absolute;left:9978;top:8833;width:1078;height:20" coordorigin="9978,8833" coordsize="1078,20">
              <v:shape style="position:absolute;left:9978;top:8833;width:1078;height:20" coordorigin="9978,8833" coordsize="1078,20" path="m9978,8853l11055,8853,11055,8833,9978,8833,9978,8853xe" filled="true" fillcolor="#ffffff" stroked="false">
                <v:path arrowok="t"/>
                <v:fill type="solid"/>
              </v:shape>
            </v:group>
            <v:group style="position:absolute;left:1757;top:364;width:1078;height:2" coordorigin="1757,364" coordsize="1078,2">
              <v:shape style="position:absolute;left:1757;top:364;width:1078;height:2" coordorigin="1757,364" coordsize="1078,0" path="m1757,364l2835,364e" filled="false" stroked="true" strokeweight="2pt" strokecolor="#9c8758">
                <v:path arrowok="t"/>
              </v:shape>
            </v:group>
            <v:group style="position:absolute;left:2948;top:364;width:3481;height:2" coordorigin="2948,364" coordsize="3481,2">
              <v:shape style="position:absolute;left:2948;top:364;width:3481;height:2" coordorigin="2948,364" coordsize="3481,0" path="m2948,364l6429,364e" filled="false" stroked="true" strokeweight="2pt" strokecolor="#9c8758">
                <v:path arrowok="t"/>
              </v:shape>
            </v:group>
            <v:group style="position:absolute;left:6429;top:364;width:2461;height:2" coordorigin="6429,364" coordsize="2461,2">
              <v:shape style="position:absolute;left:6429;top:364;width:2461;height:2" coordorigin="6429,364" coordsize="2461,0" path="m6429,364l8889,364e" filled="false" stroked="true" strokeweight="2pt" strokecolor="#9c8758">
                <v:path arrowok="t"/>
              </v:shape>
            </v:group>
            <v:group style="position:absolute;left:8889;top:364;width:1089;height:2" coordorigin="8889,364" coordsize="1089,2">
              <v:shape style="position:absolute;left:8889;top:364;width:1089;height:2" coordorigin="8889,364" coordsize="1089,0" path="m8889,364l9978,364e" filled="false" stroked="true" strokeweight="2pt" strokecolor="#9c8758">
                <v:path arrowok="t"/>
              </v:shape>
            </v:group>
            <v:group style="position:absolute;left:9978;top:364;width:1078;height:2" coordorigin="9978,364" coordsize="1078,2">
              <v:shape style="position:absolute;left:9978;top:364;width:1078;height:2" coordorigin="9978,364" coordsize="1078,0" path="m9978,364l11055,364e" filled="false" stroked="true" strokeweight="2pt" strokecolor="#9c8758">
                <v:path arrowok="t"/>
              </v:shape>
              <v:shape style="position:absolute;left:2743;top:561;width:177;height:184" type="#_x0000_t75" stroked="false">
                <v:imagedata r:id="rId200" o:title=""/>
              </v:shape>
              <v:shape style="position:absolute;left:2743;top:2453;width:177;height:184" type="#_x0000_t75" stroked="false">
                <v:imagedata r:id="rId207" o:title=""/>
              </v:shape>
              <v:shape style="position:absolute;left:2743;top:3644;width:177;height:184" type="#_x0000_t75" stroked="false">
                <v:imagedata r:id="rId206" o:title=""/>
              </v:shape>
              <v:shape style="position:absolute;left:2743;top:5430;width:177;height:184" type="#_x0000_t75" stroked="false">
                <v:imagedata r:id="rId200" o:title=""/>
              </v:shape>
              <v:shape style="position:absolute;left:2743;top:7187;width:177;height:184" type="#_x0000_t75" stroked="false">
                <v:imagedata r:id="rId207" o:title=""/>
              </v:shape>
              <v:shape style="position:absolute;left:2743;top:8083;width:177;height:184" type="#_x0000_t75" stroked="false">
                <v:imagedata r:id="rId208" o:title=""/>
              </v:shape>
              <v:shape style="position:absolute;left:2743;top:8987;width:177;height:184" type="#_x0000_t75" stroked="false">
                <v:imagedata r:id="rId200" o:title=""/>
              </v:shape>
            </v:group>
            <w10:wrap type="none"/>
          </v:group>
        </w:pict>
      </w:r>
      <w:r>
        <w:rPr>
          <w:rFonts w:ascii="宋体" w:hAnsi="宋体" w:cs="宋体" w:eastAsia="宋体" w:hint="default"/>
          <w:sz w:val="16"/>
          <w:szCs w:val="16"/>
        </w:rPr>
        <w:t>任职人员姓名</w:t>
        <w:tab/>
        <w:t>其他单位名称</w:t>
        <w:tab/>
        <w:t>在其他单位担任的职务</w:t>
        <w:tab/>
        <w:t>任期起始日期</w:t>
      </w:r>
      <w:r>
        <w:rPr>
          <w:rFonts w:ascii="宋体" w:hAnsi="宋体" w:cs="宋体" w:eastAsia="宋体" w:hint="default"/>
          <w:spacing w:val="52"/>
          <w:sz w:val="16"/>
          <w:szCs w:val="16"/>
        </w:rPr>
        <w:t> </w:t>
      </w:r>
      <w:r>
        <w:rPr>
          <w:rFonts w:ascii="宋体" w:hAnsi="宋体" w:cs="宋体" w:eastAsia="宋体" w:hint="default"/>
          <w:sz w:val="16"/>
          <w:szCs w:val="16"/>
        </w:rPr>
        <w:t>任期终止日期</w:t>
      </w:r>
    </w:p>
    <w:p>
      <w:pPr>
        <w:spacing w:line="240" w:lineRule="auto" w:before="8"/>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160"/>
          <w:pgMar w:header="0" w:footer="298" w:top="2060" w:bottom="480" w:left="0" w:right="0"/>
        </w:sect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6"/>
        <w:rPr>
          <w:rFonts w:ascii="宋体" w:hAnsi="宋体" w:cs="宋体" w:eastAsia="宋体" w:hint="default"/>
          <w:sz w:val="15"/>
          <w:szCs w:val="15"/>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熊晓鸽</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21"/>
          <w:szCs w:val="21"/>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林旸川</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
        <w:rPr>
          <w:rFonts w:ascii="宋体" w:hAnsi="宋体" w:cs="宋体" w:eastAsia="宋体" w:hint="default"/>
          <w:sz w:val="17"/>
          <w:szCs w:val="17"/>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方向明</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9"/>
        <w:rPr>
          <w:rFonts w:ascii="宋体" w:hAnsi="宋体" w:cs="宋体" w:eastAsia="宋体" w:hint="default"/>
          <w:sz w:val="23"/>
          <w:szCs w:val="23"/>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邵广禄</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0"/>
        <w:rPr>
          <w:rFonts w:ascii="宋体" w:hAnsi="宋体" w:cs="宋体" w:eastAsia="宋体" w:hint="default"/>
          <w:sz w:val="21"/>
          <w:szCs w:val="21"/>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买彦州</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1"/>
        <w:rPr>
          <w:rFonts w:ascii="宋体" w:hAnsi="宋体" w:cs="宋体" w:eastAsia="宋体" w:hint="default"/>
          <w:sz w:val="19"/>
          <w:szCs w:val="19"/>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梁宝俊</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0"/>
        <w:rPr>
          <w:rFonts w:ascii="宋体" w:hAnsi="宋体" w:cs="宋体" w:eastAsia="宋体" w:hint="default"/>
          <w:sz w:val="21"/>
          <w:szCs w:val="21"/>
        </w:rPr>
      </w:pPr>
    </w:p>
    <w:p>
      <w:pPr>
        <w:spacing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朱可炳</w:t>
      </w:r>
    </w:p>
    <w:p>
      <w:pPr>
        <w:tabs>
          <w:tab w:pos="3909" w:val="left" w:leader="none"/>
          <w:tab w:pos="6369" w:val="left" w:leader="none"/>
          <w:tab w:pos="8102" w:val="left" w:leader="none"/>
        </w:tabs>
        <w:spacing w:before="38"/>
        <w:ind w:left="428"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IDG</w:t>
      </w:r>
      <w:r>
        <w:rPr>
          <w:rFonts w:ascii="宋体" w:hAnsi="宋体" w:cs="宋体" w:eastAsia="宋体" w:hint="default"/>
          <w:spacing w:val="-7"/>
          <w:sz w:val="16"/>
          <w:szCs w:val="16"/>
        </w:rPr>
        <w:t> </w:t>
      </w:r>
      <w:r>
        <w:rPr>
          <w:rFonts w:ascii="宋体" w:hAnsi="宋体" w:cs="宋体" w:eastAsia="宋体" w:hint="default"/>
          <w:sz w:val="16"/>
          <w:szCs w:val="16"/>
        </w:rPr>
        <w:t>资本</w:t>
        <w:tab/>
        <w:t>创始董事长</w:t>
        <w:tab/>
        <w:t>2006</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w w:val="105"/>
          <w:sz w:val="16"/>
          <w:szCs w:val="16"/>
        </w:rPr>
        <w:t>Mei</w:t>
      </w:r>
      <w:r>
        <w:rPr>
          <w:rFonts w:ascii="宋体" w:hAnsi="宋体" w:cs="宋体" w:eastAsia="宋体" w:hint="default"/>
          <w:spacing w:val="-60"/>
          <w:w w:val="105"/>
          <w:sz w:val="16"/>
          <w:szCs w:val="16"/>
        </w:rPr>
        <w:t> </w:t>
      </w:r>
      <w:r>
        <w:rPr>
          <w:rFonts w:ascii="宋体" w:hAnsi="宋体" w:cs="宋体" w:eastAsia="宋体" w:hint="default"/>
          <w:w w:val="105"/>
          <w:sz w:val="16"/>
          <w:szCs w:val="16"/>
        </w:rPr>
        <w:t>Ah</w:t>
      </w:r>
      <w:r>
        <w:rPr>
          <w:rFonts w:ascii="宋体" w:hAnsi="宋体" w:cs="宋体" w:eastAsia="宋体" w:hint="default"/>
          <w:spacing w:val="-60"/>
          <w:w w:val="105"/>
          <w:sz w:val="16"/>
          <w:szCs w:val="16"/>
        </w:rPr>
        <w:t> </w:t>
      </w:r>
      <w:r>
        <w:rPr>
          <w:rFonts w:ascii="宋体" w:hAnsi="宋体" w:cs="宋体" w:eastAsia="宋体" w:hint="default"/>
          <w:w w:val="105"/>
          <w:sz w:val="16"/>
          <w:szCs w:val="16"/>
        </w:rPr>
        <w:t>Entertainment</w:t>
      </w:r>
      <w:r>
        <w:rPr>
          <w:rFonts w:ascii="宋体" w:hAnsi="宋体" w:cs="宋体" w:eastAsia="宋体" w:hint="default"/>
          <w:spacing w:val="-60"/>
          <w:w w:val="105"/>
          <w:sz w:val="16"/>
          <w:szCs w:val="16"/>
        </w:rPr>
        <w:t> </w:t>
      </w:r>
      <w:r>
        <w:rPr>
          <w:rFonts w:ascii="宋体" w:hAnsi="宋体" w:cs="宋体" w:eastAsia="宋体" w:hint="default"/>
          <w:w w:val="105"/>
          <w:sz w:val="16"/>
          <w:szCs w:val="16"/>
        </w:rPr>
        <w:t>Group</w:t>
      </w:r>
      <w:r>
        <w:rPr>
          <w:rFonts w:ascii="宋体" w:hAnsi="宋体" w:cs="宋体" w:eastAsia="宋体" w:hint="default"/>
          <w:spacing w:val="-60"/>
          <w:w w:val="105"/>
          <w:sz w:val="16"/>
          <w:szCs w:val="16"/>
        </w:rPr>
        <w:t> </w:t>
      </w:r>
      <w:r>
        <w:rPr>
          <w:rFonts w:ascii="宋体" w:hAnsi="宋体" w:cs="宋体" w:eastAsia="宋体" w:hint="default"/>
          <w:w w:val="105"/>
          <w:sz w:val="16"/>
          <w:szCs w:val="16"/>
        </w:rPr>
        <w:t>Ltd.</w:t>
        <w:tab/>
      </w:r>
      <w:r>
        <w:rPr>
          <w:rFonts w:ascii="宋体" w:hAnsi="宋体" w:cs="宋体" w:eastAsia="宋体" w:hint="default"/>
          <w:sz w:val="16"/>
          <w:szCs w:val="16"/>
        </w:rPr>
        <w:t>非执行董事</w:t>
        <w:tab/>
      </w:r>
      <w:r>
        <w:rPr>
          <w:rFonts w:ascii="宋体" w:hAnsi="宋体" w:cs="宋体" w:eastAsia="宋体" w:hint="default"/>
          <w:w w:val="105"/>
          <w:sz w:val="16"/>
          <w:szCs w:val="16"/>
        </w:rPr>
        <w:t>2007</w:t>
      </w:r>
      <w:r>
        <w:rPr>
          <w:rFonts w:ascii="宋体" w:hAnsi="宋体" w:cs="宋体" w:eastAsia="宋体" w:hint="default"/>
          <w:spacing w:val="-43"/>
          <w:w w:val="105"/>
          <w:sz w:val="16"/>
          <w:szCs w:val="16"/>
        </w:rPr>
        <w:t> </w:t>
      </w:r>
      <w:r>
        <w:rPr>
          <w:rFonts w:ascii="宋体" w:hAnsi="宋体" w:cs="宋体" w:eastAsia="宋体" w:hint="default"/>
          <w:w w:val="105"/>
          <w:sz w:val="16"/>
          <w:szCs w:val="16"/>
        </w:rPr>
        <w:t>年</w:t>
      </w:r>
      <w:r>
        <w:rPr>
          <w:rFonts w:ascii="宋体" w:hAnsi="宋体" w:cs="宋体" w:eastAsia="宋体" w:hint="default"/>
          <w:spacing w:val="-42"/>
          <w:w w:val="105"/>
          <w:sz w:val="16"/>
          <w:szCs w:val="16"/>
        </w:rPr>
        <w:t> </w:t>
      </w:r>
      <w:r>
        <w:rPr>
          <w:rFonts w:ascii="宋体" w:hAnsi="宋体" w:cs="宋体" w:eastAsia="宋体" w:hint="default"/>
          <w:w w:val="105"/>
          <w:sz w:val="16"/>
          <w:szCs w:val="16"/>
        </w:rPr>
        <w:t>2</w:t>
      </w:r>
      <w:r>
        <w:rPr>
          <w:rFonts w:ascii="宋体" w:hAnsi="宋体" w:cs="宋体" w:eastAsia="宋体" w:hint="default"/>
          <w:spacing w:val="-43"/>
          <w:w w:val="105"/>
          <w:sz w:val="16"/>
          <w:szCs w:val="16"/>
        </w:rPr>
        <w:t> </w:t>
      </w:r>
      <w:r>
        <w:rPr>
          <w:rFonts w:ascii="宋体" w:hAnsi="宋体" w:cs="宋体" w:eastAsia="宋体" w:hint="default"/>
          <w:w w:val="105"/>
          <w:sz w:val="16"/>
          <w:szCs w:val="16"/>
        </w:rPr>
        <w:t>月</w:t>
        <w:tab/>
        <w:t>至今</w:t>
      </w:r>
    </w:p>
    <w:p>
      <w:pPr>
        <w:tabs>
          <w:tab w:pos="3909" w:val="left" w:leader="none"/>
          <w:tab w:pos="6369" w:val="left" w:leader="none"/>
          <w:tab w:pos="7538" w:val="left" w:leader="none"/>
        </w:tabs>
        <w:spacing w:line="290" w:lineRule="atLeast" w:before="6"/>
        <w:ind w:left="428" w:right="905" w:firstLine="0"/>
        <w:jc w:val="left"/>
        <w:rPr>
          <w:rFonts w:ascii="宋体" w:hAnsi="宋体" w:cs="宋体" w:eastAsia="宋体" w:hint="default"/>
          <w:sz w:val="16"/>
          <w:szCs w:val="16"/>
        </w:rPr>
      </w:pPr>
      <w:r>
        <w:rPr>
          <w:rFonts w:ascii="宋体" w:hAnsi="宋体" w:cs="宋体" w:eastAsia="宋体" w:hint="default"/>
          <w:w w:val="120"/>
          <w:sz w:val="16"/>
          <w:szCs w:val="16"/>
        </w:rPr>
        <w:t>WPP</w:t>
      </w:r>
      <w:r>
        <w:rPr>
          <w:rFonts w:ascii="宋体" w:hAnsi="宋体" w:cs="宋体" w:eastAsia="宋体" w:hint="default"/>
          <w:spacing w:val="-34"/>
          <w:w w:val="120"/>
          <w:sz w:val="16"/>
          <w:szCs w:val="16"/>
        </w:rPr>
        <w:t> </w:t>
      </w:r>
      <w:r>
        <w:rPr>
          <w:rFonts w:ascii="宋体" w:hAnsi="宋体" w:cs="宋体" w:eastAsia="宋体" w:hint="default"/>
          <w:w w:val="105"/>
          <w:sz w:val="16"/>
          <w:szCs w:val="16"/>
        </w:rPr>
        <w:t>plc</w:t>
        <w:tab/>
      </w:r>
      <w:r>
        <w:rPr>
          <w:rFonts w:ascii="宋体" w:hAnsi="宋体" w:cs="宋体" w:eastAsia="宋体" w:hint="default"/>
          <w:sz w:val="16"/>
          <w:szCs w:val="16"/>
        </w:rPr>
        <w:t>非执行董事</w:t>
        <w:tab/>
      </w:r>
      <w:r>
        <w:rPr>
          <w:rFonts w:ascii="宋体" w:hAnsi="宋体" w:cs="宋体" w:eastAsia="宋体" w:hint="default"/>
          <w:w w:val="105"/>
          <w:sz w:val="16"/>
          <w:szCs w:val="16"/>
        </w:rPr>
        <w:t>2013</w:t>
      </w:r>
      <w:r>
        <w:rPr>
          <w:rFonts w:ascii="宋体" w:hAnsi="宋体" w:cs="宋体" w:eastAsia="宋体" w:hint="default"/>
          <w:spacing w:val="-43"/>
          <w:w w:val="105"/>
          <w:sz w:val="16"/>
          <w:szCs w:val="16"/>
        </w:rPr>
        <w:t> </w:t>
      </w:r>
      <w:r>
        <w:rPr>
          <w:rFonts w:ascii="宋体" w:hAnsi="宋体" w:cs="宋体" w:eastAsia="宋体" w:hint="default"/>
          <w:w w:val="105"/>
          <w:sz w:val="16"/>
          <w:szCs w:val="16"/>
        </w:rPr>
        <w:t>年</w:t>
      </w:r>
      <w:r>
        <w:rPr>
          <w:rFonts w:ascii="宋体" w:hAnsi="宋体" w:cs="宋体" w:eastAsia="宋体" w:hint="default"/>
          <w:spacing w:val="-42"/>
          <w:w w:val="105"/>
          <w:sz w:val="16"/>
          <w:szCs w:val="16"/>
        </w:rPr>
        <w:t> </w:t>
      </w:r>
      <w:r>
        <w:rPr>
          <w:rFonts w:ascii="宋体" w:hAnsi="宋体" w:cs="宋体" w:eastAsia="宋体" w:hint="default"/>
          <w:w w:val="105"/>
          <w:sz w:val="16"/>
          <w:szCs w:val="16"/>
        </w:rPr>
        <w:t>5</w:t>
      </w:r>
      <w:r>
        <w:rPr>
          <w:rFonts w:ascii="宋体" w:hAnsi="宋体" w:cs="宋体" w:eastAsia="宋体" w:hint="default"/>
          <w:spacing w:val="-43"/>
          <w:w w:val="105"/>
          <w:sz w:val="16"/>
          <w:szCs w:val="16"/>
        </w:rPr>
        <w:t> </w:t>
      </w:r>
      <w:r>
        <w:rPr>
          <w:rFonts w:ascii="宋体" w:hAnsi="宋体" w:cs="宋体" w:eastAsia="宋体" w:hint="default"/>
          <w:w w:val="105"/>
          <w:sz w:val="16"/>
          <w:szCs w:val="16"/>
        </w:rPr>
        <w:t>月</w:t>
        <w:tab/>
        <w:t>2018</w:t>
      </w:r>
      <w:r>
        <w:rPr>
          <w:rFonts w:ascii="宋体" w:hAnsi="宋体" w:cs="宋体" w:eastAsia="宋体" w:hint="default"/>
          <w:spacing w:val="-43"/>
          <w:w w:val="105"/>
          <w:sz w:val="16"/>
          <w:szCs w:val="16"/>
        </w:rPr>
        <w:t> </w:t>
      </w:r>
      <w:r>
        <w:rPr>
          <w:rFonts w:ascii="宋体" w:hAnsi="宋体" w:cs="宋体" w:eastAsia="宋体" w:hint="default"/>
          <w:w w:val="105"/>
          <w:sz w:val="16"/>
          <w:szCs w:val="16"/>
        </w:rPr>
        <w:t>年</w:t>
      </w:r>
      <w:r>
        <w:rPr>
          <w:rFonts w:ascii="宋体" w:hAnsi="宋体" w:cs="宋体" w:eastAsia="宋体" w:hint="default"/>
          <w:spacing w:val="-42"/>
          <w:w w:val="105"/>
          <w:sz w:val="16"/>
          <w:szCs w:val="16"/>
        </w:rPr>
        <w:t> </w:t>
      </w:r>
      <w:r>
        <w:rPr>
          <w:rFonts w:ascii="宋体" w:hAnsi="宋体" w:cs="宋体" w:eastAsia="宋体" w:hint="default"/>
          <w:w w:val="105"/>
          <w:sz w:val="16"/>
          <w:szCs w:val="16"/>
        </w:rPr>
        <w:t>7</w:t>
      </w:r>
      <w:r>
        <w:rPr>
          <w:rFonts w:ascii="宋体" w:hAnsi="宋体" w:cs="宋体" w:eastAsia="宋体" w:hint="default"/>
          <w:spacing w:val="-43"/>
          <w:w w:val="105"/>
          <w:sz w:val="16"/>
          <w:szCs w:val="16"/>
        </w:rPr>
        <w:t> </w:t>
      </w:r>
      <w:r>
        <w:rPr>
          <w:rFonts w:ascii="宋体" w:hAnsi="宋体" w:cs="宋体" w:eastAsia="宋体" w:hint="default"/>
          <w:w w:val="105"/>
          <w:sz w:val="16"/>
          <w:szCs w:val="16"/>
        </w:rPr>
        <w:t>月</w:t>
      </w:r>
      <w:r>
        <w:rPr>
          <w:rFonts w:ascii="宋体" w:hAnsi="宋体" w:cs="宋体" w:eastAsia="宋体" w:hint="default"/>
          <w:sz w:val="16"/>
          <w:szCs w:val="16"/>
        </w:rPr>
        <w:t> </w:t>
      </w:r>
      <w:r>
        <w:rPr>
          <w:rFonts w:ascii="宋体" w:hAnsi="宋体" w:cs="宋体" w:eastAsia="宋体" w:hint="default"/>
          <w:w w:val="105"/>
          <w:sz w:val="16"/>
          <w:szCs w:val="16"/>
        </w:rPr>
        <w:t>IDG</w:t>
      </w:r>
      <w:r>
        <w:rPr>
          <w:rFonts w:ascii="宋体" w:hAnsi="宋体" w:cs="宋体" w:eastAsia="宋体" w:hint="default"/>
          <w:spacing w:val="-41"/>
          <w:w w:val="105"/>
          <w:sz w:val="16"/>
          <w:szCs w:val="16"/>
        </w:rPr>
        <w:t> </w:t>
      </w:r>
      <w:r>
        <w:rPr>
          <w:rFonts w:ascii="宋体" w:hAnsi="宋体" w:cs="宋体" w:eastAsia="宋体" w:hint="default"/>
          <w:w w:val="105"/>
          <w:sz w:val="16"/>
          <w:szCs w:val="16"/>
        </w:rPr>
        <w:t>Energy</w:t>
      </w:r>
      <w:r>
        <w:rPr>
          <w:rFonts w:ascii="宋体" w:hAnsi="宋体" w:cs="宋体" w:eastAsia="宋体" w:hint="default"/>
          <w:spacing w:val="-41"/>
          <w:w w:val="105"/>
          <w:sz w:val="16"/>
          <w:szCs w:val="16"/>
        </w:rPr>
        <w:t> </w:t>
      </w:r>
      <w:r>
        <w:rPr>
          <w:rFonts w:ascii="宋体" w:hAnsi="宋体" w:cs="宋体" w:eastAsia="宋体" w:hint="default"/>
          <w:w w:val="105"/>
          <w:sz w:val="16"/>
          <w:szCs w:val="16"/>
        </w:rPr>
        <w:t>Investment</w:t>
      </w:r>
      <w:r>
        <w:rPr>
          <w:rFonts w:ascii="宋体" w:hAnsi="宋体" w:cs="宋体" w:eastAsia="宋体" w:hint="default"/>
          <w:spacing w:val="-41"/>
          <w:w w:val="105"/>
          <w:sz w:val="16"/>
          <w:szCs w:val="16"/>
        </w:rPr>
        <w:t> </w:t>
      </w:r>
      <w:r>
        <w:rPr>
          <w:rFonts w:ascii="宋体" w:hAnsi="宋体" w:cs="宋体" w:eastAsia="宋体" w:hint="default"/>
          <w:w w:val="105"/>
          <w:sz w:val="16"/>
          <w:szCs w:val="16"/>
        </w:rPr>
        <w:t>Group</w:t>
      </w:r>
      <w:r>
        <w:rPr>
          <w:rFonts w:ascii="宋体" w:hAnsi="宋体" w:cs="宋体" w:eastAsia="宋体" w:hint="default"/>
          <w:sz w:val="16"/>
          <w:szCs w:val="16"/>
        </w:rPr>
      </w:r>
    </w:p>
    <w:p>
      <w:pPr>
        <w:tabs>
          <w:tab w:pos="3909" w:val="left" w:leader="none"/>
          <w:tab w:pos="6369" w:val="left" w:leader="none"/>
          <w:tab w:pos="8102" w:val="left" w:leader="none"/>
        </w:tabs>
        <w:spacing w:line="200" w:lineRule="exact" w:before="0"/>
        <w:ind w:left="428" w:right="0" w:firstLine="0"/>
        <w:jc w:val="left"/>
        <w:rPr>
          <w:rFonts w:ascii="宋体" w:hAnsi="宋体" w:cs="宋体" w:eastAsia="宋体" w:hint="default"/>
          <w:sz w:val="16"/>
          <w:szCs w:val="16"/>
        </w:rPr>
      </w:pPr>
      <w:r>
        <w:rPr>
          <w:rFonts w:ascii="宋体" w:hAnsi="宋体" w:cs="宋体" w:eastAsia="宋体" w:hint="default"/>
          <w:w w:val="90"/>
          <w:position w:val="-9"/>
          <w:sz w:val="16"/>
          <w:szCs w:val="16"/>
        </w:rPr>
        <w:t>Limited</w:t>
        <w:tab/>
      </w:r>
      <w:r>
        <w:rPr>
          <w:rFonts w:ascii="宋体" w:hAnsi="宋体" w:cs="宋体" w:eastAsia="宋体" w:hint="default"/>
          <w:sz w:val="16"/>
          <w:szCs w:val="16"/>
        </w:rPr>
        <w:t>非执行董事</w:t>
        <w:tab/>
        <w:t>2016</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spacing w:line="155" w:lineRule="exact" w:before="86"/>
        <w:ind w:left="428" w:right="0" w:firstLine="0"/>
        <w:jc w:val="left"/>
        <w:rPr>
          <w:rFonts w:ascii="宋体" w:hAnsi="宋体" w:cs="宋体" w:eastAsia="宋体" w:hint="default"/>
          <w:sz w:val="16"/>
          <w:szCs w:val="16"/>
        </w:rPr>
      </w:pPr>
      <w:r>
        <w:rPr>
          <w:rFonts w:ascii="宋体"/>
          <w:w w:val="85"/>
          <w:sz w:val="16"/>
        </w:rPr>
        <w:t>HJ Capital</w:t>
      </w:r>
      <w:r>
        <w:rPr>
          <w:rFonts w:ascii="宋体"/>
          <w:spacing w:val="-41"/>
          <w:w w:val="85"/>
          <w:sz w:val="16"/>
        </w:rPr>
        <w:t> </w:t>
      </w:r>
      <w:r>
        <w:rPr>
          <w:rFonts w:ascii="宋体"/>
          <w:w w:val="85"/>
          <w:sz w:val="16"/>
        </w:rPr>
        <w:t>(International)</w:t>
      </w:r>
      <w:r>
        <w:rPr>
          <w:rFonts w:ascii="宋体"/>
          <w:sz w:val="16"/>
        </w:rPr>
      </w:r>
    </w:p>
    <w:p>
      <w:pPr>
        <w:tabs>
          <w:tab w:pos="3909" w:val="left" w:leader="none"/>
          <w:tab w:pos="6369" w:val="left" w:leader="none"/>
          <w:tab w:pos="8102" w:val="left" w:leader="none"/>
        </w:tabs>
        <w:spacing w:line="255" w:lineRule="exact" w:before="0"/>
        <w:ind w:left="428" w:right="0" w:firstLine="0"/>
        <w:jc w:val="left"/>
        <w:rPr>
          <w:rFonts w:ascii="宋体" w:hAnsi="宋体" w:cs="宋体" w:eastAsia="宋体" w:hint="default"/>
          <w:sz w:val="16"/>
          <w:szCs w:val="16"/>
        </w:rPr>
      </w:pPr>
      <w:r>
        <w:rPr>
          <w:rFonts w:ascii="宋体" w:hAnsi="宋体" w:cs="宋体" w:eastAsia="宋体" w:hint="default"/>
          <w:w w:val="105"/>
          <w:sz w:val="16"/>
          <w:szCs w:val="16"/>
        </w:rPr>
        <w:t>Holdings</w:t>
      </w:r>
      <w:r>
        <w:rPr>
          <w:rFonts w:ascii="宋体" w:hAnsi="宋体" w:cs="宋体" w:eastAsia="宋体" w:hint="default"/>
          <w:spacing w:val="-51"/>
          <w:w w:val="105"/>
          <w:sz w:val="16"/>
          <w:szCs w:val="16"/>
        </w:rPr>
        <w:t> </w:t>
      </w:r>
      <w:r>
        <w:rPr>
          <w:rFonts w:ascii="宋体" w:hAnsi="宋体" w:cs="宋体" w:eastAsia="宋体" w:hint="default"/>
          <w:w w:val="105"/>
          <w:sz w:val="16"/>
          <w:szCs w:val="16"/>
        </w:rPr>
        <w:t>Company</w:t>
      </w:r>
      <w:r>
        <w:rPr>
          <w:rFonts w:ascii="宋体" w:hAnsi="宋体" w:cs="宋体" w:eastAsia="宋体" w:hint="default"/>
          <w:spacing w:val="-51"/>
          <w:w w:val="105"/>
          <w:sz w:val="16"/>
          <w:szCs w:val="16"/>
        </w:rPr>
        <w:t> </w:t>
      </w:r>
      <w:r>
        <w:rPr>
          <w:rFonts w:ascii="宋体" w:hAnsi="宋体" w:cs="宋体" w:eastAsia="宋体" w:hint="default"/>
          <w:w w:val="105"/>
          <w:sz w:val="16"/>
          <w:szCs w:val="16"/>
        </w:rPr>
        <w:t>Limited</w:t>
        <w:tab/>
      </w:r>
      <w:r>
        <w:rPr>
          <w:rFonts w:ascii="宋体" w:hAnsi="宋体" w:cs="宋体" w:eastAsia="宋体" w:hint="default"/>
          <w:position w:val="10"/>
          <w:sz w:val="16"/>
          <w:szCs w:val="16"/>
        </w:rPr>
        <w:t>非执行董事</w:t>
        <w:tab/>
      </w:r>
      <w:r>
        <w:rPr>
          <w:rFonts w:ascii="宋体" w:hAnsi="宋体" w:cs="宋体" w:eastAsia="宋体" w:hint="default"/>
          <w:w w:val="105"/>
          <w:position w:val="10"/>
          <w:sz w:val="16"/>
          <w:szCs w:val="16"/>
        </w:rPr>
        <w:t>2017</w:t>
      </w:r>
      <w:r>
        <w:rPr>
          <w:rFonts w:ascii="宋体" w:hAnsi="宋体" w:cs="宋体" w:eastAsia="宋体" w:hint="default"/>
          <w:spacing w:val="-43"/>
          <w:w w:val="105"/>
          <w:position w:val="10"/>
          <w:sz w:val="16"/>
          <w:szCs w:val="16"/>
        </w:rPr>
        <w:t> </w:t>
      </w:r>
      <w:r>
        <w:rPr>
          <w:rFonts w:ascii="宋体" w:hAnsi="宋体" w:cs="宋体" w:eastAsia="宋体" w:hint="default"/>
          <w:w w:val="105"/>
          <w:position w:val="10"/>
          <w:sz w:val="16"/>
          <w:szCs w:val="16"/>
        </w:rPr>
        <w:t>年</w:t>
      </w:r>
      <w:r>
        <w:rPr>
          <w:rFonts w:ascii="宋体" w:hAnsi="宋体" w:cs="宋体" w:eastAsia="宋体" w:hint="default"/>
          <w:spacing w:val="-42"/>
          <w:w w:val="105"/>
          <w:position w:val="10"/>
          <w:sz w:val="16"/>
          <w:szCs w:val="16"/>
        </w:rPr>
        <w:t> </w:t>
      </w:r>
      <w:r>
        <w:rPr>
          <w:rFonts w:ascii="宋体" w:hAnsi="宋体" w:cs="宋体" w:eastAsia="宋体" w:hint="default"/>
          <w:w w:val="105"/>
          <w:position w:val="10"/>
          <w:sz w:val="16"/>
          <w:szCs w:val="16"/>
        </w:rPr>
        <w:t>9</w:t>
      </w:r>
      <w:r>
        <w:rPr>
          <w:rFonts w:ascii="宋体" w:hAnsi="宋体" w:cs="宋体" w:eastAsia="宋体" w:hint="default"/>
          <w:spacing w:val="-43"/>
          <w:w w:val="105"/>
          <w:position w:val="10"/>
          <w:sz w:val="16"/>
          <w:szCs w:val="16"/>
        </w:rPr>
        <w:t> </w:t>
      </w:r>
      <w:r>
        <w:rPr>
          <w:rFonts w:ascii="宋体" w:hAnsi="宋体" w:cs="宋体" w:eastAsia="宋体" w:hint="default"/>
          <w:w w:val="105"/>
          <w:position w:val="10"/>
          <w:sz w:val="16"/>
          <w:szCs w:val="16"/>
        </w:rPr>
        <w:t>月</w:t>
        <w:tab/>
        <w:t>至今</w:t>
      </w:r>
      <w:r>
        <w:rPr>
          <w:rFonts w:ascii="宋体" w:hAnsi="宋体" w:cs="宋体" w:eastAsia="宋体" w:hint="default"/>
          <w:w w:val="105"/>
          <w:sz w:val="16"/>
          <w:szCs w:val="16"/>
        </w:rPr>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联通集团财务有限公司</w:t>
        <w:tab/>
        <w:t>监事</w:t>
        <w:tab/>
        <w:t>2016</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中国通信企业协会法治工作委员会</w:t>
        <w:tab/>
        <w:t>副主任委员</w:t>
        <w:tab/>
        <w:t>2016</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北京通信法制研究会</w:t>
        <w:tab/>
        <w:t>副会长</w:t>
        <w:tab/>
        <w:t>2011</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中国法学会信息法研究会</w:t>
        <w:tab/>
        <w:t>理事</w:t>
        <w:tab/>
        <w:t>2015</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诚通基金管理有限公司</w:t>
        <w:tab/>
        <w:t>副总经理</w:t>
        <w:tab/>
        <w:t>2016</w:t>
      </w:r>
      <w:r>
        <w:rPr>
          <w:rFonts w:ascii="宋体" w:hAnsi="宋体" w:cs="宋体" w:eastAsia="宋体" w:hint="default"/>
          <w:spacing w:val="-24"/>
          <w:sz w:val="16"/>
          <w:szCs w:val="16"/>
        </w:rPr>
        <w:t> </w:t>
      </w:r>
      <w:r>
        <w:rPr>
          <w:rFonts w:ascii="宋体" w:hAnsi="宋体" w:cs="宋体" w:eastAsia="宋体" w:hint="default"/>
          <w:sz w:val="16"/>
          <w:szCs w:val="16"/>
        </w:rPr>
        <w:t>年</w:t>
      </w:r>
      <w:r>
        <w:rPr>
          <w:rFonts w:ascii="宋体" w:hAnsi="宋体" w:cs="宋体" w:eastAsia="宋体" w:hint="default"/>
          <w:spacing w:val="-23"/>
          <w:sz w:val="16"/>
          <w:szCs w:val="16"/>
        </w:rPr>
        <w:t> </w:t>
      </w:r>
      <w:r>
        <w:rPr>
          <w:rFonts w:ascii="宋体" w:hAnsi="宋体" w:cs="宋体" w:eastAsia="宋体" w:hint="default"/>
          <w:sz w:val="16"/>
          <w:szCs w:val="16"/>
        </w:rPr>
        <w:t>10</w:t>
      </w:r>
      <w:r>
        <w:rPr>
          <w:rFonts w:ascii="宋体" w:hAnsi="宋体" w:cs="宋体" w:eastAsia="宋体" w:hint="default"/>
          <w:spacing w:val="-24"/>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宁波梅山保税港区锦甜河投资管理有限公司</w:t>
        <w:tab/>
        <w:t>执行董事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宁波梅山保税港区坤玉河投资管理有限公司</w:t>
        <w:tab/>
        <w:t>执行董事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赛领国际投资基金（上海）有限公司</w:t>
        <w:tab/>
        <w:t>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1</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赛领资本管理有限公司</w:t>
        <w:tab/>
        <w:t>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1</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全国妇联第十二届执行委员会</w:t>
        <w:tab/>
        <w:t>委员</w:t>
        <w:tab/>
        <w:t>2018</w:t>
      </w:r>
      <w:r>
        <w:rPr>
          <w:rFonts w:ascii="宋体" w:hAnsi="宋体" w:cs="宋体" w:eastAsia="宋体" w:hint="default"/>
          <w:spacing w:val="-24"/>
          <w:sz w:val="16"/>
          <w:szCs w:val="16"/>
        </w:rPr>
        <w:t> </w:t>
      </w:r>
      <w:r>
        <w:rPr>
          <w:rFonts w:ascii="宋体" w:hAnsi="宋体" w:cs="宋体" w:eastAsia="宋体" w:hint="default"/>
          <w:sz w:val="16"/>
          <w:szCs w:val="16"/>
        </w:rPr>
        <w:t>年</w:t>
      </w:r>
      <w:r>
        <w:rPr>
          <w:rFonts w:ascii="宋体" w:hAnsi="宋体" w:cs="宋体" w:eastAsia="宋体" w:hint="default"/>
          <w:spacing w:val="-23"/>
          <w:sz w:val="16"/>
          <w:szCs w:val="16"/>
        </w:rPr>
        <w:t> </w:t>
      </w:r>
      <w:r>
        <w:rPr>
          <w:rFonts w:ascii="宋体" w:hAnsi="宋体" w:cs="宋体" w:eastAsia="宋体" w:hint="default"/>
          <w:sz w:val="16"/>
          <w:szCs w:val="16"/>
        </w:rPr>
        <w:t>11</w:t>
      </w:r>
      <w:r>
        <w:rPr>
          <w:rFonts w:ascii="宋体" w:hAnsi="宋体" w:cs="宋体" w:eastAsia="宋体" w:hint="default"/>
          <w:spacing w:val="-24"/>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联通红筹公司</w:t>
        <w:tab/>
        <w:t>执行董事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联通红筹公司</w:t>
        <w:tab/>
        <w:t>高级副总裁</w:t>
        <w:tab/>
        <w:t>2011</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4</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联通运营公司</w:t>
        <w:tab/>
        <w:t>董事、高级副总裁</w:t>
        <w:tab/>
        <w:t>2011</w:t>
      </w:r>
      <w:r>
        <w:rPr>
          <w:rFonts w:ascii="宋体" w:hAnsi="宋体" w:cs="宋体" w:eastAsia="宋体" w:hint="default"/>
          <w:spacing w:val="-24"/>
          <w:sz w:val="16"/>
          <w:szCs w:val="16"/>
        </w:rPr>
        <w:t> </w:t>
      </w:r>
      <w:r>
        <w:rPr>
          <w:rFonts w:ascii="宋体" w:hAnsi="宋体" w:cs="宋体" w:eastAsia="宋体" w:hint="default"/>
          <w:sz w:val="16"/>
          <w:szCs w:val="16"/>
        </w:rPr>
        <w:t>年</w:t>
      </w:r>
      <w:r>
        <w:rPr>
          <w:rFonts w:ascii="宋体" w:hAnsi="宋体" w:cs="宋体" w:eastAsia="宋体" w:hint="default"/>
          <w:spacing w:val="-23"/>
          <w:sz w:val="16"/>
          <w:szCs w:val="16"/>
        </w:rPr>
        <w:t> </w:t>
      </w:r>
      <w:r>
        <w:rPr>
          <w:rFonts w:ascii="宋体" w:hAnsi="宋体" w:cs="宋体" w:eastAsia="宋体" w:hint="default"/>
          <w:sz w:val="16"/>
          <w:szCs w:val="16"/>
        </w:rPr>
        <w:t>11</w:t>
      </w:r>
      <w:r>
        <w:rPr>
          <w:rFonts w:ascii="宋体" w:hAnsi="宋体" w:cs="宋体" w:eastAsia="宋体" w:hint="default"/>
          <w:spacing w:val="-24"/>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香港电讯盈科有限公司</w:t>
        <w:tab/>
        <w:t>非执行董事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中国通信服务股份有限公司</w:t>
        <w:tab/>
        <w:t>非执行董事</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3</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中国铁塔股份有限公司</w:t>
        <w:tab/>
        <w:t>非执行董事</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7</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联通红筹公司</w:t>
        <w:tab/>
        <w:t>高级副总裁</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联通运营公司</w:t>
        <w:tab/>
        <w:t>董事、高级副总裁</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招联消费金融有限公司</w:t>
        <w:tab/>
        <w:t>董事</w:t>
        <w:tab/>
        <w:t>2018</w:t>
      </w:r>
      <w:r>
        <w:rPr>
          <w:rFonts w:ascii="宋体" w:hAnsi="宋体" w:cs="宋体" w:eastAsia="宋体" w:hint="default"/>
          <w:spacing w:val="-24"/>
          <w:sz w:val="16"/>
          <w:szCs w:val="16"/>
        </w:rPr>
        <w:t> </w:t>
      </w:r>
      <w:r>
        <w:rPr>
          <w:rFonts w:ascii="宋体" w:hAnsi="宋体" w:cs="宋体" w:eastAsia="宋体" w:hint="default"/>
          <w:sz w:val="16"/>
          <w:szCs w:val="16"/>
        </w:rPr>
        <w:t>年</w:t>
      </w:r>
      <w:r>
        <w:rPr>
          <w:rFonts w:ascii="宋体" w:hAnsi="宋体" w:cs="宋体" w:eastAsia="宋体" w:hint="default"/>
          <w:spacing w:val="-23"/>
          <w:sz w:val="16"/>
          <w:szCs w:val="16"/>
        </w:rPr>
        <w:t> </w:t>
      </w:r>
      <w:r>
        <w:rPr>
          <w:rFonts w:ascii="宋体" w:hAnsi="宋体" w:cs="宋体" w:eastAsia="宋体" w:hint="default"/>
          <w:sz w:val="16"/>
          <w:szCs w:val="16"/>
        </w:rPr>
        <w:t>11</w:t>
      </w:r>
      <w:r>
        <w:rPr>
          <w:rFonts w:ascii="宋体" w:hAnsi="宋体" w:cs="宋体" w:eastAsia="宋体" w:hint="default"/>
          <w:spacing w:val="-24"/>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联通红筹公司</w:t>
        <w:tab/>
        <w:t>高级副总裁</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联通运营公司</w:t>
        <w:tab/>
        <w:t>董事、高级副总裁</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云粒智慧科技有限公司</w:t>
        <w:tab/>
        <w:t>董事长</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联通红筹公司</w:t>
        <w:tab/>
        <w:t>执行董事、首席财务官</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联通运营公司</w:t>
        <w:tab/>
        <w:t>董事、首席财务官</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香港电讯盈科有限公司</w:t>
        <w:tab/>
        <w:t>非执行董事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香港电讯管理有限公司</w:t>
        <w:tab/>
        <w:t>非执行董事</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tabs>
          <w:tab w:pos="3909" w:val="left" w:leader="none"/>
          <w:tab w:pos="6369" w:val="left" w:leader="none"/>
          <w:tab w:pos="7538"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华宝信托有限责任公司</w:t>
        <w:tab/>
        <w:t>董事长</w:t>
        <w:tab/>
        <w:t>2017</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5</w:t>
      </w:r>
      <w:r>
        <w:rPr>
          <w:rFonts w:ascii="宋体" w:hAnsi="宋体" w:cs="宋体" w:eastAsia="宋体" w:hint="default"/>
          <w:spacing w:val="-27"/>
          <w:sz w:val="16"/>
          <w:szCs w:val="16"/>
        </w:rPr>
        <w:t> </w:t>
      </w:r>
      <w:r>
        <w:rPr>
          <w:rFonts w:ascii="宋体" w:hAnsi="宋体" w:cs="宋体" w:eastAsia="宋体" w:hint="default"/>
          <w:sz w:val="16"/>
          <w:szCs w:val="16"/>
        </w:rPr>
        <w:t>月</w:t>
        <w:tab/>
        <w:t>2019</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w:t>
      </w:r>
    </w:p>
    <w:p>
      <w:pPr>
        <w:tabs>
          <w:tab w:pos="3909" w:val="left" w:leader="none"/>
          <w:tab w:pos="6369" w:val="left" w:leader="none"/>
          <w:tab w:pos="8102" w:val="left" w:leader="none"/>
        </w:tabs>
        <w:spacing w:before="86"/>
        <w:ind w:left="428" w:right="0" w:firstLine="0"/>
        <w:jc w:val="left"/>
        <w:rPr>
          <w:rFonts w:ascii="宋体" w:hAnsi="宋体" w:cs="宋体" w:eastAsia="宋体" w:hint="default"/>
          <w:sz w:val="16"/>
          <w:szCs w:val="16"/>
        </w:rPr>
      </w:pPr>
      <w:r>
        <w:rPr>
          <w:rFonts w:ascii="宋体" w:hAnsi="宋体" w:cs="宋体" w:eastAsia="宋体" w:hint="default"/>
          <w:sz w:val="16"/>
          <w:szCs w:val="16"/>
        </w:rPr>
        <w:t>宝钢集团财务有限责任公司</w:t>
        <w:tab/>
        <w:t>董事长</w:t>
        <w:tab/>
        <w:t>2014</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6</w:t>
      </w:r>
      <w:r>
        <w:rPr>
          <w:rFonts w:ascii="宋体" w:hAnsi="宋体" w:cs="宋体" w:eastAsia="宋体" w:hint="default"/>
          <w:spacing w:val="-27"/>
          <w:sz w:val="16"/>
          <w:szCs w:val="16"/>
        </w:rPr>
        <w:t> </w:t>
      </w:r>
      <w:r>
        <w:rPr>
          <w:rFonts w:ascii="宋体" w:hAnsi="宋体" w:cs="宋体" w:eastAsia="宋体" w:hint="default"/>
          <w:sz w:val="16"/>
          <w:szCs w:val="16"/>
        </w:rPr>
        <w:t>月</w:t>
        <w:tab/>
        <w:t>至今</w:t>
      </w:r>
    </w:p>
    <w:p>
      <w:pPr>
        <w:spacing w:after="0"/>
        <w:jc w:val="left"/>
        <w:rPr>
          <w:rFonts w:ascii="宋体" w:hAnsi="宋体" w:cs="宋体" w:eastAsia="宋体" w:hint="default"/>
          <w:sz w:val="16"/>
          <w:szCs w:val="16"/>
        </w:rPr>
        <w:sectPr>
          <w:type w:val="continuous"/>
          <w:pgSz w:w="11910" w:h="16160"/>
          <w:pgMar w:top="1520" w:bottom="280" w:left="0" w:right="0"/>
          <w:cols w:num="2" w:equalWidth="0">
            <w:col w:w="2537" w:space="40"/>
            <w:col w:w="9333"/>
          </w:cols>
        </w:sectPr>
      </w:pPr>
    </w:p>
    <w:tbl>
      <w:tblPr>
        <w:tblW w:w="0" w:type="auto"/>
        <w:jc w:val="left"/>
        <w:tblInd w:w="1190" w:type="dxa"/>
        <w:tblLayout w:type="fixed"/>
        <w:tblCellMar>
          <w:top w:w="0" w:type="dxa"/>
          <w:left w:w="0" w:type="dxa"/>
          <w:bottom w:w="0" w:type="dxa"/>
          <w:right w:w="0" w:type="dxa"/>
        </w:tblCellMar>
        <w:tblLook w:val="01E0"/>
      </w:tblPr>
      <w:tblGrid>
        <w:gridCol w:w="1077"/>
        <w:gridCol w:w="113"/>
        <w:gridCol w:w="2277"/>
        <w:gridCol w:w="3131"/>
        <w:gridCol w:w="1898"/>
        <w:gridCol w:w="801"/>
      </w:tblGrid>
      <w:tr>
        <w:trPr>
          <w:trHeight w:val="645" w:hRule="exact"/>
        </w:trPr>
        <w:tc>
          <w:tcPr>
            <w:tcW w:w="1077" w:type="dxa"/>
            <w:tcBorders>
              <w:top w:val="nil" w:sz="6" w:space="0" w:color="auto"/>
              <w:left w:val="nil" w:sz="6" w:space="0" w:color="auto"/>
              <w:bottom w:val="nil" w:sz="6" w:space="0" w:color="auto"/>
              <w:right w:val="nil" w:sz="6" w:space="0" w:color="auto"/>
            </w:tcBorders>
            <w:shd w:val="clear" w:color="auto" w:fill="C9CACA"/>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left="298" w:right="0"/>
              <w:jc w:val="left"/>
              <w:rPr>
                <w:rFonts w:ascii="宋体" w:hAnsi="宋体" w:cs="宋体" w:eastAsia="宋体" w:hint="default"/>
                <w:sz w:val="16"/>
                <w:szCs w:val="16"/>
              </w:rPr>
            </w:pPr>
            <w:r>
              <w:rPr>
                <w:rFonts w:ascii="宋体" w:hAnsi="宋体" w:cs="宋体" w:eastAsia="宋体" w:hint="default"/>
                <w:sz w:val="16"/>
                <w:szCs w:val="16"/>
              </w:rPr>
              <w:t>范云军</w:t>
            </w:r>
          </w:p>
        </w:tc>
        <w:tc>
          <w:tcPr>
            <w:tcW w:w="113" w:type="dxa"/>
            <w:tcBorders>
              <w:top w:val="nil" w:sz="6" w:space="0" w:color="auto"/>
              <w:left w:val="nil" w:sz="6" w:space="0" w:color="auto"/>
              <w:bottom w:val="nil" w:sz="6" w:space="0" w:color="auto"/>
              <w:right w:val="nil" w:sz="6" w:space="0" w:color="auto"/>
            </w:tcBorders>
          </w:tcPr>
          <w:p>
            <w:pPr/>
          </w:p>
        </w:tc>
        <w:tc>
          <w:tcPr>
            <w:tcW w:w="2277" w:type="dxa"/>
            <w:tcBorders>
              <w:top w:val="single" w:sz="16" w:space="0" w:color="9C8758"/>
              <w:left w:val="nil" w:sz="6" w:space="0" w:color="auto"/>
              <w:bottom w:val="nil" w:sz="6" w:space="0" w:color="auto"/>
              <w:right w:val="nil" w:sz="6" w:space="0" w:color="auto"/>
            </w:tcBorders>
            <w:shd w:val="clear" w:color="auto" w:fill="EFEFEF"/>
          </w:tcPr>
          <w:p>
            <w:pPr>
              <w:pStyle w:val="TableParagraph"/>
              <w:spacing w:line="338" w:lineRule="auto" w:before="43"/>
              <w:ind w:left="56" w:right="1258"/>
              <w:jc w:val="left"/>
              <w:rPr>
                <w:rFonts w:ascii="宋体" w:hAnsi="宋体" w:cs="宋体" w:eastAsia="宋体" w:hint="default"/>
                <w:sz w:val="16"/>
                <w:szCs w:val="16"/>
              </w:rPr>
            </w:pPr>
            <w:r>
              <w:rPr>
                <w:rFonts w:ascii="宋体" w:hAnsi="宋体" w:cs="宋体" w:eastAsia="宋体" w:hint="default"/>
                <w:sz w:val="16"/>
                <w:szCs w:val="16"/>
              </w:rPr>
              <w:t>联通红筹公司 联通运营公司</w:t>
            </w:r>
          </w:p>
        </w:tc>
        <w:tc>
          <w:tcPr>
            <w:tcW w:w="3131" w:type="dxa"/>
            <w:tcBorders>
              <w:top w:val="single" w:sz="16" w:space="0" w:color="9C8758"/>
              <w:left w:val="nil" w:sz="6" w:space="0" w:color="auto"/>
              <w:bottom w:val="nil" w:sz="6" w:space="0" w:color="auto"/>
              <w:right w:val="nil" w:sz="6" w:space="0" w:color="auto"/>
            </w:tcBorders>
            <w:shd w:val="clear" w:color="auto" w:fill="EFEFEF"/>
          </w:tcPr>
          <w:p>
            <w:pPr>
              <w:pStyle w:val="TableParagraph"/>
              <w:spacing w:line="338" w:lineRule="auto" w:before="43"/>
              <w:ind w:left="1260" w:right="588"/>
              <w:jc w:val="left"/>
              <w:rPr>
                <w:rFonts w:ascii="宋体" w:hAnsi="宋体" w:cs="宋体" w:eastAsia="宋体" w:hint="default"/>
                <w:sz w:val="16"/>
                <w:szCs w:val="16"/>
              </w:rPr>
            </w:pPr>
            <w:r>
              <w:rPr>
                <w:rFonts w:ascii="宋体" w:hAnsi="宋体" w:cs="宋体" w:eastAsia="宋体" w:hint="default"/>
                <w:sz w:val="16"/>
                <w:szCs w:val="16"/>
              </w:rPr>
              <w:t>高级副总裁 董事、高级副总裁</w:t>
            </w:r>
          </w:p>
        </w:tc>
        <w:tc>
          <w:tcPr>
            <w:tcW w:w="1898" w:type="dxa"/>
            <w:tcBorders>
              <w:top w:val="single" w:sz="16" w:space="0" w:color="9C8758"/>
              <w:left w:val="nil" w:sz="6" w:space="0" w:color="auto"/>
              <w:bottom w:val="nil" w:sz="6" w:space="0" w:color="auto"/>
              <w:right w:val="nil" w:sz="6" w:space="0" w:color="auto"/>
            </w:tcBorders>
            <w:shd w:val="clear" w:color="auto" w:fill="EFEFEF"/>
          </w:tcPr>
          <w:p>
            <w:pPr>
              <w:pStyle w:val="TableParagraph"/>
              <w:spacing w:line="240" w:lineRule="auto" w:before="43"/>
              <w:ind w:left="590" w:right="0"/>
              <w:jc w:val="left"/>
              <w:rPr>
                <w:rFonts w:ascii="宋体" w:hAnsi="宋体" w:cs="宋体" w:eastAsia="宋体" w:hint="default"/>
                <w:sz w:val="16"/>
                <w:szCs w:val="16"/>
              </w:rPr>
            </w:pPr>
            <w:r>
              <w:rPr>
                <w:rFonts w:ascii="宋体" w:hAnsi="宋体" w:cs="宋体" w:eastAsia="宋体" w:hint="default"/>
                <w:w w:val="110"/>
                <w:sz w:val="16"/>
                <w:szCs w:val="16"/>
              </w:rPr>
              <w:t>2019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590" w:right="0"/>
              <w:jc w:val="left"/>
              <w:rPr>
                <w:rFonts w:ascii="宋体" w:hAnsi="宋体" w:cs="宋体" w:eastAsia="宋体" w:hint="default"/>
                <w:sz w:val="16"/>
                <w:szCs w:val="16"/>
              </w:rPr>
            </w:pPr>
            <w:r>
              <w:rPr>
                <w:rFonts w:ascii="宋体" w:hAnsi="宋体" w:cs="宋体" w:eastAsia="宋体" w:hint="default"/>
                <w:w w:val="110"/>
                <w:sz w:val="16"/>
                <w:szCs w:val="16"/>
              </w:rPr>
              <w:t>2019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801" w:type="dxa"/>
            <w:tcBorders>
              <w:top w:val="single" w:sz="16" w:space="0" w:color="9C8758"/>
              <w:left w:val="nil" w:sz="6" w:space="0" w:color="auto"/>
              <w:bottom w:val="nil" w:sz="6" w:space="0" w:color="auto"/>
              <w:right w:val="nil" w:sz="6" w:space="0" w:color="auto"/>
            </w:tcBorders>
            <w:shd w:val="clear" w:color="auto" w:fill="EFEFEF"/>
          </w:tcPr>
          <w:p>
            <w:pPr>
              <w:pStyle w:val="TableParagraph"/>
              <w:spacing w:line="338" w:lineRule="auto" w:before="43"/>
              <w:ind w:left="424" w:right="54"/>
              <w:jc w:val="left"/>
              <w:rPr>
                <w:rFonts w:ascii="宋体" w:hAnsi="宋体" w:cs="宋体" w:eastAsia="宋体" w:hint="default"/>
                <w:sz w:val="16"/>
                <w:szCs w:val="16"/>
              </w:rPr>
            </w:pPr>
            <w:r>
              <w:rPr>
                <w:rFonts w:ascii="宋体" w:hAnsi="宋体" w:cs="宋体" w:eastAsia="宋体" w:hint="default"/>
                <w:sz w:val="16"/>
                <w:szCs w:val="16"/>
              </w:rPr>
              <w:t>至今 至今</w:t>
            </w:r>
          </w:p>
        </w:tc>
      </w:tr>
    </w:tbl>
    <w:p>
      <w:pPr>
        <w:spacing w:before="41"/>
        <w:ind w:left="1247" w:right="764" w:firstLine="0"/>
        <w:jc w:val="left"/>
        <w:rPr>
          <w:rFonts w:ascii="宋体" w:hAnsi="宋体" w:cs="宋体" w:eastAsia="宋体" w:hint="default"/>
          <w:sz w:val="16"/>
          <w:szCs w:val="16"/>
        </w:rPr>
      </w:pPr>
      <w:r>
        <w:rPr/>
        <w:pict>
          <v:shape style="position:absolute;margin-left:108.566399pt;margin-top:-26.028446pt;width:8.835744pt;height:9.1875pt;mso-position-horizontal-relative:page;mso-position-vertical-relative:paragraph;z-index:-962872" type="#_x0000_t75" stroked="false">
            <v:imagedata r:id="rId207" o:title=""/>
          </v:shape>
        </w:pict>
      </w:r>
      <w:r>
        <w:rPr>
          <w:rFonts w:ascii="宋体" w:hAnsi="宋体" w:cs="宋体" w:eastAsia="宋体" w:hint="default"/>
          <w:sz w:val="16"/>
          <w:szCs w:val="16"/>
        </w:rPr>
        <w:t>报告期内，公司离任董事、监事和高级管理人员：</w:t>
      </w:r>
    </w:p>
    <w:p>
      <w:pPr>
        <w:spacing w:line="240" w:lineRule="auto" w:before="9"/>
        <w:rPr>
          <w:rFonts w:ascii="宋体" w:hAnsi="宋体" w:cs="宋体" w:eastAsia="宋体" w:hint="default"/>
          <w:sz w:val="8"/>
          <w:szCs w:val="8"/>
        </w:rPr>
      </w:pPr>
    </w:p>
    <w:p>
      <w:pPr>
        <w:pStyle w:val="Heading9"/>
        <w:spacing w:line="7115" w:lineRule="exact"/>
        <w:ind w:left="1180" w:right="0"/>
        <w:jc w:val="left"/>
        <w:rPr>
          <w:rFonts w:ascii="宋体" w:hAnsi="宋体" w:cs="宋体" w:eastAsia="宋体" w:hint="default"/>
        </w:rPr>
      </w:pPr>
      <w:r>
        <w:rPr>
          <w:rFonts w:ascii="宋体"/>
          <w:position w:val="-141"/>
        </w:rPr>
        <w:pict>
          <v:group style="width:58.45pt;height:355.55pt;mso-position-horizontal-relative:char;mso-position-vertical-relative:line" coordorigin="0,0" coordsize="1169,7111">
            <v:group style="position:absolute;left:10;top:3558;width:1078;height:1185" coordorigin="10,3558" coordsize="1078,1185">
              <v:shape style="position:absolute;left:10;top:3558;width:1078;height:1185" coordorigin="10,3558" coordsize="1078,1185" path="m1087,3558l10,3558,10,4742,1087,4742,1087,3558xe" filled="true" fillcolor="#c9caca" stroked="false">
                <v:path arrowok="t"/>
                <v:fill type="solid"/>
              </v:shape>
            </v:group>
            <v:group style="position:absolute;left:10;top:4742;width:1078;height:1481" coordorigin="10,4742" coordsize="1078,1481">
              <v:shape style="position:absolute;left:10;top:4742;width:1078;height:1481" coordorigin="10,4742" coordsize="1078,1481" path="m1087,4742l10,4742,10,6222,1087,6222,1087,4742xe" filled="true" fillcolor="#f4c2a9" stroked="false">
                <v:path arrowok="t"/>
                <v:fill type="solid"/>
              </v:shape>
            </v:group>
            <v:group style="position:absolute;left:10;top:5;width:1078;height:2369" coordorigin="10,5" coordsize="1078,2369">
              <v:shape style="position:absolute;left:10;top:5;width:1078;height:2369" coordorigin="10,5" coordsize="1078,2369" path="m1087,5l10,5,10,2374,1087,2374,1087,5xe" filled="true" fillcolor="#f4c2a9" stroked="false">
                <v:path arrowok="t"/>
                <v:fill type="solid"/>
              </v:shape>
            </v:group>
            <v:group style="position:absolute;left:10;top:2374;width:1078;height:1185" coordorigin="10,2374" coordsize="1078,1185">
              <v:shape style="position:absolute;left:10;top:2374;width:1078;height:1185" coordorigin="10,2374" coordsize="1078,1185" path="m1087,2374l10,2374,10,3558,1087,3558,1087,2374xe" filled="true" fillcolor="#cec1a6" stroked="false">
                <v:path arrowok="t"/>
                <v:fill type="solid"/>
              </v:shape>
            </v:group>
            <v:group style="position:absolute;left:10;top:6222;width:1078;height:889" coordorigin="10,6222" coordsize="1078,889">
              <v:shape style="position:absolute;left:10;top:6222;width:1078;height:889" coordorigin="10,6222" coordsize="1078,889" path="m1087,6222l10,6222,10,7110,1087,7110,1087,6222xe" filled="true" fillcolor="#cec1a6" stroked="false">
                <v:path arrowok="t"/>
                <v:fill type="solid"/>
              </v:shape>
            </v:group>
            <v:group style="position:absolute;left:10;top:6212;width:1078;height:20" coordorigin="10,6212" coordsize="1078,20">
              <v:shape style="position:absolute;left:10;top:6212;width:1078;height:20" coordorigin="10,6212" coordsize="1078,20" path="m10,6232l1087,6232,1087,6212,10,6212,10,6232xe" filled="true" fillcolor="#ffffff" stroked="false">
                <v:path arrowok="t"/>
                <v:fill type="solid"/>
              </v:shape>
            </v:group>
            <v:group style="position:absolute;left:10;top:3558;width:1078;height:2" coordorigin="10,3558" coordsize="1078,2">
              <v:shape style="position:absolute;left:10;top:3558;width:1078;height:2" coordorigin="10,3558" coordsize="1078,0" path="m10,3558l1087,3558e" filled="false" stroked="true" strokeweight="1pt" strokecolor="#ffffff">
                <v:path arrowok="t"/>
              </v:shape>
            </v:group>
            <v:group style="position:absolute;left:10;top:4732;width:1078;height:20" coordorigin="10,4732" coordsize="1078,20">
              <v:shape style="position:absolute;left:10;top:4732;width:1078;height:20" coordorigin="10,4732" coordsize="1078,20" path="m10,4752l1087,4752,1087,4732,10,4732,10,4752xe" filled="true" fillcolor="#ffffff" stroked="false">
                <v:path arrowok="t"/>
                <v:fill type="solid"/>
              </v:shape>
            </v:group>
            <v:group style="position:absolute;left:10;top:5;width:1078;height:2" coordorigin="10,5" coordsize="1078,2">
              <v:shape style="position:absolute;left:10;top:5;width:1078;height:2" coordorigin="10,5" coordsize="1078,0" path="m10,5l1087,5e" filled="false" stroked="true" strokeweight=".5pt" strokecolor="#ffffff">
                <v:path arrowok="t"/>
              </v:shape>
            </v:group>
            <v:group style="position:absolute;left:10;top:2374;width:1078;height:2" coordorigin="10,2374" coordsize="1078,2">
              <v:shape style="position:absolute;left:10;top:2374;width:1078;height:2" coordorigin="10,2374" coordsize="1078,0" path="m10,2374l1087,2374e" filled="false" stroked="true" strokeweight=".5pt" strokecolor="#ffffff">
                <v:path arrowok="t"/>
              </v:shape>
              <v:shape style="position:absolute;left:991;top:113;width:177;height:184" type="#_x0000_t75" stroked="false">
                <v:imagedata r:id="rId200" o:title=""/>
              </v:shape>
              <v:shape style="position:absolute;left:991;top:2483;width:177;height:184" type="#_x0000_t75" stroked="false">
                <v:imagedata r:id="rId206" o:title=""/>
              </v:shape>
              <v:shape style="position:absolute;left:991;top:3651;width:177;height:184" type="#_x0000_t75" stroked="false">
                <v:imagedata r:id="rId207" o:title=""/>
              </v:shape>
              <v:shape style="position:absolute;left:991;top:4842;width:177;height:184" type="#_x0000_t75" stroked="false">
                <v:imagedata r:id="rId209" o:title=""/>
              </v:shape>
              <v:shape style="position:absolute;left:991;top:6335;width:177;height:184" type="#_x0000_t75" stroked="false">
                <v:imagedata r:id="rId208" o:title=""/>
              </v:shape>
              <v:shape style="position:absolute;left:309;top:1121;width:48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陆益民</w:t>
                      </w:r>
                    </w:p>
                  </w:txbxContent>
                </v:textbox>
                <w10:wrap type="none"/>
              </v:shape>
              <v:shape style="position:absolute;left:309;top:2897;width:48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李彦宏</w:t>
                      </w:r>
                    </w:p>
                  </w:txbxContent>
                </v:textbox>
                <w10:wrap type="none"/>
              </v:shape>
              <v:shape style="position:absolute;left:309;top:4081;width:48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陈永宏</w:t>
                      </w:r>
                    </w:p>
                  </w:txbxContent>
                </v:textbox>
                <w10:wrap type="none"/>
              </v:shape>
              <v:shape style="position:absolute;left:309;top:5413;width:48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李红滨</w:t>
                      </w:r>
                    </w:p>
                  </w:txbxContent>
                </v:textbox>
                <w10:wrap type="none"/>
              </v:shape>
              <v:shape style="position:absolute;left:309;top:6597;width:48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姜正新</w:t>
                      </w:r>
                    </w:p>
                  </w:txbxContent>
                </v:textbox>
                <w10:wrap type="none"/>
              </v:shape>
            </v:group>
          </v:group>
        </w:pict>
      </w:r>
      <w:r>
        <w:rPr>
          <w:rFonts w:ascii="宋体"/>
          <w:position w:val="-141"/>
        </w:rPr>
      </w:r>
      <w:r>
        <w:rPr>
          <w:rFonts w:ascii="Times New Roman"/>
          <w:spacing w:val="-24"/>
          <w:position w:val="-141"/>
        </w:rPr>
        <w:t> </w:t>
      </w:r>
      <w:r>
        <w:rPr>
          <w:rFonts w:ascii="宋体"/>
          <w:spacing w:val="-24"/>
          <w:position w:val="-141"/>
        </w:rPr>
        <w:pict>
          <v:shape style="width:406.15pt;height:355.8pt;mso-position-horizontal-relative:char;mso-position-vertical-relative:line" type="#_x0000_t202" filled="false" stroked="false">
            <w10:anchorlock/>
            <v:textbox inset="0,0,0,0">
              <w:txbxContent>
                <w:tbl>
                  <w:tblPr>
                    <w:tblW w:w="0" w:type="auto"/>
                    <w:jc w:val="left"/>
                    <w:tblLayout w:type="fixed"/>
                    <w:tblCellMar>
                      <w:top w:w="0" w:type="dxa"/>
                      <w:left w:w="0" w:type="dxa"/>
                      <w:bottom w:w="0" w:type="dxa"/>
                      <w:right w:w="0" w:type="dxa"/>
                    </w:tblCellMar>
                    <w:tblLook w:val="01E0"/>
                  </w:tblPr>
                  <w:tblGrid>
                    <w:gridCol w:w="3473"/>
                    <w:gridCol w:w="2014"/>
                    <w:gridCol w:w="1581"/>
                    <w:gridCol w:w="1038"/>
                  </w:tblGrid>
                  <w:tr>
                    <w:trPr>
                      <w:trHeight w:val="308" w:hRule="exact"/>
                    </w:trPr>
                    <w:tc>
                      <w:tcPr>
                        <w:tcW w:w="3473" w:type="dxa"/>
                        <w:tcBorders>
                          <w:top w:val="single" w:sz="4" w:space="0" w:color="FFFFFF"/>
                          <w:left w:val="nil" w:sz="6" w:space="0" w:color="auto"/>
                          <w:bottom w:val="nil" w:sz="6" w:space="0" w:color="auto"/>
                          <w:right w:val="nil" w:sz="6" w:space="0" w:color="auto"/>
                        </w:tcBorders>
                        <w:shd w:val="clear" w:color="auto" w:fill="FCECE3"/>
                      </w:tcPr>
                      <w:p>
                        <w:pPr>
                          <w:pStyle w:val="TableParagraph"/>
                          <w:spacing w:line="240" w:lineRule="auto" w:before="13"/>
                          <w:ind w:left="56" w:right="0"/>
                          <w:jc w:val="left"/>
                          <w:rPr>
                            <w:rFonts w:ascii="宋体" w:hAnsi="宋体" w:cs="宋体" w:eastAsia="宋体" w:hint="default"/>
                            <w:sz w:val="16"/>
                            <w:szCs w:val="16"/>
                          </w:rPr>
                        </w:pPr>
                        <w:r>
                          <w:rPr>
                            <w:rFonts w:ascii="宋体" w:hAnsi="宋体" w:cs="宋体" w:eastAsia="宋体" w:hint="default"/>
                            <w:sz w:val="16"/>
                            <w:szCs w:val="16"/>
                          </w:rPr>
                          <w:t>联通红筹公司</w:t>
                        </w:r>
                      </w:p>
                    </w:tc>
                    <w:tc>
                      <w:tcPr>
                        <w:tcW w:w="2014" w:type="dxa"/>
                        <w:tcBorders>
                          <w:top w:val="single" w:sz="4" w:space="0" w:color="FFFFFF"/>
                          <w:left w:val="nil" w:sz="6" w:space="0" w:color="auto"/>
                          <w:bottom w:val="nil" w:sz="6" w:space="0" w:color="auto"/>
                          <w:right w:val="nil" w:sz="6" w:space="0" w:color="auto"/>
                        </w:tcBorders>
                        <w:shd w:val="clear" w:color="auto" w:fill="FCECE3"/>
                      </w:tcPr>
                      <w:p>
                        <w:pPr>
                          <w:pStyle w:val="TableParagraph"/>
                          <w:spacing w:line="240" w:lineRule="auto" w:before="13"/>
                          <w:ind w:left="64" w:right="0"/>
                          <w:jc w:val="left"/>
                          <w:rPr>
                            <w:rFonts w:ascii="宋体" w:hAnsi="宋体" w:cs="宋体" w:eastAsia="宋体" w:hint="default"/>
                            <w:sz w:val="16"/>
                            <w:szCs w:val="16"/>
                          </w:rPr>
                        </w:pPr>
                        <w:r>
                          <w:rPr>
                            <w:rFonts w:ascii="宋体" w:hAnsi="宋体" w:cs="宋体" w:eastAsia="宋体" w:hint="default"/>
                            <w:sz w:val="16"/>
                            <w:szCs w:val="16"/>
                          </w:rPr>
                          <w:t>执行董事</w:t>
                        </w:r>
                      </w:p>
                    </w:tc>
                    <w:tc>
                      <w:tcPr>
                        <w:tcW w:w="1581" w:type="dxa"/>
                        <w:tcBorders>
                          <w:top w:val="single" w:sz="4" w:space="0" w:color="FFFFFF"/>
                          <w:left w:val="nil" w:sz="6" w:space="0" w:color="auto"/>
                          <w:bottom w:val="nil" w:sz="6" w:space="0" w:color="auto"/>
                          <w:right w:val="nil" w:sz="6" w:space="0" w:color="auto"/>
                        </w:tcBorders>
                        <w:shd w:val="clear" w:color="auto" w:fill="FCECE3"/>
                      </w:tcPr>
                      <w:p>
                        <w:pPr>
                          <w:pStyle w:val="TableParagraph"/>
                          <w:spacing w:line="240" w:lineRule="auto" w:before="13"/>
                          <w:ind w:right="97"/>
                          <w:jc w:val="right"/>
                          <w:rPr>
                            <w:rFonts w:ascii="宋体" w:hAnsi="宋体" w:cs="宋体" w:eastAsia="宋体" w:hint="default"/>
                            <w:sz w:val="16"/>
                            <w:szCs w:val="16"/>
                          </w:rPr>
                        </w:pPr>
                        <w:r>
                          <w:rPr>
                            <w:rFonts w:ascii="宋体" w:hAnsi="宋体" w:cs="宋体" w:eastAsia="宋体" w:hint="default"/>
                            <w:w w:val="110"/>
                            <w:sz w:val="16"/>
                            <w:szCs w:val="16"/>
                          </w:rPr>
                          <w:t>2008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10</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single" w:sz="4" w:space="0" w:color="FFFFFF"/>
                          <w:left w:val="nil" w:sz="6" w:space="0" w:color="auto"/>
                          <w:bottom w:val="nil" w:sz="6" w:space="0" w:color="auto"/>
                          <w:right w:val="nil" w:sz="6" w:space="0" w:color="auto"/>
                        </w:tcBorders>
                        <w:shd w:val="clear" w:color="auto" w:fill="FCECE3"/>
                      </w:tcPr>
                      <w:p>
                        <w:pPr>
                          <w:pStyle w:val="TableParagraph"/>
                          <w:spacing w:line="240" w:lineRule="auto" w:before="13"/>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联通红筹公司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总裁</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2009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联通运营公司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董事</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97"/>
                          <w:jc w:val="right"/>
                          <w:rPr>
                            <w:rFonts w:ascii="宋体" w:hAnsi="宋体" w:cs="宋体" w:eastAsia="宋体" w:hint="default"/>
                            <w:sz w:val="16"/>
                            <w:szCs w:val="16"/>
                          </w:rPr>
                        </w:pPr>
                        <w:r>
                          <w:rPr>
                            <w:rFonts w:ascii="宋体" w:hAnsi="宋体" w:cs="宋体" w:eastAsia="宋体" w:hint="default"/>
                            <w:w w:val="110"/>
                            <w:sz w:val="16"/>
                            <w:szCs w:val="16"/>
                          </w:rPr>
                          <w:t>2008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8</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联通运营公司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总裁</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2009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8</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香港电讯盈科有限公司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非执行董事</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2008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5</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香港电讯盈科有限公司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董事会副主席</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97"/>
                          <w:jc w:val="right"/>
                          <w:rPr>
                            <w:rFonts w:ascii="宋体" w:hAnsi="宋体" w:cs="宋体" w:eastAsia="宋体" w:hint="default"/>
                            <w:sz w:val="16"/>
                            <w:szCs w:val="16"/>
                          </w:rPr>
                        </w:pPr>
                        <w:r>
                          <w:rPr>
                            <w:rFonts w:ascii="宋体" w:hAnsi="宋体" w:cs="宋体" w:eastAsia="宋体" w:hint="default"/>
                            <w:w w:val="110"/>
                            <w:sz w:val="16"/>
                            <w:szCs w:val="16"/>
                          </w:rPr>
                          <w:t>2011</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香港电讯管理有限公司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非执行董事</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97"/>
                          <w:jc w:val="right"/>
                          <w:rPr>
                            <w:rFonts w:ascii="宋体" w:hAnsi="宋体" w:cs="宋体" w:eastAsia="宋体" w:hint="default"/>
                            <w:sz w:val="16"/>
                            <w:szCs w:val="16"/>
                          </w:rPr>
                        </w:pPr>
                        <w:r>
                          <w:rPr>
                            <w:rFonts w:ascii="宋体" w:hAnsi="宋体" w:cs="宋体" w:eastAsia="宋体" w:hint="default"/>
                            <w:w w:val="110"/>
                            <w:sz w:val="16"/>
                            <w:szCs w:val="16"/>
                          </w:rPr>
                          <w:t>2011</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85" w:hRule="exact"/>
                    </w:trPr>
                    <w:tc>
                      <w:tcPr>
                        <w:tcW w:w="3473" w:type="dxa"/>
                        <w:tcBorders>
                          <w:top w:val="nil" w:sz="6" w:space="0" w:color="auto"/>
                          <w:left w:val="nil" w:sz="6" w:space="0" w:color="auto"/>
                          <w:bottom w:val="single" w:sz="4" w:space="0" w:color="FFFFFF"/>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中国通用技术（集团）控股有限责任公司</w:t>
                        </w:r>
                      </w:p>
                    </w:tc>
                    <w:tc>
                      <w:tcPr>
                        <w:tcW w:w="2014" w:type="dxa"/>
                        <w:tcBorders>
                          <w:top w:val="nil" w:sz="6" w:space="0" w:color="auto"/>
                          <w:left w:val="nil" w:sz="6" w:space="0" w:color="auto"/>
                          <w:bottom w:val="single" w:sz="4" w:space="0" w:color="FFFFFF"/>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董事、总经理</w:t>
                        </w:r>
                      </w:p>
                    </w:tc>
                    <w:tc>
                      <w:tcPr>
                        <w:tcW w:w="1581" w:type="dxa"/>
                        <w:tcBorders>
                          <w:top w:val="nil" w:sz="6" w:space="0" w:color="auto"/>
                          <w:left w:val="nil" w:sz="6" w:space="0" w:color="auto"/>
                          <w:bottom w:val="single" w:sz="4" w:space="0" w:color="FFFFFF"/>
                          <w:right w:val="nil" w:sz="6" w:space="0" w:color="auto"/>
                        </w:tcBorders>
                        <w:shd w:val="clear" w:color="auto" w:fill="FCECE3"/>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single" w:sz="4" w:space="0" w:color="FFFFFF"/>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307" w:hRule="exact"/>
                    </w:trPr>
                    <w:tc>
                      <w:tcPr>
                        <w:tcW w:w="3473" w:type="dxa"/>
                        <w:tcBorders>
                          <w:top w:val="single" w:sz="4" w:space="0" w:color="FFFFFF"/>
                          <w:left w:val="nil" w:sz="6" w:space="0" w:color="auto"/>
                          <w:bottom w:val="nil" w:sz="6" w:space="0" w:color="auto"/>
                          <w:right w:val="nil" w:sz="6" w:space="0" w:color="auto"/>
                        </w:tcBorders>
                        <w:shd w:val="clear" w:color="auto" w:fill="ECE7DD"/>
                      </w:tcPr>
                      <w:p>
                        <w:pPr>
                          <w:pStyle w:val="TableParagraph"/>
                          <w:spacing w:line="240" w:lineRule="auto" w:before="13"/>
                          <w:ind w:left="56" w:right="0"/>
                          <w:jc w:val="left"/>
                          <w:rPr>
                            <w:rFonts w:ascii="宋体" w:hAnsi="宋体" w:cs="宋体" w:eastAsia="宋体" w:hint="default"/>
                            <w:sz w:val="16"/>
                            <w:szCs w:val="16"/>
                          </w:rPr>
                        </w:pPr>
                        <w:r>
                          <w:rPr>
                            <w:rFonts w:ascii="宋体"/>
                            <w:sz w:val="16"/>
                          </w:rPr>
                          <w:t>Baidu.Inc</w:t>
                        </w:r>
                      </w:p>
                    </w:tc>
                    <w:tc>
                      <w:tcPr>
                        <w:tcW w:w="2014" w:type="dxa"/>
                        <w:tcBorders>
                          <w:top w:val="single" w:sz="4" w:space="0" w:color="FFFFFF"/>
                          <w:left w:val="nil" w:sz="6" w:space="0" w:color="auto"/>
                          <w:bottom w:val="nil" w:sz="6" w:space="0" w:color="auto"/>
                          <w:right w:val="nil" w:sz="6" w:space="0" w:color="auto"/>
                        </w:tcBorders>
                        <w:shd w:val="clear" w:color="auto" w:fill="ECE7DD"/>
                      </w:tcPr>
                      <w:p>
                        <w:pPr>
                          <w:pStyle w:val="TableParagraph"/>
                          <w:spacing w:line="240" w:lineRule="auto" w:before="13"/>
                          <w:ind w:left="64" w:right="0"/>
                          <w:jc w:val="left"/>
                          <w:rPr>
                            <w:rFonts w:ascii="宋体" w:hAnsi="宋体" w:cs="宋体" w:eastAsia="宋体" w:hint="default"/>
                            <w:sz w:val="16"/>
                            <w:szCs w:val="16"/>
                          </w:rPr>
                        </w:pPr>
                        <w:r>
                          <w:rPr>
                            <w:rFonts w:ascii="宋体" w:hAnsi="宋体" w:cs="宋体" w:eastAsia="宋体" w:hint="default"/>
                            <w:sz w:val="16"/>
                            <w:szCs w:val="16"/>
                          </w:rPr>
                          <w:t>董事长兼首席执行官</w:t>
                        </w:r>
                      </w:p>
                    </w:tc>
                    <w:tc>
                      <w:tcPr>
                        <w:tcW w:w="1581" w:type="dxa"/>
                        <w:tcBorders>
                          <w:top w:val="single" w:sz="4" w:space="0" w:color="FFFFFF"/>
                          <w:left w:val="nil" w:sz="6" w:space="0" w:color="auto"/>
                          <w:bottom w:val="nil" w:sz="6" w:space="0" w:color="auto"/>
                          <w:right w:val="nil" w:sz="6" w:space="0" w:color="auto"/>
                        </w:tcBorders>
                        <w:shd w:val="clear" w:color="auto" w:fill="ECE7DD"/>
                      </w:tcPr>
                      <w:p>
                        <w:pPr>
                          <w:pStyle w:val="TableParagraph"/>
                          <w:spacing w:line="240" w:lineRule="auto" w:before="13"/>
                          <w:ind w:right="184"/>
                          <w:jc w:val="right"/>
                          <w:rPr>
                            <w:rFonts w:ascii="宋体" w:hAnsi="宋体" w:cs="宋体" w:eastAsia="宋体" w:hint="default"/>
                            <w:sz w:val="16"/>
                            <w:szCs w:val="16"/>
                          </w:rPr>
                        </w:pPr>
                        <w:r>
                          <w:rPr>
                            <w:rFonts w:ascii="宋体" w:hAnsi="宋体" w:cs="宋体" w:eastAsia="宋体" w:hint="default"/>
                            <w:w w:val="110"/>
                            <w:sz w:val="16"/>
                            <w:szCs w:val="16"/>
                          </w:rPr>
                          <w:t>2000</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single" w:sz="4" w:space="0" w:color="FFFFFF"/>
                          <w:left w:val="nil" w:sz="6" w:space="0" w:color="auto"/>
                          <w:bottom w:val="nil" w:sz="6" w:space="0" w:color="auto"/>
                          <w:right w:val="nil" w:sz="6" w:space="0" w:color="auto"/>
                        </w:tcBorders>
                        <w:shd w:val="clear" w:color="auto" w:fill="ECE7DD"/>
                      </w:tcPr>
                      <w:p>
                        <w:pPr>
                          <w:pStyle w:val="TableParagraph"/>
                          <w:spacing w:line="240" w:lineRule="auto" w:before="13"/>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left="56" w:right="0"/>
                          <w:jc w:val="left"/>
                          <w:rPr>
                            <w:rFonts w:ascii="宋体" w:hAnsi="宋体" w:cs="宋体" w:eastAsia="宋体" w:hint="default"/>
                            <w:sz w:val="16"/>
                            <w:szCs w:val="16"/>
                          </w:rPr>
                        </w:pPr>
                        <w:r>
                          <w:rPr>
                            <w:rFonts w:ascii="宋体"/>
                            <w:sz w:val="16"/>
                          </w:rPr>
                          <w:t>iQIYI,Inc.</w:t>
                        </w:r>
                      </w:p>
                    </w:tc>
                    <w:tc>
                      <w:tcPr>
                        <w:tcW w:w="20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董事</w:t>
                        </w:r>
                      </w:p>
                    </w:tc>
                    <w:tc>
                      <w:tcPr>
                        <w:tcW w:w="158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right="97"/>
                          <w:jc w:val="righ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left="56" w:right="0"/>
                          <w:jc w:val="left"/>
                          <w:rPr>
                            <w:rFonts w:ascii="宋体" w:hAnsi="宋体" w:cs="宋体" w:eastAsia="宋体" w:hint="default"/>
                            <w:sz w:val="16"/>
                            <w:szCs w:val="16"/>
                          </w:rPr>
                        </w:pPr>
                        <w:r>
                          <w:rPr>
                            <w:rFonts w:ascii="宋体"/>
                            <w:w w:val="85"/>
                            <w:sz w:val="16"/>
                          </w:rPr>
                          <w:t>Ctrip.com</w:t>
                        </w:r>
                        <w:r>
                          <w:rPr>
                            <w:rFonts w:ascii="宋体"/>
                            <w:spacing w:val="28"/>
                            <w:w w:val="85"/>
                            <w:sz w:val="16"/>
                          </w:rPr>
                          <w:t> </w:t>
                        </w:r>
                        <w:r>
                          <w:rPr>
                            <w:rFonts w:ascii="宋体"/>
                            <w:w w:val="85"/>
                            <w:sz w:val="16"/>
                          </w:rPr>
                          <w:t>International,Ltd.</w:t>
                        </w:r>
                        <w:r>
                          <w:rPr>
                            <w:rFonts w:ascii="宋体"/>
                            <w:sz w:val="16"/>
                          </w:rPr>
                        </w:r>
                      </w:p>
                    </w:tc>
                    <w:tc>
                      <w:tcPr>
                        <w:tcW w:w="20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董事</w:t>
                        </w:r>
                      </w:p>
                    </w:tc>
                    <w:tc>
                      <w:tcPr>
                        <w:tcW w:w="158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right="97"/>
                          <w:jc w:val="righ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85" w:hRule="exact"/>
                    </w:trPr>
                    <w:tc>
                      <w:tcPr>
                        <w:tcW w:w="3473" w:type="dxa"/>
                        <w:tcBorders>
                          <w:top w:val="nil" w:sz="6" w:space="0" w:color="auto"/>
                          <w:left w:val="nil" w:sz="6" w:space="0" w:color="auto"/>
                          <w:bottom w:val="single" w:sz="8" w:space="0" w:color="FFFFFF"/>
                          <w:right w:val="nil" w:sz="6" w:space="0" w:color="auto"/>
                        </w:tcBorders>
                        <w:shd w:val="clear" w:color="auto" w:fill="ECE7DD"/>
                      </w:tcPr>
                      <w:p>
                        <w:pPr>
                          <w:pStyle w:val="TableParagraph"/>
                          <w:spacing w:line="240" w:lineRule="auto" w:before="6"/>
                          <w:ind w:left="56" w:right="0"/>
                          <w:jc w:val="left"/>
                          <w:rPr>
                            <w:rFonts w:ascii="宋体" w:hAnsi="宋体" w:cs="宋体" w:eastAsia="宋体" w:hint="default"/>
                            <w:sz w:val="16"/>
                            <w:szCs w:val="16"/>
                          </w:rPr>
                        </w:pPr>
                        <w:r>
                          <w:rPr>
                            <w:rFonts w:ascii="宋体"/>
                            <w:sz w:val="16"/>
                          </w:rPr>
                          <w:t>New</w:t>
                        </w:r>
                        <w:r>
                          <w:rPr>
                            <w:rFonts w:ascii="宋体"/>
                            <w:spacing w:val="-30"/>
                            <w:sz w:val="16"/>
                          </w:rPr>
                          <w:t> </w:t>
                        </w:r>
                        <w:r>
                          <w:rPr>
                            <w:rFonts w:ascii="宋体"/>
                            <w:sz w:val="16"/>
                          </w:rPr>
                          <w:t>Oriental</w:t>
                        </w:r>
                        <w:r>
                          <w:rPr>
                            <w:rFonts w:ascii="宋体"/>
                            <w:spacing w:val="-30"/>
                            <w:sz w:val="16"/>
                          </w:rPr>
                          <w:t> </w:t>
                        </w:r>
                        <w:r>
                          <w:rPr>
                            <w:rFonts w:ascii="宋体"/>
                            <w:sz w:val="16"/>
                          </w:rPr>
                          <w:t>Education&amp;TechnologyGroup</w:t>
                        </w:r>
                        <w:r>
                          <w:rPr>
                            <w:rFonts w:ascii="宋体"/>
                            <w:spacing w:val="-30"/>
                            <w:sz w:val="16"/>
                          </w:rPr>
                          <w:t> </w:t>
                        </w:r>
                        <w:r>
                          <w:rPr>
                            <w:rFonts w:ascii="宋体"/>
                            <w:sz w:val="16"/>
                          </w:rPr>
                          <w:t>Inc.</w:t>
                        </w:r>
                      </w:p>
                    </w:tc>
                    <w:tc>
                      <w:tcPr>
                        <w:tcW w:w="2014" w:type="dxa"/>
                        <w:tcBorders>
                          <w:top w:val="nil" w:sz="6" w:space="0" w:color="auto"/>
                          <w:left w:val="nil" w:sz="6" w:space="0" w:color="auto"/>
                          <w:bottom w:val="single" w:sz="8" w:space="0" w:color="FFFFFF"/>
                          <w:right w:val="nil" w:sz="6" w:space="0" w:color="auto"/>
                        </w:tcBorders>
                        <w:shd w:val="clear" w:color="auto" w:fill="ECE7DD"/>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董事</w:t>
                        </w:r>
                      </w:p>
                    </w:tc>
                    <w:tc>
                      <w:tcPr>
                        <w:tcW w:w="1581" w:type="dxa"/>
                        <w:tcBorders>
                          <w:top w:val="nil" w:sz="6" w:space="0" w:color="auto"/>
                          <w:left w:val="nil" w:sz="6" w:space="0" w:color="auto"/>
                          <w:bottom w:val="single" w:sz="8" w:space="0" w:color="FFFFFF"/>
                          <w:right w:val="nil" w:sz="6" w:space="0" w:color="auto"/>
                        </w:tcBorders>
                        <w:shd w:val="clear" w:color="auto" w:fill="ECE7DD"/>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2006</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single" w:sz="8" w:space="0" w:color="FFFFFF"/>
                          <w:right w:val="nil" w:sz="6" w:space="0" w:color="auto"/>
                        </w:tcBorders>
                        <w:shd w:val="clear" w:color="auto" w:fill="ECE7DD"/>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307" w:hRule="exact"/>
                    </w:trPr>
                    <w:tc>
                      <w:tcPr>
                        <w:tcW w:w="3473" w:type="dxa"/>
                        <w:tcBorders>
                          <w:top w:val="single" w:sz="8" w:space="0" w:color="FFFFFF"/>
                          <w:left w:val="nil" w:sz="6" w:space="0" w:color="auto"/>
                          <w:bottom w:val="nil" w:sz="6" w:space="0" w:color="auto"/>
                          <w:right w:val="nil" w:sz="6" w:space="0" w:color="auto"/>
                        </w:tcBorders>
                        <w:shd w:val="clear" w:color="auto" w:fill="EFEFEF"/>
                      </w:tcPr>
                      <w:p>
                        <w:pPr>
                          <w:pStyle w:val="TableParagraph"/>
                          <w:spacing w:line="240" w:lineRule="auto" w:before="8"/>
                          <w:ind w:left="56" w:right="0"/>
                          <w:jc w:val="left"/>
                          <w:rPr>
                            <w:rFonts w:ascii="宋体" w:hAnsi="宋体" w:cs="宋体" w:eastAsia="宋体" w:hint="default"/>
                            <w:sz w:val="16"/>
                            <w:szCs w:val="16"/>
                          </w:rPr>
                        </w:pPr>
                        <w:r>
                          <w:rPr>
                            <w:rFonts w:ascii="宋体" w:hAnsi="宋体" w:cs="宋体" w:eastAsia="宋体" w:hint="default"/>
                            <w:sz w:val="16"/>
                            <w:szCs w:val="16"/>
                          </w:rPr>
                          <w:t>天职国际会计师事务所（特殊普通合伙）</w:t>
                        </w:r>
                      </w:p>
                    </w:tc>
                    <w:tc>
                      <w:tcPr>
                        <w:tcW w:w="2014" w:type="dxa"/>
                        <w:tcBorders>
                          <w:top w:val="single" w:sz="8" w:space="0" w:color="FFFFFF"/>
                          <w:left w:val="nil" w:sz="6" w:space="0" w:color="auto"/>
                          <w:bottom w:val="nil" w:sz="6" w:space="0" w:color="auto"/>
                          <w:right w:val="nil" w:sz="6" w:space="0" w:color="auto"/>
                        </w:tcBorders>
                        <w:shd w:val="clear" w:color="auto" w:fill="EFEFEF"/>
                      </w:tcPr>
                      <w:p>
                        <w:pPr>
                          <w:pStyle w:val="TableParagraph"/>
                          <w:spacing w:line="240" w:lineRule="auto" w:before="8"/>
                          <w:ind w:left="64" w:right="0"/>
                          <w:jc w:val="left"/>
                          <w:rPr>
                            <w:rFonts w:ascii="宋体" w:hAnsi="宋体" w:cs="宋体" w:eastAsia="宋体" w:hint="default"/>
                            <w:sz w:val="16"/>
                            <w:szCs w:val="16"/>
                          </w:rPr>
                        </w:pPr>
                        <w:r>
                          <w:rPr>
                            <w:rFonts w:ascii="宋体" w:hAnsi="宋体" w:cs="宋体" w:eastAsia="宋体" w:hint="default"/>
                            <w:sz w:val="16"/>
                            <w:szCs w:val="16"/>
                          </w:rPr>
                          <w:t>合伙人</w:t>
                        </w:r>
                      </w:p>
                    </w:tc>
                    <w:tc>
                      <w:tcPr>
                        <w:tcW w:w="1581" w:type="dxa"/>
                        <w:tcBorders>
                          <w:top w:val="single" w:sz="8" w:space="0" w:color="FFFFFF"/>
                          <w:left w:val="nil" w:sz="6" w:space="0" w:color="auto"/>
                          <w:bottom w:val="nil" w:sz="6" w:space="0" w:color="auto"/>
                          <w:right w:val="nil" w:sz="6" w:space="0" w:color="auto"/>
                        </w:tcBorders>
                        <w:shd w:val="clear" w:color="auto" w:fill="EFEFEF"/>
                      </w:tcPr>
                      <w:p>
                        <w:pPr>
                          <w:pStyle w:val="TableParagraph"/>
                          <w:spacing w:line="240" w:lineRule="auto" w:before="8"/>
                          <w:ind w:right="184"/>
                          <w:jc w:val="right"/>
                          <w:rPr>
                            <w:rFonts w:ascii="宋体" w:hAnsi="宋体" w:cs="宋体" w:eastAsia="宋体" w:hint="default"/>
                            <w:sz w:val="16"/>
                            <w:szCs w:val="16"/>
                          </w:rPr>
                        </w:pPr>
                        <w:r>
                          <w:rPr>
                            <w:rFonts w:ascii="宋体" w:hAnsi="宋体" w:cs="宋体" w:eastAsia="宋体" w:hint="default"/>
                            <w:w w:val="110"/>
                            <w:sz w:val="16"/>
                            <w:szCs w:val="16"/>
                          </w:rPr>
                          <w:t>2016</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7</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single" w:sz="8" w:space="0" w:color="FFFFFF"/>
                          <w:left w:val="nil" w:sz="6" w:space="0" w:color="auto"/>
                          <w:bottom w:val="nil" w:sz="6" w:space="0" w:color="auto"/>
                          <w:right w:val="nil" w:sz="6" w:space="0" w:color="auto"/>
                        </w:tcBorders>
                        <w:shd w:val="clear" w:color="auto" w:fill="EFEFEF"/>
                      </w:tcPr>
                      <w:p>
                        <w:pPr>
                          <w:pStyle w:val="TableParagraph"/>
                          <w:spacing w:line="240" w:lineRule="auto" w:before="8"/>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天职工程咨询股份有限公司</w:t>
                        </w:r>
                      </w:p>
                    </w:tc>
                    <w:tc>
                      <w:tcPr>
                        <w:tcW w:w="2014"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董事长</w:t>
                        </w:r>
                      </w:p>
                    </w:tc>
                    <w:tc>
                      <w:tcPr>
                        <w:tcW w:w="158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right="97"/>
                          <w:jc w:val="righ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10</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华夏银行股份有限公司</w:t>
                        </w:r>
                      </w:p>
                    </w:tc>
                    <w:tc>
                      <w:tcPr>
                        <w:tcW w:w="2014"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独立董事</w:t>
                        </w:r>
                      </w:p>
                    </w:tc>
                    <w:tc>
                      <w:tcPr>
                        <w:tcW w:w="1581"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2014</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EFEFEF"/>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85" w:hRule="exact"/>
                    </w:trPr>
                    <w:tc>
                      <w:tcPr>
                        <w:tcW w:w="3473"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金宇生物技术股份有限公司</w:t>
                        </w:r>
                      </w:p>
                    </w:tc>
                    <w:tc>
                      <w:tcPr>
                        <w:tcW w:w="2014"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独立董事</w:t>
                        </w:r>
                      </w:p>
                    </w:tc>
                    <w:tc>
                      <w:tcPr>
                        <w:tcW w:w="1581"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2013</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5</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single" w:sz="8" w:space="0" w:color="FFFFFF"/>
                          <w:right w:val="nil" w:sz="6" w:space="0" w:color="auto"/>
                        </w:tcBorders>
                        <w:shd w:val="clear" w:color="auto" w:fill="EFEFEF"/>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307" w:hRule="exact"/>
                    </w:trPr>
                    <w:tc>
                      <w:tcPr>
                        <w:tcW w:w="3473"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240" w:lineRule="auto" w:before="7"/>
                          <w:ind w:left="56" w:right="0"/>
                          <w:jc w:val="left"/>
                          <w:rPr>
                            <w:rFonts w:ascii="宋体" w:hAnsi="宋体" w:cs="宋体" w:eastAsia="宋体" w:hint="default"/>
                            <w:sz w:val="16"/>
                            <w:szCs w:val="16"/>
                          </w:rPr>
                        </w:pPr>
                        <w:r>
                          <w:rPr>
                            <w:rFonts w:ascii="宋体" w:hAnsi="宋体" w:cs="宋体" w:eastAsia="宋体" w:hint="default"/>
                            <w:sz w:val="16"/>
                            <w:szCs w:val="16"/>
                          </w:rPr>
                          <w:t>星辰通信国际控股有限公司</w:t>
                        </w:r>
                      </w:p>
                    </w:tc>
                    <w:tc>
                      <w:tcPr>
                        <w:tcW w:w="2014"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240" w:lineRule="auto" w:before="7"/>
                          <w:ind w:left="64" w:right="0"/>
                          <w:jc w:val="left"/>
                          <w:rPr>
                            <w:rFonts w:ascii="宋体" w:hAnsi="宋体" w:cs="宋体" w:eastAsia="宋体" w:hint="default"/>
                            <w:sz w:val="16"/>
                            <w:szCs w:val="16"/>
                          </w:rPr>
                        </w:pPr>
                        <w:r>
                          <w:rPr>
                            <w:rFonts w:ascii="宋体" w:hAnsi="宋体" w:cs="宋体" w:eastAsia="宋体" w:hint="default"/>
                            <w:sz w:val="16"/>
                            <w:szCs w:val="16"/>
                          </w:rPr>
                          <w:t>独立董事</w:t>
                        </w:r>
                      </w:p>
                    </w:tc>
                    <w:tc>
                      <w:tcPr>
                        <w:tcW w:w="1581"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240" w:lineRule="auto" w:before="7"/>
                          <w:ind w:right="184"/>
                          <w:jc w:val="right"/>
                          <w:rPr>
                            <w:rFonts w:ascii="宋体" w:hAnsi="宋体" w:cs="宋体" w:eastAsia="宋体" w:hint="default"/>
                            <w:sz w:val="16"/>
                            <w:szCs w:val="16"/>
                          </w:rPr>
                        </w:pPr>
                        <w:r>
                          <w:rPr>
                            <w:rFonts w:ascii="宋体" w:hAnsi="宋体" w:cs="宋体" w:eastAsia="宋体" w:hint="default"/>
                            <w:w w:val="110"/>
                            <w:sz w:val="16"/>
                            <w:szCs w:val="16"/>
                          </w:rPr>
                          <w:t>2007</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4</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single" w:sz="8" w:space="0" w:color="FFFFFF"/>
                          <w:left w:val="nil" w:sz="6" w:space="0" w:color="auto"/>
                          <w:bottom w:val="nil" w:sz="6" w:space="0" w:color="auto"/>
                          <w:right w:val="nil" w:sz="6" w:space="0" w:color="auto"/>
                        </w:tcBorders>
                        <w:shd w:val="clear" w:color="auto" w:fill="FCECE3"/>
                      </w:tcPr>
                      <w:p>
                        <w:pPr>
                          <w:pStyle w:val="TableParagraph"/>
                          <w:spacing w:line="240" w:lineRule="auto" w:before="7"/>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广东东研网络科技股份有限公司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独立董事</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2012</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6</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9</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江苏省广电有线信息网络股份有限公司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独立董事</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96" w:hRule="exact"/>
                    </w:trPr>
                    <w:tc>
                      <w:tcPr>
                        <w:tcW w:w="3473"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广东宜通世纪科技股份有限公司</w:t>
                        </w:r>
                      </w:p>
                    </w:tc>
                    <w:tc>
                      <w:tcPr>
                        <w:tcW w:w="2014"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独立董事</w:t>
                        </w:r>
                      </w:p>
                    </w:tc>
                    <w:tc>
                      <w:tcPr>
                        <w:tcW w:w="1581"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97"/>
                          <w:jc w:val="righ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nil" w:sz="6" w:space="0" w:color="auto"/>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285" w:hRule="exact"/>
                    </w:trPr>
                    <w:tc>
                      <w:tcPr>
                        <w:tcW w:w="3473" w:type="dxa"/>
                        <w:tcBorders>
                          <w:top w:val="nil" w:sz="6" w:space="0" w:color="auto"/>
                          <w:left w:val="nil" w:sz="6" w:space="0" w:color="auto"/>
                          <w:bottom w:val="single" w:sz="8" w:space="0" w:color="FFFFFF"/>
                          <w:right w:val="nil" w:sz="6" w:space="0" w:color="auto"/>
                        </w:tcBorders>
                        <w:shd w:val="clear" w:color="auto" w:fill="FCECE3"/>
                      </w:tcPr>
                      <w:p>
                        <w:pPr>
                          <w:pStyle w:val="TableParagraph"/>
                          <w:spacing w:line="240" w:lineRule="auto" w:before="6"/>
                          <w:ind w:left="56" w:right="0"/>
                          <w:jc w:val="left"/>
                          <w:rPr>
                            <w:rFonts w:ascii="宋体" w:hAnsi="宋体" w:cs="宋体" w:eastAsia="宋体" w:hint="default"/>
                            <w:sz w:val="16"/>
                            <w:szCs w:val="16"/>
                          </w:rPr>
                        </w:pPr>
                        <w:r>
                          <w:rPr>
                            <w:rFonts w:ascii="宋体" w:hAnsi="宋体" w:cs="宋体" w:eastAsia="宋体" w:hint="default"/>
                            <w:sz w:val="16"/>
                            <w:szCs w:val="16"/>
                          </w:rPr>
                          <w:t>北京坛芯投资合伙企业（有限合伙）</w:t>
                        </w:r>
                      </w:p>
                    </w:tc>
                    <w:tc>
                      <w:tcPr>
                        <w:tcW w:w="2014" w:type="dxa"/>
                        <w:tcBorders>
                          <w:top w:val="nil" w:sz="6" w:space="0" w:color="auto"/>
                          <w:left w:val="nil" w:sz="6" w:space="0" w:color="auto"/>
                          <w:bottom w:val="single" w:sz="8" w:space="0" w:color="FFFFFF"/>
                          <w:right w:val="nil" w:sz="6" w:space="0" w:color="auto"/>
                        </w:tcBorders>
                        <w:shd w:val="clear" w:color="auto" w:fill="FCECE3"/>
                      </w:tcPr>
                      <w:p>
                        <w:pPr>
                          <w:pStyle w:val="TableParagraph"/>
                          <w:spacing w:line="240" w:lineRule="auto" w:before="6"/>
                          <w:ind w:left="64" w:right="0"/>
                          <w:jc w:val="left"/>
                          <w:rPr>
                            <w:rFonts w:ascii="宋体" w:hAnsi="宋体" w:cs="宋体" w:eastAsia="宋体" w:hint="default"/>
                            <w:sz w:val="16"/>
                            <w:szCs w:val="16"/>
                          </w:rPr>
                        </w:pPr>
                        <w:r>
                          <w:rPr>
                            <w:rFonts w:ascii="宋体" w:hAnsi="宋体" w:cs="宋体" w:eastAsia="宋体" w:hint="default"/>
                            <w:sz w:val="16"/>
                            <w:szCs w:val="16"/>
                          </w:rPr>
                          <w:t>执行事务合伙人</w:t>
                        </w:r>
                      </w:p>
                    </w:tc>
                    <w:tc>
                      <w:tcPr>
                        <w:tcW w:w="1581" w:type="dxa"/>
                        <w:tcBorders>
                          <w:top w:val="nil" w:sz="6" w:space="0" w:color="auto"/>
                          <w:left w:val="nil" w:sz="6" w:space="0" w:color="auto"/>
                          <w:bottom w:val="single" w:sz="8" w:space="0" w:color="FFFFFF"/>
                          <w:right w:val="nil" w:sz="6" w:space="0" w:color="auto"/>
                        </w:tcBorders>
                        <w:shd w:val="clear" w:color="auto" w:fill="FCECE3"/>
                      </w:tcPr>
                      <w:p>
                        <w:pPr>
                          <w:pStyle w:val="TableParagraph"/>
                          <w:spacing w:line="240" w:lineRule="auto" w:before="6"/>
                          <w:ind w:right="184"/>
                          <w:jc w:val="right"/>
                          <w:rPr>
                            <w:rFonts w:ascii="宋体" w:hAnsi="宋体" w:cs="宋体" w:eastAsia="宋体" w:hint="default"/>
                            <w:sz w:val="16"/>
                            <w:szCs w:val="16"/>
                          </w:rPr>
                        </w:pPr>
                        <w:r>
                          <w:rPr>
                            <w:rFonts w:ascii="宋体" w:hAnsi="宋体" w:cs="宋体" w:eastAsia="宋体" w:hint="default"/>
                            <w:w w:val="110"/>
                            <w:sz w:val="16"/>
                            <w:szCs w:val="16"/>
                          </w:rPr>
                          <w:t>2015</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8</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nil" w:sz="6" w:space="0" w:color="auto"/>
                          <w:left w:val="nil" w:sz="6" w:space="0" w:color="auto"/>
                          <w:bottom w:val="single" w:sz="8" w:space="0" w:color="FFFFFF"/>
                          <w:right w:val="nil" w:sz="6" w:space="0" w:color="auto"/>
                        </w:tcBorders>
                        <w:shd w:val="clear" w:color="auto" w:fill="FCECE3"/>
                      </w:tcPr>
                      <w:p>
                        <w:pPr>
                          <w:pStyle w:val="TableParagraph"/>
                          <w:spacing w:line="240" w:lineRule="auto" w:before="6"/>
                          <w:ind w:right="54"/>
                          <w:jc w:val="right"/>
                          <w:rPr>
                            <w:rFonts w:ascii="宋体" w:hAnsi="宋体" w:cs="宋体" w:eastAsia="宋体" w:hint="default"/>
                            <w:sz w:val="16"/>
                            <w:szCs w:val="16"/>
                          </w:rPr>
                        </w:pPr>
                        <w:r>
                          <w:rPr>
                            <w:rFonts w:ascii="宋体" w:hAnsi="宋体" w:cs="宋体" w:eastAsia="宋体" w:hint="default"/>
                            <w:sz w:val="16"/>
                            <w:szCs w:val="16"/>
                          </w:rPr>
                          <w:t>至今</w:t>
                        </w:r>
                      </w:p>
                    </w:tc>
                  </w:tr>
                  <w:tr>
                    <w:trPr>
                      <w:trHeight w:val="888" w:hRule="exact"/>
                    </w:trPr>
                    <w:tc>
                      <w:tcPr>
                        <w:tcW w:w="3473" w:type="dxa"/>
                        <w:tcBorders>
                          <w:top w:val="single" w:sz="8" w:space="0" w:color="FFFFFF"/>
                          <w:left w:val="nil" w:sz="6" w:space="0" w:color="auto"/>
                          <w:bottom w:val="nil" w:sz="6" w:space="0" w:color="auto"/>
                          <w:right w:val="nil" w:sz="6" w:space="0" w:color="auto"/>
                        </w:tcBorders>
                        <w:shd w:val="clear" w:color="auto" w:fill="ECE7DD"/>
                      </w:tcPr>
                      <w:p>
                        <w:pPr>
                          <w:pStyle w:val="TableParagraph"/>
                          <w:spacing w:line="338" w:lineRule="auto" w:before="7"/>
                          <w:ind w:left="56" w:right="2454"/>
                          <w:jc w:val="both"/>
                          <w:rPr>
                            <w:rFonts w:ascii="宋体" w:hAnsi="宋体" w:cs="宋体" w:eastAsia="宋体" w:hint="default"/>
                            <w:sz w:val="16"/>
                            <w:szCs w:val="16"/>
                          </w:rPr>
                        </w:pPr>
                        <w:r>
                          <w:rPr>
                            <w:rFonts w:ascii="宋体" w:hAnsi="宋体" w:cs="宋体" w:eastAsia="宋体" w:hint="default"/>
                            <w:sz w:val="16"/>
                            <w:szCs w:val="16"/>
                          </w:rPr>
                          <w:t>联通红筹公司 联通运营公司 联通运营公司</w:t>
                        </w:r>
                      </w:p>
                    </w:tc>
                    <w:tc>
                      <w:tcPr>
                        <w:tcW w:w="2014" w:type="dxa"/>
                        <w:tcBorders>
                          <w:top w:val="single" w:sz="8" w:space="0" w:color="FFFFFF"/>
                          <w:left w:val="nil" w:sz="6" w:space="0" w:color="auto"/>
                          <w:bottom w:val="nil" w:sz="6" w:space="0" w:color="auto"/>
                          <w:right w:val="nil" w:sz="6" w:space="0" w:color="auto"/>
                        </w:tcBorders>
                        <w:shd w:val="clear" w:color="auto" w:fill="ECE7DD"/>
                      </w:tcPr>
                      <w:p>
                        <w:pPr>
                          <w:pStyle w:val="TableParagraph"/>
                          <w:spacing w:line="338" w:lineRule="auto" w:before="7"/>
                          <w:ind w:left="64" w:right="1148"/>
                          <w:jc w:val="left"/>
                          <w:rPr>
                            <w:rFonts w:ascii="宋体" w:hAnsi="宋体" w:cs="宋体" w:eastAsia="宋体" w:hint="default"/>
                            <w:sz w:val="16"/>
                            <w:szCs w:val="16"/>
                          </w:rPr>
                        </w:pPr>
                        <w:r>
                          <w:rPr>
                            <w:rFonts w:ascii="宋体" w:hAnsi="宋体" w:cs="宋体" w:eastAsia="宋体" w:hint="default"/>
                            <w:sz w:val="16"/>
                            <w:szCs w:val="16"/>
                          </w:rPr>
                          <w:t>高级副总裁 董事 高级副总裁</w:t>
                        </w:r>
                      </w:p>
                    </w:tc>
                    <w:tc>
                      <w:tcPr>
                        <w:tcW w:w="1581" w:type="dxa"/>
                        <w:tcBorders>
                          <w:top w:val="single" w:sz="8" w:space="0" w:color="FFFFFF"/>
                          <w:left w:val="nil" w:sz="6" w:space="0" w:color="auto"/>
                          <w:bottom w:val="nil" w:sz="6" w:space="0" w:color="auto"/>
                          <w:right w:val="nil" w:sz="6" w:space="0" w:color="auto"/>
                        </w:tcBorders>
                        <w:shd w:val="clear" w:color="auto" w:fill="ECE7DD"/>
                      </w:tcPr>
                      <w:p>
                        <w:pPr>
                          <w:pStyle w:val="TableParagraph"/>
                          <w:spacing w:line="240" w:lineRule="auto" w:before="7"/>
                          <w:ind w:left="510" w:right="0"/>
                          <w:jc w:val="left"/>
                          <w:rPr>
                            <w:rFonts w:ascii="宋体" w:hAnsi="宋体" w:cs="宋体" w:eastAsia="宋体" w:hint="default"/>
                            <w:sz w:val="16"/>
                            <w:szCs w:val="16"/>
                          </w:rPr>
                        </w:pPr>
                        <w:r>
                          <w:rPr>
                            <w:rFonts w:ascii="宋体" w:hAnsi="宋体" w:cs="宋体" w:eastAsia="宋体" w:hint="default"/>
                            <w:w w:val="110"/>
                            <w:sz w:val="16"/>
                            <w:szCs w:val="16"/>
                          </w:rPr>
                          <w:t>2009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510" w:right="0"/>
                          <w:jc w:val="left"/>
                          <w:rPr>
                            <w:rFonts w:ascii="宋体" w:hAnsi="宋体" w:cs="宋体" w:eastAsia="宋体" w:hint="default"/>
                            <w:sz w:val="16"/>
                            <w:szCs w:val="16"/>
                          </w:rPr>
                        </w:pPr>
                        <w:r>
                          <w:rPr>
                            <w:rFonts w:ascii="宋体" w:hAnsi="宋体" w:cs="宋体" w:eastAsia="宋体" w:hint="default"/>
                            <w:w w:val="110"/>
                            <w:sz w:val="16"/>
                            <w:szCs w:val="16"/>
                          </w:rPr>
                          <w:t>2008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11</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p>
                      <w:p>
                        <w:pPr>
                          <w:pStyle w:val="TableParagraph"/>
                          <w:spacing w:line="240" w:lineRule="auto" w:before="86"/>
                          <w:ind w:left="510" w:right="0"/>
                          <w:jc w:val="left"/>
                          <w:rPr>
                            <w:rFonts w:ascii="宋体" w:hAnsi="宋体" w:cs="宋体" w:eastAsia="宋体" w:hint="default"/>
                            <w:sz w:val="16"/>
                            <w:szCs w:val="16"/>
                          </w:rPr>
                        </w:pPr>
                        <w:r>
                          <w:rPr>
                            <w:rFonts w:ascii="宋体" w:hAnsi="宋体" w:cs="宋体" w:eastAsia="宋体" w:hint="default"/>
                            <w:w w:val="110"/>
                            <w:sz w:val="16"/>
                            <w:szCs w:val="16"/>
                          </w:rPr>
                          <w:t>2009</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c>
                      <w:tcPr>
                        <w:tcW w:w="1038" w:type="dxa"/>
                        <w:tcBorders>
                          <w:top w:val="single" w:sz="8" w:space="0" w:color="FFFFFF"/>
                          <w:left w:val="nil" w:sz="6" w:space="0" w:color="auto"/>
                          <w:bottom w:val="nil" w:sz="6" w:space="0" w:color="auto"/>
                          <w:right w:val="nil" w:sz="6" w:space="0" w:color="auto"/>
                        </w:tcBorders>
                        <w:shd w:val="clear" w:color="auto" w:fill="ECE7DD"/>
                      </w:tcPr>
                      <w:p>
                        <w:pPr>
                          <w:pStyle w:val="TableParagraph"/>
                          <w:spacing w:line="240" w:lineRule="auto" w:before="7"/>
                          <w:ind w:left="97"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97"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p>
                        <w:pPr>
                          <w:pStyle w:val="TableParagraph"/>
                          <w:spacing w:line="240" w:lineRule="auto" w:before="86"/>
                          <w:ind w:left="97"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9"/>
                            <w:w w:val="110"/>
                            <w:sz w:val="16"/>
                            <w:szCs w:val="16"/>
                          </w:rPr>
                          <w:t> </w:t>
                        </w:r>
                        <w:r>
                          <w:rPr>
                            <w:rFonts w:ascii="宋体" w:hAnsi="宋体" w:cs="宋体" w:eastAsia="宋体" w:hint="default"/>
                            <w:w w:val="110"/>
                            <w:sz w:val="16"/>
                            <w:szCs w:val="16"/>
                          </w:rPr>
                          <w:t>年</w:t>
                        </w:r>
                        <w:r>
                          <w:rPr>
                            <w:rFonts w:ascii="宋体" w:hAnsi="宋体" w:cs="宋体" w:eastAsia="宋体" w:hint="default"/>
                            <w:spacing w:val="-58"/>
                            <w:w w:val="110"/>
                            <w:sz w:val="16"/>
                            <w:szCs w:val="16"/>
                          </w:rPr>
                          <w:t> </w:t>
                        </w:r>
                        <w:r>
                          <w:rPr>
                            <w:rFonts w:ascii="宋体" w:hAnsi="宋体" w:cs="宋体" w:eastAsia="宋体" w:hint="default"/>
                            <w:w w:val="110"/>
                            <w:sz w:val="16"/>
                            <w:szCs w:val="16"/>
                          </w:rPr>
                          <w:t>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p>
                    </w:tc>
                  </w:tr>
                </w:tbl>
                <w:p>
                  <w:pPr/>
                </w:p>
              </w:txbxContent>
            </v:textbox>
          </v:shape>
        </w:pict>
      </w:r>
      <w:r>
        <w:rPr>
          <w:rFonts w:ascii="宋体"/>
          <w:spacing w:val="-24"/>
          <w:position w:val="-141"/>
        </w:rPr>
      </w:r>
    </w:p>
    <w:p>
      <w:pPr>
        <w:tabs>
          <w:tab w:pos="5918" w:val="left" w:leader="none"/>
        </w:tabs>
        <w:spacing w:before="13"/>
        <w:ind w:left="1247" w:right="764" w:firstLine="0"/>
        <w:jc w:val="left"/>
        <w:rPr>
          <w:rFonts w:ascii="宋体" w:hAnsi="宋体" w:cs="宋体" w:eastAsia="宋体" w:hint="default"/>
          <w:sz w:val="16"/>
          <w:szCs w:val="16"/>
        </w:rPr>
      </w:pPr>
      <w:r>
        <w:rPr>
          <w:rFonts w:ascii="宋体" w:hAnsi="宋体" w:cs="宋体" w:eastAsia="宋体" w:hint="default"/>
          <w:sz w:val="16"/>
          <w:szCs w:val="16"/>
        </w:rPr>
        <w:t>在其他单位任职情况的说明</w:t>
        <w:tab/>
        <w:t>无</w:t>
      </w:r>
    </w:p>
    <w:p>
      <w:pPr>
        <w:spacing w:line="240" w:lineRule="auto" w:before="4"/>
        <w:rPr>
          <w:rFonts w:ascii="宋体" w:hAnsi="宋体" w:cs="宋体" w:eastAsia="宋体" w:hint="default"/>
          <w:sz w:val="5"/>
          <w:szCs w:val="5"/>
        </w:rPr>
      </w:pPr>
    </w:p>
    <w:p>
      <w:pPr>
        <w:spacing w:line="67" w:lineRule="exact"/>
        <w:ind w:left="1159" w:right="0" w:firstLine="0"/>
        <w:rPr>
          <w:rFonts w:ascii="宋体" w:hAnsi="宋体" w:cs="宋体" w:eastAsia="宋体" w:hint="default"/>
          <w:sz w:val="6"/>
          <w:szCs w:val="6"/>
        </w:rPr>
      </w:pPr>
      <w:r>
        <w:rPr>
          <w:rFonts w:ascii="宋体" w:hAnsi="宋体" w:cs="宋体" w:eastAsia="宋体" w:hint="default"/>
          <w:position w:val="0"/>
          <w:sz w:val="6"/>
          <w:szCs w:val="6"/>
        </w:rPr>
        <w:pict>
          <v:group style="width:468pt;height:3.4pt;mso-position-horizontal-relative:char;mso-position-vertical-relative:line" coordorigin="0,0" coordsize="9360,68">
            <v:group style="position:absolute;left:31;top:31;width:9298;height:2" coordorigin="31,31" coordsize="9298,2">
              <v:shape style="position:absolute;left:31;top:31;width:9298;height:2" coordorigin="31,31" coordsize="9298,0" path="m31,31l9329,31e" filled="false" stroked="true" strokeweight="3.118pt" strokecolor="#9c8758">
                <v:path arrowok="t"/>
              </v:shape>
            </v:group>
            <v:group style="position:absolute;left:31;top:62;width:1078;height:2" coordorigin="31,62" coordsize="1078,2">
              <v:shape style="position:absolute;left:31;top:62;width:1078;height:2" coordorigin="31,62" coordsize="1078,0" path="m31,62l1108,62e" filled="false" stroked="true" strokeweight=".5pt" strokecolor="#000000">
                <v:path arrowok="t"/>
              </v:shape>
            </v:group>
            <v:group style="position:absolute;left:1108;top:62;width:114;height:2" coordorigin="1108,62" coordsize="114,2">
              <v:shape style="position:absolute;left:1108;top:62;width:114;height:2" coordorigin="1108,62" coordsize="114,0" path="m1108,62l1222,62e" filled="false" stroked="true" strokeweight=".5pt" strokecolor="#000000">
                <v:path arrowok="t"/>
              </v:shape>
            </v:group>
            <v:group style="position:absolute;left:1222;top:62;width:3481;height:2" coordorigin="1222,62" coordsize="3481,2">
              <v:shape style="position:absolute;left:1222;top:62;width:3481;height:2" coordorigin="1222,62" coordsize="3481,0" path="m1222,62l4703,62e" filled="false" stroked="true" strokeweight=".5pt" strokecolor="#000000">
                <v:path arrowok="t"/>
              </v:shape>
            </v:group>
            <v:group style="position:absolute;left:4703;top:62;width:2461;height:2" coordorigin="4703,62" coordsize="2461,2">
              <v:shape style="position:absolute;left:4703;top:62;width:2461;height:2" coordorigin="4703,62" coordsize="2461,0" path="m4703,62l7163,62e" filled="false" stroked="true" strokeweight=".5pt" strokecolor="#000000">
                <v:path arrowok="t"/>
              </v:shape>
            </v:group>
            <v:group style="position:absolute;left:7163;top:62;width:1089;height:2" coordorigin="7163,62" coordsize="1089,2">
              <v:shape style="position:absolute;left:7163;top:62;width:1089;height:2" coordorigin="7163,62" coordsize="1089,0" path="m7163,62l8252,62e" filled="false" stroked="true" strokeweight=".5pt" strokecolor="#000000">
                <v:path arrowok="t"/>
              </v:shape>
            </v:group>
            <v:group style="position:absolute;left:8252;top:62;width:1078;height:2" coordorigin="8252,62" coordsize="1078,2">
              <v:shape style="position:absolute;left:8252;top:62;width:1078;height:2" coordorigin="8252,62" coordsize="1078,0" path="m8252,62l9329,62e" filled="false" stroked="true" strokeweight=".5pt" strokecolor="#000000">
                <v:path arrowok="t"/>
              </v:shape>
            </v:group>
          </v:group>
        </w:pict>
      </w:r>
      <w:r>
        <w:rPr>
          <w:rFonts w:ascii="宋体" w:hAnsi="宋体" w:cs="宋体" w:eastAsia="宋体" w:hint="default"/>
          <w:position w:val="0"/>
          <w:sz w:val="6"/>
          <w:szCs w:val="6"/>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9"/>
          <w:szCs w:val="19"/>
        </w:rPr>
      </w:pPr>
    </w:p>
    <w:p>
      <w:pPr>
        <w:spacing w:line="2585" w:lineRule="exact"/>
        <w:ind w:left="0" w:right="0" w:firstLine="0"/>
        <w:rPr>
          <w:rFonts w:ascii="宋体" w:hAnsi="宋体" w:cs="宋体" w:eastAsia="宋体" w:hint="default"/>
          <w:sz w:val="20"/>
          <w:szCs w:val="20"/>
        </w:rPr>
      </w:pPr>
      <w:r>
        <w:rPr>
          <w:rFonts w:ascii="宋体" w:hAnsi="宋体" w:cs="宋体" w:eastAsia="宋体" w:hint="default"/>
          <w:position w:val="-51"/>
          <w:sz w:val="20"/>
          <w:szCs w:val="20"/>
        </w:rPr>
        <w:pict>
          <v:group style="width:34.75pt;height:129.3pt;mso-position-horizontal-relative:char;mso-position-vertical-relative:line" coordorigin="0,0" coordsize="695,2586">
            <v:group style="position:absolute;left:0;top:844;width:695;height:1742" coordorigin="0,844" coordsize="695,1742">
              <v:shape style="position:absolute;left:0;top:844;width:695;height:1742" coordorigin="0,844" coordsize="695,1742" path="m0,2586l0,844,694,844,0,2586xe" filled="true" fillcolor="#8e9090" stroked="false">
                <v:path arrowok="t"/>
                <v:fill type="solid"/>
              </v:shape>
            </v:group>
            <v:group style="position:absolute;left:0;top:0;width:695;height:1742" coordorigin="0,0" coordsize="695,1742">
              <v:shape style="position:absolute;left:0;top:0;width:695;height:1742" coordorigin="0,0" coordsize="695,1742" path="m0,1742l0,0,694,0,0,1742xe" filled="true" fillcolor="#d7000f" stroked="false">
                <v:path arrowok="t"/>
                <v:fill type="solid"/>
              </v:shape>
            </v:group>
          </v:group>
        </w:pict>
      </w:r>
      <w:r>
        <w:rPr>
          <w:rFonts w:ascii="宋体" w:hAnsi="宋体" w:cs="宋体" w:eastAsia="宋体" w:hint="default"/>
          <w:position w:val="-51"/>
          <w:sz w:val="20"/>
          <w:szCs w:val="20"/>
        </w:rPr>
      </w:r>
    </w:p>
    <w:p>
      <w:pPr>
        <w:spacing w:after="0" w:line="2585" w:lineRule="exact"/>
        <w:rPr>
          <w:rFonts w:ascii="宋体" w:hAnsi="宋体" w:cs="宋体" w:eastAsia="宋体" w:hint="default"/>
          <w:sz w:val="20"/>
          <w:szCs w:val="20"/>
        </w:rPr>
        <w:sectPr>
          <w:pgSz w:w="11910" w:h="16160"/>
          <w:pgMar w:header="0" w:footer="321" w:top="3500" w:bottom="52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pStyle w:val="BodyText"/>
        <w:spacing w:line="240" w:lineRule="auto" w:before="26"/>
        <w:ind w:left="1417" w:right="764"/>
        <w:jc w:val="left"/>
        <w:rPr>
          <w:rFonts w:ascii="宋体" w:hAnsi="宋体" w:cs="宋体" w:eastAsia="宋体" w:hint="default"/>
        </w:rPr>
      </w:pPr>
      <w:r>
        <w:rPr/>
        <w:pict>
          <v:group style="position:absolute;margin-left:70.865997pt;margin-top:4.076695pt;width:524.9pt;height:606.65pt;mso-position-horizontal-relative:page;mso-position-vertical-relative:paragraph;z-index:-962848" coordorigin="1417,82" coordsize="10498,12133">
            <v:group style="position:absolute;left:10718;top:2925;width:1188;height:2980" coordorigin="10718,2925" coordsize="1188,2980">
              <v:shape style="position:absolute;left:10718;top:2925;width:1188;height:2980" coordorigin="10718,2925" coordsize="1188,2980" path="m11906,5904l10718,5904,11906,2925,11906,5904xe" filled="true" fillcolor="#d7000f" stroked="false">
                <v:path arrowok="t"/>
                <v:fill type="solid"/>
              </v:shape>
            </v:group>
            <v:group style="position:absolute;left:9173;top:5361;width:2733;height:6853" coordorigin="9173,5361" coordsize="2733,6853">
              <v:shape style="position:absolute;left:9173;top:5361;width:2733;height:6853" coordorigin="9173,5361" coordsize="2733,6853" path="m11906,12214l9173,12214,11906,5361,11906,12214xe" filled="true" fillcolor="#8e9090" stroked="false">
                <v:path arrowok="t"/>
                <v:fill type="solid"/>
              </v:shape>
            </v:group>
            <v:group style="position:absolute;left:11140;top:11372;width:766;height:2" coordorigin="11140,11372" coordsize="766,2">
              <v:shape style="position:absolute;left:11140;top:11372;width:766;height:2" coordorigin="11140,11372" coordsize="766,0" path="m11140,11372l11906,11372e" filled="false" stroked="true" strokeweight=".956pt" strokecolor="#8e9090">
                <v:path arrowok="t"/>
              </v:shape>
              <v:shape style="position:absolute;left:7550;top:11278;width:188;height:188" type="#_x0000_t75" stroked="false">
                <v:imagedata r:id="rId76" o:title=""/>
              </v:shape>
            </v:group>
            <v:group style="position:absolute;left:1417;top:82;width:9723;height:11396" coordorigin="1417,82" coordsize="9723,11396">
              <v:shape style="position:absolute;left:1417;top:82;width:9723;height:11396" coordorigin="1417,82" coordsize="9723,11396" path="m1417,11477l11140,11477,11140,82,1417,82,1417,11477xe" filled="true" fillcolor="#ffffff" stroked="false">
                <v:path arrowok="t"/>
                <v:fill type="solid"/>
              </v:shape>
            </v:group>
            <v:group style="position:absolute;left:1757;top:3014;width:3827;height:2" coordorigin="1757,3014" coordsize="3827,2">
              <v:shape style="position:absolute;left:1757;top:3014;width:3827;height:2" coordorigin="1757,3014" coordsize="3827,0" path="m1757,3014l5584,3014e" filled="false" stroked="true" strokeweight=".5pt" strokecolor="#000000">
                <v:path arrowok="t"/>
              </v:shape>
            </v:group>
            <v:group style="position:absolute;left:5584;top:3014;width:5466;height:2" coordorigin="5584,3014" coordsize="5466,2">
              <v:shape style="position:absolute;left:5584;top:3014;width:5466;height:2" coordorigin="5584,3014" coordsize="5466,0" path="m5584,3014l11049,3014e" filled="false" stroked="true" strokeweight=".5pt" strokecolor="#000000">
                <v:path arrowok="t"/>
              </v:shape>
            </v:group>
            <v:group style="position:absolute;left:1757;top:1727;width:3827;height:2" coordorigin="1757,1727" coordsize="3827,2">
              <v:shape style="position:absolute;left:1757;top:1727;width:3827;height:2" coordorigin="1757,1727" coordsize="3827,0" path="m1757,1727l5584,1727e" filled="false" stroked="true" strokeweight=".5pt" strokecolor="#000000">
                <v:path arrowok="t"/>
              </v:shape>
            </v:group>
            <v:group style="position:absolute;left:5584;top:1727;width:5466;height:2" coordorigin="5584,1727" coordsize="5466,2">
              <v:shape style="position:absolute;left:5584;top:1727;width:5466;height:2" coordorigin="5584,1727" coordsize="5466,0" path="m5584,1727l11049,1727e" filled="false" stroked="true" strokeweight=".5pt" strokecolor="#000000">
                <v:path arrowok="t"/>
              </v:shape>
            </v:group>
            <v:group style="position:absolute;left:1757;top:545;width:3827;height:2" coordorigin="1757,545" coordsize="3827,2">
              <v:shape style="position:absolute;left:1757;top:545;width:3827;height:2" coordorigin="1757,545" coordsize="3827,0" path="m1757,545l5584,545e" filled="false" stroked="true" strokeweight="2pt" strokecolor="#9c8758">
                <v:path arrowok="t"/>
              </v:shape>
            </v:group>
            <v:group style="position:absolute;left:5584;top:545;width:5466;height:2" coordorigin="5584,545" coordsize="5466,2">
              <v:shape style="position:absolute;left:5584;top:545;width:5466;height:2" coordorigin="5584,545" coordsize="5466,0" path="m5584,545l11049,545e" filled="false" stroked="true" strokeweight="2pt" strokecolor="#9c8758">
                <v:path arrowok="t"/>
              </v:shape>
            </v:group>
            <v:group style="position:absolute;left:1757;top:4469;width:1078;height:1480" coordorigin="1757,4469" coordsize="1078,1480">
              <v:shape style="position:absolute;left:1757;top:4469;width:1078;height:1480" coordorigin="1757,4469" coordsize="1078,1480" path="m1757,5949l2835,5949,2835,4469,1757,4469,1757,5949xe" filled="true" fillcolor="#ffffff" stroked="false">
                <v:path arrowok="t"/>
                <v:fill type="solid"/>
              </v:shape>
            </v:group>
            <v:group style="position:absolute;left:1757;top:4173;width:9280;height:296" coordorigin="1757,4173" coordsize="9280,296">
              <v:shape style="position:absolute;left:1757;top:4173;width:9280;height:296" coordorigin="1757,4173" coordsize="9280,296" path="m1757,4469l11037,4469,11037,4173,1757,4173,1757,4469xe" filled="true" fillcolor="#ffffff" stroked="false">
                <v:path arrowok="t"/>
                <v:fill type="solid"/>
              </v:shape>
            </v:group>
            <v:group style="position:absolute;left:2835;top:4469;width:1838;height:1481" coordorigin="2835,4469" coordsize="1838,1481">
              <v:shape style="position:absolute;left:2835;top:4469;width:1838;height:1481" coordorigin="2835,4469" coordsize="1838,1481" path="m4672,4469l2835,4469,2835,5949,4672,5949,4672,4469xe" filled="true" fillcolor="#ffffff" stroked="false">
                <v:path arrowok="t"/>
                <v:fill type="solid"/>
              </v:shape>
            </v:group>
            <v:group style="position:absolute;left:4672;top:4469;width:1663;height:1481" coordorigin="4672,4469" coordsize="1663,1481">
              <v:shape style="position:absolute;left:4672;top:4469;width:1663;height:1481" coordorigin="4672,4469" coordsize="1663,1481" path="m6335,4469l4672,4469,4672,5949,6335,5949,6335,4469xe" filled="true" fillcolor="#ffffff" stroked="false">
                <v:path arrowok="t"/>
                <v:fill type="solid"/>
              </v:shape>
            </v:group>
            <v:group style="position:absolute;left:6335;top:4469;width:4702;height:1481" coordorigin="6335,4469" coordsize="4702,1481">
              <v:shape style="position:absolute;left:6335;top:4469;width:4702;height:1481" coordorigin="6335,4469" coordsize="4702,1481" path="m11037,4469l6335,4469,6335,5949,11037,5949,11037,4469xe" filled="true" fillcolor="#ffffff" stroked="false">
                <v:path arrowok="t"/>
                <v:fill type="solid"/>
              </v:shape>
            </v:group>
            <v:group style="position:absolute;left:1757;top:5949;width:1078;height:2073" coordorigin="1757,5949" coordsize="1078,2073">
              <v:shape style="position:absolute;left:1757;top:5949;width:1078;height:2073" coordorigin="1757,5949" coordsize="1078,2073" path="m2835,5949l1757,5949,1757,8021,2835,8021,2835,5949xe" filled="true" fillcolor="#ffffff" stroked="false">
                <v:path arrowok="t"/>
                <v:fill type="solid"/>
              </v:shape>
            </v:group>
            <v:group style="position:absolute;left:2835;top:5949;width:1838;height:2073" coordorigin="2835,5949" coordsize="1838,2073">
              <v:shape style="position:absolute;left:2835;top:5949;width:1838;height:2073" coordorigin="2835,5949" coordsize="1838,2073" path="m4672,5949l2835,5949,2835,8021,4672,8021,4672,5949xe" filled="true" fillcolor="#ffffff" stroked="false">
                <v:path arrowok="t"/>
                <v:fill type="solid"/>
              </v:shape>
            </v:group>
            <v:group style="position:absolute;left:4672;top:5949;width:1663;height:2073" coordorigin="4672,5949" coordsize="1663,2073">
              <v:shape style="position:absolute;left:4672;top:5949;width:1663;height:2073" coordorigin="4672,5949" coordsize="1663,2073" path="m6335,5949l4672,5949,4672,8021,6335,8021,6335,5949xe" filled="true" fillcolor="#ffffff" stroked="false">
                <v:path arrowok="t"/>
                <v:fill type="solid"/>
              </v:shape>
            </v:group>
            <v:group style="position:absolute;left:6335;top:5949;width:4702;height:2073" coordorigin="6335,5949" coordsize="4702,2073">
              <v:shape style="position:absolute;left:6335;top:5949;width:4702;height:2073" coordorigin="6335,5949" coordsize="4702,2073" path="m11037,5949l6335,5949,6335,8021,11037,8021,11037,5949xe" filled="true" fillcolor="#ffffff" stroked="false">
                <v:path arrowok="t"/>
                <v:fill type="solid"/>
              </v:shape>
            </v:group>
            <v:group style="position:absolute;left:1757;top:8022;width:1078;height:1777" coordorigin="1757,8022" coordsize="1078,1777">
              <v:shape style="position:absolute;left:1757;top:8022;width:1078;height:1777" coordorigin="1757,8022" coordsize="1078,1777" path="m2835,8022l1757,8022,1757,9798,2835,9798,2835,8022xe" filled="true" fillcolor="#ffffff" stroked="false">
                <v:path arrowok="t"/>
                <v:fill type="solid"/>
              </v:shape>
            </v:group>
            <v:group style="position:absolute;left:2835;top:8022;width:1838;height:1777" coordorigin="2835,8022" coordsize="1838,1777">
              <v:shape style="position:absolute;left:2835;top:8022;width:1838;height:1777" coordorigin="2835,8022" coordsize="1838,1777" path="m4672,8022l2835,8022,2835,9798,4672,9798,4672,8022xe" filled="true" fillcolor="#ffffff" stroked="false">
                <v:path arrowok="t"/>
                <v:fill type="solid"/>
              </v:shape>
            </v:group>
            <v:group style="position:absolute;left:4672;top:8022;width:1663;height:1777" coordorigin="4672,8022" coordsize="1663,1777">
              <v:shape style="position:absolute;left:4672;top:8022;width:1663;height:1777" coordorigin="4672,8022" coordsize="1663,1777" path="m6335,8022l4672,8022,4672,9798,6335,9798,6335,8022xe" filled="true" fillcolor="#ffffff" stroked="false">
                <v:path arrowok="t"/>
                <v:fill type="solid"/>
              </v:shape>
            </v:group>
            <v:group style="position:absolute;left:6335;top:8022;width:4702;height:1777" coordorigin="6335,8022" coordsize="4702,1777">
              <v:shape style="position:absolute;left:6335;top:8022;width:4702;height:1777" coordorigin="6335,8022" coordsize="4702,1777" path="m11037,8022l6335,8022,6335,9798,11037,9798,11037,8022xe" filled="true" fillcolor="#ffffff" stroked="false">
                <v:path arrowok="t"/>
                <v:fill type="solid"/>
              </v:shape>
            </v:group>
            <v:group style="position:absolute;left:1757;top:9798;width:1078;height:1185" coordorigin="1757,9798" coordsize="1078,1185">
              <v:shape style="position:absolute;left:1757;top:9798;width:1078;height:1185" coordorigin="1757,9798" coordsize="1078,1185" path="m2835,9798l1757,9798,1757,10982,2835,10982,2835,9798xe" filled="true" fillcolor="#ffffff" stroked="false">
                <v:path arrowok="t"/>
                <v:fill type="solid"/>
              </v:shape>
            </v:group>
            <v:group style="position:absolute;left:2835;top:9798;width:1838;height:1185" coordorigin="2835,9798" coordsize="1838,1185">
              <v:shape style="position:absolute;left:2835;top:9798;width:1838;height:1185" coordorigin="2835,9798" coordsize="1838,1185" path="m4672,9798l2835,9798,2835,10982,4672,10982,4672,9798xe" filled="true" fillcolor="#ffffff" stroked="false">
                <v:path arrowok="t"/>
                <v:fill type="solid"/>
              </v:shape>
            </v:group>
            <v:group style="position:absolute;left:4672;top:9798;width:1663;height:1185" coordorigin="4672,9798" coordsize="1663,1185">
              <v:shape style="position:absolute;left:4672;top:9798;width:1663;height:1185" coordorigin="4672,9798" coordsize="1663,1185" path="m6335,9798l4672,9798,4672,10982,6335,10982,6335,9798xe" filled="true" fillcolor="#ffffff" stroked="false">
                <v:path arrowok="t"/>
                <v:fill type="solid"/>
              </v:shape>
            </v:group>
            <v:group style="position:absolute;left:6335;top:9798;width:4702;height:1185" coordorigin="6335,9798" coordsize="4702,1185">
              <v:shape style="position:absolute;left:6335;top:9798;width:4702;height:1185" coordorigin="6335,9798" coordsize="4702,1185" path="m11037,9798l6335,9798,6335,10982,11037,10982,11037,9798xe" filled="true" fillcolor="#ffffff" stroked="false">
                <v:path arrowok="t"/>
                <v:fill type="solid"/>
              </v:shape>
            </v:group>
            <v:group style="position:absolute;left:1757;top:10982;width:1078;height:297" coordorigin="1757,10982" coordsize="1078,297">
              <v:shape style="position:absolute;left:1757;top:10982;width:1078;height:297" coordorigin="1757,10982" coordsize="1078,297" path="m2835,10982l1757,10982,1757,11278,2835,11278,2835,10982xe" filled="true" fillcolor="#ffffff" stroked="false">
                <v:path arrowok="t"/>
                <v:fill type="solid"/>
              </v:shape>
            </v:group>
            <v:group style="position:absolute;left:2835;top:10982;width:1838;height:297" coordorigin="2835,10982" coordsize="1838,297">
              <v:shape style="position:absolute;left:2835;top:10982;width:1838;height:297" coordorigin="2835,10982" coordsize="1838,297" path="m4672,10982l2835,10982,2835,11278,4672,11278,4672,10982xe" filled="true" fillcolor="#ffffff" stroked="false">
                <v:path arrowok="t"/>
                <v:fill type="solid"/>
              </v:shape>
            </v:group>
            <v:group style="position:absolute;left:4672;top:10982;width:1663;height:297" coordorigin="4672,10982" coordsize="1663,297">
              <v:shape style="position:absolute;left:4672;top:10982;width:1663;height:297" coordorigin="4672,10982" coordsize="1663,297" path="m6335,10982l4672,10982,4672,11278,6335,11278,6335,10982xe" filled="true" fillcolor="#ffffff" stroked="false">
                <v:path arrowok="t"/>
                <v:fill type="solid"/>
              </v:shape>
            </v:group>
            <v:group style="position:absolute;left:6335;top:10982;width:4702;height:297" coordorigin="6335,10982" coordsize="4702,297">
              <v:shape style="position:absolute;left:6335;top:10982;width:4702;height:297" coordorigin="6335,10982" coordsize="4702,297" path="m11037,10982l6335,10982,6335,11278,11037,11278,11037,10982xe" filled="true" fillcolor="#ffffff" stroked="false">
                <v:path arrowok="t"/>
                <v:fill type="solid"/>
              </v:shape>
            </v:group>
            <v:group style="position:absolute;left:1757;top:4096;width:1078;height:2" coordorigin="1757,4096" coordsize="1078,2">
              <v:shape style="position:absolute;left:1757;top:4096;width:1078;height:2" coordorigin="1757,4096" coordsize="1078,0" path="m1757,4096l2835,4096e" filled="false" stroked="true" strokeweight="2pt" strokecolor="#9c8758">
                <v:path arrowok="t"/>
              </v:shape>
            </v:group>
            <v:group style="position:absolute;left:2835;top:4096;width:1838;height:2" coordorigin="2835,4096" coordsize="1838,2">
              <v:shape style="position:absolute;left:2835;top:4096;width:1838;height:2" coordorigin="2835,4096" coordsize="1838,0" path="m2835,4096l4672,4096e" filled="false" stroked="true" strokeweight="2pt" strokecolor="#9c8758">
                <v:path arrowok="t"/>
              </v:shape>
            </v:group>
            <v:group style="position:absolute;left:4672;top:4096;width:1663;height:2" coordorigin="4672,4096" coordsize="1663,2">
              <v:shape style="position:absolute;left:4672;top:4096;width:1663;height:2" coordorigin="4672,4096" coordsize="1663,0" path="m4672,4096l6335,4096e" filled="false" stroked="true" strokeweight="2pt" strokecolor="#9c8758">
                <v:path arrowok="t"/>
              </v:shape>
            </v:group>
            <v:group style="position:absolute;left:6335;top:4096;width:4702;height:2" coordorigin="6335,4096" coordsize="4702,2">
              <v:shape style="position:absolute;left:6335;top:4096;width:4702;height:2" coordorigin="6335,4096" coordsize="4702,0" path="m6335,4096l11037,4096e" filled="false" stroked="true" strokeweight="2pt" strokecolor="#9c8758">
                <v:path arrowok="t"/>
              </v:shape>
            </v:group>
            <w10:wrap type="none"/>
          </v:group>
        </w:pict>
      </w:r>
      <w:r>
        <w:rPr>
          <w:rFonts w:ascii="宋体" w:hAnsi="宋体" w:cs="宋体" w:eastAsia="宋体" w:hint="default"/>
          <w:color w:val="D7000F"/>
        </w:rPr>
        <w:t>三、董事、监事、高级管理人员报酬情况</w:t>
      </w:r>
      <w:r>
        <w:rPr>
          <w:rFonts w:ascii="宋体" w:hAnsi="宋体" w:cs="宋体" w:eastAsia="宋体" w:hint="default"/>
        </w:rPr>
      </w:r>
    </w:p>
    <w:p>
      <w:pPr>
        <w:spacing w:line="240" w:lineRule="auto" w:before="2"/>
        <w:rPr>
          <w:rFonts w:ascii="宋体" w:hAnsi="宋体" w:cs="宋体" w:eastAsia="宋体" w:hint="default"/>
          <w:sz w:val="27"/>
          <w:szCs w:val="27"/>
        </w:rPr>
      </w:pPr>
    </w:p>
    <w:p>
      <w:pPr>
        <w:tabs>
          <w:tab w:pos="5810" w:val="left" w:leader="none"/>
        </w:tabs>
        <w:spacing w:line="255" w:lineRule="exact" w:before="38"/>
        <w:ind w:left="1842" w:right="764" w:firstLine="0"/>
        <w:jc w:val="left"/>
        <w:rPr>
          <w:rFonts w:ascii="宋体" w:hAnsi="宋体" w:cs="宋体" w:eastAsia="宋体" w:hint="default"/>
          <w:sz w:val="16"/>
          <w:szCs w:val="16"/>
        </w:rPr>
      </w:pPr>
      <w:r>
        <w:rPr>
          <w:rFonts w:ascii="宋体" w:hAnsi="宋体" w:cs="宋体" w:eastAsia="宋体" w:hint="default"/>
          <w:position w:val="-9"/>
          <w:sz w:val="16"/>
          <w:szCs w:val="16"/>
        </w:rPr>
        <w:t>董事、监事、高级管理人员报酬的决策程序</w:t>
        <w:tab/>
      </w:r>
      <w:r>
        <w:rPr>
          <w:rFonts w:ascii="宋体" w:hAnsi="宋体" w:cs="宋体" w:eastAsia="宋体" w:hint="default"/>
          <w:sz w:val="16"/>
          <w:szCs w:val="16"/>
        </w:rPr>
        <w:t>在股东单位任职的董事和监事的报酬，由国有资产监督管理委员会核定。</w:t>
      </w:r>
    </w:p>
    <w:p>
      <w:pPr>
        <w:spacing w:line="155" w:lineRule="exact" w:before="0"/>
        <w:ind w:left="5811" w:right="764" w:firstLine="0"/>
        <w:jc w:val="left"/>
        <w:rPr>
          <w:rFonts w:ascii="宋体" w:hAnsi="宋体" w:cs="宋体" w:eastAsia="宋体" w:hint="default"/>
          <w:sz w:val="16"/>
          <w:szCs w:val="16"/>
        </w:rPr>
      </w:pPr>
      <w:r>
        <w:rPr>
          <w:rFonts w:ascii="宋体" w:hAnsi="宋体" w:cs="宋体" w:eastAsia="宋体" w:hint="default"/>
          <w:sz w:val="16"/>
          <w:szCs w:val="16"/>
        </w:rPr>
        <w:t>高级管理人员的报酬，由董事会制定薪酬标准并组织考核确定。</w:t>
      </w:r>
    </w:p>
    <w:p>
      <w:pPr>
        <w:tabs>
          <w:tab w:pos="5810" w:val="left" w:leader="none"/>
        </w:tabs>
        <w:spacing w:line="255" w:lineRule="exact" w:before="139"/>
        <w:ind w:left="1842" w:right="764" w:firstLine="0"/>
        <w:jc w:val="left"/>
        <w:rPr>
          <w:rFonts w:ascii="宋体" w:hAnsi="宋体" w:cs="宋体" w:eastAsia="宋体" w:hint="default"/>
          <w:sz w:val="16"/>
          <w:szCs w:val="16"/>
        </w:rPr>
      </w:pPr>
      <w:r>
        <w:rPr>
          <w:rFonts w:ascii="宋体" w:hAnsi="宋体" w:cs="宋体" w:eastAsia="宋体" w:hint="default"/>
          <w:position w:val="-9"/>
          <w:sz w:val="16"/>
          <w:szCs w:val="16"/>
        </w:rPr>
        <w:t>董事、监事、高级管理人员报酬确定依据</w:t>
        <w:tab/>
      </w:r>
      <w:r>
        <w:rPr>
          <w:rFonts w:ascii="宋体" w:hAnsi="宋体" w:cs="宋体" w:eastAsia="宋体" w:hint="default"/>
          <w:sz w:val="16"/>
          <w:szCs w:val="16"/>
        </w:rPr>
        <w:t>本公司按照国有资产监督管理委员会管理要求，执行担任中央企业负责</w:t>
      </w:r>
    </w:p>
    <w:p>
      <w:pPr>
        <w:spacing w:line="155" w:lineRule="exact" w:before="0"/>
        <w:ind w:left="5811" w:right="764" w:firstLine="0"/>
        <w:jc w:val="left"/>
        <w:rPr>
          <w:rFonts w:ascii="宋体" w:hAnsi="宋体" w:cs="宋体" w:eastAsia="宋体" w:hint="default"/>
          <w:sz w:val="16"/>
          <w:szCs w:val="16"/>
        </w:rPr>
      </w:pPr>
      <w:r>
        <w:rPr>
          <w:rFonts w:ascii="宋体" w:hAnsi="宋体" w:cs="宋体" w:eastAsia="宋体" w:hint="default"/>
          <w:sz w:val="16"/>
          <w:szCs w:val="16"/>
        </w:rPr>
        <w:t>人的董事、监事薪酬方案。</w:t>
      </w:r>
    </w:p>
    <w:p>
      <w:pPr>
        <w:spacing w:line="240" w:lineRule="auto" w:before="7"/>
        <w:rPr>
          <w:rFonts w:ascii="宋体" w:hAnsi="宋体" w:cs="宋体" w:eastAsia="宋体" w:hint="default"/>
          <w:sz w:val="18"/>
          <w:szCs w:val="18"/>
        </w:rPr>
      </w:pPr>
    </w:p>
    <w:p>
      <w:pPr>
        <w:tabs>
          <w:tab w:pos="5810" w:val="left" w:leader="none"/>
        </w:tabs>
        <w:spacing w:line="156" w:lineRule="auto" w:before="0"/>
        <w:ind w:left="5811" w:right="1231" w:hanging="3969"/>
        <w:jc w:val="left"/>
        <w:rPr>
          <w:rFonts w:ascii="宋体" w:hAnsi="宋体" w:cs="宋体" w:eastAsia="宋体" w:hint="default"/>
          <w:sz w:val="16"/>
          <w:szCs w:val="16"/>
        </w:rPr>
      </w:pPr>
      <w:r>
        <w:rPr>
          <w:rFonts w:ascii="宋体" w:hAnsi="宋体" w:cs="宋体" w:eastAsia="宋体" w:hint="default"/>
          <w:position w:val="-9"/>
          <w:sz w:val="16"/>
          <w:szCs w:val="16"/>
        </w:rPr>
        <w:t>董事、监事和高级管理人员报酬的实际支付情况</w:t>
        <w:tab/>
      </w:r>
      <w:r>
        <w:rPr>
          <w:rFonts w:ascii="宋体" w:hAnsi="宋体" w:cs="宋体" w:eastAsia="宋体" w:hint="default"/>
          <w:spacing w:val="-4"/>
          <w:sz w:val="16"/>
          <w:szCs w:val="16"/>
        </w:rPr>
        <w:t>详见本节“现任及报告期内离任董事、监事和高级管理人员持股变动及 报酬情况”。</w:t>
      </w:r>
      <w:r>
        <w:rPr>
          <w:rFonts w:ascii="宋体" w:hAnsi="宋体" w:cs="宋体" w:eastAsia="宋体" w:hint="default"/>
          <w:sz w:val="16"/>
          <w:szCs w:val="16"/>
        </w:rPr>
      </w:r>
    </w:p>
    <w:p>
      <w:pPr>
        <w:spacing w:line="240" w:lineRule="auto" w:before="5"/>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pgSz w:w="11910" w:h="16160"/>
          <w:pgMar w:header="0" w:footer="298" w:top="2060" w:bottom="480" w:left="0" w:right="0"/>
        </w:sectPr>
      </w:pPr>
    </w:p>
    <w:p>
      <w:pPr>
        <w:spacing w:line="200" w:lineRule="exact" w:before="67"/>
        <w:ind w:left="1842" w:right="-20" w:firstLine="0"/>
        <w:jc w:val="left"/>
        <w:rPr>
          <w:rFonts w:ascii="宋体" w:hAnsi="宋体" w:cs="宋体" w:eastAsia="宋体" w:hint="default"/>
          <w:sz w:val="16"/>
          <w:szCs w:val="16"/>
        </w:rPr>
      </w:pPr>
      <w:r>
        <w:rPr>
          <w:rFonts w:ascii="宋体" w:hAnsi="宋体" w:cs="宋体" w:eastAsia="宋体" w:hint="default"/>
          <w:sz w:val="16"/>
          <w:szCs w:val="16"/>
        </w:rPr>
        <w:t>报告期末全体董事、监事和高级管理人员实际获得 的报酬合计</w:t>
      </w:r>
    </w:p>
    <w:p>
      <w:pPr>
        <w:spacing w:line="200" w:lineRule="exact" w:before="67"/>
        <w:ind w:left="408" w:right="343" w:firstLine="0"/>
        <w:jc w:val="left"/>
        <w:rPr>
          <w:rFonts w:ascii="宋体" w:hAnsi="宋体" w:cs="宋体" w:eastAsia="宋体" w:hint="default"/>
          <w:sz w:val="16"/>
          <w:szCs w:val="16"/>
        </w:rPr>
      </w:pPr>
      <w:r>
        <w:rPr>
          <w:spacing w:val="-4"/>
        </w:rPr>
        <w:br w:type="column"/>
      </w:r>
      <w:r>
        <w:rPr>
          <w:rFonts w:ascii="宋体" w:hAnsi="宋体" w:cs="宋体" w:eastAsia="宋体" w:hint="default"/>
          <w:spacing w:val="-4"/>
          <w:sz w:val="16"/>
          <w:szCs w:val="16"/>
        </w:rPr>
        <w:t>详见本节“现任及报告期内离任董事、监事和高级管理人员持股变动及 报酬情况”。</w:t>
      </w:r>
      <w:r>
        <w:rPr>
          <w:rFonts w:ascii="宋体" w:hAnsi="宋体" w:cs="宋体" w:eastAsia="宋体" w:hint="default"/>
          <w:sz w:val="16"/>
          <w:szCs w:val="16"/>
        </w:rPr>
      </w:r>
    </w:p>
    <w:p>
      <w:pPr>
        <w:spacing w:after="0" w:line="200" w:lineRule="exact"/>
        <w:jc w:val="left"/>
        <w:rPr>
          <w:rFonts w:ascii="宋体" w:hAnsi="宋体" w:cs="宋体" w:eastAsia="宋体" w:hint="default"/>
          <w:sz w:val="16"/>
          <w:szCs w:val="16"/>
        </w:rPr>
        <w:sectPr>
          <w:type w:val="continuous"/>
          <w:pgSz w:w="11910" w:h="16160"/>
          <w:pgMar w:top="1520" w:bottom="280" w:left="0" w:right="0"/>
          <w:cols w:num="2" w:equalWidth="0">
            <w:col w:w="5363" w:space="40"/>
            <w:col w:w="6507"/>
          </w:cols>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3"/>
          <w:szCs w:val="13"/>
        </w:rPr>
      </w:pPr>
    </w:p>
    <w:p>
      <w:pPr>
        <w:pStyle w:val="BodyText"/>
        <w:spacing w:line="240" w:lineRule="auto"/>
        <w:ind w:left="1417" w:right="764"/>
        <w:jc w:val="left"/>
        <w:rPr>
          <w:rFonts w:ascii="宋体" w:hAnsi="宋体" w:cs="宋体" w:eastAsia="宋体" w:hint="default"/>
        </w:rPr>
      </w:pPr>
      <w:r>
        <w:rPr>
          <w:rFonts w:ascii="宋体" w:hAnsi="宋体" w:cs="宋体" w:eastAsia="宋体" w:hint="default"/>
          <w:color w:val="D7000F"/>
        </w:rPr>
        <w:t>四、公司董事、监事、高级管理人员变动情况</w:t>
      </w:r>
      <w:r>
        <w:rPr>
          <w:rFonts w:ascii="宋体" w:hAnsi="宋体" w:cs="宋体" w:eastAsia="宋体" w:hint="default"/>
        </w:rPr>
      </w:r>
    </w:p>
    <w:p>
      <w:pPr>
        <w:spacing w:line="240" w:lineRule="auto" w:before="10"/>
        <w:rPr>
          <w:rFonts w:ascii="宋体" w:hAnsi="宋体" w:cs="宋体" w:eastAsia="宋体" w:hint="default"/>
          <w:sz w:val="14"/>
          <w:szCs w:val="14"/>
        </w:rPr>
      </w:pPr>
    </w:p>
    <w:p>
      <w:pPr>
        <w:tabs>
          <w:tab w:pos="3353" w:val="left" w:leader="none"/>
          <w:tab w:pos="5183" w:val="left" w:leader="none"/>
          <w:tab w:pos="8366" w:val="left" w:leader="none"/>
        </w:tabs>
        <w:spacing w:before="41"/>
        <w:ind w:left="2136" w:right="764" w:firstLine="0"/>
        <w:jc w:val="left"/>
        <w:rPr>
          <w:rFonts w:ascii="宋体" w:hAnsi="宋体" w:cs="宋体" w:eastAsia="宋体" w:hint="default"/>
          <w:sz w:val="16"/>
          <w:szCs w:val="16"/>
        </w:rPr>
      </w:pPr>
      <w:r>
        <w:rPr>
          <w:rFonts w:ascii="宋体" w:hAnsi="宋体" w:cs="宋体" w:eastAsia="宋体" w:hint="default"/>
          <w:sz w:val="16"/>
          <w:szCs w:val="16"/>
        </w:rPr>
        <w:t>姓名</w:t>
        <w:tab/>
        <w:t>担任的职务</w:t>
        <w:tab/>
        <w:t>变动情形</w:t>
        <w:tab/>
        <w:t>变动原因</w:t>
      </w:r>
    </w:p>
    <w:p>
      <w:pPr>
        <w:spacing w:line="240" w:lineRule="auto" w:before="13"/>
        <w:rPr>
          <w:rFonts w:ascii="宋体" w:hAnsi="宋体" w:cs="宋体" w:eastAsia="宋体" w:hint="default"/>
          <w:sz w:val="12"/>
          <w:szCs w:val="12"/>
        </w:rPr>
      </w:pPr>
    </w:p>
    <w:p>
      <w:pPr>
        <w:spacing w:before="38"/>
        <w:ind w:left="1814" w:right="764" w:firstLine="0"/>
        <w:jc w:val="left"/>
        <w:rPr>
          <w:rFonts w:ascii="宋体" w:hAnsi="宋体" w:cs="宋体" w:eastAsia="宋体" w:hint="default"/>
          <w:sz w:val="16"/>
          <w:szCs w:val="16"/>
        </w:rPr>
      </w:pPr>
      <w:r>
        <w:rPr>
          <w:rFonts w:ascii="宋体" w:hAnsi="宋体" w:cs="宋体" w:eastAsia="宋体" w:hint="default"/>
          <w:sz w:val="16"/>
          <w:szCs w:val="16"/>
        </w:rPr>
        <w:t>截至年度报告披露日，公司现任董事、监事、高级管理人员变动情况</w:t>
      </w:r>
    </w:p>
    <w:p>
      <w:pPr>
        <w:tabs>
          <w:tab w:pos="5343" w:val="left" w:leader="none"/>
          <w:tab w:pos="7684" w:val="left" w:leader="none"/>
        </w:tabs>
        <w:spacing w:before="86"/>
        <w:ind w:left="3593" w:right="764" w:firstLine="0"/>
        <w:jc w:val="left"/>
        <w:rPr>
          <w:rFonts w:ascii="宋体" w:hAnsi="宋体" w:cs="宋体" w:eastAsia="宋体" w:hint="default"/>
          <w:sz w:val="16"/>
          <w:szCs w:val="16"/>
        </w:rPr>
      </w:pPr>
      <w:r>
        <w:rPr>
          <w:rFonts w:ascii="宋体" w:hAnsi="宋体" w:cs="宋体" w:eastAsia="宋体" w:hint="default"/>
          <w:sz w:val="16"/>
          <w:szCs w:val="16"/>
        </w:rPr>
        <w:t>董事</w:t>
        <w:tab/>
        <w:t>选举</w:t>
        <w:tab/>
      </w:r>
      <w:r>
        <w:rPr>
          <w:rFonts w:ascii="宋体" w:hAnsi="宋体" w:cs="宋体" w:eastAsia="宋体" w:hint="default"/>
          <w:w w:val="105"/>
          <w:sz w:val="16"/>
          <w:szCs w:val="16"/>
        </w:rPr>
        <w:t>增补董事，2018</w:t>
      </w:r>
      <w:r>
        <w:rPr>
          <w:rFonts w:ascii="宋体" w:hAnsi="宋体" w:cs="宋体" w:eastAsia="宋体" w:hint="default"/>
          <w:spacing w:val="-61"/>
          <w:w w:val="105"/>
          <w:sz w:val="16"/>
          <w:szCs w:val="16"/>
        </w:rPr>
        <w:t> </w:t>
      </w:r>
      <w:r>
        <w:rPr>
          <w:rFonts w:ascii="宋体" w:hAnsi="宋体" w:cs="宋体" w:eastAsia="宋体" w:hint="default"/>
          <w:w w:val="105"/>
          <w:sz w:val="16"/>
          <w:szCs w:val="16"/>
        </w:rPr>
        <w:t>年</w:t>
      </w:r>
      <w:r>
        <w:rPr>
          <w:rFonts w:ascii="宋体" w:hAnsi="宋体" w:cs="宋体" w:eastAsia="宋体" w:hint="default"/>
          <w:spacing w:val="-61"/>
          <w:w w:val="105"/>
          <w:sz w:val="16"/>
          <w:szCs w:val="16"/>
        </w:rPr>
        <w:t> </w:t>
      </w:r>
      <w:r>
        <w:rPr>
          <w:rFonts w:ascii="宋体" w:hAnsi="宋体" w:cs="宋体" w:eastAsia="宋体" w:hint="default"/>
          <w:w w:val="105"/>
          <w:sz w:val="16"/>
          <w:szCs w:val="16"/>
        </w:rPr>
        <w:t>9</w:t>
      </w:r>
      <w:r>
        <w:rPr>
          <w:rFonts w:ascii="宋体" w:hAnsi="宋体" w:cs="宋体" w:eastAsia="宋体" w:hint="default"/>
          <w:spacing w:val="-61"/>
          <w:w w:val="105"/>
          <w:sz w:val="16"/>
          <w:szCs w:val="16"/>
        </w:rPr>
        <w:t> </w:t>
      </w:r>
      <w:r>
        <w:rPr>
          <w:rFonts w:ascii="宋体" w:hAnsi="宋体" w:cs="宋体" w:eastAsia="宋体" w:hint="default"/>
          <w:w w:val="105"/>
          <w:sz w:val="16"/>
          <w:szCs w:val="16"/>
        </w:rPr>
        <w:t>月新任</w:t>
      </w:r>
    </w:p>
    <w:p>
      <w:pPr>
        <w:spacing w:after="0"/>
        <w:jc w:val="left"/>
        <w:rPr>
          <w:rFonts w:ascii="宋体" w:hAnsi="宋体" w:cs="宋体" w:eastAsia="宋体" w:hint="default"/>
          <w:sz w:val="16"/>
          <w:szCs w:val="16"/>
        </w:rPr>
        <w:sectPr>
          <w:type w:val="continuous"/>
          <w:pgSz w:w="11910" w:h="16160"/>
          <w:pgMar w:top="1520" w:bottom="280" w:left="0" w:right="0"/>
        </w:sectPr>
      </w:pPr>
    </w:p>
    <w:p>
      <w:pPr>
        <w:spacing w:before="86"/>
        <w:ind w:left="0" w:right="0" w:firstLine="0"/>
        <w:jc w:val="right"/>
        <w:rPr>
          <w:rFonts w:ascii="宋体" w:hAnsi="宋体" w:cs="宋体" w:eastAsia="宋体" w:hint="default"/>
          <w:sz w:val="16"/>
          <w:szCs w:val="16"/>
        </w:rPr>
      </w:pPr>
      <w:r>
        <w:rPr>
          <w:rFonts w:ascii="宋体" w:hAnsi="宋体" w:cs="宋体" w:eastAsia="宋体" w:hint="default"/>
          <w:sz w:val="16"/>
          <w:szCs w:val="16"/>
        </w:rPr>
        <w:t>李国华</w:t>
      </w:r>
    </w:p>
    <w:p>
      <w:pPr>
        <w:tabs>
          <w:tab w:pos="2767" w:val="left" w:leader="none"/>
          <w:tab w:pos="5508" w:val="left" w:leader="none"/>
        </w:tabs>
        <w:spacing w:before="86"/>
        <w:ind w:left="1017"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总裁</w:t>
        <w:tab/>
        <w:t>聘任</w:t>
        <w:tab/>
      </w:r>
      <w:r>
        <w:rPr>
          <w:rFonts w:ascii="宋体" w:hAnsi="宋体" w:cs="宋体" w:eastAsia="宋体" w:hint="default"/>
          <w:w w:val="105"/>
          <w:sz w:val="16"/>
          <w:szCs w:val="16"/>
        </w:rPr>
        <w:t>2018</w:t>
      </w:r>
      <w:r>
        <w:rPr>
          <w:rFonts w:ascii="宋体" w:hAnsi="宋体" w:cs="宋体" w:eastAsia="宋体" w:hint="default"/>
          <w:spacing w:val="-48"/>
          <w:w w:val="105"/>
          <w:sz w:val="16"/>
          <w:szCs w:val="16"/>
        </w:rPr>
        <w:t> </w:t>
      </w:r>
      <w:r>
        <w:rPr>
          <w:rFonts w:ascii="宋体" w:hAnsi="宋体" w:cs="宋体" w:eastAsia="宋体" w:hint="default"/>
          <w:w w:val="105"/>
          <w:sz w:val="16"/>
          <w:szCs w:val="16"/>
        </w:rPr>
        <w:t>年</w:t>
      </w:r>
      <w:r>
        <w:rPr>
          <w:rFonts w:ascii="宋体" w:hAnsi="宋体" w:cs="宋体" w:eastAsia="宋体" w:hint="default"/>
          <w:spacing w:val="-47"/>
          <w:w w:val="105"/>
          <w:sz w:val="16"/>
          <w:szCs w:val="16"/>
        </w:rPr>
        <w:t> </w:t>
      </w:r>
      <w:r>
        <w:rPr>
          <w:rFonts w:ascii="宋体" w:hAnsi="宋体" w:cs="宋体" w:eastAsia="宋体" w:hint="default"/>
          <w:w w:val="105"/>
          <w:sz w:val="16"/>
          <w:szCs w:val="16"/>
        </w:rPr>
        <w:t>8</w:t>
      </w:r>
      <w:r>
        <w:rPr>
          <w:rFonts w:ascii="宋体" w:hAnsi="宋体" w:cs="宋体" w:eastAsia="宋体" w:hint="default"/>
          <w:spacing w:val="-48"/>
          <w:w w:val="105"/>
          <w:sz w:val="16"/>
          <w:szCs w:val="16"/>
        </w:rPr>
        <w:t> </w:t>
      </w:r>
      <w:r>
        <w:rPr>
          <w:rFonts w:ascii="宋体" w:hAnsi="宋体" w:cs="宋体" w:eastAsia="宋体" w:hint="default"/>
          <w:w w:val="105"/>
          <w:sz w:val="16"/>
          <w:szCs w:val="16"/>
        </w:rPr>
        <w:t>月新聘</w:t>
      </w:r>
    </w:p>
    <w:p>
      <w:pPr>
        <w:tabs>
          <w:tab w:pos="2767" w:val="left" w:leader="none"/>
          <w:tab w:pos="5508" w:val="left" w:leader="none"/>
        </w:tabs>
        <w:spacing w:before="86"/>
        <w:ind w:left="777" w:right="0" w:firstLine="0"/>
        <w:jc w:val="left"/>
        <w:rPr>
          <w:rFonts w:ascii="宋体" w:hAnsi="宋体" w:cs="宋体" w:eastAsia="宋体" w:hint="default"/>
          <w:sz w:val="16"/>
          <w:szCs w:val="16"/>
        </w:rPr>
      </w:pPr>
      <w:r>
        <w:rPr>
          <w:rFonts w:ascii="宋体" w:hAnsi="宋体" w:cs="宋体" w:eastAsia="宋体" w:hint="default"/>
          <w:sz w:val="16"/>
          <w:szCs w:val="16"/>
        </w:rPr>
        <w:t>总法律顾问</w:t>
        <w:tab/>
        <w:t>聘任</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月新聘</w:t>
      </w:r>
    </w:p>
    <w:p>
      <w:pPr>
        <w:spacing w:after="0"/>
        <w:jc w:val="left"/>
        <w:rPr>
          <w:rFonts w:ascii="宋体" w:hAnsi="宋体" w:cs="宋体" w:eastAsia="宋体" w:hint="default"/>
          <w:sz w:val="16"/>
          <w:szCs w:val="16"/>
        </w:rPr>
        <w:sectPr>
          <w:type w:val="continuous"/>
          <w:pgSz w:w="11910" w:h="16160"/>
          <w:pgMar w:top="1520" w:bottom="280" w:left="0" w:right="0"/>
          <w:cols w:num="2" w:equalWidth="0">
            <w:col w:w="2537" w:space="39"/>
            <w:col w:w="9334"/>
          </w:cols>
        </w:sectPr>
      </w:pPr>
    </w:p>
    <w:p>
      <w:pPr>
        <w:tabs>
          <w:tab w:pos="3353" w:val="left" w:leader="none"/>
          <w:tab w:pos="3593" w:val="left" w:leader="none"/>
          <w:tab w:pos="5343" w:val="left" w:leader="none"/>
          <w:tab w:pos="6392" w:val="left" w:leader="none"/>
          <w:tab w:pos="7844" w:val="left" w:leader="none"/>
        </w:tabs>
        <w:spacing w:line="338" w:lineRule="auto" w:before="86"/>
        <w:ind w:left="2056" w:right="923" w:firstLine="0"/>
        <w:jc w:val="left"/>
        <w:rPr>
          <w:rFonts w:ascii="宋体" w:hAnsi="宋体" w:cs="宋体" w:eastAsia="宋体" w:hint="default"/>
          <w:sz w:val="16"/>
          <w:szCs w:val="16"/>
        </w:rPr>
      </w:pPr>
      <w:r>
        <w:rPr>
          <w:rFonts w:ascii="宋体" w:hAnsi="宋体" w:cs="宋体" w:eastAsia="宋体" w:hint="default"/>
          <w:sz w:val="16"/>
          <w:szCs w:val="16"/>
        </w:rPr>
        <w:t>李福申</w:t>
        <w:tab/>
        <w:t>高级副总裁</w:t>
        <w:tab/>
        <w:t>离任</w:t>
        <w:tab/>
        <w:t>董事职务未变动，自</w:t>
      </w:r>
      <w:r>
        <w:rPr>
          <w:rFonts w:ascii="宋体" w:hAnsi="宋体" w:cs="宋体" w:eastAsia="宋体" w:hint="default"/>
          <w:spacing w:val="-33"/>
          <w:sz w:val="16"/>
          <w:szCs w:val="16"/>
        </w:rPr>
        <w:t> </w:t>
      </w:r>
      <w:r>
        <w:rPr>
          <w:rFonts w:ascii="宋体" w:hAnsi="宋体" w:cs="宋体" w:eastAsia="宋体" w:hint="default"/>
          <w:sz w:val="16"/>
          <w:szCs w:val="16"/>
        </w:rPr>
        <w:t>2018</w:t>
      </w:r>
      <w:r>
        <w:rPr>
          <w:rFonts w:ascii="宋体" w:hAnsi="宋体" w:cs="宋体" w:eastAsia="宋体" w:hint="default"/>
          <w:spacing w:val="-35"/>
          <w:sz w:val="16"/>
          <w:szCs w:val="16"/>
        </w:rPr>
        <w:t> </w:t>
      </w:r>
      <w:r>
        <w:rPr>
          <w:rFonts w:ascii="宋体" w:hAnsi="宋体" w:cs="宋体" w:eastAsia="宋体" w:hint="default"/>
          <w:sz w:val="16"/>
          <w:szCs w:val="16"/>
        </w:rPr>
        <w:t>年</w:t>
      </w:r>
      <w:r>
        <w:rPr>
          <w:rFonts w:ascii="宋体" w:hAnsi="宋体" w:cs="宋体" w:eastAsia="宋体" w:hint="default"/>
          <w:spacing w:val="-33"/>
          <w:sz w:val="16"/>
          <w:szCs w:val="16"/>
        </w:rPr>
        <w:t> </w:t>
      </w:r>
      <w:r>
        <w:rPr>
          <w:rFonts w:ascii="宋体" w:hAnsi="宋体" w:cs="宋体" w:eastAsia="宋体" w:hint="default"/>
          <w:sz w:val="16"/>
          <w:szCs w:val="16"/>
        </w:rPr>
        <w:t>8</w:t>
      </w:r>
      <w:r>
        <w:rPr>
          <w:rFonts w:ascii="宋体" w:hAnsi="宋体" w:cs="宋体" w:eastAsia="宋体" w:hint="default"/>
          <w:spacing w:val="-33"/>
          <w:sz w:val="16"/>
          <w:szCs w:val="16"/>
        </w:rPr>
        <w:t> </w:t>
      </w:r>
      <w:r>
        <w:rPr>
          <w:rFonts w:ascii="宋体" w:hAnsi="宋体" w:cs="宋体" w:eastAsia="宋体" w:hint="default"/>
          <w:sz w:val="16"/>
          <w:szCs w:val="16"/>
        </w:rPr>
        <w:t>月不再兼任公司高级副总裁职务。</w:t>
      </w:r>
      <w:r>
        <w:rPr>
          <w:rFonts w:ascii="宋体" w:hAnsi="宋体" w:cs="宋体" w:eastAsia="宋体" w:hint="default"/>
          <w:sz w:val="16"/>
          <w:szCs w:val="16"/>
        </w:rPr>
        <w:t> 尹兆君</w:t>
        <w:tab/>
        <w:tab/>
        <w:t>董事</w:t>
        <w:tab/>
        <w:t>选举</w:t>
        <w:tab/>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593" w:val="left" w:leader="none"/>
          <w:tab w:pos="5343" w:val="left" w:leader="none"/>
          <w:tab w:pos="7844" w:val="left" w:leader="none"/>
        </w:tabs>
        <w:spacing w:before="21"/>
        <w:ind w:left="2136" w:right="764" w:firstLine="0"/>
        <w:jc w:val="left"/>
        <w:rPr>
          <w:rFonts w:ascii="宋体" w:hAnsi="宋体" w:cs="宋体" w:eastAsia="宋体" w:hint="default"/>
          <w:sz w:val="16"/>
          <w:szCs w:val="16"/>
        </w:rPr>
      </w:pPr>
      <w:r>
        <w:rPr>
          <w:rFonts w:ascii="宋体" w:hAnsi="宋体" w:cs="宋体" w:eastAsia="宋体" w:hint="default"/>
          <w:sz w:val="16"/>
          <w:szCs w:val="16"/>
        </w:rPr>
        <w:t>卢山</w:t>
        <w:tab/>
        <w:t>董事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593" w:val="left" w:leader="none"/>
          <w:tab w:pos="5343" w:val="left" w:leader="none"/>
          <w:tab w:pos="7684" w:val="left" w:leader="none"/>
        </w:tabs>
        <w:spacing w:before="86"/>
        <w:ind w:left="2136" w:right="764" w:firstLine="0"/>
        <w:jc w:val="left"/>
        <w:rPr>
          <w:rFonts w:ascii="宋体" w:hAnsi="宋体" w:cs="宋体" w:eastAsia="宋体" w:hint="default"/>
          <w:sz w:val="16"/>
          <w:szCs w:val="16"/>
        </w:rPr>
      </w:pPr>
      <w:r>
        <w:rPr>
          <w:rFonts w:ascii="宋体" w:hAnsi="宋体" w:cs="宋体" w:eastAsia="宋体" w:hint="default"/>
          <w:sz w:val="16"/>
          <w:szCs w:val="16"/>
        </w:rPr>
        <w:t>王路</w:t>
        <w:tab/>
        <w:t>董事</w:t>
        <w:tab/>
        <w:t>选举</w:t>
        <w:tab/>
      </w:r>
      <w:r>
        <w:rPr>
          <w:rFonts w:ascii="宋体" w:hAnsi="宋体" w:cs="宋体" w:eastAsia="宋体" w:hint="default"/>
          <w:w w:val="105"/>
          <w:sz w:val="16"/>
          <w:szCs w:val="16"/>
        </w:rPr>
        <w:t>增补董事，2018</w:t>
      </w:r>
      <w:r>
        <w:rPr>
          <w:rFonts w:ascii="宋体" w:hAnsi="宋体" w:cs="宋体" w:eastAsia="宋体" w:hint="default"/>
          <w:spacing w:val="-61"/>
          <w:w w:val="105"/>
          <w:sz w:val="16"/>
          <w:szCs w:val="16"/>
        </w:rPr>
        <w:t> </w:t>
      </w:r>
      <w:r>
        <w:rPr>
          <w:rFonts w:ascii="宋体" w:hAnsi="宋体" w:cs="宋体" w:eastAsia="宋体" w:hint="default"/>
          <w:w w:val="105"/>
          <w:sz w:val="16"/>
          <w:szCs w:val="16"/>
        </w:rPr>
        <w:t>年</w:t>
      </w:r>
      <w:r>
        <w:rPr>
          <w:rFonts w:ascii="宋体" w:hAnsi="宋体" w:cs="宋体" w:eastAsia="宋体" w:hint="default"/>
          <w:spacing w:val="-61"/>
          <w:w w:val="105"/>
          <w:sz w:val="16"/>
          <w:szCs w:val="16"/>
        </w:rPr>
        <w:t> </w:t>
      </w:r>
      <w:r>
        <w:rPr>
          <w:rFonts w:ascii="宋体" w:hAnsi="宋体" w:cs="宋体" w:eastAsia="宋体" w:hint="default"/>
          <w:w w:val="105"/>
          <w:sz w:val="16"/>
          <w:szCs w:val="16"/>
        </w:rPr>
        <w:t>9</w:t>
      </w:r>
      <w:r>
        <w:rPr>
          <w:rFonts w:ascii="宋体" w:hAnsi="宋体" w:cs="宋体" w:eastAsia="宋体" w:hint="default"/>
          <w:spacing w:val="-61"/>
          <w:w w:val="105"/>
          <w:sz w:val="16"/>
          <w:szCs w:val="16"/>
        </w:rPr>
        <w:t> </w:t>
      </w:r>
      <w:r>
        <w:rPr>
          <w:rFonts w:ascii="宋体" w:hAnsi="宋体" w:cs="宋体" w:eastAsia="宋体" w:hint="default"/>
          <w:w w:val="105"/>
          <w:sz w:val="16"/>
          <w:szCs w:val="16"/>
        </w:rPr>
        <w:t>月新任</w:t>
      </w:r>
    </w:p>
    <w:p>
      <w:pPr>
        <w:tabs>
          <w:tab w:pos="359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廖建文</w:t>
        <w:tab/>
        <w:t>董事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59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胡晓明</w:t>
        <w:tab/>
        <w:t>董事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43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冯士栋</w:t>
        <w:tab/>
        <w:t>独立董事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43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吴晓根</w:t>
        <w:tab/>
        <w:t>独立董事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43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陈建新</w:t>
        <w:tab/>
        <w:t>独立董事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43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熊晓鸽</w:t>
        <w:tab/>
        <w:t>独立董事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tabs>
          <w:tab w:pos="335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林旸川</w:t>
        <w:tab/>
        <w:t>监事会主席</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月监事会换届</w:t>
      </w:r>
    </w:p>
    <w:p>
      <w:pPr>
        <w:tabs>
          <w:tab w:pos="3593" w:val="left" w:leader="none"/>
          <w:tab w:pos="5343" w:val="left" w:leader="none"/>
          <w:tab w:pos="784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方向明</w:t>
        <w:tab/>
        <w:t>监事</w:t>
        <w:tab/>
        <w:t>选举</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月监事会换届</w:t>
      </w:r>
    </w:p>
    <w:p>
      <w:pPr>
        <w:tabs>
          <w:tab w:pos="3593" w:val="left" w:leader="none"/>
          <w:tab w:pos="5343" w:val="left" w:leader="none"/>
          <w:tab w:pos="7844" w:val="left" w:leader="none"/>
          <w:tab w:pos="8084" w:val="left" w:leader="none"/>
        </w:tabs>
        <w:spacing w:line="290" w:lineRule="atLeast" w:before="6"/>
        <w:ind w:left="3353" w:right="2375" w:hanging="1298"/>
        <w:jc w:val="left"/>
        <w:rPr>
          <w:rFonts w:ascii="宋体" w:hAnsi="宋体" w:cs="宋体" w:eastAsia="宋体" w:hint="default"/>
          <w:sz w:val="16"/>
          <w:szCs w:val="16"/>
        </w:rPr>
      </w:pPr>
      <w:r>
        <w:rPr>
          <w:rFonts w:ascii="宋体" w:hAnsi="宋体" w:cs="宋体" w:eastAsia="宋体" w:hint="default"/>
          <w:sz w:val="16"/>
          <w:szCs w:val="16"/>
        </w:rPr>
        <w:t>周仁杰</w:t>
        <w:tab/>
        <w:tab/>
        <w:t>监事</w:t>
        <w:tab/>
        <w:t>选举</w:t>
        <w:tab/>
        <w:t>2018 年</w:t>
      </w:r>
      <w:r>
        <w:rPr>
          <w:rFonts w:ascii="宋体" w:hAnsi="宋体" w:cs="宋体" w:eastAsia="宋体" w:hint="default"/>
          <w:spacing w:val="-37"/>
          <w:sz w:val="16"/>
          <w:szCs w:val="16"/>
        </w:rPr>
        <w:t> </w:t>
      </w:r>
      <w:r>
        <w:rPr>
          <w:rFonts w:ascii="宋体" w:hAnsi="宋体" w:cs="宋体" w:eastAsia="宋体" w:hint="default"/>
          <w:sz w:val="16"/>
          <w:szCs w:val="16"/>
        </w:rPr>
        <w:t>2</w:t>
      </w:r>
      <w:r>
        <w:rPr>
          <w:rFonts w:ascii="宋体" w:hAnsi="宋体" w:cs="宋体" w:eastAsia="宋体" w:hint="default"/>
          <w:spacing w:val="-41"/>
          <w:sz w:val="16"/>
          <w:szCs w:val="16"/>
        </w:rPr>
        <w:t> </w:t>
      </w:r>
      <w:r>
        <w:rPr>
          <w:rFonts w:ascii="宋体" w:hAnsi="宋体" w:cs="宋体" w:eastAsia="宋体" w:hint="default"/>
          <w:sz w:val="16"/>
          <w:szCs w:val="16"/>
        </w:rPr>
        <w:t>月监事会换届 </w:t>
      </w:r>
      <w:r>
        <w:rPr>
          <w:rFonts w:ascii="宋体" w:hAnsi="宋体" w:cs="宋体" w:eastAsia="宋体" w:hint="default"/>
          <w:sz w:val="16"/>
          <w:szCs w:val="16"/>
        </w:rPr>
        <w:t>高级副总裁</w:t>
        <w:tab/>
        <w:t>聘任</w:t>
        <w:tab/>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月新聘</w:t>
      </w:r>
    </w:p>
    <w:p>
      <w:pPr>
        <w:spacing w:after="0" w:line="290" w:lineRule="atLeast"/>
        <w:jc w:val="left"/>
        <w:rPr>
          <w:rFonts w:ascii="宋体" w:hAnsi="宋体" w:cs="宋体" w:eastAsia="宋体" w:hint="default"/>
          <w:sz w:val="16"/>
          <w:szCs w:val="16"/>
        </w:rPr>
        <w:sectPr>
          <w:type w:val="continuous"/>
          <w:pgSz w:w="11910" w:h="16160"/>
          <w:pgMar w:top="1520" w:bottom="280" w:left="0" w:right="0"/>
        </w:sectPr>
      </w:pPr>
    </w:p>
    <w:p>
      <w:pPr>
        <w:spacing w:line="148" w:lineRule="exact"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邵广禄</w:t>
      </w:r>
    </w:p>
    <w:p>
      <w:pPr>
        <w:tabs>
          <w:tab w:pos="2767" w:val="left" w:leader="none"/>
          <w:tab w:pos="5268" w:val="left" w:leader="none"/>
        </w:tabs>
        <w:spacing w:before="86"/>
        <w:ind w:left="1017"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董事</w:t>
        <w:tab/>
        <w:t>离任</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月董事会换届</w:t>
      </w:r>
    </w:p>
    <w:p>
      <w:pPr>
        <w:spacing w:after="0"/>
        <w:jc w:val="left"/>
        <w:rPr>
          <w:rFonts w:ascii="宋体" w:hAnsi="宋体" w:cs="宋体" w:eastAsia="宋体" w:hint="default"/>
          <w:sz w:val="16"/>
          <w:szCs w:val="16"/>
        </w:rPr>
        <w:sectPr>
          <w:type w:val="continuous"/>
          <w:pgSz w:w="11910" w:h="16160"/>
          <w:pgMar w:top="1520" w:bottom="280" w:left="0" w:right="0"/>
          <w:cols w:num="2" w:equalWidth="0">
            <w:col w:w="2537" w:space="40"/>
            <w:col w:w="9333"/>
          </w:cols>
        </w:sectPr>
      </w:pPr>
    </w:p>
    <w:p>
      <w:pPr>
        <w:tabs>
          <w:tab w:pos="3353" w:val="left" w:leader="none"/>
          <w:tab w:pos="5343" w:val="left" w:leader="none"/>
          <w:tab w:pos="808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买彦州</w:t>
        <w:tab/>
        <w:t>高级副总裁</w:t>
        <w:tab/>
        <w:t>聘任</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月新聘</w:t>
      </w:r>
    </w:p>
    <w:p>
      <w:pPr>
        <w:tabs>
          <w:tab w:pos="3353" w:val="left" w:leader="none"/>
          <w:tab w:pos="5343" w:val="left" w:leader="none"/>
          <w:tab w:pos="808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梁宝俊</w:t>
        <w:tab/>
        <w:t>高级副总裁</w:t>
        <w:tab/>
        <w:t>聘任</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2</w:t>
      </w:r>
      <w:r>
        <w:rPr>
          <w:rFonts w:ascii="宋体" w:hAnsi="宋体" w:cs="宋体" w:eastAsia="宋体" w:hint="default"/>
          <w:spacing w:val="-27"/>
          <w:sz w:val="16"/>
          <w:szCs w:val="16"/>
        </w:rPr>
        <w:t> </w:t>
      </w:r>
      <w:r>
        <w:rPr>
          <w:rFonts w:ascii="宋体" w:hAnsi="宋体" w:cs="宋体" w:eastAsia="宋体" w:hint="default"/>
          <w:sz w:val="16"/>
          <w:szCs w:val="16"/>
        </w:rPr>
        <w:t>月新聘</w:t>
      </w:r>
    </w:p>
    <w:p>
      <w:pPr>
        <w:tabs>
          <w:tab w:pos="5343" w:val="left" w:leader="none"/>
          <w:tab w:pos="8084" w:val="left" w:leader="none"/>
        </w:tabs>
        <w:spacing w:before="86"/>
        <w:ind w:left="3353" w:right="764" w:firstLine="0"/>
        <w:jc w:val="left"/>
        <w:rPr>
          <w:rFonts w:ascii="宋体" w:hAnsi="宋体" w:cs="宋体" w:eastAsia="宋体" w:hint="default"/>
          <w:sz w:val="16"/>
          <w:szCs w:val="16"/>
        </w:rPr>
      </w:pPr>
      <w:r>
        <w:rPr>
          <w:rFonts w:ascii="宋体" w:hAnsi="宋体" w:cs="宋体" w:eastAsia="宋体" w:hint="default"/>
          <w:sz w:val="16"/>
          <w:szCs w:val="16"/>
        </w:rPr>
        <w:t>首席财务官</w:t>
        <w:tab/>
        <w:t>聘任</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8</w:t>
      </w:r>
      <w:r>
        <w:rPr>
          <w:rFonts w:ascii="宋体" w:hAnsi="宋体" w:cs="宋体" w:eastAsia="宋体" w:hint="default"/>
          <w:spacing w:val="-27"/>
          <w:sz w:val="16"/>
          <w:szCs w:val="16"/>
        </w:rPr>
        <w:t> </w:t>
      </w:r>
      <w:r>
        <w:rPr>
          <w:rFonts w:ascii="宋体" w:hAnsi="宋体" w:cs="宋体" w:eastAsia="宋体" w:hint="default"/>
          <w:sz w:val="16"/>
          <w:szCs w:val="16"/>
        </w:rPr>
        <w:t>月新聘</w:t>
      </w:r>
    </w:p>
    <w:p>
      <w:pPr>
        <w:spacing w:after="0"/>
        <w:jc w:val="left"/>
        <w:rPr>
          <w:rFonts w:ascii="宋体" w:hAnsi="宋体" w:cs="宋体" w:eastAsia="宋体" w:hint="default"/>
          <w:sz w:val="16"/>
          <w:szCs w:val="16"/>
        </w:rPr>
        <w:sectPr>
          <w:type w:val="continuous"/>
          <w:pgSz w:w="11910" w:h="16160"/>
          <w:pgMar w:top="1520" w:bottom="280" w:left="0" w:right="0"/>
        </w:sectPr>
      </w:pPr>
    </w:p>
    <w:p>
      <w:pPr>
        <w:spacing w:line="148" w:lineRule="exact"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朱可炳</w:t>
      </w:r>
    </w:p>
    <w:p>
      <w:pPr>
        <w:tabs>
          <w:tab w:pos="2767" w:val="left" w:leader="none"/>
          <w:tab w:pos="5508" w:val="left" w:leader="none"/>
        </w:tabs>
        <w:spacing w:before="86"/>
        <w:ind w:left="777"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董事会秘书</w:t>
        <w:tab/>
        <w:t>聘任</w:t>
        <w:tab/>
        <w:t>2018</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9</w:t>
      </w:r>
      <w:r>
        <w:rPr>
          <w:rFonts w:ascii="宋体" w:hAnsi="宋体" w:cs="宋体" w:eastAsia="宋体" w:hint="default"/>
          <w:spacing w:val="-27"/>
          <w:sz w:val="16"/>
          <w:szCs w:val="16"/>
        </w:rPr>
        <w:t> </w:t>
      </w:r>
      <w:r>
        <w:rPr>
          <w:rFonts w:ascii="宋体" w:hAnsi="宋体" w:cs="宋体" w:eastAsia="宋体" w:hint="default"/>
          <w:sz w:val="16"/>
          <w:szCs w:val="16"/>
        </w:rPr>
        <w:t>月新聘</w:t>
      </w:r>
    </w:p>
    <w:p>
      <w:pPr>
        <w:spacing w:after="0"/>
        <w:jc w:val="left"/>
        <w:rPr>
          <w:rFonts w:ascii="宋体" w:hAnsi="宋体" w:cs="宋体" w:eastAsia="宋体" w:hint="default"/>
          <w:sz w:val="16"/>
          <w:szCs w:val="16"/>
        </w:rPr>
        <w:sectPr>
          <w:type w:val="continuous"/>
          <w:pgSz w:w="11910" w:h="16160"/>
          <w:pgMar w:top="1520" w:bottom="280" w:left="0" w:right="0"/>
          <w:cols w:num="2" w:equalWidth="0">
            <w:col w:w="2537" w:space="40"/>
            <w:col w:w="9333"/>
          </w:cols>
        </w:sectPr>
      </w:pPr>
    </w:p>
    <w:p>
      <w:pPr>
        <w:tabs>
          <w:tab w:pos="3353" w:val="left" w:leader="none"/>
          <w:tab w:pos="5343" w:val="left" w:leader="none"/>
          <w:tab w:pos="8084" w:val="left" w:leader="none"/>
        </w:tabs>
        <w:spacing w:before="86"/>
        <w:ind w:left="2056" w:right="764" w:firstLine="0"/>
        <w:jc w:val="left"/>
        <w:rPr>
          <w:rFonts w:ascii="宋体" w:hAnsi="宋体" w:cs="宋体" w:eastAsia="宋体" w:hint="default"/>
          <w:sz w:val="16"/>
          <w:szCs w:val="16"/>
        </w:rPr>
      </w:pPr>
      <w:r>
        <w:rPr>
          <w:rFonts w:ascii="宋体" w:hAnsi="宋体" w:cs="宋体" w:eastAsia="宋体" w:hint="default"/>
          <w:sz w:val="16"/>
          <w:szCs w:val="16"/>
        </w:rPr>
        <w:t>范云军</w:t>
        <w:tab/>
        <w:t>高级副总裁</w:t>
        <w:tab/>
        <w:t>聘任</w:t>
        <w:tab/>
        <w:t>2019</w:t>
      </w:r>
      <w:r>
        <w:rPr>
          <w:rFonts w:ascii="宋体" w:hAnsi="宋体" w:cs="宋体" w:eastAsia="宋体" w:hint="default"/>
          <w:spacing w:val="-27"/>
          <w:sz w:val="16"/>
          <w:szCs w:val="16"/>
        </w:rPr>
        <w:t> </w:t>
      </w:r>
      <w:r>
        <w:rPr>
          <w:rFonts w:ascii="宋体" w:hAnsi="宋体" w:cs="宋体" w:eastAsia="宋体" w:hint="default"/>
          <w:sz w:val="16"/>
          <w:szCs w:val="16"/>
        </w:rPr>
        <w:t>年</w:t>
      </w:r>
      <w:r>
        <w:rPr>
          <w:rFonts w:ascii="宋体" w:hAnsi="宋体" w:cs="宋体" w:eastAsia="宋体" w:hint="default"/>
          <w:spacing w:val="-26"/>
          <w:sz w:val="16"/>
          <w:szCs w:val="16"/>
        </w:rPr>
        <w:t> </w:t>
      </w:r>
      <w:r>
        <w:rPr>
          <w:rFonts w:ascii="宋体" w:hAnsi="宋体" w:cs="宋体" w:eastAsia="宋体" w:hint="default"/>
          <w:sz w:val="16"/>
          <w:szCs w:val="16"/>
        </w:rPr>
        <w:t>1</w:t>
      </w:r>
      <w:r>
        <w:rPr>
          <w:rFonts w:ascii="宋体" w:hAnsi="宋体" w:cs="宋体" w:eastAsia="宋体" w:hint="default"/>
          <w:spacing w:val="-27"/>
          <w:sz w:val="16"/>
          <w:szCs w:val="16"/>
        </w:rPr>
        <w:t> </w:t>
      </w:r>
      <w:r>
        <w:rPr>
          <w:rFonts w:ascii="宋体" w:hAnsi="宋体" w:cs="宋体" w:eastAsia="宋体" w:hint="default"/>
          <w:sz w:val="16"/>
          <w:szCs w:val="16"/>
        </w:rPr>
        <w:t>月新聘</w:t>
      </w:r>
    </w:p>
    <w:p>
      <w:pPr>
        <w:spacing w:after="0"/>
        <w:jc w:val="left"/>
        <w:rPr>
          <w:rFonts w:ascii="宋体" w:hAnsi="宋体" w:cs="宋体" w:eastAsia="宋体" w:hint="default"/>
          <w:sz w:val="16"/>
          <w:szCs w:val="16"/>
        </w:rPr>
        <w:sectPr>
          <w:type w:val="continuous"/>
          <w:pgSz w:w="11910" w:h="16160"/>
          <w:pgMar w:top="1520" w:bottom="2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tabs>
          <w:tab w:pos="2786" w:val="left" w:leader="none"/>
          <w:tab w:pos="4616" w:val="left" w:leader="none"/>
          <w:tab w:pos="7799" w:val="left" w:leader="none"/>
        </w:tabs>
        <w:spacing w:before="0"/>
        <w:ind w:left="1569" w:right="764" w:firstLine="0"/>
        <w:jc w:val="left"/>
        <w:rPr>
          <w:rFonts w:ascii="宋体" w:hAnsi="宋体" w:cs="宋体" w:eastAsia="宋体" w:hint="default"/>
          <w:sz w:val="16"/>
          <w:szCs w:val="16"/>
        </w:rPr>
      </w:pPr>
      <w:r>
        <w:rPr>
          <w:rFonts w:ascii="宋体" w:hAnsi="宋体" w:cs="宋体" w:eastAsia="宋体" w:hint="default"/>
          <w:sz w:val="16"/>
          <w:szCs w:val="16"/>
        </w:rPr>
        <w:t>姓名</w:t>
        <w:tab/>
        <w:t>担任的职务</w:t>
        <w:tab/>
        <w:t>变动情形</w:t>
        <w:tab/>
        <w:t>变动原因</w:t>
      </w:r>
    </w:p>
    <w:p>
      <w:pPr>
        <w:spacing w:line="240" w:lineRule="auto" w:before="2"/>
        <w:rPr>
          <w:rFonts w:ascii="宋体" w:hAnsi="宋体" w:cs="宋体" w:eastAsia="宋体" w:hint="default"/>
          <w:sz w:val="7"/>
          <w:szCs w:val="7"/>
        </w:rPr>
      </w:pPr>
    </w:p>
    <w:p>
      <w:pPr>
        <w:spacing w:line="40" w:lineRule="exact"/>
        <w:ind w:left="11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pt;height:2pt;mso-position-horizontal-relative:char;mso-position-vertical-relative:line" coordorigin="0,0" coordsize="9320,40">
            <v:group style="position:absolute;left:20;top:20;width:1078;height:2" coordorigin="20,20" coordsize="1078,2">
              <v:shape style="position:absolute;left:20;top:20;width:1078;height:2" coordorigin="20,20" coordsize="1078,0" path="m20,20l1097,20e" filled="false" stroked="true" strokeweight="2pt" strokecolor="#9c8758">
                <v:path arrowok="t"/>
              </v:shape>
            </v:group>
            <v:group style="position:absolute;left:1097;top:20;width:1838;height:2" coordorigin="1097,20" coordsize="1838,2">
              <v:shape style="position:absolute;left:1097;top:20;width:1838;height:2" coordorigin="1097,20" coordsize="1838,0" path="m1097,20l2935,20e" filled="false" stroked="true" strokeweight="2pt" strokecolor="#9c8758">
                <v:path arrowok="t"/>
              </v:shape>
            </v:group>
            <v:group style="position:absolute;left:2935;top:20;width:1663;height:2" coordorigin="2935,20" coordsize="1663,2">
              <v:shape style="position:absolute;left:2935;top:20;width:1663;height:2" coordorigin="2935,20" coordsize="1663,0" path="m2935,20l4598,20e" filled="false" stroked="true" strokeweight="2pt" strokecolor="#9c8758">
                <v:path arrowok="t"/>
              </v:shape>
            </v:group>
            <v:group style="position:absolute;left:4598;top:20;width:4702;height:2" coordorigin="4598,20" coordsize="4702,2">
              <v:shape style="position:absolute;left:4598;top:20;width:4702;height:2" coordorigin="4598,20" coordsize="4702,0" path="m4598,20l9300,20e" filled="false" stroked="true" strokeweight="2pt" strokecolor="#9c8758">
                <v:path arrowok="t"/>
              </v:shape>
            </v:group>
          </v:group>
        </w:pict>
      </w:r>
      <w:r>
        <w:rPr>
          <w:rFonts w:ascii="宋体" w:hAnsi="宋体" w:cs="宋体" w:eastAsia="宋体" w:hint="default"/>
          <w:position w:val="0"/>
          <w:sz w:val="4"/>
          <w:szCs w:val="4"/>
        </w:rPr>
      </w:r>
    </w:p>
    <w:p>
      <w:pPr>
        <w:spacing w:before="75"/>
        <w:ind w:left="1247" w:right="764" w:firstLine="0"/>
        <w:jc w:val="left"/>
        <w:rPr>
          <w:rFonts w:ascii="宋体" w:hAnsi="宋体" w:cs="宋体" w:eastAsia="宋体" w:hint="default"/>
          <w:sz w:val="16"/>
          <w:szCs w:val="16"/>
        </w:rPr>
      </w:pPr>
      <w:r>
        <w:rPr>
          <w:rFonts w:ascii="宋体" w:hAnsi="宋体" w:cs="宋体" w:eastAsia="宋体" w:hint="default"/>
          <w:sz w:val="16"/>
          <w:szCs w:val="16"/>
        </w:rPr>
        <w:t>报告期内，公司离任董事、监事、高级管理人员变动情况：</w:t>
      </w:r>
    </w:p>
    <w:p>
      <w:pPr>
        <w:spacing w:line="240" w:lineRule="auto" w:before="13"/>
        <w:rPr>
          <w:rFonts w:ascii="宋体" w:hAnsi="宋体" w:cs="宋体" w:eastAsia="宋体" w:hint="default"/>
          <w:sz w:val="3"/>
          <w:szCs w:val="3"/>
        </w:rPr>
      </w:pPr>
    </w:p>
    <w:tbl>
      <w:tblPr>
        <w:tblW w:w="0" w:type="auto"/>
        <w:jc w:val="left"/>
        <w:tblInd w:w="1190" w:type="dxa"/>
        <w:tblLayout w:type="fixed"/>
        <w:tblCellMar>
          <w:top w:w="0" w:type="dxa"/>
          <w:left w:w="0" w:type="dxa"/>
          <w:bottom w:w="0" w:type="dxa"/>
          <w:right w:w="0" w:type="dxa"/>
        </w:tblCellMar>
        <w:tblLook w:val="01E0"/>
      </w:tblPr>
      <w:tblGrid>
        <w:gridCol w:w="1187"/>
        <w:gridCol w:w="1804"/>
        <w:gridCol w:w="1925"/>
        <w:gridCol w:w="4363"/>
      </w:tblGrid>
      <w:tr>
        <w:trPr>
          <w:trHeight w:val="1138" w:hRule="exact"/>
        </w:trPr>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1"/>
              <w:ind w:right="108"/>
              <w:jc w:val="center"/>
              <w:rPr>
                <w:rFonts w:ascii="宋体" w:hAnsi="宋体" w:cs="宋体" w:eastAsia="宋体" w:hint="default"/>
                <w:sz w:val="16"/>
                <w:szCs w:val="16"/>
              </w:rPr>
            </w:pPr>
            <w:r>
              <w:rPr>
                <w:rFonts w:ascii="宋体" w:hAnsi="宋体" w:cs="宋体" w:eastAsia="宋体" w:hint="default"/>
                <w:sz w:val="16"/>
                <w:szCs w:val="16"/>
              </w:rPr>
              <w:t>陆益民</w:t>
            </w:r>
          </w:p>
        </w:tc>
        <w:tc>
          <w:tcPr>
            <w:tcW w:w="1804" w:type="dxa"/>
            <w:tcBorders>
              <w:top w:val="nil" w:sz="6" w:space="0" w:color="auto"/>
              <w:left w:val="nil" w:sz="6" w:space="0" w:color="auto"/>
              <w:bottom w:val="nil" w:sz="6" w:space="0" w:color="auto"/>
              <w:right w:val="nil" w:sz="6" w:space="0" w:color="auto"/>
            </w:tcBorders>
          </w:tcPr>
          <w:p>
            <w:pPr>
              <w:pStyle w:val="TableParagraph"/>
              <w:spacing w:line="338" w:lineRule="auto" w:before="35"/>
              <w:ind w:left="648" w:right="833"/>
              <w:jc w:val="both"/>
              <w:rPr>
                <w:rFonts w:ascii="宋体" w:hAnsi="宋体" w:cs="宋体" w:eastAsia="宋体" w:hint="default"/>
                <w:sz w:val="16"/>
                <w:szCs w:val="16"/>
              </w:rPr>
            </w:pPr>
            <w:r>
              <w:rPr>
                <w:rFonts w:ascii="宋体" w:hAnsi="宋体" w:cs="宋体" w:eastAsia="宋体" w:hint="default"/>
                <w:sz w:val="16"/>
                <w:szCs w:val="16"/>
              </w:rPr>
              <w:t>董事 总裁 总裁</w:t>
            </w:r>
          </w:p>
          <w:p>
            <w:pPr>
              <w:pStyle w:val="TableParagraph"/>
              <w:spacing w:line="240" w:lineRule="auto" w:before="21"/>
              <w:ind w:right="184"/>
              <w:jc w:val="center"/>
              <w:rPr>
                <w:rFonts w:ascii="宋体" w:hAnsi="宋体" w:cs="宋体" w:eastAsia="宋体" w:hint="default"/>
                <w:sz w:val="16"/>
                <w:szCs w:val="16"/>
              </w:rPr>
            </w:pPr>
            <w:r>
              <w:rPr>
                <w:rFonts w:ascii="宋体" w:hAnsi="宋体" w:cs="宋体" w:eastAsia="宋体" w:hint="default"/>
                <w:sz w:val="16"/>
                <w:szCs w:val="16"/>
              </w:rPr>
              <w:t>董事</w:t>
            </w:r>
          </w:p>
        </w:tc>
        <w:tc>
          <w:tcPr>
            <w:tcW w:w="1925" w:type="dxa"/>
            <w:tcBorders>
              <w:top w:val="nil" w:sz="6" w:space="0" w:color="auto"/>
              <w:left w:val="nil" w:sz="6" w:space="0" w:color="auto"/>
              <w:bottom w:val="nil" w:sz="6" w:space="0" w:color="auto"/>
              <w:right w:val="nil" w:sz="6" w:space="0" w:color="auto"/>
            </w:tcBorders>
          </w:tcPr>
          <w:p>
            <w:pPr>
              <w:pStyle w:val="TableParagraph"/>
              <w:spacing w:line="338" w:lineRule="auto" w:before="35"/>
              <w:ind w:left="595" w:right="1008"/>
              <w:jc w:val="both"/>
              <w:rPr>
                <w:rFonts w:ascii="宋体" w:hAnsi="宋体" w:cs="宋体" w:eastAsia="宋体" w:hint="default"/>
                <w:sz w:val="16"/>
                <w:szCs w:val="16"/>
              </w:rPr>
            </w:pPr>
            <w:r>
              <w:rPr>
                <w:rFonts w:ascii="宋体" w:hAnsi="宋体" w:cs="宋体" w:eastAsia="宋体" w:hint="default"/>
                <w:sz w:val="16"/>
                <w:szCs w:val="16"/>
              </w:rPr>
              <w:t>离任 聘任 离任</w:t>
            </w:r>
          </w:p>
          <w:p>
            <w:pPr>
              <w:pStyle w:val="TableParagraph"/>
              <w:spacing w:line="240" w:lineRule="auto" w:before="21"/>
              <w:ind w:left="595" w:right="0"/>
              <w:jc w:val="both"/>
              <w:rPr>
                <w:rFonts w:ascii="宋体" w:hAnsi="宋体" w:cs="宋体" w:eastAsia="宋体" w:hint="default"/>
                <w:sz w:val="16"/>
                <w:szCs w:val="16"/>
              </w:rPr>
            </w:pPr>
            <w:r>
              <w:rPr>
                <w:rFonts w:ascii="宋体" w:hAnsi="宋体" w:cs="宋体" w:eastAsia="宋体" w:hint="default"/>
                <w:sz w:val="16"/>
                <w:szCs w:val="16"/>
              </w:rPr>
              <w:t>选举</w:t>
            </w:r>
          </w:p>
        </w:tc>
        <w:tc>
          <w:tcPr>
            <w:tcW w:w="4363" w:type="dxa"/>
            <w:tcBorders>
              <w:top w:val="nil" w:sz="6" w:space="0" w:color="auto"/>
              <w:left w:val="nil" w:sz="6" w:space="0" w:color="auto"/>
              <w:bottom w:val="nil" w:sz="6" w:space="0" w:color="auto"/>
              <w:right w:val="nil" w:sz="6" w:space="0" w:color="auto"/>
            </w:tcBorders>
          </w:tcPr>
          <w:p>
            <w:pPr>
              <w:pStyle w:val="TableParagraph"/>
              <w:spacing w:line="338" w:lineRule="auto" w:before="35"/>
              <w:ind w:left="1010" w:right="1347"/>
              <w:jc w:val="center"/>
              <w:rPr>
                <w:rFonts w:ascii="宋体" w:hAnsi="宋体" w:cs="宋体" w:eastAsia="宋体" w:hint="default"/>
                <w:sz w:val="16"/>
                <w:szCs w:val="16"/>
              </w:rPr>
            </w:pPr>
            <w:r>
              <w:rPr>
                <w:rFonts w:ascii="宋体" w:hAnsi="宋体" w:cs="宋体" w:eastAsia="宋体" w:hint="default"/>
                <w:w w:val="105"/>
                <w:sz w:val="16"/>
                <w:szCs w:val="16"/>
              </w:rPr>
              <w:t>工作调动，2018</w:t>
            </w:r>
            <w:r>
              <w:rPr>
                <w:rFonts w:ascii="宋体" w:hAnsi="宋体" w:cs="宋体" w:eastAsia="宋体" w:hint="default"/>
                <w:spacing w:val="-61"/>
                <w:w w:val="105"/>
                <w:sz w:val="16"/>
                <w:szCs w:val="16"/>
              </w:rPr>
              <w:t> </w:t>
            </w:r>
            <w:r>
              <w:rPr>
                <w:rFonts w:ascii="宋体" w:hAnsi="宋体" w:cs="宋体" w:eastAsia="宋体" w:hint="default"/>
                <w:w w:val="105"/>
                <w:sz w:val="16"/>
                <w:szCs w:val="16"/>
              </w:rPr>
              <w:t>年</w:t>
            </w:r>
            <w:r>
              <w:rPr>
                <w:rFonts w:ascii="宋体" w:hAnsi="宋体" w:cs="宋体" w:eastAsia="宋体" w:hint="default"/>
                <w:spacing w:val="-60"/>
                <w:w w:val="105"/>
                <w:sz w:val="16"/>
                <w:szCs w:val="16"/>
              </w:rPr>
              <w:t> </w:t>
            </w:r>
            <w:r>
              <w:rPr>
                <w:rFonts w:ascii="宋体" w:hAnsi="宋体" w:cs="宋体" w:eastAsia="宋体" w:hint="default"/>
                <w:w w:val="105"/>
                <w:sz w:val="16"/>
                <w:szCs w:val="16"/>
              </w:rPr>
              <w:t>7</w:t>
            </w:r>
            <w:r>
              <w:rPr>
                <w:rFonts w:ascii="宋体" w:hAnsi="宋体" w:cs="宋体" w:eastAsia="宋体" w:hint="default"/>
                <w:spacing w:val="-61"/>
                <w:w w:val="105"/>
                <w:sz w:val="16"/>
                <w:szCs w:val="16"/>
              </w:rPr>
              <w:t> </w:t>
            </w:r>
            <w:r>
              <w:rPr>
                <w:rFonts w:ascii="宋体" w:hAnsi="宋体" w:cs="宋体" w:eastAsia="宋体" w:hint="default"/>
                <w:w w:val="105"/>
                <w:sz w:val="16"/>
                <w:szCs w:val="16"/>
              </w:rPr>
              <w:t>月离任</w:t>
            </w:r>
            <w:r>
              <w:rPr>
                <w:rFonts w:ascii="宋体" w:hAnsi="宋体" w:cs="宋体" w:eastAsia="宋体" w:hint="default"/>
                <w:sz w:val="16"/>
                <w:szCs w:val="16"/>
              </w:rPr>
              <w:t> </w:t>
            </w:r>
            <w:r>
              <w:rPr>
                <w:rFonts w:ascii="宋体" w:hAnsi="宋体" w:cs="宋体" w:eastAsia="宋体" w:hint="default"/>
                <w:w w:val="105"/>
                <w:sz w:val="16"/>
                <w:szCs w:val="16"/>
              </w:rPr>
              <w:t>2018</w:t>
            </w:r>
            <w:r>
              <w:rPr>
                <w:rFonts w:ascii="宋体" w:hAnsi="宋体" w:cs="宋体" w:eastAsia="宋体" w:hint="default"/>
                <w:spacing w:val="-46"/>
                <w:w w:val="105"/>
                <w:sz w:val="16"/>
                <w:szCs w:val="16"/>
              </w:rPr>
              <w:t> </w:t>
            </w:r>
            <w:r>
              <w:rPr>
                <w:rFonts w:ascii="宋体" w:hAnsi="宋体" w:cs="宋体" w:eastAsia="宋体" w:hint="default"/>
                <w:w w:val="105"/>
                <w:sz w:val="16"/>
                <w:szCs w:val="16"/>
              </w:rPr>
              <w:t>年</w:t>
            </w:r>
            <w:r>
              <w:rPr>
                <w:rFonts w:ascii="宋体" w:hAnsi="宋体" w:cs="宋体" w:eastAsia="宋体" w:hint="default"/>
                <w:spacing w:val="-45"/>
                <w:w w:val="105"/>
                <w:sz w:val="16"/>
                <w:szCs w:val="16"/>
              </w:rPr>
              <w:t> </w:t>
            </w:r>
            <w:r>
              <w:rPr>
                <w:rFonts w:ascii="宋体" w:hAnsi="宋体" w:cs="宋体" w:eastAsia="宋体" w:hint="default"/>
                <w:w w:val="105"/>
                <w:sz w:val="16"/>
                <w:szCs w:val="16"/>
              </w:rPr>
              <w:t>2</w:t>
            </w:r>
            <w:r>
              <w:rPr>
                <w:rFonts w:ascii="宋体" w:hAnsi="宋体" w:cs="宋体" w:eastAsia="宋体" w:hint="default"/>
                <w:spacing w:val="-46"/>
                <w:w w:val="105"/>
                <w:sz w:val="16"/>
                <w:szCs w:val="16"/>
              </w:rPr>
              <w:t> </w:t>
            </w:r>
            <w:r>
              <w:rPr>
                <w:rFonts w:ascii="宋体" w:hAnsi="宋体" w:cs="宋体" w:eastAsia="宋体" w:hint="default"/>
                <w:w w:val="105"/>
                <w:sz w:val="16"/>
                <w:szCs w:val="16"/>
              </w:rPr>
              <w:t>月新聘</w:t>
            </w:r>
            <w:r>
              <w:rPr>
                <w:rFonts w:ascii="宋体" w:hAnsi="宋体" w:cs="宋体" w:eastAsia="宋体" w:hint="default"/>
                <w:sz w:val="16"/>
                <w:szCs w:val="16"/>
              </w:rPr>
              <w:t> </w:t>
            </w:r>
            <w:r>
              <w:rPr>
                <w:rFonts w:ascii="宋体" w:hAnsi="宋体" w:cs="宋体" w:eastAsia="宋体" w:hint="default"/>
                <w:w w:val="105"/>
                <w:sz w:val="16"/>
                <w:szCs w:val="16"/>
              </w:rPr>
              <w:t>工作调动，2018</w:t>
            </w:r>
            <w:r>
              <w:rPr>
                <w:rFonts w:ascii="宋体" w:hAnsi="宋体" w:cs="宋体" w:eastAsia="宋体" w:hint="default"/>
                <w:spacing w:val="-61"/>
                <w:w w:val="105"/>
                <w:sz w:val="16"/>
                <w:szCs w:val="16"/>
              </w:rPr>
              <w:t> </w:t>
            </w:r>
            <w:r>
              <w:rPr>
                <w:rFonts w:ascii="宋体" w:hAnsi="宋体" w:cs="宋体" w:eastAsia="宋体" w:hint="default"/>
                <w:w w:val="105"/>
                <w:sz w:val="16"/>
                <w:szCs w:val="16"/>
              </w:rPr>
              <w:t>年</w:t>
            </w:r>
            <w:r>
              <w:rPr>
                <w:rFonts w:ascii="宋体" w:hAnsi="宋体" w:cs="宋体" w:eastAsia="宋体" w:hint="default"/>
                <w:spacing w:val="-61"/>
                <w:w w:val="105"/>
                <w:sz w:val="16"/>
                <w:szCs w:val="16"/>
              </w:rPr>
              <w:t> </w:t>
            </w:r>
            <w:r>
              <w:rPr>
                <w:rFonts w:ascii="宋体" w:hAnsi="宋体" w:cs="宋体" w:eastAsia="宋体" w:hint="default"/>
                <w:w w:val="105"/>
                <w:sz w:val="16"/>
                <w:szCs w:val="16"/>
              </w:rPr>
              <w:t>7</w:t>
            </w:r>
            <w:r>
              <w:rPr>
                <w:rFonts w:ascii="宋体" w:hAnsi="宋体" w:cs="宋体" w:eastAsia="宋体" w:hint="default"/>
                <w:spacing w:val="-61"/>
                <w:w w:val="105"/>
                <w:sz w:val="16"/>
                <w:szCs w:val="16"/>
              </w:rPr>
              <w:t> </w:t>
            </w:r>
            <w:r>
              <w:rPr>
                <w:rFonts w:ascii="宋体" w:hAnsi="宋体" w:cs="宋体" w:eastAsia="宋体" w:hint="default"/>
                <w:w w:val="105"/>
                <w:sz w:val="16"/>
                <w:szCs w:val="16"/>
              </w:rPr>
              <w:t>月离任</w:t>
            </w:r>
          </w:p>
          <w:p>
            <w:pPr>
              <w:pStyle w:val="TableParagraph"/>
              <w:spacing w:line="240" w:lineRule="auto" w:before="21"/>
              <w:ind w:right="336"/>
              <w:jc w:val="center"/>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6"/>
                <w:w w:val="105"/>
                <w:sz w:val="16"/>
                <w:szCs w:val="16"/>
              </w:rPr>
              <w:t> </w:t>
            </w:r>
            <w:r>
              <w:rPr>
                <w:rFonts w:ascii="宋体" w:hAnsi="宋体" w:cs="宋体" w:eastAsia="宋体" w:hint="default"/>
                <w:w w:val="105"/>
                <w:sz w:val="16"/>
                <w:szCs w:val="16"/>
              </w:rPr>
              <w:t>年</w:t>
            </w:r>
            <w:r>
              <w:rPr>
                <w:rFonts w:ascii="宋体" w:hAnsi="宋体" w:cs="宋体" w:eastAsia="宋体" w:hint="default"/>
                <w:spacing w:val="-55"/>
                <w:w w:val="105"/>
                <w:sz w:val="16"/>
                <w:szCs w:val="16"/>
              </w:rPr>
              <w:t> </w:t>
            </w:r>
            <w:r>
              <w:rPr>
                <w:rFonts w:ascii="宋体" w:hAnsi="宋体" w:cs="宋体" w:eastAsia="宋体" w:hint="default"/>
                <w:w w:val="105"/>
                <w:sz w:val="16"/>
                <w:szCs w:val="16"/>
              </w:rPr>
              <w:t>2</w:t>
            </w:r>
            <w:r>
              <w:rPr>
                <w:rFonts w:ascii="宋体" w:hAnsi="宋体" w:cs="宋体" w:eastAsia="宋体" w:hint="default"/>
                <w:spacing w:val="-56"/>
                <w:w w:val="105"/>
                <w:sz w:val="16"/>
                <w:szCs w:val="16"/>
              </w:rPr>
              <w:t> </w:t>
            </w:r>
            <w:r>
              <w:rPr>
                <w:rFonts w:ascii="宋体" w:hAnsi="宋体" w:cs="宋体" w:eastAsia="宋体" w:hint="default"/>
                <w:w w:val="105"/>
                <w:sz w:val="16"/>
                <w:szCs w:val="16"/>
              </w:rPr>
              <w:t>月董事会换届</w:t>
            </w:r>
          </w:p>
        </w:tc>
      </w:tr>
      <w:tr>
        <w:trPr>
          <w:trHeight w:val="148" w:hRule="exact"/>
        </w:trPr>
        <w:tc>
          <w:tcPr>
            <w:tcW w:w="1187" w:type="dxa"/>
            <w:tcBorders>
              <w:top w:val="nil" w:sz="6" w:space="0" w:color="auto"/>
              <w:left w:val="nil" w:sz="6" w:space="0" w:color="auto"/>
              <w:bottom w:val="nil" w:sz="6" w:space="0" w:color="auto"/>
              <w:right w:val="nil" w:sz="6" w:space="0" w:color="auto"/>
            </w:tcBorders>
          </w:tcPr>
          <w:p>
            <w:pPr>
              <w:pStyle w:val="TableParagraph"/>
              <w:spacing w:line="142" w:lineRule="exact"/>
              <w:ind w:right="108"/>
              <w:jc w:val="center"/>
              <w:rPr>
                <w:rFonts w:ascii="宋体" w:hAnsi="宋体" w:cs="宋体" w:eastAsia="宋体" w:hint="default"/>
                <w:sz w:val="16"/>
                <w:szCs w:val="16"/>
              </w:rPr>
            </w:pPr>
            <w:r>
              <w:rPr>
                <w:rFonts w:ascii="宋体" w:hAnsi="宋体" w:cs="宋体" w:eastAsia="宋体" w:hint="default"/>
                <w:sz w:val="16"/>
                <w:szCs w:val="16"/>
              </w:rPr>
              <w:t>李彦宏</w:t>
            </w:r>
          </w:p>
        </w:tc>
        <w:tc>
          <w:tcPr>
            <w:tcW w:w="1804" w:type="dxa"/>
            <w:tcBorders>
              <w:top w:val="nil" w:sz="6" w:space="0" w:color="auto"/>
              <w:left w:val="nil" w:sz="6" w:space="0" w:color="auto"/>
              <w:bottom w:val="nil" w:sz="6" w:space="0" w:color="auto"/>
              <w:right w:val="nil" w:sz="6" w:space="0" w:color="auto"/>
            </w:tcBorders>
          </w:tcPr>
          <w:p>
            <w:pPr/>
          </w:p>
        </w:tc>
        <w:tc>
          <w:tcPr>
            <w:tcW w:w="1925" w:type="dxa"/>
            <w:tcBorders>
              <w:top w:val="nil" w:sz="6" w:space="0" w:color="auto"/>
              <w:left w:val="nil" w:sz="6" w:space="0" w:color="auto"/>
              <w:bottom w:val="nil" w:sz="6" w:space="0" w:color="auto"/>
              <w:right w:val="nil" w:sz="6" w:space="0" w:color="auto"/>
            </w:tcBorders>
          </w:tcPr>
          <w:p>
            <w:pPr/>
          </w:p>
        </w:tc>
        <w:tc>
          <w:tcPr>
            <w:tcW w:w="4363" w:type="dxa"/>
            <w:tcBorders>
              <w:top w:val="nil" w:sz="6" w:space="0" w:color="auto"/>
              <w:left w:val="nil" w:sz="6" w:space="0" w:color="auto"/>
              <w:bottom w:val="nil" w:sz="6" w:space="0" w:color="auto"/>
              <w:right w:val="nil" w:sz="6" w:space="0" w:color="auto"/>
            </w:tcBorders>
          </w:tcPr>
          <w:p>
            <w:pPr/>
          </w:p>
        </w:tc>
      </w:tr>
      <w:tr>
        <w:trPr>
          <w:trHeight w:val="222" w:hRule="exact"/>
        </w:trPr>
        <w:tc>
          <w:tcPr>
            <w:tcW w:w="1187" w:type="dxa"/>
            <w:tcBorders>
              <w:top w:val="nil" w:sz="6" w:space="0" w:color="auto"/>
              <w:left w:val="nil" w:sz="6" w:space="0" w:color="auto"/>
              <w:bottom w:val="nil" w:sz="6" w:space="0" w:color="auto"/>
              <w:right w:val="nil" w:sz="6" w:space="0" w:color="auto"/>
            </w:tcBorders>
          </w:tcPr>
          <w:p>
            <w:pPr/>
          </w:p>
        </w:tc>
        <w:tc>
          <w:tcPr>
            <w:tcW w:w="1804" w:type="dxa"/>
            <w:tcBorders>
              <w:top w:val="nil" w:sz="6" w:space="0" w:color="auto"/>
              <w:left w:val="nil" w:sz="6" w:space="0" w:color="auto"/>
              <w:bottom w:val="nil" w:sz="6" w:space="0" w:color="auto"/>
              <w:right w:val="nil" w:sz="6" w:space="0" w:color="auto"/>
            </w:tcBorders>
          </w:tcPr>
          <w:p>
            <w:pPr>
              <w:pStyle w:val="TableParagraph"/>
              <w:spacing w:line="142" w:lineRule="exact"/>
              <w:ind w:right="184"/>
              <w:jc w:val="center"/>
              <w:rPr>
                <w:rFonts w:ascii="宋体" w:hAnsi="宋体" w:cs="宋体" w:eastAsia="宋体" w:hint="default"/>
                <w:sz w:val="16"/>
                <w:szCs w:val="16"/>
              </w:rPr>
            </w:pPr>
            <w:r>
              <w:rPr>
                <w:rFonts w:ascii="宋体" w:hAnsi="宋体" w:cs="宋体" w:eastAsia="宋体" w:hint="default"/>
                <w:sz w:val="16"/>
                <w:szCs w:val="16"/>
              </w:rPr>
              <w:t>董事</w:t>
            </w:r>
          </w:p>
        </w:tc>
        <w:tc>
          <w:tcPr>
            <w:tcW w:w="1925" w:type="dxa"/>
            <w:tcBorders>
              <w:top w:val="nil" w:sz="6" w:space="0" w:color="auto"/>
              <w:left w:val="nil" w:sz="6" w:space="0" w:color="auto"/>
              <w:bottom w:val="nil" w:sz="6" w:space="0" w:color="auto"/>
              <w:right w:val="nil" w:sz="6" w:space="0" w:color="auto"/>
            </w:tcBorders>
          </w:tcPr>
          <w:p>
            <w:pPr>
              <w:pStyle w:val="TableParagraph"/>
              <w:spacing w:line="142" w:lineRule="exact"/>
              <w:ind w:left="595" w:right="0"/>
              <w:jc w:val="left"/>
              <w:rPr>
                <w:rFonts w:ascii="宋体" w:hAnsi="宋体" w:cs="宋体" w:eastAsia="宋体" w:hint="default"/>
                <w:sz w:val="16"/>
                <w:szCs w:val="16"/>
              </w:rPr>
            </w:pPr>
            <w:r>
              <w:rPr>
                <w:rFonts w:ascii="宋体" w:hAnsi="宋体" w:cs="宋体" w:eastAsia="宋体" w:hint="default"/>
                <w:sz w:val="16"/>
                <w:szCs w:val="16"/>
              </w:rPr>
              <w:t>离任</w:t>
            </w:r>
          </w:p>
        </w:tc>
        <w:tc>
          <w:tcPr>
            <w:tcW w:w="4363" w:type="dxa"/>
            <w:tcBorders>
              <w:top w:val="nil" w:sz="6" w:space="0" w:color="auto"/>
              <w:left w:val="nil" w:sz="6" w:space="0" w:color="auto"/>
              <w:bottom w:val="nil" w:sz="6" w:space="0" w:color="auto"/>
              <w:right w:val="nil" w:sz="6" w:space="0" w:color="auto"/>
            </w:tcBorders>
          </w:tcPr>
          <w:p>
            <w:pPr>
              <w:pStyle w:val="TableParagraph"/>
              <w:spacing w:line="142" w:lineRule="exact"/>
              <w:ind w:right="336"/>
              <w:jc w:val="center"/>
              <w:rPr>
                <w:rFonts w:ascii="宋体" w:hAnsi="宋体" w:cs="宋体" w:eastAsia="宋体" w:hint="default"/>
                <w:sz w:val="16"/>
                <w:szCs w:val="16"/>
              </w:rPr>
            </w:pPr>
            <w:r>
              <w:rPr>
                <w:rFonts w:ascii="宋体" w:hAnsi="宋体" w:cs="宋体" w:eastAsia="宋体" w:hint="default"/>
                <w:w w:val="105"/>
                <w:sz w:val="16"/>
                <w:szCs w:val="16"/>
              </w:rPr>
              <w:t>工作繁忙，2018</w:t>
            </w:r>
            <w:r>
              <w:rPr>
                <w:rFonts w:ascii="宋体" w:hAnsi="宋体" w:cs="宋体" w:eastAsia="宋体" w:hint="default"/>
                <w:spacing w:val="-61"/>
                <w:w w:val="105"/>
                <w:sz w:val="16"/>
                <w:szCs w:val="16"/>
              </w:rPr>
              <w:t> </w:t>
            </w:r>
            <w:r>
              <w:rPr>
                <w:rFonts w:ascii="宋体" w:hAnsi="宋体" w:cs="宋体" w:eastAsia="宋体" w:hint="default"/>
                <w:w w:val="105"/>
                <w:sz w:val="16"/>
                <w:szCs w:val="16"/>
              </w:rPr>
              <w:t>年</w:t>
            </w:r>
            <w:r>
              <w:rPr>
                <w:rFonts w:ascii="宋体" w:hAnsi="宋体" w:cs="宋体" w:eastAsia="宋体" w:hint="default"/>
                <w:spacing w:val="-61"/>
                <w:w w:val="105"/>
                <w:sz w:val="16"/>
                <w:szCs w:val="16"/>
              </w:rPr>
              <w:t> </w:t>
            </w:r>
            <w:r>
              <w:rPr>
                <w:rFonts w:ascii="宋体" w:hAnsi="宋体" w:cs="宋体" w:eastAsia="宋体" w:hint="default"/>
                <w:w w:val="105"/>
                <w:sz w:val="16"/>
                <w:szCs w:val="16"/>
              </w:rPr>
              <w:t>6</w:t>
            </w:r>
            <w:r>
              <w:rPr>
                <w:rFonts w:ascii="宋体" w:hAnsi="宋体" w:cs="宋体" w:eastAsia="宋体" w:hint="default"/>
                <w:spacing w:val="-61"/>
                <w:w w:val="105"/>
                <w:sz w:val="16"/>
                <w:szCs w:val="16"/>
              </w:rPr>
              <w:t> </w:t>
            </w:r>
            <w:r>
              <w:rPr>
                <w:rFonts w:ascii="宋体" w:hAnsi="宋体" w:cs="宋体" w:eastAsia="宋体" w:hint="default"/>
                <w:w w:val="105"/>
                <w:sz w:val="16"/>
                <w:szCs w:val="16"/>
              </w:rPr>
              <w:t>月离任</w:t>
            </w:r>
          </w:p>
        </w:tc>
      </w:tr>
      <w:tr>
        <w:trPr>
          <w:trHeight w:val="296" w:hRule="exact"/>
        </w:trPr>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8"/>
              <w:jc w:val="center"/>
              <w:rPr>
                <w:rFonts w:ascii="宋体" w:hAnsi="宋体" w:cs="宋体" w:eastAsia="宋体" w:hint="default"/>
                <w:sz w:val="16"/>
                <w:szCs w:val="16"/>
              </w:rPr>
            </w:pPr>
            <w:r>
              <w:rPr>
                <w:rFonts w:ascii="宋体" w:hAnsi="宋体" w:cs="宋体" w:eastAsia="宋体" w:hint="default"/>
                <w:sz w:val="16"/>
                <w:szCs w:val="16"/>
              </w:rPr>
              <w:t>陈永宏</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84"/>
              <w:jc w:val="center"/>
              <w:rPr>
                <w:rFonts w:ascii="宋体" w:hAnsi="宋体" w:cs="宋体" w:eastAsia="宋体" w:hint="default"/>
                <w:sz w:val="16"/>
                <w:szCs w:val="16"/>
              </w:rPr>
            </w:pPr>
            <w:r>
              <w:rPr>
                <w:rFonts w:ascii="宋体" w:hAnsi="宋体" w:cs="宋体" w:eastAsia="宋体" w:hint="default"/>
                <w:sz w:val="16"/>
                <w:szCs w:val="16"/>
              </w:rPr>
              <w:t>独立董事</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6"/>
              <w:ind w:left="595" w:right="0"/>
              <w:jc w:val="left"/>
              <w:rPr>
                <w:rFonts w:ascii="宋体" w:hAnsi="宋体" w:cs="宋体" w:eastAsia="宋体" w:hint="default"/>
                <w:sz w:val="16"/>
                <w:szCs w:val="16"/>
              </w:rPr>
            </w:pPr>
            <w:r>
              <w:rPr>
                <w:rFonts w:ascii="宋体" w:hAnsi="宋体" w:cs="宋体" w:eastAsia="宋体" w:hint="default"/>
                <w:sz w:val="16"/>
                <w:szCs w:val="16"/>
              </w:rPr>
              <w:t>离任</w:t>
            </w:r>
          </w:p>
        </w:tc>
        <w:tc>
          <w:tcPr>
            <w:tcW w:w="43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6"/>
              <w:jc w:val="center"/>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6"/>
                <w:w w:val="105"/>
                <w:sz w:val="16"/>
                <w:szCs w:val="16"/>
              </w:rPr>
              <w:t> </w:t>
            </w:r>
            <w:r>
              <w:rPr>
                <w:rFonts w:ascii="宋体" w:hAnsi="宋体" w:cs="宋体" w:eastAsia="宋体" w:hint="default"/>
                <w:w w:val="105"/>
                <w:sz w:val="16"/>
                <w:szCs w:val="16"/>
              </w:rPr>
              <w:t>年</w:t>
            </w:r>
            <w:r>
              <w:rPr>
                <w:rFonts w:ascii="宋体" w:hAnsi="宋体" w:cs="宋体" w:eastAsia="宋体" w:hint="default"/>
                <w:spacing w:val="-55"/>
                <w:w w:val="105"/>
                <w:sz w:val="16"/>
                <w:szCs w:val="16"/>
              </w:rPr>
              <w:t> </w:t>
            </w:r>
            <w:r>
              <w:rPr>
                <w:rFonts w:ascii="宋体" w:hAnsi="宋体" w:cs="宋体" w:eastAsia="宋体" w:hint="default"/>
                <w:w w:val="105"/>
                <w:sz w:val="16"/>
                <w:szCs w:val="16"/>
              </w:rPr>
              <w:t>2</w:t>
            </w:r>
            <w:r>
              <w:rPr>
                <w:rFonts w:ascii="宋体" w:hAnsi="宋体" w:cs="宋体" w:eastAsia="宋体" w:hint="default"/>
                <w:spacing w:val="-56"/>
                <w:w w:val="105"/>
                <w:sz w:val="16"/>
                <w:szCs w:val="16"/>
              </w:rPr>
              <w:t> </w:t>
            </w:r>
            <w:r>
              <w:rPr>
                <w:rFonts w:ascii="宋体" w:hAnsi="宋体" w:cs="宋体" w:eastAsia="宋体" w:hint="default"/>
                <w:w w:val="105"/>
                <w:sz w:val="16"/>
                <w:szCs w:val="16"/>
              </w:rPr>
              <w:t>月董事会换届</w:t>
            </w:r>
          </w:p>
        </w:tc>
      </w:tr>
      <w:tr>
        <w:trPr>
          <w:trHeight w:val="296" w:hRule="exact"/>
        </w:trPr>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8"/>
              <w:jc w:val="center"/>
              <w:rPr>
                <w:rFonts w:ascii="宋体" w:hAnsi="宋体" w:cs="宋体" w:eastAsia="宋体" w:hint="default"/>
                <w:sz w:val="16"/>
                <w:szCs w:val="16"/>
              </w:rPr>
            </w:pPr>
            <w:r>
              <w:rPr>
                <w:rFonts w:ascii="宋体" w:hAnsi="宋体" w:cs="宋体" w:eastAsia="宋体" w:hint="default"/>
                <w:sz w:val="16"/>
                <w:szCs w:val="16"/>
              </w:rPr>
              <w:t>李红滨</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84"/>
              <w:jc w:val="center"/>
              <w:rPr>
                <w:rFonts w:ascii="宋体" w:hAnsi="宋体" w:cs="宋体" w:eastAsia="宋体" w:hint="default"/>
                <w:sz w:val="16"/>
                <w:szCs w:val="16"/>
              </w:rPr>
            </w:pPr>
            <w:r>
              <w:rPr>
                <w:rFonts w:ascii="宋体" w:hAnsi="宋体" w:cs="宋体" w:eastAsia="宋体" w:hint="default"/>
                <w:sz w:val="16"/>
                <w:szCs w:val="16"/>
              </w:rPr>
              <w:t>独立董事</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6"/>
              <w:ind w:left="595" w:right="0"/>
              <w:jc w:val="left"/>
              <w:rPr>
                <w:rFonts w:ascii="宋体" w:hAnsi="宋体" w:cs="宋体" w:eastAsia="宋体" w:hint="default"/>
                <w:sz w:val="16"/>
                <w:szCs w:val="16"/>
              </w:rPr>
            </w:pPr>
            <w:r>
              <w:rPr>
                <w:rFonts w:ascii="宋体" w:hAnsi="宋体" w:cs="宋体" w:eastAsia="宋体" w:hint="default"/>
                <w:sz w:val="16"/>
                <w:szCs w:val="16"/>
              </w:rPr>
              <w:t>离任</w:t>
            </w:r>
          </w:p>
        </w:tc>
        <w:tc>
          <w:tcPr>
            <w:tcW w:w="43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6"/>
              <w:jc w:val="center"/>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6"/>
                <w:w w:val="105"/>
                <w:sz w:val="16"/>
                <w:szCs w:val="16"/>
              </w:rPr>
              <w:t> </w:t>
            </w:r>
            <w:r>
              <w:rPr>
                <w:rFonts w:ascii="宋体" w:hAnsi="宋体" w:cs="宋体" w:eastAsia="宋体" w:hint="default"/>
                <w:w w:val="105"/>
                <w:sz w:val="16"/>
                <w:szCs w:val="16"/>
              </w:rPr>
              <w:t>年</w:t>
            </w:r>
            <w:r>
              <w:rPr>
                <w:rFonts w:ascii="宋体" w:hAnsi="宋体" w:cs="宋体" w:eastAsia="宋体" w:hint="default"/>
                <w:spacing w:val="-55"/>
                <w:w w:val="105"/>
                <w:sz w:val="16"/>
                <w:szCs w:val="16"/>
              </w:rPr>
              <w:t> </w:t>
            </w:r>
            <w:r>
              <w:rPr>
                <w:rFonts w:ascii="宋体" w:hAnsi="宋体" w:cs="宋体" w:eastAsia="宋体" w:hint="default"/>
                <w:w w:val="105"/>
                <w:sz w:val="16"/>
                <w:szCs w:val="16"/>
              </w:rPr>
              <w:t>2</w:t>
            </w:r>
            <w:r>
              <w:rPr>
                <w:rFonts w:ascii="宋体" w:hAnsi="宋体" w:cs="宋体" w:eastAsia="宋体" w:hint="default"/>
                <w:spacing w:val="-56"/>
                <w:w w:val="105"/>
                <w:sz w:val="16"/>
                <w:szCs w:val="16"/>
              </w:rPr>
              <w:t> </w:t>
            </w:r>
            <w:r>
              <w:rPr>
                <w:rFonts w:ascii="宋体" w:hAnsi="宋体" w:cs="宋体" w:eastAsia="宋体" w:hint="default"/>
                <w:w w:val="105"/>
                <w:sz w:val="16"/>
                <w:szCs w:val="16"/>
              </w:rPr>
              <w:t>月董事会换届</w:t>
            </w:r>
          </w:p>
        </w:tc>
      </w:tr>
      <w:tr>
        <w:trPr>
          <w:trHeight w:val="296" w:hRule="exact"/>
        </w:trPr>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8"/>
              <w:jc w:val="center"/>
              <w:rPr>
                <w:rFonts w:ascii="宋体" w:hAnsi="宋体" w:cs="宋体" w:eastAsia="宋体" w:hint="default"/>
                <w:sz w:val="16"/>
                <w:szCs w:val="16"/>
              </w:rPr>
            </w:pPr>
            <w:r>
              <w:rPr>
                <w:rFonts w:ascii="宋体" w:hAnsi="宋体" w:cs="宋体" w:eastAsia="宋体" w:hint="default"/>
                <w:sz w:val="16"/>
                <w:szCs w:val="16"/>
              </w:rPr>
              <w:t>姜正新</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84"/>
              <w:jc w:val="center"/>
              <w:rPr>
                <w:rFonts w:ascii="宋体" w:hAnsi="宋体" w:cs="宋体" w:eastAsia="宋体" w:hint="default"/>
                <w:sz w:val="16"/>
                <w:szCs w:val="16"/>
              </w:rPr>
            </w:pPr>
            <w:r>
              <w:rPr>
                <w:rFonts w:ascii="宋体" w:hAnsi="宋体" w:cs="宋体" w:eastAsia="宋体" w:hint="default"/>
                <w:sz w:val="16"/>
                <w:szCs w:val="16"/>
              </w:rPr>
              <w:t>监事会主席</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6"/>
              <w:ind w:left="595" w:right="0"/>
              <w:jc w:val="left"/>
              <w:rPr>
                <w:rFonts w:ascii="宋体" w:hAnsi="宋体" w:cs="宋体" w:eastAsia="宋体" w:hint="default"/>
                <w:sz w:val="16"/>
                <w:szCs w:val="16"/>
              </w:rPr>
            </w:pPr>
            <w:r>
              <w:rPr>
                <w:rFonts w:ascii="宋体" w:hAnsi="宋体" w:cs="宋体" w:eastAsia="宋体" w:hint="default"/>
                <w:sz w:val="16"/>
                <w:szCs w:val="16"/>
              </w:rPr>
              <w:t>离任</w:t>
            </w:r>
          </w:p>
        </w:tc>
        <w:tc>
          <w:tcPr>
            <w:tcW w:w="43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6"/>
              <w:jc w:val="center"/>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6"/>
                <w:w w:val="105"/>
                <w:sz w:val="16"/>
                <w:szCs w:val="16"/>
              </w:rPr>
              <w:t> </w:t>
            </w:r>
            <w:r>
              <w:rPr>
                <w:rFonts w:ascii="宋体" w:hAnsi="宋体" w:cs="宋体" w:eastAsia="宋体" w:hint="default"/>
                <w:w w:val="105"/>
                <w:sz w:val="16"/>
                <w:szCs w:val="16"/>
              </w:rPr>
              <w:t>年</w:t>
            </w:r>
            <w:r>
              <w:rPr>
                <w:rFonts w:ascii="宋体" w:hAnsi="宋体" w:cs="宋体" w:eastAsia="宋体" w:hint="default"/>
                <w:spacing w:val="-55"/>
                <w:w w:val="105"/>
                <w:sz w:val="16"/>
                <w:szCs w:val="16"/>
              </w:rPr>
              <w:t> </w:t>
            </w:r>
            <w:r>
              <w:rPr>
                <w:rFonts w:ascii="宋体" w:hAnsi="宋体" w:cs="宋体" w:eastAsia="宋体" w:hint="default"/>
                <w:w w:val="105"/>
                <w:sz w:val="16"/>
                <w:szCs w:val="16"/>
              </w:rPr>
              <w:t>2</w:t>
            </w:r>
            <w:r>
              <w:rPr>
                <w:rFonts w:ascii="宋体" w:hAnsi="宋体" w:cs="宋体" w:eastAsia="宋体" w:hint="default"/>
                <w:spacing w:val="-56"/>
                <w:w w:val="105"/>
                <w:sz w:val="16"/>
                <w:szCs w:val="16"/>
              </w:rPr>
              <w:t> </w:t>
            </w:r>
            <w:r>
              <w:rPr>
                <w:rFonts w:ascii="宋体" w:hAnsi="宋体" w:cs="宋体" w:eastAsia="宋体" w:hint="default"/>
                <w:w w:val="105"/>
                <w:sz w:val="16"/>
                <w:szCs w:val="16"/>
              </w:rPr>
              <w:t>月监事会换届</w:t>
            </w:r>
          </w:p>
        </w:tc>
      </w:tr>
      <w:tr>
        <w:trPr>
          <w:trHeight w:val="296" w:hRule="exact"/>
        </w:trPr>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8"/>
              <w:jc w:val="center"/>
              <w:rPr>
                <w:rFonts w:ascii="宋体" w:hAnsi="宋体" w:cs="宋体" w:eastAsia="宋体" w:hint="default"/>
                <w:sz w:val="16"/>
                <w:szCs w:val="16"/>
              </w:rPr>
            </w:pPr>
            <w:r>
              <w:rPr>
                <w:rFonts w:ascii="宋体" w:hAnsi="宋体" w:cs="宋体" w:eastAsia="宋体" w:hint="default"/>
                <w:sz w:val="16"/>
                <w:szCs w:val="16"/>
              </w:rPr>
              <w:t>汪世昌</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84"/>
              <w:jc w:val="center"/>
              <w:rPr>
                <w:rFonts w:ascii="宋体" w:hAnsi="宋体" w:cs="宋体" w:eastAsia="宋体" w:hint="default"/>
                <w:sz w:val="16"/>
                <w:szCs w:val="16"/>
              </w:rPr>
            </w:pPr>
            <w:r>
              <w:rPr>
                <w:rFonts w:ascii="宋体" w:hAnsi="宋体" w:cs="宋体" w:eastAsia="宋体" w:hint="default"/>
                <w:sz w:val="16"/>
                <w:szCs w:val="16"/>
              </w:rPr>
              <w:t>监事</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6"/>
              <w:ind w:left="595" w:right="0"/>
              <w:jc w:val="left"/>
              <w:rPr>
                <w:rFonts w:ascii="宋体" w:hAnsi="宋体" w:cs="宋体" w:eastAsia="宋体" w:hint="default"/>
                <w:sz w:val="16"/>
                <w:szCs w:val="16"/>
              </w:rPr>
            </w:pPr>
            <w:r>
              <w:rPr>
                <w:rFonts w:ascii="宋体" w:hAnsi="宋体" w:cs="宋体" w:eastAsia="宋体" w:hint="default"/>
                <w:sz w:val="16"/>
                <w:szCs w:val="16"/>
              </w:rPr>
              <w:t>离任</w:t>
            </w:r>
          </w:p>
        </w:tc>
        <w:tc>
          <w:tcPr>
            <w:tcW w:w="43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6"/>
              <w:jc w:val="center"/>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6"/>
                <w:w w:val="105"/>
                <w:sz w:val="16"/>
                <w:szCs w:val="16"/>
              </w:rPr>
              <w:t> </w:t>
            </w:r>
            <w:r>
              <w:rPr>
                <w:rFonts w:ascii="宋体" w:hAnsi="宋体" w:cs="宋体" w:eastAsia="宋体" w:hint="default"/>
                <w:w w:val="105"/>
                <w:sz w:val="16"/>
                <w:szCs w:val="16"/>
              </w:rPr>
              <w:t>年</w:t>
            </w:r>
            <w:r>
              <w:rPr>
                <w:rFonts w:ascii="宋体" w:hAnsi="宋体" w:cs="宋体" w:eastAsia="宋体" w:hint="default"/>
                <w:spacing w:val="-55"/>
                <w:w w:val="105"/>
                <w:sz w:val="16"/>
                <w:szCs w:val="16"/>
              </w:rPr>
              <w:t> </w:t>
            </w:r>
            <w:r>
              <w:rPr>
                <w:rFonts w:ascii="宋体" w:hAnsi="宋体" w:cs="宋体" w:eastAsia="宋体" w:hint="default"/>
                <w:w w:val="105"/>
                <w:sz w:val="16"/>
                <w:szCs w:val="16"/>
              </w:rPr>
              <w:t>2</w:t>
            </w:r>
            <w:r>
              <w:rPr>
                <w:rFonts w:ascii="宋体" w:hAnsi="宋体" w:cs="宋体" w:eastAsia="宋体" w:hint="default"/>
                <w:spacing w:val="-56"/>
                <w:w w:val="105"/>
                <w:sz w:val="16"/>
                <w:szCs w:val="16"/>
              </w:rPr>
              <w:t> </w:t>
            </w:r>
            <w:r>
              <w:rPr>
                <w:rFonts w:ascii="宋体" w:hAnsi="宋体" w:cs="宋体" w:eastAsia="宋体" w:hint="default"/>
                <w:w w:val="105"/>
                <w:sz w:val="16"/>
                <w:szCs w:val="16"/>
              </w:rPr>
              <w:t>月监事会换届</w:t>
            </w:r>
          </w:p>
        </w:tc>
      </w:tr>
      <w:tr>
        <w:trPr>
          <w:trHeight w:val="296" w:hRule="exact"/>
        </w:trPr>
        <w:tc>
          <w:tcPr>
            <w:tcW w:w="118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08"/>
              <w:jc w:val="center"/>
              <w:rPr>
                <w:rFonts w:ascii="宋体" w:hAnsi="宋体" w:cs="宋体" w:eastAsia="宋体" w:hint="default"/>
                <w:sz w:val="16"/>
                <w:szCs w:val="16"/>
              </w:rPr>
            </w:pPr>
            <w:r>
              <w:rPr>
                <w:rFonts w:ascii="宋体" w:hAnsi="宋体" w:cs="宋体" w:eastAsia="宋体" w:hint="default"/>
                <w:sz w:val="16"/>
                <w:szCs w:val="16"/>
              </w:rPr>
              <w:t>蔡全根</w:t>
            </w:r>
          </w:p>
        </w:tc>
        <w:tc>
          <w:tcPr>
            <w:tcW w:w="180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184"/>
              <w:jc w:val="center"/>
              <w:rPr>
                <w:rFonts w:ascii="宋体" w:hAnsi="宋体" w:cs="宋体" w:eastAsia="宋体" w:hint="default"/>
                <w:sz w:val="16"/>
                <w:szCs w:val="16"/>
              </w:rPr>
            </w:pPr>
            <w:r>
              <w:rPr>
                <w:rFonts w:ascii="宋体" w:hAnsi="宋体" w:cs="宋体" w:eastAsia="宋体" w:hint="default"/>
                <w:sz w:val="16"/>
                <w:szCs w:val="16"/>
              </w:rPr>
              <w:t>监事</w:t>
            </w:r>
          </w:p>
        </w:tc>
        <w:tc>
          <w:tcPr>
            <w:tcW w:w="1925" w:type="dxa"/>
            <w:tcBorders>
              <w:top w:val="nil" w:sz="6" w:space="0" w:color="auto"/>
              <w:left w:val="nil" w:sz="6" w:space="0" w:color="auto"/>
              <w:bottom w:val="nil" w:sz="6" w:space="0" w:color="auto"/>
              <w:right w:val="nil" w:sz="6" w:space="0" w:color="auto"/>
            </w:tcBorders>
          </w:tcPr>
          <w:p>
            <w:pPr>
              <w:pStyle w:val="TableParagraph"/>
              <w:spacing w:line="240" w:lineRule="auto" w:before="6"/>
              <w:ind w:left="595" w:right="0"/>
              <w:jc w:val="left"/>
              <w:rPr>
                <w:rFonts w:ascii="宋体" w:hAnsi="宋体" w:cs="宋体" w:eastAsia="宋体" w:hint="default"/>
                <w:sz w:val="16"/>
                <w:szCs w:val="16"/>
              </w:rPr>
            </w:pPr>
            <w:r>
              <w:rPr>
                <w:rFonts w:ascii="宋体" w:hAnsi="宋体" w:cs="宋体" w:eastAsia="宋体" w:hint="default"/>
                <w:sz w:val="16"/>
                <w:szCs w:val="16"/>
              </w:rPr>
              <w:t>离任</w:t>
            </w:r>
          </w:p>
        </w:tc>
        <w:tc>
          <w:tcPr>
            <w:tcW w:w="436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6"/>
              <w:jc w:val="center"/>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6"/>
                <w:w w:val="105"/>
                <w:sz w:val="16"/>
                <w:szCs w:val="16"/>
              </w:rPr>
              <w:t> </w:t>
            </w:r>
            <w:r>
              <w:rPr>
                <w:rFonts w:ascii="宋体" w:hAnsi="宋体" w:cs="宋体" w:eastAsia="宋体" w:hint="default"/>
                <w:w w:val="105"/>
                <w:sz w:val="16"/>
                <w:szCs w:val="16"/>
              </w:rPr>
              <w:t>年</w:t>
            </w:r>
            <w:r>
              <w:rPr>
                <w:rFonts w:ascii="宋体" w:hAnsi="宋体" w:cs="宋体" w:eastAsia="宋体" w:hint="default"/>
                <w:spacing w:val="-55"/>
                <w:w w:val="105"/>
                <w:sz w:val="16"/>
                <w:szCs w:val="16"/>
              </w:rPr>
              <w:t> </w:t>
            </w:r>
            <w:r>
              <w:rPr>
                <w:rFonts w:ascii="宋体" w:hAnsi="宋体" w:cs="宋体" w:eastAsia="宋体" w:hint="default"/>
                <w:w w:val="105"/>
                <w:sz w:val="16"/>
                <w:szCs w:val="16"/>
              </w:rPr>
              <w:t>2</w:t>
            </w:r>
            <w:r>
              <w:rPr>
                <w:rFonts w:ascii="宋体" w:hAnsi="宋体" w:cs="宋体" w:eastAsia="宋体" w:hint="default"/>
                <w:spacing w:val="-56"/>
                <w:w w:val="105"/>
                <w:sz w:val="16"/>
                <w:szCs w:val="16"/>
              </w:rPr>
              <w:t> </w:t>
            </w:r>
            <w:r>
              <w:rPr>
                <w:rFonts w:ascii="宋体" w:hAnsi="宋体" w:cs="宋体" w:eastAsia="宋体" w:hint="default"/>
                <w:w w:val="105"/>
                <w:sz w:val="16"/>
                <w:szCs w:val="16"/>
              </w:rPr>
              <w:t>月监事会换届</w:t>
            </w:r>
          </w:p>
        </w:tc>
      </w:tr>
      <w:tr>
        <w:trPr>
          <w:trHeight w:val="285" w:hRule="exact"/>
        </w:trPr>
        <w:tc>
          <w:tcPr>
            <w:tcW w:w="1187"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108"/>
              <w:jc w:val="center"/>
              <w:rPr>
                <w:rFonts w:ascii="宋体" w:hAnsi="宋体" w:cs="宋体" w:eastAsia="宋体" w:hint="default"/>
                <w:sz w:val="16"/>
                <w:szCs w:val="16"/>
              </w:rPr>
            </w:pPr>
            <w:r>
              <w:rPr>
                <w:rFonts w:ascii="宋体" w:hAnsi="宋体" w:cs="宋体" w:eastAsia="宋体" w:hint="default"/>
                <w:sz w:val="16"/>
                <w:szCs w:val="16"/>
              </w:rPr>
              <w:t>王霞</w:t>
            </w:r>
          </w:p>
        </w:tc>
        <w:tc>
          <w:tcPr>
            <w:tcW w:w="1804"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184"/>
              <w:jc w:val="center"/>
              <w:rPr>
                <w:rFonts w:ascii="宋体" w:hAnsi="宋体" w:cs="宋体" w:eastAsia="宋体" w:hint="default"/>
                <w:sz w:val="16"/>
                <w:szCs w:val="16"/>
              </w:rPr>
            </w:pPr>
            <w:r>
              <w:rPr>
                <w:rFonts w:ascii="宋体" w:hAnsi="宋体" w:cs="宋体" w:eastAsia="宋体" w:hint="default"/>
                <w:sz w:val="16"/>
                <w:szCs w:val="16"/>
              </w:rPr>
              <w:t>董事会秘书</w:t>
            </w:r>
          </w:p>
        </w:tc>
        <w:tc>
          <w:tcPr>
            <w:tcW w:w="1925" w:type="dxa"/>
            <w:tcBorders>
              <w:top w:val="nil" w:sz="6" w:space="0" w:color="auto"/>
              <w:left w:val="nil" w:sz="6" w:space="0" w:color="auto"/>
              <w:bottom w:val="single" w:sz="4" w:space="0" w:color="000000"/>
              <w:right w:val="nil" w:sz="6" w:space="0" w:color="auto"/>
            </w:tcBorders>
          </w:tcPr>
          <w:p>
            <w:pPr>
              <w:pStyle w:val="TableParagraph"/>
              <w:spacing w:line="240" w:lineRule="auto" w:before="6"/>
              <w:ind w:left="595" w:right="0"/>
              <w:jc w:val="left"/>
              <w:rPr>
                <w:rFonts w:ascii="宋体" w:hAnsi="宋体" w:cs="宋体" w:eastAsia="宋体" w:hint="default"/>
                <w:sz w:val="16"/>
                <w:szCs w:val="16"/>
              </w:rPr>
            </w:pPr>
            <w:r>
              <w:rPr>
                <w:rFonts w:ascii="宋体" w:hAnsi="宋体" w:cs="宋体" w:eastAsia="宋体" w:hint="default"/>
                <w:sz w:val="16"/>
                <w:szCs w:val="16"/>
              </w:rPr>
              <w:t>离任</w:t>
            </w:r>
          </w:p>
        </w:tc>
        <w:tc>
          <w:tcPr>
            <w:tcW w:w="4363"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336"/>
              <w:jc w:val="center"/>
              <w:rPr>
                <w:rFonts w:ascii="宋体" w:hAnsi="宋体" w:cs="宋体" w:eastAsia="宋体" w:hint="default"/>
                <w:sz w:val="16"/>
                <w:szCs w:val="16"/>
              </w:rPr>
            </w:pPr>
            <w:r>
              <w:rPr>
                <w:rFonts w:ascii="宋体" w:hAnsi="宋体" w:cs="宋体" w:eastAsia="宋体" w:hint="default"/>
                <w:w w:val="105"/>
                <w:sz w:val="16"/>
                <w:szCs w:val="16"/>
              </w:rPr>
              <w:t>工作变动，2018</w:t>
            </w:r>
            <w:r>
              <w:rPr>
                <w:rFonts w:ascii="宋体" w:hAnsi="宋体" w:cs="宋体" w:eastAsia="宋体" w:hint="default"/>
                <w:spacing w:val="-61"/>
                <w:w w:val="105"/>
                <w:sz w:val="16"/>
                <w:szCs w:val="16"/>
              </w:rPr>
              <w:t> </w:t>
            </w:r>
            <w:r>
              <w:rPr>
                <w:rFonts w:ascii="宋体" w:hAnsi="宋体" w:cs="宋体" w:eastAsia="宋体" w:hint="default"/>
                <w:w w:val="105"/>
                <w:sz w:val="16"/>
                <w:szCs w:val="16"/>
              </w:rPr>
              <w:t>年</w:t>
            </w:r>
            <w:r>
              <w:rPr>
                <w:rFonts w:ascii="宋体" w:hAnsi="宋体" w:cs="宋体" w:eastAsia="宋体" w:hint="default"/>
                <w:spacing w:val="-61"/>
                <w:w w:val="105"/>
                <w:sz w:val="16"/>
                <w:szCs w:val="16"/>
              </w:rPr>
              <w:t> </w:t>
            </w:r>
            <w:r>
              <w:rPr>
                <w:rFonts w:ascii="宋体" w:hAnsi="宋体" w:cs="宋体" w:eastAsia="宋体" w:hint="default"/>
                <w:w w:val="105"/>
                <w:sz w:val="16"/>
                <w:szCs w:val="16"/>
              </w:rPr>
              <w:t>9</w:t>
            </w:r>
            <w:r>
              <w:rPr>
                <w:rFonts w:ascii="宋体" w:hAnsi="宋体" w:cs="宋体" w:eastAsia="宋体" w:hint="default"/>
                <w:spacing w:val="-61"/>
                <w:w w:val="105"/>
                <w:sz w:val="16"/>
                <w:szCs w:val="16"/>
              </w:rPr>
              <w:t> </w:t>
            </w:r>
            <w:r>
              <w:rPr>
                <w:rFonts w:ascii="宋体" w:hAnsi="宋体" w:cs="宋体" w:eastAsia="宋体" w:hint="default"/>
                <w:w w:val="105"/>
                <w:sz w:val="16"/>
                <w:szCs w:val="16"/>
              </w:rPr>
              <w:t>月离任</w:t>
            </w:r>
          </w:p>
        </w:tc>
      </w:tr>
    </w:tbl>
    <w:p>
      <w:pPr>
        <w:spacing w:line="240" w:lineRule="auto" w:before="4"/>
        <w:rPr>
          <w:rFonts w:ascii="宋体" w:hAnsi="宋体" w:cs="宋体" w:eastAsia="宋体" w:hint="default"/>
          <w:sz w:val="19"/>
          <w:szCs w:val="19"/>
        </w:rPr>
      </w:pPr>
    </w:p>
    <w:p>
      <w:pPr>
        <w:pStyle w:val="BodyText"/>
        <w:spacing w:line="240" w:lineRule="auto" w:before="26"/>
        <w:ind w:left="850" w:right="764"/>
        <w:jc w:val="left"/>
        <w:rPr>
          <w:rFonts w:ascii="宋体" w:hAnsi="宋体" w:cs="宋体" w:eastAsia="宋体" w:hint="default"/>
        </w:rPr>
      </w:pPr>
      <w:r>
        <w:rPr>
          <w:rFonts w:ascii="宋体" w:hAnsi="宋体" w:cs="宋体" w:eastAsia="宋体" w:hint="default"/>
          <w:color w:val="D7000F"/>
        </w:rPr>
        <w:t>五、母公司和主要子公司的员工情况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850" w:right="764" w:firstLine="0"/>
        <w:jc w:val="left"/>
        <w:rPr>
          <w:rFonts w:ascii="宋体" w:hAnsi="宋体" w:cs="宋体" w:eastAsia="宋体" w:hint="default"/>
          <w:sz w:val="17"/>
          <w:szCs w:val="17"/>
        </w:rPr>
      </w:pPr>
      <w:r>
        <w:rPr/>
        <w:pict>
          <v:group style="position:absolute;margin-left:59.2775pt;margin-top:95.245041pt;width:465.55pt;height:.5pt;mso-position-horizontal-relative:page;mso-position-vertical-relative:paragraph;z-index:-962752" coordorigin="1186,1905" coordsize="9311,10">
            <v:group style="position:absolute;left:1191;top:1910;width:2410;height:2" coordorigin="1191,1910" coordsize="2410,2">
              <v:shape style="position:absolute;left:1191;top:1910;width:2410;height:2" coordorigin="1191,1910" coordsize="2410,0" path="m1191,1910l3600,1910e" filled="false" stroked="true" strokeweight=".5pt" strokecolor="#000000">
                <v:path arrowok="t"/>
              </v:shape>
            </v:group>
            <v:group style="position:absolute;left:3600;top:1910;width:2413;height:2" coordorigin="3600,1910" coordsize="2413,2">
              <v:shape style="position:absolute;left:3600;top:1910;width:2413;height:2" coordorigin="3600,1910" coordsize="2413,0" path="m3600,1910l6013,1910e" filled="false" stroked="true" strokeweight=".5pt" strokecolor="#000000">
                <v:path arrowok="t"/>
              </v:shape>
            </v:group>
            <v:group style="position:absolute;left:6013;top:1910;width:2240;height:2" coordorigin="6013,1910" coordsize="2240,2">
              <v:shape style="position:absolute;left:6013;top:1910;width:2240;height:2" coordorigin="6013,1910" coordsize="2240,0" path="m6013,1910l8252,1910e" filled="false" stroked="true" strokeweight=".5pt" strokecolor="#000000">
                <v:path arrowok="t"/>
              </v:shape>
            </v:group>
            <v:group style="position:absolute;left:8252;top:1910;width:2240;height:2" coordorigin="8252,1910" coordsize="2240,2">
              <v:shape style="position:absolute;left:8252;top:1910;width:2240;height:2" coordorigin="8252,1910" coordsize="2240,0" path="m8252,1910l10491,1910e" filled="false" stroked="true" strokeweight=".5pt" strokecolor="#000000">
                <v:path arrowok="t"/>
              </v:shape>
            </v:group>
            <w10:wrap type="none"/>
          </v:group>
        </w:pic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员工情况</w:t>
      </w:r>
    </w:p>
    <w:p>
      <w:pPr>
        <w:spacing w:line="240" w:lineRule="auto" w:before="2"/>
        <w:rPr>
          <w:rFonts w:ascii="宋体" w:hAnsi="宋体" w:cs="宋体" w:eastAsia="宋体" w:hint="default"/>
          <w:sz w:val="20"/>
          <w:szCs w:val="20"/>
        </w:rPr>
      </w:pPr>
    </w:p>
    <w:p>
      <w:pPr>
        <w:spacing w:line="40" w:lineRule="exact"/>
        <w:ind w:left="11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7.05pt;height:2pt;mso-position-horizontal-relative:char;mso-position-vertical-relative:line" coordorigin="0,0" coordsize="9341,40">
            <v:group style="position:absolute;left:20;top:20;width:4823;height:2" coordorigin="20,20" coordsize="4823,2">
              <v:shape style="position:absolute;left:20;top:20;width:4823;height:2" coordorigin="20,20" coordsize="4823,0" path="m20,20l4842,20e" filled="false" stroked="true" strokeweight="2pt" strokecolor="#9c8758">
                <v:path arrowok="t"/>
              </v:shape>
            </v:group>
            <v:group style="position:absolute;left:4842;top:20;width:4479;height:2" coordorigin="4842,20" coordsize="4479,2">
              <v:shape style="position:absolute;left:4842;top:20;width:4479;height:2" coordorigin="4842,20" coordsize="4479,0" path="m4842,20l9321,20e" filled="false" stroked="true" strokeweight="2pt" strokecolor="#9c87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4"/>
          <w:szCs w:val="4"/>
        </w:rPr>
      </w:pPr>
    </w:p>
    <w:tbl>
      <w:tblPr>
        <w:tblW w:w="0" w:type="auto"/>
        <w:jc w:val="left"/>
        <w:tblInd w:w="1190" w:type="dxa"/>
        <w:tblLayout w:type="fixed"/>
        <w:tblCellMar>
          <w:top w:w="0" w:type="dxa"/>
          <w:left w:w="0" w:type="dxa"/>
          <w:bottom w:w="0" w:type="dxa"/>
          <w:right w:w="0" w:type="dxa"/>
        </w:tblCellMar>
        <w:tblLook w:val="01E0"/>
      </w:tblPr>
      <w:tblGrid>
        <w:gridCol w:w="1720"/>
        <w:gridCol w:w="1871"/>
        <w:gridCol w:w="1202"/>
        <w:gridCol w:w="1626"/>
        <w:gridCol w:w="1538"/>
        <w:gridCol w:w="1346"/>
      </w:tblGrid>
      <w:tr>
        <w:trPr>
          <w:trHeight w:val="336" w:hRule="exact"/>
        </w:trPr>
        <w:tc>
          <w:tcPr>
            <w:tcW w:w="35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8"/>
              <w:ind w:left="85" w:right="0"/>
              <w:jc w:val="left"/>
              <w:rPr>
                <w:rFonts w:ascii="宋体" w:hAnsi="宋体" w:cs="宋体" w:eastAsia="宋体" w:hint="default"/>
                <w:sz w:val="16"/>
                <w:szCs w:val="16"/>
              </w:rPr>
            </w:pPr>
            <w:r>
              <w:rPr>
                <w:rFonts w:ascii="宋体" w:hAnsi="宋体" w:cs="宋体" w:eastAsia="宋体" w:hint="default"/>
                <w:sz w:val="16"/>
                <w:szCs w:val="16"/>
              </w:rPr>
              <w:t>母公司在职员工的数量</w:t>
            </w:r>
          </w:p>
        </w:tc>
        <w:tc>
          <w:tcPr>
            <w:tcW w:w="5711"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38"/>
              <w:ind w:right="54"/>
              <w:jc w:val="right"/>
              <w:rPr>
                <w:rFonts w:ascii="宋体" w:hAnsi="宋体" w:cs="宋体" w:eastAsia="宋体" w:hint="default"/>
                <w:sz w:val="16"/>
                <w:szCs w:val="16"/>
              </w:rPr>
            </w:pPr>
            <w:r>
              <w:rPr>
                <w:rFonts w:ascii="宋体"/>
                <w:w w:val="95"/>
                <w:sz w:val="16"/>
              </w:rPr>
              <w:t>1,220</w:t>
            </w:r>
            <w:r>
              <w:rPr>
                <w:rFonts w:ascii="宋体"/>
                <w:sz w:val="16"/>
              </w:rPr>
            </w:r>
          </w:p>
        </w:tc>
      </w:tr>
      <w:tr>
        <w:trPr>
          <w:trHeight w:val="312" w:hRule="exact"/>
        </w:trPr>
        <w:tc>
          <w:tcPr>
            <w:tcW w:w="35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
              <w:ind w:left="85" w:right="0"/>
              <w:jc w:val="left"/>
              <w:rPr>
                <w:rFonts w:ascii="宋体" w:hAnsi="宋体" w:cs="宋体" w:eastAsia="宋体" w:hint="default"/>
                <w:sz w:val="16"/>
                <w:szCs w:val="16"/>
              </w:rPr>
            </w:pPr>
            <w:r>
              <w:rPr>
                <w:rFonts w:ascii="宋体" w:hAnsi="宋体" w:cs="宋体" w:eastAsia="宋体" w:hint="default"/>
                <w:sz w:val="16"/>
                <w:szCs w:val="16"/>
              </w:rPr>
              <w:t>主要子公司在职员工的数量</w:t>
            </w:r>
          </w:p>
        </w:tc>
        <w:tc>
          <w:tcPr>
            <w:tcW w:w="5711"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宋体" w:hAnsi="宋体" w:cs="宋体" w:eastAsia="宋体" w:hint="default"/>
                <w:sz w:val="16"/>
                <w:szCs w:val="16"/>
              </w:rPr>
            </w:pPr>
            <w:r>
              <w:rPr>
                <w:rFonts w:ascii="宋体"/>
                <w:sz w:val="16"/>
              </w:rPr>
              <w:t>245,079</w:t>
            </w:r>
          </w:p>
        </w:tc>
      </w:tr>
      <w:tr>
        <w:trPr>
          <w:trHeight w:val="312" w:hRule="exact"/>
        </w:trPr>
        <w:tc>
          <w:tcPr>
            <w:tcW w:w="35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
              <w:ind w:left="85" w:right="0"/>
              <w:jc w:val="left"/>
              <w:rPr>
                <w:rFonts w:ascii="宋体" w:hAnsi="宋体" w:cs="宋体" w:eastAsia="宋体" w:hint="default"/>
                <w:sz w:val="16"/>
                <w:szCs w:val="16"/>
              </w:rPr>
            </w:pPr>
            <w:r>
              <w:rPr>
                <w:rFonts w:ascii="宋体" w:hAnsi="宋体" w:cs="宋体" w:eastAsia="宋体" w:hint="default"/>
                <w:sz w:val="16"/>
                <w:szCs w:val="16"/>
              </w:rPr>
              <w:t>在职员工的数量合计</w:t>
            </w:r>
          </w:p>
        </w:tc>
        <w:tc>
          <w:tcPr>
            <w:tcW w:w="5711"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4"/>
              <w:ind w:right="57"/>
              <w:jc w:val="right"/>
              <w:rPr>
                <w:rFonts w:ascii="宋体" w:hAnsi="宋体" w:cs="宋体" w:eastAsia="宋体" w:hint="default"/>
                <w:sz w:val="16"/>
                <w:szCs w:val="16"/>
              </w:rPr>
            </w:pPr>
            <w:r>
              <w:rPr>
                <w:rFonts w:ascii="宋体"/>
                <w:spacing w:val="-4"/>
                <w:sz w:val="16"/>
              </w:rPr>
              <w:t>246,299</w:t>
            </w:r>
            <w:r>
              <w:rPr>
                <w:rFonts w:ascii="宋体"/>
                <w:sz w:val="16"/>
              </w:rPr>
            </w:r>
          </w:p>
        </w:tc>
      </w:tr>
      <w:tr>
        <w:trPr>
          <w:trHeight w:val="459" w:hRule="exact"/>
        </w:trPr>
        <w:tc>
          <w:tcPr>
            <w:tcW w:w="3590"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14"/>
              <w:ind w:left="85" w:right="-15"/>
              <w:jc w:val="left"/>
              <w:rPr>
                <w:rFonts w:ascii="宋体" w:hAnsi="宋体" w:cs="宋体" w:eastAsia="宋体" w:hint="default"/>
                <w:sz w:val="16"/>
                <w:szCs w:val="16"/>
              </w:rPr>
            </w:pPr>
            <w:r>
              <w:rPr>
                <w:rFonts w:ascii="宋体" w:hAnsi="宋体" w:cs="宋体" w:eastAsia="宋体" w:hint="default"/>
                <w:sz w:val="16"/>
                <w:szCs w:val="16"/>
              </w:rPr>
              <w:t>母公司及主要子公司需承担费用的离退休职工人数</w:t>
            </w:r>
          </w:p>
        </w:tc>
        <w:tc>
          <w:tcPr>
            <w:tcW w:w="5711"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14"/>
              <w:ind w:right="57"/>
              <w:jc w:val="right"/>
              <w:rPr>
                <w:rFonts w:ascii="宋体" w:hAnsi="宋体" w:cs="宋体" w:eastAsia="宋体" w:hint="default"/>
                <w:sz w:val="16"/>
                <w:szCs w:val="16"/>
              </w:rPr>
            </w:pPr>
            <w:r>
              <w:rPr>
                <w:rFonts w:ascii="宋体"/>
                <w:spacing w:val="-4"/>
                <w:sz w:val="16"/>
              </w:rPr>
              <w:t>31,873</w:t>
            </w:r>
            <w:r>
              <w:rPr>
                <w:rFonts w:ascii="宋体"/>
                <w:sz w:val="16"/>
              </w:rPr>
            </w:r>
          </w:p>
        </w:tc>
      </w:tr>
      <w:tr>
        <w:trPr>
          <w:trHeight w:val="441" w:hRule="exact"/>
        </w:trPr>
        <w:tc>
          <w:tcPr>
            <w:tcW w:w="1720" w:type="dxa"/>
            <w:tcBorders>
              <w:top w:val="nil" w:sz="6" w:space="0" w:color="auto"/>
              <w:left w:val="nil" w:sz="6" w:space="0" w:color="auto"/>
              <w:bottom w:val="single" w:sz="4" w:space="0" w:color="000000"/>
              <w:right w:val="nil" w:sz="6" w:space="0" w:color="auto"/>
            </w:tcBorders>
          </w:tcPr>
          <w:p>
            <w:pPr/>
          </w:p>
        </w:tc>
        <w:tc>
          <w:tcPr>
            <w:tcW w:w="1871"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341" w:right="0"/>
              <w:jc w:val="left"/>
              <w:rPr>
                <w:rFonts w:ascii="宋体" w:hAnsi="宋体" w:cs="宋体" w:eastAsia="宋体" w:hint="default"/>
                <w:sz w:val="16"/>
                <w:szCs w:val="16"/>
              </w:rPr>
            </w:pPr>
            <w:r>
              <w:rPr>
                <w:rFonts w:ascii="宋体" w:hAnsi="宋体" w:cs="宋体" w:eastAsia="宋体" w:hint="default"/>
                <w:sz w:val="16"/>
                <w:szCs w:val="16"/>
              </w:rPr>
              <w:t>专业构成</w:t>
            </w:r>
          </w:p>
        </w:tc>
        <w:tc>
          <w:tcPr>
            <w:tcW w:w="1202" w:type="dxa"/>
            <w:tcBorders>
              <w:top w:val="nil" w:sz="6" w:space="0" w:color="auto"/>
              <w:left w:val="nil" w:sz="6" w:space="0" w:color="auto"/>
              <w:bottom w:val="single" w:sz="4" w:space="0" w:color="000000"/>
              <w:right w:val="nil" w:sz="6" w:space="0" w:color="auto"/>
            </w:tcBorders>
          </w:tcPr>
          <w:p>
            <w:pPr/>
          </w:p>
        </w:tc>
        <w:tc>
          <w:tcPr>
            <w:tcW w:w="1626" w:type="dxa"/>
            <w:tcBorders>
              <w:top w:val="nil" w:sz="6" w:space="0" w:color="auto"/>
              <w:left w:val="nil" w:sz="6" w:space="0" w:color="auto"/>
              <w:bottom w:val="single" w:sz="4" w:space="0" w:color="000000"/>
              <w:right w:val="nil" w:sz="6" w:space="0" w:color="auto"/>
            </w:tcBorders>
          </w:tcPr>
          <w:p>
            <w:pPr/>
          </w:p>
        </w:tc>
        <w:tc>
          <w:tcPr>
            <w:tcW w:w="1538" w:type="dxa"/>
            <w:tcBorders>
              <w:top w:val="nil" w:sz="6" w:space="0" w:color="auto"/>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08" w:right="0"/>
              <w:jc w:val="left"/>
              <w:rPr>
                <w:rFonts w:ascii="宋体" w:hAnsi="宋体" w:cs="宋体" w:eastAsia="宋体" w:hint="default"/>
                <w:sz w:val="16"/>
                <w:szCs w:val="16"/>
              </w:rPr>
            </w:pPr>
            <w:r>
              <w:rPr>
                <w:rFonts w:ascii="宋体" w:hAnsi="宋体" w:cs="宋体" w:eastAsia="宋体" w:hint="default"/>
                <w:sz w:val="16"/>
                <w:szCs w:val="16"/>
              </w:rPr>
              <w:t>教育程度</w:t>
            </w:r>
          </w:p>
        </w:tc>
        <w:tc>
          <w:tcPr>
            <w:tcW w:w="1346" w:type="dxa"/>
            <w:tcBorders>
              <w:top w:val="nil" w:sz="6" w:space="0" w:color="auto"/>
              <w:left w:val="nil" w:sz="6" w:space="0" w:color="auto"/>
              <w:bottom w:val="single" w:sz="4" w:space="0" w:color="000000"/>
              <w:right w:val="nil" w:sz="6" w:space="0" w:color="auto"/>
            </w:tcBorders>
          </w:tcPr>
          <w:p>
            <w:pPr/>
          </w:p>
        </w:tc>
      </w:tr>
      <w:tr>
        <w:trPr>
          <w:trHeight w:val="363" w:hRule="exact"/>
        </w:trPr>
        <w:tc>
          <w:tcPr>
            <w:tcW w:w="1720" w:type="dxa"/>
            <w:tcBorders>
              <w:top w:val="single" w:sz="4" w:space="0" w:color="000000"/>
              <w:left w:val="nil" w:sz="6" w:space="0" w:color="auto"/>
              <w:bottom w:val="single" w:sz="16" w:space="0" w:color="9C8758"/>
              <w:right w:val="nil" w:sz="6" w:space="0" w:color="auto"/>
            </w:tcBorders>
          </w:tcPr>
          <w:p>
            <w:pPr>
              <w:pStyle w:val="TableParagraph"/>
              <w:spacing w:line="240" w:lineRule="auto" w:before="18"/>
              <w:ind w:left="84" w:right="0"/>
              <w:jc w:val="left"/>
              <w:rPr>
                <w:rFonts w:ascii="宋体" w:hAnsi="宋体" w:cs="宋体" w:eastAsia="宋体" w:hint="default"/>
                <w:sz w:val="16"/>
                <w:szCs w:val="16"/>
              </w:rPr>
            </w:pPr>
            <w:r>
              <w:rPr>
                <w:rFonts w:ascii="宋体" w:hAnsi="宋体" w:cs="宋体" w:eastAsia="宋体" w:hint="default"/>
                <w:sz w:val="16"/>
                <w:szCs w:val="16"/>
              </w:rPr>
              <w:t>专业构成类别</w:t>
            </w:r>
          </w:p>
        </w:tc>
        <w:tc>
          <w:tcPr>
            <w:tcW w:w="1871" w:type="dxa"/>
            <w:tcBorders>
              <w:top w:val="single" w:sz="4" w:space="0" w:color="000000"/>
              <w:left w:val="nil" w:sz="6" w:space="0" w:color="auto"/>
              <w:bottom w:val="single" w:sz="16" w:space="0" w:color="9C8758"/>
              <w:right w:val="nil" w:sz="6" w:space="0" w:color="auto"/>
            </w:tcBorders>
          </w:tcPr>
          <w:p>
            <w:pPr/>
          </w:p>
        </w:tc>
        <w:tc>
          <w:tcPr>
            <w:tcW w:w="1202" w:type="dxa"/>
            <w:tcBorders>
              <w:top w:val="single" w:sz="4" w:space="0" w:color="000000"/>
              <w:left w:val="nil" w:sz="6" w:space="0" w:color="auto"/>
              <w:bottom w:val="single" w:sz="16" w:space="0" w:color="9C8758"/>
              <w:right w:val="nil" w:sz="6" w:space="0" w:color="auto"/>
            </w:tcBorders>
          </w:tcPr>
          <w:p>
            <w:pPr>
              <w:pStyle w:val="TableParagraph"/>
              <w:spacing w:line="240" w:lineRule="auto" w:before="18"/>
              <w:ind w:left="-15" w:right="254"/>
              <w:jc w:val="right"/>
              <w:rPr>
                <w:rFonts w:ascii="宋体" w:hAnsi="宋体" w:cs="宋体" w:eastAsia="宋体" w:hint="default"/>
                <w:sz w:val="16"/>
                <w:szCs w:val="16"/>
              </w:rPr>
            </w:pPr>
            <w:r>
              <w:rPr>
                <w:rFonts w:ascii="宋体" w:hAnsi="宋体" w:cs="宋体" w:eastAsia="宋体" w:hint="default"/>
                <w:sz w:val="16"/>
                <w:szCs w:val="16"/>
              </w:rPr>
              <w:t>专业构成人数</w:t>
            </w:r>
          </w:p>
        </w:tc>
        <w:tc>
          <w:tcPr>
            <w:tcW w:w="1626" w:type="dxa"/>
            <w:tcBorders>
              <w:top w:val="single" w:sz="4" w:space="0" w:color="000000"/>
              <w:left w:val="nil" w:sz="6" w:space="0" w:color="auto"/>
              <w:bottom w:val="single" w:sz="16" w:space="0" w:color="9C8758"/>
              <w:right w:val="nil" w:sz="6" w:space="0" w:color="auto"/>
            </w:tcBorders>
          </w:tcPr>
          <w:p>
            <w:pPr>
              <w:pStyle w:val="TableParagraph"/>
              <w:spacing w:line="240" w:lineRule="auto" w:before="18"/>
              <w:ind w:left="256" w:right="0"/>
              <w:jc w:val="left"/>
              <w:rPr>
                <w:rFonts w:ascii="宋体" w:hAnsi="宋体" w:cs="宋体" w:eastAsia="宋体" w:hint="default"/>
                <w:sz w:val="16"/>
                <w:szCs w:val="16"/>
              </w:rPr>
            </w:pPr>
            <w:r>
              <w:rPr>
                <w:rFonts w:ascii="宋体" w:hAnsi="宋体" w:cs="宋体" w:eastAsia="宋体" w:hint="default"/>
                <w:sz w:val="16"/>
                <w:szCs w:val="16"/>
              </w:rPr>
              <w:t>教育程度类别</w:t>
            </w:r>
          </w:p>
        </w:tc>
        <w:tc>
          <w:tcPr>
            <w:tcW w:w="1538" w:type="dxa"/>
            <w:tcBorders>
              <w:top w:val="single" w:sz="4" w:space="0" w:color="000000"/>
              <w:left w:val="nil" w:sz="6" w:space="0" w:color="auto"/>
              <w:bottom w:val="single" w:sz="16" w:space="0" w:color="9C8758"/>
              <w:right w:val="nil" w:sz="6" w:space="0" w:color="auto"/>
            </w:tcBorders>
          </w:tcPr>
          <w:p>
            <w:pPr/>
          </w:p>
        </w:tc>
        <w:tc>
          <w:tcPr>
            <w:tcW w:w="1346" w:type="dxa"/>
            <w:tcBorders>
              <w:top w:val="single" w:sz="4" w:space="0" w:color="000000"/>
              <w:left w:val="nil" w:sz="6" w:space="0" w:color="auto"/>
              <w:bottom w:val="single" w:sz="16" w:space="0" w:color="9C8758"/>
              <w:right w:val="nil" w:sz="6" w:space="0" w:color="auto"/>
            </w:tcBorders>
          </w:tcPr>
          <w:p>
            <w:pPr>
              <w:pStyle w:val="TableParagraph"/>
              <w:spacing w:line="240" w:lineRule="auto" w:before="18"/>
              <w:ind w:right="54"/>
              <w:jc w:val="right"/>
              <w:rPr>
                <w:rFonts w:ascii="宋体" w:hAnsi="宋体" w:cs="宋体" w:eastAsia="宋体" w:hint="default"/>
                <w:sz w:val="16"/>
                <w:szCs w:val="16"/>
              </w:rPr>
            </w:pPr>
            <w:r>
              <w:rPr>
                <w:rFonts w:ascii="宋体" w:hAnsi="宋体" w:cs="宋体" w:eastAsia="宋体" w:hint="default"/>
                <w:sz w:val="16"/>
                <w:szCs w:val="16"/>
              </w:rPr>
              <w:t>数量（人）</w:t>
            </w:r>
          </w:p>
        </w:tc>
      </w:tr>
      <w:tr>
        <w:trPr>
          <w:trHeight w:val="402" w:hRule="exact"/>
        </w:trPr>
        <w:tc>
          <w:tcPr>
            <w:tcW w:w="1720" w:type="dxa"/>
            <w:tcBorders>
              <w:top w:val="single" w:sz="16" w:space="0" w:color="9C8758"/>
              <w:left w:val="nil" w:sz="6" w:space="0" w:color="auto"/>
              <w:bottom w:val="nil" w:sz="6" w:space="0" w:color="auto"/>
              <w:right w:val="nil" w:sz="6" w:space="0" w:color="auto"/>
            </w:tcBorders>
          </w:tcPr>
          <w:p>
            <w:pPr>
              <w:pStyle w:val="TableParagraph"/>
              <w:spacing w:line="240" w:lineRule="auto" w:before="84"/>
              <w:ind w:left="85" w:right="0"/>
              <w:jc w:val="left"/>
              <w:rPr>
                <w:rFonts w:ascii="宋体" w:hAnsi="宋体" w:cs="宋体" w:eastAsia="宋体" w:hint="default"/>
                <w:sz w:val="16"/>
                <w:szCs w:val="16"/>
              </w:rPr>
            </w:pPr>
            <w:r>
              <w:rPr>
                <w:rFonts w:ascii="宋体" w:hAnsi="宋体" w:cs="宋体" w:eastAsia="宋体" w:hint="default"/>
                <w:w w:val="95"/>
                <w:sz w:val="16"/>
                <w:szCs w:val="16"/>
              </w:rPr>
              <w:t>1.</w:t>
            </w:r>
            <w:r>
              <w:rPr>
                <w:rFonts w:ascii="宋体" w:hAnsi="宋体" w:cs="宋体" w:eastAsia="宋体" w:hint="default"/>
                <w:spacing w:val="1"/>
                <w:w w:val="95"/>
                <w:sz w:val="16"/>
                <w:szCs w:val="16"/>
              </w:rPr>
              <w:t> </w:t>
            </w:r>
            <w:r>
              <w:rPr>
                <w:rFonts w:ascii="宋体" w:hAnsi="宋体" w:cs="宋体" w:eastAsia="宋体" w:hint="default"/>
                <w:w w:val="95"/>
                <w:sz w:val="16"/>
                <w:szCs w:val="16"/>
              </w:rPr>
              <w:t>市场序列类岗位</w:t>
            </w:r>
          </w:p>
        </w:tc>
        <w:tc>
          <w:tcPr>
            <w:tcW w:w="1871" w:type="dxa"/>
            <w:tcBorders>
              <w:top w:val="single" w:sz="16" w:space="0" w:color="9C8758"/>
              <w:left w:val="nil" w:sz="6" w:space="0" w:color="auto"/>
              <w:bottom w:val="nil" w:sz="6" w:space="0" w:color="auto"/>
              <w:right w:val="nil" w:sz="6" w:space="0" w:color="auto"/>
            </w:tcBorders>
          </w:tcPr>
          <w:p>
            <w:pPr/>
          </w:p>
        </w:tc>
        <w:tc>
          <w:tcPr>
            <w:tcW w:w="1202" w:type="dxa"/>
            <w:tcBorders>
              <w:top w:val="single" w:sz="16" w:space="0" w:color="9C8758"/>
              <w:left w:val="nil" w:sz="6" w:space="0" w:color="auto"/>
              <w:bottom w:val="nil" w:sz="6" w:space="0" w:color="auto"/>
              <w:right w:val="nil" w:sz="6" w:space="0" w:color="auto"/>
            </w:tcBorders>
          </w:tcPr>
          <w:p>
            <w:pPr>
              <w:pStyle w:val="TableParagraph"/>
              <w:spacing w:line="240" w:lineRule="auto" w:before="84"/>
              <w:ind w:right="254"/>
              <w:jc w:val="right"/>
              <w:rPr>
                <w:rFonts w:ascii="宋体" w:hAnsi="宋体" w:cs="宋体" w:eastAsia="宋体" w:hint="default"/>
                <w:sz w:val="16"/>
                <w:szCs w:val="16"/>
              </w:rPr>
            </w:pPr>
            <w:r>
              <w:rPr>
                <w:rFonts w:ascii="宋体"/>
                <w:sz w:val="16"/>
              </w:rPr>
              <w:t>112,795</w:t>
            </w:r>
          </w:p>
        </w:tc>
        <w:tc>
          <w:tcPr>
            <w:tcW w:w="1626" w:type="dxa"/>
            <w:tcBorders>
              <w:top w:val="single" w:sz="16" w:space="0" w:color="9C8758"/>
              <w:left w:val="nil" w:sz="6" w:space="0" w:color="auto"/>
              <w:bottom w:val="nil" w:sz="6" w:space="0" w:color="auto"/>
              <w:right w:val="nil" w:sz="6" w:space="0" w:color="auto"/>
            </w:tcBorders>
          </w:tcPr>
          <w:p>
            <w:pPr>
              <w:pStyle w:val="TableParagraph"/>
              <w:spacing w:line="240" w:lineRule="auto" w:before="84"/>
              <w:ind w:left="256" w:right="0"/>
              <w:jc w:val="left"/>
              <w:rPr>
                <w:rFonts w:ascii="宋体" w:hAnsi="宋体" w:cs="宋体" w:eastAsia="宋体" w:hint="default"/>
                <w:sz w:val="16"/>
                <w:szCs w:val="16"/>
              </w:rPr>
            </w:pPr>
            <w:r>
              <w:rPr>
                <w:rFonts w:ascii="宋体" w:hAnsi="宋体" w:cs="宋体" w:eastAsia="宋体" w:hint="default"/>
                <w:sz w:val="16"/>
                <w:szCs w:val="16"/>
              </w:rPr>
              <w:t>硕士及以上</w:t>
            </w:r>
          </w:p>
        </w:tc>
        <w:tc>
          <w:tcPr>
            <w:tcW w:w="1538" w:type="dxa"/>
            <w:tcBorders>
              <w:top w:val="single" w:sz="16" w:space="0" w:color="9C8758"/>
              <w:left w:val="nil" w:sz="6" w:space="0" w:color="auto"/>
              <w:bottom w:val="nil" w:sz="6" w:space="0" w:color="auto"/>
              <w:right w:val="nil" w:sz="6" w:space="0" w:color="auto"/>
            </w:tcBorders>
          </w:tcPr>
          <w:p>
            <w:pPr/>
          </w:p>
        </w:tc>
        <w:tc>
          <w:tcPr>
            <w:tcW w:w="1346" w:type="dxa"/>
            <w:tcBorders>
              <w:top w:val="single" w:sz="16" w:space="0" w:color="9C8758"/>
              <w:left w:val="nil" w:sz="6" w:space="0" w:color="auto"/>
              <w:bottom w:val="nil" w:sz="6" w:space="0" w:color="auto"/>
              <w:right w:val="nil" w:sz="6" w:space="0" w:color="auto"/>
            </w:tcBorders>
          </w:tcPr>
          <w:p>
            <w:pPr>
              <w:pStyle w:val="TableParagraph"/>
              <w:spacing w:line="240" w:lineRule="auto" w:before="84"/>
              <w:ind w:right="54"/>
              <w:jc w:val="right"/>
              <w:rPr>
                <w:rFonts w:ascii="宋体" w:hAnsi="宋体" w:cs="宋体" w:eastAsia="宋体" w:hint="default"/>
                <w:sz w:val="16"/>
                <w:szCs w:val="16"/>
              </w:rPr>
            </w:pPr>
            <w:r>
              <w:rPr>
                <w:rFonts w:ascii="宋体"/>
                <w:sz w:val="16"/>
              </w:rPr>
              <w:t>16,923</w:t>
            </w:r>
          </w:p>
        </w:tc>
      </w:tr>
      <w:tr>
        <w:trPr>
          <w:trHeight w:val="312"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5" w:right="0"/>
              <w:jc w:val="left"/>
              <w:rPr>
                <w:rFonts w:ascii="宋体" w:hAnsi="宋体" w:cs="宋体" w:eastAsia="宋体" w:hint="default"/>
                <w:sz w:val="16"/>
                <w:szCs w:val="16"/>
              </w:rPr>
            </w:pPr>
            <w:r>
              <w:rPr>
                <w:rFonts w:ascii="宋体" w:hAnsi="宋体" w:cs="宋体" w:eastAsia="宋体" w:hint="default"/>
                <w:w w:val="95"/>
                <w:sz w:val="16"/>
                <w:szCs w:val="16"/>
              </w:rPr>
              <w:t>2.</w:t>
            </w:r>
            <w:r>
              <w:rPr>
                <w:rFonts w:ascii="宋体" w:hAnsi="宋体" w:cs="宋体" w:eastAsia="宋体" w:hint="default"/>
                <w:spacing w:val="1"/>
                <w:w w:val="95"/>
                <w:sz w:val="16"/>
                <w:szCs w:val="16"/>
              </w:rPr>
              <w:t> </w:t>
            </w:r>
            <w:r>
              <w:rPr>
                <w:rFonts w:ascii="宋体" w:hAnsi="宋体" w:cs="宋体" w:eastAsia="宋体" w:hint="default"/>
                <w:w w:val="95"/>
                <w:sz w:val="16"/>
                <w:szCs w:val="16"/>
              </w:rPr>
              <w:t>技术序列类岗位</w:t>
            </w:r>
          </w:p>
        </w:tc>
        <w:tc>
          <w:tcPr>
            <w:tcW w:w="1871"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4"/>
              <w:jc w:val="right"/>
              <w:rPr>
                <w:rFonts w:ascii="宋体" w:hAnsi="宋体" w:cs="宋体" w:eastAsia="宋体" w:hint="default"/>
                <w:sz w:val="16"/>
                <w:szCs w:val="16"/>
              </w:rPr>
            </w:pPr>
            <w:r>
              <w:rPr>
                <w:rFonts w:ascii="宋体"/>
                <w:sz w:val="16"/>
              </w:rPr>
              <w:t>80,661</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56" w:right="0"/>
              <w:jc w:val="left"/>
              <w:rPr>
                <w:rFonts w:ascii="宋体" w:hAnsi="宋体" w:cs="宋体" w:eastAsia="宋体" w:hint="default"/>
                <w:sz w:val="16"/>
                <w:szCs w:val="16"/>
              </w:rPr>
            </w:pPr>
            <w:r>
              <w:rPr>
                <w:rFonts w:ascii="宋体" w:hAnsi="宋体" w:cs="宋体" w:eastAsia="宋体" w:hint="default"/>
                <w:sz w:val="16"/>
                <w:szCs w:val="16"/>
              </w:rPr>
              <w:t>大学本科</w:t>
            </w:r>
          </w:p>
        </w:tc>
        <w:tc>
          <w:tcPr>
            <w:tcW w:w="1538"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宋体" w:hAnsi="宋体" w:cs="宋体" w:eastAsia="宋体" w:hint="default"/>
                <w:sz w:val="16"/>
                <w:szCs w:val="16"/>
              </w:rPr>
            </w:pPr>
            <w:r>
              <w:rPr>
                <w:rFonts w:ascii="宋体"/>
                <w:sz w:val="16"/>
              </w:rPr>
              <w:t>138,916</w:t>
            </w:r>
          </w:p>
        </w:tc>
      </w:tr>
      <w:tr>
        <w:trPr>
          <w:trHeight w:val="312"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4" w:right="0"/>
              <w:jc w:val="left"/>
              <w:rPr>
                <w:rFonts w:ascii="宋体" w:hAnsi="宋体" w:cs="宋体" w:eastAsia="宋体" w:hint="default"/>
                <w:sz w:val="16"/>
                <w:szCs w:val="16"/>
              </w:rPr>
            </w:pPr>
            <w:r>
              <w:rPr>
                <w:rFonts w:ascii="宋体" w:hAnsi="宋体" w:cs="宋体" w:eastAsia="宋体" w:hint="default"/>
                <w:w w:val="95"/>
                <w:sz w:val="16"/>
                <w:szCs w:val="16"/>
              </w:rPr>
              <w:t>3.</w:t>
            </w:r>
            <w:r>
              <w:rPr>
                <w:rFonts w:ascii="宋体" w:hAnsi="宋体" w:cs="宋体" w:eastAsia="宋体" w:hint="default"/>
                <w:spacing w:val="1"/>
                <w:w w:val="95"/>
                <w:sz w:val="16"/>
                <w:szCs w:val="16"/>
              </w:rPr>
              <w:t> </w:t>
            </w:r>
            <w:r>
              <w:rPr>
                <w:rFonts w:ascii="宋体" w:hAnsi="宋体" w:cs="宋体" w:eastAsia="宋体" w:hint="default"/>
                <w:w w:val="95"/>
                <w:sz w:val="16"/>
                <w:szCs w:val="16"/>
              </w:rPr>
              <w:t>支撑序列类岗位</w:t>
            </w:r>
          </w:p>
        </w:tc>
        <w:tc>
          <w:tcPr>
            <w:tcW w:w="1871"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4"/>
              <w:jc w:val="right"/>
              <w:rPr>
                <w:rFonts w:ascii="宋体" w:hAnsi="宋体" w:cs="宋体" w:eastAsia="宋体" w:hint="default"/>
                <w:sz w:val="16"/>
                <w:szCs w:val="16"/>
              </w:rPr>
            </w:pPr>
            <w:r>
              <w:rPr>
                <w:rFonts w:ascii="宋体"/>
                <w:sz w:val="16"/>
              </w:rPr>
              <w:t>32,736</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56" w:right="0"/>
              <w:jc w:val="left"/>
              <w:rPr>
                <w:rFonts w:ascii="宋体" w:hAnsi="宋体" w:cs="宋体" w:eastAsia="宋体" w:hint="default"/>
                <w:sz w:val="16"/>
                <w:szCs w:val="16"/>
              </w:rPr>
            </w:pPr>
            <w:r>
              <w:rPr>
                <w:rFonts w:ascii="宋体" w:hAnsi="宋体" w:cs="宋体" w:eastAsia="宋体" w:hint="default"/>
                <w:sz w:val="16"/>
                <w:szCs w:val="16"/>
              </w:rPr>
              <w:t>大学专科</w:t>
            </w:r>
          </w:p>
        </w:tc>
        <w:tc>
          <w:tcPr>
            <w:tcW w:w="1538"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宋体" w:hAnsi="宋体" w:cs="宋体" w:eastAsia="宋体" w:hint="default"/>
                <w:sz w:val="16"/>
                <w:szCs w:val="16"/>
              </w:rPr>
            </w:pPr>
            <w:r>
              <w:rPr>
                <w:rFonts w:ascii="宋体"/>
                <w:sz w:val="16"/>
              </w:rPr>
              <w:t>53,048</w:t>
            </w:r>
          </w:p>
        </w:tc>
      </w:tr>
      <w:tr>
        <w:trPr>
          <w:trHeight w:val="312"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4" w:right="0"/>
              <w:jc w:val="left"/>
              <w:rPr>
                <w:rFonts w:ascii="宋体" w:hAnsi="宋体" w:cs="宋体" w:eastAsia="宋体" w:hint="default"/>
                <w:sz w:val="16"/>
                <w:szCs w:val="16"/>
              </w:rPr>
            </w:pPr>
            <w:r>
              <w:rPr>
                <w:rFonts w:ascii="宋体" w:hAnsi="宋体" w:cs="宋体" w:eastAsia="宋体" w:hint="default"/>
                <w:w w:val="95"/>
                <w:sz w:val="16"/>
                <w:szCs w:val="16"/>
              </w:rPr>
              <w:t>4.</w:t>
            </w:r>
            <w:r>
              <w:rPr>
                <w:rFonts w:ascii="宋体" w:hAnsi="宋体" w:cs="宋体" w:eastAsia="宋体" w:hint="default"/>
                <w:spacing w:val="1"/>
                <w:w w:val="95"/>
                <w:sz w:val="16"/>
                <w:szCs w:val="16"/>
              </w:rPr>
              <w:t> </w:t>
            </w:r>
            <w:r>
              <w:rPr>
                <w:rFonts w:ascii="宋体" w:hAnsi="宋体" w:cs="宋体" w:eastAsia="宋体" w:hint="default"/>
                <w:w w:val="95"/>
                <w:sz w:val="16"/>
                <w:szCs w:val="16"/>
              </w:rPr>
              <w:t>管理序列类岗位</w:t>
            </w:r>
          </w:p>
        </w:tc>
        <w:tc>
          <w:tcPr>
            <w:tcW w:w="1871"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4"/>
              <w:jc w:val="right"/>
              <w:rPr>
                <w:rFonts w:ascii="宋体" w:hAnsi="宋体" w:cs="宋体" w:eastAsia="宋体" w:hint="default"/>
                <w:sz w:val="16"/>
                <w:szCs w:val="16"/>
              </w:rPr>
            </w:pPr>
            <w:r>
              <w:rPr>
                <w:rFonts w:ascii="宋体"/>
                <w:sz w:val="16"/>
              </w:rPr>
              <w:t>20,107</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56" w:right="0"/>
              <w:jc w:val="left"/>
              <w:rPr>
                <w:rFonts w:ascii="宋体" w:hAnsi="宋体" w:cs="宋体" w:eastAsia="宋体" w:hint="default"/>
                <w:sz w:val="16"/>
                <w:szCs w:val="16"/>
              </w:rPr>
            </w:pPr>
            <w:r>
              <w:rPr>
                <w:rFonts w:ascii="宋体" w:hAnsi="宋体" w:cs="宋体" w:eastAsia="宋体" w:hint="default"/>
                <w:sz w:val="16"/>
                <w:szCs w:val="16"/>
              </w:rPr>
              <w:t>中专及以下</w:t>
            </w:r>
          </w:p>
        </w:tc>
        <w:tc>
          <w:tcPr>
            <w:tcW w:w="1538"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宋体" w:hAnsi="宋体" w:cs="宋体" w:eastAsia="宋体" w:hint="default"/>
                <w:sz w:val="16"/>
                <w:szCs w:val="16"/>
              </w:rPr>
            </w:pPr>
            <w:r>
              <w:rPr>
                <w:rFonts w:ascii="宋体"/>
                <w:sz w:val="16"/>
              </w:rPr>
              <w:t>37,412</w:t>
            </w:r>
          </w:p>
        </w:tc>
      </w:tr>
      <w:tr>
        <w:trPr>
          <w:trHeight w:val="336" w:hRule="exact"/>
        </w:trPr>
        <w:tc>
          <w:tcPr>
            <w:tcW w:w="1720" w:type="dxa"/>
            <w:tcBorders>
              <w:top w:val="nil" w:sz="6" w:space="0" w:color="auto"/>
              <w:left w:val="nil" w:sz="6" w:space="0" w:color="auto"/>
              <w:bottom w:val="nil" w:sz="6" w:space="0" w:color="auto"/>
              <w:right w:val="nil" w:sz="6" w:space="0" w:color="auto"/>
            </w:tcBorders>
          </w:tcPr>
          <w:p>
            <w:pPr>
              <w:pStyle w:val="TableParagraph"/>
              <w:spacing w:line="240" w:lineRule="auto" w:before="14"/>
              <w:ind w:left="84"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871" w:type="dxa"/>
            <w:tcBorders>
              <w:top w:val="nil" w:sz="6" w:space="0" w:color="auto"/>
              <w:left w:val="nil" w:sz="6" w:space="0" w:color="auto"/>
              <w:bottom w:val="nil" w:sz="6" w:space="0" w:color="auto"/>
              <w:right w:val="nil" w:sz="6" w:space="0" w:color="auto"/>
            </w:tcBorders>
          </w:tcPr>
          <w:p>
            <w:pPr/>
          </w:p>
        </w:tc>
        <w:tc>
          <w:tcPr>
            <w:tcW w:w="1202"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254"/>
              <w:jc w:val="right"/>
              <w:rPr>
                <w:rFonts w:ascii="宋体" w:hAnsi="宋体" w:cs="宋体" w:eastAsia="宋体" w:hint="default"/>
                <w:sz w:val="16"/>
                <w:szCs w:val="16"/>
              </w:rPr>
            </w:pPr>
            <w:r>
              <w:rPr>
                <w:rFonts w:ascii="宋体"/>
                <w:sz w:val="16"/>
              </w:rPr>
              <w:t>246,299</w:t>
            </w:r>
          </w:p>
        </w:tc>
        <w:tc>
          <w:tcPr>
            <w:tcW w:w="1626" w:type="dxa"/>
            <w:tcBorders>
              <w:top w:val="nil" w:sz="6" w:space="0" w:color="auto"/>
              <w:left w:val="nil" w:sz="6" w:space="0" w:color="auto"/>
              <w:bottom w:val="nil" w:sz="6" w:space="0" w:color="auto"/>
              <w:right w:val="nil" w:sz="6" w:space="0" w:color="auto"/>
            </w:tcBorders>
          </w:tcPr>
          <w:p>
            <w:pPr>
              <w:pStyle w:val="TableParagraph"/>
              <w:spacing w:line="240" w:lineRule="auto" w:before="14"/>
              <w:ind w:left="256"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538"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54"/>
              <w:jc w:val="right"/>
              <w:rPr>
                <w:rFonts w:ascii="宋体" w:hAnsi="宋体" w:cs="宋体" w:eastAsia="宋体" w:hint="default"/>
                <w:sz w:val="16"/>
                <w:szCs w:val="16"/>
              </w:rPr>
            </w:pPr>
            <w:r>
              <w:rPr>
                <w:rFonts w:ascii="宋体"/>
                <w:sz w:val="16"/>
              </w:rPr>
              <w:t>246,299</w:t>
            </w:r>
          </w:p>
        </w:tc>
      </w:tr>
    </w:tbl>
    <w:p>
      <w:pPr>
        <w:spacing w:line="240" w:lineRule="auto" w:before="4"/>
        <w:rPr>
          <w:rFonts w:ascii="宋体" w:hAnsi="宋体" w:cs="宋体" w:eastAsia="宋体" w:hint="default"/>
          <w:sz w:val="2"/>
          <w:szCs w:val="2"/>
        </w:rPr>
      </w:pPr>
    </w:p>
    <w:p>
      <w:pPr>
        <w:spacing w:line="20" w:lineRule="exact"/>
        <w:ind w:left="1185" w:right="0" w:firstLine="0"/>
        <w:rPr>
          <w:rFonts w:ascii="宋体" w:hAnsi="宋体" w:cs="宋体" w:eastAsia="宋体" w:hint="default"/>
          <w:sz w:val="2"/>
          <w:szCs w:val="2"/>
        </w:rPr>
      </w:pPr>
      <w:r>
        <w:rPr>
          <w:rFonts w:ascii="宋体" w:hAnsi="宋体" w:cs="宋体" w:eastAsia="宋体" w:hint="default"/>
          <w:sz w:val="2"/>
          <w:szCs w:val="2"/>
        </w:rPr>
        <w:pict>
          <v:group style="width:465.55pt;height:.5pt;mso-position-horizontal-relative:char;mso-position-vertical-relative:line" coordorigin="0,0" coordsize="9311,10">
            <v:group style="position:absolute;left:5;top:5;width:2410;height:2" coordorigin="5,5" coordsize="2410,2">
              <v:shape style="position:absolute;left:5;top:5;width:2410;height:2" coordorigin="5,5" coordsize="2410,0" path="m5,5l2414,5e" filled="false" stroked="true" strokeweight=".5pt" strokecolor="#000000">
                <v:path arrowok="t"/>
              </v:shape>
            </v:group>
            <v:group style="position:absolute;left:2414;top:5;width:2353;height:2" coordorigin="2414,5" coordsize="2353,2">
              <v:shape style="position:absolute;left:2414;top:5;width:2353;height:2" coordorigin="2414,5" coordsize="2353,0" path="m2414,5l4767,5e" filled="false" stroked="true" strokeweight=".5pt" strokecolor="#000000">
                <v:path arrowok="t"/>
              </v:shape>
            </v:group>
            <v:group style="position:absolute;left:4827;top:5;width:2240;height:2" coordorigin="4827,5" coordsize="2240,2">
              <v:shape style="position:absolute;left:4827;top:5;width:2240;height:2" coordorigin="4827,5" coordsize="2240,0" path="m4827,5l7067,5e" filled="false" stroked="true" strokeweight=".5pt" strokecolor="#000000">
                <v:path arrowok="t"/>
              </v:shape>
            </v:group>
            <v:group style="position:absolute;left:7067;top:5;width:2240;height:2" coordorigin="7067,5" coordsize="2240,2">
              <v:shape style="position:absolute;left:7067;top:5;width:2240;height:2" coordorigin="7067,5" coordsize="2240,0" path="m7067,5l9306,5e" filled="false" stroked="true" strokeweight=".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headerReference w:type="even" r:id="rId210"/>
          <w:headerReference w:type="default" r:id="rId211"/>
          <w:footerReference w:type="even" r:id="rId212"/>
          <w:footerReference w:type="default" r:id="rId213"/>
          <w:pgSz w:w="11910" w:h="16160"/>
          <w:pgMar w:header="0" w:footer="3409" w:top="2220" w:bottom="360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0"/>
          <w:szCs w:val="20"/>
        </w:rPr>
      </w:pPr>
    </w:p>
    <w:p>
      <w:pPr>
        <w:spacing w:before="30"/>
        <w:ind w:left="1417"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二</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薪酬政策</w:t>
      </w:r>
    </w:p>
    <w:p>
      <w:pPr>
        <w:spacing w:line="240" w:lineRule="auto" w:before="2"/>
        <w:rPr>
          <w:rFonts w:ascii="宋体" w:hAnsi="宋体" w:cs="宋体" w:eastAsia="宋体" w:hint="default"/>
          <w:sz w:val="17"/>
          <w:szCs w:val="17"/>
        </w:rPr>
      </w:pPr>
    </w:p>
    <w:p>
      <w:pPr>
        <w:pStyle w:val="BodyText"/>
        <w:spacing w:line="285" w:lineRule="auto"/>
        <w:ind w:left="1757" w:right="845"/>
        <w:jc w:val="both"/>
        <w:rPr>
          <w:rFonts w:ascii="宋体" w:hAnsi="宋体" w:cs="宋体" w:eastAsia="宋体" w:hint="default"/>
        </w:rPr>
      </w:pPr>
      <w:r>
        <w:rPr>
          <w:rFonts w:ascii="宋体" w:hAnsi="宋体" w:cs="宋体" w:eastAsia="宋体" w:hint="default"/>
        </w:rPr>
        <w:t>公司致力于优化人工成本配置规则，人工成本增长与公司经营业绩紧密挂钩；积极探索差异化薪酬激励模式，实施公</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允透明的薪酬分配机制，强化不同群体间薪酬分配管控，健全福利体系，构建公平和谐分配关系。</w:t>
      </w:r>
    </w:p>
    <w:p>
      <w:pPr>
        <w:spacing w:before="126"/>
        <w:ind w:left="1417"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三</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培训计划</w:t>
      </w:r>
    </w:p>
    <w:p>
      <w:pPr>
        <w:spacing w:line="240" w:lineRule="auto" w:before="2"/>
        <w:rPr>
          <w:rFonts w:ascii="宋体" w:hAnsi="宋体" w:cs="宋体" w:eastAsia="宋体" w:hint="default"/>
          <w:sz w:val="17"/>
          <w:szCs w:val="17"/>
        </w:rPr>
      </w:pPr>
    </w:p>
    <w:p>
      <w:pPr>
        <w:pStyle w:val="BodyText"/>
        <w:spacing w:line="285" w:lineRule="auto"/>
        <w:ind w:left="1757" w:right="843"/>
        <w:jc w:val="both"/>
        <w:rPr>
          <w:rFonts w:ascii="宋体" w:hAnsi="宋体" w:cs="宋体" w:eastAsia="宋体" w:hint="default"/>
        </w:rPr>
      </w:pPr>
      <w:r>
        <w:rPr>
          <w:rFonts w:ascii="宋体" w:hAnsi="宋体" w:cs="宋体" w:eastAsia="宋体" w:hint="default"/>
        </w:rPr>
        <w:t>公司高度重视人才培养工作，围绕建设“五新”联通工作新要求，不断加强制度化、体系化、规范化的中国联通教育 培训体系建设，突出教育培训实践实效作用，促进各级各类管理人员和专业人才专业能力提升和转型。围绕公司转型</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发展目标，配合治理结构转型，精准开展重点群体专业化能力培训。</w:t>
      </w:r>
    </w:p>
    <w:p>
      <w:pPr>
        <w:pStyle w:val="BodyText"/>
        <w:spacing w:line="240" w:lineRule="auto" w:before="123"/>
        <w:ind w:left="1757" w:right="0"/>
        <w:jc w:val="both"/>
        <w:rPr>
          <w:rFonts w:ascii="宋体" w:hAnsi="宋体" w:cs="宋体" w:eastAsia="宋体" w:hint="default"/>
        </w:rPr>
      </w:pPr>
      <w:r>
        <w:rPr>
          <w:rFonts w:ascii="宋体" w:hAnsi="宋体" w:cs="宋体" w:eastAsia="宋体" w:hint="default"/>
        </w:rPr>
        <w:t>组织实施</w:t>
      </w:r>
      <w:r>
        <w:rPr>
          <w:rFonts w:ascii="宋体" w:hAnsi="宋体" w:cs="宋体" w:eastAsia="宋体" w:hint="default"/>
          <w:spacing w:val="-45"/>
        </w:rPr>
        <w:t> </w:t>
      </w:r>
      <w:r>
        <w:rPr>
          <w:rFonts w:ascii="宋体" w:hAnsi="宋体" w:cs="宋体" w:eastAsia="宋体" w:hint="default"/>
          <w:spacing w:val="-1"/>
          <w:w w:val="111"/>
        </w:rPr>
        <w:t>1</w:t>
      </w:r>
      <w:r>
        <w:rPr>
          <w:rFonts w:ascii="宋体" w:hAnsi="宋体" w:cs="宋体" w:eastAsia="宋体" w:hint="default"/>
          <w:w w:val="111"/>
        </w:rPr>
        <w:t>7</w:t>
      </w:r>
      <w:r>
        <w:rPr>
          <w:rFonts w:ascii="宋体" w:hAnsi="宋体" w:cs="宋体" w:eastAsia="宋体" w:hint="default"/>
          <w:spacing w:val="-45"/>
        </w:rPr>
        <w:t> </w:t>
      </w:r>
      <w:r>
        <w:rPr>
          <w:rFonts w:ascii="宋体" w:hAnsi="宋体" w:cs="宋体" w:eastAsia="宋体" w:hint="default"/>
        </w:rPr>
        <w:t>期面向核心管理人员和专业线负责人等的领导力研修班，累计参训人员</w:t>
      </w:r>
      <w:r>
        <w:rPr>
          <w:rFonts w:ascii="宋体" w:hAnsi="宋体" w:cs="宋体" w:eastAsia="宋体" w:hint="default"/>
          <w:spacing w:val="-45"/>
        </w:rPr>
        <w:t> </w:t>
      </w:r>
      <w:r>
        <w:rPr>
          <w:rFonts w:ascii="宋体" w:hAnsi="宋体" w:cs="宋体" w:eastAsia="宋体" w:hint="default"/>
          <w:spacing w:val="-1"/>
          <w:w w:val="111"/>
        </w:rPr>
        <w:t>1</w:t>
      </w:r>
      <w:r>
        <w:rPr>
          <w:rFonts w:ascii="宋体" w:hAnsi="宋体" w:cs="宋体" w:eastAsia="宋体" w:hint="default"/>
          <w:w w:val="55"/>
        </w:rPr>
        <w:t>,</w:t>
      </w:r>
      <w:r>
        <w:rPr>
          <w:rFonts w:ascii="宋体" w:hAnsi="宋体" w:cs="宋体" w:eastAsia="宋体" w:hint="default"/>
          <w:spacing w:val="-1"/>
          <w:w w:val="111"/>
        </w:rPr>
        <w:t>50</w:t>
      </w:r>
      <w:r>
        <w:rPr>
          <w:rFonts w:ascii="宋体" w:hAnsi="宋体" w:cs="宋体" w:eastAsia="宋体" w:hint="default"/>
          <w:w w:val="111"/>
        </w:rPr>
        <w:t>0</w:t>
      </w:r>
      <w:r>
        <w:rPr>
          <w:rFonts w:ascii="宋体" w:hAnsi="宋体" w:cs="宋体" w:eastAsia="宋体" w:hint="default"/>
          <w:spacing w:val="-45"/>
        </w:rPr>
        <w:t> </w:t>
      </w:r>
      <w:r>
        <w:rPr>
          <w:rFonts w:ascii="宋体" w:hAnsi="宋体" w:cs="宋体" w:eastAsia="宋体" w:hint="default"/>
        </w:rPr>
        <w:t>余人次；运用“一校五院”</w:t>
      </w:r>
    </w:p>
    <w:p>
      <w:pPr>
        <w:pStyle w:val="BodyText"/>
        <w:spacing w:line="240" w:lineRule="auto" w:before="44"/>
        <w:ind w:left="1757" w:right="0"/>
        <w:jc w:val="both"/>
        <w:rPr>
          <w:rFonts w:ascii="宋体" w:hAnsi="宋体" w:cs="宋体" w:eastAsia="宋体" w:hint="default"/>
        </w:rPr>
      </w:pPr>
      <w:r>
        <w:rPr/>
        <w:pict>
          <v:group style="position:absolute;margin-left:86.874001pt;margin-top:6.777695pt;width:508.9pt;height:464.5pt;mso-position-horizontal-relative:page;mso-position-vertical-relative:paragraph;z-index:-962728" coordorigin="1737,136" coordsize="10178,9290">
            <v:group style="position:absolute;left:10718;top:136;width:1188;height:2980" coordorigin="10718,136" coordsize="1188,2980">
              <v:shape style="position:absolute;left:10718;top:136;width:1188;height:2980" coordorigin="10718,136" coordsize="1188,2980" path="m11906,3115l10718,3115,11906,136,11906,3115xe" filled="true" fillcolor="#d7000f" stroked="false">
                <v:path arrowok="t"/>
                <v:fill type="solid"/>
              </v:shape>
            </v:group>
            <v:group style="position:absolute;left:9173;top:2572;width:2733;height:6853" coordorigin="9173,2572" coordsize="2733,6853">
              <v:shape style="position:absolute;left:9173;top:2572;width:2733;height:6853" coordorigin="9173,2572" coordsize="2733,6853" path="m11906,9425l9173,9425,11906,2572,11906,9425xe" filled="true" fillcolor="#8e9090" stroked="false">
                <v:path arrowok="t"/>
                <v:fill type="solid"/>
              </v:shape>
              <v:shape style="position:absolute;left:7550;top:8489;width:188;height:188" type="#_x0000_t75" stroked="false">
                <v:imagedata r:id="rId76" o:title=""/>
              </v:shape>
            </v:group>
            <v:group style="position:absolute;left:7668;top:8583;width:4238;height:2" coordorigin="7668,8583" coordsize="4238,2">
              <v:shape style="position:absolute;left:7668;top:8583;width:4238;height:2" coordorigin="7668,8583" coordsize="4238,0" path="m7668,8583l11906,8583e" filled="false" stroked="true" strokeweight=".956pt" strokecolor="#8e9090">
                <v:path arrowok="t"/>
              </v:shape>
            </v:group>
            <v:group style="position:absolute;left:1757;top:5814;width:4252;height:2" coordorigin="1757,5814" coordsize="4252,2">
              <v:shape style="position:absolute;left:1757;top:5814;width:4252;height:2" coordorigin="1757,5814" coordsize="4252,0" path="m1757,5814l6009,5814e" filled="false" stroked="true" strokeweight=".5pt" strokecolor="#000000">
                <v:path arrowok="t"/>
              </v:shape>
            </v:group>
            <v:group style="position:absolute;left:6009;top:5814;width:5046;height:2" coordorigin="6009,5814" coordsize="5046,2">
              <v:shape style="position:absolute;left:6009;top:5814;width:5046;height:2" coordorigin="6009,5814" coordsize="5046,0" path="m6009,5814l11055,5814e" filled="false" stroked="true" strokeweight=".5pt" strokecolor="#000000">
                <v:path arrowok="t"/>
              </v:shape>
            </v:group>
            <v:group style="position:absolute;left:1757;top:5083;width:4252;height:2" coordorigin="1757,5083" coordsize="4252,2">
              <v:shape style="position:absolute;left:1757;top:5083;width:4252;height:2" coordorigin="1757,5083" coordsize="4252,0" path="m1757,5083l6009,5083e" filled="false" stroked="true" strokeweight="2pt" strokecolor="#9c8758">
                <v:path arrowok="t"/>
              </v:shape>
            </v:group>
            <v:group style="position:absolute;left:6009;top:5083;width:5046;height:2" coordorigin="6009,5083" coordsize="5046,2">
              <v:shape style="position:absolute;left:6009;top:5083;width:5046;height:2" coordorigin="6009,5083" coordsize="5046,0" path="m6009,5083l11055,5083e" filled="false" stroked="true" strokeweight="2pt" strokecolor="#9c8758">
                <v:path arrowok="t"/>
              </v:shape>
            </v:group>
            <w10:wrap type="none"/>
          </v:group>
        </w:pict>
      </w:r>
      <w:r>
        <w:rPr>
          <w:rFonts w:ascii="宋体" w:hAnsi="宋体" w:cs="宋体" w:eastAsia="宋体" w:hint="default"/>
        </w:rPr>
        <w:t>等优质外部资源送训高管人员及专家骨干人员超过</w:t>
      </w:r>
      <w:r>
        <w:rPr>
          <w:rFonts w:ascii="宋体" w:hAnsi="宋体" w:cs="宋体" w:eastAsia="宋体" w:hint="default"/>
          <w:spacing w:val="-40"/>
        </w:rPr>
        <w:t> </w:t>
      </w:r>
      <w:r>
        <w:rPr>
          <w:rFonts w:ascii="宋体" w:hAnsi="宋体" w:cs="宋体" w:eastAsia="宋体" w:hint="default"/>
        </w:rPr>
        <w:t>20</w:t>
      </w:r>
      <w:r>
        <w:rPr>
          <w:rFonts w:ascii="宋体" w:hAnsi="宋体" w:cs="宋体" w:eastAsia="宋体" w:hint="default"/>
          <w:spacing w:val="-40"/>
        </w:rPr>
        <w:t> </w:t>
      </w:r>
      <w:r>
        <w:rPr>
          <w:rFonts w:ascii="宋体" w:hAnsi="宋体" w:cs="宋体" w:eastAsia="宋体" w:hint="default"/>
        </w:rPr>
        <w:t>人次。加强优秀年轻管理人才培养，组织实施</w:t>
      </w:r>
      <w:r>
        <w:rPr>
          <w:rFonts w:ascii="宋体" w:hAnsi="宋体" w:cs="宋体" w:eastAsia="宋体" w:hint="default"/>
          <w:spacing w:val="-40"/>
        </w:rPr>
        <w:t> </w:t>
      </w:r>
      <w:r>
        <w:rPr>
          <w:rFonts w:ascii="宋体" w:hAnsi="宋体" w:cs="宋体" w:eastAsia="宋体" w:hint="default"/>
        </w:rPr>
        <w:t>2</w:t>
      </w:r>
      <w:r>
        <w:rPr>
          <w:rFonts w:ascii="宋体" w:hAnsi="宋体" w:cs="宋体" w:eastAsia="宋体" w:hint="default"/>
          <w:spacing w:val="-40"/>
        </w:rPr>
        <w:t> </w:t>
      </w:r>
      <w:r>
        <w:rPr>
          <w:rFonts w:ascii="宋体" w:hAnsi="宋体" w:cs="宋体" w:eastAsia="宋体" w:hint="default"/>
        </w:rPr>
        <w:t>期中长期脱产进</w:t>
      </w:r>
    </w:p>
    <w:p>
      <w:pPr>
        <w:pStyle w:val="BodyText"/>
        <w:spacing w:line="240" w:lineRule="auto" w:before="44"/>
        <w:ind w:left="1757" w:right="0"/>
        <w:jc w:val="both"/>
        <w:rPr>
          <w:rFonts w:ascii="宋体" w:hAnsi="宋体" w:cs="宋体" w:eastAsia="宋体" w:hint="default"/>
        </w:rPr>
      </w:pPr>
      <w:r>
        <w:rPr>
          <w:rFonts w:ascii="宋体" w:hAnsi="宋体" w:cs="宋体" w:eastAsia="宋体" w:hint="default"/>
          <w:spacing w:val="-4"/>
        </w:rPr>
        <w:t>修班，共培训</w:t>
      </w:r>
      <w:r>
        <w:rPr>
          <w:rFonts w:ascii="宋体" w:hAnsi="宋体" w:cs="宋体" w:eastAsia="宋体" w:hint="default"/>
          <w:spacing w:val="-66"/>
        </w:rPr>
        <w:t> </w:t>
      </w:r>
      <w:r>
        <w:rPr>
          <w:rFonts w:ascii="宋体" w:hAnsi="宋体" w:cs="宋体" w:eastAsia="宋体" w:hint="default"/>
        </w:rPr>
        <w:t>88</w:t>
      </w:r>
      <w:r>
        <w:rPr>
          <w:rFonts w:ascii="宋体" w:hAnsi="宋体" w:cs="宋体" w:eastAsia="宋体" w:hint="default"/>
          <w:spacing w:val="-66"/>
        </w:rPr>
        <w:t> </w:t>
      </w:r>
      <w:r>
        <w:rPr>
          <w:rFonts w:ascii="宋体" w:hAnsi="宋体" w:cs="宋体" w:eastAsia="宋体" w:hint="default"/>
        </w:rPr>
        <w:t>名有潜力的优秀年轻管理人才。围绕重点业务发展要求，统筹开展各专业序列人员专业技能提升培训，</w:t>
      </w:r>
    </w:p>
    <w:p>
      <w:pPr>
        <w:pStyle w:val="BodyText"/>
        <w:spacing w:line="240" w:lineRule="auto" w:before="44"/>
        <w:ind w:left="1757" w:right="0"/>
        <w:jc w:val="both"/>
        <w:rPr>
          <w:rFonts w:ascii="宋体" w:hAnsi="宋体" w:cs="宋体" w:eastAsia="宋体" w:hint="default"/>
        </w:rPr>
      </w:pPr>
      <w:r>
        <w:rPr>
          <w:rFonts w:ascii="宋体" w:hAnsi="宋体" w:cs="宋体" w:eastAsia="宋体" w:hint="default"/>
        </w:rPr>
        <w:t>有序组织实施各专业线专业技能培训班</w:t>
      </w:r>
      <w:r>
        <w:rPr>
          <w:rFonts w:ascii="宋体" w:hAnsi="宋体" w:cs="宋体" w:eastAsia="宋体" w:hint="default"/>
          <w:spacing w:val="-39"/>
        </w:rPr>
        <w:t> </w:t>
      </w:r>
      <w:r>
        <w:rPr>
          <w:rFonts w:ascii="宋体" w:hAnsi="宋体" w:cs="宋体" w:eastAsia="宋体" w:hint="default"/>
        </w:rPr>
        <w:t>186</w:t>
      </w:r>
      <w:r>
        <w:rPr>
          <w:rFonts w:ascii="宋体" w:hAnsi="宋体" w:cs="宋体" w:eastAsia="宋体" w:hint="default"/>
          <w:spacing w:val="-40"/>
        </w:rPr>
        <w:t> </w:t>
      </w:r>
      <w:r>
        <w:rPr>
          <w:rFonts w:ascii="宋体" w:hAnsi="宋体" w:cs="宋体" w:eastAsia="宋体" w:hint="default"/>
        </w:rPr>
        <w:t>期，累计培训各专业线核心骨干人才</w:t>
      </w:r>
      <w:r>
        <w:rPr>
          <w:rFonts w:ascii="宋体" w:hAnsi="宋体" w:cs="宋体" w:eastAsia="宋体" w:hint="default"/>
          <w:spacing w:val="-39"/>
        </w:rPr>
        <w:t> </w:t>
      </w:r>
      <w:r>
        <w:rPr>
          <w:rFonts w:ascii="宋体" w:hAnsi="宋体" w:cs="宋体" w:eastAsia="宋体" w:hint="default"/>
        </w:rPr>
        <w:t>23,547</w:t>
      </w:r>
      <w:r>
        <w:rPr>
          <w:rFonts w:ascii="宋体" w:hAnsi="宋体" w:cs="宋体" w:eastAsia="宋体" w:hint="default"/>
          <w:spacing w:val="-40"/>
        </w:rPr>
        <w:t> </w:t>
      </w:r>
      <w:r>
        <w:rPr>
          <w:rFonts w:ascii="宋体" w:hAnsi="宋体" w:cs="宋体" w:eastAsia="宋体" w:hint="default"/>
        </w:rPr>
        <w:t>人次，面向各专业战略人才，</w:t>
      </w:r>
    </w:p>
    <w:p>
      <w:pPr>
        <w:pStyle w:val="BodyText"/>
        <w:spacing w:line="240" w:lineRule="auto" w:before="44"/>
        <w:ind w:left="1757" w:right="0"/>
        <w:jc w:val="both"/>
        <w:rPr>
          <w:rFonts w:ascii="宋体" w:hAnsi="宋体" w:cs="宋体" w:eastAsia="宋体" w:hint="default"/>
        </w:rPr>
      </w:pPr>
      <w:r>
        <w:rPr>
          <w:rFonts w:ascii="宋体" w:hAnsi="宋体" w:cs="宋体" w:eastAsia="宋体" w:hint="default"/>
        </w:rPr>
        <w:t>开展“U</w:t>
      </w:r>
      <w:r>
        <w:rPr>
          <w:rFonts w:ascii="宋体" w:hAnsi="宋体" w:cs="宋体" w:eastAsia="宋体" w:hint="default"/>
          <w:spacing w:val="-35"/>
        </w:rPr>
        <w:t> </w:t>
      </w:r>
      <w:r>
        <w:rPr>
          <w:rFonts w:ascii="宋体" w:hAnsi="宋体" w:cs="宋体" w:eastAsia="宋体" w:hint="default"/>
        </w:rPr>
        <w:t>成长计划”、“引擎计划”及“加速器计划”，组织</w:t>
      </w:r>
      <w:r>
        <w:rPr>
          <w:rFonts w:ascii="宋体" w:hAnsi="宋体" w:cs="宋体" w:eastAsia="宋体" w:hint="default"/>
          <w:spacing w:val="-34"/>
        </w:rPr>
        <w:t> </w:t>
      </w:r>
      <w:r>
        <w:rPr>
          <w:rFonts w:ascii="宋体" w:hAnsi="宋体" w:cs="宋体" w:eastAsia="宋体" w:hint="default"/>
        </w:rPr>
        <w:t>6</w:t>
      </w:r>
      <w:r>
        <w:rPr>
          <w:rFonts w:ascii="宋体" w:hAnsi="宋体" w:cs="宋体" w:eastAsia="宋体" w:hint="default"/>
          <w:spacing w:val="-35"/>
        </w:rPr>
        <w:t> </w:t>
      </w:r>
      <w:r>
        <w:rPr>
          <w:rFonts w:ascii="宋体" w:hAnsi="宋体" w:cs="宋体" w:eastAsia="宋体" w:hint="default"/>
        </w:rPr>
        <w:t>期集团级培训，累计参训人员</w:t>
      </w:r>
      <w:r>
        <w:rPr>
          <w:rFonts w:ascii="宋体" w:hAnsi="宋体" w:cs="宋体" w:eastAsia="宋体" w:hint="default"/>
          <w:spacing w:val="-34"/>
        </w:rPr>
        <w:t> </w:t>
      </w:r>
      <w:r>
        <w:rPr>
          <w:rFonts w:ascii="宋体" w:hAnsi="宋体" w:cs="宋体" w:eastAsia="宋体" w:hint="default"/>
        </w:rPr>
        <w:t>25,480</w:t>
      </w:r>
      <w:r>
        <w:rPr>
          <w:rFonts w:ascii="宋体" w:hAnsi="宋体" w:cs="宋体" w:eastAsia="宋体" w:hint="default"/>
          <w:spacing w:val="-35"/>
        </w:rPr>
        <w:t> </w:t>
      </w:r>
      <w:r>
        <w:rPr>
          <w:rFonts w:ascii="宋体" w:hAnsi="宋体" w:cs="宋体" w:eastAsia="宋体" w:hint="default"/>
        </w:rPr>
        <w:t>人次。</w:t>
      </w:r>
    </w:p>
    <w:p>
      <w:pPr>
        <w:pStyle w:val="BodyText"/>
        <w:spacing w:line="285" w:lineRule="auto" w:before="157"/>
        <w:ind w:left="1757" w:right="847"/>
        <w:jc w:val="both"/>
        <w:rPr>
          <w:rFonts w:ascii="宋体" w:hAnsi="宋体" w:cs="宋体" w:eastAsia="宋体" w:hint="default"/>
        </w:rPr>
      </w:pPr>
      <w:r>
        <w:rPr>
          <w:rFonts w:ascii="宋体" w:hAnsi="宋体" w:cs="宋体" w:eastAsia="宋体" w:hint="default"/>
        </w:rPr>
        <w:t>侧重新技术新业务，面对创新业务及互联网运营、大</w:t>
      </w:r>
      <w:r>
        <w:rPr>
          <w:rFonts w:ascii="宋体" w:hAnsi="宋体" w:cs="宋体" w:eastAsia="宋体" w:hint="default"/>
          <w:spacing w:val="-42"/>
        </w:rPr>
        <w:t> </w:t>
      </w:r>
      <w:r>
        <w:rPr>
          <w:rFonts w:ascii="宋体" w:hAnsi="宋体" w:cs="宋体" w:eastAsia="宋体" w:hint="default"/>
        </w:rPr>
        <w:t>IT</w:t>
      </w:r>
      <w:r>
        <w:rPr>
          <w:rFonts w:ascii="宋体" w:hAnsi="宋体" w:cs="宋体" w:eastAsia="宋体" w:hint="default"/>
          <w:spacing w:val="-42"/>
        </w:rPr>
        <w:t> </w:t>
      </w:r>
      <w:r>
        <w:rPr>
          <w:rFonts w:ascii="宋体" w:hAnsi="宋体" w:cs="宋体" w:eastAsia="宋体" w:hint="default"/>
        </w:rPr>
        <w:t>等重点群体和专业开展创新能力培训</w:t>
      </w:r>
      <w:r>
        <w:rPr>
          <w:rFonts w:ascii="宋体" w:hAnsi="宋体" w:cs="宋体" w:eastAsia="宋体" w:hint="default"/>
          <w:spacing w:val="-42"/>
        </w:rPr>
        <w:t> </w:t>
      </w:r>
      <w:r>
        <w:rPr>
          <w:rFonts w:ascii="宋体" w:hAnsi="宋体" w:cs="宋体" w:eastAsia="宋体" w:hint="default"/>
        </w:rPr>
        <w:t>70</w:t>
      </w:r>
      <w:r>
        <w:rPr>
          <w:rFonts w:ascii="宋体" w:hAnsi="宋体" w:cs="宋体" w:eastAsia="宋体" w:hint="default"/>
          <w:spacing w:val="-42"/>
        </w:rPr>
        <w:t> </w:t>
      </w:r>
      <w:r>
        <w:rPr>
          <w:rFonts w:ascii="宋体" w:hAnsi="宋体" w:cs="宋体" w:eastAsia="宋体" w:hint="default"/>
        </w:rPr>
        <w:t>余期；面对</w:t>
      </w:r>
      <w:r>
        <w:rPr>
          <w:rFonts w:ascii="宋体" w:hAnsi="宋体" w:cs="宋体" w:eastAsia="宋体" w:hint="default"/>
          <w:spacing w:val="-42"/>
        </w:rPr>
        <w:t> </w:t>
      </w:r>
      <w:r>
        <w:rPr>
          <w:rFonts w:ascii="宋体" w:hAnsi="宋体" w:cs="宋体" w:eastAsia="宋体" w:hint="default"/>
        </w:rPr>
        <w:t>5G</w:t>
      </w:r>
      <w:r>
        <w:rPr>
          <w:rFonts w:ascii="宋体" w:hAnsi="宋体" w:cs="宋体" w:eastAsia="宋体" w:hint="default"/>
          <w:spacing w:val="-42"/>
        </w:rPr>
        <w:t> </w:t>
      </w:r>
      <w:r>
        <w:rPr>
          <w:rFonts w:ascii="宋体" w:hAnsi="宋体" w:cs="宋体" w:eastAsia="宋体" w:hint="default"/>
        </w:rPr>
        <w:t>部署，</w:t>
      </w:r>
      <w:r>
        <w:rPr>
          <w:rFonts w:ascii="宋体" w:hAnsi="宋体" w:cs="宋体" w:eastAsia="宋体" w:hint="default"/>
        </w:rPr>
        <w:t> </w:t>
      </w:r>
      <w:r>
        <w:rPr>
          <w:rFonts w:ascii="宋体" w:hAnsi="宋体" w:cs="宋体" w:eastAsia="宋体" w:hint="default"/>
          <w:spacing w:val="3"/>
        </w:rPr>
        <w:t>组织实施</w:t>
      </w:r>
      <w:r>
        <w:rPr>
          <w:rFonts w:ascii="宋体" w:hAnsi="宋体" w:cs="宋体" w:eastAsia="宋体" w:hint="default"/>
          <w:spacing w:val="-27"/>
        </w:rPr>
        <w:t> </w:t>
      </w:r>
      <w:r>
        <w:rPr>
          <w:rFonts w:ascii="宋体" w:hAnsi="宋体" w:cs="宋体" w:eastAsia="宋体" w:hint="default"/>
        </w:rPr>
        <w:t>4</w:t>
      </w:r>
      <w:r>
        <w:rPr>
          <w:rFonts w:ascii="宋体" w:hAnsi="宋体" w:cs="宋体" w:eastAsia="宋体" w:hint="default"/>
          <w:spacing w:val="-27"/>
        </w:rPr>
        <w:t> </w:t>
      </w:r>
      <w:r>
        <w:rPr>
          <w:rFonts w:ascii="宋体" w:hAnsi="宋体" w:cs="宋体" w:eastAsia="宋体" w:hint="default"/>
        </w:rPr>
        <w:t>期</w:t>
      </w:r>
      <w:r>
        <w:rPr>
          <w:rFonts w:ascii="宋体" w:hAnsi="宋体" w:cs="宋体" w:eastAsia="宋体" w:hint="default"/>
          <w:spacing w:val="-27"/>
        </w:rPr>
        <w:t> </w:t>
      </w:r>
      <w:r>
        <w:rPr>
          <w:rFonts w:ascii="宋体" w:hAnsi="宋体" w:cs="宋体" w:eastAsia="宋体" w:hint="default"/>
        </w:rPr>
        <w:t>5G</w:t>
      </w:r>
      <w:r>
        <w:rPr>
          <w:rFonts w:ascii="宋体" w:hAnsi="宋体" w:cs="宋体" w:eastAsia="宋体" w:hint="default"/>
          <w:spacing w:val="-27"/>
        </w:rPr>
        <w:t> </w:t>
      </w:r>
      <w:r>
        <w:rPr>
          <w:rFonts w:ascii="宋体" w:hAnsi="宋体" w:cs="宋体" w:eastAsia="宋体" w:hint="default"/>
          <w:spacing w:val="3"/>
        </w:rPr>
        <w:t>技术培训，形成一支</w:t>
      </w:r>
      <w:r>
        <w:rPr>
          <w:rFonts w:ascii="宋体" w:hAnsi="宋体" w:cs="宋体" w:eastAsia="宋体" w:hint="default"/>
          <w:spacing w:val="-27"/>
        </w:rPr>
        <w:t> </w:t>
      </w:r>
      <w:r>
        <w:rPr>
          <w:rFonts w:ascii="宋体" w:hAnsi="宋体" w:cs="宋体" w:eastAsia="宋体" w:hint="default"/>
        </w:rPr>
        <w:t>100</w:t>
      </w:r>
      <w:r>
        <w:rPr>
          <w:rFonts w:ascii="宋体" w:hAnsi="宋体" w:cs="宋体" w:eastAsia="宋体" w:hint="default"/>
          <w:spacing w:val="-27"/>
        </w:rPr>
        <w:t> </w:t>
      </w:r>
      <w:r>
        <w:rPr>
          <w:rFonts w:ascii="宋体" w:hAnsi="宋体" w:cs="宋体" w:eastAsia="宋体" w:hint="default"/>
          <w:spacing w:val="2"/>
        </w:rPr>
        <w:t>余人的</w:t>
      </w:r>
      <w:r>
        <w:rPr>
          <w:rFonts w:ascii="宋体" w:hAnsi="宋体" w:cs="宋体" w:eastAsia="宋体" w:hint="default"/>
          <w:spacing w:val="-27"/>
        </w:rPr>
        <w:t> </w:t>
      </w:r>
      <w:r>
        <w:rPr>
          <w:rFonts w:ascii="宋体" w:hAnsi="宋体" w:cs="宋体" w:eastAsia="宋体" w:hint="default"/>
        </w:rPr>
        <w:t>5G</w:t>
      </w:r>
      <w:r>
        <w:rPr>
          <w:rFonts w:ascii="宋体" w:hAnsi="宋体" w:cs="宋体" w:eastAsia="宋体" w:hint="default"/>
          <w:spacing w:val="-27"/>
        </w:rPr>
        <w:t> </w:t>
      </w:r>
      <w:r>
        <w:rPr>
          <w:rFonts w:ascii="宋体" w:hAnsi="宋体" w:cs="宋体" w:eastAsia="宋体" w:hint="default"/>
          <w:spacing w:val="3"/>
        </w:rPr>
        <w:t>无线专业队伍；鼓励员工自主学习，在网上学院开设大数据、</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rPr>
        <w:t>人工智能、区块链等相关内容课程 287</w:t>
      </w:r>
      <w:r>
        <w:rPr>
          <w:rFonts w:ascii="宋体" w:hAnsi="宋体" w:cs="宋体" w:eastAsia="宋体" w:hint="default"/>
          <w:spacing w:val="21"/>
        </w:rPr>
        <w:t> </w:t>
      </w:r>
      <w:r>
        <w:rPr>
          <w:rFonts w:ascii="宋体" w:hAnsi="宋体" w:cs="宋体" w:eastAsia="宋体" w:hint="default"/>
        </w:rPr>
        <w:t>门。着力推进企业内部岗位认证体系建设，对零售师、智慧家庭工程师、市场</w:t>
      </w:r>
    </w:p>
    <w:p>
      <w:pPr>
        <w:pStyle w:val="BodyText"/>
        <w:spacing w:line="240" w:lineRule="auto" w:before="10"/>
        <w:ind w:left="1757" w:right="0"/>
        <w:jc w:val="both"/>
        <w:rPr>
          <w:rFonts w:ascii="宋体" w:hAnsi="宋体" w:cs="宋体" w:eastAsia="宋体" w:hint="default"/>
        </w:rPr>
      </w:pPr>
      <w:r>
        <w:rPr>
          <w:rFonts w:ascii="宋体" w:hAnsi="宋体" w:cs="宋体" w:eastAsia="宋体" w:hint="default"/>
        </w:rPr>
        <w:t>稽核三个岗位开展内部认证，开发认证网络课程</w:t>
      </w:r>
      <w:r>
        <w:rPr>
          <w:rFonts w:ascii="宋体" w:hAnsi="宋体" w:cs="宋体" w:eastAsia="宋体" w:hint="default"/>
          <w:spacing w:val="-34"/>
        </w:rPr>
        <w:t> </w:t>
      </w:r>
      <w:r>
        <w:rPr>
          <w:rFonts w:ascii="宋体" w:hAnsi="宋体" w:cs="宋体" w:eastAsia="宋体" w:hint="default"/>
        </w:rPr>
        <w:t>73</w:t>
      </w:r>
      <w:r>
        <w:rPr>
          <w:rFonts w:ascii="宋体" w:hAnsi="宋体" w:cs="宋体" w:eastAsia="宋体" w:hint="default"/>
          <w:spacing w:val="-35"/>
        </w:rPr>
        <w:t> </w:t>
      </w:r>
      <w:r>
        <w:rPr>
          <w:rFonts w:ascii="宋体" w:hAnsi="宋体" w:cs="宋体" w:eastAsia="宋体" w:hint="default"/>
        </w:rPr>
        <w:t>门，并培养课任讲师</w:t>
      </w:r>
      <w:r>
        <w:rPr>
          <w:rFonts w:ascii="宋体" w:hAnsi="宋体" w:cs="宋体" w:eastAsia="宋体" w:hint="default"/>
          <w:spacing w:val="-34"/>
        </w:rPr>
        <w:t> </w:t>
      </w:r>
      <w:r>
        <w:rPr>
          <w:rFonts w:ascii="宋体" w:hAnsi="宋体" w:cs="宋体" w:eastAsia="宋体" w:hint="default"/>
        </w:rPr>
        <w:t>80</w:t>
      </w:r>
      <w:r>
        <w:rPr>
          <w:rFonts w:ascii="宋体" w:hAnsi="宋体" w:cs="宋体" w:eastAsia="宋体" w:hint="default"/>
          <w:spacing w:val="-35"/>
        </w:rPr>
        <w:t> </w:t>
      </w:r>
      <w:r>
        <w:rPr>
          <w:rFonts w:ascii="宋体" w:hAnsi="宋体" w:cs="宋体" w:eastAsia="宋体" w:hint="default"/>
        </w:rPr>
        <w:t>人，培训考评员</w:t>
      </w:r>
      <w:r>
        <w:rPr>
          <w:rFonts w:ascii="宋体" w:hAnsi="宋体" w:cs="宋体" w:eastAsia="宋体" w:hint="default"/>
          <w:spacing w:val="-34"/>
        </w:rPr>
        <w:t> </w:t>
      </w:r>
      <w:r>
        <w:rPr>
          <w:rFonts w:ascii="宋体" w:hAnsi="宋体" w:cs="宋体" w:eastAsia="宋体" w:hint="default"/>
        </w:rPr>
        <w:t>120</w:t>
      </w:r>
      <w:r>
        <w:rPr>
          <w:rFonts w:ascii="宋体" w:hAnsi="宋体" w:cs="宋体" w:eastAsia="宋体" w:hint="default"/>
          <w:spacing w:val="-35"/>
        </w:rPr>
        <w:t> </w:t>
      </w:r>
      <w:r>
        <w:rPr>
          <w:rFonts w:ascii="宋体" w:hAnsi="宋体" w:cs="宋体" w:eastAsia="宋体" w:hint="default"/>
        </w:rPr>
        <w:t>人。</w:t>
      </w:r>
    </w:p>
    <w:p>
      <w:pPr>
        <w:pStyle w:val="BodyText"/>
        <w:spacing w:line="285" w:lineRule="auto" w:before="157"/>
        <w:ind w:left="1757" w:right="748"/>
        <w:jc w:val="left"/>
        <w:rPr>
          <w:rFonts w:ascii="宋体" w:hAnsi="宋体" w:cs="宋体" w:eastAsia="宋体" w:hint="default"/>
        </w:rPr>
      </w:pPr>
      <w:r>
        <w:rPr>
          <w:rFonts w:ascii="宋体" w:hAnsi="宋体" w:cs="宋体" w:eastAsia="宋体" w:hint="default"/>
          <w:w w:val="95"/>
        </w:rPr>
        <w:t>加强课程教材开发，与中央党校合作，定制开发中国联通党建系列课程；聚焦核心网、客户响应网络安全、IP 等专业，</w:t>
      </w:r>
      <w:r>
        <w:rPr>
          <w:rFonts w:ascii="宋体" w:hAnsi="宋体" w:cs="宋体" w:eastAsia="宋体" w:hint="default"/>
          <w:spacing w:val="60"/>
          <w:w w:val="95"/>
        </w:rPr>
        <w:t> </w:t>
      </w:r>
      <w:r>
        <w:rPr>
          <w:rFonts w:ascii="宋体" w:hAnsi="宋体" w:cs="宋体" w:eastAsia="宋体" w:hint="default"/>
          <w:spacing w:val="60"/>
          <w:w w:val="95"/>
        </w:rPr>
      </w:r>
      <w:r>
        <w:rPr>
          <w:rFonts w:ascii="宋体" w:hAnsi="宋体" w:cs="宋体" w:eastAsia="宋体" w:hint="default"/>
        </w:rPr>
        <w:t>以及“天宫天梯”、“IT</w:t>
      </w:r>
      <w:r>
        <w:rPr>
          <w:rFonts w:ascii="宋体" w:hAnsi="宋体" w:cs="宋体" w:eastAsia="宋体" w:hint="default"/>
          <w:spacing w:val="-40"/>
        </w:rPr>
        <w:t> </w:t>
      </w:r>
      <w:r>
        <w:rPr>
          <w:rFonts w:ascii="宋体" w:hAnsi="宋体" w:cs="宋体" w:eastAsia="宋体" w:hint="default"/>
        </w:rPr>
        <w:t>战略人才”、“U</w:t>
      </w:r>
      <w:r>
        <w:rPr>
          <w:rFonts w:ascii="宋体" w:hAnsi="宋体" w:cs="宋体" w:eastAsia="宋体" w:hint="default"/>
          <w:spacing w:val="-40"/>
        </w:rPr>
        <w:t> </w:t>
      </w:r>
      <w:r>
        <w:rPr>
          <w:rFonts w:ascii="宋体" w:hAnsi="宋体" w:cs="宋体" w:eastAsia="宋体" w:hint="default"/>
        </w:rPr>
        <w:t>成长”系列，开发技术类面授和网络课程</w:t>
      </w:r>
      <w:r>
        <w:rPr>
          <w:rFonts w:ascii="宋体" w:hAnsi="宋体" w:cs="宋体" w:eastAsia="宋体" w:hint="default"/>
          <w:spacing w:val="-40"/>
        </w:rPr>
        <w:t> </w:t>
      </w:r>
      <w:r>
        <w:rPr>
          <w:rFonts w:ascii="宋体" w:hAnsi="宋体" w:cs="宋体" w:eastAsia="宋体" w:hint="default"/>
        </w:rPr>
        <w:t>107</w:t>
      </w:r>
      <w:r>
        <w:rPr>
          <w:rFonts w:ascii="宋体" w:hAnsi="宋体" w:cs="宋体" w:eastAsia="宋体" w:hint="default"/>
          <w:spacing w:val="-40"/>
        </w:rPr>
        <w:t> </w:t>
      </w:r>
      <w:r>
        <w:rPr>
          <w:rFonts w:ascii="宋体" w:hAnsi="宋体" w:cs="宋体" w:eastAsia="宋体" w:hint="default"/>
        </w:rPr>
        <w:t>门；聚焦互联网化运营转型、</w:t>
      </w:r>
      <w:r>
        <w:rPr>
          <w:rFonts w:ascii="宋体" w:hAnsi="宋体" w:cs="宋体" w:eastAsia="宋体" w:hint="default"/>
        </w:rPr>
        <w:t> </w:t>
      </w:r>
      <w:r>
        <w:rPr>
          <w:rFonts w:ascii="宋体" w:hAnsi="宋体" w:cs="宋体" w:eastAsia="宋体" w:hint="default"/>
          <w:w w:val="105"/>
        </w:rPr>
        <w:t>创新业务、新员工认知等领域，开发业务类课程</w:t>
      </w:r>
      <w:r>
        <w:rPr>
          <w:rFonts w:ascii="宋体" w:hAnsi="宋体" w:cs="宋体" w:eastAsia="宋体" w:hint="default"/>
          <w:spacing w:val="-79"/>
          <w:w w:val="105"/>
        </w:rPr>
        <w:t> </w:t>
      </w:r>
      <w:r>
        <w:rPr>
          <w:rFonts w:ascii="宋体" w:hAnsi="宋体" w:cs="宋体" w:eastAsia="宋体" w:hint="default"/>
          <w:w w:val="105"/>
        </w:rPr>
        <w:t>80</w:t>
      </w:r>
      <w:r>
        <w:rPr>
          <w:rFonts w:ascii="宋体" w:hAnsi="宋体" w:cs="宋体" w:eastAsia="宋体" w:hint="default"/>
          <w:spacing w:val="-79"/>
          <w:w w:val="105"/>
        </w:rPr>
        <w:t> </w:t>
      </w:r>
      <w:r>
        <w:rPr>
          <w:rFonts w:ascii="宋体" w:hAnsi="宋体" w:cs="宋体" w:eastAsia="宋体" w:hint="default"/>
          <w:w w:val="105"/>
        </w:rPr>
        <w:t>门；引入</w:t>
      </w:r>
      <w:r>
        <w:rPr>
          <w:rFonts w:ascii="宋体" w:hAnsi="宋体" w:cs="宋体" w:eastAsia="宋体" w:hint="default"/>
          <w:spacing w:val="-79"/>
          <w:w w:val="105"/>
        </w:rPr>
        <w:t> </w:t>
      </w:r>
      <w:r>
        <w:rPr>
          <w:rFonts w:ascii="宋体" w:hAnsi="宋体" w:cs="宋体" w:eastAsia="宋体" w:hint="default"/>
          <w:w w:val="105"/>
        </w:rPr>
        <w:t>BAT</w:t>
      </w:r>
      <w:r>
        <w:rPr>
          <w:rFonts w:ascii="宋体" w:hAnsi="宋体" w:cs="宋体" w:eastAsia="宋体" w:hint="default"/>
          <w:spacing w:val="-79"/>
          <w:w w:val="105"/>
        </w:rPr>
        <w:t> </w:t>
      </w:r>
      <w:r>
        <w:rPr>
          <w:rFonts w:ascii="宋体" w:hAnsi="宋体" w:cs="宋体" w:eastAsia="宋体" w:hint="default"/>
          <w:w w:val="105"/>
        </w:rPr>
        <w:t>互联网企业创新业务课程</w:t>
      </w:r>
      <w:r>
        <w:rPr>
          <w:rFonts w:ascii="宋体" w:hAnsi="宋体" w:cs="宋体" w:eastAsia="宋体" w:hint="default"/>
          <w:spacing w:val="-79"/>
          <w:w w:val="105"/>
        </w:rPr>
        <w:t> </w:t>
      </w:r>
      <w:r>
        <w:rPr>
          <w:rFonts w:ascii="宋体" w:hAnsi="宋体" w:cs="宋体" w:eastAsia="宋体" w:hint="default"/>
          <w:w w:val="105"/>
        </w:rPr>
        <w:t>127</w:t>
      </w:r>
      <w:r>
        <w:rPr>
          <w:rFonts w:ascii="宋体" w:hAnsi="宋体" w:cs="宋体" w:eastAsia="宋体" w:hint="default"/>
          <w:spacing w:val="-79"/>
          <w:w w:val="105"/>
        </w:rPr>
        <w:t> </w:t>
      </w:r>
      <w:r>
        <w:rPr>
          <w:rFonts w:ascii="宋体" w:hAnsi="宋体" w:cs="宋体" w:eastAsia="宋体" w:hint="default"/>
          <w:w w:val="105"/>
        </w:rPr>
        <w:t>门；建设集团级技术</w:t>
      </w:r>
      <w:r>
        <w:rPr>
          <w:rFonts w:ascii="宋体" w:hAnsi="宋体" w:cs="宋体" w:eastAsia="宋体" w:hint="default"/>
          <w:spacing w:val="2"/>
        </w:rPr>
        <w:t> </w:t>
      </w:r>
      <w:r>
        <w:rPr>
          <w:rFonts w:ascii="宋体" w:hAnsi="宋体" w:cs="宋体" w:eastAsia="宋体" w:hint="default"/>
          <w:spacing w:val="-3"/>
        </w:rPr>
        <w:t>案例库，遴选获奖案例和优秀案例</w:t>
      </w:r>
      <w:r>
        <w:rPr>
          <w:rFonts w:ascii="宋体" w:hAnsi="宋体" w:cs="宋体" w:eastAsia="宋体" w:hint="default"/>
          <w:spacing w:val="-33"/>
        </w:rPr>
        <w:t> </w:t>
      </w:r>
      <w:r>
        <w:rPr>
          <w:rFonts w:ascii="宋体" w:hAnsi="宋体" w:cs="宋体" w:eastAsia="宋体" w:hint="default"/>
        </w:rPr>
        <w:t>700</w:t>
      </w:r>
      <w:r>
        <w:rPr>
          <w:rFonts w:ascii="宋体" w:hAnsi="宋体" w:cs="宋体" w:eastAsia="宋体" w:hint="default"/>
          <w:spacing w:val="-33"/>
        </w:rPr>
        <w:t> </w:t>
      </w:r>
      <w:r>
        <w:rPr>
          <w:rFonts w:ascii="宋体" w:hAnsi="宋体" w:cs="宋体" w:eastAsia="宋体" w:hint="default"/>
          <w:spacing w:val="-4"/>
        </w:rPr>
        <w:t>余篇。探索线上线下相结合的教学方式，培养移动学习习惯，中国联通网上学院、</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rPr>
        <w:t>“沃学堂”和“微学堂”三大网络学习平台进一步完善互通，课程推送、网络直播等工具效果显著，网络课程及学习</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资源持续丰富，2018</w:t>
      </w:r>
      <w:r>
        <w:rPr>
          <w:rFonts w:ascii="宋体" w:hAnsi="宋体" w:cs="宋体" w:eastAsia="宋体" w:hint="default"/>
          <w:spacing w:val="-37"/>
        </w:rPr>
        <w:t> </w:t>
      </w:r>
      <w:r>
        <w:rPr>
          <w:rFonts w:ascii="宋体" w:hAnsi="宋体" w:cs="宋体" w:eastAsia="宋体" w:hint="default"/>
        </w:rPr>
        <w:t>年网络课程达到</w:t>
      </w:r>
      <w:r>
        <w:rPr>
          <w:rFonts w:ascii="宋体" w:hAnsi="宋体" w:cs="宋体" w:eastAsia="宋体" w:hint="default"/>
          <w:spacing w:val="-36"/>
        </w:rPr>
        <w:t> </w:t>
      </w:r>
      <w:r>
        <w:rPr>
          <w:rFonts w:ascii="宋体" w:hAnsi="宋体" w:cs="宋体" w:eastAsia="宋体" w:hint="default"/>
        </w:rPr>
        <w:t>11,527</w:t>
      </w:r>
      <w:r>
        <w:rPr>
          <w:rFonts w:ascii="宋体" w:hAnsi="宋体" w:cs="宋体" w:eastAsia="宋体" w:hint="default"/>
          <w:spacing w:val="-37"/>
        </w:rPr>
        <w:t> </w:t>
      </w:r>
      <w:r>
        <w:rPr>
          <w:rFonts w:ascii="宋体" w:hAnsi="宋体" w:cs="宋体" w:eastAsia="宋体" w:hint="default"/>
        </w:rPr>
        <w:t>门，学习人次超过</w:t>
      </w:r>
      <w:r>
        <w:rPr>
          <w:rFonts w:ascii="宋体" w:hAnsi="宋体" w:cs="宋体" w:eastAsia="宋体" w:hint="default"/>
          <w:spacing w:val="-36"/>
        </w:rPr>
        <w:t> </w:t>
      </w:r>
      <w:r>
        <w:rPr>
          <w:rFonts w:ascii="宋体" w:hAnsi="宋体" w:cs="宋体" w:eastAsia="宋体" w:hint="default"/>
        </w:rPr>
        <w:t>1,125</w:t>
      </w:r>
      <w:r>
        <w:rPr>
          <w:rFonts w:ascii="宋体" w:hAnsi="宋体" w:cs="宋体" w:eastAsia="宋体" w:hint="default"/>
          <w:spacing w:val="-37"/>
        </w:rPr>
        <w:t> </w:t>
      </w:r>
      <w:r>
        <w:rPr>
          <w:rFonts w:ascii="宋体" w:hAnsi="宋体" w:cs="宋体" w:eastAsia="宋体" w:hint="default"/>
        </w:rPr>
        <w:t>万。</w:t>
      </w:r>
    </w:p>
    <w:p>
      <w:pPr>
        <w:spacing w:before="126"/>
        <w:ind w:left="1417"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四</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劳务外包情况</w:t>
      </w:r>
    </w:p>
    <w:p>
      <w:pPr>
        <w:spacing w:line="240" w:lineRule="auto" w:before="1"/>
        <w:rPr>
          <w:rFonts w:ascii="宋体" w:hAnsi="宋体" w:cs="宋体" w:eastAsia="宋体" w:hint="default"/>
          <w:sz w:val="20"/>
          <w:szCs w:val="20"/>
        </w:rPr>
      </w:pPr>
    </w:p>
    <w:p>
      <w:pPr>
        <w:spacing w:before="0"/>
        <w:ind w:left="0" w:right="848" w:firstLine="0"/>
        <w:jc w:val="right"/>
        <w:rPr>
          <w:rFonts w:ascii="宋体" w:hAnsi="宋体" w:cs="宋体" w:eastAsia="宋体" w:hint="default"/>
          <w:sz w:val="12"/>
          <w:szCs w:val="12"/>
        </w:rPr>
      </w:pPr>
      <w:r>
        <w:rPr>
          <w:rFonts w:ascii="宋体" w:hAnsi="宋体" w:cs="宋体" w:eastAsia="宋体" w:hint="default"/>
          <w:sz w:val="12"/>
          <w:szCs w:val="12"/>
        </w:rPr>
        <w:t>币种：人民币</w:t>
      </w:r>
    </w:p>
    <w:p>
      <w:pPr>
        <w:spacing w:line="240" w:lineRule="auto" w:before="5"/>
        <w:rPr>
          <w:rFonts w:ascii="宋体" w:hAnsi="宋体" w:cs="宋体" w:eastAsia="宋体" w:hint="default"/>
          <w:sz w:val="14"/>
          <w:szCs w:val="14"/>
        </w:rPr>
      </w:pPr>
    </w:p>
    <w:p>
      <w:pPr>
        <w:tabs>
          <w:tab w:pos="10171" w:val="left" w:leader="none"/>
        </w:tabs>
        <w:spacing w:before="41"/>
        <w:ind w:left="1842" w:right="764" w:firstLine="0"/>
        <w:jc w:val="left"/>
        <w:rPr>
          <w:rFonts w:ascii="宋体" w:hAnsi="宋体" w:cs="宋体" w:eastAsia="宋体" w:hint="default"/>
          <w:sz w:val="16"/>
          <w:szCs w:val="16"/>
        </w:rPr>
      </w:pPr>
      <w:r>
        <w:rPr>
          <w:rFonts w:ascii="宋体" w:hAnsi="宋体" w:cs="宋体" w:eastAsia="宋体" w:hint="default"/>
          <w:sz w:val="16"/>
          <w:szCs w:val="16"/>
        </w:rPr>
        <w:t>劳务外包的工时总数</w:t>
        <w:tab/>
      </w:r>
      <w:r>
        <w:rPr>
          <w:rFonts w:ascii="宋体" w:hAnsi="宋体" w:cs="宋体" w:eastAsia="宋体" w:hint="default"/>
          <w:sz w:val="16"/>
          <w:szCs w:val="16"/>
        </w:rPr>
        <w:t>30,110,849</w:t>
      </w:r>
    </w:p>
    <w:p>
      <w:pPr>
        <w:tabs>
          <w:tab w:pos="10055" w:val="left" w:leader="none"/>
        </w:tabs>
        <w:spacing w:before="86"/>
        <w:ind w:left="1842" w:right="764" w:firstLine="0"/>
        <w:jc w:val="left"/>
        <w:rPr>
          <w:rFonts w:ascii="宋体" w:hAnsi="宋体" w:cs="宋体" w:eastAsia="宋体" w:hint="default"/>
          <w:sz w:val="16"/>
          <w:szCs w:val="16"/>
        </w:rPr>
      </w:pPr>
      <w:r>
        <w:rPr>
          <w:rFonts w:ascii="宋体" w:hAnsi="宋体" w:cs="宋体" w:eastAsia="宋体" w:hint="default"/>
          <w:sz w:val="16"/>
          <w:szCs w:val="16"/>
        </w:rPr>
        <w:t>劳务外包支付的报酬总额</w:t>
        <w:tab/>
      </w:r>
      <w:r>
        <w:rPr>
          <w:rFonts w:ascii="宋体" w:hAnsi="宋体" w:cs="宋体" w:eastAsia="宋体" w:hint="default"/>
          <w:spacing w:val="-4"/>
          <w:sz w:val="16"/>
          <w:szCs w:val="16"/>
        </w:rPr>
        <w:t>147,753</w:t>
      </w:r>
      <w:r>
        <w:rPr>
          <w:rFonts w:ascii="宋体" w:hAnsi="宋体" w:cs="宋体" w:eastAsia="宋体" w:hint="default"/>
          <w:spacing w:val="-19"/>
          <w:sz w:val="16"/>
          <w:szCs w:val="16"/>
        </w:rPr>
        <w:t> </w:t>
      </w:r>
      <w:r>
        <w:rPr>
          <w:rFonts w:ascii="宋体" w:hAnsi="宋体" w:cs="宋体" w:eastAsia="宋体" w:hint="default"/>
          <w:spacing w:val="-4"/>
          <w:sz w:val="16"/>
          <w:szCs w:val="16"/>
        </w:rPr>
        <w:t>万元</w:t>
      </w:r>
      <w:r>
        <w:rPr>
          <w:rFonts w:ascii="宋体" w:hAnsi="宋体" w:cs="宋体" w:eastAsia="宋体" w:hint="default"/>
          <w:sz w:val="16"/>
          <w:szCs w:val="16"/>
        </w:rPr>
      </w:r>
    </w:p>
    <w:p>
      <w:pPr>
        <w:spacing w:line="240" w:lineRule="auto" w:before="1"/>
        <w:rPr>
          <w:rFonts w:ascii="宋体" w:hAnsi="宋体" w:cs="宋体" w:eastAsia="宋体" w:hint="default"/>
          <w:sz w:val="19"/>
          <w:szCs w:val="19"/>
        </w:rPr>
      </w:pPr>
    </w:p>
    <w:p>
      <w:pPr>
        <w:pStyle w:val="BodyText"/>
        <w:spacing w:line="240" w:lineRule="auto"/>
        <w:ind w:left="1757" w:right="764"/>
        <w:jc w:val="left"/>
        <w:rPr>
          <w:rFonts w:ascii="宋体" w:hAnsi="宋体" w:cs="宋体" w:eastAsia="宋体" w:hint="default"/>
        </w:rPr>
      </w:pPr>
      <w:r>
        <w:rPr>
          <w:rFonts w:ascii="宋体" w:hAnsi="宋体" w:cs="宋体" w:eastAsia="宋体" w:hint="default"/>
        </w:rPr>
        <w:t>（月平均工作日</w:t>
      </w:r>
      <w:r>
        <w:rPr>
          <w:rFonts w:ascii="宋体" w:hAnsi="宋体" w:cs="宋体" w:eastAsia="宋体" w:hint="default"/>
          <w:spacing w:val="-45"/>
        </w:rPr>
        <w:t> </w:t>
      </w:r>
      <w:r>
        <w:rPr>
          <w:rFonts w:ascii="宋体" w:hAnsi="宋体" w:cs="宋体" w:eastAsia="宋体" w:hint="default"/>
          <w:w w:val="92"/>
        </w:rPr>
        <w:t>21.96,</w:t>
      </w:r>
      <w:r>
        <w:rPr>
          <w:rFonts w:ascii="宋体" w:hAnsi="宋体" w:cs="宋体" w:eastAsia="宋体" w:hint="default"/>
          <w:spacing w:val="-46"/>
        </w:rPr>
        <w:t> </w:t>
      </w:r>
      <w:r>
        <w:rPr>
          <w:rFonts w:ascii="宋体" w:hAnsi="宋体" w:cs="宋体" w:eastAsia="宋体" w:hint="default"/>
        </w:rPr>
        <w:t>工作时间</w:t>
      </w:r>
      <w:r>
        <w:rPr>
          <w:rFonts w:ascii="宋体" w:hAnsi="宋体" w:cs="宋体" w:eastAsia="宋体" w:hint="default"/>
          <w:spacing w:val="-45"/>
        </w:rPr>
        <w:t> </w:t>
      </w:r>
      <w:r>
        <w:rPr>
          <w:rFonts w:ascii="宋体" w:hAnsi="宋体" w:cs="宋体" w:eastAsia="宋体" w:hint="default"/>
          <w:w w:val="111"/>
        </w:rPr>
        <w:t>8</w:t>
      </w:r>
      <w:r>
        <w:rPr>
          <w:rFonts w:ascii="宋体" w:hAnsi="宋体" w:cs="宋体" w:eastAsia="宋体" w:hint="default"/>
          <w:spacing w:val="-46"/>
        </w:rPr>
        <w:t> </w:t>
      </w:r>
      <w:r>
        <w:rPr>
          <w:rFonts w:ascii="宋体" w:hAnsi="宋体" w:cs="宋体" w:eastAsia="宋体" w:hint="default"/>
        </w:rPr>
        <w:t>小时计：工时总数＝</w:t>
      </w:r>
      <w:r>
        <w:rPr>
          <w:rFonts w:ascii="宋体" w:hAnsi="宋体" w:cs="宋体" w:eastAsia="宋体" w:hint="default"/>
          <w:spacing w:val="-45"/>
        </w:rPr>
        <w:t> </w:t>
      </w:r>
      <w:r>
        <w:rPr>
          <w:rFonts w:ascii="宋体" w:hAnsi="宋体" w:cs="宋体" w:eastAsia="宋体" w:hint="default"/>
          <w:w w:val="111"/>
        </w:rPr>
        <w:t>1</w:t>
      </w:r>
      <w:r>
        <w:rPr>
          <w:rFonts w:ascii="宋体" w:hAnsi="宋体" w:cs="宋体" w:eastAsia="宋体" w:hint="default"/>
          <w:spacing w:val="-1"/>
          <w:w w:val="111"/>
        </w:rPr>
        <w:t>4</w:t>
      </w:r>
      <w:r>
        <w:rPr>
          <w:rFonts w:ascii="宋体" w:hAnsi="宋体" w:cs="宋体" w:eastAsia="宋体" w:hint="default"/>
          <w:w w:val="55"/>
          <w:position w:val="1"/>
          <w:sz w:val="16"/>
          <w:szCs w:val="16"/>
        </w:rPr>
        <w:t>,</w:t>
      </w:r>
      <w:r>
        <w:rPr>
          <w:rFonts w:ascii="宋体" w:hAnsi="宋体" w:cs="宋体" w:eastAsia="宋体" w:hint="default"/>
          <w:w w:val="108"/>
        </w:rPr>
        <w:t>283*21.96*8*12=3</w:t>
      </w:r>
      <w:r>
        <w:rPr>
          <w:rFonts w:ascii="宋体" w:hAnsi="宋体" w:cs="宋体" w:eastAsia="宋体" w:hint="default"/>
          <w:spacing w:val="-1"/>
          <w:w w:val="108"/>
        </w:rPr>
        <w:t>0</w:t>
      </w:r>
      <w:r>
        <w:rPr>
          <w:rFonts w:ascii="宋体" w:hAnsi="宋体" w:cs="宋体" w:eastAsia="宋体" w:hint="default"/>
          <w:w w:val="55"/>
          <w:position w:val="1"/>
          <w:sz w:val="16"/>
          <w:szCs w:val="16"/>
        </w:rPr>
        <w:t>,</w:t>
      </w:r>
      <w:r>
        <w:rPr>
          <w:rFonts w:ascii="宋体" w:hAnsi="宋体" w:cs="宋体" w:eastAsia="宋体" w:hint="default"/>
          <w:w w:val="111"/>
        </w:rPr>
        <w:t>11</w:t>
      </w:r>
      <w:r>
        <w:rPr>
          <w:rFonts w:ascii="宋体" w:hAnsi="宋体" w:cs="宋体" w:eastAsia="宋体" w:hint="default"/>
          <w:spacing w:val="-1"/>
          <w:w w:val="111"/>
        </w:rPr>
        <w:t>0</w:t>
      </w:r>
      <w:r>
        <w:rPr>
          <w:rFonts w:ascii="宋体" w:hAnsi="宋体" w:cs="宋体" w:eastAsia="宋体" w:hint="default"/>
          <w:w w:val="55"/>
          <w:position w:val="1"/>
          <w:sz w:val="16"/>
          <w:szCs w:val="16"/>
        </w:rPr>
        <w:t>,</w:t>
      </w:r>
      <w:r>
        <w:rPr>
          <w:rFonts w:ascii="宋体" w:hAnsi="宋体" w:cs="宋体" w:eastAsia="宋体" w:hint="default"/>
          <w:w w:val="106"/>
        </w:rPr>
        <w:t>849）</w:t>
      </w:r>
      <w:r>
        <w:rPr>
          <w:rFonts w:ascii="宋体" w:hAnsi="宋体" w:cs="宋体" w:eastAsia="宋体" w:hint="default"/>
        </w:rPr>
      </w:r>
    </w:p>
    <w:p>
      <w:pPr>
        <w:spacing w:after="0" w:line="240" w:lineRule="auto"/>
        <w:jc w:val="left"/>
        <w:rPr>
          <w:rFonts w:ascii="宋体" w:hAnsi="宋体" w:cs="宋体" w:eastAsia="宋体" w:hint="default"/>
        </w:rPr>
        <w:sectPr>
          <w:pgSz w:w="11910" w:h="16160"/>
          <w:pgMar w:header="0" w:footer="298" w:top="2060" w:bottom="480" w:left="0" w:right="0"/>
        </w:sectPr>
      </w:pPr>
    </w:p>
    <w:p>
      <w:pPr>
        <w:spacing w:line="451" w:lineRule="exact" w:before="0"/>
        <w:ind w:left="113" w:right="87" w:firstLine="0"/>
        <w:jc w:val="left"/>
        <w:rPr>
          <w:rFonts w:ascii="宋体" w:hAnsi="宋体" w:cs="宋体" w:eastAsia="宋体" w:hint="default"/>
          <w:sz w:val="44"/>
          <w:szCs w:val="44"/>
        </w:rPr>
      </w:pPr>
      <w:r>
        <w:rPr>
          <w:rFonts w:ascii="宋体" w:hAnsi="宋体" w:cs="宋体" w:eastAsia="宋体" w:hint="default"/>
          <w:color w:val="D7000F"/>
          <w:spacing w:val="78"/>
          <w:w w:val="85"/>
          <w:sz w:val="44"/>
          <w:szCs w:val="44"/>
        </w:rPr>
        <w:t>公司治理</w:t>
      </w:r>
      <w:r>
        <w:rPr>
          <w:rFonts w:ascii="宋体" w:hAnsi="宋体" w:cs="宋体" w:eastAsia="宋体" w:hint="default"/>
          <w:color w:val="D7000F"/>
          <w:spacing w:val="-141"/>
          <w:sz w:val="44"/>
          <w:szCs w:val="44"/>
        </w:rPr>
        <w:t> </w:t>
      </w:r>
      <w:r>
        <w:rPr>
          <w:rFonts w:ascii="宋体" w:hAnsi="宋体" w:cs="宋体" w:eastAsia="宋体" w:hint="default"/>
          <w:sz w:val="44"/>
          <w:szCs w:val="44"/>
        </w:rPr>
      </w:r>
    </w:p>
    <w:p>
      <w:pPr>
        <w:spacing w:line="240" w:lineRule="auto" w:before="10"/>
        <w:rPr>
          <w:rFonts w:ascii="宋体" w:hAnsi="宋体" w:cs="宋体" w:eastAsia="宋体" w:hint="default"/>
          <w:sz w:val="31"/>
          <w:szCs w:val="31"/>
        </w:rPr>
      </w:pPr>
    </w:p>
    <w:p>
      <w:pPr>
        <w:spacing w:before="0"/>
        <w:ind w:left="170" w:right="87" w:firstLine="0"/>
        <w:jc w:val="left"/>
        <w:rPr>
          <w:rFonts w:ascii="宋体" w:hAnsi="宋体" w:cs="宋体" w:eastAsia="宋体" w:hint="default"/>
          <w:sz w:val="96"/>
          <w:szCs w:val="96"/>
        </w:rPr>
      </w:pPr>
      <w:r>
        <w:rPr>
          <w:rFonts w:ascii="宋体" w:hAnsi="宋体" w:cs="宋体" w:eastAsia="宋体" w:hint="default"/>
          <w:sz w:val="96"/>
          <w:szCs w:val="96"/>
        </w:rPr>
        <w:t>公司治理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8"/>
          <w:szCs w:val="28"/>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FFFFFF"/>
        </w:rPr>
        <w:t>一、公司治理相关情况说明</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453" w:right="4251"/>
        <w:jc w:val="left"/>
        <w:rPr>
          <w:rFonts w:ascii="宋体" w:hAnsi="宋体" w:cs="宋体" w:eastAsia="宋体" w:hint="default"/>
        </w:rPr>
      </w:pPr>
      <w:r>
        <w:rPr>
          <w:rFonts w:ascii="宋体" w:hAnsi="宋体" w:cs="宋体" w:eastAsia="宋体" w:hint="default"/>
        </w:rPr>
        <w:t>本公司严格按照《公司法》《证券法》和中国证监会、上海证券</w:t>
      </w:r>
      <w:r>
        <w:rPr>
          <w:rFonts w:ascii="宋体" w:hAnsi="宋体" w:cs="宋体" w:eastAsia="宋体" w:hint="default"/>
          <w:spacing w:val="-68"/>
        </w:rPr>
        <w:t> </w:t>
      </w:r>
      <w:r>
        <w:rPr>
          <w:rFonts w:ascii="宋体" w:hAnsi="宋体" w:cs="宋体" w:eastAsia="宋体" w:hint="default"/>
          <w:spacing w:val="-68"/>
        </w:rPr>
      </w:r>
      <w:r>
        <w:rPr>
          <w:rFonts w:ascii="宋体" w:hAnsi="宋体" w:cs="宋体" w:eastAsia="宋体" w:hint="default"/>
          <w:spacing w:val="4"/>
        </w:rPr>
        <w:t>交易所有关公司治理的要求，持续提升公司治理水平，优化公</w:t>
      </w:r>
      <w:r>
        <w:rPr>
          <w:rFonts w:ascii="宋体" w:hAnsi="宋体" w:cs="宋体" w:eastAsia="宋体" w:hint="default"/>
          <w:spacing w:val="-73"/>
        </w:rPr>
        <w:t> </w:t>
      </w:r>
      <w:r>
        <w:rPr>
          <w:rFonts w:ascii="宋体" w:hAnsi="宋体" w:cs="宋体" w:eastAsia="宋体" w:hint="default"/>
          <w:spacing w:val="-73"/>
        </w:rPr>
      </w:r>
      <w:r>
        <w:rPr>
          <w:rFonts w:ascii="宋体" w:hAnsi="宋体" w:cs="宋体" w:eastAsia="宋体" w:hint="default"/>
        </w:rPr>
        <w:t>司治理制度体系和运行机制，建立健全内部控制和风险管理体</w:t>
      </w:r>
      <w:r>
        <w:rPr>
          <w:rFonts w:ascii="宋体" w:hAnsi="宋体" w:cs="宋体" w:eastAsia="宋体" w:hint="default"/>
        </w:rPr>
        <w:t> </w:t>
      </w:r>
      <w:r>
        <w:rPr>
          <w:rFonts w:ascii="宋体" w:hAnsi="宋体" w:cs="宋体" w:eastAsia="宋体" w:hint="default"/>
          <w:spacing w:val="2"/>
        </w:rPr>
        <w:t>系，依法履行信息披露义务，加强投资者关系管理，确保公</w:t>
      </w:r>
      <w:r>
        <w:rPr>
          <w:rFonts w:ascii="宋体" w:hAnsi="宋体" w:cs="宋体" w:eastAsia="宋体" w:hint="default"/>
          <w:spacing w:val="-74"/>
        </w:rPr>
        <w:t> </w:t>
      </w:r>
      <w:r>
        <w:rPr>
          <w:rFonts w:ascii="宋体" w:hAnsi="宋体" w:cs="宋体" w:eastAsia="宋体" w:hint="default"/>
          <w:spacing w:val="-74"/>
        </w:rPr>
      </w:r>
      <w:r>
        <w:rPr>
          <w:rFonts w:ascii="宋体" w:hAnsi="宋体" w:cs="宋体" w:eastAsia="宋体" w:hint="default"/>
          <w:spacing w:val="5"/>
        </w:rPr>
        <w:t>司规范运作，保障投资者利益。本公司股东会、董事会、</w:t>
      </w:r>
      <w:r>
        <w:rPr>
          <w:rFonts w:ascii="宋体" w:hAnsi="宋体" w:cs="宋体" w:eastAsia="宋体" w:hint="default"/>
          <w:spacing w:val="-76"/>
        </w:rPr>
        <w:t> </w:t>
      </w:r>
      <w:r>
        <w:rPr>
          <w:rFonts w:ascii="宋体" w:hAnsi="宋体" w:cs="宋体" w:eastAsia="宋体" w:hint="default"/>
          <w:spacing w:val="-76"/>
        </w:rPr>
      </w:r>
      <w:r>
        <w:rPr>
          <w:rFonts w:ascii="宋体" w:hAnsi="宋体" w:cs="宋体" w:eastAsia="宋体" w:hint="default"/>
        </w:rPr>
        <w:t>监事会及董事会各专门委员会有关职权范围请见公司在上</w:t>
      </w:r>
      <w:r>
        <w:rPr>
          <w:rFonts w:ascii="宋体" w:hAnsi="宋体" w:cs="宋体" w:eastAsia="宋体" w:hint="default"/>
          <w:spacing w:val="-66"/>
        </w:rPr>
        <w:t> </w:t>
      </w:r>
      <w:r>
        <w:rPr>
          <w:rFonts w:ascii="宋体" w:hAnsi="宋体" w:cs="宋体" w:eastAsia="宋体" w:hint="default"/>
          <w:spacing w:val="-66"/>
        </w:rPr>
      </w:r>
      <w:r>
        <w:rPr>
          <w:rFonts w:ascii="宋体" w:hAnsi="宋体" w:cs="宋体" w:eastAsia="宋体" w:hint="default"/>
          <w:spacing w:val="3"/>
        </w:rPr>
        <w:t>交所及公司网站公布的《公司章程》、相关议事规则及</w:t>
      </w:r>
      <w:r>
        <w:rPr>
          <w:rFonts w:ascii="宋体" w:hAnsi="宋体" w:cs="宋体" w:eastAsia="宋体" w:hint="default"/>
          <w:spacing w:val="-77"/>
        </w:rPr>
        <w:t> </w:t>
      </w:r>
      <w:r>
        <w:rPr>
          <w:rFonts w:ascii="宋体" w:hAnsi="宋体" w:cs="宋体" w:eastAsia="宋体" w:hint="default"/>
          <w:spacing w:val="-77"/>
        </w:rPr>
      </w:r>
      <w:r>
        <w:rPr>
          <w:rFonts w:ascii="宋体" w:hAnsi="宋体" w:cs="宋体" w:eastAsia="宋体" w:hint="default"/>
        </w:rPr>
        <w:t>工作细则。</w:t>
      </w:r>
    </w:p>
    <w:p>
      <w:pPr>
        <w:spacing w:after="0" w:line="285" w:lineRule="auto"/>
        <w:jc w:val="left"/>
        <w:rPr>
          <w:rFonts w:ascii="宋体" w:hAnsi="宋体" w:cs="宋体" w:eastAsia="宋体" w:hint="default"/>
        </w:rPr>
        <w:sectPr>
          <w:headerReference w:type="even" r:id="rId214"/>
          <w:footerReference w:type="even" r:id="rId215"/>
          <w:pgSz w:w="11910" w:h="16160"/>
          <w:pgMar w:header="0" w:footer="0" w:top="1400" w:bottom="0" w:left="680" w:right="1280"/>
        </w:sectPr>
      </w:pPr>
    </w:p>
    <w:p>
      <w:pPr>
        <w:pStyle w:val="BodyText"/>
        <w:spacing w:line="240" w:lineRule="auto" w:before="123"/>
        <w:ind w:left="453" w:right="0"/>
        <w:jc w:val="left"/>
        <w:rPr>
          <w:rFonts w:ascii="宋体" w:hAnsi="宋体" w:cs="宋体" w:eastAsia="宋体" w:hint="default"/>
        </w:rPr>
      </w:pPr>
      <w:r>
        <w:rPr>
          <w:rFonts w:ascii="宋体" w:hAnsi="宋体" w:cs="宋体" w:eastAsia="宋体" w:hint="default"/>
          <w:spacing w:val="7"/>
          <w:w w:val="105"/>
        </w:rPr>
        <w:t>报告期内，公司分别于</w:t>
      </w:r>
      <w:r>
        <w:rPr>
          <w:rFonts w:ascii="宋体" w:hAnsi="宋体" w:cs="宋体" w:eastAsia="宋体" w:hint="default"/>
          <w:spacing w:val="-68"/>
          <w:w w:val="105"/>
        </w:rPr>
        <w:t> </w:t>
      </w:r>
      <w:r>
        <w:rPr>
          <w:rFonts w:ascii="宋体" w:hAnsi="宋体" w:cs="宋体" w:eastAsia="宋体" w:hint="default"/>
          <w:w w:val="105"/>
        </w:rPr>
        <w:t>2018</w:t>
      </w:r>
      <w:r>
        <w:rPr>
          <w:rFonts w:ascii="宋体" w:hAnsi="宋体" w:cs="宋体" w:eastAsia="宋体" w:hint="default"/>
          <w:spacing w:val="-68"/>
          <w:w w:val="105"/>
        </w:rPr>
        <w:t> </w:t>
      </w:r>
      <w:r>
        <w:rPr>
          <w:rFonts w:ascii="宋体" w:hAnsi="宋体" w:cs="宋体" w:eastAsia="宋体" w:hint="default"/>
          <w:w w:val="105"/>
        </w:rPr>
        <w:t>年</w:t>
      </w:r>
      <w:r>
        <w:rPr>
          <w:rFonts w:ascii="宋体" w:hAnsi="宋体" w:cs="宋体" w:eastAsia="宋体" w:hint="default"/>
          <w:spacing w:val="-68"/>
          <w:w w:val="105"/>
        </w:rPr>
        <w:t> </w:t>
      </w:r>
      <w:r>
        <w:rPr>
          <w:rFonts w:ascii="宋体" w:hAnsi="宋体" w:cs="宋体" w:eastAsia="宋体" w:hint="default"/>
          <w:w w:val="105"/>
        </w:rPr>
        <w:t>1</w:t>
      </w:r>
      <w:r>
        <w:rPr>
          <w:rFonts w:ascii="宋体" w:hAnsi="宋体" w:cs="宋体" w:eastAsia="宋体" w:hint="default"/>
          <w:spacing w:val="-68"/>
          <w:w w:val="105"/>
        </w:rPr>
        <w:t> </w:t>
      </w:r>
      <w:r>
        <w:rPr>
          <w:rFonts w:ascii="宋体" w:hAnsi="宋体" w:cs="宋体" w:eastAsia="宋体" w:hint="default"/>
          <w:w w:val="105"/>
        </w:rPr>
        <w:t>月</w:t>
      </w:r>
      <w:r>
        <w:rPr>
          <w:rFonts w:ascii="宋体" w:hAnsi="宋体" w:cs="宋体" w:eastAsia="宋体" w:hint="default"/>
          <w:spacing w:val="-68"/>
          <w:w w:val="105"/>
        </w:rPr>
        <w:t> </w:t>
      </w:r>
      <w:r>
        <w:rPr>
          <w:rFonts w:ascii="宋体" w:hAnsi="宋体" w:cs="宋体" w:eastAsia="宋体" w:hint="default"/>
          <w:w w:val="105"/>
        </w:rPr>
        <w:t>23</w:t>
      </w:r>
      <w:r>
        <w:rPr>
          <w:rFonts w:ascii="宋体" w:hAnsi="宋体" w:cs="宋体" w:eastAsia="宋体" w:hint="default"/>
          <w:spacing w:val="-68"/>
          <w:w w:val="105"/>
        </w:rPr>
        <w:t> </w:t>
      </w:r>
      <w:r>
        <w:rPr>
          <w:rFonts w:ascii="宋体" w:hAnsi="宋体" w:cs="宋体" w:eastAsia="宋体" w:hint="default"/>
          <w:spacing w:val="9"/>
          <w:w w:val="105"/>
        </w:rPr>
        <w:t>日召开第五</w:t>
      </w:r>
      <w:r>
        <w:rPr>
          <w:rFonts w:ascii="宋体" w:hAnsi="宋体" w:cs="宋体" w:eastAsia="宋体" w:hint="default"/>
          <w:w w:val="105"/>
        </w:rPr>
      </w:r>
    </w:p>
    <w:p>
      <w:pPr>
        <w:pStyle w:val="BodyText"/>
        <w:spacing w:line="240" w:lineRule="auto" w:before="44"/>
        <w:ind w:left="453" w:right="0"/>
        <w:jc w:val="left"/>
        <w:rPr>
          <w:rFonts w:ascii="宋体" w:hAnsi="宋体" w:cs="宋体" w:eastAsia="宋体" w:hint="default"/>
        </w:rPr>
      </w:pPr>
      <w:r>
        <w:rPr>
          <w:rFonts w:ascii="宋体" w:hAnsi="宋体" w:cs="宋体" w:eastAsia="宋体" w:hint="default"/>
          <w:spacing w:val="6"/>
          <w:w w:val="105"/>
        </w:rPr>
        <w:t>届董事会第十四次会议、于</w:t>
      </w:r>
      <w:r>
        <w:rPr>
          <w:rFonts w:ascii="宋体" w:hAnsi="宋体" w:cs="宋体" w:eastAsia="宋体" w:hint="default"/>
          <w:spacing w:val="-67"/>
          <w:w w:val="105"/>
        </w:rPr>
        <w:t> </w:t>
      </w:r>
      <w:r>
        <w:rPr>
          <w:rFonts w:ascii="宋体" w:hAnsi="宋体" w:cs="宋体" w:eastAsia="宋体" w:hint="default"/>
          <w:w w:val="105"/>
        </w:rPr>
        <w:t>2018</w:t>
      </w:r>
      <w:r>
        <w:rPr>
          <w:rFonts w:ascii="宋体" w:hAnsi="宋体" w:cs="宋体" w:eastAsia="宋体" w:hint="default"/>
          <w:spacing w:val="-67"/>
          <w:w w:val="105"/>
        </w:rPr>
        <w:t> </w:t>
      </w:r>
      <w:r>
        <w:rPr>
          <w:rFonts w:ascii="宋体" w:hAnsi="宋体" w:cs="宋体" w:eastAsia="宋体" w:hint="default"/>
          <w:w w:val="105"/>
        </w:rPr>
        <w:t>年</w:t>
      </w:r>
      <w:r>
        <w:rPr>
          <w:rFonts w:ascii="宋体" w:hAnsi="宋体" w:cs="宋体" w:eastAsia="宋体" w:hint="default"/>
          <w:spacing w:val="-67"/>
          <w:w w:val="105"/>
        </w:rPr>
        <w:t> </w:t>
      </w:r>
      <w:r>
        <w:rPr>
          <w:rFonts w:ascii="宋体" w:hAnsi="宋体" w:cs="宋体" w:eastAsia="宋体" w:hint="default"/>
          <w:w w:val="105"/>
        </w:rPr>
        <w:t>2</w:t>
      </w:r>
      <w:r>
        <w:rPr>
          <w:rFonts w:ascii="宋体" w:hAnsi="宋体" w:cs="宋体" w:eastAsia="宋体" w:hint="default"/>
          <w:spacing w:val="-67"/>
          <w:w w:val="105"/>
        </w:rPr>
        <w:t> </w:t>
      </w:r>
      <w:r>
        <w:rPr>
          <w:rFonts w:ascii="宋体" w:hAnsi="宋体" w:cs="宋体" w:eastAsia="宋体" w:hint="default"/>
          <w:w w:val="105"/>
        </w:rPr>
        <w:t>月</w:t>
      </w:r>
      <w:r>
        <w:rPr>
          <w:rFonts w:ascii="宋体" w:hAnsi="宋体" w:cs="宋体" w:eastAsia="宋体" w:hint="default"/>
          <w:spacing w:val="-67"/>
          <w:w w:val="105"/>
        </w:rPr>
        <w:t> </w:t>
      </w:r>
      <w:r>
        <w:rPr>
          <w:rFonts w:ascii="宋体" w:hAnsi="宋体" w:cs="宋体" w:eastAsia="宋体" w:hint="default"/>
          <w:w w:val="105"/>
        </w:rPr>
        <w:t>8</w:t>
      </w:r>
      <w:r>
        <w:rPr>
          <w:rFonts w:ascii="宋体" w:hAnsi="宋体" w:cs="宋体" w:eastAsia="宋体" w:hint="default"/>
          <w:spacing w:val="-67"/>
          <w:w w:val="105"/>
        </w:rPr>
        <w:t> </w:t>
      </w:r>
      <w:r>
        <w:rPr>
          <w:rFonts w:ascii="宋体" w:hAnsi="宋体" w:cs="宋体" w:eastAsia="宋体" w:hint="default"/>
          <w:spacing w:val="8"/>
          <w:w w:val="105"/>
        </w:rPr>
        <w:t>日召开</w:t>
      </w:r>
      <w:r>
        <w:rPr>
          <w:rFonts w:ascii="宋体" w:hAnsi="宋体" w:cs="宋体" w:eastAsia="宋体" w:hint="default"/>
          <w:w w:val="105"/>
        </w:rPr>
      </w:r>
    </w:p>
    <w:p>
      <w:pPr>
        <w:pStyle w:val="BodyText"/>
        <w:spacing w:line="285" w:lineRule="auto" w:before="44"/>
        <w:ind w:left="453" w:right="224"/>
        <w:jc w:val="left"/>
        <w:rPr>
          <w:rFonts w:ascii="宋体" w:hAnsi="宋体" w:cs="宋体" w:eastAsia="宋体" w:hint="default"/>
        </w:rPr>
      </w:pPr>
      <w:r>
        <w:rPr>
          <w:rFonts w:ascii="宋体" w:hAnsi="宋体" w:cs="宋体" w:eastAsia="宋体" w:hint="default"/>
        </w:rPr>
        <w:t>2018 </w:t>
      </w:r>
      <w:r>
        <w:rPr>
          <w:rFonts w:ascii="宋体" w:hAnsi="宋体" w:cs="宋体" w:eastAsia="宋体" w:hint="default"/>
          <w:spacing w:val="3"/>
        </w:rPr>
        <w:t>年第一次临时股东大会，审议通过了有关修</w:t>
      </w:r>
      <w:r>
        <w:rPr>
          <w:rFonts w:ascii="宋体" w:hAnsi="宋体" w:cs="宋体" w:eastAsia="宋体" w:hint="default"/>
          <w:spacing w:val="-83"/>
        </w:rPr>
        <w:t> </w:t>
      </w:r>
      <w:r>
        <w:rPr>
          <w:rFonts w:ascii="宋体" w:hAnsi="宋体" w:cs="宋体" w:eastAsia="宋体" w:hint="default"/>
          <w:spacing w:val="-83"/>
        </w:rPr>
      </w:r>
      <w:r>
        <w:rPr>
          <w:rFonts w:ascii="宋体" w:hAnsi="宋体" w:cs="宋体" w:eastAsia="宋体" w:hint="default"/>
        </w:rPr>
        <w:t>订《公司章程》以及董事会、监事会提前换届选</w:t>
      </w:r>
      <w:r>
        <w:rPr>
          <w:rFonts w:ascii="宋体" w:hAnsi="宋体" w:cs="宋体" w:eastAsia="宋体" w:hint="default"/>
          <w:spacing w:val="-54"/>
        </w:rPr>
        <w:t> </w:t>
      </w:r>
      <w:r>
        <w:rPr>
          <w:rFonts w:ascii="宋体" w:hAnsi="宋体" w:cs="宋体" w:eastAsia="宋体" w:hint="default"/>
          <w:spacing w:val="-54"/>
        </w:rPr>
      </w:r>
      <w:r>
        <w:rPr>
          <w:rFonts w:ascii="宋体" w:hAnsi="宋体" w:cs="宋体" w:eastAsia="宋体" w:hint="default"/>
          <w:spacing w:val="4"/>
        </w:rPr>
        <w:t>举的议案，选举成立第六届董事会及第六届监</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spacing w:val="3"/>
        </w:rPr>
        <w:t>事会。公司第六届董事会人数增加至</w:t>
      </w:r>
      <w:r>
        <w:rPr>
          <w:rFonts w:ascii="宋体" w:hAnsi="宋体" w:cs="宋体" w:eastAsia="宋体" w:hint="default"/>
          <w:spacing w:val="-34"/>
        </w:rPr>
        <w:t> </w:t>
      </w:r>
      <w:r>
        <w:rPr>
          <w:rFonts w:ascii="宋体" w:hAnsi="宋体" w:cs="宋体" w:eastAsia="宋体" w:hint="default"/>
        </w:rPr>
        <w:t>13</w:t>
      </w:r>
      <w:r>
        <w:rPr>
          <w:rFonts w:ascii="宋体" w:hAnsi="宋体" w:cs="宋体" w:eastAsia="宋体" w:hint="default"/>
          <w:spacing w:val="-34"/>
        </w:rPr>
        <w:t> </w:t>
      </w:r>
      <w:r>
        <w:rPr>
          <w:rFonts w:ascii="宋体" w:hAnsi="宋体" w:cs="宋体" w:eastAsia="宋体" w:hint="default"/>
        </w:rPr>
        <w:t>名，</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spacing w:val="3"/>
        </w:rPr>
        <w:t>包括</w:t>
      </w:r>
      <w:r>
        <w:rPr>
          <w:rFonts w:ascii="宋体" w:hAnsi="宋体" w:cs="宋体" w:eastAsia="宋体" w:hint="default"/>
          <w:spacing w:val="-43"/>
        </w:rPr>
        <w:t> </w:t>
      </w:r>
      <w:r>
        <w:rPr>
          <w:rFonts w:ascii="宋体" w:hAnsi="宋体" w:cs="宋体" w:eastAsia="宋体" w:hint="default"/>
        </w:rPr>
        <w:t>3</w:t>
      </w:r>
      <w:r>
        <w:rPr>
          <w:rFonts w:ascii="宋体" w:hAnsi="宋体" w:cs="宋体" w:eastAsia="宋体" w:hint="default"/>
          <w:spacing w:val="-43"/>
        </w:rPr>
        <w:t> </w:t>
      </w:r>
      <w:r>
        <w:rPr>
          <w:rFonts w:ascii="宋体" w:hAnsi="宋体" w:cs="宋体" w:eastAsia="宋体" w:hint="default"/>
          <w:spacing w:val="4"/>
        </w:rPr>
        <w:t>名公司内部董事、5</w:t>
      </w:r>
      <w:r>
        <w:rPr>
          <w:rFonts w:ascii="宋体" w:hAnsi="宋体" w:cs="宋体" w:eastAsia="宋体" w:hint="default"/>
          <w:spacing w:val="-43"/>
        </w:rPr>
        <w:t> </w:t>
      </w:r>
      <w:r>
        <w:rPr>
          <w:rFonts w:ascii="宋体" w:hAnsi="宋体" w:cs="宋体" w:eastAsia="宋体" w:hint="default"/>
          <w:spacing w:val="6"/>
        </w:rPr>
        <w:t>名由新引入的国</w:t>
      </w:r>
      <w:r>
        <w:rPr>
          <w:rFonts w:ascii="宋体" w:hAnsi="宋体" w:cs="宋体" w:eastAsia="宋体" w:hint="default"/>
          <w:spacing w:val="-75"/>
        </w:rPr>
        <w:t> </w:t>
      </w:r>
      <w:r>
        <w:rPr>
          <w:rFonts w:ascii="宋体" w:hAnsi="宋体" w:cs="宋体" w:eastAsia="宋体" w:hint="default"/>
          <w:spacing w:val="-75"/>
        </w:rPr>
      </w:r>
      <w:r>
        <w:rPr>
          <w:rFonts w:ascii="宋体" w:hAnsi="宋体" w:cs="宋体" w:eastAsia="宋体" w:hint="default"/>
          <w:spacing w:val="7"/>
        </w:rPr>
        <w:t>有股东和非国有股东代表担任的董事，以</w:t>
      </w:r>
      <w:r>
        <w:rPr>
          <w:rFonts w:ascii="宋体" w:hAnsi="宋体" w:cs="宋体" w:eastAsia="宋体" w:hint="default"/>
        </w:rPr>
      </w:r>
    </w:p>
    <w:p>
      <w:pPr>
        <w:pStyle w:val="BodyText"/>
        <w:spacing w:line="240" w:lineRule="auto" w:before="10"/>
        <w:ind w:left="453" w:right="0"/>
        <w:jc w:val="left"/>
        <w:rPr>
          <w:rFonts w:ascii="宋体" w:hAnsi="宋体" w:cs="宋体" w:eastAsia="宋体" w:hint="default"/>
        </w:rPr>
      </w:pPr>
      <w:r>
        <w:rPr>
          <w:rFonts w:ascii="宋体" w:hAnsi="宋体" w:cs="宋体" w:eastAsia="宋体" w:hint="default"/>
        </w:rPr>
        <w:t>及</w:t>
      </w:r>
      <w:r>
        <w:rPr>
          <w:rFonts w:ascii="宋体" w:hAnsi="宋体" w:cs="宋体" w:eastAsia="宋体" w:hint="default"/>
          <w:spacing w:val="-50"/>
        </w:rPr>
        <w:t> </w:t>
      </w:r>
      <w:r>
        <w:rPr>
          <w:rFonts w:ascii="宋体" w:hAnsi="宋体" w:cs="宋体" w:eastAsia="宋体" w:hint="default"/>
        </w:rPr>
        <w:t>5</w:t>
      </w:r>
      <w:r>
        <w:rPr>
          <w:rFonts w:ascii="宋体" w:hAnsi="宋体" w:cs="宋体" w:eastAsia="宋体" w:hint="default"/>
          <w:spacing w:val="-50"/>
        </w:rPr>
        <w:t> </w:t>
      </w:r>
      <w:r>
        <w:rPr>
          <w:rFonts w:ascii="宋体" w:hAnsi="宋体" w:cs="宋体" w:eastAsia="宋体" w:hint="default"/>
          <w:spacing w:val="-4"/>
        </w:rPr>
        <w:t>名独立董事。公司监事会人数为</w:t>
      </w:r>
      <w:r>
        <w:rPr>
          <w:rFonts w:ascii="宋体" w:hAnsi="宋体" w:cs="宋体" w:eastAsia="宋体" w:hint="default"/>
          <w:spacing w:val="-50"/>
        </w:rPr>
        <w:t> </w:t>
      </w:r>
      <w:r>
        <w:rPr>
          <w:rFonts w:ascii="宋体" w:hAnsi="宋体" w:cs="宋体" w:eastAsia="宋体" w:hint="default"/>
        </w:rPr>
        <w:t>3</w:t>
      </w:r>
      <w:r>
        <w:rPr>
          <w:rFonts w:ascii="宋体" w:hAnsi="宋体" w:cs="宋体" w:eastAsia="宋体" w:hint="default"/>
          <w:spacing w:val="-50"/>
        </w:rPr>
        <w:t> </w:t>
      </w:r>
      <w:r>
        <w:rPr>
          <w:rFonts w:ascii="宋体" w:hAnsi="宋体" w:cs="宋体" w:eastAsia="宋体" w:hint="default"/>
        </w:rPr>
        <w:t>名，</w:t>
      </w:r>
    </w:p>
    <w:p>
      <w:pPr>
        <w:pStyle w:val="BodyText"/>
        <w:spacing w:line="240" w:lineRule="auto" w:before="44"/>
        <w:ind w:left="453" w:right="0"/>
        <w:jc w:val="left"/>
        <w:rPr>
          <w:rFonts w:ascii="宋体" w:hAnsi="宋体" w:cs="宋体" w:eastAsia="宋体" w:hint="default"/>
        </w:rPr>
      </w:pPr>
      <w:r>
        <w:rPr>
          <w:rFonts w:ascii="宋体" w:hAnsi="宋体" w:cs="宋体" w:eastAsia="宋体" w:hint="default"/>
          <w:spacing w:val="4"/>
        </w:rPr>
        <w:t>其中包括</w:t>
      </w:r>
      <w:r>
        <w:rPr>
          <w:rFonts w:ascii="宋体" w:hAnsi="宋体" w:cs="宋体" w:eastAsia="宋体" w:hint="default"/>
          <w:spacing w:val="-36"/>
        </w:rPr>
        <w:t> </w:t>
      </w:r>
      <w:r>
        <w:rPr>
          <w:rFonts w:ascii="宋体" w:hAnsi="宋体" w:cs="宋体" w:eastAsia="宋体" w:hint="default"/>
        </w:rPr>
        <w:t>1</w:t>
      </w:r>
      <w:r>
        <w:rPr>
          <w:rFonts w:ascii="宋体" w:hAnsi="宋体" w:cs="宋体" w:eastAsia="宋体" w:hint="default"/>
          <w:spacing w:val="-36"/>
        </w:rPr>
        <w:t> </w:t>
      </w:r>
      <w:r>
        <w:rPr>
          <w:rFonts w:ascii="宋体" w:hAnsi="宋体" w:cs="宋体" w:eastAsia="宋体" w:hint="default"/>
          <w:spacing w:val="5"/>
        </w:rPr>
        <w:t>名由新引入股东代表担任的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10"/>
        <w:rPr>
          <w:rFonts w:ascii="宋体" w:hAnsi="宋体" w:cs="宋体" w:eastAsia="宋体" w:hint="default"/>
          <w:sz w:val="24"/>
          <w:szCs w:val="24"/>
        </w:rPr>
      </w:pPr>
    </w:p>
    <w:p>
      <w:pPr>
        <w:pStyle w:val="BodyText"/>
        <w:spacing w:line="285" w:lineRule="auto"/>
        <w:ind w:left="599" w:right="193" w:firstLine="220"/>
        <w:jc w:val="right"/>
        <w:rPr>
          <w:rFonts w:ascii="宋体" w:hAnsi="宋体" w:cs="宋体" w:eastAsia="宋体" w:hint="default"/>
        </w:rPr>
      </w:pPr>
      <w:r>
        <w:rPr>
          <w:rFonts w:ascii="宋体" w:hAnsi="宋体" w:cs="宋体" w:eastAsia="宋体" w:hint="default"/>
          <w:spacing w:val="4"/>
        </w:rPr>
        <w:t>与考核委员会及审计委员会委员，增设了提名委员会</w:t>
      </w:r>
      <w:r>
        <w:rPr>
          <w:rFonts w:ascii="宋体" w:hAnsi="宋体" w:cs="宋体" w:eastAsia="宋体" w:hint="default"/>
          <w:spacing w:val="5"/>
        </w:rPr>
        <w:t> </w:t>
      </w:r>
      <w:r>
        <w:rPr>
          <w:rFonts w:ascii="宋体" w:hAnsi="宋体" w:cs="宋体" w:eastAsia="宋体" w:hint="default"/>
        </w:rPr>
        <w:t>并选举委员，并聘任了公司总裁与高级副总裁。公司上</w:t>
      </w:r>
      <w:r>
        <w:rPr>
          <w:rFonts w:ascii="宋体" w:hAnsi="宋体" w:cs="宋体" w:eastAsia="宋体" w:hint="default"/>
        </w:rPr>
        <w:t> </w:t>
      </w:r>
      <w:r>
        <w:rPr>
          <w:rFonts w:ascii="宋体" w:hAnsi="宋体" w:cs="宋体" w:eastAsia="宋体" w:hint="default"/>
          <w:spacing w:val="-1"/>
        </w:rPr>
        <w:t>述董事会、监事会换届选举的程序以及会议召集、召开、</w:t>
      </w:r>
    </w:p>
    <w:p>
      <w:pPr>
        <w:pStyle w:val="BodyText"/>
        <w:spacing w:line="240" w:lineRule="auto" w:before="10"/>
        <w:ind w:left="499" w:right="0"/>
        <w:jc w:val="left"/>
        <w:rPr>
          <w:rFonts w:ascii="宋体" w:hAnsi="宋体" w:cs="宋体" w:eastAsia="宋体" w:hint="default"/>
        </w:rPr>
      </w:pPr>
      <w:r>
        <w:rPr>
          <w:rFonts w:ascii="宋体" w:hAnsi="宋体" w:cs="宋体" w:eastAsia="宋体" w:hint="default"/>
        </w:rPr>
        <w:t>表决和披露程序均符合规范要求。</w:t>
      </w:r>
    </w:p>
    <w:p>
      <w:pPr>
        <w:pStyle w:val="BodyText"/>
        <w:spacing w:line="240" w:lineRule="auto" w:before="157"/>
        <w:ind w:left="0" w:right="110"/>
        <w:jc w:val="right"/>
        <w:rPr>
          <w:rFonts w:ascii="宋体" w:hAnsi="宋体" w:cs="宋体" w:eastAsia="宋体" w:hint="default"/>
        </w:rPr>
      </w:pPr>
      <w:r>
        <w:rPr>
          <w:rFonts w:ascii="宋体" w:hAnsi="宋体" w:cs="宋体" w:eastAsia="宋体" w:hint="default"/>
          <w:spacing w:val="-4"/>
        </w:rPr>
        <w:t>报告期内，本公司累计召开股东大会</w:t>
      </w:r>
      <w:r>
        <w:rPr>
          <w:rFonts w:ascii="宋体" w:hAnsi="宋体" w:cs="宋体" w:eastAsia="宋体" w:hint="default"/>
          <w:spacing w:val="-46"/>
        </w:rPr>
        <w:t> </w:t>
      </w:r>
      <w:r>
        <w:rPr>
          <w:rFonts w:ascii="宋体" w:hAnsi="宋体" w:cs="宋体" w:eastAsia="宋体" w:hint="default"/>
        </w:rPr>
        <w:t>4</w:t>
      </w:r>
      <w:r>
        <w:rPr>
          <w:rFonts w:ascii="宋体" w:hAnsi="宋体" w:cs="宋体" w:eastAsia="宋体" w:hint="default"/>
          <w:spacing w:val="-46"/>
        </w:rPr>
        <w:t> </w:t>
      </w:r>
      <w:r>
        <w:rPr>
          <w:rFonts w:ascii="宋体" w:hAnsi="宋体" w:cs="宋体" w:eastAsia="宋体" w:hint="default"/>
          <w:spacing w:val="-8"/>
        </w:rPr>
        <w:t>次、董事会会议</w:t>
      </w:r>
      <w:r>
        <w:rPr>
          <w:rFonts w:ascii="宋体" w:hAnsi="宋体" w:cs="宋体" w:eastAsia="宋体" w:hint="default"/>
          <w:spacing w:val="-46"/>
        </w:rPr>
        <w:t> </w:t>
      </w:r>
      <w:r>
        <w:rPr>
          <w:rFonts w:ascii="宋体" w:hAnsi="宋体" w:cs="宋体" w:eastAsia="宋体" w:hint="default"/>
        </w:rPr>
        <w:t>11</w:t>
      </w:r>
      <w:r>
        <w:rPr>
          <w:rFonts w:ascii="宋体" w:hAnsi="宋体" w:cs="宋体" w:eastAsia="宋体" w:hint="default"/>
          <w:spacing w:val="-46"/>
        </w:rPr>
        <w:t> </w:t>
      </w:r>
      <w:r>
        <w:rPr>
          <w:rFonts w:ascii="宋体" w:hAnsi="宋体" w:cs="宋体" w:eastAsia="宋体" w:hint="default"/>
        </w:rPr>
        <w:t>次、</w:t>
      </w:r>
    </w:p>
    <w:p>
      <w:pPr>
        <w:pStyle w:val="BodyText"/>
        <w:spacing w:line="285" w:lineRule="auto" w:before="44"/>
        <w:ind w:left="119" w:right="193" w:firstLine="100"/>
        <w:jc w:val="right"/>
        <w:rPr>
          <w:rFonts w:ascii="宋体" w:hAnsi="宋体" w:cs="宋体" w:eastAsia="宋体" w:hint="default"/>
        </w:rPr>
      </w:pPr>
      <w:r>
        <w:rPr>
          <w:rFonts w:ascii="宋体" w:hAnsi="宋体" w:cs="宋体" w:eastAsia="宋体" w:hint="default"/>
          <w:spacing w:val="6"/>
        </w:rPr>
        <w:t>监事会会议</w:t>
      </w:r>
      <w:r>
        <w:rPr>
          <w:rFonts w:ascii="宋体" w:hAnsi="宋体" w:cs="宋体" w:eastAsia="宋体" w:hint="default"/>
          <w:spacing w:val="-34"/>
        </w:rPr>
        <w:t> </w:t>
      </w:r>
      <w:r>
        <w:rPr>
          <w:rFonts w:ascii="宋体" w:hAnsi="宋体" w:cs="宋体" w:eastAsia="宋体" w:hint="default"/>
        </w:rPr>
        <w:t>7</w:t>
      </w:r>
      <w:r>
        <w:rPr>
          <w:rFonts w:ascii="宋体" w:hAnsi="宋体" w:cs="宋体" w:eastAsia="宋体" w:hint="default"/>
          <w:spacing w:val="-34"/>
        </w:rPr>
        <w:t> </w:t>
      </w:r>
      <w:r>
        <w:rPr>
          <w:rFonts w:ascii="宋体" w:hAnsi="宋体" w:cs="宋体" w:eastAsia="宋体" w:hint="default"/>
          <w:spacing w:val="6"/>
        </w:rPr>
        <w:t>次，所有会议的召集、召开、表决、披露程序</w:t>
      </w:r>
      <w:r>
        <w:rPr>
          <w:rFonts w:ascii="宋体" w:hAnsi="宋体" w:cs="宋体" w:eastAsia="宋体" w:hint="default"/>
          <w:spacing w:val="8"/>
        </w:rPr>
        <w:t> </w:t>
      </w:r>
      <w:r>
        <w:rPr>
          <w:rFonts w:ascii="宋体" w:hAnsi="宋体" w:cs="宋体" w:eastAsia="宋体" w:hint="default"/>
          <w:spacing w:val="2"/>
        </w:rPr>
        <w:t>均符合法律法规及公司管理制度要求。所有需提交股东大会审</w:t>
      </w:r>
      <w:r>
        <w:rPr>
          <w:rFonts w:ascii="宋体" w:hAnsi="宋体" w:cs="宋体" w:eastAsia="宋体" w:hint="default"/>
        </w:rPr>
      </w:r>
    </w:p>
    <w:p>
      <w:pPr>
        <w:pStyle w:val="BodyText"/>
        <w:spacing w:line="240" w:lineRule="auto" w:before="10"/>
        <w:ind w:left="-1" w:right="0"/>
        <w:jc w:val="left"/>
        <w:rPr>
          <w:rFonts w:ascii="宋体" w:hAnsi="宋体" w:cs="宋体" w:eastAsia="宋体" w:hint="default"/>
        </w:rPr>
      </w:pPr>
      <w:r>
        <w:rPr>
          <w:rFonts w:ascii="宋体" w:hAnsi="宋体" w:cs="宋体" w:eastAsia="宋体" w:hint="default"/>
        </w:rPr>
        <w:t>议事项均按程序提交股东大会审议。</w:t>
      </w:r>
    </w:p>
    <w:p>
      <w:pPr>
        <w:spacing w:after="0" w:line="240" w:lineRule="auto"/>
        <w:jc w:val="left"/>
        <w:rPr>
          <w:rFonts w:ascii="宋体" w:hAnsi="宋体" w:cs="宋体" w:eastAsia="宋体" w:hint="default"/>
        </w:rPr>
        <w:sectPr>
          <w:type w:val="continuous"/>
          <w:pgSz w:w="11910" w:h="16160"/>
          <w:pgMar w:top="1520" w:bottom="280" w:left="680" w:right="1280"/>
          <w:cols w:num="2" w:equalWidth="0">
            <w:col w:w="4624" w:space="40"/>
            <w:col w:w="5286"/>
          </w:cols>
        </w:sectPr>
      </w:pPr>
    </w:p>
    <w:p>
      <w:pPr>
        <w:pStyle w:val="BodyText"/>
        <w:spacing w:line="285" w:lineRule="auto" w:before="44"/>
        <w:ind w:left="453" w:right="-12"/>
        <w:jc w:val="left"/>
        <w:rPr>
          <w:rFonts w:ascii="宋体" w:hAnsi="宋体" w:cs="宋体" w:eastAsia="宋体" w:hint="default"/>
        </w:rPr>
      </w:pPr>
      <w:r>
        <w:rPr>
          <w:rFonts w:ascii="宋体" w:hAnsi="宋体" w:cs="宋体" w:eastAsia="宋体" w:hint="default"/>
        </w:rPr>
        <w:t>监事。2</w:t>
      </w:r>
      <w:r>
        <w:rPr>
          <w:rFonts w:ascii="宋体" w:hAnsi="宋体" w:cs="宋体" w:eastAsia="宋体" w:hint="default"/>
          <w:spacing w:val="-39"/>
        </w:rPr>
        <w:t> </w:t>
      </w:r>
      <w:r>
        <w:rPr>
          <w:rFonts w:ascii="宋体" w:hAnsi="宋体" w:cs="宋体" w:eastAsia="宋体" w:hint="default"/>
        </w:rPr>
        <w:t>月</w:t>
      </w:r>
      <w:r>
        <w:rPr>
          <w:rFonts w:ascii="宋体" w:hAnsi="宋体" w:cs="宋体" w:eastAsia="宋体" w:hint="default"/>
          <w:spacing w:val="-39"/>
        </w:rPr>
        <w:t> </w:t>
      </w:r>
      <w:r>
        <w:rPr>
          <w:rFonts w:ascii="宋体" w:hAnsi="宋体" w:cs="宋体" w:eastAsia="宋体" w:hint="default"/>
        </w:rPr>
        <w:t>9</w:t>
      </w:r>
      <w:r>
        <w:rPr>
          <w:rFonts w:ascii="宋体" w:hAnsi="宋体" w:cs="宋体" w:eastAsia="宋体" w:hint="default"/>
          <w:spacing w:val="-39"/>
        </w:rPr>
        <w:t> </w:t>
      </w:r>
      <w:r>
        <w:rPr>
          <w:rFonts w:ascii="宋体" w:hAnsi="宋体" w:cs="宋体" w:eastAsia="宋体" w:hint="default"/>
        </w:rPr>
        <w:t>日，公司第六届董事会及</w:t>
      </w:r>
      <w:r>
        <w:rPr>
          <w:rFonts w:ascii="宋体" w:hAnsi="宋体" w:cs="宋体" w:eastAsia="宋体" w:hint="default"/>
        </w:rPr>
        <w:t> 监事会分别召开第一次会议，选举了</w:t>
      </w:r>
      <w:r>
        <w:rPr>
          <w:rFonts w:ascii="宋体" w:hAnsi="宋体" w:cs="宋体" w:eastAsia="宋体" w:hint="default"/>
          <w:spacing w:val="-61"/>
        </w:rPr>
        <w:t> </w:t>
      </w:r>
      <w:r>
        <w:rPr>
          <w:rFonts w:ascii="宋体" w:hAnsi="宋体" w:cs="宋体" w:eastAsia="宋体" w:hint="default"/>
          <w:spacing w:val="-61"/>
        </w:rPr>
      </w:r>
      <w:r>
        <w:rPr>
          <w:rFonts w:ascii="宋体" w:hAnsi="宋体" w:cs="宋体" w:eastAsia="宋体" w:hint="default"/>
          <w:spacing w:val="8"/>
        </w:rPr>
        <w:t>董事长及监事会主席，重新设置并</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选举了新的发展战略委员会、薪酬</w:t>
      </w:r>
    </w:p>
    <w:p>
      <w:pPr>
        <w:pStyle w:val="BodyText"/>
        <w:spacing w:line="285" w:lineRule="auto" w:before="146"/>
        <w:ind w:left="527" w:right="193" w:firstLine="460"/>
        <w:jc w:val="right"/>
        <w:rPr>
          <w:rFonts w:ascii="宋体" w:hAnsi="宋体" w:cs="宋体" w:eastAsia="宋体" w:hint="default"/>
        </w:rPr>
      </w:pPr>
      <w:r>
        <w:rPr>
          <w:spacing w:val="-1"/>
        </w:rPr>
        <w:br w:type="column"/>
      </w:r>
      <w:r>
        <w:rPr>
          <w:rFonts w:ascii="宋体" w:hAnsi="宋体" w:cs="宋体" w:eastAsia="宋体" w:hint="default"/>
          <w:spacing w:val="-1"/>
        </w:rPr>
        <w:t>公司不断完善各项治理制度，建立严格有效的内部控制和风险控制</w:t>
      </w:r>
      <w:r>
        <w:rPr>
          <w:rFonts w:ascii="宋体" w:hAnsi="宋体" w:cs="宋体" w:eastAsia="宋体" w:hint="default"/>
        </w:rPr>
        <w:t> </w:t>
      </w:r>
      <w:r>
        <w:rPr>
          <w:rFonts w:ascii="宋体" w:hAnsi="宋体" w:cs="宋体" w:eastAsia="宋体" w:hint="default"/>
          <w:spacing w:val="3"/>
        </w:rPr>
        <w:t>体系，加强信息披露工作，强化规范化运作，并高度关注在混合所</w:t>
      </w:r>
      <w:r>
        <w:rPr>
          <w:rFonts w:ascii="宋体" w:hAnsi="宋体" w:cs="宋体" w:eastAsia="宋体" w:hint="default"/>
          <w:spacing w:val="4"/>
        </w:rPr>
        <w:t> </w:t>
      </w:r>
      <w:r>
        <w:rPr>
          <w:rFonts w:ascii="宋体" w:hAnsi="宋体" w:cs="宋体" w:eastAsia="宋体" w:hint="default"/>
          <w:spacing w:val="3"/>
        </w:rPr>
        <w:t>有制改革过程中全体股东的利益。2018</w:t>
      </w:r>
      <w:r>
        <w:rPr>
          <w:rFonts w:ascii="宋体" w:hAnsi="宋体" w:cs="宋体" w:eastAsia="宋体" w:hint="default"/>
          <w:spacing w:val="7"/>
        </w:rPr>
        <w:t> </w:t>
      </w:r>
      <w:r>
        <w:rPr>
          <w:rFonts w:ascii="宋体" w:hAnsi="宋体" w:cs="宋体" w:eastAsia="宋体" w:hint="default"/>
          <w:spacing w:val="4"/>
        </w:rPr>
        <w:t>年，根据最新监管要求和公</w:t>
      </w:r>
      <w:r>
        <w:rPr>
          <w:rFonts w:ascii="宋体" w:hAnsi="宋体" w:cs="宋体" w:eastAsia="宋体" w:hint="default"/>
          <w:spacing w:val="5"/>
        </w:rPr>
        <w:t> </w:t>
      </w:r>
      <w:r>
        <w:rPr>
          <w:rFonts w:ascii="宋体" w:hAnsi="宋体" w:cs="宋体" w:eastAsia="宋体" w:hint="default"/>
          <w:spacing w:val="4"/>
        </w:rPr>
        <w:t>司实际，经相关程序批准，公司修订《公司章程》，制订《董事会提</w:t>
      </w:r>
      <w:r>
        <w:rPr>
          <w:rFonts w:ascii="宋体" w:hAnsi="宋体" w:cs="宋体" w:eastAsia="宋体" w:hint="default"/>
          <w:spacing w:val="6"/>
        </w:rPr>
        <w:t> </w:t>
      </w:r>
      <w:r>
        <w:rPr>
          <w:rFonts w:ascii="宋体" w:hAnsi="宋体" w:cs="宋体" w:eastAsia="宋体" w:hint="default"/>
          <w:spacing w:val="2"/>
        </w:rPr>
        <w:t>名委员会工作细则》，重订《董事会审计委员会工作细则》。公司包括</w:t>
      </w:r>
      <w:r>
        <w:rPr>
          <w:rFonts w:ascii="宋体" w:hAnsi="宋体" w:cs="宋体" w:eastAsia="宋体" w:hint="default"/>
        </w:rPr>
      </w:r>
    </w:p>
    <w:p>
      <w:pPr>
        <w:pStyle w:val="BodyText"/>
        <w:spacing w:line="240" w:lineRule="auto" w:before="10"/>
        <w:ind w:left="427" w:right="0"/>
        <w:jc w:val="left"/>
        <w:rPr>
          <w:rFonts w:ascii="宋体" w:hAnsi="宋体" w:cs="宋体" w:eastAsia="宋体" w:hint="default"/>
        </w:rPr>
      </w:pPr>
      <w:r>
        <w:rPr>
          <w:rFonts w:ascii="宋体" w:hAnsi="宋体" w:cs="宋体" w:eastAsia="宋体" w:hint="default"/>
        </w:rPr>
        <w:t>董事会及专门委员会工作制度、议事规则在内的基本管理制度健全。</w:t>
      </w:r>
    </w:p>
    <w:p>
      <w:pPr>
        <w:spacing w:after="0" w:line="240" w:lineRule="auto"/>
        <w:jc w:val="left"/>
        <w:rPr>
          <w:rFonts w:ascii="宋体" w:hAnsi="宋体" w:cs="宋体" w:eastAsia="宋体" w:hint="default"/>
        </w:rPr>
        <w:sectPr>
          <w:type w:val="continuous"/>
          <w:pgSz w:w="11910" w:h="16160"/>
          <w:pgMar w:top="1520" w:bottom="280" w:left="680" w:right="1280"/>
          <w:cols w:num="2" w:equalWidth="0">
            <w:col w:w="3495" w:space="40"/>
            <w:col w:w="6415"/>
          </w:cols>
        </w:sectPr>
      </w:pPr>
    </w:p>
    <w:p>
      <w:pPr>
        <w:spacing w:line="240" w:lineRule="auto" w:before="9"/>
        <w:rPr>
          <w:rFonts w:ascii="宋体" w:hAnsi="宋体" w:cs="宋体" w:eastAsia="宋体" w:hint="default"/>
          <w:sz w:val="9"/>
          <w:szCs w:val="9"/>
        </w:rPr>
      </w:pPr>
    </w:p>
    <w:p>
      <w:pPr>
        <w:pStyle w:val="BodyText"/>
        <w:spacing w:line="285" w:lineRule="auto" w:before="31"/>
        <w:ind w:left="3482" w:right="111" w:firstLine="230"/>
        <w:jc w:val="center"/>
        <w:rPr>
          <w:rFonts w:ascii="宋体" w:hAnsi="宋体" w:cs="宋体" w:eastAsia="宋体" w:hint="default"/>
        </w:rPr>
      </w:pPr>
      <w:r>
        <w:rPr>
          <w:rFonts w:ascii="宋体" w:hAnsi="宋体" w:cs="宋体" w:eastAsia="宋体" w:hint="default"/>
        </w:rPr>
        <w:t>公司积极履行信息披露义务，建立完善的信息披露管理制度，坚守信息披露 </w:t>
      </w:r>
      <w:r>
        <w:rPr>
          <w:rFonts w:ascii="宋体" w:hAnsi="宋体" w:cs="宋体" w:eastAsia="宋体" w:hint="default"/>
          <w:spacing w:val="2"/>
        </w:rPr>
        <w:t>“真实、准确、完整、及时、公平、有效”原则，严格按照《公司法》《证</w:t>
      </w:r>
      <w:r>
        <w:rPr>
          <w:rFonts w:ascii="宋体" w:hAnsi="宋体" w:cs="宋体" w:eastAsia="宋体" w:hint="default"/>
          <w:spacing w:val="4"/>
        </w:rPr>
        <w:t> </w:t>
      </w:r>
      <w:r>
        <w:rPr>
          <w:rFonts w:ascii="宋体" w:hAnsi="宋体" w:cs="宋体" w:eastAsia="宋体" w:hint="default"/>
          <w:spacing w:val="-2"/>
        </w:rPr>
        <w:t>券法》、中国证监会等监管部门的有关规定、《上海证券交易所股票上市规则》</w:t>
      </w:r>
      <w:r>
        <w:rPr>
          <w:rFonts w:ascii="宋体" w:hAnsi="宋体" w:cs="宋体" w:eastAsia="宋体" w:hint="default"/>
        </w:rPr>
        <w:t> </w:t>
      </w:r>
      <w:r>
        <w:rPr>
          <w:rFonts w:ascii="宋体" w:hAnsi="宋体" w:cs="宋体" w:eastAsia="宋体" w:hint="default"/>
          <w:spacing w:val="-4"/>
        </w:rPr>
        <w:t>等相关法律法规以及公司《信息披露管理办法》等制度要求，及时发布定期报告、</w:t>
      </w:r>
    </w:p>
    <w:p>
      <w:pPr>
        <w:pStyle w:val="BodyText"/>
        <w:spacing w:line="240" w:lineRule="auto" w:before="10"/>
        <w:ind w:left="3362" w:right="87"/>
        <w:jc w:val="left"/>
        <w:rPr>
          <w:rFonts w:ascii="宋体" w:hAnsi="宋体" w:cs="宋体" w:eastAsia="宋体" w:hint="default"/>
        </w:rPr>
      </w:pPr>
      <w:r>
        <w:rPr>
          <w:rFonts w:ascii="宋体" w:hAnsi="宋体" w:cs="宋体" w:eastAsia="宋体" w:hint="default"/>
        </w:rPr>
        <w:t>股东大会资料以及各类临时公告等应披露信息。不断提高信息披露质量，并通过</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7"/>
          <w:szCs w:val="27"/>
        </w:rPr>
      </w:pPr>
    </w:p>
    <w:p>
      <w:pPr>
        <w:spacing w:after="0" w:line="240" w:lineRule="auto"/>
        <w:rPr>
          <w:rFonts w:ascii="宋体" w:hAnsi="宋体" w:cs="宋体" w:eastAsia="宋体" w:hint="default"/>
          <w:sz w:val="27"/>
          <w:szCs w:val="27"/>
        </w:rPr>
        <w:sectPr>
          <w:type w:val="continuous"/>
          <w:pgSz w:w="11910" w:h="16160"/>
          <w:pgMar w:top="1520" w:bottom="280" w:left="680" w:right="1280"/>
        </w:sectPr>
      </w:pPr>
    </w:p>
    <w:p>
      <w:pPr>
        <w:tabs>
          <w:tab w:pos="6241" w:val="left" w:leader="none"/>
        </w:tabs>
        <w:spacing w:before="61"/>
        <w:ind w:left="134" w:right="0" w:firstLine="0"/>
        <w:jc w:val="left"/>
        <w:rPr>
          <w:rFonts w:ascii="宋体" w:hAnsi="宋体" w:cs="宋体" w:eastAsia="宋体" w:hint="default"/>
          <w:sz w:val="16"/>
          <w:szCs w:val="16"/>
        </w:rPr>
      </w:pPr>
      <w:r>
        <w:rPr/>
        <w:pict>
          <v:group style="position:absolute;margin-left:.00001pt;margin-top:.000023pt;width:595.8pt;height:807.9pt;mso-position-horizontal-relative:page;mso-position-vertical-relative:page;z-index:-962704" coordorigin="0,0" coordsize="11916,16158">
            <v:shape style="position:absolute;left:9837;top:1729;width:188;height:188" type="#_x0000_t75" stroked="false">
              <v:imagedata r:id="rId216" o:title=""/>
            </v:shape>
            <v:group style="position:absolute;left:5669;top:1823;width:4238;height:2" coordorigin="5669,1823" coordsize="4238,2">
              <v:shape style="position:absolute;left:5669;top:1823;width:4238;height:2" coordorigin="5669,1823" coordsize="4238,0" path="m9907,1823l5669,1823e" filled="false" stroked="true" strokeweight=".956pt" strokecolor="#8e9090">
                <v:path arrowok="t"/>
              </v:shape>
            </v:group>
            <v:group style="position:absolute;left:634;top:0;width:8526;height:16158" coordorigin="634,0" coordsize="8526,16158">
              <v:shape style="position:absolute;left:634;top:0;width:8526;height:16158" coordorigin="634,0" coordsize="8526,16158" path="m2718,16157l634,16157,7077,0,9160,0,2718,16157xe" filled="true" fillcolor="#9d8757" stroked="false">
                <v:path arrowok="t"/>
                <v:fill type="solid"/>
              </v:shape>
            </v:group>
            <v:group style="position:absolute;left:0;top:0;width:8743;height:16158" coordorigin="0,0" coordsize="8743,16158">
              <v:shape style="position:absolute;left:0;top:0;width:8743;height:16158" coordorigin="0,0" coordsize="8743,16158" path="m2300,16157l0,16157,0,0,8742,0,2300,16157xe" filled="true" fillcolor="#d7000f" stroked="false">
                <v:path arrowok="t"/>
                <v:fill type="solid"/>
              </v:shape>
            </v:group>
            <v:group style="position:absolute;left:6259;top:1139;width:5647;height:2" coordorigin="6259,1139" coordsize="5647,2">
              <v:shape style="position:absolute;left:6259;top:1139;width:5647;height:2" coordorigin="6259,1139" coordsize="5647,0" path="m11906,1139l6259,1139e" filled="false" stroked="true" strokeweight="1pt" strokecolor="#d7000f">
                <v:path arrowok="t"/>
              </v:shape>
            </v:group>
            <v:group style="position:absolute;left:7720;top:15080;width:4186;height:2" coordorigin="7720,15080" coordsize="4186,2">
              <v:shape style="position:absolute;left:7720;top:15080;width:4186;height:2" coordorigin="7720,15080" coordsize="4186,0" path="m11906,15080l7720,15080e" filled="false" stroked="true" strokeweight=".956pt" strokecolor="#8e9090">
                <v:path arrowok="t"/>
              </v:shape>
              <v:shape style="position:absolute;left:4574;top:14287;width:188;height:188" type="#_x0000_t75" stroked="false">
                <v:imagedata r:id="rId184" o:title=""/>
              </v:shape>
            </v:group>
            <v:group style="position:absolute;left:1701;top:14380;width:2945;height:2" coordorigin="1701,14380" coordsize="2945,2">
              <v:shape style="position:absolute;left:1701;top:14380;width:2945;height:2" coordorigin="1701,14380" coordsize="2945,0" path="m4645,14380l1701,14380e" filled="false" stroked="true" strokeweight=".956pt" strokecolor="#d7000f">
                <v:path arrowok="t"/>
              </v:shape>
            </v:group>
            <v:group style="position:absolute;left:794;top:2049;width:3651;height:2" coordorigin="794,2049" coordsize="3651,2">
              <v:shape style="position:absolute;left:794;top:2049;width:3651;height:2" coordorigin="794,2049" coordsize="3651,0" path="m794,2049l4445,2049e" filled="false" stroked="true" strokeweight="2.268pt" strokecolor="#d7000f">
                <v:path arrowok="t"/>
              </v:shape>
            </v:group>
            <w10:wrap type="none"/>
          </v:group>
        </w:pict>
      </w:r>
      <w:r>
        <w:rPr>
          <w:rFonts w:ascii="Arial" w:hAnsi="Arial" w:cs="Arial" w:eastAsia="Arial" w:hint="default"/>
          <w:b/>
          <w:bCs/>
          <w:color w:val="9C8758"/>
          <w:spacing w:val="-1"/>
          <w:position w:val="2"/>
          <w:sz w:val="16"/>
          <w:szCs w:val="16"/>
        </w:rPr>
        <w:t>72</w:t>
        <w:tab/>
      </w:r>
      <w:r>
        <w:rPr>
          <w:rFonts w:ascii="宋体" w:hAnsi="宋体" w:cs="宋体" w:eastAsia="宋体" w:hint="default"/>
          <w:color w:val="595757"/>
          <w:spacing w:val="21"/>
          <w:sz w:val="16"/>
          <w:szCs w:val="16"/>
        </w:rPr>
        <w:t>公司治理</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3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680" w:right="1280"/>
          <w:cols w:num="2" w:equalWidth="0">
            <w:col w:w="6997" w:space="171"/>
            <w:col w:w="2782"/>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pStyle w:val="BodyText"/>
        <w:spacing w:line="285" w:lineRule="auto" w:before="31"/>
        <w:ind w:left="1757" w:right="844"/>
        <w:jc w:val="both"/>
        <w:rPr>
          <w:rFonts w:ascii="宋体" w:hAnsi="宋体" w:cs="宋体" w:eastAsia="宋体" w:hint="default"/>
        </w:rPr>
      </w:pPr>
      <w:r>
        <w:rPr/>
        <w:pict>
          <v:group style="position:absolute;margin-left:-.499992pt;margin-top:-143.073273pt;width:551.25pt;height:117.2pt;mso-position-horizontal-relative:page;mso-position-vertical-relative:paragraph;z-index:7456" coordorigin="-10,-2861" coordsize="11025,2344">
            <v:group style="position:absolute;left:5102;top:-2861;width:5912;height:2344" coordorigin="5102,-2861" coordsize="5912,2344">
              <v:shape style="position:absolute;left:5102;top:-2861;width:5912;height:2344" coordorigin="5102,-2861" coordsize="5912,2344" path="m10080,-518l5102,-518,6037,-2861,11014,-2861,10080,-518xe" filled="true" fillcolor="#9c8758" stroked="false">
                <v:path arrowok="t"/>
                <v:fill type="solid"/>
              </v:shape>
              <v:shape style="position:absolute;left:6077;top:-1801;width:159;height:159" type="#_x0000_t75" stroked="false">
                <v:imagedata r:id="rId219" o:title=""/>
              </v:shape>
            </v:group>
            <v:group style="position:absolute;left:0;top:-1722;width:6137;height:2" coordorigin="0,-1722" coordsize="6137,2">
              <v:shape style="position:absolute;left:0;top:-1722;width:6137;height:2" coordorigin="0,-1722" coordsize="6137,0" path="m6137,-1722l0,-1722e" filled="false" stroked="true" strokeweight="1pt" strokecolor="#d7000f">
                <v:path arrowok="t"/>
              </v:shape>
            </v:group>
            <w10:wrap type="none"/>
          </v:group>
        </w:pict>
      </w:r>
      <w:r>
        <w:rPr>
          <w:rFonts w:ascii="宋体" w:hAnsi="宋体" w:cs="宋体" w:eastAsia="宋体" w:hint="default"/>
        </w:rPr>
        <w:t>专门的投资者关系网页，每月发布业务运营数据，向投资者增加主动披露，提升公司透明度。公司每年年报、半年报</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披露后立即召开业绩推介会，为保证信息披露的公平性，会将业绩推介会材料在公司网站同步刊登，确保所有投资者</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享有平等机会获取相关信息。上海证券交易所给予公司</w:t>
      </w:r>
      <w:r>
        <w:rPr>
          <w:rFonts w:ascii="宋体" w:hAnsi="宋体" w:cs="宋体" w:eastAsia="宋体" w:hint="default"/>
          <w:spacing w:val="-24"/>
        </w:rPr>
        <w:t> </w:t>
      </w:r>
      <w:r>
        <w:rPr>
          <w:rFonts w:ascii="宋体" w:hAnsi="宋体" w:cs="宋体" w:eastAsia="宋体" w:hint="default"/>
        </w:rPr>
        <w:t>2017</w:t>
      </w:r>
      <w:r>
        <w:rPr>
          <w:rFonts w:ascii="宋体" w:hAnsi="宋体" w:cs="宋体" w:eastAsia="宋体" w:hint="default"/>
          <w:spacing w:val="-25"/>
        </w:rPr>
        <w:t> </w:t>
      </w:r>
      <w:r>
        <w:rPr>
          <w:rFonts w:ascii="宋体" w:hAnsi="宋体" w:cs="宋体" w:eastAsia="宋体" w:hint="default"/>
        </w:rPr>
        <w:t>至</w:t>
      </w:r>
      <w:r>
        <w:rPr>
          <w:rFonts w:ascii="宋体" w:hAnsi="宋体" w:cs="宋体" w:eastAsia="宋体" w:hint="default"/>
          <w:spacing w:val="-24"/>
        </w:rPr>
        <w:t> </w:t>
      </w:r>
      <w:r>
        <w:rPr>
          <w:rFonts w:ascii="宋体" w:hAnsi="宋体" w:cs="宋体" w:eastAsia="宋体" w:hint="default"/>
        </w:rPr>
        <w:t>2018</w:t>
      </w:r>
      <w:r>
        <w:rPr>
          <w:rFonts w:ascii="宋体" w:hAnsi="宋体" w:cs="宋体" w:eastAsia="宋体" w:hint="default"/>
          <w:spacing w:val="-25"/>
        </w:rPr>
        <w:t> </w:t>
      </w:r>
      <w:r>
        <w:rPr>
          <w:rFonts w:ascii="宋体" w:hAnsi="宋体" w:cs="宋体" w:eastAsia="宋体" w:hint="default"/>
        </w:rPr>
        <w:t>年度信息披露工作最优级（A</w:t>
      </w:r>
      <w:r>
        <w:rPr>
          <w:rFonts w:ascii="宋体" w:hAnsi="宋体" w:cs="宋体" w:eastAsia="宋体" w:hint="default"/>
          <w:spacing w:val="-24"/>
        </w:rPr>
        <w:t> </w:t>
      </w:r>
      <w:r>
        <w:rPr>
          <w:rFonts w:ascii="宋体" w:hAnsi="宋体" w:cs="宋体" w:eastAsia="宋体" w:hint="default"/>
        </w:rPr>
        <w:t>级）评价。</w:t>
      </w:r>
    </w:p>
    <w:p>
      <w:pPr>
        <w:pStyle w:val="BodyText"/>
        <w:spacing w:line="285" w:lineRule="auto" w:before="123"/>
        <w:ind w:left="1757" w:right="844"/>
        <w:jc w:val="both"/>
        <w:rPr>
          <w:rFonts w:ascii="宋体" w:hAnsi="宋体" w:cs="宋体" w:eastAsia="宋体" w:hint="default"/>
        </w:rPr>
      </w:pPr>
      <w:r>
        <w:rPr>
          <w:rFonts w:ascii="宋体" w:hAnsi="宋体" w:cs="宋体" w:eastAsia="宋体" w:hint="default"/>
        </w:rPr>
        <w:t>公司高度重视投资者关系，通过多种渠道与投资者开展沟通交流。在年报、半年报和重大交易披露后，通常会召开分</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析师及投资者发布会，与分析师、基金经理、投资者沟通交流公司战略、经营情况及重大交易进展。股东大会上，董</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事及管理层积极接受投资者提问，认真详尽得回答投资者关心的问题，积极采纳投资者所提出的有益建议。同时，公</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司积极响应投资者日常沟通需求。董事会秘书积极会见重要投资者及证券分析师，开展深度交流。公司还设有专人负</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spacing w:val="-2"/>
        </w:rPr>
        <w:t>责与投资者的日常沟通，包括接待投资者来访、接听热线电话、回复邮件问询、回复上证</w:t>
      </w:r>
      <w:r>
        <w:rPr>
          <w:rFonts w:ascii="宋体" w:hAnsi="宋体" w:cs="宋体" w:eastAsia="宋体" w:hint="default"/>
          <w:spacing w:val="-41"/>
        </w:rPr>
        <w:t> </w:t>
      </w:r>
      <w:r>
        <w:rPr>
          <w:rFonts w:ascii="宋体" w:hAnsi="宋体" w:cs="宋体" w:eastAsia="宋体" w:hint="default"/>
        </w:rPr>
        <w:t>E</w:t>
      </w:r>
      <w:r>
        <w:rPr>
          <w:rFonts w:ascii="宋体" w:hAnsi="宋体" w:cs="宋体" w:eastAsia="宋体" w:hint="default"/>
          <w:spacing w:val="-41"/>
        </w:rPr>
        <w:t> </w:t>
      </w:r>
      <w:r>
        <w:rPr>
          <w:rFonts w:ascii="宋体" w:hAnsi="宋体" w:cs="宋体" w:eastAsia="宋体" w:hint="default"/>
        </w:rPr>
        <w:t>互动平台的投资者提问等，</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rPr>
        <w:t>确保投资者及时了解公司信息。</w:t>
      </w:r>
    </w:p>
    <w:p>
      <w:pPr>
        <w:pStyle w:val="BodyText"/>
        <w:spacing w:line="240" w:lineRule="auto" w:before="123"/>
        <w:ind w:left="1757" w:right="0"/>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9"/>
        </w:rPr>
        <w:t> </w:t>
      </w:r>
      <w:r>
        <w:rPr>
          <w:rFonts w:ascii="宋体" w:hAnsi="宋体" w:cs="宋体" w:eastAsia="宋体" w:hint="default"/>
        </w:rPr>
        <w:t>年，公司控股子公司中国联合网络通信（香港）股份有限公司荣获资本市场多项嘉许，其中包括被《金融亚洲》</w:t>
      </w:r>
    </w:p>
    <w:p>
      <w:pPr>
        <w:pStyle w:val="BodyText"/>
        <w:spacing w:line="285" w:lineRule="auto" w:before="44"/>
        <w:ind w:left="1757" w:right="753"/>
        <w:jc w:val="left"/>
        <w:rPr>
          <w:rFonts w:ascii="宋体" w:hAnsi="宋体" w:cs="宋体" w:eastAsia="宋体" w:hint="default"/>
        </w:rPr>
      </w:pPr>
      <w:r>
        <w:rPr>
          <w:rFonts w:ascii="宋体" w:hAnsi="宋体" w:cs="宋体" w:eastAsia="宋体" w:hint="default"/>
          <w:spacing w:val="-1"/>
          <w:w w:val="98"/>
        </w:rPr>
        <w:t>（Finance</w:t>
      </w:r>
      <w:r>
        <w:rPr>
          <w:rFonts w:ascii="宋体" w:hAnsi="宋体" w:cs="宋体" w:eastAsia="宋体" w:hint="default"/>
          <w:w w:val="98"/>
        </w:rPr>
        <w:t> </w:t>
      </w:r>
      <w:r>
        <w:rPr>
          <w:rFonts w:ascii="宋体" w:hAnsi="宋体" w:cs="宋体" w:eastAsia="宋体" w:hint="default"/>
          <w:spacing w:val="1"/>
          <w:w w:val="100"/>
        </w:rPr>
        <w:t>Asia）评选为“亚洲最佳管理电信公司”第一名，被《财资》（The</w:t>
      </w:r>
      <w:r>
        <w:rPr>
          <w:rFonts w:ascii="宋体" w:hAnsi="宋体" w:cs="宋体" w:eastAsia="宋体" w:hint="default"/>
          <w:spacing w:val="-48"/>
          <w:w w:val="100"/>
        </w:rPr>
        <w:t> </w:t>
      </w:r>
      <w:r>
        <w:rPr>
          <w:rFonts w:ascii="宋体" w:hAnsi="宋体" w:cs="宋体" w:eastAsia="宋体" w:hint="default"/>
          <w:spacing w:val="1"/>
          <w:w w:val="100"/>
        </w:rPr>
        <w:t>Asset）评选为“卓越管治、环境保护</w:t>
      </w:r>
      <w:r>
        <w:rPr>
          <w:rFonts w:ascii="宋体" w:hAnsi="宋体" w:cs="宋体" w:eastAsia="宋体" w:hint="default"/>
          <w:spacing w:val="2"/>
        </w:rPr>
        <w:t> </w:t>
      </w:r>
      <w:r>
        <w:rPr>
          <w:rFonts w:ascii="宋体" w:hAnsi="宋体" w:cs="宋体" w:eastAsia="宋体" w:hint="default"/>
          <w:spacing w:val="-8"/>
          <w:w w:val="99"/>
        </w:rPr>
        <w:t>及企业社会责任白金奖”，被《亚洲公司管治》（Corporate</w:t>
      </w:r>
      <w:r>
        <w:rPr>
          <w:rFonts w:ascii="宋体" w:hAnsi="宋体" w:cs="宋体" w:eastAsia="宋体" w:hint="default"/>
          <w:spacing w:val="-24"/>
          <w:w w:val="99"/>
        </w:rPr>
        <w:t> </w:t>
      </w:r>
      <w:r>
        <w:rPr>
          <w:rFonts w:ascii="宋体" w:hAnsi="宋体" w:cs="宋体" w:eastAsia="宋体" w:hint="default"/>
          <w:w w:val="106"/>
        </w:rPr>
        <w:t>Governance</w:t>
      </w:r>
      <w:r>
        <w:rPr>
          <w:rFonts w:ascii="宋体" w:hAnsi="宋体" w:cs="宋体" w:eastAsia="宋体" w:hint="default"/>
          <w:spacing w:val="-30"/>
          <w:w w:val="106"/>
        </w:rPr>
        <w:t> </w:t>
      </w:r>
      <w:r>
        <w:rPr>
          <w:rFonts w:ascii="宋体" w:hAnsi="宋体" w:cs="宋体" w:eastAsia="宋体" w:hint="default"/>
          <w:spacing w:val="-7"/>
          <w:w w:val="98"/>
        </w:rPr>
        <w:t>Asia）评选为“亚洲最佳公司</w:t>
      </w:r>
      <w:r>
        <w:rPr>
          <w:rFonts w:ascii="宋体" w:hAnsi="宋体" w:cs="宋体" w:eastAsia="宋体" w:hint="default"/>
          <w:spacing w:val="-45"/>
          <w:w w:val="98"/>
        </w:rPr>
        <w:t> </w:t>
      </w:r>
      <w:r>
        <w:rPr>
          <w:rFonts w:ascii="宋体" w:hAnsi="宋体" w:cs="宋体" w:eastAsia="宋体" w:hint="default"/>
          <w:w w:val="131"/>
        </w:rPr>
        <w:t>-</w:t>
      </w:r>
      <w:r>
        <w:rPr>
          <w:rFonts w:ascii="宋体" w:hAnsi="宋体" w:cs="宋体" w:eastAsia="宋体" w:hint="default"/>
          <w:spacing w:val="-74"/>
          <w:w w:val="131"/>
        </w:rPr>
        <w:t> </w:t>
      </w:r>
      <w:r>
        <w:rPr>
          <w:rFonts w:ascii="宋体" w:hAnsi="宋体" w:cs="宋体" w:eastAsia="宋体" w:hint="default"/>
          <w:spacing w:val="-6"/>
        </w:rPr>
        <w:t>企业管治典范”，</w:t>
      </w:r>
      <w:r>
        <w:rPr>
          <w:rFonts w:ascii="宋体" w:hAnsi="宋体" w:cs="宋体" w:eastAsia="宋体" w:hint="default"/>
          <w:spacing w:val="-86"/>
        </w:rPr>
        <w:t> </w:t>
      </w:r>
      <w:r>
        <w:rPr>
          <w:rFonts w:ascii="宋体" w:hAnsi="宋体" w:cs="宋体" w:eastAsia="宋体" w:hint="default"/>
          <w:spacing w:val="-86"/>
        </w:rPr>
      </w:r>
      <w:r>
        <w:rPr>
          <w:rFonts w:ascii="宋体" w:hAnsi="宋体" w:cs="宋体" w:eastAsia="宋体" w:hint="default"/>
          <w:w w:val="95"/>
        </w:rPr>
        <w:t>被《机构投资者》(Institutional</w:t>
      </w:r>
      <w:r>
        <w:rPr>
          <w:rFonts w:ascii="宋体" w:hAnsi="宋体" w:cs="宋体" w:eastAsia="宋体" w:hint="default"/>
          <w:spacing w:val="-38"/>
          <w:w w:val="95"/>
        </w:rPr>
        <w:t> </w:t>
      </w:r>
      <w:r>
        <w:rPr>
          <w:rFonts w:ascii="宋体" w:hAnsi="宋体" w:cs="宋体" w:eastAsia="宋体" w:hint="default"/>
          <w:w w:val="95"/>
        </w:rPr>
        <w:t>Investor)</w:t>
      </w:r>
      <w:r>
        <w:rPr>
          <w:rFonts w:ascii="宋体" w:hAnsi="宋体" w:cs="宋体" w:eastAsia="宋体" w:hint="default"/>
          <w:spacing w:val="-43"/>
          <w:w w:val="95"/>
        </w:rPr>
        <w:t> </w:t>
      </w:r>
      <w:r>
        <w:rPr>
          <w:rFonts w:ascii="宋体" w:hAnsi="宋体" w:cs="宋体" w:eastAsia="宋体" w:hint="default"/>
          <w:w w:val="95"/>
        </w:rPr>
        <w:t>连续第三年评选为“亚洲最受尊崇电信企业”第一名。</w:t>
      </w:r>
    </w:p>
    <w:p>
      <w:pPr>
        <w:pStyle w:val="BodyText"/>
        <w:spacing w:line="400" w:lineRule="auto" w:before="123"/>
        <w:ind w:left="1757" w:right="2028"/>
        <w:jc w:val="left"/>
        <w:rPr>
          <w:rFonts w:ascii="宋体" w:hAnsi="宋体" w:cs="宋体" w:eastAsia="宋体" w:hint="default"/>
        </w:rPr>
      </w:pPr>
      <w:r>
        <w:rPr>
          <w:rFonts w:ascii="宋体" w:hAnsi="宋体" w:cs="宋体" w:eastAsia="宋体" w:hint="default"/>
        </w:rPr>
        <w:t>公司治理与中国证监会相关规定的要求是否存在重大差异；如有重大差异，应当说明原因 报告期内，本公司的公司治理现状与中国证监会发布有关上市公司治理的规范性文件不存在重大差异。</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pStyle w:val="BodyText"/>
        <w:spacing w:line="240" w:lineRule="auto" w:before="129"/>
        <w:ind w:left="1417" w:right="764"/>
        <w:jc w:val="left"/>
        <w:rPr>
          <w:rFonts w:ascii="宋体" w:hAnsi="宋体" w:cs="宋体" w:eastAsia="宋体" w:hint="default"/>
        </w:rPr>
      </w:pPr>
      <w:r>
        <w:rPr>
          <w:rFonts w:ascii="宋体" w:hAnsi="宋体" w:cs="宋体" w:eastAsia="宋体" w:hint="default"/>
          <w:color w:val="D7000F"/>
        </w:rPr>
        <w:t>二、股东大会情况简介</w:t>
      </w:r>
      <w:r>
        <w:rPr>
          <w:rFonts w:ascii="宋体" w:hAnsi="宋体" w:cs="宋体" w:eastAsia="宋体" w:hint="default"/>
        </w:rPr>
      </w:r>
    </w:p>
    <w:p>
      <w:pPr>
        <w:spacing w:line="240" w:lineRule="auto" w:before="11"/>
        <w:rPr>
          <w:rFonts w:ascii="宋体" w:hAnsi="宋体" w:cs="宋体" w:eastAsia="宋体" w:hint="default"/>
          <w:sz w:val="17"/>
          <w:szCs w:val="17"/>
        </w:rPr>
      </w:pPr>
    </w:p>
    <w:p>
      <w:pPr>
        <w:tabs>
          <w:tab w:pos="5709" w:val="left" w:leader="none"/>
        </w:tabs>
        <w:spacing w:before="0"/>
        <w:ind w:left="1842" w:right="0" w:firstLine="0"/>
        <w:jc w:val="both"/>
        <w:rPr>
          <w:rFonts w:ascii="宋体" w:hAnsi="宋体" w:cs="宋体" w:eastAsia="宋体" w:hint="default"/>
          <w:sz w:val="16"/>
          <w:szCs w:val="16"/>
        </w:rPr>
      </w:pPr>
      <w:r>
        <w:rPr>
          <w:rFonts w:ascii="宋体" w:hAnsi="宋体" w:cs="宋体" w:eastAsia="宋体" w:hint="default"/>
          <w:sz w:val="16"/>
          <w:szCs w:val="16"/>
        </w:rPr>
        <w:t>会议届次</w:t>
        <w:tab/>
        <w:t>召开日期      决议刊登的指定网站的查询索引    </w:t>
      </w:r>
      <w:r>
        <w:rPr>
          <w:rFonts w:ascii="宋体" w:hAnsi="宋体" w:cs="宋体" w:eastAsia="宋体" w:hint="default"/>
          <w:spacing w:val="59"/>
          <w:sz w:val="16"/>
          <w:szCs w:val="16"/>
        </w:rPr>
        <w:t> </w:t>
      </w:r>
      <w:r>
        <w:rPr>
          <w:rFonts w:ascii="宋体" w:hAnsi="宋体" w:cs="宋体" w:eastAsia="宋体" w:hint="default"/>
          <w:sz w:val="16"/>
          <w:szCs w:val="16"/>
        </w:rPr>
        <w:t>决议刊登的披露日期</w:t>
      </w:r>
    </w:p>
    <w:p>
      <w:pPr>
        <w:spacing w:line="240" w:lineRule="auto" w:before="2"/>
        <w:rPr>
          <w:rFonts w:ascii="宋体" w:hAnsi="宋体" w:cs="宋体" w:eastAsia="宋体" w:hint="default"/>
          <w:sz w:val="7"/>
          <w:szCs w:val="7"/>
        </w:rPr>
      </w:pPr>
    </w:p>
    <w:p>
      <w:pPr>
        <w:spacing w:line="40" w:lineRule="exact"/>
        <w:ind w:left="1737"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05;height:2" coordorigin="20,20" coordsize="3005,2">
              <v:shape style="position:absolute;left:20;top:20;width:3005;height:2" coordorigin="20,20" coordsize="3005,0" path="m20,20l3025,20e" filled="false" stroked="true" strokeweight="2pt" strokecolor="#9c8758">
                <v:path arrowok="t"/>
              </v:shape>
            </v:group>
            <v:group style="position:absolute;left:3025;top:20;width:1673;height:2" coordorigin="3025,20" coordsize="1673,2">
              <v:shape style="position:absolute;left:3025;top:20;width:1673;height:2" coordorigin="3025,20" coordsize="1673,0" path="m3025,20l4697,20e" filled="false" stroked="true" strokeweight="2pt" strokecolor="#9c8758">
                <v:path arrowok="t"/>
              </v:shape>
            </v:group>
            <v:group style="position:absolute;left:4697;top:20;width:2736;height:2" coordorigin="4697,20" coordsize="2736,2">
              <v:shape style="position:absolute;left:4697;top:20;width:2736;height:2" coordorigin="4697,20" coordsize="2736,0" path="m4697,20l7433,20e" filled="false" stroked="true" strokeweight="2pt" strokecolor="#9c8758">
                <v:path arrowok="t"/>
              </v:shape>
            </v:group>
            <v:group style="position:absolute;left:7433;top:20;width:1886;height:2" coordorigin="7433,20" coordsize="1886,2">
              <v:shape style="position:absolute;left:7433;top:20;width:1886;height:2" coordorigin="7433,20" coordsize="1886,0" path="m7433,20l9318,20e" filled="false" stroked="true" strokeweight="2pt" strokecolor="#9c87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headerReference w:type="default" r:id="rId217"/>
          <w:footerReference w:type="default" r:id="rId218"/>
          <w:pgSz w:w="11910" w:h="16160"/>
          <w:pgMar w:header="0" w:footer="0" w:top="0" w:bottom="0" w:left="0" w:right="0"/>
        </w:sectPr>
      </w:pPr>
    </w:p>
    <w:p>
      <w:pPr>
        <w:tabs>
          <w:tab w:pos="3294" w:val="left" w:leader="none"/>
          <w:tab w:pos="5937" w:val="left" w:leader="none"/>
        </w:tabs>
        <w:spacing w:line="255" w:lineRule="exact" w:before="75"/>
        <w:ind w:left="0" w:right="0" w:firstLine="0"/>
        <w:jc w:val="righ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年第一次临时股东大会</w:t>
        <w:tab/>
      </w:r>
      <w:r>
        <w:rPr>
          <w:rFonts w:ascii="宋体" w:hAnsi="宋体" w:cs="宋体" w:eastAsia="宋体" w:hint="default"/>
          <w:spacing w:val="20"/>
          <w:w w:val="105"/>
          <w:sz w:val="16"/>
          <w:szCs w:val="16"/>
        </w:rPr>
        <w:t>2018年2月8日</w:t>
        <w:tab/>
      </w:r>
      <w:r>
        <w:rPr>
          <w:rFonts w:ascii="宋体" w:hAnsi="宋体" w:cs="宋体" w:eastAsia="宋体" w:hint="default"/>
          <w:w w:val="105"/>
          <w:position w:val="10"/>
          <w:sz w:val="16"/>
          <w:szCs w:val="16"/>
        </w:rPr>
        <w:t>www.sse.com.cn;</w:t>
      </w:r>
      <w:r>
        <w:rPr>
          <w:rFonts w:ascii="宋体" w:hAnsi="宋体" w:cs="宋体" w:eastAsia="宋体" w:hint="default"/>
          <w:sz w:val="16"/>
          <w:szCs w:val="16"/>
        </w:rPr>
      </w:r>
    </w:p>
    <w:p>
      <w:pPr>
        <w:spacing w:line="155" w:lineRule="exact" w:before="0"/>
        <w:ind w:left="0" w:right="0" w:firstLine="0"/>
        <w:jc w:val="right"/>
        <w:rPr>
          <w:rFonts w:ascii="宋体" w:hAnsi="宋体" w:cs="宋体" w:eastAsia="宋体" w:hint="default"/>
          <w:sz w:val="16"/>
          <w:szCs w:val="16"/>
        </w:rPr>
      </w:pPr>
      <w:hyperlink r:id="rId220">
        <w:r>
          <w:rPr>
            <w:rFonts w:ascii="宋体"/>
            <w:w w:val="105"/>
            <w:sz w:val="16"/>
          </w:rPr>
          <w:t>www.chinaunicom-a.com.cn</w:t>
        </w:r>
        <w:r>
          <w:rPr>
            <w:rFonts w:ascii="宋体"/>
            <w:sz w:val="16"/>
          </w:rPr>
        </w:r>
      </w:hyperlink>
    </w:p>
    <w:p>
      <w:pPr>
        <w:tabs>
          <w:tab w:pos="3205" w:val="left" w:leader="none"/>
          <w:tab w:pos="5937" w:val="left" w:leader="none"/>
        </w:tabs>
        <w:spacing w:line="255" w:lineRule="exact" w:before="86"/>
        <w:ind w:left="0" w:right="0" w:firstLine="0"/>
        <w:jc w:val="righ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年第二次临时股东大会</w:t>
        <w:tab/>
      </w:r>
      <w:r>
        <w:rPr>
          <w:rFonts w:ascii="宋体" w:hAnsi="宋体" w:cs="宋体" w:eastAsia="宋体" w:hint="default"/>
          <w:spacing w:val="15"/>
          <w:w w:val="105"/>
          <w:sz w:val="16"/>
          <w:szCs w:val="16"/>
        </w:rPr>
        <w:t>2018年2月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28日</w:t>
        <w:tab/>
      </w:r>
      <w:r>
        <w:rPr>
          <w:rFonts w:ascii="宋体" w:hAnsi="宋体" w:cs="宋体" w:eastAsia="宋体" w:hint="default"/>
          <w:w w:val="105"/>
          <w:position w:val="10"/>
          <w:sz w:val="16"/>
          <w:szCs w:val="16"/>
        </w:rPr>
        <w:t>www.sse.com.cn;</w:t>
      </w:r>
      <w:r>
        <w:rPr>
          <w:rFonts w:ascii="宋体" w:hAnsi="宋体" w:cs="宋体" w:eastAsia="宋体" w:hint="default"/>
          <w:sz w:val="16"/>
          <w:szCs w:val="16"/>
        </w:rPr>
      </w:r>
    </w:p>
    <w:p>
      <w:pPr>
        <w:spacing w:line="155" w:lineRule="exact" w:before="0"/>
        <w:ind w:left="0" w:right="0" w:firstLine="0"/>
        <w:jc w:val="right"/>
        <w:rPr>
          <w:rFonts w:ascii="宋体" w:hAnsi="宋体" w:cs="宋体" w:eastAsia="宋体" w:hint="default"/>
          <w:sz w:val="16"/>
          <w:szCs w:val="16"/>
        </w:rPr>
      </w:pPr>
      <w:hyperlink r:id="rId220">
        <w:r>
          <w:rPr>
            <w:rFonts w:ascii="宋体"/>
            <w:w w:val="105"/>
            <w:sz w:val="16"/>
          </w:rPr>
          <w:t>www.chinaunicom-a.com.cn</w:t>
        </w:r>
        <w:r>
          <w:rPr>
            <w:rFonts w:ascii="宋体"/>
            <w:sz w:val="16"/>
          </w:rPr>
        </w:r>
      </w:hyperlink>
    </w:p>
    <w:p>
      <w:pPr>
        <w:spacing w:line="240" w:lineRule="auto" w:before="4"/>
        <w:rPr>
          <w:rFonts w:ascii="宋体" w:hAnsi="宋体" w:cs="宋体" w:eastAsia="宋体" w:hint="default"/>
          <w:sz w:val="14"/>
          <w:szCs w:val="14"/>
        </w:rPr>
      </w:pPr>
    </w:p>
    <w:p>
      <w:pPr>
        <w:tabs>
          <w:tab w:pos="5137" w:val="left" w:leader="none"/>
          <w:tab w:pos="7779" w:val="left" w:leader="none"/>
        </w:tabs>
        <w:spacing w:line="156" w:lineRule="auto" w:before="0"/>
        <w:ind w:left="6992" w:right="0" w:hanging="5150"/>
        <w:jc w:val="right"/>
        <w:rPr>
          <w:rFonts w:ascii="宋体" w:hAnsi="宋体" w:cs="宋体" w:eastAsia="宋体" w:hint="default"/>
          <w:sz w:val="16"/>
          <w:szCs w:val="16"/>
        </w:rPr>
      </w:pPr>
      <w:r>
        <w:rPr/>
        <w:pict>
          <v:group style="position:absolute;margin-left:74.412102pt;margin-top:19.925434pt;width:520.9pt;height:277.8pt;mso-position-horizontal-relative:page;mso-position-vertical-relative:paragraph;z-index:7432" coordorigin="1488,399" coordsize="10418,5556">
            <v:shape style="position:absolute;left:6633;top:4594;width:188;height:188" type="#_x0000_t75" stroked="false">
              <v:imagedata r:id="rId221" o:title=""/>
            </v:shape>
            <v:group style="position:absolute;left:6750;top:4688;width:2831;height:2" coordorigin="6750,4688" coordsize="2831,2">
              <v:shape style="position:absolute;left:6750;top:4688;width:2831;height:2" coordorigin="6750,4688" coordsize="2831,0" path="m6750,4688l9581,4688e" filled="false" stroked="true" strokeweight=".956pt" strokecolor="#9d8757">
                <v:path arrowok="t"/>
              </v:shape>
            </v:group>
            <v:group style="position:absolute;left:8615;top:399;width:3291;height:5556" coordorigin="8615,399" coordsize="3291,5556">
              <v:shape style="position:absolute;left:8615;top:399;width:3291;height:5556" coordorigin="8615,399" coordsize="3291,5556" path="m11906,5954l8615,5954,10830,399,11905,399,11906,5954xe" filled="true" fillcolor="#d7000f" stroked="false">
                <v:path arrowok="t"/>
                <v:fill type="solid"/>
              </v:shape>
            </v:group>
            <v:group style="position:absolute;left:1757;top:945;width:3005;height:2" coordorigin="1757,945" coordsize="3005,2">
              <v:shape style="position:absolute;left:1757;top:945;width:3005;height:2" coordorigin="1757,945" coordsize="3005,0" path="m1757,945l4762,945e" filled="false" stroked="true" strokeweight=".5pt" strokecolor="#000000">
                <v:path arrowok="t"/>
              </v:shape>
            </v:group>
            <v:group style="position:absolute;left:4762;top:945;width:1673;height:2" coordorigin="4762,945" coordsize="1673,2">
              <v:shape style="position:absolute;left:4762;top:945;width:1673;height:2" coordorigin="4762,945" coordsize="1673,0" path="m4762,945l6435,945e" filled="false" stroked="true" strokeweight=".5pt" strokecolor="#000000">
                <v:path arrowok="t"/>
              </v:shape>
            </v:group>
            <v:group style="position:absolute;left:6435;top:945;width:2736;height:2" coordorigin="6435,945" coordsize="2736,2">
              <v:shape style="position:absolute;left:6435;top:945;width:2736;height:2" coordorigin="6435,945" coordsize="2736,0" path="m6435,945l9170,945e" filled="false" stroked="true" strokeweight=".5pt" strokecolor="#000000">
                <v:path arrowok="t"/>
              </v:shape>
            </v:group>
            <v:group style="position:absolute;left:9170;top:945;width:1886;height:2" coordorigin="9170,945" coordsize="1886,2">
              <v:shape style="position:absolute;left:9170;top:945;width:1886;height:2" coordorigin="9170,945" coordsize="1886,0" path="m9170,945l11055,945e" filled="false" stroked="true" strokeweight=".5pt" strokecolor="#000000">
                <v:path arrowok="t"/>
              </v:shape>
              <v:shape style="position:absolute;left:1843;top:557;width:1995;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年第三次临时股东大会</w:t>
                      </w:r>
                    </w:p>
                  </w:txbxContent>
                </v:textbox>
                <w10:wrap type="none"/>
              </v:shape>
              <v:shape style="position:absolute;left:5048;top:557;width:1342;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w w:val="105"/>
                          <w:sz w:val="16"/>
                          <w:szCs w:val="16"/>
                        </w:rPr>
                        <w:t>2018年9月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14日</w:t>
                      </w:r>
                      <w:r>
                        <w:rPr>
                          <w:rFonts w:ascii="宋体" w:hAnsi="宋体" w:cs="宋体" w:eastAsia="宋体" w:hint="default"/>
                          <w:spacing w:val="-40"/>
                          <w:sz w:val="16"/>
                          <w:szCs w:val="16"/>
                        </w:rPr>
                        <w:t> </w:t>
                      </w:r>
                      <w:r>
                        <w:rPr>
                          <w:rFonts w:ascii="宋体" w:hAnsi="宋体" w:cs="宋体" w:eastAsia="宋体" w:hint="default"/>
                          <w:sz w:val="16"/>
                          <w:szCs w:val="16"/>
                        </w:rPr>
                      </w:r>
                    </w:p>
                  </w:txbxContent>
                </v:textbox>
                <w10:wrap type="none"/>
              </v:shape>
              <v:shape style="position:absolute;left:6992;top:457;width:2093;height:360" type="#_x0000_t202" filled="false" stroked="false">
                <v:textbox inset="0,0,0,0">
                  <w:txbxContent>
                    <w:p>
                      <w:pPr>
                        <w:spacing w:line="143" w:lineRule="exact" w:before="0"/>
                        <w:ind w:left="0" w:right="0" w:firstLine="787"/>
                        <w:jc w:val="left"/>
                        <w:rPr>
                          <w:rFonts w:ascii="宋体" w:hAnsi="宋体" w:cs="宋体" w:eastAsia="宋体" w:hint="default"/>
                          <w:sz w:val="16"/>
                          <w:szCs w:val="16"/>
                        </w:rPr>
                      </w:pPr>
                      <w:r>
                        <w:rPr>
                          <w:rFonts w:ascii="宋体"/>
                          <w:w w:val="105"/>
                          <w:sz w:val="16"/>
                        </w:rPr>
                        <w:t>www.sse.com.cn;</w:t>
                      </w:r>
                      <w:r>
                        <w:rPr>
                          <w:rFonts w:ascii="宋体"/>
                          <w:sz w:val="16"/>
                        </w:rPr>
                      </w:r>
                    </w:p>
                    <w:p>
                      <w:pPr>
                        <w:spacing w:line="205" w:lineRule="exact" w:before="0"/>
                        <w:ind w:left="0" w:right="0" w:firstLine="0"/>
                        <w:jc w:val="left"/>
                        <w:rPr>
                          <w:rFonts w:ascii="宋体" w:hAnsi="宋体" w:cs="宋体" w:eastAsia="宋体" w:hint="default"/>
                          <w:sz w:val="16"/>
                          <w:szCs w:val="16"/>
                        </w:rPr>
                      </w:pPr>
                      <w:hyperlink r:id="rId220">
                        <w:r>
                          <w:rPr>
                            <w:rFonts w:ascii="宋体"/>
                            <w:w w:val="105"/>
                            <w:sz w:val="16"/>
                          </w:rPr>
                          <w:t>www.chinaunicom-a.com.cn</w:t>
                        </w:r>
                        <w:r>
                          <w:rPr>
                            <w:rFonts w:ascii="宋体"/>
                            <w:sz w:val="16"/>
                          </w:rPr>
                        </w:r>
                      </w:hyperlink>
                    </w:p>
                  </w:txbxContent>
                </v:textbox>
                <w10:wrap type="none"/>
              </v:shape>
              <v:shape style="position:absolute;left:9669;top:557;width:1342;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pacing w:val="15"/>
                          <w:w w:val="105"/>
                          <w:sz w:val="16"/>
                          <w:szCs w:val="16"/>
                        </w:rPr>
                        <w:t>2018年9月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15日</w:t>
                      </w:r>
                      <w:r>
                        <w:rPr>
                          <w:rFonts w:ascii="宋体" w:hAnsi="宋体" w:cs="宋体" w:eastAsia="宋体" w:hint="default"/>
                          <w:spacing w:val="-40"/>
                          <w:sz w:val="16"/>
                          <w:szCs w:val="16"/>
                        </w:rPr>
                        <w:t> </w:t>
                      </w:r>
                      <w:r>
                        <w:rPr>
                          <w:rFonts w:ascii="宋体" w:hAnsi="宋体" w:cs="宋体" w:eastAsia="宋体" w:hint="default"/>
                          <w:sz w:val="16"/>
                          <w:szCs w:val="16"/>
                        </w:rPr>
                      </w:r>
                    </w:p>
                  </w:txbxContent>
                </v:textbox>
                <w10:wrap type="none"/>
              </v:shape>
              <v:shape style="position:absolute;left:1757;top:1190;width:9302;height:2367" type="#_x0000_t202" filled="false" stroked="false">
                <v:textbox inset="0,0,0,0">
                  <w:txbxContent>
                    <w:p>
                      <w:pPr>
                        <w:spacing w:line="167" w:lineRule="exact" w:before="0"/>
                        <w:ind w:left="0" w:right="0" w:firstLine="0"/>
                        <w:jc w:val="both"/>
                        <w:rPr>
                          <w:rFonts w:ascii="宋体" w:hAnsi="宋体" w:cs="宋体" w:eastAsia="宋体" w:hint="default"/>
                          <w:sz w:val="18"/>
                          <w:szCs w:val="18"/>
                        </w:rPr>
                      </w:pPr>
                      <w:r>
                        <w:rPr>
                          <w:rFonts w:ascii="宋体" w:hAnsi="宋体" w:cs="宋体" w:eastAsia="宋体" w:hint="default"/>
                          <w:sz w:val="18"/>
                          <w:szCs w:val="18"/>
                        </w:rPr>
                        <w:t>股东大会情况说明</w:t>
                      </w:r>
                    </w:p>
                    <w:p>
                      <w:pPr>
                        <w:spacing w:line="285" w:lineRule="auto" w:before="157"/>
                        <w:ind w:left="0" w:right="0" w:firstLine="0"/>
                        <w:jc w:val="both"/>
                        <w:rPr>
                          <w:rFonts w:ascii="宋体" w:hAnsi="宋体" w:cs="宋体" w:eastAsia="宋体" w:hint="default"/>
                          <w:sz w:val="18"/>
                          <w:szCs w:val="18"/>
                        </w:rPr>
                      </w:pPr>
                      <w:r>
                        <w:rPr>
                          <w:rFonts w:ascii="宋体" w:hAnsi="宋体" w:cs="宋体" w:eastAsia="宋体" w:hint="default"/>
                          <w:sz w:val="18"/>
                          <w:szCs w:val="18"/>
                        </w:rPr>
                        <w:t>本年度，本公司共召开</w:t>
                      </w:r>
                      <w:r>
                        <w:rPr>
                          <w:rFonts w:ascii="宋体" w:hAnsi="宋体" w:cs="宋体" w:eastAsia="宋体" w:hint="default"/>
                          <w:spacing w:val="-25"/>
                          <w:sz w:val="18"/>
                          <w:szCs w:val="18"/>
                        </w:rPr>
                        <w:t> </w:t>
                      </w:r>
                      <w:r>
                        <w:rPr>
                          <w:rFonts w:ascii="宋体" w:hAnsi="宋体" w:cs="宋体" w:eastAsia="宋体" w:hint="default"/>
                          <w:sz w:val="18"/>
                          <w:szCs w:val="18"/>
                        </w:rPr>
                        <w:t>4</w:t>
                      </w:r>
                      <w:r>
                        <w:rPr>
                          <w:rFonts w:ascii="宋体" w:hAnsi="宋体" w:cs="宋体" w:eastAsia="宋体" w:hint="default"/>
                          <w:spacing w:val="-25"/>
                          <w:sz w:val="18"/>
                          <w:szCs w:val="18"/>
                        </w:rPr>
                        <w:t> </w:t>
                      </w:r>
                      <w:r>
                        <w:rPr>
                          <w:rFonts w:ascii="宋体" w:hAnsi="宋体" w:cs="宋体" w:eastAsia="宋体" w:hint="default"/>
                          <w:sz w:val="18"/>
                          <w:szCs w:val="18"/>
                        </w:rPr>
                        <w:t>次股东大会，审议事项包括公司</w:t>
                      </w:r>
                      <w:r>
                        <w:rPr>
                          <w:rFonts w:ascii="宋体" w:hAnsi="宋体" w:cs="宋体" w:eastAsia="宋体" w:hint="default"/>
                          <w:spacing w:val="-25"/>
                          <w:sz w:val="18"/>
                          <w:szCs w:val="18"/>
                        </w:rPr>
                        <w:t> </w:t>
                      </w:r>
                      <w:r>
                        <w:rPr>
                          <w:rFonts w:ascii="宋体" w:hAnsi="宋体" w:cs="宋体" w:eastAsia="宋体" w:hint="default"/>
                          <w:sz w:val="18"/>
                          <w:szCs w:val="18"/>
                        </w:rPr>
                        <w:t>2017</w:t>
                      </w:r>
                      <w:r>
                        <w:rPr>
                          <w:rFonts w:ascii="宋体" w:hAnsi="宋体" w:cs="宋体" w:eastAsia="宋体" w:hint="default"/>
                          <w:spacing w:val="-25"/>
                          <w:sz w:val="18"/>
                          <w:szCs w:val="18"/>
                        </w:rPr>
                        <w:t> </w:t>
                      </w:r>
                      <w:r>
                        <w:rPr>
                          <w:rFonts w:ascii="宋体" w:hAnsi="宋体" w:cs="宋体" w:eastAsia="宋体" w:hint="default"/>
                          <w:sz w:val="18"/>
                          <w:szCs w:val="18"/>
                        </w:rPr>
                        <w:t>年年度报告、2017</w:t>
                      </w:r>
                      <w:r>
                        <w:rPr>
                          <w:rFonts w:ascii="宋体" w:hAnsi="宋体" w:cs="宋体" w:eastAsia="宋体" w:hint="default"/>
                          <w:spacing w:val="-25"/>
                          <w:sz w:val="18"/>
                          <w:szCs w:val="18"/>
                        </w:rPr>
                        <w:t> </w:t>
                      </w:r>
                      <w:r>
                        <w:rPr>
                          <w:rFonts w:ascii="宋体" w:hAnsi="宋体" w:cs="宋体" w:eastAsia="宋体" w:hint="default"/>
                          <w:sz w:val="18"/>
                          <w:szCs w:val="18"/>
                        </w:rPr>
                        <w:t>年决算报告及利润分配、聘请会计</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2"/>
                          <w:sz w:val="18"/>
                          <w:szCs w:val="18"/>
                        </w:rPr>
                        <w:t>师事务所、董事会报告、监事会报告、对联通红筹公司股东大会“渗透投票”、增加公司注册资本及修订《公司章程》</w:t>
                      </w:r>
                      <w:r>
                        <w:rPr>
                          <w:rFonts w:ascii="宋体" w:hAnsi="宋体" w:cs="宋体" w:eastAsia="宋体" w:hint="default"/>
                          <w:spacing w:val="-49"/>
                          <w:sz w:val="18"/>
                          <w:szCs w:val="18"/>
                        </w:rPr>
                        <w:t> </w:t>
                      </w:r>
                      <w:r>
                        <w:rPr>
                          <w:rFonts w:ascii="宋体" w:hAnsi="宋体" w:cs="宋体" w:eastAsia="宋体" w:hint="default"/>
                          <w:spacing w:val="-49"/>
                          <w:sz w:val="18"/>
                          <w:szCs w:val="18"/>
                        </w:rPr>
                      </w:r>
                      <w:r>
                        <w:rPr>
                          <w:rFonts w:ascii="宋体" w:hAnsi="宋体" w:cs="宋体" w:eastAsia="宋体" w:hint="default"/>
                          <w:sz w:val="18"/>
                          <w:szCs w:val="18"/>
                        </w:rPr>
                        <w:t>并办理工商变更登记、公司董事会换届暨选举董事、监事会换届暨选举监事、限制性股票激励计划相关事项、增补公</w:t>
                      </w:r>
                      <w:r>
                        <w:rPr>
                          <w:rFonts w:ascii="宋体" w:hAnsi="宋体" w:cs="宋体" w:eastAsia="宋体" w:hint="default"/>
                          <w:spacing w:val="3"/>
                          <w:sz w:val="18"/>
                          <w:szCs w:val="18"/>
                        </w:rPr>
                        <w:t> </w:t>
                      </w:r>
                      <w:r>
                        <w:rPr>
                          <w:rFonts w:ascii="宋体" w:hAnsi="宋体" w:cs="宋体" w:eastAsia="宋体" w:hint="default"/>
                          <w:spacing w:val="3"/>
                          <w:sz w:val="18"/>
                          <w:szCs w:val="18"/>
                        </w:rPr>
                      </w:r>
                      <w:r>
                        <w:rPr>
                          <w:rFonts w:ascii="宋体" w:hAnsi="宋体" w:cs="宋体" w:eastAsia="宋体" w:hint="default"/>
                          <w:sz w:val="18"/>
                          <w:szCs w:val="18"/>
                        </w:rPr>
                        <w:t>司董事、调整募集资金余额及利息使用安排等。上述各审议事项均获通过，相关会议决议详见公司于上交所及本公司</w:t>
                      </w:r>
                      <w:r>
                        <w:rPr>
                          <w:rFonts w:ascii="宋体" w:hAnsi="宋体" w:cs="宋体" w:eastAsia="宋体" w:hint="default"/>
                          <w:spacing w:val="5"/>
                          <w:sz w:val="18"/>
                          <w:szCs w:val="18"/>
                        </w:rPr>
                        <w:t> </w:t>
                      </w:r>
                      <w:r>
                        <w:rPr>
                          <w:rFonts w:ascii="宋体" w:hAnsi="宋体" w:cs="宋体" w:eastAsia="宋体" w:hint="default"/>
                          <w:spacing w:val="5"/>
                          <w:sz w:val="18"/>
                          <w:szCs w:val="18"/>
                        </w:rPr>
                      </w:r>
                      <w:r>
                        <w:rPr>
                          <w:rFonts w:ascii="宋体" w:hAnsi="宋体" w:cs="宋体" w:eastAsia="宋体" w:hint="default"/>
                          <w:sz w:val="18"/>
                          <w:szCs w:val="18"/>
                        </w:rPr>
                        <w:t>网站发布的编号为   2018-010、2018-021、2018-043、2018-068 </w:t>
                      </w:r>
                      <w:r>
                        <w:rPr>
                          <w:rFonts w:ascii="宋体" w:hAnsi="宋体" w:cs="宋体" w:eastAsia="宋体" w:hint="default"/>
                          <w:spacing w:val="27"/>
                          <w:sz w:val="18"/>
                          <w:szCs w:val="18"/>
                        </w:rPr>
                        <w:t> </w:t>
                      </w:r>
                      <w:r>
                        <w:rPr>
                          <w:rFonts w:ascii="宋体" w:hAnsi="宋体" w:cs="宋体" w:eastAsia="宋体" w:hint="default"/>
                          <w:sz w:val="18"/>
                          <w:szCs w:val="18"/>
                        </w:rPr>
                        <w:t>的临时公告。</w:t>
                      </w:r>
                    </w:p>
                    <w:p>
                      <w:pPr>
                        <w:spacing w:line="280" w:lineRule="atLeast" w:before="79"/>
                        <w:ind w:left="0" w:right="0" w:firstLine="0"/>
                        <w:jc w:val="both"/>
                        <w:rPr>
                          <w:rFonts w:ascii="宋体" w:hAnsi="宋体" w:cs="宋体" w:eastAsia="宋体" w:hint="default"/>
                          <w:sz w:val="18"/>
                          <w:szCs w:val="18"/>
                        </w:rPr>
                      </w:pPr>
                      <w:r>
                        <w:rPr>
                          <w:rFonts w:ascii="宋体" w:hAnsi="宋体" w:cs="宋体" w:eastAsia="宋体" w:hint="default"/>
                          <w:sz w:val="18"/>
                          <w:szCs w:val="18"/>
                        </w:rPr>
                        <w:t>公司股东会的召集、召开、表决等相关程序符合法律法规及本公司《公司章程》《股东大会议事规则》等有关规定，</w:t>
                      </w:r>
                      <w:r>
                        <w:rPr>
                          <w:rFonts w:ascii="宋体" w:hAnsi="宋体" w:cs="宋体" w:eastAsia="宋体" w:hint="default"/>
                          <w:spacing w:val="-3"/>
                          <w:sz w:val="18"/>
                          <w:szCs w:val="18"/>
                        </w:rPr>
                        <w:t> </w:t>
                      </w:r>
                      <w:r>
                        <w:rPr>
                          <w:rFonts w:ascii="宋体" w:hAnsi="宋体" w:cs="宋体" w:eastAsia="宋体" w:hint="default"/>
                          <w:spacing w:val="-3"/>
                          <w:sz w:val="18"/>
                          <w:szCs w:val="18"/>
                        </w:rPr>
                      </w:r>
                      <w:r>
                        <w:rPr>
                          <w:rFonts w:ascii="宋体" w:hAnsi="宋体" w:cs="宋体" w:eastAsia="宋体" w:hint="default"/>
                          <w:sz w:val="18"/>
                          <w:szCs w:val="18"/>
                        </w:rPr>
                        <w:t>确保全体股东尤其是中小股东享有平等地位、充分行使权利。</w:t>
                      </w:r>
                    </w:p>
                  </w:txbxContent>
                </v:textbox>
                <w10:wrap type="none"/>
              </v:shape>
              <v:shape style="position:absolute;left:1488;top:5467;width:2357;height:165" type="#_x0000_t202" filled="false" stroked="false">
                <v:textbox inset="0,0,0,0">
                  <w:txbxContent>
                    <w:p>
                      <w:pPr>
                        <w:tabs>
                          <w:tab w:pos="1601" w:val="left" w:leader="none"/>
                        </w:tabs>
                        <w:spacing w:line="151" w:lineRule="exact" w:before="0"/>
                        <w:ind w:left="0" w:right="0" w:firstLine="0"/>
                        <w:jc w:val="left"/>
                        <w:rPr>
                          <w:rFonts w:ascii="宋体" w:hAnsi="宋体" w:cs="宋体" w:eastAsia="宋体"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1"/>
                          <w:sz w:val="16"/>
                          <w:szCs w:val="16"/>
                        </w:rPr>
                        <w:t>公司治理</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v:shape style="position:absolute;left:10934;top:5457;width:178;height:160" type="#_x0000_t202" filled="false" stroked="false">
                <v:textbox inset="0,0,0,0">
                  <w:txbxContent>
                    <w:p>
                      <w:pPr>
                        <w:spacing w:line="160" w:lineRule="exact" w:before="0"/>
                        <w:ind w:left="0" w:right="0" w:firstLine="0"/>
                        <w:jc w:val="left"/>
                        <w:rPr>
                          <w:rFonts w:ascii="Arial" w:hAnsi="Arial" w:cs="Arial" w:eastAsia="Arial" w:hint="default"/>
                          <w:sz w:val="16"/>
                          <w:szCs w:val="16"/>
                        </w:rPr>
                      </w:pPr>
                      <w:r>
                        <w:rPr>
                          <w:rFonts w:ascii="Arial"/>
                          <w:b/>
                          <w:color w:val="9C8758"/>
                          <w:sz w:val="16"/>
                        </w:rPr>
                      </w:r>
                      <w:r>
                        <w:rPr>
                          <w:rFonts w:ascii="Arial"/>
                          <w:b/>
                          <w:shadow/>
                          <w:color w:val="9C8758"/>
                          <w:spacing w:val="-1"/>
                          <w:sz w:val="16"/>
                        </w:rPr>
                        <w:t>73</w:t>
                      </w:r>
                      <w:r>
                        <w:rPr>
                          <w:rFonts w:ascii="Arial"/>
                          <w:b/>
                          <w:shadow w:val="0"/>
                          <w:color w:val="9C8758"/>
                          <w:spacing w:val="-1"/>
                          <w:sz w:val="16"/>
                        </w:rPr>
                      </w:r>
                      <w:r>
                        <w:rPr>
                          <w:rFonts w:ascii="Arial"/>
                          <w:shadow w:val="0"/>
                          <w:sz w:val="16"/>
                        </w:rPr>
                      </w:r>
                    </w:p>
                  </w:txbxContent>
                </v:textbox>
                <w10:wrap type="none"/>
              </v:shape>
            </v:group>
            <w10:wrap type="none"/>
          </v:group>
        </w:pict>
      </w: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年年度股东大会</w:t>
        <w:tab/>
      </w:r>
      <w:r>
        <w:rPr>
          <w:rFonts w:ascii="宋体" w:hAnsi="宋体" w:cs="宋体" w:eastAsia="宋体" w:hint="default"/>
          <w:spacing w:val="20"/>
          <w:w w:val="105"/>
          <w:sz w:val="16"/>
          <w:szCs w:val="16"/>
        </w:rPr>
        <w:t>2018年5月9日</w:t>
        <w:tab/>
        <w:tab/>
      </w:r>
      <w:r>
        <w:rPr>
          <w:rFonts w:ascii="宋体" w:hAnsi="宋体" w:cs="宋体" w:eastAsia="宋体" w:hint="default"/>
          <w:w w:val="105"/>
          <w:position w:val="10"/>
          <w:sz w:val="16"/>
          <w:szCs w:val="16"/>
        </w:rPr>
        <w:t>www.sse.com.cn;</w:t>
      </w:r>
      <w:r>
        <w:rPr>
          <w:rFonts w:ascii="宋体" w:hAnsi="宋体" w:cs="宋体" w:eastAsia="宋体" w:hint="default"/>
          <w:spacing w:val="-42"/>
          <w:w w:val="105"/>
          <w:position w:val="10"/>
          <w:sz w:val="16"/>
          <w:szCs w:val="16"/>
        </w:rPr>
        <w:t> </w:t>
      </w:r>
      <w:r>
        <w:rPr>
          <w:rFonts w:ascii="宋体" w:hAnsi="宋体" w:cs="宋体" w:eastAsia="宋体" w:hint="default"/>
          <w:spacing w:val="-42"/>
          <w:w w:val="105"/>
          <w:position w:val="10"/>
          <w:sz w:val="16"/>
          <w:szCs w:val="16"/>
        </w:rPr>
      </w:r>
      <w:hyperlink r:id="rId220">
        <w:r>
          <w:rPr>
            <w:rFonts w:ascii="宋体" w:hAnsi="宋体" w:cs="宋体" w:eastAsia="宋体" w:hint="default"/>
            <w:w w:val="105"/>
            <w:sz w:val="16"/>
            <w:szCs w:val="16"/>
          </w:rPr>
          <w:t>www.chinaunicom-a.com.cn</w:t>
        </w:r>
        <w:r>
          <w:rPr>
            <w:rFonts w:ascii="宋体" w:hAnsi="宋体" w:cs="宋体" w:eastAsia="宋体" w:hint="default"/>
            <w:sz w:val="16"/>
            <w:szCs w:val="16"/>
          </w:rPr>
        </w:r>
      </w:hyperlink>
    </w:p>
    <w:p>
      <w:pPr>
        <w:spacing w:line="240" w:lineRule="auto" w:before="5"/>
        <w:rPr>
          <w:rFonts w:ascii="宋体" w:hAnsi="宋体" w:cs="宋体" w:eastAsia="宋体" w:hint="default"/>
          <w:sz w:val="13"/>
          <w:szCs w:val="13"/>
        </w:rPr>
      </w:pPr>
      <w:r>
        <w:rPr/>
        <w:br w:type="column"/>
      </w:r>
      <w:r>
        <w:rPr>
          <w:rFonts w:ascii="宋体"/>
          <w:sz w:val="13"/>
        </w:rPr>
      </w:r>
    </w:p>
    <w:p>
      <w:pPr>
        <w:spacing w:before="0"/>
        <w:ind w:left="632" w:right="0" w:firstLine="0"/>
        <w:jc w:val="left"/>
        <w:rPr>
          <w:rFonts w:ascii="宋体" w:hAnsi="宋体" w:cs="宋体" w:eastAsia="宋体" w:hint="default"/>
          <w:sz w:val="16"/>
          <w:szCs w:val="16"/>
        </w:rPr>
      </w:pPr>
      <w:r>
        <w:rPr>
          <w:rFonts w:ascii="宋体" w:hAnsi="宋体" w:cs="宋体" w:eastAsia="宋体" w:hint="default"/>
          <w:spacing w:val="20"/>
          <w:w w:val="105"/>
          <w:sz w:val="16"/>
          <w:szCs w:val="16"/>
        </w:rPr>
        <w:t>2018年2月9日</w:t>
      </w:r>
      <w:r>
        <w:rPr>
          <w:rFonts w:ascii="宋体" w:hAnsi="宋体" w:cs="宋体" w:eastAsia="宋体" w:hint="default"/>
          <w:spacing w:val="-40"/>
          <w:sz w:val="16"/>
          <w:szCs w:val="16"/>
        </w:rPr>
        <w:t> </w:t>
      </w:r>
      <w:r>
        <w:rPr>
          <w:rFonts w:ascii="宋体" w:hAnsi="宋体" w:cs="宋体" w:eastAsia="宋体" w:hint="default"/>
          <w:sz w:val="16"/>
          <w:szCs w:val="16"/>
        </w:rPr>
      </w:r>
    </w:p>
    <w:p>
      <w:pPr>
        <w:spacing w:line="240" w:lineRule="auto" w:before="12"/>
        <w:rPr>
          <w:rFonts w:ascii="宋体" w:hAnsi="宋体" w:cs="宋体" w:eastAsia="宋体" w:hint="default"/>
          <w:sz w:val="21"/>
          <w:szCs w:val="21"/>
        </w:rPr>
      </w:pPr>
    </w:p>
    <w:p>
      <w:pPr>
        <w:spacing w:before="0"/>
        <w:ind w:left="632" w:right="0" w:firstLine="0"/>
        <w:jc w:val="left"/>
        <w:rPr>
          <w:rFonts w:ascii="宋体" w:hAnsi="宋体" w:cs="宋体" w:eastAsia="宋体" w:hint="default"/>
          <w:sz w:val="16"/>
          <w:szCs w:val="16"/>
        </w:rPr>
      </w:pPr>
      <w:r>
        <w:rPr>
          <w:rFonts w:ascii="宋体" w:hAnsi="宋体" w:cs="宋体" w:eastAsia="宋体" w:hint="default"/>
          <w:spacing w:val="20"/>
          <w:w w:val="105"/>
          <w:sz w:val="16"/>
          <w:szCs w:val="16"/>
        </w:rPr>
        <w:t>2018年3月1日</w:t>
      </w:r>
      <w:r>
        <w:rPr>
          <w:rFonts w:ascii="宋体" w:hAnsi="宋体" w:cs="宋体" w:eastAsia="宋体" w:hint="default"/>
          <w:spacing w:val="-40"/>
          <w:sz w:val="16"/>
          <w:szCs w:val="16"/>
        </w:rPr>
        <w:t> </w:t>
      </w:r>
      <w:r>
        <w:rPr>
          <w:rFonts w:ascii="宋体" w:hAnsi="宋体" w:cs="宋体" w:eastAsia="宋体" w:hint="default"/>
          <w:sz w:val="16"/>
          <w:szCs w:val="16"/>
        </w:rPr>
      </w:r>
    </w:p>
    <w:p>
      <w:pPr>
        <w:spacing w:line="240" w:lineRule="auto" w:before="12"/>
        <w:rPr>
          <w:rFonts w:ascii="宋体" w:hAnsi="宋体" w:cs="宋体" w:eastAsia="宋体" w:hint="default"/>
          <w:sz w:val="21"/>
          <w:szCs w:val="21"/>
        </w:rPr>
      </w:pPr>
    </w:p>
    <w:p>
      <w:pPr>
        <w:spacing w:before="0"/>
        <w:ind w:left="543" w:right="0" w:firstLine="0"/>
        <w:jc w:val="left"/>
        <w:rPr>
          <w:rFonts w:ascii="宋体" w:hAnsi="宋体" w:cs="宋体" w:eastAsia="宋体" w:hint="default"/>
          <w:sz w:val="16"/>
          <w:szCs w:val="16"/>
        </w:rPr>
      </w:pPr>
      <w:r>
        <w:rPr>
          <w:rFonts w:ascii="宋体" w:hAnsi="宋体" w:cs="宋体" w:eastAsia="宋体" w:hint="default"/>
          <w:spacing w:val="15"/>
          <w:w w:val="105"/>
          <w:sz w:val="16"/>
          <w:szCs w:val="16"/>
        </w:rPr>
        <w:t>2018年5月</w:t>
      </w:r>
      <w:r>
        <w:rPr>
          <w:rFonts w:ascii="宋体" w:hAnsi="宋体" w:cs="宋体" w:eastAsia="宋体" w:hint="default"/>
          <w:spacing w:val="-20"/>
          <w:w w:val="105"/>
          <w:sz w:val="16"/>
          <w:szCs w:val="16"/>
        </w:rPr>
        <w:t> </w:t>
      </w:r>
      <w:r>
        <w:rPr>
          <w:rFonts w:ascii="宋体" w:hAnsi="宋体" w:cs="宋体" w:eastAsia="宋体" w:hint="default"/>
          <w:spacing w:val="12"/>
          <w:w w:val="105"/>
          <w:sz w:val="16"/>
          <w:szCs w:val="16"/>
        </w:rPr>
        <w:t>10日</w:t>
      </w:r>
      <w:r>
        <w:rPr>
          <w:rFonts w:ascii="宋体" w:hAnsi="宋体" w:cs="宋体" w:eastAsia="宋体" w:hint="default"/>
          <w:spacing w:val="-40"/>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0" w:right="0"/>
          <w:cols w:num="2" w:equalWidth="0">
            <w:col w:w="9086" w:space="40"/>
            <w:col w:w="2784"/>
          </w:cols>
        </w:sectPr>
      </w:pPr>
    </w:p>
    <w:p>
      <w:pPr>
        <w:rPr>
          <w:sz w:val="2"/>
          <w:szCs w:val="2"/>
        </w:rPr>
      </w:pPr>
      <w:r>
        <w:rPr/>
        <w:pict>
          <v:group style="position:absolute;margin-left:-.477998pt;margin-top:749.318909pt;width:54.35pt;height:9.4pt;mso-position-horizontal-relative:page;mso-position-vertical-relative:page;z-index:7480" coordorigin="-10,14986" coordsize="1087,188">
            <v:shape style="position:absolute;left:889;top:14986;width:188;height:188" type="#_x0000_t75" stroked="false">
              <v:imagedata r:id="rId222" o:title=""/>
            </v:shape>
            <v:group style="position:absolute;left:0;top:15080;width:960;height:2" coordorigin="0,15080" coordsize="960,2">
              <v:shape style="position:absolute;left:0;top:15080;width:960;height:2" coordorigin="0,15080" coordsize="960,0" path="m960,15080l0,15080e" filled="false" stroked="true" strokeweight=".956pt" strokecolor="#8e9090">
                <v:path arrowok="t"/>
              </v:shape>
            </v:group>
            <w10:wrap type="none"/>
          </v:group>
        </w:pict>
      </w:r>
    </w:p>
    <w:p>
      <w:pPr>
        <w:spacing w:after="0"/>
        <w:rPr>
          <w:sz w:val="2"/>
          <w:szCs w:val="2"/>
        </w:rPr>
        <w:sectPr>
          <w:type w:val="continuous"/>
          <w:pgSz w:w="11910" w:h="16160"/>
          <w:pgMar w:top="1520" w:bottom="280" w:left="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BodyText"/>
        <w:spacing w:line="240" w:lineRule="auto" w:before="26"/>
        <w:ind w:left="850" w:right="764"/>
        <w:jc w:val="left"/>
        <w:rPr>
          <w:rFonts w:ascii="宋体" w:hAnsi="宋体" w:cs="宋体" w:eastAsia="宋体" w:hint="default"/>
        </w:rPr>
      </w:pPr>
      <w:r>
        <w:rPr>
          <w:rFonts w:ascii="宋体" w:hAnsi="宋体" w:cs="宋体" w:eastAsia="宋体" w:hint="default"/>
          <w:color w:val="D7000F"/>
        </w:rPr>
        <w:t>三、董事履行职责情况</w:t>
      </w:r>
      <w:r>
        <w:rPr>
          <w:rFonts w:ascii="宋体" w:hAnsi="宋体" w:cs="宋体" w:eastAsia="宋体" w:hint="default"/>
        </w:rPr>
      </w:r>
    </w:p>
    <w:p>
      <w:pPr>
        <w:spacing w:line="240" w:lineRule="auto" w:before="2"/>
        <w:rPr>
          <w:rFonts w:ascii="宋体" w:hAnsi="宋体" w:cs="宋体" w:eastAsia="宋体" w:hint="default"/>
          <w:sz w:val="18"/>
          <w:szCs w:val="18"/>
        </w:rPr>
      </w:pPr>
    </w:p>
    <w:p>
      <w:pPr>
        <w:spacing w:before="0"/>
        <w:ind w:left="850"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一</w:t>
      </w:r>
      <w:r>
        <w:rPr>
          <w:rFonts w:ascii="宋体" w:hAnsi="宋体" w:cs="宋体" w:eastAsia="宋体" w:hint="default"/>
          <w:spacing w:val="-55"/>
          <w:sz w:val="17"/>
          <w:szCs w:val="17"/>
        </w:rPr>
        <w:t> </w:t>
      </w:r>
      <w:r>
        <w:rPr>
          <w:rFonts w:ascii="宋体" w:hAnsi="宋体" w:cs="宋体" w:eastAsia="宋体" w:hint="default"/>
          <w:sz w:val="17"/>
          <w:szCs w:val="17"/>
        </w:rPr>
        <w:t>)</w:t>
      </w:r>
      <w:r>
        <w:rPr>
          <w:rFonts w:ascii="宋体" w:hAnsi="宋体" w:cs="宋体" w:eastAsia="宋体" w:hint="default"/>
          <w:spacing w:val="-55"/>
          <w:sz w:val="17"/>
          <w:szCs w:val="17"/>
        </w:rPr>
        <w:t> </w:t>
      </w:r>
      <w:r>
        <w:rPr>
          <w:rFonts w:ascii="宋体" w:hAnsi="宋体" w:cs="宋体" w:eastAsia="宋体" w:hint="default"/>
          <w:sz w:val="17"/>
          <w:szCs w:val="17"/>
        </w:rPr>
        <w:t>董事参加董事会和股东大会的情况</w:t>
      </w:r>
    </w:p>
    <w:p>
      <w:pPr>
        <w:spacing w:line="240" w:lineRule="auto" w:before="1"/>
        <w:rPr>
          <w:rFonts w:ascii="宋体" w:hAnsi="宋体" w:cs="宋体" w:eastAsia="宋体" w:hint="default"/>
          <w:sz w:val="19"/>
          <w:szCs w:val="19"/>
        </w:rPr>
      </w:pPr>
    </w:p>
    <w:p>
      <w:pPr>
        <w:tabs>
          <w:tab w:pos="9162" w:val="left" w:leader="none"/>
        </w:tabs>
        <w:spacing w:before="41"/>
        <w:ind w:left="5942" w:right="764" w:firstLine="0"/>
        <w:jc w:val="left"/>
        <w:rPr>
          <w:rFonts w:ascii="宋体" w:hAnsi="宋体" w:cs="宋体" w:eastAsia="宋体" w:hint="default"/>
          <w:sz w:val="16"/>
          <w:szCs w:val="16"/>
        </w:rPr>
      </w:pPr>
      <w:r>
        <w:rPr>
          <w:rFonts w:ascii="宋体" w:hAnsi="宋体" w:cs="宋体" w:eastAsia="宋体" w:hint="default"/>
          <w:sz w:val="16"/>
          <w:szCs w:val="16"/>
        </w:rPr>
        <w:t>参加董事会情况</w:t>
        <w:tab/>
        <w:t>参加股东大会情况</w:t>
      </w:r>
    </w:p>
    <w:p>
      <w:pPr>
        <w:spacing w:line="240" w:lineRule="auto" w:before="6"/>
        <w:rPr>
          <w:rFonts w:ascii="宋体" w:hAnsi="宋体" w:cs="宋体" w:eastAsia="宋体" w:hint="default"/>
          <w:sz w:val="10"/>
          <w:szCs w:val="10"/>
        </w:rPr>
      </w:pPr>
    </w:p>
    <w:tbl>
      <w:tblPr>
        <w:tblW w:w="0" w:type="auto"/>
        <w:jc w:val="left"/>
        <w:tblInd w:w="1190" w:type="dxa"/>
        <w:tblLayout w:type="fixed"/>
        <w:tblCellMar>
          <w:top w:w="0" w:type="dxa"/>
          <w:left w:w="0" w:type="dxa"/>
          <w:bottom w:w="0" w:type="dxa"/>
          <w:right w:w="0" w:type="dxa"/>
        </w:tblCellMar>
        <w:tblLook w:val="01E0"/>
      </w:tblPr>
      <w:tblGrid>
        <w:gridCol w:w="1864"/>
        <w:gridCol w:w="934"/>
        <w:gridCol w:w="862"/>
        <w:gridCol w:w="942"/>
        <w:gridCol w:w="770"/>
        <w:gridCol w:w="897"/>
        <w:gridCol w:w="639"/>
        <w:gridCol w:w="1247"/>
        <w:gridCol w:w="1165"/>
      </w:tblGrid>
      <w:tr>
        <w:trPr>
          <w:trHeight w:val="764" w:hRule="exact"/>
        </w:trPr>
        <w:tc>
          <w:tcPr>
            <w:tcW w:w="1864" w:type="dxa"/>
            <w:tcBorders>
              <w:top w:val="nil" w:sz="6" w:space="0" w:color="auto"/>
              <w:left w:val="nil" w:sz="6" w:space="0" w:color="auto"/>
              <w:bottom w:val="single" w:sz="16" w:space="0" w:color="9C87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7"/>
                <w:szCs w:val="17"/>
              </w:rPr>
            </w:pPr>
          </w:p>
          <w:p>
            <w:pPr>
              <w:pStyle w:val="TableParagraph"/>
              <w:spacing w:line="240" w:lineRule="auto"/>
              <w:ind w:left="56" w:right="0"/>
              <w:jc w:val="left"/>
              <w:rPr>
                <w:rFonts w:ascii="宋体" w:hAnsi="宋体" w:cs="宋体" w:eastAsia="宋体" w:hint="default"/>
                <w:sz w:val="16"/>
                <w:szCs w:val="16"/>
              </w:rPr>
            </w:pPr>
            <w:r>
              <w:rPr>
                <w:rFonts w:ascii="宋体" w:hAnsi="宋体" w:cs="宋体" w:eastAsia="宋体" w:hint="default"/>
                <w:sz w:val="16"/>
                <w:szCs w:val="16"/>
              </w:rPr>
              <w:t>董事姓名</w:t>
            </w:r>
          </w:p>
        </w:tc>
        <w:tc>
          <w:tcPr>
            <w:tcW w:w="934" w:type="dxa"/>
            <w:tcBorders>
              <w:top w:val="nil" w:sz="6" w:space="0" w:color="auto"/>
              <w:left w:val="nil" w:sz="6" w:space="0" w:color="auto"/>
              <w:bottom w:val="single" w:sz="16" w:space="0" w:color="9C8758"/>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00" w:lineRule="exact"/>
              <w:ind w:left="160" w:right="131" w:firstLine="320"/>
              <w:jc w:val="left"/>
              <w:rPr>
                <w:rFonts w:ascii="宋体" w:hAnsi="宋体" w:cs="宋体" w:eastAsia="宋体" w:hint="default"/>
                <w:sz w:val="16"/>
                <w:szCs w:val="16"/>
              </w:rPr>
            </w:pPr>
            <w:r>
              <w:rPr>
                <w:rFonts w:ascii="宋体" w:hAnsi="宋体" w:cs="宋体" w:eastAsia="宋体" w:hint="default"/>
                <w:sz w:val="16"/>
                <w:szCs w:val="16"/>
              </w:rPr>
              <w:t>是否 独立董事</w:t>
            </w:r>
          </w:p>
        </w:tc>
        <w:tc>
          <w:tcPr>
            <w:tcW w:w="862" w:type="dxa"/>
            <w:tcBorders>
              <w:top w:val="nil" w:sz="6" w:space="0" w:color="auto"/>
              <w:left w:val="nil" w:sz="6" w:space="0" w:color="auto"/>
              <w:bottom w:val="single" w:sz="16" w:space="0" w:color="9C8758"/>
              <w:right w:val="nil" w:sz="6" w:space="0" w:color="auto"/>
            </w:tcBorders>
          </w:tcPr>
          <w:p>
            <w:pPr>
              <w:pStyle w:val="TableParagraph"/>
              <w:spacing w:line="200" w:lineRule="exact" w:before="67"/>
              <w:ind w:left="133" w:right="86" w:firstLine="320"/>
              <w:jc w:val="both"/>
              <w:rPr>
                <w:rFonts w:ascii="宋体" w:hAnsi="宋体" w:cs="宋体" w:eastAsia="宋体" w:hint="default"/>
                <w:sz w:val="16"/>
                <w:szCs w:val="16"/>
              </w:rPr>
            </w:pPr>
            <w:r>
              <w:rPr>
                <w:rFonts w:ascii="宋体" w:hAnsi="宋体" w:cs="宋体" w:eastAsia="宋体" w:hint="default"/>
                <w:sz w:val="16"/>
                <w:szCs w:val="16"/>
              </w:rPr>
              <w:t>本年 应参加董 事会次数</w:t>
            </w:r>
          </w:p>
        </w:tc>
        <w:tc>
          <w:tcPr>
            <w:tcW w:w="942" w:type="dxa"/>
            <w:tcBorders>
              <w:top w:val="nil" w:sz="6" w:space="0" w:color="auto"/>
              <w:left w:val="nil" w:sz="6" w:space="0" w:color="auto"/>
              <w:bottom w:val="single" w:sz="16" w:space="0" w:color="9C8758"/>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00" w:lineRule="exact"/>
              <w:ind w:left="88" w:right="211" w:firstLine="320"/>
              <w:jc w:val="left"/>
              <w:rPr>
                <w:rFonts w:ascii="宋体" w:hAnsi="宋体" w:cs="宋体" w:eastAsia="宋体" w:hint="default"/>
                <w:sz w:val="16"/>
                <w:szCs w:val="16"/>
              </w:rPr>
            </w:pPr>
            <w:r>
              <w:rPr>
                <w:rFonts w:ascii="宋体" w:hAnsi="宋体" w:cs="宋体" w:eastAsia="宋体" w:hint="default"/>
                <w:sz w:val="16"/>
                <w:szCs w:val="16"/>
              </w:rPr>
              <w:t>亲自 出席次数</w:t>
            </w:r>
          </w:p>
        </w:tc>
        <w:tc>
          <w:tcPr>
            <w:tcW w:w="770" w:type="dxa"/>
            <w:tcBorders>
              <w:top w:val="nil" w:sz="6" w:space="0" w:color="auto"/>
              <w:left w:val="nil" w:sz="6" w:space="0" w:color="auto"/>
              <w:bottom w:val="single" w:sz="16" w:space="0" w:color="9C8758"/>
              <w:right w:val="nil" w:sz="6" w:space="0" w:color="auto"/>
            </w:tcBorders>
          </w:tcPr>
          <w:p>
            <w:pPr>
              <w:pStyle w:val="TableParagraph"/>
              <w:spacing w:line="200" w:lineRule="exact" w:before="67"/>
              <w:ind w:left="213" w:right="74"/>
              <w:jc w:val="both"/>
              <w:rPr>
                <w:rFonts w:ascii="宋体" w:hAnsi="宋体" w:cs="宋体" w:eastAsia="宋体" w:hint="default"/>
                <w:sz w:val="16"/>
                <w:szCs w:val="16"/>
              </w:rPr>
            </w:pPr>
            <w:r>
              <w:rPr>
                <w:rFonts w:ascii="宋体" w:hAnsi="宋体" w:cs="宋体" w:eastAsia="宋体" w:hint="default"/>
                <w:sz w:val="16"/>
                <w:szCs w:val="16"/>
              </w:rPr>
              <w:t>以通讯 方式参 加次数</w:t>
            </w:r>
          </w:p>
        </w:tc>
        <w:tc>
          <w:tcPr>
            <w:tcW w:w="897" w:type="dxa"/>
            <w:tcBorders>
              <w:top w:val="nil" w:sz="6" w:space="0" w:color="auto"/>
              <w:left w:val="nil" w:sz="6" w:space="0" w:color="auto"/>
              <w:bottom w:val="single" w:sz="16" w:space="0" w:color="9C8758"/>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00" w:lineRule="exact"/>
              <w:ind w:left="76" w:right="178" w:firstLine="320"/>
              <w:jc w:val="left"/>
              <w:rPr>
                <w:rFonts w:ascii="宋体" w:hAnsi="宋体" w:cs="宋体" w:eastAsia="宋体" w:hint="default"/>
                <w:sz w:val="16"/>
                <w:szCs w:val="16"/>
              </w:rPr>
            </w:pPr>
            <w:r>
              <w:rPr>
                <w:rFonts w:ascii="宋体" w:hAnsi="宋体" w:cs="宋体" w:eastAsia="宋体" w:hint="default"/>
                <w:sz w:val="16"/>
                <w:szCs w:val="16"/>
              </w:rPr>
              <w:t>委托 出席次数</w:t>
            </w:r>
          </w:p>
        </w:tc>
        <w:tc>
          <w:tcPr>
            <w:tcW w:w="639" w:type="dxa"/>
            <w:tcBorders>
              <w:top w:val="nil" w:sz="6" w:space="0" w:color="auto"/>
              <w:left w:val="nil" w:sz="6" w:space="0" w:color="auto"/>
              <w:bottom w:val="single" w:sz="16" w:space="0" w:color="9C8758"/>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00" w:lineRule="exact"/>
              <w:ind w:left="180" w:right="136"/>
              <w:jc w:val="left"/>
              <w:rPr>
                <w:rFonts w:ascii="宋体" w:hAnsi="宋体" w:cs="宋体" w:eastAsia="宋体" w:hint="default"/>
                <w:sz w:val="16"/>
                <w:szCs w:val="16"/>
              </w:rPr>
            </w:pPr>
            <w:r>
              <w:rPr>
                <w:rFonts w:ascii="宋体" w:hAnsi="宋体" w:cs="宋体" w:eastAsia="宋体" w:hint="default"/>
                <w:sz w:val="16"/>
                <w:szCs w:val="16"/>
              </w:rPr>
              <w:t>缺席 次数</w:t>
            </w:r>
          </w:p>
        </w:tc>
        <w:tc>
          <w:tcPr>
            <w:tcW w:w="1247" w:type="dxa"/>
            <w:tcBorders>
              <w:top w:val="nil" w:sz="6" w:space="0" w:color="auto"/>
              <w:left w:val="nil" w:sz="6" w:space="0" w:color="auto"/>
              <w:bottom w:val="single" w:sz="16" w:space="0" w:color="9C8758"/>
              <w:right w:val="nil" w:sz="6" w:space="0" w:color="auto"/>
            </w:tcBorders>
          </w:tcPr>
          <w:p>
            <w:pPr>
              <w:pStyle w:val="TableParagraph"/>
              <w:spacing w:line="200" w:lineRule="exact" w:before="67"/>
              <w:ind w:left="138" w:right="306" w:firstLine="160"/>
              <w:jc w:val="right"/>
              <w:rPr>
                <w:rFonts w:ascii="宋体" w:hAnsi="宋体" w:cs="宋体" w:eastAsia="宋体" w:hint="default"/>
                <w:sz w:val="16"/>
                <w:szCs w:val="16"/>
              </w:rPr>
            </w:pPr>
            <w:r>
              <w:rPr>
                <w:rFonts w:ascii="宋体" w:hAnsi="宋体" w:cs="宋体" w:eastAsia="宋体" w:hint="default"/>
                <w:sz w:val="16"/>
                <w:szCs w:val="16"/>
              </w:rPr>
              <w:t>是否连续 两次未亲自 参加会议</w:t>
            </w:r>
          </w:p>
        </w:tc>
        <w:tc>
          <w:tcPr>
            <w:tcW w:w="1165" w:type="dxa"/>
            <w:tcBorders>
              <w:top w:val="nil" w:sz="6" w:space="0" w:color="auto"/>
              <w:left w:val="nil" w:sz="6" w:space="0" w:color="auto"/>
              <w:bottom w:val="single" w:sz="16" w:space="0" w:color="9C8758"/>
              <w:right w:val="nil" w:sz="6" w:space="0" w:color="auto"/>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00" w:lineRule="exact"/>
              <w:ind w:left="308" w:right="54" w:firstLine="160"/>
              <w:jc w:val="left"/>
              <w:rPr>
                <w:rFonts w:ascii="宋体" w:hAnsi="宋体" w:cs="宋体" w:eastAsia="宋体" w:hint="default"/>
                <w:sz w:val="16"/>
                <w:szCs w:val="16"/>
              </w:rPr>
            </w:pPr>
            <w:r>
              <w:rPr>
                <w:rFonts w:ascii="宋体" w:hAnsi="宋体" w:cs="宋体" w:eastAsia="宋体" w:hint="default"/>
                <w:sz w:val="16"/>
                <w:szCs w:val="16"/>
              </w:rPr>
              <w:t>出席股东 大会的次数</w:t>
            </w:r>
          </w:p>
        </w:tc>
      </w:tr>
      <w:tr>
        <w:trPr>
          <w:trHeight w:val="362" w:hRule="exact"/>
        </w:trPr>
        <w:tc>
          <w:tcPr>
            <w:tcW w:w="1864"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left="56" w:right="0"/>
              <w:jc w:val="left"/>
              <w:rPr>
                <w:rFonts w:ascii="宋体" w:hAnsi="宋体" w:cs="宋体" w:eastAsia="宋体" w:hint="default"/>
                <w:sz w:val="16"/>
                <w:szCs w:val="16"/>
              </w:rPr>
            </w:pPr>
            <w:r>
              <w:rPr>
                <w:rFonts w:ascii="宋体" w:hAnsi="宋体" w:cs="宋体" w:eastAsia="宋体" w:hint="default"/>
                <w:sz w:val="16"/>
                <w:szCs w:val="16"/>
              </w:rPr>
              <w:t>王晓初</w:t>
            </w:r>
          </w:p>
        </w:tc>
        <w:tc>
          <w:tcPr>
            <w:tcW w:w="934"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86"/>
              <w:jc w:val="right"/>
              <w:rPr>
                <w:rFonts w:ascii="宋体" w:hAnsi="宋体" w:cs="宋体" w:eastAsia="宋体" w:hint="default"/>
                <w:sz w:val="16"/>
                <w:szCs w:val="16"/>
              </w:rPr>
            </w:pPr>
            <w:r>
              <w:rPr>
                <w:rFonts w:ascii="宋体"/>
                <w:w w:val="110"/>
                <w:sz w:val="16"/>
              </w:rPr>
              <w:t>11</w:t>
            </w:r>
            <w:r>
              <w:rPr>
                <w:rFonts w:ascii="宋体"/>
                <w:sz w:val="16"/>
              </w:rPr>
            </w:r>
          </w:p>
        </w:tc>
        <w:tc>
          <w:tcPr>
            <w:tcW w:w="942"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211"/>
              <w:jc w:val="right"/>
              <w:rPr>
                <w:rFonts w:ascii="宋体" w:hAnsi="宋体" w:cs="宋体" w:eastAsia="宋体" w:hint="default"/>
                <w:sz w:val="16"/>
                <w:szCs w:val="16"/>
              </w:rPr>
            </w:pPr>
            <w:r>
              <w:rPr>
                <w:rFonts w:ascii="宋体"/>
                <w:w w:val="110"/>
                <w:sz w:val="16"/>
              </w:rPr>
              <w:t>11</w:t>
            </w:r>
            <w:r>
              <w:rPr>
                <w:rFonts w:ascii="宋体"/>
                <w:sz w:val="16"/>
              </w:rPr>
            </w:r>
          </w:p>
        </w:tc>
        <w:tc>
          <w:tcPr>
            <w:tcW w:w="770"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74"/>
              <w:jc w:val="right"/>
              <w:rPr>
                <w:rFonts w:ascii="宋体" w:hAnsi="宋体" w:cs="宋体" w:eastAsia="宋体" w:hint="default"/>
                <w:sz w:val="16"/>
                <w:szCs w:val="16"/>
              </w:rPr>
            </w:pPr>
            <w:r>
              <w:rPr>
                <w:rFonts w:ascii="宋体"/>
                <w:w w:val="111"/>
                <w:sz w:val="16"/>
              </w:rPr>
              <w:t>6</w:t>
            </w:r>
            <w:r>
              <w:rPr>
                <w:rFonts w:ascii="宋体"/>
                <w:sz w:val="16"/>
              </w:rPr>
            </w:r>
          </w:p>
        </w:tc>
        <w:tc>
          <w:tcPr>
            <w:tcW w:w="897"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54"/>
              <w:jc w:val="right"/>
              <w:rPr>
                <w:rFonts w:ascii="宋体" w:hAnsi="宋体" w:cs="宋体" w:eastAsia="宋体" w:hint="default"/>
                <w:sz w:val="16"/>
                <w:szCs w:val="16"/>
              </w:rPr>
            </w:pPr>
            <w:r>
              <w:rPr>
                <w:rFonts w:ascii="宋体"/>
                <w:w w:val="111"/>
                <w:sz w:val="16"/>
              </w:rPr>
              <w:t>4</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李国</w:t>
            </w:r>
            <w:r>
              <w:rPr>
                <w:rFonts w:ascii="宋体" w:hAnsi="宋体" w:cs="宋体" w:eastAsia="宋体" w:hint="default"/>
                <w:spacing w:val="-55"/>
                <w:sz w:val="16"/>
                <w:szCs w:val="16"/>
              </w:rPr>
              <w:t>华</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9</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2</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2</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2</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sz w:val="16"/>
                <w:szCs w:val="16"/>
              </w:rPr>
              <w:t>李福申</w:t>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0"/>
                <w:sz w:val="16"/>
              </w:rPr>
              <w:t>11</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0"/>
                <w:sz w:val="16"/>
              </w:rPr>
              <w:t>11</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7</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4</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尹兆</w:t>
            </w:r>
            <w:r>
              <w:rPr>
                <w:rFonts w:ascii="宋体" w:hAnsi="宋体" w:cs="宋体" w:eastAsia="宋体" w:hint="default"/>
                <w:spacing w:val="-55"/>
                <w:sz w:val="16"/>
                <w:szCs w:val="16"/>
              </w:rPr>
              <w:t>君</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2</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6</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w w:val="105"/>
                <w:sz w:val="16"/>
                <w:szCs w:val="16"/>
              </w:rPr>
              <w:t>卢山</w:t>
            </w:r>
            <w:r>
              <w:rPr>
                <w:rFonts w:ascii="宋体" w:hAnsi="宋体" w:cs="宋体" w:eastAsia="宋体" w:hint="default"/>
                <w:w w:val="105"/>
                <w:position w:val="1"/>
                <w:sz w:val="12"/>
                <w:szCs w:val="12"/>
              </w:rPr>
              <w:t>（2018</w:t>
            </w:r>
            <w:r>
              <w:rPr>
                <w:rFonts w:ascii="宋体" w:hAnsi="宋体" w:cs="宋体" w:eastAsia="宋体" w:hint="default"/>
                <w:spacing w:val="-48"/>
                <w:w w:val="105"/>
                <w:position w:val="1"/>
                <w:sz w:val="12"/>
                <w:szCs w:val="12"/>
              </w:rPr>
              <w:t> </w:t>
            </w:r>
            <w:r>
              <w:rPr>
                <w:rFonts w:ascii="宋体" w:hAnsi="宋体" w:cs="宋体" w:eastAsia="宋体" w:hint="default"/>
                <w:w w:val="105"/>
                <w:position w:val="1"/>
                <w:sz w:val="12"/>
                <w:szCs w:val="12"/>
              </w:rPr>
              <w:t>年</w:t>
            </w:r>
            <w:r>
              <w:rPr>
                <w:rFonts w:ascii="宋体" w:hAnsi="宋体" w:cs="宋体" w:eastAsia="宋体" w:hint="default"/>
                <w:spacing w:val="-47"/>
                <w:w w:val="105"/>
                <w:position w:val="1"/>
                <w:sz w:val="12"/>
                <w:szCs w:val="12"/>
              </w:rPr>
              <w:t> </w:t>
            </w:r>
            <w:r>
              <w:rPr>
                <w:rFonts w:ascii="宋体" w:hAnsi="宋体" w:cs="宋体" w:eastAsia="宋体" w:hint="default"/>
                <w:w w:val="105"/>
                <w:position w:val="1"/>
                <w:sz w:val="12"/>
                <w:szCs w:val="12"/>
              </w:rPr>
              <w:t>2</w:t>
            </w:r>
            <w:r>
              <w:rPr>
                <w:rFonts w:ascii="宋体" w:hAnsi="宋体" w:cs="宋体" w:eastAsia="宋体" w:hint="default"/>
                <w:spacing w:val="-48"/>
                <w:w w:val="105"/>
                <w:position w:val="1"/>
                <w:sz w:val="12"/>
                <w:szCs w:val="12"/>
              </w:rPr>
              <w:t> </w:t>
            </w:r>
            <w:r>
              <w:rPr>
                <w:rFonts w:ascii="宋体" w:hAnsi="宋体" w:cs="宋体" w:eastAsia="宋体" w:hint="default"/>
                <w:w w:val="105"/>
                <w:position w:val="1"/>
                <w:sz w:val="12"/>
                <w:szCs w:val="12"/>
              </w:rPr>
              <w:t>月起任职）</w:t>
            </w:r>
            <w:r>
              <w:rPr>
                <w:rFonts w:ascii="宋体" w:hAnsi="宋体" w:cs="宋体" w:eastAsia="宋体" w:hint="default"/>
                <w:w w:val="105"/>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8</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w w:val="105"/>
                <w:sz w:val="16"/>
                <w:szCs w:val="16"/>
              </w:rPr>
              <w:t>王路</w:t>
            </w:r>
            <w:r>
              <w:rPr>
                <w:rFonts w:ascii="宋体" w:hAnsi="宋体" w:cs="宋体" w:eastAsia="宋体" w:hint="default"/>
                <w:w w:val="105"/>
                <w:position w:val="1"/>
                <w:sz w:val="12"/>
                <w:szCs w:val="12"/>
              </w:rPr>
              <w:t>（2018</w:t>
            </w:r>
            <w:r>
              <w:rPr>
                <w:rFonts w:ascii="宋体" w:hAnsi="宋体" w:cs="宋体" w:eastAsia="宋体" w:hint="default"/>
                <w:spacing w:val="-48"/>
                <w:w w:val="105"/>
                <w:position w:val="1"/>
                <w:sz w:val="12"/>
                <w:szCs w:val="12"/>
              </w:rPr>
              <w:t> </w:t>
            </w:r>
            <w:r>
              <w:rPr>
                <w:rFonts w:ascii="宋体" w:hAnsi="宋体" w:cs="宋体" w:eastAsia="宋体" w:hint="default"/>
                <w:w w:val="105"/>
                <w:position w:val="1"/>
                <w:sz w:val="12"/>
                <w:szCs w:val="12"/>
              </w:rPr>
              <w:t>年</w:t>
            </w:r>
            <w:r>
              <w:rPr>
                <w:rFonts w:ascii="宋体" w:hAnsi="宋体" w:cs="宋体" w:eastAsia="宋体" w:hint="default"/>
                <w:spacing w:val="-47"/>
                <w:w w:val="105"/>
                <w:position w:val="1"/>
                <w:sz w:val="12"/>
                <w:szCs w:val="12"/>
              </w:rPr>
              <w:t> </w:t>
            </w:r>
            <w:r>
              <w:rPr>
                <w:rFonts w:ascii="宋体" w:hAnsi="宋体" w:cs="宋体" w:eastAsia="宋体" w:hint="default"/>
                <w:w w:val="105"/>
                <w:position w:val="1"/>
                <w:sz w:val="12"/>
                <w:szCs w:val="12"/>
              </w:rPr>
              <w:t>9</w:t>
            </w:r>
            <w:r>
              <w:rPr>
                <w:rFonts w:ascii="宋体" w:hAnsi="宋体" w:cs="宋体" w:eastAsia="宋体" w:hint="default"/>
                <w:spacing w:val="-48"/>
                <w:w w:val="105"/>
                <w:position w:val="1"/>
                <w:sz w:val="12"/>
                <w:szCs w:val="12"/>
              </w:rPr>
              <w:t> </w:t>
            </w:r>
            <w:r>
              <w:rPr>
                <w:rFonts w:ascii="宋体" w:hAnsi="宋体" w:cs="宋体" w:eastAsia="宋体" w:hint="default"/>
                <w:w w:val="105"/>
                <w:position w:val="1"/>
                <w:sz w:val="12"/>
                <w:szCs w:val="12"/>
              </w:rPr>
              <w:t>月起任职）</w:t>
            </w:r>
            <w:r>
              <w:rPr>
                <w:rFonts w:ascii="宋体" w:hAnsi="宋体" w:cs="宋体" w:eastAsia="宋体" w:hint="default"/>
                <w:w w:val="105"/>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2</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2</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1</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廖建</w:t>
            </w:r>
            <w:r>
              <w:rPr>
                <w:rFonts w:ascii="宋体" w:hAnsi="宋体" w:cs="宋体" w:eastAsia="宋体" w:hint="default"/>
                <w:spacing w:val="-55"/>
                <w:sz w:val="16"/>
                <w:szCs w:val="16"/>
              </w:rPr>
              <w:t>文</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2</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7</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胡晓</w:t>
            </w:r>
            <w:r>
              <w:rPr>
                <w:rFonts w:ascii="宋体" w:hAnsi="宋体" w:cs="宋体" w:eastAsia="宋体" w:hint="default"/>
                <w:spacing w:val="-55"/>
                <w:sz w:val="16"/>
                <w:szCs w:val="16"/>
              </w:rPr>
              <w:t>明</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2</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8</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冯士</w:t>
            </w:r>
            <w:r>
              <w:rPr>
                <w:rFonts w:ascii="宋体" w:hAnsi="宋体" w:cs="宋体" w:eastAsia="宋体" w:hint="default"/>
                <w:spacing w:val="-55"/>
                <w:sz w:val="16"/>
                <w:szCs w:val="16"/>
              </w:rPr>
              <w:t>栋</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2</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是</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5</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1</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吴晓</w:t>
            </w:r>
            <w:r>
              <w:rPr>
                <w:rFonts w:ascii="宋体" w:hAnsi="宋体" w:cs="宋体" w:eastAsia="宋体" w:hint="default"/>
                <w:spacing w:val="-55"/>
                <w:sz w:val="16"/>
                <w:szCs w:val="16"/>
              </w:rPr>
              <w:t>根</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2</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是</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5</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sz w:val="16"/>
                <w:szCs w:val="16"/>
              </w:rPr>
              <w:t>吕廷杰</w:t>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是</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0"/>
                <w:sz w:val="16"/>
              </w:rPr>
              <w:t>11</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0"/>
                <w:sz w:val="16"/>
              </w:rPr>
              <w:t>11</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7</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1</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陈建</w:t>
            </w:r>
            <w:r>
              <w:rPr>
                <w:rFonts w:ascii="宋体" w:hAnsi="宋体" w:cs="宋体" w:eastAsia="宋体" w:hint="default"/>
                <w:spacing w:val="-55"/>
                <w:sz w:val="16"/>
                <w:szCs w:val="16"/>
              </w:rPr>
              <w:t>新</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2</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是</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5</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1</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z w:val="16"/>
                <w:szCs w:val="16"/>
              </w:rPr>
              <w:t>熊晓</w:t>
            </w:r>
            <w:r>
              <w:rPr>
                <w:rFonts w:ascii="宋体" w:hAnsi="宋体" w:cs="宋体" w:eastAsia="宋体" w:hint="default"/>
                <w:spacing w:val="-55"/>
                <w:sz w:val="16"/>
                <w:szCs w:val="16"/>
              </w:rPr>
              <w:t>鸽</w:t>
            </w:r>
            <w:r>
              <w:rPr>
                <w:rFonts w:ascii="宋体" w:hAnsi="宋体" w:cs="宋体" w:eastAsia="宋体" w:hint="default"/>
                <w:w w:val="105"/>
                <w:position w:val="1"/>
                <w:sz w:val="12"/>
                <w:szCs w:val="12"/>
              </w:rPr>
              <w:t>（2</w:t>
            </w:r>
            <w:r>
              <w:rPr>
                <w:rFonts w:ascii="宋体" w:hAnsi="宋体" w:cs="宋体" w:eastAsia="宋体" w:hint="default"/>
                <w:spacing w:val="-1"/>
                <w:w w:val="105"/>
                <w:position w:val="1"/>
                <w:sz w:val="12"/>
                <w:szCs w:val="12"/>
              </w:rPr>
              <w:t>0</w:t>
            </w:r>
            <w:r>
              <w:rPr>
                <w:rFonts w:ascii="宋体" w:hAnsi="宋体" w:cs="宋体" w:eastAsia="宋体" w:hint="default"/>
                <w:w w:val="111"/>
                <w:position w:val="1"/>
                <w:sz w:val="12"/>
                <w:szCs w:val="12"/>
              </w:rPr>
              <w:t>18</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年</w:t>
            </w:r>
            <w:r>
              <w:rPr>
                <w:rFonts w:ascii="宋体" w:hAnsi="宋体" w:cs="宋体" w:eastAsia="宋体" w:hint="default"/>
                <w:spacing w:val="-44"/>
                <w:position w:val="1"/>
                <w:sz w:val="12"/>
                <w:szCs w:val="12"/>
              </w:rPr>
              <w:t> </w:t>
            </w:r>
            <w:r>
              <w:rPr>
                <w:rFonts w:ascii="宋体" w:hAnsi="宋体" w:cs="宋体" w:eastAsia="宋体" w:hint="default"/>
                <w:w w:val="111"/>
                <w:position w:val="1"/>
                <w:sz w:val="12"/>
                <w:szCs w:val="12"/>
              </w:rPr>
              <w:t>2</w:t>
            </w:r>
            <w:r>
              <w:rPr>
                <w:rFonts w:ascii="宋体" w:hAnsi="宋体" w:cs="宋体" w:eastAsia="宋体" w:hint="default"/>
                <w:spacing w:val="-44"/>
                <w:position w:val="1"/>
                <w:sz w:val="12"/>
                <w:szCs w:val="12"/>
              </w:rPr>
              <w:t> </w:t>
            </w:r>
            <w:r>
              <w:rPr>
                <w:rFonts w:ascii="宋体" w:hAnsi="宋体" w:cs="宋体" w:eastAsia="宋体" w:hint="default"/>
                <w:position w:val="1"/>
                <w:sz w:val="12"/>
                <w:szCs w:val="12"/>
              </w:rPr>
              <w:t>月起任职）</w:t>
            </w:r>
            <w:r>
              <w:rPr>
                <w:rFonts w:ascii="宋体" w:hAnsi="宋体" w:cs="宋体" w:eastAsia="宋体" w:hint="default"/>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是</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9</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9</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6</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pacing w:val="-3"/>
                <w:w w:val="105"/>
                <w:sz w:val="16"/>
                <w:szCs w:val="16"/>
              </w:rPr>
              <w:t>邵广禄</w:t>
            </w:r>
            <w:r>
              <w:rPr>
                <w:rFonts w:ascii="宋体" w:hAnsi="宋体" w:cs="宋体" w:eastAsia="宋体" w:hint="default"/>
                <w:spacing w:val="-3"/>
                <w:w w:val="105"/>
                <w:position w:val="1"/>
                <w:sz w:val="12"/>
                <w:szCs w:val="12"/>
              </w:rPr>
              <w:t>（2018</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年</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2</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月离任）</w:t>
            </w:r>
            <w:r>
              <w:rPr>
                <w:rFonts w:ascii="宋体" w:hAnsi="宋体" w:cs="宋体" w:eastAsia="宋体" w:hint="default"/>
                <w:w w:val="105"/>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2</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1</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0</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1</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1</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pacing w:val="-3"/>
                <w:w w:val="105"/>
                <w:sz w:val="16"/>
                <w:szCs w:val="16"/>
              </w:rPr>
              <w:t>陈永宏</w:t>
            </w:r>
            <w:r>
              <w:rPr>
                <w:rFonts w:ascii="宋体" w:hAnsi="宋体" w:cs="宋体" w:eastAsia="宋体" w:hint="default"/>
                <w:spacing w:val="-3"/>
                <w:w w:val="105"/>
                <w:position w:val="1"/>
                <w:sz w:val="12"/>
                <w:szCs w:val="12"/>
              </w:rPr>
              <w:t>（2018</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年</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2</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月离任）</w:t>
            </w:r>
            <w:r>
              <w:rPr>
                <w:rFonts w:ascii="宋体" w:hAnsi="宋体" w:cs="宋体" w:eastAsia="宋体" w:hint="default"/>
                <w:w w:val="105"/>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是</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2</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2</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1</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pacing w:val="-3"/>
                <w:w w:val="105"/>
                <w:sz w:val="16"/>
                <w:szCs w:val="16"/>
              </w:rPr>
              <w:t>李红滨</w:t>
            </w:r>
            <w:r>
              <w:rPr>
                <w:rFonts w:ascii="宋体" w:hAnsi="宋体" w:cs="宋体" w:eastAsia="宋体" w:hint="default"/>
                <w:spacing w:val="-3"/>
                <w:w w:val="105"/>
                <w:position w:val="1"/>
                <w:sz w:val="12"/>
                <w:szCs w:val="12"/>
              </w:rPr>
              <w:t>（2018</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年</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2</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月离任）</w:t>
            </w:r>
            <w:r>
              <w:rPr>
                <w:rFonts w:ascii="宋体" w:hAnsi="宋体" w:cs="宋体" w:eastAsia="宋体" w:hint="default"/>
                <w:w w:val="105"/>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是</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2</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2</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1</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r>
        <w:trPr>
          <w:trHeight w:val="273"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pacing w:val="-3"/>
                <w:w w:val="105"/>
                <w:sz w:val="16"/>
                <w:szCs w:val="16"/>
              </w:rPr>
              <w:t>陆益民</w:t>
            </w:r>
            <w:r>
              <w:rPr>
                <w:rFonts w:ascii="宋体" w:hAnsi="宋体" w:cs="宋体" w:eastAsia="宋体" w:hint="default"/>
                <w:spacing w:val="-3"/>
                <w:w w:val="105"/>
                <w:position w:val="1"/>
                <w:sz w:val="12"/>
                <w:szCs w:val="12"/>
              </w:rPr>
              <w:t>（2018</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年</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7</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月离任）</w:t>
            </w:r>
            <w:r>
              <w:rPr>
                <w:rFonts w:ascii="宋体" w:hAnsi="宋体" w:cs="宋体" w:eastAsia="宋体" w:hint="default"/>
                <w:w w:val="105"/>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6</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6</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3</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2</w:t>
            </w:r>
            <w:r>
              <w:rPr>
                <w:rFonts w:ascii="宋体"/>
                <w:sz w:val="16"/>
              </w:rPr>
            </w:r>
          </w:p>
        </w:tc>
      </w:tr>
      <w:tr>
        <w:trPr>
          <w:trHeight w:val="317" w:hRule="exact"/>
        </w:trPr>
        <w:tc>
          <w:tcPr>
            <w:tcW w:w="1864"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2"/>
                <w:szCs w:val="12"/>
              </w:rPr>
            </w:pPr>
            <w:r>
              <w:rPr>
                <w:rFonts w:ascii="宋体" w:hAnsi="宋体" w:cs="宋体" w:eastAsia="宋体" w:hint="default"/>
                <w:spacing w:val="-3"/>
                <w:w w:val="105"/>
                <w:sz w:val="16"/>
                <w:szCs w:val="16"/>
              </w:rPr>
              <w:t>李彦宏</w:t>
            </w:r>
            <w:r>
              <w:rPr>
                <w:rFonts w:ascii="宋体" w:hAnsi="宋体" w:cs="宋体" w:eastAsia="宋体" w:hint="default"/>
                <w:spacing w:val="-3"/>
                <w:w w:val="105"/>
                <w:position w:val="1"/>
                <w:sz w:val="12"/>
                <w:szCs w:val="12"/>
              </w:rPr>
              <w:t>（2018</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年</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6</w:t>
            </w:r>
            <w:r>
              <w:rPr>
                <w:rFonts w:ascii="宋体" w:hAnsi="宋体" w:cs="宋体" w:eastAsia="宋体" w:hint="default"/>
                <w:spacing w:val="-52"/>
                <w:w w:val="105"/>
                <w:position w:val="1"/>
                <w:sz w:val="12"/>
                <w:szCs w:val="12"/>
              </w:rPr>
              <w:t> </w:t>
            </w:r>
            <w:r>
              <w:rPr>
                <w:rFonts w:ascii="宋体" w:hAnsi="宋体" w:cs="宋体" w:eastAsia="宋体" w:hint="default"/>
                <w:w w:val="105"/>
                <w:position w:val="1"/>
                <w:sz w:val="12"/>
                <w:szCs w:val="12"/>
              </w:rPr>
              <w:t>月离任）</w:t>
            </w:r>
            <w:r>
              <w:rPr>
                <w:rFonts w:ascii="宋体" w:hAnsi="宋体" w:cs="宋体" w:eastAsia="宋体" w:hint="default"/>
                <w:w w:val="105"/>
                <w:sz w:val="12"/>
                <w:szCs w:val="12"/>
              </w:rPr>
            </w:r>
          </w:p>
        </w:tc>
        <w:tc>
          <w:tcPr>
            <w:tcW w:w="934" w:type="dxa"/>
            <w:tcBorders>
              <w:top w:val="nil" w:sz="6" w:space="0" w:color="auto"/>
              <w:left w:val="nil" w:sz="6" w:space="0" w:color="auto"/>
              <w:bottom w:val="nil" w:sz="6" w:space="0" w:color="auto"/>
              <w:right w:val="nil" w:sz="6" w:space="0" w:color="auto"/>
            </w:tcBorders>
          </w:tcPr>
          <w:p>
            <w:pPr>
              <w:pStyle w:val="TableParagraph"/>
              <w:spacing w:line="205" w:lineRule="exact"/>
              <w:ind w:right="131"/>
              <w:jc w:val="right"/>
              <w:rPr>
                <w:rFonts w:ascii="宋体" w:hAnsi="宋体" w:cs="宋体" w:eastAsia="宋体" w:hint="default"/>
                <w:sz w:val="16"/>
                <w:szCs w:val="16"/>
              </w:rPr>
            </w:pPr>
            <w:r>
              <w:rPr>
                <w:rFonts w:ascii="宋体" w:hAnsi="宋体" w:cs="宋体" w:eastAsia="宋体" w:hint="default"/>
                <w:sz w:val="16"/>
                <w:szCs w:val="16"/>
              </w:rPr>
              <w:t>否</w:t>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86"/>
              <w:jc w:val="right"/>
              <w:rPr>
                <w:rFonts w:ascii="宋体" w:hAnsi="宋体" w:cs="宋体" w:eastAsia="宋体" w:hint="default"/>
                <w:sz w:val="16"/>
                <w:szCs w:val="16"/>
              </w:rPr>
            </w:pPr>
            <w:r>
              <w:rPr>
                <w:rFonts w:ascii="宋体"/>
                <w:w w:val="111"/>
                <w:sz w:val="16"/>
              </w:rPr>
              <w:t>3</w:t>
            </w:r>
            <w:r>
              <w:rPr>
                <w:rFonts w:ascii="宋体"/>
                <w:sz w:val="16"/>
              </w:rPr>
            </w:r>
          </w:p>
        </w:tc>
        <w:tc>
          <w:tcPr>
            <w:tcW w:w="942"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11"/>
                <w:sz w:val="16"/>
              </w:rPr>
              <w:t>3</w:t>
            </w:r>
            <w:r>
              <w:rPr>
                <w:rFonts w:ascii="宋体"/>
                <w:sz w:val="16"/>
              </w:rPr>
            </w:r>
          </w:p>
        </w:tc>
        <w:tc>
          <w:tcPr>
            <w:tcW w:w="770" w:type="dxa"/>
            <w:tcBorders>
              <w:top w:val="nil" w:sz="6" w:space="0" w:color="auto"/>
              <w:left w:val="nil" w:sz="6" w:space="0" w:color="auto"/>
              <w:bottom w:val="nil" w:sz="6" w:space="0" w:color="auto"/>
              <w:right w:val="nil" w:sz="6" w:space="0" w:color="auto"/>
            </w:tcBorders>
          </w:tcPr>
          <w:p>
            <w:pPr>
              <w:pStyle w:val="TableParagraph"/>
              <w:spacing w:line="205" w:lineRule="exact"/>
              <w:ind w:right="74"/>
              <w:jc w:val="right"/>
              <w:rPr>
                <w:rFonts w:ascii="宋体" w:hAnsi="宋体" w:cs="宋体" w:eastAsia="宋体" w:hint="default"/>
                <w:sz w:val="16"/>
                <w:szCs w:val="16"/>
              </w:rPr>
            </w:pPr>
            <w:r>
              <w:rPr>
                <w:rFonts w:ascii="宋体"/>
                <w:w w:val="111"/>
                <w:sz w:val="16"/>
              </w:rPr>
              <w:t>3</w:t>
            </w:r>
            <w:r>
              <w:rPr>
                <w:rFonts w:ascii="宋体"/>
                <w:sz w:val="16"/>
              </w:rPr>
            </w:r>
          </w:p>
        </w:tc>
        <w:tc>
          <w:tcPr>
            <w:tcW w:w="897" w:type="dxa"/>
            <w:tcBorders>
              <w:top w:val="nil" w:sz="6" w:space="0" w:color="auto"/>
              <w:left w:val="nil" w:sz="6" w:space="0" w:color="auto"/>
              <w:bottom w:val="nil" w:sz="6" w:space="0" w:color="auto"/>
              <w:right w:val="nil" w:sz="6" w:space="0" w:color="auto"/>
            </w:tcBorders>
          </w:tcPr>
          <w:p>
            <w:pPr>
              <w:pStyle w:val="TableParagraph"/>
              <w:spacing w:line="205" w:lineRule="exact"/>
              <w:ind w:right="178"/>
              <w:jc w:val="right"/>
              <w:rPr>
                <w:rFonts w:ascii="宋体" w:hAnsi="宋体" w:cs="宋体" w:eastAsia="宋体" w:hint="default"/>
                <w:sz w:val="16"/>
                <w:szCs w:val="16"/>
              </w:rPr>
            </w:pPr>
            <w:r>
              <w:rPr>
                <w:rFonts w:ascii="宋体"/>
                <w:w w:val="111"/>
                <w:sz w:val="16"/>
              </w:rPr>
              <w:t>0</w:t>
            </w:r>
            <w:r>
              <w:rPr>
                <w:rFonts w:ascii="宋体"/>
                <w:sz w:val="16"/>
              </w:rPr>
            </w:r>
          </w:p>
        </w:tc>
        <w:tc>
          <w:tcPr>
            <w:tcW w:w="639" w:type="dxa"/>
            <w:tcBorders>
              <w:top w:val="nil" w:sz="6" w:space="0" w:color="auto"/>
              <w:left w:val="nil" w:sz="6" w:space="0" w:color="auto"/>
              <w:bottom w:val="nil" w:sz="6" w:space="0" w:color="auto"/>
              <w:right w:val="nil" w:sz="6" w:space="0" w:color="auto"/>
            </w:tcBorders>
          </w:tcPr>
          <w:p>
            <w:pPr>
              <w:pStyle w:val="TableParagraph"/>
              <w:spacing w:line="205" w:lineRule="exact"/>
              <w:ind w:right="136"/>
              <w:jc w:val="right"/>
              <w:rPr>
                <w:rFonts w:ascii="宋体" w:hAnsi="宋体" w:cs="宋体" w:eastAsia="宋体" w:hint="default"/>
                <w:sz w:val="16"/>
                <w:szCs w:val="16"/>
              </w:rPr>
            </w:pPr>
            <w:r>
              <w:rPr>
                <w:rFonts w:ascii="宋体"/>
                <w:w w:val="111"/>
                <w:sz w:val="16"/>
              </w:rPr>
              <w:t>0</w:t>
            </w:r>
            <w:r>
              <w:rPr>
                <w:rFonts w:ascii="宋体"/>
                <w:sz w:val="16"/>
              </w:rPr>
            </w:r>
          </w:p>
        </w:tc>
        <w:tc>
          <w:tcPr>
            <w:tcW w:w="1247" w:type="dxa"/>
            <w:tcBorders>
              <w:top w:val="nil" w:sz="6" w:space="0" w:color="auto"/>
              <w:left w:val="nil" w:sz="6" w:space="0" w:color="auto"/>
              <w:bottom w:val="nil" w:sz="6" w:space="0" w:color="auto"/>
              <w:right w:val="nil" w:sz="6" w:space="0" w:color="auto"/>
            </w:tcBorders>
          </w:tcPr>
          <w:p>
            <w:pPr>
              <w:pStyle w:val="TableParagraph"/>
              <w:spacing w:line="205" w:lineRule="exact"/>
              <w:ind w:right="306"/>
              <w:jc w:val="right"/>
              <w:rPr>
                <w:rFonts w:ascii="宋体" w:hAnsi="宋体" w:cs="宋体" w:eastAsia="宋体" w:hint="default"/>
                <w:sz w:val="16"/>
                <w:szCs w:val="16"/>
              </w:rPr>
            </w:pPr>
            <w:r>
              <w:rPr>
                <w:rFonts w:ascii="宋体" w:hAnsi="宋体" w:cs="宋体" w:eastAsia="宋体" w:hint="default"/>
                <w:sz w:val="16"/>
                <w:szCs w:val="16"/>
              </w:rPr>
              <w:t>否</w:t>
            </w:r>
          </w:p>
        </w:tc>
        <w:tc>
          <w:tcPr>
            <w:tcW w:w="1165"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11"/>
                <w:sz w:val="16"/>
              </w:rPr>
              <w:t>0</w:t>
            </w:r>
            <w:r>
              <w:rPr>
                <w:rFonts w:ascii="宋体"/>
                <w:sz w:val="16"/>
              </w:rPr>
            </w:r>
          </w:p>
        </w:tc>
      </w:tr>
    </w:tbl>
    <w:p>
      <w:pPr>
        <w:spacing w:line="20" w:lineRule="exact"/>
        <w:ind w:left="1185" w:right="0" w:firstLine="0"/>
        <w:rPr>
          <w:rFonts w:ascii="宋体" w:hAnsi="宋体" w:cs="宋体" w:eastAsia="宋体" w:hint="default"/>
          <w:sz w:val="2"/>
          <w:szCs w:val="2"/>
        </w:rPr>
      </w:pPr>
      <w:r>
        <w:rPr>
          <w:rFonts w:ascii="宋体" w:hAnsi="宋体" w:cs="宋体" w:eastAsia="宋体" w:hint="default"/>
          <w:sz w:val="2"/>
          <w:szCs w:val="2"/>
        </w:rPr>
        <w:pict>
          <v:group style="width:466.55pt;height:.5pt;mso-position-horizontal-relative:char;mso-position-vertical-relative:line" coordorigin="0,0" coordsize="9331,10">
            <v:group style="position:absolute;left:5;top:5;width:1701;height:2" coordorigin="5,5" coordsize="1701,2">
              <v:shape style="position:absolute;left:5;top:5;width:1701;height:2" coordorigin="5,5" coordsize="1701,0" path="m5,5l1706,5e" filled="false" stroked="true" strokeweight=".5pt" strokecolor="#000000">
                <v:path arrowok="t"/>
              </v:shape>
            </v:group>
            <v:group style="position:absolute;left:1706;top:5;width:1021;height:2" coordorigin="1706,5" coordsize="1021,2">
              <v:shape style="position:absolute;left:1706;top:5;width:1021;height:2" coordorigin="1706,5" coordsize="1021,0" path="m1706,5l2726,5e" filled="false" stroked="true" strokeweight=".5pt" strokecolor="#000000">
                <v:path arrowok="t"/>
              </v:shape>
            </v:group>
            <v:group style="position:absolute;left:2726;top:5;width:908;height:2" coordorigin="2726,5" coordsize="908,2">
              <v:shape style="position:absolute;left:2726;top:5;width:908;height:2" coordorigin="2726,5" coordsize="908,0" path="m2726,5l3633,5e" filled="false" stroked="true" strokeweight=".5pt" strokecolor="#000000">
                <v:path arrowok="t"/>
              </v:shape>
            </v:group>
            <v:group style="position:absolute;left:3633;top:5;width:817;height:2" coordorigin="3633,5" coordsize="817,2">
              <v:shape style="position:absolute;left:3633;top:5;width:817;height:2" coordorigin="3633,5" coordsize="817,0" path="m3633,5l4450,5e" filled="false" stroked="true" strokeweight=".5pt" strokecolor="#000000">
                <v:path arrowok="t"/>
              </v:shape>
            </v:group>
            <v:group style="position:absolute;left:4450;top:5;width:908;height:2" coordorigin="4450,5" coordsize="908,2">
              <v:shape style="position:absolute;left:4450;top:5;width:908;height:2" coordorigin="4450,5" coordsize="908,0" path="m4450,5l5357,5e" filled="false" stroked="true" strokeweight=".5pt" strokecolor="#000000">
                <v:path arrowok="t"/>
              </v:shape>
            </v:group>
            <v:group style="position:absolute;left:5357;top:5;width:794;height:2" coordorigin="5357,5" coordsize="794,2">
              <v:shape style="position:absolute;left:5357;top:5;width:794;height:2" coordorigin="5357,5" coordsize="794,0" path="m5357,5l6151,5e" filled="false" stroked="true" strokeweight=".5pt" strokecolor="#000000">
                <v:path arrowok="t"/>
              </v:shape>
            </v:group>
            <v:group style="position:absolute;left:6151;top:5;width:681;height:2" coordorigin="6151,5" coordsize="681,2">
              <v:shape style="position:absolute;left:6151;top:5;width:681;height:2" coordorigin="6151,5" coordsize="681,0" path="m6151,5l6831,5e" filled="false" stroked="true" strokeweight=".5pt" strokecolor="#000000">
                <v:path arrowok="t"/>
              </v:shape>
            </v:group>
            <v:group style="position:absolute;left:6831;top:5;width:1078;height:2" coordorigin="6831,5" coordsize="1078,2">
              <v:shape style="position:absolute;left:6831;top:5;width:1078;height:2" coordorigin="6831,5" coordsize="1078,0" path="m6831,5l7908,5e" filled="false" stroked="true" strokeweight=".5pt" strokecolor="#000000">
                <v:path arrowok="t"/>
              </v:shape>
            </v:group>
            <v:group style="position:absolute;left:7908;top:5;width:1418;height:2" coordorigin="7908,5" coordsize="1418,2">
              <v:shape style="position:absolute;left:7908;top:5;width:1418;height:2" coordorigin="7908,5" coordsize="1418,0" path="m7908,5l9325,5e" filled="false" stroked="true" strokeweight=".5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line="40" w:lineRule="exact"/>
        <w:ind w:left="1170"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6350;height:2" coordorigin="20,20" coordsize="6350,2">
              <v:shape style="position:absolute;left:20;top:20;width:6350;height:2" coordorigin="20,20" coordsize="6350,0" path="m20,20l6370,20e" filled="false" stroked="true" strokeweight="2pt" strokecolor="#9c8758">
                <v:path arrowok="t"/>
              </v:shape>
            </v:group>
            <v:group style="position:absolute;left:6370;top:20;width:2949;height:2" coordorigin="6370,20" coordsize="2949,2">
              <v:shape style="position:absolute;left:6370;top:20;width:2949;height:2" coordorigin="6370,20" coordsize="2949,0" path="m6370,20l9318,20e" filled="false" stroked="true" strokeweight="2pt" strokecolor="#9c8758">
                <v:path arrowok="t"/>
              </v:shape>
            </v:group>
          </v:group>
        </w:pict>
      </w:r>
      <w:r>
        <w:rPr>
          <w:rFonts w:ascii="宋体" w:hAnsi="宋体" w:cs="宋体" w:eastAsia="宋体" w:hint="default"/>
          <w:position w:val="0"/>
          <w:sz w:val="4"/>
          <w:szCs w:val="4"/>
        </w:rPr>
      </w:r>
    </w:p>
    <w:p>
      <w:pPr>
        <w:spacing w:line="240" w:lineRule="auto" w:before="10"/>
        <w:rPr>
          <w:rFonts w:ascii="宋体" w:hAnsi="宋体" w:cs="宋体" w:eastAsia="宋体" w:hint="default"/>
          <w:sz w:val="2"/>
          <w:szCs w:val="2"/>
        </w:rPr>
      </w:pPr>
    </w:p>
    <w:tbl>
      <w:tblPr>
        <w:tblW w:w="0" w:type="auto"/>
        <w:jc w:val="left"/>
        <w:tblInd w:w="1240" w:type="dxa"/>
        <w:tblLayout w:type="fixed"/>
        <w:tblCellMar>
          <w:top w:w="0" w:type="dxa"/>
          <w:left w:w="0" w:type="dxa"/>
          <w:bottom w:w="0" w:type="dxa"/>
          <w:right w:w="0" w:type="dxa"/>
        </w:tblCellMar>
        <w:tblLook w:val="01E0"/>
      </w:tblPr>
      <w:tblGrid>
        <w:gridCol w:w="5390"/>
        <w:gridCol w:w="3808"/>
      </w:tblGrid>
      <w:tr>
        <w:trPr>
          <w:trHeight w:val="328" w:hRule="exact"/>
        </w:trPr>
        <w:tc>
          <w:tcPr>
            <w:tcW w:w="5390" w:type="dxa"/>
            <w:tcBorders>
              <w:top w:val="nil" w:sz="6" w:space="0" w:color="auto"/>
              <w:left w:val="nil" w:sz="6" w:space="0" w:color="auto"/>
              <w:bottom w:val="nil" w:sz="6" w:space="0" w:color="auto"/>
              <w:right w:val="nil" w:sz="6" w:space="0" w:color="auto"/>
            </w:tcBorders>
          </w:tcPr>
          <w:p>
            <w:pPr>
              <w:pStyle w:val="TableParagraph"/>
              <w:spacing w:line="240" w:lineRule="auto" w:before="38"/>
              <w:ind w:left="35" w:right="0"/>
              <w:jc w:val="left"/>
              <w:rPr>
                <w:rFonts w:ascii="宋体" w:hAnsi="宋体" w:cs="宋体" w:eastAsia="宋体" w:hint="default"/>
                <w:sz w:val="16"/>
                <w:szCs w:val="16"/>
              </w:rPr>
            </w:pPr>
            <w:r>
              <w:rPr>
                <w:rFonts w:ascii="宋体" w:hAnsi="宋体" w:cs="宋体" w:eastAsia="宋体" w:hint="default"/>
                <w:sz w:val="16"/>
                <w:szCs w:val="16"/>
              </w:rPr>
              <w:t>年内召开董事会会议次数</w:t>
            </w:r>
          </w:p>
        </w:tc>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33"/>
              <w:jc w:val="right"/>
              <w:rPr>
                <w:rFonts w:ascii="宋体" w:hAnsi="宋体" w:cs="宋体" w:eastAsia="宋体" w:hint="default"/>
                <w:sz w:val="16"/>
                <w:szCs w:val="16"/>
              </w:rPr>
            </w:pPr>
            <w:r>
              <w:rPr>
                <w:rFonts w:ascii="宋体"/>
                <w:w w:val="110"/>
                <w:sz w:val="16"/>
              </w:rPr>
              <w:t>11</w:t>
            </w:r>
            <w:r>
              <w:rPr>
                <w:rFonts w:ascii="宋体"/>
                <w:sz w:val="16"/>
              </w:rPr>
            </w:r>
          </w:p>
        </w:tc>
      </w:tr>
      <w:tr>
        <w:trPr>
          <w:trHeight w:val="296" w:hRule="exact"/>
        </w:trPr>
        <w:tc>
          <w:tcPr>
            <w:tcW w:w="5390"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16"/>
                <w:szCs w:val="16"/>
              </w:rPr>
            </w:pPr>
            <w:r>
              <w:rPr>
                <w:rFonts w:ascii="宋体" w:hAnsi="宋体" w:cs="宋体" w:eastAsia="宋体" w:hint="default"/>
                <w:sz w:val="16"/>
                <w:szCs w:val="16"/>
              </w:rPr>
              <w:t>其中：现场会议次数</w:t>
            </w:r>
          </w:p>
        </w:tc>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宋体" w:hAnsi="宋体" w:cs="宋体" w:eastAsia="宋体" w:hint="default"/>
                <w:sz w:val="16"/>
                <w:szCs w:val="16"/>
              </w:rPr>
            </w:pPr>
            <w:r>
              <w:rPr>
                <w:rFonts w:ascii="宋体"/>
                <w:w w:val="111"/>
                <w:sz w:val="16"/>
              </w:rPr>
              <w:t>5</w:t>
            </w:r>
            <w:r>
              <w:rPr>
                <w:rFonts w:ascii="宋体"/>
                <w:sz w:val="16"/>
              </w:rPr>
            </w:r>
          </w:p>
        </w:tc>
      </w:tr>
      <w:tr>
        <w:trPr>
          <w:trHeight w:val="328" w:hRule="exact"/>
        </w:trPr>
        <w:tc>
          <w:tcPr>
            <w:tcW w:w="5390" w:type="dxa"/>
            <w:tcBorders>
              <w:top w:val="nil" w:sz="6" w:space="0" w:color="auto"/>
              <w:left w:val="nil" w:sz="6" w:space="0" w:color="auto"/>
              <w:bottom w:val="nil" w:sz="6" w:space="0" w:color="auto"/>
              <w:right w:val="nil" w:sz="6" w:space="0" w:color="auto"/>
            </w:tcBorders>
          </w:tcPr>
          <w:p>
            <w:pPr>
              <w:pStyle w:val="TableParagraph"/>
              <w:spacing w:line="240" w:lineRule="auto" w:before="6"/>
              <w:ind w:left="35" w:right="0"/>
              <w:jc w:val="left"/>
              <w:rPr>
                <w:rFonts w:ascii="宋体" w:hAnsi="宋体" w:cs="宋体" w:eastAsia="宋体" w:hint="default"/>
                <w:sz w:val="16"/>
                <w:szCs w:val="16"/>
              </w:rPr>
            </w:pPr>
            <w:r>
              <w:rPr>
                <w:rFonts w:ascii="宋体" w:hAnsi="宋体" w:cs="宋体" w:eastAsia="宋体" w:hint="default"/>
                <w:sz w:val="16"/>
                <w:szCs w:val="16"/>
              </w:rPr>
              <w:t>通讯方式召开会议次数</w:t>
            </w:r>
          </w:p>
        </w:tc>
        <w:tc>
          <w:tcPr>
            <w:tcW w:w="3808" w:type="dxa"/>
            <w:tcBorders>
              <w:top w:val="nil" w:sz="6" w:space="0" w:color="auto"/>
              <w:left w:val="nil" w:sz="6" w:space="0" w:color="auto"/>
              <w:bottom w:val="nil" w:sz="6" w:space="0" w:color="auto"/>
              <w:right w:val="nil" w:sz="6" w:space="0" w:color="auto"/>
            </w:tcBorders>
          </w:tcPr>
          <w:p>
            <w:pPr>
              <w:pStyle w:val="TableParagraph"/>
              <w:spacing w:line="240" w:lineRule="auto" w:before="6"/>
              <w:ind w:right="33"/>
              <w:jc w:val="right"/>
              <w:rPr>
                <w:rFonts w:ascii="宋体" w:hAnsi="宋体" w:cs="宋体" w:eastAsia="宋体" w:hint="default"/>
                <w:sz w:val="16"/>
                <w:szCs w:val="16"/>
              </w:rPr>
            </w:pPr>
            <w:r>
              <w:rPr>
                <w:rFonts w:ascii="宋体"/>
                <w:w w:val="111"/>
                <w:sz w:val="16"/>
              </w:rPr>
              <w:t>6</w:t>
            </w:r>
            <w:r>
              <w:rPr>
                <w:rFonts w:ascii="宋体"/>
                <w:sz w:val="16"/>
              </w:rPr>
            </w:r>
          </w:p>
        </w:tc>
      </w:tr>
    </w:tbl>
    <w:p>
      <w:pPr>
        <w:spacing w:line="20" w:lineRule="exact"/>
        <w:ind w:left="11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6350;height:2" coordorigin="5,5" coordsize="6350,2">
              <v:shape style="position:absolute;left:5;top:5;width:6350;height:2" coordorigin="5,5" coordsize="6350,0" path="m5,5l6355,5e" filled="false" stroked="true" strokeweight=".5pt" strokecolor="#000000">
                <v:path arrowok="t"/>
              </v:shape>
            </v:group>
            <v:group style="position:absolute;left:6355;top:5;width:2949;height:2" coordorigin="6355,5" coordsize="2949,2">
              <v:shape style="position:absolute;left:6355;top:5;width:2949;height:2" coordorigin="6355,5" coordsize="2949,0" path="m6355,5l9303,5e" filled="false" stroked="true" strokeweight=".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headerReference w:type="even" r:id="rId223"/>
          <w:headerReference w:type="default" r:id="rId224"/>
          <w:footerReference w:type="even" r:id="rId225"/>
          <w:footerReference w:type="default" r:id="rId226"/>
          <w:pgSz w:w="11910" w:h="16160"/>
          <w:pgMar w:header="0" w:footer="2578" w:top="2240" w:bottom="2760" w:left="0" w:right="0"/>
          <w:pgNumType w:start="74"/>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pStyle w:val="BodyText"/>
        <w:spacing w:line="285" w:lineRule="auto" w:before="31"/>
        <w:ind w:left="1757" w:right="745"/>
        <w:jc w:val="left"/>
        <w:rPr>
          <w:rFonts w:ascii="宋体" w:hAnsi="宋体" w:cs="宋体" w:eastAsia="宋体" w:hint="default"/>
        </w:rPr>
      </w:pPr>
      <w:r>
        <w:rPr>
          <w:rFonts w:ascii="宋体" w:hAnsi="宋体" w:cs="宋体" w:eastAsia="宋体" w:hint="default"/>
          <w:w w:val="111"/>
        </w:rPr>
        <w:t>2018</w:t>
      </w:r>
      <w:r>
        <w:rPr>
          <w:rFonts w:ascii="宋体" w:hAnsi="宋体" w:cs="宋体" w:eastAsia="宋体" w:hint="default"/>
          <w:spacing w:val="-74"/>
          <w:w w:val="111"/>
        </w:rPr>
        <w:t> </w:t>
      </w:r>
      <w:r>
        <w:rPr>
          <w:rFonts w:ascii="宋体" w:hAnsi="宋体" w:cs="宋体" w:eastAsia="宋体" w:hint="default"/>
          <w:spacing w:val="-7"/>
        </w:rPr>
        <w:t>年，公司共召开董事会会议</w:t>
      </w:r>
      <w:r>
        <w:rPr>
          <w:rFonts w:ascii="宋体" w:hAnsi="宋体" w:cs="宋体" w:eastAsia="宋体" w:hint="default"/>
          <w:spacing w:val="-64"/>
        </w:rPr>
        <w:t> </w:t>
      </w:r>
      <w:r>
        <w:rPr>
          <w:rFonts w:ascii="宋体" w:hAnsi="宋体" w:cs="宋体" w:eastAsia="宋体" w:hint="default"/>
          <w:w w:val="111"/>
        </w:rPr>
        <w:t>11</w:t>
      </w:r>
      <w:r>
        <w:rPr>
          <w:rFonts w:ascii="宋体" w:hAnsi="宋体" w:cs="宋体" w:eastAsia="宋体" w:hint="default"/>
          <w:spacing w:val="-74"/>
          <w:w w:val="111"/>
        </w:rPr>
        <w:t> </w:t>
      </w:r>
      <w:r>
        <w:rPr>
          <w:rFonts w:ascii="宋体" w:hAnsi="宋体" w:cs="宋体" w:eastAsia="宋体" w:hint="default"/>
          <w:spacing w:val="-10"/>
        </w:rPr>
        <w:t>次，审议和讨论了有关战略、重大决策、深化改革、防控风险、监督经理层等各项议案，</w:t>
      </w:r>
      <w:r>
        <w:rPr>
          <w:rFonts w:ascii="宋体" w:hAnsi="宋体" w:cs="宋体" w:eastAsia="宋体" w:hint="default"/>
        </w:rPr>
        <w:t> 包括公司定期报告、2017</w:t>
      </w:r>
      <w:r>
        <w:rPr>
          <w:rFonts w:ascii="宋体" w:hAnsi="宋体" w:cs="宋体" w:eastAsia="宋体" w:hint="default"/>
          <w:spacing w:val="-36"/>
        </w:rPr>
        <w:t> </w:t>
      </w:r>
      <w:r>
        <w:rPr>
          <w:rFonts w:ascii="宋体" w:hAnsi="宋体" w:cs="宋体" w:eastAsia="宋体" w:hint="default"/>
        </w:rPr>
        <w:t>年决算报告及利润分配方案、聘请会计师事务所、董事会报告、内部控制及风险管理、高级</w:t>
      </w:r>
      <w:r>
        <w:rPr>
          <w:rFonts w:ascii="宋体" w:hAnsi="宋体" w:cs="宋体" w:eastAsia="宋体" w:hint="default"/>
          <w:spacing w:val="-63"/>
        </w:rPr>
        <w:t> </w:t>
      </w:r>
      <w:r>
        <w:rPr>
          <w:rFonts w:ascii="宋体" w:hAnsi="宋体" w:cs="宋体" w:eastAsia="宋体" w:hint="default"/>
          <w:spacing w:val="-63"/>
        </w:rPr>
      </w:r>
      <w:r>
        <w:rPr>
          <w:rFonts w:ascii="宋体" w:hAnsi="宋体" w:cs="宋体" w:eastAsia="宋体" w:hint="default"/>
        </w:rPr>
        <w:t>管理人员业绩考核、若干关联交易、选举董事长及聘任高级管理人员等日常重要事项，以及限制性股票激励计划首期</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实施授予相关事项、使用募集资金置换预先投入自筹资金等混合所有制改革类议案。</w:t>
      </w:r>
    </w:p>
    <w:p>
      <w:pPr>
        <w:pStyle w:val="BodyText"/>
        <w:spacing w:line="285" w:lineRule="auto" w:before="123"/>
        <w:ind w:left="1757" w:right="844"/>
        <w:jc w:val="both"/>
        <w:rPr>
          <w:rFonts w:ascii="宋体" w:hAnsi="宋体" w:cs="宋体" w:eastAsia="宋体" w:hint="default"/>
        </w:rPr>
      </w:pPr>
      <w:r>
        <w:rPr>
          <w:rFonts w:ascii="宋体" w:hAnsi="宋体" w:cs="宋体" w:eastAsia="宋体" w:hint="default"/>
        </w:rPr>
        <w:t>公司董事会的召集、召开、表决、披露等相关程序均符合有关法律法规和本公司《公司章程》《董事会议事规则》等</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有关规定。所有需提交股东大会审议事项均按程序提交股东大会审议。各位董事勤勉履职，积极出席董事会会议，认</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spacing w:val="-2"/>
        </w:rPr>
        <w:t>真审阅各项议案，并提出有益于股东及公司长远发展的建议，有效保障了董事会科学决策和规范运作，公司稳健发展。</w:t>
      </w:r>
    </w:p>
    <w:p>
      <w:pPr>
        <w:spacing w:before="126"/>
        <w:ind w:left="1417" w:right="764" w:firstLine="0"/>
        <w:jc w:val="left"/>
        <w:rPr>
          <w:rFonts w:ascii="宋体" w:hAnsi="宋体" w:cs="宋体" w:eastAsia="宋体" w:hint="default"/>
          <w:sz w:val="17"/>
          <w:szCs w:val="17"/>
        </w:rPr>
      </w:pPr>
      <w:r>
        <w:rPr>
          <w:rFonts w:ascii="宋体" w:hAnsi="宋体" w:cs="宋体" w:eastAsia="宋体" w:hint="default"/>
          <w:sz w:val="17"/>
          <w:szCs w:val="17"/>
        </w:rPr>
        <w:t>(</w:t>
      </w:r>
      <w:r>
        <w:rPr>
          <w:rFonts w:ascii="宋体" w:hAnsi="宋体" w:cs="宋体" w:eastAsia="宋体" w:hint="default"/>
          <w:spacing w:val="-62"/>
          <w:sz w:val="17"/>
          <w:szCs w:val="17"/>
        </w:rPr>
        <w:t> </w:t>
      </w:r>
      <w:r>
        <w:rPr>
          <w:rFonts w:ascii="宋体" w:hAnsi="宋体" w:cs="宋体" w:eastAsia="宋体" w:hint="default"/>
          <w:spacing w:val="22"/>
          <w:sz w:val="17"/>
          <w:szCs w:val="17"/>
        </w:rPr>
        <w:t>二)</w:t>
      </w:r>
      <w:r>
        <w:rPr>
          <w:rFonts w:ascii="宋体" w:hAnsi="宋体" w:cs="宋体" w:eastAsia="宋体" w:hint="default"/>
          <w:spacing w:val="-62"/>
          <w:sz w:val="17"/>
          <w:szCs w:val="17"/>
        </w:rPr>
        <w:t> </w:t>
      </w:r>
      <w:r>
        <w:rPr>
          <w:rFonts w:ascii="宋体" w:hAnsi="宋体" w:cs="宋体" w:eastAsia="宋体" w:hint="default"/>
          <w:sz w:val="17"/>
          <w:szCs w:val="17"/>
        </w:rPr>
        <w:t>其他</w:t>
      </w:r>
    </w:p>
    <w:p>
      <w:pPr>
        <w:spacing w:line="240" w:lineRule="auto" w:before="2"/>
        <w:rPr>
          <w:rFonts w:ascii="宋体" w:hAnsi="宋体" w:cs="宋体" w:eastAsia="宋体" w:hint="default"/>
          <w:sz w:val="17"/>
          <w:szCs w:val="17"/>
        </w:rPr>
      </w:pPr>
    </w:p>
    <w:p>
      <w:pPr>
        <w:pStyle w:val="BodyText"/>
        <w:spacing w:line="285" w:lineRule="auto"/>
        <w:ind w:left="1757" w:right="842"/>
        <w:jc w:val="both"/>
        <w:rPr>
          <w:rFonts w:ascii="宋体" w:hAnsi="宋体" w:cs="宋体" w:eastAsia="宋体" w:hint="default"/>
        </w:rPr>
      </w:pPr>
      <w:r>
        <w:rPr>
          <w:rFonts w:ascii="宋体" w:hAnsi="宋体" w:cs="宋体" w:eastAsia="宋体" w:hint="default"/>
        </w:rPr>
        <w:t>公司一贯重视发挥独立董事的作用，独立董事们均为具备相关领域丰富经验的专业人士，以其独立的立场、专业的视</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角为公司出谋划策，提高了董事会决策的科学性。</w:t>
      </w:r>
    </w:p>
    <w:p>
      <w:pPr>
        <w:pStyle w:val="BodyText"/>
        <w:spacing w:line="285" w:lineRule="auto" w:before="123"/>
        <w:ind w:left="1757" w:right="842"/>
        <w:jc w:val="both"/>
        <w:rPr>
          <w:rFonts w:ascii="宋体" w:hAnsi="宋体" w:cs="宋体" w:eastAsia="宋体" w:hint="default"/>
        </w:rPr>
      </w:pPr>
      <w:r>
        <w:rPr>
          <w:rFonts w:ascii="宋体" w:hAnsi="宋体" w:cs="宋体" w:eastAsia="宋体" w:hint="default"/>
        </w:rPr>
        <w:t>报告期内，本公司各位独立董事均不在公司担任除董事外的其它职务，并与本公司及其主要股东不存在可能妨碍其进</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行独立客观判断的关系。独立董事均了解对本公司及全体股东负有诚信与勤勉尽职义务，并按照相关法律法规、公司</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章程及制度的要求，认真履行职责，维护公司整体利益，尤其关注中小股东的合法权益不受损害。公司积极为独立董</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事开展工作提供保障，促进独立董事与管理层加强沟通，安排独立董事培训与调研，促进董事高效履职。</w:t>
      </w:r>
    </w:p>
    <w:p>
      <w:pPr>
        <w:pStyle w:val="BodyText"/>
        <w:spacing w:line="285" w:lineRule="auto" w:before="123"/>
        <w:ind w:left="1757" w:right="842"/>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33"/>
        </w:rPr>
        <w:t> </w:t>
      </w:r>
      <w:r>
        <w:rPr>
          <w:rFonts w:ascii="宋体" w:hAnsi="宋体" w:cs="宋体" w:eastAsia="宋体" w:hint="default"/>
        </w:rPr>
        <w:t>年，公司共召开了</w:t>
      </w:r>
      <w:r>
        <w:rPr>
          <w:rFonts w:ascii="宋体" w:hAnsi="宋体" w:cs="宋体" w:eastAsia="宋体" w:hint="default"/>
          <w:spacing w:val="-33"/>
        </w:rPr>
        <w:t> </w:t>
      </w:r>
      <w:r>
        <w:rPr>
          <w:rFonts w:ascii="宋体" w:hAnsi="宋体" w:cs="宋体" w:eastAsia="宋体" w:hint="default"/>
        </w:rPr>
        <w:t>8</w:t>
      </w:r>
      <w:r>
        <w:rPr>
          <w:rFonts w:ascii="宋体" w:hAnsi="宋体" w:cs="宋体" w:eastAsia="宋体" w:hint="default"/>
          <w:spacing w:val="-33"/>
        </w:rPr>
        <w:t> </w:t>
      </w:r>
      <w:r>
        <w:rPr>
          <w:rFonts w:ascii="宋体" w:hAnsi="宋体" w:cs="宋体" w:eastAsia="宋体" w:hint="default"/>
        </w:rPr>
        <w:t>次独立董事会议，审议了公司利润分配方案、经理层薪酬、关联交易、聘任公司高级管理人</w:t>
      </w:r>
      <w:r>
        <w:rPr>
          <w:rFonts w:ascii="宋体" w:hAnsi="宋体" w:cs="宋体" w:eastAsia="宋体" w:hint="default"/>
          <w:spacing w:val="-80"/>
        </w:rPr>
        <w:t> </w:t>
      </w:r>
      <w:r>
        <w:rPr>
          <w:rFonts w:ascii="宋体" w:hAnsi="宋体" w:cs="宋体" w:eastAsia="宋体" w:hint="default"/>
          <w:spacing w:val="-80"/>
        </w:rPr>
      </w:r>
      <w:r>
        <w:rPr>
          <w:rFonts w:ascii="宋体" w:hAnsi="宋体" w:cs="宋体" w:eastAsia="宋体" w:hint="default"/>
        </w:rPr>
        <w:t>员等日常事项以及混合所有制改革有关的重大事项，包括限制性股票激励计划首期授予实施相关事项、使用募集资金</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置换预先投入自筹资金等。所有独立董事均就上述审议事项发表了独立意见，对公司的规范运行、维护中小股东的合</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法权益发挥了重要作用。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spacing w:line="4188" w:lineRule="exact"/>
        <w:ind w:left="1757" w:right="0" w:firstLine="0"/>
        <w:rPr>
          <w:rFonts w:ascii="宋体" w:hAnsi="宋体" w:cs="宋体" w:eastAsia="宋体" w:hint="default"/>
          <w:sz w:val="20"/>
          <w:szCs w:val="20"/>
        </w:rPr>
      </w:pPr>
      <w:r>
        <w:rPr>
          <w:rFonts w:ascii="宋体" w:hAnsi="宋体" w:cs="宋体" w:eastAsia="宋体" w:hint="default"/>
          <w:position w:val="-83"/>
          <w:sz w:val="20"/>
          <w:szCs w:val="20"/>
        </w:rPr>
        <w:pict>
          <v:group style="width:470.05pt;height:209.45pt;mso-position-horizontal-relative:char;mso-position-vertical-relative:line" coordorigin="0,0" coordsize="9401,4189">
            <v:shape style="position:absolute;left:7371;top:2976;width:188;height:188" type="#_x0000_t75" stroked="false">
              <v:imagedata r:id="rId177" o:title=""/>
            </v:shape>
            <v:group style="position:absolute;left:4610;top:3070;width:2831;height:2" coordorigin="4610,3070" coordsize="2831,2">
              <v:shape style="position:absolute;left:4610;top:3070;width:2831;height:2" coordorigin="4610,3070" coordsize="2831,0" path="m7441,3070l4610,3070e" filled="false" stroked="true" strokeweight=".956pt" strokecolor="#9c8758">
                <v:path arrowok="t"/>
              </v:shape>
              <v:shape style="position:absolute;left:9213;top:2296;width:188;height:188" type="#_x0000_t75" stroked="false">
                <v:imagedata r:id="rId222" o:title=""/>
              </v:shape>
            </v:group>
            <v:group style="position:absolute;left:4139;top:2390;width:5145;height:2" coordorigin="4139,2390" coordsize="5145,2">
              <v:shape style="position:absolute;left:4139;top:2390;width:5145;height:2" coordorigin="4139,2390" coordsize="5145,0" path="m9283,2390l4139,2390e" filled="false" stroked="true" strokeweight=".956pt" strokecolor="#8e9090">
                <v:path arrowok="t"/>
              </v:shape>
              <v:shape style="position:absolute;left:0;top:0;width:6425;height:4188" type="#_x0000_t75" stroked="false">
                <v:imagedata r:id="rId227" o:title=""/>
              </v:shape>
            </v:group>
          </v:group>
        </w:pict>
      </w:r>
      <w:r>
        <w:rPr>
          <w:rFonts w:ascii="宋体" w:hAnsi="宋体" w:cs="宋体" w:eastAsia="宋体" w:hint="default"/>
          <w:position w:val="-83"/>
          <w:sz w:val="20"/>
          <w:szCs w:val="20"/>
        </w:rPr>
      </w:r>
    </w:p>
    <w:p>
      <w:pPr>
        <w:spacing w:after="0" w:line="4188" w:lineRule="exact"/>
        <w:rPr>
          <w:rFonts w:ascii="宋体" w:hAnsi="宋体" w:cs="宋体" w:eastAsia="宋体" w:hint="default"/>
          <w:sz w:val="20"/>
          <w:szCs w:val="20"/>
        </w:rPr>
        <w:sectPr>
          <w:pgSz w:w="11910" w:h="16160"/>
          <w:pgMar w:header="0" w:footer="1481" w:top="1460" w:bottom="1680" w:left="0" w:right="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pStyle w:val="BodyText"/>
        <w:spacing w:line="240" w:lineRule="auto" w:before="26"/>
        <w:ind w:left="850" w:right="764"/>
        <w:jc w:val="left"/>
        <w:rPr>
          <w:rFonts w:ascii="宋体" w:hAnsi="宋体" w:cs="宋体" w:eastAsia="宋体" w:hint="default"/>
        </w:rPr>
      </w:pPr>
      <w:r>
        <w:rPr>
          <w:rFonts w:ascii="宋体" w:hAnsi="宋体" w:cs="宋体" w:eastAsia="宋体" w:hint="default"/>
          <w:color w:val="D7000F"/>
        </w:rPr>
        <w:t>四、董事会下设专门委员会在报告期内履行职责时所提出的重要意见和建议，存在异议事项的，应当披露具体情况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00" w:lineRule="auto"/>
        <w:ind w:left="1190" w:right="1353"/>
        <w:jc w:val="left"/>
        <w:rPr>
          <w:rFonts w:ascii="宋体" w:hAnsi="宋体" w:cs="宋体" w:eastAsia="宋体" w:hint="default"/>
        </w:rPr>
      </w:pPr>
      <w:r>
        <w:rPr>
          <w:rFonts w:ascii="宋体" w:hAnsi="宋体" w:cs="宋体" w:eastAsia="宋体" w:hint="default"/>
        </w:rPr>
        <w:t>报告期内，董事会专门委员会对公司审议事项不存在异议，所有表决事项均获通过。 </w:t>
      </w:r>
      <w:r>
        <w:rPr>
          <w:rFonts w:ascii="宋体" w:hAnsi="宋体" w:cs="宋体" w:eastAsia="宋体" w:hint="default"/>
          <w:spacing w:val="-7"/>
        </w:rPr>
        <w:t>公司董事会下设发展战略委员会、提名委员会、薪酬与考核委员会、审计委员会共计四个专门委员会。有关人员构成如下：</w:t>
      </w:r>
    </w:p>
    <w:tbl>
      <w:tblPr>
        <w:tblW w:w="0" w:type="auto"/>
        <w:jc w:val="left"/>
        <w:tblInd w:w="1190" w:type="dxa"/>
        <w:tblLayout w:type="fixed"/>
        <w:tblCellMar>
          <w:top w:w="0" w:type="dxa"/>
          <w:left w:w="0" w:type="dxa"/>
          <w:bottom w:w="0" w:type="dxa"/>
          <w:right w:w="0" w:type="dxa"/>
        </w:tblCellMar>
        <w:tblLook w:val="01E0"/>
      </w:tblPr>
      <w:tblGrid>
        <w:gridCol w:w="2158"/>
        <w:gridCol w:w="1844"/>
        <w:gridCol w:w="5296"/>
      </w:tblGrid>
      <w:tr>
        <w:trPr>
          <w:trHeight w:val="364" w:hRule="exact"/>
        </w:trPr>
        <w:tc>
          <w:tcPr>
            <w:tcW w:w="2158" w:type="dxa"/>
            <w:tcBorders>
              <w:top w:val="nil" w:sz="6" w:space="0" w:color="auto"/>
              <w:left w:val="nil" w:sz="6" w:space="0" w:color="auto"/>
              <w:bottom w:val="single" w:sz="16" w:space="0" w:color="9C8758"/>
              <w:right w:val="nil" w:sz="6" w:space="0" w:color="auto"/>
            </w:tcBorders>
          </w:tcPr>
          <w:p>
            <w:pPr>
              <w:pStyle w:val="TableParagraph"/>
              <w:spacing w:line="240" w:lineRule="auto" w:before="41"/>
              <w:ind w:left="85" w:right="0"/>
              <w:jc w:val="left"/>
              <w:rPr>
                <w:rFonts w:ascii="宋体" w:hAnsi="宋体" w:cs="宋体" w:eastAsia="宋体" w:hint="default"/>
                <w:sz w:val="16"/>
                <w:szCs w:val="16"/>
              </w:rPr>
            </w:pPr>
            <w:r>
              <w:rPr>
                <w:rFonts w:ascii="宋体" w:hAnsi="宋体" w:cs="宋体" w:eastAsia="宋体" w:hint="default"/>
                <w:sz w:val="16"/>
                <w:szCs w:val="16"/>
              </w:rPr>
              <w:t>专门委员会</w:t>
            </w:r>
          </w:p>
        </w:tc>
        <w:tc>
          <w:tcPr>
            <w:tcW w:w="1844" w:type="dxa"/>
            <w:tcBorders>
              <w:top w:val="nil" w:sz="6" w:space="0" w:color="auto"/>
              <w:left w:val="nil" w:sz="6" w:space="0" w:color="auto"/>
              <w:bottom w:val="single" w:sz="16" w:space="0" w:color="9C8758"/>
              <w:right w:val="nil" w:sz="6" w:space="0" w:color="auto"/>
            </w:tcBorders>
          </w:tcPr>
          <w:p>
            <w:pPr>
              <w:pStyle w:val="TableParagraph"/>
              <w:spacing w:line="240" w:lineRule="auto" w:before="41"/>
              <w:ind w:right="569"/>
              <w:jc w:val="right"/>
              <w:rPr>
                <w:rFonts w:ascii="宋体" w:hAnsi="宋体" w:cs="宋体" w:eastAsia="宋体" w:hint="default"/>
                <w:sz w:val="16"/>
                <w:szCs w:val="16"/>
              </w:rPr>
            </w:pPr>
            <w:r>
              <w:rPr>
                <w:rFonts w:ascii="宋体" w:hAnsi="宋体" w:cs="宋体" w:eastAsia="宋体" w:hint="default"/>
                <w:sz w:val="16"/>
                <w:szCs w:val="16"/>
              </w:rPr>
              <w:t>主任</w:t>
            </w:r>
          </w:p>
        </w:tc>
        <w:tc>
          <w:tcPr>
            <w:tcW w:w="5296" w:type="dxa"/>
            <w:tcBorders>
              <w:top w:val="nil" w:sz="6" w:space="0" w:color="auto"/>
              <w:left w:val="nil" w:sz="6" w:space="0" w:color="auto"/>
              <w:bottom w:val="single" w:sz="16" w:space="0" w:color="9C8758"/>
              <w:right w:val="nil" w:sz="6" w:space="0" w:color="auto"/>
            </w:tcBorders>
          </w:tcPr>
          <w:p>
            <w:pPr>
              <w:pStyle w:val="TableParagraph"/>
              <w:spacing w:line="240" w:lineRule="auto" w:before="41"/>
              <w:ind w:right="82"/>
              <w:jc w:val="right"/>
              <w:rPr>
                <w:rFonts w:ascii="宋体" w:hAnsi="宋体" w:cs="宋体" w:eastAsia="宋体" w:hint="default"/>
                <w:sz w:val="16"/>
                <w:szCs w:val="16"/>
              </w:rPr>
            </w:pPr>
            <w:r>
              <w:rPr>
                <w:rFonts w:ascii="宋体" w:hAnsi="宋体" w:cs="宋体" w:eastAsia="宋体" w:hint="default"/>
                <w:sz w:val="16"/>
                <w:szCs w:val="16"/>
              </w:rPr>
              <w:t>成员</w:t>
            </w:r>
          </w:p>
        </w:tc>
      </w:tr>
      <w:tr>
        <w:trPr>
          <w:trHeight w:val="385" w:hRule="exact"/>
        </w:trPr>
        <w:tc>
          <w:tcPr>
            <w:tcW w:w="2158" w:type="dxa"/>
            <w:tcBorders>
              <w:top w:val="single" w:sz="16" w:space="0" w:color="9C8758"/>
              <w:left w:val="nil" w:sz="6" w:space="0" w:color="auto"/>
              <w:bottom w:val="nil" w:sz="6" w:space="0" w:color="auto"/>
              <w:right w:val="nil" w:sz="6" w:space="0" w:color="auto"/>
            </w:tcBorders>
          </w:tcPr>
          <w:p>
            <w:pPr>
              <w:pStyle w:val="TableParagraph"/>
              <w:spacing w:line="240" w:lineRule="auto" w:before="75"/>
              <w:ind w:left="85" w:right="0"/>
              <w:jc w:val="left"/>
              <w:rPr>
                <w:rFonts w:ascii="宋体" w:hAnsi="宋体" w:cs="宋体" w:eastAsia="宋体" w:hint="default"/>
                <w:sz w:val="16"/>
                <w:szCs w:val="16"/>
              </w:rPr>
            </w:pPr>
            <w:r>
              <w:rPr>
                <w:rFonts w:ascii="宋体" w:hAnsi="宋体" w:cs="宋体" w:eastAsia="宋体" w:hint="default"/>
                <w:sz w:val="16"/>
                <w:szCs w:val="16"/>
              </w:rPr>
              <w:t>发展战略委员会</w:t>
            </w:r>
          </w:p>
        </w:tc>
        <w:tc>
          <w:tcPr>
            <w:tcW w:w="1844" w:type="dxa"/>
            <w:tcBorders>
              <w:top w:val="single" w:sz="16" w:space="0" w:color="9C8758"/>
              <w:left w:val="nil" w:sz="6" w:space="0" w:color="auto"/>
              <w:bottom w:val="nil" w:sz="6" w:space="0" w:color="auto"/>
              <w:right w:val="nil" w:sz="6" w:space="0" w:color="auto"/>
            </w:tcBorders>
          </w:tcPr>
          <w:p>
            <w:pPr>
              <w:pStyle w:val="TableParagraph"/>
              <w:spacing w:line="240" w:lineRule="auto" w:before="75"/>
              <w:ind w:right="569"/>
              <w:jc w:val="right"/>
              <w:rPr>
                <w:rFonts w:ascii="宋体" w:hAnsi="宋体" w:cs="宋体" w:eastAsia="宋体" w:hint="default"/>
                <w:sz w:val="16"/>
                <w:szCs w:val="16"/>
              </w:rPr>
            </w:pPr>
            <w:r>
              <w:rPr>
                <w:rFonts w:ascii="宋体" w:hAnsi="宋体" w:cs="宋体" w:eastAsia="宋体" w:hint="default"/>
                <w:sz w:val="16"/>
                <w:szCs w:val="16"/>
              </w:rPr>
              <w:t>王晓初</w:t>
            </w:r>
          </w:p>
        </w:tc>
        <w:tc>
          <w:tcPr>
            <w:tcW w:w="5296" w:type="dxa"/>
            <w:tcBorders>
              <w:top w:val="single" w:sz="16" w:space="0" w:color="9C8758"/>
              <w:left w:val="nil" w:sz="6" w:space="0" w:color="auto"/>
              <w:bottom w:val="nil" w:sz="6" w:space="0" w:color="auto"/>
              <w:right w:val="nil" w:sz="6" w:space="0" w:color="auto"/>
            </w:tcBorders>
          </w:tcPr>
          <w:p>
            <w:pPr>
              <w:pStyle w:val="TableParagraph"/>
              <w:spacing w:line="240" w:lineRule="auto" w:before="75"/>
              <w:ind w:right="82"/>
              <w:jc w:val="right"/>
              <w:rPr>
                <w:rFonts w:ascii="宋体" w:hAnsi="宋体" w:cs="宋体" w:eastAsia="宋体" w:hint="default"/>
                <w:sz w:val="16"/>
                <w:szCs w:val="16"/>
              </w:rPr>
            </w:pPr>
            <w:r>
              <w:rPr>
                <w:rFonts w:ascii="宋体" w:hAnsi="宋体" w:cs="宋体" w:eastAsia="宋体" w:hint="default"/>
                <w:sz w:val="16"/>
                <w:szCs w:val="16"/>
              </w:rPr>
              <w:t>李国华、尹兆君、卢山、王路、廖建文、胡晓明、吕廷杰、熊晓鸽</w:t>
            </w:r>
          </w:p>
        </w:tc>
      </w:tr>
      <w:tr>
        <w:trPr>
          <w:trHeight w:val="296" w:hRule="exact"/>
        </w:trPr>
        <w:tc>
          <w:tcPr>
            <w:tcW w:w="2158" w:type="dxa"/>
            <w:tcBorders>
              <w:top w:val="nil" w:sz="6" w:space="0" w:color="auto"/>
              <w:left w:val="nil" w:sz="6" w:space="0" w:color="auto"/>
              <w:bottom w:val="nil" w:sz="6" w:space="0" w:color="auto"/>
              <w:right w:val="nil" w:sz="6" w:space="0" w:color="auto"/>
            </w:tcBorders>
          </w:tcPr>
          <w:p>
            <w:pPr>
              <w:pStyle w:val="TableParagraph"/>
              <w:spacing w:line="240" w:lineRule="auto" w:before="6"/>
              <w:ind w:left="85" w:right="0"/>
              <w:jc w:val="left"/>
              <w:rPr>
                <w:rFonts w:ascii="宋体" w:hAnsi="宋体" w:cs="宋体" w:eastAsia="宋体" w:hint="default"/>
                <w:sz w:val="16"/>
                <w:szCs w:val="16"/>
              </w:rPr>
            </w:pPr>
            <w:r>
              <w:rPr>
                <w:rFonts w:ascii="宋体" w:hAnsi="宋体" w:cs="宋体" w:eastAsia="宋体" w:hint="default"/>
                <w:sz w:val="16"/>
                <w:szCs w:val="16"/>
              </w:rPr>
              <w:t>提名委员会</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69"/>
              <w:jc w:val="right"/>
              <w:rPr>
                <w:rFonts w:ascii="宋体" w:hAnsi="宋体" w:cs="宋体" w:eastAsia="宋体" w:hint="default"/>
                <w:sz w:val="16"/>
                <w:szCs w:val="16"/>
              </w:rPr>
            </w:pPr>
            <w:r>
              <w:rPr>
                <w:rFonts w:ascii="宋体" w:hAnsi="宋体" w:cs="宋体" w:eastAsia="宋体" w:hint="default"/>
                <w:sz w:val="16"/>
                <w:szCs w:val="16"/>
              </w:rPr>
              <w:t>王晓初</w:t>
            </w:r>
          </w:p>
        </w:tc>
        <w:tc>
          <w:tcPr>
            <w:tcW w:w="52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2"/>
              <w:jc w:val="right"/>
              <w:rPr>
                <w:rFonts w:ascii="宋体" w:hAnsi="宋体" w:cs="宋体" w:eastAsia="宋体" w:hint="default"/>
                <w:sz w:val="16"/>
                <w:szCs w:val="16"/>
              </w:rPr>
            </w:pPr>
            <w:r>
              <w:rPr>
                <w:rFonts w:ascii="宋体" w:hAnsi="宋体" w:cs="宋体" w:eastAsia="宋体" w:hint="default"/>
                <w:sz w:val="16"/>
                <w:szCs w:val="16"/>
              </w:rPr>
              <w:t>尹兆君、冯士栋、吕廷杰、陈建新</w:t>
            </w:r>
          </w:p>
        </w:tc>
      </w:tr>
      <w:tr>
        <w:trPr>
          <w:trHeight w:val="296" w:hRule="exact"/>
        </w:trPr>
        <w:tc>
          <w:tcPr>
            <w:tcW w:w="2158" w:type="dxa"/>
            <w:tcBorders>
              <w:top w:val="nil" w:sz="6" w:space="0" w:color="auto"/>
              <w:left w:val="nil" w:sz="6" w:space="0" w:color="auto"/>
              <w:bottom w:val="nil" w:sz="6" w:space="0" w:color="auto"/>
              <w:right w:val="nil" w:sz="6" w:space="0" w:color="auto"/>
            </w:tcBorders>
          </w:tcPr>
          <w:p>
            <w:pPr>
              <w:pStyle w:val="TableParagraph"/>
              <w:spacing w:line="240" w:lineRule="auto" w:before="6"/>
              <w:ind w:left="85" w:right="0"/>
              <w:jc w:val="left"/>
              <w:rPr>
                <w:rFonts w:ascii="宋体" w:hAnsi="宋体" w:cs="宋体" w:eastAsia="宋体" w:hint="default"/>
                <w:sz w:val="16"/>
                <w:szCs w:val="16"/>
              </w:rPr>
            </w:pPr>
            <w:r>
              <w:rPr>
                <w:rFonts w:ascii="宋体" w:hAnsi="宋体" w:cs="宋体" w:eastAsia="宋体" w:hint="default"/>
                <w:sz w:val="16"/>
                <w:szCs w:val="16"/>
              </w:rPr>
              <w:t>薪酬与考核委员会</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69"/>
              <w:jc w:val="right"/>
              <w:rPr>
                <w:rFonts w:ascii="宋体" w:hAnsi="宋体" w:cs="宋体" w:eastAsia="宋体" w:hint="default"/>
                <w:sz w:val="16"/>
                <w:szCs w:val="16"/>
              </w:rPr>
            </w:pPr>
            <w:r>
              <w:rPr>
                <w:rFonts w:ascii="宋体" w:hAnsi="宋体" w:cs="宋体" w:eastAsia="宋体" w:hint="default"/>
                <w:sz w:val="16"/>
                <w:szCs w:val="16"/>
              </w:rPr>
              <w:t>冯士栋</w:t>
            </w:r>
          </w:p>
        </w:tc>
        <w:tc>
          <w:tcPr>
            <w:tcW w:w="52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2"/>
              <w:jc w:val="right"/>
              <w:rPr>
                <w:rFonts w:ascii="宋体" w:hAnsi="宋体" w:cs="宋体" w:eastAsia="宋体" w:hint="default"/>
                <w:sz w:val="16"/>
                <w:szCs w:val="16"/>
              </w:rPr>
            </w:pPr>
            <w:r>
              <w:rPr>
                <w:rFonts w:ascii="宋体" w:hAnsi="宋体" w:cs="宋体" w:eastAsia="宋体" w:hint="default"/>
                <w:sz w:val="16"/>
                <w:szCs w:val="16"/>
              </w:rPr>
              <w:t>卢山、胡晓明、吴晓根、吕廷杰</w:t>
            </w:r>
          </w:p>
        </w:tc>
      </w:tr>
      <w:tr>
        <w:trPr>
          <w:trHeight w:val="328" w:hRule="exact"/>
        </w:trPr>
        <w:tc>
          <w:tcPr>
            <w:tcW w:w="2158" w:type="dxa"/>
            <w:tcBorders>
              <w:top w:val="nil" w:sz="6" w:space="0" w:color="auto"/>
              <w:left w:val="nil" w:sz="6" w:space="0" w:color="auto"/>
              <w:bottom w:val="nil" w:sz="6" w:space="0" w:color="auto"/>
              <w:right w:val="nil" w:sz="6" w:space="0" w:color="auto"/>
            </w:tcBorders>
          </w:tcPr>
          <w:p>
            <w:pPr>
              <w:pStyle w:val="TableParagraph"/>
              <w:spacing w:line="240" w:lineRule="auto" w:before="6"/>
              <w:ind w:left="85" w:right="0"/>
              <w:jc w:val="left"/>
              <w:rPr>
                <w:rFonts w:ascii="宋体" w:hAnsi="宋体" w:cs="宋体" w:eastAsia="宋体" w:hint="default"/>
                <w:sz w:val="16"/>
                <w:szCs w:val="16"/>
              </w:rPr>
            </w:pPr>
            <w:r>
              <w:rPr>
                <w:rFonts w:ascii="宋体" w:hAnsi="宋体" w:cs="宋体" w:eastAsia="宋体" w:hint="default"/>
                <w:sz w:val="16"/>
                <w:szCs w:val="16"/>
              </w:rPr>
              <w:t>审计委员会</w:t>
            </w:r>
          </w:p>
        </w:tc>
        <w:tc>
          <w:tcPr>
            <w:tcW w:w="184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569"/>
              <w:jc w:val="right"/>
              <w:rPr>
                <w:rFonts w:ascii="宋体" w:hAnsi="宋体" w:cs="宋体" w:eastAsia="宋体" w:hint="default"/>
                <w:sz w:val="16"/>
                <w:szCs w:val="16"/>
              </w:rPr>
            </w:pPr>
            <w:r>
              <w:rPr>
                <w:rFonts w:ascii="宋体" w:hAnsi="宋体" w:cs="宋体" w:eastAsia="宋体" w:hint="default"/>
                <w:sz w:val="16"/>
                <w:szCs w:val="16"/>
              </w:rPr>
              <w:t>吴晓根</w:t>
            </w:r>
          </w:p>
        </w:tc>
        <w:tc>
          <w:tcPr>
            <w:tcW w:w="529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82"/>
              <w:jc w:val="right"/>
              <w:rPr>
                <w:rFonts w:ascii="宋体" w:hAnsi="宋体" w:cs="宋体" w:eastAsia="宋体" w:hint="default"/>
                <w:sz w:val="16"/>
                <w:szCs w:val="16"/>
              </w:rPr>
            </w:pPr>
            <w:r>
              <w:rPr>
                <w:rFonts w:ascii="宋体" w:hAnsi="宋体" w:cs="宋体" w:eastAsia="宋体" w:hint="default"/>
                <w:sz w:val="16"/>
                <w:szCs w:val="16"/>
              </w:rPr>
              <w:t>尹兆君、冯士栋、陈建新、李福申</w:t>
            </w:r>
          </w:p>
        </w:tc>
      </w:tr>
    </w:tbl>
    <w:p>
      <w:pPr>
        <w:spacing w:line="240" w:lineRule="auto" w:before="13"/>
        <w:rPr>
          <w:rFonts w:ascii="宋体" w:hAnsi="宋体" w:cs="宋体" w:eastAsia="宋体" w:hint="default"/>
          <w:sz w:val="2"/>
          <w:szCs w:val="2"/>
        </w:rPr>
      </w:pPr>
    </w:p>
    <w:p>
      <w:pPr>
        <w:spacing w:line="20" w:lineRule="exact"/>
        <w:ind w:left="1185" w:right="0" w:firstLine="0"/>
        <w:rPr>
          <w:rFonts w:ascii="宋体" w:hAnsi="宋体" w:cs="宋体" w:eastAsia="宋体" w:hint="default"/>
          <w:sz w:val="2"/>
          <w:szCs w:val="2"/>
        </w:rPr>
      </w:pPr>
      <w:r>
        <w:rPr>
          <w:rFonts w:ascii="宋体" w:hAnsi="宋体" w:cs="宋体" w:eastAsia="宋体" w:hint="default"/>
          <w:sz w:val="2"/>
          <w:szCs w:val="2"/>
        </w:rPr>
        <w:pict>
          <v:group style="width:465.4pt;height:.5pt;mso-position-horizontal-relative:char;mso-position-vertical-relative:line" coordorigin="0,0" coordsize="9308,10">
            <v:group style="position:absolute;left:5;top:5;width:2325;height:2" coordorigin="5,5" coordsize="2325,2">
              <v:shape style="position:absolute;left:5;top:5;width:2325;height:2" coordorigin="5,5" coordsize="2325,0" path="m5,5l2329,5e" filled="false" stroked="true" strokeweight=".5pt" strokecolor="#000000">
                <v:path arrowok="t"/>
              </v:shape>
            </v:group>
            <v:group style="position:absolute;left:2329;top:5;width:1191;height:2" coordorigin="2329,5" coordsize="1191,2">
              <v:shape style="position:absolute;left:2329;top:5;width:1191;height:2" coordorigin="2329,5" coordsize="1191,0" path="m2329,5l3520,5e" filled="false" stroked="true" strokeweight=".5pt" strokecolor="#000000">
                <v:path arrowok="t"/>
              </v:shape>
            </v:group>
            <v:group style="position:absolute;left:3520;top:5;width:5783;height:2" coordorigin="3520,5" coordsize="5783,2">
              <v:shape style="position:absolute;left:3520;top:5;width:5783;height:2" coordorigin="3520,5" coordsize="5783,0" path="m3520,5l9303,5e" filled="false" stroked="true" strokeweight=".5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4"/>
          <w:szCs w:val="14"/>
        </w:rPr>
      </w:pPr>
    </w:p>
    <w:p>
      <w:pPr>
        <w:pStyle w:val="BodyText"/>
        <w:spacing w:line="285" w:lineRule="auto" w:before="31"/>
        <w:ind w:left="1190" w:right="1411"/>
        <w:jc w:val="both"/>
        <w:rPr>
          <w:rFonts w:ascii="宋体" w:hAnsi="宋体" w:cs="宋体" w:eastAsia="宋体" w:hint="default"/>
        </w:rPr>
      </w:pPr>
      <w:r>
        <w:rPr>
          <w:rFonts w:ascii="宋体" w:hAnsi="宋体" w:cs="宋体" w:eastAsia="宋体" w:hint="default"/>
        </w:rPr>
        <w:t>公司董事会专门委员会成员按照相应工作细则履行各项职能，为董事会科学决策和民主决策提供强有力的支持。2018</w:t>
      </w:r>
      <w:r>
        <w:rPr>
          <w:rFonts w:ascii="宋体" w:hAnsi="宋体" w:cs="宋体" w:eastAsia="宋体" w:hint="default"/>
          <w:spacing w:val="-8"/>
        </w:rPr>
        <w:t> </w:t>
      </w:r>
      <w:r>
        <w:rPr>
          <w:rFonts w:ascii="宋体" w:hAnsi="宋体" w:cs="宋体" w:eastAsia="宋体" w:hint="default"/>
          <w:spacing w:val="-8"/>
        </w:rPr>
      </w:r>
      <w:r>
        <w:rPr>
          <w:rFonts w:ascii="宋体" w:hAnsi="宋体" w:cs="宋体" w:eastAsia="宋体" w:hint="default"/>
        </w:rPr>
        <w:t>年，公司共召开</w:t>
      </w:r>
      <w:r>
        <w:rPr>
          <w:rFonts w:ascii="宋体" w:hAnsi="宋体" w:cs="宋体" w:eastAsia="宋体" w:hint="default"/>
          <w:spacing w:val="-42"/>
        </w:rPr>
        <w:t> </w:t>
      </w:r>
      <w:r>
        <w:rPr>
          <w:rFonts w:ascii="宋体" w:hAnsi="宋体" w:cs="宋体" w:eastAsia="宋体" w:hint="default"/>
        </w:rPr>
        <w:t>6</w:t>
      </w:r>
      <w:r>
        <w:rPr>
          <w:rFonts w:ascii="宋体" w:hAnsi="宋体" w:cs="宋体" w:eastAsia="宋体" w:hint="default"/>
          <w:spacing w:val="-42"/>
        </w:rPr>
        <w:t> </w:t>
      </w:r>
      <w:r>
        <w:rPr>
          <w:rFonts w:ascii="宋体" w:hAnsi="宋体" w:cs="宋体" w:eastAsia="宋体" w:hint="default"/>
        </w:rPr>
        <w:t>次审计委员会会议，3</w:t>
      </w:r>
      <w:r>
        <w:rPr>
          <w:rFonts w:ascii="宋体" w:hAnsi="宋体" w:cs="宋体" w:eastAsia="宋体" w:hint="default"/>
          <w:spacing w:val="-42"/>
        </w:rPr>
        <w:t> </w:t>
      </w:r>
      <w:r>
        <w:rPr>
          <w:rFonts w:ascii="宋体" w:hAnsi="宋体" w:cs="宋体" w:eastAsia="宋体" w:hint="default"/>
        </w:rPr>
        <w:t>次薪酬与考核委员会会议，5</w:t>
      </w:r>
      <w:r>
        <w:rPr>
          <w:rFonts w:ascii="宋体" w:hAnsi="宋体" w:cs="宋体" w:eastAsia="宋体" w:hint="default"/>
          <w:spacing w:val="-42"/>
        </w:rPr>
        <w:t> </w:t>
      </w:r>
      <w:r>
        <w:rPr>
          <w:rFonts w:ascii="宋体" w:hAnsi="宋体" w:cs="宋体" w:eastAsia="宋体" w:hint="default"/>
        </w:rPr>
        <w:t>次提名委员会会议及</w:t>
      </w:r>
      <w:r>
        <w:rPr>
          <w:rFonts w:ascii="宋体" w:hAnsi="宋体" w:cs="宋体" w:eastAsia="宋体" w:hint="default"/>
          <w:spacing w:val="-42"/>
        </w:rPr>
        <w:t> </w:t>
      </w:r>
      <w:r>
        <w:rPr>
          <w:rFonts w:ascii="宋体" w:hAnsi="宋体" w:cs="宋体" w:eastAsia="宋体" w:hint="default"/>
        </w:rPr>
        <w:t>1</w:t>
      </w:r>
      <w:r>
        <w:rPr>
          <w:rFonts w:ascii="宋体" w:hAnsi="宋体" w:cs="宋体" w:eastAsia="宋体" w:hint="default"/>
          <w:spacing w:val="-42"/>
        </w:rPr>
        <w:t> </w:t>
      </w:r>
      <w:r>
        <w:rPr>
          <w:rFonts w:ascii="宋体" w:hAnsi="宋体" w:cs="宋体" w:eastAsia="宋体" w:hint="default"/>
        </w:rPr>
        <w:t>次发展战略委员会会议。</w:t>
      </w:r>
      <w:r>
        <w:rPr>
          <w:rFonts w:ascii="宋体" w:hAnsi="宋体" w:cs="宋体" w:eastAsia="宋体" w:hint="default"/>
        </w:rPr>
        <w:t> 上述会议审议了包括定期报告、利润分配方案、聘请会计师事务所、高级管理人员业绩考核、若干关联交易、聘任高</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spacing w:val="-2"/>
        </w:rPr>
        <w:t>级管理人员等日常重要事项，以及混合所有制改革相关的各项议案，包括限制性股票激励计划首期实施授予相关事项、</w:t>
      </w:r>
      <w:r>
        <w:rPr>
          <w:rFonts w:ascii="宋体" w:hAnsi="宋体" w:cs="宋体" w:eastAsia="宋体" w:hint="default"/>
          <w:spacing w:val="-50"/>
        </w:rPr>
        <w:t> </w:t>
      </w:r>
      <w:r>
        <w:rPr>
          <w:rFonts w:ascii="宋体" w:hAnsi="宋体" w:cs="宋体" w:eastAsia="宋体" w:hint="default"/>
          <w:spacing w:val="-50"/>
        </w:rPr>
      </w:r>
      <w:r>
        <w:rPr>
          <w:rFonts w:ascii="宋体" w:hAnsi="宋体" w:cs="宋体" w:eastAsia="宋体" w:hint="default"/>
        </w:rPr>
        <w:t>使用募集资金置换预先投入自筹资金等，并将相关审议意见及决议情况提交董事会。</w:t>
      </w:r>
    </w:p>
    <w:p>
      <w:pPr>
        <w:spacing w:line="240" w:lineRule="auto" w:before="6"/>
        <w:rPr>
          <w:rFonts w:ascii="宋体" w:hAnsi="宋体" w:cs="宋体" w:eastAsia="宋体" w:hint="default"/>
          <w:sz w:val="22"/>
          <w:szCs w:val="22"/>
        </w:rPr>
      </w:pPr>
    </w:p>
    <w:p>
      <w:pPr>
        <w:pStyle w:val="BodyText"/>
        <w:spacing w:line="240" w:lineRule="auto"/>
        <w:ind w:left="850" w:right="764"/>
        <w:jc w:val="left"/>
        <w:rPr>
          <w:rFonts w:ascii="宋体" w:hAnsi="宋体" w:cs="宋体" w:eastAsia="宋体" w:hint="default"/>
        </w:rPr>
      </w:pPr>
      <w:r>
        <w:rPr>
          <w:rFonts w:ascii="宋体" w:hAnsi="宋体" w:cs="宋体" w:eastAsia="宋体" w:hint="default"/>
          <w:color w:val="D7000F"/>
        </w:rPr>
        <w:t>五、监事会发现公司存在风险的说明</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90" w:right="0"/>
        <w:jc w:val="both"/>
        <w:rPr>
          <w:rFonts w:ascii="宋体" w:hAnsi="宋体" w:cs="宋体" w:eastAsia="宋体" w:hint="default"/>
        </w:rPr>
      </w:pPr>
      <w:r>
        <w:rPr>
          <w:rFonts w:ascii="宋体" w:hAnsi="宋体" w:cs="宋体" w:eastAsia="宋体" w:hint="default"/>
        </w:rPr>
        <w:t>公司监事会对报告期内的监督事项无异议。</w:t>
      </w:r>
    </w:p>
    <w:p>
      <w:pPr>
        <w:pStyle w:val="BodyText"/>
        <w:spacing w:line="285" w:lineRule="auto" w:before="157"/>
        <w:ind w:left="1190" w:right="1325"/>
        <w:jc w:val="both"/>
        <w:rPr>
          <w:rFonts w:ascii="宋体" w:hAnsi="宋体" w:cs="宋体" w:eastAsia="宋体" w:hint="default"/>
        </w:rPr>
      </w:pPr>
      <w:r>
        <w:rPr>
          <w:rFonts w:ascii="宋体" w:hAnsi="宋体" w:cs="宋体" w:eastAsia="宋体" w:hint="default"/>
        </w:rPr>
        <w:t>本公司监事会由</w:t>
      </w:r>
      <w:r>
        <w:rPr>
          <w:rFonts w:ascii="宋体" w:hAnsi="宋体" w:cs="宋体" w:eastAsia="宋体" w:hint="default"/>
          <w:spacing w:val="-44"/>
        </w:rPr>
        <w:t> </w:t>
      </w:r>
      <w:r>
        <w:rPr>
          <w:rFonts w:ascii="宋体" w:hAnsi="宋体" w:cs="宋体" w:eastAsia="宋体" w:hint="default"/>
        </w:rPr>
        <w:t>3</w:t>
      </w:r>
      <w:r>
        <w:rPr>
          <w:rFonts w:ascii="宋体" w:hAnsi="宋体" w:cs="宋体" w:eastAsia="宋体" w:hint="default"/>
          <w:spacing w:val="-44"/>
        </w:rPr>
        <w:t> </w:t>
      </w:r>
      <w:r>
        <w:rPr>
          <w:rFonts w:ascii="宋体" w:hAnsi="宋体" w:cs="宋体" w:eastAsia="宋体" w:hint="default"/>
          <w:spacing w:val="-3"/>
        </w:rPr>
        <w:t>人组成，其中职工代表监事</w:t>
      </w:r>
      <w:r>
        <w:rPr>
          <w:rFonts w:ascii="宋体" w:hAnsi="宋体" w:cs="宋体" w:eastAsia="宋体" w:hint="default"/>
          <w:spacing w:val="-44"/>
        </w:rPr>
        <w:t> </w:t>
      </w:r>
      <w:r>
        <w:rPr>
          <w:rFonts w:ascii="宋体" w:hAnsi="宋体" w:cs="宋体" w:eastAsia="宋体" w:hint="default"/>
        </w:rPr>
        <w:t>1</w:t>
      </w:r>
      <w:r>
        <w:rPr>
          <w:rFonts w:ascii="宋体" w:hAnsi="宋体" w:cs="宋体" w:eastAsia="宋体" w:hint="default"/>
          <w:spacing w:val="-44"/>
        </w:rPr>
        <w:t> </w:t>
      </w:r>
      <w:r>
        <w:rPr>
          <w:rFonts w:ascii="宋体" w:hAnsi="宋体" w:cs="宋体" w:eastAsia="宋体" w:hint="default"/>
          <w:spacing w:val="-4"/>
        </w:rPr>
        <w:t>人。监事会的人数和人员构成符合相关法律法规和《公司章程》的要求。</w:t>
      </w:r>
      <w:r>
        <w:rPr>
          <w:rFonts w:ascii="宋体" w:hAnsi="宋体" w:cs="宋体" w:eastAsia="宋体" w:hint="default"/>
          <w:spacing w:val="-87"/>
        </w:rPr>
        <w:t> </w:t>
      </w:r>
      <w:r>
        <w:rPr>
          <w:rFonts w:ascii="宋体" w:hAnsi="宋体" w:cs="宋体" w:eastAsia="宋体" w:hint="default"/>
          <w:spacing w:val="-87"/>
        </w:rPr>
      </w:r>
      <w:r>
        <w:rPr>
          <w:rFonts w:ascii="宋体" w:hAnsi="宋体" w:cs="宋体" w:eastAsia="宋体" w:hint="default"/>
          <w:spacing w:val="-3"/>
        </w:rPr>
        <w:t>公司监事会的职权包括审核董事会编制的定期报告、检查公司财务、监督公司董事及高级管理人员执行公司职务的行为，</w:t>
      </w:r>
      <w:r>
        <w:rPr>
          <w:rFonts w:ascii="宋体" w:hAnsi="宋体" w:cs="宋体" w:eastAsia="宋体" w:hint="default"/>
          <w:spacing w:val="-85"/>
        </w:rPr>
        <w:t> </w:t>
      </w:r>
      <w:r>
        <w:rPr>
          <w:rFonts w:ascii="宋体" w:hAnsi="宋体" w:cs="宋体" w:eastAsia="宋体" w:hint="default"/>
          <w:spacing w:val="-85"/>
        </w:rPr>
      </w:r>
      <w:r>
        <w:rPr>
          <w:rFonts w:ascii="宋体" w:hAnsi="宋体" w:cs="宋体" w:eastAsia="宋体" w:hint="default"/>
        </w:rPr>
        <w:t>防止滥用权力或损害公司利益等。</w:t>
      </w:r>
    </w:p>
    <w:p>
      <w:pPr>
        <w:pStyle w:val="BodyText"/>
        <w:spacing w:line="285" w:lineRule="auto" w:before="123"/>
        <w:ind w:left="1190" w:right="1411"/>
        <w:jc w:val="both"/>
        <w:rPr>
          <w:rFonts w:ascii="宋体" w:hAnsi="宋体" w:cs="宋体" w:eastAsia="宋体" w:hint="default"/>
        </w:rPr>
      </w:pPr>
      <w:r>
        <w:rPr>
          <w:rFonts w:ascii="宋体" w:hAnsi="宋体" w:cs="宋体" w:eastAsia="宋体" w:hint="default"/>
        </w:rPr>
        <w:t>报告期内，监事会严格按照有关法律法规和本公司《公司章程》《监事会议事规则》的规定召开会议、出席股东大会</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和列席董事会，共召开</w:t>
      </w:r>
      <w:r>
        <w:rPr>
          <w:rFonts w:ascii="宋体" w:hAnsi="宋体" w:cs="宋体" w:eastAsia="宋体" w:hint="default"/>
          <w:spacing w:val="-9"/>
        </w:rPr>
        <w:t> </w:t>
      </w:r>
      <w:r>
        <w:rPr>
          <w:rFonts w:ascii="宋体" w:hAnsi="宋体" w:cs="宋体" w:eastAsia="宋体" w:hint="default"/>
        </w:rPr>
        <w:t>7</w:t>
      </w:r>
      <w:r>
        <w:rPr>
          <w:rFonts w:ascii="宋体" w:hAnsi="宋体" w:cs="宋体" w:eastAsia="宋体" w:hint="default"/>
          <w:spacing w:val="-9"/>
        </w:rPr>
        <w:t> </w:t>
      </w:r>
      <w:r>
        <w:rPr>
          <w:rFonts w:ascii="宋体" w:hAnsi="宋体" w:cs="宋体" w:eastAsia="宋体" w:hint="default"/>
        </w:rPr>
        <w:t>次监事会会议。公司监事能够认真履行自己的职责，依法、独立地对公司生产经营情况、限</w:t>
      </w:r>
      <w:r>
        <w:rPr>
          <w:rFonts w:ascii="宋体" w:hAnsi="宋体" w:cs="宋体" w:eastAsia="宋体" w:hint="default"/>
          <w:spacing w:val="-65"/>
        </w:rPr>
        <w:t> </w:t>
      </w:r>
      <w:r>
        <w:rPr>
          <w:rFonts w:ascii="宋体" w:hAnsi="宋体" w:cs="宋体" w:eastAsia="宋体" w:hint="default"/>
          <w:spacing w:val="-65"/>
        </w:rPr>
      </w:r>
      <w:r>
        <w:rPr>
          <w:rFonts w:ascii="宋体" w:hAnsi="宋体" w:cs="宋体" w:eastAsia="宋体" w:hint="default"/>
        </w:rPr>
        <w:t>制性股票激励计划相关事项、财务状况、关联交易情况、公司内部控制评价报告、公司现金分红、非公开发行募集资</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rPr>
        <w:t>金相关事项、公司董事和高级管理人员履行职责的合法性、合规性等事项进行监督，充分维护公司及全体股东的合法</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权益。</w:t>
      </w:r>
    </w:p>
    <w:p>
      <w:pPr>
        <w:spacing w:line="240" w:lineRule="auto" w:before="6"/>
        <w:rPr>
          <w:rFonts w:ascii="宋体" w:hAnsi="宋体" w:cs="宋体" w:eastAsia="宋体" w:hint="default"/>
          <w:sz w:val="22"/>
          <w:szCs w:val="22"/>
        </w:rPr>
      </w:pPr>
    </w:p>
    <w:p>
      <w:pPr>
        <w:pStyle w:val="BodyText"/>
        <w:spacing w:line="304" w:lineRule="auto"/>
        <w:ind w:left="850" w:right="1322"/>
        <w:jc w:val="left"/>
        <w:rPr>
          <w:rFonts w:ascii="宋体" w:hAnsi="宋体" w:cs="宋体" w:eastAsia="宋体" w:hint="default"/>
        </w:rPr>
      </w:pPr>
      <w:r>
        <w:rPr>
          <w:rFonts w:ascii="宋体" w:hAnsi="宋体" w:cs="宋体" w:eastAsia="宋体" w:hint="default"/>
          <w:color w:val="D7000F"/>
        </w:rPr>
        <w:t>六、公司就其与控股股东在业务、人员、资产、机构、财务等方面存在的不能保证独立性、不能保持自主经营能力的情况</w:t>
      </w:r>
      <w:r>
        <w:rPr>
          <w:rFonts w:ascii="宋体" w:hAnsi="宋体" w:cs="宋体" w:eastAsia="宋体" w:hint="default"/>
          <w:color w:val="D7000F"/>
          <w:spacing w:val="3"/>
        </w:rPr>
        <w:t> </w:t>
      </w:r>
      <w:r>
        <w:rPr>
          <w:rFonts w:ascii="宋体" w:hAnsi="宋体" w:cs="宋体" w:eastAsia="宋体" w:hint="default"/>
          <w:color w:val="D7000F"/>
          <w:spacing w:val="3"/>
        </w:rPr>
      </w:r>
      <w:r>
        <w:rPr>
          <w:rFonts w:ascii="宋体" w:hAnsi="宋体" w:cs="宋体" w:eastAsia="宋体" w:hint="default"/>
          <w:color w:val="D7000F"/>
        </w:rPr>
        <w:t>说明</w:t>
      </w:r>
      <w:r>
        <w:rPr>
          <w:rFonts w:ascii="宋体" w:hAnsi="宋体" w:cs="宋体" w:eastAsia="宋体" w:hint="default"/>
        </w:rPr>
      </w:r>
    </w:p>
    <w:p>
      <w:pPr>
        <w:spacing w:line="240" w:lineRule="auto" w:before="3"/>
        <w:rPr>
          <w:rFonts w:ascii="宋体" w:hAnsi="宋体" w:cs="宋体" w:eastAsia="宋体" w:hint="default"/>
          <w:sz w:val="14"/>
          <w:szCs w:val="14"/>
        </w:rPr>
      </w:pPr>
    </w:p>
    <w:p>
      <w:pPr>
        <w:pStyle w:val="BodyText"/>
        <w:spacing w:line="285" w:lineRule="auto"/>
        <w:ind w:left="1190" w:right="1414"/>
        <w:jc w:val="both"/>
        <w:rPr>
          <w:rFonts w:ascii="宋体" w:hAnsi="宋体" w:cs="宋体" w:eastAsia="宋体" w:hint="default"/>
        </w:rPr>
      </w:pPr>
      <w:r>
        <w:rPr>
          <w:rFonts w:ascii="宋体" w:hAnsi="宋体" w:cs="宋体" w:eastAsia="宋体" w:hint="default"/>
        </w:rPr>
        <w:t>公司控股股东严格规范自己行为，依法行使股东权利，承担义务。公司与控股股东在业务、人员、资产、机构、财务</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等方面均保持独立性。</w:t>
      </w:r>
    </w:p>
    <w:p>
      <w:pPr>
        <w:pStyle w:val="BodyText"/>
        <w:spacing w:line="285" w:lineRule="auto" w:before="123"/>
        <w:ind w:left="1190" w:right="1415"/>
        <w:jc w:val="both"/>
        <w:rPr>
          <w:rFonts w:ascii="宋体" w:hAnsi="宋体" w:cs="宋体" w:eastAsia="宋体" w:hint="default"/>
        </w:rPr>
      </w:pPr>
      <w:r>
        <w:rPr>
          <w:rFonts w:ascii="宋体" w:hAnsi="宋体" w:cs="宋体" w:eastAsia="宋体" w:hint="default"/>
          <w:spacing w:val="-1"/>
          <w:w w:val="100"/>
        </w:rPr>
        <w:t>1．由于本公司的经营范围仅限于通过联通</w:t>
      </w:r>
      <w:r>
        <w:rPr>
          <w:rFonts w:ascii="宋体" w:hAnsi="宋体" w:cs="宋体" w:eastAsia="宋体" w:hint="default"/>
          <w:spacing w:val="-42"/>
          <w:w w:val="100"/>
        </w:rPr>
        <w:t> </w:t>
      </w:r>
      <w:r>
        <w:rPr>
          <w:rFonts w:ascii="宋体" w:hAnsi="宋体" w:cs="宋体" w:eastAsia="宋体" w:hint="default"/>
          <w:w w:val="103"/>
        </w:rPr>
        <w:t>BVI</w:t>
      </w:r>
      <w:r>
        <w:rPr>
          <w:rFonts w:ascii="宋体" w:hAnsi="宋体" w:cs="宋体" w:eastAsia="宋体" w:hint="default"/>
          <w:spacing w:val="-45"/>
          <w:w w:val="103"/>
        </w:rPr>
        <w:t> </w:t>
      </w:r>
      <w:r>
        <w:rPr>
          <w:rFonts w:ascii="宋体" w:hAnsi="宋体" w:cs="宋体" w:eastAsia="宋体" w:hint="default"/>
        </w:rPr>
        <w:t>公司持有联通红筹公司的股权，而不直接经营任何其它业务，因此业务</w:t>
      </w:r>
      <w:r>
        <w:rPr>
          <w:rFonts w:ascii="宋体" w:hAnsi="宋体" w:cs="宋体" w:eastAsia="宋体" w:hint="default"/>
        </w:rPr>
        <w:t> 界面完全独立于控股股东。</w:t>
      </w:r>
    </w:p>
    <w:p>
      <w:pPr>
        <w:spacing w:after="0" w:line="285" w:lineRule="auto"/>
        <w:jc w:val="both"/>
        <w:rPr>
          <w:rFonts w:ascii="宋体" w:hAnsi="宋体" w:cs="宋体" w:eastAsia="宋体" w:hint="default"/>
        </w:rPr>
        <w:sectPr>
          <w:pgSz w:w="11910" w:h="16160"/>
          <w:pgMar w:header="0" w:footer="2578" w:top="2240" w:bottom="276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6"/>
          <w:szCs w:val="26"/>
        </w:rPr>
      </w:pPr>
    </w:p>
    <w:p>
      <w:pPr>
        <w:pStyle w:val="BodyText"/>
        <w:spacing w:line="285" w:lineRule="auto" w:before="31"/>
        <w:ind w:left="1757" w:right="849"/>
        <w:jc w:val="both"/>
        <w:rPr>
          <w:rFonts w:ascii="宋体" w:hAnsi="宋体" w:cs="宋体" w:eastAsia="宋体" w:hint="default"/>
        </w:rPr>
      </w:pPr>
      <w:r>
        <w:rPr>
          <w:rFonts w:ascii="宋体" w:hAnsi="宋体" w:cs="宋体" w:eastAsia="宋体" w:hint="default"/>
        </w:rPr>
        <w:t>2．除公司现任总裁、高级副总裁及首席财务官在联通集团兼职外（有关兼职情况详见第八节董事、监事、高级管理人</w:t>
      </w:r>
      <w:r>
        <w:rPr>
          <w:rFonts w:ascii="宋体" w:hAnsi="宋体" w:cs="宋体" w:eastAsia="宋体" w:hint="default"/>
          <w:spacing w:val="-82"/>
        </w:rPr>
        <w:t> </w:t>
      </w:r>
      <w:r>
        <w:rPr>
          <w:rFonts w:ascii="宋体" w:hAnsi="宋体" w:cs="宋体" w:eastAsia="宋体" w:hint="default"/>
          <w:spacing w:val="-82"/>
        </w:rPr>
      </w:r>
      <w:r>
        <w:rPr>
          <w:rFonts w:ascii="宋体" w:hAnsi="宋体" w:cs="宋体" w:eastAsia="宋体" w:hint="default"/>
        </w:rPr>
        <w:t>员和员工情况之二（一）在股东单位任职情况），公司其他高级管理人员均相对控股股东独立配置。</w:t>
      </w:r>
    </w:p>
    <w:p>
      <w:pPr>
        <w:pStyle w:val="BodyText"/>
        <w:spacing w:line="240" w:lineRule="auto" w:before="123"/>
        <w:ind w:left="1757" w:right="0"/>
        <w:jc w:val="both"/>
        <w:rPr>
          <w:rFonts w:ascii="宋体" w:hAnsi="宋体" w:cs="宋体" w:eastAsia="宋体" w:hint="default"/>
        </w:rPr>
      </w:pPr>
      <w:r>
        <w:rPr>
          <w:rFonts w:ascii="宋体" w:hAnsi="宋体" w:cs="宋体" w:eastAsia="宋体" w:hint="default"/>
        </w:rPr>
        <w:t>3．公司所拥有的资产具有完备的所有权和管理权。</w:t>
      </w:r>
    </w:p>
    <w:p>
      <w:pPr>
        <w:pStyle w:val="BodyText"/>
        <w:spacing w:line="240" w:lineRule="auto" w:before="157"/>
        <w:ind w:left="1757" w:right="0"/>
        <w:jc w:val="both"/>
        <w:rPr>
          <w:rFonts w:ascii="宋体" w:hAnsi="宋体" w:cs="宋体" w:eastAsia="宋体" w:hint="default"/>
        </w:rPr>
      </w:pPr>
      <w:r>
        <w:rPr>
          <w:rFonts w:ascii="宋体" w:hAnsi="宋体" w:cs="宋体" w:eastAsia="宋体" w:hint="default"/>
        </w:rPr>
        <w:t>4．公司股东会、董事会、监事会和内部机构均相对控股股东独立运作。</w:t>
      </w:r>
    </w:p>
    <w:p>
      <w:pPr>
        <w:pStyle w:val="BodyText"/>
        <w:spacing w:line="240" w:lineRule="auto" w:before="157"/>
        <w:ind w:left="1757" w:right="0"/>
        <w:jc w:val="both"/>
        <w:rPr>
          <w:rFonts w:ascii="宋体" w:hAnsi="宋体" w:cs="宋体" w:eastAsia="宋体" w:hint="default"/>
        </w:rPr>
      </w:pPr>
      <w:r>
        <w:rPr>
          <w:rFonts w:ascii="宋体" w:hAnsi="宋体" w:cs="宋体" w:eastAsia="宋体" w:hint="default"/>
        </w:rPr>
        <w:t>5．公司严格按照相关法规要求独立进行会计核算和财务管理，未发现控股股东非经营性占用公司资金和资产的情况。</w:t>
      </w:r>
    </w:p>
    <w:p>
      <w:pPr>
        <w:spacing w:line="240" w:lineRule="auto" w:before="1"/>
        <w:rPr>
          <w:rFonts w:ascii="宋体" w:hAnsi="宋体" w:cs="宋体" w:eastAsia="宋体" w:hint="default"/>
          <w:sz w:val="25"/>
          <w:szCs w:val="25"/>
        </w:rPr>
      </w:pPr>
    </w:p>
    <w:p>
      <w:pPr>
        <w:pStyle w:val="BodyText"/>
        <w:spacing w:line="240" w:lineRule="auto"/>
        <w:ind w:left="1417" w:right="764"/>
        <w:jc w:val="left"/>
        <w:rPr>
          <w:rFonts w:ascii="宋体" w:hAnsi="宋体" w:cs="宋体" w:eastAsia="宋体" w:hint="default"/>
        </w:rPr>
      </w:pPr>
      <w:r>
        <w:rPr>
          <w:rFonts w:ascii="宋体" w:hAnsi="宋体" w:cs="宋体" w:eastAsia="宋体" w:hint="default"/>
          <w:color w:val="D7000F"/>
        </w:rPr>
        <w:t>七、报告期内对高级管理人员的考评机制，以及激励机制的建立、实施情况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1757" w:right="848"/>
        <w:jc w:val="both"/>
        <w:rPr>
          <w:rFonts w:ascii="宋体" w:hAnsi="宋体" w:cs="宋体" w:eastAsia="宋体" w:hint="default"/>
        </w:rPr>
      </w:pPr>
      <w:r>
        <w:rPr>
          <w:rFonts w:ascii="宋体" w:hAnsi="宋体" w:cs="宋体" w:eastAsia="宋体" w:hint="default"/>
        </w:rPr>
        <w:t>2018</w:t>
      </w:r>
      <w:r>
        <w:rPr>
          <w:rFonts w:ascii="宋体" w:hAnsi="宋体" w:cs="宋体" w:eastAsia="宋体" w:hint="default"/>
          <w:spacing w:val="-27"/>
        </w:rPr>
        <w:t> </w:t>
      </w:r>
      <w:r>
        <w:rPr>
          <w:rFonts w:ascii="宋体" w:hAnsi="宋体" w:cs="宋体" w:eastAsia="宋体" w:hint="default"/>
        </w:rPr>
        <w:t>年度，公司依据业绩合同及经营业绩完成情况，对公司高级管理人员进行履职考核，并依据业绩考核办法确定公</w:t>
      </w:r>
      <w:r>
        <w:rPr>
          <w:rFonts w:ascii="宋体" w:hAnsi="宋体" w:cs="宋体" w:eastAsia="宋体" w:hint="default"/>
          <w:spacing w:val="-73"/>
        </w:rPr>
        <w:t> </w:t>
      </w:r>
      <w:r>
        <w:rPr>
          <w:rFonts w:ascii="宋体" w:hAnsi="宋体" w:cs="宋体" w:eastAsia="宋体" w:hint="default"/>
          <w:spacing w:val="-73"/>
        </w:rPr>
      </w:r>
      <w:r>
        <w:rPr>
          <w:rFonts w:ascii="宋体" w:hAnsi="宋体" w:cs="宋体" w:eastAsia="宋体" w:hint="default"/>
        </w:rPr>
        <w:t>司高级管理人员薪酬水平。</w:t>
      </w:r>
    </w:p>
    <w:p>
      <w:pPr>
        <w:spacing w:line="240" w:lineRule="auto" w:before="6"/>
        <w:rPr>
          <w:rFonts w:ascii="宋体" w:hAnsi="宋体" w:cs="宋体" w:eastAsia="宋体" w:hint="default"/>
          <w:sz w:val="22"/>
          <w:szCs w:val="22"/>
        </w:rPr>
      </w:pPr>
    </w:p>
    <w:p>
      <w:pPr>
        <w:pStyle w:val="BodyText"/>
        <w:spacing w:line="240" w:lineRule="auto"/>
        <w:ind w:left="1417" w:right="764"/>
        <w:jc w:val="left"/>
        <w:rPr>
          <w:rFonts w:ascii="宋体" w:hAnsi="宋体" w:cs="宋体" w:eastAsia="宋体" w:hint="default"/>
        </w:rPr>
      </w:pPr>
      <w:r>
        <w:rPr>
          <w:rFonts w:ascii="宋体" w:hAnsi="宋体" w:cs="宋体" w:eastAsia="宋体" w:hint="default"/>
          <w:color w:val="D7000F"/>
        </w:rPr>
        <w:t>八、是否披露内部控制自我评价报告</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1757" w:right="846"/>
        <w:jc w:val="both"/>
        <w:rPr>
          <w:rFonts w:ascii="宋体" w:hAnsi="宋体" w:cs="宋体" w:eastAsia="宋体" w:hint="default"/>
        </w:rPr>
      </w:pPr>
      <w:r>
        <w:rPr>
          <w:rFonts w:ascii="宋体" w:hAnsi="宋体" w:cs="宋体" w:eastAsia="宋体" w:hint="default"/>
        </w:rPr>
        <w:t>根据《企业内部控制基本规范》及其配套指引的规定和其他内部控制监管要求（以下简称企业内部控制规范体系），</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spacing w:val="2"/>
        </w:rPr>
        <w:t>结合公司内部控制制度和评价办法，在内部控制日常监督和专项监督的基础上，我们对公司</w:t>
      </w:r>
      <w:r>
        <w:rPr>
          <w:rFonts w:ascii="宋体" w:hAnsi="宋体" w:cs="宋体" w:eastAsia="宋体" w:hint="default"/>
          <w:spacing w:val="-29"/>
        </w:rPr>
        <w:t> </w:t>
      </w:r>
      <w:r>
        <w:rPr>
          <w:rFonts w:ascii="宋体" w:hAnsi="宋体" w:cs="宋体" w:eastAsia="宋体" w:hint="default"/>
        </w:rPr>
        <w:t>2018</w:t>
      </w:r>
      <w:r>
        <w:rPr>
          <w:rFonts w:ascii="宋体" w:hAnsi="宋体" w:cs="宋体" w:eastAsia="宋体" w:hint="default"/>
          <w:spacing w:val="-29"/>
        </w:rPr>
        <w:t> </w:t>
      </w:r>
      <w:r>
        <w:rPr>
          <w:rFonts w:ascii="宋体" w:hAnsi="宋体" w:cs="宋体" w:eastAsia="宋体" w:hint="default"/>
        </w:rPr>
        <w:t>年</w:t>
      </w:r>
      <w:r>
        <w:rPr>
          <w:rFonts w:ascii="宋体" w:hAnsi="宋体" w:cs="宋体" w:eastAsia="宋体" w:hint="default"/>
          <w:spacing w:val="-29"/>
        </w:rPr>
        <w:t> </w:t>
      </w:r>
      <w:r>
        <w:rPr>
          <w:rFonts w:ascii="宋体" w:hAnsi="宋体" w:cs="宋体" w:eastAsia="宋体" w:hint="default"/>
        </w:rPr>
        <w:t>12</w:t>
      </w:r>
      <w:r>
        <w:rPr>
          <w:rFonts w:ascii="宋体" w:hAnsi="宋体" w:cs="宋体" w:eastAsia="宋体" w:hint="default"/>
          <w:spacing w:val="-29"/>
        </w:rPr>
        <w:t> </w:t>
      </w:r>
      <w:r>
        <w:rPr>
          <w:rFonts w:ascii="宋体" w:hAnsi="宋体" w:cs="宋体" w:eastAsia="宋体" w:hint="default"/>
        </w:rPr>
        <w:t>月</w:t>
      </w:r>
      <w:r>
        <w:rPr>
          <w:rFonts w:ascii="宋体" w:hAnsi="宋体" w:cs="宋体" w:eastAsia="宋体" w:hint="default"/>
          <w:spacing w:val="-29"/>
        </w:rPr>
        <w:t> </w:t>
      </w:r>
      <w:r>
        <w:rPr>
          <w:rFonts w:ascii="宋体" w:hAnsi="宋体" w:cs="宋体" w:eastAsia="宋体" w:hint="default"/>
        </w:rPr>
        <w:t>31</w:t>
      </w:r>
      <w:r>
        <w:rPr>
          <w:rFonts w:ascii="宋体" w:hAnsi="宋体" w:cs="宋体" w:eastAsia="宋体" w:hint="default"/>
          <w:spacing w:val="-29"/>
        </w:rPr>
        <w:t> </w:t>
      </w:r>
      <w:r>
        <w:rPr>
          <w:rFonts w:ascii="宋体" w:hAnsi="宋体" w:cs="宋体" w:eastAsia="宋体" w:hint="default"/>
        </w:rPr>
        <w:t>日（内</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rPr>
        <w:t>部控制评价报告基准日）的内部控制有效性进行了评价。</w:t>
      </w:r>
    </w:p>
    <w:p>
      <w:pPr>
        <w:pStyle w:val="BodyText"/>
        <w:spacing w:line="240" w:lineRule="auto" w:before="123"/>
        <w:ind w:left="1757" w:right="0"/>
        <w:jc w:val="both"/>
        <w:rPr>
          <w:rFonts w:ascii="宋体" w:hAnsi="宋体" w:cs="宋体" w:eastAsia="宋体" w:hint="default"/>
        </w:rPr>
      </w:pPr>
      <w:r>
        <w:rPr>
          <w:rFonts w:ascii="宋体" w:hAnsi="宋体" w:cs="宋体" w:eastAsia="宋体" w:hint="default"/>
        </w:rPr>
        <w:t>公司《2018</w:t>
      </w:r>
      <w:r>
        <w:rPr>
          <w:rFonts w:ascii="宋体" w:hAnsi="宋体" w:cs="宋体" w:eastAsia="宋体" w:hint="default"/>
          <w:spacing w:val="-7"/>
        </w:rPr>
        <w:t> </w:t>
      </w:r>
      <w:r>
        <w:rPr>
          <w:rFonts w:ascii="宋体" w:hAnsi="宋体" w:cs="宋体" w:eastAsia="宋体" w:hint="default"/>
        </w:rPr>
        <w:t>年度内部控制评价报告》有关内部控制自我评价的结论如下：</w:t>
      </w:r>
    </w:p>
    <w:p>
      <w:pPr>
        <w:pStyle w:val="BodyText"/>
        <w:spacing w:line="285" w:lineRule="auto" w:before="157"/>
        <w:ind w:left="1757" w:right="842"/>
        <w:jc w:val="both"/>
        <w:rPr>
          <w:rFonts w:ascii="宋体" w:hAnsi="宋体" w:cs="宋体" w:eastAsia="宋体" w:hint="default"/>
        </w:rPr>
      </w:pPr>
      <w:r>
        <w:rPr>
          <w:rFonts w:ascii="宋体" w:hAnsi="宋体" w:cs="宋体" w:eastAsia="宋体" w:hint="default"/>
        </w:rPr>
        <w:t>根据公司财务报告内部控制重大缺陷的认定情况，于内部控制评价报告基准日，不存在财务报告内部控制重大缺陷，</w:t>
      </w:r>
      <w:r>
        <w:rPr>
          <w:rFonts w:ascii="宋体" w:hAnsi="宋体" w:cs="宋体" w:eastAsia="宋体" w:hint="default"/>
          <w:spacing w:val="3"/>
        </w:rPr>
        <w:t> </w:t>
      </w:r>
      <w:r>
        <w:rPr>
          <w:rFonts w:ascii="宋体" w:hAnsi="宋体" w:cs="宋体" w:eastAsia="宋体" w:hint="default"/>
          <w:spacing w:val="3"/>
        </w:rPr>
      </w:r>
      <w:r>
        <w:rPr>
          <w:rFonts w:ascii="宋体" w:hAnsi="宋体" w:cs="宋体" w:eastAsia="宋体" w:hint="default"/>
        </w:rPr>
        <w:t>董事会认为，公司已按照企业内部控制规范体系和相关规定的要求在所有重大方面保持了有效的财务报告内部控制。</w:t>
      </w:r>
    </w:p>
    <w:p>
      <w:pPr>
        <w:pStyle w:val="BodyText"/>
        <w:spacing w:line="285" w:lineRule="auto" w:before="123"/>
        <w:ind w:left="1757" w:right="842"/>
        <w:jc w:val="both"/>
        <w:rPr>
          <w:rFonts w:ascii="宋体" w:hAnsi="宋体" w:cs="宋体" w:eastAsia="宋体" w:hint="default"/>
        </w:rPr>
      </w:pPr>
      <w:r>
        <w:rPr>
          <w:rFonts w:ascii="宋体" w:hAnsi="宋体" w:cs="宋体" w:eastAsia="宋体" w:hint="default"/>
        </w:rPr>
        <w:t>根据公司非财务报告内部控制重大缺陷认定情况，于内部控制评价报告基准日，公司未发现非财务报告内部控制重大</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缺陷。</w:t>
      </w:r>
    </w:p>
    <w:p>
      <w:pPr>
        <w:pStyle w:val="BodyText"/>
        <w:spacing w:line="240" w:lineRule="auto" w:before="123"/>
        <w:ind w:left="1757" w:right="0"/>
        <w:jc w:val="both"/>
        <w:rPr>
          <w:rFonts w:ascii="宋体" w:hAnsi="宋体" w:cs="宋体" w:eastAsia="宋体" w:hint="default"/>
        </w:rPr>
      </w:pPr>
      <w:r>
        <w:rPr>
          <w:rFonts w:ascii="宋体" w:hAnsi="宋体" w:cs="宋体" w:eastAsia="宋体" w:hint="default"/>
        </w:rPr>
        <w:t>自内部控制评价报告基准日至内部控制评价报告发出日之间未发生影响内部控制有效性评价结论的因素。</w:t>
      </w:r>
    </w:p>
    <w:p>
      <w:pPr>
        <w:pStyle w:val="BodyText"/>
        <w:spacing w:line="285" w:lineRule="auto" w:before="157"/>
        <w:ind w:left="1757" w:right="848"/>
        <w:jc w:val="both"/>
        <w:rPr>
          <w:rFonts w:ascii="宋体" w:hAnsi="宋体" w:cs="宋体" w:eastAsia="宋体" w:hint="default"/>
        </w:rPr>
      </w:pPr>
      <w:r>
        <w:rPr>
          <w:rFonts w:ascii="宋体" w:hAnsi="宋体" w:cs="宋体" w:eastAsia="宋体" w:hint="default"/>
        </w:rPr>
        <w:t>本公司聘请的毕马威华振会计师事务所（特殊普通合伙）出具的内部控制审计意见与公司对内部控制有效性的评价结</w:t>
      </w:r>
      <w:r>
        <w:rPr>
          <w:rFonts w:ascii="宋体" w:hAnsi="宋体" w:cs="宋体" w:eastAsia="宋体" w:hint="default"/>
          <w:spacing w:val="6"/>
        </w:rPr>
        <w:t> </w:t>
      </w:r>
      <w:r>
        <w:rPr>
          <w:rFonts w:ascii="宋体" w:hAnsi="宋体" w:cs="宋体" w:eastAsia="宋体" w:hint="default"/>
          <w:spacing w:val="6"/>
        </w:rPr>
      </w:r>
      <w:r>
        <w:rPr>
          <w:rFonts w:ascii="宋体" w:hAnsi="宋体" w:cs="宋体" w:eastAsia="宋体" w:hint="default"/>
        </w:rPr>
        <w:t>论一致。</w:t>
      </w:r>
    </w:p>
    <w:p>
      <w:pPr>
        <w:pStyle w:val="BodyText"/>
        <w:spacing w:line="285" w:lineRule="auto" w:before="123"/>
        <w:ind w:left="1757" w:right="845"/>
        <w:jc w:val="both"/>
        <w:rPr>
          <w:rFonts w:ascii="宋体" w:hAnsi="宋体" w:cs="宋体" w:eastAsia="宋体" w:hint="default"/>
        </w:rPr>
      </w:pPr>
      <w:r>
        <w:rPr>
          <w:rFonts w:ascii="宋体" w:hAnsi="宋体" w:cs="宋体" w:eastAsia="宋体" w:hint="default"/>
          <w:spacing w:val="1"/>
        </w:rPr>
        <w:t>公</w:t>
      </w:r>
      <w:r>
        <w:rPr>
          <w:rFonts w:ascii="宋体" w:hAnsi="宋体" w:cs="宋体" w:eastAsia="宋体" w:hint="default"/>
        </w:rPr>
        <w:t>司《</w:t>
      </w:r>
      <w:r>
        <w:rPr>
          <w:rFonts w:ascii="宋体" w:hAnsi="宋体" w:cs="宋体" w:eastAsia="宋体" w:hint="default"/>
          <w:spacing w:val="-1"/>
          <w:w w:val="111"/>
        </w:rPr>
        <w:t>201</w:t>
      </w:r>
      <w:r>
        <w:rPr>
          <w:rFonts w:ascii="宋体" w:hAnsi="宋体" w:cs="宋体" w:eastAsia="宋体" w:hint="default"/>
          <w:w w:val="111"/>
        </w:rPr>
        <w:t>8</w:t>
      </w:r>
      <w:r>
        <w:rPr>
          <w:rFonts w:ascii="宋体" w:hAnsi="宋体" w:cs="宋体" w:eastAsia="宋体" w:hint="default"/>
          <w:spacing w:val="-45"/>
        </w:rPr>
        <w:t> </w:t>
      </w:r>
      <w:r>
        <w:rPr>
          <w:rFonts w:ascii="宋体" w:hAnsi="宋体" w:cs="宋体" w:eastAsia="宋体" w:hint="default"/>
          <w:spacing w:val="1"/>
        </w:rPr>
        <w:t>年度内部控制评价报</w:t>
      </w:r>
      <w:r>
        <w:rPr>
          <w:rFonts w:ascii="宋体" w:hAnsi="宋体" w:cs="宋体" w:eastAsia="宋体" w:hint="default"/>
        </w:rPr>
        <w:t>告</w:t>
      </w:r>
      <w:r>
        <w:rPr>
          <w:rFonts w:ascii="宋体" w:hAnsi="宋体" w:cs="宋体" w:eastAsia="宋体" w:hint="default"/>
          <w:spacing w:val="1"/>
        </w:rPr>
        <w:t>》详见本公司与本报告同日在上海证券交易所网</w:t>
      </w:r>
      <w:r>
        <w:rPr>
          <w:rFonts w:ascii="宋体" w:hAnsi="宋体" w:cs="宋体" w:eastAsia="宋体" w:hint="default"/>
        </w:rPr>
        <w:t>站（</w:t>
      </w:r>
      <w:hyperlink r:id="rId159">
        <w:r>
          <w:rPr>
            <w:rFonts w:ascii="宋体" w:hAnsi="宋体" w:cs="宋体" w:eastAsia="宋体" w:hint="default"/>
            <w:w w:val="166"/>
          </w:rPr>
          <w:t>www</w:t>
        </w:r>
        <w:r>
          <w:rPr>
            <w:rFonts w:ascii="宋体" w:hAnsi="宋体" w:cs="宋体" w:eastAsia="宋体" w:hint="default"/>
            <w:w w:val="55"/>
          </w:rPr>
          <w:t>.</w:t>
        </w:r>
        <w:r>
          <w:rPr>
            <w:rFonts w:ascii="宋体" w:hAnsi="宋体" w:cs="宋体" w:eastAsia="宋体" w:hint="default"/>
          </w:rPr>
          <w:t>ss</w:t>
        </w:r>
        <w:r>
          <w:rPr>
            <w:rFonts w:ascii="宋体" w:hAnsi="宋体" w:cs="宋体" w:eastAsia="宋体" w:hint="default"/>
            <w:spacing w:val="-1"/>
            <w:w w:val="111"/>
          </w:rPr>
          <w:t>e</w:t>
        </w:r>
        <w:r>
          <w:rPr>
            <w:rFonts w:ascii="宋体" w:hAnsi="宋体" w:cs="宋体" w:eastAsia="宋体" w:hint="default"/>
            <w:w w:val="55"/>
          </w:rPr>
          <w:t>.</w:t>
        </w:r>
        <w:r>
          <w:rPr>
            <w:rFonts w:ascii="宋体" w:hAnsi="宋体" w:cs="宋体" w:eastAsia="宋体" w:hint="default"/>
          </w:rPr>
          <w:t>c</w:t>
        </w:r>
        <w:r>
          <w:rPr>
            <w:rFonts w:ascii="宋体" w:hAnsi="宋体" w:cs="宋体" w:eastAsia="宋体" w:hint="default"/>
            <w:spacing w:val="-1"/>
            <w:w w:val="111"/>
          </w:rPr>
          <w:t>o</w:t>
        </w:r>
        <w:r>
          <w:rPr>
            <w:rFonts w:ascii="宋体" w:hAnsi="宋体" w:cs="宋体" w:eastAsia="宋体" w:hint="default"/>
            <w:spacing w:val="-1"/>
            <w:w w:val="177"/>
          </w:rPr>
          <w:t>m</w:t>
        </w:r>
        <w:r>
          <w:rPr>
            <w:rFonts w:ascii="宋体" w:hAnsi="宋体" w:cs="宋体" w:eastAsia="宋体" w:hint="default"/>
            <w:w w:val="55"/>
          </w:rPr>
          <w:t>.</w:t>
        </w:r>
        <w:r>
          <w:rPr>
            <w:rFonts w:ascii="宋体" w:hAnsi="宋体" w:cs="宋体" w:eastAsia="宋体" w:hint="default"/>
          </w:rPr>
          <w:t>c</w:t>
        </w:r>
        <w:r>
          <w:rPr>
            <w:rFonts w:ascii="宋体" w:hAnsi="宋体" w:cs="宋体" w:eastAsia="宋体" w:hint="default"/>
            <w:spacing w:val="-1"/>
            <w:w w:val="111"/>
          </w:rPr>
          <w:t>n</w:t>
        </w:r>
      </w:hyperlink>
      <w:r>
        <w:rPr>
          <w:rFonts w:ascii="宋体" w:hAnsi="宋体" w:cs="宋体" w:eastAsia="宋体" w:hint="default"/>
          <w:spacing w:val="1"/>
        </w:rPr>
        <w:t>）及本公司</w:t>
      </w:r>
      <w:r>
        <w:rPr>
          <w:rFonts w:ascii="宋体" w:hAnsi="宋体" w:cs="宋体" w:eastAsia="宋体" w:hint="default"/>
          <w:spacing w:val="1"/>
        </w:rPr>
        <w:t> </w:t>
      </w:r>
      <w:hyperlink r:id="rId52">
        <w:r>
          <w:rPr>
            <w:rFonts w:ascii="宋体" w:hAnsi="宋体" w:cs="宋体" w:eastAsia="宋体" w:hint="default"/>
            <w:w w:val="105"/>
          </w:rPr>
          <w:t>网站（www.chinaunicom-a.com）披露的相关文件。</w:t>
        </w:r>
        <w:r>
          <w:rPr>
            <w:rFonts w:ascii="宋体" w:hAnsi="宋体" w:cs="宋体" w:eastAsia="宋体" w:hint="default"/>
          </w:rPr>
        </w:r>
      </w:hyperlink>
    </w:p>
    <w:p>
      <w:pPr>
        <w:spacing w:line="240" w:lineRule="auto" w:before="6"/>
        <w:rPr>
          <w:rFonts w:ascii="宋体" w:hAnsi="宋体" w:cs="宋体" w:eastAsia="宋体" w:hint="default"/>
          <w:sz w:val="22"/>
          <w:szCs w:val="22"/>
        </w:rPr>
      </w:pPr>
    </w:p>
    <w:p>
      <w:pPr>
        <w:pStyle w:val="BodyText"/>
        <w:spacing w:line="240" w:lineRule="auto"/>
        <w:ind w:left="1417" w:right="764"/>
        <w:jc w:val="left"/>
        <w:rPr>
          <w:rFonts w:ascii="宋体" w:hAnsi="宋体" w:cs="宋体" w:eastAsia="宋体" w:hint="default"/>
        </w:rPr>
      </w:pPr>
      <w:r>
        <w:rPr>
          <w:rFonts w:ascii="宋体" w:hAnsi="宋体" w:cs="宋体" w:eastAsia="宋体" w:hint="default"/>
          <w:color w:val="D7000F"/>
        </w:rPr>
        <w:t>九、内部控制审计报告的相关情况说明</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1757" w:right="845"/>
        <w:jc w:val="both"/>
        <w:rPr>
          <w:rFonts w:ascii="宋体" w:hAnsi="宋体" w:cs="宋体" w:eastAsia="宋体" w:hint="default"/>
        </w:rPr>
      </w:pPr>
      <w:r>
        <w:rPr>
          <w:rFonts w:ascii="宋体" w:hAnsi="宋体" w:cs="宋体" w:eastAsia="宋体" w:hint="default"/>
        </w:rPr>
        <w:t>本公司聘请的毕马威华振会计师事务所（特殊普通合伙）出具了《内部控制审计报告》，认为：中国联合网络通信股</w:t>
      </w:r>
      <w:r>
        <w:rPr>
          <w:rFonts w:ascii="宋体" w:hAnsi="宋体" w:cs="宋体" w:eastAsia="宋体" w:hint="default"/>
          <w:spacing w:val="1"/>
        </w:rPr>
        <w:t> </w:t>
      </w:r>
      <w:r>
        <w:rPr>
          <w:rFonts w:ascii="宋体" w:hAnsi="宋体" w:cs="宋体" w:eastAsia="宋体" w:hint="default"/>
          <w:spacing w:val="1"/>
        </w:rPr>
      </w:r>
      <w:r>
        <w:rPr>
          <w:rFonts w:ascii="宋体" w:hAnsi="宋体" w:cs="宋体" w:eastAsia="宋体" w:hint="default"/>
          <w:spacing w:val="2"/>
        </w:rPr>
        <w:t>份有限公司于</w:t>
      </w:r>
      <w:r>
        <w:rPr>
          <w:rFonts w:ascii="宋体" w:hAnsi="宋体" w:cs="宋体" w:eastAsia="宋体" w:hint="default"/>
          <w:spacing w:val="-29"/>
        </w:rPr>
        <w:t> </w:t>
      </w:r>
      <w:r>
        <w:rPr>
          <w:rFonts w:ascii="宋体" w:hAnsi="宋体" w:cs="宋体" w:eastAsia="宋体" w:hint="default"/>
        </w:rPr>
        <w:t>2018</w:t>
      </w:r>
      <w:r>
        <w:rPr>
          <w:rFonts w:ascii="宋体" w:hAnsi="宋体" w:cs="宋体" w:eastAsia="宋体" w:hint="default"/>
          <w:spacing w:val="-29"/>
        </w:rPr>
        <w:t> </w:t>
      </w:r>
      <w:r>
        <w:rPr>
          <w:rFonts w:ascii="宋体" w:hAnsi="宋体" w:cs="宋体" w:eastAsia="宋体" w:hint="default"/>
        </w:rPr>
        <w:t>年</w:t>
      </w:r>
      <w:r>
        <w:rPr>
          <w:rFonts w:ascii="宋体" w:hAnsi="宋体" w:cs="宋体" w:eastAsia="宋体" w:hint="default"/>
          <w:spacing w:val="-29"/>
        </w:rPr>
        <w:t> </w:t>
      </w:r>
      <w:r>
        <w:rPr>
          <w:rFonts w:ascii="宋体" w:hAnsi="宋体" w:cs="宋体" w:eastAsia="宋体" w:hint="default"/>
        </w:rPr>
        <w:t>12</w:t>
      </w:r>
      <w:r>
        <w:rPr>
          <w:rFonts w:ascii="宋体" w:hAnsi="宋体" w:cs="宋体" w:eastAsia="宋体" w:hint="default"/>
          <w:spacing w:val="-29"/>
        </w:rPr>
        <w:t> </w:t>
      </w:r>
      <w:r>
        <w:rPr>
          <w:rFonts w:ascii="宋体" w:hAnsi="宋体" w:cs="宋体" w:eastAsia="宋体" w:hint="default"/>
        </w:rPr>
        <w:t>月</w:t>
      </w:r>
      <w:r>
        <w:rPr>
          <w:rFonts w:ascii="宋体" w:hAnsi="宋体" w:cs="宋体" w:eastAsia="宋体" w:hint="default"/>
          <w:spacing w:val="-29"/>
        </w:rPr>
        <w:t> </w:t>
      </w:r>
      <w:r>
        <w:rPr>
          <w:rFonts w:ascii="宋体" w:hAnsi="宋体" w:cs="宋体" w:eastAsia="宋体" w:hint="default"/>
        </w:rPr>
        <w:t>31</w:t>
      </w:r>
      <w:r>
        <w:rPr>
          <w:rFonts w:ascii="宋体" w:hAnsi="宋体" w:cs="宋体" w:eastAsia="宋体" w:hint="default"/>
          <w:spacing w:val="-29"/>
        </w:rPr>
        <w:t> </w:t>
      </w:r>
      <w:r>
        <w:rPr>
          <w:rFonts w:ascii="宋体" w:hAnsi="宋体" w:cs="宋体" w:eastAsia="宋体" w:hint="default"/>
          <w:spacing w:val="2"/>
        </w:rPr>
        <w:t>日按照《企业内部控制基本规范》和相关规定在所有重大方面保持了有效的财务报告</w:t>
      </w:r>
      <w:r>
        <w:rPr>
          <w:rFonts w:ascii="宋体" w:hAnsi="宋体" w:cs="宋体" w:eastAsia="宋体" w:hint="default"/>
          <w:spacing w:val="-81"/>
        </w:rPr>
        <w:t> </w:t>
      </w:r>
      <w:r>
        <w:rPr>
          <w:rFonts w:ascii="宋体" w:hAnsi="宋体" w:cs="宋体" w:eastAsia="宋体" w:hint="default"/>
          <w:spacing w:val="-81"/>
        </w:rPr>
      </w:r>
      <w:r>
        <w:rPr>
          <w:rFonts w:ascii="宋体" w:hAnsi="宋体" w:cs="宋体" w:eastAsia="宋体" w:hint="default"/>
        </w:rPr>
        <w:t>内部控制。</w:t>
      </w:r>
    </w:p>
    <w:p>
      <w:pPr>
        <w:pStyle w:val="BodyText"/>
        <w:spacing w:line="285" w:lineRule="auto" w:before="123"/>
        <w:ind w:left="1757" w:right="848"/>
        <w:jc w:val="both"/>
        <w:rPr>
          <w:rFonts w:ascii="宋体" w:hAnsi="宋体" w:cs="宋体" w:eastAsia="宋体" w:hint="default"/>
        </w:rPr>
      </w:pPr>
      <w:r>
        <w:rPr>
          <w:rFonts w:ascii="宋体" w:hAnsi="宋体" w:cs="宋体" w:eastAsia="宋体" w:hint="default"/>
          <w:spacing w:val="-3"/>
        </w:rPr>
        <w:t>上述《内部控制审计报告》详见本公司与本报告同日在上海证券交易所网站</w:t>
      </w:r>
      <w:hyperlink r:id="rId159">
        <w:r>
          <w:rPr>
            <w:rFonts w:ascii="宋体" w:hAnsi="宋体" w:cs="宋体" w:eastAsia="宋体" w:hint="default"/>
            <w:spacing w:val="-3"/>
          </w:rPr>
          <w:t>（www.sse.com.cn</w:t>
        </w:r>
      </w:hyperlink>
      <w:r>
        <w:rPr>
          <w:rFonts w:ascii="宋体" w:hAnsi="宋体" w:cs="宋体" w:eastAsia="宋体" w:hint="default"/>
          <w:spacing w:val="-3"/>
        </w:rPr>
        <w:t>）及本公司网站</w:t>
      </w:r>
      <w:hyperlink r:id="rId228">
        <w:r>
          <w:rPr>
            <w:rFonts w:ascii="宋体" w:hAnsi="宋体" w:cs="宋体" w:eastAsia="宋体" w:hint="default"/>
            <w:spacing w:val="-3"/>
          </w:rPr>
          <w:t>（www.</w:t>
        </w:r>
      </w:hyperlink>
      <w:r>
        <w:rPr>
          <w:rFonts w:ascii="宋体" w:hAnsi="宋体" w:cs="宋体" w:eastAsia="宋体" w:hint="default"/>
          <w:spacing w:val="27"/>
        </w:rPr>
        <w:t> </w:t>
      </w:r>
      <w:r>
        <w:rPr>
          <w:rFonts w:ascii="宋体" w:hAnsi="宋体" w:cs="宋体" w:eastAsia="宋体" w:hint="default"/>
          <w:spacing w:val="27"/>
        </w:rPr>
      </w:r>
      <w:r>
        <w:rPr>
          <w:rFonts w:ascii="宋体" w:hAnsi="宋体" w:cs="宋体" w:eastAsia="宋体" w:hint="default"/>
          <w:w w:val="105"/>
        </w:rPr>
        <w:t>chinaunicom-a.com）披露的相关文件。</w:t>
      </w:r>
      <w:r>
        <w:rPr>
          <w:rFonts w:ascii="宋体" w:hAnsi="宋体" w:cs="宋体" w:eastAsia="宋体" w:hint="default"/>
        </w:rPr>
      </w:r>
    </w:p>
    <w:p>
      <w:pPr>
        <w:spacing w:after="0" w:line="285" w:lineRule="auto"/>
        <w:jc w:val="both"/>
        <w:rPr>
          <w:rFonts w:ascii="宋体" w:hAnsi="宋体" w:cs="宋体" w:eastAsia="宋体" w:hint="default"/>
        </w:rPr>
        <w:sectPr>
          <w:pgSz w:w="11910" w:h="16160"/>
          <w:pgMar w:header="0" w:footer="1481" w:top="1460" w:bottom="1680" w:left="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1"/>
        <w:spacing w:line="1032" w:lineRule="exact"/>
        <w:ind w:left="192" w:right="95"/>
        <w:jc w:val="left"/>
      </w:pPr>
      <w:r>
        <w:rPr/>
        <w:t>公司债券</w:t>
      </w:r>
    </w:p>
    <w:p>
      <w:pPr>
        <w:spacing w:line="1204" w:lineRule="exact" w:before="0"/>
        <w:ind w:left="1849" w:right="95" w:firstLine="0"/>
        <w:jc w:val="left"/>
        <w:rPr>
          <w:rFonts w:ascii="宋体" w:hAnsi="宋体" w:cs="宋体" w:eastAsia="宋体" w:hint="default"/>
          <w:sz w:val="96"/>
          <w:szCs w:val="96"/>
        </w:rPr>
      </w:pPr>
      <w:r>
        <w:rPr>
          <w:rFonts w:ascii="宋体" w:hAnsi="宋体" w:cs="宋体" w:eastAsia="宋体" w:hint="default"/>
          <w:sz w:val="96"/>
          <w:szCs w:val="96"/>
        </w:rPr>
        <w:t>相关情况</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4"/>
          <w:szCs w:val="14"/>
        </w:rPr>
      </w:pPr>
    </w:p>
    <w:p>
      <w:pPr>
        <w:spacing w:line="180" w:lineRule="exact"/>
        <w:ind w:left="235" w:right="0" w:firstLine="0"/>
        <w:rPr>
          <w:rFonts w:ascii="宋体" w:hAnsi="宋体" w:cs="宋体" w:eastAsia="宋体" w:hint="default"/>
          <w:sz w:val="18"/>
          <w:szCs w:val="18"/>
        </w:rPr>
      </w:pPr>
      <w:r>
        <w:rPr>
          <w:rFonts w:ascii="宋体" w:hAnsi="宋体" w:cs="宋体" w:eastAsia="宋体" w:hint="default"/>
          <w:position w:val="-3"/>
          <w:sz w:val="18"/>
          <w:szCs w:val="18"/>
        </w:rPr>
        <w:pict>
          <v:shape style="width:90pt;height:9pt;mso-position-horizontal-relative:char;mso-position-vertical-relative:line" type="#_x0000_t202" filled="false" stroked="false">
            <w10:anchorlock/>
            <v:textbox inset="0,0,0,0">
              <w:txbxContent>
                <w:p>
                  <w:pPr>
                    <w:pStyle w:val="BodyText"/>
                    <w:spacing w:line="162" w:lineRule="exact"/>
                    <w:ind w:left="0" w:right="0"/>
                    <w:jc w:val="left"/>
                    <w:rPr>
                      <w:rFonts w:ascii="宋体" w:hAnsi="宋体" w:cs="宋体" w:eastAsia="宋体" w:hint="default"/>
                    </w:rPr>
                  </w:pPr>
                  <w:r>
                    <w:rPr>
                      <w:rFonts w:ascii="宋体" w:hAnsi="宋体" w:cs="宋体" w:eastAsia="宋体" w:hint="default"/>
                      <w:color w:val="D7000F"/>
                    </w:rPr>
                    <w:t>一、公司债券基本情况</w:t>
                  </w:r>
                  <w:r>
                    <w:rPr>
                      <w:rFonts w:ascii="宋体" w:hAnsi="宋体" w:cs="宋体" w:eastAsia="宋体" w:hint="default"/>
                    </w:rPr>
                  </w:r>
                </w:p>
              </w:txbxContent>
            </v:textbox>
          </v:shape>
        </w:pict>
      </w:r>
      <w:r>
        <w:rPr>
          <w:rFonts w:ascii="宋体" w:hAnsi="宋体" w:cs="宋体" w:eastAsia="宋体" w:hint="default"/>
          <w:position w:val="-3"/>
          <w:sz w:val="18"/>
          <w:szCs w:val="18"/>
        </w:rPr>
      </w:r>
    </w:p>
    <w:p>
      <w:pPr>
        <w:spacing w:line="240" w:lineRule="auto" w:before="9"/>
        <w:rPr>
          <w:rFonts w:ascii="宋体" w:hAnsi="宋体" w:cs="宋体" w:eastAsia="宋体" w:hint="default"/>
          <w:sz w:val="16"/>
          <w:szCs w:val="16"/>
        </w:rPr>
      </w:pPr>
    </w:p>
    <w:p>
      <w:pPr>
        <w:spacing w:line="120" w:lineRule="exact"/>
        <w:ind w:left="8217" w:right="0" w:firstLine="0"/>
        <w:rPr>
          <w:rFonts w:ascii="宋体" w:hAnsi="宋体" w:cs="宋体" w:eastAsia="宋体" w:hint="default"/>
          <w:sz w:val="12"/>
          <w:szCs w:val="12"/>
        </w:rPr>
      </w:pPr>
      <w:r>
        <w:rPr>
          <w:rFonts w:ascii="宋体" w:hAnsi="宋体" w:cs="宋体" w:eastAsia="宋体" w:hint="default"/>
          <w:position w:val="-1"/>
          <w:sz w:val="12"/>
          <w:szCs w:val="12"/>
        </w:rPr>
        <w:pict>
          <v:shape style="width:63.35pt;height:6pt;mso-position-horizontal-relative:char;mso-position-vertical-relative:line" type="#_x0000_t202" filled="false" stroked="false">
            <w10:anchorlock/>
            <v:textbox inset="0,0,0,0">
              <w:txbxContent>
                <w:p>
                  <w:pPr>
                    <w:spacing w:line="111" w:lineRule="exact" w:before="0"/>
                    <w:ind w:left="0" w:right="0" w:firstLine="0"/>
                    <w:jc w:val="left"/>
                    <w:rPr>
                      <w:rFonts w:ascii="宋体" w:hAnsi="宋体" w:cs="宋体" w:eastAsia="宋体" w:hint="default"/>
                      <w:sz w:val="12"/>
                      <w:szCs w:val="12"/>
                    </w:rPr>
                  </w:pPr>
                  <w:r>
                    <w:rPr>
                      <w:rFonts w:ascii="宋体" w:hAnsi="宋体" w:cs="宋体" w:eastAsia="宋体" w:hint="default"/>
                      <w:sz w:val="12"/>
                      <w:szCs w:val="12"/>
                    </w:rPr>
                    <w:t>单位：元</w:t>
                  </w:r>
                  <w:r>
                    <w:rPr>
                      <w:rFonts w:ascii="宋体" w:hAnsi="宋体" w:cs="宋体" w:eastAsia="宋体" w:hint="default"/>
                      <w:spacing w:val="6"/>
                      <w:sz w:val="12"/>
                      <w:szCs w:val="12"/>
                    </w:rPr>
                    <w:t> </w:t>
                  </w:r>
                  <w:r>
                    <w:rPr>
                      <w:rFonts w:ascii="宋体" w:hAnsi="宋体" w:cs="宋体" w:eastAsia="宋体" w:hint="default"/>
                      <w:sz w:val="12"/>
                      <w:szCs w:val="12"/>
                    </w:rPr>
                    <w:t>币种：人民币</w:t>
                  </w:r>
                </w:p>
              </w:txbxContent>
            </v:textbox>
          </v:shape>
        </w:pict>
      </w:r>
      <w:r>
        <w:rPr>
          <w:rFonts w:ascii="宋体" w:hAnsi="宋体" w:cs="宋体" w:eastAsia="宋体" w:hint="default"/>
          <w:position w:val="-1"/>
          <w:sz w:val="12"/>
          <w:szCs w:val="12"/>
        </w:rPr>
      </w:r>
    </w:p>
    <w:p>
      <w:pPr>
        <w:spacing w:line="240" w:lineRule="auto" w:before="9"/>
        <w:rPr>
          <w:rFonts w:ascii="宋体" w:hAnsi="宋体" w:cs="宋体" w:eastAsia="宋体" w:hint="default"/>
          <w:sz w:val="8"/>
          <w:szCs w:val="8"/>
        </w:rPr>
      </w:pPr>
    </w:p>
    <w:p>
      <w:pPr>
        <w:tabs>
          <w:tab w:pos="2504" w:val="left" w:leader="none"/>
          <w:tab w:pos="3449" w:val="left" w:leader="none"/>
          <w:tab w:pos="6094" w:val="left" w:leader="none"/>
          <w:tab w:pos="7151" w:val="left" w:leader="none"/>
        </w:tabs>
        <w:spacing w:line="160" w:lineRule="exact"/>
        <w:ind w:left="632" w:right="0" w:firstLine="0"/>
        <w:rPr>
          <w:rFonts w:ascii="宋体" w:hAnsi="宋体" w:cs="宋体" w:eastAsia="宋体" w:hint="default"/>
          <w:sz w:val="16"/>
          <w:szCs w:val="16"/>
        </w:rPr>
      </w:pPr>
      <w:r>
        <w:rPr>
          <w:rFonts w:ascii="宋体"/>
          <w:position w:val="-2"/>
          <w:sz w:val="16"/>
        </w:rPr>
        <w:pict>
          <v:shape style="width:32pt;height:8pt;mso-position-horizontal-relative:char;mso-position-vertical-relative:line" type="#_x0000_t202" filled="false" stroked="false">
            <w10:anchorlock/>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债券名称</w:t>
                  </w:r>
                </w:p>
              </w:txbxContent>
            </v:textbox>
          </v:shape>
        </w:pict>
      </w:r>
      <w:r>
        <w:rPr>
          <w:rFonts w:ascii="宋体"/>
          <w:position w:val="-2"/>
          <w:sz w:val="16"/>
        </w:rPr>
      </w:r>
      <w:r>
        <w:rPr>
          <w:rFonts w:ascii="宋体"/>
          <w:position w:val="-2"/>
          <w:sz w:val="16"/>
        </w:rPr>
        <w:tab/>
      </w:r>
      <w:r>
        <w:rPr>
          <w:rFonts w:ascii="宋体"/>
          <w:position w:val="-2"/>
          <w:sz w:val="16"/>
        </w:rPr>
        <w:pict>
          <v:shape style="width:16pt;height:8pt;mso-position-horizontal-relative:char;mso-position-vertical-relative:line" type="#_x0000_t202" filled="false" stroked="false">
            <w10:anchorlock/>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简称</w:t>
                  </w:r>
                </w:p>
              </w:txbxContent>
            </v:textbox>
          </v:shape>
        </w:pict>
      </w:r>
      <w:r>
        <w:rPr>
          <w:rFonts w:ascii="宋体"/>
          <w:position w:val="-2"/>
          <w:sz w:val="16"/>
        </w:rPr>
      </w:r>
      <w:r>
        <w:rPr>
          <w:rFonts w:ascii="宋体"/>
          <w:position w:val="-2"/>
          <w:sz w:val="16"/>
        </w:rPr>
        <w:tab/>
      </w:r>
      <w:r>
        <w:rPr>
          <w:rFonts w:ascii="宋体"/>
          <w:position w:val="-2"/>
          <w:sz w:val="16"/>
        </w:rPr>
        <w:pict>
          <v:shape style="width:102.2pt;height:8pt;mso-position-horizontal-relative:char;mso-position-vertical-relative:line" type="#_x0000_t202" filled="false" stroked="false">
            <w10:anchorlock/>
            <v:textbox inset="0,0,0,0">
              <w:txbxContent>
                <w:p>
                  <w:pPr>
                    <w:tabs>
                      <w:tab w:pos="684" w:val="left" w:leader="none"/>
                      <w:tab w:pos="1563" w:val="left" w:leader="none"/>
                    </w:tabs>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代码</w:t>
                    <w:tab/>
                    <w:t>发行日</w:t>
                    <w:tab/>
                    <w:t>到期日</w:t>
                  </w:r>
                </w:p>
              </w:txbxContent>
            </v:textbox>
          </v:shape>
        </w:pict>
      </w:r>
      <w:r>
        <w:rPr>
          <w:rFonts w:ascii="宋体"/>
          <w:position w:val="-2"/>
          <w:sz w:val="16"/>
        </w:rPr>
      </w:r>
      <w:r>
        <w:rPr>
          <w:rFonts w:ascii="宋体"/>
          <w:position w:val="-2"/>
          <w:sz w:val="16"/>
        </w:rPr>
        <w:tab/>
      </w:r>
      <w:r>
        <w:rPr>
          <w:rFonts w:ascii="宋体"/>
          <w:position w:val="-2"/>
          <w:sz w:val="16"/>
        </w:rPr>
        <w:pict>
          <v:shape style="width:32pt;height:8pt;mso-position-horizontal-relative:char;mso-position-vertical-relative:line" type="#_x0000_t202" filled="false" stroked="false">
            <w10:anchorlock/>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债券余额</w:t>
                  </w:r>
                </w:p>
              </w:txbxContent>
            </v:textbox>
          </v:shape>
        </w:pict>
      </w:r>
      <w:r>
        <w:rPr>
          <w:rFonts w:ascii="宋体"/>
          <w:position w:val="-2"/>
          <w:sz w:val="16"/>
        </w:rPr>
      </w:r>
      <w:r>
        <w:rPr>
          <w:rFonts w:ascii="宋体"/>
          <w:position w:val="-2"/>
          <w:sz w:val="16"/>
        </w:rPr>
        <w:tab/>
      </w:r>
      <w:r>
        <w:rPr>
          <w:rFonts w:ascii="宋体"/>
          <w:position w:val="-2"/>
          <w:sz w:val="16"/>
        </w:rPr>
        <w:pict>
          <v:shape style="width:118.05pt;height:8pt;mso-position-horizontal-relative:char;mso-position-vertical-relative:line" type="#_x0000_t202" filled="false" stroked="false">
            <w10:anchorlock/>
            <v:textbox inset="0,0,0,0">
              <w:txbxContent>
                <w:p>
                  <w:pPr>
                    <w:tabs>
                      <w:tab w:pos="573" w:val="left" w:leader="none"/>
                    </w:tabs>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利率</w:t>
                    <w:tab/>
                    <w:t>还本付息方式 </w:t>
                  </w:r>
                  <w:r>
                    <w:rPr>
                      <w:rFonts w:ascii="宋体" w:hAnsi="宋体" w:cs="宋体" w:eastAsia="宋体" w:hint="default"/>
                      <w:spacing w:val="27"/>
                      <w:sz w:val="16"/>
                      <w:szCs w:val="16"/>
                    </w:rPr>
                    <w:t> </w:t>
                  </w:r>
                  <w:r>
                    <w:rPr>
                      <w:rFonts w:ascii="宋体" w:hAnsi="宋体" w:cs="宋体" w:eastAsia="宋体" w:hint="default"/>
                      <w:sz w:val="16"/>
                      <w:szCs w:val="16"/>
                    </w:rPr>
                    <w:t>交易场所</w:t>
                  </w:r>
                </w:p>
              </w:txbxContent>
            </v:textbox>
          </v:shape>
        </w:pict>
      </w:r>
      <w:r>
        <w:rPr>
          <w:rFonts w:ascii="宋体"/>
          <w:position w:val="-2"/>
          <w:sz w:val="16"/>
        </w:rPr>
      </w:r>
    </w:p>
    <w:p>
      <w:pPr>
        <w:spacing w:line="240" w:lineRule="auto" w:before="2"/>
        <w:rPr>
          <w:rFonts w:ascii="宋体" w:hAnsi="宋体" w:cs="宋体" w:eastAsia="宋体" w:hint="default"/>
          <w:sz w:val="21"/>
          <w:szCs w:val="21"/>
        </w:rPr>
      </w:pPr>
    </w:p>
    <w:p>
      <w:pPr>
        <w:tabs>
          <w:tab w:pos="4875" w:val="left" w:leader="none"/>
        </w:tabs>
        <w:spacing w:line="1160" w:lineRule="exact"/>
        <w:ind w:left="632" w:right="0" w:firstLine="0"/>
        <w:rPr>
          <w:rFonts w:ascii="宋体" w:hAnsi="宋体" w:cs="宋体" w:eastAsia="宋体" w:hint="default"/>
          <w:sz w:val="20"/>
          <w:szCs w:val="20"/>
        </w:rPr>
      </w:pPr>
      <w:r>
        <w:rPr>
          <w:rFonts w:ascii="宋体"/>
          <w:position w:val="-2"/>
          <w:sz w:val="20"/>
        </w:rPr>
        <w:pict>
          <v:shape style="width:63.35pt;height:38pt;mso-position-horizontal-relative:char;mso-position-vertical-relative:line" type="#_x0000_t202" filled="false" stroked="false">
            <w10:anchorlock/>
            <v:textbox inset="0,0,0,0">
              <w:txbxContent>
                <w:p>
                  <w:pPr>
                    <w:spacing w:line="143"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中国联合网络通</w:t>
                  </w:r>
                </w:p>
                <w:p>
                  <w:pPr>
                    <w:spacing w:line="200" w:lineRule="exact" w:before="22"/>
                    <w:ind w:left="0" w:right="68" w:firstLine="0"/>
                    <w:jc w:val="left"/>
                    <w:rPr>
                      <w:rFonts w:ascii="宋体" w:hAnsi="宋体" w:cs="宋体" w:eastAsia="宋体" w:hint="default"/>
                      <w:sz w:val="16"/>
                      <w:szCs w:val="16"/>
                    </w:rPr>
                  </w:pPr>
                  <w:r>
                    <w:rPr>
                      <w:rFonts w:ascii="宋体" w:hAnsi="宋体" w:cs="宋体" w:eastAsia="宋体" w:hint="default"/>
                      <w:sz w:val="16"/>
                      <w:szCs w:val="16"/>
                    </w:rPr>
                    <w:t>信有限公司</w:t>
                  </w:r>
                  <w:r>
                    <w:rPr>
                      <w:rFonts w:ascii="宋体" w:hAnsi="宋体" w:cs="宋体" w:eastAsia="宋体" w:hint="default"/>
                      <w:spacing w:val="-8"/>
                      <w:sz w:val="16"/>
                      <w:szCs w:val="16"/>
                    </w:rPr>
                    <w:t> </w:t>
                  </w:r>
                  <w:r>
                    <w:rPr>
                      <w:rFonts w:ascii="宋体" w:hAnsi="宋体" w:cs="宋体" w:eastAsia="宋体" w:hint="default"/>
                      <w:sz w:val="16"/>
                      <w:szCs w:val="16"/>
                    </w:rPr>
                    <w:t>2016</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z w:val="16"/>
                      <w:szCs w:val="16"/>
                    </w:rPr>
                    <w:t>年公司债券</w:t>
                  </w:r>
                </w:p>
                <w:p>
                  <w:pPr>
                    <w:spacing w:line="183"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宋体" w:hAnsi="宋体" w:cs="宋体" w:eastAsia="宋体" w:hint="default"/>
                      <w:spacing w:val="-64"/>
                      <w:w w:val="95"/>
                      <w:sz w:val="16"/>
                      <w:szCs w:val="16"/>
                    </w:rPr>
                    <w:t> </w:t>
                  </w:r>
                  <w:r>
                    <w:rPr>
                      <w:rFonts w:ascii="宋体" w:hAnsi="宋体" w:cs="宋体" w:eastAsia="宋体" w:hint="default"/>
                      <w:w w:val="95"/>
                      <w:sz w:val="16"/>
                      <w:szCs w:val="16"/>
                    </w:rPr>
                    <w:t>第一期</w:t>
                  </w:r>
                  <w:r>
                    <w:rPr>
                      <w:rFonts w:ascii="宋体" w:hAnsi="宋体" w:cs="宋体" w:eastAsia="宋体" w:hint="default"/>
                      <w:spacing w:val="-64"/>
                      <w:w w:val="95"/>
                      <w:sz w:val="16"/>
                      <w:szCs w:val="16"/>
                    </w:rPr>
                    <w:t> </w:t>
                  </w:r>
                  <w:r>
                    <w:rPr>
                      <w:rFonts w:ascii="宋体" w:hAnsi="宋体" w:cs="宋体" w:eastAsia="宋体" w:hint="default"/>
                      <w:w w:val="95"/>
                      <w:sz w:val="16"/>
                      <w:szCs w:val="16"/>
                    </w:rPr>
                    <w:t>)(</w:t>
                  </w:r>
                  <w:r>
                    <w:rPr>
                      <w:rFonts w:ascii="宋体" w:hAnsi="宋体" w:cs="宋体" w:eastAsia="宋体" w:hint="default"/>
                      <w:spacing w:val="-64"/>
                      <w:w w:val="95"/>
                      <w:sz w:val="16"/>
                      <w:szCs w:val="16"/>
                    </w:rPr>
                    <w:t> </w:t>
                  </w:r>
                  <w:r>
                    <w:rPr>
                      <w:rFonts w:ascii="宋体" w:hAnsi="宋体" w:cs="宋体" w:eastAsia="宋体" w:hint="default"/>
                      <w:w w:val="95"/>
                      <w:sz w:val="16"/>
                      <w:szCs w:val="16"/>
                    </w:rPr>
                    <w:t>品种一</w:t>
                  </w:r>
                  <w:r>
                    <w:rPr>
                      <w:rFonts w:ascii="宋体" w:hAnsi="宋体" w:cs="宋体" w:eastAsia="宋体" w:hint="default"/>
                      <w:spacing w:val="-64"/>
                      <w:w w:val="95"/>
                      <w:sz w:val="16"/>
                      <w:szCs w:val="16"/>
                    </w:rPr>
                    <w:t> </w:t>
                  </w:r>
                  <w:r>
                    <w:rPr>
                      <w:rFonts w:ascii="宋体" w:hAnsi="宋体" w:cs="宋体" w:eastAsia="宋体" w:hint="default"/>
                      <w:w w:val="95"/>
                      <w:sz w:val="16"/>
                      <w:szCs w:val="16"/>
                    </w:rPr>
                    <w:t>)</w:t>
                  </w:r>
                  <w:r>
                    <w:rPr>
                      <w:rFonts w:ascii="宋体" w:hAnsi="宋体" w:cs="宋体" w:eastAsia="宋体" w:hint="default"/>
                      <w:sz w:val="16"/>
                      <w:szCs w:val="16"/>
                    </w:rPr>
                  </w:r>
                </w:p>
              </w:txbxContent>
            </v:textbox>
          </v:shape>
        </w:pict>
      </w:r>
      <w:r>
        <w:rPr>
          <w:rFonts w:ascii="宋体"/>
          <w:position w:val="-2"/>
          <w:sz w:val="20"/>
        </w:rPr>
      </w:r>
      <w:r>
        <w:rPr>
          <w:rFonts w:ascii="Times New Roman"/>
          <w:spacing w:val="130"/>
          <w:position w:val="-2"/>
          <w:sz w:val="16"/>
        </w:rPr>
        <w:t> </w:t>
      </w:r>
      <w:r>
        <w:rPr>
          <w:rFonts w:ascii="宋体"/>
          <w:spacing w:val="130"/>
          <w:position w:val="27"/>
          <w:sz w:val="16"/>
        </w:rPr>
        <w:pict>
          <v:shape style="width:37.8pt;height:8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16</w:t>
                  </w:r>
                  <w:r>
                    <w:rPr>
                      <w:rFonts w:ascii="宋体" w:hAnsi="宋体" w:cs="宋体" w:eastAsia="宋体" w:hint="default"/>
                      <w:spacing w:val="-64"/>
                      <w:w w:val="110"/>
                      <w:sz w:val="16"/>
                      <w:szCs w:val="16"/>
                    </w:rPr>
                    <w:t> </w:t>
                  </w:r>
                  <w:r>
                    <w:rPr>
                      <w:rFonts w:ascii="宋体" w:hAnsi="宋体" w:cs="宋体" w:eastAsia="宋体" w:hint="default"/>
                      <w:w w:val="110"/>
                      <w:sz w:val="16"/>
                      <w:szCs w:val="16"/>
                    </w:rPr>
                    <w:t>联通</w:t>
                  </w:r>
                  <w:r>
                    <w:rPr>
                      <w:rFonts w:ascii="宋体" w:hAnsi="宋体" w:cs="宋体" w:eastAsia="宋体" w:hint="default"/>
                      <w:spacing w:val="-63"/>
                      <w:w w:val="110"/>
                      <w:sz w:val="16"/>
                      <w:szCs w:val="16"/>
                    </w:rPr>
                    <w:t> </w:t>
                  </w:r>
                  <w:r>
                    <w:rPr>
                      <w:rFonts w:ascii="宋体" w:hAnsi="宋体" w:cs="宋体" w:eastAsia="宋体" w:hint="default"/>
                      <w:w w:val="110"/>
                      <w:sz w:val="16"/>
                      <w:szCs w:val="16"/>
                    </w:rPr>
                    <w:t>01</w:t>
                  </w:r>
                  <w:r>
                    <w:rPr>
                      <w:rFonts w:ascii="宋体" w:hAnsi="宋体" w:cs="宋体" w:eastAsia="宋体" w:hint="default"/>
                      <w:sz w:val="16"/>
                      <w:szCs w:val="16"/>
                    </w:rPr>
                  </w:r>
                </w:p>
              </w:txbxContent>
            </v:textbox>
          </v:shape>
        </w:pict>
      </w:r>
      <w:r>
        <w:rPr>
          <w:rFonts w:ascii="宋体"/>
          <w:spacing w:val="130"/>
          <w:position w:val="27"/>
          <w:sz w:val="16"/>
        </w:rPr>
      </w:r>
      <w:r>
        <w:rPr>
          <w:rFonts w:ascii="Times New Roman"/>
          <w:spacing w:val="104"/>
          <w:position w:val="27"/>
          <w:sz w:val="20"/>
        </w:rPr>
        <w:t> </w:t>
      </w:r>
      <w:r>
        <w:rPr>
          <w:rFonts w:ascii="宋体"/>
          <w:spacing w:val="104"/>
          <w:position w:val="17"/>
          <w:sz w:val="20"/>
        </w:rPr>
        <w:pict>
          <v:shape style="width:83.75pt;height:18pt;mso-position-horizontal-relative:char;mso-position-vertical-relative:line" type="#_x0000_t202" filled="false" stroked="false">
            <w10:anchorlock/>
            <v:textbox inset="0,0,0,0">
              <w:txbxContent>
                <w:p>
                  <w:pPr>
                    <w:tabs>
                      <w:tab w:pos="1078" w:val="left" w:leader="none"/>
                    </w:tabs>
                    <w:spacing w:line="193" w:lineRule="exact" w:before="0"/>
                    <w:ind w:left="0" w:right="0" w:firstLine="0"/>
                    <w:jc w:val="left"/>
                    <w:rPr>
                      <w:rFonts w:ascii="宋体" w:hAnsi="宋体" w:cs="宋体" w:eastAsia="宋体" w:hint="default"/>
                      <w:sz w:val="16"/>
                      <w:szCs w:val="16"/>
                    </w:rPr>
                  </w:pPr>
                  <w:r>
                    <w:rPr>
                      <w:rFonts w:ascii="宋体" w:hAnsi="宋体" w:cs="宋体" w:eastAsia="宋体" w:hint="default"/>
                      <w:w w:val="105"/>
                      <w:sz w:val="16"/>
                      <w:szCs w:val="16"/>
                    </w:rPr>
                    <w:t>136469.SH</w:t>
                    <w:tab/>
                  </w:r>
                  <w:r>
                    <w:rPr>
                      <w:rFonts w:ascii="宋体" w:hAnsi="宋体" w:cs="宋体" w:eastAsia="宋体" w:hint="default"/>
                      <w:w w:val="110"/>
                      <w:position w:val="10"/>
                      <w:sz w:val="16"/>
                      <w:szCs w:val="16"/>
                    </w:rPr>
                    <w:t>2016</w:t>
                  </w:r>
                  <w:r>
                    <w:rPr>
                      <w:rFonts w:ascii="宋体" w:hAnsi="宋体" w:cs="宋体" w:eastAsia="宋体" w:hint="default"/>
                      <w:spacing w:val="-62"/>
                      <w:w w:val="110"/>
                      <w:position w:val="10"/>
                      <w:sz w:val="16"/>
                      <w:szCs w:val="16"/>
                    </w:rPr>
                    <w:t> </w:t>
                  </w:r>
                  <w:r>
                    <w:rPr>
                      <w:rFonts w:ascii="宋体" w:hAnsi="宋体" w:cs="宋体" w:eastAsia="宋体" w:hint="default"/>
                      <w:w w:val="110"/>
                      <w:position w:val="10"/>
                      <w:sz w:val="16"/>
                      <w:szCs w:val="16"/>
                    </w:rPr>
                    <w:t>年</w:t>
                  </w:r>
                  <w:r>
                    <w:rPr>
                      <w:rFonts w:ascii="宋体" w:hAnsi="宋体" w:cs="宋体" w:eastAsia="宋体" w:hint="default"/>
                      <w:w w:val="110"/>
                      <w:sz w:val="16"/>
                      <w:szCs w:val="16"/>
                    </w:rPr>
                  </w:r>
                </w:p>
                <w:p>
                  <w:pPr>
                    <w:spacing w:line="155" w:lineRule="exact" w:before="0"/>
                    <w:ind w:left="1016" w:right="0" w:firstLine="0"/>
                    <w:jc w:val="left"/>
                    <w:rPr>
                      <w:rFonts w:ascii="宋体" w:hAnsi="宋体" w:cs="宋体" w:eastAsia="宋体" w:hint="default"/>
                      <w:sz w:val="16"/>
                      <w:szCs w:val="16"/>
                    </w:rPr>
                  </w:pPr>
                  <w:r>
                    <w:rPr>
                      <w:rFonts w:ascii="宋体" w:hAnsi="宋体" w:cs="宋体" w:eastAsia="宋体" w:hint="default"/>
                      <w:spacing w:val="26"/>
                      <w:w w:val="105"/>
                      <w:sz w:val="16"/>
                      <w:szCs w:val="16"/>
                    </w:rPr>
                    <w:t>6月7日</w:t>
                  </w:r>
                  <w:r>
                    <w:rPr>
                      <w:rFonts w:ascii="宋体" w:hAnsi="宋体" w:cs="宋体" w:eastAsia="宋体" w:hint="default"/>
                      <w:spacing w:val="-40"/>
                      <w:sz w:val="16"/>
                      <w:szCs w:val="16"/>
                    </w:rPr>
                    <w:t> </w:t>
                  </w:r>
                  <w:r>
                    <w:rPr>
                      <w:rFonts w:ascii="宋体" w:hAnsi="宋体" w:cs="宋体" w:eastAsia="宋体" w:hint="default"/>
                      <w:sz w:val="16"/>
                      <w:szCs w:val="16"/>
                    </w:rPr>
                  </w:r>
                </w:p>
              </w:txbxContent>
            </v:textbox>
          </v:shape>
        </w:pict>
      </w:r>
      <w:r>
        <w:rPr>
          <w:rFonts w:ascii="宋体"/>
          <w:spacing w:val="104"/>
          <w:position w:val="17"/>
          <w:sz w:val="20"/>
        </w:rPr>
      </w:r>
      <w:r>
        <w:rPr>
          <w:rFonts w:ascii="宋体"/>
          <w:spacing w:val="104"/>
          <w:position w:val="17"/>
          <w:sz w:val="20"/>
        </w:rPr>
        <w:tab/>
      </w:r>
      <w:r>
        <w:rPr>
          <w:rFonts w:ascii="宋体"/>
          <w:spacing w:val="104"/>
          <w:position w:val="17"/>
          <w:sz w:val="20"/>
        </w:rPr>
        <w:pict>
          <v:shape style="width:32.9pt;height:18pt;mso-position-horizontal-relative:char;mso-position-vertical-relative:line" type="#_x0000_t202" filled="false" stroked="false">
            <w10:anchorlock/>
            <v:textbox inset="0,0,0,0">
              <w:txbxContent>
                <w:p>
                  <w:pPr>
                    <w:spacing w:line="143" w:lineRule="exact" w:before="0"/>
                    <w:ind w:left="62" w:right="0" w:firstLine="0"/>
                    <w:jc w:val="left"/>
                    <w:rPr>
                      <w:rFonts w:ascii="宋体" w:hAnsi="宋体" w:cs="宋体" w:eastAsia="宋体" w:hint="default"/>
                      <w:sz w:val="16"/>
                      <w:szCs w:val="16"/>
                    </w:rPr>
                  </w:pPr>
                  <w:r>
                    <w:rPr>
                      <w:rFonts w:ascii="宋体" w:hAnsi="宋体" w:cs="宋体" w:eastAsia="宋体" w:hint="default"/>
                      <w:w w:val="110"/>
                      <w:sz w:val="16"/>
                      <w:szCs w:val="16"/>
                    </w:rPr>
                    <w:t>2019</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spacing w:line="205" w:lineRule="exact" w:before="0"/>
                    <w:ind w:left="0" w:right="0" w:firstLine="0"/>
                    <w:jc w:val="left"/>
                    <w:rPr>
                      <w:rFonts w:ascii="宋体" w:hAnsi="宋体" w:cs="宋体" w:eastAsia="宋体" w:hint="default"/>
                      <w:sz w:val="16"/>
                      <w:szCs w:val="16"/>
                    </w:rPr>
                  </w:pPr>
                  <w:r>
                    <w:rPr>
                      <w:rFonts w:ascii="宋体" w:hAnsi="宋体" w:cs="宋体" w:eastAsia="宋体" w:hint="default"/>
                      <w:spacing w:val="26"/>
                      <w:w w:val="105"/>
                      <w:sz w:val="16"/>
                      <w:szCs w:val="16"/>
                    </w:rPr>
                    <w:t>6月7日</w:t>
                  </w:r>
                  <w:r>
                    <w:rPr>
                      <w:rFonts w:ascii="宋体" w:hAnsi="宋体" w:cs="宋体" w:eastAsia="宋体" w:hint="default"/>
                      <w:spacing w:val="-40"/>
                      <w:sz w:val="16"/>
                      <w:szCs w:val="16"/>
                    </w:rPr>
                    <w:t> </w:t>
                  </w:r>
                  <w:r>
                    <w:rPr>
                      <w:rFonts w:ascii="宋体" w:hAnsi="宋体" w:cs="宋体" w:eastAsia="宋体" w:hint="default"/>
                      <w:sz w:val="16"/>
                      <w:szCs w:val="16"/>
                    </w:rPr>
                  </w:r>
                </w:p>
              </w:txbxContent>
            </v:textbox>
          </v:shape>
        </w:pict>
      </w:r>
      <w:r>
        <w:rPr>
          <w:rFonts w:ascii="宋体"/>
          <w:spacing w:val="104"/>
          <w:position w:val="17"/>
          <w:sz w:val="20"/>
        </w:rPr>
      </w:r>
      <w:r>
        <w:rPr>
          <w:rFonts w:ascii="Times New Roman"/>
          <w:spacing w:val="140"/>
          <w:position w:val="17"/>
          <w:sz w:val="16"/>
        </w:rPr>
        <w:t> </w:t>
      </w:r>
      <w:r>
        <w:rPr>
          <w:rFonts w:ascii="宋体"/>
          <w:spacing w:val="140"/>
          <w:position w:val="27"/>
          <w:sz w:val="16"/>
        </w:rPr>
        <w:pict>
          <v:shape style="width:87.9pt;height:8pt;mso-position-horizontal-relative:char;mso-position-vertical-relative:line" type="#_x0000_t202" filled="false" stroked="false">
            <w10:anchorlock/>
            <v:textbox inset="0,0,0,0">
              <w:txbxContent>
                <w:p>
                  <w:pPr>
                    <w:tabs>
                      <w:tab w:pos="1286" w:val="left" w:leader="none"/>
                    </w:tabs>
                    <w:spacing w:line="148" w:lineRule="exact" w:before="0"/>
                    <w:ind w:left="0" w:right="0" w:firstLine="0"/>
                    <w:jc w:val="left"/>
                    <w:rPr>
                      <w:rFonts w:ascii="宋体" w:hAnsi="宋体" w:cs="宋体" w:eastAsia="宋体" w:hint="default"/>
                      <w:sz w:val="16"/>
                      <w:szCs w:val="16"/>
                    </w:rPr>
                  </w:pPr>
                  <w:r>
                    <w:rPr>
                      <w:rFonts w:ascii="宋体"/>
                      <w:w w:val="95"/>
                      <w:sz w:val="16"/>
                    </w:rPr>
                    <w:t>7,000,000,000</w:t>
                    <w:tab/>
                  </w:r>
                  <w:r>
                    <w:rPr>
                      <w:rFonts w:ascii="宋体"/>
                      <w:sz w:val="16"/>
                    </w:rPr>
                    <w:t>3.07%</w:t>
                  </w:r>
                </w:p>
              </w:txbxContent>
            </v:textbox>
          </v:shape>
        </w:pict>
      </w:r>
      <w:r>
        <w:rPr>
          <w:rFonts w:ascii="宋体"/>
          <w:spacing w:val="140"/>
          <w:position w:val="27"/>
          <w:sz w:val="16"/>
        </w:rPr>
      </w:r>
      <w:r>
        <w:rPr>
          <w:rFonts w:ascii="Times New Roman"/>
          <w:spacing w:val="92"/>
          <w:position w:val="27"/>
          <w:sz w:val="20"/>
        </w:rPr>
        <w:t> </w:t>
      </w:r>
      <w:r>
        <w:rPr>
          <w:rFonts w:ascii="宋体"/>
          <w:spacing w:val="92"/>
          <w:position w:val="-22"/>
          <w:sz w:val="20"/>
        </w:rPr>
        <w:pict>
          <v:shape style="width:56pt;height:58pt;mso-position-horizontal-relative:char;mso-position-vertical-relative:line" type="#_x0000_t202" filled="false" stroked="false">
            <w10:anchorlock/>
            <v:textbox inset="0,0,0,0">
              <w:txbxContent>
                <w:p>
                  <w:pPr>
                    <w:spacing w:line="143" w:lineRule="exact" w:before="0"/>
                    <w:ind w:left="0" w:right="0" w:firstLine="0"/>
                    <w:jc w:val="center"/>
                    <w:rPr>
                      <w:rFonts w:ascii="宋体" w:hAnsi="宋体" w:cs="宋体" w:eastAsia="宋体" w:hint="default"/>
                      <w:sz w:val="16"/>
                      <w:szCs w:val="16"/>
                    </w:rPr>
                  </w:pPr>
                  <w:r>
                    <w:rPr>
                      <w:rFonts w:ascii="宋体" w:hAnsi="宋体" w:cs="宋体" w:eastAsia="宋体" w:hint="default"/>
                      <w:sz w:val="16"/>
                      <w:szCs w:val="16"/>
                    </w:rPr>
                    <w:t>单利按年计息，</w:t>
                  </w:r>
                </w:p>
                <w:p>
                  <w:pPr>
                    <w:spacing w:line="200" w:lineRule="exact" w:before="22"/>
                    <w:ind w:left="40" w:right="118" w:firstLine="0"/>
                    <w:jc w:val="center"/>
                    <w:rPr>
                      <w:rFonts w:ascii="宋体" w:hAnsi="宋体" w:cs="宋体" w:eastAsia="宋体" w:hint="default"/>
                      <w:sz w:val="16"/>
                      <w:szCs w:val="16"/>
                    </w:rPr>
                  </w:pPr>
                  <w:r>
                    <w:rPr>
                      <w:rFonts w:ascii="宋体" w:hAnsi="宋体" w:cs="宋体" w:eastAsia="宋体" w:hint="default"/>
                      <w:sz w:val="16"/>
                      <w:szCs w:val="16"/>
                    </w:rPr>
                    <w:t>不计复利。每 年付息一次， 最后一期利息 随本金的兑付 一起支付</w:t>
                  </w:r>
                </w:p>
              </w:txbxContent>
            </v:textbox>
          </v:shape>
        </w:pict>
      </w:r>
      <w:r>
        <w:rPr>
          <w:rFonts w:ascii="宋体"/>
          <w:spacing w:val="92"/>
          <w:position w:val="-22"/>
          <w:sz w:val="20"/>
        </w:rPr>
      </w:r>
      <w:r>
        <w:rPr>
          <w:rFonts w:ascii="Times New Roman"/>
          <w:spacing w:val="50"/>
          <w:position w:val="-22"/>
          <w:sz w:val="20"/>
        </w:rPr>
        <w:t> </w:t>
      </w:r>
      <w:r>
        <w:rPr>
          <w:rFonts w:ascii="宋体"/>
          <w:spacing w:val="50"/>
          <w:position w:val="17"/>
          <w:sz w:val="20"/>
        </w:rPr>
        <w:pict>
          <v:shape style="width:32pt;height:18pt;mso-position-horizontal-relative:char;mso-position-vertical-relative:line" type="#_x0000_t202" filled="false" stroked="false">
            <w10:anchorlock/>
            <v:textbox inset="0,0,0,0">
              <w:txbxContent>
                <w:p>
                  <w:pPr>
                    <w:spacing w:line="143" w:lineRule="exact" w:before="0"/>
                    <w:ind w:left="80" w:right="0" w:hanging="80"/>
                    <w:jc w:val="left"/>
                    <w:rPr>
                      <w:rFonts w:ascii="宋体" w:hAnsi="宋体" w:cs="宋体" w:eastAsia="宋体" w:hint="default"/>
                      <w:sz w:val="16"/>
                      <w:szCs w:val="16"/>
                    </w:rPr>
                  </w:pPr>
                  <w:r>
                    <w:rPr>
                      <w:rFonts w:ascii="宋体" w:hAnsi="宋体" w:cs="宋体" w:eastAsia="宋体" w:hint="default"/>
                      <w:sz w:val="16"/>
                      <w:szCs w:val="16"/>
                    </w:rPr>
                    <w:t>上海证券</w:t>
                  </w:r>
                </w:p>
                <w:p>
                  <w:pPr>
                    <w:spacing w:line="205" w:lineRule="exact" w:before="0"/>
                    <w:ind w:left="80" w:right="0" w:firstLine="0"/>
                    <w:jc w:val="left"/>
                    <w:rPr>
                      <w:rFonts w:ascii="宋体" w:hAnsi="宋体" w:cs="宋体" w:eastAsia="宋体" w:hint="default"/>
                      <w:sz w:val="16"/>
                      <w:szCs w:val="16"/>
                    </w:rPr>
                  </w:pPr>
                  <w:r>
                    <w:rPr>
                      <w:rFonts w:ascii="宋体" w:hAnsi="宋体" w:cs="宋体" w:eastAsia="宋体" w:hint="default"/>
                      <w:sz w:val="16"/>
                      <w:szCs w:val="16"/>
                    </w:rPr>
                    <w:t>交易所</w:t>
                  </w:r>
                </w:p>
              </w:txbxContent>
            </v:textbox>
          </v:shape>
        </w:pict>
      </w:r>
      <w:r>
        <w:rPr>
          <w:rFonts w:ascii="宋体"/>
          <w:spacing w:val="50"/>
          <w:position w:val="17"/>
          <w:sz w:val="20"/>
        </w:rPr>
      </w:r>
    </w:p>
    <w:p>
      <w:pPr>
        <w:spacing w:line="240" w:lineRule="auto" w:before="13"/>
        <w:rPr>
          <w:rFonts w:ascii="宋体" w:hAnsi="宋体" w:cs="宋体" w:eastAsia="宋体" w:hint="default"/>
          <w:sz w:val="12"/>
          <w:szCs w:val="12"/>
        </w:rPr>
      </w:pPr>
    </w:p>
    <w:p>
      <w:pPr>
        <w:tabs>
          <w:tab w:pos="4875" w:val="left" w:leader="none"/>
          <w:tab w:pos="7974" w:val="left" w:leader="none"/>
          <w:tab w:pos="8834" w:val="left" w:leader="none"/>
        </w:tabs>
        <w:spacing w:line="760" w:lineRule="exact"/>
        <w:ind w:left="632" w:right="0" w:firstLine="0"/>
        <w:rPr>
          <w:rFonts w:ascii="宋体" w:hAnsi="宋体" w:cs="宋体" w:eastAsia="宋体" w:hint="default"/>
          <w:sz w:val="20"/>
          <w:szCs w:val="20"/>
        </w:rPr>
      </w:pPr>
      <w:r>
        <w:rPr>
          <w:rFonts w:ascii="宋体"/>
          <w:position w:val="-14"/>
          <w:sz w:val="20"/>
        </w:rPr>
        <w:pict>
          <v:shape style="width:63.35pt;height:38pt;mso-position-horizontal-relative:char;mso-position-vertical-relative:line" type="#_x0000_t202" filled="false" stroked="false">
            <w10:anchorlock/>
            <v:textbox inset="0,0,0,0">
              <w:txbxContent>
                <w:p>
                  <w:pPr>
                    <w:spacing w:line="143"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中国联合网络通</w:t>
                  </w:r>
                </w:p>
                <w:p>
                  <w:pPr>
                    <w:spacing w:line="200" w:lineRule="exact" w:before="22"/>
                    <w:ind w:left="0" w:right="68" w:firstLine="0"/>
                    <w:jc w:val="left"/>
                    <w:rPr>
                      <w:rFonts w:ascii="宋体" w:hAnsi="宋体" w:cs="宋体" w:eastAsia="宋体" w:hint="default"/>
                      <w:sz w:val="16"/>
                      <w:szCs w:val="16"/>
                    </w:rPr>
                  </w:pPr>
                  <w:r>
                    <w:rPr>
                      <w:rFonts w:ascii="宋体" w:hAnsi="宋体" w:cs="宋体" w:eastAsia="宋体" w:hint="default"/>
                      <w:sz w:val="16"/>
                      <w:szCs w:val="16"/>
                    </w:rPr>
                    <w:t>信有限公司</w:t>
                  </w:r>
                  <w:r>
                    <w:rPr>
                      <w:rFonts w:ascii="宋体" w:hAnsi="宋体" w:cs="宋体" w:eastAsia="宋体" w:hint="default"/>
                      <w:spacing w:val="-8"/>
                      <w:sz w:val="16"/>
                      <w:szCs w:val="16"/>
                    </w:rPr>
                    <w:t> </w:t>
                  </w:r>
                  <w:r>
                    <w:rPr>
                      <w:rFonts w:ascii="宋体" w:hAnsi="宋体" w:cs="宋体" w:eastAsia="宋体" w:hint="default"/>
                      <w:sz w:val="16"/>
                      <w:szCs w:val="16"/>
                    </w:rPr>
                    <w:t>2016</w:t>
                  </w:r>
                  <w:r>
                    <w:rPr>
                      <w:rFonts w:ascii="宋体" w:hAnsi="宋体" w:cs="宋体" w:eastAsia="宋体" w:hint="default"/>
                      <w:spacing w:val="-77"/>
                      <w:sz w:val="16"/>
                      <w:szCs w:val="16"/>
                    </w:rPr>
                    <w:t> </w:t>
                  </w:r>
                  <w:r>
                    <w:rPr>
                      <w:rFonts w:ascii="宋体" w:hAnsi="宋体" w:cs="宋体" w:eastAsia="宋体" w:hint="default"/>
                      <w:spacing w:val="-77"/>
                      <w:sz w:val="16"/>
                      <w:szCs w:val="16"/>
                    </w:rPr>
                  </w:r>
                  <w:r>
                    <w:rPr>
                      <w:rFonts w:ascii="宋体" w:hAnsi="宋体" w:cs="宋体" w:eastAsia="宋体" w:hint="default"/>
                      <w:sz w:val="16"/>
                      <w:szCs w:val="16"/>
                    </w:rPr>
                    <w:t>年公司债券</w:t>
                  </w:r>
                </w:p>
                <w:p>
                  <w:pPr>
                    <w:spacing w:line="183"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宋体" w:hAnsi="宋体" w:cs="宋体" w:eastAsia="宋体" w:hint="default"/>
                      <w:spacing w:val="-64"/>
                      <w:w w:val="95"/>
                      <w:sz w:val="16"/>
                      <w:szCs w:val="16"/>
                    </w:rPr>
                    <w:t> </w:t>
                  </w:r>
                  <w:r>
                    <w:rPr>
                      <w:rFonts w:ascii="宋体" w:hAnsi="宋体" w:cs="宋体" w:eastAsia="宋体" w:hint="default"/>
                      <w:w w:val="95"/>
                      <w:sz w:val="16"/>
                      <w:szCs w:val="16"/>
                    </w:rPr>
                    <w:t>第一期</w:t>
                  </w:r>
                  <w:r>
                    <w:rPr>
                      <w:rFonts w:ascii="宋体" w:hAnsi="宋体" w:cs="宋体" w:eastAsia="宋体" w:hint="default"/>
                      <w:spacing w:val="-64"/>
                      <w:w w:val="95"/>
                      <w:sz w:val="16"/>
                      <w:szCs w:val="16"/>
                    </w:rPr>
                    <w:t> </w:t>
                  </w:r>
                  <w:r>
                    <w:rPr>
                      <w:rFonts w:ascii="宋体" w:hAnsi="宋体" w:cs="宋体" w:eastAsia="宋体" w:hint="default"/>
                      <w:w w:val="95"/>
                      <w:sz w:val="16"/>
                      <w:szCs w:val="16"/>
                    </w:rPr>
                    <w:t>)(</w:t>
                  </w:r>
                  <w:r>
                    <w:rPr>
                      <w:rFonts w:ascii="宋体" w:hAnsi="宋体" w:cs="宋体" w:eastAsia="宋体" w:hint="default"/>
                      <w:spacing w:val="-64"/>
                      <w:w w:val="95"/>
                      <w:sz w:val="16"/>
                      <w:szCs w:val="16"/>
                    </w:rPr>
                    <w:t> </w:t>
                  </w:r>
                  <w:r>
                    <w:rPr>
                      <w:rFonts w:ascii="宋体" w:hAnsi="宋体" w:cs="宋体" w:eastAsia="宋体" w:hint="default"/>
                      <w:w w:val="95"/>
                      <w:sz w:val="16"/>
                      <w:szCs w:val="16"/>
                    </w:rPr>
                    <w:t>品种二</w:t>
                  </w:r>
                  <w:r>
                    <w:rPr>
                      <w:rFonts w:ascii="宋体" w:hAnsi="宋体" w:cs="宋体" w:eastAsia="宋体" w:hint="default"/>
                      <w:spacing w:val="-64"/>
                      <w:w w:val="95"/>
                      <w:sz w:val="16"/>
                      <w:szCs w:val="16"/>
                    </w:rPr>
                    <w:t> </w:t>
                  </w:r>
                  <w:r>
                    <w:rPr>
                      <w:rFonts w:ascii="宋体" w:hAnsi="宋体" w:cs="宋体" w:eastAsia="宋体" w:hint="default"/>
                      <w:w w:val="95"/>
                      <w:sz w:val="16"/>
                      <w:szCs w:val="16"/>
                    </w:rPr>
                    <w:t>)</w:t>
                  </w:r>
                  <w:r>
                    <w:rPr>
                      <w:rFonts w:ascii="宋体" w:hAnsi="宋体" w:cs="宋体" w:eastAsia="宋体" w:hint="default"/>
                      <w:sz w:val="16"/>
                      <w:szCs w:val="16"/>
                    </w:rPr>
                  </w:r>
                </w:p>
              </w:txbxContent>
            </v:textbox>
          </v:shape>
        </w:pict>
      </w:r>
      <w:r>
        <w:rPr>
          <w:rFonts w:ascii="宋体"/>
          <w:position w:val="-14"/>
          <w:sz w:val="20"/>
        </w:rPr>
      </w:r>
      <w:r>
        <w:rPr>
          <w:rFonts w:ascii="Times New Roman"/>
          <w:spacing w:val="130"/>
          <w:position w:val="-14"/>
          <w:sz w:val="16"/>
        </w:rPr>
        <w:t> </w:t>
      </w:r>
      <w:r>
        <w:rPr>
          <w:rFonts w:ascii="宋体"/>
          <w:spacing w:val="130"/>
          <w:position w:val="15"/>
          <w:sz w:val="16"/>
        </w:rPr>
        <w:pict>
          <v:shape style="width:37.8pt;height:8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16</w:t>
                  </w:r>
                  <w:r>
                    <w:rPr>
                      <w:rFonts w:ascii="宋体" w:hAnsi="宋体" w:cs="宋体" w:eastAsia="宋体" w:hint="default"/>
                      <w:spacing w:val="-64"/>
                      <w:w w:val="110"/>
                      <w:sz w:val="16"/>
                      <w:szCs w:val="16"/>
                    </w:rPr>
                    <w:t> </w:t>
                  </w:r>
                  <w:r>
                    <w:rPr>
                      <w:rFonts w:ascii="宋体" w:hAnsi="宋体" w:cs="宋体" w:eastAsia="宋体" w:hint="default"/>
                      <w:w w:val="110"/>
                      <w:sz w:val="16"/>
                      <w:szCs w:val="16"/>
                    </w:rPr>
                    <w:t>联通</w:t>
                  </w:r>
                  <w:r>
                    <w:rPr>
                      <w:rFonts w:ascii="宋体" w:hAnsi="宋体" w:cs="宋体" w:eastAsia="宋体" w:hint="default"/>
                      <w:spacing w:val="-63"/>
                      <w:w w:val="110"/>
                      <w:sz w:val="16"/>
                      <w:szCs w:val="16"/>
                    </w:rPr>
                    <w:t> </w:t>
                  </w:r>
                  <w:r>
                    <w:rPr>
                      <w:rFonts w:ascii="宋体" w:hAnsi="宋体" w:cs="宋体" w:eastAsia="宋体" w:hint="default"/>
                      <w:w w:val="110"/>
                      <w:sz w:val="16"/>
                      <w:szCs w:val="16"/>
                    </w:rPr>
                    <w:t>02</w:t>
                  </w:r>
                  <w:r>
                    <w:rPr>
                      <w:rFonts w:ascii="宋体" w:hAnsi="宋体" w:cs="宋体" w:eastAsia="宋体" w:hint="default"/>
                      <w:sz w:val="16"/>
                      <w:szCs w:val="16"/>
                    </w:rPr>
                  </w:r>
                </w:p>
              </w:txbxContent>
            </v:textbox>
          </v:shape>
        </w:pict>
      </w:r>
      <w:r>
        <w:rPr>
          <w:rFonts w:ascii="宋体"/>
          <w:spacing w:val="130"/>
          <w:position w:val="15"/>
          <w:sz w:val="16"/>
        </w:rPr>
      </w:r>
      <w:r>
        <w:rPr>
          <w:rFonts w:ascii="Times New Roman"/>
          <w:spacing w:val="104"/>
          <w:position w:val="15"/>
          <w:sz w:val="20"/>
        </w:rPr>
        <w:t> </w:t>
      </w:r>
      <w:r>
        <w:rPr>
          <w:rFonts w:ascii="宋体"/>
          <w:spacing w:val="104"/>
          <w:position w:val="5"/>
          <w:sz w:val="20"/>
        </w:rPr>
        <w:pict>
          <v:shape style="width:83.75pt;height:18pt;mso-position-horizontal-relative:char;mso-position-vertical-relative:line" type="#_x0000_t202" filled="false" stroked="false">
            <w10:anchorlock/>
            <v:textbox inset="0,0,0,0">
              <w:txbxContent>
                <w:p>
                  <w:pPr>
                    <w:tabs>
                      <w:tab w:pos="1078" w:val="left" w:leader="none"/>
                    </w:tabs>
                    <w:spacing w:line="193" w:lineRule="exact" w:before="0"/>
                    <w:ind w:left="0" w:right="0" w:firstLine="0"/>
                    <w:jc w:val="left"/>
                    <w:rPr>
                      <w:rFonts w:ascii="宋体" w:hAnsi="宋体" w:cs="宋体" w:eastAsia="宋体" w:hint="default"/>
                      <w:sz w:val="16"/>
                      <w:szCs w:val="16"/>
                    </w:rPr>
                  </w:pPr>
                  <w:r>
                    <w:rPr>
                      <w:rFonts w:ascii="宋体" w:hAnsi="宋体" w:cs="宋体" w:eastAsia="宋体" w:hint="default"/>
                      <w:w w:val="105"/>
                      <w:sz w:val="16"/>
                      <w:szCs w:val="16"/>
                    </w:rPr>
                    <w:t>136470.SH</w:t>
                    <w:tab/>
                  </w:r>
                  <w:r>
                    <w:rPr>
                      <w:rFonts w:ascii="宋体" w:hAnsi="宋体" w:cs="宋体" w:eastAsia="宋体" w:hint="default"/>
                      <w:w w:val="110"/>
                      <w:position w:val="10"/>
                      <w:sz w:val="16"/>
                      <w:szCs w:val="16"/>
                    </w:rPr>
                    <w:t>2016</w:t>
                  </w:r>
                  <w:r>
                    <w:rPr>
                      <w:rFonts w:ascii="宋体" w:hAnsi="宋体" w:cs="宋体" w:eastAsia="宋体" w:hint="default"/>
                      <w:spacing w:val="-62"/>
                      <w:w w:val="110"/>
                      <w:position w:val="10"/>
                      <w:sz w:val="16"/>
                      <w:szCs w:val="16"/>
                    </w:rPr>
                    <w:t> </w:t>
                  </w:r>
                  <w:r>
                    <w:rPr>
                      <w:rFonts w:ascii="宋体" w:hAnsi="宋体" w:cs="宋体" w:eastAsia="宋体" w:hint="default"/>
                      <w:w w:val="110"/>
                      <w:position w:val="10"/>
                      <w:sz w:val="16"/>
                      <w:szCs w:val="16"/>
                    </w:rPr>
                    <w:t>年</w:t>
                  </w:r>
                  <w:r>
                    <w:rPr>
                      <w:rFonts w:ascii="宋体" w:hAnsi="宋体" w:cs="宋体" w:eastAsia="宋体" w:hint="default"/>
                      <w:w w:val="110"/>
                      <w:sz w:val="16"/>
                      <w:szCs w:val="16"/>
                    </w:rPr>
                  </w:r>
                </w:p>
                <w:p>
                  <w:pPr>
                    <w:spacing w:line="155" w:lineRule="exact" w:before="0"/>
                    <w:ind w:left="1016" w:right="0" w:firstLine="0"/>
                    <w:jc w:val="left"/>
                    <w:rPr>
                      <w:rFonts w:ascii="宋体" w:hAnsi="宋体" w:cs="宋体" w:eastAsia="宋体" w:hint="default"/>
                      <w:sz w:val="16"/>
                      <w:szCs w:val="16"/>
                    </w:rPr>
                  </w:pPr>
                  <w:r>
                    <w:rPr>
                      <w:rFonts w:ascii="宋体" w:hAnsi="宋体" w:cs="宋体" w:eastAsia="宋体" w:hint="default"/>
                      <w:spacing w:val="26"/>
                      <w:w w:val="105"/>
                      <w:sz w:val="16"/>
                      <w:szCs w:val="16"/>
                    </w:rPr>
                    <w:t>6月7日</w:t>
                  </w:r>
                  <w:r>
                    <w:rPr>
                      <w:rFonts w:ascii="宋体" w:hAnsi="宋体" w:cs="宋体" w:eastAsia="宋体" w:hint="default"/>
                      <w:spacing w:val="-40"/>
                      <w:sz w:val="16"/>
                      <w:szCs w:val="16"/>
                    </w:rPr>
                    <w:t> </w:t>
                  </w:r>
                  <w:r>
                    <w:rPr>
                      <w:rFonts w:ascii="宋体" w:hAnsi="宋体" w:cs="宋体" w:eastAsia="宋体" w:hint="default"/>
                      <w:sz w:val="16"/>
                      <w:szCs w:val="16"/>
                    </w:rPr>
                  </w:r>
                </w:p>
              </w:txbxContent>
            </v:textbox>
          </v:shape>
        </w:pict>
      </w:r>
      <w:r>
        <w:rPr>
          <w:rFonts w:ascii="宋体"/>
          <w:spacing w:val="104"/>
          <w:position w:val="5"/>
          <w:sz w:val="20"/>
        </w:rPr>
      </w:r>
      <w:r>
        <w:rPr>
          <w:rFonts w:ascii="宋体"/>
          <w:spacing w:val="104"/>
          <w:position w:val="5"/>
          <w:sz w:val="20"/>
        </w:rPr>
        <w:tab/>
      </w:r>
      <w:r>
        <w:rPr>
          <w:rFonts w:ascii="宋体"/>
          <w:spacing w:val="104"/>
          <w:position w:val="5"/>
          <w:sz w:val="20"/>
        </w:rPr>
        <w:pict>
          <v:shape style="width:32.9pt;height:18pt;mso-position-horizontal-relative:char;mso-position-vertical-relative:line" type="#_x0000_t202" filled="false" stroked="false">
            <w10:anchorlock/>
            <v:textbox inset="0,0,0,0">
              <w:txbxContent>
                <w:p>
                  <w:pPr>
                    <w:spacing w:line="143" w:lineRule="exact" w:before="0"/>
                    <w:ind w:left="62" w:right="0" w:firstLine="0"/>
                    <w:jc w:val="left"/>
                    <w:rPr>
                      <w:rFonts w:ascii="宋体" w:hAnsi="宋体" w:cs="宋体" w:eastAsia="宋体" w:hint="default"/>
                      <w:sz w:val="16"/>
                      <w:szCs w:val="16"/>
                    </w:rPr>
                  </w:pPr>
                  <w:r>
                    <w:rPr>
                      <w:rFonts w:ascii="宋体" w:hAnsi="宋体" w:cs="宋体" w:eastAsia="宋体" w:hint="default"/>
                      <w:w w:val="110"/>
                      <w:sz w:val="16"/>
                      <w:szCs w:val="16"/>
                    </w:rPr>
                    <w:t>2021</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spacing w:line="205" w:lineRule="exact" w:before="0"/>
                    <w:ind w:left="0" w:right="0" w:firstLine="0"/>
                    <w:jc w:val="left"/>
                    <w:rPr>
                      <w:rFonts w:ascii="宋体" w:hAnsi="宋体" w:cs="宋体" w:eastAsia="宋体" w:hint="default"/>
                      <w:sz w:val="16"/>
                      <w:szCs w:val="16"/>
                    </w:rPr>
                  </w:pPr>
                  <w:r>
                    <w:rPr>
                      <w:rFonts w:ascii="宋体" w:hAnsi="宋体" w:cs="宋体" w:eastAsia="宋体" w:hint="default"/>
                      <w:spacing w:val="26"/>
                      <w:w w:val="105"/>
                      <w:sz w:val="16"/>
                      <w:szCs w:val="16"/>
                    </w:rPr>
                    <w:t>6月7日</w:t>
                  </w:r>
                  <w:r>
                    <w:rPr>
                      <w:rFonts w:ascii="宋体" w:hAnsi="宋体" w:cs="宋体" w:eastAsia="宋体" w:hint="default"/>
                      <w:spacing w:val="-40"/>
                      <w:sz w:val="16"/>
                      <w:szCs w:val="16"/>
                    </w:rPr>
                    <w:t> </w:t>
                  </w:r>
                  <w:r>
                    <w:rPr>
                      <w:rFonts w:ascii="宋体" w:hAnsi="宋体" w:cs="宋体" w:eastAsia="宋体" w:hint="default"/>
                      <w:sz w:val="16"/>
                      <w:szCs w:val="16"/>
                    </w:rPr>
                  </w:r>
                </w:p>
              </w:txbxContent>
            </v:textbox>
          </v:shape>
        </w:pict>
      </w:r>
      <w:r>
        <w:rPr>
          <w:rFonts w:ascii="宋体"/>
          <w:spacing w:val="104"/>
          <w:position w:val="5"/>
          <w:sz w:val="20"/>
        </w:rPr>
      </w:r>
      <w:r>
        <w:rPr>
          <w:rFonts w:ascii="Times New Roman"/>
          <w:spacing w:val="140"/>
          <w:position w:val="5"/>
          <w:sz w:val="16"/>
        </w:rPr>
        <w:t> </w:t>
      </w:r>
      <w:r>
        <w:rPr>
          <w:rFonts w:ascii="宋体"/>
          <w:spacing w:val="140"/>
          <w:position w:val="15"/>
          <w:sz w:val="16"/>
        </w:rPr>
        <w:pict>
          <v:shape style="width:87.9pt;height:8pt;mso-position-horizontal-relative:char;mso-position-vertical-relative:line" type="#_x0000_t202" filled="false" stroked="false">
            <w10:anchorlock/>
            <v:textbox inset="0,0,0,0">
              <w:txbxContent>
                <w:p>
                  <w:pPr>
                    <w:tabs>
                      <w:tab w:pos="1286" w:val="left" w:leader="none"/>
                    </w:tabs>
                    <w:spacing w:line="148" w:lineRule="exact" w:before="0"/>
                    <w:ind w:left="0" w:right="0" w:firstLine="0"/>
                    <w:jc w:val="left"/>
                    <w:rPr>
                      <w:rFonts w:ascii="宋体" w:hAnsi="宋体" w:cs="宋体" w:eastAsia="宋体" w:hint="default"/>
                      <w:sz w:val="16"/>
                      <w:szCs w:val="16"/>
                    </w:rPr>
                  </w:pPr>
                  <w:r>
                    <w:rPr>
                      <w:rFonts w:ascii="宋体"/>
                      <w:w w:val="95"/>
                      <w:sz w:val="16"/>
                    </w:rPr>
                    <w:t>1,000,000,000</w:t>
                    <w:tab/>
                  </w:r>
                  <w:r>
                    <w:rPr>
                      <w:rFonts w:ascii="宋体"/>
                      <w:sz w:val="16"/>
                    </w:rPr>
                    <w:t>3.43%</w:t>
                  </w:r>
                </w:p>
              </w:txbxContent>
            </v:textbox>
          </v:shape>
        </w:pict>
      </w:r>
      <w:r>
        <w:rPr>
          <w:rFonts w:ascii="宋体"/>
          <w:spacing w:val="140"/>
          <w:position w:val="15"/>
          <w:sz w:val="16"/>
        </w:rPr>
      </w:r>
      <w:r>
        <w:rPr>
          <w:rFonts w:ascii="宋体"/>
          <w:spacing w:val="140"/>
          <w:position w:val="15"/>
          <w:sz w:val="16"/>
        </w:rPr>
        <w:tab/>
      </w:r>
      <w:r>
        <w:rPr>
          <w:rFonts w:ascii="宋体"/>
          <w:spacing w:val="140"/>
          <w:position w:val="15"/>
          <w:sz w:val="16"/>
        </w:rPr>
        <w:pict>
          <v:shape style="width:16pt;height:8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同上</w:t>
                  </w:r>
                </w:p>
              </w:txbxContent>
            </v:textbox>
          </v:shape>
        </w:pict>
      </w:r>
      <w:r>
        <w:rPr>
          <w:rFonts w:ascii="宋体"/>
          <w:spacing w:val="140"/>
          <w:position w:val="15"/>
          <w:sz w:val="16"/>
        </w:rPr>
      </w:r>
      <w:r>
        <w:rPr>
          <w:rFonts w:ascii="宋体"/>
          <w:spacing w:val="140"/>
          <w:position w:val="15"/>
          <w:sz w:val="16"/>
        </w:rPr>
        <w:tab/>
      </w:r>
      <w:r>
        <w:rPr>
          <w:rFonts w:ascii="宋体"/>
          <w:spacing w:val="140"/>
          <w:position w:val="5"/>
          <w:sz w:val="20"/>
        </w:rPr>
        <w:pict>
          <v:shape style="width:32pt;height:18pt;mso-position-horizontal-relative:char;mso-position-vertical-relative:line" type="#_x0000_t202" filled="false" stroked="false">
            <w10:anchorlock/>
            <v:textbox inset="0,0,0,0">
              <w:txbxContent>
                <w:p>
                  <w:pPr>
                    <w:spacing w:line="143" w:lineRule="exact" w:before="0"/>
                    <w:ind w:left="80" w:right="0" w:hanging="80"/>
                    <w:jc w:val="left"/>
                    <w:rPr>
                      <w:rFonts w:ascii="宋体" w:hAnsi="宋体" w:cs="宋体" w:eastAsia="宋体" w:hint="default"/>
                      <w:sz w:val="16"/>
                      <w:szCs w:val="16"/>
                    </w:rPr>
                  </w:pPr>
                  <w:r>
                    <w:rPr>
                      <w:rFonts w:ascii="宋体" w:hAnsi="宋体" w:cs="宋体" w:eastAsia="宋体" w:hint="default"/>
                      <w:sz w:val="16"/>
                      <w:szCs w:val="16"/>
                    </w:rPr>
                    <w:t>上海证券</w:t>
                  </w:r>
                </w:p>
                <w:p>
                  <w:pPr>
                    <w:spacing w:line="205" w:lineRule="exact" w:before="0"/>
                    <w:ind w:left="80" w:right="0" w:firstLine="0"/>
                    <w:jc w:val="left"/>
                    <w:rPr>
                      <w:rFonts w:ascii="宋体" w:hAnsi="宋体" w:cs="宋体" w:eastAsia="宋体" w:hint="default"/>
                      <w:sz w:val="16"/>
                      <w:szCs w:val="16"/>
                    </w:rPr>
                  </w:pPr>
                  <w:r>
                    <w:rPr>
                      <w:rFonts w:ascii="宋体" w:hAnsi="宋体" w:cs="宋体" w:eastAsia="宋体" w:hint="default"/>
                      <w:sz w:val="16"/>
                      <w:szCs w:val="16"/>
                    </w:rPr>
                    <w:t>交易所</w:t>
                  </w:r>
                </w:p>
              </w:txbxContent>
            </v:textbox>
          </v:shape>
        </w:pict>
      </w:r>
      <w:r>
        <w:rPr>
          <w:rFonts w:ascii="宋体"/>
          <w:spacing w:val="140"/>
          <w:position w:val="5"/>
          <w:sz w:val="20"/>
        </w:rPr>
      </w:r>
    </w:p>
    <w:p>
      <w:pPr>
        <w:spacing w:line="240" w:lineRule="auto" w:before="13"/>
        <w:rPr>
          <w:rFonts w:ascii="宋体" w:hAnsi="宋体" w:cs="宋体" w:eastAsia="宋体" w:hint="default"/>
          <w:sz w:val="12"/>
          <w:szCs w:val="12"/>
        </w:rPr>
      </w:pPr>
    </w:p>
    <w:p>
      <w:pPr>
        <w:tabs>
          <w:tab w:pos="2069" w:val="left" w:leader="none"/>
          <w:tab w:pos="7000" w:val="left" w:leader="none"/>
          <w:tab w:pos="7974" w:val="left" w:leader="none"/>
          <w:tab w:pos="8834" w:val="left" w:leader="none"/>
        </w:tabs>
        <w:spacing w:line="760" w:lineRule="exact"/>
        <w:ind w:left="631" w:right="0" w:firstLine="0"/>
        <w:rPr>
          <w:rFonts w:ascii="宋体" w:hAnsi="宋体" w:cs="宋体" w:eastAsia="宋体" w:hint="default"/>
          <w:sz w:val="20"/>
          <w:szCs w:val="20"/>
        </w:rPr>
      </w:pPr>
      <w:r>
        <w:rPr>
          <w:rFonts w:ascii="宋体"/>
          <w:position w:val="-14"/>
          <w:sz w:val="20"/>
        </w:rPr>
        <w:pict>
          <v:shape style="width:59.8pt;height:38pt;mso-position-horizontal-relative:char;mso-position-vertical-relative:line" type="#_x0000_t202" filled="false" stroked="false">
            <w10:anchorlock/>
            <v:textbox inset="0,0,0,0">
              <w:txbxContent>
                <w:p>
                  <w:pPr>
                    <w:spacing w:line="143"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中国联合网络通</w:t>
                  </w:r>
                </w:p>
                <w:p>
                  <w:pPr>
                    <w:spacing w:line="200" w:lineRule="exact" w:before="22"/>
                    <w:ind w:left="0" w:right="0" w:firstLine="0"/>
                    <w:jc w:val="left"/>
                    <w:rPr>
                      <w:rFonts w:ascii="宋体" w:hAnsi="宋体" w:cs="宋体" w:eastAsia="宋体" w:hint="default"/>
                      <w:sz w:val="16"/>
                      <w:szCs w:val="16"/>
                    </w:rPr>
                  </w:pPr>
                  <w:r>
                    <w:rPr>
                      <w:rFonts w:ascii="宋体" w:hAnsi="宋体" w:cs="宋体" w:eastAsia="宋体" w:hint="default"/>
                      <w:sz w:val="16"/>
                      <w:szCs w:val="16"/>
                    </w:rPr>
                    <w:t>信有限公司</w:t>
                  </w:r>
                  <w:r>
                    <w:rPr>
                      <w:rFonts w:ascii="宋体" w:hAnsi="宋体" w:cs="宋体" w:eastAsia="宋体" w:hint="default"/>
                      <w:spacing w:val="-6"/>
                      <w:sz w:val="16"/>
                      <w:szCs w:val="16"/>
                    </w:rPr>
                    <w:t> </w:t>
                  </w:r>
                  <w:r>
                    <w:rPr>
                      <w:rFonts w:ascii="宋体" w:hAnsi="宋体" w:cs="宋体" w:eastAsia="宋体" w:hint="default"/>
                      <w:sz w:val="16"/>
                      <w:szCs w:val="16"/>
                    </w:rPr>
                    <w:t>2016</w:t>
                  </w:r>
                  <w:r>
                    <w:rPr>
                      <w:rFonts w:ascii="宋体" w:hAnsi="宋体" w:cs="宋体" w:eastAsia="宋体" w:hint="default"/>
                      <w:w w:val="111"/>
                      <w:sz w:val="16"/>
                      <w:szCs w:val="16"/>
                    </w:rPr>
                    <w:t> </w:t>
                  </w:r>
                  <w:r>
                    <w:rPr>
                      <w:rFonts w:ascii="宋体" w:hAnsi="宋体" w:cs="宋体" w:eastAsia="宋体" w:hint="default"/>
                      <w:sz w:val="16"/>
                      <w:szCs w:val="16"/>
                    </w:rPr>
                    <w:t>年公司债券</w:t>
                  </w:r>
                </w:p>
                <w:p>
                  <w:pPr>
                    <w:spacing w:line="183" w:lineRule="exact" w:before="0"/>
                    <w:ind w:left="0" w:right="0" w:firstLine="0"/>
                    <w:jc w:val="left"/>
                    <w:rPr>
                      <w:rFonts w:ascii="宋体" w:hAnsi="宋体" w:cs="宋体" w:eastAsia="宋体" w:hint="default"/>
                      <w:sz w:val="16"/>
                      <w:szCs w:val="16"/>
                    </w:rPr>
                  </w:pPr>
                  <w:r>
                    <w:rPr>
                      <w:rFonts w:ascii="宋体" w:hAnsi="宋体" w:cs="宋体" w:eastAsia="宋体" w:hint="default"/>
                      <w:w w:val="95"/>
                      <w:sz w:val="16"/>
                      <w:szCs w:val="16"/>
                    </w:rPr>
                    <w:t>(</w:t>
                  </w:r>
                  <w:r>
                    <w:rPr>
                      <w:rFonts w:ascii="宋体" w:hAnsi="宋体" w:cs="宋体" w:eastAsia="宋体" w:hint="default"/>
                      <w:spacing w:val="-47"/>
                      <w:w w:val="95"/>
                      <w:sz w:val="16"/>
                      <w:szCs w:val="16"/>
                    </w:rPr>
                    <w:t> </w:t>
                  </w:r>
                  <w:r>
                    <w:rPr>
                      <w:rFonts w:ascii="宋体" w:hAnsi="宋体" w:cs="宋体" w:eastAsia="宋体" w:hint="default"/>
                      <w:w w:val="95"/>
                      <w:sz w:val="16"/>
                      <w:szCs w:val="16"/>
                    </w:rPr>
                    <w:t>第二期</w:t>
                  </w:r>
                  <w:r>
                    <w:rPr>
                      <w:rFonts w:ascii="宋体" w:hAnsi="宋体" w:cs="宋体" w:eastAsia="宋体" w:hint="default"/>
                      <w:spacing w:val="-66"/>
                      <w:w w:val="95"/>
                      <w:sz w:val="16"/>
                      <w:szCs w:val="16"/>
                    </w:rPr>
                    <w:t> </w:t>
                  </w:r>
                  <w:r>
                    <w:rPr>
                      <w:rFonts w:ascii="宋体" w:hAnsi="宋体" w:cs="宋体" w:eastAsia="宋体" w:hint="default"/>
                      <w:w w:val="95"/>
                      <w:sz w:val="16"/>
                      <w:szCs w:val="16"/>
                    </w:rPr>
                    <w:t>)</w:t>
                  </w:r>
                  <w:r>
                    <w:rPr>
                      <w:rFonts w:ascii="宋体" w:hAnsi="宋体" w:cs="宋体" w:eastAsia="宋体" w:hint="default"/>
                      <w:sz w:val="16"/>
                      <w:szCs w:val="16"/>
                    </w:rPr>
                  </w:r>
                </w:p>
              </w:txbxContent>
            </v:textbox>
          </v:shape>
        </w:pict>
      </w:r>
      <w:r>
        <w:rPr>
          <w:rFonts w:ascii="宋体"/>
          <w:position w:val="-14"/>
          <w:sz w:val="20"/>
        </w:rPr>
      </w:r>
      <w:r>
        <w:rPr>
          <w:rFonts w:ascii="宋体"/>
          <w:position w:val="-14"/>
          <w:sz w:val="20"/>
        </w:rPr>
        <w:tab/>
      </w:r>
      <w:r>
        <w:rPr>
          <w:rFonts w:ascii="宋体"/>
          <w:position w:val="15"/>
          <w:sz w:val="16"/>
        </w:rPr>
        <w:pict>
          <v:shape style="width:37.8pt;height:8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16</w:t>
                  </w:r>
                  <w:r>
                    <w:rPr>
                      <w:rFonts w:ascii="宋体" w:hAnsi="宋体" w:cs="宋体" w:eastAsia="宋体" w:hint="default"/>
                      <w:spacing w:val="-64"/>
                      <w:w w:val="110"/>
                      <w:sz w:val="16"/>
                      <w:szCs w:val="16"/>
                    </w:rPr>
                    <w:t> </w:t>
                  </w:r>
                  <w:r>
                    <w:rPr>
                      <w:rFonts w:ascii="宋体" w:hAnsi="宋体" w:cs="宋体" w:eastAsia="宋体" w:hint="default"/>
                      <w:w w:val="110"/>
                      <w:sz w:val="16"/>
                      <w:szCs w:val="16"/>
                    </w:rPr>
                    <w:t>联通</w:t>
                  </w:r>
                  <w:r>
                    <w:rPr>
                      <w:rFonts w:ascii="宋体" w:hAnsi="宋体" w:cs="宋体" w:eastAsia="宋体" w:hint="default"/>
                      <w:spacing w:val="-63"/>
                      <w:w w:val="110"/>
                      <w:sz w:val="16"/>
                      <w:szCs w:val="16"/>
                    </w:rPr>
                    <w:t> </w:t>
                  </w:r>
                  <w:r>
                    <w:rPr>
                      <w:rFonts w:ascii="宋体" w:hAnsi="宋体" w:cs="宋体" w:eastAsia="宋体" w:hint="default"/>
                      <w:w w:val="110"/>
                      <w:sz w:val="16"/>
                      <w:szCs w:val="16"/>
                    </w:rPr>
                    <w:t>03</w:t>
                  </w:r>
                  <w:r>
                    <w:rPr>
                      <w:rFonts w:ascii="宋体" w:hAnsi="宋体" w:cs="宋体" w:eastAsia="宋体" w:hint="default"/>
                      <w:sz w:val="16"/>
                      <w:szCs w:val="16"/>
                    </w:rPr>
                  </w:r>
                </w:p>
              </w:txbxContent>
            </v:textbox>
          </v:shape>
        </w:pict>
      </w:r>
      <w:r>
        <w:rPr>
          <w:rFonts w:ascii="宋体"/>
          <w:position w:val="15"/>
          <w:sz w:val="16"/>
        </w:rPr>
      </w:r>
      <w:r>
        <w:rPr>
          <w:rFonts w:ascii="Times New Roman"/>
          <w:spacing w:val="114"/>
          <w:position w:val="15"/>
          <w:sz w:val="16"/>
        </w:rPr>
        <w:t> </w:t>
      </w:r>
      <w:r>
        <w:rPr>
          <w:rFonts w:ascii="宋体"/>
          <w:spacing w:val="114"/>
          <w:position w:val="15"/>
          <w:sz w:val="16"/>
        </w:rPr>
        <w:pict>
          <v:shape style="width:39.5pt;height:8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w w:val="105"/>
                      <w:sz w:val="16"/>
                    </w:rPr>
                    <w:t>136544.SH</w:t>
                  </w:r>
                  <w:r>
                    <w:rPr>
                      <w:rFonts w:ascii="宋体"/>
                      <w:sz w:val="16"/>
                    </w:rPr>
                  </w:r>
                </w:p>
              </w:txbxContent>
            </v:textbox>
          </v:shape>
        </w:pict>
      </w:r>
      <w:r>
        <w:rPr>
          <w:rFonts w:ascii="宋体"/>
          <w:spacing w:val="114"/>
          <w:position w:val="15"/>
          <w:sz w:val="16"/>
        </w:rPr>
      </w:r>
      <w:r>
        <w:rPr>
          <w:rFonts w:ascii="Times New Roman"/>
          <w:spacing w:val="87"/>
          <w:position w:val="15"/>
          <w:sz w:val="20"/>
        </w:rPr>
        <w:t> </w:t>
      </w:r>
      <w:r>
        <w:rPr>
          <w:rFonts w:ascii="宋体"/>
          <w:spacing w:val="87"/>
          <w:position w:val="5"/>
          <w:sz w:val="20"/>
        </w:rPr>
        <w:pict>
          <v:shape style="width:141.35pt;height:13pt;mso-position-horizontal-relative:char;mso-position-vertical-relative:line" type="#_x0000_t202" filled="false" stroked="false">
            <w10:anchorlock/>
            <v:textbox inset="0,0,0,0">
              <w:txbxContent>
                <w:p>
                  <w:pPr>
                    <w:spacing w:line="248" w:lineRule="exact" w:before="0"/>
                    <w:ind w:left="0" w:right="0" w:firstLine="0"/>
                    <w:jc w:val="left"/>
                    <w:rPr>
                      <w:rFonts w:ascii="宋体" w:hAnsi="宋体" w:cs="宋体" w:eastAsia="宋体" w:hint="default"/>
                      <w:sz w:val="16"/>
                      <w:szCs w:val="16"/>
                    </w:rPr>
                  </w:pPr>
                  <w:r>
                    <w:rPr>
                      <w:rFonts w:ascii="宋体" w:hAnsi="宋体" w:cs="宋体" w:eastAsia="宋体" w:hint="default"/>
                      <w:spacing w:val="19"/>
                      <w:position w:val="-9"/>
                      <w:sz w:val="16"/>
                      <w:szCs w:val="16"/>
                    </w:rPr>
                    <w:t>7月 </w:t>
                  </w:r>
                  <w:r>
                    <w:rPr>
                      <w:rFonts w:ascii="宋体" w:hAnsi="宋体" w:cs="宋体" w:eastAsia="宋体" w:hint="default"/>
                      <w:spacing w:val="12"/>
                      <w:position w:val="-9"/>
                      <w:sz w:val="16"/>
                      <w:szCs w:val="16"/>
                    </w:rPr>
                    <w:t>14日  </w:t>
                  </w:r>
                  <w:r>
                    <w:rPr>
                      <w:rFonts w:ascii="宋体" w:hAnsi="宋体" w:cs="宋体" w:eastAsia="宋体" w:hint="default"/>
                      <w:spacing w:val="19"/>
                      <w:position w:val="-9"/>
                      <w:sz w:val="16"/>
                      <w:szCs w:val="16"/>
                    </w:rPr>
                    <w:t>7月 </w:t>
                  </w:r>
                  <w:r>
                    <w:rPr>
                      <w:rFonts w:ascii="宋体" w:hAnsi="宋体" w:cs="宋体" w:eastAsia="宋体" w:hint="default"/>
                      <w:spacing w:val="12"/>
                      <w:position w:val="-9"/>
                      <w:sz w:val="16"/>
                      <w:szCs w:val="16"/>
                    </w:rPr>
                    <w:t>14日</w:t>
                  </w:r>
                  <w:r>
                    <w:rPr>
                      <w:rFonts w:ascii="宋体" w:hAnsi="宋体" w:cs="宋体" w:eastAsia="宋体" w:hint="default"/>
                      <w:spacing w:val="-27"/>
                      <w:position w:val="-9"/>
                      <w:sz w:val="16"/>
                      <w:szCs w:val="16"/>
                    </w:rPr>
                    <w:t> </w:t>
                  </w:r>
                  <w:r>
                    <w:rPr>
                      <w:rFonts w:ascii="宋体" w:hAnsi="宋体" w:cs="宋体" w:eastAsia="宋体" w:hint="default"/>
                      <w:sz w:val="16"/>
                      <w:szCs w:val="16"/>
                    </w:rPr>
                    <w:t>10,000,000,000</w:t>
                  </w:r>
                </w:p>
              </w:txbxContent>
            </v:textbox>
          </v:shape>
        </w:pict>
      </w:r>
      <w:r>
        <w:rPr>
          <w:rFonts w:ascii="宋体"/>
          <w:spacing w:val="87"/>
          <w:position w:val="5"/>
          <w:sz w:val="20"/>
        </w:rPr>
      </w:r>
      <w:r>
        <w:rPr>
          <w:rFonts w:ascii="宋体"/>
          <w:spacing w:val="87"/>
          <w:position w:val="5"/>
          <w:sz w:val="20"/>
        </w:rPr>
        <w:tab/>
      </w:r>
      <w:r>
        <w:rPr>
          <w:rFonts w:ascii="宋体"/>
          <w:spacing w:val="87"/>
          <w:position w:val="15"/>
          <w:sz w:val="16"/>
        </w:rPr>
        <w:pict>
          <v:shape style="width:23.55pt;height:8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w w:val="115"/>
                      <w:sz w:val="16"/>
                    </w:rPr>
                    <w:t>2.95%</w:t>
                  </w:r>
                  <w:r>
                    <w:rPr>
                      <w:rFonts w:ascii="宋体"/>
                      <w:sz w:val="16"/>
                    </w:rPr>
                  </w:r>
                </w:p>
              </w:txbxContent>
            </v:textbox>
          </v:shape>
        </w:pict>
      </w:r>
      <w:r>
        <w:rPr>
          <w:rFonts w:ascii="宋体"/>
          <w:spacing w:val="87"/>
          <w:position w:val="15"/>
          <w:sz w:val="16"/>
        </w:rPr>
      </w:r>
      <w:r>
        <w:rPr>
          <w:rFonts w:ascii="宋体"/>
          <w:spacing w:val="87"/>
          <w:position w:val="15"/>
          <w:sz w:val="16"/>
        </w:rPr>
        <w:tab/>
      </w:r>
      <w:r>
        <w:rPr>
          <w:rFonts w:ascii="宋体"/>
          <w:spacing w:val="87"/>
          <w:position w:val="15"/>
          <w:sz w:val="16"/>
        </w:rPr>
        <w:pict>
          <v:shape style="width:16pt;height:8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同上</w:t>
                  </w:r>
                </w:p>
              </w:txbxContent>
            </v:textbox>
          </v:shape>
        </w:pict>
      </w:r>
      <w:r>
        <w:rPr>
          <w:rFonts w:ascii="宋体"/>
          <w:spacing w:val="87"/>
          <w:position w:val="15"/>
          <w:sz w:val="16"/>
        </w:rPr>
      </w:r>
      <w:r>
        <w:rPr>
          <w:rFonts w:ascii="宋体"/>
          <w:spacing w:val="87"/>
          <w:position w:val="15"/>
          <w:sz w:val="16"/>
        </w:rPr>
        <w:tab/>
      </w:r>
      <w:r>
        <w:rPr>
          <w:rFonts w:ascii="宋体"/>
          <w:spacing w:val="87"/>
          <w:position w:val="5"/>
          <w:sz w:val="20"/>
        </w:rPr>
        <w:pict>
          <v:shape style="width:32pt;height:18pt;mso-position-horizontal-relative:char;mso-position-vertical-relative:line" type="#_x0000_t202" filled="false" stroked="false">
            <w10:anchorlock/>
            <v:textbox inset="0,0,0,0">
              <w:txbxContent>
                <w:p>
                  <w:pPr>
                    <w:spacing w:line="143" w:lineRule="exact" w:before="0"/>
                    <w:ind w:left="80" w:right="0" w:hanging="80"/>
                    <w:jc w:val="left"/>
                    <w:rPr>
                      <w:rFonts w:ascii="宋体" w:hAnsi="宋体" w:cs="宋体" w:eastAsia="宋体" w:hint="default"/>
                      <w:sz w:val="16"/>
                      <w:szCs w:val="16"/>
                    </w:rPr>
                  </w:pPr>
                  <w:r>
                    <w:rPr>
                      <w:rFonts w:ascii="宋体" w:hAnsi="宋体" w:cs="宋体" w:eastAsia="宋体" w:hint="default"/>
                      <w:sz w:val="16"/>
                      <w:szCs w:val="16"/>
                    </w:rPr>
                    <w:t>上海证券</w:t>
                  </w:r>
                </w:p>
                <w:p>
                  <w:pPr>
                    <w:spacing w:line="205" w:lineRule="exact" w:before="0"/>
                    <w:ind w:left="80" w:right="0" w:firstLine="0"/>
                    <w:jc w:val="left"/>
                    <w:rPr>
                      <w:rFonts w:ascii="宋体" w:hAnsi="宋体" w:cs="宋体" w:eastAsia="宋体" w:hint="default"/>
                      <w:sz w:val="16"/>
                      <w:szCs w:val="16"/>
                    </w:rPr>
                  </w:pPr>
                  <w:r>
                    <w:rPr>
                      <w:rFonts w:ascii="宋体" w:hAnsi="宋体" w:cs="宋体" w:eastAsia="宋体" w:hint="default"/>
                      <w:sz w:val="16"/>
                      <w:szCs w:val="16"/>
                    </w:rPr>
                    <w:t>交易所</w:t>
                  </w:r>
                </w:p>
              </w:txbxContent>
            </v:textbox>
          </v:shape>
        </w:pict>
      </w:r>
      <w:r>
        <w:rPr>
          <w:rFonts w:ascii="宋体"/>
          <w:spacing w:val="87"/>
          <w:position w:val="5"/>
          <w:sz w:val="20"/>
        </w:rPr>
      </w:r>
    </w:p>
    <w:p>
      <w:pPr>
        <w:spacing w:line="240" w:lineRule="auto" w:before="10"/>
        <w:rPr>
          <w:rFonts w:ascii="宋体" w:hAnsi="宋体" w:cs="宋体" w:eastAsia="宋体" w:hint="default"/>
          <w:sz w:val="29"/>
          <w:szCs w:val="29"/>
        </w:rPr>
      </w:pPr>
    </w:p>
    <w:p>
      <w:pPr>
        <w:spacing w:line="2480" w:lineRule="exact"/>
        <w:ind w:left="575" w:right="0" w:firstLine="0"/>
        <w:rPr>
          <w:rFonts w:ascii="宋体" w:hAnsi="宋体" w:cs="宋体" w:eastAsia="宋体" w:hint="default"/>
          <w:sz w:val="20"/>
          <w:szCs w:val="20"/>
        </w:rPr>
      </w:pPr>
      <w:r>
        <w:rPr>
          <w:rFonts w:ascii="宋体" w:hAnsi="宋体" w:cs="宋体" w:eastAsia="宋体" w:hint="default"/>
          <w:position w:val="-49"/>
          <w:sz w:val="20"/>
          <w:szCs w:val="20"/>
        </w:rPr>
        <w:pict>
          <v:shape style="width:453.25pt;height:124.05pt;mso-position-horizontal-relative:char;mso-position-vertical-relative:line" type="#_x0000_t202" filled="false" stroked="false">
            <w10:anchorlock/>
            <v:textbox inset="0,0,0,0">
              <w:txbxContent>
                <w:p>
                  <w:pPr>
                    <w:pStyle w:val="BodyText"/>
                    <w:spacing w:line="167" w:lineRule="exact"/>
                    <w:ind w:left="0" w:right="0"/>
                    <w:jc w:val="both"/>
                    <w:rPr>
                      <w:rFonts w:ascii="宋体" w:hAnsi="宋体" w:cs="宋体" w:eastAsia="宋体" w:hint="default"/>
                    </w:rPr>
                  </w:pPr>
                  <w:r>
                    <w:rPr>
                      <w:rFonts w:ascii="宋体" w:hAnsi="宋体" w:cs="宋体" w:eastAsia="宋体" w:hint="default"/>
                      <w:spacing w:val="3"/>
                    </w:rPr>
                    <w:t>本公司的控股子公司 </w:t>
                  </w:r>
                  <w:r>
                    <w:rPr>
                      <w:rFonts w:ascii="宋体" w:hAnsi="宋体" w:cs="宋体" w:eastAsia="宋体" w:hint="default"/>
                    </w:rPr>
                    <w:t>-</w:t>
                  </w:r>
                  <w:r>
                    <w:rPr>
                      <w:rFonts w:ascii="宋体" w:hAnsi="宋体" w:cs="宋体" w:eastAsia="宋体" w:hint="default"/>
                      <w:spacing w:val="-39"/>
                    </w:rPr>
                    <w:t> </w:t>
                  </w:r>
                  <w:r>
                    <w:rPr>
                      <w:rFonts w:ascii="宋体" w:hAnsi="宋体" w:cs="宋体" w:eastAsia="宋体" w:hint="default"/>
                      <w:spacing w:val="3"/>
                    </w:rPr>
                    <w:t>联通红筹公司之全资附属公司中国联合网络通信有限公司（以下简称“联通运营公司”）</w:t>
                  </w:r>
                </w:p>
                <w:p>
                  <w:pPr>
                    <w:pStyle w:val="BodyText"/>
                    <w:spacing w:line="285" w:lineRule="auto" w:before="44"/>
                    <w:ind w:left="0" w:right="5"/>
                    <w:jc w:val="both"/>
                    <w:rPr>
                      <w:rFonts w:ascii="宋体" w:hAnsi="宋体" w:cs="宋体" w:eastAsia="宋体" w:hint="default"/>
                    </w:rPr>
                  </w:pPr>
                  <w:r>
                    <w:rPr>
                      <w:rFonts w:ascii="宋体" w:hAnsi="宋体" w:cs="宋体" w:eastAsia="宋体" w:hint="default"/>
                      <w:spacing w:val="7"/>
                      <w:w w:val="105"/>
                    </w:rPr>
                    <w:t>分别于</w:t>
                  </w:r>
                  <w:r>
                    <w:rPr>
                      <w:rFonts w:ascii="宋体" w:hAnsi="宋体" w:cs="宋体" w:eastAsia="宋体" w:hint="default"/>
                      <w:spacing w:val="-63"/>
                      <w:w w:val="105"/>
                    </w:rPr>
                    <w:t> </w:t>
                  </w:r>
                  <w:r>
                    <w:rPr>
                      <w:rFonts w:ascii="宋体" w:hAnsi="宋体" w:cs="宋体" w:eastAsia="宋体" w:hint="default"/>
                      <w:w w:val="105"/>
                    </w:rPr>
                    <w:t>2016</w:t>
                  </w:r>
                  <w:r>
                    <w:rPr>
                      <w:rFonts w:ascii="宋体" w:hAnsi="宋体" w:cs="宋体" w:eastAsia="宋体" w:hint="default"/>
                      <w:spacing w:val="-64"/>
                      <w:w w:val="105"/>
                    </w:rPr>
                    <w:t> </w:t>
                  </w:r>
                  <w:r>
                    <w:rPr>
                      <w:rFonts w:ascii="宋体" w:hAnsi="宋体" w:cs="宋体" w:eastAsia="宋体" w:hint="default"/>
                      <w:w w:val="105"/>
                    </w:rPr>
                    <w:t>年</w:t>
                  </w:r>
                  <w:r>
                    <w:rPr>
                      <w:rFonts w:ascii="宋体" w:hAnsi="宋体" w:cs="宋体" w:eastAsia="宋体" w:hint="default"/>
                      <w:spacing w:val="-63"/>
                      <w:w w:val="105"/>
                    </w:rPr>
                    <w:t> </w:t>
                  </w:r>
                  <w:r>
                    <w:rPr>
                      <w:rFonts w:ascii="宋体" w:hAnsi="宋体" w:cs="宋体" w:eastAsia="宋体" w:hint="default"/>
                      <w:w w:val="105"/>
                    </w:rPr>
                    <w:t>6</w:t>
                  </w:r>
                  <w:r>
                    <w:rPr>
                      <w:rFonts w:ascii="宋体" w:hAnsi="宋体" w:cs="宋体" w:eastAsia="宋体" w:hint="default"/>
                      <w:spacing w:val="-64"/>
                      <w:w w:val="105"/>
                    </w:rPr>
                    <w:t> </w:t>
                  </w:r>
                  <w:r>
                    <w:rPr>
                      <w:rFonts w:ascii="宋体" w:hAnsi="宋体" w:cs="宋体" w:eastAsia="宋体" w:hint="default"/>
                      <w:w w:val="105"/>
                    </w:rPr>
                    <w:t>月</w:t>
                  </w:r>
                  <w:r>
                    <w:rPr>
                      <w:rFonts w:ascii="宋体" w:hAnsi="宋体" w:cs="宋体" w:eastAsia="宋体" w:hint="default"/>
                      <w:spacing w:val="-63"/>
                      <w:w w:val="105"/>
                    </w:rPr>
                    <w:t> </w:t>
                  </w:r>
                  <w:r>
                    <w:rPr>
                      <w:rFonts w:ascii="宋体" w:hAnsi="宋体" w:cs="宋体" w:eastAsia="宋体" w:hint="default"/>
                      <w:w w:val="105"/>
                    </w:rPr>
                    <w:t>7</w:t>
                  </w:r>
                  <w:r>
                    <w:rPr>
                      <w:rFonts w:ascii="宋体" w:hAnsi="宋体" w:cs="宋体" w:eastAsia="宋体" w:hint="default"/>
                      <w:spacing w:val="-64"/>
                      <w:w w:val="105"/>
                    </w:rPr>
                    <w:t> </w:t>
                  </w:r>
                  <w:r>
                    <w:rPr>
                      <w:rFonts w:ascii="宋体" w:hAnsi="宋体" w:cs="宋体" w:eastAsia="宋体" w:hint="default"/>
                      <w:spacing w:val="5"/>
                      <w:w w:val="105"/>
                    </w:rPr>
                    <w:t>日和</w:t>
                  </w:r>
                  <w:r>
                    <w:rPr>
                      <w:rFonts w:ascii="宋体" w:hAnsi="宋体" w:cs="宋体" w:eastAsia="宋体" w:hint="default"/>
                      <w:spacing w:val="-63"/>
                      <w:w w:val="105"/>
                    </w:rPr>
                    <w:t> </w:t>
                  </w:r>
                  <w:r>
                    <w:rPr>
                      <w:rFonts w:ascii="宋体" w:hAnsi="宋体" w:cs="宋体" w:eastAsia="宋体" w:hint="default"/>
                      <w:w w:val="105"/>
                    </w:rPr>
                    <w:t>7</w:t>
                  </w:r>
                  <w:r>
                    <w:rPr>
                      <w:rFonts w:ascii="宋体" w:hAnsi="宋体" w:cs="宋体" w:eastAsia="宋体" w:hint="default"/>
                      <w:spacing w:val="-64"/>
                      <w:w w:val="105"/>
                    </w:rPr>
                    <w:t> </w:t>
                  </w:r>
                  <w:r>
                    <w:rPr>
                      <w:rFonts w:ascii="宋体" w:hAnsi="宋体" w:cs="宋体" w:eastAsia="宋体" w:hint="default"/>
                      <w:w w:val="105"/>
                    </w:rPr>
                    <w:t>月</w:t>
                  </w:r>
                  <w:r>
                    <w:rPr>
                      <w:rFonts w:ascii="宋体" w:hAnsi="宋体" w:cs="宋体" w:eastAsia="宋体" w:hint="default"/>
                      <w:spacing w:val="-63"/>
                      <w:w w:val="105"/>
                    </w:rPr>
                    <w:t> </w:t>
                  </w:r>
                  <w:r>
                    <w:rPr>
                      <w:rFonts w:ascii="宋体" w:hAnsi="宋体" w:cs="宋体" w:eastAsia="宋体" w:hint="default"/>
                      <w:w w:val="105"/>
                    </w:rPr>
                    <w:t>14</w:t>
                  </w:r>
                  <w:r>
                    <w:rPr>
                      <w:rFonts w:ascii="宋体" w:hAnsi="宋体" w:cs="宋体" w:eastAsia="宋体" w:hint="default"/>
                      <w:spacing w:val="-64"/>
                      <w:w w:val="105"/>
                    </w:rPr>
                    <w:t> </w:t>
                  </w:r>
                  <w:r>
                    <w:rPr>
                      <w:rFonts w:ascii="宋体" w:hAnsi="宋体" w:cs="宋体" w:eastAsia="宋体" w:hint="default"/>
                      <w:spacing w:val="10"/>
                      <w:w w:val="105"/>
                    </w:rPr>
                    <w:t>日完成发行两期规模分别为人民币</w:t>
                  </w:r>
                  <w:r>
                    <w:rPr>
                      <w:rFonts w:ascii="宋体" w:hAnsi="宋体" w:cs="宋体" w:eastAsia="宋体" w:hint="default"/>
                      <w:spacing w:val="-63"/>
                      <w:w w:val="105"/>
                    </w:rPr>
                    <w:t> </w:t>
                  </w:r>
                  <w:r>
                    <w:rPr>
                      <w:rFonts w:ascii="宋体" w:hAnsi="宋体" w:cs="宋体" w:eastAsia="宋体" w:hint="default"/>
                      <w:w w:val="105"/>
                    </w:rPr>
                    <w:t>80</w:t>
                  </w:r>
                  <w:r>
                    <w:rPr>
                      <w:rFonts w:ascii="宋体" w:hAnsi="宋体" w:cs="宋体" w:eastAsia="宋体" w:hint="default"/>
                      <w:spacing w:val="-64"/>
                      <w:w w:val="105"/>
                    </w:rPr>
                    <w:t> </w:t>
                  </w:r>
                  <w:r>
                    <w:rPr>
                      <w:rFonts w:ascii="宋体" w:hAnsi="宋体" w:cs="宋体" w:eastAsia="宋体" w:hint="default"/>
                      <w:spacing w:val="7"/>
                      <w:w w:val="105"/>
                    </w:rPr>
                    <w:t>亿元、人民币</w:t>
                  </w:r>
                  <w:r>
                    <w:rPr>
                      <w:rFonts w:ascii="宋体" w:hAnsi="宋体" w:cs="宋体" w:eastAsia="宋体" w:hint="default"/>
                      <w:spacing w:val="-63"/>
                      <w:w w:val="105"/>
                    </w:rPr>
                    <w:t> </w:t>
                  </w:r>
                  <w:r>
                    <w:rPr>
                      <w:rFonts w:ascii="宋体" w:hAnsi="宋体" w:cs="宋体" w:eastAsia="宋体" w:hint="default"/>
                      <w:w w:val="105"/>
                    </w:rPr>
                    <w:t>100</w:t>
                  </w:r>
                  <w:r>
                    <w:rPr>
                      <w:rFonts w:ascii="宋体" w:hAnsi="宋体" w:cs="宋体" w:eastAsia="宋体" w:hint="default"/>
                      <w:spacing w:val="-64"/>
                      <w:w w:val="105"/>
                    </w:rPr>
                    <w:t> </w:t>
                  </w:r>
                  <w:r>
                    <w:rPr>
                      <w:rFonts w:ascii="宋体" w:hAnsi="宋体" w:cs="宋体" w:eastAsia="宋体" w:hint="default"/>
                      <w:spacing w:val="8"/>
                      <w:w w:val="105"/>
                    </w:rPr>
                    <w:t>亿元的公司债券。</w:t>
                  </w:r>
                  <w:r>
                    <w:rPr>
                      <w:rFonts w:ascii="宋体" w:hAnsi="宋体" w:cs="宋体" w:eastAsia="宋体" w:hint="default"/>
                    </w:rPr>
                    <w:t> </w:t>
                  </w:r>
                  <w:r>
                    <w:rPr>
                      <w:rFonts w:ascii="宋体" w:hAnsi="宋体" w:cs="宋体" w:eastAsia="宋体" w:hint="default"/>
                      <w:w w:val="105"/>
                    </w:rPr>
                    <w:t>详</w:t>
                  </w:r>
                  <w:r>
                    <w:rPr>
                      <w:rFonts w:ascii="宋体" w:hAnsi="宋体" w:cs="宋体" w:eastAsia="宋体" w:hint="default"/>
                      <w:spacing w:val="-70"/>
                      <w:w w:val="105"/>
                    </w:rPr>
                    <w:t> </w:t>
                  </w:r>
                  <w:r>
                    <w:rPr>
                      <w:rFonts w:ascii="宋体" w:hAnsi="宋体" w:cs="宋体" w:eastAsia="宋体" w:hint="default"/>
                      <w:w w:val="105"/>
                    </w:rPr>
                    <w:t>情</w:t>
                  </w:r>
                  <w:r>
                    <w:rPr>
                      <w:rFonts w:ascii="宋体" w:hAnsi="宋体" w:cs="宋体" w:eastAsia="宋体" w:hint="default"/>
                      <w:spacing w:val="-70"/>
                      <w:w w:val="105"/>
                    </w:rPr>
                    <w:t> </w:t>
                  </w:r>
                  <w:r>
                    <w:rPr>
                      <w:rFonts w:ascii="宋体" w:hAnsi="宋体" w:cs="宋体" w:eastAsia="宋体" w:hint="default"/>
                      <w:w w:val="105"/>
                    </w:rPr>
                    <w:t>请</w:t>
                  </w:r>
                  <w:r>
                    <w:rPr>
                      <w:rFonts w:ascii="宋体" w:hAnsi="宋体" w:cs="宋体" w:eastAsia="宋体" w:hint="default"/>
                      <w:spacing w:val="-70"/>
                      <w:w w:val="105"/>
                    </w:rPr>
                    <w:t> </w:t>
                  </w:r>
                  <w:r>
                    <w:rPr>
                      <w:rFonts w:ascii="宋体" w:hAnsi="宋体" w:cs="宋体" w:eastAsia="宋体" w:hint="default"/>
                      <w:w w:val="105"/>
                    </w:rPr>
                    <w:t>见</w:t>
                  </w:r>
                  <w:r>
                    <w:rPr>
                      <w:rFonts w:ascii="宋体" w:hAnsi="宋体" w:cs="宋体" w:eastAsia="宋体" w:hint="default"/>
                      <w:spacing w:val="-70"/>
                      <w:w w:val="105"/>
                    </w:rPr>
                    <w:t> </w:t>
                  </w:r>
                  <w:r>
                    <w:rPr>
                      <w:rFonts w:ascii="宋体" w:hAnsi="宋体" w:cs="宋体" w:eastAsia="宋体" w:hint="default"/>
                      <w:w w:val="105"/>
                    </w:rPr>
                    <w:t>公</w:t>
                  </w:r>
                  <w:r>
                    <w:rPr>
                      <w:rFonts w:ascii="宋体" w:hAnsi="宋体" w:cs="宋体" w:eastAsia="宋体" w:hint="default"/>
                      <w:spacing w:val="-70"/>
                      <w:w w:val="105"/>
                    </w:rPr>
                    <w:t> </w:t>
                  </w:r>
                  <w:r>
                    <w:rPr>
                      <w:rFonts w:ascii="宋体" w:hAnsi="宋体" w:cs="宋体" w:eastAsia="宋体" w:hint="default"/>
                      <w:w w:val="105"/>
                    </w:rPr>
                    <w:t>司</w:t>
                  </w:r>
                  <w:r>
                    <w:rPr>
                      <w:rFonts w:ascii="宋体" w:hAnsi="宋体" w:cs="宋体" w:eastAsia="宋体" w:hint="default"/>
                      <w:spacing w:val="-44"/>
                      <w:w w:val="105"/>
                    </w:rPr>
                    <w:t> </w:t>
                  </w:r>
                  <w:r>
                    <w:rPr>
                      <w:rFonts w:ascii="宋体" w:hAnsi="宋体" w:cs="宋体" w:eastAsia="宋体" w:hint="default"/>
                      <w:w w:val="105"/>
                    </w:rPr>
                    <w:t>2016</w:t>
                  </w:r>
                  <w:r>
                    <w:rPr>
                      <w:rFonts w:ascii="宋体" w:hAnsi="宋体" w:cs="宋体" w:eastAsia="宋体" w:hint="default"/>
                      <w:spacing w:val="-44"/>
                      <w:w w:val="105"/>
                    </w:rPr>
                    <w:t> </w:t>
                  </w:r>
                  <w:r>
                    <w:rPr>
                      <w:rFonts w:ascii="宋体" w:hAnsi="宋体" w:cs="宋体" w:eastAsia="宋体" w:hint="default"/>
                      <w:w w:val="105"/>
                    </w:rPr>
                    <w:t>年</w:t>
                  </w:r>
                  <w:r>
                    <w:rPr>
                      <w:rFonts w:ascii="宋体" w:hAnsi="宋体" w:cs="宋体" w:eastAsia="宋体" w:hint="default"/>
                      <w:spacing w:val="-44"/>
                      <w:w w:val="105"/>
                    </w:rPr>
                    <w:t> </w:t>
                  </w:r>
                  <w:r>
                    <w:rPr>
                      <w:rFonts w:ascii="宋体" w:hAnsi="宋体" w:cs="宋体" w:eastAsia="宋体" w:hint="default"/>
                      <w:w w:val="105"/>
                    </w:rPr>
                    <w:t>6</w:t>
                  </w:r>
                  <w:r>
                    <w:rPr>
                      <w:rFonts w:ascii="宋体" w:hAnsi="宋体" w:cs="宋体" w:eastAsia="宋体" w:hint="default"/>
                      <w:spacing w:val="-44"/>
                      <w:w w:val="105"/>
                    </w:rPr>
                    <w:t> </w:t>
                  </w:r>
                  <w:r>
                    <w:rPr>
                      <w:rFonts w:ascii="宋体" w:hAnsi="宋体" w:cs="宋体" w:eastAsia="宋体" w:hint="default"/>
                      <w:w w:val="105"/>
                    </w:rPr>
                    <w:t>月</w:t>
                  </w:r>
                  <w:r>
                    <w:rPr>
                      <w:rFonts w:ascii="宋体" w:hAnsi="宋体" w:cs="宋体" w:eastAsia="宋体" w:hint="default"/>
                      <w:spacing w:val="-44"/>
                      <w:w w:val="105"/>
                    </w:rPr>
                    <w:t> </w:t>
                  </w:r>
                  <w:r>
                    <w:rPr>
                      <w:rFonts w:ascii="宋体" w:hAnsi="宋体" w:cs="宋体" w:eastAsia="宋体" w:hint="default"/>
                      <w:w w:val="105"/>
                    </w:rPr>
                    <w:t>9</w:t>
                  </w:r>
                  <w:r>
                    <w:rPr>
                      <w:rFonts w:ascii="宋体" w:hAnsi="宋体" w:cs="宋体" w:eastAsia="宋体" w:hint="default"/>
                      <w:spacing w:val="-44"/>
                      <w:w w:val="105"/>
                    </w:rPr>
                    <w:t> </w:t>
                  </w:r>
                  <w:r>
                    <w:rPr>
                      <w:rFonts w:ascii="宋体" w:hAnsi="宋体" w:cs="宋体" w:eastAsia="宋体" w:hint="default"/>
                      <w:w w:val="105"/>
                    </w:rPr>
                    <w:t>日</w:t>
                  </w:r>
                  <w:r>
                    <w:rPr>
                      <w:rFonts w:ascii="宋体" w:hAnsi="宋体" w:cs="宋体" w:eastAsia="宋体" w:hint="default"/>
                      <w:spacing w:val="-70"/>
                      <w:w w:val="105"/>
                    </w:rPr>
                    <w:t> </w:t>
                  </w:r>
                  <w:r>
                    <w:rPr>
                      <w:rFonts w:ascii="宋体" w:hAnsi="宋体" w:cs="宋体" w:eastAsia="宋体" w:hint="default"/>
                      <w:w w:val="105"/>
                    </w:rPr>
                    <w:t>和</w:t>
                  </w:r>
                  <w:r>
                    <w:rPr>
                      <w:rFonts w:ascii="宋体" w:hAnsi="宋体" w:cs="宋体" w:eastAsia="宋体" w:hint="default"/>
                      <w:spacing w:val="-44"/>
                      <w:w w:val="105"/>
                    </w:rPr>
                    <w:t> </w:t>
                  </w:r>
                  <w:r>
                    <w:rPr>
                      <w:rFonts w:ascii="宋体" w:hAnsi="宋体" w:cs="宋体" w:eastAsia="宋体" w:hint="default"/>
                      <w:w w:val="105"/>
                    </w:rPr>
                    <w:t>7</w:t>
                  </w:r>
                  <w:r>
                    <w:rPr>
                      <w:rFonts w:ascii="宋体" w:hAnsi="宋体" w:cs="宋体" w:eastAsia="宋体" w:hint="default"/>
                      <w:spacing w:val="-44"/>
                      <w:w w:val="105"/>
                    </w:rPr>
                    <w:t> </w:t>
                  </w:r>
                  <w:r>
                    <w:rPr>
                      <w:rFonts w:ascii="宋体" w:hAnsi="宋体" w:cs="宋体" w:eastAsia="宋体" w:hint="default"/>
                      <w:w w:val="105"/>
                    </w:rPr>
                    <w:t>月</w:t>
                  </w:r>
                  <w:r>
                    <w:rPr>
                      <w:rFonts w:ascii="宋体" w:hAnsi="宋体" w:cs="宋体" w:eastAsia="宋体" w:hint="default"/>
                      <w:spacing w:val="-44"/>
                      <w:w w:val="105"/>
                    </w:rPr>
                    <w:t> </w:t>
                  </w:r>
                  <w:r>
                    <w:rPr>
                      <w:rFonts w:ascii="宋体" w:hAnsi="宋体" w:cs="宋体" w:eastAsia="宋体" w:hint="default"/>
                      <w:w w:val="105"/>
                    </w:rPr>
                    <w:t>16</w:t>
                  </w:r>
                  <w:r>
                    <w:rPr>
                      <w:rFonts w:ascii="宋体" w:hAnsi="宋体" w:cs="宋体" w:eastAsia="宋体" w:hint="default"/>
                      <w:spacing w:val="-44"/>
                      <w:w w:val="105"/>
                    </w:rPr>
                    <w:t> </w:t>
                  </w:r>
                  <w:r>
                    <w:rPr>
                      <w:rFonts w:ascii="宋体" w:hAnsi="宋体" w:cs="宋体" w:eastAsia="宋体" w:hint="default"/>
                      <w:w w:val="105"/>
                    </w:rPr>
                    <w:t>日</w:t>
                  </w:r>
                  <w:r>
                    <w:rPr>
                      <w:rFonts w:ascii="宋体" w:hAnsi="宋体" w:cs="宋体" w:eastAsia="宋体" w:hint="default"/>
                      <w:spacing w:val="-70"/>
                      <w:w w:val="105"/>
                    </w:rPr>
                    <w:t> </w:t>
                  </w:r>
                  <w:r>
                    <w:rPr>
                      <w:rFonts w:ascii="宋体" w:hAnsi="宋体" w:cs="宋体" w:eastAsia="宋体" w:hint="default"/>
                      <w:w w:val="105"/>
                    </w:rPr>
                    <w:t>在</w:t>
                  </w:r>
                  <w:r>
                    <w:rPr>
                      <w:rFonts w:ascii="宋体" w:hAnsi="宋体" w:cs="宋体" w:eastAsia="宋体" w:hint="default"/>
                      <w:spacing w:val="-70"/>
                      <w:w w:val="105"/>
                    </w:rPr>
                    <w:t> </w:t>
                  </w:r>
                  <w:r>
                    <w:rPr>
                      <w:rFonts w:ascii="宋体" w:hAnsi="宋体" w:cs="宋体" w:eastAsia="宋体" w:hint="default"/>
                      <w:w w:val="105"/>
                    </w:rPr>
                    <w:t>上</w:t>
                  </w:r>
                  <w:r>
                    <w:rPr>
                      <w:rFonts w:ascii="宋体" w:hAnsi="宋体" w:cs="宋体" w:eastAsia="宋体" w:hint="default"/>
                      <w:spacing w:val="-70"/>
                      <w:w w:val="105"/>
                    </w:rPr>
                    <w:t> </w:t>
                  </w:r>
                  <w:r>
                    <w:rPr>
                      <w:rFonts w:ascii="宋体" w:hAnsi="宋体" w:cs="宋体" w:eastAsia="宋体" w:hint="default"/>
                      <w:w w:val="105"/>
                    </w:rPr>
                    <w:t>海</w:t>
                  </w:r>
                  <w:r>
                    <w:rPr>
                      <w:rFonts w:ascii="宋体" w:hAnsi="宋体" w:cs="宋体" w:eastAsia="宋体" w:hint="default"/>
                      <w:spacing w:val="-70"/>
                      <w:w w:val="105"/>
                    </w:rPr>
                    <w:t> </w:t>
                  </w:r>
                  <w:r>
                    <w:rPr>
                      <w:rFonts w:ascii="宋体" w:hAnsi="宋体" w:cs="宋体" w:eastAsia="宋体" w:hint="default"/>
                      <w:w w:val="105"/>
                    </w:rPr>
                    <w:t>证</w:t>
                  </w:r>
                  <w:r>
                    <w:rPr>
                      <w:rFonts w:ascii="宋体" w:hAnsi="宋体" w:cs="宋体" w:eastAsia="宋体" w:hint="default"/>
                      <w:spacing w:val="-70"/>
                      <w:w w:val="105"/>
                    </w:rPr>
                    <w:t> </w:t>
                  </w:r>
                  <w:r>
                    <w:rPr>
                      <w:rFonts w:ascii="宋体" w:hAnsi="宋体" w:cs="宋体" w:eastAsia="宋体" w:hint="default"/>
                      <w:w w:val="105"/>
                    </w:rPr>
                    <w:t>券</w:t>
                  </w:r>
                  <w:r>
                    <w:rPr>
                      <w:rFonts w:ascii="宋体" w:hAnsi="宋体" w:cs="宋体" w:eastAsia="宋体" w:hint="default"/>
                      <w:spacing w:val="-70"/>
                      <w:w w:val="105"/>
                    </w:rPr>
                    <w:t> </w:t>
                  </w:r>
                  <w:r>
                    <w:rPr>
                      <w:rFonts w:ascii="宋体" w:hAnsi="宋体" w:cs="宋体" w:eastAsia="宋体" w:hint="default"/>
                      <w:w w:val="105"/>
                    </w:rPr>
                    <w:t>交</w:t>
                  </w:r>
                  <w:r>
                    <w:rPr>
                      <w:rFonts w:ascii="宋体" w:hAnsi="宋体" w:cs="宋体" w:eastAsia="宋体" w:hint="default"/>
                      <w:spacing w:val="-70"/>
                      <w:w w:val="105"/>
                    </w:rPr>
                    <w:t> </w:t>
                  </w:r>
                  <w:r>
                    <w:rPr>
                      <w:rFonts w:ascii="宋体" w:hAnsi="宋体" w:cs="宋体" w:eastAsia="宋体" w:hint="default"/>
                      <w:w w:val="105"/>
                    </w:rPr>
                    <w:t>易</w:t>
                  </w:r>
                  <w:r>
                    <w:rPr>
                      <w:rFonts w:ascii="宋体" w:hAnsi="宋体" w:cs="宋体" w:eastAsia="宋体" w:hint="default"/>
                      <w:spacing w:val="-70"/>
                      <w:w w:val="105"/>
                    </w:rPr>
                    <w:t> </w:t>
                  </w:r>
                  <w:hyperlink r:id="rId159">
                    <w:r>
                      <w:rPr>
                        <w:rFonts w:ascii="宋体" w:hAnsi="宋体" w:cs="宋体" w:eastAsia="宋体" w:hint="default"/>
                        <w:w w:val="105"/>
                      </w:rPr>
                      <w:t>所（www.sse.com.cn）</w:t>
                    </w:r>
                  </w:hyperlink>
                  <w:r>
                    <w:rPr>
                      <w:rFonts w:ascii="宋体" w:hAnsi="宋体" w:cs="宋体" w:eastAsia="宋体" w:hint="default"/>
                      <w:spacing w:val="-70"/>
                      <w:w w:val="105"/>
                    </w:rPr>
                    <w:t> </w:t>
                  </w:r>
                  <w:r>
                    <w:rPr>
                      <w:rFonts w:ascii="宋体" w:hAnsi="宋体" w:cs="宋体" w:eastAsia="宋体" w:hint="default"/>
                      <w:w w:val="105"/>
                    </w:rPr>
                    <w:t>和</w:t>
                  </w:r>
                  <w:r>
                    <w:rPr>
                      <w:rFonts w:ascii="宋体" w:hAnsi="宋体" w:cs="宋体" w:eastAsia="宋体" w:hint="default"/>
                      <w:spacing w:val="-70"/>
                      <w:w w:val="105"/>
                    </w:rPr>
                    <w:t> </w:t>
                  </w:r>
                  <w:r>
                    <w:rPr>
                      <w:rFonts w:ascii="宋体" w:hAnsi="宋体" w:cs="宋体" w:eastAsia="宋体" w:hint="default"/>
                      <w:w w:val="105"/>
                    </w:rPr>
                    <w:t>本</w:t>
                  </w:r>
                  <w:r>
                    <w:rPr>
                      <w:rFonts w:ascii="宋体" w:hAnsi="宋体" w:cs="宋体" w:eastAsia="宋体" w:hint="default"/>
                      <w:spacing w:val="-70"/>
                      <w:w w:val="105"/>
                    </w:rPr>
                    <w:t> </w:t>
                  </w:r>
                  <w:r>
                    <w:rPr>
                      <w:rFonts w:ascii="宋体" w:hAnsi="宋体" w:cs="宋体" w:eastAsia="宋体" w:hint="default"/>
                      <w:w w:val="105"/>
                    </w:rPr>
                    <w:t>公</w:t>
                  </w:r>
                  <w:r>
                    <w:rPr>
                      <w:rFonts w:ascii="宋体" w:hAnsi="宋体" w:cs="宋体" w:eastAsia="宋体" w:hint="default"/>
                      <w:spacing w:val="-70"/>
                      <w:w w:val="105"/>
                    </w:rPr>
                    <w:t> </w:t>
                  </w:r>
                  <w:r>
                    <w:rPr>
                      <w:rFonts w:ascii="宋体" w:hAnsi="宋体" w:cs="宋体" w:eastAsia="宋体" w:hint="default"/>
                      <w:w w:val="105"/>
                    </w:rPr>
                    <w:t>司</w:t>
                  </w:r>
                  <w:r>
                    <w:rPr>
                      <w:rFonts w:ascii="宋体" w:hAnsi="宋体" w:cs="宋体" w:eastAsia="宋体" w:hint="default"/>
                      <w:spacing w:val="-70"/>
                      <w:w w:val="105"/>
                    </w:rPr>
                    <w:t> </w:t>
                  </w:r>
                  <w:r>
                    <w:rPr>
                      <w:rFonts w:ascii="宋体" w:hAnsi="宋体" w:cs="宋体" w:eastAsia="宋体" w:hint="default"/>
                      <w:w w:val="105"/>
                    </w:rPr>
                    <w:t>网</w:t>
                  </w:r>
                  <w:r>
                    <w:rPr>
                      <w:rFonts w:ascii="宋体" w:hAnsi="宋体" w:cs="宋体" w:eastAsia="宋体" w:hint="default"/>
                      <w:spacing w:val="-70"/>
                      <w:w w:val="105"/>
                    </w:rPr>
                    <w:t> </w:t>
                  </w:r>
                  <w:hyperlink r:id="rId228">
                    <w:r>
                      <w:rPr>
                        <w:rFonts w:ascii="宋体" w:hAnsi="宋体" w:cs="宋体" w:eastAsia="宋体" w:hint="default"/>
                        <w:w w:val="105"/>
                      </w:rPr>
                      <w:t>站（www.</w:t>
                    </w:r>
                  </w:hyperlink>
                  <w:r>
                    <w:rPr>
                      <w:rFonts w:ascii="宋体" w:hAnsi="宋体" w:cs="宋体" w:eastAsia="宋体" w:hint="default"/>
                      <w:w w:val="119"/>
                    </w:rPr>
                    <w:t> </w:t>
                  </w:r>
                  <w:r>
                    <w:rPr>
                      <w:rFonts w:ascii="宋体" w:hAnsi="宋体" w:cs="宋体" w:eastAsia="宋体" w:hint="default"/>
                      <w:w w:val="105"/>
                    </w:rPr>
                    <w:t>chinaunicom-a.com）发布的编号分别为临时</w:t>
                  </w:r>
                  <w:r>
                    <w:rPr>
                      <w:rFonts w:ascii="宋体" w:hAnsi="宋体" w:cs="宋体" w:eastAsia="宋体" w:hint="default"/>
                      <w:spacing w:val="-58"/>
                      <w:w w:val="105"/>
                    </w:rPr>
                    <w:t> </w:t>
                  </w:r>
                  <w:r>
                    <w:rPr>
                      <w:rFonts w:ascii="宋体" w:hAnsi="宋体" w:cs="宋体" w:eastAsia="宋体" w:hint="default"/>
                      <w:w w:val="105"/>
                    </w:rPr>
                    <w:t>2016-027</w:t>
                  </w:r>
                  <w:r>
                    <w:rPr>
                      <w:rFonts w:ascii="宋体" w:hAnsi="宋体" w:cs="宋体" w:eastAsia="宋体" w:hint="default"/>
                      <w:spacing w:val="-58"/>
                      <w:w w:val="105"/>
                    </w:rPr>
                    <w:t> </w:t>
                  </w:r>
                  <w:r>
                    <w:rPr>
                      <w:rFonts w:ascii="宋体" w:hAnsi="宋体" w:cs="宋体" w:eastAsia="宋体" w:hint="default"/>
                      <w:w w:val="105"/>
                    </w:rPr>
                    <w:t>和临时</w:t>
                  </w:r>
                  <w:r>
                    <w:rPr>
                      <w:rFonts w:ascii="宋体" w:hAnsi="宋体" w:cs="宋体" w:eastAsia="宋体" w:hint="default"/>
                      <w:spacing w:val="-58"/>
                      <w:w w:val="105"/>
                    </w:rPr>
                    <w:t> </w:t>
                  </w:r>
                  <w:r>
                    <w:rPr>
                      <w:rFonts w:ascii="宋体" w:hAnsi="宋体" w:cs="宋体" w:eastAsia="宋体" w:hint="default"/>
                      <w:w w:val="105"/>
                    </w:rPr>
                    <w:t>2016-035</w:t>
                  </w:r>
                  <w:r>
                    <w:rPr>
                      <w:rFonts w:ascii="宋体" w:hAnsi="宋体" w:cs="宋体" w:eastAsia="宋体" w:hint="default"/>
                      <w:spacing w:val="-58"/>
                      <w:w w:val="105"/>
                    </w:rPr>
                    <w:t> </w:t>
                  </w:r>
                  <w:r>
                    <w:rPr>
                      <w:rFonts w:ascii="宋体" w:hAnsi="宋体" w:cs="宋体" w:eastAsia="宋体" w:hint="default"/>
                      <w:w w:val="105"/>
                    </w:rPr>
                    <w:t>的公告。</w:t>
                  </w:r>
                </w:p>
                <w:p>
                  <w:pPr>
                    <w:pStyle w:val="BodyText"/>
                    <w:spacing w:line="400" w:lineRule="auto" w:before="123"/>
                    <w:ind w:left="0" w:right="4022"/>
                    <w:jc w:val="left"/>
                    <w:rPr>
                      <w:rFonts w:ascii="宋体" w:hAnsi="宋体" w:cs="宋体" w:eastAsia="宋体" w:hint="default"/>
                    </w:rPr>
                  </w:pPr>
                  <w:r>
                    <w:rPr>
                      <w:rFonts w:ascii="宋体" w:hAnsi="宋体" w:cs="宋体" w:eastAsia="宋体" w:hint="default"/>
                    </w:rPr>
                    <w:t>本节所提供信息均为上述公司债券发行人联通运营公司之信息。 公司债券付息兑付情况</w:t>
                  </w:r>
                </w:p>
                <w:p>
                  <w:pPr>
                    <w:pStyle w:val="BodyText"/>
                    <w:spacing w:line="240" w:lineRule="auto" w:before="37"/>
                    <w:ind w:left="0" w:right="0"/>
                    <w:jc w:val="both"/>
                    <w:rPr>
                      <w:rFonts w:ascii="宋体" w:hAnsi="宋体" w:cs="宋体" w:eastAsia="宋体" w:hint="default"/>
                    </w:rPr>
                  </w:pPr>
                  <w:r>
                    <w:rPr>
                      <w:rFonts w:ascii="宋体" w:hAnsi="宋体" w:cs="宋体" w:eastAsia="宋体" w:hint="default"/>
                      <w:spacing w:val="7"/>
                    </w:rPr>
                    <w:t>联通运营公司</w:t>
                  </w:r>
                  <w:r>
                    <w:rPr>
                      <w:rFonts w:ascii="宋体" w:hAnsi="宋体" w:cs="宋体" w:eastAsia="宋体" w:hint="default"/>
                      <w:spacing w:val="-29"/>
                    </w:rPr>
                    <w:t> </w:t>
                  </w:r>
                  <w:r>
                    <w:rPr>
                      <w:rFonts w:ascii="宋体" w:hAnsi="宋体" w:cs="宋体" w:eastAsia="宋体" w:hint="default"/>
                    </w:rPr>
                    <w:t>2016</w:t>
                  </w:r>
                  <w:r>
                    <w:rPr>
                      <w:rFonts w:ascii="宋体" w:hAnsi="宋体" w:cs="宋体" w:eastAsia="宋体" w:hint="default"/>
                      <w:spacing w:val="-29"/>
                    </w:rPr>
                    <w:t> </w:t>
                  </w:r>
                  <w:r>
                    <w:rPr>
                      <w:rFonts w:ascii="宋体" w:hAnsi="宋体" w:cs="宋体" w:eastAsia="宋体" w:hint="default"/>
                      <w:spacing w:val="7"/>
                    </w:rPr>
                    <w:t>年公司债券（第一期）首个付息日为</w:t>
                  </w:r>
                  <w:r>
                    <w:rPr>
                      <w:rFonts w:ascii="宋体" w:hAnsi="宋体" w:cs="宋体" w:eastAsia="宋体" w:hint="default"/>
                      <w:spacing w:val="-29"/>
                    </w:rPr>
                    <w:t> </w:t>
                  </w:r>
                  <w:r>
                    <w:rPr>
                      <w:rFonts w:ascii="宋体" w:hAnsi="宋体" w:cs="宋体" w:eastAsia="宋体" w:hint="default"/>
                    </w:rPr>
                    <w:t>2017</w:t>
                  </w:r>
                  <w:r>
                    <w:rPr>
                      <w:rFonts w:ascii="宋体" w:hAnsi="宋体" w:cs="宋体" w:eastAsia="宋体" w:hint="default"/>
                      <w:spacing w:val="-29"/>
                    </w:rPr>
                    <w:t> </w:t>
                  </w:r>
                  <w:r>
                    <w:rPr>
                      <w:rFonts w:ascii="宋体" w:hAnsi="宋体" w:cs="宋体" w:eastAsia="宋体" w:hint="default"/>
                    </w:rPr>
                    <w:t>年</w:t>
                  </w:r>
                  <w:r>
                    <w:rPr>
                      <w:rFonts w:ascii="宋体" w:hAnsi="宋体" w:cs="宋体" w:eastAsia="宋体" w:hint="default"/>
                      <w:spacing w:val="-29"/>
                    </w:rPr>
                    <w:t> </w:t>
                  </w:r>
                  <w:r>
                    <w:rPr>
                      <w:rFonts w:ascii="宋体" w:hAnsi="宋体" w:cs="宋体" w:eastAsia="宋体" w:hint="default"/>
                    </w:rPr>
                    <w:t>6</w:t>
                  </w:r>
                  <w:r>
                    <w:rPr>
                      <w:rFonts w:ascii="宋体" w:hAnsi="宋体" w:cs="宋体" w:eastAsia="宋体" w:hint="default"/>
                      <w:spacing w:val="-29"/>
                    </w:rPr>
                    <w:t> </w:t>
                  </w:r>
                  <w:r>
                    <w:rPr>
                      <w:rFonts w:ascii="宋体" w:hAnsi="宋体" w:cs="宋体" w:eastAsia="宋体" w:hint="default"/>
                    </w:rPr>
                    <w:t>月</w:t>
                  </w:r>
                  <w:r>
                    <w:rPr>
                      <w:rFonts w:ascii="宋体" w:hAnsi="宋体" w:cs="宋体" w:eastAsia="宋体" w:hint="default"/>
                      <w:spacing w:val="-29"/>
                    </w:rPr>
                    <w:t> </w:t>
                  </w:r>
                  <w:r>
                    <w:rPr>
                      <w:rFonts w:ascii="宋体" w:hAnsi="宋体" w:cs="宋体" w:eastAsia="宋体" w:hint="default"/>
                    </w:rPr>
                    <w:t>7</w:t>
                  </w:r>
                  <w:r>
                    <w:rPr>
                      <w:rFonts w:ascii="宋体" w:hAnsi="宋体" w:cs="宋体" w:eastAsia="宋体" w:hint="default"/>
                      <w:spacing w:val="-29"/>
                    </w:rPr>
                    <w:t> </w:t>
                  </w:r>
                  <w:r>
                    <w:rPr>
                      <w:rFonts w:ascii="宋体" w:hAnsi="宋体" w:cs="宋体" w:eastAsia="宋体" w:hint="default"/>
                      <w:spacing w:val="7"/>
                    </w:rPr>
                    <w:t>日，报告期内兑付正常。联通运营公司</w:t>
                  </w:r>
                  <w:r>
                    <w:rPr>
                      <w:rFonts w:ascii="宋体" w:hAnsi="宋体" w:cs="宋体" w:eastAsia="宋体" w:hint="default"/>
                    </w:rPr>
                  </w:r>
                </w:p>
                <w:p>
                  <w:pPr>
                    <w:pStyle w:val="BodyText"/>
                    <w:spacing w:line="240" w:lineRule="auto" w:before="44"/>
                    <w:ind w:left="0" w:right="0"/>
                    <w:jc w:val="both"/>
                    <w:rPr>
                      <w:rFonts w:ascii="宋体" w:hAnsi="宋体" w:cs="宋体" w:eastAsia="宋体" w:hint="default"/>
                    </w:rPr>
                  </w:pPr>
                  <w:r>
                    <w:rPr>
                      <w:rFonts w:ascii="宋体" w:hAnsi="宋体" w:cs="宋体" w:eastAsia="宋体" w:hint="default"/>
                      <w:w w:val="105"/>
                    </w:rPr>
                    <w:t>2016</w:t>
                  </w:r>
                  <w:r>
                    <w:rPr>
                      <w:rFonts w:ascii="宋体" w:hAnsi="宋体" w:cs="宋体" w:eastAsia="宋体" w:hint="default"/>
                      <w:spacing w:val="-79"/>
                      <w:w w:val="105"/>
                    </w:rPr>
                    <w:t> </w:t>
                  </w:r>
                  <w:r>
                    <w:rPr>
                      <w:rFonts w:ascii="宋体" w:hAnsi="宋体" w:cs="宋体" w:eastAsia="宋体" w:hint="default"/>
                      <w:w w:val="105"/>
                    </w:rPr>
                    <w:t>年公司债券（第二期）首个付息日为</w:t>
                  </w:r>
                  <w:r>
                    <w:rPr>
                      <w:rFonts w:ascii="宋体" w:hAnsi="宋体" w:cs="宋体" w:eastAsia="宋体" w:hint="default"/>
                      <w:spacing w:val="-79"/>
                      <w:w w:val="105"/>
                    </w:rPr>
                    <w:t> </w:t>
                  </w:r>
                  <w:r>
                    <w:rPr>
                      <w:rFonts w:ascii="宋体" w:hAnsi="宋体" w:cs="宋体" w:eastAsia="宋体" w:hint="default"/>
                      <w:w w:val="105"/>
                    </w:rPr>
                    <w:t>2017</w:t>
                  </w:r>
                  <w:r>
                    <w:rPr>
                      <w:rFonts w:ascii="宋体" w:hAnsi="宋体" w:cs="宋体" w:eastAsia="宋体" w:hint="default"/>
                      <w:spacing w:val="-79"/>
                      <w:w w:val="105"/>
                    </w:rPr>
                    <w:t> </w:t>
                  </w:r>
                  <w:r>
                    <w:rPr>
                      <w:rFonts w:ascii="宋体" w:hAnsi="宋体" w:cs="宋体" w:eastAsia="宋体" w:hint="default"/>
                      <w:w w:val="105"/>
                    </w:rPr>
                    <w:t>年</w:t>
                  </w:r>
                  <w:r>
                    <w:rPr>
                      <w:rFonts w:ascii="宋体" w:hAnsi="宋体" w:cs="宋体" w:eastAsia="宋体" w:hint="default"/>
                      <w:spacing w:val="-79"/>
                      <w:w w:val="105"/>
                    </w:rPr>
                    <w:t> </w:t>
                  </w:r>
                  <w:r>
                    <w:rPr>
                      <w:rFonts w:ascii="宋体" w:hAnsi="宋体" w:cs="宋体" w:eastAsia="宋体" w:hint="default"/>
                      <w:w w:val="105"/>
                    </w:rPr>
                    <w:t>7</w:t>
                  </w:r>
                  <w:r>
                    <w:rPr>
                      <w:rFonts w:ascii="宋体" w:hAnsi="宋体" w:cs="宋体" w:eastAsia="宋体" w:hint="default"/>
                      <w:spacing w:val="-79"/>
                      <w:w w:val="105"/>
                    </w:rPr>
                    <w:t> </w:t>
                  </w:r>
                  <w:r>
                    <w:rPr>
                      <w:rFonts w:ascii="宋体" w:hAnsi="宋体" w:cs="宋体" w:eastAsia="宋体" w:hint="default"/>
                      <w:w w:val="105"/>
                    </w:rPr>
                    <w:t>月</w:t>
                  </w:r>
                  <w:r>
                    <w:rPr>
                      <w:rFonts w:ascii="宋体" w:hAnsi="宋体" w:cs="宋体" w:eastAsia="宋体" w:hint="default"/>
                      <w:spacing w:val="-79"/>
                      <w:w w:val="105"/>
                    </w:rPr>
                    <w:t> </w:t>
                  </w:r>
                  <w:r>
                    <w:rPr>
                      <w:rFonts w:ascii="宋体" w:hAnsi="宋体" w:cs="宋体" w:eastAsia="宋体" w:hint="default"/>
                      <w:w w:val="105"/>
                    </w:rPr>
                    <w:t>14</w:t>
                  </w:r>
                  <w:r>
                    <w:rPr>
                      <w:rFonts w:ascii="宋体" w:hAnsi="宋体" w:cs="宋体" w:eastAsia="宋体" w:hint="default"/>
                      <w:spacing w:val="-79"/>
                      <w:w w:val="105"/>
                    </w:rPr>
                    <w:t> </w:t>
                  </w:r>
                  <w:r>
                    <w:rPr>
                      <w:rFonts w:ascii="宋体" w:hAnsi="宋体" w:cs="宋体" w:eastAsia="宋体" w:hint="default"/>
                      <w:w w:val="105"/>
                    </w:rPr>
                    <w:t>日，报告期内兑付正常。</w:t>
                  </w:r>
                </w:p>
              </w:txbxContent>
            </v:textbox>
          </v:shape>
        </w:pict>
      </w:r>
      <w:r>
        <w:rPr>
          <w:rFonts w:ascii="宋体" w:hAnsi="宋体" w:cs="宋体" w:eastAsia="宋体" w:hint="default"/>
          <w:position w:val="-49"/>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headerReference w:type="even" r:id="rId229"/>
          <w:footerReference w:type="even" r:id="rId230"/>
          <w:pgSz w:w="11910" w:h="16160"/>
          <w:pgMar w:header="0" w:footer="0" w:top="1520" w:bottom="0" w:left="700" w:right="1340"/>
        </w:sectPr>
      </w:pPr>
    </w:p>
    <w:p>
      <w:pPr>
        <w:spacing w:line="240" w:lineRule="auto" w:before="12"/>
        <w:rPr>
          <w:rFonts w:ascii="宋体" w:hAnsi="宋体" w:cs="宋体" w:eastAsia="宋体" w:hint="default"/>
          <w:sz w:val="16"/>
          <w:szCs w:val="16"/>
        </w:rPr>
      </w:pPr>
      <w:r>
        <w:rPr/>
        <w:pict>
          <v:group style="position:absolute;margin-left:-.477999pt;margin-top:.001030pt;width:595.8pt;height:808.9pt;mso-position-horizontal-relative:page;mso-position-vertical-relative:page;z-index:-961600" coordorigin="-10,0" coordsize="11916,16178">
            <v:group style="position:absolute;left:274;top:3621;width:11632;height:12537" coordorigin="274,3621" coordsize="11632,12537">
              <v:shape style="position:absolute;left:274;top:3621;width:11632;height:12537" coordorigin="274,3621" coordsize="11632,12537" path="m11376,16157l274,16157,11906,3621,11906,15586,11376,16157xe" filled="true" fillcolor="#9c8758" stroked="false">
                <v:path arrowok="t"/>
                <v:fill type="solid"/>
              </v:shape>
            </v:group>
            <v:group style="position:absolute;left:842;top:4233;width:11064;height:11925" coordorigin="842,4233" coordsize="11064,11925">
              <v:shape style="position:absolute;left:842;top:4233;width:11064;height:11925" coordorigin="842,4233" coordsize="11064,11925" path="m11906,16157l842,16157,11906,4233,11906,16157xe" filled="true" fillcolor="#8e9090" stroked="false">
                <v:path arrowok="t"/>
                <v:fill type="solid"/>
              </v:shape>
              <v:shape style="position:absolute;left:7597;top:14160;width:340;height:340" type="#_x0000_t75" stroked="false">
                <v:imagedata r:id="rId231" o:title=""/>
              </v:shape>
            </v:group>
            <v:group style="position:absolute;left:6053;top:14273;width:1772;height:1885" coordorigin="6053,14273" coordsize="1772,1885">
              <v:shape style="position:absolute;left:6053;top:14273;width:1772;height:1885" coordorigin="6053,14273" coordsize="1772,1885" path="m7824,14273l6053,16157e" filled="false" stroked="true" strokeweight="2pt" strokecolor="#d7000f">
                <v:path arrowok="t"/>
              </v:shape>
            </v:group>
            <v:group style="position:absolute;left:5478;top:7727;width:5644;height:5816" coordorigin="5478,7727" coordsize="5644,5816">
              <v:shape style="position:absolute;left:5478;top:7727;width:5644;height:5816" coordorigin="5478,7727" coordsize="5644,5816" path="m11121,7727l5478,13543e" filled="false" stroked="true" strokeweight="1pt" strokecolor="#000000">
                <v:path arrowok="t"/>
              </v:shape>
              <v:shape style="position:absolute;left:10970;top:7613;width:268;height:268" type="#_x0000_t75" stroked="false">
                <v:imagedata r:id="rId232" o:title=""/>
              </v:shape>
            </v:group>
            <v:group style="position:absolute;left:853;top:6605;width:9803;height:7509" coordorigin="853,6605" coordsize="9803,7509">
              <v:shape style="position:absolute;left:853;top:6605;width:9803;height:7509" coordorigin="853,6605" coordsize="9803,7509" path="m853,14114l10655,14114,10655,6605,853,6605,853,14114xe" filled="true" fillcolor="#ffffff" stroked="false">
                <v:path arrowok="t"/>
                <v:fill type="solid"/>
              </v:shape>
            </v:group>
            <v:group style="position:absolute;left:0;top:0;width:11906;height:5720" coordorigin="0,0" coordsize="11906,5720">
              <v:shape style="position:absolute;left:0;top:0;width:11906;height:5720" coordorigin="0,0" coordsize="11906,5720" path="m8283,5719l0,5719,0,3586,3336,0,11905,0,11905,1825,8283,5719xe" filled="true" fillcolor="#d7000f" stroked="false">
                <v:path arrowok="t"/>
                <v:fill type="solid"/>
              </v:shape>
              <v:shape style="position:absolute;left:3896;top:2174;width:188;height:188" type="#_x0000_t75" stroked="false">
                <v:imagedata r:id="rId177" o:title=""/>
              </v:shape>
            </v:group>
            <v:group style="position:absolute;left:0;top:2268;width:3967;height:2" coordorigin="0,2268" coordsize="3967,2">
              <v:shape style="position:absolute;left:0;top:2268;width:3967;height:2" coordorigin="0,2268" coordsize="3967,0" path="m3966,2268l0,2268e" filled="false" stroked="true" strokeweight=".956pt" strokecolor="#9c8758">
                <v:path arrowok="t"/>
              </v:shape>
            </v:group>
            <v:group style="position:absolute;left:935;top:6829;width:9397;height:7286" coordorigin="935,6829" coordsize="9397,7286">
              <v:shape style="position:absolute;left:935;top:6829;width:9397;height:7286" coordorigin="935,6829" coordsize="9397,7286" path="m935,14114l10332,14114,10332,6829,935,6829,935,14114xe" filled="true" fillcolor="#ffffff" stroked="false">
                <v:path arrowok="t"/>
                <v:fill type="solid"/>
              </v:shape>
            </v:group>
            <v:group style="position:absolute;left:1276;top:7742;width:1437;height:2" coordorigin="1276,7742" coordsize="1437,2">
              <v:shape style="position:absolute;left:1276;top:7742;width:1437;height:2" coordorigin="1276,7742" coordsize="1437,0" path="m1276,7742l2712,7742e" filled="false" stroked="true" strokeweight="2pt" strokecolor="#9c8758">
                <v:path arrowok="t"/>
              </v:shape>
            </v:group>
            <v:group style="position:absolute;left:2712;top:7742;width:870;height:2" coordorigin="2712,7742" coordsize="870,2">
              <v:shape style="position:absolute;left:2712;top:7742;width:870;height:2" coordorigin="2712,7742" coordsize="870,0" path="m2712,7742l3581,7742e" filled="false" stroked="true" strokeweight="2pt" strokecolor="#9c8758">
                <v:path arrowok="t"/>
              </v:shape>
            </v:group>
            <v:group style="position:absolute;left:3581;top:7742;width:945;height:2" coordorigin="3581,7742" coordsize="945,2">
              <v:shape style="position:absolute;left:3581;top:7742;width:945;height:2" coordorigin="3581,7742" coordsize="945,0" path="m3581,7742l4526,7742e" filled="false" stroked="true" strokeweight="2pt" strokecolor="#9c8758">
                <v:path arrowok="t"/>
              </v:shape>
            </v:group>
            <v:group style="position:absolute;left:4526;top:7742;width:845;height:2" coordorigin="4526,7742" coordsize="845,2">
              <v:shape style="position:absolute;left:4526;top:7742;width:845;height:2" coordorigin="4526,7742" coordsize="845,0" path="m4526,7742l5371,7742e" filled="false" stroked="true" strokeweight="2pt" strokecolor="#9c8758">
                <v:path arrowok="t"/>
              </v:shape>
            </v:group>
            <v:group style="position:absolute;left:5371;top:7742;width:879;height:2" coordorigin="5371,7742" coordsize="879,2">
              <v:shape style="position:absolute;left:5371;top:7742;width:879;height:2" coordorigin="5371,7742" coordsize="879,0" path="m5371,7742l6249,7742e" filled="false" stroked="true" strokeweight="2pt" strokecolor="#9c8758">
                <v:path arrowok="t"/>
              </v:shape>
            </v:group>
            <v:group style="position:absolute;left:6249;top:7742;width:1242;height:2" coordorigin="6249,7742" coordsize="1242,2">
              <v:shape style="position:absolute;left:6249;top:7742;width:1242;height:2" coordorigin="6249,7742" coordsize="1242,0" path="m6249,7742l7491,7742e" filled="false" stroked="true" strokeweight="2pt" strokecolor="#9c8758">
                <v:path arrowok="t"/>
              </v:shape>
            </v:group>
            <v:group style="position:absolute;left:7491;top:7742;width:737;height:2" coordorigin="7491,7742" coordsize="737,2">
              <v:shape style="position:absolute;left:7491;top:7742;width:737;height:2" coordorigin="7491,7742" coordsize="737,0" path="m7491,7742l8228,7742e" filled="false" stroked="true" strokeweight="2pt" strokecolor="#9c8758">
                <v:path arrowok="t"/>
              </v:shape>
            </v:group>
            <v:group style="position:absolute;left:8228;top:7742;width:1214;height:2" coordorigin="8228,7742" coordsize="1214,2">
              <v:shape style="position:absolute;left:8228;top:7742;width:1214;height:2" coordorigin="8228,7742" coordsize="1214,0" path="m8228,7742l9441,7742e" filled="false" stroked="true" strokeweight="2pt" strokecolor="#9c8758">
                <v:path arrowok="t"/>
              </v:shape>
            </v:group>
            <v:group style="position:absolute;left:9441;top:7742;width:828;height:2" coordorigin="9441,7742" coordsize="828,2">
              <v:shape style="position:absolute;left:9441;top:7742;width:828;height:2" coordorigin="9441,7742" coordsize="828,0" path="m9441,7742l10269,7742e" filled="false" stroked="true" strokeweight="2pt" strokecolor="#9c8758">
                <v:path arrowok="t"/>
              </v:shape>
            </v:group>
            <v:group style="position:absolute;left:1276;top:11081;width:1437;height:2" coordorigin="1276,11081" coordsize="1437,2">
              <v:shape style="position:absolute;left:1276;top:11081;width:1437;height:2" coordorigin="1276,11081" coordsize="1437,0" path="m1276,11081l2712,11081e" filled="false" stroked="true" strokeweight=".5pt" strokecolor="#000000">
                <v:path arrowok="t"/>
              </v:shape>
            </v:group>
            <v:group style="position:absolute;left:2712;top:11081;width:870;height:2" coordorigin="2712,11081" coordsize="870,2">
              <v:shape style="position:absolute;left:2712;top:11081;width:870;height:2" coordorigin="2712,11081" coordsize="870,0" path="m2712,11081l3581,11081e" filled="false" stroked="true" strokeweight=".5pt" strokecolor="#000000">
                <v:path arrowok="t"/>
              </v:shape>
            </v:group>
            <v:group style="position:absolute;left:3581;top:11081;width:945;height:2" coordorigin="3581,11081" coordsize="945,2">
              <v:shape style="position:absolute;left:3581;top:11081;width:945;height:2" coordorigin="3581,11081" coordsize="945,0" path="m3581,11081l4526,11081e" filled="false" stroked="true" strokeweight=".5pt" strokecolor="#000000">
                <v:path arrowok="t"/>
              </v:shape>
            </v:group>
            <v:group style="position:absolute;left:4526;top:11081;width:845;height:2" coordorigin="4526,11081" coordsize="845,2">
              <v:shape style="position:absolute;left:4526;top:11081;width:845;height:2" coordorigin="4526,11081" coordsize="845,0" path="m4526,11081l5371,11081e" filled="false" stroked="true" strokeweight=".5pt" strokecolor="#000000">
                <v:path arrowok="t"/>
              </v:shape>
            </v:group>
            <v:group style="position:absolute;left:5371;top:11081;width:879;height:2" coordorigin="5371,11081" coordsize="879,2">
              <v:shape style="position:absolute;left:5371;top:11081;width:879;height:2" coordorigin="5371,11081" coordsize="879,0" path="m5371,11081l6249,11081e" filled="false" stroked="true" strokeweight=".5pt" strokecolor="#000000">
                <v:path arrowok="t"/>
              </v:shape>
            </v:group>
            <v:group style="position:absolute;left:6249;top:11081;width:1242;height:2" coordorigin="6249,11081" coordsize="1242,2">
              <v:shape style="position:absolute;left:6249;top:11081;width:1242;height:2" coordorigin="6249,11081" coordsize="1242,0" path="m6249,11081l7491,11081e" filled="false" stroked="true" strokeweight=".5pt" strokecolor="#000000">
                <v:path arrowok="t"/>
              </v:shape>
            </v:group>
            <v:group style="position:absolute;left:7491;top:11081;width:737;height:2" coordorigin="7491,11081" coordsize="737,2">
              <v:shape style="position:absolute;left:7491;top:11081;width:737;height:2" coordorigin="7491,11081" coordsize="737,0" path="m7491,11081l8228,11081e" filled="false" stroked="true" strokeweight=".5pt" strokecolor="#000000">
                <v:path arrowok="t"/>
              </v:shape>
            </v:group>
            <v:group style="position:absolute;left:8228;top:11081;width:1214;height:2" coordorigin="8228,11081" coordsize="1214,2">
              <v:shape style="position:absolute;left:8228;top:11081;width:1214;height:2" coordorigin="8228,11081" coordsize="1214,0" path="m8228,11081l9441,11081e" filled="false" stroked="true" strokeweight=".5pt" strokecolor="#000000">
                <v:path arrowok="t"/>
              </v:shape>
            </v:group>
            <v:group style="position:absolute;left:9441;top:11081;width:828;height:2" coordorigin="9441,11081" coordsize="828,2">
              <v:shape style="position:absolute;left:9441;top:11081;width:828;height:2" coordorigin="9441,11081" coordsize="828,0" path="m9441,11081l10269,11081e" filled="false" stroked="true" strokeweight=".5pt" strokecolor="#000000">
                <v:path arrowok="t"/>
              </v:shape>
            </v:group>
            <w10:wrap type="none"/>
          </v:group>
        </w:pict>
      </w:r>
      <w:r>
        <w:rPr/>
        <w:pict>
          <v:shape style="position:absolute;margin-left:237.934097pt;margin-top:518.799988pt;width:71.7pt;height:8pt;mso-position-horizontal-relative:page;mso-position-vertical-relative:page;z-index:-961576" type="#_x0000_t202" filled="false" stroked="false">
            <v:textbox inset="0,0,0,0">
              <w:txbxContent>
                <w:p>
                  <w:pPr>
                    <w:tabs>
                      <w:tab w:pos="878" w:val="left" w:leader="none"/>
                    </w:tabs>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2016</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tab/>
                    <w:t>2019</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xbxContent>
            </v:textbox>
            <w10:wrap type="none"/>
          </v:shape>
        </w:pict>
      </w:r>
    </w:p>
    <w:p>
      <w:pPr>
        <w:tabs>
          <w:tab w:pos="5466" w:val="left" w:leader="none"/>
        </w:tabs>
        <w:spacing w:before="0"/>
        <w:ind w:left="114" w:right="0" w:firstLine="0"/>
        <w:jc w:val="left"/>
        <w:rPr>
          <w:rFonts w:ascii="宋体" w:hAnsi="宋体" w:cs="宋体" w:eastAsia="宋体" w:hint="default"/>
          <w:sz w:val="16"/>
          <w:szCs w:val="16"/>
        </w:rPr>
      </w:pPr>
      <w:r>
        <w:rPr>
          <w:rFonts w:ascii="Arial" w:hAnsi="Arial" w:cs="Arial" w:eastAsia="Arial" w:hint="default"/>
          <w:b/>
          <w:bCs/>
          <w:color w:val="FFFFFF"/>
          <w:spacing w:val="-1"/>
          <w:position w:val="2"/>
          <w:sz w:val="16"/>
          <w:szCs w:val="16"/>
        </w:rPr>
        <w:t>78</w:t>
        <w:tab/>
      </w:r>
      <w:r>
        <w:rPr>
          <w:rFonts w:ascii="宋体" w:hAnsi="宋体" w:cs="宋体" w:eastAsia="宋体" w:hint="default"/>
          <w:color w:val="595757"/>
          <w:spacing w:val="24"/>
          <w:sz w:val="16"/>
          <w:szCs w:val="16"/>
        </w:rPr>
        <w:t>公司债券相关情况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line="240" w:lineRule="auto" w:before="6"/>
        <w:rPr>
          <w:rFonts w:ascii="宋体" w:hAnsi="宋体" w:cs="宋体" w:eastAsia="宋体" w:hint="default"/>
          <w:sz w:val="17"/>
          <w:szCs w:val="17"/>
        </w:rPr>
      </w:pPr>
      <w:r>
        <w:rPr/>
        <w:br w:type="column"/>
      </w:r>
      <w:r>
        <w:rPr>
          <w:rFonts w:ascii="宋体"/>
          <w:sz w:val="17"/>
        </w:rPr>
      </w:r>
    </w:p>
    <w:p>
      <w:pPr>
        <w:spacing w:before="0"/>
        <w:ind w:left="114" w:right="0" w:firstLine="0"/>
        <w:jc w:val="left"/>
        <w:rPr>
          <w:rFonts w:ascii="宋体" w:hAnsi="宋体" w:cs="宋体" w:eastAsia="宋体" w:hint="default"/>
          <w:sz w:val="16"/>
          <w:szCs w:val="16"/>
        </w:rPr>
      </w:pPr>
      <w:r>
        <w:rPr>
          <w:rFonts w:ascii="宋体" w:hAnsi="宋体" w:cs="宋体" w:eastAsia="宋体" w:hint="default"/>
          <w:color w:val="FFFFFF"/>
          <w:spacing w:val="14"/>
          <w:sz w:val="16"/>
          <w:szCs w:val="16"/>
        </w:rPr>
        <w:t>中国联合网络通信股份有限公司</w:t>
      </w:r>
      <w:r>
        <w:rPr>
          <w:rFonts w:ascii="宋体" w:hAnsi="宋体" w:cs="宋体" w:eastAsia="宋体" w:hint="default"/>
          <w:color w:val="FFFFFF"/>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700" w:right="1340"/>
          <w:cols w:num="2" w:equalWidth="0">
            <w:col w:w="6977" w:space="191"/>
            <w:col w:w="2702"/>
          </w:cols>
        </w:sectPr>
      </w:pPr>
    </w:p>
    <w:p>
      <w:pPr>
        <w:spacing w:line="240" w:lineRule="auto" w:before="0"/>
        <w:rPr>
          <w:rFonts w:ascii="宋体" w:hAnsi="宋体" w:cs="宋体" w:eastAsia="宋体" w:hint="default"/>
          <w:sz w:val="20"/>
          <w:szCs w:val="20"/>
        </w:rPr>
      </w:pPr>
      <w:r>
        <w:rPr/>
        <w:pict>
          <v:group style="position:absolute;margin-left:-.001058pt;margin-top:-.000088pt;width:595.8pt;height:808.4pt;mso-position-horizontal-relative:page;mso-position-vertical-relative:page;z-index:-961360" coordorigin="0,0" coordsize="11916,16168">
            <v:shape style="position:absolute;left:8051;top:14478;width:340;height:340" type="#_x0000_t75" stroked="false">
              <v:imagedata r:id="rId94" o:title=""/>
            </v:shape>
            <v:group style="position:absolute;left:6760;top:14634;width:1475;height:1524" coordorigin="6760,14634" coordsize="1475,1524">
              <v:shape style="position:absolute;left:6760;top:14634;width:1475;height:1524" coordorigin="6760,14634" coordsize="1475,1524" path="m8235,14634l6760,16157e" filled="false" stroked="true" strokeweight="1pt" strokecolor="#9c8758">
                <v:path arrowok="t"/>
              </v:shape>
              <v:shape style="position:absolute;left:9524;top:13436;width:283;height:283" type="#_x0000_t75" stroked="false">
                <v:imagedata r:id="rId235" o:title=""/>
              </v:shape>
            </v:group>
            <v:group style="position:absolute;left:9584;top:11284;width:2322;height:2378" coordorigin="9584,11284" coordsize="2322,2378">
              <v:shape style="position:absolute;left:9584;top:11284;width:2322;height:2378" coordorigin="9584,11284" coordsize="2322,2378" path="m11906,11284l9584,13661e" filled="false" stroked="true" strokeweight="1pt" strokecolor="#8e9090">
                <v:path arrowok="t"/>
              </v:shape>
            </v:group>
            <v:group style="position:absolute;left:0;top:0;width:11906;height:15587" coordorigin="0,0" coordsize="11906,15587">
              <v:shape style="position:absolute;left:0;top:0;width:11906;height:15587" coordorigin="0,0" coordsize="11906,15587" path="m0,15586l0,3621,3360,0,11906,0,11906,2755,0,15586xe" filled="true" fillcolor="#9c8758" stroked="false">
                <v:path arrowok="t"/>
                <v:fill type="solid"/>
              </v:shape>
            </v:group>
            <v:group style="position:absolute;left:0;top:0;width:11906;height:16158" coordorigin="0,0" coordsize="11906,16158">
              <v:shape style="position:absolute;left:0;top:0;width:11906;height:16158" coordorigin="0,0" coordsize="11906,16158" path="m38,16157l0,16157,0,4233,3928,0,11906,0,11906,3367,38,16157xe" filled="true" fillcolor="#8e9090" stroked="false">
                <v:path arrowok="t"/>
                <v:fill type="solid"/>
              </v:shape>
            </v:group>
            <v:group style="position:absolute;left:5393;top:1959;width:2696;height:2783" coordorigin="5393,1959" coordsize="2696,2783">
              <v:shape style="position:absolute;left:5393;top:1959;width:2696;height:2783" coordorigin="5393,1959" coordsize="2696,2783" path="m8089,1959l5393,4742e" filled="false" stroked="true" strokeweight="1pt" strokecolor="#000000">
                <v:path arrowok="t"/>
              </v:shape>
              <v:shape style="position:absolute;left:7935;top:1843;width:273;height:273" type="#_x0000_t75" stroked="false">
                <v:imagedata r:id="rId236" o:title=""/>
              </v:shape>
            </v:group>
            <v:group style="position:absolute;left:1335;top:3118;width:9973;height:11027" coordorigin="1335,3118" coordsize="9973,11027">
              <v:shape style="position:absolute;left:1335;top:3118;width:9973;height:11027" coordorigin="1335,3118" coordsize="9973,11027" path="m1335,14145l11307,14145,11307,3118,1335,3118,1335,14145xe" filled="true" fillcolor="#ffffff" stroked="false">
                <v:path arrowok="t"/>
                <v:fill type="solid"/>
              </v:shape>
            </v:group>
            <v:group style="position:absolute;left:0;top:0;width:1699;height:1826" coordorigin="0,0" coordsize="1699,1826">
              <v:shape style="position:absolute;left:0;top:0;width:1699;height:1826" coordorigin="0,0" coordsize="1699,1826" path="m0,1825l0,0,1698,0,0,1825xe" filled="true" fillcolor="#d7000f" stroked="false">
                <v:path arrowok="t"/>
                <v:fill type="solid"/>
              </v:shape>
            </v:group>
            <v:group style="position:absolute;left:1531;top:3373;width:9638;height:10778" coordorigin="1531,3373" coordsize="9638,10778">
              <v:shape style="position:absolute;left:1531;top:3373;width:9638;height:10778" coordorigin="1531,3373" coordsize="9638,10778" path="m1531,14151l11168,14151,11168,3373,1531,3373,1531,14151xe" filled="true" fillcolor="#ffffff" stroked="false">
                <v:path arrowok="t"/>
                <v:fill type="solid"/>
              </v:shape>
            </v:group>
            <v:group style="position:absolute;left:1871;top:3837;width:2438;height:2" coordorigin="1871,3837" coordsize="2438,2">
              <v:shape style="position:absolute;left:1871;top:3837;width:2438;height:2" coordorigin="1871,3837" coordsize="2438,0" path="m1871,3837l4309,3837e" filled="false" stroked="true" strokeweight="2pt" strokecolor="#9c8758">
                <v:path arrowok="t"/>
              </v:shape>
            </v:group>
            <v:group style="position:absolute;left:4309;top:3837;width:1772;height:2" coordorigin="4309,3837" coordsize="1772,2">
              <v:shape style="position:absolute;left:4309;top:3837;width:1772;height:2" coordorigin="4309,3837" coordsize="1772,0" path="m4309,3837l6080,3837e" filled="false" stroked="true" strokeweight="2pt" strokecolor="#9c8758">
                <v:path arrowok="t"/>
              </v:shape>
            </v:group>
            <v:group style="position:absolute;left:6080;top:3837;width:5074;height:2" coordorigin="6080,3837" coordsize="5074,2">
              <v:shape style="position:absolute;left:6080;top:3837;width:5074;height:2" coordorigin="6080,3837" coordsize="5074,0" path="m6080,3837l11154,3837e" filled="false" stroked="true" strokeweight="2pt" strokecolor="#9c8758">
                <v:path arrowok="t"/>
              </v:shape>
            </v:group>
            <v:group style="position:absolute;left:1871;top:5079;width:2438;height:2" coordorigin="1871,5079" coordsize="2438,2">
              <v:shape style="position:absolute;left:1871;top:5079;width:2438;height:2" coordorigin="1871,5079" coordsize="2438,0" path="m1871,5079l4309,5079e" filled="false" stroked="true" strokeweight=".5pt" strokecolor="#000000">
                <v:path arrowok="t"/>
              </v:shape>
            </v:group>
            <v:group style="position:absolute;left:4309;top:5079;width:1772;height:2" coordorigin="4309,5079" coordsize="1772,2">
              <v:shape style="position:absolute;left:4309;top:5079;width:1772;height:2" coordorigin="4309,5079" coordsize="1772,0" path="m4309,5079l6080,5079e" filled="false" stroked="true" strokeweight=".5pt" strokecolor="#000000">
                <v:path arrowok="t"/>
              </v:shape>
            </v:group>
            <v:group style="position:absolute;left:6080;top:5079;width:5074;height:2" coordorigin="6080,5079" coordsize="5074,2">
              <v:shape style="position:absolute;left:6080;top:5079;width:5074;height:2" coordorigin="6080,5079" coordsize="5074,0" path="m6080,5079l11154,5079e" filled="false" stroked="true" strokeweight=".5pt" strokecolor="#000000">
                <v:path arrowok="t"/>
              </v:shape>
            </v:group>
            <v:group style="position:absolute;left:1871;top:5759;width:2438;height:2" coordorigin="1871,5759" coordsize="2438,2">
              <v:shape style="position:absolute;left:1871;top:5759;width:2438;height:2" coordorigin="1871,5759" coordsize="2438,0" path="m1871,5759l4309,5759e" filled="false" stroked="true" strokeweight=".5pt" strokecolor="#000000">
                <v:path arrowok="t"/>
              </v:shape>
            </v:group>
            <v:group style="position:absolute;left:4309;top:5759;width:1772;height:2" coordorigin="4309,5759" coordsize="1772,2">
              <v:shape style="position:absolute;left:4309;top:5759;width:1772;height:2" coordorigin="4309,5759" coordsize="1772,0" path="m4309,5759l6080,5759e" filled="false" stroked="true" strokeweight=".5pt" strokecolor="#000000">
                <v:path arrowok="t"/>
              </v:shape>
            </v:group>
            <v:group style="position:absolute;left:6080;top:5759;width:5074;height:2" coordorigin="6080,5759" coordsize="5074,2">
              <v:shape style="position:absolute;left:6080;top:5759;width:5074;height:2" coordorigin="6080,5759" coordsize="5074,0" path="m6080,5759l11154,5759e" filled="false" stroked="true" strokeweight=".5pt" strokecolor="#000000">
                <v:path arrowok="t"/>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1"/>
          <w:szCs w:val="21"/>
        </w:rPr>
      </w:pPr>
    </w:p>
    <w:p>
      <w:pPr>
        <w:spacing w:line="180" w:lineRule="exact"/>
        <w:ind w:left="150" w:right="0" w:firstLine="0"/>
        <w:rPr>
          <w:rFonts w:ascii="宋体" w:hAnsi="宋体" w:cs="宋体" w:eastAsia="宋体" w:hint="default"/>
          <w:sz w:val="18"/>
          <w:szCs w:val="18"/>
        </w:rPr>
      </w:pPr>
      <w:r>
        <w:rPr>
          <w:rFonts w:ascii="宋体" w:hAnsi="宋体" w:cs="宋体" w:eastAsia="宋体" w:hint="default"/>
          <w:position w:val="-3"/>
          <w:sz w:val="18"/>
          <w:szCs w:val="18"/>
        </w:rPr>
        <w:pict>
          <v:shape style="width:261pt;height:9pt;mso-position-horizontal-relative:char;mso-position-vertical-relative:line" type="#_x0000_t202" filled="false" stroked="false">
            <w10:anchorlock/>
            <v:textbox inset="0,0,0,0">
              <w:txbxContent>
                <w:p>
                  <w:pPr>
                    <w:pStyle w:val="BodyText"/>
                    <w:spacing w:line="162" w:lineRule="exact"/>
                    <w:ind w:left="0" w:right="0"/>
                    <w:jc w:val="left"/>
                    <w:rPr>
                      <w:rFonts w:ascii="宋体" w:hAnsi="宋体" w:cs="宋体" w:eastAsia="宋体" w:hint="default"/>
                    </w:rPr>
                  </w:pPr>
                  <w:r>
                    <w:rPr>
                      <w:rFonts w:ascii="宋体" w:hAnsi="宋体" w:cs="宋体" w:eastAsia="宋体" w:hint="default"/>
                      <w:color w:val="D7000F"/>
                    </w:rPr>
                    <w:t>二、公司债券受托管理联系人、联系方式及资信评级机构联系方式</w:t>
                  </w:r>
                  <w:r>
                    <w:rPr>
                      <w:rFonts w:ascii="宋体" w:hAnsi="宋体" w:cs="宋体" w:eastAsia="宋体" w:hint="default"/>
                    </w:rPr>
                  </w:r>
                </w:p>
              </w:txbxContent>
            </v:textbox>
          </v:shape>
        </w:pict>
      </w:r>
      <w:r>
        <w:rPr>
          <w:rFonts w:ascii="宋体" w:hAnsi="宋体" w:cs="宋体" w:eastAsia="宋体" w:hint="default"/>
          <w:position w:val="-3"/>
          <w:sz w:val="18"/>
          <w:szCs w:val="18"/>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1"/>
          <w:szCs w:val="11"/>
        </w:rPr>
      </w:pPr>
    </w:p>
    <w:p>
      <w:pPr>
        <w:tabs>
          <w:tab w:pos="2985" w:val="left" w:leader="none"/>
          <w:tab w:pos="4757" w:val="left" w:leader="none"/>
        </w:tabs>
        <w:spacing w:line="982" w:lineRule="exact"/>
        <w:ind w:left="547" w:right="0" w:firstLine="0"/>
        <w:rPr>
          <w:rFonts w:ascii="宋体" w:hAnsi="宋体" w:cs="宋体" w:eastAsia="宋体" w:hint="default"/>
          <w:sz w:val="20"/>
          <w:szCs w:val="20"/>
        </w:rPr>
      </w:pPr>
      <w:r>
        <w:rPr>
          <w:rFonts w:ascii="宋体"/>
          <w:position w:val="22"/>
          <w:sz w:val="16"/>
        </w:rPr>
        <w:pict>
          <v:shape style="width:56pt;height:8pt;mso-position-horizontal-relative:char;mso-position-vertical-relative:line" type="#_x0000_t202" filled="false" stroked="false">
            <w10:anchorlock/>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债券受托管理人</w:t>
                  </w:r>
                </w:p>
              </w:txbxContent>
            </v:textbox>
          </v:shape>
        </w:pict>
      </w:r>
      <w:r>
        <w:rPr>
          <w:rFonts w:ascii="宋体"/>
          <w:position w:val="22"/>
          <w:sz w:val="16"/>
        </w:rPr>
      </w:r>
      <w:r>
        <w:rPr>
          <w:rFonts w:ascii="宋体"/>
          <w:position w:val="22"/>
          <w:sz w:val="16"/>
        </w:rPr>
        <w:tab/>
      </w:r>
      <w:r>
        <w:rPr>
          <w:rFonts w:ascii="宋体"/>
          <w:position w:val="-18"/>
          <w:sz w:val="20"/>
        </w:rPr>
        <w:pict>
          <v:shape style="width:32pt;height:49.05pt;mso-position-horizontal-relative:char;mso-position-vertical-relative:line" type="#_x0000_t202" filled="false" stroked="false">
            <w10:anchorlock/>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名称</w:t>
                  </w:r>
                </w:p>
                <w:p>
                  <w:pPr>
                    <w:spacing w:line="270" w:lineRule="atLeast" w:before="3"/>
                    <w:ind w:left="0" w:right="0" w:firstLine="0"/>
                    <w:jc w:val="left"/>
                    <w:rPr>
                      <w:rFonts w:ascii="宋体" w:hAnsi="宋体" w:cs="宋体" w:eastAsia="宋体" w:hint="default"/>
                      <w:sz w:val="16"/>
                      <w:szCs w:val="16"/>
                    </w:rPr>
                  </w:pPr>
                  <w:r>
                    <w:rPr>
                      <w:rFonts w:ascii="宋体" w:hAnsi="宋体" w:cs="宋体" w:eastAsia="宋体" w:hint="default"/>
                      <w:sz w:val="16"/>
                      <w:szCs w:val="16"/>
                    </w:rPr>
                    <w:t>办公地址 联系人 联系电话</w:t>
                  </w:r>
                </w:p>
              </w:txbxContent>
            </v:textbox>
          </v:shape>
        </w:pict>
      </w:r>
      <w:r>
        <w:rPr>
          <w:rFonts w:ascii="宋体"/>
          <w:position w:val="-18"/>
          <w:sz w:val="20"/>
        </w:rPr>
      </w:r>
      <w:r>
        <w:rPr>
          <w:rFonts w:ascii="宋体"/>
          <w:position w:val="-18"/>
          <w:sz w:val="20"/>
        </w:rPr>
        <w:tab/>
      </w:r>
      <w:r>
        <w:rPr>
          <w:rFonts w:ascii="宋体"/>
          <w:position w:val="-19"/>
          <w:sz w:val="20"/>
        </w:rPr>
        <w:pict>
          <v:shape style="width:186.65pt;height:49.05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中国国际金融股份有限公司</w:t>
                  </w:r>
                </w:p>
                <w:p>
                  <w:pPr>
                    <w:spacing w:line="314" w:lineRule="auto" w:before="64"/>
                    <w:ind w:left="0" w:right="0" w:firstLine="0"/>
                    <w:jc w:val="left"/>
                    <w:rPr>
                      <w:rFonts w:ascii="宋体" w:hAnsi="宋体" w:cs="宋体" w:eastAsia="宋体" w:hint="default"/>
                      <w:sz w:val="16"/>
                      <w:szCs w:val="16"/>
                    </w:rPr>
                  </w:pPr>
                  <w:r>
                    <w:rPr>
                      <w:rFonts w:ascii="宋体" w:hAnsi="宋体" w:cs="宋体" w:eastAsia="宋体" w:hint="default"/>
                      <w:sz w:val="16"/>
                      <w:szCs w:val="16"/>
                    </w:rPr>
                    <w:t>北京市建国门外大街</w:t>
                  </w:r>
                  <w:r>
                    <w:rPr>
                      <w:rFonts w:ascii="宋体" w:hAnsi="宋体" w:cs="宋体" w:eastAsia="宋体" w:hint="default"/>
                      <w:spacing w:val="-34"/>
                      <w:sz w:val="16"/>
                      <w:szCs w:val="16"/>
                    </w:rPr>
                    <w:t> </w:t>
                  </w:r>
                  <w:r>
                    <w:rPr>
                      <w:rFonts w:ascii="宋体" w:hAnsi="宋体" w:cs="宋体" w:eastAsia="宋体" w:hint="default"/>
                      <w:sz w:val="16"/>
                      <w:szCs w:val="16"/>
                    </w:rPr>
                    <w:t>1</w:t>
                  </w:r>
                  <w:r>
                    <w:rPr>
                      <w:rFonts w:ascii="宋体" w:hAnsi="宋体" w:cs="宋体" w:eastAsia="宋体" w:hint="default"/>
                      <w:spacing w:val="-35"/>
                      <w:sz w:val="16"/>
                      <w:szCs w:val="16"/>
                    </w:rPr>
                    <w:t> </w:t>
                  </w:r>
                  <w:r>
                    <w:rPr>
                      <w:rFonts w:ascii="宋体" w:hAnsi="宋体" w:cs="宋体" w:eastAsia="宋体" w:hint="default"/>
                      <w:sz w:val="16"/>
                      <w:szCs w:val="16"/>
                    </w:rPr>
                    <w:t>号国贸大厦</w:t>
                  </w:r>
                  <w:r>
                    <w:rPr>
                      <w:rFonts w:ascii="宋体" w:hAnsi="宋体" w:cs="宋体" w:eastAsia="宋体" w:hint="default"/>
                      <w:spacing w:val="-34"/>
                      <w:sz w:val="16"/>
                      <w:szCs w:val="16"/>
                    </w:rPr>
                    <w:t> </w:t>
                  </w:r>
                  <w:r>
                    <w:rPr>
                      <w:rFonts w:ascii="宋体" w:hAnsi="宋体" w:cs="宋体" w:eastAsia="宋体" w:hint="default"/>
                      <w:sz w:val="16"/>
                      <w:szCs w:val="16"/>
                    </w:rPr>
                    <w:t>2</w:t>
                  </w:r>
                  <w:r>
                    <w:rPr>
                      <w:rFonts w:ascii="宋体" w:hAnsi="宋体" w:cs="宋体" w:eastAsia="宋体" w:hint="default"/>
                      <w:spacing w:val="-35"/>
                      <w:sz w:val="16"/>
                      <w:szCs w:val="16"/>
                    </w:rPr>
                    <w:t> </w:t>
                  </w:r>
                  <w:r>
                    <w:rPr>
                      <w:rFonts w:ascii="宋体" w:hAnsi="宋体" w:cs="宋体" w:eastAsia="宋体" w:hint="default"/>
                      <w:sz w:val="16"/>
                      <w:szCs w:val="16"/>
                    </w:rPr>
                    <w:t>座</w:t>
                  </w:r>
                  <w:r>
                    <w:rPr>
                      <w:rFonts w:ascii="宋体" w:hAnsi="宋体" w:cs="宋体" w:eastAsia="宋体" w:hint="default"/>
                      <w:spacing w:val="-34"/>
                      <w:sz w:val="16"/>
                      <w:szCs w:val="16"/>
                    </w:rPr>
                    <w:t> </w:t>
                  </w:r>
                  <w:r>
                    <w:rPr>
                      <w:rFonts w:ascii="宋体" w:hAnsi="宋体" w:cs="宋体" w:eastAsia="宋体" w:hint="default"/>
                      <w:sz w:val="16"/>
                      <w:szCs w:val="16"/>
                    </w:rPr>
                    <w:t>27</w:t>
                  </w:r>
                  <w:r>
                    <w:rPr>
                      <w:rFonts w:ascii="宋体" w:hAnsi="宋体" w:cs="宋体" w:eastAsia="宋体" w:hint="default"/>
                      <w:spacing w:val="-35"/>
                      <w:sz w:val="16"/>
                      <w:szCs w:val="16"/>
                    </w:rPr>
                    <w:t> </w:t>
                  </w:r>
                  <w:r>
                    <w:rPr>
                      <w:rFonts w:ascii="宋体" w:hAnsi="宋体" w:cs="宋体" w:eastAsia="宋体" w:hint="default"/>
                      <w:sz w:val="16"/>
                      <w:szCs w:val="16"/>
                    </w:rPr>
                    <w:t>层及</w:t>
                  </w:r>
                  <w:r>
                    <w:rPr>
                      <w:rFonts w:ascii="宋体" w:hAnsi="宋体" w:cs="宋体" w:eastAsia="宋体" w:hint="default"/>
                      <w:spacing w:val="-34"/>
                      <w:sz w:val="16"/>
                      <w:szCs w:val="16"/>
                    </w:rPr>
                    <w:t> </w:t>
                  </w:r>
                  <w:r>
                    <w:rPr>
                      <w:rFonts w:ascii="宋体" w:hAnsi="宋体" w:cs="宋体" w:eastAsia="宋体" w:hint="default"/>
                      <w:sz w:val="16"/>
                      <w:szCs w:val="16"/>
                    </w:rPr>
                    <w:t>28</w:t>
                  </w:r>
                  <w:r>
                    <w:rPr>
                      <w:rFonts w:ascii="宋体" w:hAnsi="宋体" w:cs="宋体" w:eastAsia="宋体" w:hint="default"/>
                      <w:spacing w:val="-35"/>
                      <w:sz w:val="16"/>
                      <w:szCs w:val="16"/>
                    </w:rPr>
                    <w:t> </w:t>
                  </w:r>
                  <w:r>
                    <w:rPr>
                      <w:rFonts w:ascii="宋体" w:hAnsi="宋体" w:cs="宋体" w:eastAsia="宋体" w:hint="default"/>
                      <w:sz w:val="16"/>
                      <w:szCs w:val="16"/>
                    </w:rPr>
                    <w:t>层</w:t>
                  </w:r>
                  <w:r>
                    <w:rPr>
                      <w:rFonts w:ascii="宋体" w:hAnsi="宋体" w:cs="宋体" w:eastAsia="宋体" w:hint="default"/>
                      <w:sz w:val="16"/>
                      <w:szCs w:val="16"/>
                    </w:rPr>
                    <w:t> 郭允、潘念欧、雷仁光</w:t>
                  </w:r>
                </w:p>
                <w:p>
                  <w:pPr>
                    <w:spacing w:before="14"/>
                    <w:ind w:left="0" w:right="0" w:firstLine="0"/>
                    <w:jc w:val="left"/>
                    <w:rPr>
                      <w:rFonts w:ascii="宋体" w:hAnsi="宋体" w:cs="宋体" w:eastAsia="宋体" w:hint="default"/>
                      <w:sz w:val="16"/>
                      <w:szCs w:val="16"/>
                    </w:rPr>
                  </w:pPr>
                  <w:r>
                    <w:rPr>
                      <w:rFonts w:ascii="宋体"/>
                      <w:w w:val="115"/>
                      <w:sz w:val="16"/>
                    </w:rPr>
                    <w:t>010-65051166</w:t>
                  </w:r>
                  <w:r>
                    <w:rPr>
                      <w:rFonts w:ascii="宋体"/>
                      <w:sz w:val="16"/>
                    </w:rPr>
                  </w:r>
                </w:p>
              </w:txbxContent>
            </v:textbox>
          </v:shape>
        </w:pict>
      </w:r>
      <w:r>
        <w:rPr>
          <w:rFonts w:ascii="宋体"/>
          <w:position w:val="-19"/>
          <w:sz w:val="20"/>
        </w:rPr>
      </w:r>
    </w:p>
    <w:p>
      <w:pPr>
        <w:spacing w:line="240" w:lineRule="auto" w:before="9"/>
        <w:rPr>
          <w:rFonts w:ascii="宋体" w:hAnsi="宋体" w:cs="宋体" w:eastAsia="宋体" w:hint="default"/>
          <w:sz w:val="18"/>
          <w:szCs w:val="18"/>
        </w:rPr>
      </w:pPr>
    </w:p>
    <w:p>
      <w:pPr>
        <w:tabs>
          <w:tab w:pos="2985" w:val="left" w:leader="none"/>
          <w:tab w:pos="4757" w:val="left" w:leader="none"/>
        </w:tabs>
        <w:spacing w:line="435" w:lineRule="exact"/>
        <w:ind w:left="547" w:right="0" w:firstLine="0"/>
        <w:rPr>
          <w:rFonts w:ascii="宋体" w:hAnsi="宋体" w:cs="宋体" w:eastAsia="宋体" w:hint="default"/>
          <w:sz w:val="20"/>
          <w:szCs w:val="20"/>
        </w:rPr>
      </w:pPr>
      <w:r>
        <w:rPr>
          <w:rFonts w:ascii="宋体"/>
          <w:position w:val="5"/>
          <w:sz w:val="16"/>
        </w:rPr>
        <w:pict>
          <v:shape style="width:48pt;height:8pt;mso-position-horizontal-relative:char;mso-position-vertical-relative:line" type="#_x0000_t202" filled="false" stroked="false">
            <w10:anchorlock/>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资信评级机构</w:t>
                  </w:r>
                </w:p>
              </w:txbxContent>
            </v:textbox>
          </v:shape>
        </w:pict>
      </w:r>
      <w:r>
        <w:rPr>
          <w:rFonts w:ascii="宋体"/>
          <w:position w:val="5"/>
          <w:sz w:val="16"/>
        </w:rPr>
      </w:r>
      <w:r>
        <w:rPr>
          <w:rFonts w:ascii="宋体"/>
          <w:position w:val="5"/>
          <w:sz w:val="16"/>
        </w:rPr>
        <w:tab/>
      </w:r>
      <w:r>
        <w:rPr>
          <w:rFonts w:ascii="宋体"/>
          <w:position w:val="-7"/>
          <w:sz w:val="20"/>
        </w:rPr>
        <w:pict>
          <v:shape style="width:32pt;height:21.7pt;mso-position-horizontal-relative:char;mso-position-vertical-relative:line" type="#_x0000_t202" filled="false" stroked="false">
            <w10:anchorlock/>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名称</w:t>
                  </w:r>
                </w:p>
                <w:p>
                  <w:pPr>
                    <w:spacing w:before="64"/>
                    <w:ind w:left="0" w:right="0" w:firstLine="0"/>
                    <w:jc w:val="left"/>
                    <w:rPr>
                      <w:rFonts w:ascii="宋体" w:hAnsi="宋体" w:cs="宋体" w:eastAsia="宋体" w:hint="default"/>
                      <w:sz w:val="16"/>
                      <w:szCs w:val="16"/>
                    </w:rPr>
                  </w:pPr>
                  <w:r>
                    <w:rPr>
                      <w:rFonts w:ascii="宋体" w:hAnsi="宋体" w:cs="宋体" w:eastAsia="宋体" w:hint="default"/>
                      <w:sz w:val="16"/>
                      <w:szCs w:val="16"/>
                    </w:rPr>
                    <w:t>办公地址</w:t>
                  </w:r>
                </w:p>
              </w:txbxContent>
            </v:textbox>
          </v:shape>
        </w:pict>
      </w:r>
      <w:r>
        <w:rPr>
          <w:rFonts w:ascii="宋体"/>
          <w:position w:val="-7"/>
          <w:sz w:val="20"/>
        </w:rPr>
      </w:r>
      <w:r>
        <w:rPr>
          <w:rFonts w:ascii="宋体"/>
          <w:position w:val="-7"/>
          <w:sz w:val="20"/>
        </w:rPr>
        <w:tab/>
      </w:r>
      <w:r>
        <w:rPr>
          <w:rFonts w:ascii="宋体"/>
          <w:position w:val="-8"/>
          <w:sz w:val="20"/>
        </w:rPr>
        <w:pict>
          <v:shape style="width:171.05pt;height:21.7pt;mso-position-horizontal-relative:char;mso-position-vertical-relative:line" type="#_x0000_t202" filled="false" stroked="false">
            <w10:anchorlock/>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联合信用评级有限公司</w:t>
                  </w:r>
                </w:p>
                <w:p>
                  <w:pPr>
                    <w:spacing w:before="64"/>
                    <w:ind w:left="0" w:right="0" w:firstLine="0"/>
                    <w:jc w:val="left"/>
                    <w:rPr>
                      <w:rFonts w:ascii="宋体" w:hAnsi="宋体" w:cs="宋体" w:eastAsia="宋体" w:hint="default"/>
                      <w:sz w:val="16"/>
                      <w:szCs w:val="16"/>
                    </w:rPr>
                  </w:pPr>
                  <w:r>
                    <w:rPr>
                      <w:rFonts w:ascii="宋体" w:hAnsi="宋体" w:cs="宋体" w:eastAsia="宋体" w:hint="default"/>
                      <w:sz w:val="16"/>
                      <w:szCs w:val="16"/>
                    </w:rPr>
                    <w:t>北京市朝阳区建国门外大街</w:t>
                  </w:r>
                  <w:r>
                    <w:rPr>
                      <w:rFonts w:ascii="宋体" w:hAnsi="宋体" w:cs="宋体" w:eastAsia="宋体" w:hint="default"/>
                      <w:spacing w:val="-30"/>
                      <w:sz w:val="16"/>
                      <w:szCs w:val="16"/>
                    </w:rPr>
                    <w:t> </w:t>
                  </w:r>
                  <w:r>
                    <w:rPr>
                      <w:rFonts w:ascii="宋体" w:hAnsi="宋体" w:cs="宋体" w:eastAsia="宋体" w:hint="default"/>
                      <w:sz w:val="16"/>
                      <w:szCs w:val="16"/>
                    </w:rPr>
                    <w:t>2</w:t>
                  </w:r>
                  <w:r>
                    <w:rPr>
                      <w:rFonts w:ascii="宋体" w:hAnsi="宋体" w:cs="宋体" w:eastAsia="宋体" w:hint="default"/>
                      <w:spacing w:val="-32"/>
                      <w:sz w:val="16"/>
                      <w:szCs w:val="16"/>
                    </w:rPr>
                    <w:t> </w:t>
                  </w:r>
                  <w:r>
                    <w:rPr>
                      <w:rFonts w:ascii="宋体" w:hAnsi="宋体" w:cs="宋体" w:eastAsia="宋体" w:hint="default"/>
                      <w:sz w:val="16"/>
                      <w:szCs w:val="16"/>
                    </w:rPr>
                    <w:t>号</w:t>
                  </w:r>
                  <w:r>
                    <w:rPr>
                      <w:rFonts w:ascii="宋体" w:hAnsi="宋体" w:cs="宋体" w:eastAsia="宋体" w:hint="default"/>
                      <w:spacing w:val="-30"/>
                      <w:sz w:val="16"/>
                      <w:szCs w:val="16"/>
                    </w:rPr>
                    <w:t> </w:t>
                  </w:r>
                  <w:r>
                    <w:rPr>
                      <w:rFonts w:ascii="宋体" w:hAnsi="宋体" w:cs="宋体" w:eastAsia="宋体" w:hint="default"/>
                      <w:sz w:val="16"/>
                      <w:szCs w:val="16"/>
                    </w:rPr>
                    <w:t>PICC</w:t>
                  </w:r>
                  <w:r>
                    <w:rPr>
                      <w:rFonts w:ascii="宋体" w:hAnsi="宋体" w:cs="宋体" w:eastAsia="宋体" w:hint="default"/>
                      <w:spacing w:val="-30"/>
                      <w:sz w:val="16"/>
                      <w:szCs w:val="16"/>
                    </w:rPr>
                    <w:t> </w:t>
                  </w:r>
                  <w:r>
                    <w:rPr>
                      <w:rFonts w:ascii="宋体" w:hAnsi="宋体" w:cs="宋体" w:eastAsia="宋体" w:hint="default"/>
                      <w:sz w:val="16"/>
                      <w:szCs w:val="16"/>
                    </w:rPr>
                    <w:t>大厦</w:t>
                  </w:r>
                  <w:r>
                    <w:rPr>
                      <w:rFonts w:ascii="宋体" w:hAnsi="宋体" w:cs="宋体" w:eastAsia="宋体" w:hint="default"/>
                      <w:spacing w:val="-30"/>
                      <w:sz w:val="16"/>
                      <w:szCs w:val="16"/>
                    </w:rPr>
                    <w:t> </w:t>
                  </w:r>
                  <w:r>
                    <w:rPr>
                      <w:rFonts w:ascii="宋体" w:hAnsi="宋体" w:cs="宋体" w:eastAsia="宋体" w:hint="default"/>
                      <w:sz w:val="16"/>
                      <w:szCs w:val="16"/>
                    </w:rPr>
                    <w:t>12</w:t>
                  </w:r>
                  <w:r>
                    <w:rPr>
                      <w:rFonts w:ascii="宋体" w:hAnsi="宋体" w:cs="宋体" w:eastAsia="宋体" w:hint="default"/>
                      <w:spacing w:val="-32"/>
                      <w:sz w:val="16"/>
                      <w:szCs w:val="16"/>
                    </w:rPr>
                    <w:t> </w:t>
                  </w:r>
                  <w:r>
                    <w:rPr>
                      <w:rFonts w:ascii="宋体" w:hAnsi="宋体" w:cs="宋体" w:eastAsia="宋体" w:hint="default"/>
                      <w:sz w:val="16"/>
                      <w:szCs w:val="16"/>
                    </w:rPr>
                    <w:t>层</w:t>
                  </w:r>
                </w:p>
              </w:txbxContent>
            </v:textbox>
          </v:shape>
        </w:pict>
      </w:r>
      <w:r>
        <w:rPr>
          <w:rFonts w:ascii="宋体"/>
          <w:position w:val="-8"/>
          <w:sz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1"/>
          <w:szCs w:val="21"/>
        </w:rPr>
      </w:pPr>
    </w:p>
    <w:p>
      <w:pPr>
        <w:spacing w:line="7640" w:lineRule="exact"/>
        <w:ind w:left="150" w:right="0" w:firstLine="0"/>
        <w:rPr>
          <w:rFonts w:ascii="宋体" w:hAnsi="宋体" w:cs="宋体" w:eastAsia="宋体" w:hint="default"/>
          <w:sz w:val="20"/>
          <w:szCs w:val="20"/>
        </w:rPr>
      </w:pPr>
      <w:r>
        <w:rPr>
          <w:rFonts w:ascii="宋体" w:hAnsi="宋体" w:cs="宋体" w:eastAsia="宋体" w:hint="default"/>
          <w:position w:val="-152"/>
          <w:sz w:val="20"/>
          <w:szCs w:val="20"/>
        </w:rPr>
        <w:pict>
          <v:shape style="width:482.2pt;height:382.05pt;mso-position-horizontal-relative:char;mso-position-vertical-relative:line" type="#_x0000_t202" filled="false" stroked="false">
            <w10:anchorlock/>
            <v:textbox inset="0,0,0,0">
              <w:txbxContent>
                <w:p>
                  <w:pPr>
                    <w:pStyle w:val="BodyText"/>
                    <w:spacing w:line="162" w:lineRule="exact"/>
                    <w:ind w:left="0" w:right="0"/>
                    <w:jc w:val="left"/>
                    <w:rPr>
                      <w:rFonts w:ascii="宋体" w:hAnsi="宋体" w:cs="宋体" w:eastAsia="宋体" w:hint="default"/>
                    </w:rPr>
                  </w:pPr>
                  <w:r>
                    <w:rPr>
                      <w:rFonts w:ascii="宋体" w:hAnsi="宋体" w:cs="宋体" w:eastAsia="宋体" w:hint="default"/>
                      <w:color w:val="D7000F"/>
                    </w:rPr>
                    <w:t>三、公司债券募集资金使用情况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340" w:right="0"/>
                    <w:jc w:val="both"/>
                    <w:rPr>
                      <w:rFonts w:ascii="宋体" w:hAnsi="宋体" w:cs="宋体" w:eastAsia="宋体" w:hint="default"/>
                    </w:rPr>
                  </w:pPr>
                  <w:r>
                    <w:rPr>
                      <w:rFonts w:ascii="宋体" w:hAnsi="宋体" w:cs="宋体" w:eastAsia="宋体" w:hint="default"/>
                    </w:rPr>
                    <w:t>联通运营公司</w:t>
                  </w:r>
                  <w:r>
                    <w:rPr>
                      <w:rFonts w:ascii="宋体" w:hAnsi="宋体" w:cs="宋体" w:eastAsia="宋体" w:hint="default"/>
                      <w:spacing w:val="-21"/>
                    </w:rPr>
                    <w:t> </w:t>
                  </w:r>
                  <w:r>
                    <w:rPr>
                      <w:rFonts w:ascii="宋体" w:hAnsi="宋体" w:cs="宋体" w:eastAsia="宋体" w:hint="default"/>
                    </w:rPr>
                    <w:t>2016</w:t>
                  </w:r>
                  <w:r>
                    <w:rPr>
                      <w:rFonts w:ascii="宋体" w:hAnsi="宋体" w:cs="宋体" w:eastAsia="宋体" w:hint="default"/>
                      <w:spacing w:val="-21"/>
                    </w:rPr>
                    <w:t> </w:t>
                  </w:r>
                  <w:r>
                    <w:rPr>
                      <w:rFonts w:ascii="宋体" w:hAnsi="宋体" w:cs="宋体" w:eastAsia="宋体" w:hint="default"/>
                    </w:rPr>
                    <w:t>年公司债券（第一期）募集资金扣除发行费用后其中</w:t>
                  </w:r>
                  <w:r>
                    <w:rPr>
                      <w:rFonts w:ascii="宋体" w:hAnsi="宋体" w:cs="宋体" w:eastAsia="宋体" w:hint="default"/>
                      <w:spacing w:val="-21"/>
                    </w:rPr>
                    <w:t> </w:t>
                  </w:r>
                  <w:r>
                    <w:rPr>
                      <w:rFonts w:ascii="宋体" w:hAnsi="宋体" w:cs="宋体" w:eastAsia="宋体" w:hint="default"/>
                    </w:rPr>
                    <w:t>60</w:t>
                  </w:r>
                  <w:r>
                    <w:rPr>
                      <w:rFonts w:ascii="宋体" w:hAnsi="宋体" w:cs="宋体" w:eastAsia="宋体" w:hint="default"/>
                      <w:spacing w:val="-21"/>
                    </w:rPr>
                    <w:t> </w:t>
                  </w:r>
                  <w:r>
                    <w:rPr>
                      <w:rFonts w:ascii="宋体" w:hAnsi="宋体" w:cs="宋体" w:eastAsia="宋体" w:hint="default"/>
                    </w:rPr>
                    <w:t>亿元用于偿还公司债务，余下部分用于补</w:t>
                  </w:r>
                </w:p>
                <w:p>
                  <w:pPr>
                    <w:pStyle w:val="BodyText"/>
                    <w:spacing w:line="240" w:lineRule="auto" w:before="44"/>
                    <w:ind w:left="340" w:right="0"/>
                    <w:jc w:val="both"/>
                    <w:rPr>
                      <w:rFonts w:ascii="宋体" w:hAnsi="宋体" w:cs="宋体" w:eastAsia="宋体" w:hint="default"/>
                    </w:rPr>
                  </w:pPr>
                  <w:r>
                    <w:rPr>
                      <w:rFonts w:ascii="宋体" w:hAnsi="宋体" w:cs="宋体" w:eastAsia="宋体" w:hint="default"/>
                    </w:rPr>
                    <w:t>充公司流动资金。联通运营公司 2016</w:t>
                  </w:r>
                  <w:r>
                    <w:rPr>
                      <w:rFonts w:ascii="宋体" w:hAnsi="宋体" w:cs="宋体" w:eastAsia="宋体" w:hint="default"/>
                      <w:spacing w:val="-52"/>
                    </w:rPr>
                    <w:t> </w:t>
                  </w:r>
                  <w:r>
                    <w:rPr>
                      <w:rFonts w:ascii="宋体" w:hAnsi="宋体" w:cs="宋体" w:eastAsia="宋体" w:hint="default"/>
                    </w:rPr>
                    <w:t>年公司债券（第二期）募集资金扣除发行费用后全部用于偿还公司债务。</w:t>
                  </w:r>
                </w:p>
                <w:p>
                  <w:pPr>
                    <w:pStyle w:val="BodyText"/>
                    <w:spacing w:line="285" w:lineRule="auto" w:before="157"/>
                    <w:ind w:left="340" w:right="0"/>
                    <w:jc w:val="both"/>
                    <w:rPr>
                      <w:rFonts w:ascii="宋体" w:hAnsi="宋体" w:cs="宋体" w:eastAsia="宋体" w:hint="default"/>
                    </w:rPr>
                  </w:pPr>
                  <w:r>
                    <w:rPr>
                      <w:rFonts w:ascii="宋体" w:hAnsi="宋体" w:cs="宋体" w:eastAsia="宋体" w:hint="default"/>
                    </w:rPr>
                    <w:t>联通运营公司严格遵循公司的资金管理制度及相关法律法规，履行募集资金使用的相关程序，遵照募集说明书承诺的</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用途、使用计划及其他约定。</w:t>
                  </w:r>
                </w:p>
                <w:p>
                  <w:pPr>
                    <w:spacing w:line="240" w:lineRule="auto" w:before="6"/>
                    <w:rPr>
                      <w:rFonts w:ascii="宋体" w:hAnsi="宋体" w:cs="宋体" w:eastAsia="宋体" w:hint="default"/>
                      <w:sz w:val="22"/>
                      <w:szCs w:val="22"/>
                    </w:rPr>
                  </w:pPr>
                </w:p>
                <w:p>
                  <w:pPr>
                    <w:pStyle w:val="BodyText"/>
                    <w:spacing w:line="240" w:lineRule="auto"/>
                    <w:ind w:left="0" w:right="0"/>
                    <w:jc w:val="left"/>
                    <w:rPr>
                      <w:rFonts w:ascii="宋体" w:hAnsi="宋体" w:cs="宋体" w:eastAsia="宋体" w:hint="default"/>
                    </w:rPr>
                  </w:pPr>
                  <w:r>
                    <w:rPr>
                      <w:rFonts w:ascii="宋体" w:hAnsi="宋体" w:cs="宋体" w:eastAsia="宋体" w:hint="default"/>
                      <w:color w:val="D7000F"/>
                    </w:rPr>
                    <w:t>四、公司债券评级情况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340" w:right="4"/>
                    <w:jc w:val="both"/>
                    <w:rPr>
                      <w:rFonts w:ascii="宋体" w:hAnsi="宋体" w:cs="宋体" w:eastAsia="宋体" w:hint="default"/>
                    </w:rPr>
                  </w:pPr>
                  <w:r>
                    <w:rPr>
                      <w:rFonts w:ascii="宋体" w:hAnsi="宋体" w:cs="宋体" w:eastAsia="宋体" w:hint="default"/>
                    </w:rPr>
                    <w:t>联合信用评级有限公司将在每年联通运营公司审计报告出具后两个月内进行一次定期跟踪评级，并在债券存续期内根</w:t>
                  </w:r>
                  <w:r>
                    <w:rPr>
                      <w:rFonts w:ascii="宋体" w:hAnsi="宋体" w:cs="宋体" w:eastAsia="宋体" w:hint="default"/>
                      <w:spacing w:val="9"/>
                    </w:rPr>
                    <w:t> </w:t>
                  </w:r>
                  <w:r>
                    <w:rPr>
                      <w:rFonts w:ascii="宋体" w:hAnsi="宋体" w:cs="宋体" w:eastAsia="宋体" w:hint="default"/>
                      <w:spacing w:val="9"/>
                    </w:rPr>
                  </w:r>
                  <w:r>
                    <w:rPr>
                      <w:rFonts w:ascii="宋体" w:hAnsi="宋体" w:cs="宋体" w:eastAsia="宋体" w:hint="default"/>
                    </w:rPr>
                    <w:t>据有关情况进行不定期跟踪评级。</w:t>
                  </w:r>
                </w:p>
                <w:p>
                  <w:pPr>
                    <w:pStyle w:val="BodyText"/>
                    <w:spacing w:line="240" w:lineRule="auto" w:before="123"/>
                    <w:ind w:left="340" w:right="0"/>
                    <w:jc w:val="both"/>
                    <w:rPr>
                      <w:rFonts w:ascii="宋体" w:hAnsi="宋体" w:cs="宋体" w:eastAsia="宋体" w:hint="default"/>
                    </w:rPr>
                  </w:pPr>
                  <w:r>
                    <w:rPr>
                      <w:rFonts w:ascii="宋体" w:hAnsi="宋体" w:cs="宋体" w:eastAsia="宋体" w:hint="default"/>
                    </w:rPr>
                    <w:t>报告期内，联通运营公司在中国境内发行其他债券、债务融资工具的主体评级不存在评级差异情况。</w:t>
                  </w:r>
                </w:p>
                <w:p>
                  <w:pPr>
                    <w:spacing w:line="240" w:lineRule="auto" w:before="1"/>
                    <w:rPr>
                      <w:rFonts w:ascii="宋体" w:hAnsi="宋体" w:cs="宋体" w:eastAsia="宋体" w:hint="default"/>
                      <w:sz w:val="25"/>
                      <w:szCs w:val="25"/>
                    </w:rPr>
                  </w:pPr>
                </w:p>
                <w:p>
                  <w:pPr>
                    <w:pStyle w:val="BodyText"/>
                    <w:spacing w:line="240" w:lineRule="auto"/>
                    <w:ind w:left="0" w:right="0"/>
                    <w:jc w:val="left"/>
                    <w:rPr>
                      <w:rFonts w:ascii="宋体" w:hAnsi="宋体" w:cs="宋体" w:eastAsia="宋体" w:hint="default"/>
                    </w:rPr>
                  </w:pPr>
                  <w:r>
                    <w:rPr>
                      <w:rFonts w:ascii="宋体" w:hAnsi="宋体" w:cs="宋体" w:eastAsia="宋体" w:hint="default"/>
                      <w:color w:val="D7000F"/>
                    </w:rPr>
                    <w:t>五、报告期内公司债券增信机制、偿债计划及其他相关情况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340" w:right="0"/>
                    <w:jc w:val="both"/>
                    <w:rPr>
                      <w:rFonts w:ascii="宋体" w:hAnsi="宋体" w:cs="宋体" w:eastAsia="宋体" w:hint="default"/>
                    </w:rPr>
                  </w:pPr>
                  <w:r>
                    <w:rPr>
                      <w:rFonts w:ascii="宋体" w:hAnsi="宋体" w:cs="宋体" w:eastAsia="宋体" w:hint="default"/>
                    </w:rPr>
                    <w:t>联通运营公司</w:t>
                  </w:r>
                  <w:r>
                    <w:rPr>
                      <w:rFonts w:ascii="宋体" w:hAnsi="宋体" w:cs="宋体" w:eastAsia="宋体" w:hint="default"/>
                      <w:spacing w:val="-25"/>
                    </w:rPr>
                    <w:t> </w:t>
                  </w:r>
                  <w:r>
                    <w:rPr>
                      <w:rFonts w:ascii="宋体" w:hAnsi="宋体" w:cs="宋体" w:eastAsia="宋体" w:hint="default"/>
                    </w:rPr>
                    <w:t>2016</w:t>
                  </w:r>
                  <w:r>
                    <w:rPr>
                      <w:rFonts w:ascii="宋体" w:hAnsi="宋体" w:cs="宋体" w:eastAsia="宋体" w:hint="default"/>
                      <w:spacing w:val="-27"/>
                    </w:rPr>
                    <w:t> </w:t>
                  </w:r>
                  <w:r>
                    <w:rPr>
                      <w:rFonts w:ascii="宋体" w:hAnsi="宋体" w:cs="宋体" w:eastAsia="宋体" w:hint="default"/>
                    </w:rPr>
                    <w:t>年公司债券（第一期）、联通运营公司</w:t>
                  </w:r>
                  <w:r>
                    <w:rPr>
                      <w:rFonts w:ascii="宋体" w:hAnsi="宋体" w:cs="宋体" w:eastAsia="宋体" w:hint="default"/>
                      <w:spacing w:val="-25"/>
                    </w:rPr>
                    <w:t> </w:t>
                  </w:r>
                  <w:r>
                    <w:rPr>
                      <w:rFonts w:ascii="宋体" w:hAnsi="宋体" w:cs="宋体" w:eastAsia="宋体" w:hint="default"/>
                    </w:rPr>
                    <w:t>2016</w:t>
                  </w:r>
                  <w:r>
                    <w:rPr>
                      <w:rFonts w:ascii="宋体" w:hAnsi="宋体" w:cs="宋体" w:eastAsia="宋体" w:hint="default"/>
                      <w:spacing w:val="-27"/>
                    </w:rPr>
                    <w:t> </w:t>
                  </w:r>
                  <w:r>
                    <w:rPr>
                      <w:rFonts w:ascii="宋体" w:hAnsi="宋体" w:cs="宋体" w:eastAsia="宋体" w:hint="default"/>
                    </w:rPr>
                    <w:t>年公司债券（第二期）无增信安排。</w:t>
                  </w:r>
                </w:p>
                <w:p>
                  <w:pPr>
                    <w:pStyle w:val="BodyText"/>
                    <w:spacing w:line="285" w:lineRule="auto" w:before="157"/>
                    <w:ind w:left="340" w:right="0"/>
                    <w:jc w:val="both"/>
                    <w:rPr>
                      <w:rFonts w:ascii="宋体" w:hAnsi="宋体" w:cs="宋体" w:eastAsia="宋体" w:hint="default"/>
                    </w:rPr>
                  </w:pPr>
                  <w:r>
                    <w:rPr>
                      <w:rFonts w:ascii="宋体" w:hAnsi="宋体" w:cs="宋体" w:eastAsia="宋体" w:hint="default"/>
                    </w:rPr>
                    <w:t>报告期内，联通运营公司债券偿债计划及偿债保障措施未发生变更，公司严格按照募集说明书约定的还本付息安排向</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债券持有人支付债券利息及兑付债券本金。</w:t>
                  </w:r>
                </w:p>
                <w:p>
                  <w:pPr>
                    <w:spacing w:line="240" w:lineRule="auto" w:before="6"/>
                    <w:rPr>
                      <w:rFonts w:ascii="宋体" w:hAnsi="宋体" w:cs="宋体" w:eastAsia="宋体" w:hint="default"/>
                      <w:sz w:val="22"/>
                      <w:szCs w:val="22"/>
                    </w:rPr>
                  </w:pPr>
                </w:p>
                <w:p>
                  <w:pPr>
                    <w:pStyle w:val="BodyText"/>
                    <w:spacing w:line="240" w:lineRule="auto"/>
                    <w:ind w:left="0" w:right="0"/>
                    <w:jc w:val="left"/>
                    <w:rPr>
                      <w:rFonts w:ascii="宋体" w:hAnsi="宋体" w:cs="宋体" w:eastAsia="宋体" w:hint="default"/>
                    </w:rPr>
                  </w:pPr>
                  <w:r>
                    <w:rPr>
                      <w:rFonts w:ascii="宋体" w:hAnsi="宋体" w:cs="宋体" w:eastAsia="宋体" w:hint="default"/>
                      <w:color w:val="D7000F"/>
                    </w:rPr>
                    <w:t>六、公司债券持有人会议召开情况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340" w:right="0"/>
                    <w:jc w:val="both"/>
                    <w:rPr>
                      <w:rFonts w:ascii="宋体" w:hAnsi="宋体" w:cs="宋体" w:eastAsia="宋体" w:hint="default"/>
                    </w:rPr>
                  </w:pPr>
                  <w:r>
                    <w:rPr>
                      <w:rFonts w:ascii="宋体" w:hAnsi="宋体" w:cs="宋体" w:eastAsia="宋体" w:hint="default"/>
                    </w:rPr>
                    <w:t>本报告期内，联通运营公司未召开债券持有人会议。</w:t>
                  </w:r>
                </w:p>
                <w:p>
                  <w:pPr>
                    <w:spacing w:line="240" w:lineRule="auto" w:before="1"/>
                    <w:rPr>
                      <w:rFonts w:ascii="宋体" w:hAnsi="宋体" w:cs="宋体" w:eastAsia="宋体" w:hint="default"/>
                      <w:sz w:val="25"/>
                      <w:szCs w:val="25"/>
                    </w:rPr>
                  </w:pPr>
                </w:p>
                <w:p>
                  <w:pPr>
                    <w:pStyle w:val="BodyText"/>
                    <w:spacing w:line="240" w:lineRule="auto"/>
                    <w:ind w:left="0" w:right="0"/>
                    <w:jc w:val="left"/>
                    <w:rPr>
                      <w:rFonts w:ascii="宋体" w:hAnsi="宋体" w:cs="宋体" w:eastAsia="宋体" w:hint="default"/>
                    </w:rPr>
                  </w:pPr>
                  <w:r>
                    <w:rPr>
                      <w:rFonts w:ascii="宋体" w:hAnsi="宋体" w:cs="宋体" w:eastAsia="宋体" w:hint="default"/>
                      <w:color w:val="D7000F"/>
                    </w:rPr>
                    <w:t>七、公司债券受托管理人履职情况</w:t>
                  </w:r>
                  <w:r>
                    <w:rPr>
                      <w:rFonts w:ascii="宋体" w:hAnsi="宋体" w:cs="宋体" w:eastAsia="宋体" w:hint="default"/>
                    </w:rPr>
                  </w:r>
                </w:p>
                <w:p>
                  <w:pPr>
                    <w:spacing w:line="240" w:lineRule="auto" w:before="7"/>
                    <w:rPr>
                      <w:rFonts w:ascii="宋体" w:hAnsi="宋体" w:cs="宋体" w:eastAsia="宋体" w:hint="default"/>
                      <w:sz w:val="14"/>
                      <w:szCs w:val="14"/>
                    </w:rPr>
                  </w:pPr>
                </w:p>
                <w:p>
                  <w:pPr>
                    <w:pStyle w:val="BodyText"/>
                    <w:spacing w:line="280" w:lineRule="atLeast"/>
                    <w:ind w:left="340" w:right="0"/>
                    <w:jc w:val="both"/>
                    <w:rPr>
                      <w:rFonts w:ascii="宋体" w:hAnsi="宋体" w:cs="宋体" w:eastAsia="宋体" w:hint="default"/>
                    </w:rPr>
                  </w:pPr>
                  <w:r>
                    <w:rPr>
                      <w:rFonts w:ascii="宋体" w:hAnsi="宋体" w:cs="宋体" w:eastAsia="宋体" w:hint="default"/>
                    </w:rPr>
                    <w:t>前述公司债券存续期内，债券受托管理人中国国际金融股份有限公司严格按照《债券受托管理协议》中的约定，对联</w:t>
                  </w:r>
                  <w:r>
                    <w:rPr>
                      <w:rFonts w:ascii="宋体" w:hAnsi="宋体" w:cs="宋体" w:eastAsia="宋体" w:hint="default"/>
                      <w:spacing w:val="4"/>
                    </w:rPr>
                    <w:t> </w:t>
                  </w:r>
                  <w:r>
                    <w:rPr>
                      <w:rFonts w:ascii="宋体" w:hAnsi="宋体" w:cs="宋体" w:eastAsia="宋体" w:hint="default"/>
                      <w:spacing w:val="4"/>
                    </w:rPr>
                  </w:r>
                  <w:r>
                    <w:rPr>
                      <w:rFonts w:ascii="宋体" w:hAnsi="宋体" w:cs="宋体" w:eastAsia="宋体" w:hint="default"/>
                    </w:rPr>
                    <w:t>通运营公司资信状况、募集资金管理运用情况、公司债券本息偿付情况等进行了持续跟踪，并督促联通运营公司履行</w:t>
                  </w:r>
                  <w:r>
                    <w:rPr>
                      <w:rFonts w:ascii="宋体" w:hAnsi="宋体" w:cs="宋体" w:eastAsia="宋体" w:hint="default"/>
                      <w:spacing w:val="5"/>
                    </w:rPr>
                    <w:t> </w:t>
                  </w:r>
                  <w:r>
                    <w:rPr>
                      <w:rFonts w:ascii="宋体" w:hAnsi="宋体" w:cs="宋体" w:eastAsia="宋体" w:hint="default"/>
                      <w:spacing w:val="5"/>
                    </w:rPr>
                  </w:r>
                  <w:r>
                    <w:rPr>
                      <w:rFonts w:ascii="宋体" w:hAnsi="宋体" w:cs="宋体" w:eastAsia="宋体" w:hint="default"/>
                    </w:rPr>
                    <w:t>公司债券募集说明书中所约定义务，积极行使了债券受托管理人职责，维护债券持有人的合法权益。</w:t>
                  </w:r>
                </w:p>
              </w:txbxContent>
            </v:textbox>
          </v:shape>
        </w:pict>
      </w:r>
      <w:r>
        <w:rPr>
          <w:rFonts w:ascii="宋体" w:hAnsi="宋体" w:cs="宋体" w:eastAsia="宋体" w:hint="default"/>
          <w:position w:val="-152"/>
          <w:sz w:val="20"/>
          <w:szCs w:val="20"/>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tabs>
          <w:tab w:pos="1709" w:val="left" w:leader="none"/>
          <w:tab w:pos="9731" w:val="right" w:leader="none"/>
        </w:tabs>
        <w:spacing w:before="213"/>
        <w:ind w:left="108" w:right="0" w:firstLine="0"/>
        <w:jc w:val="left"/>
        <w:rPr>
          <w:rFonts w:ascii="Arial" w:hAnsi="Arial" w:cs="Arial" w:eastAsia="Arial" w:hint="default"/>
          <w:sz w:val="16"/>
          <w:szCs w:val="16"/>
        </w:rPr>
      </w:pPr>
      <w:r>
        <w:rPr>
          <w:rFonts w:ascii="宋体" w:hAnsi="宋体" w:cs="宋体" w:eastAsia="宋体" w:hint="default"/>
          <w:color w:val="9C8758"/>
          <w:spacing w:val="18"/>
          <w:w w:val="105"/>
          <w:position w:val="1"/>
          <w:sz w:val="16"/>
          <w:szCs w:val="16"/>
        </w:rPr>
        <w:t>2018</w:t>
      </w:r>
      <w:r>
        <w:rPr>
          <w:rFonts w:ascii="宋体" w:hAnsi="宋体" w:cs="宋体" w:eastAsia="宋体" w:hint="default"/>
          <w:color w:val="9C8758"/>
          <w:spacing w:val="43"/>
          <w:w w:val="105"/>
          <w:position w:val="1"/>
          <w:sz w:val="16"/>
          <w:szCs w:val="16"/>
        </w:rPr>
        <w:t> </w:t>
      </w:r>
      <w:r>
        <w:rPr>
          <w:rFonts w:ascii="宋体" w:hAnsi="宋体" w:cs="宋体" w:eastAsia="宋体" w:hint="default"/>
          <w:color w:val="9C8758"/>
          <w:spacing w:val="24"/>
          <w:w w:val="105"/>
          <w:position w:val="1"/>
          <w:sz w:val="16"/>
          <w:szCs w:val="16"/>
        </w:rPr>
        <w:t>年度报告</w:t>
        <w:tab/>
      </w:r>
      <w:r>
        <w:rPr>
          <w:rFonts w:ascii="宋体" w:hAnsi="宋体" w:cs="宋体" w:eastAsia="宋体" w:hint="default"/>
          <w:color w:val="595757"/>
          <w:spacing w:val="24"/>
          <w:w w:val="105"/>
          <w:sz w:val="16"/>
          <w:szCs w:val="16"/>
        </w:rPr>
        <w:t>公司债券相关情况</w:t>
      </w:r>
      <w:r>
        <w:rPr>
          <w:rFonts w:ascii="Arial" w:hAnsi="Arial" w:cs="Arial" w:eastAsia="Arial" w:hint="default"/>
          <w:b/>
          <w:bCs/>
          <w:color w:val="9C8758"/>
          <w:spacing w:val="24"/>
          <w:w w:val="105"/>
          <w:position w:val="1"/>
          <w:sz w:val="16"/>
          <w:szCs w:val="16"/>
        </w:rPr>
        <w:tab/>
      </w:r>
      <w:r>
        <w:rPr>
          <w:rFonts w:ascii="Arial" w:hAnsi="Arial" w:cs="Arial" w:eastAsia="Arial" w:hint="default"/>
          <w:b/>
          <w:bCs/>
          <w:color w:val="9C8758"/>
          <w:w w:val="105"/>
          <w:position w:val="1"/>
          <w:sz w:val="16"/>
          <w:szCs w:val="16"/>
        </w:rPr>
        <w:t>79</w:t>
      </w:r>
      <w:r>
        <w:rPr>
          <w:rFonts w:ascii="Arial" w:hAnsi="Arial" w:cs="Arial" w:eastAsia="Arial" w:hint="default"/>
          <w:w w:val="105"/>
          <w:sz w:val="16"/>
          <w:szCs w:val="16"/>
        </w:rPr>
      </w:r>
    </w:p>
    <w:p>
      <w:pPr>
        <w:spacing w:after="0"/>
        <w:jc w:val="left"/>
        <w:rPr>
          <w:rFonts w:ascii="Arial" w:hAnsi="Arial" w:cs="Arial" w:eastAsia="Arial" w:hint="default"/>
          <w:sz w:val="16"/>
          <w:szCs w:val="16"/>
        </w:rPr>
        <w:sectPr>
          <w:headerReference w:type="default" r:id="rId233"/>
          <w:footerReference w:type="default" r:id="rId234"/>
          <w:pgSz w:w="11910" w:h="16160"/>
          <w:pgMar w:header="0" w:footer="0" w:top="1520" w:bottom="0" w:left="1380" w:right="620"/>
        </w:sectPr>
      </w:pPr>
    </w:p>
    <w:p>
      <w:pPr>
        <w:spacing w:line="240" w:lineRule="auto" w:before="0"/>
        <w:rPr>
          <w:rFonts w:ascii="Arial" w:hAnsi="Arial" w:cs="Arial" w:eastAsia="Arial" w:hint="default"/>
          <w:b/>
          <w:bCs/>
          <w:sz w:val="20"/>
          <w:szCs w:val="20"/>
        </w:rPr>
      </w:pPr>
    </w:p>
    <w:p>
      <w:pPr>
        <w:spacing w:line="240" w:lineRule="auto" w:before="10"/>
        <w:rPr>
          <w:rFonts w:ascii="Arial" w:hAnsi="Arial" w:cs="Arial" w:eastAsia="Arial" w:hint="default"/>
          <w:b/>
          <w:bCs/>
          <w:sz w:val="20"/>
          <w:szCs w:val="20"/>
        </w:rPr>
      </w:pPr>
    </w:p>
    <w:p>
      <w:pPr>
        <w:spacing w:line="187" w:lineRule="exact"/>
        <w:ind w:left="5272" w:right="0" w:firstLine="0"/>
        <w:rPr>
          <w:rFonts w:ascii="Arial" w:hAnsi="Arial" w:cs="Arial" w:eastAsia="Arial" w:hint="default"/>
          <w:sz w:val="18"/>
          <w:szCs w:val="18"/>
        </w:rPr>
      </w:pPr>
      <w:r>
        <w:rPr>
          <w:rFonts w:ascii="Arial" w:hAnsi="Arial" w:cs="Arial" w:eastAsia="Arial" w:hint="default"/>
          <w:position w:val="-3"/>
          <w:sz w:val="18"/>
          <w:szCs w:val="18"/>
        </w:rPr>
        <w:pict>
          <v:group style="width:131.1pt;height:9.4pt;mso-position-horizontal-relative:char;mso-position-vertical-relative:line" coordorigin="0,0" coordsize="2622,188">
            <v:shape style="position:absolute;left:0;top:0;width:188;height:188" type="#_x0000_t75" stroked="false">
              <v:imagedata r:id="rId239" o:title=""/>
            </v:shape>
            <v:group style="position:absolute;left:117;top:94;width:2495;height:2" coordorigin="117,94" coordsize="2495,2">
              <v:shape style="position:absolute;left:117;top:94;width:2495;height:2" coordorigin="117,94" coordsize="2495,0" path="m117,94l2612,94e" filled="false" stroked="true" strokeweight=".956pt" strokecolor="#d7000f">
                <v:path arrowok="t"/>
              </v:shape>
            </v:group>
          </v:group>
        </w:pict>
      </w:r>
      <w:r>
        <w:rPr>
          <w:rFonts w:ascii="Arial" w:hAnsi="Arial" w:cs="Arial" w:eastAsia="Arial" w:hint="default"/>
          <w:position w:val="-3"/>
          <w:sz w:val="18"/>
          <w:szCs w:val="18"/>
        </w:rPr>
      </w:r>
    </w:p>
    <w:p>
      <w:pPr>
        <w:spacing w:line="240" w:lineRule="auto" w:before="10"/>
        <w:rPr>
          <w:rFonts w:ascii="Arial" w:hAnsi="Arial" w:cs="Arial" w:eastAsia="Arial" w:hint="default"/>
          <w:b/>
          <w:bCs/>
          <w:sz w:val="31"/>
          <w:szCs w:val="31"/>
        </w:rPr>
      </w:pPr>
    </w:p>
    <w:p>
      <w:pPr>
        <w:pStyle w:val="Heading6"/>
        <w:spacing w:line="240" w:lineRule="auto"/>
        <w:ind w:left="170" w:right="532"/>
        <w:jc w:val="left"/>
      </w:pPr>
      <w:r>
        <w:rPr/>
        <w:pict>
          <v:group style="position:absolute;margin-left:353.213806pt;margin-top:-47.502609pt;width:242.4pt;height:7.15pt;mso-position-horizontal-relative:page;mso-position-vertical-relative:paragraph;z-index:8632" coordorigin="7064,-950" coordsize="4848,143">
            <v:shape style="position:absolute;left:7064;top:-950;width:143;height:143" type="#_x0000_t75" stroked="false">
              <v:imagedata r:id="rId240" o:title=""/>
            </v:shape>
            <v:group style="position:absolute;left:7131;top:-879;width:4775;height:2" coordorigin="7131,-879" coordsize="4775,2">
              <v:shape style="position:absolute;left:7131;top:-879;width:4775;height:2" coordorigin="7131,-879" coordsize="4775,0" path="m7131,-879l11906,-879e" filled="false" stroked="true" strokeweight=".671pt" strokecolor="#000000">
                <v:path arrowok="t"/>
              </v:shape>
            </v:group>
            <w10:wrap type="none"/>
          </v:group>
        </w:pict>
      </w:r>
      <w:r>
        <w:rPr>
          <w:color w:val="D7000F"/>
        </w:rPr>
        <w:t>公司债券相关情况</w:t>
      </w:r>
      <w:r>
        <w:rPr/>
      </w:r>
    </w:p>
    <w:p>
      <w:pPr>
        <w:spacing w:line="240" w:lineRule="auto" w:before="6"/>
        <w:rPr>
          <w:rFonts w:ascii="宋体" w:hAnsi="宋体" w:cs="宋体" w:eastAsia="宋体" w:hint="default"/>
          <w:sz w:val="38"/>
          <w:szCs w:val="38"/>
        </w:rPr>
      </w:pPr>
    </w:p>
    <w:p>
      <w:pPr>
        <w:pStyle w:val="BodyText"/>
        <w:spacing w:line="240" w:lineRule="auto"/>
        <w:ind w:left="113" w:right="532"/>
        <w:jc w:val="left"/>
        <w:rPr>
          <w:rFonts w:ascii="宋体" w:hAnsi="宋体" w:cs="宋体" w:eastAsia="宋体" w:hint="default"/>
        </w:rPr>
      </w:pPr>
      <w:r>
        <w:rPr>
          <w:rFonts w:ascii="宋体" w:hAnsi="宋体" w:cs="宋体" w:eastAsia="宋体" w:hint="default"/>
          <w:color w:val="D7000F"/>
        </w:rPr>
        <w:t>八、截至报告期末公司近 2</w:t>
      </w:r>
      <w:r>
        <w:rPr>
          <w:rFonts w:ascii="宋体" w:hAnsi="宋体" w:cs="宋体" w:eastAsia="宋体" w:hint="default"/>
          <w:color w:val="D7000F"/>
          <w:spacing w:val="-63"/>
        </w:rPr>
        <w:t> </w:t>
      </w:r>
      <w:r>
        <w:rPr>
          <w:rFonts w:ascii="宋体" w:hAnsi="宋体" w:cs="宋体" w:eastAsia="宋体" w:hint="default"/>
          <w:color w:val="D7000F"/>
        </w:rPr>
        <w:t>年的会计数据和财务指标</w:t>
      </w:r>
      <w:r>
        <w:rPr>
          <w:rFonts w:ascii="宋体" w:hAnsi="宋体" w:cs="宋体" w:eastAsia="宋体" w:hint="default"/>
        </w:rPr>
      </w:r>
    </w:p>
    <w:p>
      <w:pPr>
        <w:spacing w:line="240" w:lineRule="auto" w:before="5"/>
        <w:rPr>
          <w:rFonts w:ascii="宋体" w:hAnsi="宋体" w:cs="宋体" w:eastAsia="宋体" w:hint="default"/>
          <w:sz w:val="10"/>
          <w:szCs w:val="10"/>
        </w:rPr>
      </w:pPr>
    </w:p>
    <w:tbl>
      <w:tblPr>
        <w:tblW w:w="0" w:type="auto"/>
        <w:jc w:val="left"/>
        <w:tblInd w:w="453" w:type="dxa"/>
        <w:tblLayout w:type="fixed"/>
        <w:tblCellMar>
          <w:top w:w="0" w:type="dxa"/>
          <w:left w:w="0" w:type="dxa"/>
          <w:bottom w:w="0" w:type="dxa"/>
          <w:right w:w="0" w:type="dxa"/>
        </w:tblCellMar>
        <w:tblLook w:val="01E0"/>
      </w:tblPr>
      <w:tblGrid>
        <w:gridCol w:w="2053"/>
        <w:gridCol w:w="1701"/>
        <w:gridCol w:w="1362"/>
        <w:gridCol w:w="2035"/>
        <w:gridCol w:w="2152"/>
      </w:tblGrid>
      <w:tr>
        <w:trPr>
          <w:trHeight w:val="514" w:hRule="exact"/>
        </w:trPr>
        <w:tc>
          <w:tcPr>
            <w:tcW w:w="5117" w:type="dxa"/>
            <w:gridSpan w:val="3"/>
            <w:tcBorders>
              <w:top w:val="nil" w:sz="6" w:space="0" w:color="auto"/>
              <w:left w:val="nil" w:sz="6" w:space="0" w:color="auto"/>
              <w:bottom w:val="nil" w:sz="6" w:space="0" w:color="auto"/>
              <w:right w:val="nil" w:sz="6" w:space="0" w:color="auto"/>
            </w:tcBorders>
          </w:tcPr>
          <w:p>
            <w:pPr/>
          </w:p>
        </w:tc>
        <w:tc>
          <w:tcPr>
            <w:tcW w:w="2035" w:type="dxa"/>
            <w:tcBorders>
              <w:top w:val="nil" w:sz="6" w:space="0" w:color="auto"/>
              <w:left w:val="nil" w:sz="6" w:space="0" w:color="auto"/>
              <w:bottom w:val="nil" w:sz="6" w:space="0" w:color="auto"/>
              <w:right w:val="nil" w:sz="6" w:space="0" w:color="auto"/>
            </w:tcBorders>
          </w:tcPr>
          <w:p>
            <w:pPr>
              <w:pStyle w:val="TableParagraph"/>
              <w:spacing w:line="240" w:lineRule="auto" w:before="0"/>
              <w:ind w:right="0"/>
              <w:jc w:val="left"/>
              <w:rPr>
                <w:rFonts w:ascii="宋体" w:hAnsi="宋体" w:cs="宋体" w:eastAsia="宋体" w:hint="default"/>
                <w:sz w:val="21"/>
                <w:szCs w:val="21"/>
              </w:rPr>
            </w:pPr>
          </w:p>
          <w:p>
            <w:pPr>
              <w:pStyle w:val="TableParagraph"/>
              <w:spacing w:line="240" w:lineRule="auto"/>
              <w:ind w:right="813"/>
              <w:jc w:val="right"/>
              <w:rPr>
                <w:rFonts w:ascii="宋体" w:hAnsi="宋体" w:cs="宋体" w:eastAsia="宋体" w:hint="default"/>
                <w:sz w:val="16"/>
                <w:szCs w:val="16"/>
              </w:rPr>
            </w:pPr>
            <w:r>
              <w:rPr>
                <w:rFonts w:ascii="宋体" w:hAnsi="宋体" w:cs="宋体" w:eastAsia="宋体" w:hint="default"/>
                <w:sz w:val="16"/>
                <w:szCs w:val="16"/>
              </w:rPr>
              <w:t>本期比上年同期</w:t>
            </w:r>
          </w:p>
        </w:tc>
        <w:tc>
          <w:tcPr>
            <w:tcW w:w="2152" w:type="dxa"/>
            <w:tcBorders>
              <w:top w:val="nil" w:sz="6" w:space="0" w:color="auto"/>
              <w:left w:val="nil" w:sz="6" w:space="0" w:color="auto"/>
              <w:bottom w:val="nil" w:sz="6" w:space="0" w:color="auto"/>
              <w:right w:val="nil" w:sz="6" w:space="0" w:color="auto"/>
            </w:tcBorders>
          </w:tcPr>
          <w:p>
            <w:pPr>
              <w:pStyle w:val="TableParagraph"/>
              <w:spacing w:line="240" w:lineRule="auto" w:before="54"/>
              <w:ind w:right="83"/>
              <w:jc w:val="right"/>
              <w:rPr>
                <w:rFonts w:ascii="宋体" w:hAnsi="宋体" w:cs="宋体" w:eastAsia="宋体" w:hint="default"/>
                <w:sz w:val="12"/>
                <w:szCs w:val="12"/>
              </w:rPr>
            </w:pPr>
            <w:r>
              <w:rPr>
                <w:rFonts w:ascii="宋体" w:hAnsi="宋体" w:cs="宋体" w:eastAsia="宋体" w:hint="default"/>
                <w:sz w:val="12"/>
                <w:szCs w:val="12"/>
              </w:rPr>
              <w:t>单位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元</w:t>
            </w:r>
            <w:r>
              <w:rPr>
                <w:rFonts w:ascii="宋体" w:hAnsi="宋体" w:cs="宋体" w:eastAsia="宋体" w:hint="default"/>
                <w:spacing w:val="-11"/>
                <w:sz w:val="12"/>
                <w:szCs w:val="12"/>
              </w:rPr>
              <w:t> </w:t>
            </w:r>
            <w:r>
              <w:rPr>
                <w:rFonts w:ascii="宋体" w:hAnsi="宋体" w:cs="宋体" w:eastAsia="宋体" w:hint="default"/>
                <w:sz w:val="12"/>
                <w:szCs w:val="12"/>
              </w:rPr>
              <w:t>币种</w:t>
            </w:r>
            <w:r>
              <w:rPr>
                <w:rFonts w:ascii="宋体" w:hAnsi="宋体" w:cs="宋体" w:eastAsia="宋体" w:hint="default"/>
                <w:spacing w:val="-38"/>
                <w:sz w:val="12"/>
                <w:szCs w:val="12"/>
              </w:rPr>
              <w:t> </w:t>
            </w:r>
            <w:r>
              <w:rPr>
                <w:rFonts w:ascii="宋体" w:hAnsi="宋体" w:cs="宋体" w:eastAsia="宋体" w:hint="default"/>
                <w:w w:val="95"/>
                <w:sz w:val="12"/>
                <w:szCs w:val="12"/>
              </w:rPr>
              <w:t>:</w:t>
            </w:r>
            <w:r>
              <w:rPr>
                <w:rFonts w:ascii="宋体" w:hAnsi="宋体" w:cs="宋体" w:eastAsia="宋体" w:hint="default"/>
                <w:spacing w:val="-35"/>
                <w:w w:val="95"/>
                <w:sz w:val="12"/>
                <w:szCs w:val="12"/>
              </w:rPr>
              <w:t> </w:t>
            </w:r>
            <w:r>
              <w:rPr>
                <w:rFonts w:ascii="宋体" w:hAnsi="宋体" w:cs="宋体" w:eastAsia="宋体" w:hint="default"/>
                <w:sz w:val="12"/>
                <w:szCs w:val="12"/>
              </w:rPr>
              <w:t>人民币</w:t>
            </w:r>
          </w:p>
        </w:tc>
      </w:tr>
      <w:tr>
        <w:trPr>
          <w:trHeight w:val="284" w:hRule="exact"/>
        </w:trPr>
        <w:tc>
          <w:tcPr>
            <w:tcW w:w="2053" w:type="dxa"/>
            <w:tcBorders>
              <w:top w:val="nil" w:sz="6" w:space="0" w:color="auto"/>
              <w:left w:val="nil" w:sz="6" w:space="0" w:color="auto"/>
              <w:bottom w:val="single" w:sz="16" w:space="0" w:color="9C8758"/>
              <w:right w:val="nil" w:sz="6" w:space="0" w:color="auto"/>
            </w:tcBorders>
          </w:tcPr>
          <w:p>
            <w:pPr>
              <w:pStyle w:val="TableParagraph"/>
              <w:spacing w:line="170" w:lineRule="exact"/>
              <w:ind w:left="56" w:right="0"/>
              <w:jc w:val="left"/>
              <w:rPr>
                <w:rFonts w:ascii="宋体" w:hAnsi="宋体" w:cs="宋体" w:eastAsia="宋体" w:hint="default"/>
                <w:sz w:val="16"/>
                <w:szCs w:val="16"/>
              </w:rPr>
            </w:pPr>
            <w:r>
              <w:rPr>
                <w:rFonts w:ascii="宋体" w:hAnsi="宋体" w:cs="宋体" w:eastAsia="宋体" w:hint="default"/>
                <w:sz w:val="16"/>
                <w:szCs w:val="16"/>
              </w:rPr>
              <w:t>主要指标</w:t>
            </w:r>
          </w:p>
        </w:tc>
        <w:tc>
          <w:tcPr>
            <w:tcW w:w="1701" w:type="dxa"/>
            <w:tcBorders>
              <w:top w:val="nil" w:sz="6" w:space="0" w:color="auto"/>
              <w:left w:val="nil" w:sz="6" w:space="0" w:color="auto"/>
              <w:bottom w:val="single" w:sz="16" w:space="0" w:color="9C8758"/>
              <w:right w:val="nil" w:sz="6" w:space="0" w:color="auto"/>
            </w:tcBorders>
          </w:tcPr>
          <w:p>
            <w:pPr>
              <w:pStyle w:val="TableParagraph"/>
              <w:spacing w:line="170" w:lineRule="exact"/>
              <w:ind w:right="152"/>
              <w:jc w:val="right"/>
              <w:rPr>
                <w:rFonts w:ascii="宋体" w:hAnsi="宋体" w:cs="宋体" w:eastAsia="宋体" w:hint="default"/>
                <w:sz w:val="16"/>
                <w:szCs w:val="16"/>
              </w:rPr>
            </w:pPr>
            <w:r>
              <w:rPr>
                <w:rFonts w:ascii="宋体" w:hAnsi="宋体" w:cs="宋体" w:eastAsia="宋体" w:hint="default"/>
                <w:color w:val="D7000F"/>
                <w:w w:val="110"/>
                <w:sz w:val="16"/>
                <w:szCs w:val="16"/>
              </w:rPr>
              <w:t>2018</w:t>
            </w:r>
            <w:r>
              <w:rPr>
                <w:rFonts w:ascii="宋体" w:hAnsi="宋体" w:cs="宋体" w:eastAsia="宋体" w:hint="default"/>
                <w:color w:val="D7000F"/>
                <w:spacing w:val="-62"/>
                <w:w w:val="110"/>
                <w:sz w:val="16"/>
                <w:szCs w:val="16"/>
              </w:rPr>
              <w:t> </w:t>
            </w:r>
            <w:r>
              <w:rPr>
                <w:rFonts w:ascii="宋体" w:hAnsi="宋体" w:cs="宋体" w:eastAsia="宋体" w:hint="default"/>
                <w:color w:val="D7000F"/>
                <w:w w:val="110"/>
                <w:sz w:val="16"/>
                <w:szCs w:val="16"/>
              </w:rPr>
              <w:t>年</w:t>
            </w:r>
            <w:r>
              <w:rPr>
                <w:rFonts w:ascii="宋体" w:hAnsi="宋体" w:cs="宋体" w:eastAsia="宋体" w:hint="default"/>
                <w:w w:val="110"/>
                <w:sz w:val="16"/>
                <w:szCs w:val="16"/>
              </w:rPr>
            </w:r>
          </w:p>
        </w:tc>
        <w:tc>
          <w:tcPr>
            <w:tcW w:w="1362" w:type="dxa"/>
            <w:tcBorders>
              <w:top w:val="nil" w:sz="6" w:space="0" w:color="auto"/>
              <w:left w:val="nil" w:sz="6" w:space="0" w:color="auto"/>
              <w:bottom w:val="single" w:sz="16" w:space="0" w:color="9C8758"/>
              <w:right w:val="nil" w:sz="6" w:space="0" w:color="auto"/>
            </w:tcBorders>
          </w:tcPr>
          <w:p>
            <w:pPr>
              <w:pStyle w:val="TableParagraph"/>
              <w:spacing w:line="170" w:lineRule="exact"/>
              <w:ind w:right="97"/>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035" w:type="dxa"/>
            <w:tcBorders>
              <w:top w:val="nil" w:sz="6" w:space="0" w:color="auto"/>
              <w:left w:val="nil" w:sz="6" w:space="0" w:color="auto"/>
              <w:bottom w:val="single" w:sz="16" w:space="0" w:color="9C8758"/>
              <w:right w:val="nil" w:sz="6" w:space="0" w:color="auto"/>
            </w:tcBorders>
          </w:tcPr>
          <w:p>
            <w:pPr>
              <w:pStyle w:val="TableParagraph"/>
              <w:spacing w:line="170" w:lineRule="exact"/>
              <w:ind w:right="813"/>
              <w:jc w:val="right"/>
              <w:rPr>
                <w:rFonts w:ascii="宋体" w:hAnsi="宋体" w:cs="宋体" w:eastAsia="宋体" w:hint="default"/>
                <w:sz w:val="16"/>
                <w:szCs w:val="16"/>
              </w:rPr>
            </w:pPr>
            <w:r>
              <w:rPr>
                <w:rFonts w:ascii="宋体" w:hAnsi="宋体" w:cs="宋体" w:eastAsia="宋体" w:hint="default"/>
                <w:w w:val="105"/>
                <w:sz w:val="16"/>
                <w:szCs w:val="16"/>
              </w:rPr>
              <w:t>增减（%）</w:t>
            </w:r>
            <w:r>
              <w:rPr>
                <w:rFonts w:ascii="宋体" w:hAnsi="宋体" w:cs="宋体" w:eastAsia="宋体" w:hint="default"/>
                <w:sz w:val="16"/>
                <w:szCs w:val="16"/>
              </w:rPr>
            </w:r>
          </w:p>
        </w:tc>
        <w:tc>
          <w:tcPr>
            <w:tcW w:w="2152" w:type="dxa"/>
            <w:tcBorders>
              <w:top w:val="nil" w:sz="6" w:space="0" w:color="auto"/>
              <w:left w:val="nil" w:sz="6" w:space="0" w:color="auto"/>
              <w:bottom w:val="single" w:sz="16" w:space="0" w:color="9C8758"/>
              <w:right w:val="nil" w:sz="6" w:space="0" w:color="auto"/>
            </w:tcBorders>
          </w:tcPr>
          <w:p>
            <w:pPr>
              <w:pStyle w:val="TableParagraph"/>
              <w:spacing w:line="170" w:lineRule="exact"/>
              <w:ind w:right="54"/>
              <w:jc w:val="right"/>
              <w:rPr>
                <w:rFonts w:ascii="宋体" w:hAnsi="宋体" w:cs="宋体" w:eastAsia="宋体" w:hint="default"/>
                <w:sz w:val="16"/>
                <w:szCs w:val="16"/>
              </w:rPr>
            </w:pPr>
            <w:r>
              <w:rPr>
                <w:rFonts w:ascii="宋体" w:hAnsi="宋体" w:cs="宋体" w:eastAsia="宋体" w:hint="default"/>
                <w:sz w:val="16"/>
                <w:szCs w:val="16"/>
              </w:rPr>
              <w:t>变动原因</w:t>
            </w:r>
          </w:p>
        </w:tc>
      </w:tr>
      <w:tr>
        <w:trPr>
          <w:trHeight w:val="362" w:hRule="exact"/>
        </w:trPr>
        <w:tc>
          <w:tcPr>
            <w:tcW w:w="2053"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left="56" w:right="0"/>
              <w:jc w:val="left"/>
              <w:rPr>
                <w:rFonts w:ascii="宋体" w:hAnsi="宋体" w:cs="宋体" w:eastAsia="宋体" w:hint="default"/>
                <w:sz w:val="16"/>
                <w:szCs w:val="16"/>
              </w:rPr>
            </w:pPr>
            <w:r>
              <w:rPr>
                <w:rFonts w:ascii="宋体" w:hAnsi="宋体" w:cs="宋体" w:eastAsia="宋体" w:hint="default"/>
                <w:sz w:val="16"/>
                <w:szCs w:val="16"/>
              </w:rPr>
              <w:t>息税折旧摊销前利润</w:t>
            </w:r>
          </w:p>
        </w:tc>
        <w:tc>
          <w:tcPr>
            <w:tcW w:w="1701"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151"/>
              <w:jc w:val="right"/>
              <w:rPr>
                <w:rFonts w:ascii="宋体" w:hAnsi="宋体" w:cs="宋体" w:eastAsia="宋体" w:hint="default"/>
                <w:sz w:val="16"/>
                <w:szCs w:val="16"/>
              </w:rPr>
            </w:pPr>
            <w:r>
              <w:rPr>
                <w:rFonts w:ascii="宋体"/>
                <w:color w:val="D7000F"/>
                <w:w w:val="95"/>
                <w:sz w:val="16"/>
              </w:rPr>
              <w:t>84,506,994,296</w:t>
            </w:r>
            <w:r>
              <w:rPr>
                <w:rFonts w:ascii="宋体"/>
                <w:sz w:val="16"/>
              </w:rPr>
            </w:r>
          </w:p>
        </w:tc>
        <w:tc>
          <w:tcPr>
            <w:tcW w:w="1362"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96"/>
              <w:jc w:val="right"/>
              <w:rPr>
                <w:rFonts w:ascii="宋体" w:hAnsi="宋体" w:cs="宋体" w:eastAsia="宋体" w:hint="default"/>
                <w:sz w:val="16"/>
                <w:szCs w:val="16"/>
              </w:rPr>
            </w:pPr>
            <w:r>
              <w:rPr>
                <w:rFonts w:ascii="宋体"/>
                <w:w w:val="95"/>
                <w:sz w:val="16"/>
              </w:rPr>
              <w:t>81,190,234,731</w:t>
            </w:r>
            <w:r>
              <w:rPr>
                <w:rFonts w:ascii="宋体"/>
                <w:sz w:val="16"/>
              </w:rPr>
            </w:r>
          </w:p>
        </w:tc>
        <w:tc>
          <w:tcPr>
            <w:tcW w:w="2035"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813"/>
              <w:jc w:val="right"/>
              <w:rPr>
                <w:rFonts w:ascii="宋体" w:hAnsi="宋体" w:cs="宋体" w:eastAsia="宋体" w:hint="default"/>
                <w:sz w:val="16"/>
                <w:szCs w:val="16"/>
              </w:rPr>
            </w:pPr>
            <w:r>
              <w:rPr>
                <w:rFonts w:ascii="宋体"/>
                <w:w w:val="115"/>
                <w:sz w:val="16"/>
              </w:rPr>
              <w:t>4.09%</w:t>
            </w:r>
            <w:r>
              <w:rPr>
                <w:rFonts w:ascii="宋体"/>
                <w:sz w:val="16"/>
              </w:rPr>
            </w:r>
          </w:p>
        </w:tc>
        <w:tc>
          <w:tcPr>
            <w:tcW w:w="2152" w:type="dxa"/>
            <w:tcBorders>
              <w:top w:val="single" w:sz="16" w:space="0" w:color="9C8758"/>
              <w:left w:val="nil" w:sz="6" w:space="0" w:color="auto"/>
              <w:bottom w:val="nil" w:sz="6" w:space="0" w:color="auto"/>
              <w:right w:val="nil" w:sz="6" w:space="0" w:color="auto"/>
            </w:tcBorders>
          </w:tcPr>
          <w:p>
            <w:pPr>
              <w:pStyle w:val="TableParagraph"/>
              <w:spacing w:line="240" w:lineRule="auto" w:before="64"/>
              <w:ind w:right="54"/>
              <w:jc w:val="right"/>
              <w:rPr>
                <w:rFonts w:ascii="宋体" w:hAnsi="宋体" w:cs="宋体" w:eastAsia="宋体" w:hint="default"/>
                <w:sz w:val="16"/>
                <w:szCs w:val="16"/>
              </w:rPr>
            </w:pPr>
            <w:r>
              <w:rPr>
                <w:rFonts w:ascii="宋体" w:hAnsi="宋体" w:cs="宋体" w:eastAsia="宋体" w:hint="default"/>
                <w:sz w:val="16"/>
                <w:szCs w:val="16"/>
              </w:rPr>
              <w:t>收入增长</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sz w:val="16"/>
                <w:szCs w:val="16"/>
              </w:rPr>
              <w:t>流动比率</w:t>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2"/>
              <w:jc w:val="right"/>
              <w:rPr>
                <w:rFonts w:ascii="宋体" w:hAnsi="宋体" w:cs="宋体" w:eastAsia="宋体" w:hint="default"/>
                <w:sz w:val="16"/>
                <w:szCs w:val="16"/>
              </w:rPr>
            </w:pPr>
            <w:r>
              <w:rPr>
                <w:rFonts w:ascii="宋体"/>
                <w:color w:val="D7000F"/>
                <w:w w:val="115"/>
                <w:sz w:val="16"/>
              </w:rPr>
              <w:t>33.57%</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7"/>
              <w:jc w:val="right"/>
              <w:rPr>
                <w:rFonts w:ascii="宋体" w:hAnsi="宋体" w:cs="宋体" w:eastAsia="宋体" w:hint="default"/>
                <w:sz w:val="16"/>
                <w:szCs w:val="16"/>
              </w:rPr>
            </w:pPr>
            <w:r>
              <w:rPr>
                <w:rFonts w:ascii="宋体"/>
                <w:w w:val="115"/>
                <w:sz w:val="16"/>
              </w:rPr>
              <w:t>29.79%</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hAnsi="宋体" w:cs="宋体" w:eastAsia="宋体" w:hint="default"/>
                <w:sz w:val="16"/>
                <w:szCs w:val="16"/>
              </w:rPr>
              <w:t>3.78</w:t>
            </w:r>
            <w:r>
              <w:rPr>
                <w:rFonts w:ascii="宋体" w:hAnsi="宋体" w:cs="宋体" w:eastAsia="宋体" w:hint="default"/>
                <w:spacing w:val="-51"/>
                <w:sz w:val="16"/>
                <w:szCs w:val="16"/>
              </w:rPr>
              <w:t> </w:t>
            </w:r>
            <w:r>
              <w:rPr>
                <w:rFonts w:ascii="宋体" w:hAnsi="宋体" w:cs="宋体" w:eastAsia="宋体" w:hint="default"/>
                <w:sz w:val="16"/>
                <w:szCs w:val="16"/>
              </w:rPr>
              <w:t>个百分点</w:t>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hAnsi="宋体" w:cs="宋体" w:eastAsia="宋体" w:hint="default"/>
                <w:sz w:val="16"/>
                <w:szCs w:val="16"/>
              </w:rPr>
              <w:t>带息负债减少</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sz w:val="16"/>
                <w:szCs w:val="16"/>
              </w:rPr>
              <w:t>速动比率</w:t>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2"/>
              <w:jc w:val="right"/>
              <w:rPr>
                <w:rFonts w:ascii="宋体" w:hAnsi="宋体" w:cs="宋体" w:eastAsia="宋体" w:hint="default"/>
                <w:sz w:val="16"/>
                <w:szCs w:val="16"/>
              </w:rPr>
            </w:pPr>
            <w:r>
              <w:rPr>
                <w:rFonts w:ascii="宋体"/>
                <w:color w:val="D7000F"/>
                <w:w w:val="115"/>
                <w:sz w:val="16"/>
              </w:rPr>
              <w:t>32.51%</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7"/>
              <w:jc w:val="right"/>
              <w:rPr>
                <w:rFonts w:ascii="宋体" w:hAnsi="宋体" w:cs="宋体" w:eastAsia="宋体" w:hint="default"/>
                <w:sz w:val="16"/>
                <w:szCs w:val="16"/>
              </w:rPr>
            </w:pPr>
            <w:r>
              <w:rPr>
                <w:rFonts w:ascii="宋体"/>
                <w:w w:val="115"/>
                <w:sz w:val="16"/>
              </w:rPr>
              <w:t>28.87%</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hAnsi="宋体" w:cs="宋体" w:eastAsia="宋体" w:hint="default"/>
                <w:sz w:val="16"/>
                <w:szCs w:val="16"/>
              </w:rPr>
              <w:t>3.64</w:t>
            </w:r>
            <w:r>
              <w:rPr>
                <w:rFonts w:ascii="宋体" w:hAnsi="宋体" w:cs="宋体" w:eastAsia="宋体" w:hint="default"/>
                <w:spacing w:val="-51"/>
                <w:sz w:val="16"/>
                <w:szCs w:val="16"/>
              </w:rPr>
              <w:t> </w:t>
            </w:r>
            <w:r>
              <w:rPr>
                <w:rFonts w:ascii="宋体" w:hAnsi="宋体" w:cs="宋体" w:eastAsia="宋体" w:hint="default"/>
                <w:sz w:val="16"/>
                <w:szCs w:val="16"/>
              </w:rPr>
              <w:t>个百分点</w:t>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hAnsi="宋体" w:cs="宋体" w:eastAsia="宋体" w:hint="default"/>
                <w:sz w:val="16"/>
                <w:szCs w:val="16"/>
              </w:rPr>
              <w:t>带息负债减少</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w w:val="105"/>
                <w:sz w:val="16"/>
                <w:szCs w:val="16"/>
              </w:rPr>
              <w:t>资产负债率（%）</w:t>
            </w:r>
            <w:r>
              <w:rPr>
                <w:rFonts w:ascii="宋体" w:hAnsi="宋体" w:cs="宋体" w:eastAsia="宋体" w:hint="default"/>
                <w:sz w:val="16"/>
                <w:szCs w:val="16"/>
              </w:rPr>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2"/>
              <w:jc w:val="right"/>
              <w:rPr>
                <w:rFonts w:ascii="宋体" w:hAnsi="宋体" w:cs="宋体" w:eastAsia="宋体" w:hint="default"/>
                <w:sz w:val="16"/>
                <w:szCs w:val="16"/>
              </w:rPr>
            </w:pPr>
            <w:r>
              <w:rPr>
                <w:rFonts w:ascii="宋体"/>
                <w:color w:val="D7000F"/>
                <w:w w:val="115"/>
                <w:sz w:val="16"/>
              </w:rPr>
              <w:t>44.88%</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7"/>
              <w:jc w:val="right"/>
              <w:rPr>
                <w:rFonts w:ascii="宋体" w:hAnsi="宋体" w:cs="宋体" w:eastAsia="宋体" w:hint="default"/>
                <w:sz w:val="16"/>
                <w:szCs w:val="16"/>
              </w:rPr>
            </w:pPr>
            <w:r>
              <w:rPr>
                <w:rFonts w:ascii="宋体"/>
                <w:w w:val="115"/>
                <w:sz w:val="16"/>
              </w:rPr>
              <w:t>49.41%</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hAnsi="宋体" w:cs="宋体" w:eastAsia="宋体" w:hint="default"/>
                <w:sz w:val="16"/>
                <w:szCs w:val="16"/>
              </w:rPr>
              <w:t>-4.53</w:t>
            </w:r>
            <w:r>
              <w:rPr>
                <w:rFonts w:ascii="宋体" w:hAnsi="宋体" w:cs="宋体" w:eastAsia="宋体" w:hint="default"/>
                <w:spacing w:val="-26"/>
                <w:sz w:val="16"/>
                <w:szCs w:val="16"/>
              </w:rPr>
              <w:t> </w:t>
            </w:r>
            <w:r>
              <w:rPr>
                <w:rFonts w:ascii="宋体" w:hAnsi="宋体" w:cs="宋体" w:eastAsia="宋体" w:hint="default"/>
                <w:sz w:val="16"/>
                <w:szCs w:val="16"/>
              </w:rPr>
              <w:t>个百分点</w:t>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hAnsi="宋体" w:cs="宋体" w:eastAsia="宋体" w:hint="default"/>
                <w:sz w:val="16"/>
                <w:szCs w:val="16"/>
              </w:rPr>
              <w:t>带息负债减少</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w w:val="105"/>
                <w:sz w:val="16"/>
                <w:szCs w:val="16"/>
              </w:rPr>
              <w:t>EBITDA</w:t>
            </w:r>
            <w:r>
              <w:rPr>
                <w:rFonts w:ascii="宋体" w:hAnsi="宋体" w:cs="宋体" w:eastAsia="宋体" w:hint="default"/>
                <w:spacing w:val="-30"/>
                <w:w w:val="105"/>
                <w:sz w:val="16"/>
                <w:szCs w:val="16"/>
              </w:rPr>
              <w:t> </w:t>
            </w:r>
            <w:r>
              <w:rPr>
                <w:rFonts w:ascii="宋体" w:hAnsi="宋体" w:cs="宋体" w:eastAsia="宋体" w:hint="default"/>
                <w:w w:val="105"/>
                <w:sz w:val="16"/>
                <w:szCs w:val="16"/>
              </w:rPr>
              <w:t>全部债务比</w:t>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3"/>
              <w:jc w:val="right"/>
              <w:rPr>
                <w:rFonts w:ascii="宋体" w:hAnsi="宋体" w:cs="宋体" w:eastAsia="宋体" w:hint="default"/>
                <w:sz w:val="16"/>
                <w:szCs w:val="16"/>
              </w:rPr>
            </w:pPr>
            <w:r>
              <w:rPr>
                <w:rFonts w:ascii="宋体"/>
                <w:color w:val="D7000F"/>
                <w:w w:val="115"/>
                <w:sz w:val="16"/>
              </w:rPr>
              <w:t>35.24%</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7"/>
              <w:jc w:val="right"/>
              <w:rPr>
                <w:rFonts w:ascii="宋体" w:hAnsi="宋体" w:cs="宋体" w:eastAsia="宋体" w:hint="default"/>
                <w:sz w:val="16"/>
                <w:szCs w:val="16"/>
              </w:rPr>
            </w:pPr>
            <w:r>
              <w:rPr>
                <w:rFonts w:ascii="宋体"/>
                <w:w w:val="115"/>
                <w:sz w:val="16"/>
              </w:rPr>
              <w:t>29.20%</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hAnsi="宋体" w:cs="宋体" w:eastAsia="宋体" w:hint="default"/>
                <w:sz w:val="16"/>
                <w:szCs w:val="16"/>
              </w:rPr>
              <w:t>6.04</w:t>
            </w:r>
            <w:r>
              <w:rPr>
                <w:rFonts w:ascii="宋体" w:hAnsi="宋体" w:cs="宋体" w:eastAsia="宋体" w:hint="default"/>
                <w:spacing w:val="-51"/>
                <w:sz w:val="16"/>
                <w:szCs w:val="16"/>
              </w:rPr>
              <w:t> </w:t>
            </w:r>
            <w:r>
              <w:rPr>
                <w:rFonts w:ascii="宋体" w:hAnsi="宋体" w:cs="宋体" w:eastAsia="宋体" w:hint="default"/>
                <w:sz w:val="16"/>
                <w:szCs w:val="16"/>
              </w:rPr>
              <w:t>个百分点</w:t>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hAnsi="宋体" w:cs="宋体" w:eastAsia="宋体" w:hint="default"/>
                <w:sz w:val="16"/>
                <w:szCs w:val="16"/>
              </w:rPr>
              <w:t>带息负债减少</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sz w:val="16"/>
                <w:szCs w:val="16"/>
              </w:rPr>
              <w:t>利息保障倍数</w:t>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2"/>
              <w:jc w:val="right"/>
              <w:rPr>
                <w:rFonts w:ascii="宋体" w:hAnsi="宋体" w:cs="宋体" w:eastAsia="宋体" w:hint="default"/>
                <w:sz w:val="16"/>
                <w:szCs w:val="16"/>
              </w:rPr>
            </w:pPr>
            <w:r>
              <w:rPr>
                <w:rFonts w:ascii="宋体"/>
                <w:color w:val="D7000F"/>
                <w:w w:val="95"/>
                <w:sz w:val="16"/>
              </w:rPr>
              <w:t>5.24</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7"/>
              <w:jc w:val="right"/>
              <w:rPr>
                <w:rFonts w:ascii="宋体" w:hAnsi="宋体" w:cs="宋体" w:eastAsia="宋体" w:hint="default"/>
                <w:sz w:val="16"/>
                <w:szCs w:val="16"/>
              </w:rPr>
            </w:pPr>
            <w:r>
              <w:rPr>
                <w:rFonts w:ascii="宋体"/>
                <w:w w:val="95"/>
                <w:sz w:val="16"/>
              </w:rPr>
              <w:t>1.25</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w w:val="115"/>
                <w:sz w:val="16"/>
              </w:rPr>
              <w:t>320.10%</w:t>
            </w:r>
            <w:r>
              <w:rPr>
                <w:rFonts w:ascii="宋体"/>
                <w:sz w:val="16"/>
              </w:rPr>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hAnsi="宋体" w:cs="宋体" w:eastAsia="宋体" w:hint="default"/>
                <w:sz w:val="16"/>
                <w:szCs w:val="16"/>
              </w:rPr>
              <w:t>利息支出大幅减少</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sz w:val="16"/>
                <w:szCs w:val="16"/>
              </w:rPr>
              <w:t>现金利息保障倍数</w:t>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3"/>
              <w:jc w:val="right"/>
              <w:rPr>
                <w:rFonts w:ascii="宋体" w:hAnsi="宋体" w:cs="宋体" w:eastAsia="宋体" w:hint="default"/>
                <w:sz w:val="16"/>
                <w:szCs w:val="16"/>
              </w:rPr>
            </w:pPr>
            <w:r>
              <w:rPr>
                <w:rFonts w:ascii="宋体"/>
                <w:color w:val="D7000F"/>
                <w:w w:val="95"/>
                <w:sz w:val="16"/>
              </w:rPr>
              <w:t>39.37</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7"/>
              <w:jc w:val="right"/>
              <w:rPr>
                <w:rFonts w:ascii="宋体" w:hAnsi="宋体" w:cs="宋体" w:eastAsia="宋体" w:hint="default"/>
                <w:sz w:val="16"/>
                <w:szCs w:val="16"/>
              </w:rPr>
            </w:pPr>
            <w:r>
              <w:rPr>
                <w:rFonts w:ascii="宋体"/>
                <w:w w:val="95"/>
                <w:sz w:val="16"/>
              </w:rPr>
              <w:t>15.29</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w w:val="115"/>
                <w:sz w:val="16"/>
              </w:rPr>
              <w:t>157.57%</w:t>
            </w:r>
            <w:r>
              <w:rPr>
                <w:rFonts w:ascii="宋体"/>
                <w:sz w:val="16"/>
              </w:rPr>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hAnsi="宋体" w:cs="宋体" w:eastAsia="宋体" w:hint="default"/>
                <w:sz w:val="16"/>
                <w:szCs w:val="16"/>
              </w:rPr>
              <w:t>利息支出大幅减少</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left"/>
              <w:rPr>
                <w:rFonts w:ascii="宋体" w:hAnsi="宋体" w:cs="宋体" w:eastAsia="宋体" w:hint="default"/>
                <w:sz w:val="16"/>
                <w:szCs w:val="16"/>
              </w:rPr>
            </w:pPr>
            <w:r>
              <w:rPr>
                <w:rFonts w:ascii="宋体" w:hAnsi="宋体" w:cs="宋体" w:eastAsia="宋体" w:hint="default"/>
                <w:w w:val="105"/>
                <w:sz w:val="16"/>
                <w:szCs w:val="16"/>
              </w:rPr>
              <w:t>EBITDA</w:t>
            </w:r>
            <w:r>
              <w:rPr>
                <w:rFonts w:ascii="宋体" w:hAnsi="宋体" w:cs="宋体" w:eastAsia="宋体" w:hint="default"/>
                <w:spacing w:val="-38"/>
                <w:w w:val="105"/>
                <w:sz w:val="16"/>
                <w:szCs w:val="16"/>
              </w:rPr>
              <w:t> </w:t>
            </w:r>
            <w:r>
              <w:rPr>
                <w:rFonts w:ascii="宋体" w:hAnsi="宋体" w:cs="宋体" w:eastAsia="宋体" w:hint="default"/>
                <w:w w:val="105"/>
                <w:sz w:val="16"/>
                <w:szCs w:val="16"/>
              </w:rPr>
              <w:t>利息保障倍数</w:t>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1"/>
              <w:jc w:val="right"/>
              <w:rPr>
                <w:rFonts w:ascii="宋体" w:hAnsi="宋体" w:cs="宋体" w:eastAsia="宋体" w:hint="default"/>
                <w:sz w:val="16"/>
                <w:szCs w:val="16"/>
              </w:rPr>
            </w:pPr>
            <w:r>
              <w:rPr>
                <w:rFonts w:ascii="宋体"/>
                <w:color w:val="D7000F"/>
                <w:w w:val="95"/>
                <w:sz w:val="16"/>
              </w:rPr>
              <w:t>35.13</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95"/>
                <w:sz w:val="16"/>
              </w:rPr>
              <w:t>13.67</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w w:val="115"/>
                <w:sz w:val="16"/>
              </w:rPr>
              <w:t>156.99%</w:t>
            </w:r>
            <w:r>
              <w:rPr>
                <w:rFonts w:ascii="宋体"/>
                <w:sz w:val="16"/>
              </w:rPr>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hAnsi="宋体" w:cs="宋体" w:eastAsia="宋体" w:hint="default"/>
                <w:sz w:val="16"/>
                <w:szCs w:val="16"/>
              </w:rPr>
              <w:t>利息支出大幅减少</w:t>
            </w:r>
          </w:p>
        </w:tc>
      </w:tr>
      <w:tr>
        <w:trPr>
          <w:trHeight w:val="273"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7" w:right="0"/>
              <w:jc w:val="left"/>
              <w:rPr>
                <w:rFonts w:ascii="宋体" w:hAnsi="宋体" w:cs="宋体" w:eastAsia="宋体" w:hint="default"/>
                <w:sz w:val="16"/>
                <w:szCs w:val="16"/>
              </w:rPr>
            </w:pPr>
            <w:r>
              <w:rPr>
                <w:rFonts w:ascii="宋体" w:hAnsi="宋体" w:cs="宋体" w:eastAsia="宋体" w:hint="default"/>
                <w:w w:val="105"/>
                <w:sz w:val="16"/>
                <w:szCs w:val="16"/>
              </w:rPr>
              <w:t>贷款偿还率（%）</w:t>
            </w:r>
            <w:r>
              <w:rPr>
                <w:rFonts w:ascii="宋体" w:hAnsi="宋体" w:cs="宋体" w:eastAsia="宋体" w:hint="default"/>
                <w:sz w:val="16"/>
                <w:szCs w:val="16"/>
              </w:rPr>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1"/>
              <w:jc w:val="right"/>
              <w:rPr>
                <w:rFonts w:ascii="宋体" w:hAnsi="宋体" w:cs="宋体" w:eastAsia="宋体" w:hint="default"/>
                <w:sz w:val="16"/>
                <w:szCs w:val="16"/>
              </w:rPr>
            </w:pPr>
            <w:r>
              <w:rPr>
                <w:rFonts w:ascii="宋体"/>
                <w:color w:val="D7000F"/>
                <w:w w:val="130"/>
                <w:sz w:val="16"/>
              </w:rPr>
              <w:t>100%</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130"/>
                <w:sz w:val="16"/>
              </w:rPr>
              <w:t>100%</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w w:val="131"/>
                <w:sz w:val="16"/>
              </w:rPr>
              <w:t>-</w:t>
            </w:r>
            <w:r>
              <w:rPr>
                <w:rFonts w:ascii="宋体"/>
                <w:sz w:val="16"/>
              </w:rPr>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317" w:hRule="exact"/>
        </w:trPr>
        <w:tc>
          <w:tcPr>
            <w:tcW w:w="2053" w:type="dxa"/>
            <w:tcBorders>
              <w:top w:val="nil" w:sz="6" w:space="0" w:color="auto"/>
              <w:left w:val="nil" w:sz="6" w:space="0" w:color="auto"/>
              <w:bottom w:val="nil" w:sz="6" w:space="0" w:color="auto"/>
              <w:right w:val="nil" w:sz="6" w:space="0" w:color="auto"/>
            </w:tcBorders>
          </w:tcPr>
          <w:p>
            <w:pPr>
              <w:pStyle w:val="TableParagraph"/>
              <w:spacing w:line="205" w:lineRule="exact"/>
              <w:ind w:left="57" w:right="0"/>
              <w:jc w:val="left"/>
              <w:rPr>
                <w:rFonts w:ascii="宋体" w:hAnsi="宋体" w:cs="宋体" w:eastAsia="宋体" w:hint="default"/>
                <w:sz w:val="16"/>
                <w:szCs w:val="16"/>
              </w:rPr>
            </w:pPr>
            <w:r>
              <w:rPr>
                <w:rFonts w:ascii="宋体" w:hAnsi="宋体" w:cs="宋体" w:eastAsia="宋体" w:hint="default"/>
                <w:w w:val="105"/>
                <w:sz w:val="16"/>
                <w:szCs w:val="16"/>
              </w:rPr>
              <w:t>利息偿付率（%）</w:t>
            </w:r>
            <w:r>
              <w:rPr>
                <w:rFonts w:ascii="宋体" w:hAnsi="宋体" w:cs="宋体" w:eastAsia="宋体" w:hint="default"/>
                <w:sz w:val="16"/>
                <w:szCs w:val="16"/>
              </w:rPr>
            </w:r>
          </w:p>
        </w:tc>
        <w:tc>
          <w:tcPr>
            <w:tcW w:w="1701" w:type="dxa"/>
            <w:tcBorders>
              <w:top w:val="nil" w:sz="6" w:space="0" w:color="auto"/>
              <w:left w:val="nil" w:sz="6" w:space="0" w:color="auto"/>
              <w:bottom w:val="nil" w:sz="6" w:space="0" w:color="auto"/>
              <w:right w:val="nil" w:sz="6" w:space="0" w:color="auto"/>
            </w:tcBorders>
          </w:tcPr>
          <w:p>
            <w:pPr>
              <w:pStyle w:val="TableParagraph"/>
              <w:spacing w:line="205" w:lineRule="exact"/>
              <w:ind w:right="151"/>
              <w:jc w:val="right"/>
              <w:rPr>
                <w:rFonts w:ascii="宋体" w:hAnsi="宋体" w:cs="宋体" w:eastAsia="宋体" w:hint="default"/>
                <w:sz w:val="16"/>
                <w:szCs w:val="16"/>
              </w:rPr>
            </w:pPr>
            <w:r>
              <w:rPr>
                <w:rFonts w:ascii="宋体"/>
                <w:color w:val="D7000F"/>
                <w:w w:val="130"/>
                <w:sz w:val="16"/>
              </w:rPr>
              <w:t>100%</w:t>
            </w:r>
            <w:r>
              <w:rPr>
                <w:rFonts w:ascii="宋体"/>
                <w:sz w:val="16"/>
              </w:rPr>
            </w:r>
          </w:p>
        </w:tc>
        <w:tc>
          <w:tcPr>
            <w:tcW w:w="1362" w:type="dxa"/>
            <w:tcBorders>
              <w:top w:val="nil" w:sz="6" w:space="0" w:color="auto"/>
              <w:left w:val="nil" w:sz="6" w:space="0" w:color="auto"/>
              <w:bottom w:val="nil" w:sz="6" w:space="0" w:color="auto"/>
              <w:right w:val="nil" w:sz="6" w:space="0" w:color="auto"/>
            </w:tcBorders>
          </w:tcPr>
          <w:p>
            <w:pPr>
              <w:pStyle w:val="TableParagraph"/>
              <w:spacing w:line="205" w:lineRule="exact"/>
              <w:ind w:right="96"/>
              <w:jc w:val="right"/>
              <w:rPr>
                <w:rFonts w:ascii="宋体" w:hAnsi="宋体" w:cs="宋体" w:eastAsia="宋体" w:hint="default"/>
                <w:sz w:val="16"/>
                <w:szCs w:val="16"/>
              </w:rPr>
            </w:pPr>
            <w:r>
              <w:rPr>
                <w:rFonts w:ascii="宋体"/>
                <w:w w:val="130"/>
                <w:sz w:val="16"/>
              </w:rPr>
              <w:t>100%</w:t>
            </w:r>
            <w:r>
              <w:rPr>
                <w:rFonts w:ascii="宋体"/>
                <w:sz w:val="16"/>
              </w:rPr>
            </w:r>
          </w:p>
        </w:tc>
        <w:tc>
          <w:tcPr>
            <w:tcW w:w="2035" w:type="dxa"/>
            <w:tcBorders>
              <w:top w:val="nil" w:sz="6" w:space="0" w:color="auto"/>
              <w:left w:val="nil" w:sz="6" w:space="0" w:color="auto"/>
              <w:bottom w:val="nil" w:sz="6" w:space="0" w:color="auto"/>
              <w:right w:val="nil" w:sz="6" w:space="0" w:color="auto"/>
            </w:tcBorders>
          </w:tcPr>
          <w:p>
            <w:pPr>
              <w:pStyle w:val="TableParagraph"/>
              <w:spacing w:line="205" w:lineRule="exact"/>
              <w:ind w:right="813"/>
              <w:jc w:val="right"/>
              <w:rPr>
                <w:rFonts w:ascii="宋体" w:hAnsi="宋体" w:cs="宋体" w:eastAsia="宋体" w:hint="default"/>
                <w:sz w:val="16"/>
                <w:szCs w:val="16"/>
              </w:rPr>
            </w:pPr>
            <w:r>
              <w:rPr>
                <w:rFonts w:ascii="宋体"/>
                <w:w w:val="131"/>
                <w:sz w:val="16"/>
              </w:rPr>
              <w:t>-</w:t>
            </w:r>
            <w:r>
              <w:rPr>
                <w:rFonts w:ascii="宋体"/>
                <w:sz w:val="16"/>
              </w:rPr>
            </w:r>
          </w:p>
        </w:tc>
        <w:tc>
          <w:tcPr>
            <w:tcW w:w="2152"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bl>
    <w:p>
      <w:pPr>
        <w:spacing w:line="20" w:lineRule="exact"/>
        <w:ind w:left="448" w:right="0" w:firstLine="0"/>
        <w:rPr>
          <w:rFonts w:ascii="宋体" w:hAnsi="宋体" w:cs="宋体" w:eastAsia="宋体" w:hint="default"/>
          <w:sz w:val="2"/>
          <w:szCs w:val="2"/>
        </w:rPr>
      </w:pPr>
      <w:r>
        <w:rPr>
          <w:rFonts w:ascii="宋体" w:hAnsi="宋体" w:cs="宋体" w:eastAsia="宋体" w:hint="default"/>
          <w:sz w:val="2"/>
          <w:szCs w:val="2"/>
        </w:rPr>
        <w:pict>
          <v:group style="width:465.7pt;height:.5pt;mso-position-horizontal-relative:char;mso-position-vertical-relative:line" coordorigin="0,0" coordsize="9314,10">
            <v:group style="position:absolute;left:5;top:5;width:2291;height:2" coordorigin="5,5" coordsize="2291,2">
              <v:shape style="position:absolute;left:5;top:5;width:2291;height:2" coordorigin="5,5" coordsize="2291,0" path="m5,5l2295,5e" filled="false" stroked="true" strokeweight=".5pt" strokecolor="#d7000f">
                <v:path arrowok="t"/>
              </v:shape>
            </v:group>
            <v:group style="position:absolute;left:2295;top:5;width:1367;height:2" coordorigin="2295,5" coordsize="1367,2">
              <v:shape style="position:absolute;left:2295;top:5;width:1367;height:2" coordorigin="2295,5" coordsize="1367,0" path="m2295,5l3662,5e" filled="false" stroked="true" strokeweight=".5pt" strokecolor="#d7000f">
                <v:path arrowok="t"/>
              </v:shape>
            </v:group>
            <v:group style="position:absolute;left:3662;top:5;width:1418;height:2" coordorigin="3662,5" coordsize="1418,2">
              <v:shape style="position:absolute;left:3662;top:5;width:1418;height:2" coordorigin="3662,5" coordsize="1418,0" path="m3662,5l5079,5e" filled="false" stroked="true" strokeweight=".5pt" strokecolor="#000000">
                <v:path arrowok="t"/>
              </v:shape>
            </v:group>
            <v:group style="position:absolute;left:5079;top:5;width:1319;height:2" coordorigin="5079,5" coordsize="1319,2">
              <v:shape style="position:absolute;left:5079;top:5;width:1319;height:2" coordorigin="5079,5" coordsize="1319,0" path="m5079,5l6397,5e" filled="false" stroked="true" strokeweight=".5pt" strokecolor="#000000">
                <v:path arrowok="t"/>
              </v:shape>
            </v:group>
            <v:group style="position:absolute;left:6397;top:5;width:2912;height:2" coordorigin="6397,5" coordsize="2912,2">
              <v:shape style="position:absolute;left:6397;top:5;width:2912;height:2" coordorigin="6397,5" coordsize="2912,0" path="m6397,5l9308,5e" filled="false" stroked="true" strokeweight=".5pt" strokecolor="#000000">
                <v:path arrowok="t"/>
              </v:shape>
            </v:group>
          </v:group>
        </w:pict>
      </w:r>
      <w:r>
        <w:rPr>
          <w:rFonts w:ascii="宋体" w:hAnsi="宋体" w:cs="宋体" w:eastAsia="宋体" w:hint="default"/>
          <w:sz w:val="2"/>
          <w:szCs w:val="2"/>
        </w:rPr>
      </w:r>
    </w:p>
    <w:p>
      <w:pPr>
        <w:spacing w:line="240" w:lineRule="auto" w:before="2"/>
        <w:rPr>
          <w:rFonts w:ascii="宋体" w:hAnsi="宋体" w:cs="宋体" w:eastAsia="宋体" w:hint="default"/>
          <w:sz w:val="24"/>
          <w:szCs w:val="24"/>
        </w:rPr>
      </w:pPr>
    </w:p>
    <w:p>
      <w:pPr>
        <w:pStyle w:val="BodyText"/>
        <w:spacing w:line="240" w:lineRule="auto" w:before="26"/>
        <w:ind w:left="113" w:right="532"/>
        <w:jc w:val="left"/>
        <w:rPr>
          <w:rFonts w:ascii="宋体" w:hAnsi="宋体" w:cs="宋体" w:eastAsia="宋体" w:hint="default"/>
        </w:rPr>
      </w:pPr>
      <w:r>
        <w:rPr>
          <w:rFonts w:ascii="宋体" w:hAnsi="宋体" w:cs="宋体" w:eastAsia="宋体" w:hint="default"/>
          <w:color w:val="D7000F"/>
        </w:rPr>
        <w:t>九、公司其他债券和债务融资工具的付息兑付情况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453" w:right="532"/>
        <w:jc w:val="left"/>
        <w:rPr>
          <w:rFonts w:ascii="宋体" w:hAnsi="宋体" w:cs="宋体" w:eastAsia="宋体" w:hint="default"/>
        </w:rPr>
      </w:pPr>
      <w:r>
        <w:rPr>
          <w:rFonts w:ascii="宋体" w:hAnsi="宋体" w:cs="宋体" w:eastAsia="宋体" w:hint="default"/>
        </w:rPr>
        <w:t>本报告期内，联通运营公司其他债券和债务融资工具按时按息兑付，不存在延期支付利息和本金以及无法支付利息和</w:t>
      </w:r>
      <w:r>
        <w:rPr>
          <w:rFonts w:ascii="宋体" w:hAnsi="宋体" w:cs="宋体" w:eastAsia="宋体" w:hint="default"/>
          <w:spacing w:val="7"/>
        </w:rPr>
        <w:t> </w:t>
      </w:r>
      <w:r>
        <w:rPr>
          <w:rFonts w:ascii="宋体" w:hAnsi="宋体" w:cs="宋体" w:eastAsia="宋体" w:hint="default"/>
          <w:spacing w:val="7"/>
        </w:rPr>
      </w:r>
      <w:r>
        <w:rPr>
          <w:rFonts w:ascii="宋体" w:hAnsi="宋体" w:cs="宋体" w:eastAsia="宋体" w:hint="default"/>
        </w:rPr>
        <w:t>本金的情况。</w:t>
      </w:r>
    </w:p>
    <w:p>
      <w:pPr>
        <w:spacing w:line="240" w:lineRule="auto" w:before="6"/>
        <w:rPr>
          <w:rFonts w:ascii="宋体" w:hAnsi="宋体" w:cs="宋体" w:eastAsia="宋体" w:hint="default"/>
          <w:sz w:val="22"/>
          <w:szCs w:val="22"/>
        </w:rPr>
      </w:pPr>
    </w:p>
    <w:p>
      <w:pPr>
        <w:pStyle w:val="BodyText"/>
        <w:spacing w:line="240" w:lineRule="auto"/>
        <w:ind w:left="113" w:right="532"/>
        <w:jc w:val="left"/>
        <w:rPr>
          <w:rFonts w:ascii="宋体" w:hAnsi="宋体" w:cs="宋体" w:eastAsia="宋体" w:hint="default"/>
        </w:rPr>
      </w:pPr>
      <w:r>
        <w:rPr>
          <w:rFonts w:ascii="宋体" w:hAnsi="宋体" w:cs="宋体" w:eastAsia="宋体" w:hint="default"/>
          <w:color w:val="D7000F"/>
        </w:rPr>
        <w:t>十、公司报告期内的银行授信情况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453" w:right="532"/>
        <w:jc w:val="left"/>
        <w:rPr>
          <w:rFonts w:ascii="宋体" w:hAnsi="宋体" w:cs="宋体" w:eastAsia="宋体" w:hint="default"/>
        </w:rPr>
      </w:pPr>
      <w:r>
        <w:rPr>
          <w:rFonts w:ascii="宋体" w:hAnsi="宋体" w:cs="宋体" w:eastAsia="宋体" w:hint="default"/>
          <w:spacing w:val="-3"/>
        </w:rPr>
        <w:t>截至本报告期末，联通运营公司共在各家金融机构获得授信人民币</w:t>
      </w:r>
      <w:r>
        <w:rPr>
          <w:rFonts w:ascii="宋体" w:hAnsi="宋体" w:cs="宋体" w:eastAsia="宋体" w:hint="default"/>
          <w:spacing w:val="-47"/>
        </w:rPr>
        <w:t> </w:t>
      </w:r>
      <w:r>
        <w:rPr>
          <w:rFonts w:ascii="宋体" w:hAnsi="宋体" w:cs="宋体" w:eastAsia="宋体" w:hint="default"/>
        </w:rPr>
        <w:t>2,609</w:t>
      </w:r>
      <w:r>
        <w:rPr>
          <w:rFonts w:ascii="宋体" w:hAnsi="宋体" w:cs="宋体" w:eastAsia="宋体" w:hint="default"/>
          <w:spacing w:val="-47"/>
        </w:rPr>
        <w:t> </w:t>
      </w:r>
      <w:r>
        <w:rPr>
          <w:rFonts w:ascii="宋体" w:hAnsi="宋体" w:cs="宋体" w:eastAsia="宋体" w:hint="default"/>
          <w:spacing w:val="-4"/>
        </w:rPr>
        <w:t>亿元，其中已使用授信额度为人民币</w:t>
      </w:r>
      <w:r>
        <w:rPr>
          <w:rFonts w:ascii="宋体" w:hAnsi="宋体" w:cs="宋体" w:eastAsia="宋体" w:hint="default"/>
          <w:spacing w:val="-47"/>
        </w:rPr>
        <w:t> </w:t>
      </w:r>
      <w:r>
        <w:rPr>
          <w:rFonts w:ascii="宋体" w:hAnsi="宋体" w:cs="宋体" w:eastAsia="宋体" w:hint="default"/>
        </w:rPr>
        <w:t>153</w:t>
      </w:r>
      <w:r>
        <w:rPr>
          <w:rFonts w:ascii="宋体" w:hAnsi="宋体" w:cs="宋体" w:eastAsia="宋体" w:hint="default"/>
          <w:spacing w:val="-47"/>
        </w:rPr>
        <w:t> </w:t>
      </w:r>
      <w:r>
        <w:rPr>
          <w:rFonts w:ascii="宋体" w:hAnsi="宋体" w:cs="宋体" w:eastAsia="宋体" w:hint="default"/>
        </w:rPr>
        <w:t>亿元，</w:t>
      </w:r>
    </w:p>
    <w:p>
      <w:pPr>
        <w:pStyle w:val="BodyText"/>
        <w:spacing w:line="400" w:lineRule="auto" w:before="44"/>
        <w:ind w:left="453" w:right="5532"/>
        <w:jc w:val="left"/>
        <w:rPr>
          <w:rFonts w:ascii="宋体" w:hAnsi="宋体" w:cs="宋体" w:eastAsia="宋体" w:hint="default"/>
        </w:rPr>
      </w:pPr>
      <w:r>
        <w:rPr>
          <w:rFonts w:ascii="宋体" w:hAnsi="宋体" w:cs="宋体" w:eastAsia="宋体" w:hint="default"/>
        </w:rPr>
        <w:t>尚未使用的银行授信额度为人民币</w:t>
      </w:r>
      <w:r>
        <w:rPr>
          <w:rFonts w:ascii="宋体" w:hAnsi="宋体" w:cs="宋体" w:eastAsia="宋体" w:hint="default"/>
          <w:spacing w:val="-45"/>
        </w:rPr>
        <w:t> </w:t>
      </w:r>
      <w:r>
        <w:rPr>
          <w:rFonts w:ascii="宋体" w:hAnsi="宋体" w:cs="宋体" w:eastAsia="宋体" w:hint="default"/>
        </w:rPr>
        <w:t>2,456</w:t>
      </w:r>
      <w:r>
        <w:rPr>
          <w:rFonts w:ascii="宋体" w:hAnsi="宋体" w:cs="宋体" w:eastAsia="宋体" w:hint="default"/>
          <w:spacing w:val="-46"/>
        </w:rPr>
        <w:t> </w:t>
      </w:r>
      <w:r>
        <w:rPr>
          <w:rFonts w:ascii="宋体" w:hAnsi="宋体" w:cs="宋体" w:eastAsia="宋体" w:hint="default"/>
        </w:rPr>
        <w:t>亿元。</w:t>
      </w:r>
      <w:r>
        <w:rPr>
          <w:rFonts w:ascii="宋体" w:hAnsi="宋体" w:cs="宋体" w:eastAsia="宋体" w:hint="default"/>
        </w:rPr>
        <w:t> 本报告期内，公司按时偿还银行贷款，不存在展期及减免情况等。</w:t>
      </w:r>
    </w:p>
    <w:p>
      <w:pPr>
        <w:spacing w:line="240" w:lineRule="auto" w:before="11"/>
        <w:rPr>
          <w:rFonts w:ascii="宋体" w:hAnsi="宋体" w:cs="宋体" w:eastAsia="宋体" w:hint="default"/>
          <w:sz w:val="15"/>
          <w:szCs w:val="15"/>
        </w:rPr>
      </w:pPr>
    </w:p>
    <w:p>
      <w:pPr>
        <w:pStyle w:val="BodyText"/>
        <w:spacing w:line="240" w:lineRule="auto"/>
        <w:ind w:left="113" w:right="532"/>
        <w:jc w:val="left"/>
        <w:rPr>
          <w:rFonts w:ascii="宋体" w:hAnsi="宋体" w:cs="宋体" w:eastAsia="宋体" w:hint="default"/>
        </w:rPr>
      </w:pPr>
      <w:r>
        <w:rPr>
          <w:rFonts w:ascii="宋体" w:hAnsi="宋体" w:cs="宋体" w:eastAsia="宋体" w:hint="default"/>
          <w:color w:val="D7000F"/>
        </w:rPr>
        <w:t>十一、公司报告期内执行公司债券募集说明书相关约定或承诺的情况</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453" w:right="532"/>
        <w:jc w:val="left"/>
        <w:rPr>
          <w:rFonts w:ascii="宋体" w:hAnsi="宋体" w:cs="宋体" w:eastAsia="宋体" w:hint="default"/>
        </w:rPr>
      </w:pPr>
      <w:r>
        <w:rPr>
          <w:rFonts w:ascii="宋体" w:hAnsi="宋体" w:cs="宋体" w:eastAsia="宋体" w:hint="default"/>
        </w:rPr>
        <w:t>本报告期内，联通运营公司严格遵守公司债券募集说明书中的相关约定，并履行相关承诺。</w:t>
      </w:r>
    </w:p>
    <w:p>
      <w:pPr>
        <w:spacing w:line="240" w:lineRule="auto" w:before="1"/>
        <w:rPr>
          <w:rFonts w:ascii="宋体" w:hAnsi="宋体" w:cs="宋体" w:eastAsia="宋体" w:hint="default"/>
          <w:sz w:val="25"/>
          <w:szCs w:val="25"/>
        </w:rPr>
      </w:pPr>
    </w:p>
    <w:p>
      <w:pPr>
        <w:pStyle w:val="BodyText"/>
        <w:spacing w:line="240" w:lineRule="auto"/>
        <w:ind w:left="113" w:right="532"/>
        <w:jc w:val="left"/>
        <w:rPr>
          <w:rFonts w:ascii="宋体" w:hAnsi="宋体" w:cs="宋体" w:eastAsia="宋体" w:hint="default"/>
        </w:rPr>
      </w:pPr>
      <w:r>
        <w:rPr>
          <w:rFonts w:ascii="宋体" w:hAnsi="宋体" w:cs="宋体" w:eastAsia="宋体" w:hint="default"/>
          <w:color w:val="D7000F"/>
        </w:rPr>
        <w:t>十二、公司发生的重大事项及对公司经营情况和偿债能力的影响</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453" w:right="532"/>
        <w:jc w:val="left"/>
        <w:rPr>
          <w:rFonts w:ascii="宋体" w:hAnsi="宋体" w:cs="宋体" w:eastAsia="宋体" w:hint="default"/>
        </w:rPr>
      </w:pPr>
      <w:r>
        <w:rPr>
          <w:rFonts w:ascii="宋体" w:hAnsi="宋体" w:cs="宋体" w:eastAsia="宋体" w:hint="default"/>
        </w:rPr>
        <w:t>报告期内，联通运营公司未发生对经营情况和偿债能力造成重大不利影响的重大事项。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9"/>
          <w:szCs w:val="19"/>
        </w:rPr>
      </w:pPr>
    </w:p>
    <w:p>
      <w:pPr>
        <w:spacing w:after="0" w:line="240" w:lineRule="auto"/>
        <w:rPr>
          <w:rFonts w:ascii="宋体" w:hAnsi="宋体" w:cs="宋体" w:eastAsia="宋体" w:hint="default"/>
          <w:sz w:val="19"/>
          <w:szCs w:val="19"/>
        </w:rPr>
        <w:sectPr>
          <w:headerReference w:type="even" r:id="rId237"/>
          <w:footerReference w:type="even" r:id="rId238"/>
          <w:pgSz w:w="11910" w:h="16160"/>
          <w:pgMar w:header="0" w:footer="0" w:top="760" w:bottom="0" w:left="680" w:right="0"/>
        </w:sectPr>
      </w:pPr>
    </w:p>
    <w:p>
      <w:pPr>
        <w:tabs>
          <w:tab w:pos="5486" w:val="left" w:leader="none"/>
        </w:tabs>
        <w:spacing w:before="61"/>
        <w:ind w:left="134" w:right="0" w:firstLine="0"/>
        <w:jc w:val="left"/>
        <w:rPr>
          <w:rFonts w:ascii="宋体" w:hAnsi="宋体" w:cs="宋体" w:eastAsia="宋体" w:hint="default"/>
          <w:sz w:val="16"/>
          <w:szCs w:val="16"/>
        </w:rPr>
      </w:pPr>
      <w:r>
        <w:rPr/>
        <w:pict>
          <v:group style="position:absolute;margin-left:55.698994pt;margin-top:-96.530403pt;width:298.45pt;height:127.6pt;mso-position-horizontal-relative:page;mso-position-vertical-relative:paragraph;z-index:-961264" coordorigin="1114,-1931" coordsize="5969,2552">
            <v:shape style="position:absolute;left:1114;top:-1931;width:5969;height:2552" coordorigin="1114,-1931" coordsize="5969,2552" path="m4710,621l1114,621,3487,-1931,7083,-1931,4710,621xe" filled="true" fillcolor="#d7000f" stroked="false">
              <v:path arrowok="t"/>
              <v:fill type="solid"/>
            </v:shape>
            <w10:wrap type="none"/>
          </v:group>
        </w:pict>
      </w:r>
      <w:r>
        <w:rPr>
          <w:rFonts w:ascii="Arial" w:hAnsi="Arial" w:cs="Arial" w:eastAsia="Arial" w:hint="default"/>
          <w:b/>
          <w:bCs/>
          <w:color w:val="9C8758"/>
          <w:spacing w:val="-1"/>
          <w:position w:val="2"/>
          <w:sz w:val="16"/>
          <w:szCs w:val="16"/>
        </w:rPr>
        <w:t>80</w:t>
        <w:tab/>
      </w:r>
      <w:r>
        <w:rPr>
          <w:rFonts w:ascii="宋体" w:hAnsi="宋体" w:cs="宋体" w:eastAsia="宋体" w:hint="default"/>
          <w:color w:val="595757"/>
          <w:spacing w:val="24"/>
          <w:sz w:val="16"/>
          <w:szCs w:val="16"/>
        </w:rPr>
        <w:t>公司债券相关情况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p>
      <w:pPr>
        <w:spacing w:before="68"/>
        <w:ind w:left="134" w:right="0" w:firstLine="0"/>
        <w:jc w:val="left"/>
        <w:rPr>
          <w:rFonts w:ascii="宋体" w:hAnsi="宋体" w:cs="宋体" w:eastAsia="宋体" w:hint="default"/>
          <w:sz w:val="16"/>
          <w:szCs w:val="16"/>
        </w:rPr>
      </w:pPr>
      <w:r>
        <w:rPr>
          <w:spacing w:val="14"/>
        </w:rPr>
        <w:br w:type="column"/>
      </w: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680" w:right="0"/>
          <w:cols w:num="2" w:equalWidth="0">
            <w:col w:w="6997" w:space="171"/>
            <w:col w:w="4062"/>
          </w:cols>
        </w:sectPr>
      </w:pPr>
    </w:p>
    <w:p>
      <w:pPr>
        <w:spacing w:line="240" w:lineRule="auto" w:before="0"/>
        <w:rPr>
          <w:rFonts w:ascii="宋体" w:hAnsi="宋体" w:cs="宋体" w:eastAsia="宋体" w:hint="default"/>
          <w:sz w:val="20"/>
          <w:szCs w:val="20"/>
        </w:rPr>
      </w:pPr>
      <w:r>
        <w:rPr/>
        <w:pict>
          <v:shape style="position:absolute;margin-left:0pt;margin-top:.000023pt;width:595.3pt;height:807.9pt;mso-position-horizontal-relative:page;mso-position-vertical-relative:page;z-index:-961240" type="#_x0000_t202" filled="false" stroked="false">
            <v:textbox inset="0,0,0,0">
              <w:txbxContent>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0"/>
                    <w:rPr>
                      <w:rFonts w:ascii="Arial" w:hAnsi="Arial" w:cs="Arial" w:eastAsia="Arial" w:hint="default"/>
                      <w:b/>
                      <w:bCs/>
                      <w:sz w:val="16"/>
                      <w:szCs w:val="16"/>
                    </w:rPr>
                  </w:pPr>
                </w:p>
                <w:p>
                  <w:pPr>
                    <w:spacing w:line="240" w:lineRule="auto" w:before="1"/>
                    <w:rPr>
                      <w:rFonts w:ascii="Arial" w:hAnsi="Arial" w:cs="Arial" w:eastAsia="Arial" w:hint="default"/>
                      <w:b/>
                      <w:bCs/>
                      <w:sz w:val="13"/>
                      <w:szCs w:val="13"/>
                    </w:rPr>
                  </w:pPr>
                </w:p>
                <w:p>
                  <w:pPr>
                    <w:tabs>
                      <w:tab w:pos="11111" w:val="right" w:leader="none"/>
                    </w:tabs>
                    <w:spacing w:before="0"/>
                    <w:ind w:left="1488" w:right="0" w:firstLine="0"/>
                    <w:jc w:val="left"/>
                    <w:rPr>
                      <w:rFonts w:ascii="Arial" w:hAnsi="Arial" w:cs="Arial" w:eastAsia="Arial" w:hint="default"/>
                      <w:sz w:val="16"/>
                      <w:szCs w:val="16"/>
                    </w:rPr>
                  </w:pPr>
                  <w:r>
                    <w:rPr>
                      <w:rFonts w:ascii="宋体" w:hAnsi="宋体" w:cs="宋体" w:eastAsia="宋体" w:hint="default"/>
                      <w:color w:val="9F8958"/>
                      <w:spacing w:val="18"/>
                      <w:w w:val="105"/>
                      <w:sz w:val="16"/>
                      <w:szCs w:val="16"/>
                    </w:rPr>
                    <w:t>2018</w:t>
                  </w:r>
                  <w:r>
                    <w:rPr>
                      <w:rFonts w:ascii="宋体" w:hAnsi="宋体" w:cs="宋体" w:eastAsia="宋体" w:hint="default"/>
                      <w:color w:val="9F8958"/>
                      <w:spacing w:val="-16"/>
                      <w:w w:val="105"/>
                      <w:sz w:val="16"/>
                      <w:szCs w:val="16"/>
                    </w:rPr>
                    <w:t> </w:t>
                  </w:r>
                  <w:r>
                    <w:rPr>
                      <w:rFonts w:ascii="宋体" w:hAnsi="宋体" w:cs="宋体" w:eastAsia="宋体" w:hint="default"/>
                      <w:color w:val="9F8958"/>
                      <w:spacing w:val="24"/>
                      <w:w w:val="105"/>
                      <w:sz w:val="16"/>
                      <w:szCs w:val="16"/>
                    </w:rPr>
                    <w:t>年度报告</w:t>
                  </w:r>
                  <w:r>
                    <w:rPr>
                      <w:rFonts w:ascii="Arial" w:hAnsi="Arial" w:cs="Arial" w:eastAsia="Arial" w:hint="default"/>
                      <w:b/>
                      <w:bCs/>
                      <w:color w:val="9F8958"/>
                      <w:spacing w:val="24"/>
                      <w:w w:val="105"/>
                      <w:sz w:val="16"/>
                      <w:szCs w:val="16"/>
                    </w:rPr>
                    <w:tab/>
                  </w:r>
                  <w:r>
                    <w:rPr>
                      <w:rFonts w:ascii="Arial" w:hAnsi="Arial" w:cs="Arial" w:eastAsia="Arial" w:hint="default"/>
                      <w:b/>
                      <w:bCs/>
                      <w:color w:val="9F8958"/>
                      <w:w w:val="105"/>
                      <w:sz w:val="16"/>
                      <w:szCs w:val="16"/>
                    </w:rPr>
                    <w:t>81</w:t>
                  </w:r>
                  <w:r>
                    <w:rPr>
                      <w:rFonts w:ascii="Arial" w:hAnsi="Arial" w:cs="Arial" w:eastAsia="Arial" w:hint="default"/>
                      <w:w w:val="105"/>
                      <w:sz w:val="16"/>
                      <w:szCs w:val="16"/>
                    </w:rPr>
                  </w:r>
                </w:p>
              </w:txbxContent>
            </v:textbox>
            <w10:wrap type="none"/>
          </v:shape>
        </w:pict>
      </w:r>
      <w:r>
        <w:rPr/>
        <w:pict>
          <v:group style="position:absolute;margin-left:0pt;margin-top:34.014324pt;width:595.3pt;height:773.9pt;mso-position-horizontal-relative:page;mso-position-vertical-relative:page;z-index:-961216" coordorigin="0,680" coordsize="11906,15478">
            <v:group style="position:absolute;left:0;top:3231;width:11906;height:10330" coordorigin="0,3231" coordsize="11906,10330">
              <v:shape style="position:absolute;left:0;top:3231;width:11906;height:10330" coordorigin="0,3231" coordsize="11906,10330" path="m2766,3231l0,5998,0,13561,11906,13561,11906,12371,2766,3231xe" filled="true" fillcolor="#8e9090" stroked="false">
                <v:path arrowok="t"/>
                <v:fill type="solid"/>
              </v:shape>
            </v:group>
            <v:group style="position:absolute;left:0;top:680;width:11906;height:15478" coordorigin="0,680" coordsize="11906,15478">
              <v:shape style="position:absolute;left:0;top:680;width:11906;height:15478" coordorigin="0,680" coordsize="11906,15478" path="m8132,680l0,8813,0,16157,11906,16157,11906,4453,8132,680xe" filled="true" fillcolor="#d7000f" stroked="false">
                <v:path arrowok="t"/>
                <v:fill type="solid"/>
              </v:shape>
            </v:group>
            <v:group style="position:absolute;left:2095;top:9411;width:9811;height:6747" coordorigin="2095,9411" coordsize="9811,6747">
              <v:shape style="position:absolute;left:2095;top:9411;width:9811;height:6747" coordorigin="2095,9411" coordsize="9811,6747" path="m8842,9411l2095,16157,11906,16157,11906,12475,8842,9411xe" filled="true" fillcolor="#9f8958" stroked="false">
                <v:path arrowok="t"/>
                <v:fill type="solid"/>
              </v:shape>
            </v:group>
            <v:group style="position:absolute;left:0;top:10993;width:9259;height:5165" coordorigin="0,10993" coordsize="9259,5165">
              <v:shape style="position:absolute;left:0;top:10993;width:9259;height:5165" coordorigin="0,10993" coordsize="9259,5165" path="m4093,10993l0,15086,0,16157,9258,16157,4093,10993xe" filled="true" fillcolor="#ffffff" stroked="false">
                <v:path arrowok="t"/>
                <v:fill type="solid"/>
              </v:shape>
            </v:group>
            <v:group style="position:absolute;left:5768;top:12146;width:6138;height:4012" coordorigin="5768,12146" coordsize="6138,4012">
              <v:shape style="position:absolute;left:5768;top:12146;width:6138;height:4012" coordorigin="5768,12146" coordsize="6138,4012" path="m9779,12146l5768,16157,11905,16157,11905,14273,9779,12146xe" filled="true" fillcolor="#949495" stroked="false">
                <v:path arrowok="t"/>
                <v:fill type="solid"/>
              </v:shape>
            </v:group>
            <w10:wrap type="none"/>
          </v:group>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95"/>
        <w:ind w:left="0" w:right="678" w:firstLine="0"/>
        <w:jc w:val="right"/>
        <w:rPr>
          <w:rFonts w:ascii="宋体" w:hAnsi="宋体" w:cs="宋体" w:eastAsia="宋体" w:hint="default"/>
          <w:sz w:val="40"/>
          <w:szCs w:val="40"/>
        </w:rPr>
      </w:pPr>
      <w:bookmarkStart w:name="2018AR-后半部分.pdf" w:id="2"/>
      <w:bookmarkEnd w:id="2"/>
      <w:r>
        <w:rPr/>
      </w:r>
      <w:r>
        <w:rPr>
          <w:rFonts w:ascii="宋体" w:hAnsi="宋体" w:cs="宋体" w:eastAsia="宋体" w:hint="default"/>
          <w:color w:val="FFFFFF"/>
          <w:sz w:val="40"/>
          <w:szCs w:val="40"/>
        </w:rPr>
        <w:t>中国联合网络通信股份有限公司</w:t>
      </w:r>
      <w:r>
        <w:rPr>
          <w:rFonts w:ascii="宋体" w:hAnsi="宋体" w:cs="宋体" w:eastAsia="宋体" w:hint="default"/>
          <w:sz w:val="40"/>
          <w:szCs w:val="40"/>
        </w:rPr>
      </w:r>
    </w:p>
    <w:p>
      <w:pPr>
        <w:spacing w:line="240" w:lineRule="auto" w:before="4"/>
        <w:rPr>
          <w:rFonts w:ascii="宋体" w:hAnsi="宋体" w:cs="宋体" w:eastAsia="宋体" w:hint="default"/>
          <w:sz w:val="41"/>
          <w:szCs w:val="41"/>
        </w:rPr>
      </w:pPr>
    </w:p>
    <w:p>
      <w:pPr>
        <w:pStyle w:val="Heading8"/>
        <w:spacing w:line="240" w:lineRule="auto" w:before="0"/>
        <w:ind w:left="0" w:right="678"/>
        <w:jc w:val="right"/>
        <w:rPr>
          <w:rFonts w:ascii="宋体" w:hAnsi="宋体" w:cs="宋体" w:eastAsia="宋体" w:hint="default"/>
        </w:rPr>
      </w:pPr>
      <w:r>
        <w:rPr>
          <w:rFonts w:ascii="宋体" w:hAnsi="宋体" w:cs="宋体" w:eastAsia="宋体" w:hint="default"/>
          <w:color w:val="FFFFFF"/>
          <w:w w:val="105"/>
        </w:rPr>
        <w:t>自</w:t>
      </w:r>
      <w:r>
        <w:rPr>
          <w:rFonts w:ascii="宋体" w:hAnsi="宋体" w:cs="宋体" w:eastAsia="宋体" w:hint="default"/>
          <w:color w:val="FFFFFF"/>
          <w:spacing w:val="-59"/>
          <w:w w:val="105"/>
        </w:rPr>
        <w:t> </w:t>
      </w:r>
      <w:r>
        <w:rPr>
          <w:rFonts w:ascii="宋体" w:hAnsi="宋体" w:cs="宋体" w:eastAsia="宋体" w:hint="default"/>
          <w:color w:val="FFFFFF"/>
          <w:spacing w:val="25"/>
          <w:w w:val="105"/>
        </w:rPr>
        <w:t>2018年1月1</w:t>
      </w:r>
      <w:r>
        <w:rPr>
          <w:rFonts w:ascii="宋体" w:hAnsi="宋体" w:cs="宋体" w:eastAsia="宋体" w:hint="default"/>
          <w:color w:val="FFFFFF"/>
          <w:spacing w:val="-59"/>
          <w:w w:val="105"/>
        </w:rPr>
        <w:t> </w:t>
      </w:r>
      <w:r>
        <w:rPr>
          <w:rFonts w:ascii="宋体" w:hAnsi="宋体" w:cs="宋体" w:eastAsia="宋体" w:hint="default"/>
          <w:color w:val="FFFFFF"/>
          <w:w w:val="105"/>
        </w:rPr>
        <w:t>日至</w:t>
      </w:r>
      <w:r>
        <w:rPr>
          <w:rFonts w:ascii="宋体" w:hAnsi="宋体" w:cs="宋体" w:eastAsia="宋体" w:hint="default"/>
          <w:color w:val="FFFFFF"/>
          <w:spacing w:val="-59"/>
          <w:w w:val="105"/>
        </w:rPr>
        <w:t> </w:t>
      </w:r>
      <w:r>
        <w:rPr>
          <w:rFonts w:ascii="宋体" w:hAnsi="宋体" w:cs="宋体" w:eastAsia="宋体" w:hint="default"/>
          <w:color w:val="FFFFFF"/>
          <w:spacing w:val="10"/>
          <w:w w:val="105"/>
        </w:rPr>
        <w:t>2018年</w:t>
      </w:r>
      <w:r>
        <w:rPr>
          <w:rFonts w:ascii="宋体" w:hAnsi="宋体" w:cs="宋体" w:eastAsia="宋体" w:hint="default"/>
          <w:color w:val="FFFFFF"/>
          <w:spacing w:val="-59"/>
          <w:w w:val="105"/>
        </w:rPr>
        <w:t> </w:t>
      </w:r>
      <w:r>
        <w:rPr>
          <w:rFonts w:ascii="宋体" w:hAnsi="宋体" w:cs="宋体" w:eastAsia="宋体" w:hint="default"/>
          <w:color w:val="FFFFFF"/>
          <w:spacing w:val="17"/>
          <w:w w:val="105"/>
        </w:rPr>
        <w:t>12月</w:t>
      </w:r>
      <w:r>
        <w:rPr>
          <w:rFonts w:ascii="宋体" w:hAnsi="宋体" w:cs="宋体" w:eastAsia="宋体" w:hint="default"/>
          <w:color w:val="FFFFFF"/>
          <w:spacing w:val="-59"/>
          <w:w w:val="105"/>
        </w:rPr>
        <w:t> </w:t>
      </w:r>
      <w:r>
        <w:rPr>
          <w:rFonts w:ascii="宋体" w:hAnsi="宋体" w:cs="宋体" w:eastAsia="宋体" w:hint="default"/>
          <w:color w:val="FFFFFF"/>
          <w:w w:val="105"/>
        </w:rPr>
        <w:t>31</w:t>
      </w:r>
      <w:r>
        <w:rPr>
          <w:rFonts w:ascii="宋体" w:hAnsi="宋体" w:cs="宋体" w:eastAsia="宋体" w:hint="default"/>
          <w:color w:val="FFFFFF"/>
          <w:spacing w:val="-59"/>
          <w:w w:val="105"/>
        </w:rPr>
        <w:t> </w:t>
      </w:r>
      <w:r>
        <w:rPr>
          <w:rFonts w:ascii="宋体" w:hAnsi="宋体" w:cs="宋体" w:eastAsia="宋体" w:hint="default"/>
          <w:color w:val="FFFFFF"/>
          <w:w w:val="105"/>
        </w:rPr>
        <w:t>日止</w:t>
      </w:r>
      <w:r>
        <w:rPr>
          <w:rFonts w:ascii="宋体" w:hAnsi="宋体" w:cs="宋体" w:eastAsia="宋体" w:hint="default"/>
          <w:w w:val="105"/>
        </w:rPr>
      </w:r>
    </w:p>
    <w:p>
      <w:pPr>
        <w:spacing w:before="160"/>
        <w:ind w:left="0" w:right="678" w:firstLine="0"/>
        <w:jc w:val="right"/>
        <w:rPr>
          <w:rFonts w:ascii="Microsoft JhengHei" w:hAnsi="Microsoft JhengHei" w:cs="Microsoft JhengHei" w:eastAsia="Microsoft JhengHei" w:hint="default"/>
          <w:sz w:val="28"/>
          <w:szCs w:val="28"/>
        </w:rPr>
      </w:pPr>
      <w:r>
        <w:rPr>
          <w:rFonts w:ascii="Microsoft JhengHei" w:hAnsi="Microsoft JhengHei" w:cs="Microsoft JhengHei" w:eastAsia="Microsoft JhengHei" w:hint="default"/>
          <w:b/>
          <w:bCs/>
          <w:color w:val="FFFFFF"/>
          <w:sz w:val="28"/>
          <w:szCs w:val="28"/>
        </w:rPr>
        <w:t>年度财务报表</w:t>
      </w:r>
      <w:r>
        <w:rPr>
          <w:rFonts w:ascii="Microsoft JhengHei" w:hAnsi="Microsoft JhengHei" w:cs="Microsoft JhengHei" w:eastAsia="Microsoft JhengHei" w:hint="default"/>
          <w:sz w:val="28"/>
          <w:szCs w:val="28"/>
        </w:rPr>
      </w: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0"/>
        <w:rPr>
          <w:rFonts w:ascii="Microsoft JhengHei" w:hAnsi="Microsoft JhengHei" w:cs="Microsoft JhengHei" w:eastAsia="Microsoft JhengHei" w:hint="default"/>
          <w:b/>
          <w:bCs/>
          <w:sz w:val="20"/>
          <w:szCs w:val="20"/>
        </w:rPr>
      </w:pPr>
    </w:p>
    <w:p>
      <w:pPr>
        <w:spacing w:line="240" w:lineRule="auto" w:before="14"/>
        <w:rPr>
          <w:rFonts w:ascii="Microsoft JhengHei" w:hAnsi="Microsoft JhengHei" w:cs="Microsoft JhengHei" w:eastAsia="Microsoft JhengHei" w:hint="default"/>
          <w:b/>
          <w:bCs/>
          <w:sz w:val="29"/>
          <w:szCs w:val="29"/>
        </w:rPr>
      </w:pPr>
    </w:p>
    <w:p>
      <w:pPr>
        <w:spacing w:before="79"/>
        <w:ind w:left="0" w:right="111" w:firstLine="0"/>
        <w:jc w:val="right"/>
        <w:rPr>
          <w:rFonts w:ascii="Arial" w:hAnsi="Arial" w:cs="Arial" w:eastAsia="Arial" w:hint="default"/>
          <w:sz w:val="16"/>
          <w:szCs w:val="16"/>
        </w:rPr>
      </w:pPr>
      <w:r>
        <w:rPr>
          <w:rFonts w:ascii="Arial"/>
          <w:b/>
          <w:color w:val="9F8958"/>
          <w:spacing w:val="-1"/>
          <w:w w:val="95"/>
          <w:sz w:val="16"/>
        </w:rPr>
        <w:t>81</w:t>
      </w:r>
      <w:r>
        <w:rPr>
          <w:rFonts w:ascii="Arial"/>
          <w:w w:val="95"/>
          <w:sz w:val="16"/>
        </w:rPr>
      </w:r>
    </w:p>
    <w:p>
      <w:pPr>
        <w:spacing w:after="0"/>
        <w:jc w:val="right"/>
        <w:rPr>
          <w:rFonts w:ascii="Arial" w:hAnsi="Arial" w:cs="Arial" w:eastAsia="Arial" w:hint="default"/>
          <w:sz w:val="16"/>
          <w:szCs w:val="16"/>
        </w:rPr>
        <w:sectPr>
          <w:headerReference w:type="default" r:id="rId241"/>
          <w:footerReference w:type="default" r:id="rId242"/>
          <w:pgSz w:w="11910" w:h="16160"/>
          <w:pgMar w:header="0" w:footer="0" w:top="1520" w:bottom="0" w:left="1680" w:right="680"/>
        </w:sect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spacing w:line="240" w:lineRule="auto" w:before="0"/>
        <w:rPr>
          <w:rFonts w:ascii="Arial" w:hAnsi="Arial" w:cs="Arial" w:eastAsia="Arial" w:hint="default"/>
          <w:b/>
          <w:bCs/>
          <w:sz w:val="20"/>
          <w:szCs w:val="20"/>
        </w:rPr>
      </w:pPr>
    </w:p>
    <w:p>
      <w:pPr>
        <w:pStyle w:val="Heading7"/>
        <w:spacing w:line="240" w:lineRule="auto" w:before="137"/>
        <w:ind w:left="3929" w:right="3947"/>
        <w:jc w:val="center"/>
        <w:rPr>
          <w:rFonts w:ascii="宋体" w:hAnsi="宋体" w:cs="宋体" w:eastAsia="宋体" w:hint="default"/>
        </w:rPr>
      </w:pPr>
      <w:r>
        <w:rPr>
          <w:rFonts w:ascii="宋体" w:hAnsi="宋体" w:cs="宋体" w:eastAsia="宋体" w:hint="default"/>
        </w:rPr>
        <w:t>审计报告</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240" w:lineRule="auto"/>
        <w:ind w:left="0" w:right="132"/>
        <w:jc w:val="right"/>
      </w:pPr>
      <w:r>
        <w:rPr/>
        <w:t>毕马威华振审字第 1900576</w:t>
      </w:r>
      <w:r>
        <w:rPr>
          <w:spacing w:val="-22"/>
        </w:rPr>
        <w:t> </w:t>
      </w:r>
      <w:r>
        <w:rPr/>
        <w:t>号</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pStyle w:val="BodyText"/>
        <w:spacing w:line="240" w:lineRule="auto"/>
        <w:ind w:left="113" w:right="0"/>
        <w:jc w:val="both"/>
      </w:pPr>
      <w:r>
        <w:rPr/>
        <w:t>中国联合网络通信股份有限公司全体股东：</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2"/>
          <w:szCs w:val="12"/>
        </w:rPr>
      </w:pPr>
    </w:p>
    <w:p>
      <w:pPr>
        <w:pStyle w:val="BodyText"/>
        <w:spacing w:line="240" w:lineRule="auto"/>
        <w:ind w:left="113" w:right="0"/>
        <w:jc w:val="both"/>
        <w:rPr>
          <w:rFonts w:ascii="宋体" w:hAnsi="宋体" w:cs="宋体" w:eastAsia="宋体" w:hint="default"/>
        </w:rPr>
      </w:pPr>
      <w:r>
        <w:rPr>
          <w:rFonts w:ascii="宋体" w:hAnsi="宋体" w:cs="宋体" w:eastAsia="宋体" w:hint="default"/>
          <w:color w:val="9F8958"/>
        </w:rPr>
        <w:t>一、审计意见</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304" w:lineRule="auto"/>
        <w:ind w:left="113" w:right="128"/>
        <w:jc w:val="both"/>
      </w:pPr>
      <w:r>
        <w:rPr/>
        <w:t>我们审计了后附的中国联合网络通信股份有限公司（以下简称“贵公司”）财务报表，包括</w:t>
      </w:r>
      <w:r>
        <w:rPr>
          <w:spacing w:val="-24"/>
        </w:rPr>
        <w:t> </w:t>
      </w:r>
      <w:r>
        <w:rPr/>
        <w:t>2018</w:t>
      </w:r>
      <w:r>
        <w:rPr>
          <w:spacing w:val="-24"/>
        </w:rPr>
        <w:t> </w:t>
      </w:r>
      <w:r>
        <w:rPr/>
        <w:t>年</w:t>
      </w:r>
      <w:r>
        <w:rPr>
          <w:spacing w:val="-24"/>
        </w:rPr>
        <w:t> </w:t>
      </w:r>
      <w:r>
        <w:rPr/>
        <w:t>12</w:t>
      </w:r>
      <w:r>
        <w:rPr>
          <w:spacing w:val="-24"/>
        </w:rPr>
        <w:t> </w:t>
      </w:r>
      <w:r>
        <w:rPr/>
        <w:t>月</w:t>
      </w:r>
      <w:r>
        <w:rPr>
          <w:spacing w:val="-24"/>
        </w:rPr>
        <w:t> </w:t>
      </w:r>
      <w:r>
        <w:rPr/>
        <w:t>31</w:t>
      </w:r>
      <w:r>
        <w:rPr>
          <w:spacing w:val="-24"/>
        </w:rPr>
        <w:t> </w:t>
      </w:r>
      <w:r>
        <w:rPr/>
        <w:t>日的合并资</w:t>
      </w:r>
      <w:r>
        <w:rPr>
          <w:spacing w:val="-68"/>
        </w:rPr>
        <w:t> </w:t>
      </w:r>
      <w:r>
        <w:rPr>
          <w:spacing w:val="-68"/>
        </w:rPr>
      </w:r>
      <w:r>
        <w:rPr/>
        <w:t>产负债表和资产负债表，2018</w:t>
      </w:r>
      <w:r>
        <w:rPr>
          <w:spacing w:val="-23"/>
        </w:rPr>
        <w:t> </w:t>
      </w:r>
      <w:r>
        <w:rPr/>
        <w:t>年度的合并利润表和利润表、合并现金流量表和现金流量表、合并股东权益变动表和股东权</w:t>
      </w:r>
      <w:r>
        <w:rPr>
          <w:spacing w:val="-77"/>
        </w:rPr>
        <w:t> </w:t>
      </w:r>
      <w:r>
        <w:rPr>
          <w:spacing w:val="-77"/>
        </w:rPr>
      </w:r>
      <w:r>
        <w:rPr/>
        <w:t>益变动表以及相关财务报表附注。</w:t>
      </w:r>
    </w:p>
    <w:p>
      <w:pPr>
        <w:spacing w:line="240" w:lineRule="auto" w:before="3"/>
        <w:rPr>
          <w:rFonts w:ascii="宋体" w:hAnsi="宋体" w:cs="宋体" w:eastAsia="宋体" w:hint="default"/>
          <w:sz w:val="14"/>
          <w:szCs w:val="14"/>
        </w:rPr>
      </w:pPr>
    </w:p>
    <w:p>
      <w:pPr>
        <w:pStyle w:val="BodyText"/>
        <w:spacing w:line="304" w:lineRule="auto"/>
        <w:ind w:left="113" w:right="129"/>
        <w:jc w:val="both"/>
      </w:pPr>
      <w:r>
        <w:rPr>
          <w:spacing w:val="-2"/>
        </w:rPr>
        <w:t>我们认为，后附的财务报表在所有重大方面按照中华人民共和国财政部颁布的企业会计准则（以下简称“企业会计准则”）</w:t>
      </w:r>
      <w:r>
        <w:rPr>
          <w:spacing w:val="-66"/>
        </w:rPr>
        <w:t> </w:t>
      </w:r>
      <w:r>
        <w:rPr>
          <w:spacing w:val="-66"/>
        </w:rPr>
      </w:r>
      <w:r>
        <w:rPr>
          <w:spacing w:val="2"/>
        </w:rPr>
        <w:t>的规定编制，公允反映了贵公司</w:t>
      </w:r>
      <w:r>
        <w:rPr>
          <w:spacing w:val="-30"/>
        </w:rPr>
        <w:t> </w:t>
      </w:r>
      <w:r>
        <w:rPr/>
        <w:t>2018</w:t>
      </w:r>
      <w:r>
        <w:rPr>
          <w:spacing w:val="-32"/>
        </w:rPr>
        <w:t> </w:t>
      </w:r>
      <w:r>
        <w:rPr/>
        <w:t>年</w:t>
      </w:r>
      <w:r>
        <w:rPr>
          <w:spacing w:val="-30"/>
        </w:rPr>
        <w:t> </w:t>
      </w:r>
      <w:r>
        <w:rPr/>
        <w:t>12</w:t>
      </w:r>
      <w:r>
        <w:rPr>
          <w:spacing w:val="-32"/>
        </w:rPr>
        <w:t> </w:t>
      </w:r>
      <w:r>
        <w:rPr/>
        <w:t>月</w:t>
      </w:r>
      <w:r>
        <w:rPr>
          <w:spacing w:val="-30"/>
        </w:rPr>
        <w:t> </w:t>
      </w:r>
      <w:r>
        <w:rPr/>
        <w:t>31</w:t>
      </w:r>
      <w:r>
        <w:rPr>
          <w:spacing w:val="-32"/>
        </w:rPr>
        <w:t> </w:t>
      </w:r>
      <w:r>
        <w:rPr>
          <w:spacing w:val="2"/>
        </w:rPr>
        <w:t>日的合并财务状况和财务状况以及</w:t>
      </w:r>
      <w:r>
        <w:rPr>
          <w:spacing w:val="-30"/>
        </w:rPr>
        <w:t> </w:t>
      </w:r>
      <w:r>
        <w:rPr/>
        <w:t>2018</w:t>
      </w:r>
      <w:r>
        <w:rPr>
          <w:spacing w:val="-32"/>
        </w:rPr>
        <w:t> </w:t>
      </w:r>
      <w:r>
        <w:rPr>
          <w:spacing w:val="3"/>
        </w:rPr>
        <w:t>年度的合并经营成果和经营成</w:t>
      </w:r>
      <w:r>
        <w:rPr>
          <w:spacing w:val="-73"/>
        </w:rPr>
        <w:t> </w:t>
      </w:r>
      <w:r>
        <w:rPr>
          <w:spacing w:val="-73"/>
        </w:rPr>
      </w:r>
      <w:r>
        <w:rPr/>
        <w:t>果及合并现金流量和现金流量。</w:t>
      </w:r>
    </w:p>
    <w:p>
      <w:pPr>
        <w:spacing w:line="240" w:lineRule="auto" w:before="0"/>
        <w:rPr>
          <w:rFonts w:ascii="宋体" w:hAnsi="宋体" w:cs="宋体" w:eastAsia="宋体" w:hint="default"/>
          <w:sz w:val="18"/>
          <w:szCs w:val="18"/>
        </w:rPr>
      </w:pPr>
    </w:p>
    <w:p>
      <w:pPr>
        <w:pStyle w:val="BodyText"/>
        <w:spacing w:line="240" w:lineRule="auto" w:before="120"/>
        <w:ind w:left="113" w:right="0"/>
        <w:jc w:val="both"/>
        <w:rPr>
          <w:rFonts w:ascii="宋体" w:hAnsi="宋体" w:cs="宋体" w:eastAsia="宋体" w:hint="default"/>
        </w:rPr>
      </w:pPr>
      <w:r>
        <w:rPr>
          <w:rFonts w:ascii="宋体" w:hAnsi="宋体" w:cs="宋体" w:eastAsia="宋体" w:hint="default"/>
          <w:color w:val="9F8958"/>
        </w:rPr>
        <w:t>二、形成审计意见的基础</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304" w:lineRule="auto"/>
        <w:ind w:left="113" w:right="129"/>
        <w:jc w:val="both"/>
      </w:pPr>
      <w:r>
        <w:rPr/>
        <w:t>我们按照中国注册会计师审计准则的规定执行了审计工作。审计报告的“注册会计师对财务报表审计的责任”部分进一步</w:t>
      </w:r>
      <w:r>
        <w:rPr>
          <w:spacing w:val="-40"/>
        </w:rPr>
        <w:t> </w:t>
      </w:r>
      <w:r>
        <w:rPr>
          <w:spacing w:val="-40"/>
        </w:rPr>
      </w:r>
      <w:r>
        <w:rPr/>
        <w:t>阐述了我们在这些准则下的责任。按照中国注册会计师职业道德守则，我们独立于贵公司，并履行了职业道德方面的其他</w:t>
      </w:r>
      <w:r>
        <w:rPr>
          <w:spacing w:val="-41"/>
        </w:rPr>
        <w:t> </w:t>
      </w:r>
      <w:r>
        <w:rPr>
          <w:spacing w:val="-41"/>
        </w:rPr>
      </w:r>
      <w:r>
        <w:rPr/>
        <w:t>责任。我们相信，我们获取的审计证据是充分、适当的，为发表审计意见提供了基础。</w:t>
      </w:r>
    </w:p>
    <w:p>
      <w:pPr>
        <w:spacing w:after="0" w:line="304" w:lineRule="auto"/>
        <w:jc w:val="both"/>
        <w:sectPr>
          <w:headerReference w:type="even" r:id="rId243"/>
          <w:footerReference w:type="even" r:id="rId244"/>
          <w:footerReference w:type="default" r:id="rId245"/>
          <w:pgSz w:w="11910" w:h="16160"/>
          <w:pgMar w:header="1200" w:footer="321" w:top="1620" w:bottom="520" w:left="680" w:right="1340"/>
          <w:pgNumType w:start="82"/>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95"/>
        <w:jc w:val="left"/>
        <w:rPr>
          <w:rFonts w:ascii="宋体" w:hAnsi="宋体" w:cs="宋体" w:eastAsia="宋体" w:hint="default"/>
        </w:rPr>
      </w:pPr>
      <w:r>
        <w:rPr>
          <w:rFonts w:ascii="宋体" w:hAnsi="宋体" w:cs="宋体" w:eastAsia="宋体" w:hint="default"/>
          <w:color w:val="9F8958"/>
        </w:rPr>
        <w:t>三、关键审计事项</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304" w:lineRule="auto"/>
        <w:ind w:left="114" w:right="95"/>
        <w:jc w:val="left"/>
      </w:pPr>
      <w:r>
        <w:rPr/>
        <w:t>关键审计事项是我们根据职业判断，认为对本年财务报表审计最为重要的事项。这些事项的应对以对财务报表整体进行审</w:t>
      </w:r>
      <w:r>
        <w:rPr>
          <w:spacing w:val="-40"/>
        </w:rPr>
        <w:t> </w:t>
      </w:r>
      <w:r>
        <w:rPr>
          <w:spacing w:val="-40"/>
        </w:rPr>
      </w:r>
      <w:r>
        <w:rPr/>
        <w:t>计并形成审计意见为背景，我们不对这些事项单独发表意见。</w:t>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before="41"/>
        <w:ind w:left="234" w:right="95" w:firstLine="0"/>
        <w:jc w:val="left"/>
        <w:rPr>
          <w:rFonts w:ascii="宋体" w:hAnsi="宋体" w:cs="宋体" w:eastAsia="宋体" w:hint="default"/>
          <w:sz w:val="16"/>
          <w:szCs w:val="16"/>
        </w:rPr>
      </w:pPr>
      <w:r>
        <w:rPr>
          <w:rFonts w:ascii="宋体" w:hAnsi="宋体" w:cs="宋体" w:eastAsia="宋体" w:hint="default"/>
          <w:sz w:val="16"/>
          <w:szCs w:val="16"/>
        </w:rPr>
        <w:t>收入确认</w:t>
      </w:r>
    </w:p>
    <w:p>
      <w:pPr>
        <w:spacing w:line="240" w:lineRule="auto" w:before="2"/>
        <w:rPr>
          <w:rFonts w:ascii="宋体" w:hAnsi="宋体" w:cs="宋体" w:eastAsia="宋体" w:hint="default"/>
          <w:sz w:val="8"/>
          <w:szCs w:val="8"/>
        </w:rPr>
      </w:pPr>
    </w:p>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pict>
          <v:group style="width:481.2pt;height:.75pt;mso-position-horizontal-relative:char;mso-position-vertical-relative:line" coordorigin="0,0" coordsize="9624,15">
            <v:group style="position:absolute;left:7;top:7;width:4805;height:2" coordorigin="7,7" coordsize="4805,2">
              <v:shape style="position:absolute;left:7;top:7;width:4805;height:2" coordorigin="7,7" coordsize="4805,0" path="m7,7l4812,7e" filled="false" stroked="true" strokeweight=".709pt" strokecolor="#000000">
                <v:path arrowok="t"/>
              </v:shape>
            </v:group>
            <v:group style="position:absolute;left:4812;top:7;width:4805;height:2" coordorigin="4812,7" coordsize="4805,2">
              <v:shape style="position:absolute;left:4812;top:7;width:4805;height:2" coordorigin="4812,7" coordsize="4805,0" path="m4812,7l9617,7e" filled="false" stroked="true" strokeweight=".709pt" strokecolor="#000000">
                <v:path arrowok="t"/>
              </v:shape>
            </v:group>
          </v:group>
        </w:pict>
      </w:r>
      <w:r>
        <w:rPr>
          <w:rFonts w:ascii="宋体" w:hAnsi="宋体" w:cs="宋体" w:eastAsia="宋体" w:hint="default"/>
          <w:sz w:val="2"/>
          <w:szCs w:val="2"/>
        </w:rPr>
      </w:r>
    </w:p>
    <w:p>
      <w:pPr>
        <w:spacing w:before="51"/>
        <w:ind w:left="234" w:right="95" w:firstLine="0"/>
        <w:jc w:val="left"/>
        <w:rPr>
          <w:rFonts w:ascii="宋体" w:hAnsi="宋体" w:cs="宋体" w:eastAsia="宋体" w:hint="default"/>
          <w:sz w:val="16"/>
          <w:szCs w:val="16"/>
        </w:rPr>
      </w:pPr>
      <w:r>
        <w:rPr>
          <w:rFonts w:ascii="宋体" w:hAnsi="宋体" w:cs="宋体" w:eastAsia="宋体" w:hint="default"/>
          <w:sz w:val="16"/>
          <w:szCs w:val="16"/>
        </w:rPr>
        <w:t>请参阅合并财务报表附注“三、重要会计政策和会计估计”注释</w:t>
      </w:r>
      <w:r>
        <w:rPr>
          <w:rFonts w:ascii="宋体" w:hAnsi="宋体" w:cs="宋体" w:eastAsia="宋体" w:hint="default"/>
          <w:spacing w:val="-32"/>
          <w:sz w:val="16"/>
          <w:szCs w:val="16"/>
        </w:rPr>
        <w:t> </w:t>
      </w:r>
      <w:r>
        <w:rPr>
          <w:rFonts w:ascii="宋体" w:hAnsi="宋体" w:cs="宋体" w:eastAsia="宋体" w:hint="default"/>
          <w:sz w:val="16"/>
          <w:szCs w:val="16"/>
        </w:rPr>
        <w:t>23</w:t>
      </w:r>
      <w:r>
        <w:rPr>
          <w:rFonts w:ascii="宋体" w:hAnsi="宋体" w:cs="宋体" w:eastAsia="宋体" w:hint="default"/>
          <w:spacing w:val="-33"/>
          <w:sz w:val="16"/>
          <w:szCs w:val="16"/>
        </w:rPr>
        <w:t> </w:t>
      </w:r>
      <w:r>
        <w:rPr>
          <w:rFonts w:ascii="宋体" w:hAnsi="宋体" w:cs="宋体" w:eastAsia="宋体" w:hint="default"/>
          <w:sz w:val="16"/>
          <w:szCs w:val="16"/>
        </w:rPr>
        <w:t>所述的会计政策及“五、</w:t>
      </w:r>
      <w:r>
        <w:rPr>
          <w:rFonts w:ascii="宋体" w:hAnsi="宋体" w:cs="宋体" w:eastAsia="宋体" w:hint="default"/>
          <w:spacing w:val="-27"/>
          <w:sz w:val="16"/>
          <w:szCs w:val="16"/>
        </w:rPr>
        <w:t> </w:t>
      </w:r>
      <w:r>
        <w:rPr>
          <w:rFonts w:ascii="宋体" w:hAnsi="宋体" w:cs="宋体" w:eastAsia="宋体" w:hint="default"/>
          <w:sz w:val="16"/>
          <w:szCs w:val="16"/>
        </w:rPr>
        <w:t>合并财务报表项目附注”注释</w:t>
      </w:r>
      <w:r>
        <w:rPr>
          <w:rFonts w:ascii="宋体" w:hAnsi="宋体" w:cs="宋体" w:eastAsia="宋体" w:hint="default"/>
          <w:spacing w:val="-32"/>
          <w:sz w:val="16"/>
          <w:szCs w:val="16"/>
        </w:rPr>
        <w:t> </w:t>
      </w:r>
      <w:r>
        <w:rPr>
          <w:rFonts w:ascii="宋体" w:hAnsi="宋体" w:cs="宋体" w:eastAsia="宋体" w:hint="default"/>
          <w:sz w:val="16"/>
          <w:szCs w:val="16"/>
        </w:rPr>
        <w:t>36</w:t>
      </w:r>
    </w:p>
    <w:p>
      <w:pPr>
        <w:spacing w:line="240" w:lineRule="auto" w:before="2"/>
        <w:rPr>
          <w:rFonts w:ascii="宋体" w:hAnsi="宋体" w:cs="宋体" w:eastAsia="宋体" w:hint="default"/>
          <w:sz w:val="8"/>
          <w:szCs w:val="8"/>
        </w:rPr>
      </w:pPr>
    </w:p>
    <w:p>
      <w:pPr>
        <w:spacing w:line="20" w:lineRule="exact"/>
        <w:ind w:left="121" w:right="0" w:firstLine="0"/>
        <w:rPr>
          <w:rFonts w:ascii="宋体" w:hAnsi="宋体" w:cs="宋体" w:eastAsia="宋体" w:hint="default"/>
          <w:sz w:val="2"/>
          <w:szCs w:val="2"/>
        </w:rPr>
      </w:pPr>
      <w:r>
        <w:rPr>
          <w:rFonts w:ascii="宋体" w:hAnsi="宋体" w:cs="宋体" w:eastAsia="宋体" w:hint="default"/>
          <w:sz w:val="2"/>
          <w:szCs w:val="2"/>
        </w:rPr>
        <w:pict>
          <v:group style="width:481.2pt;height:.75pt;mso-position-horizontal-relative:char;mso-position-vertical-relative:line" coordorigin="0,0" coordsize="9624,15">
            <v:group style="position:absolute;left:7;top:7;width:4805;height:2" coordorigin="7,7" coordsize="4805,2">
              <v:shape style="position:absolute;left:7;top:7;width:4805;height:2" coordorigin="7,7" coordsize="4805,0" path="m7,7l4812,7e" filled="false" stroked="true" strokeweight=".709pt" strokecolor="#000000">
                <v:path arrowok="t"/>
              </v:shape>
            </v:group>
            <v:group style="position:absolute;left:4812;top:7;width:4805;height:2" coordorigin="4812,7" coordsize="4805,2">
              <v:shape style="position:absolute;left:4812;top:7;width:4805;height:2" coordorigin="4812,7" coordsize="4805,0" path="m4812,7l9617,7e" filled="false" stroked="true" strokeweight=".709pt" strokecolor="#000000">
                <v:path arrowok="t"/>
              </v:shape>
            </v:group>
          </v:group>
        </w:pict>
      </w:r>
      <w:r>
        <w:rPr>
          <w:rFonts w:ascii="宋体" w:hAnsi="宋体" w:cs="宋体" w:eastAsia="宋体" w:hint="default"/>
          <w:sz w:val="2"/>
          <w:szCs w:val="2"/>
        </w:rPr>
      </w:r>
    </w:p>
    <w:p>
      <w:pPr>
        <w:tabs>
          <w:tab w:pos="5046" w:val="left" w:leader="none"/>
        </w:tabs>
        <w:spacing w:before="51"/>
        <w:ind w:left="234" w:right="95" w:firstLine="0"/>
        <w:jc w:val="left"/>
        <w:rPr>
          <w:rFonts w:ascii="宋体" w:hAnsi="宋体" w:cs="宋体" w:eastAsia="宋体" w:hint="default"/>
          <w:sz w:val="16"/>
          <w:szCs w:val="16"/>
        </w:rPr>
      </w:pPr>
      <w:r>
        <w:rPr>
          <w:rFonts w:ascii="宋体" w:hAnsi="宋体" w:cs="宋体" w:eastAsia="宋体" w:hint="default"/>
          <w:sz w:val="16"/>
          <w:szCs w:val="16"/>
        </w:rPr>
        <w:t>关键审计事项</w:t>
        <w:tab/>
        <w:t>在审计中如何应对该事项</w:t>
      </w:r>
    </w:p>
    <w:p>
      <w:pPr>
        <w:spacing w:line="240" w:lineRule="auto" w:before="2"/>
        <w:rPr>
          <w:rFonts w:ascii="宋体" w:hAnsi="宋体" w:cs="宋体" w:eastAsia="宋体" w:hint="default"/>
          <w:sz w:val="8"/>
          <w:szCs w:val="8"/>
        </w:rPr>
      </w:pPr>
    </w:p>
    <w:p>
      <w:pPr>
        <w:spacing w:line="20" w:lineRule="exact"/>
        <w:ind w:left="121" w:right="0" w:firstLine="0"/>
        <w:rPr>
          <w:rFonts w:ascii="宋体" w:hAnsi="宋体" w:cs="宋体" w:eastAsia="宋体" w:hint="default"/>
          <w:sz w:val="2"/>
          <w:szCs w:val="2"/>
        </w:rPr>
      </w:pPr>
      <w:r>
        <w:rPr>
          <w:rFonts w:ascii="宋体"/>
          <w:sz w:val="2"/>
        </w:rPr>
        <w:pict>
          <v:group style="width:237.45pt;height:.75pt;mso-position-horizontal-relative:char;mso-position-vertical-relative:line" coordorigin="0,0" coordsize="4749,15">
            <v:group style="position:absolute;left:7;top:7;width:4735;height:2" coordorigin="7,7" coordsize="4735,2">
              <v:shape style="position:absolute;left:7;top:7;width:4735;height:2" coordorigin="7,7" coordsize="4735,0" path="m7,7l4742,7e" filled="false" stroked="true" strokeweight=".709pt" strokecolor="#000000">
                <v:path arrowok="t"/>
              </v:shape>
            </v:group>
          </v:group>
        </w:pict>
      </w:r>
      <w:r>
        <w:rPr>
          <w:rFonts w:ascii="宋体"/>
          <w:sz w:val="2"/>
        </w:rPr>
      </w:r>
      <w:r>
        <w:rPr>
          <w:rFonts w:ascii="Times New Roman"/>
          <w:spacing w:val="118"/>
          <w:sz w:val="2"/>
        </w:rPr>
        <w:t> </w:t>
      </w:r>
      <w:r>
        <w:rPr>
          <w:rFonts w:ascii="宋体"/>
          <w:spacing w:val="118"/>
          <w:sz w:val="2"/>
        </w:rPr>
        <w:pict>
          <v:group style="width:237.45pt;height:.75pt;mso-position-horizontal-relative:char;mso-position-vertical-relative:line" coordorigin="0,0" coordsize="4749,15">
            <v:group style="position:absolute;left:7;top:7;width:4735;height:2" coordorigin="7,7" coordsize="4735,2">
              <v:shape style="position:absolute;left:7;top:7;width:4735;height:2" coordorigin="7,7" coordsize="4735,0" path="m7,7l4742,7e" filled="false" stroked="true" strokeweight=".709pt" strokecolor="#000000">
                <v:path arrowok="t"/>
              </v:shape>
            </v:group>
          </v:group>
        </w:pict>
      </w:r>
      <w:r>
        <w:rPr>
          <w:rFonts w:ascii="宋体"/>
          <w:spacing w:val="118"/>
          <w:sz w:val="2"/>
        </w:rPr>
      </w:r>
    </w:p>
    <w:p>
      <w:pPr>
        <w:spacing w:after="0" w:line="20" w:lineRule="exact"/>
        <w:rPr>
          <w:rFonts w:ascii="宋体" w:hAnsi="宋体" w:cs="宋体" w:eastAsia="宋体" w:hint="default"/>
          <w:sz w:val="2"/>
          <w:szCs w:val="2"/>
        </w:rPr>
        <w:sectPr>
          <w:headerReference w:type="default" r:id="rId246"/>
          <w:pgSz w:w="11910" w:h="16160"/>
          <w:pgMar w:header="0" w:footer="298" w:top="1520" w:bottom="480" w:left="1360" w:right="680"/>
        </w:sectPr>
      </w:pPr>
    </w:p>
    <w:p>
      <w:pPr>
        <w:spacing w:line="200" w:lineRule="exact" w:before="78"/>
        <w:ind w:left="234" w:right="-5" w:firstLine="0"/>
        <w:jc w:val="left"/>
        <w:rPr>
          <w:rFonts w:ascii="宋体" w:hAnsi="宋体" w:cs="宋体" w:eastAsia="宋体" w:hint="default"/>
          <w:sz w:val="16"/>
          <w:szCs w:val="16"/>
        </w:rPr>
      </w:pPr>
      <w:r>
        <w:rPr>
          <w:rFonts w:ascii="宋体" w:hAnsi="宋体" w:cs="宋体" w:eastAsia="宋体" w:hint="default"/>
          <w:sz w:val="16"/>
          <w:szCs w:val="16"/>
        </w:rPr>
        <w:t>贵公司及其子公司（以下简称“贵集团”）的收入主要来自于语 </w:t>
      </w:r>
      <w:r>
        <w:rPr>
          <w:rFonts w:ascii="宋体" w:hAnsi="宋体" w:cs="宋体" w:eastAsia="宋体" w:hint="default"/>
          <w:spacing w:val="-5"/>
          <w:sz w:val="16"/>
          <w:szCs w:val="16"/>
        </w:rPr>
        <w:t>音通话、增值服务、宽带及移动数据服务、数据及其他互联网应用、</w:t>
      </w:r>
      <w:r>
        <w:rPr>
          <w:rFonts w:ascii="宋体" w:hAnsi="宋体" w:cs="宋体" w:eastAsia="宋体" w:hint="default"/>
          <w:spacing w:val="-65"/>
          <w:sz w:val="16"/>
          <w:szCs w:val="16"/>
        </w:rPr>
        <w:t> </w:t>
      </w:r>
      <w:r>
        <w:rPr>
          <w:rFonts w:ascii="宋体" w:hAnsi="宋体" w:cs="宋体" w:eastAsia="宋体" w:hint="default"/>
          <w:spacing w:val="-65"/>
          <w:sz w:val="16"/>
          <w:szCs w:val="16"/>
        </w:rPr>
      </w:r>
      <w:r>
        <w:rPr>
          <w:rFonts w:ascii="宋体" w:hAnsi="宋体" w:cs="宋体" w:eastAsia="宋体" w:hint="default"/>
          <w:sz w:val="16"/>
          <w:szCs w:val="16"/>
        </w:rPr>
        <w:t>电路及网元服务以及销售通信产品收入。</w:t>
      </w:r>
    </w:p>
    <w:p>
      <w:pPr>
        <w:spacing w:line="200" w:lineRule="exact" w:before="113"/>
        <w:ind w:left="234" w:right="183" w:firstLine="0"/>
        <w:jc w:val="both"/>
        <w:rPr>
          <w:rFonts w:ascii="宋体" w:hAnsi="宋体" w:cs="宋体" w:eastAsia="宋体" w:hint="default"/>
          <w:sz w:val="16"/>
          <w:szCs w:val="16"/>
        </w:rPr>
      </w:pPr>
      <w:r>
        <w:rPr>
          <w:rFonts w:ascii="宋体" w:hAnsi="宋体" w:cs="宋体" w:eastAsia="宋体" w:hint="default"/>
          <w:sz w:val="16"/>
          <w:szCs w:val="16"/>
        </w:rPr>
        <w:t>由于电信公司的计费系统复杂，且需要在数个系统中处理当年销 售不同产品组合而产生大量业务数据，因此在合并财务报表中收 入确认的准确性存在电信行业的固有风险。</w:t>
      </w:r>
    </w:p>
    <w:p>
      <w:pPr>
        <w:spacing w:line="200" w:lineRule="exact" w:before="113"/>
        <w:ind w:left="234" w:right="183" w:firstLine="0"/>
        <w:jc w:val="both"/>
        <w:rPr>
          <w:rFonts w:ascii="宋体" w:hAnsi="宋体" w:cs="宋体" w:eastAsia="宋体" w:hint="default"/>
          <w:sz w:val="16"/>
          <w:szCs w:val="16"/>
        </w:rPr>
      </w:pPr>
      <w:r>
        <w:rPr>
          <w:rFonts w:ascii="宋体" w:hAnsi="宋体" w:cs="宋体" w:eastAsia="宋体" w:hint="default"/>
          <w:sz w:val="16"/>
          <w:szCs w:val="16"/>
        </w:rPr>
        <w:t>贵集团与用户签订的包含捆绑套餐的合同中包含不同履约义务， 包括提供电信服务和销售手机等通信产品，在确定各履约义务的 收入计量方法和确认时点时会涉及重大的管理层判断。同时为了 实现交易价格在这些履约义务间的恰当分摊，贵集团的信息系统 设置较为复杂。</w:t>
      </w:r>
    </w:p>
    <w:p>
      <w:pPr>
        <w:spacing w:line="200" w:lineRule="exact" w:before="113"/>
        <w:ind w:left="234" w:right="183" w:firstLine="0"/>
        <w:jc w:val="both"/>
        <w:rPr>
          <w:rFonts w:ascii="宋体" w:hAnsi="宋体" w:cs="宋体" w:eastAsia="宋体" w:hint="default"/>
          <w:sz w:val="16"/>
          <w:szCs w:val="16"/>
        </w:rPr>
      </w:pPr>
      <w:r>
        <w:rPr>
          <w:rFonts w:ascii="宋体" w:hAnsi="宋体" w:cs="宋体" w:eastAsia="宋体" w:hint="default"/>
          <w:sz w:val="16"/>
          <w:szCs w:val="16"/>
        </w:rPr>
        <w:t>由于收入是贵集团的关键绩效指标之一，且其涉及复杂的信息技 术系统和管理层判断，使得收入存在可能被确认于不正确的期间 或被操控以达到目标或预期水平的固有风险，我们将贵集团收入 确认识别为关键审计事项。</w:t>
      </w:r>
    </w:p>
    <w:p>
      <w:pPr>
        <w:spacing w:before="51"/>
        <w:ind w:left="106" w:right="0" w:firstLine="0"/>
        <w:jc w:val="both"/>
        <w:rPr>
          <w:rFonts w:ascii="宋体" w:hAnsi="宋体" w:cs="宋体" w:eastAsia="宋体" w:hint="default"/>
          <w:sz w:val="16"/>
          <w:szCs w:val="16"/>
        </w:rPr>
      </w:pPr>
      <w:r>
        <w:rPr/>
        <w:br w:type="column"/>
      </w:r>
      <w:r>
        <w:rPr>
          <w:rFonts w:ascii="宋体" w:hAnsi="宋体" w:cs="宋体" w:eastAsia="宋体" w:hint="default"/>
          <w:sz w:val="16"/>
          <w:szCs w:val="16"/>
        </w:rPr>
        <w:t>与评价收入确认相关的审计程序中包括以下程序：</w:t>
      </w:r>
    </w:p>
    <w:p>
      <w:pPr>
        <w:spacing w:line="200" w:lineRule="exact" w:before="131"/>
        <w:ind w:left="106" w:right="180" w:firstLine="0"/>
        <w:jc w:val="left"/>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利用本所内部信息技术专家的工作，评价与业务系统运行的一</w:t>
      </w:r>
      <w:r>
        <w:rPr>
          <w:rFonts w:ascii="宋体" w:hAnsi="宋体" w:cs="宋体" w:eastAsia="宋体" w:hint="default"/>
          <w:sz w:val="16"/>
          <w:szCs w:val="16"/>
        </w:rPr>
        <w:t> 般信息技术环境相关的关键内部控制（包括系统访问控制、程序 </w:t>
      </w:r>
      <w:r>
        <w:rPr>
          <w:rFonts w:ascii="宋体" w:hAnsi="宋体" w:cs="宋体" w:eastAsia="宋体" w:hint="default"/>
          <w:spacing w:val="-6"/>
          <w:sz w:val="16"/>
          <w:szCs w:val="16"/>
        </w:rPr>
        <w:t>变更控制、程序开发控制和计算机运行控制）的设计和运行有效性；</w:t>
      </w:r>
    </w:p>
    <w:p>
      <w:pPr>
        <w:spacing w:line="200" w:lineRule="exact" w:before="113"/>
        <w:ind w:left="106" w:right="30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利用本所内部信息技术专家的工作，评价与计费出账的完整性</w:t>
      </w:r>
      <w:r>
        <w:rPr>
          <w:rFonts w:ascii="宋体" w:hAnsi="宋体" w:cs="宋体" w:eastAsia="宋体" w:hint="default"/>
          <w:sz w:val="16"/>
          <w:szCs w:val="16"/>
        </w:rPr>
        <w:t> 和准确性，以及计费出账系统与财务系统间核对一致等相关的关 键内部控制的设计和运行有效性；</w:t>
      </w:r>
    </w:p>
    <w:p>
      <w:pPr>
        <w:spacing w:line="200" w:lineRule="exact" w:before="113"/>
        <w:ind w:left="106" w:right="30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在抽样的基础上，将向用户出具的账单与相应的应收账款记录</w:t>
      </w:r>
      <w:r>
        <w:rPr>
          <w:rFonts w:ascii="宋体" w:hAnsi="宋体" w:cs="宋体" w:eastAsia="宋体" w:hint="default"/>
          <w:sz w:val="16"/>
          <w:szCs w:val="16"/>
        </w:rPr>
        <w:t> 以及收费单据进行核对；</w:t>
      </w:r>
    </w:p>
    <w:p>
      <w:pPr>
        <w:spacing w:before="86"/>
        <w:ind w:left="106" w:right="0" w:firstLine="0"/>
        <w:jc w:val="both"/>
        <w:rPr>
          <w:rFonts w:ascii="宋体" w:hAnsi="宋体" w:cs="宋体" w:eastAsia="宋体" w:hint="default"/>
          <w:sz w:val="16"/>
          <w:szCs w:val="16"/>
        </w:rPr>
      </w:pPr>
      <w:r>
        <w:rPr>
          <w:rFonts w:ascii="宋体" w:hAnsi="宋体" w:cs="宋体" w:eastAsia="宋体" w:hint="default"/>
          <w:position w:val="4"/>
          <w:sz w:val="6"/>
          <w:szCs w:val="6"/>
        </w:rPr>
        <w:t>●   </w:t>
      </w:r>
      <w:r>
        <w:rPr>
          <w:rFonts w:ascii="宋体" w:hAnsi="宋体" w:cs="宋体" w:eastAsia="宋体" w:hint="default"/>
          <w:spacing w:val="16"/>
          <w:position w:val="4"/>
          <w:sz w:val="6"/>
          <w:szCs w:val="6"/>
        </w:rPr>
        <w:t> </w:t>
      </w:r>
      <w:r>
        <w:rPr>
          <w:rFonts w:ascii="宋体" w:hAnsi="宋体" w:cs="宋体" w:eastAsia="宋体" w:hint="default"/>
          <w:sz w:val="16"/>
          <w:szCs w:val="16"/>
        </w:rPr>
        <w:t>在抽样的基础上，将贵集团的收入与现金收款记录进行核对；</w:t>
      </w:r>
    </w:p>
    <w:p>
      <w:pPr>
        <w:spacing w:line="200" w:lineRule="exact" w:before="131"/>
        <w:ind w:left="106" w:right="30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利用电子审计工具，从业务支撑系统提取数据，验算应收账款</w:t>
      </w:r>
      <w:r>
        <w:rPr>
          <w:rFonts w:ascii="宋体" w:hAnsi="宋体" w:cs="宋体" w:eastAsia="宋体" w:hint="default"/>
          <w:sz w:val="16"/>
          <w:szCs w:val="16"/>
        </w:rPr>
        <w:t> 和预收款项的余额，并将相关结果与贵集团财务记录进行核对；</w:t>
      </w:r>
    </w:p>
    <w:p>
      <w:pPr>
        <w:spacing w:line="200" w:lineRule="exact" w:before="113"/>
        <w:ind w:left="106" w:right="30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选取样本，通过比较贵集团于类似情况下向类似客户单独提供</w:t>
      </w:r>
      <w:r>
        <w:rPr>
          <w:rFonts w:ascii="宋体" w:hAnsi="宋体" w:cs="宋体" w:eastAsia="宋体" w:hint="default"/>
          <w:sz w:val="16"/>
          <w:szCs w:val="16"/>
        </w:rPr>
        <w:t> 相关服务或手机的可观察价格，就移动手机捆绑销售套餐中贵集 团确定的服务和手机的单独售价进行评价；</w:t>
      </w:r>
    </w:p>
    <w:p>
      <w:pPr>
        <w:spacing w:line="200" w:lineRule="exact" w:before="113"/>
        <w:ind w:left="106" w:right="180" w:firstLine="0"/>
        <w:jc w:val="left"/>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4"/>
          <w:position w:val="4"/>
          <w:sz w:val="6"/>
          <w:szCs w:val="6"/>
        </w:rPr>
        <w:t> </w:t>
      </w:r>
      <w:r>
        <w:rPr>
          <w:rFonts w:ascii="宋体" w:hAnsi="宋体" w:cs="宋体" w:eastAsia="宋体" w:hint="default"/>
          <w:sz w:val="16"/>
          <w:szCs w:val="16"/>
        </w:rPr>
        <w:t>选取样本，通过将相关系统设定与贵集团的分摊原则进行比较，</w:t>
      </w:r>
      <w:r>
        <w:rPr>
          <w:rFonts w:ascii="宋体" w:hAnsi="宋体" w:cs="宋体" w:eastAsia="宋体" w:hint="default"/>
          <w:sz w:val="16"/>
          <w:szCs w:val="16"/>
        </w:rPr>
        <w:t> 以及重新计算分摊结果，并将其与系统分摊结果进行比较，就在 信息技术系统中对移动手机捆绑销售套餐的收入在服务和手机之 间的分摊设定进行评价；</w:t>
      </w:r>
    </w:p>
    <w:p>
      <w:pPr>
        <w:spacing w:line="200" w:lineRule="exact" w:before="113"/>
        <w:ind w:left="106" w:right="30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基于特定风险条件选取样本，对收入的会计分录进行评价，并</w:t>
      </w:r>
      <w:r>
        <w:rPr>
          <w:rFonts w:ascii="宋体" w:hAnsi="宋体" w:cs="宋体" w:eastAsia="宋体" w:hint="default"/>
          <w:sz w:val="16"/>
          <w:szCs w:val="16"/>
        </w:rPr>
        <w:t> 将这些会计分录明细与相关支持性文件进行核对，包括服务合同 和进度报告等。</w:t>
      </w:r>
    </w:p>
    <w:p>
      <w:pPr>
        <w:spacing w:after="0" w:line="200" w:lineRule="exact"/>
        <w:jc w:val="both"/>
        <w:rPr>
          <w:rFonts w:ascii="宋体" w:hAnsi="宋体" w:cs="宋体" w:eastAsia="宋体" w:hint="default"/>
          <w:sz w:val="16"/>
          <w:szCs w:val="16"/>
        </w:rPr>
        <w:sectPr>
          <w:type w:val="continuous"/>
          <w:pgSz w:w="11910" w:h="16160"/>
          <w:pgMar w:top="1520" w:bottom="280" w:left="1360" w:right="680"/>
          <w:cols w:num="2" w:equalWidth="0">
            <w:col w:w="4900" w:space="40"/>
            <w:col w:w="4930"/>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三、关键审计事项（续）</w:t>
      </w:r>
      <w:r>
        <w:rPr>
          <w:rFonts w:ascii="宋体" w:hAnsi="宋体" w:cs="宋体" w:eastAsia="宋体" w:hint="default"/>
        </w:rPr>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5"/>
          <w:szCs w:val="15"/>
        </w:rPr>
      </w:pPr>
    </w:p>
    <w:p>
      <w:pPr>
        <w:spacing w:before="0"/>
        <w:ind w:left="234" w:right="125" w:firstLine="0"/>
        <w:jc w:val="left"/>
        <w:rPr>
          <w:rFonts w:ascii="宋体" w:hAnsi="宋体" w:cs="宋体" w:eastAsia="宋体" w:hint="default"/>
          <w:sz w:val="16"/>
          <w:szCs w:val="16"/>
        </w:rPr>
      </w:pPr>
      <w:r>
        <w:rPr>
          <w:rFonts w:ascii="宋体" w:hAnsi="宋体" w:cs="宋体" w:eastAsia="宋体" w:hint="default"/>
          <w:sz w:val="16"/>
          <w:szCs w:val="16"/>
        </w:rPr>
        <w:t>固定资产及在建工程的账面价值</w:t>
      </w:r>
    </w:p>
    <w:p>
      <w:pPr>
        <w:spacing w:line="240" w:lineRule="auto" w:before="2"/>
        <w:rPr>
          <w:rFonts w:ascii="宋体" w:hAnsi="宋体" w:cs="宋体" w:eastAsia="宋体" w:hint="default"/>
          <w:sz w:val="8"/>
          <w:szCs w:val="8"/>
        </w:rPr>
      </w:pPr>
    </w:p>
    <w:p>
      <w:pPr>
        <w:spacing w:line="20" w:lineRule="exact"/>
        <w:ind w:left="120" w:right="0" w:firstLine="0"/>
        <w:rPr>
          <w:rFonts w:ascii="宋体" w:hAnsi="宋体" w:cs="宋体" w:eastAsia="宋体" w:hint="default"/>
          <w:sz w:val="2"/>
          <w:szCs w:val="2"/>
        </w:rPr>
      </w:pPr>
      <w:r>
        <w:rPr>
          <w:rFonts w:ascii="宋体" w:hAnsi="宋体" w:cs="宋体" w:eastAsia="宋体" w:hint="default"/>
          <w:sz w:val="2"/>
          <w:szCs w:val="2"/>
        </w:rPr>
        <w:pict>
          <v:group style="width:481.2pt;height:.75pt;mso-position-horizontal-relative:char;mso-position-vertical-relative:line" coordorigin="0,0" coordsize="9624,15">
            <v:group style="position:absolute;left:7;top:7;width:4805;height:2" coordorigin="7,7" coordsize="4805,2">
              <v:shape style="position:absolute;left:7;top:7;width:4805;height:2" coordorigin="7,7" coordsize="4805,0" path="m7,7l4812,7e" filled="false" stroked="true" strokeweight=".709pt" strokecolor="#000000">
                <v:path arrowok="t"/>
              </v:shape>
            </v:group>
            <v:group style="position:absolute;left:4812;top:7;width:4805;height:2" coordorigin="4812,7" coordsize="4805,2">
              <v:shape style="position:absolute;left:4812;top:7;width:4805;height:2" coordorigin="4812,7" coordsize="4805,0" path="m4812,7l9617,7e" filled="false" stroked="true" strokeweight=".709pt" strokecolor="#000000">
                <v:path arrowok="t"/>
              </v:shape>
            </v:group>
          </v:group>
        </w:pict>
      </w:r>
      <w:r>
        <w:rPr>
          <w:rFonts w:ascii="宋体" w:hAnsi="宋体" w:cs="宋体" w:eastAsia="宋体" w:hint="default"/>
          <w:sz w:val="2"/>
          <w:szCs w:val="2"/>
        </w:rPr>
      </w:r>
    </w:p>
    <w:p>
      <w:pPr>
        <w:spacing w:line="205" w:lineRule="exact" w:before="51"/>
        <w:ind w:left="234" w:right="125" w:firstLine="0"/>
        <w:jc w:val="left"/>
        <w:rPr>
          <w:rFonts w:ascii="宋体" w:hAnsi="宋体" w:cs="宋体" w:eastAsia="宋体" w:hint="default"/>
          <w:sz w:val="16"/>
          <w:szCs w:val="16"/>
        </w:rPr>
      </w:pPr>
      <w:r>
        <w:rPr>
          <w:rFonts w:ascii="宋体" w:hAnsi="宋体" w:cs="宋体" w:eastAsia="宋体" w:hint="default"/>
          <w:sz w:val="16"/>
          <w:szCs w:val="16"/>
        </w:rPr>
        <w:t>请参阅合并财务报表附注“三、重要会计政策和会计估计”注释</w:t>
      </w:r>
      <w:r>
        <w:rPr>
          <w:rFonts w:ascii="宋体" w:hAnsi="宋体" w:cs="宋体" w:eastAsia="宋体" w:hint="default"/>
          <w:spacing w:val="-30"/>
          <w:sz w:val="16"/>
          <w:szCs w:val="16"/>
        </w:rPr>
        <w:t> </w:t>
      </w:r>
      <w:r>
        <w:rPr>
          <w:rFonts w:ascii="宋体" w:hAnsi="宋体" w:cs="宋体" w:eastAsia="宋体" w:hint="default"/>
          <w:sz w:val="16"/>
          <w:szCs w:val="16"/>
        </w:rPr>
        <w:t>11、注释</w:t>
      </w:r>
      <w:r>
        <w:rPr>
          <w:rFonts w:ascii="宋体" w:hAnsi="宋体" w:cs="宋体" w:eastAsia="宋体" w:hint="default"/>
          <w:spacing w:val="-31"/>
          <w:sz w:val="16"/>
          <w:szCs w:val="16"/>
        </w:rPr>
        <w:t> </w:t>
      </w:r>
      <w:r>
        <w:rPr>
          <w:rFonts w:ascii="宋体" w:hAnsi="宋体" w:cs="宋体" w:eastAsia="宋体" w:hint="default"/>
          <w:sz w:val="16"/>
          <w:szCs w:val="16"/>
        </w:rPr>
        <w:t>12</w:t>
      </w:r>
      <w:r>
        <w:rPr>
          <w:rFonts w:ascii="宋体" w:hAnsi="宋体" w:cs="宋体" w:eastAsia="宋体" w:hint="default"/>
          <w:spacing w:val="-31"/>
          <w:sz w:val="16"/>
          <w:szCs w:val="16"/>
        </w:rPr>
        <w:t> </w:t>
      </w:r>
      <w:r>
        <w:rPr>
          <w:rFonts w:ascii="宋体" w:hAnsi="宋体" w:cs="宋体" w:eastAsia="宋体" w:hint="default"/>
          <w:sz w:val="16"/>
          <w:szCs w:val="16"/>
        </w:rPr>
        <w:t>和注释</w:t>
      </w:r>
      <w:r>
        <w:rPr>
          <w:rFonts w:ascii="宋体" w:hAnsi="宋体" w:cs="宋体" w:eastAsia="宋体" w:hint="default"/>
          <w:spacing w:val="-30"/>
          <w:sz w:val="16"/>
          <w:szCs w:val="16"/>
        </w:rPr>
        <w:t> </w:t>
      </w:r>
      <w:r>
        <w:rPr>
          <w:rFonts w:ascii="宋体" w:hAnsi="宋体" w:cs="宋体" w:eastAsia="宋体" w:hint="default"/>
          <w:sz w:val="16"/>
          <w:szCs w:val="16"/>
        </w:rPr>
        <w:t>13</w:t>
      </w:r>
      <w:r>
        <w:rPr>
          <w:rFonts w:ascii="宋体" w:hAnsi="宋体" w:cs="宋体" w:eastAsia="宋体" w:hint="default"/>
          <w:spacing w:val="-31"/>
          <w:sz w:val="16"/>
          <w:szCs w:val="16"/>
        </w:rPr>
        <w:t> </w:t>
      </w:r>
      <w:r>
        <w:rPr>
          <w:rFonts w:ascii="宋体" w:hAnsi="宋体" w:cs="宋体" w:eastAsia="宋体" w:hint="default"/>
          <w:sz w:val="16"/>
          <w:szCs w:val="16"/>
        </w:rPr>
        <w:t>所述的会计政策及“五、合并财务报表项目附</w:t>
      </w:r>
    </w:p>
    <w:p>
      <w:pPr>
        <w:spacing w:line="205" w:lineRule="exact" w:before="0"/>
        <w:ind w:left="234" w:right="125" w:firstLine="0"/>
        <w:jc w:val="left"/>
        <w:rPr>
          <w:rFonts w:ascii="宋体" w:hAnsi="宋体" w:cs="宋体" w:eastAsia="宋体" w:hint="default"/>
          <w:sz w:val="16"/>
          <w:szCs w:val="16"/>
        </w:rPr>
      </w:pPr>
      <w:r>
        <w:rPr>
          <w:rFonts w:ascii="宋体" w:hAnsi="宋体" w:cs="宋体" w:eastAsia="宋体" w:hint="default"/>
          <w:w w:val="105"/>
          <w:sz w:val="16"/>
          <w:szCs w:val="16"/>
        </w:rPr>
        <w:t>注”注释</w:t>
      </w:r>
      <w:r>
        <w:rPr>
          <w:rFonts w:ascii="宋体" w:hAnsi="宋体" w:cs="宋体" w:eastAsia="宋体" w:hint="default"/>
          <w:spacing w:val="-57"/>
          <w:w w:val="105"/>
          <w:sz w:val="16"/>
          <w:szCs w:val="16"/>
        </w:rPr>
        <w:t> </w:t>
      </w:r>
      <w:r>
        <w:rPr>
          <w:rFonts w:ascii="宋体" w:hAnsi="宋体" w:cs="宋体" w:eastAsia="宋体" w:hint="default"/>
          <w:w w:val="105"/>
          <w:sz w:val="16"/>
          <w:szCs w:val="16"/>
        </w:rPr>
        <w:t>11</w:t>
      </w:r>
      <w:r>
        <w:rPr>
          <w:rFonts w:ascii="宋体" w:hAnsi="宋体" w:cs="宋体" w:eastAsia="宋体" w:hint="default"/>
          <w:spacing w:val="-58"/>
          <w:w w:val="105"/>
          <w:sz w:val="16"/>
          <w:szCs w:val="16"/>
        </w:rPr>
        <w:t> </w:t>
      </w:r>
      <w:r>
        <w:rPr>
          <w:rFonts w:ascii="宋体" w:hAnsi="宋体" w:cs="宋体" w:eastAsia="宋体" w:hint="default"/>
          <w:w w:val="105"/>
          <w:sz w:val="16"/>
          <w:szCs w:val="16"/>
        </w:rPr>
        <w:t>及注释</w:t>
      </w:r>
      <w:r>
        <w:rPr>
          <w:rFonts w:ascii="宋体" w:hAnsi="宋体" w:cs="宋体" w:eastAsia="宋体" w:hint="default"/>
          <w:spacing w:val="-57"/>
          <w:w w:val="105"/>
          <w:sz w:val="16"/>
          <w:szCs w:val="16"/>
        </w:rPr>
        <w:t> </w:t>
      </w:r>
      <w:r>
        <w:rPr>
          <w:rFonts w:ascii="宋体" w:hAnsi="宋体" w:cs="宋体" w:eastAsia="宋体" w:hint="default"/>
          <w:w w:val="105"/>
          <w:sz w:val="16"/>
          <w:szCs w:val="16"/>
        </w:rPr>
        <w:t>12</w:t>
      </w:r>
      <w:r>
        <w:rPr>
          <w:rFonts w:ascii="宋体" w:hAnsi="宋体" w:cs="宋体" w:eastAsia="宋体" w:hint="default"/>
          <w:sz w:val="16"/>
          <w:szCs w:val="16"/>
        </w:rPr>
      </w:r>
    </w:p>
    <w:p>
      <w:pPr>
        <w:spacing w:line="240" w:lineRule="auto" w:before="2"/>
        <w:rPr>
          <w:rFonts w:ascii="宋体" w:hAnsi="宋体" w:cs="宋体" w:eastAsia="宋体" w:hint="default"/>
          <w:sz w:val="8"/>
          <w:szCs w:val="8"/>
        </w:rPr>
      </w:pPr>
    </w:p>
    <w:p>
      <w:pPr>
        <w:spacing w:line="20" w:lineRule="exact"/>
        <w:ind w:left="120" w:right="0" w:firstLine="0"/>
        <w:rPr>
          <w:rFonts w:ascii="宋体" w:hAnsi="宋体" w:cs="宋体" w:eastAsia="宋体" w:hint="default"/>
          <w:sz w:val="2"/>
          <w:szCs w:val="2"/>
        </w:rPr>
      </w:pPr>
      <w:r>
        <w:rPr>
          <w:rFonts w:ascii="宋体" w:hAnsi="宋体" w:cs="宋体" w:eastAsia="宋体" w:hint="default"/>
          <w:sz w:val="2"/>
          <w:szCs w:val="2"/>
        </w:rPr>
        <w:pict>
          <v:group style="width:481.2pt;height:.75pt;mso-position-horizontal-relative:char;mso-position-vertical-relative:line" coordorigin="0,0" coordsize="9624,15">
            <v:group style="position:absolute;left:7;top:7;width:4805;height:2" coordorigin="7,7" coordsize="4805,2">
              <v:shape style="position:absolute;left:7;top:7;width:4805;height:2" coordorigin="7,7" coordsize="4805,0" path="m7,7l4812,7e" filled="false" stroked="true" strokeweight=".709pt" strokecolor="#000000">
                <v:path arrowok="t"/>
              </v:shape>
            </v:group>
            <v:group style="position:absolute;left:4812;top:7;width:4805;height:2" coordorigin="4812,7" coordsize="4805,2">
              <v:shape style="position:absolute;left:4812;top:7;width:4805;height:2" coordorigin="4812,7" coordsize="4805,0" path="m4812,7l9617,7e" filled="false" stroked="true" strokeweight=".709pt" strokecolor="#000000">
                <v:path arrowok="t"/>
              </v:shape>
            </v:group>
          </v:group>
        </w:pict>
      </w:r>
      <w:r>
        <w:rPr>
          <w:rFonts w:ascii="宋体" w:hAnsi="宋体" w:cs="宋体" w:eastAsia="宋体" w:hint="default"/>
          <w:sz w:val="2"/>
          <w:szCs w:val="2"/>
        </w:rPr>
      </w:r>
    </w:p>
    <w:p>
      <w:pPr>
        <w:tabs>
          <w:tab w:pos="5045" w:val="left" w:leader="none"/>
        </w:tabs>
        <w:spacing w:before="51"/>
        <w:ind w:left="234" w:right="125" w:firstLine="0"/>
        <w:jc w:val="left"/>
        <w:rPr>
          <w:rFonts w:ascii="宋体" w:hAnsi="宋体" w:cs="宋体" w:eastAsia="宋体" w:hint="default"/>
          <w:sz w:val="16"/>
          <w:szCs w:val="16"/>
        </w:rPr>
      </w:pPr>
      <w:r>
        <w:rPr>
          <w:rFonts w:ascii="宋体" w:hAnsi="宋体" w:cs="宋体" w:eastAsia="宋体" w:hint="default"/>
          <w:sz w:val="16"/>
          <w:szCs w:val="16"/>
        </w:rPr>
        <w:t>关键审计事项</w:t>
        <w:tab/>
        <w:t>在审计中如何应对该事项</w:t>
      </w:r>
    </w:p>
    <w:p>
      <w:pPr>
        <w:spacing w:line="240" w:lineRule="auto" w:before="2"/>
        <w:rPr>
          <w:rFonts w:ascii="宋体" w:hAnsi="宋体" w:cs="宋体" w:eastAsia="宋体" w:hint="default"/>
          <w:sz w:val="8"/>
          <w:szCs w:val="8"/>
        </w:rPr>
      </w:pPr>
    </w:p>
    <w:p>
      <w:pPr>
        <w:spacing w:line="20" w:lineRule="exact"/>
        <w:ind w:left="120" w:right="0" w:firstLine="0"/>
        <w:rPr>
          <w:rFonts w:ascii="宋体" w:hAnsi="宋体" w:cs="宋体" w:eastAsia="宋体" w:hint="default"/>
          <w:sz w:val="2"/>
          <w:szCs w:val="2"/>
        </w:rPr>
      </w:pPr>
      <w:r>
        <w:rPr>
          <w:rFonts w:ascii="宋体"/>
          <w:sz w:val="2"/>
        </w:rPr>
        <w:pict>
          <v:group style="width:237.45pt;height:.75pt;mso-position-horizontal-relative:char;mso-position-vertical-relative:line" coordorigin="0,0" coordsize="4749,15">
            <v:group style="position:absolute;left:7;top:7;width:4735;height:2" coordorigin="7,7" coordsize="4735,2">
              <v:shape style="position:absolute;left:7;top:7;width:4735;height:2" coordorigin="7,7" coordsize="4735,0" path="m7,7l4742,7e" filled="false" stroked="true" strokeweight=".709pt" strokecolor="#000000">
                <v:path arrowok="t"/>
              </v:shape>
            </v:group>
          </v:group>
        </w:pict>
      </w:r>
      <w:r>
        <w:rPr>
          <w:rFonts w:ascii="宋体"/>
          <w:sz w:val="2"/>
        </w:rPr>
      </w:r>
      <w:r>
        <w:rPr>
          <w:rFonts w:ascii="Times New Roman"/>
          <w:spacing w:val="118"/>
          <w:sz w:val="2"/>
        </w:rPr>
        <w:t> </w:t>
      </w:r>
      <w:r>
        <w:rPr>
          <w:rFonts w:ascii="宋体"/>
          <w:spacing w:val="118"/>
          <w:sz w:val="2"/>
        </w:rPr>
        <w:pict>
          <v:group style="width:237.45pt;height:.75pt;mso-position-horizontal-relative:char;mso-position-vertical-relative:line" coordorigin="0,0" coordsize="4749,15">
            <v:group style="position:absolute;left:7;top:7;width:4735;height:2" coordorigin="7,7" coordsize="4735,2">
              <v:shape style="position:absolute;left:7;top:7;width:4735;height:2" coordorigin="7,7" coordsize="4735,0" path="m7,7l4742,7e" filled="false" stroked="true" strokeweight=".709pt" strokecolor="#000000">
                <v:path arrowok="t"/>
              </v:shape>
            </v:group>
          </v:group>
        </w:pict>
      </w:r>
      <w:r>
        <w:rPr>
          <w:rFonts w:ascii="宋体"/>
          <w:spacing w:val="118"/>
          <w:sz w:val="2"/>
        </w:rPr>
      </w:r>
    </w:p>
    <w:p>
      <w:pPr>
        <w:spacing w:after="0" w:line="20" w:lineRule="exact"/>
        <w:rPr>
          <w:rFonts w:ascii="宋体" w:hAnsi="宋体" w:cs="宋体" w:eastAsia="宋体" w:hint="default"/>
          <w:sz w:val="2"/>
          <w:szCs w:val="2"/>
        </w:rPr>
        <w:sectPr>
          <w:headerReference w:type="even" r:id="rId247"/>
          <w:footerReference w:type="even" r:id="rId248"/>
          <w:footerReference w:type="default" r:id="rId249"/>
          <w:pgSz w:w="11910" w:h="16160"/>
          <w:pgMar w:header="1200" w:footer="321" w:top="1620" w:bottom="520" w:left="680" w:right="1340"/>
          <w:pgNumType w:start="84"/>
        </w:sectPr>
      </w:pPr>
    </w:p>
    <w:p>
      <w:pPr>
        <w:spacing w:line="200" w:lineRule="exact" w:before="78"/>
        <w:ind w:left="234" w:right="140" w:firstLine="0"/>
        <w:jc w:val="left"/>
        <w:rPr>
          <w:rFonts w:ascii="宋体" w:hAnsi="宋体" w:cs="宋体" w:eastAsia="宋体" w:hint="default"/>
          <w:sz w:val="16"/>
          <w:szCs w:val="16"/>
        </w:rPr>
      </w:pPr>
      <w:r>
        <w:rPr>
          <w:rFonts w:ascii="宋体" w:hAnsi="宋体" w:cs="宋体" w:eastAsia="宋体" w:hint="default"/>
          <w:sz w:val="16"/>
          <w:szCs w:val="16"/>
        </w:rPr>
        <w:t>贵集团维持较高的资本开支水平，以扩大网络覆盖范围和改进网 络质量。于</w:t>
      </w:r>
      <w:r>
        <w:rPr>
          <w:rFonts w:ascii="宋体" w:hAnsi="宋体" w:cs="宋体" w:eastAsia="宋体" w:hint="default"/>
          <w:spacing w:val="-29"/>
          <w:sz w:val="16"/>
          <w:szCs w:val="16"/>
        </w:rPr>
        <w:t> </w:t>
      </w:r>
      <w:r>
        <w:rPr>
          <w:rFonts w:ascii="宋体" w:hAnsi="宋体" w:cs="宋体" w:eastAsia="宋体" w:hint="default"/>
          <w:sz w:val="16"/>
          <w:szCs w:val="16"/>
        </w:rPr>
        <w:t>2018</w:t>
      </w:r>
      <w:r>
        <w:rPr>
          <w:rFonts w:ascii="宋体" w:hAnsi="宋体" w:cs="宋体" w:eastAsia="宋体" w:hint="default"/>
          <w:spacing w:val="-30"/>
          <w:sz w:val="16"/>
          <w:szCs w:val="16"/>
        </w:rPr>
        <w:t> </w:t>
      </w:r>
      <w:r>
        <w:rPr>
          <w:rFonts w:ascii="宋体" w:hAnsi="宋体" w:cs="宋体" w:eastAsia="宋体" w:hint="default"/>
          <w:sz w:val="16"/>
          <w:szCs w:val="16"/>
        </w:rPr>
        <w:t>年</w:t>
      </w:r>
      <w:r>
        <w:rPr>
          <w:rFonts w:ascii="宋体" w:hAnsi="宋体" w:cs="宋体" w:eastAsia="宋体" w:hint="default"/>
          <w:spacing w:val="-29"/>
          <w:sz w:val="16"/>
          <w:szCs w:val="16"/>
        </w:rPr>
        <w:t> </w:t>
      </w:r>
      <w:r>
        <w:rPr>
          <w:rFonts w:ascii="宋体" w:hAnsi="宋体" w:cs="宋体" w:eastAsia="宋体" w:hint="default"/>
          <w:sz w:val="16"/>
          <w:szCs w:val="16"/>
        </w:rPr>
        <w:t>12</w:t>
      </w:r>
      <w:r>
        <w:rPr>
          <w:rFonts w:ascii="宋体" w:hAnsi="宋体" w:cs="宋体" w:eastAsia="宋体" w:hint="default"/>
          <w:spacing w:val="-30"/>
          <w:sz w:val="16"/>
          <w:szCs w:val="16"/>
        </w:rPr>
        <w:t> </w:t>
      </w:r>
      <w:r>
        <w:rPr>
          <w:rFonts w:ascii="宋体" w:hAnsi="宋体" w:cs="宋体" w:eastAsia="宋体" w:hint="default"/>
          <w:sz w:val="16"/>
          <w:szCs w:val="16"/>
        </w:rPr>
        <w:t>月</w:t>
      </w:r>
      <w:r>
        <w:rPr>
          <w:rFonts w:ascii="宋体" w:hAnsi="宋体" w:cs="宋体" w:eastAsia="宋体" w:hint="default"/>
          <w:spacing w:val="-29"/>
          <w:sz w:val="16"/>
          <w:szCs w:val="16"/>
        </w:rPr>
        <w:t> </w:t>
      </w:r>
      <w:r>
        <w:rPr>
          <w:rFonts w:ascii="宋体" w:hAnsi="宋体" w:cs="宋体" w:eastAsia="宋体" w:hint="default"/>
          <w:sz w:val="16"/>
          <w:szCs w:val="16"/>
        </w:rPr>
        <w:t>31</w:t>
      </w:r>
      <w:r>
        <w:rPr>
          <w:rFonts w:ascii="宋体" w:hAnsi="宋体" w:cs="宋体" w:eastAsia="宋体" w:hint="default"/>
          <w:spacing w:val="-30"/>
          <w:sz w:val="16"/>
          <w:szCs w:val="16"/>
        </w:rPr>
        <w:t> </w:t>
      </w:r>
      <w:r>
        <w:rPr>
          <w:rFonts w:ascii="宋体" w:hAnsi="宋体" w:cs="宋体" w:eastAsia="宋体" w:hint="default"/>
          <w:sz w:val="16"/>
          <w:szCs w:val="16"/>
        </w:rPr>
        <w:t>日，固定资产及在建工程的账面价</w:t>
      </w:r>
    </w:p>
    <w:p>
      <w:pPr>
        <w:spacing w:line="183" w:lineRule="exact" w:before="0"/>
        <w:ind w:left="234" w:right="140" w:firstLine="0"/>
        <w:jc w:val="left"/>
        <w:rPr>
          <w:rFonts w:ascii="宋体" w:hAnsi="宋体" w:cs="宋体" w:eastAsia="宋体" w:hint="default"/>
          <w:sz w:val="16"/>
          <w:szCs w:val="16"/>
        </w:rPr>
      </w:pPr>
      <w:r>
        <w:rPr>
          <w:rFonts w:ascii="宋体" w:hAnsi="宋体" w:cs="宋体" w:eastAsia="宋体" w:hint="default"/>
          <w:sz w:val="16"/>
          <w:szCs w:val="16"/>
        </w:rPr>
        <w:t>值合计达到人民币</w:t>
      </w:r>
      <w:r>
        <w:rPr>
          <w:rFonts w:ascii="宋体" w:hAnsi="宋体" w:cs="宋体" w:eastAsia="宋体" w:hint="default"/>
          <w:spacing w:val="-50"/>
          <w:sz w:val="16"/>
          <w:szCs w:val="16"/>
        </w:rPr>
        <w:t> </w:t>
      </w:r>
      <w:r>
        <w:rPr>
          <w:rFonts w:ascii="宋体" w:hAnsi="宋体" w:cs="宋体" w:eastAsia="宋体" w:hint="default"/>
          <w:sz w:val="16"/>
          <w:szCs w:val="16"/>
        </w:rPr>
        <w:t>3,831.82</w:t>
      </w:r>
      <w:r>
        <w:rPr>
          <w:rFonts w:ascii="宋体" w:hAnsi="宋体" w:cs="宋体" w:eastAsia="宋体" w:hint="default"/>
          <w:spacing w:val="-51"/>
          <w:sz w:val="16"/>
          <w:szCs w:val="16"/>
        </w:rPr>
        <w:t> </w:t>
      </w:r>
      <w:r>
        <w:rPr>
          <w:rFonts w:ascii="宋体" w:hAnsi="宋体" w:cs="宋体" w:eastAsia="宋体" w:hint="default"/>
          <w:sz w:val="16"/>
          <w:szCs w:val="16"/>
        </w:rPr>
        <w:t>亿元。</w:t>
      </w:r>
    </w:p>
    <w:p>
      <w:pPr>
        <w:spacing w:line="200" w:lineRule="exact" w:before="131"/>
        <w:ind w:left="234" w:right="140" w:firstLine="0"/>
        <w:jc w:val="left"/>
        <w:rPr>
          <w:rFonts w:ascii="宋体" w:hAnsi="宋体" w:cs="宋体" w:eastAsia="宋体" w:hint="default"/>
          <w:sz w:val="16"/>
          <w:szCs w:val="16"/>
        </w:rPr>
      </w:pPr>
      <w:r>
        <w:rPr>
          <w:rFonts w:ascii="宋体" w:hAnsi="宋体" w:cs="宋体" w:eastAsia="宋体" w:hint="default"/>
          <w:sz w:val="16"/>
          <w:szCs w:val="16"/>
        </w:rPr>
        <w:t>管理层对以下方面的判断，会对固定资产及在建工程的账面价值 和固定资产折旧政策造成影响，包括：</w:t>
      </w:r>
    </w:p>
    <w:p>
      <w:pPr>
        <w:spacing w:before="86"/>
        <w:ind w:left="234" w:right="140" w:firstLine="0"/>
        <w:jc w:val="left"/>
        <w:rPr>
          <w:rFonts w:ascii="宋体" w:hAnsi="宋体" w:cs="宋体" w:eastAsia="宋体" w:hint="default"/>
          <w:sz w:val="16"/>
          <w:szCs w:val="16"/>
        </w:rPr>
      </w:pPr>
      <w:r>
        <w:rPr>
          <w:rFonts w:ascii="宋体" w:hAnsi="宋体" w:cs="宋体" w:eastAsia="宋体" w:hint="default"/>
          <w:position w:val="4"/>
          <w:sz w:val="6"/>
          <w:szCs w:val="6"/>
        </w:rPr>
        <w:t>●   </w:t>
      </w:r>
      <w:r>
        <w:rPr>
          <w:rFonts w:ascii="宋体" w:hAnsi="宋体" w:cs="宋体" w:eastAsia="宋体" w:hint="default"/>
          <w:spacing w:val="16"/>
          <w:position w:val="4"/>
          <w:sz w:val="6"/>
          <w:szCs w:val="6"/>
        </w:rPr>
        <w:t> </w:t>
      </w:r>
      <w:r>
        <w:rPr>
          <w:rFonts w:ascii="宋体" w:hAnsi="宋体" w:cs="宋体" w:eastAsia="宋体" w:hint="default"/>
          <w:sz w:val="16"/>
          <w:szCs w:val="16"/>
        </w:rPr>
        <w:t>确定哪些开支符合资本化的条件；</w:t>
      </w:r>
    </w:p>
    <w:p>
      <w:pPr>
        <w:spacing w:before="104"/>
        <w:ind w:left="234" w:right="140" w:firstLine="0"/>
        <w:jc w:val="left"/>
        <w:rPr>
          <w:rFonts w:ascii="宋体" w:hAnsi="宋体" w:cs="宋体" w:eastAsia="宋体" w:hint="default"/>
          <w:sz w:val="16"/>
          <w:szCs w:val="16"/>
        </w:rPr>
      </w:pPr>
      <w:r>
        <w:rPr>
          <w:rFonts w:ascii="宋体" w:hAnsi="宋体" w:cs="宋体" w:eastAsia="宋体" w:hint="default"/>
          <w:position w:val="4"/>
          <w:sz w:val="6"/>
          <w:szCs w:val="6"/>
        </w:rPr>
        <w:t>●   </w:t>
      </w:r>
      <w:r>
        <w:rPr>
          <w:rFonts w:ascii="宋体" w:hAnsi="宋体" w:cs="宋体" w:eastAsia="宋体" w:hint="default"/>
          <w:spacing w:val="16"/>
          <w:position w:val="4"/>
          <w:sz w:val="6"/>
          <w:szCs w:val="6"/>
        </w:rPr>
        <w:t> </w:t>
      </w:r>
      <w:r>
        <w:rPr>
          <w:rFonts w:ascii="宋体" w:hAnsi="宋体" w:cs="宋体" w:eastAsia="宋体" w:hint="default"/>
          <w:sz w:val="16"/>
          <w:szCs w:val="16"/>
        </w:rPr>
        <w:t>确定在建工程转入固定资产和开始计提折旧的时点；</w:t>
      </w:r>
    </w:p>
    <w:p>
      <w:pPr>
        <w:spacing w:before="104"/>
        <w:ind w:left="234" w:right="140" w:firstLine="0"/>
        <w:jc w:val="left"/>
        <w:rPr>
          <w:rFonts w:ascii="宋体" w:hAnsi="宋体" w:cs="宋体" w:eastAsia="宋体" w:hint="default"/>
          <w:sz w:val="16"/>
          <w:szCs w:val="16"/>
        </w:rPr>
      </w:pPr>
      <w:r>
        <w:rPr>
          <w:rFonts w:ascii="宋体" w:hAnsi="宋体" w:cs="宋体" w:eastAsia="宋体" w:hint="default"/>
          <w:position w:val="4"/>
          <w:sz w:val="6"/>
          <w:szCs w:val="6"/>
        </w:rPr>
        <w:t>●   </w:t>
      </w:r>
      <w:r>
        <w:rPr>
          <w:rFonts w:ascii="宋体" w:hAnsi="宋体" w:cs="宋体" w:eastAsia="宋体" w:hint="default"/>
          <w:spacing w:val="16"/>
          <w:position w:val="4"/>
          <w:sz w:val="6"/>
          <w:szCs w:val="6"/>
        </w:rPr>
        <w:t> </w:t>
      </w:r>
      <w:r>
        <w:rPr>
          <w:rFonts w:ascii="宋体" w:hAnsi="宋体" w:cs="宋体" w:eastAsia="宋体" w:hint="default"/>
          <w:sz w:val="16"/>
          <w:szCs w:val="16"/>
        </w:rPr>
        <w:t>估计相应固定资产的经济可使用年限及残值。</w:t>
      </w:r>
    </w:p>
    <w:p>
      <w:pPr>
        <w:spacing w:line="200" w:lineRule="exact" w:before="131"/>
        <w:ind w:left="234" w:right="-20" w:firstLine="0"/>
        <w:jc w:val="left"/>
        <w:rPr>
          <w:rFonts w:ascii="宋体" w:hAnsi="宋体" w:cs="宋体" w:eastAsia="宋体" w:hint="default"/>
          <w:sz w:val="16"/>
          <w:szCs w:val="16"/>
        </w:rPr>
      </w:pPr>
      <w:r>
        <w:rPr>
          <w:rFonts w:ascii="宋体" w:hAnsi="宋体" w:cs="宋体" w:eastAsia="宋体" w:hint="default"/>
          <w:sz w:val="16"/>
          <w:szCs w:val="16"/>
        </w:rPr>
        <w:t>由于评价固定资产及在建工程的账面价值涉及重大的管理层判断， 且其对合并财务报表具有重要性，我们将贵集团固定资产及在建 工程的账面价值识别为关键审计事项。</w:t>
      </w:r>
    </w:p>
    <w:p>
      <w:pPr>
        <w:spacing w:line="200" w:lineRule="exact" w:before="78"/>
        <w:ind w:left="131" w:right="357" w:firstLine="0"/>
        <w:jc w:val="both"/>
        <w:rPr>
          <w:rFonts w:ascii="宋体" w:hAnsi="宋体" w:cs="宋体" w:eastAsia="宋体" w:hint="default"/>
          <w:sz w:val="16"/>
          <w:szCs w:val="16"/>
        </w:rPr>
      </w:pPr>
      <w:r>
        <w:rPr/>
        <w:br w:type="column"/>
      </w:r>
      <w:r>
        <w:rPr>
          <w:rFonts w:ascii="宋体" w:hAnsi="宋体" w:cs="宋体" w:eastAsia="宋体" w:hint="default"/>
          <w:sz w:val="16"/>
          <w:szCs w:val="16"/>
        </w:rPr>
        <w:t>与评价固定资产及在建工程的账面价值相关的审计程序中包括以 下程序：</w:t>
      </w:r>
    </w:p>
    <w:p>
      <w:pPr>
        <w:spacing w:line="200" w:lineRule="exact" w:before="113"/>
        <w:ind w:left="131" w:right="32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评价与固定资产及在建工程的完整性、存在性和准确性相关的</w:t>
      </w:r>
      <w:r>
        <w:rPr>
          <w:rFonts w:ascii="宋体" w:hAnsi="宋体" w:cs="宋体" w:eastAsia="宋体" w:hint="default"/>
          <w:sz w:val="16"/>
          <w:szCs w:val="16"/>
        </w:rPr>
        <w:t> 关键内部控制（包括估计经济可使用年限及残值等）的设计和运 行有效性；</w:t>
      </w:r>
    </w:p>
    <w:p>
      <w:pPr>
        <w:spacing w:line="200" w:lineRule="exact" w:before="113"/>
        <w:ind w:left="131" w:right="32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在抽样的基础上，通过将资本化开支与相关支持性文件（包括</w:t>
      </w:r>
      <w:r>
        <w:rPr>
          <w:rFonts w:ascii="宋体" w:hAnsi="宋体" w:cs="宋体" w:eastAsia="宋体" w:hint="default"/>
          <w:sz w:val="16"/>
          <w:szCs w:val="16"/>
        </w:rPr>
        <w:t> 采购协议和订单等）进行核对，检查本年度发生的资本化开支， 评价资本化开支是否符合资本化的相关条件；选取样本，通过将 贷款利率核对至贷款协议，重新计算利息资本化率，评价在建工 程中资本化利息的计算；</w:t>
      </w:r>
    </w:p>
    <w:p>
      <w:pPr>
        <w:spacing w:line="200" w:lineRule="exact" w:before="113"/>
        <w:ind w:left="131" w:right="356" w:firstLine="0"/>
        <w:jc w:val="both"/>
        <w:rPr>
          <w:rFonts w:ascii="宋体" w:hAnsi="宋体" w:cs="宋体" w:eastAsia="宋体" w:hint="default"/>
          <w:sz w:val="16"/>
          <w:szCs w:val="16"/>
        </w:rPr>
      </w:pPr>
      <w:r>
        <w:rPr>
          <w:rFonts w:ascii="宋体" w:hAnsi="宋体" w:cs="宋体" w:eastAsia="宋体" w:hint="default"/>
          <w:position w:val="4"/>
          <w:sz w:val="6"/>
          <w:szCs w:val="6"/>
        </w:rPr>
        <w:t>● </w:t>
      </w:r>
      <w:r>
        <w:rPr>
          <w:rFonts w:ascii="宋体" w:hAnsi="宋体" w:cs="宋体" w:eastAsia="宋体" w:hint="default"/>
          <w:sz w:val="16"/>
          <w:szCs w:val="16"/>
        </w:rPr>
        <w:t>在抽样的基础上，通过检查验收报告和 </w:t>
      </w:r>
      <w:r>
        <w:rPr>
          <w:rFonts w:ascii="宋体" w:hAnsi="宋体" w:cs="宋体" w:eastAsia="宋体" w:hint="default"/>
          <w:w w:val="95"/>
          <w:sz w:val="16"/>
          <w:szCs w:val="16"/>
        </w:rPr>
        <w:t>/</w:t>
      </w:r>
      <w:r>
        <w:rPr>
          <w:rFonts w:ascii="宋体" w:hAnsi="宋体" w:cs="宋体" w:eastAsia="宋体" w:hint="default"/>
          <w:spacing w:val="-61"/>
          <w:w w:val="95"/>
          <w:sz w:val="16"/>
          <w:szCs w:val="16"/>
        </w:rPr>
        <w:t> </w:t>
      </w:r>
      <w:r>
        <w:rPr>
          <w:rFonts w:ascii="宋体" w:hAnsi="宋体" w:cs="宋体" w:eastAsia="宋体" w:hint="default"/>
          <w:sz w:val="16"/>
          <w:szCs w:val="16"/>
        </w:rPr>
        <w:t>或项目进度报告，质</w:t>
      </w:r>
      <w:r>
        <w:rPr>
          <w:rFonts w:ascii="宋体" w:hAnsi="宋体" w:cs="宋体" w:eastAsia="宋体" w:hint="default"/>
          <w:sz w:val="16"/>
          <w:szCs w:val="16"/>
        </w:rPr>
        <w:t> 疑在建工程转入固定资产的时点；</w:t>
      </w:r>
    </w:p>
    <w:p>
      <w:pPr>
        <w:spacing w:line="200" w:lineRule="exact" w:before="113"/>
        <w:ind w:left="131" w:right="320" w:firstLine="0"/>
        <w:jc w:val="both"/>
        <w:rPr>
          <w:rFonts w:ascii="宋体" w:hAnsi="宋体" w:cs="宋体" w:eastAsia="宋体" w:hint="default"/>
          <w:sz w:val="16"/>
          <w:szCs w:val="16"/>
        </w:rPr>
      </w:pPr>
      <w:r>
        <w:rPr>
          <w:rFonts w:ascii="宋体" w:hAnsi="宋体" w:cs="宋体" w:eastAsia="宋体" w:hint="default"/>
          <w:position w:val="4"/>
          <w:sz w:val="6"/>
          <w:szCs w:val="6"/>
        </w:rPr>
        <w:t>●</w:t>
      </w:r>
      <w:r>
        <w:rPr>
          <w:rFonts w:ascii="宋体" w:hAnsi="宋体" w:cs="宋体" w:eastAsia="宋体" w:hint="default"/>
          <w:spacing w:val="16"/>
          <w:position w:val="4"/>
          <w:sz w:val="6"/>
          <w:szCs w:val="6"/>
        </w:rPr>
        <w:t> </w:t>
      </w:r>
      <w:r>
        <w:rPr>
          <w:rFonts w:ascii="宋体" w:hAnsi="宋体" w:cs="宋体" w:eastAsia="宋体" w:hint="default"/>
          <w:sz w:val="16"/>
          <w:szCs w:val="16"/>
        </w:rPr>
        <w:t>基于我们对电信业务及行业实务做法的了解，评价管理层对固</w:t>
      </w:r>
      <w:r>
        <w:rPr>
          <w:rFonts w:ascii="宋体" w:hAnsi="宋体" w:cs="宋体" w:eastAsia="宋体" w:hint="default"/>
          <w:sz w:val="16"/>
          <w:szCs w:val="16"/>
        </w:rPr>
        <w:t> 定资产的经济可使用年限及残值的估计。</w:t>
      </w:r>
    </w:p>
    <w:p>
      <w:pPr>
        <w:spacing w:after="0" w:line="200" w:lineRule="exact"/>
        <w:jc w:val="both"/>
        <w:rPr>
          <w:rFonts w:ascii="宋体" w:hAnsi="宋体" w:cs="宋体" w:eastAsia="宋体" w:hint="default"/>
          <w:sz w:val="16"/>
          <w:szCs w:val="16"/>
        </w:rPr>
        <w:sectPr>
          <w:type w:val="continuous"/>
          <w:pgSz w:w="11910" w:h="16160"/>
          <w:pgMar w:top="1520" w:bottom="280" w:left="680" w:right="1340"/>
          <w:cols w:num="2" w:equalWidth="0">
            <w:col w:w="4875" w:space="40"/>
            <w:col w:w="4975"/>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0"/>
        <w:jc w:val="both"/>
        <w:rPr>
          <w:rFonts w:ascii="宋体" w:hAnsi="宋体" w:cs="宋体" w:eastAsia="宋体" w:hint="default"/>
        </w:rPr>
      </w:pPr>
      <w:r>
        <w:rPr>
          <w:rFonts w:ascii="宋体" w:hAnsi="宋体" w:cs="宋体" w:eastAsia="宋体" w:hint="default"/>
          <w:color w:val="9F8958"/>
        </w:rPr>
        <w:t>四、其他信息</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4" w:right="101"/>
        <w:jc w:val="both"/>
      </w:pPr>
      <w:r>
        <w:rPr>
          <w:spacing w:val="-3"/>
        </w:rPr>
        <w:t>贵公司管理层对其他信息负责。其他信息包括贵公司</w:t>
      </w:r>
      <w:r>
        <w:rPr>
          <w:spacing w:val="-54"/>
        </w:rPr>
        <w:t> </w:t>
      </w:r>
      <w:r>
        <w:rPr/>
        <w:t>2018</w:t>
      </w:r>
      <w:r>
        <w:rPr>
          <w:spacing w:val="-54"/>
        </w:rPr>
        <w:t> </w:t>
      </w:r>
      <w:r>
        <w:rPr/>
        <w:t>年年度报告中涵盖的信息，但不包括财务报表和我们的审计报告。</w:t>
      </w:r>
      <w:r>
        <w:rPr/>
        <w:t> 我们对财务报表发表的审计意见不涵盖其他信息，我们也不对其他信息发表任何形式的鉴证结论。</w:t>
      </w:r>
    </w:p>
    <w:p>
      <w:pPr>
        <w:pStyle w:val="BodyText"/>
        <w:spacing w:line="304" w:lineRule="auto" w:before="54"/>
        <w:ind w:left="114" w:right="101"/>
        <w:jc w:val="both"/>
      </w:pPr>
      <w:r>
        <w:rPr/>
        <w:t>结合我们对财务报表的审计，我们的责任是阅读其他信息，在此过程中，考虑其他信息是否与财务报表或我们在审计过程</w:t>
      </w:r>
      <w:r>
        <w:rPr>
          <w:spacing w:val="-41"/>
        </w:rPr>
        <w:t> </w:t>
      </w:r>
      <w:r>
        <w:rPr>
          <w:spacing w:val="-41"/>
        </w:rPr>
      </w:r>
      <w:r>
        <w:rPr/>
        <w:t>中了解到的情况存在重大不一致或者似乎存在重大错报。</w:t>
      </w:r>
    </w:p>
    <w:p>
      <w:pPr>
        <w:spacing w:line="240" w:lineRule="auto" w:before="3"/>
        <w:rPr>
          <w:rFonts w:ascii="宋体" w:hAnsi="宋体" w:cs="宋体" w:eastAsia="宋体" w:hint="default"/>
          <w:sz w:val="14"/>
          <w:szCs w:val="14"/>
        </w:rPr>
      </w:pPr>
    </w:p>
    <w:p>
      <w:pPr>
        <w:pStyle w:val="BodyText"/>
        <w:spacing w:line="240" w:lineRule="auto"/>
        <w:ind w:left="114" w:right="0"/>
        <w:jc w:val="both"/>
      </w:pPr>
      <w:r>
        <w:rPr>
          <w:spacing w:val="-4"/>
        </w:rPr>
        <w:t>基于我们已执行的工作，如果我们确定其他信息存在重大错报，我们应当报告该事实。在这方面，我们无任何事项需要报告。</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2"/>
          <w:szCs w:val="12"/>
        </w:rPr>
      </w:pPr>
    </w:p>
    <w:p>
      <w:pPr>
        <w:pStyle w:val="BodyText"/>
        <w:spacing w:line="240" w:lineRule="auto"/>
        <w:ind w:left="114" w:right="0"/>
        <w:jc w:val="both"/>
        <w:rPr>
          <w:rFonts w:ascii="宋体" w:hAnsi="宋体" w:cs="宋体" w:eastAsia="宋体" w:hint="default"/>
        </w:rPr>
      </w:pPr>
      <w:r>
        <w:rPr>
          <w:rFonts w:ascii="宋体" w:hAnsi="宋体" w:cs="宋体" w:eastAsia="宋体" w:hint="default"/>
          <w:color w:val="9F8958"/>
        </w:rPr>
        <w:t>五、管理层和治理层对财务报表的责任</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304" w:lineRule="auto"/>
        <w:ind w:left="114" w:right="101"/>
        <w:jc w:val="both"/>
      </w:pPr>
      <w:r>
        <w:rPr/>
        <w:t>管理层负责按照企业会计准则的规定编制财务报表，使其实现公允反映，并设计、执行和维护必要的内部控制，以使财务</w:t>
      </w:r>
      <w:r>
        <w:rPr>
          <w:spacing w:val="-42"/>
        </w:rPr>
        <w:t> </w:t>
      </w:r>
      <w:r>
        <w:rPr>
          <w:spacing w:val="-42"/>
        </w:rPr>
      </w:r>
      <w:r>
        <w:rPr/>
        <w:t>报表不存在由于舞弊或错误导致的重大错报。</w:t>
      </w:r>
    </w:p>
    <w:p>
      <w:pPr>
        <w:spacing w:line="240" w:lineRule="auto" w:before="3"/>
        <w:rPr>
          <w:rFonts w:ascii="宋体" w:hAnsi="宋体" w:cs="宋体" w:eastAsia="宋体" w:hint="default"/>
          <w:sz w:val="14"/>
          <w:szCs w:val="14"/>
        </w:rPr>
      </w:pPr>
    </w:p>
    <w:p>
      <w:pPr>
        <w:pStyle w:val="BodyText"/>
        <w:spacing w:line="304" w:lineRule="auto"/>
        <w:ind w:left="114" w:right="101"/>
        <w:jc w:val="both"/>
      </w:pPr>
      <w:r>
        <w:rPr>
          <w:spacing w:val="-4"/>
        </w:rPr>
        <w:t>在编制财务报表时，管理层负责评估贵公司的持续经营能力，披露与持续经营相关的事项（如适用），并运用持续经营假设，</w:t>
      </w:r>
      <w:r>
        <w:rPr>
          <w:spacing w:val="-45"/>
        </w:rPr>
        <w:t> </w:t>
      </w:r>
      <w:r>
        <w:rPr>
          <w:spacing w:val="-45"/>
        </w:rPr>
      </w:r>
      <w:r>
        <w:rPr/>
        <w:t>除非贵公司计划进行清算、终止运营或别无其他现实的选择。</w:t>
      </w:r>
    </w:p>
    <w:p>
      <w:pPr>
        <w:spacing w:line="240" w:lineRule="auto" w:before="3"/>
        <w:rPr>
          <w:rFonts w:ascii="宋体" w:hAnsi="宋体" w:cs="宋体" w:eastAsia="宋体" w:hint="default"/>
          <w:sz w:val="14"/>
          <w:szCs w:val="14"/>
        </w:rPr>
      </w:pPr>
    </w:p>
    <w:p>
      <w:pPr>
        <w:pStyle w:val="BodyText"/>
        <w:spacing w:line="240" w:lineRule="auto"/>
        <w:ind w:left="114" w:right="0"/>
        <w:jc w:val="both"/>
      </w:pPr>
      <w:r>
        <w:rPr/>
        <w:t>治理层负责监督贵公司的财务报告过程。</w:t>
      </w:r>
    </w:p>
    <w:p>
      <w:pPr>
        <w:spacing w:line="240" w:lineRule="auto" w:before="0"/>
        <w:rPr>
          <w:rFonts w:ascii="宋体" w:hAnsi="宋体" w:cs="宋体" w:eastAsia="宋体" w:hint="default"/>
          <w:sz w:val="18"/>
          <w:szCs w:val="18"/>
        </w:rPr>
      </w:pPr>
    </w:p>
    <w:p>
      <w:pPr>
        <w:spacing w:line="240" w:lineRule="auto" w:before="12"/>
        <w:rPr>
          <w:rFonts w:ascii="宋体" w:hAnsi="宋体" w:cs="宋体" w:eastAsia="宋体" w:hint="default"/>
          <w:sz w:val="12"/>
          <w:szCs w:val="12"/>
        </w:rPr>
      </w:pPr>
    </w:p>
    <w:p>
      <w:pPr>
        <w:pStyle w:val="BodyText"/>
        <w:spacing w:line="240" w:lineRule="auto"/>
        <w:ind w:left="114" w:right="0"/>
        <w:jc w:val="both"/>
        <w:rPr>
          <w:rFonts w:ascii="宋体" w:hAnsi="宋体" w:cs="宋体" w:eastAsia="宋体" w:hint="default"/>
        </w:rPr>
      </w:pPr>
      <w:r>
        <w:rPr>
          <w:rFonts w:ascii="宋体" w:hAnsi="宋体" w:cs="宋体" w:eastAsia="宋体" w:hint="default"/>
          <w:color w:val="9F8958"/>
        </w:rPr>
        <w:t>六、注册会计师对财务报表审计的责任</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304" w:lineRule="auto"/>
        <w:ind w:left="114" w:right="188"/>
        <w:jc w:val="both"/>
      </w:pPr>
      <w:r>
        <w:rPr>
          <w:spacing w:val="-2"/>
        </w:rPr>
        <w:t>我们的目标是对财务报表整体是否不存在由于舞弊或错误导致的重大错报获取合理保证，并出具包含审计意见的审计报告。</w:t>
      </w:r>
      <w:r>
        <w:rPr>
          <w:spacing w:val="-65"/>
        </w:rPr>
        <w:t> </w:t>
      </w:r>
      <w:r>
        <w:rPr>
          <w:spacing w:val="-65"/>
        </w:rPr>
      </w:r>
      <w:r>
        <w:rPr/>
        <w:t>合理保证是高水平的保证，但并不能保证按照审计准则执行的审计在某一重大错报存在时总能发现。错报可能由于舞弊或</w:t>
      </w:r>
      <w:r>
        <w:rPr>
          <w:spacing w:val="-40"/>
        </w:rPr>
        <w:t> </w:t>
      </w:r>
      <w:r>
        <w:rPr>
          <w:spacing w:val="-40"/>
        </w:rPr>
      </w:r>
      <w:r>
        <w:rPr/>
        <w:t>错误导致，如果合理预期错报单独或汇总起来可能影响财务报表使用者依据财务报表作出的经济决策，则通常认为错报是</w:t>
      </w:r>
      <w:r>
        <w:rPr>
          <w:spacing w:val="-40"/>
        </w:rPr>
        <w:t> </w:t>
      </w:r>
      <w:r>
        <w:rPr>
          <w:spacing w:val="-40"/>
        </w:rPr>
      </w:r>
      <w:r>
        <w:rPr/>
        <w:t>重大的。</w:t>
      </w:r>
    </w:p>
    <w:p>
      <w:pPr>
        <w:spacing w:line="240" w:lineRule="auto" w:before="3"/>
        <w:rPr>
          <w:rFonts w:ascii="宋体" w:hAnsi="宋体" w:cs="宋体" w:eastAsia="宋体" w:hint="default"/>
          <w:sz w:val="14"/>
          <w:szCs w:val="14"/>
        </w:rPr>
      </w:pPr>
    </w:p>
    <w:p>
      <w:pPr>
        <w:pStyle w:val="BodyText"/>
        <w:spacing w:line="240" w:lineRule="auto"/>
        <w:ind w:left="114" w:right="0"/>
        <w:jc w:val="both"/>
      </w:pPr>
      <w:r>
        <w:rPr/>
        <w:t>在按照审计准则执行审计工作的过程中，我们运用职业判断，并保持职业怀疑。同时，我们也执行以下工作：</w:t>
      </w:r>
    </w:p>
    <w:p>
      <w:pPr>
        <w:spacing w:line="240" w:lineRule="auto" w:before="12"/>
        <w:rPr>
          <w:rFonts w:ascii="宋体" w:hAnsi="宋体" w:cs="宋体" w:eastAsia="宋体" w:hint="default"/>
          <w:sz w:val="17"/>
          <w:szCs w:val="17"/>
        </w:rPr>
      </w:pPr>
    </w:p>
    <w:p>
      <w:pPr>
        <w:pStyle w:val="BodyText"/>
        <w:spacing w:line="304" w:lineRule="auto"/>
        <w:ind w:left="114" w:right="187"/>
        <w:jc w:val="both"/>
      </w:pPr>
      <w:r>
        <w:rPr/>
        <w:t>（1）识别和评估由于舞弊或错误导致的财务报表重大错报风险，设计和实施审计程序以应对这些风险，并获取充分、适当</w:t>
      </w:r>
      <w:r>
        <w:rPr>
          <w:spacing w:val="-85"/>
        </w:rPr>
        <w:t> </w:t>
      </w:r>
      <w:r>
        <w:rPr>
          <w:spacing w:val="-85"/>
        </w:rPr>
      </w:r>
      <w:r>
        <w:rPr/>
        <w:t>的审计证据，作为发表审计意见的基础。由于舞弊可能涉及串通、伪造、故意遗漏、虚假陈述或凌驾于内部控制之上，未</w:t>
      </w:r>
      <w:r>
        <w:rPr>
          <w:spacing w:val="3"/>
        </w:rPr>
        <w:t> </w:t>
      </w:r>
      <w:r>
        <w:rPr>
          <w:spacing w:val="3"/>
        </w:rPr>
      </w:r>
      <w:r>
        <w:rPr/>
        <w:t>能发现由于舞弊导致的重大错报的风险高于未能发现由于错误导致的重大错报的风险。</w:t>
      </w:r>
    </w:p>
    <w:p>
      <w:pPr>
        <w:spacing w:line="240" w:lineRule="auto" w:before="3"/>
        <w:rPr>
          <w:rFonts w:ascii="宋体" w:hAnsi="宋体" w:cs="宋体" w:eastAsia="宋体" w:hint="default"/>
          <w:sz w:val="14"/>
          <w:szCs w:val="14"/>
        </w:rPr>
      </w:pPr>
    </w:p>
    <w:p>
      <w:pPr>
        <w:pStyle w:val="BodyText"/>
        <w:spacing w:line="240" w:lineRule="auto"/>
        <w:ind w:left="114" w:right="0"/>
        <w:jc w:val="both"/>
      </w:pPr>
      <w:r>
        <w:rPr/>
        <w:t>（2）了解与审计相关的内部控制，以设计恰当的审计程序。</w:t>
      </w:r>
    </w:p>
    <w:p>
      <w:pPr>
        <w:spacing w:line="240" w:lineRule="auto" w:before="12"/>
        <w:rPr>
          <w:rFonts w:ascii="宋体" w:hAnsi="宋体" w:cs="宋体" w:eastAsia="宋体" w:hint="default"/>
          <w:sz w:val="17"/>
          <w:szCs w:val="17"/>
        </w:rPr>
      </w:pPr>
    </w:p>
    <w:p>
      <w:pPr>
        <w:pStyle w:val="BodyText"/>
        <w:spacing w:line="240" w:lineRule="auto"/>
        <w:ind w:left="114" w:right="0"/>
        <w:jc w:val="both"/>
      </w:pPr>
      <w:r>
        <w:rPr/>
        <w:t>（3）评价管理层选用会计政策的恰当性和作出会计估计及相关披露的合理性。</w:t>
      </w:r>
    </w:p>
    <w:p>
      <w:pPr>
        <w:spacing w:after="0" w:line="240" w:lineRule="auto"/>
        <w:jc w:val="both"/>
        <w:sectPr>
          <w:headerReference w:type="default" r:id="rId250"/>
          <w:pgSz w:w="11910" w:h="16160"/>
          <w:pgMar w:header="0" w:footer="298" w:top="1520" w:bottom="480" w:left="1360" w:right="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0"/>
          <w:szCs w:val="20"/>
        </w:rPr>
      </w:pPr>
    </w:p>
    <w:p>
      <w:pPr>
        <w:pStyle w:val="BodyText"/>
        <w:spacing w:line="240" w:lineRule="auto" w:before="26"/>
        <w:ind w:left="113" w:right="0"/>
        <w:jc w:val="both"/>
        <w:rPr>
          <w:rFonts w:ascii="宋体" w:hAnsi="宋体" w:cs="宋体" w:eastAsia="宋体" w:hint="default"/>
        </w:rPr>
      </w:pPr>
      <w:r>
        <w:rPr>
          <w:rFonts w:ascii="宋体" w:hAnsi="宋体" w:cs="宋体" w:eastAsia="宋体" w:hint="default"/>
          <w:color w:val="9F8958"/>
        </w:rPr>
        <w:t>六、注册会计师对财务报表审计的责任（续）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304" w:lineRule="auto"/>
        <w:ind w:left="113" w:right="128"/>
        <w:jc w:val="both"/>
      </w:pPr>
      <w:r>
        <w:rPr/>
        <w:t>（4）对管理层使用持续经营假设的恰当性得出结论。同时，根据获取的审计证据，就可能导致对贵公司持续经营能力产生</w:t>
      </w:r>
      <w:r>
        <w:rPr>
          <w:spacing w:val="-85"/>
        </w:rPr>
        <w:t> </w:t>
      </w:r>
      <w:r>
        <w:rPr>
          <w:spacing w:val="-85"/>
        </w:rPr>
      </w:r>
      <w:r>
        <w:rPr/>
        <w:t>重大疑虑的事项或情况是否存在重大不确定性得出结论。如果我们得出结论认为存在重大不确定性，审计准则要求我们在</w:t>
      </w:r>
      <w:r>
        <w:rPr>
          <w:spacing w:val="-40"/>
        </w:rPr>
        <w:t> </w:t>
      </w:r>
      <w:r>
        <w:rPr>
          <w:spacing w:val="-40"/>
        </w:rPr>
      </w:r>
      <w:r>
        <w:rPr/>
        <w:t>审计报告中提请报表使用者注意财务报表中的相关披露；如果披露不充分，我们应当发表非无保留意见。我们的结论基于</w:t>
      </w:r>
      <w:r>
        <w:rPr>
          <w:spacing w:val="-41"/>
        </w:rPr>
        <w:t> </w:t>
      </w:r>
      <w:r>
        <w:rPr>
          <w:spacing w:val="-41"/>
        </w:rPr>
      </w:r>
      <w:r>
        <w:rPr/>
        <w:t>截至审计报告日可获得的信息。然而，未来的事项或情况可能导致贵公司不能持续经营。</w:t>
      </w:r>
    </w:p>
    <w:p>
      <w:pPr>
        <w:spacing w:line="240" w:lineRule="auto" w:before="3"/>
        <w:rPr>
          <w:rFonts w:ascii="宋体" w:hAnsi="宋体" w:cs="宋体" w:eastAsia="宋体" w:hint="default"/>
          <w:sz w:val="14"/>
          <w:szCs w:val="14"/>
        </w:rPr>
      </w:pPr>
    </w:p>
    <w:p>
      <w:pPr>
        <w:pStyle w:val="BodyText"/>
        <w:spacing w:line="240" w:lineRule="auto"/>
        <w:ind w:left="113" w:right="0"/>
        <w:jc w:val="both"/>
      </w:pPr>
      <w:r>
        <w:rPr/>
        <w:t>（5）评价财务报表的总体列报、结构和内容（包括披露），并评价财务报表是否公允反映相关交易和事项。</w:t>
      </w:r>
    </w:p>
    <w:p>
      <w:pPr>
        <w:spacing w:line="240" w:lineRule="auto" w:before="12"/>
        <w:rPr>
          <w:rFonts w:ascii="宋体" w:hAnsi="宋体" w:cs="宋体" w:eastAsia="宋体" w:hint="default"/>
          <w:sz w:val="17"/>
          <w:szCs w:val="17"/>
        </w:rPr>
      </w:pPr>
    </w:p>
    <w:p>
      <w:pPr>
        <w:pStyle w:val="BodyText"/>
        <w:spacing w:line="304" w:lineRule="auto"/>
        <w:ind w:left="113" w:right="128"/>
        <w:jc w:val="both"/>
      </w:pPr>
      <w:r>
        <w:rPr/>
        <w:t>（6）就集团中实体或业务活动的财务信息获取充分、适当的审计证据，以对财务报表发表审计意见。我们负责指导、监督</w:t>
      </w:r>
      <w:r>
        <w:rPr>
          <w:spacing w:val="-86"/>
        </w:rPr>
        <w:t> </w:t>
      </w:r>
      <w:r>
        <w:rPr>
          <w:spacing w:val="-86"/>
        </w:rPr>
      </w:r>
      <w:r>
        <w:rPr/>
        <w:t>和执行集团审计，并对审计意见承担全部责任。</w:t>
      </w:r>
    </w:p>
    <w:p>
      <w:pPr>
        <w:spacing w:line="240" w:lineRule="auto" w:before="3"/>
        <w:rPr>
          <w:rFonts w:ascii="宋体" w:hAnsi="宋体" w:cs="宋体" w:eastAsia="宋体" w:hint="default"/>
          <w:sz w:val="14"/>
          <w:szCs w:val="14"/>
        </w:rPr>
      </w:pPr>
    </w:p>
    <w:p>
      <w:pPr>
        <w:pStyle w:val="BodyText"/>
        <w:spacing w:line="304" w:lineRule="auto"/>
        <w:ind w:left="113" w:right="126"/>
        <w:jc w:val="both"/>
      </w:pPr>
      <w:r>
        <w:rPr/>
        <w:t>我们与治理层就计划的审计范围、时间安排和重大审计发现等事项进行沟通，包括沟通我们在审计中识别出的值得关注的</w:t>
      </w:r>
      <w:r>
        <w:rPr>
          <w:spacing w:val="-40"/>
        </w:rPr>
        <w:t> </w:t>
      </w:r>
      <w:r>
        <w:rPr>
          <w:spacing w:val="-40"/>
        </w:rPr>
      </w:r>
      <w:r>
        <w:rPr/>
        <w:t>内部控制缺陷。</w:t>
      </w:r>
    </w:p>
    <w:p>
      <w:pPr>
        <w:spacing w:line="240" w:lineRule="auto" w:before="3"/>
        <w:rPr>
          <w:rFonts w:ascii="宋体" w:hAnsi="宋体" w:cs="宋体" w:eastAsia="宋体" w:hint="default"/>
          <w:sz w:val="14"/>
          <w:szCs w:val="14"/>
        </w:rPr>
      </w:pPr>
    </w:p>
    <w:p>
      <w:pPr>
        <w:pStyle w:val="BodyText"/>
        <w:spacing w:line="304" w:lineRule="auto"/>
        <w:ind w:left="113" w:right="126"/>
        <w:jc w:val="both"/>
      </w:pPr>
      <w:r>
        <w:rPr/>
        <w:t>我们还就已遵守与独立性相关的职业道德要求向治理层提供声明，并与治理层沟通可能被合理认为影响我们独立性的所有</w:t>
      </w:r>
      <w:r>
        <w:rPr>
          <w:spacing w:val="-39"/>
        </w:rPr>
        <w:t> </w:t>
      </w:r>
      <w:r>
        <w:rPr>
          <w:spacing w:val="-39"/>
        </w:rPr>
      </w:r>
      <w:r>
        <w:rPr/>
        <w:t>关系和其他事项，以及相关的防范措施（如适用）。</w:t>
      </w:r>
    </w:p>
    <w:p>
      <w:pPr>
        <w:spacing w:line="240" w:lineRule="auto" w:before="3"/>
        <w:rPr>
          <w:rFonts w:ascii="宋体" w:hAnsi="宋体" w:cs="宋体" w:eastAsia="宋体" w:hint="default"/>
          <w:sz w:val="14"/>
          <w:szCs w:val="14"/>
        </w:rPr>
      </w:pPr>
    </w:p>
    <w:p>
      <w:pPr>
        <w:pStyle w:val="BodyText"/>
        <w:spacing w:line="304" w:lineRule="auto"/>
        <w:ind w:left="113" w:right="130"/>
        <w:jc w:val="both"/>
      </w:pPr>
      <w:r>
        <w:rPr/>
        <w:t>从与治理层沟通过的事项中，我们确定哪些事项对本期财务报表审计最为重要，因而构成关键审计事项。我们在审计报告</w:t>
      </w:r>
      <w:r>
        <w:rPr>
          <w:spacing w:val="-41"/>
        </w:rPr>
        <w:t> </w:t>
      </w:r>
      <w:r>
        <w:rPr>
          <w:spacing w:val="-41"/>
        </w:rPr>
      </w:r>
      <w:r>
        <w:rPr/>
        <w:t>中描述这些事项，除非法律法规禁止公开披露这些事项，或在极少数情形下，如果合理预期在审计报告中沟通某事项造成</w:t>
      </w:r>
      <w:r>
        <w:rPr>
          <w:spacing w:val="-41"/>
        </w:rPr>
        <w:t> </w:t>
      </w:r>
      <w:r>
        <w:rPr>
          <w:spacing w:val="-41"/>
        </w:rPr>
      </w:r>
      <w:r>
        <w:rPr/>
        <w:t>的负面后果超过在公众利益方面产生的益处，我们确定不应在审计报告中沟通该事项。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14"/>
          <w:szCs w:val="14"/>
        </w:rPr>
      </w:pPr>
    </w:p>
    <w:p>
      <w:pPr>
        <w:pStyle w:val="BodyText"/>
        <w:tabs>
          <w:tab w:pos="4433" w:val="left" w:leader="none"/>
        </w:tabs>
        <w:spacing w:line="480" w:lineRule="auto"/>
        <w:ind w:left="453" w:right="4189"/>
        <w:jc w:val="left"/>
      </w:pPr>
      <w:r>
        <w:rPr/>
        <w:t>毕马威华振会计师事务所</w:t>
        <w:tab/>
        <w:t>中国注册会计师 </w:t>
      </w:r>
      <w:r>
        <w:rPr>
          <w:w w:val="95"/>
        </w:rPr>
        <w:t>(</w:t>
      </w:r>
      <w:r>
        <w:rPr>
          <w:spacing w:val="-50"/>
          <w:w w:val="95"/>
        </w:rPr>
        <w:t> </w:t>
      </w:r>
      <w:r>
        <w:rPr>
          <w:w w:val="95"/>
        </w:rPr>
        <w:t>特殊普通合伙</w:t>
      </w:r>
      <w:r>
        <w:rPr>
          <w:spacing w:val="-50"/>
          <w:w w:val="95"/>
        </w:rPr>
        <w:t> </w:t>
      </w:r>
      <w:r>
        <w:rPr>
          <w:w w:val="95"/>
        </w:rPr>
        <w:t>)</w:t>
      </w:r>
      <w:r>
        <w:rPr/>
      </w:r>
    </w:p>
    <w:p>
      <w:pPr>
        <w:spacing w:line="240" w:lineRule="auto" w:before="0"/>
        <w:rPr>
          <w:rFonts w:ascii="宋体" w:hAnsi="宋体" w:cs="宋体" w:eastAsia="宋体" w:hint="default"/>
          <w:sz w:val="18"/>
          <w:szCs w:val="18"/>
        </w:rPr>
      </w:pPr>
    </w:p>
    <w:p>
      <w:pPr>
        <w:spacing w:line="240" w:lineRule="auto" w:before="1"/>
        <w:rPr>
          <w:rFonts w:ascii="宋体" w:hAnsi="宋体" w:cs="宋体" w:eastAsia="宋体" w:hint="default"/>
          <w:sz w:val="22"/>
          <w:szCs w:val="22"/>
        </w:rPr>
      </w:pPr>
    </w:p>
    <w:p>
      <w:pPr>
        <w:pStyle w:val="BodyText"/>
        <w:spacing w:line="480" w:lineRule="auto"/>
        <w:ind w:left="4433" w:right="4532"/>
        <w:jc w:val="left"/>
      </w:pPr>
      <w:r>
        <w:rPr/>
        <w:t>罗科 项目合伙人</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22"/>
          <w:szCs w:val="22"/>
        </w:rPr>
      </w:pPr>
    </w:p>
    <w:p>
      <w:pPr>
        <w:pStyle w:val="BodyText"/>
        <w:tabs>
          <w:tab w:pos="4433" w:val="left" w:leader="none"/>
        </w:tabs>
        <w:spacing w:line="240" w:lineRule="auto"/>
        <w:ind w:left="453" w:right="125"/>
        <w:jc w:val="left"/>
      </w:pPr>
      <w:r>
        <w:rPr/>
        <w:t>中国</w:t>
      </w:r>
      <w:r>
        <w:rPr>
          <w:spacing w:val="-41"/>
        </w:rPr>
        <w:t> </w:t>
      </w:r>
      <w:r>
        <w:rPr/>
        <w:t>北京</w:t>
        <w:tab/>
        <w:t>谭亚红</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spacing w:line="240" w:lineRule="auto"/>
        <w:ind w:left="4353" w:right="3863"/>
        <w:jc w:val="center"/>
      </w:pPr>
      <w:r>
        <w:rPr>
          <w:spacing w:val="18"/>
          <w:w w:val="105"/>
        </w:rPr>
        <w:t>2019年3月</w:t>
      </w:r>
      <w:r>
        <w:rPr>
          <w:spacing w:val="-31"/>
          <w:w w:val="105"/>
        </w:rPr>
        <w:t> </w:t>
      </w:r>
      <w:r>
        <w:rPr>
          <w:spacing w:val="14"/>
          <w:w w:val="105"/>
        </w:rPr>
        <w:t>13日</w:t>
      </w:r>
      <w:r>
        <w:rPr>
          <w:spacing w:val="-45"/>
        </w:rPr>
        <w:t> </w:t>
      </w:r>
      <w:r>
        <w:rPr/>
      </w:r>
    </w:p>
    <w:p>
      <w:pPr>
        <w:spacing w:after="0" w:line="240" w:lineRule="auto"/>
        <w:jc w:val="center"/>
        <w:sectPr>
          <w:headerReference w:type="even" r:id="rId251"/>
          <w:footerReference w:type="even" r:id="rId252"/>
          <w:footerReference w:type="default" r:id="rId253"/>
          <w:pgSz w:w="11910" w:h="16160"/>
          <w:pgMar w:header="1200" w:footer="321" w:top="1620" w:bottom="520" w:left="680" w:right="1340"/>
          <w:pgNumType w:start="86"/>
        </w:sectPr>
      </w:pPr>
    </w:p>
    <w:p>
      <w:pPr>
        <w:pStyle w:val="Heading3"/>
        <w:spacing w:line="487" w:lineRule="exact"/>
        <w:ind w:left="134" w:right="125"/>
        <w:jc w:val="left"/>
        <w:rPr>
          <w:rFonts w:ascii="宋体" w:hAnsi="宋体" w:cs="宋体" w:eastAsia="宋体" w:hint="default"/>
        </w:rPr>
      </w:pPr>
      <w:r>
        <w:rPr>
          <w:rFonts w:ascii="宋体" w:hAnsi="宋体" w:cs="宋体" w:eastAsia="宋体" w:hint="default"/>
          <w:color w:val="9F8958"/>
        </w:rPr>
        <w:t>合并资产负债表</w:t>
      </w:r>
      <w:r>
        <w:rPr>
          <w:rFonts w:ascii="宋体" w:hAnsi="宋体" w:cs="宋体" w:eastAsia="宋体" w:hint="default"/>
        </w:rPr>
      </w:r>
    </w:p>
    <w:p>
      <w:pPr>
        <w:spacing w:line="201" w:lineRule="exact" w:before="103"/>
        <w:ind w:left="134" w:right="125" w:firstLine="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4"/>
          <w:w w:val="105"/>
          <w:sz w:val="16"/>
          <w:szCs w:val="16"/>
        </w:rPr>
        <w:t> </w:t>
      </w:r>
      <w:r>
        <w:rPr>
          <w:rFonts w:ascii="宋体" w:hAnsi="宋体" w:cs="宋体" w:eastAsia="宋体" w:hint="default"/>
          <w:w w:val="105"/>
          <w:sz w:val="16"/>
          <w:szCs w:val="16"/>
        </w:rPr>
        <w:t>年</w:t>
      </w:r>
      <w:r>
        <w:rPr>
          <w:rFonts w:ascii="宋体" w:hAnsi="宋体" w:cs="宋体" w:eastAsia="宋体" w:hint="default"/>
          <w:spacing w:val="-53"/>
          <w:w w:val="105"/>
          <w:sz w:val="16"/>
          <w:szCs w:val="16"/>
        </w:rPr>
        <w:t> </w:t>
      </w:r>
      <w:r>
        <w:rPr>
          <w:rFonts w:ascii="宋体" w:hAnsi="宋体" w:cs="宋体" w:eastAsia="宋体" w:hint="default"/>
          <w:w w:val="105"/>
          <w:sz w:val="16"/>
          <w:szCs w:val="16"/>
        </w:rPr>
        <w:t>12</w:t>
      </w:r>
      <w:r>
        <w:rPr>
          <w:rFonts w:ascii="宋体" w:hAnsi="宋体" w:cs="宋体" w:eastAsia="宋体" w:hint="default"/>
          <w:spacing w:val="-54"/>
          <w:w w:val="105"/>
          <w:sz w:val="16"/>
          <w:szCs w:val="16"/>
        </w:rPr>
        <w:t> </w:t>
      </w:r>
      <w:r>
        <w:rPr>
          <w:rFonts w:ascii="宋体" w:hAnsi="宋体" w:cs="宋体" w:eastAsia="宋体" w:hint="default"/>
          <w:w w:val="105"/>
          <w:sz w:val="16"/>
          <w:szCs w:val="16"/>
        </w:rPr>
        <w:t>月</w:t>
      </w:r>
      <w:r>
        <w:rPr>
          <w:rFonts w:ascii="宋体" w:hAnsi="宋体" w:cs="宋体" w:eastAsia="宋体" w:hint="default"/>
          <w:spacing w:val="-53"/>
          <w:w w:val="105"/>
          <w:sz w:val="16"/>
          <w:szCs w:val="16"/>
        </w:rPr>
        <w:t> </w:t>
      </w:r>
      <w:r>
        <w:rPr>
          <w:rFonts w:ascii="宋体" w:hAnsi="宋体" w:cs="宋体" w:eastAsia="宋体" w:hint="default"/>
          <w:w w:val="105"/>
          <w:sz w:val="16"/>
          <w:szCs w:val="16"/>
        </w:rPr>
        <w:t>31</w:t>
      </w:r>
      <w:r>
        <w:rPr>
          <w:rFonts w:ascii="宋体" w:hAnsi="宋体" w:cs="宋体" w:eastAsia="宋体" w:hint="default"/>
          <w:spacing w:val="-54"/>
          <w:w w:val="105"/>
          <w:sz w:val="16"/>
          <w:szCs w:val="16"/>
        </w:rPr>
        <w:t> </w:t>
      </w:r>
      <w:r>
        <w:rPr>
          <w:rFonts w:ascii="宋体" w:hAnsi="宋体" w:cs="宋体" w:eastAsia="宋体" w:hint="default"/>
          <w:w w:val="105"/>
          <w:sz w:val="16"/>
          <w:szCs w:val="16"/>
        </w:rPr>
        <w:t>日合并资产负债表</w:t>
      </w:r>
    </w:p>
    <w:p>
      <w:pPr>
        <w:spacing w:line="201" w:lineRule="exact" w:before="0"/>
        <w:ind w:left="134" w:right="125"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969"/>
        <w:gridCol w:w="1198"/>
        <w:gridCol w:w="1814"/>
        <w:gridCol w:w="2024"/>
        <w:gridCol w:w="1604"/>
      </w:tblGrid>
      <w:tr>
        <w:trPr>
          <w:trHeight w:val="559" w:hRule="exact"/>
        </w:trPr>
        <w:tc>
          <w:tcPr>
            <w:tcW w:w="2969"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资产</w:t>
            </w:r>
          </w:p>
        </w:tc>
        <w:tc>
          <w:tcPr>
            <w:tcW w:w="1198"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343" w:right="0"/>
              <w:jc w:val="left"/>
              <w:rPr>
                <w:rFonts w:ascii="宋体" w:hAnsi="宋体" w:cs="宋体" w:eastAsia="宋体" w:hint="default"/>
                <w:sz w:val="16"/>
                <w:szCs w:val="16"/>
              </w:rPr>
            </w:pPr>
            <w:r>
              <w:rPr>
                <w:rFonts w:ascii="宋体" w:hAnsi="宋体" w:cs="宋体" w:eastAsia="宋体" w:hint="default"/>
                <w:sz w:val="16"/>
                <w:szCs w:val="16"/>
              </w:rPr>
              <w:t>附注</w:t>
            </w:r>
          </w:p>
        </w:tc>
        <w:tc>
          <w:tcPr>
            <w:tcW w:w="181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16"/>
              <w:ind w:right="82"/>
              <w:jc w:val="right"/>
              <w:rPr>
                <w:rFonts w:ascii="宋体" w:hAnsi="宋体" w:cs="宋体" w:eastAsia="宋体" w:hint="default"/>
                <w:sz w:val="16"/>
                <w:szCs w:val="16"/>
              </w:rPr>
            </w:pPr>
            <w:r>
              <w:rPr>
                <w:rFonts w:ascii="宋体" w:hAnsi="宋体" w:cs="宋体" w:eastAsia="宋体" w:hint="default"/>
                <w:spacing w:val="-6"/>
                <w:w w:val="110"/>
                <w:sz w:val="16"/>
                <w:szCs w:val="16"/>
              </w:rPr>
              <w:t>2018</w:t>
            </w:r>
            <w:r>
              <w:rPr>
                <w:rFonts w:ascii="宋体" w:hAnsi="宋体" w:cs="宋体" w:eastAsia="宋体" w:hint="default"/>
                <w:spacing w:val="-63"/>
                <w:w w:val="110"/>
                <w:sz w:val="16"/>
                <w:szCs w:val="16"/>
              </w:rPr>
              <w:t> </w:t>
            </w:r>
            <w:r>
              <w:rPr>
                <w:rFonts w:ascii="宋体" w:hAnsi="宋体" w:cs="宋体" w:eastAsia="宋体" w:hint="default"/>
                <w:w w:val="110"/>
                <w:sz w:val="16"/>
                <w:szCs w:val="16"/>
              </w:rPr>
              <w:t>年</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12</w:t>
            </w:r>
            <w:r>
              <w:rPr>
                <w:rFonts w:ascii="宋体" w:hAnsi="宋体" w:cs="宋体" w:eastAsia="宋体" w:hint="default"/>
                <w:spacing w:val="-63"/>
                <w:w w:val="110"/>
                <w:sz w:val="16"/>
                <w:szCs w:val="16"/>
              </w:rPr>
              <w:t> </w:t>
            </w:r>
            <w:r>
              <w:rPr>
                <w:rFonts w:ascii="宋体" w:hAnsi="宋体" w:cs="宋体" w:eastAsia="宋体" w:hint="default"/>
                <w:w w:val="110"/>
                <w:sz w:val="16"/>
                <w:szCs w:val="16"/>
              </w:rPr>
              <w:t>月</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31</w:t>
            </w:r>
            <w:r>
              <w:rPr>
                <w:rFonts w:ascii="宋体" w:hAnsi="宋体" w:cs="宋体" w:eastAsia="宋体" w:hint="default"/>
                <w:spacing w:val="-63"/>
                <w:w w:val="110"/>
                <w:sz w:val="16"/>
                <w:szCs w:val="16"/>
              </w:rPr>
              <w:t> </w:t>
            </w:r>
            <w:r>
              <w:rPr>
                <w:rFonts w:ascii="宋体" w:hAnsi="宋体" w:cs="宋体" w:eastAsia="宋体" w:hint="default"/>
                <w:w w:val="110"/>
                <w:sz w:val="16"/>
                <w:szCs w:val="16"/>
              </w:rPr>
              <w:t>日</w:t>
            </w:r>
          </w:p>
          <w:p>
            <w:pPr>
              <w:pStyle w:val="TableParagraph"/>
              <w:spacing w:line="205" w:lineRule="exact"/>
              <w:ind w:right="89"/>
              <w:jc w:val="right"/>
              <w:rPr>
                <w:rFonts w:ascii="宋体" w:hAnsi="宋体" w:cs="宋体" w:eastAsia="宋体" w:hint="default"/>
                <w:sz w:val="16"/>
                <w:szCs w:val="16"/>
              </w:rPr>
            </w:pPr>
            <w:r>
              <w:rPr>
                <w:rFonts w:ascii="宋体" w:hAnsi="宋体" w:cs="宋体" w:eastAsia="宋体" w:hint="default"/>
                <w:spacing w:val="-7"/>
                <w:w w:val="95"/>
                <w:sz w:val="16"/>
                <w:szCs w:val="16"/>
              </w:rPr>
              <w:t>合并</w:t>
            </w:r>
            <w:r>
              <w:rPr>
                <w:rFonts w:ascii="宋体" w:hAnsi="宋体" w:cs="宋体" w:eastAsia="宋体" w:hint="default"/>
                <w:w w:val="95"/>
                <w:sz w:val="16"/>
                <w:szCs w:val="16"/>
              </w:rPr>
            </w:r>
          </w:p>
        </w:tc>
        <w:tc>
          <w:tcPr>
            <w:tcW w:w="2024" w:type="dxa"/>
            <w:tcBorders>
              <w:top w:val="nil" w:sz="6" w:space="0" w:color="auto"/>
              <w:left w:val="nil" w:sz="6" w:space="0" w:color="auto"/>
              <w:bottom w:val="single" w:sz="16" w:space="0" w:color="9F8958"/>
              <w:right w:val="nil" w:sz="6" w:space="0" w:color="auto"/>
            </w:tcBorders>
          </w:tcPr>
          <w:p>
            <w:pPr>
              <w:pStyle w:val="TableParagraph"/>
              <w:spacing w:line="205" w:lineRule="exact" w:before="16"/>
              <w:ind w:right="292"/>
              <w:jc w:val="right"/>
              <w:rPr>
                <w:rFonts w:ascii="宋体" w:hAnsi="宋体" w:cs="宋体" w:eastAsia="宋体" w:hint="default"/>
                <w:sz w:val="16"/>
                <w:szCs w:val="16"/>
              </w:rPr>
            </w:pPr>
            <w:r>
              <w:rPr>
                <w:rFonts w:ascii="宋体" w:hAnsi="宋体" w:cs="宋体" w:eastAsia="宋体" w:hint="default"/>
                <w:spacing w:val="-6"/>
                <w:w w:val="110"/>
                <w:sz w:val="16"/>
                <w:szCs w:val="16"/>
              </w:rPr>
              <w:t>2017</w:t>
            </w:r>
            <w:r>
              <w:rPr>
                <w:rFonts w:ascii="宋体" w:hAnsi="宋体" w:cs="宋体" w:eastAsia="宋体" w:hint="default"/>
                <w:spacing w:val="-63"/>
                <w:w w:val="110"/>
                <w:sz w:val="16"/>
                <w:szCs w:val="16"/>
              </w:rPr>
              <w:t> </w:t>
            </w:r>
            <w:r>
              <w:rPr>
                <w:rFonts w:ascii="宋体" w:hAnsi="宋体" w:cs="宋体" w:eastAsia="宋体" w:hint="default"/>
                <w:w w:val="110"/>
                <w:sz w:val="16"/>
                <w:szCs w:val="16"/>
              </w:rPr>
              <w:t>年</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12</w:t>
            </w:r>
            <w:r>
              <w:rPr>
                <w:rFonts w:ascii="宋体" w:hAnsi="宋体" w:cs="宋体" w:eastAsia="宋体" w:hint="default"/>
                <w:spacing w:val="-63"/>
                <w:w w:val="110"/>
                <w:sz w:val="16"/>
                <w:szCs w:val="16"/>
              </w:rPr>
              <w:t> </w:t>
            </w:r>
            <w:r>
              <w:rPr>
                <w:rFonts w:ascii="宋体" w:hAnsi="宋体" w:cs="宋体" w:eastAsia="宋体" w:hint="default"/>
                <w:w w:val="110"/>
                <w:sz w:val="16"/>
                <w:szCs w:val="16"/>
              </w:rPr>
              <w:t>月</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31</w:t>
            </w:r>
            <w:r>
              <w:rPr>
                <w:rFonts w:ascii="宋体" w:hAnsi="宋体" w:cs="宋体" w:eastAsia="宋体" w:hint="default"/>
                <w:spacing w:val="-63"/>
                <w:w w:val="110"/>
                <w:sz w:val="16"/>
                <w:szCs w:val="16"/>
              </w:rPr>
              <w:t> </w:t>
            </w:r>
            <w:r>
              <w:rPr>
                <w:rFonts w:ascii="宋体" w:hAnsi="宋体" w:cs="宋体" w:eastAsia="宋体" w:hint="default"/>
                <w:w w:val="110"/>
                <w:sz w:val="16"/>
                <w:szCs w:val="16"/>
              </w:rPr>
              <w:t>日</w:t>
            </w:r>
          </w:p>
          <w:p>
            <w:pPr>
              <w:pStyle w:val="TableParagraph"/>
              <w:spacing w:line="205" w:lineRule="exact"/>
              <w:ind w:right="299"/>
              <w:jc w:val="right"/>
              <w:rPr>
                <w:rFonts w:ascii="宋体" w:hAnsi="宋体" w:cs="宋体" w:eastAsia="宋体" w:hint="default"/>
                <w:sz w:val="16"/>
                <w:szCs w:val="16"/>
              </w:rPr>
            </w:pPr>
            <w:r>
              <w:rPr>
                <w:rFonts w:ascii="宋体" w:hAnsi="宋体" w:cs="宋体" w:eastAsia="宋体" w:hint="default"/>
                <w:spacing w:val="-7"/>
                <w:w w:val="95"/>
                <w:sz w:val="16"/>
                <w:szCs w:val="16"/>
              </w:rPr>
              <w:t>合并</w:t>
            </w:r>
            <w:r>
              <w:rPr>
                <w:rFonts w:ascii="宋体" w:hAnsi="宋体" w:cs="宋体" w:eastAsia="宋体" w:hint="default"/>
                <w:w w:val="95"/>
                <w:sz w:val="16"/>
                <w:szCs w:val="16"/>
              </w:rPr>
            </w:r>
          </w:p>
        </w:tc>
        <w:tc>
          <w:tcPr>
            <w:tcW w:w="1604" w:type="dxa"/>
            <w:tcBorders>
              <w:top w:val="nil" w:sz="6" w:space="0" w:color="auto"/>
              <w:left w:val="nil" w:sz="6" w:space="0" w:color="auto"/>
              <w:bottom w:val="single" w:sz="16" w:space="0" w:color="9F8958"/>
              <w:right w:val="nil" w:sz="6" w:space="0" w:color="auto"/>
            </w:tcBorders>
          </w:tcPr>
          <w:p>
            <w:pPr>
              <w:pStyle w:val="TableParagraph"/>
              <w:spacing w:line="205" w:lineRule="exact" w:before="16"/>
              <w:ind w:right="49"/>
              <w:jc w:val="right"/>
              <w:rPr>
                <w:rFonts w:ascii="宋体" w:hAnsi="宋体" w:cs="宋体" w:eastAsia="宋体" w:hint="default"/>
                <w:sz w:val="16"/>
                <w:szCs w:val="16"/>
              </w:rPr>
            </w:pPr>
            <w:r>
              <w:rPr>
                <w:rFonts w:ascii="宋体" w:hAnsi="宋体" w:cs="宋体" w:eastAsia="宋体" w:hint="default"/>
                <w:spacing w:val="14"/>
                <w:w w:val="105"/>
                <w:sz w:val="16"/>
                <w:szCs w:val="16"/>
              </w:rPr>
              <w:t>2017年1月1日</w:t>
            </w:r>
            <w:r>
              <w:rPr>
                <w:rFonts w:ascii="宋体" w:hAnsi="宋体" w:cs="宋体" w:eastAsia="宋体" w:hint="default"/>
                <w:spacing w:val="-47"/>
                <w:sz w:val="16"/>
                <w:szCs w:val="16"/>
              </w:rPr>
              <w:t> </w:t>
            </w:r>
            <w:r>
              <w:rPr>
                <w:rFonts w:ascii="宋体" w:hAnsi="宋体" w:cs="宋体" w:eastAsia="宋体" w:hint="default"/>
                <w:sz w:val="16"/>
                <w:szCs w:val="16"/>
              </w:rPr>
            </w:r>
          </w:p>
          <w:p>
            <w:pPr>
              <w:pStyle w:val="TableParagraph"/>
              <w:spacing w:line="205" w:lineRule="exact"/>
              <w:ind w:right="89"/>
              <w:jc w:val="right"/>
              <w:rPr>
                <w:rFonts w:ascii="宋体" w:hAnsi="宋体" w:cs="宋体" w:eastAsia="宋体" w:hint="default"/>
                <w:sz w:val="16"/>
                <w:szCs w:val="16"/>
              </w:rPr>
            </w:pPr>
            <w:r>
              <w:rPr>
                <w:rFonts w:ascii="宋体" w:hAnsi="宋体" w:cs="宋体" w:eastAsia="宋体" w:hint="default"/>
                <w:spacing w:val="-7"/>
                <w:w w:val="95"/>
                <w:sz w:val="16"/>
                <w:szCs w:val="16"/>
              </w:rPr>
              <w:t>合并</w:t>
            </w:r>
            <w:r>
              <w:rPr>
                <w:rFonts w:ascii="宋体" w:hAnsi="宋体" w:cs="宋体" w:eastAsia="宋体" w:hint="default"/>
                <w:w w:val="95"/>
                <w:sz w:val="16"/>
                <w:szCs w:val="16"/>
              </w:rPr>
            </w:r>
          </w:p>
        </w:tc>
      </w:tr>
      <w:tr>
        <w:trPr>
          <w:trHeight w:val="401" w:hRule="exact"/>
        </w:trPr>
        <w:tc>
          <w:tcPr>
            <w:tcW w:w="2969"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left="85"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1198" w:type="dxa"/>
            <w:tcBorders>
              <w:top w:val="single" w:sz="16" w:space="0" w:color="9F8958"/>
              <w:left w:val="nil" w:sz="6" w:space="0" w:color="auto"/>
              <w:bottom w:val="nil" w:sz="6" w:space="0" w:color="auto"/>
              <w:right w:val="nil" w:sz="6" w:space="0" w:color="auto"/>
            </w:tcBorders>
          </w:tcPr>
          <w:p>
            <w:pPr/>
          </w:p>
        </w:tc>
        <w:tc>
          <w:tcPr>
            <w:tcW w:w="1814" w:type="dxa"/>
            <w:tcBorders>
              <w:top w:val="single" w:sz="16" w:space="0" w:color="9F8958"/>
              <w:left w:val="nil" w:sz="6" w:space="0" w:color="auto"/>
              <w:bottom w:val="nil" w:sz="6" w:space="0" w:color="auto"/>
              <w:right w:val="nil" w:sz="6" w:space="0" w:color="auto"/>
            </w:tcBorders>
            <w:shd w:val="clear" w:color="auto" w:fill="ECE7DD"/>
          </w:tcPr>
          <w:p>
            <w:pPr/>
          </w:p>
        </w:tc>
        <w:tc>
          <w:tcPr>
            <w:tcW w:w="2024" w:type="dxa"/>
            <w:tcBorders>
              <w:top w:val="single" w:sz="16" w:space="0" w:color="9F8958"/>
              <w:left w:val="nil" w:sz="6" w:space="0" w:color="auto"/>
              <w:bottom w:val="nil" w:sz="6" w:space="0" w:color="auto"/>
              <w:right w:val="nil" w:sz="6" w:space="0" w:color="auto"/>
            </w:tcBorders>
          </w:tcPr>
          <w:p>
            <w:pPr/>
          </w:p>
        </w:tc>
        <w:tc>
          <w:tcPr>
            <w:tcW w:w="1604" w:type="dxa"/>
            <w:tcBorders>
              <w:top w:val="single" w:sz="16" w:space="0" w:color="9F8958"/>
              <w:left w:val="nil" w:sz="6" w:space="0" w:color="auto"/>
              <w:bottom w:val="nil" w:sz="6" w:space="0" w:color="auto"/>
              <w:right w:val="nil" w:sz="6" w:space="0" w:color="auto"/>
            </w:tcBorders>
          </w:tcPr>
          <w:p>
            <w:pPr/>
          </w:p>
        </w:tc>
      </w:tr>
      <w:tr>
        <w:trPr>
          <w:trHeight w:val="275"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6" w:lineRule="exact"/>
              <w:ind w:left="255"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1198" w:type="dxa"/>
            <w:tcBorders>
              <w:top w:val="nil" w:sz="6" w:space="0" w:color="auto"/>
              <w:left w:val="nil" w:sz="6" w:space="0" w:color="auto"/>
              <w:bottom w:val="nil" w:sz="6" w:space="0" w:color="auto"/>
              <w:right w:val="nil" w:sz="6" w:space="0" w:color="auto"/>
            </w:tcBorders>
          </w:tcPr>
          <w:p>
            <w:pPr>
              <w:pStyle w:val="TableParagraph"/>
              <w:spacing w:line="206" w:lineRule="exact"/>
              <w:ind w:left="314"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(1)</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82"/>
              <w:jc w:val="right"/>
              <w:rPr>
                <w:rFonts w:ascii="宋体" w:hAnsi="宋体" w:cs="宋体" w:eastAsia="宋体" w:hint="default"/>
                <w:sz w:val="16"/>
                <w:szCs w:val="16"/>
              </w:rPr>
            </w:pPr>
            <w:r>
              <w:rPr>
                <w:rFonts w:ascii="宋体"/>
                <w:w w:val="95"/>
                <w:sz w:val="16"/>
              </w:rPr>
              <w:t>33,783,352,034</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6" w:lineRule="exact"/>
              <w:ind w:right="292"/>
              <w:jc w:val="right"/>
              <w:rPr>
                <w:rFonts w:ascii="宋体" w:hAnsi="宋体" w:cs="宋体" w:eastAsia="宋体" w:hint="default"/>
                <w:sz w:val="16"/>
                <w:szCs w:val="16"/>
              </w:rPr>
            </w:pPr>
            <w:r>
              <w:rPr>
                <w:rFonts w:ascii="宋体"/>
                <w:w w:val="95"/>
                <w:sz w:val="16"/>
              </w:rPr>
              <w:t>38,402,165,812</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6" w:lineRule="exact"/>
              <w:ind w:right="82"/>
              <w:jc w:val="right"/>
              <w:rPr>
                <w:rFonts w:ascii="宋体" w:hAnsi="宋体" w:cs="宋体" w:eastAsia="宋体" w:hint="default"/>
                <w:sz w:val="16"/>
                <w:szCs w:val="16"/>
              </w:rPr>
            </w:pPr>
            <w:r>
              <w:rPr>
                <w:rFonts w:ascii="宋体"/>
                <w:w w:val="95"/>
                <w:sz w:val="16"/>
              </w:rPr>
              <w:t>25,394,664,357</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交易性金融资产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5"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(2)</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sz w:val="16"/>
              </w:rPr>
              <w:t>769,905,347</w:t>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292"/>
              <w:jc w:val="right"/>
              <w:rPr>
                <w:rFonts w:ascii="宋体" w:hAnsi="宋体" w:cs="宋体" w:eastAsia="宋体" w:hint="default"/>
                <w:sz w:val="16"/>
                <w:szCs w:val="16"/>
              </w:rPr>
            </w:pPr>
            <w:r>
              <w:rPr>
                <w:rFonts w:ascii="宋体" w:hAnsi="宋体" w:cs="宋体" w:eastAsia="宋体" w:hint="default"/>
                <w:sz w:val="16"/>
                <w:szCs w:val="16"/>
              </w:rPr>
              <w:t>不适用</w:t>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4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255" w:right="311"/>
              <w:jc w:val="left"/>
              <w:rPr>
                <w:rFonts w:ascii="宋体" w:hAnsi="宋体" w:cs="宋体" w:eastAsia="宋体" w:hint="default"/>
                <w:sz w:val="16"/>
                <w:szCs w:val="16"/>
              </w:rPr>
            </w:pPr>
            <w:r>
              <w:rPr>
                <w:rFonts w:ascii="宋体" w:hAnsi="宋体" w:cs="宋体" w:eastAsia="宋体" w:hint="default"/>
                <w:sz w:val="16"/>
                <w:szCs w:val="16"/>
              </w:rPr>
              <w:t>以公允价值计量且其变动计入当期 损益的金融资产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40" w:lineRule="auto" w:before="95"/>
              <w:ind w:left="315"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(2)</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82"/>
              <w:jc w:val="right"/>
              <w:rPr>
                <w:rFonts w:ascii="宋体" w:hAnsi="宋体" w:cs="宋体" w:eastAsia="宋体" w:hint="default"/>
                <w:sz w:val="16"/>
                <w:szCs w:val="16"/>
              </w:rPr>
            </w:pPr>
            <w:r>
              <w:rPr>
                <w:rFonts w:ascii="宋体" w:hAnsi="宋体" w:cs="宋体" w:eastAsia="宋体" w:hint="default"/>
                <w:sz w:val="16"/>
                <w:szCs w:val="16"/>
              </w:rPr>
              <w:t>不适用</w:t>
            </w:r>
          </w:p>
        </w:tc>
        <w:tc>
          <w:tcPr>
            <w:tcW w:w="20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92"/>
              <w:jc w:val="right"/>
              <w:rPr>
                <w:rFonts w:ascii="宋体" w:hAnsi="宋体" w:cs="宋体" w:eastAsia="宋体" w:hint="default"/>
                <w:sz w:val="16"/>
                <w:szCs w:val="16"/>
              </w:rPr>
            </w:pPr>
            <w:r>
              <w:rPr>
                <w:rFonts w:ascii="宋体"/>
                <w:sz w:val="16"/>
              </w:rPr>
              <w:t>159,510,345</w:t>
            </w:r>
          </w:p>
        </w:tc>
        <w:tc>
          <w:tcPr>
            <w:tcW w:w="160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2"/>
              <w:jc w:val="right"/>
              <w:rPr>
                <w:rFonts w:ascii="宋体" w:hAnsi="宋体" w:cs="宋体" w:eastAsia="宋体" w:hint="default"/>
                <w:sz w:val="16"/>
                <w:szCs w:val="16"/>
              </w:rPr>
            </w:pPr>
            <w:r>
              <w:rPr>
                <w:rFonts w:ascii="宋体"/>
                <w:sz w:val="16"/>
              </w:rPr>
              <w:t>123,383,281</w:t>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应收票据及应收账款</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5"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(3)</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18,206,026,524</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292"/>
              <w:jc w:val="right"/>
              <w:rPr>
                <w:rFonts w:ascii="宋体" w:hAnsi="宋体" w:cs="宋体" w:eastAsia="宋体" w:hint="default"/>
                <w:sz w:val="16"/>
                <w:szCs w:val="16"/>
              </w:rPr>
            </w:pPr>
            <w:r>
              <w:rPr>
                <w:rFonts w:ascii="宋体"/>
                <w:w w:val="95"/>
                <w:sz w:val="16"/>
              </w:rPr>
              <w:t>18,612,629,753</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17,467,944,752</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预付款项</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5"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(4)</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4,030,653,660</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292"/>
              <w:jc w:val="right"/>
              <w:rPr>
                <w:rFonts w:ascii="宋体" w:hAnsi="宋体" w:cs="宋体" w:eastAsia="宋体" w:hint="default"/>
                <w:sz w:val="16"/>
                <w:szCs w:val="16"/>
              </w:rPr>
            </w:pPr>
            <w:r>
              <w:rPr>
                <w:rFonts w:ascii="宋体"/>
                <w:w w:val="95"/>
                <w:sz w:val="16"/>
              </w:rPr>
              <w:t>3,773,931,982</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3,990,770,545</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5"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(5)</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1"/>
              <w:jc w:val="right"/>
              <w:rPr>
                <w:rFonts w:ascii="宋体" w:hAnsi="宋体" w:cs="宋体" w:eastAsia="宋体" w:hint="default"/>
                <w:sz w:val="16"/>
                <w:szCs w:val="16"/>
              </w:rPr>
            </w:pPr>
            <w:r>
              <w:rPr>
                <w:rFonts w:ascii="宋体"/>
                <w:w w:val="95"/>
                <w:sz w:val="16"/>
              </w:rPr>
              <w:t>3,220,869,649</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7,906,640,137</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81"/>
              <w:jc w:val="right"/>
              <w:rPr>
                <w:rFonts w:ascii="宋体" w:hAnsi="宋体" w:cs="宋体" w:eastAsia="宋体" w:hint="default"/>
                <w:sz w:val="16"/>
                <w:szCs w:val="16"/>
              </w:rPr>
            </w:pPr>
            <w:r>
              <w:rPr>
                <w:rFonts w:ascii="宋体"/>
                <w:w w:val="95"/>
                <w:sz w:val="16"/>
              </w:rPr>
              <w:t>27,628,760,534</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存货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5"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(6)</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1"/>
              <w:jc w:val="right"/>
              <w:rPr>
                <w:rFonts w:ascii="宋体" w:hAnsi="宋体" w:cs="宋体" w:eastAsia="宋体" w:hint="default"/>
                <w:sz w:val="16"/>
                <w:szCs w:val="16"/>
              </w:rPr>
            </w:pPr>
            <w:r>
              <w:rPr>
                <w:rFonts w:ascii="宋体"/>
                <w:w w:val="95"/>
                <w:sz w:val="16"/>
              </w:rPr>
              <w:t>2,388,327,329</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2,238,565,451</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81"/>
              <w:jc w:val="right"/>
              <w:rPr>
                <w:rFonts w:ascii="宋体" w:hAnsi="宋体" w:cs="宋体" w:eastAsia="宋体" w:hint="default"/>
                <w:sz w:val="16"/>
                <w:szCs w:val="16"/>
              </w:rPr>
            </w:pPr>
            <w:r>
              <w:rPr>
                <w:rFonts w:ascii="宋体"/>
                <w:w w:val="95"/>
                <w:sz w:val="16"/>
              </w:rPr>
              <w:t>2,431,260,896</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56" w:right="0"/>
              <w:jc w:val="left"/>
              <w:rPr>
                <w:rFonts w:ascii="宋体" w:hAnsi="宋体" w:cs="宋体" w:eastAsia="宋体" w:hint="default"/>
                <w:sz w:val="16"/>
                <w:szCs w:val="16"/>
              </w:rPr>
            </w:pPr>
            <w:r>
              <w:rPr>
                <w:rFonts w:ascii="宋体" w:hAnsi="宋体" w:cs="宋体" w:eastAsia="宋体" w:hint="default"/>
                <w:sz w:val="16"/>
                <w:szCs w:val="16"/>
              </w:rPr>
              <w:t>合同资产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6"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(7)</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1"/>
              <w:jc w:val="right"/>
              <w:rPr>
                <w:rFonts w:ascii="宋体" w:hAnsi="宋体" w:cs="宋体" w:eastAsia="宋体" w:hint="default"/>
                <w:sz w:val="16"/>
                <w:szCs w:val="16"/>
              </w:rPr>
            </w:pPr>
            <w:r>
              <w:rPr>
                <w:rFonts w:ascii="宋体"/>
                <w:w w:val="95"/>
                <w:sz w:val="16"/>
              </w:rPr>
              <w:t>1,254,428,639</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hAnsi="宋体" w:cs="宋体" w:eastAsia="宋体" w:hint="default"/>
                <w:sz w:val="16"/>
                <w:szCs w:val="16"/>
              </w:rPr>
              <w:t>不适用</w:t>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2"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56" w:right="0"/>
              <w:jc w:val="left"/>
              <w:rPr>
                <w:rFonts w:ascii="宋体" w:hAnsi="宋体" w:cs="宋体" w:eastAsia="宋体" w:hint="default"/>
                <w:sz w:val="16"/>
                <w:szCs w:val="16"/>
              </w:rPr>
            </w:pPr>
            <w:r>
              <w:rPr>
                <w:rFonts w:ascii="宋体" w:hAnsi="宋体" w:cs="宋体" w:eastAsia="宋体" w:hint="default"/>
                <w:sz w:val="16"/>
                <w:szCs w:val="16"/>
              </w:rPr>
              <w:t>其他流动资产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6"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(8)</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1"/>
              <w:jc w:val="right"/>
              <w:rPr>
                <w:rFonts w:ascii="宋体" w:hAnsi="宋体" w:cs="宋体" w:eastAsia="宋体" w:hint="default"/>
                <w:sz w:val="16"/>
                <w:szCs w:val="16"/>
              </w:rPr>
            </w:pPr>
            <w:r>
              <w:rPr>
                <w:rFonts w:ascii="宋体"/>
                <w:w w:val="95"/>
                <w:sz w:val="16"/>
              </w:rPr>
              <w:t>12,270,983,584</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5,678,022,644</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81"/>
              <w:jc w:val="right"/>
              <w:rPr>
                <w:rFonts w:ascii="宋体" w:hAnsi="宋体" w:cs="宋体" w:eastAsia="宋体" w:hint="default"/>
                <w:sz w:val="16"/>
                <w:szCs w:val="16"/>
              </w:rPr>
            </w:pPr>
            <w:r>
              <w:rPr>
                <w:rFonts w:ascii="宋体"/>
                <w:w w:val="95"/>
                <w:sz w:val="16"/>
              </w:rPr>
              <w:t>5,197,102,926</w:t>
            </w:r>
            <w:r>
              <w:rPr>
                <w:rFonts w:ascii="宋体"/>
                <w:sz w:val="16"/>
              </w:rPr>
            </w:r>
          </w:p>
        </w:tc>
      </w:tr>
      <w:tr>
        <w:trPr>
          <w:trHeight w:val="331" w:hRule="exact"/>
        </w:trPr>
        <w:tc>
          <w:tcPr>
            <w:tcW w:w="2969" w:type="dxa"/>
            <w:tcBorders>
              <w:top w:val="nil" w:sz="6" w:space="0" w:color="auto"/>
              <w:left w:val="nil" w:sz="6" w:space="0" w:color="auto"/>
              <w:bottom w:val="single" w:sz="6" w:space="0" w:color="000000"/>
              <w:right w:val="nil" w:sz="6" w:space="0" w:color="auto"/>
            </w:tcBorders>
          </w:tcPr>
          <w:p>
            <w:pPr>
              <w:pStyle w:val="TableParagraph"/>
              <w:spacing w:line="206" w:lineRule="exact"/>
              <w:ind w:left="86" w:right="0"/>
              <w:jc w:val="left"/>
              <w:rPr>
                <w:rFonts w:ascii="宋体" w:hAnsi="宋体" w:cs="宋体" w:eastAsia="宋体" w:hint="default"/>
                <w:sz w:val="16"/>
                <w:szCs w:val="16"/>
              </w:rPr>
            </w:pPr>
            <w:r>
              <w:rPr>
                <w:rFonts w:ascii="宋体" w:hAnsi="宋体" w:cs="宋体" w:eastAsia="宋体" w:hint="default"/>
                <w:sz w:val="16"/>
                <w:szCs w:val="16"/>
              </w:rPr>
              <w:t>流动资产合计</w:t>
            </w:r>
          </w:p>
        </w:tc>
        <w:tc>
          <w:tcPr>
            <w:tcW w:w="1198"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81"/>
              <w:jc w:val="right"/>
              <w:rPr>
                <w:rFonts w:ascii="宋体" w:hAnsi="宋体" w:cs="宋体" w:eastAsia="宋体" w:hint="default"/>
                <w:sz w:val="16"/>
                <w:szCs w:val="16"/>
              </w:rPr>
            </w:pPr>
            <w:r>
              <w:rPr>
                <w:rFonts w:ascii="宋体"/>
                <w:w w:val="95"/>
                <w:sz w:val="16"/>
              </w:rPr>
              <w:t>75,924,546,766</w:t>
            </w:r>
            <w:r>
              <w:rPr>
                <w:rFonts w:ascii="宋体"/>
                <w:sz w:val="16"/>
              </w:rPr>
            </w:r>
          </w:p>
        </w:tc>
        <w:tc>
          <w:tcPr>
            <w:tcW w:w="2024" w:type="dxa"/>
            <w:tcBorders>
              <w:top w:val="nil" w:sz="6" w:space="0" w:color="auto"/>
              <w:left w:val="nil" w:sz="6" w:space="0" w:color="auto"/>
              <w:bottom w:val="single" w:sz="6" w:space="0" w:color="000000"/>
              <w:right w:val="nil" w:sz="6" w:space="0" w:color="auto"/>
            </w:tcBorders>
          </w:tcPr>
          <w:p>
            <w:pPr>
              <w:pStyle w:val="TableParagraph"/>
              <w:spacing w:line="206" w:lineRule="exact"/>
              <w:ind w:right="291"/>
              <w:jc w:val="right"/>
              <w:rPr>
                <w:rFonts w:ascii="宋体" w:hAnsi="宋体" w:cs="宋体" w:eastAsia="宋体" w:hint="default"/>
                <w:sz w:val="16"/>
                <w:szCs w:val="16"/>
              </w:rPr>
            </w:pPr>
            <w:r>
              <w:rPr>
                <w:rFonts w:ascii="宋体"/>
                <w:w w:val="95"/>
                <w:sz w:val="16"/>
              </w:rPr>
              <w:t>76,771,466,124</w:t>
            </w:r>
            <w:r>
              <w:rPr>
                <w:rFonts w:ascii="宋体"/>
                <w:sz w:val="16"/>
              </w:rPr>
            </w:r>
          </w:p>
        </w:tc>
        <w:tc>
          <w:tcPr>
            <w:tcW w:w="1604" w:type="dxa"/>
            <w:tcBorders>
              <w:top w:val="nil" w:sz="6" w:space="0" w:color="auto"/>
              <w:left w:val="nil" w:sz="6" w:space="0" w:color="auto"/>
              <w:bottom w:val="single" w:sz="6" w:space="0" w:color="000000"/>
              <w:right w:val="nil" w:sz="6" w:space="0" w:color="auto"/>
            </w:tcBorders>
          </w:tcPr>
          <w:p>
            <w:pPr>
              <w:pStyle w:val="TableParagraph"/>
              <w:spacing w:line="206" w:lineRule="exact"/>
              <w:ind w:right="81"/>
              <w:jc w:val="right"/>
              <w:rPr>
                <w:rFonts w:ascii="宋体" w:hAnsi="宋体" w:cs="宋体" w:eastAsia="宋体" w:hint="default"/>
                <w:sz w:val="16"/>
                <w:szCs w:val="16"/>
              </w:rPr>
            </w:pPr>
            <w:r>
              <w:rPr>
                <w:rFonts w:ascii="宋体"/>
                <w:w w:val="95"/>
                <w:sz w:val="16"/>
              </w:rPr>
              <w:t>82,233,887,291</w:t>
            </w:r>
            <w:r>
              <w:rPr>
                <w:rFonts w:ascii="宋体"/>
                <w:sz w:val="16"/>
              </w:rPr>
            </w:r>
          </w:p>
        </w:tc>
      </w:tr>
      <w:tr>
        <w:trPr>
          <w:trHeight w:val="348" w:hRule="exact"/>
        </w:trPr>
        <w:tc>
          <w:tcPr>
            <w:tcW w:w="2969"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85"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1198" w:type="dxa"/>
            <w:tcBorders>
              <w:top w:val="single" w:sz="6" w:space="0" w:color="000000"/>
              <w:left w:val="nil" w:sz="6" w:space="0" w:color="auto"/>
              <w:bottom w:val="nil" w:sz="6" w:space="0" w:color="auto"/>
              <w:right w:val="nil" w:sz="6" w:space="0" w:color="auto"/>
            </w:tcBorders>
          </w:tcPr>
          <w:p>
            <w:pPr/>
          </w:p>
        </w:tc>
        <w:tc>
          <w:tcPr>
            <w:tcW w:w="1814" w:type="dxa"/>
            <w:tcBorders>
              <w:top w:val="single" w:sz="6" w:space="0" w:color="000000"/>
              <w:left w:val="nil" w:sz="6" w:space="0" w:color="auto"/>
              <w:bottom w:val="nil" w:sz="6" w:space="0" w:color="auto"/>
              <w:right w:val="nil" w:sz="6" w:space="0" w:color="auto"/>
            </w:tcBorders>
            <w:shd w:val="clear" w:color="auto" w:fill="ECE7DD"/>
          </w:tcPr>
          <w:p>
            <w:pPr/>
          </w:p>
        </w:tc>
        <w:tc>
          <w:tcPr>
            <w:tcW w:w="2024" w:type="dxa"/>
            <w:tcBorders>
              <w:top w:val="single" w:sz="6" w:space="0" w:color="000000"/>
              <w:left w:val="nil" w:sz="6" w:space="0" w:color="auto"/>
              <w:bottom w:val="nil" w:sz="6" w:space="0" w:color="auto"/>
              <w:right w:val="nil" w:sz="6" w:space="0" w:color="auto"/>
            </w:tcBorders>
          </w:tcPr>
          <w:p>
            <w:pPr/>
          </w:p>
        </w:tc>
        <w:tc>
          <w:tcPr>
            <w:tcW w:w="1604" w:type="dxa"/>
            <w:tcBorders>
              <w:top w:val="single" w:sz="6" w:space="0" w:color="000000"/>
              <w:left w:val="nil" w:sz="6" w:space="0" w:color="auto"/>
              <w:bottom w:val="nil" w:sz="6" w:space="0" w:color="auto"/>
              <w:right w:val="nil" w:sz="6" w:space="0" w:color="auto"/>
            </w:tcBorders>
          </w:tcPr>
          <w:p>
            <w:pPr/>
          </w:p>
        </w:tc>
      </w:tr>
      <w:tr>
        <w:trPr>
          <w:trHeight w:val="275"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6"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长期应收款</w:t>
            </w:r>
          </w:p>
        </w:tc>
        <w:tc>
          <w:tcPr>
            <w:tcW w:w="1198"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79,345,065</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6" w:lineRule="exact"/>
              <w:ind w:right="320"/>
              <w:jc w:val="right"/>
              <w:rPr>
                <w:rFonts w:ascii="宋体" w:hAnsi="宋体" w:cs="宋体" w:eastAsia="宋体" w:hint="default"/>
                <w:sz w:val="16"/>
                <w:szCs w:val="16"/>
              </w:rPr>
            </w:pPr>
            <w:r>
              <w:rPr>
                <w:rFonts w:ascii="宋体"/>
                <w:sz w:val="16"/>
              </w:rPr>
              <w:t>170,146,316</w:t>
            </w:r>
          </w:p>
        </w:tc>
        <w:tc>
          <w:tcPr>
            <w:tcW w:w="1604"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sz w:val="16"/>
              </w:rPr>
              <w:t>181,894,423</w:t>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长期股权投资</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57"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(9)</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39,723,875,225</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35,601,711,266</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33,423,309,042</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可供出售金融资产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(10)</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4,286,072,266</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4,325,676,913</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其他权益工具投资</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(10)</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3,902,894,983</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hAnsi="宋体" w:cs="宋体" w:eastAsia="宋体" w:hint="default"/>
                <w:sz w:val="16"/>
                <w:szCs w:val="16"/>
              </w:rPr>
              <w:t>不适用</w:t>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固定资产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(11)</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341,452,644,261</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363,499,434,778</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371,099,780,390</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在建工程</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(12)</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41,729,162,608</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51,835,475,528</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78,800,308,796</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无形资产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(13)</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25,884,163,079</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25,932,236,753</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26,376,746,032</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开发支出</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(14)</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462,476,394</w:t>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sz w:val="16"/>
              </w:rPr>
              <w:t>279,995,211</w:t>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长期待摊费用</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(15)</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3,929,093,283</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9,318,908,306</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13,190,632,785</w:t>
            </w:r>
            <w:r>
              <w:rPr>
                <w:rFonts w:ascii="宋体"/>
                <w:sz w:val="16"/>
              </w:rPr>
            </w:r>
          </w:p>
        </w:tc>
      </w:tr>
      <w:tr>
        <w:trPr>
          <w:trHeight w:val="273"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3"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(48)</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2,048,586,266</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w w:val="95"/>
                <w:sz w:val="16"/>
              </w:rPr>
              <w:t>4,573,333,656</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4,535,525,693</w:t>
            </w:r>
            <w:r>
              <w:rPr>
                <w:rFonts w:ascii="宋体"/>
                <w:sz w:val="16"/>
              </w:rPr>
            </w:r>
          </w:p>
        </w:tc>
      </w:tr>
      <w:tr>
        <w:trPr>
          <w:trHeight w:val="272" w:hRule="exact"/>
        </w:trPr>
        <w:tc>
          <w:tcPr>
            <w:tcW w:w="2969"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其他非流动资产</w:t>
            </w:r>
          </w:p>
        </w:tc>
        <w:tc>
          <w:tcPr>
            <w:tcW w:w="1198" w:type="dxa"/>
            <w:tcBorders>
              <w:top w:val="nil" w:sz="6" w:space="0" w:color="auto"/>
              <w:left w:val="nil" w:sz="6" w:space="0" w:color="auto"/>
              <w:bottom w:val="nil" w:sz="6" w:space="0" w:color="auto"/>
              <w:right w:val="nil" w:sz="6" w:space="0" w:color="auto"/>
            </w:tcBorders>
          </w:tcPr>
          <w:p>
            <w:pPr>
              <w:pStyle w:val="TableParagraph"/>
              <w:spacing w:line="205" w:lineRule="exact"/>
              <w:ind w:left="314"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(16)</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w w:val="95"/>
                <w:sz w:val="16"/>
              </w:rPr>
              <w:t>6,625,496,054</w:t>
            </w:r>
            <w:r>
              <w:rPr>
                <w:rFonts w:ascii="宋体"/>
                <w:sz w:val="16"/>
              </w:rPr>
            </w:r>
          </w:p>
        </w:tc>
        <w:tc>
          <w:tcPr>
            <w:tcW w:w="2024" w:type="dxa"/>
            <w:tcBorders>
              <w:top w:val="nil" w:sz="6" w:space="0" w:color="auto"/>
              <w:left w:val="nil" w:sz="6" w:space="0" w:color="auto"/>
              <w:bottom w:val="nil" w:sz="6" w:space="0" w:color="auto"/>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w w:val="95"/>
                <w:sz w:val="16"/>
              </w:rPr>
              <w:t>1,348,557,596</w:t>
            </w:r>
            <w:r>
              <w:rPr>
                <w:rFonts w:ascii="宋体"/>
                <w:sz w:val="16"/>
              </w:rPr>
            </w:r>
          </w:p>
        </w:tc>
        <w:tc>
          <w:tcPr>
            <w:tcW w:w="1604"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95"/>
                <w:sz w:val="16"/>
              </w:rPr>
              <w:t>1,739,591,341</w:t>
            </w:r>
            <w:r>
              <w:rPr>
                <w:rFonts w:ascii="宋体"/>
                <w:sz w:val="16"/>
              </w:rPr>
            </w:r>
          </w:p>
        </w:tc>
      </w:tr>
      <w:tr>
        <w:trPr>
          <w:trHeight w:val="331" w:hRule="exact"/>
        </w:trPr>
        <w:tc>
          <w:tcPr>
            <w:tcW w:w="2969" w:type="dxa"/>
            <w:tcBorders>
              <w:top w:val="nil" w:sz="6" w:space="0" w:color="auto"/>
              <w:left w:val="nil" w:sz="6" w:space="0" w:color="auto"/>
              <w:bottom w:val="single" w:sz="6" w:space="0" w:color="000000"/>
              <w:right w:val="nil" w:sz="6" w:space="0" w:color="auto"/>
            </w:tcBorders>
          </w:tcPr>
          <w:p>
            <w:pPr>
              <w:pStyle w:val="TableParagraph"/>
              <w:spacing w:line="206" w:lineRule="exact"/>
              <w:ind w:left="114" w:right="0"/>
              <w:jc w:val="left"/>
              <w:rPr>
                <w:rFonts w:ascii="宋体" w:hAnsi="宋体" w:cs="宋体" w:eastAsia="宋体" w:hint="default"/>
                <w:sz w:val="16"/>
                <w:szCs w:val="16"/>
              </w:rPr>
            </w:pPr>
            <w:r>
              <w:rPr>
                <w:rFonts w:ascii="宋体" w:hAnsi="宋体" w:cs="宋体" w:eastAsia="宋体" w:hint="default"/>
                <w:sz w:val="16"/>
                <w:szCs w:val="16"/>
              </w:rPr>
              <w:t>非流动资产合计</w:t>
            </w:r>
          </w:p>
        </w:tc>
        <w:tc>
          <w:tcPr>
            <w:tcW w:w="1198"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109"/>
              <w:jc w:val="right"/>
              <w:rPr>
                <w:rFonts w:ascii="宋体" w:hAnsi="宋体" w:cs="宋体" w:eastAsia="宋体" w:hint="default"/>
                <w:sz w:val="16"/>
                <w:szCs w:val="16"/>
              </w:rPr>
            </w:pPr>
            <w:r>
              <w:rPr>
                <w:rFonts w:ascii="宋体"/>
                <w:w w:val="95"/>
                <w:sz w:val="16"/>
              </w:rPr>
              <w:t>465,837,737,218</w:t>
            </w:r>
            <w:r>
              <w:rPr>
                <w:rFonts w:ascii="宋体"/>
                <w:sz w:val="16"/>
              </w:rPr>
            </w:r>
          </w:p>
        </w:tc>
        <w:tc>
          <w:tcPr>
            <w:tcW w:w="2024" w:type="dxa"/>
            <w:tcBorders>
              <w:top w:val="nil" w:sz="6" w:space="0" w:color="auto"/>
              <w:left w:val="nil" w:sz="6" w:space="0" w:color="auto"/>
              <w:bottom w:val="single" w:sz="6" w:space="0" w:color="000000"/>
              <w:right w:val="nil" w:sz="6" w:space="0" w:color="auto"/>
            </w:tcBorders>
          </w:tcPr>
          <w:p>
            <w:pPr>
              <w:pStyle w:val="TableParagraph"/>
              <w:spacing w:line="206" w:lineRule="exact"/>
              <w:ind w:right="319"/>
              <w:jc w:val="right"/>
              <w:rPr>
                <w:rFonts w:ascii="宋体" w:hAnsi="宋体" w:cs="宋体" w:eastAsia="宋体" w:hint="default"/>
                <w:sz w:val="16"/>
                <w:szCs w:val="16"/>
              </w:rPr>
            </w:pPr>
            <w:r>
              <w:rPr>
                <w:rFonts w:ascii="宋体"/>
                <w:w w:val="95"/>
                <w:sz w:val="16"/>
              </w:rPr>
              <w:t>496,845,871,676</w:t>
            </w:r>
            <w:r>
              <w:rPr>
                <w:rFonts w:ascii="宋体"/>
                <w:sz w:val="16"/>
              </w:rPr>
            </w:r>
          </w:p>
        </w:tc>
        <w:tc>
          <w:tcPr>
            <w:tcW w:w="1604" w:type="dxa"/>
            <w:tcBorders>
              <w:top w:val="nil" w:sz="6" w:space="0" w:color="auto"/>
              <w:left w:val="nil" w:sz="6" w:space="0" w:color="auto"/>
              <w:bottom w:val="single" w:sz="6" w:space="0" w:color="000000"/>
              <w:right w:val="nil" w:sz="6" w:space="0" w:color="auto"/>
            </w:tcBorders>
          </w:tcPr>
          <w:p>
            <w:pPr>
              <w:pStyle w:val="TableParagraph"/>
              <w:spacing w:line="206" w:lineRule="exact"/>
              <w:ind w:right="109"/>
              <w:jc w:val="right"/>
              <w:rPr>
                <w:rFonts w:ascii="宋体" w:hAnsi="宋体" w:cs="宋体" w:eastAsia="宋体" w:hint="default"/>
                <w:sz w:val="16"/>
                <w:szCs w:val="16"/>
              </w:rPr>
            </w:pPr>
            <w:r>
              <w:rPr>
                <w:rFonts w:ascii="宋体"/>
                <w:w w:val="95"/>
                <w:sz w:val="16"/>
              </w:rPr>
              <w:t>533,673,465,415</w:t>
            </w:r>
            <w:r>
              <w:rPr>
                <w:rFonts w:ascii="宋体"/>
                <w:sz w:val="16"/>
              </w:rPr>
            </w:r>
          </w:p>
        </w:tc>
      </w:tr>
      <w:tr>
        <w:trPr>
          <w:trHeight w:val="414" w:hRule="exact"/>
        </w:trPr>
        <w:tc>
          <w:tcPr>
            <w:tcW w:w="4167"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资产总计</w:t>
            </w:r>
          </w:p>
        </w:tc>
        <w:tc>
          <w:tcPr>
            <w:tcW w:w="181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541,762,283,984</w:t>
            </w:r>
            <w:r>
              <w:rPr>
                <w:rFonts w:ascii="宋体"/>
                <w:sz w:val="16"/>
              </w:rPr>
            </w:r>
          </w:p>
        </w:tc>
        <w:tc>
          <w:tcPr>
            <w:tcW w:w="202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20"/>
              <w:jc w:val="right"/>
              <w:rPr>
                <w:rFonts w:ascii="宋体" w:hAnsi="宋体" w:cs="宋体" w:eastAsia="宋体" w:hint="default"/>
                <w:sz w:val="16"/>
                <w:szCs w:val="16"/>
              </w:rPr>
            </w:pPr>
            <w:r>
              <w:rPr>
                <w:rFonts w:ascii="宋体"/>
                <w:w w:val="95"/>
                <w:sz w:val="16"/>
              </w:rPr>
              <w:t>573,617,337,800</w:t>
            </w:r>
            <w:r>
              <w:rPr>
                <w:rFonts w:ascii="宋体"/>
                <w:sz w:val="16"/>
              </w:rPr>
            </w:r>
          </w:p>
        </w:tc>
        <w:tc>
          <w:tcPr>
            <w:tcW w:w="160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615,907,352,706</w:t>
            </w:r>
            <w:r>
              <w:rPr>
                <w:rFonts w:ascii="宋体"/>
                <w:sz w:val="16"/>
              </w:rPr>
            </w:r>
          </w:p>
        </w:tc>
      </w:tr>
    </w:tbl>
    <w:p>
      <w:pPr>
        <w:spacing w:after="0" w:line="240" w:lineRule="auto"/>
        <w:jc w:val="right"/>
        <w:rPr>
          <w:rFonts w:ascii="宋体" w:hAnsi="宋体" w:cs="宋体" w:eastAsia="宋体" w:hint="default"/>
          <w:sz w:val="16"/>
          <w:szCs w:val="16"/>
        </w:rPr>
        <w:sectPr>
          <w:headerReference w:type="default" r:id="rId254"/>
          <w:pgSz w:w="11910" w:h="16160"/>
          <w:pgMar w:header="0" w:footer="298" w:top="1100" w:bottom="480" w:left="1340" w:right="680"/>
        </w:sectPr>
      </w:pPr>
    </w:p>
    <w:p>
      <w:pPr>
        <w:pStyle w:val="Heading3"/>
        <w:spacing w:line="487" w:lineRule="exact"/>
        <w:ind w:left="133" w:right="0"/>
        <w:jc w:val="left"/>
        <w:rPr>
          <w:rFonts w:ascii="宋体" w:hAnsi="宋体" w:cs="宋体" w:eastAsia="宋体" w:hint="default"/>
        </w:rPr>
      </w:pPr>
      <w:r>
        <w:rPr>
          <w:rFonts w:ascii="宋体" w:hAnsi="宋体" w:cs="宋体" w:eastAsia="宋体" w:hint="default"/>
          <w:color w:val="9F8958"/>
        </w:rPr>
        <w:t>合并资产负债表（续）</w:t>
      </w:r>
      <w:r>
        <w:rPr>
          <w:rFonts w:ascii="宋体" w:hAnsi="宋体" w:cs="宋体" w:eastAsia="宋体" w:hint="default"/>
        </w:rPr>
      </w:r>
    </w:p>
    <w:p>
      <w:pPr>
        <w:spacing w:line="201" w:lineRule="exact" w:before="103"/>
        <w:ind w:left="133" w:right="0" w:firstLine="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8"/>
          <w:w w:val="105"/>
          <w:sz w:val="16"/>
          <w:szCs w:val="16"/>
        </w:rPr>
        <w:t> </w:t>
      </w:r>
      <w:r>
        <w:rPr>
          <w:rFonts w:ascii="宋体" w:hAnsi="宋体" w:cs="宋体" w:eastAsia="宋体" w:hint="default"/>
          <w:w w:val="105"/>
          <w:sz w:val="16"/>
          <w:szCs w:val="16"/>
        </w:rPr>
        <w:t>年</w:t>
      </w:r>
      <w:r>
        <w:rPr>
          <w:rFonts w:ascii="宋体" w:hAnsi="宋体" w:cs="宋体" w:eastAsia="宋体" w:hint="default"/>
          <w:spacing w:val="-58"/>
          <w:w w:val="105"/>
          <w:sz w:val="16"/>
          <w:szCs w:val="16"/>
        </w:rPr>
        <w:t> </w:t>
      </w:r>
      <w:r>
        <w:rPr>
          <w:rFonts w:ascii="宋体" w:hAnsi="宋体" w:cs="宋体" w:eastAsia="宋体" w:hint="default"/>
          <w:w w:val="105"/>
          <w:sz w:val="16"/>
          <w:szCs w:val="16"/>
        </w:rPr>
        <w:t>12</w:t>
      </w:r>
      <w:r>
        <w:rPr>
          <w:rFonts w:ascii="宋体" w:hAnsi="宋体" w:cs="宋体" w:eastAsia="宋体" w:hint="default"/>
          <w:spacing w:val="-58"/>
          <w:w w:val="105"/>
          <w:sz w:val="16"/>
          <w:szCs w:val="16"/>
        </w:rPr>
        <w:t> </w:t>
      </w:r>
      <w:r>
        <w:rPr>
          <w:rFonts w:ascii="宋体" w:hAnsi="宋体" w:cs="宋体" w:eastAsia="宋体" w:hint="default"/>
          <w:w w:val="105"/>
          <w:sz w:val="16"/>
          <w:szCs w:val="16"/>
        </w:rPr>
        <w:t>月</w:t>
      </w:r>
      <w:r>
        <w:rPr>
          <w:rFonts w:ascii="宋体" w:hAnsi="宋体" w:cs="宋体" w:eastAsia="宋体" w:hint="default"/>
          <w:spacing w:val="-58"/>
          <w:w w:val="105"/>
          <w:sz w:val="16"/>
          <w:szCs w:val="16"/>
        </w:rPr>
        <w:t> </w:t>
      </w:r>
      <w:r>
        <w:rPr>
          <w:rFonts w:ascii="宋体" w:hAnsi="宋体" w:cs="宋体" w:eastAsia="宋体" w:hint="default"/>
          <w:w w:val="105"/>
          <w:sz w:val="16"/>
          <w:szCs w:val="16"/>
        </w:rPr>
        <w:t>31</w:t>
      </w:r>
      <w:r>
        <w:rPr>
          <w:rFonts w:ascii="宋体" w:hAnsi="宋体" w:cs="宋体" w:eastAsia="宋体" w:hint="default"/>
          <w:spacing w:val="-58"/>
          <w:w w:val="105"/>
          <w:sz w:val="16"/>
          <w:szCs w:val="16"/>
        </w:rPr>
        <w:t> </w:t>
      </w:r>
      <w:r>
        <w:rPr>
          <w:rFonts w:ascii="宋体" w:hAnsi="宋体" w:cs="宋体" w:eastAsia="宋体" w:hint="default"/>
          <w:w w:val="105"/>
          <w:sz w:val="16"/>
          <w:szCs w:val="16"/>
        </w:rPr>
        <w:t>日合并资产负债表（续）</w:t>
      </w:r>
    </w:p>
    <w:p>
      <w:pPr>
        <w:spacing w:line="201" w:lineRule="exact" w:before="0"/>
        <w:ind w:left="133" w:right="0"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13" w:type="dxa"/>
        <w:tblLayout w:type="fixed"/>
        <w:tblCellMar>
          <w:top w:w="0" w:type="dxa"/>
          <w:left w:w="0" w:type="dxa"/>
          <w:bottom w:w="0" w:type="dxa"/>
          <w:right w:w="0" w:type="dxa"/>
        </w:tblCellMar>
        <w:tblLook w:val="01E0"/>
      </w:tblPr>
      <w:tblGrid>
        <w:gridCol w:w="2722"/>
        <w:gridCol w:w="1445"/>
        <w:gridCol w:w="1814"/>
        <w:gridCol w:w="2023"/>
        <w:gridCol w:w="1605"/>
      </w:tblGrid>
      <w:tr>
        <w:trPr>
          <w:trHeight w:val="559" w:hRule="exact"/>
        </w:trPr>
        <w:tc>
          <w:tcPr>
            <w:tcW w:w="2722"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负债和股东权益</w:t>
            </w:r>
          </w:p>
        </w:tc>
        <w:tc>
          <w:tcPr>
            <w:tcW w:w="1445"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56" w:right="0"/>
              <w:jc w:val="center"/>
              <w:rPr>
                <w:rFonts w:ascii="宋体" w:hAnsi="宋体" w:cs="宋体" w:eastAsia="宋体" w:hint="default"/>
                <w:sz w:val="16"/>
                <w:szCs w:val="16"/>
              </w:rPr>
            </w:pPr>
            <w:r>
              <w:rPr>
                <w:rFonts w:ascii="宋体" w:hAnsi="宋体" w:cs="宋体" w:eastAsia="宋体" w:hint="default"/>
                <w:sz w:val="16"/>
                <w:szCs w:val="16"/>
              </w:rPr>
              <w:t>附注</w:t>
            </w:r>
          </w:p>
        </w:tc>
        <w:tc>
          <w:tcPr>
            <w:tcW w:w="181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16"/>
              <w:ind w:right="82"/>
              <w:jc w:val="right"/>
              <w:rPr>
                <w:rFonts w:ascii="宋体" w:hAnsi="宋体" w:cs="宋体" w:eastAsia="宋体" w:hint="default"/>
                <w:sz w:val="16"/>
                <w:szCs w:val="16"/>
              </w:rPr>
            </w:pPr>
            <w:r>
              <w:rPr>
                <w:rFonts w:ascii="宋体" w:hAnsi="宋体" w:cs="宋体" w:eastAsia="宋体" w:hint="default"/>
                <w:spacing w:val="-6"/>
                <w:w w:val="110"/>
                <w:sz w:val="16"/>
                <w:szCs w:val="16"/>
              </w:rPr>
              <w:t>2018</w:t>
            </w:r>
            <w:r>
              <w:rPr>
                <w:rFonts w:ascii="宋体" w:hAnsi="宋体" w:cs="宋体" w:eastAsia="宋体" w:hint="default"/>
                <w:spacing w:val="-63"/>
                <w:w w:val="110"/>
                <w:sz w:val="16"/>
                <w:szCs w:val="16"/>
              </w:rPr>
              <w:t> </w:t>
            </w:r>
            <w:r>
              <w:rPr>
                <w:rFonts w:ascii="宋体" w:hAnsi="宋体" w:cs="宋体" w:eastAsia="宋体" w:hint="default"/>
                <w:w w:val="110"/>
                <w:sz w:val="16"/>
                <w:szCs w:val="16"/>
              </w:rPr>
              <w:t>年</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12</w:t>
            </w:r>
            <w:r>
              <w:rPr>
                <w:rFonts w:ascii="宋体" w:hAnsi="宋体" w:cs="宋体" w:eastAsia="宋体" w:hint="default"/>
                <w:spacing w:val="-63"/>
                <w:w w:val="110"/>
                <w:sz w:val="16"/>
                <w:szCs w:val="16"/>
              </w:rPr>
              <w:t> </w:t>
            </w:r>
            <w:r>
              <w:rPr>
                <w:rFonts w:ascii="宋体" w:hAnsi="宋体" w:cs="宋体" w:eastAsia="宋体" w:hint="default"/>
                <w:w w:val="110"/>
                <w:sz w:val="16"/>
                <w:szCs w:val="16"/>
              </w:rPr>
              <w:t>月</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31</w:t>
            </w:r>
            <w:r>
              <w:rPr>
                <w:rFonts w:ascii="宋体" w:hAnsi="宋体" w:cs="宋体" w:eastAsia="宋体" w:hint="default"/>
                <w:spacing w:val="-63"/>
                <w:w w:val="110"/>
                <w:sz w:val="16"/>
                <w:szCs w:val="16"/>
              </w:rPr>
              <w:t> </w:t>
            </w:r>
            <w:r>
              <w:rPr>
                <w:rFonts w:ascii="宋体" w:hAnsi="宋体" w:cs="宋体" w:eastAsia="宋体" w:hint="default"/>
                <w:w w:val="110"/>
                <w:sz w:val="16"/>
                <w:szCs w:val="16"/>
              </w:rPr>
              <w:t>日</w:t>
            </w:r>
          </w:p>
          <w:p>
            <w:pPr>
              <w:pStyle w:val="TableParagraph"/>
              <w:spacing w:line="205" w:lineRule="exact"/>
              <w:ind w:right="89"/>
              <w:jc w:val="right"/>
              <w:rPr>
                <w:rFonts w:ascii="宋体" w:hAnsi="宋体" w:cs="宋体" w:eastAsia="宋体" w:hint="default"/>
                <w:sz w:val="16"/>
                <w:szCs w:val="16"/>
              </w:rPr>
            </w:pPr>
            <w:r>
              <w:rPr>
                <w:rFonts w:ascii="宋体" w:hAnsi="宋体" w:cs="宋体" w:eastAsia="宋体" w:hint="default"/>
                <w:spacing w:val="-7"/>
                <w:w w:val="95"/>
                <w:sz w:val="16"/>
                <w:szCs w:val="16"/>
              </w:rPr>
              <w:t>合并</w:t>
            </w:r>
            <w:r>
              <w:rPr>
                <w:rFonts w:ascii="宋体" w:hAnsi="宋体" w:cs="宋体" w:eastAsia="宋体" w:hint="default"/>
                <w:w w:val="95"/>
                <w:sz w:val="16"/>
                <w:szCs w:val="16"/>
              </w:rPr>
            </w:r>
          </w:p>
        </w:tc>
        <w:tc>
          <w:tcPr>
            <w:tcW w:w="2023" w:type="dxa"/>
            <w:tcBorders>
              <w:top w:val="nil" w:sz="6" w:space="0" w:color="auto"/>
              <w:left w:val="nil" w:sz="6" w:space="0" w:color="auto"/>
              <w:bottom w:val="single" w:sz="16" w:space="0" w:color="9F8958"/>
              <w:right w:val="nil" w:sz="6" w:space="0" w:color="auto"/>
            </w:tcBorders>
          </w:tcPr>
          <w:p>
            <w:pPr>
              <w:pStyle w:val="TableParagraph"/>
              <w:spacing w:line="205" w:lineRule="exact" w:before="16"/>
              <w:ind w:right="292"/>
              <w:jc w:val="right"/>
              <w:rPr>
                <w:rFonts w:ascii="宋体" w:hAnsi="宋体" w:cs="宋体" w:eastAsia="宋体" w:hint="default"/>
                <w:sz w:val="16"/>
                <w:szCs w:val="16"/>
              </w:rPr>
            </w:pPr>
            <w:r>
              <w:rPr>
                <w:rFonts w:ascii="宋体" w:hAnsi="宋体" w:cs="宋体" w:eastAsia="宋体" w:hint="default"/>
                <w:spacing w:val="-6"/>
                <w:w w:val="110"/>
                <w:sz w:val="16"/>
                <w:szCs w:val="16"/>
              </w:rPr>
              <w:t>2017</w:t>
            </w:r>
            <w:r>
              <w:rPr>
                <w:rFonts w:ascii="宋体" w:hAnsi="宋体" w:cs="宋体" w:eastAsia="宋体" w:hint="default"/>
                <w:spacing w:val="-63"/>
                <w:w w:val="110"/>
                <w:sz w:val="16"/>
                <w:szCs w:val="16"/>
              </w:rPr>
              <w:t> </w:t>
            </w:r>
            <w:r>
              <w:rPr>
                <w:rFonts w:ascii="宋体" w:hAnsi="宋体" w:cs="宋体" w:eastAsia="宋体" w:hint="default"/>
                <w:w w:val="110"/>
                <w:sz w:val="16"/>
                <w:szCs w:val="16"/>
              </w:rPr>
              <w:t>年</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12</w:t>
            </w:r>
            <w:r>
              <w:rPr>
                <w:rFonts w:ascii="宋体" w:hAnsi="宋体" w:cs="宋体" w:eastAsia="宋体" w:hint="default"/>
                <w:spacing w:val="-63"/>
                <w:w w:val="110"/>
                <w:sz w:val="16"/>
                <w:szCs w:val="16"/>
              </w:rPr>
              <w:t> </w:t>
            </w:r>
            <w:r>
              <w:rPr>
                <w:rFonts w:ascii="宋体" w:hAnsi="宋体" w:cs="宋体" w:eastAsia="宋体" w:hint="default"/>
                <w:w w:val="110"/>
                <w:sz w:val="16"/>
                <w:szCs w:val="16"/>
              </w:rPr>
              <w:t>月</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31</w:t>
            </w:r>
            <w:r>
              <w:rPr>
                <w:rFonts w:ascii="宋体" w:hAnsi="宋体" w:cs="宋体" w:eastAsia="宋体" w:hint="default"/>
                <w:spacing w:val="-63"/>
                <w:w w:val="110"/>
                <w:sz w:val="16"/>
                <w:szCs w:val="16"/>
              </w:rPr>
              <w:t> </w:t>
            </w:r>
            <w:r>
              <w:rPr>
                <w:rFonts w:ascii="宋体" w:hAnsi="宋体" w:cs="宋体" w:eastAsia="宋体" w:hint="default"/>
                <w:w w:val="110"/>
                <w:sz w:val="16"/>
                <w:szCs w:val="16"/>
              </w:rPr>
              <w:t>日</w:t>
            </w:r>
          </w:p>
          <w:p>
            <w:pPr>
              <w:pStyle w:val="TableParagraph"/>
              <w:spacing w:line="205" w:lineRule="exact"/>
              <w:ind w:right="299"/>
              <w:jc w:val="right"/>
              <w:rPr>
                <w:rFonts w:ascii="宋体" w:hAnsi="宋体" w:cs="宋体" w:eastAsia="宋体" w:hint="default"/>
                <w:sz w:val="16"/>
                <w:szCs w:val="16"/>
              </w:rPr>
            </w:pPr>
            <w:r>
              <w:rPr>
                <w:rFonts w:ascii="宋体" w:hAnsi="宋体" w:cs="宋体" w:eastAsia="宋体" w:hint="default"/>
                <w:spacing w:val="-7"/>
                <w:w w:val="95"/>
                <w:sz w:val="16"/>
                <w:szCs w:val="16"/>
              </w:rPr>
              <w:t>合并</w:t>
            </w:r>
            <w:r>
              <w:rPr>
                <w:rFonts w:ascii="宋体" w:hAnsi="宋体" w:cs="宋体" w:eastAsia="宋体" w:hint="default"/>
                <w:w w:val="95"/>
                <w:sz w:val="16"/>
                <w:szCs w:val="16"/>
              </w:rPr>
            </w:r>
          </w:p>
        </w:tc>
        <w:tc>
          <w:tcPr>
            <w:tcW w:w="1605" w:type="dxa"/>
            <w:tcBorders>
              <w:top w:val="nil" w:sz="6" w:space="0" w:color="auto"/>
              <w:left w:val="nil" w:sz="6" w:space="0" w:color="auto"/>
              <w:bottom w:val="single" w:sz="16" w:space="0" w:color="9F8958"/>
              <w:right w:val="nil" w:sz="6" w:space="0" w:color="auto"/>
            </w:tcBorders>
          </w:tcPr>
          <w:p>
            <w:pPr>
              <w:pStyle w:val="TableParagraph"/>
              <w:spacing w:line="205" w:lineRule="exact" w:before="16"/>
              <w:ind w:right="49"/>
              <w:jc w:val="right"/>
              <w:rPr>
                <w:rFonts w:ascii="宋体" w:hAnsi="宋体" w:cs="宋体" w:eastAsia="宋体" w:hint="default"/>
                <w:sz w:val="16"/>
                <w:szCs w:val="16"/>
              </w:rPr>
            </w:pPr>
            <w:r>
              <w:rPr>
                <w:rFonts w:ascii="宋体" w:hAnsi="宋体" w:cs="宋体" w:eastAsia="宋体" w:hint="default"/>
                <w:spacing w:val="14"/>
                <w:w w:val="105"/>
                <w:sz w:val="16"/>
                <w:szCs w:val="16"/>
              </w:rPr>
              <w:t>2017年1月1日</w:t>
            </w:r>
            <w:r>
              <w:rPr>
                <w:rFonts w:ascii="宋体" w:hAnsi="宋体" w:cs="宋体" w:eastAsia="宋体" w:hint="default"/>
                <w:spacing w:val="-47"/>
                <w:sz w:val="16"/>
                <w:szCs w:val="16"/>
              </w:rPr>
              <w:t> </w:t>
            </w:r>
            <w:r>
              <w:rPr>
                <w:rFonts w:ascii="宋体" w:hAnsi="宋体" w:cs="宋体" w:eastAsia="宋体" w:hint="default"/>
                <w:sz w:val="16"/>
                <w:szCs w:val="16"/>
              </w:rPr>
            </w:r>
          </w:p>
          <w:p>
            <w:pPr>
              <w:pStyle w:val="TableParagraph"/>
              <w:spacing w:line="205" w:lineRule="exact"/>
              <w:ind w:right="89"/>
              <w:jc w:val="right"/>
              <w:rPr>
                <w:rFonts w:ascii="宋体" w:hAnsi="宋体" w:cs="宋体" w:eastAsia="宋体" w:hint="default"/>
                <w:sz w:val="16"/>
                <w:szCs w:val="16"/>
              </w:rPr>
            </w:pPr>
            <w:r>
              <w:rPr>
                <w:rFonts w:ascii="宋体" w:hAnsi="宋体" w:cs="宋体" w:eastAsia="宋体" w:hint="default"/>
                <w:spacing w:val="-7"/>
                <w:w w:val="95"/>
                <w:sz w:val="16"/>
                <w:szCs w:val="16"/>
              </w:rPr>
              <w:t>合并</w:t>
            </w:r>
            <w:r>
              <w:rPr>
                <w:rFonts w:ascii="宋体" w:hAnsi="宋体" w:cs="宋体" w:eastAsia="宋体" w:hint="default"/>
                <w:w w:val="95"/>
                <w:sz w:val="16"/>
                <w:szCs w:val="16"/>
              </w:rPr>
            </w:r>
          </w:p>
        </w:tc>
      </w:tr>
      <w:tr>
        <w:trPr>
          <w:trHeight w:val="401" w:hRule="exact"/>
        </w:trPr>
        <w:tc>
          <w:tcPr>
            <w:tcW w:w="2722"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left="85"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1445" w:type="dxa"/>
            <w:tcBorders>
              <w:top w:val="single" w:sz="16" w:space="0" w:color="9F8958"/>
              <w:left w:val="nil" w:sz="6" w:space="0" w:color="auto"/>
              <w:bottom w:val="nil" w:sz="6" w:space="0" w:color="auto"/>
              <w:right w:val="nil" w:sz="6" w:space="0" w:color="auto"/>
            </w:tcBorders>
          </w:tcPr>
          <w:p>
            <w:pPr/>
          </w:p>
        </w:tc>
        <w:tc>
          <w:tcPr>
            <w:tcW w:w="1814" w:type="dxa"/>
            <w:tcBorders>
              <w:top w:val="single" w:sz="16" w:space="0" w:color="9F8958"/>
              <w:left w:val="nil" w:sz="6" w:space="0" w:color="auto"/>
              <w:bottom w:val="nil" w:sz="6" w:space="0" w:color="auto"/>
              <w:right w:val="nil" w:sz="6" w:space="0" w:color="auto"/>
            </w:tcBorders>
            <w:shd w:val="clear" w:color="auto" w:fill="ECE7DD"/>
          </w:tcPr>
          <w:p>
            <w:pPr/>
          </w:p>
        </w:tc>
        <w:tc>
          <w:tcPr>
            <w:tcW w:w="2023" w:type="dxa"/>
            <w:tcBorders>
              <w:top w:val="single" w:sz="16" w:space="0" w:color="9F8958"/>
              <w:left w:val="nil" w:sz="6" w:space="0" w:color="auto"/>
              <w:bottom w:val="nil" w:sz="6" w:space="0" w:color="auto"/>
              <w:right w:val="nil" w:sz="6" w:space="0" w:color="auto"/>
            </w:tcBorders>
          </w:tcPr>
          <w:p>
            <w:pPr/>
          </w:p>
        </w:tc>
        <w:tc>
          <w:tcPr>
            <w:tcW w:w="1605" w:type="dxa"/>
            <w:tcBorders>
              <w:top w:val="single" w:sz="16" w:space="0" w:color="9F8958"/>
              <w:left w:val="nil" w:sz="6" w:space="0" w:color="auto"/>
              <w:bottom w:val="nil" w:sz="6" w:space="0" w:color="auto"/>
              <w:right w:val="nil" w:sz="6" w:space="0" w:color="auto"/>
            </w:tcBorders>
          </w:tcPr>
          <w:p>
            <w:pPr/>
          </w:p>
        </w:tc>
      </w:tr>
      <w:tr>
        <w:trPr>
          <w:trHeight w:val="275"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6" w:lineRule="exact"/>
              <w:ind w:left="255"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1445" w:type="dxa"/>
            <w:tcBorders>
              <w:top w:val="nil" w:sz="6" w:space="0" w:color="auto"/>
              <w:left w:val="nil" w:sz="6" w:space="0" w:color="auto"/>
              <w:bottom w:val="nil" w:sz="6" w:space="0" w:color="auto"/>
              <w:right w:val="nil" w:sz="6" w:space="0" w:color="auto"/>
            </w:tcBorders>
          </w:tcPr>
          <w:p>
            <w:pPr>
              <w:pStyle w:val="TableParagraph"/>
              <w:spacing w:line="206"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(17)</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82"/>
              <w:jc w:val="right"/>
              <w:rPr>
                <w:rFonts w:ascii="宋体" w:hAnsi="宋体" w:cs="宋体" w:eastAsia="宋体" w:hint="default"/>
                <w:sz w:val="16"/>
                <w:szCs w:val="16"/>
              </w:rPr>
            </w:pPr>
            <w:r>
              <w:rPr>
                <w:rFonts w:ascii="宋体"/>
                <w:w w:val="95"/>
                <w:sz w:val="16"/>
              </w:rPr>
              <w:t>15,132,619,893</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6" w:lineRule="exact"/>
              <w:ind w:right="292"/>
              <w:jc w:val="right"/>
              <w:rPr>
                <w:rFonts w:ascii="宋体" w:hAnsi="宋体" w:cs="宋体" w:eastAsia="宋体" w:hint="default"/>
                <w:sz w:val="16"/>
                <w:szCs w:val="16"/>
              </w:rPr>
            </w:pPr>
            <w:r>
              <w:rPr>
                <w:rFonts w:ascii="宋体"/>
                <w:w w:val="95"/>
                <w:sz w:val="16"/>
              </w:rPr>
              <w:t>24,318,709,902</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6" w:lineRule="exact"/>
              <w:ind w:right="82"/>
              <w:jc w:val="right"/>
              <w:rPr>
                <w:rFonts w:ascii="宋体" w:hAnsi="宋体" w:cs="宋体" w:eastAsia="宋体" w:hint="default"/>
                <w:sz w:val="16"/>
                <w:szCs w:val="16"/>
              </w:rPr>
            </w:pPr>
            <w:r>
              <w:rPr>
                <w:rFonts w:ascii="宋体"/>
                <w:w w:val="95"/>
                <w:sz w:val="16"/>
              </w:rPr>
              <w:t>76,993,726,798</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应付票据及应付账款</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(18)</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108,702,531,748</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118,909,887,525</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140,332,789,340</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预收款项</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(19)</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sz w:val="16"/>
              </w:rPr>
              <w:t>328,100,718</w:t>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49,896,910,698</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47,614,812,281</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合同负债</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(19)</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42,968,208,117</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2"/>
              <w:jc w:val="right"/>
              <w:rPr>
                <w:rFonts w:ascii="宋体" w:hAnsi="宋体" w:cs="宋体" w:eastAsia="宋体" w:hint="default"/>
                <w:sz w:val="16"/>
                <w:szCs w:val="16"/>
              </w:rPr>
            </w:pPr>
            <w:r>
              <w:rPr>
                <w:rFonts w:ascii="宋体" w:hAnsi="宋体" w:cs="宋体" w:eastAsia="宋体" w:hint="default"/>
                <w:sz w:val="16"/>
                <w:szCs w:val="16"/>
              </w:rPr>
              <w:t>不适用</w:t>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应付职工薪酬</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(20)</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8,263,357,851</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5,935,674,406</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5,034,379,126</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应交税费</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(21)</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sz w:val="16"/>
              </w:rPr>
              <w:t>911,509,284</w:t>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1,121,249,660</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732,125,383</w:t>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(22)</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16,326,179,386</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13,610,374,155</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13,150,638,152</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一年内到期的非流动负债</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(23)</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17,763,739,166</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18,830,557,820</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21,752,714,994</w:t>
            </w:r>
            <w:r>
              <w:rPr>
                <w:rFonts w:ascii="宋体"/>
                <w:sz w:val="16"/>
              </w:rPr>
            </w:r>
          </w:p>
        </w:tc>
      </w:tr>
      <w:tr>
        <w:trPr>
          <w:trHeight w:val="272"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56"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(24)</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3,397,762,622</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291"/>
              <w:jc w:val="right"/>
              <w:rPr>
                <w:rFonts w:ascii="宋体" w:hAnsi="宋体" w:cs="宋体" w:eastAsia="宋体" w:hint="default"/>
                <w:sz w:val="16"/>
                <w:szCs w:val="16"/>
              </w:rPr>
            </w:pPr>
            <w:r>
              <w:rPr>
                <w:rFonts w:ascii="宋体"/>
                <w:w w:val="95"/>
                <w:sz w:val="16"/>
              </w:rPr>
              <w:t>8,990,833,333</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35,958,133,333</w:t>
            </w:r>
            <w:r>
              <w:rPr>
                <w:rFonts w:ascii="宋体"/>
                <w:sz w:val="16"/>
              </w:rPr>
            </w:r>
          </w:p>
        </w:tc>
      </w:tr>
      <w:tr>
        <w:trPr>
          <w:trHeight w:val="331" w:hRule="exact"/>
        </w:trPr>
        <w:tc>
          <w:tcPr>
            <w:tcW w:w="2722" w:type="dxa"/>
            <w:tcBorders>
              <w:top w:val="nil" w:sz="6" w:space="0" w:color="auto"/>
              <w:left w:val="nil" w:sz="6" w:space="0" w:color="auto"/>
              <w:bottom w:val="single" w:sz="6" w:space="0" w:color="000000"/>
              <w:right w:val="nil" w:sz="6" w:space="0" w:color="auto"/>
            </w:tcBorders>
          </w:tcPr>
          <w:p>
            <w:pPr>
              <w:pStyle w:val="TableParagraph"/>
              <w:spacing w:line="206" w:lineRule="exact"/>
              <w:ind w:left="85" w:right="0"/>
              <w:jc w:val="left"/>
              <w:rPr>
                <w:rFonts w:ascii="宋体" w:hAnsi="宋体" w:cs="宋体" w:eastAsia="宋体" w:hint="default"/>
                <w:sz w:val="16"/>
                <w:szCs w:val="16"/>
              </w:rPr>
            </w:pPr>
            <w:r>
              <w:rPr>
                <w:rFonts w:ascii="宋体" w:hAnsi="宋体" w:cs="宋体" w:eastAsia="宋体" w:hint="default"/>
                <w:sz w:val="16"/>
                <w:szCs w:val="16"/>
              </w:rPr>
              <w:t>流动负债合计</w:t>
            </w:r>
          </w:p>
        </w:tc>
        <w:tc>
          <w:tcPr>
            <w:tcW w:w="1445"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82"/>
              <w:jc w:val="right"/>
              <w:rPr>
                <w:rFonts w:ascii="宋体" w:hAnsi="宋体" w:cs="宋体" w:eastAsia="宋体" w:hint="default"/>
                <w:sz w:val="16"/>
                <w:szCs w:val="16"/>
              </w:rPr>
            </w:pPr>
            <w:r>
              <w:rPr>
                <w:rFonts w:ascii="宋体"/>
                <w:w w:val="95"/>
                <w:sz w:val="16"/>
              </w:rPr>
              <w:t>213,794,008,785</w:t>
            </w:r>
            <w:r>
              <w:rPr>
                <w:rFonts w:ascii="宋体"/>
                <w:sz w:val="16"/>
              </w:rPr>
            </w:r>
          </w:p>
        </w:tc>
        <w:tc>
          <w:tcPr>
            <w:tcW w:w="2023" w:type="dxa"/>
            <w:tcBorders>
              <w:top w:val="nil" w:sz="6" w:space="0" w:color="auto"/>
              <w:left w:val="nil" w:sz="6" w:space="0" w:color="auto"/>
              <w:bottom w:val="single" w:sz="6" w:space="0" w:color="000000"/>
              <w:right w:val="nil" w:sz="6" w:space="0" w:color="auto"/>
            </w:tcBorders>
          </w:tcPr>
          <w:p>
            <w:pPr>
              <w:pStyle w:val="TableParagraph"/>
              <w:spacing w:line="206" w:lineRule="exact"/>
              <w:ind w:right="291"/>
              <w:jc w:val="right"/>
              <w:rPr>
                <w:rFonts w:ascii="宋体" w:hAnsi="宋体" w:cs="宋体" w:eastAsia="宋体" w:hint="default"/>
                <w:sz w:val="16"/>
                <w:szCs w:val="16"/>
              </w:rPr>
            </w:pPr>
            <w:r>
              <w:rPr>
                <w:rFonts w:ascii="宋体"/>
                <w:w w:val="95"/>
                <w:sz w:val="16"/>
              </w:rPr>
              <w:t>241,614,197,499</w:t>
            </w:r>
            <w:r>
              <w:rPr>
                <w:rFonts w:ascii="宋体"/>
                <w:sz w:val="16"/>
              </w:rPr>
            </w:r>
          </w:p>
        </w:tc>
        <w:tc>
          <w:tcPr>
            <w:tcW w:w="1605" w:type="dxa"/>
            <w:tcBorders>
              <w:top w:val="nil" w:sz="6" w:space="0" w:color="auto"/>
              <w:left w:val="nil" w:sz="6" w:space="0" w:color="auto"/>
              <w:bottom w:val="single" w:sz="6" w:space="0" w:color="000000"/>
              <w:right w:val="nil" w:sz="6" w:space="0" w:color="auto"/>
            </w:tcBorders>
          </w:tcPr>
          <w:p>
            <w:pPr>
              <w:pStyle w:val="TableParagraph"/>
              <w:spacing w:line="206" w:lineRule="exact"/>
              <w:ind w:right="82"/>
              <w:jc w:val="right"/>
              <w:rPr>
                <w:rFonts w:ascii="宋体" w:hAnsi="宋体" w:cs="宋体" w:eastAsia="宋体" w:hint="default"/>
                <w:sz w:val="16"/>
                <w:szCs w:val="16"/>
              </w:rPr>
            </w:pPr>
            <w:r>
              <w:rPr>
                <w:rFonts w:ascii="宋体"/>
                <w:w w:val="95"/>
                <w:sz w:val="16"/>
              </w:rPr>
              <w:t>341,569,319,407</w:t>
            </w:r>
            <w:r>
              <w:rPr>
                <w:rFonts w:ascii="宋体"/>
                <w:sz w:val="16"/>
              </w:rPr>
            </w:r>
          </w:p>
        </w:tc>
      </w:tr>
      <w:tr>
        <w:trPr>
          <w:trHeight w:val="348" w:hRule="exact"/>
        </w:trPr>
        <w:tc>
          <w:tcPr>
            <w:tcW w:w="2722"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85"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1445" w:type="dxa"/>
            <w:tcBorders>
              <w:top w:val="single" w:sz="6" w:space="0" w:color="000000"/>
              <w:left w:val="nil" w:sz="6" w:space="0" w:color="auto"/>
              <w:bottom w:val="nil" w:sz="6" w:space="0" w:color="auto"/>
              <w:right w:val="nil" w:sz="6" w:space="0" w:color="auto"/>
            </w:tcBorders>
          </w:tcPr>
          <w:p>
            <w:pPr/>
          </w:p>
        </w:tc>
        <w:tc>
          <w:tcPr>
            <w:tcW w:w="1814" w:type="dxa"/>
            <w:tcBorders>
              <w:top w:val="single" w:sz="6" w:space="0" w:color="000000"/>
              <w:left w:val="nil" w:sz="6" w:space="0" w:color="auto"/>
              <w:bottom w:val="nil" w:sz="6" w:space="0" w:color="auto"/>
              <w:right w:val="nil" w:sz="6" w:space="0" w:color="auto"/>
            </w:tcBorders>
            <w:shd w:val="clear" w:color="auto" w:fill="ECE7DD"/>
          </w:tcPr>
          <w:p>
            <w:pPr/>
          </w:p>
        </w:tc>
        <w:tc>
          <w:tcPr>
            <w:tcW w:w="2023" w:type="dxa"/>
            <w:tcBorders>
              <w:top w:val="single" w:sz="6" w:space="0" w:color="000000"/>
              <w:left w:val="nil" w:sz="6" w:space="0" w:color="auto"/>
              <w:bottom w:val="nil" w:sz="6" w:space="0" w:color="auto"/>
              <w:right w:val="nil" w:sz="6" w:space="0" w:color="auto"/>
            </w:tcBorders>
          </w:tcPr>
          <w:p>
            <w:pPr/>
          </w:p>
        </w:tc>
        <w:tc>
          <w:tcPr>
            <w:tcW w:w="1605" w:type="dxa"/>
            <w:tcBorders>
              <w:top w:val="single" w:sz="6" w:space="0" w:color="000000"/>
              <w:left w:val="nil" w:sz="6" w:space="0" w:color="auto"/>
              <w:bottom w:val="nil" w:sz="6" w:space="0" w:color="auto"/>
              <w:right w:val="nil" w:sz="6" w:space="0" w:color="auto"/>
            </w:tcBorders>
          </w:tcPr>
          <w:p>
            <w:pPr/>
          </w:p>
        </w:tc>
      </w:tr>
      <w:tr>
        <w:trPr>
          <w:trHeight w:val="275"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6"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1445" w:type="dxa"/>
            <w:tcBorders>
              <w:top w:val="nil" w:sz="6" w:space="0" w:color="auto"/>
              <w:left w:val="nil" w:sz="6" w:space="0" w:color="auto"/>
              <w:bottom w:val="nil" w:sz="6" w:space="0" w:color="auto"/>
              <w:right w:val="nil" w:sz="6" w:space="0" w:color="auto"/>
            </w:tcBorders>
          </w:tcPr>
          <w:p>
            <w:pPr>
              <w:pStyle w:val="TableParagraph"/>
              <w:spacing w:line="206" w:lineRule="exact"/>
              <w:ind w:left="141"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(25)</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3,173,172,976</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6" w:lineRule="exact"/>
              <w:ind w:right="320"/>
              <w:jc w:val="right"/>
              <w:rPr>
                <w:rFonts w:ascii="宋体" w:hAnsi="宋体" w:cs="宋体" w:eastAsia="宋体" w:hint="default"/>
                <w:sz w:val="16"/>
                <w:szCs w:val="16"/>
              </w:rPr>
            </w:pPr>
            <w:r>
              <w:rPr>
                <w:rFonts w:ascii="宋体"/>
                <w:w w:val="95"/>
                <w:sz w:val="16"/>
              </w:rPr>
              <w:t>3,473,122,937</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5"/>
                <w:sz w:val="16"/>
              </w:rPr>
              <w:t>4,495,455,998</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1"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(26)</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998,985,859</w:t>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17,981,334,362</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35,875,428,078</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1"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(27)</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3,055,491,131</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sz w:val="16"/>
              </w:rPr>
              <w:t>321,520,929</w:t>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264,119,740</w:t>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长期应付职工薪酬</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2"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(28)</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65,735,166</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w w:val="95"/>
                <w:sz w:val="16"/>
              </w:rPr>
              <w:t>64,133,145</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70,695,694</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递延收益</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2"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(29)</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3,609,138,904</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w w:val="95"/>
                <w:sz w:val="16"/>
              </w:rPr>
              <w:t>3,020,080,018</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2,997,614,441</w:t>
            </w:r>
            <w:r>
              <w:rPr>
                <w:rFonts w:ascii="宋体"/>
                <w:sz w:val="16"/>
              </w:rPr>
            </w:r>
          </w:p>
        </w:tc>
      </w:tr>
      <w:tr>
        <w:trPr>
          <w:trHeight w:val="272"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递延所得税负债</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2"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(48)</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125,457,945</w:t>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sz w:val="16"/>
              </w:rPr>
              <w:t>124,585,795</w:t>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127,750,269</w:t>
            </w:r>
          </w:p>
        </w:tc>
      </w:tr>
      <w:tr>
        <w:trPr>
          <w:trHeight w:val="331" w:hRule="exact"/>
        </w:trPr>
        <w:tc>
          <w:tcPr>
            <w:tcW w:w="2722" w:type="dxa"/>
            <w:tcBorders>
              <w:top w:val="nil" w:sz="6" w:space="0" w:color="auto"/>
              <w:left w:val="nil" w:sz="6" w:space="0" w:color="auto"/>
              <w:bottom w:val="single" w:sz="6" w:space="0" w:color="000000"/>
              <w:right w:val="nil" w:sz="6" w:space="0" w:color="auto"/>
            </w:tcBorders>
          </w:tcPr>
          <w:p>
            <w:pPr>
              <w:pStyle w:val="TableParagraph"/>
              <w:spacing w:line="206" w:lineRule="exact"/>
              <w:ind w:left="114" w:right="0"/>
              <w:jc w:val="left"/>
              <w:rPr>
                <w:rFonts w:ascii="宋体" w:hAnsi="宋体" w:cs="宋体" w:eastAsia="宋体" w:hint="default"/>
                <w:sz w:val="16"/>
                <w:szCs w:val="16"/>
              </w:rPr>
            </w:pPr>
            <w:r>
              <w:rPr>
                <w:rFonts w:ascii="宋体" w:hAnsi="宋体" w:cs="宋体" w:eastAsia="宋体" w:hint="default"/>
                <w:sz w:val="16"/>
                <w:szCs w:val="16"/>
              </w:rPr>
              <w:t>非流动负债合计</w:t>
            </w:r>
          </w:p>
        </w:tc>
        <w:tc>
          <w:tcPr>
            <w:tcW w:w="1445"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w w:val="95"/>
                <w:sz w:val="16"/>
              </w:rPr>
              <w:t>11,027,981,981</w:t>
            </w:r>
            <w:r>
              <w:rPr>
                <w:rFonts w:ascii="宋体"/>
                <w:sz w:val="16"/>
              </w:rPr>
            </w:r>
          </w:p>
        </w:tc>
        <w:tc>
          <w:tcPr>
            <w:tcW w:w="2023" w:type="dxa"/>
            <w:tcBorders>
              <w:top w:val="nil" w:sz="6" w:space="0" w:color="auto"/>
              <w:left w:val="nil" w:sz="6" w:space="0" w:color="auto"/>
              <w:bottom w:val="single" w:sz="6" w:space="0" w:color="000000"/>
              <w:right w:val="nil" w:sz="6" w:space="0" w:color="auto"/>
            </w:tcBorders>
          </w:tcPr>
          <w:p>
            <w:pPr>
              <w:pStyle w:val="TableParagraph"/>
              <w:spacing w:line="206" w:lineRule="exact"/>
              <w:ind w:right="319"/>
              <w:jc w:val="right"/>
              <w:rPr>
                <w:rFonts w:ascii="宋体" w:hAnsi="宋体" w:cs="宋体" w:eastAsia="宋体" w:hint="default"/>
                <w:sz w:val="16"/>
                <w:szCs w:val="16"/>
              </w:rPr>
            </w:pPr>
            <w:r>
              <w:rPr>
                <w:rFonts w:ascii="宋体"/>
                <w:w w:val="95"/>
                <w:sz w:val="16"/>
              </w:rPr>
              <w:t>24,984,777,186</w:t>
            </w:r>
            <w:r>
              <w:rPr>
                <w:rFonts w:ascii="宋体"/>
                <w:sz w:val="16"/>
              </w:rPr>
            </w:r>
          </w:p>
        </w:tc>
        <w:tc>
          <w:tcPr>
            <w:tcW w:w="1605" w:type="dxa"/>
            <w:tcBorders>
              <w:top w:val="nil" w:sz="6" w:space="0" w:color="auto"/>
              <w:left w:val="nil" w:sz="6" w:space="0" w:color="auto"/>
              <w:bottom w:val="single" w:sz="6" w:space="0" w:color="000000"/>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95"/>
                <w:sz w:val="16"/>
              </w:rPr>
              <w:t>43,831,064,220</w:t>
            </w:r>
            <w:r>
              <w:rPr>
                <w:rFonts w:ascii="宋体"/>
                <w:sz w:val="16"/>
              </w:rPr>
            </w:r>
          </w:p>
        </w:tc>
      </w:tr>
      <w:tr>
        <w:trPr>
          <w:trHeight w:val="407" w:hRule="exact"/>
        </w:trPr>
        <w:tc>
          <w:tcPr>
            <w:tcW w:w="4167" w:type="dxa"/>
            <w:gridSpan w:val="2"/>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负债合计</w:t>
            </w:r>
          </w:p>
        </w:tc>
        <w:tc>
          <w:tcPr>
            <w:tcW w:w="1814"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224,821,990,766</w:t>
            </w:r>
            <w:r>
              <w:rPr>
                <w:rFonts w:ascii="宋体"/>
                <w:sz w:val="16"/>
              </w:rPr>
            </w:r>
          </w:p>
        </w:tc>
        <w:tc>
          <w:tcPr>
            <w:tcW w:w="202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320"/>
              <w:jc w:val="right"/>
              <w:rPr>
                <w:rFonts w:ascii="宋体" w:hAnsi="宋体" w:cs="宋体" w:eastAsia="宋体" w:hint="default"/>
                <w:sz w:val="16"/>
                <w:szCs w:val="16"/>
              </w:rPr>
            </w:pPr>
            <w:r>
              <w:rPr>
                <w:rFonts w:ascii="宋体"/>
                <w:w w:val="95"/>
                <w:sz w:val="16"/>
              </w:rPr>
              <w:t>266,598,974,685</w:t>
            </w:r>
            <w:r>
              <w:rPr>
                <w:rFonts w:ascii="宋体"/>
                <w:sz w:val="16"/>
              </w:rPr>
            </w:r>
          </w:p>
        </w:tc>
        <w:tc>
          <w:tcPr>
            <w:tcW w:w="1605"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385,400,383,627</w:t>
            </w:r>
            <w:r>
              <w:rPr>
                <w:rFonts w:ascii="宋体"/>
                <w:sz w:val="16"/>
              </w:rPr>
            </w:r>
          </w:p>
        </w:tc>
      </w:tr>
      <w:tr>
        <w:trPr>
          <w:trHeight w:val="348" w:hRule="exact"/>
        </w:trPr>
        <w:tc>
          <w:tcPr>
            <w:tcW w:w="2722"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股东权益</w:t>
            </w:r>
          </w:p>
        </w:tc>
        <w:tc>
          <w:tcPr>
            <w:tcW w:w="1445" w:type="dxa"/>
            <w:tcBorders>
              <w:top w:val="single" w:sz="6" w:space="0" w:color="000000"/>
              <w:left w:val="nil" w:sz="6" w:space="0" w:color="auto"/>
              <w:bottom w:val="nil" w:sz="6" w:space="0" w:color="auto"/>
              <w:right w:val="nil" w:sz="6" w:space="0" w:color="auto"/>
            </w:tcBorders>
          </w:tcPr>
          <w:p>
            <w:pPr/>
          </w:p>
        </w:tc>
        <w:tc>
          <w:tcPr>
            <w:tcW w:w="1814" w:type="dxa"/>
            <w:tcBorders>
              <w:top w:val="single" w:sz="6" w:space="0" w:color="000000"/>
              <w:left w:val="nil" w:sz="6" w:space="0" w:color="auto"/>
              <w:bottom w:val="nil" w:sz="6" w:space="0" w:color="auto"/>
              <w:right w:val="nil" w:sz="6" w:space="0" w:color="auto"/>
            </w:tcBorders>
            <w:shd w:val="clear" w:color="auto" w:fill="ECE7DD"/>
          </w:tcPr>
          <w:p>
            <w:pPr/>
          </w:p>
        </w:tc>
        <w:tc>
          <w:tcPr>
            <w:tcW w:w="2023" w:type="dxa"/>
            <w:tcBorders>
              <w:top w:val="single" w:sz="6" w:space="0" w:color="000000"/>
              <w:left w:val="nil" w:sz="6" w:space="0" w:color="auto"/>
              <w:bottom w:val="nil" w:sz="6" w:space="0" w:color="auto"/>
              <w:right w:val="nil" w:sz="6" w:space="0" w:color="auto"/>
            </w:tcBorders>
          </w:tcPr>
          <w:p>
            <w:pPr/>
          </w:p>
        </w:tc>
        <w:tc>
          <w:tcPr>
            <w:tcW w:w="1605" w:type="dxa"/>
            <w:tcBorders>
              <w:top w:val="single" w:sz="6" w:space="0" w:color="000000"/>
              <w:left w:val="nil" w:sz="6" w:space="0" w:color="auto"/>
              <w:bottom w:val="nil" w:sz="6" w:space="0" w:color="auto"/>
              <w:right w:val="nil" w:sz="6" w:space="0" w:color="auto"/>
            </w:tcBorders>
          </w:tcPr>
          <w:p>
            <w:pPr/>
          </w:p>
        </w:tc>
      </w:tr>
      <w:tr>
        <w:trPr>
          <w:trHeight w:val="275"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6" w:lineRule="exact"/>
              <w:ind w:left="283" w:right="0"/>
              <w:jc w:val="left"/>
              <w:rPr>
                <w:rFonts w:ascii="宋体" w:hAnsi="宋体" w:cs="宋体" w:eastAsia="宋体" w:hint="default"/>
                <w:sz w:val="16"/>
                <w:szCs w:val="16"/>
              </w:rPr>
            </w:pPr>
            <w:r>
              <w:rPr>
                <w:rFonts w:ascii="宋体" w:hAnsi="宋体" w:cs="宋体" w:eastAsia="宋体" w:hint="default"/>
                <w:sz w:val="16"/>
                <w:szCs w:val="16"/>
              </w:rPr>
              <w:t>股本</w:t>
            </w:r>
          </w:p>
        </w:tc>
        <w:tc>
          <w:tcPr>
            <w:tcW w:w="1445" w:type="dxa"/>
            <w:tcBorders>
              <w:top w:val="nil" w:sz="6" w:space="0" w:color="auto"/>
              <w:left w:val="nil" w:sz="6" w:space="0" w:color="auto"/>
              <w:bottom w:val="nil" w:sz="6" w:space="0" w:color="auto"/>
              <w:right w:val="nil" w:sz="6" w:space="0" w:color="auto"/>
            </w:tcBorders>
          </w:tcPr>
          <w:p>
            <w:pPr>
              <w:pStyle w:val="TableParagraph"/>
              <w:spacing w:line="206" w:lineRule="exact"/>
              <w:ind w:left="141"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(30)</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31,027,811,687</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6" w:lineRule="exact"/>
              <w:ind w:right="320"/>
              <w:jc w:val="right"/>
              <w:rPr>
                <w:rFonts w:ascii="宋体" w:hAnsi="宋体" w:cs="宋体" w:eastAsia="宋体" w:hint="default"/>
                <w:sz w:val="16"/>
                <w:szCs w:val="16"/>
              </w:rPr>
            </w:pPr>
            <w:r>
              <w:rPr>
                <w:rFonts w:ascii="宋体"/>
                <w:w w:val="95"/>
                <w:sz w:val="16"/>
              </w:rPr>
              <w:t>30,233,950,687</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5"/>
                <w:sz w:val="16"/>
              </w:rPr>
              <w:t>21,196,596,395</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1"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(31)</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79,543,568,623</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5"/>
                <w:sz w:val="16"/>
              </w:rPr>
              <w:t>76,346,331,405</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27,811,532,309</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减：库存股</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1"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(32)</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(2,993,014,742)</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131"/>
                <w:sz w:val="16"/>
              </w:rPr>
              <w:t>-</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其他综合收益</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1"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(33)</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(2,503,550,854)</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20"/>
              <w:jc w:val="right"/>
              <w:rPr>
                <w:rFonts w:ascii="宋体" w:hAnsi="宋体" w:cs="宋体" w:eastAsia="宋体" w:hint="default"/>
                <w:sz w:val="16"/>
                <w:szCs w:val="16"/>
              </w:rPr>
            </w:pPr>
            <w:r>
              <w:rPr>
                <w:rFonts w:ascii="宋体"/>
                <w:w w:val="90"/>
                <w:sz w:val="16"/>
              </w:rPr>
              <w:t>(2,395,862,753)</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(2,288,586,590)</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一般风险准备</w:t>
            </w:r>
          </w:p>
        </w:tc>
        <w:tc>
          <w:tcPr>
            <w:tcW w:w="1445"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205,458,044</w:t>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21"/>
              <w:jc w:val="right"/>
              <w:rPr>
                <w:rFonts w:ascii="宋体" w:hAnsi="宋体" w:cs="宋体" w:eastAsia="宋体" w:hint="default"/>
                <w:sz w:val="16"/>
                <w:szCs w:val="16"/>
              </w:rPr>
            </w:pPr>
            <w:r>
              <w:rPr>
                <w:rFonts w:ascii="宋体"/>
                <w:w w:val="95"/>
                <w:sz w:val="16"/>
              </w:rPr>
              <w:t>97,055,713</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11,721,905</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2"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(34)</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1,412,023,687</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w w:val="95"/>
                <w:sz w:val="16"/>
              </w:rPr>
              <w:t>1,338,484,194</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1,338,484,194</w:t>
            </w:r>
            <w:r>
              <w:rPr>
                <w:rFonts w:ascii="宋体"/>
                <w:sz w:val="16"/>
              </w:rPr>
            </w:r>
          </w:p>
        </w:tc>
      </w:tr>
      <w:tr>
        <w:trPr>
          <w:trHeight w:val="273" w:hRule="exact"/>
        </w:trPr>
        <w:tc>
          <w:tcPr>
            <w:tcW w:w="2722"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1445" w:type="dxa"/>
            <w:tcBorders>
              <w:top w:val="nil" w:sz="6" w:space="0" w:color="auto"/>
              <w:left w:val="nil" w:sz="6" w:space="0" w:color="auto"/>
              <w:bottom w:val="nil" w:sz="6" w:space="0" w:color="auto"/>
              <w:right w:val="nil" w:sz="6" w:space="0" w:color="auto"/>
            </w:tcBorders>
          </w:tcPr>
          <w:p>
            <w:pPr>
              <w:pStyle w:val="TableParagraph"/>
              <w:spacing w:line="205" w:lineRule="exact"/>
              <w:ind w:left="142" w:right="0"/>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(35)</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33,452,065,245</w:t>
            </w:r>
            <w:r>
              <w:rPr>
                <w:rFonts w:ascii="宋体"/>
                <w:sz w:val="16"/>
              </w:rPr>
            </w:r>
          </w:p>
        </w:tc>
        <w:tc>
          <w:tcPr>
            <w:tcW w:w="2023" w:type="dxa"/>
            <w:tcBorders>
              <w:top w:val="nil" w:sz="6" w:space="0" w:color="auto"/>
              <w:left w:val="nil" w:sz="6" w:space="0" w:color="auto"/>
              <w:bottom w:val="nil" w:sz="6" w:space="0" w:color="auto"/>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w w:val="95"/>
                <w:sz w:val="16"/>
              </w:rPr>
              <w:t>29,773,369,882</w:t>
            </w:r>
            <w:r>
              <w:rPr>
                <w:rFonts w:ascii="宋体"/>
                <w:sz w:val="16"/>
              </w:rPr>
            </w:r>
          </w:p>
        </w:tc>
        <w:tc>
          <w:tcPr>
            <w:tcW w:w="160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29,432,859,036</w:t>
            </w:r>
            <w:r>
              <w:rPr>
                <w:rFonts w:ascii="宋体"/>
                <w:sz w:val="16"/>
              </w:rPr>
            </w:r>
          </w:p>
        </w:tc>
      </w:tr>
      <w:tr>
        <w:trPr>
          <w:trHeight w:val="330" w:hRule="exact"/>
        </w:trPr>
        <w:tc>
          <w:tcPr>
            <w:tcW w:w="2722" w:type="dxa"/>
            <w:tcBorders>
              <w:top w:val="nil" w:sz="6" w:space="0" w:color="auto"/>
              <w:left w:val="nil" w:sz="6" w:space="0" w:color="auto"/>
              <w:bottom w:val="single" w:sz="6" w:space="0" w:color="000000"/>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归属于母公司股东权益合计</w:t>
            </w:r>
          </w:p>
        </w:tc>
        <w:tc>
          <w:tcPr>
            <w:tcW w:w="1445"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140,144,361,690</w:t>
            </w:r>
            <w:r>
              <w:rPr>
                <w:rFonts w:ascii="宋体"/>
                <w:sz w:val="16"/>
              </w:rPr>
            </w:r>
          </w:p>
        </w:tc>
        <w:tc>
          <w:tcPr>
            <w:tcW w:w="2023" w:type="dxa"/>
            <w:tcBorders>
              <w:top w:val="nil" w:sz="6" w:space="0" w:color="auto"/>
              <w:left w:val="nil" w:sz="6" w:space="0" w:color="auto"/>
              <w:bottom w:val="single" w:sz="6" w:space="0" w:color="000000"/>
              <w:right w:val="nil" w:sz="6" w:space="0" w:color="auto"/>
            </w:tcBorders>
          </w:tcPr>
          <w:p>
            <w:pPr>
              <w:pStyle w:val="TableParagraph"/>
              <w:spacing w:line="205" w:lineRule="exact"/>
              <w:ind w:right="319"/>
              <w:jc w:val="right"/>
              <w:rPr>
                <w:rFonts w:ascii="宋体" w:hAnsi="宋体" w:cs="宋体" w:eastAsia="宋体" w:hint="default"/>
                <w:sz w:val="16"/>
                <w:szCs w:val="16"/>
              </w:rPr>
            </w:pPr>
            <w:r>
              <w:rPr>
                <w:rFonts w:ascii="宋体"/>
                <w:w w:val="95"/>
                <w:sz w:val="16"/>
              </w:rPr>
              <w:t>135,393,329,128</w:t>
            </w:r>
            <w:r>
              <w:rPr>
                <w:rFonts w:ascii="宋体"/>
                <w:sz w:val="16"/>
              </w:rPr>
            </w:r>
          </w:p>
        </w:tc>
        <w:tc>
          <w:tcPr>
            <w:tcW w:w="1605"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77,502,607,249</w:t>
            </w:r>
            <w:r>
              <w:rPr>
                <w:rFonts w:ascii="宋体"/>
                <w:sz w:val="16"/>
              </w:rPr>
            </w:r>
          </w:p>
        </w:tc>
      </w:tr>
      <w:tr>
        <w:trPr>
          <w:trHeight w:val="348" w:hRule="exact"/>
        </w:trPr>
        <w:tc>
          <w:tcPr>
            <w:tcW w:w="4167" w:type="dxa"/>
            <w:gridSpan w:val="2"/>
            <w:tcBorders>
              <w:top w:val="single" w:sz="6" w:space="0" w:color="000000"/>
              <w:left w:val="nil" w:sz="6" w:space="0" w:color="auto"/>
              <w:bottom w:val="nil" w:sz="6" w:space="0" w:color="auto"/>
              <w:right w:val="nil" w:sz="6" w:space="0" w:color="auto"/>
            </w:tcBorders>
          </w:tcPr>
          <w:p>
            <w:pPr>
              <w:pStyle w:val="TableParagraph"/>
              <w:spacing w:line="240" w:lineRule="auto" w:before="64"/>
              <w:ind w:left="283" w:right="0"/>
              <w:jc w:val="left"/>
              <w:rPr>
                <w:rFonts w:ascii="宋体" w:hAnsi="宋体" w:cs="宋体" w:eastAsia="宋体" w:hint="default"/>
                <w:sz w:val="16"/>
                <w:szCs w:val="16"/>
              </w:rPr>
            </w:pPr>
            <w:r>
              <w:rPr>
                <w:rFonts w:ascii="宋体" w:hAnsi="宋体" w:cs="宋体" w:eastAsia="宋体" w:hint="default"/>
                <w:sz w:val="16"/>
                <w:szCs w:val="16"/>
              </w:rPr>
              <w:t>少数股东权益</w:t>
            </w:r>
          </w:p>
        </w:tc>
        <w:tc>
          <w:tcPr>
            <w:tcW w:w="1814" w:type="dxa"/>
            <w:tcBorders>
              <w:top w:val="single" w:sz="6" w:space="0" w:color="000000"/>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176,795,931,528</w:t>
            </w:r>
            <w:r>
              <w:rPr>
                <w:rFonts w:ascii="宋体"/>
                <w:sz w:val="16"/>
              </w:rPr>
            </w:r>
          </w:p>
        </w:tc>
        <w:tc>
          <w:tcPr>
            <w:tcW w:w="2023"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320"/>
              <w:jc w:val="right"/>
              <w:rPr>
                <w:rFonts w:ascii="宋体" w:hAnsi="宋体" w:cs="宋体" w:eastAsia="宋体" w:hint="default"/>
                <w:sz w:val="16"/>
                <w:szCs w:val="16"/>
              </w:rPr>
            </w:pPr>
            <w:r>
              <w:rPr>
                <w:rFonts w:ascii="宋体"/>
                <w:w w:val="95"/>
                <w:sz w:val="16"/>
              </w:rPr>
              <w:t>171,625,033,987</w:t>
            </w:r>
            <w:r>
              <w:rPr>
                <w:rFonts w:ascii="宋体"/>
                <w:sz w:val="16"/>
              </w:rPr>
            </w:r>
          </w:p>
        </w:tc>
        <w:tc>
          <w:tcPr>
            <w:tcW w:w="1605"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153,004,361,830</w:t>
            </w:r>
            <w:r>
              <w:rPr>
                <w:rFonts w:ascii="宋体"/>
                <w:sz w:val="16"/>
              </w:rPr>
            </w:r>
          </w:p>
        </w:tc>
      </w:tr>
      <w:tr>
        <w:trPr>
          <w:trHeight w:val="332" w:hRule="exact"/>
        </w:trPr>
        <w:tc>
          <w:tcPr>
            <w:tcW w:w="4167" w:type="dxa"/>
            <w:gridSpan w:val="2"/>
            <w:tcBorders>
              <w:top w:val="nil" w:sz="6" w:space="0" w:color="auto"/>
              <w:left w:val="nil" w:sz="6" w:space="0" w:color="auto"/>
              <w:bottom w:val="single" w:sz="6" w:space="0" w:color="000000"/>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股东权益合计</w:t>
            </w: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w w:val="95"/>
                <w:sz w:val="16"/>
              </w:rPr>
              <w:t>316,940,293,218</w:t>
            </w:r>
            <w:r>
              <w:rPr>
                <w:rFonts w:ascii="宋体"/>
                <w:sz w:val="16"/>
              </w:rPr>
            </w:r>
          </w:p>
        </w:tc>
        <w:tc>
          <w:tcPr>
            <w:tcW w:w="2023" w:type="dxa"/>
            <w:tcBorders>
              <w:top w:val="nil" w:sz="6" w:space="0" w:color="auto"/>
              <w:left w:val="nil" w:sz="6" w:space="0" w:color="auto"/>
              <w:bottom w:val="single" w:sz="6" w:space="0" w:color="000000"/>
              <w:right w:val="nil" w:sz="6" w:space="0" w:color="auto"/>
            </w:tcBorders>
          </w:tcPr>
          <w:p>
            <w:pPr>
              <w:pStyle w:val="TableParagraph"/>
              <w:spacing w:line="206" w:lineRule="exact"/>
              <w:ind w:right="321"/>
              <w:jc w:val="right"/>
              <w:rPr>
                <w:rFonts w:ascii="宋体" w:hAnsi="宋体" w:cs="宋体" w:eastAsia="宋体" w:hint="default"/>
                <w:sz w:val="16"/>
                <w:szCs w:val="16"/>
              </w:rPr>
            </w:pPr>
            <w:r>
              <w:rPr>
                <w:rFonts w:ascii="宋体"/>
                <w:w w:val="95"/>
                <w:sz w:val="16"/>
              </w:rPr>
              <w:t>307,018,363,115</w:t>
            </w:r>
            <w:r>
              <w:rPr>
                <w:rFonts w:ascii="宋体"/>
                <w:sz w:val="16"/>
              </w:rPr>
            </w:r>
          </w:p>
        </w:tc>
        <w:tc>
          <w:tcPr>
            <w:tcW w:w="1605" w:type="dxa"/>
            <w:tcBorders>
              <w:top w:val="nil" w:sz="6" w:space="0" w:color="auto"/>
              <w:left w:val="nil" w:sz="6" w:space="0" w:color="auto"/>
              <w:bottom w:val="single" w:sz="6" w:space="0" w:color="000000"/>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5"/>
                <w:sz w:val="16"/>
              </w:rPr>
              <w:t>230,506,969,079</w:t>
            </w:r>
            <w:r>
              <w:rPr>
                <w:rFonts w:ascii="宋体"/>
                <w:sz w:val="16"/>
              </w:rPr>
            </w:r>
          </w:p>
        </w:tc>
      </w:tr>
      <w:tr>
        <w:trPr>
          <w:trHeight w:val="414" w:hRule="exact"/>
        </w:trPr>
        <w:tc>
          <w:tcPr>
            <w:tcW w:w="4167"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负债和股东权益总计</w:t>
            </w:r>
          </w:p>
        </w:tc>
        <w:tc>
          <w:tcPr>
            <w:tcW w:w="181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541,762,283,984</w:t>
            </w:r>
            <w:r>
              <w:rPr>
                <w:rFonts w:ascii="宋体"/>
                <w:sz w:val="16"/>
              </w:rPr>
            </w:r>
          </w:p>
        </w:tc>
        <w:tc>
          <w:tcPr>
            <w:tcW w:w="202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20"/>
              <w:jc w:val="right"/>
              <w:rPr>
                <w:rFonts w:ascii="宋体" w:hAnsi="宋体" w:cs="宋体" w:eastAsia="宋体" w:hint="default"/>
                <w:sz w:val="16"/>
                <w:szCs w:val="16"/>
              </w:rPr>
            </w:pPr>
            <w:r>
              <w:rPr>
                <w:rFonts w:ascii="宋体"/>
                <w:w w:val="95"/>
                <w:sz w:val="16"/>
              </w:rPr>
              <w:t>573,617,337,800</w:t>
            </w:r>
            <w:r>
              <w:rPr>
                <w:rFonts w:ascii="宋体"/>
                <w:sz w:val="16"/>
              </w:rPr>
            </w:r>
          </w:p>
        </w:tc>
        <w:tc>
          <w:tcPr>
            <w:tcW w:w="160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615,907,352,706</w:t>
            </w:r>
            <w:r>
              <w:rPr>
                <w:rFonts w:ascii="宋体"/>
                <w:sz w:val="16"/>
              </w:rPr>
            </w:r>
          </w:p>
        </w:tc>
      </w:tr>
    </w:tbl>
    <w:p>
      <w:pPr>
        <w:spacing w:line="240" w:lineRule="auto" w:before="1"/>
        <w:rPr>
          <w:rFonts w:ascii="宋体" w:hAnsi="宋体" w:cs="宋体" w:eastAsia="宋体" w:hint="default"/>
          <w:sz w:val="24"/>
          <w:szCs w:val="24"/>
        </w:rPr>
      </w:pPr>
    </w:p>
    <w:p>
      <w:pPr>
        <w:pStyle w:val="BodyText"/>
        <w:spacing w:line="240" w:lineRule="auto" w:before="31"/>
        <w:ind w:left="133" w:right="0"/>
        <w:jc w:val="left"/>
      </w:pPr>
      <w:r>
        <w:rPr/>
        <w:t>后附财务报表附注为财务报表的组成部分。</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2"/>
          <w:szCs w:val="22"/>
        </w:rPr>
      </w:pPr>
    </w:p>
    <w:p>
      <w:pPr>
        <w:pStyle w:val="BodyText"/>
        <w:tabs>
          <w:tab w:pos="3041" w:val="left" w:leader="none"/>
          <w:tab w:pos="6641" w:val="left" w:leader="none"/>
        </w:tabs>
        <w:spacing w:line="240" w:lineRule="auto"/>
        <w:ind w:left="133" w:right="0"/>
        <w:jc w:val="left"/>
      </w:pPr>
      <w:r>
        <w:rPr/>
        <w:t>董事长：王晓初</w:t>
        <w:tab/>
        <w:t>财务负责人：姜爱华</w:t>
        <w:tab/>
        <w:t>财务部总经理：王芳</w:t>
      </w:r>
    </w:p>
    <w:p>
      <w:pPr>
        <w:spacing w:after="0" w:line="240" w:lineRule="auto"/>
        <w:jc w:val="left"/>
        <w:sectPr>
          <w:headerReference w:type="even" r:id="rId255"/>
          <w:footerReference w:type="even" r:id="rId256"/>
          <w:footerReference w:type="default" r:id="rId257"/>
          <w:pgSz w:w="11910" w:h="16160"/>
          <w:pgMar w:header="0" w:footer="321" w:top="1100" w:bottom="520" w:left="660" w:right="1340"/>
          <w:pgNumType w:start="88"/>
        </w:sectPr>
      </w:pPr>
    </w:p>
    <w:p>
      <w:pPr>
        <w:pStyle w:val="Heading3"/>
        <w:spacing w:line="487" w:lineRule="exact"/>
        <w:ind w:left="134" w:right="125"/>
        <w:jc w:val="left"/>
        <w:rPr>
          <w:rFonts w:ascii="宋体" w:hAnsi="宋体" w:cs="宋体" w:eastAsia="宋体" w:hint="default"/>
        </w:rPr>
      </w:pPr>
      <w:r>
        <w:rPr>
          <w:rFonts w:ascii="宋体" w:hAnsi="宋体" w:cs="宋体" w:eastAsia="宋体" w:hint="default"/>
          <w:color w:val="9F8958"/>
        </w:rPr>
        <w:t>公司资产负债表</w:t>
      </w:r>
      <w:r>
        <w:rPr>
          <w:rFonts w:ascii="宋体" w:hAnsi="宋体" w:cs="宋体" w:eastAsia="宋体" w:hint="default"/>
        </w:rPr>
      </w:r>
    </w:p>
    <w:p>
      <w:pPr>
        <w:spacing w:line="201" w:lineRule="exact" w:before="103"/>
        <w:ind w:left="134" w:right="125" w:firstLine="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4"/>
          <w:w w:val="105"/>
          <w:sz w:val="16"/>
          <w:szCs w:val="16"/>
        </w:rPr>
        <w:t> </w:t>
      </w:r>
      <w:r>
        <w:rPr>
          <w:rFonts w:ascii="宋体" w:hAnsi="宋体" w:cs="宋体" w:eastAsia="宋体" w:hint="default"/>
          <w:w w:val="105"/>
          <w:sz w:val="16"/>
          <w:szCs w:val="16"/>
        </w:rPr>
        <w:t>年</w:t>
      </w:r>
      <w:r>
        <w:rPr>
          <w:rFonts w:ascii="宋体" w:hAnsi="宋体" w:cs="宋体" w:eastAsia="宋体" w:hint="default"/>
          <w:spacing w:val="-53"/>
          <w:w w:val="105"/>
          <w:sz w:val="16"/>
          <w:szCs w:val="16"/>
        </w:rPr>
        <w:t> </w:t>
      </w:r>
      <w:r>
        <w:rPr>
          <w:rFonts w:ascii="宋体" w:hAnsi="宋体" w:cs="宋体" w:eastAsia="宋体" w:hint="default"/>
          <w:w w:val="105"/>
          <w:sz w:val="16"/>
          <w:szCs w:val="16"/>
        </w:rPr>
        <w:t>12</w:t>
      </w:r>
      <w:r>
        <w:rPr>
          <w:rFonts w:ascii="宋体" w:hAnsi="宋体" w:cs="宋体" w:eastAsia="宋体" w:hint="default"/>
          <w:spacing w:val="-54"/>
          <w:w w:val="105"/>
          <w:sz w:val="16"/>
          <w:szCs w:val="16"/>
        </w:rPr>
        <w:t> </w:t>
      </w:r>
      <w:r>
        <w:rPr>
          <w:rFonts w:ascii="宋体" w:hAnsi="宋体" w:cs="宋体" w:eastAsia="宋体" w:hint="default"/>
          <w:w w:val="105"/>
          <w:sz w:val="16"/>
          <w:szCs w:val="16"/>
        </w:rPr>
        <w:t>月</w:t>
      </w:r>
      <w:r>
        <w:rPr>
          <w:rFonts w:ascii="宋体" w:hAnsi="宋体" w:cs="宋体" w:eastAsia="宋体" w:hint="default"/>
          <w:spacing w:val="-53"/>
          <w:w w:val="105"/>
          <w:sz w:val="16"/>
          <w:szCs w:val="16"/>
        </w:rPr>
        <w:t> </w:t>
      </w:r>
      <w:r>
        <w:rPr>
          <w:rFonts w:ascii="宋体" w:hAnsi="宋体" w:cs="宋体" w:eastAsia="宋体" w:hint="default"/>
          <w:w w:val="105"/>
          <w:sz w:val="16"/>
          <w:szCs w:val="16"/>
        </w:rPr>
        <w:t>31</w:t>
      </w:r>
      <w:r>
        <w:rPr>
          <w:rFonts w:ascii="宋体" w:hAnsi="宋体" w:cs="宋体" w:eastAsia="宋体" w:hint="default"/>
          <w:spacing w:val="-54"/>
          <w:w w:val="105"/>
          <w:sz w:val="16"/>
          <w:szCs w:val="16"/>
        </w:rPr>
        <w:t> </w:t>
      </w:r>
      <w:r>
        <w:rPr>
          <w:rFonts w:ascii="宋体" w:hAnsi="宋体" w:cs="宋体" w:eastAsia="宋体" w:hint="default"/>
          <w:w w:val="105"/>
          <w:sz w:val="16"/>
          <w:szCs w:val="16"/>
        </w:rPr>
        <w:t>日公司资产负债表</w:t>
      </w:r>
    </w:p>
    <w:p>
      <w:pPr>
        <w:spacing w:line="201" w:lineRule="exact" w:before="0"/>
        <w:ind w:left="134" w:right="125"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304"/>
        <w:gridCol w:w="1863"/>
        <w:gridCol w:w="1814"/>
        <w:gridCol w:w="2056"/>
        <w:gridCol w:w="1573"/>
      </w:tblGrid>
      <w:tr>
        <w:trPr>
          <w:trHeight w:val="559" w:hRule="exact"/>
        </w:trPr>
        <w:tc>
          <w:tcPr>
            <w:tcW w:w="2304"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资产</w:t>
            </w:r>
          </w:p>
        </w:tc>
        <w:tc>
          <w:tcPr>
            <w:tcW w:w="1863"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right="532"/>
              <w:jc w:val="right"/>
              <w:rPr>
                <w:rFonts w:ascii="宋体" w:hAnsi="宋体" w:cs="宋体" w:eastAsia="宋体" w:hint="default"/>
                <w:sz w:val="16"/>
                <w:szCs w:val="16"/>
              </w:rPr>
            </w:pPr>
            <w:r>
              <w:rPr>
                <w:rFonts w:ascii="宋体" w:hAnsi="宋体" w:cs="宋体" w:eastAsia="宋体" w:hint="default"/>
                <w:sz w:val="16"/>
                <w:szCs w:val="16"/>
              </w:rPr>
              <w:t>附注</w:t>
            </w:r>
          </w:p>
        </w:tc>
        <w:tc>
          <w:tcPr>
            <w:tcW w:w="181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16"/>
              <w:ind w:right="82"/>
              <w:jc w:val="right"/>
              <w:rPr>
                <w:rFonts w:ascii="宋体" w:hAnsi="宋体" w:cs="宋体" w:eastAsia="宋体" w:hint="default"/>
                <w:sz w:val="16"/>
                <w:szCs w:val="16"/>
              </w:rPr>
            </w:pPr>
            <w:r>
              <w:rPr>
                <w:rFonts w:ascii="宋体" w:hAnsi="宋体" w:cs="宋体" w:eastAsia="宋体" w:hint="default"/>
                <w:spacing w:val="-6"/>
                <w:w w:val="110"/>
                <w:sz w:val="16"/>
                <w:szCs w:val="16"/>
              </w:rPr>
              <w:t>2018</w:t>
            </w:r>
            <w:r>
              <w:rPr>
                <w:rFonts w:ascii="宋体" w:hAnsi="宋体" w:cs="宋体" w:eastAsia="宋体" w:hint="default"/>
                <w:spacing w:val="-63"/>
                <w:w w:val="110"/>
                <w:sz w:val="16"/>
                <w:szCs w:val="16"/>
              </w:rPr>
              <w:t> </w:t>
            </w:r>
            <w:r>
              <w:rPr>
                <w:rFonts w:ascii="宋体" w:hAnsi="宋体" w:cs="宋体" w:eastAsia="宋体" w:hint="default"/>
                <w:w w:val="110"/>
                <w:sz w:val="16"/>
                <w:szCs w:val="16"/>
              </w:rPr>
              <w:t>年</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12</w:t>
            </w:r>
            <w:r>
              <w:rPr>
                <w:rFonts w:ascii="宋体" w:hAnsi="宋体" w:cs="宋体" w:eastAsia="宋体" w:hint="default"/>
                <w:spacing w:val="-63"/>
                <w:w w:val="110"/>
                <w:sz w:val="16"/>
                <w:szCs w:val="16"/>
              </w:rPr>
              <w:t> </w:t>
            </w:r>
            <w:r>
              <w:rPr>
                <w:rFonts w:ascii="宋体" w:hAnsi="宋体" w:cs="宋体" w:eastAsia="宋体" w:hint="default"/>
                <w:w w:val="110"/>
                <w:sz w:val="16"/>
                <w:szCs w:val="16"/>
              </w:rPr>
              <w:t>月</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31</w:t>
            </w:r>
            <w:r>
              <w:rPr>
                <w:rFonts w:ascii="宋体" w:hAnsi="宋体" w:cs="宋体" w:eastAsia="宋体" w:hint="default"/>
                <w:spacing w:val="-63"/>
                <w:w w:val="110"/>
                <w:sz w:val="16"/>
                <w:szCs w:val="16"/>
              </w:rPr>
              <w:t> </w:t>
            </w:r>
            <w:r>
              <w:rPr>
                <w:rFonts w:ascii="宋体" w:hAnsi="宋体" w:cs="宋体" w:eastAsia="宋体" w:hint="default"/>
                <w:w w:val="110"/>
                <w:sz w:val="16"/>
                <w:szCs w:val="16"/>
              </w:rPr>
              <w:t>日</w:t>
            </w:r>
          </w:p>
          <w:p>
            <w:pPr>
              <w:pStyle w:val="TableParagraph"/>
              <w:spacing w:line="205" w:lineRule="exact"/>
              <w:ind w:right="89"/>
              <w:jc w:val="right"/>
              <w:rPr>
                <w:rFonts w:ascii="宋体" w:hAnsi="宋体" w:cs="宋体" w:eastAsia="宋体" w:hint="default"/>
                <w:sz w:val="16"/>
                <w:szCs w:val="16"/>
              </w:rPr>
            </w:pPr>
            <w:r>
              <w:rPr>
                <w:rFonts w:ascii="宋体" w:hAnsi="宋体" w:cs="宋体" w:eastAsia="宋体" w:hint="default"/>
                <w:spacing w:val="-7"/>
                <w:w w:val="95"/>
                <w:sz w:val="16"/>
                <w:szCs w:val="16"/>
              </w:rPr>
              <w:t>公司</w:t>
            </w:r>
            <w:r>
              <w:rPr>
                <w:rFonts w:ascii="宋体" w:hAnsi="宋体" w:cs="宋体" w:eastAsia="宋体" w:hint="default"/>
                <w:w w:val="95"/>
                <w:sz w:val="16"/>
                <w:szCs w:val="16"/>
              </w:rPr>
            </w:r>
          </w:p>
        </w:tc>
        <w:tc>
          <w:tcPr>
            <w:tcW w:w="2056" w:type="dxa"/>
            <w:tcBorders>
              <w:top w:val="nil" w:sz="6" w:space="0" w:color="auto"/>
              <w:left w:val="nil" w:sz="6" w:space="0" w:color="auto"/>
              <w:bottom w:val="single" w:sz="16" w:space="0" w:color="9F8958"/>
              <w:right w:val="nil" w:sz="6" w:space="0" w:color="auto"/>
            </w:tcBorders>
          </w:tcPr>
          <w:p>
            <w:pPr>
              <w:pStyle w:val="TableParagraph"/>
              <w:spacing w:line="205" w:lineRule="exact" w:before="16"/>
              <w:ind w:right="324"/>
              <w:jc w:val="right"/>
              <w:rPr>
                <w:rFonts w:ascii="宋体" w:hAnsi="宋体" w:cs="宋体" w:eastAsia="宋体" w:hint="default"/>
                <w:sz w:val="16"/>
                <w:szCs w:val="16"/>
              </w:rPr>
            </w:pPr>
            <w:r>
              <w:rPr>
                <w:rFonts w:ascii="宋体" w:hAnsi="宋体" w:cs="宋体" w:eastAsia="宋体" w:hint="default"/>
                <w:spacing w:val="-6"/>
                <w:w w:val="110"/>
                <w:sz w:val="16"/>
                <w:szCs w:val="16"/>
              </w:rPr>
              <w:t>2017</w:t>
            </w:r>
            <w:r>
              <w:rPr>
                <w:rFonts w:ascii="宋体" w:hAnsi="宋体" w:cs="宋体" w:eastAsia="宋体" w:hint="default"/>
                <w:spacing w:val="-63"/>
                <w:w w:val="110"/>
                <w:sz w:val="16"/>
                <w:szCs w:val="16"/>
              </w:rPr>
              <w:t> </w:t>
            </w:r>
            <w:r>
              <w:rPr>
                <w:rFonts w:ascii="宋体" w:hAnsi="宋体" w:cs="宋体" w:eastAsia="宋体" w:hint="default"/>
                <w:w w:val="110"/>
                <w:sz w:val="16"/>
                <w:szCs w:val="16"/>
              </w:rPr>
              <w:t>年</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12</w:t>
            </w:r>
            <w:r>
              <w:rPr>
                <w:rFonts w:ascii="宋体" w:hAnsi="宋体" w:cs="宋体" w:eastAsia="宋体" w:hint="default"/>
                <w:spacing w:val="-63"/>
                <w:w w:val="110"/>
                <w:sz w:val="16"/>
                <w:szCs w:val="16"/>
              </w:rPr>
              <w:t> </w:t>
            </w:r>
            <w:r>
              <w:rPr>
                <w:rFonts w:ascii="宋体" w:hAnsi="宋体" w:cs="宋体" w:eastAsia="宋体" w:hint="default"/>
                <w:w w:val="110"/>
                <w:sz w:val="16"/>
                <w:szCs w:val="16"/>
              </w:rPr>
              <w:t>月</w:t>
            </w:r>
            <w:r>
              <w:rPr>
                <w:rFonts w:ascii="宋体" w:hAnsi="宋体" w:cs="宋体" w:eastAsia="宋体" w:hint="default"/>
                <w:spacing w:val="-63"/>
                <w:w w:val="110"/>
                <w:sz w:val="16"/>
                <w:szCs w:val="16"/>
              </w:rPr>
              <w:t> </w:t>
            </w:r>
            <w:r>
              <w:rPr>
                <w:rFonts w:ascii="宋体" w:hAnsi="宋体" w:cs="宋体" w:eastAsia="宋体" w:hint="default"/>
                <w:spacing w:val="-4"/>
                <w:w w:val="110"/>
                <w:sz w:val="16"/>
                <w:szCs w:val="16"/>
              </w:rPr>
              <w:t>31</w:t>
            </w:r>
            <w:r>
              <w:rPr>
                <w:rFonts w:ascii="宋体" w:hAnsi="宋体" w:cs="宋体" w:eastAsia="宋体" w:hint="default"/>
                <w:spacing w:val="-63"/>
                <w:w w:val="110"/>
                <w:sz w:val="16"/>
                <w:szCs w:val="16"/>
              </w:rPr>
              <w:t> </w:t>
            </w:r>
            <w:r>
              <w:rPr>
                <w:rFonts w:ascii="宋体" w:hAnsi="宋体" w:cs="宋体" w:eastAsia="宋体" w:hint="default"/>
                <w:w w:val="110"/>
                <w:sz w:val="16"/>
                <w:szCs w:val="16"/>
              </w:rPr>
              <w:t>日</w:t>
            </w:r>
          </w:p>
          <w:p>
            <w:pPr>
              <w:pStyle w:val="TableParagraph"/>
              <w:spacing w:line="205" w:lineRule="exact"/>
              <w:ind w:right="331"/>
              <w:jc w:val="right"/>
              <w:rPr>
                <w:rFonts w:ascii="宋体" w:hAnsi="宋体" w:cs="宋体" w:eastAsia="宋体" w:hint="default"/>
                <w:sz w:val="16"/>
                <w:szCs w:val="16"/>
              </w:rPr>
            </w:pPr>
            <w:r>
              <w:rPr>
                <w:rFonts w:ascii="宋体" w:hAnsi="宋体" w:cs="宋体" w:eastAsia="宋体" w:hint="default"/>
                <w:spacing w:val="-7"/>
                <w:w w:val="95"/>
                <w:sz w:val="16"/>
                <w:szCs w:val="16"/>
              </w:rPr>
              <w:t>公司</w:t>
            </w:r>
            <w:r>
              <w:rPr>
                <w:rFonts w:ascii="宋体" w:hAnsi="宋体" w:cs="宋体" w:eastAsia="宋体" w:hint="default"/>
                <w:w w:val="95"/>
                <w:sz w:val="16"/>
                <w:szCs w:val="16"/>
              </w:rPr>
            </w:r>
          </w:p>
        </w:tc>
        <w:tc>
          <w:tcPr>
            <w:tcW w:w="1573" w:type="dxa"/>
            <w:tcBorders>
              <w:top w:val="nil" w:sz="6" w:space="0" w:color="auto"/>
              <w:left w:val="nil" w:sz="6" w:space="0" w:color="auto"/>
              <w:bottom w:val="single" w:sz="16" w:space="0" w:color="9F8958"/>
              <w:right w:val="nil" w:sz="6" w:space="0" w:color="auto"/>
            </w:tcBorders>
          </w:tcPr>
          <w:p>
            <w:pPr>
              <w:pStyle w:val="TableParagraph"/>
              <w:spacing w:line="205" w:lineRule="exact" w:before="16"/>
              <w:ind w:right="49"/>
              <w:jc w:val="right"/>
              <w:rPr>
                <w:rFonts w:ascii="宋体" w:hAnsi="宋体" w:cs="宋体" w:eastAsia="宋体" w:hint="default"/>
                <w:sz w:val="16"/>
                <w:szCs w:val="16"/>
              </w:rPr>
            </w:pPr>
            <w:r>
              <w:rPr>
                <w:rFonts w:ascii="宋体" w:hAnsi="宋体" w:cs="宋体" w:eastAsia="宋体" w:hint="default"/>
                <w:spacing w:val="14"/>
                <w:w w:val="105"/>
                <w:sz w:val="16"/>
                <w:szCs w:val="16"/>
              </w:rPr>
              <w:t>2017年1月1日</w:t>
            </w:r>
            <w:r>
              <w:rPr>
                <w:rFonts w:ascii="宋体" w:hAnsi="宋体" w:cs="宋体" w:eastAsia="宋体" w:hint="default"/>
                <w:spacing w:val="-47"/>
                <w:sz w:val="16"/>
                <w:szCs w:val="16"/>
              </w:rPr>
              <w:t> </w:t>
            </w:r>
            <w:r>
              <w:rPr>
                <w:rFonts w:ascii="宋体" w:hAnsi="宋体" w:cs="宋体" w:eastAsia="宋体" w:hint="default"/>
                <w:sz w:val="16"/>
                <w:szCs w:val="16"/>
              </w:rPr>
            </w:r>
          </w:p>
          <w:p>
            <w:pPr>
              <w:pStyle w:val="TableParagraph"/>
              <w:spacing w:line="205" w:lineRule="exact"/>
              <w:ind w:right="89"/>
              <w:jc w:val="right"/>
              <w:rPr>
                <w:rFonts w:ascii="宋体" w:hAnsi="宋体" w:cs="宋体" w:eastAsia="宋体" w:hint="default"/>
                <w:sz w:val="16"/>
                <w:szCs w:val="16"/>
              </w:rPr>
            </w:pPr>
            <w:r>
              <w:rPr>
                <w:rFonts w:ascii="宋体" w:hAnsi="宋体" w:cs="宋体" w:eastAsia="宋体" w:hint="default"/>
                <w:spacing w:val="-7"/>
                <w:w w:val="95"/>
                <w:sz w:val="16"/>
                <w:szCs w:val="16"/>
              </w:rPr>
              <w:t>公司</w:t>
            </w:r>
            <w:r>
              <w:rPr>
                <w:rFonts w:ascii="宋体" w:hAnsi="宋体" w:cs="宋体" w:eastAsia="宋体" w:hint="default"/>
                <w:w w:val="95"/>
                <w:sz w:val="16"/>
                <w:szCs w:val="16"/>
              </w:rPr>
            </w:r>
          </w:p>
        </w:tc>
      </w:tr>
      <w:tr>
        <w:trPr>
          <w:trHeight w:val="401" w:hRule="exact"/>
        </w:trPr>
        <w:tc>
          <w:tcPr>
            <w:tcW w:w="2304"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left="85"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1863" w:type="dxa"/>
            <w:tcBorders>
              <w:top w:val="single" w:sz="16" w:space="0" w:color="9F8958"/>
              <w:left w:val="nil" w:sz="6" w:space="0" w:color="auto"/>
              <w:bottom w:val="nil" w:sz="6" w:space="0" w:color="auto"/>
              <w:right w:val="nil" w:sz="6" w:space="0" w:color="auto"/>
            </w:tcBorders>
          </w:tcPr>
          <w:p>
            <w:pPr/>
          </w:p>
        </w:tc>
        <w:tc>
          <w:tcPr>
            <w:tcW w:w="1814" w:type="dxa"/>
            <w:tcBorders>
              <w:top w:val="single" w:sz="16" w:space="0" w:color="9F8958"/>
              <w:left w:val="nil" w:sz="6" w:space="0" w:color="auto"/>
              <w:bottom w:val="nil" w:sz="6" w:space="0" w:color="auto"/>
              <w:right w:val="nil" w:sz="6" w:space="0" w:color="auto"/>
            </w:tcBorders>
            <w:shd w:val="clear" w:color="auto" w:fill="ECE7DD"/>
          </w:tcPr>
          <w:p>
            <w:pPr/>
          </w:p>
        </w:tc>
        <w:tc>
          <w:tcPr>
            <w:tcW w:w="2056" w:type="dxa"/>
            <w:tcBorders>
              <w:top w:val="single" w:sz="16" w:space="0" w:color="9F8958"/>
              <w:left w:val="nil" w:sz="6" w:space="0" w:color="auto"/>
              <w:bottom w:val="nil" w:sz="6" w:space="0" w:color="auto"/>
              <w:right w:val="nil" w:sz="6" w:space="0" w:color="auto"/>
            </w:tcBorders>
          </w:tcPr>
          <w:p>
            <w:pPr/>
          </w:p>
        </w:tc>
        <w:tc>
          <w:tcPr>
            <w:tcW w:w="1573" w:type="dxa"/>
            <w:tcBorders>
              <w:top w:val="single" w:sz="16" w:space="0" w:color="9F8958"/>
              <w:left w:val="nil" w:sz="6" w:space="0" w:color="auto"/>
              <w:bottom w:val="nil" w:sz="6" w:space="0" w:color="auto"/>
              <w:right w:val="nil" w:sz="6" w:space="0" w:color="auto"/>
            </w:tcBorders>
          </w:tcPr>
          <w:p>
            <w:pPr/>
          </w:p>
        </w:tc>
      </w:tr>
      <w:tr>
        <w:trPr>
          <w:trHeight w:val="275"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6" w:lineRule="exact"/>
              <w:ind w:left="255"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1863" w:type="dxa"/>
            <w:tcBorders>
              <w:top w:val="nil" w:sz="6" w:space="0" w:color="auto"/>
              <w:left w:val="nil" w:sz="6" w:space="0" w:color="auto"/>
              <w:bottom w:val="nil" w:sz="6" w:space="0" w:color="auto"/>
              <w:right w:val="nil" w:sz="6" w:space="0" w:color="auto"/>
            </w:tcBorders>
          </w:tcPr>
          <w:p>
            <w:pPr>
              <w:pStyle w:val="TableParagraph"/>
              <w:spacing w:line="206" w:lineRule="exact"/>
              <w:ind w:right="423"/>
              <w:jc w:val="righ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(1)</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82"/>
              <w:jc w:val="right"/>
              <w:rPr>
                <w:rFonts w:ascii="宋体" w:hAnsi="宋体" w:cs="宋体" w:eastAsia="宋体" w:hint="default"/>
                <w:sz w:val="16"/>
                <w:szCs w:val="16"/>
              </w:rPr>
            </w:pPr>
            <w:r>
              <w:rPr>
                <w:rFonts w:ascii="宋体"/>
                <w:sz w:val="16"/>
              </w:rPr>
              <w:t>266,645,224</w:t>
            </w:r>
          </w:p>
        </w:tc>
        <w:tc>
          <w:tcPr>
            <w:tcW w:w="2056" w:type="dxa"/>
            <w:tcBorders>
              <w:top w:val="nil" w:sz="6" w:space="0" w:color="auto"/>
              <w:left w:val="nil" w:sz="6" w:space="0" w:color="auto"/>
              <w:bottom w:val="nil" w:sz="6" w:space="0" w:color="auto"/>
              <w:right w:val="nil" w:sz="6" w:space="0" w:color="auto"/>
            </w:tcBorders>
          </w:tcPr>
          <w:p>
            <w:pPr>
              <w:pStyle w:val="TableParagraph"/>
              <w:spacing w:line="206" w:lineRule="exact"/>
              <w:ind w:right="324"/>
              <w:jc w:val="right"/>
              <w:rPr>
                <w:rFonts w:ascii="宋体" w:hAnsi="宋体" w:cs="宋体" w:eastAsia="宋体" w:hint="default"/>
                <w:sz w:val="16"/>
                <w:szCs w:val="16"/>
              </w:rPr>
            </w:pPr>
            <w:r>
              <w:rPr>
                <w:rFonts w:ascii="宋体"/>
                <w:sz w:val="16"/>
              </w:rPr>
              <w:t>183,142,610</w:t>
            </w:r>
          </w:p>
        </w:tc>
        <w:tc>
          <w:tcPr>
            <w:tcW w:w="1573" w:type="dxa"/>
            <w:tcBorders>
              <w:top w:val="nil" w:sz="6" w:space="0" w:color="auto"/>
              <w:left w:val="nil" w:sz="6" w:space="0" w:color="auto"/>
              <w:bottom w:val="nil" w:sz="6" w:space="0" w:color="auto"/>
              <w:right w:val="nil" w:sz="6" w:space="0" w:color="auto"/>
            </w:tcBorders>
          </w:tcPr>
          <w:p>
            <w:pPr>
              <w:pStyle w:val="TableParagraph"/>
              <w:spacing w:line="206" w:lineRule="exact"/>
              <w:ind w:right="82"/>
              <w:jc w:val="right"/>
              <w:rPr>
                <w:rFonts w:ascii="宋体" w:hAnsi="宋体" w:cs="宋体" w:eastAsia="宋体" w:hint="default"/>
                <w:sz w:val="16"/>
                <w:szCs w:val="16"/>
              </w:rPr>
            </w:pPr>
            <w:r>
              <w:rPr>
                <w:rFonts w:ascii="宋体"/>
                <w:sz w:val="16"/>
              </w:rPr>
              <w:t>188,700,777</w:t>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1863" w:type="dxa"/>
            <w:tcBorders>
              <w:top w:val="nil" w:sz="6" w:space="0" w:color="auto"/>
              <w:left w:val="nil" w:sz="6" w:space="0" w:color="auto"/>
              <w:bottom w:val="nil" w:sz="6" w:space="0" w:color="auto"/>
              <w:right w:val="nil" w:sz="6" w:space="0" w:color="auto"/>
            </w:tcBorders>
          </w:tcPr>
          <w:p>
            <w:pPr>
              <w:pStyle w:val="TableParagraph"/>
              <w:spacing w:line="205" w:lineRule="exact"/>
              <w:ind w:right="423"/>
              <w:jc w:val="righ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(2)</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sz w:val="16"/>
              </w:rPr>
              <w:t>920,684,679</w:t>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25"/>
              <w:jc w:val="right"/>
              <w:rPr>
                <w:rFonts w:ascii="宋体" w:hAnsi="宋体" w:cs="宋体" w:eastAsia="宋体" w:hint="default"/>
                <w:sz w:val="16"/>
                <w:szCs w:val="16"/>
              </w:rPr>
            </w:pPr>
            <w:r>
              <w:rPr>
                <w:rFonts w:ascii="宋体"/>
                <w:sz w:val="16"/>
              </w:rPr>
              <w:t>928,460,164</w:t>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917,958,803</w:t>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其他流动资产</w:t>
            </w:r>
          </w:p>
        </w:tc>
        <w:tc>
          <w:tcPr>
            <w:tcW w:w="186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11,377,481</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24"/>
              <w:jc w:val="right"/>
              <w:rPr>
                <w:rFonts w:ascii="宋体" w:hAnsi="宋体" w:cs="宋体" w:eastAsia="宋体" w:hint="default"/>
                <w:sz w:val="16"/>
                <w:szCs w:val="16"/>
              </w:rPr>
            </w:pPr>
            <w:r>
              <w:rPr>
                <w:rFonts w:ascii="宋体"/>
                <w:w w:val="131"/>
                <w:sz w:val="16"/>
              </w:rPr>
              <w:t>-</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131"/>
                <w:sz w:val="16"/>
              </w:rPr>
              <w:t>-</w:t>
            </w:r>
            <w:r>
              <w:rPr>
                <w:rFonts w:ascii="宋体"/>
                <w:sz w:val="16"/>
              </w:rPr>
            </w:r>
          </w:p>
        </w:tc>
      </w:tr>
      <w:tr>
        <w:trPr>
          <w:trHeight w:val="330" w:hRule="exact"/>
        </w:trPr>
        <w:tc>
          <w:tcPr>
            <w:tcW w:w="2304" w:type="dxa"/>
            <w:tcBorders>
              <w:top w:val="nil" w:sz="6" w:space="0" w:color="auto"/>
              <w:left w:val="nil" w:sz="6" w:space="0" w:color="auto"/>
              <w:bottom w:val="single" w:sz="6" w:space="0" w:color="000000"/>
              <w:right w:val="nil" w:sz="6" w:space="0" w:color="auto"/>
            </w:tcBorders>
          </w:tcPr>
          <w:p>
            <w:pPr>
              <w:pStyle w:val="TableParagraph"/>
              <w:spacing w:line="205" w:lineRule="exact"/>
              <w:ind w:left="255" w:right="0"/>
              <w:jc w:val="left"/>
              <w:rPr>
                <w:rFonts w:ascii="宋体" w:hAnsi="宋体" w:cs="宋体" w:eastAsia="宋体" w:hint="default"/>
                <w:sz w:val="16"/>
                <w:szCs w:val="16"/>
              </w:rPr>
            </w:pPr>
            <w:r>
              <w:rPr>
                <w:rFonts w:ascii="宋体" w:hAnsi="宋体" w:cs="宋体" w:eastAsia="宋体" w:hint="default"/>
                <w:sz w:val="16"/>
                <w:szCs w:val="16"/>
              </w:rPr>
              <w:t>流动资产合计</w:t>
            </w:r>
          </w:p>
        </w:tc>
        <w:tc>
          <w:tcPr>
            <w:tcW w:w="1863"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1,198,707,384</w:t>
            </w:r>
            <w:r>
              <w:rPr>
                <w:rFonts w:ascii="宋体"/>
                <w:sz w:val="16"/>
              </w:rPr>
            </w:r>
          </w:p>
        </w:tc>
        <w:tc>
          <w:tcPr>
            <w:tcW w:w="2056" w:type="dxa"/>
            <w:tcBorders>
              <w:top w:val="nil" w:sz="6" w:space="0" w:color="auto"/>
              <w:left w:val="nil" w:sz="6" w:space="0" w:color="auto"/>
              <w:bottom w:val="single" w:sz="6" w:space="0" w:color="000000"/>
              <w:right w:val="nil" w:sz="6" w:space="0" w:color="auto"/>
            </w:tcBorders>
          </w:tcPr>
          <w:p>
            <w:pPr>
              <w:pStyle w:val="TableParagraph"/>
              <w:spacing w:line="205" w:lineRule="exact"/>
              <w:ind w:right="323"/>
              <w:jc w:val="right"/>
              <w:rPr>
                <w:rFonts w:ascii="宋体" w:hAnsi="宋体" w:cs="宋体" w:eastAsia="宋体" w:hint="default"/>
                <w:sz w:val="16"/>
                <w:szCs w:val="16"/>
              </w:rPr>
            </w:pPr>
            <w:r>
              <w:rPr>
                <w:rFonts w:ascii="宋体"/>
                <w:w w:val="95"/>
                <w:sz w:val="16"/>
              </w:rPr>
              <w:t>1,111,602,774</w:t>
            </w:r>
            <w:r>
              <w:rPr>
                <w:rFonts w:ascii="宋体"/>
                <w:sz w:val="16"/>
              </w:rPr>
            </w:r>
          </w:p>
        </w:tc>
        <w:tc>
          <w:tcPr>
            <w:tcW w:w="1573" w:type="dxa"/>
            <w:tcBorders>
              <w:top w:val="nil" w:sz="6" w:space="0" w:color="auto"/>
              <w:left w:val="nil" w:sz="6" w:space="0" w:color="auto"/>
              <w:bottom w:val="single" w:sz="6" w:space="0" w:color="000000"/>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1,106,659,580</w:t>
            </w:r>
            <w:r>
              <w:rPr>
                <w:rFonts w:ascii="宋体"/>
                <w:sz w:val="16"/>
              </w:rPr>
            </w:r>
          </w:p>
        </w:tc>
      </w:tr>
      <w:tr>
        <w:trPr>
          <w:trHeight w:val="348" w:hRule="exact"/>
        </w:trPr>
        <w:tc>
          <w:tcPr>
            <w:tcW w:w="2304"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85"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1863" w:type="dxa"/>
            <w:tcBorders>
              <w:top w:val="single" w:sz="6" w:space="0" w:color="000000"/>
              <w:left w:val="nil" w:sz="6" w:space="0" w:color="auto"/>
              <w:bottom w:val="nil" w:sz="6" w:space="0" w:color="auto"/>
              <w:right w:val="nil" w:sz="6" w:space="0" w:color="auto"/>
            </w:tcBorders>
          </w:tcPr>
          <w:p>
            <w:pPr/>
          </w:p>
        </w:tc>
        <w:tc>
          <w:tcPr>
            <w:tcW w:w="1814" w:type="dxa"/>
            <w:tcBorders>
              <w:top w:val="single" w:sz="6" w:space="0" w:color="000000"/>
              <w:left w:val="nil" w:sz="6" w:space="0" w:color="auto"/>
              <w:bottom w:val="nil" w:sz="6" w:space="0" w:color="auto"/>
              <w:right w:val="nil" w:sz="6" w:space="0" w:color="auto"/>
            </w:tcBorders>
            <w:shd w:val="clear" w:color="auto" w:fill="ECE7DD"/>
          </w:tcPr>
          <w:p>
            <w:pPr/>
          </w:p>
        </w:tc>
        <w:tc>
          <w:tcPr>
            <w:tcW w:w="2056" w:type="dxa"/>
            <w:tcBorders>
              <w:top w:val="single" w:sz="6" w:space="0" w:color="000000"/>
              <w:left w:val="nil" w:sz="6" w:space="0" w:color="auto"/>
              <w:bottom w:val="nil" w:sz="6" w:space="0" w:color="auto"/>
              <w:right w:val="nil" w:sz="6" w:space="0" w:color="auto"/>
            </w:tcBorders>
          </w:tcPr>
          <w:p>
            <w:pPr/>
          </w:p>
        </w:tc>
        <w:tc>
          <w:tcPr>
            <w:tcW w:w="1573" w:type="dxa"/>
            <w:tcBorders>
              <w:top w:val="single" w:sz="6" w:space="0" w:color="000000"/>
              <w:left w:val="nil" w:sz="6" w:space="0" w:color="auto"/>
              <w:bottom w:val="nil" w:sz="6" w:space="0" w:color="auto"/>
              <w:right w:val="nil" w:sz="6" w:space="0" w:color="auto"/>
            </w:tcBorders>
          </w:tcPr>
          <w:p>
            <w:pPr/>
          </w:p>
        </w:tc>
      </w:tr>
      <w:tr>
        <w:trPr>
          <w:trHeight w:val="275"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6"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长期股权投资</w:t>
            </w:r>
          </w:p>
        </w:tc>
        <w:tc>
          <w:tcPr>
            <w:tcW w:w="1863" w:type="dxa"/>
            <w:tcBorders>
              <w:top w:val="nil" w:sz="6" w:space="0" w:color="auto"/>
              <w:left w:val="nil" w:sz="6" w:space="0" w:color="auto"/>
              <w:bottom w:val="nil" w:sz="6" w:space="0" w:color="auto"/>
              <w:right w:val="nil" w:sz="6" w:space="0" w:color="auto"/>
            </w:tcBorders>
          </w:tcPr>
          <w:p>
            <w:pPr>
              <w:pStyle w:val="TableParagraph"/>
              <w:spacing w:line="206" w:lineRule="exact"/>
              <w:ind w:right="381"/>
              <w:jc w:val="righ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(3)</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100,686,178,479</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6" w:lineRule="exact"/>
              <w:ind w:right="352"/>
              <w:jc w:val="right"/>
              <w:rPr>
                <w:rFonts w:ascii="宋体" w:hAnsi="宋体" w:cs="宋体" w:eastAsia="宋体" w:hint="default"/>
                <w:sz w:val="16"/>
                <w:szCs w:val="16"/>
              </w:rPr>
            </w:pPr>
            <w:r>
              <w:rPr>
                <w:rFonts w:ascii="宋体"/>
                <w:w w:val="95"/>
                <w:sz w:val="16"/>
              </w:rPr>
              <w:t>100,072,258,479</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95"/>
                <w:sz w:val="16"/>
              </w:rPr>
              <w:t>38,538,133,791</w:t>
            </w:r>
            <w:r>
              <w:rPr>
                <w:rFonts w:ascii="宋体"/>
                <w:sz w:val="16"/>
              </w:rPr>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固定资产</w:t>
            </w:r>
          </w:p>
        </w:tc>
        <w:tc>
          <w:tcPr>
            <w:tcW w:w="186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4,032,563</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95"/>
                <w:sz w:val="16"/>
              </w:rPr>
              <w:t>4,267,439</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4,407,561</w:t>
            </w:r>
            <w:r>
              <w:rPr>
                <w:rFonts w:ascii="宋体"/>
                <w:sz w:val="16"/>
              </w:rPr>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无形资产</w:t>
            </w:r>
          </w:p>
        </w:tc>
        <w:tc>
          <w:tcPr>
            <w:tcW w:w="186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9,013,231</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95"/>
                <w:sz w:val="16"/>
              </w:rPr>
              <w:t>9,261,872</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9,510,513</w:t>
            </w:r>
            <w:r>
              <w:rPr>
                <w:rFonts w:ascii="宋体"/>
                <w:sz w:val="16"/>
              </w:rPr>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right="898"/>
              <w:jc w:val="right"/>
              <w:rPr>
                <w:rFonts w:ascii="宋体" w:hAnsi="宋体" w:cs="宋体" w:eastAsia="宋体" w:hint="default"/>
                <w:sz w:val="16"/>
                <w:szCs w:val="16"/>
              </w:rPr>
            </w:pPr>
            <w:r>
              <w:rPr>
                <w:rFonts w:ascii="宋体" w:hAnsi="宋体" w:cs="宋体" w:eastAsia="宋体" w:hint="default"/>
                <w:sz w:val="16"/>
                <w:szCs w:val="16"/>
              </w:rPr>
              <w:t>其他非流动资产</w:t>
            </w:r>
          </w:p>
        </w:tc>
        <w:tc>
          <w:tcPr>
            <w:tcW w:w="1863" w:type="dxa"/>
            <w:tcBorders>
              <w:top w:val="nil" w:sz="6" w:space="0" w:color="auto"/>
              <w:left w:val="nil" w:sz="6" w:space="0" w:color="auto"/>
              <w:bottom w:val="nil" w:sz="6" w:space="0" w:color="auto"/>
              <w:right w:val="nil" w:sz="6" w:space="0" w:color="auto"/>
            </w:tcBorders>
          </w:tcPr>
          <w:p>
            <w:pPr>
              <w:pStyle w:val="TableParagraph"/>
              <w:spacing w:line="205" w:lineRule="exact"/>
              <w:ind w:right="381"/>
              <w:jc w:val="righ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(4)</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3,042,122,315</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3"/>
              <w:jc w:val="right"/>
              <w:rPr>
                <w:rFonts w:ascii="宋体" w:hAnsi="宋体" w:cs="宋体" w:eastAsia="宋体" w:hint="default"/>
                <w:sz w:val="16"/>
                <w:szCs w:val="16"/>
              </w:rPr>
            </w:pPr>
            <w:r>
              <w:rPr>
                <w:rFonts w:ascii="宋体"/>
                <w:w w:val="131"/>
                <w:sz w:val="16"/>
              </w:rPr>
              <w:t>-</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30" w:hRule="exact"/>
        </w:trPr>
        <w:tc>
          <w:tcPr>
            <w:tcW w:w="2304" w:type="dxa"/>
            <w:tcBorders>
              <w:top w:val="nil" w:sz="6" w:space="0" w:color="auto"/>
              <w:left w:val="nil" w:sz="6" w:space="0" w:color="auto"/>
              <w:bottom w:val="single" w:sz="6" w:space="0" w:color="000000"/>
              <w:right w:val="nil" w:sz="6" w:space="0" w:color="auto"/>
            </w:tcBorders>
          </w:tcPr>
          <w:p>
            <w:pPr>
              <w:pStyle w:val="TableParagraph"/>
              <w:spacing w:line="205" w:lineRule="exact"/>
              <w:ind w:right="898"/>
              <w:jc w:val="right"/>
              <w:rPr>
                <w:rFonts w:ascii="宋体" w:hAnsi="宋体" w:cs="宋体" w:eastAsia="宋体" w:hint="default"/>
                <w:sz w:val="16"/>
                <w:szCs w:val="16"/>
              </w:rPr>
            </w:pPr>
            <w:r>
              <w:rPr>
                <w:rFonts w:ascii="宋体" w:hAnsi="宋体" w:cs="宋体" w:eastAsia="宋体" w:hint="default"/>
                <w:sz w:val="16"/>
                <w:szCs w:val="16"/>
              </w:rPr>
              <w:t>非流动资产合计</w:t>
            </w:r>
          </w:p>
        </w:tc>
        <w:tc>
          <w:tcPr>
            <w:tcW w:w="1863"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103,741,346,588</w:t>
            </w:r>
            <w:r>
              <w:rPr>
                <w:rFonts w:ascii="宋体"/>
                <w:sz w:val="16"/>
              </w:rPr>
            </w:r>
          </w:p>
        </w:tc>
        <w:tc>
          <w:tcPr>
            <w:tcW w:w="2056" w:type="dxa"/>
            <w:tcBorders>
              <w:top w:val="nil" w:sz="6" w:space="0" w:color="auto"/>
              <w:left w:val="nil" w:sz="6" w:space="0" w:color="auto"/>
              <w:bottom w:val="single" w:sz="6" w:space="0" w:color="000000"/>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95"/>
                <w:sz w:val="16"/>
              </w:rPr>
              <w:t>100,085,787,790</w:t>
            </w:r>
            <w:r>
              <w:rPr>
                <w:rFonts w:ascii="宋体"/>
                <w:sz w:val="16"/>
              </w:rPr>
            </w:r>
          </w:p>
        </w:tc>
        <w:tc>
          <w:tcPr>
            <w:tcW w:w="1573"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38,552,051,865</w:t>
            </w:r>
            <w:r>
              <w:rPr>
                <w:rFonts w:ascii="宋体"/>
                <w:sz w:val="16"/>
              </w:rPr>
            </w:r>
          </w:p>
        </w:tc>
      </w:tr>
      <w:tr>
        <w:trPr>
          <w:trHeight w:val="407" w:hRule="exact"/>
        </w:trPr>
        <w:tc>
          <w:tcPr>
            <w:tcW w:w="4167" w:type="dxa"/>
            <w:gridSpan w:val="2"/>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资产总计</w:t>
            </w:r>
          </w:p>
        </w:tc>
        <w:tc>
          <w:tcPr>
            <w:tcW w:w="1814"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104,940,053,972</w:t>
            </w:r>
            <w:r>
              <w:rPr>
                <w:rFonts w:ascii="宋体"/>
                <w:sz w:val="16"/>
              </w:rPr>
            </w:r>
          </w:p>
        </w:tc>
        <w:tc>
          <w:tcPr>
            <w:tcW w:w="2056"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352"/>
              <w:jc w:val="right"/>
              <w:rPr>
                <w:rFonts w:ascii="宋体" w:hAnsi="宋体" w:cs="宋体" w:eastAsia="宋体" w:hint="default"/>
                <w:sz w:val="16"/>
                <w:szCs w:val="16"/>
              </w:rPr>
            </w:pPr>
            <w:r>
              <w:rPr>
                <w:rFonts w:ascii="宋体"/>
                <w:w w:val="95"/>
                <w:sz w:val="16"/>
              </w:rPr>
              <w:t>101,197,390,564</w:t>
            </w:r>
            <w:r>
              <w:rPr>
                <w:rFonts w:ascii="宋体"/>
                <w:sz w:val="16"/>
              </w:rPr>
            </w:r>
          </w:p>
        </w:tc>
        <w:tc>
          <w:tcPr>
            <w:tcW w:w="157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39,658,711,445</w:t>
            </w:r>
            <w:r>
              <w:rPr>
                <w:rFonts w:ascii="宋体"/>
                <w:sz w:val="16"/>
              </w:rPr>
            </w:r>
          </w:p>
        </w:tc>
      </w:tr>
      <w:tr>
        <w:trPr>
          <w:trHeight w:val="348" w:hRule="exact"/>
        </w:trPr>
        <w:tc>
          <w:tcPr>
            <w:tcW w:w="4167" w:type="dxa"/>
            <w:gridSpan w:val="2"/>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1814" w:type="dxa"/>
            <w:tcBorders>
              <w:top w:val="single" w:sz="6" w:space="0" w:color="000000"/>
              <w:left w:val="nil" w:sz="6" w:space="0" w:color="auto"/>
              <w:bottom w:val="nil" w:sz="6" w:space="0" w:color="auto"/>
              <w:right w:val="nil" w:sz="6" w:space="0" w:color="auto"/>
            </w:tcBorders>
            <w:shd w:val="clear" w:color="auto" w:fill="ECE7DD"/>
          </w:tcPr>
          <w:p>
            <w:pPr/>
          </w:p>
        </w:tc>
        <w:tc>
          <w:tcPr>
            <w:tcW w:w="2056" w:type="dxa"/>
            <w:tcBorders>
              <w:top w:val="single" w:sz="6" w:space="0" w:color="000000"/>
              <w:left w:val="nil" w:sz="6" w:space="0" w:color="auto"/>
              <w:bottom w:val="nil" w:sz="6" w:space="0" w:color="auto"/>
              <w:right w:val="nil" w:sz="6" w:space="0" w:color="auto"/>
            </w:tcBorders>
          </w:tcPr>
          <w:p>
            <w:pPr/>
          </w:p>
        </w:tc>
        <w:tc>
          <w:tcPr>
            <w:tcW w:w="1573" w:type="dxa"/>
            <w:tcBorders>
              <w:top w:val="single" w:sz="6" w:space="0" w:color="000000"/>
              <w:left w:val="nil" w:sz="6" w:space="0" w:color="auto"/>
              <w:bottom w:val="nil" w:sz="6" w:space="0" w:color="auto"/>
              <w:right w:val="nil" w:sz="6" w:space="0" w:color="auto"/>
            </w:tcBorders>
          </w:tcPr>
          <w:p>
            <w:pPr/>
          </w:p>
        </w:tc>
      </w:tr>
      <w:tr>
        <w:trPr>
          <w:trHeight w:val="275" w:hRule="exact"/>
        </w:trPr>
        <w:tc>
          <w:tcPr>
            <w:tcW w:w="4167" w:type="dxa"/>
            <w:gridSpan w:val="2"/>
            <w:tcBorders>
              <w:top w:val="nil" w:sz="6" w:space="0" w:color="auto"/>
              <w:left w:val="nil" w:sz="6" w:space="0" w:color="auto"/>
              <w:bottom w:val="nil" w:sz="6" w:space="0" w:color="auto"/>
              <w:right w:val="nil" w:sz="6" w:space="0" w:color="auto"/>
            </w:tcBorders>
          </w:tcPr>
          <w:p>
            <w:pPr>
              <w:pStyle w:val="TableParagraph"/>
              <w:spacing w:line="206" w:lineRule="exact"/>
              <w:ind w:left="283" w:right="0"/>
              <w:jc w:val="left"/>
              <w:rPr>
                <w:rFonts w:ascii="宋体" w:hAnsi="宋体" w:cs="宋体" w:eastAsia="宋体" w:hint="default"/>
                <w:sz w:val="16"/>
                <w:szCs w:val="16"/>
              </w:rPr>
            </w:pPr>
            <w:r>
              <w:rPr>
                <w:rFonts w:ascii="宋体" w:hAnsi="宋体" w:cs="宋体" w:eastAsia="宋体" w:hint="default"/>
                <w:sz w:val="16"/>
                <w:szCs w:val="16"/>
              </w:rPr>
              <w:t>应交税费</w:t>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sz w:val="16"/>
              </w:rPr>
              <w:t>313,313</w:t>
            </w:r>
          </w:p>
        </w:tc>
        <w:tc>
          <w:tcPr>
            <w:tcW w:w="2056" w:type="dxa"/>
            <w:tcBorders>
              <w:top w:val="nil" w:sz="6" w:space="0" w:color="auto"/>
              <w:left w:val="nil" w:sz="6" w:space="0" w:color="auto"/>
              <w:bottom w:val="nil" w:sz="6" w:space="0" w:color="auto"/>
              <w:right w:val="nil" w:sz="6" w:space="0" w:color="auto"/>
            </w:tcBorders>
          </w:tcPr>
          <w:p>
            <w:pPr>
              <w:pStyle w:val="TableParagraph"/>
              <w:spacing w:line="206" w:lineRule="exact"/>
              <w:ind w:right="352"/>
              <w:jc w:val="right"/>
              <w:rPr>
                <w:rFonts w:ascii="宋体" w:hAnsi="宋体" w:cs="宋体" w:eastAsia="宋体" w:hint="default"/>
                <w:sz w:val="16"/>
                <w:szCs w:val="16"/>
              </w:rPr>
            </w:pPr>
            <w:r>
              <w:rPr>
                <w:rFonts w:ascii="宋体"/>
                <w:w w:val="95"/>
                <w:sz w:val="16"/>
              </w:rPr>
              <w:t>5,714</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95"/>
                <w:sz w:val="16"/>
              </w:rPr>
              <w:t>5,714</w:t>
            </w:r>
            <w:r>
              <w:rPr>
                <w:rFonts w:ascii="宋体"/>
                <w:sz w:val="16"/>
              </w:rPr>
            </w:r>
          </w:p>
        </w:tc>
      </w:tr>
      <w:tr>
        <w:trPr>
          <w:trHeight w:val="272" w:hRule="exact"/>
        </w:trPr>
        <w:tc>
          <w:tcPr>
            <w:tcW w:w="4167"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6,603,771</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95"/>
                <w:sz w:val="16"/>
              </w:rPr>
              <w:t>7,945,411</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4,223,891</w:t>
            </w:r>
            <w:r>
              <w:rPr>
                <w:rFonts w:ascii="宋体"/>
                <w:sz w:val="16"/>
              </w:rPr>
            </w:r>
          </w:p>
        </w:tc>
      </w:tr>
      <w:tr>
        <w:trPr>
          <w:trHeight w:val="332" w:hRule="exact"/>
        </w:trPr>
        <w:tc>
          <w:tcPr>
            <w:tcW w:w="4167" w:type="dxa"/>
            <w:gridSpan w:val="2"/>
            <w:tcBorders>
              <w:top w:val="nil" w:sz="6" w:space="0" w:color="auto"/>
              <w:left w:val="nil" w:sz="6" w:space="0" w:color="auto"/>
              <w:bottom w:val="single" w:sz="6" w:space="0" w:color="000000"/>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流动负债合计</w:t>
            </w: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6,917,084</w:t>
            </w:r>
            <w:r>
              <w:rPr>
                <w:rFonts w:ascii="宋体"/>
                <w:sz w:val="16"/>
              </w:rPr>
            </w:r>
          </w:p>
        </w:tc>
        <w:tc>
          <w:tcPr>
            <w:tcW w:w="2056" w:type="dxa"/>
            <w:tcBorders>
              <w:top w:val="nil" w:sz="6" w:space="0" w:color="auto"/>
              <w:left w:val="nil" w:sz="6" w:space="0" w:color="auto"/>
              <w:bottom w:val="single" w:sz="6" w:space="0" w:color="000000"/>
              <w:right w:val="nil" w:sz="6" w:space="0" w:color="auto"/>
            </w:tcBorders>
          </w:tcPr>
          <w:p>
            <w:pPr>
              <w:pStyle w:val="TableParagraph"/>
              <w:spacing w:line="206" w:lineRule="exact"/>
              <w:ind w:right="352"/>
              <w:jc w:val="right"/>
              <w:rPr>
                <w:rFonts w:ascii="宋体" w:hAnsi="宋体" w:cs="宋体" w:eastAsia="宋体" w:hint="default"/>
                <w:sz w:val="16"/>
                <w:szCs w:val="16"/>
              </w:rPr>
            </w:pPr>
            <w:r>
              <w:rPr>
                <w:rFonts w:ascii="宋体"/>
                <w:w w:val="95"/>
                <w:sz w:val="16"/>
              </w:rPr>
              <w:t>7,951,125</w:t>
            </w:r>
            <w:r>
              <w:rPr>
                <w:rFonts w:ascii="宋体"/>
                <w:sz w:val="16"/>
              </w:rPr>
            </w:r>
          </w:p>
        </w:tc>
        <w:tc>
          <w:tcPr>
            <w:tcW w:w="1573" w:type="dxa"/>
            <w:tcBorders>
              <w:top w:val="nil" w:sz="6" w:space="0" w:color="auto"/>
              <w:left w:val="nil" w:sz="6" w:space="0" w:color="auto"/>
              <w:bottom w:val="single" w:sz="6" w:space="0" w:color="000000"/>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95"/>
                <w:sz w:val="16"/>
              </w:rPr>
              <w:t>4,229,605</w:t>
            </w:r>
            <w:r>
              <w:rPr>
                <w:rFonts w:ascii="宋体"/>
                <w:sz w:val="16"/>
              </w:rPr>
            </w:r>
          </w:p>
        </w:tc>
      </w:tr>
      <w:tr>
        <w:trPr>
          <w:trHeight w:val="348" w:hRule="exact"/>
        </w:trPr>
        <w:tc>
          <w:tcPr>
            <w:tcW w:w="4167" w:type="dxa"/>
            <w:gridSpan w:val="2"/>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1814" w:type="dxa"/>
            <w:tcBorders>
              <w:top w:val="single" w:sz="6" w:space="0" w:color="000000"/>
              <w:left w:val="nil" w:sz="6" w:space="0" w:color="auto"/>
              <w:bottom w:val="nil" w:sz="6" w:space="0" w:color="auto"/>
              <w:right w:val="nil" w:sz="6" w:space="0" w:color="auto"/>
            </w:tcBorders>
            <w:shd w:val="clear" w:color="auto" w:fill="ECE7DD"/>
          </w:tcPr>
          <w:p>
            <w:pPr/>
          </w:p>
        </w:tc>
        <w:tc>
          <w:tcPr>
            <w:tcW w:w="2056" w:type="dxa"/>
            <w:tcBorders>
              <w:top w:val="single" w:sz="6" w:space="0" w:color="000000"/>
              <w:left w:val="nil" w:sz="6" w:space="0" w:color="auto"/>
              <w:bottom w:val="nil" w:sz="6" w:space="0" w:color="auto"/>
              <w:right w:val="nil" w:sz="6" w:space="0" w:color="auto"/>
            </w:tcBorders>
          </w:tcPr>
          <w:p>
            <w:pPr/>
          </w:p>
        </w:tc>
        <w:tc>
          <w:tcPr>
            <w:tcW w:w="1573" w:type="dxa"/>
            <w:tcBorders>
              <w:top w:val="single" w:sz="6" w:space="0" w:color="000000"/>
              <w:left w:val="nil" w:sz="6" w:space="0" w:color="auto"/>
              <w:bottom w:val="nil" w:sz="6" w:space="0" w:color="auto"/>
              <w:right w:val="nil" w:sz="6" w:space="0" w:color="auto"/>
            </w:tcBorders>
          </w:tcPr>
          <w:p>
            <w:pPr/>
          </w:p>
        </w:tc>
      </w:tr>
      <w:tr>
        <w:trPr>
          <w:trHeight w:val="273" w:hRule="exact"/>
        </w:trPr>
        <w:tc>
          <w:tcPr>
            <w:tcW w:w="4167" w:type="dxa"/>
            <w:gridSpan w:val="2"/>
            <w:tcBorders>
              <w:top w:val="nil" w:sz="6" w:space="0" w:color="auto"/>
              <w:left w:val="nil" w:sz="6" w:space="0" w:color="auto"/>
              <w:bottom w:val="nil" w:sz="6" w:space="0" w:color="auto"/>
              <w:right w:val="nil" w:sz="6" w:space="0" w:color="auto"/>
            </w:tcBorders>
          </w:tcPr>
          <w:p>
            <w:pPr>
              <w:pStyle w:val="TableParagraph"/>
              <w:spacing w:line="206"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2,993,014,742</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6" w:lineRule="exact"/>
              <w:ind w:right="353"/>
              <w:jc w:val="right"/>
              <w:rPr>
                <w:rFonts w:ascii="宋体" w:hAnsi="宋体" w:cs="宋体" w:eastAsia="宋体" w:hint="default"/>
                <w:sz w:val="16"/>
                <w:szCs w:val="16"/>
              </w:rPr>
            </w:pPr>
            <w:r>
              <w:rPr>
                <w:rFonts w:ascii="宋体"/>
                <w:w w:val="131"/>
                <w:sz w:val="16"/>
              </w:rPr>
              <w:t>-</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32" w:hRule="exact"/>
        </w:trPr>
        <w:tc>
          <w:tcPr>
            <w:tcW w:w="4167" w:type="dxa"/>
            <w:gridSpan w:val="2"/>
            <w:tcBorders>
              <w:top w:val="nil" w:sz="6" w:space="0" w:color="auto"/>
              <w:left w:val="nil" w:sz="6" w:space="0" w:color="auto"/>
              <w:bottom w:val="single" w:sz="6" w:space="0" w:color="000000"/>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非流动负债合计</w:t>
            </w: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2,993,014,742</w:t>
            </w:r>
            <w:r>
              <w:rPr>
                <w:rFonts w:ascii="宋体"/>
                <w:sz w:val="16"/>
              </w:rPr>
            </w:r>
          </w:p>
        </w:tc>
        <w:tc>
          <w:tcPr>
            <w:tcW w:w="2056" w:type="dxa"/>
            <w:tcBorders>
              <w:top w:val="nil" w:sz="6" w:space="0" w:color="auto"/>
              <w:left w:val="nil" w:sz="6" w:space="0" w:color="auto"/>
              <w:bottom w:val="single" w:sz="6" w:space="0" w:color="000000"/>
              <w:right w:val="nil" w:sz="6" w:space="0" w:color="auto"/>
            </w:tcBorders>
          </w:tcPr>
          <w:p>
            <w:pPr>
              <w:pStyle w:val="TableParagraph"/>
              <w:spacing w:line="206" w:lineRule="exact"/>
              <w:ind w:right="353"/>
              <w:jc w:val="right"/>
              <w:rPr>
                <w:rFonts w:ascii="宋体" w:hAnsi="宋体" w:cs="宋体" w:eastAsia="宋体" w:hint="default"/>
                <w:sz w:val="16"/>
                <w:szCs w:val="16"/>
              </w:rPr>
            </w:pPr>
            <w:r>
              <w:rPr>
                <w:rFonts w:ascii="宋体"/>
                <w:w w:val="131"/>
                <w:sz w:val="16"/>
              </w:rPr>
              <w:t>-</w:t>
            </w:r>
            <w:r>
              <w:rPr>
                <w:rFonts w:ascii="宋体"/>
                <w:sz w:val="16"/>
              </w:rPr>
            </w:r>
          </w:p>
        </w:tc>
        <w:tc>
          <w:tcPr>
            <w:tcW w:w="1573" w:type="dxa"/>
            <w:tcBorders>
              <w:top w:val="nil" w:sz="6" w:space="0" w:color="auto"/>
              <w:left w:val="nil" w:sz="6" w:space="0" w:color="auto"/>
              <w:bottom w:val="single" w:sz="6" w:space="0" w:color="000000"/>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07" w:hRule="exact"/>
        </w:trPr>
        <w:tc>
          <w:tcPr>
            <w:tcW w:w="4167" w:type="dxa"/>
            <w:gridSpan w:val="2"/>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负债合计</w:t>
            </w:r>
          </w:p>
        </w:tc>
        <w:tc>
          <w:tcPr>
            <w:tcW w:w="1814"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2,999,931,826</w:t>
            </w:r>
            <w:r>
              <w:rPr>
                <w:rFonts w:ascii="宋体"/>
                <w:sz w:val="16"/>
              </w:rPr>
            </w:r>
          </w:p>
        </w:tc>
        <w:tc>
          <w:tcPr>
            <w:tcW w:w="2056"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352"/>
              <w:jc w:val="right"/>
              <w:rPr>
                <w:rFonts w:ascii="宋体" w:hAnsi="宋体" w:cs="宋体" w:eastAsia="宋体" w:hint="default"/>
                <w:sz w:val="16"/>
                <w:szCs w:val="16"/>
              </w:rPr>
            </w:pPr>
            <w:r>
              <w:rPr>
                <w:rFonts w:ascii="宋体"/>
                <w:w w:val="95"/>
                <w:sz w:val="16"/>
              </w:rPr>
              <w:t>7,951,125</w:t>
            </w:r>
            <w:r>
              <w:rPr>
                <w:rFonts w:ascii="宋体"/>
                <w:sz w:val="16"/>
              </w:rPr>
            </w:r>
          </w:p>
        </w:tc>
        <w:tc>
          <w:tcPr>
            <w:tcW w:w="157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4,229,605</w:t>
            </w:r>
            <w:r>
              <w:rPr>
                <w:rFonts w:ascii="宋体"/>
                <w:sz w:val="16"/>
              </w:rPr>
            </w:r>
          </w:p>
        </w:tc>
      </w:tr>
      <w:tr>
        <w:trPr>
          <w:trHeight w:val="348" w:hRule="exact"/>
        </w:trPr>
        <w:tc>
          <w:tcPr>
            <w:tcW w:w="2304"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股东权益</w:t>
            </w:r>
          </w:p>
        </w:tc>
        <w:tc>
          <w:tcPr>
            <w:tcW w:w="1863" w:type="dxa"/>
            <w:tcBorders>
              <w:top w:val="single" w:sz="6" w:space="0" w:color="000000"/>
              <w:left w:val="nil" w:sz="6" w:space="0" w:color="auto"/>
              <w:bottom w:val="nil" w:sz="6" w:space="0" w:color="auto"/>
              <w:right w:val="nil" w:sz="6" w:space="0" w:color="auto"/>
            </w:tcBorders>
          </w:tcPr>
          <w:p>
            <w:pPr/>
          </w:p>
        </w:tc>
        <w:tc>
          <w:tcPr>
            <w:tcW w:w="1814" w:type="dxa"/>
            <w:tcBorders>
              <w:top w:val="single" w:sz="6" w:space="0" w:color="000000"/>
              <w:left w:val="nil" w:sz="6" w:space="0" w:color="auto"/>
              <w:bottom w:val="nil" w:sz="6" w:space="0" w:color="auto"/>
              <w:right w:val="nil" w:sz="6" w:space="0" w:color="auto"/>
            </w:tcBorders>
            <w:shd w:val="clear" w:color="auto" w:fill="ECE7DD"/>
          </w:tcPr>
          <w:p>
            <w:pPr/>
          </w:p>
        </w:tc>
        <w:tc>
          <w:tcPr>
            <w:tcW w:w="2056" w:type="dxa"/>
            <w:tcBorders>
              <w:top w:val="single" w:sz="6" w:space="0" w:color="000000"/>
              <w:left w:val="nil" w:sz="6" w:space="0" w:color="auto"/>
              <w:bottom w:val="nil" w:sz="6" w:space="0" w:color="auto"/>
              <w:right w:val="nil" w:sz="6" w:space="0" w:color="auto"/>
            </w:tcBorders>
          </w:tcPr>
          <w:p>
            <w:pPr/>
          </w:p>
        </w:tc>
        <w:tc>
          <w:tcPr>
            <w:tcW w:w="1573" w:type="dxa"/>
            <w:tcBorders>
              <w:top w:val="single" w:sz="6" w:space="0" w:color="000000"/>
              <w:left w:val="nil" w:sz="6" w:space="0" w:color="auto"/>
              <w:bottom w:val="nil" w:sz="6" w:space="0" w:color="auto"/>
              <w:right w:val="nil" w:sz="6" w:space="0" w:color="auto"/>
            </w:tcBorders>
          </w:tcPr>
          <w:p>
            <w:pPr/>
          </w:p>
        </w:tc>
      </w:tr>
      <w:tr>
        <w:trPr>
          <w:trHeight w:val="275"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6" w:lineRule="exact"/>
              <w:ind w:left="283" w:right="0"/>
              <w:jc w:val="left"/>
              <w:rPr>
                <w:rFonts w:ascii="宋体" w:hAnsi="宋体" w:cs="宋体" w:eastAsia="宋体" w:hint="default"/>
                <w:sz w:val="16"/>
                <w:szCs w:val="16"/>
              </w:rPr>
            </w:pPr>
            <w:r>
              <w:rPr>
                <w:rFonts w:ascii="宋体" w:hAnsi="宋体" w:cs="宋体" w:eastAsia="宋体" w:hint="default"/>
                <w:sz w:val="16"/>
                <w:szCs w:val="16"/>
              </w:rPr>
              <w:t>股本</w:t>
            </w:r>
          </w:p>
        </w:tc>
        <w:tc>
          <w:tcPr>
            <w:tcW w:w="1863" w:type="dxa"/>
            <w:tcBorders>
              <w:top w:val="nil" w:sz="6" w:space="0" w:color="auto"/>
              <w:left w:val="nil" w:sz="6" w:space="0" w:color="auto"/>
              <w:bottom w:val="nil" w:sz="6" w:space="0" w:color="auto"/>
              <w:right w:val="nil" w:sz="6" w:space="0" w:color="auto"/>
            </w:tcBorders>
          </w:tcPr>
          <w:p>
            <w:pPr>
              <w:pStyle w:val="TableParagraph"/>
              <w:spacing w:line="206" w:lineRule="exact"/>
              <w:ind w:right="381"/>
              <w:jc w:val="righ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(5)</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1"/>
              <w:jc w:val="right"/>
              <w:rPr>
                <w:rFonts w:ascii="宋体" w:hAnsi="宋体" w:cs="宋体" w:eastAsia="宋体" w:hint="default"/>
                <w:sz w:val="16"/>
                <w:szCs w:val="16"/>
              </w:rPr>
            </w:pPr>
            <w:r>
              <w:rPr>
                <w:rFonts w:ascii="宋体"/>
                <w:w w:val="95"/>
                <w:sz w:val="16"/>
              </w:rPr>
              <w:t>31,027,811,687</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6" w:lineRule="exact"/>
              <w:ind w:right="352"/>
              <w:jc w:val="right"/>
              <w:rPr>
                <w:rFonts w:ascii="宋体" w:hAnsi="宋体" w:cs="宋体" w:eastAsia="宋体" w:hint="default"/>
                <w:sz w:val="16"/>
                <w:szCs w:val="16"/>
              </w:rPr>
            </w:pPr>
            <w:r>
              <w:rPr>
                <w:rFonts w:ascii="宋体"/>
                <w:w w:val="95"/>
                <w:sz w:val="16"/>
              </w:rPr>
              <w:t>30,233,950,687</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5"/>
                <w:sz w:val="16"/>
              </w:rPr>
              <w:t>21,196,596,395</w:t>
            </w:r>
            <w:r>
              <w:rPr>
                <w:rFonts w:ascii="宋体"/>
                <w:sz w:val="16"/>
              </w:rPr>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资本公积</w:t>
            </w:r>
          </w:p>
        </w:tc>
        <w:tc>
          <w:tcPr>
            <w:tcW w:w="1863" w:type="dxa"/>
            <w:tcBorders>
              <w:top w:val="nil" w:sz="6" w:space="0" w:color="auto"/>
              <w:left w:val="nil" w:sz="6" w:space="0" w:color="auto"/>
              <w:bottom w:val="nil" w:sz="6" w:space="0" w:color="auto"/>
              <w:right w:val="nil" w:sz="6" w:space="0" w:color="auto"/>
            </w:tcBorders>
          </w:tcPr>
          <w:p>
            <w:pPr>
              <w:pStyle w:val="TableParagraph"/>
              <w:spacing w:line="205" w:lineRule="exact"/>
              <w:ind w:right="381"/>
              <w:jc w:val="righ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(6)</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72,448,610,693</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95"/>
                <w:sz w:val="16"/>
              </w:rPr>
              <w:t>69,619,818,503</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17,111,103,108</w:t>
            </w:r>
            <w:r>
              <w:rPr>
                <w:rFonts w:ascii="宋体"/>
                <w:sz w:val="16"/>
              </w:rPr>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减：库存股</w:t>
            </w:r>
          </w:p>
        </w:tc>
        <w:tc>
          <w:tcPr>
            <w:tcW w:w="1863" w:type="dxa"/>
            <w:tcBorders>
              <w:top w:val="nil" w:sz="6" w:space="0" w:color="auto"/>
              <w:left w:val="nil" w:sz="6" w:space="0" w:color="auto"/>
              <w:bottom w:val="nil" w:sz="6" w:space="0" w:color="auto"/>
              <w:right w:val="nil" w:sz="6" w:space="0" w:color="auto"/>
            </w:tcBorders>
          </w:tcPr>
          <w:p>
            <w:pPr>
              <w:pStyle w:val="TableParagraph"/>
              <w:spacing w:line="205" w:lineRule="exact"/>
              <w:ind w:right="381"/>
              <w:jc w:val="righ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(7)</w:t>
            </w:r>
            <w:r>
              <w:rPr>
                <w:rFonts w:ascii="宋体" w:hAnsi="宋体" w:cs="宋体" w:eastAsia="宋体" w:hint="default"/>
                <w:sz w:val="16"/>
                <w:szCs w:val="16"/>
              </w:rPr>
            </w: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(2,993,014,742)</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131"/>
                <w:sz w:val="16"/>
              </w:rPr>
              <w:t>-</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盈余公积</w:t>
            </w:r>
          </w:p>
        </w:tc>
        <w:tc>
          <w:tcPr>
            <w:tcW w:w="186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1,412,023,687</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95"/>
                <w:sz w:val="16"/>
              </w:rPr>
              <w:t>1,338,484,194</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1,338,484,194</w:t>
            </w:r>
            <w:r>
              <w:rPr>
                <w:rFonts w:ascii="宋体"/>
                <w:sz w:val="16"/>
              </w:rPr>
            </w:r>
          </w:p>
        </w:tc>
      </w:tr>
      <w:tr>
        <w:trPr>
          <w:trHeight w:val="272" w:hRule="exact"/>
        </w:trPr>
        <w:tc>
          <w:tcPr>
            <w:tcW w:w="230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1863" w:type="dxa"/>
            <w:tcBorders>
              <w:top w:val="nil" w:sz="6" w:space="0" w:color="auto"/>
              <w:left w:val="nil" w:sz="6" w:space="0" w:color="auto"/>
              <w:bottom w:val="nil" w:sz="6" w:space="0" w:color="auto"/>
              <w:right w:val="nil" w:sz="6" w:space="0" w:color="auto"/>
            </w:tcBorders>
          </w:tcPr>
          <w:p>
            <w:pPr/>
          </w:p>
        </w:tc>
        <w:tc>
          <w:tcPr>
            <w:tcW w:w="18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44,690,821</w:t>
            </w:r>
            <w:r>
              <w:rPr>
                <w:rFonts w:ascii="宋体"/>
                <w:sz w:val="16"/>
              </w:rPr>
            </w:r>
          </w:p>
        </w:tc>
        <w:tc>
          <w:tcPr>
            <w:tcW w:w="2056" w:type="dxa"/>
            <w:tcBorders>
              <w:top w:val="nil" w:sz="6" w:space="0" w:color="auto"/>
              <w:left w:val="nil" w:sz="6" w:space="0" w:color="auto"/>
              <w:bottom w:val="nil" w:sz="6" w:space="0" w:color="auto"/>
              <w:right w:val="nil" w:sz="6" w:space="0" w:color="auto"/>
            </w:tcBorders>
          </w:tcPr>
          <w:p>
            <w:pPr>
              <w:pStyle w:val="TableParagraph"/>
              <w:spacing w:line="205" w:lineRule="exact"/>
              <w:ind w:right="352"/>
              <w:jc w:val="right"/>
              <w:rPr>
                <w:rFonts w:ascii="宋体" w:hAnsi="宋体" w:cs="宋体" w:eastAsia="宋体" w:hint="default"/>
                <w:sz w:val="16"/>
                <w:szCs w:val="16"/>
              </w:rPr>
            </w:pPr>
            <w:r>
              <w:rPr>
                <w:rFonts w:ascii="宋体"/>
                <w:w w:val="90"/>
                <w:sz w:val="16"/>
              </w:rPr>
              <w:t>(2,813,945)</w:t>
            </w:r>
            <w:r>
              <w:rPr>
                <w:rFonts w:ascii="宋体"/>
                <w:sz w:val="16"/>
              </w:rPr>
            </w:r>
          </w:p>
        </w:tc>
        <w:tc>
          <w:tcPr>
            <w:tcW w:w="1573"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8,298,143</w:t>
            </w:r>
            <w:r>
              <w:rPr>
                <w:rFonts w:ascii="宋体"/>
                <w:sz w:val="16"/>
              </w:rPr>
            </w:r>
          </w:p>
        </w:tc>
      </w:tr>
      <w:tr>
        <w:trPr>
          <w:trHeight w:val="331" w:hRule="exact"/>
        </w:trPr>
        <w:tc>
          <w:tcPr>
            <w:tcW w:w="2304" w:type="dxa"/>
            <w:tcBorders>
              <w:top w:val="nil" w:sz="6" w:space="0" w:color="auto"/>
              <w:left w:val="nil" w:sz="6" w:space="0" w:color="auto"/>
              <w:bottom w:val="single" w:sz="6" w:space="0" w:color="000000"/>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股东权益合计</w:t>
            </w:r>
          </w:p>
        </w:tc>
        <w:tc>
          <w:tcPr>
            <w:tcW w:w="1863" w:type="dxa"/>
            <w:tcBorders>
              <w:top w:val="nil" w:sz="6" w:space="0" w:color="auto"/>
              <w:left w:val="nil" w:sz="6" w:space="0" w:color="auto"/>
              <w:bottom w:val="single" w:sz="6" w:space="0" w:color="000000"/>
              <w:right w:val="nil" w:sz="6" w:space="0" w:color="auto"/>
            </w:tcBorders>
          </w:tcPr>
          <w:p>
            <w:pPr/>
          </w:p>
        </w:tc>
        <w:tc>
          <w:tcPr>
            <w:tcW w:w="181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w w:val="95"/>
                <w:sz w:val="16"/>
              </w:rPr>
              <w:t>101,940,122,146</w:t>
            </w:r>
            <w:r>
              <w:rPr>
                <w:rFonts w:ascii="宋体"/>
                <w:sz w:val="16"/>
              </w:rPr>
            </w:r>
          </w:p>
        </w:tc>
        <w:tc>
          <w:tcPr>
            <w:tcW w:w="2056" w:type="dxa"/>
            <w:tcBorders>
              <w:top w:val="nil" w:sz="6" w:space="0" w:color="auto"/>
              <w:left w:val="nil" w:sz="6" w:space="0" w:color="auto"/>
              <w:bottom w:val="single" w:sz="6" w:space="0" w:color="000000"/>
              <w:right w:val="nil" w:sz="6" w:space="0" w:color="auto"/>
            </w:tcBorders>
          </w:tcPr>
          <w:p>
            <w:pPr>
              <w:pStyle w:val="TableParagraph"/>
              <w:spacing w:line="206" w:lineRule="exact"/>
              <w:ind w:right="351"/>
              <w:jc w:val="right"/>
              <w:rPr>
                <w:rFonts w:ascii="宋体" w:hAnsi="宋体" w:cs="宋体" w:eastAsia="宋体" w:hint="default"/>
                <w:sz w:val="16"/>
                <w:szCs w:val="16"/>
              </w:rPr>
            </w:pPr>
            <w:r>
              <w:rPr>
                <w:rFonts w:ascii="宋体"/>
                <w:w w:val="95"/>
                <w:sz w:val="16"/>
              </w:rPr>
              <w:t>101,189,439,439</w:t>
            </w:r>
            <w:r>
              <w:rPr>
                <w:rFonts w:ascii="宋体"/>
                <w:sz w:val="16"/>
              </w:rPr>
            </w:r>
          </w:p>
        </w:tc>
        <w:tc>
          <w:tcPr>
            <w:tcW w:w="1573" w:type="dxa"/>
            <w:tcBorders>
              <w:top w:val="nil" w:sz="6" w:space="0" w:color="auto"/>
              <w:left w:val="nil" w:sz="6" w:space="0" w:color="auto"/>
              <w:bottom w:val="single" w:sz="6" w:space="0" w:color="000000"/>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5"/>
                <w:sz w:val="16"/>
              </w:rPr>
              <w:t>39,654,481,840</w:t>
            </w:r>
            <w:r>
              <w:rPr>
                <w:rFonts w:ascii="宋体"/>
                <w:sz w:val="16"/>
              </w:rPr>
            </w:r>
          </w:p>
        </w:tc>
      </w:tr>
      <w:tr>
        <w:trPr>
          <w:trHeight w:val="414" w:hRule="exact"/>
        </w:trPr>
        <w:tc>
          <w:tcPr>
            <w:tcW w:w="4167"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负债和股东权益总计</w:t>
            </w:r>
          </w:p>
        </w:tc>
        <w:tc>
          <w:tcPr>
            <w:tcW w:w="181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104,940,053,972</w:t>
            </w:r>
            <w:r>
              <w:rPr>
                <w:rFonts w:ascii="宋体"/>
                <w:sz w:val="16"/>
              </w:rPr>
            </w:r>
          </w:p>
        </w:tc>
        <w:tc>
          <w:tcPr>
            <w:tcW w:w="205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52"/>
              <w:jc w:val="right"/>
              <w:rPr>
                <w:rFonts w:ascii="宋体" w:hAnsi="宋体" w:cs="宋体" w:eastAsia="宋体" w:hint="default"/>
                <w:sz w:val="16"/>
                <w:szCs w:val="16"/>
              </w:rPr>
            </w:pPr>
            <w:r>
              <w:rPr>
                <w:rFonts w:ascii="宋体"/>
                <w:w w:val="95"/>
                <w:sz w:val="16"/>
              </w:rPr>
              <w:t>101,197,390,564</w:t>
            </w:r>
            <w:r>
              <w:rPr>
                <w:rFonts w:ascii="宋体"/>
                <w:sz w:val="16"/>
              </w:rPr>
            </w:r>
          </w:p>
        </w:tc>
        <w:tc>
          <w:tcPr>
            <w:tcW w:w="157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39,658,711,445</w:t>
            </w:r>
            <w:r>
              <w:rPr>
                <w:rFonts w:ascii="宋体"/>
                <w:sz w:val="16"/>
              </w:rPr>
            </w:r>
          </w:p>
        </w:tc>
      </w:tr>
    </w:tbl>
    <w:p>
      <w:pPr>
        <w:spacing w:line="240" w:lineRule="auto" w:before="1"/>
        <w:rPr>
          <w:rFonts w:ascii="宋体" w:hAnsi="宋体" w:cs="宋体" w:eastAsia="宋体" w:hint="default"/>
          <w:sz w:val="24"/>
          <w:szCs w:val="24"/>
        </w:rPr>
      </w:pPr>
    </w:p>
    <w:p>
      <w:pPr>
        <w:pStyle w:val="BodyText"/>
        <w:spacing w:line="240" w:lineRule="auto" w:before="31"/>
        <w:ind w:left="134" w:right="125"/>
        <w:jc w:val="left"/>
      </w:pPr>
      <w:r>
        <w:rPr/>
        <w:t>后附财务报表附注为财务报表的组成部分。</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2"/>
          <w:szCs w:val="22"/>
        </w:rPr>
      </w:pPr>
    </w:p>
    <w:p>
      <w:pPr>
        <w:pStyle w:val="BodyText"/>
        <w:tabs>
          <w:tab w:pos="3041" w:val="left" w:leader="none"/>
          <w:tab w:pos="6641" w:val="left" w:leader="none"/>
        </w:tabs>
        <w:spacing w:line="240" w:lineRule="auto"/>
        <w:ind w:left="134" w:right="125"/>
        <w:jc w:val="left"/>
      </w:pPr>
      <w:r>
        <w:rPr/>
        <w:t>董事长：王晓初</w:t>
        <w:tab/>
        <w:t>财务负责人：姜爱华</w:t>
        <w:tab/>
        <w:t>财务部总经理：王芳</w:t>
      </w:r>
    </w:p>
    <w:p>
      <w:pPr>
        <w:spacing w:after="0" w:line="240" w:lineRule="auto"/>
        <w:jc w:val="left"/>
        <w:sectPr>
          <w:headerReference w:type="default" r:id="rId258"/>
          <w:pgSz w:w="11910" w:h="16160"/>
          <w:pgMar w:header="0" w:footer="298" w:top="1100" w:bottom="480" w:left="1340" w:right="680"/>
        </w:sectPr>
      </w:pPr>
    </w:p>
    <w:p>
      <w:pPr>
        <w:pStyle w:val="Heading3"/>
        <w:spacing w:line="487" w:lineRule="exact"/>
        <w:ind w:left="133" w:right="0"/>
        <w:jc w:val="left"/>
        <w:rPr>
          <w:rFonts w:ascii="宋体" w:hAnsi="宋体" w:cs="宋体" w:eastAsia="宋体" w:hint="default"/>
        </w:rPr>
      </w:pPr>
      <w:r>
        <w:rPr>
          <w:rFonts w:ascii="宋体" w:hAnsi="宋体" w:cs="宋体" w:eastAsia="宋体" w:hint="default"/>
          <w:color w:val="9F8958"/>
        </w:rPr>
        <w:t>利润表</w:t>
      </w:r>
      <w:r>
        <w:rPr>
          <w:rFonts w:ascii="宋体" w:hAnsi="宋体" w:cs="宋体" w:eastAsia="宋体" w:hint="default"/>
        </w:rPr>
      </w:r>
    </w:p>
    <w:p>
      <w:pPr>
        <w:spacing w:line="201" w:lineRule="exact" w:before="103"/>
        <w:ind w:left="133" w:right="0"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年度合并及公司利润表</w:t>
      </w:r>
    </w:p>
    <w:p>
      <w:pPr>
        <w:spacing w:line="201" w:lineRule="exact" w:before="0"/>
        <w:ind w:left="133" w:right="0"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13" w:type="dxa"/>
        <w:tblLayout w:type="fixed"/>
        <w:tblCellMar>
          <w:top w:w="0" w:type="dxa"/>
          <w:left w:w="0" w:type="dxa"/>
          <w:bottom w:w="0" w:type="dxa"/>
          <w:right w:w="0" w:type="dxa"/>
        </w:tblCellMar>
        <w:tblLook w:val="01E0"/>
      </w:tblPr>
      <w:tblGrid>
        <w:gridCol w:w="2851"/>
        <w:gridCol w:w="885"/>
        <w:gridCol w:w="1490"/>
        <w:gridCol w:w="1490"/>
        <w:gridCol w:w="1478"/>
        <w:gridCol w:w="1444"/>
      </w:tblGrid>
      <w:tr>
        <w:trPr>
          <w:trHeight w:val="550" w:hRule="exact"/>
        </w:trPr>
        <w:tc>
          <w:tcPr>
            <w:tcW w:w="2851"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885"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6" w:right="0"/>
              <w:jc w:val="left"/>
              <w:rPr>
                <w:rFonts w:ascii="宋体" w:hAnsi="宋体" w:cs="宋体" w:eastAsia="宋体" w:hint="default"/>
                <w:sz w:val="16"/>
                <w:szCs w:val="16"/>
              </w:rPr>
            </w:pPr>
            <w:r>
              <w:rPr>
                <w:rFonts w:ascii="宋体" w:hAnsi="宋体" w:cs="宋体" w:eastAsia="宋体" w:hint="default"/>
                <w:sz w:val="16"/>
                <w:szCs w:val="16"/>
              </w:rPr>
              <w:t>附注</w:t>
            </w:r>
          </w:p>
        </w:tc>
        <w:tc>
          <w:tcPr>
            <w:tcW w:w="1490"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7"/>
              <w:ind w:right="83"/>
              <w:jc w:val="righ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4"/>
              <w:jc w:val="right"/>
              <w:rPr>
                <w:rFonts w:ascii="宋体" w:hAnsi="宋体" w:cs="宋体" w:eastAsia="宋体" w:hint="default"/>
                <w:sz w:val="16"/>
                <w:szCs w:val="16"/>
              </w:rPr>
            </w:pPr>
            <w:r>
              <w:rPr>
                <w:rFonts w:ascii="宋体" w:hAnsi="宋体" w:cs="宋体" w:eastAsia="宋体" w:hint="default"/>
                <w:sz w:val="16"/>
                <w:szCs w:val="16"/>
              </w:rPr>
              <w:t>合并</w:t>
            </w:r>
          </w:p>
        </w:tc>
        <w:tc>
          <w:tcPr>
            <w:tcW w:w="1490" w:type="dxa"/>
            <w:tcBorders>
              <w:top w:val="nil" w:sz="6" w:space="0" w:color="auto"/>
              <w:left w:val="nil" w:sz="6" w:space="0" w:color="auto"/>
              <w:bottom w:val="single" w:sz="16" w:space="0" w:color="9F8958"/>
              <w:right w:val="nil" w:sz="6" w:space="0" w:color="auto"/>
            </w:tcBorders>
          </w:tcPr>
          <w:p>
            <w:pPr>
              <w:pStyle w:val="TableParagraph"/>
              <w:spacing w:line="205" w:lineRule="exact" w:before="7"/>
              <w:ind w:right="83"/>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合并</w:t>
            </w:r>
          </w:p>
        </w:tc>
        <w:tc>
          <w:tcPr>
            <w:tcW w:w="147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7"/>
              <w:ind w:right="83"/>
              <w:jc w:val="righ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2"/>
              <w:jc w:val="right"/>
              <w:rPr>
                <w:rFonts w:ascii="宋体" w:hAnsi="宋体" w:cs="宋体" w:eastAsia="宋体" w:hint="default"/>
                <w:sz w:val="16"/>
                <w:szCs w:val="16"/>
              </w:rPr>
            </w:pPr>
            <w:r>
              <w:rPr>
                <w:rFonts w:ascii="宋体" w:hAnsi="宋体" w:cs="宋体" w:eastAsia="宋体" w:hint="default"/>
                <w:sz w:val="16"/>
                <w:szCs w:val="16"/>
              </w:rPr>
              <w:t>公司</w:t>
            </w:r>
          </w:p>
        </w:tc>
        <w:tc>
          <w:tcPr>
            <w:tcW w:w="1444" w:type="dxa"/>
            <w:tcBorders>
              <w:top w:val="nil" w:sz="6" w:space="0" w:color="auto"/>
              <w:left w:val="nil" w:sz="6" w:space="0" w:color="auto"/>
              <w:bottom w:val="single" w:sz="16" w:space="0" w:color="9F8958"/>
              <w:right w:val="nil" w:sz="6" w:space="0" w:color="auto"/>
            </w:tcBorders>
          </w:tcPr>
          <w:p>
            <w:pPr>
              <w:pStyle w:val="TableParagraph"/>
              <w:spacing w:line="205" w:lineRule="exact" w:before="7"/>
              <w:ind w:right="82"/>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公司</w:t>
            </w:r>
          </w:p>
        </w:tc>
      </w:tr>
      <w:tr>
        <w:trPr>
          <w:trHeight w:val="401" w:hRule="exact"/>
        </w:trPr>
        <w:tc>
          <w:tcPr>
            <w:tcW w:w="2851"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left="85" w:right="0"/>
              <w:jc w:val="left"/>
              <w:rPr>
                <w:rFonts w:ascii="宋体" w:hAnsi="宋体" w:cs="宋体" w:eastAsia="宋体" w:hint="default"/>
                <w:sz w:val="16"/>
                <w:szCs w:val="16"/>
              </w:rPr>
            </w:pPr>
            <w:r>
              <w:rPr>
                <w:rFonts w:ascii="宋体" w:hAnsi="宋体" w:cs="宋体" w:eastAsia="宋体" w:hint="default"/>
                <w:sz w:val="16"/>
                <w:szCs w:val="16"/>
              </w:rPr>
              <w:t>一、营业收入</w:t>
            </w:r>
          </w:p>
        </w:tc>
        <w:tc>
          <w:tcPr>
            <w:tcW w:w="885"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(36)</w:t>
            </w:r>
            <w:r>
              <w:rPr>
                <w:rFonts w:ascii="宋体" w:hAnsi="宋体" w:cs="宋体" w:eastAsia="宋体" w:hint="default"/>
                <w:sz w:val="16"/>
                <w:szCs w:val="16"/>
              </w:rPr>
            </w:r>
          </w:p>
        </w:tc>
        <w:tc>
          <w:tcPr>
            <w:tcW w:w="1490"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04"/>
              <w:ind w:right="82"/>
              <w:jc w:val="right"/>
              <w:rPr>
                <w:rFonts w:ascii="宋体" w:hAnsi="宋体" w:cs="宋体" w:eastAsia="宋体" w:hint="default"/>
                <w:sz w:val="16"/>
                <w:szCs w:val="16"/>
              </w:rPr>
            </w:pPr>
            <w:r>
              <w:rPr>
                <w:rFonts w:ascii="宋体"/>
                <w:w w:val="95"/>
                <w:sz w:val="16"/>
              </w:rPr>
              <w:t>290,876,776,866</w:t>
            </w:r>
            <w:r>
              <w:rPr>
                <w:rFonts w:ascii="宋体"/>
                <w:sz w:val="16"/>
              </w:rPr>
            </w:r>
          </w:p>
        </w:tc>
        <w:tc>
          <w:tcPr>
            <w:tcW w:w="1490"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right="82"/>
              <w:jc w:val="right"/>
              <w:rPr>
                <w:rFonts w:ascii="宋体" w:hAnsi="宋体" w:cs="宋体" w:eastAsia="宋体" w:hint="default"/>
                <w:sz w:val="16"/>
                <w:szCs w:val="16"/>
              </w:rPr>
            </w:pPr>
            <w:r>
              <w:rPr>
                <w:rFonts w:ascii="宋体"/>
                <w:w w:val="95"/>
                <w:sz w:val="16"/>
              </w:rPr>
              <w:t>274,828,946,271</w:t>
            </w:r>
            <w:r>
              <w:rPr>
                <w:rFonts w:ascii="宋体"/>
                <w:sz w:val="16"/>
              </w:rPr>
            </w:r>
          </w:p>
        </w:tc>
        <w:tc>
          <w:tcPr>
            <w:tcW w:w="147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04"/>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5"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6" w:lineRule="exact"/>
              <w:ind w:left="85" w:right="0"/>
              <w:jc w:val="left"/>
              <w:rPr>
                <w:rFonts w:ascii="宋体" w:hAnsi="宋体" w:cs="宋体" w:eastAsia="宋体" w:hint="default"/>
                <w:sz w:val="16"/>
                <w:szCs w:val="16"/>
              </w:rPr>
            </w:pPr>
            <w:r>
              <w:rPr>
                <w:rFonts w:ascii="宋体" w:hAnsi="宋体" w:cs="宋体" w:eastAsia="宋体" w:hint="default"/>
                <w:sz w:val="16"/>
                <w:szCs w:val="16"/>
              </w:rPr>
              <w:t>二、减：营业成本</w:t>
            </w:r>
          </w:p>
        </w:tc>
        <w:tc>
          <w:tcPr>
            <w:tcW w:w="885" w:type="dxa"/>
            <w:tcBorders>
              <w:top w:val="nil" w:sz="6" w:space="0" w:color="auto"/>
              <w:left w:val="nil" w:sz="6" w:space="0" w:color="auto"/>
              <w:bottom w:val="nil" w:sz="6" w:space="0" w:color="auto"/>
              <w:right w:val="nil" w:sz="6" w:space="0" w:color="auto"/>
            </w:tcBorders>
          </w:tcPr>
          <w:p>
            <w:pPr>
              <w:pStyle w:val="TableParagraph"/>
              <w:spacing w:line="206"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(36)</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82"/>
              <w:jc w:val="right"/>
              <w:rPr>
                <w:rFonts w:ascii="宋体" w:hAnsi="宋体" w:cs="宋体" w:eastAsia="宋体" w:hint="default"/>
                <w:sz w:val="16"/>
                <w:szCs w:val="16"/>
              </w:rPr>
            </w:pPr>
            <w:r>
              <w:rPr>
                <w:rFonts w:ascii="宋体"/>
                <w:w w:val="90"/>
                <w:sz w:val="16"/>
              </w:rPr>
              <w:t>(213,585,637,513)</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6" w:lineRule="exact"/>
              <w:ind w:right="82"/>
              <w:jc w:val="right"/>
              <w:rPr>
                <w:rFonts w:ascii="宋体" w:hAnsi="宋体" w:cs="宋体" w:eastAsia="宋体" w:hint="default"/>
                <w:sz w:val="16"/>
                <w:szCs w:val="16"/>
              </w:rPr>
            </w:pPr>
            <w:r>
              <w:rPr>
                <w:rFonts w:ascii="宋体"/>
                <w:w w:val="90"/>
                <w:sz w:val="16"/>
              </w:rPr>
              <w:t>(206,976,717,931)</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6" w:lineRule="exact"/>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税金及附加</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(37)</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0"/>
                <w:sz w:val="16"/>
              </w:rPr>
              <w:t>(1,389,470,984)</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0"/>
                <w:sz w:val="16"/>
              </w:rPr>
              <w:t>(1,282,026,506)</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0"/>
                <w:sz w:val="16"/>
              </w:rPr>
              <w:t>(2,898,119)</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0"/>
                <w:sz w:val="16"/>
              </w:rPr>
              <w:t>(30,838,648)</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销售费用</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(38)</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4"/>
              <w:jc w:val="right"/>
              <w:rPr>
                <w:rFonts w:ascii="宋体" w:hAnsi="宋体" w:cs="宋体" w:eastAsia="宋体" w:hint="default"/>
                <w:sz w:val="16"/>
                <w:szCs w:val="16"/>
              </w:rPr>
            </w:pPr>
            <w:r>
              <w:rPr>
                <w:rFonts w:ascii="宋体"/>
                <w:w w:val="90"/>
                <w:sz w:val="16"/>
              </w:rPr>
              <w:t>(35,169,715,460)</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(34,085,464,556)</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管理费用</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(39)</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4"/>
              <w:jc w:val="right"/>
              <w:rPr>
                <w:rFonts w:ascii="宋体" w:hAnsi="宋体" w:cs="宋体" w:eastAsia="宋体" w:hint="default"/>
                <w:sz w:val="16"/>
                <w:szCs w:val="16"/>
              </w:rPr>
            </w:pPr>
            <w:r>
              <w:rPr>
                <w:rFonts w:ascii="宋体"/>
                <w:w w:val="90"/>
                <w:sz w:val="16"/>
              </w:rPr>
              <w:t>(22,925,119,665)</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(20,841,707,747)</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90"/>
                <w:sz w:val="16"/>
              </w:rPr>
              <w:t>(9,113,588)</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(8,879,834)</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研发费用</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(40)</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4"/>
              <w:jc w:val="right"/>
              <w:rPr>
                <w:rFonts w:ascii="宋体" w:hAnsi="宋体" w:cs="宋体" w:eastAsia="宋体" w:hint="default"/>
                <w:sz w:val="16"/>
                <w:szCs w:val="16"/>
              </w:rPr>
            </w:pPr>
            <w:r>
              <w:rPr>
                <w:rFonts w:ascii="宋体"/>
                <w:w w:val="90"/>
                <w:sz w:val="16"/>
              </w:rPr>
              <w:t>(872,225,770)</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(491,941,948)</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(41)</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sz w:val="16"/>
              </w:rPr>
              <w:t>137,779,791</w:t>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(4,079,005,515)</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49,465,360</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28,585,360</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其中：利息费用</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0"/>
                <w:sz w:val="16"/>
              </w:rPr>
              <w:t>(1,539,367,075)</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0"/>
                <w:sz w:val="16"/>
              </w:rPr>
              <w:t>(5,257,314,297)</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181" w:right="0"/>
              <w:jc w:val="center"/>
              <w:rPr>
                <w:rFonts w:ascii="宋体" w:hAnsi="宋体" w:cs="宋体" w:eastAsia="宋体" w:hint="default"/>
                <w:sz w:val="16"/>
                <w:szCs w:val="16"/>
              </w:rPr>
            </w:pPr>
            <w:r>
              <w:rPr>
                <w:rFonts w:ascii="宋体" w:hAnsi="宋体" w:cs="宋体" w:eastAsia="宋体" w:hint="default"/>
                <w:sz w:val="16"/>
                <w:szCs w:val="16"/>
              </w:rPr>
              <w:t>利息收入</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1,735,244,249</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1,676,073,979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53,201,547</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28,587,459</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资产减值损失</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(42)</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0"/>
                <w:sz w:val="16"/>
              </w:rPr>
              <w:t>(255,174,449)</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0"/>
                <w:sz w:val="16"/>
              </w:rPr>
              <w:t>(3,960,131,483)</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08" w:right="0"/>
              <w:jc w:val="left"/>
              <w:rPr>
                <w:rFonts w:ascii="宋体" w:hAnsi="宋体" w:cs="宋体" w:eastAsia="宋体" w:hint="default"/>
                <w:sz w:val="16"/>
                <w:szCs w:val="16"/>
              </w:rPr>
            </w:pPr>
            <w:r>
              <w:rPr>
                <w:rFonts w:ascii="宋体" w:hAnsi="宋体" w:cs="宋体" w:eastAsia="宋体" w:hint="default"/>
                <w:sz w:val="16"/>
                <w:szCs w:val="16"/>
              </w:rPr>
              <w:t>信用减值损失</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(43)</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0"/>
                <w:sz w:val="16"/>
              </w:rPr>
              <w:t>(3,609,535,060)</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不适用</w:t>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right="156"/>
              <w:jc w:val="right"/>
              <w:rPr>
                <w:rFonts w:ascii="宋体" w:hAnsi="宋体" w:cs="宋体" w:eastAsia="宋体" w:hint="default"/>
                <w:sz w:val="16"/>
                <w:szCs w:val="16"/>
              </w:rPr>
            </w:pPr>
            <w:r>
              <w:rPr>
                <w:rFonts w:ascii="宋体" w:hAnsi="宋体" w:cs="宋体" w:eastAsia="宋体" w:hint="default"/>
                <w:w w:val="95"/>
                <w:sz w:val="16"/>
                <w:szCs w:val="16"/>
              </w:rPr>
              <w:t>加：公允价值变动收益</w:t>
            </w:r>
            <w:r>
              <w:rPr>
                <w:rFonts w:ascii="宋体" w:hAnsi="宋体" w:cs="宋体" w:eastAsia="宋体" w:hint="default"/>
                <w:spacing w:val="44"/>
                <w:w w:val="95"/>
                <w:sz w:val="16"/>
                <w:szCs w:val="16"/>
              </w:rPr>
              <w:t> </w:t>
            </w:r>
            <w:r>
              <w:rPr>
                <w:rFonts w:ascii="宋体" w:hAnsi="宋体" w:cs="宋体" w:eastAsia="宋体" w:hint="default"/>
                <w:w w:val="95"/>
                <w:sz w:val="16"/>
                <w:szCs w:val="16"/>
              </w:rPr>
              <w:t>/（损失）</w:t>
            </w:r>
            <w:r>
              <w:rPr>
                <w:rFonts w:ascii="宋体" w:hAnsi="宋体" w:cs="宋体" w:eastAsia="宋体" w:hint="default"/>
                <w:sz w:val="16"/>
                <w:szCs w:val="16"/>
              </w:rPr>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24,695,000</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90"/>
                <w:sz w:val="16"/>
              </w:rPr>
              <w:t>(6,412,429)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40" w:lineRule="auto" w:before="95"/>
              <w:ind w:left="708" w:right="0"/>
              <w:jc w:val="left"/>
              <w:rPr>
                <w:rFonts w:ascii="宋体" w:hAnsi="宋体" w:cs="宋体" w:eastAsia="宋体" w:hint="default"/>
                <w:sz w:val="16"/>
                <w:szCs w:val="16"/>
              </w:rPr>
            </w:pPr>
            <w:r>
              <w:rPr>
                <w:rFonts w:ascii="宋体" w:hAnsi="宋体" w:cs="宋体" w:eastAsia="宋体" w:hint="default"/>
                <w:sz w:val="16"/>
                <w:szCs w:val="16"/>
              </w:rPr>
              <w:t>投资收益</w:t>
            </w:r>
          </w:p>
        </w:tc>
        <w:tc>
          <w:tcPr>
            <w:tcW w:w="885" w:type="dxa"/>
            <w:tcBorders>
              <w:top w:val="nil" w:sz="6" w:space="0" w:color="auto"/>
              <w:left w:val="nil" w:sz="6" w:space="0" w:color="auto"/>
              <w:bottom w:val="nil" w:sz="6" w:space="0" w:color="auto"/>
              <w:right w:val="nil" w:sz="6" w:space="0" w:color="auto"/>
            </w:tcBorders>
          </w:tcPr>
          <w:p>
            <w:pPr>
              <w:pStyle w:val="TableParagraph"/>
              <w:spacing w:line="200" w:lineRule="exact"/>
              <w:ind w:left="171" w:right="0"/>
              <w:jc w:val="left"/>
              <w:rPr>
                <w:rFonts w:ascii="宋体" w:hAnsi="宋体" w:cs="宋体" w:eastAsia="宋体" w:hint="default"/>
                <w:sz w:val="16"/>
                <w:szCs w:val="16"/>
              </w:rPr>
            </w:pPr>
            <w:r>
              <w:rPr>
                <w:rFonts w:ascii="宋体" w:hAnsi="宋体" w:cs="宋体" w:eastAsia="宋体" w:hint="default"/>
                <w:w w:val="85"/>
                <w:sz w:val="16"/>
                <w:szCs w:val="16"/>
              </w:rPr>
              <w:t>五</w:t>
            </w:r>
            <w:r>
              <w:rPr>
                <w:rFonts w:ascii="宋体" w:hAnsi="宋体" w:cs="宋体" w:eastAsia="宋体" w:hint="default"/>
                <w:spacing w:val="-34"/>
                <w:w w:val="85"/>
                <w:sz w:val="16"/>
                <w:szCs w:val="16"/>
              </w:rPr>
              <w:t> </w:t>
            </w:r>
            <w:r>
              <w:rPr>
                <w:rFonts w:ascii="宋体" w:hAnsi="宋体" w:cs="宋体" w:eastAsia="宋体" w:hint="default"/>
                <w:w w:val="85"/>
                <w:sz w:val="16"/>
                <w:szCs w:val="16"/>
              </w:rPr>
              <w:t>(44),</w:t>
            </w:r>
            <w:r>
              <w:rPr>
                <w:rFonts w:ascii="宋体" w:hAnsi="宋体" w:cs="宋体" w:eastAsia="宋体" w:hint="default"/>
                <w:sz w:val="16"/>
                <w:szCs w:val="16"/>
              </w:rPr>
            </w:r>
          </w:p>
          <w:p>
            <w:pPr>
              <w:pStyle w:val="TableParagraph"/>
              <w:spacing w:line="205" w:lineRule="exact"/>
              <w:ind w:left="158" w:right="0"/>
              <w:jc w:val="lef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(8)</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82"/>
              <w:jc w:val="right"/>
              <w:rPr>
                <w:rFonts w:ascii="宋体" w:hAnsi="宋体" w:cs="宋体" w:eastAsia="宋体" w:hint="default"/>
                <w:sz w:val="16"/>
                <w:szCs w:val="16"/>
              </w:rPr>
            </w:pPr>
            <w:r>
              <w:rPr>
                <w:rFonts w:ascii="宋体"/>
                <w:w w:val="95"/>
                <w:sz w:val="16"/>
              </w:rPr>
              <w:t>2,475,567,494</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2"/>
              <w:jc w:val="right"/>
              <w:rPr>
                <w:rFonts w:ascii="宋体" w:hAnsi="宋体" w:cs="宋体" w:eastAsia="宋体" w:hint="default"/>
                <w:sz w:val="16"/>
                <w:szCs w:val="16"/>
              </w:rPr>
            </w:pPr>
            <w:r>
              <w:rPr>
                <w:rFonts w:ascii="宋体"/>
                <w:w w:val="95"/>
                <w:sz w:val="16"/>
              </w:rPr>
              <w:t>1,700,162,042</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82"/>
              <w:jc w:val="right"/>
              <w:rPr>
                <w:rFonts w:ascii="宋体" w:hAnsi="宋体" w:cs="宋体" w:eastAsia="宋体" w:hint="default"/>
                <w:sz w:val="16"/>
                <w:szCs w:val="16"/>
              </w:rPr>
            </w:pPr>
            <w:r>
              <w:rPr>
                <w:rFonts w:ascii="宋体"/>
                <w:sz w:val="16"/>
              </w:rPr>
              <w:t>699,083,224</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1196" w:right="220" w:hanging="488"/>
              <w:jc w:val="left"/>
              <w:rPr>
                <w:rFonts w:ascii="宋体" w:hAnsi="宋体" w:cs="宋体" w:eastAsia="宋体" w:hint="default"/>
                <w:sz w:val="16"/>
                <w:szCs w:val="16"/>
              </w:rPr>
            </w:pPr>
            <w:r>
              <w:rPr>
                <w:rFonts w:ascii="宋体" w:hAnsi="宋体" w:cs="宋体" w:eastAsia="宋体" w:hint="default"/>
                <w:sz w:val="16"/>
                <w:szCs w:val="16"/>
              </w:rPr>
              <w:t>其中：对联营和合营企业的 投资收益</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82"/>
              <w:jc w:val="right"/>
              <w:rPr>
                <w:rFonts w:ascii="宋体" w:hAnsi="宋体" w:cs="宋体" w:eastAsia="宋体" w:hint="default"/>
                <w:sz w:val="16"/>
                <w:szCs w:val="16"/>
              </w:rPr>
            </w:pPr>
            <w:r>
              <w:rPr>
                <w:rFonts w:ascii="宋体"/>
                <w:w w:val="95"/>
                <w:sz w:val="16"/>
              </w:rPr>
              <w:t>2,236,077,532</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2"/>
              <w:jc w:val="right"/>
              <w:rPr>
                <w:rFonts w:ascii="宋体" w:hAnsi="宋体" w:cs="宋体" w:eastAsia="宋体" w:hint="default"/>
                <w:sz w:val="16"/>
                <w:szCs w:val="16"/>
              </w:rPr>
            </w:pPr>
            <w:r>
              <w:rPr>
                <w:rFonts w:ascii="宋体"/>
                <w:w w:val="95"/>
                <w:sz w:val="16"/>
              </w:rPr>
              <w:t>1,466,546,786</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37" w:right="0"/>
              <w:jc w:val="left"/>
              <w:rPr>
                <w:rFonts w:ascii="宋体" w:hAnsi="宋体" w:cs="宋体" w:eastAsia="宋体" w:hint="default"/>
                <w:sz w:val="16"/>
                <w:szCs w:val="16"/>
              </w:rPr>
            </w:pPr>
            <w:r>
              <w:rPr>
                <w:rFonts w:ascii="宋体" w:hAnsi="宋体" w:cs="宋体" w:eastAsia="宋体" w:hint="default"/>
                <w:sz w:val="16"/>
                <w:szCs w:val="16"/>
              </w:rPr>
              <w:t>资产处置损失</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(45)</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(3,971,803,149)</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(3,488,897,716)</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2"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737" w:right="0"/>
              <w:jc w:val="left"/>
              <w:rPr>
                <w:rFonts w:ascii="宋体" w:hAnsi="宋体" w:cs="宋体" w:eastAsia="宋体" w:hint="default"/>
                <w:sz w:val="16"/>
                <w:szCs w:val="16"/>
              </w:rPr>
            </w:pPr>
            <w:r>
              <w:rPr>
                <w:rFonts w:ascii="宋体" w:hAnsi="宋体" w:cs="宋体" w:eastAsia="宋体" w:hint="default"/>
                <w:sz w:val="16"/>
                <w:szCs w:val="16"/>
              </w:rPr>
              <w:t>其他收益</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(46)</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sz w:val="16"/>
              </w:rPr>
              <w:t>185,213,758</w:t>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196,404,572</w:t>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5"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三、营业利润</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2"/>
              <w:jc w:val="right"/>
              <w:rPr>
                <w:rFonts w:ascii="宋体" w:hAnsi="宋体" w:cs="宋体" w:eastAsia="宋体" w:hint="default"/>
                <w:sz w:val="16"/>
                <w:szCs w:val="16"/>
              </w:rPr>
            </w:pPr>
            <w:r>
              <w:rPr>
                <w:rFonts w:ascii="宋体"/>
                <w:w w:val="95"/>
                <w:sz w:val="16"/>
              </w:rPr>
              <w:t>11,921,350,859</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95"/>
                <w:sz w:val="16"/>
              </w:rPr>
              <w:t>1,513,207,054</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sz w:val="16"/>
              </w:rPr>
              <w:t>736,536,877</w:t>
            </w:r>
          </w:p>
        </w:tc>
        <w:tc>
          <w:tcPr>
            <w:tcW w:w="1444" w:type="dxa"/>
            <w:tcBorders>
              <w:top w:val="nil" w:sz="6" w:space="0" w:color="auto"/>
              <w:left w:val="nil" w:sz="6" w:space="0" w:color="auto"/>
              <w:bottom w:val="nil" w:sz="6" w:space="0" w:color="auto"/>
              <w:right w:val="nil" w:sz="6" w:space="0" w:color="auto"/>
            </w:tcBorders>
          </w:tcPr>
          <w:p>
            <w:pPr>
              <w:pStyle w:val="TableParagraph"/>
              <w:spacing w:line="206" w:lineRule="exact"/>
              <w:ind w:right="111"/>
              <w:jc w:val="right"/>
              <w:rPr>
                <w:rFonts w:ascii="宋体" w:hAnsi="宋体" w:cs="宋体" w:eastAsia="宋体" w:hint="default"/>
                <w:sz w:val="16"/>
                <w:szCs w:val="16"/>
              </w:rPr>
            </w:pPr>
            <w:r>
              <w:rPr>
                <w:rFonts w:ascii="宋体"/>
                <w:w w:val="90"/>
                <w:sz w:val="16"/>
              </w:rPr>
              <w:t>(11,133,122)</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sz w:val="16"/>
                <w:szCs w:val="16"/>
              </w:rPr>
              <w:t>加：营业外收入</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(47)</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746,105,117</w:t>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1,047,053,650</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13,996</w:t>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143,072</w:t>
            </w:r>
          </w:p>
        </w:tc>
      </w:tr>
      <w:tr>
        <w:trPr>
          <w:trHeight w:val="272"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sz w:val="16"/>
                <w:szCs w:val="16"/>
              </w:rPr>
              <w:t>减：营业外支出</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(47)</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90"/>
                <w:sz w:val="16"/>
              </w:rPr>
              <w:t>(592,093,089)</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(182,393,888)</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(1,155,943)</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(122,038)</w:t>
            </w:r>
            <w:r>
              <w:rPr>
                <w:rFonts w:ascii="宋体"/>
                <w:sz w:val="16"/>
              </w:rPr>
            </w:r>
          </w:p>
        </w:tc>
      </w:tr>
      <w:tr>
        <w:trPr>
          <w:trHeight w:val="275"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四、利润总额</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w w:val="95"/>
                <w:sz w:val="16"/>
              </w:rPr>
              <w:t>12,075,362,887</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5"/>
                <w:sz w:val="16"/>
              </w:rPr>
              <w:t>2,377,866,816</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sz w:val="16"/>
              </w:rPr>
              <w:t>735,394,930</w:t>
            </w:r>
          </w:p>
        </w:tc>
        <w:tc>
          <w:tcPr>
            <w:tcW w:w="1444"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2"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sz w:val="16"/>
                <w:szCs w:val="16"/>
              </w:rPr>
              <w:t>减：所得税费用</w:t>
            </w:r>
          </w:p>
        </w:tc>
        <w:tc>
          <w:tcPr>
            <w:tcW w:w="885"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(48)</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(2,774,699,072)</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(693,908,707)</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5"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五、净利润</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w w:val="95"/>
                <w:sz w:val="16"/>
              </w:rPr>
              <w:t>9,300,663,815</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5"/>
                <w:sz w:val="16"/>
              </w:rPr>
              <w:t>1,683,958,109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sz w:val="16"/>
              </w:rPr>
              <w:t>735,394,930</w:t>
            </w:r>
          </w:p>
        </w:tc>
        <w:tc>
          <w:tcPr>
            <w:tcW w:w="1444"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sz w:val="16"/>
                <w:szCs w:val="16"/>
              </w:rPr>
              <w:t>（一）按持续经营分类</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9,300,663,815</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1,683,958,109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735,394,930</w:t>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w w:val="95"/>
                <w:sz w:val="16"/>
                <w:szCs w:val="16"/>
              </w:rPr>
              <w:t>1.</w:t>
            </w:r>
            <w:r>
              <w:rPr>
                <w:rFonts w:ascii="宋体" w:hAnsi="宋体" w:cs="宋体" w:eastAsia="宋体" w:hint="default"/>
                <w:spacing w:val="1"/>
                <w:w w:val="95"/>
                <w:sz w:val="16"/>
                <w:szCs w:val="16"/>
              </w:rPr>
              <w:t> </w:t>
            </w:r>
            <w:r>
              <w:rPr>
                <w:rFonts w:ascii="宋体" w:hAnsi="宋体" w:cs="宋体" w:eastAsia="宋体" w:hint="default"/>
                <w:w w:val="95"/>
                <w:sz w:val="16"/>
                <w:szCs w:val="16"/>
              </w:rPr>
              <w:t>持续经营净利润</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9,300,663,815</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1,683,958,109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735,394,930</w:t>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w w:val="95"/>
                <w:sz w:val="16"/>
                <w:szCs w:val="16"/>
              </w:rPr>
              <w:t>2.</w:t>
            </w:r>
            <w:r>
              <w:rPr>
                <w:rFonts w:ascii="宋体" w:hAnsi="宋体" w:cs="宋体" w:eastAsia="宋体" w:hint="default"/>
                <w:spacing w:val="1"/>
                <w:w w:val="95"/>
                <w:sz w:val="16"/>
                <w:szCs w:val="16"/>
              </w:rPr>
              <w:t> </w:t>
            </w:r>
            <w:r>
              <w:rPr>
                <w:rFonts w:ascii="宋体" w:hAnsi="宋体" w:cs="宋体" w:eastAsia="宋体" w:hint="default"/>
                <w:w w:val="95"/>
                <w:sz w:val="16"/>
                <w:szCs w:val="16"/>
              </w:rPr>
              <w:t>终止经营净利润</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sz w:val="16"/>
                <w:szCs w:val="16"/>
              </w:rPr>
              <w:t>（二）按所有权归属分类</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9,300,663,815</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1,683,958,109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735,394,930</w:t>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7" w:right="0"/>
              <w:jc w:val="left"/>
              <w:rPr>
                <w:rFonts w:ascii="宋体" w:hAnsi="宋体" w:cs="宋体" w:eastAsia="宋体" w:hint="default"/>
                <w:sz w:val="16"/>
                <w:szCs w:val="16"/>
              </w:rPr>
            </w:pPr>
            <w:r>
              <w:rPr>
                <w:rFonts w:ascii="宋体" w:hAnsi="宋体" w:cs="宋体" w:eastAsia="宋体" w:hint="default"/>
                <w:w w:val="95"/>
                <w:sz w:val="16"/>
                <w:szCs w:val="16"/>
              </w:rPr>
              <w:t>1.</w:t>
            </w:r>
            <w:r>
              <w:rPr>
                <w:rFonts w:ascii="宋体" w:hAnsi="宋体" w:cs="宋体" w:eastAsia="宋体" w:hint="default"/>
                <w:spacing w:val="41"/>
                <w:w w:val="95"/>
                <w:sz w:val="16"/>
                <w:szCs w:val="16"/>
              </w:rPr>
              <w:t> </w:t>
            </w:r>
            <w:r>
              <w:rPr>
                <w:rFonts w:ascii="宋体" w:hAnsi="宋体" w:cs="宋体" w:eastAsia="宋体" w:hint="default"/>
                <w:w w:val="95"/>
                <w:sz w:val="16"/>
                <w:szCs w:val="16"/>
              </w:rPr>
              <w:t>归属于母公司股东的净利润</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w w:val="95"/>
                <w:sz w:val="16"/>
              </w:rPr>
              <w:t>4,080,771,727</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sz w:val="16"/>
              </w:rPr>
              <w:t>425,844,654</w:t>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sz w:val="16"/>
              </w:rPr>
              <w:t>735,394,930</w:t>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2"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8" w:right="0"/>
              <w:jc w:val="left"/>
              <w:rPr>
                <w:rFonts w:ascii="宋体" w:hAnsi="宋体" w:cs="宋体" w:eastAsia="宋体" w:hint="default"/>
                <w:sz w:val="16"/>
                <w:szCs w:val="16"/>
              </w:rPr>
            </w:pPr>
            <w:r>
              <w:rPr>
                <w:rFonts w:ascii="宋体" w:hAnsi="宋体" w:cs="宋体" w:eastAsia="宋体" w:hint="default"/>
                <w:w w:val="95"/>
                <w:sz w:val="16"/>
                <w:szCs w:val="16"/>
              </w:rPr>
              <w:t>2.</w:t>
            </w:r>
            <w:r>
              <w:rPr>
                <w:rFonts w:ascii="宋体" w:hAnsi="宋体" w:cs="宋体" w:eastAsia="宋体" w:hint="default"/>
                <w:spacing w:val="-7"/>
                <w:w w:val="95"/>
                <w:sz w:val="16"/>
                <w:szCs w:val="16"/>
              </w:rPr>
              <w:t> </w:t>
            </w:r>
            <w:r>
              <w:rPr>
                <w:rFonts w:ascii="宋体" w:hAnsi="宋体" w:cs="宋体" w:eastAsia="宋体" w:hint="default"/>
                <w:w w:val="95"/>
                <w:sz w:val="16"/>
                <w:szCs w:val="16"/>
              </w:rPr>
              <w:t>少数股东损益</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w w:val="95"/>
                <w:sz w:val="16"/>
              </w:rPr>
              <w:t>5,219,892,088</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95"/>
                <w:sz w:val="16"/>
              </w:rPr>
              <w:t>1,258,113,455</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5"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6" w:lineRule="exact"/>
              <w:ind w:left="114" w:right="0"/>
              <w:jc w:val="left"/>
              <w:rPr>
                <w:rFonts w:ascii="宋体" w:hAnsi="宋体" w:cs="宋体" w:eastAsia="宋体" w:hint="default"/>
                <w:sz w:val="16"/>
                <w:szCs w:val="16"/>
              </w:rPr>
            </w:pPr>
            <w:r>
              <w:rPr>
                <w:rFonts w:ascii="宋体" w:hAnsi="宋体" w:cs="宋体" w:eastAsia="宋体" w:hint="default"/>
                <w:sz w:val="16"/>
                <w:szCs w:val="16"/>
              </w:rPr>
              <w:t>六、其他综合收益的税后净额</w:t>
            </w:r>
          </w:p>
        </w:tc>
        <w:tc>
          <w:tcPr>
            <w:tcW w:w="885" w:type="dxa"/>
            <w:tcBorders>
              <w:top w:val="nil" w:sz="6" w:space="0" w:color="auto"/>
              <w:left w:val="nil" w:sz="6" w:space="0" w:color="auto"/>
              <w:bottom w:val="nil" w:sz="6" w:space="0" w:color="auto"/>
              <w:right w:val="nil" w:sz="6" w:space="0" w:color="auto"/>
            </w:tcBorders>
          </w:tcPr>
          <w:p>
            <w:pPr>
              <w:pStyle w:val="TableParagraph"/>
              <w:spacing w:line="206" w:lineRule="exact"/>
              <w:ind w:right="179"/>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(33)</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09"/>
              <w:jc w:val="right"/>
              <w:rPr>
                <w:rFonts w:ascii="宋体" w:hAnsi="宋体" w:cs="宋体" w:eastAsia="宋体" w:hint="default"/>
                <w:sz w:val="16"/>
                <w:szCs w:val="16"/>
              </w:rPr>
            </w:pPr>
            <w:r>
              <w:rPr>
                <w:rFonts w:ascii="宋体"/>
                <w:w w:val="90"/>
                <w:sz w:val="16"/>
              </w:rPr>
              <w:t>(245,092,538)</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6" w:lineRule="exact"/>
              <w:ind w:right="109"/>
              <w:jc w:val="right"/>
              <w:rPr>
                <w:rFonts w:ascii="宋体" w:hAnsi="宋体" w:cs="宋体" w:eastAsia="宋体" w:hint="default"/>
                <w:sz w:val="16"/>
                <w:szCs w:val="16"/>
              </w:rPr>
            </w:pPr>
            <w:r>
              <w:rPr>
                <w:rFonts w:ascii="宋体"/>
                <w:w w:val="90"/>
                <w:sz w:val="16"/>
              </w:rPr>
              <w:t>(229,986,960)</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6" w:lineRule="exact"/>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398" w:right="210"/>
              <w:jc w:val="left"/>
              <w:rPr>
                <w:rFonts w:ascii="宋体" w:hAnsi="宋体" w:cs="宋体" w:eastAsia="宋体" w:hint="default"/>
                <w:sz w:val="16"/>
                <w:szCs w:val="16"/>
              </w:rPr>
            </w:pPr>
            <w:r>
              <w:rPr>
                <w:rFonts w:ascii="宋体" w:hAnsi="宋体" w:cs="宋体" w:eastAsia="宋体" w:hint="default"/>
                <w:sz w:val="16"/>
                <w:szCs w:val="16"/>
              </w:rPr>
              <w:t>归属母公司股东的其他综合收益 的税后净额</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(107,688,101)</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(107,276,163)</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841" w:right="530" w:hanging="444"/>
              <w:jc w:val="left"/>
              <w:rPr>
                <w:rFonts w:ascii="宋体" w:hAnsi="宋体" w:cs="宋体" w:eastAsia="宋体" w:hint="default"/>
                <w:sz w:val="16"/>
                <w:szCs w:val="16"/>
              </w:rPr>
            </w:pPr>
            <w:r>
              <w:rPr>
                <w:rFonts w:ascii="宋体" w:hAnsi="宋体" w:cs="宋体" w:eastAsia="宋体" w:hint="default"/>
                <w:sz w:val="16"/>
                <w:szCs w:val="16"/>
              </w:rPr>
              <w:t>（一）不能重分类进损益的 其他综合收益：</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(171,284,422)</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95"/>
                <w:sz w:val="16"/>
              </w:rPr>
              <w:t>2,236,779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right="193"/>
              <w:jc w:val="right"/>
              <w:rPr>
                <w:rFonts w:ascii="宋体" w:hAnsi="宋体" w:cs="宋体" w:eastAsia="宋体" w:hint="default"/>
                <w:sz w:val="16"/>
                <w:szCs w:val="16"/>
              </w:rPr>
            </w:pPr>
            <w:r>
              <w:rPr>
                <w:rFonts w:ascii="宋体" w:hAnsi="宋体" w:cs="宋体" w:eastAsia="宋体" w:hint="default"/>
                <w:sz w:val="16"/>
                <w:szCs w:val="16"/>
              </w:rPr>
              <w:t>1.</w:t>
            </w:r>
            <w:r>
              <w:rPr>
                <w:rFonts w:ascii="宋体" w:hAnsi="宋体" w:cs="宋体" w:eastAsia="宋体" w:hint="default"/>
                <w:spacing w:val="-63"/>
                <w:sz w:val="16"/>
                <w:szCs w:val="16"/>
              </w:rPr>
              <w:t> </w:t>
            </w:r>
            <w:r>
              <w:rPr>
                <w:rFonts w:ascii="宋体" w:hAnsi="宋体" w:cs="宋体" w:eastAsia="宋体" w:hint="default"/>
                <w:sz w:val="16"/>
                <w:szCs w:val="16"/>
              </w:rPr>
              <w:t>重新计量设定受益计划变动额</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w w:val="90"/>
                <w:sz w:val="16"/>
              </w:rPr>
              <w:t>(3,627,674)</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95"/>
                <w:sz w:val="16"/>
              </w:rPr>
              <w:t>2,236,779</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398" w:right="193"/>
              <w:jc w:val="left"/>
              <w:rPr>
                <w:rFonts w:ascii="宋体" w:hAnsi="宋体" w:cs="宋体" w:eastAsia="宋体" w:hint="default"/>
                <w:sz w:val="16"/>
                <w:szCs w:val="16"/>
              </w:rPr>
            </w:pPr>
            <w:r>
              <w:rPr>
                <w:rFonts w:ascii="宋体" w:hAnsi="宋体" w:cs="宋体" w:eastAsia="宋体" w:hint="default"/>
                <w:sz w:val="16"/>
                <w:szCs w:val="16"/>
              </w:rPr>
              <w:t>2.</w:t>
            </w:r>
            <w:r>
              <w:rPr>
                <w:rFonts w:ascii="宋体" w:hAnsi="宋体" w:cs="宋体" w:eastAsia="宋体" w:hint="default"/>
                <w:spacing w:val="-62"/>
                <w:sz w:val="16"/>
                <w:szCs w:val="16"/>
              </w:rPr>
              <w:t> </w:t>
            </w:r>
            <w:r>
              <w:rPr>
                <w:rFonts w:ascii="宋体" w:hAnsi="宋体" w:cs="宋体" w:eastAsia="宋体" w:hint="default"/>
                <w:sz w:val="16"/>
                <w:szCs w:val="16"/>
              </w:rPr>
              <w:t>其他权益工具投资公允价值变</w:t>
            </w:r>
            <w:r>
              <w:rPr>
                <w:rFonts w:ascii="宋体" w:hAnsi="宋体" w:cs="宋体" w:eastAsia="宋体" w:hint="default"/>
                <w:sz w:val="16"/>
                <w:szCs w:val="16"/>
              </w:rPr>
              <w:t> 动损益</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(167,656,748)</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hAnsi="宋体" w:cs="宋体" w:eastAsia="宋体" w:hint="default"/>
                <w:sz w:val="16"/>
                <w:szCs w:val="16"/>
              </w:rPr>
              <w:t>不适用</w:t>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4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841" w:right="690" w:hanging="444"/>
              <w:jc w:val="left"/>
              <w:rPr>
                <w:rFonts w:ascii="宋体" w:hAnsi="宋体" w:cs="宋体" w:eastAsia="宋体" w:hint="default"/>
                <w:sz w:val="16"/>
                <w:szCs w:val="16"/>
              </w:rPr>
            </w:pPr>
            <w:r>
              <w:rPr>
                <w:rFonts w:ascii="宋体" w:hAnsi="宋体" w:cs="宋体" w:eastAsia="宋体" w:hint="default"/>
                <w:sz w:val="16"/>
                <w:szCs w:val="16"/>
              </w:rPr>
              <w:t>（二）将重分类进损益的 其他综合收益：</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w w:val="95"/>
                <w:sz w:val="16"/>
              </w:rPr>
              <w:t>63,596,321</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(109,512,942)</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398" w:right="192"/>
              <w:jc w:val="left"/>
              <w:rPr>
                <w:rFonts w:ascii="宋体" w:hAnsi="宋体" w:cs="宋体" w:eastAsia="宋体" w:hint="default"/>
                <w:sz w:val="16"/>
                <w:szCs w:val="16"/>
              </w:rPr>
            </w:pPr>
            <w:r>
              <w:rPr>
                <w:rFonts w:ascii="宋体" w:hAnsi="宋体" w:cs="宋体" w:eastAsia="宋体" w:hint="default"/>
                <w:sz w:val="16"/>
                <w:szCs w:val="16"/>
              </w:rPr>
              <w:t>1.</w:t>
            </w:r>
            <w:r>
              <w:rPr>
                <w:rFonts w:ascii="宋体" w:hAnsi="宋体" w:cs="宋体" w:eastAsia="宋体" w:hint="default"/>
                <w:spacing w:val="-61"/>
                <w:sz w:val="16"/>
                <w:szCs w:val="16"/>
              </w:rPr>
              <w:t> </w:t>
            </w:r>
            <w:r>
              <w:rPr>
                <w:rFonts w:ascii="宋体" w:hAnsi="宋体" w:cs="宋体" w:eastAsia="宋体" w:hint="default"/>
                <w:sz w:val="16"/>
                <w:szCs w:val="16"/>
              </w:rPr>
              <w:t>可供出售金融资产公允价值变</w:t>
            </w:r>
            <w:r>
              <w:rPr>
                <w:rFonts w:ascii="宋体" w:hAnsi="宋体" w:cs="宋体" w:eastAsia="宋体" w:hint="default"/>
                <w:sz w:val="16"/>
                <w:szCs w:val="16"/>
              </w:rPr>
              <w:t> 动损益</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hAnsi="宋体" w:cs="宋体" w:eastAsia="宋体" w:hint="default"/>
                <w:sz w:val="16"/>
                <w:szCs w:val="16"/>
              </w:rPr>
              <w:t>不适用</w:t>
            </w:r>
          </w:p>
        </w:tc>
        <w:tc>
          <w:tcPr>
            <w:tcW w:w="14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(46,177,147)</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hAnsi="宋体" w:cs="宋体" w:eastAsia="宋体" w:hint="default"/>
                <w:sz w:val="16"/>
                <w:szCs w:val="16"/>
              </w:rPr>
              <w:t>不适用</w:t>
            </w:r>
          </w:p>
        </w:tc>
        <w:tc>
          <w:tcPr>
            <w:tcW w:w="144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51" w:type="dxa"/>
            <w:tcBorders>
              <w:top w:val="nil" w:sz="6" w:space="0" w:color="auto"/>
              <w:left w:val="nil" w:sz="6" w:space="0" w:color="auto"/>
              <w:bottom w:val="nil" w:sz="6" w:space="0" w:color="auto"/>
              <w:right w:val="nil" w:sz="6" w:space="0" w:color="auto"/>
            </w:tcBorders>
          </w:tcPr>
          <w:p>
            <w:pPr>
              <w:pStyle w:val="TableParagraph"/>
              <w:spacing w:line="205" w:lineRule="exact"/>
              <w:ind w:left="398" w:right="0"/>
              <w:jc w:val="left"/>
              <w:rPr>
                <w:rFonts w:ascii="宋体" w:hAnsi="宋体" w:cs="宋体" w:eastAsia="宋体" w:hint="default"/>
                <w:sz w:val="16"/>
                <w:szCs w:val="16"/>
              </w:rPr>
            </w:pPr>
            <w:r>
              <w:rPr>
                <w:rFonts w:ascii="宋体" w:hAnsi="宋体" w:cs="宋体" w:eastAsia="宋体" w:hint="default"/>
                <w:sz w:val="16"/>
                <w:szCs w:val="16"/>
              </w:rPr>
              <w:t>2.</w:t>
            </w:r>
            <w:r>
              <w:rPr>
                <w:rFonts w:ascii="宋体" w:hAnsi="宋体" w:cs="宋体" w:eastAsia="宋体" w:hint="default"/>
                <w:spacing w:val="-63"/>
                <w:sz w:val="16"/>
                <w:szCs w:val="16"/>
              </w:rPr>
              <w:t> </w:t>
            </w:r>
            <w:r>
              <w:rPr>
                <w:rFonts w:ascii="宋体" w:hAnsi="宋体" w:cs="宋体" w:eastAsia="宋体" w:hint="default"/>
                <w:sz w:val="16"/>
                <w:szCs w:val="16"/>
              </w:rPr>
              <w:t>外币财务报表折算差额</w:t>
            </w:r>
          </w:p>
        </w:tc>
        <w:tc>
          <w:tcPr>
            <w:tcW w:w="885"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w w:val="95"/>
                <w:sz w:val="16"/>
              </w:rPr>
              <w:t>63,596,321</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90"/>
                <w:sz w:val="16"/>
              </w:rPr>
              <w:t>(63,335,795)</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536" w:hRule="exact"/>
        </w:trPr>
        <w:tc>
          <w:tcPr>
            <w:tcW w:w="2851" w:type="dxa"/>
            <w:tcBorders>
              <w:top w:val="nil" w:sz="6" w:space="0" w:color="auto"/>
              <w:left w:val="nil" w:sz="6" w:space="0" w:color="auto"/>
              <w:bottom w:val="single" w:sz="16" w:space="0" w:color="9F8958"/>
              <w:right w:val="nil" w:sz="6" w:space="0" w:color="auto"/>
            </w:tcBorders>
          </w:tcPr>
          <w:p>
            <w:pPr>
              <w:pStyle w:val="TableParagraph"/>
              <w:spacing w:line="200" w:lineRule="exact" w:before="22"/>
              <w:ind w:left="398" w:right="370"/>
              <w:jc w:val="left"/>
              <w:rPr>
                <w:rFonts w:ascii="宋体" w:hAnsi="宋体" w:cs="宋体" w:eastAsia="宋体" w:hint="default"/>
                <w:sz w:val="16"/>
                <w:szCs w:val="16"/>
              </w:rPr>
            </w:pPr>
            <w:r>
              <w:rPr>
                <w:rFonts w:ascii="宋体" w:hAnsi="宋体" w:cs="宋体" w:eastAsia="宋体" w:hint="default"/>
                <w:sz w:val="16"/>
                <w:szCs w:val="16"/>
              </w:rPr>
              <w:t>属于少数股东的其他综合收益 的税后净额</w:t>
            </w:r>
          </w:p>
        </w:tc>
        <w:tc>
          <w:tcPr>
            <w:tcW w:w="885" w:type="dxa"/>
            <w:tcBorders>
              <w:top w:val="nil" w:sz="6" w:space="0" w:color="auto"/>
              <w:left w:val="nil" w:sz="6" w:space="0" w:color="auto"/>
              <w:bottom w:val="single" w:sz="16" w:space="0" w:color="9F8958"/>
              <w:right w:val="nil" w:sz="6" w:space="0" w:color="auto"/>
            </w:tcBorders>
          </w:tcPr>
          <w:p>
            <w:pPr/>
          </w:p>
        </w:tc>
        <w:tc>
          <w:tcPr>
            <w:tcW w:w="1490"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(137,404,437)</w:t>
            </w:r>
            <w:r>
              <w:rPr>
                <w:rFonts w:ascii="宋体"/>
                <w:sz w:val="16"/>
              </w:rPr>
            </w:r>
          </w:p>
        </w:tc>
        <w:tc>
          <w:tcPr>
            <w:tcW w:w="1490" w:type="dxa"/>
            <w:tcBorders>
              <w:top w:val="nil" w:sz="6" w:space="0" w:color="auto"/>
              <w:left w:val="nil" w:sz="6" w:space="0" w:color="auto"/>
              <w:bottom w:val="single" w:sz="16" w:space="0" w:color="9F8958"/>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90"/>
                <w:sz w:val="16"/>
              </w:rPr>
              <w:t>(122,710,797)</w:t>
            </w:r>
            <w:r>
              <w:rPr>
                <w:rFonts w:ascii="宋体"/>
                <w:sz w:val="16"/>
              </w:rPr>
            </w:r>
          </w:p>
        </w:tc>
        <w:tc>
          <w:tcPr>
            <w:tcW w:w="147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95"/>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single" w:sz="16" w:space="0" w:color="9F8958"/>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w w:val="131"/>
                <w:sz w:val="16"/>
              </w:rPr>
              <w:t>-</w:t>
            </w:r>
            <w:r>
              <w:rPr>
                <w:rFonts w:ascii="宋体"/>
                <w:sz w:val="16"/>
              </w:rPr>
            </w:r>
          </w:p>
        </w:tc>
      </w:tr>
    </w:tbl>
    <w:p>
      <w:pPr>
        <w:spacing w:after="0" w:line="240" w:lineRule="auto"/>
        <w:jc w:val="right"/>
        <w:rPr>
          <w:rFonts w:ascii="宋体" w:hAnsi="宋体" w:cs="宋体" w:eastAsia="宋体" w:hint="default"/>
          <w:sz w:val="16"/>
          <w:szCs w:val="16"/>
        </w:rPr>
        <w:sectPr>
          <w:headerReference w:type="even" r:id="rId259"/>
          <w:footerReference w:type="even" r:id="rId260"/>
          <w:footerReference w:type="default" r:id="rId261"/>
          <w:pgSz w:w="11910" w:h="16160"/>
          <w:pgMar w:header="0" w:footer="321" w:top="1100" w:bottom="520" w:left="660" w:right="1320"/>
        </w:sectPr>
      </w:pPr>
    </w:p>
    <w:p>
      <w:pPr>
        <w:pStyle w:val="Heading3"/>
        <w:spacing w:line="487" w:lineRule="exact"/>
        <w:ind w:left="134" w:right="0"/>
        <w:jc w:val="left"/>
        <w:rPr>
          <w:rFonts w:ascii="宋体" w:hAnsi="宋体" w:cs="宋体" w:eastAsia="宋体" w:hint="default"/>
        </w:rPr>
      </w:pPr>
      <w:r>
        <w:rPr>
          <w:rFonts w:ascii="宋体" w:hAnsi="宋体" w:cs="宋体" w:eastAsia="宋体" w:hint="default"/>
          <w:color w:val="9F8958"/>
        </w:rPr>
        <w:t>利润表（续）</w:t>
      </w:r>
      <w:r>
        <w:rPr>
          <w:rFonts w:ascii="宋体" w:hAnsi="宋体" w:cs="宋体" w:eastAsia="宋体" w:hint="default"/>
        </w:rPr>
      </w:r>
    </w:p>
    <w:p>
      <w:pPr>
        <w:spacing w:line="201" w:lineRule="exact" w:before="103"/>
        <w:ind w:left="134" w:right="0"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年度合并及公司利润表（续）</w:t>
      </w:r>
    </w:p>
    <w:p>
      <w:pPr>
        <w:spacing w:line="201" w:lineRule="exact" w:before="0"/>
        <w:ind w:left="134" w:right="0"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1"/>
          <w:szCs w:val="11"/>
        </w:rPr>
      </w:pPr>
    </w:p>
    <w:tbl>
      <w:tblPr>
        <w:tblW w:w="0" w:type="auto"/>
        <w:jc w:val="left"/>
        <w:tblInd w:w="114" w:type="dxa"/>
        <w:tblLayout w:type="fixed"/>
        <w:tblCellMar>
          <w:top w:w="0" w:type="dxa"/>
          <w:left w:w="0" w:type="dxa"/>
          <w:bottom w:w="0" w:type="dxa"/>
          <w:right w:w="0" w:type="dxa"/>
        </w:tblCellMar>
        <w:tblLook w:val="01E0"/>
      </w:tblPr>
      <w:tblGrid>
        <w:gridCol w:w="2884"/>
        <w:gridCol w:w="852"/>
        <w:gridCol w:w="1490"/>
        <w:gridCol w:w="1490"/>
        <w:gridCol w:w="1478"/>
        <w:gridCol w:w="1444"/>
      </w:tblGrid>
      <w:tr>
        <w:trPr>
          <w:trHeight w:val="550" w:hRule="exact"/>
        </w:trPr>
        <w:tc>
          <w:tcPr>
            <w:tcW w:w="2884"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852"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2"/>
              <w:jc w:val="center"/>
              <w:rPr>
                <w:rFonts w:ascii="宋体" w:hAnsi="宋体" w:cs="宋体" w:eastAsia="宋体" w:hint="default"/>
                <w:sz w:val="16"/>
                <w:szCs w:val="16"/>
              </w:rPr>
            </w:pPr>
            <w:r>
              <w:rPr>
                <w:rFonts w:ascii="宋体" w:hAnsi="宋体" w:cs="宋体" w:eastAsia="宋体" w:hint="default"/>
                <w:sz w:val="16"/>
                <w:szCs w:val="16"/>
              </w:rPr>
              <w:t>附注</w:t>
            </w:r>
          </w:p>
        </w:tc>
        <w:tc>
          <w:tcPr>
            <w:tcW w:w="1490"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7"/>
              <w:ind w:right="83"/>
              <w:jc w:val="righ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合并</w:t>
            </w:r>
          </w:p>
        </w:tc>
        <w:tc>
          <w:tcPr>
            <w:tcW w:w="1490" w:type="dxa"/>
            <w:tcBorders>
              <w:top w:val="nil" w:sz="6" w:space="0" w:color="auto"/>
              <w:left w:val="nil" w:sz="6" w:space="0" w:color="auto"/>
              <w:bottom w:val="single" w:sz="16" w:space="0" w:color="9F8958"/>
              <w:right w:val="nil" w:sz="6" w:space="0" w:color="auto"/>
            </w:tcBorders>
          </w:tcPr>
          <w:p>
            <w:pPr>
              <w:pStyle w:val="TableParagraph"/>
              <w:spacing w:line="205" w:lineRule="exact" w:before="7"/>
              <w:ind w:right="83"/>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合并</w:t>
            </w:r>
          </w:p>
        </w:tc>
        <w:tc>
          <w:tcPr>
            <w:tcW w:w="147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7"/>
              <w:ind w:right="83"/>
              <w:jc w:val="righ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4"/>
              <w:jc w:val="right"/>
              <w:rPr>
                <w:rFonts w:ascii="宋体" w:hAnsi="宋体" w:cs="宋体" w:eastAsia="宋体" w:hint="default"/>
                <w:sz w:val="16"/>
                <w:szCs w:val="16"/>
              </w:rPr>
            </w:pPr>
            <w:r>
              <w:rPr>
                <w:rFonts w:ascii="宋体" w:hAnsi="宋体" w:cs="宋体" w:eastAsia="宋体" w:hint="default"/>
                <w:sz w:val="16"/>
                <w:szCs w:val="16"/>
              </w:rPr>
              <w:t>公司</w:t>
            </w:r>
          </w:p>
        </w:tc>
        <w:tc>
          <w:tcPr>
            <w:tcW w:w="1444" w:type="dxa"/>
            <w:tcBorders>
              <w:top w:val="nil" w:sz="6" w:space="0" w:color="auto"/>
              <w:left w:val="nil" w:sz="6" w:space="0" w:color="auto"/>
              <w:bottom w:val="single" w:sz="16" w:space="0" w:color="9F8958"/>
              <w:right w:val="nil" w:sz="6" w:space="0" w:color="auto"/>
            </w:tcBorders>
          </w:tcPr>
          <w:p>
            <w:pPr>
              <w:pStyle w:val="TableParagraph"/>
              <w:spacing w:line="205" w:lineRule="exact" w:before="7"/>
              <w:ind w:right="82"/>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公司</w:t>
            </w:r>
          </w:p>
        </w:tc>
      </w:tr>
      <w:tr>
        <w:trPr>
          <w:trHeight w:val="402" w:hRule="exact"/>
        </w:trPr>
        <w:tc>
          <w:tcPr>
            <w:tcW w:w="2884"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left="85" w:right="0"/>
              <w:jc w:val="left"/>
              <w:rPr>
                <w:rFonts w:ascii="宋体" w:hAnsi="宋体" w:cs="宋体" w:eastAsia="宋体" w:hint="default"/>
                <w:sz w:val="16"/>
                <w:szCs w:val="16"/>
              </w:rPr>
            </w:pPr>
            <w:r>
              <w:rPr>
                <w:rFonts w:ascii="宋体" w:hAnsi="宋体" w:cs="宋体" w:eastAsia="宋体" w:hint="default"/>
                <w:sz w:val="16"/>
                <w:szCs w:val="16"/>
              </w:rPr>
              <w:t>七、综合收益总额</w:t>
            </w:r>
          </w:p>
        </w:tc>
        <w:tc>
          <w:tcPr>
            <w:tcW w:w="852" w:type="dxa"/>
            <w:tcBorders>
              <w:top w:val="single" w:sz="16" w:space="0" w:color="9F8958"/>
              <w:left w:val="nil" w:sz="6" w:space="0" w:color="auto"/>
              <w:bottom w:val="nil" w:sz="6" w:space="0" w:color="auto"/>
              <w:right w:val="nil" w:sz="6" w:space="0" w:color="auto"/>
            </w:tcBorders>
          </w:tcPr>
          <w:p>
            <w:pPr/>
          </w:p>
        </w:tc>
        <w:tc>
          <w:tcPr>
            <w:tcW w:w="1490"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04"/>
              <w:ind w:right="82"/>
              <w:jc w:val="right"/>
              <w:rPr>
                <w:rFonts w:ascii="宋体" w:hAnsi="宋体" w:cs="宋体" w:eastAsia="宋体" w:hint="default"/>
                <w:sz w:val="16"/>
                <w:szCs w:val="16"/>
              </w:rPr>
            </w:pPr>
            <w:r>
              <w:rPr>
                <w:rFonts w:ascii="宋体"/>
                <w:w w:val="95"/>
                <w:sz w:val="16"/>
              </w:rPr>
              <w:t>9,055,571,277</w:t>
            </w:r>
            <w:r>
              <w:rPr>
                <w:rFonts w:ascii="宋体"/>
                <w:sz w:val="16"/>
              </w:rPr>
            </w:r>
          </w:p>
        </w:tc>
        <w:tc>
          <w:tcPr>
            <w:tcW w:w="1490"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right="82"/>
              <w:jc w:val="right"/>
              <w:rPr>
                <w:rFonts w:ascii="宋体" w:hAnsi="宋体" w:cs="宋体" w:eastAsia="宋体" w:hint="default"/>
                <w:sz w:val="16"/>
                <w:szCs w:val="16"/>
              </w:rPr>
            </w:pPr>
            <w:r>
              <w:rPr>
                <w:rFonts w:ascii="宋体"/>
                <w:w w:val="95"/>
                <w:sz w:val="16"/>
              </w:rPr>
              <w:t>1,453,971,149</w:t>
            </w:r>
            <w:r>
              <w:rPr>
                <w:rFonts w:ascii="宋体"/>
                <w:sz w:val="16"/>
              </w:rPr>
            </w:r>
          </w:p>
        </w:tc>
        <w:tc>
          <w:tcPr>
            <w:tcW w:w="147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04"/>
              <w:ind w:right="82"/>
              <w:jc w:val="right"/>
              <w:rPr>
                <w:rFonts w:ascii="宋体" w:hAnsi="宋体" w:cs="宋体" w:eastAsia="宋体" w:hint="default"/>
                <w:sz w:val="16"/>
                <w:szCs w:val="16"/>
              </w:rPr>
            </w:pPr>
            <w:r>
              <w:rPr>
                <w:rFonts w:ascii="宋体"/>
                <w:sz w:val="16"/>
              </w:rPr>
              <w:t>735,394,930</w:t>
            </w:r>
          </w:p>
        </w:tc>
        <w:tc>
          <w:tcPr>
            <w:tcW w:w="1444" w:type="dxa"/>
            <w:tcBorders>
              <w:top w:val="single" w:sz="16" w:space="0" w:color="9F8958"/>
              <w:left w:val="nil" w:sz="6" w:space="0" w:color="auto"/>
              <w:bottom w:val="nil" w:sz="6" w:space="0" w:color="auto"/>
              <w:right w:val="nil" w:sz="6" w:space="0" w:color="auto"/>
            </w:tcBorders>
          </w:tcPr>
          <w:p>
            <w:pPr>
              <w:pStyle w:val="TableParagraph"/>
              <w:spacing w:line="240" w:lineRule="auto" w:before="104"/>
              <w:ind w:right="82"/>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3" w:hRule="exact"/>
        </w:trPr>
        <w:tc>
          <w:tcPr>
            <w:tcW w:w="2884" w:type="dxa"/>
            <w:tcBorders>
              <w:top w:val="nil" w:sz="6" w:space="0" w:color="auto"/>
              <w:left w:val="nil" w:sz="6" w:space="0" w:color="auto"/>
              <w:bottom w:val="nil" w:sz="6" w:space="0" w:color="auto"/>
              <w:right w:val="nil" w:sz="6" w:space="0" w:color="auto"/>
            </w:tcBorders>
          </w:tcPr>
          <w:p>
            <w:pPr>
              <w:pStyle w:val="TableParagraph"/>
              <w:spacing w:line="205" w:lineRule="exact"/>
              <w:ind w:left="368" w:right="0"/>
              <w:jc w:val="left"/>
              <w:rPr>
                <w:rFonts w:ascii="宋体" w:hAnsi="宋体" w:cs="宋体" w:eastAsia="宋体" w:hint="default"/>
                <w:sz w:val="16"/>
                <w:szCs w:val="16"/>
              </w:rPr>
            </w:pPr>
            <w:r>
              <w:rPr>
                <w:rFonts w:ascii="宋体" w:hAnsi="宋体" w:cs="宋体" w:eastAsia="宋体" w:hint="default"/>
                <w:spacing w:val="-4"/>
                <w:sz w:val="16"/>
                <w:szCs w:val="16"/>
              </w:rPr>
              <w:t>归属于母公司股东的综合收益总额</w:t>
            </w:r>
            <w:r>
              <w:rPr>
                <w:rFonts w:ascii="宋体" w:hAnsi="宋体" w:cs="宋体" w:eastAsia="宋体" w:hint="default"/>
                <w:sz w:val="16"/>
                <w:szCs w:val="16"/>
              </w:rPr>
            </w:r>
          </w:p>
        </w:tc>
        <w:tc>
          <w:tcPr>
            <w:tcW w:w="852"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3,973,083,626</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sz w:val="16"/>
              </w:rPr>
              <w:t>318,568,491</w:t>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sz w:val="16"/>
              </w:rPr>
              <w:t>735,394,930</w:t>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0"/>
                <w:sz w:val="16"/>
              </w:rPr>
              <w:t>(11,112,088)</w:t>
            </w:r>
            <w:r>
              <w:rPr>
                <w:rFonts w:ascii="宋体"/>
                <w:sz w:val="16"/>
              </w:rPr>
            </w:r>
          </w:p>
        </w:tc>
      </w:tr>
      <w:tr>
        <w:trPr>
          <w:trHeight w:val="272" w:hRule="exact"/>
        </w:trPr>
        <w:tc>
          <w:tcPr>
            <w:tcW w:w="2884" w:type="dxa"/>
            <w:tcBorders>
              <w:top w:val="nil" w:sz="6" w:space="0" w:color="auto"/>
              <w:left w:val="nil" w:sz="6" w:space="0" w:color="auto"/>
              <w:bottom w:val="nil" w:sz="6" w:space="0" w:color="auto"/>
              <w:right w:val="nil" w:sz="6" w:space="0" w:color="auto"/>
            </w:tcBorders>
          </w:tcPr>
          <w:p>
            <w:pPr>
              <w:pStyle w:val="TableParagraph"/>
              <w:spacing w:line="205" w:lineRule="exact"/>
              <w:ind w:left="368" w:right="0"/>
              <w:jc w:val="left"/>
              <w:rPr>
                <w:rFonts w:ascii="宋体" w:hAnsi="宋体" w:cs="宋体" w:eastAsia="宋体" w:hint="default"/>
                <w:sz w:val="16"/>
                <w:szCs w:val="16"/>
              </w:rPr>
            </w:pPr>
            <w:r>
              <w:rPr>
                <w:rFonts w:ascii="宋体" w:hAnsi="宋体" w:cs="宋体" w:eastAsia="宋体" w:hint="default"/>
                <w:sz w:val="16"/>
                <w:szCs w:val="16"/>
              </w:rPr>
              <w:t>归属于少数股东的综合收益总额</w:t>
            </w:r>
          </w:p>
        </w:tc>
        <w:tc>
          <w:tcPr>
            <w:tcW w:w="852"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2"/>
              <w:jc w:val="right"/>
              <w:rPr>
                <w:rFonts w:ascii="宋体" w:hAnsi="宋体" w:cs="宋体" w:eastAsia="宋体" w:hint="default"/>
                <w:sz w:val="16"/>
                <w:szCs w:val="16"/>
              </w:rPr>
            </w:pPr>
            <w:r>
              <w:rPr>
                <w:rFonts w:ascii="宋体"/>
                <w:w w:val="95"/>
                <w:sz w:val="16"/>
              </w:rPr>
              <w:t>5,082,487,651</w:t>
            </w:r>
            <w:r>
              <w:rPr>
                <w:rFonts w:ascii="宋体"/>
                <w:sz w:val="16"/>
              </w:rPr>
            </w:r>
          </w:p>
        </w:tc>
        <w:tc>
          <w:tcPr>
            <w:tcW w:w="1490" w:type="dxa"/>
            <w:tcBorders>
              <w:top w:val="nil" w:sz="6" w:space="0" w:color="auto"/>
              <w:left w:val="nil" w:sz="6" w:space="0" w:color="auto"/>
              <w:bottom w:val="nil" w:sz="6" w:space="0" w:color="auto"/>
              <w:right w:val="nil" w:sz="6" w:space="0" w:color="auto"/>
            </w:tcBorders>
          </w:tcPr>
          <w:p>
            <w:pPr>
              <w:pStyle w:val="TableParagraph"/>
              <w:spacing w:line="205" w:lineRule="exact"/>
              <w:ind w:right="82"/>
              <w:jc w:val="right"/>
              <w:rPr>
                <w:rFonts w:ascii="宋体" w:hAnsi="宋体" w:cs="宋体" w:eastAsia="宋体" w:hint="default"/>
                <w:sz w:val="16"/>
                <w:szCs w:val="16"/>
              </w:rPr>
            </w:pPr>
            <w:r>
              <w:rPr>
                <w:rFonts w:ascii="宋体"/>
                <w:w w:val="95"/>
                <w:sz w:val="16"/>
              </w:rPr>
              <w:t>1,135,402,658</w:t>
            </w:r>
            <w:r>
              <w:rPr>
                <w:rFonts w:ascii="宋体"/>
                <w:sz w:val="16"/>
              </w:rPr>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c>
          <w:tcPr>
            <w:tcW w:w="1444" w:type="dxa"/>
            <w:tcBorders>
              <w:top w:val="nil" w:sz="6" w:space="0" w:color="auto"/>
              <w:left w:val="nil" w:sz="6" w:space="0" w:color="auto"/>
              <w:bottom w:val="nil" w:sz="6" w:space="0" w:color="auto"/>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884" w:type="dxa"/>
            <w:tcBorders>
              <w:top w:val="nil" w:sz="6" w:space="0" w:color="auto"/>
              <w:left w:val="nil" w:sz="6" w:space="0" w:color="auto"/>
              <w:bottom w:val="nil" w:sz="6" w:space="0" w:color="auto"/>
              <w:right w:val="nil" w:sz="6" w:space="0" w:color="auto"/>
            </w:tcBorders>
          </w:tcPr>
          <w:p>
            <w:pPr>
              <w:pStyle w:val="TableParagraph"/>
              <w:spacing w:line="206" w:lineRule="exact"/>
              <w:ind w:left="85" w:right="0"/>
              <w:jc w:val="left"/>
              <w:rPr>
                <w:rFonts w:ascii="宋体" w:hAnsi="宋体" w:cs="宋体" w:eastAsia="宋体" w:hint="default"/>
                <w:sz w:val="16"/>
                <w:szCs w:val="16"/>
              </w:rPr>
            </w:pPr>
            <w:r>
              <w:rPr>
                <w:rFonts w:ascii="宋体" w:hAnsi="宋体" w:cs="宋体" w:eastAsia="宋体" w:hint="default"/>
                <w:sz w:val="16"/>
                <w:szCs w:val="16"/>
              </w:rPr>
              <w:t>八、每股收益</w:t>
            </w:r>
          </w:p>
        </w:tc>
        <w:tc>
          <w:tcPr>
            <w:tcW w:w="852" w:type="dxa"/>
            <w:tcBorders>
              <w:top w:val="nil" w:sz="6" w:space="0" w:color="auto"/>
              <w:left w:val="nil" w:sz="6" w:space="0" w:color="auto"/>
              <w:bottom w:val="nil" w:sz="6" w:space="0" w:color="auto"/>
              <w:right w:val="nil" w:sz="6" w:space="0" w:color="auto"/>
            </w:tcBorders>
          </w:tcPr>
          <w:p>
            <w:pPr/>
          </w:p>
        </w:tc>
        <w:tc>
          <w:tcPr>
            <w:tcW w:w="1490" w:type="dxa"/>
            <w:tcBorders>
              <w:top w:val="nil" w:sz="6" w:space="0" w:color="auto"/>
              <w:left w:val="nil" w:sz="6" w:space="0" w:color="auto"/>
              <w:bottom w:val="nil" w:sz="6" w:space="0" w:color="auto"/>
              <w:right w:val="nil" w:sz="6" w:space="0" w:color="auto"/>
            </w:tcBorders>
            <w:shd w:val="clear" w:color="auto" w:fill="ECE7DD"/>
          </w:tcPr>
          <w:p>
            <w:pPr/>
          </w:p>
        </w:tc>
        <w:tc>
          <w:tcPr>
            <w:tcW w:w="1490" w:type="dxa"/>
            <w:tcBorders>
              <w:top w:val="nil" w:sz="6" w:space="0" w:color="auto"/>
              <w:left w:val="nil" w:sz="6" w:space="0" w:color="auto"/>
              <w:bottom w:val="nil" w:sz="6" w:space="0" w:color="auto"/>
              <w:right w:val="nil" w:sz="6" w:space="0" w:color="auto"/>
            </w:tcBorders>
          </w:tcPr>
          <w:p>
            <w:pPr/>
          </w:p>
        </w:tc>
        <w:tc>
          <w:tcPr>
            <w:tcW w:w="1478" w:type="dxa"/>
            <w:tcBorders>
              <w:top w:val="nil" w:sz="6" w:space="0" w:color="auto"/>
              <w:left w:val="nil" w:sz="6" w:space="0" w:color="auto"/>
              <w:bottom w:val="nil" w:sz="6" w:space="0" w:color="auto"/>
              <w:right w:val="nil" w:sz="6" w:space="0" w:color="auto"/>
            </w:tcBorders>
            <w:shd w:val="clear" w:color="auto" w:fill="ECE7DD"/>
          </w:tcPr>
          <w:p>
            <w:pPr/>
          </w:p>
        </w:tc>
        <w:tc>
          <w:tcPr>
            <w:tcW w:w="1444" w:type="dxa"/>
            <w:tcBorders>
              <w:top w:val="nil" w:sz="6" w:space="0" w:color="auto"/>
              <w:left w:val="nil" w:sz="6" w:space="0" w:color="auto"/>
              <w:bottom w:val="nil" w:sz="6" w:space="0" w:color="auto"/>
              <w:right w:val="nil" w:sz="6" w:space="0" w:color="auto"/>
            </w:tcBorders>
          </w:tcPr>
          <w:p>
            <w:pPr/>
          </w:p>
        </w:tc>
      </w:tr>
      <w:tr>
        <w:trPr>
          <w:trHeight w:val="275" w:hRule="exact"/>
        </w:trPr>
        <w:tc>
          <w:tcPr>
            <w:tcW w:w="2884" w:type="dxa"/>
            <w:tcBorders>
              <w:top w:val="nil" w:sz="6" w:space="0" w:color="auto"/>
              <w:left w:val="nil" w:sz="6" w:space="0" w:color="auto"/>
              <w:bottom w:val="nil" w:sz="6" w:space="0" w:color="auto"/>
              <w:right w:val="nil" w:sz="6" w:space="0" w:color="auto"/>
            </w:tcBorders>
          </w:tcPr>
          <w:p>
            <w:pPr>
              <w:pStyle w:val="TableParagraph"/>
              <w:spacing w:line="206" w:lineRule="exact"/>
              <w:ind w:left="368" w:right="0"/>
              <w:jc w:val="left"/>
              <w:rPr>
                <w:rFonts w:ascii="宋体" w:hAnsi="宋体" w:cs="宋体" w:eastAsia="宋体" w:hint="default"/>
                <w:sz w:val="16"/>
                <w:szCs w:val="16"/>
              </w:rPr>
            </w:pPr>
            <w:r>
              <w:rPr>
                <w:rFonts w:ascii="宋体" w:hAnsi="宋体" w:cs="宋体" w:eastAsia="宋体" w:hint="default"/>
                <w:spacing w:val="-4"/>
                <w:sz w:val="16"/>
                <w:szCs w:val="16"/>
              </w:rPr>
              <w:t>基本每股收益</w:t>
            </w:r>
            <w:r>
              <w:rPr>
                <w:rFonts w:ascii="宋体" w:hAnsi="宋体" w:cs="宋体" w:eastAsia="宋体" w:hint="default"/>
                <w:sz w:val="16"/>
                <w:szCs w:val="16"/>
              </w:rPr>
            </w:r>
          </w:p>
        </w:tc>
        <w:tc>
          <w:tcPr>
            <w:tcW w:w="852" w:type="dxa"/>
            <w:tcBorders>
              <w:top w:val="nil" w:sz="6" w:space="0" w:color="auto"/>
              <w:left w:val="nil" w:sz="6" w:space="0" w:color="auto"/>
              <w:bottom w:val="nil" w:sz="6" w:space="0" w:color="auto"/>
              <w:right w:val="nil" w:sz="6" w:space="0" w:color="auto"/>
            </w:tcBorders>
          </w:tcPr>
          <w:p>
            <w:pPr>
              <w:pStyle w:val="TableParagraph"/>
              <w:spacing w:line="206" w:lineRule="exact"/>
              <w:ind w:right="62"/>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(49)</w:t>
            </w:r>
            <w:r>
              <w:rPr>
                <w:rFonts w:ascii="宋体" w:hAnsi="宋体" w:cs="宋体" w:eastAsia="宋体" w:hint="default"/>
                <w:sz w:val="16"/>
                <w:szCs w:val="16"/>
              </w:rPr>
            </w:r>
          </w:p>
        </w:tc>
        <w:tc>
          <w:tcPr>
            <w:tcW w:w="149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82"/>
              <w:jc w:val="right"/>
              <w:rPr>
                <w:rFonts w:ascii="宋体" w:hAnsi="宋体" w:cs="宋体" w:eastAsia="宋体" w:hint="default"/>
                <w:sz w:val="16"/>
                <w:szCs w:val="16"/>
              </w:rPr>
            </w:pPr>
            <w:r>
              <w:rPr>
                <w:rFonts w:ascii="宋体"/>
                <w:sz w:val="16"/>
              </w:rPr>
              <w:t>0.1321</w:t>
            </w:r>
          </w:p>
        </w:tc>
        <w:tc>
          <w:tcPr>
            <w:tcW w:w="1490" w:type="dxa"/>
            <w:tcBorders>
              <w:top w:val="nil" w:sz="6" w:space="0" w:color="auto"/>
              <w:left w:val="nil" w:sz="6" w:space="0" w:color="auto"/>
              <w:bottom w:val="nil" w:sz="6" w:space="0" w:color="auto"/>
              <w:right w:val="nil" w:sz="6" w:space="0" w:color="auto"/>
            </w:tcBorders>
          </w:tcPr>
          <w:p>
            <w:pPr>
              <w:pStyle w:val="TableParagraph"/>
              <w:spacing w:line="206" w:lineRule="exact"/>
              <w:ind w:right="82"/>
              <w:jc w:val="right"/>
              <w:rPr>
                <w:rFonts w:ascii="宋体" w:hAnsi="宋体" w:cs="宋体" w:eastAsia="宋体" w:hint="default"/>
                <w:sz w:val="16"/>
                <w:szCs w:val="16"/>
              </w:rPr>
            </w:pPr>
            <w:r>
              <w:rPr>
                <w:rFonts w:ascii="宋体"/>
                <w:sz w:val="16"/>
              </w:rPr>
              <w:t>0.0188</w:t>
            </w:r>
          </w:p>
        </w:tc>
        <w:tc>
          <w:tcPr>
            <w:tcW w:w="14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6" w:lineRule="exact"/>
              <w:ind w:right="83"/>
              <w:jc w:val="right"/>
              <w:rPr>
                <w:rFonts w:ascii="宋体" w:hAnsi="宋体" w:cs="宋体" w:eastAsia="宋体" w:hint="default"/>
                <w:sz w:val="16"/>
                <w:szCs w:val="16"/>
              </w:rPr>
            </w:pPr>
            <w:r>
              <w:rPr>
                <w:rFonts w:ascii="宋体" w:hAnsi="宋体" w:cs="宋体" w:eastAsia="宋体" w:hint="default"/>
                <w:sz w:val="16"/>
                <w:szCs w:val="16"/>
              </w:rPr>
              <w:t>不适用</w:t>
            </w:r>
          </w:p>
        </w:tc>
        <w:tc>
          <w:tcPr>
            <w:tcW w:w="1444" w:type="dxa"/>
            <w:tcBorders>
              <w:top w:val="nil" w:sz="6" w:space="0" w:color="auto"/>
              <w:left w:val="nil" w:sz="6" w:space="0" w:color="auto"/>
              <w:bottom w:val="nil" w:sz="6" w:space="0" w:color="auto"/>
              <w:right w:val="nil" w:sz="6" w:space="0" w:color="auto"/>
            </w:tcBorders>
          </w:tcPr>
          <w:p>
            <w:pPr>
              <w:pStyle w:val="TableParagraph"/>
              <w:spacing w:line="206" w:lineRule="exact"/>
              <w:ind w:right="83"/>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338" w:hRule="exact"/>
        </w:trPr>
        <w:tc>
          <w:tcPr>
            <w:tcW w:w="2884" w:type="dxa"/>
            <w:tcBorders>
              <w:top w:val="nil" w:sz="6" w:space="0" w:color="auto"/>
              <w:left w:val="nil" w:sz="6" w:space="0" w:color="auto"/>
              <w:bottom w:val="single" w:sz="16" w:space="0" w:color="9F8958"/>
              <w:right w:val="nil" w:sz="6" w:space="0" w:color="auto"/>
            </w:tcBorders>
          </w:tcPr>
          <w:p>
            <w:pPr>
              <w:pStyle w:val="TableParagraph"/>
              <w:spacing w:line="205" w:lineRule="exact"/>
              <w:ind w:left="368" w:right="0"/>
              <w:jc w:val="left"/>
              <w:rPr>
                <w:rFonts w:ascii="宋体" w:hAnsi="宋体" w:cs="宋体" w:eastAsia="宋体" w:hint="default"/>
                <w:sz w:val="16"/>
                <w:szCs w:val="16"/>
              </w:rPr>
            </w:pPr>
            <w:r>
              <w:rPr>
                <w:rFonts w:ascii="宋体" w:hAnsi="宋体" w:cs="宋体" w:eastAsia="宋体" w:hint="default"/>
                <w:spacing w:val="-4"/>
                <w:sz w:val="16"/>
                <w:szCs w:val="16"/>
              </w:rPr>
              <w:t>稀释每股收益</w:t>
            </w:r>
            <w:r>
              <w:rPr>
                <w:rFonts w:ascii="宋体" w:hAnsi="宋体" w:cs="宋体" w:eastAsia="宋体" w:hint="default"/>
                <w:sz w:val="16"/>
                <w:szCs w:val="16"/>
              </w:rPr>
            </w:r>
          </w:p>
        </w:tc>
        <w:tc>
          <w:tcPr>
            <w:tcW w:w="852" w:type="dxa"/>
            <w:tcBorders>
              <w:top w:val="nil" w:sz="6" w:space="0" w:color="auto"/>
              <w:left w:val="nil" w:sz="6" w:space="0" w:color="auto"/>
              <w:bottom w:val="single" w:sz="16" w:space="0" w:color="9F8958"/>
              <w:right w:val="nil" w:sz="6" w:space="0" w:color="auto"/>
            </w:tcBorders>
          </w:tcPr>
          <w:p>
            <w:pPr>
              <w:pStyle w:val="TableParagraph"/>
              <w:spacing w:line="205" w:lineRule="exact"/>
              <w:ind w:right="63"/>
              <w:jc w:val="center"/>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(49)</w:t>
            </w:r>
            <w:r>
              <w:rPr>
                <w:rFonts w:ascii="宋体" w:hAnsi="宋体" w:cs="宋体" w:eastAsia="宋体" w:hint="default"/>
                <w:sz w:val="16"/>
                <w:szCs w:val="16"/>
              </w:rPr>
            </w:r>
          </w:p>
        </w:tc>
        <w:tc>
          <w:tcPr>
            <w:tcW w:w="1490"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sz w:val="16"/>
              </w:rPr>
              <w:t>0.1321</w:t>
            </w:r>
          </w:p>
        </w:tc>
        <w:tc>
          <w:tcPr>
            <w:tcW w:w="1490" w:type="dxa"/>
            <w:tcBorders>
              <w:top w:val="nil" w:sz="6" w:space="0" w:color="auto"/>
              <w:left w:val="nil" w:sz="6" w:space="0" w:color="auto"/>
              <w:bottom w:val="single" w:sz="16" w:space="0" w:color="9F8958"/>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sz w:val="16"/>
              </w:rPr>
              <w:t>0.0188</w:t>
            </w:r>
          </w:p>
        </w:tc>
        <w:tc>
          <w:tcPr>
            <w:tcW w:w="147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不适用</w:t>
            </w:r>
          </w:p>
        </w:tc>
        <w:tc>
          <w:tcPr>
            <w:tcW w:w="1444" w:type="dxa"/>
            <w:tcBorders>
              <w:top w:val="nil" w:sz="6" w:space="0" w:color="auto"/>
              <w:left w:val="nil" w:sz="6" w:space="0" w:color="auto"/>
              <w:bottom w:val="single" w:sz="16" w:space="0" w:color="9F8958"/>
              <w:right w:val="nil" w:sz="6" w:space="0" w:color="auto"/>
            </w:tcBorders>
          </w:tcPr>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不适用</w:t>
            </w:r>
          </w:p>
        </w:tc>
      </w:tr>
    </w:tbl>
    <w:p>
      <w:pPr>
        <w:spacing w:line="240" w:lineRule="auto" w:before="1"/>
        <w:rPr>
          <w:rFonts w:ascii="宋体" w:hAnsi="宋体" w:cs="宋体" w:eastAsia="宋体" w:hint="default"/>
          <w:sz w:val="24"/>
          <w:szCs w:val="24"/>
        </w:rPr>
      </w:pPr>
    </w:p>
    <w:p>
      <w:pPr>
        <w:pStyle w:val="BodyText"/>
        <w:spacing w:line="240" w:lineRule="auto" w:before="31"/>
        <w:ind w:left="134" w:right="0"/>
        <w:jc w:val="left"/>
      </w:pPr>
      <w:r>
        <w:rPr/>
        <w:t>后附财务报表附注为财务报表的组成部分。</w:t>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2"/>
          <w:szCs w:val="22"/>
        </w:rPr>
      </w:pPr>
    </w:p>
    <w:p>
      <w:pPr>
        <w:pStyle w:val="BodyText"/>
        <w:tabs>
          <w:tab w:pos="3041" w:val="left" w:leader="none"/>
          <w:tab w:pos="6641" w:val="left" w:leader="none"/>
        </w:tabs>
        <w:spacing w:line="240" w:lineRule="auto"/>
        <w:ind w:left="134" w:right="0"/>
        <w:jc w:val="left"/>
      </w:pPr>
      <w:r>
        <w:rPr/>
        <w:t>董事长：王晓初</w:t>
        <w:tab/>
        <w:t>财务负责人：姜爱华</w:t>
        <w:tab/>
        <w:t>财务部总经理：王芳</w:t>
      </w:r>
    </w:p>
    <w:p>
      <w:pPr>
        <w:spacing w:after="0" w:line="240" w:lineRule="auto"/>
        <w:jc w:val="left"/>
        <w:sectPr>
          <w:headerReference w:type="default" r:id="rId262"/>
          <w:pgSz w:w="11910" w:h="16160"/>
          <w:pgMar w:header="0" w:footer="298" w:top="1100" w:bottom="480" w:left="1340" w:right="640"/>
        </w:sectPr>
      </w:pPr>
    </w:p>
    <w:p>
      <w:pPr>
        <w:pStyle w:val="Heading3"/>
        <w:spacing w:line="487" w:lineRule="exact"/>
        <w:ind w:left="127" w:right="0"/>
        <w:jc w:val="left"/>
        <w:rPr>
          <w:rFonts w:ascii="宋体" w:hAnsi="宋体" w:cs="宋体" w:eastAsia="宋体" w:hint="default"/>
        </w:rPr>
      </w:pPr>
      <w:r>
        <w:rPr>
          <w:rFonts w:ascii="宋体" w:hAnsi="宋体" w:cs="宋体" w:eastAsia="宋体" w:hint="default"/>
          <w:color w:val="9F8958"/>
        </w:rPr>
        <w:t>现金流量表</w:t>
      </w:r>
      <w:r>
        <w:rPr>
          <w:rFonts w:ascii="宋体" w:hAnsi="宋体" w:cs="宋体" w:eastAsia="宋体" w:hint="default"/>
        </w:rPr>
      </w:r>
    </w:p>
    <w:p>
      <w:pPr>
        <w:spacing w:line="201" w:lineRule="exact" w:before="103"/>
        <w:ind w:left="127" w:right="0"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年度合并及公司现金流量表</w:t>
      </w:r>
    </w:p>
    <w:p>
      <w:pPr>
        <w:spacing w:line="201" w:lineRule="exact" w:before="0"/>
        <w:ind w:left="127" w:right="0"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tbl>
      <w:tblPr>
        <w:tblW w:w="0" w:type="auto"/>
        <w:jc w:val="left"/>
        <w:tblInd w:w="107" w:type="dxa"/>
        <w:tblLayout w:type="fixed"/>
        <w:tblCellMar>
          <w:top w:w="0" w:type="dxa"/>
          <w:left w:w="0" w:type="dxa"/>
          <w:bottom w:w="0" w:type="dxa"/>
          <w:right w:w="0" w:type="dxa"/>
        </w:tblCellMar>
        <w:tblLook w:val="01E0"/>
      </w:tblPr>
      <w:tblGrid>
        <w:gridCol w:w="3643"/>
        <w:gridCol w:w="1558"/>
        <w:gridCol w:w="1585"/>
        <w:gridCol w:w="1363"/>
        <w:gridCol w:w="1474"/>
      </w:tblGrid>
      <w:tr>
        <w:trPr>
          <w:trHeight w:val="550" w:hRule="exact"/>
        </w:trPr>
        <w:tc>
          <w:tcPr>
            <w:tcW w:w="3643" w:type="dxa"/>
            <w:tcBorders>
              <w:top w:val="nil" w:sz="6" w:space="0" w:color="auto"/>
              <w:left w:val="nil" w:sz="6" w:space="0" w:color="auto"/>
              <w:bottom w:val="single" w:sz="16" w:space="0" w:color="9F8958"/>
              <w:right w:val="nil" w:sz="6" w:space="0" w:color="auto"/>
            </w:tcBorders>
          </w:tcPr>
          <w:p>
            <w:pPr>
              <w:pStyle w:val="TableParagraph"/>
              <w:spacing w:line="240" w:lineRule="auto" w:before="3"/>
              <w:ind w:right="0"/>
              <w:jc w:val="left"/>
              <w:rPr>
                <w:rFonts w:ascii="宋体" w:hAnsi="宋体" w:cs="宋体" w:eastAsia="宋体" w:hint="default"/>
                <w:sz w:val="17"/>
                <w:szCs w:val="17"/>
              </w:rPr>
            </w:pPr>
          </w:p>
          <w:p>
            <w:pPr>
              <w:pStyle w:val="TableParagraph"/>
              <w:tabs>
                <w:tab w:pos="3114" w:val="left" w:leader="none"/>
              </w:tabs>
              <w:spacing w:line="240" w:lineRule="auto"/>
              <w:ind w:left="85" w:right="0"/>
              <w:jc w:val="left"/>
              <w:rPr>
                <w:rFonts w:ascii="宋体" w:hAnsi="宋体" w:cs="宋体" w:eastAsia="宋体" w:hint="default"/>
                <w:sz w:val="16"/>
                <w:szCs w:val="16"/>
              </w:rPr>
            </w:pPr>
            <w:r>
              <w:rPr>
                <w:rFonts w:ascii="宋体" w:hAnsi="宋体" w:cs="宋体" w:eastAsia="宋体" w:hint="default"/>
                <w:sz w:val="16"/>
                <w:szCs w:val="16"/>
              </w:rPr>
              <w:t>项目</w:t>
              <w:tab/>
              <w:t>附注</w:t>
            </w:r>
          </w:p>
        </w:tc>
        <w:tc>
          <w:tcPr>
            <w:tcW w:w="155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25"/>
              <w:ind w:right="83"/>
              <w:jc w:val="righ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3"/>
              <w:jc w:val="right"/>
              <w:rPr>
                <w:rFonts w:ascii="宋体" w:hAnsi="宋体" w:cs="宋体" w:eastAsia="宋体" w:hint="default"/>
                <w:sz w:val="16"/>
                <w:szCs w:val="16"/>
              </w:rPr>
            </w:pPr>
            <w:r>
              <w:rPr>
                <w:rFonts w:ascii="宋体" w:hAnsi="宋体" w:cs="宋体" w:eastAsia="宋体" w:hint="default"/>
                <w:sz w:val="16"/>
                <w:szCs w:val="16"/>
              </w:rPr>
              <w:t>合并</w:t>
            </w:r>
          </w:p>
        </w:tc>
        <w:tc>
          <w:tcPr>
            <w:tcW w:w="1585" w:type="dxa"/>
            <w:tcBorders>
              <w:top w:val="nil" w:sz="6" w:space="0" w:color="auto"/>
              <w:left w:val="nil" w:sz="6" w:space="0" w:color="auto"/>
              <w:bottom w:val="single" w:sz="16" w:space="0" w:color="9F8958"/>
              <w:right w:val="nil" w:sz="6" w:space="0" w:color="auto"/>
            </w:tcBorders>
          </w:tcPr>
          <w:p>
            <w:pPr>
              <w:pStyle w:val="TableParagraph"/>
              <w:spacing w:line="205" w:lineRule="exact" w:before="25"/>
              <w:ind w:right="83"/>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2"/>
              <w:jc w:val="right"/>
              <w:rPr>
                <w:rFonts w:ascii="宋体" w:hAnsi="宋体" w:cs="宋体" w:eastAsia="宋体" w:hint="default"/>
                <w:sz w:val="16"/>
                <w:szCs w:val="16"/>
              </w:rPr>
            </w:pPr>
            <w:r>
              <w:rPr>
                <w:rFonts w:ascii="宋体" w:hAnsi="宋体" w:cs="宋体" w:eastAsia="宋体" w:hint="default"/>
                <w:sz w:val="16"/>
                <w:szCs w:val="16"/>
              </w:rPr>
              <w:t>合并</w:t>
            </w:r>
          </w:p>
        </w:tc>
        <w:tc>
          <w:tcPr>
            <w:tcW w:w="1363"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before="25"/>
              <w:ind w:right="82"/>
              <w:jc w:val="righ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2"/>
              <w:jc w:val="right"/>
              <w:rPr>
                <w:rFonts w:ascii="宋体" w:hAnsi="宋体" w:cs="宋体" w:eastAsia="宋体" w:hint="default"/>
                <w:sz w:val="16"/>
                <w:szCs w:val="16"/>
              </w:rPr>
            </w:pPr>
            <w:r>
              <w:rPr>
                <w:rFonts w:ascii="宋体" w:hAnsi="宋体" w:cs="宋体" w:eastAsia="宋体" w:hint="default"/>
                <w:sz w:val="16"/>
                <w:szCs w:val="16"/>
              </w:rPr>
              <w:t>公司</w:t>
            </w:r>
          </w:p>
        </w:tc>
        <w:tc>
          <w:tcPr>
            <w:tcW w:w="1474" w:type="dxa"/>
            <w:tcBorders>
              <w:top w:val="nil" w:sz="6" w:space="0" w:color="auto"/>
              <w:left w:val="nil" w:sz="6" w:space="0" w:color="auto"/>
              <w:bottom w:val="single" w:sz="16" w:space="0" w:color="9F8958"/>
              <w:right w:val="nil" w:sz="6" w:space="0" w:color="auto"/>
            </w:tcBorders>
          </w:tcPr>
          <w:p>
            <w:pPr>
              <w:pStyle w:val="TableParagraph"/>
              <w:spacing w:line="205" w:lineRule="exact" w:before="25"/>
              <w:ind w:right="82"/>
              <w:jc w:val="righ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pStyle w:val="TableParagraph"/>
              <w:spacing w:line="205" w:lineRule="exact"/>
              <w:ind w:right="82"/>
              <w:jc w:val="right"/>
              <w:rPr>
                <w:rFonts w:ascii="宋体" w:hAnsi="宋体" w:cs="宋体" w:eastAsia="宋体" w:hint="default"/>
                <w:sz w:val="16"/>
                <w:szCs w:val="16"/>
              </w:rPr>
            </w:pPr>
            <w:r>
              <w:rPr>
                <w:rFonts w:ascii="宋体" w:hAnsi="宋体" w:cs="宋体" w:eastAsia="宋体" w:hint="default"/>
                <w:sz w:val="16"/>
                <w:szCs w:val="16"/>
              </w:rPr>
              <w:t>公司</w:t>
            </w:r>
          </w:p>
        </w:tc>
      </w:tr>
      <w:tr>
        <w:trPr>
          <w:trHeight w:val="361" w:hRule="exact"/>
        </w:trPr>
        <w:tc>
          <w:tcPr>
            <w:tcW w:w="3643" w:type="dxa"/>
            <w:tcBorders>
              <w:top w:val="single" w:sz="16" w:space="0" w:color="9F8958"/>
              <w:left w:val="nil" w:sz="6" w:space="0" w:color="auto"/>
              <w:bottom w:val="nil" w:sz="6" w:space="0" w:color="auto"/>
              <w:right w:val="nil" w:sz="6" w:space="0" w:color="auto"/>
            </w:tcBorders>
          </w:tcPr>
          <w:p>
            <w:pPr>
              <w:pStyle w:val="TableParagraph"/>
              <w:spacing w:line="240" w:lineRule="auto" w:before="82"/>
              <w:ind w:left="85" w:right="0"/>
              <w:jc w:val="left"/>
              <w:rPr>
                <w:rFonts w:ascii="宋体" w:hAnsi="宋体" w:cs="宋体" w:eastAsia="宋体" w:hint="default"/>
                <w:sz w:val="16"/>
                <w:szCs w:val="16"/>
              </w:rPr>
            </w:pPr>
            <w:r>
              <w:rPr>
                <w:rFonts w:ascii="宋体" w:hAnsi="宋体" w:cs="宋体" w:eastAsia="宋体" w:hint="default"/>
                <w:sz w:val="16"/>
                <w:szCs w:val="16"/>
              </w:rPr>
              <w:t>一、经营活动产生的现金流量</w:t>
            </w:r>
          </w:p>
        </w:tc>
        <w:tc>
          <w:tcPr>
            <w:tcW w:w="1558" w:type="dxa"/>
            <w:tcBorders>
              <w:top w:val="single" w:sz="16" w:space="0" w:color="9F8958"/>
              <w:left w:val="nil" w:sz="6" w:space="0" w:color="auto"/>
              <w:bottom w:val="nil" w:sz="6" w:space="0" w:color="auto"/>
              <w:right w:val="nil" w:sz="6" w:space="0" w:color="auto"/>
            </w:tcBorders>
            <w:shd w:val="clear" w:color="auto" w:fill="ECE7DD"/>
          </w:tcPr>
          <w:p>
            <w:pPr/>
          </w:p>
        </w:tc>
        <w:tc>
          <w:tcPr>
            <w:tcW w:w="1585" w:type="dxa"/>
            <w:tcBorders>
              <w:top w:val="single" w:sz="16" w:space="0" w:color="9F8958"/>
              <w:left w:val="nil" w:sz="6" w:space="0" w:color="auto"/>
              <w:bottom w:val="nil" w:sz="6" w:space="0" w:color="auto"/>
              <w:right w:val="nil" w:sz="6" w:space="0" w:color="auto"/>
            </w:tcBorders>
          </w:tcPr>
          <w:p>
            <w:pPr/>
          </w:p>
        </w:tc>
        <w:tc>
          <w:tcPr>
            <w:tcW w:w="1363" w:type="dxa"/>
            <w:tcBorders>
              <w:top w:val="single" w:sz="16" w:space="0" w:color="9F8958"/>
              <w:left w:val="nil" w:sz="6" w:space="0" w:color="auto"/>
              <w:bottom w:val="nil" w:sz="6" w:space="0" w:color="auto"/>
              <w:right w:val="nil" w:sz="6" w:space="0" w:color="auto"/>
            </w:tcBorders>
            <w:shd w:val="clear" w:color="auto" w:fill="ECE7DD"/>
          </w:tcPr>
          <w:p>
            <w:pPr/>
          </w:p>
        </w:tc>
        <w:tc>
          <w:tcPr>
            <w:tcW w:w="1474" w:type="dxa"/>
            <w:tcBorders>
              <w:top w:val="single" w:sz="16" w:space="0" w:color="9F8958"/>
              <w:left w:val="nil" w:sz="6" w:space="0" w:color="auto"/>
              <w:bottom w:val="nil" w:sz="6" w:space="0" w:color="auto"/>
              <w:right w:val="nil" w:sz="6" w:space="0" w:color="auto"/>
            </w:tcBorders>
          </w:tcPr>
          <w:p>
            <w:pPr/>
          </w:p>
        </w:tc>
      </w:tr>
      <w:tr>
        <w:trPr>
          <w:trHeight w:val="27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68" w:right="0"/>
              <w:jc w:val="left"/>
              <w:rPr>
                <w:rFonts w:ascii="宋体" w:hAnsi="宋体" w:cs="宋体" w:eastAsia="宋体" w:hint="default"/>
                <w:sz w:val="16"/>
                <w:szCs w:val="16"/>
              </w:rPr>
            </w:pPr>
            <w:r>
              <w:rPr>
                <w:rFonts w:ascii="宋体" w:hAnsi="宋体" w:cs="宋体" w:eastAsia="宋体" w:hint="default"/>
                <w:sz w:val="16"/>
                <w:szCs w:val="16"/>
              </w:rPr>
              <w:t>销售商品、提供劳务收到的现金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82"/>
              <w:jc w:val="right"/>
              <w:rPr>
                <w:rFonts w:ascii="宋体" w:hAnsi="宋体" w:cs="宋体" w:eastAsia="宋体" w:hint="default"/>
                <w:sz w:val="16"/>
                <w:szCs w:val="16"/>
              </w:rPr>
            </w:pPr>
            <w:r>
              <w:rPr>
                <w:rFonts w:ascii="宋体"/>
                <w:w w:val="95"/>
                <w:sz w:val="16"/>
              </w:rPr>
              <w:t>304,481,289,440</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2"/>
              <w:jc w:val="right"/>
              <w:rPr>
                <w:rFonts w:ascii="宋体" w:hAnsi="宋体" w:cs="宋体" w:eastAsia="宋体" w:hint="default"/>
                <w:sz w:val="16"/>
                <w:szCs w:val="16"/>
              </w:rPr>
            </w:pPr>
            <w:r>
              <w:rPr>
                <w:rFonts w:ascii="宋体"/>
                <w:w w:val="95"/>
                <w:sz w:val="16"/>
              </w:rPr>
              <w:t>293,198,161,648</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83"/>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84"/>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8" w:right="0"/>
              <w:jc w:val="left"/>
              <w:rPr>
                <w:rFonts w:ascii="宋体" w:hAnsi="宋体" w:cs="宋体" w:eastAsia="宋体" w:hint="default"/>
                <w:sz w:val="16"/>
                <w:szCs w:val="16"/>
              </w:rPr>
            </w:pPr>
            <w:r>
              <w:rPr>
                <w:rFonts w:ascii="宋体" w:hAnsi="宋体" w:cs="宋体" w:eastAsia="宋体" w:hint="default"/>
                <w:sz w:val="16"/>
                <w:szCs w:val="16"/>
              </w:rPr>
              <w:t>收到的税费返还</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sz w:val="16"/>
              </w:rPr>
              <w:t>403,399,357</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sz w:val="16"/>
              </w:rPr>
              <w:t>602,261,724</w:t>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3"/>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4"/>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73" w:val="left" w:leader="none"/>
              </w:tabs>
              <w:spacing w:line="240" w:lineRule="auto" w:before="13"/>
              <w:ind w:right="133"/>
              <w:jc w:val="right"/>
              <w:rPr>
                <w:rFonts w:ascii="宋体" w:hAnsi="宋体" w:cs="宋体" w:eastAsia="宋体" w:hint="default"/>
                <w:sz w:val="16"/>
                <w:szCs w:val="16"/>
              </w:rPr>
            </w:pPr>
            <w:r>
              <w:rPr>
                <w:rFonts w:ascii="宋体" w:hAnsi="宋体" w:cs="宋体" w:eastAsia="宋体" w:hint="default"/>
                <w:sz w:val="16"/>
                <w:szCs w:val="16"/>
              </w:rPr>
              <w:t>收到其他与经营活动有关的现金</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(50)</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3,169,874,675</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2,023,296,977</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61,298,627</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28,867,290</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08" w:right="0"/>
              <w:jc w:val="left"/>
              <w:rPr>
                <w:rFonts w:ascii="宋体" w:hAnsi="宋体" w:cs="宋体" w:eastAsia="宋体" w:hint="default"/>
                <w:sz w:val="16"/>
                <w:szCs w:val="16"/>
              </w:rPr>
            </w:pPr>
            <w:r>
              <w:rPr>
                <w:rFonts w:ascii="宋体" w:hAnsi="宋体" w:cs="宋体" w:eastAsia="宋体" w:hint="default"/>
                <w:sz w:val="16"/>
                <w:szCs w:val="16"/>
              </w:rPr>
              <w:t>经营活动现金流入小计</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308,054,563,472</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295,823,720,349</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61,298,627</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5"/>
                <w:sz w:val="16"/>
              </w:rPr>
              <w:t>28,867,290</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8" w:right="0"/>
              <w:jc w:val="left"/>
              <w:rPr>
                <w:rFonts w:ascii="宋体" w:hAnsi="宋体" w:cs="宋体" w:eastAsia="宋体" w:hint="default"/>
                <w:sz w:val="16"/>
                <w:szCs w:val="16"/>
              </w:rPr>
            </w:pPr>
            <w:r>
              <w:rPr>
                <w:rFonts w:ascii="宋体" w:hAnsi="宋体" w:cs="宋体" w:eastAsia="宋体" w:hint="default"/>
                <w:sz w:val="16"/>
                <w:szCs w:val="16"/>
              </w:rPr>
              <w:t>购买商品、接受劳务支付的现金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(156,093,700,049)</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(151,122,715,803)</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(9,971,710)</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(8,055,414)</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8" w:right="0"/>
              <w:jc w:val="left"/>
              <w:rPr>
                <w:rFonts w:ascii="宋体" w:hAnsi="宋体" w:cs="宋体" w:eastAsia="宋体" w:hint="default"/>
                <w:sz w:val="16"/>
                <w:szCs w:val="16"/>
              </w:rPr>
            </w:pPr>
            <w:r>
              <w:rPr>
                <w:rFonts w:ascii="宋体" w:hAnsi="宋体" w:cs="宋体" w:eastAsia="宋体" w:hint="default"/>
                <w:sz w:val="16"/>
                <w:szCs w:val="16"/>
              </w:rPr>
              <w:t>支付给职工以及为职工支付的现金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(44,702,255,602)</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(41,242,867,787)</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68" w:right="0"/>
              <w:jc w:val="left"/>
              <w:rPr>
                <w:rFonts w:ascii="宋体" w:hAnsi="宋体" w:cs="宋体" w:eastAsia="宋体" w:hint="default"/>
                <w:sz w:val="16"/>
                <w:szCs w:val="16"/>
              </w:rPr>
            </w:pPr>
            <w:r>
              <w:rPr>
                <w:rFonts w:ascii="宋体" w:hAnsi="宋体" w:cs="宋体" w:eastAsia="宋体" w:hint="default"/>
                <w:sz w:val="16"/>
                <w:szCs w:val="16"/>
              </w:rPr>
              <w:t>支付的各项税费</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(7,614,984,525)</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(8,156,451,535)</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(14,275,601)</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(30,838,648)</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73" w:val="left" w:leader="none"/>
              </w:tabs>
              <w:spacing w:line="240" w:lineRule="auto" w:before="13"/>
              <w:ind w:right="133"/>
              <w:jc w:val="right"/>
              <w:rPr>
                <w:rFonts w:ascii="宋体" w:hAnsi="宋体" w:cs="宋体" w:eastAsia="宋体" w:hint="default"/>
                <w:sz w:val="16"/>
                <w:szCs w:val="16"/>
              </w:rPr>
            </w:pPr>
            <w:r>
              <w:rPr>
                <w:rFonts w:ascii="宋体" w:hAnsi="宋体" w:cs="宋体" w:eastAsia="宋体" w:hint="default"/>
                <w:sz w:val="16"/>
                <w:szCs w:val="16"/>
              </w:rPr>
              <w:t>支付其他与经营活动有关的现金</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(50)</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(4,813,897,949)</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(3,966,313,195)</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(4,892,130)</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(1,536,520)</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09" w:right="0"/>
              <w:jc w:val="left"/>
              <w:rPr>
                <w:rFonts w:ascii="宋体" w:hAnsi="宋体" w:cs="宋体" w:eastAsia="宋体" w:hint="default"/>
                <w:sz w:val="16"/>
                <w:szCs w:val="16"/>
              </w:rPr>
            </w:pPr>
            <w:r>
              <w:rPr>
                <w:rFonts w:ascii="宋体" w:hAnsi="宋体" w:cs="宋体" w:eastAsia="宋体" w:hint="default"/>
                <w:sz w:val="16"/>
                <w:szCs w:val="16"/>
              </w:rPr>
              <w:t>经营活动现金流出小计</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(213,224,838,125)</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(204,488,348,320)</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(29,139,441)</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82"/>
              <w:jc w:val="right"/>
              <w:rPr>
                <w:rFonts w:ascii="宋体" w:hAnsi="宋体" w:cs="宋体" w:eastAsia="宋体" w:hint="default"/>
                <w:sz w:val="16"/>
                <w:szCs w:val="16"/>
              </w:rPr>
            </w:pPr>
            <w:r>
              <w:rPr>
                <w:rFonts w:ascii="宋体"/>
                <w:w w:val="90"/>
                <w:sz w:val="16"/>
              </w:rPr>
              <w:t>(40,430,582)</w:t>
            </w:r>
            <w:r>
              <w:rPr>
                <w:rFonts w:ascii="宋体"/>
                <w:sz w:val="16"/>
              </w:rPr>
            </w:r>
          </w:p>
        </w:tc>
      </w:tr>
      <w:tr>
        <w:trPr>
          <w:trHeight w:val="273"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87" w:val="left" w:leader="none"/>
              </w:tabs>
              <w:spacing w:line="240" w:lineRule="auto" w:before="13"/>
              <w:ind w:right="90"/>
              <w:jc w:val="right"/>
              <w:rPr>
                <w:rFonts w:ascii="宋体" w:hAnsi="宋体" w:cs="宋体" w:eastAsia="宋体" w:hint="default"/>
                <w:sz w:val="16"/>
                <w:szCs w:val="16"/>
              </w:rPr>
            </w:pPr>
            <w:r>
              <w:rPr>
                <w:rFonts w:ascii="宋体" w:hAnsi="宋体" w:cs="宋体" w:eastAsia="宋体" w:hint="default"/>
                <w:sz w:val="16"/>
                <w:szCs w:val="16"/>
              </w:rPr>
              <w:t>经营活动产生的现金流量净额</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(51)</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10"/>
              <w:jc w:val="right"/>
              <w:rPr>
                <w:rFonts w:ascii="宋体" w:hAnsi="宋体" w:cs="宋体" w:eastAsia="宋体" w:hint="default"/>
                <w:sz w:val="16"/>
                <w:szCs w:val="16"/>
              </w:rPr>
            </w:pPr>
            <w:r>
              <w:rPr>
                <w:rFonts w:ascii="宋体"/>
                <w:w w:val="95"/>
                <w:sz w:val="16"/>
              </w:rPr>
              <w:t>94,829,725,347</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0"/>
              <w:jc w:val="right"/>
              <w:rPr>
                <w:rFonts w:ascii="宋体" w:hAnsi="宋体" w:cs="宋体" w:eastAsia="宋体" w:hint="default"/>
                <w:sz w:val="16"/>
                <w:szCs w:val="16"/>
              </w:rPr>
            </w:pPr>
            <w:r>
              <w:rPr>
                <w:rFonts w:ascii="宋体"/>
                <w:w w:val="95"/>
                <w:sz w:val="16"/>
              </w:rPr>
              <w:t>91,335,372,029</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10"/>
              <w:jc w:val="right"/>
              <w:rPr>
                <w:rFonts w:ascii="宋体" w:hAnsi="宋体" w:cs="宋体" w:eastAsia="宋体" w:hint="default"/>
                <w:sz w:val="16"/>
                <w:szCs w:val="16"/>
              </w:rPr>
            </w:pPr>
            <w:r>
              <w:rPr>
                <w:rFonts w:ascii="宋体"/>
                <w:w w:val="95"/>
                <w:sz w:val="16"/>
              </w:rPr>
              <w:t>32,159,186</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0"/>
              <w:jc w:val="right"/>
              <w:rPr>
                <w:rFonts w:ascii="宋体" w:hAnsi="宋体" w:cs="宋体" w:eastAsia="宋体" w:hint="default"/>
                <w:sz w:val="16"/>
                <w:szCs w:val="16"/>
              </w:rPr>
            </w:pPr>
            <w:r>
              <w:rPr>
                <w:rFonts w:ascii="宋体"/>
                <w:w w:val="90"/>
                <w:sz w:val="16"/>
              </w:rPr>
              <w:t>(11,563,292)</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4" w:right="0"/>
              <w:jc w:val="left"/>
              <w:rPr>
                <w:rFonts w:ascii="宋体" w:hAnsi="宋体" w:cs="宋体" w:eastAsia="宋体" w:hint="default"/>
                <w:sz w:val="16"/>
                <w:szCs w:val="16"/>
              </w:rPr>
            </w:pPr>
            <w:r>
              <w:rPr>
                <w:rFonts w:ascii="宋体" w:hAnsi="宋体" w:cs="宋体" w:eastAsia="宋体" w:hint="default"/>
                <w:sz w:val="16"/>
                <w:szCs w:val="16"/>
              </w:rPr>
              <w:t>二、投资活动产生的现金流量</w:t>
            </w:r>
          </w:p>
        </w:tc>
        <w:tc>
          <w:tcPr>
            <w:tcW w:w="1558" w:type="dxa"/>
            <w:tcBorders>
              <w:top w:val="nil" w:sz="6" w:space="0" w:color="auto"/>
              <w:left w:val="nil" w:sz="6" w:space="0" w:color="auto"/>
              <w:bottom w:val="nil" w:sz="6" w:space="0" w:color="auto"/>
              <w:right w:val="nil" w:sz="6" w:space="0" w:color="auto"/>
            </w:tcBorders>
            <w:shd w:val="clear" w:color="auto" w:fill="ECE7DD"/>
          </w:tcPr>
          <w:p>
            <w:pPr/>
          </w:p>
        </w:tc>
        <w:tc>
          <w:tcPr>
            <w:tcW w:w="158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shd w:val="clear" w:color="auto" w:fill="ECE7DD"/>
          </w:tcPr>
          <w:p>
            <w:pPr/>
          </w:p>
        </w:tc>
        <w:tc>
          <w:tcPr>
            <w:tcW w:w="1474" w:type="dxa"/>
            <w:tcBorders>
              <w:top w:val="nil" w:sz="6" w:space="0" w:color="auto"/>
              <w:left w:val="nil" w:sz="6" w:space="0" w:color="auto"/>
              <w:bottom w:val="nil" w:sz="6" w:space="0" w:color="auto"/>
              <w:right w:val="nil" w:sz="6" w:space="0" w:color="auto"/>
            </w:tcBorders>
          </w:tcPr>
          <w:p>
            <w:pPr/>
          </w:p>
        </w:tc>
      </w:tr>
      <w:tr>
        <w:trPr>
          <w:trHeight w:val="27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97" w:right="0"/>
              <w:jc w:val="left"/>
              <w:rPr>
                <w:rFonts w:ascii="宋体" w:hAnsi="宋体" w:cs="宋体" w:eastAsia="宋体" w:hint="default"/>
                <w:sz w:val="16"/>
                <w:szCs w:val="16"/>
              </w:rPr>
            </w:pPr>
            <w:r>
              <w:rPr>
                <w:rFonts w:ascii="宋体" w:hAnsi="宋体" w:cs="宋体" w:eastAsia="宋体" w:hint="default"/>
                <w:sz w:val="16"/>
                <w:szCs w:val="16"/>
              </w:rPr>
              <w:t>收回投资收到的现金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10"/>
              <w:jc w:val="right"/>
              <w:rPr>
                <w:rFonts w:ascii="宋体" w:hAnsi="宋体" w:cs="宋体" w:eastAsia="宋体" w:hint="default"/>
                <w:sz w:val="16"/>
                <w:szCs w:val="16"/>
              </w:rPr>
            </w:pPr>
            <w:r>
              <w:rPr>
                <w:rFonts w:ascii="宋体"/>
                <w:w w:val="131"/>
                <w:sz w:val="16"/>
              </w:rPr>
              <w:t>-</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0"/>
              <w:jc w:val="right"/>
              <w:rPr>
                <w:rFonts w:ascii="宋体" w:hAnsi="宋体" w:cs="宋体" w:eastAsia="宋体" w:hint="default"/>
                <w:sz w:val="16"/>
                <w:szCs w:val="16"/>
              </w:rPr>
            </w:pPr>
            <w:r>
              <w:rPr>
                <w:rFonts w:ascii="宋体"/>
                <w:w w:val="95"/>
                <w:sz w:val="16"/>
              </w:rPr>
              <w:t>60,299,281</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7" w:right="0"/>
              <w:jc w:val="left"/>
              <w:rPr>
                <w:rFonts w:ascii="宋体" w:hAnsi="宋体" w:cs="宋体" w:eastAsia="宋体" w:hint="default"/>
                <w:sz w:val="16"/>
                <w:szCs w:val="16"/>
              </w:rPr>
            </w:pPr>
            <w:r>
              <w:rPr>
                <w:rFonts w:ascii="宋体" w:hAnsi="宋体" w:cs="宋体" w:eastAsia="宋体" w:hint="default"/>
                <w:sz w:val="16"/>
                <w:szCs w:val="16"/>
              </w:rPr>
              <w:t>取得投资收益收到的现金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10"/>
              <w:jc w:val="right"/>
              <w:rPr>
                <w:rFonts w:ascii="宋体" w:hAnsi="宋体" w:cs="宋体" w:eastAsia="宋体" w:hint="default"/>
                <w:sz w:val="16"/>
                <w:szCs w:val="16"/>
              </w:rPr>
            </w:pPr>
            <w:r>
              <w:rPr>
                <w:rFonts w:ascii="宋体"/>
                <w:sz w:val="16"/>
              </w:rPr>
              <w:t>259,275,327</w:t>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0"/>
              <w:jc w:val="right"/>
              <w:rPr>
                <w:rFonts w:ascii="宋体" w:hAnsi="宋体" w:cs="宋体" w:eastAsia="宋体" w:hint="default"/>
                <w:sz w:val="16"/>
                <w:szCs w:val="16"/>
              </w:rPr>
            </w:pPr>
            <w:r>
              <w:rPr>
                <w:rFonts w:ascii="宋体"/>
                <w:sz w:val="16"/>
              </w:rPr>
              <w:t>176,622,009</w:t>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10"/>
              <w:jc w:val="right"/>
              <w:rPr>
                <w:rFonts w:ascii="宋体" w:hAnsi="宋体" w:cs="宋体" w:eastAsia="宋体" w:hint="default"/>
                <w:sz w:val="16"/>
                <w:szCs w:val="16"/>
              </w:rPr>
            </w:pPr>
            <w:r>
              <w:rPr>
                <w:rFonts w:ascii="宋体"/>
                <w:sz w:val="16"/>
              </w:rPr>
              <w:t>699,083,224</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4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00" w:lineRule="exact" w:before="40"/>
              <w:ind w:left="397" w:right="843"/>
              <w:jc w:val="left"/>
              <w:rPr>
                <w:rFonts w:ascii="宋体" w:hAnsi="宋体" w:cs="宋体" w:eastAsia="宋体" w:hint="default"/>
                <w:sz w:val="16"/>
                <w:szCs w:val="16"/>
              </w:rPr>
            </w:pPr>
            <w:r>
              <w:rPr>
                <w:rFonts w:ascii="宋体" w:hAnsi="宋体" w:cs="宋体" w:eastAsia="宋体" w:hint="default"/>
                <w:sz w:val="16"/>
                <w:szCs w:val="16"/>
              </w:rPr>
              <w:t>处置固定资产、无形资产和其他长 期资产收回的</w:t>
            </w:r>
            <w:r>
              <w:rPr>
                <w:rFonts w:ascii="宋体" w:hAnsi="宋体" w:cs="宋体" w:eastAsia="宋体" w:hint="default"/>
                <w:spacing w:val="8"/>
                <w:sz w:val="16"/>
                <w:szCs w:val="16"/>
              </w:rPr>
              <w:t> </w:t>
            </w:r>
            <w:r>
              <w:rPr>
                <w:rFonts w:ascii="宋体" w:hAnsi="宋体" w:cs="宋体" w:eastAsia="宋体" w:hint="default"/>
                <w:sz w:val="16"/>
                <w:szCs w:val="16"/>
              </w:rPr>
              <w:t>现金净额</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13"/>
              <w:ind w:right="110"/>
              <w:jc w:val="right"/>
              <w:rPr>
                <w:rFonts w:ascii="宋体" w:hAnsi="宋体" w:cs="宋体" w:eastAsia="宋体" w:hint="default"/>
                <w:sz w:val="16"/>
                <w:szCs w:val="16"/>
              </w:rPr>
            </w:pPr>
            <w:r>
              <w:rPr>
                <w:rFonts w:ascii="宋体"/>
                <w:w w:val="95"/>
                <w:sz w:val="16"/>
              </w:rPr>
              <w:t>1,089,785,558</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0"/>
              <w:jc w:val="right"/>
              <w:rPr>
                <w:rFonts w:ascii="宋体" w:hAnsi="宋体" w:cs="宋体" w:eastAsia="宋体" w:hint="default"/>
                <w:sz w:val="16"/>
                <w:szCs w:val="16"/>
              </w:rPr>
            </w:pPr>
            <w:r>
              <w:rPr>
                <w:rFonts w:ascii="宋体"/>
                <w:w w:val="95"/>
                <w:sz w:val="16"/>
              </w:rPr>
              <w:t>22,120,837,893</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13"/>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87" w:val="left" w:leader="none"/>
              </w:tabs>
              <w:spacing w:line="240" w:lineRule="auto" w:before="13"/>
              <w:ind w:right="89"/>
              <w:jc w:val="right"/>
              <w:rPr>
                <w:rFonts w:ascii="宋体" w:hAnsi="宋体" w:cs="宋体" w:eastAsia="宋体" w:hint="default"/>
                <w:sz w:val="16"/>
                <w:szCs w:val="16"/>
              </w:rPr>
            </w:pPr>
            <w:r>
              <w:rPr>
                <w:rFonts w:ascii="宋体" w:hAnsi="宋体" w:cs="宋体" w:eastAsia="宋体" w:hint="default"/>
                <w:sz w:val="16"/>
                <w:szCs w:val="16"/>
              </w:rPr>
              <w:t>收到其他与投资活动有关的现金</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(50)</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5"/>
                <w:sz w:val="16"/>
              </w:rPr>
              <w:t>9,451,686,844</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sz w:val="16"/>
              </w:rPr>
              <w:t>503,189,233</w:t>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38" w:right="0"/>
              <w:jc w:val="left"/>
              <w:rPr>
                <w:rFonts w:ascii="宋体" w:hAnsi="宋体" w:cs="宋体" w:eastAsia="宋体" w:hint="default"/>
                <w:sz w:val="16"/>
                <w:szCs w:val="16"/>
              </w:rPr>
            </w:pPr>
            <w:r>
              <w:rPr>
                <w:rFonts w:ascii="宋体" w:hAnsi="宋体" w:cs="宋体" w:eastAsia="宋体" w:hint="default"/>
                <w:sz w:val="16"/>
                <w:szCs w:val="16"/>
              </w:rPr>
              <w:t>投资活动现金流入小计</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5"/>
                <w:sz w:val="16"/>
              </w:rPr>
              <w:t>10,800,747,729</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5"/>
                <w:sz w:val="16"/>
              </w:rPr>
              <w:t>22,860,948,416</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sz w:val="16"/>
              </w:rPr>
              <w:t>699,083,224</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4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00" w:lineRule="exact" w:before="40"/>
              <w:ind w:left="398" w:right="843"/>
              <w:jc w:val="left"/>
              <w:rPr>
                <w:rFonts w:ascii="宋体" w:hAnsi="宋体" w:cs="宋体" w:eastAsia="宋体" w:hint="default"/>
                <w:sz w:val="16"/>
                <w:szCs w:val="16"/>
              </w:rPr>
            </w:pPr>
            <w:r>
              <w:rPr>
                <w:rFonts w:ascii="宋体" w:hAnsi="宋体" w:cs="宋体" w:eastAsia="宋体" w:hint="default"/>
                <w:sz w:val="16"/>
                <w:szCs w:val="16"/>
              </w:rPr>
              <w:t>购建固定资产、无形资产和其他长 期资产所支付 </w:t>
            </w:r>
            <w:r>
              <w:rPr>
                <w:rFonts w:ascii="宋体" w:hAnsi="宋体" w:cs="宋体" w:eastAsia="宋体" w:hint="default"/>
                <w:spacing w:val="17"/>
                <w:sz w:val="16"/>
                <w:szCs w:val="16"/>
              </w:rPr>
              <w:t> </w:t>
            </w:r>
            <w:r>
              <w:rPr>
                <w:rFonts w:ascii="宋体" w:hAnsi="宋体" w:cs="宋体" w:eastAsia="宋体" w:hint="default"/>
                <w:sz w:val="16"/>
                <w:szCs w:val="16"/>
              </w:rPr>
              <w:t>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13"/>
              <w:ind w:right="109"/>
              <w:jc w:val="right"/>
              <w:rPr>
                <w:rFonts w:ascii="宋体" w:hAnsi="宋体" w:cs="宋体" w:eastAsia="宋体" w:hint="default"/>
                <w:sz w:val="16"/>
                <w:szCs w:val="16"/>
              </w:rPr>
            </w:pPr>
            <w:r>
              <w:rPr>
                <w:rFonts w:ascii="宋体"/>
                <w:w w:val="90"/>
                <w:sz w:val="16"/>
              </w:rPr>
              <w:t>(56,823,254,789)</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9"/>
              <w:jc w:val="right"/>
              <w:rPr>
                <w:rFonts w:ascii="宋体" w:hAnsi="宋体" w:cs="宋体" w:eastAsia="宋体" w:hint="default"/>
                <w:sz w:val="16"/>
                <w:szCs w:val="16"/>
              </w:rPr>
            </w:pPr>
            <w:r>
              <w:rPr>
                <w:rFonts w:ascii="宋体"/>
                <w:w w:val="90"/>
                <w:sz w:val="16"/>
              </w:rPr>
              <w:t>(65,629,616,973)</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13"/>
              <w:ind w:right="110"/>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8" w:right="0"/>
              <w:jc w:val="left"/>
              <w:rPr>
                <w:rFonts w:ascii="宋体" w:hAnsi="宋体" w:cs="宋体" w:eastAsia="宋体" w:hint="default"/>
                <w:sz w:val="16"/>
                <w:szCs w:val="16"/>
              </w:rPr>
            </w:pPr>
            <w:r>
              <w:rPr>
                <w:rFonts w:ascii="宋体" w:hAnsi="宋体" w:cs="宋体" w:eastAsia="宋体" w:hint="default"/>
                <w:sz w:val="16"/>
                <w:szCs w:val="16"/>
              </w:rPr>
              <w:t>投资支付的现金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(1,556,010,002)</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(767,726,874)</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(61,534,124,689)</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87" w:val="left" w:leader="none"/>
              </w:tabs>
              <w:spacing w:line="240" w:lineRule="auto" w:before="13"/>
              <w:ind w:right="89"/>
              <w:jc w:val="right"/>
              <w:rPr>
                <w:rFonts w:ascii="宋体" w:hAnsi="宋体" w:cs="宋体" w:eastAsia="宋体" w:hint="default"/>
                <w:sz w:val="16"/>
                <w:szCs w:val="16"/>
              </w:rPr>
            </w:pPr>
            <w:r>
              <w:rPr>
                <w:rFonts w:ascii="宋体" w:hAnsi="宋体" w:cs="宋体" w:eastAsia="宋体" w:hint="default"/>
                <w:sz w:val="16"/>
                <w:szCs w:val="16"/>
              </w:rPr>
              <w:t>支付其他与投资活动有关的现金</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(50)</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(13,588,500,146)</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(3,797,399,773)</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(3,042,122,315)</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38" w:right="0"/>
              <w:jc w:val="left"/>
              <w:rPr>
                <w:rFonts w:ascii="宋体" w:hAnsi="宋体" w:cs="宋体" w:eastAsia="宋体" w:hint="default"/>
                <w:sz w:val="16"/>
                <w:szCs w:val="16"/>
              </w:rPr>
            </w:pPr>
            <w:r>
              <w:rPr>
                <w:rFonts w:ascii="宋体" w:hAnsi="宋体" w:cs="宋体" w:eastAsia="宋体" w:hint="default"/>
                <w:sz w:val="16"/>
                <w:szCs w:val="16"/>
              </w:rPr>
              <w:t>投资活动现金流出小计</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(71,967,764,937)</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(70,194,743,620)</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(3,042,122,315)</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(61,534,124,689)</w:t>
            </w:r>
            <w:r>
              <w:rPr>
                <w:rFonts w:ascii="宋体"/>
                <w:sz w:val="16"/>
              </w:rPr>
            </w:r>
          </w:p>
        </w:tc>
      </w:tr>
      <w:tr>
        <w:trPr>
          <w:trHeight w:val="273"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8" w:right="0"/>
              <w:jc w:val="left"/>
              <w:rPr>
                <w:rFonts w:ascii="宋体" w:hAnsi="宋体" w:cs="宋体" w:eastAsia="宋体" w:hint="default"/>
                <w:sz w:val="16"/>
                <w:szCs w:val="16"/>
              </w:rPr>
            </w:pPr>
            <w:r>
              <w:rPr>
                <w:rFonts w:ascii="宋体" w:hAnsi="宋体" w:cs="宋体" w:eastAsia="宋体" w:hint="default"/>
                <w:sz w:val="16"/>
                <w:szCs w:val="16"/>
              </w:rPr>
              <w:t>投资活动产生的现金流量净额</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(61,167,017,208)</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(47,333,795,204)</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(2,343,039,091)</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0"/>
                <w:sz w:val="16"/>
              </w:rPr>
              <w:t>(61,534,124,689)</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5" w:right="0"/>
              <w:jc w:val="left"/>
              <w:rPr>
                <w:rFonts w:ascii="宋体" w:hAnsi="宋体" w:cs="宋体" w:eastAsia="宋体" w:hint="default"/>
                <w:sz w:val="16"/>
                <w:szCs w:val="16"/>
              </w:rPr>
            </w:pPr>
            <w:r>
              <w:rPr>
                <w:rFonts w:ascii="宋体" w:hAnsi="宋体" w:cs="宋体" w:eastAsia="宋体" w:hint="default"/>
                <w:sz w:val="16"/>
                <w:szCs w:val="16"/>
              </w:rPr>
              <w:t>三、筹资活动产生的现金流量</w:t>
            </w:r>
          </w:p>
        </w:tc>
        <w:tc>
          <w:tcPr>
            <w:tcW w:w="1558" w:type="dxa"/>
            <w:tcBorders>
              <w:top w:val="nil" w:sz="6" w:space="0" w:color="auto"/>
              <w:left w:val="nil" w:sz="6" w:space="0" w:color="auto"/>
              <w:bottom w:val="nil" w:sz="6" w:space="0" w:color="auto"/>
              <w:right w:val="nil" w:sz="6" w:space="0" w:color="auto"/>
            </w:tcBorders>
            <w:shd w:val="clear" w:color="auto" w:fill="ECE7DD"/>
          </w:tcPr>
          <w:p>
            <w:pPr/>
          </w:p>
        </w:tc>
        <w:tc>
          <w:tcPr>
            <w:tcW w:w="1585" w:type="dxa"/>
            <w:tcBorders>
              <w:top w:val="nil" w:sz="6" w:space="0" w:color="auto"/>
              <w:left w:val="nil" w:sz="6" w:space="0" w:color="auto"/>
              <w:bottom w:val="nil" w:sz="6" w:space="0" w:color="auto"/>
              <w:right w:val="nil" w:sz="6" w:space="0" w:color="auto"/>
            </w:tcBorders>
          </w:tcPr>
          <w:p>
            <w:pPr/>
          </w:p>
        </w:tc>
        <w:tc>
          <w:tcPr>
            <w:tcW w:w="1363" w:type="dxa"/>
            <w:tcBorders>
              <w:top w:val="nil" w:sz="6" w:space="0" w:color="auto"/>
              <w:left w:val="nil" w:sz="6" w:space="0" w:color="auto"/>
              <w:bottom w:val="nil" w:sz="6" w:space="0" w:color="auto"/>
              <w:right w:val="nil" w:sz="6" w:space="0" w:color="auto"/>
            </w:tcBorders>
            <w:shd w:val="clear" w:color="auto" w:fill="ECE7DD"/>
          </w:tcPr>
          <w:p>
            <w:pPr/>
          </w:p>
        </w:tc>
        <w:tc>
          <w:tcPr>
            <w:tcW w:w="1474" w:type="dxa"/>
            <w:tcBorders>
              <w:top w:val="nil" w:sz="6" w:space="0" w:color="auto"/>
              <w:left w:val="nil" w:sz="6" w:space="0" w:color="auto"/>
              <w:bottom w:val="nil" w:sz="6" w:space="0" w:color="auto"/>
              <w:right w:val="nil" w:sz="6" w:space="0" w:color="auto"/>
            </w:tcBorders>
          </w:tcPr>
          <w:p>
            <w:pPr/>
          </w:p>
        </w:tc>
      </w:tr>
      <w:tr>
        <w:trPr>
          <w:trHeight w:val="275"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398" w:right="0"/>
              <w:jc w:val="left"/>
              <w:rPr>
                <w:rFonts w:ascii="宋体" w:hAnsi="宋体" w:cs="宋体" w:eastAsia="宋体" w:hint="default"/>
                <w:sz w:val="16"/>
                <w:szCs w:val="16"/>
              </w:rPr>
            </w:pPr>
            <w:r>
              <w:rPr>
                <w:rFonts w:ascii="宋体" w:hAnsi="宋体" w:cs="宋体" w:eastAsia="宋体" w:hint="default"/>
                <w:sz w:val="16"/>
                <w:szCs w:val="16"/>
              </w:rPr>
              <w:t>吸收投资收到的现金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09"/>
              <w:jc w:val="right"/>
              <w:rPr>
                <w:rFonts w:ascii="宋体" w:hAnsi="宋体" w:cs="宋体" w:eastAsia="宋体" w:hint="default"/>
                <w:sz w:val="16"/>
                <w:szCs w:val="16"/>
              </w:rPr>
            </w:pPr>
            <w:r>
              <w:rPr>
                <w:rFonts w:ascii="宋体"/>
                <w:w w:val="95"/>
                <w:sz w:val="16"/>
              </w:rPr>
              <w:t>3,016,033,190</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9"/>
              <w:jc w:val="right"/>
              <w:rPr>
                <w:rFonts w:ascii="宋体" w:hAnsi="宋体" w:cs="宋体" w:eastAsia="宋体" w:hint="default"/>
                <w:sz w:val="16"/>
                <w:szCs w:val="16"/>
              </w:rPr>
            </w:pPr>
            <w:r>
              <w:rPr>
                <w:rFonts w:ascii="宋体"/>
                <w:w w:val="95"/>
                <w:sz w:val="16"/>
              </w:rPr>
              <w:t>74,959,869,733</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09"/>
              <w:jc w:val="right"/>
              <w:rPr>
                <w:rFonts w:ascii="宋体" w:hAnsi="宋体" w:cs="宋体" w:eastAsia="宋体" w:hint="default"/>
                <w:sz w:val="16"/>
                <w:szCs w:val="16"/>
              </w:rPr>
            </w:pPr>
            <w:r>
              <w:rPr>
                <w:rFonts w:ascii="宋体"/>
                <w:w w:val="95"/>
                <w:sz w:val="16"/>
              </w:rPr>
              <w:t>3,008,733,190</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9"/>
              <w:jc w:val="right"/>
              <w:rPr>
                <w:rFonts w:ascii="宋体" w:hAnsi="宋体" w:cs="宋体" w:eastAsia="宋体" w:hint="default"/>
                <w:sz w:val="16"/>
                <w:szCs w:val="16"/>
              </w:rPr>
            </w:pPr>
            <w:r>
              <w:rPr>
                <w:rFonts w:ascii="宋体"/>
                <w:w w:val="95"/>
                <w:sz w:val="16"/>
              </w:rPr>
              <w:t>61,540,129,814</w:t>
            </w:r>
            <w:r>
              <w:rPr>
                <w:rFonts w:ascii="宋体"/>
                <w:sz w:val="16"/>
              </w:rPr>
            </w:r>
          </w:p>
        </w:tc>
      </w:tr>
      <w:tr>
        <w:trPr>
          <w:trHeight w:val="473"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00" w:lineRule="exact" w:before="40"/>
              <w:ind w:left="398" w:right="842"/>
              <w:jc w:val="left"/>
              <w:rPr>
                <w:rFonts w:ascii="宋体" w:hAnsi="宋体" w:cs="宋体" w:eastAsia="宋体" w:hint="default"/>
                <w:sz w:val="16"/>
                <w:szCs w:val="16"/>
              </w:rPr>
            </w:pPr>
            <w:r>
              <w:rPr>
                <w:rFonts w:ascii="宋体" w:hAnsi="宋体" w:cs="宋体" w:eastAsia="宋体" w:hint="default"/>
                <w:sz w:val="16"/>
                <w:szCs w:val="16"/>
              </w:rPr>
              <w:t>其中：子公司吸收少数股东投资收 到的现金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13"/>
              <w:ind w:right="109"/>
              <w:jc w:val="right"/>
              <w:rPr>
                <w:rFonts w:ascii="宋体" w:hAnsi="宋体" w:cs="宋体" w:eastAsia="宋体" w:hint="default"/>
                <w:sz w:val="16"/>
                <w:szCs w:val="16"/>
              </w:rPr>
            </w:pPr>
            <w:r>
              <w:rPr>
                <w:rFonts w:ascii="宋体"/>
                <w:w w:val="95"/>
                <w:sz w:val="16"/>
              </w:rPr>
              <w:t>7,300,000</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9"/>
              <w:jc w:val="right"/>
              <w:rPr>
                <w:rFonts w:ascii="宋体" w:hAnsi="宋体" w:cs="宋体" w:eastAsia="宋体" w:hint="default"/>
                <w:sz w:val="16"/>
                <w:szCs w:val="16"/>
              </w:rPr>
            </w:pPr>
            <w:r>
              <w:rPr>
                <w:rFonts w:ascii="宋体"/>
                <w:w w:val="95"/>
                <w:sz w:val="16"/>
              </w:rPr>
              <w:t>13,419,739,919</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13"/>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13"/>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8" w:right="0"/>
              <w:jc w:val="left"/>
              <w:rPr>
                <w:rFonts w:ascii="宋体" w:hAnsi="宋体" w:cs="宋体" w:eastAsia="宋体" w:hint="default"/>
                <w:sz w:val="16"/>
                <w:szCs w:val="16"/>
              </w:rPr>
            </w:pPr>
            <w:r>
              <w:rPr>
                <w:rFonts w:ascii="宋体" w:hAnsi="宋体" w:cs="宋体" w:eastAsia="宋体" w:hint="default"/>
                <w:sz w:val="16"/>
                <w:szCs w:val="16"/>
              </w:rPr>
              <w:t>取得借款收到的现金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53,287,325,382</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151,749,170,627</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87" w:val="left" w:leader="none"/>
              </w:tabs>
              <w:spacing w:line="240" w:lineRule="auto" w:before="13"/>
              <w:ind w:right="88"/>
              <w:jc w:val="right"/>
              <w:rPr>
                <w:rFonts w:ascii="宋体" w:hAnsi="宋体" w:cs="宋体" w:eastAsia="宋体" w:hint="default"/>
                <w:sz w:val="16"/>
                <w:szCs w:val="16"/>
              </w:rPr>
            </w:pPr>
            <w:r>
              <w:rPr>
                <w:rFonts w:ascii="宋体" w:hAnsi="宋体" w:cs="宋体" w:eastAsia="宋体" w:hint="default"/>
                <w:sz w:val="16"/>
                <w:szCs w:val="16"/>
              </w:rPr>
              <w:t>收到其他与筹资活动有关的现金</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(50)</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2,233,338,088</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95"/>
                <w:sz w:val="16"/>
              </w:rPr>
              <w:t>12,303,722</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39" w:right="0"/>
              <w:jc w:val="left"/>
              <w:rPr>
                <w:rFonts w:ascii="宋体" w:hAnsi="宋体" w:cs="宋体" w:eastAsia="宋体" w:hint="default"/>
                <w:sz w:val="16"/>
                <w:szCs w:val="16"/>
              </w:rPr>
            </w:pPr>
            <w:r>
              <w:rPr>
                <w:rFonts w:ascii="宋体" w:hAnsi="宋体" w:cs="宋体" w:eastAsia="宋体" w:hint="default"/>
                <w:sz w:val="16"/>
                <w:szCs w:val="16"/>
              </w:rPr>
              <w:t>筹资活动现金流入小计</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58,536,696,660</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226,721,344,082</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3,008,733,190</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61,540,129,814</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8" w:right="0"/>
              <w:jc w:val="left"/>
              <w:rPr>
                <w:rFonts w:ascii="宋体" w:hAnsi="宋体" w:cs="宋体" w:eastAsia="宋体" w:hint="default"/>
                <w:sz w:val="16"/>
                <w:szCs w:val="16"/>
              </w:rPr>
            </w:pPr>
            <w:r>
              <w:rPr>
                <w:rFonts w:ascii="宋体" w:hAnsi="宋体" w:cs="宋体" w:eastAsia="宋体" w:hint="default"/>
                <w:sz w:val="16"/>
                <w:szCs w:val="16"/>
              </w:rPr>
              <w:t>偿还债务支付的现金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(90,468,088,413)</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(254,398,276,451)</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9" w:right="0"/>
              <w:jc w:val="left"/>
              <w:rPr>
                <w:rFonts w:ascii="宋体" w:hAnsi="宋体" w:cs="宋体" w:eastAsia="宋体" w:hint="default"/>
                <w:sz w:val="16"/>
                <w:szCs w:val="16"/>
              </w:rPr>
            </w:pPr>
            <w:r>
              <w:rPr>
                <w:rFonts w:ascii="宋体" w:hAnsi="宋体" w:cs="宋体" w:eastAsia="宋体" w:hint="default"/>
                <w:sz w:val="16"/>
                <w:szCs w:val="16"/>
              </w:rPr>
              <w:t>分配股利或偿付利息所支付的现金</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(3,938,559,553)</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(6,293,369,284)</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(614,350,671)</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9"/>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87" w:val="left" w:leader="none"/>
              </w:tabs>
              <w:spacing w:line="240" w:lineRule="auto" w:before="13"/>
              <w:ind w:right="88"/>
              <w:jc w:val="right"/>
              <w:rPr>
                <w:rFonts w:ascii="宋体" w:hAnsi="宋体" w:cs="宋体" w:eastAsia="宋体" w:hint="default"/>
                <w:sz w:val="16"/>
                <w:szCs w:val="16"/>
              </w:rPr>
            </w:pPr>
            <w:r>
              <w:rPr>
                <w:rFonts w:ascii="宋体" w:hAnsi="宋体" w:cs="宋体" w:eastAsia="宋体" w:hint="default"/>
                <w:sz w:val="16"/>
                <w:szCs w:val="16"/>
              </w:rPr>
              <w:t>支付其他与筹资活动有关的现金</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(50)</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(679,820,599)</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(695,146,771)</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131"/>
                <w:sz w:val="16"/>
              </w:rPr>
              <w:t>-</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739" w:right="0"/>
              <w:jc w:val="left"/>
              <w:rPr>
                <w:rFonts w:ascii="宋体" w:hAnsi="宋体" w:cs="宋体" w:eastAsia="宋体" w:hint="default"/>
                <w:sz w:val="16"/>
                <w:szCs w:val="16"/>
              </w:rPr>
            </w:pPr>
            <w:r>
              <w:rPr>
                <w:rFonts w:ascii="宋体" w:hAnsi="宋体" w:cs="宋体" w:eastAsia="宋体" w:hint="default"/>
                <w:sz w:val="16"/>
                <w:szCs w:val="16"/>
              </w:rPr>
              <w:t>筹资活动现金流出小计</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(95,086,468,565)</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(261,386,792,506)</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(614,350,671)</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3"/>
              <w:ind w:left="399" w:right="0"/>
              <w:jc w:val="left"/>
              <w:rPr>
                <w:rFonts w:ascii="宋体" w:hAnsi="宋体" w:cs="宋体" w:eastAsia="宋体" w:hint="default"/>
                <w:sz w:val="16"/>
                <w:szCs w:val="16"/>
              </w:rPr>
            </w:pPr>
            <w:r>
              <w:rPr>
                <w:rFonts w:ascii="宋体" w:hAnsi="宋体" w:cs="宋体" w:eastAsia="宋体" w:hint="default"/>
                <w:sz w:val="16"/>
                <w:szCs w:val="16"/>
              </w:rPr>
              <w:t>筹资活动产生的现金流量净额</w:t>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(36,549,771,905)</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0"/>
                <w:sz w:val="16"/>
              </w:rPr>
              <w:t>(34,665,448,424)</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2,394,382,519</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8"/>
              <w:jc w:val="right"/>
              <w:rPr>
                <w:rFonts w:ascii="宋体" w:hAnsi="宋体" w:cs="宋体" w:eastAsia="宋体" w:hint="default"/>
                <w:sz w:val="16"/>
                <w:szCs w:val="16"/>
              </w:rPr>
            </w:pPr>
            <w:r>
              <w:rPr>
                <w:rFonts w:ascii="宋体"/>
                <w:w w:val="95"/>
                <w:sz w:val="16"/>
              </w:rPr>
              <w:t>61,540,129,814</w:t>
            </w:r>
            <w:r>
              <w:rPr>
                <w:rFonts w:ascii="宋体"/>
                <w:sz w:val="16"/>
              </w:rPr>
            </w:r>
          </w:p>
        </w:tc>
      </w:tr>
      <w:tr>
        <w:trPr>
          <w:trHeight w:val="274" w:hRule="exact"/>
        </w:trPr>
        <w:tc>
          <w:tcPr>
            <w:tcW w:w="3643" w:type="dxa"/>
            <w:tcBorders>
              <w:top w:val="nil" w:sz="6" w:space="0" w:color="auto"/>
              <w:left w:val="nil" w:sz="6" w:space="0" w:color="auto"/>
              <w:bottom w:val="nil" w:sz="6" w:space="0" w:color="auto"/>
              <w:right w:val="nil" w:sz="6" w:space="0" w:color="auto"/>
            </w:tcBorders>
          </w:tcPr>
          <w:p>
            <w:pPr>
              <w:pStyle w:val="TableParagraph"/>
              <w:spacing w:line="240" w:lineRule="auto" w:before="14"/>
              <w:ind w:left="116" w:right="0"/>
              <w:jc w:val="left"/>
              <w:rPr>
                <w:rFonts w:ascii="宋体" w:hAnsi="宋体" w:cs="宋体" w:eastAsia="宋体" w:hint="default"/>
                <w:sz w:val="16"/>
                <w:szCs w:val="16"/>
              </w:rPr>
            </w:pPr>
            <w:r>
              <w:rPr>
                <w:rFonts w:ascii="宋体" w:hAnsi="宋体" w:cs="宋体" w:eastAsia="宋体" w:hint="default"/>
                <w:spacing w:val="-10"/>
                <w:sz w:val="16"/>
                <w:szCs w:val="16"/>
              </w:rPr>
              <w:t>四、汇率变动对现金及现金等价物的影响</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08"/>
              <w:jc w:val="right"/>
              <w:rPr>
                <w:rFonts w:ascii="宋体" w:hAnsi="宋体" w:cs="宋体" w:eastAsia="宋体" w:hint="default"/>
                <w:sz w:val="16"/>
                <w:szCs w:val="16"/>
              </w:rPr>
            </w:pPr>
            <w:r>
              <w:rPr>
                <w:rFonts w:ascii="宋体"/>
                <w:w w:val="95"/>
                <w:sz w:val="16"/>
              </w:rPr>
              <w:t>74,144,829</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宋体" w:hAnsi="宋体" w:cs="宋体" w:eastAsia="宋体" w:hint="default"/>
                <w:sz w:val="16"/>
                <w:szCs w:val="16"/>
              </w:rPr>
            </w:pPr>
            <w:r>
              <w:rPr>
                <w:rFonts w:ascii="宋体"/>
                <w:w w:val="90"/>
                <w:sz w:val="16"/>
              </w:rPr>
              <w:t>(101,412,747)</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08"/>
              <w:jc w:val="right"/>
              <w:rPr>
                <w:rFonts w:ascii="宋体" w:hAnsi="宋体" w:cs="宋体" w:eastAsia="宋体" w:hint="default"/>
                <w:sz w:val="16"/>
                <w:szCs w:val="16"/>
              </w:rPr>
            </w:pPr>
            <w:r>
              <w:rPr>
                <w:rFonts w:ascii="宋体"/>
                <w:w w:val="131"/>
                <w:sz w:val="16"/>
              </w:rPr>
              <w:t>-</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宋体" w:hAnsi="宋体" w:cs="宋体" w:eastAsia="宋体" w:hint="default"/>
                <w:sz w:val="16"/>
                <w:szCs w:val="16"/>
              </w:rPr>
            </w:pPr>
            <w:r>
              <w:rPr>
                <w:rFonts w:ascii="宋体"/>
                <w:w w:val="131"/>
                <w:sz w:val="16"/>
              </w:rPr>
              <w:t>-</w:t>
            </w:r>
            <w:r>
              <w:rPr>
                <w:rFonts w:ascii="宋体"/>
                <w:sz w:val="16"/>
              </w:rPr>
            </w:r>
          </w:p>
        </w:tc>
      </w:tr>
      <w:tr>
        <w:trPr>
          <w:trHeight w:val="275"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3086" w:val="left" w:leader="none"/>
              </w:tabs>
              <w:spacing w:line="240" w:lineRule="auto" w:before="14"/>
              <w:ind w:left="116" w:right="0"/>
              <w:jc w:val="left"/>
              <w:rPr>
                <w:rFonts w:ascii="宋体" w:hAnsi="宋体" w:cs="宋体" w:eastAsia="宋体" w:hint="default"/>
                <w:sz w:val="16"/>
                <w:szCs w:val="16"/>
              </w:rPr>
            </w:pPr>
            <w:r>
              <w:rPr>
                <w:rFonts w:ascii="宋体" w:hAnsi="宋体" w:cs="宋体" w:eastAsia="宋体" w:hint="default"/>
                <w:spacing w:val="-14"/>
                <w:sz w:val="16"/>
                <w:szCs w:val="16"/>
              </w:rPr>
              <w:t>五、现金及现金等价物净（减少）/</w:t>
            </w:r>
            <w:r>
              <w:rPr>
                <w:rFonts w:ascii="宋体" w:hAnsi="宋体" w:cs="宋体" w:eastAsia="宋体" w:hint="default"/>
                <w:spacing w:val="-59"/>
                <w:sz w:val="16"/>
                <w:szCs w:val="16"/>
              </w:rPr>
              <w:t> </w:t>
            </w:r>
            <w:r>
              <w:rPr>
                <w:rFonts w:ascii="宋体" w:hAnsi="宋体" w:cs="宋体" w:eastAsia="宋体" w:hint="default"/>
                <w:spacing w:val="-9"/>
                <w:sz w:val="16"/>
                <w:szCs w:val="16"/>
              </w:rPr>
              <w:t>增加额</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(51)</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08"/>
              <w:jc w:val="right"/>
              <w:rPr>
                <w:rFonts w:ascii="宋体" w:hAnsi="宋体" w:cs="宋体" w:eastAsia="宋体" w:hint="default"/>
                <w:sz w:val="16"/>
                <w:szCs w:val="16"/>
              </w:rPr>
            </w:pPr>
            <w:r>
              <w:rPr>
                <w:rFonts w:ascii="宋体"/>
                <w:w w:val="90"/>
                <w:sz w:val="16"/>
              </w:rPr>
              <w:t>(2,812,918,937)</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宋体" w:hAnsi="宋体" w:cs="宋体" w:eastAsia="宋体" w:hint="default"/>
                <w:sz w:val="16"/>
                <w:szCs w:val="16"/>
              </w:rPr>
            </w:pPr>
            <w:r>
              <w:rPr>
                <w:rFonts w:ascii="宋体"/>
                <w:w w:val="95"/>
                <w:sz w:val="16"/>
              </w:rPr>
              <w:t>9,234,715,654</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4"/>
              <w:ind w:right="108"/>
              <w:jc w:val="right"/>
              <w:rPr>
                <w:rFonts w:ascii="宋体" w:hAnsi="宋体" w:cs="宋体" w:eastAsia="宋体" w:hint="default"/>
                <w:sz w:val="16"/>
                <w:szCs w:val="16"/>
              </w:rPr>
            </w:pPr>
            <w:r>
              <w:rPr>
                <w:rFonts w:ascii="宋体"/>
                <w:w w:val="95"/>
                <w:sz w:val="16"/>
              </w:rPr>
              <w:t>83,502,614</w:t>
            </w:r>
            <w:r>
              <w:rPr>
                <w:rFonts w:ascii="宋体"/>
                <w:sz w:val="16"/>
              </w:rPr>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4"/>
              <w:ind w:right="108"/>
              <w:jc w:val="right"/>
              <w:rPr>
                <w:rFonts w:ascii="宋体" w:hAnsi="宋体" w:cs="宋体" w:eastAsia="宋体" w:hint="default"/>
                <w:sz w:val="16"/>
                <w:szCs w:val="16"/>
              </w:rPr>
            </w:pPr>
            <w:r>
              <w:rPr>
                <w:rFonts w:ascii="宋体"/>
                <w:w w:val="90"/>
                <w:sz w:val="16"/>
              </w:rPr>
              <w:t>(5,558,167)</w:t>
            </w:r>
            <w:r>
              <w:rPr>
                <w:rFonts w:ascii="宋体"/>
                <w:sz w:val="16"/>
              </w:rPr>
            </w:r>
          </w:p>
        </w:tc>
      </w:tr>
      <w:tr>
        <w:trPr>
          <w:trHeight w:val="273" w:hRule="exact"/>
        </w:trPr>
        <w:tc>
          <w:tcPr>
            <w:tcW w:w="3643" w:type="dxa"/>
            <w:tcBorders>
              <w:top w:val="nil" w:sz="6" w:space="0" w:color="auto"/>
              <w:left w:val="nil" w:sz="6" w:space="0" w:color="auto"/>
              <w:bottom w:val="nil" w:sz="6" w:space="0" w:color="auto"/>
              <w:right w:val="nil" w:sz="6" w:space="0" w:color="auto"/>
            </w:tcBorders>
          </w:tcPr>
          <w:p>
            <w:pPr>
              <w:pStyle w:val="TableParagraph"/>
              <w:tabs>
                <w:tab w:pos="2687" w:val="left" w:leader="none"/>
              </w:tabs>
              <w:spacing w:line="240" w:lineRule="auto" w:before="13"/>
              <w:ind w:right="87"/>
              <w:jc w:val="right"/>
              <w:rPr>
                <w:rFonts w:ascii="宋体" w:hAnsi="宋体" w:cs="宋体" w:eastAsia="宋体" w:hint="default"/>
                <w:sz w:val="16"/>
                <w:szCs w:val="16"/>
              </w:rPr>
            </w:pPr>
            <w:r>
              <w:rPr>
                <w:rFonts w:ascii="宋体" w:hAnsi="宋体" w:cs="宋体" w:eastAsia="宋体" w:hint="default"/>
                <w:sz w:val="16"/>
                <w:szCs w:val="16"/>
              </w:rPr>
              <w:t>加：年初现金及现金等价物余额</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(51)</w:t>
            </w:r>
            <w:r>
              <w:rPr>
                <w:rFonts w:ascii="宋体" w:hAnsi="宋体" w:cs="宋体" w:eastAsia="宋体" w:hint="default"/>
                <w:sz w:val="16"/>
                <w:szCs w:val="16"/>
              </w:rPr>
            </w:r>
          </w:p>
        </w:tc>
        <w:tc>
          <w:tcPr>
            <w:tcW w:w="15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9"/>
              <w:jc w:val="right"/>
              <w:rPr>
                <w:rFonts w:ascii="宋体" w:hAnsi="宋体" w:cs="宋体" w:eastAsia="宋体" w:hint="default"/>
                <w:sz w:val="16"/>
                <w:szCs w:val="16"/>
              </w:rPr>
            </w:pPr>
            <w:r>
              <w:rPr>
                <w:rFonts w:ascii="宋体"/>
                <w:w w:val="95"/>
                <w:sz w:val="16"/>
              </w:rPr>
              <w:t>32,875,825,419</w:t>
            </w:r>
            <w:r>
              <w:rPr>
                <w:rFonts w:ascii="宋体"/>
                <w:sz w:val="16"/>
              </w:rPr>
            </w:r>
          </w:p>
        </w:tc>
        <w:tc>
          <w:tcPr>
            <w:tcW w:w="1585"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16"/>
                <w:szCs w:val="16"/>
              </w:rPr>
            </w:pPr>
            <w:r>
              <w:rPr>
                <w:rFonts w:ascii="宋体"/>
                <w:w w:val="95"/>
                <w:sz w:val="16"/>
              </w:rPr>
              <w:t>23,641,109,765</w:t>
            </w:r>
            <w:r>
              <w:rPr>
                <w:rFonts w:ascii="宋体"/>
                <w:sz w:val="16"/>
              </w:rPr>
            </w:r>
          </w:p>
        </w:tc>
        <w:tc>
          <w:tcPr>
            <w:tcW w:w="136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13"/>
              <w:ind w:right="108"/>
              <w:jc w:val="right"/>
              <w:rPr>
                <w:rFonts w:ascii="宋体" w:hAnsi="宋体" w:cs="宋体" w:eastAsia="宋体" w:hint="default"/>
                <w:sz w:val="16"/>
                <w:szCs w:val="16"/>
              </w:rPr>
            </w:pPr>
            <w:r>
              <w:rPr>
                <w:rFonts w:ascii="宋体"/>
                <w:sz w:val="16"/>
              </w:rPr>
              <w:t>183,142,610</w:t>
            </w:r>
          </w:p>
        </w:tc>
        <w:tc>
          <w:tcPr>
            <w:tcW w:w="1474" w:type="dxa"/>
            <w:tcBorders>
              <w:top w:val="nil" w:sz="6" w:space="0" w:color="auto"/>
              <w:left w:val="nil" w:sz="6" w:space="0" w:color="auto"/>
              <w:bottom w:val="nil" w:sz="6" w:space="0" w:color="auto"/>
              <w:right w:val="nil" w:sz="6" w:space="0" w:color="auto"/>
            </w:tcBorders>
          </w:tcPr>
          <w:p>
            <w:pPr>
              <w:pStyle w:val="TableParagraph"/>
              <w:spacing w:line="240" w:lineRule="auto" w:before="13"/>
              <w:ind w:right="107"/>
              <w:jc w:val="right"/>
              <w:rPr>
                <w:rFonts w:ascii="宋体" w:hAnsi="宋体" w:cs="宋体" w:eastAsia="宋体" w:hint="default"/>
                <w:sz w:val="16"/>
                <w:szCs w:val="16"/>
              </w:rPr>
            </w:pPr>
            <w:r>
              <w:rPr>
                <w:rFonts w:ascii="宋体"/>
                <w:sz w:val="16"/>
              </w:rPr>
              <w:t>188,700,777</w:t>
            </w:r>
          </w:p>
        </w:tc>
      </w:tr>
      <w:tr>
        <w:trPr>
          <w:trHeight w:val="339" w:hRule="exact"/>
        </w:trPr>
        <w:tc>
          <w:tcPr>
            <w:tcW w:w="3643" w:type="dxa"/>
            <w:tcBorders>
              <w:top w:val="nil" w:sz="6" w:space="0" w:color="auto"/>
              <w:left w:val="nil" w:sz="6" w:space="0" w:color="auto"/>
              <w:bottom w:val="single" w:sz="16" w:space="0" w:color="9F8958"/>
              <w:right w:val="nil" w:sz="6" w:space="0" w:color="auto"/>
            </w:tcBorders>
          </w:tcPr>
          <w:p>
            <w:pPr>
              <w:pStyle w:val="TableParagraph"/>
              <w:tabs>
                <w:tab w:pos="3087" w:val="left" w:leader="none"/>
              </w:tabs>
              <w:spacing w:line="240" w:lineRule="auto" w:before="14"/>
              <w:ind w:left="116" w:right="0"/>
              <w:jc w:val="left"/>
              <w:rPr>
                <w:rFonts w:ascii="宋体" w:hAnsi="宋体" w:cs="宋体" w:eastAsia="宋体" w:hint="default"/>
                <w:sz w:val="16"/>
                <w:szCs w:val="16"/>
              </w:rPr>
            </w:pPr>
            <w:r>
              <w:rPr>
                <w:rFonts w:ascii="宋体" w:hAnsi="宋体" w:cs="宋体" w:eastAsia="宋体" w:hint="default"/>
                <w:spacing w:val="-10"/>
                <w:sz w:val="16"/>
                <w:szCs w:val="16"/>
              </w:rPr>
              <w:t>六、年末现金及现金等价物余额</w:t>
              <w:tab/>
            </w: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(51)</w:t>
            </w:r>
            <w:r>
              <w:rPr>
                <w:rFonts w:ascii="宋体" w:hAnsi="宋体" w:cs="宋体" w:eastAsia="宋体" w:hint="default"/>
                <w:sz w:val="16"/>
                <w:szCs w:val="16"/>
              </w:rPr>
            </w:r>
          </w:p>
        </w:tc>
        <w:tc>
          <w:tcPr>
            <w:tcW w:w="155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14"/>
              <w:ind w:right="107"/>
              <w:jc w:val="right"/>
              <w:rPr>
                <w:rFonts w:ascii="宋体" w:hAnsi="宋体" w:cs="宋体" w:eastAsia="宋体" w:hint="default"/>
                <w:sz w:val="16"/>
                <w:szCs w:val="16"/>
              </w:rPr>
            </w:pPr>
            <w:r>
              <w:rPr>
                <w:rFonts w:ascii="宋体"/>
                <w:w w:val="95"/>
                <w:sz w:val="16"/>
              </w:rPr>
              <w:t>30,062,906,482</w:t>
            </w:r>
            <w:r>
              <w:rPr>
                <w:rFonts w:ascii="宋体"/>
                <w:sz w:val="16"/>
              </w:rPr>
            </w:r>
          </w:p>
        </w:tc>
        <w:tc>
          <w:tcPr>
            <w:tcW w:w="1585" w:type="dxa"/>
            <w:tcBorders>
              <w:top w:val="nil" w:sz="6" w:space="0" w:color="auto"/>
              <w:left w:val="nil" w:sz="6" w:space="0" w:color="auto"/>
              <w:bottom w:val="single" w:sz="16" w:space="0" w:color="9F8958"/>
              <w:right w:val="nil" w:sz="6" w:space="0" w:color="auto"/>
            </w:tcBorders>
          </w:tcPr>
          <w:p>
            <w:pPr>
              <w:pStyle w:val="TableParagraph"/>
              <w:spacing w:line="240" w:lineRule="auto" w:before="14"/>
              <w:ind w:right="107"/>
              <w:jc w:val="right"/>
              <w:rPr>
                <w:rFonts w:ascii="宋体" w:hAnsi="宋体" w:cs="宋体" w:eastAsia="宋体" w:hint="default"/>
                <w:sz w:val="16"/>
                <w:szCs w:val="16"/>
              </w:rPr>
            </w:pPr>
            <w:r>
              <w:rPr>
                <w:rFonts w:ascii="宋体"/>
                <w:w w:val="95"/>
                <w:sz w:val="16"/>
              </w:rPr>
              <w:t>32,875,825,419</w:t>
            </w:r>
            <w:r>
              <w:rPr>
                <w:rFonts w:ascii="宋体"/>
                <w:sz w:val="16"/>
              </w:rPr>
            </w:r>
          </w:p>
        </w:tc>
        <w:tc>
          <w:tcPr>
            <w:tcW w:w="1363"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14"/>
              <w:ind w:right="107"/>
              <w:jc w:val="right"/>
              <w:rPr>
                <w:rFonts w:ascii="宋体" w:hAnsi="宋体" w:cs="宋体" w:eastAsia="宋体" w:hint="default"/>
                <w:sz w:val="16"/>
                <w:szCs w:val="16"/>
              </w:rPr>
            </w:pPr>
            <w:r>
              <w:rPr>
                <w:rFonts w:ascii="宋体"/>
                <w:sz w:val="16"/>
              </w:rPr>
              <w:t>266,645,224</w:t>
            </w:r>
          </w:p>
        </w:tc>
        <w:tc>
          <w:tcPr>
            <w:tcW w:w="1474" w:type="dxa"/>
            <w:tcBorders>
              <w:top w:val="nil" w:sz="6" w:space="0" w:color="auto"/>
              <w:left w:val="nil" w:sz="6" w:space="0" w:color="auto"/>
              <w:bottom w:val="single" w:sz="16" w:space="0" w:color="9F8958"/>
              <w:right w:val="nil" w:sz="6" w:space="0" w:color="auto"/>
            </w:tcBorders>
          </w:tcPr>
          <w:p>
            <w:pPr>
              <w:pStyle w:val="TableParagraph"/>
              <w:spacing w:line="240" w:lineRule="auto" w:before="14"/>
              <w:ind w:right="107"/>
              <w:jc w:val="right"/>
              <w:rPr>
                <w:rFonts w:ascii="宋体" w:hAnsi="宋体" w:cs="宋体" w:eastAsia="宋体" w:hint="default"/>
                <w:sz w:val="16"/>
                <w:szCs w:val="16"/>
              </w:rPr>
            </w:pPr>
            <w:r>
              <w:rPr>
                <w:rFonts w:ascii="宋体"/>
                <w:sz w:val="16"/>
              </w:rPr>
              <w:t>183,142,610</w:t>
            </w:r>
          </w:p>
        </w:tc>
      </w:tr>
    </w:tbl>
    <w:p>
      <w:pPr>
        <w:tabs>
          <w:tab w:pos="3034" w:val="left" w:leader="none"/>
          <w:tab w:pos="3771" w:val="left" w:leader="none"/>
          <w:tab w:pos="5329" w:val="left" w:leader="none"/>
          <w:tab w:pos="6914" w:val="left" w:leader="none"/>
          <w:tab w:pos="8286" w:val="right" w:leader="none"/>
        </w:tabs>
        <w:spacing w:line="18" w:lineRule="exact" w:before="0"/>
        <w:ind w:left="127" w:right="0" w:firstLine="0"/>
        <w:jc w:val="left"/>
        <w:rPr>
          <w:rFonts w:ascii="宋体" w:hAnsi="宋体" w:cs="宋体" w:eastAsia="宋体" w:hint="default"/>
          <w:sz w:val="2"/>
          <w:szCs w:val="2"/>
        </w:rPr>
      </w:pPr>
      <w:r>
        <w:rPr>
          <w:rFonts w:ascii="宋体" w:hAnsi="宋体" w:cs="宋体" w:eastAsia="宋体" w:hint="default"/>
          <w:color w:val="9F8958"/>
          <w:sz w:val="2"/>
          <w:szCs w:val="2"/>
        </w:rPr>
        <w:t>六</w:t>
        <w:tab/>
        <w:t>五</w:t>
        <w:tab/>
      </w:r>
      <w:r>
        <w:rPr>
          <w:rFonts w:ascii="宋体" w:hAnsi="宋体" w:cs="宋体" w:eastAsia="宋体" w:hint="default"/>
          <w:color w:val="9F8958"/>
          <w:w w:val="90"/>
          <w:sz w:val="2"/>
          <w:szCs w:val="2"/>
        </w:rPr>
        <w:t>3</w:t>
        <w:tab/>
        <w:t>2</w:t>
        <w:tab/>
        <w:t>18</w:t>
      </w:r>
      <w:r>
        <w:rPr>
          <w:rFonts w:ascii="Times New Roman" w:hAnsi="Times New Roman" w:cs="Times New Roman" w:eastAsia="Times New Roman" w:hint="default"/>
          <w:color w:val="9F8958"/>
          <w:w w:val="90"/>
          <w:sz w:val="2"/>
          <w:szCs w:val="2"/>
        </w:rPr>
        <w:tab/>
      </w:r>
      <w:r>
        <w:rPr>
          <w:rFonts w:ascii="宋体" w:hAnsi="宋体" w:cs="宋体" w:eastAsia="宋体" w:hint="default"/>
          <w:color w:val="9F8958"/>
          <w:sz w:val="2"/>
          <w:szCs w:val="2"/>
        </w:rPr>
        <w:t>1</w:t>
      </w:r>
      <w:r>
        <w:rPr>
          <w:rFonts w:ascii="宋体" w:hAnsi="宋体" w:cs="宋体" w:eastAsia="宋体" w:hint="default"/>
          <w:sz w:val="2"/>
          <w:szCs w:val="2"/>
        </w:rPr>
      </w:r>
    </w:p>
    <w:p>
      <w:pPr>
        <w:pStyle w:val="BodyText"/>
        <w:spacing w:line="240" w:lineRule="auto" w:before="57"/>
        <w:ind w:left="127" w:right="0"/>
        <w:jc w:val="left"/>
      </w:pPr>
      <w:r>
        <w:rPr/>
        <w:t>后附财务报表附注为财务报表的组成部分。</w:t>
      </w:r>
    </w:p>
    <w:p>
      <w:pPr>
        <w:pStyle w:val="BodyText"/>
        <w:tabs>
          <w:tab w:pos="3035" w:val="left" w:leader="none"/>
          <w:tab w:pos="6635" w:val="left" w:leader="none"/>
        </w:tabs>
        <w:spacing w:line="240" w:lineRule="auto" w:before="234"/>
        <w:ind w:left="127" w:right="0"/>
        <w:jc w:val="left"/>
      </w:pPr>
      <w:r>
        <w:rPr/>
        <w:t>董事长：王晓初</w:t>
        <w:tab/>
        <w:t>财务负责人：姜爱华</w:t>
        <w:tab/>
        <w:t>财务部总经理：王芳</w:t>
      </w:r>
    </w:p>
    <w:p>
      <w:pPr>
        <w:spacing w:after="0" w:line="240" w:lineRule="auto"/>
        <w:jc w:val="left"/>
        <w:sectPr>
          <w:headerReference w:type="even" r:id="rId263"/>
          <w:footerReference w:type="even" r:id="rId264"/>
          <w:pgSz w:w="11910" w:h="16160"/>
          <w:pgMar w:header="0" w:footer="321" w:top="1100" w:bottom="520" w:left="680" w:right="1320"/>
        </w:sectPr>
      </w:pPr>
    </w:p>
    <w:p>
      <w:pPr>
        <w:pStyle w:val="Heading3"/>
        <w:spacing w:line="485" w:lineRule="exact"/>
        <w:ind w:left="137" w:right="0"/>
        <w:jc w:val="left"/>
        <w:rPr>
          <w:rFonts w:ascii="宋体" w:hAnsi="宋体" w:cs="宋体" w:eastAsia="宋体" w:hint="default"/>
        </w:rPr>
      </w:pPr>
      <w:r>
        <w:rPr>
          <w:rFonts w:ascii="宋体" w:hAnsi="宋体" w:cs="宋体" w:eastAsia="宋体" w:hint="default"/>
          <w:color w:val="9F8958"/>
        </w:rPr>
        <w:t>股东权益变动表</w:t>
      </w:r>
      <w:r>
        <w:rPr>
          <w:rFonts w:ascii="宋体" w:hAnsi="宋体" w:cs="宋体" w:eastAsia="宋体" w:hint="default"/>
        </w:rPr>
      </w:r>
    </w:p>
    <w:p>
      <w:pPr>
        <w:spacing w:line="201" w:lineRule="exact" w:before="103"/>
        <w:ind w:left="137" w:right="0"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年度合并股东权益变动表</w:t>
      </w:r>
    </w:p>
    <w:p>
      <w:pPr>
        <w:spacing w:line="201" w:lineRule="exact" w:before="0"/>
        <w:ind w:left="137" w:right="0"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2"/>
        <w:rPr>
          <w:rFonts w:ascii="宋体" w:hAnsi="宋体" w:cs="宋体" w:eastAsia="宋体" w:hint="default"/>
          <w:sz w:val="11"/>
          <w:szCs w:val="11"/>
        </w:rPr>
      </w:pPr>
    </w:p>
    <w:p>
      <w:pPr>
        <w:spacing w:before="0"/>
        <w:ind w:left="6453" w:right="5663" w:firstLine="0"/>
        <w:jc w:val="center"/>
        <w:rPr>
          <w:rFonts w:ascii="宋体" w:hAnsi="宋体" w:cs="宋体" w:eastAsia="宋体" w:hint="default"/>
          <w:sz w:val="14"/>
          <w:szCs w:val="14"/>
        </w:rPr>
      </w:pPr>
      <w:r>
        <w:rPr>
          <w:rFonts w:ascii="宋体" w:hAnsi="宋体" w:cs="宋体" w:eastAsia="宋体" w:hint="default"/>
          <w:sz w:val="14"/>
          <w:szCs w:val="14"/>
        </w:rPr>
        <w:t>归属于母公司股东权益</w:t>
      </w:r>
    </w:p>
    <w:p>
      <w:pPr>
        <w:spacing w:line="240" w:lineRule="auto" w:before="1"/>
        <w:rPr>
          <w:rFonts w:ascii="宋体" w:hAnsi="宋体" w:cs="宋体" w:eastAsia="宋体" w:hint="default"/>
          <w:sz w:val="9"/>
          <w:szCs w:val="9"/>
        </w:rPr>
      </w:pPr>
    </w:p>
    <w:p>
      <w:pPr>
        <w:spacing w:line="20" w:lineRule="exact"/>
        <w:ind w:left="3148" w:right="0" w:firstLine="0"/>
        <w:rPr>
          <w:rFonts w:ascii="宋体" w:hAnsi="宋体" w:cs="宋体" w:eastAsia="宋体" w:hint="default"/>
          <w:sz w:val="2"/>
          <w:szCs w:val="2"/>
        </w:rPr>
      </w:pPr>
      <w:r>
        <w:rPr>
          <w:rFonts w:ascii="宋体" w:hAnsi="宋体" w:cs="宋体" w:eastAsia="宋体" w:hint="default"/>
          <w:sz w:val="2"/>
          <w:szCs w:val="2"/>
        </w:rPr>
        <w:pict>
          <v:group style="width:402.6pt;height:.75pt;mso-position-horizontal-relative:char;mso-position-vertical-relative:line" coordorigin="0,0" coordsize="8052,15">
            <v:group style="position:absolute;left:8;top:8;width:8037;height:2" coordorigin="8,8" coordsize="8037,2">
              <v:shape style="position:absolute;left:8;top:8;width:8037;height:2" coordorigin="8,8" coordsize="8037,0" path="m8,8l8044,7e" filled="false" stroked="true" strokeweight=".75pt" strokecolor="#000000">
                <v:path arrowok="t"/>
              </v:shape>
            </v:group>
          </v:group>
        </w:pict>
      </w:r>
      <w:r>
        <w:rPr>
          <w:rFonts w:ascii="宋体" w:hAnsi="宋体" w:cs="宋体" w:eastAsia="宋体" w:hint="default"/>
          <w:sz w:val="2"/>
          <w:szCs w:val="2"/>
        </w:rPr>
      </w:r>
    </w:p>
    <w:p>
      <w:pPr>
        <w:tabs>
          <w:tab w:pos="2739" w:val="left" w:leader="none"/>
          <w:tab w:pos="3830" w:val="left" w:leader="none"/>
          <w:tab w:pos="4639" w:val="left" w:leader="none"/>
          <w:tab w:pos="5451" w:val="left" w:leader="none"/>
          <w:tab w:pos="7529" w:val="left" w:leader="none"/>
          <w:tab w:pos="9357" w:val="left" w:leader="none"/>
          <w:tab w:pos="10883" w:val="left" w:leader="none"/>
          <w:tab w:pos="11429" w:val="left" w:leader="none"/>
          <w:tab w:pos="12562" w:val="left" w:leader="none"/>
        </w:tabs>
        <w:spacing w:before="54"/>
        <w:ind w:left="165" w:right="0" w:firstLine="0"/>
        <w:jc w:val="left"/>
        <w:rPr>
          <w:rFonts w:ascii="宋体" w:hAnsi="宋体" w:cs="宋体" w:eastAsia="宋体" w:hint="default"/>
          <w:sz w:val="14"/>
          <w:szCs w:val="14"/>
        </w:rPr>
      </w:pPr>
      <w:r>
        <w:rPr>
          <w:rFonts w:ascii="宋体" w:hAnsi="宋体" w:cs="宋体" w:eastAsia="宋体" w:hint="default"/>
          <w:sz w:val="14"/>
          <w:szCs w:val="14"/>
        </w:rPr>
        <w:t>项目</w:t>
        <w:tab/>
        <w:t>附注</w:t>
        <w:tab/>
        <w:t>股本</w:t>
        <w:tab/>
        <w:t>资本公积</w:t>
        <w:tab/>
        <w:t>减：库存股</w:t>
      </w:r>
      <w:r>
        <w:rPr>
          <w:rFonts w:ascii="宋体" w:hAnsi="宋体" w:cs="宋体" w:eastAsia="宋体" w:hint="default"/>
          <w:spacing w:val="39"/>
          <w:sz w:val="14"/>
          <w:szCs w:val="14"/>
        </w:rPr>
        <w:t> </w:t>
      </w:r>
      <w:r>
        <w:rPr>
          <w:rFonts w:ascii="宋体" w:hAnsi="宋体" w:cs="宋体" w:eastAsia="宋体" w:hint="default"/>
          <w:sz w:val="14"/>
          <w:szCs w:val="14"/>
        </w:rPr>
        <w:t>其他综合收益</w:t>
        <w:tab/>
        <w:t>盈余公积</w:t>
      </w:r>
      <w:r>
        <w:rPr>
          <w:rFonts w:ascii="宋体" w:hAnsi="宋体" w:cs="宋体" w:eastAsia="宋体" w:hint="default"/>
          <w:spacing w:val="26"/>
          <w:sz w:val="14"/>
          <w:szCs w:val="14"/>
        </w:rPr>
        <w:t> </w:t>
      </w:r>
      <w:r>
        <w:rPr>
          <w:rFonts w:ascii="宋体" w:hAnsi="宋体" w:cs="宋体" w:eastAsia="宋体" w:hint="default"/>
          <w:spacing w:val="-8"/>
          <w:sz w:val="14"/>
          <w:szCs w:val="14"/>
        </w:rPr>
        <w:t>一般风险准备</w:t>
        <w:tab/>
      </w:r>
      <w:r>
        <w:rPr>
          <w:rFonts w:ascii="宋体" w:hAnsi="宋体" w:cs="宋体" w:eastAsia="宋体" w:hint="default"/>
          <w:sz w:val="14"/>
          <w:szCs w:val="14"/>
        </w:rPr>
        <w:t>未分配利润</w:t>
        <w:tab/>
        <w:t>小计</w:t>
        <w:tab/>
        <w:t>少数股东权益</w:t>
        <w:tab/>
        <w:t>股东权益合计</w:t>
      </w:r>
    </w:p>
    <w:p>
      <w:pPr>
        <w:spacing w:line="240" w:lineRule="auto" w:before="4"/>
        <w:rPr>
          <w:rFonts w:ascii="宋体" w:hAnsi="宋体" w:cs="宋体" w:eastAsia="宋体" w:hint="default"/>
          <w:sz w:val="6"/>
          <w:szCs w:val="6"/>
        </w:rPr>
      </w:pPr>
    </w:p>
    <w:p>
      <w:pPr>
        <w:spacing w:line="40" w:lineRule="exact"/>
        <w:ind w:left="117" w:right="0" w:firstLine="0"/>
        <w:rPr>
          <w:rFonts w:ascii="宋体" w:hAnsi="宋体" w:cs="宋体" w:eastAsia="宋体" w:hint="default"/>
          <w:sz w:val="4"/>
          <w:szCs w:val="4"/>
        </w:rPr>
      </w:pPr>
      <w:r>
        <w:rPr>
          <w:rFonts w:ascii="宋体" w:hAnsi="宋体" w:cs="宋体" w:eastAsia="宋体" w:hint="default"/>
          <w:position w:val="0"/>
          <w:sz w:val="4"/>
          <w:szCs w:val="4"/>
        </w:rPr>
        <w:pict>
          <v:group style="width:666.7pt;height:2pt;mso-position-horizontal-relative:char;mso-position-vertical-relative:line" coordorigin="0,0" coordsize="13334,40">
            <v:group style="position:absolute;left:20;top:20;width:2467;height:2" coordorigin="20,20" coordsize="2467,2">
              <v:shape style="position:absolute;left:20;top:20;width:2467;height:2" coordorigin="20,20" coordsize="2467,0" path="m20,20l2486,20e" filled="false" stroked="true" strokeweight="2pt" strokecolor="#9f8958">
                <v:path arrowok="t"/>
              </v:shape>
            </v:group>
            <v:group style="position:absolute;left:2486;top:20;width:553;height:2" coordorigin="2486,20" coordsize="553,2">
              <v:shape style="position:absolute;left:2486;top:20;width:553;height:2" coordorigin="2486,20" coordsize="553,0" path="m2486,20l3039,20e" filled="false" stroked="true" strokeweight="2pt" strokecolor="#9f8958">
                <v:path arrowok="t"/>
              </v:shape>
            </v:group>
            <v:group style="position:absolute;left:3039;top:20;width:983;height:2" coordorigin="3039,20" coordsize="983,2">
              <v:shape style="position:absolute;left:3039;top:20;width:983;height:2" coordorigin="3039,20" coordsize="983,0" path="m3039,20l4022,20e" filled="false" stroked="true" strokeweight="2pt" strokecolor="#9f8958">
                <v:path arrowok="t"/>
              </v:shape>
            </v:group>
            <v:group style="position:absolute;left:4022;top:20;width:1089;height:2" coordorigin="4022,20" coordsize="1089,2">
              <v:shape style="position:absolute;left:4022;top:20;width:1089;height:2" coordorigin="4022,20" coordsize="1089,0" path="m4022,20l5110,20e" filled="false" stroked="true" strokeweight="2pt" strokecolor="#9f8958">
                <v:path arrowok="t"/>
              </v:shape>
            </v:group>
            <v:group style="position:absolute;left:5110;top:20;width:953;height:2" coordorigin="5110,20" coordsize="953,2">
              <v:shape style="position:absolute;left:5110;top:20;width:953;height:2" coordorigin="5110,20" coordsize="953,0" path="m5110,20l6063,20e" filled="false" stroked="true" strokeweight="2pt" strokecolor="#9f8958">
                <v:path arrowok="t"/>
              </v:shape>
            </v:group>
            <v:group style="position:absolute;left:6063;top:20;width:950;height:2" coordorigin="6063,20" coordsize="950,2">
              <v:shape style="position:absolute;left:6063;top:20;width:950;height:2" coordorigin="6063,20" coordsize="950,0" path="m6063,20l7012,20e" filled="false" stroked="true" strokeweight="2pt" strokecolor="#9f8958">
                <v:path arrowok="t"/>
              </v:shape>
            </v:group>
            <v:group style="position:absolute;left:7012;top:20;width:989;height:2" coordorigin="7012,20" coordsize="989,2">
              <v:shape style="position:absolute;left:7012;top:20;width:989;height:2" coordorigin="7012,20" coordsize="989,0" path="m7012,20l8001,20e" filled="false" stroked="true" strokeweight="2pt" strokecolor="#9f8958">
                <v:path arrowok="t"/>
              </v:shape>
            </v:group>
            <v:group style="position:absolute;left:8001;top:20;width:892;height:2" coordorigin="8001,20" coordsize="892,2">
              <v:shape style="position:absolute;left:8001;top:20;width:892;height:2" coordorigin="8001,20" coordsize="892,0" path="m8001,20l8893,20e" filled="false" stroked="true" strokeweight="2pt" strokecolor="#9f8958">
                <v:path arrowok="t"/>
              </v:shape>
            </v:group>
            <v:group style="position:absolute;left:8893;top:20;width:1077;height:2" coordorigin="8893,20" coordsize="1077,2">
              <v:shape style="position:absolute;left:8893;top:20;width:1077;height:2" coordorigin="8893,20" coordsize="1077,0" path="m8893,20l9969,20e" filled="false" stroked="true" strokeweight="2pt" strokecolor="#9f8958">
                <v:path arrowok="t"/>
              </v:shape>
            </v:group>
            <v:group style="position:absolute;left:9969;top:20;width:1106;height:2" coordorigin="9969,20" coordsize="1106,2">
              <v:shape style="position:absolute;left:9969;top:20;width:1106;height:2" coordorigin="9969,20" coordsize="1106,0" path="m9969,20l11075,20e" filled="false" stroked="true" strokeweight="2pt" strokecolor="#9f8958">
                <v:path arrowok="t"/>
              </v:shape>
            </v:group>
            <v:group style="position:absolute;left:11075;top:20;width:1106;height:2" coordorigin="11075,20" coordsize="1106,2">
              <v:shape style="position:absolute;left:11075;top:20;width:1106;height:2" coordorigin="11075,20" coordsize="1106,0" path="m11075,20l12181,20e" filled="false" stroked="true" strokeweight="2pt" strokecolor="#9f8958">
                <v:path arrowok="t"/>
              </v:shape>
            </v:group>
            <v:group style="position:absolute;left:12181;top:20;width:1134;height:2" coordorigin="12181,20" coordsize="1134,2">
              <v:shape style="position:absolute;left:12181;top:20;width:1134;height:2" coordorigin="12181,20" coordsize="1134,0" path="m12181,20l13314,20e" filled="false" stroked="true" strokeweight="2pt" strokecolor="#9f8958">
                <v:path arrowok="t"/>
              </v:shape>
            </v:group>
          </v:group>
        </w:pict>
      </w:r>
      <w:r>
        <w:rPr>
          <w:rFonts w:ascii="宋体" w:hAnsi="宋体" w:cs="宋体" w:eastAsia="宋体" w:hint="default"/>
          <w:position w:val="0"/>
          <w:sz w:val="4"/>
          <w:szCs w:val="4"/>
        </w:rPr>
      </w:r>
    </w:p>
    <w:p>
      <w:pPr>
        <w:tabs>
          <w:tab w:pos="3212" w:val="left" w:leader="none"/>
          <w:tab w:pos="6059" w:val="left" w:leader="none"/>
        </w:tabs>
        <w:spacing w:before="75"/>
        <w:ind w:left="165" w:right="0" w:firstLine="0"/>
        <w:jc w:val="left"/>
        <w:rPr>
          <w:rFonts w:ascii="宋体" w:hAnsi="宋体" w:cs="宋体" w:eastAsia="宋体" w:hint="default"/>
          <w:sz w:val="14"/>
          <w:szCs w:val="14"/>
        </w:rPr>
      </w:pPr>
      <w:r>
        <w:rPr>
          <w:rFonts w:ascii="宋体" w:hAnsi="宋体" w:cs="宋体" w:eastAsia="宋体" w:hint="default"/>
          <w:sz w:val="14"/>
          <w:szCs w:val="14"/>
        </w:rPr>
        <w:t>2018</w:t>
      </w:r>
      <w:r>
        <w:rPr>
          <w:rFonts w:ascii="宋体" w:hAnsi="宋体" w:cs="宋体" w:eastAsia="宋体" w:hint="default"/>
          <w:spacing w:val="-27"/>
          <w:sz w:val="14"/>
          <w:szCs w:val="14"/>
        </w:rPr>
        <w:t> </w:t>
      </w:r>
      <w:r>
        <w:rPr>
          <w:rFonts w:ascii="宋体" w:hAnsi="宋体" w:cs="宋体" w:eastAsia="宋体" w:hint="default"/>
          <w:sz w:val="14"/>
          <w:szCs w:val="14"/>
        </w:rPr>
        <w:t>年</w:t>
      </w:r>
      <w:r>
        <w:rPr>
          <w:rFonts w:ascii="宋体" w:hAnsi="宋体" w:cs="宋体" w:eastAsia="宋体" w:hint="default"/>
          <w:spacing w:val="-26"/>
          <w:sz w:val="14"/>
          <w:szCs w:val="14"/>
        </w:rPr>
        <w:t> </w:t>
      </w:r>
      <w:r>
        <w:rPr>
          <w:rFonts w:ascii="宋体" w:hAnsi="宋体" w:cs="宋体" w:eastAsia="宋体" w:hint="default"/>
          <w:sz w:val="14"/>
          <w:szCs w:val="14"/>
        </w:rPr>
        <w:t>1</w:t>
      </w:r>
      <w:r>
        <w:rPr>
          <w:rFonts w:ascii="宋体" w:hAnsi="宋体" w:cs="宋体" w:eastAsia="宋体" w:hint="default"/>
          <w:spacing w:val="-27"/>
          <w:sz w:val="14"/>
          <w:szCs w:val="14"/>
        </w:rPr>
        <w:t> </w:t>
      </w:r>
      <w:r>
        <w:rPr>
          <w:rFonts w:ascii="宋体" w:hAnsi="宋体" w:cs="宋体" w:eastAsia="宋体" w:hint="default"/>
          <w:sz w:val="14"/>
          <w:szCs w:val="14"/>
        </w:rPr>
        <w:t>月</w:t>
      </w:r>
      <w:r>
        <w:rPr>
          <w:rFonts w:ascii="宋体" w:hAnsi="宋体" w:cs="宋体" w:eastAsia="宋体" w:hint="default"/>
          <w:spacing w:val="-26"/>
          <w:sz w:val="14"/>
          <w:szCs w:val="14"/>
        </w:rPr>
        <w:t> </w:t>
      </w:r>
      <w:r>
        <w:rPr>
          <w:rFonts w:ascii="宋体" w:hAnsi="宋体" w:cs="宋体" w:eastAsia="宋体" w:hint="default"/>
          <w:sz w:val="14"/>
          <w:szCs w:val="14"/>
        </w:rPr>
        <w:t>1</w:t>
      </w:r>
      <w:r>
        <w:rPr>
          <w:rFonts w:ascii="宋体" w:hAnsi="宋体" w:cs="宋体" w:eastAsia="宋体" w:hint="default"/>
          <w:spacing w:val="-27"/>
          <w:sz w:val="14"/>
          <w:szCs w:val="14"/>
        </w:rPr>
        <w:t> </w:t>
      </w:r>
      <w:r>
        <w:rPr>
          <w:rFonts w:ascii="宋体" w:hAnsi="宋体" w:cs="宋体" w:eastAsia="宋体" w:hint="default"/>
          <w:sz w:val="14"/>
          <w:szCs w:val="14"/>
        </w:rPr>
        <w:t>日年初余额</w:t>
        <w:tab/>
      </w:r>
      <w:r>
        <w:rPr>
          <w:rFonts w:ascii="宋体" w:hAnsi="宋体" w:cs="宋体" w:eastAsia="宋体" w:hint="default"/>
          <w:spacing w:val="-7"/>
          <w:sz w:val="14"/>
          <w:szCs w:val="14"/>
        </w:rPr>
        <w:t>30,233,950,687</w:t>
      </w:r>
      <w:r>
        <w:rPr>
          <w:rFonts w:ascii="宋体" w:hAnsi="宋体" w:cs="宋体" w:eastAsia="宋体" w:hint="default"/>
          <w:spacing w:val="49"/>
          <w:sz w:val="14"/>
          <w:szCs w:val="14"/>
        </w:rPr>
        <w:t> </w:t>
      </w:r>
      <w:r>
        <w:rPr>
          <w:rFonts w:ascii="宋体" w:hAnsi="宋体" w:cs="宋体" w:eastAsia="宋体" w:hint="default"/>
          <w:sz w:val="14"/>
          <w:szCs w:val="14"/>
        </w:rPr>
        <w:t>76,346,331,405</w:t>
        <w:tab/>
        <w:t>- </w:t>
      </w:r>
      <w:r>
        <w:rPr>
          <w:rFonts w:ascii="宋体" w:hAnsi="宋体" w:cs="宋体" w:eastAsia="宋体" w:hint="default"/>
          <w:spacing w:val="-7"/>
          <w:sz w:val="14"/>
          <w:szCs w:val="14"/>
        </w:rPr>
        <w:t>(2,395,862,753) </w:t>
      </w:r>
      <w:r>
        <w:rPr>
          <w:rFonts w:ascii="宋体" w:hAnsi="宋体" w:cs="宋体" w:eastAsia="宋体" w:hint="default"/>
          <w:sz w:val="14"/>
          <w:szCs w:val="14"/>
        </w:rPr>
        <w:t>1,338,484,194  97,055,713 29,773,369,882 135,393,329,128 171,625,033,987</w:t>
      </w:r>
      <w:r>
        <w:rPr>
          <w:rFonts w:ascii="宋体" w:hAnsi="宋体" w:cs="宋体" w:eastAsia="宋体" w:hint="default"/>
          <w:spacing w:val="26"/>
          <w:sz w:val="14"/>
          <w:szCs w:val="14"/>
        </w:rPr>
        <w:t> </w:t>
      </w:r>
      <w:r>
        <w:rPr>
          <w:rFonts w:ascii="宋体" w:hAnsi="宋体" w:cs="宋体" w:eastAsia="宋体" w:hint="default"/>
          <w:sz w:val="14"/>
          <w:szCs w:val="14"/>
        </w:rPr>
        <w:t>307,018,363,115</w:t>
      </w:r>
    </w:p>
    <w:p>
      <w:pPr>
        <w:spacing w:line="240" w:lineRule="auto" w:before="2"/>
        <w:rPr>
          <w:rFonts w:ascii="宋体" w:hAnsi="宋体" w:cs="宋体" w:eastAsia="宋体" w:hint="default"/>
          <w:sz w:val="14"/>
          <w:szCs w:val="14"/>
        </w:rPr>
      </w:pPr>
    </w:p>
    <w:p>
      <w:pPr>
        <w:tabs>
          <w:tab w:pos="2675" w:val="left" w:leader="none"/>
          <w:tab w:pos="4018" w:val="left" w:leader="none"/>
          <w:tab w:pos="5107" w:val="left" w:leader="none"/>
          <w:tab w:pos="6059" w:val="left" w:leader="none"/>
          <w:tab w:pos="7009" w:val="left" w:leader="none"/>
          <w:tab w:pos="7997" w:val="left" w:leader="none"/>
          <w:tab w:pos="8889" w:val="left" w:leader="none"/>
          <w:tab w:pos="9281" w:val="left" w:leader="none"/>
          <w:tab w:pos="10387" w:val="left" w:leader="none"/>
          <w:tab w:pos="11492" w:val="left" w:leader="none"/>
          <w:tab w:pos="12626" w:val="left" w:leader="none"/>
        </w:tabs>
        <w:spacing w:before="0"/>
        <w:ind w:left="165" w:right="0" w:firstLine="0"/>
        <w:jc w:val="left"/>
        <w:rPr>
          <w:rFonts w:ascii="宋体" w:hAnsi="宋体" w:cs="宋体" w:eastAsia="宋体" w:hint="default"/>
          <w:sz w:val="14"/>
          <w:szCs w:val="14"/>
        </w:rPr>
      </w:pPr>
      <w:r>
        <w:rPr>
          <w:rFonts w:ascii="宋体" w:hAnsi="宋体" w:cs="宋体" w:eastAsia="宋体" w:hint="default"/>
          <w:sz w:val="14"/>
          <w:szCs w:val="14"/>
        </w:rPr>
        <w:t>加：会计政策变更</w:t>
        <w:tab/>
      </w:r>
      <w:r>
        <w:rPr>
          <w:rFonts w:ascii="宋体" w:hAnsi="宋体" w:cs="宋体" w:eastAsia="宋体" w:hint="default"/>
          <w:w w:val="90"/>
          <w:sz w:val="14"/>
          <w:szCs w:val="14"/>
        </w:rPr>
        <w:t>三</w:t>
      </w:r>
      <w:r>
        <w:rPr>
          <w:rFonts w:ascii="宋体" w:hAnsi="宋体" w:cs="宋体" w:eastAsia="宋体" w:hint="default"/>
          <w:spacing w:val="-34"/>
          <w:w w:val="90"/>
          <w:sz w:val="14"/>
          <w:szCs w:val="14"/>
        </w:rPr>
        <w:t> </w:t>
      </w:r>
      <w:r>
        <w:rPr>
          <w:rFonts w:ascii="宋体" w:hAnsi="宋体" w:cs="宋体" w:eastAsia="宋体" w:hint="default"/>
          <w:w w:val="90"/>
          <w:sz w:val="14"/>
          <w:szCs w:val="14"/>
        </w:rPr>
        <w:t>(33)</w:t>
        <w:tab/>
      </w:r>
      <w:r>
        <w:rPr>
          <w:rFonts w:ascii="宋体" w:hAnsi="宋体" w:cs="宋体" w:eastAsia="宋体" w:hint="default"/>
          <w:w w:val="110"/>
          <w:sz w:val="14"/>
          <w:szCs w:val="14"/>
        </w:rPr>
        <w:t>-</w:t>
        <w:tab/>
        <w:t>-</w:t>
        <w:tab/>
        <w:t>-</w:t>
        <w:tab/>
        <w:t>-</w:t>
        <w:tab/>
        <w:t>-</w:t>
        <w:tab/>
        <w:t>-</w:t>
        <w:tab/>
      </w:r>
      <w:r>
        <w:rPr>
          <w:rFonts w:ascii="宋体" w:hAnsi="宋体" w:cs="宋体" w:eastAsia="宋体" w:hint="default"/>
          <w:sz w:val="14"/>
          <w:szCs w:val="14"/>
        </w:rPr>
        <w:t>394,216,131</w:t>
        <w:tab/>
        <w:t>394,216,131</w:t>
        <w:tab/>
        <w:t>502,999,354</w:t>
        <w:tab/>
      </w:r>
      <w:r>
        <w:rPr>
          <w:rFonts w:ascii="宋体" w:hAnsi="宋体" w:cs="宋体" w:eastAsia="宋体" w:hint="default"/>
          <w:w w:val="110"/>
          <w:sz w:val="14"/>
          <w:szCs w:val="14"/>
        </w:rPr>
        <w:t>897,215,485</w:t>
      </w:r>
    </w:p>
    <w:p>
      <w:pPr>
        <w:spacing w:line="240" w:lineRule="auto" w:before="2"/>
        <w:rPr>
          <w:rFonts w:ascii="宋体" w:hAnsi="宋体" w:cs="宋体" w:eastAsia="宋体" w:hint="default"/>
          <w:sz w:val="14"/>
          <w:szCs w:val="14"/>
        </w:rPr>
      </w:pPr>
    </w:p>
    <w:p>
      <w:pPr>
        <w:tabs>
          <w:tab w:pos="3212" w:val="left" w:leader="none"/>
          <w:tab w:pos="6059" w:val="left" w:leader="none"/>
        </w:tabs>
        <w:spacing w:before="0"/>
        <w:ind w:left="165" w:right="0" w:firstLine="0"/>
        <w:jc w:val="left"/>
        <w:rPr>
          <w:rFonts w:ascii="宋体" w:hAnsi="宋体" w:cs="宋体" w:eastAsia="宋体" w:hint="default"/>
          <w:sz w:val="14"/>
          <w:szCs w:val="14"/>
        </w:rPr>
      </w:pPr>
      <w:r>
        <w:rPr>
          <w:rFonts w:ascii="宋体" w:hAnsi="宋体" w:cs="宋体" w:eastAsia="宋体" w:hint="default"/>
          <w:sz w:val="14"/>
          <w:szCs w:val="14"/>
        </w:rPr>
        <w:t>本年年初经调整余额</w:t>
        <w:tab/>
      </w:r>
      <w:r>
        <w:rPr>
          <w:rFonts w:ascii="宋体" w:hAnsi="宋体" w:cs="宋体" w:eastAsia="宋体" w:hint="default"/>
          <w:spacing w:val="-7"/>
          <w:sz w:val="14"/>
          <w:szCs w:val="14"/>
        </w:rPr>
        <w:t>30,233,950,687</w:t>
      </w:r>
      <w:r>
        <w:rPr>
          <w:rFonts w:ascii="宋体" w:hAnsi="宋体" w:cs="宋体" w:eastAsia="宋体" w:hint="default"/>
          <w:spacing w:val="49"/>
          <w:sz w:val="14"/>
          <w:szCs w:val="14"/>
        </w:rPr>
        <w:t> </w:t>
      </w:r>
      <w:r>
        <w:rPr>
          <w:rFonts w:ascii="宋体" w:hAnsi="宋体" w:cs="宋体" w:eastAsia="宋体" w:hint="default"/>
          <w:sz w:val="14"/>
          <w:szCs w:val="14"/>
        </w:rPr>
        <w:t>76,346,331,405</w:t>
        <w:tab/>
        <w:t>- </w:t>
      </w:r>
      <w:r>
        <w:rPr>
          <w:rFonts w:ascii="宋体" w:hAnsi="宋体" w:cs="宋体" w:eastAsia="宋体" w:hint="default"/>
          <w:spacing w:val="-7"/>
          <w:sz w:val="14"/>
          <w:szCs w:val="14"/>
        </w:rPr>
        <w:t>(2,395,862,753) </w:t>
      </w:r>
      <w:r>
        <w:rPr>
          <w:rFonts w:ascii="宋体" w:hAnsi="宋体" w:cs="宋体" w:eastAsia="宋体" w:hint="default"/>
          <w:sz w:val="14"/>
          <w:szCs w:val="14"/>
        </w:rPr>
        <w:t>1,338,484,194  97,055,713 30,167,586,013 135,787,545,259 172,128,033,341</w:t>
      </w:r>
      <w:r>
        <w:rPr>
          <w:rFonts w:ascii="宋体" w:hAnsi="宋体" w:cs="宋体" w:eastAsia="宋体" w:hint="default"/>
          <w:spacing w:val="26"/>
          <w:sz w:val="14"/>
          <w:szCs w:val="14"/>
        </w:rPr>
        <w:t> </w:t>
      </w:r>
      <w:r>
        <w:rPr>
          <w:rFonts w:ascii="宋体" w:hAnsi="宋体" w:cs="宋体" w:eastAsia="宋体" w:hint="default"/>
          <w:sz w:val="14"/>
          <w:szCs w:val="14"/>
        </w:rPr>
        <w:t>307,915,578,600</w:t>
      </w:r>
    </w:p>
    <w:p>
      <w:pPr>
        <w:spacing w:line="154" w:lineRule="exact" w:before="75"/>
        <w:ind w:left="2660" w:right="0" w:firstLine="0"/>
        <w:jc w:val="left"/>
        <w:rPr>
          <w:rFonts w:ascii="宋体" w:hAnsi="宋体" w:cs="宋体" w:eastAsia="宋体" w:hint="default"/>
          <w:sz w:val="14"/>
          <w:szCs w:val="14"/>
        </w:rPr>
      </w:pPr>
      <w:r>
        <w:rPr>
          <w:rFonts w:ascii="宋体" w:hAnsi="宋体" w:cs="宋体" w:eastAsia="宋体" w:hint="default"/>
          <w:w w:val="85"/>
          <w:sz w:val="14"/>
          <w:szCs w:val="14"/>
        </w:rPr>
        <w:t>五</w:t>
      </w:r>
      <w:r>
        <w:rPr>
          <w:rFonts w:ascii="宋体" w:hAnsi="宋体" w:cs="宋体" w:eastAsia="宋体" w:hint="default"/>
          <w:spacing w:val="-38"/>
          <w:w w:val="85"/>
          <w:sz w:val="14"/>
          <w:szCs w:val="14"/>
        </w:rPr>
        <w:t> </w:t>
      </w:r>
      <w:r>
        <w:rPr>
          <w:rFonts w:ascii="宋体" w:hAnsi="宋体" w:cs="宋体" w:eastAsia="宋体" w:hint="default"/>
          <w:w w:val="85"/>
          <w:sz w:val="14"/>
          <w:szCs w:val="14"/>
        </w:rPr>
        <w:t>(33),</w:t>
      </w:r>
      <w:r>
        <w:rPr>
          <w:rFonts w:ascii="宋体" w:hAnsi="宋体" w:cs="宋体" w:eastAsia="宋体" w:hint="default"/>
          <w:sz w:val="14"/>
          <w:szCs w:val="14"/>
        </w:rPr>
      </w:r>
    </w:p>
    <w:p>
      <w:pPr>
        <w:spacing w:after="0" w:line="154" w:lineRule="exact"/>
        <w:jc w:val="left"/>
        <w:rPr>
          <w:rFonts w:ascii="宋体" w:hAnsi="宋体" w:cs="宋体" w:eastAsia="宋体" w:hint="default"/>
          <w:sz w:val="14"/>
          <w:szCs w:val="14"/>
        </w:rPr>
        <w:sectPr>
          <w:headerReference w:type="default" r:id="rId265"/>
          <w:footerReference w:type="default" r:id="rId266"/>
          <w:pgSz w:w="16160" w:h="11910" w:orient="landscape"/>
          <w:pgMar w:header="0" w:footer="0" w:top="880" w:bottom="0" w:left="940" w:right="1660"/>
        </w:sectPr>
      </w:pPr>
    </w:p>
    <w:p>
      <w:pPr>
        <w:spacing w:line="130" w:lineRule="exact" w:before="0"/>
        <w:ind w:left="165" w:right="-19" w:firstLine="0"/>
        <w:jc w:val="left"/>
        <w:rPr>
          <w:rFonts w:ascii="宋体" w:hAnsi="宋体" w:cs="宋体" w:eastAsia="宋体" w:hint="default"/>
          <w:sz w:val="14"/>
          <w:szCs w:val="14"/>
        </w:rPr>
      </w:pPr>
      <w:r>
        <w:rPr>
          <w:rFonts w:ascii="宋体" w:hAnsi="宋体" w:cs="宋体" w:eastAsia="宋体" w:hint="default"/>
          <w:sz w:val="14"/>
          <w:szCs w:val="14"/>
        </w:rPr>
        <w:t>（一）综合收益总额</w:t>
      </w:r>
    </w:p>
    <w:p>
      <w:pPr>
        <w:spacing w:line="240" w:lineRule="auto" w:before="5"/>
        <w:rPr>
          <w:rFonts w:ascii="宋体" w:hAnsi="宋体" w:cs="宋体" w:eastAsia="宋体" w:hint="default"/>
          <w:sz w:val="13"/>
          <w:szCs w:val="13"/>
        </w:rPr>
      </w:pPr>
    </w:p>
    <w:p>
      <w:pPr>
        <w:spacing w:before="0"/>
        <w:ind w:left="165" w:right="-19" w:firstLine="0"/>
        <w:jc w:val="left"/>
        <w:rPr>
          <w:rFonts w:ascii="宋体" w:hAnsi="宋体" w:cs="宋体" w:eastAsia="宋体" w:hint="default"/>
          <w:sz w:val="14"/>
          <w:szCs w:val="14"/>
        </w:rPr>
      </w:pPr>
      <w:r>
        <w:rPr>
          <w:rFonts w:ascii="宋体" w:hAnsi="宋体" w:cs="宋体" w:eastAsia="宋体" w:hint="default"/>
          <w:sz w:val="14"/>
          <w:szCs w:val="14"/>
        </w:rPr>
        <w:t>（二）股东投入资本</w:t>
      </w:r>
    </w:p>
    <w:p>
      <w:pPr>
        <w:spacing w:line="240" w:lineRule="auto" w:before="0"/>
        <w:rPr>
          <w:rFonts w:ascii="宋体" w:hAnsi="宋体" w:cs="宋体" w:eastAsia="宋体" w:hint="default"/>
          <w:sz w:val="14"/>
          <w:szCs w:val="14"/>
        </w:rPr>
      </w:pPr>
    </w:p>
    <w:p>
      <w:pPr>
        <w:spacing w:before="92"/>
        <w:ind w:left="562" w:right="-19" w:firstLine="0"/>
        <w:jc w:val="left"/>
        <w:rPr>
          <w:rFonts w:ascii="宋体" w:hAnsi="宋体" w:cs="宋体" w:eastAsia="宋体" w:hint="default"/>
          <w:sz w:val="14"/>
          <w:szCs w:val="14"/>
        </w:rPr>
      </w:pPr>
      <w:r>
        <w:rPr>
          <w:rFonts w:ascii="宋体" w:hAnsi="宋体" w:cs="宋体" w:eastAsia="宋体" w:hint="default"/>
          <w:w w:val="95"/>
          <w:sz w:val="14"/>
          <w:szCs w:val="14"/>
        </w:rPr>
        <w:t>1.</w:t>
      </w:r>
      <w:r>
        <w:rPr>
          <w:rFonts w:ascii="宋体" w:hAnsi="宋体" w:cs="宋体" w:eastAsia="宋体" w:hint="default"/>
          <w:spacing w:val="7"/>
          <w:w w:val="95"/>
          <w:sz w:val="14"/>
          <w:szCs w:val="14"/>
        </w:rPr>
        <w:t> </w:t>
      </w:r>
      <w:r>
        <w:rPr>
          <w:rFonts w:ascii="宋体" w:hAnsi="宋体" w:cs="宋体" w:eastAsia="宋体" w:hint="default"/>
          <w:w w:val="95"/>
          <w:sz w:val="14"/>
          <w:szCs w:val="14"/>
        </w:rPr>
        <w:t>股东投入的普通股</w:t>
      </w:r>
    </w:p>
    <w:p>
      <w:pPr>
        <w:spacing w:before="46"/>
        <w:ind w:left="181" w:right="-4" w:firstLine="0"/>
        <w:jc w:val="left"/>
        <w:rPr>
          <w:rFonts w:ascii="宋体" w:hAnsi="宋体" w:cs="宋体" w:eastAsia="宋体" w:hint="default"/>
          <w:sz w:val="14"/>
          <w:szCs w:val="14"/>
        </w:rPr>
      </w:pPr>
      <w:r>
        <w:rPr>
          <w:w w:val="90"/>
        </w:rPr>
        <w:br w:type="column"/>
      </w:r>
      <w:r>
        <w:rPr>
          <w:rFonts w:ascii="宋体" w:hAnsi="宋体" w:cs="宋体" w:eastAsia="宋体" w:hint="default"/>
          <w:w w:val="90"/>
          <w:sz w:val="14"/>
          <w:szCs w:val="14"/>
        </w:rPr>
        <w:t>五</w:t>
      </w:r>
      <w:r>
        <w:rPr>
          <w:rFonts w:ascii="宋体" w:hAnsi="宋体" w:cs="宋体" w:eastAsia="宋体" w:hint="default"/>
          <w:spacing w:val="-34"/>
          <w:w w:val="90"/>
          <w:sz w:val="14"/>
          <w:szCs w:val="14"/>
        </w:rPr>
        <w:t> </w:t>
      </w:r>
      <w:r>
        <w:rPr>
          <w:rFonts w:ascii="宋体" w:hAnsi="宋体" w:cs="宋体" w:eastAsia="宋体" w:hint="default"/>
          <w:w w:val="90"/>
          <w:sz w:val="14"/>
          <w:szCs w:val="14"/>
        </w:rPr>
        <w:t>(35)</w:t>
      </w:r>
      <w:r>
        <w:rPr>
          <w:rFonts w:ascii="宋体" w:hAnsi="宋体" w:cs="宋体" w:eastAsia="宋体" w:hint="default"/>
          <w:sz w:val="14"/>
          <w:szCs w:val="14"/>
        </w:rPr>
      </w:r>
    </w:p>
    <w:p>
      <w:pPr>
        <w:spacing w:line="240" w:lineRule="auto" w:before="0"/>
        <w:rPr>
          <w:rFonts w:ascii="宋体" w:hAnsi="宋体" w:cs="宋体" w:eastAsia="宋体" w:hint="default"/>
          <w:sz w:val="14"/>
          <w:szCs w:val="14"/>
        </w:rPr>
      </w:pPr>
    </w:p>
    <w:p>
      <w:pPr>
        <w:spacing w:line="240" w:lineRule="auto" w:before="7"/>
        <w:rPr>
          <w:rFonts w:ascii="宋体" w:hAnsi="宋体" w:cs="宋体" w:eastAsia="宋体" w:hint="default"/>
          <w:sz w:val="11"/>
          <w:szCs w:val="11"/>
        </w:rPr>
      </w:pPr>
    </w:p>
    <w:p>
      <w:pPr>
        <w:spacing w:before="0"/>
        <w:ind w:left="165" w:right="-19" w:firstLine="0"/>
        <w:jc w:val="left"/>
        <w:rPr>
          <w:rFonts w:ascii="宋体" w:hAnsi="宋体" w:cs="宋体" w:eastAsia="宋体" w:hint="default"/>
          <w:sz w:val="14"/>
          <w:szCs w:val="14"/>
        </w:rPr>
      </w:pPr>
      <w:r>
        <w:rPr>
          <w:rFonts w:ascii="宋体" w:hAnsi="宋体" w:cs="宋体" w:eastAsia="宋体" w:hint="default"/>
          <w:w w:val="85"/>
          <w:sz w:val="14"/>
          <w:szCs w:val="14"/>
        </w:rPr>
        <w:t>五</w:t>
      </w:r>
      <w:r>
        <w:rPr>
          <w:rFonts w:ascii="宋体" w:hAnsi="宋体" w:cs="宋体" w:eastAsia="宋体" w:hint="default"/>
          <w:spacing w:val="-38"/>
          <w:w w:val="85"/>
          <w:sz w:val="14"/>
          <w:szCs w:val="14"/>
        </w:rPr>
        <w:t> </w:t>
      </w:r>
      <w:r>
        <w:rPr>
          <w:rFonts w:ascii="宋体" w:hAnsi="宋体" w:cs="宋体" w:eastAsia="宋体" w:hint="default"/>
          <w:w w:val="85"/>
          <w:sz w:val="14"/>
          <w:szCs w:val="14"/>
        </w:rPr>
        <w:t>(30),</w:t>
      </w:r>
      <w:r>
        <w:rPr>
          <w:rFonts w:ascii="宋体" w:hAnsi="宋体" w:cs="宋体" w:eastAsia="宋体" w:hint="default"/>
          <w:sz w:val="14"/>
          <w:szCs w:val="14"/>
        </w:rPr>
      </w:r>
    </w:p>
    <w:p>
      <w:pPr>
        <w:spacing w:before="17"/>
        <w:ind w:left="165" w:right="-19" w:firstLine="0"/>
        <w:jc w:val="left"/>
        <w:rPr>
          <w:rFonts w:ascii="宋体" w:hAnsi="宋体" w:cs="宋体" w:eastAsia="宋体" w:hint="default"/>
          <w:sz w:val="14"/>
          <w:szCs w:val="14"/>
        </w:rPr>
      </w:pPr>
      <w:r>
        <w:rPr>
          <w:rFonts w:ascii="宋体" w:hAnsi="宋体" w:cs="宋体" w:eastAsia="宋体" w:hint="default"/>
          <w:w w:val="85"/>
          <w:sz w:val="14"/>
          <w:szCs w:val="14"/>
        </w:rPr>
        <w:t>五</w:t>
      </w:r>
      <w:r>
        <w:rPr>
          <w:rFonts w:ascii="宋体" w:hAnsi="宋体" w:cs="宋体" w:eastAsia="宋体" w:hint="default"/>
          <w:spacing w:val="-38"/>
          <w:w w:val="85"/>
          <w:sz w:val="14"/>
          <w:szCs w:val="14"/>
        </w:rPr>
        <w:t> </w:t>
      </w:r>
      <w:r>
        <w:rPr>
          <w:rFonts w:ascii="宋体" w:hAnsi="宋体" w:cs="宋体" w:eastAsia="宋体" w:hint="default"/>
          <w:w w:val="85"/>
          <w:sz w:val="14"/>
          <w:szCs w:val="14"/>
        </w:rPr>
        <w:t>(31),</w:t>
      </w:r>
      <w:r>
        <w:rPr>
          <w:rFonts w:ascii="宋体" w:hAnsi="宋体" w:cs="宋体" w:eastAsia="宋体" w:hint="default"/>
          <w:sz w:val="14"/>
          <w:szCs w:val="14"/>
        </w:rPr>
      </w:r>
    </w:p>
    <w:p>
      <w:pPr>
        <w:spacing w:before="17"/>
        <w:ind w:left="181" w:right="-4" w:firstLine="0"/>
        <w:jc w:val="left"/>
        <w:rPr>
          <w:rFonts w:ascii="宋体" w:hAnsi="宋体" w:cs="宋体" w:eastAsia="宋体" w:hint="default"/>
          <w:sz w:val="14"/>
          <w:szCs w:val="14"/>
        </w:rPr>
      </w:pPr>
      <w:r>
        <w:rPr>
          <w:rFonts w:ascii="宋体" w:hAnsi="宋体" w:cs="宋体" w:eastAsia="宋体" w:hint="default"/>
          <w:w w:val="90"/>
          <w:sz w:val="14"/>
          <w:szCs w:val="14"/>
        </w:rPr>
        <w:t>五</w:t>
      </w:r>
      <w:r>
        <w:rPr>
          <w:rFonts w:ascii="宋体" w:hAnsi="宋体" w:cs="宋体" w:eastAsia="宋体" w:hint="default"/>
          <w:spacing w:val="-34"/>
          <w:w w:val="90"/>
          <w:sz w:val="14"/>
          <w:szCs w:val="14"/>
        </w:rPr>
        <w:t> </w:t>
      </w:r>
      <w:r>
        <w:rPr>
          <w:rFonts w:ascii="宋体" w:hAnsi="宋体" w:cs="宋体" w:eastAsia="宋体" w:hint="default"/>
          <w:w w:val="90"/>
          <w:sz w:val="14"/>
          <w:szCs w:val="14"/>
        </w:rPr>
        <w:t>(32)</w:t>
      </w:r>
      <w:r>
        <w:rPr>
          <w:rFonts w:ascii="宋体" w:hAnsi="宋体" w:cs="宋体" w:eastAsia="宋体" w:hint="default"/>
          <w:sz w:val="14"/>
          <w:szCs w:val="14"/>
        </w:rPr>
      </w:r>
    </w:p>
    <w:p>
      <w:pPr>
        <w:tabs>
          <w:tab w:pos="1883" w:val="left" w:leader="none"/>
          <w:tab w:pos="2835" w:val="left" w:leader="none"/>
          <w:tab w:pos="4773" w:val="left" w:leader="none"/>
          <w:tab w:pos="5665" w:val="left" w:leader="none"/>
          <w:tab w:pos="7046" w:val="left" w:leader="none"/>
          <w:tab w:pos="8152" w:val="left" w:leader="none"/>
          <w:tab w:pos="9285" w:val="left" w:leader="none"/>
        </w:tabs>
        <w:spacing w:line="130" w:lineRule="exact" w:before="0"/>
        <w:ind w:left="794" w:right="0" w:firstLine="0"/>
        <w:jc w:val="left"/>
        <w:rPr>
          <w:rFonts w:ascii="宋体" w:hAnsi="宋体" w:cs="宋体" w:eastAsia="宋体" w:hint="default"/>
          <w:sz w:val="14"/>
          <w:szCs w:val="14"/>
        </w:rPr>
      </w:pPr>
      <w:r>
        <w:rPr>
          <w:w w:val="110"/>
        </w:rPr>
        <w:br w:type="column"/>
      </w:r>
      <w:r>
        <w:rPr>
          <w:rFonts w:ascii="宋体"/>
          <w:w w:val="110"/>
          <w:sz w:val="14"/>
        </w:rPr>
        <w:t>-</w:t>
        <w:tab/>
        <w:t>-</w:t>
        <w:tab/>
      </w:r>
      <w:r>
        <w:rPr>
          <w:rFonts w:ascii="宋体"/>
          <w:w w:val="105"/>
          <w:sz w:val="14"/>
        </w:rPr>
        <w:t>-</w:t>
      </w:r>
      <w:r>
        <w:rPr>
          <w:rFonts w:ascii="宋体"/>
          <w:spacing w:val="24"/>
          <w:w w:val="105"/>
          <w:sz w:val="14"/>
        </w:rPr>
        <w:t> </w:t>
      </w:r>
      <w:r>
        <w:rPr>
          <w:rFonts w:ascii="宋体"/>
          <w:spacing w:val="-7"/>
          <w:w w:val="105"/>
          <w:sz w:val="14"/>
        </w:rPr>
        <w:t>(107,688,101)</w:t>
        <w:tab/>
      </w:r>
      <w:r>
        <w:rPr>
          <w:rFonts w:ascii="宋体"/>
          <w:w w:val="110"/>
          <w:sz w:val="14"/>
        </w:rPr>
        <w:t>-</w:t>
        <w:tab/>
        <w:t>-</w:t>
      </w:r>
      <w:r>
        <w:rPr>
          <w:rFonts w:ascii="宋体"/>
          <w:spacing w:val="13"/>
          <w:w w:val="110"/>
          <w:sz w:val="14"/>
        </w:rPr>
        <w:t> </w:t>
      </w:r>
      <w:r>
        <w:rPr>
          <w:rFonts w:ascii="宋体"/>
          <w:w w:val="110"/>
          <w:sz w:val="14"/>
        </w:rPr>
        <w:t>4,080,771,727</w:t>
        <w:tab/>
      </w:r>
      <w:r>
        <w:rPr>
          <w:rFonts w:ascii="宋体"/>
          <w:w w:val="95"/>
          <w:sz w:val="14"/>
        </w:rPr>
        <w:t>3,973,083,626</w:t>
        <w:tab/>
        <w:t>5,082,487,651</w:t>
        <w:tab/>
      </w:r>
      <w:r>
        <w:rPr>
          <w:rFonts w:ascii="宋体"/>
          <w:w w:val="105"/>
          <w:sz w:val="14"/>
        </w:rPr>
        <w:t>9,055,571,277</w:t>
      </w:r>
      <w:r>
        <w:rPr>
          <w:rFonts w:ascii="宋体"/>
          <w:sz w:val="14"/>
        </w:rPr>
      </w:r>
    </w:p>
    <w:p>
      <w:pPr>
        <w:spacing w:line="240" w:lineRule="auto" w:before="0"/>
        <w:rPr>
          <w:rFonts w:ascii="宋体" w:hAnsi="宋体" w:cs="宋体" w:eastAsia="宋体" w:hint="default"/>
          <w:sz w:val="14"/>
          <w:szCs w:val="14"/>
        </w:rPr>
      </w:pPr>
    </w:p>
    <w:p>
      <w:pPr>
        <w:spacing w:line="240" w:lineRule="auto" w:before="0"/>
        <w:rPr>
          <w:rFonts w:ascii="宋体" w:hAnsi="宋体" w:cs="宋体" w:eastAsia="宋体" w:hint="default"/>
          <w:sz w:val="14"/>
          <w:szCs w:val="14"/>
        </w:rPr>
      </w:pPr>
    </w:p>
    <w:p>
      <w:pPr>
        <w:spacing w:line="240" w:lineRule="auto" w:before="6"/>
        <w:rPr>
          <w:rFonts w:ascii="宋体" w:hAnsi="宋体" w:cs="宋体" w:eastAsia="宋体" w:hint="default"/>
          <w:sz w:val="20"/>
          <w:szCs w:val="20"/>
        </w:rPr>
      </w:pPr>
    </w:p>
    <w:p>
      <w:pPr>
        <w:tabs>
          <w:tab w:pos="3784" w:val="left" w:leader="none"/>
          <w:tab w:pos="4773" w:val="left" w:leader="none"/>
          <w:tab w:pos="5665" w:val="left" w:leader="none"/>
          <w:tab w:pos="6741" w:val="left" w:leader="none"/>
          <w:tab w:pos="7847" w:val="left" w:leader="none"/>
          <w:tab w:pos="8423" w:val="left" w:leader="none"/>
          <w:tab w:pos="9556" w:val="left" w:leader="none"/>
        </w:tabs>
        <w:spacing w:before="0"/>
        <w:ind w:left="165" w:right="0" w:firstLine="0"/>
        <w:jc w:val="left"/>
        <w:rPr>
          <w:rFonts w:ascii="宋体" w:hAnsi="宋体" w:cs="宋体" w:eastAsia="宋体" w:hint="default"/>
          <w:sz w:val="14"/>
          <w:szCs w:val="14"/>
        </w:rPr>
      </w:pPr>
      <w:r>
        <w:rPr>
          <w:rFonts w:ascii="宋体"/>
          <w:spacing w:val="-6"/>
          <w:sz w:val="14"/>
        </w:rPr>
        <w:t>793,861,000  </w:t>
      </w:r>
      <w:r>
        <w:rPr>
          <w:rFonts w:ascii="宋体"/>
          <w:sz w:val="14"/>
        </w:rPr>
        <w:t>2,214,872,190</w:t>
      </w:r>
      <w:r>
        <w:rPr>
          <w:rFonts w:ascii="宋体"/>
          <w:spacing w:val="-51"/>
          <w:sz w:val="14"/>
        </w:rPr>
        <w:t> </w:t>
      </w:r>
      <w:r>
        <w:rPr>
          <w:rFonts w:ascii="宋体"/>
          <w:spacing w:val="-4"/>
          <w:sz w:val="14"/>
        </w:rPr>
        <w:t>(3,008,733,190)</w:t>
        <w:tab/>
      </w:r>
      <w:r>
        <w:rPr>
          <w:rFonts w:ascii="宋体"/>
          <w:w w:val="110"/>
          <w:sz w:val="14"/>
        </w:rPr>
        <w:t>-</w:t>
        <w:tab/>
        <w:t>-</w:t>
        <w:tab/>
        <w:t>-</w:t>
        <w:tab/>
        <w:t>-</w:t>
        <w:tab/>
        <w:t>-</w:t>
        <w:tab/>
      </w:r>
      <w:r>
        <w:rPr>
          <w:rFonts w:ascii="宋体"/>
          <w:w w:val="95"/>
          <w:sz w:val="14"/>
        </w:rPr>
        <w:t>7,300,000</w:t>
        <w:tab/>
      </w:r>
      <w:r>
        <w:rPr>
          <w:rFonts w:ascii="宋体"/>
          <w:w w:val="105"/>
          <w:sz w:val="14"/>
        </w:rPr>
        <w:t>7,300,000</w:t>
      </w:r>
      <w:r>
        <w:rPr>
          <w:rFonts w:ascii="宋体"/>
          <w:sz w:val="14"/>
        </w:rPr>
      </w:r>
    </w:p>
    <w:p>
      <w:pPr>
        <w:spacing w:after="0"/>
        <w:jc w:val="left"/>
        <w:rPr>
          <w:rFonts w:ascii="宋体" w:hAnsi="宋体" w:cs="宋体" w:eastAsia="宋体" w:hint="default"/>
          <w:sz w:val="14"/>
          <w:szCs w:val="14"/>
        </w:rPr>
        <w:sectPr>
          <w:type w:val="continuous"/>
          <w:pgSz w:w="16160" w:h="11910" w:orient="landscape"/>
          <w:pgMar w:top="1520" w:bottom="280" w:left="940" w:right="1660"/>
          <w:cols w:num="3" w:equalWidth="0">
            <w:col w:w="1835" w:space="660"/>
            <w:col w:w="605" w:space="124"/>
            <w:col w:w="10336"/>
          </w:cols>
        </w:sectPr>
      </w:pPr>
    </w:p>
    <w:p>
      <w:pPr>
        <w:spacing w:before="75"/>
        <w:ind w:left="562" w:right="0" w:firstLine="0"/>
        <w:jc w:val="left"/>
        <w:rPr>
          <w:rFonts w:ascii="宋体" w:hAnsi="宋体" w:cs="宋体" w:eastAsia="宋体" w:hint="default"/>
          <w:sz w:val="14"/>
          <w:szCs w:val="14"/>
        </w:rPr>
      </w:pPr>
      <w:r>
        <w:rPr/>
        <w:pict>
          <v:shape style="position:absolute;margin-left:246.162598pt;margin-top:2.5128pt;width:472.75pt;height:31.9pt;mso-position-horizontal-relative:page;mso-position-vertical-relative:paragraph;z-index:90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355"/>
                    <w:gridCol w:w="1242"/>
                    <w:gridCol w:w="4748"/>
                    <w:gridCol w:w="1119"/>
                    <w:gridCol w:w="990"/>
                  </w:tblGrid>
                  <w:tr>
                    <w:trPr>
                      <w:trHeight w:val="328" w:hRule="exact"/>
                    </w:trPr>
                    <w:tc>
                      <w:tcPr>
                        <w:tcW w:w="1355" w:type="dxa"/>
                        <w:tcBorders>
                          <w:top w:val="nil" w:sz="6" w:space="0" w:color="auto"/>
                          <w:left w:val="nil" w:sz="6" w:space="0" w:color="auto"/>
                          <w:bottom w:val="nil" w:sz="6" w:space="0" w:color="auto"/>
                          <w:right w:val="nil" w:sz="6" w:space="0" w:color="auto"/>
                        </w:tcBorders>
                      </w:tcPr>
                      <w:p>
                        <w:pPr>
                          <w:pStyle w:val="TableParagraph"/>
                          <w:tabs>
                            <w:tab w:pos="439" w:val="left" w:leader="none"/>
                          </w:tabs>
                          <w:spacing w:line="240" w:lineRule="auto" w:before="24"/>
                          <w:ind w:left="35" w:right="0"/>
                          <w:jc w:val="left"/>
                          <w:rPr>
                            <w:rFonts w:ascii="宋体" w:hAnsi="宋体" w:cs="宋体" w:eastAsia="宋体" w:hint="default"/>
                            <w:sz w:val="14"/>
                            <w:szCs w:val="14"/>
                          </w:rPr>
                        </w:pPr>
                        <w:r>
                          <w:rPr>
                            <w:rFonts w:ascii="宋体"/>
                            <w:w w:val="115"/>
                            <w:sz w:val="14"/>
                          </w:rPr>
                          <w:t>-</w:t>
                          <w:tab/>
                        </w:r>
                        <w:r>
                          <w:rPr>
                            <w:rFonts w:ascii="宋体"/>
                            <w:w w:val="110"/>
                            <w:sz w:val="14"/>
                          </w:rPr>
                          <w:t>613,920,000</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426"/>
                          <w:jc w:val="right"/>
                          <w:rPr>
                            <w:rFonts w:ascii="宋体" w:hAnsi="宋体" w:cs="宋体" w:eastAsia="宋体" w:hint="default"/>
                            <w:sz w:val="14"/>
                            <w:szCs w:val="14"/>
                          </w:rPr>
                        </w:pPr>
                        <w:r>
                          <w:rPr>
                            <w:rFonts w:ascii="宋体"/>
                            <w:w w:val="131"/>
                            <w:sz w:val="14"/>
                          </w:rPr>
                          <w:t>-</w:t>
                        </w:r>
                        <w:r>
                          <w:rPr>
                            <w:rFonts w:ascii="宋体"/>
                            <w:sz w:val="14"/>
                          </w:rPr>
                        </w:r>
                      </w:p>
                    </w:tc>
                    <w:tc>
                      <w:tcPr>
                        <w:tcW w:w="4748" w:type="dxa"/>
                        <w:tcBorders>
                          <w:top w:val="nil" w:sz="6" w:space="0" w:color="auto"/>
                          <w:left w:val="nil" w:sz="6" w:space="0" w:color="auto"/>
                          <w:bottom w:val="nil" w:sz="6" w:space="0" w:color="auto"/>
                          <w:right w:val="nil" w:sz="6" w:space="0" w:color="auto"/>
                        </w:tcBorders>
                      </w:tcPr>
                      <w:p>
                        <w:pPr>
                          <w:pStyle w:val="TableParagraph"/>
                          <w:tabs>
                            <w:tab w:pos="988" w:val="left" w:leader="none"/>
                            <w:tab w:pos="1880" w:val="left" w:leader="none"/>
                            <w:tab w:pos="2956" w:val="left" w:leader="none"/>
                            <w:tab w:pos="3378" w:val="left" w:leader="none"/>
                          </w:tabs>
                          <w:spacing w:line="240" w:lineRule="auto" w:before="24"/>
                          <w:ind w:right="162"/>
                          <w:jc w:val="right"/>
                          <w:rPr>
                            <w:rFonts w:ascii="宋体" w:hAnsi="宋体" w:cs="宋体" w:eastAsia="宋体" w:hint="default"/>
                            <w:sz w:val="14"/>
                            <w:szCs w:val="14"/>
                          </w:rPr>
                        </w:pPr>
                        <w:r>
                          <w:rPr>
                            <w:rFonts w:ascii="宋体"/>
                            <w:w w:val="120"/>
                            <w:sz w:val="14"/>
                          </w:rPr>
                          <w:t>-</w:t>
                          <w:tab/>
                          <w:t>-</w:t>
                          <w:tab/>
                          <w:t>-</w:t>
                          <w:tab/>
                          <w:t>-</w:t>
                          <w:tab/>
                        </w:r>
                        <w:r>
                          <w:rPr>
                            <w:rFonts w:ascii="宋体"/>
                            <w:sz w:val="14"/>
                          </w:rPr>
                          <w:t>613,920,000</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176"/>
                          <w:jc w:val="right"/>
                          <w:rPr>
                            <w:rFonts w:ascii="宋体" w:hAnsi="宋体" w:cs="宋体" w:eastAsia="宋体" w:hint="default"/>
                            <w:sz w:val="14"/>
                            <w:szCs w:val="14"/>
                          </w:rPr>
                        </w:pPr>
                        <w:r>
                          <w:rPr>
                            <w:rFonts w:ascii="宋体"/>
                            <w:w w:val="131"/>
                            <w:sz w:val="14"/>
                          </w:rPr>
                          <w:t>-</w:t>
                        </w:r>
                        <w:r>
                          <w:rPr>
                            <w:rFonts w:ascii="宋体"/>
                            <w:sz w:val="14"/>
                          </w:rPr>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24"/>
                          <w:ind w:right="33"/>
                          <w:jc w:val="right"/>
                          <w:rPr>
                            <w:rFonts w:ascii="宋体" w:hAnsi="宋体" w:cs="宋体" w:eastAsia="宋体" w:hint="default"/>
                            <w:sz w:val="14"/>
                            <w:szCs w:val="14"/>
                          </w:rPr>
                        </w:pPr>
                        <w:r>
                          <w:rPr>
                            <w:rFonts w:ascii="宋体"/>
                            <w:sz w:val="14"/>
                          </w:rPr>
                          <w:t>613,920,000</w:t>
                        </w:r>
                      </w:p>
                    </w:tc>
                  </w:tr>
                  <w:tr>
                    <w:trPr>
                      <w:trHeight w:val="309" w:hRule="exact"/>
                    </w:trPr>
                    <w:tc>
                      <w:tcPr>
                        <w:tcW w:w="1355" w:type="dxa"/>
                        <w:tcBorders>
                          <w:top w:val="nil" w:sz="6" w:space="0" w:color="auto"/>
                          <w:left w:val="nil" w:sz="6" w:space="0" w:color="auto"/>
                          <w:bottom w:val="nil" w:sz="6" w:space="0" w:color="auto"/>
                          <w:right w:val="nil" w:sz="6" w:space="0" w:color="auto"/>
                        </w:tcBorders>
                      </w:tcPr>
                      <w:p>
                        <w:pPr>
                          <w:pStyle w:val="TableParagraph"/>
                          <w:tabs>
                            <w:tab w:pos="439" w:val="left" w:leader="none"/>
                          </w:tabs>
                          <w:spacing w:line="240" w:lineRule="auto" w:before="55"/>
                          <w:ind w:left="35" w:right="0"/>
                          <w:jc w:val="left"/>
                          <w:rPr>
                            <w:rFonts w:ascii="宋体" w:hAnsi="宋体" w:cs="宋体" w:eastAsia="宋体" w:hint="default"/>
                            <w:sz w:val="14"/>
                            <w:szCs w:val="14"/>
                          </w:rPr>
                        </w:pPr>
                        <w:r>
                          <w:rPr>
                            <w:rFonts w:ascii="宋体"/>
                            <w:w w:val="115"/>
                            <w:sz w:val="14"/>
                          </w:rPr>
                          <w:t>-</w:t>
                          <w:tab/>
                        </w:r>
                        <w:r>
                          <w:rPr>
                            <w:rFonts w:ascii="宋体"/>
                            <w:w w:val="110"/>
                            <w:sz w:val="14"/>
                          </w:rPr>
                          <w:t>368,445,028</w:t>
                        </w:r>
                      </w:p>
                    </w:tc>
                    <w:tc>
                      <w:tcPr>
                        <w:tcW w:w="1242"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429"/>
                          <w:jc w:val="right"/>
                          <w:rPr>
                            <w:rFonts w:ascii="宋体" w:hAnsi="宋体" w:cs="宋体" w:eastAsia="宋体" w:hint="default"/>
                            <w:sz w:val="14"/>
                            <w:szCs w:val="14"/>
                          </w:rPr>
                        </w:pPr>
                        <w:r>
                          <w:rPr>
                            <w:rFonts w:ascii="宋体"/>
                            <w:spacing w:val="-3"/>
                            <w:w w:val="95"/>
                            <w:sz w:val="14"/>
                          </w:rPr>
                          <w:t>15,718,448</w:t>
                        </w:r>
                        <w:r>
                          <w:rPr>
                            <w:rFonts w:ascii="宋体"/>
                            <w:sz w:val="14"/>
                          </w:rPr>
                        </w:r>
                      </w:p>
                    </w:tc>
                    <w:tc>
                      <w:tcPr>
                        <w:tcW w:w="4748" w:type="dxa"/>
                        <w:tcBorders>
                          <w:top w:val="nil" w:sz="6" w:space="0" w:color="auto"/>
                          <w:left w:val="nil" w:sz="6" w:space="0" w:color="auto"/>
                          <w:bottom w:val="nil" w:sz="6" w:space="0" w:color="auto"/>
                          <w:right w:val="nil" w:sz="6" w:space="0" w:color="auto"/>
                        </w:tcBorders>
                      </w:tcPr>
                      <w:p>
                        <w:pPr>
                          <w:pStyle w:val="TableParagraph"/>
                          <w:tabs>
                            <w:tab w:pos="988" w:val="left" w:leader="none"/>
                            <w:tab w:pos="1880" w:val="left" w:leader="none"/>
                            <w:tab w:pos="2956" w:val="left" w:leader="none"/>
                            <w:tab w:pos="3378" w:val="left" w:leader="none"/>
                          </w:tabs>
                          <w:spacing w:line="240" w:lineRule="auto" w:before="55"/>
                          <w:ind w:right="162"/>
                          <w:jc w:val="right"/>
                          <w:rPr>
                            <w:rFonts w:ascii="宋体" w:hAnsi="宋体" w:cs="宋体" w:eastAsia="宋体" w:hint="default"/>
                            <w:sz w:val="14"/>
                            <w:szCs w:val="14"/>
                          </w:rPr>
                        </w:pPr>
                        <w:r>
                          <w:rPr>
                            <w:rFonts w:ascii="宋体"/>
                            <w:w w:val="120"/>
                            <w:sz w:val="14"/>
                          </w:rPr>
                          <w:t>-</w:t>
                          <w:tab/>
                          <w:t>-</w:t>
                          <w:tab/>
                          <w:t>-</w:t>
                          <w:tab/>
                          <w:t>-</w:t>
                          <w:tab/>
                        </w:r>
                        <w:r>
                          <w:rPr>
                            <w:rFonts w:ascii="宋体"/>
                            <w:sz w:val="14"/>
                          </w:rPr>
                          <w:t>384,163,476</w:t>
                        </w:r>
                      </w:p>
                    </w:tc>
                    <w:tc>
                      <w:tcPr>
                        <w:tcW w:w="1119"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76"/>
                          <w:jc w:val="right"/>
                          <w:rPr>
                            <w:rFonts w:ascii="宋体" w:hAnsi="宋体" w:cs="宋体" w:eastAsia="宋体" w:hint="default"/>
                            <w:sz w:val="14"/>
                            <w:szCs w:val="14"/>
                          </w:rPr>
                        </w:pPr>
                        <w:r>
                          <w:rPr>
                            <w:rFonts w:ascii="宋体"/>
                            <w:sz w:val="14"/>
                          </w:rPr>
                          <w:t>470,116,763</w:t>
                        </w:r>
                      </w:p>
                    </w:tc>
                    <w:tc>
                      <w:tcPr>
                        <w:tcW w:w="990"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4"/>
                            <w:szCs w:val="14"/>
                          </w:rPr>
                        </w:pPr>
                        <w:r>
                          <w:rPr>
                            <w:rFonts w:ascii="宋体"/>
                            <w:sz w:val="14"/>
                          </w:rPr>
                          <w:t>854,280,239</w:t>
                        </w:r>
                      </w:p>
                    </w:tc>
                  </w:tr>
                </w:tbl>
                <w:p>
                  <w:pPr/>
                </w:p>
              </w:txbxContent>
            </v:textbox>
            <w10:wrap type="none"/>
          </v:shape>
        </w:pict>
      </w:r>
      <w:r>
        <w:rPr>
          <w:rFonts w:ascii="宋体" w:hAnsi="宋体" w:cs="宋体" w:eastAsia="宋体" w:hint="default"/>
          <w:sz w:val="14"/>
          <w:szCs w:val="14"/>
        </w:rPr>
        <w:t>2.</w:t>
      </w:r>
      <w:r>
        <w:rPr>
          <w:rFonts w:ascii="宋体" w:hAnsi="宋体" w:cs="宋体" w:eastAsia="宋体" w:hint="default"/>
          <w:spacing w:val="-47"/>
          <w:sz w:val="14"/>
          <w:szCs w:val="14"/>
        </w:rPr>
        <w:t> </w:t>
      </w:r>
      <w:r>
        <w:rPr>
          <w:rFonts w:ascii="宋体" w:hAnsi="宋体" w:cs="宋体" w:eastAsia="宋体" w:hint="default"/>
          <w:sz w:val="14"/>
          <w:szCs w:val="14"/>
        </w:rPr>
        <w:t>股份支付计入股东权益的金额</w:t>
      </w:r>
      <w:r>
        <w:rPr>
          <w:rFonts w:ascii="宋体" w:hAnsi="宋体" w:cs="宋体" w:eastAsia="宋体" w:hint="default"/>
          <w:spacing w:val="23"/>
          <w:sz w:val="14"/>
          <w:szCs w:val="14"/>
        </w:rPr>
        <w:t> </w:t>
      </w:r>
      <w:r>
        <w:rPr>
          <w:rFonts w:ascii="宋体" w:hAnsi="宋体" w:cs="宋体" w:eastAsia="宋体" w:hint="default"/>
          <w:sz w:val="14"/>
          <w:szCs w:val="14"/>
        </w:rPr>
        <w:t>五</w:t>
      </w:r>
      <w:r>
        <w:rPr>
          <w:rFonts w:ascii="宋体" w:hAnsi="宋体" w:cs="宋体" w:eastAsia="宋体" w:hint="default"/>
          <w:spacing w:val="-47"/>
          <w:sz w:val="14"/>
          <w:szCs w:val="14"/>
        </w:rPr>
        <w:t> </w:t>
      </w:r>
      <w:r>
        <w:rPr>
          <w:rFonts w:ascii="宋体" w:hAnsi="宋体" w:cs="宋体" w:eastAsia="宋体" w:hint="default"/>
          <w:sz w:val="14"/>
          <w:szCs w:val="14"/>
        </w:rPr>
        <w:t>(31)</w:t>
      </w:r>
    </w:p>
    <w:p>
      <w:pPr>
        <w:spacing w:line="154" w:lineRule="exact" w:before="75"/>
        <w:ind w:left="2659" w:right="0" w:firstLine="0"/>
        <w:jc w:val="left"/>
        <w:rPr>
          <w:rFonts w:ascii="宋体" w:hAnsi="宋体" w:cs="宋体" w:eastAsia="宋体" w:hint="default"/>
          <w:sz w:val="14"/>
          <w:szCs w:val="14"/>
        </w:rPr>
      </w:pPr>
      <w:r>
        <w:rPr>
          <w:rFonts w:ascii="宋体" w:hAnsi="宋体" w:cs="宋体" w:eastAsia="宋体" w:hint="default"/>
          <w:w w:val="85"/>
          <w:sz w:val="14"/>
          <w:szCs w:val="14"/>
        </w:rPr>
        <w:t>五</w:t>
      </w:r>
      <w:r>
        <w:rPr>
          <w:rFonts w:ascii="宋体" w:hAnsi="宋体" w:cs="宋体" w:eastAsia="宋体" w:hint="default"/>
          <w:spacing w:val="-38"/>
          <w:w w:val="85"/>
          <w:sz w:val="14"/>
          <w:szCs w:val="14"/>
        </w:rPr>
        <w:t> </w:t>
      </w:r>
      <w:r>
        <w:rPr>
          <w:rFonts w:ascii="宋体" w:hAnsi="宋体" w:cs="宋体" w:eastAsia="宋体" w:hint="default"/>
          <w:w w:val="85"/>
          <w:sz w:val="14"/>
          <w:szCs w:val="14"/>
        </w:rPr>
        <w:t>(31),</w:t>
      </w:r>
      <w:r>
        <w:rPr>
          <w:rFonts w:ascii="宋体" w:hAnsi="宋体" w:cs="宋体" w:eastAsia="宋体" w:hint="default"/>
          <w:sz w:val="14"/>
          <w:szCs w:val="14"/>
        </w:rPr>
      </w:r>
    </w:p>
    <w:p>
      <w:pPr>
        <w:spacing w:after="0" w:line="154" w:lineRule="exact"/>
        <w:jc w:val="left"/>
        <w:rPr>
          <w:rFonts w:ascii="宋体" w:hAnsi="宋体" w:cs="宋体" w:eastAsia="宋体" w:hint="default"/>
          <w:sz w:val="14"/>
          <w:szCs w:val="14"/>
        </w:rPr>
        <w:sectPr>
          <w:type w:val="continuous"/>
          <w:pgSz w:w="16160" w:h="11910" w:orient="landscape"/>
          <w:pgMar w:top="1520" w:bottom="280" w:left="940" w:right="1660"/>
        </w:sectPr>
      </w:pPr>
    </w:p>
    <w:p>
      <w:pPr>
        <w:spacing w:line="130" w:lineRule="exact" w:before="0"/>
        <w:ind w:left="542" w:right="540" w:firstLine="0"/>
        <w:jc w:val="center"/>
        <w:rPr>
          <w:rFonts w:ascii="宋体" w:hAnsi="宋体" w:cs="宋体" w:eastAsia="宋体" w:hint="default"/>
          <w:sz w:val="14"/>
          <w:szCs w:val="14"/>
        </w:rPr>
      </w:pPr>
      <w:r>
        <w:rPr>
          <w:rFonts w:ascii="宋体" w:hAnsi="宋体" w:cs="宋体" w:eastAsia="宋体" w:hint="default"/>
          <w:w w:val="95"/>
          <w:sz w:val="14"/>
          <w:szCs w:val="14"/>
        </w:rPr>
        <w:t>3.</w:t>
      </w:r>
      <w:r>
        <w:rPr>
          <w:rFonts w:ascii="宋体" w:hAnsi="宋体" w:cs="宋体" w:eastAsia="宋体" w:hint="default"/>
          <w:spacing w:val="-35"/>
          <w:w w:val="95"/>
          <w:sz w:val="14"/>
          <w:szCs w:val="14"/>
        </w:rPr>
        <w:t> </w:t>
      </w:r>
      <w:r>
        <w:rPr>
          <w:rFonts w:ascii="宋体" w:hAnsi="宋体" w:cs="宋体" w:eastAsia="宋体" w:hint="default"/>
          <w:w w:val="95"/>
          <w:sz w:val="14"/>
          <w:szCs w:val="14"/>
        </w:rPr>
        <w:t>其他</w:t>
      </w:r>
    </w:p>
    <w:p>
      <w:pPr>
        <w:spacing w:line="240" w:lineRule="auto" w:before="5"/>
        <w:rPr>
          <w:rFonts w:ascii="宋体" w:hAnsi="宋体" w:cs="宋体" w:eastAsia="宋体" w:hint="default"/>
          <w:sz w:val="13"/>
          <w:szCs w:val="13"/>
        </w:rPr>
      </w:pPr>
    </w:p>
    <w:p>
      <w:pPr>
        <w:spacing w:before="0"/>
        <w:ind w:left="165" w:right="-19" w:firstLine="0"/>
        <w:jc w:val="left"/>
        <w:rPr>
          <w:rFonts w:ascii="宋体" w:hAnsi="宋体" w:cs="宋体" w:eastAsia="宋体" w:hint="default"/>
          <w:sz w:val="14"/>
          <w:szCs w:val="14"/>
        </w:rPr>
      </w:pPr>
      <w:r>
        <w:rPr>
          <w:rFonts w:ascii="宋体" w:hAnsi="宋体" w:cs="宋体" w:eastAsia="宋体" w:hint="default"/>
          <w:sz w:val="14"/>
          <w:szCs w:val="14"/>
        </w:rPr>
        <w:t>（三）利润分配</w:t>
      </w:r>
    </w:p>
    <w:p>
      <w:pPr>
        <w:spacing w:line="240" w:lineRule="auto" w:before="5"/>
        <w:rPr>
          <w:rFonts w:ascii="宋体" w:hAnsi="宋体" w:cs="宋体" w:eastAsia="宋体" w:hint="default"/>
          <w:sz w:val="13"/>
          <w:szCs w:val="13"/>
        </w:rPr>
      </w:pPr>
    </w:p>
    <w:p>
      <w:pPr>
        <w:spacing w:before="0"/>
        <w:ind w:left="562" w:right="-19" w:firstLine="0"/>
        <w:jc w:val="left"/>
        <w:rPr>
          <w:rFonts w:ascii="宋体" w:hAnsi="宋体" w:cs="宋体" w:eastAsia="宋体" w:hint="default"/>
          <w:sz w:val="14"/>
          <w:szCs w:val="14"/>
        </w:rPr>
      </w:pPr>
      <w:r>
        <w:rPr>
          <w:rFonts w:ascii="宋体" w:hAnsi="宋体" w:cs="宋体" w:eastAsia="宋体" w:hint="default"/>
          <w:w w:val="95"/>
          <w:sz w:val="14"/>
          <w:szCs w:val="14"/>
        </w:rPr>
        <w:t>1.</w:t>
      </w:r>
      <w:r>
        <w:rPr>
          <w:rFonts w:ascii="宋体" w:hAnsi="宋体" w:cs="宋体" w:eastAsia="宋体" w:hint="default"/>
          <w:spacing w:val="-7"/>
          <w:w w:val="95"/>
          <w:sz w:val="14"/>
          <w:szCs w:val="14"/>
        </w:rPr>
        <w:t> </w:t>
      </w:r>
      <w:r>
        <w:rPr>
          <w:rFonts w:ascii="宋体" w:hAnsi="宋体" w:cs="宋体" w:eastAsia="宋体" w:hint="default"/>
          <w:w w:val="95"/>
          <w:sz w:val="14"/>
          <w:szCs w:val="14"/>
        </w:rPr>
        <w:t>提取盈余公积</w:t>
      </w:r>
    </w:p>
    <w:p>
      <w:pPr>
        <w:spacing w:before="46"/>
        <w:ind w:left="180" w:right="0" w:firstLine="0"/>
        <w:jc w:val="left"/>
        <w:rPr>
          <w:rFonts w:ascii="宋体" w:hAnsi="宋体" w:cs="宋体" w:eastAsia="宋体" w:hint="default"/>
          <w:sz w:val="14"/>
          <w:szCs w:val="14"/>
        </w:rPr>
      </w:pPr>
      <w:r>
        <w:rPr>
          <w:w w:val="90"/>
        </w:rPr>
        <w:br w:type="column"/>
      </w:r>
      <w:r>
        <w:rPr>
          <w:rFonts w:ascii="宋体" w:hAnsi="宋体" w:cs="宋体" w:eastAsia="宋体" w:hint="default"/>
          <w:w w:val="90"/>
          <w:sz w:val="14"/>
          <w:szCs w:val="14"/>
        </w:rPr>
        <w:t>五</w:t>
      </w:r>
      <w:r>
        <w:rPr>
          <w:rFonts w:ascii="宋体" w:hAnsi="宋体" w:cs="宋体" w:eastAsia="宋体" w:hint="default"/>
          <w:spacing w:val="-34"/>
          <w:w w:val="90"/>
          <w:sz w:val="14"/>
          <w:szCs w:val="14"/>
        </w:rPr>
        <w:t> </w:t>
      </w:r>
      <w:r>
        <w:rPr>
          <w:rFonts w:ascii="宋体" w:hAnsi="宋体" w:cs="宋体" w:eastAsia="宋体" w:hint="default"/>
          <w:w w:val="90"/>
          <w:sz w:val="14"/>
          <w:szCs w:val="14"/>
        </w:rPr>
        <w:t>(32)</w:t>
      </w:r>
      <w:r>
        <w:rPr>
          <w:rFonts w:ascii="宋体" w:hAnsi="宋体" w:cs="宋体" w:eastAsia="宋体" w:hint="default"/>
          <w:sz w:val="14"/>
          <w:szCs w:val="14"/>
        </w:rPr>
      </w:r>
    </w:p>
    <w:p>
      <w:pPr>
        <w:spacing w:line="240" w:lineRule="auto" w:before="0"/>
        <w:rPr>
          <w:rFonts w:ascii="宋体" w:hAnsi="宋体" w:cs="宋体" w:eastAsia="宋体" w:hint="default"/>
          <w:sz w:val="14"/>
          <w:szCs w:val="14"/>
        </w:rPr>
      </w:pPr>
    </w:p>
    <w:p>
      <w:pPr>
        <w:spacing w:line="240" w:lineRule="auto" w:before="7"/>
        <w:rPr>
          <w:rFonts w:ascii="宋体" w:hAnsi="宋体" w:cs="宋体" w:eastAsia="宋体" w:hint="default"/>
          <w:sz w:val="11"/>
          <w:szCs w:val="11"/>
        </w:rPr>
      </w:pPr>
    </w:p>
    <w:p>
      <w:pPr>
        <w:spacing w:before="0"/>
        <w:ind w:left="165" w:right="0" w:firstLine="0"/>
        <w:jc w:val="left"/>
        <w:rPr>
          <w:rFonts w:ascii="宋体" w:hAnsi="宋体" w:cs="宋体" w:eastAsia="宋体" w:hint="default"/>
          <w:sz w:val="14"/>
          <w:szCs w:val="14"/>
        </w:rPr>
      </w:pPr>
      <w:r>
        <w:rPr/>
        <w:pict>
          <v:shape style="position:absolute;margin-left:246.162598pt;margin-top:2.685896pt;width:472.75pt;height:47.35pt;mso-position-horizontal-relative:page;mso-position-vertical-relative:paragraph;z-index:91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64"/>
                    <w:gridCol w:w="945"/>
                    <w:gridCol w:w="1091"/>
                    <w:gridCol w:w="1106"/>
                    <w:gridCol w:w="1061"/>
                    <w:gridCol w:w="1087"/>
                  </w:tblGrid>
                  <w:tr>
                    <w:trPr>
                      <w:trHeight w:val="349" w:hRule="exact"/>
                    </w:trPr>
                    <w:tc>
                      <w:tcPr>
                        <w:tcW w:w="4164" w:type="dxa"/>
                        <w:tcBorders>
                          <w:top w:val="nil" w:sz="6" w:space="0" w:color="auto"/>
                          <w:left w:val="nil" w:sz="6" w:space="0" w:color="auto"/>
                          <w:bottom w:val="nil" w:sz="6" w:space="0" w:color="auto"/>
                          <w:right w:val="nil" w:sz="6" w:space="0" w:color="auto"/>
                        </w:tcBorders>
                      </w:tcPr>
                      <w:p>
                        <w:pPr>
                          <w:pStyle w:val="TableParagraph"/>
                          <w:tabs>
                            <w:tab w:pos="1123" w:val="left" w:leader="none"/>
                            <w:tab w:pos="2075" w:val="left" w:leader="none"/>
                            <w:tab w:pos="3025" w:val="left" w:leader="none"/>
                            <w:tab w:pos="3407" w:val="left" w:leader="none"/>
                          </w:tabs>
                          <w:spacing w:line="240" w:lineRule="auto" w:before="46"/>
                          <w:ind w:left="35" w:right="0"/>
                          <w:jc w:val="left"/>
                          <w:rPr>
                            <w:rFonts w:ascii="宋体" w:hAnsi="宋体" w:cs="宋体" w:eastAsia="宋体" w:hint="default"/>
                            <w:sz w:val="14"/>
                            <w:szCs w:val="14"/>
                          </w:rPr>
                        </w:pPr>
                        <w:r>
                          <w:rPr>
                            <w:rFonts w:ascii="宋体"/>
                            <w:w w:val="120"/>
                            <w:sz w:val="14"/>
                          </w:rPr>
                          <w:t>-</w:t>
                          <w:tab/>
                          <w:t>-</w:t>
                          <w:tab/>
                          <w:t>-</w:t>
                          <w:tab/>
                          <w:t>-</w:t>
                          <w:tab/>
                        </w:r>
                        <w:r>
                          <w:rPr>
                            <w:rFonts w:ascii="宋体"/>
                            <w:w w:val="105"/>
                            <w:sz w:val="14"/>
                          </w:rPr>
                          <w:t>73,539,493</w:t>
                        </w:r>
                        <w:r>
                          <w:rPr>
                            <w:rFonts w:ascii="宋体"/>
                            <w:sz w:val="14"/>
                          </w:rPr>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09"/>
                          <w:jc w:val="right"/>
                          <w:rPr>
                            <w:rFonts w:ascii="宋体" w:hAnsi="宋体" w:cs="宋体" w:eastAsia="宋体" w:hint="default"/>
                            <w:sz w:val="14"/>
                            <w:szCs w:val="14"/>
                          </w:rPr>
                        </w:pPr>
                        <w:r>
                          <w:rPr>
                            <w:rFonts w:ascii="宋体"/>
                            <w:w w:val="131"/>
                            <w:sz w:val="14"/>
                          </w:rPr>
                          <w:t>-</w:t>
                        </w:r>
                        <w:r>
                          <w:rPr>
                            <w:rFonts w:ascii="宋体"/>
                            <w:sz w:val="14"/>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46"/>
                          <w:ind w:left="62" w:right="0"/>
                          <w:jc w:val="center"/>
                          <w:rPr>
                            <w:rFonts w:ascii="宋体" w:hAnsi="宋体" w:cs="宋体" w:eastAsia="宋体" w:hint="default"/>
                            <w:sz w:val="14"/>
                            <w:szCs w:val="14"/>
                          </w:rPr>
                        </w:pPr>
                        <w:r>
                          <w:rPr>
                            <w:rFonts w:ascii="宋体"/>
                            <w:sz w:val="14"/>
                          </w:rPr>
                          <w:t>(73,539,493)</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123"/>
                          <w:jc w:val="right"/>
                          <w:rPr>
                            <w:rFonts w:ascii="宋体" w:hAnsi="宋体" w:cs="宋体" w:eastAsia="宋体" w:hint="default"/>
                            <w:sz w:val="14"/>
                            <w:szCs w:val="14"/>
                          </w:rPr>
                        </w:pPr>
                        <w:r>
                          <w:rPr>
                            <w:rFonts w:ascii="宋体"/>
                            <w:w w:val="131"/>
                            <w:sz w:val="14"/>
                          </w:rPr>
                          <w:t>-</w:t>
                        </w:r>
                        <w:r>
                          <w:rPr>
                            <w:rFonts w:ascii="宋体"/>
                            <w:sz w:val="14"/>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79"/>
                          <w:jc w:val="right"/>
                          <w:rPr>
                            <w:rFonts w:ascii="宋体" w:hAnsi="宋体" w:cs="宋体" w:eastAsia="宋体" w:hint="default"/>
                            <w:sz w:val="14"/>
                            <w:szCs w:val="14"/>
                          </w:rPr>
                        </w:pPr>
                        <w:r>
                          <w:rPr>
                            <w:rFonts w:ascii="宋体"/>
                            <w:w w:val="131"/>
                            <w:sz w:val="14"/>
                          </w:rPr>
                          <w:t>-</w:t>
                        </w:r>
                        <w:r>
                          <w:rPr>
                            <w:rFonts w:ascii="宋体"/>
                            <w:sz w:val="14"/>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46"/>
                          <w:ind w:right="33"/>
                          <w:jc w:val="right"/>
                          <w:rPr>
                            <w:rFonts w:ascii="宋体" w:hAnsi="宋体" w:cs="宋体" w:eastAsia="宋体" w:hint="default"/>
                            <w:sz w:val="14"/>
                            <w:szCs w:val="14"/>
                          </w:rPr>
                        </w:pPr>
                        <w:r>
                          <w:rPr>
                            <w:rFonts w:ascii="宋体"/>
                            <w:w w:val="131"/>
                            <w:sz w:val="14"/>
                          </w:rPr>
                          <w:t>-</w:t>
                        </w:r>
                        <w:r>
                          <w:rPr>
                            <w:rFonts w:ascii="宋体"/>
                            <w:sz w:val="14"/>
                          </w:rPr>
                        </w:r>
                      </w:p>
                    </w:tc>
                  </w:tr>
                  <w:tr>
                    <w:trPr>
                      <w:trHeight w:val="311" w:hRule="exact"/>
                    </w:trPr>
                    <w:tc>
                      <w:tcPr>
                        <w:tcW w:w="4164" w:type="dxa"/>
                        <w:tcBorders>
                          <w:top w:val="nil" w:sz="6" w:space="0" w:color="auto"/>
                          <w:left w:val="nil" w:sz="6" w:space="0" w:color="auto"/>
                          <w:bottom w:val="nil" w:sz="6" w:space="0" w:color="auto"/>
                          <w:right w:val="nil" w:sz="6" w:space="0" w:color="auto"/>
                        </w:tcBorders>
                      </w:tcPr>
                      <w:p>
                        <w:pPr>
                          <w:pStyle w:val="TableParagraph"/>
                          <w:tabs>
                            <w:tab w:pos="1123" w:val="left" w:leader="none"/>
                            <w:tab w:pos="2075" w:val="left" w:leader="none"/>
                            <w:tab w:pos="3025" w:val="left" w:leader="none"/>
                            <w:tab w:pos="4014" w:val="left" w:leader="none"/>
                          </w:tabs>
                          <w:spacing w:line="240" w:lineRule="auto" w:before="55"/>
                          <w:ind w:left="35" w:right="0"/>
                          <w:jc w:val="left"/>
                          <w:rPr>
                            <w:rFonts w:ascii="宋体" w:hAnsi="宋体" w:cs="宋体" w:eastAsia="宋体" w:hint="default"/>
                            <w:sz w:val="14"/>
                            <w:szCs w:val="14"/>
                          </w:rPr>
                        </w:pPr>
                        <w:r>
                          <w:rPr>
                            <w:rFonts w:ascii="宋体"/>
                            <w:w w:val="130"/>
                            <w:sz w:val="14"/>
                          </w:rPr>
                          <w:t>-</w:t>
                          <w:tab/>
                          <w:t>-</w:t>
                          <w:tab/>
                          <w:t>-</w:t>
                          <w:tab/>
                          <w:t>-</w:t>
                          <w:tab/>
                          <w:t>-</w:t>
                        </w:r>
                        <w:r>
                          <w:rPr>
                            <w:rFonts w:ascii="宋体"/>
                            <w:sz w:val="14"/>
                          </w:rPr>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09"/>
                          <w:jc w:val="right"/>
                          <w:rPr>
                            <w:rFonts w:ascii="宋体" w:hAnsi="宋体" w:cs="宋体" w:eastAsia="宋体" w:hint="default"/>
                            <w:sz w:val="14"/>
                            <w:szCs w:val="14"/>
                          </w:rPr>
                        </w:pPr>
                        <w:r>
                          <w:rPr>
                            <w:rFonts w:ascii="宋体"/>
                            <w:w w:val="131"/>
                            <w:sz w:val="14"/>
                          </w:rPr>
                          <w:t>-</w:t>
                        </w:r>
                        <w:r>
                          <w:rPr>
                            <w:rFonts w:ascii="宋体"/>
                            <w:sz w:val="14"/>
                          </w:rPr>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3"/>
                          <w:jc w:val="center"/>
                          <w:rPr>
                            <w:rFonts w:ascii="宋体" w:hAnsi="宋体" w:cs="宋体" w:eastAsia="宋体" w:hint="default"/>
                            <w:sz w:val="14"/>
                            <w:szCs w:val="14"/>
                          </w:rPr>
                        </w:pPr>
                        <w:r>
                          <w:rPr>
                            <w:rFonts w:ascii="宋体"/>
                            <w:sz w:val="14"/>
                          </w:rPr>
                          <w:t>(614,350,671)</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123"/>
                          <w:jc w:val="right"/>
                          <w:rPr>
                            <w:rFonts w:ascii="宋体" w:hAnsi="宋体" w:cs="宋体" w:eastAsia="宋体" w:hint="default"/>
                            <w:sz w:val="14"/>
                            <w:szCs w:val="14"/>
                          </w:rPr>
                        </w:pPr>
                        <w:r>
                          <w:rPr>
                            <w:rFonts w:ascii="宋体"/>
                            <w:w w:val="90"/>
                            <w:sz w:val="14"/>
                          </w:rPr>
                          <w:t>(614,350,671)</w:t>
                        </w:r>
                        <w:r>
                          <w:rPr>
                            <w:rFonts w:ascii="宋体"/>
                            <w:sz w:val="14"/>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79"/>
                          <w:jc w:val="right"/>
                          <w:rPr>
                            <w:rFonts w:ascii="宋体" w:hAnsi="宋体" w:cs="宋体" w:eastAsia="宋体" w:hint="default"/>
                            <w:sz w:val="14"/>
                            <w:szCs w:val="14"/>
                          </w:rPr>
                        </w:pPr>
                        <w:r>
                          <w:rPr>
                            <w:rFonts w:ascii="宋体"/>
                            <w:w w:val="90"/>
                            <w:sz w:val="14"/>
                          </w:rPr>
                          <w:t>(892,006,227)</w:t>
                        </w:r>
                        <w:r>
                          <w:rPr>
                            <w:rFonts w:ascii="宋体"/>
                            <w:sz w:val="14"/>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55"/>
                          <w:ind w:right="33"/>
                          <w:jc w:val="right"/>
                          <w:rPr>
                            <w:rFonts w:ascii="宋体" w:hAnsi="宋体" w:cs="宋体" w:eastAsia="宋体" w:hint="default"/>
                            <w:sz w:val="14"/>
                            <w:szCs w:val="14"/>
                          </w:rPr>
                        </w:pPr>
                        <w:r>
                          <w:rPr>
                            <w:rFonts w:ascii="宋体"/>
                            <w:w w:val="90"/>
                            <w:sz w:val="14"/>
                          </w:rPr>
                          <w:t>(1,506,356,898)</w:t>
                        </w:r>
                        <w:r>
                          <w:rPr>
                            <w:rFonts w:ascii="宋体"/>
                            <w:sz w:val="14"/>
                          </w:rPr>
                        </w:r>
                      </w:p>
                    </w:tc>
                  </w:tr>
                  <w:tr>
                    <w:trPr>
                      <w:trHeight w:val="285" w:hRule="exact"/>
                    </w:trPr>
                    <w:tc>
                      <w:tcPr>
                        <w:tcW w:w="4164" w:type="dxa"/>
                        <w:tcBorders>
                          <w:top w:val="nil" w:sz="6" w:space="0" w:color="auto"/>
                          <w:left w:val="nil" w:sz="6" w:space="0" w:color="auto"/>
                          <w:bottom w:val="nil" w:sz="6" w:space="0" w:color="auto"/>
                          <w:right w:val="nil" w:sz="6" w:space="0" w:color="auto"/>
                        </w:tcBorders>
                      </w:tcPr>
                      <w:p>
                        <w:pPr>
                          <w:pStyle w:val="TableParagraph"/>
                          <w:tabs>
                            <w:tab w:pos="1123" w:val="left" w:leader="none"/>
                            <w:tab w:pos="2076" w:val="left" w:leader="none"/>
                            <w:tab w:pos="3025" w:val="left" w:leader="none"/>
                            <w:tab w:pos="4014" w:val="left" w:leader="none"/>
                          </w:tabs>
                          <w:spacing w:line="240" w:lineRule="auto" w:before="8"/>
                          <w:ind w:left="35" w:right="0"/>
                          <w:jc w:val="left"/>
                          <w:rPr>
                            <w:rFonts w:ascii="宋体" w:hAnsi="宋体" w:cs="宋体" w:eastAsia="宋体" w:hint="default"/>
                            <w:sz w:val="14"/>
                            <w:szCs w:val="14"/>
                          </w:rPr>
                        </w:pPr>
                        <w:r>
                          <w:rPr>
                            <w:rFonts w:ascii="宋体"/>
                            <w:w w:val="130"/>
                            <w:sz w:val="14"/>
                          </w:rPr>
                          <w:t>-</w:t>
                          <w:tab/>
                          <w:t>-</w:t>
                          <w:tab/>
                          <w:t>-</w:t>
                          <w:tab/>
                          <w:t>-</w:t>
                          <w:tab/>
                          <w:t>-</w:t>
                        </w:r>
                        <w:r>
                          <w:rPr>
                            <w:rFonts w:ascii="宋体"/>
                            <w:sz w:val="14"/>
                          </w:rPr>
                        </w:r>
                      </w:p>
                    </w:tc>
                    <w:tc>
                      <w:tcPr>
                        <w:tcW w:w="945"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08"/>
                          <w:jc w:val="right"/>
                          <w:rPr>
                            <w:rFonts w:ascii="宋体" w:hAnsi="宋体" w:cs="宋体" w:eastAsia="宋体" w:hint="default"/>
                            <w:sz w:val="14"/>
                            <w:szCs w:val="14"/>
                          </w:rPr>
                        </w:pPr>
                        <w:r>
                          <w:rPr>
                            <w:rFonts w:ascii="宋体"/>
                            <w:sz w:val="14"/>
                          </w:rPr>
                          <w:t>108,402,331</w:t>
                        </w:r>
                      </w:p>
                    </w:tc>
                    <w:tc>
                      <w:tcPr>
                        <w:tcW w:w="109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
                          <w:jc w:val="center"/>
                          <w:rPr>
                            <w:rFonts w:ascii="宋体" w:hAnsi="宋体" w:cs="宋体" w:eastAsia="宋体" w:hint="default"/>
                            <w:sz w:val="14"/>
                            <w:szCs w:val="14"/>
                          </w:rPr>
                        </w:pPr>
                        <w:r>
                          <w:rPr>
                            <w:rFonts w:ascii="宋体"/>
                            <w:sz w:val="14"/>
                          </w:rPr>
                          <w:t>(108,402,331)</w:t>
                        </w:r>
                      </w:p>
                    </w:tc>
                    <w:tc>
                      <w:tcPr>
                        <w:tcW w:w="1106" w:type="dxa"/>
                        <w:tcBorders>
                          <w:top w:val="nil" w:sz="6" w:space="0" w:color="auto"/>
                          <w:left w:val="nil" w:sz="6" w:space="0" w:color="auto"/>
                          <w:bottom w:val="nil" w:sz="6" w:space="0" w:color="auto"/>
                          <w:right w:val="nil" w:sz="6" w:space="0" w:color="auto"/>
                        </w:tcBorders>
                      </w:tcPr>
                      <w:p>
                        <w:pPr>
                          <w:pStyle w:val="TableParagraph"/>
                          <w:spacing w:line="240" w:lineRule="auto" w:before="8"/>
                          <w:ind w:right="123"/>
                          <w:jc w:val="right"/>
                          <w:rPr>
                            <w:rFonts w:ascii="宋体" w:hAnsi="宋体" w:cs="宋体" w:eastAsia="宋体" w:hint="default"/>
                            <w:sz w:val="14"/>
                            <w:szCs w:val="14"/>
                          </w:rPr>
                        </w:pPr>
                        <w:r>
                          <w:rPr>
                            <w:rFonts w:ascii="宋体"/>
                            <w:w w:val="131"/>
                            <w:sz w:val="14"/>
                          </w:rPr>
                          <w:t>-</w:t>
                        </w:r>
                        <w:r>
                          <w:rPr>
                            <w:rFonts w:ascii="宋体"/>
                            <w:sz w:val="14"/>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8"/>
                          <w:ind w:right="79"/>
                          <w:jc w:val="right"/>
                          <w:rPr>
                            <w:rFonts w:ascii="宋体" w:hAnsi="宋体" w:cs="宋体" w:eastAsia="宋体" w:hint="default"/>
                            <w:sz w:val="14"/>
                            <w:szCs w:val="14"/>
                          </w:rPr>
                        </w:pPr>
                        <w:r>
                          <w:rPr>
                            <w:rFonts w:ascii="宋体"/>
                            <w:w w:val="131"/>
                            <w:sz w:val="14"/>
                          </w:rPr>
                          <w:t>-</w:t>
                        </w:r>
                        <w:r>
                          <w:rPr>
                            <w:rFonts w:ascii="宋体"/>
                            <w:sz w:val="14"/>
                          </w:rPr>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8"/>
                          <w:ind w:right="33"/>
                          <w:jc w:val="right"/>
                          <w:rPr>
                            <w:rFonts w:ascii="宋体" w:hAnsi="宋体" w:cs="宋体" w:eastAsia="宋体" w:hint="default"/>
                            <w:sz w:val="14"/>
                            <w:szCs w:val="14"/>
                          </w:rPr>
                        </w:pPr>
                        <w:r>
                          <w:rPr>
                            <w:rFonts w:ascii="宋体"/>
                            <w:w w:val="131"/>
                            <w:sz w:val="14"/>
                          </w:rPr>
                          <w:t>-</w:t>
                        </w:r>
                        <w:r>
                          <w:rPr>
                            <w:rFonts w:ascii="宋体"/>
                            <w:sz w:val="14"/>
                          </w:rPr>
                        </w:r>
                      </w:p>
                    </w:tc>
                  </w:tr>
                </w:tbl>
                <w:p>
                  <w:pPr/>
                </w:p>
              </w:txbxContent>
            </v:textbox>
            <w10:wrap type="none"/>
          </v:shape>
        </w:pict>
      </w:r>
      <w:r>
        <w:rPr>
          <w:rFonts w:ascii="宋体" w:hAnsi="宋体" w:cs="宋体" w:eastAsia="宋体" w:hint="default"/>
          <w:w w:val="85"/>
          <w:sz w:val="14"/>
          <w:szCs w:val="14"/>
        </w:rPr>
        <w:t>五</w:t>
      </w:r>
      <w:r>
        <w:rPr>
          <w:rFonts w:ascii="宋体" w:hAnsi="宋体" w:cs="宋体" w:eastAsia="宋体" w:hint="default"/>
          <w:spacing w:val="-38"/>
          <w:w w:val="85"/>
          <w:sz w:val="14"/>
          <w:szCs w:val="14"/>
        </w:rPr>
        <w:t> </w:t>
      </w:r>
      <w:r>
        <w:rPr>
          <w:rFonts w:ascii="宋体" w:hAnsi="宋体" w:cs="宋体" w:eastAsia="宋体" w:hint="default"/>
          <w:w w:val="85"/>
          <w:sz w:val="14"/>
          <w:szCs w:val="14"/>
        </w:rPr>
        <w:t>(34),</w:t>
      </w:r>
      <w:r>
        <w:rPr>
          <w:rFonts w:ascii="宋体" w:hAnsi="宋体" w:cs="宋体" w:eastAsia="宋体" w:hint="default"/>
          <w:sz w:val="14"/>
          <w:szCs w:val="14"/>
        </w:rPr>
      </w:r>
    </w:p>
    <w:p>
      <w:pPr>
        <w:spacing w:before="17"/>
        <w:ind w:left="180" w:right="0" w:firstLine="0"/>
        <w:jc w:val="left"/>
        <w:rPr>
          <w:rFonts w:ascii="宋体" w:hAnsi="宋体" w:cs="宋体" w:eastAsia="宋体" w:hint="default"/>
          <w:sz w:val="14"/>
          <w:szCs w:val="14"/>
        </w:rPr>
      </w:pPr>
      <w:r>
        <w:rPr>
          <w:rFonts w:ascii="宋体" w:hAnsi="宋体" w:cs="宋体" w:eastAsia="宋体" w:hint="default"/>
          <w:w w:val="90"/>
          <w:sz w:val="14"/>
          <w:szCs w:val="14"/>
        </w:rPr>
        <w:t>五</w:t>
      </w:r>
      <w:r>
        <w:rPr>
          <w:rFonts w:ascii="宋体" w:hAnsi="宋体" w:cs="宋体" w:eastAsia="宋体" w:hint="default"/>
          <w:spacing w:val="-34"/>
          <w:w w:val="90"/>
          <w:sz w:val="14"/>
          <w:szCs w:val="14"/>
        </w:rPr>
        <w:t> </w:t>
      </w:r>
      <w:r>
        <w:rPr>
          <w:rFonts w:ascii="宋体" w:hAnsi="宋体" w:cs="宋体" w:eastAsia="宋体" w:hint="default"/>
          <w:w w:val="90"/>
          <w:sz w:val="14"/>
          <w:szCs w:val="14"/>
        </w:rPr>
        <w:t>(35)</w:t>
      </w:r>
      <w:r>
        <w:rPr>
          <w:rFonts w:ascii="宋体" w:hAnsi="宋体" w:cs="宋体" w:eastAsia="宋体" w:hint="default"/>
          <w:sz w:val="14"/>
          <w:szCs w:val="14"/>
        </w:rPr>
      </w:r>
    </w:p>
    <w:p>
      <w:pPr>
        <w:spacing w:after="0"/>
        <w:jc w:val="left"/>
        <w:rPr>
          <w:rFonts w:ascii="宋体" w:hAnsi="宋体" w:cs="宋体" w:eastAsia="宋体" w:hint="default"/>
          <w:sz w:val="14"/>
          <w:szCs w:val="14"/>
        </w:rPr>
        <w:sectPr>
          <w:type w:val="continuous"/>
          <w:pgSz w:w="16160" w:h="11910" w:orient="landscape"/>
          <w:pgMar w:top="1520" w:bottom="280" w:left="940" w:right="1660"/>
          <w:cols w:num="2" w:equalWidth="0">
            <w:col w:w="1554" w:space="940"/>
            <w:col w:w="11066"/>
          </w:cols>
        </w:sectPr>
      </w:pPr>
    </w:p>
    <w:p>
      <w:pPr>
        <w:tabs>
          <w:tab w:pos="2675" w:val="left" w:leader="none"/>
        </w:tabs>
        <w:spacing w:before="75"/>
        <w:ind w:left="562" w:right="0" w:firstLine="0"/>
        <w:jc w:val="left"/>
        <w:rPr>
          <w:rFonts w:ascii="宋体" w:hAnsi="宋体" w:cs="宋体" w:eastAsia="宋体" w:hint="default"/>
          <w:sz w:val="14"/>
          <w:szCs w:val="14"/>
        </w:rPr>
      </w:pPr>
      <w:r>
        <w:rPr>
          <w:rFonts w:ascii="宋体" w:hAnsi="宋体" w:cs="宋体" w:eastAsia="宋体" w:hint="default"/>
          <w:w w:val="95"/>
          <w:sz w:val="14"/>
          <w:szCs w:val="14"/>
        </w:rPr>
        <w:t>2.</w:t>
      </w:r>
      <w:r>
        <w:rPr>
          <w:rFonts w:ascii="宋体" w:hAnsi="宋体" w:cs="宋体" w:eastAsia="宋体" w:hint="default"/>
          <w:spacing w:val="-7"/>
          <w:w w:val="95"/>
          <w:sz w:val="14"/>
          <w:szCs w:val="14"/>
        </w:rPr>
        <w:t> </w:t>
      </w:r>
      <w:r>
        <w:rPr>
          <w:rFonts w:ascii="宋体" w:hAnsi="宋体" w:cs="宋体" w:eastAsia="宋体" w:hint="default"/>
          <w:w w:val="95"/>
          <w:sz w:val="14"/>
          <w:szCs w:val="14"/>
        </w:rPr>
        <w:t>对股东的分配</w:t>
        <w:tab/>
      </w:r>
      <w:r>
        <w:rPr>
          <w:rFonts w:ascii="宋体" w:hAnsi="宋体" w:cs="宋体" w:eastAsia="宋体" w:hint="default"/>
          <w:w w:val="90"/>
          <w:sz w:val="14"/>
          <w:szCs w:val="14"/>
        </w:rPr>
        <w:t>五</w:t>
      </w:r>
      <w:r>
        <w:rPr>
          <w:rFonts w:ascii="宋体" w:hAnsi="宋体" w:cs="宋体" w:eastAsia="宋体" w:hint="default"/>
          <w:spacing w:val="-34"/>
          <w:w w:val="90"/>
          <w:sz w:val="14"/>
          <w:szCs w:val="14"/>
        </w:rPr>
        <w:t> </w:t>
      </w:r>
      <w:r>
        <w:rPr>
          <w:rFonts w:ascii="宋体" w:hAnsi="宋体" w:cs="宋体" w:eastAsia="宋体" w:hint="default"/>
          <w:w w:val="90"/>
          <w:sz w:val="14"/>
          <w:szCs w:val="14"/>
        </w:rPr>
        <w:t>(35)</w:t>
      </w:r>
      <w:r>
        <w:rPr>
          <w:rFonts w:ascii="宋体" w:hAnsi="宋体" w:cs="宋体" w:eastAsia="宋体" w:hint="default"/>
          <w:sz w:val="14"/>
          <w:szCs w:val="14"/>
        </w:rPr>
      </w:r>
    </w:p>
    <w:p>
      <w:pPr>
        <w:tabs>
          <w:tab w:pos="2675" w:val="left" w:leader="none"/>
        </w:tabs>
        <w:spacing w:before="80"/>
        <w:ind w:left="562" w:right="0" w:firstLine="0"/>
        <w:jc w:val="left"/>
        <w:rPr>
          <w:rFonts w:ascii="宋体" w:hAnsi="宋体" w:cs="宋体" w:eastAsia="宋体" w:hint="default"/>
          <w:sz w:val="14"/>
          <w:szCs w:val="14"/>
        </w:rPr>
      </w:pPr>
      <w:r>
        <w:rPr>
          <w:rFonts w:ascii="宋体" w:hAnsi="宋体" w:cs="宋体" w:eastAsia="宋体" w:hint="default"/>
          <w:w w:val="95"/>
          <w:sz w:val="14"/>
          <w:szCs w:val="14"/>
        </w:rPr>
        <w:t>3.</w:t>
      </w:r>
      <w:r>
        <w:rPr>
          <w:rFonts w:ascii="宋体" w:hAnsi="宋体" w:cs="宋体" w:eastAsia="宋体" w:hint="default"/>
          <w:spacing w:val="7"/>
          <w:w w:val="95"/>
          <w:sz w:val="14"/>
          <w:szCs w:val="14"/>
        </w:rPr>
        <w:t> </w:t>
      </w:r>
      <w:r>
        <w:rPr>
          <w:rFonts w:ascii="宋体" w:hAnsi="宋体" w:cs="宋体" w:eastAsia="宋体" w:hint="default"/>
          <w:w w:val="95"/>
          <w:sz w:val="14"/>
          <w:szCs w:val="14"/>
        </w:rPr>
        <w:t>提取一般风险准备</w:t>
        <w:tab/>
      </w:r>
      <w:r>
        <w:rPr>
          <w:rFonts w:ascii="宋体" w:hAnsi="宋体" w:cs="宋体" w:eastAsia="宋体" w:hint="default"/>
          <w:w w:val="90"/>
          <w:sz w:val="14"/>
          <w:szCs w:val="14"/>
        </w:rPr>
        <w:t>五</w:t>
      </w:r>
      <w:r>
        <w:rPr>
          <w:rFonts w:ascii="宋体" w:hAnsi="宋体" w:cs="宋体" w:eastAsia="宋体" w:hint="default"/>
          <w:spacing w:val="-34"/>
          <w:w w:val="90"/>
          <w:sz w:val="14"/>
          <w:szCs w:val="14"/>
        </w:rPr>
        <w:t> </w:t>
      </w:r>
      <w:r>
        <w:rPr>
          <w:rFonts w:ascii="宋体" w:hAnsi="宋体" w:cs="宋体" w:eastAsia="宋体" w:hint="default"/>
          <w:w w:val="90"/>
          <w:sz w:val="14"/>
          <w:szCs w:val="14"/>
        </w:rPr>
        <w:t>(35)</w:t>
      </w:r>
      <w:r>
        <w:rPr>
          <w:rFonts w:ascii="宋体" w:hAnsi="宋体" w:cs="宋体" w:eastAsia="宋体" w:hint="default"/>
          <w:sz w:val="14"/>
          <w:szCs w:val="14"/>
        </w:rPr>
      </w:r>
    </w:p>
    <w:p>
      <w:pPr>
        <w:tabs>
          <w:tab w:pos="3212" w:val="left" w:leader="none"/>
        </w:tabs>
        <w:spacing w:before="80"/>
        <w:ind w:left="165" w:right="0" w:firstLine="0"/>
        <w:jc w:val="left"/>
        <w:rPr>
          <w:rFonts w:ascii="宋体" w:hAnsi="宋体" w:cs="宋体" w:eastAsia="宋体" w:hint="default"/>
          <w:sz w:val="14"/>
          <w:szCs w:val="14"/>
        </w:rPr>
      </w:pPr>
      <w:r>
        <w:rPr>
          <w:rFonts w:ascii="宋体" w:hAnsi="宋体" w:cs="宋体" w:eastAsia="宋体" w:hint="default"/>
          <w:spacing w:val="-5"/>
          <w:sz w:val="14"/>
          <w:szCs w:val="14"/>
        </w:rPr>
        <w:t>2018</w:t>
      </w:r>
      <w:r>
        <w:rPr>
          <w:rFonts w:ascii="宋体" w:hAnsi="宋体" w:cs="宋体" w:eastAsia="宋体" w:hint="default"/>
          <w:spacing w:val="-29"/>
          <w:sz w:val="14"/>
          <w:szCs w:val="14"/>
        </w:rPr>
        <w:t> </w:t>
      </w:r>
      <w:r>
        <w:rPr>
          <w:rFonts w:ascii="宋体" w:hAnsi="宋体" w:cs="宋体" w:eastAsia="宋体" w:hint="default"/>
          <w:sz w:val="14"/>
          <w:szCs w:val="14"/>
        </w:rPr>
        <w:t>年</w:t>
      </w:r>
      <w:r>
        <w:rPr>
          <w:rFonts w:ascii="宋体" w:hAnsi="宋体" w:cs="宋体" w:eastAsia="宋体" w:hint="default"/>
          <w:spacing w:val="-29"/>
          <w:sz w:val="14"/>
          <w:szCs w:val="14"/>
        </w:rPr>
        <w:t> </w:t>
      </w:r>
      <w:r>
        <w:rPr>
          <w:rFonts w:ascii="宋体" w:hAnsi="宋体" w:cs="宋体" w:eastAsia="宋体" w:hint="default"/>
          <w:spacing w:val="-3"/>
          <w:sz w:val="14"/>
          <w:szCs w:val="14"/>
        </w:rPr>
        <w:t>12</w:t>
      </w:r>
      <w:r>
        <w:rPr>
          <w:rFonts w:ascii="宋体" w:hAnsi="宋体" w:cs="宋体" w:eastAsia="宋体" w:hint="default"/>
          <w:spacing w:val="-29"/>
          <w:sz w:val="14"/>
          <w:szCs w:val="14"/>
        </w:rPr>
        <w:t> </w:t>
      </w:r>
      <w:r>
        <w:rPr>
          <w:rFonts w:ascii="宋体" w:hAnsi="宋体" w:cs="宋体" w:eastAsia="宋体" w:hint="default"/>
          <w:sz w:val="14"/>
          <w:szCs w:val="14"/>
        </w:rPr>
        <w:t>月</w:t>
      </w:r>
      <w:r>
        <w:rPr>
          <w:rFonts w:ascii="宋体" w:hAnsi="宋体" w:cs="宋体" w:eastAsia="宋体" w:hint="default"/>
          <w:spacing w:val="-29"/>
          <w:sz w:val="14"/>
          <w:szCs w:val="14"/>
        </w:rPr>
        <w:t> </w:t>
      </w:r>
      <w:r>
        <w:rPr>
          <w:rFonts w:ascii="宋体" w:hAnsi="宋体" w:cs="宋体" w:eastAsia="宋体" w:hint="default"/>
          <w:spacing w:val="-3"/>
          <w:sz w:val="14"/>
          <w:szCs w:val="14"/>
        </w:rPr>
        <w:t>31</w:t>
      </w:r>
      <w:r>
        <w:rPr>
          <w:rFonts w:ascii="宋体" w:hAnsi="宋体" w:cs="宋体" w:eastAsia="宋体" w:hint="default"/>
          <w:spacing w:val="-29"/>
          <w:sz w:val="14"/>
          <w:szCs w:val="14"/>
        </w:rPr>
        <w:t> </w:t>
      </w:r>
      <w:r>
        <w:rPr>
          <w:rFonts w:ascii="宋体" w:hAnsi="宋体" w:cs="宋体" w:eastAsia="宋体" w:hint="default"/>
          <w:spacing w:val="-5"/>
          <w:sz w:val="14"/>
          <w:szCs w:val="14"/>
        </w:rPr>
        <w:t>日年末余额</w:t>
        <w:tab/>
      </w:r>
      <w:r>
        <w:rPr>
          <w:rFonts w:ascii="宋体" w:hAnsi="宋体" w:cs="宋体" w:eastAsia="宋体" w:hint="default"/>
          <w:spacing w:val="-7"/>
          <w:sz w:val="14"/>
          <w:szCs w:val="14"/>
        </w:rPr>
        <w:t>31,027,811,687 </w:t>
      </w:r>
      <w:r>
        <w:rPr>
          <w:rFonts w:ascii="宋体" w:hAnsi="宋体" w:cs="宋体" w:eastAsia="宋体" w:hint="default"/>
          <w:sz w:val="14"/>
          <w:szCs w:val="14"/>
        </w:rPr>
        <w:t>79,543,568,623 </w:t>
      </w:r>
      <w:r>
        <w:rPr>
          <w:rFonts w:ascii="宋体" w:hAnsi="宋体" w:cs="宋体" w:eastAsia="宋体" w:hint="default"/>
          <w:spacing w:val="-4"/>
          <w:sz w:val="14"/>
          <w:szCs w:val="14"/>
        </w:rPr>
        <w:t>(2,993,014,742) </w:t>
      </w:r>
      <w:r>
        <w:rPr>
          <w:rFonts w:ascii="宋体" w:hAnsi="宋体" w:cs="宋体" w:eastAsia="宋体" w:hint="default"/>
          <w:spacing w:val="-7"/>
          <w:sz w:val="14"/>
          <w:szCs w:val="14"/>
        </w:rPr>
        <w:t>(2,503,550,854) </w:t>
      </w:r>
      <w:r>
        <w:rPr>
          <w:rFonts w:ascii="宋体" w:hAnsi="宋体" w:cs="宋体" w:eastAsia="宋体" w:hint="default"/>
          <w:sz w:val="14"/>
          <w:szCs w:val="14"/>
        </w:rPr>
        <w:t>1,412,023,687 205,458,044 33,452,065,245 140,144,361,690 176,795,931,528</w:t>
      </w:r>
      <w:r>
        <w:rPr>
          <w:rFonts w:ascii="宋体" w:hAnsi="宋体" w:cs="宋体" w:eastAsia="宋体" w:hint="default"/>
          <w:spacing w:val="-49"/>
          <w:sz w:val="14"/>
          <w:szCs w:val="14"/>
        </w:rPr>
        <w:t> </w:t>
      </w:r>
      <w:r>
        <w:rPr>
          <w:rFonts w:ascii="宋体" w:hAnsi="宋体" w:cs="宋体" w:eastAsia="宋体" w:hint="default"/>
          <w:sz w:val="14"/>
          <w:szCs w:val="14"/>
        </w:rPr>
        <w:t>316,940,293,218</w:t>
      </w:r>
    </w:p>
    <w:p>
      <w:pPr>
        <w:spacing w:line="240" w:lineRule="auto" w:before="5"/>
        <w:rPr>
          <w:rFonts w:ascii="宋体" w:hAnsi="宋体" w:cs="宋体" w:eastAsia="宋体" w:hint="default"/>
          <w:sz w:val="9"/>
          <w:szCs w:val="9"/>
        </w:rPr>
      </w:pPr>
    </w:p>
    <w:p>
      <w:pPr>
        <w:spacing w:line="20" w:lineRule="exact"/>
        <w:ind w:left="129" w:right="0" w:firstLine="0"/>
        <w:rPr>
          <w:rFonts w:ascii="宋体" w:hAnsi="宋体" w:cs="宋体" w:eastAsia="宋体" w:hint="default"/>
          <w:sz w:val="2"/>
          <w:szCs w:val="2"/>
        </w:rPr>
      </w:pPr>
      <w:r>
        <w:rPr>
          <w:rFonts w:ascii="宋体" w:hAnsi="宋体" w:cs="宋体" w:eastAsia="宋体" w:hint="default"/>
          <w:sz w:val="2"/>
          <w:szCs w:val="2"/>
        </w:rPr>
        <w:pict>
          <v:group style="width:665.45pt;height:.75pt;mso-position-horizontal-relative:char;mso-position-vertical-relative:line" coordorigin="0,0" coordsize="13309,15">
            <v:group style="position:absolute;left:8;top:8;width:2467;height:2" coordorigin="8,8" coordsize="2467,2">
              <v:shape style="position:absolute;left:8;top:8;width:2467;height:2" coordorigin="8,8" coordsize="2467,0" path="m8,8l2474,7e" filled="false" stroked="true" strokeweight=".75pt" strokecolor="#000000">
                <v:path arrowok="t"/>
              </v:shape>
            </v:group>
            <v:group style="position:absolute;left:2474;top:8;width:553;height:2" coordorigin="2474,8" coordsize="553,2">
              <v:shape style="position:absolute;left:2474;top:8;width:553;height:2" coordorigin="2474,8" coordsize="553,0" path="m2474,8l3026,7e" filled="false" stroked="true" strokeweight=".75pt" strokecolor="#000000">
                <v:path arrowok="t"/>
              </v:shape>
            </v:group>
            <v:group style="position:absolute;left:3026;top:8;width:983;height:2" coordorigin="3026,8" coordsize="983,2">
              <v:shape style="position:absolute;left:3026;top:8;width:983;height:2" coordorigin="3026,8" coordsize="983,0" path="m3026,8l4009,7e" filled="false" stroked="true" strokeweight=".75pt" strokecolor="#000000">
                <v:path arrowok="t"/>
              </v:shape>
            </v:group>
            <v:group style="position:absolute;left:4009;top:8;width:1089;height:2" coordorigin="4009,8" coordsize="1089,2">
              <v:shape style="position:absolute;left:4009;top:8;width:1089;height:2" coordorigin="4009,8" coordsize="1089,0" path="m4009,8l5098,7e" filled="false" stroked="true" strokeweight=".75pt" strokecolor="#000000">
                <v:path arrowok="t"/>
              </v:shape>
            </v:group>
            <v:group style="position:absolute;left:5098;top:8;width:953;height:2" coordorigin="5098,8" coordsize="953,2">
              <v:shape style="position:absolute;left:5098;top:8;width:953;height:2" coordorigin="5098,8" coordsize="953,0" path="m5098,8l6050,7e" filled="false" stroked="true" strokeweight=".75pt" strokecolor="#000000">
                <v:path arrowok="t"/>
              </v:shape>
            </v:group>
            <v:group style="position:absolute;left:6050;top:8;width:950;height:2" coordorigin="6050,8" coordsize="950,2">
              <v:shape style="position:absolute;left:6050;top:8;width:950;height:2" coordorigin="6050,8" coordsize="950,0" path="m6050,8l7000,7e" filled="false" stroked="true" strokeweight=".75pt" strokecolor="#000000">
                <v:path arrowok="t"/>
              </v:shape>
            </v:group>
            <v:group style="position:absolute;left:7000;top:8;width:989;height:2" coordorigin="7000,8" coordsize="989,2">
              <v:shape style="position:absolute;left:7000;top:8;width:989;height:2" coordorigin="7000,8" coordsize="989,0" path="m7000,8l7988,7e" filled="false" stroked="true" strokeweight=".75pt" strokecolor="#000000">
                <v:path arrowok="t"/>
              </v:shape>
            </v:group>
            <v:group style="position:absolute;left:7988;top:8;width:892;height:2" coordorigin="7988,8" coordsize="892,2">
              <v:shape style="position:absolute;left:7988;top:8;width:892;height:2" coordorigin="7988,8" coordsize="892,0" path="m7988,8l8880,7e" filled="false" stroked="true" strokeweight=".75pt" strokecolor="#000000">
                <v:path arrowok="t"/>
              </v:shape>
            </v:group>
            <v:group style="position:absolute;left:8880;top:8;width:1077;height:2" coordorigin="8880,8" coordsize="1077,2">
              <v:shape style="position:absolute;left:8880;top:8;width:1077;height:2" coordorigin="8880,8" coordsize="1077,0" path="m8880,8l9957,7e" filled="false" stroked="true" strokeweight=".75pt" strokecolor="#000000">
                <v:path arrowok="t"/>
              </v:shape>
            </v:group>
            <v:group style="position:absolute;left:9957;top:8;width:1106;height:2" coordorigin="9957,8" coordsize="1106,2">
              <v:shape style="position:absolute;left:9957;top:8;width:1106;height:2" coordorigin="9957,8" coordsize="1106,0" path="m9957,8l11063,7e" filled="false" stroked="true" strokeweight=".75pt" strokecolor="#000000">
                <v:path arrowok="t"/>
              </v:shape>
            </v:group>
            <v:group style="position:absolute;left:11063;top:8;width:1106;height:2" coordorigin="11063,8" coordsize="1106,2">
              <v:shape style="position:absolute;left:11063;top:8;width:1106;height:2" coordorigin="11063,8" coordsize="1106,0" path="m11063,8l12168,7e" filled="false" stroked="true" strokeweight=".75pt" strokecolor="#000000">
                <v:path arrowok="t"/>
              </v:shape>
            </v:group>
            <v:group style="position:absolute;left:12168;top:8;width:1134;height:2" coordorigin="12168,8" coordsize="1134,2">
              <v:shape style="position:absolute;left:12168;top:8;width:1134;height:2" coordorigin="12168,8" coordsize="1134,0" path="m12168,8l13301,7e" filled="false" stroked="true" strokeweight=".75pt" strokecolor="#000000">
                <v:path arrowok="t"/>
              </v:shape>
            </v:group>
          </v:group>
        </w:pict>
      </w:r>
      <w:r>
        <w:rPr>
          <w:rFonts w:ascii="宋体" w:hAnsi="宋体" w:cs="宋体" w:eastAsia="宋体" w:hint="default"/>
          <w:sz w:val="2"/>
          <w:szCs w:val="2"/>
        </w:rPr>
      </w:r>
    </w:p>
    <w:p>
      <w:pPr>
        <w:tabs>
          <w:tab w:pos="3212" w:val="left" w:leader="none"/>
          <w:tab w:pos="6059" w:val="left" w:leader="none"/>
        </w:tabs>
        <w:spacing w:before="76"/>
        <w:ind w:left="165" w:right="0" w:firstLine="0"/>
        <w:jc w:val="left"/>
        <w:rPr>
          <w:rFonts w:ascii="宋体" w:hAnsi="宋体" w:cs="宋体" w:eastAsia="宋体" w:hint="default"/>
          <w:sz w:val="14"/>
          <w:szCs w:val="14"/>
        </w:rPr>
      </w:pPr>
      <w:r>
        <w:rPr>
          <w:rFonts w:ascii="宋体" w:hAnsi="宋体" w:cs="宋体" w:eastAsia="宋体" w:hint="default"/>
          <w:sz w:val="14"/>
          <w:szCs w:val="14"/>
        </w:rPr>
        <w:t>2017</w:t>
      </w:r>
      <w:r>
        <w:rPr>
          <w:rFonts w:ascii="宋体" w:hAnsi="宋体" w:cs="宋体" w:eastAsia="宋体" w:hint="default"/>
          <w:spacing w:val="-27"/>
          <w:sz w:val="14"/>
          <w:szCs w:val="14"/>
        </w:rPr>
        <w:t> </w:t>
      </w:r>
      <w:r>
        <w:rPr>
          <w:rFonts w:ascii="宋体" w:hAnsi="宋体" w:cs="宋体" w:eastAsia="宋体" w:hint="default"/>
          <w:sz w:val="14"/>
          <w:szCs w:val="14"/>
        </w:rPr>
        <w:t>年</w:t>
      </w:r>
      <w:r>
        <w:rPr>
          <w:rFonts w:ascii="宋体" w:hAnsi="宋体" w:cs="宋体" w:eastAsia="宋体" w:hint="default"/>
          <w:spacing w:val="-26"/>
          <w:sz w:val="14"/>
          <w:szCs w:val="14"/>
        </w:rPr>
        <w:t> </w:t>
      </w:r>
      <w:r>
        <w:rPr>
          <w:rFonts w:ascii="宋体" w:hAnsi="宋体" w:cs="宋体" w:eastAsia="宋体" w:hint="default"/>
          <w:sz w:val="14"/>
          <w:szCs w:val="14"/>
        </w:rPr>
        <w:t>1</w:t>
      </w:r>
      <w:r>
        <w:rPr>
          <w:rFonts w:ascii="宋体" w:hAnsi="宋体" w:cs="宋体" w:eastAsia="宋体" w:hint="default"/>
          <w:spacing w:val="-27"/>
          <w:sz w:val="14"/>
          <w:szCs w:val="14"/>
        </w:rPr>
        <w:t> </w:t>
      </w:r>
      <w:r>
        <w:rPr>
          <w:rFonts w:ascii="宋体" w:hAnsi="宋体" w:cs="宋体" w:eastAsia="宋体" w:hint="default"/>
          <w:sz w:val="14"/>
          <w:szCs w:val="14"/>
        </w:rPr>
        <w:t>月</w:t>
      </w:r>
      <w:r>
        <w:rPr>
          <w:rFonts w:ascii="宋体" w:hAnsi="宋体" w:cs="宋体" w:eastAsia="宋体" w:hint="default"/>
          <w:spacing w:val="-26"/>
          <w:sz w:val="14"/>
          <w:szCs w:val="14"/>
        </w:rPr>
        <w:t> </w:t>
      </w:r>
      <w:r>
        <w:rPr>
          <w:rFonts w:ascii="宋体" w:hAnsi="宋体" w:cs="宋体" w:eastAsia="宋体" w:hint="default"/>
          <w:sz w:val="14"/>
          <w:szCs w:val="14"/>
        </w:rPr>
        <w:t>1</w:t>
      </w:r>
      <w:r>
        <w:rPr>
          <w:rFonts w:ascii="宋体" w:hAnsi="宋体" w:cs="宋体" w:eastAsia="宋体" w:hint="default"/>
          <w:spacing w:val="-27"/>
          <w:sz w:val="14"/>
          <w:szCs w:val="14"/>
        </w:rPr>
        <w:t> </w:t>
      </w:r>
      <w:r>
        <w:rPr>
          <w:rFonts w:ascii="宋体" w:hAnsi="宋体" w:cs="宋体" w:eastAsia="宋体" w:hint="default"/>
          <w:sz w:val="14"/>
          <w:szCs w:val="14"/>
        </w:rPr>
        <w:t>日年初余额</w:t>
        <w:tab/>
      </w:r>
      <w:r>
        <w:rPr>
          <w:rFonts w:ascii="宋体" w:hAnsi="宋体" w:cs="宋体" w:eastAsia="宋体" w:hint="default"/>
          <w:spacing w:val="-7"/>
          <w:sz w:val="14"/>
          <w:szCs w:val="14"/>
        </w:rPr>
        <w:t>21,196,596,395</w:t>
      </w:r>
      <w:r>
        <w:rPr>
          <w:rFonts w:ascii="宋体" w:hAnsi="宋体" w:cs="宋体" w:eastAsia="宋体" w:hint="default"/>
          <w:spacing w:val="49"/>
          <w:sz w:val="14"/>
          <w:szCs w:val="14"/>
        </w:rPr>
        <w:t> </w:t>
      </w:r>
      <w:r>
        <w:rPr>
          <w:rFonts w:ascii="宋体" w:hAnsi="宋体" w:cs="宋体" w:eastAsia="宋体" w:hint="default"/>
          <w:sz w:val="14"/>
          <w:szCs w:val="14"/>
        </w:rPr>
        <w:t>27,811,532,309</w:t>
        <w:tab/>
        <w:t>- </w:t>
      </w:r>
      <w:r>
        <w:rPr>
          <w:rFonts w:ascii="宋体" w:hAnsi="宋体" w:cs="宋体" w:eastAsia="宋体" w:hint="default"/>
          <w:spacing w:val="-7"/>
          <w:sz w:val="14"/>
          <w:szCs w:val="14"/>
        </w:rPr>
        <w:t>(2,288,586,590) </w:t>
      </w:r>
      <w:r>
        <w:rPr>
          <w:rFonts w:ascii="宋体" w:hAnsi="宋体" w:cs="宋体" w:eastAsia="宋体" w:hint="default"/>
          <w:sz w:val="14"/>
          <w:szCs w:val="14"/>
        </w:rPr>
        <w:t>1,338,484,194  11,721,905 29,432,859,036  77,502,607,249 153,004,361,830</w:t>
      </w:r>
      <w:r>
        <w:rPr>
          <w:rFonts w:ascii="宋体" w:hAnsi="宋体" w:cs="宋体" w:eastAsia="宋体" w:hint="default"/>
          <w:spacing w:val="25"/>
          <w:sz w:val="14"/>
          <w:szCs w:val="14"/>
        </w:rPr>
        <w:t> </w:t>
      </w:r>
      <w:r>
        <w:rPr>
          <w:rFonts w:ascii="宋体" w:hAnsi="宋体" w:cs="宋体" w:eastAsia="宋体" w:hint="default"/>
          <w:sz w:val="14"/>
          <w:szCs w:val="14"/>
        </w:rPr>
        <w:t>230,506,969,079</w:t>
      </w:r>
    </w:p>
    <w:p>
      <w:pPr>
        <w:spacing w:line="154" w:lineRule="exact" w:before="85"/>
        <w:ind w:left="2660" w:right="0" w:firstLine="0"/>
        <w:jc w:val="left"/>
        <w:rPr>
          <w:rFonts w:ascii="宋体" w:hAnsi="宋体" w:cs="宋体" w:eastAsia="宋体" w:hint="default"/>
          <w:sz w:val="14"/>
          <w:szCs w:val="14"/>
        </w:rPr>
      </w:pPr>
      <w:r>
        <w:rPr>
          <w:rFonts w:ascii="宋体" w:hAnsi="宋体" w:cs="宋体" w:eastAsia="宋体" w:hint="default"/>
          <w:w w:val="85"/>
          <w:sz w:val="14"/>
          <w:szCs w:val="14"/>
        </w:rPr>
        <w:t>五</w:t>
      </w:r>
      <w:r>
        <w:rPr>
          <w:rFonts w:ascii="宋体" w:hAnsi="宋体" w:cs="宋体" w:eastAsia="宋体" w:hint="default"/>
          <w:spacing w:val="-38"/>
          <w:w w:val="85"/>
          <w:sz w:val="14"/>
          <w:szCs w:val="14"/>
        </w:rPr>
        <w:t> </w:t>
      </w:r>
      <w:r>
        <w:rPr>
          <w:rFonts w:ascii="宋体" w:hAnsi="宋体" w:cs="宋体" w:eastAsia="宋体" w:hint="default"/>
          <w:w w:val="85"/>
          <w:sz w:val="14"/>
          <w:szCs w:val="14"/>
        </w:rPr>
        <w:t>(33),</w:t>
      </w:r>
      <w:r>
        <w:rPr>
          <w:rFonts w:ascii="宋体" w:hAnsi="宋体" w:cs="宋体" w:eastAsia="宋体" w:hint="default"/>
          <w:sz w:val="14"/>
          <w:szCs w:val="14"/>
        </w:rPr>
      </w:r>
    </w:p>
    <w:p>
      <w:pPr>
        <w:spacing w:after="0" w:line="154" w:lineRule="exact"/>
        <w:jc w:val="left"/>
        <w:rPr>
          <w:rFonts w:ascii="宋体" w:hAnsi="宋体" w:cs="宋体" w:eastAsia="宋体" w:hint="default"/>
          <w:sz w:val="14"/>
          <w:szCs w:val="14"/>
        </w:rPr>
        <w:sectPr>
          <w:type w:val="continuous"/>
          <w:pgSz w:w="16160" w:h="11910" w:orient="landscape"/>
          <w:pgMar w:top="1520" w:bottom="280" w:left="940" w:right="1660"/>
        </w:sectPr>
      </w:pPr>
    </w:p>
    <w:p>
      <w:pPr>
        <w:spacing w:line="130" w:lineRule="exact" w:before="0"/>
        <w:ind w:left="165" w:right="-20" w:firstLine="0"/>
        <w:jc w:val="left"/>
        <w:rPr>
          <w:rFonts w:ascii="宋体" w:hAnsi="宋体" w:cs="宋体" w:eastAsia="宋体" w:hint="default"/>
          <w:sz w:val="14"/>
          <w:szCs w:val="14"/>
        </w:rPr>
      </w:pPr>
      <w:r>
        <w:rPr>
          <w:rFonts w:ascii="宋体" w:hAnsi="宋体" w:cs="宋体" w:eastAsia="宋体" w:hint="default"/>
          <w:sz w:val="14"/>
          <w:szCs w:val="14"/>
        </w:rPr>
        <w:t>（一）综合收益总额</w:t>
      </w:r>
    </w:p>
    <w:p>
      <w:pPr>
        <w:spacing w:line="240" w:lineRule="auto" w:before="2"/>
        <w:rPr>
          <w:rFonts w:ascii="宋体" w:hAnsi="宋体" w:cs="宋体" w:eastAsia="宋体" w:hint="default"/>
          <w:sz w:val="14"/>
          <w:szCs w:val="14"/>
        </w:rPr>
      </w:pPr>
    </w:p>
    <w:p>
      <w:pPr>
        <w:spacing w:before="0"/>
        <w:ind w:left="204" w:right="-20" w:firstLine="0"/>
        <w:jc w:val="left"/>
        <w:rPr>
          <w:rFonts w:ascii="宋体" w:hAnsi="宋体" w:cs="宋体" w:eastAsia="宋体" w:hint="default"/>
          <w:sz w:val="14"/>
          <w:szCs w:val="14"/>
        </w:rPr>
      </w:pPr>
      <w:r>
        <w:rPr>
          <w:rFonts w:ascii="宋体" w:hAnsi="宋体" w:cs="宋体" w:eastAsia="宋体" w:hint="default"/>
          <w:sz w:val="14"/>
          <w:szCs w:val="14"/>
        </w:rPr>
        <w:t>（二）股东投入资本</w:t>
      </w:r>
    </w:p>
    <w:p>
      <w:pPr>
        <w:spacing w:before="46"/>
        <w:ind w:left="165" w:right="-19" w:firstLine="0"/>
        <w:jc w:val="left"/>
        <w:rPr>
          <w:rFonts w:ascii="宋体" w:hAnsi="宋体" w:cs="宋体" w:eastAsia="宋体" w:hint="default"/>
          <w:sz w:val="14"/>
          <w:szCs w:val="14"/>
        </w:rPr>
      </w:pPr>
      <w:r>
        <w:rPr>
          <w:w w:val="90"/>
        </w:rPr>
        <w:br w:type="column"/>
      </w:r>
      <w:r>
        <w:rPr>
          <w:rFonts w:ascii="宋体" w:hAnsi="宋体" w:cs="宋体" w:eastAsia="宋体" w:hint="default"/>
          <w:w w:val="90"/>
          <w:sz w:val="14"/>
          <w:szCs w:val="14"/>
        </w:rPr>
        <w:t>五</w:t>
      </w:r>
      <w:r>
        <w:rPr>
          <w:rFonts w:ascii="宋体" w:hAnsi="宋体" w:cs="宋体" w:eastAsia="宋体" w:hint="default"/>
          <w:spacing w:val="-34"/>
          <w:w w:val="90"/>
          <w:sz w:val="14"/>
          <w:szCs w:val="14"/>
        </w:rPr>
        <w:t> </w:t>
      </w:r>
      <w:r>
        <w:rPr>
          <w:rFonts w:ascii="宋体" w:hAnsi="宋体" w:cs="宋体" w:eastAsia="宋体" w:hint="default"/>
          <w:w w:val="90"/>
          <w:sz w:val="14"/>
          <w:szCs w:val="14"/>
        </w:rPr>
        <w:t>(35)</w:t>
      </w:r>
      <w:r>
        <w:rPr>
          <w:rFonts w:ascii="宋体" w:hAnsi="宋体" w:cs="宋体" w:eastAsia="宋体" w:hint="default"/>
          <w:sz w:val="14"/>
          <w:szCs w:val="14"/>
        </w:rPr>
      </w:r>
    </w:p>
    <w:p>
      <w:pPr>
        <w:tabs>
          <w:tab w:pos="1254" w:val="left" w:leader="none"/>
          <w:tab w:pos="2206" w:val="left" w:leader="none"/>
          <w:tab w:pos="4144" w:val="left" w:leader="none"/>
          <w:tab w:pos="5036" w:val="left" w:leader="none"/>
          <w:tab w:pos="5428" w:val="left" w:leader="none"/>
          <w:tab w:pos="6534" w:val="left" w:leader="none"/>
          <w:tab w:pos="7523" w:val="left" w:leader="none"/>
          <w:tab w:pos="8656" w:val="left" w:leader="none"/>
        </w:tabs>
        <w:spacing w:line="130" w:lineRule="exact" w:before="0"/>
        <w:ind w:left="165" w:right="0" w:firstLine="0"/>
        <w:jc w:val="left"/>
        <w:rPr>
          <w:rFonts w:ascii="宋体" w:hAnsi="宋体" w:cs="宋体" w:eastAsia="宋体" w:hint="default"/>
          <w:sz w:val="14"/>
          <w:szCs w:val="14"/>
        </w:rPr>
      </w:pPr>
      <w:r>
        <w:rPr>
          <w:w w:val="115"/>
        </w:rPr>
        <w:br w:type="column"/>
      </w:r>
      <w:r>
        <w:rPr>
          <w:rFonts w:ascii="宋体"/>
          <w:w w:val="115"/>
          <w:sz w:val="14"/>
        </w:rPr>
        <w:t>-</w:t>
        <w:tab/>
        <w:t>-</w:t>
        <w:tab/>
      </w:r>
      <w:r>
        <w:rPr>
          <w:rFonts w:ascii="宋体"/>
          <w:w w:val="105"/>
          <w:sz w:val="14"/>
        </w:rPr>
        <w:t>-</w:t>
      </w:r>
      <w:r>
        <w:rPr>
          <w:rFonts w:ascii="宋体"/>
          <w:spacing w:val="24"/>
          <w:w w:val="105"/>
          <w:sz w:val="14"/>
        </w:rPr>
        <w:t> </w:t>
      </w:r>
      <w:r>
        <w:rPr>
          <w:rFonts w:ascii="宋体"/>
          <w:spacing w:val="-7"/>
          <w:w w:val="105"/>
          <w:sz w:val="14"/>
        </w:rPr>
        <w:t>(107,276,163)</w:t>
        <w:tab/>
      </w:r>
      <w:r>
        <w:rPr>
          <w:rFonts w:ascii="宋体"/>
          <w:w w:val="115"/>
          <w:sz w:val="14"/>
        </w:rPr>
        <w:t>-</w:t>
        <w:tab/>
        <w:t>-</w:t>
        <w:tab/>
      </w:r>
      <w:r>
        <w:rPr>
          <w:rFonts w:ascii="宋体"/>
          <w:sz w:val="14"/>
        </w:rPr>
        <w:t>425,844,654</w:t>
        <w:tab/>
        <w:t>318,568,491</w:t>
        <w:tab/>
      </w:r>
      <w:r>
        <w:rPr>
          <w:rFonts w:ascii="宋体"/>
          <w:w w:val="95"/>
          <w:sz w:val="14"/>
        </w:rPr>
        <w:t>1,135,402,658</w:t>
        <w:tab/>
      </w:r>
      <w:r>
        <w:rPr>
          <w:rFonts w:ascii="宋体"/>
          <w:w w:val="105"/>
          <w:sz w:val="14"/>
        </w:rPr>
        <w:t>1,453,971,149</w:t>
      </w:r>
      <w:r>
        <w:rPr>
          <w:rFonts w:ascii="宋体"/>
          <w:sz w:val="14"/>
        </w:rPr>
      </w:r>
    </w:p>
    <w:p>
      <w:pPr>
        <w:spacing w:after="0" w:line="130" w:lineRule="exact"/>
        <w:jc w:val="left"/>
        <w:rPr>
          <w:rFonts w:ascii="宋体" w:hAnsi="宋体" w:cs="宋体" w:eastAsia="宋体" w:hint="default"/>
          <w:sz w:val="14"/>
          <w:szCs w:val="14"/>
        </w:rPr>
        <w:sectPr>
          <w:type w:val="continuous"/>
          <w:pgSz w:w="16160" w:h="11910" w:orient="landscape"/>
          <w:pgMar w:top="1520" w:bottom="280" w:left="940" w:right="1660"/>
          <w:cols w:num="3" w:equalWidth="0">
            <w:col w:w="1465" w:space="1045"/>
            <w:col w:w="574" w:space="769"/>
            <w:col w:w="9707"/>
          </w:cols>
        </w:sectPr>
      </w:pPr>
    </w:p>
    <w:p>
      <w:pPr>
        <w:tabs>
          <w:tab w:pos="3284" w:val="left" w:leader="none"/>
          <w:tab w:pos="6059" w:val="left" w:leader="none"/>
          <w:tab w:pos="7009" w:val="left" w:leader="none"/>
          <w:tab w:pos="7997" w:val="left" w:leader="none"/>
          <w:tab w:pos="8889" w:val="left" w:leader="none"/>
          <w:tab w:pos="9965" w:val="left" w:leader="none"/>
        </w:tabs>
        <w:spacing w:before="80"/>
        <w:ind w:left="619" w:right="0" w:firstLine="0"/>
        <w:jc w:val="left"/>
        <w:rPr>
          <w:rFonts w:ascii="宋体" w:hAnsi="宋体" w:cs="宋体" w:eastAsia="宋体" w:hint="default"/>
          <w:sz w:val="14"/>
          <w:szCs w:val="14"/>
        </w:rPr>
      </w:pPr>
      <w:r>
        <w:rPr/>
        <w:pict>
          <v:shape style="position:absolute;margin-left:15.853016pt;margin-top:153.488205pt;width:10pt;height:68.1pt;mso-position-horizontal-relative:page;mso-position-vertical-relative:page;z-index:9016" type="#_x0000_t202" filled="false" stroked="false">
            <v:textbox inset="0,0,0,0" style="layout-flow:vertical">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8"/>
                      <w:sz w:val="16"/>
                      <w:szCs w:val="16"/>
                    </w:rPr>
                    <w:t>股东权益变动</w:t>
                  </w:r>
                  <w:r>
                    <w:rPr>
                      <w:rFonts w:ascii="宋体" w:hAnsi="宋体" w:cs="宋体" w:eastAsia="宋体" w:hint="default"/>
                      <w:color w:val="595757"/>
                      <w:sz w:val="16"/>
                      <w:szCs w:val="16"/>
                    </w:rPr>
                    <w:t>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15.879117pt;margin-top:545.692078pt;width:10pt;height:10.9pt;mso-position-horizontal-relative:page;mso-position-vertical-relative:page;z-index:9040" type="#_x0000_t202" filled="false" stroked="false">
            <v:textbox inset="0,0,0,0" style="layout-flow:vertical">
              <w:txbxContent>
                <w:p>
                  <w:pPr>
                    <w:spacing w:line="184" w:lineRule="exact" w:before="0"/>
                    <w:ind w:left="20" w:right="0" w:firstLine="0"/>
                    <w:jc w:val="left"/>
                    <w:rPr>
                      <w:rFonts w:ascii="Arial" w:hAnsi="Arial" w:cs="Arial" w:eastAsia="Arial" w:hint="default"/>
                      <w:sz w:val="16"/>
                      <w:szCs w:val="16"/>
                    </w:rPr>
                  </w:pPr>
                  <w:r>
                    <w:rPr>
                      <w:rFonts w:ascii="Arial"/>
                      <w:b/>
                      <w:color w:val="9F8958"/>
                      <w:spacing w:val="-1"/>
                      <w:sz w:val="16"/>
                    </w:rPr>
                    <w:t>93</w:t>
                  </w:r>
                  <w:r>
                    <w:rPr>
                      <w:rFonts w:ascii="Arial"/>
                      <w:sz w:val="16"/>
                    </w:rPr>
                  </w:r>
                </w:p>
              </w:txbxContent>
            </v:textbox>
            <w10:wrap type="none"/>
          </v:shape>
        </w:pict>
      </w:r>
      <w:r>
        <w:rPr/>
        <w:pict>
          <v:shape style="position:absolute;margin-left:15.368878pt;margin-top:73.409401pt;width:10pt;height:68.850pt;mso-position-horizontal-relative:page;mso-position-vertical-relative:page;z-index:9064" type="#_x0000_t202" filled="false" stroked="false">
            <v:textbox inset="0,0,0,0" style="layout-flow:vertical">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32"/>
                      <w:w w:val="126"/>
                      <w:sz w:val="16"/>
                      <w:szCs w:val="16"/>
                    </w:rPr>
                    <w:t>201</w:t>
                  </w:r>
                  <w:r>
                    <w:rPr>
                      <w:rFonts w:ascii="宋体" w:hAnsi="宋体" w:cs="宋体" w:eastAsia="宋体" w:hint="default"/>
                      <w:color w:val="9F8958"/>
                      <w:w w:val="126"/>
                      <w:sz w:val="16"/>
                      <w:szCs w:val="16"/>
                    </w:rPr>
                    <w:t>8</w:t>
                  </w:r>
                  <w:r>
                    <w:rPr>
                      <w:rFonts w:ascii="宋体" w:hAnsi="宋体" w:cs="宋体" w:eastAsia="宋体" w:hint="default"/>
                      <w:color w:val="9F8958"/>
                      <w:spacing w:val="-12"/>
                      <w:sz w:val="16"/>
                      <w:szCs w:val="16"/>
                    </w:rPr>
                    <w:t> </w:t>
                  </w:r>
                  <w:r>
                    <w:rPr>
                      <w:rFonts w:ascii="宋体" w:hAnsi="宋体" w:cs="宋体" w:eastAsia="宋体" w:hint="default"/>
                      <w:color w:val="9F8958"/>
                      <w:spacing w:val="32"/>
                      <w:sz w:val="16"/>
                      <w:szCs w:val="16"/>
                    </w:rPr>
                    <w:t>年度报</w:t>
                  </w:r>
                  <w:r>
                    <w:rPr>
                      <w:rFonts w:ascii="宋体" w:hAnsi="宋体" w:cs="宋体" w:eastAsia="宋体" w:hint="default"/>
                      <w:color w:val="9F8958"/>
                      <w:sz w:val="16"/>
                      <w:szCs w:val="16"/>
                    </w:rPr>
                    <w:t>告</w:t>
                  </w:r>
                  <w:r>
                    <w:rPr>
                      <w:rFonts w:ascii="宋体" w:hAnsi="宋体" w:cs="宋体" w:eastAsia="宋体" w:hint="default"/>
                      <w:color w:val="9F8958"/>
                      <w:spacing w:val="-48"/>
                      <w:sz w:val="16"/>
                      <w:szCs w:val="16"/>
                    </w:rPr>
                    <w:t> </w:t>
                  </w:r>
                  <w:r>
                    <w:rPr>
                      <w:rFonts w:ascii="宋体" w:hAnsi="宋体" w:cs="宋体" w:eastAsia="宋体" w:hint="default"/>
                      <w:sz w:val="16"/>
                      <w:szCs w:val="16"/>
                    </w:rPr>
                  </w:r>
                </w:p>
              </w:txbxContent>
            </v:textbox>
            <w10:wrap type="none"/>
          </v:shape>
        </w:pict>
      </w:r>
      <w:r>
        <w:rPr>
          <w:rFonts w:ascii="宋体" w:hAnsi="宋体" w:cs="宋体" w:eastAsia="宋体" w:hint="default"/>
          <w:w w:val="95"/>
          <w:sz w:val="14"/>
          <w:szCs w:val="14"/>
        </w:rPr>
        <w:t>1.</w:t>
      </w:r>
      <w:r>
        <w:rPr>
          <w:rFonts w:ascii="宋体" w:hAnsi="宋体" w:cs="宋体" w:eastAsia="宋体" w:hint="default"/>
          <w:spacing w:val="7"/>
          <w:w w:val="95"/>
          <w:sz w:val="14"/>
          <w:szCs w:val="14"/>
        </w:rPr>
        <w:t> </w:t>
      </w:r>
      <w:r>
        <w:rPr>
          <w:rFonts w:ascii="宋体" w:hAnsi="宋体" w:cs="宋体" w:eastAsia="宋体" w:hint="default"/>
          <w:w w:val="95"/>
          <w:sz w:val="14"/>
          <w:szCs w:val="14"/>
        </w:rPr>
        <w:t>股东投入的普通股</w:t>
        <w:tab/>
      </w:r>
      <w:r>
        <w:rPr>
          <w:rFonts w:ascii="宋体" w:hAnsi="宋体" w:cs="宋体" w:eastAsia="宋体" w:hint="default"/>
          <w:spacing w:val="-7"/>
          <w:sz w:val="14"/>
          <w:szCs w:val="14"/>
        </w:rPr>
        <w:t>9,037,354,292</w:t>
      </w:r>
      <w:r>
        <w:rPr>
          <w:rFonts w:ascii="宋体" w:hAnsi="宋体" w:cs="宋体" w:eastAsia="宋体" w:hint="default"/>
          <w:spacing w:val="40"/>
          <w:sz w:val="14"/>
          <w:szCs w:val="14"/>
        </w:rPr>
        <w:t> </w:t>
      </w:r>
      <w:r>
        <w:rPr>
          <w:rFonts w:ascii="宋体" w:hAnsi="宋体" w:cs="宋体" w:eastAsia="宋体" w:hint="default"/>
          <w:sz w:val="14"/>
          <w:szCs w:val="14"/>
        </w:rPr>
        <w:t>48,495,563,228</w:t>
        <w:tab/>
      </w:r>
      <w:r>
        <w:rPr>
          <w:rFonts w:ascii="宋体" w:hAnsi="宋体" w:cs="宋体" w:eastAsia="宋体" w:hint="default"/>
          <w:w w:val="110"/>
          <w:sz w:val="14"/>
          <w:szCs w:val="14"/>
        </w:rPr>
        <w:t>-</w:t>
        <w:tab/>
        <w:t>-</w:t>
        <w:tab/>
        <w:t>-</w:t>
        <w:tab/>
        <w:t>-</w:t>
        <w:tab/>
      </w:r>
      <w:r>
        <w:rPr>
          <w:rFonts w:ascii="宋体" w:hAnsi="宋体" w:cs="宋体" w:eastAsia="宋体" w:hint="default"/>
          <w:w w:val="105"/>
          <w:sz w:val="14"/>
          <w:szCs w:val="14"/>
        </w:rPr>
        <w:t>- 57,532,917,520 17,432,892,086</w:t>
      </w:r>
      <w:r>
        <w:rPr>
          <w:rFonts w:ascii="宋体" w:hAnsi="宋体" w:cs="宋体" w:eastAsia="宋体" w:hint="default"/>
          <w:spacing w:val="54"/>
          <w:w w:val="105"/>
          <w:sz w:val="14"/>
          <w:szCs w:val="14"/>
        </w:rPr>
        <w:t> </w:t>
      </w:r>
      <w:r>
        <w:rPr>
          <w:rFonts w:ascii="宋体" w:hAnsi="宋体" w:cs="宋体" w:eastAsia="宋体" w:hint="default"/>
          <w:w w:val="105"/>
          <w:sz w:val="14"/>
          <w:szCs w:val="14"/>
        </w:rPr>
        <w:t>74,965,809,606</w:t>
      </w:r>
      <w:r>
        <w:rPr>
          <w:rFonts w:ascii="宋体" w:hAnsi="宋体" w:cs="宋体" w:eastAsia="宋体" w:hint="default"/>
          <w:sz w:val="14"/>
          <w:szCs w:val="14"/>
        </w:rPr>
      </w:r>
    </w:p>
    <w:p>
      <w:pPr>
        <w:tabs>
          <w:tab w:pos="4018" w:val="left" w:leader="none"/>
          <w:tab w:pos="4500" w:val="left" w:leader="none"/>
          <w:tab w:pos="6059" w:val="left" w:leader="none"/>
          <w:tab w:pos="7009" w:val="left" w:leader="none"/>
          <w:tab w:pos="7998" w:val="left" w:leader="none"/>
          <w:tab w:pos="8889" w:val="left" w:leader="none"/>
          <w:tab w:pos="9966" w:val="left" w:leader="none"/>
          <w:tab w:pos="10465" w:val="left" w:leader="none"/>
          <w:tab w:pos="11570" w:val="left" w:leader="none"/>
          <w:tab w:pos="12703" w:val="left" w:leader="none"/>
        </w:tabs>
        <w:spacing w:before="80"/>
        <w:ind w:left="619" w:right="0" w:firstLine="0"/>
        <w:jc w:val="left"/>
        <w:rPr>
          <w:rFonts w:ascii="宋体" w:hAnsi="宋体" w:cs="宋体" w:eastAsia="宋体" w:hint="default"/>
          <w:sz w:val="14"/>
          <w:szCs w:val="14"/>
        </w:rPr>
      </w:pPr>
      <w:r>
        <w:rPr>
          <w:rFonts w:ascii="宋体" w:hAnsi="宋体" w:cs="宋体" w:eastAsia="宋体" w:hint="default"/>
          <w:w w:val="95"/>
          <w:sz w:val="14"/>
          <w:szCs w:val="14"/>
        </w:rPr>
        <w:t>2.</w:t>
      </w:r>
      <w:r>
        <w:rPr>
          <w:rFonts w:ascii="宋体" w:hAnsi="宋体" w:cs="宋体" w:eastAsia="宋体" w:hint="default"/>
          <w:spacing w:val="-35"/>
          <w:w w:val="95"/>
          <w:sz w:val="14"/>
          <w:szCs w:val="14"/>
        </w:rPr>
        <w:t> </w:t>
      </w:r>
      <w:r>
        <w:rPr>
          <w:rFonts w:ascii="宋体" w:hAnsi="宋体" w:cs="宋体" w:eastAsia="宋体" w:hint="default"/>
          <w:w w:val="95"/>
          <w:sz w:val="14"/>
          <w:szCs w:val="14"/>
        </w:rPr>
        <w:t>其他</w:t>
        <w:tab/>
      </w:r>
      <w:r>
        <w:rPr>
          <w:rFonts w:ascii="宋体" w:hAnsi="宋体" w:cs="宋体" w:eastAsia="宋体" w:hint="default"/>
          <w:w w:val="110"/>
          <w:sz w:val="14"/>
          <w:szCs w:val="14"/>
        </w:rPr>
        <w:t>-</w:t>
        <w:tab/>
      </w:r>
      <w:r>
        <w:rPr>
          <w:rFonts w:ascii="宋体" w:hAnsi="宋体" w:cs="宋体" w:eastAsia="宋体" w:hint="default"/>
          <w:w w:val="95"/>
          <w:sz w:val="14"/>
          <w:szCs w:val="14"/>
        </w:rPr>
        <w:t>39,235,868</w:t>
        <w:tab/>
      </w:r>
      <w:r>
        <w:rPr>
          <w:rFonts w:ascii="宋体" w:hAnsi="宋体" w:cs="宋体" w:eastAsia="宋体" w:hint="default"/>
          <w:w w:val="110"/>
          <w:sz w:val="14"/>
          <w:szCs w:val="14"/>
        </w:rPr>
        <w:t>-</w:t>
        <w:tab/>
        <w:t>-</w:t>
        <w:tab/>
        <w:t>-</w:t>
        <w:tab/>
        <w:t>-</w:t>
        <w:tab/>
        <w:t>-</w:t>
        <w:tab/>
      </w:r>
      <w:r>
        <w:rPr>
          <w:rFonts w:ascii="宋体" w:hAnsi="宋体" w:cs="宋体" w:eastAsia="宋体" w:hint="default"/>
          <w:w w:val="95"/>
          <w:sz w:val="14"/>
          <w:szCs w:val="14"/>
        </w:rPr>
        <w:t>39,235,868</w:t>
        <w:tab/>
        <w:t>52,377,413</w:t>
        <w:tab/>
      </w:r>
      <w:r>
        <w:rPr>
          <w:rFonts w:ascii="宋体" w:hAnsi="宋体" w:cs="宋体" w:eastAsia="宋体" w:hint="default"/>
          <w:w w:val="110"/>
          <w:sz w:val="14"/>
          <w:szCs w:val="14"/>
        </w:rPr>
        <w:t>91,613,281</w:t>
      </w:r>
      <w:r>
        <w:rPr>
          <w:rFonts w:ascii="宋体" w:hAnsi="宋体" w:cs="宋体" w:eastAsia="宋体" w:hint="default"/>
          <w:sz w:val="14"/>
          <w:szCs w:val="14"/>
        </w:rPr>
      </w:r>
    </w:p>
    <w:p>
      <w:pPr>
        <w:spacing w:before="80"/>
        <w:ind w:left="165" w:right="0" w:firstLine="0"/>
        <w:jc w:val="left"/>
        <w:rPr>
          <w:rFonts w:ascii="宋体" w:hAnsi="宋体" w:cs="宋体" w:eastAsia="宋体" w:hint="default"/>
          <w:sz w:val="14"/>
          <w:szCs w:val="14"/>
        </w:rPr>
      </w:pPr>
      <w:r>
        <w:rPr>
          <w:rFonts w:ascii="宋体" w:hAnsi="宋体" w:cs="宋体" w:eastAsia="宋体" w:hint="default"/>
          <w:sz w:val="14"/>
          <w:szCs w:val="14"/>
        </w:rPr>
        <w:t>（三）利润分配</w:t>
      </w:r>
    </w:p>
    <w:p>
      <w:pPr>
        <w:tabs>
          <w:tab w:pos="4018" w:val="left" w:leader="none"/>
          <w:tab w:pos="5107" w:val="left" w:leader="none"/>
          <w:tab w:pos="6059" w:val="left" w:leader="none"/>
          <w:tab w:pos="7009" w:val="left" w:leader="none"/>
          <w:tab w:pos="7998" w:val="left" w:leader="none"/>
          <w:tab w:pos="8889" w:val="left" w:leader="none"/>
          <w:tab w:pos="9966" w:val="left" w:leader="none"/>
          <w:tab w:pos="11072" w:val="left" w:leader="none"/>
          <w:tab w:pos="12177" w:val="left" w:leader="none"/>
          <w:tab w:pos="13311" w:val="left" w:leader="none"/>
        </w:tabs>
        <w:spacing w:before="80"/>
        <w:ind w:left="619" w:right="0" w:firstLine="0"/>
        <w:jc w:val="left"/>
        <w:rPr>
          <w:rFonts w:ascii="宋体" w:hAnsi="宋体" w:cs="宋体" w:eastAsia="宋体" w:hint="default"/>
          <w:sz w:val="14"/>
          <w:szCs w:val="14"/>
        </w:rPr>
      </w:pPr>
      <w:r>
        <w:rPr>
          <w:rFonts w:ascii="宋体" w:hAnsi="宋体" w:cs="宋体" w:eastAsia="宋体" w:hint="default"/>
          <w:w w:val="95"/>
          <w:sz w:val="14"/>
          <w:szCs w:val="14"/>
        </w:rPr>
        <w:t>1.</w:t>
      </w:r>
      <w:r>
        <w:rPr>
          <w:rFonts w:ascii="宋体" w:hAnsi="宋体" w:cs="宋体" w:eastAsia="宋体" w:hint="default"/>
          <w:spacing w:val="-7"/>
          <w:w w:val="95"/>
          <w:sz w:val="14"/>
          <w:szCs w:val="14"/>
        </w:rPr>
        <w:t> </w:t>
      </w:r>
      <w:r>
        <w:rPr>
          <w:rFonts w:ascii="宋体" w:hAnsi="宋体" w:cs="宋体" w:eastAsia="宋体" w:hint="default"/>
          <w:w w:val="95"/>
          <w:sz w:val="14"/>
          <w:szCs w:val="14"/>
        </w:rPr>
        <w:t>提取盈余公积</w:t>
        <w:tab/>
      </w:r>
      <w:r>
        <w:rPr>
          <w:rFonts w:ascii="宋体" w:hAnsi="宋体" w:cs="宋体" w:eastAsia="宋体" w:hint="default"/>
          <w:w w:val="110"/>
          <w:sz w:val="14"/>
          <w:szCs w:val="14"/>
        </w:rPr>
        <w:t>-</w:t>
        <w:tab/>
        <w:t>-</w:t>
        <w:tab/>
        <w:t>-</w:t>
        <w:tab/>
        <w:t>-</w:t>
        <w:tab/>
        <w:t>-</w:t>
        <w:tab/>
        <w:t>-</w:t>
        <w:tab/>
        <w:t>-</w:t>
        <w:tab/>
        <w:t>-</w:t>
        <w:tab/>
        <w:t>-</w:t>
        <w:tab/>
        <w:t>-</w:t>
      </w:r>
      <w:r>
        <w:rPr>
          <w:rFonts w:ascii="宋体" w:hAnsi="宋体" w:cs="宋体" w:eastAsia="宋体" w:hint="default"/>
          <w:sz w:val="14"/>
          <w:szCs w:val="14"/>
        </w:rPr>
      </w:r>
    </w:p>
    <w:p>
      <w:pPr>
        <w:tabs>
          <w:tab w:pos="4018" w:val="left" w:leader="none"/>
          <w:tab w:pos="5107" w:val="left" w:leader="none"/>
          <w:tab w:pos="6059" w:val="left" w:leader="none"/>
          <w:tab w:pos="7009" w:val="left" w:leader="none"/>
          <w:tab w:pos="7998" w:val="left" w:leader="none"/>
          <w:tab w:pos="8889" w:val="left" w:leader="none"/>
          <w:tab w:pos="9966" w:val="left" w:leader="none"/>
          <w:tab w:pos="11072" w:val="left" w:leader="none"/>
          <w:tab w:pos="12177" w:val="left" w:leader="none"/>
          <w:tab w:pos="13311" w:val="left" w:leader="none"/>
        </w:tabs>
        <w:spacing w:before="80"/>
        <w:ind w:left="619" w:right="0" w:firstLine="0"/>
        <w:jc w:val="left"/>
        <w:rPr>
          <w:rFonts w:ascii="宋体" w:hAnsi="宋体" w:cs="宋体" w:eastAsia="宋体" w:hint="default"/>
          <w:sz w:val="14"/>
          <w:szCs w:val="14"/>
        </w:rPr>
      </w:pPr>
      <w:r>
        <w:rPr>
          <w:rFonts w:ascii="宋体" w:hAnsi="宋体" w:cs="宋体" w:eastAsia="宋体" w:hint="default"/>
          <w:w w:val="95"/>
          <w:sz w:val="14"/>
          <w:szCs w:val="14"/>
        </w:rPr>
        <w:t>2.</w:t>
      </w:r>
      <w:r>
        <w:rPr>
          <w:rFonts w:ascii="宋体" w:hAnsi="宋体" w:cs="宋体" w:eastAsia="宋体" w:hint="default"/>
          <w:spacing w:val="-7"/>
          <w:w w:val="95"/>
          <w:sz w:val="14"/>
          <w:szCs w:val="14"/>
        </w:rPr>
        <w:t> </w:t>
      </w:r>
      <w:r>
        <w:rPr>
          <w:rFonts w:ascii="宋体" w:hAnsi="宋体" w:cs="宋体" w:eastAsia="宋体" w:hint="default"/>
          <w:w w:val="95"/>
          <w:sz w:val="14"/>
          <w:szCs w:val="14"/>
        </w:rPr>
        <w:t>对股东的分配</w:t>
        <w:tab/>
      </w:r>
      <w:r>
        <w:rPr>
          <w:rFonts w:ascii="宋体" w:hAnsi="宋体" w:cs="宋体" w:eastAsia="宋体" w:hint="default"/>
          <w:w w:val="110"/>
          <w:sz w:val="14"/>
          <w:szCs w:val="14"/>
        </w:rPr>
        <w:t>-</w:t>
        <w:tab/>
        <w:t>-</w:t>
        <w:tab/>
        <w:t>-</w:t>
        <w:tab/>
        <w:t>-</w:t>
        <w:tab/>
        <w:t>-</w:t>
        <w:tab/>
        <w:t>-</w:t>
        <w:tab/>
        <w:t>-</w:t>
        <w:tab/>
        <w:t>-</w:t>
        <w:tab/>
        <w:t>-</w:t>
        <w:tab/>
        <w:t>-</w:t>
      </w:r>
      <w:r>
        <w:rPr>
          <w:rFonts w:ascii="宋体" w:hAnsi="宋体" w:cs="宋体" w:eastAsia="宋体" w:hint="default"/>
          <w:sz w:val="14"/>
          <w:szCs w:val="14"/>
        </w:rPr>
      </w:r>
    </w:p>
    <w:p>
      <w:pPr>
        <w:tabs>
          <w:tab w:pos="4018" w:val="left" w:leader="none"/>
          <w:tab w:pos="5107" w:val="left" w:leader="none"/>
          <w:tab w:pos="6059" w:val="left" w:leader="none"/>
          <w:tab w:pos="7009" w:val="left" w:leader="none"/>
          <w:tab w:pos="7998" w:val="left" w:leader="none"/>
          <w:tab w:pos="9281" w:val="left" w:leader="none"/>
          <w:tab w:pos="11072" w:val="left" w:leader="none"/>
          <w:tab w:pos="12177" w:val="left" w:leader="none"/>
          <w:tab w:pos="13311" w:val="left" w:leader="none"/>
        </w:tabs>
        <w:spacing w:before="80"/>
        <w:ind w:left="619" w:right="0" w:firstLine="0"/>
        <w:jc w:val="left"/>
        <w:rPr>
          <w:rFonts w:ascii="宋体" w:hAnsi="宋体" w:cs="宋体" w:eastAsia="宋体" w:hint="default"/>
          <w:sz w:val="14"/>
          <w:szCs w:val="14"/>
        </w:rPr>
      </w:pPr>
      <w:r>
        <w:rPr>
          <w:rFonts w:ascii="宋体" w:hAnsi="宋体" w:cs="宋体" w:eastAsia="宋体" w:hint="default"/>
          <w:w w:val="95"/>
          <w:sz w:val="14"/>
          <w:szCs w:val="14"/>
        </w:rPr>
        <w:t>3.</w:t>
      </w:r>
      <w:r>
        <w:rPr>
          <w:rFonts w:ascii="宋体" w:hAnsi="宋体" w:cs="宋体" w:eastAsia="宋体" w:hint="default"/>
          <w:spacing w:val="7"/>
          <w:w w:val="95"/>
          <w:sz w:val="14"/>
          <w:szCs w:val="14"/>
        </w:rPr>
        <w:t> </w:t>
      </w:r>
      <w:r>
        <w:rPr>
          <w:rFonts w:ascii="宋体" w:hAnsi="宋体" w:cs="宋体" w:eastAsia="宋体" w:hint="default"/>
          <w:w w:val="95"/>
          <w:sz w:val="14"/>
          <w:szCs w:val="14"/>
        </w:rPr>
        <w:t>提取一般风险准备</w:t>
        <w:tab/>
      </w:r>
      <w:r>
        <w:rPr>
          <w:rFonts w:ascii="宋体" w:hAnsi="宋体" w:cs="宋体" w:eastAsia="宋体" w:hint="default"/>
          <w:w w:val="115"/>
          <w:sz w:val="14"/>
          <w:szCs w:val="14"/>
        </w:rPr>
        <w:t>-</w:t>
        <w:tab/>
        <w:t>-</w:t>
        <w:tab/>
        <w:t>-</w:t>
        <w:tab/>
        <w:t>-</w:t>
        <w:tab/>
        <w:t>- </w:t>
      </w:r>
      <w:r>
        <w:rPr>
          <w:rFonts w:ascii="宋体" w:hAnsi="宋体" w:cs="宋体" w:eastAsia="宋体" w:hint="default"/>
          <w:spacing w:val="6"/>
          <w:w w:val="115"/>
          <w:sz w:val="14"/>
          <w:szCs w:val="14"/>
        </w:rPr>
        <w:t> </w:t>
      </w:r>
      <w:r>
        <w:rPr>
          <w:rFonts w:ascii="宋体" w:hAnsi="宋体" w:cs="宋体" w:eastAsia="宋体" w:hint="default"/>
          <w:w w:val="105"/>
          <w:sz w:val="14"/>
          <w:szCs w:val="14"/>
        </w:rPr>
        <w:t>85,333,808</w:t>
        <w:tab/>
      </w:r>
      <w:r>
        <w:rPr>
          <w:rFonts w:ascii="宋体" w:hAnsi="宋体" w:cs="宋体" w:eastAsia="宋体" w:hint="default"/>
          <w:w w:val="90"/>
          <w:sz w:val="14"/>
          <w:szCs w:val="14"/>
        </w:rPr>
        <w:t>(85,333,808)</w:t>
        <w:tab/>
      </w:r>
      <w:r>
        <w:rPr>
          <w:rFonts w:ascii="宋体" w:hAnsi="宋体" w:cs="宋体" w:eastAsia="宋体" w:hint="default"/>
          <w:w w:val="115"/>
          <w:sz w:val="14"/>
          <w:szCs w:val="14"/>
        </w:rPr>
        <w:t>-</w:t>
        <w:tab/>
        <w:t>-</w:t>
        <w:tab/>
        <w:t>-</w:t>
      </w:r>
      <w:r>
        <w:rPr>
          <w:rFonts w:ascii="宋体" w:hAnsi="宋体" w:cs="宋体" w:eastAsia="宋体" w:hint="default"/>
          <w:sz w:val="14"/>
          <w:szCs w:val="14"/>
        </w:rPr>
      </w:r>
    </w:p>
    <w:p>
      <w:pPr>
        <w:tabs>
          <w:tab w:pos="3212" w:val="left" w:leader="none"/>
          <w:tab w:pos="6059" w:val="left" w:leader="none"/>
        </w:tabs>
        <w:spacing w:before="80"/>
        <w:ind w:left="166" w:right="0" w:firstLine="0"/>
        <w:jc w:val="left"/>
        <w:rPr>
          <w:rFonts w:ascii="宋体" w:hAnsi="宋体" w:cs="宋体" w:eastAsia="宋体" w:hint="default"/>
          <w:sz w:val="14"/>
          <w:szCs w:val="14"/>
        </w:rPr>
      </w:pPr>
      <w:r>
        <w:rPr>
          <w:rFonts w:ascii="宋体" w:hAnsi="宋体" w:cs="宋体" w:eastAsia="宋体" w:hint="default"/>
          <w:spacing w:val="-5"/>
          <w:sz w:val="14"/>
          <w:szCs w:val="14"/>
        </w:rPr>
        <w:t>2017</w:t>
      </w:r>
      <w:r>
        <w:rPr>
          <w:rFonts w:ascii="宋体" w:hAnsi="宋体" w:cs="宋体" w:eastAsia="宋体" w:hint="default"/>
          <w:spacing w:val="-29"/>
          <w:sz w:val="14"/>
          <w:szCs w:val="14"/>
        </w:rPr>
        <w:t> </w:t>
      </w:r>
      <w:r>
        <w:rPr>
          <w:rFonts w:ascii="宋体" w:hAnsi="宋体" w:cs="宋体" w:eastAsia="宋体" w:hint="default"/>
          <w:sz w:val="14"/>
          <w:szCs w:val="14"/>
        </w:rPr>
        <w:t>年</w:t>
      </w:r>
      <w:r>
        <w:rPr>
          <w:rFonts w:ascii="宋体" w:hAnsi="宋体" w:cs="宋体" w:eastAsia="宋体" w:hint="default"/>
          <w:spacing w:val="-29"/>
          <w:sz w:val="14"/>
          <w:szCs w:val="14"/>
        </w:rPr>
        <w:t> </w:t>
      </w:r>
      <w:r>
        <w:rPr>
          <w:rFonts w:ascii="宋体" w:hAnsi="宋体" w:cs="宋体" w:eastAsia="宋体" w:hint="default"/>
          <w:spacing w:val="-3"/>
          <w:sz w:val="14"/>
          <w:szCs w:val="14"/>
        </w:rPr>
        <w:t>12</w:t>
      </w:r>
      <w:r>
        <w:rPr>
          <w:rFonts w:ascii="宋体" w:hAnsi="宋体" w:cs="宋体" w:eastAsia="宋体" w:hint="default"/>
          <w:spacing w:val="-29"/>
          <w:sz w:val="14"/>
          <w:szCs w:val="14"/>
        </w:rPr>
        <w:t> </w:t>
      </w:r>
      <w:r>
        <w:rPr>
          <w:rFonts w:ascii="宋体" w:hAnsi="宋体" w:cs="宋体" w:eastAsia="宋体" w:hint="default"/>
          <w:sz w:val="14"/>
          <w:szCs w:val="14"/>
        </w:rPr>
        <w:t>月</w:t>
      </w:r>
      <w:r>
        <w:rPr>
          <w:rFonts w:ascii="宋体" w:hAnsi="宋体" w:cs="宋体" w:eastAsia="宋体" w:hint="default"/>
          <w:spacing w:val="-29"/>
          <w:sz w:val="14"/>
          <w:szCs w:val="14"/>
        </w:rPr>
        <w:t> </w:t>
      </w:r>
      <w:r>
        <w:rPr>
          <w:rFonts w:ascii="宋体" w:hAnsi="宋体" w:cs="宋体" w:eastAsia="宋体" w:hint="default"/>
          <w:spacing w:val="-3"/>
          <w:sz w:val="14"/>
          <w:szCs w:val="14"/>
        </w:rPr>
        <w:t>31</w:t>
      </w:r>
      <w:r>
        <w:rPr>
          <w:rFonts w:ascii="宋体" w:hAnsi="宋体" w:cs="宋体" w:eastAsia="宋体" w:hint="default"/>
          <w:spacing w:val="-29"/>
          <w:sz w:val="14"/>
          <w:szCs w:val="14"/>
        </w:rPr>
        <w:t> </w:t>
      </w:r>
      <w:r>
        <w:rPr>
          <w:rFonts w:ascii="宋体" w:hAnsi="宋体" w:cs="宋体" w:eastAsia="宋体" w:hint="default"/>
          <w:spacing w:val="-5"/>
          <w:sz w:val="14"/>
          <w:szCs w:val="14"/>
        </w:rPr>
        <w:t>日年末余额</w:t>
        <w:tab/>
      </w:r>
      <w:r>
        <w:rPr>
          <w:rFonts w:ascii="宋体" w:hAnsi="宋体" w:cs="宋体" w:eastAsia="宋体" w:hint="default"/>
          <w:spacing w:val="-7"/>
          <w:sz w:val="14"/>
          <w:szCs w:val="14"/>
        </w:rPr>
        <w:t>30,233,950,687</w:t>
      </w:r>
      <w:r>
        <w:rPr>
          <w:rFonts w:ascii="宋体" w:hAnsi="宋体" w:cs="宋体" w:eastAsia="宋体" w:hint="default"/>
          <w:spacing w:val="49"/>
          <w:sz w:val="14"/>
          <w:szCs w:val="14"/>
        </w:rPr>
        <w:t> </w:t>
      </w:r>
      <w:r>
        <w:rPr>
          <w:rFonts w:ascii="宋体" w:hAnsi="宋体" w:cs="宋体" w:eastAsia="宋体" w:hint="default"/>
          <w:sz w:val="14"/>
          <w:szCs w:val="14"/>
        </w:rPr>
        <w:t>76,346,331,405</w:t>
        <w:tab/>
        <w:t>- </w:t>
      </w:r>
      <w:r>
        <w:rPr>
          <w:rFonts w:ascii="宋体" w:hAnsi="宋体" w:cs="宋体" w:eastAsia="宋体" w:hint="default"/>
          <w:spacing w:val="-7"/>
          <w:sz w:val="14"/>
          <w:szCs w:val="14"/>
        </w:rPr>
        <w:t>(2,395,862,753) </w:t>
      </w:r>
      <w:r>
        <w:rPr>
          <w:rFonts w:ascii="宋体" w:hAnsi="宋体" w:cs="宋体" w:eastAsia="宋体" w:hint="default"/>
          <w:sz w:val="14"/>
          <w:szCs w:val="14"/>
        </w:rPr>
        <w:t>1,338,484,194  97,055,713 29,773,369,882 135,393,329,128 171,625,033,987</w:t>
      </w:r>
      <w:r>
        <w:rPr>
          <w:rFonts w:ascii="宋体" w:hAnsi="宋体" w:cs="宋体" w:eastAsia="宋体" w:hint="default"/>
          <w:spacing w:val="26"/>
          <w:sz w:val="14"/>
          <w:szCs w:val="14"/>
        </w:rPr>
        <w:t> </w:t>
      </w:r>
      <w:r>
        <w:rPr>
          <w:rFonts w:ascii="宋体" w:hAnsi="宋体" w:cs="宋体" w:eastAsia="宋体" w:hint="default"/>
          <w:sz w:val="14"/>
          <w:szCs w:val="14"/>
        </w:rPr>
        <w:t>307,018,363,115</w:t>
      </w:r>
    </w:p>
    <w:p>
      <w:pPr>
        <w:spacing w:line="240" w:lineRule="auto" w:before="1"/>
        <w:rPr>
          <w:rFonts w:ascii="宋体" w:hAnsi="宋体" w:cs="宋体" w:eastAsia="宋体" w:hint="default"/>
          <w:sz w:val="9"/>
          <w:szCs w:val="9"/>
        </w:rPr>
      </w:pPr>
    </w:p>
    <w:p>
      <w:pPr>
        <w:spacing w:line="40" w:lineRule="exact"/>
        <w:ind w:left="117" w:right="0" w:firstLine="0"/>
        <w:rPr>
          <w:rFonts w:ascii="宋体" w:hAnsi="宋体" w:cs="宋体" w:eastAsia="宋体" w:hint="default"/>
          <w:sz w:val="4"/>
          <w:szCs w:val="4"/>
        </w:rPr>
      </w:pPr>
      <w:r>
        <w:rPr>
          <w:rFonts w:ascii="宋体" w:hAnsi="宋体" w:cs="宋体" w:eastAsia="宋体" w:hint="default"/>
          <w:position w:val="0"/>
          <w:sz w:val="4"/>
          <w:szCs w:val="4"/>
        </w:rPr>
        <w:pict>
          <v:group style="width:666.7pt;height:2pt;mso-position-horizontal-relative:char;mso-position-vertical-relative:line" coordorigin="0,0" coordsize="13334,40">
            <v:group style="position:absolute;left:20;top:20;width:2467;height:2" coordorigin="20,20" coordsize="2467,2">
              <v:shape style="position:absolute;left:20;top:20;width:2467;height:2" coordorigin="20,20" coordsize="2467,0" path="m20,20l2486,20e" filled="false" stroked="true" strokeweight="2pt" strokecolor="#9f8958">
                <v:path arrowok="t"/>
              </v:shape>
            </v:group>
            <v:group style="position:absolute;left:2486;top:20;width:553;height:2" coordorigin="2486,20" coordsize="553,2">
              <v:shape style="position:absolute;left:2486;top:20;width:553;height:2" coordorigin="2486,20" coordsize="553,0" path="m2486,20l3039,20e" filled="false" stroked="true" strokeweight="2pt" strokecolor="#9f8958">
                <v:path arrowok="t"/>
              </v:shape>
            </v:group>
            <v:group style="position:absolute;left:3039;top:20;width:983;height:2" coordorigin="3039,20" coordsize="983,2">
              <v:shape style="position:absolute;left:3039;top:20;width:983;height:2" coordorigin="3039,20" coordsize="983,0" path="m3039,20l4022,20e" filled="false" stroked="true" strokeweight="2pt" strokecolor="#9f8958">
                <v:path arrowok="t"/>
              </v:shape>
            </v:group>
            <v:group style="position:absolute;left:4022;top:20;width:1089;height:2" coordorigin="4022,20" coordsize="1089,2">
              <v:shape style="position:absolute;left:4022;top:20;width:1089;height:2" coordorigin="4022,20" coordsize="1089,0" path="m4022,20l5110,20e" filled="false" stroked="true" strokeweight="2pt" strokecolor="#9f8958">
                <v:path arrowok="t"/>
              </v:shape>
            </v:group>
            <v:group style="position:absolute;left:5110;top:20;width:953;height:2" coordorigin="5110,20" coordsize="953,2">
              <v:shape style="position:absolute;left:5110;top:20;width:953;height:2" coordorigin="5110,20" coordsize="953,0" path="m5110,20l6063,20e" filled="false" stroked="true" strokeweight="2pt" strokecolor="#9f8958">
                <v:path arrowok="t"/>
              </v:shape>
            </v:group>
            <v:group style="position:absolute;left:6063;top:20;width:950;height:2" coordorigin="6063,20" coordsize="950,2">
              <v:shape style="position:absolute;left:6063;top:20;width:950;height:2" coordorigin="6063,20" coordsize="950,0" path="m6063,20l7012,20e" filled="false" stroked="true" strokeweight="2pt" strokecolor="#9f8958">
                <v:path arrowok="t"/>
              </v:shape>
            </v:group>
            <v:group style="position:absolute;left:7012;top:20;width:989;height:2" coordorigin="7012,20" coordsize="989,2">
              <v:shape style="position:absolute;left:7012;top:20;width:989;height:2" coordorigin="7012,20" coordsize="989,0" path="m7012,20l8001,20e" filled="false" stroked="true" strokeweight="2pt" strokecolor="#9f8958">
                <v:path arrowok="t"/>
              </v:shape>
            </v:group>
            <v:group style="position:absolute;left:8001;top:20;width:892;height:2" coordorigin="8001,20" coordsize="892,2">
              <v:shape style="position:absolute;left:8001;top:20;width:892;height:2" coordorigin="8001,20" coordsize="892,0" path="m8001,20l8893,20e" filled="false" stroked="true" strokeweight="2pt" strokecolor="#9f8958">
                <v:path arrowok="t"/>
              </v:shape>
            </v:group>
            <v:group style="position:absolute;left:8893;top:20;width:1077;height:2" coordorigin="8893,20" coordsize="1077,2">
              <v:shape style="position:absolute;left:8893;top:20;width:1077;height:2" coordorigin="8893,20" coordsize="1077,0" path="m8893,20l9969,20e" filled="false" stroked="true" strokeweight="2pt" strokecolor="#9f8958">
                <v:path arrowok="t"/>
              </v:shape>
            </v:group>
            <v:group style="position:absolute;left:9969;top:20;width:1106;height:2" coordorigin="9969,20" coordsize="1106,2">
              <v:shape style="position:absolute;left:9969;top:20;width:1106;height:2" coordorigin="9969,20" coordsize="1106,0" path="m9969,20l11075,20e" filled="false" stroked="true" strokeweight="2pt" strokecolor="#9f8958">
                <v:path arrowok="t"/>
              </v:shape>
            </v:group>
            <v:group style="position:absolute;left:11075;top:20;width:1106;height:2" coordorigin="11075,20" coordsize="1106,2">
              <v:shape style="position:absolute;left:11075;top:20;width:1106;height:2" coordorigin="11075,20" coordsize="1106,0" path="m11075,20l12181,20e" filled="false" stroked="true" strokeweight="2pt" strokecolor="#9f8958">
                <v:path arrowok="t"/>
              </v:shape>
            </v:group>
            <v:group style="position:absolute;left:12181;top:20;width:1134;height:2" coordorigin="12181,20" coordsize="1134,2">
              <v:shape style="position:absolute;left:12181;top:20;width:1134;height:2" coordorigin="12181,20" coordsize="1134,0" path="m12181,20l13314,20e" filled="false" stroked="true" strokeweight="2pt" strokecolor="#9f8958">
                <v:path arrowok="t"/>
              </v:shape>
            </v:group>
          </v:group>
        </w:pict>
      </w:r>
      <w:r>
        <w:rPr>
          <w:rFonts w:ascii="宋体" w:hAnsi="宋体" w:cs="宋体" w:eastAsia="宋体" w:hint="default"/>
          <w:position w:val="0"/>
          <w:sz w:val="4"/>
          <w:szCs w:val="4"/>
        </w:rPr>
      </w:r>
    </w:p>
    <w:p>
      <w:pPr>
        <w:pStyle w:val="BodyText"/>
        <w:spacing w:line="240" w:lineRule="auto" w:before="58"/>
        <w:ind w:left="137" w:right="0"/>
        <w:jc w:val="left"/>
      </w:pPr>
      <w:r>
        <w:rPr/>
        <w:t>后附财务报表附注为财务报表的组成部分。</w:t>
      </w:r>
    </w:p>
    <w:p>
      <w:pPr>
        <w:spacing w:line="240" w:lineRule="auto" w:before="12"/>
        <w:rPr>
          <w:rFonts w:ascii="宋体" w:hAnsi="宋体" w:cs="宋体" w:eastAsia="宋体" w:hint="default"/>
          <w:sz w:val="17"/>
          <w:szCs w:val="17"/>
        </w:rPr>
      </w:pPr>
    </w:p>
    <w:p>
      <w:pPr>
        <w:pStyle w:val="BodyText"/>
        <w:tabs>
          <w:tab w:pos="3044" w:val="left" w:leader="none"/>
          <w:tab w:pos="6644" w:val="left" w:leader="none"/>
        </w:tabs>
        <w:spacing w:line="240" w:lineRule="auto"/>
        <w:ind w:left="137" w:right="0"/>
        <w:jc w:val="left"/>
      </w:pPr>
      <w:r>
        <w:rPr/>
        <w:t>董事长：王晓初</w:t>
        <w:tab/>
        <w:t>财务负责人：姜爱华</w:t>
        <w:tab/>
        <w:t>财务部总经理：王芳</w:t>
      </w:r>
    </w:p>
    <w:p>
      <w:pPr>
        <w:spacing w:after="0" w:line="240" w:lineRule="auto"/>
        <w:jc w:val="left"/>
        <w:sectPr>
          <w:type w:val="continuous"/>
          <w:pgSz w:w="16160" w:h="11910" w:orient="landscape"/>
          <w:pgMar w:top="1520" w:bottom="280" w:left="940" w:right="1660"/>
        </w:sectPr>
      </w:pPr>
    </w:p>
    <w:p>
      <w:pPr>
        <w:pStyle w:val="Heading3"/>
        <w:spacing w:line="487" w:lineRule="exact"/>
        <w:ind w:left="113" w:right="125"/>
        <w:jc w:val="left"/>
        <w:rPr>
          <w:rFonts w:ascii="宋体" w:hAnsi="宋体" w:cs="宋体" w:eastAsia="宋体" w:hint="default"/>
        </w:rPr>
      </w:pPr>
      <w:r>
        <w:rPr>
          <w:rFonts w:ascii="宋体" w:hAnsi="宋体" w:cs="宋体" w:eastAsia="宋体" w:hint="default"/>
          <w:color w:val="9F8958"/>
        </w:rPr>
        <w:t>股东权益变动表</w:t>
      </w:r>
      <w:r>
        <w:rPr>
          <w:rFonts w:ascii="宋体" w:hAnsi="宋体" w:cs="宋体" w:eastAsia="宋体" w:hint="default"/>
        </w:rPr>
      </w:r>
    </w:p>
    <w:p>
      <w:pPr>
        <w:spacing w:line="201" w:lineRule="exact" w:before="103"/>
        <w:ind w:left="113" w:right="125" w:firstLine="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年度公司股东权益变动表</w:t>
      </w:r>
    </w:p>
    <w:p>
      <w:pPr>
        <w:spacing w:line="201" w:lineRule="exact" w:before="0"/>
        <w:ind w:left="113" w:right="125"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3"/>
          <w:szCs w:val="23"/>
        </w:rPr>
      </w:pPr>
    </w:p>
    <w:p>
      <w:pPr>
        <w:spacing w:before="42"/>
        <w:ind w:left="198" w:right="125" w:firstLine="0"/>
        <w:jc w:val="left"/>
        <w:rPr>
          <w:rFonts w:ascii="宋体" w:hAnsi="宋体" w:cs="宋体" w:eastAsia="宋体" w:hint="default"/>
          <w:sz w:val="15"/>
          <w:szCs w:val="15"/>
        </w:rPr>
      </w:pPr>
      <w:r>
        <w:rPr/>
        <w:pict>
          <v:shape style="position:absolute;margin-left:39.685001pt;margin-top:-74.117546pt;width:483.05pt;height:339.45pt;mso-position-horizontal-relative:page;mso-position-vertical-relative:paragraph;z-index:91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647"/>
                    <w:gridCol w:w="1193"/>
                    <w:gridCol w:w="1199"/>
                    <w:gridCol w:w="1167"/>
                    <w:gridCol w:w="1103"/>
                    <w:gridCol w:w="1073"/>
                    <w:gridCol w:w="1279"/>
                  </w:tblGrid>
                  <w:tr>
                    <w:trPr>
                      <w:trHeight w:val="384" w:hRule="exact"/>
                    </w:trPr>
                    <w:tc>
                      <w:tcPr>
                        <w:tcW w:w="2647" w:type="dxa"/>
                        <w:tcBorders>
                          <w:top w:val="nil" w:sz="6" w:space="0" w:color="auto"/>
                          <w:left w:val="nil" w:sz="6" w:space="0" w:color="auto"/>
                          <w:bottom w:val="single" w:sz="16" w:space="0" w:color="9F8958"/>
                          <w:right w:val="nil" w:sz="6" w:space="0" w:color="auto"/>
                        </w:tcBorders>
                      </w:tcPr>
                      <w:p>
                        <w:pPr>
                          <w:pStyle w:val="TableParagraph"/>
                          <w:tabs>
                            <w:tab w:pos="2147" w:val="left" w:leader="none"/>
                          </w:tabs>
                          <w:spacing w:line="240" w:lineRule="auto" w:before="41"/>
                          <w:ind w:left="85" w:right="0"/>
                          <w:jc w:val="left"/>
                          <w:rPr>
                            <w:rFonts w:ascii="宋体" w:hAnsi="宋体" w:cs="宋体" w:eastAsia="宋体" w:hint="default"/>
                            <w:sz w:val="16"/>
                            <w:szCs w:val="16"/>
                          </w:rPr>
                        </w:pPr>
                        <w:r>
                          <w:rPr>
                            <w:rFonts w:ascii="宋体" w:hAnsi="宋体" w:cs="宋体" w:eastAsia="宋体" w:hint="default"/>
                            <w:sz w:val="16"/>
                            <w:szCs w:val="16"/>
                          </w:rPr>
                          <w:t>项目</w:t>
                          <w:tab/>
                          <w:t>附注</w:t>
                        </w:r>
                      </w:p>
                    </w:tc>
                    <w:tc>
                      <w:tcPr>
                        <w:tcW w:w="1193"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01"/>
                          <w:jc w:val="right"/>
                          <w:rPr>
                            <w:rFonts w:ascii="宋体" w:hAnsi="宋体" w:cs="宋体" w:eastAsia="宋体" w:hint="default"/>
                            <w:sz w:val="16"/>
                            <w:szCs w:val="16"/>
                          </w:rPr>
                        </w:pPr>
                        <w:r>
                          <w:rPr>
                            <w:rFonts w:ascii="宋体" w:hAnsi="宋体" w:cs="宋体" w:eastAsia="宋体" w:hint="default"/>
                            <w:sz w:val="16"/>
                            <w:szCs w:val="16"/>
                          </w:rPr>
                          <w:t>股本</w:t>
                        </w:r>
                      </w:p>
                    </w:tc>
                    <w:tc>
                      <w:tcPr>
                        <w:tcW w:w="1199"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87"/>
                          <w:jc w:val="right"/>
                          <w:rPr>
                            <w:rFonts w:ascii="宋体" w:hAnsi="宋体" w:cs="宋体" w:eastAsia="宋体" w:hint="default"/>
                            <w:sz w:val="16"/>
                            <w:szCs w:val="16"/>
                          </w:rPr>
                        </w:pPr>
                        <w:r>
                          <w:rPr>
                            <w:rFonts w:ascii="宋体" w:hAnsi="宋体" w:cs="宋体" w:eastAsia="宋体" w:hint="default"/>
                            <w:sz w:val="16"/>
                            <w:szCs w:val="16"/>
                          </w:rPr>
                          <w:t>资本公积</w:t>
                        </w:r>
                      </w:p>
                    </w:tc>
                    <w:tc>
                      <w:tcPr>
                        <w:tcW w:w="1167"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97"/>
                          <w:jc w:val="right"/>
                          <w:rPr>
                            <w:rFonts w:ascii="宋体" w:hAnsi="宋体" w:cs="宋体" w:eastAsia="宋体" w:hint="default"/>
                            <w:sz w:val="16"/>
                            <w:szCs w:val="16"/>
                          </w:rPr>
                        </w:pPr>
                        <w:r>
                          <w:rPr>
                            <w:rFonts w:ascii="宋体" w:hAnsi="宋体" w:cs="宋体" w:eastAsia="宋体" w:hint="default"/>
                            <w:sz w:val="16"/>
                            <w:szCs w:val="16"/>
                          </w:rPr>
                          <w:t>减：库存股</w:t>
                        </w:r>
                      </w:p>
                    </w:tc>
                    <w:tc>
                      <w:tcPr>
                        <w:tcW w:w="1103"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00"/>
                          <w:jc w:val="right"/>
                          <w:rPr>
                            <w:rFonts w:ascii="宋体" w:hAnsi="宋体" w:cs="宋体" w:eastAsia="宋体" w:hint="default"/>
                            <w:sz w:val="16"/>
                            <w:szCs w:val="16"/>
                          </w:rPr>
                        </w:pPr>
                        <w:r>
                          <w:rPr>
                            <w:rFonts w:ascii="宋体" w:hAnsi="宋体" w:cs="宋体" w:eastAsia="宋体" w:hint="default"/>
                            <w:sz w:val="16"/>
                            <w:szCs w:val="16"/>
                          </w:rPr>
                          <w:t>盈余公积</w:t>
                        </w:r>
                      </w:p>
                    </w:tc>
                    <w:tc>
                      <w:tcPr>
                        <w:tcW w:w="1073"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07"/>
                          <w:jc w:val="right"/>
                          <w:rPr>
                            <w:rFonts w:ascii="宋体" w:hAnsi="宋体" w:cs="宋体" w:eastAsia="宋体" w:hint="default"/>
                            <w:sz w:val="16"/>
                            <w:szCs w:val="16"/>
                          </w:rPr>
                        </w:pPr>
                        <w:r>
                          <w:rPr>
                            <w:rFonts w:ascii="宋体" w:hAnsi="宋体" w:cs="宋体" w:eastAsia="宋体" w:hint="default"/>
                            <w:sz w:val="16"/>
                            <w:szCs w:val="16"/>
                          </w:rPr>
                          <w:t>未分配利润</w:t>
                        </w:r>
                      </w:p>
                    </w:tc>
                    <w:tc>
                      <w:tcPr>
                        <w:tcW w:w="1279"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82"/>
                          <w:jc w:val="right"/>
                          <w:rPr>
                            <w:rFonts w:ascii="宋体" w:hAnsi="宋体" w:cs="宋体" w:eastAsia="宋体" w:hint="default"/>
                            <w:sz w:val="16"/>
                            <w:szCs w:val="16"/>
                          </w:rPr>
                        </w:pPr>
                        <w:r>
                          <w:rPr>
                            <w:rFonts w:ascii="宋体" w:hAnsi="宋体" w:cs="宋体" w:eastAsia="宋体" w:hint="default"/>
                            <w:sz w:val="16"/>
                            <w:szCs w:val="16"/>
                          </w:rPr>
                          <w:t>股东权益合计</w:t>
                        </w:r>
                      </w:p>
                    </w:tc>
                  </w:tr>
                  <w:tr>
                    <w:trPr>
                      <w:trHeight w:val="351" w:hRule="exact"/>
                    </w:trPr>
                    <w:tc>
                      <w:tcPr>
                        <w:tcW w:w="2647" w:type="dxa"/>
                        <w:tcBorders>
                          <w:top w:val="single" w:sz="16" w:space="0" w:color="9F8958"/>
                          <w:left w:val="nil" w:sz="6" w:space="0" w:color="auto"/>
                          <w:bottom w:val="nil" w:sz="6" w:space="0" w:color="auto"/>
                          <w:right w:val="nil" w:sz="6" w:space="0" w:color="auto"/>
                        </w:tcBorders>
                      </w:tcPr>
                      <w:p>
                        <w:pPr>
                          <w:pStyle w:val="TableParagraph"/>
                          <w:spacing w:line="240" w:lineRule="auto" w:before="67"/>
                          <w:ind w:left="85" w:right="0"/>
                          <w:jc w:val="left"/>
                          <w:rPr>
                            <w:rFonts w:ascii="宋体" w:hAnsi="宋体" w:cs="宋体" w:eastAsia="宋体" w:hint="default"/>
                            <w:sz w:val="15"/>
                            <w:szCs w:val="15"/>
                          </w:rPr>
                        </w:pPr>
                        <w:r>
                          <w:rPr>
                            <w:rFonts w:ascii="宋体" w:hAnsi="宋体" w:cs="宋体" w:eastAsia="宋体" w:hint="default"/>
                            <w:sz w:val="15"/>
                            <w:szCs w:val="15"/>
                          </w:rPr>
                          <w:t>2018</w:t>
                        </w:r>
                        <w:r>
                          <w:rPr>
                            <w:rFonts w:ascii="宋体" w:hAnsi="宋体" w:cs="宋体" w:eastAsia="宋体" w:hint="default"/>
                            <w:spacing w:val="-49"/>
                            <w:sz w:val="15"/>
                            <w:szCs w:val="15"/>
                          </w:rPr>
                          <w:t> </w:t>
                        </w:r>
                        <w:r>
                          <w:rPr>
                            <w:rFonts w:ascii="宋体" w:hAnsi="宋体" w:cs="宋体" w:eastAsia="宋体" w:hint="default"/>
                            <w:sz w:val="15"/>
                            <w:szCs w:val="15"/>
                          </w:rPr>
                          <w:t>年</w:t>
                        </w:r>
                        <w:r>
                          <w:rPr>
                            <w:rFonts w:ascii="宋体" w:hAnsi="宋体" w:cs="宋体" w:eastAsia="宋体" w:hint="default"/>
                            <w:spacing w:val="-49"/>
                            <w:sz w:val="15"/>
                            <w:szCs w:val="15"/>
                          </w:rPr>
                          <w:t> </w:t>
                        </w:r>
                        <w:r>
                          <w:rPr>
                            <w:rFonts w:ascii="宋体" w:hAnsi="宋体" w:cs="宋体" w:eastAsia="宋体" w:hint="default"/>
                            <w:sz w:val="15"/>
                            <w:szCs w:val="15"/>
                          </w:rPr>
                          <w:t>1</w:t>
                        </w:r>
                        <w:r>
                          <w:rPr>
                            <w:rFonts w:ascii="宋体" w:hAnsi="宋体" w:cs="宋体" w:eastAsia="宋体" w:hint="default"/>
                            <w:spacing w:val="-49"/>
                            <w:sz w:val="15"/>
                            <w:szCs w:val="15"/>
                          </w:rPr>
                          <w:t> </w:t>
                        </w:r>
                        <w:r>
                          <w:rPr>
                            <w:rFonts w:ascii="宋体" w:hAnsi="宋体" w:cs="宋体" w:eastAsia="宋体" w:hint="default"/>
                            <w:sz w:val="15"/>
                            <w:szCs w:val="15"/>
                          </w:rPr>
                          <w:t>月</w:t>
                        </w:r>
                        <w:r>
                          <w:rPr>
                            <w:rFonts w:ascii="宋体" w:hAnsi="宋体" w:cs="宋体" w:eastAsia="宋体" w:hint="default"/>
                            <w:spacing w:val="-49"/>
                            <w:sz w:val="15"/>
                            <w:szCs w:val="15"/>
                          </w:rPr>
                          <w:t> </w:t>
                        </w:r>
                        <w:r>
                          <w:rPr>
                            <w:rFonts w:ascii="宋体" w:hAnsi="宋体" w:cs="宋体" w:eastAsia="宋体" w:hint="default"/>
                            <w:sz w:val="15"/>
                            <w:szCs w:val="15"/>
                          </w:rPr>
                          <w:t>1</w:t>
                        </w:r>
                        <w:r>
                          <w:rPr>
                            <w:rFonts w:ascii="宋体" w:hAnsi="宋体" w:cs="宋体" w:eastAsia="宋体" w:hint="default"/>
                            <w:spacing w:val="-49"/>
                            <w:sz w:val="15"/>
                            <w:szCs w:val="15"/>
                          </w:rPr>
                          <w:t> </w:t>
                        </w:r>
                        <w:r>
                          <w:rPr>
                            <w:rFonts w:ascii="宋体" w:hAnsi="宋体" w:cs="宋体" w:eastAsia="宋体" w:hint="default"/>
                            <w:sz w:val="15"/>
                            <w:szCs w:val="15"/>
                          </w:rPr>
                          <w:t>日年初余额</w:t>
                        </w:r>
                      </w:p>
                    </w:tc>
                    <w:tc>
                      <w:tcPr>
                        <w:tcW w:w="1193" w:type="dxa"/>
                        <w:tcBorders>
                          <w:top w:val="single" w:sz="16" w:space="0" w:color="9F8958"/>
                          <w:left w:val="nil" w:sz="6" w:space="0" w:color="auto"/>
                          <w:bottom w:val="nil" w:sz="6" w:space="0" w:color="auto"/>
                          <w:right w:val="nil" w:sz="6" w:space="0" w:color="auto"/>
                        </w:tcBorders>
                      </w:tcPr>
                      <w:p>
                        <w:pPr>
                          <w:pStyle w:val="TableParagraph"/>
                          <w:spacing w:line="240" w:lineRule="auto" w:before="67"/>
                          <w:ind w:right="101"/>
                          <w:jc w:val="right"/>
                          <w:rPr>
                            <w:rFonts w:ascii="宋体" w:hAnsi="宋体" w:cs="宋体" w:eastAsia="宋体" w:hint="default"/>
                            <w:sz w:val="15"/>
                            <w:szCs w:val="15"/>
                          </w:rPr>
                        </w:pPr>
                        <w:r>
                          <w:rPr>
                            <w:rFonts w:ascii="宋体"/>
                            <w:w w:val="90"/>
                            <w:sz w:val="15"/>
                          </w:rPr>
                          <w:t>30,233,950,687</w:t>
                        </w:r>
                        <w:r>
                          <w:rPr>
                            <w:rFonts w:ascii="宋体"/>
                            <w:sz w:val="15"/>
                          </w:rPr>
                        </w:r>
                      </w:p>
                    </w:tc>
                    <w:tc>
                      <w:tcPr>
                        <w:tcW w:w="1199" w:type="dxa"/>
                        <w:tcBorders>
                          <w:top w:val="single" w:sz="16" w:space="0" w:color="9F8958"/>
                          <w:left w:val="nil" w:sz="6" w:space="0" w:color="auto"/>
                          <w:bottom w:val="nil" w:sz="6" w:space="0" w:color="auto"/>
                          <w:right w:val="nil" w:sz="6" w:space="0" w:color="auto"/>
                        </w:tcBorders>
                      </w:tcPr>
                      <w:p>
                        <w:pPr>
                          <w:pStyle w:val="TableParagraph"/>
                          <w:spacing w:line="240" w:lineRule="auto" w:before="67"/>
                          <w:ind w:right="87"/>
                          <w:jc w:val="right"/>
                          <w:rPr>
                            <w:rFonts w:ascii="宋体" w:hAnsi="宋体" w:cs="宋体" w:eastAsia="宋体" w:hint="default"/>
                            <w:sz w:val="15"/>
                            <w:szCs w:val="15"/>
                          </w:rPr>
                        </w:pPr>
                        <w:r>
                          <w:rPr>
                            <w:rFonts w:ascii="宋体"/>
                            <w:w w:val="90"/>
                            <w:sz w:val="15"/>
                          </w:rPr>
                          <w:t>69,619,818,503</w:t>
                        </w:r>
                        <w:r>
                          <w:rPr>
                            <w:rFonts w:ascii="宋体"/>
                            <w:sz w:val="15"/>
                          </w:rPr>
                        </w:r>
                      </w:p>
                    </w:tc>
                    <w:tc>
                      <w:tcPr>
                        <w:tcW w:w="1167" w:type="dxa"/>
                        <w:tcBorders>
                          <w:top w:val="single" w:sz="16" w:space="0" w:color="9F8958"/>
                          <w:left w:val="nil" w:sz="6" w:space="0" w:color="auto"/>
                          <w:bottom w:val="nil" w:sz="6" w:space="0" w:color="auto"/>
                          <w:right w:val="nil" w:sz="6" w:space="0" w:color="auto"/>
                        </w:tcBorders>
                      </w:tcPr>
                      <w:p>
                        <w:pPr>
                          <w:pStyle w:val="TableParagraph"/>
                          <w:spacing w:line="240" w:lineRule="auto" w:before="67"/>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single" w:sz="16" w:space="0" w:color="9F8958"/>
                          <w:left w:val="nil" w:sz="6" w:space="0" w:color="auto"/>
                          <w:bottom w:val="nil" w:sz="6" w:space="0" w:color="auto"/>
                          <w:right w:val="nil" w:sz="6" w:space="0" w:color="auto"/>
                        </w:tcBorders>
                      </w:tcPr>
                      <w:p>
                        <w:pPr>
                          <w:pStyle w:val="TableParagraph"/>
                          <w:spacing w:line="240" w:lineRule="auto" w:before="67"/>
                          <w:ind w:right="100"/>
                          <w:jc w:val="right"/>
                          <w:rPr>
                            <w:rFonts w:ascii="宋体" w:hAnsi="宋体" w:cs="宋体" w:eastAsia="宋体" w:hint="default"/>
                            <w:sz w:val="15"/>
                            <w:szCs w:val="15"/>
                          </w:rPr>
                        </w:pPr>
                        <w:r>
                          <w:rPr>
                            <w:rFonts w:ascii="宋体"/>
                            <w:w w:val="90"/>
                            <w:sz w:val="15"/>
                          </w:rPr>
                          <w:t>1,338,484,194</w:t>
                        </w:r>
                        <w:r>
                          <w:rPr>
                            <w:rFonts w:ascii="宋体"/>
                            <w:sz w:val="15"/>
                          </w:rPr>
                        </w:r>
                      </w:p>
                    </w:tc>
                    <w:tc>
                      <w:tcPr>
                        <w:tcW w:w="1073" w:type="dxa"/>
                        <w:tcBorders>
                          <w:top w:val="single" w:sz="16" w:space="0" w:color="9F8958"/>
                          <w:left w:val="nil" w:sz="6" w:space="0" w:color="auto"/>
                          <w:bottom w:val="nil" w:sz="6" w:space="0" w:color="auto"/>
                          <w:right w:val="nil" w:sz="6" w:space="0" w:color="auto"/>
                        </w:tcBorders>
                      </w:tcPr>
                      <w:p>
                        <w:pPr>
                          <w:pStyle w:val="TableParagraph"/>
                          <w:spacing w:line="240" w:lineRule="auto" w:before="67"/>
                          <w:ind w:right="107"/>
                          <w:jc w:val="right"/>
                          <w:rPr>
                            <w:rFonts w:ascii="宋体" w:hAnsi="宋体" w:cs="宋体" w:eastAsia="宋体" w:hint="default"/>
                            <w:sz w:val="15"/>
                            <w:szCs w:val="15"/>
                          </w:rPr>
                        </w:pPr>
                        <w:r>
                          <w:rPr>
                            <w:rFonts w:ascii="宋体"/>
                            <w:w w:val="85"/>
                            <w:sz w:val="15"/>
                          </w:rPr>
                          <w:t>(2,813,945)</w:t>
                        </w:r>
                        <w:r>
                          <w:rPr>
                            <w:rFonts w:ascii="宋体"/>
                            <w:sz w:val="15"/>
                          </w:rPr>
                        </w:r>
                      </w:p>
                    </w:tc>
                    <w:tc>
                      <w:tcPr>
                        <w:tcW w:w="1279" w:type="dxa"/>
                        <w:tcBorders>
                          <w:top w:val="single" w:sz="16" w:space="0" w:color="9F8958"/>
                          <w:left w:val="nil" w:sz="6" w:space="0" w:color="auto"/>
                          <w:bottom w:val="nil" w:sz="6" w:space="0" w:color="auto"/>
                          <w:right w:val="nil" w:sz="6" w:space="0" w:color="auto"/>
                        </w:tcBorders>
                      </w:tcPr>
                      <w:p>
                        <w:pPr>
                          <w:pStyle w:val="TableParagraph"/>
                          <w:spacing w:line="240" w:lineRule="auto" w:before="67"/>
                          <w:ind w:right="82"/>
                          <w:jc w:val="right"/>
                          <w:rPr>
                            <w:rFonts w:ascii="宋体" w:hAnsi="宋体" w:cs="宋体" w:eastAsia="宋体" w:hint="default"/>
                            <w:sz w:val="15"/>
                            <w:szCs w:val="15"/>
                          </w:rPr>
                        </w:pPr>
                        <w:r>
                          <w:rPr>
                            <w:rFonts w:ascii="宋体"/>
                            <w:w w:val="90"/>
                            <w:sz w:val="15"/>
                          </w:rPr>
                          <w:t>101,189,439,439</w:t>
                        </w:r>
                        <w:r>
                          <w:rPr>
                            <w:rFonts w:ascii="宋体"/>
                            <w:sz w:val="15"/>
                          </w:rPr>
                        </w:r>
                      </w:p>
                    </w:tc>
                  </w:tr>
                  <w:tr>
                    <w:trPr>
                      <w:trHeight w:val="263" w:hRule="exact"/>
                    </w:trPr>
                    <w:tc>
                      <w:tcPr>
                        <w:tcW w:w="2647" w:type="dxa"/>
                        <w:tcBorders>
                          <w:top w:val="nil" w:sz="6" w:space="0" w:color="auto"/>
                          <w:left w:val="nil" w:sz="6" w:space="0" w:color="auto"/>
                          <w:bottom w:val="nil" w:sz="6" w:space="0" w:color="auto"/>
                          <w:right w:val="nil" w:sz="6" w:space="0" w:color="auto"/>
                        </w:tcBorders>
                      </w:tcPr>
                      <w:p>
                        <w:pPr>
                          <w:pStyle w:val="TableParagraph"/>
                          <w:tabs>
                            <w:tab w:pos="2101" w:val="left" w:leader="none"/>
                          </w:tabs>
                          <w:spacing w:line="196" w:lineRule="exact"/>
                          <w:ind w:left="85" w:right="0"/>
                          <w:jc w:val="left"/>
                          <w:rPr>
                            <w:rFonts w:ascii="宋体" w:hAnsi="宋体" w:cs="宋体" w:eastAsia="宋体" w:hint="default"/>
                            <w:sz w:val="15"/>
                            <w:szCs w:val="15"/>
                          </w:rPr>
                        </w:pPr>
                        <w:r>
                          <w:rPr>
                            <w:rFonts w:ascii="宋体" w:hAnsi="宋体" w:cs="宋体" w:eastAsia="宋体" w:hint="default"/>
                            <w:w w:val="90"/>
                            <w:sz w:val="15"/>
                            <w:szCs w:val="15"/>
                          </w:rPr>
                          <w:t>加：会计政策变更</w:t>
                          <w:tab/>
                        </w:r>
                        <w:r>
                          <w:rPr>
                            <w:rFonts w:ascii="宋体" w:hAnsi="宋体" w:cs="宋体" w:eastAsia="宋体" w:hint="default"/>
                            <w:w w:val="85"/>
                            <w:sz w:val="15"/>
                            <w:szCs w:val="15"/>
                          </w:rPr>
                          <w:t>三</w:t>
                        </w:r>
                        <w:r>
                          <w:rPr>
                            <w:rFonts w:ascii="宋体" w:hAnsi="宋体" w:cs="宋体" w:eastAsia="宋体" w:hint="default"/>
                            <w:spacing w:val="-36"/>
                            <w:w w:val="85"/>
                            <w:sz w:val="15"/>
                            <w:szCs w:val="15"/>
                          </w:rPr>
                          <w:t> </w:t>
                        </w:r>
                        <w:r>
                          <w:rPr>
                            <w:rFonts w:ascii="宋体" w:hAnsi="宋体" w:cs="宋体" w:eastAsia="宋体" w:hint="default"/>
                            <w:w w:val="85"/>
                            <w:sz w:val="15"/>
                            <w:szCs w:val="15"/>
                          </w:rPr>
                          <w:t>(33)</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196" w:lineRule="exact"/>
                          <w:ind w:right="101"/>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196" w:lineRule="exact"/>
                          <w:ind w:right="87"/>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196" w:lineRule="exact"/>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196" w:lineRule="exact"/>
                          <w:ind w:right="100"/>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196" w:lineRule="exact"/>
                          <w:ind w:right="107"/>
                          <w:jc w:val="right"/>
                          <w:rPr>
                            <w:rFonts w:ascii="宋体" w:hAnsi="宋体" w:cs="宋体" w:eastAsia="宋体" w:hint="default"/>
                            <w:sz w:val="15"/>
                            <w:szCs w:val="15"/>
                          </w:rPr>
                        </w:pPr>
                        <w:r>
                          <w:rPr>
                            <w:rFonts w:ascii="宋体"/>
                            <w:w w:val="123"/>
                            <w:sz w:val="15"/>
                          </w:rPr>
                          <w:t>-</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196" w:lineRule="exact"/>
                          <w:ind w:right="83"/>
                          <w:jc w:val="right"/>
                          <w:rPr>
                            <w:rFonts w:ascii="宋体" w:hAnsi="宋体" w:cs="宋体" w:eastAsia="宋体" w:hint="default"/>
                            <w:sz w:val="15"/>
                            <w:szCs w:val="15"/>
                          </w:rPr>
                        </w:pPr>
                        <w:r>
                          <w:rPr>
                            <w:rFonts w:ascii="宋体"/>
                            <w:w w:val="123"/>
                            <w:sz w:val="15"/>
                          </w:rPr>
                          <w:t>-</w:t>
                        </w:r>
                        <w:r>
                          <w:rPr>
                            <w:rFonts w:ascii="宋体"/>
                            <w:sz w:val="15"/>
                          </w:rPr>
                        </w:r>
                      </w:p>
                    </w:tc>
                  </w:tr>
                  <w:tr>
                    <w:trPr>
                      <w:trHeight w:val="263"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196" w:lineRule="exact"/>
                          <w:ind w:left="84" w:right="0"/>
                          <w:jc w:val="left"/>
                          <w:rPr>
                            <w:rFonts w:ascii="宋体" w:hAnsi="宋体" w:cs="宋体" w:eastAsia="宋体" w:hint="default"/>
                            <w:sz w:val="15"/>
                            <w:szCs w:val="15"/>
                          </w:rPr>
                        </w:pPr>
                        <w:r>
                          <w:rPr>
                            <w:rFonts w:ascii="宋体" w:hAnsi="宋体" w:cs="宋体" w:eastAsia="宋体" w:hint="default"/>
                            <w:sz w:val="15"/>
                            <w:szCs w:val="15"/>
                          </w:rPr>
                          <w:t>本年年初经调整余额</w:t>
                        </w:r>
                      </w:p>
                    </w:tc>
                    <w:tc>
                      <w:tcPr>
                        <w:tcW w:w="1193" w:type="dxa"/>
                        <w:tcBorders>
                          <w:top w:val="nil" w:sz="6" w:space="0" w:color="auto"/>
                          <w:left w:val="nil" w:sz="6" w:space="0" w:color="auto"/>
                          <w:bottom w:val="nil" w:sz="6" w:space="0" w:color="auto"/>
                          <w:right w:val="nil" w:sz="6" w:space="0" w:color="auto"/>
                        </w:tcBorders>
                      </w:tcPr>
                      <w:p>
                        <w:pPr>
                          <w:pStyle w:val="TableParagraph"/>
                          <w:spacing w:line="196" w:lineRule="exact"/>
                          <w:ind w:right="101"/>
                          <w:jc w:val="right"/>
                          <w:rPr>
                            <w:rFonts w:ascii="宋体" w:hAnsi="宋体" w:cs="宋体" w:eastAsia="宋体" w:hint="default"/>
                            <w:sz w:val="15"/>
                            <w:szCs w:val="15"/>
                          </w:rPr>
                        </w:pPr>
                        <w:r>
                          <w:rPr>
                            <w:rFonts w:ascii="宋体"/>
                            <w:w w:val="90"/>
                            <w:sz w:val="15"/>
                          </w:rPr>
                          <w:t>30,233,950,687</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196" w:lineRule="exact"/>
                          <w:ind w:right="87"/>
                          <w:jc w:val="right"/>
                          <w:rPr>
                            <w:rFonts w:ascii="宋体" w:hAnsi="宋体" w:cs="宋体" w:eastAsia="宋体" w:hint="default"/>
                            <w:sz w:val="15"/>
                            <w:szCs w:val="15"/>
                          </w:rPr>
                        </w:pPr>
                        <w:r>
                          <w:rPr>
                            <w:rFonts w:ascii="宋体"/>
                            <w:w w:val="90"/>
                            <w:sz w:val="15"/>
                          </w:rPr>
                          <w:t>69,619,818,503</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196" w:lineRule="exact"/>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196" w:lineRule="exact"/>
                          <w:ind w:right="100"/>
                          <w:jc w:val="right"/>
                          <w:rPr>
                            <w:rFonts w:ascii="宋体" w:hAnsi="宋体" w:cs="宋体" w:eastAsia="宋体" w:hint="default"/>
                            <w:sz w:val="15"/>
                            <w:szCs w:val="15"/>
                          </w:rPr>
                        </w:pPr>
                        <w:r>
                          <w:rPr>
                            <w:rFonts w:ascii="宋体"/>
                            <w:w w:val="90"/>
                            <w:sz w:val="15"/>
                          </w:rPr>
                          <w:t>1,338,484,194</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196" w:lineRule="exact"/>
                          <w:ind w:right="107"/>
                          <w:jc w:val="right"/>
                          <w:rPr>
                            <w:rFonts w:ascii="宋体" w:hAnsi="宋体" w:cs="宋体" w:eastAsia="宋体" w:hint="default"/>
                            <w:sz w:val="15"/>
                            <w:szCs w:val="15"/>
                          </w:rPr>
                        </w:pPr>
                        <w:r>
                          <w:rPr>
                            <w:rFonts w:ascii="宋体"/>
                            <w:w w:val="85"/>
                            <w:sz w:val="15"/>
                          </w:rPr>
                          <w:t>(2,813,945)</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196" w:lineRule="exact"/>
                          <w:ind w:right="82"/>
                          <w:jc w:val="right"/>
                          <w:rPr>
                            <w:rFonts w:ascii="宋体" w:hAnsi="宋体" w:cs="宋体" w:eastAsia="宋体" w:hint="default"/>
                            <w:sz w:val="15"/>
                            <w:szCs w:val="15"/>
                          </w:rPr>
                        </w:pPr>
                        <w:r>
                          <w:rPr>
                            <w:rFonts w:ascii="宋体"/>
                            <w:w w:val="90"/>
                            <w:sz w:val="15"/>
                          </w:rPr>
                          <w:t>101,189,439,439</w:t>
                        </w:r>
                        <w:r>
                          <w:rPr>
                            <w:rFonts w:ascii="宋体"/>
                            <w:sz w:val="15"/>
                          </w:rPr>
                        </w:r>
                      </w:p>
                    </w:tc>
                  </w:tr>
                  <w:tr>
                    <w:trPr>
                      <w:trHeight w:val="395"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196" w:lineRule="exact"/>
                          <w:ind w:left="85" w:right="0"/>
                          <w:jc w:val="left"/>
                          <w:rPr>
                            <w:rFonts w:ascii="宋体" w:hAnsi="宋体" w:cs="宋体" w:eastAsia="宋体" w:hint="default"/>
                            <w:sz w:val="15"/>
                            <w:szCs w:val="15"/>
                          </w:rPr>
                        </w:pPr>
                        <w:r>
                          <w:rPr>
                            <w:rFonts w:ascii="宋体" w:hAnsi="宋体" w:cs="宋体" w:eastAsia="宋体" w:hint="default"/>
                            <w:sz w:val="15"/>
                            <w:szCs w:val="15"/>
                          </w:rPr>
                          <w:t>（一）综合收益总额</w:t>
                        </w:r>
                      </w:p>
                    </w:tc>
                    <w:tc>
                      <w:tcPr>
                        <w:tcW w:w="1193" w:type="dxa"/>
                        <w:tcBorders>
                          <w:top w:val="nil" w:sz="6" w:space="0" w:color="auto"/>
                          <w:left w:val="nil" w:sz="6" w:space="0" w:color="auto"/>
                          <w:bottom w:val="nil" w:sz="6" w:space="0" w:color="auto"/>
                          <w:right w:val="nil" w:sz="6" w:space="0" w:color="auto"/>
                        </w:tcBorders>
                      </w:tcPr>
                      <w:p>
                        <w:pPr>
                          <w:pStyle w:val="TableParagraph"/>
                          <w:spacing w:line="196" w:lineRule="exact"/>
                          <w:ind w:right="101"/>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196" w:lineRule="exact"/>
                          <w:ind w:right="87"/>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196" w:lineRule="exact"/>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196" w:lineRule="exact"/>
                          <w:ind w:right="100"/>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196" w:lineRule="exact"/>
                          <w:ind w:right="107"/>
                          <w:jc w:val="right"/>
                          <w:rPr>
                            <w:rFonts w:ascii="宋体" w:hAnsi="宋体" w:cs="宋体" w:eastAsia="宋体" w:hint="default"/>
                            <w:sz w:val="15"/>
                            <w:szCs w:val="15"/>
                          </w:rPr>
                        </w:pPr>
                        <w:r>
                          <w:rPr>
                            <w:rFonts w:ascii="宋体"/>
                            <w:w w:val="90"/>
                            <w:sz w:val="15"/>
                          </w:rPr>
                          <w:t>735,394,930</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196" w:lineRule="exact"/>
                          <w:ind w:right="82"/>
                          <w:jc w:val="right"/>
                          <w:rPr>
                            <w:rFonts w:ascii="宋体" w:hAnsi="宋体" w:cs="宋体" w:eastAsia="宋体" w:hint="default"/>
                            <w:sz w:val="15"/>
                            <w:szCs w:val="15"/>
                          </w:rPr>
                        </w:pPr>
                        <w:r>
                          <w:rPr>
                            <w:rFonts w:ascii="宋体"/>
                            <w:w w:val="90"/>
                            <w:sz w:val="15"/>
                          </w:rPr>
                          <w:t>735,394,930</w:t>
                        </w:r>
                        <w:r>
                          <w:rPr>
                            <w:rFonts w:ascii="宋体"/>
                            <w:sz w:val="15"/>
                          </w:rPr>
                        </w:r>
                      </w:p>
                    </w:tc>
                  </w:tr>
                  <w:tr>
                    <w:trPr>
                      <w:trHeight w:val="563"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81"/>
                          <w:jc w:val="right"/>
                          <w:rPr>
                            <w:rFonts w:ascii="宋体" w:hAnsi="宋体" w:cs="宋体" w:eastAsia="宋体" w:hint="default"/>
                            <w:sz w:val="15"/>
                            <w:szCs w:val="15"/>
                          </w:rPr>
                        </w:pPr>
                        <w:r>
                          <w:rPr>
                            <w:rFonts w:ascii="宋体" w:hAnsi="宋体" w:cs="宋体" w:eastAsia="宋体" w:hint="default"/>
                            <w:w w:val="80"/>
                            <w:sz w:val="15"/>
                            <w:szCs w:val="15"/>
                          </w:rPr>
                          <w:t>十五</w:t>
                        </w:r>
                        <w:r>
                          <w:rPr>
                            <w:rFonts w:ascii="宋体" w:hAnsi="宋体" w:cs="宋体" w:eastAsia="宋体" w:hint="default"/>
                            <w:spacing w:val="-28"/>
                            <w:w w:val="80"/>
                            <w:sz w:val="15"/>
                            <w:szCs w:val="15"/>
                          </w:rPr>
                          <w:t> </w:t>
                        </w:r>
                        <w:r>
                          <w:rPr>
                            <w:rFonts w:ascii="宋体" w:hAnsi="宋体" w:cs="宋体" w:eastAsia="宋体" w:hint="default"/>
                            <w:w w:val="80"/>
                            <w:sz w:val="15"/>
                            <w:szCs w:val="15"/>
                          </w:rPr>
                          <w:t>(5),</w:t>
                        </w:r>
                        <w:r>
                          <w:rPr>
                            <w:rFonts w:ascii="宋体" w:hAnsi="宋体" w:cs="宋体" w:eastAsia="宋体" w:hint="default"/>
                            <w:sz w:val="15"/>
                            <w:szCs w:val="15"/>
                          </w:rPr>
                        </w:r>
                      </w:p>
                      <w:p>
                        <w:pPr>
                          <w:pStyle w:val="TableParagraph"/>
                          <w:tabs>
                            <w:tab w:pos="1512" w:val="left" w:leader="none"/>
                          </w:tabs>
                          <w:spacing w:line="240" w:lineRule="auto" w:before="3"/>
                          <w:ind w:right="81"/>
                          <w:jc w:val="right"/>
                          <w:rPr>
                            <w:rFonts w:ascii="宋体" w:hAnsi="宋体" w:cs="宋体" w:eastAsia="宋体" w:hint="default"/>
                            <w:sz w:val="15"/>
                            <w:szCs w:val="15"/>
                          </w:rPr>
                        </w:pPr>
                        <w:r>
                          <w:rPr>
                            <w:rFonts w:ascii="宋体" w:hAnsi="宋体" w:cs="宋体" w:eastAsia="宋体" w:hint="default"/>
                            <w:w w:val="90"/>
                            <w:sz w:val="15"/>
                            <w:szCs w:val="15"/>
                          </w:rPr>
                          <w:t>1.</w:t>
                        </w:r>
                        <w:r>
                          <w:rPr>
                            <w:rFonts w:ascii="宋体" w:hAnsi="宋体" w:cs="宋体" w:eastAsia="宋体" w:hint="default"/>
                            <w:spacing w:val="-3"/>
                            <w:w w:val="90"/>
                            <w:sz w:val="15"/>
                            <w:szCs w:val="15"/>
                          </w:rPr>
                          <w:t> </w:t>
                        </w:r>
                        <w:r>
                          <w:rPr>
                            <w:rFonts w:ascii="宋体" w:hAnsi="宋体" w:cs="宋体" w:eastAsia="宋体" w:hint="default"/>
                            <w:w w:val="90"/>
                            <w:sz w:val="15"/>
                            <w:szCs w:val="15"/>
                          </w:rPr>
                          <w:t>股东投入的普通股</w:t>
                          <w:tab/>
                        </w:r>
                        <w:r>
                          <w:rPr>
                            <w:rFonts w:ascii="宋体" w:hAnsi="宋体" w:cs="宋体" w:eastAsia="宋体" w:hint="default"/>
                            <w:w w:val="80"/>
                            <w:sz w:val="15"/>
                            <w:szCs w:val="15"/>
                          </w:rPr>
                          <w:t>十五</w:t>
                        </w:r>
                        <w:r>
                          <w:rPr>
                            <w:rFonts w:ascii="宋体" w:hAnsi="宋体" w:cs="宋体" w:eastAsia="宋体" w:hint="default"/>
                            <w:spacing w:val="-28"/>
                            <w:w w:val="80"/>
                            <w:sz w:val="15"/>
                            <w:szCs w:val="15"/>
                          </w:rPr>
                          <w:t> </w:t>
                        </w:r>
                        <w:r>
                          <w:rPr>
                            <w:rFonts w:ascii="宋体" w:hAnsi="宋体" w:cs="宋体" w:eastAsia="宋体" w:hint="default"/>
                            <w:w w:val="80"/>
                            <w:sz w:val="15"/>
                            <w:szCs w:val="15"/>
                          </w:rPr>
                          <w:t>(6),</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101"/>
                          <w:jc w:val="right"/>
                          <w:rPr>
                            <w:rFonts w:ascii="宋体" w:hAnsi="宋体" w:cs="宋体" w:eastAsia="宋体" w:hint="default"/>
                            <w:sz w:val="15"/>
                            <w:szCs w:val="15"/>
                          </w:rPr>
                        </w:pPr>
                        <w:r>
                          <w:rPr>
                            <w:rFonts w:ascii="宋体"/>
                            <w:w w:val="90"/>
                            <w:sz w:val="15"/>
                          </w:rPr>
                          <w:t>793,861,000</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87"/>
                          <w:jc w:val="right"/>
                          <w:rPr>
                            <w:rFonts w:ascii="宋体" w:hAnsi="宋体" w:cs="宋体" w:eastAsia="宋体" w:hint="default"/>
                            <w:sz w:val="15"/>
                            <w:szCs w:val="15"/>
                          </w:rPr>
                        </w:pPr>
                        <w:r>
                          <w:rPr>
                            <w:rFonts w:ascii="宋体"/>
                            <w:w w:val="90"/>
                            <w:sz w:val="15"/>
                          </w:rPr>
                          <w:t>2,214,872,190</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97"/>
                          <w:jc w:val="right"/>
                          <w:rPr>
                            <w:rFonts w:ascii="宋体" w:hAnsi="宋体" w:cs="宋体" w:eastAsia="宋体" w:hint="default"/>
                            <w:sz w:val="15"/>
                            <w:szCs w:val="15"/>
                          </w:rPr>
                        </w:pPr>
                        <w:r>
                          <w:rPr>
                            <w:rFonts w:ascii="宋体"/>
                            <w:w w:val="85"/>
                            <w:sz w:val="15"/>
                          </w:rPr>
                          <w:t>(3,008,733,190)</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100"/>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107"/>
                          <w:jc w:val="right"/>
                          <w:rPr>
                            <w:rFonts w:ascii="宋体" w:hAnsi="宋体" w:cs="宋体" w:eastAsia="宋体" w:hint="default"/>
                            <w:sz w:val="15"/>
                            <w:szCs w:val="15"/>
                          </w:rPr>
                        </w:pPr>
                        <w:r>
                          <w:rPr>
                            <w:rFonts w:ascii="宋体"/>
                            <w:w w:val="123"/>
                            <w:sz w:val="15"/>
                          </w:rPr>
                          <w:t>-</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4"/>
                          <w:ind w:right="0"/>
                          <w:jc w:val="left"/>
                          <w:rPr>
                            <w:rFonts w:ascii="宋体" w:hAnsi="宋体" w:cs="宋体" w:eastAsia="宋体" w:hint="default"/>
                            <w:sz w:val="11"/>
                            <w:szCs w:val="11"/>
                          </w:rPr>
                        </w:pPr>
                      </w:p>
                      <w:p>
                        <w:pPr>
                          <w:pStyle w:val="TableParagraph"/>
                          <w:spacing w:line="240" w:lineRule="auto"/>
                          <w:ind w:right="83"/>
                          <w:jc w:val="right"/>
                          <w:rPr>
                            <w:rFonts w:ascii="宋体" w:hAnsi="宋体" w:cs="宋体" w:eastAsia="宋体" w:hint="default"/>
                            <w:sz w:val="15"/>
                            <w:szCs w:val="15"/>
                          </w:rPr>
                        </w:pPr>
                        <w:r>
                          <w:rPr>
                            <w:rFonts w:ascii="宋体"/>
                            <w:w w:val="123"/>
                            <w:sz w:val="15"/>
                          </w:rPr>
                          <w:t>-</w:t>
                        </w:r>
                        <w:r>
                          <w:rPr>
                            <w:rFonts w:ascii="宋体"/>
                            <w:sz w:val="15"/>
                          </w:rPr>
                        </w:r>
                      </w:p>
                    </w:tc>
                  </w:tr>
                  <w:tr>
                    <w:trPr>
                      <w:trHeight w:val="282"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164" w:lineRule="exact"/>
                          <w:ind w:right="100"/>
                          <w:jc w:val="right"/>
                          <w:rPr>
                            <w:rFonts w:ascii="宋体" w:hAnsi="宋体" w:cs="宋体" w:eastAsia="宋体" w:hint="default"/>
                            <w:sz w:val="15"/>
                            <w:szCs w:val="15"/>
                          </w:rPr>
                        </w:pPr>
                        <w:r>
                          <w:rPr>
                            <w:rFonts w:ascii="宋体" w:hAnsi="宋体" w:cs="宋体" w:eastAsia="宋体" w:hint="default"/>
                            <w:w w:val="85"/>
                            <w:sz w:val="15"/>
                            <w:szCs w:val="15"/>
                          </w:rPr>
                          <w:t>十五</w:t>
                        </w:r>
                        <w:r>
                          <w:rPr>
                            <w:rFonts w:ascii="宋体" w:hAnsi="宋体" w:cs="宋体" w:eastAsia="宋体" w:hint="default"/>
                            <w:spacing w:val="-37"/>
                            <w:w w:val="85"/>
                            <w:sz w:val="15"/>
                            <w:szCs w:val="15"/>
                          </w:rPr>
                          <w:t> </w:t>
                        </w:r>
                        <w:r>
                          <w:rPr>
                            <w:rFonts w:ascii="宋体" w:hAnsi="宋体" w:cs="宋体" w:eastAsia="宋体" w:hint="default"/>
                            <w:w w:val="85"/>
                            <w:sz w:val="15"/>
                            <w:szCs w:val="15"/>
                          </w:rPr>
                          <w:t>(7)</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
                    </w:tc>
                    <w:tc>
                      <w:tcPr>
                        <w:tcW w:w="1199" w:type="dxa"/>
                        <w:tcBorders>
                          <w:top w:val="nil" w:sz="6" w:space="0" w:color="auto"/>
                          <w:left w:val="nil" w:sz="6" w:space="0" w:color="auto"/>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1103"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r>
                  <w:tr>
                    <w:trPr>
                      <w:trHeight w:val="363" w:hRule="exact"/>
                    </w:trPr>
                    <w:tc>
                      <w:tcPr>
                        <w:tcW w:w="2647" w:type="dxa"/>
                        <w:tcBorders>
                          <w:top w:val="nil" w:sz="6" w:space="0" w:color="auto"/>
                          <w:left w:val="nil" w:sz="6" w:space="0" w:color="auto"/>
                          <w:bottom w:val="nil" w:sz="6" w:space="0" w:color="auto"/>
                          <w:right w:val="nil" w:sz="6" w:space="0" w:color="auto"/>
                        </w:tcBorders>
                      </w:tcPr>
                      <w:p>
                        <w:pPr>
                          <w:pStyle w:val="TableParagraph"/>
                          <w:tabs>
                            <w:tab w:pos="1553" w:val="left" w:leader="none"/>
                          </w:tabs>
                          <w:spacing w:line="246" w:lineRule="exact"/>
                          <w:ind w:right="130"/>
                          <w:jc w:val="right"/>
                          <w:rPr>
                            <w:rFonts w:ascii="宋体" w:hAnsi="宋体" w:cs="宋体" w:eastAsia="宋体" w:hint="default"/>
                            <w:sz w:val="15"/>
                            <w:szCs w:val="15"/>
                          </w:rPr>
                        </w:pPr>
                        <w:r>
                          <w:rPr>
                            <w:rFonts w:ascii="宋体" w:hAnsi="宋体" w:cs="宋体" w:eastAsia="宋体" w:hint="default"/>
                            <w:w w:val="90"/>
                            <w:sz w:val="15"/>
                            <w:szCs w:val="15"/>
                          </w:rPr>
                          <w:t>2.</w:t>
                        </w:r>
                        <w:r>
                          <w:rPr>
                            <w:rFonts w:ascii="宋体" w:hAnsi="宋体" w:cs="宋体" w:eastAsia="宋体" w:hint="default"/>
                            <w:spacing w:val="-3"/>
                            <w:w w:val="90"/>
                            <w:sz w:val="15"/>
                            <w:szCs w:val="15"/>
                          </w:rPr>
                          <w:t> </w:t>
                        </w:r>
                        <w:r>
                          <w:rPr>
                            <w:rFonts w:ascii="宋体" w:hAnsi="宋体" w:cs="宋体" w:eastAsia="宋体" w:hint="default"/>
                            <w:w w:val="90"/>
                            <w:sz w:val="15"/>
                            <w:szCs w:val="15"/>
                          </w:rPr>
                          <w:t>股份支付计入股东</w:t>
                          <w:tab/>
                        </w:r>
                        <w:r>
                          <w:rPr>
                            <w:rFonts w:ascii="宋体" w:hAnsi="宋体" w:cs="宋体" w:eastAsia="宋体" w:hint="default"/>
                            <w:spacing w:val="-5"/>
                            <w:w w:val="85"/>
                            <w:position w:val="-9"/>
                            <w:sz w:val="15"/>
                            <w:szCs w:val="15"/>
                          </w:rPr>
                          <w:t>十五</w:t>
                        </w:r>
                        <w:r>
                          <w:rPr>
                            <w:rFonts w:ascii="宋体" w:hAnsi="宋体" w:cs="宋体" w:eastAsia="宋体" w:hint="default"/>
                            <w:spacing w:val="-42"/>
                            <w:w w:val="85"/>
                            <w:position w:val="-9"/>
                            <w:sz w:val="15"/>
                            <w:szCs w:val="15"/>
                          </w:rPr>
                          <w:t> </w:t>
                        </w:r>
                        <w:r>
                          <w:rPr>
                            <w:rFonts w:ascii="宋体" w:hAnsi="宋体" w:cs="宋体" w:eastAsia="宋体" w:hint="default"/>
                            <w:spacing w:val="-13"/>
                            <w:w w:val="85"/>
                            <w:position w:val="-9"/>
                            <w:sz w:val="15"/>
                            <w:szCs w:val="15"/>
                          </w:rPr>
                          <w:t>(6)</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1"/>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7"/>
                          <w:jc w:val="right"/>
                          <w:rPr>
                            <w:rFonts w:ascii="宋体" w:hAnsi="宋体" w:cs="宋体" w:eastAsia="宋体" w:hint="default"/>
                            <w:sz w:val="15"/>
                            <w:szCs w:val="15"/>
                          </w:rPr>
                        </w:pPr>
                        <w:r>
                          <w:rPr>
                            <w:rFonts w:ascii="宋体"/>
                            <w:w w:val="90"/>
                            <w:sz w:val="15"/>
                          </w:rPr>
                          <w:t>613,920,000</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0"/>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7"/>
                          <w:jc w:val="right"/>
                          <w:rPr>
                            <w:rFonts w:ascii="宋体" w:hAnsi="宋体" w:cs="宋体" w:eastAsia="宋体" w:hint="default"/>
                            <w:sz w:val="15"/>
                            <w:szCs w:val="15"/>
                          </w:rPr>
                        </w:pPr>
                        <w:r>
                          <w:rPr>
                            <w:rFonts w:ascii="宋体"/>
                            <w:w w:val="123"/>
                            <w:sz w:val="15"/>
                          </w:rPr>
                          <w:t>-</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2"/>
                          <w:jc w:val="right"/>
                          <w:rPr>
                            <w:rFonts w:ascii="宋体" w:hAnsi="宋体" w:cs="宋体" w:eastAsia="宋体" w:hint="default"/>
                            <w:sz w:val="15"/>
                            <w:szCs w:val="15"/>
                          </w:rPr>
                        </w:pPr>
                        <w:r>
                          <w:rPr>
                            <w:rFonts w:ascii="宋体"/>
                            <w:w w:val="90"/>
                            <w:sz w:val="15"/>
                          </w:rPr>
                          <w:t>613,920,000</w:t>
                        </w:r>
                        <w:r>
                          <w:rPr>
                            <w:rFonts w:ascii="宋体"/>
                            <w:sz w:val="15"/>
                          </w:rPr>
                        </w:r>
                      </w:p>
                    </w:tc>
                  </w:tr>
                  <w:tr>
                    <w:trPr>
                      <w:trHeight w:val="257"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before="49"/>
                          <w:ind w:left="538" w:right="0"/>
                          <w:jc w:val="left"/>
                          <w:rPr>
                            <w:rFonts w:ascii="宋体" w:hAnsi="宋体" w:cs="宋体" w:eastAsia="宋体" w:hint="default"/>
                            <w:sz w:val="15"/>
                            <w:szCs w:val="15"/>
                          </w:rPr>
                        </w:pPr>
                        <w:r>
                          <w:rPr>
                            <w:rFonts w:ascii="宋体" w:hAnsi="宋体" w:cs="宋体" w:eastAsia="宋体" w:hint="default"/>
                            <w:w w:val="90"/>
                            <w:sz w:val="15"/>
                            <w:szCs w:val="15"/>
                          </w:rPr>
                          <w:t>3.</w:t>
                        </w:r>
                        <w:r>
                          <w:rPr>
                            <w:rFonts w:ascii="宋体" w:hAnsi="宋体" w:cs="宋体" w:eastAsia="宋体" w:hint="default"/>
                            <w:spacing w:val="-39"/>
                            <w:w w:val="90"/>
                            <w:sz w:val="15"/>
                            <w:szCs w:val="15"/>
                          </w:rPr>
                          <w:t> </w:t>
                        </w:r>
                        <w:r>
                          <w:rPr>
                            <w:rFonts w:ascii="宋体" w:hAnsi="宋体" w:cs="宋体" w:eastAsia="宋体" w:hint="default"/>
                            <w:w w:val="90"/>
                            <w:sz w:val="15"/>
                            <w:szCs w:val="15"/>
                          </w:rPr>
                          <w:t>其他</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1"/>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7"/>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97"/>
                          <w:jc w:val="right"/>
                          <w:rPr>
                            <w:rFonts w:ascii="宋体" w:hAnsi="宋体" w:cs="宋体" w:eastAsia="宋体" w:hint="default"/>
                            <w:sz w:val="15"/>
                            <w:szCs w:val="15"/>
                          </w:rPr>
                        </w:pPr>
                        <w:r>
                          <w:rPr>
                            <w:rFonts w:ascii="宋体"/>
                            <w:w w:val="90"/>
                            <w:sz w:val="15"/>
                          </w:rPr>
                          <w:t>15,718,448</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0"/>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108"/>
                          <w:jc w:val="right"/>
                          <w:rPr>
                            <w:rFonts w:ascii="宋体" w:hAnsi="宋体" w:cs="宋体" w:eastAsia="宋体" w:hint="default"/>
                            <w:sz w:val="15"/>
                            <w:szCs w:val="15"/>
                          </w:rPr>
                        </w:pPr>
                        <w:r>
                          <w:rPr>
                            <w:rFonts w:ascii="宋体"/>
                            <w:w w:val="123"/>
                            <w:sz w:val="15"/>
                          </w:rPr>
                          <w:t>-</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49"/>
                          <w:ind w:right="83"/>
                          <w:jc w:val="right"/>
                          <w:rPr>
                            <w:rFonts w:ascii="宋体" w:hAnsi="宋体" w:cs="宋体" w:eastAsia="宋体" w:hint="default"/>
                            <w:sz w:val="15"/>
                            <w:szCs w:val="15"/>
                          </w:rPr>
                        </w:pPr>
                        <w:r>
                          <w:rPr>
                            <w:rFonts w:ascii="宋体"/>
                            <w:w w:val="90"/>
                            <w:sz w:val="15"/>
                          </w:rPr>
                          <w:t>15,718,448</w:t>
                        </w:r>
                        <w:r>
                          <w:rPr>
                            <w:rFonts w:ascii="宋体"/>
                            <w:sz w:val="15"/>
                          </w:rPr>
                        </w:r>
                      </w:p>
                    </w:tc>
                  </w:tr>
                  <w:tr>
                    <w:trPr>
                      <w:trHeight w:val="786"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before="56"/>
                          <w:ind w:left="84" w:right="0"/>
                          <w:jc w:val="left"/>
                          <w:rPr>
                            <w:rFonts w:ascii="宋体" w:hAnsi="宋体" w:cs="宋体" w:eastAsia="宋体" w:hint="default"/>
                            <w:sz w:val="15"/>
                            <w:szCs w:val="15"/>
                          </w:rPr>
                        </w:pPr>
                        <w:r>
                          <w:rPr>
                            <w:rFonts w:ascii="宋体" w:hAnsi="宋体" w:cs="宋体" w:eastAsia="宋体" w:hint="default"/>
                            <w:sz w:val="15"/>
                            <w:szCs w:val="15"/>
                          </w:rPr>
                          <w:t>（三）利润分配</w:t>
                        </w:r>
                      </w:p>
                      <w:p>
                        <w:pPr>
                          <w:pStyle w:val="TableParagraph"/>
                          <w:spacing w:line="148" w:lineRule="exact" w:before="67"/>
                          <w:ind w:right="132"/>
                          <w:jc w:val="right"/>
                          <w:rPr>
                            <w:rFonts w:ascii="宋体" w:hAnsi="宋体" w:cs="宋体" w:eastAsia="宋体" w:hint="default"/>
                            <w:sz w:val="15"/>
                            <w:szCs w:val="15"/>
                          </w:rPr>
                        </w:pPr>
                        <w:r>
                          <w:rPr>
                            <w:rFonts w:ascii="宋体" w:hAnsi="宋体" w:cs="宋体" w:eastAsia="宋体" w:hint="default"/>
                            <w:w w:val="85"/>
                            <w:sz w:val="15"/>
                            <w:szCs w:val="15"/>
                          </w:rPr>
                          <w:t>五</w:t>
                        </w:r>
                        <w:r>
                          <w:rPr>
                            <w:rFonts w:ascii="宋体" w:hAnsi="宋体" w:cs="宋体" w:eastAsia="宋体" w:hint="default"/>
                            <w:spacing w:val="-52"/>
                            <w:w w:val="85"/>
                            <w:sz w:val="15"/>
                            <w:szCs w:val="15"/>
                          </w:rPr>
                          <w:t> </w:t>
                        </w:r>
                        <w:r>
                          <w:rPr>
                            <w:rFonts w:ascii="宋体" w:hAnsi="宋体" w:cs="宋体" w:eastAsia="宋体" w:hint="default"/>
                            <w:spacing w:val="-9"/>
                            <w:w w:val="85"/>
                            <w:sz w:val="15"/>
                            <w:szCs w:val="15"/>
                          </w:rPr>
                          <w:t>(34),</w:t>
                        </w:r>
                        <w:r>
                          <w:rPr>
                            <w:rFonts w:ascii="宋体" w:hAnsi="宋体" w:cs="宋体" w:eastAsia="宋体" w:hint="default"/>
                            <w:sz w:val="15"/>
                            <w:szCs w:val="15"/>
                          </w:rPr>
                        </w:r>
                      </w:p>
                      <w:p>
                        <w:pPr>
                          <w:pStyle w:val="TableParagraph"/>
                          <w:tabs>
                            <w:tab w:pos="1563" w:val="left" w:leader="none"/>
                          </w:tabs>
                          <w:spacing w:line="248" w:lineRule="exact"/>
                          <w:ind w:right="131"/>
                          <w:jc w:val="right"/>
                          <w:rPr>
                            <w:rFonts w:ascii="宋体" w:hAnsi="宋体" w:cs="宋体" w:eastAsia="宋体" w:hint="default"/>
                            <w:sz w:val="15"/>
                            <w:szCs w:val="15"/>
                          </w:rPr>
                        </w:pPr>
                        <w:r>
                          <w:rPr>
                            <w:rFonts w:ascii="宋体" w:hAnsi="宋体" w:cs="宋体" w:eastAsia="宋体" w:hint="default"/>
                            <w:w w:val="90"/>
                            <w:sz w:val="15"/>
                            <w:szCs w:val="15"/>
                          </w:rPr>
                          <w:t>1.</w:t>
                        </w:r>
                        <w:r>
                          <w:rPr>
                            <w:rFonts w:ascii="宋体" w:hAnsi="宋体" w:cs="宋体" w:eastAsia="宋体" w:hint="default"/>
                            <w:spacing w:val="-15"/>
                            <w:w w:val="90"/>
                            <w:sz w:val="15"/>
                            <w:szCs w:val="15"/>
                          </w:rPr>
                          <w:t> </w:t>
                        </w:r>
                        <w:r>
                          <w:rPr>
                            <w:rFonts w:ascii="宋体" w:hAnsi="宋体" w:cs="宋体" w:eastAsia="宋体" w:hint="default"/>
                            <w:w w:val="90"/>
                            <w:sz w:val="15"/>
                            <w:szCs w:val="15"/>
                          </w:rPr>
                          <w:t>提取盈余公积</w:t>
                          <w:tab/>
                        </w:r>
                        <w:r>
                          <w:rPr>
                            <w:rFonts w:ascii="宋体" w:hAnsi="宋体" w:cs="宋体" w:eastAsia="宋体" w:hint="default"/>
                            <w:w w:val="85"/>
                            <w:position w:val="-9"/>
                            <w:sz w:val="15"/>
                            <w:szCs w:val="15"/>
                          </w:rPr>
                          <w:t>五</w:t>
                        </w:r>
                        <w:r>
                          <w:rPr>
                            <w:rFonts w:ascii="宋体" w:hAnsi="宋体" w:cs="宋体" w:eastAsia="宋体" w:hint="default"/>
                            <w:spacing w:val="-36"/>
                            <w:w w:val="85"/>
                            <w:position w:val="-9"/>
                            <w:sz w:val="15"/>
                            <w:szCs w:val="15"/>
                          </w:rPr>
                          <w:t> </w:t>
                        </w:r>
                        <w:r>
                          <w:rPr>
                            <w:rFonts w:ascii="宋体" w:hAnsi="宋体" w:cs="宋体" w:eastAsia="宋体" w:hint="default"/>
                            <w:w w:val="85"/>
                            <w:position w:val="-9"/>
                            <w:sz w:val="15"/>
                            <w:szCs w:val="15"/>
                          </w:rPr>
                          <w:t>(35)</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1"/>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7"/>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0"/>
                          <w:jc w:val="right"/>
                          <w:rPr>
                            <w:rFonts w:ascii="宋体" w:hAnsi="宋体" w:cs="宋体" w:eastAsia="宋体" w:hint="default"/>
                            <w:sz w:val="15"/>
                            <w:szCs w:val="15"/>
                          </w:rPr>
                        </w:pPr>
                        <w:r>
                          <w:rPr>
                            <w:rFonts w:ascii="宋体"/>
                            <w:w w:val="90"/>
                            <w:sz w:val="15"/>
                          </w:rPr>
                          <w:t>73,539,493</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07"/>
                          <w:jc w:val="right"/>
                          <w:rPr>
                            <w:rFonts w:ascii="宋体" w:hAnsi="宋体" w:cs="宋体" w:eastAsia="宋体" w:hint="default"/>
                            <w:sz w:val="15"/>
                            <w:szCs w:val="15"/>
                          </w:rPr>
                        </w:pPr>
                        <w:r>
                          <w:rPr>
                            <w:rFonts w:ascii="宋体"/>
                            <w:w w:val="85"/>
                            <w:sz w:val="15"/>
                          </w:rPr>
                          <w:t>(73,539,493)</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83"/>
                          <w:jc w:val="right"/>
                          <w:rPr>
                            <w:rFonts w:ascii="宋体" w:hAnsi="宋体" w:cs="宋体" w:eastAsia="宋体" w:hint="default"/>
                            <w:sz w:val="15"/>
                            <w:szCs w:val="15"/>
                          </w:rPr>
                        </w:pPr>
                        <w:r>
                          <w:rPr>
                            <w:rFonts w:ascii="宋体"/>
                            <w:w w:val="123"/>
                            <w:sz w:val="15"/>
                          </w:rPr>
                          <w:t>-</w:t>
                        </w:r>
                        <w:r>
                          <w:rPr>
                            <w:rFonts w:ascii="宋体"/>
                            <w:sz w:val="15"/>
                          </w:rPr>
                        </w:r>
                      </w:p>
                    </w:tc>
                  </w:tr>
                  <w:tr>
                    <w:trPr>
                      <w:trHeight w:val="268" w:hRule="exact"/>
                    </w:trPr>
                    <w:tc>
                      <w:tcPr>
                        <w:tcW w:w="2647" w:type="dxa"/>
                        <w:tcBorders>
                          <w:top w:val="nil" w:sz="6" w:space="0" w:color="auto"/>
                          <w:left w:val="nil" w:sz="6" w:space="0" w:color="auto"/>
                          <w:bottom w:val="nil" w:sz="6" w:space="0" w:color="auto"/>
                          <w:right w:val="nil" w:sz="6" w:space="0" w:color="auto"/>
                        </w:tcBorders>
                      </w:tcPr>
                      <w:p>
                        <w:pPr>
                          <w:pStyle w:val="TableParagraph"/>
                          <w:tabs>
                            <w:tab w:pos="1563" w:val="left" w:leader="none"/>
                          </w:tabs>
                          <w:spacing w:line="240" w:lineRule="auto" w:before="1"/>
                          <w:ind w:right="132"/>
                          <w:jc w:val="right"/>
                          <w:rPr>
                            <w:rFonts w:ascii="宋体" w:hAnsi="宋体" w:cs="宋体" w:eastAsia="宋体" w:hint="default"/>
                            <w:sz w:val="15"/>
                            <w:szCs w:val="15"/>
                          </w:rPr>
                        </w:pPr>
                        <w:r>
                          <w:rPr>
                            <w:rFonts w:ascii="宋体" w:hAnsi="宋体" w:cs="宋体" w:eastAsia="宋体" w:hint="default"/>
                            <w:w w:val="90"/>
                            <w:sz w:val="15"/>
                            <w:szCs w:val="15"/>
                          </w:rPr>
                          <w:t>2.</w:t>
                        </w:r>
                        <w:r>
                          <w:rPr>
                            <w:rFonts w:ascii="宋体" w:hAnsi="宋体" w:cs="宋体" w:eastAsia="宋体" w:hint="default"/>
                            <w:spacing w:val="-15"/>
                            <w:w w:val="90"/>
                            <w:sz w:val="15"/>
                            <w:szCs w:val="15"/>
                          </w:rPr>
                          <w:t> </w:t>
                        </w:r>
                        <w:r>
                          <w:rPr>
                            <w:rFonts w:ascii="宋体" w:hAnsi="宋体" w:cs="宋体" w:eastAsia="宋体" w:hint="default"/>
                            <w:w w:val="90"/>
                            <w:sz w:val="15"/>
                            <w:szCs w:val="15"/>
                          </w:rPr>
                          <w:t>对股东的分配</w:t>
                          <w:tab/>
                        </w:r>
                        <w:r>
                          <w:rPr>
                            <w:rFonts w:ascii="宋体" w:hAnsi="宋体" w:cs="宋体" w:eastAsia="宋体" w:hint="default"/>
                            <w:w w:val="85"/>
                            <w:sz w:val="15"/>
                            <w:szCs w:val="15"/>
                          </w:rPr>
                          <w:t>五</w:t>
                        </w:r>
                        <w:r>
                          <w:rPr>
                            <w:rFonts w:ascii="宋体" w:hAnsi="宋体" w:cs="宋体" w:eastAsia="宋体" w:hint="default"/>
                            <w:spacing w:val="-36"/>
                            <w:w w:val="85"/>
                            <w:sz w:val="15"/>
                            <w:szCs w:val="15"/>
                          </w:rPr>
                          <w:t> </w:t>
                        </w:r>
                        <w:r>
                          <w:rPr>
                            <w:rFonts w:ascii="宋体" w:hAnsi="宋体" w:cs="宋体" w:eastAsia="宋体" w:hint="default"/>
                            <w:w w:val="85"/>
                            <w:sz w:val="15"/>
                            <w:szCs w:val="15"/>
                          </w:rPr>
                          <w:t>(35)</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1"/>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87"/>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1"/>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108"/>
                          <w:jc w:val="right"/>
                          <w:rPr>
                            <w:rFonts w:ascii="宋体" w:hAnsi="宋体" w:cs="宋体" w:eastAsia="宋体" w:hint="default"/>
                            <w:sz w:val="15"/>
                            <w:szCs w:val="15"/>
                          </w:rPr>
                        </w:pPr>
                        <w:r>
                          <w:rPr>
                            <w:rFonts w:ascii="宋体"/>
                            <w:w w:val="85"/>
                            <w:sz w:val="15"/>
                          </w:rPr>
                          <w:t>(614,350,671)</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83"/>
                          <w:jc w:val="right"/>
                          <w:rPr>
                            <w:rFonts w:ascii="宋体" w:hAnsi="宋体" w:cs="宋体" w:eastAsia="宋体" w:hint="default"/>
                            <w:sz w:val="15"/>
                            <w:szCs w:val="15"/>
                          </w:rPr>
                        </w:pPr>
                        <w:r>
                          <w:rPr>
                            <w:rFonts w:ascii="宋体"/>
                            <w:w w:val="85"/>
                            <w:sz w:val="15"/>
                          </w:rPr>
                          <w:t>(614,350,671)</w:t>
                        </w:r>
                        <w:r>
                          <w:rPr>
                            <w:rFonts w:ascii="宋体"/>
                            <w:sz w:val="15"/>
                          </w:rPr>
                        </w:r>
                      </w:p>
                    </w:tc>
                  </w:tr>
                  <w:tr>
                    <w:trPr>
                      <w:trHeight w:val="324" w:hRule="exact"/>
                    </w:trPr>
                    <w:tc>
                      <w:tcPr>
                        <w:tcW w:w="2647" w:type="dxa"/>
                        <w:tcBorders>
                          <w:top w:val="nil" w:sz="6" w:space="0" w:color="auto"/>
                          <w:left w:val="nil" w:sz="6" w:space="0" w:color="auto"/>
                          <w:bottom w:val="single" w:sz="6" w:space="0" w:color="000000"/>
                          <w:right w:val="nil" w:sz="6" w:space="0" w:color="auto"/>
                        </w:tcBorders>
                      </w:tcPr>
                      <w:p>
                        <w:pPr>
                          <w:pStyle w:val="TableParagraph"/>
                          <w:spacing w:line="240" w:lineRule="auto" w:before="1"/>
                          <w:ind w:left="84" w:right="0"/>
                          <w:jc w:val="left"/>
                          <w:rPr>
                            <w:rFonts w:ascii="宋体" w:hAnsi="宋体" w:cs="宋体" w:eastAsia="宋体" w:hint="default"/>
                            <w:sz w:val="15"/>
                            <w:szCs w:val="15"/>
                          </w:rPr>
                        </w:pPr>
                        <w:r>
                          <w:rPr>
                            <w:rFonts w:ascii="宋体" w:hAnsi="宋体" w:cs="宋体" w:eastAsia="宋体" w:hint="default"/>
                            <w:spacing w:val="-3"/>
                            <w:sz w:val="15"/>
                            <w:szCs w:val="15"/>
                          </w:rPr>
                          <w:t>2018</w:t>
                        </w:r>
                        <w:r>
                          <w:rPr>
                            <w:rFonts w:ascii="宋体" w:hAnsi="宋体" w:cs="宋体" w:eastAsia="宋体" w:hint="default"/>
                            <w:spacing w:val="-50"/>
                            <w:sz w:val="15"/>
                            <w:szCs w:val="15"/>
                          </w:rPr>
                          <w:t> </w:t>
                        </w:r>
                        <w:r>
                          <w:rPr>
                            <w:rFonts w:ascii="宋体" w:hAnsi="宋体" w:cs="宋体" w:eastAsia="宋体" w:hint="default"/>
                            <w:sz w:val="15"/>
                            <w:szCs w:val="15"/>
                          </w:rPr>
                          <w:t>年</w:t>
                        </w:r>
                        <w:r>
                          <w:rPr>
                            <w:rFonts w:ascii="宋体" w:hAnsi="宋体" w:cs="宋体" w:eastAsia="宋体" w:hint="default"/>
                            <w:spacing w:val="-50"/>
                            <w:sz w:val="15"/>
                            <w:szCs w:val="15"/>
                          </w:rPr>
                          <w:t> </w:t>
                        </w:r>
                        <w:r>
                          <w:rPr>
                            <w:rFonts w:ascii="宋体" w:hAnsi="宋体" w:cs="宋体" w:eastAsia="宋体" w:hint="default"/>
                            <w:sz w:val="15"/>
                            <w:szCs w:val="15"/>
                          </w:rPr>
                          <w:t>12</w:t>
                        </w:r>
                        <w:r>
                          <w:rPr>
                            <w:rFonts w:ascii="宋体" w:hAnsi="宋体" w:cs="宋体" w:eastAsia="宋体" w:hint="default"/>
                            <w:spacing w:val="-50"/>
                            <w:sz w:val="15"/>
                            <w:szCs w:val="15"/>
                          </w:rPr>
                          <w:t> </w:t>
                        </w:r>
                        <w:r>
                          <w:rPr>
                            <w:rFonts w:ascii="宋体" w:hAnsi="宋体" w:cs="宋体" w:eastAsia="宋体" w:hint="default"/>
                            <w:sz w:val="15"/>
                            <w:szCs w:val="15"/>
                          </w:rPr>
                          <w:t>月</w:t>
                        </w:r>
                        <w:r>
                          <w:rPr>
                            <w:rFonts w:ascii="宋体" w:hAnsi="宋体" w:cs="宋体" w:eastAsia="宋体" w:hint="default"/>
                            <w:spacing w:val="-50"/>
                            <w:sz w:val="15"/>
                            <w:szCs w:val="15"/>
                          </w:rPr>
                          <w:t> </w:t>
                        </w:r>
                        <w:r>
                          <w:rPr>
                            <w:rFonts w:ascii="宋体" w:hAnsi="宋体" w:cs="宋体" w:eastAsia="宋体" w:hint="default"/>
                            <w:sz w:val="15"/>
                            <w:szCs w:val="15"/>
                          </w:rPr>
                          <w:t>31</w:t>
                        </w:r>
                        <w:r>
                          <w:rPr>
                            <w:rFonts w:ascii="宋体" w:hAnsi="宋体" w:cs="宋体" w:eastAsia="宋体" w:hint="default"/>
                            <w:spacing w:val="-50"/>
                            <w:sz w:val="15"/>
                            <w:szCs w:val="15"/>
                          </w:rPr>
                          <w:t> </w:t>
                        </w:r>
                        <w:r>
                          <w:rPr>
                            <w:rFonts w:ascii="宋体" w:hAnsi="宋体" w:cs="宋体" w:eastAsia="宋体" w:hint="default"/>
                            <w:spacing w:val="-4"/>
                            <w:sz w:val="15"/>
                            <w:szCs w:val="15"/>
                          </w:rPr>
                          <w:t>日年末余额</w:t>
                        </w:r>
                        <w:r>
                          <w:rPr>
                            <w:rFonts w:ascii="宋体" w:hAnsi="宋体" w:cs="宋体" w:eastAsia="宋体" w:hint="default"/>
                            <w:sz w:val="15"/>
                            <w:szCs w:val="15"/>
                          </w:rPr>
                        </w:r>
                      </w:p>
                    </w:tc>
                    <w:tc>
                      <w:tcPr>
                        <w:tcW w:w="1193"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101"/>
                          <w:jc w:val="right"/>
                          <w:rPr>
                            <w:rFonts w:ascii="宋体" w:hAnsi="宋体" w:cs="宋体" w:eastAsia="宋体" w:hint="default"/>
                            <w:sz w:val="15"/>
                            <w:szCs w:val="15"/>
                          </w:rPr>
                        </w:pPr>
                        <w:r>
                          <w:rPr>
                            <w:rFonts w:ascii="宋体"/>
                            <w:w w:val="90"/>
                            <w:sz w:val="15"/>
                          </w:rPr>
                          <w:t>31,027,811,687</w:t>
                        </w:r>
                        <w:r>
                          <w:rPr>
                            <w:rFonts w:ascii="宋体"/>
                            <w:sz w:val="15"/>
                          </w:rPr>
                        </w:r>
                      </w:p>
                    </w:tc>
                    <w:tc>
                      <w:tcPr>
                        <w:tcW w:w="1199"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87"/>
                          <w:jc w:val="right"/>
                          <w:rPr>
                            <w:rFonts w:ascii="宋体" w:hAnsi="宋体" w:cs="宋体" w:eastAsia="宋体" w:hint="default"/>
                            <w:sz w:val="15"/>
                            <w:szCs w:val="15"/>
                          </w:rPr>
                        </w:pPr>
                        <w:r>
                          <w:rPr>
                            <w:rFonts w:ascii="宋体"/>
                            <w:w w:val="90"/>
                            <w:sz w:val="15"/>
                          </w:rPr>
                          <w:t>72,448,610,693</w:t>
                        </w:r>
                        <w:r>
                          <w:rPr>
                            <w:rFonts w:ascii="宋体"/>
                            <w:sz w:val="15"/>
                          </w:rPr>
                        </w:r>
                      </w:p>
                    </w:tc>
                    <w:tc>
                      <w:tcPr>
                        <w:tcW w:w="1167"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98"/>
                          <w:jc w:val="right"/>
                          <w:rPr>
                            <w:rFonts w:ascii="宋体" w:hAnsi="宋体" w:cs="宋体" w:eastAsia="宋体" w:hint="default"/>
                            <w:sz w:val="15"/>
                            <w:szCs w:val="15"/>
                          </w:rPr>
                        </w:pPr>
                        <w:r>
                          <w:rPr>
                            <w:rFonts w:ascii="宋体"/>
                            <w:w w:val="85"/>
                            <w:sz w:val="15"/>
                          </w:rPr>
                          <w:t>(2,993,014,742)</w:t>
                        </w:r>
                        <w:r>
                          <w:rPr>
                            <w:rFonts w:ascii="宋体"/>
                            <w:sz w:val="15"/>
                          </w:rPr>
                        </w:r>
                      </w:p>
                    </w:tc>
                    <w:tc>
                      <w:tcPr>
                        <w:tcW w:w="1103"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100"/>
                          <w:jc w:val="right"/>
                          <w:rPr>
                            <w:rFonts w:ascii="宋体" w:hAnsi="宋体" w:cs="宋体" w:eastAsia="宋体" w:hint="default"/>
                            <w:sz w:val="15"/>
                            <w:szCs w:val="15"/>
                          </w:rPr>
                        </w:pPr>
                        <w:r>
                          <w:rPr>
                            <w:rFonts w:ascii="宋体"/>
                            <w:w w:val="90"/>
                            <w:sz w:val="15"/>
                          </w:rPr>
                          <w:t>1,412,023,687</w:t>
                        </w:r>
                        <w:r>
                          <w:rPr>
                            <w:rFonts w:ascii="宋体"/>
                            <w:sz w:val="15"/>
                          </w:rPr>
                        </w:r>
                      </w:p>
                    </w:tc>
                    <w:tc>
                      <w:tcPr>
                        <w:tcW w:w="1073"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108"/>
                          <w:jc w:val="right"/>
                          <w:rPr>
                            <w:rFonts w:ascii="宋体" w:hAnsi="宋体" w:cs="宋体" w:eastAsia="宋体" w:hint="default"/>
                            <w:sz w:val="15"/>
                            <w:szCs w:val="15"/>
                          </w:rPr>
                        </w:pPr>
                        <w:r>
                          <w:rPr>
                            <w:rFonts w:ascii="宋体"/>
                            <w:w w:val="90"/>
                            <w:sz w:val="15"/>
                          </w:rPr>
                          <w:t>44,690,821</w:t>
                        </w:r>
                        <w:r>
                          <w:rPr>
                            <w:rFonts w:ascii="宋体"/>
                            <w:sz w:val="15"/>
                          </w:rPr>
                        </w:r>
                      </w:p>
                    </w:tc>
                    <w:tc>
                      <w:tcPr>
                        <w:tcW w:w="1279"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83"/>
                          <w:jc w:val="right"/>
                          <w:rPr>
                            <w:rFonts w:ascii="宋体" w:hAnsi="宋体" w:cs="宋体" w:eastAsia="宋体" w:hint="default"/>
                            <w:sz w:val="15"/>
                            <w:szCs w:val="15"/>
                          </w:rPr>
                        </w:pPr>
                        <w:r>
                          <w:rPr>
                            <w:rFonts w:ascii="宋体"/>
                            <w:w w:val="90"/>
                            <w:sz w:val="15"/>
                          </w:rPr>
                          <w:t>101,940,122,146</w:t>
                        </w:r>
                        <w:r>
                          <w:rPr>
                            <w:rFonts w:ascii="宋体"/>
                            <w:sz w:val="15"/>
                          </w:rPr>
                        </w:r>
                      </w:p>
                    </w:tc>
                  </w:tr>
                  <w:tr>
                    <w:trPr>
                      <w:trHeight w:val="339" w:hRule="exact"/>
                    </w:trPr>
                    <w:tc>
                      <w:tcPr>
                        <w:tcW w:w="2647" w:type="dxa"/>
                        <w:tcBorders>
                          <w:top w:val="single" w:sz="6" w:space="0" w:color="000000"/>
                          <w:left w:val="nil" w:sz="6" w:space="0" w:color="auto"/>
                          <w:bottom w:val="nil" w:sz="6" w:space="0" w:color="auto"/>
                          <w:right w:val="nil" w:sz="6" w:space="0" w:color="auto"/>
                        </w:tcBorders>
                      </w:tcPr>
                      <w:p>
                        <w:pPr>
                          <w:pStyle w:val="TableParagraph"/>
                          <w:spacing w:line="240" w:lineRule="auto" w:before="67"/>
                          <w:ind w:left="85" w:right="0"/>
                          <w:jc w:val="left"/>
                          <w:rPr>
                            <w:rFonts w:ascii="宋体" w:hAnsi="宋体" w:cs="宋体" w:eastAsia="宋体" w:hint="default"/>
                            <w:sz w:val="15"/>
                            <w:szCs w:val="15"/>
                          </w:rPr>
                        </w:pPr>
                        <w:r>
                          <w:rPr>
                            <w:rFonts w:ascii="宋体" w:hAnsi="宋体" w:cs="宋体" w:eastAsia="宋体" w:hint="default"/>
                            <w:sz w:val="15"/>
                            <w:szCs w:val="15"/>
                          </w:rPr>
                          <w:t>2017</w:t>
                        </w:r>
                        <w:r>
                          <w:rPr>
                            <w:rFonts w:ascii="宋体" w:hAnsi="宋体" w:cs="宋体" w:eastAsia="宋体" w:hint="default"/>
                            <w:spacing w:val="-49"/>
                            <w:sz w:val="15"/>
                            <w:szCs w:val="15"/>
                          </w:rPr>
                          <w:t> </w:t>
                        </w:r>
                        <w:r>
                          <w:rPr>
                            <w:rFonts w:ascii="宋体" w:hAnsi="宋体" w:cs="宋体" w:eastAsia="宋体" w:hint="default"/>
                            <w:sz w:val="15"/>
                            <w:szCs w:val="15"/>
                          </w:rPr>
                          <w:t>年</w:t>
                        </w:r>
                        <w:r>
                          <w:rPr>
                            <w:rFonts w:ascii="宋体" w:hAnsi="宋体" w:cs="宋体" w:eastAsia="宋体" w:hint="default"/>
                            <w:spacing w:val="-49"/>
                            <w:sz w:val="15"/>
                            <w:szCs w:val="15"/>
                          </w:rPr>
                          <w:t> </w:t>
                        </w:r>
                        <w:r>
                          <w:rPr>
                            <w:rFonts w:ascii="宋体" w:hAnsi="宋体" w:cs="宋体" w:eastAsia="宋体" w:hint="default"/>
                            <w:sz w:val="15"/>
                            <w:szCs w:val="15"/>
                          </w:rPr>
                          <w:t>1</w:t>
                        </w:r>
                        <w:r>
                          <w:rPr>
                            <w:rFonts w:ascii="宋体" w:hAnsi="宋体" w:cs="宋体" w:eastAsia="宋体" w:hint="default"/>
                            <w:spacing w:val="-49"/>
                            <w:sz w:val="15"/>
                            <w:szCs w:val="15"/>
                          </w:rPr>
                          <w:t> </w:t>
                        </w:r>
                        <w:r>
                          <w:rPr>
                            <w:rFonts w:ascii="宋体" w:hAnsi="宋体" w:cs="宋体" w:eastAsia="宋体" w:hint="default"/>
                            <w:sz w:val="15"/>
                            <w:szCs w:val="15"/>
                          </w:rPr>
                          <w:t>月</w:t>
                        </w:r>
                        <w:r>
                          <w:rPr>
                            <w:rFonts w:ascii="宋体" w:hAnsi="宋体" w:cs="宋体" w:eastAsia="宋体" w:hint="default"/>
                            <w:spacing w:val="-49"/>
                            <w:sz w:val="15"/>
                            <w:szCs w:val="15"/>
                          </w:rPr>
                          <w:t> </w:t>
                        </w:r>
                        <w:r>
                          <w:rPr>
                            <w:rFonts w:ascii="宋体" w:hAnsi="宋体" w:cs="宋体" w:eastAsia="宋体" w:hint="default"/>
                            <w:sz w:val="15"/>
                            <w:szCs w:val="15"/>
                          </w:rPr>
                          <w:t>1</w:t>
                        </w:r>
                        <w:r>
                          <w:rPr>
                            <w:rFonts w:ascii="宋体" w:hAnsi="宋体" w:cs="宋体" w:eastAsia="宋体" w:hint="default"/>
                            <w:spacing w:val="-49"/>
                            <w:sz w:val="15"/>
                            <w:szCs w:val="15"/>
                          </w:rPr>
                          <w:t> </w:t>
                        </w:r>
                        <w:r>
                          <w:rPr>
                            <w:rFonts w:ascii="宋体" w:hAnsi="宋体" w:cs="宋体" w:eastAsia="宋体" w:hint="default"/>
                            <w:sz w:val="15"/>
                            <w:szCs w:val="15"/>
                          </w:rPr>
                          <w:t>日年初余额</w:t>
                        </w:r>
                      </w:p>
                    </w:tc>
                    <w:tc>
                      <w:tcPr>
                        <w:tcW w:w="1193" w:type="dxa"/>
                        <w:tcBorders>
                          <w:top w:val="single" w:sz="6" w:space="0" w:color="000000"/>
                          <w:left w:val="nil" w:sz="6" w:space="0" w:color="auto"/>
                          <w:bottom w:val="nil" w:sz="6" w:space="0" w:color="auto"/>
                          <w:right w:val="nil" w:sz="6" w:space="0" w:color="auto"/>
                        </w:tcBorders>
                      </w:tcPr>
                      <w:p>
                        <w:pPr>
                          <w:pStyle w:val="TableParagraph"/>
                          <w:spacing w:line="240" w:lineRule="auto" w:before="67"/>
                          <w:ind w:right="101"/>
                          <w:jc w:val="right"/>
                          <w:rPr>
                            <w:rFonts w:ascii="宋体" w:hAnsi="宋体" w:cs="宋体" w:eastAsia="宋体" w:hint="default"/>
                            <w:sz w:val="15"/>
                            <w:szCs w:val="15"/>
                          </w:rPr>
                        </w:pPr>
                        <w:r>
                          <w:rPr>
                            <w:rFonts w:ascii="宋体"/>
                            <w:w w:val="90"/>
                            <w:sz w:val="15"/>
                          </w:rPr>
                          <w:t>21,196,596,395</w:t>
                        </w:r>
                        <w:r>
                          <w:rPr>
                            <w:rFonts w:ascii="宋体"/>
                            <w:sz w:val="15"/>
                          </w:rPr>
                        </w:r>
                      </w:p>
                    </w:tc>
                    <w:tc>
                      <w:tcPr>
                        <w:tcW w:w="1199" w:type="dxa"/>
                        <w:tcBorders>
                          <w:top w:val="single" w:sz="6" w:space="0" w:color="000000"/>
                          <w:left w:val="nil" w:sz="6" w:space="0" w:color="auto"/>
                          <w:bottom w:val="nil" w:sz="6" w:space="0" w:color="auto"/>
                          <w:right w:val="nil" w:sz="6" w:space="0" w:color="auto"/>
                        </w:tcBorders>
                      </w:tcPr>
                      <w:p>
                        <w:pPr>
                          <w:pStyle w:val="TableParagraph"/>
                          <w:spacing w:line="240" w:lineRule="auto" w:before="67"/>
                          <w:ind w:right="87"/>
                          <w:jc w:val="right"/>
                          <w:rPr>
                            <w:rFonts w:ascii="宋体" w:hAnsi="宋体" w:cs="宋体" w:eastAsia="宋体" w:hint="default"/>
                            <w:sz w:val="15"/>
                            <w:szCs w:val="15"/>
                          </w:rPr>
                        </w:pPr>
                        <w:r>
                          <w:rPr>
                            <w:rFonts w:ascii="宋体"/>
                            <w:w w:val="90"/>
                            <w:sz w:val="15"/>
                          </w:rPr>
                          <w:t>17,111,103,108</w:t>
                        </w:r>
                        <w:r>
                          <w:rPr>
                            <w:rFonts w:ascii="宋体"/>
                            <w:sz w:val="15"/>
                          </w:rPr>
                        </w:r>
                      </w:p>
                    </w:tc>
                    <w:tc>
                      <w:tcPr>
                        <w:tcW w:w="1167" w:type="dxa"/>
                        <w:tcBorders>
                          <w:top w:val="single" w:sz="6" w:space="0" w:color="000000"/>
                          <w:left w:val="nil" w:sz="6" w:space="0" w:color="auto"/>
                          <w:bottom w:val="nil" w:sz="6" w:space="0" w:color="auto"/>
                          <w:right w:val="nil" w:sz="6" w:space="0" w:color="auto"/>
                        </w:tcBorders>
                      </w:tcPr>
                      <w:p>
                        <w:pPr>
                          <w:pStyle w:val="TableParagraph"/>
                          <w:spacing w:line="240" w:lineRule="auto" w:before="67"/>
                          <w:ind w:right="98"/>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single" w:sz="6" w:space="0" w:color="000000"/>
                          <w:left w:val="nil" w:sz="6" w:space="0" w:color="auto"/>
                          <w:bottom w:val="nil" w:sz="6" w:space="0" w:color="auto"/>
                          <w:right w:val="nil" w:sz="6" w:space="0" w:color="auto"/>
                        </w:tcBorders>
                      </w:tcPr>
                      <w:p>
                        <w:pPr>
                          <w:pStyle w:val="TableParagraph"/>
                          <w:spacing w:line="240" w:lineRule="auto" w:before="67"/>
                          <w:ind w:right="100"/>
                          <w:jc w:val="right"/>
                          <w:rPr>
                            <w:rFonts w:ascii="宋体" w:hAnsi="宋体" w:cs="宋体" w:eastAsia="宋体" w:hint="default"/>
                            <w:sz w:val="15"/>
                            <w:szCs w:val="15"/>
                          </w:rPr>
                        </w:pPr>
                        <w:r>
                          <w:rPr>
                            <w:rFonts w:ascii="宋体"/>
                            <w:w w:val="90"/>
                            <w:sz w:val="15"/>
                          </w:rPr>
                          <w:t>1,338,484,194</w:t>
                        </w:r>
                        <w:r>
                          <w:rPr>
                            <w:rFonts w:ascii="宋体"/>
                            <w:sz w:val="15"/>
                          </w:rPr>
                        </w:r>
                      </w:p>
                    </w:tc>
                    <w:tc>
                      <w:tcPr>
                        <w:tcW w:w="1073" w:type="dxa"/>
                        <w:tcBorders>
                          <w:top w:val="single" w:sz="6" w:space="0" w:color="000000"/>
                          <w:left w:val="nil" w:sz="6" w:space="0" w:color="auto"/>
                          <w:bottom w:val="nil" w:sz="6" w:space="0" w:color="auto"/>
                          <w:right w:val="nil" w:sz="6" w:space="0" w:color="auto"/>
                        </w:tcBorders>
                      </w:tcPr>
                      <w:p>
                        <w:pPr>
                          <w:pStyle w:val="TableParagraph"/>
                          <w:spacing w:line="240" w:lineRule="auto" w:before="67"/>
                          <w:ind w:right="107"/>
                          <w:jc w:val="right"/>
                          <w:rPr>
                            <w:rFonts w:ascii="宋体" w:hAnsi="宋体" w:cs="宋体" w:eastAsia="宋体" w:hint="default"/>
                            <w:sz w:val="15"/>
                            <w:szCs w:val="15"/>
                          </w:rPr>
                        </w:pPr>
                        <w:r>
                          <w:rPr>
                            <w:rFonts w:ascii="宋体"/>
                            <w:w w:val="90"/>
                            <w:sz w:val="15"/>
                          </w:rPr>
                          <w:t>8,298,143</w:t>
                        </w:r>
                        <w:r>
                          <w:rPr>
                            <w:rFonts w:ascii="宋体"/>
                            <w:sz w:val="15"/>
                          </w:rPr>
                        </w:r>
                      </w:p>
                    </w:tc>
                    <w:tc>
                      <w:tcPr>
                        <w:tcW w:w="1279" w:type="dxa"/>
                        <w:tcBorders>
                          <w:top w:val="single" w:sz="6" w:space="0" w:color="000000"/>
                          <w:left w:val="nil" w:sz="6" w:space="0" w:color="auto"/>
                          <w:bottom w:val="nil" w:sz="6" w:space="0" w:color="auto"/>
                          <w:right w:val="nil" w:sz="6" w:space="0" w:color="auto"/>
                        </w:tcBorders>
                      </w:tcPr>
                      <w:p>
                        <w:pPr>
                          <w:pStyle w:val="TableParagraph"/>
                          <w:spacing w:line="240" w:lineRule="auto" w:before="67"/>
                          <w:ind w:right="82"/>
                          <w:jc w:val="right"/>
                          <w:rPr>
                            <w:rFonts w:ascii="宋体" w:hAnsi="宋体" w:cs="宋体" w:eastAsia="宋体" w:hint="default"/>
                            <w:sz w:val="15"/>
                            <w:szCs w:val="15"/>
                          </w:rPr>
                        </w:pPr>
                        <w:r>
                          <w:rPr>
                            <w:rFonts w:ascii="宋体"/>
                            <w:w w:val="90"/>
                            <w:sz w:val="15"/>
                          </w:rPr>
                          <w:t>39,654,481,840</w:t>
                        </w:r>
                        <w:r>
                          <w:rPr>
                            <w:rFonts w:ascii="宋体"/>
                            <w:sz w:val="15"/>
                          </w:rPr>
                        </w:r>
                      </w:p>
                    </w:tc>
                  </w:tr>
                  <w:tr>
                    <w:trPr>
                      <w:trHeight w:val="395"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196" w:lineRule="exact"/>
                          <w:ind w:left="113" w:right="0"/>
                          <w:jc w:val="left"/>
                          <w:rPr>
                            <w:rFonts w:ascii="宋体" w:hAnsi="宋体" w:cs="宋体" w:eastAsia="宋体" w:hint="default"/>
                            <w:sz w:val="15"/>
                            <w:szCs w:val="15"/>
                          </w:rPr>
                        </w:pPr>
                        <w:r>
                          <w:rPr>
                            <w:rFonts w:ascii="宋体" w:hAnsi="宋体" w:cs="宋体" w:eastAsia="宋体" w:hint="default"/>
                            <w:sz w:val="15"/>
                            <w:szCs w:val="15"/>
                          </w:rPr>
                          <w:t>（一）综合收益总额</w:t>
                        </w:r>
                      </w:p>
                    </w:tc>
                    <w:tc>
                      <w:tcPr>
                        <w:tcW w:w="1193" w:type="dxa"/>
                        <w:tcBorders>
                          <w:top w:val="nil" w:sz="6" w:space="0" w:color="auto"/>
                          <w:left w:val="nil" w:sz="6" w:space="0" w:color="auto"/>
                          <w:bottom w:val="nil" w:sz="6" w:space="0" w:color="auto"/>
                          <w:right w:val="nil" w:sz="6" w:space="0" w:color="auto"/>
                        </w:tcBorders>
                      </w:tcPr>
                      <w:p>
                        <w:pPr>
                          <w:pStyle w:val="TableParagraph"/>
                          <w:spacing w:line="196" w:lineRule="exact"/>
                          <w:ind w:right="129"/>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196" w:lineRule="exact"/>
                          <w:ind w:right="115"/>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196" w:lineRule="exact"/>
                          <w:ind w:right="126"/>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196" w:lineRule="exact"/>
                          <w:ind w:right="129"/>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196" w:lineRule="exact"/>
                          <w:ind w:right="136"/>
                          <w:jc w:val="right"/>
                          <w:rPr>
                            <w:rFonts w:ascii="宋体" w:hAnsi="宋体" w:cs="宋体" w:eastAsia="宋体" w:hint="default"/>
                            <w:sz w:val="15"/>
                            <w:szCs w:val="15"/>
                          </w:rPr>
                        </w:pPr>
                        <w:r>
                          <w:rPr>
                            <w:rFonts w:ascii="宋体"/>
                            <w:w w:val="85"/>
                            <w:sz w:val="15"/>
                          </w:rPr>
                          <w:t>(11,112,088)</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196" w:lineRule="exact"/>
                          <w:ind w:right="111"/>
                          <w:jc w:val="right"/>
                          <w:rPr>
                            <w:rFonts w:ascii="宋体" w:hAnsi="宋体" w:cs="宋体" w:eastAsia="宋体" w:hint="default"/>
                            <w:sz w:val="15"/>
                            <w:szCs w:val="15"/>
                          </w:rPr>
                        </w:pPr>
                        <w:r>
                          <w:rPr>
                            <w:rFonts w:ascii="宋体"/>
                            <w:w w:val="85"/>
                            <w:sz w:val="15"/>
                          </w:rPr>
                          <w:t>(11,112,088)</w:t>
                        </w:r>
                        <w:r>
                          <w:rPr>
                            <w:rFonts w:ascii="宋体"/>
                            <w:sz w:val="15"/>
                          </w:rPr>
                        </w:r>
                      </w:p>
                    </w:tc>
                  </w:tr>
                  <w:tr>
                    <w:trPr>
                      <w:trHeight w:val="527"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left="566" w:right="0"/>
                          <w:jc w:val="left"/>
                          <w:rPr>
                            <w:rFonts w:ascii="宋体" w:hAnsi="宋体" w:cs="宋体" w:eastAsia="宋体" w:hint="default"/>
                            <w:sz w:val="15"/>
                            <w:szCs w:val="15"/>
                          </w:rPr>
                        </w:pPr>
                        <w:r>
                          <w:rPr>
                            <w:rFonts w:ascii="宋体" w:hAnsi="宋体" w:cs="宋体" w:eastAsia="宋体" w:hint="default"/>
                            <w:w w:val="90"/>
                            <w:sz w:val="15"/>
                            <w:szCs w:val="15"/>
                          </w:rPr>
                          <w:t>1.</w:t>
                        </w:r>
                        <w:r>
                          <w:rPr>
                            <w:rFonts w:ascii="宋体" w:hAnsi="宋体" w:cs="宋体" w:eastAsia="宋体" w:hint="default"/>
                            <w:spacing w:val="-3"/>
                            <w:w w:val="90"/>
                            <w:sz w:val="15"/>
                            <w:szCs w:val="15"/>
                          </w:rPr>
                          <w:t> </w:t>
                        </w:r>
                        <w:r>
                          <w:rPr>
                            <w:rFonts w:ascii="宋体" w:hAnsi="宋体" w:cs="宋体" w:eastAsia="宋体" w:hint="default"/>
                            <w:w w:val="90"/>
                            <w:sz w:val="15"/>
                            <w:szCs w:val="15"/>
                          </w:rPr>
                          <w:t>股东投入的普通股</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29"/>
                          <w:jc w:val="right"/>
                          <w:rPr>
                            <w:rFonts w:ascii="宋体" w:hAnsi="宋体" w:cs="宋体" w:eastAsia="宋体" w:hint="default"/>
                            <w:sz w:val="15"/>
                            <w:szCs w:val="15"/>
                          </w:rPr>
                        </w:pPr>
                        <w:r>
                          <w:rPr>
                            <w:rFonts w:ascii="宋体"/>
                            <w:w w:val="90"/>
                            <w:sz w:val="15"/>
                          </w:rPr>
                          <w:t>9,037,354,292</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15"/>
                          <w:jc w:val="right"/>
                          <w:rPr>
                            <w:rFonts w:ascii="宋体" w:hAnsi="宋体" w:cs="宋体" w:eastAsia="宋体" w:hint="default"/>
                            <w:sz w:val="15"/>
                            <w:szCs w:val="15"/>
                          </w:rPr>
                        </w:pPr>
                        <w:r>
                          <w:rPr>
                            <w:rFonts w:ascii="宋体"/>
                            <w:w w:val="90"/>
                            <w:sz w:val="15"/>
                          </w:rPr>
                          <w:t>52,508,715,395</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26"/>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29"/>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36"/>
                          <w:jc w:val="right"/>
                          <w:rPr>
                            <w:rFonts w:ascii="宋体" w:hAnsi="宋体" w:cs="宋体" w:eastAsia="宋体" w:hint="default"/>
                            <w:sz w:val="15"/>
                            <w:szCs w:val="15"/>
                          </w:rPr>
                        </w:pPr>
                        <w:r>
                          <w:rPr>
                            <w:rFonts w:ascii="宋体"/>
                            <w:w w:val="123"/>
                            <w:sz w:val="15"/>
                          </w:rPr>
                          <w:t>-</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11"/>
                          <w:jc w:val="right"/>
                          <w:rPr>
                            <w:rFonts w:ascii="宋体" w:hAnsi="宋体" w:cs="宋体" w:eastAsia="宋体" w:hint="default"/>
                            <w:sz w:val="15"/>
                            <w:szCs w:val="15"/>
                          </w:rPr>
                        </w:pPr>
                        <w:r>
                          <w:rPr>
                            <w:rFonts w:ascii="宋体"/>
                            <w:w w:val="90"/>
                            <w:sz w:val="15"/>
                          </w:rPr>
                          <w:t>61,546,069,687</w:t>
                        </w:r>
                        <w:r>
                          <w:rPr>
                            <w:rFonts w:ascii="宋体"/>
                            <w:sz w:val="15"/>
                          </w:rPr>
                        </w:r>
                      </w:p>
                    </w:tc>
                  </w:tr>
                  <w:tr>
                    <w:trPr>
                      <w:trHeight w:val="395"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left="566" w:right="0"/>
                          <w:jc w:val="left"/>
                          <w:rPr>
                            <w:rFonts w:ascii="宋体" w:hAnsi="宋体" w:cs="宋体" w:eastAsia="宋体" w:hint="default"/>
                            <w:sz w:val="15"/>
                            <w:szCs w:val="15"/>
                          </w:rPr>
                        </w:pPr>
                        <w:r>
                          <w:rPr>
                            <w:rFonts w:ascii="宋体" w:hAnsi="宋体" w:cs="宋体" w:eastAsia="宋体" w:hint="default"/>
                            <w:w w:val="90"/>
                            <w:sz w:val="15"/>
                            <w:szCs w:val="15"/>
                          </w:rPr>
                          <w:t>1.</w:t>
                        </w:r>
                        <w:r>
                          <w:rPr>
                            <w:rFonts w:ascii="宋体" w:hAnsi="宋体" w:cs="宋体" w:eastAsia="宋体" w:hint="default"/>
                            <w:spacing w:val="-15"/>
                            <w:w w:val="90"/>
                            <w:sz w:val="15"/>
                            <w:szCs w:val="15"/>
                          </w:rPr>
                          <w:t> </w:t>
                        </w:r>
                        <w:r>
                          <w:rPr>
                            <w:rFonts w:ascii="宋体" w:hAnsi="宋体" w:cs="宋体" w:eastAsia="宋体" w:hint="default"/>
                            <w:w w:val="90"/>
                            <w:sz w:val="15"/>
                            <w:szCs w:val="15"/>
                          </w:rPr>
                          <w:t>提取盈余公积</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30"/>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15"/>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26"/>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29"/>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36"/>
                          <w:jc w:val="right"/>
                          <w:rPr>
                            <w:rFonts w:ascii="宋体" w:hAnsi="宋体" w:cs="宋体" w:eastAsia="宋体" w:hint="default"/>
                            <w:sz w:val="15"/>
                            <w:szCs w:val="15"/>
                          </w:rPr>
                        </w:pPr>
                        <w:r>
                          <w:rPr>
                            <w:rFonts w:ascii="宋体"/>
                            <w:w w:val="123"/>
                            <w:sz w:val="15"/>
                          </w:rPr>
                          <w:t>-</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0"/>
                            <w:szCs w:val="10"/>
                          </w:rPr>
                        </w:pPr>
                      </w:p>
                      <w:p>
                        <w:pPr>
                          <w:pStyle w:val="TableParagraph"/>
                          <w:spacing w:line="240" w:lineRule="auto"/>
                          <w:ind w:right="111"/>
                          <w:jc w:val="right"/>
                          <w:rPr>
                            <w:rFonts w:ascii="宋体" w:hAnsi="宋体" w:cs="宋体" w:eastAsia="宋体" w:hint="default"/>
                            <w:sz w:val="15"/>
                            <w:szCs w:val="15"/>
                          </w:rPr>
                        </w:pPr>
                        <w:r>
                          <w:rPr>
                            <w:rFonts w:ascii="宋体"/>
                            <w:w w:val="123"/>
                            <w:sz w:val="15"/>
                          </w:rPr>
                          <w:t>-</w:t>
                        </w:r>
                        <w:r>
                          <w:rPr>
                            <w:rFonts w:ascii="宋体"/>
                            <w:sz w:val="15"/>
                          </w:rPr>
                        </w:r>
                      </w:p>
                    </w:tc>
                  </w:tr>
                  <w:tr>
                    <w:trPr>
                      <w:trHeight w:val="263" w:hRule="exact"/>
                    </w:trPr>
                    <w:tc>
                      <w:tcPr>
                        <w:tcW w:w="2647" w:type="dxa"/>
                        <w:tcBorders>
                          <w:top w:val="nil" w:sz="6" w:space="0" w:color="auto"/>
                          <w:left w:val="nil" w:sz="6" w:space="0" w:color="auto"/>
                          <w:bottom w:val="nil" w:sz="6" w:space="0" w:color="auto"/>
                          <w:right w:val="nil" w:sz="6" w:space="0" w:color="auto"/>
                        </w:tcBorders>
                      </w:tcPr>
                      <w:p>
                        <w:pPr>
                          <w:pStyle w:val="TableParagraph"/>
                          <w:spacing w:line="196" w:lineRule="exact"/>
                          <w:ind w:left="566" w:right="0"/>
                          <w:jc w:val="left"/>
                          <w:rPr>
                            <w:rFonts w:ascii="宋体" w:hAnsi="宋体" w:cs="宋体" w:eastAsia="宋体" w:hint="default"/>
                            <w:sz w:val="15"/>
                            <w:szCs w:val="15"/>
                          </w:rPr>
                        </w:pPr>
                        <w:r>
                          <w:rPr>
                            <w:rFonts w:ascii="宋体" w:hAnsi="宋体" w:cs="宋体" w:eastAsia="宋体" w:hint="default"/>
                            <w:w w:val="90"/>
                            <w:sz w:val="15"/>
                            <w:szCs w:val="15"/>
                          </w:rPr>
                          <w:t>2.</w:t>
                        </w:r>
                        <w:r>
                          <w:rPr>
                            <w:rFonts w:ascii="宋体" w:hAnsi="宋体" w:cs="宋体" w:eastAsia="宋体" w:hint="default"/>
                            <w:spacing w:val="-15"/>
                            <w:w w:val="90"/>
                            <w:sz w:val="15"/>
                            <w:szCs w:val="15"/>
                          </w:rPr>
                          <w:t> </w:t>
                        </w:r>
                        <w:r>
                          <w:rPr>
                            <w:rFonts w:ascii="宋体" w:hAnsi="宋体" w:cs="宋体" w:eastAsia="宋体" w:hint="default"/>
                            <w:w w:val="90"/>
                            <w:sz w:val="15"/>
                            <w:szCs w:val="15"/>
                          </w:rPr>
                          <w:t>对股东的分配</w:t>
                        </w:r>
                        <w:r>
                          <w:rPr>
                            <w:rFonts w:ascii="宋体" w:hAnsi="宋体" w:cs="宋体" w:eastAsia="宋体" w:hint="default"/>
                            <w:sz w:val="15"/>
                            <w:szCs w:val="15"/>
                          </w:rPr>
                        </w:r>
                      </w:p>
                    </w:tc>
                    <w:tc>
                      <w:tcPr>
                        <w:tcW w:w="1193" w:type="dxa"/>
                        <w:tcBorders>
                          <w:top w:val="nil" w:sz="6" w:space="0" w:color="auto"/>
                          <w:left w:val="nil" w:sz="6" w:space="0" w:color="auto"/>
                          <w:bottom w:val="nil" w:sz="6" w:space="0" w:color="auto"/>
                          <w:right w:val="nil" w:sz="6" w:space="0" w:color="auto"/>
                        </w:tcBorders>
                      </w:tcPr>
                      <w:p>
                        <w:pPr>
                          <w:pStyle w:val="TableParagraph"/>
                          <w:spacing w:line="196" w:lineRule="exact"/>
                          <w:ind w:right="130"/>
                          <w:jc w:val="right"/>
                          <w:rPr>
                            <w:rFonts w:ascii="宋体" w:hAnsi="宋体" w:cs="宋体" w:eastAsia="宋体" w:hint="default"/>
                            <w:sz w:val="15"/>
                            <w:szCs w:val="15"/>
                          </w:rPr>
                        </w:pPr>
                        <w:r>
                          <w:rPr>
                            <w:rFonts w:ascii="宋体"/>
                            <w:w w:val="123"/>
                            <w:sz w:val="15"/>
                          </w:rPr>
                          <w:t>-</w:t>
                        </w:r>
                        <w:r>
                          <w:rPr>
                            <w:rFonts w:ascii="宋体"/>
                            <w:sz w:val="15"/>
                          </w:rPr>
                        </w:r>
                      </w:p>
                    </w:tc>
                    <w:tc>
                      <w:tcPr>
                        <w:tcW w:w="1199" w:type="dxa"/>
                        <w:tcBorders>
                          <w:top w:val="nil" w:sz="6" w:space="0" w:color="auto"/>
                          <w:left w:val="nil" w:sz="6" w:space="0" w:color="auto"/>
                          <w:bottom w:val="nil" w:sz="6" w:space="0" w:color="auto"/>
                          <w:right w:val="nil" w:sz="6" w:space="0" w:color="auto"/>
                        </w:tcBorders>
                      </w:tcPr>
                      <w:p>
                        <w:pPr>
                          <w:pStyle w:val="TableParagraph"/>
                          <w:spacing w:line="196" w:lineRule="exact"/>
                          <w:ind w:right="116"/>
                          <w:jc w:val="right"/>
                          <w:rPr>
                            <w:rFonts w:ascii="宋体" w:hAnsi="宋体" w:cs="宋体" w:eastAsia="宋体" w:hint="default"/>
                            <w:sz w:val="15"/>
                            <w:szCs w:val="15"/>
                          </w:rPr>
                        </w:pPr>
                        <w:r>
                          <w:rPr>
                            <w:rFonts w:ascii="宋体"/>
                            <w:w w:val="123"/>
                            <w:sz w:val="15"/>
                          </w:rPr>
                          <w:t>-</w:t>
                        </w:r>
                        <w:r>
                          <w:rPr>
                            <w:rFonts w:ascii="宋体"/>
                            <w:sz w:val="15"/>
                          </w:rPr>
                        </w:r>
                      </w:p>
                    </w:tc>
                    <w:tc>
                      <w:tcPr>
                        <w:tcW w:w="1167" w:type="dxa"/>
                        <w:tcBorders>
                          <w:top w:val="nil" w:sz="6" w:space="0" w:color="auto"/>
                          <w:left w:val="nil" w:sz="6" w:space="0" w:color="auto"/>
                          <w:bottom w:val="nil" w:sz="6" w:space="0" w:color="auto"/>
                          <w:right w:val="nil" w:sz="6" w:space="0" w:color="auto"/>
                        </w:tcBorders>
                      </w:tcPr>
                      <w:p>
                        <w:pPr>
                          <w:pStyle w:val="TableParagraph"/>
                          <w:spacing w:line="196" w:lineRule="exact"/>
                          <w:ind w:right="126"/>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nil" w:sz="6" w:space="0" w:color="auto"/>
                          <w:right w:val="nil" w:sz="6" w:space="0" w:color="auto"/>
                        </w:tcBorders>
                      </w:tcPr>
                      <w:p>
                        <w:pPr>
                          <w:pStyle w:val="TableParagraph"/>
                          <w:spacing w:line="196" w:lineRule="exact"/>
                          <w:ind w:right="129"/>
                          <w:jc w:val="right"/>
                          <w:rPr>
                            <w:rFonts w:ascii="宋体" w:hAnsi="宋体" w:cs="宋体" w:eastAsia="宋体" w:hint="default"/>
                            <w:sz w:val="15"/>
                            <w:szCs w:val="15"/>
                          </w:rPr>
                        </w:pPr>
                        <w:r>
                          <w:rPr>
                            <w:rFonts w:ascii="宋体"/>
                            <w:w w:val="123"/>
                            <w:sz w:val="15"/>
                          </w:rPr>
                          <w:t>-</w:t>
                        </w:r>
                        <w:r>
                          <w:rPr>
                            <w:rFonts w:ascii="宋体"/>
                            <w:sz w:val="15"/>
                          </w:rPr>
                        </w:r>
                      </w:p>
                    </w:tc>
                    <w:tc>
                      <w:tcPr>
                        <w:tcW w:w="1073" w:type="dxa"/>
                        <w:tcBorders>
                          <w:top w:val="nil" w:sz="6" w:space="0" w:color="auto"/>
                          <w:left w:val="nil" w:sz="6" w:space="0" w:color="auto"/>
                          <w:bottom w:val="nil" w:sz="6" w:space="0" w:color="auto"/>
                          <w:right w:val="nil" w:sz="6" w:space="0" w:color="auto"/>
                        </w:tcBorders>
                      </w:tcPr>
                      <w:p>
                        <w:pPr>
                          <w:pStyle w:val="TableParagraph"/>
                          <w:spacing w:line="196" w:lineRule="exact"/>
                          <w:ind w:right="136"/>
                          <w:jc w:val="right"/>
                          <w:rPr>
                            <w:rFonts w:ascii="宋体" w:hAnsi="宋体" w:cs="宋体" w:eastAsia="宋体" w:hint="default"/>
                            <w:sz w:val="15"/>
                            <w:szCs w:val="15"/>
                          </w:rPr>
                        </w:pPr>
                        <w:r>
                          <w:rPr>
                            <w:rFonts w:ascii="宋体"/>
                            <w:w w:val="123"/>
                            <w:sz w:val="15"/>
                          </w:rPr>
                          <w:t>-</w:t>
                        </w:r>
                        <w:r>
                          <w:rPr>
                            <w:rFonts w:ascii="宋体"/>
                            <w:sz w:val="15"/>
                          </w:rPr>
                        </w:r>
                      </w:p>
                    </w:tc>
                    <w:tc>
                      <w:tcPr>
                        <w:tcW w:w="1279" w:type="dxa"/>
                        <w:tcBorders>
                          <w:top w:val="nil" w:sz="6" w:space="0" w:color="auto"/>
                          <w:left w:val="nil" w:sz="6" w:space="0" w:color="auto"/>
                          <w:bottom w:val="nil" w:sz="6" w:space="0" w:color="auto"/>
                          <w:right w:val="nil" w:sz="6" w:space="0" w:color="auto"/>
                        </w:tcBorders>
                      </w:tcPr>
                      <w:p>
                        <w:pPr>
                          <w:pStyle w:val="TableParagraph"/>
                          <w:spacing w:line="196" w:lineRule="exact"/>
                          <w:ind w:right="111"/>
                          <w:jc w:val="right"/>
                          <w:rPr>
                            <w:rFonts w:ascii="宋体" w:hAnsi="宋体" w:cs="宋体" w:eastAsia="宋体" w:hint="default"/>
                            <w:sz w:val="15"/>
                            <w:szCs w:val="15"/>
                          </w:rPr>
                        </w:pPr>
                        <w:r>
                          <w:rPr>
                            <w:rFonts w:ascii="宋体"/>
                            <w:w w:val="123"/>
                            <w:sz w:val="15"/>
                          </w:rPr>
                          <w:t>-</w:t>
                        </w:r>
                        <w:r>
                          <w:rPr>
                            <w:rFonts w:ascii="宋体"/>
                            <w:sz w:val="15"/>
                          </w:rPr>
                        </w:r>
                      </w:p>
                    </w:tc>
                  </w:tr>
                  <w:tr>
                    <w:trPr>
                      <w:trHeight w:val="329" w:hRule="exact"/>
                    </w:trPr>
                    <w:tc>
                      <w:tcPr>
                        <w:tcW w:w="2647" w:type="dxa"/>
                        <w:tcBorders>
                          <w:top w:val="nil" w:sz="6" w:space="0" w:color="auto"/>
                          <w:left w:val="nil" w:sz="6" w:space="0" w:color="auto"/>
                          <w:bottom w:val="single" w:sz="16" w:space="0" w:color="9F8958"/>
                          <w:right w:val="nil" w:sz="6" w:space="0" w:color="auto"/>
                        </w:tcBorders>
                      </w:tcPr>
                      <w:p>
                        <w:pPr>
                          <w:pStyle w:val="TableParagraph"/>
                          <w:spacing w:line="196" w:lineRule="exact"/>
                          <w:ind w:left="112" w:right="0"/>
                          <w:jc w:val="left"/>
                          <w:rPr>
                            <w:rFonts w:ascii="宋体" w:hAnsi="宋体" w:cs="宋体" w:eastAsia="宋体" w:hint="default"/>
                            <w:sz w:val="15"/>
                            <w:szCs w:val="15"/>
                          </w:rPr>
                        </w:pPr>
                        <w:r>
                          <w:rPr>
                            <w:rFonts w:ascii="宋体" w:hAnsi="宋体" w:cs="宋体" w:eastAsia="宋体" w:hint="default"/>
                            <w:sz w:val="15"/>
                            <w:szCs w:val="15"/>
                          </w:rPr>
                          <w:t>2017</w:t>
                        </w:r>
                        <w:r>
                          <w:rPr>
                            <w:rFonts w:ascii="宋体" w:hAnsi="宋体" w:cs="宋体" w:eastAsia="宋体" w:hint="default"/>
                            <w:spacing w:val="-48"/>
                            <w:sz w:val="15"/>
                            <w:szCs w:val="15"/>
                          </w:rPr>
                          <w:t> </w:t>
                        </w:r>
                        <w:r>
                          <w:rPr>
                            <w:rFonts w:ascii="宋体" w:hAnsi="宋体" w:cs="宋体" w:eastAsia="宋体" w:hint="default"/>
                            <w:sz w:val="15"/>
                            <w:szCs w:val="15"/>
                          </w:rPr>
                          <w:t>年</w:t>
                        </w:r>
                        <w:r>
                          <w:rPr>
                            <w:rFonts w:ascii="宋体" w:hAnsi="宋体" w:cs="宋体" w:eastAsia="宋体" w:hint="default"/>
                            <w:spacing w:val="-48"/>
                            <w:sz w:val="15"/>
                            <w:szCs w:val="15"/>
                          </w:rPr>
                          <w:t> </w:t>
                        </w:r>
                        <w:r>
                          <w:rPr>
                            <w:rFonts w:ascii="宋体" w:hAnsi="宋体" w:cs="宋体" w:eastAsia="宋体" w:hint="default"/>
                            <w:sz w:val="15"/>
                            <w:szCs w:val="15"/>
                          </w:rPr>
                          <w:t>12</w:t>
                        </w:r>
                        <w:r>
                          <w:rPr>
                            <w:rFonts w:ascii="宋体" w:hAnsi="宋体" w:cs="宋体" w:eastAsia="宋体" w:hint="default"/>
                            <w:spacing w:val="-48"/>
                            <w:sz w:val="15"/>
                            <w:szCs w:val="15"/>
                          </w:rPr>
                          <w:t> </w:t>
                        </w:r>
                        <w:r>
                          <w:rPr>
                            <w:rFonts w:ascii="宋体" w:hAnsi="宋体" w:cs="宋体" w:eastAsia="宋体" w:hint="default"/>
                            <w:sz w:val="15"/>
                            <w:szCs w:val="15"/>
                          </w:rPr>
                          <w:t>月</w:t>
                        </w:r>
                        <w:r>
                          <w:rPr>
                            <w:rFonts w:ascii="宋体" w:hAnsi="宋体" w:cs="宋体" w:eastAsia="宋体" w:hint="default"/>
                            <w:spacing w:val="-48"/>
                            <w:sz w:val="15"/>
                            <w:szCs w:val="15"/>
                          </w:rPr>
                          <w:t> </w:t>
                        </w:r>
                        <w:r>
                          <w:rPr>
                            <w:rFonts w:ascii="宋体" w:hAnsi="宋体" w:cs="宋体" w:eastAsia="宋体" w:hint="default"/>
                            <w:sz w:val="15"/>
                            <w:szCs w:val="15"/>
                          </w:rPr>
                          <w:t>31</w:t>
                        </w:r>
                        <w:r>
                          <w:rPr>
                            <w:rFonts w:ascii="宋体" w:hAnsi="宋体" w:cs="宋体" w:eastAsia="宋体" w:hint="default"/>
                            <w:spacing w:val="-48"/>
                            <w:sz w:val="15"/>
                            <w:szCs w:val="15"/>
                          </w:rPr>
                          <w:t> </w:t>
                        </w:r>
                        <w:r>
                          <w:rPr>
                            <w:rFonts w:ascii="宋体" w:hAnsi="宋体" w:cs="宋体" w:eastAsia="宋体" w:hint="default"/>
                            <w:sz w:val="15"/>
                            <w:szCs w:val="15"/>
                          </w:rPr>
                          <w:t>日年末余额</w:t>
                        </w:r>
                      </w:p>
                    </w:tc>
                    <w:tc>
                      <w:tcPr>
                        <w:tcW w:w="1193" w:type="dxa"/>
                        <w:tcBorders>
                          <w:top w:val="nil" w:sz="6" w:space="0" w:color="auto"/>
                          <w:left w:val="nil" w:sz="6" w:space="0" w:color="auto"/>
                          <w:bottom w:val="single" w:sz="16" w:space="0" w:color="9F8958"/>
                          <w:right w:val="nil" w:sz="6" w:space="0" w:color="auto"/>
                        </w:tcBorders>
                      </w:tcPr>
                      <w:p>
                        <w:pPr>
                          <w:pStyle w:val="TableParagraph"/>
                          <w:spacing w:line="196" w:lineRule="exact"/>
                          <w:ind w:right="129"/>
                          <w:jc w:val="right"/>
                          <w:rPr>
                            <w:rFonts w:ascii="宋体" w:hAnsi="宋体" w:cs="宋体" w:eastAsia="宋体" w:hint="default"/>
                            <w:sz w:val="15"/>
                            <w:szCs w:val="15"/>
                          </w:rPr>
                        </w:pPr>
                        <w:r>
                          <w:rPr>
                            <w:rFonts w:ascii="宋体"/>
                            <w:w w:val="90"/>
                            <w:sz w:val="15"/>
                          </w:rPr>
                          <w:t>30,233,950,687</w:t>
                        </w:r>
                        <w:r>
                          <w:rPr>
                            <w:rFonts w:ascii="宋体"/>
                            <w:sz w:val="15"/>
                          </w:rPr>
                        </w:r>
                      </w:p>
                    </w:tc>
                    <w:tc>
                      <w:tcPr>
                        <w:tcW w:w="1199" w:type="dxa"/>
                        <w:tcBorders>
                          <w:top w:val="nil" w:sz="6" w:space="0" w:color="auto"/>
                          <w:left w:val="nil" w:sz="6" w:space="0" w:color="auto"/>
                          <w:bottom w:val="single" w:sz="16" w:space="0" w:color="9F8958"/>
                          <w:right w:val="nil" w:sz="6" w:space="0" w:color="auto"/>
                        </w:tcBorders>
                      </w:tcPr>
                      <w:p>
                        <w:pPr>
                          <w:pStyle w:val="TableParagraph"/>
                          <w:spacing w:line="196" w:lineRule="exact"/>
                          <w:ind w:right="115"/>
                          <w:jc w:val="right"/>
                          <w:rPr>
                            <w:rFonts w:ascii="宋体" w:hAnsi="宋体" w:cs="宋体" w:eastAsia="宋体" w:hint="default"/>
                            <w:sz w:val="15"/>
                            <w:szCs w:val="15"/>
                          </w:rPr>
                        </w:pPr>
                        <w:r>
                          <w:rPr>
                            <w:rFonts w:ascii="宋体"/>
                            <w:w w:val="90"/>
                            <w:sz w:val="15"/>
                          </w:rPr>
                          <w:t>69,619,818,503</w:t>
                        </w:r>
                        <w:r>
                          <w:rPr>
                            <w:rFonts w:ascii="宋体"/>
                            <w:sz w:val="15"/>
                          </w:rPr>
                        </w:r>
                      </w:p>
                    </w:tc>
                    <w:tc>
                      <w:tcPr>
                        <w:tcW w:w="1167" w:type="dxa"/>
                        <w:tcBorders>
                          <w:top w:val="nil" w:sz="6" w:space="0" w:color="auto"/>
                          <w:left w:val="nil" w:sz="6" w:space="0" w:color="auto"/>
                          <w:bottom w:val="single" w:sz="16" w:space="0" w:color="9F8958"/>
                          <w:right w:val="nil" w:sz="6" w:space="0" w:color="auto"/>
                        </w:tcBorders>
                      </w:tcPr>
                      <w:p>
                        <w:pPr>
                          <w:pStyle w:val="TableParagraph"/>
                          <w:spacing w:line="196" w:lineRule="exact"/>
                          <w:ind w:right="126"/>
                          <w:jc w:val="right"/>
                          <w:rPr>
                            <w:rFonts w:ascii="宋体" w:hAnsi="宋体" w:cs="宋体" w:eastAsia="宋体" w:hint="default"/>
                            <w:sz w:val="15"/>
                            <w:szCs w:val="15"/>
                          </w:rPr>
                        </w:pPr>
                        <w:r>
                          <w:rPr>
                            <w:rFonts w:ascii="宋体"/>
                            <w:w w:val="123"/>
                            <w:sz w:val="15"/>
                          </w:rPr>
                          <w:t>-</w:t>
                        </w:r>
                        <w:r>
                          <w:rPr>
                            <w:rFonts w:ascii="宋体"/>
                            <w:sz w:val="15"/>
                          </w:rPr>
                        </w:r>
                      </w:p>
                    </w:tc>
                    <w:tc>
                      <w:tcPr>
                        <w:tcW w:w="1103" w:type="dxa"/>
                        <w:tcBorders>
                          <w:top w:val="nil" w:sz="6" w:space="0" w:color="auto"/>
                          <w:left w:val="nil" w:sz="6" w:space="0" w:color="auto"/>
                          <w:bottom w:val="single" w:sz="16" w:space="0" w:color="9F8958"/>
                          <w:right w:val="nil" w:sz="6" w:space="0" w:color="auto"/>
                        </w:tcBorders>
                      </w:tcPr>
                      <w:p>
                        <w:pPr>
                          <w:pStyle w:val="TableParagraph"/>
                          <w:spacing w:line="196" w:lineRule="exact"/>
                          <w:ind w:right="131"/>
                          <w:jc w:val="right"/>
                          <w:rPr>
                            <w:rFonts w:ascii="宋体" w:hAnsi="宋体" w:cs="宋体" w:eastAsia="宋体" w:hint="default"/>
                            <w:sz w:val="15"/>
                            <w:szCs w:val="15"/>
                          </w:rPr>
                        </w:pPr>
                        <w:r>
                          <w:rPr>
                            <w:rFonts w:ascii="宋体"/>
                            <w:spacing w:val="-4"/>
                            <w:w w:val="90"/>
                            <w:sz w:val="15"/>
                          </w:rPr>
                          <w:t>1,338,484,194</w:t>
                        </w:r>
                        <w:r>
                          <w:rPr>
                            <w:rFonts w:ascii="宋体"/>
                            <w:sz w:val="15"/>
                          </w:rPr>
                        </w:r>
                      </w:p>
                    </w:tc>
                    <w:tc>
                      <w:tcPr>
                        <w:tcW w:w="1073" w:type="dxa"/>
                        <w:tcBorders>
                          <w:top w:val="nil" w:sz="6" w:space="0" w:color="auto"/>
                          <w:left w:val="nil" w:sz="6" w:space="0" w:color="auto"/>
                          <w:bottom w:val="single" w:sz="16" w:space="0" w:color="9F8958"/>
                          <w:right w:val="nil" w:sz="6" w:space="0" w:color="auto"/>
                        </w:tcBorders>
                      </w:tcPr>
                      <w:p>
                        <w:pPr>
                          <w:pStyle w:val="TableParagraph"/>
                          <w:spacing w:line="196" w:lineRule="exact"/>
                          <w:ind w:right="136"/>
                          <w:jc w:val="right"/>
                          <w:rPr>
                            <w:rFonts w:ascii="宋体" w:hAnsi="宋体" w:cs="宋体" w:eastAsia="宋体" w:hint="default"/>
                            <w:sz w:val="15"/>
                            <w:szCs w:val="15"/>
                          </w:rPr>
                        </w:pPr>
                        <w:r>
                          <w:rPr>
                            <w:rFonts w:ascii="宋体"/>
                            <w:w w:val="85"/>
                            <w:sz w:val="15"/>
                          </w:rPr>
                          <w:t>(2,813,945)</w:t>
                        </w:r>
                        <w:r>
                          <w:rPr>
                            <w:rFonts w:ascii="宋体"/>
                            <w:sz w:val="15"/>
                          </w:rPr>
                        </w:r>
                      </w:p>
                    </w:tc>
                    <w:tc>
                      <w:tcPr>
                        <w:tcW w:w="1279" w:type="dxa"/>
                        <w:tcBorders>
                          <w:top w:val="nil" w:sz="6" w:space="0" w:color="auto"/>
                          <w:left w:val="nil" w:sz="6" w:space="0" w:color="auto"/>
                          <w:bottom w:val="single" w:sz="16" w:space="0" w:color="9F8958"/>
                          <w:right w:val="nil" w:sz="6" w:space="0" w:color="auto"/>
                        </w:tcBorders>
                      </w:tcPr>
                      <w:p>
                        <w:pPr>
                          <w:pStyle w:val="TableParagraph"/>
                          <w:spacing w:line="196" w:lineRule="exact"/>
                          <w:ind w:right="111"/>
                          <w:jc w:val="right"/>
                          <w:rPr>
                            <w:rFonts w:ascii="宋体" w:hAnsi="宋体" w:cs="宋体" w:eastAsia="宋体" w:hint="default"/>
                            <w:sz w:val="15"/>
                            <w:szCs w:val="15"/>
                          </w:rPr>
                        </w:pPr>
                        <w:r>
                          <w:rPr>
                            <w:rFonts w:ascii="宋体"/>
                            <w:w w:val="90"/>
                            <w:sz w:val="15"/>
                          </w:rPr>
                          <w:t>101,189,439,439</w:t>
                        </w:r>
                        <w:r>
                          <w:rPr>
                            <w:rFonts w:ascii="宋体"/>
                            <w:sz w:val="15"/>
                          </w:rPr>
                        </w:r>
                      </w:p>
                    </w:tc>
                  </w:tr>
                </w:tbl>
                <w:p>
                  <w:pPr/>
                </w:p>
              </w:txbxContent>
            </v:textbox>
            <w10:wrap type="none"/>
          </v:shape>
        </w:pict>
      </w:r>
      <w:r>
        <w:rPr>
          <w:rFonts w:ascii="宋体" w:hAnsi="宋体" w:cs="宋体" w:eastAsia="宋体" w:hint="default"/>
          <w:sz w:val="15"/>
          <w:szCs w:val="15"/>
        </w:rPr>
        <w:t>（二）股东投入资本</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7"/>
          <w:szCs w:val="27"/>
        </w:rPr>
      </w:pPr>
    </w:p>
    <w:p>
      <w:pPr>
        <w:spacing w:before="42"/>
        <w:ind w:left="652" w:right="125" w:firstLine="0"/>
        <w:jc w:val="left"/>
        <w:rPr>
          <w:rFonts w:ascii="宋体" w:hAnsi="宋体" w:cs="宋体" w:eastAsia="宋体" w:hint="default"/>
          <w:sz w:val="15"/>
          <w:szCs w:val="15"/>
        </w:rPr>
      </w:pPr>
      <w:r>
        <w:rPr>
          <w:rFonts w:ascii="宋体" w:hAnsi="宋体" w:cs="宋体" w:eastAsia="宋体" w:hint="default"/>
          <w:sz w:val="15"/>
          <w:szCs w:val="15"/>
        </w:rPr>
        <w:t>权益的金额</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9"/>
          <w:szCs w:val="29"/>
        </w:rPr>
      </w:pPr>
    </w:p>
    <w:p>
      <w:pPr>
        <w:spacing w:before="42"/>
        <w:ind w:left="226" w:right="125" w:firstLine="0"/>
        <w:jc w:val="left"/>
        <w:rPr>
          <w:rFonts w:ascii="宋体" w:hAnsi="宋体" w:cs="宋体" w:eastAsia="宋体" w:hint="default"/>
          <w:sz w:val="15"/>
          <w:szCs w:val="15"/>
        </w:rPr>
      </w:pPr>
      <w:r>
        <w:rPr>
          <w:rFonts w:ascii="宋体" w:hAnsi="宋体" w:cs="宋体" w:eastAsia="宋体" w:hint="default"/>
          <w:sz w:val="15"/>
          <w:szCs w:val="15"/>
        </w:rPr>
        <w:t>（二）股东投入资本</w:t>
      </w:r>
    </w:p>
    <w:p>
      <w:pPr>
        <w:spacing w:line="240" w:lineRule="auto" w:before="0"/>
        <w:rPr>
          <w:rFonts w:ascii="宋体" w:hAnsi="宋体" w:cs="宋体" w:eastAsia="宋体" w:hint="default"/>
          <w:sz w:val="22"/>
          <w:szCs w:val="22"/>
        </w:rPr>
      </w:pPr>
    </w:p>
    <w:p>
      <w:pPr>
        <w:spacing w:before="42"/>
        <w:ind w:left="226" w:right="125" w:firstLine="0"/>
        <w:jc w:val="left"/>
        <w:rPr>
          <w:rFonts w:ascii="宋体" w:hAnsi="宋体" w:cs="宋体" w:eastAsia="宋体" w:hint="default"/>
          <w:sz w:val="15"/>
          <w:szCs w:val="15"/>
        </w:rPr>
      </w:pPr>
      <w:r>
        <w:rPr>
          <w:rFonts w:ascii="宋体" w:hAnsi="宋体" w:cs="宋体" w:eastAsia="宋体" w:hint="default"/>
          <w:sz w:val="15"/>
          <w:szCs w:val="15"/>
        </w:rPr>
        <w:t>（三）利润分配</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8"/>
          <w:szCs w:val="18"/>
        </w:rPr>
      </w:pPr>
    </w:p>
    <w:p>
      <w:pPr>
        <w:pStyle w:val="BodyText"/>
        <w:spacing w:line="240" w:lineRule="auto" w:before="31"/>
        <w:ind w:left="113" w:right="125"/>
        <w:jc w:val="left"/>
      </w:pPr>
      <w:r>
        <w:rPr/>
        <w:t>后附财务报表附注为财务报表的组成部分。</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17"/>
          <w:szCs w:val="17"/>
        </w:rPr>
      </w:pPr>
    </w:p>
    <w:p>
      <w:pPr>
        <w:pStyle w:val="BodyText"/>
        <w:tabs>
          <w:tab w:pos="3021" w:val="left" w:leader="none"/>
          <w:tab w:pos="6621" w:val="left" w:leader="none"/>
        </w:tabs>
        <w:spacing w:line="240" w:lineRule="auto"/>
        <w:ind w:left="113" w:right="125"/>
        <w:jc w:val="left"/>
      </w:pPr>
      <w:r>
        <w:rPr/>
        <w:t>董事长：王晓初</w:t>
        <w:tab/>
        <w:t>财务负责人：姜爱华</w:t>
        <w:tab/>
        <w:t>财务部总经理：王芳</w:t>
      </w:r>
    </w:p>
    <w:p>
      <w:pPr>
        <w:spacing w:after="0" w:line="240" w:lineRule="auto"/>
        <w:jc w:val="left"/>
        <w:sectPr>
          <w:headerReference w:type="even" r:id="rId267"/>
          <w:footerReference w:type="even" r:id="rId268"/>
          <w:footerReference w:type="default" r:id="rId269"/>
          <w:pgSz w:w="11910" w:h="16160"/>
          <w:pgMar w:header="0" w:footer="321" w:top="1100" w:bottom="520" w:left="680" w:right="1340"/>
        </w:sectPr>
      </w:pPr>
    </w:p>
    <w:p>
      <w:pPr>
        <w:pStyle w:val="Heading3"/>
        <w:spacing w:line="487" w:lineRule="exact"/>
        <w:ind w:left="114" w:right="95"/>
        <w:jc w:val="left"/>
        <w:rPr>
          <w:rFonts w:ascii="宋体" w:hAnsi="宋体" w:cs="宋体" w:eastAsia="宋体" w:hint="default"/>
        </w:rPr>
      </w:pPr>
      <w:r>
        <w:rPr>
          <w:rFonts w:ascii="宋体" w:hAnsi="宋体" w:cs="宋体" w:eastAsia="宋体" w:hint="default"/>
          <w:color w:val="9F8958"/>
        </w:rPr>
        <w:t>财务报表附注</w:t>
      </w:r>
      <w:r>
        <w:rPr>
          <w:rFonts w:ascii="宋体" w:hAnsi="宋体" w:cs="宋体" w:eastAsia="宋体" w:hint="default"/>
        </w:rPr>
      </w:r>
    </w:p>
    <w:p>
      <w:pPr>
        <w:spacing w:line="201" w:lineRule="exact" w:before="103"/>
        <w:ind w:left="114" w:right="95" w:firstLine="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p>
      <w:pPr>
        <w:spacing w:line="201" w:lineRule="exact" w:before="0"/>
        <w:ind w:left="114" w:right="95"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16"/>
          <w:szCs w:val="16"/>
        </w:rPr>
      </w:pPr>
    </w:p>
    <w:p>
      <w:pPr>
        <w:spacing w:line="240" w:lineRule="auto" w:before="0"/>
        <w:rPr>
          <w:rFonts w:ascii="宋体" w:hAnsi="宋体" w:cs="宋体" w:eastAsia="宋体" w:hint="default"/>
          <w:sz w:val="16"/>
          <w:szCs w:val="16"/>
        </w:rPr>
      </w:pPr>
    </w:p>
    <w:p>
      <w:pPr>
        <w:spacing w:line="240" w:lineRule="auto" w:before="11"/>
        <w:rPr>
          <w:rFonts w:ascii="宋体" w:hAnsi="宋体" w:cs="宋体" w:eastAsia="宋体" w:hint="default"/>
          <w:sz w:val="14"/>
          <w:szCs w:val="14"/>
        </w:rPr>
      </w:pPr>
    </w:p>
    <w:p>
      <w:pPr>
        <w:pStyle w:val="BodyText"/>
        <w:spacing w:line="240" w:lineRule="auto"/>
        <w:ind w:left="114" w:right="95"/>
        <w:jc w:val="left"/>
        <w:rPr>
          <w:rFonts w:ascii="宋体" w:hAnsi="宋体" w:cs="宋体" w:eastAsia="宋体" w:hint="default"/>
        </w:rPr>
      </w:pPr>
      <w:r>
        <w:rPr>
          <w:rFonts w:ascii="宋体" w:hAnsi="宋体" w:cs="宋体" w:eastAsia="宋体" w:hint="default"/>
          <w:color w:val="9F8958"/>
        </w:rPr>
        <w:t>一、公司简介</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95"/>
        <w:jc w:val="left"/>
      </w:pPr>
      <w:r>
        <w:rPr/>
        <w:t>1、</w:t>
      </w:r>
      <w:r>
        <w:rPr>
          <w:spacing w:val="-32"/>
        </w:rPr>
        <w:t> </w:t>
      </w:r>
      <w:r>
        <w:rPr/>
        <w:t>中国联合网络通信股份有限公司简介</w:t>
      </w:r>
    </w:p>
    <w:p>
      <w:pPr>
        <w:spacing w:line="240" w:lineRule="auto" w:before="12"/>
        <w:rPr>
          <w:rFonts w:ascii="宋体" w:hAnsi="宋体" w:cs="宋体" w:eastAsia="宋体" w:hint="default"/>
          <w:sz w:val="17"/>
          <w:szCs w:val="17"/>
        </w:rPr>
      </w:pPr>
    </w:p>
    <w:p>
      <w:pPr>
        <w:pStyle w:val="BodyText"/>
        <w:spacing w:line="285" w:lineRule="auto"/>
        <w:ind w:right="107"/>
        <w:jc w:val="both"/>
      </w:pPr>
      <w:r>
        <w:rPr/>
        <w:t>中国联合网络通信股份有限公司（“本公司”或“本集团母公司”）是根据国务院批准的重组方案，由中国联合网络</w:t>
      </w:r>
      <w:r>
        <w:rPr>
          <w:spacing w:val="-1"/>
        </w:rPr>
        <w:t> </w:t>
      </w:r>
      <w:r>
        <w:rPr>
          <w:spacing w:val="-1"/>
        </w:rPr>
      </w:r>
      <w:r>
        <w:rPr>
          <w:spacing w:val="1"/>
          <w:w w:val="100"/>
        </w:rPr>
        <w:t>通信集团有限公司（“联通集团”）以其于中国联通（BVI）有限公司（“联通</w:t>
      </w:r>
      <w:r>
        <w:rPr>
          <w:spacing w:val="-45"/>
          <w:w w:val="100"/>
        </w:rPr>
        <w:t> </w:t>
      </w:r>
      <w:r>
        <w:rPr>
          <w:w w:val="103"/>
        </w:rPr>
        <w:t>BVI</w:t>
      </w:r>
      <w:r>
        <w:rPr>
          <w:spacing w:val="-47"/>
          <w:w w:val="103"/>
        </w:rPr>
        <w:t> </w:t>
      </w:r>
      <w:r>
        <w:rPr>
          <w:spacing w:val="1"/>
        </w:rPr>
        <w:t>公司”）的</w:t>
      </w:r>
      <w:r>
        <w:rPr>
          <w:spacing w:val="-44"/>
        </w:rPr>
        <w:t> </w:t>
      </w:r>
      <w:r>
        <w:rPr>
          <w:spacing w:val="-1"/>
          <w:w w:val="140"/>
        </w:rPr>
        <w:t>51%</w:t>
      </w:r>
      <w:r>
        <w:rPr>
          <w:spacing w:val="-81"/>
          <w:w w:val="140"/>
        </w:rPr>
        <w:t> </w:t>
      </w:r>
      <w:r>
        <w:rPr>
          <w:spacing w:val="2"/>
        </w:rPr>
        <w:t>股权投资所对应</w:t>
      </w:r>
      <w:r>
        <w:rPr>
          <w:spacing w:val="2"/>
        </w:rPr>
        <w:t> 的经评估的净资产出资，并联合其他四家发起单位以现金出资于</w:t>
      </w:r>
      <w:r>
        <w:rPr>
          <w:spacing w:val="-29"/>
        </w:rPr>
        <w:t> </w:t>
      </w:r>
      <w:r>
        <w:rPr/>
        <w:t>2001</w:t>
      </w:r>
      <w:r>
        <w:rPr>
          <w:spacing w:val="-29"/>
        </w:rPr>
        <w:t> </w:t>
      </w:r>
      <w:r>
        <w:rPr/>
        <w:t>年</w:t>
      </w:r>
      <w:r>
        <w:rPr>
          <w:spacing w:val="-29"/>
        </w:rPr>
        <w:t> </w:t>
      </w:r>
      <w:r>
        <w:rPr/>
        <w:t>12</w:t>
      </w:r>
      <w:r>
        <w:rPr>
          <w:spacing w:val="-29"/>
        </w:rPr>
        <w:t> </w:t>
      </w:r>
      <w:r>
        <w:rPr/>
        <w:t>月</w:t>
      </w:r>
      <w:r>
        <w:rPr>
          <w:spacing w:val="-29"/>
        </w:rPr>
        <w:t> </w:t>
      </w:r>
      <w:r>
        <w:rPr/>
        <w:t>31</w:t>
      </w:r>
      <w:r>
        <w:rPr>
          <w:spacing w:val="-29"/>
        </w:rPr>
        <w:t> </w:t>
      </w:r>
      <w:r>
        <w:rPr>
          <w:spacing w:val="2"/>
        </w:rPr>
        <w:t>日在中华人民共和国（“中国”）</w:t>
      </w:r>
    </w:p>
    <w:p>
      <w:pPr>
        <w:pStyle w:val="BodyText"/>
        <w:spacing w:line="285" w:lineRule="auto" w:before="10"/>
        <w:ind w:right="105"/>
        <w:jc w:val="both"/>
      </w:pPr>
      <w:r>
        <w:rPr>
          <w:spacing w:val="2"/>
        </w:rPr>
        <w:t>上海成立的股份有限公司，经批准的经营范围为从事国（境）内外电信行业的投资，于</w:t>
      </w:r>
      <w:r>
        <w:rPr>
          <w:spacing w:val="-27"/>
        </w:rPr>
        <w:t> </w:t>
      </w:r>
      <w:r>
        <w:rPr/>
        <w:t>2018</w:t>
      </w:r>
      <w:r>
        <w:rPr>
          <w:spacing w:val="-27"/>
        </w:rPr>
        <w:t> </w:t>
      </w:r>
      <w:r>
        <w:rPr>
          <w:spacing w:val="3"/>
        </w:rPr>
        <w:t>年本公司注册地址由上</w:t>
      </w:r>
      <w:r>
        <w:rPr>
          <w:spacing w:val="-68"/>
        </w:rPr>
        <w:t> </w:t>
      </w:r>
      <w:r>
        <w:rPr>
          <w:spacing w:val="-68"/>
        </w:rPr>
      </w:r>
      <w:r>
        <w:rPr>
          <w:w w:val="100"/>
        </w:rPr>
        <w:t>海变更为北京。本公司目前只直接持有对中国联通（BVI）有限公司（“联通</w:t>
      </w:r>
      <w:r>
        <w:rPr>
          <w:spacing w:val="-49"/>
          <w:w w:val="100"/>
        </w:rPr>
        <w:t> </w:t>
      </w:r>
      <w:r>
        <w:rPr>
          <w:w w:val="103"/>
        </w:rPr>
        <w:t>BVI</w:t>
      </w:r>
      <w:r>
        <w:rPr>
          <w:spacing w:val="-52"/>
          <w:w w:val="103"/>
        </w:rPr>
        <w:t> </w:t>
      </w:r>
      <w:r>
        <w:rPr/>
        <w:t>公司”）的股权投资。本公司通过联</w:t>
      </w:r>
      <w:r>
        <w:rPr/>
        <w:t> 通</w:t>
      </w:r>
      <w:r>
        <w:rPr>
          <w:spacing w:val="-32"/>
        </w:rPr>
        <w:t> </w:t>
      </w:r>
      <w:r>
        <w:rPr>
          <w:w w:val="103"/>
        </w:rPr>
        <w:t>BVI</w:t>
      </w:r>
      <w:r>
        <w:rPr>
          <w:spacing w:val="-35"/>
          <w:w w:val="103"/>
        </w:rPr>
        <w:t> </w:t>
      </w:r>
      <w:r>
        <w:rPr>
          <w:spacing w:val="1"/>
        </w:rPr>
        <w:t>公司及其子公司中国联合网络通信（香港）股份有限公司（“联通红筹公司”）控股中国联合网络通信有限公</w:t>
      </w:r>
      <w:r>
        <w:rPr>
          <w:spacing w:val="-80"/>
        </w:rPr>
        <w:t> </w:t>
      </w:r>
      <w:r>
        <w:rPr>
          <w:spacing w:val="-80"/>
        </w:rPr>
      </w:r>
      <w:r>
        <w:rPr/>
        <w:t>司（“联通运营公司”），联通运营公司是一家在中国境内提供综合电信服务的大型电信公司，其主营业务为在中国 </w:t>
      </w:r>
      <w:r>
        <w:rPr/>
        <w:t>境内提供语音通话、增值服务、宽带及移动数据服务、数据及其他互联网应用、电路及网元服务等。</w:t>
      </w:r>
    </w:p>
    <w:p>
      <w:pPr>
        <w:spacing w:line="240" w:lineRule="auto" w:before="10"/>
        <w:rPr>
          <w:rFonts w:ascii="宋体" w:hAnsi="宋体" w:cs="宋体" w:eastAsia="宋体" w:hint="default"/>
          <w:sz w:val="13"/>
          <w:szCs w:val="13"/>
        </w:rPr>
      </w:pPr>
    </w:p>
    <w:p>
      <w:pPr>
        <w:pStyle w:val="BodyText"/>
        <w:spacing w:line="458" w:lineRule="auto"/>
        <w:ind w:right="3451"/>
        <w:jc w:val="left"/>
      </w:pPr>
      <w:r>
        <w:rPr/>
        <w:t>本公司的母公司及最终控股公司为联通集团。 于下文中本公司及本公司之子公司（详情请参见附注七）统称“本集团”。</w:t>
      </w:r>
    </w:p>
    <w:p>
      <w:pPr>
        <w:pStyle w:val="BodyText"/>
        <w:spacing w:line="240" w:lineRule="auto" w:before="50"/>
        <w:ind w:left="114" w:right="95"/>
        <w:jc w:val="left"/>
      </w:pPr>
      <w:r>
        <w:rPr/>
        <w:t>2、</w:t>
      </w:r>
      <w:r>
        <w:rPr>
          <w:spacing w:val="-16"/>
        </w:rPr>
        <w:t> </w:t>
      </w:r>
      <w:r>
        <w:rPr/>
        <w:t>本财务报表由本公司董事会于</w:t>
      </w:r>
      <w:r>
        <w:rPr>
          <w:spacing w:val="-35"/>
        </w:rPr>
        <w:t> </w:t>
      </w:r>
      <w:r>
        <w:rPr/>
        <w:t>2019</w:t>
      </w:r>
      <w:r>
        <w:rPr>
          <w:spacing w:val="-36"/>
        </w:rPr>
        <w:t> </w:t>
      </w:r>
      <w:r>
        <w:rPr/>
        <w:t>年</w:t>
      </w:r>
      <w:r>
        <w:rPr>
          <w:spacing w:val="-35"/>
        </w:rPr>
        <w:t> </w:t>
      </w:r>
      <w:r>
        <w:rPr/>
        <w:t>3</w:t>
      </w:r>
      <w:r>
        <w:rPr>
          <w:spacing w:val="-36"/>
        </w:rPr>
        <w:t> </w:t>
      </w:r>
      <w:r>
        <w:rPr/>
        <w:t>月</w:t>
      </w:r>
      <w:r>
        <w:rPr>
          <w:spacing w:val="-35"/>
        </w:rPr>
        <w:t> </w:t>
      </w:r>
      <w:r>
        <w:rPr/>
        <w:t>13</w:t>
      </w:r>
      <w:r>
        <w:rPr>
          <w:spacing w:val="-36"/>
        </w:rPr>
        <w:t> </w:t>
      </w:r>
      <w:r>
        <w:rPr/>
        <w:t>日批准报出。</w:t>
      </w:r>
    </w:p>
    <w:p>
      <w:pPr>
        <w:spacing w:after="0" w:line="240" w:lineRule="auto"/>
        <w:jc w:val="left"/>
        <w:sectPr>
          <w:headerReference w:type="default" r:id="rId270"/>
          <w:pgSz w:w="11910" w:h="16160"/>
          <w:pgMar w:header="0" w:footer="298" w:top="110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二、财务报表的编制基础</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58" w:lineRule="auto"/>
        <w:ind w:left="113" w:right="6232" w:firstLine="340"/>
        <w:jc w:val="left"/>
      </w:pPr>
      <w:r>
        <w:rPr/>
        <w:t>本公司以持续经营为基础编制财务报表。 1、</w:t>
      </w:r>
      <w:r>
        <w:rPr>
          <w:spacing w:val="-21"/>
        </w:rPr>
        <w:t> </w:t>
      </w:r>
      <w:r>
        <w:rPr/>
        <w:t>合并报表</w:t>
      </w:r>
    </w:p>
    <w:p>
      <w:pPr>
        <w:pStyle w:val="BodyText"/>
        <w:spacing w:line="285" w:lineRule="auto" w:before="71"/>
        <w:ind w:left="453" w:right="185"/>
        <w:jc w:val="both"/>
      </w:pPr>
      <w:r>
        <w:rPr/>
        <w:t>于</w:t>
      </w:r>
      <w:r>
        <w:rPr>
          <w:spacing w:val="-31"/>
        </w:rPr>
        <w:t> </w:t>
      </w:r>
      <w:r>
        <w:rPr/>
        <w:t>2008</w:t>
      </w:r>
      <w:r>
        <w:rPr>
          <w:spacing w:val="-31"/>
        </w:rPr>
        <w:t> </w:t>
      </w:r>
      <w:r>
        <w:rPr/>
        <w:t>年</w:t>
      </w:r>
      <w:r>
        <w:rPr>
          <w:spacing w:val="-31"/>
        </w:rPr>
        <w:t> </w:t>
      </w:r>
      <w:r>
        <w:rPr/>
        <w:t>10</w:t>
      </w:r>
      <w:r>
        <w:rPr>
          <w:spacing w:val="-31"/>
        </w:rPr>
        <w:t> </w:t>
      </w:r>
      <w:r>
        <w:rPr/>
        <w:t>月</w:t>
      </w:r>
      <w:r>
        <w:rPr>
          <w:spacing w:val="-31"/>
        </w:rPr>
        <w:t> </w:t>
      </w:r>
      <w:r>
        <w:rPr/>
        <w:t>15</w:t>
      </w:r>
      <w:r>
        <w:rPr>
          <w:spacing w:val="-31"/>
        </w:rPr>
        <w:t> </w:t>
      </w:r>
      <w:r>
        <w:rPr>
          <w:spacing w:val="2"/>
        </w:rPr>
        <w:t>日，联通红筹公司与中国网通集团（香港）有限公司（“网通红筹公司”）以协议安排通过换股</w:t>
      </w:r>
      <w:r>
        <w:rPr>
          <w:spacing w:val="-78"/>
        </w:rPr>
        <w:t> </w:t>
      </w:r>
      <w:r>
        <w:rPr>
          <w:spacing w:val="-78"/>
        </w:rPr>
      </w:r>
      <w:r>
        <w:rPr>
          <w:spacing w:val="5"/>
        </w:rPr>
        <w:t>方式完成了两家公司的合并。交易完成后，本公司所属子公司联通</w:t>
      </w:r>
      <w:r>
        <w:rPr>
          <w:spacing w:val="-40"/>
        </w:rPr>
        <w:t> </w:t>
      </w:r>
      <w:r>
        <w:rPr>
          <w:w w:val="103"/>
        </w:rPr>
        <w:t>BVI</w:t>
      </w:r>
      <w:r>
        <w:rPr>
          <w:spacing w:val="-43"/>
          <w:w w:val="103"/>
        </w:rPr>
        <w:t> </w:t>
      </w:r>
      <w:r>
        <w:rPr>
          <w:spacing w:val="6"/>
        </w:rPr>
        <w:t>公司对联通红筹公司的持股比例由合并前的</w:t>
      </w:r>
      <w:r>
        <w:rPr>
          <w:spacing w:val="-88"/>
        </w:rPr>
        <w:t> </w:t>
      </w:r>
      <w:r>
        <w:rPr>
          <w:spacing w:val="-88"/>
        </w:rPr>
      </w:r>
      <w:r>
        <w:rPr/>
        <w:t>71.17%（于</w:t>
      </w:r>
      <w:r>
        <w:rPr>
          <w:spacing w:val="-11"/>
        </w:rPr>
        <w:t> </w:t>
      </w:r>
      <w:r>
        <w:rPr/>
        <w:t>2008</w:t>
      </w:r>
      <w:r>
        <w:rPr>
          <w:spacing w:val="-11"/>
        </w:rPr>
        <w:t> </w:t>
      </w:r>
      <w:r>
        <w:rPr/>
        <w:t>年</w:t>
      </w:r>
      <w:r>
        <w:rPr>
          <w:spacing w:val="-10"/>
        </w:rPr>
        <w:t> </w:t>
      </w:r>
      <w:r>
        <w:rPr/>
        <w:t>9</w:t>
      </w:r>
      <w:r>
        <w:rPr>
          <w:spacing w:val="-11"/>
        </w:rPr>
        <w:t> </w:t>
      </w:r>
      <w:r>
        <w:rPr/>
        <w:t>月</w:t>
      </w:r>
      <w:r>
        <w:rPr>
          <w:spacing w:val="-10"/>
        </w:rPr>
        <w:t> </w:t>
      </w:r>
      <w:r>
        <w:rPr/>
        <w:t>30</w:t>
      </w:r>
      <w:r>
        <w:rPr>
          <w:spacing w:val="-11"/>
        </w:rPr>
        <w:t> </w:t>
      </w:r>
      <w:r>
        <w:rPr/>
        <w:t>日）下降为合并后的</w:t>
      </w:r>
      <w:r>
        <w:rPr>
          <w:spacing w:val="-10"/>
        </w:rPr>
        <w:t> </w:t>
      </w:r>
      <w:r>
        <w:rPr/>
        <w:t>40.92%。</w:t>
      </w:r>
    </w:p>
    <w:p>
      <w:pPr>
        <w:spacing w:line="240" w:lineRule="auto" w:before="10"/>
        <w:rPr>
          <w:rFonts w:ascii="宋体" w:hAnsi="宋体" w:cs="宋体" w:eastAsia="宋体" w:hint="default"/>
          <w:sz w:val="13"/>
          <w:szCs w:val="13"/>
        </w:rPr>
      </w:pPr>
    </w:p>
    <w:p>
      <w:pPr>
        <w:pStyle w:val="BodyText"/>
        <w:spacing w:line="285" w:lineRule="auto"/>
        <w:ind w:left="453" w:right="101"/>
        <w:jc w:val="both"/>
      </w:pPr>
      <w:r>
        <w:rPr/>
        <w:t>为确保联通</w:t>
      </w:r>
      <w:r>
        <w:rPr>
          <w:spacing w:val="-43"/>
        </w:rPr>
        <w:t> </w:t>
      </w:r>
      <w:r>
        <w:rPr/>
        <w:t>BVI</w:t>
      </w:r>
      <w:r>
        <w:rPr>
          <w:spacing w:val="-43"/>
        </w:rPr>
        <w:t> </w:t>
      </w:r>
      <w:r>
        <w:rPr/>
        <w:t>公司对联通红筹公司的控制，联通</w:t>
      </w:r>
      <w:r>
        <w:rPr>
          <w:spacing w:val="-43"/>
        </w:rPr>
        <w:t> </w:t>
      </w:r>
      <w:r>
        <w:rPr/>
        <w:t>BVI</w:t>
      </w:r>
      <w:r>
        <w:rPr>
          <w:spacing w:val="-43"/>
        </w:rPr>
        <w:t> </w:t>
      </w:r>
      <w:r>
        <w:rPr>
          <w:spacing w:val="-3"/>
        </w:rPr>
        <w:t>公司和中国联通集团（BVI）有限公司（“联通集团</w:t>
      </w:r>
      <w:r>
        <w:rPr>
          <w:spacing w:val="-43"/>
        </w:rPr>
        <w:t> </w:t>
      </w:r>
      <w:r>
        <w:rPr/>
        <w:t>BVI</w:t>
      </w:r>
      <w:r>
        <w:rPr>
          <w:spacing w:val="-43"/>
        </w:rPr>
        <w:t> </w:t>
      </w:r>
      <w:r>
        <w:rPr>
          <w:spacing w:val="-4"/>
        </w:rPr>
        <w:t>公司”，</w:t>
      </w:r>
      <w:r>
        <w:rPr>
          <w:spacing w:val="-88"/>
        </w:rPr>
        <w:t> </w:t>
      </w:r>
      <w:r>
        <w:rPr>
          <w:spacing w:val="-88"/>
        </w:rPr>
      </w:r>
      <w:r>
        <w:rPr>
          <w:spacing w:val="4"/>
        </w:rPr>
        <w:t>联通红筹公司另一股东，于合并后持有联通红筹公司约</w:t>
      </w:r>
      <w:r>
        <w:rPr/>
        <w:t> </w:t>
      </w:r>
      <w:r>
        <w:rPr>
          <w:spacing w:val="-1"/>
          <w:w w:val="116"/>
        </w:rPr>
        <w:t>29.49%</w:t>
      </w:r>
      <w:r>
        <w:rPr>
          <w:spacing w:val="-82"/>
          <w:w w:val="116"/>
        </w:rPr>
        <w:t> </w:t>
      </w:r>
      <w:r>
        <w:rPr>
          <w:spacing w:val="3"/>
          <w:w w:val="100"/>
        </w:rPr>
        <w:t>的股份，原名为中国网通集团（BVI）有限公司，于</w:t>
      </w:r>
      <w:r>
        <w:rPr>
          <w:w w:val="100"/>
        </w:rPr>
      </w:r>
    </w:p>
    <w:p>
      <w:pPr>
        <w:pStyle w:val="BodyText"/>
        <w:spacing w:line="285" w:lineRule="auto" w:before="10"/>
        <w:ind w:left="453" w:right="187"/>
        <w:jc w:val="both"/>
      </w:pPr>
      <w:r>
        <w:rPr>
          <w:spacing w:val="-1"/>
          <w:w w:val="111"/>
        </w:rPr>
        <w:t>2012</w:t>
      </w:r>
      <w:r>
        <w:rPr>
          <w:spacing w:val="-55"/>
          <w:w w:val="111"/>
        </w:rPr>
        <w:t> </w:t>
      </w:r>
      <w:r>
        <w:rPr/>
        <w:t>年</w:t>
      </w:r>
      <w:r>
        <w:rPr>
          <w:spacing w:val="-45"/>
        </w:rPr>
        <w:t> </w:t>
      </w:r>
      <w:r>
        <w:rPr>
          <w:w w:val="111"/>
        </w:rPr>
        <w:t>8</w:t>
      </w:r>
      <w:r>
        <w:rPr>
          <w:spacing w:val="-55"/>
          <w:w w:val="111"/>
        </w:rPr>
        <w:t> </w:t>
      </w:r>
      <w:r>
        <w:rPr/>
        <w:t>月</w:t>
      </w:r>
      <w:r>
        <w:rPr>
          <w:spacing w:val="-45"/>
        </w:rPr>
        <w:t> </w:t>
      </w:r>
      <w:r>
        <w:rPr>
          <w:spacing w:val="-1"/>
          <w:w w:val="111"/>
        </w:rPr>
        <w:t>10</w:t>
      </w:r>
      <w:r>
        <w:rPr>
          <w:spacing w:val="-55"/>
          <w:w w:val="111"/>
        </w:rPr>
        <w:t> </w:t>
      </w:r>
      <w:r>
        <w:rPr/>
        <w:t>日进行了公司名称变更）于</w:t>
      </w:r>
      <w:r>
        <w:rPr>
          <w:spacing w:val="-45"/>
        </w:rPr>
        <w:t> </w:t>
      </w:r>
      <w:r>
        <w:rPr>
          <w:spacing w:val="-1"/>
          <w:w w:val="111"/>
        </w:rPr>
        <w:t>2008</w:t>
      </w:r>
      <w:r>
        <w:rPr>
          <w:spacing w:val="-55"/>
          <w:w w:val="111"/>
        </w:rPr>
        <w:t> </w:t>
      </w:r>
      <w:r>
        <w:rPr/>
        <w:t>年</w:t>
      </w:r>
      <w:r>
        <w:rPr>
          <w:spacing w:val="-45"/>
        </w:rPr>
        <w:t> </w:t>
      </w:r>
      <w:r>
        <w:rPr>
          <w:w w:val="111"/>
        </w:rPr>
        <w:t>9</w:t>
      </w:r>
      <w:r>
        <w:rPr>
          <w:spacing w:val="-55"/>
          <w:w w:val="111"/>
        </w:rPr>
        <w:t> </w:t>
      </w:r>
      <w:r>
        <w:rPr/>
        <w:t>月</w:t>
      </w:r>
      <w:r>
        <w:rPr>
          <w:spacing w:val="-45"/>
        </w:rPr>
        <w:t> </w:t>
      </w:r>
      <w:r>
        <w:rPr>
          <w:spacing w:val="-1"/>
          <w:w w:val="111"/>
        </w:rPr>
        <w:t>22</w:t>
      </w:r>
      <w:r>
        <w:rPr>
          <w:spacing w:val="-55"/>
          <w:w w:val="111"/>
        </w:rPr>
        <w:t> </w:t>
      </w:r>
      <w:r>
        <w:rPr/>
        <w:t>日签订了《一致行动方协议》，同时联通集团</w:t>
      </w:r>
      <w:r>
        <w:rPr>
          <w:spacing w:val="-45"/>
        </w:rPr>
        <w:t> </w:t>
      </w:r>
      <w:r>
        <w:rPr>
          <w:w w:val="103"/>
        </w:rPr>
        <w:t>BVI</w:t>
      </w:r>
      <w:r>
        <w:rPr>
          <w:spacing w:val="-48"/>
          <w:w w:val="103"/>
        </w:rPr>
        <w:t> </w:t>
      </w:r>
      <w:r>
        <w:rPr/>
        <w:t>公司还</w:t>
      </w:r>
      <w:r>
        <w:rPr/>
        <w:t> 于</w:t>
      </w:r>
      <w:r>
        <w:rPr>
          <w:spacing w:val="-42"/>
        </w:rPr>
        <w:t> </w:t>
      </w:r>
      <w:r>
        <w:rPr>
          <w:spacing w:val="-1"/>
          <w:w w:val="111"/>
        </w:rPr>
        <w:t>2008</w:t>
      </w:r>
      <w:r>
        <w:rPr>
          <w:spacing w:val="-52"/>
          <w:w w:val="111"/>
        </w:rPr>
        <w:t> </w:t>
      </w:r>
      <w:r>
        <w:rPr/>
        <w:t>年</w:t>
      </w:r>
      <w:r>
        <w:rPr>
          <w:spacing w:val="-42"/>
        </w:rPr>
        <w:t> </w:t>
      </w:r>
      <w:r>
        <w:rPr>
          <w:spacing w:val="-1"/>
          <w:w w:val="111"/>
        </w:rPr>
        <w:t>10</w:t>
      </w:r>
      <w:r>
        <w:rPr>
          <w:spacing w:val="-52"/>
          <w:w w:val="111"/>
        </w:rPr>
        <w:t> </w:t>
      </w:r>
      <w:r>
        <w:rPr/>
        <w:t>月</w:t>
      </w:r>
      <w:r>
        <w:rPr>
          <w:spacing w:val="-42"/>
        </w:rPr>
        <w:t> </w:t>
      </w:r>
      <w:r>
        <w:rPr>
          <w:spacing w:val="-1"/>
          <w:w w:val="111"/>
        </w:rPr>
        <w:t>15</w:t>
      </w:r>
      <w:r>
        <w:rPr>
          <w:spacing w:val="-52"/>
          <w:w w:val="111"/>
        </w:rPr>
        <w:t> </w:t>
      </w:r>
      <w:r>
        <w:rPr>
          <w:spacing w:val="2"/>
        </w:rPr>
        <w:t>日向联通</w:t>
      </w:r>
      <w:r>
        <w:rPr>
          <w:spacing w:val="-42"/>
        </w:rPr>
        <w:t> </w:t>
      </w:r>
      <w:r>
        <w:rPr>
          <w:w w:val="103"/>
        </w:rPr>
        <w:t>BVI</w:t>
      </w:r>
      <w:r>
        <w:rPr>
          <w:spacing w:val="-45"/>
          <w:w w:val="103"/>
        </w:rPr>
        <w:t> </w:t>
      </w:r>
      <w:r>
        <w:rPr>
          <w:spacing w:val="2"/>
        </w:rPr>
        <w:t>公司发出函件确认其持有的对联通红筹公司的表决权将由联通</w:t>
      </w:r>
      <w:r>
        <w:rPr>
          <w:spacing w:val="-42"/>
        </w:rPr>
        <w:t> </w:t>
      </w:r>
      <w:r>
        <w:rPr>
          <w:w w:val="103"/>
        </w:rPr>
        <w:t>BVI</w:t>
      </w:r>
      <w:r>
        <w:rPr>
          <w:spacing w:val="-45"/>
          <w:w w:val="103"/>
        </w:rPr>
        <w:t> </w:t>
      </w:r>
      <w:r>
        <w:rPr>
          <w:spacing w:val="2"/>
        </w:rPr>
        <w:t>公司控制，并且</w:t>
      </w:r>
      <w:r>
        <w:rPr>
          <w:spacing w:val="3"/>
        </w:rPr>
        <w:t> </w:t>
      </w:r>
      <w:r>
        <w:rPr/>
        <w:t>未经联通</w:t>
      </w:r>
      <w:r>
        <w:rPr>
          <w:spacing w:val="-52"/>
        </w:rPr>
        <w:t> </w:t>
      </w:r>
      <w:r>
        <w:rPr/>
        <w:t>BVI</w:t>
      </w:r>
      <w:r>
        <w:rPr>
          <w:spacing w:val="-52"/>
        </w:rPr>
        <w:t> </w:t>
      </w:r>
      <w:r>
        <w:rPr>
          <w:spacing w:val="-3"/>
        </w:rPr>
        <w:t>公司的事先批准，联通集团</w:t>
      </w:r>
      <w:r>
        <w:rPr>
          <w:spacing w:val="-52"/>
        </w:rPr>
        <w:t> </w:t>
      </w:r>
      <w:r>
        <w:rPr/>
        <w:t>BVI</w:t>
      </w:r>
      <w:r>
        <w:rPr>
          <w:spacing w:val="-52"/>
        </w:rPr>
        <w:t> </w:t>
      </w:r>
      <w:r>
        <w:rPr/>
        <w:t>公司将不会提呈任何决议，以供在任何联通红筹公司的股东大会上审议。</w:t>
      </w:r>
    </w:p>
    <w:p>
      <w:pPr>
        <w:spacing w:line="240" w:lineRule="auto" w:before="10"/>
        <w:rPr>
          <w:rFonts w:ascii="宋体" w:hAnsi="宋体" w:cs="宋体" w:eastAsia="宋体" w:hint="default"/>
          <w:sz w:val="13"/>
          <w:szCs w:val="13"/>
        </w:rPr>
      </w:pPr>
    </w:p>
    <w:p>
      <w:pPr>
        <w:pStyle w:val="BodyText"/>
        <w:spacing w:line="285" w:lineRule="auto"/>
        <w:ind w:left="453" w:right="187"/>
        <w:jc w:val="both"/>
      </w:pPr>
      <w:r>
        <w:rPr>
          <w:spacing w:val="2"/>
        </w:rPr>
        <w:t>因此，根据上述《一致行动方协议》和确认函件，于</w:t>
      </w:r>
      <w:r>
        <w:rPr>
          <w:spacing w:val="-31"/>
        </w:rPr>
        <w:t> </w:t>
      </w:r>
      <w:r>
        <w:rPr/>
        <w:t>2008</w:t>
      </w:r>
      <w:r>
        <w:rPr>
          <w:spacing w:val="-31"/>
        </w:rPr>
        <w:t> </w:t>
      </w:r>
      <w:r>
        <w:rPr/>
        <w:t>年</w:t>
      </w:r>
      <w:r>
        <w:rPr>
          <w:spacing w:val="-31"/>
        </w:rPr>
        <w:t> </w:t>
      </w:r>
      <w:r>
        <w:rPr/>
        <w:t>10</w:t>
      </w:r>
      <w:r>
        <w:rPr>
          <w:spacing w:val="-31"/>
        </w:rPr>
        <w:t> </w:t>
      </w:r>
      <w:r>
        <w:rPr/>
        <w:t>月</w:t>
      </w:r>
      <w:r>
        <w:rPr>
          <w:spacing w:val="-31"/>
        </w:rPr>
        <w:t> </w:t>
      </w:r>
      <w:r>
        <w:rPr/>
        <w:t>15</w:t>
      </w:r>
      <w:r>
        <w:rPr>
          <w:spacing w:val="-31"/>
        </w:rPr>
        <w:t> </w:t>
      </w:r>
      <w:r>
        <w:rPr>
          <w:spacing w:val="2"/>
        </w:rPr>
        <w:t>日，在联通红筹公司和网通红筹公司合并完成</w:t>
      </w:r>
      <w:r>
        <w:rPr>
          <w:spacing w:val="-79"/>
        </w:rPr>
        <w:t> </w:t>
      </w:r>
      <w:r>
        <w:rPr>
          <w:spacing w:val="-79"/>
        </w:rPr>
      </w:r>
      <w:r>
        <w:rPr/>
        <w:t>后，本公司通过联通</w:t>
      </w:r>
      <w:r>
        <w:rPr>
          <w:spacing w:val="-45"/>
        </w:rPr>
        <w:t> </w:t>
      </w:r>
      <w:r>
        <w:rPr>
          <w:w w:val="103"/>
        </w:rPr>
        <w:t>BVI</w:t>
      </w:r>
      <w:r>
        <w:rPr>
          <w:spacing w:val="-48"/>
          <w:w w:val="103"/>
        </w:rPr>
        <w:t> </w:t>
      </w:r>
      <w:r>
        <w:rPr/>
        <w:t>公司实际控制了联通红筹公司约</w:t>
      </w:r>
      <w:r>
        <w:rPr>
          <w:spacing w:val="-45"/>
        </w:rPr>
        <w:t> </w:t>
      </w:r>
      <w:r>
        <w:rPr>
          <w:spacing w:val="-1"/>
          <w:w w:val="116"/>
        </w:rPr>
        <w:t>70.41%</w:t>
      </w:r>
      <w:r>
        <w:rPr>
          <w:spacing w:val="-60"/>
          <w:w w:val="116"/>
        </w:rPr>
        <w:t> </w:t>
      </w:r>
      <w:r>
        <w:rPr/>
        <w:t>表决权股份。此后，历经联通红筹公司回购韩国</w:t>
      </w:r>
      <w:r>
        <w:rPr>
          <w:spacing w:val="-45"/>
        </w:rPr>
        <w:t> </w:t>
      </w:r>
      <w:r>
        <w:rPr>
          <w:w w:val="121"/>
        </w:rPr>
        <w:t>SK</w:t>
      </w:r>
      <w:r>
        <w:rPr>
          <w:w w:val="121"/>
        </w:rPr>
        <w:t> </w:t>
      </w:r>
      <w:r>
        <w:rPr>
          <w:spacing w:val="2"/>
          <w:w w:val="101"/>
        </w:rPr>
        <w:t>电讯株式会社（“SKT”）持有的联通红筹公司股份以及联通红筹公司与</w:t>
      </w:r>
      <w:r>
        <w:rPr>
          <w:w w:val="101"/>
        </w:rPr>
        <w:t> </w:t>
      </w:r>
      <w:r>
        <w:rPr>
          <w:spacing w:val="-8"/>
          <w:w w:val="95"/>
        </w:rPr>
        <w:t>Telefónica,</w:t>
      </w:r>
      <w:r>
        <w:rPr>
          <w:spacing w:val="-60"/>
          <w:w w:val="95"/>
        </w:rPr>
        <w:t> </w:t>
      </w:r>
      <w:r>
        <w:rPr>
          <w:spacing w:val="1"/>
          <w:w w:val="97"/>
        </w:rPr>
        <w:t>S.A.（“西班牙电信”）互相投</w:t>
      </w:r>
      <w:r>
        <w:rPr>
          <w:spacing w:val="3"/>
        </w:rPr>
        <w:t> </w:t>
      </w:r>
      <w:r>
        <w:rPr>
          <w:spacing w:val="2"/>
        </w:rPr>
        <w:t>资和西班牙电信将其持有的联通红筹公司股份转让予联通集团</w:t>
      </w:r>
      <w:r>
        <w:rPr>
          <w:spacing w:val="-43"/>
        </w:rPr>
        <w:t> </w:t>
      </w:r>
      <w:r>
        <w:rPr>
          <w:w w:val="103"/>
        </w:rPr>
        <w:t>BVI</w:t>
      </w:r>
      <w:r>
        <w:rPr>
          <w:spacing w:val="-46"/>
          <w:w w:val="103"/>
        </w:rPr>
        <w:t> </w:t>
      </w:r>
      <w:r>
        <w:rPr>
          <w:spacing w:val="2"/>
        </w:rPr>
        <w:t>公司等事项，于</w:t>
      </w:r>
      <w:r>
        <w:rPr>
          <w:spacing w:val="-43"/>
        </w:rPr>
        <w:t> </w:t>
      </w:r>
      <w:r>
        <w:rPr>
          <w:spacing w:val="-1"/>
          <w:w w:val="111"/>
        </w:rPr>
        <w:t>2016</w:t>
      </w:r>
      <w:r>
        <w:rPr>
          <w:spacing w:val="-53"/>
          <w:w w:val="111"/>
        </w:rPr>
        <w:t> </w:t>
      </w:r>
      <w:r>
        <w:rPr/>
        <w:t>年</w:t>
      </w:r>
      <w:r>
        <w:rPr>
          <w:spacing w:val="-43"/>
        </w:rPr>
        <w:t> </w:t>
      </w:r>
      <w:r>
        <w:rPr>
          <w:spacing w:val="-1"/>
          <w:w w:val="111"/>
        </w:rPr>
        <w:t>12</w:t>
      </w:r>
      <w:r>
        <w:rPr>
          <w:spacing w:val="-53"/>
          <w:w w:val="111"/>
        </w:rPr>
        <w:t> </w:t>
      </w:r>
      <w:r>
        <w:rPr/>
        <w:t>月</w:t>
      </w:r>
      <w:r>
        <w:rPr>
          <w:spacing w:val="-43"/>
        </w:rPr>
        <w:t> </w:t>
      </w:r>
      <w:r>
        <w:rPr>
          <w:spacing w:val="-1"/>
          <w:w w:val="111"/>
        </w:rPr>
        <w:t>31</w:t>
      </w:r>
      <w:r>
        <w:rPr>
          <w:spacing w:val="-53"/>
          <w:w w:val="111"/>
        </w:rPr>
        <w:t> </w:t>
      </w:r>
      <w:r>
        <w:rPr>
          <w:spacing w:val="1"/>
        </w:rPr>
        <w:t>日，联通</w:t>
      </w:r>
      <w:r>
        <w:rPr>
          <w:spacing w:val="-43"/>
        </w:rPr>
        <w:t> </w:t>
      </w:r>
      <w:r>
        <w:rPr>
          <w:w w:val="103"/>
        </w:rPr>
        <w:t>BVI</w:t>
      </w:r>
      <w:r>
        <w:rPr>
          <w:spacing w:val="-46"/>
          <w:w w:val="103"/>
        </w:rPr>
        <w:t> </w:t>
      </w:r>
      <w:r>
        <w:rPr/>
        <w:t>公</w:t>
      </w:r>
      <w:r>
        <w:rPr/>
        <w:t> </w:t>
      </w:r>
      <w:r>
        <w:rPr>
          <w:spacing w:val="2"/>
        </w:rPr>
        <w:t>司和联通集团</w:t>
      </w:r>
      <w:r>
        <w:rPr>
          <w:spacing w:val="-44"/>
        </w:rPr>
        <w:t> </w:t>
      </w:r>
      <w:r>
        <w:rPr>
          <w:w w:val="103"/>
        </w:rPr>
        <w:t>BVI</w:t>
      </w:r>
      <w:r>
        <w:rPr>
          <w:spacing w:val="-47"/>
          <w:w w:val="103"/>
        </w:rPr>
        <w:t> </w:t>
      </w:r>
      <w:r>
        <w:rPr>
          <w:spacing w:val="2"/>
        </w:rPr>
        <w:t>公司合计持有联通红筹公司</w:t>
      </w:r>
      <w:r>
        <w:rPr>
          <w:spacing w:val="-44"/>
        </w:rPr>
        <w:t> </w:t>
      </w:r>
      <w:r>
        <w:rPr>
          <w:spacing w:val="-1"/>
          <w:w w:val="116"/>
        </w:rPr>
        <w:t>74.36%</w:t>
      </w:r>
      <w:r>
        <w:rPr>
          <w:spacing w:val="-59"/>
          <w:w w:val="116"/>
        </w:rPr>
        <w:t> </w:t>
      </w:r>
      <w:r>
        <w:rPr>
          <w:spacing w:val="2"/>
        </w:rPr>
        <w:t>表决权比例。于</w:t>
      </w:r>
      <w:r>
        <w:rPr>
          <w:spacing w:val="-44"/>
        </w:rPr>
        <w:t> </w:t>
      </w:r>
      <w:r>
        <w:rPr>
          <w:spacing w:val="-1"/>
          <w:w w:val="111"/>
        </w:rPr>
        <w:t>2017</w:t>
      </w:r>
      <w:r>
        <w:rPr>
          <w:spacing w:val="-54"/>
          <w:w w:val="111"/>
        </w:rPr>
        <w:t> </w:t>
      </w:r>
      <w:r>
        <w:rPr/>
        <w:t>年</w:t>
      </w:r>
      <w:r>
        <w:rPr>
          <w:spacing w:val="-44"/>
        </w:rPr>
        <w:t> </w:t>
      </w:r>
      <w:r>
        <w:rPr>
          <w:spacing w:val="-1"/>
          <w:w w:val="111"/>
        </w:rPr>
        <w:t>12</w:t>
      </w:r>
      <w:r>
        <w:rPr>
          <w:spacing w:val="-54"/>
          <w:w w:val="111"/>
        </w:rPr>
        <w:t> </w:t>
      </w:r>
      <w:r>
        <w:rPr/>
        <w:t>月</w:t>
      </w:r>
      <w:r>
        <w:rPr>
          <w:spacing w:val="-44"/>
        </w:rPr>
        <w:t> </w:t>
      </w:r>
      <w:r>
        <w:rPr>
          <w:spacing w:val="-1"/>
          <w:w w:val="111"/>
        </w:rPr>
        <w:t>31</w:t>
      </w:r>
      <w:r>
        <w:rPr>
          <w:spacing w:val="-54"/>
          <w:w w:val="111"/>
        </w:rPr>
        <w:t> </w:t>
      </w:r>
      <w:r>
        <w:rPr>
          <w:spacing w:val="1"/>
        </w:rPr>
        <w:t>日，联通</w:t>
      </w:r>
      <w:r>
        <w:rPr>
          <w:spacing w:val="-44"/>
        </w:rPr>
        <w:t> </w:t>
      </w:r>
      <w:r>
        <w:rPr>
          <w:w w:val="103"/>
        </w:rPr>
        <w:t>BVI</w:t>
      </w:r>
      <w:r>
        <w:rPr>
          <w:spacing w:val="-47"/>
          <w:w w:val="103"/>
        </w:rPr>
        <w:t> </w:t>
      </w:r>
      <w:r>
        <w:rPr>
          <w:spacing w:val="3"/>
        </w:rPr>
        <w:t>公司以认购联</w:t>
      </w:r>
      <w:r>
        <w:rPr>
          <w:spacing w:val="3"/>
        </w:rPr>
        <w:t> </w:t>
      </w:r>
      <w:r>
        <w:rPr/>
        <w:t>通红筹公司配售的股份后，联通</w:t>
      </w:r>
      <w:r>
        <w:rPr>
          <w:spacing w:val="-32"/>
        </w:rPr>
        <w:t> </w:t>
      </w:r>
      <w:r>
        <w:rPr/>
        <w:t>BVI</w:t>
      </w:r>
      <w:r>
        <w:rPr>
          <w:spacing w:val="-32"/>
        </w:rPr>
        <w:t> </w:t>
      </w:r>
      <w:r>
        <w:rPr/>
        <w:t>公司和联通集团</w:t>
      </w:r>
      <w:r>
        <w:rPr>
          <w:spacing w:val="-32"/>
        </w:rPr>
        <w:t> </w:t>
      </w:r>
      <w:r>
        <w:rPr/>
        <w:t>BVI</w:t>
      </w:r>
      <w:r>
        <w:rPr>
          <w:spacing w:val="-32"/>
        </w:rPr>
        <w:t> </w:t>
      </w:r>
      <w:r>
        <w:rPr/>
        <w:t>公司合计持有联通红筹公司的表决权比例上升至</w:t>
      </w:r>
      <w:r>
        <w:rPr>
          <w:spacing w:val="-32"/>
        </w:rPr>
        <w:t> </w:t>
      </w:r>
      <w:r>
        <w:rPr/>
        <w:t>79.93%（其</w:t>
      </w:r>
      <w:r>
        <w:rPr>
          <w:spacing w:val="-85"/>
        </w:rPr>
        <w:t> </w:t>
      </w:r>
      <w:r>
        <w:rPr>
          <w:spacing w:val="-85"/>
        </w:rPr>
      </w:r>
      <w:r>
        <w:rPr/>
        <w:t>中联通</w:t>
      </w:r>
      <w:r>
        <w:rPr>
          <w:spacing w:val="-50"/>
        </w:rPr>
        <w:t> </w:t>
      </w:r>
      <w:r>
        <w:rPr>
          <w:w w:val="103"/>
        </w:rPr>
        <w:t>BVI</w:t>
      </w:r>
      <w:r>
        <w:rPr>
          <w:spacing w:val="-53"/>
          <w:w w:val="103"/>
        </w:rPr>
        <w:t> </w:t>
      </w:r>
      <w:r>
        <w:rPr/>
        <w:t>公司的持股比例为</w:t>
      </w:r>
      <w:r>
        <w:rPr>
          <w:spacing w:val="-50"/>
        </w:rPr>
        <w:t> </w:t>
      </w:r>
      <w:r>
        <w:rPr>
          <w:spacing w:val="-1"/>
          <w:w w:val="109"/>
        </w:rPr>
        <w:t>53.52%，联通集团</w:t>
      </w:r>
      <w:r>
        <w:rPr>
          <w:spacing w:val="-58"/>
          <w:w w:val="109"/>
        </w:rPr>
        <w:t> </w:t>
      </w:r>
      <w:r>
        <w:rPr>
          <w:w w:val="103"/>
        </w:rPr>
        <w:t>BVI</w:t>
      </w:r>
      <w:r>
        <w:rPr>
          <w:spacing w:val="-53"/>
          <w:w w:val="103"/>
        </w:rPr>
        <w:t> </w:t>
      </w:r>
      <w:r>
        <w:rPr/>
        <w:t>公司的持股比例为</w:t>
      </w:r>
      <w:r>
        <w:rPr>
          <w:spacing w:val="-50"/>
        </w:rPr>
        <w:t> </w:t>
      </w:r>
      <w:r>
        <w:rPr>
          <w:spacing w:val="-1"/>
          <w:w w:val="111"/>
        </w:rPr>
        <w:t>26.41%）。至</w:t>
      </w:r>
      <w:r>
        <w:rPr>
          <w:spacing w:val="-60"/>
          <w:w w:val="111"/>
        </w:rPr>
        <w:t> </w:t>
      </w:r>
      <w:r>
        <w:rPr>
          <w:spacing w:val="-1"/>
          <w:w w:val="111"/>
        </w:rPr>
        <w:t>2018</w:t>
      </w:r>
      <w:r>
        <w:rPr>
          <w:spacing w:val="-60"/>
          <w:w w:val="111"/>
        </w:rPr>
        <w:t> </w:t>
      </w:r>
      <w:r>
        <w:rPr/>
        <w:t>年</w:t>
      </w:r>
      <w:r>
        <w:rPr>
          <w:spacing w:val="-50"/>
        </w:rPr>
        <w:t> </w:t>
      </w:r>
      <w:r>
        <w:rPr>
          <w:spacing w:val="-1"/>
          <w:w w:val="111"/>
        </w:rPr>
        <w:t>12</w:t>
      </w:r>
      <w:r>
        <w:rPr>
          <w:spacing w:val="-60"/>
          <w:w w:val="111"/>
        </w:rPr>
        <w:t> </w:t>
      </w:r>
      <w:r>
        <w:rPr/>
        <w:t>月</w:t>
      </w:r>
      <w:r>
        <w:rPr>
          <w:spacing w:val="-50"/>
        </w:rPr>
        <w:t> </w:t>
      </w:r>
      <w:r>
        <w:rPr>
          <w:spacing w:val="-1"/>
          <w:w w:val="111"/>
        </w:rPr>
        <w:t>31</w:t>
      </w:r>
      <w:r>
        <w:rPr>
          <w:spacing w:val="-60"/>
          <w:w w:val="111"/>
        </w:rPr>
        <w:t> </w:t>
      </w:r>
      <w:r>
        <w:rPr/>
        <w:t>日，对联通</w:t>
      </w:r>
      <w:r>
        <w:rPr/>
        <w:t> </w:t>
      </w:r>
      <w:r>
        <w:rPr>
          <w:spacing w:val="1"/>
        </w:rPr>
        <w:t>红筹公司的表决权比例保持不变。因此联通</w:t>
      </w:r>
      <w:r>
        <w:rPr>
          <w:spacing w:val="-29"/>
        </w:rPr>
        <w:t> </w:t>
      </w:r>
      <w:r>
        <w:rPr>
          <w:w w:val="103"/>
        </w:rPr>
        <w:t>BVI</w:t>
      </w:r>
      <w:r>
        <w:rPr>
          <w:spacing w:val="-32"/>
          <w:w w:val="103"/>
        </w:rPr>
        <w:t> </w:t>
      </w:r>
      <w:r>
        <w:rPr>
          <w:spacing w:val="1"/>
        </w:rPr>
        <w:t>公司仍控制联通红筹公司，联通红筹公司亦继续被纳入本公司的合并</w:t>
      </w:r>
      <w:r>
        <w:rPr>
          <w:spacing w:val="-80"/>
        </w:rPr>
        <w:t> </w:t>
      </w:r>
      <w:r>
        <w:rPr>
          <w:spacing w:val="-80"/>
        </w:rPr>
      </w:r>
      <w:r>
        <w:rPr>
          <w:w w:val="105"/>
        </w:rPr>
        <w:t>财务报表范围。</w:t>
      </w:r>
    </w:p>
    <w:p>
      <w:pPr>
        <w:spacing w:line="240" w:lineRule="auto" w:before="10"/>
        <w:rPr>
          <w:rFonts w:ascii="宋体" w:hAnsi="宋体" w:cs="宋体" w:eastAsia="宋体" w:hint="default"/>
          <w:sz w:val="13"/>
          <w:szCs w:val="13"/>
        </w:rPr>
      </w:pPr>
    </w:p>
    <w:p>
      <w:pPr>
        <w:pStyle w:val="BodyText"/>
        <w:spacing w:line="240" w:lineRule="auto"/>
        <w:ind w:left="113" w:right="87"/>
        <w:jc w:val="left"/>
      </w:pPr>
      <w:r>
        <w:rPr/>
        <w:t>2、</w:t>
      </w:r>
      <w:r>
        <w:rPr>
          <w:spacing w:val="-21"/>
        </w:rPr>
        <w:t> </w:t>
      </w:r>
      <w:r>
        <w:rPr/>
        <w:t>持续经营</w:t>
      </w:r>
    </w:p>
    <w:p>
      <w:pPr>
        <w:spacing w:line="240" w:lineRule="auto" w:before="12"/>
        <w:rPr>
          <w:rFonts w:ascii="宋体" w:hAnsi="宋体" w:cs="宋体" w:eastAsia="宋体" w:hint="default"/>
          <w:sz w:val="17"/>
          <w:szCs w:val="17"/>
        </w:rPr>
      </w:pPr>
    </w:p>
    <w:p>
      <w:pPr>
        <w:pStyle w:val="BodyText"/>
        <w:spacing w:line="285" w:lineRule="auto"/>
        <w:ind w:left="453" w:right="103"/>
        <w:jc w:val="both"/>
      </w:pPr>
      <w:r>
        <w:rPr/>
        <w:t>于</w:t>
      </w:r>
      <w:r>
        <w:rPr>
          <w:spacing w:val="-65"/>
        </w:rPr>
        <w:t> </w:t>
      </w:r>
      <w:r>
        <w:rPr>
          <w:spacing w:val="-1"/>
          <w:w w:val="111"/>
        </w:rPr>
        <w:t>2018</w:t>
      </w:r>
      <w:r>
        <w:rPr>
          <w:spacing w:val="-75"/>
          <w:w w:val="111"/>
        </w:rPr>
        <w:t> </w:t>
      </w:r>
      <w:r>
        <w:rPr/>
        <w:t>年</w:t>
      </w:r>
      <w:r>
        <w:rPr>
          <w:spacing w:val="-65"/>
        </w:rPr>
        <w:t> </w:t>
      </w:r>
      <w:r>
        <w:rPr>
          <w:w w:val="111"/>
        </w:rPr>
        <w:t>12</w:t>
      </w:r>
      <w:r>
        <w:rPr>
          <w:spacing w:val="-75"/>
          <w:w w:val="111"/>
        </w:rPr>
        <w:t> </w:t>
      </w:r>
      <w:r>
        <w:rPr/>
        <w:t>月</w:t>
      </w:r>
      <w:r>
        <w:rPr>
          <w:spacing w:val="-65"/>
        </w:rPr>
        <w:t> </w:t>
      </w:r>
      <w:r>
        <w:rPr>
          <w:w w:val="111"/>
        </w:rPr>
        <w:t>31</w:t>
      </w:r>
      <w:r>
        <w:rPr>
          <w:spacing w:val="-75"/>
          <w:w w:val="111"/>
        </w:rPr>
        <w:t> </w:t>
      </w:r>
      <w:r>
        <w:rPr>
          <w:spacing w:val="-5"/>
        </w:rPr>
        <w:t>日，本集团的流动负债超出流动资产约人民币</w:t>
      </w:r>
      <w:r>
        <w:rPr>
          <w:spacing w:val="-65"/>
        </w:rPr>
        <w:t> </w:t>
      </w:r>
      <w:r>
        <w:rPr>
          <w:w w:val="99"/>
        </w:rPr>
        <w:t>1,379</w:t>
      </w:r>
      <w:r>
        <w:rPr>
          <w:spacing w:val="-65"/>
          <w:w w:val="99"/>
        </w:rPr>
        <w:t> </w:t>
      </w:r>
      <w:r>
        <w:rPr>
          <w:spacing w:val="-12"/>
          <w:w w:val="105"/>
        </w:rPr>
        <w:t>亿元（2017</w:t>
      </w:r>
      <w:r>
        <w:rPr>
          <w:spacing w:val="-70"/>
          <w:w w:val="105"/>
        </w:rPr>
        <w:t> </w:t>
      </w:r>
      <w:r>
        <w:rPr/>
        <w:t>年</w:t>
      </w:r>
      <w:r>
        <w:rPr>
          <w:spacing w:val="-65"/>
        </w:rPr>
        <w:t> </w:t>
      </w:r>
      <w:r>
        <w:rPr>
          <w:w w:val="111"/>
        </w:rPr>
        <w:t>12</w:t>
      </w:r>
      <w:r>
        <w:rPr>
          <w:spacing w:val="-75"/>
          <w:w w:val="111"/>
        </w:rPr>
        <w:t> </w:t>
      </w:r>
      <w:r>
        <w:rPr/>
        <w:t>月</w:t>
      </w:r>
      <w:r>
        <w:rPr>
          <w:spacing w:val="-65"/>
        </w:rPr>
        <w:t> </w:t>
      </w:r>
      <w:r>
        <w:rPr>
          <w:w w:val="111"/>
        </w:rPr>
        <w:t>31</w:t>
      </w:r>
      <w:r>
        <w:rPr>
          <w:spacing w:val="-75"/>
          <w:w w:val="111"/>
        </w:rPr>
        <w:t> </w:t>
      </w:r>
      <w:r>
        <w:rPr>
          <w:spacing w:val="-14"/>
        </w:rPr>
        <w:t>日：约人民币</w:t>
      </w:r>
      <w:r>
        <w:rPr>
          <w:spacing w:val="-65"/>
        </w:rPr>
        <w:t> </w:t>
      </w:r>
      <w:r>
        <w:rPr>
          <w:w w:val="99"/>
        </w:rPr>
        <w:t>1,648</w:t>
      </w:r>
      <w:r>
        <w:rPr>
          <w:spacing w:val="-65"/>
          <w:w w:val="99"/>
        </w:rPr>
        <w:t> </w:t>
      </w:r>
      <w:r>
        <w:rPr>
          <w:spacing w:val="-21"/>
        </w:rPr>
        <w:t>亿元）。</w:t>
      </w:r>
      <w:r>
        <w:rPr/>
        <w:t> 考虑到当前经济环境，以及本集团在可预见的将来预计的资本支出，管理层综合考虑了本集团如下可获得的资金来源：</w:t>
      </w:r>
    </w:p>
    <w:p>
      <w:pPr>
        <w:spacing w:line="240" w:lineRule="auto" w:before="1"/>
        <w:rPr>
          <w:rFonts w:ascii="宋体" w:hAnsi="宋体" w:cs="宋体" w:eastAsia="宋体" w:hint="default"/>
          <w:sz w:val="14"/>
          <w:szCs w:val="14"/>
        </w:rPr>
      </w:pPr>
    </w:p>
    <w:p>
      <w:pPr>
        <w:pStyle w:val="BodyText"/>
        <w:spacing w:line="240" w:lineRule="auto"/>
        <w:ind w:left="453" w:right="0"/>
        <w:jc w:val="both"/>
      </w:pPr>
      <w:r>
        <w:rPr>
          <w:rFonts w:ascii="宋体" w:hAnsi="宋体" w:cs="宋体" w:eastAsia="宋体" w:hint="default"/>
        </w:rPr>
        <w:t>•</w:t>
      </w:r>
      <w:r>
        <w:rPr>
          <w:rFonts w:ascii="宋体" w:hAnsi="宋体" w:cs="宋体" w:eastAsia="宋体" w:hint="default"/>
          <w:spacing w:val="45"/>
        </w:rPr>
        <w:t> </w:t>
      </w:r>
      <w:r>
        <w:rPr/>
        <w:t>本集团从经营活动中持续取得的净现金流入；</w:t>
      </w:r>
    </w:p>
    <w:p>
      <w:pPr>
        <w:spacing w:line="240" w:lineRule="auto" w:before="12"/>
        <w:rPr>
          <w:rFonts w:ascii="宋体" w:hAnsi="宋体" w:cs="宋体" w:eastAsia="宋体" w:hint="default"/>
          <w:sz w:val="17"/>
          <w:szCs w:val="17"/>
        </w:rPr>
      </w:pPr>
    </w:p>
    <w:p>
      <w:pPr>
        <w:pStyle w:val="BodyText"/>
        <w:spacing w:line="302" w:lineRule="auto"/>
        <w:ind w:left="453" w:right="191"/>
        <w:jc w:val="both"/>
      </w:pPr>
      <w:r>
        <w:rPr>
          <w:rFonts w:ascii="宋体" w:hAnsi="宋体" w:cs="宋体" w:eastAsia="宋体" w:hint="default"/>
          <w:w w:val="200"/>
        </w:rPr>
        <w:t>•</w:t>
      </w:r>
      <w:r>
        <w:rPr>
          <w:rFonts w:ascii="宋体" w:hAnsi="宋体" w:cs="宋体" w:eastAsia="宋体" w:hint="default"/>
          <w:spacing w:val="-133"/>
          <w:w w:val="200"/>
        </w:rPr>
        <w:t> </w:t>
      </w:r>
      <w:r>
        <w:rPr/>
        <w:t>于</w:t>
      </w:r>
      <w:r>
        <w:rPr>
          <w:spacing w:val="-43"/>
        </w:rPr>
        <w:t> </w:t>
      </w:r>
      <w:r>
        <w:rPr>
          <w:spacing w:val="-1"/>
          <w:w w:val="111"/>
        </w:rPr>
        <w:t>2018</w:t>
      </w:r>
      <w:r>
        <w:rPr>
          <w:spacing w:val="-52"/>
          <w:w w:val="111"/>
        </w:rPr>
        <w:t> </w:t>
      </w:r>
      <w:r>
        <w:rPr/>
        <w:t>年</w:t>
      </w:r>
      <w:r>
        <w:rPr>
          <w:spacing w:val="-43"/>
        </w:rPr>
        <w:t> </w:t>
      </w:r>
      <w:r>
        <w:rPr>
          <w:spacing w:val="-1"/>
          <w:w w:val="111"/>
        </w:rPr>
        <w:t>12</w:t>
      </w:r>
      <w:r>
        <w:rPr>
          <w:spacing w:val="-52"/>
          <w:w w:val="111"/>
        </w:rPr>
        <w:t> </w:t>
      </w:r>
      <w:r>
        <w:rPr/>
        <w:t>月</w:t>
      </w:r>
      <w:r>
        <w:rPr>
          <w:spacing w:val="-43"/>
        </w:rPr>
        <w:t> </w:t>
      </w:r>
      <w:r>
        <w:rPr>
          <w:spacing w:val="-1"/>
          <w:w w:val="111"/>
        </w:rPr>
        <w:t>31</w:t>
      </w:r>
      <w:r>
        <w:rPr>
          <w:spacing w:val="-52"/>
          <w:w w:val="111"/>
        </w:rPr>
        <w:t> </w:t>
      </w:r>
      <w:r>
        <w:rPr>
          <w:spacing w:val="2"/>
        </w:rPr>
        <w:t>日，循环银行信贷额度授予发行额度约为人民币</w:t>
      </w:r>
      <w:r>
        <w:rPr>
          <w:spacing w:val="-43"/>
        </w:rPr>
        <w:t> </w:t>
      </w:r>
      <w:r>
        <w:rPr>
          <w:spacing w:val="-1"/>
          <w:w w:val="99"/>
        </w:rPr>
        <w:t>2,609</w:t>
      </w:r>
      <w:r>
        <w:rPr>
          <w:spacing w:val="-42"/>
          <w:w w:val="99"/>
        </w:rPr>
        <w:t> </w:t>
      </w:r>
      <w:r>
        <w:rPr>
          <w:spacing w:val="2"/>
        </w:rPr>
        <w:t>亿元及未使用的额度约为人民币</w:t>
      </w:r>
      <w:r>
        <w:rPr>
          <w:spacing w:val="-43"/>
        </w:rPr>
        <w:t> </w:t>
      </w:r>
      <w:r>
        <w:rPr>
          <w:spacing w:val="-1"/>
          <w:w w:val="99"/>
        </w:rPr>
        <w:t>2,456</w:t>
      </w:r>
      <w:r>
        <w:rPr>
          <w:spacing w:val="-87"/>
          <w:w w:val="99"/>
        </w:rPr>
        <w:t> </w:t>
      </w:r>
      <w:r>
        <w:rPr>
          <w:spacing w:val="-87"/>
          <w:w w:val="99"/>
        </w:rPr>
      </w:r>
      <w:r>
        <w:rPr>
          <w:w w:val="110"/>
        </w:rPr>
        <w:t>亿元；及</w:t>
      </w:r>
    </w:p>
    <w:p>
      <w:pPr>
        <w:spacing w:line="240" w:lineRule="auto" w:before="1"/>
        <w:rPr>
          <w:rFonts w:ascii="宋体" w:hAnsi="宋体" w:cs="宋体" w:eastAsia="宋体" w:hint="default"/>
          <w:sz w:val="13"/>
          <w:szCs w:val="13"/>
        </w:rPr>
      </w:pPr>
    </w:p>
    <w:p>
      <w:pPr>
        <w:pStyle w:val="BodyText"/>
        <w:spacing w:line="240" w:lineRule="auto"/>
        <w:ind w:left="453" w:right="0"/>
        <w:jc w:val="both"/>
      </w:pPr>
      <w:r>
        <w:rPr>
          <w:rFonts w:ascii="宋体" w:hAnsi="宋体" w:cs="宋体" w:eastAsia="宋体" w:hint="default"/>
        </w:rPr>
        <w:t>•</w:t>
      </w:r>
      <w:r>
        <w:rPr>
          <w:rFonts w:ascii="宋体" w:hAnsi="宋体" w:cs="宋体" w:eastAsia="宋体" w:hint="default"/>
          <w:spacing w:val="45"/>
        </w:rPr>
        <w:t> </w:t>
      </w:r>
      <w:r>
        <w:rPr/>
        <w:t>考虑到本集团的信贷记录，从国内银行和其他金融机构获得的其他融资渠道。</w:t>
      </w:r>
    </w:p>
    <w:p>
      <w:pPr>
        <w:spacing w:line="240" w:lineRule="auto" w:before="8"/>
        <w:rPr>
          <w:rFonts w:ascii="宋体" w:hAnsi="宋体" w:cs="宋体" w:eastAsia="宋体" w:hint="default"/>
          <w:sz w:val="17"/>
          <w:szCs w:val="17"/>
        </w:rPr>
      </w:pPr>
    </w:p>
    <w:p>
      <w:pPr>
        <w:pStyle w:val="BodyText"/>
        <w:spacing w:line="240" w:lineRule="auto"/>
        <w:ind w:left="453" w:right="0"/>
        <w:jc w:val="both"/>
      </w:pPr>
      <w:r>
        <w:rPr/>
        <w:t>此外，本集团相信能够通过短、中、长期方式筹集资金，并通过适当安排融资组合以保持合理的融资成本。</w:t>
      </w:r>
    </w:p>
    <w:p>
      <w:pPr>
        <w:spacing w:line="240" w:lineRule="auto" w:before="5"/>
        <w:rPr>
          <w:rFonts w:ascii="宋体" w:hAnsi="宋体" w:cs="宋体" w:eastAsia="宋体" w:hint="default"/>
          <w:sz w:val="16"/>
          <w:szCs w:val="16"/>
        </w:rPr>
      </w:pPr>
    </w:p>
    <w:p>
      <w:pPr>
        <w:pStyle w:val="BodyText"/>
        <w:spacing w:line="285" w:lineRule="auto"/>
        <w:ind w:left="453" w:right="192"/>
        <w:jc w:val="both"/>
      </w:pPr>
      <w:r>
        <w:rPr>
          <w:spacing w:val="2"/>
        </w:rPr>
        <w:t>基于以上考虑，董事会认为本集团有足够的资金以满足营运资金和偿债所需。因此，本集团</w:t>
      </w:r>
      <w:r>
        <w:rPr>
          <w:spacing w:val="-23"/>
        </w:rPr>
        <w:t> </w:t>
      </w:r>
      <w:r>
        <w:rPr/>
        <w:t>2018</w:t>
      </w:r>
      <w:r>
        <w:rPr>
          <w:spacing w:val="-23"/>
        </w:rPr>
        <w:t> </w:t>
      </w:r>
      <w:r>
        <w:rPr>
          <w:spacing w:val="2"/>
        </w:rPr>
        <w:t>年度财务报表仍按</w:t>
      </w:r>
      <w:r>
        <w:rPr>
          <w:spacing w:val="-66"/>
        </w:rPr>
        <w:t> </w:t>
      </w:r>
      <w:r>
        <w:rPr>
          <w:spacing w:val="-66"/>
        </w:rPr>
      </w:r>
      <w:r>
        <w:rPr/>
        <w:t>持续经营基础编制。</w:t>
      </w:r>
    </w:p>
    <w:p>
      <w:pPr>
        <w:spacing w:after="0" w:line="285" w:lineRule="auto"/>
        <w:jc w:val="both"/>
        <w:sectPr>
          <w:headerReference w:type="even" r:id="rId271"/>
          <w:footerReference w:type="even" r:id="rId272"/>
          <w:footerReference w:type="default" r:id="rId273"/>
          <w:pgSz w:w="11910" w:h="16160"/>
          <w:pgMar w:header="1200" w:footer="320" w:top="2120" w:bottom="520" w:left="680" w:right="1280"/>
          <w:pgNumType w:start="96"/>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87"/>
        <w:jc w:val="left"/>
        <w:rPr>
          <w:rFonts w:ascii="宋体" w:hAnsi="宋体" w:cs="宋体" w:eastAsia="宋体" w:hint="default"/>
        </w:rPr>
      </w:pPr>
      <w:r>
        <w:rPr>
          <w:rFonts w:ascii="宋体" w:hAnsi="宋体" w:cs="宋体" w:eastAsia="宋体" w:hint="default"/>
          <w:color w:val="9F8958"/>
        </w:rPr>
        <w:t>三、重要会计政策和会计估计</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87"/>
        <w:jc w:val="left"/>
      </w:pPr>
      <w:r>
        <w:rPr/>
        <w:t>1、</w:t>
      </w:r>
      <w:r>
        <w:rPr>
          <w:spacing w:val="-21"/>
        </w:rPr>
        <w:t> </w:t>
      </w:r>
      <w:r>
        <w:rPr/>
        <w:t>遵循企业会计准则的声明</w:t>
      </w:r>
    </w:p>
    <w:p>
      <w:pPr>
        <w:spacing w:line="240" w:lineRule="auto" w:before="12"/>
        <w:rPr>
          <w:rFonts w:ascii="宋体" w:hAnsi="宋体" w:cs="宋体" w:eastAsia="宋体" w:hint="default"/>
          <w:sz w:val="17"/>
          <w:szCs w:val="17"/>
        </w:rPr>
      </w:pPr>
    </w:p>
    <w:p>
      <w:pPr>
        <w:pStyle w:val="BodyText"/>
        <w:spacing w:line="285" w:lineRule="auto"/>
        <w:ind w:right="101"/>
        <w:jc w:val="both"/>
      </w:pPr>
      <w:r>
        <w:rPr/>
        <w:t>本财务报表符合中华人民共和国财政部（以下简称“财政部”）颁布的企业会计准则的要求，真实、完整地反映了本 公司</w:t>
      </w:r>
      <w:r>
        <w:rPr>
          <w:spacing w:val="-69"/>
        </w:rPr>
        <w:t> </w:t>
      </w:r>
      <w:r>
        <w:rPr>
          <w:spacing w:val="-1"/>
          <w:w w:val="111"/>
        </w:rPr>
        <w:t>2018</w:t>
      </w:r>
      <w:r>
        <w:rPr>
          <w:spacing w:val="-79"/>
          <w:w w:val="111"/>
        </w:rPr>
        <w:t> </w:t>
      </w:r>
      <w:r>
        <w:rPr/>
        <w:t>年</w:t>
      </w:r>
      <w:r>
        <w:rPr>
          <w:spacing w:val="-69"/>
        </w:rPr>
        <w:t> </w:t>
      </w:r>
      <w:r>
        <w:rPr>
          <w:w w:val="111"/>
        </w:rPr>
        <w:t>12</w:t>
      </w:r>
      <w:r>
        <w:rPr>
          <w:spacing w:val="-79"/>
          <w:w w:val="111"/>
        </w:rPr>
        <w:t> </w:t>
      </w:r>
      <w:r>
        <w:rPr/>
        <w:t>月</w:t>
      </w:r>
      <w:r>
        <w:rPr>
          <w:spacing w:val="-69"/>
        </w:rPr>
        <w:t> </w:t>
      </w:r>
      <w:r>
        <w:rPr>
          <w:w w:val="111"/>
        </w:rPr>
        <w:t>31</w:t>
      </w:r>
      <w:r>
        <w:rPr>
          <w:spacing w:val="-79"/>
          <w:w w:val="111"/>
        </w:rPr>
        <w:t> </w:t>
      </w:r>
      <w:r>
        <w:rPr>
          <w:spacing w:val="-5"/>
          <w:w w:val="102"/>
        </w:rPr>
        <w:t>日的合并财务状况和财务状况、2018</w:t>
      </w:r>
      <w:r>
        <w:rPr>
          <w:spacing w:val="-72"/>
          <w:w w:val="102"/>
        </w:rPr>
        <w:t> </w:t>
      </w:r>
      <w:r>
        <w:rPr/>
        <w:t>年度的合并经营成果和经营成果及合并现金流量和现金流量。</w:t>
      </w:r>
    </w:p>
    <w:p>
      <w:pPr>
        <w:spacing w:line="240" w:lineRule="auto" w:before="10"/>
        <w:rPr>
          <w:rFonts w:ascii="宋体" w:hAnsi="宋体" w:cs="宋体" w:eastAsia="宋体" w:hint="default"/>
          <w:sz w:val="13"/>
          <w:szCs w:val="13"/>
        </w:rPr>
      </w:pPr>
    </w:p>
    <w:p>
      <w:pPr>
        <w:pStyle w:val="BodyText"/>
        <w:spacing w:line="285" w:lineRule="auto"/>
        <w:ind w:right="194"/>
        <w:jc w:val="both"/>
      </w:pPr>
      <w:r>
        <w:rPr/>
        <w:t>此外，本公司的财务报表同时符合中国证券监督管理委员会（以下简称“证监会”）2014</w:t>
      </w:r>
      <w:r>
        <w:rPr>
          <w:spacing w:val="-26"/>
        </w:rPr>
        <w:t> </w:t>
      </w:r>
      <w:r>
        <w:rPr/>
        <w:t>年修订的《公开发行证券的</w:t>
      </w:r>
      <w:r>
        <w:rPr>
          <w:spacing w:val="-73"/>
        </w:rPr>
        <w:t> </w:t>
      </w:r>
      <w:r>
        <w:rPr>
          <w:spacing w:val="-73"/>
        </w:rPr>
      </w:r>
      <w:r>
        <w:rPr/>
        <w:t>公司信息披露编报规则第 15</w:t>
      </w:r>
      <w:r>
        <w:rPr>
          <w:spacing w:val="-72"/>
        </w:rPr>
        <w:t> </w:t>
      </w:r>
      <w:r>
        <w:rPr/>
        <w:t>号——财务报告的一般规定》有关财务报表及其附注的披露要求。</w:t>
      </w:r>
    </w:p>
    <w:p>
      <w:pPr>
        <w:spacing w:line="240" w:lineRule="auto" w:before="10"/>
        <w:rPr>
          <w:rFonts w:ascii="宋体" w:hAnsi="宋体" w:cs="宋体" w:eastAsia="宋体" w:hint="default"/>
          <w:sz w:val="13"/>
          <w:szCs w:val="13"/>
        </w:rPr>
      </w:pPr>
    </w:p>
    <w:p>
      <w:pPr>
        <w:pStyle w:val="BodyText"/>
        <w:spacing w:line="240" w:lineRule="auto"/>
        <w:ind w:left="114" w:right="87"/>
        <w:jc w:val="left"/>
      </w:pPr>
      <w:r>
        <w:rPr/>
        <w:t>2、</w:t>
      </w:r>
      <w:r>
        <w:rPr>
          <w:spacing w:val="-21"/>
        </w:rPr>
        <w:t> </w:t>
      </w:r>
      <w:r>
        <w:rPr/>
        <w:t>会计期间</w:t>
      </w:r>
    </w:p>
    <w:p>
      <w:pPr>
        <w:spacing w:line="240" w:lineRule="auto" w:before="12"/>
        <w:rPr>
          <w:rFonts w:ascii="宋体" w:hAnsi="宋体" w:cs="宋体" w:eastAsia="宋体" w:hint="default"/>
          <w:sz w:val="17"/>
          <w:szCs w:val="17"/>
        </w:rPr>
      </w:pPr>
    </w:p>
    <w:p>
      <w:pPr>
        <w:pStyle w:val="BodyText"/>
        <w:spacing w:line="458" w:lineRule="auto"/>
        <w:ind w:left="114" w:right="5819" w:firstLine="340"/>
        <w:jc w:val="left"/>
      </w:pPr>
      <w:r>
        <w:rPr/>
        <w:t>会计年度自公历</w:t>
      </w:r>
      <w:r>
        <w:rPr>
          <w:spacing w:val="-38"/>
        </w:rPr>
        <w:t> </w:t>
      </w:r>
      <w:r>
        <w:rPr/>
        <w:t>1</w:t>
      </w:r>
      <w:r>
        <w:rPr>
          <w:spacing w:val="-39"/>
        </w:rPr>
        <w:t> </w:t>
      </w:r>
      <w:r>
        <w:rPr/>
        <w:t>月</w:t>
      </w:r>
      <w:r>
        <w:rPr>
          <w:spacing w:val="-38"/>
        </w:rPr>
        <w:t> </w:t>
      </w:r>
      <w:r>
        <w:rPr/>
        <w:t>1</w:t>
      </w:r>
      <w:r>
        <w:rPr>
          <w:spacing w:val="-39"/>
        </w:rPr>
        <w:t> </w:t>
      </w:r>
      <w:r>
        <w:rPr/>
        <w:t>日起至</w:t>
      </w:r>
      <w:r>
        <w:rPr>
          <w:spacing w:val="-38"/>
        </w:rPr>
        <w:t> </w:t>
      </w:r>
      <w:r>
        <w:rPr/>
        <w:t>12</w:t>
      </w:r>
      <w:r>
        <w:rPr>
          <w:spacing w:val="-39"/>
        </w:rPr>
        <w:t> </w:t>
      </w:r>
      <w:r>
        <w:rPr/>
        <w:t>月</w:t>
      </w:r>
      <w:r>
        <w:rPr>
          <w:spacing w:val="-38"/>
        </w:rPr>
        <w:t> </w:t>
      </w:r>
      <w:r>
        <w:rPr/>
        <w:t>31</w:t>
      </w:r>
      <w:r>
        <w:rPr>
          <w:spacing w:val="-39"/>
        </w:rPr>
        <w:t> </w:t>
      </w:r>
      <w:r>
        <w:rPr/>
        <w:t>日止。</w:t>
      </w:r>
      <w:r>
        <w:rPr/>
        <w:t> 3、</w:t>
      </w:r>
      <w:r>
        <w:rPr>
          <w:spacing w:val="-21"/>
        </w:rPr>
        <w:t> </w:t>
      </w:r>
      <w:r>
        <w:rPr/>
        <w:t>记账本位币</w:t>
      </w:r>
    </w:p>
    <w:p>
      <w:pPr>
        <w:pStyle w:val="BodyText"/>
        <w:spacing w:line="458" w:lineRule="auto" w:before="71"/>
        <w:ind w:left="114" w:right="4251" w:firstLine="340"/>
        <w:jc w:val="left"/>
      </w:pPr>
      <w:r>
        <w:rPr/>
        <w:t>本集团除个别境外子公司外，编制财务报表采用的货币为人民币。 4、</w:t>
      </w:r>
      <w:r>
        <w:rPr>
          <w:spacing w:val="-21"/>
        </w:rPr>
        <w:t> </w:t>
      </w:r>
      <w:r>
        <w:rPr/>
        <w:t>企业合并</w:t>
      </w:r>
    </w:p>
    <w:p>
      <w:pPr>
        <w:pStyle w:val="BodyText"/>
        <w:spacing w:line="240" w:lineRule="auto" w:before="71"/>
        <w:ind w:left="114" w:right="87"/>
        <w:jc w:val="left"/>
      </w:pPr>
      <w:r>
        <w:rPr/>
        <w:t>(a)</w:t>
      </w:r>
      <w:r>
        <w:rPr>
          <w:spacing w:val="-21"/>
        </w:rPr>
        <w:t> </w:t>
      </w:r>
      <w:r>
        <w:rPr/>
        <w:t>同一控制下的企业合并</w:t>
      </w:r>
    </w:p>
    <w:p>
      <w:pPr>
        <w:spacing w:line="240" w:lineRule="auto" w:before="12"/>
        <w:rPr>
          <w:rFonts w:ascii="宋体" w:hAnsi="宋体" w:cs="宋体" w:eastAsia="宋体" w:hint="default"/>
          <w:sz w:val="17"/>
          <w:szCs w:val="17"/>
        </w:rPr>
      </w:pPr>
    </w:p>
    <w:p>
      <w:pPr>
        <w:pStyle w:val="BodyText"/>
        <w:spacing w:line="285" w:lineRule="auto"/>
        <w:ind w:right="185"/>
        <w:jc w:val="both"/>
      </w:pPr>
      <w:r>
        <w:rPr/>
        <w:t>合并方支付的合并对价及取得的净资产均按最终控制方合并财务报表中的账面价值计量。合并方取得的净资产账面价</w:t>
      </w:r>
      <w:r>
        <w:rPr>
          <w:spacing w:val="9"/>
        </w:rPr>
        <w:t> </w:t>
      </w:r>
      <w:r>
        <w:rPr>
          <w:spacing w:val="9"/>
        </w:rPr>
      </w:r>
      <w:r>
        <w:rPr/>
        <w:t>值与支付的合并对价账面价值的差额，调整资本公积（股本溢价）；资本公积（股本溢价）不足以冲减的，调整留存</w:t>
      </w:r>
      <w:r>
        <w:rPr>
          <w:spacing w:val="-1"/>
        </w:rPr>
        <w:t> </w:t>
      </w:r>
      <w:r>
        <w:rPr>
          <w:spacing w:val="-1"/>
        </w:rPr>
      </w:r>
      <w:r>
        <w:rPr/>
        <w:t>收益。为进行企业合并发生的直接相关费用于发生时计入当期损益。为企业合并而发行权益性证券或债务性证券的交</w:t>
      </w:r>
      <w:r>
        <w:rPr>
          <w:spacing w:val="7"/>
        </w:rPr>
        <w:t> </w:t>
      </w:r>
      <w:r>
        <w:rPr>
          <w:spacing w:val="7"/>
        </w:rPr>
      </w:r>
      <w:r>
        <w:rPr/>
        <w:t>易费用，计入权益性证券或债务性证券的初始确认金额。</w:t>
      </w:r>
    </w:p>
    <w:p>
      <w:pPr>
        <w:spacing w:line="240" w:lineRule="auto" w:before="10"/>
        <w:rPr>
          <w:rFonts w:ascii="宋体" w:hAnsi="宋体" w:cs="宋体" w:eastAsia="宋体" w:hint="default"/>
          <w:sz w:val="13"/>
          <w:szCs w:val="13"/>
        </w:rPr>
      </w:pPr>
    </w:p>
    <w:p>
      <w:pPr>
        <w:pStyle w:val="BodyText"/>
        <w:spacing w:line="240" w:lineRule="auto"/>
        <w:ind w:right="0"/>
        <w:jc w:val="both"/>
      </w:pPr>
      <w:r>
        <w:rPr/>
        <w:t>本集团执行企业会计准则（2007</w:t>
      </w:r>
      <w:r>
        <w:rPr>
          <w:spacing w:val="-34"/>
        </w:rPr>
        <w:t> </w:t>
      </w:r>
      <w:r>
        <w:rPr/>
        <w:t>年</w:t>
      </w:r>
      <w:r>
        <w:rPr>
          <w:spacing w:val="-34"/>
        </w:rPr>
        <w:t> </w:t>
      </w:r>
      <w:r>
        <w:rPr/>
        <w:t>1</w:t>
      </w:r>
      <w:r>
        <w:rPr>
          <w:spacing w:val="-34"/>
        </w:rPr>
        <w:t> </w:t>
      </w:r>
      <w:r>
        <w:rPr/>
        <w:t>月</w:t>
      </w:r>
      <w:r>
        <w:rPr>
          <w:spacing w:val="-34"/>
        </w:rPr>
        <w:t> </w:t>
      </w:r>
      <w:r>
        <w:rPr/>
        <w:t>1</w:t>
      </w:r>
      <w:r>
        <w:rPr>
          <w:spacing w:val="-34"/>
        </w:rPr>
        <w:t> </w:t>
      </w:r>
      <w:r>
        <w:rPr/>
        <w:t>日，“首次执行日”）前的同一控制下的企业收购，所支付的合并对价与所</w:t>
      </w:r>
    </w:p>
    <w:p>
      <w:pPr>
        <w:pStyle w:val="BodyText"/>
        <w:spacing w:line="285" w:lineRule="auto" w:before="44"/>
        <w:ind w:right="192"/>
        <w:jc w:val="both"/>
      </w:pPr>
      <w:r>
        <w:rPr/>
        <w:t>收购的改制企业经评估的净资产的账面价值的差额根据《企业会计准则</w:t>
      </w:r>
      <w:r>
        <w:rPr>
          <w:spacing w:val="-37"/>
        </w:rPr>
        <w:t> </w:t>
      </w:r>
      <w:r>
        <w:rPr/>
        <w:t>38</w:t>
      </w:r>
      <w:r>
        <w:rPr>
          <w:spacing w:val="-37"/>
        </w:rPr>
        <w:t> </w:t>
      </w:r>
      <w:r>
        <w:rPr/>
        <w:t>号－首次执行企业会计准则》的要求已经于</w:t>
      </w:r>
      <w:r>
        <w:rPr>
          <w:spacing w:val="-88"/>
        </w:rPr>
        <w:t> </w:t>
      </w:r>
      <w:r>
        <w:rPr>
          <w:spacing w:val="-88"/>
        </w:rPr>
      </w:r>
      <w:r>
        <w:rPr/>
        <w:t>首次执行日追溯调整了本集团的留存收益。</w:t>
      </w:r>
    </w:p>
    <w:p>
      <w:pPr>
        <w:spacing w:line="240" w:lineRule="auto" w:before="10"/>
        <w:rPr>
          <w:rFonts w:ascii="宋体" w:hAnsi="宋体" w:cs="宋体" w:eastAsia="宋体" w:hint="default"/>
          <w:sz w:val="13"/>
          <w:szCs w:val="13"/>
        </w:rPr>
      </w:pPr>
    </w:p>
    <w:p>
      <w:pPr>
        <w:pStyle w:val="BodyText"/>
        <w:spacing w:line="240" w:lineRule="auto"/>
        <w:ind w:left="114" w:right="87"/>
        <w:jc w:val="left"/>
      </w:pPr>
      <w:r>
        <w:rPr/>
        <w:t>(b)</w:t>
      </w:r>
      <w:r>
        <w:rPr>
          <w:spacing w:val="-21"/>
        </w:rPr>
        <w:t> </w:t>
      </w:r>
      <w:r>
        <w:rPr/>
        <w:t>非同一控制下的企业合并</w:t>
      </w:r>
    </w:p>
    <w:p>
      <w:pPr>
        <w:spacing w:line="240" w:lineRule="auto" w:before="12"/>
        <w:rPr>
          <w:rFonts w:ascii="宋体" w:hAnsi="宋体" w:cs="宋体" w:eastAsia="宋体" w:hint="default"/>
          <w:sz w:val="17"/>
          <w:szCs w:val="17"/>
        </w:rPr>
      </w:pPr>
    </w:p>
    <w:p>
      <w:pPr>
        <w:pStyle w:val="BodyText"/>
        <w:spacing w:line="285" w:lineRule="auto"/>
        <w:ind w:right="185"/>
        <w:jc w:val="both"/>
      </w:pPr>
      <w:r>
        <w:rPr/>
        <w:t>购买方发生的合并成本及在合并中取得的可辨认净资产按购买日的公允价值计量。合并成本大于合并中取得的被购买</w:t>
      </w:r>
      <w:r>
        <w:rPr>
          <w:spacing w:val="9"/>
        </w:rPr>
        <w:t> </w:t>
      </w:r>
      <w:r>
        <w:rPr>
          <w:spacing w:val="9"/>
        </w:rPr>
      </w:r>
      <w:r>
        <w:rPr/>
        <w:t>方于购买日可辨认净资产公允价值份额的差额，确认为商誉；合并成本小于合并中取得的被购买方可辨认净资产公允</w:t>
      </w:r>
      <w:r>
        <w:rPr>
          <w:spacing w:val="7"/>
        </w:rPr>
        <w:t> </w:t>
      </w:r>
      <w:r>
        <w:rPr>
          <w:spacing w:val="7"/>
        </w:rPr>
      </w:r>
      <w:r>
        <w:rPr/>
        <w:t>价值份额的差额，计入当期损益。为进行企业合并发生的直接相关费用于发生时计入当期损益。为企业合并而发行权</w:t>
      </w:r>
      <w:r>
        <w:rPr>
          <w:spacing w:val="5"/>
        </w:rPr>
        <w:t> </w:t>
      </w:r>
      <w:r>
        <w:rPr>
          <w:spacing w:val="5"/>
        </w:rPr>
      </w:r>
      <w:r>
        <w:rPr/>
        <w:t>益性证券或债务性证券的交易费用，计入权益性证券或债务性证券的初始确认金额。</w:t>
      </w:r>
    </w:p>
    <w:p>
      <w:pPr>
        <w:spacing w:after="0" w:line="285" w:lineRule="auto"/>
        <w:jc w:val="both"/>
        <w:sectPr>
          <w:headerReference w:type="default" r:id="rId274"/>
          <w:pgSz w:w="11910" w:h="16160"/>
          <w:pgMar w:header="0" w:footer="298" w:top="152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453" w:right="4012" w:hanging="341"/>
        <w:jc w:val="left"/>
      </w:pPr>
      <w:r>
        <w:rPr/>
        <w:t>5、合并财务报表的编制方法</w:t>
      </w:r>
      <w:r>
        <w:rPr>
          <w:spacing w:val="-81"/>
        </w:rPr>
        <w:t> </w:t>
      </w:r>
      <w:r>
        <w:rPr/>
        <w:t>编制合并财务报表时，合并范围包括本公司及本公司控制的子公司。</w:t>
      </w:r>
    </w:p>
    <w:p>
      <w:pPr>
        <w:pStyle w:val="BodyText"/>
        <w:spacing w:line="285" w:lineRule="auto" w:before="34"/>
        <w:ind w:left="453" w:right="126"/>
        <w:jc w:val="both"/>
      </w:pPr>
      <w:r>
        <w:rPr/>
        <w:t>从取得子公司的实际控制权之日起，本集团开始将其纳入合并范围；从丧失实际控制权之日起停止纳入合并范围。对</w:t>
      </w:r>
      <w:r>
        <w:rPr>
          <w:spacing w:val="5"/>
        </w:rPr>
        <w:t> </w:t>
      </w:r>
      <w:r>
        <w:rPr>
          <w:spacing w:val="5"/>
        </w:rPr>
      </w:r>
      <w:r>
        <w:rPr>
          <w:spacing w:val="-2"/>
        </w:rPr>
        <w:t>于同一控制下企业合并取得的子公司，以被合并子公司的各项资产、负债在最终控制方财务报表中的账面价值为基础，</w:t>
      </w:r>
      <w:r>
        <w:rPr>
          <w:spacing w:val="-50"/>
        </w:rPr>
        <w:t> </w:t>
      </w:r>
      <w:r>
        <w:rPr>
          <w:spacing w:val="-50"/>
        </w:rPr>
      </w:r>
      <w:r>
        <w:rPr/>
        <w:t>自其与本公司同受最终控制方控制之日起纳入本公司合并范围，并对合并财务报表的年初数以及前期比较报表进行相</w:t>
      </w:r>
      <w:r>
        <w:rPr>
          <w:spacing w:val="9"/>
        </w:rPr>
        <w:t> </w:t>
      </w:r>
      <w:r>
        <w:rPr>
          <w:spacing w:val="9"/>
        </w:rPr>
      </w:r>
      <w:r>
        <w:rPr/>
        <w:t>应调整。</w:t>
      </w:r>
    </w:p>
    <w:p>
      <w:pPr>
        <w:spacing w:line="240" w:lineRule="auto" w:before="10"/>
        <w:rPr>
          <w:rFonts w:ascii="宋体" w:hAnsi="宋体" w:cs="宋体" w:eastAsia="宋体" w:hint="default"/>
          <w:sz w:val="13"/>
          <w:szCs w:val="13"/>
        </w:rPr>
      </w:pPr>
    </w:p>
    <w:p>
      <w:pPr>
        <w:pStyle w:val="BodyText"/>
        <w:spacing w:line="285" w:lineRule="auto"/>
        <w:ind w:left="453" w:right="126"/>
        <w:jc w:val="both"/>
      </w:pPr>
      <w:r>
        <w:rPr/>
        <w:t>在编制合并财务报表时，子公司与本公司采用的会计政策或会计期间不一致的，按照本公司的会计政策和会计期间对</w:t>
      </w:r>
      <w:r>
        <w:rPr>
          <w:spacing w:val="7"/>
        </w:rPr>
        <w:t> </w:t>
      </w:r>
      <w:r>
        <w:rPr>
          <w:spacing w:val="7"/>
        </w:rPr>
      </w:r>
      <w:r>
        <w:rPr/>
        <w:t>子公司财务报表进行必要的调整。对于非同一控制下企业合并取得的子公司，以购买日可辨认净资产公允价值为基础</w:t>
      </w:r>
      <w:r>
        <w:rPr>
          <w:spacing w:val="7"/>
        </w:rPr>
        <w:t> </w:t>
      </w:r>
      <w:r>
        <w:rPr>
          <w:spacing w:val="7"/>
        </w:rPr>
      </w:r>
      <w:r>
        <w:rPr/>
        <w:t>对其财务报表进行调整。</w:t>
      </w:r>
    </w:p>
    <w:p>
      <w:pPr>
        <w:spacing w:line="240" w:lineRule="auto" w:before="10"/>
        <w:rPr>
          <w:rFonts w:ascii="宋体" w:hAnsi="宋体" w:cs="宋体" w:eastAsia="宋体" w:hint="default"/>
          <w:sz w:val="13"/>
          <w:szCs w:val="13"/>
        </w:rPr>
      </w:pPr>
    </w:p>
    <w:p>
      <w:pPr>
        <w:pStyle w:val="BodyText"/>
        <w:spacing w:line="285" w:lineRule="auto"/>
        <w:ind w:left="453" w:right="128"/>
        <w:jc w:val="both"/>
      </w:pPr>
      <w:r>
        <w:rPr/>
        <w:t>集团内所有重大往来余额、交易及未实现利润在合并财务报表编制时予以抵销。子公司少数股东应占的权益、损益和</w:t>
      </w:r>
      <w:r>
        <w:rPr>
          <w:spacing w:val="5"/>
        </w:rPr>
        <w:t> </w:t>
      </w:r>
      <w:r>
        <w:rPr>
          <w:spacing w:val="5"/>
        </w:rPr>
      </w:r>
      <w:r>
        <w:rPr/>
        <w:t>综合收益分别在合并财务报表中股东权益、净利润及综合收益总额项目下单独列示。</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t>6、</w:t>
      </w:r>
      <w:r>
        <w:rPr>
          <w:spacing w:val="-21"/>
        </w:rPr>
        <w:t> </w:t>
      </w:r>
      <w:r>
        <w:rPr/>
        <w:t>现金及现金等价物的确定标准</w:t>
      </w:r>
    </w:p>
    <w:p>
      <w:pPr>
        <w:spacing w:line="240" w:lineRule="auto" w:before="12"/>
        <w:rPr>
          <w:rFonts w:ascii="宋体" w:hAnsi="宋体" w:cs="宋体" w:eastAsia="宋体" w:hint="default"/>
          <w:sz w:val="17"/>
          <w:szCs w:val="17"/>
        </w:rPr>
      </w:pPr>
    </w:p>
    <w:p>
      <w:pPr>
        <w:pStyle w:val="BodyText"/>
        <w:spacing w:line="285" w:lineRule="auto"/>
        <w:ind w:left="453" w:right="133"/>
        <w:jc w:val="both"/>
      </w:pPr>
      <w:r>
        <w:rPr/>
        <w:t>现金及现金等价物包括库存现金、可随时用于支付的存款以及持有的期限短、流动性强、易于转换为已知金额现金、</w:t>
      </w:r>
      <w:r>
        <w:rPr>
          <w:spacing w:val="1"/>
        </w:rPr>
        <w:t> </w:t>
      </w:r>
      <w:r>
        <w:rPr>
          <w:spacing w:val="1"/>
        </w:rPr>
      </w:r>
      <w:r>
        <w:rPr/>
        <w:t>价值变动风险很小的投资。</w:t>
      </w:r>
    </w:p>
    <w:p>
      <w:pPr>
        <w:spacing w:line="240" w:lineRule="auto" w:before="10"/>
        <w:rPr>
          <w:rFonts w:ascii="宋体" w:hAnsi="宋体" w:cs="宋体" w:eastAsia="宋体" w:hint="default"/>
          <w:sz w:val="13"/>
          <w:szCs w:val="13"/>
        </w:rPr>
      </w:pPr>
    </w:p>
    <w:p>
      <w:pPr>
        <w:pStyle w:val="BodyText"/>
        <w:spacing w:line="480" w:lineRule="auto"/>
        <w:ind w:left="113" w:right="7434"/>
        <w:jc w:val="left"/>
      </w:pPr>
      <w:r>
        <w:rPr/>
        <w:t>7、</w:t>
      </w:r>
      <w:r>
        <w:rPr>
          <w:spacing w:val="-22"/>
        </w:rPr>
        <w:t> </w:t>
      </w:r>
      <w:r>
        <w:rPr/>
        <w:t>外币业务和外币报表折算</w:t>
      </w:r>
      <w:r>
        <w:rPr/>
        <w:t> (a)</w:t>
      </w:r>
      <w:r>
        <w:rPr>
          <w:spacing w:val="-21"/>
        </w:rPr>
        <w:t> </w:t>
      </w:r>
      <w:r>
        <w:rPr/>
        <w:t>外币交易</w:t>
      </w:r>
    </w:p>
    <w:p>
      <w:pPr>
        <w:pStyle w:val="BodyText"/>
        <w:spacing w:line="240" w:lineRule="auto" w:before="54"/>
        <w:ind w:left="453" w:right="0"/>
        <w:jc w:val="both"/>
      </w:pPr>
      <w:r>
        <w:rPr/>
        <w:t>外币交易按交易发生日的即期汇率将外币金额折算为人民币入账。</w:t>
      </w:r>
    </w:p>
    <w:p>
      <w:pPr>
        <w:spacing w:line="240" w:lineRule="auto" w:before="5"/>
        <w:rPr>
          <w:rFonts w:ascii="宋体" w:hAnsi="宋体" w:cs="宋体" w:eastAsia="宋体" w:hint="default"/>
          <w:sz w:val="16"/>
          <w:szCs w:val="16"/>
        </w:rPr>
      </w:pPr>
    </w:p>
    <w:p>
      <w:pPr>
        <w:pStyle w:val="BodyText"/>
        <w:spacing w:line="285" w:lineRule="auto"/>
        <w:ind w:left="453" w:right="126"/>
        <w:jc w:val="both"/>
      </w:pPr>
      <w:r>
        <w:rPr/>
        <w:t>于资产负债表日，外币货币性项目采用该日的即期汇率折算为人民币。除为购建符合借款费用资本化条件的资产而借</w:t>
      </w:r>
      <w:r>
        <w:rPr>
          <w:spacing w:val="7"/>
        </w:rPr>
        <w:t> </w:t>
      </w:r>
      <w:r>
        <w:rPr>
          <w:spacing w:val="7"/>
        </w:rPr>
      </w:r>
      <w:r>
        <w:rPr/>
        <w:t>入的外币专门借款产生的汇兑差额在资本化期间内予以资本化外，其他汇兑差额直接计入当期损益。以历史成本计量</w:t>
      </w:r>
      <w:r>
        <w:rPr>
          <w:spacing w:val="7"/>
        </w:rPr>
        <w:t> </w:t>
      </w:r>
      <w:r>
        <w:rPr>
          <w:spacing w:val="7"/>
        </w:rPr>
      </w:r>
      <w:r>
        <w:rPr/>
        <w:t>的外币非货币性项目，仍采用交易发生日的即期汇率折算。以公允价值计量的外币非货币性项目，采用公允价值确定</w:t>
      </w:r>
      <w:r>
        <w:rPr>
          <w:spacing w:val="5"/>
        </w:rPr>
        <w:t> </w:t>
      </w:r>
      <w:r>
        <w:rPr>
          <w:spacing w:val="5"/>
        </w:rPr>
      </w:r>
      <w:r>
        <w:rPr>
          <w:spacing w:val="2"/>
        </w:rPr>
        <w:t>日的即期汇率折算，由此产生的汇兑差额，属于可供出售金融资产</w:t>
      </w:r>
      <w:r>
        <w:rPr>
          <w:spacing w:val="-46"/>
        </w:rPr>
        <w:t> </w:t>
      </w:r>
      <w:r>
        <w:rPr>
          <w:w w:val="95"/>
        </w:rPr>
        <w:t>/</w:t>
      </w:r>
      <w:r>
        <w:rPr>
          <w:spacing w:val="-41"/>
          <w:w w:val="95"/>
        </w:rPr>
        <w:t> </w:t>
      </w:r>
      <w:r>
        <w:rPr>
          <w:spacing w:val="2"/>
        </w:rPr>
        <w:t>其他权益工具投资的外币非货币性项目的差额，</w:t>
      </w:r>
      <w:r>
        <w:rPr/>
        <w:t> 计入其他综合收益；其他差额计入当期损益。汇率变动对现金的影响额，在现金流量表中单独列示。</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t>(b)</w:t>
      </w:r>
      <w:r>
        <w:rPr>
          <w:spacing w:val="-21"/>
        </w:rPr>
        <w:t> </w:t>
      </w:r>
      <w:r>
        <w:rPr/>
        <w:t>外币财务报表的折算</w:t>
      </w:r>
    </w:p>
    <w:p>
      <w:pPr>
        <w:spacing w:line="240" w:lineRule="auto" w:before="12"/>
        <w:rPr>
          <w:rFonts w:ascii="宋体" w:hAnsi="宋体" w:cs="宋体" w:eastAsia="宋体" w:hint="default"/>
          <w:sz w:val="17"/>
          <w:szCs w:val="17"/>
        </w:rPr>
      </w:pPr>
    </w:p>
    <w:p>
      <w:pPr>
        <w:pStyle w:val="BodyText"/>
        <w:spacing w:line="285" w:lineRule="auto"/>
        <w:ind w:left="453" w:right="128"/>
        <w:jc w:val="both"/>
      </w:pPr>
      <w:r>
        <w:rPr>
          <w:spacing w:val="-2"/>
        </w:rPr>
        <w:t>境外经营的子公司资产负债表中的资产和负债项目，采用资产负债表日的即期汇率折算，股东权益中除“未分配利润”</w:t>
      </w:r>
      <w:r>
        <w:rPr>
          <w:spacing w:val="-49"/>
        </w:rPr>
        <w:t> </w:t>
      </w:r>
      <w:r>
        <w:rPr>
          <w:spacing w:val="-49"/>
        </w:rPr>
      </w:r>
      <w:r>
        <w:rPr/>
        <w:t>项目外，其他项目采用发生时的即期汇率折算。境外经营的子公司利润表中的收入与费用项目，采用交易发生日的即</w:t>
      </w:r>
      <w:r>
        <w:rPr>
          <w:spacing w:val="5"/>
        </w:rPr>
        <w:t> </w:t>
      </w:r>
      <w:r>
        <w:rPr>
          <w:spacing w:val="5"/>
        </w:rPr>
      </w:r>
      <w:r>
        <w:rPr/>
        <w:t>期汇率之近似汇率折算。上述折算产生的外币财务报表折算差额，在其他综合收益中列示。境外经营的子公司现金流</w:t>
      </w:r>
      <w:r>
        <w:rPr>
          <w:spacing w:val="5"/>
        </w:rPr>
        <w:t> </w:t>
      </w:r>
      <w:r>
        <w:rPr>
          <w:spacing w:val="5"/>
        </w:rPr>
      </w:r>
      <w:r>
        <w:rPr/>
        <w:t>量项目，采用现金流量发生日的即期汇率之近似汇率折算。汇率变动对现金的影响额，在现金流量表中单独列示。</w:t>
      </w:r>
    </w:p>
    <w:p>
      <w:pPr>
        <w:spacing w:after="0" w:line="285" w:lineRule="auto"/>
        <w:jc w:val="both"/>
        <w:sectPr>
          <w:headerReference w:type="even" r:id="rId275"/>
          <w:headerReference w:type="default" r:id="rId276"/>
          <w:footerReference w:type="even" r:id="rId277"/>
          <w:footerReference w:type="default" r:id="rId278"/>
          <w:pgSz w:w="11910" w:h="16160"/>
          <w:pgMar w:header="1200" w:footer="320" w:top="2120" w:bottom="520" w:left="680" w:right="1340"/>
          <w:pgNumType w:start="98"/>
        </w:sectPr>
      </w:pPr>
    </w:p>
    <w:p>
      <w:pPr>
        <w:spacing w:line="240" w:lineRule="auto" w:before="3"/>
        <w:rPr>
          <w:rFonts w:ascii="宋体" w:hAnsi="宋体" w:cs="宋体" w:eastAsia="宋体" w:hint="default"/>
          <w:sz w:val="14"/>
          <w:szCs w:val="14"/>
        </w:rPr>
      </w:pPr>
    </w:p>
    <w:p>
      <w:pPr>
        <w:pStyle w:val="BodyText"/>
        <w:spacing w:line="480" w:lineRule="auto" w:before="31"/>
        <w:ind w:left="114" w:right="8672"/>
        <w:jc w:val="left"/>
      </w:pPr>
      <w:r>
        <w:rPr/>
        <w:t>8、</w:t>
      </w:r>
      <w:r>
        <w:rPr>
          <w:spacing w:val="-22"/>
        </w:rPr>
        <w:t> </w:t>
      </w:r>
      <w:r>
        <w:rPr/>
        <w:t>金融工具</w:t>
      </w:r>
      <w:r>
        <w:rPr/>
        <w:t> (a)</w:t>
      </w:r>
      <w:r>
        <w:rPr>
          <w:spacing w:val="-21"/>
        </w:rPr>
        <w:t> </w:t>
      </w:r>
      <w:r>
        <w:rPr/>
        <w:t>金融资产</w:t>
      </w:r>
    </w:p>
    <w:p>
      <w:pPr>
        <w:pStyle w:val="BodyText"/>
        <w:spacing w:line="240" w:lineRule="auto" w:before="54"/>
        <w:ind w:left="114" w:right="95"/>
        <w:jc w:val="left"/>
      </w:pPr>
      <w:r>
        <w:rPr/>
        <w:t>(1)</w:t>
      </w:r>
      <w:r>
        <w:rPr>
          <w:spacing w:val="-21"/>
        </w:rPr>
        <w:t> </w:t>
      </w:r>
      <w:r>
        <w:rPr/>
        <w:t>金融资产分类</w:t>
      </w:r>
    </w:p>
    <w:p>
      <w:pPr>
        <w:spacing w:line="240" w:lineRule="auto" w:before="12"/>
        <w:rPr>
          <w:rFonts w:ascii="宋体" w:hAnsi="宋体" w:cs="宋体" w:eastAsia="宋体" w:hint="default"/>
          <w:sz w:val="17"/>
          <w:szCs w:val="17"/>
        </w:rPr>
      </w:pPr>
    </w:p>
    <w:p>
      <w:pPr>
        <w:pStyle w:val="BodyText"/>
        <w:spacing w:line="285" w:lineRule="auto"/>
        <w:ind w:right="105"/>
        <w:jc w:val="both"/>
      </w:pPr>
      <w:r>
        <w:rPr/>
        <w:t>本集团在初始确认时根据管理金融资产的业务模式和金融资产的合同现金流量特征，将金融资产分为不同类别：以摊</w:t>
      </w:r>
      <w:r>
        <w:rPr>
          <w:spacing w:val="7"/>
        </w:rPr>
        <w:t> </w:t>
      </w:r>
      <w:r>
        <w:rPr>
          <w:spacing w:val="7"/>
        </w:rPr>
      </w:r>
      <w:r>
        <w:rPr/>
        <w:t>余成本计量的金融资产、以公允价值计量且其变动计入其他综合收益的金融资产及以公允价值计量且其变动计入当期</w:t>
      </w:r>
      <w:r>
        <w:rPr>
          <w:spacing w:val="9"/>
        </w:rPr>
        <w:t> </w:t>
      </w:r>
      <w:r>
        <w:rPr>
          <w:spacing w:val="9"/>
        </w:rPr>
      </w:r>
      <w:r>
        <w:rPr/>
        <w:t>损益的金融资产。</w:t>
      </w:r>
    </w:p>
    <w:p>
      <w:pPr>
        <w:spacing w:line="240" w:lineRule="auto" w:before="10"/>
        <w:rPr>
          <w:rFonts w:ascii="宋体" w:hAnsi="宋体" w:cs="宋体" w:eastAsia="宋体" w:hint="default"/>
          <w:sz w:val="13"/>
          <w:szCs w:val="13"/>
        </w:rPr>
      </w:pPr>
    </w:p>
    <w:p>
      <w:pPr>
        <w:pStyle w:val="BodyText"/>
        <w:spacing w:line="285" w:lineRule="auto"/>
        <w:ind w:right="105"/>
        <w:jc w:val="both"/>
      </w:pPr>
      <w:r>
        <w:rPr/>
        <w:t>除非本集团改变管理金融资产的业务模式，在此情形下，所有受影响的相关金融资产在业务模式发生变更后的首个报</w:t>
      </w:r>
      <w:r>
        <w:rPr>
          <w:spacing w:val="7"/>
        </w:rPr>
        <w:t> </w:t>
      </w:r>
      <w:r>
        <w:rPr>
          <w:spacing w:val="7"/>
        </w:rPr>
      </w:r>
      <w:r>
        <w:rPr/>
        <w:t>告期间的第一天进行重分类，否则金融资产在初始确认后不得进行重分类。</w:t>
      </w:r>
    </w:p>
    <w:p>
      <w:pPr>
        <w:spacing w:line="240" w:lineRule="auto" w:before="10"/>
        <w:rPr>
          <w:rFonts w:ascii="宋体" w:hAnsi="宋体" w:cs="宋体" w:eastAsia="宋体" w:hint="default"/>
          <w:sz w:val="13"/>
          <w:szCs w:val="13"/>
        </w:rPr>
      </w:pPr>
    </w:p>
    <w:p>
      <w:pPr>
        <w:pStyle w:val="BodyText"/>
        <w:spacing w:line="285" w:lineRule="auto"/>
        <w:ind w:right="112"/>
        <w:jc w:val="both"/>
      </w:pPr>
      <w:r>
        <w:rPr/>
        <w:t>本集团将同时符合下列条件且未被指定为以公允价值计量且其变动计入当期损益的金融资产，分类为以摊余成本计量</w:t>
      </w:r>
      <w:r>
        <w:rPr>
          <w:spacing w:val="9"/>
        </w:rPr>
        <w:t> </w:t>
      </w:r>
      <w:r>
        <w:rPr>
          <w:spacing w:val="9"/>
        </w:rPr>
      </w:r>
      <w:r>
        <w:rPr/>
        <w:t>的金融资产：</w:t>
      </w:r>
    </w:p>
    <w:p>
      <w:pPr>
        <w:spacing w:line="240" w:lineRule="auto" w:before="10"/>
        <w:rPr>
          <w:rFonts w:ascii="宋体" w:hAnsi="宋体" w:cs="宋体" w:eastAsia="宋体" w:hint="default"/>
          <w:sz w:val="13"/>
          <w:szCs w:val="13"/>
        </w:rPr>
      </w:pPr>
    </w:p>
    <w:p>
      <w:pPr>
        <w:pStyle w:val="BodyText"/>
        <w:spacing w:line="240" w:lineRule="auto"/>
        <w:ind w:right="0"/>
        <w:jc w:val="both"/>
      </w:pPr>
      <w:r>
        <w:rPr/>
        <w:t>-</w:t>
      </w:r>
      <w:r>
        <w:rPr>
          <w:spacing w:val="37"/>
        </w:rPr>
        <w:t> </w:t>
      </w:r>
      <w:r>
        <w:rPr/>
        <w:t>本集团管理该金融资产的业务模式是以收取合同现金流量为目标；</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该金融资产的合同条款规定，在特定日期产生的现金流量，仅为对本金和以未偿付本金金额为基础的利息的支付。</w:t>
      </w:r>
    </w:p>
    <w:p>
      <w:pPr>
        <w:spacing w:line="240" w:lineRule="auto" w:before="5"/>
        <w:rPr>
          <w:rFonts w:ascii="宋体" w:hAnsi="宋体" w:cs="宋体" w:eastAsia="宋体" w:hint="default"/>
          <w:sz w:val="16"/>
          <w:szCs w:val="16"/>
        </w:rPr>
      </w:pPr>
    </w:p>
    <w:p>
      <w:pPr>
        <w:pStyle w:val="BodyText"/>
        <w:spacing w:line="285" w:lineRule="auto"/>
        <w:ind w:right="112"/>
        <w:jc w:val="both"/>
      </w:pPr>
      <w:r>
        <w:rPr/>
        <w:t>本集团将同时符合下列条件且未被指定为以公允价值计量且其变动计入当期损益的金融资产，分类为以公允价值计量</w:t>
      </w:r>
      <w:r>
        <w:rPr>
          <w:spacing w:val="9"/>
        </w:rPr>
        <w:t> </w:t>
      </w:r>
      <w:r>
        <w:rPr>
          <w:spacing w:val="9"/>
        </w:rPr>
      </w:r>
      <w:r>
        <w:rPr/>
        <w:t>且其变动计入其他综合收益的金融资产：</w:t>
      </w:r>
    </w:p>
    <w:p>
      <w:pPr>
        <w:spacing w:line="240" w:lineRule="auto" w:before="10"/>
        <w:rPr>
          <w:rFonts w:ascii="宋体" w:hAnsi="宋体" w:cs="宋体" w:eastAsia="宋体" w:hint="default"/>
          <w:sz w:val="13"/>
          <w:szCs w:val="13"/>
        </w:rPr>
      </w:pPr>
    </w:p>
    <w:p>
      <w:pPr>
        <w:pStyle w:val="BodyText"/>
        <w:spacing w:line="240" w:lineRule="auto"/>
        <w:ind w:right="0"/>
        <w:jc w:val="both"/>
      </w:pPr>
      <w:r>
        <w:rPr/>
        <w:t>-</w:t>
      </w:r>
      <w:r>
        <w:rPr>
          <w:spacing w:val="37"/>
        </w:rPr>
        <w:t> </w:t>
      </w:r>
      <w:r>
        <w:rPr/>
        <w:t>本集团管理该金融资产的业务模式既以收取合同现金流量为目标又以出售该金融资产为目标；</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该金融资产的合同条款规定，在特定日期产生的现金流量，仅为对本金和以未偿付本金金额为基础的利息的支付。</w:t>
      </w:r>
    </w:p>
    <w:p>
      <w:pPr>
        <w:spacing w:line="240" w:lineRule="auto" w:before="5"/>
        <w:rPr>
          <w:rFonts w:ascii="宋体" w:hAnsi="宋体" w:cs="宋体" w:eastAsia="宋体" w:hint="default"/>
          <w:sz w:val="16"/>
          <w:szCs w:val="16"/>
        </w:rPr>
      </w:pPr>
    </w:p>
    <w:p>
      <w:pPr>
        <w:pStyle w:val="BodyText"/>
        <w:spacing w:line="285" w:lineRule="auto"/>
        <w:ind w:right="112"/>
        <w:jc w:val="both"/>
      </w:pPr>
      <w:r>
        <w:rPr/>
        <w:t>对于非交易性权益工具投资，本集团可在初始确认时将其不可撤销地指定为以公允价值计量且其变动计入其他综合收</w:t>
      </w:r>
      <w:r>
        <w:rPr>
          <w:spacing w:val="9"/>
        </w:rPr>
        <w:t> </w:t>
      </w:r>
      <w:r>
        <w:rPr>
          <w:spacing w:val="9"/>
        </w:rPr>
      </w:r>
      <w:r>
        <w:rPr/>
        <w:t>益的金融资产。该指定在单项投资的基础上作出，且相关投资从发行者的角度符合权益工具的定义。</w:t>
      </w:r>
    </w:p>
    <w:p>
      <w:pPr>
        <w:spacing w:line="240" w:lineRule="auto" w:before="10"/>
        <w:rPr>
          <w:rFonts w:ascii="宋体" w:hAnsi="宋体" w:cs="宋体" w:eastAsia="宋体" w:hint="default"/>
          <w:sz w:val="13"/>
          <w:szCs w:val="13"/>
        </w:rPr>
      </w:pPr>
    </w:p>
    <w:p>
      <w:pPr>
        <w:pStyle w:val="BodyText"/>
        <w:spacing w:line="285" w:lineRule="auto"/>
        <w:ind w:right="105"/>
        <w:jc w:val="both"/>
      </w:pPr>
      <w:r>
        <w:rPr/>
        <w:t>除上述以摊余成本计量和以公允价值计量且其变动计入其他综合收益的金融资产外，本集团将其余所有的金融资产分</w:t>
      </w:r>
      <w:r>
        <w:rPr>
          <w:spacing w:val="9"/>
        </w:rPr>
        <w:t> </w:t>
      </w:r>
      <w:r>
        <w:rPr>
          <w:spacing w:val="9"/>
        </w:rPr>
      </w:r>
      <w:r>
        <w:rPr/>
        <w:t>类为以公允价值计量且其变动计入当期损益的金融资产。在初始确认时，如果能够消除或显著减少会计错配，本集团</w:t>
      </w:r>
      <w:r>
        <w:rPr>
          <w:spacing w:val="5"/>
        </w:rPr>
        <w:t> </w:t>
      </w:r>
      <w:r>
        <w:rPr>
          <w:spacing w:val="5"/>
        </w:rPr>
      </w:r>
      <w:r>
        <w:rPr/>
        <w:t>可以将本应以摊余成本计量或以公允价值计量且其变动计入其他综合收益的金融资产不可撤销地指定为以公允价值计</w:t>
      </w:r>
      <w:r>
        <w:rPr>
          <w:spacing w:val="11"/>
        </w:rPr>
        <w:t> </w:t>
      </w:r>
      <w:r>
        <w:rPr/>
        <w:t>量且其变动计入当期损益的金融资产。</w:t>
      </w:r>
    </w:p>
    <w:p>
      <w:pPr>
        <w:spacing w:line="240" w:lineRule="auto" w:before="10"/>
        <w:rPr>
          <w:rFonts w:ascii="宋体" w:hAnsi="宋体" w:cs="宋体" w:eastAsia="宋体" w:hint="default"/>
          <w:sz w:val="13"/>
          <w:szCs w:val="13"/>
        </w:rPr>
      </w:pPr>
    </w:p>
    <w:p>
      <w:pPr>
        <w:pStyle w:val="BodyText"/>
        <w:spacing w:line="285" w:lineRule="auto"/>
        <w:ind w:right="105"/>
        <w:jc w:val="both"/>
      </w:pPr>
      <w:r>
        <w:rPr/>
        <w:t>管理金融资产的业务模式，是指本集团如何管理金融资产以产生现金流量。业务模式决定本集团所管理金融资产现金</w:t>
      </w:r>
      <w:r>
        <w:rPr>
          <w:spacing w:val="7"/>
        </w:rPr>
        <w:t> </w:t>
      </w:r>
      <w:r>
        <w:rPr>
          <w:spacing w:val="7"/>
        </w:rPr>
      </w:r>
      <w:r>
        <w:rPr/>
        <w:t>流量的来源是收取合同现金流量、出售金融资产还是两者兼有。本集团以客观事实为依据、以关键管理人员决定的对</w:t>
      </w:r>
      <w:r>
        <w:rPr>
          <w:spacing w:val="5"/>
        </w:rPr>
        <w:t> </w:t>
      </w:r>
      <w:r>
        <w:rPr>
          <w:spacing w:val="5"/>
        </w:rPr>
      </w:r>
      <w:r>
        <w:rPr/>
        <w:t>金融资产进行管理的特定业务目标为基础，确定管理金融资产的业务模式。</w:t>
      </w:r>
    </w:p>
    <w:p>
      <w:pPr>
        <w:spacing w:after="0" w:line="285" w:lineRule="auto"/>
        <w:jc w:val="both"/>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8153"/>
        <w:jc w:val="left"/>
      </w:pPr>
      <w:r>
        <w:rPr/>
        <w:t>8、</w:t>
      </w:r>
      <w:r>
        <w:rPr>
          <w:spacing w:val="-22"/>
        </w:rPr>
        <w:t> </w:t>
      </w:r>
      <w:r>
        <w:rPr/>
        <w:t>金融工具（续）</w:t>
      </w:r>
      <w:r>
        <w:rPr/>
        <w:t> (a)</w:t>
      </w:r>
      <w:r>
        <w:rPr>
          <w:spacing w:val="-21"/>
        </w:rPr>
        <w:t> </w:t>
      </w:r>
      <w:r>
        <w:rPr/>
        <w:t>金融资产（续）</w:t>
      </w:r>
    </w:p>
    <w:p>
      <w:pPr>
        <w:pStyle w:val="BodyText"/>
        <w:spacing w:line="240" w:lineRule="auto" w:before="54"/>
        <w:ind w:left="113" w:right="125"/>
        <w:jc w:val="left"/>
      </w:pPr>
      <w:r>
        <w:rPr/>
        <w:t>(1)</w:t>
      </w:r>
      <w:r>
        <w:rPr>
          <w:spacing w:val="-21"/>
        </w:rPr>
        <w:t> </w:t>
      </w:r>
      <w:r>
        <w:rPr/>
        <w:t>金融资产分类（续）</w:t>
      </w:r>
    </w:p>
    <w:p>
      <w:pPr>
        <w:spacing w:line="240" w:lineRule="auto" w:before="12"/>
        <w:rPr>
          <w:rFonts w:ascii="宋体" w:hAnsi="宋体" w:cs="宋体" w:eastAsia="宋体" w:hint="default"/>
          <w:sz w:val="17"/>
          <w:szCs w:val="17"/>
        </w:rPr>
      </w:pPr>
    </w:p>
    <w:p>
      <w:pPr>
        <w:pStyle w:val="BodyText"/>
        <w:spacing w:line="285" w:lineRule="auto"/>
        <w:ind w:left="453" w:right="128"/>
        <w:jc w:val="both"/>
      </w:pPr>
      <w:r>
        <w:rPr/>
        <w:t>本集团对金融资产的合同现金流量特征进行评估，以确定相关金融资产在特定日期产生的合同现金流量是否仅为对本</w:t>
      </w:r>
      <w:r>
        <w:rPr>
          <w:spacing w:val="9"/>
        </w:rPr>
        <w:t> </w:t>
      </w:r>
      <w:r>
        <w:rPr>
          <w:spacing w:val="9"/>
        </w:rPr>
      </w:r>
      <w:r>
        <w:rPr/>
        <w:t>金和以未偿付本金金额为基础的利息的支付。其中，本金是指金融资产在初始确认时的公允价值；利息包括对货币时</w:t>
      </w:r>
      <w:r>
        <w:rPr>
          <w:spacing w:val="5"/>
        </w:rPr>
        <w:t> </w:t>
      </w:r>
      <w:r>
        <w:rPr>
          <w:spacing w:val="5"/>
        </w:rPr>
      </w:r>
      <w:r>
        <w:rPr/>
        <w:t>间价值、与特定时期未偿付本金金额相关的信用风险、以及其他基本借贷风险、成本和利润的对价。此外，本集团对</w:t>
      </w:r>
      <w:r>
        <w:rPr>
          <w:spacing w:val="1"/>
        </w:rPr>
        <w:t> </w:t>
      </w:r>
      <w:r>
        <w:rPr>
          <w:spacing w:val="1"/>
        </w:rPr>
      </w:r>
      <w:r>
        <w:rPr/>
        <w:t>可能导致金融资产合同现金流量的时间分布或金额发生变更的合同条款进行评估，以确定其是否满足上述合同现金流</w:t>
      </w:r>
      <w:r>
        <w:rPr>
          <w:spacing w:val="9"/>
        </w:rPr>
        <w:t> </w:t>
      </w:r>
      <w:r>
        <w:rPr>
          <w:spacing w:val="9"/>
        </w:rPr>
      </w:r>
      <w:r>
        <w:rPr/>
        <w:t>量特征的要求。</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t>(2)</w:t>
      </w:r>
      <w:r>
        <w:rPr>
          <w:spacing w:val="-21"/>
        </w:rPr>
        <w:t> </w:t>
      </w:r>
      <w:r>
        <w:rPr/>
        <w:t>确认和计量</w:t>
      </w:r>
    </w:p>
    <w:p>
      <w:pPr>
        <w:spacing w:line="240" w:lineRule="auto" w:before="12"/>
        <w:rPr>
          <w:rFonts w:ascii="宋体" w:hAnsi="宋体" w:cs="宋体" w:eastAsia="宋体" w:hint="default"/>
          <w:sz w:val="17"/>
          <w:szCs w:val="17"/>
        </w:rPr>
      </w:pPr>
    </w:p>
    <w:p>
      <w:pPr>
        <w:pStyle w:val="BodyText"/>
        <w:spacing w:line="285" w:lineRule="auto"/>
        <w:ind w:left="453" w:right="126"/>
        <w:jc w:val="both"/>
      </w:pPr>
      <w:r>
        <w:rPr>
          <w:spacing w:val="-2"/>
        </w:rPr>
        <w:t>除不具有重大融资成分的应收账款外，金融资产在初始确认时以公允价值计量。对于不具有重大融资成分的应收账款，</w:t>
      </w:r>
      <w:r>
        <w:rPr>
          <w:spacing w:val="-50"/>
        </w:rPr>
        <w:t> </w:t>
      </w:r>
      <w:r>
        <w:rPr>
          <w:spacing w:val="-50"/>
        </w:rPr>
      </w:r>
      <w:r>
        <w:rPr/>
        <w:t>本集团按照根据附注三</w:t>
      </w:r>
      <w:r>
        <w:rPr>
          <w:spacing w:val="-30"/>
        </w:rPr>
        <w:t> </w:t>
      </w:r>
      <w:r>
        <w:rPr>
          <w:spacing w:val="-1"/>
          <w:w w:val="83"/>
        </w:rPr>
        <w:t>(23)</w:t>
      </w:r>
      <w:r>
        <w:rPr>
          <w:spacing w:val="-15"/>
          <w:w w:val="83"/>
        </w:rPr>
        <w:t> </w:t>
      </w:r>
      <w:r>
        <w:rPr/>
        <w:t>的会计政策确定的交易价格进行初始计量。以公允价值计量且其变动计入当期损益的金融</w:t>
      </w:r>
      <w:r>
        <w:rPr>
          <w:spacing w:val="-72"/>
        </w:rPr>
        <w:t> </w:t>
      </w:r>
      <w:r>
        <w:rPr>
          <w:spacing w:val="-72"/>
        </w:rPr>
      </w:r>
      <w:r>
        <w:rPr/>
        <w:t>资产，取得时发生的相关交易费用直接计入当期损益。其他金融资产的相关交易费用计入初始确认金额。</w:t>
      </w:r>
    </w:p>
    <w:p>
      <w:pPr>
        <w:spacing w:line="240" w:lineRule="auto" w:before="10"/>
        <w:rPr>
          <w:rFonts w:ascii="宋体" w:hAnsi="宋体" w:cs="宋体" w:eastAsia="宋体" w:hint="default"/>
          <w:sz w:val="13"/>
          <w:szCs w:val="13"/>
        </w:rPr>
      </w:pPr>
    </w:p>
    <w:p>
      <w:pPr>
        <w:pStyle w:val="BodyText"/>
        <w:spacing w:line="285" w:lineRule="auto"/>
        <w:ind w:left="453" w:right="126"/>
        <w:jc w:val="both"/>
      </w:pPr>
      <w:r>
        <w:rPr/>
        <w:t>以公允价值计量且其变动计入当期损益的金融资产按照公允价值进行后续计量，产生的利得或损失（包括利息和股利</w:t>
      </w:r>
      <w:r>
        <w:rPr>
          <w:spacing w:val="7"/>
        </w:rPr>
        <w:t> </w:t>
      </w:r>
      <w:r>
        <w:rPr>
          <w:spacing w:val="7"/>
        </w:rPr>
      </w:r>
      <w:r>
        <w:rPr/>
        <w:t>收入）计入当期损益，除非该金融资产属于套期关系的一部分。</w:t>
      </w:r>
    </w:p>
    <w:p>
      <w:pPr>
        <w:spacing w:line="240" w:lineRule="auto" w:before="10"/>
        <w:rPr>
          <w:rFonts w:ascii="宋体" w:hAnsi="宋体" w:cs="宋体" w:eastAsia="宋体" w:hint="default"/>
          <w:sz w:val="13"/>
          <w:szCs w:val="13"/>
        </w:rPr>
      </w:pPr>
    </w:p>
    <w:p>
      <w:pPr>
        <w:pStyle w:val="BodyText"/>
        <w:spacing w:line="285" w:lineRule="auto"/>
        <w:ind w:left="453" w:right="126"/>
        <w:jc w:val="both"/>
      </w:pPr>
      <w:r>
        <w:rPr/>
        <w:t>以摊余成本计量的金融资产采用实际利率法，以摊余成本计量。以摊余成本计量且不属于任何套期关系的一部分的金</w:t>
      </w:r>
      <w:r>
        <w:rPr>
          <w:spacing w:val="7"/>
        </w:rPr>
        <w:t> </w:t>
      </w:r>
      <w:r>
        <w:rPr>
          <w:spacing w:val="7"/>
        </w:rPr>
      </w:r>
      <w:r>
        <w:rPr/>
        <w:t>融资产所产生的利得或损失，在终止确认、按照实际利率法摊销或确认减值时，计入当期损益。</w:t>
      </w:r>
    </w:p>
    <w:p>
      <w:pPr>
        <w:spacing w:line="240" w:lineRule="auto" w:before="10"/>
        <w:rPr>
          <w:rFonts w:ascii="宋体" w:hAnsi="宋体" w:cs="宋体" w:eastAsia="宋体" w:hint="default"/>
          <w:sz w:val="13"/>
          <w:szCs w:val="13"/>
        </w:rPr>
      </w:pPr>
    </w:p>
    <w:p>
      <w:pPr>
        <w:pStyle w:val="BodyText"/>
        <w:spacing w:line="285" w:lineRule="auto"/>
        <w:ind w:left="453" w:right="126"/>
        <w:jc w:val="both"/>
      </w:pPr>
      <w:r>
        <w:rPr/>
        <w:t>以公允价值计量且其变动计入其他综合收益的权益工具投资以公允价值进行后续计量。股利收入计入损益，其他利得</w:t>
      </w:r>
      <w:r>
        <w:rPr>
          <w:spacing w:val="7"/>
        </w:rPr>
        <w:t> </w:t>
      </w:r>
      <w:r>
        <w:rPr>
          <w:spacing w:val="7"/>
        </w:rPr>
      </w:r>
      <w:r>
        <w:rPr/>
        <w:t>或损失计入其他综合收益。终止确认时，将之前计入其他综合收益的累计利得或损失从其他综合收益中转出，计入留</w:t>
      </w:r>
      <w:r>
        <w:rPr>
          <w:spacing w:val="5"/>
        </w:rPr>
        <w:t> </w:t>
      </w:r>
      <w:r>
        <w:rPr>
          <w:spacing w:val="5"/>
        </w:rPr>
      </w:r>
      <w:r>
        <w:rPr/>
        <w:t>存收益。</w:t>
      </w:r>
    </w:p>
    <w:p>
      <w:pPr>
        <w:spacing w:line="240" w:lineRule="auto" w:before="10"/>
        <w:rPr>
          <w:rFonts w:ascii="宋体" w:hAnsi="宋体" w:cs="宋体" w:eastAsia="宋体" w:hint="default"/>
          <w:sz w:val="13"/>
          <w:szCs w:val="13"/>
        </w:rPr>
      </w:pPr>
    </w:p>
    <w:p>
      <w:pPr>
        <w:pStyle w:val="BodyText"/>
        <w:spacing w:line="480" w:lineRule="auto"/>
        <w:ind w:left="453" w:right="3112" w:hanging="341"/>
        <w:jc w:val="left"/>
      </w:pPr>
      <w:r>
        <w:rPr/>
        <w:t>(3)</w:t>
      </w:r>
      <w:r>
        <w:rPr>
          <w:spacing w:val="48"/>
        </w:rPr>
        <w:t> </w:t>
      </w:r>
      <w:r>
        <w:rPr/>
        <w:t>金融资产减值</w:t>
      </w:r>
      <w:r>
        <w:rPr/>
        <w:t> 本集团以预期信用损失为基础，对下列项目进行减值会计处理并确认损失准备：</w:t>
      </w:r>
    </w:p>
    <w:p>
      <w:pPr>
        <w:pStyle w:val="BodyText"/>
        <w:spacing w:line="240" w:lineRule="auto" w:before="34"/>
        <w:ind w:left="453" w:right="0"/>
        <w:jc w:val="both"/>
      </w:pPr>
      <w:r>
        <w:rPr/>
        <w:t>-</w:t>
      </w:r>
      <w:r>
        <w:rPr>
          <w:spacing w:val="37"/>
        </w:rPr>
        <w:t> </w:t>
      </w:r>
      <w:r>
        <w:rPr/>
        <w:t>以摊余成本计量的金融资产；</w:t>
      </w:r>
    </w:p>
    <w:p>
      <w:pPr>
        <w:spacing w:line="240" w:lineRule="auto" w:before="5"/>
        <w:rPr>
          <w:rFonts w:ascii="宋体" w:hAnsi="宋体" w:cs="宋体" w:eastAsia="宋体" w:hint="default"/>
          <w:sz w:val="16"/>
          <w:szCs w:val="16"/>
        </w:rPr>
      </w:pPr>
    </w:p>
    <w:p>
      <w:pPr>
        <w:pStyle w:val="BodyText"/>
        <w:spacing w:line="240" w:lineRule="auto"/>
        <w:ind w:left="453" w:right="0"/>
        <w:jc w:val="both"/>
      </w:pPr>
      <w:r>
        <w:rPr>
          <w:w w:val="105"/>
        </w:rPr>
        <w:t>-</w:t>
      </w:r>
      <w:r>
        <w:rPr>
          <w:spacing w:val="-17"/>
          <w:w w:val="105"/>
        </w:rPr>
        <w:t> </w:t>
      </w:r>
      <w:r>
        <w:rPr>
          <w:w w:val="105"/>
        </w:rPr>
        <w:t>合同资产；</w:t>
      </w:r>
    </w:p>
    <w:p>
      <w:pPr>
        <w:spacing w:line="240" w:lineRule="auto" w:before="5"/>
        <w:rPr>
          <w:rFonts w:ascii="宋体" w:hAnsi="宋体" w:cs="宋体" w:eastAsia="宋体" w:hint="default"/>
          <w:sz w:val="16"/>
          <w:szCs w:val="16"/>
        </w:rPr>
      </w:pPr>
    </w:p>
    <w:p>
      <w:pPr>
        <w:pStyle w:val="BodyText"/>
        <w:spacing w:line="285" w:lineRule="auto"/>
        <w:ind w:left="453" w:right="132"/>
        <w:jc w:val="both"/>
      </w:pPr>
      <w:r>
        <w:rPr/>
        <w:t>本集团持有的其他以公允价值计量的金融资产不适用预期信用损失模型，包括以公允价值计量且其变动计入当期损益</w:t>
      </w:r>
      <w:r>
        <w:rPr>
          <w:spacing w:val="9"/>
        </w:rPr>
        <w:t> </w:t>
      </w:r>
      <w:r>
        <w:rPr>
          <w:spacing w:val="9"/>
        </w:rPr>
      </w:r>
      <w:r>
        <w:rPr/>
        <w:t>的权益工具投资，以及指定为以公允价值计量且其变动计入其他综合收益的权益工具投资。</w:t>
      </w:r>
    </w:p>
    <w:p>
      <w:pPr>
        <w:spacing w:after="0" w:line="285" w:lineRule="auto"/>
        <w:jc w:val="both"/>
        <w:sectPr>
          <w:footerReference w:type="even" r:id="rId279"/>
          <w:footerReference w:type="default" r:id="rId280"/>
          <w:pgSz w:w="11910" w:h="16160"/>
          <w:pgMar w:footer="320" w:header="1200" w:top="2120" w:bottom="520" w:left="680" w:right="1340"/>
        </w:sectPr>
      </w:pPr>
    </w:p>
    <w:p>
      <w:pPr>
        <w:spacing w:line="240" w:lineRule="auto" w:before="3"/>
        <w:rPr>
          <w:rFonts w:ascii="宋体" w:hAnsi="宋体" w:cs="宋体" w:eastAsia="宋体" w:hint="default"/>
          <w:sz w:val="14"/>
          <w:szCs w:val="14"/>
        </w:rPr>
      </w:pPr>
    </w:p>
    <w:p>
      <w:pPr>
        <w:pStyle w:val="BodyText"/>
        <w:spacing w:line="480" w:lineRule="auto" w:before="31"/>
        <w:ind w:left="114" w:right="8212"/>
        <w:jc w:val="left"/>
      </w:pPr>
      <w:r>
        <w:rPr/>
        <w:t>8、</w:t>
      </w:r>
      <w:r>
        <w:rPr>
          <w:spacing w:val="-22"/>
        </w:rPr>
        <w:t> </w:t>
      </w:r>
      <w:r>
        <w:rPr/>
        <w:t>金融工具（续）</w:t>
      </w:r>
      <w:r>
        <w:rPr/>
        <w:t> (a)</w:t>
      </w:r>
      <w:r>
        <w:rPr>
          <w:spacing w:val="-21"/>
        </w:rPr>
        <w:t> </w:t>
      </w:r>
      <w:r>
        <w:rPr/>
        <w:t>金融资产（续）</w:t>
      </w:r>
    </w:p>
    <w:p>
      <w:pPr>
        <w:pStyle w:val="BodyText"/>
        <w:spacing w:line="480" w:lineRule="auto" w:before="54"/>
        <w:ind w:left="114" w:right="7869"/>
        <w:jc w:val="left"/>
      </w:pPr>
      <w:r>
        <w:rPr/>
        <w:t>(3)</w:t>
      </w:r>
      <w:r>
        <w:rPr>
          <w:spacing w:val="-17"/>
        </w:rPr>
        <w:t> </w:t>
      </w:r>
      <w:r>
        <w:rPr/>
        <w:t>金融资产减值（续）</w:t>
      </w:r>
      <w:r>
        <w:rPr/>
        <w:t> </w:t>
      </w:r>
      <w:r>
        <w:rPr>
          <w:w w:val="90"/>
        </w:rPr>
        <w:t>(i)</w:t>
      </w:r>
      <w:r>
        <w:rPr>
          <w:spacing w:val="-5"/>
          <w:w w:val="90"/>
        </w:rPr>
        <w:t> </w:t>
      </w:r>
      <w:r>
        <w:rPr>
          <w:w w:val="95"/>
        </w:rPr>
        <w:t>预期信用损失的计量</w:t>
      </w:r>
    </w:p>
    <w:p>
      <w:pPr>
        <w:pStyle w:val="BodyText"/>
        <w:spacing w:line="285" w:lineRule="auto" w:before="54"/>
        <w:ind w:right="87"/>
        <w:jc w:val="left"/>
      </w:pPr>
      <w:r>
        <w:rPr/>
        <w:t>预期信用损失，是指以发生违约的风险为权重的金融工具信用损失的加权平均值。信用损失，是指本集团按照原实际</w:t>
      </w:r>
      <w:r>
        <w:rPr>
          <w:spacing w:val="5"/>
        </w:rPr>
        <w:t> </w:t>
      </w:r>
      <w:r>
        <w:rPr>
          <w:spacing w:val="5"/>
        </w:rPr>
      </w:r>
      <w:r>
        <w:rPr/>
        <w:t>利率折现的、根据合同应收的所有合同现金流量与预期收取的所有现金流量之间的差额，即全部现金短缺的现值。</w:t>
      </w:r>
    </w:p>
    <w:p>
      <w:pPr>
        <w:spacing w:line="240" w:lineRule="auto" w:before="10"/>
        <w:rPr>
          <w:rFonts w:ascii="宋体" w:hAnsi="宋体" w:cs="宋体" w:eastAsia="宋体" w:hint="default"/>
          <w:sz w:val="13"/>
          <w:szCs w:val="13"/>
        </w:rPr>
      </w:pPr>
    </w:p>
    <w:p>
      <w:pPr>
        <w:pStyle w:val="BodyText"/>
        <w:spacing w:line="458" w:lineRule="auto"/>
        <w:ind w:right="471"/>
        <w:jc w:val="left"/>
      </w:pPr>
      <w:r>
        <w:rPr/>
        <w:t>在计量预期信用损失时，本集团需考虑的最长期限为企业面临信用风险的最长合同期限（包括考虑续约选择权）。 整个存续期预期信用损失，是指因金融工具整个预计存续期内所有可能发生的违约事件而导致的预期信用损失。</w:t>
      </w:r>
    </w:p>
    <w:p>
      <w:pPr>
        <w:pStyle w:val="BodyText"/>
        <w:spacing w:line="285" w:lineRule="auto" w:before="50"/>
        <w:ind w:right="87"/>
        <w:jc w:val="left"/>
      </w:pPr>
      <w:r>
        <w:rPr/>
        <w:t>未来</w:t>
      </w:r>
      <w:r>
        <w:rPr>
          <w:spacing w:val="-33"/>
        </w:rPr>
        <w:t> </w:t>
      </w:r>
      <w:r>
        <w:rPr/>
        <w:t>12</w:t>
      </w:r>
      <w:r>
        <w:rPr>
          <w:spacing w:val="-33"/>
        </w:rPr>
        <w:t> </w:t>
      </w:r>
      <w:r>
        <w:rPr>
          <w:spacing w:val="2"/>
        </w:rPr>
        <w:t>个月内预期信用损失，是指因资产负债表日后</w:t>
      </w:r>
      <w:r>
        <w:rPr>
          <w:spacing w:val="-33"/>
        </w:rPr>
        <w:t> </w:t>
      </w:r>
      <w:r>
        <w:rPr/>
        <w:t>12</w:t>
      </w:r>
      <w:r>
        <w:rPr>
          <w:spacing w:val="-33"/>
        </w:rPr>
        <w:t> </w:t>
      </w:r>
      <w:r>
        <w:rPr>
          <w:spacing w:val="2"/>
        </w:rPr>
        <w:t>个月内（若金融工具的预计存续期少于</w:t>
      </w:r>
      <w:r>
        <w:rPr>
          <w:spacing w:val="-33"/>
        </w:rPr>
        <w:t> </w:t>
      </w:r>
      <w:r>
        <w:rPr/>
        <w:t>12</w:t>
      </w:r>
      <w:r>
        <w:rPr>
          <w:spacing w:val="-33"/>
        </w:rPr>
        <w:t> </w:t>
      </w:r>
      <w:r>
        <w:rPr>
          <w:spacing w:val="2"/>
        </w:rPr>
        <w:t>个月，则为预计</w:t>
      </w:r>
      <w:r>
        <w:rPr>
          <w:spacing w:val="-79"/>
        </w:rPr>
        <w:t> </w:t>
      </w:r>
      <w:r>
        <w:rPr>
          <w:spacing w:val="-79"/>
        </w:rPr>
      </w:r>
      <w:r>
        <w:rPr/>
        <w:t>存续期）可能发生的金融工具违约事件而导致的预期信用损失，是整个存续期预期信用损失的一部分。</w:t>
      </w:r>
    </w:p>
    <w:p>
      <w:pPr>
        <w:spacing w:line="240" w:lineRule="auto" w:before="10"/>
        <w:rPr>
          <w:rFonts w:ascii="宋体" w:hAnsi="宋体" w:cs="宋体" w:eastAsia="宋体" w:hint="default"/>
          <w:sz w:val="13"/>
          <w:szCs w:val="13"/>
        </w:rPr>
      </w:pPr>
    </w:p>
    <w:p>
      <w:pPr>
        <w:pStyle w:val="BodyText"/>
        <w:spacing w:line="285" w:lineRule="auto"/>
        <w:ind w:right="90"/>
        <w:jc w:val="left"/>
      </w:pPr>
      <w:r>
        <w:rPr/>
        <w:t>对于应收账款、合同资产，本集团始终按照相当于整个存续期内预期信用损失的金额计量其损失准备。本集团基于历</w:t>
      </w:r>
      <w:r>
        <w:rPr>
          <w:spacing w:val="5"/>
        </w:rPr>
        <w:t> </w:t>
      </w:r>
      <w:r>
        <w:rPr>
          <w:spacing w:val="5"/>
        </w:rPr>
      </w:r>
      <w:r>
        <w:rPr>
          <w:spacing w:val="-3"/>
        </w:rPr>
        <w:t>史信用损失经验、使用准备矩阵计算上述金融资产的预期信用损失，相关历史经验根据资产负债表日借款人的特定因素，</w:t>
      </w:r>
      <w:r>
        <w:rPr>
          <w:spacing w:val="-85"/>
        </w:rPr>
        <w:t> </w:t>
      </w:r>
      <w:r>
        <w:rPr>
          <w:spacing w:val="-85"/>
        </w:rPr>
      </w:r>
      <w:r>
        <w:rPr/>
        <w:t>以及对当前状况和未来经济状况预测的评估进行调整。</w:t>
      </w:r>
    </w:p>
    <w:p>
      <w:pPr>
        <w:spacing w:line="240" w:lineRule="auto" w:before="10"/>
        <w:rPr>
          <w:rFonts w:ascii="宋体" w:hAnsi="宋体" w:cs="宋体" w:eastAsia="宋体" w:hint="default"/>
          <w:sz w:val="13"/>
          <w:szCs w:val="13"/>
        </w:rPr>
      </w:pPr>
    </w:p>
    <w:p>
      <w:pPr>
        <w:pStyle w:val="BodyText"/>
        <w:spacing w:line="285" w:lineRule="auto"/>
        <w:ind w:right="187"/>
        <w:jc w:val="left"/>
      </w:pPr>
      <w:r>
        <w:rPr/>
        <w:t>除应收账款、合同资产外，本集团对满足下列情形的金融工具按照相当于未来</w:t>
      </w:r>
      <w:r>
        <w:rPr>
          <w:spacing w:val="-38"/>
        </w:rPr>
        <w:t> </w:t>
      </w:r>
      <w:r>
        <w:rPr/>
        <w:t>12</w:t>
      </w:r>
      <w:r>
        <w:rPr>
          <w:spacing w:val="-38"/>
        </w:rPr>
        <w:t> </w:t>
      </w:r>
      <w:r>
        <w:rPr/>
        <w:t>个月内预期信用损失的金额计量其损</w:t>
      </w:r>
      <w:r>
        <w:rPr>
          <w:spacing w:val="-88"/>
        </w:rPr>
        <w:t> </w:t>
      </w:r>
      <w:r>
        <w:rPr>
          <w:spacing w:val="-88"/>
        </w:rPr>
      </w:r>
      <w:r>
        <w:rPr/>
        <w:t>失准备，对其他金融工具按照相当于整个存续期内预期信用损失的金额计量其损失准备：</w:t>
      </w:r>
    </w:p>
    <w:p>
      <w:pPr>
        <w:spacing w:line="240" w:lineRule="auto" w:before="10"/>
        <w:rPr>
          <w:rFonts w:ascii="宋体" w:hAnsi="宋体" w:cs="宋体" w:eastAsia="宋体" w:hint="default"/>
          <w:sz w:val="13"/>
          <w:szCs w:val="13"/>
        </w:rPr>
      </w:pPr>
    </w:p>
    <w:p>
      <w:pPr>
        <w:pStyle w:val="BodyText"/>
        <w:spacing w:line="240" w:lineRule="auto"/>
        <w:ind w:right="87"/>
        <w:jc w:val="left"/>
      </w:pPr>
      <w:r>
        <w:rPr/>
        <w:t>-</w:t>
      </w:r>
      <w:r>
        <w:rPr>
          <w:spacing w:val="37"/>
        </w:rPr>
        <w:t> </w:t>
      </w:r>
      <w:r>
        <w:rPr/>
        <w:t>该金融工具在资产负债表日只具有较低的信用风险；或</w:t>
      </w:r>
    </w:p>
    <w:p>
      <w:pPr>
        <w:spacing w:line="240" w:lineRule="auto" w:before="5"/>
        <w:rPr>
          <w:rFonts w:ascii="宋体" w:hAnsi="宋体" w:cs="宋体" w:eastAsia="宋体" w:hint="default"/>
          <w:sz w:val="16"/>
          <w:szCs w:val="16"/>
        </w:rPr>
      </w:pPr>
    </w:p>
    <w:p>
      <w:pPr>
        <w:pStyle w:val="BodyText"/>
        <w:spacing w:line="458" w:lineRule="auto"/>
        <w:ind w:left="114" w:right="5117" w:firstLine="340"/>
        <w:jc w:val="left"/>
      </w:pPr>
      <w:r>
        <w:rPr/>
        <w:t>-</w:t>
      </w:r>
      <w:r>
        <w:rPr>
          <w:spacing w:val="34"/>
        </w:rPr>
        <w:t> </w:t>
      </w:r>
      <w:r>
        <w:rPr/>
        <w:t>该金融工具的信用风险自初始确认后并未显著增加。</w:t>
      </w:r>
      <w:r>
        <w:rPr/>
        <w:t> </w:t>
      </w:r>
      <w:r>
        <w:rPr>
          <w:w w:val="90"/>
        </w:rPr>
        <w:t>(ii)</w:t>
      </w:r>
      <w:r>
        <w:rPr>
          <w:spacing w:val="-47"/>
          <w:w w:val="90"/>
        </w:rPr>
        <w:t> </w:t>
      </w:r>
      <w:r>
        <w:rPr>
          <w:w w:val="95"/>
        </w:rPr>
        <w:t>具有较低的信用风险</w:t>
      </w:r>
    </w:p>
    <w:p>
      <w:pPr>
        <w:pStyle w:val="BodyText"/>
        <w:spacing w:line="285" w:lineRule="auto" w:before="71"/>
        <w:ind w:right="185"/>
        <w:jc w:val="both"/>
      </w:pPr>
      <w:r>
        <w:rPr/>
        <w:t>如果金融工具的违约风险较低，欠款人在短期内履行其合同现金流量义务的能力很强，并且即便较长时期内经济形势</w:t>
      </w:r>
      <w:r>
        <w:rPr>
          <w:spacing w:val="7"/>
        </w:rPr>
        <w:t> </w:t>
      </w:r>
      <w:r>
        <w:rPr>
          <w:spacing w:val="7"/>
        </w:rPr>
      </w:r>
      <w:r>
        <w:rPr/>
        <w:t>和经营环境存在不利变化但未必一定降低欠款人履行其合同现金流量义务的能力，该金融工具被视为具有较低的信用</w:t>
      </w:r>
      <w:r>
        <w:rPr>
          <w:spacing w:val="9"/>
        </w:rPr>
        <w:t> </w:t>
      </w:r>
      <w:r>
        <w:rPr>
          <w:spacing w:val="9"/>
        </w:rPr>
      </w:r>
      <w:r>
        <w:rPr/>
        <w:t>风险。</w:t>
      </w:r>
    </w:p>
    <w:p>
      <w:pPr>
        <w:spacing w:line="240" w:lineRule="auto" w:before="10"/>
        <w:rPr>
          <w:rFonts w:ascii="宋体" w:hAnsi="宋体" w:cs="宋体" w:eastAsia="宋体" w:hint="default"/>
          <w:sz w:val="13"/>
          <w:szCs w:val="13"/>
        </w:rPr>
      </w:pPr>
    </w:p>
    <w:p>
      <w:pPr>
        <w:pStyle w:val="BodyText"/>
        <w:spacing w:line="240" w:lineRule="auto"/>
        <w:ind w:right="87"/>
        <w:jc w:val="left"/>
      </w:pPr>
      <w:r>
        <w:rPr/>
        <w:t>由于银行存款主要存放于信用良好的国有及其他大型银行，本集团认为银行存款具有低信用风险。</w:t>
      </w:r>
    </w:p>
    <w:p>
      <w:pPr>
        <w:spacing w:after="0" w:line="240" w:lineRule="auto"/>
        <w:jc w:val="left"/>
        <w:sectPr>
          <w:pgSz w:w="11910" w:h="16160"/>
          <w:pgMar w:header="2776" w:footer="298" w:top="296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77" w:right="8139" w:hanging="50"/>
        <w:jc w:val="left"/>
      </w:pPr>
      <w:r>
        <w:rPr/>
        <w:t>8、</w:t>
      </w:r>
      <w:r>
        <w:rPr>
          <w:spacing w:val="-22"/>
        </w:rPr>
        <w:t> </w:t>
      </w:r>
      <w:r>
        <w:rPr/>
        <w:t>金融工具（续）</w:t>
      </w:r>
      <w:r>
        <w:rPr/>
        <w:t> </w:t>
      </w:r>
      <w:r>
        <w:rPr>
          <w:w w:val="95"/>
        </w:rPr>
        <w:t>(a)</w:t>
      </w:r>
      <w:r>
        <w:rPr>
          <w:spacing w:val="10"/>
          <w:w w:val="95"/>
        </w:rPr>
        <w:t> </w:t>
      </w:r>
      <w:r>
        <w:rPr>
          <w:w w:val="95"/>
        </w:rPr>
        <w:t>金融资产（续）</w:t>
      </w:r>
    </w:p>
    <w:p>
      <w:pPr>
        <w:pStyle w:val="BodyText"/>
        <w:spacing w:line="240" w:lineRule="auto" w:before="54"/>
        <w:ind w:left="177" w:right="125"/>
        <w:jc w:val="left"/>
      </w:pPr>
      <w:r>
        <w:rPr>
          <w:w w:val="95"/>
        </w:rPr>
        <w:t>(3)</w:t>
      </w:r>
      <w:r>
        <w:rPr>
          <w:spacing w:val="28"/>
          <w:w w:val="95"/>
        </w:rPr>
        <w:t> </w:t>
      </w:r>
      <w:r>
        <w:rPr>
          <w:w w:val="95"/>
        </w:rPr>
        <w:t>金融资产减值（续）</w:t>
      </w:r>
    </w:p>
    <w:p>
      <w:pPr>
        <w:spacing w:line="240" w:lineRule="auto" w:before="12"/>
        <w:rPr>
          <w:rFonts w:ascii="宋体" w:hAnsi="宋体" w:cs="宋体" w:eastAsia="宋体" w:hint="default"/>
          <w:sz w:val="17"/>
          <w:szCs w:val="17"/>
        </w:rPr>
      </w:pPr>
    </w:p>
    <w:p>
      <w:pPr>
        <w:pStyle w:val="BodyText"/>
        <w:spacing w:line="240" w:lineRule="auto"/>
        <w:ind w:left="177" w:right="125"/>
        <w:jc w:val="left"/>
      </w:pPr>
      <w:r>
        <w:rPr>
          <w:w w:val="80"/>
        </w:rPr>
        <w:t>(iii)</w:t>
      </w:r>
      <w:r>
        <w:rPr>
          <w:spacing w:val="-21"/>
          <w:w w:val="80"/>
        </w:rPr>
        <w:t> </w:t>
      </w:r>
      <w:r>
        <w:rPr>
          <w:w w:val="90"/>
        </w:rPr>
        <w:t>信用风险显著增加</w:t>
      </w:r>
    </w:p>
    <w:p>
      <w:pPr>
        <w:spacing w:line="240" w:lineRule="auto" w:before="12"/>
        <w:rPr>
          <w:rFonts w:ascii="宋体" w:hAnsi="宋体" w:cs="宋体" w:eastAsia="宋体" w:hint="default"/>
          <w:sz w:val="17"/>
          <w:szCs w:val="17"/>
        </w:rPr>
      </w:pPr>
    </w:p>
    <w:p>
      <w:pPr>
        <w:pStyle w:val="BodyText"/>
        <w:spacing w:line="285" w:lineRule="auto"/>
        <w:ind w:left="468" w:right="127"/>
        <w:jc w:val="both"/>
      </w:pPr>
      <w:r>
        <w:rPr/>
        <w:t>本集团通过比较金融工具在资产负债表日发生违约的风险与在初始确认日发生违约的风险，以确定金融工具预计存续</w:t>
      </w:r>
      <w:r>
        <w:rPr>
          <w:spacing w:val="9"/>
        </w:rPr>
        <w:t> </w:t>
      </w:r>
      <w:r>
        <w:rPr>
          <w:spacing w:val="9"/>
        </w:rPr>
      </w:r>
      <w:r>
        <w:rPr/>
        <w:t>期内发生违约风险的相对变化，进而评估金融工具的信用风险自初始确认后是否已显著增加。</w:t>
      </w:r>
    </w:p>
    <w:p>
      <w:pPr>
        <w:spacing w:line="240" w:lineRule="auto" w:before="10"/>
        <w:rPr>
          <w:rFonts w:ascii="宋体" w:hAnsi="宋体" w:cs="宋体" w:eastAsia="宋体" w:hint="default"/>
          <w:sz w:val="13"/>
          <w:szCs w:val="13"/>
        </w:rPr>
      </w:pPr>
    </w:p>
    <w:p>
      <w:pPr>
        <w:pStyle w:val="BodyText"/>
        <w:spacing w:line="285" w:lineRule="auto"/>
        <w:ind w:left="468" w:right="127"/>
        <w:jc w:val="both"/>
      </w:pPr>
      <w:r>
        <w:rPr/>
        <w:t>在确定信用风险自初始确认后是否显著增加时，本集团考虑无须付出不必要的额外成本或努力即可获得的合理且有依</w:t>
      </w:r>
      <w:r>
        <w:rPr>
          <w:spacing w:val="9"/>
        </w:rPr>
        <w:t> </w:t>
      </w:r>
      <w:r>
        <w:rPr>
          <w:spacing w:val="9"/>
        </w:rPr>
      </w:r>
      <w:r>
        <w:rPr/>
        <w:t>据的信息，包括前瞻性信息。本集团考虑的信息包括：</w:t>
      </w:r>
    </w:p>
    <w:p>
      <w:pPr>
        <w:spacing w:line="240" w:lineRule="auto" w:before="10"/>
        <w:rPr>
          <w:rFonts w:ascii="宋体" w:hAnsi="宋体" w:cs="宋体" w:eastAsia="宋体" w:hint="default"/>
          <w:sz w:val="13"/>
          <w:szCs w:val="13"/>
        </w:rPr>
      </w:pPr>
    </w:p>
    <w:p>
      <w:pPr>
        <w:pStyle w:val="BodyText"/>
        <w:spacing w:line="240" w:lineRule="auto"/>
        <w:ind w:left="468" w:right="0"/>
        <w:jc w:val="both"/>
      </w:pPr>
      <w:r>
        <w:rPr/>
        <w:t>-</w:t>
      </w:r>
      <w:r>
        <w:rPr>
          <w:spacing w:val="37"/>
        </w:rPr>
        <w:t> </w:t>
      </w:r>
      <w:r>
        <w:rPr/>
        <w:t>债务人未能按合同到期日支付本金和利息的情况；</w:t>
      </w:r>
    </w:p>
    <w:p>
      <w:pPr>
        <w:spacing w:line="240" w:lineRule="auto" w:before="5"/>
        <w:rPr>
          <w:rFonts w:ascii="宋体" w:hAnsi="宋体" w:cs="宋体" w:eastAsia="宋体" w:hint="default"/>
          <w:sz w:val="16"/>
          <w:szCs w:val="16"/>
        </w:rPr>
      </w:pPr>
    </w:p>
    <w:p>
      <w:pPr>
        <w:pStyle w:val="BodyText"/>
        <w:spacing w:line="240" w:lineRule="auto"/>
        <w:ind w:left="468" w:right="0"/>
        <w:jc w:val="both"/>
      </w:pPr>
      <w:r>
        <w:rPr/>
        <w:t>-</w:t>
      </w:r>
      <w:r>
        <w:rPr>
          <w:spacing w:val="37"/>
        </w:rPr>
        <w:t> </w:t>
      </w:r>
      <w:r>
        <w:rPr/>
        <w:t>已发生的或预期的金融工具的外部或内部信用评级（如有）的严重恶化；</w:t>
      </w:r>
    </w:p>
    <w:p>
      <w:pPr>
        <w:spacing w:line="240" w:lineRule="auto" w:before="5"/>
        <w:rPr>
          <w:rFonts w:ascii="宋体" w:hAnsi="宋体" w:cs="宋体" w:eastAsia="宋体" w:hint="default"/>
          <w:sz w:val="16"/>
          <w:szCs w:val="16"/>
        </w:rPr>
      </w:pPr>
    </w:p>
    <w:p>
      <w:pPr>
        <w:pStyle w:val="BodyText"/>
        <w:spacing w:line="240" w:lineRule="auto"/>
        <w:ind w:left="468" w:right="0"/>
        <w:jc w:val="both"/>
      </w:pPr>
      <w:r>
        <w:rPr/>
        <w:t>-</w:t>
      </w:r>
      <w:r>
        <w:rPr>
          <w:spacing w:val="37"/>
        </w:rPr>
        <w:t> </w:t>
      </w:r>
      <w:r>
        <w:rPr/>
        <w:t>已发生的或预期的债务人经营成果的严重恶化；</w:t>
      </w:r>
    </w:p>
    <w:p>
      <w:pPr>
        <w:spacing w:line="240" w:lineRule="auto" w:before="5"/>
        <w:rPr>
          <w:rFonts w:ascii="宋体" w:hAnsi="宋体" w:cs="宋体" w:eastAsia="宋体" w:hint="default"/>
          <w:sz w:val="16"/>
          <w:szCs w:val="16"/>
        </w:rPr>
      </w:pPr>
    </w:p>
    <w:p>
      <w:pPr>
        <w:pStyle w:val="BodyText"/>
        <w:spacing w:line="240" w:lineRule="auto"/>
        <w:ind w:left="468" w:right="0"/>
        <w:jc w:val="both"/>
      </w:pPr>
      <w:r>
        <w:rPr/>
        <w:t>-</w:t>
      </w:r>
      <w:r>
        <w:rPr>
          <w:spacing w:val="37"/>
        </w:rPr>
        <w:t> </w:t>
      </w:r>
      <w:r>
        <w:rPr/>
        <w:t>现存的或预期的技术、市场、经济或法律环境变化，并将对债务人对本集团的还款能力产生重大不利影响。</w:t>
      </w:r>
    </w:p>
    <w:p>
      <w:pPr>
        <w:spacing w:line="240" w:lineRule="auto" w:before="5"/>
        <w:rPr>
          <w:rFonts w:ascii="宋体" w:hAnsi="宋体" w:cs="宋体" w:eastAsia="宋体" w:hint="default"/>
          <w:sz w:val="16"/>
          <w:szCs w:val="16"/>
        </w:rPr>
      </w:pPr>
    </w:p>
    <w:p>
      <w:pPr>
        <w:pStyle w:val="BodyText"/>
        <w:spacing w:line="285" w:lineRule="auto"/>
        <w:ind w:left="468" w:right="129"/>
        <w:jc w:val="both"/>
      </w:pPr>
      <w:r>
        <w:rPr/>
        <w:t>根据金融工具的性质，本集团以单项金融工具或金融工具组合为基础评估信用风险是否显著增加。以金融工具组合为</w:t>
      </w:r>
      <w:r>
        <w:rPr>
          <w:spacing w:val="7"/>
        </w:rPr>
        <w:t> </w:t>
      </w:r>
      <w:r>
        <w:rPr>
          <w:spacing w:val="7"/>
        </w:rPr>
      </w:r>
      <w:r>
        <w:rPr/>
        <w:t>基础进行评估时，本集团可基于共同信用风险特征对金融工具进行分类，例如逾期信息和信用风险评级。</w:t>
      </w:r>
    </w:p>
    <w:p>
      <w:pPr>
        <w:spacing w:line="240" w:lineRule="auto" w:before="10"/>
        <w:rPr>
          <w:rFonts w:ascii="宋体" w:hAnsi="宋体" w:cs="宋体" w:eastAsia="宋体" w:hint="default"/>
          <w:sz w:val="13"/>
          <w:szCs w:val="13"/>
        </w:rPr>
      </w:pPr>
    </w:p>
    <w:p>
      <w:pPr>
        <w:pStyle w:val="BodyText"/>
        <w:spacing w:line="240" w:lineRule="auto"/>
        <w:ind w:left="177" w:right="125"/>
        <w:jc w:val="left"/>
      </w:pPr>
      <w:r>
        <w:rPr>
          <w:w w:val="95"/>
        </w:rPr>
        <w:t>(iv)</w:t>
      </w:r>
      <w:r>
        <w:rPr>
          <w:spacing w:val="-51"/>
          <w:w w:val="95"/>
        </w:rPr>
        <w:t> </w:t>
      </w:r>
      <w:r>
        <w:rPr>
          <w:w w:val="95"/>
        </w:rPr>
        <w:t>预期信用损失准备的列报</w:t>
      </w:r>
    </w:p>
    <w:p>
      <w:pPr>
        <w:spacing w:line="240" w:lineRule="auto" w:before="12"/>
        <w:rPr>
          <w:rFonts w:ascii="宋体" w:hAnsi="宋体" w:cs="宋体" w:eastAsia="宋体" w:hint="default"/>
          <w:sz w:val="17"/>
          <w:szCs w:val="17"/>
        </w:rPr>
      </w:pPr>
    </w:p>
    <w:p>
      <w:pPr>
        <w:pStyle w:val="BodyText"/>
        <w:spacing w:line="285" w:lineRule="auto"/>
        <w:ind w:left="468" w:right="129"/>
        <w:jc w:val="both"/>
      </w:pPr>
      <w:r>
        <w:rPr/>
        <w:t>为反映金融工具的信用风险自初始确认后的变化，本集团在每个资产负债表日重新计量预期信用损失，由此形成的损</w:t>
      </w:r>
      <w:r>
        <w:rPr>
          <w:spacing w:val="7"/>
        </w:rPr>
        <w:t> </w:t>
      </w:r>
      <w:r>
        <w:rPr>
          <w:spacing w:val="7"/>
        </w:rPr>
      </w:r>
      <w:r>
        <w:rPr/>
        <w:t>失准备的增加或转回金额，应当作为减值损失或利得计入当期损益。对于以摊余成本计量的金融资产，损失准备抵减</w:t>
      </w:r>
      <w:r>
        <w:rPr>
          <w:spacing w:val="5"/>
        </w:rPr>
        <w:t> </w:t>
      </w:r>
      <w:r>
        <w:rPr>
          <w:spacing w:val="5"/>
        </w:rPr>
      </w:r>
      <w:r>
        <w:rPr/>
        <w:t>该金融资产在资产负债表中列示的账面价值。</w:t>
      </w:r>
    </w:p>
    <w:p>
      <w:pPr>
        <w:spacing w:after="0" w:line="285" w:lineRule="auto"/>
        <w:jc w:val="both"/>
        <w:sectPr>
          <w:footerReference w:type="even" r:id="rId281"/>
          <w:footerReference w:type="default" r:id="rId282"/>
          <w:pgSz w:w="11910" w:h="16160"/>
          <w:pgMar w:footer="320" w:header="1200" w:top="2120" w:bottom="520" w:left="680" w:right="1340"/>
          <w:pgNumType w:start="102"/>
        </w:sectPr>
      </w:pPr>
    </w:p>
    <w:p>
      <w:pPr>
        <w:spacing w:line="240" w:lineRule="auto" w:before="3"/>
        <w:rPr>
          <w:rFonts w:ascii="宋体" w:hAnsi="宋体" w:cs="宋体" w:eastAsia="宋体" w:hint="default"/>
          <w:sz w:val="14"/>
          <w:szCs w:val="14"/>
        </w:rPr>
      </w:pPr>
    </w:p>
    <w:p>
      <w:pPr>
        <w:pStyle w:val="BodyText"/>
        <w:spacing w:line="480" w:lineRule="auto" w:before="31"/>
        <w:ind w:left="114" w:right="8132"/>
        <w:jc w:val="left"/>
      </w:pPr>
      <w:r>
        <w:rPr/>
        <w:t>8、</w:t>
      </w:r>
      <w:r>
        <w:rPr>
          <w:spacing w:val="-22"/>
        </w:rPr>
        <w:t> </w:t>
      </w:r>
      <w:r>
        <w:rPr/>
        <w:t>金融工具（续）</w:t>
      </w:r>
      <w:r>
        <w:rPr/>
        <w:t> (a)</w:t>
      </w:r>
      <w:r>
        <w:rPr>
          <w:spacing w:val="-21"/>
        </w:rPr>
        <w:t> </w:t>
      </w:r>
      <w:r>
        <w:rPr/>
        <w:t>金融资产（续）</w:t>
      </w:r>
    </w:p>
    <w:p>
      <w:pPr>
        <w:pStyle w:val="BodyText"/>
        <w:spacing w:line="240" w:lineRule="auto" w:before="54"/>
        <w:ind w:left="114" w:right="95"/>
        <w:jc w:val="left"/>
      </w:pPr>
      <w:r>
        <w:rPr/>
        <w:t>(3)</w:t>
      </w:r>
      <w:r>
        <w:rPr>
          <w:spacing w:val="-21"/>
        </w:rPr>
        <w:t> </w:t>
      </w:r>
      <w:r>
        <w:rPr/>
        <w:t>金融资产减值（续）</w:t>
      </w:r>
    </w:p>
    <w:p>
      <w:pPr>
        <w:spacing w:line="240" w:lineRule="auto" w:before="12"/>
        <w:rPr>
          <w:rFonts w:ascii="宋体" w:hAnsi="宋体" w:cs="宋体" w:eastAsia="宋体" w:hint="default"/>
          <w:sz w:val="17"/>
          <w:szCs w:val="17"/>
        </w:rPr>
      </w:pPr>
    </w:p>
    <w:p>
      <w:pPr>
        <w:pStyle w:val="BodyText"/>
        <w:spacing w:line="240" w:lineRule="auto"/>
        <w:ind w:left="114" w:right="95"/>
        <w:jc w:val="left"/>
      </w:pPr>
      <w:r>
        <w:rPr>
          <w:w w:val="95"/>
        </w:rPr>
        <w:t>(v)</w:t>
      </w:r>
      <w:r>
        <w:rPr>
          <w:spacing w:val="54"/>
          <w:w w:val="95"/>
        </w:rPr>
        <w:t> </w:t>
      </w:r>
      <w:r>
        <w:rPr>
          <w:w w:val="95"/>
        </w:rPr>
        <w:t>已发生信用减值的金融资产</w:t>
      </w:r>
    </w:p>
    <w:p>
      <w:pPr>
        <w:spacing w:line="240" w:lineRule="auto" w:before="12"/>
        <w:rPr>
          <w:rFonts w:ascii="宋体" w:hAnsi="宋体" w:cs="宋体" w:eastAsia="宋体" w:hint="default"/>
          <w:sz w:val="17"/>
          <w:szCs w:val="17"/>
        </w:rPr>
      </w:pPr>
    </w:p>
    <w:p>
      <w:pPr>
        <w:pStyle w:val="BodyText"/>
        <w:spacing w:line="285" w:lineRule="auto"/>
        <w:ind w:right="105"/>
        <w:jc w:val="both"/>
      </w:pPr>
      <w:r>
        <w:rPr/>
        <w:t>本集团在资产负债表日评估以摊余成本计量的金融资产和以公允价值计量且其变动计入其他综合收益的债权投资是否</w:t>
      </w:r>
      <w:r>
        <w:rPr>
          <w:spacing w:val="11"/>
        </w:rPr>
        <w:t> </w:t>
      </w:r>
      <w:r>
        <w:rPr/>
        <w:t>已发生信用减值。当对金融资产预期未来现金流量具有不利影响的一项或多项事件发生时，该金融资产成为已发生信</w:t>
      </w:r>
      <w:r>
        <w:rPr>
          <w:spacing w:val="7"/>
        </w:rPr>
        <w:t> </w:t>
      </w:r>
      <w:r>
        <w:rPr>
          <w:spacing w:val="7"/>
        </w:rPr>
      </w:r>
      <w:r>
        <w:rPr/>
        <w:t>用减值的金融资产。金融资产已发生信用减值的证据包括下列可观察信息：</w:t>
      </w:r>
    </w:p>
    <w:p>
      <w:pPr>
        <w:spacing w:line="240" w:lineRule="auto" w:before="10"/>
        <w:rPr>
          <w:rFonts w:ascii="宋体" w:hAnsi="宋体" w:cs="宋体" w:eastAsia="宋体" w:hint="default"/>
          <w:sz w:val="13"/>
          <w:szCs w:val="13"/>
        </w:rPr>
      </w:pPr>
    </w:p>
    <w:p>
      <w:pPr>
        <w:pStyle w:val="BodyText"/>
        <w:spacing w:line="240" w:lineRule="auto"/>
        <w:ind w:right="0"/>
        <w:jc w:val="both"/>
      </w:pPr>
      <w:r>
        <w:rPr/>
        <w:t>-</w:t>
      </w:r>
      <w:r>
        <w:rPr>
          <w:spacing w:val="37"/>
        </w:rPr>
        <w:t> </w:t>
      </w:r>
      <w:r>
        <w:rPr/>
        <w:t>发行方或债务人发生重大财务困难；</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债务人违反合同，如偿付利息或本金违约或逾期等；</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本集团出于与债务人财务困难有关的经济或合同考虑，给予债务人在任何其他情况下都不会做出的让步；</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债务人很可能破产或进行其他财务重组；</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发行方或债务人财务困难导致该金融资产的活跃市场消失。</w:t>
      </w:r>
    </w:p>
    <w:p>
      <w:pPr>
        <w:spacing w:line="240" w:lineRule="auto" w:before="5"/>
        <w:rPr>
          <w:rFonts w:ascii="宋体" w:hAnsi="宋体" w:cs="宋体" w:eastAsia="宋体" w:hint="default"/>
          <w:sz w:val="16"/>
          <w:szCs w:val="16"/>
        </w:rPr>
      </w:pPr>
    </w:p>
    <w:p>
      <w:pPr>
        <w:pStyle w:val="BodyText"/>
        <w:spacing w:line="240" w:lineRule="auto"/>
        <w:ind w:left="114" w:right="95"/>
        <w:jc w:val="left"/>
      </w:pPr>
      <w:r>
        <w:rPr>
          <w:w w:val="85"/>
        </w:rPr>
        <w:t>(vi)</w:t>
      </w:r>
      <w:r>
        <w:rPr>
          <w:spacing w:val="-51"/>
          <w:w w:val="85"/>
        </w:rPr>
        <w:t> </w:t>
      </w:r>
      <w:r>
        <w:rPr>
          <w:w w:val="85"/>
        </w:rPr>
        <w:t>核销</w:t>
      </w:r>
    </w:p>
    <w:p>
      <w:pPr>
        <w:spacing w:line="240" w:lineRule="auto" w:before="12"/>
        <w:rPr>
          <w:rFonts w:ascii="宋体" w:hAnsi="宋体" w:cs="宋体" w:eastAsia="宋体" w:hint="default"/>
          <w:sz w:val="17"/>
          <w:szCs w:val="17"/>
        </w:rPr>
      </w:pPr>
    </w:p>
    <w:p>
      <w:pPr>
        <w:pStyle w:val="BodyText"/>
        <w:spacing w:line="285" w:lineRule="auto"/>
        <w:ind w:right="105"/>
        <w:jc w:val="both"/>
      </w:pPr>
      <w:r>
        <w:rPr/>
        <w:t>如果本集团不再合理预期金融资产合同现金流量能够全部或部分收回，则直接减记该金融资产的账面余额。这种减记</w:t>
      </w:r>
      <w:r>
        <w:rPr>
          <w:spacing w:val="7"/>
        </w:rPr>
        <w:t> </w:t>
      </w:r>
      <w:r>
        <w:rPr>
          <w:spacing w:val="7"/>
        </w:rPr>
      </w:r>
      <w:r>
        <w:rPr/>
        <w:t>构成相关金融资产的终止确认。这种情况通常发生在本集团确定债务人没有资产或收入来源可产生足够的现金流量以</w:t>
      </w:r>
      <w:r>
        <w:rPr>
          <w:spacing w:val="9"/>
        </w:rPr>
        <w:t> </w:t>
      </w:r>
      <w:r>
        <w:rPr>
          <w:spacing w:val="9"/>
        </w:rPr>
      </w:r>
      <w:r>
        <w:rPr/>
        <w:t>偿还将被减记的金额。但是，按照本集团收回到期款项的程序，被减记的金融资产仍可能受到执行活动的影响。</w:t>
      </w:r>
    </w:p>
    <w:p>
      <w:pPr>
        <w:spacing w:line="240" w:lineRule="auto" w:before="10"/>
        <w:rPr>
          <w:rFonts w:ascii="宋体" w:hAnsi="宋体" w:cs="宋体" w:eastAsia="宋体" w:hint="default"/>
          <w:sz w:val="13"/>
          <w:szCs w:val="13"/>
        </w:rPr>
      </w:pPr>
    </w:p>
    <w:p>
      <w:pPr>
        <w:pStyle w:val="BodyText"/>
        <w:spacing w:line="458" w:lineRule="auto"/>
        <w:ind w:left="114" w:right="3271" w:firstLine="340"/>
        <w:jc w:val="left"/>
      </w:pPr>
      <w:r>
        <w:rPr/>
        <w:t>已减记的金融资产以后又收回的，作为减值损失的转回计入收回当期的损益。 (4)</w:t>
      </w:r>
      <w:r>
        <w:rPr>
          <w:spacing w:val="-21"/>
        </w:rPr>
        <w:t> </w:t>
      </w:r>
      <w:r>
        <w:rPr/>
        <w:t>金融资产的终止确认</w:t>
      </w:r>
    </w:p>
    <w:p>
      <w:pPr>
        <w:pStyle w:val="BodyText"/>
        <w:spacing w:line="240" w:lineRule="auto" w:before="71"/>
        <w:ind w:right="0"/>
        <w:jc w:val="both"/>
      </w:pPr>
      <w:r>
        <w:rPr/>
        <w:t>金融资产满足下列条件之一的，本集团终止确认该金融资产：</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收取该金融资产现金流量的合同权利终止；</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该金融资产已转移，且本集团将金融资产所有权上几乎所有的风险和报酬转移给转入方；</w:t>
      </w:r>
    </w:p>
    <w:p>
      <w:pPr>
        <w:spacing w:line="240" w:lineRule="auto" w:before="5"/>
        <w:rPr>
          <w:rFonts w:ascii="宋体" w:hAnsi="宋体" w:cs="宋体" w:eastAsia="宋体" w:hint="default"/>
          <w:sz w:val="16"/>
          <w:szCs w:val="16"/>
        </w:rPr>
      </w:pPr>
    </w:p>
    <w:p>
      <w:pPr>
        <w:pStyle w:val="BodyText"/>
        <w:spacing w:line="285" w:lineRule="auto"/>
        <w:ind w:right="95"/>
        <w:jc w:val="left"/>
      </w:pPr>
      <w:r>
        <w:rPr/>
        <w:t>-</w:t>
      </w:r>
      <w:r>
        <w:rPr>
          <w:spacing w:val="63"/>
        </w:rPr>
        <w:t> </w:t>
      </w:r>
      <w:r>
        <w:rPr/>
        <w:t>该金融资产已转移，虽然本集团既没有转移也没有保留金融资产所有权上几乎所有的风险和报酬，但是未保留对该</w:t>
      </w:r>
      <w:r>
        <w:rPr>
          <w:spacing w:val="-83"/>
        </w:rPr>
        <w:t> </w:t>
      </w:r>
      <w:r>
        <w:rPr>
          <w:spacing w:val="-83"/>
        </w:rPr>
      </w:r>
      <w:r>
        <w:rPr>
          <w:w w:val="105"/>
        </w:rPr>
        <w:t>金融资产的控制。</w:t>
      </w:r>
    </w:p>
    <w:p>
      <w:pPr>
        <w:spacing w:line="240" w:lineRule="auto" w:before="10"/>
        <w:rPr>
          <w:rFonts w:ascii="宋体" w:hAnsi="宋体" w:cs="宋体" w:eastAsia="宋体" w:hint="default"/>
          <w:sz w:val="13"/>
          <w:szCs w:val="13"/>
        </w:rPr>
      </w:pPr>
    </w:p>
    <w:p>
      <w:pPr>
        <w:pStyle w:val="BodyText"/>
        <w:spacing w:line="240" w:lineRule="auto"/>
        <w:ind w:right="0"/>
        <w:jc w:val="both"/>
      </w:pPr>
      <w:r>
        <w:rPr/>
        <w:t>金融资产转移整体满足终止确认条件的，本集团将下列两项金额的差额计入当期损益：</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被转移金融资产在终止确认日的账面价值；</w:t>
      </w:r>
    </w:p>
    <w:p>
      <w:pPr>
        <w:spacing w:line="240" w:lineRule="auto" w:before="5"/>
        <w:rPr>
          <w:rFonts w:ascii="宋体" w:hAnsi="宋体" w:cs="宋体" w:eastAsia="宋体" w:hint="default"/>
          <w:sz w:val="16"/>
          <w:szCs w:val="16"/>
        </w:rPr>
      </w:pPr>
    </w:p>
    <w:p>
      <w:pPr>
        <w:pStyle w:val="BodyText"/>
        <w:spacing w:line="285" w:lineRule="auto"/>
        <w:ind w:right="95"/>
        <w:jc w:val="left"/>
      </w:pPr>
      <w:r>
        <w:rPr/>
        <w:t>-</w:t>
      </w:r>
      <w:r>
        <w:rPr>
          <w:spacing w:val="63"/>
        </w:rPr>
        <w:t> </w:t>
      </w:r>
      <w:r>
        <w:rPr/>
        <w:t>因转移金融资产而收到的对价，与原直接计入其他综合收益的公允价值变动累计额中对应终止确认部分的金额（涉</w:t>
      </w:r>
      <w:r>
        <w:rPr>
          <w:spacing w:val="-83"/>
        </w:rPr>
        <w:t> </w:t>
      </w:r>
      <w:r>
        <w:rPr>
          <w:spacing w:val="-83"/>
        </w:rPr>
      </w:r>
      <w:r>
        <w:rPr>
          <w:w w:val="105"/>
        </w:rPr>
        <w:t>及转移的金融资产为以公允价值计量且其变动计入其他综合收益的债权投资）之和。</w:t>
      </w:r>
    </w:p>
    <w:p>
      <w:pPr>
        <w:spacing w:after="0" w:line="285" w:lineRule="auto"/>
        <w:jc w:val="left"/>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8154"/>
        <w:jc w:val="left"/>
      </w:pPr>
      <w:r>
        <w:rPr/>
        <w:t>8、</w:t>
      </w:r>
      <w:r>
        <w:rPr>
          <w:spacing w:val="-22"/>
        </w:rPr>
        <w:t> </w:t>
      </w:r>
      <w:r>
        <w:rPr/>
        <w:t>金融工具（续）</w:t>
      </w:r>
      <w:r>
        <w:rPr/>
        <w:t> (b)</w:t>
      </w:r>
      <w:r>
        <w:rPr>
          <w:spacing w:val="-21"/>
        </w:rPr>
        <w:t> </w:t>
      </w:r>
      <w:r>
        <w:rPr/>
        <w:t>金融负债</w:t>
      </w:r>
    </w:p>
    <w:p>
      <w:pPr>
        <w:pStyle w:val="BodyText"/>
        <w:spacing w:line="285" w:lineRule="auto" w:before="54"/>
        <w:ind w:left="453" w:right="126"/>
        <w:jc w:val="both"/>
      </w:pPr>
      <w:r>
        <w:rPr/>
        <w:t>金融负债在本集团成为相关金融工具合同条款的一方时，于资产负债表内确认。本集团将金融负债分类为以公允价值</w:t>
      </w:r>
      <w:r>
        <w:rPr>
          <w:spacing w:val="7"/>
        </w:rPr>
        <w:t> </w:t>
      </w:r>
      <w:r>
        <w:rPr>
          <w:spacing w:val="7"/>
        </w:rPr>
      </w:r>
      <w:r>
        <w:rPr/>
        <w:t>计量且其变动计入当期损益的金融负债及以摊余成本计量的金融负债。本集团的金融负债主要为以摊余成本计量的金</w:t>
      </w:r>
      <w:r>
        <w:rPr>
          <w:spacing w:val="9"/>
        </w:rPr>
        <w:t> </w:t>
      </w:r>
      <w:r>
        <w:rPr>
          <w:spacing w:val="9"/>
        </w:rPr>
      </w:r>
      <w:r>
        <w:rPr/>
        <w:t>融负债，包括应付款项、借款及应付债券等。</w:t>
      </w:r>
    </w:p>
    <w:p>
      <w:pPr>
        <w:spacing w:line="240" w:lineRule="auto" w:before="10"/>
        <w:rPr>
          <w:rFonts w:ascii="宋体" w:hAnsi="宋体" w:cs="宋体" w:eastAsia="宋体" w:hint="default"/>
          <w:sz w:val="13"/>
          <w:szCs w:val="13"/>
        </w:rPr>
      </w:pPr>
    </w:p>
    <w:p>
      <w:pPr>
        <w:pStyle w:val="BodyText"/>
        <w:spacing w:line="240" w:lineRule="auto"/>
        <w:ind w:left="453" w:right="0"/>
        <w:jc w:val="both"/>
      </w:pPr>
      <w:r>
        <w:rPr/>
        <w:t>应付款项包括应付账款、其他应付款等，以公允价值进行初始计量，并采用实际利率法按摊余成本进行后续计量。</w:t>
      </w:r>
    </w:p>
    <w:p>
      <w:pPr>
        <w:spacing w:line="240" w:lineRule="auto" w:before="5"/>
        <w:rPr>
          <w:rFonts w:ascii="宋体" w:hAnsi="宋体" w:cs="宋体" w:eastAsia="宋体" w:hint="default"/>
          <w:sz w:val="16"/>
          <w:szCs w:val="16"/>
        </w:rPr>
      </w:pPr>
    </w:p>
    <w:p>
      <w:pPr>
        <w:pStyle w:val="BodyText"/>
        <w:spacing w:line="285" w:lineRule="auto"/>
        <w:ind w:left="453" w:right="127"/>
        <w:jc w:val="both"/>
      </w:pPr>
      <w:r>
        <w:rPr/>
        <w:t>借款及应付债券（含短期融资券）按其公允价值扣除交易费用后的金额进行初始计量，并采用实际利率法按摊余成本</w:t>
      </w:r>
      <w:r>
        <w:rPr>
          <w:spacing w:val="6"/>
        </w:rPr>
        <w:t> </w:t>
      </w:r>
      <w:r>
        <w:rPr>
          <w:spacing w:val="6"/>
        </w:rPr>
      </w:r>
      <w:r>
        <w:rPr/>
        <w:t>进行后续计量。</w:t>
      </w:r>
    </w:p>
    <w:p>
      <w:pPr>
        <w:spacing w:line="240" w:lineRule="auto" w:before="10"/>
        <w:rPr>
          <w:rFonts w:ascii="宋体" w:hAnsi="宋体" w:cs="宋体" w:eastAsia="宋体" w:hint="default"/>
          <w:sz w:val="13"/>
          <w:szCs w:val="13"/>
        </w:rPr>
      </w:pPr>
    </w:p>
    <w:p>
      <w:pPr>
        <w:pStyle w:val="BodyText"/>
        <w:spacing w:line="285" w:lineRule="auto"/>
        <w:ind w:left="453" w:right="131"/>
        <w:jc w:val="both"/>
      </w:pPr>
      <w:r>
        <w:rPr>
          <w:spacing w:val="-2"/>
        </w:rPr>
        <w:t>其他金融负债期限在一年以下（含一年）的，列示为流动负债；期限在一年以上但自资产负债表日起一年内（含一年）</w:t>
      </w:r>
      <w:r>
        <w:rPr>
          <w:spacing w:val="-52"/>
        </w:rPr>
        <w:t> </w:t>
      </w:r>
      <w:r>
        <w:rPr>
          <w:spacing w:val="-52"/>
        </w:rPr>
      </w:r>
      <w:r>
        <w:rPr/>
        <w:t>到期的，列示为一年内到期的非流动负债；其余列示为非流动负债。</w:t>
      </w:r>
    </w:p>
    <w:p>
      <w:pPr>
        <w:spacing w:line="240" w:lineRule="auto" w:before="10"/>
        <w:rPr>
          <w:rFonts w:ascii="宋体" w:hAnsi="宋体" w:cs="宋体" w:eastAsia="宋体" w:hint="default"/>
          <w:sz w:val="13"/>
          <w:szCs w:val="13"/>
        </w:rPr>
      </w:pPr>
    </w:p>
    <w:p>
      <w:pPr>
        <w:pStyle w:val="BodyText"/>
        <w:spacing w:line="240" w:lineRule="auto"/>
        <w:ind w:left="453" w:right="0"/>
        <w:jc w:val="both"/>
      </w:pPr>
      <w:r>
        <w:rPr/>
        <w:t>金融负债（或其一部分）的现时义务已经解除的，本集团终止确认该金融负债（或该部分金融负债）。</w:t>
      </w:r>
    </w:p>
    <w:p>
      <w:pPr>
        <w:spacing w:line="240" w:lineRule="auto" w:before="5"/>
        <w:rPr>
          <w:rFonts w:ascii="宋体" w:hAnsi="宋体" w:cs="宋体" w:eastAsia="宋体" w:hint="default"/>
          <w:sz w:val="16"/>
          <w:szCs w:val="16"/>
        </w:rPr>
      </w:pPr>
    </w:p>
    <w:p>
      <w:pPr>
        <w:pStyle w:val="BodyText"/>
        <w:spacing w:line="240" w:lineRule="auto"/>
        <w:ind w:left="113" w:right="125"/>
        <w:jc w:val="left"/>
      </w:pPr>
      <w:r>
        <w:rPr>
          <w:w w:val="95"/>
        </w:rPr>
        <w:t>(c)</w:t>
      </w:r>
      <w:r>
        <w:rPr>
          <w:spacing w:val="15"/>
          <w:w w:val="95"/>
        </w:rPr>
        <w:t> </w:t>
      </w:r>
      <w:r>
        <w:rPr>
          <w:w w:val="95"/>
        </w:rPr>
        <w:t>抵销</w:t>
      </w:r>
    </w:p>
    <w:p>
      <w:pPr>
        <w:spacing w:line="240" w:lineRule="auto" w:before="12"/>
        <w:rPr>
          <w:rFonts w:ascii="宋体" w:hAnsi="宋体" w:cs="宋体" w:eastAsia="宋体" w:hint="default"/>
          <w:sz w:val="17"/>
          <w:szCs w:val="17"/>
        </w:rPr>
      </w:pPr>
    </w:p>
    <w:p>
      <w:pPr>
        <w:pStyle w:val="BodyText"/>
        <w:spacing w:line="285" w:lineRule="auto"/>
        <w:ind w:left="453" w:right="131"/>
        <w:jc w:val="both"/>
      </w:pPr>
      <w:r>
        <w:rPr/>
        <w:t>金融资产和金融负债在资产负债表内分别列示，没有相互抵销。但是，同时满足下列条件的，以相互抵销后的净额在</w:t>
      </w:r>
      <w:r>
        <w:rPr>
          <w:spacing w:val="3"/>
        </w:rPr>
        <w:t> </w:t>
      </w:r>
      <w:r>
        <w:rPr>
          <w:spacing w:val="3"/>
        </w:rPr>
      </w:r>
      <w:r>
        <w:rPr/>
        <w:t>资产负债表内列示</w:t>
      </w:r>
      <w:r>
        <w:rPr>
          <w:spacing w:val="-41"/>
        </w:rPr>
        <w:t> </w:t>
      </w:r>
      <w:r>
        <w:rPr/>
        <w:t>：</w:t>
      </w:r>
    </w:p>
    <w:p>
      <w:pPr>
        <w:spacing w:line="240" w:lineRule="auto" w:before="10"/>
        <w:rPr>
          <w:rFonts w:ascii="宋体" w:hAnsi="宋体" w:cs="宋体" w:eastAsia="宋体" w:hint="default"/>
          <w:sz w:val="13"/>
          <w:szCs w:val="13"/>
        </w:rPr>
      </w:pPr>
    </w:p>
    <w:p>
      <w:pPr>
        <w:pStyle w:val="BodyText"/>
        <w:spacing w:line="240" w:lineRule="auto"/>
        <w:ind w:left="453" w:right="0"/>
        <w:jc w:val="both"/>
      </w:pPr>
      <w:r>
        <w:rPr/>
        <w:t>-  </w:t>
      </w:r>
      <w:r>
        <w:rPr>
          <w:spacing w:val="19"/>
        </w:rPr>
        <w:t> </w:t>
      </w:r>
      <w:r>
        <w:rPr/>
        <w:t>本集团具有抵销已确认金额的法定权利，且该种法定权利是当前可执行的；</w:t>
      </w:r>
    </w:p>
    <w:p>
      <w:pPr>
        <w:spacing w:line="240" w:lineRule="auto" w:before="5"/>
        <w:rPr>
          <w:rFonts w:ascii="宋体" w:hAnsi="宋体" w:cs="宋体" w:eastAsia="宋体" w:hint="default"/>
          <w:sz w:val="16"/>
          <w:szCs w:val="16"/>
        </w:rPr>
      </w:pPr>
    </w:p>
    <w:p>
      <w:pPr>
        <w:pStyle w:val="BodyText"/>
        <w:tabs>
          <w:tab w:pos="833" w:val="left" w:leader="none"/>
        </w:tabs>
        <w:spacing w:line="458" w:lineRule="auto"/>
        <w:ind w:left="113" w:right="3649" w:firstLine="340"/>
        <w:jc w:val="left"/>
      </w:pPr>
      <w:r>
        <w:rPr/>
        <w:t>-</w:t>
        <w:tab/>
        <w:t>本集团计划以净额结算，或同时变现该金融资产和清偿该金融负债。 (d)</w:t>
      </w:r>
      <w:r>
        <w:rPr>
          <w:spacing w:val="-21"/>
        </w:rPr>
        <w:t> </w:t>
      </w:r>
      <w:r>
        <w:rPr/>
        <w:t>权益工具</w:t>
      </w:r>
    </w:p>
    <w:p>
      <w:pPr>
        <w:pStyle w:val="BodyText"/>
        <w:spacing w:line="285" w:lineRule="auto" w:before="71"/>
        <w:ind w:left="453" w:right="128"/>
        <w:jc w:val="both"/>
      </w:pPr>
      <w:r>
        <w:rPr/>
        <w:t>本公司发行权益工具收到的对价扣除交易费用后，计入股东权益。回购本公司权益工具支付的对价和交易费用，减少</w:t>
      </w:r>
      <w:r>
        <w:rPr>
          <w:spacing w:val="5"/>
        </w:rPr>
        <w:t> </w:t>
      </w:r>
      <w:r>
        <w:rPr>
          <w:spacing w:val="5"/>
        </w:rPr>
      </w:r>
      <w:r>
        <w:rPr/>
        <w:t>股东权益。</w:t>
      </w:r>
    </w:p>
    <w:p>
      <w:pPr>
        <w:spacing w:line="240" w:lineRule="auto" w:before="10"/>
        <w:rPr>
          <w:rFonts w:ascii="宋体" w:hAnsi="宋体" w:cs="宋体" w:eastAsia="宋体" w:hint="default"/>
          <w:sz w:val="13"/>
          <w:szCs w:val="13"/>
        </w:rPr>
      </w:pPr>
    </w:p>
    <w:p>
      <w:pPr>
        <w:pStyle w:val="BodyText"/>
        <w:spacing w:line="285" w:lineRule="auto"/>
        <w:ind w:left="453" w:right="130"/>
        <w:jc w:val="both"/>
      </w:pPr>
      <w:r>
        <w:rPr/>
        <w:t>回购本公司股份时，回购的股份作为库存股管理，回购股份的全部支出转为库存股成本，同时进行备查登记。库存股</w:t>
      </w:r>
      <w:r>
        <w:rPr>
          <w:spacing w:val="3"/>
        </w:rPr>
        <w:t> </w:t>
      </w:r>
      <w:r>
        <w:rPr>
          <w:spacing w:val="3"/>
        </w:rPr>
      </w:r>
      <w:r>
        <w:rPr/>
        <w:t>不参与利润分配，在资产负债表中作为股东权益的备抵项目列示。</w:t>
      </w:r>
    </w:p>
    <w:p>
      <w:pPr>
        <w:spacing w:line="240" w:lineRule="auto" w:before="10"/>
        <w:rPr>
          <w:rFonts w:ascii="宋体" w:hAnsi="宋体" w:cs="宋体" w:eastAsia="宋体" w:hint="default"/>
          <w:sz w:val="13"/>
          <w:szCs w:val="13"/>
        </w:rPr>
      </w:pPr>
    </w:p>
    <w:p>
      <w:pPr>
        <w:pStyle w:val="BodyText"/>
        <w:spacing w:line="285" w:lineRule="auto"/>
        <w:ind w:left="453" w:right="130"/>
        <w:jc w:val="both"/>
      </w:pPr>
      <w:r>
        <w:rPr/>
        <w:t>库存股注销时，按注销股票面值总额减少股本，库存股成本超过面值总额的部分，应依次冲减资本公积</w:t>
      </w:r>
      <w:r>
        <w:rPr>
          <w:spacing w:val="-54"/>
        </w:rPr>
        <w:t> </w:t>
      </w:r>
      <w:r>
        <w:rPr>
          <w:w w:val="95"/>
        </w:rPr>
        <w:t>(</w:t>
      </w:r>
      <w:r>
        <w:rPr>
          <w:spacing w:val="-50"/>
          <w:w w:val="95"/>
        </w:rPr>
        <w:t> </w:t>
      </w:r>
      <w:r>
        <w:rPr/>
        <w:t>股本溢价</w:t>
      </w:r>
      <w:r>
        <w:rPr>
          <w:spacing w:val="-54"/>
        </w:rPr>
        <w:t> </w:t>
      </w:r>
      <w:r>
        <w:rPr/>
        <w:t>)、</w:t>
      </w:r>
      <w:r>
        <w:rPr/>
        <w:t> 盈余公积和未分配利润；库存股成本低于面值总额的，低于面值总额的部分增加资本公积</w:t>
      </w:r>
      <w:r>
        <w:rPr>
          <w:spacing w:val="-71"/>
        </w:rPr>
        <w:t> </w:t>
      </w:r>
      <w:r>
        <w:rPr>
          <w:w w:val="95"/>
        </w:rPr>
        <w:t>(</w:t>
      </w:r>
      <w:r>
        <w:rPr>
          <w:spacing w:val="-66"/>
          <w:w w:val="95"/>
        </w:rPr>
        <w:t> </w:t>
      </w:r>
      <w:r>
        <w:rPr/>
        <w:t>股本溢价</w:t>
      </w:r>
      <w:r>
        <w:rPr>
          <w:spacing w:val="-71"/>
        </w:rPr>
        <w:t> </w:t>
      </w:r>
      <w:r>
        <w:rPr/>
        <w:t>)。</w:t>
      </w:r>
    </w:p>
    <w:p>
      <w:pPr>
        <w:spacing w:line="240" w:lineRule="auto" w:before="10"/>
        <w:rPr>
          <w:rFonts w:ascii="宋体" w:hAnsi="宋体" w:cs="宋体" w:eastAsia="宋体" w:hint="default"/>
          <w:sz w:val="13"/>
          <w:szCs w:val="13"/>
        </w:rPr>
      </w:pPr>
    </w:p>
    <w:p>
      <w:pPr>
        <w:pStyle w:val="BodyText"/>
        <w:spacing w:line="285" w:lineRule="auto"/>
        <w:ind w:left="453" w:right="132"/>
        <w:jc w:val="both"/>
      </w:pPr>
      <w:r>
        <w:rPr/>
        <w:t>库存股转让时，转让收入高于库存股成本的部分，增加资本公积</w:t>
      </w:r>
      <w:r>
        <w:rPr>
          <w:spacing w:val="-49"/>
        </w:rPr>
        <w:t> </w:t>
      </w:r>
      <w:r>
        <w:rPr>
          <w:w w:val="95"/>
        </w:rPr>
        <w:t>(</w:t>
      </w:r>
      <w:r>
        <w:rPr>
          <w:spacing w:val="-58"/>
          <w:w w:val="95"/>
        </w:rPr>
        <w:t> </w:t>
      </w:r>
      <w:r>
        <w:rPr/>
        <w:t>股本溢价</w:t>
      </w:r>
      <w:r>
        <w:rPr>
          <w:spacing w:val="-62"/>
        </w:rPr>
        <w:t> </w:t>
      </w:r>
      <w:r>
        <w:rPr/>
        <w:t>)；低于库存股成本的部分，依次冲减资本</w:t>
      </w:r>
      <w:r>
        <w:rPr/>
        <w:t> 公积</w:t>
      </w:r>
      <w:r>
        <w:rPr>
          <w:spacing w:val="-68"/>
        </w:rPr>
        <w:t> </w:t>
      </w:r>
      <w:r>
        <w:rPr>
          <w:w w:val="95"/>
        </w:rPr>
        <w:t>(</w:t>
      </w:r>
      <w:r>
        <w:rPr>
          <w:spacing w:val="-66"/>
          <w:w w:val="95"/>
        </w:rPr>
        <w:t> </w:t>
      </w:r>
      <w:r>
        <w:rPr/>
        <w:t>股本溢价</w:t>
      </w:r>
      <w:r>
        <w:rPr>
          <w:spacing w:val="-70"/>
        </w:rPr>
        <w:t> </w:t>
      </w:r>
      <w:r>
        <w:rPr/>
        <w:t>)、盈余公积、未分配利润。</w:t>
      </w:r>
    </w:p>
    <w:p>
      <w:pPr>
        <w:spacing w:after="0" w:line="285" w:lineRule="auto"/>
        <w:jc w:val="both"/>
        <w:sectPr>
          <w:pgSz w:w="11910" w:h="16160"/>
          <w:pgMar w:header="1200" w:footer="320" w:top="2120" w:bottom="520" w:left="680" w:right="1340"/>
        </w:sectPr>
      </w:pPr>
    </w:p>
    <w:p>
      <w:pPr>
        <w:spacing w:line="240" w:lineRule="auto" w:before="3"/>
        <w:rPr>
          <w:rFonts w:ascii="宋体" w:hAnsi="宋体" w:cs="宋体" w:eastAsia="宋体" w:hint="default"/>
          <w:sz w:val="14"/>
          <w:szCs w:val="14"/>
        </w:rPr>
      </w:pPr>
    </w:p>
    <w:p>
      <w:pPr>
        <w:pStyle w:val="BodyText"/>
        <w:spacing w:line="240" w:lineRule="auto" w:before="31"/>
        <w:ind w:left="114" w:right="95"/>
        <w:jc w:val="left"/>
      </w:pPr>
      <w:r>
        <w:rPr/>
        <w:t>9、存货</w:t>
      </w:r>
    </w:p>
    <w:p>
      <w:pPr>
        <w:spacing w:line="240" w:lineRule="auto" w:before="12"/>
        <w:rPr>
          <w:rFonts w:ascii="宋体" w:hAnsi="宋体" w:cs="宋体" w:eastAsia="宋体" w:hint="default"/>
          <w:sz w:val="17"/>
          <w:szCs w:val="17"/>
        </w:rPr>
      </w:pPr>
    </w:p>
    <w:p>
      <w:pPr>
        <w:pStyle w:val="BodyText"/>
        <w:spacing w:line="240" w:lineRule="auto"/>
        <w:ind w:left="114" w:right="95"/>
        <w:jc w:val="left"/>
      </w:pPr>
      <w:r>
        <w:rPr>
          <w:w w:val="95"/>
        </w:rPr>
        <w:t>(a)</w:t>
      </w:r>
      <w:r>
        <w:rPr>
          <w:spacing w:val="15"/>
          <w:w w:val="95"/>
        </w:rPr>
        <w:t> </w:t>
      </w:r>
      <w:r>
        <w:rPr>
          <w:w w:val="95"/>
        </w:rPr>
        <w:t>分类</w:t>
      </w:r>
    </w:p>
    <w:p>
      <w:pPr>
        <w:spacing w:line="240" w:lineRule="auto" w:before="12"/>
        <w:rPr>
          <w:rFonts w:ascii="宋体" w:hAnsi="宋体" w:cs="宋体" w:eastAsia="宋体" w:hint="default"/>
          <w:sz w:val="17"/>
          <w:szCs w:val="17"/>
        </w:rPr>
      </w:pPr>
    </w:p>
    <w:p>
      <w:pPr>
        <w:pStyle w:val="BodyText"/>
        <w:spacing w:line="458" w:lineRule="auto"/>
        <w:ind w:left="114" w:right="738" w:firstLine="340"/>
        <w:jc w:val="left"/>
      </w:pPr>
      <w:r>
        <w:rPr/>
        <w:t>存货包括手机等通讯终端、手机识别卡（如 SIM 卡、USIM</w:t>
      </w:r>
      <w:r>
        <w:rPr>
          <w:spacing w:val="13"/>
        </w:rPr>
        <w:t> </w:t>
      </w:r>
      <w:r>
        <w:rPr/>
        <w:t>卡等）及配件等，按成本与可变现净值孰低计量。</w:t>
      </w:r>
      <w:r>
        <w:rPr/>
        <w:t> (b)</w:t>
      </w:r>
      <w:r>
        <w:rPr>
          <w:spacing w:val="-21"/>
        </w:rPr>
        <w:t> </w:t>
      </w:r>
      <w:r>
        <w:rPr/>
        <w:t>发出存货的计价方法</w:t>
      </w:r>
    </w:p>
    <w:p>
      <w:pPr>
        <w:pStyle w:val="BodyText"/>
        <w:spacing w:line="458" w:lineRule="auto" w:before="71"/>
        <w:ind w:left="114" w:right="3811" w:firstLine="340"/>
        <w:jc w:val="left"/>
      </w:pPr>
      <w:r>
        <w:rPr/>
        <w:t>存货于取得时按实际成本入账，存货发出时的成本按先进先出法核算。 (c)</w:t>
      </w:r>
      <w:r>
        <w:rPr>
          <w:spacing w:val="-21"/>
        </w:rPr>
        <w:t> </w:t>
      </w:r>
      <w:r>
        <w:rPr/>
        <w:t>存货可变现净值的确定依据及存货跌价准备的计提方法</w:t>
      </w:r>
    </w:p>
    <w:p>
      <w:pPr>
        <w:pStyle w:val="BodyText"/>
        <w:spacing w:line="285" w:lineRule="auto" w:before="71"/>
        <w:ind w:right="105"/>
        <w:jc w:val="both"/>
      </w:pPr>
      <w:r>
        <w:rPr/>
        <w:t>存货跌价准备按存货成本高于其可变现净值的差额计提。可变现净值按日常活动中，以存货的估计售价减去估计的销</w:t>
      </w:r>
      <w:r>
        <w:rPr>
          <w:spacing w:val="7"/>
        </w:rPr>
        <w:t> </w:t>
      </w:r>
      <w:r>
        <w:rPr>
          <w:spacing w:val="7"/>
        </w:rPr>
      </w:r>
      <w:r>
        <w:rPr/>
        <w:t>售费用及相关税费后的金额确定。</w:t>
      </w:r>
    </w:p>
    <w:p>
      <w:pPr>
        <w:spacing w:line="240" w:lineRule="auto" w:before="10"/>
        <w:rPr>
          <w:rFonts w:ascii="宋体" w:hAnsi="宋体" w:cs="宋体" w:eastAsia="宋体" w:hint="default"/>
          <w:sz w:val="13"/>
          <w:szCs w:val="13"/>
        </w:rPr>
      </w:pPr>
    </w:p>
    <w:p>
      <w:pPr>
        <w:pStyle w:val="BodyText"/>
        <w:spacing w:line="480" w:lineRule="auto"/>
        <w:ind w:left="114" w:right="6241"/>
        <w:jc w:val="left"/>
      </w:pPr>
      <w:r>
        <w:rPr/>
        <w:t>(d)</w:t>
      </w:r>
      <w:r>
        <w:rPr>
          <w:spacing w:val="-17"/>
        </w:rPr>
        <w:t> </w:t>
      </w:r>
      <w:r>
        <w:rPr/>
        <w:t>本集团的存货盘存制度采用永续盘存制。</w:t>
      </w:r>
      <w:r>
        <w:rPr/>
        <w:t> (e)</w:t>
      </w:r>
      <w:r>
        <w:rPr>
          <w:spacing w:val="19"/>
        </w:rPr>
        <w:t> </w:t>
      </w:r>
      <w:r>
        <w:rPr/>
        <w:t>低值易耗品采用一次转销法进行摊销。</w:t>
      </w:r>
      <w:r>
        <w:rPr/>
        <w:t> 10、长期股权投资</w:t>
      </w:r>
    </w:p>
    <w:p>
      <w:pPr>
        <w:pStyle w:val="BodyText"/>
        <w:spacing w:line="240" w:lineRule="auto" w:before="54"/>
        <w:ind w:right="95"/>
        <w:jc w:val="left"/>
      </w:pPr>
      <w:r>
        <w:rPr/>
        <w:t>长期股权投资包括：本公司对子公司的长期股权投资；本集团对合营企业和联营企业的长期股权投资。</w:t>
      </w:r>
    </w:p>
    <w:p>
      <w:pPr>
        <w:spacing w:line="240" w:lineRule="auto" w:before="5"/>
        <w:rPr>
          <w:rFonts w:ascii="宋体" w:hAnsi="宋体" w:cs="宋体" w:eastAsia="宋体" w:hint="default"/>
          <w:sz w:val="16"/>
          <w:szCs w:val="16"/>
        </w:rPr>
      </w:pPr>
    </w:p>
    <w:p>
      <w:pPr>
        <w:pStyle w:val="BodyText"/>
        <w:spacing w:line="285" w:lineRule="auto"/>
        <w:ind w:right="108"/>
        <w:jc w:val="both"/>
      </w:pPr>
      <w:r>
        <w:rPr>
          <w:spacing w:val="-2"/>
          <w:w w:val="95"/>
        </w:rPr>
        <w:t>子公司是指本公司能够对其实施控制的被投资单位；合营企业是由本集团与其他合营方共同控制（参见附注三</w:t>
      </w:r>
      <w:r>
        <w:rPr>
          <w:w w:val="95"/>
        </w:rPr>
        <w:t> (10)(c)）</w:t>
      </w:r>
      <w:r>
        <w:rPr>
          <w:spacing w:val="-14"/>
          <w:w w:val="95"/>
        </w:rPr>
        <w:t> </w:t>
      </w:r>
      <w:r>
        <w:rPr>
          <w:spacing w:val="-14"/>
          <w:w w:val="95"/>
        </w:rPr>
      </w:r>
      <w:r>
        <w:rPr/>
        <w:t>且仅对其净资产享有权利的一项安排；联营企业是指本集团能够对其财务和经营决策具有重大影响的被投资单位。</w:t>
      </w:r>
    </w:p>
    <w:p>
      <w:pPr>
        <w:spacing w:line="240" w:lineRule="auto" w:before="10"/>
        <w:rPr>
          <w:rFonts w:ascii="宋体" w:hAnsi="宋体" w:cs="宋体" w:eastAsia="宋体" w:hint="default"/>
          <w:sz w:val="13"/>
          <w:szCs w:val="13"/>
        </w:rPr>
      </w:pPr>
    </w:p>
    <w:p>
      <w:pPr>
        <w:pStyle w:val="BodyText"/>
        <w:spacing w:line="285" w:lineRule="auto"/>
        <w:ind w:right="108"/>
        <w:jc w:val="both"/>
      </w:pPr>
      <w:r>
        <w:rPr/>
        <w:t>对子公司的投资，在公司财务报表中按照成本法确定的金额列示，除非投资符合持有待售的条件，在编制合并财务报</w:t>
      </w:r>
      <w:r>
        <w:rPr>
          <w:spacing w:val="5"/>
        </w:rPr>
        <w:t> </w:t>
      </w:r>
      <w:r>
        <w:rPr>
          <w:spacing w:val="5"/>
        </w:rPr>
      </w:r>
      <w:r>
        <w:rPr/>
        <w:t>表时按权益法调整后进行合并；对合营企业和联营企业投资采用权益法核算。</w:t>
      </w:r>
    </w:p>
    <w:p>
      <w:pPr>
        <w:spacing w:line="240" w:lineRule="auto" w:before="10"/>
        <w:rPr>
          <w:rFonts w:ascii="宋体" w:hAnsi="宋体" w:cs="宋体" w:eastAsia="宋体" w:hint="default"/>
          <w:sz w:val="13"/>
          <w:szCs w:val="13"/>
        </w:rPr>
      </w:pPr>
    </w:p>
    <w:p>
      <w:pPr>
        <w:pStyle w:val="BodyText"/>
        <w:spacing w:line="240" w:lineRule="auto"/>
        <w:ind w:left="114" w:right="95"/>
        <w:jc w:val="left"/>
      </w:pPr>
      <w:r>
        <w:rPr/>
        <w:t>(a)</w:t>
      </w:r>
      <w:r>
        <w:rPr>
          <w:spacing w:val="-21"/>
        </w:rPr>
        <w:t> </w:t>
      </w:r>
      <w:r>
        <w:rPr/>
        <w:t>投资成本确定</w:t>
      </w:r>
    </w:p>
    <w:p>
      <w:pPr>
        <w:spacing w:line="240" w:lineRule="auto" w:before="12"/>
        <w:rPr>
          <w:rFonts w:ascii="宋体" w:hAnsi="宋体" w:cs="宋体" w:eastAsia="宋体" w:hint="default"/>
          <w:sz w:val="17"/>
          <w:szCs w:val="17"/>
        </w:rPr>
      </w:pPr>
    </w:p>
    <w:p>
      <w:pPr>
        <w:pStyle w:val="BodyText"/>
        <w:spacing w:line="285" w:lineRule="auto"/>
        <w:ind w:right="105"/>
        <w:jc w:val="both"/>
      </w:pPr>
      <w:r>
        <w:rPr/>
        <w:t>对于企业合并形成的长期股权投资：同一控制下企业合并取得的长期股权投资，在合并日按照取得被合并方所有者权</w:t>
      </w:r>
      <w:r>
        <w:rPr>
          <w:spacing w:val="7"/>
        </w:rPr>
        <w:t> </w:t>
      </w:r>
      <w:r>
        <w:rPr>
          <w:spacing w:val="7"/>
        </w:rPr>
      </w:r>
      <w:r>
        <w:rPr/>
        <w:t>益在最终控制方合并财务报表中的账面价值的份额作为投资成本；非同一控制下企业合并取得的长期股权投资，按照</w:t>
      </w:r>
      <w:r>
        <w:rPr>
          <w:spacing w:val="7"/>
        </w:rPr>
        <w:t> </w:t>
      </w:r>
      <w:r>
        <w:rPr>
          <w:spacing w:val="7"/>
        </w:rPr>
      </w:r>
      <w:r>
        <w:rPr/>
        <w:t>合并成本作为长期股权投资的投资成本。本公司个别子公司在以前年度进行公司制改建时对其持有的长期股权投资，</w:t>
      </w:r>
      <w:r>
        <w:rPr>
          <w:spacing w:val="5"/>
        </w:rPr>
        <w:t> </w:t>
      </w:r>
      <w:r>
        <w:rPr>
          <w:spacing w:val="5"/>
        </w:rPr>
      </w:r>
      <w:r>
        <w:rPr/>
        <w:t>按国有资产管理部门确认的评估值作为入账价值。</w:t>
      </w:r>
    </w:p>
    <w:p>
      <w:pPr>
        <w:spacing w:line="240" w:lineRule="auto" w:before="10"/>
        <w:rPr>
          <w:rFonts w:ascii="宋体" w:hAnsi="宋体" w:cs="宋体" w:eastAsia="宋体" w:hint="default"/>
          <w:sz w:val="13"/>
          <w:szCs w:val="13"/>
        </w:rPr>
      </w:pPr>
    </w:p>
    <w:p>
      <w:pPr>
        <w:pStyle w:val="BodyText"/>
        <w:spacing w:line="285" w:lineRule="auto"/>
        <w:ind w:right="105"/>
        <w:jc w:val="both"/>
      </w:pPr>
      <w:r>
        <w:rPr/>
        <w:t>对于以企业合并以外的其他方式取得的长期股权投资：支付现金取得的长期股权投资，按照实际支付的购买价款作为</w:t>
      </w:r>
      <w:r>
        <w:rPr>
          <w:spacing w:val="7"/>
        </w:rPr>
        <w:t> </w:t>
      </w:r>
      <w:r>
        <w:rPr>
          <w:spacing w:val="7"/>
        </w:rPr>
      </w:r>
      <w:r>
        <w:rPr/>
        <w:t>初始投资成本；发行权益性证券取得的长期股权投资，以发行权益性证券的公允价值作为初始投资成本。</w:t>
      </w:r>
    </w:p>
    <w:p>
      <w:pPr>
        <w:spacing w:after="0" w:line="285" w:lineRule="auto"/>
        <w:jc w:val="both"/>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87"/>
        <w:jc w:val="left"/>
      </w:pPr>
      <w:r>
        <w:rPr/>
        <w:t>10、长期股权投资（续）</w:t>
      </w:r>
    </w:p>
    <w:p>
      <w:pPr>
        <w:spacing w:line="240" w:lineRule="auto" w:before="12"/>
        <w:rPr>
          <w:rFonts w:ascii="宋体" w:hAnsi="宋体" w:cs="宋体" w:eastAsia="宋体" w:hint="default"/>
          <w:sz w:val="17"/>
          <w:szCs w:val="17"/>
        </w:rPr>
      </w:pPr>
    </w:p>
    <w:p>
      <w:pPr>
        <w:pStyle w:val="BodyText"/>
        <w:spacing w:line="240" w:lineRule="auto"/>
        <w:ind w:left="163" w:right="87"/>
        <w:jc w:val="left"/>
      </w:pPr>
      <w:r>
        <w:rPr>
          <w:w w:val="95"/>
        </w:rPr>
        <w:t>(b)</w:t>
      </w:r>
      <w:r>
        <w:rPr>
          <w:spacing w:val="46"/>
          <w:w w:val="95"/>
        </w:rPr>
        <w:t> </w:t>
      </w:r>
      <w:r>
        <w:rPr>
          <w:w w:val="95"/>
        </w:rPr>
        <w:t>后续计量及损益确认方法</w:t>
      </w:r>
    </w:p>
    <w:p>
      <w:pPr>
        <w:spacing w:line="240" w:lineRule="auto" w:before="12"/>
        <w:rPr>
          <w:rFonts w:ascii="宋体" w:hAnsi="宋体" w:cs="宋体" w:eastAsia="宋体" w:hint="default"/>
          <w:sz w:val="17"/>
          <w:szCs w:val="17"/>
        </w:rPr>
      </w:pPr>
    </w:p>
    <w:p>
      <w:pPr>
        <w:pStyle w:val="BodyText"/>
        <w:spacing w:line="285" w:lineRule="auto"/>
        <w:ind w:left="453" w:right="186"/>
        <w:jc w:val="both"/>
      </w:pPr>
      <w:r>
        <w:rPr/>
        <w:t>采用成本法核算的长期股权投资，按照初始投资成本计量，被投资单位宣告分派的现金股利或利润，确认为当期投资</w:t>
      </w:r>
      <w:r>
        <w:rPr>
          <w:spacing w:val="5"/>
        </w:rPr>
        <w:t> </w:t>
      </w:r>
      <w:r>
        <w:rPr>
          <w:spacing w:val="5"/>
        </w:rPr>
      </w:r>
      <w:r>
        <w:rPr/>
        <w:t>收益计入当期损益。</w:t>
      </w:r>
    </w:p>
    <w:p>
      <w:pPr>
        <w:spacing w:line="240" w:lineRule="auto" w:before="10"/>
        <w:rPr>
          <w:rFonts w:ascii="宋体" w:hAnsi="宋体" w:cs="宋体" w:eastAsia="宋体" w:hint="default"/>
          <w:sz w:val="13"/>
          <w:szCs w:val="13"/>
        </w:rPr>
      </w:pPr>
    </w:p>
    <w:p>
      <w:pPr>
        <w:pStyle w:val="BodyText"/>
        <w:spacing w:line="285" w:lineRule="auto"/>
        <w:ind w:left="453" w:right="186"/>
        <w:jc w:val="both"/>
      </w:pPr>
      <w:r>
        <w:rPr/>
        <w:t>采用权益法核算的长期股权投资，初始投资成本大于投资时应享有被投资单位可辨认净资产公允价值份额的，以初始</w:t>
      </w:r>
      <w:r>
        <w:rPr>
          <w:spacing w:val="7"/>
        </w:rPr>
        <w:t> </w:t>
      </w:r>
      <w:r>
        <w:rPr>
          <w:spacing w:val="7"/>
        </w:rPr>
      </w:r>
      <w:r>
        <w:rPr/>
        <w:t>投资成本作为长期股权投资成本；初始投资成本小于投资时应享有被投资单位可辨认净资产公允价值份额的，其差额</w:t>
      </w:r>
      <w:r>
        <w:rPr>
          <w:spacing w:val="7"/>
        </w:rPr>
        <w:t> </w:t>
      </w:r>
      <w:r>
        <w:rPr>
          <w:spacing w:val="7"/>
        </w:rPr>
      </w:r>
      <w:r>
        <w:rPr/>
        <w:t>计入当期损益，并相应调增长期股权投资成本。</w:t>
      </w:r>
    </w:p>
    <w:p>
      <w:pPr>
        <w:spacing w:line="240" w:lineRule="auto" w:before="10"/>
        <w:rPr>
          <w:rFonts w:ascii="宋体" w:hAnsi="宋体" w:cs="宋体" w:eastAsia="宋体" w:hint="default"/>
          <w:sz w:val="13"/>
          <w:szCs w:val="13"/>
        </w:rPr>
      </w:pPr>
    </w:p>
    <w:p>
      <w:pPr>
        <w:pStyle w:val="BodyText"/>
        <w:spacing w:line="285" w:lineRule="auto"/>
        <w:ind w:left="453" w:right="91"/>
        <w:jc w:val="left"/>
      </w:pPr>
      <w:r>
        <w:rPr/>
        <w:t>采用权益法核算的长期股权投资，本集团按应享有或应分担的被投资单位的净损益和其他综合收益的份额分别确认当</w:t>
      </w:r>
      <w:r>
        <w:rPr>
          <w:spacing w:val="9"/>
        </w:rPr>
        <w:t> </w:t>
      </w:r>
      <w:r>
        <w:rPr>
          <w:spacing w:val="9"/>
        </w:rPr>
      </w:r>
      <w:r>
        <w:rPr/>
        <w:t>期投资损益和其他综合收益。确认被投资单位发生的净亏损，以长期股权投资的账面价值以及其他实质上构成对被投</w:t>
      </w:r>
      <w:r>
        <w:rPr>
          <w:spacing w:val="7"/>
        </w:rPr>
        <w:t> </w:t>
      </w:r>
      <w:r>
        <w:rPr>
          <w:spacing w:val="7"/>
        </w:rPr>
      </w:r>
      <w:r>
        <w:rPr/>
        <w:t>资单位净投资的长期权益减记至零为限，但本集团负有承担额外损失义务且符合或有事项准则所规定的预计负债确认</w:t>
      </w:r>
      <w:r>
        <w:rPr>
          <w:spacing w:val="9"/>
        </w:rPr>
        <w:t> </w:t>
      </w:r>
      <w:r>
        <w:rPr>
          <w:spacing w:val="9"/>
        </w:rPr>
      </w:r>
      <w:r>
        <w:rPr/>
        <w:t>条件的，继续确认投资损失并作为预计负债核算。被投资单位除净损益、其他综合收益和利润分配以外股东权益的其</w:t>
      </w:r>
      <w:r>
        <w:rPr>
          <w:spacing w:val="5"/>
        </w:rPr>
        <w:t> </w:t>
      </w:r>
      <w:r>
        <w:rPr>
          <w:spacing w:val="5"/>
        </w:rPr>
      </w:r>
      <w:r>
        <w:rPr/>
        <w:t>他变动，在本集团持股比例不变的情况下，按照持股比例计算应享有或承担的部分直接计入股东权益，并同时调整长</w:t>
      </w:r>
      <w:r>
        <w:rPr>
          <w:spacing w:val="5"/>
        </w:rPr>
        <w:t> </w:t>
      </w:r>
      <w:r>
        <w:rPr>
          <w:spacing w:val="5"/>
        </w:rPr>
      </w:r>
      <w:r>
        <w:rPr/>
        <w:t>期股权投资的账面价值。被投资单位分派的利润或现金股利于宣告分派时按照本集团应分得的部分，相应减少长期股</w:t>
      </w:r>
      <w:r>
        <w:rPr>
          <w:spacing w:val="7"/>
        </w:rPr>
        <w:t> </w:t>
      </w:r>
      <w:r>
        <w:rPr>
          <w:spacing w:val="7"/>
        </w:rPr>
      </w:r>
      <w:r>
        <w:rPr/>
        <w:t>权投资的账面价值。本集团与被投资单位之间未实现的内部交易损益按照应享有或应分担的比例计算归属于本集团的</w:t>
      </w:r>
      <w:r>
        <w:rPr>
          <w:spacing w:val="9"/>
        </w:rPr>
        <w:t> </w:t>
      </w:r>
      <w:r>
        <w:rPr>
          <w:spacing w:val="9"/>
        </w:rPr>
      </w:r>
      <w:r>
        <w:rPr>
          <w:spacing w:val="-3"/>
        </w:rPr>
        <w:t>部分，予以抵销，在此基础上确认投资损益。本集团与被投资单位发生的内部交易损失，其中属于资产减值损失的部分，</w:t>
      </w:r>
      <w:r>
        <w:rPr>
          <w:spacing w:val="-87"/>
        </w:rPr>
        <w:t> </w:t>
      </w:r>
      <w:r>
        <w:rPr>
          <w:spacing w:val="-87"/>
        </w:rPr>
      </w:r>
      <w:r>
        <w:rPr/>
        <w:t>相应的未实现损失不予抵销。</w:t>
      </w:r>
    </w:p>
    <w:p>
      <w:pPr>
        <w:spacing w:line="240" w:lineRule="auto" w:before="10"/>
        <w:rPr>
          <w:rFonts w:ascii="宋体" w:hAnsi="宋体" w:cs="宋体" w:eastAsia="宋体" w:hint="default"/>
          <w:sz w:val="13"/>
          <w:szCs w:val="13"/>
        </w:rPr>
      </w:pPr>
    </w:p>
    <w:p>
      <w:pPr>
        <w:pStyle w:val="BodyText"/>
        <w:spacing w:line="240" w:lineRule="auto"/>
        <w:ind w:left="113" w:right="87"/>
        <w:jc w:val="left"/>
      </w:pPr>
      <w:r>
        <w:rPr/>
        <w:t>(c)</w:t>
      </w:r>
      <w:r>
        <w:rPr>
          <w:spacing w:val="-21"/>
        </w:rPr>
        <w:t> </w:t>
      </w:r>
      <w:r>
        <w:rPr/>
        <w:t>确定对被投资单位具有控制、共同控制、重大影响的判断标准</w:t>
      </w:r>
    </w:p>
    <w:p>
      <w:pPr>
        <w:spacing w:line="240" w:lineRule="auto" w:before="12"/>
        <w:rPr>
          <w:rFonts w:ascii="宋体" w:hAnsi="宋体" w:cs="宋体" w:eastAsia="宋体" w:hint="default"/>
          <w:sz w:val="17"/>
          <w:szCs w:val="17"/>
        </w:rPr>
      </w:pPr>
    </w:p>
    <w:p>
      <w:pPr>
        <w:pStyle w:val="BodyText"/>
        <w:spacing w:line="285" w:lineRule="auto"/>
        <w:ind w:left="453" w:right="188"/>
        <w:jc w:val="both"/>
      </w:pPr>
      <w:r>
        <w:rPr/>
        <w:t>控制，是指本集团拥有对被投资方的权力，通过参与被投资方的相关活动而享有可变回报，并且有能力运用对被投资</w:t>
      </w:r>
      <w:r>
        <w:rPr>
          <w:spacing w:val="5"/>
        </w:rPr>
        <w:t> </w:t>
      </w:r>
      <w:r>
        <w:rPr>
          <w:spacing w:val="5"/>
        </w:rPr>
      </w:r>
      <w:r>
        <w:rPr>
          <w:spacing w:val="-5"/>
        </w:rPr>
        <w:t>方的权力影响其回报金额。在判断本集团是否拥有对被投资方的权力时，本集团仅考虑与被投资方相关的实质性权利（包</w:t>
      </w:r>
      <w:r>
        <w:rPr>
          <w:spacing w:val="-68"/>
        </w:rPr>
        <w:t> </w:t>
      </w:r>
      <w:r>
        <w:rPr>
          <w:spacing w:val="-68"/>
        </w:rPr>
      </w:r>
      <w:r>
        <w:rPr/>
        <w:t>括本集团自身所享有的及其他方所享有的实质性权利）。</w:t>
      </w:r>
    </w:p>
    <w:p>
      <w:pPr>
        <w:spacing w:line="240" w:lineRule="auto" w:before="10"/>
        <w:rPr>
          <w:rFonts w:ascii="宋体" w:hAnsi="宋体" w:cs="宋体" w:eastAsia="宋体" w:hint="default"/>
          <w:sz w:val="13"/>
          <w:szCs w:val="13"/>
        </w:rPr>
      </w:pPr>
    </w:p>
    <w:p>
      <w:pPr>
        <w:pStyle w:val="BodyText"/>
        <w:spacing w:line="285" w:lineRule="auto"/>
        <w:ind w:left="453" w:right="189"/>
        <w:jc w:val="both"/>
      </w:pPr>
      <w:r>
        <w:rPr/>
        <w:t>共同控制指按照相关约定对某项安排所共有的控制，并且该安排的相关活动（即对安排的回报产生重大影响的活动）</w:t>
      </w:r>
      <w:r>
        <w:rPr>
          <w:spacing w:val="4"/>
        </w:rPr>
        <w:t> </w:t>
      </w:r>
      <w:r>
        <w:rPr>
          <w:spacing w:val="4"/>
        </w:rPr>
      </w:r>
      <w:r>
        <w:rPr/>
        <w:t>必须经过分享控制权的参与方一致同意后才能决策。</w:t>
      </w:r>
    </w:p>
    <w:p>
      <w:pPr>
        <w:spacing w:line="240" w:lineRule="auto" w:before="10"/>
        <w:rPr>
          <w:rFonts w:ascii="宋体" w:hAnsi="宋体" w:cs="宋体" w:eastAsia="宋体" w:hint="default"/>
          <w:sz w:val="13"/>
          <w:szCs w:val="13"/>
        </w:rPr>
      </w:pPr>
    </w:p>
    <w:p>
      <w:pPr>
        <w:pStyle w:val="BodyText"/>
        <w:spacing w:line="240" w:lineRule="auto"/>
        <w:ind w:left="453" w:right="0"/>
        <w:jc w:val="both"/>
      </w:pPr>
      <w:r>
        <w:rPr/>
        <w:t>本集团在判断对被投资单位是否存在共同控制时，通常考虑下述事项：</w:t>
      </w:r>
    </w:p>
    <w:p>
      <w:pPr>
        <w:spacing w:line="240" w:lineRule="auto" w:before="5"/>
        <w:rPr>
          <w:rFonts w:ascii="宋体" w:hAnsi="宋体" w:cs="宋体" w:eastAsia="宋体" w:hint="default"/>
          <w:sz w:val="16"/>
          <w:szCs w:val="16"/>
        </w:rPr>
      </w:pPr>
    </w:p>
    <w:p>
      <w:pPr>
        <w:pStyle w:val="BodyText"/>
        <w:spacing w:line="240" w:lineRule="auto"/>
        <w:ind w:left="453" w:right="0"/>
        <w:jc w:val="both"/>
      </w:pPr>
      <w:r>
        <w:rPr/>
        <w:t>-</w:t>
      </w:r>
      <w:r>
        <w:rPr>
          <w:spacing w:val="37"/>
        </w:rPr>
        <w:t> </w:t>
      </w:r>
      <w:r>
        <w:rPr/>
        <w:t>是否任何一个参与方均不能单独控制被投资单位的相关活动；</w:t>
      </w:r>
    </w:p>
    <w:p>
      <w:pPr>
        <w:spacing w:line="240" w:lineRule="auto" w:before="5"/>
        <w:rPr>
          <w:rFonts w:ascii="宋体" w:hAnsi="宋体" w:cs="宋体" w:eastAsia="宋体" w:hint="default"/>
          <w:sz w:val="16"/>
          <w:szCs w:val="16"/>
        </w:rPr>
      </w:pPr>
    </w:p>
    <w:p>
      <w:pPr>
        <w:pStyle w:val="BodyText"/>
        <w:spacing w:line="240" w:lineRule="auto"/>
        <w:ind w:left="453" w:right="0"/>
        <w:jc w:val="both"/>
      </w:pPr>
      <w:r>
        <w:rPr/>
        <w:t>-</w:t>
      </w:r>
      <w:r>
        <w:rPr>
          <w:spacing w:val="37"/>
        </w:rPr>
        <w:t> </w:t>
      </w:r>
      <w:r>
        <w:rPr/>
        <w:t>涉及被投资单位相关活动的决策是否需要分享控制权参与方一致同意。</w:t>
      </w:r>
    </w:p>
    <w:p>
      <w:pPr>
        <w:spacing w:line="240" w:lineRule="auto" w:before="5"/>
        <w:rPr>
          <w:rFonts w:ascii="宋体" w:hAnsi="宋体" w:cs="宋体" w:eastAsia="宋体" w:hint="default"/>
          <w:sz w:val="16"/>
          <w:szCs w:val="16"/>
        </w:rPr>
      </w:pPr>
    </w:p>
    <w:p>
      <w:pPr>
        <w:pStyle w:val="BodyText"/>
        <w:spacing w:line="285" w:lineRule="auto"/>
        <w:ind w:left="453" w:right="192"/>
        <w:jc w:val="both"/>
      </w:pPr>
      <w:r>
        <w:rPr/>
        <w:t>重大影响是指本集团对被投资单位的财务和经营政策有参与决策的权力，但并不能够控制或者与其他方一起共同控制</w:t>
      </w:r>
      <w:r>
        <w:rPr>
          <w:spacing w:val="9"/>
        </w:rPr>
        <w:t> </w:t>
      </w:r>
      <w:r>
        <w:rPr>
          <w:spacing w:val="9"/>
        </w:rPr>
      </w:r>
      <w:r>
        <w:rPr/>
        <w:t>这些政策的制定。</w:t>
      </w:r>
    </w:p>
    <w:p>
      <w:pPr>
        <w:spacing w:line="240" w:lineRule="auto" w:before="10"/>
        <w:rPr>
          <w:rFonts w:ascii="宋体" w:hAnsi="宋体" w:cs="宋体" w:eastAsia="宋体" w:hint="default"/>
          <w:sz w:val="13"/>
          <w:szCs w:val="13"/>
        </w:rPr>
      </w:pPr>
    </w:p>
    <w:p>
      <w:pPr>
        <w:pStyle w:val="BodyText"/>
        <w:spacing w:line="240" w:lineRule="auto"/>
        <w:ind w:left="113" w:right="87"/>
        <w:jc w:val="left"/>
      </w:pPr>
      <w:r>
        <w:rPr/>
        <w:t>(d)</w:t>
      </w:r>
      <w:r>
        <w:rPr>
          <w:spacing w:val="-21"/>
        </w:rPr>
        <w:t> </w:t>
      </w:r>
      <w:r>
        <w:rPr/>
        <w:t>长期股权投资减值</w:t>
      </w:r>
    </w:p>
    <w:p>
      <w:pPr>
        <w:spacing w:line="240" w:lineRule="auto" w:before="12"/>
        <w:rPr>
          <w:rFonts w:ascii="宋体" w:hAnsi="宋体" w:cs="宋体" w:eastAsia="宋体" w:hint="default"/>
          <w:sz w:val="17"/>
          <w:szCs w:val="17"/>
        </w:rPr>
      </w:pPr>
    </w:p>
    <w:p>
      <w:pPr>
        <w:pStyle w:val="BodyText"/>
        <w:spacing w:line="285" w:lineRule="auto"/>
        <w:ind w:left="453" w:right="193"/>
        <w:jc w:val="both"/>
      </w:pPr>
      <w:r>
        <w:rPr>
          <w:spacing w:val="-2"/>
        </w:rPr>
        <w:t>对子公司、合营企业及联营企业的长期股权投资，当其可收回金额低于其账面价值时，账面价值减记至可收回金额（附</w:t>
      </w:r>
      <w:r>
        <w:rPr>
          <w:spacing w:val="-50"/>
        </w:rPr>
        <w:t> </w:t>
      </w:r>
      <w:r>
        <w:rPr>
          <w:spacing w:val="-50"/>
        </w:rPr>
      </w:r>
      <w:r>
        <w:rPr>
          <w:w w:val="95"/>
        </w:rPr>
        <w:t>注三</w:t>
      </w:r>
      <w:r>
        <w:rPr>
          <w:spacing w:val="-47"/>
          <w:w w:val="95"/>
        </w:rPr>
        <w:t> </w:t>
      </w:r>
      <w:r>
        <w:rPr>
          <w:w w:val="95"/>
        </w:rPr>
        <w:t>(16)）。</w:t>
      </w:r>
      <w:r>
        <w:rPr/>
      </w:r>
    </w:p>
    <w:p>
      <w:pPr>
        <w:spacing w:after="0" w:line="285" w:lineRule="auto"/>
        <w:jc w:val="both"/>
        <w:sectPr>
          <w:pgSz w:w="11910" w:h="16160"/>
          <w:pgMar w:header="1200" w:footer="320" w:top="2120" w:bottom="520" w:left="680" w:right="1280"/>
        </w:sectPr>
      </w:pPr>
    </w:p>
    <w:p>
      <w:pPr>
        <w:spacing w:line="240" w:lineRule="auto" w:before="3"/>
        <w:rPr>
          <w:rFonts w:ascii="宋体" w:hAnsi="宋体" w:cs="宋体" w:eastAsia="宋体" w:hint="default"/>
          <w:sz w:val="14"/>
          <w:szCs w:val="14"/>
        </w:rPr>
      </w:pPr>
    </w:p>
    <w:p>
      <w:pPr>
        <w:pStyle w:val="BodyText"/>
        <w:spacing w:line="240" w:lineRule="auto" w:before="31"/>
        <w:ind w:left="114" w:right="95"/>
        <w:jc w:val="left"/>
      </w:pPr>
      <w:r>
        <w:rPr/>
        <w:t>11、固定资产</w:t>
      </w:r>
    </w:p>
    <w:p>
      <w:pPr>
        <w:spacing w:line="240" w:lineRule="auto" w:before="12"/>
        <w:rPr>
          <w:rFonts w:ascii="宋体" w:hAnsi="宋体" w:cs="宋体" w:eastAsia="宋体" w:hint="default"/>
          <w:sz w:val="17"/>
          <w:szCs w:val="17"/>
        </w:rPr>
      </w:pPr>
    </w:p>
    <w:p>
      <w:pPr>
        <w:pStyle w:val="BodyText"/>
        <w:spacing w:line="240" w:lineRule="auto"/>
        <w:ind w:left="114" w:right="95"/>
        <w:jc w:val="left"/>
      </w:pPr>
      <w:r>
        <w:rPr/>
        <w:t>(a)</w:t>
      </w:r>
      <w:r>
        <w:rPr>
          <w:spacing w:val="-21"/>
        </w:rPr>
        <w:t> </w:t>
      </w:r>
      <w:r>
        <w:rPr/>
        <w:t>固定资产确认及初始计量</w:t>
      </w:r>
    </w:p>
    <w:p>
      <w:pPr>
        <w:spacing w:line="240" w:lineRule="auto" w:before="12"/>
        <w:rPr>
          <w:rFonts w:ascii="宋体" w:hAnsi="宋体" w:cs="宋体" w:eastAsia="宋体" w:hint="default"/>
          <w:sz w:val="17"/>
          <w:szCs w:val="17"/>
        </w:rPr>
      </w:pPr>
    </w:p>
    <w:p>
      <w:pPr>
        <w:pStyle w:val="BodyText"/>
        <w:spacing w:line="285" w:lineRule="auto"/>
        <w:ind w:right="105"/>
        <w:jc w:val="both"/>
      </w:pPr>
      <w:r>
        <w:rPr/>
        <w:t>固定资产主要包括房屋及建筑物、通信设备以及办公设备等。固定资产在与其有关的经济利益很可能流入本集团、且</w:t>
      </w:r>
      <w:r>
        <w:rPr>
          <w:spacing w:val="5"/>
        </w:rPr>
        <w:t> </w:t>
      </w:r>
      <w:r>
        <w:rPr>
          <w:spacing w:val="5"/>
        </w:rPr>
      </w:r>
      <w:r>
        <w:rPr/>
        <w:t>其成本能够可靠计量时予以确认。购置或新建的固定资产按取得时的成本进行初始计量。本集团在进行重组时，国有</w:t>
      </w:r>
      <w:r>
        <w:rPr>
          <w:spacing w:val="5"/>
        </w:rPr>
        <w:t> </w:t>
      </w:r>
      <w:r>
        <w:rPr>
          <w:spacing w:val="5"/>
        </w:rPr>
      </w:r>
      <w:r>
        <w:rPr/>
        <w:t>股股东投入的固定资产，按国有资产管理部门确认的评估值作为入账价值。</w:t>
      </w:r>
    </w:p>
    <w:p>
      <w:pPr>
        <w:spacing w:line="240" w:lineRule="auto" w:before="10"/>
        <w:rPr>
          <w:rFonts w:ascii="宋体" w:hAnsi="宋体" w:cs="宋体" w:eastAsia="宋体" w:hint="default"/>
          <w:sz w:val="13"/>
          <w:szCs w:val="13"/>
        </w:rPr>
      </w:pPr>
    </w:p>
    <w:p>
      <w:pPr>
        <w:pStyle w:val="BodyText"/>
        <w:spacing w:line="285" w:lineRule="auto"/>
        <w:ind w:right="105"/>
        <w:jc w:val="both"/>
      </w:pPr>
      <w:r>
        <w:rPr/>
        <w:t>与固定资产有关的后续支出，包括与更换固定资产某组成部分相关的支出，在与支出相关的经济利益很可能流入本集</w:t>
      </w:r>
      <w:r>
        <w:rPr>
          <w:spacing w:val="7"/>
        </w:rPr>
        <w:t> </w:t>
      </w:r>
      <w:r>
        <w:rPr>
          <w:spacing w:val="7"/>
        </w:rPr>
      </w:r>
      <w:r>
        <w:rPr/>
        <w:t>团时资本化计入固定资产成本，同时将被替换部分的账面价值扣除；所有其他后续支出于发生时计入当期损益。</w:t>
      </w:r>
    </w:p>
    <w:p>
      <w:pPr>
        <w:spacing w:line="240" w:lineRule="auto" w:before="10"/>
        <w:rPr>
          <w:rFonts w:ascii="宋体" w:hAnsi="宋体" w:cs="宋体" w:eastAsia="宋体" w:hint="default"/>
          <w:sz w:val="13"/>
          <w:szCs w:val="13"/>
        </w:rPr>
      </w:pPr>
    </w:p>
    <w:p>
      <w:pPr>
        <w:pStyle w:val="BodyText"/>
        <w:spacing w:line="240" w:lineRule="auto"/>
        <w:ind w:left="114" w:right="95"/>
        <w:jc w:val="left"/>
      </w:pPr>
      <w:r>
        <w:rPr/>
        <w:t>(b)</w:t>
      </w:r>
      <w:r>
        <w:rPr>
          <w:spacing w:val="-21"/>
        </w:rPr>
        <w:t> </w:t>
      </w:r>
      <w:r>
        <w:rPr/>
        <w:t>固定资产的折旧方法</w:t>
      </w:r>
    </w:p>
    <w:p>
      <w:pPr>
        <w:spacing w:line="240" w:lineRule="auto" w:before="12"/>
        <w:rPr>
          <w:rFonts w:ascii="宋体" w:hAnsi="宋体" w:cs="宋体" w:eastAsia="宋体" w:hint="default"/>
          <w:sz w:val="17"/>
          <w:szCs w:val="17"/>
        </w:rPr>
      </w:pPr>
    </w:p>
    <w:p>
      <w:pPr>
        <w:pStyle w:val="BodyText"/>
        <w:spacing w:line="285" w:lineRule="auto"/>
        <w:ind w:right="112"/>
        <w:jc w:val="both"/>
      </w:pPr>
      <w:r>
        <w:rPr/>
        <w:t>固定资产折旧采用年限平均法并按其入账价值减去预计净残值后在预计使用寿命内计提。对计提了减值准备的固定资</w:t>
      </w:r>
      <w:r>
        <w:rPr>
          <w:spacing w:val="9"/>
        </w:rPr>
        <w:t> </w:t>
      </w:r>
      <w:r>
        <w:rPr>
          <w:spacing w:val="9"/>
        </w:rPr>
      </w:r>
      <w:r>
        <w:rPr/>
        <w:t>产，则在未来期间按扣除减值准备后的账面价值及依据尚可使用年限确定折旧额。</w:t>
      </w:r>
    </w:p>
    <w:p>
      <w:pPr>
        <w:spacing w:line="240" w:lineRule="auto" w:before="10"/>
        <w:rPr>
          <w:rFonts w:ascii="宋体" w:hAnsi="宋体" w:cs="宋体" w:eastAsia="宋体" w:hint="default"/>
          <w:sz w:val="13"/>
          <w:szCs w:val="13"/>
        </w:rPr>
      </w:pPr>
    </w:p>
    <w:p>
      <w:pPr>
        <w:pStyle w:val="BodyText"/>
        <w:spacing w:line="240" w:lineRule="auto"/>
        <w:ind w:right="0"/>
        <w:jc w:val="both"/>
      </w:pPr>
      <w:r>
        <w:rPr/>
        <w:t>固定资产的预计使用寿命、净残值率及年折旧率列示如下：</w:t>
      </w:r>
    </w:p>
    <w:p>
      <w:pPr>
        <w:spacing w:line="240" w:lineRule="auto" w:before="9"/>
        <w:rPr>
          <w:rFonts w:ascii="宋体" w:hAnsi="宋体" w:cs="宋体" w:eastAsia="宋体" w:hint="default"/>
          <w:sz w:val="17"/>
          <w:szCs w:val="17"/>
        </w:rPr>
      </w:pPr>
    </w:p>
    <w:tbl>
      <w:tblPr>
        <w:tblW w:w="0" w:type="auto"/>
        <w:jc w:val="left"/>
        <w:tblInd w:w="454" w:type="dxa"/>
        <w:tblLayout w:type="fixed"/>
        <w:tblCellMar>
          <w:top w:w="0" w:type="dxa"/>
          <w:left w:w="0" w:type="dxa"/>
          <w:bottom w:w="0" w:type="dxa"/>
          <w:right w:w="0" w:type="dxa"/>
        </w:tblCellMar>
        <w:tblLook w:val="01E0"/>
      </w:tblPr>
      <w:tblGrid>
        <w:gridCol w:w="2957"/>
        <w:gridCol w:w="3085"/>
        <w:gridCol w:w="1676"/>
        <w:gridCol w:w="1563"/>
      </w:tblGrid>
      <w:tr>
        <w:trPr>
          <w:trHeight w:val="440" w:hRule="exact"/>
        </w:trPr>
        <w:tc>
          <w:tcPr>
            <w:tcW w:w="2957" w:type="dxa"/>
            <w:tcBorders>
              <w:top w:val="nil" w:sz="6" w:space="0" w:color="auto"/>
              <w:left w:val="nil" w:sz="6" w:space="0" w:color="auto"/>
              <w:bottom w:val="single" w:sz="16" w:space="0" w:color="9F8958"/>
              <w:right w:val="nil" w:sz="6" w:space="0" w:color="auto"/>
            </w:tcBorders>
          </w:tcPr>
          <w:p>
            <w:pPr/>
          </w:p>
        </w:tc>
        <w:tc>
          <w:tcPr>
            <w:tcW w:w="3085"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399"/>
              <w:jc w:val="right"/>
              <w:rPr>
                <w:rFonts w:ascii="宋体" w:hAnsi="宋体" w:cs="宋体" w:eastAsia="宋体" w:hint="default"/>
                <w:sz w:val="16"/>
                <w:szCs w:val="16"/>
              </w:rPr>
            </w:pPr>
            <w:r>
              <w:rPr>
                <w:rFonts w:ascii="宋体" w:hAnsi="宋体" w:cs="宋体" w:eastAsia="宋体" w:hint="default"/>
                <w:sz w:val="16"/>
                <w:szCs w:val="16"/>
              </w:rPr>
              <w:t>预计使用寿命</w:t>
            </w:r>
          </w:p>
        </w:tc>
        <w:tc>
          <w:tcPr>
            <w:tcW w:w="1676"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311"/>
              <w:jc w:val="right"/>
              <w:rPr>
                <w:rFonts w:ascii="宋体" w:hAnsi="宋体" w:cs="宋体" w:eastAsia="宋体" w:hint="default"/>
                <w:sz w:val="16"/>
                <w:szCs w:val="16"/>
              </w:rPr>
            </w:pPr>
            <w:r>
              <w:rPr>
                <w:rFonts w:ascii="宋体" w:hAnsi="宋体" w:cs="宋体" w:eastAsia="宋体" w:hint="default"/>
                <w:sz w:val="16"/>
                <w:szCs w:val="16"/>
              </w:rPr>
              <w:t>预计净残值率</w:t>
            </w:r>
          </w:p>
        </w:tc>
        <w:tc>
          <w:tcPr>
            <w:tcW w:w="1563"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sz w:val="16"/>
                <w:szCs w:val="16"/>
              </w:rPr>
              <w:t>年折旧率</w:t>
            </w:r>
          </w:p>
        </w:tc>
      </w:tr>
      <w:tr>
        <w:trPr>
          <w:trHeight w:val="390" w:hRule="exact"/>
        </w:trPr>
        <w:tc>
          <w:tcPr>
            <w:tcW w:w="2957"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sz w:val="16"/>
                <w:szCs w:val="16"/>
              </w:rPr>
              <w:t>房屋建筑物</w:t>
            </w:r>
          </w:p>
        </w:tc>
        <w:tc>
          <w:tcPr>
            <w:tcW w:w="3085"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399"/>
              <w:jc w:val="right"/>
              <w:rPr>
                <w:rFonts w:ascii="宋体" w:hAnsi="宋体" w:cs="宋体" w:eastAsia="宋体" w:hint="default"/>
                <w:sz w:val="16"/>
                <w:szCs w:val="16"/>
              </w:rPr>
            </w:pPr>
            <w:r>
              <w:rPr>
                <w:rFonts w:ascii="宋体" w:hAnsi="宋体" w:cs="宋体" w:eastAsia="宋体" w:hint="default"/>
                <w:w w:val="110"/>
                <w:sz w:val="16"/>
                <w:szCs w:val="16"/>
              </w:rPr>
              <w:t>10-30</w:t>
            </w:r>
            <w:r>
              <w:rPr>
                <w:rFonts w:ascii="宋体" w:hAnsi="宋体" w:cs="宋体" w:eastAsia="宋体" w:hint="default"/>
                <w:spacing w:val="-45"/>
                <w:w w:val="110"/>
                <w:sz w:val="16"/>
                <w:szCs w:val="16"/>
              </w:rPr>
              <w:t> </w:t>
            </w:r>
            <w:r>
              <w:rPr>
                <w:rFonts w:ascii="宋体" w:hAnsi="宋体" w:cs="宋体" w:eastAsia="宋体" w:hint="default"/>
                <w:w w:val="110"/>
                <w:sz w:val="16"/>
                <w:szCs w:val="16"/>
              </w:rPr>
              <w:t>年</w:t>
            </w:r>
          </w:p>
        </w:tc>
        <w:tc>
          <w:tcPr>
            <w:tcW w:w="1676"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312"/>
              <w:jc w:val="right"/>
              <w:rPr>
                <w:rFonts w:ascii="宋体" w:hAnsi="宋体" w:cs="宋体" w:eastAsia="宋体" w:hint="default"/>
                <w:sz w:val="16"/>
                <w:szCs w:val="16"/>
              </w:rPr>
            </w:pPr>
            <w:r>
              <w:rPr>
                <w:rFonts w:ascii="宋体"/>
                <w:w w:val="150"/>
                <w:sz w:val="16"/>
              </w:rPr>
              <w:t>3%-5%</w:t>
            </w:r>
            <w:r>
              <w:rPr>
                <w:rFonts w:ascii="宋体"/>
                <w:sz w:val="16"/>
              </w:rPr>
            </w:r>
          </w:p>
        </w:tc>
        <w:tc>
          <w:tcPr>
            <w:tcW w:w="1563"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w w:val="115"/>
                <w:sz w:val="16"/>
              </w:rPr>
              <w:t>3.17%-9.70%</w:t>
            </w:r>
            <w:r>
              <w:rPr>
                <w:rFonts w:ascii="宋体"/>
                <w:sz w:val="16"/>
              </w:rPr>
            </w:r>
          </w:p>
        </w:tc>
      </w:tr>
      <w:tr>
        <w:trPr>
          <w:trHeight w:val="273"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通信设备</w:t>
            </w:r>
          </w:p>
        </w:tc>
        <w:tc>
          <w:tcPr>
            <w:tcW w:w="3085" w:type="dxa"/>
            <w:tcBorders>
              <w:top w:val="nil" w:sz="6" w:space="0" w:color="auto"/>
              <w:left w:val="nil" w:sz="6" w:space="0" w:color="auto"/>
              <w:bottom w:val="nil" w:sz="6" w:space="0" w:color="auto"/>
              <w:right w:val="nil" w:sz="6" w:space="0" w:color="auto"/>
            </w:tcBorders>
          </w:tcPr>
          <w:p>
            <w:pPr>
              <w:pStyle w:val="TableParagraph"/>
              <w:spacing w:line="205" w:lineRule="exact"/>
              <w:ind w:right="399"/>
              <w:jc w:val="right"/>
              <w:rPr>
                <w:rFonts w:ascii="宋体" w:hAnsi="宋体" w:cs="宋体" w:eastAsia="宋体" w:hint="default"/>
                <w:sz w:val="16"/>
                <w:szCs w:val="16"/>
              </w:rPr>
            </w:pPr>
            <w:r>
              <w:rPr>
                <w:rFonts w:ascii="宋体" w:hAnsi="宋体" w:cs="宋体" w:eastAsia="宋体" w:hint="default"/>
                <w:w w:val="115"/>
                <w:sz w:val="16"/>
                <w:szCs w:val="16"/>
              </w:rPr>
              <w:t>5-10</w:t>
            </w:r>
            <w:r>
              <w:rPr>
                <w:rFonts w:ascii="宋体" w:hAnsi="宋体" w:cs="宋体" w:eastAsia="宋体" w:hint="default"/>
                <w:spacing w:val="-74"/>
                <w:w w:val="115"/>
                <w:sz w:val="16"/>
                <w:szCs w:val="16"/>
              </w:rPr>
              <w:t> </w:t>
            </w:r>
            <w:r>
              <w:rPr>
                <w:rFonts w:ascii="宋体" w:hAnsi="宋体" w:cs="宋体" w:eastAsia="宋体" w:hint="default"/>
                <w:w w:val="115"/>
                <w:sz w:val="16"/>
                <w:szCs w:val="16"/>
              </w:rPr>
              <w:t>年</w:t>
            </w:r>
          </w:p>
        </w:tc>
        <w:tc>
          <w:tcPr>
            <w:tcW w:w="1676" w:type="dxa"/>
            <w:tcBorders>
              <w:top w:val="nil" w:sz="6" w:space="0" w:color="auto"/>
              <w:left w:val="nil" w:sz="6" w:space="0" w:color="auto"/>
              <w:bottom w:val="nil" w:sz="6" w:space="0" w:color="auto"/>
              <w:right w:val="nil" w:sz="6" w:space="0" w:color="auto"/>
            </w:tcBorders>
          </w:tcPr>
          <w:p>
            <w:pPr>
              <w:pStyle w:val="TableParagraph"/>
              <w:spacing w:line="205" w:lineRule="exact"/>
              <w:ind w:right="312"/>
              <w:jc w:val="right"/>
              <w:rPr>
                <w:rFonts w:ascii="宋体" w:hAnsi="宋体" w:cs="宋体" w:eastAsia="宋体" w:hint="default"/>
                <w:sz w:val="16"/>
                <w:szCs w:val="16"/>
              </w:rPr>
            </w:pPr>
            <w:r>
              <w:rPr>
                <w:rFonts w:ascii="宋体"/>
                <w:w w:val="150"/>
                <w:sz w:val="16"/>
              </w:rPr>
              <w:t>3%-5%</w:t>
            </w:r>
            <w:r>
              <w:rPr>
                <w:rFonts w:ascii="宋体"/>
                <w:sz w:val="16"/>
              </w:rPr>
            </w:r>
          </w:p>
        </w:tc>
        <w:tc>
          <w:tcPr>
            <w:tcW w:w="156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5"/>
                <w:sz w:val="16"/>
              </w:rPr>
              <w:t>9.50%-19.40%</w:t>
            </w:r>
            <w:r>
              <w:rPr>
                <w:rFonts w:ascii="宋体"/>
                <w:sz w:val="16"/>
              </w:rPr>
            </w:r>
          </w:p>
        </w:tc>
      </w:tr>
      <w:tr>
        <w:trPr>
          <w:trHeight w:val="317" w:hRule="exact"/>
        </w:trPr>
        <w:tc>
          <w:tcPr>
            <w:tcW w:w="295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办公设备及其他</w:t>
            </w:r>
          </w:p>
        </w:tc>
        <w:tc>
          <w:tcPr>
            <w:tcW w:w="3085" w:type="dxa"/>
            <w:tcBorders>
              <w:top w:val="nil" w:sz="6" w:space="0" w:color="auto"/>
              <w:left w:val="nil" w:sz="6" w:space="0" w:color="auto"/>
              <w:bottom w:val="nil" w:sz="6" w:space="0" w:color="auto"/>
              <w:right w:val="nil" w:sz="6" w:space="0" w:color="auto"/>
            </w:tcBorders>
          </w:tcPr>
          <w:p>
            <w:pPr>
              <w:pStyle w:val="TableParagraph"/>
              <w:spacing w:line="205" w:lineRule="exact"/>
              <w:ind w:right="399"/>
              <w:jc w:val="right"/>
              <w:rPr>
                <w:rFonts w:ascii="宋体" w:hAnsi="宋体" w:cs="宋体" w:eastAsia="宋体" w:hint="default"/>
                <w:sz w:val="16"/>
                <w:szCs w:val="16"/>
              </w:rPr>
            </w:pPr>
            <w:r>
              <w:rPr>
                <w:rFonts w:ascii="宋体" w:hAnsi="宋体" w:cs="宋体" w:eastAsia="宋体" w:hint="default"/>
                <w:w w:val="115"/>
                <w:sz w:val="16"/>
                <w:szCs w:val="16"/>
              </w:rPr>
              <w:t>5-10</w:t>
            </w:r>
            <w:r>
              <w:rPr>
                <w:rFonts w:ascii="宋体" w:hAnsi="宋体" w:cs="宋体" w:eastAsia="宋体" w:hint="default"/>
                <w:spacing w:val="-74"/>
                <w:w w:val="115"/>
                <w:sz w:val="16"/>
                <w:szCs w:val="16"/>
              </w:rPr>
              <w:t> </w:t>
            </w:r>
            <w:r>
              <w:rPr>
                <w:rFonts w:ascii="宋体" w:hAnsi="宋体" w:cs="宋体" w:eastAsia="宋体" w:hint="default"/>
                <w:w w:val="115"/>
                <w:sz w:val="16"/>
                <w:szCs w:val="16"/>
              </w:rPr>
              <w:t>年</w:t>
            </w:r>
          </w:p>
        </w:tc>
        <w:tc>
          <w:tcPr>
            <w:tcW w:w="1676" w:type="dxa"/>
            <w:tcBorders>
              <w:top w:val="nil" w:sz="6" w:space="0" w:color="auto"/>
              <w:left w:val="nil" w:sz="6" w:space="0" w:color="auto"/>
              <w:bottom w:val="nil" w:sz="6" w:space="0" w:color="auto"/>
              <w:right w:val="nil" w:sz="6" w:space="0" w:color="auto"/>
            </w:tcBorders>
          </w:tcPr>
          <w:p>
            <w:pPr>
              <w:pStyle w:val="TableParagraph"/>
              <w:spacing w:line="205" w:lineRule="exact"/>
              <w:ind w:right="312"/>
              <w:jc w:val="right"/>
              <w:rPr>
                <w:rFonts w:ascii="宋体" w:hAnsi="宋体" w:cs="宋体" w:eastAsia="宋体" w:hint="default"/>
                <w:sz w:val="16"/>
                <w:szCs w:val="16"/>
              </w:rPr>
            </w:pPr>
            <w:r>
              <w:rPr>
                <w:rFonts w:ascii="宋体"/>
                <w:w w:val="150"/>
                <w:sz w:val="16"/>
              </w:rPr>
              <w:t>3%-5%</w:t>
            </w:r>
            <w:r>
              <w:rPr>
                <w:rFonts w:ascii="宋体"/>
                <w:sz w:val="16"/>
              </w:rPr>
            </w:r>
          </w:p>
        </w:tc>
        <w:tc>
          <w:tcPr>
            <w:tcW w:w="156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5"/>
                <w:sz w:val="16"/>
              </w:rPr>
              <w:t>9.50%-19.40%</w:t>
            </w:r>
            <w:r>
              <w:rPr>
                <w:rFonts w:ascii="宋体"/>
                <w:sz w:val="16"/>
              </w:rPr>
            </w:r>
          </w:p>
        </w:tc>
      </w:tr>
    </w:tbl>
    <w:p>
      <w:pPr>
        <w:spacing w:line="240" w:lineRule="auto" w:before="4"/>
        <w:rPr>
          <w:rFonts w:ascii="宋体" w:hAnsi="宋体" w:cs="宋体" w:eastAsia="宋体" w:hint="default"/>
          <w:sz w:val="2"/>
          <w:szCs w:val="2"/>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05pt;height:2pt;mso-position-horizontal-relative:char;mso-position-vertical-relative:line" coordorigin="0,0" coordsize="9321,40">
            <v:group style="position:absolute;left:20;top:20;width:3992;height:2" coordorigin="20,20" coordsize="3992,2">
              <v:shape style="position:absolute;left:20;top:20;width:3992;height:2" coordorigin="20,20" coordsize="3992,0" path="m20,20l4011,20e" filled="false" stroked="true" strokeweight="2pt" strokecolor="#9f8958">
                <v:path arrowok="t"/>
              </v:shape>
            </v:group>
            <v:group style="position:absolute;left:4011;top:20;width:1764;height:2" coordorigin="4011,20" coordsize="1764,2">
              <v:shape style="position:absolute;left:4011;top:20;width:1764;height:2" coordorigin="4011,20" coordsize="1764,0" path="m4011,20l5774,20e" filled="false" stroked="true" strokeweight="2pt" strokecolor="#9f8958">
                <v:path arrowok="t"/>
              </v:shape>
            </v:group>
            <v:group style="position:absolute;left:5774;top:20;width:1764;height:2" coordorigin="5774,20" coordsize="1764,2">
              <v:shape style="position:absolute;left:5774;top:20;width:1764;height:2" coordorigin="5774,20" coordsize="1764,0" path="m5774,20l7537,20e" filled="false" stroked="true" strokeweight="2pt" strokecolor="#9f8958">
                <v:path arrowok="t"/>
              </v:shape>
            </v:group>
            <v:group style="position:absolute;left:7537;top:20;width:1764;height:2" coordorigin="7537,20" coordsize="1764,2">
              <v:shape style="position:absolute;left:7537;top:20;width:1764;height:2" coordorigin="7537,20" coordsize="1764,0" path="m7537,20l9301,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3"/>
        <w:rPr>
          <w:rFonts w:ascii="宋体" w:hAnsi="宋体" w:cs="宋体" w:eastAsia="宋体" w:hint="default"/>
          <w:sz w:val="17"/>
          <w:szCs w:val="17"/>
        </w:rPr>
      </w:pPr>
    </w:p>
    <w:p>
      <w:pPr>
        <w:pStyle w:val="BodyText"/>
        <w:spacing w:line="468" w:lineRule="auto" w:before="31"/>
        <w:ind w:left="113" w:right="2012" w:firstLine="340"/>
        <w:jc w:val="left"/>
      </w:pPr>
      <w:r>
        <w:rPr/>
        <w:t>对固定资产的预计使用寿命、预计净残值和折旧方法于每年年度终了进行复核并作适当调整。 (c) 当固定资产的可收回金额低于其账面价值时，账面价值减记至可收回金额（附注三</w:t>
      </w:r>
      <w:r>
        <w:rPr>
          <w:spacing w:val="-54"/>
        </w:rPr>
        <w:t> </w:t>
      </w:r>
      <w:r>
        <w:rPr/>
        <w:t>(16)）。</w:t>
      </w:r>
      <w:r>
        <w:rPr>
          <w:w w:val="91"/>
        </w:rPr>
        <w:t> </w:t>
      </w:r>
      <w:r>
        <w:rPr/>
        <w:t>(d)</w:t>
      </w:r>
      <w:r>
        <w:rPr>
          <w:spacing w:val="-21"/>
        </w:rPr>
        <w:t> </w:t>
      </w:r>
      <w:r>
        <w:rPr/>
        <w:t>融资租入固定资产的认定依据、计量方法和折旧方法</w:t>
      </w:r>
    </w:p>
    <w:p>
      <w:pPr>
        <w:pStyle w:val="BodyText"/>
        <w:spacing w:line="285" w:lineRule="auto" w:before="63"/>
        <w:ind w:right="108"/>
        <w:jc w:val="both"/>
      </w:pPr>
      <w:r>
        <w:rPr/>
        <w:t>实质上转移了与资产所有权有关的全部风险和报酬的租赁为融资租赁。融资租入固定资产以租赁资产的公允价值与最</w:t>
      </w:r>
      <w:r>
        <w:rPr>
          <w:spacing w:val="9"/>
        </w:rPr>
        <w:t> </w:t>
      </w:r>
      <w:r>
        <w:rPr>
          <w:spacing w:val="9"/>
        </w:rPr>
      </w:r>
      <w:r>
        <w:rPr/>
        <w:t>低租赁付款额的现值两者中的较低者作为租入资产的入账价值。租入资产的入账价值与最低租赁付款额之间的差额作</w:t>
      </w:r>
      <w:r>
        <w:rPr>
          <w:spacing w:val="9"/>
        </w:rPr>
        <w:t> </w:t>
      </w:r>
      <w:r>
        <w:rPr>
          <w:spacing w:val="9"/>
        </w:rPr>
      </w:r>
      <w:r>
        <w:rPr>
          <w:w w:val="95"/>
        </w:rPr>
        <w:t>为未确认融资费用（附注三</w:t>
      </w:r>
      <w:r>
        <w:rPr>
          <w:spacing w:val="-24"/>
          <w:w w:val="95"/>
        </w:rPr>
        <w:t> </w:t>
      </w:r>
      <w:r>
        <w:rPr>
          <w:w w:val="95"/>
        </w:rPr>
        <w:t>(28)(a)）。</w:t>
      </w:r>
      <w:r>
        <w:rPr/>
      </w:r>
    </w:p>
    <w:p>
      <w:pPr>
        <w:spacing w:line="240" w:lineRule="auto" w:before="10"/>
        <w:rPr>
          <w:rFonts w:ascii="宋体" w:hAnsi="宋体" w:cs="宋体" w:eastAsia="宋体" w:hint="default"/>
          <w:sz w:val="13"/>
          <w:szCs w:val="13"/>
        </w:rPr>
      </w:pPr>
    </w:p>
    <w:p>
      <w:pPr>
        <w:pStyle w:val="BodyText"/>
        <w:spacing w:line="285" w:lineRule="auto"/>
        <w:ind w:right="105"/>
        <w:jc w:val="both"/>
      </w:pPr>
      <w:r>
        <w:rPr/>
        <w:t>融资租入的固定资产采用与自有固定资产相一致的折旧政策。能够合理确定租赁期届满时将取得租入资产所有权的，</w:t>
      </w:r>
      <w:r>
        <w:rPr>
          <w:spacing w:val="5"/>
        </w:rPr>
        <w:t> </w:t>
      </w:r>
      <w:r>
        <w:rPr>
          <w:spacing w:val="5"/>
        </w:rPr>
      </w:r>
      <w:r>
        <w:rPr/>
        <w:t>租入固定资产在其预计使用寿命内计提折旧；否则，租入固定资产在租赁期与该资产预计使用寿命两者中较短的期间</w:t>
      </w:r>
      <w:r>
        <w:rPr>
          <w:spacing w:val="7"/>
        </w:rPr>
        <w:t> </w:t>
      </w:r>
      <w:r>
        <w:rPr>
          <w:spacing w:val="7"/>
        </w:rPr>
      </w:r>
      <w:r>
        <w:rPr/>
        <w:t>内计提折旧。</w:t>
      </w:r>
    </w:p>
    <w:p>
      <w:pPr>
        <w:spacing w:line="240" w:lineRule="auto" w:before="10"/>
        <w:rPr>
          <w:rFonts w:ascii="宋体" w:hAnsi="宋体" w:cs="宋体" w:eastAsia="宋体" w:hint="default"/>
          <w:sz w:val="13"/>
          <w:szCs w:val="13"/>
        </w:rPr>
      </w:pPr>
    </w:p>
    <w:p>
      <w:pPr>
        <w:pStyle w:val="BodyText"/>
        <w:spacing w:line="240" w:lineRule="auto"/>
        <w:ind w:left="113" w:right="95"/>
        <w:jc w:val="left"/>
      </w:pPr>
      <w:r>
        <w:rPr/>
        <w:t>(e)</w:t>
      </w:r>
      <w:r>
        <w:rPr>
          <w:spacing w:val="-21"/>
        </w:rPr>
        <w:t> </w:t>
      </w:r>
      <w:r>
        <w:rPr/>
        <w:t>固定资产的处置</w:t>
      </w:r>
    </w:p>
    <w:p>
      <w:pPr>
        <w:spacing w:line="240" w:lineRule="auto" w:before="12"/>
        <w:rPr>
          <w:rFonts w:ascii="宋体" w:hAnsi="宋体" w:cs="宋体" w:eastAsia="宋体" w:hint="default"/>
          <w:sz w:val="17"/>
          <w:szCs w:val="17"/>
        </w:rPr>
      </w:pPr>
    </w:p>
    <w:p>
      <w:pPr>
        <w:pStyle w:val="BodyText"/>
        <w:spacing w:line="285" w:lineRule="auto"/>
        <w:ind w:right="111"/>
        <w:jc w:val="both"/>
      </w:pPr>
      <w:r>
        <w:rPr/>
        <w:t>当固定资产被处置、或者预期通过使用或处置不能产生经济利益时，终止确认该固定资产。固定资产出售、转让、报</w:t>
      </w:r>
      <w:r>
        <w:rPr>
          <w:spacing w:val="-1"/>
        </w:rPr>
        <w:t> </w:t>
      </w:r>
      <w:r>
        <w:rPr>
          <w:spacing w:val="-1"/>
        </w:rPr>
      </w:r>
      <w:r>
        <w:rPr/>
        <w:t>废或毁损时的处置收入扣除其账面价值和相关税费后的金额计入当期损益。</w:t>
      </w:r>
    </w:p>
    <w:p>
      <w:pPr>
        <w:spacing w:after="0" w:line="285" w:lineRule="auto"/>
        <w:jc w:val="both"/>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12、在建工程</w:t>
      </w:r>
    </w:p>
    <w:p>
      <w:pPr>
        <w:spacing w:line="240" w:lineRule="auto" w:before="12"/>
        <w:rPr>
          <w:rFonts w:ascii="宋体" w:hAnsi="宋体" w:cs="宋体" w:eastAsia="宋体" w:hint="default"/>
          <w:sz w:val="17"/>
          <w:szCs w:val="17"/>
        </w:rPr>
      </w:pPr>
    </w:p>
    <w:p>
      <w:pPr>
        <w:pStyle w:val="BodyText"/>
        <w:spacing w:line="285" w:lineRule="auto"/>
        <w:ind w:left="453" w:right="126"/>
        <w:jc w:val="both"/>
      </w:pPr>
      <w:r>
        <w:rPr/>
        <w:t>在建工程按实际发生的成本计量。实际成本包括建筑成本、安装成本、符合资本化条件的借款费用以及其他为使在建</w:t>
      </w:r>
      <w:r>
        <w:rPr>
          <w:spacing w:val="5"/>
        </w:rPr>
        <w:t> </w:t>
      </w:r>
      <w:r>
        <w:rPr>
          <w:spacing w:val="5"/>
        </w:rPr>
      </w:r>
      <w:r>
        <w:rPr/>
        <w:t>工程达到预定可使用状态所发生的必要支出。在建工程在达到预定可使用状态时，转入固定资产并自次月起开始计提</w:t>
      </w:r>
      <w:r>
        <w:rPr>
          <w:spacing w:val="7"/>
        </w:rPr>
        <w:t> </w:t>
      </w:r>
      <w:r>
        <w:rPr>
          <w:spacing w:val="7"/>
        </w:rPr>
      </w:r>
      <w:r>
        <w:rPr/>
        <w:t>折旧。</w:t>
      </w:r>
    </w:p>
    <w:p>
      <w:pPr>
        <w:spacing w:line="240" w:lineRule="auto" w:before="10"/>
        <w:rPr>
          <w:rFonts w:ascii="宋体" w:hAnsi="宋体" w:cs="宋体" w:eastAsia="宋体" w:hint="default"/>
          <w:sz w:val="13"/>
          <w:szCs w:val="13"/>
        </w:rPr>
      </w:pPr>
    </w:p>
    <w:p>
      <w:pPr>
        <w:pStyle w:val="BodyText"/>
        <w:spacing w:line="458" w:lineRule="auto"/>
        <w:ind w:left="113" w:right="2031" w:firstLine="340"/>
        <w:jc w:val="left"/>
      </w:pPr>
      <w:r>
        <w:rPr>
          <w:w w:val="95"/>
        </w:rPr>
        <w:t>当在建工程的可收回金额低于其账面价值时，账面价值减记至可收回金额（附注三</w:t>
      </w:r>
      <w:r>
        <w:rPr>
          <w:spacing w:val="45"/>
          <w:w w:val="95"/>
        </w:rPr>
        <w:t> </w:t>
      </w:r>
      <w:r>
        <w:rPr>
          <w:w w:val="95"/>
        </w:rPr>
        <w:t>(16)）。</w:t>
      </w:r>
      <w:r>
        <w:rPr>
          <w:w w:val="91"/>
        </w:rPr>
        <w:t> </w:t>
      </w:r>
      <w:r>
        <w:rPr/>
        <w:t>13、借款费用</w:t>
      </w:r>
    </w:p>
    <w:p>
      <w:pPr>
        <w:pStyle w:val="BodyText"/>
        <w:spacing w:line="285" w:lineRule="auto" w:before="71"/>
        <w:ind w:left="453" w:right="126"/>
        <w:jc w:val="both"/>
      </w:pPr>
      <w:r>
        <w:rPr/>
        <w:t>本集团发生的可直接归属于需要经过相当长时间的购建活动才能达到预定可使用状态之固定资产的购建的借款费用，</w:t>
      </w:r>
      <w:r>
        <w:rPr>
          <w:spacing w:val="7"/>
        </w:rPr>
        <w:t> </w:t>
      </w:r>
      <w:r>
        <w:rPr>
          <w:spacing w:val="7"/>
        </w:rPr>
      </w:r>
      <w:r>
        <w:rPr/>
        <w:t>在资产支出及借款费用已经发生、为使资产达到预定可使用状态所必要的购建活动已经开始时，开始资本化并计入该</w:t>
      </w:r>
      <w:r>
        <w:rPr>
          <w:spacing w:val="7"/>
        </w:rPr>
        <w:t> </w:t>
      </w:r>
      <w:r>
        <w:rPr>
          <w:spacing w:val="7"/>
        </w:rPr>
      </w:r>
      <w:r>
        <w:rPr/>
        <w:t>资产的成本。当购建的资产达到预定可使用状态时停止资本化，其后发生的借款费用计入当期损益。如果资产的购建</w:t>
      </w:r>
      <w:r>
        <w:rPr>
          <w:spacing w:val="5"/>
        </w:rPr>
        <w:t> </w:t>
      </w:r>
      <w:r>
        <w:rPr>
          <w:spacing w:val="5"/>
        </w:rPr>
      </w:r>
      <w:r>
        <w:rPr/>
        <w:t>活动发生非正常中断，并且中断时间连续超过</w:t>
      </w:r>
      <w:r>
        <w:rPr>
          <w:spacing w:val="-10"/>
        </w:rPr>
        <w:t> </w:t>
      </w:r>
      <w:r>
        <w:rPr/>
        <w:t>3</w:t>
      </w:r>
      <w:r>
        <w:rPr>
          <w:spacing w:val="-10"/>
        </w:rPr>
        <w:t> </w:t>
      </w:r>
      <w:r>
        <w:rPr/>
        <w:t>个月，暂停借款费用的资本化，直至资产的购建活动重新开始。其他</w:t>
      </w:r>
      <w:r>
        <w:rPr>
          <w:spacing w:val="-64"/>
        </w:rPr>
        <w:t> </w:t>
      </w:r>
      <w:r>
        <w:rPr>
          <w:spacing w:val="-64"/>
        </w:rPr>
      </w:r>
      <w:r>
        <w:rPr/>
        <w:t>借款费用均于发生当期确认为财务费用。</w:t>
      </w:r>
    </w:p>
    <w:p>
      <w:pPr>
        <w:spacing w:line="240" w:lineRule="auto" w:before="10"/>
        <w:rPr>
          <w:rFonts w:ascii="宋体" w:hAnsi="宋体" w:cs="宋体" w:eastAsia="宋体" w:hint="default"/>
          <w:sz w:val="13"/>
          <w:szCs w:val="13"/>
        </w:rPr>
      </w:pPr>
    </w:p>
    <w:p>
      <w:pPr>
        <w:pStyle w:val="BodyText"/>
        <w:spacing w:line="285" w:lineRule="auto"/>
        <w:ind w:left="453" w:right="126"/>
        <w:jc w:val="both"/>
      </w:pPr>
      <w:r>
        <w:rPr/>
        <w:t>对于为购建符合资本化条件的资产而借入的专门借款，本集团以专门借款按实际利率计算的当期利息费用，减去将尚</w:t>
      </w:r>
      <w:r>
        <w:rPr>
          <w:spacing w:val="7"/>
        </w:rPr>
        <w:t> </w:t>
      </w:r>
      <w:r>
        <w:rPr>
          <w:spacing w:val="7"/>
        </w:rPr>
      </w:r>
      <w:r>
        <w:rPr/>
        <w:t>未动用的借款资金存入银行取得的利息收入或进行暂时性投资取得的投资收益后的金额确定专门借款应予资本化的利</w:t>
      </w:r>
      <w:r>
        <w:rPr>
          <w:spacing w:val="11"/>
        </w:rPr>
        <w:t> </w:t>
      </w:r>
      <w:r>
        <w:rPr/>
        <w:t>息金额。</w:t>
      </w:r>
    </w:p>
    <w:p>
      <w:pPr>
        <w:spacing w:line="240" w:lineRule="auto" w:before="10"/>
        <w:rPr>
          <w:rFonts w:ascii="宋体" w:hAnsi="宋体" w:cs="宋体" w:eastAsia="宋体" w:hint="default"/>
          <w:sz w:val="13"/>
          <w:szCs w:val="13"/>
        </w:rPr>
      </w:pPr>
    </w:p>
    <w:p>
      <w:pPr>
        <w:pStyle w:val="BodyText"/>
        <w:spacing w:line="285" w:lineRule="auto"/>
        <w:ind w:left="453" w:right="126"/>
        <w:jc w:val="both"/>
      </w:pPr>
      <w:r>
        <w:rPr/>
        <w:t>对于为购建符合资本化条件的固定资产而占用的一般借款，按照累计资产支出超过专门借款部分的资本支出加权平均</w:t>
      </w:r>
      <w:r>
        <w:rPr>
          <w:spacing w:val="9"/>
        </w:rPr>
        <w:t> </w:t>
      </w:r>
      <w:r>
        <w:rPr>
          <w:spacing w:val="9"/>
        </w:rPr>
      </w:r>
      <w:r>
        <w:rPr/>
        <w:t>数乘以所占用一般借款的加权平均实际利率计算确定一般借款费用的资本化金额。</w:t>
      </w:r>
    </w:p>
    <w:p>
      <w:pPr>
        <w:spacing w:line="240" w:lineRule="auto" w:before="10"/>
        <w:rPr>
          <w:rFonts w:ascii="宋体" w:hAnsi="宋体" w:cs="宋体" w:eastAsia="宋体" w:hint="default"/>
          <w:sz w:val="13"/>
          <w:szCs w:val="13"/>
        </w:rPr>
      </w:pPr>
    </w:p>
    <w:p>
      <w:pPr>
        <w:pStyle w:val="BodyText"/>
        <w:spacing w:line="285" w:lineRule="auto"/>
        <w:ind w:left="453" w:right="126"/>
        <w:jc w:val="both"/>
      </w:pPr>
      <w:r>
        <w:rPr/>
        <w:t>本集团确定借款的实际利率时，是将借款在预期存续期间或适用的更短期间内的未来现金流量，折现为该借款初始确</w:t>
      </w:r>
      <w:r>
        <w:rPr>
          <w:spacing w:val="7"/>
        </w:rPr>
        <w:t> </w:t>
      </w:r>
      <w:r>
        <w:rPr>
          <w:spacing w:val="7"/>
        </w:rPr>
      </w:r>
      <w:r>
        <w:rPr/>
        <w:t>认时确定的金额所使用的利率。</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t>14、无形资产</w:t>
      </w:r>
    </w:p>
    <w:p>
      <w:pPr>
        <w:spacing w:line="240" w:lineRule="auto" w:before="12"/>
        <w:rPr>
          <w:rFonts w:ascii="宋体" w:hAnsi="宋体" w:cs="宋体" w:eastAsia="宋体" w:hint="default"/>
          <w:sz w:val="17"/>
          <w:szCs w:val="17"/>
        </w:rPr>
      </w:pPr>
    </w:p>
    <w:p>
      <w:pPr>
        <w:pStyle w:val="BodyText"/>
        <w:spacing w:line="285" w:lineRule="auto"/>
        <w:ind w:left="453" w:right="128"/>
        <w:jc w:val="both"/>
      </w:pPr>
      <w:r>
        <w:rPr/>
        <w:t>无形资产主要包括土地使用权、计算机软件和电路及设备使用权等，以成本计量。本集团重组时国有股股东投入的无</w:t>
      </w:r>
      <w:r>
        <w:rPr>
          <w:spacing w:val="5"/>
        </w:rPr>
        <w:t> </w:t>
      </w:r>
      <w:r>
        <w:rPr>
          <w:spacing w:val="5"/>
        </w:rPr>
      </w:r>
      <w:r>
        <w:rPr/>
        <w:t>形资产，按国有资产管理部门确认的评估值作为入账价值。</w:t>
      </w:r>
    </w:p>
    <w:p>
      <w:pPr>
        <w:spacing w:line="240" w:lineRule="auto" w:before="10"/>
        <w:rPr>
          <w:rFonts w:ascii="宋体" w:hAnsi="宋体" w:cs="宋体" w:eastAsia="宋体" w:hint="default"/>
          <w:sz w:val="13"/>
          <w:szCs w:val="13"/>
        </w:rPr>
      </w:pPr>
    </w:p>
    <w:p>
      <w:pPr>
        <w:pStyle w:val="BodyText"/>
        <w:spacing w:line="480" w:lineRule="auto"/>
        <w:ind w:left="453" w:right="1312" w:hanging="341"/>
        <w:jc w:val="left"/>
      </w:pPr>
      <w:r>
        <w:rPr/>
        <w:t>(a)</w:t>
      </w:r>
      <w:r>
        <w:rPr>
          <w:spacing w:val="58"/>
        </w:rPr>
        <w:t> </w:t>
      </w:r>
      <w:r>
        <w:rPr/>
        <w:t>土地使用权</w:t>
      </w:r>
      <w:r>
        <w:rPr/>
        <w:t> 土地使用权按使用年限平均摊销。外购土地及建筑物支付的价款在建筑物与土地使用权之间进行分配。</w:t>
      </w:r>
    </w:p>
    <w:p>
      <w:pPr>
        <w:pStyle w:val="BodyText"/>
        <w:spacing w:line="480" w:lineRule="auto" w:before="34"/>
        <w:ind w:left="453" w:right="5992" w:hanging="341"/>
        <w:jc w:val="left"/>
      </w:pPr>
      <w:r>
        <w:rPr/>
        <w:t>(b)</w:t>
      </w:r>
      <w:r>
        <w:rPr>
          <w:spacing w:val="46"/>
        </w:rPr>
        <w:t> </w:t>
      </w:r>
      <w:r>
        <w:rPr/>
        <w:t>计算机软件</w:t>
      </w:r>
      <w:r>
        <w:rPr/>
        <w:t> 计算机软件在其预计使用年限内平均摊销。</w:t>
      </w:r>
    </w:p>
    <w:p>
      <w:pPr>
        <w:pStyle w:val="BodyText"/>
        <w:spacing w:line="240" w:lineRule="auto" w:before="34"/>
        <w:ind w:left="113" w:right="125"/>
        <w:jc w:val="left"/>
      </w:pPr>
      <w:r>
        <w:rPr/>
        <w:t>(c)</w:t>
      </w:r>
      <w:r>
        <w:rPr>
          <w:spacing w:val="-21"/>
        </w:rPr>
        <w:t> </w:t>
      </w:r>
      <w:r>
        <w:rPr/>
        <w:t>电路及设备使用权</w:t>
      </w:r>
    </w:p>
    <w:p>
      <w:pPr>
        <w:spacing w:line="240" w:lineRule="auto" w:before="12"/>
        <w:rPr>
          <w:rFonts w:ascii="宋体" w:hAnsi="宋体" w:cs="宋体" w:eastAsia="宋体" w:hint="default"/>
          <w:sz w:val="17"/>
          <w:szCs w:val="17"/>
        </w:rPr>
      </w:pPr>
    </w:p>
    <w:p>
      <w:pPr>
        <w:pStyle w:val="BodyText"/>
        <w:spacing w:line="285" w:lineRule="auto"/>
        <w:ind w:left="453" w:right="132"/>
        <w:jc w:val="both"/>
      </w:pPr>
      <w:r>
        <w:rPr/>
        <w:t>电路及设备使用权主要是指本集团购买的不可撤销使用权的网络容量的资本性支出，以成本入账并按预计使用期限平</w:t>
      </w:r>
      <w:r>
        <w:rPr>
          <w:spacing w:val="9"/>
        </w:rPr>
        <w:t> </w:t>
      </w:r>
      <w:r>
        <w:rPr>
          <w:spacing w:val="9"/>
        </w:rPr>
      </w:r>
      <w:r>
        <w:rPr/>
        <w:t>均摊销。</w:t>
      </w:r>
    </w:p>
    <w:p>
      <w:pPr>
        <w:spacing w:after="0" w:line="285" w:lineRule="auto"/>
        <w:jc w:val="both"/>
        <w:sectPr>
          <w:pgSz w:w="11910" w:h="16160"/>
          <w:pgMar w:header="1200" w:footer="320" w:top="2120" w:bottom="520" w:left="680" w:right="1340"/>
        </w:sectPr>
      </w:pPr>
    </w:p>
    <w:p>
      <w:pPr>
        <w:spacing w:line="240" w:lineRule="auto" w:before="3"/>
        <w:rPr>
          <w:rFonts w:ascii="宋体" w:hAnsi="宋体" w:cs="宋体" w:eastAsia="宋体" w:hint="default"/>
          <w:sz w:val="14"/>
          <w:szCs w:val="14"/>
        </w:rPr>
      </w:pPr>
    </w:p>
    <w:p>
      <w:pPr>
        <w:pStyle w:val="BodyText"/>
        <w:spacing w:line="240" w:lineRule="auto" w:before="31"/>
        <w:ind w:left="114" w:right="87"/>
        <w:jc w:val="left"/>
      </w:pPr>
      <w:r>
        <w:rPr/>
        <w:t>14、无形资产（续）</w:t>
      </w:r>
    </w:p>
    <w:p>
      <w:pPr>
        <w:spacing w:line="240" w:lineRule="auto" w:before="12"/>
        <w:rPr>
          <w:rFonts w:ascii="宋体" w:hAnsi="宋体" w:cs="宋体" w:eastAsia="宋体" w:hint="default"/>
          <w:sz w:val="17"/>
          <w:szCs w:val="17"/>
        </w:rPr>
      </w:pPr>
    </w:p>
    <w:p>
      <w:pPr>
        <w:pStyle w:val="BodyText"/>
        <w:spacing w:line="480" w:lineRule="auto"/>
        <w:ind w:right="1371" w:hanging="341"/>
        <w:jc w:val="left"/>
      </w:pPr>
      <w:r>
        <w:rPr/>
        <w:t>(d)</w:t>
      </w:r>
      <w:r>
        <w:rPr>
          <w:spacing w:val="48"/>
        </w:rPr>
        <w:t> </w:t>
      </w:r>
      <w:r>
        <w:rPr/>
        <w:t>定期复核使用寿命和摊销方法</w:t>
      </w:r>
      <w:r>
        <w:rPr/>
        <w:t> 本集团对使用寿命有限的无形资产的预计使用寿命及摊销方法于每年年度终了进行复核并作适当调整。</w:t>
      </w:r>
    </w:p>
    <w:p>
      <w:pPr>
        <w:pStyle w:val="BodyText"/>
        <w:spacing w:line="480" w:lineRule="auto" w:before="34"/>
        <w:ind w:right="2287" w:hanging="341"/>
        <w:jc w:val="left"/>
      </w:pPr>
      <w:r>
        <w:rPr/>
        <w:t>(e)</w:t>
      </w:r>
      <w:r>
        <w:rPr>
          <w:spacing w:val="48"/>
        </w:rPr>
        <w:t> </w:t>
      </w:r>
      <w:r>
        <w:rPr/>
        <w:t>无形资产减值</w:t>
      </w:r>
      <w:r>
        <w:rPr/>
        <w:t> </w:t>
      </w:r>
      <w:r>
        <w:rPr>
          <w:w w:val="95"/>
        </w:rPr>
        <w:t>当无形资产的可收回金额低于其账面价值时，账面价值减记至可收回金额（附注三   </w:t>
      </w:r>
      <w:r>
        <w:rPr>
          <w:spacing w:val="2"/>
          <w:w w:val="95"/>
        </w:rPr>
        <w:t> </w:t>
      </w:r>
      <w:r>
        <w:rPr>
          <w:w w:val="95"/>
        </w:rPr>
        <w:t>(16)）。</w:t>
      </w:r>
      <w:r>
        <w:rPr/>
      </w:r>
    </w:p>
    <w:p>
      <w:pPr>
        <w:pStyle w:val="BodyText"/>
        <w:spacing w:line="240" w:lineRule="auto" w:before="34"/>
        <w:ind w:left="114" w:right="87"/>
        <w:jc w:val="left"/>
      </w:pPr>
      <w:r>
        <w:rPr>
          <w:w w:val="90"/>
        </w:rPr>
        <w:t>(f) </w:t>
      </w:r>
      <w:r>
        <w:rPr>
          <w:spacing w:val="6"/>
          <w:w w:val="90"/>
        </w:rPr>
        <w:t> </w:t>
      </w:r>
      <w:r>
        <w:rPr>
          <w:w w:val="90"/>
        </w:rPr>
        <w:t>开发支出</w:t>
      </w:r>
    </w:p>
    <w:p>
      <w:pPr>
        <w:spacing w:line="240" w:lineRule="auto" w:before="12"/>
        <w:rPr>
          <w:rFonts w:ascii="宋体" w:hAnsi="宋体" w:cs="宋体" w:eastAsia="宋体" w:hint="default"/>
          <w:sz w:val="17"/>
          <w:szCs w:val="17"/>
        </w:rPr>
      </w:pPr>
    </w:p>
    <w:p>
      <w:pPr>
        <w:pStyle w:val="BodyText"/>
        <w:spacing w:line="240" w:lineRule="auto"/>
        <w:ind w:right="0"/>
        <w:jc w:val="both"/>
      </w:pPr>
      <w:r>
        <w:rPr/>
        <w:t>本集团内部研究开发项目的支出分为研究阶段支出和开发阶段支出。</w:t>
      </w:r>
    </w:p>
    <w:p>
      <w:pPr>
        <w:spacing w:line="240" w:lineRule="auto" w:before="5"/>
        <w:rPr>
          <w:rFonts w:ascii="宋体" w:hAnsi="宋体" w:cs="宋体" w:eastAsia="宋体" w:hint="default"/>
          <w:sz w:val="16"/>
          <w:szCs w:val="16"/>
        </w:rPr>
      </w:pPr>
    </w:p>
    <w:p>
      <w:pPr>
        <w:pStyle w:val="BodyText"/>
        <w:spacing w:line="285" w:lineRule="auto"/>
        <w:ind w:right="101"/>
        <w:jc w:val="both"/>
      </w:pPr>
      <w:r>
        <w:rPr/>
        <w:t>研究阶段的支出，于发生时计入当期损益。开发阶段的支出，如果开发形成的某项产品或工序等在技术和商业上可行， 而且本集团有充足的资源和意向完成开发工作，并且开发阶段支出能够可靠计量，则开发阶段的支出便会予以资本化。 </w:t>
      </w:r>
      <w:r>
        <w:rPr>
          <w:spacing w:val="-3"/>
          <w:w w:val="95"/>
        </w:rPr>
        <w:t>资本化开发支出按成本减减值准备（附注三    </w:t>
      </w:r>
      <w:r>
        <w:rPr>
          <w:spacing w:val="71"/>
          <w:w w:val="95"/>
        </w:rPr>
        <w:t> </w:t>
      </w:r>
      <w:r>
        <w:rPr>
          <w:spacing w:val="-3"/>
          <w:w w:val="95"/>
        </w:rPr>
        <w:t>(16)）在资产负债表内列示。其他开发费用则在其产生的期间内确认为费用。</w:t>
      </w:r>
    </w:p>
    <w:p>
      <w:pPr>
        <w:spacing w:line="240" w:lineRule="auto" w:before="10"/>
        <w:rPr>
          <w:rFonts w:ascii="宋体" w:hAnsi="宋体" w:cs="宋体" w:eastAsia="宋体" w:hint="default"/>
          <w:sz w:val="13"/>
          <w:szCs w:val="13"/>
        </w:rPr>
      </w:pPr>
    </w:p>
    <w:p>
      <w:pPr>
        <w:pStyle w:val="BodyText"/>
        <w:spacing w:line="240" w:lineRule="auto"/>
        <w:ind w:left="114" w:right="87"/>
        <w:jc w:val="left"/>
      </w:pPr>
      <w:r>
        <w:rPr/>
        <w:t>15、长期待摊费用</w:t>
      </w:r>
    </w:p>
    <w:p>
      <w:pPr>
        <w:spacing w:line="240" w:lineRule="auto" w:before="12"/>
        <w:rPr>
          <w:rFonts w:ascii="宋体" w:hAnsi="宋体" w:cs="宋体" w:eastAsia="宋体" w:hint="default"/>
          <w:sz w:val="17"/>
          <w:szCs w:val="17"/>
        </w:rPr>
      </w:pPr>
    </w:p>
    <w:p>
      <w:pPr>
        <w:pStyle w:val="BodyText"/>
        <w:spacing w:line="285" w:lineRule="auto"/>
        <w:ind w:right="191"/>
        <w:jc w:val="both"/>
      </w:pPr>
      <w:r>
        <w:rPr/>
        <w:t>长期待摊费用主要包括以下已经发生但应由本年和以后各期负担的摊销期限在</w:t>
      </w:r>
      <w:r>
        <w:rPr>
          <w:spacing w:val="-21"/>
        </w:rPr>
        <w:t> </w:t>
      </w:r>
      <w:r>
        <w:rPr/>
        <w:t>1</w:t>
      </w:r>
      <w:r>
        <w:rPr>
          <w:spacing w:val="-21"/>
        </w:rPr>
        <w:t> </w:t>
      </w:r>
      <w:r>
        <w:rPr/>
        <w:t>年以上（不含</w:t>
      </w:r>
      <w:r>
        <w:rPr>
          <w:spacing w:val="-21"/>
        </w:rPr>
        <w:t> </w:t>
      </w:r>
      <w:r>
        <w:rPr/>
        <w:t>1</w:t>
      </w:r>
      <w:r>
        <w:rPr>
          <w:spacing w:val="-21"/>
        </w:rPr>
        <w:t> </w:t>
      </w:r>
      <w:r>
        <w:rPr/>
        <w:t>年）的各项费用，按</w:t>
      </w:r>
      <w:r>
        <w:rPr>
          <w:spacing w:val="-81"/>
        </w:rPr>
        <w:t> </w:t>
      </w:r>
      <w:r>
        <w:rPr>
          <w:spacing w:val="-81"/>
        </w:rPr>
      </w:r>
      <w:r>
        <w:rPr/>
        <w:t>预计受益期间分期平均摊销，并以实际支出减去累计摊销后的净额列示。</w:t>
      </w:r>
    </w:p>
    <w:p>
      <w:pPr>
        <w:spacing w:line="240" w:lineRule="auto" w:before="10"/>
        <w:rPr>
          <w:rFonts w:ascii="宋体" w:hAnsi="宋体" w:cs="宋体" w:eastAsia="宋体" w:hint="default"/>
          <w:sz w:val="13"/>
          <w:szCs w:val="13"/>
        </w:rPr>
      </w:pPr>
    </w:p>
    <w:p>
      <w:pPr>
        <w:pStyle w:val="BodyText"/>
        <w:spacing w:line="285" w:lineRule="auto"/>
        <w:ind w:right="87" w:hanging="341"/>
        <w:jc w:val="left"/>
      </w:pPr>
      <w:r>
        <w:rPr/>
        <w:t>(a)</w:t>
      </w:r>
      <w:r>
        <w:rPr>
          <w:spacing w:val="76"/>
        </w:rPr>
        <w:t> </w:t>
      </w:r>
      <w:r>
        <w:rPr/>
        <w:t>经营租入固定资产改良主要指本集团采用经营租赁方式租入办公或经营用房等发生的装修等改良支出，按租期与预期</w:t>
      </w:r>
      <w:r>
        <w:rPr>
          <w:spacing w:val="-88"/>
        </w:rPr>
        <w:t> </w:t>
      </w:r>
      <w:r>
        <w:rPr>
          <w:spacing w:val="-88"/>
        </w:rPr>
      </w:r>
      <w:r>
        <w:rPr/>
        <w:t>受益期限孰短（租期一般为</w:t>
      </w:r>
      <w:r>
        <w:rPr>
          <w:spacing w:val="-38"/>
        </w:rPr>
        <w:t> </w:t>
      </w:r>
      <w:r>
        <w:rPr/>
        <w:t>5</w:t>
      </w:r>
      <w:r>
        <w:rPr>
          <w:spacing w:val="-39"/>
        </w:rPr>
        <w:t> </w:t>
      </w:r>
      <w:r>
        <w:rPr/>
        <w:t>年至</w:t>
      </w:r>
      <w:r>
        <w:rPr>
          <w:spacing w:val="-38"/>
        </w:rPr>
        <w:t> </w:t>
      </w:r>
      <w:r>
        <w:rPr/>
        <w:t>10</w:t>
      </w:r>
      <w:r>
        <w:rPr>
          <w:spacing w:val="-39"/>
        </w:rPr>
        <w:t> </w:t>
      </w:r>
      <w:r>
        <w:rPr/>
        <w:t>年）以直线法平均摊销；</w:t>
      </w:r>
    </w:p>
    <w:p>
      <w:pPr>
        <w:spacing w:line="240" w:lineRule="auto" w:before="10"/>
        <w:rPr>
          <w:rFonts w:ascii="宋体" w:hAnsi="宋体" w:cs="宋体" w:eastAsia="宋体" w:hint="default"/>
          <w:sz w:val="13"/>
          <w:szCs w:val="13"/>
        </w:rPr>
      </w:pPr>
    </w:p>
    <w:p>
      <w:pPr>
        <w:pStyle w:val="BodyText"/>
        <w:spacing w:line="285" w:lineRule="auto"/>
        <w:ind w:right="87" w:hanging="340"/>
        <w:jc w:val="left"/>
      </w:pPr>
      <w:r>
        <w:rPr>
          <w:spacing w:val="-1"/>
          <w:w w:val="73"/>
        </w:rPr>
        <w:t>(b)</w:t>
      </w:r>
      <w:r>
        <w:rPr>
          <w:spacing w:val="33"/>
          <w:w w:val="73"/>
        </w:rPr>
        <w:t> </w:t>
      </w:r>
      <w:r>
        <w:rPr>
          <w:spacing w:val="1"/>
        </w:rPr>
        <w:t>长期预付租金及其相关服务指按经营租赁方式租赁的基础通信设施及营业场所等所预付的超过</w:t>
      </w:r>
      <w:r>
        <w:rPr>
          <w:spacing w:val="-37"/>
        </w:rPr>
        <w:t> </w:t>
      </w:r>
      <w:r>
        <w:rPr>
          <w:w w:val="111"/>
        </w:rPr>
        <w:t>1</w:t>
      </w:r>
      <w:r>
        <w:rPr>
          <w:spacing w:val="-47"/>
          <w:w w:val="111"/>
        </w:rPr>
        <w:t> </w:t>
      </w:r>
      <w:r>
        <w:rPr>
          <w:spacing w:val="1"/>
        </w:rPr>
        <w:t>年的租金，以直线法</w:t>
      </w:r>
      <w:r>
        <w:rPr>
          <w:spacing w:val="-86"/>
        </w:rPr>
        <w:t> </w:t>
      </w:r>
      <w:r>
        <w:rPr>
          <w:spacing w:val="-86"/>
        </w:rPr>
      </w:r>
      <w:r>
        <w:rPr/>
        <w:t>于租赁期内（一般为</w:t>
      </w:r>
      <w:r>
        <w:rPr>
          <w:spacing w:val="-38"/>
        </w:rPr>
        <w:t> </w:t>
      </w:r>
      <w:r>
        <w:rPr/>
        <w:t>3</w:t>
      </w:r>
      <w:r>
        <w:rPr>
          <w:spacing w:val="-39"/>
        </w:rPr>
        <w:t> </w:t>
      </w:r>
      <w:r>
        <w:rPr/>
        <w:t>年至</w:t>
      </w:r>
      <w:r>
        <w:rPr>
          <w:spacing w:val="-38"/>
        </w:rPr>
        <w:t> </w:t>
      </w:r>
      <w:r>
        <w:rPr/>
        <w:t>10</w:t>
      </w:r>
      <w:r>
        <w:rPr>
          <w:spacing w:val="-39"/>
        </w:rPr>
        <w:t> </w:t>
      </w:r>
      <w:r>
        <w:rPr/>
        <w:t>年）平均摊销；</w:t>
      </w:r>
    </w:p>
    <w:p>
      <w:pPr>
        <w:spacing w:line="240" w:lineRule="auto" w:before="10"/>
        <w:rPr>
          <w:rFonts w:ascii="宋体" w:hAnsi="宋体" w:cs="宋体" w:eastAsia="宋体" w:hint="default"/>
          <w:sz w:val="13"/>
          <w:szCs w:val="13"/>
        </w:rPr>
      </w:pPr>
    </w:p>
    <w:p>
      <w:pPr>
        <w:pStyle w:val="BodyText"/>
        <w:spacing w:line="285" w:lineRule="auto"/>
        <w:ind w:right="87" w:hanging="341"/>
        <w:jc w:val="left"/>
      </w:pPr>
      <w:r>
        <w:rPr/>
        <w:t>(c)</w:t>
      </w:r>
      <w:r>
        <w:rPr>
          <w:spacing w:val="74"/>
        </w:rPr>
        <w:t> </w:t>
      </w:r>
      <w:r>
        <w:rPr/>
        <w:t>外市电引入是本集团在网络建设过程中，与地方的供电部门共同建设的电力输送设施（本集团对此类资产只拥有使用</w:t>
      </w:r>
      <w:r>
        <w:rPr>
          <w:spacing w:val="-87"/>
        </w:rPr>
        <w:t> </w:t>
      </w:r>
      <w:r>
        <w:rPr>
          <w:spacing w:val="-87"/>
        </w:rPr>
      </w:r>
      <w:r>
        <w:rPr/>
        <w:t>权），该等设施一般以直线法于</w:t>
      </w:r>
      <w:r>
        <w:rPr>
          <w:spacing w:val="-40"/>
        </w:rPr>
        <w:t> </w:t>
      </w:r>
      <w:r>
        <w:rPr/>
        <w:t>5</w:t>
      </w:r>
      <w:r>
        <w:rPr>
          <w:spacing w:val="-42"/>
        </w:rPr>
        <w:t> </w:t>
      </w:r>
      <w:r>
        <w:rPr/>
        <w:t>年内平均摊销；</w:t>
      </w:r>
    </w:p>
    <w:p>
      <w:pPr>
        <w:spacing w:line="240" w:lineRule="auto" w:before="10"/>
        <w:rPr>
          <w:rFonts w:ascii="宋体" w:hAnsi="宋体" w:cs="宋体" w:eastAsia="宋体" w:hint="default"/>
          <w:sz w:val="13"/>
          <w:szCs w:val="13"/>
        </w:rPr>
      </w:pPr>
    </w:p>
    <w:p>
      <w:pPr>
        <w:pStyle w:val="BodyText"/>
        <w:spacing w:line="285" w:lineRule="auto"/>
        <w:ind w:left="453" w:right="87" w:hanging="340"/>
        <w:jc w:val="left"/>
      </w:pPr>
      <w:r>
        <w:rPr>
          <w:spacing w:val="-1"/>
          <w:w w:val="73"/>
        </w:rPr>
        <w:t>(d)</w:t>
      </w:r>
      <w:r>
        <w:rPr>
          <w:spacing w:val="32"/>
          <w:w w:val="73"/>
        </w:rPr>
        <w:t> </w:t>
      </w:r>
      <w:r>
        <w:rPr>
          <w:spacing w:val="1"/>
        </w:rPr>
        <w:t>长期预付线路租赁及其相关服务指租赁及使用的通信线路所预付的超过</w:t>
      </w:r>
      <w:r>
        <w:rPr>
          <w:spacing w:val="-37"/>
        </w:rPr>
        <w:t> </w:t>
      </w:r>
      <w:r>
        <w:rPr>
          <w:w w:val="111"/>
        </w:rPr>
        <w:t>1</w:t>
      </w:r>
      <w:r>
        <w:rPr>
          <w:spacing w:val="-47"/>
          <w:w w:val="111"/>
        </w:rPr>
        <w:t> </w:t>
      </w:r>
      <w:r>
        <w:rPr>
          <w:spacing w:val="1"/>
        </w:rPr>
        <w:t>年的租金及其相关服务支出，以直线法于服</w:t>
      </w:r>
      <w:r>
        <w:rPr>
          <w:spacing w:val="-86"/>
        </w:rPr>
        <w:t> </w:t>
      </w:r>
      <w:r>
        <w:rPr>
          <w:spacing w:val="-86"/>
        </w:rPr>
      </w:r>
      <w:r>
        <w:rPr/>
        <w:t>务期内（一般为</w:t>
      </w:r>
      <w:r>
        <w:rPr>
          <w:spacing w:val="-40"/>
        </w:rPr>
        <w:t> </w:t>
      </w:r>
      <w:r>
        <w:rPr/>
        <w:t>3</w:t>
      </w:r>
      <w:r>
        <w:rPr>
          <w:spacing w:val="-42"/>
        </w:rPr>
        <w:t> </w:t>
      </w:r>
      <w:r>
        <w:rPr/>
        <w:t>年至</w:t>
      </w:r>
      <w:r>
        <w:rPr>
          <w:spacing w:val="-40"/>
        </w:rPr>
        <w:t> </w:t>
      </w:r>
      <w:r>
        <w:rPr/>
        <w:t>8</w:t>
      </w:r>
      <w:r>
        <w:rPr>
          <w:spacing w:val="-42"/>
        </w:rPr>
        <w:t> </w:t>
      </w:r>
      <w:r>
        <w:rPr/>
        <w:t>年）平均摊销。</w:t>
      </w:r>
    </w:p>
    <w:p>
      <w:pPr>
        <w:spacing w:after="0" w:line="285" w:lineRule="auto"/>
        <w:jc w:val="left"/>
        <w:sectPr>
          <w:pgSz w:w="11910" w:h="16160"/>
          <w:pgMar w:header="2776" w:footer="298" w:top="296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16、长期资产减值</w:t>
      </w:r>
    </w:p>
    <w:p>
      <w:pPr>
        <w:spacing w:line="240" w:lineRule="auto" w:before="12"/>
        <w:rPr>
          <w:rFonts w:ascii="宋体" w:hAnsi="宋体" w:cs="宋体" w:eastAsia="宋体" w:hint="default"/>
          <w:sz w:val="17"/>
          <w:szCs w:val="17"/>
        </w:rPr>
      </w:pPr>
    </w:p>
    <w:p>
      <w:pPr>
        <w:pStyle w:val="BodyText"/>
        <w:spacing w:line="285" w:lineRule="auto"/>
        <w:ind w:left="453" w:right="128"/>
        <w:jc w:val="both"/>
      </w:pPr>
      <w:r>
        <w:rPr/>
        <w:t>固定资产、在建工程（含工程物资）、使用寿命有限的无形资产、开发支出、长期待摊费用及长期股权投资等，于资</w:t>
      </w:r>
      <w:r>
        <w:rPr>
          <w:spacing w:val="-2"/>
        </w:rPr>
        <w:t> </w:t>
      </w:r>
      <w:r>
        <w:rPr>
          <w:spacing w:val="-2"/>
        </w:rPr>
      </w:r>
      <w:r>
        <w:rPr/>
        <w:t>产负债表日存在减值迹象的，进行减值测试。减值测试结果表明资产的可收回金额低于其账面价值的，按其差额计提</w:t>
      </w:r>
      <w:r>
        <w:rPr>
          <w:spacing w:val="5"/>
        </w:rPr>
        <w:t> </w:t>
      </w:r>
      <w:r>
        <w:rPr>
          <w:spacing w:val="5"/>
        </w:rPr>
      </w:r>
      <w:r>
        <w:rPr/>
        <w:t>减值准备并计入减值损失。可收回金额为资产的公允价值减去处置费用后的净额与资产预计未来现金流量的现值两者</w:t>
      </w:r>
      <w:r>
        <w:rPr>
          <w:spacing w:val="9"/>
        </w:rPr>
        <w:t> </w:t>
      </w:r>
      <w:r>
        <w:rPr>
          <w:spacing w:val="9"/>
        </w:rPr>
      </w:r>
      <w:r>
        <w:rPr/>
        <w:t>之间的较高者。资产减值准备按单项资产为基础计算并确认，如果难以对单项资产的可收回金额进行估计的，以该资</w:t>
      </w:r>
      <w:r>
        <w:rPr>
          <w:spacing w:val="5"/>
        </w:rPr>
        <w:t> </w:t>
      </w:r>
      <w:r>
        <w:rPr>
          <w:spacing w:val="5"/>
        </w:rPr>
      </w:r>
      <w:r>
        <w:rPr/>
        <w:t>产所属的资产组确定资产组的可收回金额。资产组由创造现金流入相关的资产组成，是可以认定的最小资产组合，其</w:t>
      </w:r>
      <w:r>
        <w:rPr>
          <w:spacing w:val="5"/>
        </w:rPr>
        <w:t> </w:t>
      </w:r>
      <w:r>
        <w:rPr>
          <w:spacing w:val="5"/>
        </w:rPr>
      </w:r>
      <w:r>
        <w:rPr/>
        <w:t>产生的现金流入基本上独立于其他资产或资产组。</w:t>
      </w:r>
    </w:p>
    <w:p>
      <w:pPr>
        <w:spacing w:line="240" w:lineRule="auto" w:before="10"/>
        <w:rPr>
          <w:rFonts w:ascii="宋体" w:hAnsi="宋体" w:cs="宋体" w:eastAsia="宋体" w:hint="default"/>
          <w:sz w:val="13"/>
          <w:szCs w:val="13"/>
        </w:rPr>
      </w:pPr>
    </w:p>
    <w:p>
      <w:pPr>
        <w:pStyle w:val="BodyText"/>
        <w:spacing w:line="458" w:lineRule="auto"/>
        <w:ind w:left="113" w:right="3832" w:firstLine="340"/>
        <w:jc w:val="left"/>
      </w:pPr>
      <w:r>
        <w:rPr/>
        <w:t>上述资产减值损失一经确认，以后期间不予转回价值得以恢复的部分。 17、预收款项</w:t>
      </w:r>
    </w:p>
    <w:p>
      <w:pPr>
        <w:pStyle w:val="BodyText"/>
        <w:spacing w:line="285" w:lineRule="auto" w:before="71"/>
        <w:ind w:left="453" w:right="132"/>
        <w:jc w:val="both"/>
      </w:pPr>
      <w:r>
        <w:rPr/>
        <w:t>预收款项主要指预收的房屋租金，是根据于合同生效日期开始已收取的租金减去于各期间已在利润表中确认的收入后</w:t>
      </w:r>
      <w:r>
        <w:rPr>
          <w:spacing w:val="9"/>
        </w:rPr>
        <w:t> </w:t>
      </w:r>
      <w:r>
        <w:rPr>
          <w:spacing w:val="9"/>
        </w:rPr>
      </w:r>
      <w:r>
        <w:rPr/>
        <w:t>的净额列示。</w:t>
      </w:r>
    </w:p>
    <w:p>
      <w:pPr>
        <w:spacing w:line="240" w:lineRule="auto" w:before="10"/>
        <w:rPr>
          <w:rFonts w:ascii="宋体" w:hAnsi="宋体" w:cs="宋体" w:eastAsia="宋体" w:hint="default"/>
          <w:sz w:val="13"/>
          <w:szCs w:val="13"/>
        </w:rPr>
      </w:pPr>
    </w:p>
    <w:p>
      <w:pPr>
        <w:pStyle w:val="BodyText"/>
        <w:spacing w:line="480" w:lineRule="auto"/>
        <w:ind w:left="113" w:right="8442"/>
        <w:jc w:val="left"/>
      </w:pPr>
      <w:r>
        <w:rPr/>
        <w:t>18、职工薪酬</w:t>
      </w:r>
      <w:r>
        <w:rPr>
          <w:spacing w:val="-71"/>
        </w:rPr>
        <w:t> </w:t>
      </w:r>
      <w:r>
        <w:rPr/>
        <w:t>(a)</w:t>
      </w:r>
      <w:r>
        <w:rPr>
          <w:spacing w:val="-21"/>
        </w:rPr>
        <w:t> </w:t>
      </w:r>
      <w:r>
        <w:rPr/>
        <w:t>短期薪酬</w:t>
      </w:r>
    </w:p>
    <w:p>
      <w:pPr>
        <w:pStyle w:val="BodyText"/>
        <w:spacing w:line="285" w:lineRule="auto" w:before="54"/>
        <w:ind w:left="453" w:right="131"/>
        <w:jc w:val="both"/>
      </w:pPr>
      <w:r>
        <w:rPr/>
        <w:t>本集团在职工提供服务的会计期间，将实际发生或按规定的基准和比例计提的职工工资、奖金、医疗保险费、工伤保</w:t>
      </w:r>
      <w:r>
        <w:rPr>
          <w:spacing w:val="3"/>
        </w:rPr>
        <w:t> </w:t>
      </w:r>
      <w:r>
        <w:rPr>
          <w:spacing w:val="3"/>
        </w:rPr>
      </w:r>
      <w:r>
        <w:rPr/>
        <w:t>险费和生育保险费等社会保险费和住房公积金，以及下述</w:t>
      </w:r>
      <w:r>
        <w:rPr>
          <w:spacing w:val="-45"/>
        </w:rPr>
        <w:t> </w:t>
      </w:r>
      <w:r>
        <w:rPr>
          <w:spacing w:val="-1"/>
          <w:w w:val="73"/>
        </w:rPr>
        <w:t>(b)</w:t>
      </w:r>
      <w:r>
        <w:rPr>
          <w:spacing w:val="-21"/>
          <w:w w:val="73"/>
        </w:rPr>
        <w:t> </w:t>
      </w:r>
      <w:r>
        <w:rPr/>
        <w:t>计算缴存的退休福利，确认为负债，并计入当期损益或相</w:t>
      </w:r>
      <w:r>
        <w:rPr/>
        <w:t> </w:t>
      </w:r>
      <w:r>
        <w:rPr>
          <w:spacing w:val="-2"/>
        </w:rPr>
        <w:t>关资产成本。如果该负债预期在职工提供相关服务的年度报告期结束后十二个月内不能完全支付，且财务影响重大的，</w:t>
      </w:r>
      <w:r>
        <w:rPr>
          <w:spacing w:val="-50"/>
        </w:rPr>
        <w:t> </w:t>
      </w:r>
      <w:r>
        <w:rPr>
          <w:spacing w:val="-50"/>
        </w:rPr>
      </w:r>
      <w:r>
        <w:rPr/>
        <w:t>则该负债将以折现后的金额计量。</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t>(b)</w:t>
      </w:r>
      <w:r>
        <w:rPr>
          <w:spacing w:val="-21"/>
        </w:rPr>
        <w:t> </w:t>
      </w:r>
      <w:r>
        <w:rPr/>
        <w:t>离职后福利—设定提存计划</w:t>
      </w:r>
    </w:p>
    <w:p>
      <w:pPr>
        <w:spacing w:line="240" w:lineRule="auto" w:before="12"/>
        <w:rPr>
          <w:rFonts w:ascii="宋体" w:hAnsi="宋体" w:cs="宋体" w:eastAsia="宋体" w:hint="default"/>
          <w:sz w:val="17"/>
          <w:szCs w:val="17"/>
        </w:rPr>
      </w:pPr>
    </w:p>
    <w:p>
      <w:pPr>
        <w:pStyle w:val="BodyText"/>
        <w:spacing w:line="285" w:lineRule="auto"/>
        <w:ind w:left="453" w:right="126"/>
        <w:jc w:val="both"/>
      </w:pPr>
      <w:r>
        <w:rPr/>
        <w:t>按照中国有关法规要求，本集团职工参加了由政府机构设立管理的社会保障体系中的基本养老保险。基本养老保险的</w:t>
      </w:r>
      <w:r>
        <w:rPr>
          <w:spacing w:val="7"/>
        </w:rPr>
        <w:t> </w:t>
      </w:r>
      <w:r>
        <w:rPr>
          <w:spacing w:val="7"/>
        </w:rPr>
      </w:r>
      <w:r>
        <w:rPr>
          <w:spacing w:val="2"/>
        </w:rPr>
        <w:t>缴费金额按职工工资的一定比例计算。除此之外，自</w:t>
      </w:r>
      <w:r>
        <w:rPr>
          <w:spacing w:val="-24"/>
        </w:rPr>
        <w:t> </w:t>
      </w:r>
      <w:r>
        <w:rPr/>
        <w:t>2013</w:t>
      </w:r>
      <w:r>
        <w:rPr>
          <w:spacing w:val="-24"/>
        </w:rPr>
        <w:t> </w:t>
      </w:r>
      <w:r>
        <w:rPr>
          <w:spacing w:val="2"/>
        </w:rPr>
        <w:t>年起，本集团依据国家企业年金制度的相关政策及相关部</w:t>
      </w:r>
      <w:r>
        <w:rPr>
          <w:spacing w:val="-64"/>
        </w:rPr>
        <w:t> </w:t>
      </w:r>
      <w:r>
        <w:rPr>
          <w:spacing w:val="-64"/>
        </w:rPr>
      </w:r>
      <w:r>
        <w:rPr/>
        <w:t>门的批复建立企业年金计划（“年金计划”），按照相关职工工资总额一定的比例计提企业年金。本集团在按照国家 </w:t>
      </w:r>
      <w:r>
        <w:rPr/>
        <w:t>规定的标准及企业年金计划定期缴付上述款项后，不再有其他的支付义务。</w:t>
      </w:r>
    </w:p>
    <w:p>
      <w:pPr>
        <w:spacing w:after="0" w:line="285" w:lineRule="auto"/>
        <w:jc w:val="both"/>
        <w:sectPr>
          <w:footerReference w:type="even" r:id="rId283"/>
          <w:footerReference w:type="default" r:id="rId284"/>
          <w:pgSz w:w="11910" w:h="16160"/>
          <w:pgMar w:footer="320" w:header="1200" w:top="2120" w:bottom="520" w:left="680" w:right="1340"/>
          <w:pgNumType w:start="110"/>
        </w:sectPr>
      </w:pPr>
    </w:p>
    <w:p>
      <w:pPr>
        <w:spacing w:line="240" w:lineRule="auto" w:before="3"/>
        <w:rPr>
          <w:rFonts w:ascii="宋体" w:hAnsi="宋体" w:cs="宋体" w:eastAsia="宋体" w:hint="default"/>
          <w:sz w:val="14"/>
          <w:szCs w:val="14"/>
        </w:rPr>
      </w:pPr>
    </w:p>
    <w:p>
      <w:pPr>
        <w:pStyle w:val="BodyText"/>
        <w:spacing w:line="240" w:lineRule="auto" w:before="31"/>
        <w:ind w:left="114" w:right="87"/>
        <w:jc w:val="left"/>
      </w:pPr>
      <w:r>
        <w:rPr/>
        <w:t>18、职工薪酬（续）</w:t>
      </w:r>
    </w:p>
    <w:p>
      <w:pPr>
        <w:spacing w:line="240" w:lineRule="auto" w:before="12"/>
        <w:rPr>
          <w:rFonts w:ascii="宋体" w:hAnsi="宋体" w:cs="宋体" w:eastAsia="宋体" w:hint="default"/>
          <w:sz w:val="17"/>
          <w:szCs w:val="17"/>
        </w:rPr>
      </w:pPr>
    </w:p>
    <w:p>
      <w:pPr>
        <w:pStyle w:val="BodyText"/>
        <w:spacing w:line="240" w:lineRule="auto"/>
        <w:ind w:left="114" w:right="87"/>
        <w:jc w:val="left"/>
      </w:pPr>
      <w:r>
        <w:rPr/>
        <w:t>(c)</w:t>
      </w:r>
      <w:r>
        <w:rPr>
          <w:spacing w:val="-21"/>
        </w:rPr>
        <w:t> </w:t>
      </w:r>
      <w:r>
        <w:rPr/>
        <w:t>离职后福利—设定受益计划</w:t>
      </w:r>
    </w:p>
    <w:p>
      <w:pPr>
        <w:spacing w:line="240" w:lineRule="auto" w:before="12"/>
        <w:rPr>
          <w:rFonts w:ascii="宋体" w:hAnsi="宋体" w:cs="宋体" w:eastAsia="宋体" w:hint="default"/>
          <w:sz w:val="17"/>
          <w:szCs w:val="17"/>
        </w:rPr>
      </w:pPr>
    </w:p>
    <w:p>
      <w:pPr>
        <w:pStyle w:val="BodyText"/>
        <w:spacing w:line="285" w:lineRule="auto"/>
        <w:ind w:right="185"/>
        <w:jc w:val="both"/>
      </w:pPr>
      <w:r>
        <w:rPr/>
        <w:t>本集团所属个别子公司亦向其职工提供其他离退休后补充福利，主要包括补充退休金津贴，医药费用报销及补充医疗</w:t>
      </w:r>
      <w:r>
        <w:rPr>
          <w:spacing w:val="7"/>
        </w:rPr>
        <w:t> </w:t>
      </w:r>
      <w:r>
        <w:rPr>
          <w:spacing w:val="7"/>
        </w:rPr>
      </w:r>
      <w:r>
        <w:rPr/>
        <w:t>保险，该等离退休后补充福利被视为设定受益计划，按其于资产负债表日的现值被确认为负债，列示于资产负债表长</w:t>
      </w:r>
      <w:r>
        <w:rPr>
          <w:spacing w:val="5"/>
        </w:rPr>
        <w:t> </w:t>
      </w:r>
      <w:r>
        <w:rPr>
          <w:spacing w:val="5"/>
        </w:rPr>
      </w:r>
      <w:r>
        <w:rPr/>
        <w:t>期应付职工薪酬及应付职工薪酬项下。</w:t>
      </w:r>
    </w:p>
    <w:p>
      <w:pPr>
        <w:spacing w:line="240" w:lineRule="auto" w:before="10"/>
        <w:rPr>
          <w:rFonts w:ascii="宋体" w:hAnsi="宋体" w:cs="宋体" w:eastAsia="宋体" w:hint="default"/>
          <w:sz w:val="13"/>
          <w:szCs w:val="13"/>
        </w:rPr>
      </w:pPr>
    </w:p>
    <w:p>
      <w:pPr>
        <w:pStyle w:val="BodyText"/>
        <w:spacing w:line="285" w:lineRule="auto"/>
        <w:ind w:right="192"/>
        <w:jc w:val="both"/>
      </w:pPr>
      <w:r>
        <w:rPr/>
        <w:t>本集团将设定受益计划产生的福利义务归属于职工提供服务的期间，对属于服务成本和设定受益计划负债的利息费用</w:t>
      </w:r>
      <w:r>
        <w:rPr>
          <w:spacing w:val="9"/>
        </w:rPr>
        <w:t> </w:t>
      </w:r>
      <w:r>
        <w:rPr>
          <w:spacing w:val="9"/>
        </w:rPr>
      </w:r>
      <w:r>
        <w:rPr/>
        <w:t>计入当期损益或相关资产成本，对属于重新计量设定受益计划负债所产生的变动计入其他综合收益。</w:t>
      </w:r>
    </w:p>
    <w:p>
      <w:pPr>
        <w:spacing w:line="240" w:lineRule="auto" w:before="10"/>
        <w:rPr>
          <w:rFonts w:ascii="宋体" w:hAnsi="宋体" w:cs="宋体" w:eastAsia="宋体" w:hint="default"/>
          <w:sz w:val="13"/>
          <w:szCs w:val="13"/>
        </w:rPr>
      </w:pPr>
    </w:p>
    <w:p>
      <w:pPr>
        <w:pStyle w:val="BodyText"/>
        <w:spacing w:line="240" w:lineRule="auto"/>
        <w:ind w:left="114" w:right="87"/>
        <w:jc w:val="left"/>
      </w:pPr>
      <w:r>
        <w:rPr/>
        <w:t>(d)</w:t>
      </w:r>
      <w:r>
        <w:rPr>
          <w:spacing w:val="-21"/>
        </w:rPr>
        <w:t> </w:t>
      </w:r>
      <w:r>
        <w:rPr/>
        <w:t>辞退福利及内退福利</w:t>
      </w:r>
    </w:p>
    <w:p>
      <w:pPr>
        <w:spacing w:line="240" w:lineRule="auto" w:before="12"/>
        <w:rPr>
          <w:rFonts w:ascii="宋体" w:hAnsi="宋体" w:cs="宋体" w:eastAsia="宋体" w:hint="default"/>
          <w:sz w:val="17"/>
          <w:szCs w:val="17"/>
        </w:rPr>
      </w:pPr>
    </w:p>
    <w:p>
      <w:pPr>
        <w:pStyle w:val="BodyText"/>
        <w:spacing w:line="285" w:lineRule="auto"/>
        <w:ind w:right="185"/>
        <w:jc w:val="both"/>
      </w:pPr>
      <w:r>
        <w:rPr/>
        <w:t>本集团在职工劳动合同到期之前解除与职工的劳动关系、或者为鼓励职工自愿接受裁减而提出给予补偿的建议，在下</w:t>
      </w:r>
      <w:r>
        <w:rPr>
          <w:spacing w:val="7"/>
        </w:rPr>
        <w:t> </w:t>
      </w:r>
      <w:r>
        <w:rPr>
          <w:spacing w:val="7"/>
        </w:rPr>
      </w:r>
      <w:r>
        <w:rPr/>
        <w:t>列两者孰早日，确认辞退福利产生的负债，同时计入当期费用：</w:t>
      </w:r>
    </w:p>
    <w:p>
      <w:pPr>
        <w:spacing w:line="240" w:lineRule="auto" w:before="10"/>
        <w:rPr>
          <w:rFonts w:ascii="宋体" w:hAnsi="宋体" w:cs="宋体" w:eastAsia="宋体" w:hint="default"/>
          <w:sz w:val="13"/>
          <w:szCs w:val="13"/>
        </w:rPr>
      </w:pPr>
    </w:p>
    <w:p>
      <w:pPr>
        <w:pStyle w:val="BodyText"/>
        <w:spacing w:line="240" w:lineRule="auto"/>
        <w:ind w:right="0"/>
        <w:jc w:val="both"/>
      </w:pPr>
      <w:r>
        <w:rPr/>
        <w:t>-</w:t>
      </w:r>
      <w:r>
        <w:rPr>
          <w:spacing w:val="37"/>
        </w:rPr>
        <w:t> </w:t>
      </w:r>
      <w:r>
        <w:rPr/>
        <w:t>本集团不能单方面撤回因解除劳动关系计划或裁减建议所提供的辞退福利时；</w:t>
      </w:r>
    </w:p>
    <w:p>
      <w:pPr>
        <w:spacing w:line="240" w:lineRule="auto" w:before="5"/>
        <w:rPr>
          <w:rFonts w:ascii="宋体" w:hAnsi="宋体" w:cs="宋体" w:eastAsia="宋体" w:hint="default"/>
          <w:sz w:val="16"/>
          <w:szCs w:val="16"/>
        </w:rPr>
      </w:pPr>
    </w:p>
    <w:p>
      <w:pPr>
        <w:pStyle w:val="BodyText"/>
        <w:spacing w:line="285" w:lineRule="auto"/>
        <w:ind w:right="187"/>
        <w:jc w:val="both"/>
      </w:pPr>
      <w:r>
        <w:rPr/>
        <w:t>-</w:t>
      </w:r>
      <w:r>
        <w:rPr>
          <w:spacing w:val="20"/>
        </w:rPr>
        <w:t> </w:t>
      </w:r>
      <w:r>
        <w:rPr/>
        <w:t>本集团有详细、正式的涉及支付辞退福利的重组计划；并且，该重组计划已开始实施，或已向受其影响的各方通告</w:t>
      </w:r>
      <w:r>
        <w:rPr>
          <w:spacing w:val="-84"/>
        </w:rPr>
        <w:t> </w:t>
      </w:r>
      <w:r>
        <w:rPr>
          <w:spacing w:val="-84"/>
        </w:rPr>
      </w:r>
      <w:r>
        <w:rPr>
          <w:w w:val="105"/>
        </w:rPr>
        <w:t>了该计划的主要内容，从而使各方形成了对本集团将实施重组的合理预期时。</w:t>
      </w:r>
    </w:p>
    <w:p>
      <w:pPr>
        <w:spacing w:line="240" w:lineRule="auto" w:before="10"/>
        <w:rPr>
          <w:rFonts w:ascii="宋体" w:hAnsi="宋体" w:cs="宋体" w:eastAsia="宋体" w:hint="default"/>
          <w:sz w:val="13"/>
          <w:szCs w:val="13"/>
        </w:rPr>
      </w:pPr>
    </w:p>
    <w:p>
      <w:pPr>
        <w:pStyle w:val="BodyText"/>
        <w:spacing w:line="285" w:lineRule="auto"/>
        <w:ind w:right="101"/>
        <w:jc w:val="both"/>
      </w:pPr>
      <w:r>
        <w:rPr/>
        <w:t>本集团向接受内部退休安排的职工提供内退福利。内退福利是指，向未达到国家规定的退休年龄、经本集团管理层批</w:t>
      </w:r>
      <w:r>
        <w:rPr>
          <w:spacing w:val="5"/>
        </w:rPr>
        <w:t> </w:t>
      </w:r>
      <w:r>
        <w:rPr>
          <w:spacing w:val="5"/>
        </w:rPr>
      </w:r>
      <w:r>
        <w:rPr>
          <w:spacing w:val="-3"/>
        </w:rPr>
        <w:t>准自愿退出工作岗位的职工支付的工资及为其缴纳的社会保险费等。对于内退福利，本集团按照辞退福利进行会计处理。</w:t>
      </w:r>
    </w:p>
    <w:p>
      <w:pPr>
        <w:spacing w:line="240" w:lineRule="auto" w:before="10"/>
        <w:rPr>
          <w:rFonts w:ascii="宋体" w:hAnsi="宋体" w:cs="宋体" w:eastAsia="宋体" w:hint="default"/>
          <w:sz w:val="13"/>
          <w:szCs w:val="13"/>
        </w:rPr>
      </w:pPr>
    </w:p>
    <w:p>
      <w:pPr>
        <w:pStyle w:val="BodyText"/>
        <w:spacing w:line="240" w:lineRule="auto"/>
        <w:ind w:left="114" w:right="87"/>
        <w:jc w:val="left"/>
      </w:pPr>
      <w:r>
        <w:rPr/>
        <w:t>19、股份支付</w:t>
      </w:r>
    </w:p>
    <w:p>
      <w:pPr>
        <w:spacing w:line="240" w:lineRule="auto" w:before="12"/>
        <w:rPr>
          <w:rFonts w:ascii="宋体" w:hAnsi="宋体" w:cs="宋体" w:eastAsia="宋体" w:hint="default"/>
          <w:sz w:val="17"/>
          <w:szCs w:val="17"/>
        </w:rPr>
      </w:pPr>
    </w:p>
    <w:p>
      <w:pPr>
        <w:pStyle w:val="BodyText"/>
        <w:spacing w:line="480" w:lineRule="auto"/>
        <w:ind w:right="5871" w:hanging="341"/>
        <w:jc w:val="left"/>
      </w:pPr>
      <w:r>
        <w:rPr/>
        <w:t>(a)</w:t>
      </w:r>
      <w:r>
        <w:rPr>
          <w:spacing w:val="55"/>
        </w:rPr>
        <w:t> </w:t>
      </w:r>
      <w:r>
        <w:rPr/>
        <w:t>股份支付的种类</w:t>
      </w:r>
      <w:r>
        <w:rPr/>
        <w:t> 本集团的股份支付为以权益结算的股份支付。</w:t>
      </w:r>
    </w:p>
    <w:p>
      <w:pPr>
        <w:pStyle w:val="BodyText"/>
        <w:spacing w:line="240" w:lineRule="auto" w:before="34"/>
        <w:ind w:left="114" w:right="87"/>
        <w:jc w:val="left"/>
      </w:pPr>
      <w:r>
        <w:rPr/>
        <w:t>(b)</w:t>
      </w:r>
      <w:r>
        <w:rPr>
          <w:spacing w:val="-21"/>
        </w:rPr>
        <w:t> </w:t>
      </w:r>
      <w:r>
        <w:rPr/>
        <w:t>实施股份支付计划的相关会计处理</w:t>
      </w:r>
    </w:p>
    <w:p>
      <w:pPr>
        <w:spacing w:line="240" w:lineRule="auto" w:before="12"/>
        <w:rPr>
          <w:rFonts w:ascii="宋体" w:hAnsi="宋体" w:cs="宋体" w:eastAsia="宋体" w:hint="default"/>
          <w:sz w:val="17"/>
          <w:szCs w:val="17"/>
        </w:rPr>
      </w:pPr>
    </w:p>
    <w:p>
      <w:pPr>
        <w:pStyle w:val="BodyText"/>
        <w:spacing w:line="285" w:lineRule="auto"/>
        <w:ind w:right="185"/>
        <w:jc w:val="both"/>
      </w:pPr>
      <w:r>
        <w:rPr/>
        <w:t>本集团以股份或其他权益工具作为对价换取职工提供服务时，以授予职工权益工具在授予日的公允价值计量。对于授</w:t>
      </w:r>
      <w:r>
        <w:rPr>
          <w:spacing w:val="7"/>
        </w:rPr>
        <w:t> </w:t>
      </w:r>
      <w:r>
        <w:rPr>
          <w:spacing w:val="7"/>
        </w:rPr>
      </w:r>
      <w:r>
        <w:rPr/>
        <w:t>予后完成等待期内的服务或达到规定业绩条件才可行权的股份支付交易，本集团在等待期内的每个资产负债表日，根</w:t>
      </w:r>
      <w:r>
        <w:rPr>
          <w:spacing w:val="7"/>
        </w:rPr>
        <w:t> </w:t>
      </w:r>
      <w:r>
        <w:rPr>
          <w:spacing w:val="7"/>
        </w:rPr>
      </w:r>
      <w:r>
        <w:rPr/>
        <w:t>据最新取得的可行权职工人数变动等后续信息对可行权权益工具数量作出最佳估计，以此基础按照权益工具授予日的</w:t>
      </w:r>
      <w:r>
        <w:rPr>
          <w:spacing w:val="9"/>
        </w:rPr>
        <w:t> </w:t>
      </w:r>
      <w:r>
        <w:rPr>
          <w:spacing w:val="9"/>
        </w:rPr>
      </w:r>
      <w:r>
        <w:rPr/>
        <w:t>公允价值，将当期取得的服务计入相关成本或费用，并相应计入资本公积。</w:t>
      </w:r>
    </w:p>
    <w:p>
      <w:pPr>
        <w:spacing w:line="240" w:lineRule="auto" w:before="10"/>
        <w:rPr>
          <w:rFonts w:ascii="宋体" w:hAnsi="宋体" w:cs="宋体" w:eastAsia="宋体" w:hint="default"/>
          <w:sz w:val="13"/>
          <w:szCs w:val="13"/>
        </w:rPr>
      </w:pPr>
    </w:p>
    <w:p>
      <w:pPr>
        <w:pStyle w:val="BodyText"/>
        <w:spacing w:line="285" w:lineRule="auto"/>
        <w:ind w:right="192"/>
        <w:jc w:val="both"/>
      </w:pPr>
      <w:r>
        <w:rPr/>
        <w:t>当本集团接受服务但没有结算义务，并且授予职工的是本公司最终控制方或其控制的除本集团外的子公司的权益工具</w:t>
      </w:r>
      <w:r>
        <w:rPr>
          <w:spacing w:val="9"/>
        </w:rPr>
        <w:t> </w:t>
      </w:r>
      <w:r>
        <w:rPr>
          <w:spacing w:val="9"/>
        </w:rPr>
      </w:r>
      <w:r>
        <w:rPr/>
        <w:t>时，本集团将此股份支付计划作为权益结算的股份支付处理。</w:t>
      </w:r>
    </w:p>
    <w:p>
      <w:pPr>
        <w:spacing w:after="0" w:line="285" w:lineRule="auto"/>
        <w:jc w:val="both"/>
        <w:sectPr>
          <w:pgSz w:w="11910" w:h="16160"/>
          <w:pgMar w:header="2776" w:footer="298" w:top="296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87"/>
        <w:jc w:val="left"/>
      </w:pPr>
      <w:r>
        <w:rPr/>
        <w:t>20、股利分配</w:t>
      </w:r>
    </w:p>
    <w:p>
      <w:pPr>
        <w:spacing w:line="240" w:lineRule="auto" w:before="12"/>
        <w:rPr>
          <w:rFonts w:ascii="宋体" w:hAnsi="宋体" w:cs="宋体" w:eastAsia="宋体" w:hint="default"/>
          <w:sz w:val="17"/>
          <w:szCs w:val="17"/>
        </w:rPr>
      </w:pPr>
    </w:p>
    <w:p>
      <w:pPr>
        <w:pStyle w:val="BodyText"/>
        <w:spacing w:line="458" w:lineRule="auto"/>
        <w:ind w:left="113" w:right="5692" w:firstLine="340"/>
        <w:jc w:val="left"/>
      </w:pPr>
      <w:r>
        <w:rPr/>
        <w:t>现金股利于股东大会批准的当期，确认为负债。 21、公允价值的计量</w:t>
      </w:r>
    </w:p>
    <w:p>
      <w:pPr>
        <w:pStyle w:val="BodyText"/>
        <w:spacing w:line="240" w:lineRule="auto" w:before="71"/>
        <w:ind w:left="453" w:right="0"/>
        <w:jc w:val="both"/>
      </w:pPr>
      <w:r>
        <w:rPr/>
        <w:t>公允价值是指市场参与者在计量日发生的有序交易中，出售一项资产所能收到或者转移一项负债所需支付的价格。</w:t>
      </w:r>
    </w:p>
    <w:p>
      <w:pPr>
        <w:spacing w:line="240" w:lineRule="auto" w:before="5"/>
        <w:rPr>
          <w:rFonts w:ascii="宋体" w:hAnsi="宋体" w:cs="宋体" w:eastAsia="宋体" w:hint="default"/>
          <w:sz w:val="16"/>
          <w:szCs w:val="16"/>
        </w:rPr>
      </w:pPr>
    </w:p>
    <w:p>
      <w:pPr>
        <w:pStyle w:val="BodyText"/>
        <w:spacing w:line="285" w:lineRule="auto"/>
        <w:ind w:left="453" w:right="91"/>
        <w:jc w:val="left"/>
      </w:pPr>
      <w:r>
        <w:rPr>
          <w:spacing w:val="-3"/>
        </w:rPr>
        <w:t>本集团估计公允价值时，考虑市场参与者在计量日对相关资产或负债进行定价时考虑的特征（包括资产状况及所在位置、</w:t>
      </w:r>
      <w:r>
        <w:rPr>
          <w:spacing w:val="-85"/>
        </w:rPr>
        <w:t> </w:t>
      </w:r>
      <w:r>
        <w:rPr>
          <w:spacing w:val="-85"/>
        </w:rPr>
      </w:r>
      <w:r>
        <w:rPr/>
        <w:t>对资产出售或者使用的限制等），并采用在当前情况下适用并且有足够可利用数据和其他信息支持的估值技术。使用</w:t>
      </w:r>
      <w:r>
        <w:rPr>
          <w:spacing w:val="6"/>
        </w:rPr>
        <w:t> </w:t>
      </w:r>
      <w:r>
        <w:rPr>
          <w:spacing w:val="6"/>
        </w:rPr>
      </w:r>
      <w:r>
        <w:rPr/>
        <w:t>的估值技术主要包括市场法、收益法和成本法。</w:t>
      </w:r>
    </w:p>
    <w:p>
      <w:pPr>
        <w:spacing w:line="240" w:lineRule="auto" w:before="10"/>
        <w:rPr>
          <w:rFonts w:ascii="宋体" w:hAnsi="宋体" w:cs="宋体" w:eastAsia="宋体" w:hint="default"/>
          <w:sz w:val="13"/>
          <w:szCs w:val="13"/>
        </w:rPr>
      </w:pPr>
    </w:p>
    <w:p>
      <w:pPr>
        <w:pStyle w:val="BodyText"/>
        <w:spacing w:line="240" w:lineRule="auto"/>
        <w:ind w:left="113" w:right="87"/>
        <w:jc w:val="left"/>
      </w:pPr>
      <w:r>
        <w:rPr/>
        <w:t>22、预计负债</w:t>
      </w:r>
    </w:p>
    <w:p>
      <w:pPr>
        <w:spacing w:line="240" w:lineRule="auto" w:before="12"/>
        <w:rPr>
          <w:rFonts w:ascii="宋体" w:hAnsi="宋体" w:cs="宋体" w:eastAsia="宋体" w:hint="default"/>
          <w:sz w:val="17"/>
          <w:szCs w:val="17"/>
        </w:rPr>
      </w:pPr>
    </w:p>
    <w:p>
      <w:pPr>
        <w:pStyle w:val="BodyText"/>
        <w:spacing w:line="285" w:lineRule="auto"/>
        <w:ind w:left="453" w:right="186"/>
        <w:jc w:val="both"/>
      </w:pPr>
      <w:r>
        <w:rPr>
          <w:spacing w:val="-2"/>
        </w:rPr>
        <w:t>因产品质量保证、亏损合同等形成的现时义务，当履行该义务很可能导致经济利益的流出，且其金额能够可靠计量时，</w:t>
      </w:r>
      <w:r>
        <w:rPr>
          <w:spacing w:val="-49"/>
        </w:rPr>
        <w:t> </w:t>
      </w:r>
      <w:r>
        <w:rPr>
          <w:spacing w:val="-49"/>
        </w:rPr>
      </w:r>
      <w:r>
        <w:rPr/>
        <w:t>确认为预计负债。</w:t>
      </w:r>
    </w:p>
    <w:p>
      <w:pPr>
        <w:spacing w:line="240" w:lineRule="auto" w:before="10"/>
        <w:rPr>
          <w:rFonts w:ascii="宋体" w:hAnsi="宋体" w:cs="宋体" w:eastAsia="宋体" w:hint="default"/>
          <w:sz w:val="13"/>
          <w:szCs w:val="13"/>
        </w:rPr>
      </w:pPr>
    </w:p>
    <w:p>
      <w:pPr>
        <w:pStyle w:val="BodyText"/>
        <w:spacing w:line="285" w:lineRule="auto"/>
        <w:ind w:left="453" w:right="186"/>
        <w:jc w:val="both"/>
      </w:pPr>
      <w:r>
        <w:rPr/>
        <w:t>预计负债按照履行相关现时义务所需支出的最佳估计数进行初始计量，并综合考虑与或有事项有关的风险、不确定性</w:t>
      </w:r>
      <w:r>
        <w:rPr>
          <w:spacing w:val="7"/>
        </w:rPr>
        <w:t> </w:t>
      </w:r>
      <w:r>
        <w:rPr>
          <w:spacing w:val="7"/>
        </w:rPr>
      </w:r>
      <w:r>
        <w:rPr/>
        <w:t>和货币时间价值等因素。货币时间价值影响重大的，通过对相关未来现金流出进行折现后确定最佳估计数；因随着时</w:t>
      </w:r>
      <w:r>
        <w:rPr>
          <w:spacing w:val="5"/>
        </w:rPr>
        <w:t> </w:t>
      </w:r>
      <w:r>
        <w:rPr>
          <w:spacing w:val="5"/>
        </w:rPr>
      </w:r>
      <w:r>
        <w:rPr/>
        <w:t>间推移所进行的折现还原而导致的预计负债账面价值的增加金额，确认为利息费用。</w:t>
      </w:r>
    </w:p>
    <w:p>
      <w:pPr>
        <w:spacing w:line="240" w:lineRule="auto" w:before="10"/>
        <w:rPr>
          <w:rFonts w:ascii="宋体" w:hAnsi="宋体" w:cs="宋体" w:eastAsia="宋体" w:hint="default"/>
          <w:sz w:val="13"/>
          <w:szCs w:val="13"/>
        </w:rPr>
      </w:pPr>
    </w:p>
    <w:p>
      <w:pPr>
        <w:pStyle w:val="BodyText"/>
        <w:spacing w:line="285" w:lineRule="auto"/>
        <w:ind w:left="453" w:right="188"/>
        <w:jc w:val="both"/>
      </w:pPr>
      <w:r>
        <w:rPr/>
        <w:t>在确定最佳估计数时，本集团综合考虑了与或有事项有关的风险、不确定性和货币时间价值等因素。所需支出存在一</w:t>
      </w:r>
      <w:r>
        <w:rPr>
          <w:spacing w:val="5"/>
        </w:rPr>
        <w:t> </w:t>
      </w:r>
      <w:r>
        <w:rPr>
          <w:spacing w:val="5"/>
        </w:rPr>
      </w:r>
      <w:r>
        <w:rPr/>
        <w:t>个连续范围，且该范围内各种结果发生的可能性相同的，最佳估计数按照该范围内的中间值确定；在其他情况下，最</w:t>
      </w:r>
      <w:r>
        <w:rPr>
          <w:spacing w:val="3"/>
        </w:rPr>
        <w:t> </w:t>
      </w:r>
      <w:r>
        <w:rPr>
          <w:spacing w:val="3"/>
        </w:rPr>
      </w:r>
      <w:r>
        <w:rPr/>
        <w:t>佳估计数分别按照下列情况处理：</w:t>
      </w:r>
    </w:p>
    <w:p>
      <w:pPr>
        <w:spacing w:line="240" w:lineRule="auto" w:before="10"/>
        <w:rPr>
          <w:rFonts w:ascii="宋体" w:hAnsi="宋体" w:cs="宋体" w:eastAsia="宋体" w:hint="default"/>
          <w:sz w:val="13"/>
          <w:szCs w:val="13"/>
        </w:rPr>
      </w:pPr>
    </w:p>
    <w:p>
      <w:pPr>
        <w:pStyle w:val="BodyText"/>
        <w:spacing w:line="240" w:lineRule="auto"/>
        <w:ind w:left="453" w:right="0"/>
        <w:jc w:val="both"/>
      </w:pPr>
      <w:r>
        <w:rPr/>
        <w:t>-</w:t>
      </w:r>
      <w:r>
        <w:rPr>
          <w:spacing w:val="37"/>
        </w:rPr>
        <w:t> </w:t>
      </w:r>
      <w:r>
        <w:rPr/>
        <w:t>或有事项涉及单个项目的，按照最可能发生金额确定；</w:t>
      </w:r>
    </w:p>
    <w:p>
      <w:pPr>
        <w:spacing w:line="240" w:lineRule="auto" w:before="5"/>
        <w:rPr>
          <w:rFonts w:ascii="宋体" w:hAnsi="宋体" w:cs="宋体" w:eastAsia="宋体" w:hint="default"/>
          <w:sz w:val="16"/>
          <w:szCs w:val="16"/>
        </w:rPr>
      </w:pPr>
    </w:p>
    <w:p>
      <w:pPr>
        <w:pStyle w:val="BodyText"/>
        <w:spacing w:line="458" w:lineRule="auto"/>
        <w:ind w:left="453" w:right="2092"/>
        <w:jc w:val="left"/>
      </w:pPr>
      <w:r>
        <w:rPr>
          <w:w w:val="105"/>
        </w:rPr>
        <w:t>-</w:t>
      </w:r>
      <w:r>
        <w:rPr>
          <w:spacing w:val="-9"/>
          <w:w w:val="105"/>
        </w:rPr>
        <w:t> </w:t>
      </w:r>
      <w:r>
        <w:rPr>
          <w:w w:val="105"/>
        </w:rPr>
        <w:t>或有事项涉及多个项目的，按照各种可能结果及相关概率计算确定。</w:t>
      </w:r>
      <w:r>
        <w:rPr/>
        <w:t> 于资产负债表日，对预计负债的账面价值进行复核并作适当调整，以反映当前的最佳估计数。</w:t>
      </w:r>
    </w:p>
    <w:p>
      <w:pPr>
        <w:spacing w:after="0" w:line="458" w:lineRule="auto"/>
        <w:jc w:val="left"/>
        <w:sectPr>
          <w:pgSz w:w="11910" w:h="16160"/>
          <w:pgMar w:header="1200" w:footer="320" w:top="2120" w:bottom="520" w:left="680" w:right="1280"/>
        </w:sectPr>
      </w:pPr>
    </w:p>
    <w:p>
      <w:pPr>
        <w:spacing w:line="240" w:lineRule="auto" w:before="3"/>
        <w:rPr>
          <w:rFonts w:ascii="宋体" w:hAnsi="宋体" w:cs="宋体" w:eastAsia="宋体" w:hint="default"/>
          <w:sz w:val="14"/>
          <w:szCs w:val="14"/>
        </w:rPr>
      </w:pPr>
    </w:p>
    <w:p>
      <w:pPr>
        <w:pStyle w:val="BodyText"/>
        <w:spacing w:line="240" w:lineRule="auto" w:before="31"/>
        <w:ind w:left="114" w:right="87"/>
        <w:jc w:val="left"/>
      </w:pPr>
      <w:r>
        <w:rPr/>
        <w:t>23、收入确认</w:t>
      </w:r>
    </w:p>
    <w:p>
      <w:pPr>
        <w:spacing w:line="240" w:lineRule="auto" w:before="12"/>
        <w:rPr>
          <w:rFonts w:ascii="宋体" w:hAnsi="宋体" w:cs="宋体" w:eastAsia="宋体" w:hint="default"/>
          <w:sz w:val="17"/>
          <w:szCs w:val="17"/>
        </w:rPr>
      </w:pPr>
    </w:p>
    <w:p>
      <w:pPr>
        <w:pStyle w:val="BodyText"/>
        <w:spacing w:line="458" w:lineRule="auto"/>
        <w:ind w:right="87"/>
        <w:jc w:val="left"/>
      </w:pPr>
      <w:r>
        <w:rPr/>
        <w:t>收入是本集团在日常活动中形成的，会导致股东权益增加且与股东投入资本无关的经济利益的总流入。 本集团在履行了合同中的履约义务，即在用户取得相关商品或服务的控制权时，确认相关收入。</w:t>
      </w:r>
    </w:p>
    <w:p>
      <w:pPr>
        <w:pStyle w:val="BodyText"/>
        <w:spacing w:line="285" w:lineRule="auto" w:before="50"/>
        <w:ind w:right="87"/>
        <w:jc w:val="left"/>
      </w:pPr>
      <w:r>
        <w:rPr/>
        <w:t>合同中包含两项或多项履约义务的，本集团在合同开始日，按照各单项履约义务所承诺商品或服务的单独售价的相对</w:t>
      </w:r>
      <w:r>
        <w:rPr>
          <w:spacing w:val="7"/>
        </w:rPr>
        <w:t> </w:t>
      </w:r>
      <w:r>
        <w:rPr>
          <w:spacing w:val="7"/>
        </w:rPr>
      </w:r>
      <w:r>
        <w:rPr/>
        <w:t>比例，将交易价格分摊至各单项履约义务，按照分摊至各单项履约义务的交易价格计量收入。</w:t>
      </w:r>
    </w:p>
    <w:p>
      <w:pPr>
        <w:spacing w:line="240" w:lineRule="auto" w:before="10"/>
        <w:rPr>
          <w:rFonts w:ascii="宋体" w:hAnsi="宋体" w:cs="宋体" w:eastAsia="宋体" w:hint="default"/>
          <w:sz w:val="13"/>
          <w:szCs w:val="13"/>
        </w:rPr>
      </w:pPr>
    </w:p>
    <w:p>
      <w:pPr>
        <w:pStyle w:val="BodyText"/>
        <w:spacing w:line="285" w:lineRule="auto"/>
        <w:ind w:right="90"/>
        <w:jc w:val="left"/>
      </w:pPr>
      <w:r>
        <w:rPr/>
        <w:t>交易价格是本集团因向用户转让商品或服务而预期有权收取的对价金额，不包括代第三方收取的款项。本集团确认的</w:t>
      </w:r>
      <w:r>
        <w:rPr>
          <w:spacing w:val="7"/>
        </w:rPr>
        <w:t> </w:t>
      </w:r>
      <w:r>
        <w:rPr>
          <w:spacing w:val="7"/>
        </w:rPr>
      </w:r>
      <w:r>
        <w:rPr/>
        <w:t>交易价格不超过在相关不确定性消除时累计已确认收入极可能不会发生重大转回的金额。预期将退还给用户的款项作</w:t>
      </w:r>
      <w:r>
        <w:rPr>
          <w:spacing w:val="9"/>
        </w:rPr>
        <w:t> </w:t>
      </w:r>
      <w:r>
        <w:rPr>
          <w:spacing w:val="9"/>
        </w:rPr>
      </w:r>
      <w:r>
        <w:rPr/>
        <w:t>为退货负债，不计入交易价格。合同中存在重大融资成分的，本集团按照假定用户在取得商品或服务控制权时即以现</w:t>
      </w:r>
      <w:r>
        <w:rPr>
          <w:spacing w:val="5"/>
        </w:rPr>
        <w:t> </w:t>
      </w:r>
      <w:r>
        <w:rPr>
          <w:spacing w:val="5"/>
        </w:rPr>
      </w:r>
      <w:r>
        <w:rPr>
          <w:spacing w:val="-3"/>
        </w:rPr>
        <w:t>金支付的应付金额确定交易价格。该交易价格与合同对价之间的差额，在合同期间内采用实际利率法摊销。合同开始日，</w:t>
      </w:r>
      <w:r>
        <w:rPr>
          <w:spacing w:val="-84"/>
        </w:rPr>
        <w:t> </w:t>
      </w:r>
      <w:r>
        <w:rPr>
          <w:spacing w:val="-84"/>
        </w:rPr>
      </w:r>
      <w:r>
        <w:rPr/>
        <w:t>本集团预计用户取得商品或服务控制权与用户支付价款间隔不超过一年的，不考虑合同中存在的重大融资成分。</w:t>
      </w:r>
    </w:p>
    <w:p>
      <w:pPr>
        <w:spacing w:line="240" w:lineRule="auto" w:before="10"/>
        <w:rPr>
          <w:rFonts w:ascii="宋体" w:hAnsi="宋体" w:cs="宋体" w:eastAsia="宋体" w:hint="default"/>
          <w:sz w:val="13"/>
          <w:szCs w:val="13"/>
        </w:rPr>
      </w:pPr>
    </w:p>
    <w:p>
      <w:pPr>
        <w:pStyle w:val="BodyText"/>
        <w:spacing w:line="240" w:lineRule="auto"/>
        <w:ind w:right="87"/>
        <w:jc w:val="left"/>
      </w:pPr>
      <w:r>
        <w:rPr/>
        <w:t>满足下列条件之一时，本集团属于在某一段时间内履行履约义务，否则，属于在某一时点履行履约义务：</w:t>
      </w:r>
    </w:p>
    <w:p>
      <w:pPr>
        <w:spacing w:line="240" w:lineRule="auto" w:before="5"/>
        <w:rPr>
          <w:rFonts w:ascii="宋体" w:hAnsi="宋体" w:cs="宋体" w:eastAsia="宋体" w:hint="default"/>
          <w:sz w:val="16"/>
          <w:szCs w:val="16"/>
        </w:rPr>
      </w:pPr>
    </w:p>
    <w:p>
      <w:pPr>
        <w:pStyle w:val="BodyText"/>
        <w:spacing w:line="240" w:lineRule="auto"/>
        <w:ind w:right="87"/>
        <w:jc w:val="left"/>
      </w:pPr>
      <w:r>
        <w:rPr/>
        <w:t>-</w:t>
      </w:r>
      <w:r>
        <w:rPr>
          <w:spacing w:val="37"/>
        </w:rPr>
        <w:t> </w:t>
      </w:r>
      <w:r>
        <w:rPr/>
        <w:t>用户在本集团履约的同时即取得并消耗本集团履约所带来的经济利益；</w:t>
      </w:r>
    </w:p>
    <w:p>
      <w:pPr>
        <w:spacing w:line="240" w:lineRule="auto" w:before="5"/>
        <w:rPr>
          <w:rFonts w:ascii="宋体" w:hAnsi="宋体" w:cs="宋体" w:eastAsia="宋体" w:hint="default"/>
          <w:sz w:val="16"/>
          <w:szCs w:val="16"/>
        </w:rPr>
      </w:pPr>
    </w:p>
    <w:p>
      <w:pPr>
        <w:pStyle w:val="BodyText"/>
        <w:spacing w:line="240" w:lineRule="auto"/>
        <w:ind w:right="87"/>
        <w:jc w:val="left"/>
      </w:pPr>
      <w:r>
        <w:rPr/>
        <w:t>-</w:t>
      </w:r>
      <w:r>
        <w:rPr>
          <w:spacing w:val="37"/>
        </w:rPr>
        <w:t> </w:t>
      </w:r>
      <w:r>
        <w:rPr/>
        <w:t>用户能够控制本集团履约过程中在建的商品；</w:t>
      </w:r>
    </w:p>
    <w:p>
      <w:pPr>
        <w:spacing w:line="240" w:lineRule="auto" w:before="5"/>
        <w:rPr>
          <w:rFonts w:ascii="宋体" w:hAnsi="宋体" w:cs="宋体" w:eastAsia="宋体" w:hint="default"/>
          <w:sz w:val="16"/>
          <w:szCs w:val="16"/>
        </w:rPr>
      </w:pPr>
    </w:p>
    <w:p>
      <w:pPr>
        <w:pStyle w:val="BodyText"/>
        <w:spacing w:line="285" w:lineRule="auto"/>
        <w:ind w:right="87"/>
        <w:jc w:val="left"/>
      </w:pPr>
      <w:r>
        <w:rPr/>
        <w:t>-</w:t>
      </w:r>
      <w:r>
        <w:rPr>
          <w:spacing w:val="62"/>
        </w:rPr>
        <w:t> </w:t>
      </w:r>
      <w:r>
        <w:rPr/>
        <w:t>本集团履约过程中所产出的商品具有不可替代用途，且本集团在整个合同期间内有权就累计至今已完成的履约部分</w:t>
      </w:r>
      <w:r>
        <w:rPr>
          <w:spacing w:val="-82"/>
        </w:rPr>
        <w:t> </w:t>
      </w:r>
      <w:r>
        <w:rPr>
          <w:spacing w:val="-82"/>
        </w:rPr>
      </w:r>
      <w:r>
        <w:rPr>
          <w:w w:val="105"/>
        </w:rPr>
        <w:t>收取款项。</w:t>
      </w:r>
    </w:p>
    <w:p>
      <w:pPr>
        <w:spacing w:line="240" w:lineRule="auto" w:before="10"/>
        <w:rPr>
          <w:rFonts w:ascii="宋体" w:hAnsi="宋体" w:cs="宋体" w:eastAsia="宋体" w:hint="default"/>
          <w:sz w:val="13"/>
          <w:szCs w:val="13"/>
        </w:rPr>
      </w:pPr>
    </w:p>
    <w:p>
      <w:pPr>
        <w:pStyle w:val="BodyText"/>
        <w:spacing w:line="285" w:lineRule="auto"/>
        <w:ind w:right="87"/>
        <w:jc w:val="left"/>
      </w:pPr>
      <w:r>
        <w:rPr/>
        <w:t>对于在某一时段内履行的履约义务，本集团在该段时间内按照履约进度确认收入。履约进度不能合理确定时，本集团</w:t>
      </w:r>
      <w:r>
        <w:rPr>
          <w:spacing w:val="5"/>
        </w:rPr>
        <w:t> </w:t>
      </w:r>
      <w:r>
        <w:rPr>
          <w:spacing w:val="5"/>
        </w:rPr>
      </w:r>
      <w:r>
        <w:rPr/>
        <w:t>已经发生的成本预计能够得到补偿的，按照已经发生的成本金额确认收入，直到履约进度能够合理确定为止。</w:t>
      </w:r>
    </w:p>
    <w:p>
      <w:pPr>
        <w:spacing w:line="240" w:lineRule="auto" w:before="10"/>
        <w:rPr>
          <w:rFonts w:ascii="宋体" w:hAnsi="宋体" w:cs="宋体" w:eastAsia="宋体" w:hint="default"/>
          <w:sz w:val="13"/>
          <w:szCs w:val="13"/>
        </w:rPr>
      </w:pPr>
    </w:p>
    <w:p>
      <w:pPr>
        <w:pStyle w:val="BodyText"/>
        <w:spacing w:line="285" w:lineRule="auto"/>
        <w:ind w:right="87"/>
        <w:jc w:val="left"/>
      </w:pPr>
      <w:r>
        <w:rPr/>
        <w:t>对于在某一时点履行的履约义务，本集团在用户取得相关商品或服务控制权时点确认收入。在判断用户是否已取得商</w:t>
      </w:r>
      <w:r>
        <w:rPr>
          <w:spacing w:val="7"/>
        </w:rPr>
        <w:t> </w:t>
      </w:r>
      <w:r>
        <w:rPr>
          <w:spacing w:val="7"/>
        </w:rPr>
      </w:r>
      <w:r>
        <w:rPr/>
        <w:t>品或服务控制权时，本集团会考虑下列迹象：</w:t>
      </w:r>
    </w:p>
    <w:p>
      <w:pPr>
        <w:spacing w:line="240" w:lineRule="auto" w:before="10"/>
        <w:rPr>
          <w:rFonts w:ascii="宋体" w:hAnsi="宋体" w:cs="宋体" w:eastAsia="宋体" w:hint="default"/>
          <w:sz w:val="13"/>
          <w:szCs w:val="13"/>
        </w:rPr>
      </w:pPr>
    </w:p>
    <w:p>
      <w:pPr>
        <w:pStyle w:val="BodyText"/>
        <w:spacing w:line="240" w:lineRule="auto"/>
        <w:ind w:right="87"/>
        <w:jc w:val="left"/>
      </w:pPr>
      <w:r>
        <w:rPr/>
        <w:t>-</w:t>
      </w:r>
      <w:r>
        <w:rPr>
          <w:spacing w:val="37"/>
        </w:rPr>
        <w:t> </w:t>
      </w:r>
      <w:r>
        <w:rPr/>
        <w:t>本集团就该商品或服务享有现时收款权利；</w:t>
      </w:r>
    </w:p>
    <w:p>
      <w:pPr>
        <w:spacing w:line="240" w:lineRule="auto" w:before="5"/>
        <w:rPr>
          <w:rFonts w:ascii="宋体" w:hAnsi="宋体" w:cs="宋体" w:eastAsia="宋体" w:hint="default"/>
          <w:sz w:val="16"/>
          <w:szCs w:val="16"/>
        </w:rPr>
      </w:pPr>
    </w:p>
    <w:p>
      <w:pPr>
        <w:pStyle w:val="BodyText"/>
        <w:spacing w:line="240" w:lineRule="auto"/>
        <w:ind w:right="87"/>
        <w:jc w:val="left"/>
      </w:pPr>
      <w:r>
        <w:rPr/>
        <w:t>-</w:t>
      </w:r>
      <w:r>
        <w:rPr>
          <w:spacing w:val="37"/>
        </w:rPr>
        <w:t> </w:t>
      </w:r>
      <w:r>
        <w:rPr/>
        <w:t>本集团已将该商品的实物转移给用户；</w:t>
      </w:r>
    </w:p>
    <w:p>
      <w:pPr>
        <w:spacing w:line="240" w:lineRule="auto" w:before="5"/>
        <w:rPr>
          <w:rFonts w:ascii="宋体" w:hAnsi="宋体" w:cs="宋体" w:eastAsia="宋体" w:hint="default"/>
          <w:sz w:val="16"/>
          <w:szCs w:val="16"/>
        </w:rPr>
      </w:pPr>
    </w:p>
    <w:p>
      <w:pPr>
        <w:pStyle w:val="BodyText"/>
        <w:spacing w:line="240" w:lineRule="auto"/>
        <w:ind w:right="87"/>
        <w:jc w:val="left"/>
      </w:pPr>
      <w:r>
        <w:rPr/>
        <w:t>-</w:t>
      </w:r>
      <w:r>
        <w:rPr>
          <w:spacing w:val="37"/>
        </w:rPr>
        <w:t> </w:t>
      </w:r>
      <w:r>
        <w:rPr/>
        <w:t>本集团已将该商品的法定所有权或所有权上的主要风险和报酬转移给用户；</w:t>
      </w:r>
    </w:p>
    <w:p>
      <w:pPr>
        <w:spacing w:line="240" w:lineRule="auto" w:before="5"/>
        <w:rPr>
          <w:rFonts w:ascii="宋体" w:hAnsi="宋体" w:cs="宋体" w:eastAsia="宋体" w:hint="default"/>
          <w:sz w:val="16"/>
          <w:szCs w:val="16"/>
        </w:rPr>
      </w:pPr>
    </w:p>
    <w:p>
      <w:pPr>
        <w:pStyle w:val="BodyText"/>
        <w:spacing w:line="240" w:lineRule="auto"/>
        <w:ind w:right="87"/>
        <w:jc w:val="left"/>
      </w:pPr>
      <w:r>
        <w:rPr/>
        <w:t>-</w:t>
      </w:r>
      <w:r>
        <w:rPr>
          <w:spacing w:val="37"/>
        </w:rPr>
        <w:t> </w:t>
      </w:r>
      <w:r>
        <w:rPr/>
        <w:t>用户已接受该商品或服务等。</w:t>
      </w:r>
    </w:p>
    <w:p>
      <w:pPr>
        <w:spacing w:line="240" w:lineRule="auto" w:before="5"/>
        <w:rPr>
          <w:rFonts w:ascii="宋体" w:hAnsi="宋体" w:cs="宋体" w:eastAsia="宋体" w:hint="default"/>
          <w:sz w:val="16"/>
          <w:szCs w:val="16"/>
        </w:rPr>
      </w:pPr>
    </w:p>
    <w:p>
      <w:pPr>
        <w:pStyle w:val="BodyText"/>
        <w:spacing w:line="285" w:lineRule="auto"/>
        <w:ind w:right="90"/>
        <w:jc w:val="left"/>
      </w:pPr>
      <w:r>
        <w:rPr>
          <w:spacing w:val="-3"/>
        </w:rPr>
        <w:t>本集团已向用户转让商品或服务而有权收取对价的权利（且该权利取决于时间流逝之外的其他因素）作为合同资产列示，</w:t>
      </w:r>
      <w:r>
        <w:rPr>
          <w:spacing w:val="-85"/>
        </w:rPr>
        <w:t> </w:t>
      </w:r>
      <w:r>
        <w:rPr>
          <w:spacing w:val="-85"/>
        </w:rPr>
      </w:r>
      <w:r>
        <w:rPr>
          <w:spacing w:val="2"/>
        </w:rPr>
        <w:t>合同资产以预期信用损失为基础计提减值（参见附注三</w:t>
      </w:r>
      <w:r>
        <w:rPr/>
        <w:t> </w:t>
      </w:r>
      <w:r>
        <w:rPr>
          <w:spacing w:val="1"/>
          <w:w w:val="91"/>
        </w:rPr>
        <w:t>(8)(a)(3))。本集团拥有的、无条件（仅取决于时间流逝）向用</w:t>
      </w:r>
      <w:r>
        <w:rPr>
          <w:spacing w:val="13"/>
          <w:w w:val="91"/>
        </w:rPr>
        <w:t> </w:t>
      </w:r>
      <w:r>
        <w:rPr>
          <w:spacing w:val="13"/>
          <w:w w:val="91"/>
        </w:rPr>
      </w:r>
      <w:r>
        <w:rPr/>
        <w:t>户收取对价的权利作为应收款项列示。本集团已收或应收用户对价而应向用户转让商品或服务的义务作为合同负债列</w:t>
      </w:r>
      <w:r>
        <w:rPr>
          <w:spacing w:val="9"/>
        </w:rPr>
        <w:t> </w:t>
      </w:r>
      <w:r>
        <w:rPr>
          <w:spacing w:val="9"/>
        </w:rPr>
      </w:r>
      <w:r>
        <w:rPr/>
        <w:t>示。同一合同下的合同资产和合同负债以净额列示，而不相关合同的合同资产和负债分别列示。</w:t>
      </w:r>
    </w:p>
    <w:p>
      <w:pPr>
        <w:spacing w:after="0" w:line="285" w:lineRule="auto"/>
        <w:jc w:val="left"/>
        <w:sectPr>
          <w:footerReference w:type="default" r:id="rId285"/>
          <w:footerReference w:type="even" r:id="rId286"/>
          <w:pgSz w:w="11910" w:h="16160"/>
          <w:pgMar w:footer="298" w:header="2776" w:top="2960" w:bottom="480" w:left="1360" w:right="600"/>
          <w:pgNumType w:start="113"/>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23、收入确认（续）</w:t>
      </w:r>
    </w:p>
    <w:p>
      <w:pPr>
        <w:spacing w:line="240" w:lineRule="auto" w:before="12"/>
        <w:rPr>
          <w:rFonts w:ascii="宋体" w:hAnsi="宋体" w:cs="宋体" w:eastAsia="宋体" w:hint="default"/>
          <w:sz w:val="17"/>
          <w:szCs w:val="17"/>
        </w:rPr>
      </w:pPr>
    </w:p>
    <w:p>
      <w:pPr>
        <w:pStyle w:val="BodyText"/>
        <w:spacing w:line="285" w:lineRule="auto"/>
        <w:ind w:left="453" w:right="125"/>
        <w:jc w:val="left"/>
      </w:pPr>
      <w:r>
        <w:rPr/>
        <w:t>本集团对于提供的电信服务通常按照履约进度确认收入，而销售终端及其他电信设备被视为单项履约义务时，本集团</w:t>
      </w:r>
      <w:r>
        <w:rPr>
          <w:spacing w:val="7"/>
        </w:rPr>
        <w:t> </w:t>
      </w:r>
      <w:r>
        <w:rPr>
          <w:spacing w:val="7"/>
        </w:rPr>
      </w:r>
      <w:r>
        <w:rPr/>
        <w:t>在用户取得相关商品的控制权时点确认收入。与本集团取得收入的主要活动相关的具体会计政策描述如下：</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t>(a)</w:t>
      </w:r>
      <w:r>
        <w:rPr>
          <w:spacing w:val="-21"/>
        </w:rPr>
        <w:t> </w:t>
      </w:r>
      <w:r>
        <w:rPr/>
        <w:t>语音通话费和月租费在提供服务的过程中确认；</w:t>
      </w:r>
    </w:p>
    <w:p>
      <w:pPr>
        <w:spacing w:line="240" w:lineRule="auto" w:before="5"/>
        <w:rPr>
          <w:rFonts w:ascii="宋体" w:hAnsi="宋体" w:cs="宋体" w:eastAsia="宋体" w:hint="default"/>
          <w:sz w:val="16"/>
          <w:szCs w:val="16"/>
        </w:rPr>
      </w:pPr>
    </w:p>
    <w:p>
      <w:pPr>
        <w:pStyle w:val="BodyText"/>
        <w:spacing w:line="458" w:lineRule="auto"/>
        <w:ind w:left="113" w:right="229"/>
        <w:jc w:val="left"/>
      </w:pPr>
      <w:r>
        <w:rPr/>
        <w:t>(b)</w:t>
      </w:r>
      <w:r>
        <w:rPr>
          <w:spacing w:val="-17"/>
        </w:rPr>
        <w:t> </w:t>
      </w:r>
      <w:r>
        <w:rPr/>
        <w:t>增值服务收入是指向用户提供如短信、炫铃、个性化彩铃、来电显示以及秘书服务等，并在服务提供的过程中确认；</w:t>
      </w:r>
      <w:r>
        <w:rPr/>
        <w:t> (c)</w:t>
      </w:r>
      <w:r>
        <w:rPr>
          <w:spacing w:val="-21"/>
        </w:rPr>
        <w:t> </w:t>
      </w:r>
      <w:r>
        <w:rPr/>
        <w:t>提供宽带及移动数据服务的收入在提供服务的过程中予以确认；</w:t>
      </w:r>
    </w:p>
    <w:p>
      <w:pPr>
        <w:pStyle w:val="BodyText"/>
        <w:spacing w:line="285" w:lineRule="auto" w:before="50"/>
        <w:ind w:left="453" w:right="128" w:hanging="341"/>
        <w:jc w:val="both"/>
      </w:pPr>
      <w:r>
        <w:rPr>
          <w:spacing w:val="-1"/>
          <w:w w:val="73"/>
        </w:rPr>
        <w:t>(d)</w:t>
      </w:r>
      <w:r>
        <w:rPr>
          <w:spacing w:val="40"/>
          <w:w w:val="73"/>
        </w:rPr>
        <w:t> </w:t>
      </w:r>
      <w:r>
        <w:rPr>
          <w:spacing w:val="1"/>
        </w:rPr>
        <w:t>数据及其他互联网应用服务指互联网数据中心、云计算、大数据、物联网、信息与通信技术等相关服务，其收入在提</w:t>
      </w:r>
      <w:r>
        <w:rPr>
          <w:spacing w:val="-81"/>
        </w:rPr>
        <w:t> </w:t>
      </w:r>
      <w:r>
        <w:rPr>
          <w:spacing w:val="-81"/>
        </w:rPr>
      </w:r>
      <w:r>
        <w:rPr/>
        <w:t>供服务的过程中予以确认；</w:t>
      </w:r>
    </w:p>
    <w:p>
      <w:pPr>
        <w:spacing w:line="240" w:lineRule="auto" w:before="10"/>
        <w:rPr>
          <w:rFonts w:ascii="宋体" w:hAnsi="宋体" w:cs="宋体" w:eastAsia="宋体" w:hint="default"/>
          <w:sz w:val="13"/>
          <w:szCs w:val="13"/>
        </w:rPr>
      </w:pPr>
    </w:p>
    <w:p>
      <w:pPr>
        <w:pStyle w:val="BodyText"/>
        <w:spacing w:line="285" w:lineRule="auto"/>
        <w:ind w:left="453" w:right="126" w:hanging="341"/>
        <w:jc w:val="both"/>
      </w:pPr>
      <w:r>
        <w:rPr>
          <w:spacing w:val="-1"/>
          <w:w w:val="73"/>
        </w:rPr>
        <w:t>(e)</w:t>
      </w:r>
      <w:r>
        <w:rPr>
          <w:spacing w:val="45"/>
          <w:w w:val="73"/>
        </w:rPr>
        <w:t> </w:t>
      </w:r>
      <w:r>
        <w:rPr>
          <w:spacing w:val="1"/>
        </w:rPr>
        <w:t>网间结算收入指本集团与国内外其他电信运营商网络间通信而获得的收入，于发生的过程中确认；网间结算支出指本</w:t>
      </w:r>
      <w:r>
        <w:rPr>
          <w:spacing w:val="-81"/>
        </w:rPr>
        <w:t> </w:t>
      </w:r>
      <w:r>
        <w:rPr>
          <w:spacing w:val="-81"/>
        </w:rPr>
      </w:r>
      <w:r>
        <w:rPr/>
        <w:t>集团与国内外其他电信运营商网络间通信所产生的支出，于发生时确认；</w:t>
      </w:r>
    </w:p>
    <w:p>
      <w:pPr>
        <w:spacing w:line="240" w:lineRule="auto" w:before="10"/>
        <w:rPr>
          <w:rFonts w:ascii="宋体" w:hAnsi="宋体" w:cs="宋体" w:eastAsia="宋体" w:hint="default"/>
          <w:sz w:val="13"/>
          <w:szCs w:val="13"/>
        </w:rPr>
      </w:pPr>
    </w:p>
    <w:p>
      <w:pPr>
        <w:pStyle w:val="BodyText"/>
        <w:spacing w:line="285" w:lineRule="auto"/>
        <w:ind w:left="453" w:right="126" w:hanging="341"/>
        <w:jc w:val="both"/>
      </w:pPr>
      <w:r>
        <w:rPr/>
        <w:t>(f)</w:t>
      </w:r>
      <w:r>
        <w:rPr>
          <w:spacing w:val="79"/>
        </w:rPr>
        <w:t> </w:t>
      </w:r>
      <w:r>
        <w:rPr/>
        <w:t>销售通信产品收入指销售手机、通信设备等通信产品而产生的收入，在最终用户已接受该通信产品并取得该通信产品</w:t>
      </w:r>
      <w:r>
        <w:rPr>
          <w:spacing w:val="2"/>
        </w:rPr>
        <w:t> </w:t>
      </w:r>
      <w:r>
        <w:rPr/>
        <w:t>控制权时确认；</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t>(g)</w:t>
      </w:r>
      <w:r>
        <w:rPr>
          <w:spacing w:val="-21"/>
        </w:rPr>
        <w:t> </w:t>
      </w:r>
      <w:r>
        <w:rPr/>
        <w:t>网元及电路的服务收入在服务期限内确认；</w:t>
      </w:r>
    </w:p>
    <w:p>
      <w:pPr>
        <w:spacing w:line="240" w:lineRule="auto" w:before="5"/>
        <w:rPr>
          <w:rFonts w:ascii="宋体" w:hAnsi="宋体" w:cs="宋体" w:eastAsia="宋体" w:hint="default"/>
          <w:sz w:val="16"/>
          <w:szCs w:val="16"/>
        </w:rPr>
      </w:pPr>
    </w:p>
    <w:p>
      <w:pPr>
        <w:pStyle w:val="BodyText"/>
        <w:spacing w:line="285" w:lineRule="auto"/>
        <w:ind w:left="453" w:right="126" w:hanging="341"/>
        <w:jc w:val="both"/>
      </w:pPr>
      <w:r>
        <w:rPr>
          <w:spacing w:val="-1"/>
          <w:w w:val="73"/>
        </w:rPr>
        <w:t>(h)</w:t>
      </w:r>
      <w:r>
        <w:rPr>
          <w:spacing w:val="43"/>
          <w:w w:val="73"/>
        </w:rPr>
        <w:t> </w:t>
      </w:r>
      <w:r>
        <w:rPr>
          <w:spacing w:val="1"/>
        </w:rPr>
        <w:t>本集团向用户提供了积分奖励计划。该积分奖励计划根据用户的消费额、忠诚度及缴费记录对其进行奖励。根据奖励</w:t>
      </w:r>
      <w:r>
        <w:rPr>
          <w:spacing w:val="-81"/>
        </w:rPr>
        <w:t> </w:t>
      </w:r>
      <w:r>
        <w:rPr>
          <w:spacing w:val="-81"/>
        </w:rPr>
      </w:r>
      <w:r>
        <w:rPr/>
        <w:t>积分计划，本集团将部分交易价格分摊至用户在未来购买本集团商品或服务时可兑换抵扣的奖励积分。分摊比例按照</w:t>
      </w:r>
      <w:r>
        <w:rPr>
          <w:spacing w:val="2"/>
        </w:rPr>
        <w:t> </w:t>
      </w:r>
      <w:r>
        <w:rPr/>
        <w:t>奖励积分和相关商品或服务单独售价的相对比例确定。本集团将分摊至奖励积分的金额予以递延并在积分兑换或到期</w:t>
      </w:r>
      <w:r>
        <w:rPr>
          <w:spacing w:val="2"/>
        </w:rPr>
        <w:t> </w:t>
      </w:r>
      <w:r>
        <w:rPr/>
        <w:t>时确认为收入；</w:t>
      </w:r>
    </w:p>
    <w:p>
      <w:pPr>
        <w:spacing w:line="240" w:lineRule="auto" w:before="10"/>
        <w:rPr>
          <w:rFonts w:ascii="宋体" w:hAnsi="宋体" w:cs="宋体" w:eastAsia="宋体" w:hint="default"/>
          <w:sz w:val="13"/>
          <w:szCs w:val="13"/>
        </w:rPr>
      </w:pPr>
    </w:p>
    <w:p>
      <w:pPr>
        <w:pStyle w:val="BodyText"/>
        <w:spacing w:line="285" w:lineRule="auto"/>
        <w:ind w:left="453" w:right="126" w:hanging="341"/>
        <w:jc w:val="both"/>
      </w:pPr>
      <w:r>
        <w:rPr>
          <w:w w:val="90"/>
        </w:rPr>
        <w:t>(i)</w:t>
      </w:r>
      <w:r>
        <w:rPr>
          <w:spacing w:val="33"/>
          <w:w w:val="90"/>
        </w:rPr>
        <w:t> </w:t>
      </w:r>
      <w:r>
        <w:rPr/>
        <w:t>本集团向用户提供捆绑通信终端及通信服务的优惠套餐。该优惠套餐的合同总金额按照通信终端和通信服务的单独售</w:t>
      </w:r>
      <w:r>
        <w:rPr>
          <w:spacing w:val="2"/>
        </w:rPr>
        <w:t> </w:t>
      </w:r>
      <w:r>
        <w:rPr/>
        <w:t>价在两者之间进行分配。通信终端销售收入于最终用户已接受该通信终端并取得该通信终端控制权时予以确认。通信</w:t>
      </w:r>
      <w:r>
        <w:rPr>
          <w:spacing w:val="2"/>
        </w:rPr>
        <w:t> </w:t>
      </w:r>
      <w:r>
        <w:rPr/>
        <w:t>服务收入按用户的移动通信服务实际用量予以确认。销售通信终端的成本于通信终端销售收入确认时于利润表内立刻</w:t>
      </w:r>
      <w:r>
        <w:rPr>
          <w:spacing w:val="2"/>
        </w:rPr>
        <w:t> </w:t>
      </w:r>
      <w:r>
        <w:rPr/>
        <w:t>确认为营业成本。</w:t>
      </w:r>
    </w:p>
    <w:p>
      <w:pPr>
        <w:spacing w:after="0" w:line="285" w:lineRule="auto"/>
        <w:jc w:val="both"/>
        <w:sectPr>
          <w:pgSz w:w="11910" w:h="16160"/>
          <w:pgMar w:header="1200" w:footer="320" w:top="2120" w:bottom="520" w:left="680" w:right="1340"/>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24、利息收入</w:t>
      </w:r>
    </w:p>
    <w:p>
      <w:pPr>
        <w:spacing w:line="240" w:lineRule="auto" w:before="12"/>
        <w:rPr>
          <w:rFonts w:ascii="宋体" w:hAnsi="宋体" w:cs="宋体" w:eastAsia="宋体" w:hint="default"/>
          <w:sz w:val="17"/>
          <w:szCs w:val="17"/>
        </w:rPr>
      </w:pPr>
    </w:p>
    <w:p>
      <w:pPr>
        <w:pStyle w:val="BodyText"/>
        <w:spacing w:line="285" w:lineRule="auto"/>
        <w:ind w:right="145"/>
        <w:jc w:val="both"/>
      </w:pPr>
      <w:r>
        <w:rPr/>
        <w:t>存放于银行或其他金融机构的存款利息收入按借出货币资金的时间，采用实际利率计算确定；对于以摊余成本计量且</w:t>
      </w:r>
      <w:r>
        <w:rPr>
          <w:spacing w:val="7"/>
        </w:rPr>
        <w:t> </w:t>
      </w:r>
      <w:r>
        <w:rPr>
          <w:spacing w:val="7"/>
        </w:rPr>
      </w:r>
      <w:r>
        <w:rPr/>
        <w:t>未发生信用损失的金融资产，实际利率适用于该资产的账面价值。对于发生信用减值的金融资产，实际利率适用于资</w:t>
      </w:r>
      <w:r>
        <w:rPr>
          <w:spacing w:val="5"/>
        </w:rPr>
        <w:t> </w:t>
      </w:r>
      <w:r>
        <w:rPr>
          <w:spacing w:val="5"/>
        </w:rPr>
      </w:r>
      <w:r>
        <w:rPr/>
        <w:t>产的摊余成本。</w:t>
      </w:r>
    </w:p>
    <w:p>
      <w:pPr>
        <w:spacing w:line="240" w:lineRule="auto" w:before="10"/>
        <w:rPr>
          <w:rFonts w:ascii="宋体" w:hAnsi="宋体" w:cs="宋体" w:eastAsia="宋体" w:hint="default"/>
          <w:sz w:val="13"/>
          <w:szCs w:val="13"/>
        </w:rPr>
      </w:pPr>
    </w:p>
    <w:p>
      <w:pPr>
        <w:pStyle w:val="BodyText"/>
        <w:spacing w:line="240" w:lineRule="auto"/>
        <w:ind w:left="114" w:right="0"/>
        <w:jc w:val="left"/>
      </w:pPr>
      <w:r>
        <w:rPr/>
        <w:t>25、合同成本</w:t>
      </w:r>
    </w:p>
    <w:p>
      <w:pPr>
        <w:spacing w:line="240" w:lineRule="auto" w:before="12"/>
        <w:rPr>
          <w:rFonts w:ascii="宋体" w:hAnsi="宋体" w:cs="宋体" w:eastAsia="宋体" w:hint="default"/>
          <w:sz w:val="17"/>
          <w:szCs w:val="17"/>
        </w:rPr>
      </w:pPr>
    </w:p>
    <w:p>
      <w:pPr>
        <w:pStyle w:val="BodyText"/>
        <w:spacing w:line="240" w:lineRule="auto"/>
        <w:ind w:right="0"/>
        <w:jc w:val="both"/>
      </w:pPr>
      <w:r>
        <w:rPr/>
        <w:t>合同成本包括为取得合同发生的增量成本及合同履约成本。</w:t>
      </w:r>
    </w:p>
    <w:p>
      <w:pPr>
        <w:spacing w:line="240" w:lineRule="auto" w:before="5"/>
        <w:rPr>
          <w:rFonts w:ascii="宋体" w:hAnsi="宋体" w:cs="宋体" w:eastAsia="宋体" w:hint="default"/>
          <w:sz w:val="16"/>
          <w:szCs w:val="16"/>
        </w:rPr>
      </w:pPr>
    </w:p>
    <w:p>
      <w:pPr>
        <w:pStyle w:val="BodyText"/>
        <w:spacing w:line="285" w:lineRule="auto"/>
        <w:ind w:right="145"/>
        <w:jc w:val="both"/>
      </w:pPr>
      <w:r>
        <w:rPr/>
        <w:t>为取得合同发生的增量成本（“合同取得成本”）是指本集团不取得合同就不会发生的成本（如销售佣金等）。该成</w:t>
      </w:r>
      <w:r>
        <w:rPr>
          <w:spacing w:val="-1"/>
        </w:rPr>
        <w:t> </w:t>
      </w:r>
      <w:r>
        <w:rPr>
          <w:spacing w:val="-1"/>
        </w:rPr>
      </w:r>
      <w:r>
        <w:rPr/>
        <w:t>本预期能够收回的，本集团将其作为合同取得成本确认为一项资产。本集团为取得合同发生的、除预期能够收回的增</w:t>
      </w:r>
      <w:r>
        <w:rPr>
          <w:spacing w:val="5"/>
        </w:rPr>
        <w:t> </w:t>
      </w:r>
      <w:r>
        <w:rPr>
          <w:spacing w:val="5"/>
        </w:rPr>
      </w:r>
      <w:r>
        <w:rPr/>
        <w:t>量成本之外的其他支出于发生时计入当期损益。</w:t>
      </w:r>
    </w:p>
    <w:p>
      <w:pPr>
        <w:spacing w:line="240" w:lineRule="auto" w:before="10"/>
        <w:rPr>
          <w:rFonts w:ascii="宋体" w:hAnsi="宋体" w:cs="宋体" w:eastAsia="宋体" w:hint="default"/>
          <w:sz w:val="13"/>
          <w:szCs w:val="13"/>
        </w:rPr>
      </w:pPr>
    </w:p>
    <w:p>
      <w:pPr>
        <w:pStyle w:val="BodyText"/>
        <w:spacing w:line="285" w:lineRule="auto"/>
        <w:ind w:right="145"/>
        <w:jc w:val="both"/>
      </w:pPr>
      <w:r>
        <w:rPr/>
        <w:t>为履行合同发生的成本，不属于存货等其他企业会计准则规范范围且同时满足下列条件的，本集团将其作为合同履约</w:t>
      </w:r>
      <w:r>
        <w:rPr>
          <w:spacing w:val="7"/>
        </w:rPr>
        <w:t> </w:t>
      </w:r>
      <w:r>
        <w:rPr>
          <w:spacing w:val="7"/>
        </w:rPr>
      </w:r>
      <w:r>
        <w:rPr/>
        <w:t>成本确认为一项资产：</w:t>
      </w:r>
    </w:p>
    <w:p>
      <w:pPr>
        <w:spacing w:line="240" w:lineRule="auto" w:before="10"/>
        <w:rPr>
          <w:rFonts w:ascii="宋体" w:hAnsi="宋体" w:cs="宋体" w:eastAsia="宋体" w:hint="default"/>
          <w:sz w:val="13"/>
          <w:szCs w:val="13"/>
        </w:rPr>
      </w:pPr>
    </w:p>
    <w:p>
      <w:pPr>
        <w:pStyle w:val="BodyText"/>
        <w:spacing w:line="285" w:lineRule="auto"/>
        <w:ind w:right="149"/>
        <w:jc w:val="both"/>
      </w:pPr>
      <w:r>
        <w:rPr/>
        <w:t>-</w:t>
      </w:r>
      <w:r>
        <w:rPr>
          <w:spacing w:val="18"/>
        </w:rPr>
        <w:t> </w:t>
      </w:r>
      <w:r>
        <w:rPr/>
        <w:t>该成本与一份当前或预期取得的合同直接相关，包括直接人工、直接材料、制造费用（或类似费用）、明确由用户</w:t>
      </w:r>
      <w:r>
        <w:rPr>
          <w:spacing w:val="-84"/>
        </w:rPr>
        <w:t> </w:t>
      </w:r>
      <w:r>
        <w:rPr>
          <w:spacing w:val="-84"/>
        </w:rPr>
      </w:r>
      <w:r>
        <w:rPr>
          <w:w w:val="105"/>
        </w:rPr>
        <w:t>承担的成本以及仅因该合同而发生的其他成本；</w:t>
      </w:r>
    </w:p>
    <w:p>
      <w:pPr>
        <w:spacing w:line="240" w:lineRule="auto" w:before="10"/>
        <w:rPr>
          <w:rFonts w:ascii="宋体" w:hAnsi="宋体" w:cs="宋体" w:eastAsia="宋体" w:hint="default"/>
          <w:sz w:val="13"/>
          <w:szCs w:val="13"/>
        </w:rPr>
      </w:pPr>
    </w:p>
    <w:p>
      <w:pPr>
        <w:pStyle w:val="BodyText"/>
        <w:spacing w:line="240" w:lineRule="auto"/>
        <w:ind w:right="0"/>
        <w:jc w:val="both"/>
      </w:pPr>
      <w:r>
        <w:rPr/>
        <w:t>-</w:t>
      </w:r>
      <w:r>
        <w:rPr>
          <w:spacing w:val="37"/>
        </w:rPr>
        <w:t> </w:t>
      </w:r>
      <w:r>
        <w:rPr/>
        <w:t>该成本增加了本集团未来用于履行履约义务的资源；</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该成本预期能够收回。</w:t>
      </w:r>
    </w:p>
    <w:p>
      <w:pPr>
        <w:spacing w:line="240" w:lineRule="auto" w:before="5"/>
        <w:rPr>
          <w:rFonts w:ascii="宋体" w:hAnsi="宋体" w:cs="宋体" w:eastAsia="宋体" w:hint="default"/>
          <w:sz w:val="16"/>
          <w:szCs w:val="16"/>
        </w:rPr>
      </w:pPr>
    </w:p>
    <w:p>
      <w:pPr>
        <w:pStyle w:val="BodyText"/>
        <w:spacing w:line="285" w:lineRule="auto"/>
        <w:ind w:right="106"/>
        <w:jc w:val="both"/>
      </w:pPr>
      <w:r>
        <w:rPr/>
        <w:t>合同取得成本确认的资产和合同履约成本确认的资产（以下简称“与合同成本有关的资产”）采用与该资产相关的商</w:t>
      </w:r>
      <w:r>
        <w:rPr>
          <w:spacing w:val="4"/>
        </w:rPr>
        <w:t> </w:t>
      </w:r>
      <w:r>
        <w:rPr>
          <w:spacing w:val="4"/>
        </w:rPr>
      </w:r>
      <w:r>
        <w:rPr/>
        <w:t>品或服务收入确认相同的基础进行摊销，计入当期损益。摊销期限不超过一年则在发生时计入当期损益。</w:t>
      </w:r>
    </w:p>
    <w:p>
      <w:pPr>
        <w:spacing w:line="240" w:lineRule="auto" w:before="10"/>
        <w:rPr>
          <w:rFonts w:ascii="宋体" w:hAnsi="宋体" w:cs="宋体" w:eastAsia="宋体" w:hint="default"/>
          <w:sz w:val="13"/>
          <w:szCs w:val="13"/>
        </w:rPr>
      </w:pPr>
    </w:p>
    <w:p>
      <w:pPr>
        <w:pStyle w:val="BodyText"/>
        <w:spacing w:line="240" w:lineRule="auto"/>
        <w:ind w:right="0"/>
        <w:jc w:val="both"/>
      </w:pPr>
      <w:r>
        <w:rPr/>
        <w:t>当与合同成本有关的资产的账面价值高于下列两项的差额时</w:t>
      </w:r>
      <w:r>
        <w:rPr>
          <w:spacing w:val="-79"/>
        </w:rPr>
        <w:t>，</w:t>
      </w:r>
      <w:r>
        <w:rPr/>
        <w:t>本集团对超出部分计提减值准备</w:t>
      </w:r>
      <w:r>
        <w:rPr>
          <w:spacing w:val="-79"/>
        </w:rPr>
        <w:t>，</w:t>
      </w:r>
      <w:r>
        <w:rPr/>
        <w:t>并确认为资产减值损</w:t>
      </w:r>
      <w:r>
        <w:rPr>
          <w:spacing w:val="-40"/>
        </w:rPr>
        <w:t>失</w:t>
      </w:r>
      <w:r>
        <w:rPr/>
        <w:t>：</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本集团因转让与该资产相关的商品或服务预期能够取得的剩余对价；</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为转让该相关商品或服务估计将要发生的成本。</w:t>
      </w:r>
    </w:p>
    <w:p>
      <w:pPr>
        <w:spacing w:after="0" w:line="240" w:lineRule="auto"/>
        <w:jc w:val="both"/>
        <w:sectPr>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27" w:right="125"/>
        <w:jc w:val="left"/>
      </w:pPr>
      <w:r>
        <w:rPr/>
        <w:t>26、政府补助</w:t>
      </w:r>
    </w:p>
    <w:p>
      <w:pPr>
        <w:spacing w:line="240" w:lineRule="auto" w:before="12"/>
        <w:rPr>
          <w:rFonts w:ascii="宋体" w:hAnsi="宋体" w:cs="宋体" w:eastAsia="宋体" w:hint="default"/>
          <w:sz w:val="17"/>
          <w:szCs w:val="17"/>
        </w:rPr>
      </w:pPr>
    </w:p>
    <w:p>
      <w:pPr>
        <w:pStyle w:val="BodyText"/>
        <w:spacing w:line="458" w:lineRule="auto"/>
        <w:ind w:left="468" w:right="125"/>
        <w:jc w:val="left"/>
      </w:pPr>
      <w:r>
        <w:rPr/>
        <w:t>政府补助是本集团从政府无偿取得的货币性资产或非货币性资产，但不包括政府以投资者身份向本集团投入的资本。 政府补助在能够满足政府补助所附条件，并能够收到时，予以确认。 政府补助为货币性资产的，按照收到或应收的金额计量。政府补助为非货币性资产的，按照公允价值计量。</w:t>
      </w:r>
    </w:p>
    <w:p>
      <w:pPr>
        <w:pStyle w:val="BodyText"/>
        <w:spacing w:line="285" w:lineRule="auto" w:before="50"/>
        <w:ind w:left="468" w:right="112"/>
        <w:jc w:val="both"/>
      </w:pPr>
      <w:r>
        <w:rPr/>
        <w:t>本集团取得的、用于购建或以其他方式形成长期资产的政府补助作为与资产相关的政府补助。本集团取得的与资产相</w:t>
      </w:r>
      <w:r>
        <w:rPr>
          <w:spacing w:val="7"/>
        </w:rPr>
        <w:t> </w:t>
      </w:r>
      <w:r>
        <w:rPr>
          <w:spacing w:val="7"/>
        </w:rPr>
      </w:r>
      <w:r>
        <w:rPr/>
        <w:t>关之外的其他政府补助作为与收益相关的政府补助。与资产相关的政府补助，本集团将其确认为递延收益，并在相关</w:t>
      </w:r>
      <w:r>
        <w:rPr>
          <w:spacing w:val="5"/>
        </w:rPr>
        <w:t> </w:t>
      </w:r>
      <w:r>
        <w:rPr>
          <w:spacing w:val="5"/>
        </w:rPr>
      </w:r>
      <w:r>
        <w:rPr/>
        <w:t>资产使用寿命内按照合理、系统的方法分期计入其他收益或营业外收入。与收益相关的政府补助，如果用于补偿本集</w:t>
      </w:r>
      <w:r>
        <w:rPr>
          <w:spacing w:val="5"/>
        </w:rPr>
        <w:t> </w:t>
      </w:r>
      <w:r>
        <w:rPr>
          <w:spacing w:val="5"/>
        </w:rPr>
      </w:r>
      <w:r>
        <w:rPr/>
        <w:t>团以后期间的相关成本费用或损失的，本集团将其确认为递延收益，并在确认相关成本费用或损失的期间，计入其他</w:t>
      </w:r>
      <w:r>
        <w:rPr>
          <w:spacing w:val="5"/>
        </w:rPr>
        <w:t> </w:t>
      </w:r>
      <w:r>
        <w:rPr>
          <w:spacing w:val="5"/>
        </w:rPr>
      </w:r>
      <w:r>
        <w:rPr/>
        <w:t>收益或营业外收入；如果用于补偿本集团已发生的相关成本费用或损失的，则直接计入其他收益或营业外收入。</w:t>
      </w:r>
    </w:p>
    <w:p>
      <w:pPr>
        <w:spacing w:line="240" w:lineRule="auto" w:before="10"/>
        <w:rPr>
          <w:rFonts w:ascii="宋体" w:hAnsi="宋体" w:cs="宋体" w:eastAsia="宋体" w:hint="default"/>
          <w:sz w:val="13"/>
          <w:szCs w:val="13"/>
        </w:rPr>
      </w:pPr>
    </w:p>
    <w:p>
      <w:pPr>
        <w:pStyle w:val="BodyText"/>
        <w:spacing w:line="285" w:lineRule="auto"/>
        <w:ind w:left="468" w:right="112"/>
        <w:jc w:val="both"/>
      </w:pPr>
      <w:r>
        <w:rPr/>
        <w:t>对于本集团取得的政策性优惠借款贴息，如果财政将贴息资金拨付给贷款银行，本集团以借款的公允价值作为借款的</w:t>
      </w:r>
      <w:r>
        <w:rPr>
          <w:spacing w:val="7"/>
        </w:rPr>
        <w:t> </w:t>
      </w:r>
      <w:r>
        <w:rPr>
          <w:spacing w:val="7"/>
        </w:rPr>
      </w:r>
      <w:r>
        <w:rPr/>
        <w:t>入账价值并按照实际利率法计算借款费用，实际收到的金额与借款公允价值之间的差额确认为递延收益，递延收益在</w:t>
      </w:r>
      <w:r>
        <w:rPr>
          <w:spacing w:val="7"/>
        </w:rPr>
        <w:t> </w:t>
      </w:r>
      <w:r>
        <w:rPr>
          <w:spacing w:val="7"/>
        </w:rPr>
      </w:r>
      <w:r>
        <w:rPr/>
        <w:t>借款存续期内采用实际利率法摊销，冲减相关借款费用；如果财政将贴息资金直接拨付给本集团，则将对应的贴息冲</w:t>
      </w:r>
      <w:r>
        <w:rPr>
          <w:spacing w:val="5"/>
        </w:rPr>
        <w:t> </w:t>
      </w:r>
      <w:r>
        <w:rPr>
          <w:spacing w:val="5"/>
        </w:rPr>
      </w:r>
      <w:r>
        <w:rPr/>
        <w:t>减相关借款费用。</w:t>
      </w:r>
    </w:p>
    <w:p>
      <w:pPr>
        <w:spacing w:after="0" w:line="285" w:lineRule="auto"/>
        <w:jc w:val="both"/>
        <w:sectPr>
          <w:pgSz w:w="11910" w:h="16160"/>
          <w:pgMar w:header="1200" w:footer="320" w:top="2120" w:bottom="520" w:left="680" w:right="1340"/>
        </w:sectPr>
      </w:pPr>
    </w:p>
    <w:p>
      <w:pPr>
        <w:spacing w:line="240" w:lineRule="auto" w:before="3"/>
        <w:rPr>
          <w:rFonts w:ascii="宋体" w:hAnsi="宋体" w:cs="宋体" w:eastAsia="宋体" w:hint="default"/>
          <w:sz w:val="14"/>
          <w:szCs w:val="14"/>
        </w:rPr>
      </w:pPr>
    </w:p>
    <w:p>
      <w:pPr>
        <w:pStyle w:val="BodyText"/>
        <w:spacing w:line="240" w:lineRule="auto" w:before="31"/>
        <w:ind w:left="114" w:right="95"/>
        <w:jc w:val="left"/>
      </w:pPr>
      <w:r>
        <w:rPr/>
        <w:t>27、递延所得税资产和递延所得税负债</w:t>
      </w:r>
    </w:p>
    <w:p>
      <w:pPr>
        <w:spacing w:line="240" w:lineRule="auto" w:before="12"/>
        <w:rPr>
          <w:rFonts w:ascii="宋体" w:hAnsi="宋体" w:cs="宋体" w:eastAsia="宋体" w:hint="default"/>
          <w:sz w:val="17"/>
          <w:szCs w:val="17"/>
        </w:rPr>
      </w:pPr>
    </w:p>
    <w:p>
      <w:pPr>
        <w:pStyle w:val="BodyText"/>
        <w:spacing w:line="285" w:lineRule="auto"/>
        <w:ind w:right="108"/>
        <w:jc w:val="both"/>
      </w:pPr>
      <w:r>
        <w:rPr/>
        <w:t>资产负债表日，如果本集团拥有以净额结算的法定权利并且意图以净额结算或取得资产、清偿负债同时进行时，那么</w:t>
      </w:r>
      <w:r>
        <w:rPr>
          <w:spacing w:val="5"/>
        </w:rPr>
        <w:t> </w:t>
      </w:r>
      <w:r>
        <w:rPr>
          <w:spacing w:val="5"/>
        </w:rPr>
      </w:r>
      <w:r>
        <w:rPr/>
        <w:t>当期所得税资产及当期所得税负债以抵销后的净额列示。</w:t>
      </w:r>
    </w:p>
    <w:p>
      <w:pPr>
        <w:spacing w:line="240" w:lineRule="auto" w:before="10"/>
        <w:rPr>
          <w:rFonts w:ascii="宋体" w:hAnsi="宋体" w:cs="宋体" w:eastAsia="宋体" w:hint="default"/>
          <w:sz w:val="13"/>
          <w:szCs w:val="13"/>
        </w:rPr>
      </w:pPr>
    </w:p>
    <w:p>
      <w:pPr>
        <w:pStyle w:val="BodyText"/>
        <w:spacing w:line="285" w:lineRule="auto"/>
        <w:ind w:right="105"/>
        <w:jc w:val="both"/>
      </w:pPr>
      <w:r>
        <w:rPr/>
        <w:t>递延所得税资产与递延所得税负债分别根据可抵扣暂时性差异和应纳税暂时性差异确定。暂时性差异是指资产或负债</w:t>
      </w:r>
      <w:r>
        <w:rPr>
          <w:spacing w:val="9"/>
        </w:rPr>
        <w:t> </w:t>
      </w:r>
      <w:r>
        <w:rPr>
          <w:spacing w:val="9"/>
        </w:rPr>
      </w:r>
      <w:r>
        <w:rPr/>
        <w:t>的账面价值与其计税基础之间的差额，包括能够结转以后年度的可抵扣亏损和税款抵减。递延所得税资产的确认以很</w:t>
      </w:r>
      <w:r>
        <w:rPr>
          <w:spacing w:val="7"/>
        </w:rPr>
        <w:t> </w:t>
      </w:r>
      <w:r>
        <w:rPr>
          <w:spacing w:val="7"/>
        </w:rPr>
      </w:r>
      <w:r>
        <w:rPr/>
        <w:t>可能取得用来抵扣可抵扣暂时性差异的应纳税所得额为限。</w:t>
      </w:r>
    </w:p>
    <w:p>
      <w:pPr>
        <w:spacing w:line="240" w:lineRule="auto" w:before="10"/>
        <w:rPr>
          <w:rFonts w:ascii="宋体" w:hAnsi="宋体" w:cs="宋体" w:eastAsia="宋体" w:hint="default"/>
          <w:sz w:val="13"/>
          <w:szCs w:val="13"/>
        </w:rPr>
      </w:pPr>
    </w:p>
    <w:p>
      <w:pPr>
        <w:pStyle w:val="BodyText"/>
        <w:spacing w:line="285" w:lineRule="auto"/>
        <w:ind w:right="105"/>
        <w:jc w:val="both"/>
      </w:pPr>
      <w:r>
        <w:rPr/>
        <w:t>对与子公司、联营企业及合营企业投资相关的应纳税暂时性差异，确认递延所得税负债，除非本集团能够控制该暂时</w:t>
      </w:r>
      <w:r>
        <w:rPr>
          <w:spacing w:val="5"/>
        </w:rPr>
        <w:t> </w:t>
      </w:r>
      <w:r>
        <w:rPr>
          <w:spacing w:val="5"/>
        </w:rPr>
      </w:r>
      <w:r>
        <w:rPr/>
        <w:t>性差异转回的时间且该暂时性差异在可预见的未来很可能不会转回。对与子公司、联营企业及合营企业投资相关的可</w:t>
      </w:r>
      <w:r>
        <w:rPr>
          <w:spacing w:val="7"/>
        </w:rPr>
        <w:t> </w:t>
      </w:r>
      <w:r>
        <w:rPr>
          <w:spacing w:val="7"/>
        </w:rPr>
      </w:r>
      <w:r>
        <w:rPr/>
        <w:t>抵扣暂时性差异，当该暂时性差异在可预见的未来很可能转回且未来很可能获得用来抵扣可抵扣暂时性差异的应纳税</w:t>
      </w:r>
      <w:r>
        <w:rPr>
          <w:spacing w:val="9"/>
        </w:rPr>
        <w:t> </w:t>
      </w:r>
      <w:r>
        <w:rPr>
          <w:spacing w:val="9"/>
        </w:rPr>
      </w:r>
      <w:r>
        <w:rPr/>
        <w:t>所得额时，确认递延所得税资产。</w:t>
      </w:r>
    </w:p>
    <w:p>
      <w:pPr>
        <w:spacing w:line="240" w:lineRule="auto" w:before="10"/>
        <w:rPr>
          <w:rFonts w:ascii="宋体" w:hAnsi="宋体" w:cs="宋体" w:eastAsia="宋体" w:hint="default"/>
          <w:sz w:val="13"/>
          <w:szCs w:val="13"/>
        </w:rPr>
      </w:pPr>
    </w:p>
    <w:p>
      <w:pPr>
        <w:pStyle w:val="BodyText"/>
        <w:spacing w:line="285" w:lineRule="auto"/>
        <w:ind w:right="105"/>
        <w:jc w:val="both"/>
      </w:pPr>
      <w:r>
        <w:rPr/>
        <w:t>资产负债表日，本集团对递延所得税资产的账面价值进行复核。如果未来期间很可能无法获得足够的应纳税所得额用</w:t>
      </w:r>
      <w:r>
        <w:rPr>
          <w:spacing w:val="7"/>
        </w:rPr>
        <w:t> </w:t>
      </w:r>
      <w:r>
        <w:rPr>
          <w:spacing w:val="7"/>
        </w:rPr>
      </w:r>
      <w:r>
        <w:rPr/>
        <w:t>以抵扣递延所得税资产的利益，则减记递延所得税资产的账面价值。在很可能获得足够的应纳税所得额时，减记的金</w:t>
      </w:r>
      <w:r>
        <w:rPr>
          <w:spacing w:val="5"/>
        </w:rPr>
        <w:t> </w:t>
      </w:r>
      <w:r>
        <w:rPr>
          <w:spacing w:val="5"/>
        </w:rPr>
      </w:r>
      <w:r>
        <w:rPr/>
        <w:t>额予以转回。</w:t>
      </w:r>
    </w:p>
    <w:p>
      <w:pPr>
        <w:spacing w:line="240" w:lineRule="auto" w:before="10"/>
        <w:rPr>
          <w:rFonts w:ascii="宋体" w:hAnsi="宋体" w:cs="宋体" w:eastAsia="宋体" w:hint="default"/>
          <w:sz w:val="13"/>
          <w:szCs w:val="13"/>
        </w:rPr>
      </w:pPr>
    </w:p>
    <w:p>
      <w:pPr>
        <w:pStyle w:val="BodyText"/>
        <w:spacing w:line="240" w:lineRule="auto"/>
        <w:ind w:right="0"/>
        <w:jc w:val="both"/>
      </w:pPr>
      <w:r>
        <w:rPr/>
        <w:t>资产负债表日，递延所得税资产及递延所得税负债在同时满足以下条件时以抵销后的净额列示：</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纳税主体拥有以净额结算当期所得税资产及当期所得税负债的法定权利；</w:t>
      </w:r>
    </w:p>
    <w:p>
      <w:pPr>
        <w:spacing w:line="240" w:lineRule="auto" w:before="5"/>
        <w:rPr>
          <w:rFonts w:ascii="宋体" w:hAnsi="宋体" w:cs="宋体" w:eastAsia="宋体" w:hint="default"/>
          <w:sz w:val="16"/>
          <w:szCs w:val="16"/>
        </w:rPr>
      </w:pPr>
    </w:p>
    <w:p>
      <w:pPr>
        <w:pStyle w:val="BodyText"/>
        <w:spacing w:line="285" w:lineRule="auto"/>
        <w:ind w:right="105"/>
        <w:jc w:val="both"/>
      </w:pPr>
      <w:r>
        <w:rPr/>
        <w:t>-</w:t>
      </w:r>
      <w:r>
        <w:rPr>
          <w:spacing w:val="62"/>
        </w:rPr>
        <w:t> </w:t>
      </w:r>
      <w:r>
        <w:rPr/>
        <w:t>递延所得税资产及递延所得税负债是与同一税收征管部门对同一纳税主体征收的所得税相关或者是对不同的纳税主</w:t>
      </w:r>
      <w:r>
        <w:rPr>
          <w:spacing w:val="-82"/>
        </w:rPr>
        <w:t> </w:t>
      </w:r>
      <w:r>
        <w:rPr>
          <w:spacing w:val="-82"/>
        </w:rPr>
      </w:r>
      <w:r>
        <w:rPr/>
        <w:t>体相关，但在未来每一具有重要性的递延所得税资产及负债转回的期间内，涉及的纳税主体意图以净额结算当期所得</w:t>
      </w:r>
      <w:r>
        <w:rPr>
          <w:spacing w:val="7"/>
        </w:rPr>
        <w:t> </w:t>
      </w:r>
      <w:r>
        <w:rPr>
          <w:spacing w:val="7"/>
        </w:rPr>
      </w:r>
      <w:r>
        <w:rPr>
          <w:w w:val="105"/>
        </w:rPr>
        <w:t>税资产和负债或是同时取得资产、清偿负债。</w:t>
      </w:r>
    </w:p>
    <w:p>
      <w:pPr>
        <w:spacing w:after="0" w:line="285" w:lineRule="auto"/>
        <w:jc w:val="both"/>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87"/>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27" w:right="87"/>
        <w:jc w:val="left"/>
      </w:pPr>
      <w:r>
        <w:rPr>
          <w:w w:val="105"/>
        </w:rPr>
        <w:t>28、租赁</w:t>
      </w:r>
      <w:r>
        <w:rPr/>
      </w:r>
    </w:p>
    <w:p>
      <w:pPr>
        <w:spacing w:line="240" w:lineRule="auto" w:before="12"/>
        <w:rPr>
          <w:rFonts w:ascii="宋体" w:hAnsi="宋体" w:cs="宋体" w:eastAsia="宋体" w:hint="default"/>
          <w:sz w:val="17"/>
          <w:szCs w:val="17"/>
        </w:rPr>
      </w:pPr>
    </w:p>
    <w:p>
      <w:pPr>
        <w:pStyle w:val="BodyText"/>
        <w:spacing w:line="458" w:lineRule="auto"/>
        <w:ind w:left="127" w:right="1898" w:firstLine="340"/>
        <w:jc w:val="left"/>
      </w:pPr>
      <w:r>
        <w:rPr/>
        <w:t>实质上转移了与资产所有权有关的全部风险和报酬的租赁为融资租赁。其他的租赁为经营租赁。 (a)</w:t>
      </w:r>
      <w:r>
        <w:rPr>
          <w:spacing w:val="-21"/>
        </w:rPr>
        <w:t> </w:t>
      </w:r>
      <w:r>
        <w:rPr/>
        <w:t>融资租赁</w:t>
      </w:r>
    </w:p>
    <w:p>
      <w:pPr>
        <w:pStyle w:val="BodyText"/>
        <w:spacing w:line="285" w:lineRule="auto" w:before="71"/>
        <w:ind w:left="468" w:right="187"/>
        <w:jc w:val="both"/>
      </w:pPr>
      <w:r>
        <w:rPr/>
        <w:t>以租赁资产的公允价值与最低租赁付款额的现值两者中较低者作为租入资产的入账价值。租入资产的入账价值与最低</w:t>
      </w:r>
      <w:r>
        <w:rPr>
          <w:spacing w:val="9"/>
        </w:rPr>
        <w:t> </w:t>
      </w:r>
      <w:r>
        <w:rPr>
          <w:spacing w:val="9"/>
        </w:rPr>
      </w:r>
      <w:r>
        <w:rPr/>
        <w:t>租赁付款额之间的差额作为未确认融资费用，在租赁期内按实际利率法摊销。最低租赁付款额扣除未确认融资费用后</w:t>
      </w:r>
      <w:r>
        <w:rPr>
          <w:spacing w:val="7"/>
        </w:rPr>
        <w:t> </w:t>
      </w:r>
      <w:r>
        <w:rPr>
          <w:spacing w:val="7"/>
        </w:rPr>
      </w:r>
      <w:r>
        <w:rPr/>
        <w:t>的余额作为长期应付款及一年内到期的非流动负债（一年内到期部分）列示。融资租赁租入资产按附注三 </w:t>
      </w:r>
      <w:r>
        <w:rPr>
          <w:spacing w:val="-1"/>
          <w:w w:val="83"/>
        </w:rPr>
        <w:t>(11)</w:t>
      </w:r>
      <w:r>
        <w:rPr>
          <w:spacing w:val="-32"/>
          <w:w w:val="83"/>
        </w:rPr>
        <w:t> </w:t>
      </w:r>
      <w:r>
        <w:rPr>
          <w:spacing w:val="1"/>
        </w:rPr>
        <w:t>所述的</w:t>
      </w:r>
      <w:r>
        <w:rPr/>
      </w:r>
    </w:p>
    <w:p>
      <w:pPr>
        <w:pStyle w:val="BodyText"/>
        <w:spacing w:line="285" w:lineRule="auto" w:before="10"/>
        <w:ind w:left="468" w:right="93"/>
        <w:jc w:val="left"/>
      </w:pPr>
      <w:r>
        <w:rPr>
          <w:spacing w:val="-7"/>
        </w:rPr>
        <w:t>折旧政策计提折旧，按附注三</w:t>
      </w:r>
      <w:r>
        <w:rPr>
          <w:spacing w:val="-45"/>
        </w:rPr>
        <w:t> </w:t>
      </w:r>
      <w:r>
        <w:rPr>
          <w:w w:val="83"/>
        </w:rPr>
        <w:t>(16)</w:t>
      </w:r>
      <w:r>
        <w:rPr>
          <w:spacing w:val="-30"/>
          <w:w w:val="83"/>
        </w:rPr>
        <w:t> </w:t>
      </w:r>
      <w:r>
        <w:rPr>
          <w:spacing w:val="-3"/>
        </w:rPr>
        <w:t>所述的会计政策计提减值准备。对能够合理确定租赁期届满时取得租入资产所有权的，</w:t>
      </w:r>
      <w:r>
        <w:rPr>
          <w:spacing w:val="-84"/>
        </w:rPr>
        <w:t> </w:t>
      </w:r>
      <w:r>
        <w:rPr>
          <w:spacing w:val="-84"/>
        </w:rPr>
      </w:r>
      <w:r>
        <w:rPr/>
        <w:t>租入资产在使用寿命内计提折旧。否则，租赁资产在租赁期与租赁资产使用寿命两者中较短的期间内计提折旧。本集</w:t>
      </w:r>
      <w:r>
        <w:rPr>
          <w:spacing w:val="5"/>
        </w:rPr>
        <w:t> </w:t>
      </w:r>
      <w:r>
        <w:rPr>
          <w:spacing w:val="5"/>
        </w:rPr>
      </w:r>
      <w:r>
        <w:rPr/>
        <w:t>团对未确认融资费用采用实际利率法在租赁期内各个期间进行分摊，并按照借款费用的原则处理。</w:t>
      </w:r>
    </w:p>
    <w:p>
      <w:pPr>
        <w:spacing w:line="240" w:lineRule="auto" w:before="10"/>
        <w:rPr>
          <w:rFonts w:ascii="宋体" w:hAnsi="宋体" w:cs="宋体" w:eastAsia="宋体" w:hint="default"/>
          <w:sz w:val="13"/>
          <w:szCs w:val="13"/>
        </w:rPr>
      </w:pPr>
    </w:p>
    <w:p>
      <w:pPr>
        <w:pStyle w:val="BodyText"/>
        <w:spacing w:line="240" w:lineRule="auto"/>
        <w:ind w:left="127" w:right="87"/>
        <w:jc w:val="left"/>
      </w:pPr>
      <w:r>
        <w:rPr/>
        <w:t>(b)</w:t>
      </w:r>
      <w:r>
        <w:rPr>
          <w:spacing w:val="-21"/>
        </w:rPr>
        <w:t> </w:t>
      </w:r>
      <w:r>
        <w:rPr/>
        <w:t>经营租赁</w:t>
      </w:r>
    </w:p>
    <w:p>
      <w:pPr>
        <w:spacing w:line="240" w:lineRule="auto" w:before="12"/>
        <w:rPr>
          <w:rFonts w:ascii="宋体" w:hAnsi="宋体" w:cs="宋体" w:eastAsia="宋体" w:hint="default"/>
          <w:sz w:val="17"/>
          <w:szCs w:val="17"/>
        </w:rPr>
      </w:pPr>
    </w:p>
    <w:p>
      <w:pPr>
        <w:pStyle w:val="BodyText"/>
        <w:spacing w:line="458" w:lineRule="auto"/>
        <w:ind w:left="127" w:right="3518" w:firstLine="340"/>
        <w:jc w:val="left"/>
      </w:pPr>
      <w:r>
        <w:rPr/>
        <w:t>经营租赁的租金支出在租赁期内按照直线法计入相关资产成本或当期损益。 (c)</w:t>
      </w:r>
      <w:r>
        <w:rPr>
          <w:spacing w:val="-21"/>
        </w:rPr>
        <w:t> </w:t>
      </w:r>
      <w:r>
        <w:rPr/>
        <w:t>售后租回</w:t>
      </w:r>
    </w:p>
    <w:p>
      <w:pPr>
        <w:pStyle w:val="BodyText"/>
        <w:spacing w:line="285" w:lineRule="auto" w:before="71"/>
        <w:ind w:left="468" w:right="187"/>
        <w:jc w:val="both"/>
      </w:pPr>
      <w:r>
        <w:rPr/>
        <w:t>在某些情况下，本集团会进行售后租回的业务安排，将特定资产出售并租回其中的部分资产。本集团对类似交易的实</w:t>
      </w:r>
      <w:r>
        <w:rPr>
          <w:spacing w:val="5"/>
        </w:rPr>
        <w:t> </w:t>
      </w:r>
      <w:r>
        <w:rPr>
          <w:spacing w:val="5"/>
        </w:rPr>
      </w:r>
      <w:r>
        <w:rPr>
          <w:spacing w:val="1"/>
          <w:w w:val="97"/>
        </w:rPr>
        <w:t>质进行复核，判断售后租回交易应当被分类为经营租赁或融资租赁。售后租回交易认定为经营租赁的，i)</w:t>
      </w:r>
      <w:r>
        <w:rPr>
          <w:w w:val="97"/>
        </w:rPr>
        <w:t> </w:t>
      </w:r>
      <w:r>
        <w:rPr>
          <w:spacing w:val="2"/>
        </w:rPr>
        <w:t>除支付经营</w:t>
      </w:r>
      <w:r>
        <w:rPr>
          <w:spacing w:val="11"/>
        </w:rPr>
        <w:t> </w:t>
      </w:r>
      <w:r>
        <w:rPr>
          <w:spacing w:val="11"/>
        </w:rPr>
      </w:r>
      <w:r>
        <w:rPr>
          <w:w w:val="95"/>
        </w:rPr>
        <w:t>租赁费用以外，本集团基本不参与或极少参与这些资产的后续安排；ii) </w:t>
      </w:r>
      <w:r>
        <w:rPr/>
        <w:t>本集团以公允价值达成售后租回交易，与出售</w:t>
      </w:r>
      <w:r>
        <w:rPr>
          <w:spacing w:val="-22"/>
        </w:rPr>
        <w:t> </w:t>
      </w:r>
      <w:r>
        <w:rPr>
          <w:spacing w:val="-22"/>
        </w:rPr>
      </w:r>
      <w:r>
        <w:rPr/>
        <w:t>资产相关的收益或损失在扣除如附注三</w:t>
      </w:r>
      <w:r>
        <w:rPr>
          <w:spacing w:val="-26"/>
        </w:rPr>
        <w:t> </w:t>
      </w:r>
      <w:r>
        <w:rPr>
          <w:spacing w:val="-1"/>
          <w:w w:val="79"/>
        </w:rPr>
        <w:t>(10)(b)</w:t>
      </w:r>
      <w:r>
        <w:rPr>
          <w:spacing w:val="-8"/>
          <w:w w:val="79"/>
        </w:rPr>
        <w:t> </w:t>
      </w:r>
      <w:r>
        <w:rPr/>
        <w:t>所述的未实现内部交易损益后，计入当期损益；售后租回交易认定为融</w:t>
      </w:r>
      <w:r>
        <w:rPr>
          <w:spacing w:val="-80"/>
        </w:rPr>
        <w:t> </w:t>
      </w:r>
      <w:r>
        <w:rPr>
          <w:spacing w:val="-80"/>
        </w:rPr>
      </w:r>
      <w:r>
        <w:rPr/>
        <w:t>资租赁的，与出售资产相关的收益或损失予以递延，并在租赁期内计入当期损益。</w:t>
      </w:r>
    </w:p>
    <w:p>
      <w:pPr>
        <w:spacing w:line="240" w:lineRule="auto" w:before="10"/>
        <w:rPr>
          <w:rFonts w:ascii="宋体" w:hAnsi="宋体" w:cs="宋体" w:eastAsia="宋体" w:hint="default"/>
          <w:sz w:val="13"/>
          <w:szCs w:val="13"/>
        </w:rPr>
      </w:pPr>
    </w:p>
    <w:p>
      <w:pPr>
        <w:pStyle w:val="BodyText"/>
        <w:spacing w:line="240" w:lineRule="auto"/>
        <w:ind w:left="127" w:right="87"/>
        <w:jc w:val="left"/>
      </w:pPr>
      <w:r>
        <w:rPr/>
        <w:t>29、分部信息</w:t>
      </w:r>
    </w:p>
    <w:p>
      <w:pPr>
        <w:spacing w:line="240" w:lineRule="auto" w:before="12"/>
        <w:rPr>
          <w:rFonts w:ascii="宋体" w:hAnsi="宋体" w:cs="宋体" w:eastAsia="宋体" w:hint="default"/>
          <w:sz w:val="17"/>
          <w:szCs w:val="17"/>
        </w:rPr>
      </w:pPr>
    </w:p>
    <w:p>
      <w:pPr>
        <w:pStyle w:val="BodyText"/>
        <w:spacing w:line="285" w:lineRule="auto"/>
        <w:ind w:left="468" w:right="189"/>
        <w:jc w:val="both"/>
      </w:pPr>
      <w:r>
        <w:rPr/>
        <w:t>本集团以内部组织结构、管理要求、内部报告制度为依据确定经营分部，以经营分部为基础确定报告分部并披露分部</w:t>
      </w:r>
      <w:r>
        <w:rPr>
          <w:spacing w:val="5"/>
        </w:rPr>
        <w:t> </w:t>
      </w:r>
      <w:r>
        <w:rPr>
          <w:spacing w:val="5"/>
        </w:rPr>
      </w:r>
      <w:r>
        <w:rPr/>
        <w:t>信息。</w:t>
      </w:r>
    </w:p>
    <w:p>
      <w:pPr>
        <w:spacing w:line="240" w:lineRule="auto" w:before="10"/>
        <w:rPr>
          <w:rFonts w:ascii="宋体" w:hAnsi="宋体" w:cs="宋体" w:eastAsia="宋体" w:hint="default"/>
          <w:sz w:val="13"/>
          <w:szCs w:val="13"/>
        </w:rPr>
      </w:pPr>
    </w:p>
    <w:p>
      <w:pPr>
        <w:pStyle w:val="BodyText"/>
        <w:spacing w:line="285" w:lineRule="auto"/>
        <w:ind w:left="468" w:right="189"/>
        <w:jc w:val="both"/>
      </w:pPr>
      <w:r>
        <w:rPr/>
        <w:t>如果两个或多个经营分部存在相似经济特征且同时在各单项产品或劳务的性质、生产过程的性质、产品或劳务的用户</w:t>
      </w:r>
      <w:r>
        <w:rPr>
          <w:spacing w:val="7"/>
        </w:rPr>
        <w:t> </w:t>
      </w:r>
      <w:r>
        <w:rPr>
          <w:spacing w:val="7"/>
        </w:rPr>
      </w:r>
      <w:r>
        <w:rPr/>
        <w:t>类型、销售产品或提供劳务的方式、生产产品及提供劳务受法律及行政法规的影响等方面具有相同或相似性的，可以</w:t>
      </w:r>
      <w:r>
        <w:rPr>
          <w:spacing w:val="5"/>
        </w:rPr>
        <w:t> </w:t>
      </w:r>
      <w:r>
        <w:rPr>
          <w:spacing w:val="5"/>
        </w:rPr>
      </w:r>
      <w:r>
        <w:rPr/>
        <w:t>合并为一个经营分部。</w:t>
      </w:r>
    </w:p>
    <w:p>
      <w:pPr>
        <w:spacing w:line="240" w:lineRule="auto" w:before="10"/>
        <w:rPr>
          <w:rFonts w:ascii="宋体" w:hAnsi="宋体" w:cs="宋体" w:eastAsia="宋体" w:hint="default"/>
          <w:sz w:val="13"/>
          <w:szCs w:val="13"/>
        </w:rPr>
      </w:pPr>
    </w:p>
    <w:p>
      <w:pPr>
        <w:pStyle w:val="BodyText"/>
        <w:spacing w:line="240" w:lineRule="auto"/>
        <w:ind w:left="127" w:right="87"/>
        <w:jc w:val="left"/>
      </w:pPr>
      <w:r>
        <w:rPr/>
        <w:t>30、非货币性资产交换</w:t>
      </w:r>
    </w:p>
    <w:p>
      <w:pPr>
        <w:spacing w:line="240" w:lineRule="auto" w:before="12"/>
        <w:rPr>
          <w:rFonts w:ascii="宋体" w:hAnsi="宋体" w:cs="宋体" w:eastAsia="宋体" w:hint="default"/>
          <w:sz w:val="17"/>
          <w:szCs w:val="17"/>
        </w:rPr>
      </w:pPr>
    </w:p>
    <w:p>
      <w:pPr>
        <w:pStyle w:val="BodyText"/>
        <w:spacing w:line="285" w:lineRule="auto"/>
        <w:ind w:left="468" w:right="189"/>
        <w:jc w:val="both"/>
      </w:pPr>
      <w:r>
        <w:rPr/>
        <w:t>本集团在与第三方通过存货、固定资产等非货币性资产进行交换时，不涉及或仅涉及少量货币性资产（即补价）时， 对该等交易按照非货币性资产交换进行处理。非货币性资产交换同时满足</w:t>
      </w:r>
      <w:r>
        <w:rPr>
          <w:spacing w:val="-36"/>
        </w:rPr>
        <w:t> </w:t>
      </w:r>
      <w:r>
        <w:rPr>
          <w:spacing w:val="-1"/>
          <w:w w:val="73"/>
        </w:rPr>
        <w:t>(1)</w:t>
      </w:r>
      <w:r>
        <w:rPr>
          <w:spacing w:val="-13"/>
          <w:w w:val="73"/>
        </w:rPr>
        <w:t> </w:t>
      </w:r>
      <w:r>
        <w:rPr/>
        <w:t>该项交换具有商业实质，及</w:t>
      </w:r>
      <w:r>
        <w:rPr>
          <w:spacing w:val="-36"/>
        </w:rPr>
        <w:t> </w:t>
      </w:r>
      <w:r>
        <w:rPr>
          <w:spacing w:val="-1"/>
          <w:w w:val="73"/>
        </w:rPr>
        <w:t>(2)</w:t>
      </w:r>
      <w:r>
        <w:rPr>
          <w:spacing w:val="-13"/>
          <w:w w:val="73"/>
        </w:rPr>
        <w:t> </w:t>
      </w:r>
      <w:r>
        <w:rPr>
          <w:spacing w:val="1"/>
        </w:rPr>
        <w:t>换入资产</w:t>
      </w:r>
      <w:r>
        <w:rPr>
          <w:spacing w:val="-84"/>
        </w:rPr>
        <w:t> </w:t>
      </w:r>
      <w:r>
        <w:rPr>
          <w:spacing w:val="-84"/>
        </w:rPr>
      </w:r>
      <w:r>
        <w:rPr>
          <w:spacing w:val="-2"/>
        </w:rPr>
        <w:t>或换出资产的公允价值能够可靠地计量这两项条件的，以换出资产公允价值和应支付的相关税费作为换入资产的成本，</w:t>
      </w:r>
      <w:r>
        <w:rPr>
          <w:spacing w:val="-63"/>
        </w:rPr>
        <w:t> </w:t>
      </w:r>
      <w:r>
        <w:rPr>
          <w:spacing w:val="-63"/>
        </w:rPr>
      </w:r>
      <w:r>
        <w:rPr/>
        <w:t>公允价值与换出资产账面价值的差额计入当期损益；未同时满足上述两项条件的非货币性资产交换，以换出资产的账</w:t>
      </w:r>
      <w:r>
        <w:rPr>
          <w:spacing w:val="7"/>
        </w:rPr>
        <w:t> </w:t>
      </w:r>
      <w:r>
        <w:rPr>
          <w:spacing w:val="7"/>
        </w:rPr>
      </w:r>
      <w:r>
        <w:rPr/>
        <w:t>面价值和应支付的相关税费作为换入资产的成本，不确认损益。</w:t>
      </w:r>
    </w:p>
    <w:p>
      <w:pPr>
        <w:spacing w:after="0" w:line="285" w:lineRule="auto"/>
        <w:jc w:val="both"/>
        <w:sectPr>
          <w:pgSz w:w="11910" w:h="16160"/>
          <w:pgMar w:header="1200" w:footer="320" w:top="2120" w:bottom="520" w:left="680" w:right="1280"/>
        </w:sectPr>
      </w:pPr>
    </w:p>
    <w:p>
      <w:pPr>
        <w:spacing w:line="240" w:lineRule="auto" w:before="3"/>
        <w:rPr>
          <w:rFonts w:ascii="宋体" w:hAnsi="宋体" w:cs="宋体" w:eastAsia="宋体" w:hint="default"/>
          <w:sz w:val="14"/>
          <w:szCs w:val="14"/>
        </w:rPr>
      </w:pPr>
    </w:p>
    <w:p>
      <w:pPr>
        <w:pStyle w:val="BodyText"/>
        <w:spacing w:line="240" w:lineRule="auto" w:before="31"/>
        <w:ind w:left="114" w:right="95"/>
        <w:jc w:val="left"/>
      </w:pPr>
      <w:r>
        <w:rPr/>
        <w:t>31、与少数股东之间的交易</w:t>
      </w:r>
    </w:p>
    <w:p>
      <w:pPr>
        <w:spacing w:line="240" w:lineRule="auto" w:before="12"/>
        <w:rPr>
          <w:rFonts w:ascii="宋体" w:hAnsi="宋体" w:cs="宋体" w:eastAsia="宋体" w:hint="default"/>
          <w:sz w:val="17"/>
          <w:szCs w:val="17"/>
        </w:rPr>
      </w:pPr>
    </w:p>
    <w:p>
      <w:pPr>
        <w:pStyle w:val="BodyText"/>
        <w:spacing w:line="285" w:lineRule="auto"/>
        <w:ind w:right="123"/>
        <w:jc w:val="both"/>
      </w:pPr>
      <w:r>
        <w:rPr/>
        <w:t>在不影响控制权的情况下，导致本公司对子公司持股比例发生变化的交易属于与少数股东之间的交易。对于与少数股</w:t>
      </w:r>
      <w:r>
        <w:rPr>
          <w:spacing w:val="7"/>
        </w:rPr>
        <w:t> </w:t>
      </w:r>
      <w:r>
        <w:rPr>
          <w:spacing w:val="7"/>
        </w:rPr>
      </w:r>
      <w:r>
        <w:rPr/>
        <w:t>东之间的交易，在合并财务报表中，子公司的资产、负债以购买日或合并日开始持续计算的金额反映，增加或减少的</w:t>
      </w:r>
      <w:r>
        <w:rPr>
          <w:spacing w:val="1"/>
        </w:rPr>
        <w:t> </w:t>
      </w:r>
      <w:r>
        <w:rPr>
          <w:spacing w:val="1"/>
        </w:rPr>
      </w:r>
      <w:r>
        <w:rPr/>
        <w:t>长期股权投资与按照本公司新的持股比例计算应享有子公司自购买日或合并日开始持续计算的净资产份额之间的差额</w:t>
      </w:r>
      <w:r>
        <w:rPr>
          <w:spacing w:val="9"/>
        </w:rPr>
        <w:t> </w:t>
      </w:r>
      <w:r>
        <w:rPr>
          <w:spacing w:val="9"/>
        </w:rPr>
      </w:r>
      <w:r>
        <w:rPr/>
        <w:t>调整资本公积，资本公积的金额不足冲减的，调整留存收益。</w:t>
      </w:r>
    </w:p>
    <w:p>
      <w:pPr>
        <w:spacing w:line="240" w:lineRule="auto" w:before="10"/>
        <w:rPr>
          <w:rFonts w:ascii="宋体" w:hAnsi="宋体" w:cs="宋体" w:eastAsia="宋体" w:hint="default"/>
          <w:sz w:val="13"/>
          <w:szCs w:val="13"/>
        </w:rPr>
      </w:pPr>
    </w:p>
    <w:p>
      <w:pPr>
        <w:pStyle w:val="BodyText"/>
        <w:spacing w:line="240" w:lineRule="auto"/>
        <w:ind w:left="114" w:right="95"/>
        <w:jc w:val="left"/>
      </w:pPr>
      <w:r>
        <w:rPr/>
        <w:t>32、关联方</w:t>
      </w:r>
    </w:p>
    <w:p>
      <w:pPr>
        <w:spacing w:line="240" w:lineRule="auto" w:before="12"/>
        <w:rPr>
          <w:rFonts w:ascii="宋体" w:hAnsi="宋体" w:cs="宋体" w:eastAsia="宋体" w:hint="default"/>
          <w:sz w:val="17"/>
          <w:szCs w:val="17"/>
        </w:rPr>
      </w:pPr>
    </w:p>
    <w:p>
      <w:pPr>
        <w:pStyle w:val="BodyText"/>
        <w:spacing w:line="285" w:lineRule="auto"/>
        <w:ind w:right="125"/>
        <w:jc w:val="both"/>
      </w:pPr>
      <w:r>
        <w:rPr>
          <w:spacing w:val="-2"/>
        </w:rPr>
        <w:t>一方控制、共同控制另一方或对另一方施加重大影响，以及两方或两方以上同受一方控制、共同控制的，构成关联方。</w:t>
      </w:r>
      <w:r>
        <w:rPr>
          <w:spacing w:val="-66"/>
        </w:rPr>
        <w:t> </w:t>
      </w:r>
      <w:r>
        <w:rPr>
          <w:spacing w:val="-66"/>
        </w:rPr>
      </w:r>
      <w:r>
        <w:rPr/>
        <w:t>关联方可为个人或企业。仅仅同受国家控制而不存在其他关联方关系的企业，不构成关联方。</w:t>
      </w:r>
    </w:p>
    <w:p>
      <w:pPr>
        <w:spacing w:line="240" w:lineRule="auto" w:before="10"/>
        <w:rPr>
          <w:rFonts w:ascii="宋体" w:hAnsi="宋体" w:cs="宋体" w:eastAsia="宋体" w:hint="default"/>
          <w:sz w:val="13"/>
          <w:szCs w:val="13"/>
        </w:rPr>
      </w:pPr>
    </w:p>
    <w:p>
      <w:pPr>
        <w:pStyle w:val="BodyText"/>
        <w:spacing w:line="240" w:lineRule="auto"/>
        <w:ind w:right="0"/>
        <w:jc w:val="both"/>
      </w:pPr>
      <w:r>
        <w:rPr/>
        <w:t>此外，本公司同时根据证监会颁布的《上市公司信息披露管理办法》确定本集团或本公司的关联方。</w:t>
      </w:r>
    </w:p>
    <w:p>
      <w:pPr>
        <w:spacing w:after="0" w:line="240" w:lineRule="auto"/>
        <w:jc w:val="both"/>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87"/>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27" w:right="87"/>
        <w:jc w:val="left"/>
      </w:pPr>
      <w:r>
        <w:rPr/>
        <w:t>33、会计政策变更</w:t>
      </w:r>
    </w:p>
    <w:p>
      <w:pPr>
        <w:spacing w:line="240" w:lineRule="auto" w:before="12"/>
        <w:rPr>
          <w:rFonts w:ascii="宋体" w:hAnsi="宋体" w:cs="宋体" w:eastAsia="宋体" w:hint="default"/>
          <w:sz w:val="17"/>
          <w:szCs w:val="17"/>
        </w:rPr>
      </w:pPr>
    </w:p>
    <w:p>
      <w:pPr>
        <w:pStyle w:val="BodyText"/>
        <w:spacing w:line="240" w:lineRule="auto"/>
        <w:ind w:left="127" w:right="87"/>
        <w:jc w:val="left"/>
      </w:pPr>
      <w:r>
        <w:rPr/>
        <w:t>(a)</w:t>
      </w:r>
      <w:r>
        <w:rPr>
          <w:spacing w:val="-21"/>
        </w:rPr>
        <w:t> </w:t>
      </w:r>
      <w:r>
        <w:rPr/>
        <w:t>变更的内容及原因</w:t>
      </w:r>
    </w:p>
    <w:p>
      <w:pPr>
        <w:spacing w:line="240" w:lineRule="auto" w:before="12"/>
        <w:rPr>
          <w:rFonts w:ascii="宋体" w:hAnsi="宋体" w:cs="宋体" w:eastAsia="宋体" w:hint="default"/>
          <w:sz w:val="17"/>
          <w:szCs w:val="17"/>
        </w:rPr>
      </w:pPr>
    </w:p>
    <w:p>
      <w:pPr>
        <w:pStyle w:val="BodyText"/>
        <w:spacing w:line="240" w:lineRule="auto"/>
        <w:ind w:left="468" w:right="0"/>
        <w:jc w:val="both"/>
      </w:pPr>
      <w:r>
        <w:rPr/>
        <w:t>财政部于</w:t>
      </w:r>
      <w:r>
        <w:rPr>
          <w:spacing w:val="-25"/>
        </w:rPr>
        <w:t> </w:t>
      </w:r>
      <w:r>
        <w:rPr/>
        <w:t>2017</w:t>
      </w:r>
      <w:r>
        <w:rPr>
          <w:spacing w:val="-27"/>
        </w:rPr>
        <w:t> </w:t>
      </w:r>
      <w:r>
        <w:rPr/>
        <w:t>年及</w:t>
      </w:r>
      <w:r>
        <w:rPr>
          <w:spacing w:val="-25"/>
        </w:rPr>
        <w:t> </w:t>
      </w:r>
      <w:r>
        <w:rPr/>
        <w:t>2018</w:t>
      </w:r>
      <w:r>
        <w:rPr>
          <w:spacing w:val="-27"/>
        </w:rPr>
        <w:t> </w:t>
      </w:r>
      <w:r>
        <w:rPr/>
        <w:t>年颁布了以下企业会计准则修订及解释：</w:t>
      </w:r>
    </w:p>
    <w:p>
      <w:pPr>
        <w:spacing w:line="240" w:lineRule="auto" w:before="5"/>
        <w:rPr>
          <w:rFonts w:ascii="宋体" w:hAnsi="宋体" w:cs="宋体" w:eastAsia="宋体" w:hint="default"/>
          <w:sz w:val="16"/>
          <w:szCs w:val="16"/>
        </w:rPr>
      </w:pPr>
    </w:p>
    <w:p>
      <w:pPr>
        <w:pStyle w:val="BodyText"/>
        <w:spacing w:line="240" w:lineRule="auto"/>
        <w:ind w:left="468" w:right="0"/>
        <w:jc w:val="both"/>
      </w:pPr>
      <w:r>
        <w:rPr/>
        <w:t>- 《企业会计准则第 14</w:t>
      </w:r>
      <w:r>
        <w:rPr>
          <w:spacing w:val="-35"/>
        </w:rPr>
        <w:t> </w:t>
      </w:r>
      <w:r>
        <w:rPr/>
        <w:t>号——收入（修订）》（“新收入准则”）</w:t>
      </w:r>
    </w:p>
    <w:p>
      <w:pPr>
        <w:spacing w:line="240" w:lineRule="auto" w:before="5"/>
        <w:rPr>
          <w:rFonts w:ascii="宋体" w:hAnsi="宋体" w:cs="宋体" w:eastAsia="宋体" w:hint="default"/>
          <w:sz w:val="16"/>
          <w:szCs w:val="16"/>
        </w:rPr>
      </w:pPr>
    </w:p>
    <w:p>
      <w:pPr>
        <w:pStyle w:val="BodyText"/>
        <w:spacing w:line="285" w:lineRule="auto"/>
        <w:ind w:left="468" w:right="193"/>
        <w:jc w:val="both"/>
      </w:pPr>
      <w:r>
        <w:rPr>
          <w:w w:val="131"/>
        </w:rPr>
        <w:t>-</w:t>
      </w:r>
      <w:r>
        <w:rPr>
          <w:spacing w:val="-52"/>
        </w:rPr>
        <w:t> </w:t>
      </w:r>
      <w:r>
        <w:rPr/>
        <w:t>《企业会计准则第</w:t>
      </w:r>
      <w:r>
        <w:rPr>
          <w:spacing w:val="-61"/>
        </w:rPr>
        <w:t> </w:t>
      </w:r>
      <w:r>
        <w:rPr>
          <w:w w:val="111"/>
        </w:rPr>
        <w:t>22</w:t>
      </w:r>
      <w:r>
        <w:rPr>
          <w:spacing w:val="-61"/>
        </w:rPr>
        <w:t> </w:t>
      </w:r>
      <w:r>
        <w:rPr/>
        <w:t>号——金融工具确认和计量</w:t>
      </w:r>
      <w:r>
        <w:rPr>
          <w:spacing w:val="-41"/>
        </w:rPr>
        <w:t> </w:t>
      </w:r>
      <w:r>
        <w:rPr>
          <w:w w:val="55"/>
        </w:rPr>
        <w:t>(</w:t>
      </w:r>
      <w:r>
        <w:rPr>
          <w:spacing w:val="-61"/>
        </w:rPr>
        <w:t> </w:t>
      </w:r>
      <w:r>
        <w:rPr/>
        <w:t>修订</w:t>
      </w:r>
      <w:r>
        <w:rPr>
          <w:spacing w:val="-61"/>
        </w:rPr>
        <w:t> </w:t>
      </w:r>
      <w:r>
        <w:rPr>
          <w:w w:val="55"/>
        </w:rPr>
        <w:t>)</w:t>
      </w:r>
      <w:r>
        <w:rPr>
          <w:spacing w:val="-62"/>
        </w:rPr>
        <w:t>》</w:t>
      </w:r>
      <w:r>
        <w:rPr>
          <w:spacing w:val="-123"/>
        </w:rPr>
        <w:t>、</w:t>
      </w:r>
      <w:r>
        <w:rPr/>
        <w:t>《企业会计准则第</w:t>
      </w:r>
      <w:r>
        <w:rPr>
          <w:spacing w:val="-61"/>
        </w:rPr>
        <w:t> </w:t>
      </w:r>
      <w:r>
        <w:rPr>
          <w:w w:val="111"/>
        </w:rPr>
        <w:t>23</w:t>
      </w:r>
      <w:r>
        <w:rPr>
          <w:spacing w:val="-61"/>
        </w:rPr>
        <w:t> </w:t>
      </w:r>
      <w:r>
        <w:rPr/>
        <w:t>号——</w:t>
      </w:r>
      <w:r>
        <w:rPr>
          <w:spacing w:val="-41"/>
        </w:rPr>
        <w:t> </w:t>
      </w:r>
      <w:r>
        <w:rPr/>
        <w:t>金融资产转移</w:t>
      </w:r>
      <w:r>
        <w:rPr>
          <w:spacing w:val="-41"/>
        </w:rPr>
        <w:t> </w:t>
      </w:r>
      <w:r>
        <w:rPr>
          <w:w w:val="55"/>
        </w:rPr>
        <w:t>(</w:t>
      </w:r>
      <w:r>
        <w:rPr>
          <w:spacing w:val="-61"/>
        </w:rPr>
        <w:t> </w:t>
      </w:r>
      <w:r>
        <w:rPr/>
        <w:t>修订</w:t>
      </w:r>
      <w:r>
        <w:rPr>
          <w:spacing w:val="-61"/>
        </w:rPr>
        <w:t> </w:t>
      </w:r>
      <w:r>
        <w:rPr>
          <w:w w:val="55"/>
        </w:rPr>
        <w:t>)</w:t>
      </w:r>
      <w:r>
        <w:rPr>
          <w:spacing w:val="-41"/>
        </w:rPr>
        <w:t> </w:t>
      </w:r>
      <w:r>
        <w:rPr>
          <w:spacing w:val="-62"/>
        </w:rPr>
        <w:t>》</w:t>
      </w:r>
      <w:r>
        <w:rPr>
          <w:spacing w:val="-123"/>
        </w:rPr>
        <w:t>、</w:t>
      </w:r>
      <w:r>
        <w:rPr/>
        <w:t>《企</w:t>
      </w:r>
      <w:r>
        <w:rPr/>
        <w:t> </w:t>
      </w:r>
      <w:r>
        <w:rPr>
          <w:spacing w:val="-1"/>
        </w:rPr>
        <w:t>业会计准则</w:t>
      </w:r>
      <w:r>
        <w:rPr/>
        <w:t>第</w:t>
      </w:r>
      <w:r>
        <w:rPr>
          <w:spacing w:val="-68"/>
        </w:rPr>
        <w:t> </w:t>
      </w:r>
      <w:r>
        <w:rPr>
          <w:spacing w:val="-1"/>
          <w:w w:val="111"/>
        </w:rPr>
        <w:t>2</w:t>
      </w:r>
      <w:r>
        <w:rPr>
          <w:w w:val="111"/>
        </w:rPr>
        <w:t>4</w:t>
      </w:r>
      <w:r>
        <w:rPr>
          <w:spacing w:val="-68"/>
        </w:rPr>
        <w:t> </w:t>
      </w:r>
      <w:r>
        <w:rPr>
          <w:spacing w:val="-1"/>
        </w:rPr>
        <w:t>号</w:t>
      </w:r>
      <w:r>
        <w:rPr/>
        <w:t>—</w:t>
      </w:r>
      <w:r>
        <w:rPr>
          <w:spacing w:val="-1"/>
        </w:rPr>
        <w:t>—套期会</w:t>
      </w:r>
      <w:r>
        <w:rPr/>
        <w:t>计</w:t>
      </w:r>
      <w:r>
        <w:rPr>
          <w:spacing w:val="-41"/>
        </w:rPr>
        <w:t> </w:t>
      </w:r>
      <w:r>
        <w:rPr>
          <w:w w:val="55"/>
        </w:rPr>
        <w:t>(</w:t>
      </w:r>
      <w:r>
        <w:rPr>
          <w:spacing w:val="-68"/>
        </w:rPr>
        <w:t> </w:t>
      </w:r>
      <w:r>
        <w:rPr>
          <w:spacing w:val="-1"/>
        </w:rPr>
        <w:t>修</w:t>
      </w:r>
      <w:r>
        <w:rPr/>
        <w:t>订</w:t>
      </w:r>
      <w:r>
        <w:rPr>
          <w:spacing w:val="-68"/>
        </w:rPr>
        <w:t> </w:t>
      </w:r>
      <w:r>
        <w:rPr>
          <w:w w:val="55"/>
        </w:rPr>
        <w:t>)</w:t>
      </w:r>
      <w:r>
        <w:rPr>
          <w:spacing w:val="-41"/>
        </w:rPr>
        <w:t> </w:t>
      </w:r>
      <w:r>
        <w:rPr>
          <w:spacing w:val="-91"/>
        </w:rPr>
        <w:t>》及</w:t>
      </w:r>
      <w:r>
        <w:rPr>
          <w:spacing w:val="-1"/>
        </w:rPr>
        <w:t>《企业会计准则</w:t>
      </w:r>
      <w:r>
        <w:rPr/>
        <w:t>第</w:t>
      </w:r>
      <w:r>
        <w:rPr>
          <w:spacing w:val="-68"/>
        </w:rPr>
        <w:t> </w:t>
      </w:r>
      <w:r>
        <w:rPr>
          <w:spacing w:val="-1"/>
          <w:w w:val="111"/>
        </w:rPr>
        <w:t>3</w:t>
      </w:r>
      <w:r>
        <w:rPr>
          <w:w w:val="111"/>
        </w:rPr>
        <w:t>7</w:t>
      </w:r>
      <w:r>
        <w:rPr>
          <w:spacing w:val="-68"/>
        </w:rPr>
        <w:t> </w:t>
      </w:r>
      <w:r>
        <w:rPr>
          <w:spacing w:val="-1"/>
        </w:rPr>
        <w:t>号</w:t>
      </w:r>
      <w:r>
        <w:rPr/>
        <w:t>—</w:t>
      </w:r>
      <w:r>
        <w:rPr>
          <w:spacing w:val="-1"/>
        </w:rPr>
        <w:t>—金融工具列</w:t>
      </w:r>
      <w:r>
        <w:rPr/>
        <w:t>报</w:t>
      </w:r>
      <w:r>
        <w:rPr>
          <w:spacing w:val="-41"/>
        </w:rPr>
        <w:t> </w:t>
      </w:r>
      <w:r>
        <w:rPr>
          <w:w w:val="55"/>
        </w:rPr>
        <w:t>(</w:t>
      </w:r>
      <w:r>
        <w:rPr>
          <w:spacing w:val="-68"/>
        </w:rPr>
        <w:t> </w:t>
      </w:r>
      <w:r>
        <w:rPr>
          <w:spacing w:val="-1"/>
        </w:rPr>
        <w:t>修</w:t>
      </w:r>
      <w:r>
        <w:rPr/>
        <w:t>订</w:t>
      </w:r>
      <w:r>
        <w:rPr>
          <w:spacing w:val="-68"/>
        </w:rPr>
        <w:t> </w:t>
      </w:r>
      <w:r>
        <w:rPr>
          <w:w w:val="55"/>
        </w:rPr>
        <w:t>)</w:t>
      </w:r>
      <w:r>
        <w:rPr>
          <w:spacing w:val="-41"/>
        </w:rPr>
        <w:t> </w:t>
      </w:r>
      <w:r>
        <w:rPr>
          <w:spacing w:val="-91"/>
        </w:rPr>
        <w:t>》</w:t>
      </w:r>
      <w:r>
        <w:rPr>
          <w:w w:val="55"/>
        </w:rPr>
        <w:t>(</w:t>
      </w:r>
      <w:r>
        <w:rPr>
          <w:spacing w:val="-68"/>
        </w:rPr>
        <w:t> </w:t>
      </w:r>
      <w:r>
        <w:rPr>
          <w:spacing w:val="-1"/>
        </w:rPr>
        <w:t>统</w:t>
      </w:r>
      <w:r>
        <w:rPr>
          <w:spacing w:val="-91"/>
        </w:rPr>
        <w:t>称</w:t>
      </w:r>
      <w:r>
        <w:rPr>
          <w:spacing w:val="-1"/>
        </w:rPr>
        <w:t>“新金融工具准则</w:t>
      </w:r>
      <w:r>
        <w:rPr>
          <w:spacing w:val="-91"/>
        </w:rPr>
        <w:t>”</w:t>
      </w:r>
      <w:r>
        <w:rPr>
          <w:w w:val="55"/>
        </w:rPr>
        <w:t>)</w:t>
      </w:r>
      <w:r>
        <w:rPr/>
      </w:r>
    </w:p>
    <w:p>
      <w:pPr>
        <w:spacing w:line="240" w:lineRule="auto" w:before="10"/>
        <w:rPr>
          <w:rFonts w:ascii="宋体" w:hAnsi="宋体" w:cs="宋体" w:eastAsia="宋体" w:hint="default"/>
          <w:sz w:val="13"/>
          <w:szCs w:val="13"/>
        </w:rPr>
      </w:pPr>
    </w:p>
    <w:p>
      <w:pPr>
        <w:pStyle w:val="BodyText"/>
        <w:spacing w:line="240" w:lineRule="auto"/>
        <w:ind w:left="468" w:right="0"/>
        <w:jc w:val="both"/>
      </w:pPr>
      <w:r>
        <w:rPr/>
        <w:t>- </w:t>
      </w:r>
      <w:r>
        <w:rPr>
          <w:spacing w:val="10"/>
        </w:rPr>
        <w:t> </w:t>
      </w:r>
      <w:r>
        <w:rPr/>
        <w:t>《企业会计准则解释第</w:t>
      </w:r>
      <w:r>
        <w:rPr>
          <w:spacing w:val="-26"/>
        </w:rPr>
        <w:t> </w:t>
      </w:r>
      <w:r>
        <w:rPr/>
        <w:t>9</w:t>
      </w:r>
      <w:r>
        <w:rPr>
          <w:spacing w:val="-26"/>
        </w:rPr>
        <w:t> </w:t>
      </w:r>
      <w:r>
        <w:rPr/>
        <w:t>号——关于权益法下投资净损失的会计处理》、《企业会计准则解释第</w:t>
      </w:r>
      <w:r>
        <w:rPr>
          <w:spacing w:val="-26"/>
        </w:rPr>
        <w:t> </w:t>
      </w:r>
      <w:r>
        <w:rPr/>
        <w:t>10</w:t>
      </w:r>
      <w:r>
        <w:rPr>
          <w:spacing w:val="-26"/>
        </w:rPr>
        <w:t> </w:t>
      </w:r>
      <w:r>
        <w:rPr/>
        <w:t>号——关于以</w:t>
      </w:r>
    </w:p>
    <w:p>
      <w:pPr>
        <w:pStyle w:val="BodyText"/>
        <w:spacing w:line="285" w:lineRule="auto" w:before="44"/>
        <w:ind w:left="468" w:right="193"/>
        <w:jc w:val="both"/>
      </w:pPr>
      <w:r>
        <w:rPr/>
        <w:t>使用固定资产产生的收入为基础的折旧方法》、《企业会计准则解释第</w:t>
      </w:r>
      <w:r>
        <w:rPr>
          <w:spacing w:val="-40"/>
        </w:rPr>
        <w:t> </w:t>
      </w:r>
      <w:r>
        <w:rPr/>
        <w:t>11</w:t>
      </w:r>
      <w:r>
        <w:rPr>
          <w:spacing w:val="-40"/>
        </w:rPr>
        <w:t> </w:t>
      </w:r>
      <w:r>
        <w:rPr/>
        <w:t>号——关于以使用无形资产产生的收入为基</w:t>
      </w:r>
      <w:r>
        <w:rPr/>
        <w:t> </w:t>
      </w:r>
      <w:r>
        <w:rPr>
          <w:spacing w:val="-3"/>
        </w:rPr>
        <w:t>础的摊销方法》及《企业会计准则解释第</w:t>
      </w:r>
      <w:r>
        <w:rPr>
          <w:spacing w:val="-61"/>
        </w:rPr>
        <w:t> </w:t>
      </w:r>
      <w:r>
        <w:rPr/>
        <w:t>12</w:t>
      </w:r>
      <w:r>
        <w:rPr>
          <w:spacing w:val="-61"/>
        </w:rPr>
        <w:t> </w:t>
      </w:r>
      <w:r>
        <w:rPr/>
        <w:t>号——关于关键管理人员服务的提供方与接受方是否为关联方》(</w:t>
      </w:r>
      <w:r>
        <w:rPr>
          <w:spacing w:val="-61"/>
        </w:rPr>
        <w:t> </w:t>
      </w:r>
      <w:r>
        <w:rPr>
          <w:spacing w:val="-6"/>
        </w:rPr>
        <w:t>统称“解</w:t>
      </w:r>
      <w:r>
        <w:rPr/>
        <w:t> </w:t>
      </w:r>
      <w:r>
        <w:rPr>
          <w:w w:val="105"/>
        </w:rPr>
        <w:t>释第</w:t>
      </w:r>
      <w:r>
        <w:rPr>
          <w:spacing w:val="-60"/>
          <w:w w:val="105"/>
        </w:rPr>
        <w:t> </w:t>
      </w:r>
      <w:r>
        <w:rPr>
          <w:w w:val="105"/>
        </w:rPr>
        <w:t>9</w:t>
      </w:r>
      <w:r>
        <w:rPr>
          <w:spacing w:val="-57"/>
          <w:w w:val="105"/>
        </w:rPr>
        <w:t> </w:t>
      </w:r>
      <w:r>
        <w:rPr>
          <w:w w:val="105"/>
        </w:rPr>
        <w:t>-</w:t>
      </w:r>
      <w:r>
        <w:rPr>
          <w:spacing w:val="-57"/>
          <w:w w:val="105"/>
        </w:rPr>
        <w:t> </w:t>
      </w:r>
      <w:r>
        <w:rPr>
          <w:w w:val="105"/>
        </w:rPr>
        <w:t>12</w:t>
      </w:r>
      <w:r>
        <w:rPr>
          <w:spacing w:val="-60"/>
          <w:w w:val="105"/>
        </w:rPr>
        <w:t> </w:t>
      </w:r>
      <w:r>
        <w:rPr>
          <w:w w:val="105"/>
        </w:rPr>
        <w:t>号”)</w:t>
      </w:r>
      <w:r>
        <w:rPr/>
      </w:r>
    </w:p>
    <w:p>
      <w:pPr>
        <w:spacing w:line="240" w:lineRule="auto" w:before="10"/>
        <w:rPr>
          <w:rFonts w:ascii="宋体" w:hAnsi="宋体" w:cs="宋体" w:eastAsia="宋体" w:hint="default"/>
          <w:sz w:val="13"/>
          <w:szCs w:val="13"/>
        </w:rPr>
      </w:pPr>
    </w:p>
    <w:p>
      <w:pPr>
        <w:pStyle w:val="BodyText"/>
        <w:spacing w:line="240" w:lineRule="auto"/>
        <w:ind w:left="468" w:right="0"/>
        <w:jc w:val="both"/>
      </w:pPr>
      <w:r>
        <w:rPr/>
        <w:t>-</w:t>
      </w:r>
      <w:r>
        <w:rPr>
          <w:spacing w:val="25"/>
        </w:rPr>
        <w:t> </w:t>
      </w:r>
      <w:r>
        <w:rPr/>
        <w:t>《关于修订印发</w:t>
      </w:r>
      <w:r>
        <w:rPr>
          <w:spacing w:val="-38"/>
        </w:rPr>
        <w:t> </w:t>
      </w:r>
      <w:r>
        <w:rPr/>
        <w:t>2018</w:t>
      </w:r>
      <w:r>
        <w:rPr>
          <w:spacing w:val="-39"/>
        </w:rPr>
        <w:t> </w:t>
      </w:r>
      <w:r>
        <w:rPr/>
        <w:t>年度一般企业财务报表格式的通知》（财会</w:t>
      </w:r>
      <w:r>
        <w:rPr>
          <w:spacing w:val="-38"/>
        </w:rPr>
        <w:t> </w:t>
      </w:r>
      <w:r>
        <w:rPr/>
        <w:t>[2018]15</w:t>
      </w:r>
      <w:r>
        <w:rPr>
          <w:spacing w:val="-39"/>
        </w:rPr>
        <w:t> </w:t>
      </w:r>
      <w:r>
        <w:rPr/>
        <w:t>号及相关解读）</w:t>
      </w:r>
    </w:p>
    <w:p>
      <w:pPr>
        <w:spacing w:line="240" w:lineRule="auto" w:before="5"/>
        <w:rPr>
          <w:rFonts w:ascii="宋体" w:hAnsi="宋体" w:cs="宋体" w:eastAsia="宋体" w:hint="default"/>
          <w:sz w:val="16"/>
          <w:szCs w:val="16"/>
        </w:rPr>
      </w:pPr>
    </w:p>
    <w:p>
      <w:pPr>
        <w:pStyle w:val="BodyText"/>
        <w:spacing w:line="240" w:lineRule="auto"/>
        <w:ind w:left="468" w:right="0"/>
        <w:jc w:val="both"/>
      </w:pPr>
      <w:r>
        <w:rPr/>
        <w:t>-</w:t>
      </w:r>
      <w:r>
        <w:rPr>
          <w:spacing w:val="-2"/>
        </w:rPr>
        <w:t> </w:t>
      </w:r>
      <w:r>
        <w:rPr/>
        <w:t>《关于修订印发</w:t>
      </w:r>
      <w:r>
        <w:rPr>
          <w:spacing w:val="-50"/>
        </w:rPr>
        <w:t> </w:t>
      </w:r>
      <w:r>
        <w:rPr/>
        <w:t>2018</w:t>
      </w:r>
      <w:r>
        <w:rPr>
          <w:spacing w:val="-51"/>
        </w:rPr>
        <w:t> </w:t>
      </w:r>
      <w:r>
        <w:rPr/>
        <w:t>年度合并财务报表格式的通知》(</w:t>
      </w:r>
      <w:r>
        <w:rPr>
          <w:spacing w:val="-50"/>
        </w:rPr>
        <w:t> </w:t>
      </w:r>
      <w:r>
        <w:rPr/>
        <w:t>财会</w:t>
      </w:r>
      <w:r>
        <w:rPr>
          <w:spacing w:val="-50"/>
        </w:rPr>
        <w:t> </w:t>
      </w:r>
      <w:r>
        <w:rPr/>
        <w:t>[2019]1</w:t>
      </w:r>
      <w:r>
        <w:rPr>
          <w:spacing w:val="-51"/>
        </w:rPr>
        <w:t> </w:t>
      </w:r>
      <w:r>
        <w:rPr/>
        <w:t>号</w:t>
      </w:r>
      <w:r>
        <w:rPr>
          <w:spacing w:val="-50"/>
        </w:rPr>
        <w:t> </w:t>
      </w:r>
      <w:r>
        <w:rPr>
          <w:w w:val="95"/>
        </w:rPr>
        <w:t>)</w:t>
      </w:r>
      <w:r>
        <w:rPr/>
      </w:r>
    </w:p>
    <w:p>
      <w:pPr>
        <w:spacing w:line="240" w:lineRule="auto" w:before="5"/>
        <w:rPr>
          <w:rFonts w:ascii="宋体" w:hAnsi="宋体" w:cs="宋体" w:eastAsia="宋体" w:hint="default"/>
          <w:sz w:val="16"/>
          <w:szCs w:val="16"/>
        </w:rPr>
      </w:pPr>
    </w:p>
    <w:p>
      <w:pPr>
        <w:pStyle w:val="BodyText"/>
        <w:spacing w:line="458" w:lineRule="auto"/>
        <w:ind w:left="127" w:right="1757" w:firstLine="340"/>
        <w:jc w:val="left"/>
      </w:pPr>
      <w:r>
        <w:rPr/>
        <w:t>本集团自</w:t>
      </w:r>
      <w:r>
        <w:rPr>
          <w:spacing w:val="-36"/>
        </w:rPr>
        <w:t> </w:t>
      </w:r>
      <w:r>
        <w:rPr/>
        <w:t>2018</w:t>
      </w:r>
      <w:r>
        <w:rPr>
          <w:spacing w:val="-37"/>
        </w:rPr>
        <w:t> </w:t>
      </w:r>
      <w:r>
        <w:rPr/>
        <w:t>年</w:t>
      </w:r>
      <w:r>
        <w:rPr>
          <w:spacing w:val="-36"/>
        </w:rPr>
        <w:t> </w:t>
      </w:r>
      <w:r>
        <w:rPr/>
        <w:t>1</w:t>
      </w:r>
      <w:r>
        <w:rPr>
          <w:spacing w:val="-37"/>
        </w:rPr>
        <w:t> </w:t>
      </w:r>
      <w:r>
        <w:rPr/>
        <w:t>月</w:t>
      </w:r>
      <w:r>
        <w:rPr>
          <w:spacing w:val="-36"/>
        </w:rPr>
        <w:t> </w:t>
      </w:r>
      <w:r>
        <w:rPr/>
        <w:t>1</w:t>
      </w:r>
      <w:r>
        <w:rPr>
          <w:spacing w:val="-37"/>
        </w:rPr>
        <w:t> </w:t>
      </w:r>
      <w:r>
        <w:rPr/>
        <w:t>日起执行上述企业会计准则修订及解释，对会计政策相关内容进行调整。</w:t>
      </w:r>
      <w:r>
        <w:rPr/>
        <w:t> (b)</w:t>
      </w:r>
      <w:r>
        <w:rPr>
          <w:spacing w:val="-21"/>
        </w:rPr>
        <w:t> </w:t>
      </w:r>
      <w:r>
        <w:rPr/>
        <w:t>变更的主要影响</w:t>
      </w:r>
    </w:p>
    <w:p>
      <w:pPr>
        <w:pStyle w:val="BodyText"/>
        <w:spacing w:line="285" w:lineRule="auto" w:before="71"/>
        <w:ind w:left="468" w:right="187"/>
        <w:jc w:val="both"/>
      </w:pPr>
      <w:r>
        <w:rPr/>
        <w:t>会计政策变更是本集团根据财政部截止本报告日已发布的相关规定并结合本集团具体情况而做出的，如果财政部后续</w:t>
      </w:r>
      <w:r>
        <w:rPr>
          <w:spacing w:val="9"/>
        </w:rPr>
        <w:t> </w:t>
      </w:r>
      <w:r>
        <w:rPr>
          <w:spacing w:val="9"/>
        </w:rPr>
      </w:r>
      <w:r>
        <w:rPr>
          <w:spacing w:val="-2"/>
        </w:rPr>
        <w:t>就上述企业会计准则修订发布相关指南或给出进一步解释，则本集团需重新审阅会计政策变更及相关重大判断和估计，</w:t>
      </w:r>
      <w:r>
        <w:rPr>
          <w:spacing w:val="-63"/>
        </w:rPr>
        <w:t> </w:t>
      </w:r>
      <w:r>
        <w:rPr>
          <w:spacing w:val="-63"/>
        </w:rPr>
      </w:r>
      <w:r>
        <w:rPr/>
        <w:t>该等审阅及相关调整可能导致会计政策变更影响的披露与本集团</w:t>
      </w:r>
      <w:r>
        <w:rPr>
          <w:spacing w:val="-38"/>
        </w:rPr>
        <w:t> </w:t>
      </w:r>
      <w:r>
        <w:rPr/>
        <w:t>2018</w:t>
      </w:r>
      <w:r>
        <w:rPr>
          <w:spacing w:val="-40"/>
        </w:rPr>
        <w:t> </w:t>
      </w:r>
      <w:r>
        <w:rPr/>
        <w:t>年度财务报表中列报的相应数据之间存在差异。</w:t>
      </w:r>
    </w:p>
    <w:p>
      <w:pPr>
        <w:spacing w:line="240" w:lineRule="auto" w:before="10"/>
        <w:rPr>
          <w:rFonts w:ascii="宋体" w:hAnsi="宋体" w:cs="宋体" w:eastAsia="宋体" w:hint="default"/>
          <w:sz w:val="13"/>
          <w:szCs w:val="13"/>
        </w:rPr>
      </w:pPr>
    </w:p>
    <w:p>
      <w:pPr>
        <w:pStyle w:val="BodyText"/>
        <w:spacing w:line="240" w:lineRule="auto"/>
        <w:ind w:left="127" w:right="87"/>
        <w:jc w:val="left"/>
      </w:pPr>
      <w:r>
        <w:rPr/>
        <w:t>(1)</w:t>
      </w:r>
      <w:r>
        <w:rPr>
          <w:spacing w:val="-21"/>
        </w:rPr>
        <w:t> </w:t>
      </w:r>
      <w:r>
        <w:rPr/>
        <w:t>新收入准则</w:t>
      </w:r>
    </w:p>
    <w:p>
      <w:pPr>
        <w:spacing w:line="240" w:lineRule="auto" w:before="12"/>
        <w:rPr>
          <w:rFonts w:ascii="宋体" w:hAnsi="宋体" w:cs="宋体" w:eastAsia="宋体" w:hint="default"/>
          <w:sz w:val="17"/>
          <w:szCs w:val="17"/>
        </w:rPr>
      </w:pPr>
    </w:p>
    <w:p>
      <w:pPr>
        <w:pStyle w:val="BodyText"/>
        <w:spacing w:line="240" w:lineRule="auto"/>
        <w:ind w:left="468" w:right="0"/>
        <w:jc w:val="both"/>
      </w:pPr>
      <w:r>
        <w:rPr/>
        <w:t>新收入准则取代了财政部于</w:t>
      </w:r>
      <w:r>
        <w:rPr>
          <w:spacing w:val="-40"/>
        </w:rPr>
        <w:t> </w:t>
      </w:r>
      <w:r>
        <w:rPr/>
        <w:t>2006</w:t>
      </w:r>
      <w:r>
        <w:rPr>
          <w:spacing w:val="-40"/>
        </w:rPr>
        <w:t> </w:t>
      </w:r>
      <w:r>
        <w:rPr>
          <w:spacing w:val="-3"/>
        </w:rPr>
        <w:t>年颁布的《企业会计准则第</w:t>
      </w:r>
      <w:r>
        <w:rPr>
          <w:spacing w:val="-40"/>
        </w:rPr>
        <w:t> </w:t>
      </w:r>
      <w:r>
        <w:rPr/>
        <w:t>14</w:t>
      </w:r>
      <w:r>
        <w:rPr>
          <w:spacing w:val="-40"/>
        </w:rPr>
        <w:t> </w:t>
      </w:r>
      <w:r>
        <w:rPr>
          <w:spacing w:val="-5"/>
        </w:rPr>
        <w:t>号——收入》及《企业会计准则第</w:t>
      </w:r>
      <w:r>
        <w:rPr>
          <w:spacing w:val="-40"/>
        </w:rPr>
        <w:t> </w:t>
      </w:r>
      <w:r>
        <w:rPr/>
        <w:t>15</w:t>
      </w:r>
      <w:r>
        <w:rPr>
          <w:spacing w:val="-40"/>
        </w:rPr>
        <w:t> </w:t>
      </w:r>
      <w:r>
        <w:rPr/>
        <w:t>号——建造合同》</w:t>
      </w:r>
    </w:p>
    <w:p>
      <w:pPr>
        <w:pStyle w:val="BodyText"/>
        <w:spacing w:line="240" w:lineRule="auto" w:before="44"/>
        <w:ind w:left="468" w:right="0"/>
        <w:jc w:val="both"/>
      </w:pPr>
      <w:r>
        <w:rPr/>
        <w:t>（统称“原收入准则”）。</w:t>
      </w:r>
    </w:p>
    <w:p>
      <w:pPr>
        <w:spacing w:line="240" w:lineRule="auto" w:before="5"/>
        <w:rPr>
          <w:rFonts w:ascii="宋体" w:hAnsi="宋体" w:cs="宋体" w:eastAsia="宋体" w:hint="default"/>
          <w:sz w:val="16"/>
          <w:szCs w:val="16"/>
        </w:rPr>
      </w:pPr>
    </w:p>
    <w:p>
      <w:pPr>
        <w:pStyle w:val="BodyText"/>
        <w:spacing w:line="285" w:lineRule="auto"/>
        <w:ind w:left="468" w:right="189"/>
        <w:jc w:val="both"/>
      </w:pPr>
      <w:r>
        <w:rPr/>
        <w:t>在原收入准则下，本集团以风险报酬转移作为收入确认时点的判断标准。本集团销售商品收入在同时满足下列条件时</w:t>
      </w:r>
      <w:r>
        <w:rPr>
          <w:spacing w:val="7"/>
        </w:rPr>
        <w:t> </w:t>
      </w:r>
      <w:r>
        <w:rPr>
          <w:spacing w:val="7"/>
        </w:rPr>
      </w:r>
      <w:r>
        <w:rPr/>
        <w:t>予以确认，即：商品所有权上的主要风险和报酬已转移给购货方，收入的金额及相关成本能够可靠计量，相关的经济</w:t>
      </w:r>
      <w:r>
        <w:rPr>
          <w:spacing w:val="1"/>
        </w:rPr>
        <w:t> </w:t>
      </w:r>
      <w:r>
        <w:rPr>
          <w:spacing w:val="1"/>
        </w:rPr>
      </w:r>
      <w:r>
        <w:rPr>
          <w:spacing w:val="-2"/>
        </w:rPr>
        <w:t>利益很可能流入本集团，本集团既没有保留通常与所有权相联系的继续管理权，也没有对已售出的商品实施有效控制。</w:t>
      </w:r>
      <w:r>
        <w:rPr>
          <w:spacing w:val="-64"/>
        </w:rPr>
        <w:t> </w:t>
      </w:r>
      <w:r>
        <w:rPr>
          <w:spacing w:val="-64"/>
        </w:rPr>
      </w:r>
      <w:r>
        <w:rPr/>
        <w:t>提供劳务收入和建造合同收入按照完工百分比法进行确认。</w:t>
      </w:r>
    </w:p>
    <w:p>
      <w:pPr>
        <w:spacing w:after="0" w:line="285" w:lineRule="auto"/>
        <w:jc w:val="both"/>
        <w:sectPr>
          <w:footerReference w:type="even" r:id="rId287"/>
          <w:footerReference w:type="default" r:id="rId288"/>
          <w:pgSz w:w="11910" w:h="16160"/>
          <w:pgMar w:footer="320" w:header="1200" w:top="2120" w:bottom="520" w:left="680" w:right="1280"/>
        </w:sectPr>
      </w:pPr>
    </w:p>
    <w:p>
      <w:pPr>
        <w:spacing w:line="240" w:lineRule="auto" w:before="3"/>
        <w:rPr>
          <w:rFonts w:ascii="宋体" w:hAnsi="宋体" w:cs="宋体" w:eastAsia="宋体" w:hint="default"/>
          <w:sz w:val="14"/>
          <w:szCs w:val="14"/>
        </w:rPr>
      </w:pPr>
    </w:p>
    <w:p>
      <w:pPr>
        <w:pStyle w:val="BodyText"/>
        <w:spacing w:line="480" w:lineRule="auto" w:before="31"/>
        <w:ind w:left="114" w:right="7761"/>
        <w:jc w:val="left"/>
      </w:pPr>
      <w:r>
        <w:rPr/>
        <w:t>33、会计政策变更（续）</w:t>
      </w:r>
      <w:r>
        <w:rPr>
          <w:spacing w:val="-71"/>
        </w:rPr>
        <w:t> </w:t>
      </w:r>
      <w:r>
        <w:rPr/>
        <w:t>(b)</w:t>
      </w:r>
      <w:r>
        <w:rPr>
          <w:spacing w:val="-17"/>
        </w:rPr>
        <w:t> </w:t>
      </w:r>
      <w:r>
        <w:rPr/>
        <w:t>变更的主要影响（续）</w:t>
      </w:r>
      <w:r>
        <w:rPr/>
        <w:t> (1)</w:t>
      </w:r>
      <w:r>
        <w:rPr>
          <w:spacing w:val="-21"/>
        </w:rPr>
        <w:t> </w:t>
      </w:r>
      <w:r>
        <w:rPr/>
        <w:t>新收入准则（续）</w:t>
      </w:r>
    </w:p>
    <w:p>
      <w:pPr>
        <w:pStyle w:val="BodyText"/>
        <w:spacing w:line="240" w:lineRule="auto" w:before="54"/>
        <w:ind w:right="0"/>
        <w:jc w:val="both"/>
      </w:pPr>
      <w:r>
        <w:rPr/>
        <w:t>在新收入准则下，本集团以控制权转移作为收入确认时点的判断标准：</w:t>
      </w:r>
    </w:p>
    <w:p>
      <w:pPr>
        <w:spacing w:line="240" w:lineRule="auto" w:before="5"/>
        <w:rPr>
          <w:rFonts w:ascii="宋体" w:hAnsi="宋体" w:cs="宋体" w:eastAsia="宋体" w:hint="default"/>
          <w:sz w:val="16"/>
          <w:szCs w:val="16"/>
        </w:rPr>
      </w:pPr>
    </w:p>
    <w:p>
      <w:pPr>
        <w:pStyle w:val="BodyText"/>
        <w:spacing w:line="285" w:lineRule="auto"/>
        <w:ind w:right="203"/>
        <w:jc w:val="both"/>
      </w:pPr>
      <w:r>
        <w:rPr/>
        <w:t>-</w:t>
      </w:r>
      <w:r>
        <w:rPr>
          <w:spacing w:val="64"/>
        </w:rPr>
        <w:t> </w:t>
      </w:r>
      <w:r>
        <w:rPr/>
        <w:t>本集团在履行了合同中的履约义务，即在用户取得相关商品或服务的控制权时，确认收入。在满足一定条件时，本</w:t>
      </w:r>
      <w:r>
        <w:rPr>
          <w:spacing w:val="-84"/>
        </w:rPr>
        <w:t> </w:t>
      </w:r>
      <w:r>
        <w:rPr>
          <w:spacing w:val="-84"/>
        </w:rPr>
      </w:r>
      <w:r>
        <w:rPr/>
        <w:t>集团属于在某一段时间内履行履约义务，否则，属于在某一时点履行履约义务。合同中包含两项或多项履约义务的，</w:t>
      </w:r>
      <w:r>
        <w:rPr>
          <w:spacing w:val="1"/>
        </w:rPr>
        <w:t> </w:t>
      </w:r>
      <w:r>
        <w:rPr>
          <w:spacing w:val="1"/>
        </w:rPr>
      </w:r>
      <w:r>
        <w:rPr/>
        <w:t>本集团在合同开始日，按照各单项履约义务所承诺商品或服务的单独售价的相对比例，将交易价格分摊至各单项履约</w:t>
      </w:r>
      <w:r>
        <w:rPr>
          <w:spacing w:val="7"/>
        </w:rPr>
        <w:t> </w:t>
      </w:r>
      <w:r>
        <w:rPr>
          <w:spacing w:val="7"/>
        </w:rPr>
      </w:r>
      <w:r>
        <w:rPr/>
        <w:t>义务，按照分摊至各单项履约义务的交易价格计量收入。交易价格是本集团因向用户转让商品或服务而预期有权收取</w:t>
      </w:r>
      <w:r>
        <w:rPr>
          <w:spacing w:val="7"/>
        </w:rPr>
        <w:t> </w:t>
      </w:r>
      <w:r>
        <w:rPr>
          <w:spacing w:val="7"/>
        </w:rPr>
      </w:r>
      <w:r>
        <w:rPr/>
        <w:t>的对价金额，不包括代第三方收取的款项。本集团确认的交易价格不超过在相关不确定性消除时累计已确认收入极可</w:t>
      </w:r>
      <w:r>
        <w:rPr>
          <w:spacing w:val="7"/>
        </w:rPr>
        <w:t> </w:t>
      </w:r>
      <w:r>
        <w:rPr>
          <w:spacing w:val="7"/>
        </w:rPr>
      </w:r>
      <w:r>
        <w:rPr/>
        <w:t>能不会发生重大转回的金额。合同中存在重大融资成分的，本集团按照假定用户在取得商品或服务控制权时即以现金</w:t>
      </w:r>
      <w:r>
        <w:rPr>
          <w:spacing w:val="7"/>
        </w:rPr>
        <w:t> </w:t>
      </w:r>
      <w:r>
        <w:rPr>
          <w:spacing w:val="7"/>
        </w:rPr>
      </w:r>
      <w:r>
        <w:rPr>
          <w:w w:val="105"/>
        </w:rPr>
        <w:t>支付的应付金额确定交易价格。该交易价格与合同对价之间的差额，在合同期间内采用实际利率法摊销。</w:t>
      </w:r>
    </w:p>
    <w:p>
      <w:pPr>
        <w:spacing w:line="240" w:lineRule="auto" w:before="10"/>
        <w:rPr>
          <w:rFonts w:ascii="宋体" w:hAnsi="宋体" w:cs="宋体" w:eastAsia="宋体" w:hint="default"/>
          <w:sz w:val="13"/>
          <w:szCs w:val="13"/>
        </w:rPr>
      </w:pPr>
    </w:p>
    <w:p>
      <w:pPr>
        <w:pStyle w:val="BodyText"/>
        <w:spacing w:line="240" w:lineRule="auto"/>
        <w:ind w:right="0"/>
        <w:jc w:val="both"/>
      </w:pPr>
      <w:r>
        <w:rPr/>
        <w:t>-</w:t>
      </w:r>
      <w:r>
        <w:rPr>
          <w:spacing w:val="37"/>
        </w:rPr>
        <w:t> </w:t>
      </w:r>
      <w:r>
        <w:rPr/>
        <w:t>本集团依据新收入准则有关特定事项或交易的具体规定调整了相关会计政策，例如合同成本。</w:t>
      </w:r>
    </w:p>
    <w:p>
      <w:pPr>
        <w:spacing w:line="240" w:lineRule="auto" w:before="5"/>
        <w:rPr>
          <w:rFonts w:ascii="宋体" w:hAnsi="宋体" w:cs="宋体" w:eastAsia="宋体" w:hint="default"/>
          <w:sz w:val="16"/>
          <w:szCs w:val="16"/>
        </w:rPr>
      </w:pPr>
    </w:p>
    <w:p>
      <w:pPr>
        <w:pStyle w:val="BodyText"/>
        <w:spacing w:line="285" w:lineRule="auto"/>
        <w:ind w:right="100"/>
        <w:jc w:val="left"/>
      </w:pPr>
      <w:r>
        <w:rPr/>
        <w:t>-</w:t>
      </w:r>
      <w:r>
        <w:rPr>
          <w:spacing w:val="11"/>
        </w:rPr>
        <w:t> </w:t>
      </w:r>
      <w:r>
        <w:rPr/>
        <w:t>本集团依据新收入准则的规定，根据履行履约义务与用户付款之间的关系在资产负债表中列示合同资产或合同负债。</w:t>
      </w:r>
      <w:r>
        <w:rPr/>
        <w:t> 同时，本集团依据新收入准则对与收入相关的信息披露要求提供更多披露，例如相关会计政策、有重大影响的判断、</w:t>
      </w:r>
      <w:r>
        <w:rPr>
          <w:spacing w:val="1"/>
        </w:rPr>
        <w:t> </w:t>
      </w:r>
      <w:r>
        <w:rPr>
          <w:spacing w:val="1"/>
        </w:rPr>
      </w:r>
      <w:r>
        <w:rPr>
          <w:w w:val="105"/>
        </w:rPr>
        <w:t>与用户合同相关的信息（本期收入确认、合同余额、履约义务等）、与合同成本有关的资产的信息等。</w:t>
      </w:r>
    </w:p>
    <w:p>
      <w:pPr>
        <w:spacing w:line="240" w:lineRule="auto" w:before="10"/>
        <w:rPr>
          <w:rFonts w:ascii="宋体" w:hAnsi="宋体" w:cs="宋体" w:eastAsia="宋体" w:hint="default"/>
          <w:sz w:val="13"/>
          <w:szCs w:val="13"/>
        </w:rPr>
      </w:pPr>
    </w:p>
    <w:p>
      <w:pPr>
        <w:pStyle w:val="BodyText"/>
        <w:spacing w:line="285" w:lineRule="auto"/>
        <w:ind w:right="87"/>
        <w:jc w:val="left"/>
      </w:pPr>
      <w:r>
        <w:rPr>
          <w:spacing w:val="2"/>
        </w:rPr>
        <w:t>本集团已选择应用累计影响过渡法，将首次执行新收入准则的累积影响数，调整本集团</w:t>
      </w:r>
      <w:r>
        <w:rPr>
          <w:spacing w:val="-21"/>
        </w:rPr>
        <w:t> </w:t>
      </w:r>
      <w:r>
        <w:rPr/>
        <w:t>2018</w:t>
      </w:r>
      <w:r>
        <w:rPr>
          <w:spacing w:val="-21"/>
        </w:rPr>
        <w:t> </w:t>
      </w:r>
      <w:r>
        <w:rPr>
          <w:spacing w:val="3"/>
        </w:rPr>
        <w:t>年年初留存收益及财务</w:t>
      </w:r>
      <w:r>
        <w:rPr>
          <w:spacing w:val="-74"/>
        </w:rPr>
        <w:t> </w:t>
      </w:r>
      <w:r>
        <w:rPr>
          <w:spacing w:val="-74"/>
        </w:rPr>
      </w:r>
      <w:r>
        <w:rPr/>
        <w:t>报表其他相关项目金额，未对比较财务报表数据进行调整。</w:t>
      </w:r>
    </w:p>
    <w:p>
      <w:pPr>
        <w:spacing w:line="240" w:lineRule="auto" w:before="10"/>
        <w:rPr>
          <w:rFonts w:ascii="宋体" w:hAnsi="宋体" w:cs="宋体" w:eastAsia="宋体" w:hint="default"/>
          <w:sz w:val="13"/>
          <w:szCs w:val="13"/>
        </w:rPr>
      </w:pPr>
    </w:p>
    <w:p>
      <w:pPr>
        <w:pStyle w:val="BodyText"/>
        <w:spacing w:line="240" w:lineRule="auto"/>
        <w:ind w:right="0"/>
        <w:jc w:val="both"/>
      </w:pPr>
      <w:r>
        <w:rPr/>
        <w:t>采用新收入准则对本集团会计政策的具体影响如下：</w:t>
      </w:r>
    </w:p>
    <w:p>
      <w:pPr>
        <w:spacing w:line="240" w:lineRule="auto" w:before="5"/>
        <w:rPr>
          <w:rFonts w:ascii="宋体" w:hAnsi="宋体" w:cs="宋体" w:eastAsia="宋体" w:hint="default"/>
          <w:sz w:val="16"/>
          <w:szCs w:val="16"/>
        </w:rPr>
      </w:pPr>
    </w:p>
    <w:p>
      <w:pPr>
        <w:pStyle w:val="BodyText"/>
        <w:spacing w:line="240" w:lineRule="auto"/>
        <w:ind w:right="0"/>
        <w:jc w:val="both"/>
      </w:pPr>
      <w:r>
        <w:rPr/>
        <w:t>-</w:t>
      </w:r>
      <w:r>
        <w:rPr>
          <w:spacing w:val="37"/>
        </w:rPr>
        <w:t> </w:t>
      </w:r>
      <w:r>
        <w:rPr/>
        <w:t>本集团在原收入准则下对捆绑销售套餐的会计政策与新收入准则的要求在重大方面基本一致。</w:t>
      </w:r>
    </w:p>
    <w:p>
      <w:pPr>
        <w:spacing w:line="240" w:lineRule="auto" w:before="5"/>
        <w:rPr>
          <w:rFonts w:ascii="宋体" w:hAnsi="宋体" w:cs="宋体" w:eastAsia="宋体" w:hint="default"/>
          <w:sz w:val="16"/>
          <w:szCs w:val="16"/>
        </w:rPr>
      </w:pPr>
    </w:p>
    <w:p>
      <w:pPr>
        <w:pStyle w:val="BodyText"/>
        <w:spacing w:line="285" w:lineRule="auto"/>
        <w:ind w:right="201"/>
        <w:jc w:val="both"/>
      </w:pPr>
      <w:r>
        <w:rPr/>
        <w:t>-</w:t>
      </w:r>
      <w:r>
        <w:rPr>
          <w:spacing w:val="64"/>
        </w:rPr>
        <w:t> </w:t>
      </w:r>
      <w:r>
        <w:rPr/>
        <w:t>成本方面，在原收入准则下，本集团为获取合同而发生的销售佣金和类似成本于发生时计入费用。新收入准则要求</w:t>
      </w:r>
      <w:r>
        <w:rPr>
          <w:spacing w:val="-84"/>
        </w:rPr>
        <w:t> </w:t>
      </w:r>
      <w:r>
        <w:rPr>
          <w:spacing w:val="-84"/>
        </w:rPr>
      </w:r>
      <w:r>
        <w:rPr/>
        <w:t>本集团将获取合同而发生的预计可收回的增量成本予以资本化。如果相关成本的摊销期限在初始确认该项资产之日起</w:t>
      </w:r>
      <w:r>
        <w:rPr>
          <w:spacing w:val="9"/>
        </w:rPr>
        <w:t> </w:t>
      </w:r>
      <w:r>
        <w:rPr>
          <w:spacing w:val="9"/>
        </w:rPr>
      </w:r>
      <w:r>
        <w:rPr/>
        <w:t>一年以内，本集团将相关的销售佣金在发生时计入销售费用。资本化的佣金在相关合同的商品和服务收入确认期间摊</w:t>
      </w:r>
      <w:r>
        <w:rPr>
          <w:spacing w:val="7"/>
        </w:rPr>
        <w:t> </w:t>
      </w:r>
      <w:r>
        <w:rPr>
          <w:spacing w:val="7"/>
        </w:rPr>
      </w:r>
      <w:r>
        <w:rPr>
          <w:w w:val="105"/>
        </w:rPr>
        <w:t>销至费用。</w:t>
      </w:r>
    </w:p>
    <w:p>
      <w:pPr>
        <w:spacing w:after="0" w:line="285" w:lineRule="auto"/>
        <w:jc w:val="both"/>
        <w:sectPr>
          <w:pgSz w:w="11910" w:h="16160"/>
          <w:pgMar w:header="2776" w:footer="298" w:top="296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0"/>
        <w:jc w:val="both"/>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27" w:right="7706"/>
        <w:jc w:val="both"/>
      </w:pPr>
      <w:r>
        <w:rPr/>
        <w:t>33、会计政策变更（续）</w:t>
      </w:r>
      <w:r>
        <w:rPr>
          <w:spacing w:val="-71"/>
        </w:rPr>
        <w:t> </w:t>
      </w:r>
      <w:r>
        <w:rPr>
          <w:w w:val="95"/>
        </w:rPr>
        <w:t>(b)</w:t>
      </w:r>
      <w:r>
        <w:rPr>
          <w:spacing w:val="-9"/>
          <w:w w:val="95"/>
        </w:rPr>
        <w:t> </w:t>
      </w:r>
      <w:r>
        <w:rPr>
          <w:w w:val="95"/>
        </w:rPr>
        <w:t>变更的主要影响（续）</w:t>
      </w:r>
      <w:r>
        <w:rPr>
          <w:spacing w:val="-81"/>
          <w:w w:val="95"/>
        </w:rPr>
        <w:t> </w:t>
      </w:r>
      <w:r>
        <w:rPr>
          <w:spacing w:val="-81"/>
          <w:w w:val="95"/>
        </w:rPr>
      </w:r>
      <w:r>
        <w:rPr/>
        <w:t>(1)</w:t>
      </w:r>
      <w:r>
        <w:rPr>
          <w:spacing w:val="-21"/>
        </w:rPr>
        <w:t> </w:t>
      </w:r>
      <w:r>
        <w:rPr/>
        <w:t>新收入准则（续）</w:t>
      </w:r>
    </w:p>
    <w:p>
      <w:pPr>
        <w:pStyle w:val="BodyText"/>
        <w:spacing w:line="285" w:lineRule="auto" w:before="54"/>
        <w:ind w:left="468" w:right="125"/>
        <w:jc w:val="left"/>
      </w:pPr>
      <w:r>
        <w:rPr>
          <w:spacing w:val="4"/>
        </w:rPr>
        <w:t>采用变更后会计政策编制的截至</w:t>
      </w:r>
      <w:r>
        <w:rPr>
          <w:spacing w:val="-30"/>
        </w:rPr>
        <w:t> </w:t>
      </w:r>
      <w:r>
        <w:rPr/>
        <w:t>2018</w:t>
      </w:r>
      <w:r>
        <w:rPr>
          <w:spacing w:val="-30"/>
        </w:rPr>
        <w:t> </w:t>
      </w:r>
      <w:r>
        <w:rPr/>
        <w:t>年</w:t>
      </w:r>
      <w:r>
        <w:rPr>
          <w:spacing w:val="-30"/>
        </w:rPr>
        <w:t> </w:t>
      </w:r>
      <w:r>
        <w:rPr/>
        <w:t>12</w:t>
      </w:r>
      <w:r>
        <w:rPr>
          <w:spacing w:val="-30"/>
        </w:rPr>
        <w:t> </w:t>
      </w:r>
      <w:r>
        <w:rPr/>
        <w:t>月</w:t>
      </w:r>
      <w:r>
        <w:rPr>
          <w:spacing w:val="-30"/>
        </w:rPr>
        <w:t> </w:t>
      </w:r>
      <w:r>
        <w:rPr/>
        <w:t>31</w:t>
      </w:r>
      <w:r>
        <w:rPr>
          <w:spacing w:val="-30"/>
        </w:rPr>
        <w:t> </w:t>
      </w:r>
      <w:r>
        <w:rPr>
          <w:spacing w:val="3"/>
        </w:rPr>
        <w:t>日止合并利润表及利润表各项目、2018</w:t>
      </w:r>
      <w:r>
        <w:rPr>
          <w:spacing w:val="-30"/>
        </w:rPr>
        <w:t> </w:t>
      </w:r>
      <w:r>
        <w:rPr/>
        <w:t>年</w:t>
      </w:r>
      <w:r>
        <w:rPr>
          <w:spacing w:val="-30"/>
        </w:rPr>
        <w:t> </w:t>
      </w:r>
      <w:r>
        <w:rPr/>
        <w:t>12</w:t>
      </w:r>
      <w:r>
        <w:rPr>
          <w:spacing w:val="-30"/>
        </w:rPr>
        <w:t> </w:t>
      </w:r>
      <w:r>
        <w:rPr/>
        <w:t>月</w:t>
      </w:r>
      <w:r>
        <w:rPr>
          <w:spacing w:val="-30"/>
        </w:rPr>
        <w:t> </w:t>
      </w:r>
      <w:r>
        <w:rPr/>
        <w:t>31</w:t>
      </w:r>
      <w:r>
        <w:rPr>
          <w:spacing w:val="-30"/>
        </w:rPr>
        <w:t> </w:t>
      </w:r>
      <w:r>
        <w:rPr>
          <w:spacing w:val="5"/>
        </w:rPr>
        <w:t>日合并资产负</w:t>
      </w:r>
      <w:r>
        <w:rPr>
          <w:spacing w:val="-84"/>
        </w:rPr>
        <w:t> </w:t>
      </w:r>
      <w:r>
        <w:rPr>
          <w:spacing w:val="-84"/>
        </w:rPr>
      </w:r>
      <w:r>
        <w:rPr/>
        <w:t>债表及资产负债表各项目，与假定采用变更前会计政策编制的这些报表项目相比，受影响项目的增减情况如下：</w:t>
      </w:r>
    </w:p>
    <w:p>
      <w:pPr>
        <w:spacing w:line="240" w:lineRule="auto" w:before="10"/>
        <w:rPr>
          <w:rFonts w:ascii="宋体" w:hAnsi="宋体" w:cs="宋体" w:eastAsia="宋体" w:hint="default"/>
          <w:sz w:val="13"/>
          <w:szCs w:val="13"/>
        </w:rPr>
      </w:pPr>
    </w:p>
    <w:p>
      <w:pPr>
        <w:pStyle w:val="BodyText"/>
        <w:spacing w:line="240" w:lineRule="auto"/>
        <w:ind w:left="468" w:right="125"/>
        <w:jc w:val="left"/>
      </w:pPr>
      <w:r>
        <w:rPr/>
        <w:t>- 会计政策变更对 2018</w:t>
      </w:r>
      <w:r>
        <w:rPr>
          <w:spacing w:val="-15"/>
        </w:rPr>
        <w:t> </w:t>
      </w:r>
      <w:r>
        <w:rPr/>
        <w:t>年度合并利润表及利润表各项目的影响分析：</w:t>
      </w:r>
    </w:p>
    <w:p>
      <w:pPr>
        <w:spacing w:line="240" w:lineRule="auto" w:before="10"/>
        <w:rPr>
          <w:rFonts w:ascii="宋体" w:hAnsi="宋体" w:cs="宋体" w:eastAsia="宋体" w:hint="default"/>
          <w:sz w:val="20"/>
          <w:szCs w:val="20"/>
        </w:rPr>
      </w:pPr>
    </w:p>
    <w:p>
      <w:pPr>
        <w:spacing w:before="0"/>
        <w:ind w:left="5974" w:right="125" w:firstLine="0"/>
        <w:jc w:val="left"/>
        <w:rPr>
          <w:rFonts w:ascii="宋体" w:hAnsi="宋体" w:cs="宋体" w:eastAsia="宋体" w:hint="default"/>
          <w:sz w:val="16"/>
          <w:szCs w:val="16"/>
        </w:rPr>
      </w:pPr>
      <w:r>
        <w:rPr>
          <w:rFonts w:ascii="宋体" w:hAnsi="宋体" w:cs="宋体" w:eastAsia="宋体" w:hint="default"/>
          <w:sz w:val="16"/>
          <w:szCs w:val="16"/>
        </w:rPr>
        <w:t>采用变更后会计政策增加</w:t>
      </w:r>
      <w:r>
        <w:rPr>
          <w:rFonts w:ascii="宋体" w:hAnsi="宋体" w:cs="宋体" w:eastAsia="宋体" w:hint="default"/>
          <w:spacing w:val="-63"/>
          <w:sz w:val="16"/>
          <w:szCs w:val="16"/>
        </w:rPr>
        <w:t> </w:t>
      </w:r>
      <w:r>
        <w:rPr>
          <w:rFonts w:ascii="宋体" w:hAnsi="宋体" w:cs="宋体" w:eastAsia="宋体" w:hint="default"/>
          <w:sz w:val="16"/>
          <w:szCs w:val="16"/>
        </w:rPr>
        <w:t>/(</w:t>
      </w:r>
      <w:r>
        <w:rPr>
          <w:rFonts w:ascii="宋体" w:hAnsi="宋体" w:cs="宋体" w:eastAsia="宋体" w:hint="default"/>
          <w:spacing w:val="-63"/>
          <w:sz w:val="16"/>
          <w:szCs w:val="16"/>
        </w:rPr>
        <w:t> </w:t>
      </w:r>
      <w:r>
        <w:rPr>
          <w:rFonts w:ascii="宋体" w:hAnsi="宋体" w:cs="宋体" w:eastAsia="宋体" w:hint="default"/>
          <w:sz w:val="16"/>
          <w:szCs w:val="16"/>
        </w:rPr>
        <w:t>减少</w:t>
      </w:r>
      <w:r>
        <w:rPr>
          <w:rFonts w:ascii="宋体" w:hAnsi="宋体" w:cs="宋体" w:eastAsia="宋体" w:hint="default"/>
          <w:spacing w:val="-63"/>
          <w:sz w:val="16"/>
          <w:szCs w:val="16"/>
        </w:rPr>
        <w:t> </w:t>
      </w:r>
      <w:r>
        <w:rPr>
          <w:rFonts w:ascii="宋体" w:hAnsi="宋体" w:cs="宋体" w:eastAsia="宋体" w:hint="default"/>
          <w:sz w:val="16"/>
          <w:szCs w:val="16"/>
        </w:rPr>
        <w:t>)</w:t>
      </w:r>
      <w:r>
        <w:rPr>
          <w:rFonts w:ascii="宋体" w:hAnsi="宋体" w:cs="宋体" w:eastAsia="宋体" w:hint="default"/>
          <w:spacing w:val="-63"/>
          <w:sz w:val="16"/>
          <w:szCs w:val="16"/>
        </w:rPr>
        <w:t> </w:t>
      </w:r>
      <w:r>
        <w:rPr>
          <w:rFonts w:ascii="宋体" w:hAnsi="宋体" w:cs="宋体" w:eastAsia="宋体" w:hint="default"/>
          <w:sz w:val="16"/>
          <w:szCs w:val="16"/>
        </w:rPr>
        <w:t>当期报表项目金额</w:t>
      </w:r>
    </w:p>
    <w:p>
      <w:pPr>
        <w:spacing w:line="240" w:lineRule="auto" w:before="7"/>
        <w:rPr>
          <w:rFonts w:ascii="宋体" w:hAnsi="宋体" w:cs="宋体" w:eastAsia="宋体" w:hint="default"/>
          <w:sz w:val="13"/>
          <w:szCs w:val="13"/>
        </w:rPr>
      </w:pPr>
    </w:p>
    <w:p>
      <w:pPr>
        <w:spacing w:line="20" w:lineRule="exact"/>
        <w:ind w:left="4443" w:right="0" w:firstLine="0"/>
        <w:rPr>
          <w:rFonts w:ascii="宋体" w:hAnsi="宋体" w:cs="宋体" w:eastAsia="宋体" w:hint="default"/>
          <w:sz w:val="2"/>
          <w:szCs w:val="2"/>
        </w:rPr>
      </w:pPr>
      <w:r>
        <w:rPr>
          <w:rFonts w:ascii="宋体" w:hAnsi="宋体" w:cs="宋体" w:eastAsia="宋体" w:hint="default"/>
          <w:sz w:val="2"/>
          <w:szCs w:val="2"/>
        </w:rPr>
        <w:pict>
          <v:group style="width:266.1pt;height:.75pt;mso-position-horizontal-relative:char;mso-position-vertical-relative:line" coordorigin="0,0" coordsize="5322,15">
            <v:group style="position:absolute;left:8;top:8;width:2654;height:2" coordorigin="8,8" coordsize="2654,2">
              <v:shape style="position:absolute;left:8;top:8;width:2654;height:2" coordorigin="8,8" coordsize="2654,0" path="m8,8l2661,8e" filled="false" stroked="true" strokeweight=".75pt" strokecolor="#000000">
                <v:path arrowok="t"/>
              </v:shape>
            </v:group>
            <v:group style="position:absolute;left:2661;top:8;width:2654;height:2" coordorigin="2661,8" coordsize="2654,2">
              <v:shape style="position:absolute;left:2661;top:8;width:2654;height:2" coordorigin="2661,8" coordsize="2654,0" path="m2661,8l5314,8e" filled="false" stroked="true" strokeweight=".75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6"/>
          <w:szCs w:val="6"/>
        </w:rPr>
      </w:pPr>
    </w:p>
    <w:tbl>
      <w:tblPr>
        <w:tblW w:w="0" w:type="auto"/>
        <w:jc w:val="left"/>
        <w:tblInd w:w="468" w:type="dxa"/>
        <w:tblLayout w:type="fixed"/>
        <w:tblCellMar>
          <w:top w:w="0" w:type="dxa"/>
          <w:left w:w="0" w:type="dxa"/>
          <w:bottom w:w="0" w:type="dxa"/>
          <w:right w:w="0" w:type="dxa"/>
        </w:tblCellMar>
        <w:tblLook w:val="01E0"/>
      </w:tblPr>
      <w:tblGrid>
        <w:gridCol w:w="4110"/>
        <w:gridCol w:w="3500"/>
        <w:gridCol w:w="1680"/>
      </w:tblGrid>
      <w:tr>
        <w:trPr>
          <w:trHeight w:val="480" w:hRule="exact"/>
        </w:trPr>
        <w:tc>
          <w:tcPr>
            <w:tcW w:w="4110" w:type="dxa"/>
            <w:tcBorders>
              <w:top w:val="nil" w:sz="6" w:space="0" w:color="auto"/>
              <w:left w:val="nil" w:sz="6" w:space="0" w:color="auto"/>
              <w:bottom w:val="single" w:sz="16" w:space="0" w:color="9F8958"/>
              <w:right w:val="nil" w:sz="6" w:space="0" w:color="auto"/>
            </w:tcBorders>
          </w:tcPr>
          <w:p>
            <w:pPr/>
          </w:p>
        </w:tc>
        <w:tc>
          <w:tcPr>
            <w:tcW w:w="350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084"/>
              <w:jc w:val="right"/>
              <w:rPr>
                <w:rFonts w:ascii="宋体" w:hAnsi="宋体" w:cs="宋体" w:eastAsia="宋体" w:hint="default"/>
                <w:sz w:val="16"/>
                <w:szCs w:val="16"/>
              </w:rPr>
            </w:pPr>
            <w:r>
              <w:rPr>
                <w:rFonts w:ascii="宋体" w:hAnsi="宋体" w:cs="宋体" w:eastAsia="宋体" w:hint="default"/>
                <w:sz w:val="16"/>
                <w:szCs w:val="16"/>
              </w:rPr>
              <w:t>本集团</w:t>
            </w:r>
          </w:p>
        </w:tc>
        <w:tc>
          <w:tcPr>
            <w:tcW w:w="168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sz w:val="16"/>
                <w:szCs w:val="16"/>
              </w:rPr>
              <w:t>本公司</w:t>
            </w:r>
          </w:p>
        </w:tc>
      </w:tr>
      <w:tr>
        <w:trPr>
          <w:trHeight w:val="485" w:hRule="exact"/>
        </w:trPr>
        <w:tc>
          <w:tcPr>
            <w:tcW w:w="4110"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sz w:val="16"/>
                <w:szCs w:val="16"/>
              </w:rPr>
              <w:t>销售费用</w:t>
            </w:r>
          </w:p>
        </w:tc>
        <w:tc>
          <w:tcPr>
            <w:tcW w:w="3500"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1084"/>
              <w:jc w:val="right"/>
              <w:rPr>
                <w:rFonts w:ascii="宋体" w:hAnsi="宋体" w:cs="宋体" w:eastAsia="宋体" w:hint="default"/>
                <w:sz w:val="16"/>
                <w:szCs w:val="16"/>
              </w:rPr>
            </w:pPr>
            <w:r>
              <w:rPr>
                <w:rFonts w:ascii="宋体"/>
                <w:sz w:val="16"/>
              </w:rPr>
              <w:t>487,262,050</w:t>
            </w:r>
          </w:p>
        </w:tc>
        <w:tc>
          <w:tcPr>
            <w:tcW w:w="1680"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68" w:hRule="exact"/>
        </w:trPr>
        <w:tc>
          <w:tcPr>
            <w:tcW w:w="4110" w:type="dxa"/>
            <w:tcBorders>
              <w:top w:val="nil" w:sz="6" w:space="0" w:color="auto"/>
              <w:left w:val="nil" w:sz="6" w:space="0" w:color="auto"/>
              <w:bottom w:val="nil" w:sz="6" w:space="0" w:color="auto"/>
              <w:right w:val="nil" w:sz="6" w:space="0" w:color="auto"/>
            </w:tcBorders>
          </w:tcPr>
          <w:p>
            <w:pPr>
              <w:pStyle w:val="TableParagraph"/>
              <w:spacing w:line="240" w:lineRule="auto" w:before="90"/>
              <w:ind w:left="113" w:right="0"/>
              <w:jc w:val="left"/>
              <w:rPr>
                <w:rFonts w:ascii="宋体" w:hAnsi="宋体" w:cs="宋体" w:eastAsia="宋体" w:hint="default"/>
                <w:sz w:val="16"/>
                <w:szCs w:val="16"/>
              </w:rPr>
            </w:pPr>
            <w:r>
              <w:rPr>
                <w:rFonts w:ascii="宋体" w:hAnsi="宋体" w:cs="宋体" w:eastAsia="宋体" w:hint="default"/>
                <w:sz w:val="16"/>
                <w:szCs w:val="16"/>
              </w:rPr>
              <w:t>利润总额</w:t>
            </w:r>
          </w:p>
        </w:tc>
        <w:tc>
          <w:tcPr>
            <w:tcW w:w="350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084"/>
              <w:jc w:val="right"/>
              <w:rPr>
                <w:rFonts w:ascii="宋体" w:hAnsi="宋体" w:cs="宋体" w:eastAsia="宋体" w:hint="default"/>
                <w:sz w:val="16"/>
                <w:szCs w:val="16"/>
              </w:rPr>
            </w:pPr>
            <w:r>
              <w:rPr>
                <w:rFonts w:ascii="宋体"/>
                <w:w w:val="90"/>
                <w:sz w:val="16"/>
              </w:rPr>
              <w:t>(487,262,050)</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68" w:hRule="exact"/>
        </w:trPr>
        <w:tc>
          <w:tcPr>
            <w:tcW w:w="4110"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减：所得税费用</w:t>
            </w:r>
          </w:p>
        </w:tc>
        <w:tc>
          <w:tcPr>
            <w:tcW w:w="3500"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sz w:val="16"/>
              </w:rPr>
              <w:t>121,815,513</w:t>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54" w:hRule="exact"/>
        </w:trPr>
        <w:tc>
          <w:tcPr>
            <w:tcW w:w="4110" w:type="dxa"/>
            <w:tcBorders>
              <w:top w:val="nil" w:sz="6" w:space="0" w:color="auto"/>
              <w:left w:val="nil" w:sz="6" w:space="0" w:color="auto"/>
              <w:bottom w:val="single" w:sz="6" w:space="0" w:color="000000"/>
              <w:right w:val="nil" w:sz="6" w:space="0" w:color="auto"/>
            </w:tcBorders>
          </w:tcPr>
          <w:p>
            <w:pPr>
              <w:pStyle w:val="TableParagraph"/>
              <w:spacing w:line="240" w:lineRule="auto" w:before="90"/>
              <w:ind w:left="113" w:right="0"/>
              <w:jc w:val="left"/>
              <w:rPr>
                <w:rFonts w:ascii="宋体" w:hAnsi="宋体" w:cs="宋体" w:eastAsia="宋体" w:hint="default"/>
                <w:sz w:val="16"/>
                <w:szCs w:val="16"/>
              </w:rPr>
            </w:pPr>
            <w:r>
              <w:rPr>
                <w:rFonts w:ascii="宋体" w:hAnsi="宋体" w:cs="宋体" w:eastAsia="宋体" w:hint="default"/>
                <w:sz w:val="16"/>
                <w:szCs w:val="16"/>
              </w:rPr>
              <w:t>净利润</w:t>
            </w:r>
          </w:p>
        </w:tc>
        <w:tc>
          <w:tcPr>
            <w:tcW w:w="3500" w:type="dxa"/>
            <w:tcBorders>
              <w:top w:val="nil" w:sz="6" w:space="0" w:color="auto"/>
              <w:left w:val="nil" w:sz="6" w:space="0" w:color="auto"/>
              <w:bottom w:val="single" w:sz="6" w:space="0" w:color="000000"/>
              <w:right w:val="nil" w:sz="6" w:space="0" w:color="auto"/>
            </w:tcBorders>
          </w:tcPr>
          <w:p>
            <w:pPr>
              <w:pStyle w:val="TableParagraph"/>
              <w:spacing w:line="240" w:lineRule="auto" w:before="90"/>
              <w:ind w:right="1084"/>
              <w:jc w:val="right"/>
              <w:rPr>
                <w:rFonts w:ascii="宋体" w:hAnsi="宋体" w:cs="宋体" w:eastAsia="宋体" w:hint="default"/>
                <w:sz w:val="16"/>
                <w:szCs w:val="16"/>
              </w:rPr>
            </w:pPr>
            <w:r>
              <w:rPr>
                <w:rFonts w:ascii="宋体"/>
                <w:w w:val="90"/>
                <w:sz w:val="16"/>
              </w:rPr>
              <w:t>(365,446,537)</w:t>
            </w:r>
            <w:r>
              <w:rPr>
                <w:rFonts w:ascii="宋体"/>
                <w:sz w:val="16"/>
              </w:rPr>
            </w:r>
          </w:p>
        </w:tc>
        <w:tc>
          <w:tcPr>
            <w:tcW w:w="1680" w:type="dxa"/>
            <w:tcBorders>
              <w:top w:val="nil" w:sz="6" w:space="0" w:color="auto"/>
              <w:left w:val="nil" w:sz="6" w:space="0" w:color="auto"/>
              <w:bottom w:val="single" w:sz="6" w:space="0" w:color="000000"/>
              <w:right w:val="nil" w:sz="6" w:space="0" w:color="auto"/>
            </w:tcBorders>
          </w:tcPr>
          <w:p>
            <w:pPr>
              <w:pStyle w:val="TableParagraph"/>
              <w:spacing w:line="240" w:lineRule="auto" w:before="90"/>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78" w:hRule="exact"/>
        </w:trPr>
        <w:tc>
          <w:tcPr>
            <w:tcW w:w="4110"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sz w:val="16"/>
                <w:szCs w:val="16"/>
              </w:rPr>
              <w:t>其中：归属于母公司股东的净利润</w:t>
            </w:r>
          </w:p>
        </w:tc>
        <w:tc>
          <w:tcPr>
            <w:tcW w:w="3500"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right="1084"/>
              <w:jc w:val="right"/>
              <w:rPr>
                <w:rFonts w:ascii="宋体" w:hAnsi="宋体" w:cs="宋体" w:eastAsia="宋体" w:hint="default"/>
                <w:sz w:val="16"/>
                <w:szCs w:val="16"/>
              </w:rPr>
            </w:pPr>
            <w:r>
              <w:rPr>
                <w:rFonts w:ascii="宋体"/>
                <w:w w:val="90"/>
                <w:sz w:val="16"/>
              </w:rPr>
              <w:t>(160,568,918)</w:t>
            </w:r>
            <w:r>
              <w:rPr>
                <w:rFonts w:ascii="宋体"/>
                <w:sz w:val="16"/>
              </w:rPr>
            </w:r>
          </w:p>
        </w:tc>
        <w:tc>
          <w:tcPr>
            <w:tcW w:w="1680"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68" w:hRule="exact"/>
        </w:trPr>
        <w:tc>
          <w:tcPr>
            <w:tcW w:w="4110" w:type="dxa"/>
            <w:tcBorders>
              <w:top w:val="nil" w:sz="6" w:space="0" w:color="auto"/>
              <w:left w:val="nil" w:sz="6" w:space="0" w:color="auto"/>
              <w:bottom w:val="nil" w:sz="6" w:space="0" w:color="auto"/>
              <w:right w:val="nil" w:sz="6" w:space="0" w:color="auto"/>
            </w:tcBorders>
          </w:tcPr>
          <w:p>
            <w:pPr>
              <w:pStyle w:val="TableParagraph"/>
              <w:spacing w:line="205" w:lineRule="exact"/>
              <w:ind w:left="600" w:right="0"/>
              <w:jc w:val="left"/>
              <w:rPr>
                <w:rFonts w:ascii="宋体" w:hAnsi="宋体" w:cs="宋体" w:eastAsia="宋体" w:hint="default"/>
                <w:sz w:val="16"/>
                <w:szCs w:val="16"/>
              </w:rPr>
            </w:pPr>
            <w:r>
              <w:rPr>
                <w:rFonts w:ascii="宋体" w:hAnsi="宋体" w:cs="宋体" w:eastAsia="宋体" w:hint="default"/>
                <w:sz w:val="16"/>
                <w:szCs w:val="16"/>
              </w:rPr>
              <w:t>少数股东损益</w:t>
            </w:r>
          </w:p>
        </w:tc>
        <w:tc>
          <w:tcPr>
            <w:tcW w:w="3500"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0"/>
                <w:sz w:val="16"/>
              </w:rPr>
              <w:t>(204,877,619)</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54" w:hRule="exact"/>
        </w:trPr>
        <w:tc>
          <w:tcPr>
            <w:tcW w:w="4110" w:type="dxa"/>
            <w:tcBorders>
              <w:top w:val="nil" w:sz="6" w:space="0" w:color="auto"/>
              <w:left w:val="nil" w:sz="6" w:space="0" w:color="auto"/>
              <w:bottom w:val="single" w:sz="6" w:space="0" w:color="000000"/>
              <w:right w:val="nil" w:sz="6" w:space="0" w:color="auto"/>
            </w:tcBorders>
          </w:tcPr>
          <w:p>
            <w:pPr>
              <w:pStyle w:val="TableParagraph"/>
              <w:spacing w:line="240" w:lineRule="auto" w:before="90"/>
              <w:ind w:left="113" w:right="0"/>
              <w:jc w:val="left"/>
              <w:rPr>
                <w:rFonts w:ascii="宋体" w:hAnsi="宋体" w:cs="宋体" w:eastAsia="宋体" w:hint="default"/>
                <w:sz w:val="16"/>
                <w:szCs w:val="16"/>
              </w:rPr>
            </w:pPr>
            <w:r>
              <w:rPr>
                <w:rFonts w:ascii="宋体" w:hAnsi="宋体" w:cs="宋体" w:eastAsia="宋体" w:hint="default"/>
                <w:sz w:val="16"/>
                <w:szCs w:val="16"/>
              </w:rPr>
              <w:t>综合收益总额</w:t>
            </w:r>
          </w:p>
        </w:tc>
        <w:tc>
          <w:tcPr>
            <w:tcW w:w="3500" w:type="dxa"/>
            <w:tcBorders>
              <w:top w:val="nil" w:sz="6" w:space="0" w:color="auto"/>
              <w:left w:val="nil" w:sz="6" w:space="0" w:color="auto"/>
              <w:bottom w:val="single" w:sz="6" w:space="0" w:color="000000"/>
              <w:right w:val="nil" w:sz="6" w:space="0" w:color="auto"/>
            </w:tcBorders>
          </w:tcPr>
          <w:p>
            <w:pPr>
              <w:pStyle w:val="TableParagraph"/>
              <w:spacing w:line="240" w:lineRule="auto" w:before="90"/>
              <w:ind w:right="1084"/>
              <w:jc w:val="right"/>
              <w:rPr>
                <w:rFonts w:ascii="宋体" w:hAnsi="宋体" w:cs="宋体" w:eastAsia="宋体" w:hint="default"/>
                <w:sz w:val="16"/>
                <w:szCs w:val="16"/>
              </w:rPr>
            </w:pPr>
            <w:r>
              <w:rPr>
                <w:rFonts w:ascii="宋体"/>
                <w:w w:val="90"/>
                <w:sz w:val="16"/>
              </w:rPr>
              <w:t>(365,446,537)</w:t>
            </w:r>
            <w:r>
              <w:rPr>
                <w:rFonts w:ascii="宋体"/>
                <w:sz w:val="16"/>
              </w:rPr>
            </w:r>
          </w:p>
        </w:tc>
        <w:tc>
          <w:tcPr>
            <w:tcW w:w="1680" w:type="dxa"/>
            <w:tcBorders>
              <w:top w:val="nil" w:sz="6" w:space="0" w:color="auto"/>
              <w:left w:val="nil" w:sz="6" w:space="0" w:color="auto"/>
              <w:bottom w:val="single" w:sz="6" w:space="0" w:color="000000"/>
              <w:right w:val="nil" w:sz="6" w:space="0" w:color="auto"/>
            </w:tcBorders>
          </w:tcPr>
          <w:p>
            <w:pPr>
              <w:pStyle w:val="TableParagraph"/>
              <w:spacing w:line="240" w:lineRule="auto" w:before="90"/>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78" w:hRule="exact"/>
        </w:trPr>
        <w:tc>
          <w:tcPr>
            <w:tcW w:w="4110"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sz w:val="16"/>
                <w:szCs w:val="16"/>
              </w:rPr>
              <w:t>其中：归属于母公司股东的综合收益</w:t>
            </w:r>
          </w:p>
        </w:tc>
        <w:tc>
          <w:tcPr>
            <w:tcW w:w="3500"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right="1084"/>
              <w:jc w:val="right"/>
              <w:rPr>
                <w:rFonts w:ascii="宋体" w:hAnsi="宋体" w:cs="宋体" w:eastAsia="宋体" w:hint="default"/>
                <w:sz w:val="16"/>
                <w:szCs w:val="16"/>
              </w:rPr>
            </w:pPr>
            <w:r>
              <w:rPr>
                <w:rFonts w:ascii="宋体"/>
                <w:w w:val="90"/>
                <w:sz w:val="16"/>
              </w:rPr>
              <w:t>(160,568,918)</w:t>
            </w:r>
            <w:r>
              <w:rPr>
                <w:rFonts w:ascii="宋体"/>
                <w:sz w:val="16"/>
              </w:rPr>
            </w:r>
          </w:p>
        </w:tc>
        <w:tc>
          <w:tcPr>
            <w:tcW w:w="1680"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17" w:hRule="exact"/>
        </w:trPr>
        <w:tc>
          <w:tcPr>
            <w:tcW w:w="4110" w:type="dxa"/>
            <w:tcBorders>
              <w:top w:val="nil" w:sz="6" w:space="0" w:color="auto"/>
              <w:left w:val="nil" w:sz="6" w:space="0" w:color="auto"/>
              <w:bottom w:val="nil" w:sz="6" w:space="0" w:color="auto"/>
              <w:right w:val="nil" w:sz="6" w:space="0" w:color="auto"/>
            </w:tcBorders>
          </w:tcPr>
          <w:p>
            <w:pPr>
              <w:pStyle w:val="TableParagraph"/>
              <w:spacing w:line="205" w:lineRule="exact"/>
              <w:ind w:left="600" w:right="0"/>
              <w:jc w:val="left"/>
              <w:rPr>
                <w:rFonts w:ascii="宋体" w:hAnsi="宋体" w:cs="宋体" w:eastAsia="宋体" w:hint="default"/>
                <w:sz w:val="16"/>
                <w:szCs w:val="16"/>
              </w:rPr>
            </w:pPr>
            <w:r>
              <w:rPr>
                <w:rFonts w:ascii="宋体" w:hAnsi="宋体" w:cs="宋体" w:eastAsia="宋体" w:hint="default"/>
                <w:sz w:val="16"/>
                <w:szCs w:val="16"/>
              </w:rPr>
              <w:t>归属于少数股东的综合收益</w:t>
            </w:r>
          </w:p>
        </w:tc>
        <w:tc>
          <w:tcPr>
            <w:tcW w:w="3500"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0"/>
                <w:sz w:val="16"/>
              </w:rPr>
              <w:t>(204,877,619)</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bl>
    <w:p>
      <w:pPr>
        <w:spacing w:line="240" w:lineRule="auto" w:before="4"/>
        <w:rPr>
          <w:rFonts w:ascii="宋体" w:hAnsi="宋体" w:cs="宋体" w:eastAsia="宋体" w:hint="default"/>
          <w:sz w:val="2"/>
          <w:szCs w:val="2"/>
        </w:rPr>
      </w:pPr>
    </w:p>
    <w:p>
      <w:pPr>
        <w:spacing w:line="40" w:lineRule="exact"/>
        <w:ind w:left="448"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5pt;height:2pt;mso-position-horizontal-relative:char;mso-position-vertical-relative:line" coordorigin="0,0" coordsize="9330,40">
            <v:group style="position:absolute;left:20;top:20;width:3983;height:2" coordorigin="20,20" coordsize="3983,2">
              <v:shape style="position:absolute;left:20;top:20;width:3983;height:2" coordorigin="20,20" coordsize="3983,0" path="m20,20l4003,20e" filled="false" stroked="true" strokeweight="2pt" strokecolor="#9f8958">
                <v:path arrowok="t"/>
              </v:shape>
            </v:group>
            <v:group style="position:absolute;left:4003;top:20;width:2654;height:2" coordorigin="4003,20" coordsize="2654,2">
              <v:shape style="position:absolute;left:4003;top:20;width:2654;height:2" coordorigin="4003,20" coordsize="2654,0" path="m4003,20l6656,20e" filled="false" stroked="true" strokeweight="2pt" strokecolor="#9f8958">
                <v:path arrowok="t"/>
              </v:shape>
            </v:group>
            <v:group style="position:absolute;left:6656;top:20;width:2654;height:2" coordorigin="6656,20" coordsize="2654,2">
              <v:shape style="position:absolute;left:6656;top:20;width:2654;height:2" coordorigin="6656,20" coordsize="2654,0" path="m6656,20l9309,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footerReference w:type="even" r:id="rId289"/>
          <w:footerReference w:type="default" r:id="rId290"/>
          <w:pgSz w:w="11910" w:h="16160"/>
          <w:pgMar w:footer="320" w:header="1200" w:top="2120" w:bottom="520" w:left="680" w:right="1340"/>
          <w:pgNumType w:start="122"/>
        </w:sectPr>
      </w:pPr>
    </w:p>
    <w:p>
      <w:pPr>
        <w:spacing w:line="240" w:lineRule="auto" w:before="7"/>
        <w:rPr>
          <w:rFonts w:ascii="宋体" w:hAnsi="宋体" w:cs="宋体" w:eastAsia="宋体" w:hint="default"/>
          <w:sz w:val="14"/>
          <w:szCs w:val="14"/>
        </w:rPr>
      </w:pPr>
    </w:p>
    <w:p>
      <w:pPr>
        <w:pStyle w:val="BodyText"/>
        <w:spacing w:line="240" w:lineRule="auto" w:before="31"/>
        <w:ind w:left="128" w:right="125"/>
        <w:jc w:val="left"/>
      </w:pPr>
      <w:r>
        <w:rPr/>
        <w:t>(1)</w:t>
      </w:r>
      <w:r>
        <w:rPr>
          <w:spacing w:val="-21"/>
        </w:rPr>
        <w:t> </w:t>
      </w:r>
      <w:r>
        <w:rPr/>
        <w:t>新收入准则（续）</w:t>
      </w:r>
    </w:p>
    <w:p>
      <w:pPr>
        <w:spacing w:line="240" w:lineRule="auto" w:before="12"/>
        <w:rPr>
          <w:rFonts w:ascii="宋体" w:hAnsi="宋体" w:cs="宋体" w:eastAsia="宋体" w:hint="default"/>
          <w:sz w:val="17"/>
          <w:szCs w:val="17"/>
        </w:rPr>
      </w:pPr>
    </w:p>
    <w:p>
      <w:pPr>
        <w:pStyle w:val="BodyText"/>
        <w:spacing w:line="240" w:lineRule="auto"/>
        <w:ind w:left="468" w:right="125"/>
        <w:jc w:val="left"/>
      </w:pPr>
      <w:r>
        <w:rPr/>
        <w:t>-</w:t>
      </w:r>
      <w:r>
        <w:rPr>
          <w:spacing w:val="38"/>
        </w:rPr>
        <w:t> </w:t>
      </w:r>
      <w:r>
        <w:rPr/>
        <w:t>会计政策变更对</w:t>
      </w:r>
      <w:r>
        <w:rPr>
          <w:spacing w:val="-32"/>
        </w:rPr>
        <w:t> </w:t>
      </w:r>
      <w:r>
        <w:rPr/>
        <w:t>2018</w:t>
      </w:r>
      <w:r>
        <w:rPr>
          <w:spacing w:val="-34"/>
        </w:rPr>
        <w:t> </w:t>
      </w:r>
      <w:r>
        <w:rPr/>
        <w:t>年</w:t>
      </w:r>
      <w:r>
        <w:rPr>
          <w:spacing w:val="-32"/>
        </w:rPr>
        <w:t> </w:t>
      </w:r>
      <w:r>
        <w:rPr/>
        <w:t>12</w:t>
      </w:r>
      <w:r>
        <w:rPr>
          <w:spacing w:val="-34"/>
        </w:rPr>
        <w:t> </w:t>
      </w:r>
      <w:r>
        <w:rPr/>
        <w:t>月</w:t>
      </w:r>
      <w:r>
        <w:rPr>
          <w:spacing w:val="-32"/>
        </w:rPr>
        <w:t> </w:t>
      </w:r>
      <w:r>
        <w:rPr/>
        <w:t>31</w:t>
      </w:r>
      <w:r>
        <w:rPr>
          <w:spacing w:val="-34"/>
        </w:rPr>
        <w:t> </w:t>
      </w:r>
      <w:r>
        <w:rPr/>
        <w:t>日合并资产负债表及本公司资产负债表各项目的影响分析：</w:t>
      </w:r>
    </w:p>
    <w:p>
      <w:pPr>
        <w:spacing w:line="240" w:lineRule="auto" w:before="10"/>
        <w:rPr>
          <w:rFonts w:ascii="宋体" w:hAnsi="宋体" w:cs="宋体" w:eastAsia="宋体" w:hint="default"/>
          <w:sz w:val="20"/>
          <w:szCs w:val="20"/>
        </w:rPr>
      </w:pPr>
    </w:p>
    <w:p>
      <w:pPr>
        <w:spacing w:before="0"/>
        <w:ind w:left="5974" w:right="125" w:firstLine="0"/>
        <w:jc w:val="left"/>
        <w:rPr>
          <w:rFonts w:ascii="宋体" w:hAnsi="宋体" w:cs="宋体" w:eastAsia="宋体" w:hint="default"/>
          <w:sz w:val="16"/>
          <w:szCs w:val="16"/>
        </w:rPr>
      </w:pPr>
      <w:r>
        <w:rPr>
          <w:rFonts w:ascii="宋体" w:hAnsi="宋体" w:cs="宋体" w:eastAsia="宋体" w:hint="default"/>
          <w:sz w:val="16"/>
          <w:szCs w:val="16"/>
        </w:rPr>
        <w:t>采用变更后会计政策增加</w:t>
      </w:r>
      <w:r>
        <w:rPr>
          <w:rFonts w:ascii="宋体" w:hAnsi="宋体" w:cs="宋体" w:eastAsia="宋体" w:hint="default"/>
          <w:spacing w:val="-63"/>
          <w:sz w:val="16"/>
          <w:szCs w:val="16"/>
        </w:rPr>
        <w:t> </w:t>
      </w:r>
      <w:r>
        <w:rPr>
          <w:rFonts w:ascii="宋体" w:hAnsi="宋体" w:cs="宋体" w:eastAsia="宋体" w:hint="default"/>
          <w:sz w:val="16"/>
          <w:szCs w:val="16"/>
        </w:rPr>
        <w:t>/(</w:t>
      </w:r>
      <w:r>
        <w:rPr>
          <w:rFonts w:ascii="宋体" w:hAnsi="宋体" w:cs="宋体" w:eastAsia="宋体" w:hint="default"/>
          <w:spacing w:val="-63"/>
          <w:sz w:val="16"/>
          <w:szCs w:val="16"/>
        </w:rPr>
        <w:t> </w:t>
      </w:r>
      <w:r>
        <w:rPr>
          <w:rFonts w:ascii="宋体" w:hAnsi="宋体" w:cs="宋体" w:eastAsia="宋体" w:hint="default"/>
          <w:sz w:val="16"/>
          <w:szCs w:val="16"/>
        </w:rPr>
        <w:t>减少</w:t>
      </w:r>
      <w:r>
        <w:rPr>
          <w:rFonts w:ascii="宋体" w:hAnsi="宋体" w:cs="宋体" w:eastAsia="宋体" w:hint="default"/>
          <w:spacing w:val="-63"/>
          <w:sz w:val="16"/>
          <w:szCs w:val="16"/>
        </w:rPr>
        <w:t> </w:t>
      </w:r>
      <w:r>
        <w:rPr>
          <w:rFonts w:ascii="宋体" w:hAnsi="宋体" w:cs="宋体" w:eastAsia="宋体" w:hint="default"/>
          <w:sz w:val="16"/>
          <w:szCs w:val="16"/>
        </w:rPr>
        <w:t>)</w:t>
      </w:r>
      <w:r>
        <w:rPr>
          <w:rFonts w:ascii="宋体" w:hAnsi="宋体" w:cs="宋体" w:eastAsia="宋体" w:hint="default"/>
          <w:spacing w:val="-63"/>
          <w:sz w:val="16"/>
          <w:szCs w:val="16"/>
        </w:rPr>
        <w:t> </w:t>
      </w:r>
      <w:r>
        <w:rPr>
          <w:rFonts w:ascii="宋体" w:hAnsi="宋体" w:cs="宋体" w:eastAsia="宋体" w:hint="default"/>
          <w:sz w:val="16"/>
          <w:szCs w:val="16"/>
        </w:rPr>
        <w:t>当期报表项目金额</w:t>
      </w:r>
    </w:p>
    <w:p>
      <w:pPr>
        <w:spacing w:line="240" w:lineRule="auto" w:before="7"/>
        <w:rPr>
          <w:rFonts w:ascii="宋体" w:hAnsi="宋体" w:cs="宋体" w:eastAsia="宋体" w:hint="default"/>
          <w:sz w:val="13"/>
          <w:szCs w:val="13"/>
        </w:rPr>
      </w:pPr>
    </w:p>
    <w:p>
      <w:pPr>
        <w:spacing w:line="20" w:lineRule="exact"/>
        <w:ind w:left="4443" w:right="0" w:firstLine="0"/>
        <w:rPr>
          <w:rFonts w:ascii="宋体" w:hAnsi="宋体" w:cs="宋体" w:eastAsia="宋体" w:hint="default"/>
          <w:sz w:val="2"/>
          <w:szCs w:val="2"/>
        </w:rPr>
      </w:pPr>
      <w:r>
        <w:rPr>
          <w:rFonts w:ascii="宋体" w:hAnsi="宋体" w:cs="宋体" w:eastAsia="宋体" w:hint="default"/>
          <w:sz w:val="2"/>
          <w:szCs w:val="2"/>
        </w:rPr>
        <w:pict>
          <v:group style="width:266.1pt;height:.75pt;mso-position-horizontal-relative:char;mso-position-vertical-relative:line" coordorigin="0,0" coordsize="5322,15">
            <v:group style="position:absolute;left:8;top:8;width:2654;height:2" coordorigin="8,8" coordsize="2654,2">
              <v:shape style="position:absolute;left:8;top:8;width:2654;height:2" coordorigin="8,8" coordsize="2654,0" path="m8,8l2661,8e" filled="false" stroked="true" strokeweight=".75pt" strokecolor="#000000">
                <v:path arrowok="t"/>
              </v:shape>
            </v:group>
            <v:group style="position:absolute;left:2661;top:8;width:2654;height:2" coordorigin="2661,8" coordsize="2654,2">
              <v:shape style="position:absolute;left:2661;top:8;width:2654;height:2" coordorigin="2661,8" coordsize="2654,0" path="m2661,8l5314,8e" filled="false" stroked="true" strokeweight=".75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6"/>
          <w:szCs w:val="6"/>
        </w:rPr>
      </w:pPr>
    </w:p>
    <w:tbl>
      <w:tblPr>
        <w:tblW w:w="0" w:type="auto"/>
        <w:jc w:val="left"/>
        <w:tblInd w:w="468" w:type="dxa"/>
        <w:tblLayout w:type="fixed"/>
        <w:tblCellMar>
          <w:top w:w="0" w:type="dxa"/>
          <w:left w:w="0" w:type="dxa"/>
          <w:bottom w:w="0" w:type="dxa"/>
          <w:right w:w="0" w:type="dxa"/>
        </w:tblCellMar>
        <w:tblLook w:val="01E0"/>
      </w:tblPr>
      <w:tblGrid>
        <w:gridCol w:w="3279"/>
        <w:gridCol w:w="4331"/>
        <w:gridCol w:w="1680"/>
      </w:tblGrid>
      <w:tr>
        <w:trPr>
          <w:trHeight w:val="440" w:hRule="exact"/>
        </w:trPr>
        <w:tc>
          <w:tcPr>
            <w:tcW w:w="3279" w:type="dxa"/>
            <w:tcBorders>
              <w:top w:val="nil" w:sz="6" w:space="0" w:color="auto"/>
              <w:left w:val="nil" w:sz="6" w:space="0" w:color="auto"/>
              <w:bottom w:val="single" w:sz="16" w:space="0" w:color="9F8958"/>
              <w:right w:val="nil" w:sz="6" w:space="0" w:color="auto"/>
            </w:tcBorders>
          </w:tcPr>
          <w:p>
            <w:pPr/>
          </w:p>
        </w:tc>
        <w:tc>
          <w:tcPr>
            <w:tcW w:w="4331"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084"/>
              <w:jc w:val="right"/>
              <w:rPr>
                <w:rFonts w:ascii="宋体" w:hAnsi="宋体" w:cs="宋体" w:eastAsia="宋体" w:hint="default"/>
                <w:sz w:val="16"/>
                <w:szCs w:val="16"/>
              </w:rPr>
            </w:pPr>
            <w:r>
              <w:rPr>
                <w:rFonts w:ascii="宋体" w:hAnsi="宋体" w:cs="宋体" w:eastAsia="宋体" w:hint="default"/>
                <w:sz w:val="16"/>
                <w:szCs w:val="16"/>
              </w:rPr>
              <w:t>本集团</w:t>
            </w:r>
          </w:p>
        </w:tc>
        <w:tc>
          <w:tcPr>
            <w:tcW w:w="168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sz w:val="16"/>
                <w:szCs w:val="16"/>
              </w:rPr>
              <w:t>本公司</w:t>
            </w:r>
          </w:p>
        </w:tc>
      </w:tr>
      <w:tr>
        <w:trPr>
          <w:trHeight w:val="664" w:hRule="exact"/>
        </w:trPr>
        <w:tc>
          <w:tcPr>
            <w:tcW w:w="3279" w:type="dxa"/>
            <w:tcBorders>
              <w:top w:val="single" w:sz="16" w:space="0" w:color="9F8958"/>
              <w:left w:val="nil" w:sz="6" w:space="0" w:color="auto"/>
              <w:bottom w:val="nil" w:sz="6" w:space="0" w:color="auto"/>
              <w:right w:val="nil" w:sz="6" w:space="0" w:color="auto"/>
            </w:tcBorders>
          </w:tcPr>
          <w:p>
            <w:pPr>
              <w:pStyle w:val="TableParagraph"/>
              <w:spacing w:line="314" w:lineRule="auto" w:before="92"/>
              <w:ind w:left="113" w:right="2523"/>
              <w:jc w:val="left"/>
              <w:rPr>
                <w:rFonts w:ascii="宋体" w:hAnsi="宋体" w:cs="宋体" w:eastAsia="宋体" w:hint="default"/>
                <w:sz w:val="16"/>
                <w:szCs w:val="16"/>
              </w:rPr>
            </w:pPr>
            <w:r>
              <w:rPr>
                <w:rFonts w:ascii="宋体" w:hAnsi="宋体" w:cs="宋体" w:eastAsia="宋体" w:hint="default"/>
                <w:sz w:val="16"/>
                <w:szCs w:val="16"/>
              </w:rPr>
              <w:t>资产： 合同资产</w:t>
            </w:r>
          </w:p>
        </w:tc>
        <w:tc>
          <w:tcPr>
            <w:tcW w:w="4331"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084"/>
              <w:jc w:val="right"/>
              <w:rPr>
                <w:rFonts w:ascii="宋体" w:hAnsi="宋体" w:cs="宋体" w:eastAsia="宋体" w:hint="default"/>
                <w:sz w:val="16"/>
                <w:szCs w:val="16"/>
              </w:rPr>
            </w:pPr>
            <w:r>
              <w:rPr>
                <w:rFonts w:ascii="宋体"/>
                <w:w w:val="95"/>
                <w:sz w:val="16"/>
              </w:rPr>
              <w:t>1,254,428,639</w:t>
            </w:r>
            <w:r>
              <w:rPr>
                <w:rFonts w:ascii="宋体"/>
                <w:sz w:val="16"/>
              </w:rPr>
            </w:r>
          </w:p>
        </w:tc>
        <w:tc>
          <w:tcPr>
            <w:tcW w:w="1680"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
              <w:ind w:right="0"/>
              <w:jc w:val="left"/>
              <w:rPr>
                <w:rFonts w:ascii="宋体" w:hAnsi="宋体" w:cs="宋体" w:eastAsia="宋体" w:hint="default"/>
                <w:sz w:val="11"/>
                <w:szCs w:val="11"/>
              </w:rPr>
            </w:pPr>
          </w:p>
          <w:p>
            <w:pPr>
              <w:pStyle w:val="TableParagraph"/>
              <w:spacing w:line="240" w:lineRule="auto"/>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0"/>
                <w:sz w:val="16"/>
              </w:rPr>
              <w:t>(1,254,428,639)</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0"/>
                <w:sz w:val="16"/>
              </w:rPr>
              <w:t>(228,583,220)</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长期待摊费用</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0"/>
                <w:sz w:val="16"/>
              </w:rPr>
              <w:t>(3,784,458,665)</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68"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其他非流动资产</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5"/>
                <w:sz w:val="16"/>
              </w:rPr>
              <w:t>5,631,553,546</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642"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314" w:lineRule="auto" w:before="90"/>
              <w:ind w:left="113" w:right="2523"/>
              <w:jc w:val="left"/>
              <w:rPr>
                <w:rFonts w:ascii="宋体" w:hAnsi="宋体" w:cs="宋体" w:eastAsia="宋体" w:hint="default"/>
                <w:sz w:val="16"/>
                <w:szCs w:val="16"/>
              </w:rPr>
            </w:pPr>
            <w:r>
              <w:rPr>
                <w:rFonts w:ascii="宋体" w:hAnsi="宋体" w:cs="宋体" w:eastAsia="宋体" w:hint="default"/>
                <w:sz w:val="16"/>
                <w:szCs w:val="16"/>
              </w:rPr>
              <w:t>负债： 合同负债</w:t>
            </w:r>
          </w:p>
        </w:tc>
        <w:tc>
          <w:tcPr>
            <w:tcW w:w="43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084"/>
              <w:jc w:val="right"/>
              <w:rPr>
                <w:rFonts w:ascii="宋体" w:hAnsi="宋体" w:cs="宋体" w:eastAsia="宋体" w:hint="default"/>
                <w:sz w:val="16"/>
                <w:szCs w:val="16"/>
              </w:rPr>
            </w:pPr>
            <w:r>
              <w:rPr>
                <w:rFonts w:ascii="宋体"/>
                <w:w w:val="95"/>
                <w:sz w:val="16"/>
              </w:rPr>
              <w:t>42,968,208,117</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预收款项</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0"/>
                <w:sz w:val="16"/>
              </w:rPr>
              <w:t>(45,283,199,432)</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w w:val="95"/>
                <w:sz w:val="16"/>
              </w:rPr>
              <w:t>3,397,762,622</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应交税费</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4"/>
              <w:jc w:val="right"/>
              <w:rPr>
                <w:rFonts w:ascii="宋体" w:hAnsi="宋体" w:cs="宋体" w:eastAsia="宋体" w:hint="default"/>
                <w:sz w:val="16"/>
                <w:szCs w:val="16"/>
              </w:rPr>
            </w:pPr>
            <w:r>
              <w:rPr>
                <w:rFonts w:ascii="宋体"/>
                <w:sz w:val="16"/>
              </w:rPr>
              <w:t>233,190,500</w:t>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68"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递延收益</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5"/>
              <w:jc w:val="right"/>
              <w:rPr>
                <w:rFonts w:ascii="宋体" w:hAnsi="宋体" w:cs="宋体" w:eastAsia="宋体" w:hint="default"/>
                <w:sz w:val="16"/>
                <w:szCs w:val="16"/>
              </w:rPr>
            </w:pPr>
            <w:r>
              <w:rPr>
                <w:rFonts w:ascii="宋体"/>
                <w:w w:val="90"/>
                <w:sz w:val="16"/>
              </w:rPr>
              <w:t>(1,082,771,307)</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642"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314" w:lineRule="auto" w:before="90"/>
              <w:ind w:left="112" w:right="2363"/>
              <w:jc w:val="left"/>
              <w:rPr>
                <w:rFonts w:ascii="宋体" w:hAnsi="宋体" w:cs="宋体" w:eastAsia="宋体" w:hint="default"/>
                <w:sz w:val="16"/>
                <w:szCs w:val="16"/>
              </w:rPr>
            </w:pPr>
            <w:r>
              <w:rPr>
                <w:rFonts w:ascii="宋体" w:hAnsi="宋体" w:cs="宋体" w:eastAsia="宋体" w:hint="default"/>
                <w:sz w:val="16"/>
                <w:szCs w:val="16"/>
              </w:rPr>
              <w:t>股东权益： 未分配利润</w:t>
            </w:r>
          </w:p>
        </w:tc>
        <w:tc>
          <w:tcPr>
            <w:tcW w:w="433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085"/>
              <w:jc w:val="right"/>
              <w:rPr>
                <w:rFonts w:ascii="宋体" w:hAnsi="宋体" w:cs="宋体" w:eastAsia="宋体" w:hint="default"/>
                <w:sz w:val="16"/>
                <w:szCs w:val="16"/>
              </w:rPr>
            </w:pPr>
            <w:r>
              <w:rPr>
                <w:rFonts w:ascii="宋体"/>
                <w:sz w:val="16"/>
              </w:rPr>
              <w:t>608,678,692</w:t>
            </w:r>
          </w:p>
        </w:tc>
        <w:tc>
          <w:tcPr>
            <w:tcW w:w="1680"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1"/>
              <w:ind w:right="0"/>
              <w:jc w:val="left"/>
              <w:rPr>
                <w:rFonts w:ascii="宋体" w:hAnsi="宋体" w:cs="宋体" w:eastAsia="宋体" w:hint="default"/>
                <w:sz w:val="11"/>
                <w:szCs w:val="11"/>
              </w:rPr>
            </w:pPr>
          </w:p>
          <w:p>
            <w:pPr>
              <w:pStyle w:val="TableParagraph"/>
              <w:spacing w:line="240" w:lineRule="auto"/>
              <w:ind w:right="112"/>
              <w:jc w:val="right"/>
              <w:rPr>
                <w:rFonts w:ascii="宋体" w:hAnsi="宋体" w:cs="宋体" w:eastAsia="宋体" w:hint="default"/>
                <w:sz w:val="16"/>
                <w:szCs w:val="16"/>
              </w:rPr>
            </w:pPr>
            <w:r>
              <w:rPr>
                <w:rFonts w:ascii="宋体"/>
                <w:w w:val="131"/>
                <w:sz w:val="16"/>
              </w:rPr>
              <w:t>-</w:t>
            </w:r>
            <w:r>
              <w:rPr>
                <w:rFonts w:ascii="宋体"/>
                <w:sz w:val="16"/>
              </w:rPr>
            </w:r>
          </w:p>
        </w:tc>
      </w:tr>
      <w:tr>
        <w:trPr>
          <w:trHeight w:val="317" w:hRule="exact"/>
        </w:trPr>
        <w:tc>
          <w:tcPr>
            <w:tcW w:w="3279"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少数股东权益</w:t>
            </w:r>
          </w:p>
        </w:tc>
        <w:tc>
          <w:tcPr>
            <w:tcW w:w="4331" w:type="dxa"/>
            <w:tcBorders>
              <w:top w:val="nil" w:sz="6" w:space="0" w:color="auto"/>
              <w:left w:val="nil" w:sz="6" w:space="0" w:color="auto"/>
              <w:bottom w:val="nil" w:sz="6" w:space="0" w:color="auto"/>
              <w:right w:val="nil" w:sz="6" w:space="0" w:color="auto"/>
            </w:tcBorders>
          </w:tcPr>
          <w:p>
            <w:pPr>
              <w:pStyle w:val="TableParagraph"/>
              <w:spacing w:line="205" w:lineRule="exact"/>
              <w:ind w:right="1085"/>
              <w:jc w:val="right"/>
              <w:rPr>
                <w:rFonts w:ascii="宋体" w:hAnsi="宋体" w:cs="宋体" w:eastAsia="宋体" w:hint="default"/>
                <w:sz w:val="16"/>
                <w:szCs w:val="16"/>
              </w:rPr>
            </w:pPr>
            <w:r>
              <w:rPr>
                <w:rFonts w:ascii="宋体"/>
                <w:sz w:val="16"/>
              </w:rPr>
              <w:t>776,642,469</w:t>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31"/>
                <w:sz w:val="16"/>
              </w:rPr>
              <w:t>-</w:t>
            </w:r>
            <w:r>
              <w:rPr>
                <w:rFonts w:ascii="宋体"/>
                <w:sz w:val="16"/>
              </w:rPr>
            </w:r>
          </w:p>
        </w:tc>
      </w:tr>
    </w:tbl>
    <w:p>
      <w:pPr>
        <w:spacing w:line="240" w:lineRule="auto" w:before="3"/>
        <w:rPr>
          <w:rFonts w:ascii="宋体" w:hAnsi="宋体" w:cs="宋体" w:eastAsia="宋体" w:hint="default"/>
          <w:sz w:val="2"/>
          <w:szCs w:val="2"/>
        </w:rPr>
      </w:pPr>
    </w:p>
    <w:p>
      <w:pPr>
        <w:spacing w:line="40" w:lineRule="exact"/>
        <w:ind w:left="448"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5pt;height:2pt;mso-position-horizontal-relative:char;mso-position-vertical-relative:line" coordorigin="0,0" coordsize="9330,40">
            <v:group style="position:absolute;left:20;top:20;width:3983;height:2" coordorigin="20,20" coordsize="3983,2">
              <v:shape style="position:absolute;left:20;top:20;width:3983;height:2" coordorigin="20,20" coordsize="3983,0" path="m20,20l4003,20e" filled="false" stroked="true" strokeweight="2pt" strokecolor="#9f8958">
                <v:path arrowok="t"/>
              </v:shape>
            </v:group>
            <v:group style="position:absolute;left:4003;top:20;width:2654;height:2" coordorigin="4003,20" coordsize="2654,2">
              <v:shape style="position:absolute;left:4003;top:20;width:2654;height:2" coordorigin="4003,20" coordsize="2654,0" path="m4003,20l6656,20e" filled="false" stroked="true" strokeweight="2pt" strokecolor="#9f8958">
                <v:path arrowok="t"/>
              </v:shape>
            </v:group>
            <v:group style="position:absolute;left:6656;top:20;width:2654;height:2" coordorigin="6656,20" coordsize="2654,2">
              <v:shape style="position:absolute;left:6656;top:20;width:2654;height:2" coordorigin="6656,20" coordsize="2654,0" path="m6656,20l9309,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headerReference w:type="default" r:id="rId291"/>
          <w:headerReference w:type="even" r:id="rId292"/>
          <w:pgSz w:w="11910" w:h="16160"/>
          <w:pgMar w:header="2796" w:footer="298" w:top="3900" w:bottom="480" w:left="136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0"/>
        <w:jc w:val="both"/>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27" w:right="7766"/>
        <w:jc w:val="both"/>
      </w:pPr>
      <w:r>
        <w:rPr/>
        <w:t>33、会计政策变更（续）</w:t>
      </w:r>
      <w:r>
        <w:rPr>
          <w:spacing w:val="-71"/>
        </w:rPr>
        <w:t> </w:t>
      </w:r>
      <w:r>
        <w:rPr>
          <w:w w:val="95"/>
        </w:rPr>
        <w:t>(b)</w:t>
      </w:r>
      <w:r>
        <w:rPr>
          <w:spacing w:val="-9"/>
          <w:w w:val="95"/>
        </w:rPr>
        <w:t> </w:t>
      </w:r>
      <w:r>
        <w:rPr>
          <w:w w:val="95"/>
        </w:rPr>
        <w:t>变更的主要影响（续）</w:t>
      </w:r>
      <w:r>
        <w:rPr>
          <w:spacing w:val="-81"/>
          <w:w w:val="95"/>
        </w:rPr>
        <w:t> </w:t>
      </w:r>
      <w:r>
        <w:rPr>
          <w:spacing w:val="-81"/>
          <w:w w:val="95"/>
        </w:rPr>
      </w:r>
      <w:r>
        <w:rPr/>
        <w:t>(2)</w:t>
      </w:r>
      <w:r>
        <w:rPr>
          <w:spacing w:val="-21"/>
        </w:rPr>
        <w:t> </w:t>
      </w:r>
      <w:r>
        <w:rPr/>
        <w:t>新金融工具准则</w:t>
      </w:r>
    </w:p>
    <w:p>
      <w:pPr>
        <w:pStyle w:val="BodyText"/>
        <w:spacing w:line="240" w:lineRule="auto" w:before="54"/>
        <w:ind w:left="468" w:right="87"/>
        <w:jc w:val="left"/>
      </w:pPr>
      <w:r>
        <w:rPr/>
        <w:t>新金融工具准则修订了财政部于</w:t>
      </w:r>
      <w:r>
        <w:rPr>
          <w:spacing w:val="-22"/>
        </w:rPr>
        <w:t> </w:t>
      </w:r>
      <w:r>
        <w:rPr/>
        <w:t>2006</w:t>
      </w:r>
      <w:r>
        <w:rPr>
          <w:spacing w:val="-22"/>
        </w:rPr>
        <w:t> </w:t>
      </w:r>
      <w:r>
        <w:rPr/>
        <w:t>年颁布的《企业会计准则第</w:t>
      </w:r>
      <w:r>
        <w:rPr>
          <w:spacing w:val="-22"/>
        </w:rPr>
        <w:t> </w:t>
      </w:r>
      <w:r>
        <w:rPr/>
        <w:t>22</w:t>
      </w:r>
      <w:r>
        <w:rPr>
          <w:spacing w:val="-22"/>
        </w:rPr>
        <w:t> </w:t>
      </w:r>
      <w:r>
        <w:rPr/>
        <w:t>号——金融工具确认和计量》、《企业会计准则</w:t>
      </w:r>
    </w:p>
    <w:p>
      <w:pPr>
        <w:pStyle w:val="BodyText"/>
        <w:spacing w:line="240" w:lineRule="auto" w:before="44"/>
        <w:ind w:left="468" w:right="87"/>
        <w:jc w:val="left"/>
      </w:pPr>
      <w:r>
        <w:rPr/>
        <w:t>第</w:t>
      </w:r>
      <w:r>
        <w:rPr>
          <w:spacing w:val="-30"/>
        </w:rPr>
        <w:t> </w:t>
      </w:r>
      <w:r>
        <w:rPr/>
        <w:t>23</w:t>
      </w:r>
      <w:r>
        <w:rPr>
          <w:spacing w:val="-30"/>
        </w:rPr>
        <w:t> </w:t>
      </w:r>
      <w:r>
        <w:rPr>
          <w:spacing w:val="2"/>
        </w:rPr>
        <w:t>号——金融资产转移》和《企业会计准则第</w:t>
      </w:r>
      <w:r>
        <w:rPr>
          <w:spacing w:val="-30"/>
        </w:rPr>
        <w:t> </w:t>
      </w:r>
      <w:r>
        <w:rPr/>
        <w:t>24</w:t>
      </w:r>
      <w:r>
        <w:rPr>
          <w:spacing w:val="-30"/>
        </w:rPr>
        <w:t> </w:t>
      </w:r>
      <w:r>
        <w:rPr>
          <w:spacing w:val="2"/>
        </w:rPr>
        <w:t>号——套期保值》以及财政部于</w:t>
      </w:r>
      <w:r>
        <w:rPr>
          <w:spacing w:val="-30"/>
        </w:rPr>
        <w:t> </w:t>
      </w:r>
      <w:r>
        <w:rPr/>
        <w:t>2014</w:t>
      </w:r>
      <w:r>
        <w:rPr>
          <w:spacing w:val="-30"/>
        </w:rPr>
        <w:t> </w:t>
      </w:r>
      <w:r>
        <w:rPr>
          <w:spacing w:val="2"/>
        </w:rPr>
        <w:t>年修订的《企业会计准则</w:t>
      </w:r>
      <w:r>
        <w:rPr/>
      </w:r>
    </w:p>
    <w:p>
      <w:pPr>
        <w:pStyle w:val="BodyText"/>
        <w:spacing w:line="240" w:lineRule="auto" w:before="44"/>
        <w:ind w:left="468" w:right="87"/>
        <w:jc w:val="left"/>
      </w:pPr>
      <w:r>
        <w:rPr/>
        <w:t>第 37</w:t>
      </w:r>
      <w:r>
        <w:rPr>
          <w:spacing w:val="-72"/>
        </w:rPr>
        <w:t> </w:t>
      </w:r>
      <w:r>
        <w:rPr/>
        <w:t>号——金融工具列报》（统称“原金融工具准则”）。</w:t>
      </w:r>
    </w:p>
    <w:p>
      <w:pPr>
        <w:spacing w:line="240" w:lineRule="auto" w:before="5"/>
        <w:rPr>
          <w:rFonts w:ascii="宋体" w:hAnsi="宋体" w:cs="宋体" w:eastAsia="宋体" w:hint="default"/>
          <w:sz w:val="16"/>
          <w:szCs w:val="16"/>
        </w:rPr>
      </w:pPr>
    </w:p>
    <w:p>
      <w:pPr>
        <w:pStyle w:val="BodyText"/>
        <w:spacing w:line="285" w:lineRule="auto"/>
        <w:ind w:left="468" w:right="187"/>
        <w:jc w:val="both"/>
      </w:pPr>
      <w:r>
        <w:rPr>
          <w:w w:val="96"/>
        </w:rPr>
        <w:t>新金融工具准则将金融资产划分为三个基本分类：(1)</w:t>
      </w:r>
      <w:r>
        <w:rPr>
          <w:spacing w:val="9"/>
          <w:w w:val="96"/>
        </w:rPr>
        <w:t> </w:t>
      </w:r>
      <w:r>
        <w:rPr/>
        <w:t>以摊余成本计量的金融资产；</w:t>
      </w:r>
      <w:r>
        <w:rPr>
          <w:spacing w:val="4"/>
        </w:rPr>
        <w:t> </w:t>
      </w:r>
      <w:r>
        <w:rPr>
          <w:spacing w:val="-1"/>
          <w:w w:val="73"/>
        </w:rPr>
        <w:t>(2)</w:t>
      </w:r>
      <w:r>
        <w:rPr>
          <w:spacing w:val="29"/>
          <w:w w:val="73"/>
        </w:rPr>
        <w:t> </w:t>
      </w:r>
      <w:r>
        <w:rPr>
          <w:spacing w:val="1"/>
        </w:rPr>
        <w:t>以公允价值计量且其变动计入</w:t>
      </w:r>
      <w:r>
        <w:rPr>
          <w:spacing w:val="-84"/>
        </w:rPr>
        <w:t> </w:t>
      </w:r>
      <w:r>
        <w:rPr>
          <w:spacing w:val="-84"/>
        </w:rPr>
      </w:r>
      <w:r>
        <w:rPr>
          <w:spacing w:val="1"/>
        </w:rPr>
        <w:t>其他综合收益的金融资产；及</w:t>
      </w:r>
      <w:r>
        <w:rPr/>
        <w:t> </w:t>
      </w:r>
      <w:r>
        <w:rPr>
          <w:spacing w:val="-1"/>
          <w:w w:val="73"/>
        </w:rPr>
        <w:t>(3)</w:t>
      </w:r>
      <w:r>
        <w:rPr>
          <w:w w:val="73"/>
        </w:rPr>
        <w:t> </w:t>
      </w:r>
      <w:r>
        <w:rPr>
          <w:spacing w:val="1"/>
        </w:rPr>
        <w:t>以公允价值计量且其变动计入当期损益的金融资产。在新金融工具准则下，金融资</w:t>
      </w:r>
      <w:r>
        <w:rPr>
          <w:spacing w:val="-69"/>
        </w:rPr>
        <w:t> </w:t>
      </w:r>
      <w:r>
        <w:rPr>
          <w:spacing w:val="-69"/>
        </w:rPr>
      </w:r>
      <w:r>
        <w:rPr/>
        <w:t>产的分类是基于本集团管理金融资产的业务模式及该资产的合同现金流量特征而确定。新金融工具准则取消了原金融</w:t>
      </w:r>
      <w:r>
        <w:rPr>
          <w:spacing w:val="9"/>
        </w:rPr>
        <w:t> </w:t>
      </w:r>
      <w:r>
        <w:rPr>
          <w:spacing w:val="9"/>
        </w:rPr>
      </w:r>
      <w:r>
        <w:rPr/>
        <w:t>工具准则中规定的持有至到期投资、贷款和应收款项及可供出售金融资产三个分类类别。根据新金融工具准则，嵌入</w:t>
      </w:r>
      <w:r>
        <w:rPr>
          <w:spacing w:val="5"/>
        </w:rPr>
        <w:t> </w:t>
      </w:r>
      <w:r>
        <w:rPr>
          <w:spacing w:val="5"/>
        </w:rPr>
      </w:r>
      <w:r>
        <w:rPr/>
        <w:t>衍生工具不再从金融资产的主合同中分拆出来，而是将混合金融工具整体适用关于金融资产分类的相关规定。</w:t>
      </w:r>
    </w:p>
    <w:p>
      <w:pPr>
        <w:spacing w:line="240" w:lineRule="auto" w:before="10"/>
        <w:rPr>
          <w:rFonts w:ascii="宋体" w:hAnsi="宋体" w:cs="宋体" w:eastAsia="宋体" w:hint="default"/>
          <w:sz w:val="13"/>
          <w:szCs w:val="13"/>
        </w:rPr>
      </w:pPr>
    </w:p>
    <w:p>
      <w:pPr>
        <w:pStyle w:val="BodyText"/>
        <w:spacing w:line="240" w:lineRule="auto"/>
        <w:ind w:left="468" w:right="87"/>
        <w:jc w:val="left"/>
      </w:pPr>
      <w:r>
        <w:rPr/>
        <w:t>采用新金融工具准则对本集团金融负债的会计政策并无重大影响。</w:t>
      </w:r>
    </w:p>
    <w:p>
      <w:pPr>
        <w:spacing w:line="240" w:lineRule="auto" w:before="5"/>
        <w:rPr>
          <w:rFonts w:ascii="宋体" w:hAnsi="宋体" w:cs="宋体" w:eastAsia="宋体" w:hint="default"/>
          <w:sz w:val="16"/>
          <w:szCs w:val="16"/>
        </w:rPr>
      </w:pPr>
    </w:p>
    <w:p>
      <w:pPr>
        <w:pStyle w:val="BodyText"/>
        <w:spacing w:line="285" w:lineRule="auto"/>
        <w:ind w:left="468" w:right="95"/>
        <w:jc w:val="left"/>
      </w:pPr>
      <w:r>
        <w:rPr/>
        <w:t>2018</w:t>
      </w:r>
      <w:r>
        <w:rPr>
          <w:spacing w:val="-34"/>
        </w:rPr>
        <w:t> </w:t>
      </w:r>
      <w:r>
        <w:rPr/>
        <w:t>年</w:t>
      </w:r>
      <w:r>
        <w:rPr>
          <w:spacing w:val="-34"/>
        </w:rPr>
        <w:t> </w:t>
      </w:r>
      <w:r>
        <w:rPr/>
        <w:t>1</w:t>
      </w:r>
      <w:r>
        <w:rPr>
          <w:spacing w:val="-34"/>
        </w:rPr>
        <w:t> </w:t>
      </w:r>
      <w:r>
        <w:rPr/>
        <w:t>月</w:t>
      </w:r>
      <w:r>
        <w:rPr>
          <w:spacing w:val="-34"/>
        </w:rPr>
        <w:t> </w:t>
      </w:r>
      <w:r>
        <w:rPr/>
        <w:t>1</w:t>
      </w:r>
      <w:r>
        <w:rPr>
          <w:spacing w:val="-34"/>
        </w:rPr>
        <w:t> </w:t>
      </w:r>
      <w:r>
        <w:rPr>
          <w:spacing w:val="-4"/>
        </w:rPr>
        <w:t>日，本集团将交易性金融资产分类为以公允价值计量且其变动计入当期损益的金融资产（附注五（2）），</w:t>
      </w:r>
      <w:r>
        <w:rPr>
          <w:spacing w:val="-85"/>
        </w:rPr>
        <w:t> </w:t>
      </w:r>
      <w:r>
        <w:rPr>
          <w:spacing w:val="-85"/>
        </w:rPr>
      </w:r>
      <w:r>
        <w:rPr/>
        <w:t>将于可供出售金融资产核算的对交通银行的股票投资和对西班牙电信的股票投资等不可撤销地指定为以公允价值计量</w:t>
      </w:r>
      <w:r>
        <w:rPr>
          <w:spacing w:val="9"/>
        </w:rPr>
        <w:t> </w:t>
      </w:r>
      <w:r>
        <w:rPr>
          <w:spacing w:val="9"/>
        </w:rPr>
      </w:r>
      <w:r>
        <w:rPr/>
        <w:t>且其变动计入其他综合收益（不得在未来结转计入当期损益），列为其他权益工具投资（附注五（10））。该重新分</w:t>
      </w:r>
      <w:r>
        <w:rPr>
          <w:spacing w:val="-30"/>
        </w:rPr>
        <w:t> </w:t>
      </w:r>
      <w:r>
        <w:rPr>
          <w:spacing w:val="-30"/>
        </w:rPr>
      </w:r>
      <w:r>
        <w:rPr/>
        <w:t>类并未影响该等金融资产的账面价值，对于</w:t>
      </w:r>
      <w:r>
        <w:rPr>
          <w:spacing w:val="-35"/>
        </w:rPr>
        <w:t> </w:t>
      </w:r>
      <w:r>
        <w:rPr/>
        <w:t>2018</w:t>
      </w:r>
      <w:r>
        <w:rPr>
          <w:spacing w:val="-37"/>
        </w:rPr>
        <w:t> </w:t>
      </w:r>
      <w:r>
        <w:rPr/>
        <w:t>年</w:t>
      </w:r>
      <w:r>
        <w:rPr>
          <w:spacing w:val="-35"/>
        </w:rPr>
        <w:t> </w:t>
      </w:r>
      <w:r>
        <w:rPr/>
        <w:t>1</w:t>
      </w:r>
      <w:r>
        <w:rPr>
          <w:spacing w:val="-37"/>
        </w:rPr>
        <w:t> </w:t>
      </w:r>
      <w:r>
        <w:rPr/>
        <w:t>月</w:t>
      </w:r>
      <w:r>
        <w:rPr>
          <w:spacing w:val="-35"/>
        </w:rPr>
        <w:t> </w:t>
      </w:r>
      <w:r>
        <w:rPr/>
        <w:t>1</w:t>
      </w:r>
      <w:r>
        <w:rPr>
          <w:spacing w:val="-37"/>
        </w:rPr>
        <w:t> </w:t>
      </w:r>
      <w:r>
        <w:rPr/>
        <w:t>日的本集团的未分配利润及资本公积没有重大影响。</w:t>
      </w:r>
    </w:p>
    <w:p>
      <w:pPr>
        <w:spacing w:line="240" w:lineRule="auto" w:before="10"/>
        <w:rPr>
          <w:rFonts w:ascii="宋体" w:hAnsi="宋体" w:cs="宋体" w:eastAsia="宋体" w:hint="default"/>
          <w:sz w:val="13"/>
          <w:szCs w:val="13"/>
        </w:rPr>
      </w:pPr>
    </w:p>
    <w:p>
      <w:pPr>
        <w:pStyle w:val="BodyText"/>
        <w:spacing w:line="285" w:lineRule="auto"/>
        <w:ind w:left="468" w:right="187"/>
        <w:jc w:val="left"/>
      </w:pPr>
      <w:r>
        <w:rPr/>
        <w:t>2018</w:t>
      </w:r>
      <w:r>
        <w:rPr>
          <w:spacing w:val="-36"/>
        </w:rPr>
        <w:t> </w:t>
      </w:r>
      <w:r>
        <w:rPr/>
        <w:t>年</w:t>
      </w:r>
      <w:r>
        <w:rPr>
          <w:spacing w:val="-36"/>
        </w:rPr>
        <w:t> </w:t>
      </w:r>
      <w:r>
        <w:rPr/>
        <w:t>1</w:t>
      </w:r>
      <w:r>
        <w:rPr>
          <w:spacing w:val="-36"/>
        </w:rPr>
        <w:t> </w:t>
      </w:r>
      <w:r>
        <w:rPr/>
        <w:t>月</w:t>
      </w:r>
      <w:r>
        <w:rPr>
          <w:spacing w:val="-36"/>
        </w:rPr>
        <w:t> </w:t>
      </w:r>
      <w:r>
        <w:rPr/>
        <w:t>1</w:t>
      </w:r>
      <w:r>
        <w:rPr>
          <w:spacing w:val="-36"/>
        </w:rPr>
        <w:t> </w:t>
      </w:r>
      <w:r>
        <w:rPr/>
        <w:t>日，本集团没有将任何金融资产或金融负债指定为以公允价值计量且其变动计入当期损益的金融资产或</w:t>
      </w:r>
      <w:r>
        <w:rPr>
          <w:spacing w:val="-87"/>
        </w:rPr>
        <w:t> </w:t>
      </w:r>
      <w:r>
        <w:rPr>
          <w:spacing w:val="-87"/>
        </w:rPr>
      </w:r>
      <w:r>
        <w:rPr>
          <w:w w:val="105"/>
        </w:rPr>
        <w:t>金融负债，也没有撤销之前的指定。</w:t>
      </w:r>
    </w:p>
    <w:p>
      <w:pPr>
        <w:spacing w:line="240" w:lineRule="auto" w:before="10"/>
        <w:rPr>
          <w:rFonts w:ascii="宋体" w:hAnsi="宋体" w:cs="宋体" w:eastAsia="宋体" w:hint="default"/>
          <w:sz w:val="13"/>
          <w:szCs w:val="13"/>
        </w:rPr>
      </w:pPr>
    </w:p>
    <w:p>
      <w:pPr>
        <w:pStyle w:val="BodyText"/>
        <w:spacing w:line="285" w:lineRule="auto"/>
        <w:ind w:left="468" w:right="87"/>
        <w:jc w:val="left"/>
      </w:pPr>
      <w:r>
        <w:rPr/>
        <w:t>新金融工具准则以“预期信用损失”模型替代了原金融工具准则中的“已发生损失”模型。“预期信用损失”模型要 求持续评估金融资产的信用风险，因此在新金融工具准则下，本集团信用损失的确认时点早于原金融工具准则。</w:t>
      </w:r>
    </w:p>
    <w:p>
      <w:pPr>
        <w:spacing w:line="240" w:lineRule="auto" w:before="10"/>
        <w:rPr>
          <w:rFonts w:ascii="宋体" w:hAnsi="宋体" w:cs="宋体" w:eastAsia="宋体" w:hint="default"/>
          <w:sz w:val="13"/>
          <w:szCs w:val="13"/>
        </w:rPr>
      </w:pPr>
    </w:p>
    <w:p>
      <w:pPr>
        <w:pStyle w:val="BodyText"/>
        <w:spacing w:line="240" w:lineRule="auto"/>
        <w:ind w:left="468" w:right="87"/>
        <w:jc w:val="left"/>
      </w:pPr>
      <w:r>
        <w:rPr/>
        <w:t>“预期信用损失”模型适用于下列项目：</w:t>
      </w:r>
    </w:p>
    <w:p>
      <w:pPr>
        <w:spacing w:line="240" w:lineRule="auto" w:before="5"/>
        <w:rPr>
          <w:rFonts w:ascii="宋体" w:hAnsi="宋体" w:cs="宋体" w:eastAsia="宋体" w:hint="default"/>
          <w:sz w:val="16"/>
          <w:szCs w:val="16"/>
        </w:rPr>
      </w:pPr>
    </w:p>
    <w:p>
      <w:pPr>
        <w:pStyle w:val="BodyText"/>
        <w:spacing w:line="240" w:lineRule="auto"/>
        <w:ind w:left="468" w:right="87"/>
        <w:jc w:val="left"/>
      </w:pPr>
      <w:r>
        <w:rPr/>
        <w:t>-</w:t>
      </w:r>
      <w:r>
        <w:rPr>
          <w:spacing w:val="37"/>
        </w:rPr>
        <w:t> </w:t>
      </w:r>
      <w:r>
        <w:rPr/>
        <w:t>以摊余成本计量的金融资产</w:t>
      </w:r>
    </w:p>
    <w:p>
      <w:pPr>
        <w:spacing w:line="240" w:lineRule="auto" w:before="5"/>
        <w:rPr>
          <w:rFonts w:ascii="宋体" w:hAnsi="宋体" w:cs="宋体" w:eastAsia="宋体" w:hint="default"/>
          <w:sz w:val="16"/>
          <w:szCs w:val="16"/>
        </w:rPr>
      </w:pPr>
    </w:p>
    <w:p>
      <w:pPr>
        <w:pStyle w:val="BodyText"/>
        <w:spacing w:line="458" w:lineRule="auto"/>
        <w:ind w:left="468" w:right="5677"/>
        <w:jc w:val="left"/>
      </w:pPr>
      <w:r>
        <w:rPr>
          <w:w w:val="105"/>
        </w:rPr>
        <w:t>- 合同资产（附注三</w:t>
      </w:r>
      <w:r>
        <w:rPr>
          <w:spacing w:val="-57"/>
          <w:w w:val="105"/>
        </w:rPr>
        <w:t> </w:t>
      </w:r>
      <w:r>
        <w:rPr>
          <w:w w:val="105"/>
        </w:rPr>
        <w:t>(23)）</w:t>
      </w:r>
      <w:r>
        <w:rPr>
          <w:w w:val="88"/>
        </w:rPr>
        <w:t> </w:t>
      </w:r>
      <w:r>
        <w:rPr/>
        <w:t>“预期信用损失”模型不适用于权益工具投资。</w:t>
      </w:r>
    </w:p>
    <w:p>
      <w:pPr>
        <w:pStyle w:val="BodyText"/>
        <w:spacing w:line="285" w:lineRule="auto" w:before="50"/>
        <w:ind w:left="468" w:right="87"/>
        <w:jc w:val="left"/>
      </w:pPr>
      <w:r>
        <w:rPr/>
        <w:t>本集团将根据原金融工具准则计量的</w:t>
      </w:r>
      <w:r>
        <w:rPr>
          <w:spacing w:val="-30"/>
        </w:rPr>
        <w:t> </w:t>
      </w:r>
      <w:r>
        <w:rPr/>
        <w:t>2017</w:t>
      </w:r>
      <w:r>
        <w:rPr>
          <w:spacing w:val="-30"/>
        </w:rPr>
        <w:t> </w:t>
      </w:r>
      <w:r>
        <w:rPr/>
        <w:t>年年末减值准备与根据新金融工具准则确定的</w:t>
      </w:r>
      <w:r>
        <w:rPr>
          <w:spacing w:val="-30"/>
        </w:rPr>
        <w:t> </w:t>
      </w:r>
      <w:r>
        <w:rPr/>
        <w:t>2018</w:t>
      </w:r>
      <w:r>
        <w:rPr>
          <w:spacing w:val="-30"/>
        </w:rPr>
        <w:t> </w:t>
      </w:r>
      <w:r>
        <w:rPr/>
        <w:t>年年初损失准备之间的</w:t>
      </w:r>
      <w:r>
        <w:rPr>
          <w:spacing w:val="-78"/>
        </w:rPr>
        <w:t> </w:t>
      </w:r>
      <w:r>
        <w:rPr>
          <w:spacing w:val="-78"/>
        </w:rPr>
      </w:r>
      <w:r>
        <w:rPr/>
        <w:t>调节表列示如下：</w:t>
      </w:r>
    </w:p>
    <w:p>
      <w:pPr>
        <w:spacing w:line="240" w:lineRule="auto" w:before="4"/>
        <w:rPr>
          <w:rFonts w:ascii="宋体" w:hAnsi="宋体" w:cs="宋体" w:eastAsia="宋体" w:hint="default"/>
          <w:sz w:val="12"/>
          <w:szCs w:val="12"/>
        </w:rPr>
      </w:pPr>
    </w:p>
    <w:tbl>
      <w:tblPr>
        <w:tblW w:w="0" w:type="auto"/>
        <w:jc w:val="left"/>
        <w:tblInd w:w="468" w:type="dxa"/>
        <w:tblLayout w:type="fixed"/>
        <w:tblCellMar>
          <w:top w:w="0" w:type="dxa"/>
          <w:left w:w="0" w:type="dxa"/>
          <w:bottom w:w="0" w:type="dxa"/>
          <w:right w:w="0" w:type="dxa"/>
        </w:tblCellMar>
        <w:tblLook w:val="01E0"/>
      </w:tblPr>
      <w:tblGrid>
        <w:gridCol w:w="6012"/>
        <w:gridCol w:w="3260"/>
      </w:tblGrid>
      <w:tr>
        <w:trPr>
          <w:trHeight w:val="949" w:hRule="exact"/>
        </w:trPr>
        <w:tc>
          <w:tcPr>
            <w:tcW w:w="6012"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113" w:right="0"/>
              <w:jc w:val="lef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63"/>
                <w:w w:val="105"/>
                <w:sz w:val="16"/>
                <w:szCs w:val="16"/>
              </w:rPr>
              <w:t> </w:t>
            </w:r>
            <w:r>
              <w:rPr>
                <w:rFonts w:ascii="宋体" w:hAnsi="宋体" w:cs="宋体" w:eastAsia="宋体" w:hint="default"/>
                <w:w w:val="105"/>
                <w:sz w:val="16"/>
                <w:szCs w:val="16"/>
              </w:rPr>
              <w:t>年</w:t>
            </w:r>
            <w:r>
              <w:rPr>
                <w:rFonts w:ascii="宋体" w:hAnsi="宋体" w:cs="宋体" w:eastAsia="宋体" w:hint="default"/>
                <w:spacing w:val="-63"/>
                <w:w w:val="105"/>
                <w:sz w:val="16"/>
                <w:szCs w:val="16"/>
              </w:rPr>
              <w:t> </w:t>
            </w:r>
            <w:r>
              <w:rPr>
                <w:rFonts w:ascii="宋体" w:hAnsi="宋体" w:cs="宋体" w:eastAsia="宋体" w:hint="default"/>
                <w:w w:val="105"/>
                <w:sz w:val="16"/>
                <w:szCs w:val="16"/>
              </w:rPr>
              <w:t>12</w:t>
            </w:r>
            <w:r>
              <w:rPr>
                <w:rFonts w:ascii="宋体" w:hAnsi="宋体" w:cs="宋体" w:eastAsia="宋体" w:hint="default"/>
                <w:spacing w:val="-63"/>
                <w:w w:val="105"/>
                <w:sz w:val="16"/>
                <w:szCs w:val="16"/>
              </w:rPr>
              <w:t> </w:t>
            </w:r>
            <w:r>
              <w:rPr>
                <w:rFonts w:ascii="宋体" w:hAnsi="宋体" w:cs="宋体" w:eastAsia="宋体" w:hint="default"/>
                <w:w w:val="105"/>
                <w:sz w:val="16"/>
                <w:szCs w:val="16"/>
              </w:rPr>
              <w:t>月</w:t>
            </w:r>
            <w:r>
              <w:rPr>
                <w:rFonts w:ascii="宋体" w:hAnsi="宋体" w:cs="宋体" w:eastAsia="宋体" w:hint="default"/>
                <w:spacing w:val="-63"/>
                <w:w w:val="105"/>
                <w:sz w:val="16"/>
                <w:szCs w:val="16"/>
              </w:rPr>
              <w:t> </w:t>
            </w:r>
            <w:r>
              <w:rPr>
                <w:rFonts w:ascii="宋体" w:hAnsi="宋体" w:cs="宋体" w:eastAsia="宋体" w:hint="default"/>
                <w:w w:val="105"/>
                <w:sz w:val="16"/>
                <w:szCs w:val="16"/>
              </w:rPr>
              <w:t>31</w:t>
            </w:r>
            <w:r>
              <w:rPr>
                <w:rFonts w:ascii="宋体" w:hAnsi="宋体" w:cs="宋体" w:eastAsia="宋体" w:hint="default"/>
                <w:spacing w:val="-63"/>
                <w:w w:val="105"/>
                <w:sz w:val="16"/>
                <w:szCs w:val="16"/>
              </w:rPr>
              <w:t> </w:t>
            </w:r>
            <w:r>
              <w:rPr>
                <w:rFonts w:ascii="宋体" w:hAnsi="宋体" w:cs="宋体" w:eastAsia="宋体" w:hint="default"/>
                <w:w w:val="105"/>
                <w:sz w:val="16"/>
                <w:szCs w:val="16"/>
              </w:rPr>
              <w:t>日原金融工具准则下的减值准备</w:t>
            </w:r>
          </w:p>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70"/>
                <w:w w:val="105"/>
                <w:sz w:val="16"/>
                <w:szCs w:val="16"/>
              </w:rPr>
              <w:t> </w:t>
            </w:r>
            <w:r>
              <w:rPr>
                <w:rFonts w:ascii="宋体" w:hAnsi="宋体" w:cs="宋体" w:eastAsia="宋体" w:hint="default"/>
                <w:w w:val="105"/>
                <w:sz w:val="16"/>
                <w:szCs w:val="16"/>
              </w:rPr>
              <w:t>年</w:t>
            </w:r>
            <w:r>
              <w:rPr>
                <w:rFonts w:ascii="宋体" w:hAnsi="宋体" w:cs="宋体" w:eastAsia="宋体" w:hint="default"/>
                <w:spacing w:val="-69"/>
                <w:w w:val="105"/>
                <w:sz w:val="16"/>
                <w:szCs w:val="16"/>
              </w:rPr>
              <w:t> </w:t>
            </w:r>
            <w:r>
              <w:rPr>
                <w:rFonts w:ascii="宋体" w:hAnsi="宋体" w:cs="宋体" w:eastAsia="宋体" w:hint="default"/>
                <w:w w:val="105"/>
                <w:sz w:val="16"/>
                <w:szCs w:val="16"/>
              </w:rPr>
              <w:t>1</w:t>
            </w:r>
            <w:r>
              <w:rPr>
                <w:rFonts w:ascii="宋体" w:hAnsi="宋体" w:cs="宋体" w:eastAsia="宋体" w:hint="default"/>
                <w:spacing w:val="-70"/>
                <w:w w:val="105"/>
                <w:sz w:val="16"/>
                <w:szCs w:val="16"/>
              </w:rPr>
              <w:t> </w:t>
            </w:r>
            <w:r>
              <w:rPr>
                <w:rFonts w:ascii="宋体" w:hAnsi="宋体" w:cs="宋体" w:eastAsia="宋体" w:hint="default"/>
                <w:w w:val="105"/>
                <w:sz w:val="16"/>
                <w:szCs w:val="16"/>
              </w:rPr>
              <w:t>月</w:t>
            </w:r>
            <w:r>
              <w:rPr>
                <w:rFonts w:ascii="宋体" w:hAnsi="宋体" w:cs="宋体" w:eastAsia="宋体" w:hint="default"/>
                <w:spacing w:val="-69"/>
                <w:w w:val="105"/>
                <w:sz w:val="16"/>
                <w:szCs w:val="16"/>
              </w:rPr>
              <w:t> </w:t>
            </w:r>
            <w:r>
              <w:rPr>
                <w:rFonts w:ascii="宋体" w:hAnsi="宋体" w:cs="宋体" w:eastAsia="宋体" w:hint="default"/>
                <w:w w:val="105"/>
                <w:sz w:val="16"/>
                <w:szCs w:val="16"/>
              </w:rPr>
              <w:t>1</w:t>
            </w:r>
            <w:r>
              <w:rPr>
                <w:rFonts w:ascii="宋体" w:hAnsi="宋体" w:cs="宋体" w:eastAsia="宋体" w:hint="default"/>
                <w:spacing w:val="-70"/>
                <w:w w:val="105"/>
                <w:sz w:val="16"/>
                <w:szCs w:val="16"/>
              </w:rPr>
              <w:t> </w:t>
            </w:r>
            <w:r>
              <w:rPr>
                <w:rFonts w:ascii="宋体" w:hAnsi="宋体" w:cs="宋体" w:eastAsia="宋体" w:hint="default"/>
                <w:w w:val="105"/>
                <w:sz w:val="16"/>
                <w:szCs w:val="16"/>
              </w:rPr>
              <w:t>日首次执行新金融工具准则的调整金额</w:t>
            </w:r>
          </w:p>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12"/>
                <w:sz w:val="16"/>
                <w:szCs w:val="16"/>
              </w:rPr>
              <w:t> </w:t>
            </w:r>
            <w:r>
              <w:rPr>
                <w:rFonts w:ascii="宋体" w:hAnsi="宋体" w:cs="宋体" w:eastAsia="宋体" w:hint="default"/>
                <w:sz w:val="16"/>
                <w:szCs w:val="16"/>
              </w:rPr>
              <w:t>应收票据及应收账款</w:t>
            </w:r>
          </w:p>
        </w:tc>
        <w:tc>
          <w:tcPr>
            <w:tcW w:w="3260" w:type="dxa"/>
            <w:tcBorders>
              <w:top w:val="nil" w:sz="6" w:space="0" w:color="auto"/>
              <w:left w:val="nil" w:sz="6" w:space="0" w:color="auto"/>
              <w:bottom w:val="single" w:sz="6" w:space="0" w:color="000000"/>
              <w:right w:val="nil" w:sz="6" w:space="0" w:color="auto"/>
            </w:tcBorders>
          </w:tcPr>
          <w:p>
            <w:pPr>
              <w:pStyle w:val="TableParagraph"/>
              <w:spacing w:line="240" w:lineRule="auto" w:before="38"/>
              <w:ind w:left="2126" w:right="0"/>
              <w:jc w:val="left"/>
              <w:rPr>
                <w:rFonts w:ascii="宋体" w:hAnsi="宋体" w:cs="宋体" w:eastAsia="宋体" w:hint="default"/>
                <w:sz w:val="16"/>
                <w:szCs w:val="16"/>
              </w:rPr>
            </w:pPr>
            <w:r>
              <w:rPr>
                <w:rFonts w:ascii="宋体"/>
                <w:sz w:val="16"/>
              </w:rPr>
              <w:t>6,657,494,503</w:t>
            </w: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2126" w:right="0"/>
              <w:jc w:val="left"/>
              <w:rPr>
                <w:rFonts w:ascii="宋体" w:hAnsi="宋体" w:cs="宋体" w:eastAsia="宋体" w:hint="default"/>
                <w:sz w:val="16"/>
                <w:szCs w:val="16"/>
              </w:rPr>
            </w:pPr>
            <w:r>
              <w:rPr>
                <w:rFonts w:ascii="宋体"/>
                <w:sz w:val="16"/>
              </w:rPr>
              <w:t>1,118,430,369</w:t>
            </w:r>
          </w:p>
        </w:tc>
      </w:tr>
      <w:tr>
        <w:trPr>
          <w:trHeight w:val="421" w:hRule="exact"/>
        </w:trPr>
        <w:tc>
          <w:tcPr>
            <w:tcW w:w="6012"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65"/>
                <w:w w:val="105"/>
                <w:sz w:val="16"/>
                <w:szCs w:val="16"/>
              </w:rPr>
              <w:t> </w:t>
            </w:r>
            <w:r>
              <w:rPr>
                <w:rFonts w:ascii="宋体" w:hAnsi="宋体" w:cs="宋体" w:eastAsia="宋体" w:hint="default"/>
                <w:w w:val="105"/>
                <w:sz w:val="16"/>
                <w:szCs w:val="16"/>
              </w:rPr>
              <w:t>年</w:t>
            </w:r>
            <w:r>
              <w:rPr>
                <w:rFonts w:ascii="宋体" w:hAnsi="宋体" w:cs="宋体" w:eastAsia="宋体" w:hint="default"/>
                <w:spacing w:val="-65"/>
                <w:w w:val="105"/>
                <w:sz w:val="16"/>
                <w:szCs w:val="16"/>
              </w:rPr>
              <w:t> </w:t>
            </w:r>
            <w:r>
              <w:rPr>
                <w:rFonts w:ascii="宋体" w:hAnsi="宋体" w:cs="宋体" w:eastAsia="宋体" w:hint="default"/>
                <w:w w:val="105"/>
                <w:sz w:val="16"/>
                <w:szCs w:val="16"/>
              </w:rPr>
              <w:t>1</w:t>
            </w:r>
            <w:r>
              <w:rPr>
                <w:rFonts w:ascii="宋体" w:hAnsi="宋体" w:cs="宋体" w:eastAsia="宋体" w:hint="default"/>
                <w:spacing w:val="-65"/>
                <w:w w:val="105"/>
                <w:sz w:val="16"/>
                <w:szCs w:val="16"/>
              </w:rPr>
              <w:t> </w:t>
            </w:r>
            <w:r>
              <w:rPr>
                <w:rFonts w:ascii="宋体" w:hAnsi="宋体" w:cs="宋体" w:eastAsia="宋体" w:hint="default"/>
                <w:w w:val="105"/>
                <w:sz w:val="16"/>
                <w:szCs w:val="16"/>
              </w:rPr>
              <w:t>月</w:t>
            </w:r>
            <w:r>
              <w:rPr>
                <w:rFonts w:ascii="宋体" w:hAnsi="宋体" w:cs="宋体" w:eastAsia="宋体" w:hint="default"/>
                <w:spacing w:val="-65"/>
                <w:w w:val="105"/>
                <w:sz w:val="16"/>
                <w:szCs w:val="16"/>
              </w:rPr>
              <w:t> </w:t>
            </w:r>
            <w:r>
              <w:rPr>
                <w:rFonts w:ascii="宋体" w:hAnsi="宋体" w:cs="宋体" w:eastAsia="宋体" w:hint="default"/>
                <w:w w:val="105"/>
                <w:sz w:val="16"/>
                <w:szCs w:val="16"/>
              </w:rPr>
              <w:t>1</w:t>
            </w:r>
            <w:r>
              <w:rPr>
                <w:rFonts w:ascii="宋体" w:hAnsi="宋体" w:cs="宋体" w:eastAsia="宋体" w:hint="default"/>
                <w:spacing w:val="-65"/>
                <w:w w:val="105"/>
                <w:sz w:val="16"/>
                <w:szCs w:val="16"/>
              </w:rPr>
              <w:t> </w:t>
            </w:r>
            <w:r>
              <w:rPr>
                <w:rFonts w:ascii="宋体" w:hAnsi="宋体" w:cs="宋体" w:eastAsia="宋体" w:hint="default"/>
                <w:w w:val="105"/>
                <w:sz w:val="16"/>
                <w:szCs w:val="16"/>
              </w:rPr>
              <w:t>日新金融工具准则下的损失准备</w:t>
            </w:r>
          </w:p>
        </w:tc>
        <w:tc>
          <w:tcPr>
            <w:tcW w:w="3260" w:type="dxa"/>
            <w:tcBorders>
              <w:top w:val="single" w:sz="6" w:space="0" w:color="000000"/>
              <w:left w:val="nil" w:sz="6" w:space="0" w:color="auto"/>
              <w:bottom w:val="nil" w:sz="6" w:space="0" w:color="auto"/>
              <w:right w:val="nil" w:sz="6" w:space="0" w:color="auto"/>
            </w:tcBorders>
          </w:tcPr>
          <w:p>
            <w:pPr>
              <w:pStyle w:val="TableParagraph"/>
              <w:spacing w:line="240" w:lineRule="auto" w:before="92"/>
              <w:ind w:left="2126" w:right="0"/>
              <w:jc w:val="left"/>
              <w:rPr>
                <w:rFonts w:ascii="宋体" w:hAnsi="宋体" w:cs="宋体" w:eastAsia="宋体" w:hint="default"/>
                <w:sz w:val="16"/>
                <w:szCs w:val="16"/>
              </w:rPr>
            </w:pPr>
            <w:r>
              <w:rPr>
                <w:rFonts w:ascii="宋体"/>
                <w:sz w:val="16"/>
              </w:rPr>
              <w:t>7,775,924,872</w:t>
            </w:r>
          </w:p>
        </w:tc>
      </w:tr>
    </w:tbl>
    <w:p>
      <w:pPr>
        <w:spacing w:line="240" w:lineRule="auto" w:before="4"/>
        <w:rPr>
          <w:rFonts w:ascii="宋体" w:hAnsi="宋体" w:cs="宋体" w:eastAsia="宋体" w:hint="default"/>
          <w:sz w:val="2"/>
          <w:szCs w:val="2"/>
        </w:rPr>
      </w:pPr>
    </w:p>
    <w:p>
      <w:pPr>
        <w:spacing w:line="40" w:lineRule="exact"/>
        <w:ind w:left="448"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5.65pt;height:2pt;mso-position-horizontal-relative:char;mso-position-vertical-relative:line" coordorigin="0,0" coordsize="9313,40">
            <v:group style="position:absolute;left:20;top:20;width:6619;height:2" coordorigin="20,20" coordsize="6619,2">
              <v:shape style="position:absolute;left:20;top:20;width:6619;height:2" coordorigin="20,20" coordsize="6619,0" path="m20,20l6639,20e" filled="false" stroked="true" strokeweight="2pt" strokecolor="#9f8958">
                <v:path arrowok="t"/>
              </v:shape>
            </v:group>
            <v:group style="position:absolute;left:6639;top:20;width:2654;height:2" coordorigin="6639,20" coordsize="2654,2">
              <v:shape style="position:absolute;left:6639;top:20;width:2654;height:2" coordorigin="6639,20" coordsize="2654,0" path="m6639,20l9292,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pgSz w:w="11910" w:h="16160"/>
          <w:pgMar w:header="1200" w:footer="320" w:top="2120" w:bottom="520" w:left="680" w:right="1280"/>
        </w:sectPr>
      </w:pPr>
    </w:p>
    <w:p>
      <w:pPr>
        <w:spacing w:line="240" w:lineRule="auto" w:before="7"/>
        <w:rPr>
          <w:rFonts w:ascii="宋体" w:hAnsi="宋体" w:cs="宋体" w:eastAsia="宋体" w:hint="default"/>
          <w:sz w:val="14"/>
          <w:szCs w:val="14"/>
        </w:rPr>
      </w:pPr>
    </w:p>
    <w:p>
      <w:pPr>
        <w:pStyle w:val="BodyText"/>
        <w:spacing w:line="240" w:lineRule="auto" w:before="31"/>
        <w:ind w:left="114" w:right="95"/>
        <w:jc w:val="left"/>
      </w:pPr>
      <w:r>
        <w:rPr/>
        <w:t>(2)</w:t>
      </w:r>
      <w:r>
        <w:rPr>
          <w:spacing w:val="-21"/>
        </w:rPr>
        <w:t> </w:t>
      </w:r>
      <w:r>
        <w:rPr/>
        <w:t>新金融工具准则（续）</w:t>
      </w:r>
    </w:p>
    <w:p>
      <w:pPr>
        <w:spacing w:line="240" w:lineRule="auto" w:before="8"/>
        <w:rPr>
          <w:rFonts w:ascii="宋体" w:hAnsi="宋体" w:cs="宋体" w:eastAsia="宋体" w:hint="default"/>
          <w:sz w:val="13"/>
          <w:szCs w:val="13"/>
        </w:rPr>
      </w:pPr>
    </w:p>
    <w:p>
      <w:pPr>
        <w:pStyle w:val="BodyText"/>
        <w:spacing w:line="285" w:lineRule="auto"/>
        <w:ind w:right="124"/>
        <w:jc w:val="both"/>
      </w:pPr>
      <w:r>
        <w:rPr>
          <w:spacing w:val="2"/>
        </w:rPr>
        <w:t>本集团按照新金融工具准则的衔接规定，对新金融工具准则施行日（即</w:t>
      </w:r>
      <w:r>
        <w:rPr>
          <w:spacing w:val="-32"/>
        </w:rPr>
        <w:t> </w:t>
      </w:r>
      <w:r>
        <w:rPr/>
        <w:t>2018</w:t>
      </w:r>
      <w:r>
        <w:rPr>
          <w:spacing w:val="-32"/>
        </w:rPr>
        <w:t> </w:t>
      </w:r>
      <w:r>
        <w:rPr/>
        <w:t>年</w:t>
      </w:r>
      <w:r>
        <w:rPr>
          <w:spacing w:val="-32"/>
        </w:rPr>
        <w:t> </w:t>
      </w:r>
      <w:r>
        <w:rPr/>
        <w:t>1</w:t>
      </w:r>
      <w:r>
        <w:rPr>
          <w:spacing w:val="-32"/>
        </w:rPr>
        <w:t> </w:t>
      </w:r>
      <w:r>
        <w:rPr/>
        <w:t>月</w:t>
      </w:r>
      <w:r>
        <w:rPr>
          <w:spacing w:val="-32"/>
        </w:rPr>
        <w:t> </w:t>
      </w:r>
      <w:r>
        <w:rPr/>
        <w:t>1</w:t>
      </w:r>
      <w:r>
        <w:rPr>
          <w:spacing w:val="-32"/>
        </w:rPr>
        <w:t> </w:t>
      </w:r>
      <w:r>
        <w:rPr>
          <w:spacing w:val="2"/>
        </w:rPr>
        <w:t>日）未终止确认的金融工具的</w:t>
      </w:r>
      <w:r>
        <w:rPr>
          <w:spacing w:val="-83"/>
        </w:rPr>
        <w:t> </w:t>
      </w:r>
      <w:r>
        <w:rPr>
          <w:spacing w:val="-83"/>
        </w:rPr>
      </w:r>
      <w:r>
        <w:rPr/>
        <w:t>分类和计量</w:t>
      </w:r>
      <w:r>
        <w:rPr>
          <w:spacing w:val="-62"/>
        </w:rPr>
        <w:t> </w:t>
      </w:r>
      <w:r>
        <w:rPr>
          <w:w w:val="95"/>
        </w:rPr>
        <w:t>(</w:t>
      </w:r>
      <w:r>
        <w:rPr>
          <w:spacing w:val="-58"/>
          <w:w w:val="95"/>
        </w:rPr>
        <w:t> </w:t>
      </w:r>
      <w:r>
        <w:rPr/>
        <w:t>含减值</w:t>
      </w:r>
      <w:r>
        <w:rPr>
          <w:spacing w:val="-62"/>
        </w:rPr>
        <w:t> </w:t>
      </w:r>
      <w:r>
        <w:rPr>
          <w:w w:val="95"/>
        </w:rPr>
        <w:t>)</w:t>
      </w:r>
      <w:r>
        <w:rPr>
          <w:spacing w:val="-58"/>
          <w:w w:val="95"/>
        </w:rPr>
        <w:t> </w:t>
      </w:r>
      <w:r>
        <w:rPr/>
        <w:t>进行追溯调整。本集团未调整比较财务报表数据，将金融工具的原账面价值和在新金融工具准则</w:t>
      </w:r>
      <w:r>
        <w:rPr/>
        <w:t> 施行日的新账面价值之间的差额计入 2018</w:t>
      </w:r>
      <w:r>
        <w:rPr>
          <w:spacing w:val="-52"/>
        </w:rPr>
        <w:t> </w:t>
      </w:r>
      <w:r>
        <w:rPr/>
        <w:t>年年初留存收益。</w:t>
      </w:r>
    </w:p>
    <w:p>
      <w:pPr>
        <w:pStyle w:val="BodyText"/>
        <w:spacing w:line="240" w:lineRule="auto" w:before="123"/>
        <w:ind w:left="114" w:right="95"/>
        <w:jc w:val="left"/>
      </w:pPr>
      <w:r>
        <w:rPr/>
        <w:t>(3)</w:t>
      </w:r>
      <w:r>
        <w:rPr>
          <w:spacing w:val="-21"/>
        </w:rPr>
        <w:t> </w:t>
      </w:r>
      <w:r>
        <w:rPr/>
        <w:t>财务报表列报</w:t>
      </w:r>
    </w:p>
    <w:p>
      <w:pPr>
        <w:pStyle w:val="BodyText"/>
        <w:spacing w:line="285" w:lineRule="auto" w:before="121"/>
        <w:ind w:right="123"/>
        <w:jc w:val="both"/>
      </w:pPr>
      <w:r>
        <w:rPr>
          <w:spacing w:val="2"/>
        </w:rPr>
        <w:t>本集团根据财会</w:t>
      </w:r>
      <w:r>
        <w:rPr>
          <w:spacing w:val="-41"/>
        </w:rPr>
        <w:t> </w:t>
      </w:r>
      <w:r>
        <w:rPr>
          <w:spacing w:val="-1"/>
          <w:w w:val="97"/>
        </w:rPr>
        <w:t>[2018]15</w:t>
      </w:r>
      <w:r>
        <w:rPr>
          <w:spacing w:val="-38"/>
          <w:w w:val="97"/>
        </w:rPr>
        <w:t> </w:t>
      </w:r>
      <w:r>
        <w:rPr>
          <w:spacing w:val="2"/>
        </w:rPr>
        <w:t>号规定及相关解读、财会</w:t>
      </w:r>
      <w:r>
        <w:rPr>
          <w:spacing w:val="-41"/>
        </w:rPr>
        <w:t> </w:t>
      </w:r>
      <w:r>
        <w:rPr>
          <w:spacing w:val="-1"/>
          <w:w w:val="95"/>
        </w:rPr>
        <w:t>[2019]1</w:t>
      </w:r>
      <w:r>
        <w:rPr>
          <w:spacing w:val="-36"/>
          <w:w w:val="95"/>
        </w:rPr>
        <w:t> </w:t>
      </w:r>
      <w:r>
        <w:rPr>
          <w:spacing w:val="2"/>
        </w:rPr>
        <w:t>号规定的财务报表格式编制</w:t>
      </w:r>
      <w:r>
        <w:rPr>
          <w:spacing w:val="-41"/>
        </w:rPr>
        <w:t> </w:t>
      </w:r>
      <w:r>
        <w:rPr>
          <w:spacing w:val="-1"/>
          <w:w w:val="111"/>
        </w:rPr>
        <w:t>2018</w:t>
      </w:r>
      <w:r>
        <w:rPr>
          <w:spacing w:val="-51"/>
          <w:w w:val="111"/>
        </w:rPr>
        <w:t> </w:t>
      </w:r>
      <w:r>
        <w:rPr>
          <w:spacing w:val="2"/>
        </w:rPr>
        <w:t>年度财务报表，并采用</w:t>
      </w:r>
      <w:r>
        <w:rPr>
          <w:spacing w:val="-87"/>
        </w:rPr>
        <w:t> </w:t>
      </w:r>
      <w:r>
        <w:rPr>
          <w:spacing w:val="-87"/>
        </w:rPr>
      </w:r>
      <w:r>
        <w:rPr/>
        <w:t>追溯调整法对比较财务报表的列报进行了调整。</w:t>
      </w:r>
    </w:p>
    <w:p>
      <w:pPr>
        <w:pStyle w:val="BodyText"/>
        <w:spacing w:line="240" w:lineRule="auto" w:before="123"/>
        <w:ind w:right="0"/>
        <w:jc w:val="both"/>
      </w:pPr>
      <w:r>
        <w:rPr/>
        <w:t>相关列报调整影响如下：</w:t>
      </w:r>
    </w:p>
    <w:p>
      <w:pPr>
        <w:pStyle w:val="BodyText"/>
        <w:spacing w:line="240" w:lineRule="auto" w:before="101"/>
        <w:ind w:right="0"/>
        <w:jc w:val="both"/>
      </w:pPr>
      <w:r>
        <w:rPr/>
        <w:t>2017</w:t>
      </w:r>
      <w:r>
        <w:rPr>
          <w:spacing w:val="-31"/>
        </w:rPr>
        <w:t> </w:t>
      </w:r>
      <w:r>
        <w:rPr/>
        <w:t>年</w:t>
      </w:r>
      <w:r>
        <w:rPr>
          <w:spacing w:val="-29"/>
        </w:rPr>
        <w:t> </w:t>
      </w:r>
      <w:r>
        <w:rPr/>
        <w:t>12</w:t>
      </w:r>
      <w:r>
        <w:rPr>
          <w:spacing w:val="-31"/>
        </w:rPr>
        <w:t> </w:t>
      </w:r>
      <w:r>
        <w:rPr/>
        <w:t>月</w:t>
      </w:r>
      <w:r>
        <w:rPr>
          <w:spacing w:val="-29"/>
        </w:rPr>
        <w:t> </w:t>
      </w:r>
      <w:r>
        <w:rPr/>
        <w:t>31</w:t>
      </w:r>
      <w:r>
        <w:rPr>
          <w:spacing w:val="-31"/>
        </w:rPr>
        <w:t> </w:t>
      </w:r>
      <w:r>
        <w:rPr/>
        <w:t>日受影响的合并资产负债表和资产负债表项目：</w:t>
      </w:r>
    </w:p>
    <w:p>
      <w:pPr>
        <w:tabs>
          <w:tab w:pos="7878" w:val="left" w:leader="none"/>
        </w:tabs>
        <w:spacing w:before="63"/>
        <w:ind w:left="4148" w:right="95" w:firstLine="0"/>
        <w:jc w:val="left"/>
        <w:rPr>
          <w:rFonts w:ascii="宋体" w:hAnsi="宋体" w:cs="宋体" w:eastAsia="宋体" w:hint="default"/>
          <w:sz w:val="16"/>
          <w:szCs w:val="16"/>
        </w:rPr>
      </w:pPr>
      <w:r>
        <w:rPr>
          <w:rFonts w:ascii="宋体" w:hAnsi="宋体" w:cs="宋体" w:eastAsia="宋体" w:hint="default"/>
          <w:sz w:val="16"/>
          <w:szCs w:val="16"/>
        </w:rPr>
        <w:t>本集团</w:t>
        <w:tab/>
        <w:t>本公司</w:t>
      </w:r>
    </w:p>
    <w:p>
      <w:pPr>
        <w:spacing w:line="240" w:lineRule="auto" w:before="4"/>
        <w:rPr>
          <w:rFonts w:ascii="宋体" w:hAnsi="宋体" w:cs="宋体" w:eastAsia="宋体" w:hint="default"/>
          <w:sz w:val="5"/>
          <w:szCs w:val="5"/>
        </w:rPr>
      </w:pPr>
    </w:p>
    <w:tbl>
      <w:tblPr>
        <w:tblW w:w="0" w:type="auto"/>
        <w:jc w:val="left"/>
        <w:tblInd w:w="454" w:type="dxa"/>
        <w:tblLayout w:type="fixed"/>
        <w:tblCellMar>
          <w:top w:w="0" w:type="dxa"/>
          <w:left w:w="0" w:type="dxa"/>
          <w:bottom w:w="0" w:type="dxa"/>
          <w:right w:w="0" w:type="dxa"/>
        </w:tblCellMar>
        <w:tblLook w:val="01E0"/>
      </w:tblPr>
      <w:tblGrid>
        <w:gridCol w:w="1174"/>
        <w:gridCol w:w="652"/>
        <w:gridCol w:w="1421"/>
        <w:gridCol w:w="1461"/>
        <w:gridCol w:w="1374"/>
        <w:gridCol w:w="1061"/>
        <w:gridCol w:w="1127"/>
        <w:gridCol w:w="1016"/>
      </w:tblGrid>
      <w:tr>
        <w:trPr>
          <w:trHeight w:val="311" w:hRule="exact"/>
        </w:trPr>
        <w:tc>
          <w:tcPr>
            <w:tcW w:w="1174" w:type="dxa"/>
            <w:tcBorders>
              <w:top w:val="nil" w:sz="6" w:space="0" w:color="auto"/>
              <w:left w:val="nil" w:sz="6" w:space="0" w:color="auto"/>
              <w:bottom w:val="single" w:sz="16" w:space="0" w:color="9F8958"/>
              <w:right w:val="nil" w:sz="6" w:space="0" w:color="auto"/>
            </w:tcBorders>
          </w:tcPr>
          <w:p>
            <w:pPr/>
          </w:p>
        </w:tc>
        <w:tc>
          <w:tcPr>
            <w:tcW w:w="652" w:type="dxa"/>
            <w:tcBorders>
              <w:top w:val="nil" w:sz="6" w:space="0" w:color="auto"/>
              <w:left w:val="nil" w:sz="6" w:space="0" w:color="auto"/>
              <w:bottom w:val="single" w:sz="16" w:space="0" w:color="9F8958"/>
              <w:right w:val="nil" w:sz="6" w:space="0" w:color="auto"/>
            </w:tcBorders>
          </w:tcPr>
          <w:p>
            <w:pPr>
              <w:pStyle w:val="TableParagraph"/>
              <w:spacing w:line="240" w:lineRule="auto" w:before="25"/>
              <w:ind w:right="121"/>
              <w:jc w:val="right"/>
              <w:rPr>
                <w:rFonts w:ascii="宋体" w:hAnsi="宋体" w:cs="宋体" w:eastAsia="宋体" w:hint="default"/>
                <w:sz w:val="16"/>
                <w:szCs w:val="16"/>
              </w:rPr>
            </w:pPr>
            <w:r>
              <w:rPr>
                <w:rFonts w:ascii="宋体" w:hAnsi="宋体" w:cs="宋体" w:eastAsia="宋体" w:hint="default"/>
                <w:sz w:val="16"/>
                <w:szCs w:val="16"/>
              </w:rPr>
              <w:t>附注</w:t>
            </w:r>
          </w:p>
        </w:tc>
        <w:tc>
          <w:tcPr>
            <w:tcW w:w="1421"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149"/>
              <w:jc w:val="right"/>
              <w:rPr>
                <w:rFonts w:ascii="宋体" w:hAnsi="宋体" w:cs="宋体" w:eastAsia="宋体" w:hint="default"/>
                <w:sz w:val="16"/>
                <w:szCs w:val="16"/>
              </w:rPr>
            </w:pPr>
            <w:r>
              <w:rPr>
                <w:rFonts w:ascii="宋体" w:hAnsi="宋体" w:cs="宋体" w:eastAsia="宋体" w:hint="default"/>
                <w:sz w:val="16"/>
                <w:szCs w:val="16"/>
              </w:rPr>
              <w:t>调整前</w:t>
            </w:r>
          </w:p>
        </w:tc>
        <w:tc>
          <w:tcPr>
            <w:tcW w:w="1461"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136"/>
              <w:jc w:val="right"/>
              <w:rPr>
                <w:rFonts w:ascii="宋体" w:hAnsi="宋体" w:cs="宋体" w:eastAsia="宋体" w:hint="default"/>
                <w:sz w:val="16"/>
                <w:szCs w:val="16"/>
              </w:rPr>
            </w:pPr>
            <w:r>
              <w:rPr>
                <w:rFonts w:ascii="宋体" w:hAnsi="宋体" w:cs="宋体" w:eastAsia="宋体" w:hint="default"/>
                <w:sz w:val="16"/>
                <w:szCs w:val="16"/>
              </w:rPr>
              <w:t>调整数</w:t>
            </w:r>
          </w:p>
        </w:tc>
        <w:tc>
          <w:tcPr>
            <w:tcW w:w="1374"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150"/>
              <w:jc w:val="right"/>
              <w:rPr>
                <w:rFonts w:ascii="宋体" w:hAnsi="宋体" w:cs="宋体" w:eastAsia="宋体" w:hint="default"/>
                <w:sz w:val="16"/>
                <w:szCs w:val="16"/>
              </w:rPr>
            </w:pPr>
            <w:r>
              <w:rPr>
                <w:rFonts w:ascii="宋体" w:hAnsi="宋体" w:cs="宋体" w:eastAsia="宋体" w:hint="default"/>
                <w:sz w:val="16"/>
                <w:szCs w:val="16"/>
              </w:rPr>
              <w:t>调整后</w:t>
            </w:r>
          </w:p>
        </w:tc>
        <w:tc>
          <w:tcPr>
            <w:tcW w:w="1061"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134"/>
              <w:jc w:val="right"/>
              <w:rPr>
                <w:rFonts w:ascii="宋体" w:hAnsi="宋体" w:cs="宋体" w:eastAsia="宋体" w:hint="default"/>
                <w:sz w:val="16"/>
                <w:szCs w:val="16"/>
              </w:rPr>
            </w:pPr>
            <w:r>
              <w:rPr>
                <w:rFonts w:ascii="宋体" w:hAnsi="宋体" w:cs="宋体" w:eastAsia="宋体" w:hint="default"/>
                <w:sz w:val="16"/>
                <w:szCs w:val="16"/>
              </w:rPr>
              <w:t>调整前</w:t>
            </w:r>
          </w:p>
        </w:tc>
        <w:tc>
          <w:tcPr>
            <w:tcW w:w="1127"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127"/>
              <w:jc w:val="right"/>
              <w:rPr>
                <w:rFonts w:ascii="宋体" w:hAnsi="宋体" w:cs="宋体" w:eastAsia="宋体" w:hint="default"/>
                <w:sz w:val="16"/>
                <w:szCs w:val="16"/>
              </w:rPr>
            </w:pPr>
            <w:r>
              <w:rPr>
                <w:rFonts w:ascii="宋体" w:hAnsi="宋体" w:cs="宋体" w:eastAsia="宋体" w:hint="default"/>
                <w:sz w:val="16"/>
                <w:szCs w:val="16"/>
              </w:rPr>
              <w:t>调整数</w:t>
            </w:r>
          </w:p>
        </w:tc>
        <w:tc>
          <w:tcPr>
            <w:tcW w:w="1016"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left="422" w:right="0"/>
              <w:jc w:val="left"/>
              <w:rPr>
                <w:rFonts w:ascii="宋体" w:hAnsi="宋体" w:cs="宋体" w:eastAsia="宋体" w:hint="default"/>
                <w:sz w:val="16"/>
                <w:szCs w:val="16"/>
              </w:rPr>
            </w:pPr>
            <w:r>
              <w:rPr>
                <w:rFonts w:ascii="宋体" w:hAnsi="宋体" w:cs="宋体" w:eastAsia="宋体" w:hint="default"/>
                <w:sz w:val="16"/>
                <w:szCs w:val="16"/>
              </w:rPr>
              <w:t>调整后</w:t>
            </w:r>
          </w:p>
        </w:tc>
      </w:tr>
      <w:tr>
        <w:trPr>
          <w:trHeight w:val="362" w:hRule="exact"/>
        </w:trPr>
        <w:tc>
          <w:tcPr>
            <w:tcW w:w="117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应收票据</w:t>
            </w:r>
          </w:p>
        </w:tc>
        <w:tc>
          <w:tcPr>
            <w:tcW w:w="652" w:type="dxa"/>
            <w:tcBorders>
              <w:top w:val="single" w:sz="16" w:space="0" w:color="9F8958"/>
              <w:left w:val="nil" w:sz="6" w:space="0" w:color="auto"/>
              <w:bottom w:val="nil" w:sz="6" w:space="0" w:color="auto"/>
              <w:right w:val="nil" w:sz="6" w:space="0" w:color="auto"/>
            </w:tcBorders>
          </w:tcPr>
          <w:p>
            <w:pPr/>
          </w:p>
        </w:tc>
        <w:tc>
          <w:tcPr>
            <w:tcW w:w="142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92"/>
              <w:jc w:val="right"/>
              <w:rPr>
                <w:rFonts w:ascii="宋体" w:hAnsi="宋体" w:cs="宋体" w:eastAsia="宋体" w:hint="default"/>
                <w:sz w:val="16"/>
                <w:szCs w:val="16"/>
              </w:rPr>
            </w:pPr>
            <w:r>
              <w:rPr>
                <w:rFonts w:ascii="宋体"/>
                <w:sz w:val="16"/>
              </w:rPr>
              <w:t>103,468,782</w:t>
            </w:r>
          </w:p>
        </w:tc>
        <w:tc>
          <w:tcPr>
            <w:tcW w:w="146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79"/>
              <w:jc w:val="right"/>
              <w:rPr>
                <w:rFonts w:ascii="宋体" w:hAnsi="宋体" w:cs="宋体" w:eastAsia="宋体" w:hint="default"/>
                <w:sz w:val="16"/>
                <w:szCs w:val="16"/>
              </w:rPr>
            </w:pPr>
            <w:r>
              <w:rPr>
                <w:rFonts w:ascii="宋体"/>
                <w:w w:val="90"/>
                <w:sz w:val="16"/>
              </w:rPr>
              <w:t>(103,468,782)</w:t>
            </w:r>
            <w:r>
              <w:rPr>
                <w:rFonts w:ascii="宋体"/>
                <w:sz w:val="16"/>
              </w:rPr>
            </w:r>
          </w:p>
        </w:tc>
        <w:tc>
          <w:tcPr>
            <w:tcW w:w="137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93"/>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77"/>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70"/>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应收账款</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w w:val="95"/>
                <w:sz w:val="16"/>
              </w:rPr>
              <w:t>18,509,160,971</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9"/>
              <w:jc w:val="right"/>
              <w:rPr>
                <w:rFonts w:ascii="宋体" w:hAnsi="宋体" w:cs="宋体" w:eastAsia="宋体" w:hint="default"/>
                <w:sz w:val="16"/>
                <w:szCs w:val="16"/>
              </w:rPr>
            </w:pPr>
            <w:r>
              <w:rPr>
                <w:rFonts w:ascii="宋体"/>
                <w:w w:val="90"/>
                <w:sz w:val="16"/>
              </w:rPr>
              <w:t>(18,509,160,971)</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3"/>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7"/>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70"/>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113" w:right="98"/>
              <w:jc w:val="left"/>
              <w:rPr>
                <w:rFonts w:ascii="宋体" w:hAnsi="宋体" w:cs="宋体" w:eastAsia="宋体" w:hint="default"/>
                <w:sz w:val="16"/>
                <w:szCs w:val="16"/>
              </w:rPr>
            </w:pPr>
            <w:r>
              <w:rPr>
                <w:rFonts w:ascii="宋体" w:hAnsi="宋体" w:cs="宋体" w:eastAsia="宋体" w:hint="default"/>
                <w:sz w:val="16"/>
                <w:szCs w:val="16"/>
              </w:rPr>
              <w:t>应收票据及应 收账款</w:t>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2"/>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55"/>
                <w:w w:val="90"/>
                <w:sz w:val="16"/>
                <w:szCs w:val="16"/>
              </w:rPr>
              <w:t> </w:t>
            </w:r>
            <w:r>
              <w:rPr>
                <w:rFonts w:ascii="宋体" w:hAnsi="宋体" w:cs="宋体" w:eastAsia="宋体" w:hint="default"/>
                <w:w w:val="90"/>
                <w:sz w:val="16"/>
                <w:szCs w:val="16"/>
              </w:rPr>
              <w:t>(3)</w:t>
            </w:r>
            <w:r>
              <w:rPr>
                <w:rFonts w:ascii="宋体" w:hAnsi="宋体" w:cs="宋体" w:eastAsia="宋体" w:hint="default"/>
                <w:sz w:val="16"/>
                <w:szCs w:val="16"/>
              </w:rPr>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2"/>
              <w:jc w:val="right"/>
              <w:rPr>
                <w:rFonts w:ascii="宋体" w:hAnsi="宋体" w:cs="宋体" w:eastAsia="宋体" w:hint="default"/>
                <w:sz w:val="16"/>
                <w:szCs w:val="16"/>
              </w:rPr>
            </w:pPr>
            <w:r>
              <w:rPr>
                <w:rFonts w:ascii="宋体"/>
                <w:w w:val="131"/>
                <w:sz w:val="16"/>
              </w:rPr>
              <w:t>-</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9"/>
              <w:jc w:val="right"/>
              <w:rPr>
                <w:rFonts w:ascii="宋体" w:hAnsi="宋体" w:cs="宋体" w:eastAsia="宋体" w:hint="default"/>
                <w:sz w:val="16"/>
                <w:szCs w:val="16"/>
              </w:rPr>
            </w:pPr>
            <w:r>
              <w:rPr>
                <w:rFonts w:ascii="宋体"/>
                <w:w w:val="95"/>
                <w:sz w:val="16"/>
              </w:rPr>
              <w:t>18,612,629,753</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3"/>
              <w:jc w:val="right"/>
              <w:rPr>
                <w:rFonts w:ascii="宋体" w:hAnsi="宋体" w:cs="宋体" w:eastAsia="宋体" w:hint="default"/>
                <w:sz w:val="16"/>
                <w:szCs w:val="16"/>
              </w:rPr>
            </w:pPr>
            <w:r>
              <w:rPr>
                <w:rFonts w:ascii="宋体"/>
                <w:w w:val="95"/>
                <w:sz w:val="16"/>
              </w:rPr>
              <w:t>18,612,629,753</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7"/>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0"/>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应收利息</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sz w:val="16"/>
              </w:rPr>
              <w:t>317,810,622</w:t>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9"/>
              <w:jc w:val="right"/>
              <w:rPr>
                <w:rFonts w:ascii="宋体" w:hAnsi="宋体" w:cs="宋体" w:eastAsia="宋体" w:hint="default"/>
                <w:sz w:val="16"/>
                <w:szCs w:val="16"/>
              </w:rPr>
            </w:pPr>
            <w:r>
              <w:rPr>
                <w:rFonts w:ascii="宋体"/>
                <w:w w:val="90"/>
                <w:sz w:val="16"/>
              </w:rPr>
              <w:t>(317,810,622)</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3"/>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7"/>
              <w:jc w:val="right"/>
              <w:rPr>
                <w:rFonts w:ascii="宋体" w:hAnsi="宋体" w:cs="宋体" w:eastAsia="宋体" w:hint="default"/>
                <w:sz w:val="16"/>
                <w:szCs w:val="16"/>
              </w:rPr>
            </w:pPr>
            <w:r>
              <w:rPr>
                <w:rFonts w:ascii="宋体"/>
                <w:sz w:val="16"/>
              </w:rPr>
              <w:t>59,604</w:t>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70"/>
              <w:jc w:val="right"/>
              <w:rPr>
                <w:rFonts w:ascii="宋体" w:hAnsi="宋体" w:cs="宋体" w:eastAsia="宋体" w:hint="default"/>
                <w:sz w:val="16"/>
                <w:szCs w:val="16"/>
              </w:rPr>
            </w:pPr>
            <w:r>
              <w:rPr>
                <w:rFonts w:ascii="宋体"/>
                <w:w w:val="90"/>
                <w:sz w:val="16"/>
              </w:rPr>
              <w:t>(59,604)</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应收股利</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w w:val="131"/>
                <w:sz w:val="16"/>
              </w:rPr>
              <w:t>-</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9"/>
              <w:jc w:val="right"/>
              <w:rPr>
                <w:rFonts w:ascii="宋体" w:hAnsi="宋体" w:cs="宋体" w:eastAsia="宋体" w:hint="default"/>
                <w:sz w:val="16"/>
                <w:szCs w:val="16"/>
              </w:rPr>
            </w:pPr>
            <w:r>
              <w:rPr>
                <w:rFonts w:ascii="宋体"/>
                <w:w w:val="131"/>
                <w:sz w:val="16"/>
              </w:rPr>
              <w:t>-</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3"/>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6"/>
              <w:jc w:val="right"/>
              <w:rPr>
                <w:rFonts w:ascii="宋体" w:hAnsi="宋体" w:cs="宋体" w:eastAsia="宋体" w:hint="default"/>
                <w:sz w:val="16"/>
                <w:szCs w:val="16"/>
              </w:rPr>
            </w:pPr>
            <w:r>
              <w:rPr>
                <w:rFonts w:ascii="宋体"/>
                <w:sz w:val="16"/>
              </w:rPr>
              <w:t>917,780,560</w:t>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70"/>
              <w:jc w:val="right"/>
              <w:rPr>
                <w:rFonts w:ascii="宋体" w:hAnsi="宋体" w:cs="宋体" w:eastAsia="宋体" w:hint="default"/>
                <w:sz w:val="16"/>
                <w:szCs w:val="16"/>
              </w:rPr>
            </w:pPr>
            <w:r>
              <w:rPr>
                <w:rFonts w:ascii="宋体"/>
                <w:w w:val="90"/>
                <w:sz w:val="16"/>
              </w:rPr>
              <w:t>(917,780,560)</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113"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652" w:type="dxa"/>
            <w:tcBorders>
              <w:top w:val="nil" w:sz="6" w:space="0" w:color="auto"/>
              <w:left w:val="nil" w:sz="6" w:space="0" w:color="auto"/>
              <w:bottom w:val="nil" w:sz="6" w:space="0" w:color="auto"/>
              <w:right w:val="nil" w:sz="6" w:space="0" w:color="auto"/>
            </w:tcBorders>
          </w:tcPr>
          <w:p>
            <w:pPr>
              <w:pStyle w:val="TableParagraph"/>
              <w:spacing w:line="200" w:lineRule="exact"/>
              <w:ind w:left="157" w:right="0"/>
              <w:jc w:val="left"/>
              <w:rPr>
                <w:rFonts w:ascii="宋体" w:hAnsi="宋体" w:cs="宋体" w:eastAsia="宋体" w:hint="default"/>
                <w:sz w:val="16"/>
                <w:szCs w:val="16"/>
              </w:rPr>
            </w:pPr>
            <w:r>
              <w:rPr>
                <w:rFonts w:ascii="宋体" w:hAnsi="宋体" w:cs="宋体" w:eastAsia="宋体" w:hint="default"/>
                <w:w w:val="85"/>
                <w:sz w:val="16"/>
                <w:szCs w:val="16"/>
              </w:rPr>
              <w:t>五</w:t>
            </w:r>
            <w:r>
              <w:rPr>
                <w:rFonts w:ascii="宋体" w:hAnsi="宋体" w:cs="宋体" w:eastAsia="宋体" w:hint="default"/>
                <w:spacing w:val="-55"/>
                <w:w w:val="85"/>
                <w:sz w:val="16"/>
                <w:szCs w:val="16"/>
              </w:rPr>
              <w:t> </w:t>
            </w:r>
            <w:r>
              <w:rPr>
                <w:rFonts w:ascii="宋体" w:hAnsi="宋体" w:cs="宋体" w:eastAsia="宋体" w:hint="default"/>
                <w:w w:val="85"/>
                <w:sz w:val="16"/>
                <w:szCs w:val="16"/>
              </w:rPr>
              <w:t>(5),</w:t>
            </w:r>
            <w:r>
              <w:rPr>
                <w:rFonts w:ascii="宋体" w:hAnsi="宋体" w:cs="宋体" w:eastAsia="宋体" w:hint="default"/>
                <w:sz w:val="16"/>
                <w:szCs w:val="16"/>
              </w:rPr>
            </w:r>
          </w:p>
          <w:p>
            <w:pPr>
              <w:pStyle w:val="TableParagraph"/>
              <w:spacing w:line="205" w:lineRule="exact"/>
              <w:ind w:left="99" w:right="0"/>
              <w:jc w:val="left"/>
              <w:rPr>
                <w:rFonts w:ascii="宋体" w:hAnsi="宋体" w:cs="宋体" w:eastAsia="宋体" w:hint="default"/>
                <w:sz w:val="16"/>
                <w:szCs w:val="16"/>
              </w:rPr>
            </w:pPr>
            <w:r>
              <w:rPr>
                <w:rFonts w:ascii="宋体" w:hAnsi="宋体" w:cs="宋体" w:eastAsia="宋体" w:hint="default"/>
                <w:w w:val="90"/>
                <w:sz w:val="16"/>
                <w:szCs w:val="16"/>
              </w:rPr>
              <w:t>十五</w:t>
            </w:r>
            <w:r>
              <w:rPr>
                <w:rFonts w:ascii="宋体" w:hAnsi="宋体" w:cs="宋体" w:eastAsia="宋体" w:hint="default"/>
                <w:spacing w:val="-39"/>
                <w:w w:val="90"/>
                <w:sz w:val="16"/>
                <w:szCs w:val="16"/>
              </w:rPr>
              <w:t> </w:t>
            </w:r>
            <w:r>
              <w:rPr>
                <w:rFonts w:ascii="宋体" w:hAnsi="宋体" w:cs="宋体" w:eastAsia="宋体" w:hint="default"/>
                <w:w w:val="90"/>
                <w:sz w:val="16"/>
                <w:szCs w:val="16"/>
              </w:rPr>
              <w:t>(2)</w:t>
            </w:r>
            <w:r>
              <w:rPr>
                <w:rFonts w:ascii="宋体" w:hAnsi="宋体" w:cs="宋体" w:eastAsia="宋体" w:hint="default"/>
                <w:sz w:val="16"/>
                <w:szCs w:val="16"/>
              </w:rPr>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1"/>
              <w:jc w:val="right"/>
              <w:rPr>
                <w:rFonts w:ascii="宋体" w:hAnsi="宋体" w:cs="宋体" w:eastAsia="宋体" w:hint="default"/>
                <w:sz w:val="16"/>
                <w:szCs w:val="16"/>
              </w:rPr>
            </w:pPr>
            <w:r>
              <w:rPr>
                <w:rFonts w:ascii="宋体"/>
                <w:w w:val="95"/>
                <w:sz w:val="16"/>
              </w:rPr>
              <w:t>7,588,829,515</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9"/>
              <w:jc w:val="right"/>
              <w:rPr>
                <w:rFonts w:ascii="宋体" w:hAnsi="宋体" w:cs="宋体" w:eastAsia="宋体" w:hint="default"/>
                <w:sz w:val="16"/>
                <w:szCs w:val="16"/>
              </w:rPr>
            </w:pPr>
            <w:r>
              <w:rPr>
                <w:rFonts w:ascii="宋体"/>
                <w:sz w:val="16"/>
              </w:rPr>
              <w:t>317,810,622</w:t>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2"/>
              <w:jc w:val="right"/>
              <w:rPr>
                <w:rFonts w:ascii="宋体" w:hAnsi="宋体" w:cs="宋体" w:eastAsia="宋体" w:hint="default"/>
                <w:sz w:val="16"/>
                <w:szCs w:val="16"/>
              </w:rPr>
            </w:pPr>
            <w:r>
              <w:rPr>
                <w:rFonts w:ascii="宋体"/>
                <w:w w:val="95"/>
                <w:sz w:val="16"/>
              </w:rPr>
              <w:t>7,906,640,137</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6"/>
              <w:jc w:val="right"/>
              <w:rPr>
                <w:rFonts w:ascii="宋体" w:hAnsi="宋体" w:cs="宋体" w:eastAsia="宋体" w:hint="default"/>
                <w:sz w:val="16"/>
                <w:szCs w:val="16"/>
              </w:rPr>
            </w:pPr>
            <w:r>
              <w:rPr>
                <w:rFonts w:ascii="宋体"/>
                <w:w w:val="95"/>
                <w:sz w:val="16"/>
              </w:rPr>
              <w:t>10,620,000</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69"/>
              <w:jc w:val="right"/>
              <w:rPr>
                <w:rFonts w:ascii="宋体" w:hAnsi="宋体" w:cs="宋体" w:eastAsia="宋体" w:hint="default"/>
                <w:sz w:val="16"/>
                <w:szCs w:val="16"/>
              </w:rPr>
            </w:pPr>
            <w:r>
              <w:rPr>
                <w:rFonts w:ascii="宋体"/>
                <w:sz w:val="16"/>
              </w:rPr>
              <w:t>917,840,164</w:t>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53"/>
              <w:jc w:val="right"/>
              <w:rPr>
                <w:rFonts w:ascii="宋体" w:hAnsi="宋体" w:cs="宋体" w:eastAsia="宋体" w:hint="default"/>
                <w:sz w:val="16"/>
                <w:szCs w:val="16"/>
              </w:rPr>
            </w:pPr>
            <w:r>
              <w:rPr>
                <w:rFonts w:ascii="宋体"/>
                <w:sz w:val="16"/>
              </w:rPr>
              <w:t>928,460,164</w:t>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在建工程</w:t>
            </w:r>
          </w:p>
        </w:tc>
        <w:tc>
          <w:tcPr>
            <w:tcW w:w="652" w:type="dxa"/>
            <w:tcBorders>
              <w:top w:val="nil" w:sz="6" w:space="0" w:color="auto"/>
              <w:left w:val="nil" w:sz="6" w:space="0" w:color="auto"/>
              <w:bottom w:val="nil" w:sz="6" w:space="0" w:color="auto"/>
              <w:right w:val="nil" w:sz="6" w:space="0" w:color="auto"/>
            </w:tcBorders>
          </w:tcPr>
          <w:p>
            <w:pPr>
              <w:pStyle w:val="TableParagraph"/>
              <w:spacing w:line="205" w:lineRule="exact"/>
              <w:ind w:right="47"/>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(12)</w:t>
            </w:r>
            <w:r>
              <w:rPr>
                <w:rFonts w:ascii="宋体" w:hAnsi="宋体" w:cs="宋体" w:eastAsia="宋体" w:hint="default"/>
                <w:sz w:val="16"/>
                <w:szCs w:val="16"/>
              </w:rPr>
            </w: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1"/>
              <w:jc w:val="right"/>
              <w:rPr>
                <w:rFonts w:ascii="宋体" w:hAnsi="宋体" w:cs="宋体" w:eastAsia="宋体" w:hint="default"/>
                <w:sz w:val="16"/>
                <w:szCs w:val="16"/>
              </w:rPr>
            </w:pPr>
            <w:r>
              <w:rPr>
                <w:rFonts w:ascii="宋体"/>
                <w:w w:val="95"/>
                <w:sz w:val="16"/>
              </w:rPr>
              <w:t>51,286,267,784</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9"/>
              <w:jc w:val="right"/>
              <w:rPr>
                <w:rFonts w:ascii="宋体" w:hAnsi="宋体" w:cs="宋体" w:eastAsia="宋体" w:hint="default"/>
                <w:sz w:val="16"/>
                <w:szCs w:val="16"/>
              </w:rPr>
            </w:pPr>
            <w:r>
              <w:rPr>
                <w:rFonts w:ascii="宋体"/>
                <w:sz w:val="16"/>
              </w:rPr>
              <w:t>549,207,744</w:t>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w w:val="95"/>
                <w:sz w:val="16"/>
              </w:rPr>
              <w:t>51,835,475,528</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7"/>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70"/>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工程物资</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1"/>
              <w:jc w:val="right"/>
              <w:rPr>
                <w:rFonts w:ascii="宋体" w:hAnsi="宋体" w:cs="宋体" w:eastAsia="宋体" w:hint="default"/>
                <w:sz w:val="16"/>
                <w:szCs w:val="16"/>
              </w:rPr>
            </w:pPr>
            <w:r>
              <w:rPr>
                <w:rFonts w:ascii="宋体"/>
                <w:sz w:val="16"/>
              </w:rPr>
              <w:t>549,207,744</w:t>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9"/>
              <w:jc w:val="right"/>
              <w:rPr>
                <w:rFonts w:ascii="宋体" w:hAnsi="宋体" w:cs="宋体" w:eastAsia="宋体" w:hint="default"/>
                <w:sz w:val="16"/>
                <w:szCs w:val="16"/>
              </w:rPr>
            </w:pPr>
            <w:r>
              <w:rPr>
                <w:rFonts w:ascii="宋体"/>
                <w:w w:val="90"/>
                <w:sz w:val="16"/>
              </w:rPr>
              <w:t>(549,207,744)</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3"/>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7"/>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70"/>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应付票据</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1"/>
              <w:jc w:val="right"/>
              <w:rPr>
                <w:rFonts w:ascii="宋体" w:hAnsi="宋体" w:cs="宋体" w:eastAsia="宋体" w:hint="default"/>
                <w:sz w:val="16"/>
                <w:szCs w:val="16"/>
              </w:rPr>
            </w:pPr>
            <w:r>
              <w:rPr>
                <w:rFonts w:ascii="宋体"/>
                <w:w w:val="95"/>
                <w:sz w:val="16"/>
              </w:rPr>
              <w:t>48,763,558</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9"/>
              <w:jc w:val="right"/>
              <w:rPr>
                <w:rFonts w:ascii="宋体" w:hAnsi="宋体" w:cs="宋体" w:eastAsia="宋体" w:hint="default"/>
                <w:sz w:val="16"/>
                <w:szCs w:val="16"/>
              </w:rPr>
            </w:pPr>
            <w:r>
              <w:rPr>
                <w:rFonts w:ascii="宋体"/>
                <w:w w:val="90"/>
                <w:sz w:val="16"/>
              </w:rPr>
              <w:t>(48,763,558)</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3"/>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7"/>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70"/>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4" w:right="0"/>
              <w:jc w:val="left"/>
              <w:rPr>
                <w:rFonts w:ascii="宋体" w:hAnsi="宋体" w:cs="宋体" w:eastAsia="宋体" w:hint="default"/>
                <w:sz w:val="16"/>
                <w:szCs w:val="16"/>
              </w:rPr>
            </w:pPr>
            <w:r>
              <w:rPr>
                <w:rFonts w:ascii="宋体" w:hAnsi="宋体" w:cs="宋体" w:eastAsia="宋体" w:hint="default"/>
                <w:sz w:val="16"/>
                <w:szCs w:val="16"/>
              </w:rPr>
              <w:t>应付账款</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1"/>
              <w:jc w:val="right"/>
              <w:rPr>
                <w:rFonts w:ascii="宋体" w:hAnsi="宋体" w:cs="宋体" w:eastAsia="宋体" w:hint="default"/>
                <w:sz w:val="16"/>
                <w:szCs w:val="16"/>
              </w:rPr>
            </w:pPr>
            <w:r>
              <w:rPr>
                <w:rFonts w:ascii="宋体"/>
                <w:w w:val="95"/>
                <w:sz w:val="16"/>
              </w:rPr>
              <w:t>118,861,123,967</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8"/>
              <w:jc w:val="right"/>
              <w:rPr>
                <w:rFonts w:ascii="宋体" w:hAnsi="宋体" w:cs="宋体" w:eastAsia="宋体" w:hint="default"/>
                <w:sz w:val="16"/>
                <w:szCs w:val="16"/>
              </w:rPr>
            </w:pPr>
            <w:r>
              <w:rPr>
                <w:rFonts w:ascii="宋体"/>
                <w:w w:val="90"/>
                <w:sz w:val="16"/>
              </w:rPr>
              <w:t>(118,861,123,967)</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6"/>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71"/>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3"/>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114" w:right="97"/>
              <w:jc w:val="left"/>
              <w:rPr>
                <w:rFonts w:ascii="宋体" w:hAnsi="宋体" w:cs="宋体" w:eastAsia="宋体" w:hint="default"/>
                <w:sz w:val="16"/>
                <w:szCs w:val="16"/>
              </w:rPr>
            </w:pPr>
            <w:r>
              <w:rPr>
                <w:rFonts w:ascii="宋体" w:hAnsi="宋体" w:cs="宋体" w:eastAsia="宋体" w:hint="default"/>
                <w:sz w:val="16"/>
                <w:szCs w:val="16"/>
              </w:rPr>
              <w:t>应付票据及应 付账款</w:t>
            </w:r>
          </w:p>
        </w:tc>
        <w:tc>
          <w:tcPr>
            <w:tcW w:w="652"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47"/>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(18)</w:t>
            </w:r>
            <w:r>
              <w:rPr>
                <w:rFonts w:ascii="宋体" w:hAnsi="宋体" w:cs="宋体" w:eastAsia="宋体" w:hint="default"/>
                <w:sz w:val="16"/>
                <w:szCs w:val="16"/>
              </w:rPr>
            </w:r>
          </w:p>
        </w:tc>
        <w:tc>
          <w:tcPr>
            <w:tcW w:w="142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1"/>
              <w:jc w:val="right"/>
              <w:rPr>
                <w:rFonts w:ascii="宋体" w:hAnsi="宋体" w:cs="宋体" w:eastAsia="宋体" w:hint="default"/>
                <w:sz w:val="16"/>
                <w:szCs w:val="16"/>
              </w:rPr>
            </w:pPr>
            <w:r>
              <w:rPr>
                <w:rFonts w:ascii="宋体"/>
                <w:w w:val="131"/>
                <w:sz w:val="16"/>
              </w:rPr>
              <w:t>-</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8"/>
              <w:jc w:val="right"/>
              <w:rPr>
                <w:rFonts w:ascii="宋体" w:hAnsi="宋体" w:cs="宋体" w:eastAsia="宋体" w:hint="default"/>
                <w:sz w:val="16"/>
                <w:szCs w:val="16"/>
              </w:rPr>
            </w:pPr>
            <w:r>
              <w:rPr>
                <w:rFonts w:ascii="宋体"/>
                <w:w w:val="95"/>
                <w:sz w:val="16"/>
              </w:rPr>
              <w:t>118,909,887,525</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92"/>
              <w:jc w:val="right"/>
              <w:rPr>
                <w:rFonts w:ascii="宋体" w:hAnsi="宋体" w:cs="宋体" w:eastAsia="宋体" w:hint="default"/>
                <w:sz w:val="16"/>
                <w:szCs w:val="16"/>
              </w:rPr>
            </w:pPr>
            <w:r>
              <w:rPr>
                <w:rFonts w:ascii="宋体"/>
                <w:w w:val="95"/>
                <w:sz w:val="16"/>
              </w:rPr>
              <w:t>118,909,887,525</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76"/>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69"/>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5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4" w:right="0"/>
              <w:jc w:val="left"/>
              <w:rPr>
                <w:rFonts w:ascii="宋体" w:hAnsi="宋体" w:cs="宋体" w:eastAsia="宋体" w:hint="default"/>
                <w:sz w:val="16"/>
                <w:szCs w:val="16"/>
              </w:rPr>
            </w:pPr>
            <w:r>
              <w:rPr>
                <w:rFonts w:ascii="宋体" w:hAnsi="宋体" w:cs="宋体" w:eastAsia="宋体" w:hint="default"/>
                <w:sz w:val="16"/>
                <w:szCs w:val="16"/>
              </w:rPr>
              <w:t>应付利息</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1"/>
              <w:jc w:val="right"/>
              <w:rPr>
                <w:rFonts w:ascii="宋体" w:hAnsi="宋体" w:cs="宋体" w:eastAsia="宋体" w:hint="default"/>
                <w:sz w:val="16"/>
                <w:szCs w:val="16"/>
              </w:rPr>
            </w:pPr>
            <w:r>
              <w:rPr>
                <w:rFonts w:ascii="宋体"/>
                <w:sz w:val="16"/>
              </w:rPr>
              <w:t>723,179,269</w:t>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8"/>
              <w:jc w:val="right"/>
              <w:rPr>
                <w:rFonts w:ascii="宋体" w:hAnsi="宋体" w:cs="宋体" w:eastAsia="宋体" w:hint="default"/>
                <w:sz w:val="16"/>
                <w:szCs w:val="16"/>
              </w:rPr>
            </w:pPr>
            <w:r>
              <w:rPr>
                <w:rFonts w:ascii="宋体"/>
                <w:w w:val="90"/>
                <w:sz w:val="16"/>
              </w:rPr>
              <w:t>(723,179,269)</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6"/>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69"/>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3"/>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4" w:right="0"/>
              <w:jc w:val="left"/>
              <w:rPr>
                <w:rFonts w:ascii="宋体" w:hAnsi="宋体" w:cs="宋体" w:eastAsia="宋体" w:hint="default"/>
                <w:sz w:val="16"/>
                <w:szCs w:val="16"/>
              </w:rPr>
            </w:pPr>
            <w:r>
              <w:rPr>
                <w:rFonts w:ascii="宋体" w:hAnsi="宋体" w:cs="宋体" w:eastAsia="宋体" w:hint="default"/>
                <w:sz w:val="16"/>
                <w:szCs w:val="16"/>
              </w:rPr>
              <w:t>应付股利</w:t>
            </w:r>
          </w:p>
        </w:tc>
        <w:tc>
          <w:tcPr>
            <w:tcW w:w="652"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nil" w:sz="6" w:space="0" w:color="auto"/>
            </w:tcBorders>
          </w:tcPr>
          <w:p>
            <w:pPr>
              <w:pStyle w:val="TableParagraph"/>
              <w:spacing w:line="205" w:lineRule="exact"/>
              <w:ind w:right="91"/>
              <w:jc w:val="right"/>
              <w:rPr>
                <w:rFonts w:ascii="宋体" w:hAnsi="宋体" w:cs="宋体" w:eastAsia="宋体" w:hint="default"/>
                <w:sz w:val="16"/>
                <w:szCs w:val="16"/>
              </w:rPr>
            </w:pPr>
            <w:r>
              <w:rPr>
                <w:rFonts w:ascii="宋体"/>
                <w:w w:val="95"/>
                <w:sz w:val="16"/>
              </w:rPr>
              <w:t>2,266,014</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78"/>
              <w:jc w:val="right"/>
              <w:rPr>
                <w:rFonts w:ascii="宋体" w:hAnsi="宋体" w:cs="宋体" w:eastAsia="宋体" w:hint="default"/>
                <w:sz w:val="16"/>
                <w:szCs w:val="16"/>
              </w:rPr>
            </w:pPr>
            <w:r>
              <w:rPr>
                <w:rFonts w:ascii="宋体"/>
                <w:w w:val="90"/>
                <w:sz w:val="16"/>
              </w:rPr>
              <w:t>(2,266,014)</w:t>
            </w:r>
            <w:r>
              <w:rPr>
                <w:rFonts w:ascii="宋体"/>
                <w:sz w:val="16"/>
              </w:rPr>
            </w:r>
          </w:p>
        </w:tc>
        <w:tc>
          <w:tcPr>
            <w:tcW w:w="1374" w:type="dxa"/>
            <w:tcBorders>
              <w:top w:val="nil" w:sz="6" w:space="0" w:color="auto"/>
              <w:left w:val="nil" w:sz="6" w:space="0" w:color="auto"/>
              <w:bottom w:val="nil" w:sz="6" w:space="0" w:color="auto"/>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w w:val="131"/>
                <w:sz w:val="16"/>
              </w:rPr>
              <w:t>-</w:t>
            </w:r>
            <w:r>
              <w:rPr>
                <w:rFonts w:ascii="宋体"/>
                <w:sz w:val="16"/>
              </w:rPr>
            </w:r>
          </w:p>
        </w:tc>
        <w:tc>
          <w:tcPr>
            <w:tcW w:w="1061" w:type="dxa"/>
            <w:tcBorders>
              <w:top w:val="nil" w:sz="6" w:space="0" w:color="auto"/>
              <w:left w:val="nil" w:sz="6" w:space="0" w:color="auto"/>
              <w:bottom w:val="nil" w:sz="6" w:space="0" w:color="auto"/>
              <w:right w:val="nil" w:sz="6" w:space="0" w:color="auto"/>
            </w:tcBorders>
          </w:tcPr>
          <w:p>
            <w:pPr>
              <w:pStyle w:val="TableParagraph"/>
              <w:spacing w:line="205" w:lineRule="exact"/>
              <w:ind w:right="76"/>
              <w:jc w:val="right"/>
              <w:rPr>
                <w:rFonts w:ascii="宋体" w:hAnsi="宋体" w:cs="宋体" w:eastAsia="宋体" w:hint="default"/>
                <w:sz w:val="16"/>
                <w:szCs w:val="16"/>
              </w:rPr>
            </w:pPr>
            <w:r>
              <w:rPr>
                <w:rFonts w:ascii="宋体"/>
                <w:w w:val="131"/>
                <w:sz w:val="16"/>
              </w:rPr>
              <w:t>-</w:t>
            </w:r>
            <w:r>
              <w:rPr>
                <w:rFonts w:ascii="宋体"/>
                <w:sz w:val="16"/>
              </w:rPr>
            </w:r>
          </w:p>
        </w:tc>
        <w:tc>
          <w:tcPr>
            <w:tcW w:w="1127" w:type="dxa"/>
            <w:tcBorders>
              <w:top w:val="nil" w:sz="6" w:space="0" w:color="auto"/>
              <w:left w:val="nil" w:sz="6" w:space="0" w:color="auto"/>
              <w:bottom w:val="nil" w:sz="6" w:space="0" w:color="auto"/>
              <w:right w:val="nil" w:sz="6" w:space="0" w:color="auto"/>
            </w:tcBorders>
          </w:tcPr>
          <w:p>
            <w:pPr>
              <w:pStyle w:val="TableParagraph"/>
              <w:spacing w:line="205" w:lineRule="exact"/>
              <w:ind w:right="69"/>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nil" w:sz="6" w:space="0" w:color="auto"/>
              <w:right w:val="nil" w:sz="6" w:space="0" w:color="auto"/>
            </w:tcBorders>
          </w:tcPr>
          <w:p>
            <w:pPr>
              <w:pStyle w:val="TableParagraph"/>
              <w:spacing w:line="205" w:lineRule="exact"/>
              <w:ind w:right="53"/>
              <w:jc w:val="right"/>
              <w:rPr>
                <w:rFonts w:ascii="宋体" w:hAnsi="宋体" w:cs="宋体" w:eastAsia="宋体" w:hint="default"/>
                <w:sz w:val="16"/>
                <w:szCs w:val="16"/>
              </w:rPr>
            </w:pPr>
            <w:r>
              <w:rPr>
                <w:rFonts w:ascii="宋体"/>
                <w:w w:val="131"/>
                <w:sz w:val="16"/>
              </w:rPr>
              <w:t>-</w:t>
            </w:r>
            <w:r>
              <w:rPr>
                <w:rFonts w:ascii="宋体"/>
                <w:sz w:val="16"/>
              </w:rPr>
            </w:r>
          </w:p>
        </w:tc>
      </w:tr>
      <w:tr>
        <w:trPr>
          <w:trHeight w:val="330" w:hRule="exact"/>
        </w:trPr>
        <w:tc>
          <w:tcPr>
            <w:tcW w:w="1174" w:type="dxa"/>
            <w:tcBorders>
              <w:top w:val="nil" w:sz="6" w:space="0" w:color="auto"/>
              <w:left w:val="nil" w:sz="6" w:space="0" w:color="auto"/>
              <w:bottom w:val="nil" w:sz="6" w:space="0" w:color="auto"/>
              <w:right w:val="nil" w:sz="6" w:space="0" w:color="auto"/>
            </w:tcBorders>
          </w:tcPr>
          <w:p>
            <w:pPr>
              <w:pStyle w:val="TableParagraph"/>
              <w:spacing w:line="205" w:lineRule="exact"/>
              <w:ind w:left="114"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652" w:type="dxa"/>
            <w:tcBorders>
              <w:top w:val="nil" w:sz="6" w:space="0" w:color="auto"/>
              <w:left w:val="nil" w:sz="6" w:space="0" w:color="auto"/>
              <w:bottom w:val="nil" w:sz="6" w:space="0" w:color="auto"/>
              <w:right w:val="nil" w:sz="6" w:space="0" w:color="auto"/>
            </w:tcBorders>
          </w:tcPr>
          <w:p>
            <w:pPr>
              <w:pStyle w:val="TableParagraph"/>
              <w:spacing w:line="205" w:lineRule="exact"/>
              <w:ind w:right="47"/>
              <w:jc w:val="righ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(22)</w:t>
            </w:r>
            <w:r>
              <w:rPr>
                <w:rFonts w:ascii="宋体" w:hAnsi="宋体" w:cs="宋体" w:eastAsia="宋体" w:hint="default"/>
                <w:sz w:val="16"/>
                <w:szCs w:val="16"/>
              </w:rPr>
            </w:r>
          </w:p>
        </w:tc>
        <w:tc>
          <w:tcPr>
            <w:tcW w:w="1421" w:type="dxa"/>
            <w:tcBorders>
              <w:top w:val="nil" w:sz="6" w:space="0" w:color="auto"/>
              <w:left w:val="nil" w:sz="6" w:space="0" w:color="auto"/>
              <w:bottom w:val="single" w:sz="6" w:space="0" w:color="000000"/>
              <w:right w:val="nil" w:sz="6" w:space="0" w:color="auto"/>
            </w:tcBorders>
          </w:tcPr>
          <w:p>
            <w:pPr>
              <w:pStyle w:val="TableParagraph"/>
              <w:spacing w:line="205" w:lineRule="exact"/>
              <w:ind w:right="91"/>
              <w:jc w:val="right"/>
              <w:rPr>
                <w:rFonts w:ascii="宋体" w:hAnsi="宋体" w:cs="宋体" w:eastAsia="宋体" w:hint="default"/>
                <w:sz w:val="16"/>
                <w:szCs w:val="16"/>
              </w:rPr>
            </w:pPr>
            <w:r>
              <w:rPr>
                <w:rFonts w:ascii="宋体"/>
                <w:w w:val="95"/>
                <w:sz w:val="16"/>
              </w:rPr>
              <w:t>12,884,928,872</w:t>
            </w:r>
            <w:r>
              <w:rPr>
                <w:rFonts w:ascii="宋体"/>
                <w:sz w:val="16"/>
              </w:rPr>
            </w:r>
          </w:p>
        </w:tc>
        <w:tc>
          <w:tcPr>
            <w:tcW w:w="1461" w:type="dxa"/>
            <w:tcBorders>
              <w:top w:val="nil" w:sz="6" w:space="0" w:color="auto"/>
              <w:left w:val="nil" w:sz="6" w:space="0" w:color="auto"/>
              <w:bottom w:val="single" w:sz="6" w:space="0" w:color="000000"/>
              <w:right w:val="nil" w:sz="6" w:space="0" w:color="auto"/>
            </w:tcBorders>
          </w:tcPr>
          <w:p>
            <w:pPr>
              <w:pStyle w:val="TableParagraph"/>
              <w:spacing w:line="205" w:lineRule="exact"/>
              <w:ind w:right="78"/>
              <w:jc w:val="right"/>
              <w:rPr>
                <w:rFonts w:ascii="宋体" w:hAnsi="宋体" w:cs="宋体" w:eastAsia="宋体" w:hint="default"/>
                <w:sz w:val="16"/>
                <w:szCs w:val="16"/>
              </w:rPr>
            </w:pPr>
            <w:r>
              <w:rPr>
                <w:rFonts w:ascii="宋体"/>
                <w:sz w:val="16"/>
              </w:rPr>
              <w:t>725,445,283</w:t>
            </w:r>
          </w:p>
        </w:tc>
        <w:tc>
          <w:tcPr>
            <w:tcW w:w="1374" w:type="dxa"/>
            <w:tcBorders>
              <w:top w:val="nil" w:sz="6" w:space="0" w:color="auto"/>
              <w:left w:val="nil" w:sz="6" w:space="0" w:color="auto"/>
              <w:bottom w:val="single" w:sz="6" w:space="0" w:color="000000"/>
              <w:right w:val="nil" w:sz="6" w:space="0" w:color="auto"/>
            </w:tcBorders>
          </w:tcPr>
          <w:p>
            <w:pPr>
              <w:pStyle w:val="TableParagraph"/>
              <w:spacing w:line="205" w:lineRule="exact"/>
              <w:ind w:right="92"/>
              <w:jc w:val="right"/>
              <w:rPr>
                <w:rFonts w:ascii="宋体" w:hAnsi="宋体" w:cs="宋体" w:eastAsia="宋体" w:hint="default"/>
                <w:sz w:val="16"/>
                <w:szCs w:val="16"/>
              </w:rPr>
            </w:pPr>
            <w:r>
              <w:rPr>
                <w:rFonts w:ascii="宋体"/>
                <w:w w:val="95"/>
                <w:sz w:val="16"/>
              </w:rPr>
              <w:t>13,610,374,155</w:t>
            </w:r>
            <w:r>
              <w:rPr>
                <w:rFonts w:ascii="宋体"/>
                <w:sz w:val="16"/>
              </w:rPr>
            </w:r>
          </w:p>
        </w:tc>
        <w:tc>
          <w:tcPr>
            <w:tcW w:w="1061" w:type="dxa"/>
            <w:tcBorders>
              <w:top w:val="nil" w:sz="6" w:space="0" w:color="auto"/>
              <w:left w:val="nil" w:sz="6" w:space="0" w:color="auto"/>
              <w:bottom w:val="single" w:sz="6" w:space="0" w:color="000000"/>
              <w:right w:val="nil" w:sz="6" w:space="0" w:color="auto"/>
            </w:tcBorders>
          </w:tcPr>
          <w:p>
            <w:pPr>
              <w:pStyle w:val="TableParagraph"/>
              <w:spacing w:line="205" w:lineRule="exact"/>
              <w:ind w:right="76"/>
              <w:jc w:val="right"/>
              <w:rPr>
                <w:rFonts w:ascii="宋体" w:hAnsi="宋体" w:cs="宋体" w:eastAsia="宋体" w:hint="default"/>
                <w:sz w:val="16"/>
                <w:szCs w:val="16"/>
              </w:rPr>
            </w:pPr>
            <w:r>
              <w:rPr>
                <w:rFonts w:ascii="宋体"/>
                <w:w w:val="95"/>
                <w:sz w:val="16"/>
              </w:rPr>
              <w:t>7,945,411</w:t>
            </w:r>
            <w:r>
              <w:rPr>
                <w:rFonts w:ascii="宋体"/>
                <w:sz w:val="16"/>
              </w:rPr>
            </w:r>
          </w:p>
        </w:tc>
        <w:tc>
          <w:tcPr>
            <w:tcW w:w="1127" w:type="dxa"/>
            <w:tcBorders>
              <w:top w:val="nil" w:sz="6" w:space="0" w:color="auto"/>
              <w:left w:val="nil" w:sz="6" w:space="0" w:color="auto"/>
              <w:bottom w:val="single" w:sz="6" w:space="0" w:color="000000"/>
              <w:right w:val="nil" w:sz="6" w:space="0" w:color="auto"/>
            </w:tcBorders>
          </w:tcPr>
          <w:p>
            <w:pPr>
              <w:pStyle w:val="TableParagraph"/>
              <w:spacing w:line="205" w:lineRule="exact"/>
              <w:ind w:right="69"/>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nil" w:sz="6" w:space="0" w:color="auto"/>
              <w:left w:val="nil" w:sz="6" w:space="0" w:color="auto"/>
              <w:bottom w:val="single" w:sz="6" w:space="0" w:color="000000"/>
              <w:right w:val="nil" w:sz="6" w:space="0" w:color="auto"/>
            </w:tcBorders>
          </w:tcPr>
          <w:p>
            <w:pPr>
              <w:pStyle w:val="TableParagraph"/>
              <w:spacing w:line="205" w:lineRule="exact"/>
              <w:ind w:right="53"/>
              <w:jc w:val="right"/>
              <w:rPr>
                <w:rFonts w:ascii="宋体" w:hAnsi="宋体" w:cs="宋体" w:eastAsia="宋体" w:hint="default"/>
                <w:sz w:val="16"/>
                <w:szCs w:val="16"/>
              </w:rPr>
            </w:pPr>
            <w:r>
              <w:rPr>
                <w:rFonts w:ascii="宋体"/>
                <w:w w:val="95"/>
                <w:sz w:val="16"/>
              </w:rPr>
              <w:t>7,945,411</w:t>
            </w:r>
            <w:r>
              <w:rPr>
                <w:rFonts w:ascii="宋体"/>
                <w:sz w:val="16"/>
              </w:rPr>
            </w:r>
          </w:p>
        </w:tc>
      </w:tr>
      <w:tr>
        <w:trPr>
          <w:trHeight w:val="414" w:hRule="exact"/>
        </w:trPr>
        <w:tc>
          <w:tcPr>
            <w:tcW w:w="1174" w:type="dxa"/>
            <w:tcBorders>
              <w:top w:val="nil" w:sz="6" w:space="0" w:color="auto"/>
              <w:left w:val="nil" w:sz="6" w:space="0" w:color="auto"/>
              <w:bottom w:val="single" w:sz="16" w:space="0" w:color="9F8958"/>
              <w:right w:val="nil" w:sz="6" w:space="0" w:color="auto"/>
            </w:tcBorders>
          </w:tcPr>
          <w:p>
            <w:pPr>
              <w:pStyle w:val="TableParagraph"/>
              <w:spacing w:line="240" w:lineRule="auto" w:before="71"/>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652" w:type="dxa"/>
            <w:tcBorders>
              <w:top w:val="nil" w:sz="6" w:space="0" w:color="auto"/>
              <w:left w:val="nil" w:sz="6" w:space="0" w:color="auto"/>
              <w:bottom w:val="single" w:sz="16" w:space="0" w:color="9F8958"/>
              <w:right w:val="nil" w:sz="6" w:space="0" w:color="auto"/>
            </w:tcBorders>
          </w:tcPr>
          <w:p>
            <w:pPr/>
          </w:p>
        </w:tc>
        <w:tc>
          <w:tcPr>
            <w:tcW w:w="142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92"/>
              <w:jc w:val="right"/>
              <w:rPr>
                <w:rFonts w:ascii="宋体" w:hAnsi="宋体" w:cs="宋体" w:eastAsia="宋体" w:hint="default"/>
                <w:sz w:val="16"/>
                <w:szCs w:val="16"/>
              </w:rPr>
            </w:pPr>
            <w:r>
              <w:rPr>
                <w:rFonts w:ascii="宋体"/>
                <w:w w:val="95"/>
                <w:sz w:val="16"/>
              </w:rPr>
              <w:t>210,875,007,098</w:t>
            </w:r>
            <w:r>
              <w:rPr>
                <w:rFonts w:ascii="宋体"/>
                <w:sz w:val="16"/>
              </w:rPr>
            </w:r>
          </w:p>
        </w:tc>
        <w:tc>
          <w:tcPr>
            <w:tcW w:w="146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79"/>
              <w:jc w:val="right"/>
              <w:rPr>
                <w:rFonts w:ascii="宋体" w:hAnsi="宋体" w:cs="宋体" w:eastAsia="宋体" w:hint="default"/>
                <w:sz w:val="16"/>
                <w:szCs w:val="16"/>
              </w:rPr>
            </w:pPr>
            <w:r>
              <w:rPr>
                <w:rFonts w:ascii="宋体"/>
                <w:w w:val="131"/>
                <w:sz w:val="16"/>
              </w:rPr>
              <w:t>-</w:t>
            </w:r>
            <w:r>
              <w:rPr>
                <w:rFonts w:ascii="宋体"/>
                <w:sz w:val="16"/>
              </w:rPr>
            </w:r>
          </w:p>
        </w:tc>
        <w:tc>
          <w:tcPr>
            <w:tcW w:w="137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93"/>
              <w:jc w:val="right"/>
              <w:rPr>
                <w:rFonts w:ascii="宋体" w:hAnsi="宋体" w:cs="宋体" w:eastAsia="宋体" w:hint="default"/>
                <w:sz w:val="16"/>
                <w:szCs w:val="16"/>
              </w:rPr>
            </w:pPr>
            <w:r>
              <w:rPr>
                <w:rFonts w:ascii="宋体"/>
                <w:w w:val="95"/>
                <w:sz w:val="16"/>
              </w:rPr>
              <w:t>210,875,007,098</w:t>
            </w:r>
            <w:r>
              <w:rPr>
                <w:rFonts w:ascii="宋体"/>
                <w:sz w:val="16"/>
              </w:rPr>
            </w:r>
          </w:p>
        </w:tc>
        <w:tc>
          <w:tcPr>
            <w:tcW w:w="106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77"/>
              <w:jc w:val="right"/>
              <w:rPr>
                <w:rFonts w:ascii="宋体" w:hAnsi="宋体" w:cs="宋体" w:eastAsia="宋体" w:hint="default"/>
                <w:sz w:val="16"/>
                <w:szCs w:val="16"/>
              </w:rPr>
            </w:pPr>
            <w:r>
              <w:rPr>
                <w:rFonts w:ascii="宋体"/>
                <w:sz w:val="16"/>
              </w:rPr>
              <w:t>936,405,575</w:t>
            </w:r>
          </w:p>
        </w:tc>
        <w:tc>
          <w:tcPr>
            <w:tcW w:w="112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70"/>
              <w:jc w:val="right"/>
              <w:rPr>
                <w:rFonts w:ascii="宋体" w:hAnsi="宋体" w:cs="宋体" w:eastAsia="宋体" w:hint="default"/>
                <w:sz w:val="16"/>
                <w:szCs w:val="16"/>
              </w:rPr>
            </w:pPr>
            <w:r>
              <w:rPr>
                <w:rFonts w:ascii="宋体"/>
                <w:w w:val="131"/>
                <w:sz w:val="16"/>
              </w:rPr>
              <w:t>-</w:t>
            </w:r>
            <w:r>
              <w:rPr>
                <w:rFonts w:ascii="宋体"/>
                <w:sz w:val="16"/>
              </w:rPr>
            </w:r>
          </w:p>
        </w:tc>
        <w:tc>
          <w:tcPr>
            <w:tcW w:w="101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54"/>
              <w:jc w:val="right"/>
              <w:rPr>
                <w:rFonts w:ascii="宋体" w:hAnsi="宋体" w:cs="宋体" w:eastAsia="宋体" w:hint="default"/>
                <w:sz w:val="16"/>
                <w:szCs w:val="16"/>
              </w:rPr>
            </w:pPr>
            <w:r>
              <w:rPr>
                <w:rFonts w:ascii="宋体"/>
                <w:sz w:val="16"/>
              </w:rPr>
              <w:t>936,405,575</w:t>
            </w:r>
          </w:p>
        </w:tc>
      </w:tr>
    </w:tbl>
    <w:p>
      <w:pPr>
        <w:spacing w:line="240" w:lineRule="auto" w:before="7"/>
        <w:rPr>
          <w:rFonts w:ascii="宋体" w:hAnsi="宋体" w:cs="宋体" w:eastAsia="宋体" w:hint="default"/>
          <w:sz w:val="13"/>
          <w:szCs w:val="13"/>
        </w:rPr>
      </w:pPr>
    </w:p>
    <w:p>
      <w:pPr>
        <w:spacing w:after="0" w:line="240" w:lineRule="auto"/>
        <w:rPr>
          <w:rFonts w:ascii="宋体" w:hAnsi="宋体" w:cs="宋体" w:eastAsia="宋体" w:hint="default"/>
          <w:sz w:val="13"/>
          <w:szCs w:val="13"/>
        </w:rPr>
        <w:sectPr>
          <w:pgSz w:w="11910" w:h="16160"/>
          <w:pgMar w:header="2796" w:footer="298" w:top="3900" w:bottom="480" w:left="1360" w:right="680"/>
        </w:sectPr>
      </w:pPr>
    </w:p>
    <w:p>
      <w:pPr>
        <w:pStyle w:val="BodyText"/>
        <w:spacing w:line="240" w:lineRule="auto" w:before="31"/>
        <w:ind w:right="-19"/>
        <w:jc w:val="left"/>
      </w:pPr>
      <w:r>
        <w:rPr/>
        <w:t>2017</w:t>
      </w:r>
      <w:r>
        <w:rPr>
          <w:spacing w:val="-7"/>
        </w:rPr>
        <w:t> </w:t>
      </w:r>
      <w:r>
        <w:rPr/>
        <w:t>年度受影响的合并利润表和利润表项目：</w:t>
      </w:r>
    </w:p>
    <w:p>
      <w:pPr>
        <w:spacing w:line="240" w:lineRule="auto" w:before="0"/>
        <w:rPr>
          <w:rFonts w:ascii="宋体" w:hAnsi="宋体" w:cs="宋体" w:eastAsia="宋体" w:hint="default"/>
          <w:sz w:val="16"/>
          <w:szCs w:val="16"/>
        </w:rPr>
      </w:pPr>
      <w:r>
        <w:rPr/>
        <w:br w:type="column"/>
      </w:r>
      <w:r>
        <w:rPr>
          <w:rFonts w:ascii="宋体"/>
          <w:sz w:val="16"/>
        </w:rPr>
      </w:r>
    </w:p>
    <w:p>
      <w:pPr>
        <w:tabs>
          <w:tab w:pos="3700" w:val="left" w:leader="none"/>
        </w:tabs>
        <w:spacing w:before="121"/>
        <w:ind w:left="-30" w:right="0" w:firstLine="0"/>
        <w:jc w:val="left"/>
        <w:rPr>
          <w:rFonts w:ascii="宋体" w:hAnsi="宋体" w:cs="宋体" w:eastAsia="宋体" w:hint="default"/>
          <w:sz w:val="16"/>
          <w:szCs w:val="16"/>
        </w:rPr>
      </w:pPr>
      <w:r>
        <w:rPr>
          <w:rFonts w:ascii="宋体" w:hAnsi="宋体" w:cs="宋体" w:eastAsia="宋体" w:hint="default"/>
          <w:sz w:val="16"/>
          <w:szCs w:val="16"/>
        </w:rPr>
        <w:t>本集团</w:t>
        <w:tab/>
        <w:t>本公司</w:t>
      </w:r>
    </w:p>
    <w:p>
      <w:pPr>
        <w:spacing w:after="0"/>
        <w:jc w:val="left"/>
        <w:rPr>
          <w:rFonts w:ascii="宋体" w:hAnsi="宋体" w:cs="宋体" w:eastAsia="宋体" w:hint="default"/>
          <w:sz w:val="16"/>
          <w:szCs w:val="16"/>
        </w:rPr>
        <w:sectPr>
          <w:type w:val="continuous"/>
          <w:pgSz w:w="11910" w:h="16160"/>
          <w:pgMar w:top="1520" w:bottom="280" w:left="1360" w:right="680"/>
          <w:cols w:num="2" w:equalWidth="0">
            <w:col w:w="4139" w:space="40"/>
            <w:col w:w="5691"/>
          </w:cols>
        </w:sectPr>
      </w:pPr>
    </w:p>
    <w:p>
      <w:pPr>
        <w:spacing w:line="240" w:lineRule="auto" w:before="4"/>
        <w:rPr>
          <w:rFonts w:ascii="宋体" w:hAnsi="宋体" w:cs="宋体" w:eastAsia="宋体" w:hint="default"/>
          <w:sz w:val="5"/>
          <w:szCs w:val="5"/>
        </w:rPr>
      </w:pPr>
    </w:p>
    <w:tbl>
      <w:tblPr>
        <w:tblW w:w="0" w:type="auto"/>
        <w:jc w:val="left"/>
        <w:tblInd w:w="454" w:type="dxa"/>
        <w:tblLayout w:type="fixed"/>
        <w:tblCellMar>
          <w:top w:w="0" w:type="dxa"/>
          <w:left w:w="0" w:type="dxa"/>
          <w:bottom w:w="0" w:type="dxa"/>
          <w:right w:w="0" w:type="dxa"/>
        </w:tblCellMar>
        <w:tblLook w:val="01E0"/>
      </w:tblPr>
      <w:tblGrid>
        <w:gridCol w:w="1031"/>
        <w:gridCol w:w="794"/>
        <w:gridCol w:w="1576"/>
        <w:gridCol w:w="1351"/>
        <w:gridCol w:w="1419"/>
        <w:gridCol w:w="1192"/>
        <w:gridCol w:w="996"/>
        <w:gridCol w:w="928"/>
      </w:tblGrid>
      <w:tr>
        <w:trPr>
          <w:trHeight w:val="311" w:hRule="exact"/>
        </w:trPr>
        <w:tc>
          <w:tcPr>
            <w:tcW w:w="1031" w:type="dxa"/>
            <w:tcBorders>
              <w:top w:val="nil" w:sz="6" w:space="0" w:color="auto"/>
              <w:left w:val="nil" w:sz="6" w:space="0" w:color="auto"/>
              <w:bottom w:val="single" w:sz="16" w:space="0" w:color="9F8958"/>
              <w:right w:val="nil" w:sz="6" w:space="0" w:color="auto"/>
            </w:tcBorders>
          </w:tcPr>
          <w:p>
            <w:pPr/>
          </w:p>
        </w:tc>
        <w:tc>
          <w:tcPr>
            <w:tcW w:w="794" w:type="dxa"/>
            <w:tcBorders>
              <w:top w:val="nil" w:sz="6" w:space="0" w:color="auto"/>
              <w:left w:val="nil" w:sz="6" w:space="0" w:color="auto"/>
              <w:bottom w:val="single" w:sz="16" w:space="0" w:color="9F8958"/>
              <w:right w:val="nil" w:sz="6" w:space="0" w:color="auto"/>
            </w:tcBorders>
          </w:tcPr>
          <w:p>
            <w:pPr>
              <w:pStyle w:val="TableParagraph"/>
              <w:spacing w:line="240" w:lineRule="auto" w:before="25"/>
              <w:ind w:left="350" w:right="0"/>
              <w:jc w:val="left"/>
              <w:rPr>
                <w:rFonts w:ascii="宋体" w:hAnsi="宋体" w:cs="宋体" w:eastAsia="宋体" w:hint="default"/>
                <w:sz w:val="16"/>
                <w:szCs w:val="16"/>
              </w:rPr>
            </w:pPr>
            <w:r>
              <w:rPr>
                <w:rFonts w:ascii="宋体" w:hAnsi="宋体" w:cs="宋体" w:eastAsia="宋体" w:hint="default"/>
                <w:sz w:val="16"/>
                <w:szCs w:val="16"/>
              </w:rPr>
              <w:t>附注</w:t>
            </w:r>
          </w:p>
        </w:tc>
        <w:tc>
          <w:tcPr>
            <w:tcW w:w="1576"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303"/>
              <w:jc w:val="right"/>
              <w:rPr>
                <w:rFonts w:ascii="宋体" w:hAnsi="宋体" w:cs="宋体" w:eastAsia="宋体" w:hint="default"/>
                <w:sz w:val="16"/>
                <w:szCs w:val="16"/>
              </w:rPr>
            </w:pPr>
            <w:r>
              <w:rPr>
                <w:rFonts w:ascii="宋体" w:hAnsi="宋体" w:cs="宋体" w:eastAsia="宋体" w:hint="default"/>
                <w:sz w:val="16"/>
                <w:szCs w:val="16"/>
              </w:rPr>
              <w:t>调整前</w:t>
            </w:r>
          </w:p>
        </w:tc>
        <w:tc>
          <w:tcPr>
            <w:tcW w:w="1351"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180"/>
              <w:jc w:val="right"/>
              <w:rPr>
                <w:rFonts w:ascii="宋体" w:hAnsi="宋体" w:cs="宋体" w:eastAsia="宋体" w:hint="default"/>
                <w:sz w:val="16"/>
                <w:szCs w:val="16"/>
              </w:rPr>
            </w:pPr>
            <w:r>
              <w:rPr>
                <w:rFonts w:ascii="宋体" w:hAnsi="宋体" w:cs="宋体" w:eastAsia="宋体" w:hint="default"/>
                <w:sz w:val="16"/>
                <w:szCs w:val="16"/>
              </w:rPr>
              <w:t>调整数</w:t>
            </w:r>
          </w:p>
        </w:tc>
        <w:tc>
          <w:tcPr>
            <w:tcW w:w="1419"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238"/>
              <w:jc w:val="right"/>
              <w:rPr>
                <w:rFonts w:ascii="宋体" w:hAnsi="宋体" w:cs="宋体" w:eastAsia="宋体" w:hint="default"/>
                <w:sz w:val="16"/>
                <w:szCs w:val="16"/>
              </w:rPr>
            </w:pPr>
            <w:r>
              <w:rPr>
                <w:rFonts w:ascii="宋体" w:hAnsi="宋体" w:cs="宋体" w:eastAsia="宋体" w:hint="default"/>
                <w:sz w:val="16"/>
                <w:szCs w:val="16"/>
              </w:rPr>
              <w:t>调整后</w:t>
            </w:r>
          </w:p>
        </w:tc>
        <w:tc>
          <w:tcPr>
            <w:tcW w:w="1192"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right="353"/>
              <w:jc w:val="right"/>
              <w:rPr>
                <w:rFonts w:ascii="宋体" w:hAnsi="宋体" w:cs="宋体" w:eastAsia="宋体" w:hint="default"/>
                <w:sz w:val="16"/>
                <w:szCs w:val="16"/>
              </w:rPr>
            </w:pPr>
            <w:r>
              <w:rPr>
                <w:rFonts w:ascii="宋体" w:hAnsi="宋体" w:cs="宋体" w:eastAsia="宋体" w:hint="default"/>
                <w:sz w:val="16"/>
                <w:szCs w:val="16"/>
              </w:rPr>
              <w:t>调整前</w:t>
            </w:r>
          </w:p>
        </w:tc>
        <w:tc>
          <w:tcPr>
            <w:tcW w:w="996"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left="298" w:right="0"/>
              <w:jc w:val="left"/>
              <w:rPr>
                <w:rFonts w:ascii="宋体" w:hAnsi="宋体" w:cs="宋体" w:eastAsia="宋体" w:hint="default"/>
                <w:sz w:val="16"/>
                <w:szCs w:val="16"/>
              </w:rPr>
            </w:pPr>
            <w:r>
              <w:rPr>
                <w:rFonts w:ascii="宋体" w:hAnsi="宋体" w:cs="宋体" w:eastAsia="宋体" w:hint="default"/>
                <w:sz w:val="16"/>
                <w:szCs w:val="16"/>
              </w:rPr>
              <w:t>调整数</w:t>
            </w:r>
          </w:p>
        </w:tc>
        <w:tc>
          <w:tcPr>
            <w:tcW w:w="928" w:type="dxa"/>
            <w:tcBorders>
              <w:top w:val="single" w:sz="6" w:space="0" w:color="000000"/>
              <w:left w:val="nil" w:sz="6" w:space="0" w:color="auto"/>
              <w:bottom w:val="single" w:sz="16" w:space="0" w:color="9F8958"/>
              <w:right w:val="nil" w:sz="6" w:space="0" w:color="auto"/>
            </w:tcBorders>
          </w:tcPr>
          <w:p>
            <w:pPr>
              <w:pStyle w:val="TableParagraph"/>
              <w:spacing w:line="240" w:lineRule="auto" w:before="17"/>
              <w:ind w:left="334" w:right="0"/>
              <w:jc w:val="left"/>
              <w:rPr>
                <w:rFonts w:ascii="宋体" w:hAnsi="宋体" w:cs="宋体" w:eastAsia="宋体" w:hint="default"/>
                <w:sz w:val="16"/>
                <w:szCs w:val="16"/>
              </w:rPr>
            </w:pPr>
            <w:r>
              <w:rPr>
                <w:rFonts w:ascii="宋体" w:hAnsi="宋体" w:cs="宋体" w:eastAsia="宋体" w:hint="default"/>
                <w:sz w:val="16"/>
                <w:szCs w:val="16"/>
              </w:rPr>
              <w:t>调整后</w:t>
            </w:r>
          </w:p>
        </w:tc>
      </w:tr>
      <w:tr>
        <w:trPr>
          <w:trHeight w:val="362" w:hRule="exact"/>
        </w:trPr>
        <w:tc>
          <w:tcPr>
            <w:tcW w:w="103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管理费用</w:t>
            </w:r>
          </w:p>
        </w:tc>
        <w:tc>
          <w:tcPr>
            <w:tcW w:w="79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277" w:right="0"/>
              <w:jc w:val="left"/>
              <w:rPr>
                <w:rFonts w:ascii="宋体" w:hAnsi="宋体" w:cs="宋体" w:eastAsia="宋体" w:hint="default"/>
                <w:sz w:val="16"/>
                <w:szCs w:val="16"/>
              </w:rPr>
            </w:pPr>
            <w:r>
              <w:rPr>
                <w:rFonts w:ascii="宋体" w:hAnsi="宋体" w:cs="宋体" w:eastAsia="宋体" w:hint="default"/>
                <w:w w:val="90"/>
                <w:sz w:val="16"/>
                <w:szCs w:val="16"/>
              </w:rPr>
              <w:t>五</w:t>
            </w:r>
            <w:r>
              <w:rPr>
                <w:rFonts w:ascii="宋体" w:hAnsi="宋体" w:cs="宋体" w:eastAsia="宋体" w:hint="default"/>
                <w:spacing w:val="-38"/>
                <w:w w:val="90"/>
                <w:sz w:val="16"/>
                <w:szCs w:val="16"/>
              </w:rPr>
              <w:t> </w:t>
            </w:r>
            <w:r>
              <w:rPr>
                <w:rFonts w:ascii="宋体" w:hAnsi="宋体" w:cs="宋体" w:eastAsia="宋体" w:hint="default"/>
                <w:w w:val="90"/>
                <w:sz w:val="16"/>
                <w:szCs w:val="16"/>
              </w:rPr>
              <w:t>(39)</w:t>
            </w:r>
            <w:r>
              <w:rPr>
                <w:rFonts w:ascii="宋体" w:hAnsi="宋体" w:cs="宋体" w:eastAsia="宋体" w:hint="default"/>
                <w:sz w:val="16"/>
                <w:szCs w:val="16"/>
              </w:rPr>
            </w:r>
          </w:p>
        </w:tc>
        <w:tc>
          <w:tcPr>
            <w:tcW w:w="157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46"/>
              <w:jc w:val="right"/>
              <w:rPr>
                <w:rFonts w:ascii="宋体" w:hAnsi="宋体" w:cs="宋体" w:eastAsia="宋体" w:hint="default"/>
                <w:sz w:val="16"/>
                <w:szCs w:val="16"/>
              </w:rPr>
            </w:pPr>
            <w:r>
              <w:rPr>
                <w:rFonts w:ascii="宋体"/>
                <w:w w:val="95"/>
                <w:sz w:val="16"/>
              </w:rPr>
              <w:t>21,333,649,695</w:t>
            </w:r>
            <w:r>
              <w:rPr>
                <w:rFonts w:ascii="宋体"/>
                <w:sz w:val="16"/>
              </w:rPr>
            </w:r>
          </w:p>
        </w:tc>
        <w:tc>
          <w:tcPr>
            <w:tcW w:w="135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23"/>
              <w:jc w:val="right"/>
              <w:rPr>
                <w:rFonts w:ascii="宋体" w:hAnsi="宋体" w:cs="宋体" w:eastAsia="宋体" w:hint="default"/>
                <w:sz w:val="16"/>
                <w:szCs w:val="16"/>
              </w:rPr>
            </w:pPr>
            <w:r>
              <w:rPr>
                <w:rFonts w:ascii="宋体"/>
                <w:w w:val="90"/>
                <w:sz w:val="16"/>
              </w:rPr>
              <w:t>(491,941,948)</w:t>
            </w:r>
            <w:r>
              <w:rPr>
                <w:rFonts w:ascii="宋体"/>
                <w:sz w:val="16"/>
              </w:rPr>
            </w:r>
          </w:p>
        </w:tc>
        <w:tc>
          <w:tcPr>
            <w:tcW w:w="141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81"/>
              <w:jc w:val="right"/>
              <w:rPr>
                <w:rFonts w:ascii="宋体" w:hAnsi="宋体" w:cs="宋体" w:eastAsia="宋体" w:hint="default"/>
                <w:sz w:val="16"/>
                <w:szCs w:val="16"/>
              </w:rPr>
            </w:pPr>
            <w:r>
              <w:rPr>
                <w:rFonts w:ascii="宋体"/>
                <w:w w:val="95"/>
                <w:sz w:val="16"/>
              </w:rPr>
              <w:t>20,841,707,747</w:t>
            </w:r>
            <w:r>
              <w:rPr>
                <w:rFonts w:ascii="宋体"/>
                <w:sz w:val="16"/>
              </w:rPr>
            </w:r>
          </w:p>
        </w:tc>
        <w:tc>
          <w:tcPr>
            <w:tcW w:w="119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96"/>
              <w:jc w:val="right"/>
              <w:rPr>
                <w:rFonts w:ascii="宋体" w:hAnsi="宋体" w:cs="宋体" w:eastAsia="宋体" w:hint="default"/>
                <w:sz w:val="16"/>
                <w:szCs w:val="16"/>
              </w:rPr>
            </w:pPr>
            <w:r>
              <w:rPr>
                <w:rFonts w:ascii="宋体"/>
                <w:w w:val="95"/>
                <w:sz w:val="16"/>
              </w:rPr>
              <w:t>8,879,834</w:t>
            </w:r>
            <w:r>
              <w:rPr>
                <w:rFonts w:ascii="宋体"/>
                <w:sz w:val="16"/>
              </w:rPr>
            </w:r>
          </w:p>
        </w:tc>
        <w:tc>
          <w:tcPr>
            <w:tcW w:w="99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59"/>
              <w:jc w:val="right"/>
              <w:rPr>
                <w:rFonts w:ascii="宋体" w:hAnsi="宋体" w:cs="宋体" w:eastAsia="宋体" w:hint="default"/>
                <w:sz w:val="16"/>
                <w:szCs w:val="16"/>
              </w:rPr>
            </w:pPr>
            <w:r>
              <w:rPr>
                <w:rFonts w:ascii="宋体"/>
                <w:w w:val="131"/>
                <w:sz w:val="16"/>
              </w:rPr>
              <w:t>-</w:t>
            </w:r>
            <w:r>
              <w:rPr>
                <w:rFonts w:ascii="宋体"/>
                <w:sz w:val="16"/>
              </w:rPr>
            </w:r>
          </w:p>
        </w:tc>
        <w:tc>
          <w:tcPr>
            <w:tcW w:w="92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54"/>
              <w:jc w:val="right"/>
              <w:rPr>
                <w:rFonts w:ascii="宋体" w:hAnsi="宋体" w:cs="宋体" w:eastAsia="宋体" w:hint="default"/>
                <w:sz w:val="16"/>
                <w:szCs w:val="16"/>
              </w:rPr>
            </w:pPr>
            <w:r>
              <w:rPr>
                <w:rFonts w:ascii="宋体"/>
                <w:w w:val="95"/>
                <w:sz w:val="16"/>
              </w:rPr>
              <w:t>8,879,834</w:t>
            </w:r>
            <w:r>
              <w:rPr>
                <w:rFonts w:ascii="宋体"/>
                <w:sz w:val="16"/>
              </w:rPr>
            </w:r>
          </w:p>
        </w:tc>
      </w:tr>
      <w:tr>
        <w:trPr>
          <w:trHeight w:val="331" w:hRule="exact"/>
        </w:trPr>
        <w:tc>
          <w:tcPr>
            <w:tcW w:w="103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研发费用</w:t>
            </w:r>
          </w:p>
        </w:tc>
        <w:tc>
          <w:tcPr>
            <w:tcW w:w="794" w:type="dxa"/>
            <w:tcBorders>
              <w:top w:val="nil" w:sz="6" w:space="0" w:color="auto"/>
              <w:left w:val="nil" w:sz="6" w:space="0" w:color="auto"/>
              <w:bottom w:val="nil" w:sz="6" w:space="0" w:color="auto"/>
              <w:right w:val="nil" w:sz="6" w:space="0" w:color="auto"/>
            </w:tcBorders>
          </w:tcPr>
          <w:p>
            <w:pPr/>
          </w:p>
        </w:tc>
        <w:tc>
          <w:tcPr>
            <w:tcW w:w="1576" w:type="dxa"/>
            <w:tcBorders>
              <w:top w:val="nil" w:sz="6" w:space="0" w:color="auto"/>
              <w:left w:val="nil" w:sz="6" w:space="0" w:color="auto"/>
              <w:bottom w:val="single" w:sz="6" w:space="0" w:color="000000"/>
              <w:right w:val="nil" w:sz="6" w:space="0" w:color="auto"/>
            </w:tcBorders>
          </w:tcPr>
          <w:p>
            <w:pPr>
              <w:pStyle w:val="TableParagraph"/>
              <w:spacing w:line="205" w:lineRule="exact"/>
              <w:ind w:right="247"/>
              <w:jc w:val="right"/>
              <w:rPr>
                <w:rFonts w:ascii="宋体" w:hAnsi="宋体" w:cs="宋体" w:eastAsia="宋体" w:hint="default"/>
                <w:sz w:val="16"/>
                <w:szCs w:val="16"/>
              </w:rPr>
            </w:pPr>
            <w:r>
              <w:rPr>
                <w:rFonts w:ascii="宋体"/>
                <w:w w:val="131"/>
                <w:sz w:val="16"/>
              </w:rPr>
              <w:t>-</w:t>
            </w:r>
            <w:r>
              <w:rPr>
                <w:rFonts w:ascii="宋体"/>
                <w:sz w:val="16"/>
              </w:rPr>
            </w:r>
          </w:p>
        </w:tc>
        <w:tc>
          <w:tcPr>
            <w:tcW w:w="1351" w:type="dxa"/>
            <w:tcBorders>
              <w:top w:val="nil" w:sz="6" w:space="0" w:color="auto"/>
              <w:left w:val="nil" w:sz="6" w:space="0" w:color="auto"/>
              <w:bottom w:val="single" w:sz="6" w:space="0" w:color="000000"/>
              <w:right w:val="nil" w:sz="6" w:space="0" w:color="auto"/>
            </w:tcBorders>
          </w:tcPr>
          <w:p>
            <w:pPr>
              <w:pStyle w:val="TableParagraph"/>
              <w:spacing w:line="205" w:lineRule="exact"/>
              <w:ind w:right="123"/>
              <w:jc w:val="right"/>
              <w:rPr>
                <w:rFonts w:ascii="宋体" w:hAnsi="宋体" w:cs="宋体" w:eastAsia="宋体" w:hint="default"/>
                <w:sz w:val="16"/>
                <w:szCs w:val="16"/>
              </w:rPr>
            </w:pPr>
            <w:r>
              <w:rPr>
                <w:rFonts w:ascii="宋体"/>
                <w:sz w:val="16"/>
              </w:rPr>
              <w:t>491,941,948</w:t>
            </w:r>
          </w:p>
        </w:tc>
        <w:tc>
          <w:tcPr>
            <w:tcW w:w="1419" w:type="dxa"/>
            <w:tcBorders>
              <w:top w:val="nil" w:sz="6" w:space="0" w:color="auto"/>
              <w:left w:val="nil" w:sz="6" w:space="0" w:color="auto"/>
              <w:bottom w:val="single" w:sz="6" w:space="0" w:color="000000"/>
              <w:right w:val="nil" w:sz="6" w:space="0" w:color="auto"/>
            </w:tcBorders>
          </w:tcPr>
          <w:p>
            <w:pPr>
              <w:pStyle w:val="TableParagraph"/>
              <w:spacing w:line="205" w:lineRule="exact"/>
              <w:ind w:right="181"/>
              <w:jc w:val="right"/>
              <w:rPr>
                <w:rFonts w:ascii="宋体" w:hAnsi="宋体" w:cs="宋体" w:eastAsia="宋体" w:hint="default"/>
                <w:sz w:val="16"/>
                <w:szCs w:val="16"/>
              </w:rPr>
            </w:pPr>
            <w:r>
              <w:rPr>
                <w:rFonts w:ascii="宋体"/>
                <w:sz w:val="16"/>
              </w:rPr>
              <w:t>491,941,948</w:t>
            </w:r>
          </w:p>
        </w:tc>
        <w:tc>
          <w:tcPr>
            <w:tcW w:w="1192" w:type="dxa"/>
            <w:tcBorders>
              <w:top w:val="nil" w:sz="6" w:space="0" w:color="auto"/>
              <w:left w:val="nil" w:sz="6" w:space="0" w:color="auto"/>
              <w:bottom w:val="single" w:sz="6" w:space="0" w:color="000000"/>
              <w:right w:val="nil" w:sz="6" w:space="0" w:color="auto"/>
            </w:tcBorders>
          </w:tcPr>
          <w:p>
            <w:pPr>
              <w:pStyle w:val="TableParagraph"/>
              <w:spacing w:line="205" w:lineRule="exact"/>
              <w:ind w:right="296"/>
              <w:jc w:val="right"/>
              <w:rPr>
                <w:rFonts w:ascii="宋体" w:hAnsi="宋体" w:cs="宋体" w:eastAsia="宋体" w:hint="default"/>
                <w:sz w:val="16"/>
                <w:szCs w:val="16"/>
              </w:rPr>
            </w:pPr>
            <w:r>
              <w:rPr>
                <w:rFonts w:ascii="宋体"/>
                <w:w w:val="131"/>
                <w:sz w:val="16"/>
              </w:rPr>
              <w:t>-</w:t>
            </w:r>
            <w:r>
              <w:rPr>
                <w:rFonts w:ascii="宋体"/>
                <w:sz w:val="16"/>
              </w:rPr>
            </w:r>
          </w:p>
        </w:tc>
        <w:tc>
          <w:tcPr>
            <w:tcW w:w="996" w:type="dxa"/>
            <w:tcBorders>
              <w:top w:val="nil" w:sz="6" w:space="0" w:color="auto"/>
              <w:left w:val="nil" w:sz="6" w:space="0" w:color="auto"/>
              <w:bottom w:val="single" w:sz="6" w:space="0" w:color="000000"/>
              <w:right w:val="nil" w:sz="6" w:space="0" w:color="auto"/>
            </w:tcBorders>
          </w:tcPr>
          <w:p>
            <w:pPr>
              <w:pStyle w:val="TableParagraph"/>
              <w:spacing w:line="205" w:lineRule="exact"/>
              <w:ind w:right="158"/>
              <w:jc w:val="right"/>
              <w:rPr>
                <w:rFonts w:ascii="宋体" w:hAnsi="宋体" w:cs="宋体" w:eastAsia="宋体" w:hint="default"/>
                <w:sz w:val="16"/>
                <w:szCs w:val="16"/>
              </w:rPr>
            </w:pPr>
            <w:r>
              <w:rPr>
                <w:rFonts w:ascii="宋体"/>
                <w:w w:val="131"/>
                <w:sz w:val="16"/>
              </w:rPr>
              <w:t>-</w:t>
            </w:r>
            <w:r>
              <w:rPr>
                <w:rFonts w:ascii="宋体"/>
                <w:sz w:val="16"/>
              </w:rPr>
            </w:r>
          </w:p>
        </w:tc>
        <w:tc>
          <w:tcPr>
            <w:tcW w:w="928" w:type="dxa"/>
            <w:tcBorders>
              <w:top w:val="nil" w:sz="6" w:space="0" w:color="auto"/>
              <w:left w:val="nil" w:sz="6" w:space="0" w:color="auto"/>
              <w:bottom w:val="single" w:sz="6" w:space="0" w:color="000000"/>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414" w:hRule="exact"/>
        </w:trPr>
        <w:tc>
          <w:tcPr>
            <w:tcW w:w="1031" w:type="dxa"/>
            <w:tcBorders>
              <w:top w:val="nil" w:sz="6" w:space="0" w:color="auto"/>
              <w:left w:val="nil" w:sz="6" w:space="0" w:color="auto"/>
              <w:bottom w:val="single" w:sz="16" w:space="0" w:color="9F8958"/>
              <w:right w:val="nil" w:sz="6" w:space="0" w:color="auto"/>
            </w:tcBorders>
          </w:tcPr>
          <w:p>
            <w:pPr>
              <w:pStyle w:val="TableParagraph"/>
              <w:spacing w:line="240" w:lineRule="auto" w:before="71"/>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794" w:type="dxa"/>
            <w:tcBorders>
              <w:top w:val="nil" w:sz="6" w:space="0" w:color="auto"/>
              <w:left w:val="nil" w:sz="6" w:space="0" w:color="auto"/>
              <w:bottom w:val="single" w:sz="16" w:space="0" w:color="9F8958"/>
              <w:right w:val="nil" w:sz="6" w:space="0" w:color="auto"/>
            </w:tcBorders>
          </w:tcPr>
          <w:p>
            <w:pPr/>
          </w:p>
        </w:tc>
        <w:tc>
          <w:tcPr>
            <w:tcW w:w="157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46"/>
              <w:jc w:val="right"/>
              <w:rPr>
                <w:rFonts w:ascii="宋体" w:hAnsi="宋体" w:cs="宋体" w:eastAsia="宋体" w:hint="default"/>
                <w:sz w:val="16"/>
                <w:szCs w:val="16"/>
              </w:rPr>
            </w:pPr>
            <w:r>
              <w:rPr>
                <w:rFonts w:ascii="宋体"/>
                <w:w w:val="95"/>
                <w:sz w:val="16"/>
              </w:rPr>
              <w:t>21,333,649,695</w:t>
            </w:r>
            <w:r>
              <w:rPr>
                <w:rFonts w:ascii="宋体"/>
                <w:sz w:val="16"/>
              </w:rPr>
            </w:r>
          </w:p>
        </w:tc>
        <w:tc>
          <w:tcPr>
            <w:tcW w:w="135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23"/>
              <w:jc w:val="right"/>
              <w:rPr>
                <w:rFonts w:ascii="宋体" w:hAnsi="宋体" w:cs="宋体" w:eastAsia="宋体" w:hint="default"/>
                <w:sz w:val="16"/>
                <w:szCs w:val="16"/>
              </w:rPr>
            </w:pPr>
            <w:r>
              <w:rPr>
                <w:rFonts w:ascii="宋体"/>
                <w:w w:val="131"/>
                <w:sz w:val="16"/>
              </w:rPr>
              <w:t>-</w:t>
            </w:r>
            <w:r>
              <w:rPr>
                <w:rFonts w:ascii="宋体"/>
                <w:sz w:val="16"/>
              </w:rPr>
            </w:r>
          </w:p>
        </w:tc>
        <w:tc>
          <w:tcPr>
            <w:tcW w:w="141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81"/>
              <w:jc w:val="right"/>
              <w:rPr>
                <w:rFonts w:ascii="宋体" w:hAnsi="宋体" w:cs="宋体" w:eastAsia="宋体" w:hint="default"/>
                <w:sz w:val="16"/>
                <w:szCs w:val="16"/>
              </w:rPr>
            </w:pPr>
            <w:r>
              <w:rPr>
                <w:rFonts w:ascii="宋体"/>
                <w:w w:val="95"/>
                <w:sz w:val="16"/>
              </w:rPr>
              <w:t>21,333,649,695</w:t>
            </w:r>
            <w:r>
              <w:rPr>
                <w:rFonts w:ascii="宋体"/>
                <w:sz w:val="16"/>
              </w:rPr>
            </w:r>
          </w:p>
        </w:tc>
        <w:tc>
          <w:tcPr>
            <w:tcW w:w="119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96"/>
              <w:jc w:val="right"/>
              <w:rPr>
                <w:rFonts w:ascii="宋体" w:hAnsi="宋体" w:cs="宋体" w:eastAsia="宋体" w:hint="default"/>
                <w:sz w:val="16"/>
                <w:szCs w:val="16"/>
              </w:rPr>
            </w:pPr>
            <w:r>
              <w:rPr>
                <w:rFonts w:ascii="宋体"/>
                <w:w w:val="95"/>
                <w:sz w:val="16"/>
              </w:rPr>
              <w:t>8,879,834</w:t>
            </w:r>
            <w:r>
              <w:rPr>
                <w:rFonts w:ascii="宋体"/>
                <w:sz w:val="16"/>
              </w:rPr>
            </w:r>
          </w:p>
        </w:tc>
        <w:tc>
          <w:tcPr>
            <w:tcW w:w="99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58"/>
              <w:jc w:val="right"/>
              <w:rPr>
                <w:rFonts w:ascii="宋体" w:hAnsi="宋体" w:cs="宋体" w:eastAsia="宋体" w:hint="default"/>
                <w:sz w:val="16"/>
                <w:szCs w:val="16"/>
              </w:rPr>
            </w:pPr>
            <w:r>
              <w:rPr>
                <w:rFonts w:ascii="宋体"/>
                <w:w w:val="131"/>
                <w:sz w:val="16"/>
              </w:rPr>
              <w:t>-</w:t>
            </w:r>
            <w:r>
              <w:rPr>
                <w:rFonts w:ascii="宋体"/>
                <w:sz w:val="16"/>
              </w:rPr>
            </w:r>
          </w:p>
        </w:tc>
        <w:tc>
          <w:tcPr>
            <w:tcW w:w="92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54"/>
              <w:jc w:val="right"/>
              <w:rPr>
                <w:rFonts w:ascii="宋体" w:hAnsi="宋体" w:cs="宋体" w:eastAsia="宋体" w:hint="default"/>
                <w:sz w:val="16"/>
                <w:szCs w:val="16"/>
              </w:rPr>
            </w:pPr>
            <w:r>
              <w:rPr>
                <w:rFonts w:ascii="宋体"/>
                <w:w w:val="95"/>
                <w:sz w:val="16"/>
              </w:rPr>
              <w:t>8,879,834</w:t>
            </w:r>
            <w:r>
              <w:rPr>
                <w:rFonts w:ascii="宋体"/>
                <w:sz w:val="16"/>
              </w:rPr>
            </w:r>
          </w:p>
        </w:tc>
      </w:tr>
    </w:tbl>
    <w:p>
      <w:pPr>
        <w:spacing w:after="0" w:line="240" w:lineRule="auto"/>
        <w:jc w:val="right"/>
        <w:rPr>
          <w:rFonts w:ascii="宋体" w:hAnsi="宋体" w:cs="宋体" w:eastAsia="宋体" w:hint="default"/>
          <w:sz w:val="16"/>
          <w:szCs w:val="16"/>
        </w:rPr>
        <w:sectPr>
          <w:type w:val="continuous"/>
          <w:pgSz w:w="11910" w:h="16160"/>
          <w:pgMar w:top="1520" w:bottom="2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27" w:right="7595"/>
        <w:jc w:val="left"/>
      </w:pPr>
      <w:r>
        <w:rPr/>
        <w:t>33、会计政策变更（续）</w:t>
      </w:r>
      <w:r>
        <w:rPr>
          <w:spacing w:val="-71"/>
        </w:rPr>
        <w:t> </w:t>
      </w:r>
      <w:r>
        <w:rPr/>
        <w:t>(b)</w:t>
      </w:r>
      <w:r>
        <w:rPr>
          <w:spacing w:val="-17"/>
        </w:rPr>
        <w:t> </w:t>
      </w:r>
      <w:r>
        <w:rPr/>
        <w:t>变更的主要影响（续）</w:t>
      </w:r>
      <w:r>
        <w:rPr/>
        <w:t> (4) 解释第 9-12</w:t>
      </w:r>
      <w:r>
        <w:rPr>
          <w:spacing w:val="-54"/>
        </w:rPr>
        <w:t> </w:t>
      </w:r>
      <w:r>
        <w:rPr/>
        <w:t>号</w:t>
      </w:r>
    </w:p>
    <w:p>
      <w:pPr>
        <w:pStyle w:val="BodyText"/>
        <w:spacing w:line="285" w:lineRule="auto" w:before="54"/>
        <w:ind w:left="468" w:right="125"/>
        <w:jc w:val="left"/>
      </w:pPr>
      <w:r>
        <w:rPr>
          <w:spacing w:val="2"/>
        </w:rPr>
        <w:t>本集团按照解释第</w:t>
      </w:r>
      <w:r>
        <w:rPr>
          <w:spacing w:val="-9"/>
        </w:rPr>
        <w:t> </w:t>
      </w:r>
      <w:r>
        <w:rPr/>
        <w:t>9-12</w:t>
      </w:r>
      <w:r>
        <w:rPr>
          <w:spacing w:val="-9"/>
        </w:rPr>
        <w:t> </w:t>
      </w:r>
      <w:r>
        <w:rPr>
          <w:spacing w:val="2"/>
        </w:rPr>
        <w:t>号有关权益法下投资净损失的会计处理，固定资产和无形资产的折旧和摊销方法以及关键管</w:t>
      </w:r>
      <w:r>
        <w:rPr>
          <w:spacing w:val="-74"/>
        </w:rPr>
        <w:t> </w:t>
      </w:r>
      <w:r>
        <w:rPr>
          <w:spacing w:val="-74"/>
        </w:rPr>
      </w:r>
      <w:r>
        <w:rPr/>
        <w:t>理人员服务的关联方认定及披露的规定对相关的会计政策进行了调整。</w:t>
      </w:r>
    </w:p>
    <w:p>
      <w:pPr>
        <w:spacing w:line="240" w:lineRule="auto" w:before="10"/>
        <w:rPr>
          <w:rFonts w:ascii="宋体" w:hAnsi="宋体" w:cs="宋体" w:eastAsia="宋体" w:hint="default"/>
          <w:sz w:val="13"/>
          <w:szCs w:val="13"/>
        </w:rPr>
      </w:pPr>
    </w:p>
    <w:p>
      <w:pPr>
        <w:pStyle w:val="BodyText"/>
        <w:spacing w:line="240" w:lineRule="auto"/>
        <w:ind w:left="468" w:right="125"/>
        <w:jc w:val="left"/>
      </w:pPr>
      <w:r>
        <w:rPr/>
        <w:t>采用解释第 9-12</w:t>
      </w:r>
      <w:r>
        <w:rPr>
          <w:spacing w:val="-34"/>
        </w:rPr>
        <w:t> </w:t>
      </w:r>
      <w:r>
        <w:rPr/>
        <w:t>号未对本集团财务状况和经营成果产生重大影响。</w:t>
      </w:r>
    </w:p>
    <w:p>
      <w:pPr>
        <w:spacing w:line="240" w:lineRule="auto" w:before="5"/>
        <w:rPr>
          <w:rFonts w:ascii="宋体" w:hAnsi="宋体" w:cs="宋体" w:eastAsia="宋体" w:hint="default"/>
          <w:sz w:val="16"/>
          <w:szCs w:val="16"/>
        </w:rPr>
      </w:pPr>
    </w:p>
    <w:p>
      <w:pPr>
        <w:pStyle w:val="BodyText"/>
        <w:spacing w:line="285" w:lineRule="auto"/>
        <w:ind w:left="468" w:right="126" w:hanging="341"/>
        <w:jc w:val="both"/>
      </w:pPr>
      <w:r>
        <w:rPr>
          <w:w w:val="70"/>
        </w:rPr>
        <w:t>(c)</w:t>
      </w:r>
      <w:r>
        <w:rPr>
          <w:spacing w:val="29"/>
          <w:w w:val="70"/>
        </w:rPr>
        <w:t> </w:t>
      </w:r>
      <w:r>
        <w:rPr>
          <w:spacing w:val="4"/>
        </w:rPr>
        <w:t>本集团以按照财会</w:t>
      </w:r>
      <w:r>
        <w:rPr>
          <w:spacing w:val="-43"/>
        </w:rPr>
        <w:t> </w:t>
      </w:r>
      <w:r>
        <w:rPr>
          <w:spacing w:val="-1"/>
          <w:w w:val="97"/>
        </w:rPr>
        <w:t>[2018]15</w:t>
      </w:r>
      <w:r>
        <w:rPr>
          <w:spacing w:val="-40"/>
          <w:w w:val="97"/>
        </w:rPr>
        <w:t> </w:t>
      </w:r>
      <w:r>
        <w:rPr>
          <w:spacing w:val="4"/>
        </w:rPr>
        <w:t>号规定及相关解读、财会</w:t>
      </w:r>
      <w:r>
        <w:rPr>
          <w:spacing w:val="-43"/>
        </w:rPr>
        <w:t> </w:t>
      </w:r>
      <w:r>
        <w:rPr>
          <w:spacing w:val="-1"/>
          <w:w w:val="95"/>
        </w:rPr>
        <w:t>[2019]1</w:t>
      </w:r>
      <w:r>
        <w:rPr>
          <w:spacing w:val="-38"/>
          <w:w w:val="95"/>
        </w:rPr>
        <w:t> </w:t>
      </w:r>
      <w:r>
        <w:rPr>
          <w:spacing w:val="4"/>
        </w:rPr>
        <w:t>号规定追溯调整</w:t>
      </w:r>
      <w:r>
        <w:rPr>
          <w:spacing w:val="-43"/>
        </w:rPr>
        <w:t> </w:t>
      </w:r>
      <w:r>
        <w:rPr>
          <w:w w:val="55"/>
        </w:rPr>
        <w:t>(</w:t>
      </w:r>
      <w:r>
        <w:rPr>
          <w:spacing w:val="-3"/>
          <w:w w:val="55"/>
        </w:rPr>
        <w:t> </w:t>
      </w:r>
      <w:r>
        <w:rPr>
          <w:spacing w:val="3"/>
        </w:rPr>
        <w:t>附注三</w:t>
      </w:r>
      <w:r>
        <w:rPr>
          <w:spacing w:val="-43"/>
        </w:rPr>
        <w:t> </w:t>
      </w:r>
      <w:r>
        <w:rPr>
          <w:spacing w:val="-1"/>
          <w:w w:val="75"/>
        </w:rPr>
        <w:t>(33)(b)(3))</w:t>
      </w:r>
      <w:r>
        <w:rPr>
          <w:spacing w:val="-21"/>
          <w:w w:val="75"/>
        </w:rPr>
        <w:t> </w:t>
      </w:r>
      <w:r>
        <w:rPr>
          <w:spacing w:val="5"/>
        </w:rPr>
        <w:t>后的比较财务报表</w:t>
      </w:r>
      <w:r>
        <w:rPr>
          <w:spacing w:val="5"/>
        </w:rPr>
        <w:t> </w:t>
      </w:r>
      <w:r>
        <w:rPr>
          <w:spacing w:val="2"/>
        </w:rPr>
        <w:t>为基础，对上述附注三</w:t>
      </w:r>
      <w:r>
        <w:rPr>
          <w:spacing w:val="-42"/>
        </w:rPr>
        <w:t> </w:t>
      </w:r>
      <w:r>
        <w:rPr>
          <w:spacing w:val="-1"/>
          <w:w w:val="80"/>
        </w:rPr>
        <w:t>(33)(b)(1)-(2)</w:t>
      </w:r>
      <w:r>
        <w:rPr>
          <w:spacing w:val="-24"/>
          <w:w w:val="80"/>
        </w:rPr>
        <w:t> </w:t>
      </w:r>
      <w:r>
        <w:rPr>
          <w:spacing w:val="2"/>
        </w:rPr>
        <w:t>中不追溯调整比较财务报表数据的会计政策变更对</w:t>
      </w:r>
      <w:r>
        <w:rPr>
          <w:spacing w:val="-42"/>
        </w:rPr>
        <w:t> </w:t>
      </w:r>
      <w:r>
        <w:rPr>
          <w:spacing w:val="-1"/>
          <w:w w:val="111"/>
        </w:rPr>
        <w:t>2018</w:t>
      </w:r>
      <w:r>
        <w:rPr>
          <w:spacing w:val="-52"/>
          <w:w w:val="111"/>
        </w:rPr>
        <w:t> </w:t>
      </w:r>
      <w:r>
        <w:rPr/>
        <w:t>年</w:t>
      </w:r>
      <w:r>
        <w:rPr>
          <w:spacing w:val="-42"/>
        </w:rPr>
        <w:t> </w:t>
      </w:r>
      <w:r>
        <w:rPr>
          <w:w w:val="111"/>
        </w:rPr>
        <w:t>1</w:t>
      </w:r>
      <w:r>
        <w:rPr>
          <w:spacing w:val="-52"/>
          <w:w w:val="111"/>
        </w:rPr>
        <w:t> </w:t>
      </w:r>
      <w:r>
        <w:rPr/>
        <w:t>月</w:t>
      </w:r>
      <w:r>
        <w:rPr>
          <w:spacing w:val="-42"/>
        </w:rPr>
        <w:t> </w:t>
      </w:r>
      <w:r>
        <w:rPr>
          <w:w w:val="111"/>
        </w:rPr>
        <w:t>1</w:t>
      </w:r>
      <w:r>
        <w:rPr>
          <w:spacing w:val="-52"/>
          <w:w w:val="111"/>
        </w:rPr>
        <w:t> </w:t>
      </w:r>
      <w:r>
        <w:rPr>
          <w:spacing w:val="3"/>
        </w:rPr>
        <w:t>日合并资产负</w:t>
      </w:r>
      <w:r>
        <w:rPr>
          <w:spacing w:val="3"/>
        </w:rPr>
        <w:t> </w:t>
      </w:r>
      <w:r>
        <w:rPr/>
        <w:t>债表各项目的影响汇总如下：</w:t>
      </w:r>
    </w:p>
    <w:p>
      <w:pPr>
        <w:spacing w:line="240" w:lineRule="auto" w:before="10"/>
        <w:rPr>
          <w:rFonts w:ascii="宋体" w:hAnsi="宋体" w:cs="宋体" w:eastAsia="宋体" w:hint="default"/>
          <w:sz w:val="7"/>
          <w:szCs w:val="7"/>
        </w:rPr>
      </w:pPr>
    </w:p>
    <w:tbl>
      <w:tblPr>
        <w:tblW w:w="0" w:type="auto"/>
        <w:jc w:val="left"/>
        <w:tblInd w:w="468" w:type="dxa"/>
        <w:tblLayout w:type="fixed"/>
        <w:tblCellMar>
          <w:top w:w="0" w:type="dxa"/>
          <w:left w:w="0" w:type="dxa"/>
          <w:bottom w:w="0" w:type="dxa"/>
          <w:right w:w="0" w:type="dxa"/>
        </w:tblCellMar>
        <w:tblLook w:val="01E0"/>
      </w:tblPr>
      <w:tblGrid>
        <w:gridCol w:w="2038"/>
        <w:gridCol w:w="1338"/>
        <w:gridCol w:w="2510"/>
        <w:gridCol w:w="2139"/>
        <w:gridCol w:w="1259"/>
      </w:tblGrid>
      <w:tr>
        <w:trPr>
          <w:trHeight w:val="319" w:hRule="exact"/>
        </w:trPr>
        <w:tc>
          <w:tcPr>
            <w:tcW w:w="2038" w:type="dxa"/>
            <w:vMerge w:val="restart"/>
            <w:tcBorders>
              <w:top w:val="nil" w:sz="6" w:space="0" w:color="auto"/>
              <w:left w:val="nil" w:sz="6" w:space="0" w:color="auto"/>
              <w:right w:val="nil" w:sz="6" w:space="0" w:color="auto"/>
            </w:tcBorders>
          </w:tcPr>
          <w:p>
            <w:pPr/>
          </w:p>
        </w:tc>
        <w:tc>
          <w:tcPr>
            <w:tcW w:w="1338" w:type="dxa"/>
            <w:tcBorders>
              <w:top w:val="nil" w:sz="6" w:space="0" w:color="auto"/>
              <w:left w:val="nil" w:sz="6" w:space="0" w:color="auto"/>
              <w:bottom w:val="single" w:sz="6" w:space="0" w:color="000000"/>
              <w:right w:val="nil" w:sz="6" w:space="0" w:color="auto"/>
            </w:tcBorders>
          </w:tcPr>
          <w:p>
            <w:pPr/>
          </w:p>
        </w:tc>
        <w:tc>
          <w:tcPr>
            <w:tcW w:w="2510" w:type="dxa"/>
            <w:tcBorders>
              <w:top w:val="nil" w:sz="6" w:space="0" w:color="auto"/>
              <w:left w:val="nil" w:sz="6" w:space="0" w:color="auto"/>
              <w:bottom w:val="single" w:sz="6" w:space="0" w:color="000000"/>
              <w:right w:val="nil" w:sz="6" w:space="0" w:color="auto"/>
            </w:tcBorders>
          </w:tcPr>
          <w:p>
            <w:pPr>
              <w:pStyle w:val="TableParagraph"/>
              <w:spacing w:line="240" w:lineRule="auto" w:before="41"/>
              <w:ind w:right="-16"/>
              <w:jc w:val="right"/>
              <w:rPr>
                <w:rFonts w:ascii="宋体" w:hAnsi="宋体" w:cs="宋体" w:eastAsia="宋体" w:hint="default"/>
                <w:sz w:val="16"/>
                <w:szCs w:val="16"/>
              </w:rPr>
            </w:pPr>
            <w:r>
              <w:rPr>
                <w:rFonts w:ascii="宋体" w:hAnsi="宋体" w:cs="宋体" w:eastAsia="宋体" w:hint="default"/>
                <w:sz w:val="16"/>
                <w:szCs w:val="16"/>
              </w:rPr>
              <w:t>本集团</w:t>
            </w:r>
          </w:p>
        </w:tc>
        <w:tc>
          <w:tcPr>
            <w:tcW w:w="3398" w:type="dxa"/>
            <w:gridSpan w:val="2"/>
            <w:tcBorders>
              <w:top w:val="nil" w:sz="6" w:space="0" w:color="auto"/>
              <w:left w:val="nil" w:sz="6" w:space="0" w:color="auto"/>
              <w:bottom w:val="single" w:sz="6" w:space="0" w:color="000000"/>
              <w:right w:val="nil" w:sz="6" w:space="0" w:color="auto"/>
            </w:tcBorders>
          </w:tcPr>
          <w:p>
            <w:pPr/>
          </w:p>
        </w:tc>
      </w:tr>
      <w:tr>
        <w:trPr>
          <w:trHeight w:val="843" w:hRule="exact"/>
        </w:trPr>
        <w:tc>
          <w:tcPr>
            <w:tcW w:w="2038" w:type="dxa"/>
            <w:vMerge/>
            <w:tcBorders>
              <w:left w:val="nil" w:sz="6" w:space="0" w:color="auto"/>
              <w:right w:val="nil" w:sz="6" w:space="0" w:color="auto"/>
            </w:tcBorders>
          </w:tcPr>
          <w:p>
            <w:pPr/>
          </w:p>
        </w:tc>
        <w:tc>
          <w:tcPr>
            <w:tcW w:w="1338" w:type="dxa"/>
            <w:tcBorders>
              <w:top w:val="single" w:sz="6" w:space="0" w:color="000000"/>
              <w:left w:val="nil" w:sz="6" w:space="0" w:color="auto"/>
              <w:bottom w:val="nil" w:sz="6" w:space="0" w:color="auto"/>
              <w:right w:val="nil" w:sz="6" w:space="0" w:color="auto"/>
            </w:tcBorders>
          </w:tcPr>
          <w:p>
            <w:pPr>
              <w:pStyle w:val="TableParagraph"/>
              <w:spacing w:line="200" w:lineRule="exact" w:before="91"/>
              <w:ind w:left="68" w:right="14" w:firstLine="732"/>
              <w:jc w:val="left"/>
              <w:rPr>
                <w:rFonts w:ascii="宋体" w:hAnsi="宋体" w:cs="宋体" w:eastAsia="宋体" w:hint="default"/>
                <w:sz w:val="16"/>
                <w:szCs w:val="16"/>
              </w:rPr>
            </w:pPr>
            <w:r>
              <w:rPr>
                <w:rFonts w:ascii="宋体" w:hAnsi="宋体" w:cs="宋体" w:eastAsia="宋体" w:hint="default"/>
                <w:w w:val="105"/>
                <w:sz w:val="16"/>
                <w:szCs w:val="16"/>
              </w:rPr>
              <w:t>调整前</w:t>
            </w:r>
            <w:r>
              <w:rPr>
                <w:rFonts w:ascii="宋体" w:hAnsi="宋体" w:cs="宋体" w:eastAsia="宋体" w:hint="default"/>
                <w:sz w:val="16"/>
                <w:szCs w:val="16"/>
              </w:rPr>
              <w:t> </w:t>
            </w:r>
            <w:r>
              <w:rPr>
                <w:rFonts w:ascii="宋体" w:hAnsi="宋体" w:cs="宋体" w:eastAsia="宋体" w:hint="default"/>
                <w:spacing w:val="20"/>
                <w:w w:val="105"/>
                <w:sz w:val="16"/>
                <w:szCs w:val="16"/>
              </w:rPr>
              <w:t>2018年1月1日</w:t>
            </w:r>
            <w:r>
              <w:rPr>
                <w:rFonts w:ascii="宋体" w:hAnsi="宋体" w:cs="宋体" w:eastAsia="宋体" w:hint="default"/>
                <w:spacing w:val="-40"/>
                <w:sz w:val="16"/>
                <w:szCs w:val="16"/>
              </w:rPr>
              <w:t> </w:t>
            </w:r>
            <w:r>
              <w:rPr>
                <w:rFonts w:ascii="宋体" w:hAnsi="宋体" w:cs="宋体" w:eastAsia="宋体" w:hint="default"/>
                <w:sz w:val="16"/>
                <w:szCs w:val="16"/>
              </w:rPr>
            </w:r>
          </w:p>
          <w:p>
            <w:pPr>
              <w:pStyle w:val="TableParagraph"/>
              <w:spacing w:line="183" w:lineRule="exact"/>
              <w:ind w:left="641" w:right="0"/>
              <w:jc w:val="left"/>
              <w:rPr>
                <w:rFonts w:ascii="宋体" w:hAnsi="宋体" w:cs="宋体" w:eastAsia="宋体" w:hint="default"/>
                <w:sz w:val="16"/>
                <w:szCs w:val="16"/>
              </w:rPr>
            </w:pPr>
            <w:r>
              <w:rPr>
                <w:rFonts w:ascii="宋体" w:hAnsi="宋体" w:cs="宋体" w:eastAsia="宋体" w:hint="default"/>
                <w:sz w:val="16"/>
                <w:szCs w:val="16"/>
              </w:rPr>
              <w:t>账面金额</w:t>
            </w:r>
          </w:p>
        </w:tc>
        <w:tc>
          <w:tcPr>
            <w:tcW w:w="2510"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58"/>
              <w:jc w:val="center"/>
              <w:rPr>
                <w:rFonts w:ascii="宋体" w:hAnsi="宋体" w:cs="宋体" w:eastAsia="宋体" w:hint="default"/>
                <w:sz w:val="16"/>
                <w:szCs w:val="16"/>
              </w:rPr>
            </w:pPr>
            <w:r>
              <w:rPr>
                <w:rFonts w:ascii="宋体" w:hAnsi="宋体" w:cs="宋体" w:eastAsia="宋体" w:hint="default"/>
                <w:sz w:val="16"/>
                <w:szCs w:val="16"/>
              </w:rPr>
              <w:t>重分类</w:t>
            </w:r>
          </w:p>
        </w:tc>
        <w:tc>
          <w:tcPr>
            <w:tcW w:w="2139" w:type="dxa"/>
            <w:tcBorders>
              <w:top w:val="single" w:sz="6" w:space="0" w:color="000000"/>
              <w:left w:val="nil" w:sz="6" w:space="0" w:color="auto"/>
              <w:bottom w:val="single" w:sz="6" w:space="0" w:color="000000"/>
              <w:right w:val="nil" w:sz="6" w:space="0" w:color="auto"/>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58"/>
              <w:jc w:val="center"/>
              <w:rPr>
                <w:rFonts w:ascii="宋体" w:hAnsi="宋体" w:cs="宋体" w:eastAsia="宋体" w:hint="default"/>
                <w:sz w:val="16"/>
                <w:szCs w:val="16"/>
              </w:rPr>
            </w:pPr>
            <w:r>
              <w:rPr>
                <w:rFonts w:ascii="宋体" w:hAnsi="宋体" w:cs="宋体" w:eastAsia="宋体" w:hint="default"/>
                <w:sz w:val="16"/>
                <w:szCs w:val="16"/>
              </w:rPr>
              <w:t>重新计量</w:t>
            </w:r>
          </w:p>
        </w:tc>
        <w:tc>
          <w:tcPr>
            <w:tcW w:w="1259" w:type="dxa"/>
            <w:tcBorders>
              <w:top w:val="single" w:sz="6" w:space="0" w:color="000000"/>
              <w:left w:val="nil" w:sz="6" w:space="0" w:color="auto"/>
              <w:bottom w:val="nil" w:sz="6" w:space="0" w:color="auto"/>
              <w:right w:val="nil" w:sz="6" w:space="0" w:color="auto"/>
            </w:tcBorders>
          </w:tcPr>
          <w:p>
            <w:pPr>
              <w:pStyle w:val="TableParagraph"/>
              <w:spacing w:line="200" w:lineRule="exact" w:before="91"/>
              <w:ind w:left="66" w:right="24" w:firstLine="655"/>
              <w:jc w:val="left"/>
              <w:rPr>
                <w:rFonts w:ascii="宋体" w:hAnsi="宋体" w:cs="宋体" w:eastAsia="宋体" w:hint="default"/>
                <w:sz w:val="16"/>
                <w:szCs w:val="16"/>
              </w:rPr>
            </w:pPr>
            <w:r>
              <w:rPr>
                <w:rFonts w:ascii="宋体" w:hAnsi="宋体" w:cs="宋体" w:eastAsia="宋体" w:hint="default"/>
                <w:sz w:val="16"/>
                <w:szCs w:val="16"/>
              </w:rPr>
              <w:t>调整后 </w:t>
            </w:r>
            <w:r>
              <w:rPr>
                <w:rFonts w:ascii="宋体" w:hAnsi="宋体" w:cs="宋体" w:eastAsia="宋体" w:hint="default"/>
                <w:spacing w:val="12"/>
                <w:w w:val="105"/>
                <w:sz w:val="16"/>
                <w:szCs w:val="16"/>
              </w:rPr>
              <w:t>2018年1月1日</w:t>
            </w:r>
            <w:r>
              <w:rPr>
                <w:rFonts w:ascii="宋体" w:hAnsi="宋体" w:cs="宋体" w:eastAsia="宋体" w:hint="default"/>
                <w:spacing w:val="-50"/>
                <w:sz w:val="16"/>
                <w:szCs w:val="16"/>
              </w:rPr>
              <w:t> </w:t>
            </w:r>
            <w:r>
              <w:rPr>
                <w:rFonts w:ascii="宋体" w:hAnsi="宋体" w:cs="宋体" w:eastAsia="宋体" w:hint="default"/>
                <w:sz w:val="16"/>
                <w:szCs w:val="16"/>
              </w:rPr>
            </w:r>
          </w:p>
          <w:p>
            <w:pPr>
              <w:pStyle w:val="TableParagraph"/>
              <w:spacing w:line="183" w:lineRule="exact"/>
              <w:ind w:left="562" w:right="0"/>
              <w:jc w:val="left"/>
              <w:rPr>
                <w:rFonts w:ascii="宋体" w:hAnsi="宋体" w:cs="宋体" w:eastAsia="宋体" w:hint="default"/>
                <w:sz w:val="16"/>
                <w:szCs w:val="16"/>
              </w:rPr>
            </w:pPr>
            <w:r>
              <w:rPr>
                <w:rFonts w:ascii="宋体" w:hAnsi="宋体" w:cs="宋体" w:eastAsia="宋体" w:hint="default"/>
                <w:sz w:val="16"/>
                <w:szCs w:val="16"/>
              </w:rPr>
              <w:t>账面金额</w:t>
            </w:r>
          </w:p>
        </w:tc>
      </w:tr>
      <w:tr>
        <w:trPr>
          <w:trHeight w:val="614" w:hRule="exact"/>
        </w:trPr>
        <w:tc>
          <w:tcPr>
            <w:tcW w:w="2038" w:type="dxa"/>
            <w:vMerge/>
            <w:tcBorders>
              <w:left w:val="nil" w:sz="6" w:space="0" w:color="auto"/>
              <w:bottom w:val="single" w:sz="16" w:space="0" w:color="9F8958"/>
              <w:right w:val="nil" w:sz="6" w:space="0" w:color="auto"/>
            </w:tcBorders>
          </w:tcPr>
          <w:p>
            <w:pPr/>
          </w:p>
        </w:tc>
        <w:tc>
          <w:tcPr>
            <w:tcW w:w="1338" w:type="dxa"/>
            <w:tcBorders>
              <w:top w:val="nil" w:sz="6" w:space="0" w:color="auto"/>
              <w:left w:val="nil" w:sz="6" w:space="0" w:color="auto"/>
              <w:bottom w:val="single" w:sz="16" w:space="0" w:color="9F8958"/>
              <w:right w:val="nil" w:sz="6" w:space="0" w:color="auto"/>
            </w:tcBorders>
          </w:tcPr>
          <w:p>
            <w:pPr>
              <w:pStyle w:val="TableParagraph"/>
              <w:spacing w:line="200" w:lineRule="exact" w:before="98"/>
              <w:ind w:left="558" w:right="54" w:firstLine="149"/>
              <w:jc w:val="left"/>
              <w:rPr>
                <w:rFonts w:ascii="宋体" w:hAnsi="宋体" w:cs="宋体" w:eastAsia="宋体" w:hint="default"/>
                <w:sz w:val="16"/>
                <w:szCs w:val="16"/>
              </w:rPr>
            </w:pPr>
            <w:r>
              <w:rPr>
                <w:rFonts w:ascii="宋体" w:hAnsi="宋体" w:cs="宋体" w:eastAsia="宋体" w:hint="default"/>
                <w:w w:val="95"/>
                <w:sz w:val="16"/>
                <w:szCs w:val="16"/>
              </w:rPr>
              <w:t>(</w:t>
            </w:r>
            <w:r>
              <w:rPr>
                <w:rFonts w:ascii="宋体" w:hAnsi="宋体" w:cs="宋体" w:eastAsia="宋体" w:hint="default"/>
                <w:spacing w:val="-36"/>
                <w:w w:val="95"/>
                <w:sz w:val="16"/>
                <w:szCs w:val="16"/>
              </w:rPr>
              <w:t> </w:t>
            </w:r>
            <w:r>
              <w:rPr>
                <w:rFonts w:ascii="宋体" w:hAnsi="宋体" w:cs="宋体" w:eastAsia="宋体" w:hint="default"/>
                <w:w w:val="95"/>
                <w:sz w:val="16"/>
                <w:szCs w:val="16"/>
              </w:rPr>
              <w:t>附注三</w:t>
            </w:r>
            <w:r>
              <w:rPr>
                <w:rFonts w:ascii="宋体" w:hAnsi="宋体" w:cs="宋体" w:eastAsia="宋体" w:hint="default"/>
                <w:sz w:val="16"/>
                <w:szCs w:val="16"/>
              </w:rPr>
              <w:t> </w:t>
            </w:r>
            <w:r>
              <w:rPr>
                <w:rFonts w:ascii="宋体" w:hAnsi="宋体" w:cs="宋体" w:eastAsia="宋体" w:hint="default"/>
                <w:w w:val="80"/>
                <w:sz w:val="16"/>
                <w:szCs w:val="16"/>
              </w:rPr>
              <w:t>(33)(b)(3))</w:t>
            </w:r>
            <w:r>
              <w:rPr>
                <w:rFonts w:ascii="宋体" w:hAnsi="宋体" w:cs="宋体" w:eastAsia="宋体" w:hint="default"/>
                <w:sz w:val="16"/>
                <w:szCs w:val="16"/>
              </w:rPr>
            </w:r>
          </w:p>
        </w:tc>
        <w:tc>
          <w:tcPr>
            <w:tcW w:w="2510" w:type="dxa"/>
            <w:tcBorders>
              <w:top w:val="single" w:sz="6" w:space="0" w:color="000000"/>
              <w:left w:val="nil" w:sz="6" w:space="0" w:color="auto"/>
              <w:bottom w:val="single" w:sz="16" w:space="0" w:color="9F8958"/>
              <w:right w:val="nil" w:sz="6" w:space="0" w:color="auto"/>
            </w:tcBorders>
          </w:tcPr>
          <w:p>
            <w:pPr>
              <w:pStyle w:val="TableParagraph"/>
              <w:tabs>
                <w:tab w:pos="1361" w:val="left" w:leader="none"/>
              </w:tabs>
              <w:spacing w:line="205" w:lineRule="exact" w:before="64"/>
              <w:ind w:left="502" w:right="0"/>
              <w:jc w:val="center"/>
              <w:rPr>
                <w:rFonts w:ascii="宋体" w:hAnsi="宋体" w:cs="宋体" w:eastAsia="宋体" w:hint="default"/>
                <w:sz w:val="16"/>
                <w:szCs w:val="16"/>
              </w:rPr>
            </w:pPr>
            <w:r>
              <w:rPr>
                <w:rFonts w:ascii="宋体" w:hAnsi="宋体" w:cs="宋体" w:eastAsia="宋体" w:hint="default"/>
                <w:sz w:val="16"/>
                <w:szCs w:val="16"/>
              </w:rPr>
              <w:t>新收入</w:t>
              <w:tab/>
              <w:t>新金融工具</w:t>
            </w:r>
          </w:p>
          <w:p>
            <w:pPr>
              <w:pStyle w:val="TableParagraph"/>
              <w:tabs>
                <w:tab w:pos="1521" w:val="left" w:leader="none"/>
              </w:tabs>
              <w:spacing w:line="205" w:lineRule="exact"/>
              <w:ind w:left="342" w:right="0"/>
              <w:jc w:val="center"/>
              <w:rPr>
                <w:rFonts w:ascii="宋体" w:hAnsi="宋体" w:cs="宋体" w:eastAsia="宋体" w:hint="default"/>
                <w:sz w:val="16"/>
                <w:szCs w:val="16"/>
              </w:rPr>
            </w:pPr>
            <w:r>
              <w:rPr>
                <w:rFonts w:ascii="宋体" w:hAnsi="宋体" w:cs="宋体" w:eastAsia="宋体" w:hint="default"/>
                <w:sz w:val="16"/>
                <w:szCs w:val="16"/>
              </w:rPr>
              <w:t>准则影响</w:t>
              <w:tab/>
              <w:t>准则影响</w:t>
            </w:r>
          </w:p>
        </w:tc>
        <w:tc>
          <w:tcPr>
            <w:tcW w:w="2139" w:type="dxa"/>
            <w:tcBorders>
              <w:top w:val="single" w:sz="6" w:space="0" w:color="000000"/>
              <w:left w:val="nil" w:sz="6" w:space="0" w:color="auto"/>
              <w:bottom w:val="single" w:sz="16" w:space="0" w:color="9F8958"/>
              <w:right w:val="nil" w:sz="6" w:space="0" w:color="auto"/>
            </w:tcBorders>
          </w:tcPr>
          <w:p>
            <w:pPr>
              <w:pStyle w:val="TableParagraph"/>
              <w:tabs>
                <w:tab w:pos="1225" w:val="left" w:leader="none"/>
              </w:tabs>
              <w:spacing w:line="200" w:lineRule="exact" w:before="91"/>
              <w:ind w:left="285" w:right="111" w:firstLine="160"/>
              <w:jc w:val="left"/>
              <w:rPr>
                <w:rFonts w:ascii="宋体" w:hAnsi="宋体" w:cs="宋体" w:eastAsia="宋体" w:hint="default"/>
                <w:sz w:val="16"/>
                <w:szCs w:val="16"/>
              </w:rPr>
            </w:pPr>
            <w:r>
              <w:rPr>
                <w:rFonts w:ascii="宋体" w:hAnsi="宋体" w:cs="宋体" w:eastAsia="宋体" w:hint="default"/>
                <w:sz w:val="16"/>
                <w:szCs w:val="16"/>
              </w:rPr>
              <w:t>新收入</w:t>
              <w:tab/>
              <w:t>新金融工具 准则影响</w:t>
              <w:tab/>
              <w:t>准则影响</w:t>
            </w:r>
          </w:p>
        </w:tc>
        <w:tc>
          <w:tcPr>
            <w:tcW w:w="1259" w:type="dxa"/>
            <w:tcBorders>
              <w:top w:val="nil" w:sz="6" w:space="0" w:color="auto"/>
              <w:left w:val="nil" w:sz="6" w:space="0" w:color="auto"/>
              <w:bottom w:val="single" w:sz="16" w:space="0" w:color="9F8958"/>
              <w:right w:val="nil" w:sz="6" w:space="0" w:color="auto"/>
            </w:tcBorders>
          </w:tcPr>
          <w:p>
            <w:pPr/>
          </w:p>
        </w:tc>
      </w:tr>
      <w:tr>
        <w:trPr>
          <w:trHeight w:val="361" w:hRule="exact"/>
        </w:trPr>
        <w:tc>
          <w:tcPr>
            <w:tcW w:w="203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资产：</w:t>
            </w:r>
          </w:p>
        </w:tc>
        <w:tc>
          <w:tcPr>
            <w:tcW w:w="1338" w:type="dxa"/>
            <w:tcBorders>
              <w:top w:val="single" w:sz="16" w:space="0" w:color="9F8958"/>
              <w:left w:val="nil" w:sz="6" w:space="0" w:color="auto"/>
              <w:bottom w:val="nil" w:sz="6" w:space="0" w:color="auto"/>
              <w:right w:val="nil" w:sz="6" w:space="0" w:color="auto"/>
            </w:tcBorders>
          </w:tcPr>
          <w:p>
            <w:pPr/>
          </w:p>
        </w:tc>
        <w:tc>
          <w:tcPr>
            <w:tcW w:w="2510" w:type="dxa"/>
            <w:tcBorders>
              <w:top w:val="single" w:sz="16" w:space="0" w:color="9F8958"/>
              <w:left w:val="nil" w:sz="6" w:space="0" w:color="auto"/>
              <w:bottom w:val="nil" w:sz="6" w:space="0" w:color="auto"/>
              <w:right w:val="nil" w:sz="6" w:space="0" w:color="auto"/>
            </w:tcBorders>
          </w:tcPr>
          <w:p>
            <w:pPr/>
          </w:p>
        </w:tc>
        <w:tc>
          <w:tcPr>
            <w:tcW w:w="2139" w:type="dxa"/>
            <w:tcBorders>
              <w:top w:val="single" w:sz="16" w:space="0" w:color="9F8958"/>
              <w:left w:val="nil" w:sz="6" w:space="0" w:color="auto"/>
              <w:bottom w:val="nil" w:sz="6" w:space="0" w:color="auto"/>
              <w:right w:val="nil" w:sz="6" w:space="0" w:color="auto"/>
            </w:tcBorders>
          </w:tcPr>
          <w:p>
            <w:pPr/>
          </w:p>
        </w:tc>
        <w:tc>
          <w:tcPr>
            <w:tcW w:w="1259" w:type="dxa"/>
            <w:tcBorders>
              <w:top w:val="single" w:sz="16" w:space="0" w:color="9F8958"/>
              <w:left w:val="nil" w:sz="6" w:space="0" w:color="auto"/>
              <w:bottom w:val="nil" w:sz="6" w:space="0" w:color="auto"/>
              <w:right w:val="nil" w:sz="6" w:space="0" w:color="auto"/>
            </w:tcBorders>
          </w:tcPr>
          <w:p>
            <w:pPr/>
          </w:p>
        </w:tc>
      </w:tr>
      <w:tr>
        <w:trPr>
          <w:trHeight w:val="275"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交易性金融资产</w:t>
            </w:r>
            <w:r>
              <w:rPr>
                <w:rFonts w:ascii="宋体" w:hAnsi="宋体" w:cs="宋体" w:eastAsia="宋体" w:hint="default"/>
                <w:spacing w:val="-23"/>
                <w:sz w:val="16"/>
                <w:szCs w:val="16"/>
              </w:rPr>
              <w:t> </w:t>
            </w:r>
            <w:r>
              <w:rPr>
                <w:rFonts w:ascii="宋体" w:hAnsi="宋体" w:cs="宋体" w:eastAsia="宋体" w:hint="default"/>
                <w:sz w:val="16"/>
                <w:szCs w:val="16"/>
              </w:rPr>
              <w:t>**</w:t>
            </w:r>
          </w:p>
        </w:tc>
        <w:tc>
          <w:tcPr>
            <w:tcW w:w="1338" w:type="dxa"/>
            <w:tcBorders>
              <w:top w:val="nil" w:sz="6" w:space="0" w:color="auto"/>
              <w:left w:val="nil" w:sz="6" w:space="0" w:color="auto"/>
              <w:bottom w:val="nil" w:sz="6" w:space="0" w:color="auto"/>
              <w:right w:val="nil" w:sz="6" w:space="0" w:color="auto"/>
            </w:tcBorders>
          </w:tcPr>
          <w:p>
            <w:pPr>
              <w:pStyle w:val="TableParagraph"/>
              <w:spacing w:line="206" w:lineRule="exact"/>
              <w:ind w:right="54"/>
              <w:jc w:val="right"/>
              <w:rPr>
                <w:rFonts w:ascii="宋体" w:hAnsi="宋体" w:cs="宋体" w:eastAsia="宋体" w:hint="default"/>
                <w:sz w:val="16"/>
                <w:szCs w:val="16"/>
              </w:rPr>
            </w:pPr>
            <w:r>
              <w:rPr>
                <w:rFonts w:ascii="宋体"/>
                <w:w w:val="131"/>
                <w:sz w:val="16"/>
              </w:rPr>
              <w:t>-</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1504" w:val="left" w:leader="none"/>
              </w:tabs>
              <w:spacing w:line="206" w:lineRule="exact"/>
              <w:ind w:left="1108" w:right="0"/>
              <w:jc w:val="left"/>
              <w:rPr>
                <w:rFonts w:ascii="宋体" w:hAnsi="宋体" w:cs="宋体" w:eastAsia="宋体" w:hint="default"/>
                <w:sz w:val="16"/>
                <w:szCs w:val="16"/>
              </w:rPr>
            </w:pPr>
            <w:r>
              <w:rPr>
                <w:rFonts w:ascii="宋体"/>
                <w:w w:val="115"/>
                <w:sz w:val="16"/>
              </w:rPr>
              <w:t>-</w:t>
              <w:tab/>
            </w:r>
            <w:r>
              <w:rPr>
                <w:rFonts w:ascii="宋体"/>
                <w:w w:val="105"/>
                <w:sz w:val="16"/>
              </w:rPr>
              <w:t>159,510,345</w:t>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6" w:lineRule="exact"/>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6" w:lineRule="exact"/>
              <w:ind w:right="54"/>
              <w:jc w:val="right"/>
              <w:rPr>
                <w:rFonts w:ascii="宋体" w:hAnsi="宋体" w:cs="宋体" w:eastAsia="宋体" w:hint="default"/>
                <w:sz w:val="16"/>
                <w:szCs w:val="16"/>
              </w:rPr>
            </w:pPr>
            <w:r>
              <w:rPr>
                <w:rFonts w:ascii="宋体"/>
                <w:sz w:val="16"/>
              </w:rPr>
              <w:t>159,510,345</w:t>
            </w:r>
          </w:p>
        </w:tc>
      </w:tr>
      <w:tr>
        <w:trPr>
          <w:trHeight w:val="4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113" w:right="162"/>
              <w:jc w:val="left"/>
              <w:rPr>
                <w:rFonts w:ascii="宋体" w:hAnsi="宋体" w:cs="宋体" w:eastAsia="宋体" w:hint="default"/>
                <w:sz w:val="16"/>
                <w:szCs w:val="16"/>
              </w:rPr>
            </w:pPr>
            <w:r>
              <w:rPr>
                <w:rFonts w:ascii="宋体" w:hAnsi="宋体" w:cs="宋体" w:eastAsia="宋体" w:hint="default"/>
                <w:sz w:val="16"/>
                <w:szCs w:val="16"/>
              </w:rPr>
              <w:t>以公允价值计量且其变动 计入当期损益的金融资产</w:t>
            </w:r>
          </w:p>
        </w:tc>
        <w:tc>
          <w:tcPr>
            <w:tcW w:w="1338"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54"/>
              <w:jc w:val="right"/>
              <w:rPr>
                <w:rFonts w:ascii="宋体" w:hAnsi="宋体" w:cs="宋体" w:eastAsia="宋体" w:hint="default"/>
                <w:sz w:val="16"/>
                <w:szCs w:val="16"/>
              </w:rPr>
            </w:pPr>
            <w:r>
              <w:rPr>
                <w:rFonts w:ascii="宋体"/>
                <w:sz w:val="16"/>
              </w:rPr>
              <w:t>159,510,345</w:t>
            </w:r>
          </w:p>
        </w:tc>
        <w:tc>
          <w:tcPr>
            <w:tcW w:w="2510"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tabs>
                <w:tab w:pos="1416" w:val="left" w:leader="none"/>
              </w:tabs>
              <w:spacing w:line="240" w:lineRule="auto"/>
              <w:ind w:left="1108" w:right="0"/>
              <w:jc w:val="left"/>
              <w:rPr>
                <w:rFonts w:ascii="宋体" w:hAnsi="宋体" w:cs="宋体" w:eastAsia="宋体" w:hint="default"/>
                <w:sz w:val="16"/>
                <w:szCs w:val="16"/>
              </w:rPr>
            </w:pPr>
            <w:r>
              <w:rPr>
                <w:rFonts w:ascii="宋体"/>
                <w:w w:val="110"/>
                <w:sz w:val="16"/>
              </w:rPr>
              <w:t>-</w:t>
              <w:tab/>
            </w:r>
            <w:r>
              <w:rPr>
                <w:rFonts w:ascii="宋体"/>
                <w:sz w:val="16"/>
              </w:rPr>
              <w:t>(159,510,345)</w:t>
            </w:r>
          </w:p>
        </w:tc>
        <w:tc>
          <w:tcPr>
            <w:tcW w:w="213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tabs>
                <w:tab w:pos="1099" w:val="left" w:leader="none"/>
              </w:tabs>
              <w:spacing w:line="240" w:lineRule="auto"/>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应收票据及应收账款</w:t>
            </w:r>
            <w:r>
              <w:rPr>
                <w:rFonts w:ascii="宋体" w:hAnsi="宋体" w:cs="宋体" w:eastAsia="宋体" w:hint="default"/>
                <w:spacing w:val="-32"/>
                <w:sz w:val="16"/>
                <w:szCs w:val="16"/>
              </w:rPr>
              <w:t> </w:t>
            </w:r>
            <w:r>
              <w:rPr>
                <w:rFonts w:ascii="宋体" w:hAnsi="宋体" w:cs="宋体" w:eastAsia="宋体" w:hint="default"/>
                <w:sz w:val="16"/>
                <w:szCs w:val="16"/>
              </w:rPr>
              <w:t>*</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18,612,629,753</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1108" w:right="0"/>
              <w:jc w:val="left"/>
              <w:rPr>
                <w:rFonts w:ascii="宋体" w:hAnsi="宋体" w:cs="宋体" w:eastAsia="宋体" w:hint="default"/>
                <w:sz w:val="16"/>
                <w:szCs w:val="16"/>
              </w:rPr>
            </w:pPr>
            <w:r>
              <w:rPr>
                <w:rFonts w:ascii="宋体"/>
                <w:w w:val="130"/>
                <w:sz w:val="16"/>
              </w:rPr>
              <w:t>-</w:t>
              <w:tab/>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spacing w:line="205" w:lineRule="exact"/>
              <w:ind w:right="60"/>
              <w:jc w:val="right"/>
              <w:rPr>
                <w:rFonts w:ascii="宋体" w:hAnsi="宋体" w:cs="宋体" w:eastAsia="宋体" w:hint="default"/>
                <w:sz w:val="16"/>
                <w:szCs w:val="16"/>
              </w:rPr>
            </w:pPr>
            <w:r>
              <w:rPr>
                <w:rFonts w:ascii="宋体"/>
                <w:w w:val="95"/>
                <w:sz w:val="16"/>
              </w:rPr>
              <w:t>-</w:t>
            </w:r>
            <w:r>
              <w:rPr>
                <w:rFonts w:ascii="宋体"/>
                <w:spacing w:val="12"/>
                <w:w w:val="95"/>
                <w:sz w:val="16"/>
              </w:rPr>
              <w:t> </w:t>
            </w:r>
            <w:r>
              <w:rPr>
                <w:rFonts w:ascii="宋体"/>
                <w:spacing w:val="-7"/>
                <w:w w:val="95"/>
                <w:sz w:val="16"/>
              </w:rPr>
              <w:t>(1,118,430,369)</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17,494,199,384</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其他应收款</w:t>
            </w:r>
            <w:r>
              <w:rPr>
                <w:rFonts w:ascii="宋体" w:hAnsi="宋体" w:cs="宋体" w:eastAsia="宋体" w:hint="default"/>
                <w:spacing w:val="-32"/>
                <w:sz w:val="16"/>
                <w:szCs w:val="16"/>
              </w:rPr>
              <w:t> </w:t>
            </w:r>
            <w:r>
              <w:rPr>
                <w:rFonts w:ascii="宋体" w:hAnsi="宋体" w:cs="宋体" w:eastAsia="宋体" w:hint="default"/>
                <w:sz w:val="16"/>
                <w:szCs w:val="16"/>
              </w:rPr>
              <w:t>*</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7,906,640,137</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103" w:right="0"/>
              <w:jc w:val="left"/>
              <w:rPr>
                <w:rFonts w:ascii="宋体" w:hAnsi="宋体" w:cs="宋体" w:eastAsia="宋体" w:hint="default"/>
                <w:sz w:val="16"/>
                <w:szCs w:val="16"/>
              </w:rPr>
            </w:pPr>
            <w:r>
              <w:rPr>
                <w:rFonts w:ascii="宋体"/>
                <w:w w:val="90"/>
                <w:sz w:val="16"/>
              </w:rPr>
              <w:t>(2,221,485,917)</w:t>
              <w:tab/>
            </w:r>
            <w:r>
              <w:rPr>
                <w:rFonts w:ascii="宋体"/>
                <w:w w:val="110"/>
                <w:sz w:val="16"/>
              </w:rPr>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5" w:lineRule="exact"/>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5,685,154,220</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合同资产</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192" w:right="0"/>
              <w:jc w:val="left"/>
              <w:rPr>
                <w:rFonts w:ascii="宋体" w:hAnsi="宋体" w:cs="宋体" w:eastAsia="宋体" w:hint="default"/>
                <w:sz w:val="16"/>
                <w:szCs w:val="16"/>
              </w:rPr>
            </w:pPr>
            <w:r>
              <w:rPr>
                <w:rFonts w:ascii="宋体"/>
                <w:w w:val="95"/>
                <w:sz w:val="16"/>
              </w:rPr>
              <w:t>2,221,485,917</w:t>
              <w:tab/>
            </w:r>
            <w:r>
              <w:rPr>
                <w:rFonts w:ascii="宋体"/>
                <w:w w:val="110"/>
                <w:sz w:val="16"/>
              </w:rPr>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5" w:lineRule="exact"/>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2,221,485,917</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可供出售金融资产</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4,286,072,266</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spacing w:line="205" w:lineRule="exact"/>
              <w:ind w:left="1108" w:right="0"/>
              <w:jc w:val="left"/>
              <w:rPr>
                <w:rFonts w:ascii="宋体" w:hAnsi="宋体" w:cs="宋体" w:eastAsia="宋体" w:hint="default"/>
                <w:sz w:val="16"/>
                <w:szCs w:val="16"/>
              </w:rPr>
            </w:pPr>
            <w:r>
              <w:rPr>
                <w:rFonts w:ascii="宋体"/>
                <w:sz w:val="16"/>
              </w:rPr>
              <w:t>-</w:t>
            </w:r>
            <w:r>
              <w:rPr>
                <w:rFonts w:ascii="宋体"/>
                <w:spacing w:val="-17"/>
                <w:sz w:val="16"/>
              </w:rPr>
              <w:t> </w:t>
            </w:r>
            <w:r>
              <w:rPr>
                <w:rFonts w:ascii="宋体"/>
                <w:spacing w:val="-5"/>
                <w:sz w:val="16"/>
              </w:rPr>
              <w:t>(4,286,072,266)</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5" w:lineRule="exact"/>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其他权益工具投资</w:t>
            </w:r>
            <w:r>
              <w:rPr>
                <w:rFonts w:ascii="宋体" w:hAnsi="宋体" w:cs="宋体" w:eastAsia="宋体" w:hint="default"/>
                <w:spacing w:val="-14"/>
                <w:sz w:val="16"/>
                <w:szCs w:val="16"/>
              </w:rPr>
              <w:t> </w:t>
            </w:r>
            <w:r>
              <w:rPr>
                <w:rFonts w:ascii="宋体" w:hAnsi="宋体" w:cs="宋体" w:eastAsia="宋体" w:hint="default"/>
                <w:sz w:val="16"/>
                <w:szCs w:val="16"/>
              </w:rPr>
              <w:t>***</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spacing w:line="205" w:lineRule="exact"/>
              <w:ind w:left="1108" w:right="0"/>
              <w:jc w:val="left"/>
              <w:rPr>
                <w:rFonts w:ascii="宋体" w:hAnsi="宋体" w:cs="宋体" w:eastAsia="宋体" w:hint="default"/>
                <w:sz w:val="16"/>
                <w:szCs w:val="16"/>
              </w:rPr>
            </w:pPr>
            <w:r>
              <w:rPr>
                <w:rFonts w:ascii="宋体"/>
                <w:w w:val="105"/>
                <w:sz w:val="16"/>
              </w:rPr>
              <w:t>-</w:t>
            </w:r>
            <w:r>
              <w:rPr>
                <w:rFonts w:ascii="宋体"/>
                <w:spacing w:val="23"/>
                <w:w w:val="105"/>
                <w:sz w:val="16"/>
              </w:rPr>
              <w:t> </w:t>
            </w:r>
            <w:r>
              <w:rPr>
                <w:rFonts w:ascii="宋体"/>
                <w:w w:val="105"/>
                <w:sz w:val="16"/>
              </w:rPr>
              <w:t>4,286,072,266</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5" w:lineRule="exact"/>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4,286,072,266</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长期待摊费用</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9,318,908,306</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103" w:right="0"/>
              <w:jc w:val="left"/>
              <w:rPr>
                <w:rFonts w:ascii="宋体" w:hAnsi="宋体" w:cs="宋体" w:eastAsia="宋体" w:hint="default"/>
                <w:sz w:val="16"/>
                <w:szCs w:val="16"/>
              </w:rPr>
            </w:pPr>
            <w:r>
              <w:rPr>
                <w:rFonts w:ascii="宋体"/>
                <w:w w:val="90"/>
                <w:sz w:val="16"/>
              </w:rPr>
              <w:t>(4,521,516,640)</w:t>
              <w:tab/>
            </w:r>
            <w:r>
              <w:rPr>
                <w:rFonts w:ascii="宋体"/>
                <w:w w:val="110"/>
                <w:sz w:val="16"/>
              </w:rPr>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5" w:lineRule="exact"/>
              <w:ind w:right="55"/>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4,797,391,666</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其他非流动资产</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1,348,557,596</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192" w:right="0"/>
              <w:jc w:val="left"/>
              <w:rPr>
                <w:rFonts w:ascii="宋体" w:hAnsi="宋体" w:cs="宋体" w:eastAsia="宋体" w:hint="default"/>
                <w:sz w:val="16"/>
                <w:szCs w:val="16"/>
              </w:rPr>
            </w:pPr>
            <w:r>
              <w:rPr>
                <w:rFonts w:ascii="宋体"/>
                <w:w w:val="95"/>
                <w:sz w:val="16"/>
              </w:rPr>
              <w:t>4,521,516,640</w:t>
              <w:tab/>
            </w:r>
            <w:r>
              <w:rPr>
                <w:rFonts w:ascii="宋体"/>
                <w:w w:val="110"/>
                <w:sz w:val="16"/>
              </w:rPr>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977" w:val="left" w:leader="none"/>
              </w:tabs>
              <w:spacing w:line="205" w:lineRule="exact"/>
              <w:ind w:right="55"/>
              <w:jc w:val="right"/>
              <w:rPr>
                <w:rFonts w:ascii="宋体" w:hAnsi="宋体" w:cs="宋体" w:eastAsia="宋体" w:hint="default"/>
                <w:sz w:val="16"/>
                <w:szCs w:val="16"/>
              </w:rPr>
            </w:pPr>
            <w:r>
              <w:rPr>
                <w:rFonts w:ascii="宋体"/>
                <w:spacing w:val="-5"/>
                <w:w w:val="95"/>
                <w:sz w:val="16"/>
              </w:rPr>
              <w:t>2,334,356,931</w:t>
              <w:tab/>
            </w:r>
            <w:r>
              <w:rPr>
                <w:rFonts w:ascii="宋体"/>
                <w:w w:val="110"/>
                <w:sz w:val="16"/>
              </w:rPr>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8,204,431,167</w:t>
            </w:r>
            <w:r>
              <w:rPr>
                <w:rFonts w:ascii="宋体"/>
                <w:sz w:val="16"/>
              </w:rPr>
            </w:r>
          </w:p>
        </w:tc>
      </w:tr>
      <w:tr>
        <w:trPr>
          <w:trHeight w:val="272"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4,573,333,656</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1107" w:right="0"/>
              <w:jc w:val="left"/>
              <w:rPr>
                <w:rFonts w:ascii="宋体" w:hAnsi="宋体" w:cs="宋体" w:eastAsia="宋体" w:hint="default"/>
                <w:sz w:val="16"/>
                <w:szCs w:val="16"/>
              </w:rPr>
            </w:pPr>
            <w:r>
              <w:rPr>
                <w:rFonts w:ascii="宋体"/>
                <w:w w:val="130"/>
                <w:sz w:val="16"/>
              </w:rPr>
              <w:t>-</w:t>
              <w:tab/>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188" w:val="left" w:leader="none"/>
              </w:tabs>
              <w:spacing w:line="205" w:lineRule="exact"/>
              <w:ind w:right="54"/>
              <w:jc w:val="right"/>
              <w:rPr>
                <w:rFonts w:ascii="宋体" w:hAnsi="宋体" w:cs="宋体" w:eastAsia="宋体" w:hint="default"/>
                <w:sz w:val="16"/>
                <w:szCs w:val="16"/>
              </w:rPr>
            </w:pPr>
            <w:r>
              <w:rPr>
                <w:rFonts w:ascii="宋体"/>
                <w:w w:val="90"/>
                <w:sz w:val="16"/>
              </w:rPr>
              <w:t>(583,589,233)</w:t>
              <w:tab/>
            </w:r>
            <w:r>
              <w:rPr>
                <w:rFonts w:ascii="宋体"/>
                <w:sz w:val="16"/>
              </w:rPr>
              <w:t>264,878,156</w:t>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4,254,622,579</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负债：</w:t>
            </w:r>
          </w:p>
        </w:tc>
        <w:tc>
          <w:tcPr>
            <w:tcW w:w="1338" w:type="dxa"/>
            <w:tcBorders>
              <w:top w:val="nil" w:sz="6" w:space="0" w:color="auto"/>
              <w:left w:val="nil" w:sz="6" w:space="0" w:color="auto"/>
              <w:bottom w:val="nil" w:sz="6" w:space="0" w:color="auto"/>
              <w:right w:val="nil" w:sz="6" w:space="0" w:color="auto"/>
            </w:tcBorders>
          </w:tcPr>
          <w:p>
            <w:pPr/>
          </w:p>
        </w:tc>
        <w:tc>
          <w:tcPr>
            <w:tcW w:w="2510" w:type="dxa"/>
            <w:tcBorders>
              <w:top w:val="nil" w:sz="6" w:space="0" w:color="auto"/>
              <w:left w:val="nil" w:sz="6" w:space="0" w:color="auto"/>
              <w:bottom w:val="nil" w:sz="6" w:space="0" w:color="auto"/>
              <w:right w:val="nil" w:sz="6" w:space="0" w:color="auto"/>
            </w:tcBorders>
          </w:tcPr>
          <w:p>
            <w:pPr/>
          </w:p>
        </w:tc>
        <w:tc>
          <w:tcPr>
            <w:tcW w:w="2139"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r>
      <w:tr>
        <w:trPr>
          <w:trHeight w:val="275"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预收款项</w:t>
            </w:r>
          </w:p>
        </w:tc>
        <w:tc>
          <w:tcPr>
            <w:tcW w:w="1338" w:type="dxa"/>
            <w:tcBorders>
              <w:top w:val="nil" w:sz="6" w:space="0" w:color="auto"/>
              <w:left w:val="nil" w:sz="6" w:space="0" w:color="auto"/>
              <w:bottom w:val="nil" w:sz="6" w:space="0" w:color="auto"/>
              <w:right w:val="nil" w:sz="6" w:space="0" w:color="auto"/>
            </w:tcBorders>
          </w:tcPr>
          <w:p>
            <w:pPr>
              <w:pStyle w:val="TableParagraph"/>
              <w:spacing w:line="206" w:lineRule="exact"/>
              <w:ind w:right="54"/>
              <w:jc w:val="right"/>
              <w:rPr>
                <w:rFonts w:ascii="宋体" w:hAnsi="宋体" w:cs="宋体" w:eastAsia="宋体" w:hint="default"/>
                <w:sz w:val="16"/>
                <w:szCs w:val="16"/>
              </w:rPr>
            </w:pPr>
            <w:r>
              <w:rPr>
                <w:rFonts w:ascii="宋体"/>
                <w:w w:val="95"/>
                <w:sz w:val="16"/>
              </w:rPr>
              <w:t>49,896,910,698</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6" w:lineRule="exact"/>
              <w:ind w:left="62" w:right="0"/>
              <w:jc w:val="left"/>
              <w:rPr>
                <w:rFonts w:ascii="宋体" w:hAnsi="宋体" w:cs="宋体" w:eastAsia="宋体" w:hint="default"/>
                <w:sz w:val="16"/>
                <w:szCs w:val="16"/>
              </w:rPr>
            </w:pPr>
            <w:r>
              <w:rPr>
                <w:rFonts w:ascii="宋体"/>
                <w:spacing w:val="-5"/>
                <w:w w:val="95"/>
                <w:sz w:val="16"/>
              </w:rPr>
              <w:t>(49,613,923,505)</w:t>
              <w:tab/>
            </w:r>
            <w:r>
              <w:rPr>
                <w:rFonts w:ascii="宋体"/>
                <w:w w:val="110"/>
                <w:sz w:val="16"/>
              </w:rPr>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6" w:lineRule="exact"/>
              <w:ind w:right="55"/>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6" w:lineRule="exact"/>
              <w:ind w:right="54"/>
              <w:jc w:val="right"/>
              <w:rPr>
                <w:rFonts w:ascii="宋体" w:hAnsi="宋体" w:cs="宋体" w:eastAsia="宋体" w:hint="default"/>
                <w:sz w:val="16"/>
                <w:szCs w:val="16"/>
              </w:rPr>
            </w:pPr>
            <w:r>
              <w:rPr>
                <w:rFonts w:ascii="宋体"/>
                <w:sz w:val="16"/>
              </w:rPr>
              <w:t>282,987,193</w:t>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8,990,833,333</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spacing w:line="205" w:lineRule="exact"/>
              <w:ind w:left="192" w:right="0"/>
              <w:jc w:val="left"/>
              <w:rPr>
                <w:rFonts w:ascii="宋体" w:hAnsi="宋体" w:cs="宋体" w:eastAsia="宋体" w:hint="default"/>
                <w:sz w:val="16"/>
                <w:szCs w:val="16"/>
              </w:rPr>
            </w:pPr>
            <w:r>
              <w:rPr>
                <w:rFonts w:ascii="宋体"/>
                <w:sz w:val="16"/>
              </w:rPr>
              <w:t>3,693,084,327</w:t>
            </w:r>
          </w:p>
        </w:tc>
        <w:tc>
          <w:tcPr>
            <w:tcW w:w="2139"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12,683,917,660</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合同负债</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131"/>
                <w:sz w:val="16"/>
              </w:rPr>
              <w:t>-</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103" w:right="0"/>
              <w:jc w:val="left"/>
              <w:rPr>
                <w:rFonts w:ascii="宋体" w:hAnsi="宋体" w:cs="宋体" w:eastAsia="宋体" w:hint="default"/>
                <w:sz w:val="16"/>
                <w:szCs w:val="16"/>
              </w:rPr>
            </w:pPr>
            <w:r>
              <w:rPr>
                <w:rFonts w:ascii="宋体"/>
                <w:w w:val="95"/>
                <w:sz w:val="16"/>
              </w:rPr>
              <w:t>46,702,855,266</w:t>
              <w:tab/>
            </w:r>
            <w:r>
              <w:rPr>
                <w:rFonts w:ascii="宋体"/>
                <w:w w:val="110"/>
                <w:sz w:val="16"/>
              </w:rPr>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5" w:lineRule="exact"/>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46,702,855,266</w:t>
            </w:r>
            <w:r>
              <w:rPr>
                <w:rFonts w:ascii="宋体"/>
                <w:sz w:val="16"/>
              </w:rPr>
            </w:r>
          </w:p>
        </w:tc>
      </w:tr>
      <w:tr>
        <w:trPr>
          <w:trHeight w:val="272"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递延收益</w:t>
            </w:r>
          </w:p>
        </w:tc>
        <w:tc>
          <w:tcPr>
            <w:tcW w:w="1338"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3,020,080,018</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5" w:lineRule="exact"/>
              <w:ind w:left="236" w:right="0"/>
              <w:jc w:val="left"/>
              <w:rPr>
                <w:rFonts w:ascii="宋体" w:hAnsi="宋体" w:cs="宋体" w:eastAsia="宋体" w:hint="default"/>
                <w:sz w:val="16"/>
                <w:szCs w:val="16"/>
              </w:rPr>
            </w:pPr>
            <w:r>
              <w:rPr>
                <w:rFonts w:ascii="宋体"/>
                <w:w w:val="90"/>
                <w:sz w:val="16"/>
              </w:rPr>
              <w:t>(782,016,088)</w:t>
              <w:tab/>
            </w:r>
            <w:r>
              <w:rPr>
                <w:rFonts w:ascii="宋体"/>
                <w:w w:val="110"/>
                <w:sz w:val="16"/>
              </w:rPr>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tabs>
                <w:tab w:pos="1099" w:val="left" w:leader="none"/>
              </w:tabs>
              <w:spacing w:line="205" w:lineRule="exact"/>
              <w:ind w:right="54"/>
              <w:jc w:val="right"/>
              <w:rPr>
                <w:rFonts w:ascii="宋体" w:hAnsi="宋体" w:cs="宋体" w:eastAsia="宋体" w:hint="default"/>
                <w:sz w:val="16"/>
                <w:szCs w:val="16"/>
              </w:rPr>
            </w:pPr>
            <w:r>
              <w:rPr>
                <w:rFonts w:ascii="宋体"/>
                <w:w w:val="130"/>
                <w:sz w:val="16"/>
              </w:rPr>
              <w:t>-</w:t>
              <w:tab/>
              <w:t>-</w:t>
            </w:r>
            <w:r>
              <w:rPr>
                <w:rFonts w:ascii="宋体"/>
                <w:sz w:val="16"/>
              </w:rPr>
            </w:r>
          </w:p>
        </w:tc>
        <w:tc>
          <w:tcPr>
            <w:tcW w:w="125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2,238,063,930</w:t>
            </w:r>
            <w:r>
              <w:rPr>
                <w:rFonts w:ascii="宋体"/>
                <w:sz w:val="16"/>
              </w:rPr>
            </w:r>
          </w:p>
        </w:tc>
      </w:tr>
      <w:tr>
        <w:trPr>
          <w:trHeight w:val="273"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股东权益：</w:t>
            </w:r>
          </w:p>
        </w:tc>
        <w:tc>
          <w:tcPr>
            <w:tcW w:w="1338" w:type="dxa"/>
            <w:tcBorders>
              <w:top w:val="nil" w:sz="6" w:space="0" w:color="auto"/>
              <w:left w:val="nil" w:sz="6" w:space="0" w:color="auto"/>
              <w:bottom w:val="nil" w:sz="6" w:space="0" w:color="auto"/>
              <w:right w:val="nil" w:sz="6" w:space="0" w:color="auto"/>
            </w:tcBorders>
          </w:tcPr>
          <w:p>
            <w:pPr/>
          </w:p>
        </w:tc>
        <w:tc>
          <w:tcPr>
            <w:tcW w:w="2510" w:type="dxa"/>
            <w:tcBorders>
              <w:top w:val="nil" w:sz="6" w:space="0" w:color="auto"/>
              <w:left w:val="nil" w:sz="6" w:space="0" w:color="auto"/>
              <w:bottom w:val="nil" w:sz="6" w:space="0" w:color="auto"/>
              <w:right w:val="nil" w:sz="6" w:space="0" w:color="auto"/>
            </w:tcBorders>
          </w:tcPr>
          <w:p>
            <w:pPr/>
          </w:p>
        </w:tc>
        <w:tc>
          <w:tcPr>
            <w:tcW w:w="2139" w:type="dxa"/>
            <w:tcBorders>
              <w:top w:val="nil" w:sz="6" w:space="0" w:color="auto"/>
              <w:left w:val="nil" w:sz="6" w:space="0" w:color="auto"/>
              <w:bottom w:val="nil" w:sz="6" w:space="0" w:color="auto"/>
              <w:right w:val="nil" w:sz="6" w:space="0" w:color="auto"/>
            </w:tcBorders>
          </w:tcPr>
          <w:p>
            <w:pPr/>
          </w:p>
        </w:tc>
        <w:tc>
          <w:tcPr>
            <w:tcW w:w="1259" w:type="dxa"/>
            <w:tcBorders>
              <w:top w:val="nil" w:sz="6" w:space="0" w:color="auto"/>
              <w:left w:val="nil" w:sz="6" w:space="0" w:color="auto"/>
              <w:bottom w:val="nil" w:sz="6" w:space="0" w:color="auto"/>
              <w:right w:val="nil" w:sz="6" w:space="0" w:color="auto"/>
            </w:tcBorders>
          </w:tcPr>
          <w:p>
            <w:pPr/>
          </w:p>
        </w:tc>
      </w:tr>
      <w:tr>
        <w:trPr>
          <w:trHeight w:val="275" w:hRule="exact"/>
        </w:trPr>
        <w:tc>
          <w:tcPr>
            <w:tcW w:w="2038" w:type="dxa"/>
            <w:tcBorders>
              <w:top w:val="nil" w:sz="6" w:space="0" w:color="auto"/>
              <w:left w:val="nil" w:sz="6" w:space="0" w:color="auto"/>
              <w:bottom w:val="nil" w:sz="6" w:space="0" w:color="auto"/>
              <w:right w:val="nil" w:sz="6" w:space="0" w:color="auto"/>
            </w:tcBorders>
          </w:tcPr>
          <w:p>
            <w:pPr>
              <w:pStyle w:val="TableParagraph"/>
              <w:spacing w:line="206" w:lineRule="exact"/>
              <w:ind w:left="113" w:right="0"/>
              <w:jc w:val="left"/>
              <w:rPr>
                <w:rFonts w:ascii="宋体" w:hAnsi="宋体" w:cs="宋体" w:eastAsia="宋体" w:hint="default"/>
                <w:sz w:val="16"/>
                <w:szCs w:val="16"/>
              </w:rPr>
            </w:pPr>
            <w:r>
              <w:rPr>
                <w:rFonts w:ascii="宋体" w:hAnsi="宋体" w:cs="宋体" w:eastAsia="宋体" w:hint="default"/>
                <w:sz w:val="16"/>
                <w:szCs w:val="16"/>
              </w:rPr>
              <w:t>未分配利润</w:t>
            </w:r>
          </w:p>
        </w:tc>
        <w:tc>
          <w:tcPr>
            <w:tcW w:w="1338" w:type="dxa"/>
            <w:tcBorders>
              <w:top w:val="nil" w:sz="6" w:space="0" w:color="auto"/>
              <w:left w:val="nil" w:sz="6" w:space="0" w:color="auto"/>
              <w:bottom w:val="nil" w:sz="6" w:space="0" w:color="auto"/>
              <w:right w:val="nil" w:sz="6" w:space="0" w:color="auto"/>
            </w:tcBorders>
          </w:tcPr>
          <w:p>
            <w:pPr>
              <w:pStyle w:val="TableParagraph"/>
              <w:spacing w:line="206" w:lineRule="exact"/>
              <w:ind w:right="54"/>
              <w:jc w:val="right"/>
              <w:rPr>
                <w:rFonts w:ascii="宋体" w:hAnsi="宋体" w:cs="宋体" w:eastAsia="宋体" w:hint="default"/>
                <w:sz w:val="16"/>
                <w:szCs w:val="16"/>
              </w:rPr>
            </w:pPr>
            <w:r>
              <w:rPr>
                <w:rFonts w:ascii="宋体"/>
                <w:w w:val="95"/>
                <w:sz w:val="16"/>
              </w:rPr>
              <w:t>29,773,369,882</w:t>
            </w:r>
            <w:r>
              <w:rPr>
                <w:rFonts w:ascii="宋体"/>
                <w:sz w:val="16"/>
              </w:rPr>
            </w:r>
          </w:p>
        </w:tc>
        <w:tc>
          <w:tcPr>
            <w:tcW w:w="2510" w:type="dxa"/>
            <w:tcBorders>
              <w:top w:val="nil" w:sz="6" w:space="0" w:color="auto"/>
              <w:left w:val="nil" w:sz="6" w:space="0" w:color="auto"/>
              <w:bottom w:val="nil" w:sz="6" w:space="0" w:color="auto"/>
              <w:right w:val="nil" w:sz="6" w:space="0" w:color="auto"/>
            </w:tcBorders>
          </w:tcPr>
          <w:p>
            <w:pPr>
              <w:pStyle w:val="TableParagraph"/>
              <w:tabs>
                <w:tab w:pos="2287" w:val="left" w:leader="none"/>
              </w:tabs>
              <w:spacing w:line="206" w:lineRule="exact"/>
              <w:ind w:left="1107" w:right="0"/>
              <w:jc w:val="left"/>
              <w:rPr>
                <w:rFonts w:ascii="宋体" w:hAnsi="宋体" w:cs="宋体" w:eastAsia="宋体" w:hint="default"/>
                <w:sz w:val="16"/>
                <w:szCs w:val="16"/>
              </w:rPr>
            </w:pPr>
            <w:r>
              <w:rPr>
                <w:rFonts w:ascii="宋体"/>
                <w:w w:val="130"/>
                <w:sz w:val="16"/>
              </w:rPr>
              <w:t>-</w:t>
              <w:tab/>
              <w:t>-</w:t>
            </w:r>
            <w:r>
              <w:rPr>
                <w:rFonts w:ascii="宋体"/>
                <w:sz w:val="16"/>
              </w:rPr>
            </w:r>
          </w:p>
        </w:tc>
        <w:tc>
          <w:tcPr>
            <w:tcW w:w="2139" w:type="dxa"/>
            <w:tcBorders>
              <w:top w:val="nil" w:sz="6" w:space="0" w:color="auto"/>
              <w:left w:val="nil" w:sz="6" w:space="0" w:color="auto"/>
              <w:bottom w:val="nil" w:sz="6" w:space="0" w:color="auto"/>
              <w:right w:val="nil" w:sz="6" w:space="0" w:color="auto"/>
            </w:tcBorders>
          </w:tcPr>
          <w:p>
            <w:pPr>
              <w:pStyle w:val="TableParagraph"/>
              <w:spacing w:line="206" w:lineRule="exact"/>
              <w:ind w:right="54"/>
              <w:jc w:val="right"/>
              <w:rPr>
                <w:rFonts w:ascii="宋体" w:hAnsi="宋体" w:cs="宋体" w:eastAsia="宋体" w:hint="default"/>
                <w:sz w:val="16"/>
                <w:szCs w:val="16"/>
              </w:rPr>
            </w:pPr>
            <w:r>
              <w:rPr>
                <w:rFonts w:ascii="宋体"/>
                <w:sz w:val="16"/>
              </w:rPr>
              <w:t>769,247,610</w:t>
            </w:r>
            <w:r>
              <w:rPr>
                <w:rFonts w:ascii="宋体"/>
                <w:spacing w:val="-13"/>
                <w:sz w:val="16"/>
              </w:rPr>
              <w:t> </w:t>
            </w:r>
            <w:r>
              <w:rPr>
                <w:rFonts w:ascii="宋体"/>
                <w:sz w:val="16"/>
              </w:rPr>
              <w:t>(375,031,479)</w:t>
            </w:r>
          </w:p>
        </w:tc>
        <w:tc>
          <w:tcPr>
            <w:tcW w:w="1259" w:type="dxa"/>
            <w:tcBorders>
              <w:top w:val="nil" w:sz="6" w:space="0" w:color="auto"/>
              <w:left w:val="nil" w:sz="6" w:space="0" w:color="auto"/>
              <w:bottom w:val="nil" w:sz="6" w:space="0" w:color="auto"/>
              <w:right w:val="nil" w:sz="6" w:space="0" w:color="auto"/>
            </w:tcBorders>
          </w:tcPr>
          <w:p>
            <w:pPr>
              <w:pStyle w:val="TableParagraph"/>
              <w:spacing w:line="206" w:lineRule="exact"/>
              <w:ind w:right="54"/>
              <w:jc w:val="right"/>
              <w:rPr>
                <w:rFonts w:ascii="宋体" w:hAnsi="宋体" w:cs="宋体" w:eastAsia="宋体" w:hint="default"/>
                <w:sz w:val="16"/>
                <w:szCs w:val="16"/>
              </w:rPr>
            </w:pPr>
            <w:r>
              <w:rPr>
                <w:rFonts w:ascii="宋体"/>
                <w:w w:val="95"/>
                <w:sz w:val="16"/>
              </w:rPr>
              <w:t>30,167,586,013</w:t>
            </w:r>
            <w:r>
              <w:rPr>
                <w:rFonts w:ascii="宋体"/>
                <w:sz w:val="16"/>
              </w:rPr>
            </w:r>
          </w:p>
        </w:tc>
      </w:tr>
      <w:tr>
        <w:trPr>
          <w:trHeight w:val="337" w:hRule="exact"/>
        </w:trPr>
        <w:tc>
          <w:tcPr>
            <w:tcW w:w="2038" w:type="dxa"/>
            <w:tcBorders>
              <w:top w:val="nil" w:sz="6" w:space="0" w:color="auto"/>
              <w:left w:val="nil" w:sz="6" w:space="0" w:color="auto"/>
              <w:bottom w:val="single" w:sz="16" w:space="0" w:color="9F8958"/>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少数股东权益</w:t>
            </w:r>
          </w:p>
        </w:tc>
        <w:tc>
          <w:tcPr>
            <w:tcW w:w="1338" w:type="dxa"/>
            <w:tcBorders>
              <w:top w:val="nil" w:sz="6" w:space="0" w:color="auto"/>
              <w:left w:val="nil" w:sz="6" w:space="0" w:color="auto"/>
              <w:bottom w:val="single" w:sz="16" w:space="0" w:color="9F8958"/>
              <w:right w:val="nil" w:sz="6" w:space="0" w:color="auto"/>
            </w:tcBorders>
          </w:tcPr>
          <w:p>
            <w:pPr>
              <w:pStyle w:val="TableParagraph"/>
              <w:spacing w:line="205" w:lineRule="exact"/>
              <w:ind w:right="54"/>
              <w:jc w:val="right"/>
              <w:rPr>
                <w:rFonts w:ascii="宋体" w:hAnsi="宋体" w:cs="宋体" w:eastAsia="宋体" w:hint="default"/>
                <w:sz w:val="16"/>
                <w:szCs w:val="16"/>
              </w:rPr>
            </w:pPr>
            <w:r>
              <w:rPr>
                <w:rFonts w:ascii="宋体"/>
                <w:w w:val="95"/>
                <w:sz w:val="16"/>
              </w:rPr>
              <w:t>171,625,033,987</w:t>
            </w:r>
            <w:r>
              <w:rPr>
                <w:rFonts w:ascii="宋体"/>
                <w:sz w:val="16"/>
              </w:rPr>
            </w:r>
          </w:p>
        </w:tc>
        <w:tc>
          <w:tcPr>
            <w:tcW w:w="2510" w:type="dxa"/>
            <w:tcBorders>
              <w:top w:val="nil" w:sz="6" w:space="0" w:color="auto"/>
              <w:left w:val="nil" w:sz="6" w:space="0" w:color="auto"/>
              <w:bottom w:val="single" w:sz="16" w:space="0" w:color="9F8958"/>
              <w:right w:val="nil" w:sz="6" w:space="0" w:color="auto"/>
            </w:tcBorders>
          </w:tcPr>
          <w:p>
            <w:pPr>
              <w:pStyle w:val="TableParagraph"/>
              <w:tabs>
                <w:tab w:pos="2286" w:val="left" w:leader="none"/>
              </w:tabs>
              <w:spacing w:line="205" w:lineRule="exact"/>
              <w:ind w:left="1107" w:right="0"/>
              <w:jc w:val="left"/>
              <w:rPr>
                <w:rFonts w:ascii="宋体" w:hAnsi="宋体" w:cs="宋体" w:eastAsia="宋体" w:hint="default"/>
                <w:sz w:val="16"/>
                <w:szCs w:val="16"/>
              </w:rPr>
            </w:pPr>
            <w:r>
              <w:rPr>
                <w:rFonts w:ascii="宋体"/>
                <w:w w:val="130"/>
                <w:sz w:val="16"/>
              </w:rPr>
              <w:t>-</w:t>
              <w:tab/>
              <w:t>-</w:t>
            </w:r>
            <w:r>
              <w:rPr>
                <w:rFonts w:ascii="宋体"/>
                <w:sz w:val="16"/>
              </w:rPr>
            </w:r>
          </w:p>
        </w:tc>
        <w:tc>
          <w:tcPr>
            <w:tcW w:w="2139" w:type="dxa"/>
            <w:tcBorders>
              <w:top w:val="nil" w:sz="6" w:space="0" w:color="auto"/>
              <w:left w:val="nil" w:sz="6" w:space="0" w:color="auto"/>
              <w:bottom w:val="single" w:sz="16" w:space="0" w:color="9F8958"/>
              <w:right w:val="nil" w:sz="6" w:space="0" w:color="auto"/>
            </w:tcBorders>
          </w:tcPr>
          <w:p>
            <w:pPr>
              <w:pStyle w:val="TableParagraph"/>
              <w:spacing w:line="205" w:lineRule="exact"/>
              <w:ind w:right="55"/>
              <w:jc w:val="right"/>
              <w:rPr>
                <w:rFonts w:ascii="宋体" w:hAnsi="宋体" w:cs="宋体" w:eastAsia="宋体" w:hint="default"/>
                <w:sz w:val="16"/>
                <w:szCs w:val="16"/>
              </w:rPr>
            </w:pPr>
            <w:r>
              <w:rPr>
                <w:rFonts w:ascii="宋体"/>
                <w:sz w:val="16"/>
              </w:rPr>
              <w:t>981,520,088</w:t>
            </w:r>
            <w:r>
              <w:rPr>
                <w:rFonts w:ascii="宋体"/>
                <w:spacing w:val="-13"/>
                <w:sz w:val="16"/>
              </w:rPr>
              <w:t> </w:t>
            </w:r>
            <w:r>
              <w:rPr>
                <w:rFonts w:ascii="宋体"/>
                <w:sz w:val="16"/>
              </w:rPr>
              <w:t>(478,520,734)</w:t>
            </w:r>
          </w:p>
        </w:tc>
        <w:tc>
          <w:tcPr>
            <w:tcW w:w="1259" w:type="dxa"/>
            <w:tcBorders>
              <w:top w:val="nil" w:sz="6" w:space="0" w:color="auto"/>
              <w:left w:val="nil" w:sz="6" w:space="0" w:color="auto"/>
              <w:bottom w:val="single" w:sz="16" w:space="0" w:color="9F8958"/>
              <w:right w:val="nil" w:sz="6" w:space="0" w:color="auto"/>
            </w:tcBorders>
          </w:tcPr>
          <w:p>
            <w:pPr>
              <w:pStyle w:val="TableParagraph"/>
              <w:spacing w:line="205" w:lineRule="exact"/>
              <w:ind w:right="61"/>
              <w:jc w:val="right"/>
              <w:rPr>
                <w:rFonts w:ascii="宋体" w:hAnsi="宋体" w:cs="宋体" w:eastAsia="宋体" w:hint="default"/>
                <w:sz w:val="16"/>
                <w:szCs w:val="16"/>
              </w:rPr>
            </w:pPr>
            <w:r>
              <w:rPr>
                <w:rFonts w:ascii="宋体"/>
                <w:spacing w:val="-7"/>
                <w:w w:val="95"/>
                <w:sz w:val="16"/>
              </w:rPr>
              <w:t>172,128,033,341</w:t>
            </w:r>
            <w:r>
              <w:rPr>
                <w:rFonts w:ascii="宋体"/>
                <w:sz w:val="16"/>
              </w:rPr>
            </w:r>
          </w:p>
        </w:tc>
      </w:tr>
    </w:tbl>
    <w:p>
      <w:pPr>
        <w:spacing w:line="240" w:lineRule="auto" w:before="5"/>
        <w:rPr>
          <w:rFonts w:ascii="宋体" w:hAnsi="宋体" w:cs="宋体" w:eastAsia="宋体" w:hint="default"/>
          <w:sz w:val="13"/>
          <w:szCs w:val="13"/>
        </w:rPr>
      </w:pPr>
    </w:p>
    <w:p>
      <w:pPr>
        <w:spacing w:line="205" w:lineRule="exact" w:before="38"/>
        <w:ind w:left="468" w:right="125" w:firstLine="0"/>
        <w:jc w:val="left"/>
        <w:rPr>
          <w:rFonts w:ascii="宋体" w:hAnsi="宋体" w:cs="宋体" w:eastAsia="宋体" w:hint="default"/>
          <w:sz w:val="16"/>
          <w:szCs w:val="16"/>
        </w:rPr>
      </w:pPr>
      <w:r>
        <w:rPr>
          <w:rFonts w:ascii="宋体" w:hAnsi="宋体" w:cs="宋体" w:eastAsia="宋体" w:hint="default"/>
          <w:sz w:val="16"/>
          <w:szCs w:val="16"/>
        </w:rPr>
        <w:t>注 *：</w:t>
      </w:r>
      <w:r>
        <w:rPr>
          <w:rFonts w:ascii="宋体" w:hAnsi="宋体" w:cs="宋体" w:eastAsia="宋体" w:hint="default"/>
          <w:spacing w:val="79"/>
          <w:sz w:val="16"/>
          <w:szCs w:val="16"/>
        </w:rPr>
        <w:t> </w:t>
      </w:r>
      <w:r>
        <w:rPr>
          <w:rFonts w:ascii="宋体" w:hAnsi="宋体" w:cs="宋体" w:eastAsia="宋体" w:hint="default"/>
          <w:sz w:val="16"/>
          <w:szCs w:val="16"/>
        </w:rPr>
        <w:t>此类为以摊余成本计量的金融资产；</w:t>
      </w:r>
    </w:p>
    <w:p>
      <w:pPr>
        <w:spacing w:line="200" w:lineRule="exact" w:before="0"/>
        <w:ind w:left="468" w:right="125" w:firstLine="0"/>
        <w:jc w:val="left"/>
        <w:rPr>
          <w:rFonts w:ascii="宋体" w:hAnsi="宋体" w:cs="宋体" w:eastAsia="宋体" w:hint="default"/>
          <w:sz w:val="16"/>
          <w:szCs w:val="16"/>
        </w:rPr>
      </w:pPr>
      <w:r>
        <w:rPr>
          <w:rFonts w:ascii="宋体" w:hAnsi="宋体" w:cs="宋体" w:eastAsia="宋体" w:hint="default"/>
          <w:sz w:val="16"/>
          <w:szCs w:val="16"/>
        </w:rPr>
        <w:t>注 **：</w:t>
      </w:r>
      <w:r>
        <w:rPr>
          <w:rFonts w:ascii="宋体" w:hAnsi="宋体" w:cs="宋体" w:eastAsia="宋体" w:hint="default"/>
          <w:spacing w:val="-1"/>
          <w:sz w:val="16"/>
          <w:szCs w:val="16"/>
        </w:rPr>
        <w:t> </w:t>
      </w:r>
      <w:r>
        <w:rPr>
          <w:rFonts w:ascii="宋体" w:hAnsi="宋体" w:cs="宋体" w:eastAsia="宋体" w:hint="default"/>
          <w:sz w:val="16"/>
          <w:szCs w:val="16"/>
        </w:rPr>
        <w:t>此类为以公允价值计量且其变动计入当期损益的金融资产；</w:t>
      </w:r>
    </w:p>
    <w:p>
      <w:pPr>
        <w:spacing w:line="205" w:lineRule="exact" w:before="0"/>
        <w:ind w:left="468" w:right="125" w:firstLine="0"/>
        <w:jc w:val="left"/>
        <w:rPr>
          <w:rFonts w:ascii="宋体" w:hAnsi="宋体" w:cs="宋体" w:eastAsia="宋体" w:hint="default"/>
          <w:sz w:val="16"/>
          <w:szCs w:val="16"/>
        </w:rPr>
      </w:pPr>
      <w:r>
        <w:rPr>
          <w:rFonts w:ascii="宋体" w:hAnsi="宋体" w:cs="宋体" w:eastAsia="宋体" w:hint="default"/>
          <w:sz w:val="16"/>
          <w:szCs w:val="16"/>
        </w:rPr>
        <w:t>注</w:t>
      </w:r>
      <w:r>
        <w:rPr>
          <w:rFonts w:ascii="宋体" w:hAnsi="宋体" w:cs="宋体" w:eastAsia="宋体" w:hint="default"/>
          <w:spacing w:val="-1"/>
          <w:sz w:val="16"/>
          <w:szCs w:val="16"/>
        </w:rPr>
        <w:t> </w:t>
      </w:r>
      <w:r>
        <w:rPr>
          <w:rFonts w:ascii="宋体" w:hAnsi="宋体" w:cs="宋体" w:eastAsia="宋体" w:hint="default"/>
          <w:sz w:val="16"/>
          <w:szCs w:val="16"/>
        </w:rPr>
        <w:t>***：此类为以公允价值计量且其变动计入其他综合收益的金融资产。</w:t>
      </w:r>
    </w:p>
    <w:p>
      <w:pPr>
        <w:spacing w:after="0" w:line="205" w:lineRule="exact"/>
        <w:jc w:val="left"/>
        <w:rPr>
          <w:rFonts w:ascii="宋体" w:hAnsi="宋体" w:cs="宋体" w:eastAsia="宋体" w:hint="default"/>
          <w:sz w:val="16"/>
          <w:szCs w:val="16"/>
        </w:rPr>
        <w:sectPr>
          <w:pgSz w:w="11910" w:h="16160"/>
          <w:pgMar w:header="1200" w:footer="320" w:top="2120" w:bottom="520" w:left="680" w:right="1340"/>
        </w:sectPr>
      </w:pPr>
    </w:p>
    <w:p>
      <w:pPr>
        <w:spacing w:line="240" w:lineRule="auto" w:before="3"/>
        <w:rPr>
          <w:rFonts w:ascii="宋体" w:hAnsi="宋体" w:cs="宋体" w:eastAsia="宋体" w:hint="default"/>
          <w:sz w:val="14"/>
          <w:szCs w:val="14"/>
        </w:rPr>
      </w:pPr>
    </w:p>
    <w:p>
      <w:pPr>
        <w:pStyle w:val="BodyText"/>
        <w:spacing w:line="480" w:lineRule="auto" w:before="31"/>
        <w:ind w:left="468" w:right="95" w:hanging="341"/>
        <w:jc w:val="left"/>
      </w:pPr>
      <w:r>
        <w:rPr/>
        <w:t>34、重要会计估计和判断</w:t>
      </w:r>
      <w:r>
        <w:rPr>
          <w:spacing w:val="-71"/>
        </w:rPr>
        <w:t> </w:t>
      </w:r>
      <w:r>
        <w:rPr>
          <w:spacing w:val="-2"/>
        </w:rPr>
        <w:t>本集团根据历史经验和其他因素，包括对未来事项的合理预期，对所采用的重要会计估计和关键判断进行持续的评价。</w:t>
      </w:r>
    </w:p>
    <w:p>
      <w:pPr>
        <w:pStyle w:val="BodyText"/>
        <w:spacing w:line="480" w:lineRule="auto" w:before="34"/>
        <w:ind w:left="468" w:right="1097" w:hanging="341"/>
        <w:jc w:val="left"/>
      </w:pPr>
      <w:r>
        <w:rPr/>
        <w:t>(a)</w:t>
      </w:r>
      <w:r>
        <w:rPr>
          <w:spacing w:val="58"/>
        </w:rPr>
        <w:t> </w:t>
      </w:r>
      <w:r>
        <w:rPr/>
        <w:t>重要会计估计及其关键假设</w:t>
      </w:r>
      <w:r>
        <w:rPr/>
        <w:t> 下列重大会计估计及关键假设存在会导致下一会计年度资产和负债的账面价值出现重大调整的主要风险：</w:t>
      </w:r>
    </w:p>
    <w:p>
      <w:pPr>
        <w:pStyle w:val="BodyText"/>
        <w:spacing w:line="240" w:lineRule="auto" w:before="34"/>
        <w:ind w:left="128" w:right="95"/>
        <w:jc w:val="left"/>
      </w:pPr>
      <w:r>
        <w:rPr/>
        <w:t>(1)</w:t>
      </w:r>
      <w:r>
        <w:rPr>
          <w:spacing w:val="-21"/>
        </w:rPr>
        <w:t> </w:t>
      </w:r>
      <w:r>
        <w:rPr/>
        <w:t>应收款项和合同资产减值</w:t>
      </w:r>
    </w:p>
    <w:p>
      <w:pPr>
        <w:spacing w:line="240" w:lineRule="auto" w:before="12"/>
        <w:rPr>
          <w:rFonts w:ascii="宋体" w:hAnsi="宋体" w:cs="宋体" w:eastAsia="宋体" w:hint="default"/>
          <w:sz w:val="17"/>
          <w:szCs w:val="17"/>
        </w:rPr>
      </w:pPr>
    </w:p>
    <w:p>
      <w:pPr>
        <w:pStyle w:val="BodyText"/>
        <w:spacing w:line="285" w:lineRule="auto"/>
        <w:ind w:left="468" w:right="111"/>
        <w:jc w:val="both"/>
      </w:pPr>
      <w:r>
        <w:rPr>
          <w:w w:val="95"/>
        </w:rPr>
        <w:t>本集团按照附注三</w:t>
      </w:r>
      <w:r>
        <w:rPr>
          <w:spacing w:val="45"/>
          <w:w w:val="95"/>
        </w:rPr>
        <w:t> </w:t>
      </w:r>
      <w:r>
        <w:rPr>
          <w:w w:val="95"/>
        </w:rPr>
        <w:t>(8)</w:t>
      </w:r>
      <w:r>
        <w:rPr>
          <w:spacing w:val="50"/>
          <w:w w:val="95"/>
        </w:rPr>
        <w:t> </w:t>
      </w:r>
      <w:r>
        <w:rPr>
          <w:w w:val="95"/>
        </w:rPr>
        <w:t>所述，按照预期信用损失模型对以摊余成本计量的应收款项和合同资产进行减值会计处理并确认</w:t>
      </w:r>
      <w:r>
        <w:rPr>
          <w:spacing w:val="-48"/>
          <w:w w:val="95"/>
        </w:rPr>
        <w:t> </w:t>
      </w:r>
      <w:r>
        <w:rPr>
          <w:spacing w:val="-48"/>
          <w:w w:val="95"/>
        </w:rPr>
      </w:r>
      <w:r>
        <w:rPr/>
        <w:t>损失准备。本集团在每个资产负债表日重新计量预期信用损失，由此形成的损失准备的增加或转回金额，作为减值损</w:t>
      </w:r>
      <w:r>
        <w:rPr>
          <w:spacing w:val="5"/>
        </w:rPr>
        <w:t> </w:t>
      </w:r>
      <w:r>
        <w:rPr>
          <w:spacing w:val="5"/>
        </w:rPr>
      </w:r>
      <w:r>
        <w:rPr/>
        <w:t>失或利得计入当期损益。</w:t>
      </w:r>
    </w:p>
    <w:p>
      <w:pPr>
        <w:spacing w:line="240" w:lineRule="auto" w:before="10"/>
        <w:rPr>
          <w:rFonts w:ascii="宋体" w:hAnsi="宋体" w:cs="宋体" w:eastAsia="宋体" w:hint="default"/>
          <w:sz w:val="13"/>
          <w:szCs w:val="13"/>
        </w:rPr>
      </w:pPr>
    </w:p>
    <w:p>
      <w:pPr>
        <w:pStyle w:val="BodyText"/>
        <w:spacing w:line="240" w:lineRule="auto"/>
        <w:ind w:left="128" w:right="95"/>
        <w:jc w:val="left"/>
      </w:pPr>
      <w:r>
        <w:rPr/>
        <w:t>(2)</w:t>
      </w:r>
      <w:r>
        <w:rPr>
          <w:spacing w:val="-21"/>
        </w:rPr>
        <w:t> </w:t>
      </w:r>
      <w:r>
        <w:rPr/>
        <w:t>固定资产折旧</w:t>
      </w:r>
    </w:p>
    <w:p>
      <w:pPr>
        <w:spacing w:line="240" w:lineRule="auto" w:before="12"/>
        <w:rPr>
          <w:rFonts w:ascii="宋体" w:hAnsi="宋体" w:cs="宋体" w:eastAsia="宋体" w:hint="default"/>
          <w:sz w:val="17"/>
          <w:szCs w:val="17"/>
        </w:rPr>
      </w:pPr>
    </w:p>
    <w:p>
      <w:pPr>
        <w:pStyle w:val="BodyText"/>
        <w:spacing w:line="285" w:lineRule="auto"/>
        <w:ind w:left="468" w:right="107"/>
        <w:jc w:val="both"/>
      </w:pPr>
      <w:r>
        <w:rPr/>
        <w:t>本集团固定资产的折旧在预计使用寿命内以资产的入账价值减去预计净残值后的金额按直线法计提。本集团定期对预</w:t>
      </w:r>
      <w:r>
        <w:rPr>
          <w:spacing w:val="9"/>
        </w:rPr>
        <w:t> </w:t>
      </w:r>
      <w:r>
        <w:rPr>
          <w:spacing w:val="9"/>
        </w:rPr>
      </w:r>
      <w:r>
        <w:rPr/>
        <w:t>计使用寿命、预计净残值和折旧方法进行评估，以确保折旧方法及折旧率与固定资产的预计经济利益实现模式一致。</w:t>
      </w:r>
    </w:p>
    <w:p>
      <w:pPr>
        <w:spacing w:line="240" w:lineRule="auto" w:before="10"/>
        <w:rPr>
          <w:rFonts w:ascii="宋体" w:hAnsi="宋体" w:cs="宋体" w:eastAsia="宋体" w:hint="default"/>
          <w:sz w:val="13"/>
          <w:szCs w:val="13"/>
        </w:rPr>
      </w:pPr>
    </w:p>
    <w:p>
      <w:pPr>
        <w:pStyle w:val="BodyText"/>
        <w:spacing w:line="285" w:lineRule="auto"/>
        <w:ind w:left="468" w:right="107"/>
        <w:jc w:val="both"/>
      </w:pPr>
      <w:r>
        <w:rPr/>
        <w:t>本集团对固定资产预计使用寿命及净残值的估计是基于历史经验并考虑预期的技术更新而作出的。当预计使用寿命及</w:t>
      </w:r>
      <w:r>
        <w:rPr>
          <w:spacing w:val="9"/>
        </w:rPr>
        <w:t> </w:t>
      </w:r>
      <w:r>
        <w:rPr>
          <w:spacing w:val="9"/>
        </w:rPr>
      </w:r>
      <w:r>
        <w:rPr/>
        <w:t>预计净残值发生重大变化时，可能需要相应调整折旧费用。</w:t>
      </w:r>
    </w:p>
    <w:p>
      <w:pPr>
        <w:spacing w:line="240" w:lineRule="auto" w:before="10"/>
        <w:rPr>
          <w:rFonts w:ascii="宋体" w:hAnsi="宋体" w:cs="宋体" w:eastAsia="宋体" w:hint="default"/>
          <w:sz w:val="13"/>
          <w:szCs w:val="13"/>
        </w:rPr>
      </w:pPr>
    </w:p>
    <w:p>
      <w:pPr>
        <w:pStyle w:val="BodyText"/>
        <w:spacing w:line="240" w:lineRule="auto"/>
        <w:ind w:left="128" w:right="95"/>
        <w:jc w:val="left"/>
      </w:pPr>
      <w:r>
        <w:rPr/>
        <w:t>(3)</w:t>
      </w:r>
      <w:r>
        <w:rPr>
          <w:spacing w:val="-21"/>
        </w:rPr>
        <w:t> </w:t>
      </w:r>
      <w:r>
        <w:rPr/>
        <w:t>长期资产减值</w:t>
      </w:r>
    </w:p>
    <w:p>
      <w:pPr>
        <w:spacing w:line="240" w:lineRule="auto" w:before="12"/>
        <w:rPr>
          <w:rFonts w:ascii="宋体" w:hAnsi="宋体" w:cs="宋体" w:eastAsia="宋体" w:hint="default"/>
          <w:sz w:val="17"/>
          <w:szCs w:val="17"/>
        </w:rPr>
      </w:pPr>
    </w:p>
    <w:p>
      <w:pPr>
        <w:pStyle w:val="BodyText"/>
        <w:spacing w:line="285" w:lineRule="auto"/>
        <w:ind w:left="468" w:right="107"/>
        <w:jc w:val="both"/>
      </w:pPr>
      <w:r>
        <w:rPr/>
        <w:t>本集团按照附注三</w:t>
      </w:r>
      <w:r>
        <w:rPr>
          <w:spacing w:val="-29"/>
        </w:rPr>
        <w:t> </w:t>
      </w:r>
      <w:r>
        <w:rPr>
          <w:spacing w:val="-1"/>
          <w:w w:val="83"/>
        </w:rPr>
        <w:t>(16)</w:t>
      </w:r>
      <w:r>
        <w:rPr>
          <w:spacing w:val="-14"/>
          <w:w w:val="83"/>
        </w:rPr>
        <w:t> </w:t>
      </w:r>
      <w:r>
        <w:rPr/>
        <w:t>所述会计政策评估长期资产是否存在减值。一项资产的可收回金额是指资产公允价值减去处置</w:t>
      </w:r>
      <w:r>
        <w:rPr>
          <w:spacing w:val="-75"/>
        </w:rPr>
        <w:t> </w:t>
      </w:r>
      <w:r>
        <w:rPr>
          <w:spacing w:val="-75"/>
        </w:rPr>
      </w:r>
      <w:r>
        <w:rPr/>
        <w:t>费用后的净额与资产预计未来现金流量的现值两者之间的较高者。管理层估计的资产预计未来现金流量的现值是根据</w:t>
      </w:r>
      <w:r>
        <w:rPr>
          <w:spacing w:val="9"/>
        </w:rPr>
        <w:t> </w:t>
      </w:r>
      <w:r>
        <w:rPr>
          <w:spacing w:val="9"/>
        </w:rPr>
      </w:r>
      <w:r>
        <w:rPr/>
        <w:t>能够独立产生现金流入的最小资产组合的预期未来税前现金流量折现确定。当管理层的假设和长期资产的预期可收回</w:t>
      </w:r>
      <w:r>
        <w:rPr>
          <w:spacing w:val="9"/>
        </w:rPr>
        <w:t> </w:t>
      </w:r>
      <w:r>
        <w:rPr>
          <w:spacing w:val="9"/>
        </w:rPr>
      </w:r>
      <w:r>
        <w:rPr/>
        <w:t>金额发生重大变化时，本集团的未来经营成果将受到影响。</w:t>
      </w:r>
    </w:p>
    <w:p>
      <w:pPr>
        <w:spacing w:after="0" w:line="285" w:lineRule="auto"/>
        <w:jc w:val="both"/>
        <w:sectPr>
          <w:headerReference w:type="default" r:id="rId293"/>
          <w:headerReference w:type="even" r:id="rId294"/>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27" w:right="125"/>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27" w:right="125"/>
        <w:jc w:val="left"/>
      </w:pPr>
      <w:r>
        <w:rPr/>
        <w:t>34、重要会计估计和判断（续）</w:t>
      </w:r>
    </w:p>
    <w:p>
      <w:pPr>
        <w:spacing w:line="240" w:lineRule="auto" w:before="12"/>
        <w:rPr>
          <w:rFonts w:ascii="宋体" w:hAnsi="宋体" w:cs="宋体" w:eastAsia="宋体" w:hint="default"/>
          <w:sz w:val="17"/>
          <w:szCs w:val="17"/>
        </w:rPr>
      </w:pPr>
    </w:p>
    <w:p>
      <w:pPr>
        <w:pStyle w:val="BodyText"/>
        <w:spacing w:line="480" w:lineRule="auto"/>
        <w:ind w:left="127" w:right="6695"/>
        <w:jc w:val="left"/>
      </w:pPr>
      <w:r>
        <w:rPr/>
        <w:t>(a)</w:t>
      </w:r>
      <w:r>
        <w:rPr>
          <w:spacing w:val="-17"/>
        </w:rPr>
        <w:t> </w:t>
      </w:r>
      <w:r>
        <w:rPr/>
        <w:t>重要会计估计及其关键假设（续）</w:t>
      </w:r>
      <w:r>
        <w:rPr/>
        <w:t> (4)</w:t>
      </w:r>
      <w:r>
        <w:rPr>
          <w:spacing w:val="-21"/>
        </w:rPr>
        <w:t> </w:t>
      </w:r>
      <w:r>
        <w:rPr/>
        <w:t>所得税</w:t>
      </w:r>
    </w:p>
    <w:p>
      <w:pPr>
        <w:pStyle w:val="BodyText"/>
        <w:spacing w:line="285" w:lineRule="auto" w:before="54"/>
        <w:ind w:left="468" w:right="127"/>
        <w:jc w:val="both"/>
      </w:pPr>
      <w:r>
        <w:rPr/>
        <w:t>本集团按照现行税收法规计算企业所得税，并考虑了适用的所得税的相关规定及税收优惠。本集团在多个地区缴纳企</w:t>
      </w:r>
      <w:r>
        <w:rPr>
          <w:spacing w:val="7"/>
        </w:rPr>
        <w:t> </w:t>
      </w:r>
      <w:r>
        <w:rPr>
          <w:spacing w:val="7"/>
        </w:rPr>
      </w:r>
      <w:r>
        <w:rPr/>
        <w:t>业所得税，在正常的经营活动中，很多交易和事项的最终税务处理都存在不确定性，在计提各个地区的所得税费用时</w:t>
      </w:r>
      <w:r>
        <w:rPr>
          <w:spacing w:val="5"/>
        </w:rPr>
        <w:t> </w:t>
      </w:r>
      <w:r>
        <w:rPr>
          <w:spacing w:val="5"/>
        </w:rPr>
      </w:r>
      <w:r>
        <w:rPr/>
        <w:t>本集团需要作出重大判断。本集团还就未来最终税务申报过程中可能存在判断差异的纳税项目预计是否需要缴纳额外</w:t>
      </w:r>
      <w:r>
        <w:rPr>
          <w:spacing w:val="9"/>
        </w:rPr>
        <w:t> </w:t>
      </w:r>
      <w:r>
        <w:rPr>
          <w:spacing w:val="9"/>
        </w:rPr>
      </w:r>
      <w:r>
        <w:rPr/>
        <w:t>税款，并根据估计的结果判断是否需要确认相应的所得税负债。如果这些税务事项的最终认定结果与最初入账的金额</w:t>
      </w:r>
      <w:r>
        <w:rPr>
          <w:spacing w:val="7"/>
        </w:rPr>
        <w:t> </w:t>
      </w:r>
      <w:r>
        <w:rPr>
          <w:spacing w:val="7"/>
        </w:rPr>
      </w:r>
      <w:r>
        <w:rPr/>
        <w:t>存在差异，该差异将对作出上述最终认定期间的所得税费用和递延所得税的金额产生影响。</w:t>
      </w:r>
    </w:p>
    <w:p>
      <w:pPr>
        <w:spacing w:line="240" w:lineRule="auto" w:before="10"/>
        <w:rPr>
          <w:rFonts w:ascii="宋体" w:hAnsi="宋体" w:cs="宋体" w:eastAsia="宋体" w:hint="default"/>
          <w:sz w:val="13"/>
          <w:szCs w:val="13"/>
        </w:rPr>
      </w:pPr>
    </w:p>
    <w:p>
      <w:pPr>
        <w:pStyle w:val="BodyText"/>
        <w:spacing w:line="285" w:lineRule="auto"/>
        <w:ind w:left="468" w:right="127"/>
        <w:jc w:val="both"/>
      </w:pPr>
      <w:r>
        <w:rPr>
          <w:spacing w:val="-2"/>
        </w:rPr>
        <w:t>在确认递延所得税资产时，本集团也考虑了递延所得税资产得以实现的可能性。可抵扣暂时性差异主要包括坏账准备、</w:t>
      </w:r>
      <w:r>
        <w:rPr>
          <w:spacing w:val="-64"/>
        </w:rPr>
        <w:t> </w:t>
      </w:r>
      <w:r>
        <w:rPr>
          <w:spacing w:val="-64"/>
        </w:rPr>
      </w:r>
      <w:r>
        <w:rPr>
          <w:spacing w:val="2"/>
        </w:rPr>
        <w:t>尚未获准税前抵扣的预提费用以及可供出售金融资产</w:t>
      </w:r>
      <w:r>
        <w:rPr>
          <w:spacing w:val="-42"/>
        </w:rPr>
        <w:t> </w:t>
      </w:r>
      <w:r>
        <w:rPr>
          <w:w w:val="95"/>
        </w:rPr>
        <w:t>/</w:t>
      </w:r>
      <w:r>
        <w:rPr>
          <w:spacing w:val="-38"/>
          <w:w w:val="95"/>
        </w:rPr>
        <w:t> </w:t>
      </w:r>
      <w:r>
        <w:rPr>
          <w:spacing w:val="2"/>
        </w:rPr>
        <w:t>其他权益工具投资的公允价值变动损失的影响。递延所得税资</w:t>
      </w:r>
      <w:r>
        <w:rPr>
          <w:spacing w:val="3"/>
        </w:rPr>
        <w:t> </w:t>
      </w:r>
      <w:r>
        <w:rPr/>
        <w:t>产的确认是基于本集团预计该递延所得税资产于可预见的将来能够通过持续经营产生足够的应纳税所得额而转回。</w:t>
      </w:r>
    </w:p>
    <w:p>
      <w:pPr>
        <w:spacing w:line="240" w:lineRule="auto" w:before="10"/>
        <w:rPr>
          <w:rFonts w:ascii="宋体" w:hAnsi="宋体" w:cs="宋体" w:eastAsia="宋体" w:hint="default"/>
          <w:sz w:val="13"/>
          <w:szCs w:val="13"/>
        </w:rPr>
      </w:pPr>
    </w:p>
    <w:p>
      <w:pPr>
        <w:pStyle w:val="BodyText"/>
        <w:spacing w:line="285" w:lineRule="auto"/>
        <w:ind w:left="468" w:right="127"/>
        <w:jc w:val="both"/>
      </w:pPr>
      <w:r>
        <w:rPr/>
        <w:t>本集团已基于现行的税法规定及当前最佳的估计及假设计提了当期所得税及递延所得税项。未来可能因税法规定或相</w:t>
      </w:r>
      <w:r>
        <w:rPr>
          <w:spacing w:val="9"/>
        </w:rPr>
        <w:t> </w:t>
      </w:r>
      <w:r>
        <w:rPr>
          <w:spacing w:val="9"/>
        </w:rPr>
      </w:r>
      <w:r>
        <w:rPr/>
        <w:t>关情况的改变而需要对当期所得税及递延所得税项作出相应的调整。</w:t>
      </w:r>
    </w:p>
    <w:p>
      <w:pPr>
        <w:spacing w:line="240" w:lineRule="auto" w:before="10"/>
        <w:rPr>
          <w:rFonts w:ascii="宋体" w:hAnsi="宋体" w:cs="宋体" w:eastAsia="宋体" w:hint="default"/>
          <w:sz w:val="13"/>
          <w:szCs w:val="13"/>
        </w:rPr>
      </w:pPr>
    </w:p>
    <w:p>
      <w:pPr>
        <w:pStyle w:val="BodyText"/>
        <w:spacing w:line="240" w:lineRule="auto"/>
        <w:ind w:left="127" w:right="125"/>
        <w:jc w:val="left"/>
      </w:pPr>
      <w:r>
        <w:rPr/>
        <w:t>(5)</w:t>
      </w:r>
      <w:r>
        <w:rPr>
          <w:spacing w:val="-21"/>
        </w:rPr>
        <w:t> </w:t>
      </w:r>
      <w:r>
        <w:rPr/>
        <w:t>对租赁分类的判断</w:t>
      </w:r>
    </w:p>
    <w:p>
      <w:pPr>
        <w:spacing w:line="240" w:lineRule="auto" w:before="12"/>
        <w:rPr>
          <w:rFonts w:ascii="宋体" w:hAnsi="宋体" w:cs="宋体" w:eastAsia="宋体" w:hint="default"/>
          <w:sz w:val="17"/>
          <w:szCs w:val="17"/>
        </w:rPr>
      </w:pPr>
    </w:p>
    <w:p>
      <w:pPr>
        <w:pStyle w:val="BodyText"/>
        <w:spacing w:line="285" w:lineRule="auto"/>
        <w:ind w:left="468" w:right="127"/>
        <w:jc w:val="both"/>
      </w:pPr>
      <w:r>
        <w:rPr/>
        <w:t>本集团对租赁交易的实质进行分析，以判断租赁交易安排根据企业会计准则的要求应当被分类为经营租赁或是融资租</w:t>
      </w:r>
      <w:r>
        <w:rPr>
          <w:spacing w:val="9"/>
        </w:rPr>
        <w:t> </w:t>
      </w:r>
      <w:r>
        <w:rPr>
          <w:spacing w:val="9"/>
        </w:rPr>
      </w:r>
      <w:r>
        <w:rPr/>
        <w:t>赁。本集团基于有关租赁协议和相关安排，来评估和判断与资产所有权相关的全部风险和报酬是否转移。</w:t>
      </w:r>
    </w:p>
    <w:p>
      <w:pPr>
        <w:spacing w:after="0" w:line="285" w:lineRule="auto"/>
        <w:jc w:val="both"/>
        <w:sectPr>
          <w:pgSz w:w="11910" w:h="16160"/>
          <w:pgMar w:header="1200" w:footer="320" w:top="2120" w:bottom="520" w:left="680" w:right="13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87"/>
        <w:jc w:val="left"/>
        <w:rPr>
          <w:rFonts w:ascii="宋体" w:hAnsi="宋体" w:cs="宋体" w:eastAsia="宋体" w:hint="default"/>
        </w:rPr>
      </w:pPr>
      <w:r>
        <w:rPr>
          <w:rFonts w:ascii="宋体" w:hAnsi="宋体" w:cs="宋体" w:eastAsia="宋体" w:hint="default"/>
          <w:color w:val="9F8958"/>
        </w:rPr>
        <w:t>四、税项</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87"/>
        <w:jc w:val="left"/>
      </w:pPr>
      <w:r>
        <w:rPr/>
        <w:t>1、</w:t>
      </w:r>
      <w:r>
        <w:rPr>
          <w:spacing w:val="-21"/>
        </w:rPr>
        <w:t> </w:t>
      </w:r>
      <w:r>
        <w:rPr/>
        <w:t>增值税</w:t>
      </w:r>
    </w:p>
    <w:p>
      <w:pPr>
        <w:spacing w:line="240" w:lineRule="auto" w:before="12"/>
        <w:rPr>
          <w:rFonts w:ascii="宋体" w:hAnsi="宋体" w:cs="宋体" w:eastAsia="宋体" w:hint="default"/>
          <w:sz w:val="17"/>
          <w:szCs w:val="17"/>
        </w:rPr>
      </w:pPr>
    </w:p>
    <w:p>
      <w:pPr>
        <w:pStyle w:val="BodyText"/>
        <w:spacing w:line="285" w:lineRule="auto"/>
        <w:ind w:right="188"/>
        <w:jc w:val="both"/>
      </w:pPr>
      <w:r>
        <w:rPr/>
        <w:t>根据《中华人民共和国增值税暂行条例》的规定，截至</w:t>
      </w:r>
      <w:r>
        <w:rPr>
          <w:spacing w:val="-30"/>
        </w:rPr>
        <w:t> </w:t>
      </w:r>
      <w:r>
        <w:rPr/>
        <w:t>2018</w:t>
      </w:r>
      <w:r>
        <w:rPr>
          <w:spacing w:val="-30"/>
        </w:rPr>
        <w:t> </w:t>
      </w:r>
      <w:r>
        <w:rPr/>
        <w:t>年</w:t>
      </w:r>
      <w:r>
        <w:rPr>
          <w:spacing w:val="-30"/>
        </w:rPr>
        <w:t> </w:t>
      </w:r>
      <w:r>
        <w:rPr/>
        <w:t>4</w:t>
      </w:r>
      <w:r>
        <w:rPr>
          <w:spacing w:val="-30"/>
        </w:rPr>
        <w:t> </w:t>
      </w:r>
      <w:r>
        <w:rPr/>
        <w:t>月</w:t>
      </w:r>
      <w:r>
        <w:rPr>
          <w:spacing w:val="-30"/>
        </w:rPr>
        <w:t> </w:t>
      </w:r>
      <w:r>
        <w:rPr/>
        <w:t>30</w:t>
      </w:r>
      <w:r>
        <w:rPr>
          <w:spacing w:val="-30"/>
        </w:rPr>
        <w:t> </w:t>
      </w:r>
      <w:r>
        <w:rPr/>
        <w:t>日，本公司所属联通运营公司各子公司在境内</w:t>
      </w:r>
      <w:r>
        <w:rPr>
          <w:spacing w:val="-82"/>
        </w:rPr>
        <w:t> </w:t>
      </w:r>
      <w:r>
        <w:rPr>
          <w:spacing w:val="-82"/>
        </w:rPr>
      </w:r>
      <w:r>
        <w:rPr/>
        <w:t>销售货物、提供修理修配劳务适用增值税，税率为</w:t>
      </w:r>
      <w:r>
        <w:rPr>
          <w:spacing w:val="64"/>
        </w:rPr>
        <w:t> </w:t>
      </w:r>
      <w:r>
        <w:rPr/>
        <w:t>17%。</w:t>
      </w:r>
    </w:p>
    <w:p>
      <w:pPr>
        <w:spacing w:line="240" w:lineRule="auto" w:before="10"/>
        <w:rPr>
          <w:rFonts w:ascii="宋体" w:hAnsi="宋体" w:cs="宋体" w:eastAsia="宋体" w:hint="default"/>
          <w:sz w:val="13"/>
          <w:szCs w:val="13"/>
        </w:rPr>
      </w:pPr>
    </w:p>
    <w:p>
      <w:pPr>
        <w:pStyle w:val="BodyText"/>
        <w:spacing w:line="285" w:lineRule="auto"/>
        <w:ind w:right="185"/>
        <w:jc w:val="both"/>
      </w:pPr>
      <w:r>
        <w:rPr/>
        <w:t>根据财税</w:t>
      </w:r>
      <w:r>
        <w:rPr>
          <w:spacing w:val="-36"/>
        </w:rPr>
        <w:t> </w:t>
      </w:r>
      <w:r>
        <w:rPr>
          <w:spacing w:val="-1"/>
          <w:w w:val="98"/>
        </w:rPr>
        <w:t>[2013]106</w:t>
      </w:r>
      <w:r>
        <w:rPr>
          <w:spacing w:val="-35"/>
          <w:w w:val="98"/>
        </w:rPr>
        <w:t> </w:t>
      </w:r>
      <w:r>
        <w:rPr/>
        <w:t>号《财政部</w:t>
      </w:r>
      <w:r>
        <w:rPr>
          <w:spacing w:val="-9"/>
        </w:rPr>
        <w:t> </w:t>
      </w:r>
      <w:r>
        <w:rPr/>
        <w:t>国家税务总局关于将铁路运输和邮政业纳入营业税改征增值税试点的通知》的规定，</w:t>
      </w:r>
      <w:r>
        <w:rPr>
          <w:spacing w:val="-82"/>
        </w:rPr>
        <w:t> </w:t>
      </w:r>
      <w:r>
        <w:rPr>
          <w:spacing w:val="-82"/>
        </w:rPr>
      </w:r>
      <w:r>
        <w:rPr/>
        <w:t>本公司所属联通运营公司各子公司在境内提供信息技术服务、技术咨询服务等部分现代服务业业务适用增值税，税率</w:t>
      </w:r>
      <w:r>
        <w:rPr>
          <w:spacing w:val="7"/>
        </w:rPr>
        <w:t> </w:t>
      </w:r>
      <w:r>
        <w:rPr>
          <w:spacing w:val="7"/>
        </w:rPr>
      </w:r>
      <w:r>
        <w:rPr>
          <w:w w:val="105"/>
        </w:rPr>
        <w:t>为</w:t>
      </w:r>
      <w:r>
        <w:rPr>
          <w:spacing w:val="23"/>
          <w:w w:val="105"/>
        </w:rPr>
        <w:t> </w:t>
      </w:r>
      <w:r>
        <w:rPr>
          <w:w w:val="105"/>
        </w:rPr>
        <w:t>6%。</w:t>
      </w:r>
      <w:r>
        <w:rPr/>
      </w:r>
    </w:p>
    <w:p>
      <w:pPr>
        <w:spacing w:line="240" w:lineRule="auto" w:before="10"/>
        <w:rPr>
          <w:rFonts w:ascii="宋体" w:hAnsi="宋体" w:cs="宋体" w:eastAsia="宋体" w:hint="default"/>
          <w:sz w:val="13"/>
          <w:szCs w:val="13"/>
        </w:rPr>
      </w:pPr>
    </w:p>
    <w:p>
      <w:pPr>
        <w:pStyle w:val="BodyText"/>
        <w:spacing w:line="240" w:lineRule="auto"/>
        <w:ind w:right="0"/>
        <w:jc w:val="both"/>
      </w:pPr>
      <w:r>
        <w:rPr>
          <w:spacing w:val="1"/>
        </w:rPr>
        <w:t>根据财</w:t>
      </w:r>
      <w:r>
        <w:rPr/>
        <w:t>税</w:t>
      </w:r>
      <w:r>
        <w:rPr>
          <w:spacing w:val="-45"/>
        </w:rPr>
        <w:t> </w:t>
      </w:r>
      <w:r>
        <w:rPr>
          <w:w w:val="55"/>
        </w:rPr>
        <w:t>[</w:t>
      </w:r>
      <w:r>
        <w:rPr>
          <w:spacing w:val="-1"/>
          <w:w w:val="111"/>
        </w:rPr>
        <w:t>2014</w:t>
      </w:r>
      <w:r>
        <w:rPr>
          <w:w w:val="55"/>
        </w:rPr>
        <w:t>]</w:t>
      </w:r>
      <w:r>
        <w:rPr>
          <w:spacing w:val="-1"/>
          <w:w w:val="111"/>
        </w:rPr>
        <w:t>4</w:t>
      </w:r>
      <w:r>
        <w:rPr>
          <w:w w:val="111"/>
        </w:rPr>
        <w:t>3</w:t>
      </w:r>
      <w:r>
        <w:rPr>
          <w:spacing w:val="-45"/>
        </w:rPr>
        <w:t> </w:t>
      </w:r>
      <w:r>
        <w:rPr/>
        <w:t>号</w:t>
      </w:r>
      <w:r>
        <w:rPr>
          <w:spacing w:val="1"/>
        </w:rPr>
        <w:t>《财政</w:t>
      </w:r>
      <w:r>
        <w:rPr/>
        <w:t>部</w:t>
      </w:r>
      <w:r>
        <w:rPr>
          <w:spacing w:val="-22"/>
        </w:rPr>
        <w:t> </w:t>
      </w:r>
      <w:r>
        <w:rPr>
          <w:spacing w:val="1"/>
        </w:rPr>
        <w:t>国家税务总局关于将电信业纳入营业税改征增值税试点的通</w:t>
      </w:r>
      <w:r>
        <w:rPr/>
        <w:t>知</w:t>
      </w:r>
      <w:r>
        <w:rPr>
          <w:spacing w:val="1"/>
        </w:rPr>
        <w:t>》的规</w:t>
      </w:r>
      <w:r>
        <w:rPr/>
        <w:t>定</w:t>
      </w:r>
      <w:r>
        <w:rPr>
          <w:spacing w:val="1"/>
        </w:rPr>
        <w:t>，</w:t>
      </w:r>
      <w:r>
        <w:rPr/>
        <w:t>自</w:t>
      </w:r>
      <w:r>
        <w:rPr>
          <w:spacing w:val="-45"/>
        </w:rPr>
        <w:t> </w:t>
      </w:r>
      <w:r>
        <w:rPr>
          <w:spacing w:val="-1"/>
          <w:w w:val="111"/>
        </w:rPr>
        <w:t>201</w:t>
      </w:r>
      <w:r>
        <w:rPr>
          <w:w w:val="111"/>
        </w:rPr>
        <w:t>4</w:t>
      </w:r>
      <w:r>
        <w:rPr>
          <w:spacing w:val="-45"/>
        </w:rPr>
        <w:t> </w:t>
      </w:r>
      <w:r>
        <w:rPr/>
        <w:t>年</w:t>
      </w:r>
      <w:r>
        <w:rPr>
          <w:spacing w:val="-45"/>
        </w:rPr>
        <w:t> </w:t>
      </w:r>
      <w:r>
        <w:rPr>
          <w:w w:val="111"/>
        </w:rPr>
        <w:t>6</w:t>
      </w:r>
      <w:r>
        <w:rPr/>
      </w:r>
    </w:p>
    <w:p>
      <w:pPr>
        <w:pStyle w:val="BodyText"/>
        <w:spacing w:line="285" w:lineRule="auto" w:before="44"/>
        <w:ind w:right="87"/>
        <w:jc w:val="left"/>
      </w:pPr>
      <w:r>
        <w:rPr/>
        <w:t>月</w:t>
      </w:r>
      <w:r>
        <w:rPr>
          <w:spacing w:val="-40"/>
        </w:rPr>
        <w:t> </w:t>
      </w:r>
      <w:r>
        <w:rPr/>
        <w:t>1</w:t>
      </w:r>
      <w:r>
        <w:rPr>
          <w:spacing w:val="-40"/>
        </w:rPr>
        <w:t> </w:t>
      </w:r>
      <w:r>
        <w:rPr>
          <w:spacing w:val="-5"/>
        </w:rPr>
        <w:t>日起，在中华人民共和国境内开展电信业营业税改征增值税（以下简称“营改增”）试点。截至</w:t>
      </w:r>
      <w:r>
        <w:rPr>
          <w:spacing w:val="-40"/>
        </w:rPr>
        <w:t> </w:t>
      </w:r>
      <w:r>
        <w:rPr/>
        <w:t>2018</w:t>
      </w:r>
      <w:r>
        <w:rPr>
          <w:spacing w:val="-40"/>
        </w:rPr>
        <w:t> </w:t>
      </w:r>
      <w:r>
        <w:rPr/>
        <w:t>年</w:t>
      </w:r>
      <w:r>
        <w:rPr>
          <w:spacing w:val="-40"/>
        </w:rPr>
        <w:t> </w:t>
      </w:r>
      <w:r>
        <w:rPr/>
        <w:t>4</w:t>
      </w:r>
      <w:r>
        <w:rPr>
          <w:spacing w:val="-40"/>
        </w:rPr>
        <w:t> </w:t>
      </w:r>
      <w:r>
        <w:rPr/>
        <w:t>月</w:t>
      </w:r>
      <w:r>
        <w:rPr>
          <w:spacing w:val="-40"/>
        </w:rPr>
        <w:t> </w:t>
      </w:r>
      <w:r>
        <w:rPr/>
        <w:t>30</w:t>
      </w:r>
      <w:r>
        <w:rPr>
          <w:spacing w:val="-40"/>
        </w:rPr>
        <w:t> </w:t>
      </w:r>
      <w:r>
        <w:rPr/>
        <w:t>日，</w:t>
      </w:r>
      <w:r>
        <w:rPr>
          <w:spacing w:val="-85"/>
        </w:rPr>
        <w:t> </w:t>
      </w:r>
      <w:r>
        <w:rPr>
          <w:spacing w:val="-85"/>
        </w:rPr>
      </w:r>
      <w:r>
        <w:rPr/>
        <w:t>本公司所属联通运营公司及其子公司在境内提供的电信服务适用增值税，提供基础电信服务，税率为 11%；提供增值</w:t>
      </w:r>
      <w:r>
        <w:rPr>
          <w:spacing w:val="18"/>
        </w:rPr>
        <w:t> </w:t>
      </w:r>
      <w:r>
        <w:rPr>
          <w:spacing w:val="18"/>
        </w:rPr>
      </w:r>
      <w:r>
        <w:rPr/>
        <w:t>电信服务，税率为  6%；提供电信服务时，附带赠送的用户识别卡、电信终端等货物，税率为</w:t>
      </w:r>
      <w:r>
        <w:rPr>
          <w:spacing w:val="28"/>
        </w:rPr>
        <w:t> </w:t>
      </w:r>
      <w:r>
        <w:rPr/>
        <w:t>17%。</w:t>
      </w:r>
    </w:p>
    <w:p>
      <w:pPr>
        <w:spacing w:line="240" w:lineRule="auto" w:before="10"/>
        <w:rPr>
          <w:rFonts w:ascii="宋体" w:hAnsi="宋体" w:cs="宋体" w:eastAsia="宋体" w:hint="default"/>
          <w:sz w:val="13"/>
          <w:szCs w:val="13"/>
        </w:rPr>
      </w:pPr>
    </w:p>
    <w:p>
      <w:pPr>
        <w:pStyle w:val="BodyText"/>
        <w:spacing w:line="240" w:lineRule="auto"/>
        <w:ind w:right="0"/>
        <w:jc w:val="both"/>
      </w:pPr>
      <w:r>
        <w:rPr/>
        <w:t>根据财税</w:t>
      </w:r>
      <w:r>
        <w:rPr>
          <w:spacing w:val="-45"/>
        </w:rPr>
        <w:t> </w:t>
      </w:r>
      <w:r>
        <w:rPr>
          <w:w w:val="55"/>
        </w:rPr>
        <w:t>[</w:t>
      </w:r>
      <w:r>
        <w:rPr>
          <w:spacing w:val="-1"/>
          <w:w w:val="111"/>
        </w:rPr>
        <w:t>2018</w:t>
      </w:r>
      <w:r>
        <w:rPr>
          <w:w w:val="55"/>
        </w:rPr>
        <w:t>]</w:t>
      </w:r>
      <w:r>
        <w:rPr>
          <w:spacing w:val="-1"/>
          <w:w w:val="111"/>
        </w:rPr>
        <w:t>3</w:t>
      </w:r>
      <w:r>
        <w:rPr>
          <w:w w:val="111"/>
        </w:rPr>
        <w:t>2</w:t>
      </w:r>
      <w:r>
        <w:rPr>
          <w:spacing w:val="-45"/>
        </w:rPr>
        <w:t> </w:t>
      </w:r>
      <w:r>
        <w:rPr/>
        <w:t>号《财政部</w:t>
      </w:r>
      <w:r>
        <w:rPr>
          <w:spacing w:val="-24"/>
        </w:rPr>
        <w:t> </w:t>
      </w:r>
      <w:r>
        <w:rPr/>
        <w:t>税务总局关于调整增值税税率的通知》，自</w:t>
      </w:r>
      <w:r>
        <w:rPr>
          <w:spacing w:val="-45"/>
        </w:rPr>
        <w:t> </w:t>
      </w:r>
      <w:r>
        <w:rPr>
          <w:spacing w:val="-1"/>
          <w:w w:val="111"/>
        </w:rPr>
        <w:t>201</w:t>
      </w:r>
      <w:r>
        <w:rPr>
          <w:w w:val="111"/>
        </w:rPr>
        <w:t>8</w:t>
      </w:r>
      <w:r>
        <w:rPr>
          <w:spacing w:val="-45"/>
        </w:rPr>
        <w:t> </w:t>
      </w:r>
      <w:r>
        <w:rPr/>
        <w:t>年</w:t>
      </w:r>
      <w:r>
        <w:rPr>
          <w:spacing w:val="-45"/>
        </w:rPr>
        <w:t> </w:t>
      </w:r>
      <w:r>
        <w:rPr>
          <w:w w:val="111"/>
        </w:rPr>
        <w:t>5</w:t>
      </w:r>
      <w:r>
        <w:rPr>
          <w:spacing w:val="-45"/>
        </w:rPr>
        <w:t> </w:t>
      </w:r>
      <w:r>
        <w:rPr/>
        <w:t>月</w:t>
      </w:r>
      <w:r>
        <w:rPr>
          <w:spacing w:val="-45"/>
        </w:rPr>
        <w:t> </w:t>
      </w:r>
      <w:r>
        <w:rPr>
          <w:w w:val="111"/>
        </w:rPr>
        <w:t>1</w:t>
      </w:r>
      <w:r>
        <w:rPr>
          <w:spacing w:val="-45"/>
        </w:rPr>
        <w:t> </w:t>
      </w:r>
      <w:r>
        <w:rPr/>
        <w:t>日起，上述业务活动中适用</w:t>
      </w:r>
    </w:p>
    <w:p>
      <w:pPr>
        <w:pStyle w:val="BodyText"/>
        <w:spacing w:line="240" w:lineRule="auto" w:before="44"/>
        <w:ind w:right="0"/>
        <w:jc w:val="both"/>
      </w:pPr>
      <w:r>
        <w:rPr>
          <w:w w:val="115"/>
        </w:rPr>
        <w:t>17%</w:t>
      </w:r>
      <w:r>
        <w:rPr>
          <w:spacing w:val="-85"/>
          <w:w w:val="115"/>
        </w:rPr>
        <w:t> </w:t>
      </w:r>
      <w:r>
        <w:rPr>
          <w:w w:val="115"/>
        </w:rPr>
        <w:t>和</w:t>
      </w:r>
      <w:r>
        <w:rPr>
          <w:spacing w:val="-84"/>
          <w:w w:val="115"/>
        </w:rPr>
        <w:t> </w:t>
      </w:r>
      <w:r>
        <w:rPr>
          <w:w w:val="115"/>
        </w:rPr>
        <w:t>11%</w:t>
      </w:r>
      <w:r>
        <w:rPr>
          <w:spacing w:val="-85"/>
          <w:w w:val="115"/>
        </w:rPr>
        <w:t> </w:t>
      </w:r>
      <w:r>
        <w:rPr>
          <w:w w:val="115"/>
        </w:rPr>
        <w:t>税率的，税率分别调整为</w:t>
      </w:r>
      <w:r>
        <w:rPr>
          <w:spacing w:val="-84"/>
          <w:w w:val="115"/>
        </w:rPr>
        <w:t> </w:t>
      </w:r>
      <w:r>
        <w:rPr>
          <w:w w:val="115"/>
        </w:rPr>
        <w:t>16%、10%。</w:t>
      </w:r>
      <w:r>
        <w:rPr/>
      </w:r>
    </w:p>
    <w:p>
      <w:pPr>
        <w:spacing w:line="240" w:lineRule="auto" w:before="5"/>
        <w:rPr>
          <w:rFonts w:ascii="宋体" w:hAnsi="宋体" w:cs="宋体" w:eastAsia="宋体" w:hint="default"/>
          <w:sz w:val="16"/>
          <w:szCs w:val="16"/>
        </w:rPr>
      </w:pPr>
    </w:p>
    <w:p>
      <w:pPr>
        <w:pStyle w:val="BodyText"/>
        <w:spacing w:line="285" w:lineRule="auto"/>
        <w:ind w:right="185"/>
        <w:jc w:val="both"/>
      </w:pPr>
      <w:r>
        <w:rPr/>
        <w:t>本公司所属联通运营公司及其子公司购进应税货物或接受应税劳务及服务，取得的增值税进项税额可以按相关规定抵</w:t>
      </w:r>
      <w:r>
        <w:rPr>
          <w:spacing w:val="9"/>
        </w:rPr>
        <w:t> </w:t>
      </w:r>
      <w:r>
        <w:rPr>
          <w:spacing w:val="9"/>
        </w:rPr>
      </w:r>
      <w:r>
        <w:rPr/>
        <w:t>扣销项税额。增值税应纳税额为当期销项税额抵减当期可以抵扣的进项税额后的余额。当期销项税额小于当期进项税</w:t>
      </w:r>
      <w:r>
        <w:rPr>
          <w:spacing w:val="7"/>
        </w:rPr>
        <w:t> </w:t>
      </w:r>
      <w:r>
        <w:rPr>
          <w:spacing w:val="7"/>
        </w:rPr>
      </w:r>
      <w:r>
        <w:rPr/>
        <w:t>额不足抵扣时，其不足部分可以结转下期继续抵扣。</w:t>
      </w:r>
    </w:p>
    <w:p>
      <w:pPr>
        <w:spacing w:line="240" w:lineRule="auto" w:before="10"/>
        <w:rPr>
          <w:rFonts w:ascii="宋体" w:hAnsi="宋体" w:cs="宋体" w:eastAsia="宋体" w:hint="default"/>
          <w:sz w:val="13"/>
          <w:szCs w:val="13"/>
        </w:rPr>
      </w:pPr>
    </w:p>
    <w:p>
      <w:pPr>
        <w:pStyle w:val="BodyText"/>
        <w:spacing w:line="240" w:lineRule="auto"/>
        <w:ind w:right="0"/>
        <w:jc w:val="both"/>
      </w:pPr>
      <w:r>
        <w:rPr/>
        <w:t>本公司所属中国境内各子公司按缴纳增值税额的 7%</w:t>
      </w:r>
      <w:r>
        <w:rPr>
          <w:spacing w:val="8"/>
        </w:rPr>
        <w:t> </w:t>
      </w:r>
      <w:r>
        <w:rPr/>
        <w:t>缴纳城市维护建设税。</w:t>
      </w:r>
    </w:p>
    <w:p>
      <w:pPr>
        <w:spacing w:after="0" w:line="240" w:lineRule="auto"/>
        <w:jc w:val="both"/>
        <w:sectPr>
          <w:headerReference w:type="default" r:id="rId295"/>
          <w:footerReference w:type="default" r:id="rId296"/>
          <w:footerReference w:type="even" r:id="rId297"/>
          <w:pgSz w:w="11910" w:h="16160"/>
          <w:pgMar w:header="0" w:footer="298" w:top="1520" w:bottom="480" w:left="1360" w:right="600"/>
          <w:pgNumType w:start="129"/>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四、税项（续）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2、</w:t>
      </w:r>
      <w:r>
        <w:rPr>
          <w:spacing w:val="-21"/>
        </w:rPr>
        <w:t> </w:t>
      </w:r>
      <w:r>
        <w:rPr/>
        <w:t>企业所得税</w:t>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(a)</w:t>
      </w:r>
      <w:r>
        <w:rPr>
          <w:spacing w:val="-21"/>
        </w:rPr>
        <w:t> </w:t>
      </w:r>
      <w:r>
        <w:rPr/>
        <w:t>本公司企业所得税</w:t>
      </w:r>
    </w:p>
    <w:p>
      <w:pPr>
        <w:spacing w:line="240" w:lineRule="auto" w:before="12"/>
        <w:rPr>
          <w:rFonts w:ascii="宋体" w:hAnsi="宋体" w:cs="宋体" w:eastAsia="宋体" w:hint="default"/>
          <w:sz w:val="17"/>
          <w:szCs w:val="17"/>
        </w:rPr>
      </w:pPr>
    </w:p>
    <w:p>
      <w:pPr>
        <w:pStyle w:val="BodyText"/>
        <w:spacing w:line="285" w:lineRule="auto"/>
        <w:ind w:left="453" w:right="151"/>
        <w:jc w:val="both"/>
      </w:pPr>
      <w:r>
        <w:rPr/>
        <w:t>根据《中华人民共和国企业所得税法》（“所得税法”），本公司适用的企业所得税率为 25%。本公司按收入总额减</w:t>
      </w:r>
      <w:r>
        <w:rPr>
          <w:spacing w:val="13"/>
        </w:rPr>
        <w:t> </w:t>
      </w:r>
      <w:r>
        <w:rPr>
          <w:spacing w:val="13"/>
        </w:rPr>
      </w:r>
      <w:r>
        <w:rPr/>
        <w:t>去准予扣除项目后计算应纳税所得额。</w:t>
      </w:r>
    </w:p>
    <w:p>
      <w:pPr>
        <w:spacing w:line="240" w:lineRule="auto" w:before="10"/>
        <w:rPr>
          <w:rFonts w:ascii="宋体" w:hAnsi="宋体" w:cs="宋体" w:eastAsia="宋体" w:hint="default"/>
          <w:sz w:val="13"/>
          <w:szCs w:val="13"/>
        </w:rPr>
      </w:pPr>
    </w:p>
    <w:p>
      <w:pPr>
        <w:pStyle w:val="BodyText"/>
        <w:spacing w:line="240" w:lineRule="auto"/>
        <w:ind w:left="113" w:right="0"/>
        <w:jc w:val="left"/>
      </w:pPr>
      <w:r>
        <w:rPr/>
        <w:t>(b)</w:t>
      </w:r>
      <w:r>
        <w:rPr>
          <w:spacing w:val="-21"/>
        </w:rPr>
        <w:t> </w:t>
      </w:r>
      <w:r>
        <w:rPr/>
        <w:t>联通运营公司企业所得税</w:t>
      </w:r>
    </w:p>
    <w:p>
      <w:pPr>
        <w:spacing w:line="240" w:lineRule="auto" w:before="12"/>
        <w:rPr>
          <w:rFonts w:ascii="宋体" w:hAnsi="宋体" w:cs="宋体" w:eastAsia="宋体" w:hint="default"/>
          <w:sz w:val="17"/>
          <w:szCs w:val="17"/>
        </w:rPr>
      </w:pPr>
    </w:p>
    <w:p>
      <w:pPr>
        <w:pStyle w:val="BodyText"/>
        <w:spacing w:line="285" w:lineRule="auto"/>
        <w:ind w:left="453" w:right="148"/>
        <w:jc w:val="both"/>
      </w:pPr>
      <w:r>
        <w:rPr>
          <w:spacing w:val="1"/>
        </w:rPr>
        <w:t>根据财预</w:t>
      </w:r>
      <w:r>
        <w:rPr>
          <w:spacing w:val="-42"/>
        </w:rPr>
        <w:t> </w:t>
      </w:r>
      <w:r>
        <w:rPr>
          <w:spacing w:val="-1"/>
          <w:w w:val="97"/>
        </w:rPr>
        <w:t>[2012]40</w:t>
      </w:r>
      <w:r>
        <w:rPr>
          <w:spacing w:val="-39"/>
          <w:w w:val="97"/>
        </w:rPr>
        <w:t> </w:t>
      </w:r>
      <w:r>
        <w:rPr>
          <w:spacing w:val="1"/>
        </w:rPr>
        <w:t>号《跨省市总分机构企业所得税分配及预算管理办法》的相关规定，自</w:t>
      </w:r>
      <w:r>
        <w:rPr>
          <w:spacing w:val="-42"/>
        </w:rPr>
        <w:t> </w:t>
      </w:r>
      <w:r>
        <w:rPr>
          <w:spacing w:val="-1"/>
          <w:w w:val="111"/>
        </w:rPr>
        <w:t>2013</w:t>
      </w:r>
      <w:r>
        <w:rPr>
          <w:spacing w:val="-52"/>
          <w:w w:val="111"/>
        </w:rPr>
        <w:t> </w:t>
      </w:r>
      <w:r>
        <w:rPr/>
        <w:t>年</w:t>
      </w:r>
      <w:r>
        <w:rPr>
          <w:spacing w:val="-42"/>
        </w:rPr>
        <w:t> </w:t>
      </w:r>
      <w:r>
        <w:rPr>
          <w:w w:val="111"/>
        </w:rPr>
        <w:t>1</w:t>
      </w:r>
      <w:r>
        <w:rPr>
          <w:spacing w:val="-52"/>
          <w:w w:val="111"/>
        </w:rPr>
        <w:t> </w:t>
      </w:r>
      <w:r>
        <w:rPr/>
        <w:t>月</w:t>
      </w:r>
      <w:r>
        <w:rPr>
          <w:spacing w:val="-42"/>
        </w:rPr>
        <w:t> </w:t>
      </w:r>
      <w:r>
        <w:rPr>
          <w:w w:val="111"/>
        </w:rPr>
        <w:t>1</w:t>
      </w:r>
      <w:r>
        <w:rPr>
          <w:spacing w:val="-52"/>
          <w:w w:val="111"/>
        </w:rPr>
        <w:t> </w:t>
      </w:r>
      <w:r>
        <w:rPr>
          <w:spacing w:val="1"/>
        </w:rPr>
        <w:t>日开始，企</w:t>
      </w:r>
      <w:r>
        <w:rPr>
          <w:spacing w:val="-88"/>
        </w:rPr>
        <w:t> </w:t>
      </w:r>
      <w:r>
        <w:rPr>
          <w:spacing w:val="-88"/>
        </w:rPr>
      </w:r>
      <w:r>
        <w:rPr/>
        <w:t>业总机构汇总计算企业年度应纳所得税额，扣除总机构和各境内分支机构已预缴的税款，计算出应补退税款，分别由</w:t>
      </w:r>
      <w:r>
        <w:rPr>
          <w:spacing w:val="5"/>
        </w:rPr>
        <w:t> </w:t>
      </w:r>
      <w:r>
        <w:rPr>
          <w:spacing w:val="5"/>
        </w:rPr>
      </w:r>
      <w:r>
        <w:rPr/>
        <w:t>总机构和各分支机构（不包括当年已办理注销税务登记的分支机构）于每财年结束后就地办理税款缴库或退库。</w:t>
      </w:r>
    </w:p>
    <w:p>
      <w:pPr>
        <w:spacing w:line="240" w:lineRule="auto" w:before="10"/>
        <w:rPr>
          <w:rFonts w:ascii="宋体" w:hAnsi="宋体" w:cs="宋体" w:eastAsia="宋体" w:hint="default"/>
          <w:sz w:val="13"/>
          <w:szCs w:val="13"/>
        </w:rPr>
      </w:pPr>
    </w:p>
    <w:p>
      <w:pPr>
        <w:pStyle w:val="BodyText"/>
        <w:spacing w:line="240" w:lineRule="auto"/>
        <w:ind w:left="453" w:right="0"/>
        <w:jc w:val="both"/>
      </w:pPr>
      <w:r>
        <w:rPr/>
        <w:t>联通运营公司部分分公司于所得税法下的税收优惠政策：</w:t>
      </w:r>
    </w:p>
    <w:p>
      <w:pPr>
        <w:spacing w:line="240" w:lineRule="auto" w:before="9"/>
        <w:rPr>
          <w:rFonts w:ascii="宋体" w:hAnsi="宋体" w:cs="宋体" w:eastAsia="宋体" w:hint="default"/>
          <w:sz w:val="17"/>
          <w:szCs w:val="17"/>
        </w:rPr>
      </w:pPr>
    </w:p>
    <w:p>
      <w:pPr>
        <w:tabs>
          <w:tab w:pos="2844" w:val="left" w:leader="none"/>
          <w:tab w:pos="5868" w:val="left" w:leader="none"/>
          <w:tab w:pos="8198" w:val="left" w:leader="none"/>
        </w:tabs>
        <w:spacing w:before="41"/>
        <w:ind w:left="567" w:right="0" w:firstLine="0"/>
        <w:jc w:val="left"/>
        <w:rPr>
          <w:rFonts w:ascii="宋体" w:hAnsi="宋体" w:cs="宋体" w:eastAsia="宋体" w:hint="default"/>
          <w:sz w:val="16"/>
          <w:szCs w:val="16"/>
        </w:rPr>
      </w:pPr>
      <w:r>
        <w:rPr>
          <w:rFonts w:ascii="宋体" w:hAnsi="宋体" w:cs="宋体" w:eastAsia="宋体" w:hint="default"/>
          <w:sz w:val="16"/>
          <w:szCs w:val="16"/>
        </w:rPr>
        <w:t>分公司名称</w:t>
        <w:tab/>
        <w:t>税率</w:t>
        <w:tab/>
        <w:t>批准单位</w:t>
        <w:tab/>
        <w:t>政府文件及适用期限</w:t>
      </w:r>
    </w:p>
    <w:p>
      <w:pPr>
        <w:spacing w:line="240" w:lineRule="auto" w:before="11"/>
        <w:rPr>
          <w:rFonts w:ascii="宋体" w:hAnsi="宋体" w:cs="宋体" w:eastAsia="宋体" w:hint="default"/>
          <w:sz w:val="10"/>
          <w:szCs w:val="10"/>
        </w:rPr>
      </w:pPr>
    </w:p>
    <w:tbl>
      <w:tblPr>
        <w:tblW w:w="0" w:type="auto"/>
        <w:jc w:val="left"/>
        <w:tblInd w:w="433" w:type="dxa"/>
        <w:tblLayout w:type="fixed"/>
        <w:tblCellMar>
          <w:top w:w="0" w:type="dxa"/>
          <w:left w:w="0" w:type="dxa"/>
          <w:bottom w:w="0" w:type="dxa"/>
          <w:right w:w="0" w:type="dxa"/>
        </w:tblCellMar>
        <w:tblLook w:val="01E0"/>
      </w:tblPr>
      <w:tblGrid>
        <w:gridCol w:w="1587"/>
        <w:gridCol w:w="986"/>
        <w:gridCol w:w="941"/>
        <w:gridCol w:w="2767"/>
        <w:gridCol w:w="3016"/>
      </w:tblGrid>
      <w:tr>
        <w:trPr>
          <w:trHeight w:val="439" w:hRule="exact"/>
        </w:trPr>
        <w:tc>
          <w:tcPr>
            <w:tcW w:w="158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联通运营公司：</w:t>
            </w:r>
          </w:p>
        </w:tc>
        <w:tc>
          <w:tcPr>
            <w:tcW w:w="986"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941"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767" w:type="dxa"/>
            <w:tcBorders>
              <w:top w:val="single" w:sz="16" w:space="0" w:color="9F8958"/>
              <w:left w:val="nil" w:sz="6" w:space="0" w:color="auto"/>
              <w:bottom w:val="nil" w:sz="6" w:space="0" w:color="auto"/>
              <w:right w:val="nil" w:sz="6" w:space="0" w:color="auto"/>
            </w:tcBorders>
          </w:tcPr>
          <w:p>
            <w:pPr/>
          </w:p>
        </w:tc>
        <w:tc>
          <w:tcPr>
            <w:tcW w:w="3016" w:type="dxa"/>
            <w:tcBorders>
              <w:top w:val="single" w:sz="16" w:space="0" w:color="9F8958"/>
              <w:left w:val="nil" w:sz="6" w:space="0" w:color="auto"/>
              <w:bottom w:val="nil" w:sz="6" w:space="0" w:color="auto"/>
              <w:right w:val="nil" w:sz="6" w:space="0" w:color="auto"/>
            </w:tcBorders>
          </w:tcPr>
          <w:p>
            <w:pPr/>
          </w:p>
        </w:tc>
      </w:tr>
      <w:tr>
        <w:trPr>
          <w:trHeight w:val="350" w:hRule="exact"/>
        </w:trPr>
        <w:tc>
          <w:tcPr>
            <w:tcW w:w="1587" w:type="dxa"/>
            <w:tcBorders>
              <w:top w:val="nil" w:sz="6" w:space="0" w:color="auto"/>
              <w:left w:val="nil" w:sz="6" w:space="0" w:color="auto"/>
              <w:bottom w:val="nil" w:sz="6" w:space="0" w:color="auto"/>
              <w:right w:val="nil" w:sz="6" w:space="0" w:color="auto"/>
            </w:tcBorders>
          </w:tcPr>
          <w:p>
            <w:pPr>
              <w:pStyle w:val="TableParagraph"/>
              <w:spacing w:line="240" w:lineRule="auto" w:before="71"/>
              <w:ind w:left="113" w:right="0"/>
              <w:jc w:val="left"/>
              <w:rPr>
                <w:rFonts w:ascii="宋体" w:hAnsi="宋体" w:cs="宋体" w:eastAsia="宋体" w:hint="default"/>
                <w:sz w:val="16"/>
                <w:szCs w:val="16"/>
              </w:rPr>
            </w:pPr>
            <w:r>
              <w:rPr>
                <w:rFonts w:ascii="宋体" w:hAnsi="宋体" w:cs="宋体" w:eastAsia="宋体" w:hint="default"/>
                <w:sz w:val="16"/>
                <w:szCs w:val="16"/>
              </w:rPr>
              <w:t>西藏分公司</w:t>
            </w:r>
          </w:p>
        </w:tc>
        <w:tc>
          <w:tcPr>
            <w:tcW w:w="986" w:type="dxa"/>
            <w:tcBorders>
              <w:top w:val="single" w:sz="6" w:space="0" w:color="000000"/>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140"/>
                <w:sz w:val="16"/>
              </w:rPr>
              <w:t>15%</w:t>
            </w:r>
            <w:r>
              <w:rPr>
                <w:rFonts w:ascii="宋体"/>
                <w:sz w:val="16"/>
              </w:rPr>
            </w:r>
          </w:p>
        </w:tc>
        <w:tc>
          <w:tcPr>
            <w:tcW w:w="941"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40"/>
                <w:sz w:val="16"/>
              </w:rPr>
              <w:t>15%</w:t>
            </w:r>
            <w:r>
              <w:rPr>
                <w:rFonts w:ascii="宋体"/>
                <w:sz w:val="16"/>
              </w:rPr>
            </w:r>
          </w:p>
        </w:tc>
        <w:tc>
          <w:tcPr>
            <w:tcW w:w="2767"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225"/>
              <w:jc w:val="right"/>
              <w:rPr>
                <w:rFonts w:ascii="宋体" w:hAnsi="宋体" w:cs="宋体" w:eastAsia="宋体" w:hint="default"/>
                <w:sz w:val="16"/>
                <w:szCs w:val="16"/>
              </w:rPr>
            </w:pPr>
            <w:r>
              <w:rPr>
                <w:rFonts w:ascii="宋体" w:hAnsi="宋体" w:cs="宋体" w:eastAsia="宋体" w:hint="default"/>
                <w:sz w:val="16"/>
                <w:szCs w:val="16"/>
              </w:rPr>
              <w:t>西藏自治区人民政府</w:t>
            </w:r>
          </w:p>
        </w:tc>
        <w:tc>
          <w:tcPr>
            <w:tcW w:w="3016" w:type="dxa"/>
            <w:tcBorders>
              <w:top w:val="nil" w:sz="6" w:space="0" w:color="auto"/>
              <w:left w:val="nil" w:sz="6" w:space="0" w:color="auto"/>
              <w:bottom w:val="nil" w:sz="6" w:space="0" w:color="auto"/>
              <w:right w:val="nil" w:sz="6" w:space="0" w:color="auto"/>
            </w:tcBorders>
          </w:tcPr>
          <w:p>
            <w:pPr>
              <w:pStyle w:val="TableParagraph"/>
              <w:spacing w:line="240" w:lineRule="auto" w:before="71"/>
              <w:ind w:right="111"/>
              <w:jc w:val="right"/>
              <w:rPr>
                <w:rFonts w:ascii="宋体" w:hAnsi="宋体" w:cs="宋体" w:eastAsia="宋体" w:hint="default"/>
                <w:sz w:val="16"/>
                <w:szCs w:val="16"/>
              </w:rPr>
            </w:pPr>
            <w:r>
              <w:rPr>
                <w:rFonts w:ascii="宋体" w:hAnsi="宋体" w:cs="宋体" w:eastAsia="宋体" w:hint="default"/>
                <w:sz w:val="16"/>
                <w:szCs w:val="16"/>
              </w:rPr>
              <w:t>藏政发</w:t>
            </w:r>
            <w:r>
              <w:rPr>
                <w:rFonts w:ascii="宋体" w:hAnsi="宋体" w:cs="宋体" w:eastAsia="宋体" w:hint="default"/>
                <w:spacing w:val="-36"/>
                <w:sz w:val="16"/>
                <w:szCs w:val="16"/>
              </w:rPr>
              <w:t> </w:t>
            </w:r>
            <w:r>
              <w:rPr>
                <w:rFonts w:ascii="宋体" w:hAnsi="宋体" w:cs="宋体" w:eastAsia="宋体" w:hint="default"/>
                <w:sz w:val="16"/>
                <w:szCs w:val="16"/>
              </w:rPr>
              <w:t>[2011]14</w:t>
            </w:r>
            <w:r>
              <w:rPr>
                <w:rFonts w:ascii="宋体" w:hAnsi="宋体" w:cs="宋体" w:eastAsia="宋体" w:hint="default"/>
                <w:spacing w:val="-37"/>
                <w:sz w:val="16"/>
                <w:szCs w:val="16"/>
              </w:rPr>
              <w:t> </w:t>
            </w:r>
            <w:r>
              <w:rPr>
                <w:rFonts w:ascii="宋体" w:hAnsi="宋体" w:cs="宋体" w:eastAsia="宋体" w:hint="default"/>
                <w:sz w:val="16"/>
                <w:szCs w:val="16"/>
              </w:rPr>
              <w:t>号，至</w:t>
            </w:r>
            <w:r>
              <w:rPr>
                <w:rFonts w:ascii="宋体" w:hAnsi="宋体" w:cs="宋体" w:eastAsia="宋体" w:hint="default"/>
                <w:spacing w:val="-36"/>
                <w:sz w:val="16"/>
                <w:szCs w:val="16"/>
              </w:rPr>
              <w:t> </w:t>
            </w:r>
            <w:r>
              <w:rPr>
                <w:rFonts w:ascii="宋体" w:hAnsi="宋体" w:cs="宋体" w:eastAsia="宋体" w:hint="default"/>
                <w:sz w:val="16"/>
                <w:szCs w:val="16"/>
              </w:rPr>
              <w:t>2020</w:t>
            </w:r>
            <w:r>
              <w:rPr>
                <w:rFonts w:ascii="宋体" w:hAnsi="宋体" w:cs="宋体" w:eastAsia="宋体" w:hint="default"/>
                <w:spacing w:val="-37"/>
                <w:sz w:val="16"/>
                <w:szCs w:val="16"/>
              </w:rPr>
              <w:t> </w:t>
            </w:r>
            <w:r>
              <w:rPr>
                <w:rFonts w:ascii="宋体" w:hAnsi="宋体" w:cs="宋体" w:eastAsia="宋体" w:hint="default"/>
                <w:sz w:val="16"/>
                <w:szCs w:val="16"/>
              </w:rPr>
              <w:t>年</w:t>
            </w:r>
          </w:p>
        </w:tc>
      </w:tr>
      <w:tr>
        <w:trPr>
          <w:trHeight w:val="273" w:hRule="exact"/>
        </w:trPr>
        <w:tc>
          <w:tcPr>
            <w:tcW w:w="158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青海分公司</w:t>
            </w:r>
          </w:p>
        </w:tc>
        <w:tc>
          <w:tcPr>
            <w:tcW w:w="98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40"/>
                <w:sz w:val="16"/>
              </w:rPr>
              <w:t>15%</w:t>
            </w:r>
            <w:r>
              <w:rPr>
                <w:rFonts w:ascii="宋体"/>
                <w:sz w:val="16"/>
              </w:rPr>
            </w:r>
          </w:p>
        </w:tc>
        <w:tc>
          <w:tcPr>
            <w:tcW w:w="94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40"/>
                <w:sz w:val="16"/>
              </w:rPr>
              <w:t>15%</w:t>
            </w:r>
            <w:r>
              <w:rPr>
                <w:rFonts w:ascii="宋体"/>
                <w:sz w:val="16"/>
              </w:rPr>
            </w:r>
          </w:p>
        </w:tc>
        <w:tc>
          <w:tcPr>
            <w:tcW w:w="2767" w:type="dxa"/>
            <w:tcBorders>
              <w:top w:val="nil" w:sz="6" w:space="0" w:color="auto"/>
              <w:left w:val="nil" w:sz="6" w:space="0" w:color="auto"/>
              <w:bottom w:val="nil" w:sz="6" w:space="0" w:color="auto"/>
              <w:right w:val="nil" w:sz="6" w:space="0" w:color="auto"/>
            </w:tcBorders>
          </w:tcPr>
          <w:p>
            <w:pPr>
              <w:pStyle w:val="TableParagraph"/>
              <w:spacing w:line="205" w:lineRule="exact"/>
              <w:ind w:right="225"/>
              <w:jc w:val="right"/>
              <w:rPr>
                <w:rFonts w:ascii="宋体" w:hAnsi="宋体" w:cs="宋体" w:eastAsia="宋体" w:hint="default"/>
                <w:sz w:val="16"/>
                <w:szCs w:val="16"/>
              </w:rPr>
            </w:pPr>
            <w:r>
              <w:rPr>
                <w:rFonts w:ascii="宋体" w:hAnsi="宋体" w:cs="宋体" w:eastAsia="宋体" w:hint="default"/>
                <w:sz w:val="16"/>
                <w:szCs w:val="16"/>
              </w:rPr>
              <w:t>西宁市城西区国家税务局</w:t>
            </w:r>
          </w:p>
        </w:tc>
        <w:tc>
          <w:tcPr>
            <w:tcW w:w="301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税收优惠事项备案通知书，至 2020</w:t>
            </w:r>
            <w:r>
              <w:rPr>
                <w:rFonts w:ascii="宋体" w:hAnsi="宋体" w:cs="宋体" w:eastAsia="宋体" w:hint="default"/>
                <w:spacing w:val="-46"/>
                <w:sz w:val="16"/>
                <w:szCs w:val="16"/>
              </w:rPr>
              <w:t> </w:t>
            </w:r>
            <w:r>
              <w:rPr>
                <w:rFonts w:ascii="宋体" w:hAnsi="宋体" w:cs="宋体" w:eastAsia="宋体" w:hint="default"/>
                <w:sz w:val="16"/>
                <w:szCs w:val="16"/>
              </w:rPr>
              <w:t>年</w:t>
            </w:r>
          </w:p>
        </w:tc>
      </w:tr>
      <w:tr>
        <w:trPr>
          <w:trHeight w:val="338" w:hRule="exact"/>
        </w:trPr>
        <w:tc>
          <w:tcPr>
            <w:tcW w:w="1587"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宁夏分公司</w:t>
            </w:r>
          </w:p>
        </w:tc>
        <w:tc>
          <w:tcPr>
            <w:tcW w:w="98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40"/>
                <w:sz w:val="16"/>
              </w:rPr>
              <w:t>15%</w:t>
            </w:r>
            <w:r>
              <w:rPr>
                <w:rFonts w:ascii="宋体"/>
                <w:sz w:val="16"/>
              </w:rPr>
            </w:r>
          </w:p>
        </w:tc>
        <w:tc>
          <w:tcPr>
            <w:tcW w:w="941"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40"/>
                <w:sz w:val="16"/>
              </w:rPr>
              <w:t>15%</w:t>
            </w:r>
            <w:r>
              <w:rPr>
                <w:rFonts w:ascii="宋体"/>
                <w:sz w:val="16"/>
              </w:rPr>
            </w:r>
          </w:p>
        </w:tc>
        <w:tc>
          <w:tcPr>
            <w:tcW w:w="2767" w:type="dxa"/>
            <w:tcBorders>
              <w:top w:val="nil" w:sz="6" w:space="0" w:color="auto"/>
              <w:left w:val="nil" w:sz="6" w:space="0" w:color="auto"/>
              <w:bottom w:val="single" w:sz="16" w:space="0" w:color="9F8958"/>
              <w:right w:val="nil" w:sz="6" w:space="0" w:color="auto"/>
            </w:tcBorders>
          </w:tcPr>
          <w:p>
            <w:pPr>
              <w:pStyle w:val="TableParagraph"/>
              <w:spacing w:line="205" w:lineRule="exact"/>
              <w:ind w:right="225"/>
              <w:jc w:val="right"/>
              <w:rPr>
                <w:rFonts w:ascii="宋体" w:hAnsi="宋体" w:cs="宋体" w:eastAsia="宋体" w:hint="default"/>
                <w:sz w:val="16"/>
                <w:szCs w:val="16"/>
              </w:rPr>
            </w:pPr>
            <w:r>
              <w:rPr>
                <w:rFonts w:ascii="宋体" w:hAnsi="宋体" w:cs="宋体" w:eastAsia="宋体" w:hint="default"/>
                <w:sz w:val="16"/>
                <w:szCs w:val="16"/>
              </w:rPr>
              <w:t>银川经济开发区国家税务局</w:t>
            </w:r>
          </w:p>
        </w:tc>
        <w:tc>
          <w:tcPr>
            <w:tcW w:w="3016"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税收优惠事项备案通知书，至 2020</w:t>
            </w:r>
            <w:r>
              <w:rPr>
                <w:rFonts w:ascii="宋体" w:hAnsi="宋体" w:cs="宋体" w:eastAsia="宋体" w:hint="default"/>
                <w:spacing w:val="-46"/>
                <w:sz w:val="16"/>
                <w:szCs w:val="16"/>
              </w:rPr>
              <w:t> </w:t>
            </w:r>
            <w:r>
              <w:rPr>
                <w:rFonts w:ascii="宋体" w:hAnsi="宋体" w:cs="宋体" w:eastAsia="宋体" w:hint="default"/>
                <w:sz w:val="16"/>
                <w:szCs w:val="16"/>
              </w:rPr>
              <w:t>年</w:t>
            </w:r>
          </w:p>
        </w:tc>
      </w:tr>
    </w:tbl>
    <w:p>
      <w:pPr>
        <w:spacing w:line="240" w:lineRule="auto" w:before="1"/>
        <w:rPr>
          <w:rFonts w:ascii="宋体" w:hAnsi="宋体" w:cs="宋体" w:eastAsia="宋体" w:hint="default"/>
          <w:sz w:val="15"/>
          <w:szCs w:val="15"/>
        </w:rPr>
      </w:pPr>
    </w:p>
    <w:p>
      <w:pPr>
        <w:pStyle w:val="BodyText"/>
        <w:spacing w:line="285" w:lineRule="auto" w:before="31"/>
        <w:ind w:left="453" w:right="150"/>
        <w:jc w:val="left"/>
      </w:pPr>
      <w:r>
        <w:rPr>
          <w:w w:val="105"/>
        </w:rPr>
        <w:t>于</w:t>
      </w:r>
      <w:r>
        <w:rPr>
          <w:spacing w:val="-78"/>
          <w:w w:val="105"/>
        </w:rPr>
        <w:t> </w:t>
      </w:r>
      <w:r>
        <w:rPr>
          <w:w w:val="105"/>
        </w:rPr>
        <w:t>2018</w:t>
      </w:r>
      <w:r>
        <w:rPr>
          <w:spacing w:val="-78"/>
          <w:w w:val="105"/>
        </w:rPr>
        <w:t> </w:t>
      </w:r>
      <w:r>
        <w:rPr>
          <w:w w:val="105"/>
        </w:rPr>
        <w:t>年</w:t>
      </w:r>
      <w:r>
        <w:rPr>
          <w:spacing w:val="-78"/>
          <w:w w:val="105"/>
        </w:rPr>
        <w:t> </w:t>
      </w:r>
      <w:r>
        <w:rPr>
          <w:w w:val="105"/>
        </w:rPr>
        <w:t>12</w:t>
      </w:r>
      <w:r>
        <w:rPr>
          <w:spacing w:val="-78"/>
          <w:w w:val="105"/>
        </w:rPr>
        <w:t> </w:t>
      </w:r>
      <w:r>
        <w:rPr>
          <w:w w:val="105"/>
        </w:rPr>
        <w:t>月</w:t>
      </w:r>
      <w:r>
        <w:rPr>
          <w:spacing w:val="-78"/>
          <w:w w:val="105"/>
        </w:rPr>
        <w:t> </w:t>
      </w:r>
      <w:r>
        <w:rPr>
          <w:w w:val="105"/>
        </w:rPr>
        <w:t>31</w:t>
      </w:r>
      <w:r>
        <w:rPr>
          <w:spacing w:val="-78"/>
          <w:w w:val="105"/>
        </w:rPr>
        <w:t> </w:t>
      </w:r>
      <w:r>
        <w:rPr>
          <w:w w:val="105"/>
        </w:rPr>
        <w:t>日，联通运营公司除西藏、青海及宁夏分公司享受所列的优惠税率外，其他各分公司均适用</w:t>
      </w:r>
      <w:r>
        <w:rPr>
          <w:spacing w:val="-78"/>
          <w:w w:val="105"/>
        </w:rPr>
        <w:t> </w:t>
      </w:r>
      <w:r>
        <w:rPr>
          <w:w w:val="105"/>
        </w:rPr>
        <w:t>25%</w:t>
      </w:r>
      <w:r>
        <w:rPr>
          <w:w w:val="200"/>
        </w:rPr>
        <w:t> </w:t>
      </w:r>
      <w:r>
        <w:rPr>
          <w:w w:val="110"/>
        </w:rPr>
        <w:t>的企业所得税率。</w:t>
      </w:r>
    </w:p>
    <w:p>
      <w:pPr>
        <w:spacing w:after="0" w:line="285" w:lineRule="auto"/>
        <w:jc w:val="left"/>
        <w:sectPr>
          <w:headerReference w:type="even" r:id="rId298"/>
          <w:pgSz w:w="11910" w:h="16160"/>
          <w:pgMar w:header="1200" w:footer="320" w:top="2120" w:bottom="520" w:left="6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0"/>
        <w:jc w:val="left"/>
        <w:rPr>
          <w:rFonts w:ascii="宋体" w:hAnsi="宋体" w:cs="宋体" w:eastAsia="宋体" w:hint="default"/>
        </w:rPr>
      </w:pPr>
      <w:r>
        <w:rPr>
          <w:rFonts w:ascii="宋体" w:hAnsi="宋体" w:cs="宋体" w:eastAsia="宋体" w:hint="default"/>
          <w:color w:val="9F8958"/>
        </w:rPr>
        <w:t>四、税项（续）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0"/>
        <w:jc w:val="left"/>
      </w:pPr>
      <w:r>
        <w:rPr/>
        <w:t>2、</w:t>
      </w:r>
      <w:r>
        <w:rPr>
          <w:spacing w:val="-21"/>
        </w:rPr>
        <w:t> </w:t>
      </w:r>
      <w:r>
        <w:rPr/>
        <w:t>企业所得税（续）</w:t>
      </w:r>
    </w:p>
    <w:p>
      <w:pPr>
        <w:spacing w:line="240" w:lineRule="auto" w:before="12"/>
        <w:rPr>
          <w:rFonts w:ascii="宋体" w:hAnsi="宋体" w:cs="宋体" w:eastAsia="宋体" w:hint="default"/>
          <w:sz w:val="17"/>
          <w:szCs w:val="17"/>
        </w:rPr>
      </w:pPr>
    </w:p>
    <w:p>
      <w:pPr>
        <w:pStyle w:val="BodyText"/>
        <w:spacing w:line="480" w:lineRule="auto"/>
        <w:ind w:right="4391" w:hanging="341"/>
        <w:jc w:val="left"/>
      </w:pPr>
      <w:r>
        <w:rPr/>
        <w:t>(c)</w:t>
      </w:r>
      <w:r>
        <w:rPr>
          <w:spacing w:val="54"/>
        </w:rPr>
        <w:t> </w:t>
      </w:r>
      <w:r>
        <w:rPr/>
        <w:t>联通运营公司所属子公司之企业所得税</w:t>
      </w:r>
      <w:r>
        <w:rPr/>
        <w:t> 联通运营公司的部分获得高新技术企业认证的子公司列示如下：</w:t>
      </w:r>
    </w:p>
    <w:p>
      <w:pPr>
        <w:spacing w:after="0" w:line="480" w:lineRule="auto"/>
        <w:jc w:val="left"/>
        <w:sectPr>
          <w:headerReference w:type="default" r:id="rId299"/>
          <w:footerReference w:type="default" r:id="rId300"/>
          <w:footerReference w:type="even" r:id="rId301"/>
          <w:pgSz w:w="11910" w:h="16160"/>
          <w:pgMar w:header="0" w:footer="298" w:top="1520" w:bottom="480" w:left="1360" w:right="640"/>
        </w:sectPr>
      </w:pPr>
    </w:p>
    <w:p>
      <w:pPr>
        <w:spacing w:line="240" w:lineRule="auto" w:before="3"/>
        <w:rPr>
          <w:rFonts w:ascii="宋体" w:hAnsi="宋体" w:cs="宋体" w:eastAsia="宋体" w:hint="default"/>
          <w:sz w:val="22"/>
          <w:szCs w:val="22"/>
        </w:rPr>
      </w:pPr>
    </w:p>
    <w:p>
      <w:pPr>
        <w:spacing w:before="0"/>
        <w:ind w:left="567" w:right="-20" w:firstLine="0"/>
        <w:jc w:val="left"/>
        <w:rPr>
          <w:rFonts w:ascii="宋体" w:hAnsi="宋体" w:cs="宋体" w:eastAsia="宋体" w:hint="default"/>
          <w:sz w:val="16"/>
          <w:szCs w:val="16"/>
        </w:rPr>
      </w:pPr>
      <w:r>
        <w:rPr/>
        <w:pict>
          <v:shape style="position:absolute;margin-left:89.708603pt;margin-top:7.88817pt;width:467.9pt;height:128.3pt;mso-position-horizontal-relative:page;mso-position-vertical-relative:paragraph;z-index:93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12"/>
                    <w:gridCol w:w="1304"/>
                    <w:gridCol w:w="1259"/>
                    <w:gridCol w:w="2823"/>
                  </w:tblGrid>
                  <w:tr>
                    <w:trPr>
                      <w:trHeight w:val="443" w:hRule="exact"/>
                    </w:trPr>
                    <w:tc>
                      <w:tcPr>
                        <w:tcW w:w="3912" w:type="dxa"/>
                        <w:tcBorders>
                          <w:top w:val="nil" w:sz="6" w:space="0" w:color="auto"/>
                          <w:left w:val="nil" w:sz="6" w:space="0" w:color="auto"/>
                          <w:bottom w:val="single" w:sz="16" w:space="0" w:color="9F8958"/>
                          <w:right w:val="nil" w:sz="6" w:space="0" w:color="auto"/>
                        </w:tcBorders>
                      </w:tcPr>
                      <w:p>
                        <w:pPr/>
                      </w:p>
                    </w:tc>
                    <w:tc>
                      <w:tcPr>
                        <w:tcW w:w="130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0"/>
                          <w:jc w:val="center"/>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25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0"/>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823" w:type="dxa"/>
                        <w:tcBorders>
                          <w:top w:val="nil" w:sz="6" w:space="0" w:color="auto"/>
                          <w:left w:val="nil" w:sz="6" w:space="0" w:color="auto"/>
                          <w:bottom w:val="single" w:sz="16" w:space="0" w:color="9F8958"/>
                          <w:right w:val="nil" w:sz="6" w:space="0" w:color="auto"/>
                        </w:tcBorders>
                      </w:tcPr>
                      <w:p>
                        <w:pPr>
                          <w:pStyle w:val="TableParagraph"/>
                          <w:spacing w:line="144" w:lineRule="exact"/>
                          <w:ind w:right="111"/>
                          <w:jc w:val="right"/>
                          <w:rPr>
                            <w:rFonts w:ascii="宋体" w:hAnsi="宋体" w:cs="宋体" w:eastAsia="宋体" w:hint="default"/>
                            <w:sz w:val="16"/>
                            <w:szCs w:val="16"/>
                          </w:rPr>
                        </w:pPr>
                        <w:r>
                          <w:rPr>
                            <w:rFonts w:ascii="宋体" w:hAnsi="宋体" w:cs="宋体" w:eastAsia="宋体" w:hint="default"/>
                            <w:sz w:val="16"/>
                            <w:szCs w:val="16"/>
                          </w:rPr>
                          <w:t>起始年度及有效期</w:t>
                        </w:r>
                      </w:p>
                    </w:tc>
                  </w:tr>
                  <w:tr>
                    <w:trPr>
                      <w:trHeight w:val="390" w:hRule="exact"/>
                    </w:trPr>
                    <w:tc>
                      <w:tcPr>
                        <w:tcW w:w="3912"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sz w:val="16"/>
                            <w:szCs w:val="16"/>
                          </w:rPr>
                          <w:t>联通系统集成有限公司（“系统集成公司”）</w:t>
                        </w:r>
                      </w:p>
                    </w:tc>
                    <w:tc>
                      <w:tcPr>
                        <w:tcW w:w="1304"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0"/>
                          <w:jc w:val="center"/>
                          <w:rPr>
                            <w:rFonts w:ascii="宋体" w:hAnsi="宋体" w:cs="宋体" w:eastAsia="宋体" w:hint="default"/>
                            <w:sz w:val="16"/>
                            <w:szCs w:val="16"/>
                          </w:rPr>
                        </w:pPr>
                        <w:r>
                          <w:rPr>
                            <w:rFonts w:ascii="宋体"/>
                            <w:w w:val="140"/>
                            <w:sz w:val="16"/>
                          </w:rPr>
                          <w:t>15%</w:t>
                        </w:r>
                        <w:r>
                          <w:rPr>
                            <w:rFonts w:ascii="宋体"/>
                            <w:sz w:val="16"/>
                          </w:rPr>
                        </w:r>
                      </w:p>
                    </w:tc>
                    <w:tc>
                      <w:tcPr>
                        <w:tcW w:w="125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92"/>
                          <w:ind w:right="0"/>
                          <w:jc w:val="center"/>
                          <w:rPr>
                            <w:rFonts w:ascii="宋体" w:hAnsi="宋体" w:cs="宋体" w:eastAsia="宋体" w:hint="default"/>
                            <w:sz w:val="16"/>
                            <w:szCs w:val="16"/>
                          </w:rPr>
                        </w:pPr>
                        <w:r>
                          <w:rPr>
                            <w:rFonts w:ascii="宋体"/>
                            <w:w w:val="140"/>
                            <w:sz w:val="16"/>
                          </w:rPr>
                          <w:t>15%</w:t>
                        </w:r>
                        <w:r>
                          <w:rPr>
                            <w:rFonts w:ascii="宋体"/>
                            <w:sz w:val="16"/>
                          </w:rPr>
                        </w:r>
                      </w:p>
                    </w:tc>
                    <w:tc>
                      <w:tcPr>
                        <w:tcW w:w="2823"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年，有效期三年</w:t>
                        </w:r>
                      </w:p>
                    </w:tc>
                  </w:tr>
                  <w:tr>
                    <w:trPr>
                      <w:trHeight w:val="273" w:hRule="exact"/>
                    </w:trPr>
                    <w:tc>
                      <w:tcPr>
                        <w:tcW w:w="391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联通在线信息科技有限公司（“联通在线”）</w:t>
                        </w:r>
                      </w:p>
                    </w:tc>
                    <w:tc>
                      <w:tcPr>
                        <w:tcW w:w="1304" w:type="dxa"/>
                        <w:tcBorders>
                          <w:top w:val="nil" w:sz="6" w:space="0" w:color="auto"/>
                          <w:left w:val="nil" w:sz="6" w:space="0" w:color="auto"/>
                          <w:bottom w:val="nil" w:sz="6" w:space="0" w:color="auto"/>
                          <w:right w:val="nil" w:sz="6" w:space="0" w:color="auto"/>
                        </w:tcBorders>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125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282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年，有效期三年</w:t>
                        </w:r>
                      </w:p>
                    </w:tc>
                  </w:tr>
                  <w:tr>
                    <w:trPr>
                      <w:trHeight w:val="273" w:hRule="exact"/>
                    </w:trPr>
                    <w:tc>
                      <w:tcPr>
                        <w:tcW w:w="391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北京电信规划设计院有限公司（“规划设计院”）</w:t>
                        </w:r>
                      </w:p>
                    </w:tc>
                    <w:tc>
                      <w:tcPr>
                        <w:tcW w:w="1304" w:type="dxa"/>
                        <w:tcBorders>
                          <w:top w:val="nil" w:sz="6" w:space="0" w:color="auto"/>
                          <w:left w:val="nil" w:sz="6" w:space="0" w:color="auto"/>
                          <w:bottom w:val="nil" w:sz="6" w:space="0" w:color="auto"/>
                          <w:right w:val="nil" w:sz="6" w:space="0" w:color="auto"/>
                        </w:tcBorders>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125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282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年，有效期三年</w:t>
                        </w:r>
                      </w:p>
                    </w:tc>
                  </w:tr>
                  <w:tr>
                    <w:trPr>
                      <w:trHeight w:val="273" w:hRule="exact"/>
                    </w:trPr>
                    <w:tc>
                      <w:tcPr>
                        <w:tcW w:w="391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联通信息导航有限公司（“联通信息导航”）</w:t>
                        </w:r>
                      </w:p>
                    </w:tc>
                    <w:tc>
                      <w:tcPr>
                        <w:tcW w:w="1304" w:type="dxa"/>
                        <w:tcBorders>
                          <w:top w:val="nil" w:sz="6" w:space="0" w:color="auto"/>
                          <w:left w:val="nil" w:sz="6" w:space="0" w:color="auto"/>
                          <w:bottom w:val="nil" w:sz="6" w:space="0" w:color="auto"/>
                          <w:right w:val="nil" w:sz="6" w:space="0" w:color="auto"/>
                        </w:tcBorders>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125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282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2016</w:t>
                        </w:r>
                        <w:r>
                          <w:rPr>
                            <w:rFonts w:ascii="宋体" w:hAnsi="宋体" w:cs="宋体" w:eastAsia="宋体" w:hint="default"/>
                            <w:spacing w:val="-6"/>
                            <w:sz w:val="16"/>
                            <w:szCs w:val="16"/>
                          </w:rPr>
                          <w:t> </w:t>
                        </w:r>
                        <w:r>
                          <w:rPr>
                            <w:rFonts w:ascii="宋体" w:hAnsi="宋体" w:cs="宋体" w:eastAsia="宋体" w:hint="default"/>
                            <w:sz w:val="16"/>
                            <w:szCs w:val="16"/>
                          </w:rPr>
                          <w:t>年，有效期三年</w:t>
                        </w:r>
                      </w:p>
                    </w:tc>
                  </w:tr>
                  <w:tr>
                    <w:trPr>
                      <w:trHeight w:val="273" w:hRule="exact"/>
                    </w:trPr>
                    <w:tc>
                      <w:tcPr>
                        <w:tcW w:w="391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中讯邮电咨询设计院有限公司（“中讯设计院”）</w:t>
                        </w:r>
                      </w:p>
                    </w:tc>
                    <w:tc>
                      <w:tcPr>
                        <w:tcW w:w="1304" w:type="dxa"/>
                        <w:tcBorders>
                          <w:top w:val="nil" w:sz="6" w:space="0" w:color="auto"/>
                          <w:left w:val="nil" w:sz="6" w:space="0" w:color="auto"/>
                          <w:bottom w:val="nil" w:sz="6" w:space="0" w:color="auto"/>
                          <w:right w:val="nil" w:sz="6" w:space="0" w:color="auto"/>
                        </w:tcBorders>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125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282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2016</w:t>
                        </w:r>
                        <w:r>
                          <w:rPr>
                            <w:rFonts w:ascii="宋体" w:hAnsi="宋体" w:cs="宋体" w:eastAsia="宋体" w:hint="default"/>
                            <w:spacing w:val="-6"/>
                            <w:sz w:val="16"/>
                            <w:szCs w:val="16"/>
                          </w:rPr>
                          <w:t> </w:t>
                        </w:r>
                        <w:r>
                          <w:rPr>
                            <w:rFonts w:ascii="宋体" w:hAnsi="宋体" w:cs="宋体" w:eastAsia="宋体" w:hint="default"/>
                            <w:sz w:val="16"/>
                            <w:szCs w:val="16"/>
                          </w:rPr>
                          <w:t>年，有效期三年</w:t>
                        </w:r>
                      </w:p>
                    </w:tc>
                  </w:tr>
                  <w:tr>
                    <w:trPr>
                      <w:trHeight w:val="273" w:hRule="exact"/>
                    </w:trPr>
                    <w:tc>
                      <w:tcPr>
                        <w:tcW w:w="391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联通支付有限公司（“联通支付”）</w:t>
                        </w:r>
                      </w:p>
                    </w:tc>
                    <w:tc>
                      <w:tcPr>
                        <w:tcW w:w="1304" w:type="dxa"/>
                        <w:tcBorders>
                          <w:top w:val="nil" w:sz="6" w:space="0" w:color="auto"/>
                          <w:left w:val="nil" w:sz="6" w:space="0" w:color="auto"/>
                          <w:bottom w:val="nil" w:sz="6" w:space="0" w:color="auto"/>
                          <w:right w:val="nil" w:sz="6" w:space="0" w:color="auto"/>
                        </w:tcBorders>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125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282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2016</w:t>
                        </w:r>
                        <w:r>
                          <w:rPr>
                            <w:rFonts w:ascii="宋体" w:hAnsi="宋体" w:cs="宋体" w:eastAsia="宋体" w:hint="default"/>
                            <w:spacing w:val="-6"/>
                            <w:sz w:val="16"/>
                            <w:szCs w:val="16"/>
                          </w:rPr>
                          <w:t> </w:t>
                        </w:r>
                        <w:r>
                          <w:rPr>
                            <w:rFonts w:ascii="宋体" w:hAnsi="宋体" w:cs="宋体" w:eastAsia="宋体" w:hint="default"/>
                            <w:sz w:val="16"/>
                            <w:szCs w:val="16"/>
                          </w:rPr>
                          <w:t>年，有效期三年</w:t>
                        </w:r>
                      </w:p>
                    </w:tc>
                  </w:tr>
                  <w:tr>
                    <w:trPr>
                      <w:trHeight w:val="338" w:hRule="exact"/>
                    </w:trPr>
                    <w:tc>
                      <w:tcPr>
                        <w:tcW w:w="3912"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联通智网科技有限公司（“智网科技”）</w:t>
                        </w:r>
                      </w:p>
                    </w:tc>
                    <w:tc>
                      <w:tcPr>
                        <w:tcW w:w="1304" w:type="dxa"/>
                        <w:tcBorders>
                          <w:top w:val="nil" w:sz="6" w:space="0" w:color="auto"/>
                          <w:left w:val="nil" w:sz="6" w:space="0" w:color="auto"/>
                          <w:bottom w:val="single" w:sz="16" w:space="0" w:color="9F8958"/>
                          <w:right w:val="nil" w:sz="6" w:space="0" w:color="auto"/>
                        </w:tcBorders>
                      </w:tcPr>
                      <w:p>
                        <w:pPr>
                          <w:pStyle w:val="TableParagraph"/>
                          <w:spacing w:line="205" w:lineRule="exact"/>
                          <w:ind w:right="0"/>
                          <w:jc w:val="center"/>
                          <w:rPr>
                            <w:rFonts w:ascii="宋体" w:hAnsi="宋体" w:cs="宋体" w:eastAsia="宋体" w:hint="default"/>
                            <w:sz w:val="16"/>
                            <w:szCs w:val="16"/>
                          </w:rPr>
                        </w:pPr>
                        <w:r>
                          <w:rPr>
                            <w:rFonts w:ascii="宋体"/>
                            <w:w w:val="140"/>
                            <w:sz w:val="16"/>
                          </w:rPr>
                          <w:t>25%</w:t>
                        </w:r>
                        <w:r>
                          <w:rPr>
                            <w:rFonts w:ascii="宋体"/>
                            <w:sz w:val="16"/>
                          </w:rPr>
                        </w:r>
                      </w:p>
                    </w:tc>
                    <w:tc>
                      <w:tcPr>
                        <w:tcW w:w="125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0"/>
                          <w:jc w:val="center"/>
                          <w:rPr>
                            <w:rFonts w:ascii="宋体" w:hAnsi="宋体" w:cs="宋体" w:eastAsia="宋体" w:hint="default"/>
                            <w:sz w:val="16"/>
                            <w:szCs w:val="16"/>
                          </w:rPr>
                        </w:pPr>
                        <w:r>
                          <w:rPr>
                            <w:rFonts w:ascii="宋体"/>
                            <w:w w:val="140"/>
                            <w:sz w:val="16"/>
                          </w:rPr>
                          <w:t>15%</w:t>
                        </w:r>
                        <w:r>
                          <w:rPr>
                            <w:rFonts w:ascii="宋体"/>
                            <w:sz w:val="16"/>
                          </w:rPr>
                        </w:r>
                      </w:p>
                    </w:tc>
                    <w:tc>
                      <w:tcPr>
                        <w:tcW w:w="2823"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年，有效期三年</w:t>
                        </w:r>
                      </w:p>
                    </w:tc>
                  </w:tr>
                </w:tbl>
                <w:p>
                  <w:pPr/>
                </w:p>
              </w:txbxContent>
            </v:textbox>
            <w10:wrap type="none"/>
          </v:shape>
        </w:pict>
      </w:r>
      <w:r>
        <w:rPr>
          <w:rFonts w:ascii="宋体" w:hAnsi="宋体" w:cs="宋体" w:eastAsia="宋体" w:hint="default"/>
          <w:sz w:val="16"/>
          <w:szCs w:val="16"/>
        </w:rPr>
        <w:t>子公司名称</w:t>
      </w:r>
    </w:p>
    <w:p>
      <w:pPr>
        <w:tabs>
          <w:tab w:pos="3438" w:val="left" w:leader="none"/>
        </w:tabs>
        <w:spacing w:before="90"/>
        <w:ind w:left="567" w:right="0" w:firstLine="0"/>
        <w:jc w:val="left"/>
        <w:rPr>
          <w:rFonts w:ascii="宋体" w:hAnsi="宋体" w:cs="宋体" w:eastAsia="宋体" w:hint="default"/>
          <w:sz w:val="16"/>
          <w:szCs w:val="16"/>
        </w:rPr>
      </w:pPr>
      <w:r>
        <w:rPr/>
        <w:br w:type="column"/>
      </w:r>
      <w:r>
        <w:rPr>
          <w:rFonts w:ascii="宋体" w:hAnsi="宋体" w:cs="宋体" w:eastAsia="宋体" w:hint="default"/>
          <w:position w:val="10"/>
          <w:sz w:val="16"/>
          <w:szCs w:val="16"/>
        </w:rPr>
        <w:t>税率</w:t>
        <w:tab/>
      </w:r>
      <w:r>
        <w:rPr>
          <w:rFonts w:ascii="宋体" w:hAnsi="宋体" w:cs="宋体" w:eastAsia="宋体" w:hint="default"/>
          <w:sz w:val="16"/>
          <w:szCs w:val="16"/>
        </w:rPr>
        <w:t>高新技术企业证书</w:t>
      </w:r>
    </w:p>
    <w:p>
      <w:pPr>
        <w:spacing w:after="0"/>
        <w:jc w:val="left"/>
        <w:rPr>
          <w:rFonts w:ascii="宋体" w:hAnsi="宋体" w:cs="宋体" w:eastAsia="宋体" w:hint="default"/>
          <w:sz w:val="16"/>
          <w:szCs w:val="16"/>
        </w:rPr>
        <w:sectPr>
          <w:type w:val="continuous"/>
          <w:pgSz w:w="11910" w:h="16160"/>
          <w:pgMar w:top="1520" w:bottom="280" w:left="1360" w:right="640"/>
          <w:cols w:num="2" w:equalWidth="0">
            <w:col w:w="1368" w:space="3552"/>
            <w:col w:w="4990"/>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7"/>
          <w:szCs w:val="27"/>
        </w:rPr>
      </w:pPr>
    </w:p>
    <w:p>
      <w:pPr>
        <w:pStyle w:val="BodyText"/>
        <w:spacing w:line="240" w:lineRule="auto" w:before="31"/>
        <w:ind w:right="0"/>
        <w:jc w:val="both"/>
      </w:pPr>
      <w:r>
        <w:rPr/>
        <w:t>注释：</w:t>
      </w:r>
    </w:p>
    <w:p>
      <w:pPr>
        <w:spacing w:line="240" w:lineRule="auto" w:before="5"/>
        <w:rPr>
          <w:rFonts w:ascii="宋体" w:hAnsi="宋体" w:cs="宋体" w:eastAsia="宋体" w:hint="default"/>
          <w:sz w:val="16"/>
          <w:szCs w:val="16"/>
        </w:rPr>
      </w:pPr>
    </w:p>
    <w:p>
      <w:pPr>
        <w:pStyle w:val="BodyText"/>
        <w:spacing w:line="285" w:lineRule="auto"/>
        <w:ind w:right="154"/>
        <w:jc w:val="both"/>
      </w:pPr>
      <w:r>
        <w:rPr/>
        <w:t>联通运营公司子公司小沃科技有限公司（“小沃科技”）2015</w:t>
      </w:r>
      <w:r>
        <w:rPr>
          <w:spacing w:val="-26"/>
        </w:rPr>
        <w:t> </w:t>
      </w:r>
      <w:r>
        <w:rPr/>
        <w:t>年获得境内新办软件生产企业认定，自获利年度起，第</w:t>
      </w:r>
      <w:r>
        <w:rPr>
          <w:spacing w:val="-73"/>
        </w:rPr>
        <w:t> </w:t>
      </w:r>
      <w:r>
        <w:rPr>
          <w:spacing w:val="-73"/>
        </w:rPr>
      </w:r>
      <w:r>
        <w:rPr/>
        <w:t>一年和第二年免征企业所得税，第三年至第五年减半征收企业所得税。</w:t>
      </w:r>
    </w:p>
    <w:p>
      <w:pPr>
        <w:spacing w:line="240" w:lineRule="auto" w:before="10"/>
        <w:rPr>
          <w:rFonts w:ascii="宋体" w:hAnsi="宋体" w:cs="宋体" w:eastAsia="宋体" w:hint="default"/>
          <w:sz w:val="13"/>
          <w:szCs w:val="13"/>
        </w:rPr>
      </w:pPr>
    </w:p>
    <w:p>
      <w:pPr>
        <w:pStyle w:val="BodyText"/>
        <w:spacing w:line="240" w:lineRule="auto"/>
        <w:ind w:right="0"/>
        <w:jc w:val="both"/>
      </w:pPr>
      <w:r>
        <w:rPr/>
        <w:t>此外，联通运营公司个别子公司符合小型微利企业所得税优惠的条件，按 20%</w:t>
      </w:r>
      <w:r>
        <w:rPr>
          <w:spacing w:val="18"/>
        </w:rPr>
        <w:t> </w:t>
      </w:r>
      <w:r>
        <w:rPr/>
        <w:t>的税率缴纳企业所得税。</w:t>
      </w:r>
    </w:p>
    <w:p>
      <w:pPr>
        <w:spacing w:line="240" w:lineRule="auto" w:before="5"/>
        <w:rPr>
          <w:rFonts w:ascii="宋体" w:hAnsi="宋体" w:cs="宋体" w:eastAsia="宋体" w:hint="default"/>
          <w:sz w:val="16"/>
          <w:szCs w:val="16"/>
        </w:rPr>
      </w:pPr>
    </w:p>
    <w:p>
      <w:pPr>
        <w:pStyle w:val="BodyText"/>
        <w:spacing w:line="458" w:lineRule="auto"/>
        <w:ind w:left="113" w:right="3574" w:firstLine="340"/>
        <w:jc w:val="left"/>
      </w:pPr>
      <w:r>
        <w:rPr/>
        <w:t>联通运营公司所属其余子公司根据所得税法均适用 25%</w:t>
      </w:r>
      <w:r>
        <w:rPr>
          <w:spacing w:val="8"/>
        </w:rPr>
        <w:t> </w:t>
      </w:r>
      <w:r>
        <w:rPr/>
        <w:t>的企业所得税率。</w:t>
      </w:r>
      <w:r>
        <w:rPr/>
        <w:t> (d)</w:t>
      </w:r>
      <w:r>
        <w:rPr>
          <w:spacing w:val="-21"/>
        </w:rPr>
        <w:t> </w:t>
      </w:r>
      <w:r>
        <w:rPr/>
        <w:t>本集团所属境外子公司所得税</w:t>
      </w:r>
    </w:p>
    <w:p>
      <w:pPr>
        <w:pStyle w:val="BodyText"/>
        <w:spacing w:line="285" w:lineRule="auto" w:before="71"/>
        <w:ind w:right="146"/>
        <w:jc w:val="both"/>
      </w:pPr>
      <w:r>
        <w:rPr/>
        <w:t>根据国务院为所得税法发布的《中华人民共和国企业所得税法实施条例》（“实施条例”）、财政部及国家税务总局</w:t>
      </w:r>
      <w:r>
        <w:rPr>
          <w:spacing w:val="-1"/>
        </w:rPr>
        <w:t> </w:t>
      </w:r>
      <w:r>
        <w:rPr>
          <w:spacing w:val="-1"/>
        </w:rPr>
      </w:r>
      <w:r>
        <w:rPr>
          <w:spacing w:val="1"/>
        </w:rPr>
        <w:t>共同发布的《关于企业所得税若干优惠政策的通知》（财税</w:t>
      </w:r>
      <w:r>
        <w:rPr>
          <w:spacing w:val="-42"/>
        </w:rPr>
        <w:t> </w:t>
      </w:r>
      <w:r>
        <w:rPr>
          <w:spacing w:val="-1"/>
          <w:w w:val="95"/>
        </w:rPr>
        <w:t>[2008]1</w:t>
      </w:r>
      <w:r>
        <w:rPr>
          <w:spacing w:val="-37"/>
          <w:w w:val="95"/>
        </w:rPr>
        <w:t> </w:t>
      </w:r>
      <w:r>
        <w:rPr>
          <w:spacing w:val="1"/>
        </w:rPr>
        <w:t>号）以及根据国家税务总局</w:t>
      </w:r>
      <w:r>
        <w:rPr>
          <w:spacing w:val="-42"/>
        </w:rPr>
        <w:t> </w:t>
      </w:r>
      <w:r>
        <w:rPr>
          <w:spacing w:val="-1"/>
          <w:w w:val="111"/>
        </w:rPr>
        <w:t>2009</w:t>
      </w:r>
      <w:r>
        <w:rPr>
          <w:spacing w:val="-52"/>
          <w:w w:val="111"/>
        </w:rPr>
        <w:t> </w:t>
      </w:r>
      <w:r>
        <w:rPr/>
        <w:t>年</w:t>
      </w:r>
      <w:r>
        <w:rPr>
          <w:spacing w:val="-42"/>
        </w:rPr>
        <w:t> </w:t>
      </w:r>
      <w:r>
        <w:rPr>
          <w:w w:val="111"/>
        </w:rPr>
        <w:t>4</w:t>
      </w:r>
      <w:r>
        <w:rPr>
          <w:spacing w:val="-52"/>
          <w:w w:val="111"/>
        </w:rPr>
        <w:t> </w:t>
      </w:r>
      <w:r>
        <w:rPr/>
        <w:t>月</w:t>
      </w:r>
      <w:r>
        <w:rPr>
          <w:spacing w:val="-42"/>
        </w:rPr>
        <w:t> </w:t>
      </w:r>
      <w:r>
        <w:rPr>
          <w:spacing w:val="-1"/>
          <w:w w:val="111"/>
        </w:rPr>
        <w:t>22</w:t>
      </w:r>
      <w:r>
        <w:rPr>
          <w:spacing w:val="-52"/>
          <w:w w:val="111"/>
        </w:rPr>
        <w:t> </w:t>
      </w:r>
      <w:r>
        <w:rPr>
          <w:spacing w:val="2"/>
        </w:rPr>
        <w:t>日发</w:t>
      </w:r>
      <w:r>
        <w:rPr>
          <w:spacing w:val="-88"/>
        </w:rPr>
        <w:t> </w:t>
      </w:r>
      <w:r>
        <w:rPr>
          <w:spacing w:val="-88"/>
        </w:rPr>
      </w:r>
      <w:r>
        <w:rPr>
          <w:spacing w:val="-2"/>
        </w:rPr>
        <w:t>布的《关于境外注册中资控股企业依据实际管理机构标准认定为居民企业有关问题的通知》等，经主管税务机关批准，</w:t>
      </w:r>
      <w:r>
        <w:rPr>
          <w:spacing w:val="-49"/>
        </w:rPr>
        <w:t> </w:t>
      </w:r>
      <w:r>
        <w:rPr>
          <w:spacing w:val="-49"/>
        </w:rPr>
      </w:r>
      <w:r>
        <w:rPr/>
        <w:t>本集团的联通红筹公司及联通</w:t>
      </w:r>
      <w:r>
        <w:rPr>
          <w:spacing w:val="-37"/>
        </w:rPr>
        <w:t> </w:t>
      </w:r>
      <w:r>
        <w:rPr/>
        <w:t>BVI</w:t>
      </w:r>
      <w:r>
        <w:rPr>
          <w:spacing w:val="-37"/>
        </w:rPr>
        <w:t> </w:t>
      </w:r>
      <w:r>
        <w:rPr/>
        <w:t>公司从</w:t>
      </w:r>
      <w:r>
        <w:rPr>
          <w:spacing w:val="-37"/>
        </w:rPr>
        <w:t> </w:t>
      </w:r>
      <w:r>
        <w:rPr/>
        <w:t>2008</w:t>
      </w:r>
      <w:r>
        <w:rPr>
          <w:spacing w:val="-38"/>
        </w:rPr>
        <w:t> </w:t>
      </w:r>
      <w:r>
        <w:rPr/>
        <w:t>年</w:t>
      </w:r>
      <w:r>
        <w:rPr>
          <w:spacing w:val="-37"/>
        </w:rPr>
        <w:t> </w:t>
      </w:r>
      <w:r>
        <w:rPr/>
        <w:t>1</w:t>
      </w:r>
      <w:r>
        <w:rPr>
          <w:spacing w:val="-38"/>
        </w:rPr>
        <w:t> </w:t>
      </w:r>
      <w:r>
        <w:rPr/>
        <w:t>月</w:t>
      </w:r>
      <w:r>
        <w:rPr>
          <w:spacing w:val="-37"/>
        </w:rPr>
        <w:t> </w:t>
      </w:r>
      <w:r>
        <w:rPr/>
        <w:t>1</w:t>
      </w:r>
      <w:r>
        <w:rPr>
          <w:spacing w:val="-38"/>
        </w:rPr>
        <w:t> </w:t>
      </w:r>
      <w:r>
        <w:rPr/>
        <w:t>日起被认定为中国居民企业并适用所得税法的相关规定。</w:t>
      </w:r>
    </w:p>
    <w:p>
      <w:pPr>
        <w:spacing w:line="240" w:lineRule="auto" w:before="10"/>
        <w:rPr>
          <w:rFonts w:ascii="宋体" w:hAnsi="宋体" w:cs="宋体" w:eastAsia="宋体" w:hint="default"/>
          <w:sz w:val="13"/>
          <w:szCs w:val="13"/>
        </w:rPr>
      </w:pPr>
    </w:p>
    <w:p>
      <w:pPr>
        <w:pStyle w:val="BodyText"/>
        <w:spacing w:line="285" w:lineRule="auto"/>
        <w:ind w:right="146"/>
        <w:jc w:val="both"/>
      </w:pPr>
      <w:r>
        <w:rPr>
          <w:spacing w:val="2"/>
        </w:rPr>
        <w:t>除联通红筹公司及联</w:t>
      </w:r>
      <w:r>
        <w:rPr/>
        <w:t>通</w:t>
      </w:r>
      <w:r>
        <w:rPr>
          <w:spacing w:val="-45"/>
        </w:rPr>
        <w:t> </w:t>
      </w:r>
      <w:r>
        <w:rPr>
          <w:w w:val="132"/>
        </w:rPr>
        <w:t>B</w:t>
      </w:r>
      <w:r>
        <w:rPr>
          <w:w w:val="121"/>
        </w:rPr>
        <w:t>V</w:t>
      </w:r>
      <w:r>
        <w:rPr>
          <w:w w:val="55"/>
        </w:rPr>
        <w:t>I</w:t>
      </w:r>
      <w:r>
        <w:rPr>
          <w:spacing w:val="-45"/>
        </w:rPr>
        <w:t> </w:t>
      </w:r>
      <w:r>
        <w:rPr>
          <w:spacing w:val="2"/>
        </w:rPr>
        <w:t>公司被认定为居民纳税人企业</w:t>
      </w:r>
      <w:r>
        <w:rPr/>
        <w:t>外</w:t>
      </w:r>
      <w:r>
        <w:rPr>
          <w:spacing w:val="2"/>
        </w:rPr>
        <w:t>，本集团所属境外子公</w:t>
      </w:r>
      <w:r>
        <w:rPr/>
        <w:t>司</w:t>
      </w:r>
      <w:r>
        <w:rPr>
          <w:spacing w:val="2"/>
        </w:rPr>
        <w:t>（请参见附注</w:t>
      </w:r>
      <w:r>
        <w:rPr>
          <w:spacing w:val="1"/>
        </w:rPr>
        <w:t>七</w:t>
      </w:r>
      <w:r>
        <w:rPr/>
        <w:t>）</w:t>
      </w:r>
      <w:r>
        <w:rPr>
          <w:spacing w:val="2"/>
        </w:rPr>
        <w:t>，其企业所得</w:t>
      </w:r>
      <w:r>
        <w:rPr>
          <w:spacing w:val="2"/>
        </w:rPr>
        <w:t> </w:t>
      </w:r>
      <w:r>
        <w:rPr>
          <w:spacing w:val="4"/>
        </w:rPr>
        <w:t>税按其在有关期间的应纳税所得额以及各公司所在国家或地区的企业所得税率计</w:t>
      </w:r>
      <w:r>
        <w:rPr/>
        <w:t>算</w:t>
      </w:r>
      <w:r>
        <w:rPr>
          <w:spacing w:val="4"/>
        </w:rPr>
        <w:t>，企业所得税率一般</w:t>
      </w:r>
      <w:r>
        <w:rPr/>
        <w:t>在</w:t>
      </w:r>
      <w:r>
        <w:rPr>
          <w:spacing w:val="-44"/>
        </w:rPr>
        <w:t> </w:t>
      </w:r>
      <w:r>
        <w:rPr>
          <w:spacing w:val="-1"/>
          <w:w w:val="111"/>
        </w:rPr>
        <w:t>16</w:t>
      </w:r>
      <w:r>
        <w:rPr>
          <w:w w:val="55"/>
        </w:rPr>
        <w:t>.</w:t>
      </w:r>
      <w:r>
        <w:rPr>
          <w:spacing w:val="-1"/>
          <w:w w:val="111"/>
        </w:rPr>
        <w:t>5</w:t>
      </w:r>
      <w:r>
        <w:rPr>
          <w:w w:val="200"/>
        </w:rPr>
        <w:t>%</w:t>
      </w:r>
      <w:r>
        <w:rPr>
          <w:spacing w:val="-44"/>
        </w:rPr>
        <w:t> </w:t>
      </w:r>
      <w:r>
        <w:rPr/>
        <w:t>至</w:t>
      </w:r>
    </w:p>
    <w:p>
      <w:pPr>
        <w:pStyle w:val="BodyText"/>
        <w:spacing w:line="240" w:lineRule="auto" w:before="10"/>
        <w:ind w:right="0"/>
        <w:jc w:val="both"/>
      </w:pPr>
      <w:r>
        <w:rPr>
          <w:w w:val="110"/>
        </w:rPr>
        <w:t>34.0%</w:t>
      </w:r>
      <w:r>
        <w:rPr>
          <w:spacing w:val="-75"/>
          <w:w w:val="110"/>
        </w:rPr>
        <w:t> </w:t>
      </w:r>
      <w:r>
        <w:rPr>
          <w:w w:val="110"/>
        </w:rPr>
        <w:t>之间。</w:t>
      </w:r>
    </w:p>
    <w:p>
      <w:pPr>
        <w:spacing w:after="0" w:line="240" w:lineRule="auto"/>
        <w:jc w:val="both"/>
        <w:sectPr>
          <w:type w:val="continuous"/>
          <w:pgSz w:w="11910" w:h="16160"/>
          <w:pgMar w:top="1520" w:bottom="2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0"/>
        <w:jc w:val="left"/>
        <w:rPr>
          <w:rFonts w:ascii="宋体" w:hAnsi="宋体" w:cs="宋体" w:eastAsia="宋体" w:hint="default"/>
        </w:rPr>
      </w:pPr>
      <w:r>
        <w:rPr>
          <w:rFonts w:ascii="宋体" w:hAnsi="宋体" w:cs="宋体" w:eastAsia="宋体" w:hint="default"/>
          <w:color w:val="9F8958"/>
        </w:rPr>
        <w:t>五、合并财务报表项目附注</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53" w:right="0"/>
        <w:jc w:val="left"/>
      </w:pPr>
      <w:r>
        <w:rPr/>
        <w:t>1、</w:t>
      </w:r>
      <w:r>
        <w:rPr>
          <w:spacing w:val="-21"/>
        </w:rPr>
        <w:t> </w:t>
      </w:r>
      <w:r>
        <w:rPr/>
        <w:t>货币资金</w:t>
      </w:r>
    </w:p>
    <w:p>
      <w:pPr>
        <w:spacing w:line="240" w:lineRule="auto" w:before="4"/>
        <w:rPr>
          <w:rFonts w:ascii="宋体" w:hAnsi="宋体" w:cs="宋体" w:eastAsia="宋体" w:hint="default"/>
          <w:sz w:val="17"/>
          <w:szCs w:val="17"/>
        </w:rPr>
      </w:pPr>
    </w:p>
    <w:tbl>
      <w:tblPr>
        <w:tblW w:w="0" w:type="auto"/>
        <w:jc w:val="left"/>
        <w:tblInd w:w="473" w:type="dxa"/>
        <w:tblLayout w:type="fixed"/>
        <w:tblCellMar>
          <w:top w:w="0" w:type="dxa"/>
          <w:left w:w="0" w:type="dxa"/>
          <w:bottom w:w="0" w:type="dxa"/>
          <w:right w:w="0" w:type="dxa"/>
        </w:tblCellMar>
        <w:tblLook w:val="01E0"/>
      </w:tblPr>
      <w:tblGrid>
        <w:gridCol w:w="3742"/>
        <w:gridCol w:w="2778"/>
        <w:gridCol w:w="2778"/>
      </w:tblGrid>
      <w:tr>
        <w:trPr>
          <w:trHeight w:val="417" w:hRule="exact"/>
        </w:trPr>
        <w:tc>
          <w:tcPr>
            <w:tcW w:w="3742" w:type="dxa"/>
            <w:tcBorders>
              <w:top w:val="nil" w:sz="6" w:space="0" w:color="auto"/>
              <w:left w:val="nil" w:sz="6" w:space="0" w:color="auto"/>
              <w:bottom w:val="single" w:sz="16" w:space="0" w:color="9F8958"/>
              <w:right w:val="nil" w:sz="6" w:space="0" w:color="auto"/>
            </w:tcBorders>
          </w:tcPr>
          <w:p>
            <w:pPr/>
          </w:p>
        </w:tc>
        <w:tc>
          <w:tcPr>
            <w:tcW w:w="277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45"/>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778" w:type="dxa"/>
            <w:tcBorders>
              <w:top w:val="nil" w:sz="6" w:space="0" w:color="auto"/>
              <w:left w:val="nil" w:sz="6" w:space="0" w:color="auto"/>
              <w:bottom w:val="single" w:sz="16" w:space="0" w:color="9F8958"/>
              <w:right w:val="nil" w:sz="6" w:space="0" w:color="auto"/>
            </w:tcBorders>
          </w:tcPr>
          <w:p>
            <w:pPr>
              <w:pStyle w:val="TableParagraph"/>
              <w:spacing w:line="240" w:lineRule="auto" w:before="45"/>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374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库存现金</w:t>
            </w:r>
          </w:p>
        </w:tc>
        <w:tc>
          <w:tcPr>
            <w:tcW w:w="277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522,543</w:t>
            </w:r>
          </w:p>
        </w:tc>
        <w:tc>
          <w:tcPr>
            <w:tcW w:w="277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3,495,936</w:t>
            </w:r>
            <w:r>
              <w:rPr>
                <w:rFonts w:ascii="宋体"/>
                <w:sz w:val="16"/>
              </w:rPr>
            </w:r>
          </w:p>
        </w:tc>
      </w:tr>
      <w:tr>
        <w:trPr>
          <w:trHeight w:val="273" w:hRule="exact"/>
        </w:trPr>
        <w:tc>
          <w:tcPr>
            <w:tcW w:w="374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33"/>
                <w:sz w:val="16"/>
                <w:szCs w:val="16"/>
              </w:rPr>
              <w:t> </w:t>
            </w:r>
            <w:r>
              <w:rPr>
                <w:rFonts w:ascii="宋体" w:hAnsi="宋体" w:cs="宋体" w:eastAsia="宋体" w:hint="default"/>
                <w:sz w:val="16"/>
                <w:szCs w:val="16"/>
              </w:rPr>
              <w:t>个月以下银行存款</w:t>
            </w:r>
          </w:p>
        </w:tc>
        <w:tc>
          <w:tcPr>
            <w:tcW w:w="277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29,706,736,530</w:t>
            </w:r>
            <w:r>
              <w:rPr>
                <w:rFonts w:ascii="宋体"/>
                <w:sz w:val="16"/>
              </w:rPr>
            </w:r>
          </w:p>
        </w:tc>
        <w:tc>
          <w:tcPr>
            <w:tcW w:w="277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32,586,982,299</w:t>
            </w:r>
            <w:r>
              <w:rPr>
                <w:rFonts w:ascii="宋体"/>
                <w:sz w:val="16"/>
              </w:rPr>
            </w:r>
          </w:p>
        </w:tc>
      </w:tr>
      <w:tr>
        <w:trPr>
          <w:trHeight w:val="331" w:hRule="exact"/>
        </w:trPr>
        <w:tc>
          <w:tcPr>
            <w:tcW w:w="3742"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其他货币资金</w:t>
            </w:r>
          </w:p>
        </w:tc>
        <w:tc>
          <w:tcPr>
            <w:tcW w:w="277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355,647,409</w:t>
            </w:r>
          </w:p>
        </w:tc>
        <w:tc>
          <w:tcPr>
            <w:tcW w:w="2778"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285,347,184</w:t>
            </w:r>
          </w:p>
        </w:tc>
      </w:tr>
      <w:tr>
        <w:trPr>
          <w:trHeight w:val="407" w:hRule="exact"/>
        </w:trPr>
        <w:tc>
          <w:tcPr>
            <w:tcW w:w="374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现金及现金等价物小计</w:t>
            </w:r>
          </w:p>
        </w:tc>
        <w:tc>
          <w:tcPr>
            <w:tcW w:w="2778"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30,062,906,482</w:t>
            </w:r>
            <w:r>
              <w:rPr>
                <w:rFonts w:ascii="宋体"/>
                <w:sz w:val="16"/>
              </w:rPr>
            </w:r>
          </w:p>
        </w:tc>
        <w:tc>
          <w:tcPr>
            <w:tcW w:w="2778"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32,875,825,419</w:t>
            </w:r>
            <w:r>
              <w:rPr>
                <w:rFonts w:ascii="宋体"/>
                <w:sz w:val="16"/>
              </w:rPr>
            </w:r>
          </w:p>
        </w:tc>
      </w:tr>
      <w:tr>
        <w:trPr>
          <w:trHeight w:val="407" w:hRule="exact"/>
        </w:trPr>
        <w:tc>
          <w:tcPr>
            <w:tcW w:w="374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33"/>
                <w:sz w:val="16"/>
                <w:szCs w:val="16"/>
              </w:rPr>
              <w:t> </w:t>
            </w:r>
            <w:r>
              <w:rPr>
                <w:rFonts w:ascii="宋体" w:hAnsi="宋体" w:cs="宋体" w:eastAsia="宋体" w:hint="default"/>
                <w:sz w:val="16"/>
                <w:szCs w:val="16"/>
              </w:rPr>
              <w:t>个月以上定期存款</w:t>
            </w:r>
          </w:p>
        </w:tc>
        <w:tc>
          <w:tcPr>
            <w:tcW w:w="2778"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34,022,050</w:t>
            </w:r>
            <w:r>
              <w:rPr>
                <w:rFonts w:ascii="宋体"/>
                <w:sz w:val="16"/>
              </w:rPr>
            </w:r>
          </w:p>
        </w:tc>
        <w:tc>
          <w:tcPr>
            <w:tcW w:w="2778"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3,124,172,706</w:t>
            </w:r>
            <w:r>
              <w:rPr>
                <w:rFonts w:ascii="宋体"/>
                <w:sz w:val="16"/>
              </w:rPr>
            </w:r>
          </w:p>
        </w:tc>
      </w:tr>
      <w:tr>
        <w:trPr>
          <w:trHeight w:val="407" w:hRule="exact"/>
        </w:trPr>
        <w:tc>
          <w:tcPr>
            <w:tcW w:w="374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受到限制的银行存款</w:t>
            </w:r>
          </w:p>
        </w:tc>
        <w:tc>
          <w:tcPr>
            <w:tcW w:w="2778"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3,686,423,502</w:t>
            </w:r>
            <w:r>
              <w:rPr>
                <w:rFonts w:ascii="宋体"/>
                <w:sz w:val="16"/>
              </w:rPr>
            </w:r>
          </w:p>
        </w:tc>
        <w:tc>
          <w:tcPr>
            <w:tcW w:w="2778"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2,402,167,687</w:t>
            </w:r>
            <w:r>
              <w:rPr>
                <w:rFonts w:ascii="宋体"/>
                <w:sz w:val="16"/>
              </w:rPr>
            </w:r>
          </w:p>
        </w:tc>
      </w:tr>
      <w:tr>
        <w:trPr>
          <w:trHeight w:val="407" w:hRule="exact"/>
        </w:trPr>
        <w:tc>
          <w:tcPr>
            <w:tcW w:w="374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778"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33,783,352,034</w:t>
            </w:r>
            <w:r>
              <w:rPr>
                <w:rFonts w:ascii="宋体"/>
                <w:sz w:val="16"/>
              </w:rPr>
            </w:r>
          </w:p>
        </w:tc>
        <w:tc>
          <w:tcPr>
            <w:tcW w:w="2778"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38,402,165,812</w:t>
            </w:r>
            <w:r>
              <w:rPr>
                <w:rFonts w:ascii="宋体"/>
                <w:sz w:val="16"/>
              </w:rPr>
            </w:r>
          </w:p>
        </w:tc>
      </w:tr>
      <w:tr>
        <w:trPr>
          <w:trHeight w:val="414" w:hRule="exact"/>
        </w:trPr>
        <w:tc>
          <w:tcPr>
            <w:tcW w:w="37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其中：存放在境外的款项总额</w:t>
            </w:r>
          </w:p>
        </w:tc>
        <w:tc>
          <w:tcPr>
            <w:tcW w:w="277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2,062,259,579</w:t>
            </w:r>
            <w:r>
              <w:rPr>
                <w:rFonts w:ascii="宋体"/>
                <w:sz w:val="16"/>
              </w:rPr>
            </w:r>
          </w:p>
        </w:tc>
        <w:tc>
          <w:tcPr>
            <w:tcW w:w="277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4,704,741,156</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493" w:right="0"/>
        <w:jc w:val="left"/>
      </w:pPr>
      <w:r>
        <w:rPr/>
        <w:t>于</w:t>
      </w:r>
      <w:r>
        <w:rPr>
          <w:spacing w:val="-40"/>
        </w:rPr>
        <w:t> </w:t>
      </w:r>
      <w:r>
        <w:rPr/>
        <w:t>2018</w:t>
      </w:r>
      <w:r>
        <w:rPr>
          <w:spacing w:val="-40"/>
        </w:rPr>
        <w:t> </w:t>
      </w:r>
      <w:r>
        <w:rPr/>
        <w:t>年</w:t>
      </w:r>
      <w:r>
        <w:rPr>
          <w:spacing w:val="-40"/>
        </w:rPr>
        <w:t> </w:t>
      </w:r>
      <w:r>
        <w:rPr/>
        <w:t>12</w:t>
      </w:r>
      <w:r>
        <w:rPr>
          <w:spacing w:val="-40"/>
        </w:rPr>
        <w:t> </w:t>
      </w:r>
      <w:r>
        <w:rPr/>
        <w:t>月</w:t>
      </w:r>
      <w:r>
        <w:rPr>
          <w:spacing w:val="-40"/>
        </w:rPr>
        <w:t> </w:t>
      </w:r>
      <w:r>
        <w:rPr/>
        <w:t>31</w:t>
      </w:r>
      <w:r>
        <w:rPr>
          <w:spacing w:val="-40"/>
        </w:rPr>
        <w:t> </w:t>
      </w:r>
      <w:r>
        <w:rPr/>
        <w:t>日，本集团受限制的银行存款约人民币</w:t>
      </w:r>
      <w:r>
        <w:rPr>
          <w:spacing w:val="-40"/>
        </w:rPr>
        <w:t> </w:t>
      </w:r>
      <w:r>
        <w:rPr/>
        <w:t>36.86</w:t>
      </w:r>
      <w:r>
        <w:rPr>
          <w:spacing w:val="-40"/>
        </w:rPr>
        <w:t> </w:t>
      </w:r>
      <w:r>
        <w:rPr/>
        <w:t>亿元（2017</w:t>
      </w:r>
      <w:r>
        <w:rPr>
          <w:spacing w:val="-40"/>
        </w:rPr>
        <w:t> </w:t>
      </w:r>
      <w:r>
        <w:rPr/>
        <w:t>年</w:t>
      </w:r>
      <w:r>
        <w:rPr>
          <w:spacing w:val="-40"/>
        </w:rPr>
        <w:t> </w:t>
      </w:r>
      <w:r>
        <w:rPr/>
        <w:t>12</w:t>
      </w:r>
      <w:r>
        <w:rPr>
          <w:spacing w:val="-40"/>
        </w:rPr>
        <w:t> </w:t>
      </w:r>
      <w:r>
        <w:rPr/>
        <w:t>月</w:t>
      </w:r>
      <w:r>
        <w:rPr>
          <w:spacing w:val="-40"/>
        </w:rPr>
        <w:t> </w:t>
      </w:r>
      <w:r>
        <w:rPr/>
        <w:t>31</w:t>
      </w:r>
      <w:r>
        <w:rPr>
          <w:spacing w:val="-40"/>
        </w:rPr>
        <w:t> </w:t>
      </w:r>
      <w:r>
        <w:rPr/>
        <w:t>日：约人民币</w:t>
      </w:r>
      <w:r>
        <w:rPr>
          <w:spacing w:val="-40"/>
        </w:rPr>
        <w:t> </w:t>
      </w:r>
      <w:r>
        <w:rPr/>
        <w:t>24.02</w:t>
      </w:r>
      <w:r>
        <w:rPr>
          <w:spacing w:val="-40"/>
        </w:rPr>
        <w:t> </w:t>
      </w:r>
      <w:r>
        <w:rPr>
          <w:spacing w:val="-3"/>
        </w:rPr>
        <w:t>亿元），</w:t>
      </w:r>
    </w:p>
    <w:p>
      <w:pPr>
        <w:pStyle w:val="BodyText"/>
        <w:spacing w:line="240" w:lineRule="auto" w:before="44"/>
        <w:ind w:left="493" w:right="0"/>
        <w:jc w:val="left"/>
      </w:pPr>
      <w:r>
        <w:rPr>
          <w:spacing w:val="2"/>
        </w:rPr>
        <w:t>主要包括本集团子公司联通集团财务有限公</w:t>
      </w:r>
      <w:r>
        <w:rPr/>
        <w:t>司（</w:t>
      </w:r>
      <w:r>
        <w:rPr>
          <w:spacing w:val="2"/>
        </w:rPr>
        <w:t>“财务公</w:t>
      </w:r>
      <w:r>
        <w:rPr>
          <w:spacing w:val="1"/>
        </w:rPr>
        <w:t>司</w:t>
      </w:r>
      <w:r>
        <w:rPr/>
        <w:t>”</w:t>
      </w:r>
      <w:r>
        <w:rPr>
          <w:spacing w:val="2"/>
        </w:rPr>
        <w:t>）存放中央银行法定准备金约人民</w:t>
      </w:r>
      <w:r>
        <w:rPr/>
        <w:t>币</w:t>
      </w:r>
      <w:r>
        <w:rPr>
          <w:spacing w:val="-45"/>
        </w:rPr>
        <w:t> </w:t>
      </w:r>
      <w:r>
        <w:rPr>
          <w:spacing w:val="-1"/>
          <w:w w:val="111"/>
        </w:rPr>
        <w:t>28</w:t>
      </w:r>
      <w:r>
        <w:rPr>
          <w:w w:val="55"/>
        </w:rPr>
        <w:t>.</w:t>
      </w:r>
      <w:r>
        <w:rPr>
          <w:spacing w:val="-1"/>
          <w:w w:val="111"/>
        </w:rPr>
        <w:t>7</w:t>
      </w:r>
      <w:r>
        <w:rPr>
          <w:w w:val="111"/>
        </w:rPr>
        <w:t>7</w:t>
      </w:r>
      <w:r>
        <w:rPr>
          <w:spacing w:val="-45"/>
        </w:rPr>
        <w:t> </w:t>
      </w:r>
      <w:r>
        <w:rPr>
          <w:spacing w:val="2"/>
        </w:rPr>
        <w:t>亿</w:t>
      </w:r>
      <w:r>
        <w:rPr/>
        <w:t>元</w:t>
      </w:r>
      <w:r>
        <w:rPr>
          <w:spacing w:val="2"/>
        </w:rPr>
        <w:t>、支付</w:t>
      </w:r>
      <w:r>
        <w:rPr/>
      </w:r>
    </w:p>
    <w:p>
      <w:pPr>
        <w:pStyle w:val="BodyText"/>
        <w:spacing w:line="240" w:lineRule="auto" w:before="44"/>
        <w:ind w:left="493" w:right="0"/>
        <w:jc w:val="left"/>
      </w:pPr>
      <w:r>
        <w:rPr/>
        <w:t>公司提供支付业务收取的用户备付金人民币</w:t>
      </w:r>
      <w:r>
        <w:rPr>
          <w:spacing w:val="-51"/>
        </w:rPr>
        <w:t> </w:t>
      </w:r>
      <w:r>
        <w:rPr/>
        <w:t>7.59</w:t>
      </w:r>
      <w:r>
        <w:rPr>
          <w:spacing w:val="-52"/>
        </w:rPr>
        <w:t> </w:t>
      </w:r>
      <w:r>
        <w:rPr/>
        <w:t>亿元和个别子公司用于物业及工程的保证金。</w:t>
      </w:r>
    </w:p>
    <w:p>
      <w:pPr>
        <w:spacing w:line="240" w:lineRule="auto" w:before="5"/>
        <w:rPr>
          <w:rFonts w:ascii="宋体" w:hAnsi="宋体" w:cs="宋体" w:eastAsia="宋体" w:hint="default"/>
          <w:sz w:val="16"/>
          <w:szCs w:val="16"/>
        </w:rPr>
      </w:pPr>
    </w:p>
    <w:p>
      <w:pPr>
        <w:pStyle w:val="BodyText"/>
        <w:spacing w:line="240" w:lineRule="auto"/>
        <w:ind w:left="493" w:right="0"/>
        <w:jc w:val="left"/>
      </w:pPr>
      <w:r>
        <w:rPr>
          <w:w w:val="105"/>
        </w:rPr>
        <w:t>于</w:t>
      </w:r>
      <w:r>
        <w:rPr>
          <w:spacing w:val="-78"/>
          <w:w w:val="105"/>
        </w:rPr>
        <w:t> </w:t>
      </w:r>
      <w:r>
        <w:rPr>
          <w:w w:val="105"/>
        </w:rPr>
        <w:t>2018</w:t>
      </w:r>
      <w:r>
        <w:rPr>
          <w:spacing w:val="-78"/>
          <w:w w:val="105"/>
        </w:rPr>
        <w:t> </w:t>
      </w:r>
      <w:r>
        <w:rPr>
          <w:w w:val="105"/>
        </w:rPr>
        <w:t>年</w:t>
      </w:r>
      <w:r>
        <w:rPr>
          <w:spacing w:val="-78"/>
          <w:w w:val="105"/>
        </w:rPr>
        <w:t> </w:t>
      </w:r>
      <w:r>
        <w:rPr>
          <w:w w:val="105"/>
        </w:rPr>
        <w:t>12</w:t>
      </w:r>
      <w:r>
        <w:rPr>
          <w:spacing w:val="-78"/>
          <w:w w:val="105"/>
        </w:rPr>
        <w:t> </w:t>
      </w:r>
      <w:r>
        <w:rPr>
          <w:w w:val="105"/>
        </w:rPr>
        <w:t>月</w:t>
      </w:r>
      <w:r>
        <w:rPr>
          <w:spacing w:val="-78"/>
          <w:w w:val="105"/>
        </w:rPr>
        <w:t> </w:t>
      </w:r>
      <w:r>
        <w:rPr>
          <w:w w:val="105"/>
        </w:rPr>
        <w:t>31</w:t>
      </w:r>
      <w:r>
        <w:rPr>
          <w:spacing w:val="-78"/>
          <w:w w:val="105"/>
        </w:rPr>
        <w:t> </w:t>
      </w:r>
      <w:r>
        <w:rPr>
          <w:w w:val="105"/>
        </w:rPr>
        <w:t>日，本集团存放在境外的资金均无汇回限制。</w:t>
      </w:r>
    </w:p>
    <w:p>
      <w:pPr>
        <w:spacing w:line="240" w:lineRule="auto" w:before="0"/>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6952"/>
        <w:gridCol w:w="2721"/>
      </w:tblGrid>
      <w:tr>
        <w:trPr>
          <w:trHeight w:val="909" w:hRule="exact"/>
        </w:trPr>
        <w:tc>
          <w:tcPr>
            <w:tcW w:w="6952" w:type="dxa"/>
            <w:tcBorders>
              <w:top w:val="nil" w:sz="6" w:space="0" w:color="auto"/>
              <w:left w:val="nil" w:sz="6" w:space="0" w:color="auto"/>
              <w:bottom w:val="nil" w:sz="6" w:space="0" w:color="auto"/>
              <w:right w:val="nil" w:sz="6" w:space="0" w:color="auto"/>
            </w:tcBorders>
          </w:tcPr>
          <w:p>
            <w:pPr>
              <w:pStyle w:val="TableParagraph"/>
              <w:spacing w:line="480" w:lineRule="auto" w:before="31"/>
              <w:ind w:left="35" w:right="1215"/>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pacing w:val="-41"/>
                <w:sz w:val="18"/>
                <w:szCs w:val="18"/>
              </w:rPr>
              <w:t> </w:t>
            </w:r>
            <w:r>
              <w:rPr>
                <w:rFonts w:ascii="宋体" w:hAnsi="宋体" w:cs="宋体" w:eastAsia="宋体" w:hint="default"/>
                <w:sz w:val="18"/>
                <w:szCs w:val="18"/>
              </w:rPr>
              <w:t>交易性金融资产</w:t>
            </w:r>
            <w:r>
              <w:rPr>
                <w:rFonts w:ascii="宋体" w:hAnsi="宋体" w:cs="宋体" w:eastAsia="宋体" w:hint="default"/>
                <w:spacing w:val="-53"/>
                <w:sz w:val="18"/>
                <w:szCs w:val="18"/>
              </w:rPr>
              <w:t> </w:t>
            </w:r>
            <w:r>
              <w:rPr>
                <w:rFonts w:ascii="宋体" w:hAnsi="宋体" w:cs="宋体" w:eastAsia="宋体" w:hint="default"/>
                <w:w w:val="95"/>
                <w:sz w:val="18"/>
                <w:szCs w:val="18"/>
              </w:rPr>
              <w:t>/</w:t>
            </w:r>
            <w:r>
              <w:rPr>
                <w:rFonts w:ascii="宋体" w:hAnsi="宋体" w:cs="宋体" w:eastAsia="宋体" w:hint="default"/>
                <w:spacing w:val="-49"/>
                <w:w w:val="95"/>
                <w:sz w:val="18"/>
                <w:szCs w:val="18"/>
              </w:rPr>
              <w:t> </w:t>
            </w:r>
            <w:r>
              <w:rPr>
                <w:rFonts w:ascii="宋体" w:hAnsi="宋体" w:cs="宋体" w:eastAsia="宋体" w:hint="default"/>
                <w:sz w:val="18"/>
                <w:szCs w:val="18"/>
              </w:rPr>
              <w:t>以公允价值计量且其变动计入当期损益的金融资产</w:t>
            </w:r>
            <w:r>
              <w:rPr>
                <w:rFonts w:ascii="宋体" w:hAnsi="宋体" w:cs="宋体" w:eastAsia="宋体" w:hint="default"/>
                <w:sz w:val="18"/>
                <w:szCs w:val="18"/>
              </w:rPr>
              <w:t> </w:t>
            </w:r>
            <w:r>
              <w:rPr>
                <w:rFonts w:ascii="宋体" w:hAnsi="宋体" w:cs="宋体" w:eastAsia="宋体" w:hint="default"/>
                <w:w w:val="95"/>
                <w:sz w:val="18"/>
                <w:szCs w:val="18"/>
              </w:rPr>
              <w:t>(a)</w:t>
            </w:r>
            <w:r>
              <w:rPr>
                <w:rFonts w:ascii="宋体" w:hAnsi="宋体" w:cs="宋体" w:eastAsia="宋体" w:hint="default"/>
                <w:spacing w:val="-3"/>
                <w:w w:val="95"/>
                <w:sz w:val="18"/>
                <w:szCs w:val="18"/>
              </w:rPr>
              <w:t> </w:t>
            </w:r>
            <w:r>
              <w:rPr>
                <w:rFonts w:ascii="宋体" w:hAnsi="宋体" w:cs="宋体" w:eastAsia="宋体" w:hint="default"/>
                <w:sz w:val="18"/>
                <w:szCs w:val="18"/>
              </w:rPr>
              <w:t>交易性金融资产</w:t>
            </w:r>
          </w:p>
        </w:tc>
        <w:tc>
          <w:tcPr>
            <w:tcW w:w="2721" w:type="dxa"/>
            <w:tcBorders>
              <w:top w:val="nil" w:sz="6" w:space="0" w:color="auto"/>
              <w:left w:val="nil" w:sz="6" w:space="0" w:color="auto"/>
              <w:bottom w:val="nil" w:sz="6" w:space="0" w:color="auto"/>
              <w:right w:val="nil" w:sz="6" w:space="0" w:color="auto"/>
            </w:tcBorders>
          </w:tcPr>
          <w:p>
            <w:pPr/>
          </w:p>
        </w:tc>
      </w:tr>
      <w:tr>
        <w:trPr>
          <w:trHeight w:val="471" w:hRule="exact"/>
        </w:trPr>
        <w:tc>
          <w:tcPr>
            <w:tcW w:w="6952" w:type="dxa"/>
            <w:tcBorders>
              <w:top w:val="nil" w:sz="6" w:space="0" w:color="auto"/>
              <w:left w:val="nil" w:sz="6" w:space="0" w:color="auto"/>
              <w:bottom w:val="single" w:sz="16" w:space="0" w:color="9F8958"/>
              <w:right w:val="nil" w:sz="6" w:space="0" w:color="auto"/>
            </w:tcBorders>
          </w:tcPr>
          <w:p>
            <w:pPr/>
          </w:p>
        </w:tc>
        <w:tc>
          <w:tcPr>
            <w:tcW w:w="2721" w:type="dxa"/>
            <w:tcBorders>
              <w:top w:val="nil" w:sz="6" w:space="0" w:color="auto"/>
              <w:left w:val="nil" w:sz="6" w:space="0" w:color="auto"/>
              <w:bottom w:val="single" w:sz="16" w:space="0" w:color="9F8958"/>
              <w:right w:val="nil" w:sz="6" w:space="0" w:color="auto"/>
            </w:tcBorders>
          </w:tcPr>
          <w:p>
            <w:pPr>
              <w:pStyle w:val="TableParagraph"/>
              <w:spacing w:line="240" w:lineRule="auto" w:before="100"/>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35" w:hRule="exact"/>
        </w:trPr>
        <w:tc>
          <w:tcPr>
            <w:tcW w:w="6952" w:type="dxa"/>
            <w:tcBorders>
              <w:top w:val="single" w:sz="16" w:space="0" w:color="9F8958"/>
              <w:left w:val="nil" w:sz="6" w:space="0" w:color="auto"/>
              <w:bottom w:val="nil" w:sz="6" w:space="0" w:color="auto"/>
              <w:right w:val="nil" w:sz="6" w:space="0" w:color="auto"/>
            </w:tcBorders>
          </w:tcPr>
          <w:p>
            <w:pPr>
              <w:pStyle w:val="TableParagraph"/>
              <w:spacing w:line="314" w:lineRule="auto" w:before="64"/>
              <w:ind w:left="488" w:right="2941"/>
              <w:jc w:val="left"/>
              <w:rPr>
                <w:rFonts w:ascii="宋体" w:hAnsi="宋体" w:cs="宋体" w:eastAsia="宋体" w:hint="default"/>
                <w:sz w:val="16"/>
                <w:szCs w:val="16"/>
              </w:rPr>
            </w:pPr>
            <w:r>
              <w:rPr>
                <w:rFonts w:ascii="宋体" w:hAnsi="宋体" w:cs="宋体" w:eastAsia="宋体" w:hint="default"/>
                <w:sz w:val="16"/>
                <w:szCs w:val="16"/>
              </w:rPr>
              <w:t>以公允价值计量且其变动计入当期损益的金融资产 其中：权益工具投资</w:t>
            </w:r>
          </w:p>
        </w:tc>
        <w:tc>
          <w:tcPr>
            <w:tcW w:w="2721"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sz w:val="16"/>
              </w:rPr>
              <w:t>190,505,347</w:t>
            </w:r>
          </w:p>
        </w:tc>
      </w:tr>
      <w:tr>
        <w:trPr>
          <w:trHeight w:val="379" w:hRule="exact"/>
        </w:trPr>
        <w:tc>
          <w:tcPr>
            <w:tcW w:w="6952" w:type="dxa"/>
            <w:tcBorders>
              <w:top w:val="nil" w:sz="6" w:space="0" w:color="auto"/>
              <w:left w:val="nil" w:sz="6" w:space="0" w:color="auto"/>
              <w:bottom w:val="single" w:sz="6" w:space="0" w:color="000000"/>
              <w:right w:val="nil" w:sz="6" w:space="0" w:color="auto"/>
            </w:tcBorders>
          </w:tcPr>
          <w:p>
            <w:pPr>
              <w:pStyle w:val="TableParagraph"/>
              <w:spacing w:line="205" w:lineRule="exact"/>
              <w:ind w:left="970"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721"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579,400,000</w:t>
            </w:r>
          </w:p>
        </w:tc>
      </w:tr>
      <w:tr>
        <w:trPr>
          <w:trHeight w:val="443" w:hRule="exact"/>
        </w:trPr>
        <w:tc>
          <w:tcPr>
            <w:tcW w:w="6952" w:type="dxa"/>
            <w:tcBorders>
              <w:top w:val="single" w:sz="6" w:space="0" w:color="000000"/>
              <w:left w:val="nil" w:sz="6" w:space="0" w:color="auto"/>
              <w:bottom w:val="single" w:sz="16" w:space="0" w:color="9F8958"/>
              <w:right w:val="nil" w:sz="6" w:space="0" w:color="auto"/>
            </w:tcBorders>
          </w:tcPr>
          <w:p>
            <w:pPr>
              <w:pStyle w:val="TableParagraph"/>
              <w:spacing w:line="240" w:lineRule="auto" w:before="92"/>
              <w:ind w:left="48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721" w:type="dxa"/>
            <w:tcBorders>
              <w:top w:val="single" w:sz="6" w:space="0" w:color="000000"/>
              <w:left w:val="nil" w:sz="6" w:space="0" w:color="auto"/>
              <w:bottom w:val="single" w:sz="16" w:space="0" w:color="9F8958"/>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sz w:val="16"/>
              </w:rPr>
              <w:t>769,905,347</w:t>
            </w:r>
          </w:p>
        </w:tc>
      </w:tr>
    </w:tbl>
    <w:p>
      <w:pPr>
        <w:spacing w:line="240" w:lineRule="auto" w:before="7"/>
        <w:rPr>
          <w:rFonts w:ascii="宋体" w:hAnsi="宋体" w:cs="宋体" w:eastAsia="宋体" w:hint="default"/>
          <w:sz w:val="13"/>
          <w:szCs w:val="13"/>
        </w:rPr>
      </w:pPr>
    </w:p>
    <w:p>
      <w:pPr>
        <w:pStyle w:val="BodyText"/>
        <w:spacing w:line="240" w:lineRule="auto" w:before="31"/>
        <w:ind w:left="493" w:right="0"/>
        <w:jc w:val="left"/>
      </w:pPr>
      <w:r>
        <w:rPr/>
        <w:t>于</w:t>
      </w:r>
      <w:r>
        <w:rPr>
          <w:spacing w:val="-32"/>
        </w:rPr>
        <w:t> </w:t>
      </w:r>
      <w:r>
        <w:rPr/>
        <w:t>2017</w:t>
      </w:r>
      <w:r>
        <w:rPr>
          <w:spacing w:val="-33"/>
        </w:rPr>
        <w:t> </w:t>
      </w:r>
      <w:r>
        <w:rPr/>
        <w:t>年</w:t>
      </w:r>
      <w:r>
        <w:rPr>
          <w:spacing w:val="-32"/>
        </w:rPr>
        <w:t> </w:t>
      </w:r>
      <w:r>
        <w:rPr/>
        <w:t>12</w:t>
      </w:r>
      <w:r>
        <w:rPr>
          <w:spacing w:val="-33"/>
        </w:rPr>
        <w:t> </w:t>
      </w:r>
      <w:r>
        <w:rPr/>
        <w:t>月</w:t>
      </w:r>
      <w:r>
        <w:rPr>
          <w:spacing w:val="-32"/>
        </w:rPr>
        <w:t> </w:t>
      </w:r>
      <w:r>
        <w:rPr/>
        <w:t>31</w:t>
      </w:r>
      <w:r>
        <w:rPr>
          <w:spacing w:val="-33"/>
        </w:rPr>
        <w:t> </w:t>
      </w:r>
      <w:r>
        <w:rPr/>
        <w:t>日，上述权益工具投资列示于以公允价值计量且其变动计入当期损益的金融资产。</w:t>
      </w:r>
    </w:p>
    <w:p>
      <w:pPr>
        <w:spacing w:after="0" w:line="240" w:lineRule="auto"/>
        <w:jc w:val="left"/>
        <w:sectPr>
          <w:headerReference w:type="even" r:id="rId302"/>
          <w:headerReference w:type="default" r:id="rId303"/>
          <w:pgSz w:w="11910" w:h="16160"/>
          <w:pgMar w:header="1200" w:footer="320" w:top="2120" w:bottom="520" w:left="640" w:right="1280"/>
        </w:sectPr>
      </w:pPr>
    </w:p>
    <w:p>
      <w:pPr>
        <w:spacing w:line="240" w:lineRule="auto" w:before="3"/>
        <w:rPr>
          <w:rFonts w:ascii="宋体" w:hAnsi="宋体" w:cs="宋体" w:eastAsia="宋体" w:hint="default"/>
          <w:sz w:val="14"/>
          <w:szCs w:val="14"/>
        </w:rPr>
      </w:pPr>
    </w:p>
    <w:p>
      <w:pPr>
        <w:pStyle w:val="BodyText"/>
        <w:spacing w:line="480" w:lineRule="auto" w:before="31"/>
        <w:ind w:left="114" w:right="3531"/>
        <w:jc w:val="left"/>
      </w:pPr>
      <w:r>
        <w:rPr/>
        <w:t>2、</w:t>
      </w:r>
      <w:r>
        <w:rPr>
          <w:spacing w:val="-40"/>
        </w:rPr>
        <w:t> </w:t>
      </w:r>
      <w:r>
        <w:rPr/>
        <w:t>交易性金融资产</w:t>
      </w:r>
      <w:r>
        <w:rPr>
          <w:spacing w:val="-53"/>
        </w:rPr>
        <w:t> </w:t>
      </w:r>
      <w:r>
        <w:rPr>
          <w:w w:val="95"/>
        </w:rPr>
        <w:t>/</w:t>
      </w:r>
      <w:r>
        <w:rPr>
          <w:spacing w:val="-48"/>
          <w:w w:val="95"/>
        </w:rPr>
        <w:t> </w:t>
      </w:r>
      <w:r>
        <w:rPr/>
        <w:t>以公允价值计量且其变动计入当期损益的金融资产（续）</w:t>
      </w:r>
      <w:r>
        <w:rPr/>
        <w:t> (b)</w:t>
      </w:r>
      <w:r>
        <w:rPr>
          <w:spacing w:val="-21"/>
        </w:rPr>
        <w:t> </w:t>
      </w:r>
      <w:r>
        <w:rPr/>
        <w:t>以公允价值计量且其变动计入当期损益的金融资产</w:t>
      </w:r>
    </w:p>
    <w:p>
      <w:pPr>
        <w:spacing w:before="120"/>
        <w:ind w:left="0" w:right="265" w:firstLine="0"/>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6495;height:2" coordorigin="20,20" coordsize="6495,2">
              <v:shape style="position:absolute;left:20;top:20;width:6495;height:2" coordorigin="20,20" coordsize="6495,0" path="m20,20l6514,20e" filled="false" stroked="true" strokeweight="2pt" strokecolor="#9f8958">
                <v:path arrowok="t"/>
              </v:shape>
            </v:group>
            <v:group style="position:absolute;left:6514;top:20;width:2804;height:2" coordorigin="6514,20" coordsize="2804,2">
              <v:shape style="position:absolute;left:6514;top:20;width:2804;height:2" coordorigin="6514,20" coordsize="2804,0" path="m6514,20l9318,20e" filled="false" stroked="true" strokeweight="2pt" strokecolor="#9f8958">
                <v:path arrowok="t"/>
              </v:shape>
            </v:group>
          </v:group>
        </w:pict>
      </w:r>
      <w:r>
        <w:rPr>
          <w:rFonts w:ascii="宋体" w:hAnsi="宋体" w:cs="宋体" w:eastAsia="宋体" w:hint="default"/>
          <w:position w:val="0"/>
          <w:sz w:val="4"/>
          <w:szCs w:val="4"/>
        </w:rPr>
      </w:r>
    </w:p>
    <w:p>
      <w:pPr>
        <w:tabs>
          <w:tab w:pos="8750" w:val="left" w:leader="none"/>
        </w:tabs>
        <w:spacing w:before="64"/>
        <w:ind w:left="567" w:right="0" w:firstLine="0"/>
        <w:jc w:val="left"/>
        <w:rPr>
          <w:rFonts w:ascii="宋体" w:hAnsi="宋体" w:cs="宋体" w:eastAsia="宋体" w:hint="default"/>
          <w:sz w:val="16"/>
          <w:szCs w:val="16"/>
        </w:rPr>
      </w:pPr>
      <w:r>
        <w:rPr>
          <w:rFonts w:ascii="宋体" w:hAnsi="宋体" w:cs="宋体" w:eastAsia="宋体" w:hint="default"/>
          <w:sz w:val="16"/>
          <w:szCs w:val="16"/>
        </w:rPr>
        <w:t>权益工具投资</w:t>
        <w:tab/>
        <w:t>159,510,345</w:t>
      </w: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6495;height:2" coordorigin="20,20" coordsize="6495,2">
              <v:shape style="position:absolute;left:20;top:20;width:6495;height:2" coordorigin="20,20" coordsize="6495,0" path="m20,20l6514,20e" filled="false" stroked="true" strokeweight="2pt" strokecolor="#9f8958">
                <v:path arrowok="t"/>
              </v:shape>
            </v:group>
            <v:group style="position:absolute;left:6514;top:20;width:2804;height:2" coordorigin="6514,20" coordsize="2804,2">
              <v:shape style="position:absolute;left:6514;top:20;width:2804;height:2" coordorigin="6514,20" coordsize="2804,0" path="m6514,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3、</w:t>
      </w:r>
      <w:r>
        <w:rPr>
          <w:spacing w:val="-21"/>
        </w:rPr>
        <w:t> </w:t>
      </w:r>
      <w:r>
        <w:rPr/>
        <w:t>应收票据及应收账款</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649"/>
        <w:gridCol w:w="2324"/>
        <w:gridCol w:w="2324"/>
      </w:tblGrid>
      <w:tr>
        <w:trPr>
          <w:trHeight w:val="350" w:hRule="exact"/>
        </w:trPr>
        <w:tc>
          <w:tcPr>
            <w:tcW w:w="4649"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080"/>
              <w:jc w:val="right"/>
              <w:rPr>
                <w:rFonts w:ascii="宋体" w:hAnsi="宋体" w:cs="宋体" w:eastAsia="宋体" w:hint="default"/>
                <w:sz w:val="16"/>
                <w:szCs w:val="16"/>
              </w:rPr>
            </w:pPr>
            <w:r>
              <w:rPr>
                <w:rFonts w:ascii="宋体" w:hAnsi="宋体" w:cs="宋体" w:eastAsia="宋体" w:hint="default"/>
                <w:sz w:val="16"/>
                <w:szCs w:val="16"/>
              </w:rPr>
              <w:t>注</w:t>
            </w:r>
          </w:p>
        </w:tc>
        <w:tc>
          <w:tcPr>
            <w:tcW w:w="232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4"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9" w:type="dxa"/>
            <w:tcBorders>
              <w:top w:val="single" w:sz="16" w:space="0" w:color="9F8958"/>
              <w:left w:val="nil" w:sz="6" w:space="0" w:color="auto"/>
              <w:bottom w:val="single" w:sz="6" w:space="0" w:color="000000"/>
              <w:right w:val="nil" w:sz="6" w:space="0" w:color="auto"/>
            </w:tcBorders>
          </w:tcPr>
          <w:p>
            <w:pPr>
              <w:pStyle w:val="TableParagraph"/>
              <w:tabs>
                <w:tab w:pos="3402"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w w:val="95"/>
                <w:sz w:val="16"/>
                <w:szCs w:val="16"/>
              </w:rPr>
              <w:t>应收票据</w:t>
              <w:tab/>
              <w:t>(a)</w:t>
            </w:r>
            <w:r>
              <w:rPr>
                <w:rFonts w:ascii="宋体" w:hAnsi="宋体" w:cs="宋体" w:eastAsia="宋体" w:hint="default"/>
                <w:sz w:val="16"/>
                <w:szCs w:val="16"/>
              </w:rPr>
            </w:r>
          </w:p>
          <w:p>
            <w:pPr>
              <w:pStyle w:val="TableParagraph"/>
              <w:tabs>
                <w:tab w:pos="3397"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应收账款</w:t>
              <w:tab/>
              <w:t>(b)</w:t>
            </w:r>
          </w:p>
        </w:tc>
        <w:tc>
          <w:tcPr>
            <w:tcW w:w="2324"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323" w:right="0"/>
              <w:jc w:val="left"/>
              <w:rPr>
                <w:rFonts w:ascii="宋体" w:hAnsi="宋体" w:cs="宋体" w:eastAsia="宋体" w:hint="default"/>
                <w:sz w:val="16"/>
                <w:szCs w:val="16"/>
              </w:rPr>
            </w:pPr>
            <w:r>
              <w:rPr>
                <w:rFonts w:ascii="宋体"/>
                <w:sz w:val="16"/>
              </w:rPr>
              <w:t>363,323,541</w:t>
            </w:r>
          </w:p>
          <w:p>
            <w:pPr>
              <w:pStyle w:val="TableParagraph"/>
              <w:spacing w:line="240" w:lineRule="auto" w:before="64"/>
              <w:ind w:left="1101" w:right="0"/>
              <w:jc w:val="left"/>
              <w:rPr>
                <w:rFonts w:ascii="宋体" w:hAnsi="宋体" w:cs="宋体" w:eastAsia="宋体" w:hint="default"/>
                <w:sz w:val="16"/>
                <w:szCs w:val="16"/>
              </w:rPr>
            </w:pPr>
            <w:r>
              <w:rPr>
                <w:rFonts w:ascii="宋体"/>
                <w:sz w:val="16"/>
              </w:rPr>
              <w:t>17,842,702,983</w:t>
            </w:r>
          </w:p>
        </w:tc>
        <w:tc>
          <w:tcPr>
            <w:tcW w:w="2324"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323" w:right="0"/>
              <w:jc w:val="left"/>
              <w:rPr>
                <w:rFonts w:ascii="宋体" w:hAnsi="宋体" w:cs="宋体" w:eastAsia="宋体" w:hint="default"/>
                <w:sz w:val="16"/>
                <w:szCs w:val="16"/>
              </w:rPr>
            </w:pPr>
            <w:r>
              <w:rPr>
                <w:rFonts w:ascii="宋体"/>
                <w:sz w:val="16"/>
              </w:rPr>
              <w:t>103,468,782</w:t>
            </w:r>
          </w:p>
          <w:p>
            <w:pPr>
              <w:pStyle w:val="TableParagraph"/>
              <w:spacing w:line="240" w:lineRule="auto" w:before="64"/>
              <w:ind w:left="1101" w:right="0"/>
              <w:jc w:val="left"/>
              <w:rPr>
                <w:rFonts w:ascii="宋体" w:hAnsi="宋体" w:cs="宋体" w:eastAsia="宋体" w:hint="default"/>
                <w:sz w:val="16"/>
                <w:szCs w:val="16"/>
              </w:rPr>
            </w:pPr>
            <w:r>
              <w:rPr>
                <w:rFonts w:ascii="宋体"/>
                <w:sz w:val="16"/>
              </w:rPr>
              <w:t>18,509,160,971</w:t>
            </w:r>
          </w:p>
        </w:tc>
      </w:tr>
      <w:tr>
        <w:trPr>
          <w:trHeight w:val="414" w:hRule="exact"/>
        </w:trPr>
        <w:tc>
          <w:tcPr>
            <w:tcW w:w="464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18,206,026,524</w:t>
            </w:r>
            <w:r>
              <w:rPr>
                <w:rFonts w:ascii="宋体"/>
                <w:sz w:val="16"/>
              </w:rPr>
            </w:r>
          </w:p>
        </w:tc>
        <w:tc>
          <w:tcPr>
            <w:tcW w:w="232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18,612,629,753</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w w:val="95"/>
        </w:rPr>
        <w:t>(a)</w:t>
      </w:r>
      <w:r>
        <w:rPr>
          <w:spacing w:val="33"/>
          <w:w w:val="95"/>
        </w:rPr>
        <w:t> </w:t>
      </w:r>
      <w:r>
        <w:rPr>
          <w:w w:val="95"/>
        </w:rPr>
        <w:t>应收票据</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649"/>
        <w:gridCol w:w="2324"/>
        <w:gridCol w:w="2324"/>
      </w:tblGrid>
      <w:tr>
        <w:trPr>
          <w:trHeight w:val="350" w:hRule="exact"/>
        </w:trPr>
        <w:tc>
          <w:tcPr>
            <w:tcW w:w="4649" w:type="dxa"/>
            <w:tcBorders>
              <w:top w:val="nil" w:sz="6" w:space="0" w:color="auto"/>
              <w:left w:val="nil" w:sz="6" w:space="0" w:color="auto"/>
              <w:bottom w:val="single" w:sz="16" w:space="0" w:color="9F8958"/>
              <w:right w:val="nil" w:sz="6" w:space="0" w:color="auto"/>
            </w:tcBorders>
          </w:tcPr>
          <w:p>
            <w:pPr/>
          </w:p>
        </w:tc>
        <w:tc>
          <w:tcPr>
            <w:tcW w:w="232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4"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9"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3573"/>
              <w:jc w:val="left"/>
              <w:rPr>
                <w:rFonts w:ascii="宋体" w:hAnsi="宋体" w:cs="宋体" w:eastAsia="宋体" w:hint="default"/>
                <w:sz w:val="16"/>
                <w:szCs w:val="16"/>
              </w:rPr>
            </w:pPr>
            <w:r>
              <w:rPr>
                <w:rFonts w:ascii="宋体" w:hAnsi="宋体" w:cs="宋体" w:eastAsia="宋体" w:hint="default"/>
                <w:sz w:val="16"/>
                <w:szCs w:val="16"/>
              </w:rPr>
              <w:t>银行承兑汇票 商业承兑汇票</w:t>
            </w:r>
          </w:p>
        </w:tc>
        <w:tc>
          <w:tcPr>
            <w:tcW w:w="2324"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412" w:right="0"/>
              <w:jc w:val="left"/>
              <w:rPr>
                <w:rFonts w:ascii="宋体" w:hAnsi="宋体" w:cs="宋体" w:eastAsia="宋体" w:hint="default"/>
                <w:sz w:val="16"/>
                <w:szCs w:val="16"/>
              </w:rPr>
            </w:pPr>
            <w:r>
              <w:rPr>
                <w:rFonts w:ascii="宋体"/>
                <w:sz w:val="16"/>
              </w:rPr>
              <w:t>58,552,956</w:t>
            </w:r>
          </w:p>
          <w:p>
            <w:pPr>
              <w:pStyle w:val="TableParagraph"/>
              <w:spacing w:line="240" w:lineRule="auto" w:before="64"/>
              <w:ind w:left="1323" w:right="0"/>
              <w:jc w:val="left"/>
              <w:rPr>
                <w:rFonts w:ascii="宋体" w:hAnsi="宋体" w:cs="宋体" w:eastAsia="宋体" w:hint="default"/>
                <w:sz w:val="16"/>
                <w:szCs w:val="16"/>
              </w:rPr>
            </w:pPr>
            <w:r>
              <w:rPr>
                <w:rFonts w:ascii="宋体"/>
                <w:sz w:val="16"/>
              </w:rPr>
              <w:t>304,770,585</w:t>
            </w:r>
          </w:p>
        </w:tc>
        <w:tc>
          <w:tcPr>
            <w:tcW w:w="2324"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210" w:right="0"/>
              <w:jc w:val="center"/>
              <w:rPr>
                <w:rFonts w:ascii="宋体" w:hAnsi="宋体" w:cs="宋体" w:eastAsia="宋体" w:hint="default"/>
                <w:sz w:val="16"/>
                <w:szCs w:val="16"/>
              </w:rPr>
            </w:pPr>
            <w:r>
              <w:rPr>
                <w:rFonts w:ascii="宋体"/>
                <w:sz w:val="16"/>
              </w:rPr>
              <w:t>101,948,782</w:t>
            </w:r>
          </w:p>
          <w:p>
            <w:pPr>
              <w:pStyle w:val="TableParagraph"/>
              <w:spacing w:line="240" w:lineRule="auto" w:before="64"/>
              <w:ind w:left="1387" w:right="0"/>
              <w:jc w:val="center"/>
              <w:rPr>
                <w:rFonts w:ascii="宋体" w:hAnsi="宋体" w:cs="宋体" w:eastAsia="宋体" w:hint="default"/>
                <w:sz w:val="16"/>
                <w:szCs w:val="16"/>
              </w:rPr>
            </w:pPr>
            <w:r>
              <w:rPr>
                <w:rFonts w:ascii="宋体"/>
                <w:sz w:val="16"/>
              </w:rPr>
              <w:t>1,520,000</w:t>
            </w:r>
          </w:p>
        </w:tc>
      </w:tr>
      <w:tr>
        <w:trPr>
          <w:trHeight w:val="414" w:hRule="exact"/>
        </w:trPr>
        <w:tc>
          <w:tcPr>
            <w:tcW w:w="464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363,323,541</w:t>
            </w:r>
          </w:p>
        </w:tc>
        <w:tc>
          <w:tcPr>
            <w:tcW w:w="232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103,468,782</w:t>
            </w:r>
          </w:p>
        </w:tc>
      </w:tr>
    </w:tbl>
    <w:p>
      <w:pPr>
        <w:spacing w:line="240" w:lineRule="auto" w:before="1"/>
        <w:rPr>
          <w:rFonts w:ascii="宋体" w:hAnsi="宋体" w:cs="宋体" w:eastAsia="宋体" w:hint="default"/>
          <w:sz w:val="15"/>
          <w:szCs w:val="15"/>
        </w:rPr>
      </w:pPr>
    </w:p>
    <w:p>
      <w:pPr>
        <w:pStyle w:val="BodyText"/>
        <w:spacing w:line="240" w:lineRule="auto" w:before="31"/>
        <w:ind w:right="0"/>
        <w:jc w:val="left"/>
      </w:pPr>
      <w:r>
        <w:rPr/>
        <w:t>上述应收票据均为一年内到期。</w:t>
      </w:r>
    </w:p>
    <w:p>
      <w:pPr>
        <w:spacing w:line="240" w:lineRule="auto" w:before="5"/>
        <w:rPr>
          <w:rFonts w:ascii="宋体" w:hAnsi="宋体" w:cs="宋体" w:eastAsia="宋体" w:hint="default"/>
          <w:sz w:val="16"/>
          <w:szCs w:val="16"/>
        </w:rPr>
      </w:pPr>
    </w:p>
    <w:p>
      <w:pPr>
        <w:pStyle w:val="BodyText"/>
        <w:spacing w:line="458" w:lineRule="auto"/>
        <w:ind w:left="113" w:right="633" w:firstLine="340"/>
        <w:jc w:val="left"/>
      </w:pPr>
      <w:r>
        <w:rPr/>
        <w:t>于</w:t>
      </w:r>
      <w:r>
        <w:rPr>
          <w:spacing w:val="-33"/>
        </w:rPr>
        <w:t> </w:t>
      </w:r>
      <w:r>
        <w:rPr/>
        <w:t>2018</w:t>
      </w:r>
      <w:r>
        <w:rPr>
          <w:spacing w:val="-34"/>
        </w:rPr>
        <w:t> </w:t>
      </w:r>
      <w:r>
        <w:rPr/>
        <w:t>年</w:t>
      </w:r>
      <w:r>
        <w:rPr>
          <w:spacing w:val="-33"/>
        </w:rPr>
        <w:t> </w:t>
      </w:r>
      <w:r>
        <w:rPr/>
        <w:t>12</w:t>
      </w:r>
      <w:r>
        <w:rPr>
          <w:spacing w:val="-34"/>
        </w:rPr>
        <w:t> </w:t>
      </w:r>
      <w:r>
        <w:rPr/>
        <w:t>月</w:t>
      </w:r>
      <w:r>
        <w:rPr>
          <w:spacing w:val="-33"/>
        </w:rPr>
        <w:t> </w:t>
      </w:r>
      <w:r>
        <w:rPr/>
        <w:t>31</w:t>
      </w:r>
      <w:r>
        <w:rPr>
          <w:spacing w:val="-34"/>
        </w:rPr>
        <w:t> </w:t>
      </w:r>
      <w:r>
        <w:rPr/>
        <w:t>日，本集团无已质押、已背书或贴现且未到期以及因出票人未履约而转入应收账款的票据。</w:t>
      </w:r>
      <w:r>
        <w:rPr/>
        <w:t> (b)</w:t>
      </w:r>
      <w:r>
        <w:rPr>
          <w:spacing w:val="-21"/>
        </w:rPr>
        <w:t> </w:t>
      </w:r>
      <w:r>
        <w:rPr/>
        <w:t>应收账款</w:t>
      </w:r>
    </w:p>
    <w:p>
      <w:pPr>
        <w:spacing w:line="240" w:lineRule="auto" w:before="11"/>
        <w:rPr>
          <w:rFonts w:ascii="宋体" w:hAnsi="宋体" w:cs="宋体" w:eastAsia="宋体" w:hint="default"/>
          <w:sz w:val="4"/>
          <w:szCs w:val="4"/>
        </w:rPr>
      </w:pPr>
    </w:p>
    <w:tbl>
      <w:tblPr>
        <w:tblW w:w="0" w:type="auto"/>
        <w:jc w:val="left"/>
        <w:tblInd w:w="434" w:type="dxa"/>
        <w:tblLayout w:type="fixed"/>
        <w:tblCellMar>
          <w:top w:w="0" w:type="dxa"/>
          <w:left w:w="0" w:type="dxa"/>
          <w:bottom w:w="0" w:type="dxa"/>
          <w:right w:w="0" w:type="dxa"/>
        </w:tblCellMar>
        <w:tblLook w:val="01E0"/>
      </w:tblPr>
      <w:tblGrid>
        <w:gridCol w:w="4649"/>
        <w:gridCol w:w="2324"/>
        <w:gridCol w:w="2324"/>
      </w:tblGrid>
      <w:tr>
        <w:trPr>
          <w:trHeight w:val="350" w:hRule="exact"/>
        </w:trPr>
        <w:tc>
          <w:tcPr>
            <w:tcW w:w="4649" w:type="dxa"/>
            <w:tcBorders>
              <w:top w:val="nil" w:sz="6" w:space="0" w:color="auto"/>
              <w:left w:val="nil" w:sz="6" w:space="0" w:color="auto"/>
              <w:bottom w:val="single" w:sz="16" w:space="0" w:color="9F8958"/>
              <w:right w:val="nil" w:sz="6" w:space="0" w:color="auto"/>
            </w:tcBorders>
          </w:tcPr>
          <w:p>
            <w:pPr/>
          </w:p>
        </w:tc>
        <w:tc>
          <w:tcPr>
            <w:tcW w:w="232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4"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9"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3573" w:hanging="1"/>
              <w:jc w:val="left"/>
              <w:rPr>
                <w:rFonts w:ascii="宋体" w:hAnsi="宋体" w:cs="宋体" w:eastAsia="宋体" w:hint="default"/>
                <w:sz w:val="16"/>
                <w:szCs w:val="16"/>
              </w:rPr>
            </w:pPr>
            <w:r>
              <w:rPr>
                <w:rFonts w:ascii="宋体" w:hAnsi="宋体" w:cs="宋体" w:eastAsia="宋体" w:hint="default"/>
                <w:sz w:val="16"/>
                <w:szCs w:val="16"/>
              </w:rPr>
              <w:t>应收账款 减：坏账准备</w:t>
            </w:r>
          </w:p>
        </w:tc>
        <w:tc>
          <w:tcPr>
            <w:tcW w:w="2324"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101" w:right="0"/>
              <w:jc w:val="left"/>
              <w:rPr>
                <w:rFonts w:ascii="宋体" w:hAnsi="宋体" w:cs="宋体" w:eastAsia="宋体" w:hint="default"/>
                <w:sz w:val="16"/>
                <w:szCs w:val="16"/>
              </w:rPr>
            </w:pPr>
            <w:r>
              <w:rPr>
                <w:rFonts w:ascii="宋体"/>
                <w:sz w:val="16"/>
              </w:rPr>
              <w:t>24,563,105,484</w:t>
            </w:r>
          </w:p>
          <w:p>
            <w:pPr>
              <w:pStyle w:val="TableParagraph"/>
              <w:spacing w:line="240" w:lineRule="auto" w:before="64"/>
              <w:ind w:left="1101" w:right="0"/>
              <w:jc w:val="left"/>
              <w:rPr>
                <w:rFonts w:ascii="宋体" w:hAnsi="宋体" w:cs="宋体" w:eastAsia="宋体" w:hint="default"/>
                <w:sz w:val="16"/>
                <w:szCs w:val="16"/>
              </w:rPr>
            </w:pPr>
            <w:r>
              <w:rPr>
                <w:rFonts w:ascii="宋体"/>
                <w:w w:val="95"/>
                <w:sz w:val="16"/>
              </w:rPr>
              <w:t>(6,720,402,501)</w:t>
            </w:r>
            <w:r>
              <w:rPr>
                <w:rFonts w:ascii="宋体"/>
                <w:sz w:val="16"/>
              </w:rPr>
            </w:r>
          </w:p>
        </w:tc>
        <w:tc>
          <w:tcPr>
            <w:tcW w:w="2324"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101" w:right="0"/>
              <w:jc w:val="left"/>
              <w:rPr>
                <w:rFonts w:ascii="宋体" w:hAnsi="宋体" w:cs="宋体" w:eastAsia="宋体" w:hint="default"/>
                <w:sz w:val="16"/>
                <w:szCs w:val="16"/>
              </w:rPr>
            </w:pPr>
            <w:r>
              <w:rPr>
                <w:rFonts w:ascii="宋体"/>
                <w:sz w:val="16"/>
              </w:rPr>
              <w:t>23,728,990,265</w:t>
            </w:r>
          </w:p>
          <w:p>
            <w:pPr>
              <w:pStyle w:val="TableParagraph"/>
              <w:spacing w:line="240" w:lineRule="auto" w:before="64"/>
              <w:ind w:left="1101" w:right="0"/>
              <w:jc w:val="left"/>
              <w:rPr>
                <w:rFonts w:ascii="宋体" w:hAnsi="宋体" w:cs="宋体" w:eastAsia="宋体" w:hint="default"/>
                <w:sz w:val="16"/>
                <w:szCs w:val="16"/>
              </w:rPr>
            </w:pPr>
            <w:r>
              <w:rPr>
                <w:rFonts w:ascii="宋体"/>
                <w:w w:val="95"/>
                <w:sz w:val="16"/>
              </w:rPr>
              <w:t>(5,219,829,294)</w:t>
            </w:r>
            <w:r>
              <w:rPr>
                <w:rFonts w:ascii="宋体"/>
                <w:sz w:val="16"/>
              </w:rPr>
            </w:r>
          </w:p>
        </w:tc>
      </w:tr>
      <w:tr>
        <w:trPr>
          <w:trHeight w:val="414" w:hRule="exact"/>
        </w:trPr>
        <w:tc>
          <w:tcPr>
            <w:tcW w:w="464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应收账款净额合计</w:t>
            </w:r>
          </w:p>
        </w:tc>
        <w:tc>
          <w:tcPr>
            <w:tcW w:w="232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17,842,702,983</w:t>
            </w:r>
            <w:r>
              <w:rPr>
                <w:rFonts w:ascii="宋体"/>
                <w:sz w:val="16"/>
              </w:rPr>
            </w:r>
          </w:p>
        </w:tc>
        <w:tc>
          <w:tcPr>
            <w:tcW w:w="232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18,509,160,971</w:t>
            </w:r>
            <w:r>
              <w:rPr>
                <w:rFonts w:ascii="宋体"/>
                <w:sz w:val="16"/>
              </w:rPr>
            </w:r>
          </w:p>
        </w:tc>
      </w:tr>
    </w:tbl>
    <w:p>
      <w:pPr>
        <w:spacing w:after="0" w:line="240" w:lineRule="auto"/>
        <w:jc w:val="right"/>
        <w:rPr>
          <w:rFonts w:ascii="宋体" w:hAnsi="宋体" w:cs="宋体" w:eastAsia="宋体" w:hint="default"/>
          <w:sz w:val="16"/>
          <w:szCs w:val="16"/>
        </w:rPr>
        <w:sectPr>
          <w:footerReference w:type="default" r:id="rId304"/>
          <w:footerReference w:type="even" r:id="rId305"/>
          <w:pgSz w:w="11910" w:h="16160"/>
          <w:pgMar w:footer="298" w:header="2776" w:top="2960" w:bottom="480" w:left="1360" w:right="640"/>
          <w:pgNumType w:start="133"/>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274"/>
        <w:jc w:val="left"/>
      </w:pPr>
      <w:r>
        <w:rPr/>
        <w:t>3、</w:t>
      </w:r>
      <w:r>
        <w:rPr>
          <w:spacing w:val="-22"/>
        </w:rPr>
        <w:t> </w:t>
      </w:r>
      <w:r>
        <w:rPr/>
        <w:t>应收票据及应收账款（续）</w:t>
      </w:r>
      <w:r>
        <w:rPr/>
        <w:t> (b)</w:t>
      </w:r>
      <w:r>
        <w:rPr>
          <w:spacing w:val="-21"/>
        </w:rPr>
        <w:t> </w:t>
      </w:r>
      <w:r>
        <w:rPr/>
        <w:t>应收账款（续）</w:t>
      </w:r>
    </w:p>
    <w:p>
      <w:pPr>
        <w:pStyle w:val="BodyText"/>
        <w:spacing w:line="240" w:lineRule="auto" w:before="54"/>
        <w:ind w:left="453" w:right="0"/>
        <w:jc w:val="left"/>
      </w:pPr>
      <w:r>
        <w:rPr/>
        <w:t>(1)</w:t>
      </w:r>
      <w:r>
        <w:rPr>
          <w:spacing w:val="19"/>
        </w:rPr>
        <w:t> </w:t>
      </w:r>
      <w:r>
        <w:rPr/>
        <w:t>本集团应收账款账龄分析如下：</w:t>
      </w:r>
    </w:p>
    <w:p>
      <w:pPr>
        <w:spacing w:line="240" w:lineRule="auto" w:before="4"/>
        <w:rPr>
          <w:rFonts w:ascii="宋体" w:hAnsi="宋体" w:cs="宋体" w:eastAsia="宋体" w:hint="default"/>
          <w:sz w:val="17"/>
          <w:szCs w:val="17"/>
        </w:rPr>
      </w:pPr>
    </w:p>
    <w:p>
      <w:pPr>
        <w:spacing w:line="3987" w:lineRule="exact"/>
        <w:ind w:left="433" w:right="0" w:firstLine="0"/>
        <w:rPr>
          <w:rFonts w:ascii="宋体" w:hAnsi="宋体" w:cs="宋体" w:eastAsia="宋体" w:hint="default"/>
          <w:sz w:val="20"/>
          <w:szCs w:val="20"/>
        </w:rPr>
      </w:pPr>
      <w:r>
        <w:rPr>
          <w:rFonts w:ascii="宋体" w:hAnsi="宋体" w:cs="宋体" w:eastAsia="宋体" w:hint="default"/>
          <w:position w:val="-79"/>
          <w:sz w:val="20"/>
          <w:szCs w:val="20"/>
        </w:rPr>
        <w:pict>
          <v:group style="width:466.9pt;height:199.4pt;mso-position-horizontal-relative:char;mso-position-vertical-relative:line" coordorigin="0,0" coordsize="9338,3988">
            <v:group style="position:absolute;left:4669;top:0;width:2325;height:427" coordorigin="4669,0" coordsize="2325,427">
              <v:shape style="position:absolute;left:4669;top:0;width:2325;height:427" coordorigin="4669,0" coordsize="2325,427" path="m6993,0l4669,0,4669,427,6993,427,6993,0xe" filled="true" fillcolor="#ece7dd" stroked="false">
                <v:path arrowok="t"/>
                <v:fill type="solid"/>
              </v:shape>
            </v:group>
            <v:group style="position:absolute;left:4669;top:427;width:2325;height:547" coordorigin="4669,427" coordsize="2325,547">
              <v:shape style="position:absolute;left:4669;top:427;width:2325;height:547" coordorigin="4669,427" coordsize="2325,547" path="m6993,427l4669,427,4669,974,6993,974,6993,427xe" filled="true" fillcolor="#ece7dd" stroked="false">
                <v:path arrowok="t"/>
                <v:fill type="solid"/>
              </v:shape>
            </v:group>
            <v:group style="position:absolute;left:4669;top:974;width:2325;height:274" coordorigin="4669,974" coordsize="2325,274">
              <v:shape style="position:absolute;left:4669;top:974;width:2325;height:274" coordorigin="4669,974" coordsize="2325,274" path="m6993,974l4669,974,4669,1247,6993,1247,6993,974xe" filled="true" fillcolor="#ece7dd" stroked="false">
                <v:path arrowok="t"/>
                <v:fill type="solid"/>
              </v:shape>
            </v:group>
            <v:group style="position:absolute;left:4669;top:1247;width:2325;height:547" coordorigin="4669,1247" coordsize="2325,547">
              <v:shape style="position:absolute;left:4669;top:1247;width:2325;height:547" coordorigin="4669,1247" coordsize="2325,547" path="m6993,1247l4669,1247,4669,1794,6993,1794,6993,1247xe" filled="true" fillcolor="#ece7dd" stroked="false">
                <v:path arrowok="t"/>
                <v:fill type="solid"/>
              </v:shape>
            </v:group>
            <v:group style="position:absolute;left:4669;top:1794;width:2325;height:547" coordorigin="4669,1794" coordsize="2325,547">
              <v:shape style="position:absolute;left:4669;top:1794;width:2325;height:547" coordorigin="4669,1794" coordsize="2325,547" path="m6993,1794l4669,1794,4669,2340,6993,2340,6993,1794xe" filled="true" fillcolor="#ece7dd" stroked="false">
                <v:path arrowok="t"/>
                <v:fill type="solid"/>
              </v:shape>
            </v:group>
            <v:group style="position:absolute;left:4669;top:2340;width:2325;height:681" coordorigin="4669,2340" coordsize="2325,681">
              <v:shape style="position:absolute;left:4669;top:2340;width:2325;height:681" coordorigin="4669,2340" coordsize="2325,681" path="m6993,2340l4669,2340,4669,3021,6993,3021,6993,2340xe" filled="true" fillcolor="#ece7dd" stroked="false">
                <v:path arrowok="t"/>
                <v:fill type="solid"/>
              </v:shape>
            </v:group>
            <v:group style="position:absolute;left:4669;top:3021;width:2325;height:407" coordorigin="4669,3021" coordsize="2325,407">
              <v:shape style="position:absolute;left:4669;top:3021;width:2325;height:407" coordorigin="4669,3021" coordsize="2325,407" path="m6993,3021l4669,3021,4669,3427,6993,3427,6993,3021xe" filled="true" fillcolor="#ece7dd" stroked="false">
                <v:path arrowok="t"/>
                <v:fill type="solid"/>
              </v:shape>
            </v:group>
            <v:group style="position:absolute;left:4669;top:3427;width:2325;height:407" coordorigin="4669,3427" coordsize="2325,407">
              <v:shape style="position:absolute;left:4669;top:3427;width:2325;height:407" coordorigin="4669,3427" coordsize="2325,407" path="m6993,3427l4669,3427,4669,3834,6993,3834,6993,3427xe" filled="true" fillcolor="#ece7dd" stroked="false">
                <v:path arrowok="t"/>
                <v:fill type="solid"/>
              </v:shape>
            </v:group>
            <v:group style="position:absolute;left:4669;top:3834;width:2325;height:154" coordorigin="4669,3834" coordsize="2325,154">
              <v:shape style="position:absolute;left:4669;top:3834;width:2325;height:154" coordorigin="4669,3834" coordsize="2325,154" path="m6993,3834l4669,3834,4669,3988,6993,3988,6993,3834xe" filled="true" fillcolor="#ece7dd" stroked="false">
                <v:path arrowok="t"/>
                <v:fill type="solid"/>
              </v:shape>
            </v:group>
            <v:group style="position:absolute;left:20;top:350;width:2325;height:2" coordorigin="20,350" coordsize="2325,2">
              <v:shape style="position:absolute;left:20;top:350;width:2325;height:2" coordorigin="20,350" coordsize="2325,0" path="m20,350l2344,350e" filled="false" stroked="true" strokeweight="2pt" strokecolor="#9f8958">
                <v:path arrowok="t"/>
              </v:shape>
            </v:group>
            <v:group style="position:absolute;left:2344;top:350;width:2325;height:2" coordorigin="2344,350" coordsize="2325,2">
              <v:shape style="position:absolute;left:2344;top:350;width:2325;height:2" coordorigin="2344,350" coordsize="2325,0" path="m2344,350l4669,350e" filled="false" stroked="true" strokeweight="2pt" strokecolor="#9f8958">
                <v:path arrowok="t"/>
              </v:shape>
            </v:group>
            <v:group style="position:absolute;left:4669;top:350;width:2325;height:2" coordorigin="4669,350" coordsize="2325,2">
              <v:shape style="position:absolute;left:4669;top:350;width:2325;height:2" coordorigin="4669,350" coordsize="2325,0" path="m4669,350l6993,350e" filled="false" stroked="true" strokeweight="2pt" strokecolor="#9f8958">
                <v:path arrowok="t"/>
              </v:shape>
            </v:group>
            <v:group style="position:absolute;left:6993;top:350;width:2325;height:2" coordorigin="6993,350" coordsize="2325,2">
              <v:shape style="position:absolute;left:6993;top:350;width:2325;height:2" coordorigin="6993,350" coordsize="2325,0" path="m6993,350l9318,350e" filled="false" stroked="true" strokeweight="2pt" strokecolor="#9f8958">
                <v:path arrowok="t"/>
              </v:shape>
            </v:group>
            <v:group style="position:absolute;left:20;top:2683;width:2325;height:2" coordorigin="20,2683" coordsize="2325,2">
              <v:shape style="position:absolute;left:20;top:2683;width:2325;height:2" coordorigin="20,2683" coordsize="2325,0" path="m20,2683l2344,2683e" filled="false" stroked="true" strokeweight=".75pt" strokecolor="#000000">
                <v:path arrowok="t"/>
              </v:shape>
            </v:group>
            <v:group style="position:absolute;left:2344;top:2683;width:2325;height:2" coordorigin="2344,2683" coordsize="2325,2">
              <v:shape style="position:absolute;left:2344;top:2683;width:2325;height:2" coordorigin="2344,2683" coordsize="2325,0" path="m2344,2683l4669,2683e" filled="false" stroked="true" strokeweight=".75pt" strokecolor="#000000">
                <v:path arrowok="t"/>
              </v:shape>
            </v:group>
            <v:group style="position:absolute;left:4669;top:2676;width:2325;height:15" coordorigin="4669,2676" coordsize="2325,15">
              <v:shape style="position:absolute;left:4669;top:2676;width:2325;height:15" coordorigin="4669,2676" coordsize="2325,15" path="m4669,2691l6993,2691,6993,2676,4669,2676,4669,2691xe" filled="true" fillcolor="#000000" stroked="false">
                <v:path arrowok="t"/>
                <v:fill type="solid"/>
              </v:shape>
            </v:group>
            <v:group style="position:absolute;left:6993;top:2683;width:2325;height:2" coordorigin="6993,2683" coordsize="2325,2">
              <v:shape style="position:absolute;left:6993;top:2683;width:2325;height:2" coordorigin="6993,2683" coordsize="2325,0" path="m6993,2683l9318,2683e" filled="false" stroked="true" strokeweight=".75pt" strokecolor="#000000">
                <v:path arrowok="t"/>
              </v:shape>
            </v:group>
            <v:group style="position:absolute;left:20;top:3497;width:2325;height:2" coordorigin="20,3497" coordsize="2325,2">
              <v:shape style="position:absolute;left:20;top:3497;width:2325;height:2" coordorigin="20,3497" coordsize="2325,0" path="m20,3497l2344,3497e" filled="false" stroked="true" strokeweight=".75pt" strokecolor="#000000">
                <v:path arrowok="t"/>
              </v:shape>
            </v:group>
            <v:group style="position:absolute;left:2344;top:3497;width:2325;height:2" coordorigin="2344,3497" coordsize="2325,2">
              <v:shape style="position:absolute;left:2344;top:3497;width:2325;height:2" coordorigin="2344,3497" coordsize="2325,0" path="m2344,3497l4669,3497e" filled="false" stroked="true" strokeweight=".75pt" strokecolor="#000000">
                <v:path arrowok="t"/>
              </v:shape>
            </v:group>
            <v:group style="position:absolute;left:4669;top:3489;width:2325;height:15" coordorigin="4669,3489" coordsize="2325,15">
              <v:shape style="position:absolute;left:4669;top:3489;width:2325;height:15" coordorigin="4669,3489" coordsize="2325,15" path="m4669,3504l6993,3504,6993,3489,4669,3489,4669,3504xe" filled="true" fillcolor="#000000" stroked="false">
                <v:path arrowok="t"/>
                <v:fill type="solid"/>
              </v:shape>
            </v:group>
            <v:group style="position:absolute;left:6993;top:3497;width:2325;height:2" coordorigin="6993,3497" coordsize="2325,2">
              <v:shape style="position:absolute;left:6993;top:3497;width:2325;height:2" coordorigin="6993,3497" coordsize="2325,0" path="m6993,3497l9318,3497e" filled="false" stroked="true" strokeweight=".75pt" strokecolor="#000000">
                <v:path arrowok="t"/>
              </v:shape>
            </v:group>
            <v:group style="position:absolute;left:20;top:3911;width:2325;height:2" coordorigin="20,3911" coordsize="2325,2">
              <v:shape style="position:absolute;left:20;top:3911;width:2325;height:2" coordorigin="20,3911" coordsize="2325,0" path="m20,3911l2344,3911e" filled="false" stroked="true" strokeweight="2pt" strokecolor="#9f8958">
                <v:path arrowok="t"/>
              </v:shape>
            </v:group>
            <v:group style="position:absolute;left:2344;top:3911;width:2325;height:2" coordorigin="2344,3911" coordsize="2325,2">
              <v:shape style="position:absolute;left:2344;top:3911;width:2325;height:2" coordorigin="2344,3911" coordsize="2325,0" path="m2344,3911l4669,3911e" filled="false" stroked="true" strokeweight="2pt" strokecolor="#9f8958">
                <v:path arrowok="t"/>
              </v:shape>
            </v:group>
            <v:group style="position:absolute;left:4669;top:3891;width:2325;height:40" coordorigin="4669,3891" coordsize="2325,40">
              <v:shape style="position:absolute;left:4669;top:3891;width:2325;height:40" coordorigin="4669,3891" coordsize="2325,40" path="m4669,3931l6993,3931,6993,3891,4669,3891,4669,3931xe" filled="true" fillcolor="#9f8958" stroked="false">
                <v:path arrowok="t"/>
                <v:fill type="solid"/>
              </v:shape>
            </v:group>
            <v:group style="position:absolute;left:6993;top:3911;width:2325;height:2" coordorigin="6993,3911" coordsize="2325,2">
              <v:shape style="position:absolute;left:6993;top:3911;width:2325;height:2" coordorigin="6993,3911" coordsize="2325,0" path="m6993,3911l9318,3911e" filled="false" stroked="true" strokeweight="2pt" strokecolor="#9f8958">
                <v:path arrowok="t"/>
              </v:shape>
              <v:shape style="position:absolute;left:5490;top:66;width:1390;height:160" type="#_x0000_t202" filled="false" stroked="false">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xbxContent>
                </v:textbox>
                <w10:wrap type="none"/>
              </v:shape>
              <v:shape style="position:absolute;left:7814;top:66;width:1390;height:160" type="#_x0000_t202" filled="false" stroked="false">
                <v:textbox inset="0,0,0,0">
                  <w:txbxContent>
                    <w:p>
                      <w:pPr>
                        <w:spacing w:line="150" w:lineRule="exact" w:before="0"/>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xbxContent>
                </v:textbox>
                <w10:wrap type="none"/>
              </v:shape>
              <v:shape style="position:absolute;left:133;top:495;width:769;height:2075"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1</w:t>
                      </w:r>
                      <w:r>
                        <w:rPr>
                          <w:rFonts w:ascii="宋体" w:hAnsi="宋体" w:cs="宋体" w:eastAsia="宋体" w:hint="default"/>
                          <w:spacing w:val="-33"/>
                          <w:sz w:val="16"/>
                          <w:szCs w:val="16"/>
                        </w:rPr>
                        <w:t> </w:t>
                      </w:r>
                      <w:r>
                        <w:rPr>
                          <w:rFonts w:ascii="宋体" w:hAnsi="宋体" w:cs="宋体" w:eastAsia="宋体" w:hint="default"/>
                          <w:sz w:val="16"/>
                          <w:szCs w:val="16"/>
                        </w:rPr>
                        <w:t>个月以内</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1-3</w:t>
                      </w:r>
                      <w:r>
                        <w:rPr>
                          <w:rFonts w:ascii="宋体" w:hAnsi="宋体" w:cs="宋体" w:eastAsia="宋体" w:hint="default"/>
                          <w:spacing w:val="-63"/>
                          <w:w w:val="110"/>
                          <w:sz w:val="16"/>
                          <w:szCs w:val="16"/>
                        </w:rPr>
                        <w:t> </w:t>
                      </w:r>
                      <w:r>
                        <w:rPr>
                          <w:rFonts w:ascii="宋体" w:hAnsi="宋体" w:cs="宋体" w:eastAsia="宋体" w:hint="default"/>
                          <w:w w:val="110"/>
                          <w:sz w:val="16"/>
                          <w:szCs w:val="16"/>
                        </w:rPr>
                        <w:t>个月</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3-12</w:t>
                      </w:r>
                      <w:r>
                        <w:rPr>
                          <w:rFonts w:ascii="宋体" w:hAnsi="宋体" w:cs="宋体" w:eastAsia="宋体" w:hint="default"/>
                          <w:spacing w:val="-62"/>
                          <w:w w:val="110"/>
                          <w:sz w:val="16"/>
                          <w:szCs w:val="16"/>
                        </w:rPr>
                        <w:t> </w:t>
                      </w:r>
                      <w:r>
                        <w:rPr>
                          <w:rFonts w:ascii="宋体" w:hAnsi="宋体" w:cs="宋体" w:eastAsia="宋体" w:hint="default"/>
                          <w:w w:val="110"/>
                          <w:sz w:val="16"/>
                          <w:szCs w:val="16"/>
                        </w:rPr>
                        <w:t>个月</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1-2</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2-3</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3-4</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110"/>
                          <w:sz w:val="16"/>
                          <w:szCs w:val="16"/>
                        </w:rPr>
                        <w:t>4-5</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p>
                      <w:pPr>
                        <w:spacing w:before="64"/>
                        <w:ind w:left="0" w:right="0" w:firstLine="0"/>
                        <w:jc w:val="left"/>
                        <w:rPr>
                          <w:rFonts w:ascii="宋体" w:hAnsi="宋体" w:cs="宋体" w:eastAsia="宋体" w:hint="default"/>
                          <w:sz w:val="16"/>
                          <w:szCs w:val="16"/>
                        </w:rPr>
                      </w:pPr>
                      <w:r>
                        <w:rPr>
                          <w:rFonts w:ascii="宋体" w:hAnsi="宋体" w:cs="宋体" w:eastAsia="宋体" w:hint="default"/>
                          <w:w w:val="105"/>
                          <w:sz w:val="16"/>
                          <w:szCs w:val="16"/>
                        </w:rPr>
                        <w:t>5</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xbxContent>
                </v:textbox>
                <w10:wrap type="none"/>
              </v:shape>
              <v:shape style="position:absolute;left:5771;top:495;width:1110;height:2075"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5"/>
                          <w:sz w:val="16"/>
                        </w:rPr>
                        <w:t>10,137,854,774</w:t>
                      </w:r>
                      <w:r>
                        <w:rPr>
                          <w:rFonts w:ascii="宋体"/>
                          <w:sz w:val="16"/>
                        </w:rPr>
                      </w:r>
                    </w:p>
                    <w:p>
                      <w:pPr>
                        <w:spacing w:before="64"/>
                        <w:ind w:left="88" w:right="0" w:firstLine="0"/>
                        <w:jc w:val="center"/>
                        <w:rPr>
                          <w:rFonts w:ascii="宋体" w:hAnsi="宋体" w:cs="宋体" w:eastAsia="宋体" w:hint="default"/>
                          <w:sz w:val="16"/>
                          <w:szCs w:val="16"/>
                        </w:rPr>
                      </w:pPr>
                      <w:r>
                        <w:rPr>
                          <w:rFonts w:ascii="宋体"/>
                          <w:w w:val="95"/>
                          <w:sz w:val="16"/>
                        </w:rPr>
                        <w:t>3,443,245,326</w:t>
                      </w:r>
                      <w:r>
                        <w:rPr>
                          <w:rFonts w:ascii="宋体"/>
                          <w:sz w:val="16"/>
                        </w:rPr>
                      </w:r>
                    </w:p>
                    <w:p>
                      <w:pPr>
                        <w:spacing w:before="64"/>
                        <w:ind w:left="88" w:right="0" w:firstLine="0"/>
                        <w:jc w:val="center"/>
                        <w:rPr>
                          <w:rFonts w:ascii="宋体" w:hAnsi="宋体" w:cs="宋体" w:eastAsia="宋体" w:hint="default"/>
                          <w:sz w:val="16"/>
                          <w:szCs w:val="16"/>
                        </w:rPr>
                      </w:pPr>
                      <w:r>
                        <w:rPr>
                          <w:rFonts w:ascii="宋体"/>
                          <w:w w:val="95"/>
                          <w:sz w:val="16"/>
                        </w:rPr>
                        <w:t>6,033,449,117</w:t>
                      </w:r>
                      <w:r>
                        <w:rPr>
                          <w:rFonts w:ascii="宋体"/>
                          <w:sz w:val="16"/>
                        </w:rPr>
                      </w:r>
                    </w:p>
                    <w:p>
                      <w:pPr>
                        <w:spacing w:before="64"/>
                        <w:ind w:left="88" w:right="0" w:firstLine="0"/>
                        <w:jc w:val="center"/>
                        <w:rPr>
                          <w:rFonts w:ascii="宋体" w:hAnsi="宋体" w:cs="宋体" w:eastAsia="宋体" w:hint="default"/>
                          <w:sz w:val="16"/>
                          <w:szCs w:val="16"/>
                        </w:rPr>
                      </w:pPr>
                      <w:r>
                        <w:rPr>
                          <w:rFonts w:ascii="宋体"/>
                          <w:w w:val="95"/>
                          <w:sz w:val="16"/>
                        </w:rPr>
                        <w:t>1,819,236,580</w:t>
                      </w:r>
                      <w:r>
                        <w:rPr>
                          <w:rFonts w:ascii="宋体"/>
                          <w:sz w:val="16"/>
                        </w:rPr>
                      </w:r>
                    </w:p>
                    <w:p>
                      <w:pPr>
                        <w:spacing w:before="64"/>
                        <w:ind w:left="88" w:right="0" w:firstLine="0"/>
                        <w:jc w:val="center"/>
                        <w:rPr>
                          <w:rFonts w:ascii="宋体" w:hAnsi="宋体" w:cs="宋体" w:eastAsia="宋体" w:hint="default"/>
                          <w:sz w:val="16"/>
                          <w:szCs w:val="16"/>
                        </w:rPr>
                      </w:pPr>
                      <w:r>
                        <w:rPr>
                          <w:rFonts w:ascii="宋体"/>
                          <w:w w:val="95"/>
                          <w:sz w:val="16"/>
                        </w:rPr>
                        <w:t>1,198,451,829</w:t>
                      </w:r>
                      <w:r>
                        <w:rPr>
                          <w:rFonts w:ascii="宋体"/>
                          <w:sz w:val="16"/>
                        </w:rPr>
                      </w:r>
                    </w:p>
                    <w:p>
                      <w:pPr>
                        <w:spacing w:before="64"/>
                        <w:ind w:left="222" w:right="0" w:firstLine="0"/>
                        <w:jc w:val="center"/>
                        <w:rPr>
                          <w:rFonts w:ascii="宋体" w:hAnsi="宋体" w:cs="宋体" w:eastAsia="宋体" w:hint="default"/>
                          <w:sz w:val="16"/>
                          <w:szCs w:val="16"/>
                        </w:rPr>
                      </w:pPr>
                      <w:r>
                        <w:rPr>
                          <w:rFonts w:ascii="宋体"/>
                          <w:sz w:val="16"/>
                        </w:rPr>
                        <w:t>636,597,727</w:t>
                      </w:r>
                    </w:p>
                    <w:p>
                      <w:pPr>
                        <w:spacing w:before="64"/>
                        <w:ind w:left="222" w:right="0" w:firstLine="0"/>
                        <w:jc w:val="center"/>
                        <w:rPr>
                          <w:rFonts w:ascii="宋体" w:hAnsi="宋体" w:cs="宋体" w:eastAsia="宋体" w:hint="default"/>
                          <w:sz w:val="16"/>
                          <w:szCs w:val="16"/>
                        </w:rPr>
                      </w:pPr>
                      <w:r>
                        <w:rPr>
                          <w:rFonts w:ascii="宋体"/>
                          <w:sz w:val="16"/>
                        </w:rPr>
                        <w:t>277,038,597</w:t>
                      </w:r>
                    </w:p>
                    <w:p>
                      <w:pPr>
                        <w:spacing w:before="64"/>
                        <w:ind w:left="88" w:right="0" w:firstLine="0"/>
                        <w:jc w:val="center"/>
                        <w:rPr>
                          <w:rFonts w:ascii="宋体" w:hAnsi="宋体" w:cs="宋体" w:eastAsia="宋体" w:hint="default"/>
                          <w:sz w:val="16"/>
                          <w:szCs w:val="16"/>
                        </w:rPr>
                      </w:pPr>
                      <w:r>
                        <w:rPr>
                          <w:rFonts w:ascii="宋体"/>
                          <w:w w:val="95"/>
                          <w:sz w:val="16"/>
                        </w:rPr>
                        <w:t>1,017,231,534</w:t>
                      </w:r>
                      <w:r>
                        <w:rPr>
                          <w:rFonts w:ascii="宋体"/>
                          <w:sz w:val="16"/>
                        </w:rPr>
                      </w:r>
                    </w:p>
                  </w:txbxContent>
                </v:textbox>
                <w10:wrap type="none"/>
              </v:shape>
              <v:shape style="position:absolute;left:8095;top:495;width:1110;height:2075"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5"/>
                          <w:sz w:val="16"/>
                        </w:rPr>
                        <w:t>10,294,464,862</w:t>
                      </w:r>
                      <w:r>
                        <w:rPr>
                          <w:rFonts w:ascii="宋体"/>
                          <w:sz w:val="16"/>
                        </w:rPr>
                      </w:r>
                    </w:p>
                    <w:p>
                      <w:pPr>
                        <w:spacing w:before="64"/>
                        <w:ind w:left="88" w:right="0" w:firstLine="0"/>
                        <w:jc w:val="center"/>
                        <w:rPr>
                          <w:rFonts w:ascii="宋体" w:hAnsi="宋体" w:cs="宋体" w:eastAsia="宋体" w:hint="default"/>
                          <w:sz w:val="16"/>
                          <w:szCs w:val="16"/>
                        </w:rPr>
                      </w:pPr>
                      <w:r>
                        <w:rPr>
                          <w:rFonts w:ascii="宋体"/>
                          <w:w w:val="95"/>
                          <w:sz w:val="16"/>
                        </w:rPr>
                        <w:t>3,602,295,912</w:t>
                      </w:r>
                      <w:r>
                        <w:rPr>
                          <w:rFonts w:ascii="宋体"/>
                          <w:sz w:val="16"/>
                        </w:rPr>
                      </w:r>
                    </w:p>
                    <w:p>
                      <w:pPr>
                        <w:spacing w:before="64"/>
                        <w:ind w:left="88" w:right="0" w:firstLine="0"/>
                        <w:jc w:val="center"/>
                        <w:rPr>
                          <w:rFonts w:ascii="宋体" w:hAnsi="宋体" w:cs="宋体" w:eastAsia="宋体" w:hint="default"/>
                          <w:sz w:val="16"/>
                          <w:szCs w:val="16"/>
                        </w:rPr>
                      </w:pPr>
                      <w:r>
                        <w:rPr>
                          <w:rFonts w:ascii="宋体"/>
                          <w:w w:val="95"/>
                          <w:sz w:val="16"/>
                        </w:rPr>
                        <w:t>5,483,141,813</w:t>
                      </w:r>
                      <w:r>
                        <w:rPr>
                          <w:rFonts w:ascii="宋体"/>
                          <w:sz w:val="16"/>
                        </w:rPr>
                      </w:r>
                    </w:p>
                    <w:p>
                      <w:pPr>
                        <w:spacing w:before="64"/>
                        <w:ind w:left="88" w:right="0" w:firstLine="0"/>
                        <w:jc w:val="center"/>
                        <w:rPr>
                          <w:rFonts w:ascii="宋体" w:hAnsi="宋体" w:cs="宋体" w:eastAsia="宋体" w:hint="default"/>
                          <w:sz w:val="16"/>
                          <w:szCs w:val="16"/>
                        </w:rPr>
                      </w:pPr>
                      <w:r>
                        <w:rPr>
                          <w:rFonts w:ascii="宋体"/>
                          <w:w w:val="95"/>
                          <w:sz w:val="16"/>
                        </w:rPr>
                        <w:t>2,094,804,803</w:t>
                      </w:r>
                      <w:r>
                        <w:rPr>
                          <w:rFonts w:ascii="宋体"/>
                          <w:sz w:val="16"/>
                        </w:rPr>
                      </w:r>
                    </w:p>
                    <w:p>
                      <w:pPr>
                        <w:spacing w:before="64"/>
                        <w:ind w:left="222" w:right="0" w:firstLine="0"/>
                        <w:jc w:val="center"/>
                        <w:rPr>
                          <w:rFonts w:ascii="宋体" w:hAnsi="宋体" w:cs="宋体" w:eastAsia="宋体" w:hint="default"/>
                          <w:sz w:val="16"/>
                          <w:szCs w:val="16"/>
                        </w:rPr>
                      </w:pPr>
                      <w:r>
                        <w:rPr>
                          <w:rFonts w:ascii="宋体"/>
                          <w:sz w:val="16"/>
                        </w:rPr>
                        <w:t>755,348,783</w:t>
                      </w:r>
                    </w:p>
                    <w:p>
                      <w:pPr>
                        <w:spacing w:before="64"/>
                        <w:ind w:left="222" w:right="0" w:firstLine="0"/>
                        <w:jc w:val="center"/>
                        <w:rPr>
                          <w:rFonts w:ascii="宋体" w:hAnsi="宋体" w:cs="宋体" w:eastAsia="宋体" w:hint="default"/>
                          <w:sz w:val="16"/>
                          <w:szCs w:val="16"/>
                        </w:rPr>
                      </w:pPr>
                      <w:r>
                        <w:rPr>
                          <w:rFonts w:ascii="宋体"/>
                          <w:sz w:val="16"/>
                        </w:rPr>
                        <w:t>443,420,412</w:t>
                      </w:r>
                    </w:p>
                    <w:p>
                      <w:pPr>
                        <w:spacing w:before="64"/>
                        <w:ind w:left="222" w:right="0" w:firstLine="0"/>
                        <w:jc w:val="center"/>
                        <w:rPr>
                          <w:rFonts w:ascii="宋体" w:hAnsi="宋体" w:cs="宋体" w:eastAsia="宋体" w:hint="default"/>
                          <w:sz w:val="16"/>
                          <w:szCs w:val="16"/>
                        </w:rPr>
                      </w:pPr>
                      <w:r>
                        <w:rPr>
                          <w:rFonts w:ascii="宋体"/>
                          <w:sz w:val="16"/>
                        </w:rPr>
                        <w:t>246,832,212</w:t>
                      </w:r>
                    </w:p>
                    <w:p>
                      <w:pPr>
                        <w:spacing w:before="64"/>
                        <w:ind w:left="222" w:right="0" w:firstLine="0"/>
                        <w:jc w:val="center"/>
                        <w:rPr>
                          <w:rFonts w:ascii="宋体" w:hAnsi="宋体" w:cs="宋体" w:eastAsia="宋体" w:hint="default"/>
                          <w:sz w:val="16"/>
                          <w:szCs w:val="16"/>
                        </w:rPr>
                      </w:pPr>
                      <w:r>
                        <w:rPr>
                          <w:rFonts w:ascii="宋体"/>
                          <w:sz w:val="16"/>
                        </w:rPr>
                        <w:t>808,681,468</w:t>
                      </w:r>
                    </w:p>
                  </w:txbxContent>
                </v:textbox>
                <w10:wrap type="none"/>
              </v:shape>
              <v:shape style="position:absolute;left:4669;top:2673;width:116;height:20" type="#_x0000_t202" filled="false" stroked="false">
                <v:textbox inset="0,0,0,0">
                  <w:txbxContent>
                    <w:p>
                      <w:pPr>
                        <w:spacing w:line="18" w:lineRule="exact" w:before="0"/>
                        <w:ind w:left="0" w:right="0" w:firstLine="0"/>
                        <w:jc w:val="left"/>
                        <w:rPr>
                          <w:rFonts w:ascii="宋体" w:hAnsi="宋体" w:cs="宋体" w:eastAsia="宋体" w:hint="default"/>
                          <w:sz w:val="2"/>
                          <w:szCs w:val="2"/>
                        </w:rPr>
                      </w:pPr>
                      <w:r>
                        <w:rPr>
                          <w:rFonts w:ascii="宋体"/>
                          <w:w w:val="80"/>
                          <w:sz w:val="2"/>
                        </w:rPr>
                        <w:t>24,563,105,484</w:t>
                      </w:r>
                      <w:r>
                        <w:rPr>
                          <w:rFonts w:ascii="宋体"/>
                          <w:sz w:val="2"/>
                        </w:rPr>
                      </w:r>
                    </w:p>
                  </w:txbxContent>
                </v:textbox>
                <w10:wrap type="none"/>
              </v:shape>
              <v:shape style="position:absolute;left:6993;top:2673;width:116;height:20" type="#_x0000_t202" filled="false" stroked="false">
                <v:textbox inset="0,0,0,0">
                  <w:txbxContent>
                    <w:p>
                      <w:pPr>
                        <w:spacing w:line="18" w:lineRule="exact" w:before="0"/>
                        <w:ind w:left="0" w:right="0" w:firstLine="0"/>
                        <w:jc w:val="left"/>
                        <w:rPr>
                          <w:rFonts w:ascii="宋体" w:hAnsi="宋体" w:cs="宋体" w:eastAsia="宋体" w:hint="default"/>
                          <w:sz w:val="2"/>
                          <w:szCs w:val="2"/>
                        </w:rPr>
                      </w:pPr>
                      <w:r>
                        <w:rPr>
                          <w:rFonts w:ascii="宋体"/>
                          <w:w w:val="80"/>
                          <w:sz w:val="2"/>
                        </w:rPr>
                        <w:t>23,728,990,265</w:t>
                      </w:r>
                      <w:r>
                        <w:rPr>
                          <w:rFonts w:ascii="宋体"/>
                          <w:sz w:val="2"/>
                        </w:rPr>
                      </w:r>
                    </w:p>
                  </w:txbxContent>
                </v:textbox>
                <w10:wrap type="none"/>
              </v:shape>
              <v:shape style="position:absolute;left:133;top:2816;width:32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小计</w:t>
                      </w:r>
                    </w:p>
                  </w:txbxContent>
                </v:textbox>
                <w10:wrap type="none"/>
              </v:shape>
              <v:shape style="position:absolute;left:5771;top:2816;width:111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5"/>
                          <w:sz w:val="16"/>
                        </w:rPr>
                        <w:t>24,563,105,484</w:t>
                      </w:r>
                      <w:r>
                        <w:rPr>
                          <w:rFonts w:ascii="宋体"/>
                          <w:sz w:val="16"/>
                        </w:rPr>
                      </w:r>
                    </w:p>
                  </w:txbxContent>
                </v:textbox>
                <w10:wrap type="none"/>
              </v:shape>
              <v:shape style="position:absolute;left:8095;top:2816;width:111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5"/>
                          <w:sz w:val="16"/>
                        </w:rPr>
                        <w:t>23,728,990,265</w:t>
                      </w:r>
                      <w:r>
                        <w:rPr>
                          <w:rFonts w:ascii="宋体"/>
                          <w:sz w:val="16"/>
                        </w:rPr>
                      </w:r>
                    </w:p>
                  </w:txbxContent>
                </v:textbox>
                <w10:wrap type="none"/>
              </v:shape>
              <v:shape style="position:absolute;left:134;top:3223;width:96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减：坏账准备</w:t>
                      </w:r>
                    </w:p>
                  </w:txbxContent>
                </v:textbox>
                <w10:wrap type="none"/>
              </v:shape>
              <v:shape style="position:absolute;left:5771;top:3223;width:111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0"/>
                          <w:sz w:val="16"/>
                        </w:rPr>
                        <w:t>(6,720,402,501)</w:t>
                      </w:r>
                      <w:r>
                        <w:rPr>
                          <w:rFonts w:ascii="宋体"/>
                          <w:sz w:val="16"/>
                        </w:rPr>
                      </w:r>
                    </w:p>
                  </w:txbxContent>
                </v:textbox>
                <w10:wrap type="none"/>
              </v:shape>
              <v:shape style="position:absolute;left:8095;top:3223;width:111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0"/>
                          <w:sz w:val="16"/>
                        </w:rPr>
                        <w:t>(5,219,829,294)</w:t>
                      </w:r>
                      <w:r>
                        <w:rPr>
                          <w:rFonts w:ascii="宋体"/>
                          <w:sz w:val="16"/>
                        </w:rPr>
                      </w:r>
                    </w:p>
                  </w:txbxContent>
                </v:textbox>
                <w10:wrap type="none"/>
              </v:shape>
              <v:shape style="position:absolute;left:4669;top:3486;width:116;height:20" type="#_x0000_t202" filled="false" stroked="false">
                <v:textbox inset="0,0,0,0">
                  <w:txbxContent>
                    <w:p>
                      <w:pPr>
                        <w:spacing w:line="18" w:lineRule="exact" w:before="0"/>
                        <w:ind w:left="0" w:right="0" w:firstLine="0"/>
                        <w:jc w:val="left"/>
                        <w:rPr>
                          <w:rFonts w:ascii="宋体" w:hAnsi="宋体" w:cs="宋体" w:eastAsia="宋体" w:hint="default"/>
                          <w:sz w:val="2"/>
                          <w:szCs w:val="2"/>
                        </w:rPr>
                      </w:pPr>
                      <w:r>
                        <w:rPr>
                          <w:rFonts w:ascii="宋体"/>
                          <w:w w:val="80"/>
                          <w:sz w:val="2"/>
                        </w:rPr>
                        <w:t>17,842,702,983</w:t>
                      </w:r>
                      <w:r>
                        <w:rPr>
                          <w:rFonts w:ascii="宋体"/>
                          <w:sz w:val="2"/>
                        </w:rPr>
                      </w:r>
                    </w:p>
                  </w:txbxContent>
                </v:textbox>
                <w10:wrap type="none"/>
              </v:shape>
              <v:shape style="position:absolute;left:6993;top:3486;width:116;height:20" type="#_x0000_t202" filled="false" stroked="false">
                <v:textbox inset="0,0,0,0">
                  <w:txbxContent>
                    <w:p>
                      <w:pPr>
                        <w:spacing w:line="18" w:lineRule="exact" w:before="0"/>
                        <w:ind w:left="0" w:right="0" w:firstLine="0"/>
                        <w:jc w:val="left"/>
                        <w:rPr>
                          <w:rFonts w:ascii="宋体" w:hAnsi="宋体" w:cs="宋体" w:eastAsia="宋体" w:hint="default"/>
                          <w:sz w:val="2"/>
                          <w:szCs w:val="2"/>
                        </w:rPr>
                      </w:pPr>
                      <w:r>
                        <w:rPr>
                          <w:rFonts w:ascii="宋体"/>
                          <w:w w:val="80"/>
                          <w:sz w:val="2"/>
                        </w:rPr>
                        <w:t>18,509,160,971</w:t>
                      </w:r>
                      <w:r>
                        <w:rPr>
                          <w:rFonts w:ascii="宋体"/>
                          <w:sz w:val="2"/>
                        </w:rPr>
                      </w:r>
                    </w:p>
                  </w:txbxContent>
                </v:textbox>
                <w10:wrap type="none"/>
              </v:shape>
              <v:shape style="position:absolute;left:133;top:3629;width:32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hAnsi="宋体" w:cs="宋体" w:eastAsia="宋体" w:hint="default"/>
                          <w:sz w:val="16"/>
                          <w:szCs w:val="16"/>
                        </w:rPr>
                        <w:t>合计</w:t>
                      </w:r>
                    </w:p>
                  </w:txbxContent>
                </v:textbox>
                <w10:wrap type="none"/>
              </v:shape>
              <v:shape style="position:absolute;left:5771;top:3629;width:111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5"/>
                          <w:sz w:val="16"/>
                        </w:rPr>
                        <w:t>17,842,702,983</w:t>
                      </w:r>
                      <w:r>
                        <w:rPr>
                          <w:rFonts w:ascii="宋体"/>
                          <w:sz w:val="16"/>
                        </w:rPr>
                      </w:r>
                    </w:p>
                  </w:txbxContent>
                </v:textbox>
                <w10:wrap type="none"/>
              </v:shape>
              <v:shape style="position:absolute;left:8095;top:3629;width:1110;height:160" type="#_x0000_t202" filled="false" stroked="false">
                <v:textbox inset="0,0,0,0">
                  <w:txbxContent>
                    <w:p>
                      <w:pPr>
                        <w:spacing w:line="148" w:lineRule="exact" w:before="0"/>
                        <w:ind w:left="0" w:right="0" w:firstLine="0"/>
                        <w:jc w:val="left"/>
                        <w:rPr>
                          <w:rFonts w:ascii="宋体" w:hAnsi="宋体" w:cs="宋体" w:eastAsia="宋体" w:hint="default"/>
                          <w:sz w:val="16"/>
                          <w:szCs w:val="16"/>
                        </w:rPr>
                      </w:pPr>
                      <w:r>
                        <w:rPr>
                          <w:rFonts w:ascii="宋体"/>
                          <w:w w:val="95"/>
                          <w:sz w:val="16"/>
                        </w:rPr>
                        <w:t>18,509,160,971</w:t>
                      </w:r>
                      <w:r>
                        <w:rPr>
                          <w:rFonts w:ascii="宋体"/>
                          <w:sz w:val="16"/>
                        </w:rPr>
                      </w:r>
                    </w:p>
                  </w:txbxContent>
                </v:textbox>
                <w10:wrap type="none"/>
              </v:shape>
            </v:group>
          </v:group>
        </w:pict>
      </w:r>
      <w:r>
        <w:rPr>
          <w:rFonts w:ascii="宋体" w:hAnsi="宋体" w:cs="宋体" w:eastAsia="宋体" w:hint="default"/>
          <w:position w:val="-79"/>
          <w:sz w:val="20"/>
          <w:szCs w:val="20"/>
        </w:rPr>
      </w:r>
    </w:p>
    <w:p>
      <w:pPr>
        <w:spacing w:line="240" w:lineRule="auto" w:before="10"/>
        <w:rPr>
          <w:rFonts w:ascii="宋体" w:hAnsi="宋体" w:cs="宋体" w:eastAsia="宋体" w:hint="default"/>
          <w:sz w:val="10"/>
          <w:szCs w:val="10"/>
        </w:rPr>
      </w:pPr>
    </w:p>
    <w:p>
      <w:pPr>
        <w:pStyle w:val="BodyText"/>
        <w:spacing w:line="240" w:lineRule="auto" w:before="31"/>
        <w:ind w:left="453" w:right="0"/>
        <w:jc w:val="left"/>
      </w:pPr>
      <w:r>
        <w:rPr/>
        <w:t>账龄自应收账款确认日起开始计算。</w:t>
      </w:r>
    </w:p>
    <w:p>
      <w:pPr>
        <w:spacing w:line="240" w:lineRule="auto" w:before="5"/>
        <w:rPr>
          <w:rFonts w:ascii="宋体" w:hAnsi="宋体" w:cs="宋体" w:eastAsia="宋体" w:hint="default"/>
          <w:sz w:val="16"/>
          <w:szCs w:val="16"/>
        </w:rPr>
      </w:pPr>
    </w:p>
    <w:p>
      <w:pPr>
        <w:pStyle w:val="BodyText"/>
        <w:spacing w:line="240" w:lineRule="auto"/>
        <w:ind w:left="453" w:right="0"/>
        <w:jc w:val="left"/>
      </w:pPr>
      <w:r>
        <w:rPr/>
        <w:t>(2)</w:t>
      </w:r>
      <w:r>
        <w:rPr>
          <w:spacing w:val="19"/>
        </w:rPr>
        <w:t> </w:t>
      </w:r>
      <w:r>
        <w:rPr/>
        <w:t>应收账款按坏账准备计提方法分类披露：</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1313"/>
        <w:gridCol w:w="1599"/>
        <w:gridCol w:w="929"/>
        <w:gridCol w:w="503"/>
        <w:gridCol w:w="950"/>
        <w:gridCol w:w="1574"/>
        <w:gridCol w:w="940"/>
        <w:gridCol w:w="521"/>
        <w:gridCol w:w="967"/>
      </w:tblGrid>
      <w:tr>
        <w:trPr>
          <w:trHeight w:val="409" w:hRule="exact"/>
        </w:trPr>
        <w:tc>
          <w:tcPr>
            <w:tcW w:w="1313" w:type="dxa"/>
            <w:vMerge w:val="restart"/>
            <w:tcBorders>
              <w:top w:val="nil" w:sz="6" w:space="0" w:color="auto"/>
              <w:left w:val="nil" w:sz="6" w:space="0" w:color="auto"/>
              <w:right w:val="nil" w:sz="6" w:space="0" w:color="auto"/>
            </w:tcBorders>
          </w:tcPr>
          <w:p>
            <w:pPr/>
          </w:p>
        </w:tc>
        <w:tc>
          <w:tcPr>
            <w:tcW w:w="3982" w:type="dxa"/>
            <w:gridSpan w:val="4"/>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3"/>
              <w:ind w:right="0"/>
              <w:jc w:val="center"/>
              <w:rPr>
                <w:rFonts w:ascii="宋体" w:hAnsi="宋体" w:cs="宋体" w:eastAsia="宋体" w:hint="default"/>
                <w:sz w:val="12"/>
                <w:szCs w:val="12"/>
              </w:rPr>
            </w:pPr>
            <w:r>
              <w:rPr>
                <w:rFonts w:ascii="宋体" w:hAnsi="宋体" w:cs="宋体" w:eastAsia="宋体" w:hint="default"/>
                <w:w w:val="110"/>
                <w:sz w:val="12"/>
                <w:szCs w:val="12"/>
              </w:rPr>
              <w:t>2018</w:t>
            </w:r>
            <w:r>
              <w:rPr>
                <w:rFonts w:ascii="宋体" w:hAnsi="宋体" w:cs="宋体" w:eastAsia="宋体" w:hint="default"/>
                <w:spacing w:val="-44"/>
                <w:w w:val="110"/>
                <w:sz w:val="12"/>
                <w:szCs w:val="12"/>
              </w:rPr>
              <w:t> </w:t>
            </w:r>
            <w:r>
              <w:rPr>
                <w:rFonts w:ascii="宋体" w:hAnsi="宋体" w:cs="宋体" w:eastAsia="宋体" w:hint="default"/>
                <w:w w:val="110"/>
                <w:sz w:val="12"/>
                <w:szCs w:val="12"/>
              </w:rPr>
              <w:t>年</w:t>
            </w:r>
            <w:r>
              <w:rPr>
                <w:rFonts w:ascii="宋体" w:hAnsi="宋体" w:cs="宋体" w:eastAsia="宋体" w:hint="default"/>
                <w:spacing w:val="-43"/>
                <w:w w:val="110"/>
                <w:sz w:val="12"/>
                <w:szCs w:val="12"/>
              </w:rPr>
              <w:t> </w:t>
            </w:r>
            <w:r>
              <w:rPr>
                <w:rFonts w:ascii="宋体" w:hAnsi="宋体" w:cs="宋体" w:eastAsia="宋体" w:hint="default"/>
                <w:w w:val="110"/>
                <w:sz w:val="12"/>
                <w:szCs w:val="12"/>
              </w:rPr>
              <w:t>12</w:t>
            </w:r>
            <w:r>
              <w:rPr>
                <w:rFonts w:ascii="宋体" w:hAnsi="宋体" w:cs="宋体" w:eastAsia="宋体" w:hint="default"/>
                <w:spacing w:val="-44"/>
                <w:w w:val="110"/>
                <w:sz w:val="12"/>
                <w:szCs w:val="12"/>
              </w:rPr>
              <w:t> </w:t>
            </w:r>
            <w:r>
              <w:rPr>
                <w:rFonts w:ascii="宋体" w:hAnsi="宋体" w:cs="宋体" w:eastAsia="宋体" w:hint="default"/>
                <w:w w:val="110"/>
                <w:sz w:val="12"/>
                <w:szCs w:val="12"/>
              </w:rPr>
              <w:t>月</w:t>
            </w:r>
            <w:r>
              <w:rPr>
                <w:rFonts w:ascii="宋体" w:hAnsi="宋体" w:cs="宋体" w:eastAsia="宋体" w:hint="default"/>
                <w:spacing w:val="-43"/>
                <w:w w:val="110"/>
                <w:sz w:val="12"/>
                <w:szCs w:val="12"/>
              </w:rPr>
              <w:t> </w:t>
            </w:r>
            <w:r>
              <w:rPr>
                <w:rFonts w:ascii="宋体" w:hAnsi="宋体" w:cs="宋体" w:eastAsia="宋体" w:hint="default"/>
                <w:w w:val="110"/>
                <w:sz w:val="12"/>
                <w:szCs w:val="12"/>
              </w:rPr>
              <w:t>31</w:t>
            </w:r>
            <w:r>
              <w:rPr>
                <w:rFonts w:ascii="宋体" w:hAnsi="宋体" w:cs="宋体" w:eastAsia="宋体" w:hint="default"/>
                <w:spacing w:val="-44"/>
                <w:w w:val="110"/>
                <w:sz w:val="12"/>
                <w:szCs w:val="12"/>
              </w:rPr>
              <w:t> </w:t>
            </w:r>
            <w:r>
              <w:rPr>
                <w:rFonts w:ascii="宋体" w:hAnsi="宋体" w:cs="宋体" w:eastAsia="宋体" w:hint="default"/>
                <w:w w:val="110"/>
                <w:sz w:val="12"/>
                <w:szCs w:val="12"/>
              </w:rPr>
              <w:t>日</w:t>
            </w:r>
          </w:p>
        </w:tc>
        <w:tc>
          <w:tcPr>
            <w:tcW w:w="4003" w:type="dxa"/>
            <w:gridSpan w:val="4"/>
            <w:tcBorders>
              <w:top w:val="nil" w:sz="6" w:space="0" w:color="auto"/>
              <w:left w:val="nil" w:sz="6" w:space="0" w:color="auto"/>
              <w:bottom w:val="single" w:sz="6" w:space="0" w:color="000000"/>
              <w:right w:val="nil" w:sz="6" w:space="0" w:color="auto"/>
            </w:tcBorders>
          </w:tcPr>
          <w:p>
            <w:pPr>
              <w:pStyle w:val="TableParagraph"/>
              <w:spacing w:line="240" w:lineRule="auto" w:before="73"/>
              <w:ind w:right="0"/>
              <w:jc w:val="center"/>
              <w:rPr>
                <w:rFonts w:ascii="宋体" w:hAnsi="宋体" w:cs="宋体" w:eastAsia="宋体" w:hint="default"/>
                <w:sz w:val="12"/>
                <w:szCs w:val="12"/>
              </w:rPr>
            </w:pPr>
            <w:r>
              <w:rPr>
                <w:rFonts w:ascii="宋体" w:hAnsi="宋体" w:cs="宋体" w:eastAsia="宋体" w:hint="default"/>
                <w:w w:val="110"/>
                <w:sz w:val="12"/>
                <w:szCs w:val="12"/>
              </w:rPr>
              <w:t>2017</w:t>
            </w:r>
            <w:r>
              <w:rPr>
                <w:rFonts w:ascii="宋体" w:hAnsi="宋体" w:cs="宋体" w:eastAsia="宋体" w:hint="default"/>
                <w:spacing w:val="-44"/>
                <w:w w:val="110"/>
                <w:sz w:val="12"/>
                <w:szCs w:val="12"/>
              </w:rPr>
              <w:t> </w:t>
            </w:r>
            <w:r>
              <w:rPr>
                <w:rFonts w:ascii="宋体" w:hAnsi="宋体" w:cs="宋体" w:eastAsia="宋体" w:hint="default"/>
                <w:w w:val="110"/>
                <w:sz w:val="12"/>
                <w:szCs w:val="12"/>
              </w:rPr>
              <w:t>年</w:t>
            </w:r>
            <w:r>
              <w:rPr>
                <w:rFonts w:ascii="宋体" w:hAnsi="宋体" w:cs="宋体" w:eastAsia="宋体" w:hint="default"/>
                <w:spacing w:val="-43"/>
                <w:w w:val="110"/>
                <w:sz w:val="12"/>
                <w:szCs w:val="12"/>
              </w:rPr>
              <w:t> </w:t>
            </w:r>
            <w:r>
              <w:rPr>
                <w:rFonts w:ascii="宋体" w:hAnsi="宋体" w:cs="宋体" w:eastAsia="宋体" w:hint="default"/>
                <w:w w:val="110"/>
                <w:sz w:val="12"/>
                <w:szCs w:val="12"/>
              </w:rPr>
              <w:t>12</w:t>
            </w:r>
            <w:r>
              <w:rPr>
                <w:rFonts w:ascii="宋体" w:hAnsi="宋体" w:cs="宋体" w:eastAsia="宋体" w:hint="default"/>
                <w:spacing w:val="-44"/>
                <w:w w:val="110"/>
                <w:sz w:val="12"/>
                <w:szCs w:val="12"/>
              </w:rPr>
              <w:t> </w:t>
            </w:r>
            <w:r>
              <w:rPr>
                <w:rFonts w:ascii="宋体" w:hAnsi="宋体" w:cs="宋体" w:eastAsia="宋体" w:hint="default"/>
                <w:w w:val="110"/>
                <w:sz w:val="12"/>
                <w:szCs w:val="12"/>
              </w:rPr>
              <w:t>月</w:t>
            </w:r>
            <w:r>
              <w:rPr>
                <w:rFonts w:ascii="宋体" w:hAnsi="宋体" w:cs="宋体" w:eastAsia="宋体" w:hint="default"/>
                <w:spacing w:val="-43"/>
                <w:w w:val="110"/>
                <w:sz w:val="12"/>
                <w:szCs w:val="12"/>
              </w:rPr>
              <w:t> </w:t>
            </w:r>
            <w:r>
              <w:rPr>
                <w:rFonts w:ascii="宋体" w:hAnsi="宋体" w:cs="宋体" w:eastAsia="宋体" w:hint="default"/>
                <w:w w:val="110"/>
                <w:sz w:val="12"/>
                <w:szCs w:val="12"/>
              </w:rPr>
              <w:t>31</w:t>
            </w:r>
            <w:r>
              <w:rPr>
                <w:rFonts w:ascii="宋体" w:hAnsi="宋体" w:cs="宋体" w:eastAsia="宋体" w:hint="default"/>
                <w:spacing w:val="-44"/>
                <w:w w:val="110"/>
                <w:sz w:val="12"/>
                <w:szCs w:val="12"/>
              </w:rPr>
              <w:t> </w:t>
            </w:r>
            <w:r>
              <w:rPr>
                <w:rFonts w:ascii="宋体" w:hAnsi="宋体" w:cs="宋体" w:eastAsia="宋体" w:hint="default"/>
                <w:w w:val="110"/>
                <w:sz w:val="12"/>
                <w:szCs w:val="12"/>
              </w:rPr>
              <w:t>日</w:t>
            </w:r>
          </w:p>
        </w:tc>
      </w:tr>
      <w:tr>
        <w:trPr>
          <w:trHeight w:val="367" w:hRule="exact"/>
        </w:trPr>
        <w:tc>
          <w:tcPr>
            <w:tcW w:w="1313" w:type="dxa"/>
            <w:vMerge/>
            <w:tcBorders>
              <w:left w:val="nil" w:sz="6" w:space="0" w:color="auto"/>
              <w:right w:val="nil" w:sz="6" w:space="0" w:color="auto"/>
            </w:tcBorders>
          </w:tcPr>
          <w:p>
            <w:pPr/>
          </w:p>
        </w:tc>
        <w:tc>
          <w:tcPr>
            <w:tcW w:w="159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76"/>
              <w:ind w:left="531" w:right="0"/>
              <w:jc w:val="left"/>
              <w:rPr>
                <w:rFonts w:ascii="宋体" w:hAnsi="宋体" w:cs="宋体" w:eastAsia="宋体" w:hint="default"/>
                <w:sz w:val="12"/>
                <w:szCs w:val="12"/>
              </w:rPr>
            </w:pPr>
            <w:r>
              <w:rPr>
                <w:rFonts w:ascii="宋体" w:hAnsi="宋体" w:cs="宋体" w:eastAsia="宋体" w:hint="default"/>
                <w:sz w:val="12"/>
                <w:szCs w:val="12"/>
              </w:rPr>
              <w:t>账面余额</w:t>
            </w:r>
          </w:p>
        </w:tc>
        <w:tc>
          <w:tcPr>
            <w:tcW w:w="92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76"/>
              <w:ind w:right="5"/>
              <w:jc w:val="right"/>
              <w:rPr>
                <w:rFonts w:ascii="宋体" w:hAnsi="宋体" w:cs="宋体" w:eastAsia="宋体" w:hint="default"/>
                <w:sz w:val="12"/>
                <w:szCs w:val="12"/>
              </w:rPr>
            </w:pPr>
            <w:r>
              <w:rPr>
                <w:rFonts w:ascii="宋体" w:hAnsi="宋体" w:cs="宋体" w:eastAsia="宋体" w:hint="default"/>
                <w:sz w:val="12"/>
                <w:szCs w:val="12"/>
              </w:rPr>
              <w:t>坏账准备</w:t>
            </w:r>
          </w:p>
        </w:tc>
        <w:tc>
          <w:tcPr>
            <w:tcW w:w="1454" w:type="dxa"/>
            <w:gridSpan w:val="2"/>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76"/>
              <w:ind w:left="731" w:right="0"/>
              <w:jc w:val="left"/>
              <w:rPr>
                <w:rFonts w:ascii="宋体" w:hAnsi="宋体" w:cs="宋体" w:eastAsia="宋体" w:hint="default"/>
                <w:sz w:val="12"/>
                <w:szCs w:val="12"/>
              </w:rPr>
            </w:pPr>
            <w:r>
              <w:rPr>
                <w:rFonts w:ascii="宋体" w:hAnsi="宋体" w:cs="宋体" w:eastAsia="宋体" w:hint="default"/>
                <w:sz w:val="12"/>
                <w:szCs w:val="12"/>
              </w:rPr>
              <w:t>账面价值</w:t>
            </w:r>
          </w:p>
        </w:tc>
        <w:tc>
          <w:tcPr>
            <w:tcW w:w="1574" w:type="dxa"/>
            <w:tcBorders>
              <w:top w:val="single" w:sz="6" w:space="0" w:color="000000"/>
              <w:left w:val="nil" w:sz="6" w:space="0" w:color="auto"/>
              <w:bottom w:val="single" w:sz="6" w:space="0" w:color="000000"/>
              <w:right w:val="nil" w:sz="6" w:space="0" w:color="auto"/>
            </w:tcBorders>
          </w:tcPr>
          <w:p>
            <w:pPr>
              <w:pStyle w:val="TableParagraph"/>
              <w:spacing w:line="240" w:lineRule="auto" w:before="76"/>
              <w:ind w:left="508" w:right="0"/>
              <w:jc w:val="left"/>
              <w:rPr>
                <w:rFonts w:ascii="宋体" w:hAnsi="宋体" w:cs="宋体" w:eastAsia="宋体" w:hint="default"/>
                <w:sz w:val="12"/>
                <w:szCs w:val="12"/>
              </w:rPr>
            </w:pPr>
            <w:r>
              <w:rPr>
                <w:rFonts w:ascii="宋体" w:hAnsi="宋体" w:cs="宋体" w:eastAsia="宋体" w:hint="default"/>
                <w:sz w:val="12"/>
                <w:szCs w:val="12"/>
              </w:rPr>
              <w:t>账面余额</w:t>
            </w:r>
          </w:p>
        </w:tc>
        <w:tc>
          <w:tcPr>
            <w:tcW w:w="940" w:type="dxa"/>
            <w:tcBorders>
              <w:top w:val="single" w:sz="6" w:space="0" w:color="000000"/>
              <w:left w:val="nil" w:sz="6" w:space="0" w:color="auto"/>
              <w:bottom w:val="single" w:sz="6" w:space="0" w:color="000000"/>
              <w:right w:val="nil" w:sz="6" w:space="0" w:color="auto"/>
            </w:tcBorders>
          </w:tcPr>
          <w:p>
            <w:pPr>
              <w:pStyle w:val="TableParagraph"/>
              <w:spacing w:line="240" w:lineRule="auto" w:before="76"/>
              <w:ind w:right="27"/>
              <w:jc w:val="right"/>
              <w:rPr>
                <w:rFonts w:ascii="宋体" w:hAnsi="宋体" w:cs="宋体" w:eastAsia="宋体" w:hint="default"/>
                <w:sz w:val="12"/>
                <w:szCs w:val="12"/>
              </w:rPr>
            </w:pPr>
            <w:r>
              <w:rPr>
                <w:rFonts w:ascii="宋体" w:hAnsi="宋体" w:cs="宋体" w:eastAsia="宋体" w:hint="default"/>
                <w:sz w:val="12"/>
                <w:szCs w:val="12"/>
              </w:rPr>
              <w:t>坏账准备</w:t>
            </w:r>
          </w:p>
        </w:tc>
        <w:tc>
          <w:tcPr>
            <w:tcW w:w="1488" w:type="dxa"/>
            <w:gridSpan w:val="2"/>
            <w:tcBorders>
              <w:top w:val="single" w:sz="6" w:space="0" w:color="000000"/>
              <w:left w:val="nil" w:sz="6" w:space="0" w:color="auto"/>
              <w:bottom w:val="single" w:sz="6" w:space="0" w:color="000000"/>
              <w:right w:val="nil" w:sz="6" w:space="0" w:color="auto"/>
            </w:tcBorders>
          </w:tcPr>
          <w:p>
            <w:pPr>
              <w:pStyle w:val="TableParagraph"/>
              <w:spacing w:line="240" w:lineRule="auto" w:before="76"/>
              <w:ind w:left="743" w:right="0"/>
              <w:jc w:val="left"/>
              <w:rPr>
                <w:rFonts w:ascii="宋体" w:hAnsi="宋体" w:cs="宋体" w:eastAsia="宋体" w:hint="default"/>
                <w:sz w:val="12"/>
                <w:szCs w:val="12"/>
              </w:rPr>
            </w:pPr>
            <w:r>
              <w:rPr>
                <w:rFonts w:ascii="宋体" w:hAnsi="宋体" w:cs="宋体" w:eastAsia="宋体" w:hint="default"/>
                <w:sz w:val="12"/>
                <w:szCs w:val="12"/>
              </w:rPr>
              <w:t>账面价值</w:t>
            </w:r>
          </w:p>
        </w:tc>
      </w:tr>
      <w:tr>
        <w:trPr>
          <w:trHeight w:val="374" w:hRule="exact"/>
        </w:trPr>
        <w:tc>
          <w:tcPr>
            <w:tcW w:w="1313" w:type="dxa"/>
            <w:vMerge/>
            <w:tcBorders>
              <w:left w:val="nil" w:sz="6" w:space="0" w:color="auto"/>
              <w:bottom w:val="single" w:sz="16" w:space="0" w:color="9F8958"/>
              <w:right w:val="nil" w:sz="6" w:space="0" w:color="auto"/>
            </w:tcBorders>
          </w:tcPr>
          <w:p>
            <w:pPr/>
          </w:p>
        </w:tc>
        <w:tc>
          <w:tcPr>
            <w:tcW w:w="1599" w:type="dxa"/>
            <w:tcBorders>
              <w:top w:val="single" w:sz="6" w:space="0" w:color="000000"/>
              <w:left w:val="nil" w:sz="6" w:space="0" w:color="auto"/>
              <w:bottom w:val="single" w:sz="16" w:space="0" w:color="9F8958"/>
              <w:right w:val="nil" w:sz="6" w:space="0" w:color="auto"/>
            </w:tcBorders>
            <w:shd w:val="clear" w:color="auto" w:fill="ECE7DD"/>
          </w:tcPr>
          <w:p>
            <w:pPr>
              <w:pStyle w:val="TableParagraph"/>
              <w:tabs>
                <w:tab w:pos="664" w:val="left" w:leader="none"/>
              </w:tabs>
              <w:spacing w:line="240" w:lineRule="auto" w:before="76"/>
              <w:ind w:right="74"/>
              <w:jc w:val="right"/>
              <w:rPr>
                <w:rFonts w:ascii="宋体" w:hAnsi="宋体" w:cs="宋体" w:eastAsia="宋体" w:hint="default"/>
                <w:sz w:val="12"/>
                <w:szCs w:val="12"/>
              </w:rPr>
            </w:pPr>
            <w:r>
              <w:rPr>
                <w:rFonts w:ascii="宋体" w:hAnsi="宋体" w:cs="宋体" w:eastAsia="宋体" w:hint="default"/>
                <w:sz w:val="12"/>
                <w:szCs w:val="12"/>
              </w:rPr>
              <w:t>金额</w:t>
              <w:tab/>
              <w:t>比例</w:t>
            </w:r>
            <w:r>
              <w:rPr>
                <w:rFonts w:ascii="宋体" w:hAnsi="宋体" w:cs="宋体" w:eastAsia="宋体" w:hint="default"/>
                <w:spacing w:val="-25"/>
                <w:sz w:val="12"/>
                <w:szCs w:val="12"/>
              </w:rPr>
              <w:t> </w:t>
            </w:r>
            <w:r>
              <w:rPr>
                <w:rFonts w:ascii="宋体" w:hAnsi="宋体" w:cs="宋体" w:eastAsia="宋体" w:hint="default"/>
                <w:sz w:val="12"/>
                <w:szCs w:val="12"/>
              </w:rPr>
              <w:t>(%)</w:t>
            </w:r>
          </w:p>
        </w:tc>
        <w:tc>
          <w:tcPr>
            <w:tcW w:w="92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6"/>
              <w:ind w:left="306" w:right="0"/>
              <w:jc w:val="left"/>
              <w:rPr>
                <w:rFonts w:ascii="宋体" w:hAnsi="宋体" w:cs="宋体" w:eastAsia="宋体" w:hint="default"/>
                <w:sz w:val="12"/>
                <w:szCs w:val="12"/>
              </w:rPr>
            </w:pPr>
            <w:r>
              <w:rPr>
                <w:rFonts w:ascii="宋体" w:hAnsi="宋体" w:cs="宋体" w:eastAsia="宋体" w:hint="default"/>
                <w:sz w:val="12"/>
                <w:szCs w:val="12"/>
              </w:rPr>
              <w:t>金额</w:t>
            </w:r>
          </w:p>
        </w:tc>
        <w:tc>
          <w:tcPr>
            <w:tcW w:w="1454" w:type="dxa"/>
            <w:gridSpan w:val="2"/>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6"/>
              <w:ind w:left="7" w:right="0"/>
              <w:jc w:val="left"/>
              <w:rPr>
                <w:rFonts w:ascii="宋体" w:hAnsi="宋体" w:cs="宋体" w:eastAsia="宋体" w:hint="default"/>
                <w:sz w:val="12"/>
                <w:szCs w:val="12"/>
              </w:rPr>
            </w:pPr>
            <w:r>
              <w:rPr>
                <w:rFonts w:ascii="宋体" w:hAnsi="宋体" w:cs="宋体" w:eastAsia="宋体" w:hint="default"/>
                <w:sz w:val="12"/>
                <w:szCs w:val="12"/>
              </w:rPr>
              <w:t>比例</w:t>
            </w:r>
            <w:r>
              <w:rPr>
                <w:rFonts w:ascii="宋体" w:hAnsi="宋体" w:cs="宋体" w:eastAsia="宋体" w:hint="default"/>
                <w:spacing w:val="-25"/>
                <w:sz w:val="12"/>
                <w:szCs w:val="12"/>
              </w:rPr>
              <w:t> </w:t>
            </w:r>
            <w:r>
              <w:rPr>
                <w:rFonts w:ascii="宋体" w:hAnsi="宋体" w:cs="宋体" w:eastAsia="宋体" w:hint="default"/>
                <w:sz w:val="12"/>
                <w:szCs w:val="12"/>
              </w:rPr>
              <w:t>(%)</w:t>
            </w:r>
          </w:p>
        </w:tc>
        <w:tc>
          <w:tcPr>
            <w:tcW w:w="1574" w:type="dxa"/>
            <w:tcBorders>
              <w:top w:val="single" w:sz="6" w:space="0" w:color="000000"/>
              <w:left w:val="nil" w:sz="6" w:space="0" w:color="auto"/>
              <w:bottom w:val="single" w:sz="16" w:space="0" w:color="9F8958"/>
              <w:right w:val="nil" w:sz="6" w:space="0" w:color="auto"/>
            </w:tcBorders>
          </w:tcPr>
          <w:p>
            <w:pPr>
              <w:pStyle w:val="TableParagraph"/>
              <w:tabs>
                <w:tab w:pos="640" w:val="left" w:leader="none"/>
              </w:tabs>
              <w:spacing w:line="240" w:lineRule="auto" w:before="76"/>
              <w:ind w:right="97"/>
              <w:jc w:val="right"/>
              <w:rPr>
                <w:rFonts w:ascii="宋体" w:hAnsi="宋体" w:cs="宋体" w:eastAsia="宋体" w:hint="default"/>
                <w:sz w:val="12"/>
                <w:szCs w:val="12"/>
              </w:rPr>
            </w:pPr>
            <w:r>
              <w:rPr>
                <w:rFonts w:ascii="宋体" w:hAnsi="宋体" w:cs="宋体" w:eastAsia="宋体" w:hint="default"/>
                <w:sz w:val="12"/>
                <w:szCs w:val="12"/>
              </w:rPr>
              <w:t>金额</w:t>
              <w:tab/>
              <w:t>比例</w:t>
            </w:r>
            <w:r>
              <w:rPr>
                <w:rFonts w:ascii="宋体" w:hAnsi="宋体" w:cs="宋体" w:eastAsia="宋体" w:hint="default"/>
                <w:spacing w:val="-25"/>
                <w:sz w:val="12"/>
                <w:szCs w:val="12"/>
              </w:rPr>
              <w:t> </w:t>
            </w:r>
            <w:r>
              <w:rPr>
                <w:rFonts w:ascii="宋体" w:hAnsi="宋体" w:cs="宋体" w:eastAsia="宋体" w:hint="default"/>
                <w:sz w:val="12"/>
                <w:szCs w:val="12"/>
              </w:rPr>
              <w:t>(%)</w:t>
            </w:r>
          </w:p>
        </w:tc>
        <w:tc>
          <w:tcPr>
            <w:tcW w:w="940" w:type="dxa"/>
            <w:tcBorders>
              <w:top w:val="single" w:sz="6" w:space="0" w:color="000000"/>
              <w:left w:val="nil" w:sz="6" w:space="0" w:color="auto"/>
              <w:bottom w:val="single" w:sz="16" w:space="0" w:color="9F8958"/>
              <w:right w:val="nil" w:sz="6" w:space="0" w:color="auto"/>
            </w:tcBorders>
          </w:tcPr>
          <w:p>
            <w:pPr>
              <w:pStyle w:val="TableParagraph"/>
              <w:spacing w:line="240" w:lineRule="auto" w:before="76"/>
              <w:ind w:left="306" w:right="0"/>
              <w:jc w:val="left"/>
              <w:rPr>
                <w:rFonts w:ascii="宋体" w:hAnsi="宋体" w:cs="宋体" w:eastAsia="宋体" w:hint="default"/>
                <w:sz w:val="12"/>
                <w:szCs w:val="12"/>
              </w:rPr>
            </w:pPr>
            <w:r>
              <w:rPr>
                <w:rFonts w:ascii="宋体" w:hAnsi="宋体" w:cs="宋体" w:eastAsia="宋体" w:hint="default"/>
                <w:sz w:val="12"/>
                <w:szCs w:val="12"/>
              </w:rPr>
              <w:t>金额</w:t>
            </w:r>
          </w:p>
        </w:tc>
        <w:tc>
          <w:tcPr>
            <w:tcW w:w="1488"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76"/>
              <w:ind w:left="7" w:right="0"/>
              <w:jc w:val="left"/>
              <w:rPr>
                <w:rFonts w:ascii="宋体" w:hAnsi="宋体" w:cs="宋体" w:eastAsia="宋体" w:hint="default"/>
                <w:sz w:val="12"/>
                <w:szCs w:val="12"/>
              </w:rPr>
            </w:pPr>
            <w:r>
              <w:rPr>
                <w:rFonts w:ascii="宋体" w:hAnsi="宋体" w:cs="宋体" w:eastAsia="宋体" w:hint="default"/>
                <w:sz w:val="12"/>
                <w:szCs w:val="12"/>
              </w:rPr>
              <w:t>比例</w:t>
            </w:r>
            <w:r>
              <w:rPr>
                <w:rFonts w:ascii="宋体" w:hAnsi="宋体" w:cs="宋体" w:eastAsia="宋体" w:hint="default"/>
                <w:spacing w:val="-25"/>
                <w:sz w:val="12"/>
                <w:szCs w:val="12"/>
              </w:rPr>
              <w:t> </w:t>
            </w:r>
            <w:r>
              <w:rPr>
                <w:rFonts w:ascii="宋体" w:hAnsi="宋体" w:cs="宋体" w:eastAsia="宋体" w:hint="default"/>
                <w:sz w:val="12"/>
                <w:szCs w:val="12"/>
              </w:rPr>
              <w:t>(%)</w:t>
            </w:r>
          </w:p>
        </w:tc>
      </w:tr>
      <w:tr>
        <w:trPr>
          <w:trHeight w:val="426" w:hRule="exact"/>
        </w:trPr>
        <w:tc>
          <w:tcPr>
            <w:tcW w:w="1313"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13" w:right="0"/>
              <w:jc w:val="left"/>
              <w:rPr>
                <w:rFonts w:ascii="宋体" w:hAnsi="宋体" w:cs="宋体" w:eastAsia="宋体" w:hint="default"/>
                <w:sz w:val="12"/>
                <w:szCs w:val="12"/>
              </w:rPr>
            </w:pPr>
            <w:r>
              <w:rPr>
                <w:rFonts w:ascii="宋体" w:hAnsi="宋体" w:cs="宋体" w:eastAsia="宋体" w:hint="default"/>
                <w:sz w:val="12"/>
                <w:szCs w:val="12"/>
              </w:rPr>
              <w:t>按单项计提坏账准备</w:t>
            </w:r>
          </w:p>
        </w:tc>
        <w:tc>
          <w:tcPr>
            <w:tcW w:w="159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379" w:right="0"/>
              <w:jc w:val="left"/>
              <w:rPr>
                <w:rFonts w:ascii="宋体" w:hAnsi="宋体" w:cs="宋体" w:eastAsia="宋体" w:hint="default"/>
                <w:sz w:val="12"/>
                <w:szCs w:val="12"/>
              </w:rPr>
            </w:pPr>
            <w:r>
              <w:rPr>
                <w:rFonts w:ascii="宋体"/>
                <w:sz w:val="12"/>
              </w:rPr>
              <w:t>112,258,918 </w:t>
            </w:r>
            <w:r>
              <w:rPr>
                <w:rFonts w:ascii="宋体"/>
                <w:spacing w:val="10"/>
                <w:sz w:val="12"/>
              </w:rPr>
              <w:t> </w:t>
            </w:r>
            <w:r>
              <w:rPr>
                <w:rFonts w:ascii="宋体"/>
                <w:sz w:val="12"/>
              </w:rPr>
              <w:t>0.46</w:t>
            </w:r>
          </w:p>
        </w:tc>
        <w:tc>
          <w:tcPr>
            <w:tcW w:w="92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
              <w:jc w:val="right"/>
              <w:rPr>
                <w:rFonts w:ascii="宋体" w:hAnsi="宋体" w:cs="宋体" w:eastAsia="宋体" w:hint="default"/>
                <w:sz w:val="12"/>
                <w:szCs w:val="12"/>
              </w:rPr>
            </w:pPr>
            <w:r>
              <w:rPr>
                <w:rFonts w:ascii="宋体"/>
                <w:w w:val="90"/>
                <w:sz w:val="12"/>
              </w:rPr>
              <w:t>(106,970,688)</w:t>
            </w:r>
            <w:r>
              <w:rPr>
                <w:rFonts w:ascii="宋体"/>
                <w:sz w:val="12"/>
              </w:rPr>
            </w:r>
          </w:p>
        </w:tc>
        <w:tc>
          <w:tcPr>
            <w:tcW w:w="503"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31"/>
              <w:jc w:val="center"/>
              <w:rPr>
                <w:rFonts w:ascii="宋体" w:hAnsi="宋体" w:cs="宋体" w:eastAsia="宋体" w:hint="default"/>
                <w:sz w:val="12"/>
                <w:szCs w:val="12"/>
              </w:rPr>
            </w:pPr>
            <w:r>
              <w:rPr>
                <w:rFonts w:ascii="宋体"/>
                <w:sz w:val="12"/>
              </w:rPr>
              <w:t>95.29</w:t>
            </w:r>
          </w:p>
        </w:tc>
        <w:tc>
          <w:tcPr>
            <w:tcW w:w="950"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w w:val="95"/>
                <w:sz w:val="12"/>
              </w:rPr>
              <w:t>5,288,230</w:t>
            </w:r>
            <w:r>
              <w:rPr>
                <w:rFonts w:ascii="宋体"/>
                <w:sz w:val="12"/>
              </w:rPr>
            </w:r>
          </w:p>
        </w:tc>
        <w:tc>
          <w:tcPr>
            <w:tcW w:w="1574"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75"/>
              <w:jc w:val="right"/>
              <w:rPr>
                <w:rFonts w:ascii="宋体" w:hAnsi="宋体" w:cs="宋体" w:eastAsia="宋体" w:hint="default"/>
                <w:sz w:val="12"/>
                <w:szCs w:val="12"/>
              </w:rPr>
            </w:pPr>
            <w:r>
              <w:rPr>
                <w:rFonts w:ascii="宋体"/>
                <w:sz w:val="12"/>
              </w:rPr>
              <w:t>3,189,167,063</w:t>
            </w:r>
            <w:r>
              <w:rPr>
                <w:rFonts w:ascii="宋体"/>
                <w:spacing w:val="24"/>
                <w:sz w:val="12"/>
              </w:rPr>
              <w:t> </w:t>
            </w:r>
            <w:r>
              <w:rPr>
                <w:rFonts w:ascii="宋体"/>
                <w:sz w:val="12"/>
              </w:rPr>
              <w:t>13.44</w:t>
            </w:r>
          </w:p>
        </w:tc>
        <w:tc>
          <w:tcPr>
            <w:tcW w:w="940"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7"/>
              <w:jc w:val="right"/>
              <w:rPr>
                <w:rFonts w:ascii="宋体" w:hAnsi="宋体" w:cs="宋体" w:eastAsia="宋体" w:hint="default"/>
                <w:sz w:val="12"/>
                <w:szCs w:val="12"/>
              </w:rPr>
            </w:pPr>
            <w:r>
              <w:rPr>
                <w:rFonts w:ascii="宋体"/>
                <w:w w:val="90"/>
                <w:sz w:val="12"/>
              </w:rPr>
              <w:t>(530,702,166)</w:t>
            </w:r>
            <w:r>
              <w:rPr>
                <w:rFonts w:ascii="宋体"/>
                <w:sz w:val="12"/>
              </w:rPr>
            </w:r>
          </w:p>
        </w:tc>
        <w:tc>
          <w:tcPr>
            <w:tcW w:w="521"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47"/>
              <w:jc w:val="center"/>
              <w:rPr>
                <w:rFonts w:ascii="宋体" w:hAnsi="宋体" w:cs="宋体" w:eastAsia="宋体" w:hint="default"/>
                <w:sz w:val="12"/>
                <w:szCs w:val="12"/>
              </w:rPr>
            </w:pPr>
            <w:r>
              <w:rPr>
                <w:rFonts w:ascii="宋体"/>
                <w:sz w:val="12"/>
              </w:rPr>
              <w:t>16.64</w:t>
            </w:r>
          </w:p>
        </w:tc>
        <w:tc>
          <w:tcPr>
            <w:tcW w:w="967"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w w:val="95"/>
                <w:sz w:val="12"/>
              </w:rPr>
              <w:t>2,658,464,897</w:t>
            </w:r>
            <w:r>
              <w:rPr>
                <w:rFonts w:ascii="宋体"/>
                <w:sz w:val="12"/>
              </w:rPr>
            </w:r>
          </w:p>
        </w:tc>
      </w:tr>
      <w:tr>
        <w:trPr>
          <w:trHeight w:val="400" w:hRule="exact"/>
        </w:trPr>
        <w:tc>
          <w:tcPr>
            <w:tcW w:w="1313"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2"/>
                <w:szCs w:val="12"/>
              </w:rPr>
            </w:pPr>
            <w:r>
              <w:rPr>
                <w:rFonts w:ascii="宋体" w:hAnsi="宋体" w:cs="宋体" w:eastAsia="宋体" w:hint="default"/>
                <w:sz w:val="12"/>
                <w:szCs w:val="12"/>
              </w:rPr>
              <w:t>按组合计提坏账准备</w:t>
            </w:r>
          </w:p>
        </w:tc>
        <w:tc>
          <w:tcPr>
            <w:tcW w:w="1599"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right="152"/>
              <w:jc w:val="right"/>
              <w:rPr>
                <w:rFonts w:ascii="宋体" w:hAnsi="宋体" w:cs="宋体" w:eastAsia="宋体" w:hint="default"/>
                <w:sz w:val="12"/>
                <w:szCs w:val="12"/>
              </w:rPr>
            </w:pPr>
            <w:r>
              <w:rPr>
                <w:rFonts w:ascii="宋体"/>
                <w:sz w:val="12"/>
              </w:rPr>
              <w:t>24,450,846,566</w:t>
            </w:r>
            <w:r>
              <w:rPr>
                <w:rFonts w:ascii="宋体"/>
                <w:spacing w:val="30"/>
                <w:sz w:val="12"/>
              </w:rPr>
              <w:t> </w:t>
            </w:r>
            <w:r>
              <w:rPr>
                <w:rFonts w:ascii="宋体"/>
                <w:sz w:val="12"/>
              </w:rPr>
              <w:t>99.54</w:t>
            </w:r>
          </w:p>
        </w:tc>
        <w:tc>
          <w:tcPr>
            <w:tcW w:w="929"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right="18"/>
              <w:jc w:val="right"/>
              <w:rPr>
                <w:rFonts w:ascii="宋体" w:hAnsi="宋体" w:cs="宋体" w:eastAsia="宋体" w:hint="default"/>
                <w:sz w:val="12"/>
                <w:szCs w:val="12"/>
              </w:rPr>
            </w:pPr>
            <w:r>
              <w:rPr>
                <w:rFonts w:ascii="宋体"/>
                <w:w w:val="90"/>
                <w:sz w:val="12"/>
              </w:rPr>
              <w:t>(6,613,431,813)</w:t>
            </w:r>
            <w:r>
              <w:rPr>
                <w:rFonts w:ascii="宋体"/>
                <w:sz w:val="12"/>
              </w:rPr>
            </w:r>
          </w:p>
        </w:tc>
        <w:tc>
          <w:tcPr>
            <w:tcW w:w="503"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right="31"/>
              <w:jc w:val="center"/>
              <w:rPr>
                <w:rFonts w:ascii="宋体" w:hAnsi="宋体" w:cs="宋体" w:eastAsia="宋体" w:hint="default"/>
                <w:sz w:val="12"/>
                <w:szCs w:val="12"/>
              </w:rPr>
            </w:pPr>
            <w:r>
              <w:rPr>
                <w:rFonts w:ascii="宋体"/>
                <w:sz w:val="12"/>
              </w:rPr>
              <w:t>27.05</w:t>
            </w:r>
          </w:p>
        </w:tc>
        <w:tc>
          <w:tcPr>
            <w:tcW w:w="950"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right="-1"/>
              <w:jc w:val="right"/>
              <w:rPr>
                <w:rFonts w:ascii="宋体" w:hAnsi="宋体" w:cs="宋体" w:eastAsia="宋体" w:hint="default"/>
                <w:sz w:val="12"/>
                <w:szCs w:val="12"/>
              </w:rPr>
            </w:pPr>
            <w:r>
              <w:rPr>
                <w:rFonts w:ascii="宋体"/>
                <w:w w:val="95"/>
                <w:sz w:val="12"/>
              </w:rPr>
              <w:t>17,837,414,753</w:t>
            </w:r>
            <w:r>
              <w:rPr>
                <w:rFonts w:ascii="宋体"/>
                <w:sz w:val="12"/>
              </w:rPr>
            </w:r>
          </w:p>
        </w:tc>
        <w:tc>
          <w:tcPr>
            <w:tcW w:w="1574"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right="175"/>
              <w:jc w:val="right"/>
              <w:rPr>
                <w:rFonts w:ascii="宋体" w:hAnsi="宋体" w:cs="宋体" w:eastAsia="宋体" w:hint="default"/>
                <w:sz w:val="12"/>
                <w:szCs w:val="12"/>
              </w:rPr>
            </w:pPr>
            <w:r>
              <w:rPr>
                <w:rFonts w:ascii="宋体"/>
                <w:sz w:val="12"/>
              </w:rPr>
              <w:t>20,539,823,202</w:t>
            </w:r>
            <w:r>
              <w:rPr>
                <w:rFonts w:ascii="宋体"/>
                <w:spacing w:val="30"/>
                <w:sz w:val="12"/>
              </w:rPr>
              <w:t> </w:t>
            </w:r>
            <w:r>
              <w:rPr>
                <w:rFonts w:ascii="宋体"/>
                <w:sz w:val="12"/>
              </w:rPr>
              <w:t>86.56</w:t>
            </w:r>
          </w:p>
        </w:tc>
        <w:tc>
          <w:tcPr>
            <w:tcW w:w="940"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right="7"/>
              <w:jc w:val="right"/>
              <w:rPr>
                <w:rFonts w:ascii="宋体" w:hAnsi="宋体" w:cs="宋体" w:eastAsia="宋体" w:hint="default"/>
                <w:sz w:val="12"/>
                <w:szCs w:val="12"/>
              </w:rPr>
            </w:pPr>
            <w:r>
              <w:rPr>
                <w:rFonts w:ascii="宋体"/>
                <w:w w:val="90"/>
                <w:sz w:val="12"/>
              </w:rPr>
              <w:t>(4,689,127,128)</w:t>
            </w:r>
            <w:r>
              <w:rPr>
                <w:rFonts w:ascii="宋体"/>
                <w:sz w:val="12"/>
              </w:rPr>
            </w:r>
          </w:p>
        </w:tc>
        <w:tc>
          <w:tcPr>
            <w:tcW w:w="521"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right="47"/>
              <w:jc w:val="center"/>
              <w:rPr>
                <w:rFonts w:ascii="宋体" w:hAnsi="宋体" w:cs="宋体" w:eastAsia="宋体" w:hint="default"/>
                <w:sz w:val="12"/>
                <w:szCs w:val="12"/>
              </w:rPr>
            </w:pPr>
            <w:r>
              <w:rPr>
                <w:rFonts w:ascii="宋体"/>
                <w:sz w:val="12"/>
              </w:rPr>
              <w:t>22.83</w:t>
            </w:r>
          </w:p>
        </w:tc>
        <w:tc>
          <w:tcPr>
            <w:tcW w:w="967"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right="-1"/>
              <w:jc w:val="right"/>
              <w:rPr>
                <w:rFonts w:ascii="宋体" w:hAnsi="宋体" w:cs="宋体" w:eastAsia="宋体" w:hint="default"/>
                <w:sz w:val="12"/>
                <w:szCs w:val="12"/>
              </w:rPr>
            </w:pPr>
            <w:r>
              <w:rPr>
                <w:rFonts w:ascii="宋体"/>
                <w:w w:val="95"/>
                <w:sz w:val="12"/>
              </w:rPr>
              <w:t>15,850,696,074</w:t>
            </w:r>
            <w:r>
              <w:rPr>
                <w:rFonts w:ascii="宋体"/>
                <w:sz w:val="12"/>
              </w:rPr>
            </w:r>
          </w:p>
        </w:tc>
      </w:tr>
      <w:tr>
        <w:trPr>
          <w:trHeight w:val="481" w:hRule="exact"/>
        </w:trPr>
        <w:tc>
          <w:tcPr>
            <w:tcW w:w="1313"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1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59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19"/>
              <w:jc w:val="right"/>
              <w:rPr>
                <w:rFonts w:ascii="宋体" w:hAnsi="宋体" w:cs="宋体" w:eastAsia="宋体" w:hint="default"/>
                <w:sz w:val="12"/>
                <w:szCs w:val="12"/>
              </w:rPr>
            </w:pPr>
            <w:r>
              <w:rPr>
                <w:rFonts w:ascii="宋体"/>
                <w:sz w:val="12"/>
              </w:rPr>
              <w:t>24,563,105,484</w:t>
            </w:r>
            <w:r>
              <w:rPr>
                <w:rFonts w:ascii="宋体"/>
                <w:spacing w:val="4"/>
                <w:sz w:val="12"/>
              </w:rPr>
              <w:t> </w:t>
            </w:r>
            <w:r>
              <w:rPr>
                <w:rFonts w:ascii="宋体"/>
                <w:sz w:val="12"/>
              </w:rPr>
              <w:t>100.00</w:t>
            </w:r>
          </w:p>
        </w:tc>
        <w:tc>
          <w:tcPr>
            <w:tcW w:w="92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
              <w:jc w:val="right"/>
              <w:rPr>
                <w:rFonts w:ascii="宋体" w:hAnsi="宋体" w:cs="宋体" w:eastAsia="宋体" w:hint="default"/>
                <w:sz w:val="12"/>
                <w:szCs w:val="12"/>
              </w:rPr>
            </w:pPr>
            <w:r>
              <w:rPr>
                <w:rFonts w:ascii="宋体"/>
                <w:w w:val="90"/>
                <w:sz w:val="12"/>
              </w:rPr>
              <w:t>(6,720,402,501)</w:t>
            </w:r>
            <w:r>
              <w:rPr>
                <w:rFonts w:ascii="宋体"/>
                <w:sz w:val="12"/>
              </w:rPr>
            </w:r>
          </w:p>
        </w:tc>
        <w:tc>
          <w:tcPr>
            <w:tcW w:w="503"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31"/>
              <w:jc w:val="center"/>
              <w:rPr>
                <w:rFonts w:ascii="宋体" w:hAnsi="宋体" w:cs="宋体" w:eastAsia="宋体" w:hint="default"/>
                <w:sz w:val="12"/>
                <w:szCs w:val="12"/>
              </w:rPr>
            </w:pPr>
            <w:r>
              <w:rPr>
                <w:rFonts w:ascii="宋体"/>
                <w:sz w:val="12"/>
              </w:rPr>
              <w:t>27.36</w:t>
            </w:r>
          </w:p>
        </w:tc>
        <w:tc>
          <w:tcPr>
            <w:tcW w:w="950"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w w:val="95"/>
                <w:sz w:val="12"/>
              </w:rPr>
              <w:t>17,842,702,983</w:t>
            </w:r>
            <w:r>
              <w:rPr>
                <w:rFonts w:ascii="宋体"/>
                <w:sz w:val="12"/>
              </w:rPr>
            </w:r>
          </w:p>
        </w:tc>
        <w:tc>
          <w:tcPr>
            <w:tcW w:w="1574"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41"/>
              <w:jc w:val="right"/>
              <w:rPr>
                <w:rFonts w:ascii="宋体" w:hAnsi="宋体" w:cs="宋体" w:eastAsia="宋体" w:hint="default"/>
                <w:sz w:val="12"/>
                <w:szCs w:val="12"/>
              </w:rPr>
            </w:pPr>
            <w:r>
              <w:rPr>
                <w:rFonts w:ascii="宋体"/>
                <w:sz w:val="12"/>
              </w:rPr>
              <w:t>23,728,990,265</w:t>
            </w:r>
            <w:r>
              <w:rPr>
                <w:rFonts w:ascii="宋体"/>
                <w:spacing w:val="4"/>
                <w:sz w:val="12"/>
              </w:rPr>
              <w:t> </w:t>
            </w:r>
            <w:r>
              <w:rPr>
                <w:rFonts w:ascii="宋体"/>
                <w:sz w:val="12"/>
              </w:rPr>
              <w:t>100.00</w:t>
            </w:r>
          </w:p>
        </w:tc>
        <w:tc>
          <w:tcPr>
            <w:tcW w:w="940"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7"/>
              <w:jc w:val="right"/>
              <w:rPr>
                <w:rFonts w:ascii="宋体" w:hAnsi="宋体" w:cs="宋体" w:eastAsia="宋体" w:hint="default"/>
                <w:sz w:val="12"/>
                <w:szCs w:val="12"/>
              </w:rPr>
            </w:pPr>
            <w:r>
              <w:rPr>
                <w:rFonts w:ascii="宋体"/>
                <w:w w:val="90"/>
                <w:sz w:val="12"/>
              </w:rPr>
              <w:t>(5,219,829,294)</w:t>
            </w:r>
            <w:r>
              <w:rPr>
                <w:rFonts w:ascii="宋体"/>
                <w:sz w:val="12"/>
              </w:rPr>
            </w:r>
          </w:p>
        </w:tc>
        <w:tc>
          <w:tcPr>
            <w:tcW w:w="521"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47"/>
              <w:jc w:val="center"/>
              <w:rPr>
                <w:rFonts w:ascii="宋体" w:hAnsi="宋体" w:cs="宋体" w:eastAsia="宋体" w:hint="default"/>
                <w:sz w:val="12"/>
                <w:szCs w:val="12"/>
              </w:rPr>
            </w:pPr>
            <w:r>
              <w:rPr>
                <w:rFonts w:ascii="宋体"/>
                <w:sz w:val="12"/>
              </w:rPr>
              <w:t>22.00</w:t>
            </w:r>
          </w:p>
        </w:tc>
        <w:tc>
          <w:tcPr>
            <w:tcW w:w="967"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w w:val="95"/>
                <w:sz w:val="12"/>
              </w:rPr>
              <w:t>18,509,160,971</w:t>
            </w:r>
            <w:r>
              <w:rPr>
                <w:rFonts w:ascii="宋体"/>
                <w:sz w:val="12"/>
              </w:rPr>
            </w:r>
          </w:p>
        </w:tc>
      </w:tr>
    </w:tbl>
    <w:p>
      <w:pPr>
        <w:spacing w:line="240" w:lineRule="auto" w:before="2"/>
        <w:rPr>
          <w:rFonts w:ascii="宋体" w:hAnsi="宋体" w:cs="宋体" w:eastAsia="宋体" w:hint="default"/>
          <w:sz w:val="9"/>
          <w:szCs w:val="9"/>
        </w:rPr>
      </w:pPr>
    </w:p>
    <w:p>
      <w:pPr>
        <w:pStyle w:val="BodyText"/>
        <w:spacing w:line="240" w:lineRule="auto" w:before="31"/>
        <w:ind w:left="453" w:right="0"/>
        <w:jc w:val="left"/>
      </w:pPr>
      <w:r>
        <w:rPr/>
        <w:t>账龄自应收账款确认日起开始计算。</w:t>
      </w:r>
    </w:p>
    <w:p>
      <w:pPr>
        <w:spacing w:after="0" w:line="240" w:lineRule="auto"/>
        <w:jc w:val="left"/>
        <w:sectPr>
          <w:pgSz w:w="11910" w:h="16160"/>
          <w:pgMar w:header="1200" w:footer="320" w:top="2120" w:bottom="520" w:left="680" w:right="1320"/>
        </w:sectPr>
      </w:pPr>
    </w:p>
    <w:p>
      <w:pPr>
        <w:spacing w:line="240" w:lineRule="auto" w:before="3"/>
        <w:rPr>
          <w:rFonts w:ascii="宋体" w:hAnsi="宋体" w:cs="宋体" w:eastAsia="宋体" w:hint="default"/>
          <w:sz w:val="14"/>
          <w:szCs w:val="14"/>
        </w:rPr>
      </w:pPr>
    </w:p>
    <w:p>
      <w:pPr>
        <w:pStyle w:val="BodyText"/>
        <w:spacing w:line="480" w:lineRule="auto" w:before="31"/>
        <w:ind w:left="114" w:right="7233"/>
        <w:jc w:val="left"/>
      </w:pPr>
      <w:r>
        <w:rPr/>
        <w:t>3、</w:t>
      </w:r>
      <w:r>
        <w:rPr>
          <w:spacing w:val="-22"/>
        </w:rPr>
        <w:t> </w:t>
      </w:r>
      <w:r>
        <w:rPr/>
        <w:t>应收票据及应收账款（续）</w:t>
      </w:r>
      <w:r>
        <w:rPr/>
        <w:t> (b)</w:t>
      </w:r>
      <w:r>
        <w:rPr>
          <w:spacing w:val="-21"/>
        </w:rPr>
        <w:t> </w:t>
      </w:r>
      <w:r>
        <w:rPr/>
        <w:t>应收账款（续）</w:t>
      </w:r>
    </w:p>
    <w:p>
      <w:pPr>
        <w:pStyle w:val="BodyText"/>
        <w:spacing w:line="240" w:lineRule="auto" w:before="54"/>
        <w:ind w:right="0"/>
        <w:jc w:val="both"/>
      </w:pPr>
      <w:r>
        <w:rPr/>
        <w:t>(3)  2018</w:t>
      </w:r>
      <w:r>
        <w:rPr>
          <w:spacing w:val="-77"/>
        </w:rPr>
        <w:t> </w:t>
      </w:r>
      <w:r>
        <w:rPr/>
        <w:t>年应收账款预期信用损失的评估</w:t>
      </w:r>
    </w:p>
    <w:p>
      <w:pPr>
        <w:spacing w:line="240" w:lineRule="auto" w:before="5"/>
        <w:rPr>
          <w:rFonts w:ascii="宋体" w:hAnsi="宋体" w:cs="宋体" w:eastAsia="宋体" w:hint="default"/>
          <w:sz w:val="16"/>
          <w:szCs w:val="16"/>
        </w:rPr>
      </w:pPr>
    </w:p>
    <w:p>
      <w:pPr>
        <w:pStyle w:val="BodyText"/>
        <w:spacing w:line="285" w:lineRule="auto"/>
        <w:ind w:right="108"/>
        <w:jc w:val="both"/>
      </w:pPr>
      <w:r>
        <w:rPr/>
        <w:t>本集团按照相当于整个存续期内预期信用损失的金额计量应收账款的减值准备，并以逾期天数与违约损失率对照表为</w:t>
      </w:r>
      <w:r>
        <w:rPr>
          <w:spacing w:val="9"/>
        </w:rPr>
        <w:t> </w:t>
      </w:r>
      <w:r>
        <w:rPr>
          <w:spacing w:val="9"/>
        </w:rPr>
      </w:r>
      <w:r>
        <w:rPr/>
        <w:t>基础计算其预期信用损失。根据本集团的历史经验，不同的细分客户群体适用不同的损失模式，因此分别根据其信用</w:t>
      </w:r>
      <w:r>
        <w:rPr>
          <w:spacing w:val="5"/>
        </w:rPr>
        <w:t> </w:t>
      </w:r>
      <w:r>
        <w:rPr>
          <w:spacing w:val="5"/>
        </w:rPr>
      </w:r>
      <w:r>
        <w:rPr/>
        <w:t>情况适用不同的减值准备。</w:t>
      </w:r>
    </w:p>
    <w:p>
      <w:pPr>
        <w:spacing w:line="240" w:lineRule="auto" w:before="10"/>
        <w:rPr>
          <w:rFonts w:ascii="宋体" w:hAnsi="宋体" w:cs="宋体" w:eastAsia="宋体" w:hint="default"/>
          <w:sz w:val="13"/>
          <w:szCs w:val="13"/>
        </w:rPr>
      </w:pPr>
    </w:p>
    <w:p>
      <w:pPr>
        <w:pStyle w:val="BodyText"/>
        <w:spacing w:line="458" w:lineRule="auto"/>
        <w:ind w:right="1672"/>
        <w:jc w:val="left"/>
      </w:pPr>
      <w:r>
        <w:rPr/>
        <w:t>下表列示了在</w:t>
      </w:r>
      <w:r>
        <w:rPr>
          <w:spacing w:val="-33"/>
        </w:rPr>
        <w:t> </w:t>
      </w:r>
      <w:r>
        <w:rPr/>
        <w:t>2018</w:t>
      </w:r>
      <w:r>
        <w:rPr>
          <w:spacing w:val="-34"/>
        </w:rPr>
        <w:t> </w:t>
      </w:r>
      <w:r>
        <w:rPr/>
        <w:t>年</w:t>
      </w:r>
      <w:r>
        <w:rPr>
          <w:spacing w:val="-33"/>
        </w:rPr>
        <w:t> </w:t>
      </w:r>
      <w:r>
        <w:rPr/>
        <w:t>12</w:t>
      </w:r>
      <w:r>
        <w:rPr>
          <w:spacing w:val="-34"/>
        </w:rPr>
        <w:t> </w:t>
      </w:r>
      <w:r>
        <w:rPr/>
        <w:t>月</w:t>
      </w:r>
      <w:r>
        <w:rPr>
          <w:spacing w:val="-33"/>
        </w:rPr>
        <w:t> </w:t>
      </w:r>
      <w:r>
        <w:rPr/>
        <w:t>31</w:t>
      </w:r>
      <w:r>
        <w:rPr>
          <w:spacing w:val="-34"/>
        </w:rPr>
        <w:t> </w:t>
      </w:r>
      <w:r>
        <w:rPr/>
        <w:t>日，本集团应收账款的信用风险敞口及预期信用损失的相关信息。</w:t>
      </w:r>
      <w:r>
        <w:rPr>
          <w:spacing w:val="-88"/>
        </w:rPr>
        <w:t> </w:t>
      </w:r>
      <w:r>
        <w:rPr>
          <w:spacing w:val="-88"/>
        </w:rPr>
      </w:r>
      <w:r>
        <w:rPr>
          <w:w w:val="90"/>
        </w:rPr>
        <w:t>(i)</w:t>
      </w:r>
      <w:r>
        <w:rPr>
          <w:spacing w:val="-59"/>
          <w:w w:val="90"/>
        </w:rPr>
        <w:t> </w:t>
      </w:r>
      <w:r>
        <w:rPr>
          <w:w w:val="95"/>
        </w:rPr>
        <w:t>公众和一般商务用户</w:t>
      </w:r>
    </w:p>
    <w:p>
      <w:pPr>
        <w:spacing w:line="240" w:lineRule="auto" w:before="3"/>
        <w:rPr>
          <w:rFonts w:ascii="宋体" w:hAnsi="宋体" w:cs="宋体" w:eastAsia="宋体" w:hint="default"/>
          <w:sz w:val="2"/>
          <w:szCs w:val="2"/>
        </w:rPr>
      </w:pPr>
    </w:p>
    <w:tbl>
      <w:tblPr>
        <w:tblW w:w="0" w:type="auto"/>
        <w:jc w:val="left"/>
        <w:tblInd w:w="419" w:type="dxa"/>
        <w:tblLayout w:type="fixed"/>
        <w:tblCellMar>
          <w:top w:w="0" w:type="dxa"/>
          <w:left w:w="0" w:type="dxa"/>
          <w:bottom w:w="0" w:type="dxa"/>
          <w:right w:w="0" w:type="dxa"/>
        </w:tblCellMar>
        <w:tblLook w:val="01E0"/>
      </w:tblPr>
      <w:tblGrid>
        <w:gridCol w:w="2290"/>
        <w:gridCol w:w="2556"/>
        <w:gridCol w:w="2645"/>
        <w:gridCol w:w="1828"/>
      </w:tblGrid>
      <w:tr>
        <w:trPr>
          <w:trHeight w:val="384" w:hRule="exact"/>
        </w:trPr>
        <w:tc>
          <w:tcPr>
            <w:tcW w:w="2290" w:type="dxa"/>
            <w:tcBorders>
              <w:top w:val="nil" w:sz="6" w:space="0" w:color="auto"/>
              <w:left w:val="nil" w:sz="6" w:space="0" w:color="auto"/>
              <w:bottom w:val="single" w:sz="16" w:space="0" w:color="9F8958"/>
              <w:right w:val="nil" w:sz="6" w:space="0" w:color="auto"/>
            </w:tcBorders>
          </w:tcPr>
          <w:p>
            <w:pPr/>
          </w:p>
        </w:tc>
        <w:tc>
          <w:tcPr>
            <w:tcW w:w="2556"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00"/>
              <w:jc w:val="center"/>
              <w:rPr>
                <w:rFonts w:ascii="宋体" w:hAnsi="宋体" w:cs="宋体" w:eastAsia="宋体" w:hint="default"/>
                <w:sz w:val="16"/>
                <w:szCs w:val="16"/>
              </w:rPr>
            </w:pPr>
            <w:r>
              <w:rPr>
                <w:rFonts w:ascii="宋体" w:hAnsi="宋体" w:cs="宋体" w:eastAsia="宋体" w:hint="default"/>
                <w:sz w:val="16"/>
                <w:szCs w:val="16"/>
              </w:rPr>
              <w:t>违约损失率</w:t>
            </w:r>
          </w:p>
        </w:tc>
        <w:tc>
          <w:tcPr>
            <w:tcW w:w="2645"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604"/>
              <w:jc w:val="right"/>
              <w:rPr>
                <w:rFonts w:ascii="宋体" w:hAnsi="宋体" w:cs="宋体" w:eastAsia="宋体" w:hint="default"/>
                <w:sz w:val="16"/>
                <w:szCs w:val="16"/>
              </w:rPr>
            </w:pPr>
            <w:r>
              <w:rPr>
                <w:rFonts w:ascii="宋体" w:hAnsi="宋体" w:cs="宋体" w:eastAsia="宋体" w:hint="default"/>
                <w:sz w:val="16"/>
                <w:szCs w:val="16"/>
              </w:rPr>
              <w:t>年末账面余额</w:t>
            </w:r>
          </w:p>
        </w:tc>
        <w:tc>
          <w:tcPr>
            <w:tcW w:w="1828"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sz w:val="16"/>
                <w:szCs w:val="16"/>
              </w:rPr>
              <w:t>年末减值准备</w:t>
            </w:r>
          </w:p>
        </w:tc>
      </w:tr>
      <w:tr>
        <w:trPr>
          <w:trHeight w:val="362" w:hRule="exact"/>
        </w:trPr>
        <w:tc>
          <w:tcPr>
            <w:tcW w:w="229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未逾期</w:t>
            </w:r>
          </w:p>
        </w:tc>
        <w:tc>
          <w:tcPr>
            <w:tcW w:w="255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00"/>
              <w:jc w:val="center"/>
              <w:rPr>
                <w:rFonts w:ascii="宋体" w:hAnsi="宋体" w:cs="宋体" w:eastAsia="宋体" w:hint="default"/>
                <w:sz w:val="16"/>
                <w:szCs w:val="16"/>
              </w:rPr>
            </w:pPr>
            <w:r>
              <w:rPr>
                <w:rFonts w:ascii="宋体"/>
                <w:w w:val="155"/>
                <w:sz w:val="16"/>
              </w:rPr>
              <w:t>7%</w:t>
            </w:r>
            <w:r>
              <w:rPr>
                <w:rFonts w:ascii="宋体"/>
                <w:sz w:val="16"/>
              </w:rPr>
            </w:r>
          </w:p>
        </w:tc>
        <w:tc>
          <w:tcPr>
            <w:tcW w:w="264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603"/>
              <w:jc w:val="right"/>
              <w:rPr>
                <w:rFonts w:ascii="宋体" w:hAnsi="宋体" w:cs="宋体" w:eastAsia="宋体" w:hint="default"/>
                <w:sz w:val="16"/>
                <w:szCs w:val="16"/>
              </w:rPr>
            </w:pPr>
            <w:r>
              <w:rPr>
                <w:rFonts w:ascii="宋体"/>
                <w:w w:val="95"/>
                <w:sz w:val="16"/>
              </w:rPr>
              <w:t>3,202,357,201</w:t>
            </w:r>
            <w:r>
              <w:rPr>
                <w:rFonts w:ascii="宋体"/>
                <w:sz w:val="16"/>
              </w:rPr>
            </w:r>
          </w:p>
        </w:tc>
        <w:tc>
          <w:tcPr>
            <w:tcW w:w="182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(212,198,899)</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pacing w:val="19"/>
                <w:w w:val="105"/>
                <w:sz w:val="16"/>
                <w:szCs w:val="16"/>
              </w:rPr>
              <w:t>逾期1至</w:t>
            </w:r>
            <w:r>
              <w:rPr>
                <w:rFonts w:ascii="宋体" w:hAnsi="宋体" w:cs="宋体" w:eastAsia="宋体" w:hint="default"/>
                <w:spacing w:val="-55"/>
                <w:w w:val="105"/>
                <w:sz w:val="16"/>
                <w:szCs w:val="16"/>
              </w:rPr>
              <w:t> </w:t>
            </w:r>
            <w:r>
              <w:rPr>
                <w:rFonts w:ascii="宋体" w:hAnsi="宋体" w:cs="宋体" w:eastAsia="宋体" w:hint="default"/>
                <w:spacing w:val="12"/>
                <w:w w:val="105"/>
                <w:sz w:val="16"/>
                <w:szCs w:val="16"/>
              </w:rPr>
              <w:t>30日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25%</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sz w:val="16"/>
              </w:rPr>
              <w:t>685,300,210</w:t>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(171,269,262)</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w w:val="105"/>
                <w:sz w:val="16"/>
                <w:szCs w:val="16"/>
              </w:rPr>
              <w:t>逾期</w:t>
            </w:r>
            <w:r>
              <w:rPr>
                <w:rFonts w:ascii="宋体" w:hAnsi="宋体" w:cs="宋体" w:eastAsia="宋体" w:hint="default"/>
                <w:spacing w:val="-48"/>
                <w:w w:val="105"/>
                <w:sz w:val="16"/>
                <w:szCs w:val="16"/>
              </w:rPr>
              <w:t> </w:t>
            </w:r>
            <w:r>
              <w:rPr>
                <w:rFonts w:ascii="宋体" w:hAnsi="宋体" w:cs="宋体" w:eastAsia="宋体" w:hint="default"/>
                <w:spacing w:val="12"/>
                <w:w w:val="105"/>
                <w:sz w:val="16"/>
                <w:szCs w:val="16"/>
              </w:rPr>
              <w:t>31至</w:t>
            </w:r>
            <w:r>
              <w:rPr>
                <w:rFonts w:ascii="宋体" w:hAnsi="宋体" w:cs="宋体" w:eastAsia="宋体" w:hint="default"/>
                <w:spacing w:val="-48"/>
                <w:w w:val="105"/>
                <w:sz w:val="16"/>
                <w:szCs w:val="16"/>
              </w:rPr>
              <w:t> </w:t>
            </w:r>
            <w:r>
              <w:rPr>
                <w:rFonts w:ascii="宋体" w:hAnsi="宋体" w:cs="宋体" w:eastAsia="宋体" w:hint="default"/>
                <w:spacing w:val="12"/>
                <w:w w:val="105"/>
                <w:sz w:val="16"/>
                <w:szCs w:val="16"/>
              </w:rPr>
              <w:t>60日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70%</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sz w:val="16"/>
              </w:rPr>
              <w:t>373,993,561</w:t>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(261,761,830)</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w w:val="105"/>
                <w:sz w:val="16"/>
                <w:szCs w:val="16"/>
              </w:rPr>
              <w:t>逾期</w:t>
            </w:r>
            <w:r>
              <w:rPr>
                <w:rFonts w:ascii="宋体" w:hAnsi="宋体" w:cs="宋体" w:eastAsia="宋体" w:hint="default"/>
                <w:spacing w:val="-48"/>
                <w:w w:val="105"/>
                <w:sz w:val="16"/>
                <w:szCs w:val="16"/>
              </w:rPr>
              <w:t> </w:t>
            </w:r>
            <w:r>
              <w:rPr>
                <w:rFonts w:ascii="宋体" w:hAnsi="宋体" w:cs="宋体" w:eastAsia="宋体" w:hint="default"/>
                <w:spacing w:val="12"/>
                <w:w w:val="105"/>
                <w:sz w:val="16"/>
                <w:szCs w:val="16"/>
              </w:rPr>
              <w:t>61至</w:t>
            </w:r>
            <w:r>
              <w:rPr>
                <w:rFonts w:ascii="宋体" w:hAnsi="宋体" w:cs="宋体" w:eastAsia="宋体" w:hint="default"/>
                <w:spacing w:val="-48"/>
                <w:w w:val="105"/>
                <w:sz w:val="16"/>
                <w:szCs w:val="16"/>
              </w:rPr>
              <w:t> </w:t>
            </w:r>
            <w:r>
              <w:rPr>
                <w:rFonts w:ascii="宋体" w:hAnsi="宋体" w:cs="宋体" w:eastAsia="宋体" w:hint="default"/>
                <w:spacing w:val="12"/>
                <w:w w:val="105"/>
                <w:sz w:val="16"/>
                <w:szCs w:val="16"/>
              </w:rPr>
              <w:t>90日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80%</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sz w:val="16"/>
              </w:rPr>
              <w:t>335,938,939</w:t>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(268,722,032)</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w w:val="105"/>
                <w:sz w:val="16"/>
                <w:szCs w:val="16"/>
              </w:rPr>
              <w:t>逾期</w:t>
            </w:r>
            <w:r>
              <w:rPr>
                <w:rFonts w:ascii="宋体" w:hAnsi="宋体" w:cs="宋体" w:eastAsia="宋体" w:hint="default"/>
                <w:spacing w:val="-47"/>
                <w:w w:val="105"/>
                <w:sz w:val="16"/>
                <w:szCs w:val="16"/>
              </w:rPr>
              <w:t> </w:t>
            </w:r>
            <w:r>
              <w:rPr>
                <w:rFonts w:ascii="宋体" w:hAnsi="宋体" w:cs="宋体" w:eastAsia="宋体" w:hint="default"/>
                <w:w w:val="105"/>
                <w:sz w:val="16"/>
                <w:szCs w:val="16"/>
              </w:rPr>
              <w:t>91</w:t>
            </w:r>
            <w:r>
              <w:rPr>
                <w:rFonts w:ascii="宋体" w:hAnsi="宋体" w:cs="宋体" w:eastAsia="宋体" w:hint="default"/>
                <w:spacing w:val="-47"/>
                <w:w w:val="105"/>
                <w:sz w:val="16"/>
                <w:szCs w:val="16"/>
              </w:rPr>
              <w:t> </w:t>
            </w:r>
            <w:r>
              <w:rPr>
                <w:rFonts w:ascii="宋体" w:hAnsi="宋体" w:cs="宋体" w:eastAsia="宋体" w:hint="default"/>
                <w:w w:val="105"/>
                <w:sz w:val="16"/>
                <w:szCs w:val="16"/>
              </w:rPr>
              <w:t>至</w:t>
            </w:r>
            <w:r>
              <w:rPr>
                <w:rFonts w:ascii="宋体" w:hAnsi="宋体" w:cs="宋体" w:eastAsia="宋体" w:hint="default"/>
                <w:spacing w:val="-47"/>
                <w:w w:val="105"/>
                <w:sz w:val="16"/>
                <w:szCs w:val="16"/>
              </w:rPr>
              <w:t> </w:t>
            </w:r>
            <w:r>
              <w:rPr>
                <w:rFonts w:ascii="宋体" w:hAnsi="宋体" w:cs="宋体" w:eastAsia="宋体" w:hint="default"/>
                <w:w w:val="105"/>
                <w:sz w:val="16"/>
                <w:szCs w:val="16"/>
              </w:rPr>
              <w:t>180</w:t>
            </w:r>
            <w:r>
              <w:rPr>
                <w:rFonts w:ascii="宋体" w:hAnsi="宋体" w:cs="宋体" w:eastAsia="宋体" w:hint="default"/>
                <w:spacing w:val="-47"/>
                <w:w w:val="105"/>
                <w:sz w:val="16"/>
                <w:szCs w:val="16"/>
              </w:rPr>
              <w:t> </w:t>
            </w:r>
            <w:r>
              <w:rPr>
                <w:rFonts w:ascii="宋体" w:hAnsi="宋体" w:cs="宋体" w:eastAsia="宋体" w:hint="default"/>
                <w:w w:val="105"/>
                <w:sz w:val="16"/>
                <w:szCs w:val="16"/>
              </w:rPr>
              <w:t>日</w:t>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90%</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sz w:val="16"/>
              </w:rPr>
              <w:t>862,367,651</w:t>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(776,051,612)</w:t>
            </w:r>
            <w:r>
              <w:rPr>
                <w:rFonts w:ascii="宋体"/>
                <w:sz w:val="16"/>
              </w:rPr>
            </w:r>
          </w:p>
        </w:tc>
      </w:tr>
      <w:tr>
        <w:trPr>
          <w:trHeight w:val="330" w:hRule="exact"/>
        </w:trPr>
        <w:tc>
          <w:tcPr>
            <w:tcW w:w="2290" w:type="dxa"/>
            <w:tcBorders>
              <w:top w:val="nil" w:sz="6" w:space="0" w:color="auto"/>
              <w:left w:val="nil" w:sz="6" w:space="0" w:color="auto"/>
              <w:bottom w:val="single" w:sz="6" w:space="0" w:color="000000"/>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z w:val="16"/>
                <w:szCs w:val="16"/>
              </w:rPr>
              <w:t>逾期超过 180</w:t>
            </w:r>
            <w:r>
              <w:rPr>
                <w:rFonts w:ascii="宋体" w:hAnsi="宋体" w:cs="宋体" w:eastAsia="宋体" w:hint="default"/>
                <w:spacing w:val="-55"/>
                <w:sz w:val="16"/>
                <w:szCs w:val="16"/>
              </w:rPr>
              <w:t> </w:t>
            </w:r>
            <w:r>
              <w:rPr>
                <w:rFonts w:ascii="宋体" w:hAnsi="宋体" w:cs="宋体" w:eastAsia="宋体" w:hint="default"/>
                <w:sz w:val="16"/>
                <w:szCs w:val="16"/>
              </w:rPr>
              <w:t>日</w:t>
            </w:r>
          </w:p>
        </w:tc>
        <w:tc>
          <w:tcPr>
            <w:tcW w:w="2556" w:type="dxa"/>
            <w:tcBorders>
              <w:top w:val="nil" w:sz="6" w:space="0" w:color="auto"/>
              <w:left w:val="nil" w:sz="6" w:space="0" w:color="auto"/>
              <w:bottom w:val="single" w:sz="6" w:space="0" w:color="000000"/>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35"/>
                <w:sz w:val="16"/>
              </w:rPr>
              <w:t>100%</w:t>
            </w:r>
            <w:r>
              <w:rPr>
                <w:rFonts w:ascii="宋体"/>
                <w:sz w:val="16"/>
              </w:rPr>
            </w:r>
          </w:p>
        </w:tc>
        <w:tc>
          <w:tcPr>
            <w:tcW w:w="2645" w:type="dxa"/>
            <w:tcBorders>
              <w:top w:val="nil" w:sz="6" w:space="0" w:color="auto"/>
              <w:left w:val="nil" w:sz="6" w:space="0" w:color="auto"/>
              <w:bottom w:val="single" w:sz="6" w:space="0" w:color="000000"/>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w w:val="95"/>
                <w:sz w:val="16"/>
              </w:rPr>
              <w:t>2,187,738,727</w:t>
            </w:r>
            <w:r>
              <w:rPr>
                <w:rFonts w:ascii="宋体"/>
                <w:sz w:val="16"/>
              </w:rPr>
            </w:r>
          </w:p>
        </w:tc>
        <w:tc>
          <w:tcPr>
            <w:tcW w:w="1828"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(2,187,738,727)</w:t>
            </w:r>
            <w:r>
              <w:rPr>
                <w:rFonts w:ascii="宋体"/>
                <w:sz w:val="16"/>
              </w:rPr>
            </w:r>
          </w:p>
        </w:tc>
      </w:tr>
      <w:tr>
        <w:trPr>
          <w:trHeight w:val="414" w:hRule="exact"/>
        </w:trPr>
        <w:tc>
          <w:tcPr>
            <w:tcW w:w="229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55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00"/>
              <w:jc w:val="center"/>
              <w:rPr>
                <w:rFonts w:ascii="宋体" w:hAnsi="宋体" w:cs="宋体" w:eastAsia="宋体" w:hint="default"/>
                <w:sz w:val="16"/>
                <w:szCs w:val="16"/>
              </w:rPr>
            </w:pPr>
            <w:r>
              <w:rPr>
                <w:rFonts w:ascii="宋体"/>
                <w:w w:val="140"/>
                <w:sz w:val="16"/>
              </w:rPr>
              <w:t>51%</w:t>
            </w:r>
            <w:r>
              <w:rPr>
                <w:rFonts w:ascii="宋体"/>
                <w:sz w:val="16"/>
              </w:rPr>
            </w:r>
          </w:p>
        </w:tc>
        <w:tc>
          <w:tcPr>
            <w:tcW w:w="264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603"/>
              <w:jc w:val="right"/>
              <w:rPr>
                <w:rFonts w:ascii="宋体" w:hAnsi="宋体" w:cs="宋体" w:eastAsia="宋体" w:hint="default"/>
                <w:sz w:val="16"/>
                <w:szCs w:val="16"/>
              </w:rPr>
            </w:pPr>
            <w:r>
              <w:rPr>
                <w:rFonts w:ascii="宋体"/>
                <w:w w:val="95"/>
                <w:sz w:val="16"/>
              </w:rPr>
              <w:t>7,647,696,289</w:t>
            </w:r>
            <w:r>
              <w:rPr>
                <w:rFonts w:ascii="宋体"/>
                <w:sz w:val="16"/>
              </w:rPr>
            </w:r>
          </w:p>
        </w:tc>
        <w:tc>
          <w:tcPr>
            <w:tcW w:w="182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(3,877,742,362)</w:t>
            </w:r>
            <w:r>
              <w:rPr>
                <w:rFonts w:ascii="宋体"/>
                <w:sz w:val="16"/>
              </w:rPr>
            </w:r>
          </w:p>
        </w:tc>
      </w:tr>
      <w:tr>
        <w:trPr>
          <w:trHeight w:val="637" w:hRule="exact"/>
        </w:trPr>
        <w:tc>
          <w:tcPr>
            <w:tcW w:w="2290" w:type="dxa"/>
            <w:tcBorders>
              <w:top w:val="single" w:sz="16" w:space="0" w:color="9F8958"/>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w w:val="80"/>
                <w:sz w:val="18"/>
                <w:szCs w:val="18"/>
              </w:rPr>
              <w:t>(ii)</w:t>
            </w:r>
            <w:r>
              <w:rPr>
                <w:rFonts w:ascii="宋体" w:hAnsi="宋体" w:cs="宋体" w:eastAsia="宋体" w:hint="default"/>
                <w:spacing w:val="-47"/>
                <w:w w:val="80"/>
                <w:sz w:val="18"/>
                <w:szCs w:val="18"/>
              </w:rPr>
              <w:t> </w:t>
            </w:r>
            <w:r>
              <w:rPr>
                <w:rFonts w:ascii="宋体" w:hAnsi="宋体" w:cs="宋体" w:eastAsia="宋体" w:hint="default"/>
                <w:w w:val="90"/>
                <w:sz w:val="18"/>
                <w:szCs w:val="18"/>
              </w:rPr>
              <w:t>政企大客户</w:t>
            </w:r>
          </w:p>
        </w:tc>
        <w:tc>
          <w:tcPr>
            <w:tcW w:w="2556" w:type="dxa"/>
            <w:tcBorders>
              <w:top w:val="single" w:sz="16" w:space="0" w:color="9F8958"/>
              <w:left w:val="nil" w:sz="6" w:space="0" w:color="auto"/>
              <w:bottom w:val="nil" w:sz="6" w:space="0" w:color="auto"/>
              <w:right w:val="nil" w:sz="6" w:space="0" w:color="auto"/>
            </w:tcBorders>
          </w:tcPr>
          <w:p>
            <w:pPr/>
          </w:p>
        </w:tc>
        <w:tc>
          <w:tcPr>
            <w:tcW w:w="2645" w:type="dxa"/>
            <w:tcBorders>
              <w:top w:val="single" w:sz="16" w:space="0" w:color="9F8958"/>
              <w:left w:val="nil" w:sz="6" w:space="0" w:color="auto"/>
              <w:bottom w:val="nil" w:sz="6" w:space="0" w:color="auto"/>
              <w:right w:val="nil" w:sz="6" w:space="0" w:color="auto"/>
            </w:tcBorders>
          </w:tcPr>
          <w:p>
            <w:pPr/>
          </w:p>
        </w:tc>
        <w:tc>
          <w:tcPr>
            <w:tcW w:w="1828" w:type="dxa"/>
            <w:tcBorders>
              <w:top w:val="single" w:sz="16" w:space="0" w:color="9F8958"/>
              <w:left w:val="nil" w:sz="6" w:space="0" w:color="auto"/>
              <w:bottom w:val="nil" w:sz="6" w:space="0" w:color="auto"/>
              <w:right w:val="nil" w:sz="6" w:space="0" w:color="auto"/>
            </w:tcBorders>
          </w:tcPr>
          <w:p>
            <w:pPr/>
          </w:p>
        </w:tc>
      </w:tr>
      <w:tr>
        <w:trPr>
          <w:trHeight w:val="424" w:hRule="exact"/>
        </w:trPr>
        <w:tc>
          <w:tcPr>
            <w:tcW w:w="2290" w:type="dxa"/>
            <w:tcBorders>
              <w:top w:val="nil" w:sz="6" w:space="0" w:color="auto"/>
              <w:left w:val="nil" w:sz="6" w:space="0" w:color="auto"/>
              <w:bottom w:val="single" w:sz="16" w:space="0" w:color="9F8958"/>
              <w:right w:val="nil" w:sz="6" w:space="0" w:color="auto"/>
            </w:tcBorders>
          </w:tcPr>
          <w:p>
            <w:pPr/>
          </w:p>
        </w:tc>
        <w:tc>
          <w:tcPr>
            <w:tcW w:w="2556" w:type="dxa"/>
            <w:tcBorders>
              <w:top w:val="nil" w:sz="6" w:space="0" w:color="auto"/>
              <w:left w:val="nil" w:sz="6" w:space="0" w:color="auto"/>
              <w:bottom w:val="single" w:sz="16" w:space="0" w:color="9F8958"/>
              <w:right w:val="nil" w:sz="6" w:space="0" w:color="auto"/>
            </w:tcBorders>
          </w:tcPr>
          <w:p>
            <w:pPr>
              <w:pStyle w:val="TableParagraph"/>
              <w:spacing w:line="240" w:lineRule="auto" w:before="81"/>
              <w:ind w:right="100"/>
              <w:jc w:val="center"/>
              <w:rPr>
                <w:rFonts w:ascii="宋体" w:hAnsi="宋体" w:cs="宋体" w:eastAsia="宋体" w:hint="default"/>
                <w:sz w:val="16"/>
                <w:szCs w:val="16"/>
              </w:rPr>
            </w:pPr>
            <w:r>
              <w:rPr>
                <w:rFonts w:ascii="宋体" w:hAnsi="宋体" w:cs="宋体" w:eastAsia="宋体" w:hint="default"/>
                <w:sz w:val="16"/>
                <w:szCs w:val="16"/>
              </w:rPr>
              <w:t>违约损失率</w:t>
            </w:r>
          </w:p>
        </w:tc>
        <w:tc>
          <w:tcPr>
            <w:tcW w:w="2645" w:type="dxa"/>
            <w:tcBorders>
              <w:top w:val="nil" w:sz="6" w:space="0" w:color="auto"/>
              <w:left w:val="nil" w:sz="6" w:space="0" w:color="auto"/>
              <w:bottom w:val="single" w:sz="16" w:space="0" w:color="9F8958"/>
              <w:right w:val="nil" w:sz="6" w:space="0" w:color="auto"/>
            </w:tcBorders>
          </w:tcPr>
          <w:p>
            <w:pPr>
              <w:pStyle w:val="TableParagraph"/>
              <w:spacing w:line="240" w:lineRule="auto" w:before="81"/>
              <w:ind w:right="604"/>
              <w:jc w:val="right"/>
              <w:rPr>
                <w:rFonts w:ascii="宋体" w:hAnsi="宋体" w:cs="宋体" w:eastAsia="宋体" w:hint="default"/>
                <w:sz w:val="16"/>
                <w:szCs w:val="16"/>
              </w:rPr>
            </w:pPr>
            <w:r>
              <w:rPr>
                <w:rFonts w:ascii="宋体" w:hAnsi="宋体" w:cs="宋体" w:eastAsia="宋体" w:hint="default"/>
                <w:sz w:val="16"/>
                <w:szCs w:val="16"/>
              </w:rPr>
              <w:t>年末账面余额</w:t>
            </w:r>
          </w:p>
        </w:tc>
        <w:tc>
          <w:tcPr>
            <w:tcW w:w="1828" w:type="dxa"/>
            <w:tcBorders>
              <w:top w:val="nil" w:sz="6" w:space="0" w:color="auto"/>
              <w:left w:val="nil" w:sz="6" w:space="0" w:color="auto"/>
              <w:bottom w:val="single" w:sz="16" w:space="0" w:color="9F8958"/>
              <w:right w:val="nil" w:sz="6" w:space="0" w:color="auto"/>
            </w:tcBorders>
          </w:tcPr>
          <w:p>
            <w:pPr>
              <w:pStyle w:val="TableParagraph"/>
              <w:spacing w:line="240" w:lineRule="auto" w:before="81"/>
              <w:ind w:right="111"/>
              <w:jc w:val="right"/>
              <w:rPr>
                <w:rFonts w:ascii="宋体" w:hAnsi="宋体" w:cs="宋体" w:eastAsia="宋体" w:hint="default"/>
                <w:sz w:val="16"/>
                <w:szCs w:val="16"/>
              </w:rPr>
            </w:pPr>
            <w:r>
              <w:rPr>
                <w:rFonts w:ascii="宋体" w:hAnsi="宋体" w:cs="宋体" w:eastAsia="宋体" w:hint="default"/>
                <w:sz w:val="16"/>
                <w:szCs w:val="16"/>
              </w:rPr>
              <w:t>年末减值准备</w:t>
            </w:r>
          </w:p>
        </w:tc>
      </w:tr>
      <w:tr>
        <w:trPr>
          <w:trHeight w:val="362" w:hRule="exact"/>
        </w:trPr>
        <w:tc>
          <w:tcPr>
            <w:tcW w:w="229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未逾期</w:t>
            </w:r>
          </w:p>
        </w:tc>
        <w:tc>
          <w:tcPr>
            <w:tcW w:w="255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00"/>
              <w:jc w:val="center"/>
              <w:rPr>
                <w:rFonts w:ascii="宋体" w:hAnsi="宋体" w:cs="宋体" w:eastAsia="宋体" w:hint="default"/>
                <w:sz w:val="16"/>
                <w:szCs w:val="16"/>
              </w:rPr>
            </w:pPr>
            <w:r>
              <w:rPr>
                <w:rFonts w:ascii="宋体"/>
                <w:w w:val="155"/>
                <w:sz w:val="16"/>
              </w:rPr>
              <w:t>3%</w:t>
            </w:r>
            <w:r>
              <w:rPr>
                <w:rFonts w:ascii="宋体"/>
                <w:sz w:val="16"/>
              </w:rPr>
            </w:r>
          </w:p>
        </w:tc>
        <w:tc>
          <w:tcPr>
            <w:tcW w:w="264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603"/>
              <w:jc w:val="right"/>
              <w:rPr>
                <w:rFonts w:ascii="宋体" w:hAnsi="宋体" w:cs="宋体" w:eastAsia="宋体" w:hint="default"/>
                <w:sz w:val="16"/>
                <w:szCs w:val="16"/>
              </w:rPr>
            </w:pPr>
            <w:r>
              <w:rPr>
                <w:rFonts w:ascii="宋体"/>
                <w:w w:val="95"/>
                <w:sz w:val="16"/>
              </w:rPr>
              <w:t>9,212,888,408</w:t>
            </w:r>
            <w:r>
              <w:rPr>
                <w:rFonts w:ascii="宋体"/>
                <w:sz w:val="16"/>
              </w:rPr>
            </w:r>
          </w:p>
        </w:tc>
        <w:tc>
          <w:tcPr>
            <w:tcW w:w="182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(296,186,335)</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pacing w:val="19"/>
                <w:w w:val="105"/>
                <w:sz w:val="16"/>
                <w:szCs w:val="16"/>
              </w:rPr>
              <w:t>逾期1至</w:t>
            </w:r>
            <w:r>
              <w:rPr>
                <w:rFonts w:ascii="宋体" w:hAnsi="宋体" w:cs="宋体" w:eastAsia="宋体" w:hint="default"/>
                <w:spacing w:val="-51"/>
                <w:w w:val="105"/>
                <w:sz w:val="16"/>
                <w:szCs w:val="16"/>
              </w:rPr>
              <w:t> </w:t>
            </w:r>
            <w:r>
              <w:rPr>
                <w:rFonts w:ascii="宋体" w:hAnsi="宋体" w:cs="宋体" w:eastAsia="宋体" w:hint="default"/>
                <w:spacing w:val="9"/>
                <w:w w:val="105"/>
                <w:sz w:val="16"/>
                <w:szCs w:val="16"/>
              </w:rPr>
              <w:t>180日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55"/>
                <w:sz w:val="16"/>
              </w:rPr>
              <w:t>6%</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w w:val="95"/>
                <w:sz w:val="16"/>
              </w:rPr>
              <w:t>3,344,874,410</w:t>
            </w:r>
            <w:r>
              <w:rPr>
                <w:rFonts w:ascii="宋体"/>
                <w:sz w:val="16"/>
              </w:rPr>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(192,932,360)</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w w:val="105"/>
                <w:sz w:val="16"/>
                <w:szCs w:val="16"/>
              </w:rPr>
              <w:t>逾期</w:t>
            </w:r>
            <w:r>
              <w:rPr>
                <w:rFonts w:ascii="宋体" w:hAnsi="宋体" w:cs="宋体" w:eastAsia="宋体" w:hint="default"/>
                <w:spacing w:val="-50"/>
                <w:w w:val="105"/>
                <w:sz w:val="16"/>
                <w:szCs w:val="16"/>
              </w:rPr>
              <w:t> </w:t>
            </w:r>
            <w:r>
              <w:rPr>
                <w:rFonts w:ascii="宋体" w:hAnsi="宋体" w:cs="宋体" w:eastAsia="宋体" w:hint="default"/>
                <w:w w:val="105"/>
                <w:sz w:val="16"/>
                <w:szCs w:val="16"/>
              </w:rPr>
              <w:t>181</w:t>
            </w:r>
            <w:r>
              <w:rPr>
                <w:rFonts w:ascii="宋体" w:hAnsi="宋体" w:cs="宋体" w:eastAsia="宋体" w:hint="default"/>
                <w:spacing w:val="-51"/>
                <w:w w:val="105"/>
                <w:sz w:val="16"/>
                <w:szCs w:val="16"/>
              </w:rPr>
              <w:t> </w:t>
            </w:r>
            <w:r>
              <w:rPr>
                <w:rFonts w:ascii="宋体" w:hAnsi="宋体" w:cs="宋体" w:eastAsia="宋体" w:hint="default"/>
                <w:w w:val="105"/>
                <w:sz w:val="16"/>
                <w:szCs w:val="16"/>
              </w:rPr>
              <w:t>日至</w:t>
            </w:r>
            <w:r>
              <w:rPr>
                <w:rFonts w:ascii="宋体" w:hAnsi="宋体" w:cs="宋体" w:eastAsia="宋体" w:hint="default"/>
                <w:spacing w:val="-50"/>
                <w:w w:val="105"/>
                <w:sz w:val="16"/>
                <w:szCs w:val="16"/>
              </w:rPr>
              <w:t> </w:t>
            </w:r>
            <w:r>
              <w:rPr>
                <w:rFonts w:ascii="宋体" w:hAnsi="宋体" w:cs="宋体" w:eastAsia="宋体" w:hint="default"/>
                <w:w w:val="105"/>
                <w:sz w:val="16"/>
                <w:szCs w:val="16"/>
              </w:rPr>
              <w:t>1</w:t>
            </w:r>
            <w:r>
              <w:rPr>
                <w:rFonts w:ascii="宋体" w:hAnsi="宋体" w:cs="宋体" w:eastAsia="宋体" w:hint="default"/>
                <w:spacing w:val="-51"/>
                <w:w w:val="105"/>
                <w:sz w:val="16"/>
                <w:szCs w:val="16"/>
              </w:rPr>
              <w:t> </w:t>
            </w:r>
            <w:r>
              <w:rPr>
                <w:rFonts w:ascii="宋体" w:hAnsi="宋体" w:cs="宋体" w:eastAsia="宋体" w:hint="default"/>
                <w:w w:val="105"/>
                <w:sz w:val="16"/>
                <w:szCs w:val="16"/>
              </w:rPr>
              <w:t>年</w:t>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20%</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w w:val="95"/>
                <w:sz w:val="16"/>
              </w:rPr>
              <w:t>1,057,662,718</w:t>
            </w:r>
            <w:r>
              <w:rPr>
                <w:rFonts w:ascii="宋体"/>
                <w:sz w:val="16"/>
              </w:rPr>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(211,065,645)</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pacing w:val="25"/>
                <w:sz w:val="16"/>
                <w:szCs w:val="16"/>
              </w:rPr>
              <w:t>逾期1至2年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40%</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w w:val="95"/>
                <w:sz w:val="16"/>
              </w:rPr>
              <w:t>1,245,240,865</w:t>
            </w:r>
            <w:r>
              <w:rPr>
                <w:rFonts w:ascii="宋体"/>
                <w:sz w:val="16"/>
              </w:rPr>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(499,627,371)</w:t>
            </w:r>
            <w:r>
              <w:rPr>
                <w:rFonts w:ascii="宋体"/>
                <w:sz w:val="16"/>
              </w:rPr>
            </w:r>
          </w:p>
        </w:tc>
      </w:tr>
      <w:tr>
        <w:trPr>
          <w:trHeight w:val="273" w:hRule="exact"/>
        </w:trPr>
        <w:tc>
          <w:tcPr>
            <w:tcW w:w="2290"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pacing w:val="25"/>
                <w:sz w:val="16"/>
                <w:szCs w:val="16"/>
              </w:rPr>
              <w:t>逾期2至3年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2556" w:type="dxa"/>
            <w:tcBorders>
              <w:top w:val="nil" w:sz="6" w:space="0" w:color="auto"/>
              <w:left w:val="nil" w:sz="6" w:space="0" w:color="auto"/>
              <w:bottom w:val="nil" w:sz="6" w:space="0" w:color="auto"/>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73%</w:t>
            </w:r>
            <w:r>
              <w:rPr>
                <w:rFonts w:ascii="宋体"/>
                <w:sz w:val="16"/>
              </w:rPr>
            </w:r>
          </w:p>
        </w:tc>
        <w:tc>
          <w:tcPr>
            <w:tcW w:w="2645" w:type="dxa"/>
            <w:tcBorders>
              <w:top w:val="nil" w:sz="6" w:space="0" w:color="auto"/>
              <w:left w:val="nil" w:sz="6" w:space="0" w:color="auto"/>
              <w:bottom w:val="nil" w:sz="6" w:space="0" w:color="auto"/>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sz w:val="16"/>
              </w:rPr>
              <w:t>663,924,270</w:t>
            </w:r>
          </w:p>
        </w:tc>
        <w:tc>
          <w:tcPr>
            <w:tcW w:w="182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(486,406,670)</w:t>
            </w:r>
            <w:r>
              <w:rPr>
                <w:rFonts w:ascii="宋体"/>
                <w:sz w:val="16"/>
              </w:rPr>
            </w:r>
          </w:p>
        </w:tc>
      </w:tr>
      <w:tr>
        <w:trPr>
          <w:trHeight w:val="330" w:hRule="exact"/>
        </w:trPr>
        <w:tc>
          <w:tcPr>
            <w:tcW w:w="2290" w:type="dxa"/>
            <w:tcBorders>
              <w:top w:val="nil" w:sz="6" w:space="0" w:color="auto"/>
              <w:left w:val="nil" w:sz="6" w:space="0" w:color="auto"/>
              <w:bottom w:val="single" w:sz="6" w:space="0" w:color="000000"/>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z w:val="16"/>
                <w:szCs w:val="16"/>
              </w:rPr>
              <w:t>逾期超过</w:t>
            </w:r>
            <w:r>
              <w:rPr>
                <w:rFonts w:ascii="宋体" w:hAnsi="宋体" w:cs="宋体" w:eastAsia="宋体" w:hint="default"/>
                <w:spacing w:val="-36"/>
                <w:sz w:val="16"/>
                <w:szCs w:val="16"/>
              </w:rPr>
              <w:t> </w:t>
            </w:r>
            <w:r>
              <w:rPr>
                <w:rFonts w:ascii="宋体" w:hAnsi="宋体" w:cs="宋体" w:eastAsia="宋体" w:hint="default"/>
                <w:sz w:val="16"/>
                <w:szCs w:val="16"/>
              </w:rPr>
              <w:t>3</w:t>
            </w:r>
            <w:r>
              <w:rPr>
                <w:rFonts w:ascii="宋体" w:hAnsi="宋体" w:cs="宋体" w:eastAsia="宋体" w:hint="default"/>
                <w:spacing w:val="-37"/>
                <w:sz w:val="16"/>
                <w:szCs w:val="16"/>
              </w:rPr>
              <w:t> </w:t>
            </w:r>
            <w:r>
              <w:rPr>
                <w:rFonts w:ascii="宋体" w:hAnsi="宋体" w:cs="宋体" w:eastAsia="宋体" w:hint="default"/>
                <w:sz w:val="16"/>
                <w:szCs w:val="16"/>
              </w:rPr>
              <w:t>年</w:t>
            </w:r>
          </w:p>
        </w:tc>
        <w:tc>
          <w:tcPr>
            <w:tcW w:w="2556" w:type="dxa"/>
            <w:tcBorders>
              <w:top w:val="nil" w:sz="6" w:space="0" w:color="auto"/>
              <w:left w:val="nil" w:sz="6" w:space="0" w:color="auto"/>
              <w:bottom w:val="single" w:sz="6" w:space="0" w:color="000000"/>
              <w:right w:val="nil" w:sz="6" w:space="0" w:color="auto"/>
            </w:tcBorders>
          </w:tcPr>
          <w:p>
            <w:pPr>
              <w:pStyle w:val="TableParagraph"/>
              <w:spacing w:line="205" w:lineRule="exact"/>
              <w:ind w:right="100"/>
              <w:jc w:val="center"/>
              <w:rPr>
                <w:rFonts w:ascii="宋体" w:hAnsi="宋体" w:cs="宋体" w:eastAsia="宋体" w:hint="default"/>
                <w:sz w:val="16"/>
                <w:szCs w:val="16"/>
              </w:rPr>
            </w:pPr>
            <w:r>
              <w:rPr>
                <w:rFonts w:ascii="宋体"/>
                <w:w w:val="140"/>
                <w:sz w:val="16"/>
              </w:rPr>
              <w:t>83%</w:t>
            </w:r>
            <w:r>
              <w:rPr>
                <w:rFonts w:ascii="宋体"/>
                <w:sz w:val="16"/>
              </w:rPr>
            </w:r>
          </w:p>
        </w:tc>
        <w:tc>
          <w:tcPr>
            <w:tcW w:w="2645" w:type="dxa"/>
            <w:tcBorders>
              <w:top w:val="nil" w:sz="6" w:space="0" w:color="auto"/>
              <w:left w:val="nil" w:sz="6" w:space="0" w:color="auto"/>
              <w:bottom w:val="single" w:sz="6" w:space="0" w:color="000000"/>
              <w:right w:val="nil" w:sz="6" w:space="0" w:color="auto"/>
            </w:tcBorders>
          </w:tcPr>
          <w:p>
            <w:pPr>
              <w:pStyle w:val="TableParagraph"/>
              <w:spacing w:line="205" w:lineRule="exact"/>
              <w:ind w:right="603"/>
              <w:jc w:val="right"/>
              <w:rPr>
                <w:rFonts w:ascii="宋体" w:hAnsi="宋体" w:cs="宋体" w:eastAsia="宋体" w:hint="default"/>
                <w:sz w:val="16"/>
                <w:szCs w:val="16"/>
              </w:rPr>
            </w:pPr>
            <w:r>
              <w:rPr>
                <w:rFonts w:ascii="宋体"/>
                <w:w w:val="95"/>
                <w:sz w:val="16"/>
              </w:rPr>
              <w:t>1,390,818,524</w:t>
            </w:r>
            <w:r>
              <w:rPr>
                <w:rFonts w:ascii="宋体"/>
                <w:sz w:val="16"/>
              </w:rPr>
            </w:r>
          </w:p>
        </w:tc>
        <w:tc>
          <w:tcPr>
            <w:tcW w:w="1828"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(1,156,441,758)</w:t>
            </w:r>
            <w:r>
              <w:rPr>
                <w:rFonts w:ascii="宋体"/>
                <w:sz w:val="16"/>
              </w:rPr>
            </w:r>
          </w:p>
        </w:tc>
      </w:tr>
      <w:tr>
        <w:trPr>
          <w:trHeight w:val="414" w:hRule="exact"/>
        </w:trPr>
        <w:tc>
          <w:tcPr>
            <w:tcW w:w="229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55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00"/>
              <w:jc w:val="center"/>
              <w:rPr>
                <w:rFonts w:ascii="宋体" w:hAnsi="宋体" w:cs="宋体" w:eastAsia="宋体" w:hint="default"/>
                <w:sz w:val="16"/>
                <w:szCs w:val="16"/>
              </w:rPr>
            </w:pPr>
            <w:r>
              <w:rPr>
                <w:rFonts w:ascii="宋体"/>
                <w:w w:val="140"/>
                <w:sz w:val="16"/>
              </w:rPr>
              <w:t>17%</w:t>
            </w:r>
            <w:r>
              <w:rPr>
                <w:rFonts w:ascii="宋体"/>
                <w:sz w:val="16"/>
              </w:rPr>
            </w:r>
          </w:p>
        </w:tc>
        <w:tc>
          <w:tcPr>
            <w:tcW w:w="264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603"/>
              <w:jc w:val="right"/>
              <w:rPr>
                <w:rFonts w:ascii="宋体" w:hAnsi="宋体" w:cs="宋体" w:eastAsia="宋体" w:hint="default"/>
                <w:sz w:val="16"/>
                <w:szCs w:val="16"/>
              </w:rPr>
            </w:pPr>
            <w:r>
              <w:rPr>
                <w:rFonts w:ascii="宋体"/>
                <w:w w:val="95"/>
                <w:sz w:val="16"/>
              </w:rPr>
              <w:t>16,915,409,195</w:t>
            </w:r>
            <w:r>
              <w:rPr>
                <w:rFonts w:ascii="宋体"/>
                <w:sz w:val="16"/>
              </w:rPr>
            </w:r>
          </w:p>
        </w:tc>
        <w:tc>
          <w:tcPr>
            <w:tcW w:w="182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(2,842,660,139)</w:t>
            </w:r>
            <w:r>
              <w:rPr>
                <w:rFonts w:ascii="宋体"/>
                <w:sz w:val="16"/>
              </w:rPr>
            </w:r>
          </w:p>
        </w:tc>
      </w:tr>
    </w:tbl>
    <w:p>
      <w:pPr>
        <w:spacing w:line="240" w:lineRule="auto" w:before="7"/>
        <w:rPr>
          <w:rFonts w:ascii="宋体" w:hAnsi="宋体" w:cs="宋体" w:eastAsia="宋体" w:hint="default"/>
          <w:sz w:val="13"/>
          <w:szCs w:val="13"/>
        </w:rPr>
      </w:pPr>
    </w:p>
    <w:p>
      <w:pPr>
        <w:pStyle w:val="BodyText"/>
        <w:spacing w:line="285" w:lineRule="auto" w:before="31"/>
        <w:ind w:right="95"/>
        <w:jc w:val="left"/>
      </w:pPr>
      <w:r>
        <w:rPr/>
        <w:t>违约损失率基于过去年度的实际信用损失经验计算，并根据历史数据收集期间的经济状况、当前的经济状况与本集团</w:t>
      </w:r>
      <w:r>
        <w:rPr>
          <w:spacing w:val="7"/>
        </w:rPr>
        <w:t> </w:t>
      </w:r>
      <w:r>
        <w:rPr>
          <w:spacing w:val="7"/>
        </w:rPr>
      </w:r>
      <w:r>
        <w:rPr/>
        <w:t>所认为的预计存续期内的经济状况三者之间的差异进行调整。</w:t>
      </w:r>
    </w:p>
    <w:p>
      <w:pPr>
        <w:spacing w:after="0" w:line="285" w:lineRule="auto"/>
        <w:jc w:val="left"/>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314"/>
        <w:jc w:val="left"/>
      </w:pPr>
      <w:r>
        <w:rPr/>
        <w:t>3、</w:t>
      </w:r>
      <w:r>
        <w:rPr>
          <w:spacing w:val="-22"/>
        </w:rPr>
        <w:t> </w:t>
      </w:r>
      <w:r>
        <w:rPr/>
        <w:t>应收票据及应收账款（续）</w:t>
      </w:r>
      <w:r>
        <w:rPr/>
        <w:t> (b)</w:t>
      </w:r>
      <w:r>
        <w:rPr>
          <w:spacing w:val="-21"/>
        </w:rPr>
        <w:t> </w:t>
      </w:r>
      <w:r>
        <w:rPr/>
        <w:t>应收账款（续）</w:t>
      </w:r>
    </w:p>
    <w:p>
      <w:pPr>
        <w:pStyle w:val="BodyText"/>
        <w:spacing w:line="240" w:lineRule="auto" w:before="54"/>
        <w:ind w:left="453" w:right="87"/>
        <w:jc w:val="left"/>
      </w:pPr>
      <w:r>
        <w:rPr/>
        <w:t>(5)</w:t>
      </w:r>
      <w:r>
        <w:rPr>
          <w:spacing w:val="19"/>
        </w:rPr>
        <w:t> </w:t>
      </w:r>
      <w:r>
        <w:rPr/>
        <w:t>本年计提、收回或转回的坏账准备情况：</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3099"/>
        <w:gridCol w:w="3099"/>
        <w:gridCol w:w="3099"/>
      </w:tblGrid>
      <w:tr>
        <w:trPr>
          <w:trHeight w:val="350" w:hRule="exact"/>
        </w:trPr>
        <w:tc>
          <w:tcPr>
            <w:tcW w:w="3099" w:type="dxa"/>
            <w:tcBorders>
              <w:top w:val="nil" w:sz="6" w:space="0" w:color="auto"/>
              <w:left w:val="nil" w:sz="6" w:space="0" w:color="auto"/>
              <w:bottom w:val="single" w:sz="16" w:space="0" w:color="9F8958"/>
              <w:right w:val="nil" w:sz="6" w:space="0" w:color="auto"/>
            </w:tcBorders>
          </w:tcPr>
          <w:p>
            <w:pPr/>
          </w:p>
        </w:tc>
        <w:tc>
          <w:tcPr>
            <w:tcW w:w="309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3099"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3099"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423"/>
              <w:jc w:val="left"/>
              <w:rPr>
                <w:rFonts w:ascii="宋体" w:hAnsi="宋体" w:cs="宋体" w:eastAsia="宋体" w:hint="default"/>
                <w:sz w:val="16"/>
                <w:szCs w:val="16"/>
              </w:rPr>
            </w:pPr>
            <w:r>
              <w:rPr>
                <w:rFonts w:ascii="宋体" w:hAnsi="宋体" w:cs="宋体" w:eastAsia="宋体" w:hint="default"/>
                <w:sz w:val="16"/>
                <w:szCs w:val="16"/>
              </w:rPr>
              <w:t>原金融工具准则下的余额 首次执行新金融工具准则的调整金额</w:t>
            </w:r>
          </w:p>
        </w:tc>
        <w:tc>
          <w:tcPr>
            <w:tcW w:w="3099"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876" w:right="0"/>
              <w:jc w:val="left"/>
              <w:rPr>
                <w:rFonts w:ascii="宋体" w:hAnsi="宋体" w:cs="宋体" w:eastAsia="宋体" w:hint="default"/>
                <w:sz w:val="16"/>
                <w:szCs w:val="16"/>
              </w:rPr>
            </w:pPr>
            <w:r>
              <w:rPr>
                <w:rFonts w:ascii="宋体"/>
                <w:w w:val="95"/>
                <w:sz w:val="16"/>
              </w:rPr>
              <w:t>(5,219,829,294)</w:t>
            </w:r>
            <w:r>
              <w:rPr>
                <w:rFonts w:ascii="宋体"/>
                <w:sz w:val="16"/>
              </w:rPr>
            </w:r>
          </w:p>
          <w:p>
            <w:pPr>
              <w:pStyle w:val="TableParagraph"/>
              <w:spacing w:line="240" w:lineRule="auto" w:before="64"/>
              <w:ind w:left="1876" w:right="0"/>
              <w:jc w:val="left"/>
              <w:rPr>
                <w:rFonts w:ascii="宋体" w:hAnsi="宋体" w:cs="宋体" w:eastAsia="宋体" w:hint="default"/>
                <w:sz w:val="16"/>
                <w:szCs w:val="16"/>
              </w:rPr>
            </w:pPr>
            <w:r>
              <w:rPr>
                <w:rFonts w:ascii="宋体"/>
                <w:w w:val="95"/>
                <w:sz w:val="16"/>
              </w:rPr>
              <w:t>(1,118,430,369)</w:t>
            </w:r>
            <w:r>
              <w:rPr>
                <w:rFonts w:ascii="宋体"/>
                <w:sz w:val="16"/>
              </w:rPr>
            </w:r>
          </w:p>
        </w:tc>
        <w:tc>
          <w:tcPr>
            <w:tcW w:w="3099"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(5,474,554,503)</w:t>
            </w:r>
            <w:r>
              <w:rPr>
                <w:rFonts w:ascii="宋体"/>
                <w:sz w:val="16"/>
              </w:rPr>
            </w:r>
          </w:p>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07" w:hRule="exact"/>
        </w:trPr>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调整后的年初余额</w:t>
            </w:r>
          </w:p>
        </w:tc>
        <w:tc>
          <w:tcPr>
            <w:tcW w:w="309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(6,338,259,663)</w:t>
            </w:r>
            <w:r>
              <w:rPr>
                <w:rFonts w:ascii="宋体"/>
                <w:sz w:val="16"/>
              </w:rPr>
            </w:r>
          </w:p>
        </w:tc>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(5,474,554,503)</w:t>
            </w:r>
            <w:r>
              <w:rPr>
                <w:rFonts w:ascii="宋体"/>
                <w:sz w:val="16"/>
              </w:rPr>
            </w:r>
          </w:p>
        </w:tc>
      </w:tr>
      <w:tr>
        <w:trPr>
          <w:trHeight w:val="680" w:hRule="exact"/>
        </w:trPr>
        <w:tc>
          <w:tcPr>
            <w:tcW w:w="3099" w:type="dxa"/>
            <w:tcBorders>
              <w:top w:val="single" w:sz="6" w:space="0" w:color="000000"/>
              <w:left w:val="nil" w:sz="6" w:space="0" w:color="auto"/>
              <w:bottom w:val="single" w:sz="6" w:space="0" w:color="000000"/>
              <w:right w:val="nil" w:sz="6" w:space="0" w:color="auto"/>
            </w:tcBorders>
          </w:tcPr>
          <w:p>
            <w:pPr>
              <w:pStyle w:val="TableParagraph"/>
              <w:spacing w:line="314" w:lineRule="auto" w:before="64"/>
              <w:ind w:left="113" w:right="1863"/>
              <w:jc w:val="left"/>
              <w:rPr>
                <w:rFonts w:ascii="宋体" w:hAnsi="宋体" w:cs="宋体" w:eastAsia="宋体" w:hint="default"/>
                <w:sz w:val="16"/>
                <w:szCs w:val="16"/>
              </w:rPr>
            </w:pPr>
            <w:r>
              <w:rPr>
                <w:rFonts w:ascii="宋体" w:hAnsi="宋体" w:cs="宋体" w:eastAsia="宋体" w:hint="default"/>
                <w:sz w:val="16"/>
                <w:szCs w:val="16"/>
              </w:rPr>
              <w:t>本年计提和转回 本年核销</w:t>
            </w:r>
          </w:p>
        </w:tc>
        <w:tc>
          <w:tcPr>
            <w:tcW w:w="309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left="1876" w:right="0"/>
              <w:jc w:val="left"/>
              <w:rPr>
                <w:rFonts w:ascii="宋体" w:hAnsi="宋体" w:cs="宋体" w:eastAsia="宋体" w:hint="default"/>
                <w:sz w:val="16"/>
                <w:szCs w:val="16"/>
              </w:rPr>
            </w:pPr>
            <w:r>
              <w:rPr>
                <w:rFonts w:ascii="宋体"/>
                <w:w w:val="95"/>
                <w:sz w:val="16"/>
              </w:rPr>
              <w:t>(3,299,920,450)</w:t>
            </w:r>
            <w:r>
              <w:rPr>
                <w:rFonts w:ascii="宋体"/>
                <w:sz w:val="16"/>
              </w:rPr>
            </w:r>
          </w:p>
          <w:p>
            <w:pPr>
              <w:pStyle w:val="TableParagraph"/>
              <w:spacing w:line="240" w:lineRule="auto" w:before="64"/>
              <w:ind w:left="1965" w:right="0"/>
              <w:jc w:val="left"/>
              <w:rPr>
                <w:rFonts w:ascii="宋体" w:hAnsi="宋体" w:cs="宋体" w:eastAsia="宋体" w:hint="default"/>
                <w:sz w:val="16"/>
                <w:szCs w:val="16"/>
              </w:rPr>
            </w:pPr>
            <w:r>
              <w:rPr>
                <w:rFonts w:ascii="宋体"/>
                <w:sz w:val="16"/>
              </w:rPr>
              <w:t>2,917,777,612</w:t>
            </w:r>
          </w:p>
        </w:tc>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876" w:right="0"/>
              <w:jc w:val="left"/>
              <w:rPr>
                <w:rFonts w:ascii="宋体" w:hAnsi="宋体" w:cs="宋体" w:eastAsia="宋体" w:hint="default"/>
                <w:sz w:val="16"/>
                <w:szCs w:val="16"/>
              </w:rPr>
            </w:pPr>
            <w:r>
              <w:rPr>
                <w:rFonts w:ascii="宋体"/>
                <w:w w:val="95"/>
                <w:sz w:val="16"/>
              </w:rPr>
              <w:t>(3,325,434,796)</w:t>
            </w:r>
            <w:r>
              <w:rPr>
                <w:rFonts w:ascii="宋体"/>
                <w:sz w:val="16"/>
              </w:rPr>
            </w:r>
          </w:p>
          <w:p>
            <w:pPr>
              <w:pStyle w:val="TableParagraph"/>
              <w:spacing w:line="240" w:lineRule="auto" w:before="64"/>
              <w:ind w:left="1965" w:right="0"/>
              <w:jc w:val="left"/>
              <w:rPr>
                <w:rFonts w:ascii="宋体" w:hAnsi="宋体" w:cs="宋体" w:eastAsia="宋体" w:hint="default"/>
                <w:sz w:val="16"/>
                <w:szCs w:val="16"/>
              </w:rPr>
            </w:pPr>
            <w:r>
              <w:rPr>
                <w:rFonts w:ascii="宋体"/>
                <w:sz w:val="16"/>
              </w:rPr>
              <w:t>3,580,160,005</w:t>
            </w:r>
          </w:p>
        </w:tc>
      </w:tr>
      <w:tr>
        <w:trPr>
          <w:trHeight w:val="414" w:hRule="exact"/>
        </w:trPr>
        <w:tc>
          <w:tcPr>
            <w:tcW w:w="309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年末余额</w:t>
            </w:r>
          </w:p>
        </w:tc>
        <w:tc>
          <w:tcPr>
            <w:tcW w:w="309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(6,720,402,501)</w:t>
            </w:r>
            <w:r>
              <w:rPr>
                <w:rFonts w:ascii="宋体"/>
                <w:sz w:val="16"/>
              </w:rPr>
            </w:r>
          </w:p>
        </w:tc>
        <w:tc>
          <w:tcPr>
            <w:tcW w:w="309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(5,219,829,294)</w:t>
            </w:r>
            <w:r>
              <w:rPr>
                <w:rFonts w:ascii="宋体"/>
                <w:sz w:val="16"/>
              </w:rPr>
            </w:r>
          </w:p>
        </w:tc>
      </w:tr>
    </w:tbl>
    <w:p>
      <w:pPr>
        <w:spacing w:line="240" w:lineRule="auto" w:before="1"/>
        <w:rPr>
          <w:rFonts w:ascii="宋体" w:hAnsi="宋体" w:cs="宋体" w:eastAsia="宋体" w:hint="default"/>
          <w:sz w:val="15"/>
          <w:szCs w:val="15"/>
        </w:rPr>
      </w:pPr>
    </w:p>
    <w:p>
      <w:pPr>
        <w:pStyle w:val="BodyText"/>
        <w:spacing w:line="304" w:lineRule="auto" w:before="31"/>
        <w:ind w:left="453" w:right="87" w:hanging="341"/>
        <w:jc w:val="left"/>
      </w:pPr>
      <w:r>
        <w:rPr/>
        <w:t>(c)</w:t>
      </w:r>
      <w:r>
        <w:rPr>
          <w:spacing w:val="72"/>
        </w:rPr>
        <w:t> </w:t>
      </w:r>
      <w:r>
        <w:rPr/>
        <w:t>本集团核销的坏账准备主要为对一般商务及公众用户计提的坏账准备，其个别欠款金额对本集团并不重大。此外，本</w:t>
      </w:r>
      <w:r>
        <w:rPr>
          <w:spacing w:val="-88"/>
        </w:rPr>
        <w:t> </w:t>
      </w:r>
      <w:r>
        <w:rPr>
          <w:spacing w:val="-88"/>
        </w:rPr>
      </w:r>
      <w:r>
        <w:rPr/>
        <w:t>集团本年核销的应收账款中无应收关联公司款项。</w:t>
      </w:r>
    </w:p>
    <w:p>
      <w:pPr>
        <w:spacing w:line="240" w:lineRule="auto" w:before="3"/>
        <w:rPr>
          <w:rFonts w:ascii="宋体" w:hAnsi="宋体" w:cs="宋体" w:eastAsia="宋体" w:hint="default"/>
          <w:sz w:val="14"/>
          <w:szCs w:val="14"/>
        </w:rPr>
      </w:pPr>
    </w:p>
    <w:p>
      <w:pPr>
        <w:pStyle w:val="BodyText"/>
        <w:spacing w:line="304" w:lineRule="auto"/>
        <w:ind w:left="453" w:right="87" w:hanging="341"/>
        <w:jc w:val="left"/>
      </w:pPr>
      <w:r>
        <w:rPr>
          <w:spacing w:val="-1"/>
          <w:w w:val="73"/>
        </w:rPr>
        <w:t>(d)</w:t>
      </w:r>
      <w:r>
        <w:rPr>
          <w:spacing w:val="1"/>
          <w:w w:val="73"/>
        </w:rPr>
        <w:t> </w:t>
      </w:r>
      <w:r>
        <w:rPr>
          <w:spacing w:val="2"/>
        </w:rPr>
        <w:t>本集团年末余额前五名的应收账款合计约人民币</w:t>
      </w:r>
      <w:r>
        <w:rPr>
          <w:spacing w:val="-46"/>
        </w:rPr>
        <w:t> </w:t>
      </w:r>
      <w:r>
        <w:rPr>
          <w:spacing w:val="-1"/>
          <w:w w:val="99"/>
        </w:rPr>
        <w:t>36.91</w:t>
      </w:r>
      <w:r>
        <w:rPr>
          <w:spacing w:val="-47"/>
          <w:w w:val="99"/>
        </w:rPr>
        <w:t> </w:t>
      </w:r>
      <w:r>
        <w:rPr>
          <w:spacing w:val="2"/>
        </w:rPr>
        <w:t>亿元，占应收账款年末余额合计数的</w:t>
      </w:r>
      <w:r>
        <w:rPr>
          <w:spacing w:val="-46"/>
        </w:rPr>
        <w:t> </w:t>
      </w:r>
      <w:r>
        <w:rPr>
          <w:spacing w:val="1"/>
          <w:w w:val="107"/>
        </w:rPr>
        <w:t>15.03%，相应计提的坏</w:t>
      </w:r>
      <w:r>
        <w:rPr>
          <w:spacing w:val="3"/>
        </w:rPr>
        <w:t> </w:t>
      </w:r>
      <w:r>
        <w:rPr/>
        <w:t>账准备年末余额合计约人民币</w:t>
      </w:r>
      <w:r>
        <w:rPr>
          <w:spacing w:val="-51"/>
        </w:rPr>
        <w:t> </w:t>
      </w:r>
      <w:r>
        <w:rPr/>
        <w:t>0.50</w:t>
      </w:r>
      <w:r>
        <w:rPr>
          <w:spacing w:val="-52"/>
        </w:rPr>
        <w:t> </w:t>
      </w:r>
      <w:r>
        <w:rPr/>
        <w:t>亿元。</w:t>
      </w:r>
    </w:p>
    <w:p>
      <w:pPr>
        <w:spacing w:line="240" w:lineRule="auto" w:before="3"/>
        <w:rPr>
          <w:rFonts w:ascii="宋体" w:hAnsi="宋体" w:cs="宋体" w:eastAsia="宋体" w:hint="default"/>
          <w:sz w:val="14"/>
          <w:szCs w:val="14"/>
        </w:rPr>
      </w:pPr>
    </w:p>
    <w:p>
      <w:pPr>
        <w:pStyle w:val="BodyText"/>
        <w:spacing w:line="240" w:lineRule="auto"/>
        <w:ind w:left="113" w:right="87"/>
        <w:jc w:val="left"/>
      </w:pPr>
      <w:r>
        <w:rPr/>
        <w:t>4、</w:t>
      </w:r>
      <w:r>
        <w:rPr>
          <w:spacing w:val="-21"/>
        </w:rPr>
        <w:t> </w:t>
      </w:r>
      <w:r>
        <w:rPr/>
        <w:t>预付款项</w:t>
      </w:r>
    </w:p>
    <w:p>
      <w:pPr>
        <w:spacing w:line="240" w:lineRule="auto" w:before="12"/>
        <w:rPr>
          <w:rFonts w:ascii="宋体" w:hAnsi="宋体" w:cs="宋体" w:eastAsia="宋体" w:hint="default"/>
          <w:sz w:val="17"/>
          <w:szCs w:val="17"/>
        </w:rPr>
      </w:pPr>
    </w:p>
    <w:p>
      <w:pPr>
        <w:pStyle w:val="BodyText"/>
        <w:spacing w:line="240" w:lineRule="auto"/>
        <w:ind w:left="113" w:right="87"/>
        <w:jc w:val="left"/>
      </w:pPr>
      <w:r>
        <w:rPr/>
        <w:t>(a)</w:t>
      </w:r>
      <w:r>
        <w:rPr>
          <w:spacing w:val="-21"/>
        </w:rPr>
        <w:t> </w:t>
      </w:r>
      <w:r>
        <w:rPr/>
        <w:t>本集团预付款项账龄分析如下：</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1860"/>
        <w:gridCol w:w="2373"/>
        <w:gridCol w:w="1346"/>
        <w:gridCol w:w="2373"/>
        <w:gridCol w:w="1346"/>
      </w:tblGrid>
      <w:tr>
        <w:trPr>
          <w:trHeight w:val="342" w:hRule="exact"/>
        </w:trPr>
        <w:tc>
          <w:tcPr>
            <w:tcW w:w="1860" w:type="dxa"/>
            <w:vMerge w:val="restart"/>
            <w:tcBorders>
              <w:top w:val="nil" w:sz="6" w:space="0" w:color="auto"/>
              <w:left w:val="nil" w:sz="6" w:space="0" w:color="auto"/>
              <w:right w:val="nil" w:sz="6" w:space="0" w:color="auto"/>
            </w:tcBorders>
          </w:tcPr>
          <w:p>
            <w:pPr/>
          </w:p>
        </w:tc>
        <w:tc>
          <w:tcPr>
            <w:tcW w:w="3719" w:type="dxa"/>
            <w:gridSpan w:val="2"/>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1164"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3719"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7"/>
              <w:ind w:left="1164"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4" w:hRule="exact"/>
        </w:trPr>
        <w:tc>
          <w:tcPr>
            <w:tcW w:w="1860" w:type="dxa"/>
            <w:vMerge/>
            <w:tcBorders>
              <w:left w:val="nil" w:sz="6" w:space="0" w:color="auto"/>
              <w:bottom w:val="single" w:sz="16" w:space="0" w:color="9F8958"/>
              <w:right w:val="nil" w:sz="6" w:space="0" w:color="auto"/>
            </w:tcBorders>
          </w:tcPr>
          <w:p>
            <w:pPr/>
          </w:p>
        </w:tc>
        <w:tc>
          <w:tcPr>
            <w:tcW w:w="2373"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624"/>
              <w:jc w:val="right"/>
              <w:rPr>
                <w:rFonts w:ascii="宋体" w:hAnsi="宋体" w:cs="宋体" w:eastAsia="宋体" w:hint="default"/>
                <w:sz w:val="16"/>
                <w:szCs w:val="16"/>
              </w:rPr>
            </w:pPr>
            <w:r>
              <w:rPr>
                <w:rFonts w:ascii="宋体" w:hAnsi="宋体" w:cs="宋体" w:eastAsia="宋体" w:hint="default"/>
                <w:sz w:val="16"/>
                <w:szCs w:val="16"/>
              </w:rPr>
              <w:t>金额</w:t>
            </w:r>
          </w:p>
        </w:tc>
        <w:tc>
          <w:tcPr>
            <w:tcW w:w="134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比例</w:t>
            </w:r>
            <w:r>
              <w:rPr>
                <w:rFonts w:ascii="宋体" w:hAnsi="宋体" w:cs="宋体" w:eastAsia="宋体" w:hint="default"/>
                <w:spacing w:val="-34"/>
                <w:sz w:val="16"/>
                <w:szCs w:val="16"/>
              </w:rPr>
              <w:t> </w:t>
            </w:r>
            <w:r>
              <w:rPr>
                <w:rFonts w:ascii="宋体" w:hAnsi="宋体" w:cs="宋体" w:eastAsia="宋体" w:hint="default"/>
                <w:sz w:val="16"/>
                <w:szCs w:val="16"/>
              </w:rPr>
              <w:t>(%)</w:t>
            </w:r>
          </w:p>
        </w:tc>
        <w:tc>
          <w:tcPr>
            <w:tcW w:w="237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624"/>
              <w:jc w:val="right"/>
              <w:rPr>
                <w:rFonts w:ascii="宋体" w:hAnsi="宋体" w:cs="宋体" w:eastAsia="宋体" w:hint="default"/>
                <w:sz w:val="16"/>
                <w:szCs w:val="16"/>
              </w:rPr>
            </w:pPr>
            <w:r>
              <w:rPr>
                <w:rFonts w:ascii="宋体" w:hAnsi="宋体" w:cs="宋体" w:eastAsia="宋体" w:hint="default"/>
                <w:sz w:val="16"/>
                <w:szCs w:val="16"/>
              </w:rPr>
              <w:t>金额</w:t>
            </w:r>
          </w:p>
        </w:tc>
        <w:tc>
          <w:tcPr>
            <w:tcW w:w="134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比例</w:t>
            </w:r>
            <w:r>
              <w:rPr>
                <w:rFonts w:ascii="宋体" w:hAnsi="宋体" w:cs="宋体" w:eastAsia="宋体" w:hint="default"/>
                <w:spacing w:val="-34"/>
                <w:sz w:val="16"/>
                <w:szCs w:val="16"/>
              </w:rPr>
              <w:t> </w:t>
            </w:r>
            <w:r>
              <w:rPr>
                <w:rFonts w:ascii="宋体" w:hAnsi="宋体" w:cs="宋体" w:eastAsia="宋体" w:hint="default"/>
                <w:sz w:val="16"/>
                <w:szCs w:val="16"/>
              </w:rPr>
              <w:t>(%)</w:t>
            </w:r>
          </w:p>
        </w:tc>
      </w:tr>
      <w:tr>
        <w:trPr>
          <w:trHeight w:val="362" w:hRule="exact"/>
        </w:trPr>
        <w:tc>
          <w:tcPr>
            <w:tcW w:w="186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年以内</w:t>
            </w:r>
          </w:p>
        </w:tc>
        <w:tc>
          <w:tcPr>
            <w:tcW w:w="2373"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624"/>
              <w:jc w:val="right"/>
              <w:rPr>
                <w:rFonts w:ascii="宋体" w:hAnsi="宋体" w:cs="宋体" w:eastAsia="宋体" w:hint="default"/>
                <w:sz w:val="16"/>
                <w:szCs w:val="16"/>
              </w:rPr>
            </w:pPr>
            <w:r>
              <w:rPr>
                <w:rFonts w:ascii="宋体"/>
                <w:w w:val="95"/>
                <w:sz w:val="16"/>
              </w:rPr>
              <w:t>3,850,152,876</w:t>
            </w:r>
            <w:r>
              <w:rPr>
                <w:rFonts w:ascii="宋体"/>
                <w:sz w:val="16"/>
              </w:rPr>
            </w:r>
          </w:p>
        </w:tc>
        <w:tc>
          <w:tcPr>
            <w:tcW w:w="134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95.52</w:t>
            </w:r>
            <w:r>
              <w:rPr>
                <w:rFonts w:ascii="宋体"/>
                <w:sz w:val="16"/>
              </w:rPr>
            </w:r>
          </w:p>
        </w:tc>
        <w:tc>
          <w:tcPr>
            <w:tcW w:w="237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624"/>
              <w:jc w:val="right"/>
              <w:rPr>
                <w:rFonts w:ascii="宋体" w:hAnsi="宋体" w:cs="宋体" w:eastAsia="宋体" w:hint="default"/>
                <w:sz w:val="16"/>
                <w:szCs w:val="16"/>
              </w:rPr>
            </w:pPr>
            <w:r>
              <w:rPr>
                <w:rFonts w:ascii="宋体"/>
                <w:w w:val="95"/>
                <w:sz w:val="16"/>
              </w:rPr>
              <w:t>3,609,443,474</w:t>
            </w:r>
            <w:r>
              <w:rPr>
                <w:rFonts w:ascii="宋体"/>
                <w:sz w:val="16"/>
              </w:rPr>
            </w:r>
          </w:p>
        </w:tc>
        <w:tc>
          <w:tcPr>
            <w:tcW w:w="134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95.64</w:t>
            </w:r>
            <w:r>
              <w:rPr>
                <w:rFonts w:ascii="宋体"/>
                <w:sz w:val="16"/>
              </w:rPr>
            </w:r>
          </w:p>
        </w:tc>
      </w:tr>
      <w:tr>
        <w:trPr>
          <w:trHeight w:val="273" w:hRule="exact"/>
        </w:trPr>
        <w:tc>
          <w:tcPr>
            <w:tcW w:w="1860"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10"/>
                <w:sz w:val="16"/>
                <w:szCs w:val="16"/>
              </w:rPr>
              <w:t>1-2</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tc>
        <w:tc>
          <w:tcPr>
            <w:tcW w:w="237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24"/>
              <w:jc w:val="right"/>
              <w:rPr>
                <w:rFonts w:ascii="宋体" w:hAnsi="宋体" w:cs="宋体" w:eastAsia="宋体" w:hint="default"/>
                <w:sz w:val="16"/>
                <w:szCs w:val="16"/>
              </w:rPr>
            </w:pPr>
            <w:r>
              <w:rPr>
                <w:rFonts w:ascii="宋体"/>
                <w:sz w:val="16"/>
              </w:rPr>
              <w:t>114,964,616</w:t>
            </w:r>
          </w:p>
        </w:tc>
        <w:tc>
          <w:tcPr>
            <w:tcW w:w="134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2.85</w:t>
            </w:r>
            <w:r>
              <w:rPr>
                <w:rFonts w:ascii="宋体"/>
                <w:sz w:val="16"/>
              </w:rPr>
            </w:r>
          </w:p>
        </w:tc>
        <w:tc>
          <w:tcPr>
            <w:tcW w:w="2373" w:type="dxa"/>
            <w:tcBorders>
              <w:top w:val="nil" w:sz="6" w:space="0" w:color="auto"/>
              <w:left w:val="nil" w:sz="6" w:space="0" w:color="auto"/>
              <w:bottom w:val="nil" w:sz="6" w:space="0" w:color="auto"/>
              <w:right w:val="nil" w:sz="6" w:space="0" w:color="auto"/>
            </w:tcBorders>
          </w:tcPr>
          <w:p>
            <w:pPr>
              <w:pStyle w:val="TableParagraph"/>
              <w:spacing w:line="205" w:lineRule="exact"/>
              <w:ind w:right="624"/>
              <w:jc w:val="right"/>
              <w:rPr>
                <w:rFonts w:ascii="宋体" w:hAnsi="宋体" w:cs="宋体" w:eastAsia="宋体" w:hint="default"/>
                <w:sz w:val="16"/>
                <w:szCs w:val="16"/>
              </w:rPr>
            </w:pPr>
            <w:r>
              <w:rPr>
                <w:rFonts w:ascii="宋体"/>
                <w:w w:val="95"/>
                <w:sz w:val="16"/>
              </w:rPr>
              <w:t>89,772,469</w:t>
            </w:r>
            <w:r>
              <w:rPr>
                <w:rFonts w:ascii="宋体"/>
                <w:sz w:val="16"/>
              </w:rPr>
            </w:r>
          </w:p>
        </w:tc>
        <w:tc>
          <w:tcPr>
            <w:tcW w:w="134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2.38</w:t>
            </w:r>
            <w:r>
              <w:rPr>
                <w:rFonts w:ascii="宋体"/>
                <w:sz w:val="16"/>
              </w:rPr>
            </w:r>
          </w:p>
        </w:tc>
      </w:tr>
      <w:tr>
        <w:trPr>
          <w:trHeight w:val="273" w:hRule="exact"/>
        </w:trPr>
        <w:tc>
          <w:tcPr>
            <w:tcW w:w="1860"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10"/>
                <w:sz w:val="16"/>
                <w:szCs w:val="16"/>
              </w:rPr>
              <w:t>2-3</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tc>
        <w:tc>
          <w:tcPr>
            <w:tcW w:w="237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24"/>
              <w:jc w:val="right"/>
              <w:rPr>
                <w:rFonts w:ascii="宋体" w:hAnsi="宋体" w:cs="宋体" w:eastAsia="宋体" w:hint="default"/>
                <w:sz w:val="16"/>
                <w:szCs w:val="16"/>
              </w:rPr>
            </w:pPr>
            <w:r>
              <w:rPr>
                <w:rFonts w:ascii="宋体"/>
                <w:w w:val="95"/>
                <w:sz w:val="16"/>
              </w:rPr>
              <w:t>41,114,761</w:t>
            </w:r>
            <w:r>
              <w:rPr>
                <w:rFonts w:ascii="宋体"/>
                <w:sz w:val="16"/>
              </w:rPr>
            </w:r>
          </w:p>
        </w:tc>
        <w:tc>
          <w:tcPr>
            <w:tcW w:w="134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1.02</w:t>
            </w:r>
            <w:r>
              <w:rPr>
                <w:rFonts w:ascii="宋体"/>
                <w:sz w:val="16"/>
              </w:rPr>
            </w:r>
          </w:p>
        </w:tc>
        <w:tc>
          <w:tcPr>
            <w:tcW w:w="2373" w:type="dxa"/>
            <w:tcBorders>
              <w:top w:val="nil" w:sz="6" w:space="0" w:color="auto"/>
              <w:left w:val="nil" w:sz="6" w:space="0" w:color="auto"/>
              <w:bottom w:val="nil" w:sz="6" w:space="0" w:color="auto"/>
              <w:right w:val="nil" w:sz="6" w:space="0" w:color="auto"/>
            </w:tcBorders>
          </w:tcPr>
          <w:p>
            <w:pPr>
              <w:pStyle w:val="TableParagraph"/>
              <w:spacing w:line="205" w:lineRule="exact"/>
              <w:ind w:right="624"/>
              <w:jc w:val="right"/>
              <w:rPr>
                <w:rFonts w:ascii="宋体" w:hAnsi="宋体" w:cs="宋体" w:eastAsia="宋体" w:hint="default"/>
                <w:sz w:val="16"/>
                <w:szCs w:val="16"/>
              </w:rPr>
            </w:pPr>
            <w:r>
              <w:rPr>
                <w:rFonts w:ascii="宋体"/>
                <w:w w:val="95"/>
                <w:sz w:val="16"/>
              </w:rPr>
              <w:t>41,073,674</w:t>
            </w:r>
            <w:r>
              <w:rPr>
                <w:rFonts w:ascii="宋体"/>
                <w:sz w:val="16"/>
              </w:rPr>
            </w:r>
          </w:p>
        </w:tc>
        <w:tc>
          <w:tcPr>
            <w:tcW w:w="134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1.09</w:t>
            </w:r>
            <w:r>
              <w:rPr>
                <w:rFonts w:ascii="宋体"/>
                <w:sz w:val="16"/>
              </w:rPr>
            </w:r>
          </w:p>
        </w:tc>
      </w:tr>
      <w:tr>
        <w:trPr>
          <w:trHeight w:val="331" w:hRule="exact"/>
        </w:trPr>
        <w:tc>
          <w:tcPr>
            <w:tcW w:w="1860"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3</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c>
        <w:tc>
          <w:tcPr>
            <w:tcW w:w="2373"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624"/>
              <w:jc w:val="right"/>
              <w:rPr>
                <w:rFonts w:ascii="宋体" w:hAnsi="宋体" w:cs="宋体" w:eastAsia="宋体" w:hint="default"/>
                <w:sz w:val="16"/>
                <w:szCs w:val="16"/>
              </w:rPr>
            </w:pPr>
            <w:r>
              <w:rPr>
                <w:rFonts w:ascii="宋体"/>
                <w:w w:val="95"/>
                <w:sz w:val="16"/>
              </w:rPr>
              <w:t>24,421,407</w:t>
            </w:r>
            <w:r>
              <w:rPr>
                <w:rFonts w:ascii="宋体"/>
                <w:sz w:val="16"/>
              </w:rPr>
            </w:r>
          </w:p>
        </w:tc>
        <w:tc>
          <w:tcPr>
            <w:tcW w:w="1346"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0.61</w:t>
            </w:r>
            <w:r>
              <w:rPr>
                <w:rFonts w:ascii="宋体"/>
                <w:sz w:val="16"/>
              </w:rPr>
            </w:r>
          </w:p>
        </w:tc>
        <w:tc>
          <w:tcPr>
            <w:tcW w:w="2373" w:type="dxa"/>
            <w:tcBorders>
              <w:top w:val="nil" w:sz="6" w:space="0" w:color="auto"/>
              <w:left w:val="nil" w:sz="6" w:space="0" w:color="auto"/>
              <w:bottom w:val="single" w:sz="6" w:space="0" w:color="000000"/>
              <w:right w:val="nil" w:sz="6" w:space="0" w:color="auto"/>
            </w:tcBorders>
          </w:tcPr>
          <w:p>
            <w:pPr>
              <w:pStyle w:val="TableParagraph"/>
              <w:spacing w:line="205" w:lineRule="exact"/>
              <w:ind w:right="624"/>
              <w:jc w:val="right"/>
              <w:rPr>
                <w:rFonts w:ascii="宋体" w:hAnsi="宋体" w:cs="宋体" w:eastAsia="宋体" w:hint="default"/>
                <w:sz w:val="16"/>
                <w:szCs w:val="16"/>
              </w:rPr>
            </w:pPr>
            <w:r>
              <w:rPr>
                <w:rFonts w:ascii="宋体"/>
                <w:w w:val="95"/>
                <w:sz w:val="16"/>
              </w:rPr>
              <w:t>33,642,365</w:t>
            </w:r>
            <w:r>
              <w:rPr>
                <w:rFonts w:ascii="宋体"/>
                <w:sz w:val="16"/>
              </w:rPr>
            </w:r>
          </w:p>
        </w:tc>
        <w:tc>
          <w:tcPr>
            <w:tcW w:w="1346"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0.89</w:t>
            </w:r>
            <w:r>
              <w:rPr>
                <w:rFonts w:ascii="宋体"/>
                <w:sz w:val="16"/>
              </w:rPr>
            </w:r>
          </w:p>
        </w:tc>
      </w:tr>
      <w:tr>
        <w:trPr>
          <w:trHeight w:val="414" w:hRule="exact"/>
        </w:trPr>
        <w:tc>
          <w:tcPr>
            <w:tcW w:w="186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73"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624"/>
              <w:jc w:val="right"/>
              <w:rPr>
                <w:rFonts w:ascii="宋体" w:hAnsi="宋体" w:cs="宋体" w:eastAsia="宋体" w:hint="default"/>
                <w:sz w:val="16"/>
                <w:szCs w:val="16"/>
              </w:rPr>
            </w:pPr>
            <w:r>
              <w:rPr>
                <w:rFonts w:ascii="宋体"/>
                <w:w w:val="95"/>
                <w:sz w:val="16"/>
              </w:rPr>
              <w:t>4,030,653,660</w:t>
            </w:r>
            <w:r>
              <w:rPr>
                <w:rFonts w:ascii="宋体"/>
                <w:sz w:val="16"/>
              </w:rPr>
            </w:r>
          </w:p>
        </w:tc>
        <w:tc>
          <w:tcPr>
            <w:tcW w:w="134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100.00</w:t>
            </w:r>
          </w:p>
        </w:tc>
        <w:tc>
          <w:tcPr>
            <w:tcW w:w="237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624"/>
              <w:jc w:val="right"/>
              <w:rPr>
                <w:rFonts w:ascii="宋体" w:hAnsi="宋体" w:cs="宋体" w:eastAsia="宋体" w:hint="default"/>
                <w:sz w:val="16"/>
                <w:szCs w:val="16"/>
              </w:rPr>
            </w:pPr>
            <w:r>
              <w:rPr>
                <w:rFonts w:ascii="宋体"/>
                <w:w w:val="95"/>
                <w:sz w:val="16"/>
              </w:rPr>
              <w:t>3,773,931,982</w:t>
            </w:r>
            <w:r>
              <w:rPr>
                <w:rFonts w:ascii="宋体"/>
                <w:sz w:val="16"/>
              </w:rPr>
            </w:r>
          </w:p>
        </w:tc>
        <w:tc>
          <w:tcPr>
            <w:tcW w:w="134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100.00</w:t>
            </w:r>
          </w:p>
        </w:tc>
      </w:tr>
    </w:tbl>
    <w:p>
      <w:pPr>
        <w:spacing w:line="240" w:lineRule="auto" w:before="1"/>
        <w:rPr>
          <w:rFonts w:ascii="宋体" w:hAnsi="宋体" w:cs="宋体" w:eastAsia="宋体" w:hint="default"/>
          <w:sz w:val="15"/>
          <w:szCs w:val="15"/>
        </w:rPr>
      </w:pPr>
    </w:p>
    <w:p>
      <w:pPr>
        <w:pStyle w:val="BodyText"/>
        <w:spacing w:line="240" w:lineRule="auto" w:before="31"/>
        <w:ind w:left="453" w:right="87"/>
        <w:jc w:val="left"/>
      </w:pPr>
      <w:r>
        <w:rPr/>
        <w:t>于</w:t>
      </w:r>
      <w:r>
        <w:rPr>
          <w:spacing w:val="-37"/>
        </w:rPr>
        <w:t> </w:t>
      </w:r>
      <w:r>
        <w:rPr/>
        <w:t>2018</w:t>
      </w:r>
      <w:r>
        <w:rPr>
          <w:spacing w:val="-38"/>
        </w:rPr>
        <w:t> </w:t>
      </w:r>
      <w:r>
        <w:rPr/>
        <w:t>年</w:t>
      </w:r>
      <w:r>
        <w:rPr>
          <w:spacing w:val="-37"/>
        </w:rPr>
        <w:t> </w:t>
      </w:r>
      <w:r>
        <w:rPr/>
        <w:t>12</w:t>
      </w:r>
      <w:r>
        <w:rPr>
          <w:spacing w:val="-37"/>
        </w:rPr>
        <w:t> </w:t>
      </w:r>
      <w:r>
        <w:rPr/>
        <w:t>月</w:t>
      </w:r>
      <w:r>
        <w:rPr>
          <w:spacing w:val="-37"/>
        </w:rPr>
        <w:t> </w:t>
      </w:r>
      <w:r>
        <w:rPr/>
        <w:t>31</w:t>
      </w:r>
      <w:r>
        <w:rPr>
          <w:spacing w:val="-37"/>
        </w:rPr>
        <w:t> </w:t>
      </w:r>
      <w:r>
        <w:rPr/>
        <w:t>日，账龄超过</w:t>
      </w:r>
      <w:r>
        <w:rPr>
          <w:spacing w:val="-37"/>
        </w:rPr>
        <w:t> </w:t>
      </w:r>
      <w:r>
        <w:rPr/>
        <w:t>1</w:t>
      </w:r>
      <w:r>
        <w:rPr>
          <w:spacing w:val="-37"/>
        </w:rPr>
        <w:t> </w:t>
      </w:r>
      <w:r>
        <w:rPr/>
        <w:t>年的预付款项约人民币</w:t>
      </w:r>
      <w:r>
        <w:rPr>
          <w:spacing w:val="-37"/>
        </w:rPr>
        <w:t> </w:t>
      </w:r>
      <w:r>
        <w:rPr/>
        <w:t>1.81</w:t>
      </w:r>
      <w:r>
        <w:rPr>
          <w:spacing w:val="-37"/>
        </w:rPr>
        <w:t> </w:t>
      </w:r>
      <w:r>
        <w:rPr/>
        <w:t>亿元（2017</w:t>
      </w:r>
      <w:r>
        <w:rPr>
          <w:spacing w:val="-38"/>
        </w:rPr>
        <w:t> </w:t>
      </w:r>
      <w:r>
        <w:rPr/>
        <w:t>年</w:t>
      </w:r>
      <w:r>
        <w:rPr>
          <w:spacing w:val="-37"/>
        </w:rPr>
        <w:t> </w:t>
      </w:r>
      <w:r>
        <w:rPr/>
        <w:t>12</w:t>
      </w:r>
      <w:r>
        <w:rPr>
          <w:spacing w:val="-37"/>
        </w:rPr>
        <w:t> </w:t>
      </w:r>
      <w:r>
        <w:rPr/>
        <w:t>月</w:t>
      </w:r>
      <w:r>
        <w:rPr>
          <w:spacing w:val="-37"/>
        </w:rPr>
        <w:t> </w:t>
      </w:r>
      <w:r>
        <w:rPr/>
        <w:t>31</w:t>
      </w:r>
      <w:r>
        <w:rPr>
          <w:spacing w:val="-37"/>
        </w:rPr>
        <w:t> </w:t>
      </w:r>
      <w:r>
        <w:rPr/>
        <w:t>日：约人民币</w:t>
      </w:r>
      <w:r>
        <w:rPr>
          <w:spacing w:val="-37"/>
        </w:rPr>
        <w:t> </w:t>
      </w:r>
      <w:r>
        <w:rPr/>
        <w:t>1.64</w:t>
      </w:r>
      <w:r>
        <w:rPr>
          <w:spacing w:val="-37"/>
        </w:rPr>
        <w:t> </w:t>
      </w:r>
      <w:r>
        <w:rPr/>
        <w:t>亿元），</w:t>
      </w:r>
    </w:p>
    <w:p>
      <w:pPr>
        <w:pStyle w:val="BodyText"/>
        <w:spacing w:line="240" w:lineRule="auto" w:before="44"/>
        <w:ind w:left="453" w:right="87"/>
        <w:jc w:val="left"/>
      </w:pPr>
      <w:r>
        <w:rPr/>
        <w:t>主要为合同执行期限超过</w:t>
      </w:r>
      <w:r>
        <w:rPr>
          <w:spacing w:val="-40"/>
        </w:rPr>
        <w:t> </w:t>
      </w:r>
      <w:r>
        <w:rPr/>
        <w:t>1</w:t>
      </w:r>
      <w:r>
        <w:rPr>
          <w:spacing w:val="-42"/>
        </w:rPr>
        <w:t> </w:t>
      </w:r>
      <w:r>
        <w:rPr/>
        <w:t>年的预付购货款等。</w:t>
      </w:r>
    </w:p>
    <w:p>
      <w:pPr>
        <w:spacing w:line="240" w:lineRule="auto" w:before="5"/>
        <w:rPr>
          <w:rFonts w:ascii="宋体" w:hAnsi="宋体" w:cs="宋体" w:eastAsia="宋体" w:hint="default"/>
          <w:sz w:val="16"/>
          <w:szCs w:val="16"/>
        </w:rPr>
      </w:pPr>
    </w:p>
    <w:p>
      <w:pPr>
        <w:pStyle w:val="BodyText"/>
        <w:spacing w:line="240" w:lineRule="auto"/>
        <w:ind w:left="113" w:right="0"/>
        <w:jc w:val="left"/>
      </w:pPr>
      <w:r>
        <w:rPr/>
        <w:t>(b)</w:t>
      </w:r>
      <w:r>
        <w:rPr>
          <w:spacing w:val="80"/>
        </w:rPr>
        <w:t> </w:t>
      </w:r>
      <w:r>
        <w:rPr/>
        <w:t>于</w:t>
      </w:r>
      <w:r>
        <w:rPr>
          <w:spacing w:val="-54"/>
        </w:rPr>
        <w:t> </w:t>
      </w:r>
      <w:r>
        <w:rPr/>
        <w:t>2018</w:t>
      </w:r>
      <w:r>
        <w:rPr>
          <w:spacing w:val="-55"/>
        </w:rPr>
        <w:t> </w:t>
      </w:r>
      <w:r>
        <w:rPr/>
        <w:t>年</w:t>
      </w:r>
      <w:r>
        <w:rPr>
          <w:spacing w:val="-54"/>
        </w:rPr>
        <w:t> </w:t>
      </w:r>
      <w:r>
        <w:rPr/>
        <w:t>12</w:t>
      </w:r>
      <w:r>
        <w:rPr>
          <w:spacing w:val="-55"/>
        </w:rPr>
        <w:t> </w:t>
      </w:r>
      <w:r>
        <w:rPr/>
        <w:t>月</w:t>
      </w:r>
      <w:r>
        <w:rPr>
          <w:spacing w:val="-54"/>
        </w:rPr>
        <w:t> </w:t>
      </w:r>
      <w:r>
        <w:rPr/>
        <w:t>31</w:t>
      </w:r>
      <w:r>
        <w:rPr>
          <w:spacing w:val="-55"/>
        </w:rPr>
        <w:t> </w:t>
      </w:r>
      <w:r>
        <w:rPr>
          <w:spacing w:val="-3"/>
        </w:rPr>
        <w:t>日，本集团年末余额前五名的预付款项合计人民币</w:t>
      </w:r>
      <w:r>
        <w:rPr>
          <w:spacing w:val="-54"/>
        </w:rPr>
        <w:t> </w:t>
      </w:r>
      <w:r>
        <w:rPr/>
        <w:t>3.96</w:t>
      </w:r>
      <w:r>
        <w:rPr>
          <w:spacing w:val="-55"/>
        </w:rPr>
        <w:t> </w:t>
      </w:r>
      <w:r>
        <w:rPr>
          <w:spacing w:val="-4"/>
        </w:rPr>
        <w:t>亿元，占预付款项年末余额合计数的</w:t>
      </w:r>
      <w:r>
        <w:rPr>
          <w:spacing w:val="-54"/>
        </w:rPr>
        <w:t> </w:t>
      </w:r>
      <w:r>
        <w:rPr/>
        <w:t>9.82%。</w:t>
      </w:r>
    </w:p>
    <w:p>
      <w:pPr>
        <w:spacing w:after="0" w:line="240" w:lineRule="auto"/>
        <w:jc w:val="left"/>
        <w:sectPr>
          <w:pgSz w:w="11910" w:h="16160"/>
          <w:pgMar w:header="1200" w:footer="320" w:top="2120" w:bottom="520" w:left="680" w:right="1280"/>
        </w:sectPr>
      </w:pPr>
    </w:p>
    <w:p>
      <w:pPr>
        <w:spacing w:line="240" w:lineRule="auto" w:before="3"/>
        <w:rPr>
          <w:rFonts w:ascii="宋体" w:hAnsi="宋体" w:cs="宋体" w:eastAsia="宋体" w:hint="default"/>
          <w:sz w:val="14"/>
          <w:szCs w:val="14"/>
        </w:rPr>
      </w:pPr>
    </w:p>
    <w:p>
      <w:pPr>
        <w:pStyle w:val="BodyText"/>
        <w:spacing w:line="240" w:lineRule="auto" w:before="31"/>
        <w:ind w:left="114" w:right="125"/>
        <w:jc w:val="left"/>
      </w:pPr>
      <w:r>
        <w:rPr/>
        <w:t>5、</w:t>
      </w:r>
      <w:r>
        <w:rPr>
          <w:spacing w:val="-21"/>
        </w:rPr>
        <w:t> </w:t>
      </w:r>
      <w:r>
        <w:rPr/>
        <w:t>其他应收款</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642"/>
        <w:gridCol w:w="2321"/>
        <w:gridCol w:w="2321"/>
      </w:tblGrid>
      <w:tr>
        <w:trPr>
          <w:trHeight w:val="350" w:hRule="exact"/>
        </w:trPr>
        <w:tc>
          <w:tcPr>
            <w:tcW w:w="464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078"/>
              <w:jc w:val="right"/>
              <w:rPr>
                <w:rFonts w:ascii="宋体" w:hAnsi="宋体" w:cs="宋体" w:eastAsia="宋体" w:hint="default"/>
                <w:sz w:val="16"/>
                <w:szCs w:val="16"/>
              </w:rPr>
            </w:pPr>
            <w:r>
              <w:rPr>
                <w:rFonts w:ascii="宋体" w:hAnsi="宋体" w:cs="宋体" w:eastAsia="宋体" w:hint="default"/>
                <w:sz w:val="16"/>
                <w:szCs w:val="16"/>
              </w:rPr>
              <w:t>注</w:t>
            </w: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1"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2" w:type="dxa"/>
            <w:tcBorders>
              <w:top w:val="single" w:sz="16" w:space="0" w:color="9F8958"/>
              <w:left w:val="nil" w:sz="6" w:space="0" w:color="auto"/>
              <w:bottom w:val="single" w:sz="6" w:space="0" w:color="000000"/>
              <w:right w:val="nil" w:sz="6" w:space="0" w:color="auto"/>
            </w:tcBorders>
          </w:tcPr>
          <w:p>
            <w:pPr>
              <w:pStyle w:val="TableParagraph"/>
              <w:tabs>
                <w:tab w:pos="3088"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应收利息</w:t>
              <w:tab/>
            </w: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(41)</w:t>
            </w:r>
            <w:r>
              <w:rPr>
                <w:rFonts w:ascii="宋体" w:hAnsi="宋体" w:cs="宋体" w:eastAsia="宋体" w:hint="default"/>
                <w:sz w:val="16"/>
                <w:szCs w:val="16"/>
              </w:rPr>
            </w:r>
          </w:p>
          <w:p>
            <w:pPr>
              <w:pStyle w:val="TableParagraph"/>
              <w:tabs>
                <w:tab w:pos="3396"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w w:val="95"/>
                <w:sz w:val="16"/>
                <w:szCs w:val="16"/>
              </w:rPr>
              <w:t>其他</w:t>
              <w:tab/>
              <w:t>(a)</w:t>
            </w:r>
            <w:r>
              <w:rPr>
                <w:rFonts w:ascii="宋体" w:hAnsi="宋体" w:cs="宋体" w:eastAsia="宋体" w:hint="default"/>
                <w:sz w:val="16"/>
                <w:szCs w:val="16"/>
              </w:rPr>
            </w:r>
          </w:p>
        </w:tc>
        <w:tc>
          <w:tcPr>
            <w:tcW w:w="2321"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206" w:right="0"/>
              <w:jc w:val="center"/>
              <w:rPr>
                <w:rFonts w:ascii="宋体" w:hAnsi="宋体" w:cs="宋体" w:eastAsia="宋体" w:hint="default"/>
                <w:sz w:val="16"/>
                <w:szCs w:val="16"/>
              </w:rPr>
            </w:pPr>
            <w:r>
              <w:rPr>
                <w:rFonts w:ascii="宋体"/>
                <w:sz w:val="16"/>
              </w:rPr>
              <w:t>342,481,203</w:t>
            </w:r>
          </w:p>
          <w:p>
            <w:pPr>
              <w:pStyle w:val="TableParagraph"/>
              <w:spacing w:line="240" w:lineRule="auto" w:before="64"/>
              <w:ind w:left="1073" w:right="0"/>
              <w:jc w:val="center"/>
              <w:rPr>
                <w:rFonts w:ascii="宋体" w:hAnsi="宋体" w:cs="宋体" w:eastAsia="宋体" w:hint="default"/>
                <w:sz w:val="16"/>
                <w:szCs w:val="16"/>
              </w:rPr>
            </w:pPr>
            <w:r>
              <w:rPr>
                <w:rFonts w:ascii="宋体"/>
                <w:sz w:val="16"/>
              </w:rPr>
              <w:t>2,878,388,446</w:t>
            </w:r>
          </w:p>
        </w:tc>
        <w:tc>
          <w:tcPr>
            <w:tcW w:w="2321"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206" w:right="0"/>
              <w:jc w:val="center"/>
              <w:rPr>
                <w:rFonts w:ascii="宋体" w:hAnsi="宋体" w:cs="宋体" w:eastAsia="宋体" w:hint="default"/>
                <w:sz w:val="16"/>
                <w:szCs w:val="16"/>
              </w:rPr>
            </w:pPr>
            <w:r>
              <w:rPr>
                <w:rFonts w:ascii="宋体"/>
                <w:sz w:val="16"/>
              </w:rPr>
              <w:t>317,810,622</w:t>
            </w:r>
          </w:p>
          <w:p>
            <w:pPr>
              <w:pStyle w:val="TableParagraph"/>
              <w:spacing w:line="240" w:lineRule="auto" w:before="64"/>
              <w:ind w:left="1073" w:right="0"/>
              <w:jc w:val="center"/>
              <w:rPr>
                <w:rFonts w:ascii="宋体" w:hAnsi="宋体" w:cs="宋体" w:eastAsia="宋体" w:hint="default"/>
                <w:sz w:val="16"/>
                <w:szCs w:val="16"/>
              </w:rPr>
            </w:pPr>
            <w:r>
              <w:rPr>
                <w:rFonts w:ascii="宋体"/>
                <w:sz w:val="16"/>
              </w:rPr>
              <w:t>7,588,829,515</w:t>
            </w:r>
          </w:p>
        </w:tc>
      </w:tr>
      <w:tr>
        <w:trPr>
          <w:trHeight w:val="415" w:hRule="exact"/>
        </w:trPr>
        <w:tc>
          <w:tcPr>
            <w:tcW w:w="46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3,220,869,649</w:t>
            </w:r>
            <w:r>
              <w:rPr>
                <w:rFonts w:ascii="宋体"/>
                <w:sz w:val="16"/>
              </w:rPr>
            </w:r>
          </w:p>
        </w:tc>
        <w:tc>
          <w:tcPr>
            <w:tcW w:w="232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7,906,640,137</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125"/>
        <w:jc w:val="left"/>
      </w:pPr>
      <w:r>
        <w:rPr>
          <w:w w:val="95"/>
        </w:rPr>
        <w:t>(a)</w:t>
      </w:r>
      <w:r>
        <w:rPr>
          <w:spacing w:val="15"/>
          <w:w w:val="95"/>
        </w:rPr>
        <w:t> </w:t>
      </w:r>
      <w:r>
        <w:rPr>
          <w:w w:val="95"/>
        </w:rPr>
        <w:t>其他</w:t>
      </w:r>
    </w:p>
    <w:p>
      <w:pPr>
        <w:spacing w:line="240" w:lineRule="auto" w:before="12"/>
        <w:rPr>
          <w:rFonts w:ascii="宋体" w:hAnsi="宋体" w:cs="宋体" w:eastAsia="宋体" w:hint="default"/>
          <w:sz w:val="17"/>
          <w:szCs w:val="17"/>
        </w:rPr>
      </w:pPr>
    </w:p>
    <w:p>
      <w:pPr>
        <w:pStyle w:val="BodyText"/>
        <w:spacing w:line="240" w:lineRule="auto"/>
        <w:ind w:right="125"/>
        <w:jc w:val="left"/>
      </w:pPr>
      <w:r>
        <w:rPr/>
        <w:t>(1)</w:t>
      </w:r>
      <w:r>
        <w:rPr>
          <w:spacing w:val="19"/>
        </w:rPr>
        <w:t> </w:t>
      </w:r>
      <w:r>
        <w:rPr/>
        <w:t>按类别分析如下：</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2503"/>
        <w:gridCol w:w="2139"/>
        <w:gridCol w:w="2321"/>
        <w:gridCol w:w="2321"/>
      </w:tblGrid>
      <w:tr>
        <w:trPr>
          <w:trHeight w:val="350" w:hRule="exact"/>
        </w:trPr>
        <w:tc>
          <w:tcPr>
            <w:tcW w:w="4642"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1078"/>
              <w:jc w:val="right"/>
              <w:rPr>
                <w:rFonts w:ascii="宋体" w:hAnsi="宋体" w:cs="宋体" w:eastAsia="宋体" w:hint="default"/>
                <w:sz w:val="16"/>
                <w:szCs w:val="16"/>
              </w:rPr>
            </w:pPr>
            <w:r>
              <w:rPr>
                <w:rFonts w:ascii="宋体" w:hAnsi="宋体" w:cs="宋体" w:eastAsia="宋体" w:hint="default"/>
                <w:sz w:val="16"/>
                <w:szCs w:val="16"/>
              </w:rPr>
              <w:t>注</w:t>
            </w: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1"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50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应收合约用户通信终端款</w:t>
            </w:r>
          </w:p>
        </w:tc>
        <w:tc>
          <w:tcPr>
            <w:tcW w:w="213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8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63"/>
                <w:w w:val="95"/>
                <w:sz w:val="16"/>
                <w:szCs w:val="16"/>
              </w:rPr>
              <w:t> </w:t>
            </w:r>
            <w:r>
              <w:rPr>
                <w:rFonts w:ascii="宋体" w:hAnsi="宋体" w:cs="宋体" w:eastAsia="宋体" w:hint="default"/>
                <w:w w:val="95"/>
                <w:sz w:val="16"/>
                <w:szCs w:val="16"/>
              </w:rPr>
              <w:t>(7)</w:t>
            </w:r>
            <w:r>
              <w:rPr>
                <w:rFonts w:ascii="宋体" w:hAnsi="宋体" w:cs="宋体" w:eastAsia="宋体" w:hint="default"/>
                <w:sz w:val="16"/>
                <w:szCs w:val="16"/>
              </w:rPr>
            </w:r>
          </w:p>
        </w:tc>
        <w:tc>
          <w:tcPr>
            <w:tcW w:w="232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232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3,117,968,044</w:t>
            </w:r>
            <w:r>
              <w:rPr>
                <w:rFonts w:ascii="宋体"/>
                <w:sz w:val="16"/>
              </w:rPr>
            </w:r>
          </w:p>
        </w:tc>
      </w:tr>
      <w:tr>
        <w:trPr>
          <w:trHeight w:val="273" w:hRule="exact"/>
        </w:trPr>
        <w:tc>
          <w:tcPr>
            <w:tcW w:w="25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备用金及垫付款</w:t>
            </w:r>
          </w:p>
        </w:tc>
        <w:tc>
          <w:tcPr>
            <w:tcW w:w="2139"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448,085,377</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296,896,879</w:t>
            </w:r>
          </w:p>
        </w:tc>
      </w:tr>
      <w:tr>
        <w:trPr>
          <w:trHeight w:val="273" w:hRule="exact"/>
        </w:trPr>
        <w:tc>
          <w:tcPr>
            <w:tcW w:w="25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暂付押金、保证金等</w:t>
            </w:r>
          </w:p>
        </w:tc>
        <w:tc>
          <w:tcPr>
            <w:tcW w:w="2139"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1,103,890,537</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988,203,662</w:t>
            </w:r>
          </w:p>
        </w:tc>
      </w:tr>
      <w:tr>
        <w:trPr>
          <w:trHeight w:val="273" w:hRule="exact"/>
        </w:trPr>
        <w:tc>
          <w:tcPr>
            <w:tcW w:w="25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员工备用金</w:t>
            </w:r>
          </w:p>
        </w:tc>
        <w:tc>
          <w:tcPr>
            <w:tcW w:w="2139"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22,401,118</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20,829,545</w:t>
            </w:r>
            <w:r>
              <w:rPr>
                <w:rFonts w:ascii="宋体"/>
                <w:sz w:val="16"/>
              </w:rPr>
            </w:r>
          </w:p>
        </w:tc>
      </w:tr>
      <w:tr>
        <w:trPr>
          <w:trHeight w:val="273" w:hRule="exact"/>
        </w:trPr>
        <w:tc>
          <w:tcPr>
            <w:tcW w:w="25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应收铁塔公司相关款项</w:t>
            </w:r>
          </w:p>
        </w:tc>
        <w:tc>
          <w:tcPr>
            <w:tcW w:w="2139" w:type="dxa"/>
            <w:tcBorders>
              <w:top w:val="nil" w:sz="6" w:space="0" w:color="auto"/>
              <w:left w:val="nil" w:sz="6" w:space="0" w:color="auto"/>
              <w:bottom w:val="nil" w:sz="6" w:space="0" w:color="auto"/>
              <w:right w:val="nil" w:sz="6" w:space="0" w:color="auto"/>
            </w:tcBorders>
          </w:tcPr>
          <w:p>
            <w:pPr>
              <w:pStyle w:val="TableParagraph"/>
              <w:spacing w:line="205" w:lineRule="exact"/>
              <w:ind w:right="140"/>
              <w:jc w:val="center"/>
              <w:rPr>
                <w:rFonts w:ascii="宋体" w:hAnsi="宋体" w:cs="宋体" w:eastAsia="宋体" w:hint="default"/>
                <w:sz w:val="16"/>
                <w:szCs w:val="16"/>
              </w:rPr>
            </w:pPr>
            <w:r>
              <w:rPr>
                <w:rFonts w:ascii="宋体" w:hAnsi="宋体" w:cs="宋体" w:eastAsia="宋体" w:hint="default"/>
                <w:spacing w:val="19"/>
                <w:w w:val="105"/>
                <w:sz w:val="16"/>
                <w:szCs w:val="16"/>
              </w:rPr>
              <w:t>注1</w:t>
            </w:r>
            <w:r>
              <w:rPr>
                <w:rFonts w:ascii="宋体" w:hAnsi="宋体" w:cs="宋体" w:eastAsia="宋体" w:hint="default"/>
                <w:spacing w:val="-40"/>
                <w:sz w:val="16"/>
                <w:szCs w:val="16"/>
              </w:rPr>
              <w:t> </w:t>
            </w:r>
            <w:r>
              <w:rPr>
                <w:rFonts w:ascii="宋体" w:hAnsi="宋体" w:cs="宋体" w:eastAsia="宋体" w:hint="default"/>
                <w:sz w:val="16"/>
                <w:szCs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530,029,814</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2,936,790,303</w:t>
            </w:r>
            <w:r>
              <w:rPr>
                <w:rFonts w:ascii="宋体"/>
                <w:sz w:val="16"/>
              </w:rPr>
            </w:r>
          </w:p>
        </w:tc>
      </w:tr>
      <w:tr>
        <w:trPr>
          <w:trHeight w:val="273" w:hRule="exact"/>
        </w:trPr>
        <w:tc>
          <w:tcPr>
            <w:tcW w:w="25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139"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1,276,169,792</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1,614,966,431</w:t>
            </w:r>
            <w:r>
              <w:rPr>
                <w:rFonts w:ascii="宋体"/>
                <w:sz w:val="16"/>
              </w:rPr>
            </w:r>
          </w:p>
        </w:tc>
      </w:tr>
      <w:tr>
        <w:trPr>
          <w:trHeight w:val="330" w:hRule="exact"/>
        </w:trPr>
        <w:tc>
          <w:tcPr>
            <w:tcW w:w="250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139" w:type="dxa"/>
            <w:tcBorders>
              <w:top w:val="nil" w:sz="6" w:space="0" w:color="auto"/>
              <w:left w:val="nil" w:sz="6" w:space="0" w:color="auto"/>
              <w:bottom w:val="single" w:sz="6" w:space="0" w:color="000000"/>
              <w:right w:val="nil" w:sz="6" w:space="0" w:color="auto"/>
            </w:tcBorders>
          </w:tcPr>
          <w:p>
            <w:pPr/>
          </w:p>
        </w:tc>
        <w:tc>
          <w:tcPr>
            <w:tcW w:w="2321"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3,380,576,638</w:t>
            </w:r>
            <w:r>
              <w:rPr>
                <w:rFonts w:ascii="宋体"/>
                <w:sz w:val="16"/>
              </w:rPr>
            </w:r>
          </w:p>
        </w:tc>
        <w:tc>
          <w:tcPr>
            <w:tcW w:w="2321"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8,975,654,864</w:t>
            </w:r>
            <w:r>
              <w:rPr>
                <w:rFonts w:ascii="宋体"/>
                <w:sz w:val="16"/>
              </w:rPr>
            </w:r>
          </w:p>
        </w:tc>
      </w:tr>
      <w:tr>
        <w:trPr>
          <w:trHeight w:val="407" w:hRule="exact"/>
        </w:trPr>
        <w:tc>
          <w:tcPr>
            <w:tcW w:w="4642" w:type="dxa"/>
            <w:gridSpan w:val="2"/>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减：坏账准备</w:t>
            </w:r>
          </w:p>
        </w:tc>
        <w:tc>
          <w:tcPr>
            <w:tcW w:w="2321"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(502,188,192)</w:t>
            </w:r>
            <w:r>
              <w:rPr>
                <w:rFonts w:ascii="宋体"/>
                <w:sz w:val="16"/>
              </w:rPr>
            </w:r>
          </w:p>
        </w:tc>
        <w:tc>
          <w:tcPr>
            <w:tcW w:w="2321"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(1,386,825,349)</w:t>
            </w:r>
            <w:r>
              <w:rPr>
                <w:rFonts w:ascii="宋体"/>
                <w:sz w:val="16"/>
              </w:rPr>
            </w:r>
          </w:p>
        </w:tc>
      </w:tr>
      <w:tr>
        <w:trPr>
          <w:trHeight w:val="414" w:hRule="exact"/>
        </w:trPr>
        <w:tc>
          <w:tcPr>
            <w:tcW w:w="4642"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其他应收款净额合计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2,878,388,446</w:t>
            </w:r>
            <w:r>
              <w:rPr>
                <w:rFonts w:ascii="宋体"/>
                <w:sz w:val="16"/>
              </w:rPr>
            </w:r>
          </w:p>
        </w:tc>
        <w:tc>
          <w:tcPr>
            <w:tcW w:w="232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7,588,829,515</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right="125"/>
        <w:jc w:val="left"/>
      </w:pPr>
      <w:r>
        <w:rPr/>
        <w:t>注</w:t>
      </w:r>
      <w:r>
        <w:rPr>
          <w:spacing w:val="-33"/>
        </w:rPr>
        <w:t> </w:t>
      </w:r>
      <w:r>
        <w:rPr/>
        <w:t>1：于</w:t>
      </w:r>
      <w:r>
        <w:rPr>
          <w:spacing w:val="-34"/>
        </w:rPr>
        <w:t> </w:t>
      </w:r>
      <w:r>
        <w:rPr/>
        <w:t>2018</w:t>
      </w:r>
      <w:r>
        <w:rPr>
          <w:spacing w:val="-34"/>
        </w:rPr>
        <w:t> </w:t>
      </w:r>
      <w:r>
        <w:rPr/>
        <w:t>年</w:t>
      </w:r>
      <w:r>
        <w:rPr>
          <w:spacing w:val="-33"/>
        </w:rPr>
        <w:t> </w:t>
      </w:r>
      <w:r>
        <w:rPr/>
        <w:t>12</w:t>
      </w:r>
      <w:r>
        <w:rPr>
          <w:spacing w:val="-34"/>
        </w:rPr>
        <w:t> </w:t>
      </w:r>
      <w:r>
        <w:rPr/>
        <w:t>月</w:t>
      </w:r>
      <w:r>
        <w:rPr>
          <w:spacing w:val="-33"/>
        </w:rPr>
        <w:t> </w:t>
      </w:r>
      <w:r>
        <w:rPr/>
        <w:t>31</w:t>
      </w:r>
      <w:r>
        <w:rPr>
          <w:spacing w:val="-34"/>
        </w:rPr>
        <w:t> </w:t>
      </w:r>
      <w:r>
        <w:rPr/>
        <w:t>日，本集团应收铁塔公司相关款项主要包括尚未收到的出售铁塔相关增值税。</w:t>
      </w:r>
    </w:p>
    <w:p>
      <w:pPr>
        <w:spacing w:after="0" w:line="240" w:lineRule="auto"/>
        <w:jc w:val="left"/>
        <w:sectPr>
          <w:pgSz w:w="11910" w:h="16160"/>
          <w:pgMar w:header="2776" w:footer="298" w:top="2960" w:bottom="480" w:left="136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994"/>
        <w:jc w:val="left"/>
      </w:pPr>
      <w:r>
        <w:rPr/>
        <w:t>5、</w:t>
      </w:r>
      <w:r>
        <w:rPr>
          <w:spacing w:val="-22"/>
        </w:rPr>
        <w:t> </w:t>
      </w:r>
      <w:r>
        <w:rPr/>
        <w:t>其他应收款（续）</w:t>
      </w:r>
      <w:r>
        <w:rPr/>
        <w:t> (a)</w:t>
      </w:r>
      <w:r>
        <w:rPr>
          <w:spacing w:val="-21"/>
        </w:rPr>
        <w:t> </w:t>
      </w:r>
      <w:r>
        <w:rPr/>
        <w:t>其他（续）</w:t>
      </w:r>
    </w:p>
    <w:p>
      <w:pPr>
        <w:pStyle w:val="BodyText"/>
        <w:spacing w:line="240" w:lineRule="auto" w:before="54"/>
        <w:ind w:left="98" w:right="7273"/>
        <w:jc w:val="center"/>
      </w:pPr>
      <w:r>
        <w:rPr/>
        <w:t>(2)</w:t>
      </w:r>
      <w:r>
        <w:rPr>
          <w:spacing w:val="19"/>
        </w:rPr>
        <w:t> </w:t>
      </w:r>
      <w:r>
        <w:rPr/>
        <w:t>按账龄分析如下：</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3099"/>
        <w:gridCol w:w="3099"/>
        <w:gridCol w:w="3099"/>
      </w:tblGrid>
      <w:tr>
        <w:trPr>
          <w:trHeight w:val="350" w:hRule="exact"/>
        </w:trPr>
        <w:tc>
          <w:tcPr>
            <w:tcW w:w="3099" w:type="dxa"/>
            <w:tcBorders>
              <w:top w:val="nil" w:sz="6" w:space="0" w:color="auto"/>
              <w:left w:val="nil" w:sz="6" w:space="0" w:color="auto"/>
              <w:bottom w:val="single" w:sz="16" w:space="0" w:color="9F8958"/>
              <w:right w:val="nil" w:sz="6" w:space="0" w:color="auto"/>
            </w:tcBorders>
          </w:tcPr>
          <w:p>
            <w:pPr/>
          </w:p>
        </w:tc>
        <w:tc>
          <w:tcPr>
            <w:tcW w:w="309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3099"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309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年以内</w:t>
            </w:r>
          </w:p>
        </w:tc>
        <w:tc>
          <w:tcPr>
            <w:tcW w:w="309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2,367,633,540</w:t>
            </w:r>
            <w:r>
              <w:rPr>
                <w:rFonts w:ascii="宋体"/>
                <w:sz w:val="16"/>
              </w:rPr>
            </w:r>
          </w:p>
        </w:tc>
        <w:tc>
          <w:tcPr>
            <w:tcW w:w="309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5,679,861,228</w:t>
            </w:r>
            <w:r>
              <w:rPr>
                <w:rFonts w:ascii="宋体"/>
                <w:sz w:val="16"/>
              </w:rPr>
            </w:r>
          </w:p>
        </w:tc>
      </w:tr>
      <w:tr>
        <w:trPr>
          <w:trHeight w:val="273"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10"/>
                <w:sz w:val="16"/>
                <w:szCs w:val="16"/>
              </w:rPr>
              <w:t>1-2</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tc>
        <w:tc>
          <w:tcPr>
            <w:tcW w:w="309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275,975,836</w:t>
            </w:r>
          </w:p>
        </w:tc>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169,701,326</w:t>
            </w:r>
          </w:p>
        </w:tc>
      </w:tr>
      <w:tr>
        <w:trPr>
          <w:trHeight w:val="273"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10"/>
                <w:sz w:val="16"/>
                <w:szCs w:val="16"/>
              </w:rPr>
              <w:t>2-3</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tc>
        <w:tc>
          <w:tcPr>
            <w:tcW w:w="309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78,809,524</w:t>
            </w:r>
            <w:r>
              <w:rPr>
                <w:rFonts w:ascii="宋体"/>
                <w:sz w:val="16"/>
              </w:rPr>
            </w:r>
          </w:p>
        </w:tc>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2,817,079,073</w:t>
            </w:r>
            <w:r>
              <w:rPr>
                <w:rFonts w:ascii="宋体"/>
                <w:sz w:val="16"/>
              </w:rPr>
            </w:r>
          </w:p>
        </w:tc>
      </w:tr>
      <w:tr>
        <w:trPr>
          <w:trHeight w:val="273"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10"/>
                <w:sz w:val="16"/>
                <w:szCs w:val="16"/>
              </w:rPr>
              <w:t>3-4</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tc>
        <w:tc>
          <w:tcPr>
            <w:tcW w:w="309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421,474,324</w:t>
            </w:r>
          </w:p>
        </w:tc>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85,767,600</w:t>
            </w:r>
            <w:r>
              <w:rPr>
                <w:rFonts w:ascii="宋体"/>
                <w:sz w:val="16"/>
              </w:rPr>
            </w:r>
          </w:p>
        </w:tc>
      </w:tr>
      <w:tr>
        <w:trPr>
          <w:trHeight w:val="273"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10"/>
                <w:sz w:val="16"/>
                <w:szCs w:val="16"/>
              </w:rPr>
              <w:t>4-5</w:t>
            </w:r>
            <w:r>
              <w:rPr>
                <w:rFonts w:ascii="宋体" w:hAnsi="宋体" w:cs="宋体" w:eastAsia="宋体" w:hint="default"/>
                <w:spacing w:val="-47"/>
                <w:w w:val="110"/>
                <w:sz w:val="16"/>
                <w:szCs w:val="16"/>
              </w:rPr>
              <w:t> </w:t>
            </w:r>
            <w:r>
              <w:rPr>
                <w:rFonts w:ascii="宋体" w:hAnsi="宋体" w:cs="宋体" w:eastAsia="宋体" w:hint="default"/>
                <w:w w:val="110"/>
                <w:sz w:val="16"/>
                <w:szCs w:val="16"/>
              </w:rPr>
              <w:t>年</w:t>
            </w:r>
          </w:p>
        </w:tc>
        <w:tc>
          <w:tcPr>
            <w:tcW w:w="309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17,568,624</w:t>
            </w:r>
            <w:r>
              <w:rPr>
                <w:rFonts w:ascii="宋体"/>
                <w:sz w:val="16"/>
              </w:rPr>
            </w:r>
          </w:p>
        </w:tc>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22,085,240</w:t>
            </w:r>
            <w:r>
              <w:rPr>
                <w:rFonts w:ascii="宋体"/>
                <w:sz w:val="16"/>
              </w:rPr>
            </w:r>
          </w:p>
        </w:tc>
      </w:tr>
      <w:tr>
        <w:trPr>
          <w:trHeight w:val="273" w:hRule="exact"/>
        </w:trPr>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5</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c>
        <w:tc>
          <w:tcPr>
            <w:tcW w:w="309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219,114,790</w:t>
            </w:r>
          </w:p>
        </w:tc>
        <w:tc>
          <w:tcPr>
            <w:tcW w:w="3099"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201,160,397</w:t>
            </w:r>
          </w:p>
        </w:tc>
      </w:tr>
      <w:tr>
        <w:trPr>
          <w:trHeight w:val="330" w:hRule="exact"/>
        </w:trPr>
        <w:tc>
          <w:tcPr>
            <w:tcW w:w="3099"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3099"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3,380,576,638</w:t>
            </w:r>
            <w:r>
              <w:rPr>
                <w:rFonts w:ascii="宋体"/>
                <w:sz w:val="16"/>
              </w:rPr>
            </w:r>
          </w:p>
        </w:tc>
        <w:tc>
          <w:tcPr>
            <w:tcW w:w="3099"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8,975,654,864</w:t>
            </w:r>
            <w:r>
              <w:rPr>
                <w:rFonts w:ascii="宋体"/>
                <w:sz w:val="16"/>
              </w:rPr>
            </w:r>
          </w:p>
        </w:tc>
      </w:tr>
      <w:tr>
        <w:trPr>
          <w:trHeight w:val="407" w:hRule="exact"/>
        </w:trPr>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减：坏账准备</w:t>
            </w:r>
          </w:p>
        </w:tc>
        <w:tc>
          <w:tcPr>
            <w:tcW w:w="309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(502,188,192)</w:t>
            </w:r>
            <w:r>
              <w:rPr>
                <w:rFonts w:ascii="宋体"/>
                <w:sz w:val="16"/>
              </w:rPr>
            </w:r>
          </w:p>
        </w:tc>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(1,386,825,349)</w:t>
            </w:r>
            <w:r>
              <w:rPr>
                <w:rFonts w:ascii="宋体"/>
                <w:sz w:val="16"/>
              </w:rPr>
            </w:r>
          </w:p>
        </w:tc>
      </w:tr>
      <w:tr>
        <w:trPr>
          <w:trHeight w:val="414" w:hRule="exact"/>
        </w:trPr>
        <w:tc>
          <w:tcPr>
            <w:tcW w:w="309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09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2,878,388,446</w:t>
            </w:r>
            <w:r>
              <w:rPr>
                <w:rFonts w:ascii="宋体"/>
                <w:sz w:val="16"/>
              </w:rPr>
            </w:r>
          </w:p>
        </w:tc>
        <w:tc>
          <w:tcPr>
            <w:tcW w:w="309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7,588,829,515</w:t>
            </w:r>
            <w:r>
              <w:rPr>
                <w:rFonts w:ascii="宋体"/>
                <w:sz w:val="16"/>
              </w:rPr>
            </w:r>
          </w:p>
        </w:tc>
      </w:tr>
    </w:tbl>
    <w:p>
      <w:pPr>
        <w:spacing w:line="240" w:lineRule="auto" w:before="1"/>
        <w:rPr>
          <w:rFonts w:ascii="宋体" w:hAnsi="宋体" w:cs="宋体" w:eastAsia="宋体" w:hint="default"/>
          <w:sz w:val="15"/>
          <w:szCs w:val="15"/>
        </w:rPr>
      </w:pPr>
    </w:p>
    <w:p>
      <w:pPr>
        <w:pStyle w:val="BodyText"/>
        <w:spacing w:line="458" w:lineRule="auto" w:before="31"/>
        <w:ind w:left="453" w:right="6192"/>
        <w:jc w:val="left"/>
      </w:pPr>
      <w:r>
        <w:rPr/>
        <w:t>账龄自其他应收账款确认日起开始计算。 (3)</w:t>
      </w:r>
      <w:r>
        <w:rPr>
          <w:spacing w:val="19"/>
        </w:rPr>
        <w:t> </w:t>
      </w:r>
      <w:r>
        <w:rPr/>
        <w:t>按坏账准备计提方法分析如下：</w:t>
      </w:r>
    </w:p>
    <w:p>
      <w:pPr>
        <w:spacing w:line="240" w:lineRule="auto" w:before="11"/>
        <w:rPr>
          <w:rFonts w:ascii="宋体" w:hAnsi="宋体" w:cs="宋体" w:eastAsia="宋体" w:hint="default"/>
          <w:sz w:val="4"/>
          <w:szCs w:val="4"/>
        </w:rPr>
      </w:pPr>
    </w:p>
    <w:tbl>
      <w:tblPr>
        <w:tblW w:w="0" w:type="auto"/>
        <w:jc w:val="left"/>
        <w:tblInd w:w="433" w:type="dxa"/>
        <w:tblLayout w:type="fixed"/>
        <w:tblCellMar>
          <w:top w:w="0" w:type="dxa"/>
          <w:left w:w="0" w:type="dxa"/>
          <w:bottom w:w="0" w:type="dxa"/>
          <w:right w:w="0" w:type="dxa"/>
        </w:tblCellMar>
        <w:tblLook w:val="01E0"/>
      </w:tblPr>
      <w:tblGrid>
        <w:gridCol w:w="1313"/>
        <w:gridCol w:w="1649"/>
        <w:gridCol w:w="879"/>
        <w:gridCol w:w="536"/>
        <w:gridCol w:w="917"/>
        <w:gridCol w:w="1574"/>
        <w:gridCol w:w="940"/>
        <w:gridCol w:w="554"/>
        <w:gridCol w:w="934"/>
      </w:tblGrid>
      <w:tr>
        <w:trPr>
          <w:trHeight w:val="303" w:hRule="exact"/>
        </w:trPr>
        <w:tc>
          <w:tcPr>
            <w:tcW w:w="1313" w:type="dxa"/>
            <w:vMerge w:val="restart"/>
            <w:tcBorders>
              <w:top w:val="nil" w:sz="6" w:space="0" w:color="auto"/>
              <w:left w:val="nil" w:sz="6" w:space="0" w:color="auto"/>
              <w:right w:val="nil" w:sz="6" w:space="0" w:color="auto"/>
            </w:tcBorders>
          </w:tcPr>
          <w:p>
            <w:pPr/>
          </w:p>
        </w:tc>
        <w:tc>
          <w:tcPr>
            <w:tcW w:w="3982" w:type="dxa"/>
            <w:gridSpan w:val="4"/>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19"/>
              <w:ind w:right="0"/>
              <w:jc w:val="center"/>
              <w:rPr>
                <w:rFonts w:ascii="宋体" w:hAnsi="宋体" w:cs="宋体" w:eastAsia="宋体" w:hint="default"/>
                <w:sz w:val="12"/>
                <w:szCs w:val="12"/>
              </w:rPr>
            </w:pPr>
            <w:r>
              <w:rPr>
                <w:rFonts w:ascii="宋体" w:hAnsi="宋体" w:cs="宋体" w:eastAsia="宋体" w:hint="default"/>
                <w:w w:val="110"/>
                <w:sz w:val="12"/>
                <w:szCs w:val="12"/>
              </w:rPr>
              <w:t>2018</w:t>
            </w:r>
            <w:r>
              <w:rPr>
                <w:rFonts w:ascii="宋体" w:hAnsi="宋体" w:cs="宋体" w:eastAsia="宋体" w:hint="default"/>
                <w:spacing w:val="-44"/>
                <w:w w:val="110"/>
                <w:sz w:val="12"/>
                <w:szCs w:val="12"/>
              </w:rPr>
              <w:t> </w:t>
            </w:r>
            <w:r>
              <w:rPr>
                <w:rFonts w:ascii="宋体" w:hAnsi="宋体" w:cs="宋体" w:eastAsia="宋体" w:hint="default"/>
                <w:w w:val="110"/>
                <w:sz w:val="12"/>
                <w:szCs w:val="12"/>
              </w:rPr>
              <w:t>年</w:t>
            </w:r>
            <w:r>
              <w:rPr>
                <w:rFonts w:ascii="宋体" w:hAnsi="宋体" w:cs="宋体" w:eastAsia="宋体" w:hint="default"/>
                <w:spacing w:val="-43"/>
                <w:w w:val="110"/>
                <w:sz w:val="12"/>
                <w:szCs w:val="12"/>
              </w:rPr>
              <w:t> </w:t>
            </w:r>
            <w:r>
              <w:rPr>
                <w:rFonts w:ascii="宋体" w:hAnsi="宋体" w:cs="宋体" w:eastAsia="宋体" w:hint="default"/>
                <w:w w:val="110"/>
                <w:sz w:val="12"/>
                <w:szCs w:val="12"/>
              </w:rPr>
              <w:t>12</w:t>
            </w:r>
            <w:r>
              <w:rPr>
                <w:rFonts w:ascii="宋体" w:hAnsi="宋体" w:cs="宋体" w:eastAsia="宋体" w:hint="default"/>
                <w:spacing w:val="-44"/>
                <w:w w:val="110"/>
                <w:sz w:val="12"/>
                <w:szCs w:val="12"/>
              </w:rPr>
              <w:t> </w:t>
            </w:r>
            <w:r>
              <w:rPr>
                <w:rFonts w:ascii="宋体" w:hAnsi="宋体" w:cs="宋体" w:eastAsia="宋体" w:hint="default"/>
                <w:w w:val="110"/>
                <w:sz w:val="12"/>
                <w:szCs w:val="12"/>
              </w:rPr>
              <w:t>月</w:t>
            </w:r>
            <w:r>
              <w:rPr>
                <w:rFonts w:ascii="宋体" w:hAnsi="宋体" w:cs="宋体" w:eastAsia="宋体" w:hint="default"/>
                <w:spacing w:val="-43"/>
                <w:w w:val="110"/>
                <w:sz w:val="12"/>
                <w:szCs w:val="12"/>
              </w:rPr>
              <w:t> </w:t>
            </w:r>
            <w:r>
              <w:rPr>
                <w:rFonts w:ascii="宋体" w:hAnsi="宋体" w:cs="宋体" w:eastAsia="宋体" w:hint="default"/>
                <w:w w:val="110"/>
                <w:sz w:val="12"/>
                <w:szCs w:val="12"/>
              </w:rPr>
              <w:t>31</w:t>
            </w:r>
            <w:r>
              <w:rPr>
                <w:rFonts w:ascii="宋体" w:hAnsi="宋体" w:cs="宋体" w:eastAsia="宋体" w:hint="default"/>
                <w:spacing w:val="-44"/>
                <w:w w:val="110"/>
                <w:sz w:val="12"/>
                <w:szCs w:val="12"/>
              </w:rPr>
              <w:t> </w:t>
            </w:r>
            <w:r>
              <w:rPr>
                <w:rFonts w:ascii="宋体" w:hAnsi="宋体" w:cs="宋体" w:eastAsia="宋体" w:hint="default"/>
                <w:w w:val="110"/>
                <w:sz w:val="12"/>
                <w:szCs w:val="12"/>
              </w:rPr>
              <w:t>日</w:t>
            </w:r>
          </w:p>
        </w:tc>
        <w:tc>
          <w:tcPr>
            <w:tcW w:w="4003" w:type="dxa"/>
            <w:gridSpan w:val="4"/>
            <w:tcBorders>
              <w:top w:val="nil" w:sz="6" w:space="0" w:color="auto"/>
              <w:left w:val="nil" w:sz="6" w:space="0" w:color="auto"/>
              <w:bottom w:val="single" w:sz="6" w:space="0" w:color="000000"/>
              <w:right w:val="nil" w:sz="6" w:space="0" w:color="auto"/>
            </w:tcBorders>
          </w:tcPr>
          <w:p>
            <w:pPr>
              <w:pStyle w:val="TableParagraph"/>
              <w:spacing w:line="240" w:lineRule="auto" w:before="19"/>
              <w:ind w:right="0"/>
              <w:jc w:val="center"/>
              <w:rPr>
                <w:rFonts w:ascii="宋体" w:hAnsi="宋体" w:cs="宋体" w:eastAsia="宋体" w:hint="default"/>
                <w:sz w:val="12"/>
                <w:szCs w:val="12"/>
              </w:rPr>
            </w:pPr>
            <w:r>
              <w:rPr>
                <w:rFonts w:ascii="宋体" w:hAnsi="宋体" w:cs="宋体" w:eastAsia="宋体" w:hint="default"/>
                <w:w w:val="110"/>
                <w:sz w:val="12"/>
                <w:szCs w:val="12"/>
              </w:rPr>
              <w:t>2017</w:t>
            </w:r>
            <w:r>
              <w:rPr>
                <w:rFonts w:ascii="宋体" w:hAnsi="宋体" w:cs="宋体" w:eastAsia="宋体" w:hint="default"/>
                <w:spacing w:val="-44"/>
                <w:w w:val="110"/>
                <w:sz w:val="12"/>
                <w:szCs w:val="12"/>
              </w:rPr>
              <w:t> </w:t>
            </w:r>
            <w:r>
              <w:rPr>
                <w:rFonts w:ascii="宋体" w:hAnsi="宋体" w:cs="宋体" w:eastAsia="宋体" w:hint="default"/>
                <w:w w:val="110"/>
                <w:sz w:val="12"/>
                <w:szCs w:val="12"/>
              </w:rPr>
              <w:t>年</w:t>
            </w:r>
            <w:r>
              <w:rPr>
                <w:rFonts w:ascii="宋体" w:hAnsi="宋体" w:cs="宋体" w:eastAsia="宋体" w:hint="default"/>
                <w:spacing w:val="-43"/>
                <w:w w:val="110"/>
                <w:sz w:val="12"/>
                <w:szCs w:val="12"/>
              </w:rPr>
              <w:t> </w:t>
            </w:r>
            <w:r>
              <w:rPr>
                <w:rFonts w:ascii="宋体" w:hAnsi="宋体" w:cs="宋体" w:eastAsia="宋体" w:hint="default"/>
                <w:w w:val="110"/>
                <w:sz w:val="12"/>
                <w:szCs w:val="12"/>
              </w:rPr>
              <w:t>12</w:t>
            </w:r>
            <w:r>
              <w:rPr>
                <w:rFonts w:ascii="宋体" w:hAnsi="宋体" w:cs="宋体" w:eastAsia="宋体" w:hint="default"/>
                <w:spacing w:val="-44"/>
                <w:w w:val="110"/>
                <w:sz w:val="12"/>
                <w:szCs w:val="12"/>
              </w:rPr>
              <w:t> </w:t>
            </w:r>
            <w:r>
              <w:rPr>
                <w:rFonts w:ascii="宋体" w:hAnsi="宋体" w:cs="宋体" w:eastAsia="宋体" w:hint="default"/>
                <w:w w:val="110"/>
                <w:sz w:val="12"/>
                <w:szCs w:val="12"/>
              </w:rPr>
              <w:t>月</w:t>
            </w:r>
            <w:r>
              <w:rPr>
                <w:rFonts w:ascii="宋体" w:hAnsi="宋体" w:cs="宋体" w:eastAsia="宋体" w:hint="default"/>
                <w:spacing w:val="-43"/>
                <w:w w:val="110"/>
                <w:sz w:val="12"/>
                <w:szCs w:val="12"/>
              </w:rPr>
              <w:t> </w:t>
            </w:r>
            <w:r>
              <w:rPr>
                <w:rFonts w:ascii="宋体" w:hAnsi="宋体" w:cs="宋体" w:eastAsia="宋体" w:hint="default"/>
                <w:w w:val="110"/>
                <w:sz w:val="12"/>
                <w:szCs w:val="12"/>
              </w:rPr>
              <w:t>31</w:t>
            </w:r>
            <w:r>
              <w:rPr>
                <w:rFonts w:ascii="宋体" w:hAnsi="宋体" w:cs="宋体" w:eastAsia="宋体" w:hint="default"/>
                <w:spacing w:val="-44"/>
                <w:w w:val="110"/>
                <w:sz w:val="12"/>
                <w:szCs w:val="12"/>
              </w:rPr>
              <w:t> </w:t>
            </w:r>
            <w:r>
              <w:rPr>
                <w:rFonts w:ascii="宋体" w:hAnsi="宋体" w:cs="宋体" w:eastAsia="宋体" w:hint="default"/>
                <w:w w:val="110"/>
                <w:sz w:val="12"/>
                <w:szCs w:val="12"/>
              </w:rPr>
              <w:t>日</w:t>
            </w:r>
          </w:p>
        </w:tc>
      </w:tr>
      <w:tr>
        <w:trPr>
          <w:trHeight w:val="367" w:hRule="exact"/>
        </w:trPr>
        <w:tc>
          <w:tcPr>
            <w:tcW w:w="1313" w:type="dxa"/>
            <w:vMerge/>
            <w:tcBorders>
              <w:left w:val="nil" w:sz="6" w:space="0" w:color="auto"/>
              <w:right w:val="nil" w:sz="6" w:space="0" w:color="auto"/>
            </w:tcBorders>
          </w:tcPr>
          <w:p>
            <w:pPr/>
          </w:p>
        </w:tc>
        <w:tc>
          <w:tcPr>
            <w:tcW w:w="164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76"/>
              <w:ind w:left="531" w:right="0"/>
              <w:jc w:val="left"/>
              <w:rPr>
                <w:rFonts w:ascii="宋体" w:hAnsi="宋体" w:cs="宋体" w:eastAsia="宋体" w:hint="default"/>
                <w:sz w:val="12"/>
                <w:szCs w:val="12"/>
              </w:rPr>
            </w:pPr>
            <w:r>
              <w:rPr>
                <w:rFonts w:ascii="宋体" w:hAnsi="宋体" w:cs="宋体" w:eastAsia="宋体" w:hint="default"/>
                <w:sz w:val="12"/>
                <w:szCs w:val="12"/>
              </w:rPr>
              <w:t>账面余额</w:t>
            </w:r>
          </w:p>
        </w:tc>
        <w:tc>
          <w:tcPr>
            <w:tcW w:w="87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76"/>
              <w:ind w:right="5"/>
              <w:jc w:val="right"/>
              <w:rPr>
                <w:rFonts w:ascii="宋体" w:hAnsi="宋体" w:cs="宋体" w:eastAsia="宋体" w:hint="default"/>
                <w:sz w:val="12"/>
                <w:szCs w:val="12"/>
              </w:rPr>
            </w:pPr>
            <w:r>
              <w:rPr>
                <w:rFonts w:ascii="宋体" w:hAnsi="宋体" w:cs="宋体" w:eastAsia="宋体" w:hint="default"/>
                <w:sz w:val="12"/>
                <w:szCs w:val="12"/>
              </w:rPr>
              <w:t>坏账准备</w:t>
            </w:r>
          </w:p>
        </w:tc>
        <w:tc>
          <w:tcPr>
            <w:tcW w:w="1454" w:type="dxa"/>
            <w:gridSpan w:val="2"/>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76"/>
              <w:ind w:left="731" w:right="0"/>
              <w:jc w:val="left"/>
              <w:rPr>
                <w:rFonts w:ascii="宋体" w:hAnsi="宋体" w:cs="宋体" w:eastAsia="宋体" w:hint="default"/>
                <w:sz w:val="12"/>
                <w:szCs w:val="12"/>
              </w:rPr>
            </w:pPr>
            <w:r>
              <w:rPr>
                <w:rFonts w:ascii="宋体" w:hAnsi="宋体" w:cs="宋体" w:eastAsia="宋体" w:hint="default"/>
                <w:sz w:val="12"/>
                <w:szCs w:val="12"/>
              </w:rPr>
              <w:t>账面价值</w:t>
            </w:r>
          </w:p>
        </w:tc>
        <w:tc>
          <w:tcPr>
            <w:tcW w:w="1574" w:type="dxa"/>
            <w:tcBorders>
              <w:top w:val="single" w:sz="6" w:space="0" w:color="000000"/>
              <w:left w:val="nil" w:sz="6" w:space="0" w:color="auto"/>
              <w:bottom w:val="single" w:sz="6" w:space="0" w:color="000000"/>
              <w:right w:val="nil" w:sz="6" w:space="0" w:color="auto"/>
            </w:tcBorders>
          </w:tcPr>
          <w:p>
            <w:pPr>
              <w:pStyle w:val="TableParagraph"/>
              <w:spacing w:line="240" w:lineRule="auto" w:before="76"/>
              <w:ind w:left="508" w:right="0"/>
              <w:jc w:val="left"/>
              <w:rPr>
                <w:rFonts w:ascii="宋体" w:hAnsi="宋体" w:cs="宋体" w:eastAsia="宋体" w:hint="default"/>
                <w:sz w:val="12"/>
                <w:szCs w:val="12"/>
              </w:rPr>
            </w:pPr>
            <w:r>
              <w:rPr>
                <w:rFonts w:ascii="宋体" w:hAnsi="宋体" w:cs="宋体" w:eastAsia="宋体" w:hint="default"/>
                <w:sz w:val="12"/>
                <w:szCs w:val="12"/>
              </w:rPr>
              <w:t>账面余额</w:t>
            </w:r>
          </w:p>
        </w:tc>
        <w:tc>
          <w:tcPr>
            <w:tcW w:w="940" w:type="dxa"/>
            <w:tcBorders>
              <w:top w:val="single" w:sz="6" w:space="0" w:color="000000"/>
              <w:left w:val="nil" w:sz="6" w:space="0" w:color="auto"/>
              <w:bottom w:val="single" w:sz="6" w:space="0" w:color="000000"/>
              <w:right w:val="nil" w:sz="6" w:space="0" w:color="auto"/>
            </w:tcBorders>
          </w:tcPr>
          <w:p>
            <w:pPr>
              <w:pStyle w:val="TableParagraph"/>
              <w:spacing w:line="240" w:lineRule="auto" w:before="76"/>
              <w:ind w:right="27"/>
              <w:jc w:val="right"/>
              <w:rPr>
                <w:rFonts w:ascii="宋体" w:hAnsi="宋体" w:cs="宋体" w:eastAsia="宋体" w:hint="default"/>
                <w:sz w:val="12"/>
                <w:szCs w:val="12"/>
              </w:rPr>
            </w:pPr>
            <w:r>
              <w:rPr>
                <w:rFonts w:ascii="宋体" w:hAnsi="宋体" w:cs="宋体" w:eastAsia="宋体" w:hint="default"/>
                <w:sz w:val="12"/>
                <w:szCs w:val="12"/>
              </w:rPr>
              <w:t>坏账准备</w:t>
            </w:r>
          </w:p>
        </w:tc>
        <w:tc>
          <w:tcPr>
            <w:tcW w:w="1488" w:type="dxa"/>
            <w:gridSpan w:val="2"/>
            <w:tcBorders>
              <w:top w:val="single" w:sz="6" w:space="0" w:color="000000"/>
              <w:left w:val="nil" w:sz="6" w:space="0" w:color="auto"/>
              <w:bottom w:val="single" w:sz="6" w:space="0" w:color="000000"/>
              <w:right w:val="nil" w:sz="6" w:space="0" w:color="auto"/>
            </w:tcBorders>
          </w:tcPr>
          <w:p>
            <w:pPr>
              <w:pStyle w:val="TableParagraph"/>
              <w:spacing w:line="240" w:lineRule="auto" w:before="76"/>
              <w:ind w:left="743" w:right="0"/>
              <w:jc w:val="left"/>
              <w:rPr>
                <w:rFonts w:ascii="宋体" w:hAnsi="宋体" w:cs="宋体" w:eastAsia="宋体" w:hint="default"/>
                <w:sz w:val="12"/>
                <w:szCs w:val="12"/>
              </w:rPr>
            </w:pPr>
            <w:r>
              <w:rPr>
                <w:rFonts w:ascii="宋体" w:hAnsi="宋体" w:cs="宋体" w:eastAsia="宋体" w:hint="default"/>
                <w:sz w:val="12"/>
                <w:szCs w:val="12"/>
              </w:rPr>
              <w:t>账面价值</w:t>
            </w:r>
          </w:p>
        </w:tc>
      </w:tr>
      <w:tr>
        <w:trPr>
          <w:trHeight w:val="374" w:hRule="exact"/>
        </w:trPr>
        <w:tc>
          <w:tcPr>
            <w:tcW w:w="1313" w:type="dxa"/>
            <w:vMerge/>
            <w:tcBorders>
              <w:left w:val="nil" w:sz="6" w:space="0" w:color="auto"/>
              <w:bottom w:val="single" w:sz="16" w:space="0" w:color="9F8958"/>
              <w:right w:val="nil" w:sz="6" w:space="0" w:color="auto"/>
            </w:tcBorders>
          </w:tcPr>
          <w:p>
            <w:pPr/>
          </w:p>
        </w:tc>
        <w:tc>
          <w:tcPr>
            <w:tcW w:w="1649" w:type="dxa"/>
            <w:tcBorders>
              <w:top w:val="single" w:sz="6" w:space="0" w:color="000000"/>
              <w:left w:val="nil" w:sz="6" w:space="0" w:color="auto"/>
              <w:bottom w:val="single" w:sz="16" w:space="0" w:color="9F8958"/>
              <w:right w:val="nil" w:sz="6" w:space="0" w:color="auto"/>
            </w:tcBorders>
            <w:shd w:val="clear" w:color="auto" w:fill="ECE7DD"/>
          </w:tcPr>
          <w:p>
            <w:pPr>
              <w:pStyle w:val="TableParagraph"/>
              <w:tabs>
                <w:tab w:pos="664" w:val="left" w:leader="none"/>
              </w:tabs>
              <w:spacing w:line="240" w:lineRule="auto" w:before="76"/>
              <w:ind w:right="124"/>
              <w:jc w:val="right"/>
              <w:rPr>
                <w:rFonts w:ascii="宋体" w:hAnsi="宋体" w:cs="宋体" w:eastAsia="宋体" w:hint="default"/>
                <w:sz w:val="12"/>
                <w:szCs w:val="12"/>
              </w:rPr>
            </w:pPr>
            <w:r>
              <w:rPr>
                <w:rFonts w:ascii="宋体" w:hAnsi="宋体" w:cs="宋体" w:eastAsia="宋体" w:hint="default"/>
                <w:sz w:val="12"/>
                <w:szCs w:val="12"/>
              </w:rPr>
              <w:t>金额</w:t>
              <w:tab/>
              <w:t>比例</w:t>
            </w:r>
            <w:r>
              <w:rPr>
                <w:rFonts w:ascii="宋体" w:hAnsi="宋体" w:cs="宋体" w:eastAsia="宋体" w:hint="default"/>
                <w:spacing w:val="-25"/>
                <w:sz w:val="12"/>
                <w:szCs w:val="12"/>
              </w:rPr>
              <w:t> </w:t>
            </w:r>
            <w:r>
              <w:rPr>
                <w:rFonts w:ascii="宋体" w:hAnsi="宋体" w:cs="宋体" w:eastAsia="宋体" w:hint="default"/>
                <w:sz w:val="12"/>
                <w:szCs w:val="12"/>
              </w:rPr>
              <w:t>(%)</w:t>
            </w:r>
          </w:p>
        </w:tc>
        <w:tc>
          <w:tcPr>
            <w:tcW w:w="87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6"/>
              <w:ind w:left="257" w:right="0"/>
              <w:jc w:val="left"/>
              <w:rPr>
                <w:rFonts w:ascii="宋体" w:hAnsi="宋体" w:cs="宋体" w:eastAsia="宋体" w:hint="default"/>
                <w:sz w:val="12"/>
                <w:szCs w:val="12"/>
              </w:rPr>
            </w:pPr>
            <w:r>
              <w:rPr>
                <w:rFonts w:ascii="宋体" w:hAnsi="宋体" w:cs="宋体" w:eastAsia="宋体" w:hint="default"/>
                <w:sz w:val="12"/>
                <w:szCs w:val="12"/>
              </w:rPr>
              <w:t>金额</w:t>
            </w:r>
          </w:p>
        </w:tc>
        <w:tc>
          <w:tcPr>
            <w:tcW w:w="1454" w:type="dxa"/>
            <w:gridSpan w:val="2"/>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6"/>
              <w:ind w:left="7" w:right="0"/>
              <w:jc w:val="left"/>
              <w:rPr>
                <w:rFonts w:ascii="宋体" w:hAnsi="宋体" w:cs="宋体" w:eastAsia="宋体" w:hint="default"/>
                <w:sz w:val="12"/>
                <w:szCs w:val="12"/>
              </w:rPr>
            </w:pPr>
            <w:r>
              <w:rPr>
                <w:rFonts w:ascii="宋体" w:hAnsi="宋体" w:cs="宋体" w:eastAsia="宋体" w:hint="default"/>
                <w:sz w:val="12"/>
                <w:szCs w:val="12"/>
              </w:rPr>
              <w:t>比例</w:t>
            </w:r>
            <w:r>
              <w:rPr>
                <w:rFonts w:ascii="宋体" w:hAnsi="宋体" w:cs="宋体" w:eastAsia="宋体" w:hint="default"/>
                <w:spacing w:val="-25"/>
                <w:sz w:val="12"/>
                <w:szCs w:val="12"/>
              </w:rPr>
              <w:t> </w:t>
            </w:r>
            <w:r>
              <w:rPr>
                <w:rFonts w:ascii="宋体" w:hAnsi="宋体" w:cs="宋体" w:eastAsia="宋体" w:hint="default"/>
                <w:sz w:val="12"/>
                <w:szCs w:val="12"/>
              </w:rPr>
              <w:t>(%)</w:t>
            </w:r>
          </w:p>
        </w:tc>
        <w:tc>
          <w:tcPr>
            <w:tcW w:w="1574" w:type="dxa"/>
            <w:tcBorders>
              <w:top w:val="single" w:sz="6" w:space="0" w:color="000000"/>
              <w:left w:val="nil" w:sz="6" w:space="0" w:color="auto"/>
              <w:bottom w:val="single" w:sz="16" w:space="0" w:color="9F8958"/>
              <w:right w:val="nil" w:sz="6" w:space="0" w:color="auto"/>
            </w:tcBorders>
          </w:tcPr>
          <w:p>
            <w:pPr>
              <w:pStyle w:val="TableParagraph"/>
              <w:tabs>
                <w:tab w:pos="640" w:val="left" w:leader="none"/>
              </w:tabs>
              <w:spacing w:line="240" w:lineRule="auto" w:before="76"/>
              <w:ind w:right="97"/>
              <w:jc w:val="right"/>
              <w:rPr>
                <w:rFonts w:ascii="宋体" w:hAnsi="宋体" w:cs="宋体" w:eastAsia="宋体" w:hint="default"/>
                <w:sz w:val="12"/>
                <w:szCs w:val="12"/>
              </w:rPr>
            </w:pPr>
            <w:r>
              <w:rPr>
                <w:rFonts w:ascii="宋体" w:hAnsi="宋体" w:cs="宋体" w:eastAsia="宋体" w:hint="default"/>
                <w:sz w:val="12"/>
                <w:szCs w:val="12"/>
              </w:rPr>
              <w:t>金额</w:t>
              <w:tab/>
              <w:t>比例</w:t>
            </w:r>
            <w:r>
              <w:rPr>
                <w:rFonts w:ascii="宋体" w:hAnsi="宋体" w:cs="宋体" w:eastAsia="宋体" w:hint="default"/>
                <w:spacing w:val="-25"/>
                <w:sz w:val="12"/>
                <w:szCs w:val="12"/>
              </w:rPr>
              <w:t> </w:t>
            </w:r>
            <w:r>
              <w:rPr>
                <w:rFonts w:ascii="宋体" w:hAnsi="宋体" w:cs="宋体" w:eastAsia="宋体" w:hint="default"/>
                <w:sz w:val="12"/>
                <w:szCs w:val="12"/>
              </w:rPr>
              <w:t>(%)</w:t>
            </w:r>
          </w:p>
        </w:tc>
        <w:tc>
          <w:tcPr>
            <w:tcW w:w="940" w:type="dxa"/>
            <w:tcBorders>
              <w:top w:val="single" w:sz="6" w:space="0" w:color="000000"/>
              <w:left w:val="nil" w:sz="6" w:space="0" w:color="auto"/>
              <w:bottom w:val="single" w:sz="16" w:space="0" w:color="9F8958"/>
              <w:right w:val="nil" w:sz="6" w:space="0" w:color="auto"/>
            </w:tcBorders>
          </w:tcPr>
          <w:p>
            <w:pPr>
              <w:pStyle w:val="TableParagraph"/>
              <w:spacing w:line="240" w:lineRule="auto" w:before="76"/>
              <w:ind w:left="306" w:right="0"/>
              <w:jc w:val="left"/>
              <w:rPr>
                <w:rFonts w:ascii="宋体" w:hAnsi="宋体" w:cs="宋体" w:eastAsia="宋体" w:hint="default"/>
                <w:sz w:val="12"/>
                <w:szCs w:val="12"/>
              </w:rPr>
            </w:pPr>
            <w:r>
              <w:rPr>
                <w:rFonts w:ascii="宋体" w:hAnsi="宋体" w:cs="宋体" w:eastAsia="宋体" w:hint="default"/>
                <w:sz w:val="12"/>
                <w:szCs w:val="12"/>
              </w:rPr>
              <w:t>金额</w:t>
            </w:r>
          </w:p>
        </w:tc>
        <w:tc>
          <w:tcPr>
            <w:tcW w:w="1488"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76"/>
              <w:ind w:left="7" w:right="0"/>
              <w:jc w:val="left"/>
              <w:rPr>
                <w:rFonts w:ascii="宋体" w:hAnsi="宋体" w:cs="宋体" w:eastAsia="宋体" w:hint="default"/>
                <w:sz w:val="12"/>
                <w:szCs w:val="12"/>
              </w:rPr>
            </w:pPr>
            <w:r>
              <w:rPr>
                <w:rFonts w:ascii="宋体" w:hAnsi="宋体" w:cs="宋体" w:eastAsia="宋体" w:hint="default"/>
                <w:sz w:val="12"/>
                <w:szCs w:val="12"/>
              </w:rPr>
              <w:t>比例</w:t>
            </w:r>
            <w:r>
              <w:rPr>
                <w:rFonts w:ascii="宋体" w:hAnsi="宋体" w:cs="宋体" w:eastAsia="宋体" w:hint="default"/>
                <w:spacing w:val="-25"/>
                <w:sz w:val="12"/>
                <w:szCs w:val="12"/>
              </w:rPr>
              <w:t> </w:t>
            </w:r>
            <w:r>
              <w:rPr>
                <w:rFonts w:ascii="宋体" w:hAnsi="宋体" w:cs="宋体" w:eastAsia="宋体" w:hint="default"/>
                <w:sz w:val="12"/>
                <w:szCs w:val="12"/>
              </w:rPr>
              <w:t>(%)</w:t>
            </w:r>
          </w:p>
        </w:tc>
      </w:tr>
      <w:tr>
        <w:trPr>
          <w:trHeight w:val="426" w:hRule="exact"/>
        </w:trPr>
        <w:tc>
          <w:tcPr>
            <w:tcW w:w="1313"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13" w:right="0"/>
              <w:jc w:val="left"/>
              <w:rPr>
                <w:rFonts w:ascii="宋体" w:hAnsi="宋体" w:cs="宋体" w:eastAsia="宋体" w:hint="default"/>
                <w:sz w:val="12"/>
                <w:szCs w:val="12"/>
              </w:rPr>
            </w:pPr>
            <w:r>
              <w:rPr>
                <w:rFonts w:ascii="宋体" w:hAnsi="宋体" w:cs="宋体" w:eastAsia="宋体" w:hint="default"/>
                <w:sz w:val="12"/>
                <w:szCs w:val="12"/>
              </w:rPr>
              <w:t>按单项计提坏账准备</w:t>
            </w:r>
          </w:p>
        </w:tc>
        <w:tc>
          <w:tcPr>
            <w:tcW w:w="164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202"/>
              <w:jc w:val="right"/>
              <w:rPr>
                <w:rFonts w:ascii="宋体" w:hAnsi="宋体" w:cs="宋体" w:eastAsia="宋体" w:hint="default"/>
                <w:sz w:val="12"/>
                <w:szCs w:val="12"/>
              </w:rPr>
            </w:pPr>
            <w:r>
              <w:rPr>
                <w:rFonts w:ascii="宋体"/>
                <w:sz w:val="12"/>
              </w:rPr>
              <w:t>957,972,520</w:t>
            </w:r>
            <w:r>
              <w:rPr>
                <w:rFonts w:ascii="宋体"/>
                <w:spacing w:val="44"/>
                <w:sz w:val="12"/>
              </w:rPr>
              <w:t> </w:t>
            </w:r>
            <w:r>
              <w:rPr>
                <w:rFonts w:ascii="宋体"/>
                <w:sz w:val="12"/>
              </w:rPr>
              <w:t>28.34</w:t>
            </w:r>
          </w:p>
        </w:tc>
        <w:tc>
          <w:tcPr>
            <w:tcW w:w="87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
              <w:jc w:val="right"/>
              <w:rPr>
                <w:rFonts w:ascii="宋体" w:hAnsi="宋体" w:cs="宋体" w:eastAsia="宋体" w:hint="default"/>
                <w:sz w:val="12"/>
                <w:szCs w:val="12"/>
              </w:rPr>
            </w:pPr>
            <w:r>
              <w:rPr>
                <w:rFonts w:ascii="宋体"/>
                <w:w w:val="90"/>
                <w:sz w:val="12"/>
              </w:rPr>
              <w:t>(345,488,477)</w:t>
            </w:r>
            <w:r>
              <w:rPr>
                <w:rFonts w:ascii="宋体"/>
                <w:sz w:val="12"/>
              </w:rPr>
            </w:r>
          </w:p>
        </w:tc>
        <w:tc>
          <w:tcPr>
            <w:tcW w:w="53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84" w:right="0"/>
              <w:jc w:val="left"/>
              <w:rPr>
                <w:rFonts w:ascii="宋体" w:hAnsi="宋体" w:cs="宋体" w:eastAsia="宋体" w:hint="default"/>
                <w:sz w:val="12"/>
                <w:szCs w:val="12"/>
              </w:rPr>
            </w:pPr>
            <w:r>
              <w:rPr>
                <w:rFonts w:ascii="宋体"/>
                <w:sz w:val="12"/>
              </w:rPr>
              <w:t>36.06</w:t>
            </w:r>
          </w:p>
        </w:tc>
        <w:tc>
          <w:tcPr>
            <w:tcW w:w="91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sz w:val="12"/>
              </w:rPr>
              <w:t>612,484,043</w:t>
            </w:r>
          </w:p>
        </w:tc>
        <w:tc>
          <w:tcPr>
            <w:tcW w:w="1574"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75"/>
              <w:jc w:val="right"/>
              <w:rPr>
                <w:rFonts w:ascii="宋体" w:hAnsi="宋体" w:cs="宋体" w:eastAsia="宋体" w:hint="default"/>
                <w:sz w:val="12"/>
                <w:szCs w:val="12"/>
              </w:rPr>
            </w:pPr>
            <w:r>
              <w:rPr>
                <w:rFonts w:ascii="宋体"/>
                <w:sz w:val="12"/>
              </w:rPr>
              <w:t>3,963,278,673</w:t>
            </w:r>
            <w:r>
              <w:rPr>
                <w:rFonts w:ascii="宋体"/>
                <w:spacing w:val="24"/>
                <w:sz w:val="12"/>
              </w:rPr>
              <w:t> </w:t>
            </w:r>
            <w:r>
              <w:rPr>
                <w:rFonts w:ascii="宋体"/>
                <w:sz w:val="12"/>
              </w:rPr>
              <w:t>44.16</w:t>
            </w:r>
          </w:p>
        </w:tc>
        <w:tc>
          <w:tcPr>
            <w:tcW w:w="940"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7"/>
              <w:jc w:val="right"/>
              <w:rPr>
                <w:rFonts w:ascii="宋体" w:hAnsi="宋体" w:cs="宋体" w:eastAsia="宋体" w:hint="default"/>
                <w:sz w:val="12"/>
                <w:szCs w:val="12"/>
              </w:rPr>
            </w:pPr>
            <w:r>
              <w:rPr>
                <w:rFonts w:ascii="宋体"/>
                <w:w w:val="90"/>
                <w:sz w:val="12"/>
              </w:rPr>
              <w:t>(988,932,482)</w:t>
            </w:r>
            <w:r>
              <w:rPr>
                <w:rFonts w:ascii="宋体"/>
                <w:sz w:val="12"/>
              </w:rPr>
            </w:r>
          </w:p>
        </w:tc>
        <w:tc>
          <w:tcPr>
            <w:tcW w:w="554"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85" w:right="0"/>
              <w:jc w:val="left"/>
              <w:rPr>
                <w:rFonts w:ascii="宋体" w:hAnsi="宋体" w:cs="宋体" w:eastAsia="宋体" w:hint="default"/>
                <w:sz w:val="12"/>
                <w:szCs w:val="12"/>
              </w:rPr>
            </w:pPr>
            <w:r>
              <w:rPr>
                <w:rFonts w:ascii="宋体"/>
                <w:sz w:val="12"/>
              </w:rPr>
              <w:t>24.95</w:t>
            </w:r>
          </w:p>
        </w:tc>
        <w:tc>
          <w:tcPr>
            <w:tcW w:w="934" w:type="dxa"/>
            <w:tcBorders>
              <w:top w:val="single" w:sz="16" w:space="0" w:color="9F8958"/>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w w:val="95"/>
                <w:sz w:val="12"/>
              </w:rPr>
              <w:t>2,974,346,191</w:t>
            </w:r>
            <w:r>
              <w:rPr>
                <w:rFonts w:ascii="宋体"/>
                <w:sz w:val="12"/>
              </w:rPr>
            </w:r>
          </w:p>
        </w:tc>
      </w:tr>
      <w:tr>
        <w:trPr>
          <w:trHeight w:val="400" w:hRule="exact"/>
        </w:trPr>
        <w:tc>
          <w:tcPr>
            <w:tcW w:w="1313"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2"/>
                <w:szCs w:val="12"/>
              </w:rPr>
            </w:pPr>
            <w:r>
              <w:rPr>
                <w:rFonts w:ascii="宋体" w:hAnsi="宋体" w:cs="宋体" w:eastAsia="宋体" w:hint="default"/>
                <w:sz w:val="12"/>
                <w:szCs w:val="12"/>
              </w:rPr>
              <w:t>按组合计提坏账准备</w:t>
            </w:r>
          </w:p>
        </w:tc>
        <w:tc>
          <w:tcPr>
            <w:tcW w:w="1649"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right="202"/>
              <w:jc w:val="right"/>
              <w:rPr>
                <w:rFonts w:ascii="宋体" w:hAnsi="宋体" w:cs="宋体" w:eastAsia="宋体" w:hint="default"/>
                <w:sz w:val="12"/>
                <w:szCs w:val="12"/>
              </w:rPr>
            </w:pPr>
            <w:r>
              <w:rPr>
                <w:rFonts w:ascii="宋体"/>
                <w:sz w:val="12"/>
              </w:rPr>
              <w:t>2,422,604,118</w:t>
            </w:r>
            <w:r>
              <w:rPr>
                <w:rFonts w:ascii="宋体"/>
                <w:spacing w:val="24"/>
                <w:sz w:val="12"/>
              </w:rPr>
              <w:t> </w:t>
            </w:r>
            <w:r>
              <w:rPr>
                <w:rFonts w:ascii="宋体"/>
                <w:sz w:val="12"/>
              </w:rPr>
              <w:t>71.66</w:t>
            </w:r>
          </w:p>
        </w:tc>
        <w:tc>
          <w:tcPr>
            <w:tcW w:w="879"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right="18"/>
              <w:jc w:val="right"/>
              <w:rPr>
                <w:rFonts w:ascii="宋体" w:hAnsi="宋体" w:cs="宋体" w:eastAsia="宋体" w:hint="default"/>
                <w:sz w:val="12"/>
                <w:szCs w:val="12"/>
              </w:rPr>
            </w:pPr>
            <w:r>
              <w:rPr>
                <w:rFonts w:ascii="宋体"/>
                <w:w w:val="90"/>
                <w:sz w:val="12"/>
              </w:rPr>
              <w:t>(156,699,715)</w:t>
            </w:r>
            <w:r>
              <w:rPr>
                <w:rFonts w:ascii="宋体"/>
                <w:sz w:val="12"/>
              </w:rPr>
            </w:r>
          </w:p>
        </w:tc>
        <w:tc>
          <w:tcPr>
            <w:tcW w:w="536"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left="118" w:right="0"/>
              <w:jc w:val="left"/>
              <w:rPr>
                <w:rFonts w:ascii="宋体" w:hAnsi="宋体" w:cs="宋体" w:eastAsia="宋体" w:hint="default"/>
                <w:sz w:val="12"/>
                <w:szCs w:val="12"/>
              </w:rPr>
            </w:pPr>
            <w:r>
              <w:rPr>
                <w:rFonts w:ascii="宋体"/>
                <w:sz w:val="12"/>
              </w:rPr>
              <w:t>6.47</w:t>
            </w:r>
          </w:p>
        </w:tc>
        <w:tc>
          <w:tcPr>
            <w:tcW w:w="91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64"/>
              <w:ind w:right="-1"/>
              <w:jc w:val="right"/>
              <w:rPr>
                <w:rFonts w:ascii="宋体" w:hAnsi="宋体" w:cs="宋体" w:eastAsia="宋体" w:hint="default"/>
                <w:sz w:val="12"/>
                <w:szCs w:val="12"/>
              </w:rPr>
            </w:pPr>
            <w:r>
              <w:rPr>
                <w:rFonts w:ascii="宋体"/>
                <w:w w:val="95"/>
                <w:sz w:val="12"/>
              </w:rPr>
              <w:t>2,265,904,403</w:t>
            </w:r>
            <w:r>
              <w:rPr>
                <w:rFonts w:ascii="宋体"/>
                <w:sz w:val="12"/>
              </w:rPr>
            </w:r>
          </w:p>
        </w:tc>
        <w:tc>
          <w:tcPr>
            <w:tcW w:w="1574"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right="174"/>
              <w:jc w:val="right"/>
              <w:rPr>
                <w:rFonts w:ascii="宋体" w:hAnsi="宋体" w:cs="宋体" w:eastAsia="宋体" w:hint="default"/>
                <w:sz w:val="12"/>
                <w:szCs w:val="12"/>
              </w:rPr>
            </w:pPr>
            <w:r>
              <w:rPr>
                <w:rFonts w:ascii="宋体"/>
                <w:sz w:val="12"/>
              </w:rPr>
              <w:t>5,012,376,191</w:t>
            </w:r>
            <w:r>
              <w:rPr>
                <w:rFonts w:ascii="宋体"/>
                <w:spacing w:val="24"/>
                <w:sz w:val="12"/>
              </w:rPr>
              <w:t> </w:t>
            </w:r>
            <w:r>
              <w:rPr>
                <w:rFonts w:ascii="宋体"/>
                <w:sz w:val="12"/>
              </w:rPr>
              <w:t>55.84</w:t>
            </w:r>
          </w:p>
        </w:tc>
        <w:tc>
          <w:tcPr>
            <w:tcW w:w="940"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right="5"/>
              <w:jc w:val="right"/>
              <w:rPr>
                <w:rFonts w:ascii="宋体" w:hAnsi="宋体" w:cs="宋体" w:eastAsia="宋体" w:hint="default"/>
                <w:sz w:val="12"/>
                <w:szCs w:val="12"/>
              </w:rPr>
            </w:pPr>
            <w:r>
              <w:rPr>
                <w:rFonts w:ascii="宋体"/>
                <w:w w:val="90"/>
                <w:sz w:val="12"/>
              </w:rPr>
              <w:t>(397,892,867)</w:t>
            </w:r>
            <w:r>
              <w:rPr>
                <w:rFonts w:ascii="宋体"/>
                <w:sz w:val="12"/>
              </w:rPr>
            </w:r>
          </w:p>
        </w:tc>
        <w:tc>
          <w:tcPr>
            <w:tcW w:w="554"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left="119" w:right="0"/>
              <w:jc w:val="left"/>
              <w:rPr>
                <w:rFonts w:ascii="宋体" w:hAnsi="宋体" w:cs="宋体" w:eastAsia="宋体" w:hint="default"/>
                <w:sz w:val="12"/>
                <w:szCs w:val="12"/>
              </w:rPr>
            </w:pPr>
            <w:r>
              <w:rPr>
                <w:rFonts w:ascii="宋体"/>
                <w:sz w:val="12"/>
              </w:rPr>
              <w:t>7.94</w:t>
            </w:r>
          </w:p>
        </w:tc>
        <w:tc>
          <w:tcPr>
            <w:tcW w:w="934" w:type="dxa"/>
            <w:tcBorders>
              <w:top w:val="nil" w:sz="6" w:space="0" w:color="auto"/>
              <w:left w:val="nil" w:sz="6" w:space="0" w:color="auto"/>
              <w:bottom w:val="single" w:sz="6" w:space="0" w:color="000000"/>
              <w:right w:val="nil" w:sz="6" w:space="0" w:color="auto"/>
            </w:tcBorders>
          </w:tcPr>
          <w:p>
            <w:pPr>
              <w:pStyle w:val="TableParagraph"/>
              <w:spacing w:line="240" w:lineRule="auto" w:before="64"/>
              <w:ind w:right="-1"/>
              <w:jc w:val="right"/>
              <w:rPr>
                <w:rFonts w:ascii="宋体" w:hAnsi="宋体" w:cs="宋体" w:eastAsia="宋体" w:hint="default"/>
                <w:sz w:val="12"/>
                <w:szCs w:val="12"/>
              </w:rPr>
            </w:pPr>
            <w:r>
              <w:rPr>
                <w:rFonts w:ascii="宋体"/>
                <w:w w:val="95"/>
                <w:sz w:val="12"/>
              </w:rPr>
              <w:t>4,614,483,324</w:t>
            </w:r>
            <w:r>
              <w:rPr>
                <w:rFonts w:ascii="宋体"/>
                <w:sz w:val="12"/>
              </w:rPr>
            </w:r>
          </w:p>
        </w:tc>
      </w:tr>
      <w:tr>
        <w:trPr>
          <w:trHeight w:val="481" w:hRule="exact"/>
        </w:trPr>
        <w:tc>
          <w:tcPr>
            <w:tcW w:w="1313"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113"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164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69"/>
              <w:jc w:val="right"/>
              <w:rPr>
                <w:rFonts w:ascii="宋体" w:hAnsi="宋体" w:cs="宋体" w:eastAsia="宋体" w:hint="default"/>
                <w:sz w:val="12"/>
                <w:szCs w:val="12"/>
              </w:rPr>
            </w:pPr>
            <w:r>
              <w:rPr>
                <w:rFonts w:ascii="宋体"/>
                <w:sz w:val="12"/>
              </w:rPr>
              <w:t>3,380,576,638</w:t>
            </w:r>
            <w:r>
              <w:rPr>
                <w:rFonts w:ascii="宋体"/>
                <w:spacing w:val="-3"/>
                <w:sz w:val="12"/>
              </w:rPr>
              <w:t> </w:t>
            </w:r>
            <w:r>
              <w:rPr>
                <w:rFonts w:ascii="宋体"/>
                <w:sz w:val="12"/>
              </w:rPr>
              <w:t>100.00</w:t>
            </w:r>
          </w:p>
        </w:tc>
        <w:tc>
          <w:tcPr>
            <w:tcW w:w="87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8"/>
              <w:jc w:val="right"/>
              <w:rPr>
                <w:rFonts w:ascii="宋体" w:hAnsi="宋体" w:cs="宋体" w:eastAsia="宋体" w:hint="default"/>
                <w:sz w:val="12"/>
                <w:szCs w:val="12"/>
              </w:rPr>
            </w:pPr>
            <w:r>
              <w:rPr>
                <w:rFonts w:ascii="宋体"/>
                <w:w w:val="90"/>
                <w:sz w:val="12"/>
              </w:rPr>
              <w:t>(502,188,192)</w:t>
            </w:r>
            <w:r>
              <w:rPr>
                <w:rFonts w:ascii="宋体"/>
                <w:sz w:val="12"/>
              </w:rPr>
            </w:r>
          </w:p>
        </w:tc>
        <w:tc>
          <w:tcPr>
            <w:tcW w:w="53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84" w:right="0"/>
              <w:jc w:val="left"/>
              <w:rPr>
                <w:rFonts w:ascii="宋体" w:hAnsi="宋体" w:cs="宋体" w:eastAsia="宋体" w:hint="default"/>
                <w:sz w:val="12"/>
                <w:szCs w:val="12"/>
              </w:rPr>
            </w:pPr>
            <w:r>
              <w:rPr>
                <w:rFonts w:ascii="宋体"/>
                <w:sz w:val="12"/>
              </w:rPr>
              <w:t>14.86</w:t>
            </w:r>
          </w:p>
        </w:tc>
        <w:tc>
          <w:tcPr>
            <w:tcW w:w="91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w w:val="95"/>
                <w:sz w:val="12"/>
              </w:rPr>
              <w:t>2,878,388,446</w:t>
            </w:r>
            <w:r>
              <w:rPr>
                <w:rFonts w:ascii="宋体"/>
                <w:sz w:val="12"/>
              </w:rPr>
            </w:r>
          </w:p>
        </w:tc>
        <w:tc>
          <w:tcPr>
            <w:tcW w:w="1574"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41"/>
              <w:jc w:val="right"/>
              <w:rPr>
                <w:rFonts w:ascii="宋体" w:hAnsi="宋体" w:cs="宋体" w:eastAsia="宋体" w:hint="default"/>
                <w:sz w:val="12"/>
                <w:szCs w:val="12"/>
              </w:rPr>
            </w:pPr>
            <w:r>
              <w:rPr>
                <w:rFonts w:ascii="宋体"/>
                <w:sz w:val="12"/>
              </w:rPr>
              <w:t>8,975,654,864</w:t>
            </w:r>
            <w:r>
              <w:rPr>
                <w:rFonts w:ascii="宋体"/>
                <w:spacing w:val="-3"/>
                <w:sz w:val="12"/>
              </w:rPr>
              <w:t> </w:t>
            </w:r>
            <w:r>
              <w:rPr>
                <w:rFonts w:ascii="宋体"/>
                <w:sz w:val="12"/>
              </w:rPr>
              <w:t>100.00</w:t>
            </w:r>
          </w:p>
        </w:tc>
        <w:tc>
          <w:tcPr>
            <w:tcW w:w="940"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6"/>
              <w:jc w:val="right"/>
              <w:rPr>
                <w:rFonts w:ascii="宋体" w:hAnsi="宋体" w:cs="宋体" w:eastAsia="宋体" w:hint="default"/>
                <w:sz w:val="12"/>
                <w:szCs w:val="12"/>
              </w:rPr>
            </w:pPr>
            <w:r>
              <w:rPr>
                <w:rFonts w:ascii="宋体"/>
                <w:w w:val="90"/>
                <w:sz w:val="12"/>
              </w:rPr>
              <w:t>(1,386,825,349)</w:t>
            </w:r>
            <w:r>
              <w:rPr>
                <w:rFonts w:ascii="宋体"/>
                <w:sz w:val="12"/>
              </w:rPr>
            </w:r>
          </w:p>
        </w:tc>
        <w:tc>
          <w:tcPr>
            <w:tcW w:w="554"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left="85" w:right="0"/>
              <w:jc w:val="left"/>
              <w:rPr>
                <w:rFonts w:ascii="宋体" w:hAnsi="宋体" w:cs="宋体" w:eastAsia="宋体" w:hint="default"/>
                <w:sz w:val="12"/>
                <w:szCs w:val="12"/>
              </w:rPr>
            </w:pPr>
            <w:r>
              <w:rPr>
                <w:rFonts w:ascii="宋体"/>
                <w:sz w:val="12"/>
              </w:rPr>
              <w:t>15.45</w:t>
            </w:r>
          </w:p>
        </w:tc>
        <w:tc>
          <w:tcPr>
            <w:tcW w:w="934" w:type="dxa"/>
            <w:tcBorders>
              <w:top w:val="single" w:sz="6" w:space="0" w:color="000000"/>
              <w:left w:val="nil" w:sz="6" w:space="0" w:color="auto"/>
              <w:bottom w:val="single" w:sz="16" w:space="0" w:color="9F8958"/>
              <w:right w:val="nil" w:sz="6" w:space="0" w:color="auto"/>
            </w:tcBorders>
          </w:tcPr>
          <w:p>
            <w:pPr>
              <w:pStyle w:val="TableParagraph"/>
              <w:spacing w:line="240" w:lineRule="auto" w:before="12"/>
              <w:ind w:right="0"/>
              <w:jc w:val="left"/>
              <w:rPr>
                <w:rFonts w:ascii="宋体" w:hAnsi="宋体" w:cs="宋体" w:eastAsia="宋体" w:hint="default"/>
                <w:sz w:val="9"/>
                <w:szCs w:val="9"/>
              </w:rPr>
            </w:pPr>
          </w:p>
          <w:p>
            <w:pPr>
              <w:pStyle w:val="TableParagraph"/>
              <w:spacing w:line="240" w:lineRule="auto"/>
              <w:ind w:right="-1"/>
              <w:jc w:val="right"/>
              <w:rPr>
                <w:rFonts w:ascii="宋体" w:hAnsi="宋体" w:cs="宋体" w:eastAsia="宋体" w:hint="default"/>
                <w:sz w:val="12"/>
                <w:szCs w:val="12"/>
              </w:rPr>
            </w:pPr>
            <w:r>
              <w:rPr>
                <w:rFonts w:ascii="宋体"/>
                <w:w w:val="95"/>
                <w:sz w:val="12"/>
              </w:rPr>
              <w:t>7,588,829,515</w:t>
            </w:r>
            <w:r>
              <w:rPr>
                <w:rFonts w:ascii="宋体"/>
                <w:sz w:val="12"/>
              </w:rPr>
            </w:r>
          </w:p>
        </w:tc>
      </w:tr>
    </w:tbl>
    <w:p>
      <w:pPr>
        <w:spacing w:after="0" w:line="240" w:lineRule="auto"/>
        <w:jc w:val="right"/>
        <w:rPr>
          <w:rFonts w:ascii="宋体" w:hAnsi="宋体" w:cs="宋体" w:eastAsia="宋体" w:hint="default"/>
          <w:sz w:val="12"/>
          <w:szCs w:val="12"/>
        </w:rPr>
        <w:sectPr>
          <w:pgSz w:w="11910" w:h="16160"/>
          <w:pgMar w:header="1200" w:footer="320" w:top="2120" w:bottom="520" w:left="680" w:right="1320"/>
        </w:sectPr>
      </w:pPr>
    </w:p>
    <w:p>
      <w:pPr>
        <w:spacing w:line="240" w:lineRule="auto" w:before="3"/>
        <w:rPr>
          <w:rFonts w:ascii="宋体" w:hAnsi="宋体" w:cs="宋体" w:eastAsia="宋体" w:hint="default"/>
          <w:sz w:val="14"/>
          <w:szCs w:val="14"/>
        </w:rPr>
      </w:pPr>
    </w:p>
    <w:p>
      <w:pPr>
        <w:pStyle w:val="BodyText"/>
        <w:spacing w:line="480" w:lineRule="auto" w:before="31"/>
        <w:ind w:left="114" w:right="7993"/>
        <w:jc w:val="left"/>
      </w:pPr>
      <w:r>
        <w:rPr/>
        <w:t>5、</w:t>
      </w:r>
      <w:r>
        <w:rPr>
          <w:spacing w:val="-22"/>
        </w:rPr>
        <w:t> </w:t>
      </w:r>
      <w:r>
        <w:rPr/>
        <w:t>其他应收款（续）</w:t>
      </w:r>
      <w:r>
        <w:rPr/>
        <w:t> (a)</w:t>
      </w:r>
      <w:r>
        <w:rPr>
          <w:spacing w:val="-21"/>
        </w:rPr>
        <w:t> </w:t>
      </w:r>
      <w:r>
        <w:rPr/>
        <w:t>其他（续）</w:t>
      </w:r>
    </w:p>
    <w:p>
      <w:pPr>
        <w:pStyle w:val="BodyText"/>
        <w:spacing w:line="240" w:lineRule="auto" w:before="54"/>
        <w:ind w:right="0"/>
        <w:jc w:val="left"/>
      </w:pPr>
      <w:r>
        <w:rPr/>
        <w:t>(4)</w:t>
      </w:r>
      <w:r>
        <w:rPr>
          <w:spacing w:val="19"/>
        </w:rPr>
        <w:t> </w:t>
      </w:r>
      <w:r>
        <w:rPr/>
        <w:t>本年计提、收回或转回的坏账准备情况：</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3099"/>
        <w:gridCol w:w="3099"/>
        <w:gridCol w:w="3099"/>
      </w:tblGrid>
      <w:tr>
        <w:trPr>
          <w:trHeight w:val="350" w:hRule="exact"/>
        </w:trPr>
        <w:tc>
          <w:tcPr>
            <w:tcW w:w="3099" w:type="dxa"/>
            <w:tcBorders>
              <w:top w:val="nil" w:sz="6" w:space="0" w:color="auto"/>
              <w:left w:val="nil" w:sz="6" w:space="0" w:color="auto"/>
              <w:bottom w:val="single" w:sz="16" w:space="0" w:color="9F8958"/>
              <w:right w:val="nil" w:sz="6" w:space="0" w:color="auto"/>
            </w:tcBorders>
          </w:tcPr>
          <w:p>
            <w:pPr/>
          </w:p>
        </w:tc>
        <w:tc>
          <w:tcPr>
            <w:tcW w:w="309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3099"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3099"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1223"/>
              <w:jc w:val="left"/>
              <w:rPr>
                <w:rFonts w:ascii="宋体" w:hAnsi="宋体" w:cs="宋体" w:eastAsia="宋体" w:hint="default"/>
                <w:sz w:val="16"/>
                <w:szCs w:val="16"/>
              </w:rPr>
            </w:pPr>
            <w:r>
              <w:rPr>
                <w:rFonts w:ascii="宋体" w:hAnsi="宋体" w:cs="宋体" w:eastAsia="宋体" w:hint="default"/>
                <w:sz w:val="16"/>
                <w:szCs w:val="16"/>
              </w:rPr>
              <w:t>原金融工具准则下的余额 重分类至合同资产</w:t>
            </w:r>
          </w:p>
        </w:tc>
        <w:tc>
          <w:tcPr>
            <w:tcW w:w="3099"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(1,386,825,349)</w:t>
            </w:r>
            <w:r>
              <w:rPr>
                <w:rFonts w:ascii="宋体"/>
                <w:sz w:val="16"/>
              </w:rPr>
            </w:r>
          </w:p>
          <w:p>
            <w:pPr>
              <w:pStyle w:val="TableParagraph"/>
              <w:spacing w:line="240" w:lineRule="auto" w:before="64"/>
              <w:ind w:right="111"/>
              <w:jc w:val="right"/>
              <w:rPr>
                <w:rFonts w:ascii="宋体" w:hAnsi="宋体" w:cs="宋体" w:eastAsia="宋体" w:hint="default"/>
                <w:sz w:val="16"/>
                <w:szCs w:val="16"/>
              </w:rPr>
            </w:pPr>
            <w:r>
              <w:rPr>
                <w:rFonts w:ascii="宋体"/>
                <w:sz w:val="16"/>
              </w:rPr>
              <w:t>896,482,127</w:t>
            </w:r>
          </w:p>
        </w:tc>
        <w:tc>
          <w:tcPr>
            <w:tcW w:w="3099"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(906,657,124)</w:t>
            </w:r>
            <w:r>
              <w:rPr>
                <w:rFonts w:ascii="宋体"/>
                <w:sz w:val="16"/>
              </w:rPr>
            </w:r>
          </w:p>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407" w:hRule="exact"/>
        </w:trPr>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调整后的年初余额</w:t>
            </w:r>
          </w:p>
        </w:tc>
        <w:tc>
          <w:tcPr>
            <w:tcW w:w="309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(490,343,222)</w:t>
            </w:r>
            <w:r>
              <w:rPr>
                <w:rFonts w:ascii="宋体"/>
                <w:sz w:val="16"/>
              </w:rPr>
            </w:r>
          </w:p>
        </w:tc>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(906,657,124)</w:t>
            </w:r>
            <w:r>
              <w:rPr>
                <w:rFonts w:ascii="宋体"/>
                <w:sz w:val="16"/>
              </w:rPr>
            </w:r>
          </w:p>
        </w:tc>
      </w:tr>
      <w:tr>
        <w:trPr>
          <w:trHeight w:val="680" w:hRule="exact"/>
        </w:trPr>
        <w:tc>
          <w:tcPr>
            <w:tcW w:w="3099" w:type="dxa"/>
            <w:tcBorders>
              <w:top w:val="single" w:sz="6" w:space="0" w:color="000000"/>
              <w:left w:val="nil" w:sz="6" w:space="0" w:color="auto"/>
              <w:bottom w:val="single" w:sz="6" w:space="0" w:color="000000"/>
              <w:right w:val="nil" w:sz="6" w:space="0" w:color="auto"/>
            </w:tcBorders>
          </w:tcPr>
          <w:p>
            <w:pPr>
              <w:pStyle w:val="TableParagraph"/>
              <w:spacing w:line="314" w:lineRule="auto" w:before="64"/>
              <w:ind w:left="113" w:right="1863"/>
              <w:jc w:val="left"/>
              <w:rPr>
                <w:rFonts w:ascii="宋体" w:hAnsi="宋体" w:cs="宋体" w:eastAsia="宋体" w:hint="default"/>
                <w:sz w:val="16"/>
                <w:szCs w:val="16"/>
              </w:rPr>
            </w:pPr>
            <w:r>
              <w:rPr>
                <w:rFonts w:ascii="宋体" w:hAnsi="宋体" w:cs="宋体" w:eastAsia="宋体" w:hint="default"/>
                <w:sz w:val="16"/>
                <w:szCs w:val="16"/>
              </w:rPr>
              <w:t>本年计提和转回 本年核销</w:t>
            </w:r>
          </w:p>
        </w:tc>
        <w:tc>
          <w:tcPr>
            <w:tcW w:w="3099"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(13,602,821)</w:t>
            </w:r>
            <w:r>
              <w:rPr>
                <w:rFonts w:ascii="宋体"/>
                <w:sz w:val="16"/>
              </w:rPr>
            </w:r>
          </w:p>
          <w:p>
            <w:pPr>
              <w:pStyle w:val="TableParagraph"/>
              <w:spacing w:line="240" w:lineRule="auto" w:before="64"/>
              <w:ind w:right="111"/>
              <w:jc w:val="right"/>
              <w:rPr>
                <w:rFonts w:ascii="宋体" w:hAnsi="宋体" w:cs="宋体" w:eastAsia="宋体" w:hint="default"/>
                <w:sz w:val="16"/>
                <w:szCs w:val="16"/>
              </w:rPr>
            </w:pPr>
            <w:r>
              <w:rPr>
                <w:rFonts w:ascii="宋体"/>
                <w:w w:val="95"/>
                <w:sz w:val="16"/>
              </w:rPr>
              <w:t>1,757,851</w:t>
            </w:r>
            <w:r>
              <w:rPr>
                <w:rFonts w:ascii="宋体"/>
                <w:sz w:val="16"/>
              </w:rPr>
            </w:r>
          </w:p>
        </w:tc>
        <w:tc>
          <w:tcPr>
            <w:tcW w:w="309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(523,139,956)</w:t>
            </w:r>
            <w:r>
              <w:rPr>
                <w:rFonts w:ascii="宋体"/>
                <w:sz w:val="16"/>
              </w:rPr>
            </w:r>
          </w:p>
          <w:p>
            <w:pPr>
              <w:pStyle w:val="TableParagraph"/>
              <w:spacing w:line="240" w:lineRule="auto" w:before="64"/>
              <w:ind w:right="111"/>
              <w:jc w:val="right"/>
              <w:rPr>
                <w:rFonts w:ascii="宋体" w:hAnsi="宋体" w:cs="宋体" w:eastAsia="宋体" w:hint="default"/>
                <w:sz w:val="16"/>
                <w:szCs w:val="16"/>
              </w:rPr>
            </w:pPr>
            <w:r>
              <w:rPr>
                <w:rFonts w:ascii="宋体"/>
                <w:w w:val="95"/>
                <w:sz w:val="16"/>
              </w:rPr>
              <w:t>42,971,731</w:t>
            </w:r>
            <w:r>
              <w:rPr>
                <w:rFonts w:ascii="宋体"/>
                <w:sz w:val="16"/>
              </w:rPr>
            </w:r>
          </w:p>
        </w:tc>
      </w:tr>
      <w:tr>
        <w:trPr>
          <w:trHeight w:val="414" w:hRule="exact"/>
        </w:trPr>
        <w:tc>
          <w:tcPr>
            <w:tcW w:w="309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年末余额</w:t>
            </w:r>
          </w:p>
        </w:tc>
        <w:tc>
          <w:tcPr>
            <w:tcW w:w="309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(502,188,192)</w:t>
            </w:r>
            <w:r>
              <w:rPr>
                <w:rFonts w:ascii="宋体"/>
                <w:sz w:val="16"/>
              </w:rPr>
            </w:r>
          </w:p>
        </w:tc>
        <w:tc>
          <w:tcPr>
            <w:tcW w:w="309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(1,386,825,349)</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right="0"/>
        <w:jc w:val="left"/>
      </w:pPr>
      <w:r>
        <w:rPr/>
        <w:t>(5)</w:t>
      </w:r>
      <w:r>
        <w:rPr>
          <w:spacing w:val="19"/>
        </w:rPr>
        <w:t> </w:t>
      </w:r>
      <w:r>
        <w:rPr/>
        <w:t>本集团本年核销的其他应收款中无应收关联公司款项。</w:t>
      </w:r>
    </w:p>
    <w:p>
      <w:pPr>
        <w:spacing w:line="240" w:lineRule="auto" w:before="5"/>
        <w:rPr>
          <w:rFonts w:ascii="宋体" w:hAnsi="宋体" w:cs="宋体" w:eastAsia="宋体" w:hint="default"/>
          <w:sz w:val="16"/>
          <w:szCs w:val="16"/>
        </w:rPr>
      </w:pPr>
    </w:p>
    <w:p>
      <w:pPr>
        <w:pStyle w:val="BodyText"/>
        <w:spacing w:line="458" w:lineRule="auto"/>
        <w:ind w:left="113" w:right="0" w:firstLine="340"/>
        <w:jc w:val="left"/>
      </w:pPr>
      <w:r>
        <w:rPr/>
        <w:t>(6)</w:t>
      </w:r>
      <w:r>
        <w:rPr>
          <w:spacing w:val="4"/>
        </w:rPr>
        <w:t> </w:t>
      </w:r>
      <w:r>
        <w:rPr/>
        <w:t>本集团年末余额前五名的其他应收款合计人民币</w:t>
      </w:r>
      <w:r>
        <w:rPr>
          <w:spacing w:val="-44"/>
        </w:rPr>
        <w:t> </w:t>
      </w:r>
      <w:r>
        <w:rPr/>
        <w:t>8.11</w:t>
      </w:r>
      <w:r>
        <w:rPr>
          <w:spacing w:val="-45"/>
        </w:rPr>
        <w:t> </w:t>
      </w:r>
      <w:r>
        <w:rPr/>
        <w:t>亿元，占年末余额合计数的</w:t>
      </w:r>
      <w:r>
        <w:rPr>
          <w:spacing w:val="-44"/>
        </w:rPr>
        <w:t> </w:t>
      </w:r>
      <w:r>
        <w:rPr/>
        <w:t>23.99%，未计提坏账准备。</w:t>
      </w:r>
      <w:r>
        <w:rPr>
          <w:w w:val="104"/>
        </w:rPr>
        <w:t> </w:t>
      </w:r>
      <w:r>
        <w:rPr/>
        <w:t>6、存货</w:t>
      </w:r>
    </w:p>
    <w:p>
      <w:pPr>
        <w:pStyle w:val="BodyText"/>
        <w:spacing w:line="240" w:lineRule="auto" w:before="71"/>
        <w:ind w:left="113" w:right="0"/>
        <w:jc w:val="left"/>
      </w:pPr>
      <w:r>
        <w:rPr/>
        <w:t>(a)</w:t>
      </w:r>
      <w:r>
        <w:rPr>
          <w:spacing w:val="-21"/>
        </w:rPr>
        <w:t> </w:t>
      </w:r>
      <w:r>
        <w:rPr/>
        <w:t>存货分类如下：</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1349"/>
        <w:gridCol w:w="1386"/>
        <w:gridCol w:w="1302"/>
        <w:gridCol w:w="1286"/>
        <w:gridCol w:w="1394"/>
        <w:gridCol w:w="1294"/>
        <w:gridCol w:w="1286"/>
      </w:tblGrid>
      <w:tr>
        <w:trPr>
          <w:trHeight w:val="343" w:hRule="exact"/>
        </w:trPr>
        <w:tc>
          <w:tcPr>
            <w:tcW w:w="1349" w:type="dxa"/>
            <w:vMerge w:val="restart"/>
            <w:tcBorders>
              <w:top w:val="nil" w:sz="6" w:space="0" w:color="auto"/>
              <w:left w:val="nil" w:sz="6" w:space="0" w:color="auto"/>
              <w:right w:val="nil" w:sz="6" w:space="0" w:color="auto"/>
            </w:tcBorders>
          </w:tcPr>
          <w:p>
            <w:pPr/>
          </w:p>
        </w:tc>
        <w:tc>
          <w:tcPr>
            <w:tcW w:w="3974" w:type="dxa"/>
            <w:gridSpan w:val="3"/>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1292"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3974" w:type="dxa"/>
            <w:gridSpan w:val="3"/>
            <w:tcBorders>
              <w:top w:val="nil" w:sz="6" w:space="0" w:color="auto"/>
              <w:left w:val="nil" w:sz="6" w:space="0" w:color="auto"/>
              <w:bottom w:val="single" w:sz="6" w:space="0" w:color="000000"/>
              <w:right w:val="nil" w:sz="6" w:space="0" w:color="auto"/>
            </w:tcBorders>
          </w:tcPr>
          <w:p>
            <w:pPr>
              <w:pStyle w:val="TableParagraph"/>
              <w:spacing w:line="240" w:lineRule="auto" w:before="7"/>
              <w:ind w:left="1292"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4" w:hRule="exact"/>
        </w:trPr>
        <w:tc>
          <w:tcPr>
            <w:tcW w:w="1349" w:type="dxa"/>
            <w:vMerge/>
            <w:tcBorders>
              <w:left w:val="nil" w:sz="6" w:space="0" w:color="auto"/>
              <w:bottom w:val="single" w:sz="16" w:space="0" w:color="9F8958"/>
              <w:right w:val="nil" w:sz="6" w:space="0" w:color="auto"/>
            </w:tcBorders>
          </w:tcPr>
          <w:p>
            <w:pPr/>
          </w:p>
        </w:tc>
        <w:tc>
          <w:tcPr>
            <w:tcW w:w="138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72"/>
              <w:jc w:val="right"/>
              <w:rPr>
                <w:rFonts w:ascii="宋体" w:hAnsi="宋体" w:cs="宋体" w:eastAsia="宋体" w:hint="default"/>
                <w:sz w:val="16"/>
                <w:szCs w:val="16"/>
              </w:rPr>
            </w:pPr>
            <w:r>
              <w:rPr>
                <w:rFonts w:ascii="宋体" w:hAnsi="宋体" w:cs="宋体" w:eastAsia="宋体" w:hint="default"/>
                <w:sz w:val="16"/>
                <w:szCs w:val="16"/>
              </w:rPr>
              <w:t>账面余额</w:t>
            </w:r>
          </w:p>
        </w:tc>
        <w:tc>
          <w:tcPr>
            <w:tcW w:w="13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50"/>
              <w:jc w:val="right"/>
              <w:rPr>
                <w:rFonts w:ascii="宋体" w:hAnsi="宋体" w:cs="宋体" w:eastAsia="宋体" w:hint="default"/>
                <w:sz w:val="16"/>
                <w:szCs w:val="16"/>
              </w:rPr>
            </w:pPr>
            <w:r>
              <w:rPr>
                <w:rFonts w:ascii="宋体" w:hAnsi="宋体" w:cs="宋体" w:eastAsia="宋体" w:hint="default"/>
                <w:sz w:val="16"/>
                <w:szCs w:val="16"/>
              </w:rPr>
              <w:t>存货跌价准备</w:t>
            </w:r>
          </w:p>
        </w:tc>
        <w:tc>
          <w:tcPr>
            <w:tcW w:w="128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账面价值</w:t>
            </w:r>
          </w:p>
        </w:tc>
        <w:tc>
          <w:tcPr>
            <w:tcW w:w="139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80"/>
              <w:jc w:val="right"/>
              <w:rPr>
                <w:rFonts w:ascii="宋体" w:hAnsi="宋体" w:cs="宋体" w:eastAsia="宋体" w:hint="default"/>
                <w:sz w:val="16"/>
                <w:szCs w:val="16"/>
              </w:rPr>
            </w:pPr>
            <w:r>
              <w:rPr>
                <w:rFonts w:ascii="宋体" w:hAnsi="宋体" w:cs="宋体" w:eastAsia="宋体" w:hint="default"/>
                <w:sz w:val="16"/>
                <w:szCs w:val="16"/>
              </w:rPr>
              <w:t>账面余额</w:t>
            </w:r>
          </w:p>
        </w:tc>
        <w:tc>
          <w:tcPr>
            <w:tcW w:w="129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49"/>
              <w:jc w:val="right"/>
              <w:rPr>
                <w:rFonts w:ascii="宋体" w:hAnsi="宋体" w:cs="宋体" w:eastAsia="宋体" w:hint="default"/>
                <w:sz w:val="16"/>
                <w:szCs w:val="16"/>
              </w:rPr>
            </w:pPr>
            <w:r>
              <w:rPr>
                <w:rFonts w:ascii="宋体" w:hAnsi="宋体" w:cs="宋体" w:eastAsia="宋体" w:hint="default"/>
                <w:sz w:val="16"/>
                <w:szCs w:val="16"/>
              </w:rPr>
              <w:t>存货跌价准备</w:t>
            </w:r>
          </w:p>
        </w:tc>
        <w:tc>
          <w:tcPr>
            <w:tcW w:w="128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账面价值</w:t>
            </w:r>
          </w:p>
        </w:tc>
      </w:tr>
      <w:tr>
        <w:trPr>
          <w:trHeight w:val="562" w:hRule="exact"/>
        </w:trPr>
        <w:tc>
          <w:tcPr>
            <w:tcW w:w="1349" w:type="dxa"/>
            <w:tcBorders>
              <w:top w:val="single" w:sz="16" w:space="0" w:color="9F8958"/>
              <w:left w:val="nil" w:sz="6" w:space="0" w:color="auto"/>
              <w:bottom w:val="nil" w:sz="6" w:space="0" w:color="auto"/>
              <w:right w:val="nil" w:sz="6" w:space="0" w:color="auto"/>
            </w:tcBorders>
          </w:tcPr>
          <w:p>
            <w:pPr>
              <w:pStyle w:val="TableParagraph"/>
              <w:spacing w:line="200" w:lineRule="exact" w:before="91"/>
              <w:ind w:left="113" w:right="113"/>
              <w:jc w:val="left"/>
              <w:rPr>
                <w:rFonts w:ascii="宋体" w:hAnsi="宋体" w:cs="宋体" w:eastAsia="宋体" w:hint="default"/>
                <w:sz w:val="16"/>
                <w:szCs w:val="16"/>
              </w:rPr>
            </w:pPr>
            <w:r>
              <w:rPr>
                <w:rFonts w:ascii="宋体" w:hAnsi="宋体" w:cs="宋体" w:eastAsia="宋体" w:hint="default"/>
                <w:sz w:val="16"/>
                <w:szCs w:val="16"/>
              </w:rPr>
              <w:t>手机及其他通信 产品</w:t>
            </w:r>
          </w:p>
        </w:tc>
        <w:tc>
          <w:tcPr>
            <w:tcW w:w="138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72"/>
              <w:jc w:val="right"/>
              <w:rPr>
                <w:rFonts w:ascii="宋体" w:hAnsi="宋体" w:cs="宋体" w:eastAsia="宋体" w:hint="default"/>
                <w:sz w:val="16"/>
                <w:szCs w:val="16"/>
              </w:rPr>
            </w:pPr>
            <w:r>
              <w:rPr>
                <w:rFonts w:ascii="宋体"/>
                <w:w w:val="95"/>
                <w:sz w:val="16"/>
              </w:rPr>
              <w:t>2,210,938,421</w:t>
            </w:r>
            <w:r>
              <w:rPr>
                <w:rFonts w:ascii="宋体"/>
                <w:sz w:val="16"/>
              </w:rPr>
            </w:r>
          </w:p>
        </w:tc>
        <w:tc>
          <w:tcPr>
            <w:tcW w:w="13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51"/>
              <w:jc w:val="right"/>
              <w:rPr>
                <w:rFonts w:ascii="宋体" w:hAnsi="宋体" w:cs="宋体" w:eastAsia="宋体" w:hint="default"/>
                <w:sz w:val="16"/>
                <w:szCs w:val="16"/>
              </w:rPr>
            </w:pPr>
            <w:r>
              <w:rPr>
                <w:rFonts w:ascii="宋体"/>
                <w:w w:val="90"/>
                <w:sz w:val="16"/>
              </w:rPr>
              <w:t>(99,111,073)</w:t>
            </w:r>
            <w:r>
              <w:rPr>
                <w:rFonts w:ascii="宋体"/>
                <w:sz w:val="16"/>
              </w:rPr>
            </w:r>
          </w:p>
        </w:tc>
        <w:tc>
          <w:tcPr>
            <w:tcW w:w="128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w w:val="95"/>
                <w:sz w:val="16"/>
              </w:rPr>
              <w:t>2,111,827,348</w:t>
            </w:r>
            <w:r>
              <w:rPr>
                <w:rFonts w:ascii="宋体"/>
                <w:sz w:val="16"/>
              </w:rPr>
            </w:r>
          </w:p>
        </w:tc>
        <w:tc>
          <w:tcPr>
            <w:tcW w:w="1394"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80"/>
              <w:jc w:val="right"/>
              <w:rPr>
                <w:rFonts w:ascii="宋体" w:hAnsi="宋体" w:cs="宋体" w:eastAsia="宋体" w:hint="default"/>
                <w:sz w:val="16"/>
                <w:szCs w:val="16"/>
              </w:rPr>
            </w:pPr>
            <w:r>
              <w:rPr>
                <w:rFonts w:ascii="宋体"/>
                <w:w w:val="95"/>
                <w:sz w:val="16"/>
              </w:rPr>
              <w:t>2,092,620,456</w:t>
            </w:r>
            <w:r>
              <w:rPr>
                <w:rFonts w:ascii="宋体"/>
                <w:sz w:val="16"/>
              </w:rPr>
            </w:r>
          </w:p>
        </w:tc>
        <w:tc>
          <w:tcPr>
            <w:tcW w:w="1294"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51"/>
              <w:jc w:val="right"/>
              <w:rPr>
                <w:rFonts w:ascii="宋体" w:hAnsi="宋体" w:cs="宋体" w:eastAsia="宋体" w:hint="default"/>
                <w:sz w:val="16"/>
                <w:szCs w:val="16"/>
              </w:rPr>
            </w:pPr>
            <w:r>
              <w:rPr>
                <w:rFonts w:ascii="宋体"/>
                <w:w w:val="90"/>
                <w:sz w:val="16"/>
              </w:rPr>
              <w:t>(87,984,203)</w:t>
            </w:r>
            <w:r>
              <w:rPr>
                <w:rFonts w:ascii="宋体"/>
                <w:sz w:val="16"/>
              </w:rPr>
            </w:r>
          </w:p>
        </w:tc>
        <w:tc>
          <w:tcPr>
            <w:tcW w:w="1286"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w w:val="95"/>
                <w:sz w:val="16"/>
              </w:rPr>
              <w:t>2,004,636,253</w:t>
            </w:r>
            <w:r>
              <w:rPr>
                <w:rFonts w:ascii="宋体"/>
                <w:sz w:val="16"/>
              </w:rPr>
            </w:r>
          </w:p>
        </w:tc>
      </w:tr>
      <w:tr>
        <w:trPr>
          <w:trHeight w:val="473"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00" w:lineRule="exact"/>
              <w:ind w:left="113" w:right="0"/>
              <w:jc w:val="left"/>
              <w:rPr>
                <w:rFonts w:ascii="宋体" w:hAnsi="宋体" w:cs="宋体" w:eastAsia="宋体" w:hint="default"/>
                <w:sz w:val="16"/>
                <w:szCs w:val="16"/>
              </w:rPr>
            </w:pPr>
            <w:r>
              <w:rPr>
                <w:rFonts w:ascii="宋体" w:hAnsi="宋体" w:cs="宋体" w:eastAsia="宋体" w:hint="default"/>
                <w:w w:val="115"/>
                <w:sz w:val="16"/>
                <w:szCs w:val="16"/>
              </w:rPr>
              <w:t>SIM</w:t>
            </w:r>
            <w:r>
              <w:rPr>
                <w:rFonts w:ascii="宋体" w:hAnsi="宋体" w:cs="宋体" w:eastAsia="宋体" w:hint="default"/>
                <w:spacing w:val="-45"/>
                <w:w w:val="115"/>
                <w:sz w:val="16"/>
                <w:szCs w:val="16"/>
              </w:rPr>
              <w:t> </w:t>
            </w:r>
            <w:r>
              <w:rPr>
                <w:rFonts w:ascii="宋体" w:hAnsi="宋体" w:cs="宋体" w:eastAsia="宋体" w:hint="default"/>
                <w:w w:val="115"/>
                <w:sz w:val="16"/>
                <w:szCs w:val="16"/>
              </w:rPr>
              <w:t>卡、USIM</w:t>
            </w:r>
            <w:r>
              <w:rPr>
                <w:rFonts w:ascii="宋体" w:hAnsi="宋体" w:cs="宋体" w:eastAsia="宋体" w:hint="default"/>
                <w:sz w:val="16"/>
                <w:szCs w:val="16"/>
              </w:rPr>
            </w:r>
          </w:p>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卡及预付电话卡</w:t>
            </w:r>
          </w:p>
        </w:tc>
        <w:tc>
          <w:tcPr>
            <w:tcW w:w="138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72"/>
              <w:jc w:val="right"/>
              <w:rPr>
                <w:rFonts w:ascii="宋体" w:hAnsi="宋体" w:cs="宋体" w:eastAsia="宋体" w:hint="default"/>
                <w:sz w:val="16"/>
                <w:szCs w:val="16"/>
              </w:rPr>
            </w:pPr>
            <w:r>
              <w:rPr>
                <w:rFonts w:ascii="宋体"/>
                <w:w w:val="95"/>
                <w:sz w:val="16"/>
              </w:rPr>
              <w:t>40,746,388</w:t>
            </w:r>
            <w:r>
              <w:rPr>
                <w:rFonts w:ascii="宋体"/>
                <w:sz w:val="16"/>
              </w:rPr>
            </w:r>
          </w:p>
        </w:tc>
        <w:tc>
          <w:tcPr>
            <w:tcW w:w="13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51"/>
              <w:jc w:val="right"/>
              <w:rPr>
                <w:rFonts w:ascii="宋体" w:hAnsi="宋体" w:cs="宋体" w:eastAsia="宋体" w:hint="default"/>
                <w:sz w:val="16"/>
                <w:szCs w:val="16"/>
              </w:rPr>
            </w:pPr>
            <w:r>
              <w:rPr>
                <w:rFonts w:ascii="宋体"/>
                <w:w w:val="90"/>
                <w:sz w:val="16"/>
              </w:rPr>
              <w:t>(3,664,445)</w:t>
            </w:r>
            <w:r>
              <w:rPr>
                <w:rFonts w:ascii="宋体"/>
                <w:sz w:val="16"/>
              </w:rPr>
            </w:r>
          </w:p>
        </w:tc>
        <w:tc>
          <w:tcPr>
            <w:tcW w:w="128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95"/>
                <w:sz w:val="16"/>
              </w:rPr>
              <w:t>37,081,943</w:t>
            </w:r>
            <w:r>
              <w:rPr>
                <w:rFonts w:ascii="宋体"/>
                <w:sz w:val="16"/>
              </w:rPr>
            </w:r>
          </w:p>
        </w:tc>
        <w:tc>
          <w:tcPr>
            <w:tcW w:w="139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80"/>
              <w:jc w:val="right"/>
              <w:rPr>
                <w:rFonts w:ascii="宋体" w:hAnsi="宋体" w:cs="宋体" w:eastAsia="宋体" w:hint="default"/>
                <w:sz w:val="16"/>
                <w:szCs w:val="16"/>
              </w:rPr>
            </w:pPr>
            <w:r>
              <w:rPr>
                <w:rFonts w:ascii="宋体"/>
                <w:w w:val="95"/>
                <w:sz w:val="16"/>
              </w:rPr>
              <w:t>57,701,037</w:t>
            </w:r>
            <w:r>
              <w:rPr>
                <w:rFonts w:ascii="宋体"/>
                <w:sz w:val="16"/>
              </w:rPr>
            </w:r>
          </w:p>
        </w:tc>
        <w:tc>
          <w:tcPr>
            <w:tcW w:w="129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49"/>
              <w:jc w:val="right"/>
              <w:rPr>
                <w:rFonts w:ascii="宋体" w:hAnsi="宋体" w:cs="宋体" w:eastAsia="宋体" w:hint="default"/>
                <w:sz w:val="16"/>
                <w:szCs w:val="16"/>
              </w:rPr>
            </w:pPr>
            <w:r>
              <w:rPr>
                <w:rFonts w:ascii="宋体"/>
                <w:w w:val="90"/>
                <w:sz w:val="16"/>
              </w:rPr>
              <w:t>(4,150,205)</w:t>
            </w:r>
            <w:r>
              <w:rPr>
                <w:rFonts w:ascii="宋体"/>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95"/>
                <w:sz w:val="16"/>
              </w:rPr>
              <w:t>53,550,832</w:t>
            </w:r>
            <w:r>
              <w:rPr>
                <w:rFonts w:ascii="宋体"/>
                <w:sz w:val="16"/>
              </w:rPr>
            </w:r>
          </w:p>
        </w:tc>
      </w:tr>
      <w:tr>
        <w:trPr>
          <w:trHeight w:val="273"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备品备件</w:t>
            </w:r>
          </w:p>
        </w:tc>
        <w:tc>
          <w:tcPr>
            <w:tcW w:w="138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73"/>
              <w:jc w:val="right"/>
              <w:rPr>
                <w:rFonts w:ascii="宋体" w:hAnsi="宋体" w:cs="宋体" w:eastAsia="宋体" w:hint="default"/>
                <w:sz w:val="16"/>
                <w:szCs w:val="16"/>
              </w:rPr>
            </w:pPr>
            <w:r>
              <w:rPr>
                <w:rFonts w:ascii="宋体"/>
                <w:w w:val="95"/>
                <w:sz w:val="16"/>
              </w:rPr>
              <w:t>1,577,663</w:t>
            </w:r>
            <w:r>
              <w:rPr>
                <w:rFonts w:ascii="宋体"/>
                <w:sz w:val="16"/>
              </w:rPr>
            </w:r>
          </w:p>
        </w:tc>
        <w:tc>
          <w:tcPr>
            <w:tcW w:w="13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49"/>
              <w:jc w:val="right"/>
              <w:rPr>
                <w:rFonts w:ascii="宋体" w:hAnsi="宋体" w:cs="宋体" w:eastAsia="宋体" w:hint="default"/>
                <w:sz w:val="16"/>
                <w:szCs w:val="16"/>
              </w:rPr>
            </w:pPr>
            <w:r>
              <w:rPr>
                <w:rFonts w:ascii="宋体"/>
                <w:w w:val="90"/>
                <w:sz w:val="16"/>
              </w:rPr>
              <w:t>(54,250)</w:t>
            </w:r>
            <w:r>
              <w:rPr>
                <w:rFonts w:ascii="宋体"/>
                <w:sz w:val="16"/>
              </w:rPr>
            </w:r>
          </w:p>
        </w:tc>
        <w:tc>
          <w:tcPr>
            <w:tcW w:w="128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1,523,413</w:t>
            </w:r>
            <w:r>
              <w:rPr>
                <w:rFonts w:ascii="宋体"/>
                <w:sz w:val="16"/>
              </w:rPr>
            </w:r>
          </w:p>
        </w:tc>
        <w:tc>
          <w:tcPr>
            <w:tcW w:w="1394"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w w:val="95"/>
                <w:sz w:val="16"/>
              </w:rPr>
              <w:t>7,578,007</w:t>
            </w:r>
            <w:r>
              <w:rPr>
                <w:rFonts w:ascii="宋体"/>
                <w:sz w:val="16"/>
              </w:rPr>
            </w:r>
          </w:p>
        </w:tc>
        <w:tc>
          <w:tcPr>
            <w:tcW w:w="1294" w:type="dxa"/>
            <w:tcBorders>
              <w:top w:val="nil" w:sz="6" w:space="0" w:color="auto"/>
              <w:left w:val="nil" w:sz="6" w:space="0" w:color="auto"/>
              <w:bottom w:val="nil" w:sz="6" w:space="0" w:color="auto"/>
              <w:right w:val="nil" w:sz="6" w:space="0" w:color="auto"/>
            </w:tcBorders>
          </w:tcPr>
          <w:p>
            <w:pPr>
              <w:pStyle w:val="TableParagraph"/>
              <w:spacing w:line="205" w:lineRule="exact"/>
              <w:ind w:right="149"/>
              <w:jc w:val="right"/>
              <w:rPr>
                <w:rFonts w:ascii="宋体" w:hAnsi="宋体" w:cs="宋体" w:eastAsia="宋体" w:hint="default"/>
                <w:sz w:val="16"/>
                <w:szCs w:val="16"/>
              </w:rPr>
            </w:pPr>
            <w:r>
              <w:rPr>
                <w:rFonts w:ascii="宋体"/>
                <w:w w:val="90"/>
                <w:sz w:val="16"/>
              </w:rPr>
              <w:t>(171,541)</w:t>
            </w:r>
            <w:r>
              <w:rPr>
                <w:rFonts w:ascii="宋体"/>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7,406,466</w:t>
            </w:r>
            <w:r>
              <w:rPr>
                <w:rFonts w:ascii="宋体"/>
                <w:sz w:val="16"/>
              </w:rPr>
            </w:r>
          </w:p>
        </w:tc>
      </w:tr>
      <w:tr>
        <w:trPr>
          <w:trHeight w:val="273" w:hRule="exact"/>
        </w:trPr>
        <w:tc>
          <w:tcPr>
            <w:tcW w:w="134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低值易耗品</w:t>
            </w:r>
          </w:p>
        </w:tc>
        <w:tc>
          <w:tcPr>
            <w:tcW w:w="138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71"/>
              <w:jc w:val="right"/>
              <w:rPr>
                <w:rFonts w:ascii="宋体" w:hAnsi="宋体" w:cs="宋体" w:eastAsia="宋体" w:hint="default"/>
                <w:sz w:val="16"/>
                <w:szCs w:val="16"/>
              </w:rPr>
            </w:pPr>
            <w:r>
              <w:rPr>
                <w:rFonts w:ascii="宋体"/>
                <w:w w:val="95"/>
                <w:sz w:val="16"/>
              </w:rPr>
              <w:t>24,966,269</w:t>
            </w:r>
            <w:r>
              <w:rPr>
                <w:rFonts w:ascii="宋体"/>
                <w:sz w:val="16"/>
              </w:rPr>
            </w:r>
          </w:p>
        </w:tc>
        <w:tc>
          <w:tcPr>
            <w:tcW w:w="13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49"/>
              <w:jc w:val="right"/>
              <w:rPr>
                <w:rFonts w:ascii="宋体" w:hAnsi="宋体" w:cs="宋体" w:eastAsia="宋体" w:hint="default"/>
                <w:sz w:val="16"/>
                <w:szCs w:val="16"/>
              </w:rPr>
            </w:pPr>
            <w:r>
              <w:rPr>
                <w:rFonts w:ascii="宋体"/>
                <w:w w:val="131"/>
                <w:sz w:val="16"/>
              </w:rPr>
              <w:t>-</w:t>
            </w:r>
            <w:r>
              <w:rPr>
                <w:rFonts w:ascii="宋体"/>
                <w:sz w:val="16"/>
              </w:rPr>
            </w:r>
          </w:p>
        </w:tc>
        <w:tc>
          <w:tcPr>
            <w:tcW w:w="128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24,966,269</w:t>
            </w:r>
            <w:r>
              <w:rPr>
                <w:rFonts w:ascii="宋体"/>
                <w:sz w:val="16"/>
              </w:rPr>
            </w:r>
          </w:p>
        </w:tc>
        <w:tc>
          <w:tcPr>
            <w:tcW w:w="1394"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w w:val="95"/>
                <w:sz w:val="16"/>
              </w:rPr>
              <w:t>16,561,351</w:t>
            </w:r>
            <w:r>
              <w:rPr>
                <w:rFonts w:ascii="宋体"/>
                <w:sz w:val="16"/>
              </w:rPr>
            </w:r>
          </w:p>
        </w:tc>
        <w:tc>
          <w:tcPr>
            <w:tcW w:w="1294" w:type="dxa"/>
            <w:tcBorders>
              <w:top w:val="nil" w:sz="6" w:space="0" w:color="auto"/>
              <w:left w:val="nil" w:sz="6" w:space="0" w:color="auto"/>
              <w:bottom w:val="nil" w:sz="6" w:space="0" w:color="auto"/>
              <w:right w:val="nil" w:sz="6" w:space="0" w:color="auto"/>
            </w:tcBorders>
          </w:tcPr>
          <w:p>
            <w:pPr>
              <w:pStyle w:val="TableParagraph"/>
              <w:spacing w:line="205" w:lineRule="exact"/>
              <w:ind w:right="149"/>
              <w:jc w:val="right"/>
              <w:rPr>
                <w:rFonts w:ascii="宋体" w:hAnsi="宋体" w:cs="宋体" w:eastAsia="宋体" w:hint="default"/>
                <w:sz w:val="16"/>
                <w:szCs w:val="16"/>
              </w:rPr>
            </w:pPr>
            <w:r>
              <w:rPr>
                <w:rFonts w:ascii="宋体"/>
                <w:w w:val="131"/>
                <w:sz w:val="16"/>
              </w:rPr>
              <w:t>-</w:t>
            </w:r>
            <w:r>
              <w:rPr>
                <w:rFonts w:ascii="宋体"/>
                <w:sz w:val="16"/>
              </w:rPr>
            </w:r>
          </w:p>
        </w:tc>
        <w:tc>
          <w:tcPr>
            <w:tcW w:w="1286"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16,561,351</w:t>
            </w:r>
            <w:r>
              <w:rPr>
                <w:rFonts w:ascii="宋体"/>
                <w:sz w:val="16"/>
              </w:rPr>
            </w:r>
          </w:p>
        </w:tc>
      </w:tr>
      <w:tr>
        <w:trPr>
          <w:trHeight w:val="330" w:hRule="exact"/>
        </w:trPr>
        <w:tc>
          <w:tcPr>
            <w:tcW w:w="1349"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386"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71"/>
              <w:jc w:val="right"/>
              <w:rPr>
                <w:rFonts w:ascii="宋体" w:hAnsi="宋体" w:cs="宋体" w:eastAsia="宋体" w:hint="default"/>
                <w:sz w:val="16"/>
                <w:szCs w:val="16"/>
              </w:rPr>
            </w:pPr>
            <w:r>
              <w:rPr>
                <w:rFonts w:ascii="宋体"/>
                <w:sz w:val="16"/>
              </w:rPr>
              <w:t>212,928,356</w:t>
            </w:r>
          </w:p>
        </w:tc>
        <w:tc>
          <w:tcPr>
            <w:tcW w:w="13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49"/>
              <w:jc w:val="right"/>
              <w:rPr>
                <w:rFonts w:ascii="宋体" w:hAnsi="宋体" w:cs="宋体" w:eastAsia="宋体" w:hint="default"/>
                <w:sz w:val="16"/>
                <w:szCs w:val="16"/>
              </w:rPr>
            </w:pPr>
            <w:r>
              <w:rPr>
                <w:rFonts w:ascii="宋体"/>
                <w:w w:val="131"/>
                <w:sz w:val="16"/>
              </w:rPr>
              <w:t>-</w:t>
            </w:r>
            <w:r>
              <w:rPr>
                <w:rFonts w:ascii="宋体"/>
                <w:sz w:val="16"/>
              </w:rPr>
            </w:r>
          </w:p>
        </w:tc>
        <w:tc>
          <w:tcPr>
            <w:tcW w:w="1286"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212,928,356</w:t>
            </w:r>
          </w:p>
        </w:tc>
        <w:tc>
          <w:tcPr>
            <w:tcW w:w="1394" w:type="dxa"/>
            <w:tcBorders>
              <w:top w:val="nil" w:sz="6" w:space="0" w:color="auto"/>
              <w:left w:val="nil" w:sz="6" w:space="0" w:color="auto"/>
              <w:bottom w:val="single" w:sz="6" w:space="0" w:color="000000"/>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sz w:val="16"/>
              </w:rPr>
              <w:t>156,410,549</w:t>
            </w:r>
          </w:p>
        </w:tc>
        <w:tc>
          <w:tcPr>
            <w:tcW w:w="1294" w:type="dxa"/>
            <w:tcBorders>
              <w:top w:val="nil" w:sz="6" w:space="0" w:color="auto"/>
              <w:left w:val="nil" w:sz="6" w:space="0" w:color="auto"/>
              <w:bottom w:val="single" w:sz="6" w:space="0" w:color="000000"/>
              <w:right w:val="nil" w:sz="6" w:space="0" w:color="auto"/>
            </w:tcBorders>
          </w:tcPr>
          <w:p>
            <w:pPr>
              <w:pStyle w:val="TableParagraph"/>
              <w:spacing w:line="205" w:lineRule="exact"/>
              <w:ind w:right="149"/>
              <w:jc w:val="right"/>
              <w:rPr>
                <w:rFonts w:ascii="宋体" w:hAnsi="宋体" w:cs="宋体" w:eastAsia="宋体" w:hint="default"/>
                <w:sz w:val="16"/>
                <w:szCs w:val="16"/>
              </w:rPr>
            </w:pPr>
            <w:r>
              <w:rPr>
                <w:rFonts w:ascii="宋体"/>
                <w:w w:val="131"/>
                <w:sz w:val="16"/>
              </w:rPr>
              <w:t>-</w:t>
            </w:r>
            <w:r>
              <w:rPr>
                <w:rFonts w:ascii="宋体"/>
                <w:sz w:val="16"/>
              </w:rPr>
            </w:r>
          </w:p>
        </w:tc>
        <w:tc>
          <w:tcPr>
            <w:tcW w:w="1286"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156,410,549</w:t>
            </w:r>
          </w:p>
        </w:tc>
      </w:tr>
      <w:tr>
        <w:trPr>
          <w:trHeight w:val="414" w:hRule="exact"/>
        </w:trPr>
        <w:tc>
          <w:tcPr>
            <w:tcW w:w="134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38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72"/>
              <w:jc w:val="right"/>
              <w:rPr>
                <w:rFonts w:ascii="宋体" w:hAnsi="宋体" w:cs="宋体" w:eastAsia="宋体" w:hint="default"/>
                <w:sz w:val="16"/>
                <w:szCs w:val="16"/>
              </w:rPr>
            </w:pPr>
            <w:r>
              <w:rPr>
                <w:rFonts w:ascii="宋体"/>
                <w:w w:val="95"/>
                <w:sz w:val="16"/>
              </w:rPr>
              <w:t>2,491,157,097</w:t>
            </w:r>
            <w:r>
              <w:rPr>
                <w:rFonts w:ascii="宋体"/>
                <w:sz w:val="16"/>
              </w:rPr>
            </w:r>
          </w:p>
        </w:tc>
        <w:tc>
          <w:tcPr>
            <w:tcW w:w="13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50"/>
              <w:jc w:val="right"/>
              <w:rPr>
                <w:rFonts w:ascii="宋体" w:hAnsi="宋体" w:cs="宋体" w:eastAsia="宋体" w:hint="default"/>
                <w:sz w:val="16"/>
                <w:szCs w:val="16"/>
              </w:rPr>
            </w:pPr>
            <w:r>
              <w:rPr>
                <w:rFonts w:ascii="宋体"/>
                <w:w w:val="90"/>
                <w:sz w:val="16"/>
              </w:rPr>
              <w:t>(102,829,768)</w:t>
            </w:r>
            <w:r>
              <w:rPr>
                <w:rFonts w:ascii="宋体"/>
                <w:sz w:val="16"/>
              </w:rPr>
            </w:r>
          </w:p>
        </w:tc>
        <w:tc>
          <w:tcPr>
            <w:tcW w:w="128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2,388,327,329</w:t>
            </w:r>
            <w:r>
              <w:rPr>
                <w:rFonts w:ascii="宋体"/>
                <w:sz w:val="16"/>
              </w:rPr>
            </w:r>
          </w:p>
        </w:tc>
        <w:tc>
          <w:tcPr>
            <w:tcW w:w="139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80"/>
              <w:jc w:val="right"/>
              <w:rPr>
                <w:rFonts w:ascii="宋体" w:hAnsi="宋体" w:cs="宋体" w:eastAsia="宋体" w:hint="default"/>
                <w:sz w:val="16"/>
                <w:szCs w:val="16"/>
              </w:rPr>
            </w:pPr>
            <w:r>
              <w:rPr>
                <w:rFonts w:ascii="宋体"/>
                <w:w w:val="95"/>
                <w:sz w:val="16"/>
              </w:rPr>
              <w:t>2,330,871,400</w:t>
            </w:r>
            <w:r>
              <w:rPr>
                <w:rFonts w:ascii="宋体"/>
                <w:sz w:val="16"/>
              </w:rPr>
            </w:r>
          </w:p>
        </w:tc>
        <w:tc>
          <w:tcPr>
            <w:tcW w:w="129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50"/>
              <w:jc w:val="right"/>
              <w:rPr>
                <w:rFonts w:ascii="宋体" w:hAnsi="宋体" w:cs="宋体" w:eastAsia="宋体" w:hint="default"/>
                <w:sz w:val="16"/>
                <w:szCs w:val="16"/>
              </w:rPr>
            </w:pPr>
            <w:r>
              <w:rPr>
                <w:rFonts w:ascii="宋体"/>
                <w:w w:val="90"/>
                <w:sz w:val="16"/>
              </w:rPr>
              <w:t>(92,305,949)</w:t>
            </w:r>
            <w:r>
              <w:rPr>
                <w:rFonts w:ascii="宋体"/>
                <w:sz w:val="16"/>
              </w:rPr>
            </w:r>
          </w:p>
        </w:tc>
        <w:tc>
          <w:tcPr>
            <w:tcW w:w="128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2,238,565,451</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53" w:right="0"/>
        <w:jc w:val="left"/>
      </w:pPr>
      <w:r>
        <w:rPr/>
        <w:t>6、存货（续）</w:t>
      </w:r>
    </w:p>
    <w:p>
      <w:pPr>
        <w:spacing w:line="240" w:lineRule="auto" w:before="12"/>
        <w:rPr>
          <w:rFonts w:ascii="宋体" w:hAnsi="宋体" w:cs="宋体" w:eastAsia="宋体" w:hint="default"/>
          <w:sz w:val="17"/>
          <w:szCs w:val="17"/>
        </w:rPr>
      </w:pPr>
    </w:p>
    <w:p>
      <w:pPr>
        <w:pStyle w:val="BodyText"/>
        <w:spacing w:line="240" w:lineRule="auto"/>
        <w:ind w:left="153" w:right="0"/>
        <w:jc w:val="left"/>
      </w:pPr>
      <w:r>
        <w:rPr/>
        <w:t>(b)</w:t>
      </w:r>
      <w:r>
        <w:rPr>
          <w:spacing w:val="-21"/>
        </w:rPr>
        <w:t> </w:t>
      </w:r>
      <w:r>
        <w:rPr/>
        <w:t>存货跌价准备分析如下：</w:t>
      </w:r>
    </w:p>
    <w:p>
      <w:pPr>
        <w:spacing w:line="240" w:lineRule="auto" w:before="10"/>
        <w:rPr>
          <w:rFonts w:ascii="宋体" w:hAnsi="宋体" w:cs="宋体" w:eastAsia="宋体" w:hint="default"/>
          <w:sz w:val="14"/>
          <w:szCs w:val="14"/>
        </w:rPr>
      </w:pPr>
    </w:p>
    <w:tbl>
      <w:tblPr>
        <w:tblW w:w="0" w:type="auto"/>
        <w:jc w:val="left"/>
        <w:tblInd w:w="493" w:type="dxa"/>
        <w:tblLayout w:type="fixed"/>
        <w:tblCellMar>
          <w:top w:w="0" w:type="dxa"/>
          <w:left w:w="0" w:type="dxa"/>
          <w:bottom w:w="0" w:type="dxa"/>
          <w:right w:w="0" w:type="dxa"/>
        </w:tblCellMar>
        <w:tblLook w:val="01E0"/>
      </w:tblPr>
      <w:tblGrid>
        <w:gridCol w:w="4047"/>
        <w:gridCol w:w="1904"/>
        <w:gridCol w:w="1608"/>
        <w:gridCol w:w="1738"/>
      </w:tblGrid>
      <w:tr>
        <w:trPr>
          <w:trHeight w:val="384" w:hRule="exact"/>
        </w:trPr>
        <w:tc>
          <w:tcPr>
            <w:tcW w:w="4047"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439"/>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904"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484"/>
              <w:jc w:val="right"/>
              <w:rPr>
                <w:rFonts w:ascii="宋体" w:hAnsi="宋体" w:cs="宋体" w:eastAsia="宋体" w:hint="default"/>
                <w:sz w:val="16"/>
                <w:szCs w:val="16"/>
              </w:rPr>
            </w:pPr>
            <w:r>
              <w:rPr>
                <w:rFonts w:ascii="宋体" w:hAnsi="宋体" w:cs="宋体" w:eastAsia="宋体" w:hint="default"/>
                <w:sz w:val="16"/>
                <w:szCs w:val="16"/>
              </w:rPr>
              <w:t>本年计提</w:t>
            </w:r>
          </w:p>
        </w:tc>
        <w:tc>
          <w:tcPr>
            <w:tcW w:w="1608"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232"/>
              <w:jc w:val="right"/>
              <w:rPr>
                <w:rFonts w:ascii="宋体" w:hAnsi="宋体" w:cs="宋体" w:eastAsia="宋体" w:hint="default"/>
                <w:sz w:val="16"/>
                <w:szCs w:val="16"/>
              </w:rPr>
            </w:pPr>
            <w:r>
              <w:rPr>
                <w:rFonts w:ascii="宋体" w:hAnsi="宋体" w:cs="宋体" w:eastAsia="宋体" w:hint="default"/>
                <w:sz w:val="16"/>
                <w:szCs w:val="16"/>
              </w:rPr>
              <w:t>本年转销</w:t>
            </w:r>
          </w:p>
        </w:tc>
        <w:tc>
          <w:tcPr>
            <w:tcW w:w="1738"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2" w:hRule="exact"/>
        </w:trPr>
        <w:tc>
          <w:tcPr>
            <w:tcW w:w="4047" w:type="dxa"/>
            <w:tcBorders>
              <w:top w:val="single" w:sz="16" w:space="0" w:color="9F8958"/>
              <w:left w:val="nil" w:sz="6" w:space="0" w:color="auto"/>
              <w:bottom w:val="nil" w:sz="6" w:space="0" w:color="auto"/>
              <w:right w:val="nil" w:sz="6" w:space="0" w:color="auto"/>
            </w:tcBorders>
          </w:tcPr>
          <w:p>
            <w:pPr>
              <w:pStyle w:val="TableParagraph"/>
              <w:tabs>
                <w:tab w:pos="2604" w:val="left" w:leader="none"/>
              </w:tabs>
              <w:spacing w:line="240" w:lineRule="auto" w:before="64"/>
              <w:ind w:right="439"/>
              <w:jc w:val="right"/>
              <w:rPr>
                <w:rFonts w:ascii="宋体" w:hAnsi="宋体" w:cs="宋体" w:eastAsia="宋体" w:hint="default"/>
                <w:sz w:val="16"/>
                <w:szCs w:val="16"/>
              </w:rPr>
            </w:pPr>
            <w:r>
              <w:rPr>
                <w:rFonts w:ascii="宋体" w:hAnsi="宋体" w:cs="宋体" w:eastAsia="宋体" w:hint="default"/>
                <w:sz w:val="16"/>
                <w:szCs w:val="16"/>
              </w:rPr>
              <w:t>手机及其他通信产品</w:t>
              <w:tab/>
            </w:r>
            <w:r>
              <w:rPr>
                <w:rFonts w:ascii="宋体" w:hAnsi="宋体" w:cs="宋体" w:eastAsia="宋体" w:hint="default"/>
                <w:w w:val="90"/>
                <w:sz w:val="16"/>
                <w:szCs w:val="16"/>
              </w:rPr>
              <w:t>(87,984,203)</w:t>
            </w:r>
            <w:r>
              <w:rPr>
                <w:rFonts w:ascii="宋体" w:hAnsi="宋体" w:cs="宋体" w:eastAsia="宋体" w:hint="default"/>
                <w:sz w:val="16"/>
                <w:szCs w:val="16"/>
              </w:rPr>
            </w:r>
          </w:p>
        </w:tc>
        <w:tc>
          <w:tcPr>
            <w:tcW w:w="190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483"/>
              <w:jc w:val="right"/>
              <w:rPr>
                <w:rFonts w:ascii="宋体" w:hAnsi="宋体" w:cs="宋体" w:eastAsia="宋体" w:hint="default"/>
                <w:sz w:val="16"/>
                <w:szCs w:val="16"/>
              </w:rPr>
            </w:pPr>
            <w:r>
              <w:rPr>
                <w:rFonts w:ascii="宋体"/>
                <w:w w:val="90"/>
                <w:sz w:val="16"/>
              </w:rPr>
              <w:t>(235,789,244)</w:t>
            </w:r>
            <w:r>
              <w:rPr>
                <w:rFonts w:ascii="宋体"/>
                <w:sz w:val="16"/>
              </w:rPr>
            </w:r>
          </w:p>
        </w:tc>
        <w:tc>
          <w:tcPr>
            <w:tcW w:w="160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32"/>
              <w:jc w:val="right"/>
              <w:rPr>
                <w:rFonts w:ascii="宋体" w:hAnsi="宋体" w:cs="宋体" w:eastAsia="宋体" w:hint="default"/>
                <w:sz w:val="16"/>
                <w:szCs w:val="16"/>
              </w:rPr>
            </w:pPr>
            <w:r>
              <w:rPr>
                <w:rFonts w:ascii="宋体"/>
                <w:sz w:val="16"/>
              </w:rPr>
              <w:t>224,662,374</w:t>
            </w:r>
          </w:p>
        </w:tc>
        <w:tc>
          <w:tcPr>
            <w:tcW w:w="173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(99,111,073)</w:t>
            </w:r>
            <w:r>
              <w:rPr>
                <w:rFonts w:ascii="宋体"/>
                <w:sz w:val="16"/>
              </w:rPr>
            </w:r>
          </w:p>
        </w:tc>
      </w:tr>
      <w:tr>
        <w:trPr>
          <w:trHeight w:val="373" w:hRule="exact"/>
        </w:trPr>
        <w:tc>
          <w:tcPr>
            <w:tcW w:w="4047" w:type="dxa"/>
            <w:tcBorders>
              <w:top w:val="nil" w:sz="6" w:space="0" w:color="auto"/>
              <w:left w:val="nil" w:sz="6" w:space="0" w:color="auto"/>
              <w:bottom w:val="nil" w:sz="6" w:space="0" w:color="auto"/>
              <w:right w:val="nil" w:sz="6" w:space="0" w:color="auto"/>
            </w:tcBorders>
          </w:tcPr>
          <w:p>
            <w:pPr>
              <w:pStyle w:val="TableParagraph"/>
              <w:spacing w:line="100" w:lineRule="exact"/>
              <w:ind w:left="113" w:right="0"/>
              <w:jc w:val="left"/>
              <w:rPr>
                <w:rFonts w:ascii="宋体" w:hAnsi="宋体" w:cs="宋体" w:eastAsia="宋体" w:hint="default"/>
                <w:sz w:val="16"/>
                <w:szCs w:val="16"/>
              </w:rPr>
            </w:pPr>
            <w:r>
              <w:rPr>
                <w:rFonts w:ascii="宋体" w:hAnsi="宋体" w:cs="宋体" w:eastAsia="宋体" w:hint="default"/>
                <w:w w:val="110"/>
                <w:sz w:val="16"/>
                <w:szCs w:val="16"/>
              </w:rPr>
              <w:t>SIM</w:t>
            </w:r>
            <w:r>
              <w:rPr>
                <w:rFonts w:ascii="宋体" w:hAnsi="宋体" w:cs="宋体" w:eastAsia="宋体" w:hint="default"/>
                <w:spacing w:val="-51"/>
                <w:w w:val="110"/>
                <w:sz w:val="16"/>
                <w:szCs w:val="16"/>
              </w:rPr>
              <w:t> </w:t>
            </w:r>
            <w:r>
              <w:rPr>
                <w:rFonts w:ascii="宋体" w:hAnsi="宋体" w:cs="宋体" w:eastAsia="宋体" w:hint="default"/>
                <w:w w:val="110"/>
                <w:sz w:val="16"/>
                <w:szCs w:val="16"/>
              </w:rPr>
              <w:t>卡、UIM</w:t>
            </w:r>
            <w:r>
              <w:rPr>
                <w:rFonts w:ascii="宋体" w:hAnsi="宋体" w:cs="宋体" w:eastAsia="宋体" w:hint="default"/>
                <w:spacing w:val="-51"/>
                <w:w w:val="110"/>
                <w:sz w:val="16"/>
                <w:szCs w:val="16"/>
              </w:rPr>
              <w:t> </w:t>
            </w:r>
            <w:r>
              <w:rPr>
                <w:rFonts w:ascii="宋体" w:hAnsi="宋体" w:cs="宋体" w:eastAsia="宋体" w:hint="default"/>
                <w:w w:val="110"/>
                <w:sz w:val="16"/>
                <w:szCs w:val="16"/>
              </w:rPr>
              <w:t>卡及预</w:t>
            </w:r>
          </w:p>
          <w:p>
            <w:pPr>
              <w:pStyle w:val="TableParagraph"/>
              <w:tabs>
                <w:tab w:pos="2806"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position w:val="-9"/>
                <w:sz w:val="16"/>
                <w:szCs w:val="16"/>
              </w:rPr>
              <w:t>付电话卡</w:t>
              <w:tab/>
            </w:r>
            <w:r>
              <w:rPr>
                <w:rFonts w:ascii="宋体" w:hAnsi="宋体" w:cs="宋体" w:eastAsia="宋体" w:hint="default"/>
                <w:sz w:val="16"/>
                <w:szCs w:val="16"/>
              </w:rPr>
              <w:t>(4,150,205)</w:t>
            </w:r>
          </w:p>
        </w:tc>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483"/>
              <w:jc w:val="right"/>
              <w:rPr>
                <w:rFonts w:ascii="宋体" w:hAnsi="宋体" w:cs="宋体" w:eastAsia="宋体" w:hint="default"/>
                <w:sz w:val="16"/>
                <w:szCs w:val="16"/>
              </w:rPr>
            </w:pPr>
            <w:r>
              <w:rPr>
                <w:rFonts w:ascii="宋体"/>
                <w:w w:val="90"/>
                <w:sz w:val="16"/>
              </w:rPr>
              <w:t>(484,216)</w:t>
            </w:r>
            <w:r>
              <w:rPr>
                <w:rFonts w:ascii="宋体"/>
                <w:sz w:val="16"/>
              </w:rPr>
            </w:r>
          </w:p>
        </w:tc>
        <w:tc>
          <w:tcPr>
            <w:tcW w:w="160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32"/>
              <w:jc w:val="right"/>
              <w:rPr>
                <w:rFonts w:ascii="宋体" w:hAnsi="宋体" w:cs="宋体" w:eastAsia="宋体" w:hint="default"/>
                <w:sz w:val="16"/>
                <w:szCs w:val="16"/>
              </w:rPr>
            </w:pPr>
            <w:r>
              <w:rPr>
                <w:rFonts w:ascii="宋体"/>
                <w:sz w:val="16"/>
              </w:rPr>
              <w:t>969,976</w:t>
            </w:r>
          </w:p>
        </w:tc>
        <w:tc>
          <w:tcPr>
            <w:tcW w:w="173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1"/>
              <w:jc w:val="right"/>
              <w:rPr>
                <w:rFonts w:ascii="宋体" w:hAnsi="宋体" w:cs="宋体" w:eastAsia="宋体" w:hint="default"/>
                <w:sz w:val="16"/>
                <w:szCs w:val="16"/>
              </w:rPr>
            </w:pPr>
            <w:r>
              <w:rPr>
                <w:rFonts w:ascii="宋体"/>
                <w:w w:val="90"/>
                <w:sz w:val="16"/>
              </w:rPr>
              <w:t>(3,664,445)</w:t>
            </w:r>
            <w:r>
              <w:rPr>
                <w:rFonts w:ascii="宋体"/>
                <w:sz w:val="16"/>
              </w:rPr>
            </w:r>
          </w:p>
        </w:tc>
      </w:tr>
      <w:tr>
        <w:trPr>
          <w:trHeight w:val="381" w:hRule="exact"/>
        </w:trPr>
        <w:tc>
          <w:tcPr>
            <w:tcW w:w="4047" w:type="dxa"/>
            <w:tcBorders>
              <w:top w:val="nil" w:sz="6" w:space="0" w:color="auto"/>
              <w:left w:val="nil" w:sz="6" w:space="0" w:color="auto"/>
              <w:bottom w:val="single" w:sz="6" w:space="0" w:color="000000"/>
              <w:right w:val="nil" w:sz="6" w:space="0" w:color="auto"/>
            </w:tcBorders>
          </w:tcPr>
          <w:p>
            <w:pPr>
              <w:pStyle w:val="TableParagraph"/>
              <w:tabs>
                <w:tab w:pos="2826" w:val="left" w:leader="none"/>
              </w:tabs>
              <w:spacing w:line="240" w:lineRule="auto" w:before="45"/>
              <w:ind w:right="439"/>
              <w:jc w:val="right"/>
              <w:rPr>
                <w:rFonts w:ascii="宋体" w:hAnsi="宋体" w:cs="宋体" w:eastAsia="宋体" w:hint="default"/>
                <w:sz w:val="16"/>
                <w:szCs w:val="16"/>
              </w:rPr>
            </w:pPr>
            <w:r>
              <w:rPr>
                <w:rFonts w:ascii="宋体" w:hAnsi="宋体" w:cs="宋体" w:eastAsia="宋体" w:hint="default"/>
                <w:sz w:val="16"/>
                <w:szCs w:val="16"/>
              </w:rPr>
              <w:t>备品备件</w:t>
              <w:tab/>
            </w:r>
            <w:r>
              <w:rPr>
                <w:rFonts w:ascii="宋体" w:hAnsi="宋体" w:cs="宋体" w:eastAsia="宋体" w:hint="default"/>
                <w:w w:val="90"/>
                <w:sz w:val="16"/>
                <w:szCs w:val="16"/>
              </w:rPr>
              <w:t>(171,541)</w:t>
            </w:r>
            <w:r>
              <w:rPr>
                <w:rFonts w:ascii="宋体" w:hAnsi="宋体" w:cs="宋体" w:eastAsia="宋体" w:hint="default"/>
                <w:sz w:val="16"/>
                <w:szCs w:val="16"/>
              </w:rPr>
            </w:r>
          </w:p>
        </w:tc>
        <w:tc>
          <w:tcPr>
            <w:tcW w:w="190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484"/>
              <w:jc w:val="right"/>
              <w:rPr>
                <w:rFonts w:ascii="宋体" w:hAnsi="宋体" w:cs="宋体" w:eastAsia="宋体" w:hint="default"/>
                <w:sz w:val="16"/>
                <w:szCs w:val="16"/>
              </w:rPr>
            </w:pPr>
            <w:r>
              <w:rPr>
                <w:rFonts w:ascii="宋体"/>
                <w:w w:val="131"/>
                <w:sz w:val="16"/>
              </w:rPr>
              <w:t>-</w:t>
            </w:r>
            <w:r>
              <w:rPr>
                <w:rFonts w:ascii="宋体"/>
                <w:sz w:val="16"/>
              </w:rPr>
            </w:r>
          </w:p>
        </w:tc>
        <w:tc>
          <w:tcPr>
            <w:tcW w:w="1608"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32"/>
              <w:jc w:val="right"/>
              <w:rPr>
                <w:rFonts w:ascii="宋体" w:hAnsi="宋体" w:cs="宋体" w:eastAsia="宋体" w:hint="default"/>
                <w:sz w:val="16"/>
                <w:szCs w:val="16"/>
              </w:rPr>
            </w:pPr>
            <w:r>
              <w:rPr>
                <w:rFonts w:ascii="宋体"/>
                <w:sz w:val="16"/>
              </w:rPr>
              <w:t>117,291</w:t>
            </w:r>
          </w:p>
        </w:tc>
        <w:tc>
          <w:tcPr>
            <w:tcW w:w="1738"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111"/>
              <w:jc w:val="right"/>
              <w:rPr>
                <w:rFonts w:ascii="宋体" w:hAnsi="宋体" w:cs="宋体" w:eastAsia="宋体" w:hint="default"/>
                <w:sz w:val="16"/>
                <w:szCs w:val="16"/>
              </w:rPr>
            </w:pPr>
            <w:r>
              <w:rPr>
                <w:rFonts w:ascii="宋体"/>
                <w:w w:val="90"/>
                <w:sz w:val="16"/>
              </w:rPr>
              <w:t>(54,250)</w:t>
            </w:r>
            <w:r>
              <w:rPr>
                <w:rFonts w:ascii="宋体"/>
                <w:sz w:val="16"/>
              </w:rPr>
            </w:r>
          </w:p>
        </w:tc>
      </w:tr>
      <w:tr>
        <w:trPr>
          <w:trHeight w:val="414" w:hRule="exact"/>
        </w:trPr>
        <w:tc>
          <w:tcPr>
            <w:tcW w:w="4047" w:type="dxa"/>
            <w:tcBorders>
              <w:top w:val="single" w:sz="6" w:space="0" w:color="000000"/>
              <w:left w:val="nil" w:sz="6" w:space="0" w:color="auto"/>
              <w:bottom w:val="single" w:sz="16" w:space="0" w:color="9F8958"/>
              <w:right w:val="nil" w:sz="6" w:space="0" w:color="auto"/>
            </w:tcBorders>
          </w:tcPr>
          <w:p>
            <w:pPr>
              <w:pStyle w:val="TableParagraph"/>
              <w:tabs>
                <w:tab w:pos="2604" w:val="left" w:leader="none"/>
              </w:tabs>
              <w:spacing w:line="240" w:lineRule="auto" w:before="64"/>
              <w:ind w:right="439"/>
              <w:jc w:val="right"/>
              <w:rPr>
                <w:rFonts w:ascii="宋体" w:hAnsi="宋体" w:cs="宋体" w:eastAsia="宋体" w:hint="default"/>
                <w:sz w:val="16"/>
                <w:szCs w:val="16"/>
              </w:rPr>
            </w:pPr>
            <w:r>
              <w:rPr>
                <w:rFonts w:ascii="宋体" w:hAnsi="宋体" w:cs="宋体" w:eastAsia="宋体" w:hint="default"/>
                <w:sz w:val="16"/>
                <w:szCs w:val="16"/>
              </w:rPr>
              <w:t>合计</w:t>
              <w:tab/>
            </w:r>
            <w:r>
              <w:rPr>
                <w:rFonts w:ascii="宋体" w:hAnsi="宋体" w:cs="宋体" w:eastAsia="宋体" w:hint="default"/>
                <w:w w:val="90"/>
                <w:sz w:val="16"/>
                <w:szCs w:val="16"/>
              </w:rPr>
              <w:t>(92,305,949)</w:t>
            </w:r>
            <w:r>
              <w:rPr>
                <w:rFonts w:ascii="宋体" w:hAnsi="宋体" w:cs="宋体" w:eastAsia="宋体" w:hint="default"/>
                <w:sz w:val="16"/>
                <w:szCs w:val="16"/>
              </w:rPr>
            </w:r>
          </w:p>
        </w:tc>
        <w:tc>
          <w:tcPr>
            <w:tcW w:w="190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483"/>
              <w:jc w:val="right"/>
              <w:rPr>
                <w:rFonts w:ascii="宋体" w:hAnsi="宋体" w:cs="宋体" w:eastAsia="宋体" w:hint="default"/>
                <w:sz w:val="16"/>
                <w:szCs w:val="16"/>
              </w:rPr>
            </w:pPr>
            <w:r>
              <w:rPr>
                <w:rFonts w:ascii="宋体"/>
                <w:w w:val="90"/>
                <w:sz w:val="16"/>
              </w:rPr>
              <w:t>(236,273,460)</w:t>
            </w:r>
            <w:r>
              <w:rPr>
                <w:rFonts w:ascii="宋体"/>
                <w:sz w:val="16"/>
              </w:rPr>
            </w:r>
          </w:p>
        </w:tc>
        <w:tc>
          <w:tcPr>
            <w:tcW w:w="160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32"/>
              <w:jc w:val="right"/>
              <w:rPr>
                <w:rFonts w:ascii="宋体" w:hAnsi="宋体" w:cs="宋体" w:eastAsia="宋体" w:hint="default"/>
                <w:sz w:val="16"/>
                <w:szCs w:val="16"/>
              </w:rPr>
            </w:pPr>
            <w:r>
              <w:rPr>
                <w:rFonts w:ascii="宋体"/>
                <w:sz w:val="16"/>
              </w:rPr>
              <w:t>225,749,641</w:t>
            </w:r>
          </w:p>
        </w:tc>
        <w:tc>
          <w:tcPr>
            <w:tcW w:w="173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(102,829,768)</w:t>
            </w:r>
            <w:r>
              <w:rPr>
                <w:rFonts w:ascii="宋体"/>
                <w:sz w:val="16"/>
              </w:rPr>
            </w:r>
          </w:p>
        </w:tc>
      </w:tr>
    </w:tbl>
    <w:p>
      <w:pPr>
        <w:spacing w:line="240" w:lineRule="auto" w:before="7"/>
        <w:rPr>
          <w:rFonts w:ascii="宋体" w:hAnsi="宋体" w:cs="宋体" w:eastAsia="宋体" w:hint="default"/>
          <w:sz w:val="13"/>
          <w:szCs w:val="13"/>
        </w:rPr>
      </w:pPr>
    </w:p>
    <w:p>
      <w:pPr>
        <w:pStyle w:val="BodyText"/>
        <w:spacing w:line="304" w:lineRule="auto" w:before="31"/>
        <w:ind w:left="493" w:right="0" w:hanging="341"/>
        <w:jc w:val="left"/>
      </w:pPr>
      <w:r>
        <w:rPr/>
        <w:t>(c)</w:t>
      </w:r>
      <w:r>
        <w:rPr>
          <w:spacing w:val="76"/>
        </w:rPr>
        <w:t> </w:t>
      </w:r>
      <w:r>
        <w:rPr/>
        <w:t>存货跌价准备的计提主要是因为存货陈旧过时或销售价格下降。本年转销是由于部分在以前年度已计提跌价准备的存</w:t>
      </w:r>
      <w:r>
        <w:rPr>
          <w:spacing w:val="-88"/>
        </w:rPr>
        <w:t> </w:t>
      </w:r>
      <w:r>
        <w:rPr>
          <w:spacing w:val="-88"/>
        </w:rPr>
      </w:r>
      <w:r>
        <w:rPr/>
        <w:t>货于本年因出售而转出相应已计提的跌价准备。</w:t>
      </w:r>
    </w:p>
    <w:p>
      <w:pPr>
        <w:spacing w:line="240" w:lineRule="auto" w:before="11"/>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3583"/>
        <w:gridCol w:w="3210"/>
        <w:gridCol w:w="2880"/>
      </w:tblGrid>
      <w:tr>
        <w:trPr>
          <w:trHeight w:val="890" w:hRule="exact"/>
        </w:trPr>
        <w:tc>
          <w:tcPr>
            <w:tcW w:w="358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7、合同资产</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21"/>
                <w:sz w:val="18"/>
                <w:szCs w:val="18"/>
              </w:rPr>
              <w:t> </w:t>
            </w:r>
            <w:r>
              <w:rPr>
                <w:rFonts w:ascii="宋体" w:hAnsi="宋体" w:cs="宋体" w:eastAsia="宋体" w:hint="default"/>
                <w:sz w:val="18"/>
                <w:szCs w:val="18"/>
              </w:rPr>
              <w:t>合同资产按性质分析如下：</w:t>
            </w:r>
          </w:p>
        </w:tc>
        <w:tc>
          <w:tcPr>
            <w:tcW w:w="6090" w:type="dxa"/>
            <w:gridSpan w:val="2"/>
            <w:tcBorders>
              <w:top w:val="nil" w:sz="6" w:space="0" w:color="auto"/>
              <w:left w:val="nil" w:sz="6" w:space="0" w:color="auto"/>
              <w:bottom w:val="nil" w:sz="6" w:space="0" w:color="auto"/>
              <w:right w:val="nil" w:sz="6" w:space="0" w:color="auto"/>
            </w:tcBorders>
          </w:tcPr>
          <w:p>
            <w:pPr/>
          </w:p>
        </w:tc>
      </w:tr>
      <w:tr>
        <w:trPr>
          <w:trHeight w:val="423" w:hRule="exact"/>
        </w:trPr>
        <w:tc>
          <w:tcPr>
            <w:tcW w:w="3583" w:type="dxa"/>
            <w:tcBorders>
              <w:top w:val="nil" w:sz="6" w:space="0" w:color="auto"/>
              <w:left w:val="nil" w:sz="6" w:space="0" w:color="auto"/>
              <w:bottom w:val="single" w:sz="16" w:space="0" w:color="9F8958"/>
              <w:right w:val="nil" w:sz="6" w:space="0" w:color="auto"/>
            </w:tcBorders>
          </w:tcPr>
          <w:p>
            <w:pPr/>
          </w:p>
        </w:tc>
        <w:tc>
          <w:tcPr>
            <w:tcW w:w="3210" w:type="dxa"/>
            <w:tcBorders>
              <w:top w:val="nil" w:sz="6" w:space="0" w:color="auto"/>
              <w:left w:val="nil" w:sz="6" w:space="0" w:color="auto"/>
              <w:bottom w:val="single" w:sz="16" w:space="0" w:color="9F8958"/>
              <w:right w:val="nil" w:sz="6" w:space="0" w:color="auto"/>
            </w:tcBorders>
          </w:tcPr>
          <w:p>
            <w:pPr/>
          </w:p>
        </w:tc>
        <w:tc>
          <w:tcPr>
            <w:tcW w:w="2880" w:type="dxa"/>
            <w:tcBorders>
              <w:top w:val="nil" w:sz="6" w:space="0" w:color="auto"/>
              <w:left w:val="nil" w:sz="6" w:space="0" w:color="auto"/>
              <w:bottom w:val="single" w:sz="16" w:space="0" w:color="9F8958"/>
              <w:right w:val="nil" w:sz="6" w:space="0" w:color="auto"/>
            </w:tcBorders>
          </w:tcPr>
          <w:p>
            <w:pPr>
              <w:pStyle w:val="TableParagraph"/>
              <w:spacing w:line="240" w:lineRule="auto" w:before="80"/>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9" w:hRule="exact"/>
        </w:trPr>
        <w:tc>
          <w:tcPr>
            <w:tcW w:w="3583"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应收合约用户通信终端款</w:t>
            </w:r>
          </w:p>
        </w:tc>
        <w:tc>
          <w:tcPr>
            <w:tcW w:w="3210" w:type="dxa"/>
            <w:tcBorders>
              <w:top w:val="single" w:sz="16" w:space="0" w:color="9F8958"/>
              <w:left w:val="nil" w:sz="6" w:space="0" w:color="auto"/>
              <w:bottom w:val="single" w:sz="6" w:space="0" w:color="000000"/>
              <w:right w:val="nil" w:sz="6" w:space="0" w:color="auto"/>
            </w:tcBorders>
          </w:tcPr>
          <w:p>
            <w:pPr/>
          </w:p>
        </w:tc>
        <w:tc>
          <w:tcPr>
            <w:tcW w:w="2880"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2,960,152,715</w:t>
            </w:r>
            <w:r>
              <w:rPr>
                <w:rFonts w:ascii="宋体"/>
                <w:sz w:val="16"/>
              </w:rPr>
            </w:r>
          </w:p>
        </w:tc>
      </w:tr>
      <w:tr>
        <w:trPr>
          <w:trHeight w:val="407" w:hRule="exact"/>
        </w:trPr>
        <w:tc>
          <w:tcPr>
            <w:tcW w:w="358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减：坏账准备</w:t>
            </w:r>
          </w:p>
        </w:tc>
        <w:tc>
          <w:tcPr>
            <w:tcW w:w="3210" w:type="dxa"/>
            <w:tcBorders>
              <w:top w:val="single" w:sz="6" w:space="0" w:color="000000"/>
              <w:left w:val="nil" w:sz="6" w:space="0" w:color="auto"/>
              <w:bottom w:val="single" w:sz="6" w:space="0" w:color="000000"/>
              <w:right w:val="nil" w:sz="6" w:space="0" w:color="auto"/>
            </w:tcBorders>
          </w:tcPr>
          <w:p>
            <w:pPr/>
          </w:p>
        </w:tc>
        <w:tc>
          <w:tcPr>
            <w:tcW w:w="2880"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(1,135,648,384)</w:t>
            </w:r>
            <w:r>
              <w:rPr>
                <w:rFonts w:ascii="宋体"/>
                <w:sz w:val="16"/>
              </w:rPr>
            </w:r>
          </w:p>
        </w:tc>
      </w:tr>
      <w:tr>
        <w:trPr>
          <w:trHeight w:val="407" w:hRule="exact"/>
        </w:trPr>
        <w:tc>
          <w:tcPr>
            <w:tcW w:w="358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3210" w:type="dxa"/>
            <w:tcBorders>
              <w:top w:val="single" w:sz="6" w:space="0" w:color="000000"/>
              <w:left w:val="nil" w:sz="6" w:space="0" w:color="auto"/>
              <w:bottom w:val="single" w:sz="6" w:space="0" w:color="000000"/>
              <w:right w:val="nil" w:sz="6" w:space="0" w:color="auto"/>
            </w:tcBorders>
          </w:tcPr>
          <w:p>
            <w:pPr/>
          </w:p>
        </w:tc>
        <w:tc>
          <w:tcPr>
            <w:tcW w:w="2880"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1,824,504,331</w:t>
            </w:r>
            <w:r>
              <w:rPr>
                <w:rFonts w:ascii="宋体"/>
                <w:sz w:val="16"/>
              </w:rPr>
            </w:r>
          </w:p>
        </w:tc>
      </w:tr>
      <w:tr>
        <w:trPr>
          <w:trHeight w:val="350" w:hRule="exact"/>
        </w:trPr>
        <w:tc>
          <w:tcPr>
            <w:tcW w:w="3583"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其中：回收期一年以内部分</w:t>
            </w:r>
          </w:p>
        </w:tc>
        <w:tc>
          <w:tcPr>
            <w:tcW w:w="3210" w:type="dxa"/>
            <w:tcBorders>
              <w:top w:val="single" w:sz="6" w:space="0" w:color="000000"/>
              <w:left w:val="nil" w:sz="6" w:space="0" w:color="auto"/>
              <w:bottom w:val="nil" w:sz="6" w:space="0" w:color="auto"/>
              <w:right w:val="nil" w:sz="6" w:space="0" w:color="auto"/>
            </w:tcBorders>
          </w:tcPr>
          <w:p>
            <w:pPr/>
          </w:p>
        </w:tc>
        <w:tc>
          <w:tcPr>
            <w:tcW w:w="2880"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1,254,428,639</w:t>
            </w:r>
            <w:r>
              <w:rPr>
                <w:rFonts w:ascii="宋体"/>
                <w:sz w:val="16"/>
              </w:rPr>
            </w:r>
          </w:p>
        </w:tc>
      </w:tr>
      <w:tr>
        <w:trPr>
          <w:trHeight w:val="338" w:hRule="exact"/>
        </w:trPr>
        <w:tc>
          <w:tcPr>
            <w:tcW w:w="3583" w:type="dxa"/>
            <w:tcBorders>
              <w:top w:val="nil" w:sz="6" w:space="0" w:color="auto"/>
              <w:left w:val="nil" w:sz="6" w:space="0" w:color="auto"/>
              <w:bottom w:val="single" w:sz="16" w:space="0" w:color="9F8958"/>
              <w:right w:val="nil" w:sz="6" w:space="0" w:color="auto"/>
            </w:tcBorders>
          </w:tcPr>
          <w:p>
            <w:pPr>
              <w:pStyle w:val="TableParagraph"/>
              <w:spacing w:line="205" w:lineRule="exact"/>
              <w:ind w:left="970" w:right="0"/>
              <w:jc w:val="left"/>
              <w:rPr>
                <w:rFonts w:ascii="宋体" w:hAnsi="宋体" w:cs="宋体" w:eastAsia="宋体" w:hint="default"/>
                <w:sz w:val="16"/>
                <w:szCs w:val="16"/>
              </w:rPr>
            </w:pPr>
            <w:r>
              <w:rPr>
                <w:rFonts w:ascii="宋体" w:hAnsi="宋体" w:cs="宋体" w:eastAsia="宋体" w:hint="default"/>
                <w:sz w:val="16"/>
                <w:szCs w:val="16"/>
              </w:rPr>
              <w:t>回收期超过一年部分</w:t>
            </w:r>
          </w:p>
        </w:tc>
        <w:tc>
          <w:tcPr>
            <w:tcW w:w="3210" w:type="dxa"/>
            <w:tcBorders>
              <w:top w:val="nil" w:sz="6" w:space="0" w:color="auto"/>
              <w:left w:val="nil" w:sz="6" w:space="0" w:color="auto"/>
              <w:bottom w:val="single" w:sz="16" w:space="0" w:color="9F8958"/>
              <w:right w:val="nil" w:sz="6" w:space="0" w:color="auto"/>
            </w:tcBorders>
          </w:tcPr>
          <w:p>
            <w:pPr>
              <w:pStyle w:val="TableParagraph"/>
              <w:spacing w:line="205" w:lineRule="exact"/>
              <w:ind w:left="1047" w:right="0"/>
              <w:jc w:val="lef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(16)</w:t>
            </w:r>
            <w:r>
              <w:rPr>
                <w:rFonts w:ascii="宋体" w:hAnsi="宋体" w:cs="宋体" w:eastAsia="宋体" w:hint="default"/>
                <w:sz w:val="16"/>
                <w:szCs w:val="16"/>
              </w:rPr>
            </w:r>
          </w:p>
        </w:tc>
        <w:tc>
          <w:tcPr>
            <w:tcW w:w="2880" w:type="dxa"/>
            <w:tcBorders>
              <w:top w:val="nil" w:sz="6" w:space="0" w:color="auto"/>
              <w:left w:val="nil" w:sz="6" w:space="0" w:color="auto"/>
              <w:bottom w:val="single" w:sz="16" w:space="0" w:color="9F8958"/>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570,075,692</w:t>
            </w:r>
          </w:p>
        </w:tc>
      </w:tr>
    </w:tbl>
    <w:p>
      <w:pPr>
        <w:spacing w:line="240" w:lineRule="auto" w:before="7"/>
        <w:rPr>
          <w:rFonts w:ascii="宋体" w:hAnsi="宋体" w:cs="宋体" w:eastAsia="宋体" w:hint="default"/>
          <w:sz w:val="13"/>
          <w:szCs w:val="13"/>
        </w:rPr>
      </w:pPr>
    </w:p>
    <w:p>
      <w:pPr>
        <w:pStyle w:val="BodyText"/>
        <w:spacing w:line="285" w:lineRule="auto" w:before="31"/>
        <w:ind w:left="493" w:right="126"/>
        <w:jc w:val="both"/>
      </w:pPr>
      <w:r>
        <w:rPr>
          <w:spacing w:val="1"/>
        </w:rPr>
        <w:t>本集团向用户提供捆绑手机终端及通信服务的套餐。如附注三</w:t>
      </w:r>
      <w:r>
        <w:rPr>
          <w:spacing w:val="-31"/>
        </w:rPr>
        <w:t> </w:t>
      </w:r>
      <w:r>
        <w:rPr>
          <w:spacing w:val="-1"/>
          <w:w w:val="69"/>
        </w:rPr>
        <w:t>(23)(i)</w:t>
      </w:r>
      <w:r>
        <w:rPr>
          <w:spacing w:val="-4"/>
          <w:w w:val="69"/>
        </w:rPr>
        <w:t> </w:t>
      </w:r>
      <w:r>
        <w:rPr>
          <w:spacing w:val="1"/>
        </w:rPr>
        <w:t>所述，该套餐的合同总金额按照手机终端和通信</w:t>
      </w:r>
      <w:r>
        <w:rPr>
          <w:spacing w:val="-73"/>
        </w:rPr>
        <w:t> </w:t>
      </w:r>
      <w:r>
        <w:rPr>
          <w:spacing w:val="-73"/>
        </w:rPr>
      </w:r>
      <w:r>
        <w:rPr/>
        <w:t>服务单独售价在二者之间进行分配。销售手机终端收入于该手机终端的控制权转移至用户时予以确认，并相应形成应</w:t>
      </w:r>
      <w:r>
        <w:rPr>
          <w:spacing w:val="7"/>
        </w:rPr>
        <w:t> </w:t>
      </w:r>
      <w:r>
        <w:rPr>
          <w:spacing w:val="7"/>
        </w:rPr>
      </w:r>
      <w:r>
        <w:rPr/>
        <w:t>收通信终端销售款项。当本集团取得该无条件收取对价的权利时，合同资产将转为应收账款。该应收通信终端销售款</w:t>
      </w:r>
      <w:r>
        <w:rPr>
          <w:spacing w:val="5"/>
        </w:rPr>
        <w:t> </w:t>
      </w:r>
      <w:r>
        <w:rPr>
          <w:spacing w:val="5"/>
        </w:rPr>
      </w:r>
      <w:r>
        <w:rPr>
          <w:w w:val="95"/>
        </w:rPr>
        <w:t>项在合约期内用户缴纳月套餐使用费时逐渐收回。回收期超过一年的部分列示于其他非流动资产（附注五    </w:t>
      </w:r>
      <w:r>
        <w:rPr>
          <w:spacing w:val="7"/>
          <w:w w:val="95"/>
        </w:rPr>
        <w:t> </w:t>
      </w:r>
      <w:r>
        <w:rPr>
          <w:w w:val="95"/>
        </w:rPr>
        <w:t>(16)）。</w:t>
      </w:r>
      <w:r>
        <w:rPr/>
      </w:r>
    </w:p>
    <w:p>
      <w:pPr>
        <w:spacing w:line="240" w:lineRule="auto" w:before="10"/>
        <w:rPr>
          <w:rFonts w:ascii="宋体" w:hAnsi="宋体" w:cs="宋体" w:eastAsia="宋体" w:hint="default"/>
          <w:sz w:val="13"/>
          <w:szCs w:val="13"/>
        </w:rPr>
      </w:pPr>
    </w:p>
    <w:p>
      <w:pPr>
        <w:pStyle w:val="BodyText"/>
        <w:spacing w:line="240" w:lineRule="auto"/>
        <w:ind w:left="493" w:right="0"/>
        <w:jc w:val="both"/>
      </w:pPr>
      <w:r>
        <w:rPr/>
        <w:t>于</w:t>
      </w:r>
      <w:r>
        <w:rPr>
          <w:spacing w:val="-32"/>
        </w:rPr>
        <w:t> </w:t>
      </w:r>
      <w:r>
        <w:rPr/>
        <w:t>2017</w:t>
      </w:r>
      <w:r>
        <w:rPr>
          <w:spacing w:val="-33"/>
        </w:rPr>
        <w:t> </w:t>
      </w:r>
      <w:r>
        <w:rPr/>
        <w:t>年</w:t>
      </w:r>
      <w:r>
        <w:rPr>
          <w:spacing w:val="-32"/>
        </w:rPr>
        <w:t> </w:t>
      </w:r>
      <w:r>
        <w:rPr/>
        <w:t>12</w:t>
      </w:r>
      <w:r>
        <w:rPr>
          <w:spacing w:val="-33"/>
        </w:rPr>
        <w:t> </w:t>
      </w:r>
      <w:r>
        <w:rPr/>
        <w:t>月</w:t>
      </w:r>
      <w:r>
        <w:rPr>
          <w:spacing w:val="-32"/>
        </w:rPr>
        <w:t> </w:t>
      </w:r>
      <w:r>
        <w:rPr/>
        <w:t>31</w:t>
      </w:r>
      <w:r>
        <w:rPr>
          <w:spacing w:val="-33"/>
        </w:rPr>
        <w:t> </w:t>
      </w:r>
      <w:r>
        <w:rPr/>
        <w:t>日，上述应收合约用户通信终端款列示于其他应收款。</w:t>
      </w:r>
    </w:p>
    <w:p>
      <w:pPr>
        <w:spacing w:after="0" w:line="240" w:lineRule="auto"/>
        <w:jc w:val="both"/>
        <w:sectPr>
          <w:footerReference w:type="even" r:id="rId306"/>
          <w:footerReference w:type="default" r:id="rId307"/>
          <w:pgSz w:w="11910" w:h="16160"/>
          <w:pgMar w:footer="320" w:header="1200" w:top="2120" w:bottom="520" w:left="640" w:right="1340"/>
        </w:sectPr>
      </w:pPr>
    </w:p>
    <w:p>
      <w:pPr>
        <w:spacing w:line="240" w:lineRule="auto" w:before="3"/>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6033"/>
        <w:gridCol w:w="3640"/>
      </w:tblGrid>
      <w:tr>
        <w:trPr>
          <w:trHeight w:val="890" w:hRule="exact"/>
        </w:trPr>
        <w:tc>
          <w:tcPr>
            <w:tcW w:w="6033"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7、合同资产（续）</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(b)</w:t>
            </w:r>
            <w:r>
              <w:rPr>
                <w:rFonts w:ascii="宋体" w:hAnsi="宋体" w:cs="宋体" w:eastAsia="宋体" w:hint="default"/>
                <w:spacing w:val="-21"/>
                <w:sz w:val="18"/>
                <w:szCs w:val="18"/>
              </w:rPr>
              <w:t> </w:t>
            </w:r>
            <w:r>
              <w:rPr>
                <w:rFonts w:ascii="宋体" w:hAnsi="宋体" w:cs="宋体" w:eastAsia="宋体" w:hint="default"/>
                <w:sz w:val="18"/>
                <w:szCs w:val="18"/>
              </w:rPr>
              <w:t>本年计提、收回或转回的坏账准备情况：</w:t>
            </w:r>
          </w:p>
        </w:tc>
        <w:tc>
          <w:tcPr>
            <w:tcW w:w="3640" w:type="dxa"/>
            <w:tcBorders>
              <w:top w:val="nil" w:sz="6" w:space="0" w:color="auto"/>
              <w:left w:val="nil" w:sz="6" w:space="0" w:color="auto"/>
              <w:bottom w:val="nil" w:sz="6" w:space="0" w:color="auto"/>
              <w:right w:val="nil" w:sz="6" w:space="0" w:color="auto"/>
            </w:tcBorders>
          </w:tcPr>
          <w:p>
            <w:pPr/>
          </w:p>
        </w:tc>
      </w:tr>
      <w:tr>
        <w:trPr>
          <w:trHeight w:val="423" w:hRule="exact"/>
        </w:trPr>
        <w:tc>
          <w:tcPr>
            <w:tcW w:w="6033" w:type="dxa"/>
            <w:tcBorders>
              <w:top w:val="nil" w:sz="6" w:space="0" w:color="auto"/>
              <w:left w:val="nil" w:sz="6" w:space="0" w:color="auto"/>
              <w:bottom w:val="single" w:sz="16" w:space="0" w:color="9F8958"/>
              <w:right w:val="nil" w:sz="6" w:space="0" w:color="auto"/>
            </w:tcBorders>
          </w:tcPr>
          <w:p>
            <w:pPr/>
          </w:p>
        </w:tc>
        <w:tc>
          <w:tcPr>
            <w:tcW w:w="3640" w:type="dxa"/>
            <w:tcBorders>
              <w:top w:val="nil" w:sz="6" w:space="0" w:color="auto"/>
              <w:left w:val="nil" w:sz="6" w:space="0" w:color="auto"/>
              <w:bottom w:val="single" w:sz="16" w:space="0" w:color="9F8958"/>
              <w:right w:val="nil" w:sz="6" w:space="0" w:color="auto"/>
            </w:tcBorders>
          </w:tcPr>
          <w:p>
            <w:pPr>
              <w:pStyle w:val="TableParagraph"/>
              <w:spacing w:line="240" w:lineRule="auto" w:before="80"/>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603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原金融工具准则下的余额</w:t>
            </w:r>
          </w:p>
        </w:tc>
        <w:tc>
          <w:tcPr>
            <w:tcW w:w="364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6033" w:type="dxa"/>
            <w:tcBorders>
              <w:top w:val="nil" w:sz="6" w:space="0" w:color="auto"/>
              <w:left w:val="nil" w:sz="6" w:space="0" w:color="auto"/>
              <w:bottom w:val="nil" w:sz="6" w:space="0" w:color="auto"/>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其他非流动资产年初余额</w:t>
            </w:r>
          </w:p>
        </w:tc>
        <w:tc>
          <w:tcPr>
            <w:tcW w:w="364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(39,636,404)</w:t>
            </w:r>
            <w:r>
              <w:rPr>
                <w:rFonts w:ascii="宋体"/>
                <w:sz w:val="16"/>
              </w:rPr>
            </w:r>
          </w:p>
        </w:tc>
      </w:tr>
      <w:tr>
        <w:trPr>
          <w:trHeight w:val="331" w:hRule="exact"/>
        </w:trPr>
        <w:tc>
          <w:tcPr>
            <w:tcW w:w="6033" w:type="dxa"/>
            <w:tcBorders>
              <w:top w:val="nil" w:sz="6" w:space="0" w:color="auto"/>
              <w:left w:val="nil" w:sz="6" w:space="0" w:color="auto"/>
              <w:bottom w:val="single" w:sz="6" w:space="0" w:color="000000"/>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重分类自其他应收款</w:t>
            </w:r>
          </w:p>
        </w:tc>
        <w:tc>
          <w:tcPr>
            <w:tcW w:w="3640"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(896,482,127)</w:t>
            </w:r>
            <w:r>
              <w:rPr>
                <w:rFonts w:ascii="宋体"/>
                <w:sz w:val="16"/>
              </w:rPr>
            </w:r>
          </w:p>
        </w:tc>
      </w:tr>
      <w:tr>
        <w:trPr>
          <w:trHeight w:val="407" w:hRule="exact"/>
        </w:trPr>
        <w:tc>
          <w:tcPr>
            <w:tcW w:w="603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调整后的年初余额</w:t>
            </w:r>
          </w:p>
        </w:tc>
        <w:tc>
          <w:tcPr>
            <w:tcW w:w="3640"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(936,118,531)</w:t>
            </w:r>
            <w:r>
              <w:rPr>
                <w:rFonts w:ascii="宋体"/>
                <w:sz w:val="16"/>
              </w:rPr>
            </w:r>
          </w:p>
        </w:tc>
      </w:tr>
      <w:tr>
        <w:trPr>
          <w:trHeight w:val="350" w:hRule="exact"/>
        </w:trPr>
        <w:tc>
          <w:tcPr>
            <w:tcW w:w="6033"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本年计提和转回</w:t>
            </w:r>
          </w:p>
        </w:tc>
        <w:tc>
          <w:tcPr>
            <w:tcW w:w="3640"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(230,553,517)</w:t>
            </w:r>
            <w:r>
              <w:rPr>
                <w:rFonts w:ascii="宋体"/>
                <w:sz w:val="16"/>
              </w:rPr>
            </w:r>
          </w:p>
        </w:tc>
      </w:tr>
      <w:tr>
        <w:trPr>
          <w:trHeight w:val="331" w:hRule="exact"/>
        </w:trPr>
        <w:tc>
          <w:tcPr>
            <w:tcW w:w="6033" w:type="dxa"/>
            <w:tcBorders>
              <w:top w:val="nil" w:sz="6" w:space="0" w:color="auto"/>
              <w:left w:val="nil" w:sz="6" w:space="0" w:color="auto"/>
              <w:bottom w:val="single" w:sz="6" w:space="0" w:color="000000"/>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本年核销</w:t>
            </w:r>
          </w:p>
        </w:tc>
        <w:tc>
          <w:tcPr>
            <w:tcW w:w="3640"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31,023,664</w:t>
            </w:r>
            <w:r>
              <w:rPr>
                <w:rFonts w:ascii="宋体"/>
                <w:sz w:val="16"/>
              </w:rPr>
            </w:r>
          </w:p>
        </w:tc>
      </w:tr>
      <w:tr>
        <w:trPr>
          <w:trHeight w:val="414" w:hRule="exact"/>
        </w:trPr>
        <w:tc>
          <w:tcPr>
            <w:tcW w:w="603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年末余额</w:t>
            </w:r>
          </w:p>
        </w:tc>
        <w:tc>
          <w:tcPr>
            <w:tcW w:w="364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(1,135,648,384)</w:t>
            </w:r>
            <w:r>
              <w:rPr>
                <w:rFonts w:ascii="宋体"/>
                <w:sz w:val="16"/>
              </w:rPr>
            </w:r>
          </w:p>
        </w:tc>
      </w:tr>
    </w:tbl>
    <w:p>
      <w:pPr>
        <w:spacing w:line="240" w:lineRule="auto" w:before="7"/>
        <w:rPr>
          <w:rFonts w:ascii="宋体" w:hAnsi="宋体" w:cs="宋体" w:eastAsia="宋体" w:hint="default"/>
          <w:sz w:val="13"/>
          <w:szCs w:val="13"/>
        </w:rPr>
      </w:pPr>
    </w:p>
    <w:p>
      <w:pPr>
        <w:pStyle w:val="BodyText"/>
        <w:spacing w:line="304" w:lineRule="auto" w:before="31"/>
        <w:ind w:left="494" w:right="0" w:hanging="341"/>
        <w:jc w:val="left"/>
      </w:pPr>
      <w:r>
        <w:rPr/>
        <w:t>(c)</w:t>
      </w:r>
      <w:r>
        <w:rPr>
          <w:spacing w:val="76"/>
        </w:rPr>
        <w:t> </w:t>
      </w:r>
      <w:r>
        <w:rPr/>
        <w:t>存货跌价准备的计提主要是因为存货陈旧过时或销售价格下降。本年转销是由于部分在以前年度已计提跌价准备的存</w:t>
      </w:r>
      <w:r>
        <w:rPr>
          <w:spacing w:val="-88"/>
        </w:rPr>
        <w:t> </w:t>
      </w:r>
      <w:r>
        <w:rPr>
          <w:spacing w:val="-88"/>
        </w:rPr>
      </w:r>
      <w:r>
        <w:rPr/>
        <w:t>货于本年因出售而转出相应已计提的跌价准备。</w:t>
      </w:r>
    </w:p>
    <w:p>
      <w:pPr>
        <w:spacing w:line="240" w:lineRule="auto" w:before="3"/>
        <w:rPr>
          <w:rFonts w:ascii="宋体" w:hAnsi="宋体" w:cs="宋体" w:eastAsia="宋体" w:hint="default"/>
          <w:sz w:val="14"/>
          <w:szCs w:val="14"/>
        </w:rPr>
      </w:pPr>
    </w:p>
    <w:p>
      <w:pPr>
        <w:pStyle w:val="BodyText"/>
        <w:spacing w:line="240" w:lineRule="auto"/>
        <w:ind w:left="154" w:right="0"/>
        <w:jc w:val="left"/>
      </w:pPr>
      <w:r>
        <w:rPr/>
        <w:t>8、</w:t>
      </w:r>
      <w:r>
        <w:rPr>
          <w:spacing w:val="-21"/>
        </w:rPr>
        <w:t> </w:t>
      </w:r>
      <w:r>
        <w:rPr/>
        <w:t>其他流动资产</w:t>
      </w:r>
    </w:p>
    <w:p>
      <w:pPr>
        <w:spacing w:line="240" w:lineRule="auto" w:before="4"/>
        <w:rPr>
          <w:rFonts w:ascii="宋体" w:hAnsi="宋体" w:cs="宋体" w:eastAsia="宋体" w:hint="default"/>
          <w:sz w:val="17"/>
          <w:szCs w:val="17"/>
        </w:rPr>
      </w:pPr>
    </w:p>
    <w:tbl>
      <w:tblPr>
        <w:tblW w:w="0" w:type="auto"/>
        <w:jc w:val="left"/>
        <w:tblInd w:w="474" w:type="dxa"/>
        <w:tblLayout w:type="fixed"/>
        <w:tblCellMar>
          <w:top w:w="0" w:type="dxa"/>
          <w:left w:w="0" w:type="dxa"/>
          <w:bottom w:w="0" w:type="dxa"/>
          <w:right w:w="0" w:type="dxa"/>
        </w:tblCellMar>
        <w:tblLook w:val="01E0"/>
      </w:tblPr>
      <w:tblGrid>
        <w:gridCol w:w="2241"/>
        <w:gridCol w:w="2401"/>
        <w:gridCol w:w="2321"/>
        <w:gridCol w:w="2321"/>
      </w:tblGrid>
      <w:tr>
        <w:trPr>
          <w:trHeight w:val="343" w:hRule="exact"/>
        </w:trPr>
        <w:tc>
          <w:tcPr>
            <w:tcW w:w="4642"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7"/>
              <w:ind w:right="1078"/>
              <w:jc w:val="right"/>
              <w:rPr>
                <w:rFonts w:ascii="宋体" w:hAnsi="宋体" w:cs="宋体" w:eastAsia="宋体" w:hint="default"/>
                <w:sz w:val="16"/>
                <w:szCs w:val="16"/>
              </w:rPr>
            </w:pPr>
            <w:r>
              <w:rPr>
                <w:rFonts w:ascii="宋体" w:hAnsi="宋体" w:cs="宋体" w:eastAsia="宋体" w:hint="default"/>
                <w:sz w:val="16"/>
                <w:szCs w:val="16"/>
              </w:rPr>
              <w:t>注</w:t>
            </w:r>
          </w:p>
        </w:tc>
        <w:tc>
          <w:tcPr>
            <w:tcW w:w="2321"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1" w:type="dxa"/>
            <w:tcBorders>
              <w:top w:val="nil" w:sz="6" w:space="0" w:color="auto"/>
              <w:left w:val="nil" w:sz="6" w:space="0" w:color="auto"/>
              <w:bottom w:val="single" w:sz="6" w:space="0" w:color="000000"/>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50" w:hRule="exact"/>
        </w:trPr>
        <w:tc>
          <w:tcPr>
            <w:tcW w:w="2241"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待抵扣增值税</w:t>
            </w:r>
          </w:p>
        </w:tc>
        <w:tc>
          <w:tcPr>
            <w:tcW w:w="2401"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79" w:right="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(21)</w:t>
            </w:r>
            <w:r>
              <w:rPr>
                <w:rFonts w:ascii="宋体" w:hAnsi="宋体" w:cs="宋体" w:eastAsia="宋体" w:hint="default"/>
                <w:sz w:val="16"/>
                <w:szCs w:val="16"/>
              </w:rPr>
            </w:r>
          </w:p>
        </w:tc>
        <w:tc>
          <w:tcPr>
            <w:tcW w:w="2321" w:type="dxa"/>
            <w:tcBorders>
              <w:top w:val="single" w:sz="6" w:space="0" w:color="000000"/>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4,216,555,651</w:t>
            </w:r>
            <w:r>
              <w:rPr>
                <w:rFonts w:ascii="宋体"/>
                <w:sz w:val="16"/>
              </w:rPr>
            </w:r>
          </w:p>
        </w:tc>
        <w:tc>
          <w:tcPr>
            <w:tcW w:w="2321"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4,432,330,911</w:t>
            </w:r>
            <w:r>
              <w:rPr>
                <w:rFonts w:ascii="宋体"/>
                <w:sz w:val="16"/>
              </w:rPr>
            </w:r>
          </w:p>
        </w:tc>
      </w:tr>
      <w:tr>
        <w:trPr>
          <w:trHeight w:val="273"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预缴增值税</w:t>
            </w:r>
          </w:p>
        </w:tc>
        <w:tc>
          <w:tcPr>
            <w:tcW w:w="2401" w:type="dxa"/>
            <w:tcBorders>
              <w:top w:val="nil" w:sz="6" w:space="0" w:color="auto"/>
              <w:left w:val="nil" w:sz="6" w:space="0" w:color="auto"/>
              <w:bottom w:val="nil" w:sz="6" w:space="0" w:color="auto"/>
              <w:right w:val="nil" w:sz="6" w:space="0" w:color="auto"/>
            </w:tcBorders>
          </w:tcPr>
          <w:p>
            <w:pPr>
              <w:pStyle w:val="TableParagraph"/>
              <w:spacing w:line="205" w:lineRule="exact"/>
              <w:ind w:left="79" w:right="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(21)</w:t>
            </w:r>
            <w:r>
              <w:rPr>
                <w:rFonts w:ascii="宋体" w:hAnsi="宋体" w:cs="宋体" w:eastAsia="宋体" w:hint="default"/>
                <w:sz w:val="16"/>
                <w:szCs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362,637,113</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515,767,652</w:t>
            </w:r>
          </w:p>
        </w:tc>
      </w:tr>
      <w:tr>
        <w:trPr>
          <w:trHeight w:val="273"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预缴企业所得税</w:t>
            </w:r>
          </w:p>
        </w:tc>
        <w:tc>
          <w:tcPr>
            <w:tcW w:w="2401" w:type="dxa"/>
            <w:tcBorders>
              <w:top w:val="nil" w:sz="6" w:space="0" w:color="auto"/>
              <w:left w:val="nil" w:sz="6" w:space="0" w:color="auto"/>
              <w:bottom w:val="nil" w:sz="6" w:space="0" w:color="auto"/>
              <w:right w:val="nil" w:sz="6" w:space="0" w:color="auto"/>
            </w:tcBorders>
          </w:tcPr>
          <w:p>
            <w:pPr>
              <w:pStyle w:val="TableParagraph"/>
              <w:spacing w:line="205" w:lineRule="exact"/>
              <w:ind w:left="79" w:right="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(21)</w:t>
            </w:r>
            <w:r>
              <w:rPr>
                <w:rFonts w:ascii="宋体" w:hAnsi="宋体" w:cs="宋体" w:eastAsia="宋体" w:hint="default"/>
                <w:sz w:val="16"/>
                <w:szCs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311,558,824</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437,924,081</w:t>
            </w:r>
          </w:p>
        </w:tc>
      </w:tr>
      <w:tr>
        <w:trPr>
          <w:trHeight w:val="273"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财务公司发放贷款</w:t>
            </w:r>
          </w:p>
        </w:tc>
        <w:tc>
          <w:tcPr>
            <w:tcW w:w="2401" w:type="dxa"/>
            <w:tcBorders>
              <w:top w:val="nil" w:sz="6" w:space="0" w:color="auto"/>
              <w:left w:val="nil" w:sz="6" w:space="0" w:color="auto"/>
              <w:bottom w:val="nil" w:sz="6" w:space="0" w:color="auto"/>
              <w:right w:val="nil" w:sz="6" w:space="0" w:color="auto"/>
            </w:tcBorders>
          </w:tcPr>
          <w:p>
            <w:pPr>
              <w:pStyle w:val="TableParagraph"/>
              <w:spacing w:line="205" w:lineRule="exact"/>
              <w:ind w:left="80" w:right="0"/>
              <w:jc w:val="center"/>
              <w:rPr>
                <w:rFonts w:ascii="宋体" w:hAnsi="宋体" w:cs="宋体" w:eastAsia="宋体" w:hint="default"/>
                <w:sz w:val="16"/>
                <w:szCs w:val="16"/>
              </w:rPr>
            </w:pPr>
            <w:r>
              <w:rPr>
                <w:rFonts w:ascii="宋体" w:hAnsi="宋体" w:cs="宋体" w:eastAsia="宋体" w:hint="default"/>
                <w:w w:val="95"/>
                <w:sz w:val="16"/>
                <w:szCs w:val="16"/>
              </w:rPr>
              <w:t>附注十</w:t>
            </w:r>
            <w:r>
              <w:rPr>
                <w:rFonts w:ascii="宋体" w:hAnsi="宋体" w:cs="宋体" w:eastAsia="宋体" w:hint="default"/>
                <w:spacing w:val="-63"/>
                <w:w w:val="95"/>
                <w:sz w:val="16"/>
                <w:szCs w:val="16"/>
              </w:rPr>
              <w:t> </w:t>
            </w:r>
            <w:r>
              <w:rPr>
                <w:rFonts w:ascii="宋体" w:hAnsi="宋体" w:cs="宋体" w:eastAsia="宋体" w:hint="default"/>
                <w:w w:val="95"/>
                <w:sz w:val="16"/>
                <w:szCs w:val="16"/>
              </w:rPr>
              <w:t>(6)</w:t>
            </w:r>
            <w:r>
              <w:rPr>
                <w:rFonts w:ascii="宋体" w:hAnsi="宋体" w:cs="宋体" w:eastAsia="宋体" w:hint="default"/>
                <w:sz w:val="16"/>
                <w:szCs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7,404,000,000</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200,000,000</w:t>
            </w:r>
          </w:p>
        </w:tc>
      </w:tr>
      <w:tr>
        <w:trPr>
          <w:trHeight w:val="273" w:hRule="exact"/>
        </w:trPr>
        <w:tc>
          <w:tcPr>
            <w:tcW w:w="224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401"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13,251,996</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97,000,000</w:t>
            </w:r>
            <w:r>
              <w:rPr>
                <w:rFonts w:ascii="宋体"/>
                <w:sz w:val="16"/>
              </w:rPr>
            </w:r>
          </w:p>
        </w:tc>
      </w:tr>
      <w:tr>
        <w:trPr>
          <w:trHeight w:val="330" w:hRule="exact"/>
        </w:trPr>
        <w:tc>
          <w:tcPr>
            <w:tcW w:w="2241"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401" w:type="dxa"/>
            <w:tcBorders>
              <w:top w:val="nil" w:sz="6" w:space="0" w:color="auto"/>
              <w:left w:val="nil" w:sz="6" w:space="0" w:color="auto"/>
              <w:bottom w:val="single" w:sz="6" w:space="0" w:color="000000"/>
              <w:right w:val="nil" w:sz="6" w:space="0" w:color="auto"/>
            </w:tcBorders>
          </w:tcPr>
          <w:p>
            <w:pPr/>
          </w:p>
        </w:tc>
        <w:tc>
          <w:tcPr>
            <w:tcW w:w="2321"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12,308,003,584</w:t>
            </w:r>
            <w:r>
              <w:rPr>
                <w:rFonts w:ascii="宋体"/>
                <w:sz w:val="16"/>
              </w:rPr>
            </w:r>
          </w:p>
        </w:tc>
        <w:tc>
          <w:tcPr>
            <w:tcW w:w="2321"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5,683,022,644</w:t>
            </w:r>
            <w:r>
              <w:rPr>
                <w:rFonts w:ascii="宋体"/>
                <w:sz w:val="16"/>
              </w:rPr>
            </w:r>
          </w:p>
        </w:tc>
      </w:tr>
      <w:tr>
        <w:trPr>
          <w:trHeight w:val="407" w:hRule="exact"/>
        </w:trPr>
        <w:tc>
          <w:tcPr>
            <w:tcW w:w="4642" w:type="dxa"/>
            <w:gridSpan w:val="2"/>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减：减值准备</w:t>
            </w:r>
          </w:p>
        </w:tc>
        <w:tc>
          <w:tcPr>
            <w:tcW w:w="2321"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(37,020,000)</w:t>
            </w:r>
            <w:r>
              <w:rPr>
                <w:rFonts w:ascii="宋体"/>
                <w:sz w:val="16"/>
              </w:rPr>
            </w:r>
          </w:p>
        </w:tc>
        <w:tc>
          <w:tcPr>
            <w:tcW w:w="2321"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(5,000,000)</w:t>
            </w:r>
            <w:r>
              <w:rPr>
                <w:rFonts w:ascii="宋体"/>
                <w:sz w:val="16"/>
              </w:rPr>
            </w:r>
          </w:p>
        </w:tc>
      </w:tr>
      <w:tr>
        <w:trPr>
          <w:trHeight w:val="414" w:hRule="exact"/>
        </w:trPr>
        <w:tc>
          <w:tcPr>
            <w:tcW w:w="4642"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12,270,983,584</w:t>
            </w:r>
            <w:r>
              <w:rPr>
                <w:rFonts w:ascii="宋体"/>
                <w:sz w:val="16"/>
              </w:rPr>
            </w:r>
          </w:p>
        </w:tc>
        <w:tc>
          <w:tcPr>
            <w:tcW w:w="232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5,678,022,644</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54" w:right="0"/>
        <w:jc w:val="left"/>
      </w:pPr>
      <w:r>
        <w:rPr/>
        <w:t>9、</w:t>
      </w:r>
      <w:r>
        <w:rPr>
          <w:spacing w:val="-21"/>
        </w:rPr>
        <w:t> </w:t>
      </w:r>
      <w:r>
        <w:rPr/>
        <w:t>长期股权投资</w:t>
      </w:r>
    </w:p>
    <w:p>
      <w:pPr>
        <w:spacing w:line="240" w:lineRule="auto" w:before="4"/>
        <w:rPr>
          <w:rFonts w:ascii="宋体" w:hAnsi="宋体" w:cs="宋体" w:eastAsia="宋体" w:hint="default"/>
          <w:sz w:val="17"/>
          <w:szCs w:val="17"/>
        </w:rPr>
      </w:pPr>
    </w:p>
    <w:tbl>
      <w:tblPr>
        <w:tblW w:w="0" w:type="auto"/>
        <w:jc w:val="left"/>
        <w:tblInd w:w="474" w:type="dxa"/>
        <w:tblLayout w:type="fixed"/>
        <w:tblCellMar>
          <w:top w:w="0" w:type="dxa"/>
          <w:left w:w="0" w:type="dxa"/>
          <w:bottom w:w="0" w:type="dxa"/>
          <w:right w:w="0" w:type="dxa"/>
        </w:tblCellMar>
        <w:tblLook w:val="01E0"/>
      </w:tblPr>
      <w:tblGrid>
        <w:gridCol w:w="4642"/>
        <w:gridCol w:w="2321"/>
        <w:gridCol w:w="2321"/>
      </w:tblGrid>
      <w:tr>
        <w:trPr>
          <w:trHeight w:val="350" w:hRule="exact"/>
        </w:trPr>
        <w:tc>
          <w:tcPr>
            <w:tcW w:w="4642" w:type="dxa"/>
            <w:tcBorders>
              <w:top w:val="nil" w:sz="6" w:space="0" w:color="auto"/>
              <w:left w:val="nil" w:sz="6" w:space="0" w:color="auto"/>
              <w:bottom w:val="single" w:sz="16" w:space="0" w:color="9F8958"/>
              <w:right w:val="nil" w:sz="6" w:space="0" w:color="auto"/>
            </w:tcBorders>
          </w:tcPr>
          <w:p>
            <w:pP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left="817"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1"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817"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64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合营企业</w:t>
            </w:r>
          </w:p>
        </w:tc>
        <w:tc>
          <w:tcPr>
            <w:tcW w:w="232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left="1186" w:right="0"/>
              <w:jc w:val="left"/>
              <w:rPr>
                <w:rFonts w:ascii="宋体" w:hAnsi="宋体" w:cs="宋体" w:eastAsia="宋体" w:hint="default"/>
                <w:sz w:val="16"/>
                <w:szCs w:val="16"/>
              </w:rPr>
            </w:pPr>
            <w:r>
              <w:rPr>
                <w:rFonts w:ascii="宋体"/>
                <w:sz w:val="16"/>
              </w:rPr>
              <w:t>3,966,383,394</w:t>
            </w:r>
          </w:p>
        </w:tc>
        <w:tc>
          <w:tcPr>
            <w:tcW w:w="232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86" w:right="0"/>
              <w:jc w:val="left"/>
              <w:rPr>
                <w:rFonts w:ascii="宋体" w:hAnsi="宋体" w:cs="宋体" w:eastAsia="宋体" w:hint="default"/>
                <w:sz w:val="16"/>
                <w:szCs w:val="16"/>
              </w:rPr>
            </w:pPr>
            <w:r>
              <w:rPr>
                <w:rFonts w:ascii="宋体"/>
                <w:sz w:val="16"/>
              </w:rPr>
              <w:t>2,368,459,761</w:t>
            </w:r>
          </w:p>
        </w:tc>
      </w:tr>
      <w:tr>
        <w:trPr>
          <w:trHeight w:val="273" w:hRule="exact"/>
        </w:trPr>
        <w:tc>
          <w:tcPr>
            <w:tcW w:w="464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联营企业</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left="1098" w:right="0"/>
              <w:jc w:val="left"/>
              <w:rPr>
                <w:rFonts w:ascii="宋体" w:hAnsi="宋体" w:cs="宋体" w:eastAsia="宋体" w:hint="default"/>
                <w:sz w:val="16"/>
                <w:szCs w:val="16"/>
              </w:rPr>
            </w:pPr>
            <w:r>
              <w:rPr>
                <w:rFonts w:ascii="宋体"/>
                <w:sz w:val="16"/>
              </w:rPr>
              <w:t>35,763,449,921</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left="1098" w:right="0"/>
              <w:jc w:val="left"/>
              <w:rPr>
                <w:rFonts w:ascii="宋体" w:hAnsi="宋体" w:cs="宋体" w:eastAsia="宋体" w:hint="default"/>
                <w:sz w:val="16"/>
                <w:szCs w:val="16"/>
              </w:rPr>
            </w:pPr>
            <w:r>
              <w:rPr>
                <w:rFonts w:ascii="宋体"/>
                <w:sz w:val="16"/>
              </w:rPr>
              <w:t>33,233,251,505</w:t>
            </w:r>
          </w:p>
        </w:tc>
      </w:tr>
      <w:tr>
        <w:trPr>
          <w:trHeight w:val="331" w:hRule="exact"/>
        </w:trPr>
        <w:tc>
          <w:tcPr>
            <w:tcW w:w="4642"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321"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left="1097" w:right="0"/>
              <w:jc w:val="left"/>
              <w:rPr>
                <w:rFonts w:ascii="宋体" w:hAnsi="宋体" w:cs="宋体" w:eastAsia="宋体" w:hint="default"/>
                <w:sz w:val="16"/>
                <w:szCs w:val="16"/>
              </w:rPr>
            </w:pPr>
            <w:r>
              <w:rPr>
                <w:rFonts w:ascii="宋体"/>
                <w:sz w:val="16"/>
              </w:rPr>
              <w:t>39,729,833,315</w:t>
            </w:r>
          </w:p>
        </w:tc>
        <w:tc>
          <w:tcPr>
            <w:tcW w:w="2321" w:type="dxa"/>
            <w:tcBorders>
              <w:top w:val="nil" w:sz="6" w:space="0" w:color="auto"/>
              <w:left w:val="nil" w:sz="6" w:space="0" w:color="auto"/>
              <w:bottom w:val="single" w:sz="6" w:space="0" w:color="000000"/>
              <w:right w:val="nil" w:sz="6" w:space="0" w:color="auto"/>
            </w:tcBorders>
          </w:tcPr>
          <w:p>
            <w:pPr>
              <w:pStyle w:val="TableParagraph"/>
              <w:spacing w:line="205" w:lineRule="exact"/>
              <w:ind w:left="1097" w:right="0"/>
              <w:jc w:val="left"/>
              <w:rPr>
                <w:rFonts w:ascii="宋体" w:hAnsi="宋体" w:cs="宋体" w:eastAsia="宋体" w:hint="default"/>
                <w:sz w:val="16"/>
                <w:szCs w:val="16"/>
              </w:rPr>
            </w:pPr>
            <w:r>
              <w:rPr>
                <w:rFonts w:ascii="宋体"/>
                <w:sz w:val="16"/>
              </w:rPr>
              <w:t>35,601,711,266</w:t>
            </w:r>
          </w:p>
        </w:tc>
      </w:tr>
      <w:tr>
        <w:trPr>
          <w:trHeight w:val="407" w:hRule="exact"/>
        </w:trPr>
        <w:tc>
          <w:tcPr>
            <w:tcW w:w="464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减：减值准备</w:t>
            </w:r>
          </w:p>
        </w:tc>
        <w:tc>
          <w:tcPr>
            <w:tcW w:w="2321"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left="1408" w:right="0"/>
              <w:jc w:val="left"/>
              <w:rPr>
                <w:rFonts w:ascii="宋体" w:hAnsi="宋体" w:cs="宋体" w:eastAsia="宋体" w:hint="default"/>
                <w:sz w:val="16"/>
                <w:szCs w:val="16"/>
              </w:rPr>
            </w:pPr>
            <w:r>
              <w:rPr>
                <w:rFonts w:ascii="宋体"/>
                <w:w w:val="95"/>
                <w:sz w:val="16"/>
              </w:rPr>
              <w:t>(5,958,090)</w:t>
            </w:r>
            <w:r>
              <w:rPr>
                <w:rFonts w:ascii="宋体"/>
                <w:sz w:val="16"/>
              </w:rPr>
            </w:r>
          </w:p>
        </w:tc>
        <w:tc>
          <w:tcPr>
            <w:tcW w:w="2321"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14" w:hRule="exact"/>
        </w:trPr>
        <w:tc>
          <w:tcPr>
            <w:tcW w:w="46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left="1211" w:right="-1"/>
              <w:jc w:val="left"/>
              <w:rPr>
                <w:rFonts w:ascii="宋体" w:hAnsi="宋体" w:cs="宋体" w:eastAsia="宋体" w:hint="default"/>
                <w:sz w:val="16"/>
                <w:szCs w:val="16"/>
              </w:rPr>
            </w:pPr>
            <w:r>
              <w:rPr>
                <w:rFonts w:ascii="宋体"/>
                <w:w w:val="95"/>
                <w:sz w:val="16"/>
              </w:rPr>
              <w:t>39,723,875,225</w:t>
            </w:r>
            <w:r>
              <w:rPr>
                <w:rFonts w:ascii="宋体"/>
                <w:sz w:val="16"/>
              </w:rPr>
            </w:r>
          </w:p>
        </w:tc>
        <w:tc>
          <w:tcPr>
            <w:tcW w:w="232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211" w:right="-1"/>
              <w:jc w:val="left"/>
              <w:rPr>
                <w:rFonts w:ascii="宋体" w:hAnsi="宋体" w:cs="宋体" w:eastAsia="宋体" w:hint="default"/>
                <w:sz w:val="16"/>
                <w:szCs w:val="16"/>
              </w:rPr>
            </w:pPr>
            <w:r>
              <w:rPr>
                <w:rFonts w:ascii="宋体"/>
                <w:w w:val="95"/>
                <w:sz w:val="16"/>
              </w:rPr>
              <w:t>35,601,711,266</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494" w:right="0"/>
        <w:jc w:val="left"/>
      </w:pPr>
      <w:r>
        <w:rPr/>
        <w:t>本集团长期股权投资不存在变现的重大限制。</w:t>
      </w:r>
    </w:p>
    <w:p>
      <w:pPr>
        <w:spacing w:after="0" w:line="240" w:lineRule="auto"/>
        <w:jc w:val="left"/>
        <w:sectPr>
          <w:pgSz w:w="11910" w:h="16160"/>
          <w:pgMar w:header="2776" w:footer="298" w:top="2960" w:bottom="480" w:left="132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453" w:right="6172" w:hanging="341"/>
        <w:jc w:val="left"/>
      </w:pPr>
      <w:r>
        <w:rPr/>
        <w:t>9、长期股权投资（续）</w:t>
      </w:r>
      <w:r>
        <w:rPr>
          <w:spacing w:val="-81"/>
        </w:rPr>
        <w:t> </w:t>
      </w:r>
      <w:r>
        <w:rPr/>
        <w:t>合营及联营企业本年变动情况分析如下：</w:t>
      </w:r>
    </w:p>
    <w:p>
      <w:pPr>
        <w:spacing w:before="66"/>
        <w:ind w:left="2786" w:right="125" w:firstLine="0"/>
        <w:jc w:val="left"/>
        <w:rPr>
          <w:rFonts w:ascii="宋体" w:hAnsi="宋体" w:cs="宋体" w:eastAsia="宋体" w:hint="default"/>
          <w:sz w:val="12"/>
          <w:szCs w:val="12"/>
        </w:rPr>
      </w:pPr>
      <w:r>
        <w:rPr>
          <w:rFonts w:ascii="宋体" w:hAnsi="宋体" w:cs="宋体" w:eastAsia="宋体" w:hint="default"/>
          <w:sz w:val="12"/>
          <w:szCs w:val="12"/>
        </w:rPr>
        <w:t>本年增减变动</w:t>
      </w:r>
    </w:p>
    <w:p>
      <w:pPr>
        <w:spacing w:line="240" w:lineRule="auto" w:before="1"/>
        <w:rPr>
          <w:rFonts w:ascii="宋体" w:hAnsi="宋体" w:cs="宋体" w:eastAsia="宋体" w:hint="default"/>
          <w:sz w:val="9"/>
          <w:szCs w:val="9"/>
        </w:rPr>
      </w:pPr>
    </w:p>
    <w:p>
      <w:pPr>
        <w:spacing w:line="20" w:lineRule="exact"/>
        <w:ind w:left="2510" w:right="0" w:firstLine="0"/>
        <w:rPr>
          <w:rFonts w:ascii="宋体" w:hAnsi="宋体" w:cs="宋体" w:eastAsia="宋体" w:hint="default"/>
          <w:sz w:val="2"/>
          <w:szCs w:val="2"/>
        </w:rPr>
      </w:pPr>
      <w:r>
        <w:rPr>
          <w:rFonts w:ascii="宋体" w:hAnsi="宋体" w:cs="宋体" w:eastAsia="宋体" w:hint="default"/>
          <w:sz w:val="2"/>
          <w:szCs w:val="2"/>
        </w:rPr>
        <w:pict>
          <v:group style="width:63.7pt;height:.75pt;mso-position-horizontal-relative:char;mso-position-vertical-relative:line" coordorigin="0,0" coordsize="1274,15">
            <v:group style="position:absolute;left:8;top:8;width:1259;height:2" coordorigin="8,8" coordsize="1259,2">
              <v:shape style="position:absolute;left:8;top:8;width:1259;height:2" coordorigin="8,8" coordsize="1259,0" path="m8,8l1266,8e" filled="false" stroked="true" strokeweight=".7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footerReference w:type="even" r:id="rId308"/>
          <w:footerReference w:type="default" r:id="rId309"/>
          <w:pgSz w:w="11910" w:h="16160"/>
          <w:pgMar w:footer="320" w:header="1200" w:top="2120" w:bottom="520" w:left="680" w:right="1340"/>
          <w:pgNumType w:start="142"/>
        </w:sectPr>
      </w:pPr>
    </w:p>
    <w:p>
      <w:pPr>
        <w:spacing w:line="240" w:lineRule="auto" w:before="0"/>
        <w:rPr>
          <w:rFonts w:ascii="宋体" w:hAnsi="宋体" w:cs="宋体" w:eastAsia="宋体" w:hint="default"/>
          <w:sz w:val="12"/>
          <w:szCs w:val="12"/>
        </w:rPr>
      </w:pPr>
    </w:p>
    <w:p>
      <w:pPr>
        <w:spacing w:line="240" w:lineRule="auto" w:before="10"/>
        <w:rPr>
          <w:rFonts w:ascii="宋体" w:hAnsi="宋体" w:cs="宋体" w:eastAsia="宋体" w:hint="default"/>
          <w:sz w:val="8"/>
          <w:szCs w:val="8"/>
        </w:rPr>
      </w:pPr>
    </w:p>
    <w:p>
      <w:pPr>
        <w:tabs>
          <w:tab w:pos="1980" w:val="left" w:leader="none"/>
          <w:tab w:pos="2865" w:val="left" w:leader="none"/>
        </w:tabs>
        <w:spacing w:before="0"/>
        <w:ind w:left="885" w:right="-20" w:firstLine="0"/>
        <w:jc w:val="left"/>
        <w:rPr>
          <w:rFonts w:ascii="宋体" w:hAnsi="宋体" w:cs="宋体" w:eastAsia="宋体" w:hint="default"/>
          <w:sz w:val="12"/>
          <w:szCs w:val="12"/>
        </w:rPr>
      </w:pPr>
      <w:r>
        <w:rPr>
          <w:rFonts w:ascii="宋体" w:hAnsi="宋体" w:cs="宋体" w:eastAsia="宋体" w:hint="default"/>
          <w:sz w:val="12"/>
          <w:szCs w:val="12"/>
        </w:rPr>
        <w:t>被投资单位</w:t>
        <w:tab/>
        <w:t>年初余额</w:t>
        <w:tab/>
        <w:t>增加投资</w:t>
      </w:r>
    </w:p>
    <w:p>
      <w:pPr>
        <w:spacing w:line="304" w:lineRule="auto" w:before="71"/>
        <w:ind w:left="94" w:right="-16" w:firstLine="0"/>
        <w:jc w:val="left"/>
        <w:rPr>
          <w:rFonts w:ascii="宋体" w:hAnsi="宋体" w:cs="宋体" w:eastAsia="宋体" w:hint="default"/>
          <w:sz w:val="12"/>
          <w:szCs w:val="12"/>
        </w:rPr>
      </w:pPr>
      <w:r>
        <w:rPr/>
        <w:br w:type="column"/>
      </w:r>
      <w:r>
        <w:rPr>
          <w:rFonts w:ascii="宋体" w:hAnsi="宋体" w:cs="宋体" w:eastAsia="宋体" w:hint="default"/>
          <w:sz w:val="12"/>
          <w:szCs w:val="12"/>
        </w:rPr>
        <w:t>减少</w:t>
      </w:r>
      <w:r>
        <w:rPr>
          <w:rFonts w:ascii="宋体" w:hAnsi="宋体" w:cs="宋体" w:eastAsia="宋体" w:hint="default"/>
          <w:spacing w:val="49"/>
          <w:sz w:val="12"/>
          <w:szCs w:val="12"/>
        </w:rPr>
        <w:t> </w:t>
      </w:r>
      <w:r>
        <w:rPr>
          <w:rFonts w:ascii="宋体" w:hAnsi="宋体" w:cs="宋体" w:eastAsia="宋体" w:hint="default"/>
          <w:sz w:val="12"/>
          <w:szCs w:val="12"/>
        </w:rPr>
        <w:t>权益法下确认的</w:t>
      </w:r>
      <w:r>
        <w:rPr>
          <w:rFonts w:ascii="宋体" w:hAnsi="宋体" w:cs="宋体" w:eastAsia="宋体" w:hint="default"/>
          <w:sz w:val="12"/>
          <w:szCs w:val="12"/>
        </w:rPr>
        <w:t> 投资</w:t>
      </w:r>
      <w:r>
        <w:rPr>
          <w:rFonts w:ascii="宋体" w:hAnsi="宋体" w:cs="宋体" w:eastAsia="宋体" w:hint="default"/>
          <w:spacing w:val="9"/>
          <w:sz w:val="12"/>
          <w:szCs w:val="12"/>
        </w:rPr>
        <w:t> </w:t>
      </w:r>
      <w:r>
        <w:rPr>
          <w:rFonts w:ascii="宋体" w:hAnsi="宋体" w:cs="宋体" w:eastAsia="宋体" w:hint="default"/>
          <w:sz w:val="12"/>
          <w:szCs w:val="12"/>
        </w:rPr>
        <w:t>投资收益</w:t>
      </w:r>
      <w:r>
        <w:rPr>
          <w:rFonts w:ascii="宋体" w:hAnsi="宋体" w:cs="宋体" w:eastAsia="宋体" w:hint="default"/>
          <w:spacing w:val="-48"/>
          <w:sz w:val="12"/>
          <w:szCs w:val="12"/>
        </w:rPr>
        <w:t> </w:t>
      </w:r>
      <w:r>
        <w:rPr>
          <w:rFonts w:ascii="宋体" w:hAnsi="宋体" w:cs="宋体" w:eastAsia="宋体" w:hint="default"/>
          <w:sz w:val="12"/>
          <w:szCs w:val="12"/>
        </w:rPr>
        <w:t>/(</w:t>
      </w:r>
      <w:r>
        <w:rPr>
          <w:rFonts w:ascii="宋体" w:hAnsi="宋体" w:cs="宋体" w:eastAsia="宋体" w:hint="default"/>
          <w:spacing w:val="-48"/>
          <w:sz w:val="12"/>
          <w:szCs w:val="12"/>
        </w:rPr>
        <w:t> </w:t>
      </w:r>
      <w:r>
        <w:rPr>
          <w:rFonts w:ascii="宋体" w:hAnsi="宋体" w:cs="宋体" w:eastAsia="宋体" w:hint="default"/>
          <w:sz w:val="12"/>
          <w:szCs w:val="12"/>
        </w:rPr>
        <w:t>损失</w:t>
      </w:r>
      <w:r>
        <w:rPr>
          <w:rFonts w:ascii="宋体" w:hAnsi="宋体" w:cs="宋体" w:eastAsia="宋体" w:hint="default"/>
          <w:spacing w:val="-48"/>
          <w:sz w:val="12"/>
          <w:szCs w:val="12"/>
        </w:rPr>
        <w:t> </w:t>
      </w:r>
      <w:r>
        <w:rPr>
          <w:rFonts w:ascii="宋体" w:hAnsi="宋体" w:cs="宋体" w:eastAsia="宋体" w:hint="default"/>
          <w:sz w:val="12"/>
          <w:szCs w:val="12"/>
        </w:rPr>
        <w:t>)</w:t>
      </w:r>
    </w:p>
    <w:p>
      <w:pPr>
        <w:spacing w:line="304" w:lineRule="auto" w:before="71"/>
        <w:ind w:left="87" w:right="-20" w:firstLine="0"/>
        <w:jc w:val="left"/>
        <w:rPr>
          <w:rFonts w:ascii="宋体" w:hAnsi="宋体" w:cs="宋体" w:eastAsia="宋体" w:hint="default"/>
          <w:sz w:val="12"/>
          <w:szCs w:val="12"/>
        </w:rPr>
      </w:pPr>
      <w:r>
        <w:rPr/>
        <w:br w:type="column"/>
      </w:r>
      <w:r>
        <w:rPr>
          <w:rFonts w:ascii="宋体" w:hAnsi="宋体" w:cs="宋体" w:eastAsia="宋体" w:hint="default"/>
          <w:sz w:val="12"/>
          <w:szCs w:val="12"/>
        </w:rPr>
        <w:t>其他综 合收益</w:t>
      </w:r>
    </w:p>
    <w:p>
      <w:pPr>
        <w:spacing w:before="71"/>
        <w:ind w:left="0" w:right="0" w:firstLine="0"/>
        <w:jc w:val="right"/>
        <w:rPr>
          <w:rFonts w:ascii="宋体" w:hAnsi="宋体" w:cs="宋体" w:eastAsia="宋体" w:hint="default"/>
          <w:sz w:val="12"/>
          <w:szCs w:val="12"/>
        </w:rPr>
      </w:pPr>
      <w:r>
        <w:rPr/>
        <w:br w:type="column"/>
      </w:r>
      <w:r>
        <w:rPr>
          <w:rFonts w:ascii="宋体" w:hAnsi="宋体" w:cs="宋体" w:eastAsia="宋体" w:hint="default"/>
          <w:sz w:val="12"/>
          <w:szCs w:val="12"/>
        </w:rPr>
        <w:t>其他权益</w:t>
      </w:r>
    </w:p>
    <w:p>
      <w:pPr>
        <w:spacing w:before="43"/>
        <w:ind w:left="0" w:right="0" w:firstLine="0"/>
        <w:jc w:val="right"/>
        <w:rPr>
          <w:rFonts w:ascii="宋体" w:hAnsi="宋体" w:cs="宋体" w:eastAsia="宋体" w:hint="default"/>
          <w:sz w:val="12"/>
          <w:szCs w:val="12"/>
        </w:rPr>
      </w:pPr>
      <w:r>
        <w:rPr>
          <w:rFonts w:ascii="宋体" w:hAnsi="宋体" w:cs="宋体" w:eastAsia="宋体" w:hint="default"/>
          <w:sz w:val="12"/>
          <w:szCs w:val="12"/>
        </w:rPr>
        <w:t>变动</w:t>
      </w:r>
    </w:p>
    <w:p>
      <w:pPr>
        <w:spacing w:line="304" w:lineRule="auto" w:before="71"/>
        <w:ind w:left="199" w:right="-20" w:hanging="120"/>
        <w:jc w:val="left"/>
        <w:rPr>
          <w:rFonts w:ascii="宋体" w:hAnsi="宋体" w:cs="宋体" w:eastAsia="宋体" w:hint="default"/>
          <w:sz w:val="12"/>
          <w:szCs w:val="12"/>
        </w:rPr>
      </w:pPr>
      <w:r>
        <w:rPr/>
        <w:br w:type="column"/>
      </w:r>
      <w:r>
        <w:rPr>
          <w:rFonts w:ascii="宋体" w:hAnsi="宋体" w:cs="宋体" w:eastAsia="宋体" w:hint="default"/>
          <w:sz w:val="12"/>
          <w:szCs w:val="12"/>
        </w:rPr>
        <w:t>宣告发放现金 股利或利润</w:t>
      </w:r>
    </w:p>
    <w:p>
      <w:pPr>
        <w:spacing w:before="71"/>
        <w:ind w:left="217" w:right="-20" w:firstLine="0"/>
        <w:jc w:val="left"/>
        <w:rPr>
          <w:rFonts w:ascii="宋体" w:hAnsi="宋体" w:cs="宋体" w:eastAsia="宋体" w:hint="default"/>
          <w:sz w:val="12"/>
          <w:szCs w:val="12"/>
        </w:rPr>
      </w:pPr>
      <w:r>
        <w:rPr/>
        <w:br w:type="column"/>
      </w:r>
      <w:r>
        <w:rPr>
          <w:rFonts w:ascii="宋体" w:hAnsi="宋体" w:cs="宋体" w:eastAsia="宋体" w:hint="default"/>
          <w:sz w:val="12"/>
          <w:szCs w:val="12"/>
        </w:rPr>
        <w:t>计提减值</w:t>
      </w:r>
    </w:p>
    <w:p>
      <w:pPr>
        <w:tabs>
          <w:tab w:pos="1554" w:val="left" w:leader="none"/>
        </w:tabs>
        <w:spacing w:before="43"/>
        <w:ind w:left="457" w:right="-20" w:firstLine="0"/>
        <w:jc w:val="left"/>
        <w:rPr>
          <w:rFonts w:ascii="宋体" w:hAnsi="宋体" w:cs="宋体" w:eastAsia="宋体" w:hint="default"/>
          <w:sz w:val="12"/>
          <w:szCs w:val="12"/>
        </w:rPr>
      </w:pPr>
      <w:r>
        <w:rPr>
          <w:rFonts w:ascii="宋体" w:hAnsi="宋体" w:cs="宋体" w:eastAsia="宋体" w:hint="default"/>
          <w:sz w:val="12"/>
          <w:szCs w:val="12"/>
        </w:rPr>
        <w:t>准备 </w:t>
      </w:r>
      <w:r>
        <w:rPr>
          <w:rFonts w:ascii="宋体" w:hAnsi="宋体" w:cs="宋体" w:eastAsia="宋体" w:hint="default"/>
          <w:spacing w:val="14"/>
          <w:sz w:val="12"/>
          <w:szCs w:val="12"/>
        </w:rPr>
        <w:t> </w:t>
      </w:r>
      <w:r>
        <w:rPr>
          <w:rFonts w:ascii="宋体" w:hAnsi="宋体" w:cs="宋体" w:eastAsia="宋体" w:hint="default"/>
          <w:sz w:val="12"/>
          <w:szCs w:val="12"/>
        </w:rPr>
        <w:t>其他</w:t>
        <w:tab/>
        <w:t>年末余额</w:t>
      </w:r>
    </w:p>
    <w:p>
      <w:pPr>
        <w:spacing w:before="71"/>
        <w:ind w:left="119" w:right="0" w:firstLine="0"/>
        <w:jc w:val="left"/>
        <w:rPr>
          <w:rFonts w:ascii="宋体" w:hAnsi="宋体" w:cs="宋体" w:eastAsia="宋体" w:hint="default"/>
          <w:sz w:val="12"/>
          <w:szCs w:val="12"/>
        </w:rPr>
      </w:pPr>
      <w:r>
        <w:rPr/>
        <w:br w:type="column"/>
      </w:r>
      <w:r>
        <w:rPr>
          <w:rFonts w:ascii="宋体" w:hAnsi="宋体" w:cs="宋体" w:eastAsia="宋体" w:hint="default"/>
          <w:sz w:val="12"/>
          <w:szCs w:val="12"/>
        </w:rPr>
        <w:t>减值准备年</w:t>
      </w:r>
    </w:p>
    <w:p>
      <w:pPr>
        <w:spacing w:before="43"/>
        <w:ind w:left="359" w:right="0" w:firstLine="0"/>
        <w:jc w:val="left"/>
        <w:rPr>
          <w:rFonts w:ascii="宋体" w:hAnsi="宋体" w:cs="宋体" w:eastAsia="宋体" w:hint="default"/>
          <w:sz w:val="12"/>
          <w:szCs w:val="12"/>
        </w:rPr>
      </w:pPr>
      <w:r>
        <w:rPr>
          <w:rFonts w:ascii="宋体" w:hAnsi="宋体" w:cs="宋体" w:eastAsia="宋体" w:hint="default"/>
          <w:sz w:val="12"/>
          <w:szCs w:val="12"/>
        </w:rPr>
        <w:t>末余额</w:t>
      </w:r>
    </w:p>
    <w:p>
      <w:pPr>
        <w:spacing w:after="0"/>
        <w:jc w:val="left"/>
        <w:rPr>
          <w:rFonts w:ascii="宋体" w:hAnsi="宋体" w:cs="宋体" w:eastAsia="宋体" w:hint="default"/>
          <w:sz w:val="12"/>
          <w:szCs w:val="12"/>
        </w:rPr>
        <w:sectPr>
          <w:type w:val="continuous"/>
          <w:pgSz w:w="11910" w:h="16160"/>
          <w:pgMar w:top="1520" w:bottom="280" w:left="680" w:right="1340"/>
          <w:cols w:num="7" w:equalWidth="0">
            <w:col w:w="3346" w:space="40"/>
            <w:col w:w="1344" w:space="40"/>
            <w:col w:w="448" w:space="40"/>
            <w:col w:w="766" w:space="40"/>
            <w:col w:w="800" w:space="40"/>
            <w:col w:w="2035" w:space="40"/>
            <w:col w:w="911"/>
          </w:cols>
        </w:sectPr>
      </w:pPr>
    </w:p>
    <w:p>
      <w:pPr>
        <w:spacing w:line="240" w:lineRule="auto" w:before="2"/>
        <w:rPr>
          <w:rFonts w:ascii="宋体" w:hAnsi="宋体" w:cs="宋体" w:eastAsia="宋体" w:hint="default"/>
          <w:sz w:val="6"/>
          <w:szCs w:val="6"/>
        </w:rPr>
      </w:pPr>
    </w:p>
    <w:p>
      <w:pPr>
        <w:spacing w:line="40" w:lineRule="exact"/>
        <w:ind w:left="43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089;height:2" coordorigin="20,20" coordsize="1089,2">
              <v:shape style="position:absolute;left:20;top:20;width:1089;height:2" coordorigin="20,20" coordsize="1089,0" path="m20,20l1109,20e" filled="false" stroked="true" strokeweight="2pt" strokecolor="#9f8958">
                <v:path arrowok="t"/>
              </v:shape>
            </v:group>
            <v:group style="position:absolute;left:1109;top:20;width:976;height:2" coordorigin="1109,20" coordsize="976,2">
              <v:shape style="position:absolute;left:1109;top:20;width:976;height:2" coordorigin="1109,20" coordsize="976,0" path="m1109,20l2084,20e" filled="false" stroked="true" strokeweight="2pt" strokecolor="#9f8958">
                <v:path arrowok="t"/>
              </v:shape>
            </v:group>
            <v:group style="position:absolute;left:2084;top:20;width:885;height:2" coordorigin="2084,20" coordsize="885,2">
              <v:shape style="position:absolute;left:2084;top:20;width:885;height:2" coordorigin="2084,20" coordsize="885,0" path="m2084,20l2968,20e" filled="false" stroked="true" strokeweight="2pt" strokecolor="#9f8958">
                <v:path arrowok="t"/>
              </v:shape>
            </v:group>
            <v:group style="position:absolute;left:2968;top:20;width:375;height:2" coordorigin="2968,20" coordsize="375,2">
              <v:shape style="position:absolute;left:2968;top:20;width:375;height:2" coordorigin="2968,20" coordsize="375,0" path="m2968,20l3342,20e" filled="false" stroked="true" strokeweight="2pt" strokecolor="#9f8958">
                <v:path arrowok="t"/>
              </v:shape>
            </v:group>
            <v:group style="position:absolute;left:3342;top:20;width:1010;height:2" coordorigin="3342,20" coordsize="1010,2">
              <v:shape style="position:absolute;left:3342;top:20;width:1010;height:2" coordorigin="3342,20" coordsize="1010,0" path="m3342,20l4351,20e" filled="false" stroked="true" strokeweight="2pt" strokecolor="#9f8958">
                <v:path arrowok="t"/>
              </v:shape>
            </v:group>
            <v:group style="position:absolute;left:4351;top:20;width:488;height:2" coordorigin="4351,20" coordsize="488,2">
              <v:shape style="position:absolute;left:4351;top:20;width:488;height:2" coordorigin="4351,20" coordsize="488,0" path="m4351,20l4839,20e" filled="false" stroked="true" strokeweight="2pt" strokecolor="#9f8958">
                <v:path arrowok="t"/>
              </v:shape>
            </v:group>
            <v:group style="position:absolute;left:4839;top:20;width:806;height:2" coordorigin="4839,20" coordsize="806,2">
              <v:shape style="position:absolute;left:4839;top:20;width:806;height:2" coordorigin="4839,20" coordsize="806,0" path="m4839,20l5644,20e" filled="false" stroked="true" strokeweight="2pt" strokecolor="#9f8958">
                <v:path arrowok="t"/>
              </v:shape>
            </v:group>
            <v:group style="position:absolute;left:5644;top:20;width:840;height:2" coordorigin="5644,20" coordsize="840,2">
              <v:shape style="position:absolute;left:5644;top:20;width:840;height:2" coordorigin="5644,20" coordsize="840,0" path="m5644,20l6483,20e" filled="false" stroked="true" strokeweight="2pt" strokecolor="#9f8958">
                <v:path arrowok="t"/>
              </v:shape>
            </v:group>
            <v:group style="position:absolute;left:6483;top:20;width:737;height:2" coordorigin="6483,20" coordsize="737,2">
              <v:shape style="position:absolute;left:6483;top:20;width:737;height:2" coordorigin="6483,20" coordsize="737,0" path="m6483,20l7220,20e" filled="false" stroked="true" strokeweight="2pt" strokecolor="#9f8958">
                <v:path arrowok="t"/>
              </v:shape>
            </v:group>
            <v:group style="position:absolute;left:7220;top:20;width:375;height:2" coordorigin="7220,20" coordsize="375,2">
              <v:shape style="position:absolute;left:7220;top:20;width:375;height:2" coordorigin="7220,20" coordsize="375,0" path="m7220,20l7594,20e" filled="false" stroked="true" strokeweight="2pt" strokecolor="#9f8958">
                <v:path arrowok="t"/>
              </v:shape>
            </v:group>
            <v:group style="position:absolute;left:7594;top:20;width:964;height:2" coordorigin="7594,20" coordsize="964,2">
              <v:shape style="position:absolute;left:7594;top:20;width:964;height:2" coordorigin="7594,20" coordsize="964,0" path="m7594,20l8558,20e" filled="false" stroked="true" strokeweight="2pt" strokecolor="#9f8958">
                <v:path arrowok="t"/>
              </v:shape>
            </v:group>
            <v:group style="position:absolute;left:8558;top:20;width:760;height:2" coordorigin="8558,20" coordsize="760,2">
              <v:shape style="position:absolute;left:8558;top:20;width:760;height:2" coordorigin="8558,20" coordsize="760,0" path="m8558,20l9318,20e" filled="false" stroked="true" strokeweight="2pt" strokecolor="#9f8958">
                <v:path arrowok="t"/>
              </v:shape>
            </v:group>
          </v:group>
        </w:pict>
      </w:r>
      <w:r>
        <w:rPr>
          <w:rFonts w:ascii="宋体" w:hAnsi="宋体" w:cs="宋体" w:eastAsia="宋体" w:hint="default"/>
          <w:position w:val="0"/>
          <w:sz w:val="4"/>
          <w:szCs w:val="4"/>
        </w:rPr>
      </w:r>
    </w:p>
    <w:tbl>
      <w:tblPr>
        <w:tblW w:w="0" w:type="auto"/>
        <w:jc w:val="left"/>
        <w:tblInd w:w="453" w:type="dxa"/>
        <w:tblLayout w:type="fixed"/>
        <w:tblCellMar>
          <w:top w:w="0" w:type="dxa"/>
          <w:left w:w="0" w:type="dxa"/>
          <w:bottom w:w="0" w:type="dxa"/>
          <w:right w:w="0" w:type="dxa"/>
        </w:tblCellMar>
        <w:tblLook w:val="01E0"/>
      </w:tblPr>
      <w:tblGrid>
        <w:gridCol w:w="2067"/>
        <w:gridCol w:w="927"/>
        <w:gridCol w:w="1486"/>
        <w:gridCol w:w="1175"/>
        <w:gridCol w:w="821"/>
        <w:gridCol w:w="770"/>
        <w:gridCol w:w="1316"/>
        <w:gridCol w:w="735"/>
      </w:tblGrid>
      <w:tr>
        <w:trPr>
          <w:trHeight w:val="43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34" w:lineRule="exact" w:before="7"/>
              <w:ind w:left="56" w:right="1048"/>
              <w:jc w:val="left"/>
              <w:rPr>
                <w:rFonts w:ascii="宋体" w:hAnsi="宋体" w:cs="宋体" w:eastAsia="宋体" w:hint="default"/>
                <w:sz w:val="12"/>
                <w:szCs w:val="12"/>
              </w:rPr>
            </w:pPr>
            <w:r>
              <w:rPr>
                <w:rFonts w:ascii="宋体" w:hAnsi="宋体" w:cs="宋体" w:eastAsia="宋体" w:hint="default"/>
                <w:sz w:val="12"/>
                <w:szCs w:val="12"/>
              </w:rPr>
              <w:t>合营企业 招联消费金融有限</w:t>
            </w:r>
          </w:p>
        </w:tc>
        <w:tc>
          <w:tcPr>
            <w:tcW w:w="7231" w:type="dxa"/>
            <w:gridSpan w:val="7"/>
            <w:tcBorders>
              <w:top w:val="nil" w:sz="6" w:space="0" w:color="auto"/>
              <w:left w:val="nil" w:sz="6" w:space="0" w:color="auto"/>
              <w:bottom w:val="nil" w:sz="6" w:space="0" w:color="auto"/>
              <w:right w:val="nil" w:sz="6" w:space="0" w:color="auto"/>
            </w:tcBorders>
          </w:tcPr>
          <w:p>
            <w:pPr/>
          </w:p>
        </w:tc>
      </w:tr>
      <w:tr>
        <w:trPr>
          <w:trHeight w:val="277"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83" w:lineRule="exact"/>
              <w:ind w:left="1241" w:right="0"/>
              <w:jc w:val="left"/>
              <w:rPr>
                <w:rFonts w:ascii="宋体" w:hAnsi="宋体" w:cs="宋体" w:eastAsia="宋体" w:hint="default"/>
                <w:sz w:val="12"/>
                <w:szCs w:val="12"/>
              </w:rPr>
            </w:pPr>
            <w:r>
              <w:rPr>
                <w:rFonts w:ascii="宋体"/>
                <w:sz w:val="12"/>
              </w:rPr>
              <w:t>2,320,400,705</w:t>
            </w:r>
          </w:p>
          <w:p>
            <w:pPr>
              <w:pStyle w:val="TableParagraph"/>
              <w:spacing w:line="128" w:lineRule="exact"/>
              <w:ind w:left="56"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927" w:type="dxa"/>
            <w:tcBorders>
              <w:top w:val="nil" w:sz="6" w:space="0" w:color="auto"/>
              <w:left w:val="nil" w:sz="6" w:space="0" w:color="auto"/>
              <w:bottom w:val="nil" w:sz="6" w:space="0" w:color="auto"/>
              <w:right w:val="nil" w:sz="6" w:space="0" w:color="auto"/>
            </w:tcBorders>
          </w:tcPr>
          <w:p>
            <w:pPr>
              <w:pStyle w:val="TableParagraph"/>
              <w:spacing w:line="111" w:lineRule="exact"/>
              <w:ind w:right="100"/>
              <w:jc w:val="right"/>
              <w:rPr>
                <w:rFonts w:ascii="宋体" w:hAnsi="宋体" w:cs="宋体" w:eastAsia="宋体" w:hint="default"/>
                <w:sz w:val="12"/>
                <w:szCs w:val="12"/>
              </w:rPr>
            </w:pPr>
            <w:r>
              <w:rPr>
                <w:rFonts w:ascii="宋体"/>
                <w:w w:val="95"/>
                <w:sz w:val="12"/>
              </w:rPr>
              <w:t>1,000,000,000</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tabs>
                <w:tab w:pos="513" w:val="left" w:leader="none"/>
              </w:tabs>
              <w:spacing w:line="111" w:lineRule="exact"/>
              <w:ind w:right="202"/>
              <w:jc w:val="right"/>
              <w:rPr>
                <w:rFonts w:ascii="宋体" w:hAnsi="宋体" w:cs="宋体" w:eastAsia="宋体" w:hint="default"/>
                <w:sz w:val="12"/>
                <w:szCs w:val="12"/>
              </w:rPr>
            </w:pPr>
            <w:r>
              <w:rPr>
                <w:rFonts w:ascii="宋体"/>
                <w:w w:val="115"/>
                <w:sz w:val="12"/>
              </w:rPr>
              <w:t>-</w:t>
              <w:tab/>
            </w:r>
            <w:r>
              <w:rPr>
                <w:rFonts w:ascii="宋体"/>
                <w:sz w:val="12"/>
              </w:rPr>
              <w:t>626,443,334</w:t>
            </w:r>
          </w:p>
        </w:tc>
        <w:tc>
          <w:tcPr>
            <w:tcW w:w="4083" w:type="dxa"/>
            <w:gridSpan w:val="4"/>
            <w:tcBorders>
              <w:top w:val="nil" w:sz="6" w:space="0" w:color="auto"/>
              <w:left w:val="nil" w:sz="6" w:space="0" w:color="auto"/>
              <w:bottom w:val="nil" w:sz="6" w:space="0" w:color="auto"/>
              <w:right w:val="nil" w:sz="6" w:space="0" w:color="auto"/>
            </w:tcBorders>
          </w:tcPr>
          <w:p>
            <w:pPr>
              <w:pStyle w:val="TableParagraph"/>
              <w:tabs>
                <w:tab w:pos="1008" w:val="left" w:leader="none"/>
                <w:tab w:pos="1847" w:val="left" w:leader="none"/>
                <w:tab w:pos="2584" w:val="left" w:leader="none"/>
                <w:tab w:pos="2868" w:val="left" w:leader="none"/>
                <w:tab w:pos="3236" w:val="left" w:leader="none"/>
              </w:tabs>
              <w:spacing w:line="111" w:lineRule="exact"/>
              <w:ind w:left="203" w:right="0"/>
              <w:jc w:val="left"/>
              <w:rPr>
                <w:rFonts w:ascii="宋体" w:hAnsi="宋体" w:cs="宋体" w:eastAsia="宋体" w:hint="default"/>
                <w:sz w:val="12"/>
                <w:szCs w:val="12"/>
              </w:rPr>
            </w:pPr>
            <w:r>
              <w:rPr>
                <w:rFonts w:ascii="宋体"/>
                <w:w w:val="115"/>
                <w:sz w:val="12"/>
              </w:rPr>
              <w:t>-</w:t>
              <w:tab/>
              <w:t>-</w:t>
              <w:tab/>
              <w:t>-</w:t>
              <w:tab/>
              <w:t>-</w:t>
              <w:tab/>
              <w:t>-</w:t>
              <w:tab/>
            </w:r>
            <w:r>
              <w:rPr>
                <w:rFonts w:ascii="宋体"/>
                <w:w w:val="105"/>
                <w:sz w:val="12"/>
              </w:rPr>
              <w:t>3,946,844,039</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111" w:lineRule="exact"/>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277"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6" w:right="0"/>
              <w:jc w:val="left"/>
              <w:rPr>
                <w:rFonts w:ascii="宋体" w:hAnsi="宋体" w:cs="宋体" w:eastAsia="宋体" w:hint="default"/>
                <w:sz w:val="12"/>
                <w:szCs w:val="12"/>
              </w:rPr>
            </w:pPr>
            <w:r>
              <w:rPr>
                <w:rFonts w:ascii="宋体" w:hAnsi="宋体" w:cs="宋体" w:eastAsia="宋体" w:hint="default"/>
                <w:sz w:val="12"/>
                <w:szCs w:val="12"/>
              </w:rPr>
              <w:t>智慧足迹数据科技</w:t>
            </w:r>
          </w:p>
          <w:p>
            <w:pPr>
              <w:pStyle w:val="TableParagraph"/>
              <w:spacing w:line="129" w:lineRule="exact"/>
              <w:ind w:right="57"/>
              <w:jc w:val="right"/>
              <w:rPr>
                <w:rFonts w:ascii="宋体" w:hAnsi="宋体" w:cs="宋体" w:eastAsia="宋体" w:hint="default"/>
                <w:sz w:val="12"/>
                <w:szCs w:val="12"/>
              </w:rPr>
            </w:pPr>
            <w:r>
              <w:rPr>
                <w:rFonts w:ascii="宋体"/>
                <w:w w:val="95"/>
                <w:sz w:val="12"/>
              </w:rPr>
              <w:t>28,309,056</w:t>
            </w:r>
            <w:r>
              <w:rPr>
                <w:rFonts w:ascii="宋体"/>
                <w:sz w:val="12"/>
              </w:rPr>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13" w:val="left" w:leader="none"/>
              </w:tabs>
              <w:spacing w:line="240" w:lineRule="auto"/>
              <w:ind w:right="202"/>
              <w:jc w:val="right"/>
              <w:rPr>
                <w:rFonts w:ascii="宋体" w:hAnsi="宋体" w:cs="宋体" w:eastAsia="宋体" w:hint="default"/>
                <w:sz w:val="12"/>
                <w:szCs w:val="12"/>
              </w:rPr>
            </w:pPr>
            <w:r>
              <w:rPr>
                <w:rFonts w:ascii="宋体"/>
                <w:w w:val="110"/>
                <w:sz w:val="12"/>
              </w:rPr>
              <w:t>-</w:t>
              <w:tab/>
            </w:r>
            <w:r>
              <w:rPr>
                <w:rFonts w:ascii="宋体"/>
                <w:w w:val="90"/>
                <w:sz w:val="12"/>
              </w:rPr>
              <w:t>(15,764,999)</w:t>
            </w:r>
            <w:r>
              <w:rPr>
                <w:rFonts w:ascii="宋体"/>
                <w:sz w:val="12"/>
              </w:rPr>
            </w:r>
          </w:p>
        </w:tc>
        <w:tc>
          <w:tcPr>
            <w:tcW w:w="4083"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1008" w:val="left" w:leader="none"/>
                <w:tab w:pos="1847" w:val="left" w:leader="none"/>
                <w:tab w:pos="2584" w:val="left" w:leader="none"/>
                <w:tab w:pos="2868" w:val="left" w:leader="none"/>
                <w:tab w:pos="3402" w:val="left" w:leader="none"/>
              </w:tabs>
              <w:spacing w:line="240" w:lineRule="auto"/>
              <w:ind w:left="203" w:right="0"/>
              <w:jc w:val="left"/>
              <w:rPr>
                <w:rFonts w:ascii="宋体" w:hAnsi="宋体" w:cs="宋体" w:eastAsia="宋体" w:hint="default"/>
                <w:sz w:val="12"/>
                <w:szCs w:val="12"/>
              </w:rPr>
            </w:pPr>
            <w:r>
              <w:rPr>
                <w:rFonts w:ascii="宋体"/>
                <w:w w:val="120"/>
                <w:sz w:val="12"/>
              </w:rPr>
              <w:t>-</w:t>
              <w:tab/>
              <w:t>-</w:t>
              <w:tab/>
              <w:t>-</w:t>
              <w:tab/>
              <w:t>-</w:t>
              <w:tab/>
              <w:t>-</w:t>
              <w:tab/>
            </w:r>
            <w:r>
              <w:rPr>
                <w:rFonts w:ascii="宋体"/>
                <w:w w:val="105"/>
                <w:sz w:val="12"/>
              </w:rPr>
              <w:t>12,544,057</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37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91" w:lineRule="exact"/>
              <w:ind w:left="56" w:right="0"/>
              <w:jc w:val="left"/>
              <w:rPr>
                <w:rFonts w:ascii="宋体" w:hAnsi="宋体" w:cs="宋体" w:eastAsia="宋体" w:hint="default"/>
                <w:sz w:val="12"/>
                <w:szCs w:val="12"/>
              </w:rPr>
            </w:pPr>
            <w:r>
              <w:rPr>
                <w:rFonts w:ascii="宋体" w:hAnsi="宋体" w:cs="宋体" w:eastAsia="宋体" w:hint="default"/>
                <w:sz w:val="12"/>
                <w:szCs w:val="12"/>
              </w:rPr>
              <w:t>有限公司</w:t>
            </w:r>
          </w:p>
          <w:p>
            <w:pPr>
              <w:pStyle w:val="TableParagraph"/>
              <w:spacing w:line="240" w:lineRule="auto" w:before="76"/>
              <w:ind w:left="56" w:right="0"/>
              <w:jc w:val="left"/>
              <w:rPr>
                <w:rFonts w:ascii="宋体" w:hAnsi="宋体" w:cs="宋体" w:eastAsia="宋体" w:hint="default"/>
                <w:sz w:val="12"/>
                <w:szCs w:val="12"/>
              </w:rPr>
            </w:pPr>
            <w:r>
              <w:rPr>
                <w:rFonts w:ascii="宋体" w:hAnsi="宋体" w:cs="宋体" w:eastAsia="宋体" w:hint="default"/>
                <w:sz w:val="12"/>
                <w:szCs w:val="12"/>
              </w:rPr>
              <w:t>联通大陆智能交通</w:t>
            </w:r>
          </w:p>
        </w:tc>
        <w:tc>
          <w:tcPr>
            <w:tcW w:w="927" w:type="dxa"/>
            <w:tcBorders>
              <w:top w:val="nil" w:sz="6" w:space="0" w:color="auto"/>
              <w:left w:val="nil" w:sz="6" w:space="0" w:color="auto"/>
              <w:bottom w:val="nil" w:sz="6" w:space="0" w:color="auto"/>
              <w:right w:val="nil" w:sz="6" w:space="0" w:color="auto"/>
            </w:tcBorders>
          </w:tcPr>
          <w:p>
            <w:pPr/>
          </w:p>
        </w:tc>
        <w:tc>
          <w:tcPr>
            <w:tcW w:w="1486" w:type="dxa"/>
            <w:tcBorders>
              <w:top w:val="nil" w:sz="6" w:space="0" w:color="auto"/>
              <w:left w:val="nil" w:sz="6" w:space="0" w:color="auto"/>
              <w:bottom w:val="nil" w:sz="6" w:space="0" w:color="auto"/>
              <w:right w:val="nil" w:sz="6" w:space="0" w:color="auto"/>
            </w:tcBorders>
          </w:tcPr>
          <w:p>
            <w:pPr/>
          </w:p>
        </w:tc>
        <w:tc>
          <w:tcPr>
            <w:tcW w:w="4083" w:type="dxa"/>
            <w:gridSpan w:val="4"/>
            <w:tcBorders>
              <w:top w:val="nil" w:sz="6" w:space="0" w:color="auto"/>
              <w:left w:val="nil" w:sz="6" w:space="0" w:color="auto"/>
              <w:bottom w:val="nil" w:sz="6" w:space="0" w:color="auto"/>
              <w:right w:val="nil" w:sz="6" w:space="0" w:color="auto"/>
            </w:tcBorders>
          </w:tcPr>
          <w:p>
            <w:pPr/>
          </w:p>
        </w:tc>
        <w:tc>
          <w:tcPr>
            <w:tcW w:w="735" w:type="dxa"/>
            <w:tcBorders>
              <w:top w:val="nil" w:sz="6" w:space="0" w:color="auto"/>
              <w:left w:val="nil" w:sz="6" w:space="0" w:color="auto"/>
              <w:bottom w:val="nil" w:sz="6" w:space="0" w:color="auto"/>
              <w:right w:val="nil" w:sz="6" w:space="0" w:color="auto"/>
            </w:tcBorders>
          </w:tcPr>
          <w:p>
            <w:pPr/>
          </w:p>
        </w:tc>
      </w:tr>
      <w:tr>
        <w:trPr>
          <w:trHeight w:val="317" w:hRule="exact"/>
        </w:trPr>
        <w:tc>
          <w:tcPr>
            <w:tcW w:w="2067" w:type="dxa"/>
            <w:tcBorders>
              <w:top w:val="nil" w:sz="6" w:space="0" w:color="auto"/>
              <w:left w:val="nil" w:sz="6" w:space="0" w:color="auto"/>
              <w:bottom w:val="nil" w:sz="6" w:space="0" w:color="auto"/>
              <w:right w:val="nil" w:sz="6" w:space="0" w:color="auto"/>
            </w:tcBorders>
          </w:tcPr>
          <w:p>
            <w:pPr>
              <w:pStyle w:val="TableParagraph"/>
              <w:tabs>
                <w:tab w:pos="1408" w:val="left" w:leader="none"/>
              </w:tabs>
              <w:spacing w:line="151" w:lineRule="exact"/>
              <w:ind w:left="56" w:right="0"/>
              <w:jc w:val="left"/>
              <w:rPr>
                <w:rFonts w:ascii="宋体" w:hAnsi="宋体" w:cs="宋体" w:eastAsia="宋体" w:hint="default"/>
                <w:sz w:val="12"/>
                <w:szCs w:val="12"/>
              </w:rPr>
            </w:pPr>
            <w:r>
              <w:rPr>
                <w:rFonts w:ascii="宋体" w:hAnsi="宋体" w:cs="宋体" w:eastAsia="宋体" w:hint="default"/>
                <w:sz w:val="12"/>
                <w:szCs w:val="12"/>
              </w:rPr>
              <w:t>科技（上海）有限</w:t>
              <w:tab/>
              <w:t>19,750,000</w:t>
            </w:r>
          </w:p>
          <w:p>
            <w:pPr>
              <w:pStyle w:val="TableParagraph"/>
              <w:spacing w:line="240" w:lineRule="auto" w:before="43"/>
              <w:ind w:left="56"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927" w:type="dxa"/>
            <w:tcBorders>
              <w:top w:val="nil" w:sz="6" w:space="0" w:color="auto"/>
              <w:left w:val="nil" w:sz="6" w:space="0" w:color="auto"/>
              <w:bottom w:val="nil" w:sz="6" w:space="0" w:color="auto"/>
              <w:right w:val="nil" w:sz="6" w:space="0" w:color="auto"/>
            </w:tcBorders>
          </w:tcPr>
          <w:p>
            <w:pPr>
              <w:pStyle w:val="TableParagraph"/>
              <w:spacing w:line="151" w:lineRule="exact"/>
              <w:ind w:right="100"/>
              <w:jc w:val="right"/>
              <w:rPr>
                <w:rFonts w:ascii="宋体" w:hAnsi="宋体" w:cs="宋体" w:eastAsia="宋体" w:hint="default"/>
                <w:sz w:val="12"/>
                <w:szCs w:val="12"/>
              </w:rPr>
            </w:pPr>
            <w:r>
              <w:rPr>
                <w:rFonts w:ascii="宋体"/>
                <w:w w:val="131"/>
                <w:sz w:val="12"/>
              </w:rPr>
              <w:t>-</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tabs>
                <w:tab w:pos="513" w:val="left" w:leader="none"/>
              </w:tabs>
              <w:spacing w:line="151" w:lineRule="exact"/>
              <w:ind w:right="202"/>
              <w:jc w:val="right"/>
              <w:rPr>
                <w:rFonts w:ascii="宋体" w:hAnsi="宋体" w:cs="宋体" w:eastAsia="宋体" w:hint="default"/>
                <w:sz w:val="12"/>
                <w:szCs w:val="12"/>
              </w:rPr>
            </w:pPr>
            <w:r>
              <w:rPr>
                <w:rFonts w:ascii="宋体"/>
                <w:w w:val="110"/>
                <w:sz w:val="12"/>
              </w:rPr>
              <w:t>-</w:t>
              <w:tab/>
            </w:r>
            <w:r>
              <w:rPr>
                <w:rFonts w:ascii="宋体"/>
                <w:w w:val="90"/>
                <w:sz w:val="12"/>
              </w:rPr>
              <w:t>(12,754,702)</w:t>
            </w:r>
            <w:r>
              <w:rPr>
                <w:rFonts w:ascii="宋体"/>
                <w:sz w:val="12"/>
              </w:rPr>
            </w:r>
          </w:p>
        </w:tc>
        <w:tc>
          <w:tcPr>
            <w:tcW w:w="1175" w:type="dxa"/>
            <w:tcBorders>
              <w:top w:val="nil" w:sz="6" w:space="0" w:color="auto"/>
              <w:left w:val="nil" w:sz="6" w:space="0" w:color="auto"/>
              <w:bottom w:val="nil" w:sz="6" w:space="0" w:color="auto"/>
              <w:right w:val="nil" w:sz="6" w:space="0" w:color="auto"/>
            </w:tcBorders>
          </w:tcPr>
          <w:p>
            <w:pPr>
              <w:pStyle w:val="TableParagraph"/>
              <w:tabs>
                <w:tab w:pos="805" w:val="left" w:leader="none"/>
              </w:tabs>
              <w:spacing w:line="151" w:lineRule="exact"/>
              <w:ind w:right="85"/>
              <w:jc w:val="right"/>
              <w:rPr>
                <w:rFonts w:ascii="宋体" w:hAnsi="宋体" w:cs="宋体" w:eastAsia="宋体" w:hint="default"/>
                <w:sz w:val="12"/>
                <w:szCs w:val="12"/>
              </w:rPr>
            </w:pPr>
            <w:r>
              <w:rPr>
                <w:rFonts w:ascii="宋体"/>
                <w:w w:val="130"/>
                <w:sz w:val="12"/>
              </w:rPr>
              <w:t>-</w:t>
              <w:tab/>
              <w:t>-</w:t>
            </w:r>
            <w:r>
              <w:rPr>
                <w:rFonts w:ascii="宋体"/>
                <w:sz w:val="12"/>
              </w:rPr>
            </w:r>
          </w:p>
        </w:tc>
        <w:tc>
          <w:tcPr>
            <w:tcW w:w="821" w:type="dxa"/>
            <w:tcBorders>
              <w:top w:val="nil" w:sz="6" w:space="0" w:color="auto"/>
              <w:left w:val="nil" w:sz="6" w:space="0" w:color="auto"/>
              <w:bottom w:val="nil" w:sz="6" w:space="0" w:color="auto"/>
              <w:right w:val="nil" w:sz="6" w:space="0" w:color="auto"/>
            </w:tcBorders>
          </w:tcPr>
          <w:p>
            <w:pPr>
              <w:pStyle w:val="TableParagraph"/>
              <w:spacing w:line="151" w:lineRule="exact"/>
              <w:ind w:right="67"/>
              <w:jc w:val="right"/>
              <w:rPr>
                <w:rFonts w:ascii="宋体" w:hAnsi="宋体" w:cs="宋体" w:eastAsia="宋体" w:hint="default"/>
                <w:sz w:val="12"/>
                <w:szCs w:val="12"/>
              </w:rPr>
            </w:pPr>
            <w:r>
              <w:rPr>
                <w:rFonts w:ascii="宋体"/>
                <w:w w:val="131"/>
                <w:sz w:val="12"/>
              </w:rPr>
              <w:t>-</w:t>
            </w:r>
            <w:r>
              <w:rPr>
                <w:rFonts w:ascii="宋体"/>
                <w:sz w:val="12"/>
              </w:rPr>
            </w:r>
          </w:p>
        </w:tc>
        <w:tc>
          <w:tcPr>
            <w:tcW w:w="770" w:type="dxa"/>
            <w:tcBorders>
              <w:top w:val="nil" w:sz="6" w:space="0" w:color="auto"/>
              <w:left w:val="nil" w:sz="6" w:space="0" w:color="auto"/>
              <w:bottom w:val="nil" w:sz="6" w:space="0" w:color="auto"/>
              <w:right w:val="nil" w:sz="6" w:space="0" w:color="auto"/>
            </w:tcBorders>
          </w:tcPr>
          <w:p>
            <w:pPr>
              <w:pStyle w:val="TableParagraph"/>
              <w:spacing w:line="151" w:lineRule="exact"/>
              <w:ind w:right="100"/>
              <w:jc w:val="right"/>
              <w:rPr>
                <w:rFonts w:ascii="宋体" w:hAnsi="宋体" w:cs="宋体" w:eastAsia="宋体" w:hint="default"/>
                <w:sz w:val="12"/>
                <w:szCs w:val="12"/>
              </w:rPr>
            </w:pPr>
            <w:r>
              <w:rPr>
                <w:rFonts w:ascii="宋体"/>
                <w:w w:val="131"/>
                <w:sz w:val="12"/>
              </w:rPr>
              <w:t>-</w:t>
            </w:r>
            <w:r>
              <w:rPr>
                <w:rFonts w:ascii="宋体"/>
                <w:sz w:val="12"/>
              </w:rPr>
            </w:r>
          </w:p>
        </w:tc>
        <w:tc>
          <w:tcPr>
            <w:tcW w:w="1316" w:type="dxa"/>
            <w:tcBorders>
              <w:top w:val="nil" w:sz="6" w:space="0" w:color="auto"/>
              <w:left w:val="nil" w:sz="6" w:space="0" w:color="auto"/>
              <w:bottom w:val="nil" w:sz="6" w:space="0" w:color="auto"/>
              <w:right w:val="nil" w:sz="6" w:space="0" w:color="auto"/>
            </w:tcBorders>
          </w:tcPr>
          <w:p>
            <w:pPr>
              <w:pStyle w:val="TableParagraph"/>
              <w:tabs>
                <w:tab w:pos="622" w:val="left" w:leader="none"/>
              </w:tabs>
              <w:spacing w:line="151" w:lineRule="exact"/>
              <w:ind w:left="21" w:right="0"/>
              <w:jc w:val="center"/>
              <w:rPr>
                <w:rFonts w:ascii="宋体" w:hAnsi="宋体" w:cs="宋体" w:eastAsia="宋体" w:hint="default"/>
                <w:sz w:val="12"/>
                <w:szCs w:val="12"/>
              </w:rPr>
            </w:pPr>
            <w:r>
              <w:rPr>
                <w:rFonts w:ascii="宋体"/>
                <w:w w:val="110"/>
                <w:sz w:val="12"/>
              </w:rPr>
              <w:t>-</w:t>
              <w:tab/>
            </w:r>
            <w:r>
              <w:rPr>
                <w:rFonts w:ascii="宋体"/>
                <w:w w:val="105"/>
                <w:sz w:val="12"/>
              </w:rPr>
              <w:t>6,995,298</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151" w:lineRule="exact"/>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393" w:hRule="exact"/>
        </w:trPr>
        <w:tc>
          <w:tcPr>
            <w:tcW w:w="2067"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1184" w:val="left" w:leader="none"/>
              </w:tabs>
              <w:spacing w:line="240" w:lineRule="auto"/>
              <w:ind w:right="0"/>
              <w:jc w:val="center"/>
              <w:rPr>
                <w:rFonts w:ascii="宋体" w:hAnsi="宋体" w:cs="宋体" w:eastAsia="宋体" w:hint="default"/>
                <w:sz w:val="12"/>
                <w:szCs w:val="12"/>
              </w:rPr>
            </w:pPr>
            <w:r>
              <w:rPr>
                <w:rFonts w:ascii="宋体" w:hAnsi="宋体" w:cs="宋体" w:eastAsia="宋体" w:hint="default"/>
                <w:sz w:val="12"/>
                <w:szCs w:val="12"/>
              </w:rPr>
              <w:t>小计</w:t>
              <w:tab/>
              <w:t>2,368,459,761</w:t>
            </w:r>
          </w:p>
        </w:tc>
        <w:tc>
          <w:tcPr>
            <w:tcW w:w="927"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95"/>
                <w:sz w:val="12"/>
              </w:rPr>
              <w:t>1,000,000,000</w:t>
            </w:r>
            <w:r>
              <w:rPr>
                <w:rFonts w:ascii="宋体"/>
                <w:sz w:val="12"/>
              </w:rPr>
            </w:r>
          </w:p>
        </w:tc>
        <w:tc>
          <w:tcPr>
            <w:tcW w:w="1486"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13" w:val="left" w:leader="none"/>
              </w:tabs>
              <w:spacing w:line="240" w:lineRule="auto"/>
              <w:ind w:right="202"/>
              <w:jc w:val="right"/>
              <w:rPr>
                <w:rFonts w:ascii="宋体" w:hAnsi="宋体" w:cs="宋体" w:eastAsia="宋体" w:hint="default"/>
                <w:sz w:val="12"/>
                <w:szCs w:val="12"/>
              </w:rPr>
            </w:pPr>
            <w:r>
              <w:rPr>
                <w:rFonts w:ascii="宋体"/>
                <w:w w:val="115"/>
                <w:sz w:val="12"/>
              </w:rPr>
              <w:t>-</w:t>
              <w:tab/>
            </w:r>
            <w:r>
              <w:rPr>
                <w:rFonts w:ascii="宋体"/>
                <w:sz w:val="12"/>
              </w:rPr>
              <w:t>597,923,633</w:t>
            </w:r>
          </w:p>
        </w:tc>
        <w:tc>
          <w:tcPr>
            <w:tcW w:w="1175"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805" w:val="left" w:leader="none"/>
              </w:tabs>
              <w:spacing w:line="240" w:lineRule="auto"/>
              <w:ind w:right="84"/>
              <w:jc w:val="right"/>
              <w:rPr>
                <w:rFonts w:ascii="宋体" w:hAnsi="宋体" w:cs="宋体" w:eastAsia="宋体" w:hint="default"/>
                <w:sz w:val="12"/>
                <w:szCs w:val="12"/>
              </w:rPr>
            </w:pPr>
            <w:r>
              <w:rPr>
                <w:rFonts w:ascii="宋体"/>
                <w:w w:val="130"/>
                <w:sz w:val="12"/>
              </w:rPr>
              <w:t>-</w:t>
              <w:tab/>
              <w:t>-</w:t>
            </w:r>
            <w:r>
              <w:rPr>
                <w:rFonts w:ascii="宋体"/>
                <w:sz w:val="12"/>
              </w:rPr>
            </w:r>
          </w:p>
        </w:tc>
        <w:tc>
          <w:tcPr>
            <w:tcW w:w="821"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7"/>
              <w:jc w:val="right"/>
              <w:rPr>
                <w:rFonts w:ascii="宋体" w:hAnsi="宋体" w:cs="宋体" w:eastAsia="宋体" w:hint="default"/>
                <w:sz w:val="12"/>
                <w:szCs w:val="12"/>
              </w:rPr>
            </w:pPr>
            <w:r>
              <w:rPr>
                <w:rFonts w:ascii="宋体"/>
                <w:w w:val="131"/>
                <w:sz w:val="12"/>
              </w:rPr>
              <w:t>-</w:t>
            </w:r>
            <w:r>
              <w:rPr>
                <w:rFonts w:ascii="宋体"/>
                <w:sz w:val="12"/>
              </w:rPr>
            </w:r>
          </w:p>
        </w:tc>
        <w:tc>
          <w:tcPr>
            <w:tcW w:w="770"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316"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389" w:val="left" w:leader="none"/>
              </w:tabs>
              <w:spacing w:line="240" w:lineRule="auto"/>
              <w:ind w:left="22" w:right="0"/>
              <w:jc w:val="center"/>
              <w:rPr>
                <w:rFonts w:ascii="宋体" w:hAnsi="宋体" w:cs="宋体" w:eastAsia="宋体" w:hint="default"/>
                <w:sz w:val="12"/>
                <w:szCs w:val="12"/>
              </w:rPr>
            </w:pPr>
            <w:r>
              <w:rPr>
                <w:rFonts w:ascii="宋体"/>
                <w:w w:val="110"/>
                <w:sz w:val="12"/>
              </w:rPr>
              <w:t>-</w:t>
              <w:tab/>
            </w:r>
            <w:r>
              <w:rPr>
                <w:rFonts w:ascii="宋体"/>
                <w:w w:val="105"/>
                <w:sz w:val="12"/>
              </w:rPr>
              <w:t>3,966,383,394</w:t>
            </w:r>
            <w:r>
              <w:rPr>
                <w:rFonts w:ascii="宋体"/>
                <w:sz w:val="12"/>
              </w:rPr>
            </w:r>
          </w:p>
        </w:tc>
        <w:tc>
          <w:tcPr>
            <w:tcW w:w="735"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740" w:hRule="exact"/>
        </w:trPr>
        <w:tc>
          <w:tcPr>
            <w:tcW w:w="2067" w:type="dxa"/>
            <w:tcBorders>
              <w:top w:val="single" w:sz="6" w:space="0" w:color="000000"/>
              <w:left w:val="nil" w:sz="6" w:space="0" w:color="auto"/>
              <w:bottom w:val="nil" w:sz="6" w:space="0" w:color="auto"/>
              <w:right w:val="nil" w:sz="6" w:space="0" w:color="auto"/>
            </w:tcBorders>
          </w:tcPr>
          <w:p>
            <w:pPr>
              <w:pStyle w:val="TableParagraph"/>
              <w:spacing w:line="230" w:lineRule="atLeast" w:before="3"/>
              <w:ind w:left="56" w:right="1048"/>
              <w:jc w:val="left"/>
              <w:rPr>
                <w:rFonts w:ascii="宋体" w:hAnsi="宋体" w:cs="宋体" w:eastAsia="宋体" w:hint="default"/>
                <w:sz w:val="12"/>
                <w:szCs w:val="12"/>
              </w:rPr>
            </w:pPr>
            <w:r>
              <w:rPr>
                <w:rFonts w:ascii="宋体" w:hAnsi="宋体" w:cs="宋体" w:eastAsia="宋体" w:hint="default"/>
                <w:sz w:val="12"/>
                <w:szCs w:val="12"/>
              </w:rPr>
              <w:t>联营企业 广联视通新媒体有</w:t>
            </w:r>
          </w:p>
          <w:p>
            <w:pPr>
              <w:pStyle w:val="TableParagraph"/>
              <w:spacing w:line="72" w:lineRule="exact"/>
              <w:ind w:right="57"/>
              <w:jc w:val="right"/>
              <w:rPr>
                <w:rFonts w:ascii="宋体" w:hAnsi="宋体" w:cs="宋体" w:eastAsia="宋体" w:hint="default"/>
                <w:sz w:val="12"/>
                <w:szCs w:val="12"/>
              </w:rPr>
            </w:pPr>
            <w:r>
              <w:rPr>
                <w:rFonts w:ascii="宋体"/>
                <w:w w:val="95"/>
                <w:sz w:val="12"/>
              </w:rPr>
              <w:t>49,404,163</w:t>
            </w:r>
            <w:r>
              <w:rPr>
                <w:rFonts w:ascii="宋体"/>
                <w:sz w:val="12"/>
              </w:rPr>
            </w:r>
          </w:p>
          <w:p>
            <w:pPr>
              <w:pStyle w:val="TableParagraph"/>
              <w:spacing w:line="128" w:lineRule="exact"/>
              <w:ind w:left="56" w:right="0"/>
              <w:jc w:val="left"/>
              <w:rPr>
                <w:rFonts w:ascii="宋体" w:hAnsi="宋体" w:cs="宋体" w:eastAsia="宋体" w:hint="default"/>
                <w:sz w:val="12"/>
                <w:szCs w:val="12"/>
              </w:rPr>
            </w:pPr>
            <w:r>
              <w:rPr>
                <w:rFonts w:ascii="宋体" w:hAnsi="宋体" w:cs="宋体" w:eastAsia="宋体" w:hint="default"/>
                <w:sz w:val="12"/>
                <w:szCs w:val="12"/>
              </w:rPr>
              <w:t>限公司</w:t>
            </w:r>
          </w:p>
        </w:tc>
        <w:tc>
          <w:tcPr>
            <w:tcW w:w="927"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5"/>
              <w:ind w:right="100"/>
              <w:jc w:val="right"/>
              <w:rPr>
                <w:rFonts w:ascii="宋体" w:hAnsi="宋体" w:cs="宋体" w:eastAsia="宋体" w:hint="default"/>
                <w:sz w:val="12"/>
                <w:szCs w:val="12"/>
              </w:rPr>
            </w:pPr>
            <w:r>
              <w:rPr>
                <w:rFonts w:ascii="宋体"/>
                <w:w w:val="131"/>
                <w:sz w:val="12"/>
              </w:rPr>
              <w:t>-</w:t>
            </w:r>
            <w:r>
              <w:rPr>
                <w:rFonts w:ascii="宋体"/>
                <w:sz w:val="12"/>
              </w:rPr>
            </w:r>
          </w:p>
        </w:tc>
        <w:tc>
          <w:tcPr>
            <w:tcW w:w="148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tabs>
                <w:tab w:pos="579" w:val="left" w:leader="none"/>
              </w:tabs>
              <w:spacing w:line="240" w:lineRule="auto" w:before="95"/>
              <w:ind w:right="202"/>
              <w:jc w:val="right"/>
              <w:rPr>
                <w:rFonts w:ascii="宋体" w:hAnsi="宋体" w:cs="宋体" w:eastAsia="宋体" w:hint="default"/>
                <w:sz w:val="12"/>
                <w:szCs w:val="12"/>
              </w:rPr>
            </w:pPr>
            <w:r>
              <w:rPr>
                <w:rFonts w:ascii="宋体"/>
                <w:w w:val="115"/>
                <w:sz w:val="12"/>
              </w:rPr>
              <w:t>-</w:t>
              <w:tab/>
            </w:r>
            <w:r>
              <w:rPr>
                <w:rFonts w:ascii="宋体"/>
                <w:w w:val="95"/>
                <w:sz w:val="12"/>
              </w:rPr>
              <w:t>13,029,861</w:t>
            </w:r>
            <w:r>
              <w:rPr>
                <w:rFonts w:ascii="宋体"/>
                <w:sz w:val="12"/>
              </w:rPr>
            </w:r>
          </w:p>
        </w:tc>
        <w:tc>
          <w:tcPr>
            <w:tcW w:w="117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tabs>
                <w:tab w:pos="805" w:val="left" w:leader="none"/>
              </w:tabs>
              <w:spacing w:line="240" w:lineRule="auto" w:before="95"/>
              <w:ind w:right="85"/>
              <w:jc w:val="right"/>
              <w:rPr>
                <w:rFonts w:ascii="宋体" w:hAnsi="宋体" w:cs="宋体" w:eastAsia="宋体" w:hint="default"/>
                <w:sz w:val="12"/>
                <w:szCs w:val="12"/>
              </w:rPr>
            </w:pPr>
            <w:r>
              <w:rPr>
                <w:rFonts w:ascii="宋体"/>
                <w:w w:val="130"/>
                <w:sz w:val="12"/>
              </w:rPr>
              <w:t>-</w:t>
              <w:tab/>
              <w:t>-</w:t>
            </w:r>
            <w:r>
              <w:rPr>
                <w:rFonts w:ascii="宋体"/>
                <w:sz w:val="12"/>
              </w:rPr>
            </w:r>
          </w:p>
        </w:tc>
        <w:tc>
          <w:tcPr>
            <w:tcW w:w="821"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5"/>
              <w:ind w:right="67"/>
              <w:jc w:val="right"/>
              <w:rPr>
                <w:rFonts w:ascii="宋体" w:hAnsi="宋体" w:cs="宋体" w:eastAsia="宋体" w:hint="default"/>
                <w:sz w:val="12"/>
                <w:szCs w:val="12"/>
              </w:rPr>
            </w:pPr>
            <w:r>
              <w:rPr>
                <w:rFonts w:ascii="宋体"/>
                <w:w w:val="90"/>
                <w:sz w:val="12"/>
              </w:rPr>
              <w:t>(19,215,686)</w:t>
            </w:r>
            <w:r>
              <w:rPr>
                <w:rFonts w:ascii="宋体"/>
                <w:sz w:val="12"/>
              </w:rPr>
            </w:r>
          </w:p>
        </w:tc>
        <w:tc>
          <w:tcPr>
            <w:tcW w:w="770"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5"/>
              <w:ind w:right="100"/>
              <w:jc w:val="right"/>
              <w:rPr>
                <w:rFonts w:ascii="宋体" w:hAnsi="宋体" w:cs="宋体" w:eastAsia="宋体" w:hint="default"/>
                <w:sz w:val="12"/>
                <w:szCs w:val="12"/>
              </w:rPr>
            </w:pPr>
            <w:r>
              <w:rPr>
                <w:rFonts w:ascii="宋体"/>
                <w:w w:val="131"/>
                <w:sz w:val="12"/>
              </w:rPr>
              <w:t>-</w:t>
            </w:r>
            <w:r>
              <w:rPr>
                <w:rFonts w:ascii="宋体"/>
                <w:sz w:val="12"/>
              </w:rPr>
            </w:r>
          </w:p>
        </w:tc>
        <w:tc>
          <w:tcPr>
            <w:tcW w:w="1316"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tabs>
                <w:tab w:pos="555" w:val="left" w:leader="none"/>
              </w:tabs>
              <w:spacing w:line="240" w:lineRule="auto" w:before="95"/>
              <w:ind w:left="21" w:right="0"/>
              <w:jc w:val="center"/>
              <w:rPr>
                <w:rFonts w:ascii="宋体" w:hAnsi="宋体" w:cs="宋体" w:eastAsia="宋体" w:hint="default"/>
                <w:sz w:val="12"/>
                <w:szCs w:val="12"/>
              </w:rPr>
            </w:pPr>
            <w:r>
              <w:rPr>
                <w:rFonts w:ascii="宋体"/>
                <w:w w:val="115"/>
                <w:sz w:val="12"/>
              </w:rPr>
              <w:t>-</w:t>
              <w:tab/>
            </w:r>
            <w:r>
              <w:rPr>
                <w:rFonts w:ascii="宋体"/>
                <w:w w:val="105"/>
                <w:sz w:val="12"/>
              </w:rPr>
              <w:t>43,218,338</w:t>
            </w:r>
            <w:r>
              <w:rPr>
                <w:rFonts w:ascii="宋体"/>
                <w:sz w:val="12"/>
              </w:rPr>
            </w:r>
          </w:p>
        </w:tc>
        <w:tc>
          <w:tcPr>
            <w:tcW w:w="735" w:type="dxa"/>
            <w:tcBorders>
              <w:top w:val="single" w:sz="6" w:space="0" w:color="000000"/>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5"/>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6" w:right="0"/>
              <w:jc w:val="left"/>
              <w:rPr>
                <w:rFonts w:ascii="宋体" w:hAnsi="宋体" w:cs="宋体" w:eastAsia="宋体" w:hint="default"/>
                <w:sz w:val="12"/>
                <w:szCs w:val="12"/>
              </w:rPr>
            </w:pPr>
            <w:r>
              <w:rPr>
                <w:rFonts w:ascii="宋体" w:hAnsi="宋体" w:cs="宋体" w:eastAsia="宋体" w:hint="default"/>
                <w:sz w:val="12"/>
                <w:szCs w:val="12"/>
              </w:rPr>
              <w:t>中国铁塔股份有限</w:t>
            </w:r>
          </w:p>
          <w:p>
            <w:pPr>
              <w:pStyle w:val="TableParagraph"/>
              <w:spacing w:line="100" w:lineRule="exact"/>
              <w:ind w:left="1175" w:right="0"/>
              <w:jc w:val="left"/>
              <w:rPr>
                <w:rFonts w:ascii="宋体" w:hAnsi="宋体" w:cs="宋体" w:eastAsia="宋体" w:hint="default"/>
                <w:sz w:val="12"/>
                <w:szCs w:val="12"/>
              </w:rPr>
            </w:pPr>
            <w:r>
              <w:rPr>
                <w:rFonts w:ascii="宋体"/>
                <w:sz w:val="12"/>
              </w:rPr>
              <w:t>33,042,587,194</w:t>
            </w:r>
          </w:p>
          <w:p>
            <w:pPr>
              <w:pStyle w:val="TableParagraph"/>
              <w:spacing w:line="128" w:lineRule="exact"/>
              <w:ind w:left="56"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413" w:val="left" w:leader="none"/>
              </w:tabs>
              <w:spacing w:line="240" w:lineRule="auto"/>
              <w:ind w:right="202"/>
              <w:jc w:val="right"/>
              <w:rPr>
                <w:rFonts w:ascii="宋体" w:hAnsi="宋体" w:cs="宋体" w:eastAsia="宋体" w:hint="default"/>
                <w:sz w:val="12"/>
                <w:szCs w:val="12"/>
              </w:rPr>
            </w:pPr>
            <w:r>
              <w:rPr>
                <w:rFonts w:ascii="宋体"/>
                <w:w w:val="110"/>
                <w:sz w:val="12"/>
              </w:rPr>
              <w:t>-</w:t>
              <w:tab/>
            </w:r>
            <w:r>
              <w:rPr>
                <w:rFonts w:ascii="宋体"/>
                <w:w w:val="95"/>
                <w:sz w:val="12"/>
              </w:rPr>
              <w:t>1,662,601,326</w:t>
            </w:r>
            <w:r>
              <w:rPr>
                <w:rFonts w:ascii="宋体"/>
                <w:sz w:val="12"/>
              </w:rPr>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4"/>
              <w:jc w:val="right"/>
              <w:rPr>
                <w:rFonts w:ascii="宋体" w:hAnsi="宋体" w:cs="宋体" w:eastAsia="宋体" w:hint="default"/>
                <w:sz w:val="12"/>
                <w:szCs w:val="12"/>
              </w:rPr>
            </w:pPr>
            <w:r>
              <w:rPr>
                <w:rFonts w:ascii="宋体"/>
                <w:w w:val="115"/>
                <w:sz w:val="12"/>
              </w:rPr>
              <w:t>-</w:t>
            </w:r>
            <w:r>
              <w:rPr>
                <w:rFonts w:ascii="宋体"/>
                <w:spacing w:val="-14"/>
                <w:w w:val="115"/>
                <w:sz w:val="12"/>
              </w:rPr>
              <w:t> </w:t>
            </w:r>
            <w:r>
              <w:rPr>
                <w:rFonts w:ascii="宋体"/>
                <w:w w:val="115"/>
                <w:sz w:val="12"/>
              </w:rPr>
              <w:t>792,846,138</w:t>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7"/>
              <w:jc w:val="right"/>
              <w:rPr>
                <w:rFonts w:ascii="宋体" w:hAnsi="宋体" w:cs="宋体" w:eastAsia="宋体" w:hint="default"/>
                <w:sz w:val="12"/>
                <w:szCs w:val="12"/>
              </w:rPr>
            </w:pPr>
            <w:r>
              <w:rPr>
                <w:rFonts w:ascii="宋体"/>
                <w:w w:val="131"/>
                <w:sz w:val="12"/>
              </w:rPr>
              <w:t>-</w:t>
            </w:r>
            <w:r>
              <w:rPr>
                <w:rFonts w:ascii="宋体"/>
                <w:sz w:val="12"/>
              </w:rPr>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323" w:val="left" w:leader="none"/>
              </w:tabs>
              <w:spacing w:line="240" w:lineRule="auto"/>
              <w:ind w:left="21" w:right="0"/>
              <w:jc w:val="center"/>
              <w:rPr>
                <w:rFonts w:ascii="宋体" w:hAnsi="宋体" w:cs="宋体" w:eastAsia="宋体" w:hint="default"/>
                <w:sz w:val="12"/>
                <w:szCs w:val="12"/>
              </w:rPr>
            </w:pPr>
            <w:r>
              <w:rPr>
                <w:rFonts w:ascii="宋体"/>
                <w:w w:val="110"/>
                <w:sz w:val="12"/>
              </w:rPr>
              <w:t>-</w:t>
              <w:tab/>
            </w:r>
            <w:r>
              <w:rPr>
                <w:rFonts w:ascii="宋体"/>
                <w:w w:val="105"/>
                <w:sz w:val="12"/>
              </w:rPr>
              <w:t>35,498,034,658</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7" w:right="0"/>
              <w:jc w:val="left"/>
              <w:rPr>
                <w:rFonts w:ascii="宋体" w:hAnsi="宋体" w:cs="宋体" w:eastAsia="宋体" w:hint="default"/>
                <w:sz w:val="12"/>
                <w:szCs w:val="12"/>
              </w:rPr>
            </w:pPr>
            <w:r>
              <w:rPr>
                <w:rFonts w:ascii="宋体" w:hAnsi="宋体" w:cs="宋体" w:eastAsia="宋体" w:hint="default"/>
                <w:sz w:val="12"/>
                <w:szCs w:val="12"/>
              </w:rPr>
              <w:t>中国东盟信息港股</w:t>
            </w:r>
          </w:p>
          <w:p>
            <w:pPr>
              <w:pStyle w:val="TableParagraph"/>
              <w:spacing w:line="100" w:lineRule="exact"/>
              <w:ind w:right="57"/>
              <w:jc w:val="right"/>
              <w:rPr>
                <w:rFonts w:ascii="宋体" w:hAnsi="宋体" w:cs="宋体" w:eastAsia="宋体" w:hint="default"/>
                <w:sz w:val="12"/>
                <w:szCs w:val="12"/>
              </w:rPr>
            </w:pPr>
            <w:r>
              <w:rPr>
                <w:rFonts w:ascii="宋体"/>
                <w:w w:val="95"/>
                <w:sz w:val="12"/>
              </w:rPr>
              <w:t>19,322,356</w:t>
            </w:r>
            <w:r>
              <w:rPr>
                <w:rFonts w:ascii="宋体"/>
                <w:sz w:val="12"/>
              </w:rPr>
            </w:r>
          </w:p>
          <w:p>
            <w:pPr>
              <w:pStyle w:val="TableParagraph"/>
              <w:spacing w:line="128" w:lineRule="exact"/>
              <w:ind w:left="57" w:right="0"/>
              <w:jc w:val="left"/>
              <w:rPr>
                <w:rFonts w:ascii="宋体" w:hAnsi="宋体" w:cs="宋体" w:eastAsia="宋体" w:hint="default"/>
                <w:sz w:val="12"/>
                <w:szCs w:val="12"/>
              </w:rPr>
            </w:pPr>
            <w:r>
              <w:rPr>
                <w:rFonts w:ascii="宋体" w:hAnsi="宋体" w:cs="宋体" w:eastAsia="宋体" w:hint="default"/>
                <w:sz w:val="12"/>
                <w:szCs w:val="12"/>
              </w:rPr>
              <w:t>份有限公司</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79" w:val="left" w:leader="none"/>
              </w:tabs>
              <w:spacing w:line="240" w:lineRule="auto"/>
              <w:ind w:right="202"/>
              <w:jc w:val="right"/>
              <w:rPr>
                <w:rFonts w:ascii="宋体" w:hAnsi="宋体" w:cs="宋体" w:eastAsia="宋体" w:hint="default"/>
                <w:sz w:val="12"/>
                <w:szCs w:val="12"/>
              </w:rPr>
            </w:pPr>
            <w:r>
              <w:rPr>
                <w:rFonts w:ascii="宋体"/>
                <w:w w:val="110"/>
                <w:sz w:val="12"/>
              </w:rPr>
              <w:t>-</w:t>
              <w:tab/>
            </w:r>
            <w:r>
              <w:rPr>
                <w:rFonts w:ascii="宋体"/>
                <w:w w:val="90"/>
                <w:sz w:val="12"/>
              </w:rPr>
              <w:t>(9,389,193)</w:t>
            </w:r>
            <w:r>
              <w:rPr>
                <w:rFonts w:ascii="宋体"/>
                <w:sz w:val="12"/>
              </w:rPr>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284" w:val="left" w:leader="none"/>
              </w:tabs>
              <w:spacing w:line="240" w:lineRule="auto"/>
              <w:ind w:right="84"/>
              <w:jc w:val="right"/>
              <w:rPr>
                <w:rFonts w:ascii="宋体" w:hAnsi="宋体" w:cs="宋体" w:eastAsia="宋体" w:hint="default"/>
                <w:sz w:val="12"/>
                <w:szCs w:val="12"/>
              </w:rPr>
            </w:pPr>
            <w:r>
              <w:rPr>
                <w:rFonts w:ascii="宋体"/>
                <w:w w:val="115"/>
                <w:sz w:val="12"/>
              </w:rPr>
              <w:t>-</w:t>
              <w:tab/>
            </w:r>
            <w:r>
              <w:rPr>
                <w:rFonts w:ascii="宋体"/>
                <w:w w:val="95"/>
                <w:sz w:val="12"/>
              </w:rPr>
              <w:t>40,790,184</w:t>
            </w:r>
            <w:r>
              <w:rPr>
                <w:rFonts w:ascii="宋体"/>
                <w:sz w:val="12"/>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7"/>
              <w:jc w:val="right"/>
              <w:rPr>
                <w:rFonts w:ascii="宋体" w:hAnsi="宋体" w:cs="宋体" w:eastAsia="宋体" w:hint="default"/>
                <w:sz w:val="12"/>
                <w:szCs w:val="12"/>
              </w:rPr>
            </w:pPr>
            <w:r>
              <w:rPr>
                <w:rFonts w:ascii="宋体"/>
                <w:w w:val="131"/>
                <w:sz w:val="12"/>
              </w:rPr>
              <w:t>-</w:t>
            </w:r>
            <w:r>
              <w:rPr>
                <w:rFonts w:ascii="宋体"/>
                <w:sz w:val="12"/>
              </w:rPr>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56" w:val="left" w:leader="none"/>
              </w:tabs>
              <w:spacing w:line="240" w:lineRule="auto"/>
              <w:ind w:left="22" w:right="0"/>
              <w:jc w:val="center"/>
              <w:rPr>
                <w:rFonts w:ascii="宋体" w:hAnsi="宋体" w:cs="宋体" w:eastAsia="宋体" w:hint="default"/>
                <w:sz w:val="12"/>
                <w:szCs w:val="12"/>
              </w:rPr>
            </w:pPr>
            <w:r>
              <w:rPr>
                <w:rFonts w:ascii="宋体"/>
                <w:w w:val="115"/>
                <w:sz w:val="12"/>
              </w:rPr>
              <w:t>-</w:t>
              <w:tab/>
            </w:r>
            <w:r>
              <w:rPr>
                <w:rFonts w:ascii="宋体"/>
                <w:w w:val="105"/>
                <w:sz w:val="12"/>
              </w:rPr>
              <w:t>50,723,347</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7" w:right="0"/>
              <w:jc w:val="left"/>
              <w:rPr>
                <w:rFonts w:ascii="宋体" w:hAnsi="宋体" w:cs="宋体" w:eastAsia="宋体" w:hint="default"/>
                <w:sz w:val="12"/>
                <w:szCs w:val="12"/>
              </w:rPr>
            </w:pPr>
            <w:r>
              <w:rPr>
                <w:rFonts w:ascii="宋体" w:hAnsi="宋体" w:cs="宋体" w:eastAsia="宋体" w:hint="default"/>
                <w:sz w:val="12"/>
                <w:szCs w:val="12"/>
              </w:rPr>
              <w:t>联通航美网络有限</w:t>
            </w:r>
          </w:p>
          <w:p>
            <w:pPr>
              <w:pStyle w:val="TableParagraph"/>
              <w:spacing w:line="100" w:lineRule="exact"/>
              <w:ind w:right="57"/>
              <w:jc w:val="right"/>
              <w:rPr>
                <w:rFonts w:ascii="宋体" w:hAnsi="宋体" w:cs="宋体" w:eastAsia="宋体" w:hint="default"/>
                <w:sz w:val="12"/>
                <w:szCs w:val="12"/>
              </w:rPr>
            </w:pPr>
            <w:r>
              <w:rPr>
                <w:rFonts w:ascii="宋体"/>
                <w:w w:val="95"/>
                <w:sz w:val="12"/>
              </w:rPr>
              <w:t>77,217,191</w:t>
            </w:r>
            <w:r>
              <w:rPr>
                <w:rFonts w:ascii="宋体"/>
                <w:sz w:val="12"/>
              </w:rPr>
            </w:r>
          </w:p>
          <w:p>
            <w:pPr>
              <w:pStyle w:val="TableParagraph"/>
              <w:spacing w:line="128" w:lineRule="exact"/>
              <w:ind w:left="57"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79" w:val="left" w:leader="none"/>
              </w:tabs>
              <w:spacing w:line="240" w:lineRule="auto"/>
              <w:ind w:right="202"/>
              <w:jc w:val="right"/>
              <w:rPr>
                <w:rFonts w:ascii="宋体" w:hAnsi="宋体" w:cs="宋体" w:eastAsia="宋体" w:hint="default"/>
                <w:sz w:val="12"/>
                <w:szCs w:val="12"/>
              </w:rPr>
            </w:pPr>
            <w:r>
              <w:rPr>
                <w:rFonts w:ascii="宋体"/>
                <w:w w:val="110"/>
                <w:sz w:val="12"/>
              </w:rPr>
              <w:t>-</w:t>
              <w:tab/>
            </w:r>
            <w:r>
              <w:rPr>
                <w:rFonts w:ascii="宋体"/>
                <w:w w:val="90"/>
                <w:sz w:val="12"/>
              </w:rPr>
              <w:t>(7,770,294)</w:t>
            </w:r>
            <w:r>
              <w:rPr>
                <w:rFonts w:ascii="宋体"/>
                <w:sz w:val="12"/>
              </w:rPr>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805" w:val="left" w:leader="none"/>
              </w:tabs>
              <w:spacing w:line="240" w:lineRule="auto"/>
              <w:ind w:right="84"/>
              <w:jc w:val="right"/>
              <w:rPr>
                <w:rFonts w:ascii="宋体" w:hAnsi="宋体" w:cs="宋体" w:eastAsia="宋体" w:hint="default"/>
                <w:sz w:val="12"/>
                <w:szCs w:val="12"/>
              </w:rPr>
            </w:pPr>
            <w:r>
              <w:rPr>
                <w:rFonts w:ascii="宋体"/>
                <w:w w:val="130"/>
                <w:sz w:val="12"/>
              </w:rPr>
              <w:t>-</w:t>
              <w:tab/>
              <w:t>-</w:t>
            </w:r>
            <w:r>
              <w:rPr>
                <w:rFonts w:ascii="宋体"/>
                <w:sz w:val="12"/>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6"/>
              <w:jc w:val="right"/>
              <w:rPr>
                <w:rFonts w:ascii="宋体" w:hAnsi="宋体" w:cs="宋体" w:eastAsia="宋体" w:hint="default"/>
                <w:sz w:val="12"/>
                <w:szCs w:val="12"/>
              </w:rPr>
            </w:pPr>
            <w:r>
              <w:rPr>
                <w:rFonts w:ascii="宋体"/>
                <w:w w:val="131"/>
                <w:sz w:val="12"/>
              </w:rPr>
              <w:t>-</w:t>
            </w:r>
            <w:r>
              <w:rPr>
                <w:rFonts w:ascii="宋体"/>
                <w:sz w:val="12"/>
              </w:rPr>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0"/>
              <w:jc w:val="right"/>
              <w:rPr>
                <w:rFonts w:ascii="宋体" w:hAnsi="宋体" w:cs="宋体" w:eastAsia="宋体" w:hint="default"/>
                <w:sz w:val="12"/>
                <w:szCs w:val="12"/>
              </w:rPr>
            </w:pPr>
            <w:r>
              <w:rPr>
                <w:rFonts w:ascii="宋体"/>
                <w:w w:val="131"/>
                <w:sz w:val="12"/>
              </w:rPr>
              <w:t>-</w:t>
            </w:r>
            <w:r>
              <w:rPr>
                <w:rFonts w:ascii="宋体"/>
                <w:sz w:val="12"/>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56" w:val="left" w:leader="none"/>
              </w:tabs>
              <w:spacing w:line="240" w:lineRule="auto"/>
              <w:ind w:left="22" w:right="0"/>
              <w:jc w:val="center"/>
              <w:rPr>
                <w:rFonts w:ascii="宋体" w:hAnsi="宋体" w:cs="宋体" w:eastAsia="宋体" w:hint="default"/>
                <w:sz w:val="12"/>
                <w:szCs w:val="12"/>
              </w:rPr>
            </w:pPr>
            <w:r>
              <w:rPr>
                <w:rFonts w:ascii="宋体"/>
                <w:w w:val="115"/>
                <w:sz w:val="12"/>
              </w:rPr>
              <w:t>-</w:t>
              <w:tab/>
            </w:r>
            <w:r>
              <w:rPr>
                <w:rFonts w:ascii="宋体"/>
                <w:w w:val="105"/>
                <w:sz w:val="12"/>
              </w:rPr>
              <w:t>69,446,897</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3"/>
              <w:jc w:val="right"/>
              <w:rPr>
                <w:rFonts w:ascii="宋体" w:hAnsi="宋体" w:cs="宋体" w:eastAsia="宋体" w:hint="default"/>
                <w:sz w:val="12"/>
                <w:szCs w:val="12"/>
              </w:rPr>
            </w:pPr>
            <w:r>
              <w:rPr>
                <w:rFonts w:ascii="宋体"/>
                <w:w w:val="131"/>
                <w:sz w:val="12"/>
              </w:rPr>
              <w:t>-</w:t>
            </w:r>
            <w:r>
              <w:rPr>
                <w:rFonts w:ascii="宋体"/>
                <w:sz w:val="12"/>
              </w:rPr>
            </w:r>
          </w:p>
        </w:tc>
      </w:tr>
      <w:tr>
        <w:trPr>
          <w:trHeight w:val="38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7" w:right="0"/>
              <w:jc w:val="left"/>
              <w:rPr>
                <w:rFonts w:ascii="宋体" w:hAnsi="宋体" w:cs="宋体" w:eastAsia="宋体" w:hint="default"/>
                <w:sz w:val="12"/>
                <w:szCs w:val="12"/>
              </w:rPr>
            </w:pPr>
            <w:r>
              <w:rPr>
                <w:rFonts w:ascii="宋体" w:hAnsi="宋体" w:cs="宋体" w:eastAsia="宋体" w:hint="default"/>
                <w:sz w:val="12"/>
                <w:szCs w:val="12"/>
              </w:rPr>
              <w:t>云粒智慧科技有限</w:t>
            </w:r>
          </w:p>
          <w:p>
            <w:pPr>
              <w:pStyle w:val="TableParagraph"/>
              <w:spacing w:line="100" w:lineRule="exact"/>
              <w:ind w:right="57"/>
              <w:jc w:val="right"/>
              <w:rPr>
                <w:rFonts w:ascii="宋体" w:hAnsi="宋体" w:cs="宋体" w:eastAsia="宋体" w:hint="default"/>
                <w:sz w:val="12"/>
                <w:szCs w:val="12"/>
              </w:rPr>
            </w:pPr>
            <w:r>
              <w:rPr>
                <w:rFonts w:ascii="宋体"/>
                <w:w w:val="131"/>
                <w:sz w:val="12"/>
              </w:rPr>
              <w:t>-</w:t>
            </w:r>
            <w:r>
              <w:rPr>
                <w:rFonts w:ascii="宋体"/>
                <w:sz w:val="12"/>
              </w:rPr>
            </w:r>
          </w:p>
          <w:p>
            <w:pPr>
              <w:pStyle w:val="TableParagraph"/>
              <w:spacing w:line="128" w:lineRule="exact"/>
              <w:ind w:left="57" w:right="0"/>
              <w:jc w:val="left"/>
              <w:rPr>
                <w:rFonts w:ascii="宋体" w:hAnsi="宋体" w:cs="宋体" w:eastAsia="宋体" w:hint="default"/>
                <w:sz w:val="12"/>
                <w:szCs w:val="12"/>
              </w:rPr>
            </w:pPr>
            <w:r>
              <w:rPr>
                <w:rFonts w:ascii="宋体" w:hAnsi="宋体" w:cs="宋体" w:eastAsia="宋体" w:hint="default"/>
                <w:sz w:val="12"/>
                <w:szCs w:val="12"/>
              </w:rPr>
              <w:t>公司</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9"/>
              <w:jc w:val="right"/>
              <w:rPr>
                <w:rFonts w:ascii="宋体" w:hAnsi="宋体" w:cs="宋体" w:eastAsia="宋体" w:hint="default"/>
                <w:sz w:val="12"/>
                <w:szCs w:val="12"/>
              </w:rPr>
            </w:pPr>
            <w:r>
              <w:rPr>
                <w:rFonts w:ascii="宋体"/>
                <w:w w:val="95"/>
                <w:sz w:val="12"/>
              </w:rPr>
              <w:t>60,000,000</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203"/>
              <w:jc w:val="right"/>
              <w:rPr>
                <w:rFonts w:ascii="宋体" w:hAnsi="宋体" w:cs="宋体" w:eastAsia="宋体" w:hint="default"/>
                <w:sz w:val="12"/>
                <w:szCs w:val="12"/>
              </w:rPr>
            </w:pPr>
            <w:r>
              <w:rPr>
                <w:rFonts w:ascii="宋体"/>
                <w:w w:val="90"/>
                <w:sz w:val="12"/>
              </w:rPr>
              <w:t>(18,333,454)</w:t>
            </w:r>
            <w:r>
              <w:rPr>
                <w:rFonts w:ascii="宋体"/>
                <w:sz w:val="12"/>
              </w:rPr>
            </w:r>
          </w:p>
        </w:tc>
        <w:tc>
          <w:tcPr>
            <w:tcW w:w="117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805" w:val="left" w:leader="none"/>
              </w:tabs>
              <w:spacing w:line="240" w:lineRule="auto"/>
              <w:ind w:right="84"/>
              <w:jc w:val="right"/>
              <w:rPr>
                <w:rFonts w:ascii="宋体" w:hAnsi="宋体" w:cs="宋体" w:eastAsia="宋体" w:hint="default"/>
                <w:sz w:val="12"/>
                <w:szCs w:val="12"/>
              </w:rPr>
            </w:pPr>
            <w:r>
              <w:rPr>
                <w:rFonts w:ascii="宋体"/>
                <w:w w:val="130"/>
                <w:sz w:val="12"/>
              </w:rPr>
              <w:t>-</w:t>
              <w:tab/>
              <w:t>-</w:t>
            </w:r>
            <w:r>
              <w:rPr>
                <w:rFonts w:ascii="宋体"/>
                <w:sz w:val="12"/>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6"/>
              <w:jc w:val="right"/>
              <w:rPr>
                <w:rFonts w:ascii="宋体" w:hAnsi="宋体" w:cs="宋体" w:eastAsia="宋体" w:hint="default"/>
                <w:sz w:val="12"/>
                <w:szCs w:val="12"/>
              </w:rPr>
            </w:pPr>
            <w:r>
              <w:rPr>
                <w:rFonts w:ascii="宋体"/>
                <w:w w:val="131"/>
                <w:sz w:val="12"/>
              </w:rPr>
              <w:t>-</w:t>
            </w:r>
            <w:r>
              <w:rPr>
                <w:rFonts w:ascii="宋体"/>
                <w:sz w:val="12"/>
              </w:rPr>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9"/>
              <w:jc w:val="right"/>
              <w:rPr>
                <w:rFonts w:ascii="宋体" w:hAnsi="宋体" w:cs="宋体" w:eastAsia="宋体" w:hint="default"/>
                <w:sz w:val="12"/>
                <w:szCs w:val="12"/>
              </w:rPr>
            </w:pPr>
            <w:r>
              <w:rPr>
                <w:rFonts w:ascii="宋体"/>
                <w:w w:val="131"/>
                <w:sz w:val="12"/>
              </w:rPr>
              <w:t>-</w:t>
            </w:r>
            <w:r>
              <w:rPr>
                <w:rFonts w:ascii="宋体"/>
                <w:sz w:val="12"/>
              </w:rPr>
            </w:r>
          </w:p>
        </w:tc>
        <w:tc>
          <w:tcPr>
            <w:tcW w:w="131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57" w:val="left" w:leader="none"/>
              </w:tabs>
              <w:spacing w:line="240" w:lineRule="auto"/>
              <w:ind w:left="22" w:right="0"/>
              <w:jc w:val="center"/>
              <w:rPr>
                <w:rFonts w:ascii="宋体" w:hAnsi="宋体" w:cs="宋体" w:eastAsia="宋体" w:hint="default"/>
                <w:sz w:val="12"/>
                <w:szCs w:val="12"/>
              </w:rPr>
            </w:pPr>
            <w:r>
              <w:rPr>
                <w:rFonts w:ascii="宋体"/>
                <w:w w:val="115"/>
                <w:sz w:val="12"/>
              </w:rPr>
              <w:t>-</w:t>
              <w:tab/>
            </w:r>
            <w:r>
              <w:rPr>
                <w:rFonts w:ascii="宋体"/>
                <w:w w:val="105"/>
                <w:sz w:val="12"/>
              </w:rPr>
              <w:t>41,666,546</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3"/>
              <w:jc w:val="right"/>
              <w:rPr>
                <w:rFonts w:ascii="宋体" w:hAnsi="宋体" w:cs="宋体" w:eastAsia="宋体" w:hint="default"/>
                <w:sz w:val="12"/>
                <w:szCs w:val="12"/>
              </w:rPr>
            </w:pPr>
            <w:r>
              <w:rPr>
                <w:rFonts w:ascii="宋体"/>
                <w:w w:val="131"/>
                <w:sz w:val="12"/>
              </w:rPr>
              <w:t>-</w:t>
            </w:r>
            <w:r>
              <w:rPr>
                <w:rFonts w:ascii="宋体"/>
                <w:sz w:val="12"/>
              </w:rPr>
            </w:r>
          </w:p>
        </w:tc>
      </w:tr>
      <w:tr>
        <w:trPr>
          <w:trHeight w:val="283" w:hRule="exact"/>
        </w:trPr>
        <w:tc>
          <w:tcPr>
            <w:tcW w:w="2067" w:type="dxa"/>
            <w:tcBorders>
              <w:top w:val="nil" w:sz="6" w:space="0" w:color="auto"/>
              <w:left w:val="nil" w:sz="6" w:space="0" w:color="auto"/>
              <w:bottom w:val="nil" w:sz="6" w:space="0" w:color="auto"/>
              <w:right w:val="nil" w:sz="6" w:space="0" w:color="auto"/>
            </w:tcBorders>
          </w:tcPr>
          <w:p>
            <w:pPr>
              <w:pStyle w:val="TableParagraph"/>
              <w:tabs>
                <w:tab w:pos="1351" w:val="left" w:leader="none"/>
              </w:tabs>
              <w:spacing w:line="240" w:lineRule="auto" w:before="60"/>
              <w:ind w:right="1"/>
              <w:jc w:val="center"/>
              <w:rPr>
                <w:rFonts w:ascii="宋体" w:hAnsi="宋体" w:cs="宋体" w:eastAsia="宋体" w:hint="default"/>
                <w:sz w:val="12"/>
                <w:szCs w:val="12"/>
              </w:rPr>
            </w:pPr>
            <w:r>
              <w:rPr>
                <w:rFonts w:ascii="宋体" w:hAnsi="宋体" w:cs="宋体" w:eastAsia="宋体" w:hint="default"/>
                <w:sz w:val="12"/>
                <w:szCs w:val="12"/>
              </w:rPr>
              <w:t>其他</w:t>
              <w:tab/>
              <w:t>44,720,601</w:t>
            </w:r>
          </w:p>
        </w:tc>
        <w:tc>
          <w:tcPr>
            <w:tcW w:w="927"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宋体" w:hAnsi="宋体" w:cs="宋体" w:eastAsia="宋体" w:hint="default"/>
                <w:sz w:val="12"/>
                <w:szCs w:val="12"/>
              </w:rPr>
            </w:pPr>
            <w:r>
              <w:rPr>
                <w:rFonts w:ascii="宋体"/>
                <w:w w:val="95"/>
                <w:sz w:val="12"/>
              </w:rPr>
              <w:t>13,268,090</w:t>
            </w:r>
            <w:r>
              <w:rPr>
                <w:rFonts w:ascii="宋体"/>
                <w:sz w:val="12"/>
              </w:rPr>
            </w:r>
          </w:p>
        </w:tc>
        <w:tc>
          <w:tcPr>
            <w:tcW w:w="1486" w:type="dxa"/>
            <w:tcBorders>
              <w:top w:val="nil" w:sz="6" w:space="0" w:color="auto"/>
              <w:left w:val="nil" w:sz="6" w:space="0" w:color="auto"/>
              <w:bottom w:val="nil" w:sz="6" w:space="0" w:color="auto"/>
              <w:right w:val="nil" w:sz="6" w:space="0" w:color="auto"/>
            </w:tcBorders>
          </w:tcPr>
          <w:p>
            <w:pPr>
              <w:pStyle w:val="TableParagraph"/>
              <w:tabs>
                <w:tab w:pos="579" w:val="left" w:leader="none"/>
              </w:tabs>
              <w:spacing w:line="240" w:lineRule="auto" w:before="60"/>
              <w:ind w:right="201"/>
              <w:jc w:val="right"/>
              <w:rPr>
                <w:rFonts w:ascii="宋体" w:hAnsi="宋体" w:cs="宋体" w:eastAsia="宋体" w:hint="default"/>
                <w:sz w:val="12"/>
                <w:szCs w:val="12"/>
              </w:rPr>
            </w:pPr>
            <w:r>
              <w:rPr>
                <w:rFonts w:ascii="宋体"/>
                <w:w w:val="110"/>
                <w:sz w:val="12"/>
              </w:rPr>
              <w:t>-</w:t>
              <w:tab/>
            </w:r>
            <w:r>
              <w:rPr>
                <w:rFonts w:ascii="宋体"/>
                <w:w w:val="90"/>
                <w:sz w:val="12"/>
              </w:rPr>
              <w:t>(1,919,423)</w:t>
            </w:r>
            <w:r>
              <w:rPr>
                <w:rFonts w:ascii="宋体"/>
                <w:sz w:val="12"/>
              </w:rPr>
            </w:r>
          </w:p>
        </w:tc>
        <w:tc>
          <w:tcPr>
            <w:tcW w:w="1175" w:type="dxa"/>
            <w:tcBorders>
              <w:top w:val="nil" w:sz="6" w:space="0" w:color="auto"/>
              <w:left w:val="nil" w:sz="6" w:space="0" w:color="auto"/>
              <w:bottom w:val="nil" w:sz="6" w:space="0" w:color="auto"/>
              <w:right w:val="nil" w:sz="6" w:space="0" w:color="auto"/>
            </w:tcBorders>
          </w:tcPr>
          <w:p>
            <w:pPr>
              <w:pStyle w:val="TableParagraph"/>
              <w:tabs>
                <w:tab w:pos="351" w:val="left" w:leader="none"/>
              </w:tabs>
              <w:spacing w:line="240" w:lineRule="auto" w:before="60"/>
              <w:ind w:right="84"/>
              <w:jc w:val="right"/>
              <w:rPr>
                <w:rFonts w:ascii="宋体" w:hAnsi="宋体" w:cs="宋体" w:eastAsia="宋体" w:hint="default"/>
                <w:sz w:val="12"/>
                <w:szCs w:val="12"/>
              </w:rPr>
            </w:pPr>
            <w:r>
              <w:rPr>
                <w:rFonts w:ascii="宋体"/>
                <w:w w:val="110"/>
                <w:sz w:val="12"/>
              </w:rPr>
              <w:t>-</w:t>
              <w:tab/>
            </w:r>
            <w:r>
              <w:rPr>
                <w:rFonts w:ascii="宋体"/>
                <w:w w:val="95"/>
                <w:sz w:val="12"/>
              </w:rPr>
              <w:t>4,925,469</w:t>
            </w:r>
            <w:r>
              <w:rPr>
                <w:rFonts w:ascii="宋体"/>
                <w:sz w:val="12"/>
              </w:rPr>
            </w:r>
          </w:p>
        </w:tc>
        <w:tc>
          <w:tcPr>
            <w:tcW w:w="821"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66"/>
              <w:jc w:val="right"/>
              <w:rPr>
                <w:rFonts w:ascii="宋体" w:hAnsi="宋体" w:cs="宋体" w:eastAsia="宋体" w:hint="default"/>
                <w:sz w:val="12"/>
                <w:szCs w:val="12"/>
              </w:rPr>
            </w:pPr>
            <w:r>
              <w:rPr>
                <w:rFonts w:ascii="宋体"/>
                <w:w w:val="90"/>
                <w:sz w:val="12"/>
              </w:rPr>
              <w:t>(634,602)</w:t>
            </w:r>
            <w:r>
              <w:rPr>
                <w:rFonts w:ascii="宋体"/>
                <w:sz w:val="12"/>
              </w:rPr>
            </w:r>
          </w:p>
        </w:tc>
        <w:tc>
          <w:tcPr>
            <w:tcW w:w="770"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99"/>
              <w:jc w:val="right"/>
              <w:rPr>
                <w:rFonts w:ascii="宋体" w:hAnsi="宋体" w:cs="宋体" w:eastAsia="宋体" w:hint="default"/>
                <w:sz w:val="12"/>
                <w:szCs w:val="12"/>
              </w:rPr>
            </w:pPr>
            <w:r>
              <w:rPr>
                <w:rFonts w:ascii="宋体"/>
                <w:w w:val="90"/>
                <w:sz w:val="12"/>
              </w:rPr>
              <w:t>(5,958,090)</w:t>
            </w:r>
            <w:r>
              <w:rPr>
                <w:rFonts w:ascii="宋体"/>
                <w:sz w:val="12"/>
              </w:rPr>
            </w:r>
          </w:p>
        </w:tc>
        <w:tc>
          <w:tcPr>
            <w:tcW w:w="1316" w:type="dxa"/>
            <w:tcBorders>
              <w:top w:val="nil" w:sz="6" w:space="0" w:color="auto"/>
              <w:left w:val="nil" w:sz="6" w:space="0" w:color="auto"/>
              <w:bottom w:val="nil" w:sz="6" w:space="0" w:color="auto"/>
              <w:right w:val="nil" w:sz="6" w:space="0" w:color="auto"/>
            </w:tcBorders>
          </w:tcPr>
          <w:p>
            <w:pPr>
              <w:pStyle w:val="TableParagraph"/>
              <w:tabs>
                <w:tab w:pos="557" w:val="left" w:leader="none"/>
              </w:tabs>
              <w:spacing w:line="240" w:lineRule="auto" w:before="60"/>
              <w:ind w:left="22" w:right="0"/>
              <w:jc w:val="center"/>
              <w:rPr>
                <w:rFonts w:ascii="宋体" w:hAnsi="宋体" w:cs="宋体" w:eastAsia="宋体" w:hint="default"/>
                <w:sz w:val="12"/>
                <w:szCs w:val="12"/>
              </w:rPr>
            </w:pPr>
            <w:r>
              <w:rPr>
                <w:rFonts w:ascii="宋体"/>
                <w:w w:val="115"/>
                <w:sz w:val="12"/>
              </w:rPr>
              <w:t>-</w:t>
              <w:tab/>
            </w:r>
            <w:r>
              <w:rPr>
                <w:rFonts w:ascii="宋体"/>
                <w:w w:val="105"/>
                <w:sz w:val="12"/>
              </w:rPr>
              <w:t>54,402,045</w:t>
            </w:r>
            <w:r>
              <w:rPr>
                <w:rFonts w:ascii="宋体"/>
                <w:sz w:val="12"/>
              </w:rPr>
            </w:r>
          </w:p>
        </w:tc>
        <w:tc>
          <w:tcPr>
            <w:tcW w:w="735" w:type="dxa"/>
            <w:tcBorders>
              <w:top w:val="nil" w:sz="6" w:space="0" w:color="auto"/>
              <w:left w:val="nil" w:sz="6" w:space="0" w:color="auto"/>
              <w:bottom w:val="nil" w:sz="6" w:space="0" w:color="auto"/>
              <w:right w:val="nil" w:sz="6" w:space="0" w:color="auto"/>
            </w:tcBorders>
          </w:tcPr>
          <w:p>
            <w:pPr>
              <w:pStyle w:val="TableParagraph"/>
              <w:spacing w:line="240" w:lineRule="auto" w:before="60"/>
              <w:ind w:right="53"/>
              <w:jc w:val="right"/>
              <w:rPr>
                <w:rFonts w:ascii="宋体" w:hAnsi="宋体" w:cs="宋体" w:eastAsia="宋体" w:hint="default"/>
                <w:sz w:val="12"/>
                <w:szCs w:val="12"/>
              </w:rPr>
            </w:pPr>
            <w:r>
              <w:rPr>
                <w:rFonts w:ascii="宋体"/>
                <w:w w:val="90"/>
                <w:sz w:val="12"/>
              </w:rPr>
              <w:t>(5,958,090)</w:t>
            </w:r>
            <w:r>
              <w:rPr>
                <w:rFonts w:ascii="宋体"/>
                <w:sz w:val="12"/>
              </w:rPr>
            </w:r>
          </w:p>
        </w:tc>
      </w:tr>
      <w:tr>
        <w:trPr>
          <w:trHeight w:val="293" w:hRule="exact"/>
        </w:trPr>
        <w:tc>
          <w:tcPr>
            <w:tcW w:w="2067" w:type="dxa"/>
            <w:tcBorders>
              <w:top w:val="nil" w:sz="6" w:space="0" w:color="auto"/>
              <w:left w:val="nil" w:sz="6" w:space="0" w:color="auto"/>
              <w:bottom w:val="single" w:sz="6" w:space="0" w:color="000000"/>
              <w:right w:val="nil" w:sz="6" w:space="0" w:color="auto"/>
            </w:tcBorders>
          </w:tcPr>
          <w:p>
            <w:pPr>
              <w:pStyle w:val="TableParagraph"/>
              <w:tabs>
                <w:tab w:pos="1118" w:val="left" w:leader="none"/>
              </w:tabs>
              <w:spacing w:line="240" w:lineRule="auto" w:before="10"/>
              <w:ind w:right="1"/>
              <w:jc w:val="center"/>
              <w:rPr>
                <w:rFonts w:ascii="宋体" w:hAnsi="宋体" w:cs="宋体" w:eastAsia="宋体" w:hint="default"/>
                <w:sz w:val="12"/>
                <w:szCs w:val="12"/>
              </w:rPr>
            </w:pPr>
            <w:r>
              <w:rPr>
                <w:rFonts w:ascii="宋体" w:hAnsi="宋体" w:cs="宋体" w:eastAsia="宋体" w:hint="default"/>
                <w:sz w:val="12"/>
                <w:szCs w:val="12"/>
              </w:rPr>
              <w:t>小计</w:t>
              <w:tab/>
              <w:t>33,233,251,505</w:t>
            </w:r>
          </w:p>
        </w:tc>
        <w:tc>
          <w:tcPr>
            <w:tcW w:w="927"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99"/>
              <w:jc w:val="right"/>
              <w:rPr>
                <w:rFonts w:ascii="宋体" w:hAnsi="宋体" w:cs="宋体" w:eastAsia="宋体" w:hint="default"/>
                <w:sz w:val="12"/>
                <w:szCs w:val="12"/>
              </w:rPr>
            </w:pPr>
            <w:r>
              <w:rPr>
                <w:rFonts w:ascii="宋体"/>
                <w:w w:val="95"/>
                <w:sz w:val="12"/>
              </w:rPr>
              <w:t>73,268,090</w:t>
            </w:r>
            <w:r>
              <w:rPr>
                <w:rFonts w:ascii="宋体"/>
                <w:sz w:val="12"/>
              </w:rPr>
            </w:r>
          </w:p>
        </w:tc>
        <w:tc>
          <w:tcPr>
            <w:tcW w:w="1486" w:type="dxa"/>
            <w:tcBorders>
              <w:top w:val="nil" w:sz="6" w:space="0" w:color="auto"/>
              <w:left w:val="nil" w:sz="6" w:space="0" w:color="auto"/>
              <w:bottom w:val="single" w:sz="6" w:space="0" w:color="000000"/>
              <w:right w:val="nil" w:sz="6" w:space="0" w:color="auto"/>
            </w:tcBorders>
          </w:tcPr>
          <w:p>
            <w:pPr>
              <w:pStyle w:val="TableParagraph"/>
              <w:tabs>
                <w:tab w:pos="413" w:val="left" w:leader="none"/>
              </w:tabs>
              <w:spacing w:line="240" w:lineRule="auto" w:before="10"/>
              <w:ind w:right="201"/>
              <w:jc w:val="right"/>
              <w:rPr>
                <w:rFonts w:ascii="宋体" w:hAnsi="宋体" w:cs="宋体" w:eastAsia="宋体" w:hint="default"/>
                <w:sz w:val="12"/>
                <w:szCs w:val="12"/>
              </w:rPr>
            </w:pPr>
            <w:r>
              <w:rPr>
                <w:rFonts w:ascii="宋体"/>
                <w:w w:val="110"/>
                <w:sz w:val="12"/>
              </w:rPr>
              <w:t>-</w:t>
              <w:tab/>
            </w:r>
            <w:r>
              <w:rPr>
                <w:rFonts w:ascii="宋体"/>
                <w:w w:val="95"/>
                <w:sz w:val="12"/>
              </w:rPr>
              <w:t>1,638,218,823</w:t>
            </w:r>
            <w:r>
              <w:rPr>
                <w:rFonts w:ascii="宋体"/>
                <w:sz w:val="12"/>
              </w:rPr>
            </w:r>
          </w:p>
        </w:tc>
        <w:tc>
          <w:tcPr>
            <w:tcW w:w="1175"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84"/>
              <w:jc w:val="right"/>
              <w:rPr>
                <w:rFonts w:ascii="宋体" w:hAnsi="宋体" w:cs="宋体" w:eastAsia="宋体" w:hint="default"/>
                <w:sz w:val="12"/>
                <w:szCs w:val="12"/>
              </w:rPr>
            </w:pPr>
            <w:r>
              <w:rPr>
                <w:rFonts w:ascii="宋体"/>
                <w:w w:val="115"/>
                <w:sz w:val="12"/>
              </w:rPr>
              <w:t>-</w:t>
            </w:r>
            <w:r>
              <w:rPr>
                <w:rFonts w:ascii="宋体"/>
                <w:spacing w:val="-14"/>
                <w:w w:val="115"/>
                <w:sz w:val="12"/>
              </w:rPr>
              <w:t> </w:t>
            </w:r>
            <w:r>
              <w:rPr>
                <w:rFonts w:ascii="宋体"/>
                <w:w w:val="115"/>
                <w:sz w:val="12"/>
              </w:rPr>
              <w:t>838,561,791</w:t>
            </w:r>
          </w:p>
        </w:tc>
        <w:tc>
          <w:tcPr>
            <w:tcW w:w="821"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66"/>
              <w:jc w:val="right"/>
              <w:rPr>
                <w:rFonts w:ascii="宋体" w:hAnsi="宋体" w:cs="宋体" w:eastAsia="宋体" w:hint="default"/>
                <w:sz w:val="12"/>
                <w:szCs w:val="12"/>
              </w:rPr>
            </w:pPr>
            <w:r>
              <w:rPr>
                <w:rFonts w:ascii="宋体"/>
                <w:w w:val="90"/>
                <w:sz w:val="12"/>
              </w:rPr>
              <w:t>(19,850,288)</w:t>
            </w:r>
            <w:r>
              <w:rPr>
                <w:rFonts w:ascii="宋体"/>
                <w:sz w:val="12"/>
              </w:rPr>
            </w:r>
          </w:p>
        </w:tc>
        <w:tc>
          <w:tcPr>
            <w:tcW w:w="770"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99"/>
              <w:jc w:val="right"/>
              <w:rPr>
                <w:rFonts w:ascii="宋体" w:hAnsi="宋体" w:cs="宋体" w:eastAsia="宋体" w:hint="default"/>
                <w:sz w:val="12"/>
                <w:szCs w:val="12"/>
              </w:rPr>
            </w:pPr>
            <w:r>
              <w:rPr>
                <w:rFonts w:ascii="宋体"/>
                <w:w w:val="90"/>
                <w:sz w:val="12"/>
              </w:rPr>
              <w:t>(5,958,090)</w:t>
            </w:r>
            <w:r>
              <w:rPr>
                <w:rFonts w:ascii="宋体"/>
                <w:sz w:val="12"/>
              </w:rPr>
            </w:r>
          </w:p>
        </w:tc>
        <w:tc>
          <w:tcPr>
            <w:tcW w:w="1316" w:type="dxa"/>
            <w:tcBorders>
              <w:top w:val="nil" w:sz="6" w:space="0" w:color="auto"/>
              <w:left w:val="nil" w:sz="6" w:space="0" w:color="auto"/>
              <w:bottom w:val="single" w:sz="6" w:space="0" w:color="000000"/>
              <w:right w:val="nil" w:sz="6" w:space="0" w:color="auto"/>
            </w:tcBorders>
          </w:tcPr>
          <w:p>
            <w:pPr>
              <w:pStyle w:val="TableParagraph"/>
              <w:tabs>
                <w:tab w:pos="324" w:val="left" w:leader="none"/>
              </w:tabs>
              <w:spacing w:line="240" w:lineRule="auto" w:before="10"/>
              <w:ind w:left="23" w:right="0"/>
              <w:jc w:val="center"/>
              <w:rPr>
                <w:rFonts w:ascii="宋体" w:hAnsi="宋体" w:cs="宋体" w:eastAsia="宋体" w:hint="default"/>
                <w:sz w:val="12"/>
                <w:szCs w:val="12"/>
              </w:rPr>
            </w:pPr>
            <w:r>
              <w:rPr>
                <w:rFonts w:ascii="宋体"/>
                <w:w w:val="110"/>
                <w:sz w:val="12"/>
              </w:rPr>
              <w:t>-</w:t>
              <w:tab/>
            </w:r>
            <w:r>
              <w:rPr>
                <w:rFonts w:ascii="宋体"/>
                <w:w w:val="105"/>
                <w:sz w:val="12"/>
              </w:rPr>
              <w:t>35,757,491,831</w:t>
            </w:r>
            <w:r>
              <w:rPr>
                <w:rFonts w:ascii="宋体"/>
                <w:sz w:val="12"/>
              </w:rPr>
            </w:r>
          </w:p>
        </w:tc>
        <w:tc>
          <w:tcPr>
            <w:tcW w:w="735"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right="53"/>
              <w:jc w:val="right"/>
              <w:rPr>
                <w:rFonts w:ascii="宋体" w:hAnsi="宋体" w:cs="宋体" w:eastAsia="宋体" w:hint="default"/>
                <w:sz w:val="12"/>
                <w:szCs w:val="12"/>
              </w:rPr>
            </w:pPr>
            <w:r>
              <w:rPr>
                <w:rFonts w:ascii="宋体"/>
                <w:w w:val="90"/>
                <w:sz w:val="12"/>
              </w:rPr>
              <w:t>(5,958,090)</w:t>
            </w:r>
            <w:r>
              <w:rPr>
                <w:rFonts w:ascii="宋体"/>
                <w:sz w:val="12"/>
              </w:rPr>
            </w:r>
          </w:p>
        </w:tc>
      </w:tr>
      <w:tr>
        <w:trPr>
          <w:trHeight w:val="350" w:hRule="exact"/>
        </w:trPr>
        <w:tc>
          <w:tcPr>
            <w:tcW w:w="2067" w:type="dxa"/>
            <w:tcBorders>
              <w:top w:val="single" w:sz="6" w:space="0" w:color="000000"/>
              <w:left w:val="nil" w:sz="6" w:space="0" w:color="auto"/>
              <w:bottom w:val="nil" w:sz="6" w:space="0" w:color="auto"/>
              <w:right w:val="nil" w:sz="6" w:space="0" w:color="auto"/>
            </w:tcBorders>
          </w:tcPr>
          <w:p>
            <w:pPr>
              <w:pStyle w:val="TableParagraph"/>
              <w:tabs>
                <w:tab w:pos="1118" w:val="left" w:leader="none"/>
              </w:tabs>
              <w:spacing w:line="240" w:lineRule="auto" w:before="76"/>
              <w:ind w:right="1"/>
              <w:jc w:val="center"/>
              <w:rPr>
                <w:rFonts w:ascii="宋体" w:hAnsi="宋体" w:cs="宋体" w:eastAsia="宋体" w:hint="default"/>
                <w:sz w:val="12"/>
                <w:szCs w:val="12"/>
              </w:rPr>
            </w:pPr>
            <w:r>
              <w:rPr>
                <w:rFonts w:ascii="宋体" w:hAnsi="宋体" w:cs="宋体" w:eastAsia="宋体" w:hint="default"/>
                <w:sz w:val="12"/>
                <w:szCs w:val="12"/>
              </w:rPr>
              <w:t>合计</w:t>
              <w:tab/>
              <w:t>35,601,711,266</w:t>
            </w:r>
          </w:p>
        </w:tc>
        <w:tc>
          <w:tcPr>
            <w:tcW w:w="927"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100"/>
              <w:jc w:val="right"/>
              <w:rPr>
                <w:rFonts w:ascii="宋体" w:hAnsi="宋体" w:cs="宋体" w:eastAsia="宋体" w:hint="default"/>
                <w:sz w:val="12"/>
                <w:szCs w:val="12"/>
              </w:rPr>
            </w:pPr>
            <w:r>
              <w:rPr>
                <w:rFonts w:ascii="宋体"/>
                <w:w w:val="95"/>
                <w:sz w:val="12"/>
              </w:rPr>
              <w:t>1,073,268,090</w:t>
            </w:r>
            <w:r>
              <w:rPr>
                <w:rFonts w:ascii="宋体"/>
                <w:sz w:val="12"/>
              </w:rPr>
            </w:r>
          </w:p>
        </w:tc>
        <w:tc>
          <w:tcPr>
            <w:tcW w:w="1486" w:type="dxa"/>
            <w:tcBorders>
              <w:top w:val="single" w:sz="6" w:space="0" w:color="000000"/>
              <w:left w:val="nil" w:sz="6" w:space="0" w:color="auto"/>
              <w:bottom w:val="nil" w:sz="6" w:space="0" w:color="auto"/>
              <w:right w:val="nil" w:sz="6" w:space="0" w:color="auto"/>
            </w:tcBorders>
          </w:tcPr>
          <w:p>
            <w:pPr>
              <w:pStyle w:val="TableParagraph"/>
              <w:tabs>
                <w:tab w:pos="413" w:val="left" w:leader="none"/>
              </w:tabs>
              <w:spacing w:line="240" w:lineRule="auto" w:before="76"/>
              <w:ind w:right="202"/>
              <w:jc w:val="right"/>
              <w:rPr>
                <w:rFonts w:ascii="宋体" w:hAnsi="宋体" w:cs="宋体" w:eastAsia="宋体" w:hint="default"/>
                <w:sz w:val="12"/>
                <w:szCs w:val="12"/>
              </w:rPr>
            </w:pPr>
            <w:r>
              <w:rPr>
                <w:rFonts w:ascii="宋体"/>
                <w:w w:val="110"/>
                <w:sz w:val="12"/>
              </w:rPr>
              <w:t>-</w:t>
              <w:tab/>
            </w:r>
            <w:r>
              <w:rPr>
                <w:rFonts w:ascii="宋体"/>
                <w:w w:val="95"/>
                <w:sz w:val="12"/>
              </w:rPr>
              <w:t>2,236,142,456</w:t>
            </w:r>
            <w:r>
              <w:rPr>
                <w:rFonts w:ascii="宋体"/>
                <w:sz w:val="12"/>
              </w:rPr>
            </w:r>
          </w:p>
        </w:tc>
        <w:tc>
          <w:tcPr>
            <w:tcW w:w="1175"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85"/>
              <w:jc w:val="right"/>
              <w:rPr>
                <w:rFonts w:ascii="宋体" w:hAnsi="宋体" w:cs="宋体" w:eastAsia="宋体" w:hint="default"/>
                <w:sz w:val="12"/>
                <w:szCs w:val="12"/>
              </w:rPr>
            </w:pPr>
            <w:r>
              <w:rPr>
                <w:rFonts w:ascii="宋体"/>
                <w:w w:val="115"/>
                <w:sz w:val="12"/>
              </w:rPr>
              <w:t>-</w:t>
            </w:r>
            <w:r>
              <w:rPr>
                <w:rFonts w:ascii="宋体"/>
                <w:spacing w:val="-14"/>
                <w:w w:val="115"/>
                <w:sz w:val="12"/>
              </w:rPr>
              <w:t> </w:t>
            </w:r>
            <w:r>
              <w:rPr>
                <w:rFonts w:ascii="宋体"/>
                <w:w w:val="115"/>
                <w:sz w:val="12"/>
              </w:rPr>
              <w:t>838,561,791</w:t>
            </w:r>
          </w:p>
        </w:tc>
        <w:tc>
          <w:tcPr>
            <w:tcW w:w="821"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67"/>
              <w:jc w:val="right"/>
              <w:rPr>
                <w:rFonts w:ascii="宋体" w:hAnsi="宋体" w:cs="宋体" w:eastAsia="宋体" w:hint="default"/>
                <w:sz w:val="12"/>
                <w:szCs w:val="12"/>
              </w:rPr>
            </w:pPr>
            <w:r>
              <w:rPr>
                <w:rFonts w:ascii="宋体"/>
                <w:w w:val="90"/>
                <w:sz w:val="12"/>
              </w:rPr>
              <w:t>(19,850,288)</w:t>
            </w:r>
            <w:r>
              <w:rPr>
                <w:rFonts w:ascii="宋体"/>
                <w:sz w:val="12"/>
              </w:rPr>
            </w:r>
          </w:p>
        </w:tc>
        <w:tc>
          <w:tcPr>
            <w:tcW w:w="770"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100"/>
              <w:jc w:val="right"/>
              <w:rPr>
                <w:rFonts w:ascii="宋体" w:hAnsi="宋体" w:cs="宋体" w:eastAsia="宋体" w:hint="default"/>
                <w:sz w:val="12"/>
                <w:szCs w:val="12"/>
              </w:rPr>
            </w:pPr>
            <w:r>
              <w:rPr>
                <w:rFonts w:ascii="宋体"/>
                <w:w w:val="90"/>
                <w:sz w:val="12"/>
              </w:rPr>
              <w:t>(5,958,090)</w:t>
            </w:r>
            <w:r>
              <w:rPr>
                <w:rFonts w:ascii="宋体"/>
                <w:sz w:val="12"/>
              </w:rPr>
            </w:r>
          </w:p>
        </w:tc>
        <w:tc>
          <w:tcPr>
            <w:tcW w:w="1316" w:type="dxa"/>
            <w:tcBorders>
              <w:top w:val="single" w:sz="6" w:space="0" w:color="000000"/>
              <w:left w:val="nil" w:sz="6" w:space="0" w:color="auto"/>
              <w:bottom w:val="nil" w:sz="6" w:space="0" w:color="auto"/>
              <w:right w:val="nil" w:sz="6" w:space="0" w:color="auto"/>
            </w:tcBorders>
          </w:tcPr>
          <w:p>
            <w:pPr>
              <w:pStyle w:val="TableParagraph"/>
              <w:tabs>
                <w:tab w:pos="322" w:val="left" w:leader="none"/>
              </w:tabs>
              <w:spacing w:line="240" w:lineRule="auto" w:before="76"/>
              <w:ind w:left="20" w:right="0"/>
              <w:jc w:val="center"/>
              <w:rPr>
                <w:rFonts w:ascii="宋体" w:hAnsi="宋体" w:cs="宋体" w:eastAsia="宋体" w:hint="default"/>
                <w:sz w:val="12"/>
                <w:szCs w:val="12"/>
              </w:rPr>
            </w:pPr>
            <w:r>
              <w:rPr>
                <w:rFonts w:ascii="宋体"/>
                <w:w w:val="110"/>
                <w:sz w:val="12"/>
              </w:rPr>
              <w:t>-</w:t>
              <w:tab/>
            </w:r>
            <w:r>
              <w:rPr>
                <w:rFonts w:ascii="宋体"/>
                <w:w w:val="105"/>
                <w:sz w:val="12"/>
              </w:rPr>
              <w:t>39,723,875,225</w:t>
            </w:r>
            <w:r>
              <w:rPr>
                <w:rFonts w:ascii="宋体"/>
                <w:sz w:val="12"/>
              </w:rPr>
            </w:r>
          </w:p>
        </w:tc>
        <w:tc>
          <w:tcPr>
            <w:tcW w:w="735"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54"/>
              <w:jc w:val="right"/>
              <w:rPr>
                <w:rFonts w:ascii="宋体" w:hAnsi="宋体" w:cs="宋体" w:eastAsia="宋体" w:hint="default"/>
                <w:sz w:val="12"/>
                <w:szCs w:val="12"/>
              </w:rPr>
            </w:pPr>
            <w:r>
              <w:rPr>
                <w:rFonts w:ascii="宋体"/>
                <w:w w:val="90"/>
                <w:sz w:val="12"/>
              </w:rPr>
              <w:t>(5,958,090)</w:t>
            </w:r>
            <w:r>
              <w:rPr>
                <w:rFonts w:ascii="宋体"/>
                <w:sz w:val="12"/>
              </w:rPr>
            </w:r>
          </w:p>
        </w:tc>
      </w:tr>
    </w:tbl>
    <w:p>
      <w:pPr>
        <w:spacing w:line="240" w:lineRule="auto" w:before="1"/>
        <w:rPr>
          <w:rFonts w:ascii="宋体" w:hAnsi="宋体" w:cs="宋体" w:eastAsia="宋体" w:hint="default"/>
          <w:sz w:val="2"/>
          <w:szCs w:val="2"/>
        </w:rPr>
      </w:pPr>
    </w:p>
    <w:p>
      <w:pPr>
        <w:spacing w:line="40" w:lineRule="exact"/>
        <w:ind w:left="43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089;height:2" coordorigin="20,20" coordsize="1089,2">
              <v:shape style="position:absolute;left:20;top:20;width:1089;height:2" coordorigin="20,20" coordsize="1089,0" path="m20,20l1109,20e" filled="false" stroked="true" strokeweight="2pt" strokecolor="#9f8958">
                <v:path arrowok="t"/>
              </v:shape>
            </v:group>
            <v:group style="position:absolute;left:1109;top:20;width:976;height:2" coordorigin="1109,20" coordsize="976,2">
              <v:shape style="position:absolute;left:1109;top:20;width:976;height:2" coordorigin="1109,20" coordsize="976,0" path="m1109,20l2084,20e" filled="false" stroked="true" strokeweight="2pt" strokecolor="#9f8958">
                <v:path arrowok="t"/>
              </v:shape>
            </v:group>
            <v:group style="position:absolute;left:2084;top:20;width:885;height:2" coordorigin="2084,20" coordsize="885,2">
              <v:shape style="position:absolute;left:2084;top:20;width:885;height:2" coordorigin="2084,20" coordsize="885,0" path="m2084,20l2968,20e" filled="false" stroked="true" strokeweight="2pt" strokecolor="#9f8958">
                <v:path arrowok="t"/>
              </v:shape>
            </v:group>
            <v:group style="position:absolute;left:2968;top:20;width:375;height:2" coordorigin="2968,20" coordsize="375,2">
              <v:shape style="position:absolute;left:2968;top:20;width:375;height:2" coordorigin="2968,20" coordsize="375,0" path="m2968,20l3342,20e" filled="false" stroked="true" strokeweight="2pt" strokecolor="#9f8958">
                <v:path arrowok="t"/>
              </v:shape>
            </v:group>
            <v:group style="position:absolute;left:3342;top:20;width:1010;height:2" coordorigin="3342,20" coordsize="1010,2">
              <v:shape style="position:absolute;left:3342;top:20;width:1010;height:2" coordorigin="3342,20" coordsize="1010,0" path="m3342,20l4351,20e" filled="false" stroked="true" strokeweight="2pt" strokecolor="#9f8958">
                <v:path arrowok="t"/>
              </v:shape>
            </v:group>
            <v:group style="position:absolute;left:4351;top:20;width:488;height:2" coordorigin="4351,20" coordsize="488,2">
              <v:shape style="position:absolute;left:4351;top:20;width:488;height:2" coordorigin="4351,20" coordsize="488,0" path="m4351,20l4839,20e" filled="false" stroked="true" strokeweight="2pt" strokecolor="#9f8958">
                <v:path arrowok="t"/>
              </v:shape>
            </v:group>
            <v:group style="position:absolute;left:4839;top:20;width:806;height:2" coordorigin="4839,20" coordsize="806,2">
              <v:shape style="position:absolute;left:4839;top:20;width:806;height:2" coordorigin="4839,20" coordsize="806,0" path="m4839,20l5644,20e" filled="false" stroked="true" strokeweight="2pt" strokecolor="#9f8958">
                <v:path arrowok="t"/>
              </v:shape>
            </v:group>
            <v:group style="position:absolute;left:5644;top:20;width:840;height:2" coordorigin="5644,20" coordsize="840,2">
              <v:shape style="position:absolute;left:5644;top:20;width:840;height:2" coordorigin="5644,20" coordsize="840,0" path="m5644,20l6483,20e" filled="false" stroked="true" strokeweight="2pt" strokecolor="#9f8958">
                <v:path arrowok="t"/>
              </v:shape>
            </v:group>
            <v:group style="position:absolute;left:6483;top:20;width:737;height:2" coordorigin="6483,20" coordsize="737,2">
              <v:shape style="position:absolute;left:6483;top:20;width:737;height:2" coordorigin="6483,20" coordsize="737,0" path="m6483,20l7220,20e" filled="false" stroked="true" strokeweight="2pt" strokecolor="#9f8958">
                <v:path arrowok="t"/>
              </v:shape>
            </v:group>
            <v:group style="position:absolute;left:7220;top:20;width:375;height:2" coordorigin="7220,20" coordsize="375,2">
              <v:shape style="position:absolute;left:7220;top:20;width:375;height:2" coordorigin="7220,20" coordsize="375,0" path="m7220,20l7594,20e" filled="false" stroked="true" strokeweight="2pt" strokecolor="#9f8958">
                <v:path arrowok="t"/>
              </v:shape>
            </v:group>
            <v:group style="position:absolute;left:7594;top:20;width:964;height:2" coordorigin="7594,20" coordsize="964,2">
              <v:shape style="position:absolute;left:7594;top:20;width:964;height:2" coordorigin="7594,20" coordsize="964,0" path="m7594,20l8558,20e" filled="false" stroked="true" strokeweight="2pt" strokecolor="#9f8958">
                <v:path arrowok="t"/>
              </v:shape>
            </v:group>
            <v:group style="position:absolute;left:8558;top:20;width:760;height:2" coordorigin="8558,20" coordsize="760,2">
              <v:shape style="position:absolute;left:8558;top:20;width:760;height:2" coordorigin="8558,20" coordsize="760,0" path="m8558,20l9318,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type w:val="continuous"/>
          <w:pgSz w:w="11910" w:h="16160"/>
          <w:pgMar w:top="1520" w:bottom="280" w:left="680" w:right="1340"/>
        </w:sectPr>
      </w:pPr>
    </w:p>
    <w:p>
      <w:pPr>
        <w:spacing w:line="240" w:lineRule="auto" w:before="3"/>
        <w:rPr>
          <w:rFonts w:ascii="宋体" w:hAnsi="宋体" w:cs="宋体" w:eastAsia="宋体" w:hint="default"/>
          <w:sz w:val="14"/>
          <w:szCs w:val="14"/>
        </w:rPr>
      </w:pPr>
    </w:p>
    <w:p>
      <w:pPr>
        <w:pStyle w:val="BodyText"/>
        <w:spacing w:line="240" w:lineRule="auto" w:before="31"/>
        <w:ind w:left="114" w:right="95"/>
        <w:jc w:val="left"/>
      </w:pPr>
      <w:r>
        <w:rPr/>
        <w:t>10、其他权益工具投资</w:t>
      </w:r>
      <w:r>
        <w:rPr>
          <w:spacing w:val="-54"/>
        </w:rPr>
        <w:t> </w:t>
      </w:r>
      <w:r>
        <w:rPr>
          <w:w w:val="95"/>
        </w:rPr>
        <w:t>/</w:t>
      </w:r>
      <w:r>
        <w:rPr>
          <w:spacing w:val="-49"/>
          <w:w w:val="95"/>
        </w:rPr>
        <w:t> </w:t>
      </w:r>
      <w:r>
        <w:rPr/>
        <w:t>可供出售金融资产</w:t>
      </w:r>
    </w:p>
    <w:p>
      <w:pPr>
        <w:spacing w:line="240" w:lineRule="auto" w:before="7"/>
        <w:rPr>
          <w:rFonts w:ascii="宋体" w:hAnsi="宋体" w:cs="宋体" w:eastAsia="宋体" w:hint="default"/>
          <w:sz w:val="15"/>
          <w:szCs w:val="15"/>
        </w:rPr>
      </w:pPr>
    </w:p>
    <w:tbl>
      <w:tblPr>
        <w:tblW w:w="0" w:type="auto"/>
        <w:jc w:val="left"/>
        <w:tblInd w:w="419" w:type="dxa"/>
        <w:tblLayout w:type="fixed"/>
        <w:tblCellMar>
          <w:top w:w="0" w:type="dxa"/>
          <w:left w:w="0" w:type="dxa"/>
          <w:bottom w:w="0" w:type="dxa"/>
          <w:right w:w="0" w:type="dxa"/>
        </w:tblCellMar>
        <w:tblLook w:val="01E0"/>
      </w:tblPr>
      <w:tblGrid>
        <w:gridCol w:w="4862"/>
        <w:gridCol w:w="4457"/>
      </w:tblGrid>
      <w:tr>
        <w:trPr>
          <w:trHeight w:val="843" w:hRule="exact"/>
        </w:trPr>
        <w:tc>
          <w:tcPr>
            <w:tcW w:w="4862"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其他权益工具投资</w:t>
            </w:r>
          </w:p>
        </w:tc>
        <w:tc>
          <w:tcPr>
            <w:tcW w:w="445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86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对交通银行的股票投资</w:t>
            </w:r>
          </w:p>
        </w:tc>
        <w:tc>
          <w:tcPr>
            <w:tcW w:w="445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146,975,276</w:t>
            </w:r>
          </w:p>
        </w:tc>
      </w:tr>
      <w:tr>
        <w:trPr>
          <w:trHeight w:val="273" w:hRule="exact"/>
        </w:trPr>
        <w:tc>
          <w:tcPr>
            <w:tcW w:w="4862" w:type="dxa"/>
            <w:tcBorders>
              <w:top w:val="nil" w:sz="6" w:space="0" w:color="auto"/>
              <w:left w:val="nil" w:sz="6" w:space="0" w:color="auto"/>
              <w:bottom w:val="nil" w:sz="6" w:space="0" w:color="auto"/>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z w:val="16"/>
                <w:szCs w:val="16"/>
              </w:rPr>
              <w:t>对西班牙电信的股票投资</w:t>
            </w:r>
          </w:p>
        </w:tc>
        <w:tc>
          <w:tcPr>
            <w:tcW w:w="445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3,697,639,436</w:t>
            </w:r>
            <w:r>
              <w:rPr>
                <w:rFonts w:ascii="宋体"/>
                <w:sz w:val="16"/>
              </w:rPr>
            </w:r>
          </w:p>
        </w:tc>
      </w:tr>
      <w:tr>
        <w:trPr>
          <w:trHeight w:val="331" w:hRule="exact"/>
        </w:trPr>
        <w:tc>
          <w:tcPr>
            <w:tcW w:w="4862" w:type="dxa"/>
            <w:tcBorders>
              <w:top w:val="nil" w:sz="6" w:space="0" w:color="auto"/>
              <w:left w:val="nil" w:sz="6" w:space="0" w:color="auto"/>
              <w:bottom w:val="single" w:sz="6" w:space="0" w:color="000000"/>
              <w:right w:val="nil" w:sz="6" w:space="0" w:color="auto"/>
            </w:tcBorders>
          </w:tcPr>
          <w:p>
            <w:pPr>
              <w:pStyle w:val="TableParagraph"/>
              <w:spacing w:line="205" w:lineRule="exact"/>
              <w:ind w:left="148"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4457"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58,280,271</w:t>
            </w:r>
            <w:r>
              <w:rPr>
                <w:rFonts w:ascii="宋体"/>
                <w:sz w:val="16"/>
              </w:rPr>
            </w:r>
          </w:p>
        </w:tc>
      </w:tr>
      <w:tr>
        <w:trPr>
          <w:trHeight w:val="393" w:hRule="exact"/>
        </w:trPr>
        <w:tc>
          <w:tcPr>
            <w:tcW w:w="4862"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4457"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3,902,894,983</w:t>
            </w:r>
            <w:r>
              <w:rPr>
                <w:rFonts w:ascii="宋体"/>
                <w:sz w:val="16"/>
              </w:rPr>
            </w:r>
          </w:p>
        </w:tc>
      </w:tr>
    </w:tbl>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2pt;height:2pt;mso-position-horizontal-relative:char;mso-position-vertical-relative:line" coordorigin="0,0" coordsize="9324,40">
            <v:group style="position:absolute;left:20;top:20;width:2321;height:2" coordorigin="20,20" coordsize="2321,2">
              <v:shape style="position:absolute;left:20;top:20;width:2321;height:2" coordorigin="20,20" coordsize="2321,0" path="m20,20l2341,20e" filled="false" stroked="true" strokeweight="2pt" strokecolor="#9f8958">
                <v:path arrowok="t"/>
              </v:shape>
            </v:group>
            <v:group style="position:absolute;left:2341;top:20;width:2321;height:2" coordorigin="2341,20" coordsize="2321,2">
              <v:shape style="position:absolute;left:2341;top:20;width:2321;height:2" coordorigin="2341,20" coordsize="2321,0" path="m2341,20l4662,20e" filled="false" stroked="true" strokeweight="2pt" strokecolor="#9f8958">
                <v:path arrowok="t"/>
              </v:shape>
            </v:group>
            <v:group style="position:absolute;left:4662;top:20;width:2321;height:2" coordorigin="4662,20" coordsize="2321,2">
              <v:shape style="position:absolute;left:4662;top:20;width:2321;height:2" coordorigin="4662,20" coordsize="2321,0" path="m4662,20l6983,20e" filled="false" stroked="true" strokeweight="2pt" strokecolor="#9f8958">
                <v:path arrowok="t"/>
              </v:shape>
            </v:group>
            <v:group style="position:absolute;left:6983;top:20;width:2321;height:2" coordorigin="6983,20" coordsize="2321,2">
              <v:shape style="position:absolute;left:6983;top:20;width:2321;height:2" coordorigin="6983,20" coordsize="2321,0" path="m6983,20l9303,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285" w:lineRule="auto" w:before="31"/>
        <w:ind w:right="95"/>
        <w:jc w:val="left"/>
      </w:pPr>
      <w:r>
        <w:rPr/>
        <w:t>本集团执行新金融工具准则后，对于原分类为可供出售的金融资产，本集团选择将非交易性权益工具投资不可撤销地</w:t>
      </w:r>
      <w:r>
        <w:rPr>
          <w:spacing w:val="7"/>
        </w:rPr>
        <w:t> </w:t>
      </w:r>
      <w:r>
        <w:rPr>
          <w:spacing w:val="7"/>
        </w:rPr>
      </w:r>
      <w:r>
        <w:rPr/>
        <w:t>指定为以公允价值计量且其变动计入其他综合收益（不得在未来结转计入当期损益），列示为其他权益工具投资。</w:t>
      </w:r>
    </w:p>
    <w:p>
      <w:pPr>
        <w:spacing w:line="240" w:lineRule="auto" w:before="5"/>
        <w:rPr>
          <w:rFonts w:ascii="宋体" w:hAnsi="宋体" w:cs="宋体" w:eastAsia="宋体" w:hint="default"/>
          <w:sz w:val="11"/>
          <w:szCs w:val="11"/>
        </w:rPr>
      </w:pPr>
    </w:p>
    <w:tbl>
      <w:tblPr>
        <w:tblW w:w="0" w:type="auto"/>
        <w:jc w:val="left"/>
        <w:tblInd w:w="419" w:type="dxa"/>
        <w:tblLayout w:type="fixed"/>
        <w:tblCellMar>
          <w:top w:w="0" w:type="dxa"/>
          <w:left w:w="0" w:type="dxa"/>
          <w:bottom w:w="0" w:type="dxa"/>
          <w:right w:w="0" w:type="dxa"/>
        </w:tblCellMar>
        <w:tblLook w:val="01E0"/>
      </w:tblPr>
      <w:tblGrid>
        <w:gridCol w:w="2356"/>
        <w:gridCol w:w="2497"/>
        <w:gridCol w:w="2681"/>
        <w:gridCol w:w="1784"/>
      </w:tblGrid>
      <w:tr>
        <w:trPr>
          <w:trHeight w:val="836" w:hRule="exact"/>
        </w:trPr>
        <w:tc>
          <w:tcPr>
            <w:tcW w:w="2356"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2497" w:type="dxa"/>
            <w:tcBorders>
              <w:top w:val="nil" w:sz="6" w:space="0" w:color="auto"/>
              <w:left w:val="nil" w:sz="6" w:space="0" w:color="auto"/>
              <w:bottom w:val="single" w:sz="6" w:space="0" w:color="000000"/>
              <w:right w:val="nil" w:sz="6" w:space="0" w:color="auto"/>
            </w:tcBorders>
          </w:tcPr>
          <w:p>
            <w:pPr/>
          </w:p>
        </w:tc>
        <w:tc>
          <w:tcPr>
            <w:tcW w:w="2681"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289"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784" w:type="dxa"/>
            <w:tcBorders>
              <w:top w:val="nil" w:sz="6" w:space="0" w:color="auto"/>
              <w:left w:val="nil" w:sz="6" w:space="0" w:color="auto"/>
              <w:bottom w:val="single" w:sz="6" w:space="0" w:color="000000"/>
              <w:right w:val="nil" w:sz="6" w:space="0" w:color="auto"/>
            </w:tcBorders>
          </w:tcPr>
          <w:p>
            <w:pPr/>
          </w:p>
        </w:tc>
      </w:tr>
      <w:tr>
        <w:trPr>
          <w:trHeight w:val="414" w:hRule="exact"/>
        </w:trPr>
        <w:tc>
          <w:tcPr>
            <w:tcW w:w="2356" w:type="dxa"/>
            <w:tcBorders>
              <w:top w:val="nil" w:sz="6" w:space="0" w:color="auto"/>
              <w:left w:val="nil" w:sz="6" w:space="0" w:color="auto"/>
              <w:bottom w:val="single" w:sz="16" w:space="0" w:color="9F8958"/>
              <w:right w:val="nil" w:sz="6" w:space="0" w:color="auto"/>
            </w:tcBorders>
          </w:tcPr>
          <w:p>
            <w:pPr/>
          </w:p>
        </w:tc>
        <w:tc>
          <w:tcPr>
            <w:tcW w:w="249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87"/>
              <w:jc w:val="right"/>
              <w:rPr>
                <w:rFonts w:ascii="宋体" w:hAnsi="宋体" w:cs="宋体" w:eastAsia="宋体" w:hint="default"/>
                <w:sz w:val="16"/>
                <w:szCs w:val="16"/>
              </w:rPr>
            </w:pPr>
            <w:r>
              <w:rPr>
                <w:rFonts w:ascii="宋体" w:hAnsi="宋体" w:cs="宋体" w:eastAsia="宋体" w:hint="default"/>
                <w:sz w:val="16"/>
                <w:szCs w:val="16"/>
              </w:rPr>
              <w:t>账面余额</w:t>
            </w:r>
          </w:p>
        </w:tc>
        <w:tc>
          <w:tcPr>
            <w:tcW w:w="268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648"/>
              <w:jc w:val="right"/>
              <w:rPr>
                <w:rFonts w:ascii="宋体" w:hAnsi="宋体" w:cs="宋体" w:eastAsia="宋体" w:hint="default"/>
                <w:sz w:val="16"/>
                <w:szCs w:val="16"/>
              </w:rPr>
            </w:pPr>
            <w:r>
              <w:rPr>
                <w:rFonts w:ascii="宋体" w:hAnsi="宋体" w:cs="宋体" w:eastAsia="宋体" w:hint="default"/>
                <w:sz w:val="16"/>
                <w:szCs w:val="16"/>
              </w:rPr>
              <w:t>减值准备</w:t>
            </w:r>
          </w:p>
        </w:tc>
        <w:tc>
          <w:tcPr>
            <w:tcW w:w="178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账面价值</w:t>
            </w:r>
          </w:p>
        </w:tc>
      </w:tr>
      <w:tr>
        <w:trPr>
          <w:trHeight w:val="909" w:hRule="exact"/>
        </w:trPr>
        <w:tc>
          <w:tcPr>
            <w:tcW w:w="235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可供出售权益工具</w:t>
            </w:r>
          </w:p>
          <w:p>
            <w:pPr>
              <w:pStyle w:val="TableParagraph"/>
              <w:spacing w:line="314" w:lineRule="auto" w:before="64"/>
              <w:ind w:left="281" w:right="472" w:hanging="133"/>
              <w:jc w:val="left"/>
              <w:rPr>
                <w:rFonts w:ascii="宋体" w:hAnsi="宋体" w:cs="宋体" w:eastAsia="宋体" w:hint="default"/>
                <w:sz w:val="16"/>
                <w:szCs w:val="16"/>
              </w:rPr>
            </w:pPr>
            <w:r>
              <w:rPr>
                <w:rFonts w:ascii="宋体" w:hAnsi="宋体" w:cs="宋体" w:eastAsia="宋体" w:hint="default"/>
                <w:w w:val="105"/>
                <w:sz w:val="16"/>
                <w:szCs w:val="16"/>
              </w:rPr>
              <w:t>-</w:t>
            </w:r>
            <w:r>
              <w:rPr>
                <w:rFonts w:ascii="宋体" w:hAnsi="宋体" w:cs="宋体" w:eastAsia="宋体" w:hint="default"/>
                <w:spacing w:val="-49"/>
                <w:w w:val="105"/>
                <w:sz w:val="16"/>
                <w:szCs w:val="16"/>
              </w:rPr>
              <w:t> </w:t>
            </w:r>
            <w:r>
              <w:rPr>
                <w:rFonts w:ascii="宋体" w:hAnsi="宋体" w:cs="宋体" w:eastAsia="宋体" w:hint="default"/>
                <w:w w:val="105"/>
                <w:sz w:val="16"/>
                <w:szCs w:val="16"/>
              </w:rPr>
              <w:t>按公允价值计量的</w:t>
            </w:r>
            <w:r>
              <w:rPr>
                <w:rFonts w:ascii="宋体" w:hAnsi="宋体" w:cs="宋体" w:eastAsia="宋体" w:hint="default"/>
                <w:sz w:val="16"/>
                <w:szCs w:val="16"/>
              </w:rPr>
              <w:t> 对交通银行的股票投资</w:t>
            </w:r>
          </w:p>
        </w:tc>
        <w:tc>
          <w:tcPr>
            <w:tcW w:w="2497"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87"/>
              <w:jc w:val="right"/>
              <w:rPr>
                <w:rFonts w:ascii="宋体" w:hAnsi="宋体" w:cs="宋体" w:eastAsia="宋体" w:hint="default"/>
                <w:sz w:val="16"/>
                <w:szCs w:val="16"/>
              </w:rPr>
            </w:pPr>
            <w:r>
              <w:rPr>
                <w:rFonts w:ascii="宋体"/>
                <w:sz w:val="16"/>
              </w:rPr>
              <w:t>157,636,695</w:t>
            </w:r>
          </w:p>
        </w:tc>
        <w:tc>
          <w:tcPr>
            <w:tcW w:w="2681"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48"/>
              <w:jc w:val="right"/>
              <w:rPr>
                <w:rFonts w:ascii="宋体" w:hAnsi="宋体" w:cs="宋体" w:eastAsia="宋体" w:hint="default"/>
                <w:sz w:val="16"/>
                <w:szCs w:val="16"/>
              </w:rPr>
            </w:pPr>
            <w:r>
              <w:rPr>
                <w:rFonts w:ascii="宋体"/>
                <w:w w:val="131"/>
                <w:sz w:val="16"/>
              </w:rPr>
              <w:t>-</w:t>
            </w:r>
            <w:r>
              <w:rPr>
                <w:rFonts w:ascii="宋体"/>
                <w:sz w:val="16"/>
              </w:rPr>
            </w:r>
          </w:p>
        </w:tc>
        <w:tc>
          <w:tcPr>
            <w:tcW w:w="1784"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10"/>
              <w:jc w:val="right"/>
              <w:rPr>
                <w:rFonts w:ascii="宋体" w:hAnsi="宋体" w:cs="宋体" w:eastAsia="宋体" w:hint="default"/>
                <w:sz w:val="16"/>
                <w:szCs w:val="16"/>
              </w:rPr>
            </w:pPr>
            <w:r>
              <w:rPr>
                <w:rFonts w:ascii="宋体"/>
                <w:sz w:val="16"/>
              </w:rPr>
              <w:t>157,636,695</w:t>
            </w:r>
          </w:p>
        </w:tc>
      </w:tr>
      <w:tr>
        <w:trPr>
          <w:trHeight w:val="273" w:hRule="exact"/>
        </w:trPr>
        <w:tc>
          <w:tcPr>
            <w:tcW w:w="2356" w:type="dxa"/>
            <w:tcBorders>
              <w:top w:val="nil" w:sz="6" w:space="0" w:color="auto"/>
              <w:left w:val="nil" w:sz="6" w:space="0" w:color="auto"/>
              <w:bottom w:val="nil" w:sz="6" w:space="0" w:color="auto"/>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sz w:val="16"/>
                <w:szCs w:val="16"/>
              </w:rPr>
              <w:t>对西班牙电信的股票投资</w:t>
            </w:r>
          </w:p>
        </w:tc>
        <w:tc>
          <w:tcPr>
            <w:tcW w:w="2497" w:type="dxa"/>
            <w:tcBorders>
              <w:top w:val="nil" w:sz="6" w:space="0" w:color="auto"/>
              <w:left w:val="nil" w:sz="6" w:space="0" w:color="auto"/>
              <w:bottom w:val="nil" w:sz="6" w:space="0" w:color="auto"/>
              <w:right w:val="nil" w:sz="6" w:space="0" w:color="auto"/>
            </w:tcBorders>
          </w:tcPr>
          <w:p>
            <w:pPr>
              <w:pStyle w:val="TableParagraph"/>
              <w:spacing w:line="205" w:lineRule="exact"/>
              <w:ind w:right="287"/>
              <w:jc w:val="right"/>
              <w:rPr>
                <w:rFonts w:ascii="宋体" w:hAnsi="宋体" w:cs="宋体" w:eastAsia="宋体" w:hint="default"/>
                <w:sz w:val="16"/>
                <w:szCs w:val="16"/>
              </w:rPr>
            </w:pPr>
            <w:r>
              <w:rPr>
                <w:rFonts w:ascii="宋体"/>
                <w:w w:val="95"/>
                <w:sz w:val="16"/>
              </w:rPr>
              <w:t>4,070,155,300</w:t>
            </w:r>
            <w:r>
              <w:rPr>
                <w:rFonts w:ascii="宋体"/>
                <w:sz w:val="16"/>
              </w:rPr>
            </w:r>
          </w:p>
        </w:tc>
        <w:tc>
          <w:tcPr>
            <w:tcW w:w="2681" w:type="dxa"/>
            <w:tcBorders>
              <w:top w:val="nil" w:sz="6" w:space="0" w:color="auto"/>
              <w:left w:val="nil" w:sz="6" w:space="0" w:color="auto"/>
              <w:bottom w:val="nil" w:sz="6" w:space="0" w:color="auto"/>
              <w:right w:val="nil" w:sz="6" w:space="0" w:color="auto"/>
            </w:tcBorders>
          </w:tcPr>
          <w:p>
            <w:pPr>
              <w:pStyle w:val="TableParagraph"/>
              <w:spacing w:line="205" w:lineRule="exact"/>
              <w:ind w:right="648"/>
              <w:jc w:val="right"/>
              <w:rPr>
                <w:rFonts w:ascii="宋体" w:hAnsi="宋体" w:cs="宋体" w:eastAsia="宋体" w:hint="default"/>
                <w:sz w:val="16"/>
                <w:szCs w:val="16"/>
              </w:rPr>
            </w:pPr>
            <w:r>
              <w:rPr>
                <w:rFonts w:ascii="宋体"/>
                <w:w w:val="131"/>
                <w:sz w:val="16"/>
              </w:rPr>
              <w:t>-</w:t>
            </w:r>
            <w:r>
              <w:rPr>
                <w:rFonts w:ascii="宋体"/>
                <w:sz w:val="16"/>
              </w:rPr>
            </w:r>
          </w:p>
        </w:tc>
        <w:tc>
          <w:tcPr>
            <w:tcW w:w="178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4,070,155,300</w:t>
            </w:r>
            <w:r>
              <w:rPr>
                <w:rFonts w:ascii="宋体"/>
                <w:sz w:val="16"/>
              </w:rPr>
            </w:r>
          </w:p>
        </w:tc>
      </w:tr>
      <w:tr>
        <w:trPr>
          <w:trHeight w:val="330" w:hRule="exact"/>
        </w:trPr>
        <w:tc>
          <w:tcPr>
            <w:tcW w:w="2356" w:type="dxa"/>
            <w:tcBorders>
              <w:top w:val="nil" w:sz="6" w:space="0" w:color="auto"/>
              <w:left w:val="nil" w:sz="6" w:space="0" w:color="auto"/>
              <w:bottom w:val="single" w:sz="6" w:space="0" w:color="000000"/>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497" w:type="dxa"/>
            <w:tcBorders>
              <w:top w:val="nil" w:sz="6" w:space="0" w:color="auto"/>
              <w:left w:val="nil" w:sz="6" w:space="0" w:color="auto"/>
              <w:bottom w:val="single" w:sz="6" w:space="0" w:color="000000"/>
              <w:right w:val="nil" w:sz="6" w:space="0" w:color="auto"/>
            </w:tcBorders>
          </w:tcPr>
          <w:p>
            <w:pPr>
              <w:pStyle w:val="TableParagraph"/>
              <w:spacing w:line="205" w:lineRule="exact"/>
              <w:ind w:right="287"/>
              <w:jc w:val="right"/>
              <w:rPr>
                <w:rFonts w:ascii="宋体" w:hAnsi="宋体" w:cs="宋体" w:eastAsia="宋体" w:hint="default"/>
                <w:sz w:val="16"/>
                <w:szCs w:val="16"/>
              </w:rPr>
            </w:pPr>
            <w:r>
              <w:rPr>
                <w:rFonts w:ascii="宋体"/>
                <w:w w:val="95"/>
                <w:sz w:val="16"/>
              </w:rPr>
              <w:t>58,280,271</w:t>
            </w:r>
            <w:r>
              <w:rPr>
                <w:rFonts w:ascii="宋体"/>
                <w:sz w:val="16"/>
              </w:rPr>
            </w:r>
          </w:p>
        </w:tc>
        <w:tc>
          <w:tcPr>
            <w:tcW w:w="2681" w:type="dxa"/>
            <w:tcBorders>
              <w:top w:val="nil" w:sz="6" w:space="0" w:color="auto"/>
              <w:left w:val="nil" w:sz="6" w:space="0" w:color="auto"/>
              <w:bottom w:val="single" w:sz="6" w:space="0" w:color="000000"/>
              <w:right w:val="nil" w:sz="6" w:space="0" w:color="auto"/>
            </w:tcBorders>
          </w:tcPr>
          <w:p>
            <w:pPr>
              <w:pStyle w:val="TableParagraph"/>
              <w:spacing w:line="205" w:lineRule="exact"/>
              <w:ind w:right="648"/>
              <w:jc w:val="right"/>
              <w:rPr>
                <w:rFonts w:ascii="宋体" w:hAnsi="宋体" w:cs="宋体" w:eastAsia="宋体" w:hint="default"/>
                <w:sz w:val="16"/>
                <w:szCs w:val="16"/>
              </w:rPr>
            </w:pPr>
            <w:r>
              <w:rPr>
                <w:rFonts w:ascii="宋体"/>
                <w:w w:val="131"/>
                <w:sz w:val="16"/>
              </w:rPr>
              <w:t>-</w:t>
            </w:r>
            <w:r>
              <w:rPr>
                <w:rFonts w:ascii="宋体"/>
                <w:sz w:val="16"/>
              </w:rPr>
            </w:r>
          </w:p>
        </w:tc>
        <w:tc>
          <w:tcPr>
            <w:tcW w:w="1784"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58,280,271</w:t>
            </w:r>
            <w:r>
              <w:rPr>
                <w:rFonts w:ascii="宋体"/>
                <w:sz w:val="16"/>
              </w:rPr>
            </w:r>
          </w:p>
        </w:tc>
      </w:tr>
      <w:tr>
        <w:trPr>
          <w:trHeight w:val="393" w:hRule="exact"/>
        </w:trPr>
        <w:tc>
          <w:tcPr>
            <w:tcW w:w="2356"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497"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287"/>
              <w:jc w:val="right"/>
              <w:rPr>
                <w:rFonts w:ascii="宋体" w:hAnsi="宋体" w:cs="宋体" w:eastAsia="宋体" w:hint="default"/>
                <w:sz w:val="16"/>
                <w:szCs w:val="16"/>
              </w:rPr>
            </w:pPr>
            <w:r>
              <w:rPr>
                <w:rFonts w:ascii="宋体"/>
                <w:w w:val="95"/>
                <w:sz w:val="16"/>
              </w:rPr>
              <w:t>4,286,072,266</w:t>
            </w:r>
            <w:r>
              <w:rPr>
                <w:rFonts w:ascii="宋体"/>
                <w:sz w:val="16"/>
              </w:rPr>
            </w:r>
          </w:p>
        </w:tc>
        <w:tc>
          <w:tcPr>
            <w:tcW w:w="2681"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648"/>
              <w:jc w:val="right"/>
              <w:rPr>
                <w:rFonts w:ascii="宋体" w:hAnsi="宋体" w:cs="宋体" w:eastAsia="宋体" w:hint="default"/>
                <w:sz w:val="16"/>
                <w:szCs w:val="16"/>
              </w:rPr>
            </w:pPr>
            <w:r>
              <w:rPr>
                <w:rFonts w:ascii="宋体"/>
                <w:w w:val="131"/>
                <w:sz w:val="16"/>
              </w:rPr>
              <w:t>-</w:t>
            </w:r>
            <w:r>
              <w:rPr>
                <w:rFonts w:ascii="宋体"/>
                <w:sz w:val="16"/>
              </w:rPr>
            </w:r>
          </w:p>
        </w:tc>
        <w:tc>
          <w:tcPr>
            <w:tcW w:w="1784"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4,286,072,266</w:t>
            </w:r>
            <w:r>
              <w:rPr>
                <w:rFonts w:ascii="宋体"/>
                <w:sz w:val="16"/>
              </w:rPr>
            </w:r>
          </w:p>
        </w:tc>
      </w:tr>
    </w:tbl>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2pt;height:2pt;mso-position-horizontal-relative:char;mso-position-vertical-relative:line" coordorigin="0,0" coordsize="9324,40">
            <v:group style="position:absolute;left:20;top:20;width:2321;height:2" coordorigin="20,20" coordsize="2321,2">
              <v:shape style="position:absolute;left:20;top:20;width:2321;height:2" coordorigin="20,20" coordsize="2321,0" path="m20,20l2341,20e" filled="false" stroked="true" strokeweight="2pt" strokecolor="#9f8958">
                <v:path arrowok="t"/>
              </v:shape>
            </v:group>
            <v:group style="position:absolute;left:2341;top:20;width:2321;height:2" coordorigin="2341,20" coordsize="2321,2">
              <v:shape style="position:absolute;left:2341;top:20;width:2321;height:2" coordorigin="2341,20" coordsize="2321,0" path="m2341,20l4662,20e" filled="false" stroked="true" strokeweight="2pt" strokecolor="#9f8958">
                <v:path arrowok="t"/>
              </v:shape>
            </v:group>
            <v:group style="position:absolute;left:4662;top:20;width:2321;height:2" coordorigin="4662,20" coordsize="2321,2">
              <v:shape style="position:absolute;left:4662;top:20;width:2321;height:2" coordorigin="4662,20" coordsize="2321,0" path="m4662,20l6983,20e" filled="false" stroked="true" strokeweight="2pt" strokecolor="#9f8958">
                <v:path arrowok="t"/>
              </v:shape>
            </v:group>
            <v:group style="position:absolute;left:6983;top:20;width:2321;height:2" coordorigin="6983,20" coordsize="2321,2">
              <v:shape style="position:absolute;left:6983;top:20;width:2321;height:2" coordorigin="6983,20" coordsize="2321,0" path="m6983,20l9303,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pgSz w:w="11910" w:h="16160"/>
          <w:pgMar w:header="2776" w:footer="298" w:top="296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53" w:right="0"/>
        <w:jc w:val="left"/>
      </w:pPr>
      <w:r>
        <w:rPr/>
        <w:t>11、固定资产</w:t>
      </w:r>
    </w:p>
    <w:p>
      <w:pPr>
        <w:spacing w:line="240" w:lineRule="auto" w:before="7"/>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375"/>
        <w:gridCol w:w="1980"/>
        <w:gridCol w:w="1905"/>
        <w:gridCol w:w="1901"/>
        <w:gridCol w:w="1812"/>
        <w:gridCol w:w="1685"/>
      </w:tblGrid>
      <w:tr>
        <w:trPr>
          <w:trHeight w:val="843" w:hRule="exact"/>
        </w:trPr>
        <w:tc>
          <w:tcPr>
            <w:tcW w:w="37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w w:val="80"/>
                <w:sz w:val="18"/>
              </w:rPr>
              <w:t>(a)</w:t>
            </w:r>
            <w:r>
              <w:rPr>
                <w:rFonts w:ascii="宋体"/>
                <w:sz w:val="18"/>
              </w:rPr>
            </w:r>
          </w:p>
        </w:tc>
        <w:tc>
          <w:tcPr>
            <w:tcW w:w="1980"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固定资产情况</w:t>
            </w:r>
          </w:p>
        </w:tc>
        <w:tc>
          <w:tcPr>
            <w:tcW w:w="1905"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83"/>
              <w:jc w:val="right"/>
              <w:rPr>
                <w:rFonts w:ascii="宋体" w:hAnsi="宋体" w:cs="宋体" w:eastAsia="宋体" w:hint="default"/>
                <w:sz w:val="16"/>
                <w:szCs w:val="16"/>
              </w:rPr>
            </w:pPr>
            <w:r>
              <w:rPr>
                <w:rFonts w:ascii="宋体" w:hAnsi="宋体" w:cs="宋体" w:eastAsia="宋体" w:hint="default"/>
                <w:sz w:val="16"/>
                <w:szCs w:val="16"/>
              </w:rPr>
              <w:t>房屋建筑物</w:t>
            </w:r>
          </w:p>
        </w:tc>
        <w:tc>
          <w:tcPr>
            <w:tcW w:w="1901"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27"/>
              <w:jc w:val="right"/>
              <w:rPr>
                <w:rFonts w:ascii="宋体" w:hAnsi="宋体" w:cs="宋体" w:eastAsia="宋体" w:hint="default"/>
                <w:sz w:val="16"/>
                <w:szCs w:val="16"/>
              </w:rPr>
            </w:pPr>
            <w:r>
              <w:rPr>
                <w:rFonts w:ascii="宋体" w:hAnsi="宋体" w:cs="宋体" w:eastAsia="宋体" w:hint="default"/>
                <w:sz w:val="16"/>
                <w:szCs w:val="16"/>
              </w:rPr>
              <w:t>通信设备</w:t>
            </w:r>
          </w:p>
        </w:tc>
        <w:tc>
          <w:tcPr>
            <w:tcW w:w="1812"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83"/>
              <w:jc w:val="right"/>
              <w:rPr>
                <w:rFonts w:ascii="宋体" w:hAnsi="宋体" w:cs="宋体" w:eastAsia="宋体" w:hint="default"/>
                <w:sz w:val="16"/>
                <w:szCs w:val="16"/>
              </w:rPr>
            </w:pPr>
            <w:r>
              <w:rPr>
                <w:rFonts w:ascii="宋体" w:hAnsi="宋体" w:cs="宋体" w:eastAsia="宋体" w:hint="default"/>
                <w:sz w:val="16"/>
                <w:szCs w:val="16"/>
              </w:rPr>
              <w:t>办公设备及其他</w:t>
            </w:r>
          </w:p>
        </w:tc>
        <w:tc>
          <w:tcPr>
            <w:tcW w:w="1685"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sz w:val="16"/>
                <w:szCs w:val="16"/>
              </w:rPr>
              <w:t>合计</w:t>
            </w:r>
          </w:p>
        </w:tc>
      </w:tr>
      <w:tr>
        <w:trPr>
          <w:trHeight w:val="362" w:hRule="exact"/>
        </w:trPr>
        <w:tc>
          <w:tcPr>
            <w:tcW w:w="375" w:type="dxa"/>
            <w:tcBorders>
              <w:top w:val="nil" w:sz="6" w:space="0" w:color="auto"/>
              <w:left w:val="nil" w:sz="6" w:space="0" w:color="auto"/>
              <w:bottom w:val="nil" w:sz="6" w:space="0" w:color="auto"/>
              <w:right w:val="nil" w:sz="6" w:space="0" w:color="auto"/>
            </w:tcBorders>
          </w:tcPr>
          <w:p>
            <w:pPr/>
          </w:p>
        </w:tc>
        <w:tc>
          <w:tcPr>
            <w:tcW w:w="198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原值</w:t>
            </w:r>
          </w:p>
        </w:tc>
        <w:tc>
          <w:tcPr>
            <w:tcW w:w="1905" w:type="dxa"/>
            <w:tcBorders>
              <w:top w:val="single" w:sz="16" w:space="0" w:color="9F8958"/>
              <w:left w:val="nil" w:sz="6" w:space="0" w:color="auto"/>
              <w:bottom w:val="nil" w:sz="6" w:space="0" w:color="auto"/>
              <w:right w:val="nil" w:sz="6" w:space="0" w:color="auto"/>
            </w:tcBorders>
          </w:tcPr>
          <w:p>
            <w:pPr/>
          </w:p>
        </w:tc>
        <w:tc>
          <w:tcPr>
            <w:tcW w:w="1901" w:type="dxa"/>
            <w:tcBorders>
              <w:top w:val="single" w:sz="16" w:space="0" w:color="9F8958"/>
              <w:left w:val="nil" w:sz="6" w:space="0" w:color="auto"/>
              <w:bottom w:val="nil" w:sz="6" w:space="0" w:color="auto"/>
              <w:right w:val="nil" w:sz="6" w:space="0" w:color="auto"/>
            </w:tcBorders>
          </w:tcPr>
          <w:p>
            <w:pPr/>
          </w:p>
        </w:tc>
        <w:tc>
          <w:tcPr>
            <w:tcW w:w="1812" w:type="dxa"/>
            <w:tcBorders>
              <w:top w:val="single" w:sz="16" w:space="0" w:color="9F8958"/>
              <w:left w:val="nil" w:sz="6" w:space="0" w:color="auto"/>
              <w:bottom w:val="nil" w:sz="6" w:space="0" w:color="auto"/>
              <w:right w:val="nil" w:sz="6" w:space="0" w:color="auto"/>
            </w:tcBorders>
          </w:tcPr>
          <w:p>
            <w:pPr/>
          </w:p>
        </w:tc>
        <w:tc>
          <w:tcPr>
            <w:tcW w:w="1685" w:type="dxa"/>
            <w:tcBorders>
              <w:top w:val="single" w:sz="16" w:space="0" w:color="9F8958"/>
              <w:left w:val="nil" w:sz="6" w:space="0" w:color="auto"/>
              <w:bottom w:val="nil" w:sz="6" w:space="0" w:color="auto"/>
              <w:right w:val="nil" w:sz="6" w:space="0" w:color="auto"/>
            </w:tcBorders>
          </w:tcPr>
          <w:p>
            <w:pP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1905"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5"/>
                <w:sz w:val="16"/>
              </w:rPr>
              <w:t>71,545,899,836</w:t>
            </w:r>
            <w:r>
              <w:rPr>
                <w:rFonts w:ascii="宋体"/>
                <w:sz w:val="16"/>
              </w:rPr>
            </w:r>
          </w:p>
        </w:tc>
        <w:tc>
          <w:tcPr>
            <w:tcW w:w="1901"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5"/>
                <w:sz w:val="16"/>
              </w:rPr>
              <w:t>874,903,349,057</w:t>
            </w:r>
            <w:r>
              <w:rPr>
                <w:rFonts w:ascii="宋体"/>
                <w:sz w:val="16"/>
              </w:rPr>
            </w:r>
          </w:p>
        </w:tc>
        <w:tc>
          <w:tcPr>
            <w:tcW w:w="1812"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5"/>
                <w:sz w:val="16"/>
              </w:rPr>
              <w:t>20,193,318,722</w:t>
            </w:r>
            <w:r>
              <w:rPr>
                <w:rFonts w:ascii="宋体"/>
                <w:sz w:val="16"/>
              </w:rPr>
            </w:r>
          </w:p>
        </w:tc>
        <w:tc>
          <w:tcPr>
            <w:tcW w:w="168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966,642,567,615</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本年增加</w:t>
            </w:r>
          </w:p>
        </w:tc>
        <w:tc>
          <w:tcPr>
            <w:tcW w:w="1905"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5"/>
                <w:sz w:val="16"/>
              </w:rPr>
              <w:t>3,097,055,715</w:t>
            </w:r>
            <w:r>
              <w:rPr>
                <w:rFonts w:ascii="宋体"/>
                <w:sz w:val="16"/>
              </w:rPr>
            </w:r>
          </w:p>
        </w:tc>
        <w:tc>
          <w:tcPr>
            <w:tcW w:w="1901"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5"/>
                <w:sz w:val="16"/>
              </w:rPr>
              <w:t>45,273,615,917</w:t>
            </w:r>
            <w:r>
              <w:rPr>
                <w:rFonts w:ascii="宋体"/>
                <w:sz w:val="16"/>
              </w:rPr>
            </w:r>
          </w:p>
        </w:tc>
        <w:tc>
          <w:tcPr>
            <w:tcW w:w="1812"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5"/>
                <w:sz w:val="16"/>
              </w:rPr>
              <w:t>1,141,524,963</w:t>
            </w:r>
            <w:r>
              <w:rPr>
                <w:rFonts w:ascii="宋体"/>
                <w:sz w:val="16"/>
              </w:rPr>
            </w:r>
          </w:p>
        </w:tc>
        <w:tc>
          <w:tcPr>
            <w:tcW w:w="168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49,512,196,595</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购置</w:t>
            </w:r>
          </w:p>
        </w:tc>
        <w:tc>
          <w:tcPr>
            <w:tcW w:w="1905"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sz w:val="16"/>
              </w:rPr>
              <w:t>137,785,141</w:t>
            </w:r>
          </w:p>
        </w:tc>
        <w:tc>
          <w:tcPr>
            <w:tcW w:w="1901"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sz w:val="16"/>
              </w:rPr>
              <w:t>469,105,938</w:t>
            </w:r>
          </w:p>
        </w:tc>
        <w:tc>
          <w:tcPr>
            <w:tcW w:w="1812"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sz w:val="16"/>
              </w:rPr>
              <w:t>395,902,670</w:t>
            </w:r>
          </w:p>
        </w:tc>
        <w:tc>
          <w:tcPr>
            <w:tcW w:w="168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1,002,793,749</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16"/>
                <w:sz w:val="16"/>
                <w:szCs w:val="16"/>
              </w:rPr>
              <w:t> </w:t>
            </w:r>
            <w:r>
              <w:rPr>
                <w:rFonts w:ascii="宋体" w:hAnsi="宋体" w:cs="宋体" w:eastAsia="宋体" w:hint="default"/>
                <w:sz w:val="16"/>
                <w:szCs w:val="16"/>
              </w:rPr>
              <w:t>在建工程转入</w:t>
            </w:r>
          </w:p>
        </w:tc>
        <w:tc>
          <w:tcPr>
            <w:tcW w:w="1905"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5"/>
                <w:sz w:val="16"/>
              </w:rPr>
              <w:t>2,959,270,574</w:t>
            </w:r>
            <w:r>
              <w:rPr>
                <w:rFonts w:ascii="宋体"/>
                <w:sz w:val="16"/>
              </w:rPr>
            </w:r>
          </w:p>
        </w:tc>
        <w:tc>
          <w:tcPr>
            <w:tcW w:w="1901"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5"/>
                <w:sz w:val="16"/>
              </w:rPr>
              <w:t>44,804,509,979</w:t>
            </w:r>
            <w:r>
              <w:rPr>
                <w:rFonts w:ascii="宋体"/>
                <w:sz w:val="16"/>
              </w:rPr>
            </w:r>
          </w:p>
        </w:tc>
        <w:tc>
          <w:tcPr>
            <w:tcW w:w="1812"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sz w:val="16"/>
              </w:rPr>
              <w:t>745,622,293</w:t>
            </w:r>
          </w:p>
        </w:tc>
        <w:tc>
          <w:tcPr>
            <w:tcW w:w="168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48,509,402,846</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本年处置或报废</w:t>
            </w:r>
          </w:p>
        </w:tc>
        <w:tc>
          <w:tcPr>
            <w:tcW w:w="1905"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0"/>
                <w:sz w:val="16"/>
              </w:rPr>
              <w:t>(295,983,699)</w:t>
            </w:r>
            <w:r>
              <w:rPr>
                <w:rFonts w:ascii="宋体"/>
                <w:sz w:val="16"/>
              </w:rPr>
            </w:r>
          </w:p>
        </w:tc>
        <w:tc>
          <w:tcPr>
            <w:tcW w:w="1901"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0"/>
                <w:sz w:val="16"/>
              </w:rPr>
              <w:t>(69,581,687,719)</w:t>
            </w:r>
            <w:r>
              <w:rPr>
                <w:rFonts w:ascii="宋体"/>
                <w:sz w:val="16"/>
              </w:rPr>
            </w:r>
          </w:p>
        </w:tc>
        <w:tc>
          <w:tcPr>
            <w:tcW w:w="1812"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0"/>
                <w:sz w:val="16"/>
              </w:rPr>
              <w:t>(1,231,720,642)</w:t>
            </w:r>
            <w:r>
              <w:rPr>
                <w:rFonts w:ascii="宋体"/>
                <w:sz w:val="16"/>
              </w:rPr>
            </w:r>
          </w:p>
        </w:tc>
        <w:tc>
          <w:tcPr>
            <w:tcW w:w="168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(71,109,392,060)</w:t>
            </w:r>
            <w:r>
              <w:rPr>
                <w:rFonts w:ascii="宋体"/>
                <w:sz w:val="16"/>
              </w:rPr>
            </w:r>
          </w:p>
        </w:tc>
      </w:tr>
      <w:tr>
        <w:trPr>
          <w:trHeight w:val="711" w:hRule="exact"/>
        </w:trPr>
        <w:tc>
          <w:tcPr>
            <w:tcW w:w="375" w:type="dxa"/>
            <w:tcBorders>
              <w:top w:val="nil" w:sz="6" w:space="0" w:color="auto"/>
              <w:left w:val="nil" w:sz="6" w:space="0" w:color="auto"/>
              <w:bottom w:val="nil" w:sz="6" w:space="0" w:color="auto"/>
              <w:right w:val="nil" w:sz="6" w:space="0" w:color="auto"/>
            </w:tcBorders>
          </w:tcPr>
          <w:p>
            <w:pPr/>
          </w:p>
        </w:tc>
        <w:tc>
          <w:tcPr>
            <w:tcW w:w="1980"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年末余额</w:t>
            </w:r>
          </w:p>
          <w:p>
            <w:pPr>
              <w:pStyle w:val="TableParagraph"/>
              <w:spacing w:line="240" w:lineRule="auto" w:before="1"/>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16"/>
                <w:szCs w:val="16"/>
              </w:rPr>
            </w:pPr>
            <w:r>
              <w:rPr>
                <w:rFonts w:ascii="宋体" w:hAnsi="宋体" w:cs="宋体" w:eastAsia="宋体" w:hint="default"/>
                <w:sz w:val="16"/>
                <w:szCs w:val="16"/>
              </w:rPr>
              <w:t>累计折旧</w:t>
            </w:r>
          </w:p>
        </w:tc>
        <w:tc>
          <w:tcPr>
            <w:tcW w:w="1905"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5"/>
                <w:sz w:val="16"/>
              </w:rPr>
              <w:t>74,346,971,852</w:t>
            </w:r>
            <w:r>
              <w:rPr>
                <w:rFonts w:ascii="宋体"/>
                <w:sz w:val="16"/>
              </w:rPr>
            </w:r>
          </w:p>
        </w:tc>
        <w:tc>
          <w:tcPr>
            <w:tcW w:w="1901" w:type="dxa"/>
            <w:tcBorders>
              <w:top w:val="nil" w:sz="6" w:space="0" w:color="auto"/>
              <w:left w:val="nil" w:sz="6" w:space="0" w:color="auto"/>
              <w:bottom w:val="nil" w:sz="6" w:space="0" w:color="auto"/>
              <w:right w:val="nil" w:sz="6" w:space="0" w:color="auto"/>
            </w:tcBorders>
          </w:tcPr>
          <w:p>
            <w:pPr>
              <w:pStyle w:val="TableParagraph"/>
              <w:spacing w:line="205" w:lineRule="exact"/>
              <w:ind w:right="326"/>
              <w:jc w:val="right"/>
              <w:rPr>
                <w:rFonts w:ascii="宋体" w:hAnsi="宋体" w:cs="宋体" w:eastAsia="宋体" w:hint="default"/>
                <w:sz w:val="16"/>
                <w:szCs w:val="16"/>
              </w:rPr>
            </w:pPr>
            <w:r>
              <w:rPr>
                <w:rFonts w:ascii="宋体"/>
                <w:w w:val="95"/>
                <w:sz w:val="16"/>
              </w:rPr>
              <w:t>850,595,277,255</w:t>
            </w:r>
            <w:r>
              <w:rPr>
                <w:rFonts w:ascii="宋体"/>
                <w:sz w:val="16"/>
              </w:rPr>
            </w:r>
          </w:p>
        </w:tc>
        <w:tc>
          <w:tcPr>
            <w:tcW w:w="1812" w:type="dxa"/>
            <w:tcBorders>
              <w:top w:val="nil" w:sz="6" w:space="0" w:color="auto"/>
              <w:left w:val="nil" w:sz="6" w:space="0" w:color="auto"/>
              <w:bottom w:val="nil" w:sz="6" w:space="0" w:color="auto"/>
              <w:right w:val="nil" w:sz="6" w:space="0" w:color="auto"/>
            </w:tcBorders>
          </w:tcPr>
          <w:p>
            <w:pPr>
              <w:pStyle w:val="TableParagraph"/>
              <w:spacing w:line="205" w:lineRule="exact"/>
              <w:ind w:right="282"/>
              <w:jc w:val="right"/>
              <w:rPr>
                <w:rFonts w:ascii="宋体" w:hAnsi="宋体" w:cs="宋体" w:eastAsia="宋体" w:hint="default"/>
                <w:sz w:val="16"/>
                <w:szCs w:val="16"/>
              </w:rPr>
            </w:pPr>
            <w:r>
              <w:rPr>
                <w:rFonts w:ascii="宋体"/>
                <w:w w:val="95"/>
                <w:sz w:val="16"/>
              </w:rPr>
              <w:t>20,103,123,043</w:t>
            </w:r>
            <w:r>
              <w:rPr>
                <w:rFonts w:ascii="宋体"/>
                <w:sz w:val="16"/>
              </w:rPr>
            </w:r>
          </w:p>
        </w:tc>
        <w:tc>
          <w:tcPr>
            <w:tcW w:w="168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945,045,372,150</w:t>
            </w:r>
            <w:r>
              <w:rPr>
                <w:rFonts w:ascii="宋体"/>
                <w:sz w:val="16"/>
              </w:rPr>
            </w:r>
          </w:p>
        </w:tc>
      </w:tr>
    </w:tbl>
    <w:p>
      <w:pPr>
        <w:tabs>
          <w:tab w:pos="2895" w:val="left" w:leader="none"/>
          <w:tab w:pos="4663" w:val="left" w:leader="none"/>
          <w:tab w:pos="6609" w:val="left" w:leader="none"/>
          <w:tab w:pos="8377" w:val="left" w:leader="none"/>
        </w:tabs>
        <w:spacing w:line="173" w:lineRule="exact" w:before="0"/>
        <w:ind w:left="777" w:right="0" w:firstLine="0"/>
        <w:jc w:val="left"/>
        <w:rPr>
          <w:rFonts w:ascii="宋体" w:hAnsi="宋体" w:cs="宋体" w:eastAsia="宋体" w:hint="default"/>
          <w:sz w:val="16"/>
          <w:szCs w:val="16"/>
        </w:rPr>
      </w:pPr>
      <w:r>
        <w:rPr/>
        <w:pict>
          <v:group style="position:absolute;margin-left:56.317799pt;margin-top:-19.4221pt;width:464.95pt;height:.75pt;mso-position-horizontal-relative:page;mso-position-vertical-relative:paragraph;z-index:-959944" coordorigin="1126,-388" coordsize="9299,15">
            <v:group style="position:absolute;left:1134;top:-381;width:1857;height:2" coordorigin="1134,-381" coordsize="1857,2">
              <v:shape style="position:absolute;left:1134;top:-381;width:1857;height:2" coordorigin="1134,-381" coordsize="1857,0" path="m1134,-381l2991,-381e" filled="false" stroked="true" strokeweight=".75pt" strokecolor="#000000">
                <v:path arrowok="t"/>
              </v:shape>
            </v:group>
            <v:group style="position:absolute;left:2991;top:-381;width:1857;height:2" coordorigin="2991,-381" coordsize="1857,2">
              <v:shape style="position:absolute;left:2991;top:-381;width:1857;height:2" coordorigin="2991,-381" coordsize="1857,0" path="m2991,-381l4847,-381e" filled="false" stroked="true" strokeweight=".75pt" strokecolor="#000000">
                <v:path arrowok="t"/>
              </v:shape>
            </v:group>
            <v:group style="position:absolute;left:4847;top:-381;width:1857;height:2" coordorigin="4847,-381" coordsize="1857,2">
              <v:shape style="position:absolute;left:4847;top:-381;width:1857;height:2" coordorigin="4847,-381" coordsize="1857,0" path="m4847,-381l6704,-381e" filled="false" stroked="true" strokeweight=".75pt" strokecolor="#000000">
                <v:path arrowok="t"/>
              </v:shape>
            </v:group>
            <v:group style="position:absolute;left:6704;top:-381;width:1857;height:2" coordorigin="6704,-381" coordsize="1857,2">
              <v:shape style="position:absolute;left:6704;top:-381;width:1857;height:2" coordorigin="6704,-381" coordsize="1857,0" path="m6704,-381l8561,-381e" filled="false" stroked="true" strokeweight=".75pt" strokecolor="#000000">
                <v:path arrowok="t"/>
              </v:shape>
            </v:group>
            <v:group style="position:absolute;left:8561;top:-381;width:1857;height:2" coordorigin="8561,-381" coordsize="1857,2">
              <v:shape style="position:absolute;left:8561;top:-381;width:1857;height:2" coordorigin="8561,-381" coordsize="1857,0" path="m8561,-381l10417,-381e" filled="false" stroked="true" strokeweight=".75pt" strokecolor="#000000">
                <v:path arrowok="t"/>
              </v:shape>
            </v:group>
            <w10:wrap type="none"/>
          </v:group>
        </w:pict>
      </w:r>
      <w:r>
        <w:rPr>
          <w:rFonts w:ascii="宋体" w:hAnsi="宋体" w:cs="宋体" w:eastAsia="宋体" w:hint="default"/>
          <w:sz w:val="16"/>
          <w:szCs w:val="16"/>
        </w:rPr>
        <w:t>年初余额</w:t>
        <w:tab/>
      </w:r>
      <w:r>
        <w:rPr>
          <w:rFonts w:ascii="宋体" w:hAnsi="宋体" w:cs="宋体" w:eastAsia="宋体" w:hint="default"/>
          <w:w w:val="90"/>
          <w:sz w:val="16"/>
          <w:szCs w:val="16"/>
        </w:rPr>
        <w:t>(31,265,626,701)</w:t>
        <w:tab/>
        <w:t>(554,504,344,315)</w:t>
        <w:tab/>
        <w:t>(15,561,526,364)</w:t>
        <w:tab/>
      </w:r>
      <w:r>
        <w:rPr>
          <w:rFonts w:ascii="宋体" w:hAnsi="宋体" w:cs="宋体" w:eastAsia="宋体" w:hint="default"/>
          <w:sz w:val="16"/>
          <w:szCs w:val="16"/>
        </w:rPr>
        <w:t>(601,331,497,380)</w:t>
      </w:r>
    </w:p>
    <w:p>
      <w:pPr>
        <w:tabs>
          <w:tab w:pos="2984" w:val="left" w:leader="none"/>
          <w:tab w:pos="4752" w:val="left" w:leader="none"/>
          <w:tab w:pos="6698" w:val="left" w:leader="none"/>
          <w:tab w:pos="8466" w:val="left" w:leader="none"/>
        </w:tabs>
        <w:spacing w:before="64"/>
        <w:ind w:left="777" w:right="0" w:firstLine="0"/>
        <w:jc w:val="left"/>
        <w:rPr>
          <w:rFonts w:ascii="宋体" w:hAnsi="宋体" w:cs="宋体" w:eastAsia="宋体" w:hint="default"/>
          <w:sz w:val="16"/>
          <w:szCs w:val="16"/>
        </w:rPr>
      </w:pPr>
      <w:r>
        <w:rPr>
          <w:rFonts w:ascii="宋体" w:hAnsi="宋体" w:cs="宋体" w:eastAsia="宋体" w:hint="default"/>
          <w:sz w:val="16"/>
          <w:szCs w:val="16"/>
        </w:rPr>
        <w:t>本年计提</w:t>
        <w:tab/>
      </w:r>
      <w:r>
        <w:rPr>
          <w:rFonts w:ascii="宋体" w:hAnsi="宋体" w:cs="宋体" w:eastAsia="宋体" w:hint="default"/>
          <w:w w:val="90"/>
          <w:sz w:val="16"/>
          <w:szCs w:val="16"/>
        </w:rPr>
        <w:t>(2,715,482,225)</w:t>
        <w:tab/>
        <w:t>(62,318,833,237)</w:t>
        <w:tab/>
        <w:t>(1,271,320,934)</w:t>
        <w:tab/>
      </w:r>
      <w:r>
        <w:rPr>
          <w:rFonts w:ascii="宋体" w:hAnsi="宋体" w:cs="宋体" w:eastAsia="宋体" w:hint="default"/>
          <w:sz w:val="16"/>
          <w:szCs w:val="16"/>
        </w:rPr>
        <w:t>(66,305,636,396)</w:t>
      </w:r>
    </w:p>
    <w:p>
      <w:pPr>
        <w:tabs>
          <w:tab w:pos="3206" w:val="left" w:leader="none"/>
          <w:tab w:pos="4841" w:val="left" w:leader="none"/>
          <w:tab w:pos="6786" w:val="left" w:leader="none"/>
          <w:tab w:pos="8554" w:val="left" w:leader="none"/>
        </w:tabs>
        <w:spacing w:before="64"/>
        <w:ind w:left="777" w:right="0" w:firstLine="0"/>
        <w:jc w:val="left"/>
        <w:rPr>
          <w:rFonts w:ascii="宋体" w:hAnsi="宋体" w:cs="宋体" w:eastAsia="宋体" w:hint="default"/>
          <w:sz w:val="16"/>
          <w:szCs w:val="16"/>
        </w:rPr>
      </w:pPr>
      <w:r>
        <w:rPr>
          <w:rFonts w:ascii="宋体" w:hAnsi="宋体" w:cs="宋体" w:eastAsia="宋体" w:hint="default"/>
          <w:sz w:val="16"/>
          <w:szCs w:val="16"/>
        </w:rPr>
        <w:t>本年处置或报废</w:t>
        <w:tab/>
        <w:t>203,854,030</w:t>
        <w:tab/>
      </w:r>
      <w:r>
        <w:rPr>
          <w:rFonts w:ascii="宋体" w:hAnsi="宋体" w:cs="宋体" w:eastAsia="宋体" w:hint="default"/>
          <w:w w:val="95"/>
          <w:sz w:val="16"/>
          <w:szCs w:val="16"/>
        </w:rPr>
        <w:t>63,724,330,298</w:t>
        <w:tab/>
        <w:t>1,156,168,822</w:t>
        <w:tab/>
      </w:r>
      <w:r>
        <w:rPr>
          <w:rFonts w:ascii="宋体" w:hAnsi="宋体" w:cs="宋体" w:eastAsia="宋体" w:hint="default"/>
          <w:sz w:val="16"/>
          <w:szCs w:val="16"/>
        </w:rPr>
        <w:t>65,084,353,150</w:t>
      </w:r>
    </w:p>
    <w:p>
      <w:pPr>
        <w:tabs>
          <w:tab w:pos="2895" w:val="left" w:leader="none"/>
          <w:tab w:pos="4663" w:val="left" w:leader="none"/>
          <w:tab w:pos="6609" w:val="left" w:leader="none"/>
          <w:tab w:pos="8377" w:val="left" w:leader="none"/>
        </w:tabs>
        <w:spacing w:before="64"/>
        <w:ind w:left="777" w:right="0" w:firstLine="0"/>
        <w:jc w:val="left"/>
        <w:rPr>
          <w:rFonts w:ascii="宋体" w:hAnsi="宋体" w:cs="宋体" w:eastAsia="宋体" w:hint="default"/>
          <w:sz w:val="16"/>
          <w:szCs w:val="16"/>
        </w:rPr>
      </w:pPr>
      <w:r>
        <w:rPr>
          <w:rFonts w:ascii="宋体" w:hAnsi="宋体" w:cs="宋体" w:eastAsia="宋体" w:hint="default"/>
          <w:sz w:val="16"/>
          <w:szCs w:val="16"/>
        </w:rPr>
        <w:t>年末余额</w:t>
        <w:tab/>
      </w:r>
      <w:r>
        <w:rPr>
          <w:rFonts w:ascii="宋体" w:hAnsi="宋体" w:cs="宋体" w:eastAsia="宋体" w:hint="default"/>
          <w:w w:val="90"/>
          <w:sz w:val="16"/>
          <w:szCs w:val="16"/>
        </w:rPr>
        <w:t>(33,777,254,896)</w:t>
        <w:tab/>
        <w:t>(553,098,847,254)</w:t>
        <w:tab/>
        <w:t>(15,676,678,476)</w:t>
        <w:tab/>
      </w:r>
      <w:r>
        <w:rPr>
          <w:rFonts w:ascii="宋体" w:hAnsi="宋体" w:cs="宋体" w:eastAsia="宋体" w:hint="default"/>
          <w:sz w:val="16"/>
          <w:szCs w:val="16"/>
        </w:rPr>
        <w:t>(602,552,780,626)</w:t>
      </w:r>
    </w:p>
    <w:p>
      <w:pPr>
        <w:spacing w:line="240" w:lineRule="auto" w:before="0"/>
        <w:rPr>
          <w:rFonts w:ascii="宋体" w:hAnsi="宋体" w:cs="宋体" w:eastAsia="宋体" w:hint="default"/>
          <w:sz w:val="9"/>
          <w:szCs w:val="9"/>
        </w:rPr>
      </w:pPr>
    </w:p>
    <w:p>
      <w:pPr>
        <w:spacing w:line="20" w:lineRule="exact"/>
        <w:ind w:left="486" w:right="0" w:firstLine="0"/>
        <w:rPr>
          <w:rFonts w:ascii="宋体" w:hAnsi="宋体" w:cs="宋体" w:eastAsia="宋体" w:hint="default"/>
          <w:sz w:val="2"/>
          <w:szCs w:val="2"/>
        </w:rPr>
      </w:pPr>
      <w:r>
        <w:rPr>
          <w:rFonts w:ascii="宋体" w:hAnsi="宋体" w:cs="宋体" w:eastAsia="宋体" w:hint="default"/>
          <w:sz w:val="2"/>
          <w:szCs w:val="2"/>
        </w:rPr>
        <w:pict>
          <v:group style="width:464.95pt;height:.75pt;mso-position-horizontal-relative:char;mso-position-vertical-relative:line" coordorigin="0,0" coordsize="9299,15">
            <v:group style="position:absolute;left:8;top:8;width:1857;height:2" coordorigin="8,8" coordsize="1857,2">
              <v:shape style="position:absolute;left:8;top:8;width:1857;height:2" coordorigin="8,8" coordsize="1857,0" path="m8,8l1864,8e" filled="false" stroked="true" strokeweight=".75pt" strokecolor="#000000">
                <v:path arrowok="t"/>
              </v:shape>
            </v:group>
            <v:group style="position:absolute;left:1864;top:8;width:1857;height:2" coordorigin="1864,8" coordsize="1857,2">
              <v:shape style="position:absolute;left:1864;top:8;width:1857;height:2" coordorigin="1864,8" coordsize="1857,0" path="m1864,8l3721,8e" filled="false" stroked="true" strokeweight=".75pt" strokecolor="#000000">
                <v:path arrowok="t"/>
              </v:shape>
            </v:group>
            <v:group style="position:absolute;left:3721;top:8;width:1857;height:2" coordorigin="3721,8" coordsize="1857,2">
              <v:shape style="position:absolute;left:3721;top:8;width:1857;height:2" coordorigin="3721,8" coordsize="1857,0" path="m3721,8l5578,8e" filled="false" stroked="true" strokeweight=".75pt" strokecolor="#000000">
                <v:path arrowok="t"/>
              </v:shape>
            </v:group>
            <v:group style="position:absolute;left:5578;top:8;width:1857;height:2" coordorigin="5578,8" coordsize="1857,2">
              <v:shape style="position:absolute;left:5578;top:8;width:1857;height:2" coordorigin="5578,8" coordsize="1857,0" path="m5578,8l7434,8e" filled="false" stroked="true" strokeweight=".75pt" strokecolor="#000000">
                <v:path arrowok="t"/>
              </v:shape>
            </v:group>
            <v:group style="position:absolute;left:7434;top:8;width:1857;height:2" coordorigin="7434,8" coordsize="1857,2">
              <v:shape style="position:absolute;left:7434;top:8;width:1857;height:2" coordorigin="7434,8" coordsize="1857,0" path="m7434,8l9291,8e" filled="false" stroked="true" strokeweight=".75pt" strokecolor="#000000">
                <v:path arrowok="t"/>
              </v:shape>
            </v:group>
          </v:group>
        </w:pict>
      </w:r>
      <w:r>
        <w:rPr>
          <w:rFonts w:ascii="宋体" w:hAnsi="宋体" w:cs="宋体" w:eastAsia="宋体" w:hint="default"/>
          <w:sz w:val="2"/>
          <w:szCs w:val="2"/>
        </w:rPr>
      </w:r>
    </w:p>
    <w:p>
      <w:pPr>
        <w:spacing w:before="59"/>
        <w:ind w:left="607" w:right="0" w:firstLine="0"/>
        <w:jc w:val="left"/>
        <w:rPr>
          <w:rFonts w:ascii="宋体" w:hAnsi="宋体" w:cs="宋体" w:eastAsia="宋体" w:hint="default"/>
          <w:sz w:val="16"/>
          <w:szCs w:val="16"/>
        </w:rPr>
      </w:pPr>
      <w:r>
        <w:rPr/>
        <w:pict>
          <v:group style="position:absolute;margin-left:56.317799pt;margin-top:60.345959pt;width:464.95pt;height:.75pt;mso-position-horizontal-relative:page;mso-position-vertical-relative:paragraph;z-index:-959920" coordorigin="1126,1207" coordsize="9299,15">
            <v:group style="position:absolute;left:1134;top:1214;width:1857;height:2" coordorigin="1134,1214" coordsize="1857,2">
              <v:shape style="position:absolute;left:1134;top:1214;width:1857;height:2" coordorigin="1134,1214" coordsize="1857,0" path="m1134,1214l2991,1214e" filled="false" stroked="true" strokeweight=".75pt" strokecolor="#000000">
                <v:path arrowok="t"/>
              </v:shape>
            </v:group>
            <v:group style="position:absolute;left:2991;top:1214;width:1857;height:2" coordorigin="2991,1214" coordsize="1857,2">
              <v:shape style="position:absolute;left:2991;top:1214;width:1857;height:2" coordorigin="2991,1214" coordsize="1857,0" path="m2991,1214l4847,1214e" filled="false" stroked="true" strokeweight=".75pt" strokecolor="#000000">
                <v:path arrowok="t"/>
              </v:shape>
            </v:group>
            <v:group style="position:absolute;left:4847;top:1214;width:1857;height:2" coordorigin="4847,1214" coordsize="1857,2">
              <v:shape style="position:absolute;left:4847;top:1214;width:1857;height:2" coordorigin="4847,1214" coordsize="1857,0" path="m4847,1214l6704,1214e" filled="false" stroked="true" strokeweight=".75pt" strokecolor="#000000">
                <v:path arrowok="t"/>
              </v:shape>
            </v:group>
            <v:group style="position:absolute;left:6704;top:1214;width:1857;height:2" coordorigin="6704,1214" coordsize="1857,2">
              <v:shape style="position:absolute;left:6704;top:1214;width:1857;height:2" coordorigin="6704,1214" coordsize="1857,0" path="m6704,1214l8561,1214e" filled="false" stroked="true" strokeweight=".75pt" strokecolor="#000000">
                <v:path arrowok="t"/>
              </v:shape>
            </v:group>
            <v:group style="position:absolute;left:8561;top:1214;width:1857;height:2" coordorigin="8561,1214" coordsize="1857,2">
              <v:shape style="position:absolute;left:8561;top:1214;width:1857;height:2" coordorigin="8561,1214" coordsize="1857,0" path="m8561,1214l10417,1214e" filled="false" stroked="true" strokeweight=".75pt" strokecolor="#000000">
                <v:path arrowok="t"/>
              </v:shape>
            </v:group>
            <w10:wrap type="none"/>
          </v:group>
        </w:pict>
      </w:r>
      <w:r>
        <w:rPr>
          <w:rFonts w:ascii="宋体" w:hAnsi="宋体" w:cs="宋体" w:eastAsia="宋体" w:hint="default"/>
          <w:sz w:val="16"/>
          <w:szCs w:val="16"/>
        </w:rPr>
        <w:t>减值准备</w:t>
      </w:r>
    </w:p>
    <w:p>
      <w:pPr>
        <w:spacing w:line="240" w:lineRule="auto" w:before="11"/>
        <w:rPr>
          <w:rFonts w:ascii="宋体" w:hAnsi="宋体" w:cs="宋体" w:eastAsia="宋体" w:hint="default"/>
          <w:sz w:val="2"/>
          <w:szCs w:val="2"/>
        </w:rPr>
      </w:pPr>
    </w:p>
    <w:tbl>
      <w:tblPr>
        <w:tblW w:w="0" w:type="auto"/>
        <w:jc w:val="left"/>
        <w:tblInd w:w="537" w:type="dxa"/>
        <w:tblLayout w:type="fixed"/>
        <w:tblCellMar>
          <w:top w:w="0" w:type="dxa"/>
          <w:left w:w="0" w:type="dxa"/>
          <w:bottom w:w="0" w:type="dxa"/>
          <w:right w:w="0" w:type="dxa"/>
        </w:tblCellMar>
        <w:tblLook w:val="01E0"/>
      </w:tblPr>
      <w:tblGrid>
        <w:gridCol w:w="1904"/>
        <w:gridCol w:w="1983"/>
        <w:gridCol w:w="1946"/>
        <w:gridCol w:w="1768"/>
        <w:gridCol w:w="1598"/>
      </w:tblGrid>
      <w:tr>
        <w:trPr>
          <w:trHeight w:val="305"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40" w:lineRule="auto" w:before="27"/>
              <w:ind w:left="240"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27"/>
              <w:jc w:val="right"/>
              <w:rPr>
                <w:rFonts w:ascii="宋体" w:hAnsi="宋体" w:cs="宋体" w:eastAsia="宋体" w:hint="default"/>
                <w:sz w:val="16"/>
                <w:szCs w:val="16"/>
              </w:rPr>
            </w:pPr>
            <w:r>
              <w:rPr>
                <w:rFonts w:ascii="宋体"/>
                <w:w w:val="90"/>
                <w:sz w:val="16"/>
              </w:rPr>
              <w:t>(15,502)</w:t>
            </w:r>
            <w:r>
              <w:rPr>
                <w:rFonts w:ascii="宋体"/>
                <w:sz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416"/>
              <w:jc w:val="right"/>
              <w:rPr>
                <w:rFonts w:ascii="宋体" w:hAnsi="宋体" w:cs="宋体" w:eastAsia="宋体" w:hint="default"/>
                <w:sz w:val="16"/>
                <w:szCs w:val="16"/>
              </w:rPr>
            </w:pPr>
            <w:r>
              <w:rPr>
                <w:rFonts w:ascii="宋体"/>
                <w:w w:val="90"/>
                <w:sz w:val="16"/>
              </w:rPr>
              <w:t>(1,809,969,636)</w:t>
            </w:r>
            <w:r>
              <w:rPr>
                <w:rFonts w:ascii="宋体"/>
                <w:sz w:val="16"/>
              </w:rPr>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327"/>
              <w:jc w:val="right"/>
              <w:rPr>
                <w:rFonts w:ascii="宋体" w:hAnsi="宋体" w:cs="宋体" w:eastAsia="宋体" w:hint="default"/>
                <w:sz w:val="16"/>
                <w:szCs w:val="16"/>
              </w:rPr>
            </w:pPr>
            <w:r>
              <w:rPr>
                <w:rFonts w:ascii="宋体"/>
                <w:w w:val="90"/>
                <w:sz w:val="16"/>
              </w:rPr>
              <w:t>(1,650,319)</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before="27"/>
              <w:ind w:right="68"/>
              <w:jc w:val="right"/>
              <w:rPr>
                <w:rFonts w:ascii="宋体" w:hAnsi="宋体" w:cs="宋体" w:eastAsia="宋体" w:hint="default"/>
                <w:sz w:val="16"/>
                <w:szCs w:val="16"/>
              </w:rPr>
            </w:pPr>
            <w:r>
              <w:rPr>
                <w:rFonts w:ascii="宋体"/>
                <w:w w:val="90"/>
                <w:sz w:val="16"/>
              </w:rPr>
              <w:t>(1,811,635,457)</w:t>
            </w:r>
            <w:r>
              <w:rPr>
                <w:rFonts w:ascii="宋体"/>
                <w:sz w:val="16"/>
              </w:rPr>
            </w:r>
          </w:p>
        </w:tc>
      </w:tr>
      <w:tr>
        <w:trPr>
          <w:trHeight w:val="273"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05" w:lineRule="exact"/>
              <w:ind w:left="240" w:right="0"/>
              <w:jc w:val="left"/>
              <w:rPr>
                <w:rFonts w:ascii="宋体" w:hAnsi="宋体" w:cs="宋体" w:eastAsia="宋体" w:hint="default"/>
                <w:sz w:val="16"/>
                <w:szCs w:val="16"/>
              </w:rPr>
            </w:pPr>
            <w:r>
              <w:rPr>
                <w:rFonts w:ascii="宋体" w:hAnsi="宋体" w:cs="宋体" w:eastAsia="宋体" w:hint="default"/>
                <w:sz w:val="16"/>
                <w:szCs w:val="16"/>
              </w:rPr>
              <w:t>本年处置或报废</w:t>
            </w:r>
          </w:p>
        </w:tc>
        <w:tc>
          <w:tcPr>
            <w:tcW w:w="1983"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131"/>
                <w:sz w:val="16"/>
              </w:rPr>
              <w:t>-</w:t>
            </w:r>
            <w:r>
              <w:rPr>
                <w:rFonts w:ascii="宋体"/>
                <w:sz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205" w:lineRule="exact"/>
              <w:ind w:right="416"/>
              <w:jc w:val="right"/>
              <w:rPr>
                <w:rFonts w:ascii="宋体" w:hAnsi="宋体" w:cs="宋体" w:eastAsia="宋体" w:hint="default"/>
                <w:sz w:val="16"/>
                <w:szCs w:val="16"/>
              </w:rPr>
            </w:pPr>
            <w:r>
              <w:rPr>
                <w:rFonts w:ascii="宋体"/>
                <w:sz w:val="16"/>
              </w:rPr>
              <w:t>771,589,966</w:t>
            </w:r>
          </w:p>
        </w:tc>
        <w:tc>
          <w:tcPr>
            <w:tcW w:w="1768"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sz w:val="16"/>
              </w:rPr>
              <w:t>98,228</w:t>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68"/>
              <w:jc w:val="right"/>
              <w:rPr>
                <w:rFonts w:ascii="宋体" w:hAnsi="宋体" w:cs="宋体" w:eastAsia="宋体" w:hint="default"/>
                <w:sz w:val="16"/>
                <w:szCs w:val="16"/>
              </w:rPr>
            </w:pPr>
            <w:r>
              <w:rPr>
                <w:rFonts w:ascii="宋体"/>
                <w:sz w:val="16"/>
              </w:rPr>
              <w:t>771,688,194</w:t>
            </w:r>
          </w:p>
        </w:tc>
      </w:tr>
      <w:tr>
        <w:trPr>
          <w:trHeight w:val="340"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05" w:lineRule="exact"/>
              <w:ind w:left="240" w:right="0"/>
              <w:jc w:val="left"/>
              <w:rPr>
                <w:rFonts w:ascii="宋体" w:hAnsi="宋体" w:cs="宋体" w:eastAsia="宋体" w:hint="default"/>
                <w:sz w:val="16"/>
                <w:szCs w:val="16"/>
              </w:rPr>
            </w:pPr>
            <w:r>
              <w:rPr>
                <w:rFonts w:ascii="宋体" w:hAnsi="宋体" w:cs="宋体" w:eastAsia="宋体" w:hint="default"/>
                <w:sz w:val="16"/>
                <w:szCs w:val="16"/>
              </w:rPr>
              <w:t>年末余额</w:t>
            </w:r>
          </w:p>
        </w:tc>
        <w:tc>
          <w:tcPr>
            <w:tcW w:w="1983"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0"/>
                <w:sz w:val="16"/>
              </w:rPr>
              <w:t>(15,502)</w:t>
            </w:r>
            <w:r>
              <w:rPr>
                <w:rFonts w:ascii="宋体"/>
                <w:sz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205" w:lineRule="exact"/>
              <w:ind w:right="416"/>
              <w:jc w:val="right"/>
              <w:rPr>
                <w:rFonts w:ascii="宋体" w:hAnsi="宋体" w:cs="宋体" w:eastAsia="宋体" w:hint="default"/>
                <w:sz w:val="16"/>
                <w:szCs w:val="16"/>
              </w:rPr>
            </w:pPr>
            <w:r>
              <w:rPr>
                <w:rFonts w:ascii="宋体"/>
                <w:w w:val="90"/>
                <w:sz w:val="16"/>
              </w:rPr>
              <w:t>(1,038,379,670)</w:t>
            </w:r>
            <w:r>
              <w:rPr>
                <w:rFonts w:ascii="宋体"/>
                <w:sz w:val="16"/>
              </w:rPr>
            </w:r>
          </w:p>
        </w:tc>
        <w:tc>
          <w:tcPr>
            <w:tcW w:w="1768"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0"/>
                <w:sz w:val="16"/>
              </w:rPr>
              <w:t>(1,552,091)</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68"/>
              <w:jc w:val="right"/>
              <w:rPr>
                <w:rFonts w:ascii="宋体" w:hAnsi="宋体" w:cs="宋体" w:eastAsia="宋体" w:hint="default"/>
                <w:sz w:val="16"/>
                <w:szCs w:val="16"/>
              </w:rPr>
            </w:pPr>
            <w:r>
              <w:rPr>
                <w:rFonts w:ascii="宋体"/>
                <w:w w:val="90"/>
                <w:sz w:val="16"/>
              </w:rPr>
              <w:t>(1,039,947,263)</w:t>
            </w:r>
            <w:r>
              <w:rPr>
                <w:rFonts w:ascii="宋体"/>
                <w:sz w:val="16"/>
              </w:rPr>
            </w:r>
          </w:p>
        </w:tc>
      </w:tr>
      <w:tr>
        <w:trPr>
          <w:trHeight w:val="613"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314" w:lineRule="auto" w:before="62"/>
              <w:ind w:left="240" w:right="1191" w:hanging="171"/>
              <w:jc w:val="left"/>
              <w:rPr>
                <w:rFonts w:ascii="宋体" w:hAnsi="宋体" w:cs="宋体" w:eastAsia="宋体" w:hint="default"/>
                <w:sz w:val="16"/>
                <w:szCs w:val="16"/>
              </w:rPr>
            </w:pPr>
            <w:r>
              <w:rPr>
                <w:rFonts w:ascii="宋体" w:hAnsi="宋体" w:cs="宋体" w:eastAsia="宋体" w:hint="default"/>
                <w:sz w:val="16"/>
                <w:szCs w:val="16"/>
              </w:rPr>
              <w:t>账面价值 年末</w:t>
            </w:r>
          </w:p>
        </w:tc>
        <w:tc>
          <w:tcPr>
            <w:tcW w:w="1983"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6"/>
              <w:ind w:right="327"/>
              <w:jc w:val="right"/>
              <w:rPr>
                <w:rFonts w:ascii="宋体" w:hAnsi="宋体" w:cs="宋体" w:eastAsia="宋体" w:hint="default"/>
                <w:sz w:val="16"/>
                <w:szCs w:val="16"/>
              </w:rPr>
            </w:pPr>
            <w:r>
              <w:rPr>
                <w:rFonts w:ascii="宋体"/>
                <w:w w:val="95"/>
                <w:sz w:val="16"/>
              </w:rPr>
              <w:t>40,569,701,454</w:t>
            </w:r>
            <w:r>
              <w:rPr>
                <w:rFonts w:ascii="宋体"/>
                <w:sz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6"/>
              <w:ind w:right="415"/>
              <w:jc w:val="right"/>
              <w:rPr>
                <w:rFonts w:ascii="宋体" w:hAnsi="宋体" w:cs="宋体" w:eastAsia="宋体" w:hint="default"/>
                <w:sz w:val="16"/>
                <w:szCs w:val="16"/>
              </w:rPr>
            </w:pPr>
            <w:r>
              <w:rPr>
                <w:rFonts w:ascii="宋体"/>
                <w:w w:val="95"/>
                <w:sz w:val="16"/>
              </w:rPr>
              <w:t>296,458,050,331</w:t>
            </w:r>
            <w:r>
              <w:rPr>
                <w:rFonts w:ascii="宋体"/>
                <w:sz w:val="16"/>
              </w:rPr>
            </w:r>
          </w:p>
        </w:tc>
        <w:tc>
          <w:tcPr>
            <w:tcW w:w="176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6"/>
              <w:ind w:right="327"/>
              <w:jc w:val="right"/>
              <w:rPr>
                <w:rFonts w:ascii="宋体" w:hAnsi="宋体" w:cs="宋体" w:eastAsia="宋体" w:hint="default"/>
                <w:sz w:val="16"/>
                <w:szCs w:val="16"/>
              </w:rPr>
            </w:pPr>
            <w:r>
              <w:rPr>
                <w:rFonts w:ascii="宋体"/>
                <w:w w:val="95"/>
                <w:sz w:val="16"/>
              </w:rPr>
              <w:t>4,424,892,476</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6"/>
              <w:ind w:right="68"/>
              <w:jc w:val="right"/>
              <w:rPr>
                <w:rFonts w:ascii="宋体" w:hAnsi="宋体" w:cs="宋体" w:eastAsia="宋体" w:hint="default"/>
                <w:sz w:val="16"/>
                <w:szCs w:val="16"/>
              </w:rPr>
            </w:pPr>
            <w:r>
              <w:rPr>
                <w:rFonts w:ascii="宋体"/>
                <w:w w:val="95"/>
                <w:sz w:val="16"/>
              </w:rPr>
              <w:t>341,452,644,261</w:t>
            </w:r>
            <w:r>
              <w:rPr>
                <w:rFonts w:ascii="宋体"/>
                <w:sz w:val="16"/>
              </w:rPr>
            </w:r>
          </w:p>
        </w:tc>
      </w:tr>
      <w:tr>
        <w:trPr>
          <w:trHeight w:val="338" w:hRule="exact"/>
        </w:trPr>
        <w:tc>
          <w:tcPr>
            <w:tcW w:w="1904" w:type="dxa"/>
            <w:tcBorders>
              <w:top w:val="nil" w:sz="6" w:space="0" w:color="auto"/>
              <w:left w:val="nil" w:sz="6" w:space="0" w:color="auto"/>
              <w:bottom w:val="nil" w:sz="6" w:space="0" w:color="auto"/>
              <w:right w:val="nil" w:sz="6" w:space="0" w:color="auto"/>
            </w:tcBorders>
          </w:tcPr>
          <w:p>
            <w:pPr>
              <w:pStyle w:val="TableParagraph"/>
              <w:spacing w:line="205" w:lineRule="exact"/>
              <w:ind w:left="240" w:right="0"/>
              <w:jc w:val="left"/>
              <w:rPr>
                <w:rFonts w:ascii="宋体" w:hAnsi="宋体" w:cs="宋体" w:eastAsia="宋体" w:hint="default"/>
                <w:sz w:val="16"/>
                <w:szCs w:val="16"/>
              </w:rPr>
            </w:pPr>
            <w:r>
              <w:rPr>
                <w:rFonts w:ascii="宋体" w:hAnsi="宋体" w:cs="宋体" w:eastAsia="宋体" w:hint="default"/>
                <w:sz w:val="16"/>
                <w:szCs w:val="16"/>
              </w:rPr>
              <w:t>年初</w:t>
            </w:r>
          </w:p>
        </w:tc>
        <w:tc>
          <w:tcPr>
            <w:tcW w:w="1983"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5"/>
                <w:sz w:val="16"/>
              </w:rPr>
              <w:t>40,280,257,633</w:t>
            </w:r>
            <w:r>
              <w:rPr>
                <w:rFonts w:ascii="宋体"/>
                <w:sz w:val="16"/>
              </w:rPr>
            </w:r>
          </w:p>
        </w:tc>
        <w:tc>
          <w:tcPr>
            <w:tcW w:w="1946" w:type="dxa"/>
            <w:tcBorders>
              <w:top w:val="nil" w:sz="6" w:space="0" w:color="auto"/>
              <w:left w:val="nil" w:sz="6" w:space="0" w:color="auto"/>
              <w:bottom w:val="nil" w:sz="6" w:space="0" w:color="auto"/>
              <w:right w:val="nil" w:sz="6" w:space="0" w:color="auto"/>
            </w:tcBorders>
          </w:tcPr>
          <w:p>
            <w:pPr>
              <w:pStyle w:val="TableParagraph"/>
              <w:spacing w:line="205" w:lineRule="exact"/>
              <w:ind w:right="415"/>
              <w:jc w:val="right"/>
              <w:rPr>
                <w:rFonts w:ascii="宋体" w:hAnsi="宋体" w:cs="宋体" w:eastAsia="宋体" w:hint="default"/>
                <w:sz w:val="16"/>
                <w:szCs w:val="16"/>
              </w:rPr>
            </w:pPr>
            <w:r>
              <w:rPr>
                <w:rFonts w:ascii="宋体"/>
                <w:w w:val="95"/>
                <w:sz w:val="16"/>
              </w:rPr>
              <w:t>318,589,035,106</w:t>
            </w:r>
            <w:r>
              <w:rPr>
                <w:rFonts w:ascii="宋体"/>
                <w:sz w:val="16"/>
              </w:rPr>
            </w:r>
          </w:p>
        </w:tc>
        <w:tc>
          <w:tcPr>
            <w:tcW w:w="1768" w:type="dxa"/>
            <w:tcBorders>
              <w:top w:val="nil" w:sz="6" w:space="0" w:color="auto"/>
              <w:left w:val="nil" w:sz="6" w:space="0" w:color="auto"/>
              <w:bottom w:val="nil" w:sz="6" w:space="0" w:color="auto"/>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w w:val="95"/>
                <w:sz w:val="16"/>
              </w:rPr>
              <w:t>4,630,142,039</w:t>
            </w:r>
            <w:r>
              <w:rPr>
                <w:rFonts w:ascii="宋体"/>
                <w:sz w:val="16"/>
              </w:rPr>
            </w:r>
          </w:p>
        </w:tc>
        <w:tc>
          <w:tcPr>
            <w:tcW w:w="1598" w:type="dxa"/>
            <w:tcBorders>
              <w:top w:val="nil" w:sz="6" w:space="0" w:color="auto"/>
              <w:left w:val="nil" w:sz="6" w:space="0" w:color="auto"/>
              <w:bottom w:val="nil" w:sz="6" w:space="0" w:color="auto"/>
              <w:right w:val="nil" w:sz="6" w:space="0" w:color="auto"/>
            </w:tcBorders>
          </w:tcPr>
          <w:p>
            <w:pPr>
              <w:pStyle w:val="TableParagraph"/>
              <w:spacing w:line="205" w:lineRule="exact"/>
              <w:ind w:right="68"/>
              <w:jc w:val="right"/>
              <w:rPr>
                <w:rFonts w:ascii="宋体" w:hAnsi="宋体" w:cs="宋体" w:eastAsia="宋体" w:hint="default"/>
                <w:sz w:val="16"/>
                <w:szCs w:val="16"/>
              </w:rPr>
            </w:pPr>
            <w:r>
              <w:rPr>
                <w:rFonts w:ascii="宋体"/>
                <w:w w:val="95"/>
                <w:sz w:val="16"/>
              </w:rPr>
              <w:t>363,499,434,778</w:t>
            </w:r>
            <w:r>
              <w:rPr>
                <w:rFonts w:ascii="宋体"/>
                <w:sz w:val="16"/>
              </w:rPr>
            </w:r>
          </w:p>
        </w:tc>
      </w:tr>
    </w:tbl>
    <w:p>
      <w:pPr>
        <w:spacing w:line="240" w:lineRule="auto" w:before="7"/>
        <w:rPr>
          <w:rFonts w:ascii="宋体" w:hAnsi="宋体" w:cs="宋体" w:eastAsia="宋体" w:hint="default"/>
          <w:sz w:val="16"/>
          <w:szCs w:val="16"/>
        </w:rPr>
      </w:pPr>
    </w:p>
    <w:p>
      <w:pPr>
        <w:pStyle w:val="BodyText"/>
        <w:spacing w:line="240" w:lineRule="auto" w:before="31"/>
        <w:ind w:left="493" w:right="0"/>
        <w:jc w:val="left"/>
      </w:pPr>
      <w:r>
        <w:rPr/>
        <w:pict>
          <v:group style="position:absolute;margin-left:55.692799pt;margin-top:-11.845897pt;width:466.2pt;height:2pt;mso-position-horizontal-relative:page;mso-position-vertical-relative:paragraph;z-index:-959896" coordorigin="1114,-237" coordsize="9324,40">
            <v:group style="position:absolute;left:1134;top:-217;width:1857;height:2" coordorigin="1134,-217" coordsize="1857,2">
              <v:shape style="position:absolute;left:1134;top:-217;width:1857;height:2" coordorigin="1134,-217" coordsize="1857,0" path="m1134,-217l2991,-217e" filled="false" stroked="true" strokeweight="2pt" strokecolor="#9f8958">
                <v:path arrowok="t"/>
              </v:shape>
            </v:group>
            <v:group style="position:absolute;left:2991;top:-217;width:1857;height:2" coordorigin="2991,-217" coordsize="1857,2">
              <v:shape style="position:absolute;left:2991;top:-217;width:1857;height:2" coordorigin="2991,-217" coordsize="1857,0" path="m2991,-217l4847,-217e" filled="false" stroked="true" strokeweight="2pt" strokecolor="#9f8958">
                <v:path arrowok="t"/>
              </v:shape>
            </v:group>
            <v:group style="position:absolute;left:4847;top:-217;width:1857;height:2" coordorigin="4847,-217" coordsize="1857,2">
              <v:shape style="position:absolute;left:4847;top:-217;width:1857;height:2" coordorigin="4847,-217" coordsize="1857,0" path="m4847,-217l6704,-217e" filled="false" stroked="true" strokeweight="2pt" strokecolor="#9f8958">
                <v:path arrowok="t"/>
              </v:shape>
            </v:group>
            <v:group style="position:absolute;left:6704;top:-217;width:1857;height:2" coordorigin="6704,-217" coordsize="1857,2">
              <v:shape style="position:absolute;left:6704;top:-217;width:1857;height:2" coordorigin="6704,-217" coordsize="1857,0" path="m6704,-217l8561,-217e" filled="false" stroked="true" strokeweight="2pt" strokecolor="#9f8958">
                <v:path arrowok="t"/>
              </v:shape>
            </v:group>
            <v:group style="position:absolute;left:8561;top:-217;width:1857;height:2" coordorigin="8561,-217" coordsize="1857,2">
              <v:shape style="position:absolute;left:8561;top:-217;width:1857;height:2" coordorigin="8561,-217" coordsize="1857,0" path="m8561,-217l10417,-217e" filled="false" stroked="true" strokeweight="2pt" strokecolor="#9f8958">
                <v:path arrowok="t"/>
              </v:shape>
            </v:group>
            <w10:wrap type="none"/>
          </v:group>
        </w:pict>
      </w:r>
      <w:r>
        <w:rPr/>
        <w:t>于 2018</w:t>
      </w:r>
      <w:r>
        <w:rPr>
          <w:spacing w:val="-52"/>
        </w:rPr>
        <w:t> </w:t>
      </w:r>
      <w:r>
        <w:rPr/>
        <w:t>年度，本集团的部分资产减值准备随报废资产处置而转出。</w:t>
      </w:r>
    </w:p>
    <w:p>
      <w:pPr>
        <w:spacing w:line="240" w:lineRule="auto" w:before="5"/>
        <w:rPr>
          <w:rFonts w:ascii="宋体" w:hAnsi="宋体" w:cs="宋体" w:eastAsia="宋体" w:hint="default"/>
          <w:sz w:val="16"/>
          <w:szCs w:val="16"/>
        </w:rPr>
      </w:pPr>
    </w:p>
    <w:p>
      <w:pPr>
        <w:pStyle w:val="BodyText"/>
        <w:spacing w:line="240" w:lineRule="auto"/>
        <w:ind w:left="493" w:right="0"/>
        <w:jc w:val="left"/>
      </w:pPr>
      <w:r>
        <w:rPr>
          <w:spacing w:val="3"/>
        </w:rPr>
        <w:t>考虑本集团对电信网络的持续改进以及用户自愿网络迁转的进</w:t>
      </w:r>
      <w:r>
        <w:rPr/>
        <w:t>度</w:t>
      </w:r>
      <w:r>
        <w:rPr>
          <w:spacing w:val="3"/>
        </w:rPr>
        <w:t>，本集团</w:t>
      </w:r>
      <w:r>
        <w:rPr/>
        <w:t>于</w:t>
      </w:r>
      <w:r>
        <w:rPr>
          <w:spacing w:val="-44"/>
        </w:rPr>
        <w:t> </w:t>
      </w:r>
      <w:r>
        <w:rPr>
          <w:spacing w:val="-1"/>
          <w:w w:val="111"/>
        </w:rPr>
        <w:t>201</w:t>
      </w:r>
      <w:r>
        <w:rPr>
          <w:w w:val="111"/>
        </w:rPr>
        <w:t>8</w:t>
      </w:r>
      <w:r>
        <w:rPr>
          <w:spacing w:val="-45"/>
        </w:rPr>
        <w:t> </w:t>
      </w:r>
      <w:r>
        <w:rPr>
          <w:spacing w:val="3"/>
        </w:rPr>
        <w:t>年度处置了净值约人民</w:t>
      </w:r>
      <w:r>
        <w:rPr/>
        <w:t>币</w:t>
      </w:r>
      <w:r>
        <w:rPr>
          <w:spacing w:val="-44"/>
        </w:rPr>
        <w:t> </w:t>
      </w:r>
      <w:r>
        <w:rPr>
          <w:spacing w:val="-1"/>
          <w:w w:val="111"/>
        </w:rPr>
        <w:t>52</w:t>
      </w:r>
      <w:r>
        <w:rPr>
          <w:w w:val="55"/>
        </w:rPr>
        <w:t>.</w:t>
      </w:r>
      <w:r>
        <w:rPr>
          <w:spacing w:val="-1"/>
          <w:w w:val="111"/>
        </w:rPr>
        <w:t>5</w:t>
      </w:r>
      <w:r>
        <w:rPr>
          <w:w w:val="111"/>
        </w:rPr>
        <w:t>3</w:t>
      </w:r>
      <w:r>
        <w:rPr>
          <w:spacing w:val="-45"/>
        </w:rPr>
        <w:t> </w:t>
      </w:r>
      <w:r>
        <w:rPr/>
        <w:t>亿</w:t>
      </w:r>
    </w:p>
    <w:p>
      <w:pPr>
        <w:pStyle w:val="BodyText"/>
        <w:spacing w:line="240" w:lineRule="auto" w:before="44"/>
        <w:ind w:left="493" w:right="0"/>
        <w:jc w:val="left"/>
      </w:pPr>
      <w:r>
        <w:rPr/>
        <w:t>元的固定资产，处置对价约人民币</w:t>
      </w:r>
      <w:r>
        <w:rPr>
          <w:spacing w:val="-46"/>
        </w:rPr>
        <w:t> </w:t>
      </w:r>
      <w:r>
        <w:rPr/>
        <w:t>11.05</w:t>
      </w:r>
      <w:r>
        <w:rPr>
          <w:spacing w:val="-47"/>
        </w:rPr>
        <w:t> </w:t>
      </w:r>
      <w:r>
        <w:rPr/>
        <w:t>亿元，发生固定资产处置净损失约人民币</w:t>
      </w:r>
      <w:r>
        <w:rPr>
          <w:spacing w:val="-46"/>
        </w:rPr>
        <w:t> </w:t>
      </w:r>
      <w:r>
        <w:rPr/>
        <w:t>41.48</w:t>
      </w:r>
      <w:r>
        <w:rPr>
          <w:spacing w:val="-47"/>
        </w:rPr>
        <w:t> </w:t>
      </w:r>
      <w:r>
        <w:rPr/>
        <w:t>亿元。</w:t>
      </w:r>
    </w:p>
    <w:p>
      <w:pPr>
        <w:spacing w:after="0" w:line="240" w:lineRule="auto"/>
        <w:jc w:val="left"/>
        <w:sectPr>
          <w:pgSz w:w="11910" w:h="16160"/>
          <w:pgMar w:header="1200" w:footer="320" w:top="2120" w:bottom="520" w:left="640" w:right="1340"/>
        </w:sectPr>
      </w:pPr>
    </w:p>
    <w:p>
      <w:pPr>
        <w:spacing w:line="240" w:lineRule="auto" w:before="3"/>
        <w:rPr>
          <w:rFonts w:ascii="宋体" w:hAnsi="宋体" w:cs="宋体" w:eastAsia="宋体" w:hint="default"/>
          <w:sz w:val="14"/>
          <w:szCs w:val="14"/>
        </w:rPr>
      </w:pPr>
    </w:p>
    <w:p>
      <w:pPr>
        <w:pStyle w:val="BodyText"/>
        <w:spacing w:line="240" w:lineRule="auto" w:before="31"/>
        <w:ind w:left="154" w:right="87"/>
        <w:jc w:val="left"/>
      </w:pPr>
      <w:r>
        <w:rPr/>
        <w:t>11、固定资产（续）</w:t>
      </w:r>
    </w:p>
    <w:p>
      <w:pPr>
        <w:spacing w:line="240" w:lineRule="auto" w:before="12"/>
        <w:rPr>
          <w:rFonts w:ascii="宋体" w:hAnsi="宋体" w:cs="宋体" w:eastAsia="宋体" w:hint="default"/>
          <w:sz w:val="17"/>
          <w:szCs w:val="17"/>
        </w:rPr>
      </w:pPr>
    </w:p>
    <w:p>
      <w:pPr>
        <w:pStyle w:val="BodyText"/>
        <w:spacing w:line="240" w:lineRule="auto"/>
        <w:ind w:left="154" w:right="87"/>
        <w:jc w:val="left"/>
      </w:pPr>
      <w:r>
        <w:rPr/>
        <w:t>(b)</w:t>
      </w:r>
      <w:r>
        <w:rPr>
          <w:spacing w:val="-21"/>
        </w:rPr>
        <w:t> </w:t>
      </w:r>
      <w:r>
        <w:rPr/>
        <w:t>融资租入的固定资产</w:t>
      </w:r>
    </w:p>
    <w:p>
      <w:pPr>
        <w:spacing w:line="240" w:lineRule="auto" w:before="12"/>
        <w:rPr>
          <w:rFonts w:ascii="宋体" w:hAnsi="宋体" w:cs="宋体" w:eastAsia="宋体" w:hint="default"/>
          <w:sz w:val="17"/>
          <w:szCs w:val="17"/>
        </w:rPr>
      </w:pPr>
    </w:p>
    <w:p>
      <w:pPr>
        <w:pStyle w:val="BodyText"/>
        <w:spacing w:line="240" w:lineRule="auto"/>
        <w:ind w:left="494" w:right="87"/>
        <w:jc w:val="left"/>
      </w:pPr>
      <w:r>
        <w:rPr/>
        <w:t>于</w:t>
      </w:r>
      <w:r>
        <w:rPr>
          <w:spacing w:val="-36"/>
        </w:rPr>
        <w:t> </w:t>
      </w:r>
      <w:r>
        <w:rPr/>
        <w:t>2018</w:t>
      </w:r>
      <w:r>
        <w:rPr>
          <w:spacing w:val="-37"/>
        </w:rPr>
        <w:t> </w:t>
      </w:r>
      <w:r>
        <w:rPr/>
        <w:t>年</w:t>
      </w:r>
      <w:r>
        <w:rPr>
          <w:spacing w:val="-36"/>
        </w:rPr>
        <w:t> </w:t>
      </w:r>
      <w:r>
        <w:rPr/>
        <w:t>12</w:t>
      </w:r>
      <w:r>
        <w:rPr>
          <w:spacing w:val="-37"/>
        </w:rPr>
        <w:t> </w:t>
      </w:r>
      <w:r>
        <w:rPr/>
        <w:t>月</w:t>
      </w:r>
      <w:r>
        <w:rPr>
          <w:spacing w:val="-36"/>
        </w:rPr>
        <w:t> </w:t>
      </w:r>
      <w:r>
        <w:rPr/>
        <w:t>31</w:t>
      </w:r>
      <w:r>
        <w:rPr>
          <w:spacing w:val="-37"/>
        </w:rPr>
        <w:t> </w:t>
      </w:r>
      <w:r>
        <w:rPr/>
        <w:t>日，账面价值约人民币</w:t>
      </w:r>
      <w:r>
        <w:rPr>
          <w:spacing w:val="-36"/>
        </w:rPr>
        <w:t> </w:t>
      </w:r>
      <w:r>
        <w:rPr/>
        <w:t>3.43</w:t>
      </w:r>
      <w:r>
        <w:rPr>
          <w:spacing w:val="-37"/>
        </w:rPr>
        <w:t> </w:t>
      </w:r>
      <w:r>
        <w:rPr/>
        <w:t>亿元（原价约人民币</w:t>
      </w:r>
      <w:r>
        <w:rPr>
          <w:spacing w:val="-36"/>
        </w:rPr>
        <w:t> </w:t>
      </w:r>
      <w:r>
        <w:rPr/>
        <w:t>4.61</w:t>
      </w:r>
      <w:r>
        <w:rPr>
          <w:spacing w:val="-37"/>
        </w:rPr>
        <w:t> </w:t>
      </w:r>
      <w:r>
        <w:rPr/>
        <w:t>亿元）的固定资产为融资租入（2017</w:t>
      </w:r>
      <w:r>
        <w:rPr>
          <w:spacing w:val="-37"/>
        </w:rPr>
        <w:t> </w:t>
      </w:r>
      <w:r>
        <w:rPr/>
        <w:t>年</w:t>
      </w:r>
      <w:r>
        <w:rPr>
          <w:spacing w:val="-36"/>
        </w:rPr>
        <w:t> </w:t>
      </w:r>
      <w:r>
        <w:rPr/>
        <w:t>12</w:t>
      </w:r>
    </w:p>
    <w:p>
      <w:pPr>
        <w:pStyle w:val="BodyText"/>
        <w:spacing w:line="240" w:lineRule="auto" w:before="44"/>
        <w:ind w:left="494" w:right="87"/>
        <w:jc w:val="left"/>
      </w:pPr>
      <w:r>
        <w:rPr/>
        <w:t>月</w:t>
      </w:r>
      <w:r>
        <w:rPr>
          <w:spacing w:val="-44"/>
        </w:rPr>
        <w:t> </w:t>
      </w:r>
      <w:r>
        <w:rPr/>
        <w:t>31</w:t>
      </w:r>
      <w:r>
        <w:rPr>
          <w:spacing w:val="-45"/>
        </w:rPr>
        <w:t> </w:t>
      </w:r>
      <w:r>
        <w:rPr/>
        <w:t>日：账面价值约人民币</w:t>
      </w:r>
      <w:r>
        <w:rPr>
          <w:spacing w:val="-44"/>
        </w:rPr>
        <w:t> </w:t>
      </w:r>
      <w:r>
        <w:rPr/>
        <w:t>7.89</w:t>
      </w:r>
      <w:r>
        <w:rPr>
          <w:spacing w:val="-45"/>
        </w:rPr>
        <w:t> </w:t>
      </w:r>
      <w:r>
        <w:rPr/>
        <w:t>亿元，原价约人民币</w:t>
      </w:r>
      <w:r>
        <w:rPr>
          <w:spacing w:val="-44"/>
        </w:rPr>
        <w:t> </w:t>
      </w:r>
      <w:r>
        <w:rPr/>
        <w:t>10.54</w:t>
      </w:r>
      <w:r>
        <w:rPr>
          <w:spacing w:val="-45"/>
        </w:rPr>
        <w:t> </w:t>
      </w:r>
      <w:r>
        <w:rPr/>
        <w:t>亿元）。具体分析如下（单位：人民币百万元）：</w:t>
      </w:r>
    </w:p>
    <w:p>
      <w:pPr>
        <w:spacing w:line="240" w:lineRule="auto" w:before="10"/>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2810"/>
        <w:gridCol w:w="1781"/>
        <w:gridCol w:w="1859"/>
        <w:gridCol w:w="1860"/>
        <w:gridCol w:w="1363"/>
      </w:tblGrid>
      <w:tr>
        <w:trPr>
          <w:trHeight w:val="384" w:hRule="exact"/>
        </w:trPr>
        <w:tc>
          <w:tcPr>
            <w:tcW w:w="281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769"/>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1"/>
                <w:w w:val="110"/>
                <w:sz w:val="16"/>
                <w:szCs w:val="16"/>
              </w:rPr>
              <w:t> </w:t>
            </w:r>
            <w:r>
              <w:rPr>
                <w:rFonts w:ascii="宋体" w:hAnsi="宋体" w:cs="宋体" w:eastAsia="宋体" w:hint="default"/>
                <w:w w:val="110"/>
                <w:sz w:val="16"/>
                <w:szCs w:val="16"/>
              </w:rPr>
              <w:t>年</w:t>
            </w:r>
            <w:r>
              <w:rPr>
                <w:rFonts w:ascii="宋体" w:hAnsi="宋体" w:cs="宋体" w:eastAsia="宋体" w:hint="default"/>
                <w:spacing w:val="-60"/>
                <w:w w:val="110"/>
                <w:sz w:val="16"/>
                <w:szCs w:val="16"/>
              </w:rPr>
              <w:t> </w:t>
            </w:r>
            <w:r>
              <w:rPr>
                <w:rFonts w:ascii="宋体" w:hAnsi="宋体" w:cs="宋体" w:eastAsia="宋体" w:hint="default"/>
                <w:w w:val="110"/>
                <w:sz w:val="16"/>
                <w:szCs w:val="16"/>
              </w:rPr>
              <w:t>12</w:t>
            </w:r>
            <w:r>
              <w:rPr>
                <w:rFonts w:ascii="宋体" w:hAnsi="宋体" w:cs="宋体" w:eastAsia="宋体" w:hint="default"/>
                <w:spacing w:val="-61"/>
                <w:w w:val="110"/>
                <w:sz w:val="16"/>
                <w:szCs w:val="16"/>
              </w:rPr>
              <w:t> </w:t>
            </w:r>
            <w:r>
              <w:rPr>
                <w:rFonts w:ascii="宋体" w:hAnsi="宋体" w:cs="宋体" w:eastAsia="宋体" w:hint="default"/>
                <w:w w:val="110"/>
                <w:sz w:val="16"/>
                <w:szCs w:val="16"/>
              </w:rPr>
              <w:t>月</w:t>
            </w:r>
            <w:r>
              <w:rPr>
                <w:rFonts w:ascii="宋体" w:hAnsi="宋体" w:cs="宋体" w:eastAsia="宋体" w:hint="default"/>
                <w:spacing w:val="-60"/>
                <w:w w:val="110"/>
                <w:sz w:val="16"/>
                <w:szCs w:val="16"/>
              </w:rPr>
              <w:t> </w:t>
            </w:r>
            <w:r>
              <w:rPr>
                <w:rFonts w:ascii="宋体" w:hAnsi="宋体" w:cs="宋体" w:eastAsia="宋体" w:hint="default"/>
                <w:w w:val="110"/>
                <w:sz w:val="16"/>
                <w:szCs w:val="16"/>
              </w:rPr>
              <w:t>31</w:t>
            </w:r>
            <w:r>
              <w:rPr>
                <w:rFonts w:ascii="宋体" w:hAnsi="宋体" w:cs="宋体" w:eastAsia="宋体" w:hint="default"/>
                <w:spacing w:val="-61"/>
                <w:w w:val="110"/>
                <w:sz w:val="16"/>
                <w:szCs w:val="16"/>
              </w:rPr>
              <w:t> </w:t>
            </w:r>
            <w:r>
              <w:rPr>
                <w:rFonts w:ascii="宋体" w:hAnsi="宋体" w:cs="宋体" w:eastAsia="宋体" w:hint="default"/>
                <w:w w:val="110"/>
                <w:sz w:val="16"/>
                <w:szCs w:val="16"/>
              </w:rPr>
              <w:t>日：</w:t>
            </w:r>
          </w:p>
        </w:tc>
        <w:tc>
          <w:tcPr>
            <w:tcW w:w="1781"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607"/>
              <w:jc w:val="right"/>
              <w:rPr>
                <w:rFonts w:ascii="宋体" w:hAnsi="宋体" w:cs="宋体" w:eastAsia="宋体" w:hint="default"/>
                <w:sz w:val="16"/>
                <w:szCs w:val="16"/>
              </w:rPr>
            </w:pPr>
            <w:r>
              <w:rPr>
                <w:rFonts w:ascii="宋体" w:hAnsi="宋体" w:cs="宋体" w:eastAsia="宋体" w:hint="default"/>
                <w:sz w:val="16"/>
                <w:szCs w:val="16"/>
              </w:rPr>
              <w:t>原价</w:t>
            </w:r>
          </w:p>
        </w:tc>
        <w:tc>
          <w:tcPr>
            <w:tcW w:w="1859"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607"/>
              <w:jc w:val="right"/>
              <w:rPr>
                <w:rFonts w:ascii="宋体" w:hAnsi="宋体" w:cs="宋体" w:eastAsia="宋体" w:hint="default"/>
                <w:sz w:val="16"/>
                <w:szCs w:val="16"/>
              </w:rPr>
            </w:pPr>
            <w:r>
              <w:rPr>
                <w:rFonts w:ascii="宋体" w:hAnsi="宋体" w:cs="宋体" w:eastAsia="宋体" w:hint="default"/>
                <w:sz w:val="16"/>
                <w:szCs w:val="16"/>
              </w:rPr>
              <w:t>累计折旧</w:t>
            </w:r>
          </w:p>
        </w:tc>
        <w:tc>
          <w:tcPr>
            <w:tcW w:w="186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607"/>
              <w:jc w:val="right"/>
              <w:rPr>
                <w:rFonts w:ascii="宋体" w:hAnsi="宋体" w:cs="宋体" w:eastAsia="宋体" w:hint="default"/>
                <w:sz w:val="16"/>
                <w:szCs w:val="16"/>
              </w:rPr>
            </w:pPr>
            <w:r>
              <w:rPr>
                <w:rFonts w:ascii="宋体" w:hAnsi="宋体" w:cs="宋体" w:eastAsia="宋体" w:hint="default"/>
                <w:sz w:val="16"/>
                <w:szCs w:val="16"/>
              </w:rPr>
              <w:t>减值准备</w:t>
            </w:r>
          </w:p>
        </w:tc>
        <w:tc>
          <w:tcPr>
            <w:tcW w:w="1363"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sz w:val="16"/>
                <w:szCs w:val="16"/>
              </w:rPr>
              <w:t>账面价值</w:t>
            </w:r>
          </w:p>
        </w:tc>
      </w:tr>
      <w:tr>
        <w:trPr>
          <w:trHeight w:val="419" w:hRule="exact"/>
        </w:trPr>
        <w:tc>
          <w:tcPr>
            <w:tcW w:w="2810"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通信设备</w:t>
            </w:r>
          </w:p>
        </w:tc>
        <w:tc>
          <w:tcPr>
            <w:tcW w:w="1781"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607"/>
              <w:jc w:val="right"/>
              <w:rPr>
                <w:rFonts w:ascii="宋体" w:hAnsi="宋体" w:cs="宋体" w:eastAsia="宋体" w:hint="default"/>
                <w:sz w:val="16"/>
                <w:szCs w:val="16"/>
              </w:rPr>
            </w:pPr>
            <w:r>
              <w:rPr>
                <w:rFonts w:ascii="宋体"/>
                <w:w w:val="110"/>
                <w:sz w:val="16"/>
              </w:rPr>
              <w:t>461</w:t>
            </w:r>
            <w:r>
              <w:rPr>
                <w:rFonts w:ascii="宋体"/>
                <w:sz w:val="16"/>
              </w:rPr>
            </w:r>
          </w:p>
        </w:tc>
        <w:tc>
          <w:tcPr>
            <w:tcW w:w="1859"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607"/>
              <w:jc w:val="right"/>
              <w:rPr>
                <w:rFonts w:ascii="宋体" w:hAnsi="宋体" w:cs="宋体" w:eastAsia="宋体" w:hint="default"/>
                <w:sz w:val="16"/>
                <w:szCs w:val="16"/>
              </w:rPr>
            </w:pPr>
            <w:r>
              <w:rPr>
                <w:rFonts w:ascii="宋体"/>
                <w:w w:val="85"/>
                <w:sz w:val="16"/>
              </w:rPr>
              <w:t>(118)</w:t>
            </w:r>
            <w:r>
              <w:rPr>
                <w:rFonts w:ascii="宋体"/>
                <w:sz w:val="16"/>
              </w:rPr>
            </w:r>
          </w:p>
        </w:tc>
        <w:tc>
          <w:tcPr>
            <w:tcW w:w="1860"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607"/>
              <w:jc w:val="right"/>
              <w:rPr>
                <w:rFonts w:ascii="宋体" w:hAnsi="宋体" w:cs="宋体" w:eastAsia="宋体" w:hint="default"/>
                <w:sz w:val="16"/>
                <w:szCs w:val="16"/>
              </w:rPr>
            </w:pPr>
            <w:r>
              <w:rPr>
                <w:rFonts w:ascii="宋体"/>
                <w:w w:val="131"/>
                <w:sz w:val="16"/>
              </w:rPr>
              <w:t>-</w:t>
            </w:r>
            <w:r>
              <w:rPr>
                <w:rFonts w:ascii="宋体"/>
                <w:sz w:val="16"/>
              </w:rPr>
            </w:r>
          </w:p>
        </w:tc>
        <w:tc>
          <w:tcPr>
            <w:tcW w:w="1363"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10"/>
                <w:sz w:val="16"/>
              </w:rPr>
              <w:t>343</w:t>
            </w:r>
            <w:r>
              <w:rPr>
                <w:rFonts w:ascii="宋体"/>
                <w:sz w:val="16"/>
              </w:rPr>
            </w:r>
          </w:p>
        </w:tc>
      </w:tr>
      <w:tr>
        <w:trPr>
          <w:trHeight w:val="414" w:hRule="exact"/>
        </w:trPr>
        <w:tc>
          <w:tcPr>
            <w:tcW w:w="281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769"/>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1"/>
                <w:w w:val="110"/>
                <w:sz w:val="16"/>
                <w:szCs w:val="16"/>
              </w:rPr>
              <w:t> </w:t>
            </w:r>
            <w:r>
              <w:rPr>
                <w:rFonts w:ascii="宋体" w:hAnsi="宋体" w:cs="宋体" w:eastAsia="宋体" w:hint="default"/>
                <w:w w:val="110"/>
                <w:sz w:val="16"/>
                <w:szCs w:val="16"/>
              </w:rPr>
              <w:t>年</w:t>
            </w:r>
            <w:r>
              <w:rPr>
                <w:rFonts w:ascii="宋体" w:hAnsi="宋体" w:cs="宋体" w:eastAsia="宋体" w:hint="default"/>
                <w:spacing w:val="-60"/>
                <w:w w:val="110"/>
                <w:sz w:val="16"/>
                <w:szCs w:val="16"/>
              </w:rPr>
              <w:t> </w:t>
            </w:r>
            <w:r>
              <w:rPr>
                <w:rFonts w:ascii="宋体" w:hAnsi="宋体" w:cs="宋体" w:eastAsia="宋体" w:hint="default"/>
                <w:w w:val="110"/>
                <w:sz w:val="16"/>
                <w:szCs w:val="16"/>
              </w:rPr>
              <w:t>12</w:t>
            </w:r>
            <w:r>
              <w:rPr>
                <w:rFonts w:ascii="宋体" w:hAnsi="宋体" w:cs="宋体" w:eastAsia="宋体" w:hint="default"/>
                <w:spacing w:val="-61"/>
                <w:w w:val="110"/>
                <w:sz w:val="16"/>
                <w:szCs w:val="16"/>
              </w:rPr>
              <w:t> </w:t>
            </w:r>
            <w:r>
              <w:rPr>
                <w:rFonts w:ascii="宋体" w:hAnsi="宋体" w:cs="宋体" w:eastAsia="宋体" w:hint="default"/>
                <w:w w:val="110"/>
                <w:sz w:val="16"/>
                <w:szCs w:val="16"/>
              </w:rPr>
              <w:t>月</w:t>
            </w:r>
            <w:r>
              <w:rPr>
                <w:rFonts w:ascii="宋体" w:hAnsi="宋体" w:cs="宋体" w:eastAsia="宋体" w:hint="default"/>
                <w:spacing w:val="-60"/>
                <w:w w:val="110"/>
                <w:sz w:val="16"/>
                <w:szCs w:val="16"/>
              </w:rPr>
              <w:t> </w:t>
            </w:r>
            <w:r>
              <w:rPr>
                <w:rFonts w:ascii="宋体" w:hAnsi="宋体" w:cs="宋体" w:eastAsia="宋体" w:hint="default"/>
                <w:w w:val="110"/>
                <w:sz w:val="16"/>
                <w:szCs w:val="16"/>
              </w:rPr>
              <w:t>31</w:t>
            </w:r>
            <w:r>
              <w:rPr>
                <w:rFonts w:ascii="宋体" w:hAnsi="宋体" w:cs="宋体" w:eastAsia="宋体" w:hint="default"/>
                <w:spacing w:val="-61"/>
                <w:w w:val="110"/>
                <w:sz w:val="16"/>
                <w:szCs w:val="16"/>
              </w:rPr>
              <w:t> </w:t>
            </w:r>
            <w:r>
              <w:rPr>
                <w:rFonts w:ascii="宋体" w:hAnsi="宋体" w:cs="宋体" w:eastAsia="宋体" w:hint="default"/>
                <w:w w:val="110"/>
                <w:sz w:val="16"/>
                <w:szCs w:val="16"/>
              </w:rPr>
              <w:t>日：</w:t>
            </w:r>
          </w:p>
        </w:tc>
        <w:tc>
          <w:tcPr>
            <w:tcW w:w="1781" w:type="dxa"/>
            <w:tcBorders>
              <w:top w:val="single" w:sz="6" w:space="0" w:color="000000"/>
              <w:left w:val="nil" w:sz="6" w:space="0" w:color="auto"/>
              <w:bottom w:val="single" w:sz="16" w:space="0" w:color="9F8958"/>
              <w:right w:val="nil" w:sz="6" w:space="0" w:color="auto"/>
            </w:tcBorders>
          </w:tcPr>
          <w:p>
            <w:pPr/>
          </w:p>
        </w:tc>
        <w:tc>
          <w:tcPr>
            <w:tcW w:w="1859" w:type="dxa"/>
            <w:tcBorders>
              <w:top w:val="single" w:sz="6" w:space="0" w:color="000000"/>
              <w:left w:val="nil" w:sz="6" w:space="0" w:color="auto"/>
              <w:bottom w:val="single" w:sz="16" w:space="0" w:color="9F8958"/>
              <w:right w:val="nil" w:sz="6" w:space="0" w:color="auto"/>
            </w:tcBorders>
          </w:tcPr>
          <w:p>
            <w:pPr/>
          </w:p>
        </w:tc>
        <w:tc>
          <w:tcPr>
            <w:tcW w:w="1860" w:type="dxa"/>
            <w:tcBorders>
              <w:top w:val="single" w:sz="6" w:space="0" w:color="000000"/>
              <w:left w:val="nil" w:sz="6" w:space="0" w:color="auto"/>
              <w:bottom w:val="single" w:sz="16" w:space="0" w:color="9F8958"/>
              <w:right w:val="nil" w:sz="6" w:space="0" w:color="auto"/>
            </w:tcBorders>
          </w:tcPr>
          <w:p>
            <w:pPr/>
          </w:p>
        </w:tc>
        <w:tc>
          <w:tcPr>
            <w:tcW w:w="1363" w:type="dxa"/>
            <w:tcBorders>
              <w:top w:val="single" w:sz="6" w:space="0" w:color="000000"/>
              <w:left w:val="nil" w:sz="6" w:space="0" w:color="auto"/>
              <w:bottom w:val="single" w:sz="16" w:space="0" w:color="9F8958"/>
              <w:right w:val="nil" w:sz="6" w:space="0" w:color="auto"/>
            </w:tcBorders>
          </w:tcPr>
          <w:p>
            <w:pPr/>
          </w:p>
        </w:tc>
      </w:tr>
      <w:tr>
        <w:trPr>
          <w:trHeight w:val="419" w:hRule="exact"/>
        </w:trPr>
        <w:tc>
          <w:tcPr>
            <w:tcW w:w="2810"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通信设备</w:t>
            </w:r>
          </w:p>
        </w:tc>
        <w:tc>
          <w:tcPr>
            <w:tcW w:w="1781"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607"/>
              <w:jc w:val="right"/>
              <w:rPr>
                <w:rFonts w:ascii="宋体" w:hAnsi="宋体" w:cs="宋体" w:eastAsia="宋体" w:hint="default"/>
                <w:sz w:val="16"/>
                <w:szCs w:val="16"/>
              </w:rPr>
            </w:pPr>
            <w:r>
              <w:rPr>
                <w:rFonts w:ascii="宋体"/>
                <w:w w:val="95"/>
                <w:sz w:val="16"/>
              </w:rPr>
              <w:t>1,054</w:t>
            </w:r>
            <w:r>
              <w:rPr>
                <w:rFonts w:ascii="宋体"/>
                <w:sz w:val="16"/>
              </w:rPr>
            </w:r>
          </w:p>
        </w:tc>
        <w:tc>
          <w:tcPr>
            <w:tcW w:w="1859"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607"/>
              <w:jc w:val="right"/>
              <w:rPr>
                <w:rFonts w:ascii="宋体" w:hAnsi="宋体" w:cs="宋体" w:eastAsia="宋体" w:hint="default"/>
                <w:sz w:val="16"/>
                <w:szCs w:val="16"/>
              </w:rPr>
            </w:pPr>
            <w:r>
              <w:rPr>
                <w:rFonts w:ascii="宋体"/>
                <w:w w:val="85"/>
                <w:sz w:val="16"/>
              </w:rPr>
              <w:t>(265)</w:t>
            </w:r>
            <w:r>
              <w:rPr>
                <w:rFonts w:ascii="宋体"/>
                <w:sz w:val="16"/>
              </w:rPr>
            </w:r>
          </w:p>
        </w:tc>
        <w:tc>
          <w:tcPr>
            <w:tcW w:w="1860"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607"/>
              <w:jc w:val="right"/>
              <w:rPr>
                <w:rFonts w:ascii="宋体" w:hAnsi="宋体" w:cs="宋体" w:eastAsia="宋体" w:hint="default"/>
                <w:sz w:val="16"/>
                <w:szCs w:val="16"/>
              </w:rPr>
            </w:pPr>
            <w:r>
              <w:rPr>
                <w:rFonts w:ascii="宋体"/>
                <w:w w:val="131"/>
                <w:sz w:val="16"/>
              </w:rPr>
              <w:t>-</w:t>
            </w:r>
            <w:r>
              <w:rPr>
                <w:rFonts w:ascii="宋体"/>
                <w:sz w:val="16"/>
              </w:rPr>
            </w:r>
          </w:p>
        </w:tc>
        <w:tc>
          <w:tcPr>
            <w:tcW w:w="1363"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10"/>
                <w:sz w:val="16"/>
              </w:rPr>
              <w:t>789</w:t>
            </w:r>
            <w:r>
              <w:rPr>
                <w:rFonts w:ascii="宋体"/>
                <w:sz w:val="16"/>
              </w:rPr>
            </w:r>
          </w:p>
        </w:tc>
      </w:tr>
      <w:tr>
        <w:trPr>
          <w:trHeight w:val="584" w:hRule="exact"/>
        </w:trPr>
        <w:tc>
          <w:tcPr>
            <w:tcW w:w="2810" w:type="dxa"/>
            <w:tcBorders>
              <w:top w:val="single" w:sz="6" w:space="0" w:color="000000"/>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12、在建工程</w:t>
            </w:r>
          </w:p>
        </w:tc>
        <w:tc>
          <w:tcPr>
            <w:tcW w:w="1781" w:type="dxa"/>
            <w:tcBorders>
              <w:top w:val="single" w:sz="6" w:space="0" w:color="000000"/>
              <w:left w:val="nil" w:sz="6" w:space="0" w:color="auto"/>
              <w:bottom w:val="nil" w:sz="6" w:space="0" w:color="auto"/>
              <w:right w:val="nil" w:sz="6" w:space="0" w:color="auto"/>
            </w:tcBorders>
          </w:tcPr>
          <w:p>
            <w:pPr/>
          </w:p>
        </w:tc>
        <w:tc>
          <w:tcPr>
            <w:tcW w:w="1859" w:type="dxa"/>
            <w:tcBorders>
              <w:top w:val="single" w:sz="6" w:space="0" w:color="000000"/>
              <w:left w:val="nil" w:sz="6" w:space="0" w:color="auto"/>
              <w:bottom w:val="nil" w:sz="6" w:space="0" w:color="auto"/>
              <w:right w:val="nil" w:sz="6" w:space="0" w:color="auto"/>
            </w:tcBorders>
          </w:tcPr>
          <w:p>
            <w:pPr/>
          </w:p>
        </w:tc>
        <w:tc>
          <w:tcPr>
            <w:tcW w:w="1860" w:type="dxa"/>
            <w:tcBorders>
              <w:top w:val="single" w:sz="6" w:space="0" w:color="000000"/>
              <w:left w:val="nil" w:sz="6" w:space="0" w:color="auto"/>
              <w:bottom w:val="nil" w:sz="6" w:space="0" w:color="auto"/>
              <w:right w:val="nil" w:sz="6" w:space="0" w:color="auto"/>
            </w:tcBorders>
          </w:tcPr>
          <w:p>
            <w:pPr/>
          </w:p>
        </w:tc>
        <w:tc>
          <w:tcPr>
            <w:tcW w:w="1363" w:type="dxa"/>
            <w:tcBorders>
              <w:top w:val="single" w:sz="6" w:space="0" w:color="000000"/>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8"/>
          <w:szCs w:val="8"/>
        </w:rPr>
      </w:pPr>
    </w:p>
    <w:tbl>
      <w:tblPr>
        <w:tblW w:w="0" w:type="auto"/>
        <w:jc w:val="left"/>
        <w:tblInd w:w="474" w:type="dxa"/>
        <w:tblLayout w:type="fixed"/>
        <w:tblCellMar>
          <w:top w:w="0" w:type="dxa"/>
          <w:left w:w="0" w:type="dxa"/>
          <w:bottom w:w="0" w:type="dxa"/>
          <w:right w:w="0" w:type="dxa"/>
        </w:tblCellMar>
        <w:tblLook w:val="01E0"/>
      </w:tblPr>
      <w:tblGrid>
        <w:gridCol w:w="4649"/>
        <w:gridCol w:w="2324"/>
        <w:gridCol w:w="2324"/>
      </w:tblGrid>
      <w:tr>
        <w:trPr>
          <w:trHeight w:val="350" w:hRule="exact"/>
        </w:trPr>
        <w:tc>
          <w:tcPr>
            <w:tcW w:w="4649"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080"/>
              <w:jc w:val="right"/>
              <w:rPr>
                <w:rFonts w:ascii="宋体" w:hAnsi="宋体" w:cs="宋体" w:eastAsia="宋体" w:hint="default"/>
                <w:sz w:val="16"/>
                <w:szCs w:val="16"/>
              </w:rPr>
            </w:pPr>
            <w:r>
              <w:rPr>
                <w:rFonts w:ascii="宋体" w:hAnsi="宋体" w:cs="宋体" w:eastAsia="宋体" w:hint="default"/>
                <w:sz w:val="16"/>
                <w:szCs w:val="16"/>
              </w:rPr>
              <w:t>注</w:t>
            </w:r>
          </w:p>
        </w:tc>
        <w:tc>
          <w:tcPr>
            <w:tcW w:w="232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4"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9" w:type="dxa"/>
            <w:tcBorders>
              <w:top w:val="single" w:sz="16" w:space="0" w:color="9F8958"/>
              <w:left w:val="nil" w:sz="6" w:space="0" w:color="auto"/>
              <w:bottom w:val="single" w:sz="6" w:space="0" w:color="000000"/>
              <w:right w:val="nil" w:sz="6" w:space="0" w:color="auto"/>
            </w:tcBorders>
          </w:tcPr>
          <w:p>
            <w:pPr>
              <w:pStyle w:val="TableParagraph"/>
              <w:tabs>
                <w:tab w:pos="3402"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w w:val="95"/>
                <w:sz w:val="16"/>
                <w:szCs w:val="16"/>
              </w:rPr>
              <w:t>在建工程</w:t>
              <w:tab/>
              <w:t>(a)</w:t>
            </w:r>
            <w:r>
              <w:rPr>
                <w:rFonts w:ascii="宋体" w:hAnsi="宋体" w:cs="宋体" w:eastAsia="宋体" w:hint="default"/>
                <w:sz w:val="16"/>
                <w:szCs w:val="16"/>
              </w:rPr>
            </w:r>
          </w:p>
          <w:p>
            <w:pPr>
              <w:pStyle w:val="TableParagraph"/>
              <w:tabs>
                <w:tab w:pos="3397"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工程物资</w:t>
              <w:tab/>
              <w:t>(b)</w:t>
            </w:r>
          </w:p>
        </w:tc>
        <w:tc>
          <w:tcPr>
            <w:tcW w:w="2324"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101" w:right="0"/>
              <w:jc w:val="left"/>
              <w:rPr>
                <w:rFonts w:ascii="宋体" w:hAnsi="宋体" w:cs="宋体" w:eastAsia="宋体" w:hint="default"/>
                <w:sz w:val="16"/>
                <w:szCs w:val="16"/>
              </w:rPr>
            </w:pPr>
            <w:r>
              <w:rPr>
                <w:rFonts w:ascii="宋体"/>
                <w:sz w:val="16"/>
              </w:rPr>
              <w:t>41,172,930,040</w:t>
            </w:r>
          </w:p>
          <w:p>
            <w:pPr>
              <w:pStyle w:val="TableParagraph"/>
              <w:spacing w:line="240" w:lineRule="auto" w:before="64"/>
              <w:ind w:left="1323" w:right="0"/>
              <w:jc w:val="left"/>
              <w:rPr>
                <w:rFonts w:ascii="宋体" w:hAnsi="宋体" w:cs="宋体" w:eastAsia="宋体" w:hint="default"/>
                <w:sz w:val="16"/>
                <w:szCs w:val="16"/>
              </w:rPr>
            </w:pPr>
            <w:r>
              <w:rPr>
                <w:rFonts w:ascii="宋体"/>
                <w:sz w:val="16"/>
              </w:rPr>
              <w:t>556,232,568</w:t>
            </w:r>
          </w:p>
        </w:tc>
        <w:tc>
          <w:tcPr>
            <w:tcW w:w="2324"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101" w:right="0"/>
              <w:jc w:val="left"/>
              <w:rPr>
                <w:rFonts w:ascii="宋体" w:hAnsi="宋体" w:cs="宋体" w:eastAsia="宋体" w:hint="default"/>
                <w:sz w:val="16"/>
                <w:szCs w:val="16"/>
              </w:rPr>
            </w:pPr>
            <w:r>
              <w:rPr>
                <w:rFonts w:ascii="宋体"/>
                <w:sz w:val="16"/>
              </w:rPr>
              <w:t>51,286,267,784</w:t>
            </w:r>
          </w:p>
          <w:p>
            <w:pPr>
              <w:pStyle w:val="TableParagraph"/>
              <w:spacing w:line="240" w:lineRule="auto" w:before="64"/>
              <w:ind w:left="1323" w:right="0"/>
              <w:jc w:val="left"/>
              <w:rPr>
                <w:rFonts w:ascii="宋体" w:hAnsi="宋体" w:cs="宋体" w:eastAsia="宋体" w:hint="default"/>
                <w:sz w:val="16"/>
                <w:szCs w:val="16"/>
              </w:rPr>
            </w:pPr>
            <w:r>
              <w:rPr>
                <w:rFonts w:ascii="宋体"/>
                <w:sz w:val="16"/>
              </w:rPr>
              <w:t>549,207,744</w:t>
            </w:r>
          </w:p>
        </w:tc>
      </w:tr>
      <w:tr>
        <w:trPr>
          <w:trHeight w:val="414" w:hRule="exact"/>
        </w:trPr>
        <w:tc>
          <w:tcPr>
            <w:tcW w:w="464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41,729,162,608</w:t>
            </w:r>
            <w:r>
              <w:rPr>
                <w:rFonts w:ascii="宋体"/>
                <w:sz w:val="16"/>
              </w:rPr>
            </w:r>
          </w:p>
        </w:tc>
        <w:tc>
          <w:tcPr>
            <w:tcW w:w="232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51,835,475,528</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54" w:right="87"/>
        <w:jc w:val="left"/>
      </w:pPr>
      <w:r>
        <w:rPr>
          <w:w w:val="95"/>
        </w:rPr>
        <w:t>(a)</w:t>
      </w:r>
      <w:r>
        <w:rPr>
          <w:spacing w:val="33"/>
          <w:w w:val="95"/>
        </w:rPr>
        <w:t> </w:t>
      </w:r>
      <w:r>
        <w:rPr>
          <w:w w:val="95"/>
        </w:rPr>
        <w:t>在建工程</w:t>
      </w:r>
    </w:p>
    <w:p>
      <w:pPr>
        <w:spacing w:line="240" w:lineRule="auto" w:before="4"/>
        <w:rPr>
          <w:rFonts w:ascii="宋体" w:hAnsi="宋体" w:cs="宋体" w:eastAsia="宋体" w:hint="default"/>
          <w:sz w:val="17"/>
          <w:szCs w:val="17"/>
        </w:rPr>
      </w:pPr>
    </w:p>
    <w:tbl>
      <w:tblPr>
        <w:tblW w:w="0" w:type="auto"/>
        <w:jc w:val="left"/>
        <w:tblInd w:w="474" w:type="dxa"/>
        <w:tblLayout w:type="fixed"/>
        <w:tblCellMar>
          <w:top w:w="0" w:type="dxa"/>
          <w:left w:w="0" w:type="dxa"/>
          <w:bottom w:w="0" w:type="dxa"/>
          <w:right w:w="0" w:type="dxa"/>
        </w:tblCellMar>
        <w:tblLook w:val="01E0"/>
      </w:tblPr>
      <w:tblGrid>
        <w:gridCol w:w="1372"/>
        <w:gridCol w:w="1438"/>
        <w:gridCol w:w="1260"/>
        <w:gridCol w:w="1258"/>
        <w:gridCol w:w="1437"/>
        <w:gridCol w:w="1260"/>
        <w:gridCol w:w="1258"/>
      </w:tblGrid>
      <w:tr>
        <w:trPr>
          <w:trHeight w:val="323" w:hRule="exact"/>
        </w:trPr>
        <w:tc>
          <w:tcPr>
            <w:tcW w:w="1372" w:type="dxa"/>
            <w:vMerge w:val="restart"/>
            <w:tcBorders>
              <w:top w:val="nil" w:sz="6" w:space="0" w:color="auto"/>
              <w:left w:val="nil" w:sz="6" w:space="0" w:color="auto"/>
              <w:right w:val="nil" w:sz="6" w:space="0" w:color="auto"/>
            </w:tcBorders>
          </w:tcPr>
          <w:p>
            <w:pPr/>
          </w:p>
        </w:tc>
        <w:tc>
          <w:tcPr>
            <w:tcW w:w="3956" w:type="dxa"/>
            <w:gridSpan w:val="3"/>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13"/>
              <w:ind w:right="0"/>
              <w:jc w:val="center"/>
              <w:rPr>
                <w:rFonts w:ascii="宋体" w:hAnsi="宋体" w:cs="宋体" w:eastAsia="宋体" w:hint="default"/>
                <w:sz w:val="14"/>
                <w:szCs w:val="14"/>
              </w:rPr>
            </w:pPr>
            <w:r>
              <w:rPr>
                <w:rFonts w:ascii="宋体" w:hAnsi="宋体" w:cs="宋体" w:eastAsia="宋体" w:hint="default"/>
                <w:w w:val="110"/>
                <w:sz w:val="14"/>
                <w:szCs w:val="14"/>
              </w:rPr>
              <w:t>2018</w:t>
            </w:r>
            <w:r>
              <w:rPr>
                <w:rFonts w:ascii="宋体" w:hAnsi="宋体" w:cs="宋体" w:eastAsia="宋体" w:hint="default"/>
                <w:spacing w:val="-51"/>
                <w:w w:val="110"/>
                <w:sz w:val="14"/>
                <w:szCs w:val="14"/>
              </w:rPr>
              <w:t> </w:t>
            </w:r>
            <w:r>
              <w:rPr>
                <w:rFonts w:ascii="宋体" w:hAnsi="宋体" w:cs="宋体" w:eastAsia="宋体" w:hint="default"/>
                <w:w w:val="110"/>
                <w:sz w:val="14"/>
                <w:szCs w:val="14"/>
              </w:rPr>
              <w:t>年</w:t>
            </w:r>
            <w:r>
              <w:rPr>
                <w:rFonts w:ascii="宋体" w:hAnsi="宋体" w:cs="宋体" w:eastAsia="宋体" w:hint="default"/>
                <w:spacing w:val="-50"/>
                <w:w w:val="110"/>
                <w:sz w:val="14"/>
                <w:szCs w:val="14"/>
              </w:rPr>
              <w:t> </w:t>
            </w:r>
            <w:r>
              <w:rPr>
                <w:rFonts w:ascii="宋体" w:hAnsi="宋体" w:cs="宋体" w:eastAsia="宋体" w:hint="default"/>
                <w:w w:val="110"/>
                <w:sz w:val="14"/>
                <w:szCs w:val="14"/>
              </w:rPr>
              <w:t>12</w:t>
            </w:r>
            <w:r>
              <w:rPr>
                <w:rFonts w:ascii="宋体" w:hAnsi="宋体" w:cs="宋体" w:eastAsia="宋体" w:hint="default"/>
                <w:spacing w:val="-51"/>
                <w:w w:val="110"/>
                <w:sz w:val="14"/>
                <w:szCs w:val="14"/>
              </w:rPr>
              <w:t> </w:t>
            </w:r>
            <w:r>
              <w:rPr>
                <w:rFonts w:ascii="宋体" w:hAnsi="宋体" w:cs="宋体" w:eastAsia="宋体" w:hint="default"/>
                <w:w w:val="110"/>
                <w:sz w:val="14"/>
                <w:szCs w:val="14"/>
              </w:rPr>
              <w:t>月</w:t>
            </w:r>
            <w:r>
              <w:rPr>
                <w:rFonts w:ascii="宋体" w:hAnsi="宋体" w:cs="宋体" w:eastAsia="宋体" w:hint="default"/>
                <w:spacing w:val="-50"/>
                <w:w w:val="110"/>
                <w:sz w:val="14"/>
                <w:szCs w:val="14"/>
              </w:rPr>
              <w:t> </w:t>
            </w:r>
            <w:r>
              <w:rPr>
                <w:rFonts w:ascii="宋体" w:hAnsi="宋体" w:cs="宋体" w:eastAsia="宋体" w:hint="default"/>
                <w:w w:val="110"/>
                <w:sz w:val="14"/>
                <w:szCs w:val="14"/>
              </w:rPr>
              <w:t>31</w:t>
            </w:r>
            <w:r>
              <w:rPr>
                <w:rFonts w:ascii="宋体" w:hAnsi="宋体" w:cs="宋体" w:eastAsia="宋体" w:hint="default"/>
                <w:spacing w:val="-51"/>
                <w:w w:val="110"/>
                <w:sz w:val="14"/>
                <w:szCs w:val="14"/>
              </w:rPr>
              <w:t> </w:t>
            </w:r>
            <w:r>
              <w:rPr>
                <w:rFonts w:ascii="宋体" w:hAnsi="宋体" w:cs="宋体" w:eastAsia="宋体" w:hint="default"/>
                <w:w w:val="110"/>
                <w:sz w:val="14"/>
                <w:szCs w:val="14"/>
              </w:rPr>
              <w:t>日</w:t>
            </w:r>
          </w:p>
        </w:tc>
        <w:tc>
          <w:tcPr>
            <w:tcW w:w="3956" w:type="dxa"/>
            <w:gridSpan w:val="3"/>
            <w:tcBorders>
              <w:top w:val="nil" w:sz="6" w:space="0" w:color="auto"/>
              <w:left w:val="nil" w:sz="6" w:space="0" w:color="auto"/>
              <w:bottom w:val="single" w:sz="6" w:space="0" w:color="000000"/>
              <w:right w:val="nil" w:sz="6" w:space="0" w:color="auto"/>
            </w:tcBorders>
          </w:tcPr>
          <w:p>
            <w:pPr>
              <w:pStyle w:val="TableParagraph"/>
              <w:spacing w:line="240" w:lineRule="auto" w:before="13"/>
              <w:ind w:right="0"/>
              <w:jc w:val="center"/>
              <w:rPr>
                <w:rFonts w:ascii="宋体" w:hAnsi="宋体" w:cs="宋体" w:eastAsia="宋体" w:hint="default"/>
                <w:sz w:val="14"/>
                <w:szCs w:val="14"/>
              </w:rPr>
            </w:pPr>
            <w:r>
              <w:rPr>
                <w:rFonts w:ascii="宋体" w:hAnsi="宋体" w:cs="宋体" w:eastAsia="宋体" w:hint="default"/>
                <w:w w:val="110"/>
                <w:sz w:val="14"/>
                <w:szCs w:val="14"/>
              </w:rPr>
              <w:t>2017</w:t>
            </w:r>
            <w:r>
              <w:rPr>
                <w:rFonts w:ascii="宋体" w:hAnsi="宋体" w:cs="宋体" w:eastAsia="宋体" w:hint="default"/>
                <w:spacing w:val="-51"/>
                <w:w w:val="110"/>
                <w:sz w:val="14"/>
                <w:szCs w:val="14"/>
              </w:rPr>
              <w:t> </w:t>
            </w:r>
            <w:r>
              <w:rPr>
                <w:rFonts w:ascii="宋体" w:hAnsi="宋体" w:cs="宋体" w:eastAsia="宋体" w:hint="default"/>
                <w:w w:val="110"/>
                <w:sz w:val="14"/>
                <w:szCs w:val="14"/>
              </w:rPr>
              <w:t>年</w:t>
            </w:r>
            <w:r>
              <w:rPr>
                <w:rFonts w:ascii="宋体" w:hAnsi="宋体" w:cs="宋体" w:eastAsia="宋体" w:hint="default"/>
                <w:spacing w:val="-50"/>
                <w:w w:val="110"/>
                <w:sz w:val="14"/>
                <w:szCs w:val="14"/>
              </w:rPr>
              <w:t> </w:t>
            </w:r>
            <w:r>
              <w:rPr>
                <w:rFonts w:ascii="宋体" w:hAnsi="宋体" w:cs="宋体" w:eastAsia="宋体" w:hint="default"/>
                <w:w w:val="110"/>
                <w:sz w:val="14"/>
                <w:szCs w:val="14"/>
              </w:rPr>
              <w:t>12</w:t>
            </w:r>
            <w:r>
              <w:rPr>
                <w:rFonts w:ascii="宋体" w:hAnsi="宋体" w:cs="宋体" w:eastAsia="宋体" w:hint="default"/>
                <w:spacing w:val="-51"/>
                <w:w w:val="110"/>
                <w:sz w:val="14"/>
                <w:szCs w:val="14"/>
              </w:rPr>
              <w:t> </w:t>
            </w:r>
            <w:r>
              <w:rPr>
                <w:rFonts w:ascii="宋体" w:hAnsi="宋体" w:cs="宋体" w:eastAsia="宋体" w:hint="default"/>
                <w:w w:val="110"/>
                <w:sz w:val="14"/>
                <w:szCs w:val="14"/>
              </w:rPr>
              <w:t>月</w:t>
            </w:r>
            <w:r>
              <w:rPr>
                <w:rFonts w:ascii="宋体" w:hAnsi="宋体" w:cs="宋体" w:eastAsia="宋体" w:hint="default"/>
                <w:spacing w:val="-50"/>
                <w:w w:val="110"/>
                <w:sz w:val="14"/>
                <w:szCs w:val="14"/>
              </w:rPr>
              <w:t> </w:t>
            </w:r>
            <w:r>
              <w:rPr>
                <w:rFonts w:ascii="宋体" w:hAnsi="宋体" w:cs="宋体" w:eastAsia="宋体" w:hint="default"/>
                <w:w w:val="110"/>
                <w:sz w:val="14"/>
                <w:szCs w:val="14"/>
              </w:rPr>
              <w:t>31</w:t>
            </w:r>
            <w:r>
              <w:rPr>
                <w:rFonts w:ascii="宋体" w:hAnsi="宋体" w:cs="宋体" w:eastAsia="宋体" w:hint="default"/>
                <w:spacing w:val="-51"/>
                <w:w w:val="110"/>
                <w:sz w:val="14"/>
                <w:szCs w:val="14"/>
              </w:rPr>
              <w:t> </w:t>
            </w:r>
            <w:r>
              <w:rPr>
                <w:rFonts w:ascii="宋体" w:hAnsi="宋体" w:cs="宋体" w:eastAsia="宋体" w:hint="default"/>
                <w:w w:val="110"/>
                <w:sz w:val="14"/>
                <w:szCs w:val="14"/>
              </w:rPr>
              <w:t>日</w:t>
            </w:r>
          </w:p>
        </w:tc>
      </w:tr>
      <w:tr>
        <w:trPr>
          <w:trHeight w:val="394" w:hRule="exact"/>
        </w:trPr>
        <w:tc>
          <w:tcPr>
            <w:tcW w:w="1372" w:type="dxa"/>
            <w:vMerge/>
            <w:tcBorders>
              <w:left w:val="nil" w:sz="6" w:space="0" w:color="auto"/>
              <w:bottom w:val="single" w:sz="16" w:space="0" w:color="9F8958"/>
              <w:right w:val="nil" w:sz="6" w:space="0" w:color="auto"/>
            </w:tcBorders>
          </w:tcPr>
          <w:p>
            <w:pPr/>
          </w:p>
        </w:tc>
        <w:tc>
          <w:tcPr>
            <w:tcW w:w="143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0"/>
              <w:ind w:right="230"/>
              <w:jc w:val="right"/>
              <w:rPr>
                <w:rFonts w:ascii="宋体" w:hAnsi="宋体" w:cs="宋体" w:eastAsia="宋体" w:hint="default"/>
                <w:sz w:val="14"/>
                <w:szCs w:val="14"/>
              </w:rPr>
            </w:pPr>
            <w:r>
              <w:rPr>
                <w:rFonts w:ascii="宋体" w:hAnsi="宋体" w:cs="宋体" w:eastAsia="宋体" w:hint="default"/>
                <w:sz w:val="14"/>
                <w:szCs w:val="14"/>
              </w:rPr>
              <w:t>账面余额</w:t>
            </w:r>
          </w:p>
        </w:tc>
        <w:tc>
          <w:tcPr>
            <w:tcW w:w="1260"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0"/>
              <w:ind w:right="172"/>
              <w:jc w:val="right"/>
              <w:rPr>
                <w:rFonts w:ascii="宋体" w:hAnsi="宋体" w:cs="宋体" w:eastAsia="宋体" w:hint="default"/>
                <w:sz w:val="14"/>
                <w:szCs w:val="14"/>
              </w:rPr>
            </w:pPr>
            <w:r>
              <w:rPr>
                <w:rFonts w:ascii="宋体" w:hAnsi="宋体" w:cs="宋体" w:eastAsia="宋体" w:hint="default"/>
                <w:sz w:val="14"/>
                <w:szCs w:val="14"/>
              </w:rPr>
              <w:t>减值准备</w:t>
            </w:r>
          </w:p>
        </w:tc>
        <w:tc>
          <w:tcPr>
            <w:tcW w:w="125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0"/>
              <w:ind w:right="111"/>
              <w:jc w:val="right"/>
              <w:rPr>
                <w:rFonts w:ascii="宋体" w:hAnsi="宋体" w:cs="宋体" w:eastAsia="宋体" w:hint="default"/>
                <w:sz w:val="14"/>
                <w:szCs w:val="14"/>
              </w:rPr>
            </w:pPr>
            <w:r>
              <w:rPr>
                <w:rFonts w:ascii="宋体" w:hAnsi="宋体" w:cs="宋体" w:eastAsia="宋体" w:hint="default"/>
                <w:sz w:val="14"/>
                <w:szCs w:val="14"/>
              </w:rPr>
              <w:t>账面价值</w:t>
            </w:r>
          </w:p>
        </w:tc>
        <w:tc>
          <w:tcPr>
            <w:tcW w:w="1437" w:type="dxa"/>
            <w:tcBorders>
              <w:top w:val="single" w:sz="6" w:space="0" w:color="000000"/>
              <w:left w:val="nil" w:sz="6" w:space="0" w:color="auto"/>
              <w:bottom w:val="single" w:sz="16" w:space="0" w:color="9F8958"/>
              <w:right w:val="nil" w:sz="6" w:space="0" w:color="auto"/>
            </w:tcBorders>
          </w:tcPr>
          <w:p>
            <w:pPr>
              <w:pStyle w:val="TableParagraph"/>
              <w:spacing w:line="240" w:lineRule="auto" w:before="70"/>
              <w:ind w:right="230"/>
              <w:jc w:val="right"/>
              <w:rPr>
                <w:rFonts w:ascii="宋体" w:hAnsi="宋体" w:cs="宋体" w:eastAsia="宋体" w:hint="default"/>
                <w:sz w:val="14"/>
                <w:szCs w:val="14"/>
              </w:rPr>
            </w:pPr>
            <w:r>
              <w:rPr>
                <w:rFonts w:ascii="宋体" w:hAnsi="宋体" w:cs="宋体" w:eastAsia="宋体" w:hint="default"/>
                <w:sz w:val="14"/>
                <w:szCs w:val="14"/>
              </w:rPr>
              <w:t>账面余额</w:t>
            </w:r>
          </w:p>
        </w:tc>
        <w:tc>
          <w:tcPr>
            <w:tcW w:w="1260" w:type="dxa"/>
            <w:tcBorders>
              <w:top w:val="single" w:sz="6" w:space="0" w:color="000000"/>
              <w:left w:val="nil" w:sz="6" w:space="0" w:color="auto"/>
              <w:bottom w:val="single" w:sz="16" w:space="0" w:color="9F8958"/>
              <w:right w:val="nil" w:sz="6" w:space="0" w:color="auto"/>
            </w:tcBorders>
          </w:tcPr>
          <w:p>
            <w:pPr>
              <w:pStyle w:val="TableParagraph"/>
              <w:spacing w:line="240" w:lineRule="auto" w:before="70"/>
              <w:ind w:right="172"/>
              <w:jc w:val="right"/>
              <w:rPr>
                <w:rFonts w:ascii="宋体" w:hAnsi="宋体" w:cs="宋体" w:eastAsia="宋体" w:hint="default"/>
                <w:sz w:val="14"/>
                <w:szCs w:val="14"/>
              </w:rPr>
            </w:pPr>
            <w:r>
              <w:rPr>
                <w:rFonts w:ascii="宋体" w:hAnsi="宋体" w:cs="宋体" w:eastAsia="宋体" w:hint="default"/>
                <w:sz w:val="14"/>
                <w:szCs w:val="14"/>
              </w:rPr>
              <w:t>减值准备</w:t>
            </w:r>
          </w:p>
        </w:tc>
        <w:tc>
          <w:tcPr>
            <w:tcW w:w="1258" w:type="dxa"/>
            <w:tcBorders>
              <w:top w:val="single" w:sz="6" w:space="0" w:color="000000"/>
              <w:left w:val="nil" w:sz="6" w:space="0" w:color="auto"/>
              <w:bottom w:val="single" w:sz="16" w:space="0" w:color="9F8958"/>
              <w:right w:val="nil" w:sz="6" w:space="0" w:color="auto"/>
            </w:tcBorders>
          </w:tcPr>
          <w:p>
            <w:pPr>
              <w:pStyle w:val="TableParagraph"/>
              <w:spacing w:line="240" w:lineRule="auto" w:before="70"/>
              <w:ind w:right="111"/>
              <w:jc w:val="right"/>
              <w:rPr>
                <w:rFonts w:ascii="宋体" w:hAnsi="宋体" w:cs="宋体" w:eastAsia="宋体" w:hint="default"/>
                <w:sz w:val="14"/>
                <w:szCs w:val="14"/>
              </w:rPr>
            </w:pPr>
            <w:r>
              <w:rPr>
                <w:rFonts w:ascii="宋体" w:hAnsi="宋体" w:cs="宋体" w:eastAsia="宋体" w:hint="default"/>
                <w:sz w:val="14"/>
                <w:szCs w:val="14"/>
              </w:rPr>
              <w:t>账面价值</w:t>
            </w:r>
          </w:p>
        </w:tc>
      </w:tr>
      <w:tr>
        <w:trPr>
          <w:trHeight w:val="341" w:hRule="exact"/>
        </w:trPr>
        <w:tc>
          <w:tcPr>
            <w:tcW w:w="1372"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left="113" w:right="0"/>
              <w:jc w:val="left"/>
              <w:rPr>
                <w:rFonts w:ascii="宋体" w:hAnsi="宋体" w:cs="宋体" w:eastAsia="宋体" w:hint="default"/>
                <w:sz w:val="14"/>
                <w:szCs w:val="14"/>
              </w:rPr>
            </w:pPr>
            <w:r>
              <w:rPr>
                <w:rFonts w:ascii="宋体" w:hAnsi="宋体" w:cs="宋体" w:eastAsia="宋体" w:hint="default"/>
                <w:sz w:val="14"/>
                <w:szCs w:val="14"/>
              </w:rPr>
              <w:t>网络工程</w:t>
            </w:r>
          </w:p>
        </w:tc>
        <w:tc>
          <w:tcPr>
            <w:tcW w:w="143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0"/>
              <w:ind w:right="229"/>
              <w:jc w:val="right"/>
              <w:rPr>
                <w:rFonts w:ascii="宋体" w:hAnsi="宋体" w:cs="宋体" w:eastAsia="宋体" w:hint="default"/>
                <w:sz w:val="14"/>
                <w:szCs w:val="14"/>
              </w:rPr>
            </w:pPr>
            <w:r>
              <w:rPr>
                <w:rFonts w:ascii="宋体"/>
                <w:w w:val="95"/>
                <w:sz w:val="14"/>
              </w:rPr>
              <w:t>37,720,397,695</w:t>
            </w:r>
            <w:r>
              <w:rPr>
                <w:rFonts w:ascii="宋体"/>
                <w:sz w:val="14"/>
              </w:rPr>
            </w:r>
          </w:p>
        </w:tc>
        <w:tc>
          <w:tcPr>
            <w:tcW w:w="1260"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0"/>
              <w:ind w:right="171"/>
              <w:jc w:val="right"/>
              <w:rPr>
                <w:rFonts w:ascii="宋体" w:hAnsi="宋体" w:cs="宋体" w:eastAsia="宋体" w:hint="default"/>
                <w:sz w:val="14"/>
                <w:szCs w:val="14"/>
              </w:rPr>
            </w:pPr>
            <w:r>
              <w:rPr>
                <w:rFonts w:ascii="宋体"/>
                <w:w w:val="90"/>
                <w:sz w:val="14"/>
              </w:rPr>
              <w:t>(15,082,077)</w:t>
            </w:r>
            <w:r>
              <w:rPr>
                <w:rFonts w:ascii="宋体"/>
                <w:sz w:val="14"/>
              </w:rPr>
            </w:r>
          </w:p>
        </w:tc>
        <w:tc>
          <w:tcPr>
            <w:tcW w:w="125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0"/>
              <w:ind w:right="112"/>
              <w:jc w:val="right"/>
              <w:rPr>
                <w:rFonts w:ascii="宋体" w:hAnsi="宋体" w:cs="宋体" w:eastAsia="宋体" w:hint="default"/>
                <w:sz w:val="14"/>
                <w:szCs w:val="14"/>
              </w:rPr>
            </w:pPr>
            <w:r>
              <w:rPr>
                <w:rFonts w:ascii="宋体"/>
                <w:w w:val="95"/>
                <w:sz w:val="14"/>
              </w:rPr>
              <w:t>37,705,315,618</w:t>
            </w:r>
            <w:r>
              <w:rPr>
                <w:rFonts w:ascii="宋体"/>
                <w:sz w:val="14"/>
              </w:rPr>
            </w:r>
          </w:p>
        </w:tc>
        <w:tc>
          <w:tcPr>
            <w:tcW w:w="1437"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229"/>
              <w:jc w:val="right"/>
              <w:rPr>
                <w:rFonts w:ascii="宋体" w:hAnsi="宋体" w:cs="宋体" w:eastAsia="宋体" w:hint="default"/>
                <w:sz w:val="14"/>
                <w:szCs w:val="14"/>
              </w:rPr>
            </w:pPr>
            <w:r>
              <w:rPr>
                <w:rFonts w:ascii="宋体"/>
                <w:w w:val="95"/>
                <w:sz w:val="14"/>
              </w:rPr>
              <w:t>48,762,408,604</w:t>
            </w:r>
            <w:r>
              <w:rPr>
                <w:rFonts w:ascii="宋体"/>
                <w:sz w:val="14"/>
              </w:rPr>
            </w:r>
          </w:p>
        </w:tc>
        <w:tc>
          <w:tcPr>
            <w:tcW w:w="126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71"/>
              <w:jc w:val="right"/>
              <w:rPr>
                <w:rFonts w:ascii="宋体" w:hAnsi="宋体" w:cs="宋体" w:eastAsia="宋体" w:hint="default"/>
                <w:sz w:val="14"/>
                <w:szCs w:val="14"/>
              </w:rPr>
            </w:pPr>
            <w:r>
              <w:rPr>
                <w:rFonts w:ascii="宋体"/>
                <w:w w:val="90"/>
                <w:sz w:val="14"/>
              </w:rPr>
              <w:t>(15,082,077)</w:t>
            </w:r>
            <w:r>
              <w:rPr>
                <w:rFonts w:ascii="宋体"/>
                <w:sz w:val="14"/>
              </w:rPr>
            </w:r>
          </w:p>
        </w:tc>
        <w:tc>
          <w:tcPr>
            <w:tcW w:w="1258"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11"/>
              <w:jc w:val="right"/>
              <w:rPr>
                <w:rFonts w:ascii="宋体" w:hAnsi="宋体" w:cs="宋体" w:eastAsia="宋体" w:hint="default"/>
                <w:sz w:val="14"/>
                <w:szCs w:val="14"/>
              </w:rPr>
            </w:pPr>
            <w:r>
              <w:rPr>
                <w:rFonts w:ascii="宋体"/>
                <w:w w:val="95"/>
                <w:sz w:val="14"/>
              </w:rPr>
              <w:t>48,747,326,527</w:t>
            </w:r>
            <w:r>
              <w:rPr>
                <w:rFonts w:ascii="宋体"/>
                <w:sz w:val="14"/>
              </w:rPr>
            </w:r>
          </w:p>
        </w:tc>
      </w:tr>
      <w:tr>
        <w:trPr>
          <w:trHeight w:val="312" w:hRule="exact"/>
        </w:trPr>
        <w:tc>
          <w:tcPr>
            <w:tcW w:w="1372" w:type="dxa"/>
            <w:tcBorders>
              <w:top w:val="nil" w:sz="6" w:space="0" w:color="auto"/>
              <w:left w:val="nil" w:sz="6" w:space="0" w:color="auto"/>
              <w:bottom w:val="single" w:sz="6" w:space="0" w:color="000000"/>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通用基础设施工程</w:t>
            </w:r>
          </w:p>
        </w:tc>
        <w:tc>
          <w:tcPr>
            <w:tcW w:w="143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3"/>
              <w:ind w:right="229"/>
              <w:jc w:val="right"/>
              <w:rPr>
                <w:rFonts w:ascii="宋体" w:hAnsi="宋体" w:cs="宋体" w:eastAsia="宋体" w:hint="default"/>
                <w:sz w:val="14"/>
                <w:szCs w:val="14"/>
              </w:rPr>
            </w:pPr>
            <w:r>
              <w:rPr>
                <w:rFonts w:ascii="宋体"/>
                <w:w w:val="95"/>
                <w:sz w:val="14"/>
              </w:rPr>
              <w:t>3,574,808,222</w:t>
            </w:r>
            <w:r>
              <w:rPr>
                <w:rFonts w:ascii="宋体"/>
                <w:sz w:val="14"/>
              </w:rPr>
            </w:r>
          </w:p>
        </w:tc>
        <w:tc>
          <w:tcPr>
            <w:tcW w:w="1260"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3"/>
              <w:ind w:right="171"/>
              <w:jc w:val="right"/>
              <w:rPr>
                <w:rFonts w:ascii="宋体" w:hAnsi="宋体" w:cs="宋体" w:eastAsia="宋体" w:hint="default"/>
                <w:sz w:val="14"/>
                <w:szCs w:val="14"/>
              </w:rPr>
            </w:pPr>
            <w:r>
              <w:rPr>
                <w:rFonts w:ascii="宋体"/>
                <w:w w:val="90"/>
                <w:sz w:val="14"/>
              </w:rPr>
              <w:t>(107,193,800)</w:t>
            </w:r>
            <w:r>
              <w:rPr>
                <w:rFonts w:ascii="宋体"/>
                <w:sz w:val="14"/>
              </w:rPr>
            </w:r>
          </w:p>
        </w:tc>
        <w:tc>
          <w:tcPr>
            <w:tcW w:w="125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3"/>
              <w:ind w:right="112"/>
              <w:jc w:val="right"/>
              <w:rPr>
                <w:rFonts w:ascii="宋体" w:hAnsi="宋体" w:cs="宋体" w:eastAsia="宋体" w:hint="default"/>
                <w:sz w:val="14"/>
                <w:szCs w:val="14"/>
              </w:rPr>
            </w:pPr>
            <w:r>
              <w:rPr>
                <w:rFonts w:ascii="宋体"/>
                <w:w w:val="95"/>
                <w:sz w:val="14"/>
              </w:rPr>
              <w:t>3,467,614,422</w:t>
            </w:r>
            <w:r>
              <w:rPr>
                <w:rFonts w:ascii="宋体"/>
                <w:sz w:val="14"/>
              </w:rPr>
            </w:r>
          </w:p>
        </w:tc>
        <w:tc>
          <w:tcPr>
            <w:tcW w:w="1437"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229"/>
              <w:jc w:val="right"/>
              <w:rPr>
                <w:rFonts w:ascii="宋体" w:hAnsi="宋体" w:cs="宋体" w:eastAsia="宋体" w:hint="default"/>
                <w:sz w:val="14"/>
                <w:szCs w:val="14"/>
              </w:rPr>
            </w:pPr>
            <w:r>
              <w:rPr>
                <w:rFonts w:ascii="宋体"/>
                <w:w w:val="95"/>
                <w:sz w:val="14"/>
              </w:rPr>
              <w:t>2,634,162,165</w:t>
            </w:r>
            <w:r>
              <w:rPr>
                <w:rFonts w:ascii="宋体"/>
                <w:sz w:val="14"/>
              </w:rPr>
            </w:r>
          </w:p>
        </w:tc>
        <w:tc>
          <w:tcPr>
            <w:tcW w:w="126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71"/>
              <w:jc w:val="right"/>
              <w:rPr>
                <w:rFonts w:ascii="宋体" w:hAnsi="宋体" w:cs="宋体" w:eastAsia="宋体" w:hint="default"/>
                <w:sz w:val="14"/>
                <w:szCs w:val="14"/>
              </w:rPr>
            </w:pPr>
            <w:r>
              <w:rPr>
                <w:rFonts w:ascii="宋体"/>
                <w:w w:val="90"/>
                <w:sz w:val="14"/>
              </w:rPr>
              <w:t>(95,220,908)</w:t>
            </w:r>
            <w:r>
              <w:rPr>
                <w:rFonts w:ascii="宋体"/>
                <w:sz w:val="14"/>
              </w:rPr>
            </w:r>
          </w:p>
        </w:tc>
        <w:tc>
          <w:tcPr>
            <w:tcW w:w="1258"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2,538,941,257</w:t>
            </w:r>
            <w:r>
              <w:rPr>
                <w:rFonts w:ascii="宋体"/>
                <w:sz w:val="14"/>
              </w:rPr>
            </w:r>
          </w:p>
        </w:tc>
      </w:tr>
      <w:tr>
        <w:trPr>
          <w:trHeight w:val="394" w:hRule="exact"/>
        </w:trPr>
        <w:tc>
          <w:tcPr>
            <w:tcW w:w="1372" w:type="dxa"/>
            <w:tcBorders>
              <w:top w:val="single" w:sz="6" w:space="0" w:color="000000"/>
              <w:left w:val="nil" w:sz="6" w:space="0" w:color="auto"/>
              <w:bottom w:val="single" w:sz="16" w:space="0" w:color="9F8958"/>
              <w:right w:val="nil" w:sz="6" w:space="0" w:color="auto"/>
            </w:tcBorders>
          </w:tcPr>
          <w:p>
            <w:pPr>
              <w:pStyle w:val="TableParagraph"/>
              <w:spacing w:line="240" w:lineRule="auto" w:before="70"/>
              <w:ind w:left="113"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43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0"/>
              <w:ind w:right="229"/>
              <w:jc w:val="right"/>
              <w:rPr>
                <w:rFonts w:ascii="宋体" w:hAnsi="宋体" w:cs="宋体" w:eastAsia="宋体" w:hint="default"/>
                <w:sz w:val="14"/>
                <w:szCs w:val="14"/>
              </w:rPr>
            </w:pPr>
            <w:r>
              <w:rPr>
                <w:rFonts w:ascii="宋体"/>
                <w:w w:val="95"/>
                <w:sz w:val="14"/>
              </w:rPr>
              <w:t>41,295,205,917</w:t>
            </w:r>
            <w:r>
              <w:rPr>
                <w:rFonts w:ascii="宋体"/>
                <w:sz w:val="14"/>
              </w:rPr>
            </w:r>
          </w:p>
        </w:tc>
        <w:tc>
          <w:tcPr>
            <w:tcW w:w="1260"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0"/>
              <w:ind w:right="171"/>
              <w:jc w:val="right"/>
              <w:rPr>
                <w:rFonts w:ascii="宋体" w:hAnsi="宋体" w:cs="宋体" w:eastAsia="宋体" w:hint="default"/>
                <w:sz w:val="14"/>
                <w:szCs w:val="14"/>
              </w:rPr>
            </w:pPr>
            <w:r>
              <w:rPr>
                <w:rFonts w:ascii="宋体"/>
                <w:w w:val="90"/>
                <w:sz w:val="14"/>
              </w:rPr>
              <w:t>(122,275,877)</w:t>
            </w:r>
            <w:r>
              <w:rPr>
                <w:rFonts w:ascii="宋体"/>
                <w:sz w:val="14"/>
              </w:rPr>
            </w:r>
          </w:p>
        </w:tc>
        <w:tc>
          <w:tcPr>
            <w:tcW w:w="125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70"/>
              <w:ind w:right="111"/>
              <w:jc w:val="right"/>
              <w:rPr>
                <w:rFonts w:ascii="宋体" w:hAnsi="宋体" w:cs="宋体" w:eastAsia="宋体" w:hint="default"/>
                <w:sz w:val="14"/>
                <w:szCs w:val="14"/>
              </w:rPr>
            </w:pPr>
            <w:r>
              <w:rPr>
                <w:rFonts w:ascii="宋体"/>
                <w:w w:val="95"/>
                <w:sz w:val="14"/>
              </w:rPr>
              <w:t>41,172,930,040</w:t>
            </w:r>
            <w:r>
              <w:rPr>
                <w:rFonts w:ascii="宋体"/>
                <w:sz w:val="14"/>
              </w:rPr>
            </w:r>
          </w:p>
        </w:tc>
        <w:tc>
          <w:tcPr>
            <w:tcW w:w="1437" w:type="dxa"/>
            <w:tcBorders>
              <w:top w:val="single" w:sz="6" w:space="0" w:color="000000"/>
              <w:left w:val="nil" w:sz="6" w:space="0" w:color="auto"/>
              <w:bottom w:val="single" w:sz="16" w:space="0" w:color="9F8958"/>
              <w:right w:val="nil" w:sz="6" w:space="0" w:color="auto"/>
            </w:tcBorders>
          </w:tcPr>
          <w:p>
            <w:pPr>
              <w:pStyle w:val="TableParagraph"/>
              <w:spacing w:line="240" w:lineRule="auto" w:before="70"/>
              <w:ind w:right="230"/>
              <w:jc w:val="right"/>
              <w:rPr>
                <w:rFonts w:ascii="宋体" w:hAnsi="宋体" w:cs="宋体" w:eastAsia="宋体" w:hint="default"/>
                <w:sz w:val="14"/>
                <w:szCs w:val="14"/>
              </w:rPr>
            </w:pPr>
            <w:r>
              <w:rPr>
                <w:rFonts w:ascii="宋体"/>
                <w:w w:val="95"/>
                <w:sz w:val="14"/>
              </w:rPr>
              <w:t>51,396,570,769</w:t>
            </w:r>
            <w:r>
              <w:rPr>
                <w:rFonts w:ascii="宋体"/>
                <w:sz w:val="14"/>
              </w:rPr>
            </w:r>
          </w:p>
        </w:tc>
        <w:tc>
          <w:tcPr>
            <w:tcW w:w="1260" w:type="dxa"/>
            <w:tcBorders>
              <w:top w:val="single" w:sz="6" w:space="0" w:color="000000"/>
              <w:left w:val="nil" w:sz="6" w:space="0" w:color="auto"/>
              <w:bottom w:val="single" w:sz="16" w:space="0" w:color="9F8958"/>
              <w:right w:val="nil" w:sz="6" w:space="0" w:color="auto"/>
            </w:tcBorders>
          </w:tcPr>
          <w:p>
            <w:pPr>
              <w:pStyle w:val="TableParagraph"/>
              <w:spacing w:line="240" w:lineRule="auto" w:before="70"/>
              <w:ind w:right="171"/>
              <w:jc w:val="right"/>
              <w:rPr>
                <w:rFonts w:ascii="宋体" w:hAnsi="宋体" w:cs="宋体" w:eastAsia="宋体" w:hint="default"/>
                <w:sz w:val="14"/>
                <w:szCs w:val="14"/>
              </w:rPr>
            </w:pPr>
            <w:r>
              <w:rPr>
                <w:rFonts w:ascii="宋体"/>
                <w:w w:val="90"/>
                <w:sz w:val="14"/>
              </w:rPr>
              <w:t>(110,302,985)</w:t>
            </w:r>
            <w:r>
              <w:rPr>
                <w:rFonts w:ascii="宋体"/>
                <w:sz w:val="14"/>
              </w:rPr>
            </w:r>
          </w:p>
        </w:tc>
        <w:tc>
          <w:tcPr>
            <w:tcW w:w="1258" w:type="dxa"/>
            <w:tcBorders>
              <w:top w:val="single" w:sz="6" w:space="0" w:color="000000"/>
              <w:left w:val="nil" w:sz="6" w:space="0" w:color="auto"/>
              <w:bottom w:val="single" w:sz="16" w:space="0" w:color="9F8958"/>
              <w:right w:val="nil" w:sz="6" w:space="0" w:color="auto"/>
            </w:tcBorders>
          </w:tcPr>
          <w:p>
            <w:pPr>
              <w:pStyle w:val="TableParagraph"/>
              <w:spacing w:line="240" w:lineRule="auto" w:before="70"/>
              <w:ind w:right="111"/>
              <w:jc w:val="right"/>
              <w:rPr>
                <w:rFonts w:ascii="宋体" w:hAnsi="宋体" w:cs="宋体" w:eastAsia="宋体" w:hint="default"/>
                <w:sz w:val="14"/>
                <w:szCs w:val="14"/>
              </w:rPr>
            </w:pPr>
            <w:r>
              <w:rPr>
                <w:rFonts w:ascii="宋体"/>
                <w:w w:val="95"/>
                <w:sz w:val="14"/>
              </w:rPr>
              <w:t>51,286,267,784</w:t>
            </w:r>
            <w:r>
              <w:rPr>
                <w:rFonts w:ascii="宋体"/>
                <w:sz w:val="14"/>
              </w:rPr>
            </w:r>
          </w:p>
        </w:tc>
      </w:tr>
    </w:tbl>
    <w:p>
      <w:pPr>
        <w:spacing w:line="240" w:lineRule="auto" w:before="1"/>
        <w:rPr>
          <w:rFonts w:ascii="宋体" w:hAnsi="宋体" w:cs="宋体" w:eastAsia="宋体" w:hint="default"/>
          <w:sz w:val="15"/>
          <w:szCs w:val="15"/>
        </w:rPr>
      </w:pPr>
    </w:p>
    <w:p>
      <w:pPr>
        <w:pStyle w:val="BodyText"/>
        <w:spacing w:line="285" w:lineRule="auto" w:before="31"/>
        <w:ind w:left="494" w:right="148"/>
        <w:jc w:val="both"/>
      </w:pPr>
      <w:r>
        <w:rPr/>
        <w:t>于</w:t>
      </w:r>
      <w:r>
        <w:rPr>
          <w:spacing w:val="-48"/>
        </w:rPr>
        <w:t> </w:t>
      </w:r>
      <w:r>
        <w:rPr>
          <w:spacing w:val="-1"/>
          <w:w w:val="111"/>
        </w:rPr>
        <w:t>2018</w:t>
      </w:r>
      <w:r>
        <w:rPr>
          <w:spacing w:val="-58"/>
          <w:w w:val="111"/>
        </w:rPr>
        <w:t> </w:t>
      </w:r>
      <w:r>
        <w:rPr>
          <w:spacing w:val="2"/>
        </w:rPr>
        <w:t>年度，本集团约人民币</w:t>
      </w:r>
      <w:r>
        <w:rPr>
          <w:spacing w:val="-48"/>
        </w:rPr>
        <w:t> </w:t>
      </w:r>
      <w:r>
        <w:rPr>
          <w:spacing w:val="-1"/>
          <w:w w:val="97"/>
        </w:rPr>
        <w:t>5.34</w:t>
      </w:r>
      <w:r>
        <w:rPr>
          <w:spacing w:val="-45"/>
          <w:w w:val="97"/>
        </w:rPr>
        <w:t> </w:t>
      </w:r>
      <w:r>
        <w:rPr>
          <w:spacing w:val="2"/>
          <w:w w:val="101"/>
        </w:rPr>
        <w:t>亿元的借款费用资本化计入在建工程原值（2017</w:t>
      </w:r>
      <w:r>
        <w:rPr>
          <w:spacing w:val="-50"/>
          <w:w w:val="101"/>
        </w:rPr>
        <w:t> </w:t>
      </w:r>
      <w:r>
        <w:rPr>
          <w:spacing w:val="2"/>
        </w:rPr>
        <w:t>年：约人民币</w:t>
      </w:r>
      <w:r>
        <w:rPr>
          <w:spacing w:val="-48"/>
        </w:rPr>
        <w:t> </w:t>
      </w:r>
      <w:r>
        <w:rPr>
          <w:spacing w:val="-1"/>
          <w:w w:val="97"/>
        </w:rPr>
        <w:t>6.70</w:t>
      </w:r>
      <w:r>
        <w:rPr>
          <w:spacing w:val="-45"/>
          <w:w w:val="97"/>
        </w:rPr>
        <w:t> </w:t>
      </w:r>
      <w:r>
        <w:rPr>
          <w:spacing w:val="1"/>
        </w:rPr>
        <w:t>亿元），本</w:t>
      </w:r>
      <w:r>
        <w:rPr/>
        <w:t> 集团于</w:t>
      </w:r>
      <w:r>
        <w:rPr>
          <w:spacing w:val="33"/>
        </w:rPr>
        <w:t> </w:t>
      </w:r>
      <w:r>
        <w:rPr/>
        <w:t>2018</w:t>
      </w:r>
      <w:r>
        <w:rPr>
          <w:spacing w:val="33"/>
        </w:rPr>
        <w:t> </w:t>
      </w:r>
      <w:r>
        <w:rPr>
          <w:spacing w:val="2"/>
        </w:rPr>
        <w:t>年度的借款费用资本化率约为</w:t>
      </w:r>
      <w:r>
        <w:rPr>
          <w:spacing w:val="33"/>
        </w:rPr>
        <w:t> </w:t>
      </w:r>
      <w:r>
        <w:rPr/>
        <w:t>3.16%-3.61%（2017</w:t>
      </w:r>
      <w:r>
        <w:rPr>
          <w:spacing w:val="33"/>
        </w:rPr>
        <w:t> </w:t>
      </w:r>
      <w:r>
        <w:rPr/>
        <w:t>年：3.21%~3.88%）。于</w:t>
      </w:r>
      <w:r>
        <w:rPr>
          <w:spacing w:val="33"/>
        </w:rPr>
        <w:t> </w:t>
      </w:r>
      <w:r>
        <w:rPr/>
        <w:t>2018</w:t>
      </w:r>
      <w:r>
        <w:rPr>
          <w:spacing w:val="33"/>
        </w:rPr>
        <w:t> </w:t>
      </w:r>
      <w:r>
        <w:rPr>
          <w:spacing w:val="2"/>
        </w:rPr>
        <w:t>年度，除转入固定</w:t>
      </w:r>
      <w:r>
        <w:rPr>
          <w:spacing w:val="-50"/>
        </w:rPr>
        <w:t> </w:t>
      </w:r>
      <w:r>
        <w:rPr>
          <w:spacing w:val="-50"/>
        </w:rPr>
      </w:r>
      <w:r>
        <w:rPr/>
        <w:t>资产和无形资产的在建工程外，约人民币</w:t>
      </w:r>
      <w:r>
        <w:rPr>
          <w:spacing w:val="-45"/>
        </w:rPr>
        <w:t> </w:t>
      </w:r>
      <w:r>
        <w:rPr>
          <w:spacing w:val="-1"/>
          <w:w w:val="97"/>
        </w:rPr>
        <w:t>4.30</w:t>
      </w:r>
      <w:r>
        <w:rPr>
          <w:spacing w:val="-42"/>
          <w:w w:val="97"/>
        </w:rPr>
        <w:t> </w:t>
      </w:r>
      <w:r>
        <w:rPr/>
        <w:t>亿元的经营租入固定资产改良及外市电引入等从在建工程转入长期待摊</w:t>
      </w:r>
      <w:r>
        <w:rPr/>
        <w:t> 费用（2017</w:t>
      </w:r>
      <w:r>
        <w:rPr>
          <w:spacing w:val="-37"/>
        </w:rPr>
        <w:t> </w:t>
      </w:r>
      <w:r>
        <w:rPr/>
        <w:t>年：约人民币</w:t>
      </w:r>
      <w:r>
        <w:rPr>
          <w:spacing w:val="-36"/>
        </w:rPr>
        <w:t> </w:t>
      </w:r>
      <w:r>
        <w:rPr/>
        <w:t>5.63</w:t>
      </w:r>
      <w:r>
        <w:rPr>
          <w:spacing w:val="-37"/>
        </w:rPr>
        <w:t> </w:t>
      </w:r>
      <w:r>
        <w:rPr/>
        <w:t>亿元）。</w:t>
      </w:r>
    </w:p>
    <w:p>
      <w:pPr>
        <w:spacing w:after="0" w:line="285" w:lineRule="auto"/>
        <w:jc w:val="both"/>
        <w:sectPr>
          <w:pgSz w:w="11910" w:h="16160"/>
          <w:pgMar w:header="2776" w:footer="298" w:top="2960" w:bottom="480" w:left="132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974"/>
        <w:jc w:val="left"/>
      </w:pPr>
      <w:r>
        <w:rPr/>
        <w:t>12、在建工程（续）</w:t>
      </w:r>
      <w:r>
        <w:rPr>
          <w:spacing w:val="-71"/>
        </w:rPr>
        <w:t> </w:t>
      </w:r>
      <w:r>
        <w:rPr/>
        <w:t>(a)</w:t>
      </w:r>
      <w:r>
        <w:rPr>
          <w:spacing w:val="-21"/>
        </w:rPr>
        <w:t> </w:t>
      </w:r>
      <w:r>
        <w:rPr/>
        <w:t>在建工程（续）</w:t>
      </w:r>
    </w:p>
    <w:p>
      <w:pPr>
        <w:pStyle w:val="BodyText"/>
        <w:spacing w:line="240" w:lineRule="auto" w:before="54"/>
        <w:ind w:left="435" w:right="7230"/>
        <w:jc w:val="center"/>
      </w:pPr>
      <w:r>
        <w:rPr/>
        <w:t>(1)</w:t>
      </w:r>
      <w:r>
        <w:rPr>
          <w:spacing w:val="19"/>
        </w:rPr>
        <w:t> </w:t>
      </w:r>
      <w:r>
        <w:rPr/>
        <w:t>重大在建工程项目变动</w:t>
      </w:r>
    </w:p>
    <w:p>
      <w:pPr>
        <w:spacing w:line="240" w:lineRule="auto" w:before="7"/>
        <w:rPr>
          <w:rFonts w:ascii="宋体" w:hAnsi="宋体" w:cs="宋体" w:eastAsia="宋体" w:hint="default"/>
          <w:sz w:val="14"/>
          <w:szCs w:val="14"/>
        </w:rPr>
      </w:pPr>
    </w:p>
    <w:tbl>
      <w:tblPr>
        <w:tblW w:w="0" w:type="auto"/>
        <w:jc w:val="left"/>
        <w:tblInd w:w="453" w:type="dxa"/>
        <w:tblLayout w:type="fixed"/>
        <w:tblCellMar>
          <w:top w:w="0" w:type="dxa"/>
          <w:left w:w="0" w:type="dxa"/>
          <w:bottom w:w="0" w:type="dxa"/>
          <w:right w:w="0" w:type="dxa"/>
        </w:tblCellMar>
        <w:tblLook w:val="01E0"/>
      </w:tblPr>
      <w:tblGrid>
        <w:gridCol w:w="2552"/>
        <w:gridCol w:w="710"/>
        <w:gridCol w:w="906"/>
        <w:gridCol w:w="836"/>
        <w:gridCol w:w="435"/>
        <w:gridCol w:w="953"/>
        <w:gridCol w:w="733"/>
        <w:gridCol w:w="694"/>
        <w:gridCol w:w="1477"/>
      </w:tblGrid>
      <w:tr>
        <w:trPr>
          <w:trHeight w:val="746" w:hRule="exact"/>
        </w:trPr>
        <w:tc>
          <w:tcPr>
            <w:tcW w:w="2552" w:type="dxa"/>
            <w:tcBorders>
              <w:top w:val="nil" w:sz="6" w:space="0" w:color="auto"/>
              <w:left w:val="nil" w:sz="6" w:space="0" w:color="auto"/>
              <w:bottom w:val="single" w:sz="16" w:space="0" w:color="9F8958"/>
              <w:right w:val="nil" w:sz="6" w:space="0" w:color="auto"/>
            </w:tcBorders>
          </w:tcPr>
          <w:p>
            <w:pPr>
              <w:pStyle w:val="TableParagraph"/>
              <w:spacing w:line="240" w:lineRule="auto" w:before="55"/>
              <w:ind w:right="55"/>
              <w:jc w:val="right"/>
              <w:rPr>
                <w:rFonts w:ascii="宋体" w:hAnsi="宋体" w:cs="宋体" w:eastAsia="宋体" w:hint="default"/>
                <w:sz w:val="12"/>
                <w:szCs w:val="12"/>
              </w:rPr>
            </w:pPr>
            <w:r>
              <w:rPr>
                <w:rFonts w:ascii="宋体" w:hAnsi="宋体" w:cs="宋体" w:eastAsia="宋体" w:hint="default"/>
                <w:sz w:val="12"/>
                <w:szCs w:val="12"/>
              </w:rPr>
              <w:t>预算数</w:t>
            </w:r>
          </w:p>
          <w:p>
            <w:pPr>
              <w:pStyle w:val="TableParagraph"/>
              <w:tabs>
                <w:tab w:pos="1957" w:val="left" w:leader="none"/>
              </w:tabs>
              <w:spacing w:line="240" w:lineRule="auto" w:before="43"/>
              <w:ind w:right="55"/>
              <w:jc w:val="right"/>
              <w:rPr>
                <w:rFonts w:ascii="宋体" w:hAnsi="宋体" w:cs="宋体" w:eastAsia="宋体" w:hint="default"/>
                <w:sz w:val="12"/>
                <w:szCs w:val="12"/>
              </w:rPr>
            </w:pPr>
            <w:r>
              <w:rPr>
                <w:rFonts w:ascii="宋体" w:hAnsi="宋体" w:cs="宋体" w:eastAsia="宋体" w:hint="default"/>
                <w:sz w:val="12"/>
                <w:szCs w:val="12"/>
              </w:rPr>
              <w:t>工程名称</w:t>
              <w:tab/>
              <w:t>（人民币</w:t>
            </w:r>
          </w:p>
          <w:p>
            <w:pPr>
              <w:pStyle w:val="TableParagraph"/>
              <w:spacing w:line="240" w:lineRule="auto" w:before="43"/>
              <w:ind w:right="55"/>
              <w:jc w:val="right"/>
              <w:rPr>
                <w:rFonts w:ascii="宋体" w:hAnsi="宋体" w:cs="宋体" w:eastAsia="宋体" w:hint="default"/>
                <w:sz w:val="12"/>
                <w:szCs w:val="12"/>
              </w:rPr>
            </w:pPr>
            <w:r>
              <w:rPr>
                <w:rFonts w:ascii="宋体" w:hAnsi="宋体" w:cs="宋体" w:eastAsia="宋体" w:hint="default"/>
                <w:sz w:val="12"/>
                <w:szCs w:val="12"/>
              </w:rPr>
              <w:t>百万元）</w:t>
            </w:r>
          </w:p>
        </w:tc>
        <w:tc>
          <w:tcPr>
            <w:tcW w:w="710"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left="142" w:right="0"/>
              <w:jc w:val="left"/>
              <w:rPr>
                <w:rFonts w:ascii="宋体" w:hAnsi="宋体" w:cs="宋体" w:eastAsia="宋体" w:hint="default"/>
                <w:sz w:val="12"/>
                <w:szCs w:val="12"/>
              </w:rPr>
            </w:pPr>
            <w:r>
              <w:rPr>
                <w:rFonts w:ascii="宋体" w:hAnsi="宋体" w:cs="宋体" w:eastAsia="宋体" w:hint="default"/>
                <w:w w:val="110"/>
                <w:sz w:val="12"/>
                <w:szCs w:val="12"/>
              </w:rPr>
              <w:t>2017</w:t>
            </w:r>
            <w:r>
              <w:rPr>
                <w:rFonts w:ascii="宋体" w:hAnsi="宋体" w:cs="宋体" w:eastAsia="宋体" w:hint="default"/>
                <w:spacing w:val="-47"/>
                <w:w w:val="110"/>
                <w:sz w:val="12"/>
                <w:szCs w:val="12"/>
              </w:rPr>
              <w:t> </w:t>
            </w:r>
            <w:r>
              <w:rPr>
                <w:rFonts w:ascii="宋体" w:hAnsi="宋体" w:cs="宋体" w:eastAsia="宋体" w:hint="default"/>
                <w:w w:val="110"/>
                <w:sz w:val="12"/>
                <w:szCs w:val="12"/>
              </w:rPr>
              <w:t>年</w:t>
            </w:r>
          </w:p>
          <w:p>
            <w:pPr>
              <w:pStyle w:val="TableParagraph"/>
              <w:spacing w:line="240" w:lineRule="auto" w:before="43"/>
              <w:ind w:left="55" w:right="0"/>
              <w:jc w:val="left"/>
              <w:rPr>
                <w:rFonts w:ascii="宋体" w:hAnsi="宋体" w:cs="宋体" w:eastAsia="宋体" w:hint="default"/>
                <w:sz w:val="12"/>
                <w:szCs w:val="12"/>
              </w:rPr>
            </w:pPr>
            <w:r>
              <w:rPr>
                <w:rFonts w:ascii="宋体" w:hAnsi="宋体" w:cs="宋体" w:eastAsia="宋体" w:hint="default"/>
                <w:w w:val="110"/>
                <w:sz w:val="12"/>
                <w:szCs w:val="12"/>
              </w:rPr>
              <w:t>12</w:t>
            </w:r>
            <w:r>
              <w:rPr>
                <w:rFonts w:ascii="宋体" w:hAnsi="宋体" w:cs="宋体" w:eastAsia="宋体" w:hint="default"/>
                <w:spacing w:val="-47"/>
                <w:w w:val="110"/>
                <w:sz w:val="12"/>
                <w:szCs w:val="12"/>
              </w:rPr>
              <w:t> </w:t>
            </w:r>
            <w:r>
              <w:rPr>
                <w:rFonts w:ascii="宋体" w:hAnsi="宋体" w:cs="宋体" w:eastAsia="宋体" w:hint="default"/>
                <w:w w:val="110"/>
                <w:sz w:val="12"/>
                <w:szCs w:val="12"/>
              </w:rPr>
              <w:t>月</w:t>
            </w:r>
            <w:r>
              <w:rPr>
                <w:rFonts w:ascii="宋体" w:hAnsi="宋体" w:cs="宋体" w:eastAsia="宋体" w:hint="default"/>
                <w:spacing w:val="-47"/>
                <w:w w:val="110"/>
                <w:sz w:val="12"/>
                <w:szCs w:val="12"/>
              </w:rPr>
              <w:t> </w:t>
            </w:r>
            <w:r>
              <w:rPr>
                <w:rFonts w:ascii="宋体" w:hAnsi="宋体" w:cs="宋体" w:eastAsia="宋体" w:hint="default"/>
                <w:w w:val="110"/>
                <w:sz w:val="12"/>
                <w:szCs w:val="12"/>
              </w:rPr>
              <w:t>31</w:t>
            </w:r>
            <w:r>
              <w:rPr>
                <w:rFonts w:ascii="宋体" w:hAnsi="宋体" w:cs="宋体" w:eastAsia="宋体" w:hint="default"/>
                <w:spacing w:val="-47"/>
                <w:w w:val="110"/>
                <w:sz w:val="12"/>
                <w:szCs w:val="12"/>
              </w:rPr>
              <w:t> </w:t>
            </w:r>
            <w:r>
              <w:rPr>
                <w:rFonts w:ascii="宋体" w:hAnsi="宋体" w:cs="宋体" w:eastAsia="宋体" w:hint="default"/>
                <w:w w:val="110"/>
                <w:sz w:val="12"/>
                <w:szCs w:val="12"/>
              </w:rPr>
              <w:t>日</w:t>
            </w:r>
          </w:p>
        </w:tc>
        <w:tc>
          <w:tcPr>
            <w:tcW w:w="906"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73"/>
              <w:jc w:val="right"/>
              <w:rPr>
                <w:rFonts w:ascii="宋体" w:hAnsi="宋体" w:cs="宋体" w:eastAsia="宋体" w:hint="default"/>
                <w:sz w:val="12"/>
                <w:szCs w:val="12"/>
              </w:rPr>
            </w:pPr>
            <w:r>
              <w:rPr>
                <w:rFonts w:ascii="宋体" w:hAnsi="宋体" w:cs="宋体" w:eastAsia="宋体" w:hint="default"/>
                <w:sz w:val="12"/>
                <w:szCs w:val="12"/>
              </w:rPr>
              <w:t>本年增加</w:t>
            </w:r>
          </w:p>
        </w:tc>
        <w:tc>
          <w:tcPr>
            <w:tcW w:w="836"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304" w:lineRule="auto" w:before="98"/>
              <w:ind w:left="166" w:right="187"/>
              <w:jc w:val="left"/>
              <w:rPr>
                <w:rFonts w:ascii="宋体" w:hAnsi="宋体" w:cs="宋体" w:eastAsia="宋体" w:hint="default"/>
                <w:sz w:val="12"/>
                <w:szCs w:val="12"/>
              </w:rPr>
            </w:pPr>
            <w:r>
              <w:rPr>
                <w:rFonts w:ascii="宋体" w:hAnsi="宋体" w:cs="宋体" w:eastAsia="宋体" w:hint="default"/>
                <w:sz w:val="12"/>
                <w:szCs w:val="12"/>
              </w:rPr>
              <w:t>本年转入 固定资产</w:t>
            </w:r>
          </w:p>
        </w:tc>
        <w:tc>
          <w:tcPr>
            <w:tcW w:w="435"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304" w:lineRule="auto" w:before="98"/>
              <w:ind w:left="96" w:right="96"/>
              <w:jc w:val="left"/>
              <w:rPr>
                <w:rFonts w:ascii="宋体" w:hAnsi="宋体" w:cs="宋体" w:eastAsia="宋体" w:hint="default"/>
                <w:sz w:val="12"/>
                <w:szCs w:val="12"/>
              </w:rPr>
            </w:pPr>
            <w:r>
              <w:rPr>
                <w:rFonts w:ascii="宋体" w:hAnsi="宋体" w:cs="宋体" w:eastAsia="宋体" w:hint="default"/>
                <w:sz w:val="12"/>
                <w:szCs w:val="12"/>
              </w:rPr>
              <w:t>其他 减少</w:t>
            </w:r>
          </w:p>
        </w:tc>
        <w:tc>
          <w:tcPr>
            <w:tcW w:w="953"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left="359" w:right="0"/>
              <w:jc w:val="center"/>
              <w:rPr>
                <w:rFonts w:ascii="宋体" w:hAnsi="宋体" w:cs="宋体" w:eastAsia="宋体" w:hint="default"/>
                <w:sz w:val="12"/>
                <w:szCs w:val="12"/>
              </w:rPr>
            </w:pPr>
            <w:r>
              <w:rPr>
                <w:rFonts w:ascii="宋体" w:hAnsi="宋体" w:cs="宋体" w:eastAsia="宋体" w:hint="default"/>
                <w:w w:val="110"/>
                <w:sz w:val="12"/>
                <w:szCs w:val="12"/>
              </w:rPr>
              <w:t>2018</w:t>
            </w:r>
            <w:r>
              <w:rPr>
                <w:rFonts w:ascii="宋体" w:hAnsi="宋体" w:cs="宋体" w:eastAsia="宋体" w:hint="default"/>
                <w:spacing w:val="-47"/>
                <w:w w:val="110"/>
                <w:sz w:val="12"/>
                <w:szCs w:val="12"/>
              </w:rPr>
              <w:t> </w:t>
            </w:r>
            <w:r>
              <w:rPr>
                <w:rFonts w:ascii="宋体" w:hAnsi="宋体" w:cs="宋体" w:eastAsia="宋体" w:hint="default"/>
                <w:w w:val="110"/>
                <w:sz w:val="12"/>
                <w:szCs w:val="12"/>
              </w:rPr>
              <w:t>年</w:t>
            </w:r>
          </w:p>
          <w:p>
            <w:pPr>
              <w:pStyle w:val="TableParagraph"/>
              <w:spacing w:line="240" w:lineRule="auto" w:before="43"/>
              <w:ind w:left="209" w:right="0"/>
              <w:jc w:val="center"/>
              <w:rPr>
                <w:rFonts w:ascii="宋体" w:hAnsi="宋体" w:cs="宋体" w:eastAsia="宋体" w:hint="default"/>
                <w:sz w:val="12"/>
                <w:szCs w:val="12"/>
              </w:rPr>
            </w:pPr>
            <w:r>
              <w:rPr>
                <w:rFonts w:ascii="宋体" w:hAnsi="宋体" w:cs="宋体" w:eastAsia="宋体" w:hint="default"/>
                <w:spacing w:val="9"/>
                <w:w w:val="105"/>
                <w:sz w:val="12"/>
                <w:szCs w:val="12"/>
              </w:rPr>
              <w:t>12月</w:t>
            </w:r>
            <w:r>
              <w:rPr>
                <w:rFonts w:ascii="宋体" w:hAnsi="宋体" w:cs="宋体" w:eastAsia="宋体" w:hint="default"/>
                <w:spacing w:val="-27"/>
                <w:w w:val="105"/>
                <w:sz w:val="12"/>
                <w:szCs w:val="12"/>
              </w:rPr>
              <w:t> </w:t>
            </w:r>
            <w:r>
              <w:rPr>
                <w:rFonts w:ascii="宋体" w:hAnsi="宋体" w:cs="宋体" w:eastAsia="宋体" w:hint="default"/>
                <w:spacing w:val="9"/>
                <w:w w:val="105"/>
                <w:sz w:val="12"/>
                <w:szCs w:val="12"/>
              </w:rPr>
              <w:t>31日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733"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304" w:lineRule="auto" w:before="98"/>
              <w:ind w:left="58" w:right="72"/>
              <w:jc w:val="left"/>
              <w:rPr>
                <w:rFonts w:ascii="宋体" w:hAnsi="宋体" w:cs="宋体" w:eastAsia="宋体" w:hint="default"/>
                <w:sz w:val="12"/>
                <w:szCs w:val="12"/>
              </w:rPr>
            </w:pPr>
            <w:r>
              <w:rPr>
                <w:rFonts w:ascii="宋体" w:hAnsi="宋体" w:cs="宋体" w:eastAsia="宋体" w:hint="default"/>
                <w:sz w:val="12"/>
                <w:szCs w:val="12"/>
              </w:rPr>
              <w:t>工程投入占 预算的比例</w:t>
            </w:r>
          </w:p>
        </w:tc>
        <w:tc>
          <w:tcPr>
            <w:tcW w:w="694" w:type="dxa"/>
            <w:tcBorders>
              <w:top w:val="nil" w:sz="6" w:space="0" w:color="auto"/>
              <w:left w:val="nil" w:sz="6" w:space="0" w:color="auto"/>
              <w:bottom w:val="single" w:sz="16" w:space="0" w:color="9F8958"/>
              <w:right w:val="nil" w:sz="6" w:space="0" w:color="auto"/>
            </w:tcBorders>
          </w:tcPr>
          <w:p>
            <w:pPr>
              <w:pStyle w:val="TableParagraph"/>
              <w:spacing w:line="304" w:lineRule="auto" w:before="55"/>
              <w:ind w:left="127" w:right="86"/>
              <w:jc w:val="right"/>
              <w:rPr>
                <w:rFonts w:ascii="宋体" w:hAnsi="宋体" w:cs="宋体" w:eastAsia="宋体" w:hint="default"/>
                <w:sz w:val="12"/>
                <w:szCs w:val="12"/>
              </w:rPr>
            </w:pPr>
            <w:r>
              <w:rPr>
                <w:rFonts w:ascii="宋体" w:hAnsi="宋体" w:cs="宋体" w:eastAsia="宋体" w:hint="default"/>
                <w:sz w:val="12"/>
                <w:szCs w:val="12"/>
              </w:rPr>
              <w:t>借款费用 资本化累 计金额</w:t>
            </w:r>
          </w:p>
        </w:tc>
        <w:tc>
          <w:tcPr>
            <w:tcW w:w="1477" w:type="dxa"/>
            <w:tcBorders>
              <w:top w:val="nil" w:sz="6" w:space="0" w:color="auto"/>
              <w:left w:val="nil" w:sz="6" w:space="0" w:color="auto"/>
              <w:bottom w:val="single" w:sz="16" w:space="0" w:color="9F8958"/>
              <w:right w:val="nil" w:sz="6" w:space="0" w:color="auto"/>
            </w:tcBorders>
          </w:tcPr>
          <w:p>
            <w:pPr>
              <w:pStyle w:val="TableParagraph"/>
              <w:spacing w:line="304" w:lineRule="auto" w:before="56"/>
              <w:ind w:left="84" w:right="790"/>
              <w:jc w:val="left"/>
              <w:rPr>
                <w:rFonts w:ascii="宋体" w:hAnsi="宋体" w:cs="宋体" w:eastAsia="宋体" w:hint="default"/>
                <w:sz w:val="12"/>
                <w:szCs w:val="12"/>
              </w:rPr>
            </w:pPr>
            <w:r>
              <w:rPr>
                <w:rFonts w:ascii="宋体" w:hAnsi="宋体" w:cs="宋体" w:eastAsia="宋体" w:hint="default"/>
                <w:sz w:val="12"/>
                <w:szCs w:val="12"/>
              </w:rPr>
              <w:t>其中：本年 借款费用资</w:t>
            </w:r>
          </w:p>
          <w:p>
            <w:pPr>
              <w:pStyle w:val="TableParagraph"/>
              <w:tabs>
                <w:tab w:pos="940" w:val="left" w:leader="none"/>
              </w:tabs>
              <w:spacing w:line="240" w:lineRule="auto" w:before="10"/>
              <w:ind w:left="204" w:right="0"/>
              <w:jc w:val="left"/>
              <w:rPr>
                <w:rFonts w:ascii="宋体" w:hAnsi="宋体" w:cs="宋体" w:eastAsia="宋体" w:hint="default"/>
                <w:sz w:val="12"/>
                <w:szCs w:val="12"/>
              </w:rPr>
            </w:pPr>
            <w:r>
              <w:rPr>
                <w:rFonts w:ascii="宋体" w:hAnsi="宋体" w:cs="宋体" w:eastAsia="宋体" w:hint="default"/>
                <w:sz w:val="12"/>
                <w:szCs w:val="12"/>
              </w:rPr>
              <w:t>本化金额</w:t>
              <w:tab/>
              <w:t>资金来源</w:t>
            </w:r>
          </w:p>
        </w:tc>
      </w:tr>
      <w:tr>
        <w:trPr>
          <w:trHeight w:val="519" w:hRule="exact"/>
        </w:trPr>
        <w:tc>
          <w:tcPr>
            <w:tcW w:w="2552" w:type="dxa"/>
            <w:tcBorders>
              <w:top w:val="single" w:sz="16" w:space="0" w:color="9F8958"/>
              <w:left w:val="nil" w:sz="6" w:space="0" w:color="auto"/>
              <w:bottom w:val="nil" w:sz="6" w:space="0" w:color="auto"/>
              <w:right w:val="nil" w:sz="6" w:space="0" w:color="auto"/>
            </w:tcBorders>
          </w:tcPr>
          <w:p>
            <w:pPr>
              <w:pStyle w:val="TableParagraph"/>
              <w:spacing w:line="129" w:lineRule="exact" w:before="76"/>
              <w:ind w:left="56" w:right="0"/>
              <w:jc w:val="left"/>
              <w:rPr>
                <w:rFonts w:ascii="宋体" w:hAnsi="宋体" w:cs="宋体" w:eastAsia="宋体" w:hint="default"/>
                <w:sz w:val="12"/>
                <w:szCs w:val="12"/>
              </w:rPr>
            </w:pPr>
            <w:r>
              <w:rPr>
                <w:rFonts w:ascii="宋体" w:hAnsi="宋体" w:cs="宋体" w:eastAsia="宋体" w:hint="default"/>
                <w:sz w:val="12"/>
                <w:szCs w:val="12"/>
              </w:rPr>
              <w:t>2018</w:t>
            </w:r>
            <w:r>
              <w:rPr>
                <w:rFonts w:ascii="宋体" w:hAnsi="宋体" w:cs="宋体" w:eastAsia="宋体" w:hint="default"/>
                <w:spacing w:val="-5"/>
                <w:sz w:val="12"/>
                <w:szCs w:val="12"/>
              </w:rPr>
              <w:t> </w:t>
            </w:r>
            <w:r>
              <w:rPr>
                <w:rFonts w:ascii="宋体" w:hAnsi="宋体" w:cs="宋体" w:eastAsia="宋体" w:hint="default"/>
                <w:sz w:val="12"/>
                <w:szCs w:val="12"/>
              </w:rPr>
              <w:t>年中国联通广东移动核心网</w:t>
            </w:r>
          </w:p>
          <w:p>
            <w:pPr>
              <w:pStyle w:val="TableParagraph"/>
              <w:spacing w:line="100" w:lineRule="exact"/>
              <w:ind w:right="55"/>
              <w:jc w:val="right"/>
              <w:rPr>
                <w:rFonts w:ascii="宋体" w:hAnsi="宋体" w:cs="宋体" w:eastAsia="宋体" w:hint="default"/>
                <w:sz w:val="12"/>
                <w:szCs w:val="12"/>
              </w:rPr>
            </w:pPr>
            <w:r>
              <w:rPr>
                <w:rFonts w:ascii="宋体"/>
                <w:w w:val="110"/>
                <w:sz w:val="12"/>
              </w:rPr>
              <w:t>254</w:t>
            </w:r>
            <w:r>
              <w:rPr>
                <w:rFonts w:ascii="宋体"/>
                <w:sz w:val="12"/>
              </w:rPr>
            </w:r>
          </w:p>
          <w:p>
            <w:pPr>
              <w:pStyle w:val="TableParagraph"/>
              <w:spacing w:line="128" w:lineRule="exact"/>
              <w:ind w:left="56" w:right="0"/>
              <w:jc w:val="left"/>
              <w:rPr>
                <w:rFonts w:ascii="宋体" w:hAnsi="宋体" w:cs="宋体" w:eastAsia="宋体" w:hint="default"/>
                <w:sz w:val="12"/>
                <w:szCs w:val="12"/>
              </w:rPr>
            </w:pPr>
            <w:r>
              <w:rPr>
                <w:rFonts w:ascii="宋体" w:hAnsi="宋体" w:cs="宋体" w:eastAsia="宋体" w:hint="default"/>
                <w:sz w:val="12"/>
                <w:szCs w:val="12"/>
              </w:rPr>
              <w:t>扩容一期工程</w:t>
            </w:r>
          </w:p>
        </w:tc>
        <w:tc>
          <w:tcPr>
            <w:tcW w:w="710" w:type="dxa"/>
            <w:tcBorders>
              <w:top w:val="single" w:sz="16" w:space="0" w:color="9F8958"/>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7"/>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single" w:sz="16" w:space="0" w:color="9F8958"/>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73"/>
              <w:jc w:val="right"/>
              <w:rPr>
                <w:rFonts w:ascii="宋体" w:hAnsi="宋体" w:cs="宋体" w:eastAsia="宋体" w:hint="default"/>
                <w:sz w:val="12"/>
                <w:szCs w:val="12"/>
              </w:rPr>
            </w:pPr>
            <w:r>
              <w:rPr>
                <w:rFonts w:ascii="宋体"/>
                <w:sz w:val="12"/>
              </w:rPr>
              <w:t>193,476,245</w:t>
            </w:r>
          </w:p>
        </w:tc>
        <w:tc>
          <w:tcPr>
            <w:tcW w:w="836" w:type="dxa"/>
            <w:tcBorders>
              <w:top w:val="single" w:sz="16" w:space="0" w:color="9F8958"/>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21"/>
              <w:jc w:val="center"/>
              <w:rPr>
                <w:rFonts w:ascii="宋体" w:hAnsi="宋体" w:cs="宋体" w:eastAsia="宋体" w:hint="default"/>
                <w:sz w:val="12"/>
                <w:szCs w:val="12"/>
              </w:rPr>
            </w:pPr>
            <w:r>
              <w:rPr>
                <w:rFonts w:ascii="宋体"/>
                <w:w w:val="95"/>
                <w:sz w:val="12"/>
              </w:rPr>
              <w:t>(65,755,711)</w:t>
            </w:r>
            <w:r>
              <w:rPr>
                <w:rFonts w:ascii="宋体"/>
                <w:sz w:val="12"/>
              </w:rPr>
            </w:r>
          </w:p>
        </w:tc>
        <w:tc>
          <w:tcPr>
            <w:tcW w:w="435" w:type="dxa"/>
            <w:tcBorders>
              <w:top w:val="single" w:sz="16" w:space="0" w:color="9F8958"/>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single" w:sz="16" w:space="0" w:color="9F8958"/>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86"/>
              <w:jc w:val="right"/>
              <w:rPr>
                <w:rFonts w:ascii="宋体" w:hAnsi="宋体" w:cs="宋体" w:eastAsia="宋体" w:hint="default"/>
                <w:sz w:val="12"/>
                <w:szCs w:val="12"/>
              </w:rPr>
            </w:pPr>
            <w:r>
              <w:rPr>
                <w:rFonts w:ascii="宋体"/>
                <w:sz w:val="12"/>
              </w:rPr>
              <w:t>127,720,534</w:t>
            </w:r>
          </w:p>
        </w:tc>
        <w:tc>
          <w:tcPr>
            <w:tcW w:w="733" w:type="dxa"/>
            <w:tcBorders>
              <w:top w:val="single" w:sz="16" w:space="0" w:color="9F8958"/>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3"/>
              <w:jc w:val="center"/>
              <w:rPr>
                <w:rFonts w:ascii="宋体" w:hAnsi="宋体" w:cs="宋体" w:eastAsia="宋体" w:hint="default"/>
                <w:sz w:val="12"/>
                <w:szCs w:val="12"/>
              </w:rPr>
            </w:pPr>
            <w:r>
              <w:rPr>
                <w:rFonts w:ascii="宋体"/>
                <w:w w:val="140"/>
                <w:sz w:val="12"/>
              </w:rPr>
              <w:t>76%</w:t>
            </w:r>
            <w:r>
              <w:rPr>
                <w:rFonts w:ascii="宋体"/>
                <w:sz w:val="12"/>
              </w:rPr>
            </w:r>
          </w:p>
        </w:tc>
        <w:tc>
          <w:tcPr>
            <w:tcW w:w="694" w:type="dxa"/>
            <w:tcBorders>
              <w:top w:val="single" w:sz="16" w:space="0" w:color="9F8958"/>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84"/>
              <w:jc w:val="right"/>
              <w:rPr>
                <w:rFonts w:ascii="宋体" w:hAnsi="宋体" w:cs="宋体" w:eastAsia="宋体" w:hint="default"/>
                <w:sz w:val="12"/>
                <w:szCs w:val="12"/>
              </w:rPr>
            </w:pPr>
            <w:r>
              <w:rPr>
                <w:rFonts w:ascii="宋体"/>
                <w:w w:val="95"/>
                <w:sz w:val="12"/>
              </w:rPr>
              <w:t>2,407,225</w:t>
            </w:r>
            <w:r>
              <w:rPr>
                <w:rFonts w:ascii="宋体"/>
                <w:sz w:val="12"/>
              </w:rPr>
            </w:r>
          </w:p>
        </w:tc>
        <w:tc>
          <w:tcPr>
            <w:tcW w:w="1477" w:type="dxa"/>
            <w:tcBorders>
              <w:top w:val="single" w:sz="16" w:space="0" w:color="9F8958"/>
              <w:left w:val="nil" w:sz="6" w:space="0" w:color="auto"/>
              <w:bottom w:val="nil" w:sz="6" w:space="0" w:color="auto"/>
              <w:right w:val="nil" w:sz="6" w:space="0" w:color="auto"/>
            </w:tcBorders>
          </w:tcPr>
          <w:p>
            <w:pPr>
              <w:pStyle w:val="TableParagraph"/>
              <w:spacing w:line="128" w:lineRule="exact" w:before="76"/>
              <w:ind w:left="820"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152" w:right="0"/>
              <w:jc w:val="left"/>
              <w:rPr>
                <w:rFonts w:ascii="宋体" w:hAnsi="宋体" w:cs="宋体" w:eastAsia="宋体" w:hint="default"/>
                <w:sz w:val="12"/>
                <w:szCs w:val="12"/>
              </w:rPr>
            </w:pPr>
            <w:r>
              <w:rPr>
                <w:rFonts w:ascii="宋体"/>
                <w:sz w:val="12"/>
              </w:rPr>
              <w:t>2,407,225</w:t>
            </w:r>
          </w:p>
          <w:p>
            <w:pPr>
              <w:pStyle w:val="TableParagraph"/>
              <w:spacing w:line="129" w:lineRule="exact"/>
              <w:ind w:left="820"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6" w:right="0"/>
              <w:jc w:val="left"/>
              <w:rPr>
                <w:rFonts w:ascii="宋体" w:hAnsi="宋体" w:cs="宋体" w:eastAsia="宋体" w:hint="default"/>
                <w:sz w:val="12"/>
                <w:szCs w:val="12"/>
              </w:rPr>
            </w:pPr>
            <w:r>
              <w:rPr>
                <w:rFonts w:ascii="宋体" w:hAnsi="宋体" w:cs="宋体" w:eastAsia="宋体" w:hint="default"/>
                <w:w w:val="110"/>
                <w:sz w:val="12"/>
                <w:szCs w:val="12"/>
              </w:rPr>
              <w:t>2018</w:t>
            </w:r>
            <w:r>
              <w:rPr>
                <w:rFonts w:ascii="宋体" w:hAnsi="宋体" w:cs="宋体" w:eastAsia="宋体" w:hint="default"/>
                <w:spacing w:val="-50"/>
                <w:w w:val="110"/>
                <w:sz w:val="12"/>
                <w:szCs w:val="12"/>
              </w:rPr>
              <w:t> </w:t>
            </w:r>
            <w:r>
              <w:rPr>
                <w:rFonts w:ascii="宋体" w:hAnsi="宋体" w:cs="宋体" w:eastAsia="宋体" w:hint="default"/>
                <w:w w:val="110"/>
                <w:sz w:val="12"/>
                <w:szCs w:val="12"/>
              </w:rPr>
              <w:t>年中国联通山东</w:t>
            </w:r>
            <w:r>
              <w:rPr>
                <w:rFonts w:ascii="宋体" w:hAnsi="宋体" w:cs="宋体" w:eastAsia="宋体" w:hint="default"/>
                <w:spacing w:val="-50"/>
                <w:w w:val="110"/>
                <w:sz w:val="12"/>
                <w:szCs w:val="12"/>
              </w:rPr>
              <w:t> </w:t>
            </w:r>
            <w:r>
              <w:rPr>
                <w:rFonts w:ascii="宋体" w:hAnsi="宋体" w:cs="宋体" w:eastAsia="宋体" w:hint="default"/>
                <w:w w:val="110"/>
                <w:sz w:val="12"/>
                <w:szCs w:val="12"/>
              </w:rPr>
              <w:t>2G</w:t>
            </w:r>
            <w:r>
              <w:rPr>
                <w:rFonts w:ascii="宋体" w:hAnsi="宋体" w:cs="宋体" w:eastAsia="宋体" w:hint="default"/>
                <w:spacing w:val="-50"/>
                <w:w w:val="110"/>
                <w:sz w:val="12"/>
                <w:szCs w:val="12"/>
              </w:rPr>
              <w:t> </w:t>
            </w:r>
            <w:r>
              <w:rPr>
                <w:rFonts w:ascii="宋体" w:hAnsi="宋体" w:cs="宋体" w:eastAsia="宋体" w:hint="default"/>
                <w:w w:val="110"/>
                <w:sz w:val="12"/>
                <w:szCs w:val="12"/>
              </w:rPr>
              <w:t>转</w:t>
            </w:r>
            <w:r>
              <w:rPr>
                <w:rFonts w:ascii="宋体" w:hAnsi="宋体" w:cs="宋体" w:eastAsia="宋体" w:hint="default"/>
                <w:spacing w:val="-50"/>
                <w:w w:val="110"/>
                <w:sz w:val="12"/>
                <w:szCs w:val="12"/>
              </w:rPr>
              <w:t> </w:t>
            </w:r>
            <w:r>
              <w:rPr>
                <w:rFonts w:ascii="宋体" w:hAnsi="宋体" w:cs="宋体" w:eastAsia="宋体" w:hint="default"/>
                <w:w w:val="110"/>
                <w:sz w:val="12"/>
                <w:szCs w:val="12"/>
              </w:rPr>
              <w:t>4G</w:t>
            </w:r>
            <w:r>
              <w:rPr>
                <w:rFonts w:ascii="宋体" w:hAnsi="宋体" w:cs="宋体" w:eastAsia="宋体" w:hint="default"/>
                <w:spacing w:val="-50"/>
                <w:w w:val="110"/>
                <w:sz w:val="12"/>
                <w:szCs w:val="12"/>
              </w:rPr>
              <w:t> </w:t>
            </w:r>
            <w:r>
              <w:rPr>
                <w:rFonts w:ascii="宋体" w:hAnsi="宋体" w:cs="宋体" w:eastAsia="宋体" w:hint="default"/>
                <w:w w:val="110"/>
                <w:sz w:val="12"/>
                <w:szCs w:val="12"/>
              </w:rPr>
              <w:t>无</w:t>
            </w:r>
          </w:p>
          <w:p>
            <w:pPr>
              <w:pStyle w:val="TableParagraph"/>
              <w:spacing w:line="100" w:lineRule="exact"/>
              <w:ind w:right="55"/>
              <w:jc w:val="right"/>
              <w:rPr>
                <w:rFonts w:ascii="宋体" w:hAnsi="宋体" w:cs="宋体" w:eastAsia="宋体" w:hint="default"/>
                <w:sz w:val="12"/>
                <w:szCs w:val="12"/>
              </w:rPr>
            </w:pPr>
            <w:r>
              <w:rPr>
                <w:rFonts w:ascii="宋体"/>
                <w:w w:val="110"/>
                <w:sz w:val="12"/>
              </w:rPr>
              <w:t>238</w:t>
            </w:r>
            <w:r>
              <w:rPr>
                <w:rFonts w:ascii="宋体"/>
                <w:sz w:val="12"/>
              </w:rPr>
            </w:r>
          </w:p>
          <w:p>
            <w:pPr>
              <w:pStyle w:val="TableParagraph"/>
              <w:spacing w:line="128" w:lineRule="exact"/>
              <w:ind w:left="56" w:right="0"/>
              <w:jc w:val="left"/>
              <w:rPr>
                <w:rFonts w:ascii="宋体" w:hAnsi="宋体" w:cs="宋体" w:eastAsia="宋体" w:hint="default"/>
                <w:sz w:val="12"/>
                <w:szCs w:val="12"/>
              </w:rPr>
            </w:pPr>
            <w:r>
              <w:rPr>
                <w:rFonts w:ascii="宋体" w:hAnsi="宋体" w:cs="宋体" w:eastAsia="宋体" w:hint="default"/>
                <w:sz w:val="12"/>
                <w:szCs w:val="12"/>
              </w:rPr>
              <w:t>线网扩容一期工程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3"/>
              <w:jc w:val="right"/>
              <w:rPr>
                <w:rFonts w:ascii="宋体" w:hAnsi="宋体" w:cs="宋体" w:eastAsia="宋体" w:hint="default"/>
                <w:sz w:val="12"/>
                <w:szCs w:val="12"/>
              </w:rPr>
            </w:pPr>
            <w:r>
              <w:rPr>
                <w:rFonts w:ascii="宋体"/>
                <w:sz w:val="12"/>
              </w:rPr>
              <w:t>181,710,087</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20"/>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6"/>
              <w:jc w:val="right"/>
              <w:rPr>
                <w:rFonts w:ascii="宋体" w:hAnsi="宋体" w:cs="宋体" w:eastAsia="宋体" w:hint="default"/>
                <w:sz w:val="12"/>
                <w:szCs w:val="12"/>
              </w:rPr>
            </w:pPr>
            <w:r>
              <w:rPr>
                <w:rFonts w:ascii="宋体"/>
                <w:sz w:val="12"/>
              </w:rPr>
              <w:t>181,710,087</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3"/>
              <w:jc w:val="center"/>
              <w:rPr>
                <w:rFonts w:ascii="宋体" w:hAnsi="宋体" w:cs="宋体" w:eastAsia="宋体" w:hint="default"/>
                <w:sz w:val="12"/>
                <w:szCs w:val="12"/>
              </w:rPr>
            </w:pPr>
            <w:r>
              <w:rPr>
                <w:rFonts w:ascii="宋体"/>
                <w:w w:val="140"/>
                <w:sz w:val="12"/>
              </w:rPr>
              <w:t>76%</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4"/>
              <w:jc w:val="right"/>
              <w:rPr>
                <w:rFonts w:ascii="宋体" w:hAnsi="宋体" w:cs="宋体" w:eastAsia="宋体" w:hint="default"/>
                <w:sz w:val="12"/>
                <w:szCs w:val="12"/>
              </w:rPr>
            </w:pPr>
            <w:r>
              <w:rPr>
                <w:rFonts w:ascii="宋体"/>
                <w:sz w:val="12"/>
              </w:rPr>
              <w:t>290,841</w:t>
            </w:r>
          </w:p>
        </w:tc>
        <w:tc>
          <w:tcPr>
            <w:tcW w:w="1477" w:type="dxa"/>
            <w:tcBorders>
              <w:top w:val="nil" w:sz="6" w:space="0" w:color="auto"/>
              <w:left w:val="nil" w:sz="6" w:space="0" w:color="auto"/>
              <w:bottom w:val="nil" w:sz="6" w:space="0" w:color="auto"/>
              <w:right w:val="nil" w:sz="6" w:space="0" w:color="auto"/>
            </w:tcBorders>
          </w:tcPr>
          <w:p>
            <w:pPr>
              <w:pStyle w:val="TableParagraph"/>
              <w:spacing w:line="128" w:lineRule="exact" w:before="11"/>
              <w:ind w:left="820"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252" w:right="0"/>
              <w:jc w:val="left"/>
              <w:rPr>
                <w:rFonts w:ascii="宋体" w:hAnsi="宋体" w:cs="宋体" w:eastAsia="宋体" w:hint="default"/>
                <w:sz w:val="12"/>
                <w:szCs w:val="12"/>
              </w:rPr>
            </w:pPr>
            <w:r>
              <w:rPr>
                <w:rFonts w:ascii="宋体"/>
                <w:w w:val="105"/>
                <w:sz w:val="12"/>
              </w:rPr>
              <w:t>290,841</w:t>
            </w:r>
            <w:r>
              <w:rPr>
                <w:rFonts w:ascii="宋体"/>
                <w:sz w:val="12"/>
              </w:rPr>
            </w:r>
          </w:p>
          <w:p>
            <w:pPr>
              <w:pStyle w:val="TableParagraph"/>
              <w:spacing w:line="129" w:lineRule="exact"/>
              <w:ind w:left="820"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7" w:right="0"/>
              <w:jc w:val="left"/>
              <w:rPr>
                <w:rFonts w:ascii="宋体" w:hAnsi="宋体" w:cs="宋体" w:eastAsia="宋体" w:hint="default"/>
                <w:sz w:val="12"/>
                <w:szCs w:val="12"/>
              </w:rPr>
            </w:pPr>
            <w:r>
              <w:rPr>
                <w:rFonts w:ascii="宋体" w:hAnsi="宋体" w:cs="宋体" w:eastAsia="宋体" w:hint="default"/>
                <w:w w:val="105"/>
                <w:sz w:val="12"/>
                <w:szCs w:val="12"/>
              </w:rPr>
              <w:t>2017</w:t>
            </w:r>
            <w:r>
              <w:rPr>
                <w:rFonts w:ascii="宋体" w:hAnsi="宋体" w:cs="宋体" w:eastAsia="宋体" w:hint="default"/>
                <w:spacing w:val="-47"/>
                <w:w w:val="105"/>
                <w:sz w:val="12"/>
                <w:szCs w:val="12"/>
              </w:rPr>
              <w:t> </w:t>
            </w:r>
            <w:r>
              <w:rPr>
                <w:rFonts w:ascii="宋体" w:hAnsi="宋体" w:cs="宋体" w:eastAsia="宋体" w:hint="default"/>
                <w:w w:val="105"/>
                <w:sz w:val="12"/>
                <w:szCs w:val="12"/>
              </w:rPr>
              <w:t>年中国联通</w:t>
            </w:r>
            <w:r>
              <w:rPr>
                <w:rFonts w:ascii="宋体" w:hAnsi="宋体" w:cs="宋体" w:eastAsia="宋体" w:hint="default"/>
                <w:spacing w:val="-47"/>
                <w:w w:val="105"/>
                <w:sz w:val="12"/>
                <w:szCs w:val="12"/>
              </w:rPr>
              <w:t> </w:t>
            </w:r>
            <w:r>
              <w:rPr>
                <w:rFonts w:ascii="宋体" w:hAnsi="宋体" w:cs="宋体" w:eastAsia="宋体" w:hint="default"/>
                <w:w w:val="105"/>
                <w:sz w:val="12"/>
                <w:szCs w:val="12"/>
              </w:rPr>
              <w:t>China169</w:t>
            </w:r>
            <w:r>
              <w:rPr>
                <w:rFonts w:ascii="宋体" w:hAnsi="宋体" w:cs="宋体" w:eastAsia="宋体" w:hint="default"/>
                <w:spacing w:val="-47"/>
                <w:w w:val="105"/>
                <w:sz w:val="12"/>
                <w:szCs w:val="12"/>
              </w:rPr>
              <w:t> </w:t>
            </w:r>
            <w:r>
              <w:rPr>
                <w:rFonts w:ascii="宋体" w:hAnsi="宋体" w:cs="宋体" w:eastAsia="宋体" w:hint="default"/>
                <w:w w:val="105"/>
                <w:sz w:val="12"/>
                <w:szCs w:val="12"/>
              </w:rPr>
              <w:t>骨干网</w:t>
            </w:r>
          </w:p>
          <w:p>
            <w:pPr>
              <w:pStyle w:val="TableParagraph"/>
              <w:spacing w:line="100" w:lineRule="exact"/>
              <w:ind w:right="55"/>
              <w:jc w:val="right"/>
              <w:rPr>
                <w:rFonts w:ascii="宋体" w:hAnsi="宋体" w:cs="宋体" w:eastAsia="宋体" w:hint="default"/>
                <w:sz w:val="12"/>
                <w:szCs w:val="12"/>
              </w:rPr>
            </w:pPr>
            <w:r>
              <w:rPr>
                <w:rFonts w:ascii="宋体"/>
                <w:w w:val="110"/>
                <w:sz w:val="12"/>
              </w:rPr>
              <w:t>186</w:t>
            </w:r>
            <w:r>
              <w:rPr>
                <w:rFonts w:ascii="宋体"/>
                <w:sz w:val="12"/>
              </w:rPr>
            </w:r>
          </w:p>
          <w:p>
            <w:pPr>
              <w:pStyle w:val="TableParagraph"/>
              <w:spacing w:line="128" w:lineRule="exact"/>
              <w:ind w:left="57" w:right="0"/>
              <w:jc w:val="left"/>
              <w:rPr>
                <w:rFonts w:ascii="宋体" w:hAnsi="宋体" w:cs="宋体" w:eastAsia="宋体" w:hint="default"/>
                <w:sz w:val="12"/>
                <w:szCs w:val="12"/>
              </w:rPr>
            </w:pPr>
            <w:r>
              <w:rPr>
                <w:rFonts w:ascii="宋体" w:hAnsi="宋体" w:cs="宋体" w:eastAsia="宋体" w:hint="default"/>
                <w:sz w:val="12"/>
                <w:szCs w:val="12"/>
              </w:rPr>
              <w:t>扩容工程山东省分公司单项工程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2"/>
              <w:jc w:val="right"/>
              <w:rPr>
                <w:rFonts w:ascii="宋体" w:hAnsi="宋体" w:cs="宋体" w:eastAsia="宋体" w:hint="default"/>
                <w:sz w:val="12"/>
                <w:szCs w:val="12"/>
              </w:rPr>
            </w:pPr>
            <w:r>
              <w:rPr>
                <w:rFonts w:ascii="宋体"/>
                <w:sz w:val="12"/>
              </w:rPr>
              <w:t>162,519,536</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20"/>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6"/>
              <w:jc w:val="right"/>
              <w:rPr>
                <w:rFonts w:ascii="宋体" w:hAnsi="宋体" w:cs="宋体" w:eastAsia="宋体" w:hint="default"/>
                <w:sz w:val="12"/>
                <w:szCs w:val="12"/>
              </w:rPr>
            </w:pPr>
            <w:r>
              <w:rPr>
                <w:rFonts w:ascii="宋体"/>
                <w:sz w:val="12"/>
              </w:rPr>
              <w:t>162,519,536</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2"/>
              <w:jc w:val="center"/>
              <w:rPr>
                <w:rFonts w:ascii="宋体" w:hAnsi="宋体" w:cs="宋体" w:eastAsia="宋体" w:hint="default"/>
                <w:sz w:val="12"/>
                <w:szCs w:val="12"/>
              </w:rPr>
            </w:pPr>
            <w:r>
              <w:rPr>
                <w:rFonts w:ascii="宋体"/>
                <w:w w:val="140"/>
                <w:sz w:val="12"/>
              </w:rPr>
              <w:t>87%</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4"/>
              <w:jc w:val="right"/>
              <w:rPr>
                <w:rFonts w:ascii="宋体" w:hAnsi="宋体" w:cs="宋体" w:eastAsia="宋体" w:hint="default"/>
                <w:sz w:val="12"/>
                <w:szCs w:val="12"/>
              </w:rPr>
            </w:pPr>
            <w:r>
              <w:rPr>
                <w:rFonts w:ascii="宋体"/>
                <w:w w:val="131"/>
                <w:sz w:val="12"/>
              </w:rPr>
              <w:t>-</w:t>
            </w:r>
            <w:r>
              <w:rPr>
                <w:rFonts w:ascii="宋体"/>
                <w:sz w:val="12"/>
              </w:rPr>
            </w:r>
          </w:p>
        </w:tc>
        <w:tc>
          <w:tcPr>
            <w:tcW w:w="1477"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74" w:val="left" w:leader="none"/>
              </w:tabs>
              <w:spacing w:line="240" w:lineRule="auto"/>
              <w:ind w:right="54"/>
              <w:jc w:val="right"/>
              <w:rPr>
                <w:rFonts w:ascii="宋体" w:hAnsi="宋体" w:cs="宋体" w:eastAsia="宋体" w:hint="default"/>
                <w:sz w:val="12"/>
                <w:szCs w:val="12"/>
              </w:rPr>
            </w:pPr>
            <w:r>
              <w:rPr>
                <w:rFonts w:ascii="宋体" w:hAnsi="宋体" w:cs="宋体" w:eastAsia="宋体" w:hint="default"/>
                <w:w w:val="115"/>
                <w:sz w:val="12"/>
                <w:szCs w:val="12"/>
              </w:rPr>
              <w:t>-</w:t>
              <w:tab/>
            </w:r>
            <w:r>
              <w:rPr>
                <w:rFonts w:ascii="宋体" w:hAnsi="宋体" w:cs="宋体" w:eastAsia="宋体" w:hint="default"/>
                <w:sz w:val="12"/>
                <w:szCs w:val="12"/>
              </w:rPr>
              <w:t>自筹</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7" w:right="0"/>
              <w:jc w:val="left"/>
              <w:rPr>
                <w:rFonts w:ascii="宋体" w:hAnsi="宋体" w:cs="宋体" w:eastAsia="宋体" w:hint="default"/>
                <w:sz w:val="12"/>
                <w:szCs w:val="12"/>
              </w:rPr>
            </w:pPr>
            <w:r>
              <w:rPr>
                <w:rFonts w:ascii="宋体" w:hAnsi="宋体" w:cs="宋体" w:eastAsia="宋体" w:hint="default"/>
                <w:sz w:val="12"/>
                <w:szCs w:val="12"/>
              </w:rPr>
              <w:t>2018</w:t>
            </w:r>
            <w:r>
              <w:rPr>
                <w:rFonts w:ascii="宋体" w:hAnsi="宋体" w:cs="宋体" w:eastAsia="宋体" w:hint="default"/>
                <w:spacing w:val="-5"/>
                <w:sz w:val="12"/>
                <w:szCs w:val="12"/>
              </w:rPr>
              <w:t> </w:t>
            </w:r>
            <w:r>
              <w:rPr>
                <w:rFonts w:ascii="宋体" w:hAnsi="宋体" w:cs="宋体" w:eastAsia="宋体" w:hint="default"/>
                <w:sz w:val="12"/>
                <w:szCs w:val="12"/>
              </w:rPr>
              <w:t>年中国联通河南移动核心网</w:t>
            </w:r>
          </w:p>
          <w:p>
            <w:pPr>
              <w:pStyle w:val="TableParagraph"/>
              <w:spacing w:line="100" w:lineRule="exact"/>
              <w:ind w:right="55"/>
              <w:jc w:val="right"/>
              <w:rPr>
                <w:rFonts w:ascii="宋体" w:hAnsi="宋体" w:cs="宋体" w:eastAsia="宋体" w:hint="default"/>
                <w:sz w:val="12"/>
                <w:szCs w:val="12"/>
              </w:rPr>
            </w:pPr>
            <w:r>
              <w:rPr>
                <w:rFonts w:ascii="宋体"/>
                <w:w w:val="110"/>
                <w:sz w:val="12"/>
              </w:rPr>
              <w:t>170</w:t>
            </w:r>
            <w:r>
              <w:rPr>
                <w:rFonts w:ascii="宋体"/>
                <w:sz w:val="12"/>
              </w:rPr>
            </w:r>
          </w:p>
          <w:p>
            <w:pPr>
              <w:pStyle w:val="TableParagraph"/>
              <w:spacing w:line="128" w:lineRule="exact"/>
              <w:ind w:left="57" w:right="0"/>
              <w:jc w:val="left"/>
              <w:rPr>
                <w:rFonts w:ascii="宋体" w:hAnsi="宋体" w:cs="宋体" w:eastAsia="宋体" w:hint="default"/>
                <w:sz w:val="12"/>
                <w:szCs w:val="12"/>
              </w:rPr>
            </w:pPr>
            <w:r>
              <w:rPr>
                <w:rFonts w:ascii="宋体" w:hAnsi="宋体" w:cs="宋体" w:eastAsia="宋体" w:hint="default"/>
                <w:sz w:val="12"/>
                <w:szCs w:val="12"/>
              </w:rPr>
              <w:t>扩容工程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6"/>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2"/>
              <w:jc w:val="right"/>
              <w:rPr>
                <w:rFonts w:ascii="宋体" w:hAnsi="宋体" w:cs="宋体" w:eastAsia="宋体" w:hint="default"/>
                <w:sz w:val="12"/>
                <w:szCs w:val="12"/>
              </w:rPr>
            </w:pPr>
            <w:r>
              <w:rPr>
                <w:rFonts w:ascii="宋体"/>
                <w:sz w:val="12"/>
              </w:rPr>
              <w:t>154,381,786</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9"/>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7"/>
              <w:jc w:val="right"/>
              <w:rPr>
                <w:rFonts w:ascii="宋体" w:hAnsi="宋体" w:cs="宋体" w:eastAsia="宋体" w:hint="default"/>
                <w:sz w:val="12"/>
                <w:szCs w:val="12"/>
              </w:rPr>
            </w:pPr>
            <w:r>
              <w:rPr>
                <w:rFonts w:ascii="宋体"/>
                <w:sz w:val="12"/>
              </w:rPr>
              <w:t>154,381,786</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2"/>
              <w:jc w:val="center"/>
              <w:rPr>
                <w:rFonts w:ascii="宋体" w:hAnsi="宋体" w:cs="宋体" w:eastAsia="宋体" w:hint="default"/>
                <w:sz w:val="12"/>
                <w:szCs w:val="12"/>
              </w:rPr>
            </w:pPr>
            <w:r>
              <w:rPr>
                <w:rFonts w:ascii="宋体"/>
                <w:w w:val="140"/>
                <w:sz w:val="12"/>
              </w:rPr>
              <w:t>91%</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4"/>
              <w:jc w:val="right"/>
              <w:rPr>
                <w:rFonts w:ascii="宋体" w:hAnsi="宋体" w:cs="宋体" w:eastAsia="宋体" w:hint="default"/>
                <w:sz w:val="12"/>
                <w:szCs w:val="12"/>
              </w:rPr>
            </w:pPr>
            <w:r>
              <w:rPr>
                <w:rFonts w:ascii="宋体"/>
                <w:sz w:val="12"/>
              </w:rPr>
              <w:t>642,134</w:t>
            </w:r>
          </w:p>
        </w:tc>
        <w:tc>
          <w:tcPr>
            <w:tcW w:w="1477" w:type="dxa"/>
            <w:tcBorders>
              <w:top w:val="nil" w:sz="6" w:space="0" w:color="auto"/>
              <w:left w:val="nil" w:sz="6" w:space="0" w:color="auto"/>
              <w:bottom w:val="nil" w:sz="6" w:space="0" w:color="auto"/>
              <w:right w:val="nil" w:sz="6" w:space="0" w:color="auto"/>
            </w:tcBorders>
          </w:tcPr>
          <w:p>
            <w:pPr>
              <w:pStyle w:val="TableParagraph"/>
              <w:spacing w:line="128" w:lineRule="exact" w:before="11"/>
              <w:ind w:left="821"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252" w:right="0"/>
              <w:jc w:val="left"/>
              <w:rPr>
                <w:rFonts w:ascii="宋体" w:hAnsi="宋体" w:cs="宋体" w:eastAsia="宋体" w:hint="default"/>
                <w:sz w:val="12"/>
                <w:szCs w:val="12"/>
              </w:rPr>
            </w:pPr>
            <w:r>
              <w:rPr>
                <w:rFonts w:ascii="宋体"/>
                <w:w w:val="105"/>
                <w:sz w:val="12"/>
              </w:rPr>
              <w:t>642,134</w:t>
            </w:r>
            <w:r>
              <w:rPr>
                <w:rFonts w:ascii="宋体"/>
                <w:sz w:val="12"/>
              </w:rPr>
            </w:r>
          </w:p>
          <w:p>
            <w:pPr>
              <w:pStyle w:val="TableParagraph"/>
              <w:spacing w:line="129" w:lineRule="exact"/>
              <w:ind w:left="821"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7" w:right="0"/>
              <w:jc w:val="left"/>
              <w:rPr>
                <w:rFonts w:ascii="宋体" w:hAnsi="宋体" w:cs="宋体" w:eastAsia="宋体" w:hint="default"/>
                <w:sz w:val="12"/>
                <w:szCs w:val="12"/>
              </w:rPr>
            </w:pPr>
            <w:r>
              <w:rPr>
                <w:rFonts w:ascii="宋体" w:hAnsi="宋体" w:cs="宋体" w:eastAsia="宋体" w:hint="default"/>
                <w:sz w:val="12"/>
                <w:szCs w:val="12"/>
              </w:rPr>
              <w:t>2018</w:t>
            </w:r>
            <w:r>
              <w:rPr>
                <w:rFonts w:ascii="宋体" w:hAnsi="宋体" w:cs="宋体" w:eastAsia="宋体" w:hint="default"/>
                <w:spacing w:val="-5"/>
                <w:sz w:val="12"/>
                <w:szCs w:val="12"/>
              </w:rPr>
              <w:t> </w:t>
            </w:r>
            <w:r>
              <w:rPr>
                <w:rFonts w:ascii="宋体" w:hAnsi="宋体" w:cs="宋体" w:eastAsia="宋体" w:hint="default"/>
                <w:sz w:val="12"/>
                <w:szCs w:val="12"/>
              </w:rPr>
              <w:t>年中国联通广东本地主干光</w:t>
            </w:r>
          </w:p>
          <w:p>
            <w:pPr>
              <w:pStyle w:val="TableParagraph"/>
              <w:spacing w:line="100" w:lineRule="exact"/>
              <w:ind w:right="54"/>
              <w:jc w:val="right"/>
              <w:rPr>
                <w:rFonts w:ascii="宋体" w:hAnsi="宋体" w:cs="宋体" w:eastAsia="宋体" w:hint="default"/>
                <w:sz w:val="12"/>
                <w:szCs w:val="12"/>
              </w:rPr>
            </w:pPr>
            <w:r>
              <w:rPr>
                <w:rFonts w:ascii="宋体"/>
                <w:w w:val="110"/>
                <w:sz w:val="12"/>
              </w:rPr>
              <w:t>149</w:t>
            </w:r>
            <w:r>
              <w:rPr>
                <w:rFonts w:ascii="宋体"/>
                <w:sz w:val="12"/>
              </w:rPr>
            </w:r>
          </w:p>
          <w:p>
            <w:pPr>
              <w:pStyle w:val="TableParagraph"/>
              <w:spacing w:line="128" w:lineRule="exact"/>
              <w:ind w:left="57" w:right="0"/>
              <w:jc w:val="left"/>
              <w:rPr>
                <w:rFonts w:ascii="宋体" w:hAnsi="宋体" w:cs="宋体" w:eastAsia="宋体" w:hint="default"/>
                <w:sz w:val="12"/>
                <w:szCs w:val="12"/>
              </w:rPr>
            </w:pPr>
            <w:r>
              <w:rPr>
                <w:rFonts w:ascii="宋体" w:hAnsi="宋体" w:cs="宋体" w:eastAsia="宋体" w:hint="default"/>
                <w:sz w:val="12"/>
                <w:szCs w:val="12"/>
              </w:rPr>
              <w:t>缆一期工程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2"/>
              <w:jc w:val="right"/>
              <w:rPr>
                <w:rFonts w:ascii="宋体" w:hAnsi="宋体" w:cs="宋体" w:eastAsia="宋体" w:hint="default"/>
                <w:sz w:val="12"/>
                <w:szCs w:val="12"/>
              </w:rPr>
            </w:pPr>
            <w:r>
              <w:rPr>
                <w:rFonts w:ascii="宋体"/>
                <w:sz w:val="12"/>
              </w:rPr>
              <w:t>136,945,616</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9"/>
              <w:jc w:val="center"/>
              <w:rPr>
                <w:rFonts w:ascii="宋体" w:hAnsi="宋体" w:cs="宋体" w:eastAsia="宋体" w:hint="default"/>
                <w:sz w:val="12"/>
                <w:szCs w:val="12"/>
              </w:rPr>
            </w:pPr>
            <w:r>
              <w:rPr>
                <w:rFonts w:ascii="宋体"/>
                <w:sz w:val="12"/>
              </w:rPr>
              <w:t>(1,150,373)</w:t>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5"/>
              <w:jc w:val="right"/>
              <w:rPr>
                <w:rFonts w:ascii="宋体" w:hAnsi="宋体" w:cs="宋体" w:eastAsia="宋体" w:hint="default"/>
                <w:sz w:val="12"/>
                <w:szCs w:val="12"/>
              </w:rPr>
            </w:pPr>
            <w:r>
              <w:rPr>
                <w:rFonts w:ascii="宋体"/>
                <w:sz w:val="12"/>
              </w:rPr>
              <w:t>135,795,243</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
              <w:jc w:val="center"/>
              <w:rPr>
                <w:rFonts w:ascii="宋体" w:hAnsi="宋体" w:cs="宋体" w:eastAsia="宋体" w:hint="default"/>
                <w:sz w:val="12"/>
                <w:szCs w:val="12"/>
              </w:rPr>
            </w:pPr>
            <w:r>
              <w:rPr>
                <w:rFonts w:ascii="宋体"/>
                <w:w w:val="140"/>
                <w:sz w:val="12"/>
              </w:rPr>
              <w:t>92%</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3"/>
              <w:jc w:val="right"/>
              <w:rPr>
                <w:rFonts w:ascii="宋体" w:hAnsi="宋体" w:cs="宋体" w:eastAsia="宋体" w:hint="default"/>
                <w:sz w:val="12"/>
                <w:szCs w:val="12"/>
              </w:rPr>
            </w:pPr>
            <w:r>
              <w:rPr>
                <w:rFonts w:ascii="宋体"/>
                <w:sz w:val="12"/>
              </w:rPr>
              <w:t>219,571</w:t>
            </w:r>
          </w:p>
        </w:tc>
        <w:tc>
          <w:tcPr>
            <w:tcW w:w="1477" w:type="dxa"/>
            <w:tcBorders>
              <w:top w:val="nil" w:sz="6" w:space="0" w:color="auto"/>
              <w:left w:val="nil" w:sz="6" w:space="0" w:color="auto"/>
              <w:bottom w:val="nil" w:sz="6" w:space="0" w:color="auto"/>
              <w:right w:val="nil" w:sz="6" w:space="0" w:color="auto"/>
            </w:tcBorders>
          </w:tcPr>
          <w:p>
            <w:pPr>
              <w:pStyle w:val="TableParagraph"/>
              <w:spacing w:line="128" w:lineRule="exact" w:before="11"/>
              <w:ind w:left="821"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253" w:right="0"/>
              <w:jc w:val="left"/>
              <w:rPr>
                <w:rFonts w:ascii="宋体" w:hAnsi="宋体" w:cs="宋体" w:eastAsia="宋体" w:hint="default"/>
                <w:sz w:val="12"/>
                <w:szCs w:val="12"/>
              </w:rPr>
            </w:pPr>
            <w:r>
              <w:rPr>
                <w:rFonts w:ascii="宋体"/>
                <w:w w:val="105"/>
                <w:sz w:val="12"/>
              </w:rPr>
              <w:t>219,571</w:t>
            </w:r>
            <w:r>
              <w:rPr>
                <w:rFonts w:ascii="宋体"/>
                <w:sz w:val="12"/>
              </w:rPr>
            </w:r>
          </w:p>
          <w:p>
            <w:pPr>
              <w:pStyle w:val="TableParagraph"/>
              <w:spacing w:line="129" w:lineRule="exact"/>
              <w:ind w:left="821"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7" w:right="0"/>
              <w:jc w:val="left"/>
              <w:rPr>
                <w:rFonts w:ascii="宋体" w:hAnsi="宋体" w:cs="宋体" w:eastAsia="宋体" w:hint="default"/>
                <w:sz w:val="12"/>
                <w:szCs w:val="12"/>
              </w:rPr>
            </w:pPr>
            <w:r>
              <w:rPr>
                <w:rFonts w:ascii="宋体" w:hAnsi="宋体" w:cs="宋体" w:eastAsia="宋体" w:hint="default"/>
                <w:sz w:val="12"/>
                <w:szCs w:val="12"/>
              </w:rPr>
              <w:t>2018</w:t>
            </w:r>
            <w:r>
              <w:rPr>
                <w:rFonts w:ascii="宋体" w:hAnsi="宋体" w:cs="宋体" w:eastAsia="宋体" w:hint="default"/>
                <w:spacing w:val="-5"/>
                <w:sz w:val="12"/>
                <w:szCs w:val="12"/>
              </w:rPr>
              <w:t> </w:t>
            </w:r>
            <w:r>
              <w:rPr>
                <w:rFonts w:ascii="宋体" w:hAnsi="宋体" w:cs="宋体" w:eastAsia="宋体" w:hint="default"/>
                <w:sz w:val="12"/>
                <w:szCs w:val="12"/>
              </w:rPr>
              <w:t>年中国联通广东本地传送网</w:t>
            </w:r>
          </w:p>
          <w:p>
            <w:pPr>
              <w:pStyle w:val="TableParagraph"/>
              <w:spacing w:line="100" w:lineRule="exact"/>
              <w:ind w:right="54"/>
              <w:jc w:val="right"/>
              <w:rPr>
                <w:rFonts w:ascii="宋体" w:hAnsi="宋体" w:cs="宋体" w:eastAsia="宋体" w:hint="default"/>
                <w:sz w:val="12"/>
                <w:szCs w:val="12"/>
              </w:rPr>
            </w:pPr>
            <w:r>
              <w:rPr>
                <w:rFonts w:ascii="宋体"/>
                <w:w w:val="110"/>
                <w:sz w:val="12"/>
              </w:rPr>
              <w:t>120</w:t>
            </w:r>
            <w:r>
              <w:rPr>
                <w:rFonts w:ascii="宋体"/>
                <w:sz w:val="12"/>
              </w:rPr>
            </w:r>
          </w:p>
          <w:p>
            <w:pPr>
              <w:pStyle w:val="TableParagraph"/>
              <w:spacing w:line="128" w:lineRule="exact"/>
              <w:ind w:left="57" w:right="0"/>
              <w:jc w:val="left"/>
              <w:rPr>
                <w:rFonts w:ascii="宋体" w:hAnsi="宋体" w:cs="宋体" w:eastAsia="宋体" w:hint="default"/>
                <w:sz w:val="12"/>
                <w:szCs w:val="12"/>
              </w:rPr>
            </w:pPr>
            <w:r>
              <w:rPr>
                <w:rFonts w:ascii="宋体" w:hAnsi="宋体" w:cs="宋体" w:eastAsia="宋体" w:hint="default"/>
                <w:sz w:val="12"/>
                <w:szCs w:val="12"/>
              </w:rPr>
              <w:t>一期工程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2"/>
              <w:jc w:val="right"/>
              <w:rPr>
                <w:rFonts w:ascii="宋体" w:hAnsi="宋体" w:cs="宋体" w:eastAsia="宋体" w:hint="default"/>
                <w:sz w:val="12"/>
                <w:szCs w:val="12"/>
              </w:rPr>
            </w:pPr>
            <w:r>
              <w:rPr>
                <w:rFonts w:ascii="宋体"/>
                <w:sz w:val="12"/>
              </w:rPr>
              <w:t>110,120,736</w:t>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8"/>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5"/>
              <w:jc w:val="right"/>
              <w:rPr>
                <w:rFonts w:ascii="宋体" w:hAnsi="宋体" w:cs="宋体" w:eastAsia="宋体" w:hint="default"/>
                <w:sz w:val="12"/>
                <w:szCs w:val="12"/>
              </w:rPr>
            </w:pPr>
            <w:r>
              <w:rPr>
                <w:rFonts w:ascii="宋体"/>
                <w:sz w:val="12"/>
              </w:rPr>
              <w:t>110,120,736</w:t>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
              <w:jc w:val="center"/>
              <w:rPr>
                <w:rFonts w:ascii="宋体" w:hAnsi="宋体" w:cs="宋体" w:eastAsia="宋体" w:hint="default"/>
                <w:sz w:val="12"/>
                <w:szCs w:val="12"/>
              </w:rPr>
            </w:pPr>
            <w:r>
              <w:rPr>
                <w:rFonts w:ascii="宋体"/>
                <w:w w:val="140"/>
                <w:sz w:val="12"/>
              </w:rPr>
              <w:t>92%</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3"/>
              <w:jc w:val="right"/>
              <w:rPr>
                <w:rFonts w:ascii="宋体" w:hAnsi="宋体" w:cs="宋体" w:eastAsia="宋体" w:hint="default"/>
                <w:sz w:val="12"/>
                <w:szCs w:val="12"/>
              </w:rPr>
            </w:pPr>
            <w:r>
              <w:rPr>
                <w:rFonts w:ascii="宋体"/>
                <w:w w:val="95"/>
                <w:sz w:val="12"/>
              </w:rPr>
              <w:t>1,449,206</w:t>
            </w:r>
            <w:r>
              <w:rPr>
                <w:rFonts w:ascii="宋体"/>
                <w:sz w:val="12"/>
              </w:rPr>
            </w:r>
          </w:p>
        </w:tc>
        <w:tc>
          <w:tcPr>
            <w:tcW w:w="1477" w:type="dxa"/>
            <w:tcBorders>
              <w:top w:val="nil" w:sz="6" w:space="0" w:color="auto"/>
              <w:left w:val="nil" w:sz="6" w:space="0" w:color="auto"/>
              <w:bottom w:val="nil" w:sz="6" w:space="0" w:color="auto"/>
              <w:right w:val="nil" w:sz="6" w:space="0" w:color="auto"/>
            </w:tcBorders>
          </w:tcPr>
          <w:p>
            <w:pPr>
              <w:pStyle w:val="TableParagraph"/>
              <w:spacing w:line="128" w:lineRule="exact" w:before="11"/>
              <w:ind w:left="821"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153" w:right="0"/>
              <w:jc w:val="left"/>
              <w:rPr>
                <w:rFonts w:ascii="宋体" w:hAnsi="宋体" w:cs="宋体" w:eastAsia="宋体" w:hint="default"/>
                <w:sz w:val="12"/>
                <w:szCs w:val="12"/>
              </w:rPr>
            </w:pPr>
            <w:r>
              <w:rPr>
                <w:rFonts w:ascii="宋体"/>
                <w:sz w:val="12"/>
              </w:rPr>
              <w:t>1,449,206</w:t>
            </w:r>
          </w:p>
          <w:p>
            <w:pPr>
              <w:pStyle w:val="TableParagraph"/>
              <w:spacing w:line="129" w:lineRule="exact"/>
              <w:ind w:left="821"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8" w:right="0"/>
              <w:jc w:val="left"/>
              <w:rPr>
                <w:rFonts w:ascii="宋体" w:hAnsi="宋体" w:cs="宋体" w:eastAsia="宋体" w:hint="default"/>
                <w:sz w:val="12"/>
                <w:szCs w:val="12"/>
              </w:rPr>
            </w:pPr>
            <w:r>
              <w:rPr>
                <w:rFonts w:ascii="宋体" w:hAnsi="宋体" w:cs="宋体" w:eastAsia="宋体" w:hint="default"/>
                <w:w w:val="110"/>
                <w:sz w:val="12"/>
                <w:szCs w:val="12"/>
              </w:rPr>
              <w:t>2018</w:t>
            </w:r>
            <w:r>
              <w:rPr>
                <w:rFonts w:ascii="宋体" w:hAnsi="宋体" w:cs="宋体" w:eastAsia="宋体" w:hint="default"/>
                <w:spacing w:val="-47"/>
                <w:w w:val="110"/>
                <w:sz w:val="12"/>
                <w:szCs w:val="12"/>
              </w:rPr>
              <w:t> </w:t>
            </w:r>
            <w:r>
              <w:rPr>
                <w:rFonts w:ascii="宋体" w:hAnsi="宋体" w:cs="宋体" w:eastAsia="宋体" w:hint="default"/>
                <w:w w:val="110"/>
                <w:sz w:val="12"/>
                <w:szCs w:val="12"/>
              </w:rPr>
              <w:t>年中国联通湖南</w:t>
            </w:r>
            <w:r>
              <w:rPr>
                <w:rFonts w:ascii="宋体" w:hAnsi="宋体" w:cs="宋体" w:eastAsia="宋体" w:hint="default"/>
                <w:spacing w:val="-46"/>
                <w:w w:val="110"/>
                <w:sz w:val="12"/>
                <w:szCs w:val="12"/>
              </w:rPr>
              <w:t> </w:t>
            </w:r>
            <w:r>
              <w:rPr>
                <w:rFonts w:ascii="宋体" w:hAnsi="宋体" w:cs="宋体" w:eastAsia="宋体" w:hint="default"/>
                <w:w w:val="110"/>
                <w:sz w:val="12"/>
                <w:szCs w:val="12"/>
              </w:rPr>
              <w:t>LTE-FDD</w:t>
            </w:r>
            <w:r>
              <w:rPr>
                <w:rFonts w:ascii="宋体" w:hAnsi="宋体" w:cs="宋体" w:eastAsia="宋体" w:hint="default"/>
                <w:sz w:val="12"/>
                <w:szCs w:val="12"/>
              </w:rPr>
            </w:r>
          </w:p>
          <w:p>
            <w:pPr>
              <w:pStyle w:val="TableParagraph"/>
              <w:spacing w:line="100" w:lineRule="exact"/>
              <w:ind w:right="54"/>
              <w:jc w:val="right"/>
              <w:rPr>
                <w:rFonts w:ascii="宋体" w:hAnsi="宋体" w:cs="宋体" w:eastAsia="宋体" w:hint="default"/>
                <w:sz w:val="12"/>
                <w:szCs w:val="12"/>
              </w:rPr>
            </w:pPr>
            <w:r>
              <w:rPr>
                <w:rFonts w:ascii="宋体"/>
                <w:w w:val="110"/>
                <w:sz w:val="12"/>
              </w:rPr>
              <w:t>107</w:t>
            </w:r>
            <w:r>
              <w:rPr>
                <w:rFonts w:ascii="宋体"/>
                <w:sz w:val="12"/>
              </w:rPr>
            </w:r>
          </w:p>
          <w:p>
            <w:pPr>
              <w:pStyle w:val="TableParagraph"/>
              <w:spacing w:line="128" w:lineRule="exact"/>
              <w:ind w:left="58" w:right="0"/>
              <w:jc w:val="left"/>
              <w:rPr>
                <w:rFonts w:ascii="宋体" w:hAnsi="宋体" w:cs="宋体" w:eastAsia="宋体" w:hint="default"/>
                <w:sz w:val="12"/>
                <w:szCs w:val="12"/>
              </w:rPr>
            </w:pPr>
            <w:r>
              <w:rPr>
                <w:rFonts w:ascii="宋体" w:hAnsi="宋体" w:cs="宋体" w:eastAsia="宋体" w:hint="default"/>
                <w:sz w:val="12"/>
                <w:szCs w:val="12"/>
              </w:rPr>
              <w:t>无线网新建三期工程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4"/>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2"/>
              <w:jc w:val="right"/>
              <w:rPr>
                <w:rFonts w:ascii="宋体" w:hAnsi="宋体" w:cs="宋体" w:eastAsia="宋体" w:hint="default"/>
                <w:sz w:val="12"/>
                <w:szCs w:val="12"/>
              </w:rPr>
            </w:pPr>
            <w:r>
              <w:rPr>
                <w:rFonts w:ascii="宋体"/>
                <w:w w:val="95"/>
                <w:sz w:val="12"/>
              </w:rPr>
              <w:t>89,759,116</w:t>
            </w:r>
            <w:r>
              <w:rPr>
                <w:rFonts w:ascii="宋体"/>
                <w:sz w:val="12"/>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8"/>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5"/>
              <w:jc w:val="right"/>
              <w:rPr>
                <w:rFonts w:ascii="宋体" w:hAnsi="宋体" w:cs="宋体" w:eastAsia="宋体" w:hint="default"/>
                <w:sz w:val="12"/>
                <w:szCs w:val="12"/>
              </w:rPr>
            </w:pPr>
            <w:r>
              <w:rPr>
                <w:rFonts w:ascii="宋体"/>
                <w:w w:val="95"/>
                <w:sz w:val="12"/>
              </w:rPr>
              <w:t>89,759,116</w:t>
            </w:r>
            <w:r>
              <w:rPr>
                <w:rFonts w:ascii="宋体"/>
                <w:sz w:val="12"/>
              </w:rPr>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
              <w:jc w:val="center"/>
              <w:rPr>
                <w:rFonts w:ascii="宋体" w:hAnsi="宋体" w:cs="宋体" w:eastAsia="宋体" w:hint="default"/>
                <w:sz w:val="12"/>
                <w:szCs w:val="12"/>
              </w:rPr>
            </w:pPr>
            <w:r>
              <w:rPr>
                <w:rFonts w:ascii="宋体"/>
                <w:w w:val="140"/>
                <w:sz w:val="12"/>
              </w:rPr>
              <w:t>84%</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3"/>
              <w:jc w:val="right"/>
              <w:rPr>
                <w:rFonts w:ascii="宋体" w:hAnsi="宋体" w:cs="宋体" w:eastAsia="宋体" w:hint="default"/>
                <w:sz w:val="12"/>
                <w:szCs w:val="12"/>
              </w:rPr>
            </w:pPr>
            <w:r>
              <w:rPr>
                <w:rFonts w:ascii="宋体"/>
                <w:sz w:val="12"/>
              </w:rPr>
              <w:t>245,043</w:t>
            </w:r>
          </w:p>
        </w:tc>
        <w:tc>
          <w:tcPr>
            <w:tcW w:w="1477" w:type="dxa"/>
            <w:tcBorders>
              <w:top w:val="nil" w:sz="6" w:space="0" w:color="auto"/>
              <w:left w:val="nil" w:sz="6" w:space="0" w:color="auto"/>
              <w:bottom w:val="nil" w:sz="6" w:space="0" w:color="auto"/>
              <w:right w:val="nil" w:sz="6" w:space="0" w:color="auto"/>
            </w:tcBorders>
          </w:tcPr>
          <w:p>
            <w:pPr>
              <w:pStyle w:val="TableParagraph"/>
              <w:spacing w:line="128" w:lineRule="exact" w:before="11"/>
              <w:ind w:left="821"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253" w:right="0"/>
              <w:jc w:val="left"/>
              <w:rPr>
                <w:rFonts w:ascii="宋体" w:hAnsi="宋体" w:cs="宋体" w:eastAsia="宋体" w:hint="default"/>
                <w:sz w:val="12"/>
                <w:szCs w:val="12"/>
              </w:rPr>
            </w:pPr>
            <w:r>
              <w:rPr>
                <w:rFonts w:ascii="宋体"/>
                <w:w w:val="105"/>
                <w:sz w:val="12"/>
              </w:rPr>
              <w:t>245,043</w:t>
            </w:r>
            <w:r>
              <w:rPr>
                <w:rFonts w:ascii="宋体"/>
                <w:sz w:val="12"/>
              </w:rPr>
            </w:r>
          </w:p>
          <w:p>
            <w:pPr>
              <w:pStyle w:val="TableParagraph"/>
              <w:spacing w:line="129" w:lineRule="exact"/>
              <w:ind w:left="821"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8" w:right="0"/>
              <w:jc w:val="left"/>
              <w:rPr>
                <w:rFonts w:ascii="宋体" w:hAnsi="宋体" w:cs="宋体" w:eastAsia="宋体" w:hint="default"/>
                <w:sz w:val="12"/>
                <w:szCs w:val="12"/>
              </w:rPr>
            </w:pPr>
            <w:r>
              <w:rPr>
                <w:rFonts w:ascii="宋体" w:hAnsi="宋体" w:cs="宋体" w:eastAsia="宋体" w:hint="default"/>
                <w:sz w:val="12"/>
                <w:szCs w:val="12"/>
              </w:rPr>
              <w:t>2018</w:t>
            </w:r>
            <w:r>
              <w:rPr>
                <w:rFonts w:ascii="宋体" w:hAnsi="宋体" w:cs="宋体" w:eastAsia="宋体" w:hint="default"/>
                <w:spacing w:val="-5"/>
                <w:sz w:val="12"/>
                <w:szCs w:val="12"/>
              </w:rPr>
              <w:t> </w:t>
            </w:r>
            <w:r>
              <w:rPr>
                <w:rFonts w:ascii="宋体" w:hAnsi="宋体" w:cs="宋体" w:eastAsia="宋体" w:hint="default"/>
                <w:sz w:val="12"/>
                <w:szCs w:val="12"/>
              </w:rPr>
              <w:t>年中国联通北京本地传送网</w:t>
            </w:r>
          </w:p>
          <w:p>
            <w:pPr>
              <w:pStyle w:val="TableParagraph"/>
              <w:spacing w:line="100" w:lineRule="exact"/>
              <w:ind w:right="54"/>
              <w:jc w:val="right"/>
              <w:rPr>
                <w:rFonts w:ascii="宋体" w:hAnsi="宋体" w:cs="宋体" w:eastAsia="宋体" w:hint="default"/>
                <w:sz w:val="12"/>
                <w:szCs w:val="12"/>
              </w:rPr>
            </w:pPr>
            <w:r>
              <w:rPr>
                <w:rFonts w:ascii="宋体"/>
                <w:w w:val="110"/>
                <w:sz w:val="12"/>
              </w:rPr>
              <w:t>121</w:t>
            </w:r>
            <w:r>
              <w:rPr>
                <w:rFonts w:ascii="宋体"/>
                <w:sz w:val="12"/>
              </w:rPr>
            </w:r>
          </w:p>
          <w:p>
            <w:pPr>
              <w:pStyle w:val="TableParagraph"/>
              <w:spacing w:line="128" w:lineRule="exact"/>
              <w:ind w:left="58" w:right="0"/>
              <w:jc w:val="left"/>
              <w:rPr>
                <w:rFonts w:ascii="宋体" w:hAnsi="宋体" w:cs="宋体" w:eastAsia="宋体" w:hint="default"/>
                <w:sz w:val="12"/>
                <w:szCs w:val="12"/>
              </w:rPr>
            </w:pPr>
            <w:r>
              <w:rPr>
                <w:rFonts w:ascii="宋体" w:hAnsi="宋体" w:cs="宋体" w:eastAsia="宋体" w:hint="default"/>
                <w:sz w:val="12"/>
                <w:szCs w:val="12"/>
              </w:rPr>
              <w:t>扩容一期工程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4"/>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1"/>
              <w:jc w:val="right"/>
              <w:rPr>
                <w:rFonts w:ascii="宋体" w:hAnsi="宋体" w:cs="宋体" w:eastAsia="宋体" w:hint="default"/>
                <w:sz w:val="12"/>
                <w:szCs w:val="12"/>
              </w:rPr>
            </w:pPr>
            <w:r>
              <w:rPr>
                <w:rFonts w:ascii="宋体"/>
                <w:w w:val="95"/>
                <w:sz w:val="12"/>
              </w:rPr>
              <w:t>82,361,242</w:t>
            </w:r>
            <w:r>
              <w:rPr>
                <w:rFonts w:ascii="宋体"/>
                <w:sz w:val="12"/>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8"/>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1"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5"/>
              <w:jc w:val="right"/>
              <w:rPr>
                <w:rFonts w:ascii="宋体" w:hAnsi="宋体" w:cs="宋体" w:eastAsia="宋体" w:hint="default"/>
                <w:sz w:val="12"/>
                <w:szCs w:val="12"/>
              </w:rPr>
            </w:pPr>
            <w:r>
              <w:rPr>
                <w:rFonts w:ascii="宋体"/>
                <w:w w:val="95"/>
                <w:sz w:val="12"/>
              </w:rPr>
              <w:t>82,361,242</w:t>
            </w:r>
            <w:r>
              <w:rPr>
                <w:rFonts w:ascii="宋体"/>
                <w:sz w:val="12"/>
              </w:rPr>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0"/>
              <w:jc w:val="center"/>
              <w:rPr>
                <w:rFonts w:ascii="宋体" w:hAnsi="宋体" w:cs="宋体" w:eastAsia="宋体" w:hint="default"/>
                <w:sz w:val="12"/>
                <w:szCs w:val="12"/>
              </w:rPr>
            </w:pPr>
            <w:r>
              <w:rPr>
                <w:rFonts w:ascii="宋体"/>
                <w:w w:val="140"/>
                <w:sz w:val="12"/>
              </w:rPr>
              <w:t>68%</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3"/>
              <w:jc w:val="right"/>
              <w:rPr>
                <w:rFonts w:ascii="宋体" w:hAnsi="宋体" w:cs="宋体" w:eastAsia="宋体" w:hint="default"/>
                <w:sz w:val="12"/>
                <w:szCs w:val="12"/>
              </w:rPr>
            </w:pPr>
            <w:r>
              <w:rPr>
                <w:rFonts w:ascii="宋体"/>
                <w:sz w:val="12"/>
              </w:rPr>
              <w:t>588,256</w:t>
            </w:r>
          </w:p>
        </w:tc>
        <w:tc>
          <w:tcPr>
            <w:tcW w:w="1477" w:type="dxa"/>
            <w:tcBorders>
              <w:top w:val="nil" w:sz="6" w:space="0" w:color="auto"/>
              <w:left w:val="nil" w:sz="6" w:space="0" w:color="auto"/>
              <w:bottom w:val="nil" w:sz="6" w:space="0" w:color="auto"/>
              <w:right w:val="nil" w:sz="6" w:space="0" w:color="auto"/>
            </w:tcBorders>
          </w:tcPr>
          <w:p>
            <w:pPr>
              <w:pStyle w:val="TableParagraph"/>
              <w:spacing w:line="128" w:lineRule="exact" w:before="11"/>
              <w:ind w:left="821"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253" w:right="0"/>
              <w:jc w:val="left"/>
              <w:rPr>
                <w:rFonts w:ascii="宋体" w:hAnsi="宋体" w:cs="宋体" w:eastAsia="宋体" w:hint="default"/>
                <w:sz w:val="12"/>
                <w:szCs w:val="12"/>
              </w:rPr>
            </w:pPr>
            <w:r>
              <w:rPr>
                <w:rFonts w:ascii="宋体"/>
                <w:w w:val="105"/>
                <w:sz w:val="12"/>
              </w:rPr>
              <w:t>588,256</w:t>
            </w:r>
            <w:r>
              <w:rPr>
                <w:rFonts w:ascii="宋体"/>
                <w:sz w:val="12"/>
              </w:rPr>
            </w:r>
          </w:p>
          <w:p>
            <w:pPr>
              <w:pStyle w:val="TableParagraph"/>
              <w:spacing w:line="129" w:lineRule="exact"/>
              <w:ind w:left="821"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34" w:hRule="exact"/>
        </w:trPr>
        <w:tc>
          <w:tcPr>
            <w:tcW w:w="2552" w:type="dxa"/>
            <w:tcBorders>
              <w:top w:val="nil" w:sz="6" w:space="0" w:color="auto"/>
              <w:left w:val="nil" w:sz="6" w:space="0" w:color="auto"/>
              <w:bottom w:val="nil" w:sz="6" w:space="0" w:color="auto"/>
              <w:right w:val="nil" w:sz="6" w:space="0" w:color="auto"/>
            </w:tcBorders>
          </w:tcPr>
          <w:p>
            <w:pPr>
              <w:pStyle w:val="TableParagraph"/>
              <w:spacing w:line="129" w:lineRule="exact" w:before="10"/>
              <w:ind w:left="58" w:right="0"/>
              <w:jc w:val="left"/>
              <w:rPr>
                <w:rFonts w:ascii="宋体" w:hAnsi="宋体" w:cs="宋体" w:eastAsia="宋体" w:hint="default"/>
                <w:sz w:val="12"/>
                <w:szCs w:val="12"/>
              </w:rPr>
            </w:pPr>
            <w:r>
              <w:rPr>
                <w:rFonts w:ascii="宋体" w:hAnsi="宋体" w:cs="宋体" w:eastAsia="宋体" w:hint="default"/>
                <w:w w:val="110"/>
                <w:sz w:val="12"/>
                <w:szCs w:val="12"/>
              </w:rPr>
              <w:t>2018</w:t>
            </w:r>
            <w:r>
              <w:rPr>
                <w:rFonts w:ascii="宋体" w:hAnsi="宋体" w:cs="宋体" w:eastAsia="宋体" w:hint="default"/>
                <w:spacing w:val="-47"/>
                <w:w w:val="110"/>
                <w:sz w:val="12"/>
                <w:szCs w:val="12"/>
              </w:rPr>
              <w:t> </w:t>
            </w:r>
            <w:r>
              <w:rPr>
                <w:rFonts w:ascii="宋体" w:hAnsi="宋体" w:cs="宋体" w:eastAsia="宋体" w:hint="default"/>
                <w:w w:val="110"/>
                <w:sz w:val="12"/>
                <w:szCs w:val="12"/>
              </w:rPr>
              <w:t>年中国联通四川</w:t>
            </w:r>
            <w:r>
              <w:rPr>
                <w:rFonts w:ascii="宋体" w:hAnsi="宋体" w:cs="宋体" w:eastAsia="宋体" w:hint="default"/>
                <w:spacing w:val="-46"/>
                <w:w w:val="110"/>
                <w:sz w:val="12"/>
                <w:szCs w:val="12"/>
              </w:rPr>
              <w:t> </w:t>
            </w:r>
            <w:r>
              <w:rPr>
                <w:rFonts w:ascii="宋体" w:hAnsi="宋体" w:cs="宋体" w:eastAsia="宋体" w:hint="default"/>
                <w:w w:val="110"/>
                <w:sz w:val="12"/>
                <w:szCs w:val="12"/>
              </w:rPr>
              <w:t>LTE-FDD</w:t>
            </w:r>
            <w:r>
              <w:rPr>
                <w:rFonts w:ascii="宋体" w:hAnsi="宋体" w:cs="宋体" w:eastAsia="宋体" w:hint="default"/>
                <w:sz w:val="12"/>
                <w:szCs w:val="12"/>
              </w:rPr>
            </w:r>
          </w:p>
          <w:p>
            <w:pPr>
              <w:pStyle w:val="TableParagraph"/>
              <w:spacing w:line="100" w:lineRule="exact"/>
              <w:ind w:right="53"/>
              <w:jc w:val="right"/>
              <w:rPr>
                <w:rFonts w:ascii="宋体" w:hAnsi="宋体" w:cs="宋体" w:eastAsia="宋体" w:hint="default"/>
                <w:sz w:val="12"/>
                <w:szCs w:val="12"/>
              </w:rPr>
            </w:pPr>
            <w:r>
              <w:rPr>
                <w:rFonts w:ascii="宋体"/>
                <w:w w:val="110"/>
                <w:sz w:val="12"/>
              </w:rPr>
              <w:t>84</w:t>
            </w:r>
            <w:r>
              <w:rPr>
                <w:rFonts w:ascii="宋体"/>
                <w:sz w:val="12"/>
              </w:rPr>
            </w:r>
          </w:p>
          <w:p>
            <w:pPr>
              <w:pStyle w:val="TableParagraph"/>
              <w:spacing w:line="128" w:lineRule="exact"/>
              <w:ind w:left="58" w:right="0"/>
              <w:jc w:val="left"/>
              <w:rPr>
                <w:rFonts w:ascii="宋体" w:hAnsi="宋体" w:cs="宋体" w:eastAsia="宋体" w:hint="default"/>
                <w:sz w:val="12"/>
                <w:szCs w:val="12"/>
              </w:rPr>
            </w:pPr>
            <w:r>
              <w:rPr>
                <w:rFonts w:ascii="宋体" w:hAnsi="宋体" w:cs="宋体" w:eastAsia="宋体" w:hint="default"/>
                <w:sz w:val="12"/>
                <w:szCs w:val="12"/>
              </w:rPr>
              <w:t>无线网新建（成都）工程</w:t>
            </w:r>
          </w:p>
        </w:tc>
        <w:tc>
          <w:tcPr>
            <w:tcW w:w="71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1"/>
              <w:jc w:val="right"/>
              <w:rPr>
                <w:rFonts w:ascii="宋体" w:hAnsi="宋体" w:cs="宋体" w:eastAsia="宋体" w:hint="default"/>
                <w:sz w:val="12"/>
                <w:szCs w:val="12"/>
              </w:rPr>
            </w:pPr>
            <w:r>
              <w:rPr>
                <w:rFonts w:ascii="宋体"/>
                <w:w w:val="95"/>
                <w:sz w:val="12"/>
              </w:rPr>
              <w:t>81,526,126</w:t>
            </w:r>
            <w:r>
              <w:rPr>
                <w:rFonts w:ascii="宋体"/>
                <w:sz w:val="12"/>
              </w:rPr>
            </w:r>
          </w:p>
        </w:tc>
        <w:tc>
          <w:tcPr>
            <w:tcW w:w="836"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7"/>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1"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4"/>
              <w:jc w:val="right"/>
              <w:rPr>
                <w:rFonts w:ascii="宋体" w:hAnsi="宋体" w:cs="宋体" w:eastAsia="宋体" w:hint="default"/>
                <w:sz w:val="12"/>
                <w:szCs w:val="12"/>
              </w:rPr>
            </w:pPr>
            <w:r>
              <w:rPr>
                <w:rFonts w:ascii="宋体"/>
                <w:w w:val="95"/>
                <w:sz w:val="12"/>
              </w:rPr>
              <w:t>81,526,126</w:t>
            </w:r>
            <w:r>
              <w:rPr>
                <w:rFonts w:ascii="宋体"/>
                <w:sz w:val="12"/>
              </w:rPr>
            </w:r>
          </w:p>
        </w:tc>
        <w:tc>
          <w:tcPr>
            <w:tcW w:w="73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
              <w:jc w:val="center"/>
              <w:rPr>
                <w:rFonts w:ascii="宋体" w:hAnsi="宋体" w:cs="宋体" w:eastAsia="宋体" w:hint="default"/>
                <w:sz w:val="12"/>
                <w:szCs w:val="12"/>
              </w:rPr>
            </w:pPr>
            <w:r>
              <w:rPr>
                <w:rFonts w:ascii="宋体"/>
                <w:w w:val="140"/>
                <w:sz w:val="12"/>
              </w:rPr>
              <w:t>97%</w:t>
            </w:r>
            <w:r>
              <w:rPr>
                <w:rFonts w:ascii="宋体"/>
                <w:sz w:val="12"/>
              </w:rPr>
            </w:r>
          </w:p>
        </w:tc>
        <w:tc>
          <w:tcPr>
            <w:tcW w:w="69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2"/>
              <w:jc w:val="right"/>
              <w:rPr>
                <w:rFonts w:ascii="宋体" w:hAnsi="宋体" w:cs="宋体" w:eastAsia="宋体" w:hint="default"/>
                <w:sz w:val="12"/>
                <w:szCs w:val="12"/>
              </w:rPr>
            </w:pPr>
            <w:r>
              <w:rPr>
                <w:rFonts w:ascii="宋体"/>
                <w:sz w:val="12"/>
              </w:rPr>
              <w:t>513,709</w:t>
            </w:r>
          </w:p>
        </w:tc>
        <w:tc>
          <w:tcPr>
            <w:tcW w:w="1477" w:type="dxa"/>
            <w:tcBorders>
              <w:top w:val="nil" w:sz="6" w:space="0" w:color="auto"/>
              <w:left w:val="nil" w:sz="6" w:space="0" w:color="auto"/>
              <w:bottom w:val="nil" w:sz="6" w:space="0" w:color="auto"/>
              <w:right w:val="nil" w:sz="6" w:space="0" w:color="auto"/>
            </w:tcBorders>
          </w:tcPr>
          <w:p>
            <w:pPr>
              <w:pStyle w:val="TableParagraph"/>
              <w:spacing w:line="128" w:lineRule="exact" w:before="11"/>
              <w:ind w:left="822" w:right="0"/>
              <w:jc w:val="left"/>
              <w:rPr>
                <w:rFonts w:ascii="宋体" w:hAnsi="宋体" w:cs="宋体" w:eastAsia="宋体" w:hint="default"/>
                <w:sz w:val="12"/>
                <w:szCs w:val="12"/>
              </w:rPr>
            </w:pPr>
            <w:r>
              <w:rPr>
                <w:rFonts w:ascii="宋体" w:hAnsi="宋体" w:cs="宋体" w:eastAsia="宋体" w:hint="default"/>
                <w:sz w:val="12"/>
                <w:szCs w:val="12"/>
              </w:rPr>
              <w:t>自筹、借款</w:t>
            </w:r>
          </w:p>
          <w:p>
            <w:pPr>
              <w:pStyle w:val="TableParagraph"/>
              <w:spacing w:line="100" w:lineRule="exact"/>
              <w:ind w:left="254" w:right="0"/>
              <w:jc w:val="left"/>
              <w:rPr>
                <w:rFonts w:ascii="宋体" w:hAnsi="宋体" w:cs="宋体" w:eastAsia="宋体" w:hint="default"/>
                <w:sz w:val="12"/>
                <w:szCs w:val="12"/>
              </w:rPr>
            </w:pPr>
            <w:r>
              <w:rPr>
                <w:rFonts w:ascii="宋体"/>
                <w:w w:val="105"/>
                <w:sz w:val="12"/>
              </w:rPr>
              <w:t>513,709</w:t>
            </w:r>
            <w:r>
              <w:rPr>
                <w:rFonts w:ascii="宋体"/>
                <w:sz w:val="12"/>
              </w:rPr>
            </w:r>
          </w:p>
          <w:p>
            <w:pPr>
              <w:pStyle w:val="TableParagraph"/>
              <w:spacing w:line="129" w:lineRule="exact"/>
              <w:ind w:left="822" w:right="0"/>
              <w:jc w:val="left"/>
              <w:rPr>
                <w:rFonts w:ascii="宋体" w:hAnsi="宋体" w:cs="宋体" w:eastAsia="宋体" w:hint="default"/>
                <w:sz w:val="12"/>
                <w:szCs w:val="12"/>
              </w:rPr>
            </w:pPr>
            <w:r>
              <w:rPr>
                <w:rFonts w:ascii="宋体" w:hAnsi="宋体" w:cs="宋体" w:eastAsia="宋体" w:hint="default"/>
                <w:sz w:val="12"/>
                <w:szCs w:val="12"/>
              </w:rPr>
              <w:t>及募集资金</w:t>
            </w:r>
          </w:p>
        </w:tc>
      </w:tr>
      <w:tr>
        <w:trPr>
          <w:trHeight w:val="492" w:hRule="exact"/>
        </w:trPr>
        <w:tc>
          <w:tcPr>
            <w:tcW w:w="2552" w:type="dxa"/>
            <w:tcBorders>
              <w:top w:val="nil" w:sz="6" w:space="0" w:color="auto"/>
              <w:left w:val="nil" w:sz="6" w:space="0" w:color="auto"/>
              <w:bottom w:val="single" w:sz="6" w:space="0" w:color="000000"/>
              <w:right w:val="nil" w:sz="6" w:space="0" w:color="auto"/>
            </w:tcBorders>
          </w:tcPr>
          <w:p>
            <w:pPr>
              <w:pStyle w:val="TableParagraph"/>
              <w:spacing w:line="129" w:lineRule="exact" w:before="10"/>
              <w:ind w:left="58" w:right="0"/>
              <w:jc w:val="left"/>
              <w:rPr>
                <w:rFonts w:ascii="宋体" w:hAnsi="宋体" w:cs="宋体" w:eastAsia="宋体" w:hint="default"/>
                <w:sz w:val="12"/>
                <w:szCs w:val="12"/>
              </w:rPr>
            </w:pPr>
            <w:r>
              <w:rPr>
                <w:rFonts w:ascii="宋体" w:hAnsi="宋体" w:cs="宋体" w:eastAsia="宋体" w:hint="default"/>
                <w:sz w:val="12"/>
                <w:szCs w:val="12"/>
              </w:rPr>
              <w:t>2018</w:t>
            </w:r>
            <w:r>
              <w:rPr>
                <w:rFonts w:ascii="宋体" w:hAnsi="宋体" w:cs="宋体" w:eastAsia="宋体" w:hint="default"/>
                <w:spacing w:val="-5"/>
                <w:sz w:val="12"/>
                <w:szCs w:val="12"/>
              </w:rPr>
              <w:t> </w:t>
            </w:r>
            <w:r>
              <w:rPr>
                <w:rFonts w:ascii="宋体" w:hAnsi="宋体" w:cs="宋体" w:eastAsia="宋体" w:hint="default"/>
                <w:sz w:val="12"/>
                <w:szCs w:val="12"/>
              </w:rPr>
              <w:t>年中国联通天津市分公司空</w:t>
            </w:r>
          </w:p>
          <w:p>
            <w:pPr>
              <w:pStyle w:val="TableParagraph"/>
              <w:spacing w:line="100" w:lineRule="exact"/>
              <w:ind w:right="53"/>
              <w:jc w:val="right"/>
              <w:rPr>
                <w:rFonts w:ascii="宋体" w:hAnsi="宋体" w:cs="宋体" w:eastAsia="宋体" w:hint="default"/>
                <w:sz w:val="12"/>
                <w:szCs w:val="12"/>
              </w:rPr>
            </w:pPr>
            <w:r>
              <w:rPr>
                <w:rFonts w:ascii="宋体"/>
                <w:w w:val="110"/>
                <w:sz w:val="12"/>
              </w:rPr>
              <w:t>79</w:t>
            </w:r>
            <w:r>
              <w:rPr>
                <w:rFonts w:ascii="宋体"/>
                <w:sz w:val="12"/>
              </w:rPr>
            </w:r>
          </w:p>
          <w:p>
            <w:pPr>
              <w:pStyle w:val="TableParagraph"/>
              <w:spacing w:line="128" w:lineRule="exact"/>
              <w:ind w:left="58" w:right="0"/>
              <w:jc w:val="left"/>
              <w:rPr>
                <w:rFonts w:ascii="宋体" w:hAnsi="宋体" w:cs="宋体" w:eastAsia="宋体" w:hint="default"/>
                <w:sz w:val="12"/>
                <w:szCs w:val="12"/>
              </w:rPr>
            </w:pPr>
            <w:r>
              <w:rPr>
                <w:rFonts w:ascii="宋体" w:hAnsi="宋体" w:cs="宋体" w:eastAsia="宋体" w:hint="default"/>
                <w:sz w:val="12"/>
                <w:szCs w:val="12"/>
              </w:rPr>
              <w:t>港数据新建工程</w:t>
            </w:r>
          </w:p>
        </w:tc>
        <w:tc>
          <w:tcPr>
            <w:tcW w:w="710"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1"/>
              <w:jc w:val="right"/>
              <w:rPr>
                <w:rFonts w:ascii="宋体" w:hAnsi="宋体" w:cs="宋体" w:eastAsia="宋体" w:hint="default"/>
                <w:sz w:val="12"/>
                <w:szCs w:val="12"/>
              </w:rPr>
            </w:pPr>
            <w:r>
              <w:rPr>
                <w:rFonts w:ascii="宋体"/>
                <w:w w:val="95"/>
                <w:sz w:val="12"/>
              </w:rPr>
              <w:t>79,642,224</w:t>
            </w:r>
            <w:r>
              <w:rPr>
                <w:rFonts w:ascii="宋体"/>
                <w:sz w:val="12"/>
              </w:rPr>
            </w:r>
          </w:p>
        </w:tc>
        <w:tc>
          <w:tcPr>
            <w:tcW w:w="836"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7"/>
              <w:jc w:val="center"/>
              <w:rPr>
                <w:rFonts w:ascii="宋体" w:hAnsi="宋体" w:cs="宋体" w:eastAsia="宋体" w:hint="default"/>
                <w:sz w:val="12"/>
                <w:szCs w:val="12"/>
              </w:rPr>
            </w:pPr>
            <w:r>
              <w:rPr>
                <w:rFonts w:ascii="宋体"/>
                <w:w w:val="131"/>
                <w:sz w:val="12"/>
              </w:rPr>
              <w:t>-</w:t>
            </w:r>
            <w:r>
              <w:rPr>
                <w:rFonts w:ascii="宋体"/>
                <w:sz w:val="12"/>
              </w:rPr>
            </w:r>
          </w:p>
        </w:tc>
        <w:tc>
          <w:tcPr>
            <w:tcW w:w="435"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2"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4"/>
              <w:jc w:val="right"/>
              <w:rPr>
                <w:rFonts w:ascii="宋体" w:hAnsi="宋体" w:cs="宋体" w:eastAsia="宋体" w:hint="default"/>
                <w:sz w:val="12"/>
                <w:szCs w:val="12"/>
              </w:rPr>
            </w:pPr>
            <w:r>
              <w:rPr>
                <w:rFonts w:ascii="宋体"/>
                <w:w w:val="95"/>
                <w:sz w:val="12"/>
              </w:rPr>
              <w:t>79,642,224</w:t>
            </w:r>
            <w:r>
              <w:rPr>
                <w:rFonts w:ascii="宋体"/>
                <w:sz w:val="12"/>
              </w:rPr>
            </w:r>
          </w:p>
        </w:tc>
        <w:tc>
          <w:tcPr>
            <w:tcW w:w="733"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9"/>
              <w:jc w:val="center"/>
              <w:rPr>
                <w:rFonts w:ascii="宋体" w:hAnsi="宋体" w:cs="宋体" w:eastAsia="宋体" w:hint="default"/>
                <w:sz w:val="12"/>
                <w:szCs w:val="12"/>
              </w:rPr>
            </w:pPr>
            <w:r>
              <w:rPr>
                <w:rFonts w:ascii="宋体"/>
                <w:w w:val="135"/>
                <w:sz w:val="12"/>
              </w:rPr>
              <w:t>100%</w:t>
            </w:r>
            <w:r>
              <w:rPr>
                <w:rFonts w:ascii="宋体"/>
                <w:sz w:val="12"/>
              </w:rPr>
            </w:r>
          </w:p>
        </w:tc>
        <w:tc>
          <w:tcPr>
            <w:tcW w:w="694"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82"/>
              <w:jc w:val="right"/>
              <w:rPr>
                <w:rFonts w:ascii="宋体" w:hAnsi="宋体" w:cs="宋体" w:eastAsia="宋体" w:hint="default"/>
                <w:sz w:val="12"/>
                <w:szCs w:val="12"/>
              </w:rPr>
            </w:pPr>
            <w:r>
              <w:rPr>
                <w:rFonts w:ascii="宋体"/>
                <w:sz w:val="12"/>
              </w:rPr>
              <w:t>127,818</w:t>
            </w:r>
          </w:p>
        </w:tc>
        <w:tc>
          <w:tcPr>
            <w:tcW w:w="1477" w:type="dxa"/>
            <w:tcBorders>
              <w:top w:val="nil" w:sz="6" w:space="0" w:color="auto"/>
              <w:left w:val="nil" w:sz="6" w:space="0" w:color="auto"/>
              <w:bottom w:val="single" w:sz="6" w:space="0" w:color="000000"/>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52"/>
              <w:jc w:val="right"/>
              <w:rPr>
                <w:rFonts w:ascii="宋体" w:hAnsi="宋体" w:cs="宋体" w:eastAsia="宋体" w:hint="default"/>
                <w:sz w:val="12"/>
                <w:szCs w:val="12"/>
              </w:rPr>
            </w:pPr>
            <w:r>
              <w:rPr>
                <w:rFonts w:ascii="宋体" w:hAnsi="宋体" w:cs="宋体" w:eastAsia="宋体" w:hint="default"/>
                <w:sz w:val="12"/>
                <w:szCs w:val="12"/>
              </w:rPr>
              <w:t>127,818 </w:t>
            </w:r>
            <w:r>
              <w:rPr>
                <w:rFonts w:ascii="宋体" w:hAnsi="宋体" w:cs="宋体" w:eastAsia="宋体" w:hint="default"/>
                <w:spacing w:val="27"/>
                <w:sz w:val="12"/>
                <w:szCs w:val="12"/>
              </w:rPr>
              <w:t> </w:t>
            </w:r>
            <w:r>
              <w:rPr>
                <w:rFonts w:ascii="宋体" w:hAnsi="宋体" w:cs="宋体" w:eastAsia="宋体" w:hint="default"/>
                <w:sz w:val="12"/>
                <w:szCs w:val="12"/>
              </w:rPr>
              <w:t>自筹及借款</w:t>
            </w:r>
          </w:p>
        </w:tc>
      </w:tr>
      <w:tr>
        <w:trPr>
          <w:trHeight w:val="350" w:hRule="exact"/>
        </w:trPr>
        <w:tc>
          <w:tcPr>
            <w:tcW w:w="2552"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56"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710"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7"/>
              <w:jc w:val="center"/>
              <w:rPr>
                <w:rFonts w:ascii="宋体" w:hAnsi="宋体" w:cs="宋体" w:eastAsia="宋体" w:hint="default"/>
                <w:sz w:val="12"/>
                <w:szCs w:val="12"/>
              </w:rPr>
            </w:pPr>
            <w:r>
              <w:rPr>
                <w:rFonts w:ascii="宋体"/>
                <w:w w:val="131"/>
                <w:sz w:val="12"/>
              </w:rPr>
              <w:t>-</w:t>
            </w:r>
            <w:r>
              <w:rPr>
                <w:rFonts w:ascii="宋体"/>
                <w:sz w:val="12"/>
              </w:rPr>
            </w:r>
          </w:p>
        </w:tc>
        <w:tc>
          <w:tcPr>
            <w:tcW w:w="906"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73"/>
              <w:jc w:val="right"/>
              <w:rPr>
                <w:rFonts w:ascii="宋体" w:hAnsi="宋体" w:cs="宋体" w:eastAsia="宋体" w:hint="default"/>
                <w:sz w:val="12"/>
                <w:szCs w:val="12"/>
              </w:rPr>
            </w:pPr>
            <w:r>
              <w:rPr>
                <w:rFonts w:ascii="宋体"/>
                <w:w w:val="95"/>
                <w:sz w:val="12"/>
              </w:rPr>
              <w:t>1,272,442,714</w:t>
            </w:r>
            <w:r>
              <w:rPr>
                <w:rFonts w:ascii="宋体"/>
                <w:sz w:val="12"/>
              </w:rPr>
            </w:r>
          </w:p>
        </w:tc>
        <w:tc>
          <w:tcPr>
            <w:tcW w:w="836"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21"/>
              <w:jc w:val="center"/>
              <w:rPr>
                <w:rFonts w:ascii="宋体" w:hAnsi="宋体" w:cs="宋体" w:eastAsia="宋体" w:hint="default"/>
                <w:sz w:val="12"/>
                <w:szCs w:val="12"/>
              </w:rPr>
            </w:pPr>
            <w:r>
              <w:rPr>
                <w:rFonts w:ascii="宋体"/>
                <w:w w:val="95"/>
                <w:sz w:val="12"/>
              </w:rPr>
              <w:t>(66,906,084)</w:t>
            </w:r>
            <w:r>
              <w:rPr>
                <w:rFonts w:ascii="宋体"/>
                <w:sz w:val="12"/>
              </w:rPr>
            </w:r>
          </w:p>
        </w:tc>
        <w:tc>
          <w:tcPr>
            <w:tcW w:w="435"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0"/>
              <w:jc w:val="center"/>
              <w:rPr>
                <w:rFonts w:ascii="宋体" w:hAnsi="宋体" w:cs="宋体" w:eastAsia="宋体" w:hint="default"/>
                <w:sz w:val="12"/>
                <w:szCs w:val="12"/>
              </w:rPr>
            </w:pPr>
            <w:r>
              <w:rPr>
                <w:rFonts w:ascii="宋体"/>
                <w:w w:val="131"/>
                <w:sz w:val="12"/>
              </w:rPr>
              <w:t>-</w:t>
            </w:r>
            <w:r>
              <w:rPr>
                <w:rFonts w:ascii="宋体"/>
                <w:sz w:val="12"/>
              </w:rPr>
            </w:r>
          </w:p>
        </w:tc>
        <w:tc>
          <w:tcPr>
            <w:tcW w:w="953"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86"/>
              <w:jc w:val="right"/>
              <w:rPr>
                <w:rFonts w:ascii="宋体" w:hAnsi="宋体" w:cs="宋体" w:eastAsia="宋体" w:hint="default"/>
                <w:sz w:val="12"/>
                <w:szCs w:val="12"/>
              </w:rPr>
            </w:pPr>
            <w:r>
              <w:rPr>
                <w:rFonts w:ascii="宋体"/>
                <w:w w:val="95"/>
                <w:sz w:val="12"/>
              </w:rPr>
              <w:t>1,205,536,630</w:t>
            </w:r>
            <w:r>
              <w:rPr>
                <w:rFonts w:ascii="宋体"/>
                <w:sz w:val="12"/>
              </w:rPr>
            </w:r>
          </w:p>
        </w:tc>
        <w:tc>
          <w:tcPr>
            <w:tcW w:w="733" w:type="dxa"/>
            <w:tcBorders>
              <w:top w:val="single" w:sz="6" w:space="0" w:color="000000"/>
              <w:left w:val="nil" w:sz="6" w:space="0" w:color="auto"/>
              <w:bottom w:val="nil" w:sz="6" w:space="0" w:color="auto"/>
              <w:right w:val="nil" w:sz="6" w:space="0" w:color="auto"/>
            </w:tcBorders>
          </w:tcPr>
          <w:p>
            <w:pPr/>
          </w:p>
        </w:tc>
        <w:tc>
          <w:tcPr>
            <w:tcW w:w="694"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86"/>
              <w:jc w:val="right"/>
              <w:rPr>
                <w:rFonts w:ascii="宋体" w:hAnsi="宋体" w:cs="宋体" w:eastAsia="宋体" w:hint="default"/>
                <w:sz w:val="12"/>
                <w:szCs w:val="12"/>
              </w:rPr>
            </w:pPr>
            <w:r>
              <w:rPr>
                <w:rFonts w:ascii="宋体"/>
                <w:w w:val="95"/>
                <w:sz w:val="12"/>
              </w:rPr>
              <w:t>6,483,803</w:t>
            </w:r>
            <w:r>
              <w:rPr>
                <w:rFonts w:ascii="宋体"/>
                <w:sz w:val="12"/>
              </w:rPr>
            </w:r>
          </w:p>
        </w:tc>
        <w:tc>
          <w:tcPr>
            <w:tcW w:w="1477"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152" w:right="0"/>
              <w:jc w:val="left"/>
              <w:rPr>
                <w:rFonts w:ascii="宋体" w:hAnsi="宋体" w:cs="宋体" w:eastAsia="宋体" w:hint="default"/>
                <w:sz w:val="12"/>
                <w:szCs w:val="12"/>
              </w:rPr>
            </w:pPr>
            <w:r>
              <w:rPr>
                <w:rFonts w:ascii="宋体"/>
                <w:sz w:val="12"/>
              </w:rPr>
              <w:t>6,483,803</w:t>
            </w:r>
          </w:p>
        </w:tc>
      </w:tr>
    </w:tbl>
    <w:p>
      <w:pPr>
        <w:spacing w:line="40" w:lineRule="exact"/>
        <w:ind w:left="43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928;height:2" coordorigin="20,20" coordsize="1928,2">
              <v:shape style="position:absolute;left:20;top:20;width:1928;height:2" coordorigin="20,20" coordsize="1928,0" path="m20,20l1948,20e" filled="false" stroked="true" strokeweight="2pt" strokecolor="#9f8958">
                <v:path arrowok="t"/>
              </v:shape>
            </v:group>
            <v:group style="position:absolute;left:1948;top:20;width:624;height:2" coordorigin="1948,20" coordsize="624,2">
              <v:shape style="position:absolute;left:1948;top:20;width:624;height:2" coordorigin="1948,20" coordsize="624,0" path="m1948,20l2571,20e" filled="false" stroked="true" strokeweight="2pt" strokecolor="#9f8958">
                <v:path arrowok="t"/>
              </v:shape>
            </v:group>
            <v:group style="position:absolute;left:2571;top:20;width:703;height:2" coordorigin="2571,20" coordsize="703,2">
              <v:shape style="position:absolute;left:2571;top:20;width:703;height:2" coordorigin="2571,20" coordsize="703,0" path="m2571,20l3274,20e" filled="false" stroked="true" strokeweight="2pt" strokecolor="#9f8958">
                <v:path arrowok="t"/>
              </v:shape>
            </v:group>
            <v:group style="position:absolute;left:3274;top:20;width:896;height:2" coordorigin="3274,20" coordsize="896,2">
              <v:shape style="position:absolute;left:3274;top:20;width:896;height:2" coordorigin="3274,20" coordsize="896,0" path="m3274,20l4170,20e" filled="false" stroked="true" strokeweight="2pt" strokecolor="#9f8958">
                <v:path arrowok="t"/>
              </v:shape>
            </v:group>
            <v:group style="position:absolute;left:4170;top:20;width:851;height:2" coordorigin="4170,20" coordsize="851,2">
              <v:shape style="position:absolute;left:4170;top:20;width:851;height:2" coordorigin="4170,20" coordsize="851,0" path="m4170,20l5020,20e" filled="false" stroked="true" strokeweight="2pt" strokecolor="#9f8958">
                <v:path arrowok="t"/>
              </v:shape>
            </v:group>
            <v:group style="position:absolute;left:5020;top:20;width:443;height:2" coordorigin="5020,20" coordsize="443,2">
              <v:shape style="position:absolute;left:5020;top:20;width:443;height:2" coordorigin="5020,20" coordsize="443,0" path="m5020,20l5463,20e" filled="false" stroked="true" strokeweight="2pt" strokecolor="#9f8958">
                <v:path arrowok="t"/>
              </v:shape>
            </v:group>
            <v:group style="position:absolute;left:5463;top:20;width:919;height:2" coordorigin="5463,20" coordsize="919,2">
              <v:shape style="position:absolute;left:5463;top:20;width:919;height:2" coordorigin="5463,20" coordsize="919,0" path="m5463,20l6381,20e" filled="false" stroked="true" strokeweight="2pt" strokecolor="#9f8958">
                <v:path arrowok="t"/>
              </v:shape>
            </v:group>
            <v:group style="position:absolute;left:6381;top:20;width:783;height:2" coordorigin="6381,20" coordsize="783,2">
              <v:shape style="position:absolute;left:6381;top:20;width:783;height:2" coordorigin="6381,20" coordsize="783,0" path="m6381,20l7163,20e" filled="false" stroked="true" strokeweight="2pt" strokecolor="#9f8958">
                <v:path arrowok="t"/>
              </v:shape>
            </v:group>
            <v:group style="position:absolute;left:7163;top:20;width:648;height:2" coordorigin="7163,20" coordsize="648,2">
              <v:shape style="position:absolute;left:7163;top:20;width:648;height:2" coordorigin="7163,20" coordsize="648,0" path="m7163,20l7810,20e" filled="false" stroked="true" strokeweight="2pt" strokecolor="#9f8958">
                <v:path arrowok="t"/>
              </v:shape>
            </v:group>
            <v:group style="position:absolute;left:7810;top:20;width:772;height:2" coordorigin="7810,20" coordsize="772,2">
              <v:shape style="position:absolute;left:7810;top:20;width:772;height:2" coordorigin="7810,20" coordsize="772,0" path="m7810,20l8582,20e" filled="false" stroked="true" strokeweight="2pt" strokecolor="#9f8958">
                <v:path arrowok="t"/>
              </v:shape>
            </v:group>
            <v:group style="position:absolute;left:8582;top:20;width:736;height:2" coordorigin="8582,20" coordsize="736,2">
              <v:shape style="position:absolute;left:8582;top:20;width:736;height:2" coordorigin="8582,20" coordsize="736,0" path="m8582,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5"/>
        <w:rPr>
          <w:rFonts w:ascii="宋体" w:hAnsi="宋体" w:cs="宋体" w:eastAsia="宋体" w:hint="default"/>
          <w:sz w:val="15"/>
          <w:szCs w:val="15"/>
        </w:rPr>
      </w:pPr>
    </w:p>
    <w:p>
      <w:pPr>
        <w:pStyle w:val="BodyText"/>
        <w:spacing w:line="285" w:lineRule="auto" w:before="31"/>
        <w:ind w:left="453" w:right="125"/>
        <w:jc w:val="left"/>
      </w:pPr>
      <w:r>
        <w:rPr>
          <w:spacing w:val="-1"/>
          <w:w w:val="73"/>
        </w:rPr>
        <w:t>(2)</w:t>
      </w:r>
      <w:r>
        <w:rPr>
          <w:spacing w:val="23"/>
          <w:w w:val="73"/>
        </w:rPr>
        <w:t> </w:t>
      </w:r>
      <w:r>
        <w:rPr>
          <w:spacing w:val="1"/>
        </w:rPr>
        <w:t>本集团对技术、性能上明显落后或已终止建设、预计将不能为本集团带来未来经济收益的在建工程计提资产减值</w:t>
      </w:r>
      <w:r>
        <w:rPr>
          <w:spacing w:val="-87"/>
        </w:rPr>
        <w:t> </w:t>
      </w:r>
      <w:r>
        <w:rPr>
          <w:spacing w:val="-87"/>
        </w:rPr>
      </w:r>
      <w:r>
        <w:rPr/>
        <w:t>准备。</w:t>
      </w:r>
    </w:p>
    <w:p>
      <w:pPr>
        <w:spacing w:line="240" w:lineRule="auto" w:before="10"/>
        <w:rPr>
          <w:rFonts w:ascii="宋体" w:hAnsi="宋体" w:cs="宋体" w:eastAsia="宋体" w:hint="default"/>
          <w:sz w:val="13"/>
          <w:szCs w:val="13"/>
        </w:rPr>
      </w:pPr>
    </w:p>
    <w:p>
      <w:pPr>
        <w:pStyle w:val="BodyText"/>
        <w:spacing w:line="240" w:lineRule="auto"/>
        <w:ind w:left="113" w:right="125"/>
        <w:jc w:val="left"/>
      </w:pPr>
      <w:r>
        <w:rPr>
          <w:w w:val="95"/>
        </w:rPr>
        <w:t>(b)</w:t>
      </w:r>
      <w:r>
        <w:rPr>
          <w:spacing w:val="-8"/>
          <w:w w:val="95"/>
        </w:rPr>
        <w:t> </w:t>
      </w:r>
      <w:r>
        <w:rPr>
          <w:w w:val="95"/>
        </w:rPr>
        <w:t>工程物资</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170"/>
        <w:gridCol w:w="2557"/>
        <w:gridCol w:w="2557"/>
      </w:tblGrid>
      <w:tr>
        <w:trPr>
          <w:trHeight w:val="350" w:hRule="exact"/>
        </w:trPr>
        <w:tc>
          <w:tcPr>
            <w:tcW w:w="4170" w:type="dxa"/>
            <w:tcBorders>
              <w:top w:val="nil" w:sz="6" w:space="0" w:color="auto"/>
              <w:left w:val="nil" w:sz="6" w:space="0" w:color="auto"/>
              <w:bottom w:val="single" w:sz="16" w:space="0" w:color="9F8958"/>
              <w:right w:val="nil" w:sz="6" w:space="0" w:color="auto"/>
            </w:tcBorders>
          </w:tcPr>
          <w:p>
            <w:pPr/>
          </w:p>
        </w:tc>
        <w:tc>
          <w:tcPr>
            <w:tcW w:w="2557"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557"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17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工程设备</w:t>
            </w:r>
          </w:p>
        </w:tc>
        <w:tc>
          <w:tcPr>
            <w:tcW w:w="255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535,869,631</w:t>
            </w:r>
          </w:p>
        </w:tc>
        <w:tc>
          <w:tcPr>
            <w:tcW w:w="255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488,437,129</w:t>
            </w:r>
          </w:p>
        </w:tc>
      </w:tr>
      <w:tr>
        <w:trPr>
          <w:trHeight w:val="273" w:hRule="exact"/>
        </w:trPr>
        <w:tc>
          <w:tcPr>
            <w:tcW w:w="4170"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工程材料</w:t>
            </w:r>
          </w:p>
        </w:tc>
        <w:tc>
          <w:tcPr>
            <w:tcW w:w="255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26,048,499</w:t>
            </w:r>
            <w:r>
              <w:rPr>
                <w:rFonts w:ascii="宋体"/>
                <w:sz w:val="16"/>
              </w:rPr>
            </w:r>
          </w:p>
        </w:tc>
        <w:tc>
          <w:tcPr>
            <w:tcW w:w="255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66,260,619</w:t>
            </w:r>
            <w:r>
              <w:rPr>
                <w:rFonts w:ascii="宋体"/>
                <w:sz w:val="16"/>
              </w:rPr>
            </w:r>
          </w:p>
        </w:tc>
      </w:tr>
      <w:tr>
        <w:trPr>
          <w:trHeight w:val="331" w:hRule="exact"/>
        </w:trPr>
        <w:tc>
          <w:tcPr>
            <w:tcW w:w="4170"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55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561,918,130</w:t>
            </w:r>
          </w:p>
        </w:tc>
        <w:tc>
          <w:tcPr>
            <w:tcW w:w="2557"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554,697,748</w:t>
            </w:r>
          </w:p>
        </w:tc>
      </w:tr>
      <w:tr>
        <w:trPr>
          <w:trHeight w:val="407" w:hRule="exact"/>
        </w:trPr>
        <w:tc>
          <w:tcPr>
            <w:tcW w:w="4170"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工程物资减值准备</w:t>
            </w:r>
          </w:p>
        </w:tc>
        <w:tc>
          <w:tcPr>
            <w:tcW w:w="2557"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(5,685,562)</w:t>
            </w:r>
            <w:r>
              <w:rPr>
                <w:rFonts w:ascii="宋体"/>
                <w:sz w:val="16"/>
              </w:rPr>
            </w:r>
          </w:p>
        </w:tc>
        <w:tc>
          <w:tcPr>
            <w:tcW w:w="2557"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(5,490,004)</w:t>
            </w:r>
            <w:r>
              <w:rPr>
                <w:rFonts w:ascii="宋体"/>
                <w:sz w:val="16"/>
              </w:rPr>
            </w:r>
          </w:p>
        </w:tc>
      </w:tr>
      <w:tr>
        <w:trPr>
          <w:trHeight w:val="414" w:hRule="exact"/>
        </w:trPr>
        <w:tc>
          <w:tcPr>
            <w:tcW w:w="417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工程物资合计</w:t>
            </w:r>
          </w:p>
        </w:tc>
        <w:tc>
          <w:tcPr>
            <w:tcW w:w="255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556,232,568</w:t>
            </w:r>
          </w:p>
        </w:tc>
        <w:tc>
          <w:tcPr>
            <w:tcW w:w="255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549,207,744</w:t>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40"/>
        </w:sectPr>
      </w:pPr>
    </w:p>
    <w:p>
      <w:pPr>
        <w:spacing w:line="240" w:lineRule="auto" w:before="3"/>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2012"/>
        <w:gridCol w:w="1524"/>
        <w:gridCol w:w="1508"/>
        <w:gridCol w:w="1679"/>
        <w:gridCol w:w="1461"/>
        <w:gridCol w:w="1487"/>
      </w:tblGrid>
      <w:tr>
        <w:trPr>
          <w:trHeight w:val="843" w:hRule="exact"/>
        </w:trPr>
        <w:tc>
          <w:tcPr>
            <w:tcW w:w="2012"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13、无形资产</w:t>
            </w:r>
          </w:p>
        </w:tc>
        <w:tc>
          <w:tcPr>
            <w:tcW w:w="1524"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73"/>
              <w:jc w:val="right"/>
              <w:rPr>
                <w:rFonts w:ascii="宋体" w:hAnsi="宋体" w:cs="宋体" w:eastAsia="宋体" w:hint="default"/>
                <w:sz w:val="16"/>
                <w:szCs w:val="16"/>
              </w:rPr>
            </w:pPr>
            <w:r>
              <w:rPr>
                <w:rFonts w:ascii="宋体" w:hAnsi="宋体" w:cs="宋体" w:eastAsia="宋体" w:hint="default"/>
                <w:sz w:val="16"/>
                <w:szCs w:val="16"/>
              </w:rPr>
              <w:t>土地使用权</w:t>
            </w:r>
          </w:p>
        </w:tc>
        <w:tc>
          <w:tcPr>
            <w:tcW w:w="1508"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33"/>
              <w:jc w:val="right"/>
              <w:rPr>
                <w:rFonts w:ascii="宋体" w:hAnsi="宋体" w:cs="宋体" w:eastAsia="宋体" w:hint="default"/>
                <w:sz w:val="16"/>
                <w:szCs w:val="16"/>
              </w:rPr>
            </w:pPr>
            <w:r>
              <w:rPr>
                <w:rFonts w:ascii="宋体" w:hAnsi="宋体" w:cs="宋体" w:eastAsia="宋体" w:hint="default"/>
                <w:sz w:val="16"/>
                <w:szCs w:val="16"/>
              </w:rPr>
              <w:t>计算机软件</w:t>
            </w:r>
          </w:p>
        </w:tc>
        <w:tc>
          <w:tcPr>
            <w:tcW w:w="1679"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62"/>
              <w:jc w:val="right"/>
              <w:rPr>
                <w:rFonts w:ascii="宋体" w:hAnsi="宋体" w:cs="宋体" w:eastAsia="宋体" w:hint="default"/>
                <w:sz w:val="16"/>
                <w:szCs w:val="16"/>
              </w:rPr>
            </w:pPr>
            <w:r>
              <w:rPr>
                <w:rFonts w:ascii="宋体" w:hAnsi="宋体" w:cs="宋体" w:eastAsia="宋体" w:hint="default"/>
                <w:sz w:val="16"/>
                <w:szCs w:val="16"/>
              </w:rPr>
              <w:t>电路及设备使用权</w:t>
            </w:r>
          </w:p>
        </w:tc>
        <w:tc>
          <w:tcPr>
            <w:tcW w:w="1461"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73"/>
              <w:jc w:val="right"/>
              <w:rPr>
                <w:rFonts w:ascii="宋体" w:hAnsi="宋体" w:cs="宋体" w:eastAsia="宋体" w:hint="default"/>
                <w:sz w:val="16"/>
                <w:szCs w:val="16"/>
              </w:rPr>
            </w:pPr>
            <w:r>
              <w:rPr>
                <w:rFonts w:ascii="宋体" w:hAnsi="宋体" w:cs="宋体" w:eastAsia="宋体" w:hint="default"/>
                <w:sz w:val="16"/>
                <w:szCs w:val="16"/>
              </w:rPr>
              <w:t>其他</w:t>
            </w:r>
          </w:p>
        </w:tc>
        <w:tc>
          <w:tcPr>
            <w:tcW w:w="148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sz w:val="16"/>
                <w:szCs w:val="16"/>
              </w:rPr>
              <w:t>合计</w:t>
            </w:r>
          </w:p>
        </w:tc>
      </w:tr>
      <w:tr>
        <w:trPr>
          <w:trHeight w:val="362" w:hRule="exact"/>
        </w:trPr>
        <w:tc>
          <w:tcPr>
            <w:tcW w:w="201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原值</w:t>
            </w:r>
          </w:p>
        </w:tc>
        <w:tc>
          <w:tcPr>
            <w:tcW w:w="1524" w:type="dxa"/>
            <w:tcBorders>
              <w:top w:val="single" w:sz="16" w:space="0" w:color="9F8958"/>
              <w:left w:val="nil" w:sz="6" w:space="0" w:color="auto"/>
              <w:bottom w:val="nil" w:sz="6" w:space="0" w:color="auto"/>
              <w:right w:val="nil" w:sz="6" w:space="0" w:color="auto"/>
            </w:tcBorders>
          </w:tcPr>
          <w:p>
            <w:pPr/>
          </w:p>
        </w:tc>
        <w:tc>
          <w:tcPr>
            <w:tcW w:w="1508" w:type="dxa"/>
            <w:tcBorders>
              <w:top w:val="single" w:sz="16" w:space="0" w:color="9F8958"/>
              <w:left w:val="nil" w:sz="6" w:space="0" w:color="auto"/>
              <w:bottom w:val="nil" w:sz="6" w:space="0" w:color="auto"/>
              <w:right w:val="nil" w:sz="6" w:space="0" w:color="auto"/>
            </w:tcBorders>
          </w:tcPr>
          <w:p>
            <w:pPr/>
          </w:p>
        </w:tc>
        <w:tc>
          <w:tcPr>
            <w:tcW w:w="1679" w:type="dxa"/>
            <w:tcBorders>
              <w:top w:val="single" w:sz="16" w:space="0" w:color="9F8958"/>
              <w:left w:val="nil" w:sz="6" w:space="0" w:color="auto"/>
              <w:bottom w:val="nil" w:sz="6" w:space="0" w:color="auto"/>
              <w:right w:val="nil" w:sz="6" w:space="0" w:color="auto"/>
            </w:tcBorders>
          </w:tcPr>
          <w:p>
            <w:pPr/>
          </w:p>
        </w:tc>
        <w:tc>
          <w:tcPr>
            <w:tcW w:w="1461" w:type="dxa"/>
            <w:tcBorders>
              <w:top w:val="single" w:sz="16" w:space="0" w:color="9F8958"/>
              <w:left w:val="nil" w:sz="6" w:space="0" w:color="auto"/>
              <w:bottom w:val="nil" w:sz="6" w:space="0" w:color="auto"/>
              <w:right w:val="nil" w:sz="6" w:space="0" w:color="auto"/>
            </w:tcBorders>
          </w:tcPr>
          <w:p>
            <w:pPr/>
          </w:p>
        </w:tc>
        <w:tc>
          <w:tcPr>
            <w:tcW w:w="1487" w:type="dxa"/>
            <w:tcBorders>
              <w:top w:val="single" w:sz="16" w:space="0" w:color="9F8958"/>
              <w:left w:val="nil" w:sz="6" w:space="0" w:color="auto"/>
              <w:bottom w:val="nil" w:sz="6" w:space="0" w:color="auto"/>
              <w:right w:val="nil" w:sz="6" w:space="0" w:color="auto"/>
            </w:tcBorders>
          </w:tcPr>
          <w:p>
            <w:pPr/>
          </w:p>
        </w:tc>
      </w:tr>
      <w:tr>
        <w:trPr>
          <w:trHeight w:val="2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年初余额</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5"/>
                <w:sz w:val="16"/>
              </w:rPr>
              <w:t>20,430,085,562</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5"/>
                <w:sz w:val="16"/>
              </w:rPr>
              <w:t>27,157,975,789</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5"/>
                <w:sz w:val="16"/>
              </w:rPr>
              <w:t>1,121,167,668</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5"/>
                <w:sz w:val="16"/>
              </w:rPr>
              <w:t>1,464,402,388</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50,173,631,407</w:t>
            </w:r>
            <w:r>
              <w:rPr>
                <w:rFonts w:ascii="宋体"/>
                <w:sz w:val="16"/>
              </w:rPr>
            </w:r>
          </w:p>
        </w:tc>
      </w:tr>
      <w:tr>
        <w:trPr>
          <w:trHeight w:val="2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sz w:val="16"/>
              </w:rPr>
              <w:t>286,460,450</w:t>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5"/>
                <w:sz w:val="16"/>
              </w:rPr>
              <w:t>3,862,489,913</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5"/>
                <w:sz w:val="16"/>
              </w:rPr>
              <w:t>10,480,034</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sz w:val="16"/>
              </w:rPr>
              <w:t>974,692,112</w:t>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5,134,122,509</w:t>
            </w:r>
            <w:r>
              <w:rPr>
                <w:rFonts w:ascii="宋体"/>
                <w:sz w:val="16"/>
              </w:rPr>
            </w:r>
          </w:p>
        </w:tc>
      </w:tr>
      <w:tr>
        <w:trPr>
          <w:trHeight w:val="2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6"/>
              <w:jc w:val="righ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购置</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5"/>
                <w:sz w:val="16"/>
              </w:rPr>
              <w:t>14,924,693</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sz w:val="16"/>
              </w:rPr>
              <w:t>169,636,291</w:t>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131"/>
                <w:sz w:val="16"/>
              </w:rPr>
              <w:t>-</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sz w:val="16"/>
              </w:rPr>
              <w:t>579,886,178</w:t>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764,447,162</w:t>
            </w:r>
          </w:p>
        </w:tc>
      </w:tr>
      <w:tr>
        <w:trPr>
          <w:trHeight w:val="4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829" w:right="236"/>
              <w:jc w:val="left"/>
              <w:rPr>
                <w:rFonts w:ascii="宋体" w:hAnsi="宋体" w:cs="宋体" w:eastAsia="宋体" w:hint="default"/>
                <w:sz w:val="16"/>
                <w:szCs w:val="16"/>
              </w:rPr>
            </w:pPr>
            <w:r>
              <w:rPr>
                <w:rFonts w:ascii="宋体" w:hAnsi="宋体" w:cs="宋体" w:eastAsia="宋体" w:hint="default"/>
                <w:w w:val="105"/>
                <w:sz w:val="16"/>
                <w:szCs w:val="16"/>
              </w:rPr>
              <w:t>-</w:t>
            </w:r>
            <w:r>
              <w:rPr>
                <w:rFonts w:ascii="宋体" w:hAnsi="宋体" w:cs="宋体" w:eastAsia="宋体" w:hint="default"/>
                <w:spacing w:val="-62"/>
                <w:w w:val="105"/>
                <w:sz w:val="16"/>
                <w:szCs w:val="16"/>
              </w:rPr>
              <w:t> </w:t>
            </w:r>
            <w:r>
              <w:rPr>
                <w:rFonts w:ascii="宋体" w:hAnsi="宋体" w:cs="宋体" w:eastAsia="宋体" w:hint="default"/>
                <w:w w:val="105"/>
                <w:sz w:val="16"/>
                <w:szCs w:val="16"/>
              </w:rPr>
              <w:t>在建工程转</w:t>
            </w:r>
            <w:r>
              <w:rPr>
                <w:rFonts w:ascii="宋体" w:hAnsi="宋体" w:cs="宋体" w:eastAsia="宋体" w:hint="default"/>
                <w:sz w:val="16"/>
                <w:szCs w:val="16"/>
              </w:rPr>
              <w:t> </w:t>
            </w:r>
            <w:r>
              <w:rPr>
                <w:rFonts w:ascii="宋体" w:hAnsi="宋体" w:cs="宋体" w:eastAsia="宋体" w:hint="default"/>
                <w:w w:val="105"/>
                <w:sz w:val="16"/>
                <w:szCs w:val="16"/>
              </w:rPr>
              <w:t>入</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sz w:val="16"/>
              </w:rPr>
              <w:t>271,535,757</w:t>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5"/>
                <w:sz w:val="16"/>
              </w:rPr>
              <w:t>3,692,853,622</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5"/>
                <w:sz w:val="16"/>
              </w:rPr>
              <w:t>10,480,034</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sz w:val="16"/>
              </w:rPr>
              <w:t>394,805,934</w:t>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4,369,675,347</w:t>
            </w:r>
            <w:r>
              <w:rPr>
                <w:rFonts w:ascii="宋体"/>
                <w:sz w:val="16"/>
              </w:rPr>
            </w:r>
          </w:p>
        </w:tc>
      </w:tr>
      <w:tr>
        <w:trPr>
          <w:trHeight w:val="2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本年处置</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(5,264,320)</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0"/>
                <w:sz w:val="16"/>
              </w:rPr>
              <w:t>(2,064,737,652)</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0"/>
                <w:sz w:val="16"/>
              </w:rPr>
              <w:t>(6,147,965)</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(160,938,204)</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(2,237,088,141)</w:t>
            </w:r>
            <w:r>
              <w:rPr>
                <w:rFonts w:ascii="宋体"/>
                <w:sz w:val="16"/>
              </w:rPr>
            </w:r>
          </w:p>
        </w:tc>
      </w:tr>
      <w:tr>
        <w:trPr>
          <w:trHeight w:val="217"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年末余额</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5"/>
                <w:sz w:val="16"/>
              </w:rPr>
              <w:t>20,711,281,692</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5"/>
                <w:sz w:val="16"/>
              </w:rPr>
              <w:t>28,955,728,050</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1"/>
              <w:jc w:val="right"/>
              <w:rPr>
                <w:rFonts w:ascii="宋体" w:hAnsi="宋体" w:cs="宋体" w:eastAsia="宋体" w:hint="default"/>
                <w:sz w:val="16"/>
                <w:szCs w:val="16"/>
              </w:rPr>
            </w:pPr>
            <w:r>
              <w:rPr>
                <w:rFonts w:ascii="宋体"/>
                <w:w w:val="95"/>
                <w:sz w:val="16"/>
              </w:rPr>
              <w:t>1,125,499,737</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5"/>
                <w:sz w:val="16"/>
              </w:rPr>
              <w:t>2,278,156,296</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53,070,665,775</w:t>
            </w:r>
            <w:r>
              <w:rPr>
                <w:rFonts w:ascii="宋体"/>
                <w:sz w:val="16"/>
              </w:rPr>
            </w:r>
          </w:p>
        </w:tc>
      </w:tr>
      <w:tr>
        <w:trPr>
          <w:trHeight w:val="46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488" w:right="0"/>
              <w:jc w:val="left"/>
              <w:rPr>
                <w:rFonts w:ascii="宋体" w:hAnsi="宋体" w:cs="宋体" w:eastAsia="宋体" w:hint="default"/>
                <w:sz w:val="16"/>
                <w:szCs w:val="16"/>
              </w:rPr>
            </w:pPr>
            <w:r>
              <w:rPr>
                <w:rFonts w:ascii="宋体" w:hAnsi="宋体" w:cs="宋体" w:eastAsia="宋体" w:hint="default"/>
                <w:sz w:val="16"/>
                <w:szCs w:val="16"/>
              </w:rPr>
              <w:t>累计摊销</w:t>
            </w:r>
          </w:p>
        </w:tc>
        <w:tc>
          <w:tcPr>
            <w:tcW w:w="1524"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1461" w:type="dxa"/>
            <w:tcBorders>
              <w:top w:val="nil" w:sz="6" w:space="0" w:color="auto"/>
              <w:left w:val="nil" w:sz="6" w:space="0" w:color="auto"/>
              <w:bottom w:val="nil" w:sz="6" w:space="0" w:color="auto"/>
              <w:right w:val="nil" w:sz="6" w:space="0" w:color="auto"/>
            </w:tcBorders>
          </w:tcPr>
          <w:p>
            <w:pPr/>
          </w:p>
        </w:tc>
        <w:tc>
          <w:tcPr>
            <w:tcW w:w="1487" w:type="dxa"/>
            <w:tcBorders>
              <w:top w:val="nil" w:sz="6" w:space="0" w:color="auto"/>
              <w:left w:val="nil" w:sz="6" w:space="0" w:color="auto"/>
              <w:bottom w:val="nil" w:sz="6" w:space="0" w:color="auto"/>
              <w:right w:val="nil" w:sz="6" w:space="0" w:color="auto"/>
            </w:tcBorders>
          </w:tcPr>
          <w:p>
            <w:pPr/>
          </w:p>
        </w:tc>
      </w:tr>
      <w:tr>
        <w:trPr>
          <w:trHeight w:val="2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年初余额</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(5,486,324,932)</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0"/>
                <w:sz w:val="16"/>
              </w:rPr>
              <w:t>(17,553,632,979)</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0"/>
                <w:sz w:val="16"/>
              </w:rPr>
              <w:t>(589,367,423)</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(606,728,966)</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(24,236,054,300)</w:t>
            </w:r>
            <w:r>
              <w:rPr>
                <w:rFonts w:ascii="宋体"/>
                <w:sz w:val="16"/>
              </w:rPr>
            </w:r>
          </w:p>
        </w:tc>
      </w:tr>
      <w:tr>
        <w:trPr>
          <w:trHeight w:val="2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本年计提</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(499,370,635)</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0"/>
                <w:sz w:val="16"/>
              </w:rPr>
              <w:t>(4,219,937,956)</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0"/>
                <w:sz w:val="16"/>
              </w:rPr>
              <w:t>(64,177,414)</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(349,481,565)</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(5,132,967,570)</w:t>
            </w:r>
            <w:r>
              <w:rPr>
                <w:rFonts w:ascii="宋体"/>
                <w:sz w:val="16"/>
              </w:rPr>
            </w:r>
          </w:p>
        </w:tc>
      </w:tr>
      <w:tr>
        <w:trPr>
          <w:trHeight w:val="27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本年处置</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5"/>
                <w:sz w:val="16"/>
              </w:rPr>
              <w:t>3,034,364</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5"/>
                <w:sz w:val="16"/>
              </w:rPr>
              <w:t>2,033,604,433</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5"/>
                <w:sz w:val="16"/>
              </w:rPr>
              <w:t>6,147,965</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sz w:val="16"/>
              </w:rPr>
              <w:t>145,072,766</w:t>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2,187,859,528</w:t>
            </w:r>
            <w:r>
              <w:rPr>
                <w:rFonts w:ascii="宋体"/>
                <w:sz w:val="16"/>
              </w:rPr>
            </w:r>
          </w:p>
        </w:tc>
      </w:tr>
      <w:tr>
        <w:trPr>
          <w:trHeight w:val="217"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05" w:lineRule="exact"/>
              <w:ind w:right="711"/>
              <w:jc w:val="right"/>
              <w:rPr>
                <w:rFonts w:ascii="宋体" w:hAnsi="宋体" w:cs="宋体" w:eastAsia="宋体" w:hint="default"/>
                <w:sz w:val="16"/>
                <w:szCs w:val="16"/>
              </w:rPr>
            </w:pPr>
            <w:r>
              <w:rPr>
                <w:rFonts w:ascii="宋体" w:hAnsi="宋体" w:cs="宋体" w:eastAsia="宋体" w:hint="default"/>
                <w:sz w:val="16"/>
                <w:szCs w:val="16"/>
              </w:rPr>
              <w:t>年末余额</w:t>
            </w:r>
          </w:p>
        </w:tc>
        <w:tc>
          <w:tcPr>
            <w:tcW w:w="1524"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(5,982,661,203)</w:t>
            </w:r>
            <w:r>
              <w:rPr>
                <w:rFonts w:ascii="宋体"/>
                <w:sz w:val="16"/>
              </w:rPr>
            </w:r>
          </w:p>
        </w:tc>
        <w:tc>
          <w:tcPr>
            <w:tcW w:w="1508" w:type="dxa"/>
            <w:tcBorders>
              <w:top w:val="nil" w:sz="6" w:space="0" w:color="auto"/>
              <w:left w:val="nil" w:sz="6" w:space="0" w:color="auto"/>
              <w:bottom w:val="nil" w:sz="6" w:space="0" w:color="auto"/>
              <w:right w:val="nil" w:sz="6" w:space="0" w:color="auto"/>
            </w:tcBorders>
          </w:tcPr>
          <w:p>
            <w:pPr>
              <w:pStyle w:val="TableParagraph"/>
              <w:spacing w:line="205" w:lineRule="exact"/>
              <w:ind w:right="132"/>
              <w:jc w:val="right"/>
              <w:rPr>
                <w:rFonts w:ascii="宋体" w:hAnsi="宋体" w:cs="宋体" w:eastAsia="宋体" w:hint="default"/>
                <w:sz w:val="16"/>
                <w:szCs w:val="16"/>
              </w:rPr>
            </w:pPr>
            <w:r>
              <w:rPr>
                <w:rFonts w:ascii="宋体"/>
                <w:w w:val="90"/>
                <w:sz w:val="16"/>
              </w:rPr>
              <w:t>(19,739,966,502)</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62"/>
              <w:jc w:val="right"/>
              <w:rPr>
                <w:rFonts w:ascii="宋体" w:hAnsi="宋体" w:cs="宋体" w:eastAsia="宋体" w:hint="default"/>
                <w:sz w:val="16"/>
                <w:szCs w:val="16"/>
              </w:rPr>
            </w:pPr>
            <w:r>
              <w:rPr>
                <w:rFonts w:ascii="宋体"/>
                <w:w w:val="90"/>
                <w:sz w:val="16"/>
              </w:rPr>
              <w:t>(647,396,872)</w:t>
            </w:r>
            <w:r>
              <w:rPr>
                <w:rFonts w:ascii="宋体"/>
                <w:sz w:val="16"/>
              </w:rPr>
            </w:r>
          </w:p>
        </w:tc>
        <w:tc>
          <w:tcPr>
            <w:tcW w:w="1461" w:type="dxa"/>
            <w:tcBorders>
              <w:top w:val="nil" w:sz="6" w:space="0" w:color="auto"/>
              <w:left w:val="nil" w:sz="6" w:space="0" w:color="auto"/>
              <w:bottom w:val="nil" w:sz="6" w:space="0" w:color="auto"/>
              <w:right w:val="nil" w:sz="6" w:space="0" w:color="auto"/>
            </w:tcBorders>
          </w:tcPr>
          <w:p>
            <w:pPr>
              <w:pStyle w:val="TableParagraph"/>
              <w:spacing w:line="205" w:lineRule="exact"/>
              <w:ind w:right="173"/>
              <w:jc w:val="right"/>
              <w:rPr>
                <w:rFonts w:ascii="宋体" w:hAnsi="宋体" w:cs="宋体" w:eastAsia="宋体" w:hint="default"/>
                <w:sz w:val="16"/>
                <w:szCs w:val="16"/>
              </w:rPr>
            </w:pPr>
            <w:r>
              <w:rPr>
                <w:rFonts w:ascii="宋体"/>
                <w:w w:val="90"/>
                <w:sz w:val="16"/>
              </w:rPr>
              <w:t>(811,137,765)</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(27,181,162,342)</w:t>
            </w:r>
            <w:r>
              <w:rPr>
                <w:rFonts w:ascii="宋体"/>
                <w:sz w:val="16"/>
              </w:rPr>
            </w:r>
          </w:p>
        </w:tc>
      </w:tr>
      <w:tr>
        <w:trPr>
          <w:trHeight w:val="493" w:hRule="exact"/>
        </w:trPr>
        <w:tc>
          <w:tcPr>
            <w:tcW w:w="2012" w:type="dxa"/>
            <w:tcBorders>
              <w:top w:val="nil" w:sz="6" w:space="0" w:color="auto"/>
              <w:left w:val="nil" w:sz="6" w:space="0" w:color="auto"/>
              <w:bottom w:val="nil" w:sz="6" w:space="0" w:color="auto"/>
              <w:right w:val="nil" w:sz="6" w:space="0" w:color="auto"/>
            </w:tcBorders>
          </w:tcPr>
          <w:p>
            <w:pPr>
              <w:pStyle w:val="TableParagraph"/>
              <w:spacing w:line="240" w:lineRule="auto" w:before="2"/>
              <w:ind w:right="0"/>
              <w:jc w:val="left"/>
              <w:rPr>
                <w:rFonts w:ascii="宋体" w:hAnsi="宋体" w:cs="宋体" w:eastAsia="宋体" w:hint="default"/>
                <w:sz w:val="14"/>
                <w:szCs w:val="14"/>
              </w:rPr>
            </w:pPr>
          </w:p>
          <w:p>
            <w:pPr>
              <w:pStyle w:val="TableParagraph"/>
              <w:spacing w:line="240" w:lineRule="auto"/>
              <w:ind w:left="488" w:right="0"/>
              <w:jc w:val="left"/>
              <w:rPr>
                <w:rFonts w:ascii="宋体" w:hAnsi="宋体" w:cs="宋体" w:eastAsia="宋体" w:hint="default"/>
                <w:sz w:val="16"/>
                <w:szCs w:val="16"/>
              </w:rPr>
            </w:pPr>
            <w:r>
              <w:rPr>
                <w:rFonts w:ascii="宋体" w:hAnsi="宋体" w:cs="宋体" w:eastAsia="宋体" w:hint="default"/>
                <w:sz w:val="16"/>
                <w:szCs w:val="16"/>
              </w:rPr>
              <w:t>减值准备</w:t>
            </w:r>
          </w:p>
        </w:tc>
        <w:tc>
          <w:tcPr>
            <w:tcW w:w="1524" w:type="dxa"/>
            <w:tcBorders>
              <w:top w:val="nil" w:sz="6" w:space="0" w:color="auto"/>
              <w:left w:val="nil" w:sz="6" w:space="0" w:color="auto"/>
              <w:bottom w:val="nil" w:sz="6" w:space="0" w:color="auto"/>
              <w:right w:val="nil" w:sz="6" w:space="0" w:color="auto"/>
            </w:tcBorders>
          </w:tcPr>
          <w:p>
            <w:pPr/>
          </w:p>
        </w:tc>
        <w:tc>
          <w:tcPr>
            <w:tcW w:w="1508" w:type="dxa"/>
            <w:tcBorders>
              <w:top w:val="nil" w:sz="6" w:space="0" w:color="auto"/>
              <w:left w:val="nil" w:sz="6" w:space="0" w:color="auto"/>
              <w:bottom w:val="nil" w:sz="6" w:space="0" w:color="auto"/>
              <w:right w:val="nil" w:sz="6" w:space="0" w:color="auto"/>
            </w:tcBorders>
          </w:tcPr>
          <w:p>
            <w:pPr/>
          </w:p>
        </w:tc>
        <w:tc>
          <w:tcPr>
            <w:tcW w:w="1679" w:type="dxa"/>
            <w:tcBorders>
              <w:top w:val="nil" w:sz="6" w:space="0" w:color="auto"/>
              <w:left w:val="nil" w:sz="6" w:space="0" w:color="auto"/>
              <w:bottom w:val="nil" w:sz="6" w:space="0" w:color="auto"/>
              <w:right w:val="nil" w:sz="6" w:space="0" w:color="auto"/>
            </w:tcBorders>
          </w:tcPr>
          <w:p>
            <w:pPr/>
          </w:p>
        </w:tc>
        <w:tc>
          <w:tcPr>
            <w:tcW w:w="1461" w:type="dxa"/>
            <w:tcBorders>
              <w:top w:val="nil" w:sz="6" w:space="0" w:color="auto"/>
              <w:left w:val="nil" w:sz="6" w:space="0" w:color="auto"/>
              <w:bottom w:val="nil" w:sz="6" w:space="0" w:color="auto"/>
              <w:right w:val="nil" w:sz="6" w:space="0" w:color="auto"/>
            </w:tcBorders>
          </w:tcPr>
          <w:p>
            <w:pPr/>
          </w:p>
        </w:tc>
        <w:tc>
          <w:tcPr>
            <w:tcW w:w="1487" w:type="dxa"/>
            <w:tcBorders>
              <w:top w:val="nil" w:sz="6" w:space="0" w:color="auto"/>
              <w:left w:val="nil" w:sz="6" w:space="0" w:color="auto"/>
              <w:bottom w:val="nil" w:sz="6" w:space="0" w:color="auto"/>
              <w:right w:val="nil" w:sz="6" w:space="0" w:color="auto"/>
            </w:tcBorders>
          </w:tcPr>
          <w:p>
            <w:pPr/>
          </w:p>
        </w:tc>
      </w:tr>
    </w:tbl>
    <w:p>
      <w:pPr>
        <w:tabs>
          <w:tab w:pos="3374" w:val="left" w:leader="none"/>
          <w:tab w:pos="4229" w:val="left" w:leader="none"/>
          <w:tab w:pos="6472" w:val="left" w:leader="none"/>
          <w:tab w:pos="7550" w:val="left" w:leader="none"/>
          <w:tab w:pos="8877" w:val="left" w:leader="none"/>
        </w:tabs>
        <w:spacing w:line="175" w:lineRule="exact" w:before="0"/>
        <w:ind w:left="777" w:right="0" w:firstLine="0"/>
        <w:jc w:val="left"/>
        <w:rPr>
          <w:rFonts w:ascii="宋体" w:hAnsi="宋体" w:cs="宋体" w:eastAsia="宋体" w:hint="default"/>
          <w:sz w:val="16"/>
          <w:szCs w:val="16"/>
        </w:rPr>
      </w:pPr>
      <w:r>
        <w:rPr/>
        <w:pict>
          <v:group style="position:absolute;margin-left:90.333702pt;margin-top:-94.370392pt;width:465.55pt;height:.75pt;mso-position-horizontal-relative:page;mso-position-vertical-relative:paragraph;z-index:-959800" coordorigin="1807,-1887" coordsize="9311,15">
            <v:group style="position:absolute;left:1814;top:-1880;width:1550;height:2" coordorigin="1814,-1880" coordsize="1550,2">
              <v:shape style="position:absolute;left:1814;top:-1880;width:1550;height:2" coordorigin="1814,-1880" coordsize="1550,0" path="m1814,-1880l3363,-1880e" filled="false" stroked="true" strokeweight=".75pt" strokecolor="#000000">
                <v:path arrowok="t"/>
              </v:shape>
            </v:group>
            <v:group style="position:absolute;left:3363;top:-1880;width:1550;height:2" coordorigin="3363,-1880" coordsize="1550,2">
              <v:shape style="position:absolute;left:3363;top:-1880;width:1550;height:2" coordorigin="3363,-1880" coordsize="1550,0" path="m3363,-1880l4913,-1880e" filled="false" stroked="true" strokeweight=".75pt" strokecolor="#000000">
                <v:path arrowok="t"/>
              </v:shape>
            </v:group>
            <v:group style="position:absolute;left:4913;top:-1880;width:1550;height:2" coordorigin="4913,-1880" coordsize="1550,2">
              <v:shape style="position:absolute;left:4913;top:-1880;width:1550;height:2" coordorigin="4913,-1880" coordsize="1550,0" path="m4913,-1880l6462,-1880e" filled="false" stroked="true" strokeweight=".75pt" strokecolor="#000000">
                <v:path arrowok="t"/>
              </v:shape>
            </v:group>
            <v:group style="position:absolute;left:6462;top:-1880;width:1550;height:2" coordorigin="6462,-1880" coordsize="1550,2">
              <v:shape style="position:absolute;left:6462;top:-1880;width:1550;height:2" coordorigin="6462,-1880" coordsize="1550,0" path="m6462,-1880l8011,-1880e" filled="false" stroked="true" strokeweight=".75pt" strokecolor="#000000">
                <v:path arrowok="t"/>
              </v:shape>
            </v:group>
            <v:group style="position:absolute;left:8011;top:-1880;width:1550;height:2" coordorigin="8011,-1880" coordsize="1550,2">
              <v:shape style="position:absolute;left:8011;top:-1880;width:1550;height:2" coordorigin="8011,-1880" coordsize="1550,0" path="m8011,-1880l9560,-1880e" filled="false" stroked="true" strokeweight=".75pt" strokecolor="#000000">
                <v:path arrowok="t"/>
              </v:shape>
            </v:group>
            <v:group style="position:absolute;left:9560;top:-1880;width:1550;height:2" coordorigin="9560,-1880" coordsize="1550,2">
              <v:shape style="position:absolute;left:9560;top:-1880;width:1550;height:2" coordorigin="9560,-1880" coordsize="1550,0" path="m9560,-1880l11109,-1880e" filled="false" stroked="true" strokeweight=".75pt" strokecolor="#000000">
                <v:path arrowok="t"/>
              </v:shape>
            </v:group>
            <w10:wrap type="none"/>
          </v:group>
        </w:pict>
      </w:r>
      <w:r>
        <w:rPr/>
        <w:pict>
          <v:group style="position:absolute;margin-left:90.333702pt;margin-top:-19.354694pt;width:465.55pt;height:.75pt;mso-position-horizontal-relative:page;mso-position-vertical-relative:paragraph;z-index:-959776" coordorigin="1807,-387" coordsize="9311,15">
            <v:group style="position:absolute;left:1814;top:-380;width:1550;height:2" coordorigin="1814,-380" coordsize="1550,2">
              <v:shape style="position:absolute;left:1814;top:-380;width:1550;height:2" coordorigin="1814,-380" coordsize="1550,0" path="m1814,-380l3363,-380e" filled="false" stroked="true" strokeweight=".75pt" strokecolor="#000000">
                <v:path arrowok="t"/>
              </v:shape>
            </v:group>
            <v:group style="position:absolute;left:3363;top:-380;width:1550;height:2" coordorigin="3363,-380" coordsize="1550,2">
              <v:shape style="position:absolute;left:3363;top:-380;width:1550;height:2" coordorigin="3363,-380" coordsize="1550,0" path="m3363,-380l4913,-380e" filled="false" stroked="true" strokeweight=".75pt" strokecolor="#000000">
                <v:path arrowok="t"/>
              </v:shape>
            </v:group>
            <v:group style="position:absolute;left:4913;top:-380;width:1550;height:2" coordorigin="4913,-380" coordsize="1550,2">
              <v:shape style="position:absolute;left:4913;top:-380;width:1550;height:2" coordorigin="4913,-380" coordsize="1550,0" path="m4913,-380l6462,-380e" filled="false" stroked="true" strokeweight=".75pt" strokecolor="#000000">
                <v:path arrowok="t"/>
              </v:shape>
            </v:group>
            <v:group style="position:absolute;left:6462;top:-380;width:1550;height:2" coordorigin="6462,-380" coordsize="1550,2">
              <v:shape style="position:absolute;left:6462;top:-380;width:1550;height:2" coordorigin="6462,-380" coordsize="1550,0" path="m6462,-380l8011,-380e" filled="false" stroked="true" strokeweight=".75pt" strokecolor="#000000">
                <v:path arrowok="t"/>
              </v:shape>
            </v:group>
            <v:group style="position:absolute;left:8011;top:-380;width:1550;height:2" coordorigin="8011,-380" coordsize="1550,2">
              <v:shape style="position:absolute;left:8011;top:-380;width:1550;height:2" coordorigin="8011,-380" coordsize="1550,0" path="m8011,-380l9560,-380e" filled="false" stroked="true" strokeweight=".75pt" strokecolor="#000000">
                <v:path arrowok="t"/>
              </v:shape>
            </v:group>
            <v:group style="position:absolute;left:9560;top:-380;width:1550;height:2" coordorigin="9560,-380" coordsize="1550,2">
              <v:shape style="position:absolute;left:9560;top:-380;width:1550;height:2" coordorigin="9560,-380" coordsize="1550,0" path="m9560,-380l11109,-380e" filled="false" stroked="true" strokeweight=".75pt" strokecolor="#000000">
                <v:path arrowok="t"/>
              </v:shape>
            </v:group>
            <w10:wrap type="none"/>
          </v:group>
        </w:pict>
      </w:r>
      <w:r>
        <w:rPr>
          <w:rFonts w:ascii="宋体" w:hAnsi="宋体" w:cs="宋体" w:eastAsia="宋体" w:hint="default"/>
          <w:sz w:val="16"/>
          <w:szCs w:val="16"/>
        </w:rPr>
        <w:t>年初余额</w:t>
        <w:tab/>
      </w:r>
      <w:r>
        <w:rPr>
          <w:rFonts w:ascii="宋体" w:hAnsi="宋体" w:cs="宋体" w:eastAsia="宋体" w:hint="default"/>
          <w:w w:val="105"/>
          <w:sz w:val="16"/>
          <w:szCs w:val="16"/>
        </w:rPr>
        <w:t>-</w:t>
        <w:tab/>
      </w:r>
      <w:r>
        <w:rPr>
          <w:rFonts w:ascii="宋体" w:hAnsi="宋体" w:cs="宋体" w:eastAsia="宋体" w:hint="default"/>
          <w:w w:val="90"/>
          <w:sz w:val="16"/>
          <w:szCs w:val="16"/>
        </w:rPr>
        <w:t>(5,315,644)</w:t>
        <w:tab/>
      </w:r>
      <w:r>
        <w:rPr>
          <w:rFonts w:ascii="宋体" w:hAnsi="宋体" w:cs="宋体" w:eastAsia="宋体" w:hint="default"/>
          <w:w w:val="105"/>
          <w:sz w:val="16"/>
          <w:szCs w:val="16"/>
        </w:rPr>
        <w:t>-</w:t>
        <w:tab/>
      </w:r>
      <w:r>
        <w:rPr>
          <w:rFonts w:ascii="宋体" w:hAnsi="宋体" w:cs="宋体" w:eastAsia="宋体" w:hint="default"/>
          <w:w w:val="90"/>
          <w:sz w:val="16"/>
          <w:szCs w:val="16"/>
        </w:rPr>
        <w:t>(24,710)</w:t>
        <w:tab/>
      </w:r>
      <w:r>
        <w:rPr>
          <w:rFonts w:ascii="宋体" w:hAnsi="宋体" w:cs="宋体" w:eastAsia="宋体" w:hint="default"/>
          <w:w w:val="105"/>
          <w:sz w:val="16"/>
          <w:szCs w:val="16"/>
        </w:rPr>
        <w:t>(5,340,354)</w:t>
      </w:r>
      <w:r>
        <w:rPr>
          <w:rFonts w:ascii="宋体" w:hAnsi="宋体" w:cs="宋体" w:eastAsia="宋体" w:hint="default"/>
          <w:sz w:val="16"/>
          <w:szCs w:val="16"/>
        </w:rPr>
      </w:r>
    </w:p>
    <w:p>
      <w:pPr>
        <w:tabs>
          <w:tab w:pos="3374" w:val="left" w:leader="none"/>
          <w:tab w:pos="4923" w:val="left" w:leader="none"/>
          <w:tab w:pos="6472" w:val="left" w:leader="none"/>
          <w:tab w:pos="8022" w:val="left" w:leader="none"/>
          <w:tab w:pos="9571" w:val="left" w:leader="none"/>
        </w:tabs>
        <w:spacing w:before="64"/>
        <w:ind w:left="777" w:right="0" w:firstLine="0"/>
        <w:jc w:val="left"/>
        <w:rPr>
          <w:rFonts w:ascii="宋体" w:hAnsi="宋体" w:cs="宋体" w:eastAsia="宋体" w:hint="default"/>
          <w:sz w:val="16"/>
          <w:szCs w:val="16"/>
        </w:rPr>
      </w:pPr>
      <w:r>
        <w:rPr>
          <w:rFonts w:ascii="宋体" w:hAnsi="宋体" w:cs="宋体" w:eastAsia="宋体" w:hint="default"/>
          <w:sz w:val="16"/>
          <w:szCs w:val="16"/>
        </w:rPr>
        <w:t>本年计提</w:t>
        <w:tab/>
      </w:r>
      <w:r>
        <w:rPr>
          <w:rFonts w:ascii="宋体" w:hAnsi="宋体" w:cs="宋体" w:eastAsia="宋体" w:hint="default"/>
          <w:w w:val="120"/>
          <w:sz w:val="16"/>
          <w:szCs w:val="16"/>
        </w:rPr>
        <w:t>-</w:t>
        <w:tab/>
        <w:t>-</w:t>
        <w:tab/>
        <w:t>-</w:t>
        <w:tab/>
        <w:t>-</w:t>
        <w:tab/>
        <w:t>-</w:t>
      </w:r>
      <w:r>
        <w:rPr>
          <w:rFonts w:ascii="宋体" w:hAnsi="宋体" w:cs="宋体" w:eastAsia="宋体" w:hint="default"/>
          <w:sz w:val="16"/>
          <w:szCs w:val="16"/>
        </w:rPr>
      </w:r>
    </w:p>
    <w:p>
      <w:pPr>
        <w:tabs>
          <w:tab w:pos="3374" w:val="left" w:leader="none"/>
          <w:tab w:pos="4923" w:val="left" w:leader="none"/>
          <w:tab w:pos="6473" w:val="left" w:leader="none"/>
          <w:tab w:pos="8022" w:val="left" w:leader="none"/>
          <w:tab w:pos="9571" w:val="left" w:leader="none"/>
        </w:tabs>
        <w:spacing w:before="64"/>
        <w:ind w:left="778" w:right="0" w:firstLine="0"/>
        <w:jc w:val="left"/>
        <w:rPr>
          <w:rFonts w:ascii="宋体" w:hAnsi="宋体" w:cs="宋体" w:eastAsia="宋体" w:hint="default"/>
          <w:sz w:val="16"/>
          <w:szCs w:val="16"/>
        </w:rPr>
      </w:pPr>
      <w:r>
        <w:rPr>
          <w:rFonts w:ascii="宋体" w:hAnsi="宋体" w:cs="宋体" w:eastAsia="宋体" w:hint="default"/>
          <w:sz w:val="16"/>
          <w:szCs w:val="16"/>
        </w:rPr>
        <w:t>本年处置</w:t>
        <w:tab/>
      </w:r>
      <w:r>
        <w:rPr>
          <w:rFonts w:ascii="宋体" w:hAnsi="宋体" w:cs="宋体" w:eastAsia="宋体" w:hint="default"/>
          <w:w w:val="120"/>
          <w:sz w:val="16"/>
          <w:szCs w:val="16"/>
        </w:rPr>
        <w:t>-</w:t>
        <w:tab/>
        <w:t>-</w:t>
        <w:tab/>
        <w:t>-</w:t>
        <w:tab/>
        <w:t>-</w:t>
        <w:tab/>
        <w:t>-</w:t>
      </w:r>
      <w:r>
        <w:rPr>
          <w:rFonts w:ascii="宋体" w:hAnsi="宋体" w:cs="宋体" w:eastAsia="宋体" w:hint="default"/>
          <w:sz w:val="16"/>
          <w:szCs w:val="16"/>
        </w:rPr>
      </w:r>
    </w:p>
    <w:p>
      <w:pPr>
        <w:tabs>
          <w:tab w:pos="3374" w:val="left" w:leader="none"/>
          <w:tab w:pos="4230" w:val="left" w:leader="none"/>
          <w:tab w:pos="6473" w:val="left" w:leader="none"/>
          <w:tab w:pos="7550" w:val="left" w:leader="none"/>
          <w:tab w:pos="8878" w:val="left" w:leader="none"/>
        </w:tabs>
        <w:spacing w:before="64"/>
        <w:ind w:left="778" w:right="0" w:firstLine="0"/>
        <w:jc w:val="left"/>
        <w:rPr>
          <w:rFonts w:ascii="宋体" w:hAnsi="宋体" w:cs="宋体" w:eastAsia="宋体" w:hint="default"/>
          <w:sz w:val="16"/>
          <w:szCs w:val="16"/>
        </w:rPr>
      </w:pPr>
      <w:r>
        <w:rPr>
          <w:rFonts w:ascii="宋体" w:hAnsi="宋体" w:cs="宋体" w:eastAsia="宋体" w:hint="default"/>
          <w:sz w:val="16"/>
          <w:szCs w:val="16"/>
        </w:rPr>
        <w:t>年末余额</w:t>
        <w:tab/>
      </w:r>
      <w:r>
        <w:rPr>
          <w:rFonts w:ascii="宋体" w:hAnsi="宋体" w:cs="宋体" w:eastAsia="宋体" w:hint="default"/>
          <w:w w:val="105"/>
          <w:sz w:val="16"/>
          <w:szCs w:val="16"/>
        </w:rPr>
        <w:t>-</w:t>
        <w:tab/>
      </w:r>
      <w:r>
        <w:rPr>
          <w:rFonts w:ascii="宋体" w:hAnsi="宋体" w:cs="宋体" w:eastAsia="宋体" w:hint="default"/>
          <w:w w:val="90"/>
          <w:sz w:val="16"/>
          <w:szCs w:val="16"/>
        </w:rPr>
        <w:t>(5,315,644)</w:t>
        <w:tab/>
      </w:r>
      <w:r>
        <w:rPr>
          <w:rFonts w:ascii="宋体" w:hAnsi="宋体" w:cs="宋体" w:eastAsia="宋体" w:hint="default"/>
          <w:w w:val="105"/>
          <w:sz w:val="16"/>
          <w:szCs w:val="16"/>
        </w:rPr>
        <w:t>-</w:t>
        <w:tab/>
      </w:r>
      <w:r>
        <w:rPr>
          <w:rFonts w:ascii="宋体" w:hAnsi="宋体" w:cs="宋体" w:eastAsia="宋体" w:hint="default"/>
          <w:w w:val="90"/>
          <w:sz w:val="16"/>
          <w:szCs w:val="16"/>
        </w:rPr>
        <w:t>(24,710)</w:t>
        <w:tab/>
      </w:r>
      <w:r>
        <w:rPr>
          <w:rFonts w:ascii="宋体" w:hAnsi="宋体" w:cs="宋体" w:eastAsia="宋体" w:hint="default"/>
          <w:w w:val="105"/>
          <w:sz w:val="16"/>
          <w:szCs w:val="16"/>
        </w:rPr>
        <w:t>(5,340,354)</w:t>
      </w:r>
      <w:r>
        <w:rPr>
          <w:rFonts w:ascii="宋体" w:hAnsi="宋体" w:cs="宋体" w:eastAsia="宋体" w:hint="default"/>
          <w:sz w:val="16"/>
          <w:szCs w:val="16"/>
        </w:rPr>
      </w:r>
    </w:p>
    <w:p>
      <w:pPr>
        <w:spacing w:line="240" w:lineRule="auto" w:before="0"/>
        <w:rPr>
          <w:rFonts w:ascii="宋体" w:hAnsi="宋体" w:cs="宋体" w:eastAsia="宋体" w:hint="default"/>
          <w:sz w:val="9"/>
          <w:szCs w:val="9"/>
        </w:rPr>
      </w:pPr>
    </w:p>
    <w:p>
      <w:pPr>
        <w:spacing w:line="20" w:lineRule="exact"/>
        <w:ind w:left="486" w:right="0" w:firstLine="0"/>
        <w:rPr>
          <w:rFonts w:ascii="宋体" w:hAnsi="宋体" w:cs="宋体" w:eastAsia="宋体" w:hint="default"/>
          <w:sz w:val="2"/>
          <w:szCs w:val="2"/>
        </w:rPr>
      </w:pPr>
      <w:r>
        <w:rPr>
          <w:rFonts w:ascii="宋体" w:hAnsi="宋体" w:cs="宋体" w:eastAsia="宋体" w:hint="default"/>
          <w:sz w:val="2"/>
          <w:szCs w:val="2"/>
        </w:rPr>
        <w:pict>
          <v:group style="width:465.55pt;height:.75pt;mso-position-horizontal-relative:char;mso-position-vertical-relative:line" coordorigin="0,0" coordsize="9311,15">
            <v:group style="position:absolute;left:8;top:8;width:1550;height:2" coordorigin="8,8" coordsize="1550,2">
              <v:shape style="position:absolute;left:8;top:8;width:1550;height:2" coordorigin="8,8" coordsize="1550,0" path="m8,8l1557,8e" filled="false" stroked="true" strokeweight=".75pt" strokecolor="#000000">
                <v:path arrowok="t"/>
              </v:shape>
            </v:group>
            <v:group style="position:absolute;left:1557;top:8;width:1550;height:2" coordorigin="1557,8" coordsize="1550,2">
              <v:shape style="position:absolute;left:1557;top:8;width:1550;height:2" coordorigin="1557,8" coordsize="1550,0" path="m1557,8l3106,8e" filled="false" stroked="true" strokeweight=".75pt" strokecolor="#000000">
                <v:path arrowok="t"/>
              </v:shape>
            </v:group>
            <v:group style="position:absolute;left:3106;top:8;width:1550;height:2" coordorigin="3106,8" coordsize="1550,2">
              <v:shape style="position:absolute;left:3106;top:8;width:1550;height:2" coordorigin="3106,8" coordsize="1550,0" path="m3106,8l4655,8e" filled="false" stroked="true" strokeweight=".75pt" strokecolor="#000000">
                <v:path arrowok="t"/>
              </v:shape>
            </v:group>
            <v:group style="position:absolute;left:4655;top:8;width:1550;height:2" coordorigin="4655,8" coordsize="1550,2">
              <v:shape style="position:absolute;left:4655;top:8;width:1550;height:2" coordorigin="4655,8" coordsize="1550,0" path="m4655,8l6204,8e" filled="false" stroked="true" strokeweight=".75pt" strokecolor="#000000">
                <v:path arrowok="t"/>
              </v:shape>
            </v:group>
            <v:group style="position:absolute;left:6204;top:8;width:1550;height:2" coordorigin="6204,8" coordsize="1550,2">
              <v:shape style="position:absolute;left:6204;top:8;width:1550;height:2" coordorigin="6204,8" coordsize="1550,0" path="m6204,8l7754,8e" filled="false" stroked="true" strokeweight=".75pt" strokecolor="#000000">
                <v:path arrowok="t"/>
              </v:shape>
            </v:group>
            <v:group style="position:absolute;left:7754;top:8;width:1550;height:2" coordorigin="7754,8" coordsize="1550,2">
              <v:shape style="position:absolute;left:7754;top:8;width:1550;height:2" coordorigin="7754,8" coordsize="1550,0" path="m7754,8l9303,8e" filled="false" stroked="true" strokeweight=".75pt" strokecolor="#000000">
                <v:path arrowok="t"/>
              </v:shape>
            </v:group>
          </v:group>
        </w:pict>
      </w:r>
      <w:r>
        <w:rPr>
          <w:rFonts w:ascii="宋体" w:hAnsi="宋体" w:cs="宋体" w:eastAsia="宋体" w:hint="default"/>
          <w:sz w:val="2"/>
          <w:szCs w:val="2"/>
        </w:rPr>
      </w:r>
    </w:p>
    <w:p>
      <w:pPr>
        <w:spacing w:before="59"/>
        <w:ind w:left="607" w:right="0" w:firstLine="0"/>
        <w:jc w:val="left"/>
        <w:rPr>
          <w:rFonts w:ascii="宋体" w:hAnsi="宋体" w:cs="宋体" w:eastAsia="宋体" w:hint="default"/>
          <w:sz w:val="16"/>
          <w:szCs w:val="16"/>
        </w:rPr>
      </w:pPr>
      <w:r>
        <w:rPr>
          <w:rFonts w:ascii="宋体" w:hAnsi="宋体" w:cs="宋体" w:eastAsia="宋体" w:hint="default"/>
          <w:sz w:val="16"/>
          <w:szCs w:val="16"/>
        </w:rPr>
        <w:t>账面价值</w:t>
      </w:r>
    </w:p>
    <w:p>
      <w:pPr>
        <w:tabs>
          <w:tab w:pos="2369" w:val="left" w:leader="none"/>
          <w:tab w:pos="4007" w:val="left" w:leader="none"/>
          <w:tab w:pos="5690" w:val="left" w:leader="none"/>
          <w:tab w:pos="7106" w:val="left" w:leader="none"/>
          <w:tab w:pos="8566" w:val="left" w:leader="none"/>
        </w:tabs>
        <w:spacing w:before="64"/>
        <w:ind w:left="777" w:right="0" w:firstLine="0"/>
        <w:jc w:val="left"/>
        <w:rPr>
          <w:rFonts w:ascii="宋体" w:hAnsi="宋体" w:cs="宋体" w:eastAsia="宋体" w:hint="default"/>
          <w:sz w:val="16"/>
          <w:szCs w:val="16"/>
        </w:rPr>
      </w:pPr>
      <w:r>
        <w:rPr>
          <w:rFonts w:ascii="宋体" w:hAnsi="宋体" w:cs="宋体" w:eastAsia="宋体" w:hint="default"/>
          <w:sz w:val="16"/>
          <w:szCs w:val="16"/>
        </w:rPr>
        <w:t>年末</w:t>
        <w:tab/>
      </w:r>
      <w:r>
        <w:rPr>
          <w:rFonts w:ascii="宋体" w:hAnsi="宋体" w:cs="宋体" w:eastAsia="宋体" w:hint="default"/>
          <w:w w:val="95"/>
          <w:sz w:val="16"/>
          <w:szCs w:val="16"/>
        </w:rPr>
        <w:t>14,728,620,489</w:t>
        <w:tab/>
        <w:t>9,210,445,904</w:t>
        <w:tab/>
      </w:r>
      <w:r>
        <w:rPr>
          <w:rFonts w:ascii="宋体" w:hAnsi="宋体" w:cs="宋体" w:eastAsia="宋体" w:hint="default"/>
          <w:sz w:val="16"/>
          <w:szCs w:val="16"/>
        </w:rPr>
        <w:t>478,102,865</w:t>
        <w:tab/>
      </w:r>
      <w:r>
        <w:rPr>
          <w:rFonts w:ascii="宋体" w:hAnsi="宋体" w:cs="宋体" w:eastAsia="宋体" w:hint="default"/>
          <w:w w:val="95"/>
          <w:sz w:val="16"/>
          <w:szCs w:val="16"/>
        </w:rPr>
        <w:t>1,466,993,821</w:t>
        <w:tab/>
      </w:r>
      <w:r>
        <w:rPr>
          <w:rFonts w:ascii="宋体" w:hAnsi="宋体" w:cs="宋体" w:eastAsia="宋体" w:hint="default"/>
          <w:sz w:val="16"/>
          <w:szCs w:val="16"/>
        </w:rPr>
        <w:t>25,884,163,079</w:t>
      </w:r>
    </w:p>
    <w:p>
      <w:pPr>
        <w:spacing w:line="240" w:lineRule="auto" w:before="1"/>
        <w:rPr>
          <w:rFonts w:ascii="宋体" w:hAnsi="宋体" w:cs="宋体" w:eastAsia="宋体" w:hint="default"/>
          <w:sz w:val="15"/>
          <w:szCs w:val="15"/>
        </w:rPr>
      </w:pPr>
    </w:p>
    <w:p>
      <w:pPr>
        <w:tabs>
          <w:tab w:pos="2369" w:val="left" w:leader="none"/>
          <w:tab w:pos="4007" w:val="left" w:leader="none"/>
          <w:tab w:pos="5690" w:val="left" w:leader="none"/>
          <w:tab w:pos="7239" w:val="left" w:leader="none"/>
          <w:tab w:pos="8566" w:val="left" w:leader="none"/>
        </w:tabs>
        <w:spacing w:before="0"/>
        <w:ind w:left="777" w:right="0" w:firstLine="0"/>
        <w:jc w:val="left"/>
        <w:rPr>
          <w:rFonts w:ascii="宋体" w:hAnsi="宋体" w:cs="宋体" w:eastAsia="宋体" w:hint="default"/>
          <w:sz w:val="16"/>
          <w:szCs w:val="16"/>
        </w:rPr>
      </w:pPr>
      <w:r>
        <w:rPr>
          <w:rFonts w:ascii="宋体" w:hAnsi="宋体" w:cs="宋体" w:eastAsia="宋体" w:hint="default"/>
          <w:sz w:val="16"/>
          <w:szCs w:val="16"/>
        </w:rPr>
        <w:t>年初</w:t>
        <w:tab/>
      </w:r>
      <w:r>
        <w:rPr>
          <w:rFonts w:ascii="宋体" w:hAnsi="宋体" w:cs="宋体" w:eastAsia="宋体" w:hint="default"/>
          <w:w w:val="95"/>
          <w:sz w:val="16"/>
          <w:szCs w:val="16"/>
        </w:rPr>
        <w:t>14,943,760,630</w:t>
        <w:tab/>
        <w:t>9,599,027,166</w:t>
        <w:tab/>
      </w:r>
      <w:r>
        <w:rPr>
          <w:rFonts w:ascii="宋体" w:hAnsi="宋体" w:cs="宋体" w:eastAsia="宋体" w:hint="default"/>
          <w:sz w:val="16"/>
          <w:szCs w:val="16"/>
        </w:rPr>
        <w:t>531,800,245</w:t>
        <w:tab/>
        <w:t>857,648,712</w:t>
        <w:tab/>
        <w:t>25,932,236,753</w:t>
      </w:r>
    </w:p>
    <w:p>
      <w:pPr>
        <w:spacing w:line="240" w:lineRule="auto" w:before="9"/>
        <w:rPr>
          <w:rFonts w:ascii="宋体" w:hAnsi="宋体" w:cs="宋体" w:eastAsia="宋体" w:hint="default"/>
          <w:sz w:val="8"/>
          <w:szCs w:val="8"/>
        </w:rPr>
      </w:pPr>
    </w:p>
    <w:p>
      <w:pPr>
        <w:spacing w:line="40" w:lineRule="exact"/>
        <w:ind w:left="47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8pt;height:2pt;mso-position-horizontal-relative:char;mso-position-vertical-relative:line" coordorigin="0,0" coordsize="9336,40">
            <v:group style="position:absolute;left:20;top:20;width:1550;height:2" coordorigin="20,20" coordsize="1550,2">
              <v:shape style="position:absolute;left:20;top:20;width:1550;height:2" coordorigin="20,20" coordsize="1550,0" path="m20,20l1569,20e" filled="false" stroked="true" strokeweight="2pt" strokecolor="#9f8958">
                <v:path arrowok="t"/>
              </v:shape>
            </v:group>
            <v:group style="position:absolute;left:1569;top:20;width:1550;height:2" coordorigin="1569,20" coordsize="1550,2">
              <v:shape style="position:absolute;left:1569;top:20;width:1550;height:2" coordorigin="1569,20" coordsize="1550,0" path="m1569,20l3118,20e" filled="false" stroked="true" strokeweight="2pt" strokecolor="#9f8958">
                <v:path arrowok="t"/>
              </v:shape>
            </v:group>
            <v:group style="position:absolute;left:3118;top:20;width:1550;height:2" coordorigin="3118,20" coordsize="1550,2">
              <v:shape style="position:absolute;left:3118;top:20;width:1550;height:2" coordorigin="3118,20" coordsize="1550,0" path="m3118,20l4668,20e" filled="false" stroked="true" strokeweight="2pt" strokecolor="#9f8958">
                <v:path arrowok="t"/>
              </v:shape>
            </v:group>
            <v:group style="position:absolute;left:4668;top:20;width:1550;height:2" coordorigin="4668,20" coordsize="1550,2">
              <v:shape style="position:absolute;left:4668;top:20;width:1550;height:2" coordorigin="4668,20" coordsize="1550,0" path="m4668,20l6217,20e" filled="false" stroked="true" strokeweight="2pt" strokecolor="#9f8958">
                <v:path arrowok="t"/>
              </v:shape>
            </v:group>
            <v:group style="position:absolute;left:6217;top:20;width:1550;height:2" coordorigin="6217,20" coordsize="1550,2">
              <v:shape style="position:absolute;left:6217;top:20;width:1550;height:2" coordorigin="6217,20" coordsize="1550,0" path="m6217,20l7766,20e" filled="false" stroked="true" strokeweight="2pt" strokecolor="#9f8958">
                <v:path arrowok="t"/>
              </v:shape>
            </v:group>
            <v:group style="position:absolute;left:7766;top:20;width:1550;height:2" coordorigin="7766,20" coordsize="1550,2">
              <v:shape style="position:absolute;left:7766;top:20;width:1550;height:2" coordorigin="7766,20" coordsize="1550,0" path="m7766,20l9315,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pgSz w:w="11910" w:h="16160"/>
          <w:pgMar w:header="2776" w:footer="298" w:top="2960" w:bottom="480" w:left="132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14、开发支出</w:t>
      </w:r>
    </w:p>
    <w:p>
      <w:pPr>
        <w:spacing w:line="240" w:lineRule="auto" w:before="10"/>
        <w:rPr>
          <w:rFonts w:ascii="宋体" w:hAnsi="宋体" w:cs="宋体" w:eastAsia="宋体" w:hint="default"/>
          <w:sz w:val="14"/>
          <w:szCs w:val="14"/>
        </w:rPr>
      </w:pPr>
    </w:p>
    <w:p>
      <w:pPr>
        <w:spacing w:before="41"/>
        <w:ind w:left="0" w:right="2431" w:firstLine="0"/>
        <w:jc w:val="right"/>
        <w:rPr>
          <w:rFonts w:ascii="宋体" w:hAnsi="宋体" w:cs="宋体" w:eastAsia="宋体" w:hint="default"/>
          <w:sz w:val="16"/>
          <w:szCs w:val="16"/>
        </w:rPr>
      </w:pPr>
      <w:r>
        <w:rPr>
          <w:rFonts w:ascii="宋体" w:hAnsi="宋体" w:cs="宋体" w:eastAsia="宋体" w:hint="default"/>
          <w:sz w:val="16"/>
          <w:szCs w:val="16"/>
        </w:rPr>
        <w:t>本年减少</w:t>
      </w:r>
    </w:p>
    <w:p>
      <w:pPr>
        <w:spacing w:line="240" w:lineRule="auto" w:before="1"/>
        <w:rPr>
          <w:rFonts w:ascii="宋体" w:hAnsi="宋体" w:cs="宋体" w:eastAsia="宋体" w:hint="default"/>
          <w:sz w:val="9"/>
          <w:szCs w:val="9"/>
        </w:rPr>
      </w:pPr>
    </w:p>
    <w:p>
      <w:pPr>
        <w:spacing w:line="20" w:lineRule="exact"/>
        <w:ind w:left="5815" w:right="0" w:firstLine="0"/>
        <w:rPr>
          <w:rFonts w:ascii="宋体" w:hAnsi="宋体" w:cs="宋体" w:eastAsia="宋体" w:hint="default"/>
          <w:sz w:val="2"/>
          <w:szCs w:val="2"/>
        </w:rPr>
      </w:pPr>
      <w:r>
        <w:rPr>
          <w:rFonts w:ascii="宋体" w:hAnsi="宋体" w:cs="宋体" w:eastAsia="宋体" w:hint="default"/>
          <w:sz w:val="2"/>
          <w:szCs w:val="2"/>
        </w:rPr>
        <w:pict>
          <v:group style="width:131.75pt;height:.75pt;mso-position-horizontal-relative:char;mso-position-vertical-relative:line" coordorigin="0,0" coordsize="2635,15">
            <v:group style="position:absolute;left:8;top:8;width:2620;height:2" coordorigin="8,8" coordsize="2620,2">
              <v:shape style="position:absolute;left:8;top:8;width:2620;height:2" coordorigin="8,8" coordsize="2620,0" path="m8,8l2627,8e" filled="false" stroked="true" strokeweight=".75pt" strokecolor="#000000">
                <v:path arrowok="t"/>
              </v:shape>
            </v:group>
          </v:group>
        </w:pict>
      </w:r>
      <w:r>
        <w:rPr>
          <w:rFonts w:ascii="宋体" w:hAnsi="宋体" w:cs="宋体" w:eastAsia="宋体" w:hint="default"/>
          <w:sz w:val="2"/>
          <w:szCs w:val="2"/>
        </w:rPr>
      </w:r>
    </w:p>
    <w:tbl>
      <w:tblPr>
        <w:tblW w:w="0" w:type="auto"/>
        <w:jc w:val="left"/>
        <w:tblInd w:w="453" w:type="dxa"/>
        <w:tblLayout w:type="fixed"/>
        <w:tblCellMar>
          <w:top w:w="0" w:type="dxa"/>
          <w:left w:w="0" w:type="dxa"/>
          <w:bottom w:w="0" w:type="dxa"/>
          <w:right w:w="0" w:type="dxa"/>
        </w:tblCellMar>
        <w:tblLook w:val="01E0"/>
      </w:tblPr>
      <w:tblGrid>
        <w:gridCol w:w="4091"/>
        <w:gridCol w:w="1260"/>
        <w:gridCol w:w="1381"/>
        <w:gridCol w:w="1354"/>
        <w:gridCol w:w="1212"/>
      </w:tblGrid>
      <w:tr>
        <w:trPr>
          <w:trHeight w:val="384" w:hRule="exact"/>
        </w:trPr>
        <w:tc>
          <w:tcPr>
            <w:tcW w:w="4091" w:type="dxa"/>
            <w:tcBorders>
              <w:top w:val="nil" w:sz="6" w:space="0" w:color="auto"/>
              <w:left w:val="nil" w:sz="6" w:space="0" w:color="auto"/>
              <w:bottom w:val="single" w:sz="16" w:space="0" w:color="9F8958"/>
              <w:right w:val="nil" w:sz="6" w:space="0" w:color="auto"/>
            </w:tcBorders>
          </w:tcPr>
          <w:p>
            <w:pPr>
              <w:pStyle w:val="TableParagraph"/>
              <w:tabs>
                <w:tab w:pos="3192" w:val="left" w:leader="none"/>
              </w:tabs>
              <w:spacing w:line="240" w:lineRule="auto" w:before="41"/>
              <w:ind w:right="29"/>
              <w:jc w:val="center"/>
              <w:rPr>
                <w:rFonts w:ascii="宋体" w:hAnsi="宋体" w:cs="宋体" w:eastAsia="宋体" w:hint="default"/>
                <w:sz w:val="16"/>
                <w:szCs w:val="16"/>
              </w:rPr>
            </w:pPr>
            <w:r>
              <w:rPr>
                <w:rFonts w:ascii="宋体" w:hAnsi="宋体" w:cs="宋体" w:eastAsia="宋体" w:hint="default"/>
                <w:sz w:val="16"/>
                <w:szCs w:val="16"/>
              </w:rPr>
              <w:t>项目</w:t>
              <w:tab/>
            </w:r>
            <w:r>
              <w:rPr>
                <w:rFonts w:ascii="宋体" w:hAnsi="宋体" w:cs="宋体" w:eastAsia="宋体" w:hint="default"/>
                <w:sz w:val="16"/>
                <w:szCs w:val="16"/>
              </w:rPr>
              <w:t>年初余额</w:t>
            </w:r>
          </w:p>
        </w:tc>
        <w:tc>
          <w:tcPr>
            <w:tcW w:w="126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93"/>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381"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64"/>
              <w:jc w:val="right"/>
              <w:rPr>
                <w:rFonts w:ascii="宋体" w:hAnsi="宋体" w:cs="宋体" w:eastAsia="宋体" w:hint="default"/>
                <w:sz w:val="16"/>
                <w:szCs w:val="16"/>
              </w:rPr>
            </w:pPr>
            <w:r>
              <w:rPr>
                <w:rFonts w:ascii="宋体" w:hAnsi="宋体" w:cs="宋体" w:eastAsia="宋体" w:hint="default"/>
                <w:sz w:val="16"/>
                <w:szCs w:val="16"/>
              </w:rPr>
              <w:t>确认为无形资产</w:t>
            </w:r>
          </w:p>
        </w:tc>
        <w:tc>
          <w:tcPr>
            <w:tcW w:w="1354"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209"/>
              <w:jc w:val="right"/>
              <w:rPr>
                <w:rFonts w:ascii="宋体" w:hAnsi="宋体" w:cs="宋体" w:eastAsia="宋体" w:hint="default"/>
                <w:sz w:val="16"/>
                <w:szCs w:val="16"/>
              </w:rPr>
            </w:pPr>
            <w:r>
              <w:rPr>
                <w:rFonts w:ascii="宋体" w:hAnsi="宋体" w:cs="宋体" w:eastAsia="宋体" w:hint="default"/>
                <w:sz w:val="16"/>
                <w:szCs w:val="16"/>
              </w:rPr>
              <w:t>转入当年损益</w:t>
            </w:r>
          </w:p>
        </w:tc>
        <w:tc>
          <w:tcPr>
            <w:tcW w:w="1212"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sz w:val="16"/>
                <w:szCs w:val="16"/>
              </w:rPr>
              <w:t>年末余额</w:t>
            </w:r>
          </w:p>
        </w:tc>
      </w:tr>
      <w:tr>
        <w:trPr>
          <w:trHeight w:val="562" w:hRule="exact"/>
        </w:trPr>
        <w:tc>
          <w:tcPr>
            <w:tcW w:w="4091" w:type="dxa"/>
            <w:tcBorders>
              <w:top w:val="single" w:sz="16" w:space="0" w:color="9F8958"/>
              <w:left w:val="nil" w:sz="6" w:space="0" w:color="auto"/>
              <w:bottom w:val="nil" w:sz="6" w:space="0" w:color="auto"/>
              <w:right w:val="nil" w:sz="6" w:space="0" w:color="auto"/>
            </w:tcBorders>
          </w:tcPr>
          <w:p>
            <w:pPr>
              <w:pStyle w:val="TableParagraph"/>
              <w:spacing w:line="155" w:lineRule="exact"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64"/>
                <w:w w:val="105"/>
                <w:sz w:val="16"/>
                <w:szCs w:val="16"/>
              </w:rPr>
              <w:t> </w:t>
            </w:r>
            <w:r>
              <w:rPr>
                <w:rFonts w:ascii="宋体" w:hAnsi="宋体" w:cs="宋体" w:eastAsia="宋体" w:hint="default"/>
                <w:w w:val="105"/>
                <w:sz w:val="16"/>
                <w:szCs w:val="16"/>
              </w:rPr>
              <w:t>年中国联通总部天宫</w:t>
            </w:r>
            <w:r>
              <w:rPr>
                <w:rFonts w:ascii="宋体" w:hAnsi="宋体" w:cs="宋体" w:eastAsia="宋体" w:hint="default"/>
                <w:spacing w:val="-63"/>
                <w:w w:val="105"/>
                <w:sz w:val="16"/>
                <w:szCs w:val="16"/>
              </w:rPr>
              <w:t> </w:t>
            </w:r>
            <w:r>
              <w:rPr>
                <w:rFonts w:ascii="宋体" w:hAnsi="宋体" w:cs="宋体" w:eastAsia="宋体" w:hint="default"/>
                <w:w w:val="105"/>
                <w:sz w:val="16"/>
                <w:szCs w:val="16"/>
              </w:rPr>
              <w:t>-</w:t>
            </w:r>
            <w:r>
              <w:rPr>
                <w:rFonts w:ascii="宋体" w:hAnsi="宋体" w:cs="宋体" w:eastAsia="宋体" w:hint="default"/>
                <w:spacing w:val="-63"/>
                <w:w w:val="105"/>
                <w:sz w:val="16"/>
                <w:szCs w:val="16"/>
              </w:rPr>
              <w:t> </w:t>
            </w:r>
            <w:r>
              <w:rPr>
                <w:rFonts w:ascii="宋体" w:hAnsi="宋体" w:cs="宋体" w:eastAsia="宋体" w:hint="default"/>
                <w:w w:val="105"/>
                <w:sz w:val="16"/>
                <w:szCs w:val="16"/>
              </w:rPr>
              <w:t>公共能</w:t>
            </w:r>
          </w:p>
          <w:p>
            <w:pPr>
              <w:pStyle w:val="TableParagraph"/>
              <w:tabs>
                <w:tab w:pos="3840"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力平台研发项目</w:t>
              <w:tab/>
            </w:r>
            <w:r>
              <w:rPr>
                <w:rFonts w:ascii="宋体" w:hAnsi="宋体" w:cs="宋体" w:eastAsia="宋体" w:hint="default"/>
                <w:w w:val="115"/>
                <w:position w:val="10"/>
                <w:sz w:val="16"/>
                <w:szCs w:val="16"/>
              </w:rPr>
              <w:t>-</w:t>
            </w:r>
            <w:r>
              <w:rPr>
                <w:rFonts w:ascii="宋体" w:hAnsi="宋体" w:cs="宋体" w:eastAsia="宋体" w:hint="default"/>
                <w:sz w:val="16"/>
                <w:szCs w:val="16"/>
              </w:rPr>
            </w:r>
          </w:p>
        </w:tc>
        <w:tc>
          <w:tcPr>
            <w:tcW w:w="1260"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92"/>
              <w:jc w:val="right"/>
              <w:rPr>
                <w:rFonts w:ascii="宋体" w:hAnsi="宋体" w:cs="宋体" w:eastAsia="宋体" w:hint="default"/>
                <w:sz w:val="16"/>
                <w:szCs w:val="16"/>
              </w:rPr>
            </w:pPr>
            <w:r>
              <w:rPr>
                <w:rFonts w:ascii="宋体"/>
                <w:w w:val="95"/>
                <w:sz w:val="16"/>
              </w:rPr>
              <w:t>24,168,380</w:t>
            </w:r>
            <w:r>
              <w:rPr>
                <w:rFonts w:ascii="宋体"/>
                <w:sz w:val="16"/>
              </w:rPr>
            </w:r>
          </w:p>
        </w:tc>
        <w:tc>
          <w:tcPr>
            <w:tcW w:w="1381"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209"/>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w w:val="95"/>
                <w:sz w:val="16"/>
              </w:rPr>
              <w:t>24,168,380</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年中国联通总部消息计费消息</w:t>
            </w:r>
          </w:p>
          <w:p>
            <w:pPr>
              <w:pStyle w:val="TableParagraph"/>
              <w:tabs>
                <w:tab w:pos="3840"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侧实施项目</w:t>
              <w:tab/>
            </w:r>
            <w:r>
              <w:rPr>
                <w:rFonts w:ascii="宋体" w:hAnsi="宋体" w:cs="宋体" w:eastAsia="宋体" w:hint="default"/>
                <w:w w:val="11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27,972,960</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27,972,960</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8"/>
                <w:w w:val="105"/>
                <w:sz w:val="16"/>
                <w:szCs w:val="16"/>
              </w:rPr>
              <w:t> </w:t>
            </w:r>
            <w:r>
              <w:rPr>
                <w:rFonts w:ascii="宋体" w:hAnsi="宋体" w:cs="宋体" w:eastAsia="宋体" w:hint="default"/>
                <w:w w:val="105"/>
                <w:sz w:val="16"/>
                <w:szCs w:val="16"/>
              </w:rPr>
              <w:t>年中国联通总部</w:t>
            </w:r>
            <w:r>
              <w:rPr>
                <w:rFonts w:ascii="宋体" w:hAnsi="宋体" w:cs="宋体" w:eastAsia="宋体" w:hint="default"/>
                <w:spacing w:val="-57"/>
                <w:w w:val="105"/>
                <w:sz w:val="16"/>
                <w:szCs w:val="16"/>
              </w:rPr>
              <w:t> </w:t>
            </w:r>
            <w:r>
              <w:rPr>
                <w:rFonts w:ascii="宋体" w:hAnsi="宋体" w:cs="宋体" w:eastAsia="宋体" w:hint="default"/>
                <w:w w:val="105"/>
                <w:sz w:val="16"/>
                <w:szCs w:val="16"/>
              </w:rPr>
              <w:t>cBSS1.0</w:t>
            </w:r>
            <w:r>
              <w:rPr>
                <w:rFonts w:ascii="宋体" w:hAnsi="宋体" w:cs="宋体" w:eastAsia="宋体" w:hint="default"/>
                <w:spacing w:val="-57"/>
                <w:w w:val="105"/>
                <w:sz w:val="16"/>
                <w:szCs w:val="16"/>
              </w:rPr>
              <w:t> </w:t>
            </w:r>
            <w:r>
              <w:rPr>
                <w:rFonts w:ascii="宋体" w:hAnsi="宋体" w:cs="宋体" w:eastAsia="宋体" w:hint="default"/>
                <w:w w:val="105"/>
                <w:sz w:val="16"/>
                <w:szCs w:val="16"/>
              </w:rPr>
              <w:t>架构</w:t>
            </w:r>
          </w:p>
          <w:p>
            <w:pPr>
              <w:pStyle w:val="TableParagraph"/>
              <w:tabs>
                <w:tab w:pos="3840"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优化研发项目</w:t>
              <w:tab/>
            </w:r>
            <w:r>
              <w:rPr>
                <w:rFonts w:ascii="宋体" w:hAnsi="宋体" w:cs="宋体" w:eastAsia="宋体" w:hint="default"/>
                <w:w w:val="11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14,537,617</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90"/>
                <w:sz w:val="16"/>
              </w:rPr>
              <w:t>(110,453)</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14,427,164</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年中国联通总部能力开放平台</w:t>
            </w:r>
          </w:p>
          <w:p>
            <w:pPr>
              <w:pStyle w:val="TableParagraph"/>
              <w:tabs>
                <w:tab w:pos="3840"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研发项目</w:t>
              <w:tab/>
            </w:r>
            <w:r>
              <w:rPr>
                <w:rFonts w:ascii="宋体" w:hAnsi="宋体" w:cs="宋体" w:eastAsia="宋体" w:hint="default"/>
                <w:w w:val="11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12,642,000</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12,642,000</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年中国联通总部新客服研发项</w:t>
            </w:r>
          </w:p>
          <w:p>
            <w:pPr>
              <w:pStyle w:val="TableParagraph"/>
              <w:tabs>
                <w:tab w:pos="3840"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目（能力中心）</w:t>
              <w:tab/>
            </w:r>
            <w:r>
              <w:rPr>
                <w:rFonts w:ascii="宋体" w:hAnsi="宋体" w:cs="宋体" w:eastAsia="宋体" w:hint="default"/>
                <w:w w:val="11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11,879,444</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11,879,444</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8"/>
                <w:w w:val="105"/>
                <w:sz w:val="16"/>
                <w:szCs w:val="16"/>
              </w:rPr>
              <w:t> </w:t>
            </w:r>
            <w:r>
              <w:rPr>
                <w:rFonts w:ascii="宋体" w:hAnsi="宋体" w:cs="宋体" w:eastAsia="宋体" w:hint="default"/>
                <w:w w:val="105"/>
                <w:sz w:val="16"/>
                <w:szCs w:val="16"/>
              </w:rPr>
              <w:t>年中国联通总部</w:t>
            </w:r>
            <w:r>
              <w:rPr>
                <w:rFonts w:ascii="宋体" w:hAnsi="宋体" w:cs="宋体" w:eastAsia="宋体" w:hint="default"/>
                <w:spacing w:val="-57"/>
                <w:w w:val="105"/>
                <w:sz w:val="16"/>
                <w:szCs w:val="16"/>
              </w:rPr>
              <w:t> </w:t>
            </w:r>
            <w:r>
              <w:rPr>
                <w:rFonts w:ascii="宋体" w:hAnsi="宋体" w:cs="宋体" w:eastAsia="宋体" w:hint="default"/>
                <w:w w:val="105"/>
                <w:sz w:val="16"/>
                <w:szCs w:val="16"/>
              </w:rPr>
              <w:t>cBSS2.0</w:t>
            </w:r>
            <w:r>
              <w:rPr>
                <w:rFonts w:ascii="宋体" w:hAnsi="宋体" w:cs="宋体" w:eastAsia="宋体" w:hint="default"/>
                <w:spacing w:val="-57"/>
                <w:w w:val="105"/>
                <w:sz w:val="16"/>
                <w:szCs w:val="16"/>
              </w:rPr>
              <w:t> </w:t>
            </w:r>
            <w:r>
              <w:rPr>
                <w:rFonts w:ascii="宋体" w:hAnsi="宋体" w:cs="宋体" w:eastAsia="宋体" w:hint="default"/>
                <w:w w:val="105"/>
                <w:sz w:val="16"/>
                <w:szCs w:val="16"/>
              </w:rPr>
              <w:t>号卡</w:t>
            </w:r>
          </w:p>
          <w:p>
            <w:pPr>
              <w:pStyle w:val="TableParagraph"/>
              <w:tabs>
                <w:tab w:pos="3840"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资源管理项目</w:t>
              <w:tab/>
            </w:r>
            <w:r>
              <w:rPr>
                <w:rFonts w:ascii="宋体" w:hAnsi="宋体" w:cs="宋体" w:eastAsia="宋体" w:hint="default"/>
                <w:w w:val="11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11,390,000</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11,390,000</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2018</w:t>
            </w:r>
            <w:r>
              <w:rPr>
                <w:rFonts w:ascii="宋体" w:hAnsi="宋体" w:cs="宋体" w:eastAsia="宋体" w:hint="default"/>
                <w:spacing w:val="-58"/>
                <w:w w:val="105"/>
                <w:sz w:val="16"/>
                <w:szCs w:val="16"/>
              </w:rPr>
              <w:t> </w:t>
            </w:r>
            <w:r>
              <w:rPr>
                <w:rFonts w:ascii="宋体" w:hAnsi="宋体" w:cs="宋体" w:eastAsia="宋体" w:hint="default"/>
                <w:w w:val="105"/>
                <w:sz w:val="16"/>
                <w:szCs w:val="16"/>
              </w:rPr>
              <w:t>年中国联通总部</w:t>
            </w:r>
            <w:r>
              <w:rPr>
                <w:rFonts w:ascii="宋体" w:hAnsi="宋体" w:cs="宋体" w:eastAsia="宋体" w:hint="default"/>
                <w:spacing w:val="-57"/>
                <w:w w:val="105"/>
                <w:sz w:val="16"/>
                <w:szCs w:val="16"/>
              </w:rPr>
              <w:t> </w:t>
            </w:r>
            <w:r>
              <w:rPr>
                <w:rFonts w:ascii="宋体" w:hAnsi="宋体" w:cs="宋体" w:eastAsia="宋体" w:hint="default"/>
                <w:w w:val="105"/>
                <w:sz w:val="16"/>
                <w:szCs w:val="16"/>
              </w:rPr>
              <w:t>cBSS2.0</w:t>
            </w:r>
            <w:r>
              <w:rPr>
                <w:rFonts w:ascii="宋体" w:hAnsi="宋体" w:cs="宋体" w:eastAsia="宋体" w:hint="default"/>
                <w:spacing w:val="-57"/>
                <w:w w:val="105"/>
                <w:sz w:val="16"/>
                <w:szCs w:val="16"/>
              </w:rPr>
              <w:t> </w:t>
            </w:r>
            <w:r>
              <w:rPr>
                <w:rFonts w:ascii="宋体" w:hAnsi="宋体" w:cs="宋体" w:eastAsia="宋体" w:hint="default"/>
                <w:w w:val="105"/>
                <w:sz w:val="16"/>
                <w:szCs w:val="16"/>
              </w:rPr>
              <w:t>二线</w:t>
            </w:r>
          </w:p>
          <w:p>
            <w:pPr>
              <w:pStyle w:val="TableParagraph"/>
              <w:tabs>
                <w:tab w:pos="3840"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能力建设研发项目</w:t>
            </w:r>
            <w:r>
              <w:rPr>
                <w:rFonts w:ascii="宋体" w:hAnsi="宋体" w:cs="宋体" w:eastAsia="宋体" w:hint="default"/>
                <w:spacing w:val="-40"/>
                <w:sz w:val="16"/>
                <w:szCs w:val="16"/>
              </w:rPr>
              <w:t> </w:t>
            </w:r>
            <w:r>
              <w:rPr>
                <w:rFonts w:ascii="宋体" w:hAnsi="宋体" w:cs="宋体" w:eastAsia="宋体" w:hint="default"/>
                <w:sz w:val="16"/>
                <w:szCs w:val="16"/>
              </w:rPr>
              <w:t>_</w:t>
            </w:r>
            <w:r>
              <w:rPr>
                <w:rFonts w:ascii="宋体" w:hAnsi="宋体" w:cs="宋体" w:eastAsia="宋体" w:hint="default"/>
                <w:spacing w:val="-40"/>
                <w:sz w:val="16"/>
                <w:szCs w:val="16"/>
              </w:rPr>
              <w:t> </w:t>
            </w:r>
            <w:r>
              <w:rPr>
                <w:rFonts w:ascii="宋体" w:hAnsi="宋体" w:cs="宋体" w:eastAsia="宋体" w:hint="default"/>
                <w:sz w:val="16"/>
                <w:szCs w:val="16"/>
              </w:rPr>
              <w:t>沃行销</w:t>
              <w:tab/>
            </w:r>
            <w:r>
              <w:rPr>
                <w:rFonts w:ascii="宋体" w:hAnsi="宋体" w:cs="宋体" w:eastAsia="宋体" w:hint="default"/>
                <w:w w:val="10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12,180,357</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90"/>
                <w:sz w:val="16"/>
              </w:rPr>
              <w:t>(60,061)</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12,120,296</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58"/>
                <w:w w:val="105"/>
                <w:sz w:val="16"/>
                <w:szCs w:val="16"/>
              </w:rPr>
              <w:t> </w:t>
            </w:r>
            <w:r>
              <w:rPr>
                <w:rFonts w:ascii="宋体" w:hAnsi="宋体" w:cs="宋体" w:eastAsia="宋体" w:hint="default"/>
                <w:w w:val="105"/>
                <w:sz w:val="16"/>
                <w:szCs w:val="16"/>
              </w:rPr>
              <w:t>年中国联通总部</w:t>
            </w:r>
            <w:r>
              <w:rPr>
                <w:rFonts w:ascii="宋体" w:hAnsi="宋体" w:cs="宋体" w:eastAsia="宋体" w:hint="default"/>
                <w:spacing w:val="-57"/>
                <w:w w:val="105"/>
                <w:sz w:val="16"/>
                <w:szCs w:val="16"/>
              </w:rPr>
              <w:t> </w:t>
            </w:r>
            <w:r>
              <w:rPr>
                <w:rFonts w:ascii="宋体" w:hAnsi="宋体" w:cs="宋体" w:eastAsia="宋体" w:hint="default"/>
                <w:w w:val="105"/>
                <w:sz w:val="16"/>
                <w:szCs w:val="16"/>
              </w:rPr>
              <w:t>cBSS2.0</w:t>
            </w:r>
            <w:r>
              <w:rPr>
                <w:rFonts w:ascii="宋体" w:hAnsi="宋体" w:cs="宋体" w:eastAsia="宋体" w:hint="default"/>
                <w:spacing w:val="-57"/>
                <w:w w:val="105"/>
                <w:sz w:val="16"/>
                <w:szCs w:val="16"/>
              </w:rPr>
              <w:t> </w:t>
            </w:r>
            <w:r>
              <w:rPr>
                <w:rFonts w:ascii="宋体" w:hAnsi="宋体" w:cs="宋体" w:eastAsia="宋体" w:hint="default"/>
                <w:w w:val="105"/>
                <w:sz w:val="16"/>
                <w:szCs w:val="16"/>
              </w:rPr>
              <w:t>公共</w:t>
            </w:r>
          </w:p>
          <w:p>
            <w:pPr>
              <w:pStyle w:val="TableParagraph"/>
              <w:tabs>
                <w:tab w:pos="3147"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position w:val="-9"/>
                <w:sz w:val="16"/>
                <w:szCs w:val="16"/>
              </w:rPr>
              <w:t>平台能力研发项目</w:t>
              <w:tab/>
            </w:r>
            <w:r>
              <w:rPr>
                <w:rFonts w:ascii="宋体" w:hAnsi="宋体" w:cs="宋体" w:eastAsia="宋体" w:hint="default"/>
                <w:sz w:val="16"/>
                <w:szCs w:val="16"/>
              </w:rPr>
              <w:t>38,908,953</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4,984,361</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90"/>
                <w:sz w:val="16"/>
              </w:rPr>
              <w:t>(43,851,637)</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90"/>
                <w:sz w:val="16"/>
              </w:rPr>
              <w:t>(41,677)</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tabs>
                <w:tab w:pos="3840" w:val="left" w:leader="none"/>
              </w:tabs>
              <w:spacing w:line="115" w:lineRule="auto" w:before="92"/>
              <w:ind w:left="113" w:right="142"/>
              <w:jc w:val="left"/>
              <w:rPr>
                <w:rFonts w:ascii="宋体" w:hAnsi="宋体" w:cs="宋体" w:eastAsia="宋体" w:hint="default"/>
                <w:sz w:val="16"/>
                <w:szCs w:val="16"/>
              </w:rPr>
            </w:pPr>
            <w:r>
              <w:rPr>
                <w:rFonts w:ascii="宋体" w:hAnsi="宋体" w:cs="宋体" w:eastAsia="宋体" w:hint="default"/>
                <w:w w:val="105"/>
                <w:sz w:val="16"/>
                <w:szCs w:val="16"/>
              </w:rPr>
              <w:t>2017</w:t>
            </w:r>
            <w:r>
              <w:rPr>
                <w:rFonts w:ascii="宋体" w:hAnsi="宋体" w:cs="宋体" w:eastAsia="宋体" w:hint="default"/>
                <w:spacing w:val="-47"/>
                <w:w w:val="105"/>
                <w:sz w:val="16"/>
                <w:szCs w:val="16"/>
              </w:rPr>
              <w:t> </w:t>
            </w:r>
            <w:r>
              <w:rPr>
                <w:rFonts w:ascii="宋体" w:hAnsi="宋体" w:cs="宋体" w:eastAsia="宋体" w:hint="default"/>
                <w:w w:val="105"/>
                <w:sz w:val="16"/>
                <w:szCs w:val="16"/>
              </w:rPr>
              <w:t>年中国联通总部</w:t>
            </w:r>
            <w:r>
              <w:rPr>
                <w:rFonts w:ascii="宋体" w:hAnsi="宋体" w:cs="宋体" w:eastAsia="宋体" w:hint="default"/>
                <w:spacing w:val="-46"/>
                <w:w w:val="105"/>
                <w:sz w:val="16"/>
                <w:szCs w:val="16"/>
              </w:rPr>
              <w:t> </w:t>
            </w:r>
            <w:r>
              <w:rPr>
                <w:rFonts w:ascii="宋体" w:hAnsi="宋体" w:cs="宋体" w:eastAsia="宋体" w:hint="default"/>
                <w:w w:val="105"/>
                <w:sz w:val="16"/>
                <w:szCs w:val="16"/>
              </w:rPr>
              <w:t>cBSS2.0</w:t>
            </w:r>
            <w:r>
              <w:rPr>
                <w:rFonts w:ascii="宋体" w:hAnsi="宋体" w:cs="宋体" w:eastAsia="宋体" w:hint="default"/>
                <w:spacing w:val="-46"/>
                <w:w w:val="105"/>
                <w:sz w:val="16"/>
                <w:szCs w:val="16"/>
              </w:rPr>
              <w:t> </w:t>
            </w:r>
            <w:r>
              <w:rPr>
                <w:rFonts w:ascii="宋体" w:hAnsi="宋体" w:cs="宋体" w:eastAsia="宋体" w:hint="default"/>
                <w:w w:val="105"/>
                <w:sz w:val="16"/>
                <w:szCs w:val="16"/>
              </w:rPr>
              <w:t>新零</w:t>
            </w:r>
            <w:r>
              <w:rPr>
                <w:rFonts w:ascii="宋体" w:hAnsi="宋体" w:cs="宋体" w:eastAsia="宋体" w:hint="default"/>
                <w:sz w:val="16"/>
                <w:szCs w:val="16"/>
              </w:rPr>
              <w:t> 售一期试点软件研发项目</w:t>
              <w:tab/>
            </w:r>
            <w:r>
              <w:rPr>
                <w:rFonts w:ascii="宋体" w:hAnsi="宋体" w:cs="宋体" w:eastAsia="宋体" w:hint="default"/>
                <w:w w:val="10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30,390,000</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90"/>
                <w:sz w:val="16"/>
              </w:rPr>
              <w:t>(30,390,000)</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年中国联通总部数据业务消息</w:t>
            </w:r>
          </w:p>
          <w:p>
            <w:pPr>
              <w:pStyle w:val="TableParagraph"/>
              <w:tabs>
                <w:tab w:pos="3147"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position w:val="-9"/>
                <w:sz w:val="16"/>
                <w:szCs w:val="16"/>
              </w:rPr>
              <w:t>计费研发项目</w:t>
              <w:tab/>
            </w:r>
            <w:r>
              <w:rPr>
                <w:rFonts w:ascii="宋体" w:hAnsi="宋体" w:cs="宋体" w:eastAsia="宋体" w:hint="default"/>
                <w:sz w:val="16"/>
                <w:szCs w:val="16"/>
              </w:rPr>
              <w:t>27,355,963</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7,030,454</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90"/>
                <w:sz w:val="16"/>
              </w:rPr>
              <w:t>(34,213,390)</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90"/>
                <w:sz w:val="16"/>
              </w:rPr>
              <w:t>(173,027)</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tabs>
                <w:tab w:pos="3147" w:val="left" w:leader="none"/>
              </w:tabs>
              <w:spacing w:line="115" w:lineRule="auto" w:before="92"/>
              <w:ind w:left="113" w:right="142"/>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39"/>
                <w:sz w:val="16"/>
                <w:szCs w:val="16"/>
              </w:rPr>
              <w:t> </w:t>
            </w:r>
            <w:r>
              <w:rPr>
                <w:rFonts w:ascii="宋体" w:hAnsi="宋体" w:cs="宋体" w:eastAsia="宋体" w:hint="default"/>
                <w:sz w:val="16"/>
                <w:szCs w:val="16"/>
              </w:rPr>
              <w:t>年中国联通总部</w:t>
            </w:r>
            <w:r>
              <w:rPr>
                <w:rFonts w:ascii="宋体" w:hAnsi="宋体" w:cs="宋体" w:eastAsia="宋体" w:hint="default"/>
                <w:spacing w:val="-38"/>
                <w:sz w:val="16"/>
                <w:szCs w:val="16"/>
              </w:rPr>
              <w:t> </w:t>
            </w:r>
            <w:r>
              <w:rPr>
                <w:rFonts w:ascii="宋体" w:hAnsi="宋体" w:cs="宋体" w:eastAsia="宋体" w:hint="default"/>
                <w:sz w:val="16"/>
                <w:szCs w:val="16"/>
              </w:rPr>
              <w:t>cBSS2.0</w:t>
            </w:r>
            <w:r>
              <w:rPr>
                <w:rFonts w:ascii="宋体" w:hAnsi="宋体" w:cs="宋体" w:eastAsia="宋体" w:hint="default"/>
                <w:spacing w:val="-38"/>
                <w:sz w:val="16"/>
                <w:szCs w:val="16"/>
              </w:rPr>
              <w:t> </w:t>
            </w:r>
            <w:r>
              <w:rPr>
                <w:rFonts w:ascii="宋体" w:hAnsi="宋体" w:cs="宋体" w:eastAsia="宋体" w:hint="default"/>
                <w:sz w:val="16"/>
                <w:szCs w:val="16"/>
              </w:rPr>
              <w:t>号卡</w:t>
            </w:r>
            <w:r>
              <w:rPr>
                <w:rFonts w:ascii="宋体" w:hAnsi="宋体" w:cs="宋体" w:eastAsia="宋体" w:hint="default"/>
                <w:spacing w:val="-9"/>
                <w:sz w:val="16"/>
                <w:szCs w:val="16"/>
              </w:rPr>
              <w:t> </w:t>
            </w:r>
            <w:r>
              <w:rPr>
                <w:rFonts w:ascii="宋体" w:hAnsi="宋体" w:cs="宋体" w:eastAsia="宋体" w:hint="default"/>
                <w:spacing w:val="-9"/>
                <w:sz w:val="16"/>
                <w:szCs w:val="16"/>
              </w:rPr>
            </w:r>
            <w:r>
              <w:rPr>
                <w:rFonts w:ascii="宋体" w:hAnsi="宋体" w:cs="宋体" w:eastAsia="宋体" w:hint="default"/>
                <w:position w:val="-9"/>
                <w:sz w:val="16"/>
                <w:szCs w:val="16"/>
              </w:rPr>
              <w:t>资源管理迭代研发项目</w:t>
              <w:tab/>
            </w:r>
            <w:r>
              <w:rPr>
                <w:rFonts w:ascii="宋体" w:hAnsi="宋体" w:cs="宋体" w:eastAsia="宋体" w:hint="default"/>
                <w:sz w:val="16"/>
                <w:szCs w:val="16"/>
              </w:rPr>
              <w:t>13,660,366</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sz w:val="16"/>
              </w:rPr>
              <w:t>948,414</w:t>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90"/>
                <w:sz w:val="16"/>
              </w:rPr>
              <w:t>(14,603,680)</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85"/>
                <w:sz w:val="16"/>
              </w:rPr>
              <w:t>(5,100)</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tabs>
                <w:tab w:pos="3147" w:val="left" w:leader="none"/>
              </w:tabs>
              <w:spacing w:line="115" w:lineRule="auto" w:before="92"/>
              <w:ind w:left="113" w:right="142"/>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39"/>
                <w:sz w:val="16"/>
                <w:szCs w:val="16"/>
              </w:rPr>
              <w:t> </w:t>
            </w:r>
            <w:r>
              <w:rPr>
                <w:rFonts w:ascii="宋体" w:hAnsi="宋体" w:cs="宋体" w:eastAsia="宋体" w:hint="default"/>
                <w:sz w:val="16"/>
                <w:szCs w:val="16"/>
              </w:rPr>
              <w:t>年中国联通总部</w:t>
            </w:r>
            <w:r>
              <w:rPr>
                <w:rFonts w:ascii="宋体" w:hAnsi="宋体" w:cs="宋体" w:eastAsia="宋体" w:hint="default"/>
                <w:spacing w:val="-38"/>
                <w:sz w:val="16"/>
                <w:szCs w:val="16"/>
              </w:rPr>
              <w:t> </w:t>
            </w:r>
            <w:r>
              <w:rPr>
                <w:rFonts w:ascii="宋体" w:hAnsi="宋体" w:cs="宋体" w:eastAsia="宋体" w:hint="default"/>
                <w:sz w:val="16"/>
                <w:szCs w:val="16"/>
              </w:rPr>
              <w:t>cBSS2.0</w:t>
            </w:r>
            <w:r>
              <w:rPr>
                <w:rFonts w:ascii="宋体" w:hAnsi="宋体" w:cs="宋体" w:eastAsia="宋体" w:hint="default"/>
                <w:spacing w:val="-38"/>
                <w:sz w:val="16"/>
                <w:szCs w:val="16"/>
              </w:rPr>
              <w:t> </w:t>
            </w:r>
            <w:r>
              <w:rPr>
                <w:rFonts w:ascii="宋体" w:hAnsi="宋体" w:cs="宋体" w:eastAsia="宋体" w:hint="default"/>
                <w:sz w:val="16"/>
                <w:szCs w:val="16"/>
              </w:rPr>
              <w:t>客户</w:t>
            </w:r>
            <w:r>
              <w:rPr>
                <w:rFonts w:ascii="宋体" w:hAnsi="宋体" w:cs="宋体" w:eastAsia="宋体" w:hint="default"/>
                <w:spacing w:val="-9"/>
                <w:sz w:val="16"/>
                <w:szCs w:val="16"/>
              </w:rPr>
              <w:t> </w:t>
            </w:r>
            <w:r>
              <w:rPr>
                <w:rFonts w:ascii="宋体" w:hAnsi="宋体" w:cs="宋体" w:eastAsia="宋体" w:hint="default"/>
                <w:spacing w:val="-9"/>
                <w:sz w:val="16"/>
                <w:szCs w:val="16"/>
              </w:rPr>
            </w:r>
            <w:r>
              <w:rPr>
                <w:rFonts w:ascii="宋体" w:hAnsi="宋体" w:cs="宋体" w:eastAsia="宋体" w:hint="default"/>
                <w:sz w:val="16"/>
                <w:szCs w:val="16"/>
              </w:rPr>
              <w:t>中心（自然人）应用软件研发项目</w:t>
              <w:tab/>
            </w:r>
            <w:r>
              <w:rPr>
                <w:rFonts w:ascii="宋体" w:hAnsi="宋体" w:cs="宋体" w:eastAsia="宋体" w:hint="default"/>
                <w:position w:val="10"/>
                <w:sz w:val="16"/>
                <w:szCs w:val="16"/>
              </w:rPr>
              <w:t>10,679,880</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131"/>
                <w:sz w:val="16"/>
              </w:rPr>
              <w:t>-</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90"/>
                <w:sz w:val="16"/>
              </w:rPr>
              <w:t>(10,679,880)</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年中国联通河南业务支撑核心</w:t>
            </w:r>
          </w:p>
          <w:p>
            <w:pPr>
              <w:pStyle w:val="TableParagraph"/>
              <w:tabs>
                <w:tab w:pos="3147"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sz w:val="16"/>
                <w:szCs w:val="16"/>
              </w:rPr>
              <w:t>系统应用软件升级改造工程</w:t>
              <w:tab/>
            </w:r>
            <w:r>
              <w:rPr>
                <w:rFonts w:ascii="宋体" w:hAnsi="宋体" w:cs="宋体" w:eastAsia="宋体" w:hint="default"/>
                <w:position w:val="10"/>
                <w:sz w:val="16"/>
                <w:szCs w:val="16"/>
              </w:rPr>
              <w:t>16,059,150</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131"/>
                <w:sz w:val="16"/>
              </w:rPr>
              <w:t>-</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90"/>
                <w:sz w:val="16"/>
              </w:rPr>
              <w:t>(16,059,150)</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sz w:val="16"/>
                <w:szCs w:val="16"/>
              </w:rPr>
              <w:t>中国联通物联网蜂窝安全子系统自</w:t>
            </w:r>
          </w:p>
          <w:p>
            <w:pPr>
              <w:pStyle w:val="TableParagraph"/>
              <w:tabs>
                <w:tab w:pos="3147"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position w:val="-9"/>
                <w:sz w:val="16"/>
                <w:szCs w:val="16"/>
              </w:rPr>
              <w:t>主研发项目</w:t>
              <w:tab/>
            </w:r>
            <w:r>
              <w:rPr>
                <w:rFonts w:ascii="宋体" w:hAnsi="宋体" w:cs="宋体" w:eastAsia="宋体" w:hint="default"/>
                <w:sz w:val="16"/>
                <w:szCs w:val="16"/>
              </w:rPr>
              <w:t>19,107,139</w:t>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39,807,084</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95"/>
                <w:sz w:val="16"/>
              </w:rPr>
              <w:t>58,914,223</w:t>
            </w:r>
            <w:r>
              <w:rPr>
                <w:rFonts w:ascii="宋体"/>
                <w:sz w:val="16"/>
              </w:rPr>
            </w:r>
          </w:p>
        </w:tc>
      </w:tr>
      <w:tr>
        <w:trPr>
          <w:trHeight w:val="473" w:hRule="exact"/>
        </w:trPr>
        <w:tc>
          <w:tcPr>
            <w:tcW w:w="4091" w:type="dxa"/>
            <w:tcBorders>
              <w:top w:val="nil" w:sz="6" w:space="0" w:color="auto"/>
              <w:left w:val="nil" w:sz="6" w:space="0" w:color="auto"/>
              <w:bottom w:val="nil" w:sz="6" w:space="0" w:color="auto"/>
              <w:right w:val="nil" w:sz="6" w:space="0" w:color="auto"/>
            </w:tcBorders>
          </w:tcPr>
          <w:p>
            <w:pPr>
              <w:pStyle w:val="TableParagraph"/>
              <w:tabs>
                <w:tab w:pos="3841" w:val="left" w:leader="none"/>
              </w:tabs>
              <w:spacing w:line="115" w:lineRule="auto" w:before="92"/>
              <w:ind w:left="113" w:right="142"/>
              <w:jc w:val="left"/>
              <w:rPr>
                <w:rFonts w:ascii="宋体" w:hAnsi="宋体" w:cs="宋体" w:eastAsia="宋体" w:hint="default"/>
                <w:sz w:val="16"/>
                <w:szCs w:val="16"/>
              </w:rPr>
            </w:pPr>
            <w:r>
              <w:rPr>
                <w:rFonts w:ascii="宋体" w:hAnsi="宋体" w:cs="宋体" w:eastAsia="宋体" w:hint="default"/>
                <w:w w:val="105"/>
                <w:sz w:val="16"/>
                <w:szCs w:val="16"/>
              </w:rPr>
              <w:t>联通智网科技有限公司车机技术开</w:t>
            </w:r>
            <w:r>
              <w:rPr>
                <w:rFonts w:ascii="宋体" w:hAnsi="宋体" w:cs="宋体" w:eastAsia="宋体" w:hint="default"/>
                <w:sz w:val="16"/>
                <w:szCs w:val="16"/>
              </w:rPr>
              <w:t> 发和相关设备研制工作项目</w:t>
              <w:tab/>
            </w:r>
            <w:r>
              <w:rPr>
                <w:rFonts w:ascii="宋体" w:hAnsi="宋体" w:cs="宋体" w:eastAsia="宋体" w:hint="default"/>
                <w:w w:val="105"/>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32,075,472</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90"/>
                <w:sz w:val="16"/>
              </w:rPr>
              <w:t>(16,037,736)</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95"/>
                <w:sz w:val="16"/>
              </w:rPr>
              <w:t>16,037,736</w:t>
            </w:r>
            <w:r>
              <w:rPr>
                <w:rFonts w:ascii="宋体"/>
                <w:sz w:val="16"/>
              </w:rPr>
            </w:r>
          </w:p>
        </w:tc>
      </w:tr>
      <w:tr>
        <w:trPr>
          <w:trHeight w:val="423" w:hRule="exact"/>
        </w:trPr>
        <w:tc>
          <w:tcPr>
            <w:tcW w:w="4091" w:type="dxa"/>
            <w:tcBorders>
              <w:top w:val="nil" w:sz="6" w:space="0" w:color="auto"/>
              <w:left w:val="nil" w:sz="6" w:space="0" w:color="auto"/>
              <w:bottom w:val="nil" w:sz="6" w:space="0" w:color="auto"/>
              <w:right w:val="nil" w:sz="6" w:space="0" w:color="auto"/>
            </w:tcBorders>
          </w:tcPr>
          <w:p>
            <w:pPr>
              <w:pStyle w:val="TableParagraph"/>
              <w:tabs>
                <w:tab w:pos="3841" w:val="left" w:leader="none"/>
              </w:tabs>
              <w:spacing w:line="115" w:lineRule="auto" w:before="92"/>
              <w:ind w:left="113" w:right="142"/>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5"/>
                <w:w w:val="110"/>
                <w:sz w:val="16"/>
                <w:szCs w:val="16"/>
              </w:rPr>
              <w:t> </w:t>
            </w:r>
            <w:r>
              <w:rPr>
                <w:rFonts w:ascii="宋体" w:hAnsi="宋体" w:cs="宋体" w:eastAsia="宋体" w:hint="default"/>
                <w:w w:val="110"/>
                <w:sz w:val="16"/>
                <w:szCs w:val="16"/>
              </w:rPr>
              <w:t>年中国联通河南业务支撑核心</w:t>
            </w:r>
            <w:r>
              <w:rPr>
                <w:rFonts w:ascii="宋体" w:hAnsi="宋体" w:cs="宋体" w:eastAsia="宋体" w:hint="default"/>
                <w:sz w:val="16"/>
                <w:szCs w:val="16"/>
              </w:rPr>
              <w:t> 系统应用软件日常迭代工程</w:t>
              <w:tab/>
            </w:r>
            <w:r>
              <w:rPr>
                <w:rFonts w:ascii="宋体" w:hAnsi="宋体" w:cs="宋体" w:eastAsia="宋体" w:hint="default"/>
                <w:w w:val="110"/>
                <w:position w:val="10"/>
                <w:sz w:val="16"/>
                <w:szCs w:val="16"/>
              </w:rPr>
              <w:t>-</w:t>
            </w:r>
            <w:r>
              <w:rPr>
                <w:rFonts w:ascii="宋体" w:hAnsi="宋体" w:cs="宋体" w:eastAsia="宋体" w:hint="default"/>
                <w:sz w:val="16"/>
                <w:szCs w:val="16"/>
              </w:rPr>
            </w:r>
          </w:p>
        </w:tc>
        <w:tc>
          <w:tcPr>
            <w:tcW w:w="126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right"/>
              <w:rPr>
                <w:rFonts w:ascii="宋体" w:hAnsi="宋体" w:cs="宋体" w:eastAsia="宋体" w:hint="default"/>
                <w:sz w:val="16"/>
                <w:szCs w:val="16"/>
              </w:rPr>
            </w:pPr>
            <w:r>
              <w:rPr>
                <w:rFonts w:ascii="宋体"/>
                <w:w w:val="95"/>
                <w:sz w:val="16"/>
              </w:rPr>
              <w:t>16,956,000</w:t>
            </w:r>
            <w:r>
              <w:rPr>
                <w:rFonts w:ascii="宋体"/>
                <w:sz w:val="16"/>
              </w:rPr>
            </w:r>
          </w:p>
        </w:tc>
        <w:tc>
          <w:tcPr>
            <w:tcW w:w="138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3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21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95"/>
                <w:sz w:val="16"/>
              </w:rPr>
              <w:t>16,956,000</w:t>
            </w:r>
            <w:r>
              <w:rPr>
                <w:rFonts w:ascii="宋体"/>
                <w:sz w:val="16"/>
              </w:rPr>
            </w:r>
          </w:p>
        </w:tc>
      </w:tr>
      <w:tr>
        <w:trPr>
          <w:trHeight w:val="380" w:hRule="exact"/>
        </w:trPr>
        <w:tc>
          <w:tcPr>
            <w:tcW w:w="4091" w:type="dxa"/>
            <w:tcBorders>
              <w:top w:val="nil" w:sz="6" w:space="0" w:color="auto"/>
              <w:left w:val="nil" w:sz="6" w:space="0" w:color="auto"/>
              <w:bottom w:val="single" w:sz="6" w:space="0" w:color="000000"/>
              <w:right w:val="nil" w:sz="6" w:space="0" w:color="auto"/>
            </w:tcBorders>
          </w:tcPr>
          <w:p>
            <w:pPr>
              <w:pStyle w:val="TableParagraph"/>
              <w:tabs>
                <w:tab w:pos="2944" w:val="left" w:leader="none"/>
              </w:tabs>
              <w:spacing w:line="240" w:lineRule="auto" w:before="45"/>
              <w:ind w:right="28"/>
              <w:jc w:val="center"/>
              <w:rPr>
                <w:rFonts w:ascii="宋体" w:hAnsi="宋体" w:cs="宋体" w:eastAsia="宋体" w:hint="default"/>
                <w:sz w:val="16"/>
                <w:szCs w:val="16"/>
              </w:rPr>
            </w:pPr>
            <w:r>
              <w:rPr>
                <w:rFonts w:ascii="宋体" w:hAnsi="宋体" w:cs="宋体" w:eastAsia="宋体" w:hint="default"/>
                <w:sz w:val="16"/>
                <w:szCs w:val="16"/>
              </w:rPr>
              <w:t>其他</w:t>
              <w:tab/>
              <w:t>154,223,760</w:t>
            </w:r>
          </w:p>
        </w:tc>
        <w:tc>
          <w:tcPr>
            <w:tcW w:w="1260"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92"/>
              <w:jc w:val="right"/>
              <w:rPr>
                <w:rFonts w:ascii="宋体" w:hAnsi="宋体" w:cs="宋体" w:eastAsia="宋体" w:hint="default"/>
                <w:sz w:val="16"/>
                <w:szCs w:val="16"/>
              </w:rPr>
            </w:pPr>
            <w:r>
              <w:rPr>
                <w:rFonts w:ascii="宋体"/>
                <w:w w:val="95"/>
                <w:sz w:val="16"/>
              </w:rPr>
              <w:t>1,171,596,317</w:t>
            </w:r>
            <w:r>
              <w:rPr>
                <w:rFonts w:ascii="宋体"/>
                <w:sz w:val="16"/>
              </w:rPr>
            </w:r>
          </w:p>
        </w:tc>
        <w:tc>
          <w:tcPr>
            <w:tcW w:w="1381"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164"/>
              <w:jc w:val="right"/>
              <w:rPr>
                <w:rFonts w:ascii="宋体" w:hAnsi="宋体" w:cs="宋体" w:eastAsia="宋体" w:hint="default"/>
                <w:sz w:val="16"/>
                <w:szCs w:val="16"/>
              </w:rPr>
            </w:pPr>
            <w:r>
              <w:rPr>
                <w:rFonts w:ascii="宋体"/>
                <w:w w:val="90"/>
                <w:sz w:val="16"/>
              </w:rPr>
              <w:t>(198,016,434)</w:t>
            </w:r>
            <w:r>
              <w:rPr>
                <w:rFonts w:ascii="宋体"/>
                <w:sz w:val="16"/>
              </w:rPr>
            </w:r>
          </w:p>
        </w:tc>
        <w:tc>
          <w:tcPr>
            <w:tcW w:w="1354"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208"/>
              <w:jc w:val="right"/>
              <w:rPr>
                <w:rFonts w:ascii="宋体" w:hAnsi="宋体" w:cs="宋体" w:eastAsia="宋体" w:hint="default"/>
                <w:sz w:val="16"/>
                <w:szCs w:val="16"/>
              </w:rPr>
            </w:pPr>
            <w:r>
              <w:rPr>
                <w:rFonts w:ascii="宋体"/>
                <w:w w:val="90"/>
                <w:sz w:val="16"/>
              </w:rPr>
              <w:t>(871,835,452)</w:t>
            </w:r>
            <w:r>
              <w:rPr>
                <w:rFonts w:ascii="宋体"/>
                <w:sz w:val="16"/>
              </w:rPr>
            </w:r>
          </w:p>
        </w:tc>
        <w:tc>
          <w:tcPr>
            <w:tcW w:w="1212" w:type="dxa"/>
            <w:tcBorders>
              <w:top w:val="nil" w:sz="6" w:space="0" w:color="auto"/>
              <w:left w:val="nil" w:sz="6" w:space="0" w:color="auto"/>
              <w:bottom w:val="single" w:sz="6" w:space="0" w:color="000000"/>
              <w:right w:val="nil" w:sz="6" w:space="0" w:color="auto"/>
            </w:tcBorders>
          </w:tcPr>
          <w:p>
            <w:pPr>
              <w:pStyle w:val="TableParagraph"/>
              <w:spacing w:line="240" w:lineRule="auto" w:before="45"/>
              <w:ind w:right="110"/>
              <w:jc w:val="right"/>
              <w:rPr>
                <w:rFonts w:ascii="宋体" w:hAnsi="宋体" w:cs="宋体" w:eastAsia="宋体" w:hint="default"/>
                <w:sz w:val="16"/>
                <w:szCs w:val="16"/>
              </w:rPr>
            </w:pPr>
            <w:r>
              <w:rPr>
                <w:rFonts w:ascii="宋体"/>
                <w:sz w:val="16"/>
              </w:rPr>
              <w:t>255,968,191</w:t>
            </w:r>
          </w:p>
        </w:tc>
      </w:tr>
      <w:tr>
        <w:trPr>
          <w:trHeight w:val="414" w:hRule="exact"/>
        </w:trPr>
        <w:tc>
          <w:tcPr>
            <w:tcW w:w="4091" w:type="dxa"/>
            <w:tcBorders>
              <w:top w:val="single" w:sz="6" w:space="0" w:color="000000"/>
              <w:left w:val="nil" w:sz="6" w:space="0" w:color="auto"/>
              <w:bottom w:val="single" w:sz="16" w:space="0" w:color="9F8958"/>
              <w:right w:val="nil" w:sz="6" w:space="0" w:color="auto"/>
            </w:tcBorders>
          </w:tcPr>
          <w:p>
            <w:pPr>
              <w:pStyle w:val="TableParagraph"/>
              <w:tabs>
                <w:tab w:pos="2944" w:val="left" w:leader="none"/>
              </w:tabs>
              <w:spacing w:line="240" w:lineRule="auto" w:before="64"/>
              <w:ind w:right="29"/>
              <w:jc w:val="center"/>
              <w:rPr>
                <w:rFonts w:ascii="宋体" w:hAnsi="宋体" w:cs="宋体" w:eastAsia="宋体" w:hint="default"/>
                <w:sz w:val="16"/>
                <w:szCs w:val="16"/>
              </w:rPr>
            </w:pPr>
            <w:r>
              <w:rPr>
                <w:rFonts w:ascii="宋体" w:hAnsi="宋体" w:cs="宋体" w:eastAsia="宋体" w:hint="default"/>
                <w:sz w:val="16"/>
                <w:szCs w:val="16"/>
              </w:rPr>
              <w:t>合计</w:t>
              <w:tab/>
              <w:t>279,995,211</w:t>
            </w:r>
          </w:p>
        </w:tc>
        <w:tc>
          <w:tcPr>
            <w:tcW w:w="126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92"/>
              <w:jc w:val="right"/>
              <w:rPr>
                <w:rFonts w:ascii="宋体" w:hAnsi="宋体" w:cs="宋体" w:eastAsia="宋体" w:hint="default"/>
                <w:sz w:val="16"/>
                <w:szCs w:val="16"/>
              </w:rPr>
            </w:pPr>
            <w:r>
              <w:rPr>
                <w:rFonts w:ascii="宋体"/>
                <w:w w:val="95"/>
                <w:sz w:val="16"/>
              </w:rPr>
              <w:t>1,418,558,860</w:t>
            </w:r>
            <w:r>
              <w:rPr>
                <w:rFonts w:ascii="宋体"/>
                <w:sz w:val="16"/>
              </w:rPr>
            </w:r>
          </w:p>
        </w:tc>
        <w:tc>
          <w:tcPr>
            <w:tcW w:w="138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64"/>
              <w:jc w:val="right"/>
              <w:rPr>
                <w:rFonts w:ascii="宋体" w:hAnsi="宋体" w:cs="宋体" w:eastAsia="宋体" w:hint="default"/>
                <w:sz w:val="16"/>
                <w:szCs w:val="16"/>
              </w:rPr>
            </w:pPr>
            <w:r>
              <w:rPr>
                <w:rFonts w:ascii="宋体"/>
                <w:w w:val="90"/>
                <w:sz w:val="16"/>
              </w:rPr>
              <w:t>(363,851,907)</w:t>
            </w:r>
            <w:r>
              <w:rPr>
                <w:rFonts w:ascii="宋体"/>
                <w:sz w:val="16"/>
              </w:rPr>
            </w:r>
          </w:p>
        </w:tc>
        <w:tc>
          <w:tcPr>
            <w:tcW w:w="135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09"/>
              <w:jc w:val="right"/>
              <w:rPr>
                <w:rFonts w:ascii="宋体" w:hAnsi="宋体" w:cs="宋体" w:eastAsia="宋体" w:hint="default"/>
                <w:sz w:val="16"/>
                <w:szCs w:val="16"/>
              </w:rPr>
            </w:pPr>
            <w:r>
              <w:rPr>
                <w:rFonts w:ascii="宋体"/>
                <w:w w:val="90"/>
                <w:sz w:val="16"/>
              </w:rPr>
              <w:t>(872,225,770)</w:t>
            </w:r>
            <w:r>
              <w:rPr>
                <w:rFonts w:ascii="宋体"/>
                <w:sz w:val="16"/>
              </w:rPr>
            </w:r>
          </w:p>
        </w:tc>
        <w:tc>
          <w:tcPr>
            <w:tcW w:w="121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462,476,394</w:t>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40"/>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15、长期待摊费用</w:t>
      </w:r>
    </w:p>
    <w:p>
      <w:pPr>
        <w:spacing w:line="240" w:lineRule="auto" w:before="10"/>
        <w:rPr>
          <w:rFonts w:ascii="宋体" w:hAnsi="宋体" w:cs="宋体" w:eastAsia="宋体" w:hint="default"/>
          <w:sz w:val="14"/>
          <w:szCs w:val="14"/>
        </w:rPr>
      </w:pPr>
    </w:p>
    <w:tbl>
      <w:tblPr>
        <w:tblW w:w="0" w:type="auto"/>
        <w:jc w:val="left"/>
        <w:tblInd w:w="454" w:type="dxa"/>
        <w:tblLayout w:type="fixed"/>
        <w:tblCellMar>
          <w:top w:w="0" w:type="dxa"/>
          <w:left w:w="0" w:type="dxa"/>
          <w:bottom w:w="0" w:type="dxa"/>
          <w:right w:w="0" w:type="dxa"/>
        </w:tblCellMar>
        <w:tblLook w:val="01E0"/>
      </w:tblPr>
      <w:tblGrid>
        <w:gridCol w:w="3596"/>
        <w:gridCol w:w="1472"/>
        <w:gridCol w:w="1398"/>
        <w:gridCol w:w="1487"/>
        <w:gridCol w:w="1345"/>
      </w:tblGrid>
      <w:tr>
        <w:trPr>
          <w:trHeight w:val="584" w:hRule="exact"/>
        </w:trPr>
        <w:tc>
          <w:tcPr>
            <w:tcW w:w="3596" w:type="dxa"/>
            <w:tcBorders>
              <w:top w:val="nil" w:sz="6" w:space="0" w:color="auto"/>
              <w:left w:val="nil" w:sz="6" w:space="0" w:color="auto"/>
              <w:bottom w:val="single" w:sz="16" w:space="0" w:color="9F8958"/>
              <w:right w:val="nil" w:sz="6" w:space="0" w:color="auto"/>
            </w:tcBorders>
          </w:tcPr>
          <w:p>
            <w:pPr>
              <w:pStyle w:val="TableParagraph"/>
              <w:spacing w:line="205" w:lineRule="exact" w:before="41"/>
              <w:ind w:right="179"/>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05" w:lineRule="exact"/>
              <w:ind w:right="139"/>
              <w:jc w:val="right"/>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472" w:type="dxa"/>
            <w:tcBorders>
              <w:top w:val="nil" w:sz="6" w:space="0" w:color="auto"/>
              <w:left w:val="nil" w:sz="6" w:space="0" w:color="auto"/>
              <w:bottom w:val="single" w:sz="16" w:space="0" w:color="9F8958"/>
              <w:right w:val="nil" w:sz="6" w:space="0" w:color="auto"/>
            </w:tcBorders>
          </w:tcPr>
          <w:p>
            <w:pPr>
              <w:pStyle w:val="TableParagraph"/>
              <w:spacing w:line="205" w:lineRule="exact" w:before="41"/>
              <w:ind w:left="141" w:right="0"/>
              <w:jc w:val="left"/>
              <w:rPr>
                <w:rFonts w:ascii="宋体" w:hAnsi="宋体" w:cs="宋体" w:eastAsia="宋体" w:hint="default"/>
                <w:sz w:val="16"/>
                <w:szCs w:val="16"/>
              </w:rPr>
            </w:pPr>
            <w:r>
              <w:rPr>
                <w:rFonts w:ascii="宋体" w:hAnsi="宋体" w:cs="宋体" w:eastAsia="宋体" w:hint="default"/>
                <w:sz w:val="16"/>
                <w:szCs w:val="16"/>
              </w:rPr>
              <w:t>重分类至其他非</w:t>
            </w:r>
          </w:p>
          <w:p>
            <w:pPr>
              <w:pStyle w:val="TableParagraph"/>
              <w:spacing w:line="205" w:lineRule="exact"/>
              <w:ind w:left="621"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1398"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164"/>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487"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08"/>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345" w:type="dxa"/>
            <w:tcBorders>
              <w:top w:val="nil" w:sz="6" w:space="0" w:color="auto"/>
              <w:left w:val="nil" w:sz="6" w:space="0" w:color="auto"/>
              <w:bottom w:val="single" w:sz="16" w:space="0" w:color="9F8958"/>
              <w:right w:val="nil" w:sz="6" w:space="0" w:color="auto"/>
            </w:tcBorders>
          </w:tcPr>
          <w:p>
            <w:pPr>
              <w:pStyle w:val="TableParagraph"/>
              <w:spacing w:line="205" w:lineRule="exact" w:before="41"/>
              <w:ind w:left="562" w:right="0"/>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05" w:lineRule="exact"/>
              <w:ind w:left="362" w:right="0"/>
              <w:jc w:val="center"/>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r>
      <w:tr>
        <w:trPr>
          <w:trHeight w:val="362" w:hRule="exact"/>
        </w:trPr>
        <w:tc>
          <w:tcPr>
            <w:tcW w:w="3596" w:type="dxa"/>
            <w:tcBorders>
              <w:top w:val="single" w:sz="16" w:space="0" w:color="9F8958"/>
              <w:left w:val="nil" w:sz="6" w:space="0" w:color="auto"/>
              <w:bottom w:val="nil" w:sz="6" w:space="0" w:color="auto"/>
              <w:right w:val="nil" w:sz="6" w:space="0" w:color="auto"/>
            </w:tcBorders>
          </w:tcPr>
          <w:p>
            <w:pPr>
              <w:pStyle w:val="TableParagraph"/>
              <w:tabs>
                <w:tab w:pos="2394"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长期预付租金及其相关服务</w:t>
              <w:tab/>
              <w:t>1,615,800,144</w:t>
            </w:r>
          </w:p>
        </w:tc>
        <w:tc>
          <w:tcPr>
            <w:tcW w:w="147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08"/>
              <w:jc w:val="right"/>
              <w:rPr>
                <w:rFonts w:ascii="宋体" w:hAnsi="宋体" w:cs="宋体" w:eastAsia="宋体" w:hint="default"/>
                <w:sz w:val="16"/>
                <w:szCs w:val="16"/>
              </w:rPr>
            </w:pPr>
            <w:r>
              <w:rPr>
                <w:rFonts w:ascii="宋体"/>
                <w:w w:val="131"/>
                <w:sz w:val="16"/>
              </w:rPr>
              <w:t>-</w:t>
            </w:r>
            <w:r>
              <w:rPr>
                <w:rFonts w:ascii="宋体"/>
                <w:sz w:val="16"/>
              </w:rPr>
            </w:r>
          </w:p>
        </w:tc>
        <w:tc>
          <w:tcPr>
            <w:tcW w:w="139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64"/>
              <w:jc w:val="right"/>
              <w:rPr>
                <w:rFonts w:ascii="宋体" w:hAnsi="宋体" w:cs="宋体" w:eastAsia="宋体" w:hint="default"/>
                <w:sz w:val="16"/>
                <w:szCs w:val="16"/>
              </w:rPr>
            </w:pPr>
            <w:r>
              <w:rPr>
                <w:rFonts w:ascii="宋体"/>
                <w:sz w:val="16"/>
              </w:rPr>
              <w:t>424,869,691</w:t>
            </w:r>
          </w:p>
        </w:tc>
        <w:tc>
          <w:tcPr>
            <w:tcW w:w="148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08"/>
              <w:jc w:val="right"/>
              <w:rPr>
                <w:rFonts w:ascii="宋体" w:hAnsi="宋体" w:cs="宋体" w:eastAsia="宋体" w:hint="default"/>
                <w:sz w:val="16"/>
                <w:szCs w:val="16"/>
              </w:rPr>
            </w:pPr>
            <w:r>
              <w:rPr>
                <w:rFonts w:ascii="宋体"/>
                <w:w w:val="90"/>
                <w:sz w:val="16"/>
              </w:rPr>
              <w:t>(585,345,983)</w:t>
            </w:r>
            <w:r>
              <w:rPr>
                <w:rFonts w:ascii="宋体"/>
                <w:sz w:val="16"/>
              </w:rPr>
            </w:r>
          </w:p>
        </w:tc>
        <w:tc>
          <w:tcPr>
            <w:tcW w:w="134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1,455,323,852</w:t>
            </w:r>
            <w:r>
              <w:rPr>
                <w:rFonts w:ascii="宋体"/>
                <w:sz w:val="16"/>
              </w:rPr>
            </w:r>
          </w:p>
        </w:tc>
      </w:tr>
      <w:tr>
        <w:trPr>
          <w:trHeight w:val="273" w:hRule="exact"/>
        </w:trPr>
        <w:tc>
          <w:tcPr>
            <w:tcW w:w="3596" w:type="dxa"/>
            <w:tcBorders>
              <w:top w:val="nil" w:sz="6" w:space="0" w:color="auto"/>
              <w:left w:val="nil" w:sz="6" w:space="0" w:color="auto"/>
              <w:bottom w:val="nil" w:sz="6" w:space="0" w:color="auto"/>
              <w:right w:val="nil" w:sz="6" w:space="0" w:color="auto"/>
            </w:tcBorders>
          </w:tcPr>
          <w:p>
            <w:pPr>
              <w:pStyle w:val="TableParagraph"/>
              <w:tabs>
                <w:tab w:pos="2527" w:val="left" w:leader="none"/>
              </w:tabs>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外市电引入</w:t>
              <w:tab/>
              <w:t>459,286,893</w:t>
            </w:r>
          </w:p>
        </w:tc>
        <w:tc>
          <w:tcPr>
            <w:tcW w:w="1472" w:type="dxa"/>
            <w:tcBorders>
              <w:top w:val="nil" w:sz="6" w:space="0" w:color="auto"/>
              <w:left w:val="nil" w:sz="6" w:space="0" w:color="auto"/>
              <w:bottom w:val="nil" w:sz="6" w:space="0" w:color="auto"/>
              <w:right w:val="nil" w:sz="6" w:space="0" w:color="auto"/>
            </w:tcBorders>
          </w:tcPr>
          <w:p>
            <w:pPr>
              <w:pStyle w:val="TableParagraph"/>
              <w:spacing w:line="205" w:lineRule="exact"/>
              <w:ind w:right="208"/>
              <w:jc w:val="right"/>
              <w:rPr>
                <w:rFonts w:ascii="宋体" w:hAnsi="宋体" w:cs="宋体" w:eastAsia="宋体" w:hint="default"/>
                <w:sz w:val="16"/>
                <w:szCs w:val="16"/>
              </w:rPr>
            </w:pPr>
            <w:r>
              <w:rPr>
                <w:rFonts w:ascii="宋体"/>
                <w:w w:val="131"/>
                <w:sz w:val="16"/>
              </w:rPr>
              <w:t>-</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164"/>
              <w:jc w:val="right"/>
              <w:rPr>
                <w:rFonts w:ascii="宋体" w:hAnsi="宋体" w:cs="宋体" w:eastAsia="宋体" w:hint="default"/>
                <w:sz w:val="16"/>
                <w:szCs w:val="16"/>
              </w:rPr>
            </w:pPr>
            <w:r>
              <w:rPr>
                <w:rFonts w:ascii="宋体"/>
                <w:w w:val="95"/>
                <w:sz w:val="16"/>
              </w:rPr>
              <w:t>76,159,245</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208"/>
              <w:jc w:val="right"/>
              <w:rPr>
                <w:rFonts w:ascii="宋体" w:hAnsi="宋体" w:cs="宋体" w:eastAsia="宋体" w:hint="default"/>
                <w:sz w:val="16"/>
                <w:szCs w:val="16"/>
              </w:rPr>
            </w:pPr>
            <w:r>
              <w:rPr>
                <w:rFonts w:ascii="宋体"/>
                <w:w w:val="90"/>
                <w:sz w:val="16"/>
              </w:rPr>
              <w:t>(183,460,707)</w:t>
            </w:r>
            <w:r>
              <w:rPr>
                <w:rFonts w:ascii="宋体"/>
                <w:sz w:val="16"/>
              </w:rPr>
            </w:r>
          </w:p>
        </w:tc>
        <w:tc>
          <w:tcPr>
            <w:tcW w:w="134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351,985,431</w:t>
            </w:r>
          </w:p>
        </w:tc>
      </w:tr>
      <w:tr>
        <w:trPr>
          <w:trHeight w:val="323" w:hRule="exact"/>
        </w:trPr>
        <w:tc>
          <w:tcPr>
            <w:tcW w:w="3596" w:type="dxa"/>
            <w:tcBorders>
              <w:top w:val="nil" w:sz="6" w:space="0" w:color="auto"/>
              <w:left w:val="nil" w:sz="6" w:space="0" w:color="auto"/>
              <w:bottom w:val="nil" w:sz="6" w:space="0" w:color="auto"/>
              <w:right w:val="nil" w:sz="6" w:space="0" w:color="auto"/>
            </w:tcBorders>
          </w:tcPr>
          <w:p>
            <w:pPr>
              <w:pStyle w:val="TableParagraph"/>
              <w:tabs>
                <w:tab w:pos="2394" w:val="left" w:leader="none"/>
              </w:tabs>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经营租入固定资产改良</w:t>
              <w:tab/>
              <w:t>1,100,730,092</w:t>
            </w:r>
          </w:p>
        </w:tc>
        <w:tc>
          <w:tcPr>
            <w:tcW w:w="1472" w:type="dxa"/>
            <w:tcBorders>
              <w:top w:val="nil" w:sz="6" w:space="0" w:color="auto"/>
              <w:left w:val="nil" w:sz="6" w:space="0" w:color="auto"/>
              <w:bottom w:val="nil" w:sz="6" w:space="0" w:color="auto"/>
              <w:right w:val="nil" w:sz="6" w:space="0" w:color="auto"/>
            </w:tcBorders>
          </w:tcPr>
          <w:p>
            <w:pPr>
              <w:pStyle w:val="TableParagraph"/>
              <w:spacing w:line="205" w:lineRule="exact"/>
              <w:ind w:right="208"/>
              <w:jc w:val="right"/>
              <w:rPr>
                <w:rFonts w:ascii="宋体" w:hAnsi="宋体" w:cs="宋体" w:eastAsia="宋体" w:hint="default"/>
                <w:sz w:val="16"/>
                <w:szCs w:val="16"/>
              </w:rPr>
            </w:pPr>
            <w:r>
              <w:rPr>
                <w:rFonts w:ascii="宋体"/>
                <w:w w:val="131"/>
                <w:sz w:val="16"/>
              </w:rPr>
              <w:t>-</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05" w:lineRule="exact"/>
              <w:ind w:right="164"/>
              <w:jc w:val="right"/>
              <w:rPr>
                <w:rFonts w:ascii="宋体" w:hAnsi="宋体" w:cs="宋体" w:eastAsia="宋体" w:hint="default"/>
                <w:sz w:val="16"/>
                <w:szCs w:val="16"/>
              </w:rPr>
            </w:pPr>
            <w:r>
              <w:rPr>
                <w:rFonts w:ascii="宋体"/>
                <w:sz w:val="16"/>
              </w:rPr>
              <w:t>388,172,364</w:t>
            </w:r>
          </w:p>
        </w:tc>
        <w:tc>
          <w:tcPr>
            <w:tcW w:w="1487" w:type="dxa"/>
            <w:tcBorders>
              <w:top w:val="nil" w:sz="6" w:space="0" w:color="auto"/>
              <w:left w:val="nil" w:sz="6" w:space="0" w:color="auto"/>
              <w:bottom w:val="nil" w:sz="6" w:space="0" w:color="auto"/>
              <w:right w:val="nil" w:sz="6" w:space="0" w:color="auto"/>
            </w:tcBorders>
          </w:tcPr>
          <w:p>
            <w:pPr>
              <w:pStyle w:val="TableParagraph"/>
              <w:spacing w:line="205" w:lineRule="exact"/>
              <w:ind w:right="208"/>
              <w:jc w:val="right"/>
              <w:rPr>
                <w:rFonts w:ascii="宋体" w:hAnsi="宋体" w:cs="宋体" w:eastAsia="宋体" w:hint="default"/>
                <w:sz w:val="16"/>
                <w:szCs w:val="16"/>
              </w:rPr>
            </w:pPr>
            <w:r>
              <w:rPr>
                <w:rFonts w:ascii="宋体"/>
                <w:w w:val="90"/>
                <w:sz w:val="16"/>
              </w:rPr>
              <w:t>(551,781,427)</w:t>
            </w:r>
            <w:r>
              <w:rPr>
                <w:rFonts w:ascii="宋体"/>
                <w:sz w:val="16"/>
              </w:rPr>
            </w:r>
          </w:p>
        </w:tc>
        <w:tc>
          <w:tcPr>
            <w:tcW w:w="134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937,121,029</w:t>
            </w:r>
          </w:p>
        </w:tc>
      </w:tr>
      <w:tr>
        <w:trPr>
          <w:trHeight w:val="423"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100"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长期预付线路租赁</w:t>
            </w:r>
            <w:r>
              <w:rPr>
                <w:rFonts w:ascii="宋体" w:hAnsi="宋体" w:cs="宋体" w:eastAsia="宋体" w:hint="default"/>
                <w:spacing w:val="-36"/>
                <w:sz w:val="16"/>
                <w:szCs w:val="16"/>
              </w:rPr>
              <w:t> </w:t>
            </w:r>
            <w:r>
              <w:rPr>
                <w:rFonts w:ascii="宋体" w:hAnsi="宋体" w:cs="宋体" w:eastAsia="宋体" w:hint="default"/>
                <w:sz w:val="16"/>
                <w:szCs w:val="16"/>
              </w:rPr>
              <w:t>及其相</w:t>
            </w:r>
          </w:p>
          <w:p>
            <w:pPr>
              <w:pStyle w:val="TableParagraph"/>
              <w:tabs>
                <w:tab w:pos="2527"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position w:val="-9"/>
                <w:sz w:val="16"/>
                <w:szCs w:val="16"/>
              </w:rPr>
              <w:t>关服务</w:t>
              <w:tab/>
            </w:r>
            <w:r>
              <w:rPr>
                <w:rFonts w:ascii="宋体" w:hAnsi="宋体" w:cs="宋体" w:eastAsia="宋体" w:hint="default"/>
                <w:sz w:val="16"/>
                <w:szCs w:val="16"/>
              </w:rPr>
              <w:t>737,607,822</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64"/>
              <w:jc w:val="right"/>
              <w:rPr>
                <w:rFonts w:ascii="宋体" w:hAnsi="宋体" w:cs="宋体" w:eastAsia="宋体" w:hint="default"/>
                <w:sz w:val="16"/>
                <w:szCs w:val="16"/>
              </w:rPr>
            </w:pPr>
            <w:r>
              <w:rPr>
                <w:rFonts w:ascii="宋体"/>
                <w:sz w:val="16"/>
              </w:rPr>
              <w:t>136,336,266</w:t>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8"/>
              <w:jc w:val="right"/>
              <w:rPr>
                <w:rFonts w:ascii="宋体" w:hAnsi="宋体" w:cs="宋体" w:eastAsia="宋体" w:hint="default"/>
                <w:sz w:val="16"/>
                <w:szCs w:val="16"/>
              </w:rPr>
            </w:pPr>
            <w:r>
              <w:rPr>
                <w:rFonts w:ascii="宋体"/>
                <w:w w:val="90"/>
                <w:sz w:val="16"/>
              </w:rPr>
              <w:t>(421,461,052)</w:t>
            </w:r>
            <w:r>
              <w:rPr>
                <w:rFonts w:ascii="宋体"/>
                <w:sz w:val="16"/>
              </w:rPr>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1"/>
              <w:jc w:val="right"/>
              <w:rPr>
                <w:rFonts w:ascii="宋体" w:hAnsi="宋体" w:cs="宋体" w:eastAsia="宋体" w:hint="default"/>
                <w:sz w:val="16"/>
                <w:szCs w:val="16"/>
              </w:rPr>
            </w:pPr>
            <w:r>
              <w:rPr>
                <w:rFonts w:ascii="宋体"/>
                <w:sz w:val="16"/>
              </w:rPr>
              <w:t>452,483,036</w:t>
            </w:r>
          </w:p>
        </w:tc>
      </w:tr>
      <w:tr>
        <w:trPr>
          <w:trHeight w:val="423" w:hRule="exact"/>
        </w:trPr>
        <w:tc>
          <w:tcPr>
            <w:tcW w:w="3596" w:type="dxa"/>
            <w:tcBorders>
              <w:top w:val="nil" w:sz="6" w:space="0" w:color="auto"/>
              <w:left w:val="nil" w:sz="6" w:space="0" w:color="auto"/>
              <w:bottom w:val="nil" w:sz="6" w:space="0" w:color="auto"/>
              <w:right w:val="nil" w:sz="6" w:space="0" w:color="auto"/>
            </w:tcBorders>
          </w:tcPr>
          <w:p>
            <w:pPr>
              <w:pStyle w:val="TableParagraph"/>
              <w:spacing w:line="150" w:lineRule="exact"/>
              <w:ind w:left="113" w:right="0"/>
              <w:jc w:val="left"/>
              <w:rPr>
                <w:rFonts w:ascii="宋体" w:hAnsi="宋体" w:cs="宋体" w:eastAsia="宋体" w:hint="default"/>
                <w:sz w:val="16"/>
                <w:szCs w:val="16"/>
              </w:rPr>
            </w:pPr>
            <w:r>
              <w:rPr>
                <w:rFonts w:ascii="宋体" w:hAnsi="宋体" w:cs="宋体" w:eastAsia="宋体" w:hint="default"/>
                <w:sz w:val="16"/>
                <w:szCs w:val="16"/>
              </w:rPr>
              <w:t>一次性不退还收入的直接相</w:t>
            </w:r>
          </w:p>
          <w:p>
            <w:pPr>
              <w:pStyle w:val="TableParagraph"/>
              <w:tabs>
                <w:tab w:pos="2527"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position w:val="-9"/>
                <w:sz w:val="16"/>
                <w:szCs w:val="16"/>
              </w:rPr>
              <w:t>关成本</w:t>
              <w:tab/>
            </w:r>
            <w:r>
              <w:rPr>
                <w:rFonts w:ascii="宋体" w:hAnsi="宋体" w:cs="宋体" w:eastAsia="宋体" w:hint="default"/>
                <w:sz w:val="16"/>
                <w:szCs w:val="16"/>
              </w:rPr>
              <w:t>284,275,891</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8"/>
              <w:jc w:val="right"/>
              <w:rPr>
                <w:rFonts w:ascii="宋体" w:hAnsi="宋体" w:cs="宋体" w:eastAsia="宋体" w:hint="default"/>
                <w:sz w:val="16"/>
                <w:szCs w:val="16"/>
              </w:rPr>
            </w:pPr>
            <w:r>
              <w:rPr>
                <w:rFonts w:ascii="宋体"/>
                <w:w w:val="90"/>
                <w:sz w:val="16"/>
              </w:rPr>
              <w:t>(76,170,130)</w:t>
            </w:r>
            <w:r>
              <w:rPr>
                <w:rFonts w:ascii="宋体"/>
                <w:sz w:val="16"/>
              </w:rPr>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sz w:val="16"/>
              </w:rPr>
              <w:t>208,105,761</w:t>
            </w:r>
          </w:p>
        </w:tc>
      </w:tr>
      <w:tr>
        <w:trPr>
          <w:trHeight w:val="323" w:hRule="exact"/>
        </w:trPr>
        <w:tc>
          <w:tcPr>
            <w:tcW w:w="3596" w:type="dxa"/>
            <w:tcBorders>
              <w:top w:val="nil" w:sz="6" w:space="0" w:color="auto"/>
              <w:left w:val="nil" w:sz="6" w:space="0" w:color="auto"/>
              <w:bottom w:val="nil" w:sz="6" w:space="0" w:color="auto"/>
              <w:right w:val="nil" w:sz="6" w:space="0" w:color="auto"/>
            </w:tcBorders>
          </w:tcPr>
          <w:p>
            <w:pPr>
              <w:pStyle w:val="TableParagraph"/>
              <w:tabs>
                <w:tab w:pos="2394" w:val="left" w:leader="none"/>
              </w:tabs>
              <w:spacing w:line="240" w:lineRule="auto" w:before="45"/>
              <w:ind w:left="113" w:right="0"/>
              <w:jc w:val="left"/>
              <w:rPr>
                <w:rFonts w:ascii="宋体" w:hAnsi="宋体" w:cs="宋体" w:eastAsia="宋体" w:hint="default"/>
                <w:sz w:val="16"/>
                <w:szCs w:val="16"/>
              </w:rPr>
            </w:pPr>
            <w:r>
              <w:rPr>
                <w:rFonts w:ascii="宋体" w:hAnsi="宋体" w:cs="宋体" w:eastAsia="宋体" w:hint="default"/>
                <w:sz w:val="16"/>
                <w:szCs w:val="16"/>
              </w:rPr>
              <w:t>增量宽带及</w:t>
            </w:r>
            <w:r>
              <w:rPr>
                <w:rFonts w:ascii="宋体" w:hAnsi="宋体" w:cs="宋体" w:eastAsia="宋体" w:hint="default"/>
                <w:spacing w:val="-36"/>
                <w:sz w:val="16"/>
                <w:szCs w:val="16"/>
              </w:rPr>
              <w:t> </w:t>
            </w:r>
            <w:r>
              <w:rPr>
                <w:rFonts w:ascii="宋体" w:hAnsi="宋体" w:cs="宋体" w:eastAsia="宋体" w:hint="default"/>
                <w:sz w:val="16"/>
                <w:szCs w:val="16"/>
              </w:rPr>
              <w:t>IPTV</w:t>
            </w:r>
            <w:r>
              <w:rPr>
                <w:rFonts w:ascii="宋体" w:hAnsi="宋体" w:cs="宋体" w:eastAsia="宋体" w:hint="default"/>
                <w:spacing w:val="-36"/>
                <w:sz w:val="16"/>
                <w:szCs w:val="16"/>
              </w:rPr>
              <w:t> </w:t>
            </w:r>
            <w:r>
              <w:rPr>
                <w:rFonts w:ascii="宋体" w:hAnsi="宋体" w:cs="宋体" w:eastAsia="宋体" w:hint="default"/>
                <w:sz w:val="16"/>
                <w:szCs w:val="16"/>
              </w:rPr>
              <w:t>服务支出</w:t>
              <w:tab/>
              <w:t>4,521,516,640</w:t>
            </w:r>
          </w:p>
        </w:tc>
        <w:tc>
          <w:tcPr>
            <w:tcW w:w="147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8"/>
              <w:jc w:val="right"/>
              <w:rPr>
                <w:rFonts w:ascii="宋体" w:hAnsi="宋体" w:cs="宋体" w:eastAsia="宋体" w:hint="default"/>
                <w:sz w:val="16"/>
                <w:szCs w:val="16"/>
              </w:rPr>
            </w:pPr>
            <w:r>
              <w:rPr>
                <w:rFonts w:ascii="宋体"/>
                <w:w w:val="90"/>
                <w:sz w:val="16"/>
              </w:rPr>
              <w:t>(4,521,516,640)</w:t>
            </w:r>
            <w:r>
              <w:rPr>
                <w:rFonts w:ascii="宋体"/>
                <w:sz w:val="16"/>
              </w:rPr>
            </w:r>
          </w:p>
        </w:tc>
        <w:tc>
          <w:tcPr>
            <w:tcW w:w="1398"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64"/>
              <w:jc w:val="right"/>
              <w:rPr>
                <w:rFonts w:ascii="宋体" w:hAnsi="宋体" w:cs="宋体" w:eastAsia="宋体" w:hint="default"/>
                <w:sz w:val="16"/>
                <w:szCs w:val="16"/>
              </w:rPr>
            </w:pPr>
            <w:r>
              <w:rPr>
                <w:rFonts w:ascii="宋体"/>
                <w:w w:val="131"/>
                <w:sz w:val="16"/>
              </w:rPr>
              <w:t>-</w:t>
            </w:r>
            <w:r>
              <w:rPr>
                <w:rFonts w:ascii="宋体"/>
                <w:sz w:val="16"/>
              </w:rPr>
            </w:r>
          </w:p>
        </w:tc>
        <w:tc>
          <w:tcPr>
            <w:tcW w:w="1487"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08"/>
              <w:jc w:val="right"/>
              <w:rPr>
                <w:rFonts w:ascii="宋体" w:hAnsi="宋体" w:cs="宋体" w:eastAsia="宋体" w:hint="default"/>
                <w:sz w:val="16"/>
                <w:szCs w:val="16"/>
              </w:rPr>
            </w:pPr>
            <w:r>
              <w:rPr>
                <w:rFonts w:ascii="宋体"/>
                <w:w w:val="131"/>
                <w:sz w:val="16"/>
              </w:rPr>
              <w:t>-</w:t>
            </w:r>
            <w:r>
              <w:rPr>
                <w:rFonts w:ascii="宋体"/>
                <w:sz w:val="16"/>
              </w:rPr>
            </w:r>
          </w:p>
        </w:tc>
        <w:tc>
          <w:tcPr>
            <w:tcW w:w="134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30" w:hRule="exact"/>
        </w:trPr>
        <w:tc>
          <w:tcPr>
            <w:tcW w:w="3596" w:type="dxa"/>
            <w:tcBorders>
              <w:top w:val="nil" w:sz="6" w:space="0" w:color="auto"/>
              <w:left w:val="nil" w:sz="6" w:space="0" w:color="auto"/>
              <w:bottom w:val="single" w:sz="6" w:space="0" w:color="000000"/>
              <w:right w:val="nil" w:sz="6" w:space="0" w:color="auto"/>
            </w:tcBorders>
          </w:tcPr>
          <w:p>
            <w:pPr>
              <w:pStyle w:val="TableParagraph"/>
              <w:tabs>
                <w:tab w:pos="2527" w:val="left" w:leader="none"/>
              </w:tabs>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tab/>
              <w:t>599,690,824</w:t>
            </w:r>
          </w:p>
        </w:tc>
        <w:tc>
          <w:tcPr>
            <w:tcW w:w="1472" w:type="dxa"/>
            <w:tcBorders>
              <w:top w:val="nil" w:sz="6" w:space="0" w:color="auto"/>
              <w:left w:val="nil" w:sz="6" w:space="0" w:color="auto"/>
              <w:bottom w:val="single" w:sz="6" w:space="0" w:color="000000"/>
              <w:right w:val="nil" w:sz="6" w:space="0" w:color="auto"/>
            </w:tcBorders>
          </w:tcPr>
          <w:p>
            <w:pPr>
              <w:pStyle w:val="TableParagraph"/>
              <w:spacing w:line="205" w:lineRule="exact"/>
              <w:ind w:right="209"/>
              <w:jc w:val="right"/>
              <w:rPr>
                <w:rFonts w:ascii="宋体" w:hAnsi="宋体" w:cs="宋体" w:eastAsia="宋体" w:hint="default"/>
                <w:sz w:val="16"/>
                <w:szCs w:val="16"/>
              </w:rPr>
            </w:pPr>
            <w:r>
              <w:rPr>
                <w:rFonts w:ascii="宋体"/>
                <w:w w:val="131"/>
                <w:sz w:val="16"/>
              </w:rPr>
              <w:t>-</w:t>
            </w:r>
            <w:r>
              <w:rPr>
                <w:rFonts w:ascii="宋体"/>
                <w:sz w:val="16"/>
              </w:rPr>
            </w:r>
          </w:p>
        </w:tc>
        <w:tc>
          <w:tcPr>
            <w:tcW w:w="1398" w:type="dxa"/>
            <w:tcBorders>
              <w:top w:val="nil" w:sz="6" w:space="0" w:color="auto"/>
              <w:left w:val="nil" w:sz="6" w:space="0" w:color="auto"/>
              <w:bottom w:val="single" w:sz="6" w:space="0" w:color="000000"/>
              <w:right w:val="nil" w:sz="6" w:space="0" w:color="auto"/>
            </w:tcBorders>
          </w:tcPr>
          <w:p>
            <w:pPr>
              <w:pStyle w:val="TableParagraph"/>
              <w:spacing w:line="205" w:lineRule="exact"/>
              <w:ind w:right="164"/>
              <w:jc w:val="right"/>
              <w:rPr>
                <w:rFonts w:ascii="宋体" w:hAnsi="宋体" w:cs="宋体" w:eastAsia="宋体" w:hint="default"/>
                <w:sz w:val="16"/>
                <w:szCs w:val="16"/>
              </w:rPr>
            </w:pPr>
            <w:r>
              <w:rPr>
                <w:rFonts w:ascii="宋体"/>
                <w:sz w:val="16"/>
              </w:rPr>
              <w:t>242,580,533</w:t>
            </w:r>
          </w:p>
        </w:tc>
        <w:tc>
          <w:tcPr>
            <w:tcW w:w="1487" w:type="dxa"/>
            <w:tcBorders>
              <w:top w:val="nil" w:sz="6" w:space="0" w:color="auto"/>
              <w:left w:val="nil" w:sz="6" w:space="0" w:color="auto"/>
              <w:bottom w:val="single" w:sz="6" w:space="0" w:color="000000"/>
              <w:right w:val="nil" w:sz="6" w:space="0" w:color="auto"/>
            </w:tcBorders>
          </w:tcPr>
          <w:p>
            <w:pPr>
              <w:pStyle w:val="TableParagraph"/>
              <w:spacing w:line="205" w:lineRule="exact"/>
              <w:ind w:right="208"/>
              <w:jc w:val="right"/>
              <w:rPr>
                <w:rFonts w:ascii="宋体" w:hAnsi="宋体" w:cs="宋体" w:eastAsia="宋体" w:hint="default"/>
                <w:sz w:val="16"/>
                <w:szCs w:val="16"/>
              </w:rPr>
            </w:pPr>
            <w:r>
              <w:rPr>
                <w:rFonts w:ascii="宋体"/>
                <w:w w:val="90"/>
                <w:sz w:val="16"/>
              </w:rPr>
              <w:t>(318,197,183)</w:t>
            </w:r>
            <w:r>
              <w:rPr>
                <w:rFonts w:ascii="宋体"/>
                <w:sz w:val="16"/>
              </w:rPr>
            </w:r>
          </w:p>
        </w:tc>
        <w:tc>
          <w:tcPr>
            <w:tcW w:w="1345"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524,074,174</w:t>
            </w:r>
          </w:p>
        </w:tc>
      </w:tr>
      <w:tr>
        <w:trPr>
          <w:trHeight w:val="414" w:hRule="exact"/>
        </w:trPr>
        <w:tc>
          <w:tcPr>
            <w:tcW w:w="3596" w:type="dxa"/>
            <w:tcBorders>
              <w:top w:val="single" w:sz="6" w:space="0" w:color="000000"/>
              <w:left w:val="nil" w:sz="6" w:space="0" w:color="auto"/>
              <w:bottom w:val="single" w:sz="16" w:space="0" w:color="9F8958"/>
              <w:right w:val="nil" w:sz="6" w:space="0" w:color="auto"/>
            </w:tcBorders>
          </w:tcPr>
          <w:p>
            <w:pPr>
              <w:pStyle w:val="TableParagraph"/>
              <w:tabs>
                <w:tab w:pos="2394"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长期待摊费用合计</w:t>
              <w:tab/>
              <w:t>9,318,908,306</w:t>
            </w:r>
          </w:p>
        </w:tc>
        <w:tc>
          <w:tcPr>
            <w:tcW w:w="147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08"/>
              <w:jc w:val="right"/>
              <w:rPr>
                <w:rFonts w:ascii="宋体" w:hAnsi="宋体" w:cs="宋体" w:eastAsia="宋体" w:hint="default"/>
                <w:sz w:val="16"/>
                <w:szCs w:val="16"/>
              </w:rPr>
            </w:pPr>
            <w:r>
              <w:rPr>
                <w:rFonts w:ascii="宋体"/>
                <w:w w:val="90"/>
                <w:sz w:val="16"/>
              </w:rPr>
              <w:t>(4,521,516,640)</w:t>
            </w:r>
            <w:r>
              <w:rPr>
                <w:rFonts w:ascii="宋体"/>
                <w:sz w:val="16"/>
              </w:rPr>
            </w:r>
          </w:p>
        </w:tc>
        <w:tc>
          <w:tcPr>
            <w:tcW w:w="139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64"/>
              <w:jc w:val="right"/>
              <w:rPr>
                <w:rFonts w:ascii="宋体" w:hAnsi="宋体" w:cs="宋体" w:eastAsia="宋体" w:hint="default"/>
                <w:sz w:val="16"/>
                <w:szCs w:val="16"/>
              </w:rPr>
            </w:pPr>
            <w:r>
              <w:rPr>
                <w:rFonts w:ascii="宋体"/>
                <w:w w:val="95"/>
                <w:sz w:val="16"/>
              </w:rPr>
              <w:t>1,268,118,099</w:t>
            </w:r>
            <w:r>
              <w:rPr>
                <w:rFonts w:ascii="宋体"/>
                <w:sz w:val="16"/>
              </w:rPr>
            </w:r>
          </w:p>
        </w:tc>
        <w:tc>
          <w:tcPr>
            <w:tcW w:w="148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08"/>
              <w:jc w:val="right"/>
              <w:rPr>
                <w:rFonts w:ascii="宋体" w:hAnsi="宋体" w:cs="宋体" w:eastAsia="宋体" w:hint="default"/>
                <w:sz w:val="16"/>
                <w:szCs w:val="16"/>
              </w:rPr>
            </w:pPr>
            <w:r>
              <w:rPr>
                <w:rFonts w:ascii="宋体"/>
                <w:w w:val="90"/>
                <w:sz w:val="16"/>
              </w:rPr>
              <w:t>(2,136,416,482)</w:t>
            </w:r>
            <w:r>
              <w:rPr>
                <w:rFonts w:ascii="宋体"/>
                <w:sz w:val="16"/>
              </w:rPr>
            </w:r>
          </w:p>
        </w:tc>
        <w:tc>
          <w:tcPr>
            <w:tcW w:w="134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3,929,093,283</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114" w:right="0"/>
        <w:jc w:val="left"/>
      </w:pPr>
      <w:r>
        <w:rPr/>
        <w:t>16、其他非流动资产</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2573"/>
        <w:gridCol w:w="2068"/>
        <w:gridCol w:w="2321"/>
        <w:gridCol w:w="2335"/>
      </w:tblGrid>
      <w:tr>
        <w:trPr>
          <w:trHeight w:val="350" w:hRule="exact"/>
        </w:trPr>
        <w:tc>
          <w:tcPr>
            <w:tcW w:w="4642"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1078"/>
              <w:jc w:val="right"/>
              <w:rPr>
                <w:rFonts w:ascii="宋体" w:hAnsi="宋体" w:cs="宋体" w:eastAsia="宋体" w:hint="default"/>
                <w:sz w:val="16"/>
                <w:szCs w:val="16"/>
              </w:rPr>
            </w:pPr>
            <w:r>
              <w:rPr>
                <w:rFonts w:ascii="宋体" w:hAnsi="宋体" w:cs="宋体" w:eastAsia="宋体" w:hint="default"/>
                <w:sz w:val="16"/>
                <w:szCs w:val="16"/>
              </w:rPr>
              <w:t>注</w:t>
            </w: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35"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57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增量佣金支出</w:t>
            </w:r>
          </w:p>
        </w:tc>
        <w:tc>
          <w:tcPr>
            <w:tcW w:w="206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50"/>
              <w:jc w:val="center"/>
              <w:rPr>
                <w:rFonts w:ascii="宋体" w:hAnsi="宋体" w:cs="宋体" w:eastAsia="宋体" w:hint="default"/>
                <w:sz w:val="16"/>
                <w:szCs w:val="16"/>
              </w:rPr>
            </w:pPr>
            <w:r>
              <w:rPr>
                <w:rFonts w:ascii="宋体"/>
                <w:w w:val="80"/>
                <w:sz w:val="16"/>
              </w:rPr>
              <w:t>(a)</w:t>
            </w:r>
            <w:r>
              <w:rPr>
                <w:rFonts w:ascii="宋体"/>
                <w:sz w:val="16"/>
              </w:rPr>
            </w:r>
          </w:p>
        </w:tc>
        <w:tc>
          <w:tcPr>
            <w:tcW w:w="232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1,847,094,881</w:t>
            </w:r>
            <w:r>
              <w:rPr>
                <w:rFonts w:ascii="宋体"/>
                <w:sz w:val="16"/>
              </w:rPr>
            </w:r>
          </w:p>
        </w:tc>
        <w:tc>
          <w:tcPr>
            <w:tcW w:w="233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3"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增量宽带及</w:t>
            </w:r>
            <w:r>
              <w:rPr>
                <w:rFonts w:ascii="宋体" w:hAnsi="宋体" w:cs="宋体" w:eastAsia="宋体" w:hint="default"/>
                <w:spacing w:val="-36"/>
                <w:sz w:val="16"/>
                <w:szCs w:val="16"/>
              </w:rPr>
              <w:t> </w:t>
            </w:r>
            <w:r>
              <w:rPr>
                <w:rFonts w:ascii="宋体" w:hAnsi="宋体" w:cs="宋体" w:eastAsia="宋体" w:hint="default"/>
                <w:sz w:val="16"/>
                <w:szCs w:val="16"/>
              </w:rPr>
              <w:t>IPTV</w:t>
            </w:r>
            <w:r>
              <w:rPr>
                <w:rFonts w:ascii="宋体" w:hAnsi="宋体" w:cs="宋体" w:eastAsia="宋体" w:hint="default"/>
                <w:spacing w:val="-36"/>
                <w:sz w:val="16"/>
                <w:szCs w:val="16"/>
              </w:rPr>
              <w:t> </w:t>
            </w:r>
            <w:r>
              <w:rPr>
                <w:rFonts w:ascii="宋体" w:hAnsi="宋体" w:cs="宋体" w:eastAsia="宋体" w:hint="default"/>
                <w:sz w:val="16"/>
                <w:szCs w:val="16"/>
              </w:rPr>
              <w:t>服务支出</w:t>
            </w:r>
          </w:p>
        </w:tc>
        <w:tc>
          <w:tcPr>
            <w:tcW w:w="2068" w:type="dxa"/>
            <w:tcBorders>
              <w:top w:val="nil" w:sz="6" w:space="0" w:color="auto"/>
              <w:left w:val="nil" w:sz="6" w:space="0" w:color="auto"/>
              <w:bottom w:val="nil" w:sz="6" w:space="0" w:color="auto"/>
              <w:right w:val="nil" w:sz="6" w:space="0" w:color="auto"/>
            </w:tcBorders>
          </w:tcPr>
          <w:p>
            <w:pPr>
              <w:pStyle w:val="TableParagraph"/>
              <w:spacing w:line="205" w:lineRule="exact"/>
              <w:ind w:right="250"/>
              <w:jc w:val="center"/>
              <w:rPr>
                <w:rFonts w:ascii="宋体" w:hAnsi="宋体" w:cs="宋体" w:eastAsia="宋体" w:hint="default"/>
                <w:sz w:val="16"/>
                <w:szCs w:val="16"/>
              </w:rPr>
            </w:pPr>
            <w:r>
              <w:rPr>
                <w:rFonts w:ascii="宋体"/>
                <w:w w:val="85"/>
                <w:sz w:val="16"/>
              </w:rPr>
              <w:t>(b)</w:t>
            </w:r>
            <w:r>
              <w:rPr>
                <w:rFonts w:ascii="宋体"/>
                <w:sz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3,784,458,665</w:t>
            </w:r>
            <w:r>
              <w:rPr>
                <w:rFonts w:ascii="宋体"/>
                <w:sz w:val="16"/>
              </w:rPr>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3"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预缴及待抵扣增值税</w:t>
            </w:r>
          </w:p>
        </w:tc>
        <w:tc>
          <w:tcPr>
            <w:tcW w:w="2068" w:type="dxa"/>
            <w:tcBorders>
              <w:top w:val="nil" w:sz="6" w:space="0" w:color="auto"/>
              <w:left w:val="nil" w:sz="6" w:space="0" w:color="auto"/>
              <w:bottom w:val="nil" w:sz="6" w:space="0" w:color="auto"/>
              <w:right w:val="nil" w:sz="6" w:space="0" w:color="auto"/>
            </w:tcBorders>
          </w:tcPr>
          <w:p>
            <w:pPr>
              <w:pStyle w:val="TableParagraph"/>
              <w:spacing w:line="205" w:lineRule="exact"/>
              <w:ind w:right="25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(21)</w:t>
            </w:r>
            <w:r>
              <w:rPr>
                <w:rFonts w:ascii="宋体" w:hAnsi="宋体" w:cs="宋体" w:eastAsia="宋体" w:hint="default"/>
                <w:sz w:val="16"/>
                <w:szCs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423,866,816</w:t>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595,465,915</w:t>
            </w:r>
          </w:p>
        </w:tc>
      </w:tr>
      <w:tr>
        <w:trPr>
          <w:trHeight w:val="237" w:hRule="exact"/>
        </w:trPr>
        <w:tc>
          <w:tcPr>
            <w:tcW w:w="257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长期合同资产 -</w:t>
            </w:r>
            <w:r>
              <w:rPr>
                <w:rFonts w:ascii="宋体" w:hAnsi="宋体" w:cs="宋体" w:eastAsia="宋体" w:hint="default"/>
                <w:spacing w:val="-56"/>
                <w:sz w:val="16"/>
                <w:szCs w:val="16"/>
              </w:rPr>
              <w:t> </w:t>
            </w:r>
            <w:r>
              <w:rPr>
                <w:rFonts w:ascii="宋体" w:hAnsi="宋体" w:cs="宋体" w:eastAsia="宋体" w:hint="default"/>
                <w:sz w:val="16"/>
                <w:szCs w:val="16"/>
              </w:rPr>
              <w:t>回收期超过</w:t>
            </w:r>
          </w:p>
        </w:tc>
        <w:tc>
          <w:tcPr>
            <w:tcW w:w="2068" w:type="dxa"/>
            <w:tcBorders>
              <w:top w:val="nil" w:sz="6" w:space="0" w:color="auto"/>
              <w:left w:val="nil" w:sz="6" w:space="0" w:color="auto"/>
              <w:bottom w:val="nil" w:sz="6" w:space="0" w:color="auto"/>
              <w:right w:val="nil" w:sz="6" w:space="0" w:color="auto"/>
            </w:tcBorders>
          </w:tcPr>
          <w:p>
            <w:pPr>
              <w:pStyle w:val="TableParagraph"/>
              <w:spacing w:line="205" w:lineRule="exact"/>
              <w:ind w:right="25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63"/>
                <w:w w:val="95"/>
                <w:sz w:val="16"/>
                <w:szCs w:val="16"/>
              </w:rPr>
              <w:t> </w:t>
            </w:r>
            <w:r>
              <w:rPr>
                <w:rFonts w:ascii="宋体" w:hAnsi="宋体" w:cs="宋体" w:eastAsia="宋体" w:hint="default"/>
                <w:w w:val="95"/>
                <w:sz w:val="16"/>
                <w:szCs w:val="16"/>
              </w:rPr>
              <w:t>(7)</w:t>
            </w:r>
            <w:r>
              <w:rPr>
                <w:rFonts w:ascii="宋体" w:hAnsi="宋体" w:cs="宋体" w:eastAsia="宋体" w:hint="default"/>
                <w:sz w:val="16"/>
                <w:szCs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570,075,692</w:t>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753,091,681</w:t>
            </w:r>
          </w:p>
        </w:tc>
      </w:tr>
      <w:tr>
        <w:trPr>
          <w:trHeight w:val="294" w:hRule="exact"/>
        </w:trPr>
        <w:tc>
          <w:tcPr>
            <w:tcW w:w="2573" w:type="dxa"/>
            <w:tcBorders>
              <w:top w:val="nil" w:sz="6" w:space="0" w:color="auto"/>
              <w:left w:val="nil" w:sz="6" w:space="0" w:color="auto"/>
              <w:bottom w:val="single" w:sz="6" w:space="0" w:color="000000"/>
              <w:right w:val="nil" w:sz="6" w:space="0" w:color="auto"/>
            </w:tcBorders>
          </w:tcPr>
          <w:p>
            <w:pPr>
              <w:pStyle w:val="TableParagraph"/>
              <w:spacing w:line="168" w:lineRule="exact"/>
              <w:ind w:left="113" w:right="0"/>
              <w:jc w:val="left"/>
              <w:rPr>
                <w:rFonts w:ascii="宋体" w:hAnsi="宋体" w:cs="宋体" w:eastAsia="宋体" w:hint="default"/>
                <w:sz w:val="16"/>
                <w:szCs w:val="16"/>
              </w:rPr>
            </w:pPr>
            <w:r>
              <w:rPr>
                <w:rFonts w:ascii="宋体" w:hAnsi="宋体" w:cs="宋体" w:eastAsia="宋体" w:hint="default"/>
                <w:sz w:val="16"/>
                <w:szCs w:val="16"/>
              </w:rPr>
              <w:t>一年的应收合约用户终端款</w:t>
            </w:r>
          </w:p>
        </w:tc>
        <w:tc>
          <w:tcPr>
            <w:tcW w:w="2068" w:type="dxa"/>
            <w:tcBorders>
              <w:top w:val="nil" w:sz="6" w:space="0" w:color="auto"/>
              <w:left w:val="nil" w:sz="6" w:space="0" w:color="auto"/>
              <w:bottom w:val="single" w:sz="6" w:space="0" w:color="000000"/>
              <w:right w:val="nil" w:sz="6" w:space="0" w:color="auto"/>
            </w:tcBorders>
          </w:tcPr>
          <w:p>
            <w:pPr/>
          </w:p>
        </w:tc>
        <w:tc>
          <w:tcPr>
            <w:tcW w:w="2321" w:type="dxa"/>
            <w:tcBorders>
              <w:top w:val="nil" w:sz="6" w:space="0" w:color="auto"/>
              <w:left w:val="nil" w:sz="6" w:space="0" w:color="auto"/>
              <w:bottom w:val="single" w:sz="6" w:space="0" w:color="000000"/>
              <w:right w:val="nil" w:sz="6" w:space="0" w:color="auto"/>
            </w:tcBorders>
            <w:shd w:val="clear" w:color="auto" w:fill="ECE7DD"/>
          </w:tcPr>
          <w:p>
            <w:pPr/>
          </w:p>
        </w:tc>
        <w:tc>
          <w:tcPr>
            <w:tcW w:w="2335" w:type="dxa"/>
            <w:tcBorders>
              <w:top w:val="nil" w:sz="6" w:space="0" w:color="auto"/>
              <w:left w:val="nil" w:sz="6" w:space="0" w:color="auto"/>
              <w:bottom w:val="single" w:sz="6" w:space="0" w:color="000000"/>
              <w:right w:val="nil" w:sz="6" w:space="0" w:color="auto"/>
            </w:tcBorders>
          </w:tcPr>
          <w:p>
            <w:pPr/>
          </w:p>
        </w:tc>
      </w:tr>
      <w:tr>
        <w:trPr>
          <w:trHeight w:val="414" w:hRule="exact"/>
        </w:trPr>
        <w:tc>
          <w:tcPr>
            <w:tcW w:w="4642"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6,625,496,054</w:t>
            </w:r>
            <w:r>
              <w:rPr>
                <w:rFonts w:ascii="宋体"/>
                <w:sz w:val="16"/>
              </w:rPr>
            </w:r>
          </w:p>
        </w:tc>
        <w:tc>
          <w:tcPr>
            <w:tcW w:w="23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1,348,557,596</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(a)</w:t>
      </w:r>
      <w:r>
        <w:rPr>
          <w:spacing w:val="-21"/>
        </w:rPr>
        <w:t> </w:t>
      </w:r>
      <w:r>
        <w:rPr/>
        <w:t>增量佣金支出</w:t>
      </w:r>
    </w:p>
    <w:p>
      <w:pPr>
        <w:spacing w:line="240" w:lineRule="auto" w:before="12"/>
        <w:rPr>
          <w:rFonts w:ascii="宋体" w:hAnsi="宋体" w:cs="宋体" w:eastAsia="宋体" w:hint="default"/>
          <w:sz w:val="17"/>
          <w:szCs w:val="17"/>
        </w:rPr>
      </w:pPr>
    </w:p>
    <w:p>
      <w:pPr>
        <w:pStyle w:val="BodyText"/>
        <w:spacing w:line="285" w:lineRule="auto"/>
        <w:ind w:right="151"/>
        <w:jc w:val="both"/>
      </w:pPr>
      <w:r>
        <w:rPr>
          <w:spacing w:val="-2"/>
        </w:rPr>
        <w:t>增量佣金支出主要指为取得用户合同而支付给渠道商的增量佣金支出。本集团将预期能够收回的增量佣金支出资本化，</w:t>
      </w:r>
      <w:r>
        <w:rPr>
          <w:spacing w:val="-49"/>
        </w:rPr>
        <w:t> </w:t>
      </w:r>
      <w:r>
        <w:rPr>
          <w:spacing w:val="-49"/>
        </w:rPr>
      </w:r>
      <w:r>
        <w:rPr/>
        <w:t>并在相关收入确认时进行摊销，将摊销期限未超过一年的相关支出于其发生时计入当期损益。2017</w:t>
      </w:r>
      <w:r>
        <w:rPr>
          <w:spacing w:val="-27"/>
        </w:rPr>
        <w:t> </w:t>
      </w:r>
      <w:r>
        <w:rPr/>
        <w:t>年，这些佣金支出</w:t>
      </w:r>
      <w:r>
        <w:rPr>
          <w:spacing w:val="-73"/>
        </w:rPr>
        <w:t> </w:t>
      </w:r>
      <w:r>
        <w:rPr>
          <w:spacing w:val="-73"/>
        </w:rPr>
      </w:r>
      <w:r>
        <w:rPr/>
        <w:t>在发生时被确认为销售费用。</w:t>
      </w:r>
    </w:p>
    <w:p>
      <w:pPr>
        <w:spacing w:line="240" w:lineRule="auto" w:before="10"/>
        <w:rPr>
          <w:rFonts w:ascii="宋体" w:hAnsi="宋体" w:cs="宋体" w:eastAsia="宋体" w:hint="default"/>
          <w:sz w:val="13"/>
          <w:szCs w:val="13"/>
        </w:rPr>
      </w:pPr>
    </w:p>
    <w:p>
      <w:pPr>
        <w:pStyle w:val="BodyText"/>
        <w:spacing w:line="240" w:lineRule="auto"/>
        <w:ind w:right="0"/>
        <w:jc w:val="both"/>
      </w:pPr>
      <w:r>
        <w:rPr>
          <w:spacing w:val="5"/>
        </w:rPr>
        <w:t>本集团资本化的佣金支出当期摊销金额约为人民</w:t>
      </w:r>
      <w:r>
        <w:rPr/>
        <w:t>币</w:t>
      </w:r>
      <w:r>
        <w:rPr>
          <w:spacing w:val="-44"/>
        </w:rPr>
        <w:t> </w:t>
      </w:r>
      <w:r>
        <w:rPr>
          <w:spacing w:val="-1"/>
          <w:w w:val="111"/>
        </w:rPr>
        <w:t>16</w:t>
      </w:r>
      <w:r>
        <w:rPr>
          <w:w w:val="55"/>
        </w:rPr>
        <w:t>.</w:t>
      </w:r>
      <w:r>
        <w:rPr>
          <w:spacing w:val="-1"/>
          <w:w w:val="111"/>
        </w:rPr>
        <w:t>4</w:t>
      </w:r>
      <w:r>
        <w:rPr>
          <w:w w:val="111"/>
        </w:rPr>
        <w:t>2</w:t>
      </w:r>
      <w:r>
        <w:rPr>
          <w:spacing w:val="-44"/>
        </w:rPr>
        <w:t> </w:t>
      </w:r>
      <w:r>
        <w:rPr>
          <w:spacing w:val="5"/>
        </w:rPr>
        <w:t>亿</w:t>
      </w:r>
      <w:r>
        <w:rPr/>
        <w:t>元</w:t>
      </w:r>
      <w:r>
        <w:rPr>
          <w:spacing w:val="5"/>
        </w:rPr>
        <w:t>。年初及本年资本化的佣金支出未发生减</w:t>
      </w:r>
      <w:r>
        <w:rPr/>
        <w:t>值</w:t>
      </w:r>
      <w:r>
        <w:rPr>
          <w:spacing w:val="5"/>
        </w:rPr>
        <w:t>。</w:t>
      </w:r>
      <w:r>
        <w:rPr/>
        <w:t>于</w:t>
      </w:r>
      <w:r>
        <w:rPr>
          <w:spacing w:val="-44"/>
        </w:rPr>
        <w:t> </w:t>
      </w:r>
      <w:r>
        <w:rPr>
          <w:spacing w:val="-1"/>
          <w:w w:val="111"/>
        </w:rPr>
        <w:t>201</w:t>
      </w:r>
      <w:r>
        <w:rPr>
          <w:w w:val="111"/>
        </w:rPr>
        <w:t>8</w:t>
      </w:r>
      <w:r>
        <w:rPr/>
      </w:r>
    </w:p>
    <w:p>
      <w:pPr>
        <w:pStyle w:val="BodyText"/>
        <w:spacing w:line="458" w:lineRule="auto" w:before="44"/>
        <w:ind w:left="114" w:right="3920" w:firstLine="340"/>
        <w:jc w:val="left"/>
      </w:pPr>
      <w:r>
        <w:rPr/>
        <w:t>年</w:t>
      </w:r>
      <w:r>
        <w:rPr>
          <w:spacing w:val="-41"/>
        </w:rPr>
        <w:t> </w:t>
      </w:r>
      <w:r>
        <w:rPr/>
        <w:t>12</w:t>
      </w:r>
      <w:r>
        <w:rPr>
          <w:spacing w:val="-42"/>
        </w:rPr>
        <w:t> </w:t>
      </w:r>
      <w:r>
        <w:rPr/>
        <w:t>月</w:t>
      </w:r>
      <w:r>
        <w:rPr>
          <w:spacing w:val="-41"/>
        </w:rPr>
        <w:t> </w:t>
      </w:r>
      <w:r>
        <w:rPr/>
        <w:t>31</w:t>
      </w:r>
      <w:r>
        <w:rPr>
          <w:spacing w:val="-42"/>
        </w:rPr>
        <w:t> </w:t>
      </w:r>
      <w:r>
        <w:rPr/>
        <w:t>日，预计摊销期限超过一年的金额约为人民币</w:t>
      </w:r>
      <w:r>
        <w:rPr>
          <w:spacing w:val="-41"/>
        </w:rPr>
        <w:t> </w:t>
      </w:r>
      <w:r>
        <w:rPr/>
        <w:t>6.83</w:t>
      </w:r>
      <w:r>
        <w:rPr>
          <w:spacing w:val="-42"/>
        </w:rPr>
        <w:t> </w:t>
      </w:r>
      <w:r>
        <w:rPr/>
        <w:t>亿元。</w:t>
      </w:r>
      <w:r>
        <w:rPr/>
        <w:t> (b)</w:t>
      </w:r>
      <w:r>
        <w:rPr>
          <w:spacing w:val="12"/>
        </w:rPr>
        <w:t> </w:t>
      </w:r>
      <w:r>
        <w:rPr/>
        <w:t>增量宽带及</w:t>
      </w:r>
      <w:r>
        <w:rPr>
          <w:spacing w:val="-57"/>
        </w:rPr>
        <w:t> </w:t>
      </w:r>
      <w:r>
        <w:rPr/>
        <w:t>IPTV</w:t>
      </w:r>
      <w:r>
        <w:rPr>
          <w:spacing w:val="-57"/>
        </w:rPr>
        <w:t> </w:t>
      </w:r>
      <w:r>
        <w:rPr/>
        <w:t>服务支出</w:t>
      </w:r>
    </w:p>
    <w:p>
      <w:pPr>
        <w:pStyle w:val="BodyText"/>
        <w:spacing w:line="285" w:lineRule="auto" w:before="71"/>
        <w:ind w:right="148"/>
        <w:jc w:val="both"/>
      </w:pPr>
      <w:r>
        <w:rPr/>
        <w:t>增量宽带及</w:t>
      </w:r>
      <w:r>
        <w:rPr>
          <w:spacing w:val="-41"/>
        </w:rPr>
        <w:t> </w:t>
      </w:r>
      <w:r>
        <w:rPr/>
        <w:t>IPTV</w:t>
      </w:r>
      <w:r>
        <w:rPr>
          <w:spacing w:val="-41"/>
        </w:rPr>
        <w:t> </w:t>
      </w:r>
      <w:r>
        <w:rPr/>
        <w:t>服务支出主要指为提供宽带和</w:t>
      </w:r>
      <w:r>
        <w:rPr>
          <w:spacing w:val="-41"/>
        </w:rPr>
        <w:t> </w:t>
      </w:r>
      <w:r>
        <w:rPr/>
        <w:t>IPTV</w:t>
      </w:r>
      <w:r>
        <w:rPr>
          <w:spacing w:val="-41"/>
        </w:rPr>
        <w:t> </w:t>
      </w:r>
      <w:r>
        <w:rPr/>
        <w:t>服务，为用户开通宽带和</w:t>
      </w:r>
      <w:r>
        <w:rPr>
          <w:spacing w:val="-41"/>
        </w:rPr>
        <w:t> </w:t>
      </w:r>
      <w:r>
        <w:rPr/>
        <w:t>IPTV</w:t>
      </w:r>
      <w:r>
        <w:rPr>
          <w:spacing w:val="-41"/>
        </w:rPr>
        <w:t> </w:t>
      </w:r>
      <w:r>
        <w:rPr/>
        <w:t>而发生的终端等直接相关成本，在</w:t>
      </w:r>
      <w:r>
        <w:rPr/>
        <w:t> </w:t>
      </w:r>
      <w:r>
        <w:rPr>
          <w:spacing w:val="2"/>
        </w:rPr>
        <w:t>预计服务期内进行摊销。该资本化的直接相关成本当期摊销金额约为人民币</w:t>
      </w:r>
      <w:r>
        <w:rPr>
          <w:spacing w:val="-41"/>
        </w:rPr>
        <w:t> </w:t>
      </w:r>
      <w:r>
        <w:rPr>
          <w:spacing w:val="-1"/>
          <w:w w:val="99"/>
        </w:rPr>
        <w:t>40.44</w:t>
      </w:r>
      <w:r>
        <w:rPr>
          <w:spacing w:val="-41"/>
          <w:w w:val="99"/>
        </w:rPr>
        <w:t> </w:t>
      </w:r>
      <w:r>
        <w:rPr>
          <w:spacing w:val="1"/>
        </w:rPr>
        <w:t>亿元。于</w:t>
      </w:r>
      <w:r>
        <w:rPr>
          <w:spacing w:val="-41"/>
        </w:rPr>
        <w:t> </w:t>
      </w:r>
      <w:r>
        <w:rPr>
          <w:spacing w:val="-1"/>
          <w:w w:val="111"/>
        </w:rPr>
        <w:t>2018</w:t>
      </w:r>
      <w:r>
        <w:rPr>
          <w:spacing w:val="-51"/>
          <w:w w:val="111"/>
        </w:rPr>
        <w:t> </w:t>
      </w:r>
      <w:r>
        <w:rPr/>
        <w:t>年</w:t>
      </w:r>
      <w:r>
        <w:rPr>
          <w:spacing w:val="-41"/>
        </w:rPr>
        <w:t> </w:t>
      </w:r>
      <w:r>
        <w:rPr>
          <w:spacing w:val="-1"/>
          <w:w w:val="111"/>
        </w:rPr>
        <w:t>12</w:t>
      </w:r>
      <w:r>
        <w:rPr>
          <w:spacing w:val="-51"/>
          <w:w w:val="111"/>
        </w:rPr>
        <w:t> </w:t>
      </w:r>
      <w:r>
        <w:rPr/>
        <w:t>月</w:t>
      </w:r>
      <w:r>
        <w:rPr>
          <w:spacing w:val="-41"/>
        </w:rPr>
        <w:t> </w:t>
      </w:r>
      <w:r>
        <w:rPr>
          <w:spacing w:val="-1"/>
          <w:w w:val="111"/>
        </w:rPr>
        <w:t>31</w:t>
      </w:r>
      <w:r>
        <w:rPr>
          <w:spacing w:val="-51"/>
          <w:w w:val="111"/>
        </w:rPr>
        <w:t> </w:t>
      </w:r>
      <w:r>
        <w:rPr>
          <w:spacing w:val="2"/>
        </w:rPr>
        <w:t>日，预</w:t>
      </w:r>
      <w:r>
        <w:rPr/>
      </w:r>
    </w:p>
    <w:p>
      <w:pPr>
        <w:pStyle w:val="BodyText"/>
        <w:spacing w:line="285" w:lineRule="auto" w:before="10"/>
        <w:ind w:right="150"/>
        <w:jc w:val="both"/>
      </w:pPr>
      <w:r>
        <w:rPr/>
        <w:t>计摊销期限超过一年的金额约为人民币</w:t>
      </w:r>
      <w:r>
        <w:rPr>
          <w:spacing w:val="-45"/>
        </w:rPr>
        <w:t> </w:t>
      </w:r>
      <w:r>
        <w:rPr>
          <w:spacing w:val="-1"/>
          <w:w w:val="99"/>
        </w:rPr>
        <w:t>14.17</w:t>
      </w:r>
      <w:r>
        <w:rPr>
          <w:spacing w:val="-45"/>
          <w:w w:val="99"/>
        </w:rPr>
        <w:t> </w:t>
      </w:r>
      <w:r>
        <w:rPr/>
        <w:t>亿元。于</w:t>
      </w:r>
      <w:r>
        <w:rPr>
          <w:spacing w:val="-45"/>
        </w:rPr>
        <w:t> </w:t>
      </w:r>
      <w:r>
        <w:rPr>
          <w:spacing w:val="-1"/>
          <w:w w:val="111"/>
        </w:rPr>
        <w:t>2017</w:t>
      </w:r>
      <w:r>
        <w:rPr>
          <w:spacing w:val="-55"/>
          <w:w w:val="111"/>
        </w:rPr>
        <w:t> </w:t>
      </w:r>
      <w:r>
        <w:rPr/>
        <w:t>年</w:t>
      </w:r>
      <w:r>
        <w:rPr>
          <w:spacing w:val="-45"/>
        </w:rPr>
        <w:t> </w:t>
      </w:r>
      <w:r>
        <w:rPr>
          <w:spacing w:val="-1"/>
          <w:w w:val="111"/>
        </w:rPr>
        <w:t>12</w:t>
      </w:r>
      <w:r>
        <w:rPr>
          <w:spacing w:val="-55"/>
          <w:w w:val="111"/>
        </w:rPr>
        <w:t> </w:t>
      </w:r>
      <w:r>
        <w:rPr/>
        <w:t>月</w:t>
      </w:r>
      <w:r>
        <w:rPr>
          <w:spacing w:val="-45"/>
        </w:rPr>
        <w:t> </w:t>
      </w:r>
      <w:r>
        <w:rPr>
          <w:spacing w:val="-1"/>
          <w:w w:val="111"/>
        </w:rPr>
        <w:t>31</w:t>
      </w:r>
      <w:r>
        <w:rPr>
          <w:spacing w:val="-55"/>
          <w:w w:val="111"/>
        </w:rPr>
        <w:t> </w:t>
      </w:r>
      <w:r>
        <w:rPr/>
        <w:t>日，上述增量宽带及</w:t>
      </w:r>
      <w:r>
        <w:rPr>
          <w:spacing w:val="-45"/>
        </w:rPr>
        <w:t> </w:t>
      </w:r>
      <w:r>
        <w:rPr>
          <w:spacing w:val="-1"/>
          <w:w w:val="102"/>
        </w:rPr>
        <w:t>IPTV</w:t>
      </w:r>
      <w:r>
        <w:rPr>
          <w:spacing w:val="-47"/>
          <w:w w:val="102"/>
        </w:rPr>
        <w:t> </w:t>
      </w:r>
      <w:r>
        <w:rPr/>
        <w:t>服务支出列示于长</w:t>
      </w:r>
      <w:r>
        <w:rPr/>
        <w:t> </w:t>
      </w:r>
      <w:r>
        <w:rPr>
          <w:w w:val="95"/>
        </w:rPr>
        <w:t>期待摊费用（附注五</w:t>
      </w:r>
      <w:r>
        <w:rPr>
          <w:spacing w:val="16"/>
          <w:w w:val="95"/>
        </w:rPr>
        <w:t> </w:t>
      </w:r>
      <w:r>
        <w:rPr>
          <w:w w:val="95"/>
        </w:rPr>
        <w:t>(15)）。</w:t>
      </w:r>
      <w:r>
        <w:rPr/>
      </w:r>
    </w:p>
    <w:p>
      <w:pPr>
        <w:spacing w:after="0" w:line="285" w:lineRule="auto"/>
        <w:jc w:val="both"/>
        <w:sectPr>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17、短期借款</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642"/>
        <w:gridCol w:w="2321"/>
        <w:gridCol w:w="2335"/>
      </w:tblGrid>
      <w:tr>
        <w:trPr>
          <w:trHeight w:val="350" w:hRule="exact"/>
        </w:trPr>
        <w:tc>
          <w:tcPr>
            <w:tcW w:w="464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998"/>
              <w:jc w:val="right"/>
              <w:rPr>
                <w:rFonts w:ascii="宋体" w:hAnsi="宋体" w:cs="宋体" w:eastAsia="宋体" w:hint="default"/>
                <w:sz w:val="16"/>
                <w:szCs w:val="16"/>
              </w:rPr>
            </w:pPr>
            <w:r>
              <w:rPr>
                <w:rFonts w:ascii="宋体" w:hAnsi="宋体" w:cs="宋体" w:eastAsia="宋体" w:hint="default"/>
                <w:sz w:val="16"/>
                <w:szCs w:val="16"/>
              </w:rPr>
              <w:t>币种</w:t>
            </w: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35"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2" w:type="dxa"/>
            <w:tcBorders>
              <w:top w:val="single" w:sz="16" w:space="0" w:color="9F8958"/>
              <w:left w:val="nil" w:sz="6" w:space="0" w:color="auto"/>
              <w:bottom w:val="single" w:sz="6" w:space="0" w:color="000000"/>
              <w:right w:val="nil" w:sz="6" w:space="0" w:color="auto"/>
            </w:tcBorders>
          </w:tcPr>
          <w:p>
            <w:pPr>
              <w:pStyle w:val="TableParagraph"/>
              <w:tabs>
                <w:tab w:pos="3127" w:val="left" w:leader="none"/>
              </w:tabs>
              <w:spacing w:line="240" w:lineRule="auto" w:before="64"/>
              <w:ind w:right="918"/>
              <w:jc w:val="right"/>
              <w:rPr>
                <w:rFonts w:ascii="宋体" w:hAnsi="宋体" w:cs="宋体" w:eastAsia="宋体" w:hint="default"/>
                <w:sz w:val="16"/>
                <w:szCs w:val="16"/>
              </w:rPr>
            </w:pPr>
            <w:r>
              <w:rPr>
                <w:rFonts w:ascii="宋体" w:hAnsi="宋体" w:cs="宋体" w:eastAsia="宋体" w:hint="default"/>
                <w:sz w:val="16"/>
                <w:szCs w:val="16"/>
              </w:rPr>
              <w:t>信用借款</w:t>
              <w:tab/>
              <w:t>人民币</w:t>
            </w:r>
          </w:p>
          <w:p>
            <w:pPr>
              <w:pStyle w:val="TableParagraph"/>
              <w:spacing w:line="240" w:lineRule="auto" w:before="64"/>
              <w:ind w:right="998"/>
              <w:jc w:val="right"/>
              <w:rPr>
                <w:rFonts w:ascii="宋体" w:hAnsi="宋体" w:cs="宋体" w:eastAsia="宋体" w:hint="default"/>
                <w:sz w:val="16"/>
                <w:szCs w:val="16"/>
              </w:rPr>
            </w:pPr>
            <w:r>
              <w:rPr>
                <w:rFonts w:ascii="宋体" w:hAnsi="宋体" w:cs="宋体" w:eastAsia="宋体" w:hint="default"/>
                <w:sz w:val="16"/>
                <w:szCs w:val="16"/>
              </w:rPr>
              <w:t>港币</w:t>
            </w:r>
          </w:p>
        </w:tc>
        <w:tc>
          <w:tcPr>
            <w:tcW w:w="2321"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098" w:right="0"/>
              <w:jc w:val="left"/>
              <w:rPr>
                <w:rFonts w:ascii="宋体" w:hAnsi="宋体" w:cs="宋体" w:eastAsia="宋体" w:hint="default"/>
                <w:sz w:val="16"/>
                <w:szCs w:val="16"/>
              </w:rPr>
            </w:pPr>
            <w:r>
              <w:rPr>
                <w:rFonts w:ascii="宋体"/>
                <w:sz w:val="16"/>
              </w:rPr>
              <w:t>15,130,867,493</w:t>
            </w:r>
          </w:p>
          <w:p>
            <w:pPr>
              <w:pStyle w:val="TableParagraph"/>
              <w:spacing w:line="240" w:lineRule="auto" w:before="64"/>
              <w:ind w:left="1497" w:right="0"/>
              <w:jc w:val="left"/>
              <w:rPr>
                <w:rFonts w:ascii="宋体" w:hAnsi="宋体" w:cs="宋体" w:eastAsia="宋体" w:hint="default"/>
                <w:sz w:val="16"/>
                <w:szCs w:val="16"/>
              </w:rPr>
            </w:pPr>
            <w:r>
              <w:rPr>
                <w:rFonts w:ascii="宋体"/>
                <w:sz w:val="16"/>
              </w:rPr>
              <w:t>1,752,400</w:t>
            </w:r>
          </w:p>
        </w:tc>
        <w:tc>
          <w:tcPr>
            <w:tcW w:w="2335"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112" w:right="0"/>
              <w:jc w:val="left"/>
              <w:rPr>
                <w:rFonts w:ascii="宋体" w:hAnsi="宋体" w:cs="宋体" w:eastAsia="宋体" w:hint="default"/>
                <w:sz w:val="16"/>
                <w:szCs w:val="16"/>
              </w:rPr>
            </w:pPr>
            <w:r>
              <w:rPr>
                <w:rFonts w:ascii="宋体"/>
                <w:sz w:val="16"/>
              </w:rPr>
              <w:t>23,884,041,902</w:t>
            </w:r>
          </w:p>
          <w:p>
            <w:pPr>
              <w:pStyle w:val="TableParagraph"/>
              <w:spacing w:line="240" w:lineRule="auto" w:before="64"/>
              <w:ind w:left="1334" w:right="0"/>
              <w:jc w:val="left"/>
              <w:rPr>
                <w:rFonts w:ascii="宋体" w:hAnsi="宋体" w:cs="宋体" w:eastAsia="宋体" w:hint="default"/>
                <w:sz w:val="16"/>
                <w:szCs w:val="16"/>
              </w:rPr>
            </w:pPr>
            <w:r>
              <w:rPr>
                <w:rFonts w:ascii="宋体"/>
                <w:sz w:val="16"/>
              </w:rPr>
              <w:t>434,668,000</w:t>
            </w:r>
          </w:p>
        </w:tc>
      </w:tr>
      <w:tr>
        <w:trPr>
          <w:trHeight w:val="414" w:hRule="exact"/>
        </w:trPr>
        <w:tc>
          <w:tcPr>
            <w:tcW w:w="46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15,132,619,893</w:t>
            </w:r>
            <w:r>
              <w:rPr>
                <w:rFonts w:ascii="宋体"/>
                <w:sz w:val="16"/>
              </w:rPr>
            </w:r>
          </w:p>
        </w:tc>
        <w:tc>
          <w:tcPr>
            <w:tcW w:w="23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24,318,709,902</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453" w:right="0"/>
        <w:jc w:val="left"/>
      </w:pPr>
      <w:r>
        <w:rPr>
          <w:w w:val="110"/>
        </w:rPr>
        <w:t>于</w:t>
      </w:r>
      <w:r>
        <w:rPr>
          <w:spacing w:val="-76"/>
          <w:w w:val="110"/>
        </w:rPr>
        <w:t> </w:t>
      </w:r>
      <w:r>
        <w:rPr>
          <w:w w:val="110"/>
        </w:rPr>
        <w:t>2018</w:t>
      </w:r>
      <w:r>
        <w:rPr>
          <w:spacing w:val="-77"/>
          <w:w w:val="110"/>
        </w:rPr>
        <w:t> </w:t>
      </w:r>
      <w:r>
        <w:rPr>
          <w:w w:val="110"/>
        </w:rPr>
        <w:t>年</w:t>
      </w:r>
      <w:r>
        <w:rPr>
          <w:spacing w:val="-76"/>
          <w:w w:val="110"/>
        </w:rPr>
        <w:t> </w:t>
      </w:r>
      <w:r>
        <w:rPr>
          <w:w w:val="110"/>
        </w:rPr>
        <w:t>12</w:t>
      </w:r>
      <w:r>
        <w:rPr>
          <w:spacing w:val="-77"/>
          <w:w w:val="110"/>
        </w:rPr>
        <w:t> </w:t>
      </w:r>
      <w:r>
        <w:rPr>
          <w:w w:val="110"/>
        </w:rPr>
        <w:t>月</w:t>
      </w:r>
      <w:r>
        <w:rPr>
          <w:spacing w:val="-76"/>
          <w:w w:val="110"/>
        </w:rPr>
        <w:t> </w:t>
      </w:r>
      <w:r>
        <w:rPr>
          <w:w w:val="110"/>
        </w:rPr>
        <w:t>31</w:t>
      </w:r>
      <w:r>
        <w:rPr>
          <w:spacing w:val="-77"/>
          <w:w w:val="110"/>
        </w:rPr>
        <w:t> </w:t>
      </w:r>
      <w:r>
        <w:rPr>
          <w:w w:val="110"/>
        </w:rPr>
        <w:t>日，人民币短期借款年利率范围为</w:t>
      </w:r>
      <w:r>
        <w:rPr>
          <w:spacing w:val="-76"/>
          <w:w w:val="110"/>
        </w:rPr>
        <w:t> </w:t>
      </w:r>
      <w:r>
        <w:rPr>
          <w:w w:val="110"/>
        </w:rPr>
        <w:t>2.35%-4.77%（2017</w:t>
      </w:r>
      <w:r>
        <w:rPr>
          <w:spacing w:val="-77"/>
          <w:w w:val="110"/>
        </w:rPr>
        <w:t> </w:t>
      </w:r>
      <w:r>
        <w:rPr>
          <w:w w:val="110"/>
        </w:rPr>
        <w:t>年</w:t>
      </w:r>
      <w:r>
        <w:rPr>
          <w:spacing w:val="-76"/>
          <w:w w:val="110"/>
        </w:rPr>
        <w:t> </w:t>
      </w:r>
      <w:r>
        <w:rPr>
          <w:w w:val="110"/>
        </w:rPr>
        <w:t>12</w:t>
      </w:r>
      <w:r>
        <w:rPr>
          <w:spacing w:val="-77"/>
          <w:w w:val="110"/>
        </w:rPr>
        <w:t> </w:t>
      </w:r>
      <w:r>
        <w:rPr>
          <w:w w:val="110"/>
        </w:rPr>
        <w:t>月</w:t>
      </w:r>
      <w:r>
        <w:rPr>
          <w:spacing w:val="-76"/>
          <w:w w:val="110"/>
        </w:rPr>
        <w:t> </w:t>
      </w:r>
      <w:r>
        <w:rPr>
          <w:w w:val="110"/>
        </w:rPr>
        <w:t>31</w:t>
      </w:r>
      <w:r>
        <w:rPr>
          <w:spacing w:val="-77"/>
          <w:w w:val="110"/>
        </w:rPr>
        <w:t> </w:t>
      </w:r>
      <w:r>
        <w:rPr>
          <w:w w:val="110"/>
        </w:rPr>
        <w:t>日：2.35%-5.80%）。</w:t>
      </w:r>
      <w:r>
        <w:rPr/>
      </w:r>
    </w:p>
    <w:p>
      <w:pPr>
        <w:spacing w:line="240" w:lineRule="auto" w:before="5"/>
        <w:rPr>
          <w:rFonts w:ascii="宋体" w:hAnsi="宋体" w:cs="宋体" w:eastAsia="宋体" w:hint="default"/>
          <w:sz w:val="16"/>
          <w:szCs w:val="16"/>
        </w:rPr>
      </w:pPr>
    </w:p>
    <w:p>
      <w:pPr>
        <w:pStyle w:val="BodyText"/>
        <w:spacing w:line="285" w:lineRule="auto"/>
        <w:ind w:left="453" w:right="0"/>
        <w:jc w:val="left"/>
      </w:pPr>
      <w:r>
        <w:rPr/>
        <w:t>于</w:t>
      </w:r>
      <w:r>
        <w:rPr>
          <w:spacing w:val="-43"/>
        </w:rPr>
        <w:t> </w:t>
      </w:r>
      <w:r>
        <w:rPr>
          <w:spacing w:val="-1"/>
          <w:w w:val="111"/>
        </w:rPr>
        <w:t>2018</w:t>
      </w:r>
      <w:r>
        <w:rPr>
          <w:spacing w:val="-53"/>
          <w:w w:val="111"/>
        </w:rPr>
        <w:t> </w:t>
      </w:r>
      <w:r>
        <w:rPr/>
        <w:t>年</w:t>
      </w:r>
      <w:r>
        <w:rPr>
          <w:spacing w:val="-43"/>
        </w:rPr>
        <w:t> </w:t>
      </w:r>
      <w:r>
        <w:rPr>
          <w:spacing w:val="-1"/>
          <w:w w:val="111"/>
        </w:rPr>
        <w:t>12</w:t>
      </w:r>
      <w:r>
        <w:rPr>
          <w:spacing w:val="-53"/>
          <w:w w:val="111"/>
        </w:rPr>
        <w:t> </w:t>
      </w:r>
      <w:r>
        <w:rPr/>
        <w:t>月</w:t>
      </w:r>
      <w:r>
        <w:rPr>
          <w:spacing w:val="-43"/>
        </w:rPr>
        <w:t> </w:t>
      </w:r>
      <w:r>
        <w:rPr>
          <w:spacing w:val="-1"/>
          <w:w w:val="111"/>
        </w:rPr>
        <w:t>31</w:t>
      </w:r>
      <w:r>
        <w:rPr>
          <w:spacing w:val="-53"/>
          <w:w w:val="111"/>
        </w:rPr>
        <w:t> </w:t>
      </w:r>
      <w:r>
        <w:rPr>
          <w:spacing w:val="4"/>
        </w:rPr>
        <w:t>日，港币短期借款年利率为一年期香港银行同业拆借利率上浮</w:t>
      </w:r>
      <w:r>
        <w:rPr>
          <w:spacing w:val="-43"/>
        </w:rPr>
        <w:t> </w:t>
      </w:r>
      <w:r>
        <w:rPr>
          <w:spacing w:val="-1"/>
          <w:w w:val="113"/>
        </w:rPr>
        <w:t>1.11%（2017</w:t>
      </w:r>
      <w:r>
        <w:rPr>
          <w:spacing w:val="-55"/>
          <w:w w:val="113"/>
        </w:rPr>
        <w:t> </w:t>
      </w:r>
      <w:r>
        <w:rPr/>
        <w:t>年</w:t>
      </w:r>
      <w:r>
        <w:rPr>
          <w:spacing w:val="-43"/>
        </w:rPr>
        <w:t> </w:t>
      </w:r>
      <w:r>
        <w:rPr>
          <w:spacing w:val="-1"/>
          <w:w w:val="111"/>
        </w:rPr>
        <w:t>12</w:t>
      </w:r>
      <w:r>
        <w:rPr>
          <w:spacing w:val="-53"/>
          <w:w w:val="111"/>
        </w:rPr>
        <w:t> </w:t>
      </w:r>
      <w:r>
        <w:rPr/>
        <w:t>月</w:t>
      </w:r>
      <w:r>
        <w:rPr>
          <w:spacing w:val="-43"/>
        </w:rPr>
        <w:t> </w:t>
      </w:r>
      <w:r>
        <w:rPr>
          <w:spacing w:val="-1"/>
          <w:w w:val="111"/>
        </w:rPr>
        <w:t>31</w:t>
      </w:r>
      <w:r>
        <w:rPr>
          <w:spacing w:val="-53"/>
          <w:w w:val="111"/>
        </w:rPr>
        <w:t> </w:t>
      </w:r>
      <w:r>
        <w:rPr>
          <w:spacing w:val="3"/>
        </w:rPr>
        <w:t>日：一</w:t>
      </w:r>
      <w:r>
        <w:rPr>
          <w:spacing w:val="5"/>
        </w:rPr>
        <w:t> </w:t>
      </w:r>
      <w:r>
        <w:rPr/>
        <w:t>年期香港银行同业拆借利率上浮</w:t>
      </w:r>
      <w:r>
        <w:rPr>
          <w:spacing w:val="34"/>
        </w:rPr>
        <w:t> </w:t>
      </w:r>
      <w:r>
        <w:rPr/>
        <w:t>1.20%）。</w:t>
      </w:r>
    </w:p>
    <w:p>
      <w:pPr>
        <w:spacing w:line="240" w:lineRule="auto" w:before="10"/>
        <w:rPr>
          <w:rFonts w:ascii="宋体" w:hAnsi="宋体" w:cs="宋体" w:eastAsia="宋体" w:hint="default"/>
          <w:sz w:val="13"/>
          <w:szCs w:val="13"/>
        </w:rPr>
      </w:pPr>
    </w:p>
    <w:p>
      <w:pPr>
        <w:pStyle w:val="BodyText"/>
        <w:spacing w:line="240" w:lineRule="auto"/>
        <w:ind w:left="453" w:right="0"/>
        <w:jc w:val="left"/>
      </w:pPr>
      <w:r>
        <w:rPr>
          <w:w w:val="105"/>
        </w:rPr>
        <w:t>于</w:t>
      </w:r>
      <w:r>
        <w:rPr>
          <w:spacing w:val="-58"/>
          <w:w w:val="105"/>
        </w:rPr>
        <w:t> </w:t>
      </w:r>
      <w:r>
        <w:rPr>
          <w:w w:val="105"/>
        </w:rPr>
        <w:t>2018</w:t>
      </w:r>
      <w:r>
        <w:rPr>
          <w:spacing w:val="-59"/>
          <w:w w:val="105"/>
        </w:rPr>
        <w:t> </w:t>
      </w:r>
      <w:r>
        <w:rPr>
          <w:w w:val="105"/>
        </w:rPr>
        <w:t>年</w:t>
      </w:r>
      <w:r>
        <w:rPr>
          <w:spacing w:val="-58"/>
          <w:w w:val="105"/>
        </w:rPr>
        <w:t> </w:t>
      </w:r>
      <w:r>
        <w:rPr>
          <w:w w:val="105"/>
        </w:rPr>
        <w:t>12</w:t>
      </w:r>
      <w:r>
        <w:rPr>
          <w:spacing w:val="-59"/>
          <w:w w:val="105"/>
        </w:rPr>
        <w:t> </w:t>
      </w:r>
      <w:r>
        <w:rPr>
          <w:w w:val="105"/>
        </w:rPr>
        <w:t>月</w:t>
      </w:r>
      <w:r>
        <w:rPr>
          <w:spacing w:val="-58"/>
          <w:w w:val="105"/>
        </w:rPr>
        <w:t> </w:t>
      </w:r>
      <w:r>
        <w:rPr>
          <w:w w:val="105"/>
        </w:rPr>
        <w:t>31</w:t>
      </w:r>
      <w:r>
        <w:rPr>
          <w:spacing w:val="-59"/>
          <w:w w:val="105"/>
        </w:rPr>
        <w:t> </w:t>
      </w:r>
      <w:r>
        <w:rPr>
          <w:w w:val="105"/>
        </w:rPr>
        <w:t>日及</w:t>
      </w:r>
      <w:r>
        <w:rPr>
          <w:spacing w:val="-58"/>
          <w:w w:val="105"/>
        </w:rPr>
        <w:t> </w:t>
      </w:r>
      <w:r>
        <w:rPr>
          <w:w w:val="105"/>
        </w:rPr>
        <w:t>2017</w:t>
      </w:r>
      <w:r>
        <w:rPr>
          <w:spacing w:val="-59"/>
          <w:w w:val="105"/>
        </w:rPr>
        <w:t> </w:t>
      </w:r>
      <w:r>
        <w:rPr>
          <w:w w:val="105"/>
        </w:rPr>
        <w:t>年</w:t>
      </w:r>
      <w:r>
        <w:rPr>
          <w:spacing w:val="-58"/>
          <w:w w:val="105"/>
        </w:rPr>
        <w:t> </w:t>
      </w:r>
      <w:r>
        <w:rPr>
          <w:w w:val="105"/>
        </w:rPr>
        <w:t>12</w:t>
      </w:r>
      <w:r>
        <w:rPr>
          <w:spacing w:val="-59"/>
          <w:w w:val="105"/>
        </w:rPr>
        <w:t> </w:t>
      </w:r>
      <w:r>
        <w:rPr>
          <w:w w:val="105"/>
        </w:rPr>
        <w:t>月</w:t>
      </w:r>
      <w:r>
        <w:rPr>
          <w:spacing w:val="-58"/>
          <w:w w:val="105"/>
        </w:rPr>
        <w:t> </w:t>
      </w:r>
      <w:r>
        <w:rPr>
          <w:w w:val="105"/>
        </w:rPr>
        <w:t>31</w:t>
      </w:r>
      <w:r>
        <w:rPr>
          <w:spacing w:val="-59"/>
          <w:w w:val="105"/>
        </w:rPr>
        <w:t> </w:t>
      </w:r>
      <w:r>
        <w:rPr>
          <w:w w:val="105"/>
        </w:rPr>
        <w:t>日，本集团无银行保证借款。</w:t>
      </w:r>
    </w:p>
    <w:p>
      <w:pPr>
        <w:spacing w:line="240" w:lineRule="auto" w:before="5"/>
        <w:rPr>
          <w:rFonts w:ascii="宋体" w:hAnsi="宋体" w:cs="宋体" w:eastAsia="宋体" w:hint="default"/>
          <w:sz w:val="16"/>
          <w:szCs w:val="16"/>
        </w:rPr>
      </w:pPr>
    </w:p>
    <w:p>
      <w:pPr>
        <w:pStyle w:val="BodyText"/>
        <w:spacing w:line="458" w:lineRule="auto"/>
        <w:ind w:left="113" w:right="2445" w:firstLine="340"/>
        <w:jc w:val="left"/>
      </w:pPr>
      <w:r>
        <w:rPr>
          <w:w w:val="105"/>
        </w:rPr>
        <w:t>于</w:t>
      </w:r>
      <w:r>
        <w:rPr>
          <w:spacing w:val="-63"/>
          <w:w w:val="105"/>
        </w:rPr>
        <w:t> </w:t>
      </w:r>
      <w:r>
        <w:rPr>
          <w:w w:val="105"/>
        </w:rPr>
        <w:t>2018</w:t>
      </w:r>
      <w:r>
        <w:rPr>
          <w:spacing w:val="-64"/>
          <w:w w:val="105"/>
        </w:rPr>
        <w:t> </w:t>
      </w:r>
      <w:r>
        <w:rPr>
          <w:w w:val="105"/>
        </w:rPr>
        <w:t>年</w:t>
      </w:r>
      <w:r>
        <w:rPr>
          <w:spacing w:val="-63"/>
          <w:w w:val="105"/>
        </w:rPr>
        <w:t> </w:t>
      </w:r>
      <w:r>
        <w:rPr>
          <w:w w:val="105"/>
        </w:rPr>
        <w:t>12</w:t>
      </w:r>
      <w:r>
        <w:rPr>
          <w:spacing w:val="-64"/>
          <w:w w:val="105"/>
        </w:rPr>
        <w:t> </w:t>
      </w:r>
      <w:r>
        <w:rPr>
          <w:w w:val="105"/>
        </w:rPr>
        <w:t>月</w:t>
      </w:r>
      <w:r>
        <w:rPr>
          <w:spacing w:val="-63"/>
          <w:w w:val="105"/>
        </w:rPr>
        <w:t> </w:t>
      </w:r>
      <w:r>
        <w:rPr>
          <w:w w:val="105"/>
        </w:rPr>
        <w:t>31</w:t>
      </w:r>
      <w:r>
        <w:rPr>
          <w:spacing w:val="-64"/>
          <w:w w:val="105"/>
        </w:rPr>
        <w:t> </w:t>
      </w:r>
      <w:r>
        <w:rPr>
          <w:w w:val="105"/>
        </w:rPr>
        <w:t>日及</w:t>
      </w:r>
      <w:r>
        <w:rPr>
          <w:spacing w:val="-63"/>
          <w:w w:val="105"/>
        </w:rPr>
        <w:t> </w:t>
      </w:r>
      <w:r>
        <w:rPr>
          <w:w w:val="105"/>
        </w:rPr>
        <w:t>2017</w:t>
      </w:r>
      <w:r>
        <w:rPr>
          <w:spacing w:val="-64"/>
          <w:w w:val="105"/>
        </w:rPr>
        <w:t> </w:t>
      </w:r>
      <w:r>
        <w:rPr>
          <w:w w:val="105"/>
        </w:rPr>
        <w:t>年</w:t>
      </w:r>
      <w:r>
        <w:rPr>
          <w:spacing w:val="-63"/>
          <w:w w:val="105"/>
        </w:rPr>
        <w:t> </w:t>
      </w:r>
      <w:r>
        <w:rPr>
          <w:w w:val="105"/>
        </w:rPr>
        <w:t>12</w:t>
      </w:r>
      <w:r>
        <w:rPr>
          <w:spacing w:val="-64"/>
          <w:w w:val="105"/>
        </w:rPr>
        <w:t> </w:t>
      </w:r>
      <w:r>
        <w:rPr>
          <w:w w:val="105"/>
        </w:rPr>
        <w:t>月</w:t>
      </w:r>
      <w:r>
        <w:rPr>
          <w:spacing w:val="-63"/>
          <w:w w:val="105"/>
        </w:rPr>
        <w:t> </w:t>
      </w:r>
      <w:r>
        <w:rPr>
          <w:w w:val="105"/>
        </w:rPr>
        <w:t>31</w:t>
      </w:r>
      <w:r>
        <w:rPr>
          <w:spacing w:val="-64"/>
          <w:w w:val="105"/>
        </w:rPr>
        <w:t> </w:t>
      </w:r>
      <w:r>
        <w:rPr>
          <w:w w:val="105"/>
        </w:rPr>
        <w:t>日，本集团无已到期但尚未偿还的短期借款。</w:t>
      </w:r>
      <w:r>
        <w:rPr/>
        <w:t> </w:t>
      </w:r>
      <w:r>
        <w:rPr>
          <w:w w:val="105"/>
        </w:rPr>
        <w:t>18、应付票据及应付账款</w:t>
      </w:r>
      <w:r>
        <w:rPr/>
      </w:r>
    </w:p>
    <w:p>
      <w:pPr>
        <w:spacing w:line="240" w:lineRule="auto" w:before="11"/>
        <w:rPr>
          <w:rFonts w:ascii="宋体" w:hAnsi="宋体" w:cs="宋体" w:eastAsia="宋体" w:hint="default"/>
          <w:sz w:val="4"/>
          <w:szCs w:val="4"/>
        </w:rPr>
      </w:pPr>
    </w:p>
    <w:tbl>
      <w:tblPr>
        <w:tblW w:w="0" w:type="auto"/>
        <w:jc w:val="left"/>
        <w:tblInd w:w="433" w:type="dxa"/>
        <w:tblLayout w:type="fixed"/>
        <w:tblCellMar>
          <w:top w:w="0" w:type="dxa"/>
          <w:left w:w="0" w:type="dxa"/>
          <w:bottom w:w="0" w:type="dxa"/>
          <w:right w:w="0" w:type="dxa"/>
        </w:tblCellMar>
        <w:tblLook w:val="01E0"/>
      </w:tblPr>
      <w:tblGrid>
        <w:gridCol w:w="4642"/>
        <w:gridCol w:w="2321"/>
        <w:gridCol w:w="2335"/>
      </w:tblGrid>
      <w:tr>
        <w:trPr>
          <w:trHeight w:val="350" w:hRule="exact"/>
        </w:trPr>
        <w:tc>
          <w:tcPr>
            <w:tcW w:w="464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078"/>
              <w:jc w:val="right"/>
              <w:rPr>
                <w:rFonts w:ascii="宋体" w:hAnsi="宋体" w:cs="宋体" w:eastAsia="宋体" w:hint="default"/>
                <w:sz w:val="16"/>
                <w:szCs w:val="16"/>
              </w:rPr>
            </w:pPr>
            <w:r>
              <w:rPr>
                <w:rFonts w:ascii="宋体" w:hAnsi="宋体" w:cs="宋体" w:eastAsia="宋体" w:hint="default"/>
                <w:sz w:val="16"/>
                <w:szCs w:val="16"/>
              </w:rPr>
              <w:t>注</w:t>
            </w: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35"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2" w:type="dxa"/>
            <w:tcBorders>
              <w:top w:val="single" w:sz="16" w:space="0" w:color="9F8958"/>
              <w:left w:val="nil" w:sz="6" w:space="0" w:color="auto"/>
              <w:bottom w:val="single" w:sz="6" w:space="0" w:color="000000"/>
              <w:right w:val="nil" w:sz="6" w:space="0" w:color="auto"/>
            </w:tcBorders>
          </w:tcPr>
          <w:p>
            <w:pPr>
              <w:pStyle w:val="TableParagraph"/>
              <w:tabs>
                <w:tab w:pos="3396"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w w:val="95"/>
                <w:sz w:val="16"/>
                <w:szCs w:val="16"/>
              </w:rPr>
              <w:t>应付票据</w:t>
              <w:tab/>
              <w:t>(a)</w:t>
            </w:r>
            <w:r>
              <w:rPr>
                <w:rFonts w:ascii="宋体" w:hAnsi="宋体" w:cs="宋体" w:eastAsia="宋体" w:hint="default"/>
                <w:sz w:val="16"/>
                <w:szCs w:val="16"/>
              </w:rPr>
            </w:r>
          </w:p>
          <w:p>
            <w:pPr>
              <w:pStyle w:val="TableParagraph"/>
              <w:tabs>
                <w:tab w:pos="3392"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应付账款</w:t>
              <w:tab/>
              <w:t>(b)</w:t>
            </w:r>
          </w:p>
        </w:tc>
        <w:tc>
          <w:tcPr>
            <w:tcW w:w="2321"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408" w:right="0"/>
              <w:jc w:val="left"/>
              <w:rPr>
                <w:rFonts w:ascii="宋体" w:hAnsi="宋体" w:cs="宋体" w:eastAsia="宋体" w:hint="default"/>
                <w:sz w:val="16"/>
                <w:szCs w:val="16"/>
              </w:rPr>
            </w:pPr>
            <w:r>
              <w:rPr>
                <w:rFonts w:ascii="宋体"/>
                <w:sz w:val="16"/>
              </w:rPr>
              <w:t>99,657,098</w:t>
            </w:r>
          </w:p>
          <w:p>
            <w:pPr>
              <w:pStyle w:val="TableParagraph"/>
              <w:spacing w:line="240" w:lineRule="auto" w:before="64"/>
              <w:ind w:left="1009" w:right="0"/>
              <w:jc w:val="left"/>
              <w:rPr>
                <w:rFonts w:ascii="宋体" w:hAnsi="宋体" w:cs="宋体" w:eastAsia="宋体" w:hint="default"/>
                <w:sz w:val="16"/>
                <w:szCs w:val="16"/>
              </w:rPr>
            </w:pPr>
            <w:r>
              <w:rPr>
                <w:rFonts w:ascii="宋体"/>
                <w:sz w:val="16"/>
              </w:rPr>
              <w:t>108,602,874,650</w:t>
            </w:r>
          </w:p>
        </w:tc>
        <w:tc>
          <w:tcPr>
            <w:tcW w:w="2335"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422" w:right="0"/>
              <w:jc w:val="left"/>
              <w:rPr>
                <w:rFonts w:ascii="宋体" w:hAnsi="宋体" w:cs="宋体" w:eastAsia="宋体" w:hint="default"/>
                <w:sz w:val="16"/>
                <w:szCs w:val="16"/>
              </w:rPr>
            </w:pPr>
            <w:r>
              <w:rPr>
                <w:rFonts w:ascii="宋体"/>
                <w:sz w:val="16"/>
              </w:rPr>
              <w:t>48,763,558</w:t>
            </w:r>
          </w:p>
          <w:p>
            <w:pPr>
              <w:pStyle w:val="TableParagraph"/>
              <w:spacing w:line="240" w:lineRule="auto" w:before="64"/>
              <w:ind w:left="1023" w:right="0"/>
              <w:jc w:val="left"/>
              <w:rPr>
                <w:rFonts w:ascii="宋体" w:hAnsi="宋体" w:cs="宋体" w:eastAsia="宋体" w:hint="default"/>
                <w:sz w:val="16"/>
                <w:szCs w:val="16"/>
              </w:rPr>
            </w:pPr>
            <w:r>
              <w:rPr>
                <w:rFonts w:ascii="宋体"/>
                <w:sz w:val="16"/>
              </w:rPr>
              <w:t>118,861,123,967</w:t>
            </w:r>
          </w:p>
        </w:tc>
      </w:tr>
      <w:tr>
        <w:trPr>
          <w:trHeight w:val="414" w:hRule="exact"/>
        </w:trPr>
        <w:tc>
          <w:tcPr>
            <w:tcW w:w="46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108,702,531,748</w:t>
            </w:r>
            <w:r>
              <w:rPr>
                <w:rFonts w:ascii="宋体"/>
                <w:sz w:val="16"/>
              </w:rPr>
            </w:r>
          </w:p>
        </w:tc>
        <w:tc>
          <w:tcPr>
            <w:tcW w:w="23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118,909,887,525</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3" w:right="0"/>
        <w:jc w:val="left"/>
      </w:pPr>
      <w:r>
        <w:rPr>
          <w:w w:val="95"/>
        </w:rPr>
        <w:t>(a)</w:t>
      </w:r>
      <w:r>
        <w:rPr>
          <w:spacing w:val="33"/>
          <w:w w:val="95"/>
        </w:rPr>
        <w:t> </w:t>
      </w:r>
      <w:r>
        <w:rPr>
          <w:w w:val="95"/>
        </w:rPr>
        <w:t>应付票据</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642"/>
        <w:gridCol w:w="2321"/>
        <w:gridCol w:w="2335"/>
      </w:tblGrid>
      <w:tr>
        <w:trPr>
          <w:trHeight w:val="350" w:hRule="exact"/>
        </w:trPr>
        <w:tc>
          <w:tcPr>
            <w:tcW w:w="4642" w:type="dxa"/>
            <w:tcBorders>
              <w:top w:val="nil" w:sz="6" w:space="0" w:color="auto"/>
              <w:left w:val="nil" w:sz="6" w:space="0" w:color="auto"/>
              <w:bottom w:val="single" w:sz="16" w:space="0" w:color="9F8958"/>
              <w:right w:val="nil" w:sz="6" w:space="0" w:color="auto"/>
            </w:tcBorders>
          </w:tcPr>
          <w:p>
            <w:pP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35"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642"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3566"/>
              <w:jc w:val="left"/>
              <w:rPr>
                <w:rFonts w:ascii="宋体" w:hAnsi="宋体" w:cs="宋体" w:eastAsia="宋体" w:hint="default"/>
                <w:sz w:val="16"/>
                <w:szCs w:val="16"/>
              </w:rPr>
            </w:pPr>
            <w:r>
              <w:rPr>
                <w:rFonts w:ascii="宋体" w:hAnsi="宋体" w:cs="宋体" w:eastAsia="宋体" w:hint="default"/>
                <w:sz w:val="16"/>
                <w:szCs w:val="16"/>
              </w:rPr>
              <w:t>商业承兑汇票 银行承兑汇票</w:t>
            </w:r>
          </w:p>
        </w:tc>
        <w:tc>
          <w:tcPr>
            <w:tcW w:w="2321"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99,657,098</w:t>
            </w:r>
            <w:r>
              <w:rPr>
                <w:rFonts w:ascii="宋体"/>
                <w:sz w:val="16"/>
              </w:rPr>
            </w:r>
          </w:p>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c>
          <w:tcPr>
            <w:tcW w:w="2335"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422" w:right="0"/>
              <w:jc w:val="left"/>
              <w:rPr>
                <w:rFonts w:ascii="宋体" w:hAnsi="宋体" w:cs="宋体" w:eastAsia="宋体" w:hint="default"/>
                <w:sz w:val="16"/>
                <w:szCs w:val="16"/>
              </w:rPr>
            </w:pPr>
            <w:r>
              <w:rPr>
                <w:rFonts w:ascii="宋体"/>
                <w:sz w:val="16"/>
              </w:rPr>
              <w:t>42,681,306</w:t>
            </w:r>
          </w:p>
          <w:p>
            <w:pPr>
              <w:pStyle w:val="TableParagraph"/>
              <w:spacing w:line="240" w:lineRule="auto" w:before="64"/>
              <w:ind w:left="1511" w:right="0"/>
              <w:jc w:val="left"/>
              <w:rPr>
                <w:rFonts w:ascii="宋体" w:hAnsi="宋体" w:cs="宋体" w:eastAsia="宋体" w:hint="default"/>
                <w:sz w:val="16"/>
                <w:szCs w:val="16"/>
              </w:rPr>
            </w:pPr>
            <w:r>
              <w:rPr>
                <w:rFonts w:ascii="宋体"/>
                <w:sz w:val="16"/>
              </w:rPr>
              <w:t>6,082,252</w:t>
            </w:r>
          </w:p>
        </w:tc>
      </w:tr>
      <w:tr>
        <w:trPr>
          <w:trHeight w:val="414" w:hRule="exact"/>
        </w:trPr>
        <w:tc>
          <w:tcPr>
            <w:tcW w:w="46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99,657,098</w:t>
            </w:r>
            <w:r>
              <w:rPr>
                <w:rFonts w:ascii="宋体"/>
                <w:sz w:val="16"/>
              </w:rPr>
            </w:r>
          </w:p>
        </w:tc>
        <w:tc>
          <w:tcPr>
            <w:tcW w:w="23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48,763,558</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453" w:right="0"/>
        <w:jc w:val="left"/>
      </w:pPr>
      <w:r>
        <w:rPr/>
        <w:t>于</w:t>
      </w:r>
      <w:r>
        <w:rPr>
          <w:spacing w:val="-32"/>
        </w:rPr>
        <w:t> </w:t>
      </w:r>
      <w:r>
        <w:rPr/>
        <w:t>2018</w:t>
      </w:r>
      <w:r>
        <w:rPr>
          <w:spacing w:val="-33"/>
        </w:rPr>
        <w:t> </w:t>
      </w:r>
      <w:r>
        <w:rPr/>
        <w:t>年</w:t>
      </w:r>
      <w:r>
        <w:rPr>
          <w:spacing w:val="-32"/>
        </w:rPr>
        <w:t> </w:t>
      </w:r>
      <w:r>
        <w:rPr/>
        <w:t>12</w:t>
      </w:r>
      <w:r>
        <w:rPr>
          <w:spacing w:val="-33"/>
        </w:rPr>
        <w:t> </w:t>
      </w:r>
      <w:r>
        <w:rPr/>
        <w:t>月</w:t>
      </w:r>
      <w:r>
        <w:rPr>
          <w:spacing w:val="-32"/>
        </w:rPr>
        <w:t> </w:t>
      </w:r>
      <w:r>
        <w:rPr/>
        <w:t>31</w:t>
      </w:r>
      <w:r>
        <w:rPr>
          <w:spacing w:val="-33"/>
        </w:rPr>
        <w:t> </w:t>
      </w:r>
      <w:r>
        <w:rPr/>
        <w:t>日，本集团应付票据均在一年内到期，不存在已到期未支付票据。</w:t>
      </w:r>
    </w:p>
    <w:p>
      <w:pPr>
        <w:spacing w:after="0" w:line="240" w:lineRule="auto"/>
        <w:jc w:val="left"/>
        <w:sectPr>
          <w:footerReference w:type="even" r:id="rId310"/>
          <w:footerReference w:type="default" r:id="rId311"/>
          <w:pgSz w:w="11910" w:h="16160"/>
          <w:pgMar w:footer="320" w:header="1200" w:top="2120" w:bottom="520" w:left="680" w:right="1320"/>
        </w:sectPr>
      </w:pPr>
    </w:p>
    <w:p>
      <w:pPr>
        <w:spacing w:line="240" w:lineRule="auto" w:before="3"/>
        <w:rPr>
          <w:rFonts w:ascii="宋体" w:hAnsi="宋体" w:cs="宋体" w:eastAsia="宋体" w:hint="default"/>
          <w:sz w:val="14"/>
          <w:szCs w:val="14"/>
        </w:rPr>
      </w:pPr>
    </w:p>
    <w:p>
      <w:pPr>
        <w:pStyle w:val="BodyText"/>
        <w:spacing w:line="480" w:lineRule="auto" w:before="31"/>
        <w:ind w:left="114" w:right="7274"/>
        <w:jc w:val="left"/>
      </w:pPr>
      <w:r>
        <w:rPr/>
        <w:t>18、应付票据及应付账款（续）</w:t>
      </w:r>
      <w:r>
        <w:rPr>
          <w:spacing w:val="-71"/>
        </w:rPr>
        <w:t> </w:t>
      </w:r>
      <w:r>
        <w:rPr/>
        <w:t>(b)</w:t>
      </w:r>
      <w:r>
        <w:rPr>
          <w:spacing w:val="-21"/>
        </w:rPr>
        <w:t> </w:t>
      </w:r>
      <w:r>
        <w:rPr/>
        <w:t>应付账款</w:t>
      </w:r>
    </w:p>
    <w:p>
      <w:pPr>
        <w:pStyle w:val="BodyText"/>
        <w:spacing w:line="240" w:lineRule="auto" w:before="54"/>
        <w:ind w:right="87"/>
        <w:jc w:val="left"/>
      </w:pPr>
      <w:r>
        <w:rPr/>
        <w:t>应付账款情况如下：</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642"/>
        <w:gridCol w:w="2321"/>
        <w:gridCol w:w="2335"/>
      </w:tblGrid>
      <w:tr>
        <w:trPr>
          <w:trHeight w:val="350" w:hRule="exact"/>
        </w:trPr>
        <w:tc>
          <w:tcPr>
            <w:tcW w:w="4642" w:type="dxa"/>
            <w:tcBorders>
              <w:top w:val="nil" w:sz="6" w:space="0" w:color="auto"/>
              <w:left w:val="nil" w:sz="6" w:space="0" w:color="auto"/>
              <w:bottom w:val="single" w:sz="16" w:space="0" w:color="9F8958"/>
              <w:right w:val="nil" w:sz="6" w:space="0" w:color="auto"/>
            </w:tcBorders>
          </w:tcPr>
          <w:p>
            <w:pP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35"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64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应付工程及设备款</w:t>
            </w:r>
          </w:p>
        </w:tc>
        <w:tc>
          <w:tcPr>
            <w:tcW w:w="232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72,747,186,723</w:t>
            </w:r>
            <w:r>
              <w:rPr>
                <w:rFonts w:ascii="宋体"/>
                <w:sz w:val="16"/>
              </w:rPr>
            </w:r>
          </w:p>
        </w:tc>
        <w:tc>
          <w:tcPr>
            <w:tcW w:w="233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85,403,624,922</w:t>
            </w:r>
            <w:r>
              <w:rPr>
                <w:rFonts w:ascii="宋体"/>
                <w:sz w:val="16"/>
              </w:rPr>
            </w:r>
          </w:p>
        </w:tc>
      </w:tr>
      <w:tr>
        <w:trPr>
          <w:trHeight w:val="273" w:hRule="exact"/>
        </w:trPr>
        <w:tc>
          <w:tcPr>
            <w:tcW w:w="464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应付网间结算及租赁费</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11,343,365,899</w:t>
            </w:r>
            <w:r>
              <w:rPr>
                <w:rFonts w:ascii="宋体"/>
                <w:sz w:val="16"/>
              </w:rPr>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11,399,345,051</w:t>
            </w:r>
            <w:r>
              <w:rPr>
                <w:rFonts w:ascii="宋体"/>
                <w:sz w:val="16"/>
              </w:rPr>
            </w:r>
          </w:p>
        </w:tc>
      </w:tr>
      <w:tr>
        <w:trPr>
          <w:trHeight w:val="273" w:hRule="exact"/>
        </w:trPr>
        <w:tc>
          <w:tcPr>
            <w:tcW w:w="464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应付采购通信终端款等</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4,349,376,236</w:t>
            </w:r>
            <w:r>
              <w:rPr>
                <w:rFonts w:ascii="宋体"/>
                <w:sz w:val="16"/>
              </w:rPr>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4,547,729,483</w:t>
            </w:r>
            <w:r>
              <w:rPr>
                <w:rFonts w:ascii="宋体"/>
                <w:sz w:val="16"/>
              </w:rPr>
            </w:r>
          </w:p>
        </w:tc>
      </w:tr>
      <w:tr>
        <w:trPr>
          <w:trHeight w:val="273" w:hRule="exact"/>
        </w:trPr>
        <w:tc>
          <w:tcPr>
            <w:tcW w:w="464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应付代理费及广告费</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5,999,350,514</w:t>
            </w:r>
            <w:r>
              <w:rPr>
                <w:rFonts w:ascii="宋体"/>
                <w:sz w:val="16"/>
              </w:rPr>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4,897,273,122</w:t>
            </w:r>
            <w:r>
              <w:rPr>
                <w:rFonts w:ascii="宋体"/>
                <w:sz w:val="16"/>
              </w:rPr>
            </w:r>
          </w:p>
        </w:tc>
      </w:tr>
      <w:tr>
        <w:trPr>
          <w:trHeight w:val="273" w:hRule="exact"/>
        </w:trPr>
        <w:tc>
          <w:tcPr>
            <w:tcW w:w="464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应付维修及维护费</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6,288,017,521</w:t>
            </w:r>
            <w:r>
              <w:rPr>
                <w:rFonts w:ascii="宋体"/>
                <w:sz w:val="16"/>
              </w:rPr>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5,415,374,811</w:t>
            </w:r>
            <w:r>
              <w:rPr>
                <w:rFonts w:ascii="宋体"/>
                <w:sz w:val="16"/>
              </w:rPr>
            </w:r>
          </w:p>
        </w:tc>
      </w:tr>
      <w:tr>
        <w:trPr>
          <w:trHeight w:val="273" w:hRule="exact"/>
        </w:trPr>
        <w:tc>
          <w:tcPr>
            <w:tcW w:w="464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应付水电取暖费</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6,463,463,112</w:t>
            </w:r>
            <w:r>
              <w:rPr>
                <w:rFonts w:ascii="宋体"/>
                <w:sz w:val="16"/>
              </w:rPr>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5,563,630,340</w:t>
            </w:r>
            <w:r>
              <w:rPr>
                <w:rFonts w:ascii="宋体"/>
                <w:sz w:val="16"/>
              </w:rPr>
            </w:r>
          </w:p>
        </w:tc>
      </w:tr>
      <w:tr>
        <w:trPr>
          <w:trHeight w:val="330" w:hRule="exact"/>
        </w:trPr>
        <w:tc>
          <w:tcPr>
            <w:tcW w:w="4642"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321"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1,412,114,645</w:t>
            </w:r>
            <w:r>
              <w:rPr>
                <w:rFonts w:ascii="宋体"/>
                <w:sz w:val="16"/>
              </w:rPr>
            </w:r>
          </w:p>
        </w:tc>
        <w:tc>
          <w:tcPr>
            <w:tcW w:w="2335"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1,634,146,238</w:t>
            </w:r>
            <w:r>
              <w:rPr>
                <w:rFonts w:ascii="宋体"/>
                <w:sz w:val="16"/>
              </w:rPr>
            </w:r>
          </w:p>
        </w:tc>
      </w:tr>
      <w:tr>
        <w:trPr>
          <w:trHeight w:val="414" w:hRule="exact"/>
        </w:trPr>
        <w:tc>
          <w:tcPr>
            <w:tcW w:w="46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108,602,874,650</w:t>
            </w:r>
            <w:r>
              <w:rPr>
                <w:rFonts w:ascii="宋体"/>
                <w:sz w:val="16"/>
              </w:rPr>
            </w:r>
          </w:p>
        </w:tc>
        <w:tc>
          <w:tcPr>
            <w:tcW w:w="23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118,861,123,967</w:t>
            </w:r>
            <w:r>
              <w:rPr>
                <w:rFonts w:ascii="宋体"/>
                <w:sz w:val="16"/>
              </w:rPr>
            </w:r>
          </w:p>
        </w:tc>
      </w:tr>
    </w:tbl>
    <w:p>
      <w:pPr>
        <w:spacing w:line="240" w:lineRule="auto" w:before="1"/>
        <w:rPr>
          <w:rFonts w:ascii="宋体" w:hAnsi="宋体" w:cs="宋体" w:eastAsia="宋体" w:hint="default"/>
          <w:sz w:val="15"/>
          <w:szCs w:val="15"/>
        </w:rPr>
      </w:pPr>
    </w:p>
    <w:p>
      <w:pPr>
        <w:pStyle w:val="BodyText"/>
        <w:spacing w:line="285" w:lineRule="auto" w:before="31"/>
        <w:ind w:right="101"/>
        <w:jc w:val="both"/>
      </w:pPr>
      <w:r>
        <w:rPr/>
        <w:t>于</w:t>
      </w:r>
      <w:r>
        <w:rPr>
          <w:spacing w:val="-43"/>
        </w:rPr>
        <w:t> </w:t>
      </w:r>
      <w:r>
        <w:rPr/>
        <w:t>2018</w:t>
      </w:r>
      <w:r>
        <w:rPr>
          <w:spacing w:val="-45"/>
        </w:rPr>
        <w:t> </w:t>
      </w:r>
      <w:r>
        <w:rPr/>
        <w:t>年</w:t>
      </w:r>
      <w:r>
        <w:rPr>
          <w:spacing w:val="-43"/>
        </w:rPr>
        <w:t> </w:t>
      </w:r>
      <w:r>
        <w:rPr/>
        <w:t>12</w:t>
      </w:r>
      <w:r>
        <w:rPr>
          <w:spacing w:val="-43"/>
        </w:rPr>
        <w:t> </w:t>
      </w:r>
      <w:r>
        <w:rPr/>
        <w:t>月</w:t>
      </w:r>
      <w:r>
        <w:rPr>
          <w:spacing w:val="-43"/>
        </w:rPr>
        <w:t> </w:t>
      </w:r>
      <w:r>
        <w:rPr/>
        <w:t>31</w:t>
      </w:r>
      <w:r>
        <w:rPr>
          <w:spacing w:val="-43"/>
        </w:rPr>
        <w:t> </w:t>
      </w:r>
      <w:r>
        <w:rPr>
          <w:spacing w:val="-6"/>
        </w:rPr>
        <w:t>日，账龄超过</w:t>
      </w:r>
      <w:r>
        <w:rPr>
          <w:spacing w:val="-43"/>
        </w:rPr>
        <w:t> </w:t>
      </w:r>
      <w:r>
        <w:rPr/>
        <w:t>1</w:t>
      </w:r>
      <w:r>
        <w:rPr>
          <w:spacing w:val="-43"/>
        </w:rPr>
        <w:t> </w:t>
      </w:r>
      <w:r>
        <w:rPr/>
        <w:t>年的应付账款约人民币</w:t>
      </w:r>
      <w:r>
        <w:rPr>
          <w:spacing w:val="-43"/>
        </w:rPr>
        <w:t> </w:t>
      </w:r>
      <w:r>
        <w:rPr/>
        <w:t>107.97</w:t>
      </w:r>
      <w:r>
        <w:rPr>
          <w:spacing w:val="-45"/>
        </w:rPr>
        <w:t> </w:t>
      </w:r>
      <w:r>
        <w:rPr>
          <w:spacing w:val="-6"/>
        </w:rPr>
        <w:t>亿元（2017</w:t>
      </w:r>
      <w:r>
        <w:rPr>
          <w:spacing w:val="-45"/>
        </w:rPr>
        <w:t> </w:t>
      </w:r>
      <w:r>
        <w:rPr/>
        <w:t>年</w:t>
      </w:r>
      <w:r>
        <w:rPr>
          <w:spacing w:val="-43"/>
        </w:rPr>
        <w:t> </w:t>
      </w:r>
      <w:r>
        <w:rPr/>
        <w:t>12</w:t>
      </w:r>
      <w:r>
        <w:rPr>
          <w:spacing w:val="-43"/>
        </w:rPr>
        <w:t> </w:t>
      </w:r>
      <w:r>
        <w:rPr/>
        <w:t>月</w:t>
      </w:r>
      <w:r>
        <w:rPr>
          <w:spacing w:val="-43"/>
        </w:rPr>
        <w:t> </w:t>
      </w:r>
      <w:r>
        <w:rPr/>
        <w:t>31</w:t>
      </w:r>
      <w:r>
        <w:rPr>
          <w:spacing w:val="-43"/>
        </w:rPr>
        <w:t> </w:t>
      </w:r>
      <w:r>
        <w:rPr>
          <w:spacing w:val="-6"/>
        </w:rPr>
        <w:t>日：约人民币</w:t>
      </w:r>
      <w:r>
        <w:rPr>
          <w:spacing w:val="-43"/>
        </w:rPr>
        <w:t> </w:t>
      </w:r>
      <w:r>
        <w:rPr/>
        <w:t>124.14</w:t>
      </w:r>
      <w:r>
        <w:rPr>
          <w:spacing w:val="-45"/>
        </w:rPr>
        <w:t> </w:t>
      </w:r>
      <w:r>
        <w:rPr>
          <w:spacing w:val="-9"/>
        </w:rPr>
        <w:t>亿元），</w:t>
      </w:r>
      <w:r>
        <w:rPr>
          <w:spacing w:val="-86"/>
        </w:rPr>
        <w:t> </w:t>
      </w:r>
      <w:r>
        <w:rPr>
          <w:spacing w:val="-86"/>
        </w:rPr>
      </w:r>
      <w:r>
        <w:rPr>
          <w:spacing w:val="-3"/>
        </w:rPr>
        <w:t>主要为应付工程及设备款，包括账龄超过一年尚未支付的工程或设备质保金等，鉴于债权债务双方仍继续发生业务往来，</w:t>
      </w:r>
      <w:r>
        <w:rPr>
          <w:spacing w:val="-85"/>
        </w:rPr>
        <w:t> </w:t>
      </w:r>
      <w:r>
        <w:rPr>
          <w:spacing w:val="-85"/>
        </w:rPr>
      </w:r>
      <w:r>
        <w:rPr/>
        <w:t>该项账款尚未结清。</w:t>
      </w:r>
    </w:p>
    <w:p>
      <w:pPr>
        <w:spacing w:line="240" w:lineRule="auto" w:before="10"/>
        <w:rPr>
          <w:rFonts w:ascii="宋体" w:hAnsi="宋体" w:cs="宋体" w:eastAsia="宋体" w:hint="default"/>
          <w:sz w:val="13"/>
          <w:szCs w:val="13"/>
        </w:rPr>
      </w:pPr>
    </w:p>
    <w:p>
      <w:pPr>
        <w:pStyle w:val="BodyText"/>
        <w:spacing w:line="480" w:lineRule="auto"/>
        <w:ind w:right="7853" w:hanging="341"/>
        <w:jc w:val="left"/>
      </w:pPr>
      <w:r>
        <w:rPr/>
        <w:t>19、合同负债</w:t>
      </w:r>
      <w:r>
        <w:rPr>
          <w:spacing w:val="-54"/>
        </w:rPr>
        <w:t> </w:t>
      </w:r>
      <w:r>
        <w:rPr>
          <w:w w:val="95"/>
        </w:rPr>
        <w:t>/</w:t>
      </w:r>
      <w:r>
        <w:rPr>
          <w:spacing w:val="-48"/>
          <w:w w:val="95"/>
        </w:rPr>
        <w:t> </w:t>
      </w:r>
      <w:r>
        <w:rPr/>
        <w:t>预收款项</w:t>
      </w:r>
      <w:r>
        <w:rPr/>
        <w:t> 合同负债</w:t>
      </w:r>
    </w:p>
    <w:p>
      <w:pPr>
        <w:spacing w:line="240" w:lineRule="auto" w:before="7"/>
        <w:rPr>
          <w:rFonts w:ascii="宋体" w:hAnsi="宋体" w:cs="宋体" w:eastAsia="宋体" w:hint="default"/>
          <w:sz w:val="3"/>
          <w:szCs w:val="3"/>
        </w:rPr>
      </w:pPr>
    </w:p>
    <w:tbl>
      <w:tblPr>
        <w:tblW w:w="0" w:type="auto"/>
        <w:jc w:val="left"/>
        <w:tblInd w:w="434" w:type="dxa"/>
        <w:tblLayout w:type="fixed"/>
        <w:tblCellMar>
          <w:top w:w="0" w:type="dxa"/>
          <w:left w:w="0" w:type="dxa"/>
          <w:bottom w:w="0" w:type="dxa"/>
          <w:right w:w="0" w:type="dxa"/>
        </w:tblCellMar>
        <w:tblLook w:val="01E0"/>
      </w:tblPr>
      <w:tblGrid>
        <w:gridCol w:w="6963"/>
        <w:gridCol w:w="2335"/>
      </w:tblGrid>
      <w:tr>
        <w:trPr>
          <w:trHeight w:val="350" w:hRule="exact"/>
        </w:trPr>
        <w:tc>
          <w:tcPr>
            <w:tcW w:w="696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078"/>
              <w:jc w:val="right"/>
              <w:rPr>
                <w:rFonts w:ascii="宋体" w:hAnsi="宋体" w:cs="宋体" w:eastAsia="宋体" w:hint="default"/>
                <w:sz w:val="16"/>
                <w:szCs w:val="16"/>
              </w:rPr>
            </w:pPr>
            <w:r>
              <w:rPr>
                <w:rFonts w:ascii="宋体" w:hAnsi="宋体" w:cs="宋体" w:eastAsia="宋体" w:hint="default"/>
                <w:sz w:val="16"/>
                <w:szCs w:val="16"/>
              </w:rPr>
              <w:t>注</w:t>
            </w:r>
          </w:p>
        </w:tc>
        <w:tc>
          <w:tcPr>
            <w:tcW w:w="2335"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696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5087"/>
              <w:jc w:val="left"/>
              <w:rPr>
                <w:rFonts w:ascii="宋体" w:hAnsi="宋体" w:cs="宋体" w:eastAsia="宋体" w:hint="default"/>
                <w:sz w:val="16"/>
                <w:szCs w:val="16"/>
              </w:rPr>
            </w:pPr>
            <w:r>
              <w:rPr>
                <w:rFonts w:ascii="宋体" w:hAnsi="宋体" w:cs="宋体" w:eastAsia="宋体" w:hint="default"/>
                <w:sz w:val="16"/>
                <w:szCs w:val="16"/>
              </w:rPr>
              <w:t>预收用户预存通信服务费 其他</w:t>
            </w:r>
          </w:p>
        </w:tc>
        <w:tc>
          <w:tcPr>
            <w:tcW w:w="2335"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112" w:right="0"/>
              <w:jc w:val="left"/>
              <w:rPr>
                <w:rFonts w:ascii="宋体" w:hAnsi="宋体" w:cs="宋体" w:eastAsia="宋体" w:hint="default"/>
                <w:sz w:val="16"/>
                <w:szCs w:val="16"/>
              </w:rPr>
            </w:pPr>
            <w:r>
              <w:rPr>
                <w:rFonts w:ascii="宋体"/>
                <w:sz w:val="16"/>
              </w:rPr>
              <w:t>39,080,507,491</w:t>
            </w:r>
          </w:p>
          <w:p>
            <w:pPr>
              <w:pStyle w:val="TableParagraph"/>
              <w:spacing w:line="240" w:lineRule="auto" w:before="64"/>
              <w:ind w:left="1201" w:right="0"/>
              <w:jc w:val="left"/>
              <w:rPr>
                <w:rFonts w:ascii="宋体" w:hAnsi="宋体" w:cs="宋体" w:eastAsia="宋体" w:hint="default"/>
                <w:sz w:val="16"/>
                <w:szCs w:val="16"/>
              </w:rPr>
            </w:pPr>
            <w:r>
              <w:rPr>
                <w:rFonts w:ascii="宋体"/>
                <w:sz w:val="16"/>
              </w:rPr>
              <w:t>3,887,700,626</w:t>
            </w:r>
          </w:p>
        </w:tc>
      </w:tr>
      <w:tr>
        <w:trPr>
          <w:trHeight w:val="414" w:hRule="exact"/>
        </w:trPr>
        <w:tc>
          <w:tcPr>
            <w:tcW w:w="696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35"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42,968,208,117</w:t>
            </w:r>
            <w:r>
              <w:rPr>
                <w:rFonts w:ascii="宋体"/>
                <w:sz w:val="16"/>
              </w:rPr>
            </w:r>
          </w:p>
        </w:tc>
      </w:tr>
    </w:tbl>
    <w:p>
      <w:pPr>
        <w:spacing w:line="240" w:lineRule="auto" w:before="1"/>
        <w:rPr>
          <w:rFonts w:ascii="宋体" w:hAnsi="宋体" w:cs="宋体" w:eastAsia="宋体" w:hint="default"/>
          <w:sz w:val="15"/>
          <w:szCs w:val="15"/>
        </w:rPr>
      </w:pPr>
    </w:p>
    <w:p>
      <w:pPr>
        <w:pStyle w:val="BodyText"/>
        <w:spacing w:line="285" w:lineRule="auto" w:before="31"/>
        <w:ind w:right="187"/>
        <w:jc w:val="left"/>
      </w:pPr>
      <w:r>
        <w:rPr/>
        <w:t>合同负债主要为本集团在履行履约义务前向用户收取的预收款。该合同的相关收入将在本集团提供服务时确认。2017</w:t>
      </w:r>
      <w:r>
        <w:rPr>
          <w:spacing w:val="-8"/>
        </w:rPr>
        <w:t> </w:t>
      </w:r>
      <w:r>
        <w:rPr>
          <w:spacing w:val="-8"/>
        </w:rPr>
      </w:r>
      <w:r>
        <w:rPr>
          <w:w w:val="105"/>
        </w:rPr>
        <w:t>年</w:t>
      </w:r>
      <w:r>
        <w:rPr>
          <w:spacing w:val="-67"/>
          <w:w w:val="105"/>
        </w:rPr>
        <w:t> </w:t>
      </w:r>
      <w:r>
        <w:rPr>
          <w:w w:val="105"/>
        </w:rPr>
        <w:t>12</w:t>
      </w:r>
      <w:r>
        <w:rPr>
          <w:spacing w:val="-67"/>
          <w:w w:val="105"/>
        </w:rPr>
        <w:t> </w:t>
      </w:r>
      <w:r>
        <w:rPr>
          <w:w w:val="105"/>
        </w:rPr>
        <w:t>月</w:t>
      </w:r>
      <w:r>
        <w:rPr>
          <w:spacing w:val="-67"/>
          <w:w w:val="105"/>
        </w:rPr>
        <w:t> </w:t>
      </w:r>
      <w:r>
        <w:rPr>
          <w:w w:val="105"/>
        </w:rPr>
        <w:t>31</w:t>
      </w:r>
      <w:r>
        <w:rPr>
          <w:spacing w:val="-67"/>
          <w:w w:val="105"/>
        </w:rPr>
        <w:t> </w:t>
      </w:r>
      <w:r>
        <w:rPr>
          <w:w w:val="105"/>
        </w:rPr>
        <w:t>日的合同负债余额中约</w:t>
      </w:r>
      <w:r>
        <w:rPr>
          <w:spacing w:val="-67"/>
          <w:w w:val="105"/>
        </w:rPr>
        <w:t> </w:t>
      </w:r>
      <w:r>
        <w:rPr>
          <w:w w:val="105"/>
        </w:rPr>
        <w:t>96%</w:t>
      </w:r>
      <w:r>
        <w:rPr>
          <w:spacing w:val="-67"/>
          <w:w w:val="105"/>
        </w:rPr>
        <w:t> </w:t>
      </w:r>
      <w:r>
        <w:rPr>
          <w:w w:val="105"/>
        </w:rPr>
        <w:t>的部分在本年确认为收入。</w:t>
      </w:r>
    </w:p>
    <w:p>
      <w:pPr>
        <w:spacing w:line="240" w:lineRule="auto" w:before="10"/>
        <w:rPr>
          <w:rFonts w:ascii="宋体" w:hAnsi="宋体" w:cs="宋体" w:eastAsia="宋体" w:hint="default"/>
          <w:sz w:val="13"/>
          <w:szCs w:val="13"/>
        </w:rPr>
      </w:pPr>
    </w:p>
    <w:p>
      <w:pPr>
        <w:pStyle w:val="BodyText"/>
        <w:spacing w:line="240" w:lineRule="auto"/>
        <w:ind w:right="87"/>
        <w:jc w:val="left"/>
      </w:pPr>
      <w:r>
        <w:rPr>
          <w:w w:val="105"/>
        </w:rPr>
        <w:t>于</w:t>
      </w:r>
      <w:r>
        <w:rPr>
          <w:spacing w:val="-79"/>
          <w:w w:val="105"/>
        </w:rPr>
        <w:t> </w:t>
      </w:r>
      <w:r>
        <w:rPr>
          <w:w w:val="105"/>
        </w:rPr>
        <w:t>2017</w:t>
      </w:r>
      <w:r>
        <w:rPr>
          <w:spacing w:val="-79"/>
          <w:w w:val="105"/>
        </w:rPr>
        <w:t> </w:t>
      </w:r>
      <w:r>
        <w:rPr>
          <w:w w:val="105"/>
        </w:rPr>
        <w:t>年</w:t>
      </w:r>
      <w:r>
        <w:rPr>
          <w:spacing w:val="-79"/>
          <w:w w:val="105"/>
        </w:rPr>
        <w:t> </w:t>
      </w:r>
      <w:r>
        <w:rPr>
          <w:w w:val="105"/>
        </w:rPr>
        <w:t>12</w:t>
      </w:r>
      <w:r>
        <w:rPr>
          <w:spacing w:val="-79"/>
          <w:w w:val="105"/>
        </w:rPr>
        <w:t> </w:t>
      </w:r>
      <w:r>
        <w:rPr>
          <w:w w:val="105"/>
        </w:rPr>
        <w:t>月</w:t>
      </w:r>
      <w:r>
        <w:rPr>
          <w:spacing w:val="-79"/>
          <w:w w:val="105"/>
        </w:rPr>
        <w:t> </w:t>
      </w:r>
      <w:r>
        <w:rPr>
          <w:w w:val="105"/>
        </w:rPr>
        <w:t>31</w:t>
      </w:r>
      <w:r>
        <w:rPr>
          <w:spacing w:val="-79"/>
          <w:w w:val="105"/>
        </w:rPr>
        <w:t> </w:t>
      </w:r>
      <w:r>
        <w:rPr>
          <w:w w:val="105"/>
        </w:rPr>
        <w:t>日，上述一年以内的合同负债列示为预收款项。</w:t>
      </w:r>
    </w:p>
    <w:p>
      <w:pPr>
        <w:spacing w:after="0" w:line="240" w:lineRule="auto"/>
        <w:jc w:val="left"/>
        <w:sectPr>
          <w:pgSz w:w="11910" w:h="16160"/>
          <w:pgMar w:header="2776" w:footer="298" w:top="296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87"/>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493" w:right="7274" w:hanging="341"/>
        <w:jc w:val="left"/>
      </w:pPr>
      <w:r>
        <w:rPr/>
        <w:t>19、合同负债</w:t>
      </w:r>
      <w:r>
        <w:rPr>
          <w:spacing w:val="-54"/>
        </w:rPr>
        <w:t> </w:t>
      </w:r>
      <w:r>
        <w:rPr>
          <w:w w:val="95"/>
        </w:rPr>
        <w:t>/</w:t>
      </w:r>
      <w:r>
        <w:rPr>
          <w:spacing w:val="-48"/>
          <w:w w:val="95"/>
        </w:rPr>
        <w:t> </w:t>
      </w:r>
      <w:r>
        <w:rPr/>
        <w:t>预收款项（续）</w:t>
      </w:r>
      <w:r>
        <w:rPr/>
        <w:t> 预收款项</w:t>
      </w:r>
    </w:p>
    <w:p>
      <w:pPr>
        <w:spacing w:line="240" w:lineRule="auto" w:before="7"/>
        <w:rPr>
          <w:rFonts w:ascii="宋体" w:hAnsi="宋体" w:cs="宋体" w:eastAsia="宋体" w:hint="default"/>
          <w:sz w:val="3"/>
          <w:szCs w:val="3"/>
        </w:rPr>
      </w:pPr>
    </w:p>
    <w:tbl>
      <w:tblPr>
        <w:tblW w:w="0" w:type="auto"/>
        <w:jc w:val="left"/>
        <w:tblInd w:w="473" w:type="dxa"/>
        <w:tblLayout w:type="fixed"/>
        <w:tblCellMar>
          <w:top w:w="0" w:type="dxa"/>
          <w:left w:w="0" w:type="dxa"/>
          <w:bottom w:w="0" w:type="dxa"/>
          <w:right w:w="0" w:type="dxa"/>
        </w:tblCellMar>
        <w:tblLook w:val="01E0"/>
      </w:tblPr>
      <w:tblGrid>
        <w:gridCol w:w="2481"/>
        <w:gridCol w:w="2161"/>
        <w:gridCol w:w="2321"/>
        <w:gridCol w:w="2335"/>
      </w:tblGrid>
      <w:tr>
        <w:trPr>
          <w:trHeight w:val="350" w:hRule="exact"/>
        </w:trPr>
        <w:tc>
          <w:tcPr>
            <w:tcW w:w="4642"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1078"/>
              <w:jc w:val="right"/>
              <w:rPr>
                <w:rFonts w:ascii="宋体" w:hAnsi="宋体" w:cs="宋体" w:eastAsia="宋体" w:hint="default"/>
                <w:sz w:val="16"/>
                <w:szCs w:val="16"/>
              </w:rPr>
            </w:pPr>
            <w:r>
              <w:rPr>
                <w:rFonts w:ascii="宋体" w:hAnsi="宋体" w:cs="宋体" w:eastAsia="宋体" w:hint="default"/>
                <w:sz w:val="16"/>
                <w:szCs w:val="16"/>
              </w:rPr>
              <w:t>注</w:t>
            </w: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35"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48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预收用户预存通信服务费</w:t>
            </w:r>
          </w:p>
        </w:tc>
        <w:tc>
          <w:tcPr>
            <w:tcW w:w="2161" w:type="dxa"/>
            <w:tcBorders>
              <w:top w:val="single" w:sz="16" w:space="0" w:color="9F8958"/>
              <w:left w:val="nil" w:sz="6" w:space="0" w:color="auto"/>
              <w:bottom w:val="nil" w:sz="6" w:space="0" w:color="auto"/>
              <w:right w:val="nil" w:sz="6" w:space="0" w:color="auto"/>
            </w:tcBorders>
          </w:tcPr>
          <w:p>
            <w:pPr/>
          </w:p>
        </w:tc>
        <w:tc>
          <w:tcPr>
            <w:tcW w:w="232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233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45,303,797,088</w:t>
            </w:r>
            <w:r>
              <w:rPr>
                <w:rFonts w:ascii="宋体"/>
                <w:sz w:val="16"/>
              </w:rPr>
            </w:r>
          </w:p>
        </w:tc>
      </w:tr>
      <w:tr>
        <w:trPr>
          <w:trHeight w:val="273" w:hRule="exact"/>
        </w:trPr>
        <w:tc>
          <w:tcPr>
            <w:tcW w:w="248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预收工程服务款</w:t>
            </w:r>
          </w:p>
        </w:tc>
        <w:tc>
          <w:tcPr>
            <w:tcW w:w="2161"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1,035,948,727</w:t>
            </w:r>
            <w:r>
              <w:rPr>
                <w:rFonts w:ascii="宋体"/>
                <w:sz w:val="16"/>
              </w:rPr>
            </w:r>
          </w:p>
        </w:tc>
      </w:tr>
      <w:tr>
        <w:trPr>
          <w:trHeight w:val="273" w:hRule="exact"/>
        </w:trPr>
        <w:tc>
          <w:tcPr>
            <w:tcW w:w="248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递延收益</w:t>
            </w:r>
          </w:p>
        </w:tc>
        <w:tc>
          <w:tcPr>
            <w:tcW w:w="2161" w:type="dxa"/>
            <w:tcBorders>
              <w:top w:val="nil" w:sz="6" w:space="0" w:color="auto"/>
              <w:left w:val="nil" w:sz="6" w:space="0" w:color="auto"/>
              <w:bottom w:val="nil" w:sz="6" w:space="0" w:color="auto"/>
              <w:right w:val="nil" w:sz="6" w:space="0" w:color="auto"/>
            </w:tcBorders>
          </w:tcPr>
          <w:p>
            <w:pPr>
              <w:pStyle w:val="TableParagraph"/>
              <w:spacing w:line="205" w:lineRule="exact"/>
              <w:ind w:left="607" w:right="0"/>
              <w:jc w:val="lef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(29)</w:t>
            </w:r>
            <w:r>
              <w:rPr>
                <w:rFonts w:ascii="宋体" w:hAnsi="宋体" w:cs="宋体" w:eastAsia="宋体" w:hint="default"/>
                <w:sz w:val="16"/>
                <w:szCs w:val="16"/>
              </w:rPr>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349,307,951</w:t>
            </w:r>
          </w:p>
        </w:tc>
      </w:tr>
      <w:tr>
        <w:trPr>
          <w:trHeight w:val="273" w:hRule="exact"/>
        </w:trPr>
        <w:tc>
          <w:tcPr>
            <w:tcW w:w="248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流量不清零递延收入</w:t>
            </w:r>
          </w:p>
        </w:tc>
        <w:tc>
          <w:tcPr>
            <w:tcW w:w="2161"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2,019,937,381</w:t>
            </w:r>
            <w:r>
              <w:rPr>
                <w:rFonts w:ascii="宋体"/>
                <w:sz w:val="16"/>
              </w:rPr>
            </w:r>
          </w:p>
        </w:tc>
      </w:tr>
      <w:tr>
        <w:trPr>
          <w:trHeight w:val="273" w:hRule="exact"/>
        </w:trPr>
        <w:tc>
          <w:tcPr>
            <w:tcW w:w="2481"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预收租金</w:t>
            </w:r>
          </w:p>
        </w:tc>
        <w:tc>
          <w:tcPr>
            <w:tcW w:w="2161"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328,100,718</w:t>
            </w:r>
          </w:p>
        </w:tc>
        <w:tc>
          <w:tcPr>
            <w:tcW w:w="2335"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282,987,193</w:t>
            </w:r>
          </w:p>
        </w:tc>
      </w:tr>
      <w:tr>
        <w:trPr>
          <w:trHeight w:val="330" w:hRule="exact"/>
        </w:trPr>
        <w:tc>
          <w:tcPr>
            <w:tcW w:w="2481"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161" w:type="dxa"/>
            <w:tcBorders>
              <w:top w:val="nil" w:sz="6" w:space="0" w:color="auto"/>
              <w:left w:val="nil" w:sz="6" w:space="0" w:color="auto"/>
              <w:bottom w:val="single" w:sz="6" w:space="0" w:color="000000"/>
              <w:right w:val="nil" w:sz="6" w:space="0" w:color="auto"/>
            </w:tcBorders>
          </w:tcPr>
          <w:p>
            <w:pPr/>
          </w:p>
        </w:tc>
        <w:tc>
          <w:tcPr>
            <w:tcW w:w="2321"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335"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904,932,358</w:t>
            </w:r>
          </w:p>
        </w:tc>
      </w:tr>
      <w:tr>
        <w:trPr>
          <w:trHeight w:val="414" w:hRule="exact"/>
        </w:trPr>
        <w:tc>
          <w:tcPr>
            <w:tcW w:w="4642"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321"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328,100,718</w:t>
            </w:r>
          </w:p>
        </w:tc>
        <w:tc>
          <w:tcPr>
            <w:tcW w:w="23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49,896,910,698</w:t>
            </w:r>
            <w:r>
              <w:rPr>
                <w:rFonts w:ascii="宋体"/>
                <w:sz w:val="16"/>
              </w:rPr>
            </w:r>
          </w:p>
        </w:tc>
      </w:tr>
    </w:tbl>
    <w:p>
      <w:pPr>
        <w:spacing w:line="240" w:lineRule="auto" w:before="1"/>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2862"/>
        <w:gridCol w:w="1787"/>
        <w:gridCol w:w="1680"/>
        <w:gridCol w:w="1833"/>
        <w:gridCol w:w="1496"/>
      </w:tblGrid>
      <w:tr>
        <w:trPr>
          <w:trHeight w:val="890"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20、应付职工薪酬</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21"/>
                <w:sz w:val="18"/>
                <w:szCs w:val="18"/>
              </w:rPr>
              <w:t> </w:t>
            </w:r>
            <w:r>
              <w:rPr>
                <w:rFonts w:ascii="宋体" w:hAnsi="宋体" w:cs="宋体" w:eastAsia="宋体" w:hint="default"/>
                <w:sz w:val="18"/>
                <w:szCs w:val="18"/>
              </w:rPr>
              <w:t>应付职工薪酬列示</w:t>
            </w:r>
          </w:p>
        </w:tc>
        <w:tc>
          <w:tcPr>
            <w:tcW w:w="6796" w:type="dxa"/>
            <w:gridSpan w:val="4"/>
            <w:tcBorders>
              <w:top w:val="nil" w:sz="6" w:space="0" w:color="auto"/>
              <w:left w:val="nil" w:sz="6" w:space="0" w:color="auto"/>
              <w:bottom w:val="nil" w:sz="6" w:space="0" w:color="auto"/>
              <w:right w:val="nil" w:sz="6" w:space="0" w:color="auto"/>
            </w:tcBorders>
          </w:tcPr>
          <w:p>
            <w:pPr/>
          </w:p>
        </w:tc>
      </w:tr>
      <w:tr>
        <w:trPr>
          <w:trHeight w:val="624" w:hRule="exact"/>
        </w:trPr>
        <w:tc>
          <w:tcPr>
            <w:tcW w:w="2862" w:type="dxa"/>
            <w:tcBorders>
              <w:top w:val="nil" w:sz="6" w:space="0" w:color="auto"/>
              <w:left w:val="nil" w:sz="6" w:space="0" w:color="auto"/>
              <w:bottom w:val="single" w:sz="16" w:space="0" w:color="9F8958"/>
              <w:right w:val="nil" w:sz="6" w:space="0" w:color="auto"/>
            </w:tcBorders>
          </w:tcPr>
          <w:p>
            <w:pPr/>
          </w:p>
        </w:tc>
        <w:tc>
          <w:tcPr>
            <w:tcW w:w="1787" w:type="dxa"/>
            <w:tcBorders>
              <w:top w:val="nil" w:sz="6" w:space="0" w:color="auto"/>
              <w:left w:val="nil" w:sz="6" w:space="0" w:color="auto"/>
              <w:bottom w:val="single" w:sz="16" w:space="0" w:color="9F8958"/>
              <w:right w:val="nil" w:sz="6" w:space="0" w:color="auto"/>
            </w:tcBorders>
          </w:tcPr>
          <w:p>
            <w:pPr>
              <w:pStyle w:val="TableParagraph"/>
              <w:spacing w:line="205" w:lineRule="exact" w:before="80"/>
              <w:ind w:left="556" w:right="0"/>
              <w:jc w:val="center"/>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05" w:lineRule="exact"/>
              <w:ind w:left="357" w:right="0"/>
              <w:jc w:val="center"/>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680"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271"/>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833"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359"/>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496" w:type="dxa"/>
            <w:tcBorders>
              <w:top w:val="nil" w:sz="6" w:space="0" w:color="auto"/>
              <w:left w:val="nil" w:sz="6" w:space="0" w:color="auto"/>
              <w:bottom w:val="single" w:sz="16" w:space="0" w:color="9F8958"/>
              <w:right w:val="nil" w:sz="6" w:space="0" w:color="auto"/>
            </w:tcBorders>
          </w:tcPr>
          <w:p>
            <w:pPr>
              <w:pStyle w:val="TableParagraph"/>
              <w:spacing w:line="205" w:lineRule="exact" w:before="80"/>
              <w:ind w:left="714" w:right="0"/>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05" w:lineRule="exact"/>
              <w:ind w:left="514" w:right="0"/>
              <w:jc w:val="center"/>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r>
      <w:tr>
        <w:trPr>
          <w:trHeight w:val="362" w:hRule="exact"/>
        </w:trPr>
        <w:tc>
          <w:tcPr>
            <w:tcW w:w="286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短期薪酬</w:t>
            </w:r>
          </w:p>
        </w:tc>
        <w:tc>
          <w:tcPr>
            <w:tcW w:w="178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35"/>
              <w:jc w:val="right"/>
              <w:rPr>
                <w:rFonts w:ascii="宋体" w:hAnsi="宋体" w:cs="宋体" w:eastAsia="宋体" w:hint="default"/>
                <w:sz w:val="16"/>
                <w:szCs w:val="16"/>
              </w:rPr>
            </w:pPr>
            <w:r>
              <w:rPr>
                <w:rFonts w:ascii="宋体"/>
                <w:w w:val="95"/>
                <w:sz w:val="16"/>
              </w:rPr>
              <w:t>5,473,336,810</w:t>
            </w:r>
            <w:r>
              <w:rPr>
                <w:rFonts w:ascii="宋体"/>
                <w:sz w:val="16"/>
              </w:rPr>
            </w:r>
          </w:p>
        </w:tc>
        <w:tc>
          <w:tcPr>
            <w:tcW w:w="168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70"/>
              <w:jc w:val="right"/>
              <w:rPr>
                <w:rFonts w:ascii="宋体" w:hAnsi="宋体" w:cs="宋体" w:eastAsia="宋体" w:hint="default"/>
                <w:sz w:val="16"/>
                <w:szCs w:val="16"/>
              </w:rPr>
            </w:pPr>
            <w:r>
              <w:rPr>
                <w:rFonts w:ascii="宋体"/>
                <w:w w:val="95"/>
                <w:sz w:val="16"/>
              </w:rPr>
              <w:t>41,858,202,265</w:t>
            </w:r>
            <w:r>
              <w:rPr>
                <w:rFonts w:ascii="宋体"/>
                <w:sz w:val="16"/>
              </w:rPr>
            </w:r>
          </w:p>
        </w:tc>
        <w:tc>
          <w:tcPr>
            <w:tcW w:w="183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59"/>
              <w:jc w:val="right"/>
              <w:rPr>
                <w:rFonts w:ascii="宋体" w:hAnsi="宋体" w:cs="宋体" w:eastAsia="宋体" w:hint="default"/>
                <w:sz w:val="16"/>
                <w:szCs w:val="16"/>
              </w:rPr>
            </w:pPr>
            <w:r>
              <w:rPr>
                <w:rFonts w:ascii="宋体"/>
                <w:w w:val="90"/>
                <w:sz w:val="16"/>
              </w:rPr>
              <w:t>(40,318,712,227)</w:t>
            </w:r>
            <w:r>
              <w:rPr>
                <w:rFonts w:ascii="宋体"/>
                <w:sz w:val="16"/>
              </w:rPr>
            </w:r>
          </w:p>
        </w:tc>
        <w:tc>
          <w:tcPr>
            <w:tcW w:w="149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7,012,826,848</w:t>
            </w:r>
            <w:r>
              <w:rPr>
                <w:rFonts w:ascii="宋体"/>
                <w:sz w:val="16"/>
              </w:rPr>
            </w:r>
          </w:p>
        </w:tc>
      </w:tr>
      <w:tr>
        <w:trPr>
          <w:trHeight w:val="273"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离职后福利 -</w:t>
            </w:r>
            <w:r>
              <w:rPr>
                <w:rFonts w:ascii="宋体" w:hAnsi="宋体" w:cs="宋体" w:eastAsia="宋体" w:hint="default"/>
                <w:spacing w:val="-56"/>
                <w:sz w:val="16"/>
                <w:szCs w:val="16"/>
              </w:rPr>
              <w:t> </w:t>
            </w:r>
            <w:r>
              <w:rPr>
                <w:rFonts w:ascii="宋体" w:hAnsi="宋体" w:cs="宋体" w:eastAsia="宋体" w:hint="default"/>
                <w:sz w:val="16"/>
                <w:szCs w:val="16"/>
              </w:rPr>
              <w:t>设定提存计划</w:t>
            </w:r>
          </w:p>
        </w:tc>
        <w:tc>
          <w:tcPr>
            <w:tcW w:w="1787"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sz w:val="16"/>
              </w:rPr>
              <w:t>449,599,497</w:t>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6,966,879,774</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(6,179,331,048)</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1,237,148,223</w:t>
            </w:r>
            <w:r>
              <w:rPr>
                <w:rFonts w:ascii="宋体"/>
                <w:sz w:val="16"/>
              </w:rPr>
            </w:r>
          </w:p>
        </w:tc>
      </w:tr>
      <w:tr>
        <w:trPr>
          <w:trHeight w:val="273" w:hRule="exact"/>
        </w:trPr>
        <w:tc>
          <w:tcPr>
            <w:tcW w:w="2862" w:type="dxa"/>
            <w:tcBorders>
              <w:top w:val="nil" w:sz="6" w:space="0" w:color="auto"/>
              <w:left w:val="nil" w:sz="6" w:space="0" w:color="auto"/>
              <w:bottom w:val="nil" w:sz="6" w:space="0" w:color="auto"/>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内退员工补偿费（注</w:t>
            </w:r>
            <w:r>
              <w:rPr>
                <w:rFonts w:ascii="宋体" w:hAnsi="宋体" w:cs="宋体" w:eastAsia="宋体" w:hint="default"/>
                <w:spacing w:val="-32"/>
                <w:sz w:val="16"/>
                <w:szCs w:val="16"/>
              </w:rPr>
              <w:t> </w:t>
            </w:r>
            <w:r>
              <w:rPr>
                <w:rFonts w:ascii="宋体" w:hAnsi="宋体" w:cs="宋体" w:eastAsia="宋体" w:hint="default"/>
                <w:sz w:val="16"/>
                <w:szCs w:val="16"/>
              </w:rPr>
              <w:t>1）</w:t>
            </w:r>
          </w:p>
        </w:tc>
        <w:tc>
          <w:tcPr>
            <w:tcW w:w="1787"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9,274,477</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5,335,074</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(5,631,111)</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8,978,440</w:t>
            </w:r>
            <w:r>
              <w:rPr>
                <w:rFonts w:ascii="宋体"/>
                <w:sz w:val="16"/>
              </w:rPr>
            </w:r>
          </w:p>
        </w:tc>
      </w:tr>
      <w:tr>
        <w:trPr>
          <w:trHeight w:val="331" w:hRule="exact"/>
        </w:trPr>
        <w:tc>
          <w:tcPr>
            <w:tcW w:w="2862" w:type="dxa"/>
            <w:tcBorders>
              <w:top w:val="nil" w:sz="6" w:space="0" w:color="auto"/>
              <w:left w:val="nil" w:sz="6" w:space="0" w:color="auto"/>
              <w:bottom w:val="single" w:sz="6" w:space="0" w:color="000000"/>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离退休后补充福利（注</w:t>
            </w:r>
            <w:r>
              <w:rPr>
                <w:rFonts w:ascii="宋体" w:hAnsi="宋体" w:cs="宋体" w:eastAsia="宋体" w:hint="default"/>
                <w:spacing w:val="-32"/>
                <w:sz w:val="16"/>
                <w:szCs w:val="16"/>
              </w:rPr>
              <w:t> </w:t>
            </w:r>
            <w:r>
              <w:rPr>
                <w:rFonts w:ascii="宋体" w:hAnsi="宋体" w:cs="宋体" w:eastAsia="宋体" w:hint="default"/>
                <w:sz w:val="16"/>
                <w:szCs w:val="16"/>
              </w:rPr>
              <w:t>2）</w:t>
            </w:r>
          </w:p>
        </w:tc>
        <w:tc>
          <w:tcPr>
            <w:tcW w:w="1787" w:type="dxa"/>
            <w:tcBorders>
              <w:top w:val="nil" w:sz="6" w:space="0" w:color="auto"/>
              <w:left w:val="nil" w:sz="6" w:space="0" w:color="auto"/>
              <w:bottom w:val="single" w:sz="6" w:space="0" w:color="000000"/>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3,463,622</w:t>
            </w:r>
            <w:r>
              <w:rPr>
                <w:rFonts w:ascii="宋体"/>
                <w:sz w:val="16"/>
              </w:rPr>
            </w:r>
          </w:p>
        </w:tc>
        <w:tc>
          <w:tcPr>
            <w:tcW w:w="1680" w:type="dxa"/>
            <w:tcBorders>
              <w:top w:val="nil" w:sz="6" w:space="0" w:color="auto"/>
              <w:left w:val="nil" w:sz="6" w:space="0" w:color="auto"/>
              <w:bottom w:val="single" w:sz="6" w:space="0" w:color="000000"/>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6,504,649</w:t>
            </w:r>
            <w:r>
              <w:rPr>
                <w:rFonts w:ascii="宋体"/>
                <w:sz w:val="16"/>
              </w:rPr>
            </w:r>
          </w:p>
        </w:tc>
        <w:tc>
          <w:tcPr>
            <w:tcW w:w="1833" w:type="dxa"/>
            <w:tcBorders>
              <w:top w:val="nil" w:sz="6" w:space="0" w:color="auto"/>
              <w:left w:val="nil" w:sz="6" w:space="0" w:color="auto"/>
              <w:bottom w:val="single" w:sz="6" w:space="0" w:color="000000"/>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(5,563,931)</w:t>
            </w:r>
            <w:r>
              <w:rPr>
                <w:rFonts w:ascii="宋体"/>
                <w:sz w:val="16"/>
              </w:rPr>
            </w:r>
          </w:p>
        </w:tc>
        <w:tc>
          <w:tcPr>
            <w:tcW w:w="1496"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4,404,340</w:t>
            </w:r>
            <w:r>
              <w:rPr>
                <w:rFonts w:ascii="宋体"/>
                <w:sz w:val="16"/>
              </w:rPr>
            </w:r>
          </w:p>
        </w:tc>
      </w:tr>
      <w:tr>
        <w:trPr>
          <w:trHeight w:val="414" w:hRule="exact"/>
        </w:trPr>
        <w:tc>
          <w:tcPr>
            <w:tcW w:w="286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78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35"/>
              <w:jc w:val="right"/>
              <w:rPr>
                <w:rFonts w:ascii="宋体" w:hAnsi="宋体" w:cs="宋体" w:eastAsia="宋体" w:hint="default"/>
                <w:sz w:val="16"/>
                <w:szCs w:val="16"/>
              </w:rPr>
            </w:pPr>
            <w:r>
              <w:rPr>
                <w:rFonts w:ascii="宋体"/>
                <w:w w:val="95"/>
                <w:sz w:val="16"/>
              </w:rPr>
              <w:t>5,935,674,406</w:t>
            </w:r>
            <w:r>
              <w:rPr>
                <w:rFonts w:ascii="宋体"/>
                <w:sz w:val="16"/>
              </w:rPr>
            </w:r>
          </w:p>
        </w:tc>
        <w:tc>
          <w:tcPr>
            <w:tcW w:w="168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70"/>
              <w:jc w:val="right"/>
              <w:rPr>
                <w:rFonts w:ascii="宋体" w:hAnsi="宋体" w:cs="宋体" w:eastAsia="宋体" w:hint="default"/>
                <w:sz w:val="16"/>
                <w:szCs w:val="16"/>
              </w:rPr>
            </w:pPr>
            <w:r>
              <w:rPr>
                <w:rFonts w:ascii="宋体"/>
                <w:w w:val="95"/>
                <w:sz w:val="16"/>
              </w:rPr>
              <w:t>48,836,921,762</w:t>
            </w:r>
            <w:r>
              <w:rPr>
                <w:rFonts w:ascii="宋体"/>
                <w:sz w:val="16"/>
              </w:rPr>
            </w:r>
          </w:p>
        </w:tc>
        <w:tc>
          <w:tcPr>
            <w:tcW w:w="183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59"/>
              <w:jc w:val="right"/>
              <w:rPr>
                <w:rFonts w:ascii="宋体" w:hAnsi="宋体" w:cs="宋体" w:eastAsia="宋体" w:hint="default"/>
                <w:sz w:val="16"/>
                <w:szCs w:val="16"/>
              </w:rPr>
            </w:pPr>
            <w:r>
              <w:rPr>
                <w:rFonts w:ascii="宋体"/>
                <w:w w:val="90"/>
                <w:sz w:val="16"/>
              </w:rPr>
              <w:t>(46,509,238,317)</w:t>
            </w:r>
            <w:r>
              <w:rPr>
                <w:rFonts w:ascii="宋体"/>
                <w:sz w:val="16"/>
              </w:rPr>
            </w:r>
          </w:p>
        </w:tc>
        <w:tc>
          <w:tcPr>
            <w:tcW w:w="149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8,263,357,851</w:t>
            </w:r>
            <w:r>
              <w:rPr>
                <w:rFonts w:ascii="宋体"/>
                <w:sz w:val="16"/>
              </w:rPr>
            </w:r>
          </w:p>
        </w:tc>
      </w:tr>
    </w:tbl>
    <w:p>
      <w:pPr>
        <w:spacing w:line="240" w:lineRule="auto" w:before="7"/>
        <w:rPr>
          <w:rFonts w:ascii="宋体" w:hAnsi="宋体" w:cs="宋体" w:eastAsia="宋体" w:hint="default"/>
          <w:sz w:val="13"/>
          <w:szCs w:val="13"/>
        </w:rPr>
      </w:pPr>
    </w:p>
    <w:p>
      <w:pPr>
        <w:pStyle w:val="BodyText"/>
        <w:spacing w:line="285" w:lineRule="auto" w:before="31"/>
        <w:ind w:left="1004" w:right="147" w:hanging="511"/>
        <w:jc w:val="both"/>
      </w:pPr>
      <w:r>
        <w:rPr/>
        <w:t>注 </w:t>
      </w:r>
      <w:r>
        <w:rPr>
          <w:spacing w:val="2"/>
        </w:rPr>
        <w:t>1：根据联通运营公司及所属一家子公司于以前年度与内退员工签署的内退协议，其将在内退员工达到国家法定退</w:t>
      </w:r>
      <w:r>
        <w:rPr>
          <w:spacing w:val="-83"/>
        </w:rPr>
        <w:t> </w:t>
      </w:r>
      <w:r>
        <w:rPr>
          <w:spacing w:val="-83"/>
        </w:rPr>
      </w:r>
      <w:r>
        <w:rPr>
          <w:spacing w:val="2"/>
        </w:rPr>
        <w:t>休年龄前分期支付一定的经济补偿，该等经济补偿已于内退协议签署期间折现后分别由联通运营公司及该子公</w:t>
      </w:r>
      <w:r>
        <w:rPr>
          <w:spacing w:val="3"/>
        </w:rPr>
        <w:t> </w:t>
      </w:r>
      <w:r>
        <w:rPr>
          <w:w w:val="95"/>
        </w:rPr>
        <w:t>司全额一次性计入签约期间的费用当中。一年以上应付的部分列示于长期应付职工薪酬（附注五   </w:t>
      </w:r>
      <w:r>
        <w:rPr>
          <w:spacing w:val="56"/>
          <w:w w:val="95"/>
        </w:rPr>
        <w:t> </w:t>
      </w:r>
      <w:r>
        <w:rPr>
          <w:w w:val="95"/>
        </w:rPr>
        <w:t>(28)）。</w:t>
      </w:r>
      <w:r>
        <w:rPr/>
      </w:r>
    </w:p>
    <w:p>
      <w:pPr>
        <w:spacing w:line="240" w:lineRule="auto" w:before="10"/>
        <w:rPr>
          <w:rFonts w:ascii="宋体" w:hAnsi="宋体" w:cs="宋体" w:eastAsia="宋体" w:hint="default"/>
          <w:sz w:val="13"/>
          <w:szCs w:val="13"/>
        </w:rPr>
      </w:pPr>
    </w:p>
    <w:p>
      <w:pPr>
        <w:pStyle w:val="BodyText"/>
        <w:spacing w:line="285" w:lineRule="auto"/>
        <w:ind w:left="1004" w:right="150" w:hanging="511"/>
        <w:jc w:val="both"/>
      </w:pPr>
      <w:r>
        <w:rPr/>
        <w:t>注</w:t>
      </w:r>
      <w:r>
        <w:rPr>
          <w:spacing w:val="-13"/>
        </w:rPr>
        <w:t> </w:t>
      </w:r>
      <w:r>
        <w:rPr>
          <w:spacing w:val="2"/>
        </w:rPr>
        <w:t>2：本集团所属个别子公司向职工提供其他离退休后补充福利，主要包括补充退休金津贴，医药费用报销及补充医</w:t>
      </w:r>
      <w:r>
        <w:rPr>
          <w:spacing w:val="-74"/>
        </w:rPr>
        <w:t> </w:t>
      </w:r>
      <w:r>
        <w:rPr>
          <w:spacing w:val="-74"/>
        </w:rPr>
      </w:r>
      <w:r>
        <w:rPr>
          <w:spacing w:val="2"/>
        </w:rPr>
        <w:t>疗保险，该等离退休后补充福利被视为设定受益计划。设定受益计划的现值以到期日与有关离退休后补充福利</w:t>
      </w:r>
      <w:r>
        <w:rPr>
          <w:spacing w:val="3"/>
        </w:rPr>
        <w:t> </w:t>
      </w:r>
      <w:r>
        <w:rPr>
          <w:spacing w:val="2"/>
        </w:rPr>
        <w:t>预计支付期相近的政府债券的利率，按估计未来现金流出折现确定。一年以上应付的部分列示于长期应付职工</w:t>
      </w:r>
      <w:r>
        <w:rPr>
          <w:spacing w:val="3"/>
        </w:rPr>
        <w:t> </w:t>
      </w:r>
      <w:r>
        <w:rPr>
          <w:w w:val="95"/>
        </w:rPr>
        <w:t>薪酬（附注五</w:t>
      </w:r>
      <w:r>
        <w:rPr>
          <w:spacing w:val="-11"/>
          <w:w w:val="95"/>
        </w:rPr>
        <w:t> </w:t>
      </w:r>
      <w:r>
        <w:rPr>
          <w:w w:val="95"/>
        </w:rPr>
        <w:t>(28)）。</w:t>
      </w:r>
      <w:r>
        <w:rPr/>
      </w:r>
    </w:p>
    <w:p>
      <w:pPr>
        <w:spacing w:after="0" w:line="285" w:lineRule="auto"/>
        <w:jc w:val="both"/>
        <w:sectPr>
          <w:footerReference w:type="even" r:id="rId312"/>
          <w:footerReference w:type="default" r:id="rId313"/>
          <w:pgSz w:w="11910" w:h="16160"/>
          <w:pgMar w:footer="320" w:header="1200" w:top="2120" w:bottom="520" w:left="640" w:right="1320"/>
          <w:pgNumType w:start="152"/>
        </w:sectPr>
      </w:pPr>
    </w:p>
    <w:p>
      <w:pPr>
        <w:spacing w:line="240" w:lineRule="auto" w:before="3"/>
        <w:rPr>
          <w:rFonts w:ascii="宋体" w:hAnsi="宋体" w:cs="宋体" w:eastAsia="宋体" w:hint="default"/>
          <w:sz w:val="14"/>
          <w:szCs w:val="14"/>
        </w:rPr>
      </w:pPr>
    </w:p>
    <w:p>
      <w:pPr>
        <w:pStyle w:val="BodyText"/>
        <w:spacing w:line="240" w:lineRule="auto" w:before="31"/>
        <w:ind w:left="154" w:right="0"/>
        <w:jc w:val="left"/>
      </w:pPr>
      <w:r>
        <w:rPr/>
        <w:t>20、应付职工薪酬（续）</w:t>
      </w:r>
    </w:p>
    <w:p>
      <w:pPr>
        <w:spacing w:line="240" w:lineRule="auto" w:before="7"/>
        <w:rPr>
          <w:rFonts w:ascii="宋体" w:hAnsi="宋体" w:cs="宋体" w:eastAsia="宋体" w:hint="default"/>
          <w:sz w:val="15"/>
          <w:szCs w:val="15"/>
        </w:rPr>
      </w:pPr>
    </w:p>
    <w:tbl>
      <w:tblPr>
        <w:tblW w:w="0" w:type="auto"/>
        <w:jc w:val="left"/>
        <w:tblInd w:w="119" w:type="dxa"/>
        <w:tblLayout w:type="fixed"/>
        <w:tblCellMar>
          <w:top w:w="0" w:type="dxa"/>
          <w:left w:w="0" w:type="dxa"/>
          <w:bottom w:w="0" w:type="dxa"/>
          <w:right w:w="0" w:type="dxa"/>
        </w:tblCellMar>
        <w:tblLook w:val="01E0"/>
      </w:tblPr>
      <w:tblGrid>
        <w:gridCol w:w="375"/>
        <w:gridCol w:w="2539"/>
        <w:gridCol w:w="1736"/>
        <w:gridCol w:w="1680"/>
        <w:gridCol w:w="1833"/>
        <w:gridCol w:w="1496"/>
      </w:tblGrid>
      <w:tr>
        <w:trPr>
          <w:trHeight w:val="740" w:hRule="exact"/>
        </w:trPr>
        <w:tc>
          <w:tcPr>
            <w:tcW w:w="37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w w:val="85"/>
                <w:sz w:val="18"/>
              </w:rPr>
              <w:t>(b)</w:t>
            </w:r>
            <w:r>
              <w:rPr>
                <w:rFonts w:ascii="宋体"/>
                <w:sz w:val="18"/>
              </w:rPr>
            </w:r>
          </w:p>
        </w:tc>
        <w:tc>
          <w:tcPr>
            <w:tcW w:w="2539"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短期薪酬</w:t>
            </w:r>
          </w:p>
        </w:tc>
        <w:tc>
          <w:tcPr>
            <w:tcW w:w="173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35"/>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680" w:type="dxa"/>
            <w:tcBorders>
              <w:top w:val="nil" w:sz="6" w:space="0" w:color="auto"/>
              <w:left w:val="nil" w:sz="6" w:space="0" w:color="auto"/>
              <w:bottom w:val="nil" w:sz="6" w:space="0" w:color="auto"/>
              <w:right w:val="nil" w:sz="6" w:space="0" w:color="auto"/>
            </w:tcBorders>
          </w:tcPr>
          <w:p>
            <w:pPr/>
          </w:p>
        </w:tc>
        <w:tc>
          <w:tcPr>
            <w:tcW w:w="1833" w:type="dxa"/>
            <w:tcBorders>
              <w:top w:val="nil" w:sz="6" w:space="0" w:color="auto"/>
              <w:left w:val="nil" w:sz="6" w:space="0" w:color="auto"/>
              <w:bottom w:val="nil" w:sz="6" w:space="0" w:color="auto"/>
              <w:right w:val="nil" w:sz="6" w:space="0" w:color="auto"/>
            </w:tcBorders>
          </w:tcPr>
          <w:p>
            <w:pPr/>
          </w:p>
        </w:tc>
        <w:tc>
          <w:tcPr>
            <w:tcW w:w="149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04"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single" w:sz="16" w:space="0" w:color="9F8958"/>
              <w:right w:val="nil" w:sz="6" w:space="0" w:color="auto"/>
            </w:tcBorders>
          </w:tcPr>
          <w:p>
            <w:pPr/>
          </w:p>
        </w:tc>
        <w:tc>
          <w:tcPr>
            <w:tcW w:w="1736" w:type="dxa"/>
            <w:tcBorders>
              <w:top w:val="nil" w:sz="6" w:space="0" w:color="auto"/>
              <w:left w:val="nil" w:sz="6" w:space="0" w:color="auto"/>
              <w:bottom w:val="single" w:sz="16" w:space="0" w:color="9F8958"/>
              <w:right w:val="nil" w:sz="6" w:space="0" w:color="auto"/>
            </w:tcBorders>
          </w:tcPr>
          <w:p>
            <w:pPr>
              <w:pStyle w:val="TableParagraph"/>
              <w:spacing w:line="170" w:lineRule="exact"/>
              <w:ind w:right="295"/>
              <w:jc w:val="right"/>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680" w:type="dxa"/>
            <w:tcBorders>
              <w:top w:val="nil" w:sz="6" w:space="0" w:color="auto"/>
              <w:left w:val="nil" w:sz="6" w:space="0" w:color="auto"/>
              <w:bottom w:val="single" w:sz="16" w:space="0" w:color="9F8958"/>
              <w:right w:val="nil" w:sz="6" w:space="0" w:color="auto"/>
            </w:tcBorders>
          </w:tcPr>
          <w:p>
            <w:pPr>
              <w:pStyle w:val="TableParagraph"/>
              <w:spacing w:line="170" w:lineRule="exact"/>
              <w:ind w:right="271"/>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833" w:type="dxa"/>
            <w:tcBorders>
              <w:top w:val="nil" w:sz="6" w:space="0" w:color="auto"/>
              <w:left w:val="nil" w:sz="6" w:space="0" w:color="auto"/>
              <w:bottom w:val="single" w:sz="16" w:space="0" w:color="9F8958"/>
              <w:right w:val="nil" w:sz="6" w:space="0" w:color="auto"/>
            </w:tcBorders>
          </w:tcPr>
          <w:p>
            <w:pPr>
              <w:pStyle w:val="TableParagraph"/>
              <w:spacing w:line="170" w:lineRule="exact"/>
              <w:ind w:right="359"/>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496" w:type="dxa"/>
            <w:tcBorders>
              <w:top w:val="nil" w:sz="6" w:space="0" w:color="auto"/>
              <w:left w:val="nil" w:sz="6" w:space="0" w:color="auto"/>
              <w:bottom w:val="single" w:sz="16" w:space="0" w:color="9F8958"/>
              <w:right w:val="nil" w:sz="6" w:space="0" w:color="auto"/>
            </w:tcBorders>
          </w:tcPr>
          <w:p>
            <w:pPr>
              <w:pStyle w:val="TableParagraph"/>
              <w:spacing w:line="170" w:lineRule="exact"/>
              <w:ind w:right="71"/>
              <w:jc w:val="right"/>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r>
      <w:tr>
        <w:trPr>
          <w:trHeight w:val="362"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工资、奖金、津贴和补贴</w:t>
            </w:r>
          </w:p>
        </w:tc>
        <w:tc>
          <w:tcPr>
            <w:tcW w:w="173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35"/>
              <w:jc w:val="right"/>
              <w:rPr>
                <w:rFonts w:ascii="宋体" w:hAnsi="宋体" w:cs="宋体" w:eastAsia="宋体" w:hint="default"/>
                <w:sz w:val="16"/>
                <w:szCs w:val="16"/>
              </w:rPr>
            </w:pPr>
            <w:r>
              <w:rPr>
                <w:rFonts w:ascii="宋体"/>
                <w:w w:val="95"/>
                <w:sz w:val="16"/>
              </w:rPr>
              <w:t>2,206,000,979</w:t>
            </w:r>
            <w:r>
              <w:rPr>
                <w:rFonts w:ascii="宋体"/>
                <w:sz w:val="16"/>
              </w:rPr>
            </w:r>
          </w:p>
        </w:tc>
        <w:tc>
          <w:tcPr>
            <w:tcW w:w="168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70"/>
              <w:jc w:val="right"/>
              <w:rPr>
                <w:rFonts w:ascii="宋体" w:hAnsi="宋体" w:cs="宋体" w:eastAsia="宋体" w:hint="default"/>
                <w:sz w:val="16"/>
                <w:szCs w:val="16"/>
              </w:rPr>
            </w:pPr>
            <w:r>
              <w:rPr>
                <w:rFonts w:ascii="宋体"/>
                <w:w w:val="95"/>
                <w:sz w:val="16"/>
              </w:rPr>
              <w:t>32,884,382,993</w:t>
            </w:r>
            <w:r>
              <w:rPr>
                <w:rFonts w:ascii="宋体"/>
                <w:sz w:val="16"/>
              </w:rPr>
            </w:r>
          </w:p>
        </w:tc>
        <w:tc>
          <w:tcPr>
            <w:tcW w:w="183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59"/>
              <w:jc w:val="right"/>
              <w:rPr>
                <w:rFonts w:ascii="宋体" w:hAnsi="宋体" w:cs="宋体" w:eastAsia="宋体" w:hint="default"/>
                <w:sz w:val="16"/>
                <w:szCs w:val="16"/>
              </w:rPr>
            </w:pPr>
            <w:r>
              <w:rPr>
                <w:rFonts w:ascii="宋体"/>
                <w:w w:val="90"/>
                <w:sz w:val="16"/>
              </w:rPr>
              <w:t>(31,565,499,552)</w:t>
            </w:r>
            <w:r>
              <w:rPr>
                <w:rFonts w:ascii="宋体"/>
                <w:sz w:val="16"/>
              </w:rPr>
            </w:r>
          </w:p>
        </w:tc>
        <w:tc>
          <w:tcPr>
            <w:tcW w:w="149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3,524,884,420</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职工福利费</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131"/>
                <w:sz w:val="16"/>
              </w:rPr>
              <w:t>-</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2,021,614,161</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(2,021,614,161)</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社会保险费</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sz w:val="16"/>
              </w:rPr>
              <w:t>110,337,532</w:t>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2,540,050,347</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(2,482,769,995)</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167,617,884</w:t>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其中：医疗保险费</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90,638,429</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2,240,285,439</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(2,187,690,865)</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143,233,003</w:t>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595" w:right="0"/>
              <w:jc w:val="left"/>
              <w:rPr>
                <w:rFonts w:ascii="宋体" w:hAnsi="宋体" w:cs="宋体" w:eastAsia="宋体" w:hint="default"/>
                <w:sz w:val="16"/>
                <w:szCs w:val="16"/>
              </w:rPr>
            </w:pPr>
            <w:r>
              <w:rPr>
                <w:rFonts w:ascii="宋体" w:hAnsi="宋体" w:cs="宋体" w:eastAsia="宋体" w:hint="default"/>
                <w:sz w:val="16"/>
                <w:szCs w:val="16"/>
              </w:rPr>
              <w:t>工伤保险费</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6,311,030</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sz w:val="16"/>
              </w:rPr>
              <w:t>108,404,568</w:t>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(106,191,669)</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8,523,929</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595" w:right="0"/>
              <w:jc w:val="left"/>
              <w:rPr>
                <w:rFonts w:ascii="宋体" w:hAnsi="宋体" w:cs="宋体" w:eastAsia="宋体" w:hint="default"/>
                <w:sz w:val="16"/>
                <w:szCs w:val="16"/>
              </w:rPr>
            </w:pPr>
            <w:r>
              <w:rPr>
                <w:rFonts w:ascii="宋体" w:hAnsi="宋体" w:cs="宋体" w:eastAsia="宋体" w:hint="default"/>
                <w:sz w:val="16"/>
                <w:szCs w:val="16"/>
              </w:rPr>
              <w:t>生育保险费</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11,098,149</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sz w:val="16"/>
              </w:rPr>
              <w:t>159,846,919</w:t>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59"/>
              <w:jc w:val="right"/>
              <w:rPr>
                <w:rFonts w:ascii="宋体" w:hAnsi="宋体" w:cs="宋体" w:eastAsia="宋体" w:hint="default"/>
                <w:sz w:val="16"/>
                <w:szCs w:val="16"/>
              </w:rPr>
            </w:pPr>
            <w:r>
              <w:rPr>
                <w:rFonts w:ascii="宋体"/>
                <w:w w:val="90"/>
                <w:sz w:val="16"/>
              </w:rPr>
              <w:t>(156,246,963)</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14,698,105</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住房公积金</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74,008,734</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2,943,465,558</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60"/>
              <w:jc w:val="right"/>
              <w:rPr>
                <w:rFonts w:ascii="宋体" w:hAnsi="宋体" w:cs="宋体" w:eastAsia="宋体" w:hint="default"/>
                <w:sz w:val="16"/>
                <w:szCs w:val="16"/>
              </w:rPr>
            </w:pPr>
            <w:r>
              <w:rPr>
                <w:rFonts w:ascii="宋体"/>
                <w:w w:val="90"/>
                <w:sz w:val="16"/>
              </w:rPr>
              <w:t>(2,941,107,372)</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76,366,920</w:t>
            </w:r>
            <w:r>
              <w:rPr>
                <w:rFonts w:ascii="宋体"/>
                <w:sz w:val="16"/>
              </w:rPr>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工会经费和职工教育经费</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sz w:val="16"/>
              </w:rPr>
              <w:t>532,961,675</w:t>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95"/>
                <w:sz w:val="16"/>
              </w:rPr>
              <w:t>1,049,045,791</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60"/>
              <w:jc w:val="right"/>
              <w:rPr>
                <w:rFonts w:ascii="宋体" w:hAnsi="宋体" w:cs="宋体" w:eastAsia="宋体" w:hint="default"/>
                <w:sz w:val="16"/>
                <w:szCs w:val="16"/>
              </w:rPr>
            </w:pPr>
            <w:r>
              <w:rPr>
                <w:rFonts w:ascii="宋体"/>
                <w:w w:val="90"/>
                <w:sz w:val="16"/>
              </w:rPr>
              <w:t>(880,526,294)</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701,481,172</w:t>
            </w:r>
          </w:p>
        </w:tc>
      </w:tr>
      <w:tr>
        <w:trPr>
          <w:trHeight w:val="273"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一次性货币住房补贴（注</w:t>
            </w:r>
            <w:r>
              <w:rPr>
                <w:rFonts w:ascii="宋体" w:hAnsi="宋体" w:cs="宋体" w:eastAsia="宋体" w:hint="default"/>
                <w:spacing w:val="-32"/>
                <w:sz w:val="16"/>
                <w:szCs w:val="16"/>
              </w:rPr>
              <w:t> </w:t>
            </w:r>
            <w:r>
              <w:rPr>
                <w:rFonts w:ascii="宋体" w:hAnsi="宋体" w:cs="宋体" w:eastAsia="宋体" w:hint="default"/>
                <w:sz w:val="16"/>
                <w:szCs w:val="16"/>
              </w:rPr>
              <w:t>1）</w:t>
            </w:r>
          </w:p>
        </w:tc>
        <w:tc>
          <w:tcPr>
            <w:tcW w:w="1736" w:type="dxa"/>
            <w:tcBorders>
              <w:top w:val="nil" w:sz="6" w:space="0" w:color="auto"/>
              <w:left w:val="nil" w:sz="6" w:space="0" w:color="auto"/>
              <w:bottom w:val="nil" w:sz="6" w:space="0" w:color="auto"/>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2,500,485,349</w:t>
            </w:r>
            <w:r>
              <w:rPr>
                <w:rFonts w:ascii="宋体"/>
                <w:sz w:val="16"/>
              </w:rPr>
            </w:r>
          </w:p>
        </w:tc>
        <w:tc>
          <w:tcPr>
            <w:tcW w:w="1680" w:type="dxa"/>
            <w:tcBorders>
              <w:top w:val="nil" w:sz="6" w:space="0" w:color="auto"/>
              <w:left w:val="nil" w:sz="6" w:space="0" w:color="auto"/>
              <w:bottom w:val="nil" w:sz="6" w:space="0" w:color="auto"/>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w w:val="131"/>
                <w:sz w:val="16"/>
              </w:rPr>
              <w:t>-</w:t>
            </w:r>
            <w:r>
              <w:rPr>
                <w:rFonts w:ascii="宋体"/>
                <w:sz w:val="16"/>
              </w:rPr>
            </w:r>
          </w:p>
        </w:tc>
        <w:tc>
          <w:tcPr>
            <w:tcW w:w="1833" w:type="dxa"/>
            <w:tcBorders>
              <w:top w:val="nil" w:sz="6" w:space="0" w:color="auto"/>
              <w:left w:val="nil" w:sz="6" w:space="0" w:color="auto"/>
              <w:bottom w:val="nil" w:sz="6" w:space="0" w:color="auto"/>
              <w:right w:val="nil" w:sz="6" w:space="0" w:color="auto"/>
            </w:tcBorders>
          </w:tcPr>
          <w:p>
            <w:pPr>
              <w:pStyle w:val="TableParagraph"/>
              <w:spacing w:line="205" w:lineRule="exact"/>
              <w:ind w:right="360"/>
              <w:jc w:val="right"/>
              <w:rPr>
                <w:rFonts w:ascii="宋体" w:hAnsi="宋体" w:cs="宋体" w:eastAsia="宋体" w:hint="default"/>
                <w:sz w:val="16"/>
                <w:szCs w:val="16"/>
              </w:rPr>
            </w:pPr>
            <w:r>
              <w:rPr>
                <w:rFonts w:ascii="宋体"/>
                <w:w w:val="90"/>
                <w:sz w:val="16"/>
              </w:rPr>
              <w:t>(55,101)</w:t>
            </w:r>
            <w:r>
              <w:rPr>
                <w:rFonts w:ascii="宋体"/>
                <w:sz w:val="16"/>
              </w:rPr>
            </w:r>
          </w:p>
        </w:tc>
        <w:tc>
          <w:tcPr>
            <w:tcW w:w="14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2,500,430,248</w:t>
            </w:r>
            <w:r>
              <w:rPr>
                <w:rFonts w:ascii="宋体"/>
                <w:sz w:val="16"/>
              </w:rPr>
            </w:r>
          </w:p>
        </w:tc>
      </w:tr>
      <w:tr>
        <w:trPr>
          <w:trHeight w:val="330"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其他短期薪酬</w:t>
            </w:r>
          </w:p>
        </w:tc>
        <w:tc>
          <w:tcPr>
            <w:tcW w:w="1736" w:type="dxa"/>
            <w:tcBorders>
              <w:top w:val="nil" w:sz="6" w:space="0" w:color="auto"/>
              <w:left w:val="nil" w:sz="6" w:space="0" w:color="auto"/>
              <w:bottom w:val="single" w:sz="6" w:space="0" w:color="000000"/>
              <w:right w:val="nil" w:sz="6" w:space="0" w:color="auto"/>
            </w:tcBorders>
          </w:tcPr>
          <w:p>
            <w:pPr>
              <w:pStyle w:val="TableParagraph"/>
              <w:spacing w:line="205" w:lineRule="exact"/>
              <w:ind w:right="335"/>
              <w:jc w:val="right"/>
              <w:rPr>
                <w:rFonts w:ascii="宋体" w:hAnsi="宋体" w:cs="宋体" w:eastAsia="宋体" w:hint="default"/>
                <w:sz w:val="16"/>
                <w:szCs w:val="16"/>
              </w:rPr>
            </w:pPr>
            <w:r>
              <w:rPr>
                <w:rFonts w:ascii="宋体"/>
                <w:w w:val="95"/>
                <w:sz w:val="16"/>
              </w:rPr>
              <w:t>49,542,541</w:t>
            </w:r>
            <w:r>
              <w:rPr>
                <w:rFonts w:ascii="宋体"/>
                <w:sz w:val="16"/>
              </w:rPr>
            </w:r>
          </w:p>
        </w:tc>
        <w:tc>
          <w:tcPr>
            <w:tcW w:w="1680" w:type="dxa"/>
            <w:tcBorders>
              <w:top w:val="nil" w:sz="6" w:space="0" w:color="auto"/>
              <w:left w:val="nil" w:sz="6" w:space="0" w:color="auto"/>
              <w:bottom w:val="single" w:sz="6" w:space="0" w:color="000000"/>
              <w:right w:val="nil" w:sz="6" w:space="0" w:color="auto"/>
            </w:tcBorders>
          </w:tcPr>
          <w:p>
            <w:pPr>
              <w:pStyle w:val="TableParagraph"/>
              <w:spacing w:line="205" w:lineRule="exact"/>
              <w:ind w:right="271"/>
              <w:jc w:val="right"/>
              <w:rPr>
                <w:rFonts w:ascii="宋体" w:hAnsi="宋体" w:cs="宋体" w:eastAsia="宋体" w:hint="default"/>
                <w:sz w:val="16"/>
                <w:szCs w:val="16"/>
              </w:rPr>
            </w:pPr>
            <w:r>
              <w:rPr>
                <w:rFonts w:ascii="宋体"/>
                <w:sz w:val="16"/>
              </w:rPr>
              <w:t>419,643,415</w:t>
            </w:r>
          </w:p>
        </w:tc>
        <w:tc>
          <w:tcPr>
            <w:tcW w:w="1833" w:type="dxa"/>
            <w:tcBorders>
              <w:top w:val="nil" w:sz="6" w:space="0" w:color="auto"/>
              <w:left w:val="nil" w:sz="6" w:space="0" w:color="auto"/>
              <w:bottom w:val="single" w:sz="6" w:space="0" w:color="000000"/>
              <w:right w:val="nil" w:sz="6" w:space="0" w:color="auto"/>
            </w:tcBorders>
          </w:tcPr>
          <w:p>
            <w:pPr>
              <w:pStyle w:val="TableParagraph"/>
              <w:spacing w:line="205" w:lineRule="exact"/>
              <w:ind w:right="360"/>
              <w:jc w:val="right"/>
              <w:rPr>
                <w:rFonts w:ascii="宋体" w:hAnsi="宋体" w:cs="宋体" w:eastAsia="宋体" w:hint="default"/>
                <w:sz w:val="16"/>
                <w:szCs w:val="16"/>
              </w:rPr>
            </w:pPr>
            <w:r>
              <w:rPr>
                <w:rFonts w:ascii="宋体"/>
                <w:w w:val="90"/>
                <w:sz w:val="16"/>
              </w:rPr>
              <w:t>(427,139,752)</w:t>
            </w:r>
            <w:r>
              <w:rPr>
                <w:rFonts w:ascii="宋体"/>
                <w:sz w:val="16"/>
              </w:rPr>
            </w:r>
          </w:p>
        </w:tc>
        <w:tc>
          <w:tcPr>
            <w:tcW w:w="1496"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42,046,204</w:t>
            </w:r>
            <w:r>
              <w:rPr>
                <w:rFonts w:ascii="宋体"/>
                <w:sz w:val="16"/>
              </w:rPr>
            </w:r>
          </w:p>
        </w:tc>
      </w:tr>
      <w:tr>
        <w:trPr>
          <w:trHeight w:val="414" w:hRule="exact"/>
        </w:trPr>
        <w:tc>
          <w:tcPr>
            <w:tcW w:w="375" w:type="dxa"/>
            <w:tcBorders>
              <w:top w:val="nil" w:sz="6" w:space="0" w:color="auto"/>
              <w:left w:val="nil" w:sz="6" w:space="0" w:color="auto"/>
              <w:bottom w:val="nil" w:sz="6" w:space="0" w:color="auto"/>
              <w:right w:val="nil" w:sz="6" w:space="0" w:color="auto"/>
            </w:tcBorders>
          </w:tcPr>
          <w:p>
            <w:pPr/>
          </w:p>
        </w:tc>
        <w:tc>
          <w:tcPr>
            <w:tcW w:w="253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73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35"/>
              <w:jc w:val="right"/>
              <w:rPr>
                <w:rFonts w:ascii="宋体" w:hAnsi="宋体" w:cs="宋体" w:eastAsia="宋体" w:hint="default"/>
                <w:sz w:val="16"/>
                <w:szCs w:val="16"/>
              </w:rPr>
            </w:pPr>
            <w:r>
              <w:rPr>
                <w:rFonts w:ascii="宋体"/>
                <w:w w:val="95"/>
                <w:sz w:val="16"/>
              </w:rPr>
              <w:t>5,473,336,810</w:t>
            </w:r>
            <w:r>
              <w:rPr>
                <w:rFonts w:ascii="宋体"/>
                <w:sz w:val="16"/>
              </w:rPr>
            </w:r>
          </w:p>
        </w:tc>
        <w:tc>
          <w:tcPr>
            <w:tcW w:w="168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70"/>
              <w:jc w:val="right"/>
              <w:rPr>
                <w:rFonts w:ascii="宋体" w:hAnsi="宋体" w:cs="宋体" w:eastAsia="宋体" w:hint="default"/>
                <w:sz w:val="16"/>
                <w:szCs w:val="16"/>
              </w:rPr>
            </w:pPr>
            <w:r>
              <w:rPr>
                <w:rFonts w:ascii="宋体"/>
                <w:w w:val="95"/>
                <w:sz w:val="16"/>
              </w:rPr>
              <w:t>41,858,202,265</w:t>
            </w:r>
            <w:r>
              <w:rPr>
                <w:rFonts w:ascii="宋体"/>
                <w:sz w:val="16"/>
              </w:rPr>
            </w:r>
          </w:p>
        </w:tc>
        <w:tc>
          <w:tcPr>
            <w:tcW w:w="183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59"/>
              <w:jc w:val="right"/>
              <w:rPr>
                <w:rFonts w:ascii="宋体" w:hAnsi="宋体" w:cs="宋体" w:eastAsia="宋体" w:hint="default"/>
                <w:sz w:val="16"/>
                <w:szCs w:val="16"/>
              </w:rPr>
            </w:pPr>
            <w:r>
              <w:rPr>
                <w:rFonts w:ascii="宋体"/>
                <w:w w:val="90"/>
                <w:sz w:val="16"/>
              </w:rPr>
              <w:t>(40,318,712,227)</w:t>
            </w:r>
            <w:r>
              <w:rPr>
                <w:rFonts w:ascii="宋体"/>
                <w:sz w:val="16"/>
              </w:rPr>
            </w:r>
          </w:p>
        </w:tc>
        <w:tc>
          <w:tcPr>
            <w:tcW w:w="149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7,012,826,848</w:t>
            </w:r>
            <w:r>
              <w:rPr>
                <w:rFonts w:ascii="宋体"/>
                <w:sz w:val="16"/>
              </w:rPr>
            </w:r>
          </w:p>
        </w:tc>
      </w:tr>
    </w:tbl>
    <w:p>
      <w:pPr>
        <w:spacing w:line="240" w:lineRule="auto" w:before="7"/>
        <w:rPr>
          <w:rFonts w:ascii="宋体" w:hAnsi="宋体" w:cs="宋体" w:eastAsia="宋体" w:hint="default"/>
          <w:sz w:val="13"/>
          <w:szCs w:val="13"/>
        </w:rPr>
      </w:pPr>
    </w:p>
    <w:p>
      <w:pPr>
        <w:pStyle w:val="BodyText"/>
        <w:spacing w:line="285" w:lineRule="auto" w:before="31"/>
        <w:ind w:left="1004" w:right="185" w:hanging="511"/>
        <w:jc w:val="both"/>
      </w:pPr>
      <w:r>
        <w:rPr/>
        <w:t>注</w:t>
      </w:r>
      <w:r>
        <w:rPr>
          <w:spacing w:val="-34"/>
        </w:rPr>
        <w:t> </w:t>
      </w:r>
      <w:r>
        <w:rPr/>
        <w:t>1：国务院</w:t>
      </w:r>
      <w:r>
        <w:rPr>
          <w:spacing w:val="-34"/>
        </w:rPr>
        <w:t> </w:t>
      </w:r>
      <w:r>
        <w:rPr/>
        <w:t>1998</w:t>
      </w:r>
      <w:r>
        <w:rPr>
          <w:spacing w:val="-34"/>
        </w:rPr>
        <w:t> </w:t>
      </w:r>
      <w:r>
        <w:rPr/>
        <w:t>年公布的住房改革政策，企业应停止向员工进行实物分房，而应采用现金补贴形式实行货币分房。</w:t>
      </w:r>
      <w:r>
        <w:rPr>
          <w:spacing w:val="-80"/>
        </w:rPr>
        <w:t> </w:t>
      </w:r>
      <w:r>
        <w:rPr>
          <w:spacing w:val="-80"/>
        </w:rPr>
      </w:r>
      <w:r>
        <w:rPr>
          <w:spacing w:val="2"/>
        </w:rPr>
        <w:t>在住房改革政策实施中，企业可按照自身实际情况及财务能力考虑制定适合本企业的房改方案。另外，还需按</w:t>
      </w:r>
      <w:r>
        <w:rPr>
          <w:spacing w:val="3"/>
        </w:rPr>
        <w:t> </w:t>
      </w:r>
      <w:r>
        <w:rPr/>
        <w:t>属地化原则在各省市内执行当地政府的房改条例。</w:t>
      </w:r>
    </w:p>
    <w:p>
      <w:pPr>
        <w:spacing w:line="240" w:lineRule="auto" w:before="10"/>
        <w:rPr>
          <w:rFonts w:ascii="宋体" w:hAnsi="宋体" w:cs="宋体" w:eastAsia="宋体" w:hint="default"/>
          <w:sz w:val="13"/>
          <w:szCs w:val="13"/>
        </w:rPr>
      </w:pPr>
    </w:p>
    <w:p>
      <w:pPr>
        <w:pStyle w:val="BodyText"/>
        <w:spacing w:line="240" w:lineRule="auto"/>
        <w:ind w:left="1004" w:right="0"/>
        <w:jc w:val="both"/>
      </w:pPr>
      <w:r>
        <w:rPr/>
        <w:t>1998</w:t>
      </w:r>
      <w:r>
        <w:rPr>
          <w:spacing w:val="24"/>
        </w:rPr>
        <w:t> </w:t>
      </w:r>
      <w:r>
        <w:rPr>
          <w:spacing w:val="-7"/>
        </w:rPr>
        <w:t>年以前，中国网通（集团）有限公司（“网通运营公司”）以优惠价向其符合规定的员工出售员工住房（“优</w:t>
      </w:r>
    </w:p>
    <w:p>
      <w:pPr>
        <w:pStyle w:val="BodyText"/>
        <w:spacing w:line="285" w:lineRule="auto" w:before="44"/>
        <w:ind w:left="1004" w:right="185"/>
        <w:jc w:val="both"/>
      </w:pPr>
      <w:r>
        <w:rPr/>
        <w:t>惠出售计划”），根据国务院</w:t>
      </w:r>
      <w:r>
        <w:rPr>
          <w:spacing w:val="-25"/>
        </w:rPr>
        <w:t> </w:t>
      </w:r>
      <w:r>
        <w:rPr/>
        <w:t>1998</w:t>
      </w:r>
      <w:r>
        <w:rPr>
          <w:spacing w:val="-25"/>
        </w:rPr>
        <w:t> </w:t>
      </w:r>
      <w:r>
        <w:rPr/>
        <w:t>年公布的住房改革政策，网通运营公司取消了优惠出售计划。于</w:t>
      </w:r>
      <w:r>
        <w:rPr>
          <w:spacing w:val="-25"/>
        </w:rPr>
        <w:t> </w:t>
      </w:r>
      <w:r>
        <w:rPr/>
        <w:t>2000</w:t>
      </w:r>
      <w:r>
        <w:rPr>
          <w:spacing w:val="-25"/>
        </w:rPr>
        <w:t> </w:t>
      </w:r>
      <w:r>
        <w:rPr/>
        <w:t>年，</w:t>
      </w:r>
      <w:r>
        <w:rPr>
          <w:spacing w:val="-66"/>
        </w:rPr>
        <w:t> </w:t>
      </w:r>
      <w:r>
        <w:rPr>
          <w:spacing w:val="-66"/>
        </w:rPr>
      </w:r>
      <w:r>
        <w:rPr>
          <w:spacing w:val="2"/>
        </w:rPr>
        <w:t>国务院进一步发布通告，说明取消员工住房分配后，须给予符合条件的员工现金补贴，故网通运营公司所属各</w:t>
      </w:r>
      <w:r>
        <w:rPr>
          <w:spacing w:val="-52"/>
        </w:rPr>
        <w:t> </w:t>
      </w:r>
      <w:r>
        <w:rPr>
          <w:spacing w:val="-52"/>
        </w:rPr>
      </w:r>
      <w:r>
        <w:rPr>
          <w:spacing w:val="2"/>
        </w:rPr>
        <w:t>省分公司按照当地政府颁布的相关详细条例采纳了现金住房补贴计划。根据现金住房补贴计划，对于在优惠出</w:t>
      </w:r>
      <w:r>
        <w:rPr>
          <w:spacing w:val="-49"/>
        </w:rPr>
        <w:t> </w:t>
      </w:r>
      <w:r>
        <w:rPr>
          <w:spacing w:val="-49"/>
        </w:rPr>
      </w:r>
      <w:r>
        <w:rPr>
          <w:spacing w:val="2"/>
        </w:rPr>
        <w:t>售计划终止前未获分配住房或分配住房不达目标符合资格员工，网通运营公司须支付一笔按其服务年份、职位</w:t>
      </w:r>
      <w:r>
        <w:rPr>
          <w:spacing w:val="-49"/>
        </w:rPr>
        <w:t> </w:t>
      </w:r>
      <w:r>
        <w:rPr>
          <w:spacing w:val="-49"/>
        </w:rPr>
      </w:r>
      <w:r>
        <w:rPr/>
        <w:t>和其他标准计算的一次性货币住房补贴。网通运营公司据此全额计提了约人民币</w:t>
      </w:r>
      <w:r>
        <w:rPr>
          <w:spacing w:val="-46"/>
        </w:rPr>
        <w:t> </w:t>
      </w:r>
      <w:r>
        <w:rPr/>
        <w:t>41.42</w:t>
      </w:r>
      <w:r>
        <w:rPr>
          <w:spacing w:val="-47"/>
        </w:rPr>
        <w:t> </w:t>
      </w:r>
      <w:r>
        <w:rPr/>
        <w:t>亿元的现金住房补贴。</w:t>
      </w:r>
    </w:p>
    <w:p>
      <w:pPr>
        <w:spacing w:line="240" w:lineRule="auto" w:before="10"/>
        <w:rPr>
          <w:rFonts w:ascii="宋体" w:hAnsi="宋体" w:cs="宋体" w:eastAsia="宋体" w:hint="default"/>
          <w:sz w:val="13"/>
          <w:szCs w:val="13"/>
        </w:rPr>
      </w:pPr>
    </w:p>
    <w:p>
      <w:pPr>
        <w:pStyle w:val="BodyText"/>
        <w:spacing w:line="240" w:lineRule="auto"/>
        <w:ind w:left="1004" w:right="0"/>
        <w:jc w:val="both"/>
      </w:pPr>
      <w:r>
        <w:rPr/>
        <w:t>于</w:t>
      </w:r>
      <w:r>
        <w:rPr>
          <w:spacing w:val="-34"/>
        </w:rPr>
        <w:t> </w:t>
      </w:r>
      <w:r>
        <w:rPr/>
        <w:t>2009</w:t>
      </w:r>
      <w:r>
        <w:rPr>
          <w:spacing w:val="-34"/>
        </w:rPr>
        <w:t> </w:t>
      </w:r>
      <w:r>
        <w:rPr/>
        <w:t>年</w:t>
      </w:r>
      <w:r>
        <w:rPr>
          <w:spacing w:val="-34"/>
        </w:rPr>
        <w:t> </w:t>
      </w:r>
      <w:r>
        <w:rPr/>
        <w:t>1</w:t>
      </w:r>
      <w:r>
        <w:rPr>
          <w:spacing w:val="-34"/>
        </w:rPr>
        <w:t> </w:t>
      </w:r>
      <w:r>
        <w:rPr/>
        <w:t>月，由于网通运营公司已被联通运营公司吸收合并，因此网通运营公司在上述一次性货币住房补贴</w:t>
      </w:r>
    </w:p>
    <w:p>
      <w:pPr>
        <w:pStyle w:val="BodyText"/>
        <w:spacing w:line="240" w:lineRule="auto" w:before="44"/>
        <w:ind w:left="1004" w:right="0"/>
        <w:jc w:val="both"/>
      </w:pPr>
      <w:r>
        <w:rPr/>
        <w:t>中的权利和义务由联通运营公司承继。于</w:t>
      </w:r>
      <w:r>
        <w:rPr>
          <w:spacing w:val="-39"/>
        </w:rPr>
        <w:t> </w:t>
      </w:r>
      <w:r>
        <w:rPr/>
        <w:t>2018</w:t>
      </w:r>
      <w:r>
        <w:rPr>
          <w:spacing w:val="-39"/>
        </w:rPr>
        <w:t> </w:t>
      </w:r>
      <w:r>
        <w:rPr/>
        <w:t>年</w:t>
      </w:r>
      <w:r>
        <w:rPr>
          <w:spacing w:val="-39"/>
        </w:rPr>
        <w:t> </w:t>
      </w:r>
      <w:r>
        <w:rPr/>
        <w:t>12</w:t>
      </w:r>
      <w:r>
        <w:rPr>
          <w:spacing w:val="-39"/>
        </w:rPr>
        <w:t> </w:t>
      </w:r>
      <w:r>
        <w:rPr/>
        <w:t>月</w:t>
      </w:r>
      <w:r>
        <w:rPr>
          <w:spacing w:val="-39"/>
        </w:rPr>
        <w:t> </w:t>
      </w:r>
      <w:r>
        <w:rPr/>
        <w:t>31</w:t>
      </w:r>
      <w:r>
        <w:rPr>
          <w:spacing w:val="-39"/>
        </w:rPr>
        <w:t> </w:t>
      </w:r>
      <w:r>
        <w:rPr/>
        <w:t>日，尚有约人民币</w:t>
      </w:r>
      <w:r>
        <w:rPr>
          <w:spacing w:val="-39"/>
        </w:rPr>
        <w:t> </w:t>
      </w:r>
      <w:r>
        <w:rPr/>
        <w:t>25.00</w:t>
      </w:r>
      <w:r>
        <w:rPr>
          <w:spacing w:val="-39"/>
        </w:rPr>
        <w:t> </w:t>
      </w:r>
      <w:r>
        <w:rPr>
          <w:spacing w:val="-3"/>
        </w:rPr>
        <w:t>亿元（2017</w:t>
      </w:r>
      <w:r>
        <w:rPr>
          <w:spacing w:val="-39"/>
        </w:rPr>
        <w:t> </w:t>
      </w:r>
      <w:r>
        <w:rPr/>
        <w:t>年</w:t>
      </w:r>
      <w:r>
        <w:rPr>
          <w:spacing w:val="-39"/>
        </w:rPr>
        <w:t> </w:t>
      </w:r>
      <w:r>
        <w:rPr/>
        <w:t>12</w:t>
      </w:r>
      <w:r>
        <w:rPr>
          <w:spacing w:val="-39"/>
        </w:rPr>
        <w:t> </w:t>
      </w:r>
      <w:r>
        <w:rPr/>
        <w:t>月</w:t>
      </w:r>
      <w:r>
        <w:rPr>
          <w:spacing w:val="-39"/>
        </w:rPr>
        <w:t> </w:t>
      </w:r>
      <w:r>
        <w:rPr/>
        <w:t>31</w:t>
      </w:r>
      <w:r>
        <w:rPr>
          <w:spacing w:val="-39"/>
        </w:rPr>
        <w:t> </w:t>
      </w:r>
      <w:r>
        <w:rPr>
          <w:spacing w:val="-4"/>
        </w:rPr>
        <w:t>日：</w:t>
      </w:r>
    </w:p>
    <w:p>
      <w:pPr>
        <w:pStyle w:val="BodyText"/>
        <w:spacing w:line="285" w:lineRule="auto" w:before="44"/>
        <w:ind w:left="1004" w:right="101"/>
        <w:jc w:val="both"/>
      </w:pPr>
      <w:r>
        <w:rPr/>
        <w:t>25.00</w:t>
      </w:r>
      <w:r>
        <w:rPr>
          <w:spacing w:val="-35"/>
        </w:rPr>
        <w:t> </w:t>
      </w:r>
      <w:r>
        <w:rPr>
          <w:spacing w:val="-2"/>
        </w:rPr>
        <w:t>亿元）的一次性货币住房补贴尚未支付完毕，对于实际支付金额多于已计提金额，联通集团将补发其差额，</w:t>
      </w:r>
      <w:r>
        <w:rPr>
          <w:spacing w:val="-86"/>
        </w:rPr>
        <w:t> </w:t>
      </w:r>
      <w:r>
        <w:rPr>
          <w:spacing w:val="-86"/>
        </w:rPr>
      </w:r>
      <w:r>
        <w:rPr/>
        <w:t>如果实际支付金额少于已计提金额，联通运营公司将支付给联通集团。</w:t>
      </w:r>
    </w:p>
    <w:p>
      <w:pPr>
        <w:spacing w:after="0" w:line="285" w:lineRule="auto"/>
        <w:jc w:val="both"/>
        <w:sectPr>
          <w:pgSz w:w="11910" w:h="16160"/>
          <w:pgMar w:header="2776" w:footer="298" w:top="2960" w:bottom="480" w:left="132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tbl>
      <w:tblPr>
        <w:tblW w:w="0" w:type="auto"/>
        <w:jc w:val="left"/>
        <w:tblInd w:w="118" w:type="dxa"/>
        <w:tblLayout w:type="fixed"/>
        <w:tblCellMar>
          <w:top w:w="0" w:type="dxa"/>
          <w:left w:w="0" w:type="dxa"/>
          <w:bottom w:w="0" w:type="dxa"/>
          <w:right w:w="0" w:type="dxa"/>
        </w:tblCellMar>
        <w:tblLook w:val="01E0"/>
      </w:tblPr>
      <w:tblGrid>
        <w:gridCol w:w="3083"/>
        <w:gridCol w:w="1619"/>
        <w:gridCol w:w="1683"/>
        <w:gridCol w:w="1791"/>
        <w:gridCol w:w="1497"/>
      </w:tblGrid>
      <w:tr>
        <w:trPr>
          <w:trHeight w:val="1356"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40" w:lineRule="auto" w:before="26"/>
              <w:ind w:left="35" w:right="0"/>
              <w:jc w:val="left"/>
              <w:rPr>
                <w:rFonts w:ascii="宋体" w:hAnsi="宋体" w:cs="宋体" w:eastAsia="宋体" w:hint="default"/>
                <w:sz w:val="18"/>
                <w:szCs w:val="18"/>
              </w:rPr>
            </w:pPr>
            <w:r>
              <w:rPr>
                <w:rFonts w:ascii="宋体" w:hAnsi="宋体" w:cs="宋体" w:eastAsia="宋体" w:hint="default"/>
                <w:color w:val="9F8958"/>
                <w:sz w:val="18"/>
                <w:szCs w:val="18"/>
              </w:rPr>
              <w:t>五、合并财务报表项目附注（续）</w:t>
            </w:r>
            <w:r>
              <w:rPr>
                <w:rFonts w:ascii="宋体" w:hAnsi="宋体" w:cs="宋体" w:eastAsia="宋体" w:hint="default"/>
                <w:sz w:val="18"/>
                <w:szCs w:val="18"/>
              </w:rPr>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20、应付职工薪酬（续）</w:t>
            </w:r>
          </w:p>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(c)</w:t>
            </w:r>
            <w:r>
              <w:rPr>
                <w:rFonts w:ascii="宋体" w:hAnsi="宋体" w:cs="宋体" w:eastAsia="宋体" w:hint="default"/>
                <w:spacing w:val="-21"/>
                <w:sz w:val="18"/>
                <w:szCs w:val="18"/>
              </w:rPr>
              <w:t> </w:t>
            </w:r>
            <w:r>
              <w:rPr>
                <w:rFonts w:ascii="宋体" w:hAnsi="宋体" w:cs="宋体" w:eastAsia="宋体" w:hint="default"/>
                <w:sz w:val="18"/>
                <w:szCs w:val="18"/>
              </w:rPr>
              <w:t>离职后福利——设定提存计划</w:t>
            </w:r>
          </w:p>
        </w:tc>
        <w:tc>
          <w:tcPr>
            <w:tcW w:w="6590" w:type="dxa"/>
            <w:gridSpan w:val="4"/>
            <w:tcBorders>
              <w:top w:val="nil" w:sz="6" w:space="0" w:color="auto"/>
              <w:left w:val="nil" w:sz="6" w:space="0" w:color="auto"/>
              <w:bottom w:val="nil" w:sz="6" w:space="0" w:color="auto"/>
              <w:right w:val="nil" w:sz="6" w:space="0" w:color="auto"/>
            </w:tcBorders>
          </w:tcPr>
          <w:p>
            <w:pPr/>
          </w:p>
        </w:tc>
      </w:tr>
      <w:tr>
        <w:trPr>
          <w:trHeight w:val="623" w:hRule="exact"/>
        </w:trPr>
        <w:tc>
          <w:tcPr>
            <w:tcW w:w="3083" w:type="dxa"/>
            <w:tcBorders>
              <w:top w:val="nil" w:sz="6" w:space="0" w:color="auto"/>
              <w:left w:val="nil" w:sz="6" w:space="0" w:color="auto"/>
              <w:bottom w:val="single" w:sz="16" w:space="0" w:color="9F8958"/>
              <w:right w:val="nil" w:sz="6" w:space="0" w:color="auto"/>
            </w:tcBorders>
          </w:tcPr>
          <w:p>
            <w:pPr/>
          </w:p>
        </w:tc>
        <w:tc>
          <w:tcPr>
            <w:tcW w:w="1619" w:type="dxa"/>
            <w:tcBorders>
              <w:top w:val="nil" w:sz="6" w:space="0" w:color="auto"/>
              <w:left w:val="nil" w:sz="6" w:space="0" w:color="auto"/>
              <w:bottom w:val="single" w:sz="16" w:space="0" w:color="9F8958"/>
              <w:right w:val="nil" w:sz="6" w:space="0" w:color="auto"/>
            </w:tcBorders>
          </w:tcPr>
          <w:p>
            <w:pPr>
              <w:pStyle w:val="TableParagraph"/>
              <w:spacing w:line="205" w:lineRule="exact" w:before="80"/>
              <w:ind w:left="296" w:right="0"/>
              <w:jc w:val="center"/>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05" w:lineRule="exact"/>
              <w:ind w:left="96" w:right="0"/>
              <w:jc w:val="center"/>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c>
          <w:tcPr>
            <w:tcW w:w="1683"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317"/>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791" w:type="dxa"/>
            <w:tcBorders>
              <w:top w:val="nil" w:sz="6" w:space="0" w:color="auto"/>
              <w:left w:val="nil" w:sz="6" w:space="0" w:color="auto"/>
              <w:bottom w:val="single" w:sz="16" w:space="0" w:color="9F8958"/>
              <w:right w:val="nil" w:sz="6" w:space="0" w:color="auto"/>
            </w:tcBorders>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right="361"/>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497" w:type="dxa"/>
            <w:tcBorders>
              <w:top w:val="nil" w:sz="6" w:space="0" w:color="auto"/>
              <w:left w:val="nil" w:sz="6" w:space="0" w:color="auto"/>
              <w:bottom w:val="single" w:sz="16" w:space="0" w:color="9F8958"/>
              <w:right w:val="nil" w:sz="6" w:space="0" w:color="auto"/>
            </w:tcBorders>
          </w:tcPr>
          <w:p>
            <w:pPr>
              <w:pStyle w:val="TableParagraph"/>
              <w:spacing w:line="205" w:lineRule="exact" w:before="80"/>
              <w:ind w:left="715" w:right="0"/>
              <w:jc w:val="center"/>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pStyle w:val="TableParagraph"/>
              <w:spacing w:line="205" w:lineRule="exact"/>
              <w:ind w:left="515" w:right="0"/>
              <w:jc w:val="center"/>
              <w:rPr>
                <w:rFonts w:ascii="宋体" w:hAnsi="宋体" w:cs="宋体" w:eastAsia="宋体" w:hint="default"/>
                <w:sz w:val="16"/>
                <w:szCs w:val="16"/>
              </w:rPr>
            </w:pPr>
            <w:r>
              <w:rPr>
                <w:rFonts w:ascii="宋体" w:hAnsi="宋体" w:cs="宋体" w:eastAsia="宋体" w:hint="default"/>
                <w:spacing w:val="12"/>
                <w:w w:val="105"/>
                <w:sz w:val="16"/>
                <w:szCs w:val="16"/>
              </w:rPr>
              <w:t>12月</w:t>
            </w:r>
            <w:r>
              <w:rPr>
                <w:rFonts w:ascii="宋体" w:hAnsi="宋体" w:cs="宋体" w:eastAsia="宋体" w:hint="default"/>
                <w:spacing w:val="-35"/>
                <w:w w:val="105"/>
                <w:sz w:val="16"/>
                <w:szCs w:val="16"/>
              </w:rPr>
              <w:t> </w:t>
            </w:r>
            <w:r>
              <w:rPr>
                <w:rFonts w:ascii="宋体" w:hAnsi="宋体" w:cs="宋体" w:eastAsia="宋体" w:hint="default"/>
                <w:spacing w:val="12"/>
                <w:w w:val="105"/>
                <w:sz w:val="16"/>
                <w:szCs w:val="16"/>
              </w:rPr>
              <w:t>31日</w:t>
            </w:r>
            <w:r>
              <w:rPr>
                <w:rFonts w:ascii="宋体" w:hAnsi="宋体" w:cs="宋体" w:eastAsia="宋体" w:hint="default"/>
                <w:spacing w:val="-40"/>
                <w:sz w:val="16"/>
                <w:szCs w:val="16"/>
              </w:rPr>
              <w:t> </w:t>
            </w:r>
            <w:r>
              <w:rPr>
                <w:rFonts w:ascii="宋体" w:hAnsi="宋体" w:cs="宋体" w:eastAsia="宋体" w:hint="default"/>
                <w:sz w:val="16"/>
                <w:szCs w:val="16"/>
              </w:rPr>
            </w:r>
          </w:p>
        </w:tc>
      </w:tr>
      <w:tr>
        <w:trPr>
          <w:trHeight w:val="362" w:hRule="exact"/>
        </w:trPr>
        <w:tc>
          <w:tcPr>
            <w:tcW w:w="308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632"/>
              <w:jc w:val="right"/>
              <w:rPr>
                <w:rFonts w:ascii="宋体" w:hAnsi="宋体" w:cs="宋体" w:eastAsia="宋体" w:hint="default"/>
                <w:sz w:val="16"/>
                <w:szCs w:val="16"/>
              </w:rPr>
            </w:pPr>
            <w:r>
              <w:rPr>
                <w:rFonts w:ascii="宋体" w:hAnsi="宋体" w:cs="宋体" w:eastAsia="宋体" w:hint="default"/>
                <w:sz w:val="16"/>
                <w:szCs w:val="16"/>
              </w:rPr>
              <w:t>基本养老保险</w:t>
            </w:r>
          </w:p>
        </w:tc>
        <w:tc>
          <w:tcPr>
            <w:tcW w:w="161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82"/>
              <w:jc w:val="right"/>
              <w:rPr>
                <w:rFonts w:ascii="宋体" w:hAnsi="宋体" w:cs="宋体" w:eastAsia="宋体" w:hint="default"/>
                <w:sz w:val="16"/>
                <w:szCs w:val="16"/>
              </w:rPr>
            </w:pPr>
            <w:r>
              <w:rPr>
                <w:rFonts w:ascii="宋体"/>
                <w:sz w:val="16"/>
              </w:rPr>
              <w:t>234,509,706</w:t>
            </w:r>
          </w:p>
        </w:tc>
        <w:tc>
          <w:tcPr>
            <w:tcW w:w="168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16"/>
              <w:jc w:val="right"/>
              <w:rPr>
                <w:rFonts w:ascii="宋体" w:hAnsi="宋体" w:cs="宋体" w:eastAsia="宋体" w:hint="default"/>
                <w:sz w:val="16"/>
                <w:szCs w:val="16"/>
              </w:rPr>
            </w:pPr>
            <w:r>
              <w:rPr>
                <w:rFonts w:ascii="宋体"/>
                <w:w w:val="95"/>
                <w:sz w:val="16"/>
              </w:rPr>
              <w:t>4,779,256,282</w:t>
            </w:r>
            <w:r>
              <w:rPr>
                <w:rFonts w:ascii="宋体"/>
                <w:sz w:val="16"/>
              </w:rPr>
            </w:r>
          </w:p>
        </w:tc>
        <w:tc>
          <w:tcPr>
            <w:tcW w:w="179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61"/>
              <w:jc w:val="right"/>
              <w:rPr>
                <w:rFonts w:ascii="宋体" w:hAnsi="宋体" w:cs="宋体" w:eastAsia="宋体" w:hint="default"/>
                <w:sz w:val="16"/>
                <w:szCs w:val="16"/>
              </w:rPr>
            </w:pPr>
            <w:r>
              <w:rPr>
                <w:rFonts w:ascii="宋体"/>
                <w:w w:val="90"/>
                <w:sz w:val="16"/>
              </w:rPr>
              <w:t>(4,729,456,346)</w:t>
            </w:r>
            <w:r>
              <w:rPr>
                <w:rFonts w:ascii="宋体"/>
                <w:sz w:val="16"/>
              </w:rPr>
            </w:r>
          </w:p>
        </w:tc>
        <w:tc>
          <w:tcPr>
            <w:tcW w:w="149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284,309,642</w:t>
            </w:r>
          </w:p>
        </w:tc>
      </w:tr>
      <w:tr>
        <w:trPr>
          <w:trHeight w:val="273"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05" w:lineRule="exact"/>
              <w:ind w:right="1632"/>
              <w:jc w:val="right"/>
              <w:rPr>
                <w:rFonts w:ascii="宋体" w:hAnsi="宋体" w:cs="宋体" w:eastAsia="宋体" w:hint="default"/>
                <w:sz w:val="16"/>
                <w:szCs w:val="16"/>
              </w:rPr>
            </w:pPr>
            <w:r>
              <w:rPr>
                <w:rFonts w:ascii="宋体" w:hAnsi="宋体" w:cs="宋体" w:eastAsia="宋体" w:hint="default"/>
                <w:sz w:val="16"/>
                <w:szCs w:val="16"/>
              </w:rPr>
              <w:t>补充养老保险</w:t>
            </w:r>
          </w:p>
        </w:tc>
        <w:tc>
          <w:tcPr>
            <w:tcW w:w="1619" w:type="dxa"/>
            <w:tcBorders>
              <w:top w:val="nil" w:sz="6" w:space="0" w:color="auto"/>
              <w:left w:val="nil" w:sz="6" w:space="0" w:color="auto"/>
              <w:bottom w:val="nil" w:sz="6" w:space="0" w:color="auto"/>
              <w:right w:val="nil" w:sz="6" w:space="0" w:color="auto"/>
            </w:tcBorders>
          </w:tcPr>
          <w:p>
            <w:pPr>
              <w:pStyle w:val="TableParagraph"/>
              <w:spacing w:line="205" w:lineRule="exact"/>
              <w:ind w:right="382"/>
              <w:jc w:val="right"/>
              <w:rPr>
                <w:rFonts w:ascii="宋体" w:hAnsi="宋体" w:cs="宋体" w:eastAsia="宋体" w:hint="default"/>
                <w:sz w:val="16"/>
                <w:szCs w:val="16"/>
              </w:rPr>
            </w:pPr>
            <w:r>
              <w:rPr>
                <w:rFonts w:ascii="宋体"/>
                <w:w w:val="95"/>
                <w:sz w:val="16"/>
              </w:rPr>
              <w:t>20,209,899</w:t>
            </w:r>
            <w:r>
              <w:rPr>
                <w:rFonts w:ascii="宋体"/>
                <w:sz w:val="16"/>
              </w:rPr>
            </w:r>
          </w:p>
        </w:tc>
        <w:tc>
          <w:tcPr>
            <w:tcW w:w="1683" w:type="dxa"/>
            <w:tcBorders>
              <w:top w:val="nil" w:sz="6" w:space="0" w:color="auto"/>
              <w:left w:val="nil" w:sz="6" w:space="0" w:color="auto"/>
              <w:bottom w:val="nil" w:sz="6" w:space="0" w:color="auto"/>
              <w:right w:val="nil" w:sz="6" w:space="0" w:color="auto"/>
            </w:tcBorders>
          </w:tcPr>
          <w:p>
            <w:pPr>
              <w:pStyle w:val="TableParagraph"/>
              <w:spacing w:line="205" w:lineRule="exact"/>
              <w:ind w:right="316"/>
              <w:jc w:val="right"/>
              <w:rPr>
                <w:rFonts w:ascii="宋体" w:hAnsi="宋体" w:cs="宋体" w:eastAsia="宋体" w:hint="default"/>
                <w:sz w:val="16"/>
                <w:szCs w:val="16"/>
              </w:rPr>
            </w:pPr>
            <w:r>
              <w:rPr>
                <w:rFonts w:ascii="宋体"/>
                <w:w w:val="95"/>
                <w:sz w:val="16"/>
              </w:rPr>
              <w:t>2,442,806</w:t>
            </w:r>
            <w:r>
              <w:rPr>
                <w:rFonts w:ascii="宋体"/>
                <w:sz w:val="16"/>
              </w:rPr>
            </w:r>
          </w:p>
        </w:tc>
        <w:tc>
          <w:tcPr>
            <w:tcW w:w="1791" w:type="dxa"/>
            <w:tcBorders>
              <w:top w:val="nil" w:sz="6" w:space="0" w:color="auto"/>
              <w:left w:val="nil" w:sz="6" w:space="0" w:color="auto"/>
              <w:bottom w:val="nil" w:sz="6" w:space="0" w:color="auto"/>
              <w:right w:val="nil" w:sz="6" w:space="0" w:color="auto"/>
            </w:tcBorders>
          </w:tcPr>
          <w:p>
            <w:pPr>
              <w:pStyle w:val="TableParagraph"/>
              <w:spacing w:line="205" w:lineRule="exact"/>
              <w:ind w:right="361"/>
              <w:jc w:val="right"/>
              <w:rPr>
                <w:rFonts w:ascii="宋体" w:hAnsi="宋体" w:cs="宋体" w:eastAsia="宋体" w:hint="default"/>
                <w:sz w:val="16"/>
                <w:szCs w:val="16"/>
              </w:rPr>
            </w:pPr>
            <w:r>
              <w:rPr>
                <w:rFonts w:ascii="宋体"/>
                <w:w w:val="90"/>
                <w:sz w:val="16"/>
              </w:rPr>
              <w:t>(1,739,888)</w:t>
            </w:r>
            <w:r>
              <w:rPr>
                <w:rFonts w:ascii="宋体"/>
                <w:sz w:val="16"/>
              </w:rPr>
            </w:r>
          </w:p>
        </w:tc>
        <w:tc>
          <w:tcPr>
            <w:tcW w:w="149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20,912,817</w:t>
            </w:r>
            <w:r>
              <w:rPr>
                <w:rFonts w:ascii="宋体"/>
                <w:sz w:val="16"/>
              </w:rPr>
            </w:r>
          </w:p>
        </w:tc>
      </w:tr>
      <w:tr>
        <w:trPr>
          <w:trHeight w:val="273" w:hRule="exact"/>
        </w:trPr>
        <w:tc>
          <w:tcPr>
            <w:tcW w:w="3083" w:type="dxa"/>
            <w:tcBorders>
              <w:top w:val="nil" w:sz="6" w:space="0" w:color="auto"/>
              <w:left w:val="nil" w:sz="6" w:space="0" w:color="auto"/>
              <w:bottom w:val="nil" w:sz="6" w:space="0" w:color="auto"/>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失业保险费</w:t>
            </w:r>
          </w:p>
        </w:tc>
        <w:tc>
          <w:tcPr>
            <w:tcW w:w="1619" w:type="dxa"/>
            <w:tcBorders>
              <w:top w:val="nil" w:sz="6" w:space="0" w:color="auto"/>
              <w:left w:val="nil" w:sz="6" w:space="0" w:color="auto"/>
              <w:bottom w:val="nil" w:sz="6" w:space="0" w:color="auto"/>
              <w:right w:val="nil" w:sz="6" w:space="0" w:color="auto"/>
            </w:tcBorders>
          </w:tcPr>
          <w:p>
            <w:pPr>
              <w:pStyle w:val="TableParagraph"/>
              <w:spacing w:line="205" w:lineRule="exact"/>
              <w:ind w:right="382"/>
              <w:jc w:val="right"/>
              <w:rPr>
                <w:rFonts w:ascii="宋体" w:hAnsi="宋体" w:cs="宋体" w:eastAsia="宋体" w:hint="default"/>
                <w:sz w:val="16"/>
                <w:szCs w:val="16"/>
              </w:rPr>
            </w:pPr>
            <w:r>
              <w:rPr>
                <w:rFonts w:ascii="宋体"/>
                <w:w w:val="95"/>
                <w:sz w:val="16"/>
              </w:rPr>
              <w:t>38,656,909</w:t>
            </w:r>
            <w:r>
              <w:rPr>
                <w:rFonts w:ascii="宋体"/>
                <w:sz w:val="16"/>
              </w:rPr>
            </w:r>
          </w:p>
        </w:tc>
        <w:tc>
          <w:tcPr>
            <w:tcW w:w="1683" w:type="dxa"/>
            <w:tcBorders>
              <w:top w:val="nil" w:sz="6" w:space="0" w:color="auto"/>
              <w:left w:val="nil" w:sz="6" w:space="0" w:color="auto"/>
              <w:bottom w:val="nil" w:sz="6" w:space="0" w:color="auto"/>
              <w:right w:val="nil" w:sz="6" w:space="0" w:color="auto"/>
            </w:tcBorders>
          </w:tcPr>
          <w:p>
            <w:pPr>
              <w:pStyle w:val="TableParagraph"/>
              <w:spacing w:line="205" w:lineRule="exact"/>
              <w:ind w:right="316"/>
              <w:jc w:val="right"/>
              <w:rPr>
                <w:rFonts w:ascii="宋体" w:hAnsi="宋体" w:cs="宋体" w:eastAsia="宋体" w:hint="default"/>
                <w:sz w:val="16"/>
                <w:szCs w:val="16"/>
              </w:rPr>
            </w:pPr>
            <w:r>
              <w:rPr>
                <w:rFonts w:ascii="宋体"/>
                <w:sz w:val="16"/>
              </w:rPr>
              <w:t>145,059,817</w:t>
            </w:r>
          </w:p>
        </w:tc>
        <w:tc>
          <w:tcPr>
            <w:tcW w:w="1791" w:type="dxa"/>
            <w:tcBorders>
              <w:top w:val="nil" w:sz="6" w:space="0" w:color="auto"/>
              <w:left w:val="nil" w:sz="6" w:space="0" w:color="auto"/>
              <w:bottom w:val="nil" w:sz="6" w:space="0" w:color="auto"/>
              <w:right w:val="nil" w:sz="6" w:space="0" w:color="auto"/>
            </w:tcBorders>
          </w:tcPr>
          <w:p>
            <w:pPr>
              <w:pStyle w:val="TableParagraph"/>
              <w:spacing w:line="205" w:lineRule="exact"/>
              <w:ind w:right="361"/>
              <w:jc w:val="right"/>
              <w:rPr>
                <w:rFonts w:ascii="宋体" w:hAnsi="宋体" w:cs="宋体" w:eastAsia="宋体" w:hint="default"/>
                <w:sz w:val="16"/>
                <w:szCs w:val="16"/>
              </w:rPr>
            </w:pPr>
            <w:r>
              <w:rPr>
                <w:rFonts w:ascii="宋体"/>
                <w:w w:val="90"/>
                <w:sz w:val="16"/>
              </w:rPr>
              <w:t>(147,629,346)</w:t>
            </w:r>
            <w:r>
              <w:rPr>
                <w:rFonts w:ascii="宋体"/>
                <w:sz w:val="16"/>
              </w:rPr>
            </w:r>
          </w:p>
        </w:tc>
        <w:tc>
          <w:tcPr>
            <w:tcW w:w="149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36,087,380</w:t>
            </w:r>
            <w:r>
              <w:rPr>
                <w:rFonts w:ascii="宋体"/>
                <w:sz w:val="16"/>
              </w:rPr>
            </w:r>
          </w:p>
        </w:tc>
      </w:tr>
      <w:tr>
        <w:trPr>
          <w:trHeight w:val="331" w:hRule="exact"/>
        </w:trPr>
        <w:tc>
          <w:tcPr>
            <w:tcW w:w="3083" w:type="dxa"/>
            <w:tcBorders>
              <w:top w:val="nil" w:sz="6" w:space="0" w:color="auto"/>
              <w:left w:val="nil" w:sz="6" w:space="0" w:color="auto"/>
              <w:bottom w:val="single" w:sz="6" w:space="0" w:color="000000"/>
              <w:right w:val="nil" w:sz="6" w:space="0" w:color="auto"/>
            </w:tcBorders>
          </w:tcPr>
          <w:p>
            <w:pPr>
              <w:pStyle w:val="TableParagraph"/>
              <w:spacing w:line="205" w:lineRule="exact"/>
              <w:ind w:right="1632"/>
              <w:jc w:val="right"/>
              <w:rPr>
                <w:rFonts w:ascii="宋体" w:hAnsi="宋体" w:cs="宋体" w:eastAsia="宋体" w:hint="default"/>
                <w:sz w:val="16"/>
                <w:szCs w:val="16"/>
              </w:rPr>
            </w:pPr>
            <w:r>
              <w:rPr>
                <w:rFonts w:ascii="宋体" w:hAnsi="宋体" w:cs="宋体" w:eastAsia="宋体" w:hint="default"/>
                <w:sz w:val="16"/>
                <w:szCs w:val="16"/>
              </w:rPr>
              <w:t>企业年金缴费</w:t>
            </w:r>
          </w:p>
        </w:tc>
        <w:tc>
          <w:tcPr>
            <w:tcW w:w="1619" w:type="dxa"/>
            <w:tcBorders>
              <w:top w:val="nil" w:sz="6" w:space="0" w:color="auto"/>
              <w:left w:val="nil" w:sz="6" w:space="0" w:color="auto"/>
              <w:bottom w:val="single" w:sz="6" w:space="0" w:color="000000"/>
              <w:right w:val="nil" w:sz="6" w:space="0" w:color="auto"/>
            </w:tcBorders>
          </w:tcPr>
          <w:p>
            <w:pPr>
              <w:pStyle w:val="TableParagraph"/>
              <w:spacing w:line="205" w:lineRule="exact"/>
              <w:ind w:right="382"/>
              <w:jc w:val="right"/>
              <w:rPr>
                <w:rFonts w:ascii="宋体" w:hAnsi="宋体" w:cs="宋体" w:eastAsia="宋体" w:hint="default"/>
                <w:sz w:val="16"/>
                <w:szCs w:val="16"/>
              </w:rPr>
            </w:pPr>
            <w:r>
              <w:rPr>
                <w:rFonts w:ascii="宋体"/>
                <w:sz w:val="16"/>
              </w:rPr>
              <w:t>156,222,983</w:t>
            </w:r>
          </w:p>
        </w:tc>
        <w:tc>
          <w:tcPr>
            <w:tcW w:w="1683" w:type="dxa"/>
            <w:tcBorders>
              <w:top w:val="nil" w:sz="6" w:space="0" w:color="auto"/>
              <w:left w:val="nil" w:sz="6" w:space="0" w:color="auto"/>
              <w:bottom w:val="single" w:sz="6" w:space="0" w:color="000000"/>
              <w:right w:val="nil" w:sz="6" w:space="0" w:color="auto"/>
            </w:tcBorders>
          </w:tcPr>
          <w:p>
            <w:pPr>
              <w:pStyle w:val="TableParagraph"/>
              <w:spacing w:line="205" w:lineRule="exact"/>
              <w:ind w:right="316"/>
              <w:jc w:val="right"/>
              <w:rPr>
                <w:rFonts w:ascii="宋体" w:hAnsi="宋体" w:cs="宋体" w:eastAsia="宋体" w:hint="default"/>
                <w:sz w:val="16"/>
                <w:szCs w:val="16"/>
              </w:rPr>
            </w:pPr>
            <w:r>
              <w:rPr>
                <w:rFonts w:ascii="宋体"/>
                <w:w w:val="95"/>
                <w:sz w:val="16"/>
              </w:rPr>
              <w:t>2,040,120,869</w:t>
            </w:r>
            <w:r>
              <w:rPr>
                <w:rFonts w:ascii="宋体"/>
                <w:sz w:val="16"/>
              </w:rPr>
            </w:r>
          </w:p>
        </w:tc>
        <w:tc>
          <w:tcPr>
            <w:tcW w:w="1791" w:type="dxa"/>
            <w:tcBorders>
              <w:top w:val="nil" w:sz="6" w:space="0" w:color="auto"/>
              <w:left w:val="nil" w:sz="6" w:space="0" w:color="auto"/>
              <w:bottom w:val="single" w:sz="6" w:space="0" w:color="000000"/>
              <w:right w:val="nil" w:sz="6" w:space="0" w:color="auto"/>
            </w:tcBorders>
          </w:tcPr>
          <w:p>
            <w:pPr>
              <w:pStyle w:val="TableParagraph"/>
              <w:spacing w:line="205" w:lineRule="exact"/>
              <w:ind w:right="361"/>
              <w:jc w:val="right"/>
              <w:rPr>
                <w:rFonts w:ascii="宋体" w:hAnsi="宋体" w:cs="宋体" w:eastAsia="宋体" w:hint="default"/>
                <w:sz w:val="16"/>
                <w:szCs w:val="16"/>
              </w:rPr>
            </w:pPr>
            <w:r>
              <w:rPr>
                <w:rFonts w:ascii="宋体"/>
                <w:w w:val="90"/>
                <w:sz w:val="16"/>
              </w:rPr>
              <w:t>(1,300,505,468)</w:t>
            </w:r>
            <w:r>
              <w:rPr>
                <w:rFonts w:ascii="宋体"/>
                <w:sz w:val="16"/>
              </w:rPr>
            </w:r>
          </w:p>
        </w:tc>
        <w:tc>
          <w:tcPr>
            <w:tcW w:w="1497"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895,838,384</w:t>
            </w:r>
          </w:p>
        </w:tc>
      </w:tr>
      <w:tr>
        <w:trPr>
          <w:trHeight w:val="414" w:hRule="exact"/>
        </w:trPr>
        <w:tc>
          <w:tcPr>
            <w:tcW w:w="308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61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82"/>
              <w:jc w:val="right"/>
              <w:rPr>
                <w:rFonts w:ascii="宋体" w:hAnsi="宋体" w:cs="宋体" w:eastAsia="宋体" w:hint="default"/>
                <w:sz w:val="16"/>
                <w:szCs w:val="16"/>
              </w:rPr>
            </w:pPr>
            <w:r>
              <w:rPr>
                <w:rFonts w:ascii="宋体"/>
                <w:sz w:val="16"/>
              </w:rPr>
              <w:t>449,599,497</w:t>
            </w:r>
          </w:p>
        </w:tc>
        <w:tc>
          <w:tcPr>
            <w:tcW w:w="168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16"/>
              <w:jc w:val="right"/>
              <w:rPr>
                <w:rFonts w:ascii="宋体" w:hAnsi="宋体" w:cs="宋体" w:eastAsia="宋体" w:hint="default"/>
                <w:sz w:val="16"/>
                <w:szCs w:val="16"/>
              </w:rPr>
            </w:pPr>
            <w:r>
              <w:rPr>
                <w:rFonts w:ascii="宋体"/>
                <w:w w:val="95"/>
                <w:sz w:val="16"/>
              </w:rPr>
              <w:t>6,966,879,774</w:t>
            </w:r>
            <w:r>
              <w:rPr>
                <w:rFonts w:ascii="宋体"/>
                <w:sz w:val="16"/>
              </w:rPr>
            </w:r>
          </w:p>
        </w:tc>
        <w:tc>
          <w:tcPr>
            <w:tcW w:w="179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61"/>
              <w:jc w:val="right"/>
              <w:rPr>
                <w:rFonts w:ascii="宋体" w:hAnsi="宋体" w:cs="宋体" w:eastAsia="宋体" w:hint="default"/>
                <w:sz w:val="16"/>
                <w:szCs w:val="16"/>
              </w:rPr>
            </w:pPr>
            <w:r>
              <w:rPr>
                <w:rFonts w:ascii="宋体"/>
                <w:w w:val="90"/>
                <w:sz w:val="16"/>
              </w:rPr>
              <w:t>(6,179,331,048)</w:t>
            </w:r>
            <w:r>
              <w:rPr>
                <w:rFonts w:ascii="宋体"/>
                <w:sz w:val="16"/>
              </w:rPr>
            </w:r>
          </w:p>
        </w:tc>
        <w:tc>
          <w:tcPr>
            <w:tcW w:w="149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1,237,148,223</w:t>
            </w:r>
            <w:r>
              <w:rPr>
                <w:rFonts w:ascii="宋体"/>
                <w:sz w:val="16"/>
              </w:rPr>
            </w:r>
          </w:p>
        </w:tc>
      </w:tr>
      <w:tr>
        <w:trPr>
          <w:trHeight w:val="597" w:hRule="exact"/>
        </w:trPr>
        <w:tc>
          <w:tcPr>
            <w:tcW w:w="3083" w:type="dxa"/>
            <w:tcBorders>
              <w:top w:val="single" w:sz="16" w:space="0" w:color="9F8958"/>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21、应交税费</w:t>
            </w:r>
          </w:p>
        </w:tc>
        <w:tc>
          <w:tcPr>
            <w:tcW w:w="1619" w:type="dxa"/>
            <w:tcBorders>
              <w:top w:val="single" w:sz="16" w:space="0" w:color="9F8958"/>
              <w:left w:val="nil" w:sz="6" w:space="0" w:color="auto"/>
              <w:bottom w:val="nil" w:sz="6" w:space="0" w:color="auto"/>
              <w:right w:val="nil" w:sz="6" w:space="0" w:color="auto"/>
            </w:tcBorders>
          </w:tcPr>
          <w:p>
            <w:pPr/>
          </w:p>
        </w:tc>
        <w:tc>
          <w:tcPr>
            <w:tcW w:w="1683" w:type="dxa"/>
            <w:tcBorders>
              <w:top w:val="single" w:sz="16" w:space="0" w:color="9F8958"/>
              <w:left w:val="nil" w:sz="6" w:space="0" w:color="auto"/>
              <w:bottom w:val="nil" w:sz="6" w:space="0" w:color="auto"/>
              <w:right w:val="nil" w:sz="6" w:space="0" w:color="auto"/>
            </w:tcBorders>
          </w:tcPr>
          <w:p>
            <w:pPr/>
          </w:p>
        </w:tc>
        <w:tc>
          <w:tcPr>
            <w:tcW w:w="1791" w:type="dxa"/>
            <w:tcBorders>
              <w:top w:val="single" w:sz="16" w:space="0" w:color="9F8958"/>
              <w:left w:val="nil" w:sz="6" w:space="0" w:color="auto"/>
              <w:bottom w:val="nil" w:sz="6" w:space="0" w:color="auto"/>
              <w:right w:val="nil" w:sz="6" w:space="0" w:color="auto"/>
            </w:tcBorders>
          </w:tcPr>
          <w:p>
            <w:pPr/>
          </w:p>
        </w:tc>
        <w:tc>
          <w:tcPr>
            <w:tcW w:w="1497" w:type="dxa"/>
            <w:tcBorders>
              <w:top w:val="single" w:sz="16" w:space="0" w:color="9F8958"/>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8"/>
          <w:szCs w:val="8"/>
        </w:rPr>
      </w:pPr>
    </w:p>
    <w:tbl>
      <w:tblPr>
        <w:tblW w:w="0" w:type="auto"/>
        <w:jc w:val="left"/>
        <w:tblInd w:w="473" w:type="dxa"/>
        <w:tblLayout w:type="fixed"/>
        <w:tblCellMar>
          <w:top w:w="0" w:type="dxa"/>
          <w:left w:w="0" w:type="dxa"/>
          <w:bottom w:w="0" w:type="dxa"/>
          <w:right w:w="0" w:type="dxa"/>
        </w:tblCellMar>
        <w:tblLook w:val="01E0"/>
      </w:tblPr>
      <w:tblGrid>
        <w:gridCol w:w="2627"/>
        <w:gridCol w:w="1467"/>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542"/>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62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应交增值税</w:t>
            </w:r>
          </w:p>
        </w:tc>
        <w:tc>
          <w:tcPr>
            <w:tcW w:w="146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538"/>
              <w:jc w:val="right"/>
              <w:rPr>
                <w:rFonts w:ascii="宋体" w:hAnsi="宋体" w:cs="宋体" w:eastAsia="宋体" w:hint="default"/>
                <w:sz w:val="16"/>
                <w:szCs w:val="16"/>
              </w:rPr>
            </w:pPr>
            <w:r>
              <w:rPr>
                <w:rFonts w:ascii="宋体"/>
                <w:w w:val="70"/>
                <w:sz w:val="16"/>
              </w:rPr>
              <w:t>(a)</w:t>
            </w:r>
            <w:r>
              <w:rPr>
                <w:rFonts w:ascii="宋体"/>
                <w:sz w:val="16"/>
              </w:rPr>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sz w:val="16"/>
              </w:rPr>
              <w:t>161,073,199</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sz w:val="16"/>
              </w:rPr>
              <w:t>142,024,271</w:t>
            </w:r>
          </w:p>
        </w:tc>
      </w:tr>
      <w:tr>
        <w:trPr>
          <w:trHeight w:val="273" w:hRule="exact"/>
        </w:trPr>
        <w:tc>
          <w:tcPr>
            <w:tcW w:w="262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应交企业所得税</w:t>
            </w:r>
          </w:p>
        </w:tc>
        <w:tc>
          <w:tcPr>
            <w:tcW w:w="1467" w:type="dxa"/>
            <w:tcBorders>
              <w:top w:val="nil" w:sz="6" w:space="0" w:color="auto"/>
              <w:left w:val="nil" w:sz="6" w:space="0" w:color="auto"/>
              <w:bottom w:val="nil" w:sz="6" w:space="0" w:color="auto"/>
              <w:right w:val="nil" w:sz="6" w:space="0" w:color="auto"/>
            </w:tcBorders>
          </w:tcPr>
          <w:p>
            <w:pPr>
              <w:pStyle w:val="TableParagraph"/>
              <w:spacing w:line="205" w:lineRule="exact"/>
              <w:ind w:right="534"/>
              <w:jc w:val="right"/>
              <w:rPr>
                <w:rFonts w:ascii="宋体" w:hAnsi="宋体" w:cs="宋体" w:eastAsia="宋体" w:hint="default"/>
                <w:sz w:val="16"/>
                <w:szCs w:val="16"/>
              </w:rPr>
            </w:pPr>
            <w:r>
              <w:rPr>
                <w:rFonts w:ascii="宋体"/>
                <w:w w:val="70"/>
                <w:sz w:val="16"/>
              </w:rPr>
              <w:t>(b)</w:t>
            </w:r>
            <w:r>
              <w:rPr>
                <w:rFonts w:ascii="宋体"/>
                <w:sz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19,624,643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90,347,929</w:t>
            </w:r>
            <w:r>
              <w:rPr>
                <w:rFonts w:ascii="宋体"/>
                <w:sz w:val="16"/>
              </w:rPr>
            </w:r>
          </w:p>
        </w:tc>
      </w:tr>
      <w:tr>
        <w:trPr>
          <w:trHeight w:val="273" w:hRule="exact"/>
        </w:trPr>
        <w:tc>
          <w:tcPr>
            <w:tcW w:w="262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应交代扣代缴个人所得税</w:t>
            </w:r>
          </w:p>
        </w:tc>
        <w:tc>
          <w:tcPr>
            <w:tcW w:w="1467" w:type="dxa"/>
            <w:tcBorders>
              <w:top w:val="nil" w:sz="6" w:space="0" w:color="auto"/>
              <w:left w:val="nil" w:sz="6" w:space="0" w:color="auto"/>
              <w:bottom w:val="nil" w:sz="6" w:space="0" w:color="auto"/>
              <w:right w:val="nil" w:sz="6" w:space="0" w:color="auto"/>
            </w:tcBorders>
          </w:tcPr>
          <w:p>
            <w:pP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397,519,071</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528,095,165</w:t>
            </w:r>
          </w:p>
        </w:tc>
      </w:tr>
      <w:tr>
        <w:trPr>
          <w:trHeight w:val="273" w:hRule="exact"/>
        </w:trPr>
        <w:tc>
          <w:tcPr>
            <w:tcW w:w="262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应交房产税</w:t>
            </w:r>
          </w:p>
        </w:tc>
        <w:tc>
          <w:tcPr>
            <w:tcW w:w="1467" w:type="dxa"/>
            <w:tcBorders>
              <w:top w:val="nil" w:sz="6" w:space="0" w:color="auto"/>
              <w:left w:val="nil" w:sz="6" w:space="0" w:color="auto"/>
              <w:bottom w:val="nil" w:sz="6" w:space="0" w:color="auto"/>
              <w:right w:val="nil" w:sz="6" w:space="0" w:color="auto"/>
            </w:tcBorders>
          </w:tcPr>
          <w:p>
            <w:pP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89,847,937</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94,616,469</w:t>
            </w:r>
            <w:r>
              <w:rPr>
                <w:rFonts w:ascii="宋体"/>
                <w:sz w:val="16"/>
              </w:rPr>
            </w:r>
          </w:p>
        </w:tc>
      </w:tr>
      <w:tr>
        <w:trPr>
          <w:trHeight w:val="330" w:hRule="exact"/>
        </w:trPr>
        <w:tc>
          <w:tcPr>
            <w:tcW w:w="2627"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467" w:type="dxa"/>
            <w:tcBorders>
              <w:top w:val="nil" w:sz="6" w:space="0" w:color="auto"/>
              <w:left w:val="nil" w:sz="6" w:space="0" w:color="auto"/>
              <w:bottom w:val="single" w:sz="6" w:space="0" w:color="000000"/>
              <w:right w:val="nil" w:sz="6" w:space="0" w:color="auto"/>
            </w:tcBorders>
          </w:tcPr>
          <w:p>
            <w:pP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243,444,434</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266,165,826</w:t>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911,509,284</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1,121,249,660</w:t>
            </w:r>
            <w:r>
              <w:rPr>
                <w:rFonts w:ascii="宋体"/>
                <w:sz w:val="16"/>
              </w:rPr>
            </w:r>
          </w:p>
        </w:tc>
      </w:tr>
    </w:tbl>
    <w:p>
      <w:pPr>
        <w:spacing w:line="240" w:lineRule="auto" w:before="1"/>
        <w:rPr>
          <w:rFonts w:ascii="宋体" w:hAnsi="宋体" w:cs="宋体" w:eastAsia="宋体" w:hint="default"/>
          <w:sz w:val="15"/>
          <w:szCs w:val="15"/>
        </w:rPr>
      </w:pPr>
    </w:p>
    <w:p>
      <w:pPr>
        <w:pStyle w:val="BodyText"/>
        <w:spacing w:line="304" w:lineRule="auto" w:before="31"/>
        <w:ind w:left="493" w:right="87" w:hanging="341"/>
        <w:jc w:val="left"/>
      </w:pPr>
      <w:r>
        <w:rPr>
          <w:w w:val="95"/>
        </w:rPr>
        <w:t>(a)</w:t>
      </w:r>
      <w:r>
        <w:rPr>
          <w:spacing w:val="64"/>
          <w:w w:val="95"/>
        </w:rPr>
        <w:t> </w:t>
      </w:r>
      <w:r>
        <w:rPr/>
        <w:t>于</w:t>
      </w:r>
      <w:r>
        <w:rPr>
          <w:spacing w:val="-44"/>
        </w:rPr>
        <w:t> </w:t>
      </w:r>
      <w:r>
        <w:rPr/>
        <w:t>2018</w:t>
      </w:r>
      <w:r>
        <w:rPr>
          <w:spacing w:val="-44"/>
        </w:rPr>
        <w:t> </w:t>
      </w:r>
      <w:r>
        <w:rPr/>
        <w:t>年</w:t>
      </w:r>
      <w:r>
        <w:rPr>
          <w:spacing w:val="-44"/>
        </w:rPr>
        <w:t> </w:t>
      </w:r>
      <w:r>
        <w:rPr/>
        <w:t>12</w:t>
      </w:r>
      <w:r>
        <w:rPr>
          <w:spacing w:val="-44"/>
        </w:rPr>
        <w:t> </w:t>
      </w:r>
      <w:r>
        <w:rPr/>
        <w:t>月</w:t>
      </w:r>
      <w:r>
        <w:rPr>
          <w:spacing w:val="-44"/>
        </w:rPr>
        <w:t> </w:t>
      </w:r>
      <w:r>
        <w:rPr/>
        <w:t>31</w:t>
      </w:r>
      <w:r>
        <w:rPr>
          <w:spacing w:val="-44"/>
        </w:rPr>
        <w:t> </w:t>
      </w:r>
      <w:r>
        <w:rPr>
          <w:spacing w:val="3"/>
        </w:rPr>
        <w:t>日，联通运营公司部分分</w:t>
      </w:r>
      <w:r>
        <w:rPr>
          <w:spacing w:val="-44"/>
        </w:rPr>
        <w:t> </w:t>
      </w:r>
      <w:r>
        <w:rPr>
          <w:w w:val="95"/>
        </w:rPr>
        <w:t>/</w:t>
      </w:r>
      <w:r>
        <w:rPr>
          <w:spacing w:val="-40"/>
          <w:w w:val="95"/>
        </w:rPr>
        <w:t> </w:t>
      </w:r>
      <w:r>
        <w:rPr>
          <w:spacing w:val="3"/>
        </w:rPr>
        <w:t>子公司根据预缴增值税及待抵扣增值税的预计转回年限，分别列示于</w:t>
      </w:r>
      <w:r>
        <w:rPr>
          <w:spacing w:val="4"/>
        </w:rPr>
        <w:t> </w:t>
      </w:r>
      <w:r>
        <w:rPr>
          <w:spacing w:val="2"/>
        </w:rPr>
        <w:t>其他流动资产人民币约</w:t>
      </w:r>
      <w:r>
        <w:rPr>
          <w:spacing w:val="-45"/>
        </w:rPr>
        <w:t> </w:t>
      </w:r>
      <w:r>
        <w:rPr>
          <w:spacing w:val="-1"/>
          <w:w w:val="99"/>
        </w:rPr>
        <w:t>45.79</w:t>
      </w:r>
      <w:r>
        <w:rPr>
          <w:spacing w:val="-45"/>
          <w:w w:val="99"/>
        </w:rPr>
        <w:t> </w:t>
      </w:r>
      <w:r>
        <w:rPr>
          <w:spacing w:val="2"/>
        </w:rPr>
        <w:t>亿元及其他非流动资产人民币约</w:t>
      </w:r>
      <w:r>
        <w:rPr>
          <w:spacing w:val="-45"/>
        </w:rPr>
        <w:t> </w:t>
      </w:r>
      <w:r>
        <w:rPr>
          <w:spacing w:val="-1"/>
          <w:w w:val="97"/>
        </w:rPr>
        <w:t>4.24</w:t>
      </w:r>
      <w:r>
        <w:rPr>
          <w:spacing w:val="-42"/>
          <w:w w:val="97"/>
        </w:rPr>
        <w:t> </w:t>
      </w:r>
      <w:r>
        <w:rPr>
          <w:w w:val="106"/>
        </w:rPr>
        <w:t>亿元（2017</w:t>
      </w:r>
      <w:r>
        <w:rPr>
          <w:spacing w:val="-50"/>
          <w:w w:val="106"/>
        </w:rPr>
        <w:t> </w:t>
      </w:r>
      <w:r>
        <w:rPr/>
        <w:t>年</w:t>
      </w:r>
      <w:r>
        <w:rPr>
          <w:spacing w:val="-45"/>
        </w:rPr>
        <w:t> </w:t>
      </w:r>
      <w:r>
        <w:rPr>
          <w:spacing w:val="-1"/>
          <w:w w:val="111"/>
        </w:rPr>
        <w:t>12</w:t>
      </w:r>
      <w:r>
        <w:rPr>
          <w:spacing w:val="-55"/>
          <w:w w:val="111"/>
        </w:rPr>
        <w:t> </w:t>
      </w:r>
      <w:r>
        <w:rPr/>
        <w:t>月</w:t>
      </w:r>
      <w:r>
        <w:rPr>
          <w:spacing w:val="-45"/>
        </w:rPr>
        <w:t> </w:t>
      </w:r>
      <w:r>
        <w:rPr>
          <w:spacing w:val="-1"/>
          <w:w w:val="111"/>
        </w:rPr>
        <w:t>31</w:t>
      </w:r>
      <w:r>
        <w:rPr>
          <w:spacing w:val="-55"/>
          <w:w w:val="111"/>
        </w:rPr>
        <w:t> </w:t>
      </w:r>
      <w:r>
        <w:rPr>
          <w:spacing w:val="2"/>
        </w:rPr>
        <w:t>日：约人民币</w:t>
      </w:r>
      <w:r>
        <w:rPr>
          <w:spacing w:val="-45"/>
        </w:rPr>
        <w:t> </w:t>
      </w:r>
      <w:r>
        <w:rPr>
          <w:spacing w:val="-1"/>
          <w:w w:val="99"/>
        </w:rPr>
        <w:t>49.48</w:t>
      </w:r>
      <w:r>
        <w:rPr>
          <w:spacing w:val="-45"/>
          <w:w w:val="99"/>
        </w:rPr>
        <w:t> </w:t>
      </w:r>
      <w:r>
        <w:rPr>
          <w:spacing w:val="3"/>
        </w:rPr>
        <w:t>亿元</w:t>
      </w:r>
      <w:r>
        <w:rPr/>
      </w:r>
    </w:p>
    <w:p>
      <w:pPr>
        <w:pStyle w:val="BodyText"/>
        <w:spacing w:line="240" w:lineRule="auto" w:before="16"/>
        <w:ind w:left="493" w:right="87"/>
        <w:jc w:val="left"/>
      </w:pPr>
      <w:r>
        <w:rPr/>
        <w:t>及</w:t>
      </w:r>
      <w:r>
        <w:rPr>
          <w:spacing w:val="-51"/>
        </w:rPr>
        <w:t> </w:t>
      </w:r>
      <w:r>
        <w:rPr/>
        <w:t>5.95</w:t>
      </w:r>
      <w:r>
        <w:rPr>
          <w:spacing w:val="-52"/>
        </w:rPr>
        <w:t> </w:t>
      </w:r>
      <w:r>
        <w:rPr/>
        <w:t>亿元）。</w:t>
      </w:r>
    </w:p>
    <w:p>
      <w:pPr>
        <w:spacing w:line="240" w:lineRule="auto" w:before="12"/>
        <w:rPr>
          <w:rFonts w:ascii="宋体" w:hAnsi="宋体" w:cs="宋体" w:eastAsia="宋体" w:hint="default"/>
          <w:sz w:val="17"/>
          <w:szCs w:val="17"/>
        </w:rPr>
      </w:pPr>
    </w:p>
    <w:p>
      <w:pPr>
        <w:pStyle w:val="BodyText"/>
        <w:spacing w:line="240" w:lineRule="auto"/>
        <w:ind w:left="153" w:right="87"/>
        <w:jc w:val="left"/>
      </w:pPr>
      <w:r>
        <w:rPr/>
        <w:t>(b)</w:t>
      </w:r>
      <w:r>
        <w:rPr>
          <w:spacing w:val="38"/>
        </w:rPr>
        <w:t> </w:t>
      </w:r>
      <w:r>
        <w:rPr/>
        <w:t>于</w:t>
      </w:r>
      <w:r>
        <w:rPr>
          <w:spacing w:val="-66"/>
        </w:rPr>
        <w:t> </w:t>
      </w:r>
      <w:r>
        <w:rPr/>
        <w:t>2018</w:t>
      </w:r>
      <w:r>
        <w:rPr>
          <w:spacing w:val="-66"/>
        </w:rPr>
        <w:t> </w:t>
      </w:r>
      <w:r>
        <w:rPr/>
        <w:t>年</w:t>
      </w:r>
      <w:r>
        <w:rPr>
          <w:spacing w:val="-66"/>
        </w:rPr>
        <w:t> </w:t>
      </w:r>
      <w:r>
        <w:rPr/>
        <w:t>12</w:t>
      </w:r>
      <w:r>
        <w:rPr>
          <w:spacing w:val="-66"/>
        </w:rPr>
        <w:t> </w:t>
      </w:r>
      <w:r>
        <w:rPr/>
        <w:t>月</w:t>
      </w:r>
      <w:r>
        <w:rPr>
          <w:spacing w:val="-66"/>
        </w:rPr>
        <w:t> </w:t>
      </w:r>
      <w:r>
        <w:rPr/>
        <w:t>31</w:t>
      </w:r>
      <w:r>
        <w:rPr>
          <w:spacing w:val="-66"/>
        </w:rPr>
        <w:t> </w:t>
      </w:r>
      <w:r>
        <w:rPr>
          <w:spacing w:val="-7"/>
        </w:rPr>
        <w:t>日，联通运营公司部分分</w:t>
      </w:r>
      <w:r>
        <w:rPr>
          <w:spacing w:val="-66"/>
        </w:rPr>
        <w:t> </w:t>
      </w:r>
      <w:r>
        <w:rPr>
          <w:w w:val="95"/>
        </w:rPr>
        <w:t>/</w:t>
      </w:r>
      <w:r>
        <w:rPr>
          <w:spacing w:val="-61"/>
          <w:w w:val="95"/>
        </w:rPr>
        <w:t> </w:t>
      </w:r>
      <w:r>
        <w:rPr/>
        <w:t>子公司实际预缴的企业所得税超过预计应缴纳的企业所得税约人民币</w:t>
      </w:r>
      <w:r>
        <w:rPr>
          <w:spacing w:val="-66"/>
        </w:rPr>
        <w:t> </w:t>
      </w:r>
      <w:r>
        <w:rPr/>
        <w:t>3.12</w:t>
      </w:r>
    </w:p>
    <w:p>
      <w:pPr>
        <w:pStyle w:val="BodyText"/>
        <w:spacing w:line="240" w:lineRule="auto" w:before="64"/>
        <w:ind w:left="493" w:right="87"/>
        <w:jc w:val="left"/>
      </w:pPr>
      <w:r>
        <w:rPr/>
        <w:t>亿元列示于其他流动资产（2017</w:t>
      </w:r>
      <w:r>
        <w:rPr>
          <w:spacing w:val="-37"/>
        </w:rPr>
        <w:t> </w:t>
      </w:r>
      <w:r>
        <w:rPr/>
        <w:t>年</w:t>
      </w:r>
      <w:r>
        <w:rPr>
          <w:spacing w:val="-36"/>
        </w:rPr>
        <w:t> </w:t>
      </w:r>
      <w:r>
        <w:rPr/>
        <w:t>12</w:t>
      </w:r>
      <w:r>
        <w:rPr>
          <w:spacing w:val="-37"/>
        </w:rPr>
        <w:t> </w:t>
      </w:r>
      <w:r>
        <w:rPr/>
        <w:t>月</w:t>
      </w:r>
      <w:r>
        <w:rPr>
          <w:spacing w:val="-36"/>
        </w:rPr>
        <w:t> </w:t>
      </w:r>
      <w:r>
        <w:rPr/>
        <w:t>31</w:t>
      </w:r>
      <w:r>
        <w:rPr>
          <w:spacing w:val="-37"/>
        </w:rPr>
        <w:t> </w:t>
      </w:r>
      <w:r>
        <w:rPr/>
        <w:t>日：约人民币</w:t>
      </w:r>
      <w:r>
        <w:rPr>
          <w:spacing w:val="-36"/>
        </w:rPr>
        <w:t> </w:t>
      </w:r>
      <w:r>
        <w:rPr/>
        <w:t>4.38</w:t>
      </w:r>
      <w:r>
        <w:rPr>
          <w:spacing w:val="-37"/>
        </w:rPr>
        <w:t> </w:t>
      </w:r>
      <w:r>
        <w:rPr/>
        <w:t>亿元）。</w:t>
      </w:r>
    </w:p>
    <w:p>
      <w:pPr>
        <w:spacing w:after="0" w:line="240" w:lineRule="auto"/>
        <w:jc w:val="left"/>
        <w:sectPr>
          <w:pgSz w:w="11910" w:h="16160"/>
          <w:pgMar w:header="1200" w:footer="320" w:top="2120" w:bottom="520" w:left="640" w:right="1320"/>
        </w:sectPr>
      </w:pPr>
    </w:p>
    <w:p>
      <w:pPr>
        <w:spacing w:line="240" w:lineRule="auto" w:before="3"/>
        <w:rPr>
          <w:rFonts w:ascii="宋体" w:hAnsi="宋体" w:cs="宋体" w:eastAsia="宋体" w:hint="default"/>
          <w:sz w:val="14"/>
          <w:szCs w:val="14"/>
        </w:rPr>
      </w:pPr>
    </w:p>
    <w:p>
      <w:pPr>
        <w:pStyle w:val="BodyText"/>
        <w:spacing w:line="240" w:lineRule="auto" w:before="31"/>
        <w:ind w:left="114" w:right="87"/>
        <w:jc w:val="left"/>
      </w:pPr>
      <w:r>
        <w:rPr/>
        <w:t>22、其他应付款</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2067"/>
        <w:gridCol w:w="2027"/>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542"/>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06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应付利息</w:t>
            </w:r>
          </w:p>
        </w:tc>
        <w:tc>
          <w:tcPr>
            <w:tcW w:w="202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538"/>
              <w:jc w:val="right"/>
              <w:rPr>
                <w:rFonts w:ascii="宋体" w:hAnsi="宋体" w:cs="宋体" w:eastAsia="宋体" w:hint="default"/>
                <w:sz w:val="16"/>
                <w:szCs w:val="16"/>
              </w:rPr>
            </w:pPr>
            <w:r>
              <w:rPr>
                <w:rFonts w:ascii="宋体"/>
                <w:w w:val="70"/>
                <w:sz w:val="16"/>
              </w:rPr>
              <w:t>(a)</w:t>
            </w:r>
            <w:r>
              <w:rPr>
                <w:rFonts w:ascii="宋体"/>
                <w:sz w:val="16"/>
              </w:rPr>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sz w:val="16"/>
              </w:rPr>
              <w:t>324,462,805</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sz w:val="16"/>
              </w:rPr>
              <w:t>723,179,269</w:t>
            </w:r>
          </w:p>
        </w:tc>
      </w:tr>
      <w:tr>
        <w:trPr>
          <w:trHeight w:val="273" w:hRule="exact"/>
        </w:trPr>
        <w:tc>
          <w:tcPr>
            <w:tcW w:w="206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应付股利</w:t>
            </w:r>
          </w:p>
        </w:tc>
        <w:tc>
          <w:tcPr>
            <w:tcW w:w="2027" w:type="dxa"/>
            <w:tcBorders>
              <w:top w:val="nil" w:sz="6" w:space="0" w:color="auto"/>
              <w:left w:val="nil" w:sz="6" w:space="0" w:color="auto"/>
              <w:bottom w:val="nil" w:sz="6" w:space="0" w:color="auto"/>
              <w:right w:val="nil" w:sz="6" w:space="0" w:color="auto"/>
            </w:tcBorders>
          </w:tcPr>
          <w:p>
            <w:pPr>
              <w:pStyle w:val="TableParagraph"/>
              <w:spacing w:line="205" w:lineRule="exact"/>
              <w:ind w:right="534"/>
              <w:jc w:val="right"/>
              <w:rPr>
                <w:rFonts w:ascii="宋体" w:hAnsi="宋体" w:cs="宋体" w:eastAsia="宋体" w:hint="default"/>
                <w:sz w:val="16"/>
                <w:szCs w:val="16"/>
              </w:rPr>
            </w:pPr>
            <w:r>
              <w:rPr>
                <w:rFonts w:ascii="宋体"/>
                <w:w w:val="70"/>
                <w:sz w:val="16"/>
              </w:rPr>
              <w:t>(b)</w:t>
            </w:r>
            <w:r>
              <w:rPr>
                <w:rFonts w:ascii="宋体"/>
                <w:sz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2,266,014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2,266,014</w:t>
            </w:r>
            <w:r>
              <w:rPr>
                <w:rFonts w:ascii="宋体"/>
                <w:sz w:val="16"/>
              </w:rPr>
            </w:r>
          </w:p>
        </w:tc>
      </w:tr>
      <w:tr>
        <w:trPr>
          <w:trHeight w:val="331" w:hRule="exact"/>
        </w:trPr>
        <w:tc>
          <w:tcPr>
            <w:tcW w:w="2067"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027" w:type="dxa"/>
            <w:tcBorders>
              <w:top w:val="nil" w:sz="6" w:space="0" w:color="auto"/>
              <w:left w:val="nil" w:sz="6" w:space="0" w:color="auto"/>
              <w:bottom w:val="single" w:sz="6" w:space="0" w:color="000000"/>
              <w:right w:val="nil" w:sz="6" w:space="0" w:color="auto"/>
            </w:tcBorders>
          </w:tcPr>
          <w:p>
            <w:pPr>
              <w:pStyle w:val="TableParagraph"/>
              <w:spacing w:line="205" w:lineRule="exact"/>
              <w:ind w:right="538"/>
              <w:jc w:val="right"/>
              <w:rPr>
                <w:rFonts w:ascii="宋体" w:hAnsi="宋体" w:cs="宋体" w:eastAsia="宋体" w:hint="default"/>
                <w:sz w:val="16"/>
                <w:szCs w:val="16"/>
              </w:rPr>
            </w:pPr>
            <w:r>
              <w:rPr>
                <w:rFonts w:ascii="宋体"/>
                <w:w w:val="70"/>
                <w:sz w:val="16"/>
              </w:rPr>
              <w:t>(c)</w:t>
            </w:r>
            <w:r>
              <w:rPr>
                <w:rFonts w:ascii="宋体"/>
                <w:sz w:val="16"/>
              </w:rPr>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15,999,450,567</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12,884,928,872</w:t>
            </w:r>
            <w:r>
              <w:rPr>
                <w:rFonts w:ascii="宋体"/>
                <w:sz w:val="16"/>
              </w:rPr>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16,326,179,386</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13,610,374,155</w:t>
            </w:r>
            <w:r>
              <w:rPr>
                <w:rFonts w:ascii="宋体"/>
                <w:sz w:val="16"/>
              </w:rPr>
            </w:r>
          </w:p>
        </w:tc>
      </w:tr>
    </w:tbl>
    <w:p>
      <w:pPr>
        <w:spacing w:line="240" w:lineRule="auto" w:before="1"/>
        <w:rPr>
          <w:rFonts w:ascii="宋体" w:hAnsi="宋体" w:cs="宋体" w:eastAsia="宋体" w:hint="default"/>
          <w:sz w:val="15"/>
          <w:szCs w:val="15"/>
        </w:rPr>
      </w:pPr>
    </w:p>
    <w:p>
      <w:pPr>
        <w:pStyle w:val="BodyText"/>
        <w:tabs>
          <w:tab w:pos="503" w:val="left" w:leader="none"/>
        </w:tabs>
        <w:spacing w:line="240" w:lineRule="auto" w:before="31"/>
        <w:ind w:left="114" w:right="87"/>
        <w:jc w:val="left"/>
      </w:pPr>
      <w:r>
        <w:rPr>
          <w:w w:val="70"/>
        </w:rPr>
        <w:t>(a)</w:t>
        <w:tab/>
      </w:r>
      <w:r>
        <w:rPr>
          <w:w w:val="95"/>
        </w:rPr>
        <w:t>应付利息</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应付短期借款利息</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43,088,008</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87,941,493</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应付长期借款利息</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1,159,455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1,729,830</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应付短期债券利息</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156,859,726</w:t>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应付长期债券利息</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280,215,342</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476,648,220</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324,462,805</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723,179,269</w:t>
            </w:r>
          </w:p>
        </w:tc>
      </w:tr>
    </w:tbl>
    <w:p>
      <w:pPr>
        <w:spacing w:line="240" w:lineRule="auto" w:before="1"/>
        <w:rPr>
          <w:rFonts w:ascii="宋体" w:hAnsi="宋体" w:cs="宋体" w:eastAsia="宋体" w:hint="default"/>
          <w:sz w:val="15"/>
          <w:szCs w:val="15"/>
        </w:rPr>
      </w:pPr>
    </w:p>
    <w:p>
      <w:pPr>
        <w:pStyle w:val="BodyText"/>
        <w:spacing w:line="240" w:lineRule="auto" w:before="31"/>
        <w:ind w:left="113" w:right="87"/>
        <w:jc w:val="left"/>
      </w:pPr>
      <w:r>
        <w:rPr/>
        <w:t>(b)</w:t>
      </w:r>
      <w:r>
        <w:rPr>
          <w:spacing w:val="29"/>
        </w:rPr>
        <w:t> </w:t>
      </w:r>
      <w:r>
        <w:rPr/>
        <w:t>应付股利</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普通股股利</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2,266,014</w:t>
            </w:r>
            <w:r>
              <w:rPr>
                <w:rFonts w:ascii="宋体"/>
                <w:sz w:val="16"/>
              </w:rPr>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2,266,014</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right="87"/>
        <w:jc w:val="left"/>
      </w:pPr>
      <w:r>
        <w:rPr/>
        <w:t>于</w:t>
      </w:r>
      <w:r>
        <w:rPr>
          <w:spacing w:val="-33"/>
        </w:rPr>
        <w:t> </w:t>
      </w:r>
      <w:r>
        <w:rPr/>
        <w:t>2018</w:t>
      </w:r>
      <w:r>
        <w:rPr>
          <w:spacing w:val="-34"/>
        </w:rPr>
        <w:t> </w:t>
      </w:r>
      <w:r>
        <w:rPr/>
        <w:t>年</w:t>
      </w:r>
      <w:r>
        <w:rPr>
          <w:spacing w:val="-33"/>
        </w:rPr>
        <w:t> </w:t>
      </w:r>
      <w:r>
        <w:rPr/>
        <w:t>12</w:t>
      </w:r>
      <w:r>
        <w:rPr>
          <w:spacing w:val="-34"/>
        </w:rPr>
        <w:t> </w:t>
      </w:r>
      <w:r>
        <w:rPr/>
        <w:t>月</w:t>
      </w:r>
      <w:r>
        <w:rPr>
          <w:spacing w:val="-33"/>
        </w:rPr>
        <w:t> </w:t>
      </w:r>
      <w:r>
        <w:rPr/>
        <w:t>31</w:t>
      </w:r>
      <w:r>
        <w:rPr>
          <w:spacing w:val="-34"/>
        </w:rPr>
        <w:t> </w:t>
      </w:r>
      <w:r>
        <w:rPr/>
        <w:t>日，应付股利余额主要为联通</w:t>
      </w:r>
      <w:r>
        <w:rPr>
          <w:spacing w:val="-33"/>
        </w:rPr>
        <w:t> </w:t>
      </w:r>
      <w:r>
        <w:rPr/>
        <w:t>BVI</w:t>
      </w:r>
      <w:r>
        <w:rPr>
          <w:spacing w:val="-33"/>
        </w:rPr>
        <w:t> </w:t>
      </w:r>
      <w:r>
        <w:rPr/>
        <w:t>公司应付联通集团</w:t>
      </w:r>
      <w:r>
        <w:rPr>
          <w:spacing w:val="-33"/>
        </w:rPr>
        <w:t> </w:t>
      </w:r>
      <w:r>
        <w:rPr/>
        <w:t>2012</w:t>
      </w:r>
      <w:r>
        <w:rPr>
          <w:spacing w:val="-34"/>
        </w:rPr>
        <w:t> </w:t>
      </w:r>
      <w:r>
        <w:rPr/>
        <w:t>年尚未支付部分股利。</w:t>
      </w:r>
    </w:p>
    <w:p>
      <w:pPr>
        <w:spacing w:line="240" w:lineRule="auto" w:before="5"/>
        <w:rPr>
          <w:rFonts w:ascii="宋体" w:hAnsi="宋体" w:cs="宋体" w:eastAsia="宋体" w:hint="default"/>
          <w:sz w:val="16"/>
          <w:szCs w:val="16"/>
        </w:rPr>
      </w:pPr>
    </w:p>
    <w:p>
      <w:pPr>
        <w:pStyle w:val="BodyText"/>
        <w:tabs>
          <w:tab w:pos="503" w:val="left" w:leader="none"/>
        </w:tabs>
        <w:spacing w:line="240" w:lineRule="auto"/>
        <w:ind w:left="113" w:right="87"/>
        <w:jc w:val="left"/>
      </w:pPr>
      <w:r>
        <w:rPr>
          <w:w w:val="70"/>
        </w:rPr>
        <w:t>(c)</w:t>
        <w:tab/>
      </w:r>
      <w:r>
        <w:rPr>
          <w:w w:val="95"/>
        </w:rPr>
        <w:t>其他</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2896"/>
        <w:gridCol w:w="1197"/>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542"/>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89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押金及暂收款</w:t>
            </w:r>
          </w:p>
        </w:tc>
        <w:tc>
          <w:tcPr>
            <w:tcW w:w="1197" w:type="dxa"/>
            <w:tcBorders>
              <w:top w:val="single" w:sz="16" w:space="0" w:color="9F8958"/>
              <w:left w:val="nil" w:sz="6" w:space="0" w:color="auto"/>
              <w:bottom w:val="nil" w:sz="6" w:space="0" w:color="auto"/>
              <w:right w:val="nil" w:sz="6" w:space="0" w:color="auto"/>
            </w:tcBorders>
          </w:tcPr>
          <w:p>
            <w:pP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9,080,225,524</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8,035,379,399</w:t>
            </w:r>
            <w:r>
              <w:rPr>
                <w:rFonts w:ascii="宋体"/>
                <w:sz w:val="16"/>
              </w:rPr>
            </w:r>
          </w:p>
        </w:tc>
      </w:tr>
      <w:tr>
        <w:trPr>
          <w:trHeight w:val="273" w:hRule="exact"/>
        </w:trPr>
        <w:tc>
          <w:tcPr>
            <w:tcW w:w="2896"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应付联通集团及其非上市子公司款项</w:t>
            </w:r>
          </w:p>
        </w:tc>
        <w:tc>
          <w:tcPr>
            <w:tcW w:w="1197" w:type="dxa"/>
            <w:tcBorders>
              <w:top w:val="nil" w:sz="6" w:space="0" w:color="auto"/>
              <w:left w:val="nil" w:sz="6" w:space="0" w:color="auto"/>
              <w:bottom w:val="nil" w:sz="6" w:space="0" w:color="auto"/>
              <w:right w:val="nil" w:sz="6" w:space="0" w:color="auto"/>
            </w:tcBorders>
          </w:tcPr>
          <w:p>
            <w:pPr>
              <w:pStyle w:val="TableParagraph"/>
              <w:spacing w:line="205" w:lineRule="exact"/>
              <w:ind w:left="223" w:right="0"/>
              <w:jc w:val="left"/>
              <w:rPr>
                <w:rFonts w:ascii="宋体" w:hAnsi="宋体" w:cs="宋体" w:eastAsia="宋体" w:hint="default"/>
                <w:sz w:val="16"/>
                <w:szCs w:val="16"/>
              </w:rPr>
            </w:pPr>
            <w:r>
              <w:rPr>
                <w:rFonts w:ascii="宋体" w:hAnsi="宋体" w:cs="宋体" w:eastAsia="宋体" w:hint="default"/>
                <w:w w:val="95"/>
                <w:sz w:val="16"/>
                <w:szCs w:val="16"/>
              </w:rPr>
              <w:t>附注十</w:t>
            </w:r>
            <w:r>
              <w:rPr>
                <w:rFonts w:ascii="宋体" w:hAnsi="宋体" w:cs="宋体" w:eastAsia="宋体" w:hint="default"/>
                <w:spacing w:val="-63"/>
                <w:w w:val="95"/>
                <w:sz w:val="16"/>
                <w:szCs w:val="16"/>
              </w:rPr>
              <w:t> </w:t>
            </w:r>
            <w:r>
              <w:rPr>
                <w:rFonts w:ascii="宋体" w:hAnsi="宋体" w:cs="宋体" w:eastAsia="宋体" w:hint="default"/>
                <w:w w:val="95"/>
                <w:sz w:val="16"/>
                <w:szCs w:val="16"/>
              </w:rPr>
              <w:t>(6)</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4,484,054,777</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2,250,456,999</w:t>
            </w:r>
            <w:r>
              <w:rPr>
                <w:rFonts w:ascii="宋体"/>
                <w:sz w:val="16"/>
              </w:rPr>
            </w:r>
          </w:p>
        </w:tc>
      </w:tr>
      <w:tr>
        <w:trPr>
          <w:trHeight w:val="273" w:hRule="exact"/>
        </w:trPr>
        <w:tc>
          <w:tcPr>
            <w:tcW w:w="2896"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应付合营公司款项</w:t>
            </w:r>
          </w:p>
        </w:tc>
        <w:tc>
          <w:tcPr>
            <w:tcW w:w="1197" w:type="dxa"/>
            <w:tcBorders>
              <w:top w:val="nil" w:sz="6" w:space="0" w:color="auto"/>
              <w:left w:val="nil" w:sz="6" w:space="0" w:color="auto"/>
              <w:bottom w:val="nil" w:sz="6" w:space="0" w:color="auto"/>
              <w:right w:val="nil" w:sz="6" w:space="0" w:color="auto"/>
            </w:tcBorders>
          </w:tcPr>
          <w:p>
            <w:pPr>
              <w:pStyle w:val="TableParagraph"/>
              <w:spacing w:line="205" w:lineRule="exact"/>
              <w:ind w:left="223" w:right="0"/>
              <w:jc w:val="left"/>
              <w:rPr>
                <w:rFonts w:ascii="宋体" w:hAnsi="宋体" w:cs="宋体" w:eastAsia="宋体" w:hint="default"/>
                <w:sz w:val="16"/>
                <w:szCs w:val="16"/>
              </w:rPr>
            </w:pPr>
            <w:r>
              <w:rPr>
                <w:rFonts w:ascii="宋体" w:hAnsi="宋体" w:cs="宋体" w:eastAsia="宋体" w:hint="default"/>
                <w:w w:val="95"/>
                <w:sz w:val="16"/>
                <w:szCs w:val="16"/>
              </w:rPr>
              <w:t>附注十</w:t>
            </w:r>
            <w:r>
              <w:rPr>
                <w:rFonts w:ascii="宋体" w:hAnsi="宋体" w:cs="宋体" w:eastAsia="宋体" w:hint="default"/>
                <w:spacing w:val="-63"/>
                <w:w w:val="95"/>
                <w:sz w:val="16"/>
                <w:szCs w:val="16"/>
              </w:rPr>
              <w:t> </w:t>
            </w:r>
            <w:r>
              <w:rPr>
                <w:rFonts w:ascii="宋体" w:hAnsi="宋体" w:cs="宋体" w:eastAsia="宋体" w:hint="default"/>
                <w:w w:val="95"/>
                <w:sz w:val="16"/>
                <w:szCs w:val="16"/>
              </w:rPr>
              <w:t>(6)</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30,411,003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12,303,722</w:t>
            </w:r>
            <w:r>
              <w:rPr>
                <w:rFonts w:ascii="宋体"/>
                <w:sz w:val="16"/>
              </w:rPr>
            </w:r>
          </w:p>
        </w:tc>
      </w:tr>
      <w:tr>
        <w:trPr>
          <w:trHeight w:val="273" w:hRule="exact"/>
        </w:trPr>
        <w:tc>
          <w:tcPr>
            <w:tcW w:w="2896"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应付铁塔公司款项</w:t>
            </w:r>
          </w:p>
        </w:tc>
        <w:tc>
          <w:tcPr>
            <w:tcW w:w="1197" w:type="dxa"/>
            <w:tcBorders>
              <w:top w:val="nil" w:sz="6" w:space="0" w:color="auto"/>
              <w:left w:val="nil" w:sz="6" w:space="0" w:color="auto"/>
              <w:bottom w:val="nil" w:sz="6" w:space="0" w:color="auto"/>
              <w:right w:val="nil" w:sz="6" w:space="0" w:color="auto"/>
            </w:tcBorders>
          </w:tcPr>
          <w:p>
            <w:pPr>
              <w:pStyle w:val="TableParagraph"/>
              <w:spacing w:line="205" w:lineRule="exact"/>
              <w:ind w:left="223" w:right="0"/>
              <w:jc w:val="left"/>
              <w:rPr>
                <w:rFonts w:ascii="宋体" w:hAnsi="宋体" w:cs="宋体" w:eastAsia="宋体" w:hint="default"/>
                <w:sz w:val="16"/>
                <w:szCs w:val="16"/>
              </w:rPr>
            </w:pPr>
            <w:r>
              <w:rPr>
                <w:rFonts w:ascii="宋体" w:hAnsi="宋体" w:cs="宋体" w:eastAsia="宋体" w:hint="default"/>
                <w:w w:val="95"/>
                <w:sz w:val="16"/>
                <w:szCs w:val="16"/>
              </w:rPr>
              <w:t>附注十</w:t>
            </w:r>
            <w:r>
              <w:rPr>
                <w:rFonts w:ascii="宋体" w:hAnsi="宋体" w:cs="宋体" w:eastAsia="宋体" w:hint="default"/>
                <w:spacing w:val="-63"/>
                <w:w w:val="95"/>
                <w:sz w:val="16"/>
                <w:szCs w:val="16"/>
              </w:rPr>
              <w:t> </w:t>
            </w:r>
            <w:r>
              <w:rPr>
                <w:rFonts w:ascii="宋体" w:hAnsi="宋体" w:cs="宋体" w:eastAsia="宋体" w:hint="default"/>
                <w:w w:val="95"/>
                <w:sz w:val="16"/>
                <w:szCs w:val="16"/>
              </w:rPr>
              <w:t>(6)</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93,212,780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395,218,583</w:t>
            </w:r>
          </w:p>
        </w:tc>
      </w:tr>
      <w:tr>
        <w:trPr>
          <w:trHeight w:val="273" w:hRule="exact"/>
        </w:trPr>
        <w:tc>
          <w:tcPr>
            <w:tcW w:w="2896"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应付关联公司借款利息</w:t>
            </w:r>
          </w:p>
        </w:tc>
        <w:tc>
          <w:tcPr>
            <w:tcW w:w="1197" w:type="dxa"/>
            <w:tcBorders>
              <w:top w:val="nil" w:sz="6" w:space="0" w:color="auto"/>
              <w:left w:val="nil" w:sz="6" w:space="0" w:color="auto"/>
              <w:bottom w:val="nil" w:sz="6" w:space="0" w:color="auto"/>
              <w:right w:val="nil" w:sz="6" w:space="0" w:color="auto"/>
            </w:tcBorders>
          </w:tcPr>
          <w:p>
            <w:pPr>
              <w:pStyle w:val="TableParagraph"/>
              <w:spacing w:line="205" w:lineRule="exact"/>
              <w:ind w:left="223" w:right="0"/>
              <w:jc w:val="left"/>
              <w:rPr>
                <w:rFonts w:ascii="宋体" w:hAnsi="宋体" w:cs="宋体" w:eastAsia="宋体" w:hint="default"/>
                <w:sz w:val="16"/>
                <w:szCs w:val="16"/>
              </w:rPr>
            </w:pPr>
            <w:r>
              <w:rPr>
                <w:rFonts w:ascii="宋体" w:hAnsi="宋体" w:cs="宋体" w:eastAsia="宋体" w:hint="default"/>
                <w:w w:val="95"/>
                <w:sz w:val="16"/>
                <w:szCs w:val="16"/>
              </w:rPr>
              <w:t>附注十</w:t>
            </w:r>
            <w:r>
              <w:rPr>
                <w:rFonts w:ascii="宋体" w:hAnsi="宋体" w:cs="宋体" w:eastAsia="宋体" w:hint="default"/>
                <w:spacing w:val="-63"/>
                <w:w w:val="95"/>
                <w:sz w:val="16"/>
                <w:szCs w:val="16"/>
              </w:rPr>
              <w:t> </w:t>
            </w:r>
            <w:r>
              <w:rPr>
                <w:rFonts w:ascii="宋体" w:hAnsi="宋体" w:cs="宋体" w:eastAsia="宋体" w:hint="default"/>
                <w:w w:val="95"/>
                <w:sz w:val="16"/>
                <w:szCs w:val="16"/>
              </w:rPr>
              <w:t>(6)</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71,984,197</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68,673,351</w:t>
            </w:r>
            <w:r>
              <w:rPr>
                <w:rFonts w:ascii="宋体"/>
                <w:sz w:val="16"/>
              </w:rPr>
            </w:r>
          </w:p>
        </w:tc>
      </w:tr>
      <w:tr>
        <w:trPr>
          <w:trHeight w:val="273" w:hRule="exact"/>
        </w:trPr>
        <w:tc>
          <w:tcPr>
            <w:tcW w:w="2896"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代扣代缴员工社保支出</w:t>
            </w:r>
          </w:p>
        </w:tc>
        <w:tc>
          <w:tcPr>
            <w:tcW w:w="1197" w:type="dxa"/>
            <w:tcBorders>
              <w:top w:val="nil" w:sz="6" w:space="0" w:color="auto"/>
              <w:left w:val="nil" w:sz="6" w:space="0" w:color="auto"/>
              <w:bottom w:val="nil" w:sz="6" w:space="0" w:color="auto"/>
              <w:right w:val="nil" w:sz="6" w:space="0" w:color="auto"/>
            </w:tcBorders>
          </w:tcPr>
          <w:p>
            <w:pP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229,773,645</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302,171,162</w:t>
            </w:r>
          </w:p>
        </w:tc>
      </w:tr>
      <w:tr>
        <w:trPr>
          <w:trHeight w:val="330" w:hRule="exact"/>
        </w:trPr>
        <w:tc>
          <w:tcPr>
            <w:tcW w:w="2896"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197" w:type="dxa"/>
            <w:tcBorders>
              <w:top w:val="nil" w:sz="6" w:space="0" w:color="auto"/>
              <w:left w:val="nil" w:sz="6" w:space="0" w:color="auto"/>
              <w:bottom w:val="single" w:sz="6" w:space="0" w:color="000000"/>
              <w:right w:val="nil" w:sz="6" w:space="0" w:color="auto"/>
            </w:tcBorders>
          </w:tcPr>
          <w:p>
            <w:pP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2,009,788,641</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1,820,725,656</w:t>
            </w:r>
            <w:r>
              <w:rPr>
                <w:rFonts w:ascii="宋体"/>
                <w:sz w:val="16"/>
              </w:rPr>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15,999,450,567</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12,884,928,872</w:t>
            </w:r>
            <w:r>
              <w:rPr>
                <w:rFonts w:ascii="宋体"/>
                <w:sz w:val="16"/>
              </w:rPr>
            </w:r>
          </w:p>
        </w:tc>
      </w:tr>
    </w:tbl>
    <w:p>
      <w:pPr>
        <w:spacing w:line="240" w:lineRule="auto" w:before="1"/>
        <w:rPr>
          <w:rFonts w:ascii="宋体" w:hAnsi="宋体" w:cs="宋体" w:eastAsia="宋体" w:hint="default"/>
          <w:sz w:val="15"/>
          <w:szCs w:val="15"/>
        </w:rPr>
      </w:pPr>
    </w:p>
    <w:p>
      <w:pPr>
        <w:pStyle w:val="BodyText"/>
        <w:spacing w:line="285" w:lineRule="auto" w:before="31"/>
        <w:ind w:right="87"/>
        <w:jc w:val="left"/>
      </w:pPr>
      <w:r>
        <w:rPr/>
        <w:t>于</w:t>
      </w:r>
      <w:r>
        <w:rPr>
          <w:spacing w:val="-45"/>
        </w:rPr>
        <w:t> </w:t>
      </w:r>
      <w:r>
        <w:rPr/>
        <w:t>2018</w:t>
      </w:r>
      <w:r>
        <w:rPr>
          <w:spacing w:val="-45"/>
        </w:rPr>
        <w:t> </w:t>
      </w:r>
      <w:r>
        <w:rPr/>
        <w:t>年</w:t>
      </w:r>
      <w:r>
        <w:rPr>
          <w:spacing w:val="-45"/>
        </w:rPr>
        <w:t> </w:t>
      </w:r>
      <w:r>
        <w:rPr/>
        <w:t>12</w:t>
      </w:r>
      <w:r>
        <w:rPr>
          <w:spacing w:val="-45"/>
        </w:rPr>
        <w:t> </w:t>
      </w:r>
      <w:r>
        <w:rPr/>
        <w:t>月</w:t>
      </w:r>
      <w:r>
        <w:rPr>
          <w:spacing w:val="-45"/>
        </w:rPr>
        <w:t> </w:t>
      </w:r>
      <w:r>
        <w:rPr/>
        <w:t>31</w:t>
      </w:r>
      <w:r>
        <w:rPr>
          <w:spacing w:val="-45"/>
        </w:rPr>
        <w:t> </w:t>
      </w:r>
      <w:r>
        <w:rPr>
          <w:spacing w:val="-6"/>
        </w:rPr>
        <w:t>日，账龄超过</w:t>
      </w:r>
      <w:r>
        <w:rPr>
          <w:spacing w:val="-45"/>
        </w:rPr>
        <w:t> </w:t>
      </w:r>
      <w:r>
        <w:rPr/>
        <w:t>1</w:t>
      </w:r>
      <w:r>
        <w:rPr>
          <w:spacing w:val="-45"/>
        </w:rPr>
        <w:t> </w:t>
      </w:r>
      <w:r>
        <w:rPr/>
        <w:t>年的其他应付款约人民币</w:t>
      </w:r>
      <w:r>
        <w:rPr>
          <w:spacing w:val="-45"/>
        </w:rPr>
        <w:t> </w:t>
      </w:r>
      <w:r>
        <w:rPr/>
        <w:t>30.53</w:t>
      </w:r>
      <w:r>
        <w:rPr>
          <w:spacing w:val="-45"/>
        </w:rPr>
        <w:t> </w:t>
      </w:r>
      <w:r>
        <w:rPr>
          <w:spacing w:val="-5"/>
        </w:rPr>
        <w:t>亿元（2017</w:t>
      </w:r>
      <w:r>
        <w:rPr>
          <w:spacing w:val="-45"/>
        </w:rPr>
        <w:t> </w:t>
      </w:r>
      <w:r>
        <w:rPr/>
        <w:t>年</w:t>
      </w:r>
      <w:r>
        <w:rPr>
          <w:spacing w:val="-45"/>
        </w:rPr>
        <w:t> </w:t>
      </w:r>
      <w:r>
        <w:rPr/>
        <w:t>12</w:t>
      </w:r>
      <w:r>
        <w:rPr>
          <w:spacing w:val="-45"/>
        </w:rPr>
        <w:t> </w:t>
      </w:r>
      <w:r>
        <w:rPr/>
        <w:t>月</w:t>
      </w:r>
      <w:r>
        <w:rPr>
          <w:spacing w:val="-45"/>
        </w:rPr>
        <w:t> </w:t>
      </w:r>
      <w:r>
        <w:rPr/>
        <w:t>31</w:t>
      </w:r>
      <w:r>
        <w:rPr>
          <w:spacing w:val="-45"/>
        </w:rPr>
        <w:t> </w:t>
      </w:r>
      <w:r>
        <w:rPr>
          <w:spacing w:val="-6"/>
        </w:rPr>
        <w:t>日：约人民币</w:t>
      </w:r>
      <w:r>
        <w:rPr>
          <w:spacing w:val="-45"/>
        </w:rPr>
        <w:t> </w:t>
      </w:r>
      <w:r>
        <w:rPr/>
        <w:t>33.63</w:t>
      </w:r>
      <w:r>
        <w:rPr>
          <w:spacing w:val="-45"/>
        </w:rPr>
        <w:t> </w:t>
      </w:r>
      <w:r>
        <w:rPr>
          <w:spacing w:val="-9"/>
        </w:rPr>
        <w:t>亿元），</w:t>
      </w:r>
      <w:r>
        <w:rPr>
          <w:spacing w:val="-84"/>
        </w:rPr>
        <w:t> </w:t>
      </w:r>
      <w:r>
        <w:rPr>
          <w:spacing w:val="-84"/>
        </w:rPr>
      </w:r>
      <w:r>
        <w:rPr/>
        <w:t>主要为本集团收取的押金、保证金及暂收款，因交易双方仍继续发生业务往来，故此项账款尚未完全结清。</w:t>
      </w:r>
    </w:p>
    <w:p>
      <w:pPr>
        <w:spacing w:after="0" w:line="285" w:lineRule="auto"/>
        <w:jc w:val="left"/>
        <w:sectPr>
          <w:pgSz w:w="11910" w:h="16160"/>
          <w:pgMar w:header="2776" w:footer="298" w:top="296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23、一年内到期的非流动负债</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2474"/>
        <w:gridCol w:w="1619"/>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542"/>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47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一年内到期的长期借款</w:t>
            </w:r>
          </w:p>
        </w:tc>
        <w:tc>
          <w:tcPr>
            <w:tcW w:w="161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29"/>
              <w:jc w:val="righ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(25)</w:t>
            </w:r>
            <w:r>
              <w:rPr>
                <w:rFonts w:ascii="宋体" w:hAnsi="宋体" w:cs="宋体" w:eastAsia="宋体" w:hint="default"/>
                <w:sz w:val="16"/>
                <w:szCs w:val="16"/>
              </w:rPr>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440,816,358</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409,681,186</w:t>
            </w:r>
          </w:p>
        </w:tc>
      </w:tr>
      <w:tr>
        <w:trPr>
          <w:trHeight w:val="273" w:hRule="exact"/>
        </w:trPr>
        <w:tc>
          <w:tcPr>
            <w:tcW w:w="24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一年内到期的应付债券</w:t>
            </w:r>
          </w:p>
        </w:tc>
        <w:tc>
          <w:tcPr>
            <w:tcW w:w="1619" w:type="dxa"/>
            <w:tcBorders>
              <w:top w:val="nil" w:sz="6" w:space="0" w:color="auto"/>
              <w:left w:val="nil" w:sz="6" w:space="0" w:color="auto"/>
              <w:bottom w:val="nil" w:sz="6" w:space="0" w:color="auto"/>
              <w:right w:val="nil" w:sz="6" w:space="0" w:color="auto"/>
            </w:tcBorders>
          </w:tcPr>
          <w:p>
            <w:pPr>
              <w:pStyle w:val="TableParagraph"/>
              <w:spacing w:line="205" w:lineRule="exact"/>
              <w:ind w:right="229"/>
              <w:jc w:val="righ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(26)</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16,994,248,976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17,960,252,059</w:t>
            </w:r>
            <w:r>
              <w:rPr>
                <w:rFonts w:ascii="宋体"/>
                <w:sz w:val="16"/>
              </w:rPr>
            </w:r>
          </w:p>
        </w:tc>
      </w:tr>
      <w:tr>
        <w:trPr>
          <w:trHeight w:val="273" w:hRule="exact"/>
        </w:trPr>
        <w:tc>
          <w:tcPr>
            <w:tcW w:w="247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一年内到期的长期应付款</w:t>
            </w:r>
          </w:p>
        </w:tc>
        <w:tc>
          <w:tcPr>
            <w:tcW w:w="1619" w:type="dxa"/>
            <w:tcBorders>
              <w:top w:val="nil" w:sz="6" w:space="0" w:color="auto"/>
              <w:left w:val="nil" w:sz="6" w:space="0" w:color="auto"/>
              <w:bottom w:val="nil" w:sz="6" w:space="0" w:color="auto"/>
              <w:right w:val="nil" w:sz="6" w:space="0" w:color="auto"/>
            </w:tcBorders>
          </w:tcPr>
          <w:p>
            <w:pPr>
              <w:pStyle w:val="TableParagraph"/>
              <w:spacing w:line="205" w:lineRule="exact"/>
              <w:ind w:right="229"/>
              <w:jc w:val="righ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(27)</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250,394,349</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460,624,575</w:t>
            </w:r>
          </w:p>
        </w:tc>
      </w:tr>
      <w:tr>
        <w:trPr>
          <w:trHeight w:val="331" w:hRule="exact"/>
        </w:trPr>
        <w:tc>
          <w:tcPr>
            <w:tcW w:w="2474"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一年内到期的递延收益</w:t>
            </w:r>
          </w:p>
        </w:tc>
        <w:tc>
          <w:tcPr>
            <w:tcW w:w="1619" w:type="dxa"/>
            <w:tcBorders>
              <w:top w:val="nil" w:sz="6" w:space="0" w:color="auto"/>
              <w:left w:val="nil" w:sz="6" w:space="0" w:color="auto"/>
              <w:bottom w:val="single" w:sz="6" w:space="0" w:color="000000"/>
              <w:right w:val="nil" w:sz="6" w:space="0" w:color="auto"/>
            </w:tcBorders>
          </w:tcPr>
          <w:p>
            <w:pPr>
              <w:pStyle w:val="TableParagraph"/>
              <w:spacing w:line="205" w:lineRule="exact"/>
              <w:ind w:right="229"/>
              <w:jc w:val="righ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(29)</w:t>
            </w:r>
            <w:r>
              <w:rPr>
                <w:rFonts w:ascii="宋体" w:hAnsi="宋体" w:cs="宋体" w:eastAsia="宋体" w:hint="default"/>
                <w:sz w:val="16"/>
                <w:szCs w:val="16"/>
              </w:rPr>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78,279,483</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17,763,739,166</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18,830,557,820</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3" w:right="0"/>
        <w:jc w:val="left"/>
      </w:pPr>
      <w:r>
        <w:rPr/>
        <w:t>(a)</w:t>
      </w:r>
      <w:r>
        <w:rPr>
          <w:spacing w:val="-21"/>
        </w:rPr>
        <w:t> </w:t>
      </w:r>
      <w:r>
        <w:rPr/>
        <w:t>一年内到期的长期借款</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693" w:hRule="exact"/>
        </w:trPr>
        <w:tc>
          <w:tcPr>
            <w:tcW w:w="409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3337"/>
              <w:jc w:val="left"/>
              <w:rPr>
                <w:rFonts w:ascii="宋体" w:hAnsi="宋体" w:cs="宋体" w:eastAsia="宋体" w:hint="default"/>
                <w:sz w:val="16"/>
                <w:szCs w:val="16"/>
              </w:rPr>
            </w:pPr>
            <w:r>
              <w:rPr>
                <w:rFonts w:ascii="宋体" w:hAnsi="宋体" w:cs="宋体" w:eastAsia="宋体" w:hint="default"/>
                <w:sz w:val="16"/>
                <w:szCs w:val="16"/>
              </w:rPr>
              <w:t>保证借款 信用借款</w:t>
            </w:r>
          </w:p>
        </w:tc>
        <w:tc>
          <w:tcPr>
            <w:tcW w:w="2602"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690" w:right="0"/>
              <w:jc w:val="left"/>
              <w:rPr>
                <w:rFonts w:ascii="宋体" w:hAnsi="宋体" w:cs="宋体" w:eastAsia="宋体" w:hint="default"/>
                <w:sz w:val="16"/>
                <w:szCs w:val="16"/>
              </w:rPr>
            </w:pPr>
            <w:r>
              <w:rPr>
                <w:rFonts w:ascii="宋体"/>
                <w:sz w:val="16"/>
              </w:rPr>
              <w:t>19,760,994</w:t>
            </w:r>
          </w:p>
          <w:p>
            <w:pPr>
              <w:pStyle w:val="TableParagraph"/>
              <w:spacing w:line="240" w:lineRule="auto" w:before="64"/>
              <w:ind w:left="1601" w:right="0"/>
              <w:jc w:val="left"/>
              <w:rPr>
                <w:rFonts w:ascii="宋体" w:hAnsi="宋体" w:cs="宋体" w:eastAsia="宋体" w:hint="default"/>
                <w:sz w:val="16"/>
                <w:szCs w:val="16"/>
              </w:rPr>
            </w:pPr>
            <w:r>
              <w:rPr>
                <w:rFonts w:ascii="宋体"/>
                <w:sz w:val="16"/>
              </w:rPr>
              <w:t>421,055,364</w:t>
            </w:r>
          </w:p>
        </w:tc>
        <w:tc>
          <w:tcPr>
            <w:tcW w:w="2602"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690" w:right="0"/>
              <w:jc w:val="left"/>
              <w:rPr>
                <w:rFonts w:ascii="宋体" w:hAnsi="宋体" w:cs="宋体" w:eastAsia="宋体" w:hint="default"/>
                <w:sz w:val="16"/>
                <w:szCs w:val="16"/>
              </w:rPr>
            </w:pPr>
            <w:r>
              <w:rPr>
                <w:rFonts w:ascii="宋体"/>
                <w:sz w:val="16"/>
              </w:rPr>
              <w:t>13,175,747</w:t>
            </w:r>
          </w:p>
          <w:p>
            <w:pPr>
              <w:pStyle w:val="TableParagraph"/>
              <w:spacing w:line="240" w:lineRule="auto" w:before="64"/>
              <w:ind w:left="1601" w:right="0"/>
              <w:jc w:val="left"/>
              <w:rPr>
                <w:rFonts w:ascii="宋体" w:hAnsi="宋体" w:cs="宋体" w:eastAsia="宋体" w:hint="default"/>
                <w:sz w:val="16"/>
                <w:szCs w:val="16"/>
              </w:rPr>
            </w:pPr>
            <w:r>
              <w:rPr>
                <w:rFonts w:ascii="宋体"/>
                <w:sz w:val="16"/>
              </w:rPr>
              <w:t>396,505,439</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440,816,358</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409,681,186</w:t>
            </w:r>
          </w:p>
        </w:tc>
      </w:tr>
    </w:tbl>
    <w:p>
      <w:pPr>
        <w:spacing w:line="240" w:lineRule="auto" w:before="1"/>
        <w:rPr>
          <w:rFonts w:ascii="宋体" w:hAnsi="宋体" w:cs="宋体" w:eastAsia="宋体" w:hint="default"/>
          <w:sz w:val="15"/>
          <w:szCs w:val="15"/>
        </w:rPr>
      </w:pPr>
    </w:p>
    <w:p>
      <w:pPr>
        <w:pStyle w:val="BodyText"/>
        <w:spacing w:line="458" w:lineRule="auto" w:before="31"/>
        <w:ind w:left="113" w:right="1943" w:firstLine="340"/>
        <w:jc w:val="left"/>
      </w:pPr>
      <w:r>
        <w:rPr>
          <w:w w:val="105"/>
        </w:rPr>
        <w:t>于</w:t>
      </w:r>
      <w:r>
        <w:rPr>
          <w:spacing w:val="-66"/>
          <w:w w:val="105"/>
        </w:rPr>
        <w:t> </w:t>
      </w:r>
      <w:r>
        <w:rPr>
          <w:w w:val="105"/>
        </w:rPr>
        <w:t>2018</w:t>
      </w:r>
      <w:r>
        <w:rPr>
          <w:spacing w:val="-67"/>
          <w:w w:val="105"/>
        </w:rPr>
        <w:t> </w:t>
      </w:r>
      <w:r>
        <w:rPr>
          <w:w w:val="105"/>
        </w:rPr>
        <w:t>年</w:t>
      </w:r>
      <w:r>
        <w:rPr>
          <w:spacing w:val="-66"/>
          <w:w w:val="105"/>
        </w:rPr>
        <w:t> </w:t>
      </w:r>
      <w:r>
        <w:rPr>
          <w:w w:val="105"/>
        </w:rPr>
        <w:t>12</w:t>
      </w:r>
      <w:r>
        <w:rPr>
          <w:spacing w:val="-67"/>
          <w:w w:val="105"/>
        </w:rPr>
        <w:t> </w:t>
      </w:r>
      <w:r>
        <w:rPr>
          <w:w w:val="105"/>
        </w:rPr>
        <w:t>月</w:t>
      </w:r>
      <w:r>
        <w:rPr>
          <w:spacing w:val="-66"/>
          <w:w w:val="105"/>
        </w:rPr>
        <w:t> </w:t>
      </w:r>
      <w:r>
        <w:rPr>
          <w:w w:val="105"/>
        </w:rPr>
        <w:t>31</w:t>
      </w:r>
      <w:r>
        <w:rPr>
          <w:spacing w:val="-67"/>
          <w:w w:val="105"/>
        </w:rPr>
        <w:t> </w:t>
      </w:r>
      <w:r>
        <w:rPr>
          <w:w w:val="105"/>
        </w:rPr>
        <w:t>日，本集团无已到期但尚未偿还的长期借款（2017</w:t>
      </w:r>
      <w:r>
        <w:rPr>
          <w:spacing w:val="-67"/>
          <w:w w:val="105"/>
        </w:rPr>
        <w:t> </w:t>
      </w:r>
      <w:r>
        <w:rPr>
          <w:w w:val="105"/>
        </w:rPr>
        <w:t>年</w:t>
      </w:r>
      <w:r>
        <w:rPr>
          <w:spacing w:val="-66"/>
          <w:w w:val="105"/>
        </w:rPr>
        <w:t> </w:t>
      </w:r>
      <w:r>
        <w:rPr>
          <w:w w:val="105"/>
        </w:rPr>
        <w:t>12</w:t>
      </w:r>
      <w:r>
        <w:rPr>
          <w:spacing w:val="-67"/>
          <w:w w:val="105"/>
        </w:rPr>
        <w:t> </w:t>
      </w:r>
      <w:r>
        <w:rPr>
          <w:w w:val="105"/>
        </w:rPr>
        <w:t>月</w:t>
      </w:r>
      <w:r>
        <w:rPr>
          <w:spacing w:val="-66"/>
          <w:w w:val="105"/>
        </w:rPr>
        <w:t> </w:t>
      </w:r>
      <w:r>
        <w:rPr>
          <w:w w:val="105"/>
        </w:rPr>
        <w:t>31</w:t>
      </w:r>
      <w:r>
        <w:rPr>
          <w:spacing w:val="-67"/>
          <w:w w:val="105"/>
        </w:rPr>
        <w:t> </w:t>
      </w:r>
      <w:r>
        <w:rPr>
          <w:w w:val="105"/>
        </w:rPr>
        <w:t>日：无）。</w:t>
      </w:r>
      <w:r>
        <w:rPr/>
        <w:t> </w:t>
      </w:r>
      <w:r>
        <w:rPr>
          <w:w w:val="105"/>
        </w:rPr>
        <w:t>24、其他流动负债</w:t>
      </w:r>
      <w:r>
        <w:rPr/>
      </w:r>
    </w:p>
    <w:p>
      <w:pPr>
        <w:spacing w:line="240" w:lineRule="auto" w:before="11"/>
        <w:rPr>
          <w:rFonts w:ascii="宋体" w:hAnsi="宋体" w:cs="宋体" w:eastAsia="宋体" w:hint="default"/>
          <w:sz w:val="4"/>
          <w:szCs w:val="4"/>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年第四期超短期融资券</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999,233,333</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年第六期超短期融资券</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3,995,833,333</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2017</w:t>
            </w:r>
            <w:r>
              <w:rPr>
                <w:rFonts w:ascii="宋体" w:hAnsi="宋体" w:cs="宋体" w:eastAsia="宋体" w:hint="default"/>
                <w:spacing w:val="-6"/>
                <w:sz w:val="16"/>
                <w:szCs w:val="16"/>
              </w:rPr>
              <w:t> </w:t>
            </w:r>
            <w:r>
              <w:rPr>
                <w:rFonts w:ascii="宋体" w:hAnsi="宋体" w:cs="宋体" w:eastAsia="宋体" w:hint="default"/>
                <w:sz w:val="16"/>
                <w:szCs w:val="16"/>
              </w:rPr>
              <w:t>年第七期超短期融资券</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3,995,766,667</w:t>
            </w:r>
            <w:r>
              <w:rPr>
                <w:rFonts w:ascii="宋体"/>
                <w:sz w:val="16"/>
              </w:rPr>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待转增值税</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3,397,762,622</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3,397,762,622</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8,990,833,333</w:t>
            </w:r>
            <w:r>
              <w:rPr>
                <w:rFonts w:ascii="宋体"/>
                <w:sz w:val="16"/>
              </w:rPr>
            </w:r>
          </w:p>
        </w:tc>
      </w:tr>
    </w:tbl>
    <w:p>
      <w:pPr>
        <w:spacing w:line="240" w:lineRule="auto" w:before="1"/>
        <w:rPr>
          <w:rFonts w:ascii="宋体" w:hAnsi="宋体" w:cs="宋体" w:eastAsia="宋体" w:hint="default"/>
          <w:sz w:val="15"/>
          <w:szCs w:val="15"/>
        </w:rPr>
      </w:pPr>
    </w:p>
    <w:p>
      <w:pPr>
        <w:pStyle w:val="BodyText"/>
        <w:spacing w:line="285" w:lineRule="auto" w:before="31"/>
        <w:ind w:left="453" w:right="0"/>
        <w:jc w:val="left"/>
      </w:pPr>
      <w:r>
        <w:rPr/>
        <w:t>于</w:t>
      </w:r>
      <w:r>
        <w:rPr>
          <w:spacing w:val="-29"/>
        </w:rPr>
        <w:t> </w:t>
      </w:r>
      <w:r>
        <w:rPr/>
        <w:t>2018</w:t>
      </w:r>
      <w:r>
        <w:rPr>
          <w:spacing w:val="-29"/>
        </w:rPr>
        <w:t> </w:t>
      </w:r>
      <w:r>
        <w:rPr/>
        <w:t>年</w:t>
      </w:r>
      <w:r>
        <w:rPr>
          <w:spacing w:val="-29"/>
        </w:rPr>
        <w:t> </w:t>
      </w:r>
      <w:r>
        <w:rPr/>
        <w:t>12</w:t>
      </w:r>
      <w:r>
        <w:rPr>
          <w:spacing w:val="-29"/>
        </w:rPr>
        <w:t> </w:t>
      </w:r>
      <w:r>
        <w:rPr/>
        <w:t>月</w:t>
      </w:r>
      <w:r>
        <w:rPr>
          <w:spacing w:val="-29"/>
        </w:rPr>
        <w:t> </w:t>
      </w:r>
      <w:r>
        <w:rPr/>
        <w:t>31</w:t>
      </w:r>
      <w:r>
        <w:rPr>
          <w:spacing w:val="-29"/>
        </w:rPr>
        <w:t> </w:t>
      </w:r>
      <w:r>
        <w:rPr>
          <w:spacing w:val="2"/>
        </w:rPr>
        <w:t>日，本集团根据历史经验估计用户购买不同税率服务及商品的情况，将估计的已收对价中增值税</w:t>
      </w:r>
      <w:r>
        <w:rPr>
          <w:spacing w:val="-80"/>
        </w:rPr>
        <w:t> </w:t>
      </w:r>
      <w:r>
        <w:rPr>
          <w:spacing w:val="-80"/>
        </w:rPr>
      </w:r>
      <w:r>
        <w:rPr>
          <w:w w:val="95"/>
        </w:rPr>
        <w:t>部分确认为待转销项税额，已收对价的剩余价款部分确认为合同负债（附注五  </w:t>
      </w:r>
      <w:r>
        <w:rPr>
          <w:spacing w:val="70"/>
          <w:w w:val="95"/>
        </w:rPr>
        <w:t> </w:t>
      </w:r>
      <w:r>
        <w:rPr>
          <w:w w:val="95"/>
        </w:rPr>
        <w:t>(19)）。</w:t>
      </w:r>
      <w:r>
        <w:rPr/>
      </w:r>
    </w:p>
    <w:p>
      <w:pPr>
        <w:spacing w:after="0" w:line="285" w:lineRule="auto"/>
        <w:jc w:val="left"/>
        <w:sectPr>
          <w:pgSz w:w="11910" w:h="16160"/>
          <w:pgMar w:header="1200" w:footer="320" w:top="2120" w:bottom="520" w:left="680" w:right="1320"/>
        </w:sectPr>
      </w:pPr>
    </w:p>
    <w:p>
      <w:pPr>
        <w:spacing w:line="240" w:lineRule="auto" w:before="3"/>
        <w:rPr>
          <w:rFonts w:ascii="宋体" w:hAnsi="宋体" w:cs="宋体" w:eastAsia="宋体" w:hint="default"/>
          <w:sz w:val="14"/>
          <w:szCs w:val="14"/>
        </w:rPr>
      </w:pPr>
    </w:p>
    <w:p>
      <w:pPr>
        <w:pStyle w:val="BodyText"/>
        <w:spacing w:line="480" w:lineRule="auto" w:before="31"/>
        <w:ind w:right="7451" w:hanging="341"/>
        <w:jc w:val="left"/>
      </w:pPr>
      <w:r>
        <w:rPr/>
        <w:t>24、其他流动负债（续）</w:t>
      </w:r>
      <w:r>
        <w:rPr>
          <w:spacing w:val="-71"/>
        </w:rPr>
        <w:t> </w:t>
      </w:r>
      <w:r>
        <w:rPr/>
        <w:t>其他流动负债的增减变动</w:t>
      </w:r>
    </w:p>
    <w:tbl>
      <w:tblPr>
        <w:tblW w:w="0" w:type="auto"/>
        <w:jc w:val="left"/>
        <w:tblInd w:w="454" w:type="dxa"/>
        <w:tblLayout w:type="fixed"/>
        <w:tblCellMar>
          <w:top w:w="0" w:type="dxa"/>
          <w:left w:w="0" w:type="dxa"/>
          <w:bottom w:w="0" w:type="dxa"/>
          <w:right w:w="0" w:type="dxa"/>
        </w:tblCellMar>
        <w:tblLook w:val="01E0"/>
      </w:tblPr>
      <w:tblGrid>
        <w:gridCol w:w="1247"/>
        <w:gridCol w:w="894"/>
        <w:gridCol w:w="661"/>
        <w:gridCol w:w="606"/>
        <w:gridCol w:w="650"/>
        <w:gridCol w:w="982"/>
        <w:gridCol w:w="948"/>
        <w:gridCol w:w="383"/>
        <w:gridCol w:w="813"/>
        <w:gridCol w:w="751"/>
        <w:gridCol w:w="974"/>
        <w:gridCol w:w="389"/>
      </w:tblGrid>
      <w:tr>
        <w:trPr>
          <w:trHeight w:val="546" w:hRule="exact"/>
        </w:trPr>
        <w:tc>
          <w:tcPr>
            <w:tcW w:w="124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left="28" w:right="0"/>
              <w:jc w:val="left"/>
              <w:rPr>
                <w:rFonts w:ascii="宋体" w:hAnsi="宋体" w:cs="宋体" w:eastAsia="宋体" w:hint="default"/>
                <w:sz w:val="12"/>
                <w:szCs w:val="12"/>
              </w:rPr>
            </w:pPr>
            <w:r>
              <w:rPr>
                <w:rFonts w:ascii="宋体" w:hAnsi="宋体" w:cs="宋体" w:eastAsia="宋体" w:hint="default"/>
                <w:sz w:val="12"/>
                <w:szCs w:val="12"/>
              </w:rPr>
              <w:t>债券名称（注</w:t>
            </w:r>
            <w:r>
              <w:rPr>
                <w:rFonts w:ascii="宋体" w:hAnsi="宋体" w:cs="宋体" w:eastAsia="宋体" w:hint="default"/>
                <w:spacing w:val="-24"/>
                <w:sz w:val="12"/>
                <w:szCs w:val="12"/>
              </w:rPr>
              <w:t> </w:t>
            </w:r>
            <w:r>
              <w:rPr>
                <w:rFonts w:ascii="宋体" w:hAnsi="宋体" w:cs="宋体" w:eastAsia="宋体" w:hint="default"/>
                <w:sz w:val="12"/>
                <w:szCs w:val="12"/>
              </w:rPr>
              <w:t>1）</w:t>
            </w:r>
          </w:p>
        </w:tc>
        <w:tc>
          <w:tcPr>
            <w:tcW w:w="894"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right="43"/>
              <w:jc w:val="right"/>
              <w:rPr>
                <w:rFonts w:ascii="宋体" w:hAnsi="宋体" w:cs="宋体" w:eastAsia="宋体" w:hint="default"/>
                <w:sz w:val="12"/>
                <w:szCs w:val="12"/>
              </w:rPr>
            </w:pPr>
            <w:r>
              <w:rPr>
                <w:rFonts w:ascii="宋体" w:hAnsi="宋体" w:cs="宋体" w:eastAsia="宋体" w:hint="default"/>
                <w:sz w:val="12"/>
                <w:szCs w:val="12"/>
              </w:rPr>
              <w:t>面值</w:t>
            </w:r>
          </w:p>
        </w:tc>
        <w:tc>
          <w:tcPr>
            <w:tcW w:w="661"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left="95" w:right="0"/>
              <w:jc w:val="left"/>
              <w:rPr>
                <w:rFonts w:ascii="宋体" w:hAnsi="宋体" w:cs="宋体" w:eastAsia="宋体" w:hint="default"/>
                <w:sz w:val="12"/>
                <w:szCs w:val="12"/>
              </w:rPr>
            </w:pPr>
            <w:r>
              <w:rPr>
                <w:rFonts w:ascii="宋体" w:hAnsi="宋体" w:cs="宋体" w:eastAsia="宋体" w:hint="default"/>
                <w:sz w:val="12"/>
                <w:szCs w:val="12"/>
              </w:rPr>
              <w:t>发行日期</w:t>
            </w:r>
          </w:p>
        </w:tc>
        <w:tc>
          <w:tcPr>
            <w:tcW w:w="606"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right="68"/>
              <w:jc w:val="right"/>
              <w:rPr>
                <w:rFonts w:ascii="宋体" w:hAnsi="宋体" w:cs="宋体" w:eastAsia="宋体" w:hint="default"/>
                <w:sz w:val="12"/>
                <w:szCs w:val="12"/>
              </w:rPr>
            </w:pPr>
            <w:r>
              <w:rPr>
                <w:rFonts w:ascii="宋体" w:hAnsi="宋体" w:cs="宋体" w:eastAsia="宋体" w:hint="default"/>
                <w:sz w:val="12"/>
                <w:szCs w:val="12"/>
              </w:rPr>
              <w:t>债券期限</w:t>
            </w:r>
          </w:p>
        </w:tc>
        <w:tc>
          <w:tcPr>
            <w:tcW w:w="650"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right="27"/>
              <w:jc w:val="center"/>
              <w:rPr>
                <w:rFonts w:ascii="宋体" w:hAnsi="宋体" w:cs="宋体" w:eastAsia="宋体" w:hint="default"/>
                <w:sz w:val="12"/>
                <w:szCs w:val="12"/>
              </w:rPr>
            </w:pPr>
            <w:r>
              <w:rPr>
                <w:rFonts w:ascii="宋体" w:hAnsi="宋体" w:cs="宋体" w:eastAsia="宋体" w:hint="default"/>
                <w:sz w:val="12"/>
                <w:szCs w:val="12"/>
              </w:rPr>
              <w:t>票面利率</w:t>
            </w:r>
          </w:p>
        </w:tc>
        <w:tc>
          <w:tcPr>
            <w:tcW w:w="982"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right="115"/>
              <w:jc w:val="right"/>
              <w:rPr>
                <w:rFonts w:ascii="宋体" w:hAnsi="宋体" w:cs="宋体" w:eastAsia="宋体" w:hint="default"/>
                <w:sz w:val="12"/>
                <w:szCs w:val="12"/>
              </w:rPr>
            </w:pPr>
            <w:r>
              <w:rPr>
                <w:rFonts w:ascii="宋体" w:hAnsi="宋体" w:cs="宋体" w:eastAsia="宋体" w:hint="default"/>
                <w:sz w:val="12"/>
                <w:szCs w:val="12"/>
              </w:rPr>
              <w:t>发行金额</w:t>
            </w:r>
          </w:p>
        </w:tc>
        <w:tc>
          <w:tcPr>
            <w:tcW w:w="948" w:type="dxa"/>
            <w:tcBorders>
              <w:top w:val="nil" w:sz="6" w:space="0" w:color="auto"/>
              <w:left w:val="nil" w:sz="6" w:space="0" w:color="auto"/>
              <w:bottom w:val="single" w:sz="16" w:space="0" w:color="9F8958"/>
              <w:right w:val="nil" w:sz="6" w:space="0" w:color="auto"/>
            </w:tcBorders>
          </w:tcPr>
          <w:p>
            <w:pPr>
              <w:pStyle w:val="TableParagraph"/>
              <w:spacing w:line="240" w:lineRule="auto" w:before="55"/>
              <w:ind w:left="402" w:right="0"/>
              <w:jc w:val="left"/>
              <w:rPr>
                <w:rFonts w:ascii="宋体" w:hAnsi="宋体" w:cs="宋体" w:eastAsia="宋体" w:hint="default"/>
                <w:sz w:val="12"/>
                <w:szCs w:val="12"/>
              </w:rPr>
            </w:pPr>
            <w:r>
              <w:rPr>
                <w:rFonts w:ascii="宋体" w:hAnsi="宋体" w:cs="宋体" w:eastAsia="宋体" w:hint="default"/>
                <w:sz w:val="12"/>
                <w:szCs w:val="12"/>
              </w:rPr>
              <w:t>年初余额</w:t>
            </w:r>
          </w:p>
          <w:p>
            <w:pPr>
              <w:pStyle w:val="TableParagraph"/>
              <w:spacing w:line="240" w:lineRule="auto" w:before="43"/>
              <w:ind w:left="425" w:right="0"/>
              <w:jc w:val="left"/>
              <w:rPr>
                <w:rFonts w:ascii="宋体" w:hAnsi="宋体" w:cs="宋体" w:eastAsia="宋体" w:hint="default"/>
                <w:sz w:val="12"/>
                <w:szCs w:val="12"/>
              </w:rPr>
            </w:pPr>
            <w:r>
              <w:rPr>
                <w:rFonts w:ascii="宋体" w:hAnsi="宋体" w:cs="宋体" w:eastAsia="宋体" w:hint="default"/>
                <w:sz w:val="12"/>
                <w:szCs w:val="12"/>
              </w:rPr>
              <w:t>（注</w:t>
            </w:r>
            <w:r>
              <w:rPr>
                <w:rFonts w:ascii="宋体" w:hAnsi="宋体" w:cs="宋体" w:eastAsia="宋体" w:hint="default"/>
                <w:spacing w:val="-24"/>
                <w:sz w:val="12"/>
                <w:szCs w:val="12"/>
              </w:rPr>
              <w:t> </w:t>
            </w:r>
            <w:r>
              <w:rPr>
                <w:rFonts w:ascii="宋体" w:hAnsi="宋体" w:cs="宋体" w:eastAsia="宋体" w:hint="default"/>
                <w:sz w:val="12"/>
                <w:szCs w:val="12"/>
              </w:rPr>
              <w:t>2）</w:t>
            </w:r>
          </w:p>
        </w:tc>
        <w:tc>
          <w:tcPr>
            <w:tcW w:w="383" w:type="dxa"/>
            <w:tcBorders>
              <w:top w:val="nil" w:sz="6" w:space="0" w:color="auto"/>
              <w:left w:val="nil" w:sz="6" w:space="0" w:color="auto"/>
              <w:bottom w:val="single" w:sz="16" w:space="0" w:color="9F8958"/>
              <w:right w:val="nil" w:sz="6" w:space="0" w:color="auto"/>
            </w:tcBorders>
          </w:tcPr>
          <w:p>
            <w:pPr>
              <w:pStyle w:val="TableParagraph"/>
              <w:spacing w:line="304" w:lineRule="auto" w:before="55"/>
              <w:ind w:left="65" w:right="76"/>
              <w:jc w:val="left"/>
              <w:rPr>
                <w:rFonts w:ascii="宋体" w:hAnsi="宋体" w:cs="宋体" w:eastAsia="宋体" w:hint="default"/>
                <w:sz w:val="12"/>
                <w:szCs w:val="12"/>
              </w:rPr>
            </w:pPr>
            <w:r>
              <w:rPr>
                <w:rFonts w:ascii="宋体" w:hAnsi="宋体" w:cs="宋体" w:eastAsia="宋体" w:hint="default"/>
                <w:sz w:val="12"/>
                <w:szCs w:val="12"/>
              </w:rPr>
              <w:t>本年 发行</w:t>
            </w:r>
          </w:p>
        </w:tc>
        <w:tc>
          <w:tcPr>
            <w:tcW w:w="813" w:type="dxa"/>
            <w:tcBorders>
              <w:top w:val="nil" w:sz="6" w:space="0" w:color="auto"/>
              <w:left w:val="nil" w:sz="6" w:space="0" w:color="auto"/>
              <w:bottom w:val="single" w:sz="16" w:space="0" w:color="9F8958"/>
              <w:right w:val="nil" w:sz="6" w:space="0" w:color="auto"/>
            </w:tcBorders>
          </w:tcPr>
          <w:p>
            <w:pPr>
              <w:pStyle w:val="TableParagraph"/>
              <w:spacing w:line="304" w:lineRule="auto" w:before="55"/>
              <w:ind w:left="263" w:right="66" w:firstLine="120"/>
              <w:jc w:val="left"/>
              <w:rPr>
                <w:rFonts w:ascii="宋体" w:hAnsi="宋体" w:cs="宋体" w:eastAsia="宋体" w:hint="default"/>
                <w:sz w:val="12"/>
                <w:szCs w:val="12"/>
              </w:rPr>
            </w:pPr>
            <w:r>
              <w:rPr>
                <w:rFonts w:ascii="宋体" w:hAnsi="宋体" w:cs="宋体" w:eastAsia="宋体" w:hint="default"/>
                <w:sz w:val="12"/>
                <w:szCs w:val="12"/>
              </w:rPr>
              <w:t>按面值 计提利息</w:t>
            </w:r>
          </w:p>
        </w:tc>
        <w:tc>
          <w:tcPr>
            <w:tcW w:w="751"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right="80"/>
              <w:jc w:val="right"/>
              <w:rPr>
                <w:rFonts w:ascii="宋体" w:hAnsi="宋体" w:cs="宋体" w:eastAsia="宋体" w:hint="default"/>
                <w:sz w:val="12"/>
                <w:szCs w:val="12"/>
              </w:rPr>
            </w:pPr>
            <w:r>
              <w:rPr>
                <w:rFonts w:ascii="宋体" w:hAnsi="宋体" w:cs="宋体" w:eastAsia="宋体" w:hint="default"/>
                <w:sz w:val="12"/>
                <w:szCs w:val="12"/>
              </w:rPr>
              <w:t>折溢价摊销</w:t>
            </w:r>
          </w:p>
        </w:tc>
        <w:tc>
          <w:tcPr>
            <w:tcW w:w="974"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98"/>
              <w:ind w:right="57"/>
              <w:jc w:val="right"/>
              <w:rPr>
                <w:rFonts w:ascii="宋体" w:hAnsi="宋体" w:cs="宋体" w:eastAsia="宋体" w:hint="default"/>
                <w:sz w:val="12"/>
                <w:szCs w:val="12"/>
              </w:rPr>
            </w:pPr>
            <w:r>
              <w:rPr>
                <w:rFonts w:ascii="宋体" w:hAnsi="宋体" w:cs="宋体" w:eastAsia="宋体" w:hint="default"/>
                <w:sz w:val="12"/>
                <w:szCs w:val="12"/>
              </w:rPr>
              <w:t>本年偿还</w:t>
            </w:r>
          </w:p>
        </w:tc>
        <w:tc>
          <w:tcPr>
            <w:tcW w:w="389" w:type="dxa"/>
            <w:tcBorders>
              <w:top w:val="nil" w:sz="6" w:space="0" w:color="auto"/>
              <w:left w:val="nil" w:sz="6" w:space="0" w:color="auto"/>
              <w:bottom w:val="single" w:sz="16" w:space="0" w:color="9F8958"/>
              <w:right w:val="nil" w:sz="6" w:space="0" w:color="auto"/>
            </w:tcBorders>
          </w:tcPr>
          <w:p>
            <w:pPr>
              <w:pStyle w:val="TableParagraph"/>
              <w:spacing w:line="304" w:lineRule="auto" w:before="55"/>
              <w:ind w:left="58" w:right="87"/>
              <w:jc w:val="left"/>
              <w:rPr>
                <w:rFonts w:ascii="宋体" w:hAnsi="宋体" w:cs="宋体" w:eastAsia="宋体" w:hint="default"/>
                <w:sz w:val="12"/>
                <w:szCs w:val="12"/>
              </w:rPr>
            </w:pPr>
            <w:r>
              <w:rPr>
                <w:rFonts w:ascii="宋体" w:hAnsi="宋体" w:cs="宋体" w:eastAsia="宋体" w:hint="default"/>
                <w:sz w:val="12"/>
                <w:szCs w:val="12"/>
              </w:rPr>
              <w:t>年末 余额</w:t>
            </w:r>
          </w:p>
        </w:tc>
      </w:tr>
      <w:tr>
        <w:trPr>
          <w:trHeight w:val="519" w:hRule="exact"/>
        </w:trPr>
        <w:tc>
          <w:tcPr>
            <w:tcW w:w="1247" w:type="dxa"/>
            <w:tcBorders>
              <w:top w:val="single" w:sz="16" w:space="0" w:color="9F8958"/>
              <w:left w:val="nil" w:sz="6" w:space="0" w:color="auto"/>
              <w:bottom w:val="nil" w:sz="6" w:space="0" w:color="auto"/>
              <w:right w:val="nil" w:sz="6" w:space="0" w:color="auto"/>
            </w:tcBorders>
          </w:tcPr>
          <w:p>
            <w:pPr>
              <w:pStyle w:val="TableParagraph"/>
              <w:spacing w:line="304" w:lineRule="auto" w:before="76"/>
              <w:ind w:left="28" w:right="80"/>
              <w:jc w:val="left"/>
              <w:rPr>
                <w:rFonts w:ascii="宋体" w:hAnsi="宋体" w:cs="宋体" w:eastAsia="宋体" w:hint="default"/>
                <w:sz w:val="12"/>
                <w:szCs w:val="12"/>
              </w:rPr>
            </w:pPr>
            <w:r>
              <w:rPr>
                <w:rFonts w:ascii="宋体" w:hAnsi="宋体" w:cs="宋体" w:eastAsia="宋体" w:hint="default"/>
                <w:sz w:val="12"/>
                <w:szCs w:val="12"/>
              </w:rPr>
              <w:t>2017</w:t>
            </w:r>
            <w:r>
              <w:rPr>
                <w:rFonts w:ascii="宋体" w:hAnsi="宋体" w:cs="宋体" w:eastAsia="宋体" w:hint="default"/>
                <w:spacing w:val="-8"/>
                <w:sz w:val="12"/>
                <w:szCs w:val="12"/>
              </w:rPr>
              <w:t> </w:t>
            </w:r>
            <w:r>
              <w:rPr>
                <w:rFonts w:ascii="宋体" w:hAnsi="宋体" w:cs="宋体" w:eastAsia="宋体" w:hint="default"/>
                <w:sz w:val="12"/>
                <w:szCs w:val="12"/>
              </w:rPr>
              <w:t>年第四期超短期</w:t>
            </w:r>
            <w:r>
              <w:rPr>
                <w:rFonts w:ascii="宋体" w:hAnsi="宋体" w:cs="宋体" w:eastAsia="宋体" w:hint="default"/>
                <w:spacing w:val="-57"/>
                <w:sz w:val="12"/>
                <w:szCs w:val="12"/>
              </w:rPr>
              <w:t> </w:t>
            </w:r>
            <w:r>
              <w:rPr>
                <w:rFonts w:ascii="宋体" w:hAnsi="宋体" w:cs="宋体" w:eastAsia="宋体" w:hint="default"/>
                <w:spacing w:val="-57"/>
                <w:sz w:val="12"/>
                <w:szCs w:val="12"/>
              </w:rPr>
            </w:r>
            <w:r>
              <w:rPr>
                <w:rFonts w:ascii="宋体" w:hAnsi="宋体" w:cs="宋体" w:eastAsia="宋体" w:hint="default"/>
                <w:sz w:val="12"/>
                <w:szCs w:val="12"/>
              </w:rPr>
              <w:t>融资券</w:t>
            </w:r>
          </w:p>
        </w:tc>
        <w:tc>
          <w:tcPr>
            <w:tcW w:w="894"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43"/>
              <w:jc w:val="right"/>
              <w:rPr>
                <w:rFonts w:ascii="宋体" w:hAnsi="宋体" w:cs="宋体" w:eastAsia="宋体" w:hint="default"/>
                <w:sz w:val="12"/>
                <w:szCs w:val="12"/>
              </w:rPr>
            </w:pPr>
            <w:r>
              <w:rPr>
                <w:rFonts w:ascii="宋体"/>
                <w:w w:val="95"/>
                <w:sz w:val="12"/>
              </w:rPr>
              <w:t>1,000,000,000</w:t>
            </w:r>
            <w:r>
              <w:rPr>
                <w:rFonts w:ascii="宋体"/>
                <w:sz w:val="12"/>
              </w:rPr>
            </w:r>
          </w:p>
        </w:tc>
        <w:tc>
          <w:tcPr>
            <w:tcW w:w="661" w:type="dxa"/>
            <w:tcBorders>
              <w:top w:val="single" w:sz="16" w:space="0" w:color="9F8958"/>
              <w:left w:val="nil" w:sz="6" w:space="0" w:color="auto"/>
              <w:bottom w:val="nil" w:sz="6" w:space="0" w:color="auto"/>
              <w:right w:val="nil" w:sz="6" w:space="0" w:color="auto"/>
            </w:tcBorders>
          </w:tcPr>
          <w:p>
            <w:pPr>
              <w:pStyle w:val="TableParagraph"/>
              <w:spacing w:line="240" w:lineRule="auto" w:before="76"/>
              <w:ind w:left="158" w:right="0"/>
              <w:jc w:val="left"/>
              <w:rPr>
                <w:rFonts w:ascii="宋体" w:hAnsi="宋体" w:cs="宋体" w:eastAsia="宋体" w:hint="default"/>
                <w:sz w:val="12"/>
                <w:szCs w:val="12"/>
              </w:rPr>
            </w:pPr>
            <w:r>
              <w:rPr>
                <w:rFonts w:ascii="宋体" w:hAnsi="宋体" w:cs="宋体" w:eastAsia="宋体" w:hint="default"/>
                <w:w w:val="110"/>
                <w:sz w:val="12"/>
                <w:szCs w:val="12"/>
              </w:rPr>
              <w:t>2017</w:t>
            </w:r>
            <w:r>
              <w:rPr>
                <w:rFonts w:ascii="宋体" w:hAnsi="宋体" w:cs="宋体" w:eastAsia="宋体" w:hint="default"/>
                <w:spacing w:val="-47"/>
                <w:w w:val="110"/>
                <w:sz w:val="12"/>
                <w:szCs w:val="12"/>
              </w:rPr>
              <w:t> </w:t>
            </w:r>
            <w:r>
              <w:rPr>
                <w:rFonts w:ascii="宋体" w:hAnsi="宋体" w:cs="宋体" w:eastAsia="宋体" w:hint="default"/>
                <w:w w:val="110"/>
                <w:sz w:val="12"/>
                <w:szCs w:val="12"/>
              </w:rPr>
              <w:t>年</w:t>
            </w:r>
          </w:p>
          <w:p>
            <w:pPr>
              <w:pStyle w:val="TableParagraph"/>
              <w:spacing w:line="240" w:lineRule="auto" w:before="43"/>
              <w:ind w:left="111" w:right="0"/>
              <w:jc w:val="left"/>
              <w:rPr>
                <w:rFonts w:ascii="宋体" w:hAnsi="宋体" w:cs="宋体" w:eastAsia="宋体" w:hint="default"/>
                <w:sz w:val="12"/>
                <w:szCs w:val="12"/>
              </w:rPr>
            </w:pPr>
            <w:r>
              <w:rPr>
                <w:rFonts w:ascii="宋体" w:hAnsi="宋体" w:cs="宋体" w:eastAsia="宋体" w:hint="default"/>
                <w:spacing w:val="21"/>
                <w:w w:val="105"/>
                <w:sz w:val="12"/>
                <w:szCs w:val="12"/>
              </w:rPr>
              <w:t>7月6日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606"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68"/>
              <w:jc w:val="right"/>
              <w:rPr>
                <w:rFonts w:ascii="宋体" w:hAnsi="宋体" w:cs="宋体" w:eastAsia="宋体" w:hint="default"/>
                <w:sz w:val="12"/>
                <w:szCs w:val="12"/>
              </w:rPr>
            </w:pPr>
            <w:r>
              <w:rPr>
                <w:rFonts w:ascii="宋体" w:hAnsi="宋体" w:cs="宋体" w:eastAsia="宋体" w:hint="default"/>
                <w:w w:val="110"/>
                <w:sz w:val="12"/>
                <w:szCs w:val="12"/>
              </w:rPr>
              <w:t>270</w:t>
            </w:r>
            <w:r>
              <w:rPr>
                <w:rFonts w:ascii="宋体" w:hAnsi="宋体" w:cs="宋体" w:eastAsia="宋体" w:hint="default"/>
                <w:spacing w:val="-48"/>
                <w:w w:val="110"/>
                <w:sz w:val="12"/>
                <w:szCs w:val="12"/>
              </w:rPr>
              <w:t> </w:t>
            </w:r>
            <w:r>
              <w:rPr>
                <w:rFonts w:ascii="宋体" w:hAnsi="宋体" w:cs="宋体" w:eastAsia="宋体" w:hint="default"/>
                <w:w w:val="110"/>
                <w:sz w:val="12"/>
                <w:szCs w:val="12"/>
              </w:rPr>
              <w:t>天</w:t>
            </w:r>
          </w:p>
        </w:tc>
        <w:tc>
          <w:tcPr>
            <w:tcW w:w="650"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97" w:right="0"/>
              <w:jc w:val="center"/>
              <w:rPr>
                <w:rFonts w:ascii="宋体" w:hAnsi="宋体" w:cs="宋体" w:eastAsia="宋体" w:hint="default"/>
                <w:sz w:val="12"/>
                <w:szCs w:val="12"/>
              </w:rPr>
            </w:pPr>
            <w:r>
              <w:rPr>
                <w:rFonts w:ascii="宋体"/>
                <w:w w:val="120"/>
                <w:sz w:val="12"/>
              </w:rPr>
              <w:t>4.38%</w:t>
            </w:r>
            <w:r>
              <w:rPr>
                <w:rFonts w:ascii="宋体"/>
                <w:sz w:val="12"/>
              </w:rPr>
            </w:r>
          </w:p>
        </w:tc>
        <w:tc>
          <w:tcPr>
            <w:tcW w:w="982"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114"/>
              <w:jc w:val="right"/>
              <w:rPr>
                <w:rFonts w:ascii="宋体" w:hAnsi="宋体" w:cs="宋体" w:eastAsia="宋体" w:hint="default"/>
                <w:sz w:val="12"/>
                <w:szCs w:val="12"/>
              </w:rPr>
            </w:pPr>
            <w:r>
              <w:rPr>
                <w:rFonts w:ascii="宋体"/>
                <w:w w:val="95"/>
                <w:sz w:val="12"/>
              </w:rPr>
              <w:t>1,000,000,000</w:t>
            </w:r>
            <w:r>
              <w:rPr>
                <w:rFonts w:ascii="宋体"/>
                <w:sz w:val="12"/>
              </w:rPr>
            </w:r>
          </w:p>
        </w:tc>
        <w:tc>
          <w:tcPr>
            <w:tcW w:w="948"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51" w:right="0"/>
              <w:jc w:val="center"/>
              <w:rPr>
                <w:rFonts w:ascii="宋体" w:hAnsi="宋体" w:cs="宋体" w:eastAsia="宋体" w:hint="default"/>
                <w:sz w:val="12"/>
                <w:szCs w:val="12"/>
              </w:rPr>
            </w:pPr>
            <w:r>
              <w:rPr>
                <w:rFonts w:ascii="宋体"/>
                <w:sz w:val="12"/>
              </w:rPr>
              <w:t>1,020,713,333</w:t>
            </w:r>
          </w:p>
        </w:tc>
        <w:tc>
          <w:tcPr>
            <w:tcW w:w="383"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left="145" w:right="0"/>
              <w:jc w:val="left"/>
              <w:rPr>
                <w:rFonts w:ascii="宋体" w:hAnsi="宋体" w:cs="宋体" w:eastAsia="宋体" w:hint="default"/>
                <w:sz w:val="12"/>
                <w:szCs w:val="12"/>
              </w:rPr>
            </w:pPr>
            <w:r>
              <w:rPr>
                <w:rFonts w:ascii="宋体"/>
                <w:w w:val="131"/>
                <w:sz w:val="12"/>
              </w:rPr>
              <w:t>-</w:t>
            </w:r>
            <w:r>
              <w:rPr>
                <w:rFonts w:ascii="宋体"/>
                <w:sz w:val="12"/>
              </w:rPr>
            </w:r>
          </w:p>
        </w:tc>
        <w:tc>
          <w:tcPr>
            <w:tcW w:w="813"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66"/>
              <w:jc w:val="right"/>
              <w:rPr>
                <w:rFonts w:ascii="宋体" w:hAnsi="宋体" w:cs="宋体" w:eastAsia="宋体" w:hint="default"/>
                <w:sz w:val="12"/>
                <w:szCs w:val="12"/>
              </w:rPr>
            </w:pPr>
            <w:r>
              <w:rPr>
                <w:rFonts w:ascii="宋体"/>
                <w:w w:val="95"/>
                <w:sz w:val="12"/>
              </w:rPr>
              <w:t>10,920,000</w:t>
            </w:r>
            <w:r>
              <w:rPr>
                <w:rFonts w:ascii="宋体"/>
                <w:sz w:val="12"/>
              </w:rPr>
            </w:r>
          </w:p>
        </w:tc>
        <w:tc>
          <w:tcPr>
            <w:tcW w:w="751"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80"/>
              <w:jc w:val="right"/>
              <w:rPr>
                <w:rFonts w:ascii="宋体" w:hAnsi="宋体" w:cs="宋体" w:eastAsia="宋体" w:hint="default"/>
                <w:sz w:val="12"/>
                <w:szCs w:val="12"/>
              </w:rPr>
            </w:pPr>
            <w:r>
              <w:rPr>
                <w:rFonts w:ascii="宋体"/>
                <w:sz w:val="12"/>
              </w:rPr>
              <w:t>766,667</w:t>
            </w:r>
          </w:p>
        </w:tc>
        <w:tc>
          <w:tcPr>
            <w:tcW w:w="974"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56"/>
              <w:jc w:val="right"/>
              <w:rPr>
                <w:rFonts w:ascii="宋体" w:hAnsi="宋体" w:cs="宋体" w:eastAsia="宋体" w:hint="default"/>
                <w:sz w:val="12"/>
                <w:szCs w:val="12"/>
              </w:rPr>
            </w:pPr>
            <w:r>
              <w:rPr>
                <w:rFonts w:ascii="宋体"/>
                <w:w w:val="90"/>
                <w:sz w:val="12"/>
              </w:rPr>
              <w:t>(1,032,400,000)</w:t>
            </w:r>
            <w:r>
              <w:rPr>
                <w:rFonts w:ascii="宋体"/>
                <w:sz w:val="12"/>
              </w:rPr>
            </w:r>
          </w:p>
        </w:tc>
        <w:tc>
          <w:tcPr>
            <w:tcW w:w="389"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2"/>
              <w:ind w:right="0"/>
              <w:jc w:val="left"/>
              <w:rPr>
                <w:rFonts w:ascii="宋体" w:hAnsi="宋体" w:cs="宋体" w:eastAsia="宋体" w:hint="default"/>
                <w:sz w:val="9"/>
                <w:szCs w:val="9"/>
              </w:rPr>
            </w:pPr>
          </w:p>
          <w:p>
            <w:pPr>
              <w:pStyle w:val="TableParagraph"/>
              <w:spacing w:line="240" w:lineRule="auto"/>
              <w:ind w:right="28"/>
              <w:jc w:val="center"/>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1247" w:type="dxa"/>
            <w:tcBorders>
              <w:top w:val="nil" w:sz="6" w:space="0" w:color="auto"/>
              <w:left w:val="nil" w:sz="6" w:space="0" w:color="auto"/>
              <w:bottom w:val="nil" w:sz="6" w:space="0" w:color="auto"/>
              <w:right w:val="nil" w:sz="6" w:space="0" w:color="auto"/>
            </w:tcBorders>
          </w:tcPr>
          <w:p>
            <w:pPr>
              <w:pStyle w:val="TableParagraph"/>
              <w:spacing w:line="304" w:lineRule="auto" w:before="10"/>
              <w:ind w:left="28" w:right="80"/>
              <w:jc w:val="left"/>
              <w:rPr>
                <w:rFonts w:ascii="宋体" w:hAnsi="宋体" w:cs="宋体" w:eastAsia="宋体" w:hint="default"/>
                <w:sz w:val="12"/>
                <w:szCs w:val="12"/>
              </w:rPr>
            </w:pPr>
            <w:r>
              <w:rPr>
                <w:rFonts w:ascii="宋体" w:hAnsi="宋体" w:cs="宋体" w:eastAsia="宋体" w:hint="default"/>
                <w:sz w:val="12"/>
                <w:szCs w:val="12"/>
              </w:rPr>
              <w:t>2017</w:t>
            </w:r>
            <w:r>
              <w:rPr>
                <w:rFonts w:ascii="宋体" w:hAnsi="宋体" w:cs="宋体" w:eastAsia="宋体" w:hint="default"/>
                <w:spacing w:val="-8"/>
                <w:sz w:val="12"/>
                <w:szCs w:val="12"/>
              </w:rPr>
              <w:t> </w:t>
            </w:r>
            <w:r>
              <w:rPr>
                <w:rFonts w:ascii="宋体" w:hAnsi="宋体" w:cs="宋体" w:eastAsia="宋体" w:hint="default"/>
                <w:sz w:val="12"/>
                <w:szCs w:val="12"/>
              </w:rPr>
              <w:t>年第六期超短期</w:t>
            </w:r>
            <w:r>
              <w:rPr>
                <w:rFonts w:ascii="宋体" w:hAnsi="宋体" w:cs="宋体" w:eastAsia="宋体" w:hint="default"/>
                <w:spacing w:val="-57"/>
                <w:sz w:val="12"/>
                <w:szCs w:val="12"/>
              </w:rPr>
              <w:t> </w:t>
            </w:r>
            <w:r>
              <w:rPr>
                <w:rFonts w:ascii="宋体" w:hAnsi="宋体" w:cs="宋体" w:eastAsia="宋体" w:hint="default"/>
                <w:spacing w:val="-57"/>
                <w:sz w:val="12"/>
                <w:szCs w:val="12"/>
              </w:rPr>
            </w:r>
            <w:r>
              <w:rPr>
                <w:rFonts w:ascii="宋体" w:hAnsi="宋体" w:cs="宋体" w:eastAsia="宋体" w:hint="default"/>
                <w:sz w:val="12"/>
                <w:szCs w:val="12"/>
              </w:rPr>
              <w:t>融资券</w:t>
            </w:r>
          </w:p>
        </w:tc>
        <w:tc>
          <w:tcPr>
            <w:tcW w:w="89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43"/>
              <w:jc w:val="right"/>
              <w:rPr>
                <w:rFonts w:ascii="宋体" w:hAnsi="宋体" w:cs="宋体" w:eastAsia="宋体" w:hint="default"/>
                <w:sz w:val="12"/>
                <w:szCs w:val="12"/>
              </w:rPr>
            </w:pPr>
            <w:r>
              <w:rPr>
                <w:rFonts w:ascii="宋体"/>
                <w:w w:val="95"/>
                <w:sz w:val="12"/>
              </w:rPr>
              <w:t>4,000,000,000</w:t>
            </w:r>
            <w:r>
              <w:rPr>
                <w:rFonts w:ascii="宋体"/>
                <w:sz w:val="12"/>
              </w:rPr>
            </w:r>
          </w:p>
        </w:tc>
        <w:tc>
          <w:tcPr>
            <w:tcW w:w="661" w:type="dxa"/>
            <w:tcBorders>
              <w:top w:val="nil" w:sz="6" w:space="0" w:color="auto"/>
              <w:left w:val="nil" w:sz="6" w:space="0" w:color="auto"/>
              <w:bottom w:val="nil" w:sz="6" w:space="0" w:color="auto"/>
              <w:right w:val="nil" w:sz="6" w:space="0" w:color="auto"/>
            </w:tcBorders>
          </w:tcPr>
          <w:p>
            <w:pPr>
              <w:pStyle w:val="TableParagraph"/>
              <w:spacing w:line="240" w:lineRule="auto" w:before="10"/>
              <w:ind w:left="158" w:right="0"/>
              <w:jc w:val="left"/>
              <w:rPr>
                <w:rFonts w:ascii="宋体" w:hAnsi="宋体" w:cs="宋体" w:eastAsia="宋体" w:hint="default"/>
                <w:sz w:val="12"/>
                <w:szCs w:val="12"/>
              </w:rPr>
            </w:pPr>
            <w:r>
              <w:rPr>
                <w:rFonts w:ascii="宋体" w:hAnsi="宋体" w:cs="宋体" w:eastAsia="宋体" w:hint="default"/>
                <w:w w:val="110"/>
                <w:sz w:val="12"/>
                <w:szCs w:val="12"/>
              </w:rPr>
              <w:t>2017</w:t>
            </w:r>
            <w:r>
              <w:rPr>
                <w:rFonts w:ascii="宋体" w:hAnsi="宋体" w:cs="宋体" w:eastAsia="宋体" w:hint="default"/>
                <w:spacing w:val="-47"/>
                <w:w w:val="110"/>
                <w:sz w:val="12"/>
                <w:szCs w:val="12"/>
              </w:rPr>
              <w:t> </w:t>
            </w:r>
            <w:r>
              <w:rPr>
                <w:rFonts w:ascii="宋体" w:hAnsi="宋体" w:cs="宋体" w:eastAsia="宋体" w:hint="default"/>
                <w:w w:val="110"/>
                <w:sz w:val="12"/>
                <w:szCs w:val="12"/>
              </w:rPr>
              <w:t>年</w:t>
            </w:r>
          </w:p>
          <w:p>
            <w:pPr>
              <w:pStyle w:val="TableParagraph"/>
              <w:spacing w:line="240" w:lineRule="auto" w:before="43"/>
              <w:ind w:left="111" w:right="0"/>
              <w:jc w:val="left"/>
              <w:rPr>
                <w:rFonts w:ascii="宋体" w:hAnsi="宋体" w:cs="宋体" w:eastAsia="宋体" w:hint="default"/>
                <w:sz w:val="12"/>
                <w:szCs w:val="12"/>
              </w:rPr>
            </w:pPr>
            <w:r>
              <w:rPr>
                <w:rFonts w:ascii="宋体" w:hAnsi="宋体" w:cs="宋体" w:eastAsia="宋体" w:hint="default"/>
                <w:spacing w:val="21"/>
                <w:w w:val="105"/>
                <w:sz w:val="12"/>
                <w:szCs w:val="12"/>
              </w:rPr>
              <w:t>8月7日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60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68"/>
              <w:jc w:val="right"/>
              <w:rPr>
                <w:rFonts w:ascii="宋体" w:hAnsi="宋体" w:cs="宋体" w:eastAsia="宋体" w:hint="default"/>
                <w:sz w:val="12"/>
                <w:szCs w:val="12"/>
              </w:rPr>
            </w:pPr>
            <w:r>
              <w:rPr>
                <w:rFonts w:ascii="宋体" w:hAnsi="宋体" w:cs="宋体" w:eastAsia="宋体" w:hint="default"/>
                <w:w w:val="110"/>
                <w:sz w:val="12"/>
                <w:szCs w:val="12"/>
              </w:rPr>
              <w:t>270</w:t>
            </w:r>
            <w:r>
              <w:rPr>
                <w:rFonts w:ascii="宋体" w:hAnsi="宋体" w:cs="宋体" w:eastAsia="宋体" w:hint="default"/>
                <w:spacing w:val="-48"/>
                <w:w w:val="110"/>
                <w:sz w:val="12"/>
                <w:szCs w:val="12"/>
              </w:rPr>
              <w:t> </w:t>
            </w:r>
            <w:r>
              <w:rPr>
                <w:rFonts w:ascii="宋体" w:hAnsi="宋体" w:cs="宋体" w:eastAsia="宋体" w:hint="default"/>
                <w:w w:val="110"/>
                <w:sz w:val="12"/>
                <w:szCs w:val="12"/>
              </w:rPr>
              <w:t>天</w:t>
            </w:r>
          </w:p>
        </w:tc>
        <w:tc>
          <w:tcPr>
            <w:tcW w:w="650"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97" w:right="0"/>
              <w:jc w:val="center"/>
              <w:rPr>
                <w:rFonts w:ascii="宋体" w:hAnsi="宋体" w:cs="宋体" w:eastAsia="宋体" w:hint="default"/>
                <w:sz w:val="12"/>
                <w:szCs w:val="12"/>
              </w:rPr>
            </w:pPr>
            <w:r>
              <w:rPr>
                <w:rFonts w:ascii="宋体"/>
                <w:w w:val="120"/>
                <w:sz w:val="12"/>
              </w:rPr>
              <w:t>4.26%</w:t>
            </w:r>
            <w:r>
              <w:rPr>
                <w:rFonts w:ascii="宋体"/>
                <w:sz w:val="12"/>
              </w:rPr>
            </w:r>
          </w:p>
        </w:tc>
        <w:tc>
          <w:tcPr>
            <w:tcW w:w="98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4"/>
              <w:jc w:val="right"/>
              <w:rPr>
                <w:rFonts w:ascii="宋体" w:hAnsi="宋体" w:cs="宋体" w:eastAsia="宋体" w:hint="default"/>
                <w:sz w:val="12"/>
                <w:szCs w:val="12"/>
              </w:rPr>
            </w:pPr>
            <w:r>
              <w:rPr>
                <w:rFonts w:ascii="宋体"/>
                <w:w w:val="95"/>
                <w:sz w:val="12"/>
              </w:rPr>
              <w:t>4,000,000,000</w:t>
            </w:r>
            <w:r>
              <w:rPr>
                <w:rFonts w:ascii="宋体"/>
                <w:sz w:val="12"/>
              </w:rPr>
            </w:r>
          </w:p>
        </w:tc>
        <w:tc>
          <w:tcPr>
            <w:tcW w:w="94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51" w:right="0"/>
              <w:jc w:val="center"/>
              <w:rPr>
                <w:rFonts w:ascii="宋体" w:hAnsi="宋体" w:cs="宋体" w:eastAsia="宋体" w:hint="default"/>
                <w:sz w:val="12"/>
                <w:szCs w:val="12"/>
              </w:rPr>
            </w:pPr>
            <w:r>
              <w:rPr>
                <w:rFonts w:ascii="宋体"/>
                <w:sz w:val="12"/>
              </w:rPr>
              <w:t>4,064,460,182</w:t>
            </w:r>
          </w:p>
        </w:tc>
        <w:tc>
          <w:tcPr>
            <w:tcW w:w="38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45" w:right="0"/>
              <w:jc w:val="left"/>
              <w:rPr>
                <w:rFonts w:ascii="宋体" w:hAnsi="宋体" w:cs="宋体" w:eastAsia="宋体" w:hint="default"/>
                <w:sz w:val="12"/>
                <w:szCs w:val="12"/>
              </w:rPr>
            </w:pPr>
            <w:r>
              <w:rPr>
                <w:rFonts w:ascii="宋体"/>
                <w:w w:val="131"/>
                <w:sz w:val="12"/>
              </w:rPr>
              <w:t>-</w:t>
            </w:r>
            <w:r>
              <w:rPr>
                <w:rFonts w:ascii="宋体"/>
                <w:sz w:val="12"/>
              </w:rPr>
            </w:r>
          </w:p>
        </w:tc>
        <w:tc>
          <w:tcPr>
            <w:tcW w:w="813"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66"/>
              <w:jc w:val="right"/>
              <w:rPr>
                <w:rFonts w:ascii="宋体" w:hAnsi="宋体" w:cs="宋体" w:eastAsia="宋体" w:hint="default"/>
                <w:sz w:val="12"/>
                <w:szCs w:val="12"/>
              </w:rPr>
            </w:pPr>
            <w:r>
              <w:rPr>
                <w:rFonts w:ascii="宋体"/>
                <w:w w:val="95"/>
                <w:sz w:val="12"/>
              </w:rPr>
              <w:t>57,422,466</w:t>
            </w:r>
            <w:r>
              <w:rPr>
                <w:rFonts w:ascii="宋体"/>
                <w:sz w:val="12"/>
              </w:rPr>
            </w:r>
          </w:p>
        </w:tc>
        <w:tc>
          <w:tcPr>
            <w:tcW w:w="75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80"/>
              <w:jc w:val="right"/>
              <w:rPr>
                <w:rFonts w:ascii="宋体" w:hAnsi="宋体" w:cs="宋体" w:eastAsia="宋体" w:hint="default"/>
                <w:sz w:val="12"/>
                <w:szCs w:val="12"/>
              </w:rPr>
            </w:pPr>
            <w:r>
              <w:rPr>
                <w:rFonts w:ascii="宋体"/>
                <w:w w:val="95"/>
                <w:sz w:val="12"/>
              </w:rPr>
              <w:t>4,166,667</w:t>
            </w:r>
            <w:r>
              <w:rPr>
                <w:rFonts w:ascii="宋体"/>
                <w:sz w:val="12"/>
              </w:rPr>
            </w:r>
          </w:p>
        </w:tc>
        <w:tc>
          <w:tcPr>
            <w:tcW w:w="974"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56"/>
              <w:jc w:val="right"/>
              <w:rPr>
                <w:rFonts w:ascii="宋体" w:hAnsi="宋体" w:cs="宋体" w:eastAsia="宋体" w:hint="default"/>
                <w:sz w:val="12"/>
                <w:szCs w:val="12"/>
              </w:rPr>
            </w:pPr>
            <w:r>
              <w:rPr>
                <w:rFonts w:ascii="宋体"/>
                <w:w w:val="90"/>
                <w:sz w:val="12"/>
              </w:rPr>
              <w:t>(4,126,049,315)</w:t>
            </w:r>
            <w:r>
              <w:rPr>
                <w:rFonts w:ascii="宋体"/>
                <w:sz w:val="12"/>
              </w:rPr>
            </w:r>
          </w:p>
        </w:tc>
        <w:tc>
          <w:tcPr>
            <w:tcW w:w="38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8"/>
              <w:jc w:val="center"/>
              <w:rPr>
                <w:rFonts w:ascii="宋体" w:hAnsi="宋体" w:cs="宋体" w:eastAsia="宋体" w:hint="default"/>
                <w:sz w:val="12"/>
                <w:szCs w:val="12"/>
              </w:rPr>
            </w:pPr>
            <w:r>
              <w:rPr>
                <w:rFonts w:ascii="宋体"/>
                <w:w w:val="131"/>
                <w:sz w:val="12"/>
              </w:rPr>
              <w:t>-</w:t>
            </w:r>
            <w:r>
              <w:rPr>
                <w:rFonts w:ascii="宋体"/>
                <w:sz w:val="12"/>
              </w:rPr>
            </w:r>
          </w:p>
        </w:tc>
      </w:tr>
      <w:tr>
        <w:trPr>
          <w:trHeight w:val="494" w:hRule="exact"/>
        </w:trPr>
        <w:tc>
          <w:tcPr>
            <w:tcW w:w="1247" w:type="dxa"/>
            <w:tcBorders>
              <w:top w:val="nil" w:sz="6" w:space="0" w:color="auto"/>
              <w:left w:val="nil" w:sz="6" w:space="0" w:color="auto"/>
              <w:bottom w:val="single" w:sz="6" w:space="0" w:color="000000"/>
              <w:right w:val="nil" w:sz="6" w:space="0" w:color="auto"/>
            </w:tcBorders>
          </w:tcPr>
          <w:p>
            <w:pPr>
              <w:pStyle w:val="TableParagraph"/>
              <w:spacing w:line="304" w:lineRule="auto" w:before="10"/>
              <w:ind w:left="28" w:right="80"/>
              <w:jc w:val="left"/>
              <w:rPr>
                <w:rFonts w:ascii="宋体" w:hAnsi="宋体" w:cs="宋体" w:eastAsia="宋体" w:hint="default"/>
                <w:sz w:val="12"/>
                <w:szCs w:val="12"/>
              </w:rPr>
            </w:pPr>
            <w:r>
              <w:rPr>
                <w:rFonts w:ascii="宋体" w:hAnsi="宋体" w:cs="宋体" w:eastAsia="宋体" w:hint="default"/>
                <w:sz w:val="12"/>
                <w:szCs w:val="12"/>
              </w:rPr>
              <w:t>2017</w:t>
            </w:r>
            <w:r>
              <w:rPr>
                <w:rFonts w:ascii="宋体" w:hAnsi="宋体" w:cs="宋体" w:eastAsia="宋体" w:hint="default"/>
                <w:spacing w:val="-8"/>
                <w:sz w:val="12"/>
                <w:szCs w:val="12"/>
              </w:rPr>
              <w:t> </w:t>
            </w:r>
            <w:r>
              <w:rPr>
                <w:rFonts w:ascii="宋体" w:hAnsi="宋体" w:cs="宋体" w:eastAsia="宋体" w:hint="default"/>
                <w:sz w:val="12"/>
                <w:szCs w:val="12"/>
              </w:rPr>
              <w:t>年第七期超短期</w:t>
            </w:r>
            <w:r>
              <w:rPr>
                <w:rFonts w:ascii="宋体" w:hAnsi="宋体" w:cs="宋体" w:eastAsia="宋体" w:hint="default"/>
                <w:spacing w:val="-57"/>
                <w:sz w:val="12"/>
                <w:szCs w:val="12"/>
              </w:rPr>
              <w:t> </w:t>
            </w:r>
            <w:r>
              <w:rPr>
                <w:rFonts w:ascii="宋体" w:hAnsi="宋体" w:cs="宋体" w:eastAsia="宋体" w:hint="default"/>
                <w:spacing w:val="-57"/>
                <w:sz w:val="12"/>
                <w:szCs w:val="12"/>
              </w:rPr>
            </w:r>
            <w:r>
              <w:rPr>
                <w:rFonts w:ascii="宋体" w:hAnsi="宋体" w:cs="宋体" w:eastAsia="宋体" w:hint="default"/>
                <w:sz w:val="12"/>
                <w:szCs w:val="12"/>
              </w:rPr>
              <w:t>融资券</w:t>
            </w:r>
          </w:p>
        </w:tc>
        <w:tc>
          <w:tcPr>
            <w:tcW w:w="894"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43"/>
              <w:jc w:val="right"/>
              <w:rPr>
                <w:rFonts w:ascii="宋体" w:hAnsi="宋体" w:cs="宋体" w:eastAsia="宋体" w:hint="default"/>
                <w:sz w:val="12"/>
                <w:szCs w:val="12"/>
              </w:rPr>
            </w:pPr>
            <w:r>
              <w:rPr>
                <w:rFonts w:ascii="宋体"/>
                <w:w w:val="95"/>
                <w:sz w:val="12"/>
              </w:rPr>
              <w:t>4,000,000,000</w:t>
            </w:r>
            <w:r>
              <w:rPr>
                <w:rFonts w:ascii="宋体"/>
                <w:sz w:val="12"/>
              </w:rPr>
            </w:r>
          </w:p>
        </w:tc>
        <w:tc>
          <w:tcPr>
            <w:tcW w:w="661" w:type="dxa"/>
            <w:tcBorders>
              <w:top w:val="nil" w:sz="6" w:space="0" w:color="auto"/>
              <w:left w:val="nil" w:sz="6" w:space="0" w:color="auto"/>
              <w:bottom w:val="single" w:sz="6" w:space="0" w:color="000000"/>
              <w:right w:val="nil" w:sz="6" w:space="0" w:color="auto"/>
            </w:tcBorders>
          </w:tcPr>
          <w:p>
            <w:pPr>
              <w:pStyle w:val="TableParagraph"/>
              <w:spacing w:line="240" w:lineRule="auto" w:before="10"/>
              <w:ind w:left="73" w:right="0"/>
              <w:jc w:val="center"/>
              <w:rPr>
                <w:rFonts w:ascii="宋体" w:hAnsi="宋体" w:cs="宋体" w:eastAsia="宋体" w:hint="default"/>
                <w:sz w:val="12"/>
                <w:szCs w:val="12"/>
              </w:rPr>
            </w:pPr>
            <w:r>
              <w:rPr>
                <w:rFonts w:ascii="宋体" w:hAnsi="宋体" w:cs="宋体" w:eastAsia="宋体" w:hint="default"/>
                <w:w w:val="110"/>
                <w:sz w:val="12"/>
                <w:szCs w:val="12"/>
              </w:rPr>
              <w:t>2017</w:t>
            </w:r>
            <w:r>
              <w:rPr>
                <w:rFonts w:ascii="宋体" w:hAnsi="宋体" w:cs="宋体" w:eastAsia="宋体" w:hint="default"/>
                <w:spacing w:val="-47"/>
                <w:w w:val="110"/>
                <w:sz w:val="12"/>
                <w:szCs w:val="12"/>
              </w:rPr>
              <w:t> </w:t>
            </w:r>
            <w:r>
              <w:rPr>
                <w:rFonts w:ascii="宋体" w:hAnsi="宋体" w:cs="宋体" w:eastAsia="宋体" w:hint="default"/>
                <w:w w:val="110"/>
                <w:sz w:val="12"/>
                <w:szCs w:val="12"/>
              </w:rPr>
              <w:t>年</w:t>
            </w:r>
          </w:p>
          <w:p>
            <w:pPr>
              <w:pStyle w:val="TableParagraph"/>
              <w:spacing w:line="240" w:lineRule="auto" w:before="43"/>
              <w:ind w:right="7"/>
              <w:jc w:val="center"/>
              <w:rPr>
                <w:rFonts w:ascii="宋体" w:hAnsi="宋体" w:cs="宋体" w:eastAsia="宋体" w:hint="default"/>
                <w:sz w:val="12"/>
                <w:szCs w:val="12"/>
              </w:rPr>
            </w:pPr>
            <w:r>
              <w:rPr>
                <w:rFonts w:ascii="宋体" w:hAnsi="宋体" w:cs="宋体" w:eastAsia="宋体" w:hint="default"/>
                <w:spacing w:val="14"/>
                <w:w w:val="105"/>
                <w:sz w:val="12"/>
                <w:szCs w:val="12"/>
              </w:rPr>
              <w:t>8月</w:t>
            </w:r>
            <w:r>
              <w:rPr>
                <w:rFonts w:ascii="宋体" w:hAnsi="宋体" w:cs="宋体" w:eastAsia="宋体" w:hint="default"/>
                <w:spacing w:val="-31"/>
                <w:w w:val="105"/>
                <w:sz w:val="12"/>
                <w:szCs w:val="12"/>
              </w:rPr>
              <w:t> </w:t>
            </w:r>
            <w:r>
              <w:rPr>
                <w:rFonts w:ascii="宋体" w:hAnsi="宋体" w:cs="宋体" w:eastAsia="宋体" w:hint="default"/>
                <w:spacing w:val="9"/>
                <w:w w:val="105"/>
                <w:sz w:val="12"/>
                <w:szCs w:val="12"/>
              </w:rPr>
              <w:t>10日</w:t>
            </w:r>
            <w:r>
              <w:rPr>
                <w:rFonts w:ascii="宋体" w:hAnsi="宋体" w:cs="宋体" w:eastAsia="宋体" w:hint="default"/>
                <w:spacing w:val="-30"/>
                <w:sz w:val="12"/>
                <w:szCs w:val="12"/>
              </w:rPr>
              <w:t> </w:t>
            </w:r>
            <w:r>
              <w:rPr>
                <w:rFonts w:ascii="宋体" w:hAnsi="宋体" w:cs="宋体" w:eastAsia="宋体" w:hint="default"/>
                <w:sz w:val="12"/>
                <w:szCs w:val="12"/>
              </w:rPr>
            </w:r>
          </w:p>
        </w:tc>
        <w:tc>
          <w:tcPr>
            <w:tcW w:w="606"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68"/>
              <w:jc w:val="right"/>
              <w:rPr>
                <w:rFonts w:ascii="宋体" w:hAnsi="宋体" w:cs="宋体" w:eastAsia="宋体" w:hint="default"/>
                <w:sz w:val="12"/>
                <w:szCs w:val="12"/>
              </w:rPr>
            </w:pPr>
            <w:r>
              <w:rPr>
                <w:rFonts w:ascii="宋体" w:hAnsi="宋体" w:cs="宋体" w:eastAsia="宋体" w:hint="default"/>
                <w:w w:val="110"/>
                <w:sz w:val="12"/>
                <w:szCs w:val="12"/>
              </w:rPr>
              <w:t>270</w:t>
            </w:r>
            <w:r>
              <w:rPr>
                <w:rFonts w:ascii="宋体" w:hAnsi="宋体" w:cs="宋体" w:eastAsia="宋体" w:hint="default"/>
                <w:spacing w:val="-48"/>
                <w:w w:val="110"/>
                <w:sz w:val="12"/>
                <w:szCs w:val="12"/>
              </w:rPr>
              <w:t> </w:t>
            </w:r>
            <w:r>
              <w:rPr>
                <w:rFonts w:ascii="宋体" w:hAnsi="宋体" w:cs="宋体" w:eastAsia="宋体" w:hint="default"/>
                <w:w w:val="110"/>
                <w:sz w:val="12"/>
                <w:szCs w:val="12"/>
              </w:rPr>
              <w:t>天</w:t>
            </w:r>
          </w:p>
        </w:tc>
        <w:tc>
          <w:tcPr>
            <w:tcW w:w="650"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97" w:right="0"/>
              <w:jc w:val="center"/>
              <w:rPr>
                <w:rFonts w:ascii="宋体" w:hAnsi="宋体" w:cs="宋体" w:eastAsia="宋体" w:hint="default"/>
                <w:sz w:val="12"/>
                <w:szCs w:val="12"/>
              </w:rPr>
            </w:pPr>
            <w:r>
              <w:rPr>
                <w:rFonts w:ascii="宋体"/>
                <w:w w:val="120"/>
                <w:sz w:val="12"/>
              </w:rPr>
              <w:t>4.23%</w:t>
            </w:r>
            <w:r>
              <w:rPr>
                <w:rFonts w:ascii="宋体"/>
                <w:sz w:val="12"/>
              </w:rPr>
            </w:r>
          </w:p>
        </w:tc>
        <w:tc>
          <w:tcPr>
            <w:tcW w:w="982"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114"/>
              <w:jc w:val="right"/>
              <w:rPr>
                <w:rFonts w:ascii="宋体" w:hAnsi="宋体" w:cs="宋体" w:eastAsia="宋体" w:hint="default"/>
                <w:sz w:val="12"/>
                <w:szCs w:val="12"/>
              </w:rPr>
            </w:pPr>
            <w:r>
              <w:rPr>
                <w:rFonts w:ascii="宋体"/>
                <w:w w:val="95"/>
                <w:sz w:val="12"/>
              </w:rPr>
              <w:t>4,000,000,000</w:t>
            </w:r>
            <w:r>
              <w:rPr>
                <w:rFonts w:ascii="宋体"/>
                <w:sz w:val="12"/>
              </w:rPr>
            </w:r>
          </w:p>
        </w:tc>
        <w:tc>
          <w:tcPr>
            <w:tcW w:w="948"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51" w:right="0"/>
              <w:jc w:val="center"/>
              <w:rPr>
                <w:rFonts w:ascii="宋体" w:hAnsi="宋体" w:cs="宋体" w:eastAsia="宋体" w:hint="default"/>
                <w:sz w:val="12"/>
                <w:szCs w:val="12"/>
              </w:rPr>
            </w:pPr>
            <w:r>
              <w:rPr>
                <w:rFonts w:ascii="宋体"/>
                <w:sz w:val="12"/>
              </w:rPr>
              <w:t>4,062,519,544</w:t>
            </w:r>
          </w:p>
        </w:tc>
        <w:tc>
          <w:tcPr>
            <w:tcW w:w="383"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145" w:right="0"/>
              <w:jc w:val="left"/>
              <w:rPr>
                <w:rFonts w:ascii="宋体" w:hAnsi="宋体" w:cs="宋体" w:eastAsia="宋体" w:hint="default"/>
                <w:sz w:val="12"/>
                <w:szCs w:val="12"/>
              </w:rPr>
            </w:pPr>
            <w:r>
              <w:rPr>
                <w:rFonts w:ascii="宋体"/>
                <w:w w:val="131"/>
                <w:sz w:val="12"/>
              </w:rPr>
              <w:t>-</w:t>
            </w:r>
            <w:r>
              <w:rPr>
                <w:rFonts w:ascii="宋体"/>
                <w:sz w:val="12"/>
              </w:rPr>
            </w:r>
          </w:p>
        </w:tc>
        <w:tc>
          <w:tcPr>
            <w:tcW w:w="813"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66"/>
              <w:jc w:val="right"/>
              <w:rPr>
                <w:rFonts w:ascii="宋体" w:hAnsi="宋体" w:cs="宋体" w:eastAsia="宋体" w:hint="default"/>
                <w:sz w:val="12"/>
                <w:szCs w:val="12"/>
              </w:rPr>
            </w:pPr>
            <w:r>
              <w:rPr>
                <w:rFonts w:ascii="宋体"/>
                <w:w w:val="95"/>
                <w:sz w:val="12"/>
              </w:rPr>
              <w:t>58,408,767</w:t>
            </w:r>
            <w:r>
              <w:rPr>
                <w:rFonts w:ascii="宋体"/>
                <w:sz w:val="12"/>
              </w:rPr>
            </w:r>
          </w:p>
        </w:tc>
        <w:tc>
          <w:tcPr>
            <w:tcW w:w="751"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80"/>
              <w:jc w:val="right"/>
              <w:rPr>
                <w:rFonts w:ascii="宋体" w:hAnsi="宋体" w:cs="宋体" w:eastAsia="宋体" w:hint="default"/>
                <w:sz w:val="12"/>
                <w:szCs w:val="12"/>
              </w:rPr>
            </w:pPr>
            <w:r>
              <w:rPr>
                <w:rFonts w:ascii="宋体"/>
                <w:w w:val="95"/>
                <w:sz w:val="12"/>
              </w:rPr>
              <w:t>4,233,333</w:t>
            </w:r>
            <w:r>
              <w:rPr>
                <w:rFonts w:ascii="宋体"/>
                <w:sz w:val="12"/>
              </w:rPr>
            </w:r>
          </w:p>
        </w:tc>
        <w:tc>
          <w:tcPr>
            <w:tcW w:w="974"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56"/>
              <w:jc w:val="right"/>
              <w:rPr>
                <w:rFonts w:ascii="宋体" w:hAnsi="宋体" w:cs="宋体" w:eastAsia="宋体" w:hint="default"/>
                <w:sz w:val="12"/>
                <w:szCs w:val="12"/>
              </w:rPr>
            </w:pPr>
            <w:r>
              <w:rPr>
                <w:rFonts w:ascii="宋体"/>
                <w:w w:val="90"/>
                <w:sz w:val="12"/>
              </w:rPr>
              <w:t>(4,125,161,644)</w:t>
            </w:r>
            <w:r>
              <w:rPr>
                <w:rFonts w:ascii="宋体"/>
                <w:sz w:val="12"/>
              </w:rPr>
            </w:r>
          </w:p>
        </w:tc>
        <w:tc>
          <w:tcPr>
            <w:tcW w:w="389" w:type="dxa"/>
            <w:tcBorders>
              <w:top w:val="nil" w:sz="6" w:space="0" w:color="auto"/>
              <w:left w:val="nil" w:sz="6" w:space="0" w:color="auto"/>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8"/>
              <w:jc w:val="center"/>
              <w:rPr>
                <w:rFonts w:ascii="宋体" w:hAnsi="宋体" w:cs="宋体" w:eastAsia="宋体" w:hint="default"/>
                <w:sz w:val="12"/>
                <w:szCs w:val="12"/>
              </w:rPr>
            </w:pPr>
            <w:r>
              <w:rPr>
                <w:rFonts w:ascii="宋体"/>
                <w:w w:val="131"/>
                <w:sz w:val="12"/>
              </w:rPr>
              <w:t>-</w:t>
            </w:r>
            <w:r>
              <w:rPr>
                <w:rFonts w:ascii="宋体"/>
                <w:sz w:val="12"/>
              </w:rPr>
            </w:r>
          </w:p>
        </w:tc>
      </w:tr>
      <w:tr>
        <w:trPr>
          <w:trHeight w:val="350" w:hRule="exact"/>
        </w:trPr>
        <w:tc>
          <w:tcPr>
            <w:tcW w:w="1247"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28"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894" w:type="dxa"/>
            <w:tcBorders>
              <w:top w:val="single" w:sz="6" w:space="0" w:color="000000"/>
              <w:left w:val="nil" w:sz="6" w:space="0" w:color="auto"/>
              <w:bottom w:val="nil" w:sz="6" w:space="0" w:color="auto"/>
              <w:right w:val="nil" w:sz="6" w:space="0" w:color="auto"/>
            </w:tcBorders>
          </w:tcPr>
          <w:p>
            <w:pPr/>
          </w:p>
        </w:tc>
        <w:tc>
          <w:tcPr>
            <w:tcW w:w="661" w:type="dxa"/>
            <w:tcBorders>
              <w:top w:val="single" w:sz="6" w:space="0" w:color="000000"/>
              <w:left w:val="nil" w:sz="6" w:space="0" w:color="auto"/>
              <w:bottom w:val="nil" w:sz="6" w:space="0" w:color="auto"/>
              <w:right w:val="nil" w:sz="6" w:space="0" w:color="auto"/>
            </w:tcBorders>
          </w:tcPr>
          <w:p>
            <w:pPr/>
          </w:p>
        </w:tc>
        <w:tc>
          <w:tcPr>
            <w:tcW w:w="606" w:type="dxa"/>
            <w:tcBorders>
              <w:top w:val="single" w:sz="6" w:space="0" w:color="000000"/>
              <w:left w:val="nil" w:sz="6" w:space="0" w:color="auto"/>
              <w:bottom w:val="nil" w:sz="6" w:space="0" w:color="auto"/>
              <w:right w:val="nil" w:sz="6" w:space="0" w:color="auto"/>
            </w:tcBorders>
          </w:tcPr>
          <w:p>
            <w:pPr/>
          </w:p>
        </w:tc>
        <w:tc>
          <w:tcPr>
            <w:tcW w:w="650" w:type="dxa"/>
            <w:tcBorders>
              <w:top w:val="single" w:sz="6" w:space="0" w:color="000000"/>
              <w:left w:val="nil" w:sz="6" w:space="0" w:color="auto"/>
              <w:bottom w:val="nil" w:sz="6" w:space="0" w:color="auto"/>
              <w:right w:val="nil" w:sz="6" w:space="0" w:color="auto"/>
            </w:tcBorders>
          </w:tcPr>
          <w:p>
            <w:pPr/>
          </w:p>
        </w:tc>
        <w:tc>
          <w:tcPr>
            <w:tcW w:w="982"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114"/>
              <w:jc w:val="right"/>
              <w:rPr>
                <w:rFonts w:ascii="宋体" w:hAnsi="宋体" w:cs="宋体" w:eastAsia="宋体" w:hint="default"/>
                <w:sz w:val="12"/>
                <w:szCs w:val="12"/>
              </w:rPr>
            </w:pPr>
            <w:r>
              <w:rPr>
                <w:rFonts w:ascii="宋体"/>
                <w:w w:val="95"/>
                <w:sz w:val="12"/>
              </w:rPr>
              <w:t>9,000,000,000</w:t>
            </w:r>
            <w:r>
              <w:rPr>
                <w:rFonts w:ascii="宋体"/>
                <w:sz w:val="12"/>
              </w:rPr>
            </w:r>
          </w:p>
        </w:tc>
        <w:tc>
          <w:tcPr>
            <w:tcW w:w="948"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51" w:right="0"/>
              <w:jc w:val="center"/>
              <w:rPr>
                <w:rFonts w:ascii="宋体" w:hAnsi="宋体" w:cs="宋体" w:eastAsia="宋体" w:hint="default"/>
                <w:sz w:val="12"/>
                <w:szCs w:val="12"/>
              </w:rPr>
            </w:pPr>
            <w:r>
              <w:rPr>
                <w:rFonts w:ascii="宋体"/>
                <w:sz w:val="12"/>
              </w:rPr>
              <w:t>9,147,693,059</w:t>
            </w:r>
          </w:p>
        </w:tc>
        <w:tc>
          <w:tcPr>
            <w:tcW w:w="383"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145" w:right="0"/>
              <w:jc w:val="left"/>
              <w:rPr>
                <w:rFonts w:ascii="宋体" w:hAnsi="宋体" w:cs="宋体" w:eastAsia="宋体" w:hint="default"/>
                <w:sz w:val="12"/>
                <w:szCs w:val="12"/>
              </w:rPr>
            </w:pPr>
            <w:r>
              <w:rPr>
                <w:rFonts w:ascii="宋体"/>
                <w:w w:val="131"/>
                <w:sz w:val="12"/>
              </w:rPr>
              <w:t>-</w:t>
            </w:r>
            <w:r>
              <w:rPr>
                <w:rFonts w:ascii="宋体"/>
                <w:sz w:val="12"/>
              </w:rPr>
            </w:r>
          </w:p>
        </w:tc>
        <w:tc>
          <w:tcPr>
            <w:tcW w:w="813"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66"/>
              <w:jc w:val="right"/>
              <w:rPr>
                <w:rFonts w:ascii="宋体" w:hAnsi="宋体" w:cs="宋体" w:eastAsia="宋体" w:hint="default"/>
                <w:sz w:val="12"/>
                <w:szCs w:val="12"/>
              </w:rPr>
            </w:pPr>
            <w:r>
              <w:rPr>
                <w:rFonts w:ascii="宋体"/>
                <w:sz w:val="12"/>
              </w:rPr>
              <w:t>126,751,233</w:t>
            </w:r>
          </w:p>
        </w:tc>
        <w:tc>
          <w:tcPr>
            <w:tcW w:w="751"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80"/>
              <w:jc w:val="right"/>
              <w:rPr>
                <w:rFonts w:ascii="宋体" w:hAnsi="宋体" w:cs="宋体" w:eastAsia="宋体" w:hint="default"/>
                <w:sz w:val="12"/>
                <w:szCs w:val="12"/>
              </w:rPr>
            </w:pPr>
            <w:r>
              <w:rPr>
                <w:rFonts w:ascii="宋体"/>
                <w:w w:val="95"/>
                <w:sz w:val="12"/>
              </w:rPr>
              <w:t>9,166,667</w:t>
            </w:r>
            <w:r>
              <w:rPr>
                <w:rFonts w:ascii="宋体"/>
                <w:sz w:val="12"/>
              </w:rPr>
            </w:r>
          </w:p>
        </w:tc>
        <w:tc>
          <w:tcPr>
            <w:tcW w:w="974"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56"/>
              <w:jc w:val="right"/>
              <w:rPr>
                <w:rFonts w:ascii="宋体" w:hAnsi="宋体" w:cs="宋体" w:eastAsia="宋体" w:hint="default"/>
                <w:sz w:val="12"/>
                <w:szCs w:val="12"/>
              </w:rPr>
            </w:pPr>
            <w:r>
              <w:rPr>
                <w:rFonts w:ascii="宋体"/>
                <w:w w:val="90"/>
                <w:sz w:val="12"/>
              </w:rPr>
              <w:t>(9,283,610,959)</w:t>
            </w:r>
            <w:r>
              <w:rPr>
                <w:rFonts w:ascii="宋体"/>
                <w:sz w:val="12"/>
              </w:rPr>
            </w:r>
          </w:p>
        </w:tc>
        <w:tc>
          <w:tcPr>
            <w:tcW w:w="389"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28"/>
              <w:jc w:val="center"/>
              <w:rPr>
                <w:rFonts w:ascii="宋体" w:hAnsi="宋体" w:cs="宋体" w:eastAsia="宋体" w:hint="default"/>
                <w:sz w:val="12"/>
                <w:szCs w:val="12"/>
              </w:rPr>
            </w:pPr>
            <w:r>
              <w:rPr>
                <w:rFonts w:ascii="宋体"/>
                <w:w w:val="131"/>
                <w:sz w:val="12"/>
              </w:rPr>
              <w:t>-</w:t>
            </w:r>
            <w:r>
              <w:rPr>
                <w:rFonts w:ascii="宋体"/>
                <w:sz w:val="12"/>
              </w:rPr>
            </w:r>
          </w:p>
        </w:tc>
      </w:tr>
    </w:tbl>
    <w:p>
      <w:pPr>
        <w:spacing w:line="240" w:lineRule="auto" w:before="3"/>
        <w:rPr>
          <w:rFonts w:ascii="宋体" w:hAnsi="宋体" w:cs="宋体" w:eastAsia="宋体" w:hint="default"/>
          <w:sz w:val="4"/>
          <w:szCs w:val="4"/>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261;height:2" coordorigin="20,20" coordsize="1261,2">
              <v:shape style="position:absolute;left:20;top:20;width:1261;height:2" coordorigin="20,20" coordsize="1261,0" path="m20,20l1281,20e" filled="false" stroked="true" strokeweight="2pt" strokecolor="#9f8958">
                <v:path arrowok="t"/>
              </v:shape>
            </v:group>
            <v:group style="position:absolute;left:1281;top:20;width:864;height:2" coordorigin="1281,20" coordsize="864,2">
              <v:shape style="position:absolute;left:1281;top:20;width:864;height:2" coordorigin="1281,20" coordsize="864,0" path="m1281,20l2144,20e" filled="false" stroked="true" strokeweight="2pt" strokecolor="#9f8958">
                <v:path arrowok="t"/>
              </v:shape>
            </v:group>
            <v:group style="position:absolute;left:2144;top:20;width:621;height:2" coordorigin="2144,20" coordsize="621,2">
              <v:shape style="position:absolute;left:2144;top:20;width:621;height:2" coordorigin="2144,20" coordsize="621,0" path="m2144,20l2764,20e" filled="false" stroked="true" strokeweight="2pt" strokecolor="#9f8958">
                <v:path arrowok="t"/>
              </v:shape>
            </v:group>
            <v:group style="position:absolute;left:2764;top:20;width:621;height:2" coordorigin="2764,20" coordsize="621,2">
              <v:shape style="position:absolute;left:2764;top:20;width:621;height:2" coordorigin="2764,20" coordsize="621,0" path="m2764,20l3385,20e" filled="false" stroked="true" strokeweight="2pt" strokecolor="#9f8958">
                <v:path arrowok="t"/>
              </v:shape>
            </v:group>
            <v:group style="position:absolute;left:3385;top:20;width:621;height:2" coordorigin="3385,20" coordsize="621,2">
              <v:shape style="position:absolute;left:3385;top:20;width:621;height:2" coordorigin="3385,20" coordsize="621,0" path="m3385,20l4006,20e" filled="false" stroked="true" strokeweight="2pt" strokecolor="#9f8958">
                <v:path arrowok="t"/>
              </v:shape>
            </v:group>
            <v:group style="position:absolute;left:4006;top:20;width:966;height:2" coordorigin="4006,20" coordsize="966,2">
              <v:shape style="position:absolute;left:4006;top:20;width:966;height:2" coordorigin="4006,20" coordsize="966,0" path="m4006,20l4971,20e" filled="false" stroked="true" strokeweight="2pt" strokecolor="#9f8958">
                <v:path arrowok="t"/>
              </v:shape>
            </v:group>
            <v:group style="position:absolute;left:4971;top:20;width:1000;height:2" coordorigin="4971,20" coordsize="1000,2">
              <v:shape style="position:absolute;left:4971;top:20;width:1000;height:2" coordorigin="4971,20" coordsize="1000,0" path="m4971,20l5970,20e" filled="false" stroked="true" strokeweight="2pt" strokecolor="#9f8958">
                <v:path arrowok="t"/>
              </v:shape>
            </v:group>
            <v:group style="position:absolute;left:5970;top:20;width:445;height:2" coordorigin="5970,20" coordsize="445,2">
              <v:shape style="position:absolute;left:5970;top:20;width:445;height:2" coordorigin="5970,20" coordsize="445,0" path="m5970,20l6415,20e" filled="false" stroked="true" strokeweight="2pt" strokecolor="#9f8958">
                <v:path arrowok="t"/>
              </v:shape>
            </v:group>
            <v:group style="position:absolute;left:6415;top:20;width:749;height:2" coordorigin="6415,20" coordsize="749,2">
              <v:shape style="position:absolute;left:6415;top:20;width:749;height:2" coordorigin="6415,20" coordsize="749,0" path="m6415,20l7163,20e" filled="false" stroked="true" strokeweight="2pt" strokecolor="#9f8958">
                <v:path arrowok="t"/>
              </v:shape>
            </v:group>
            <v:group style="position:absolute;left:7163;top:20;width:737;height:2" coordorigin="7163,20" coordsize="737,2">
              <v:shape style="position:absolute;left:7163;top:20;width:737;height:2" coordorigin="7163,20" coordsize="737,0" path="m7163,20l7900,20e" filled="false" stroked="true" strokeweight="2pt" strokecolor="#9f8958">
                <v:path arrowok="t"/>
              </v:shape>
            </v:group>
            <v:group style="position:absolute;left:7900;top:20;width:998;height:2" coordorigin="7900,20" coordsize="998,2">
              <v:shape style="position:absolute;left:7900;top:20;width:998;height:2" coordorigin="7900,20" coordsize="998,0" path="m7900,20l8898,20e" filled="false" stroked="true" strokeweight="2pt" strokecolor="#9f8958">
                <v:path arrowok="t"/>
              </v:shape>
            </v:group>
            <v:group style="position:absolute;left:8898;top:20;width:420;height:2" coordorigin="8898,20" coordsize="420,2">
              <v:shape style="position:absolute;left:8898;top:20;width:420;height:2" coordorigin="8898,20" coordsize="420,0" path="m8898,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285" w:lineRule="auto" w:before="31"/>
        <w:ind w:left="964" w:right="0" w:hanging="511"/>
        <w:jc w:val="left"/>
      </w:pPr>
      <w:r>
        <w:rPr/>
        <w:t>注</w:t>
      </w:r>
      <w:r>
        <w:rPr>
          <w:spacing w:val="-12"/>
        </w:rPr>
        <w:t> </w:t>
      </w:r>
      <w:r>
        <w:rPr>
          <w:spacing w:val="2"/>
        </w:rPr>
        <w:t>1：其他流动负债为本集团所属联通运营公司面向银行间债券市场发行的超短期融资券，均无担保，并于到期按面</w:t>
      </w:r>
      <w:r>
        <w:rPr>
          <w:spacing w:val="-74"/>
        </w:rPr>
        <w:t> </w:t>
      </w:r>
      <w:r>
        <w:rPr>
          <w:spacing w:val="-74"/>
        </w:rPr>
      </w:r>
      <w:r>
        <w:rPr/>
        <w:t>值加利息兑付。</w:t>
      </w:r>
    </w:p>
    <w:p>
      <w:pPr>
        <w:spacing w:line="240" w:lineRule="auto" w:before="10"/>
        <w:rPr>
          <w:rFonts w:ascii="宋体" w:hAnsi="宋体" w:cs="宋体" w:eastAsia="宋体" w:hint="default"/>
          <w:sz w:val="13"/>
          <w:szCs w:val="13"/>
        </w:rPr>
      </w:pPr>
    </w:p>
    <w:p>
      <w:pPr>
        <w:pStyle w:val="BodyText"/>
        <w:spacing w:line="458" w:lineRule="auto"/>
        <w:ind w:left="113" w:right="4756" w:firstLine="340"/>
        <w:jc w:val="left"/>
      </w:pPr>
      <w:r>
        <w:rPr>
          <w:w w:val="95"/>
        </w:rPr>
        <w:t>注 2：余额包含了附注五 (22)(a)</w:t>
      </w:r>
      <w:r>
        <w:rPr>
          <w:spacing w:val="-26"/>
          <w:w w:val="95"/>
        </w:rPr>
        <w:t> </w:t>
      </w:r>
      <w:r>
        <w:rPr>
          <w:w w:val="95"/>
        </w:rPr>
        <w:t>列示的应付短期债券利息。</w:t>
      </w:r>
      <w:r>
        <w:rPr/>
        <w:t> 25、长期借款</w:t>
      </w:r>
    </w:p>
    <w:p>
      <w:pPr>
        <w:spacing w:line="240" w:lineRule="auto" w:before="11"/>
        <w:rPr>
          <w:rFonts w:ascii="宋体" w:hAnsi="宋体" w:cs="宋体" w:eastAsia="宋体" w:hint="default"/>
          <w:sz w:val="4"/>
          <w:szCs w:val="4"/>
        </w:rPr>
      </w:pPr>
    </w:p>
    <w:tbl>
      <w:tblPr>
        <w:tblW w:w="0" w:type="auto"/>
        <w:jc w:val="left"/>
        <w:tblInd w:w="434" w:type="dxa"/>
        <w:tblLayout w:type="fixed"/>
        <w:tblCellMar>
          <w:top w:w="0" w:type="dxa"/>
          <w:left w:w="0" w:type="dxa"/>
          <w:bottom w:w="0" w:type="dxa"/>
          <w:right w:w="0" w:type="dxa"/>
        </w:tblCellMar>
        <w:tblLook w:val="01E0"/>
      </w:tblPr>
      <w:tblGrid>
        <w:gridCol w:w="2498"/>
        <w:gridCol w:w="1596"/>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542"/>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098"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49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保证借款</w:t>
            </w:r>
          </w:p>
        </w:tc>
        <w:tc>
          <w:tcPr>
            <w:tcW w:w="159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345" w:right="0"/>
              <w:jc w:val="center"/>
              <w:rPr>
                <w:rFonts w:ascii="宋体" w:hAnsi="宋体" w:cs="宋体" w:eastAsia="宋体" w:hint="default"/>
                <w:sz w:val="16"/>
                <w:szCs w:val="16"/>
              </w:rPr>
            </w:pPr>
            <w:r>
              <w:rPr>
                <w:rFonts w:ascii="宋体"/>
                <w:w w:val="80"/>
                <w:sz w:val="16"/>
              </w:rPr>
              <w:t>(a)</w:t>
            </w:r>
            <w:r>
              <w:rPr>
                <w:rFonts w:ascii="宋体"/>
                <w:sz w:val="16"/>
              </w:rPr>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95,735,474</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601" w:right="0"/>
              <w:jc w:val="left"/>
              <w:rPr>
                <w:rFonts w:ascii="宋体" w:hAnsi="宋体" w:cs="宋体" w:eastAsia="宋体" w:hint="default"/>
                <w:sz w:val="16"/>
                <w:szCs w:val="16"/>
              </w:rPr>
            </w:pPr>
            <w:r>
              <w:rPr>
                <w:rFonts w:ascii="宋体"/>
                <w:sz w:val="16"/>
              </w:rPr>
              <w:t>104,987,640</w:t>
            </w:r>
          </w:p>
        </w:tc>
      </w:tr>
      <w:tr>
        <w:trPr>
          <w:trHeight w:val="273" w:hRule="exact"/>
        </w:trPr>
        <w:tc>
          <w:tcPr>
            <w:tcW w:w="249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信用借款</w:t>
            </w:r>
          </w:p>
        </w:tc>
        <w:tc>
          <w:tcPr>
            <w:tcW w:w="1596" w:type="dxa"/>
            <w:tcBorders>
              <w:top w:val="nil" w:sz="6" w:space="0" w:color="auto"/>
              <w:left w:val="nil" w:sz="6" w:space="0" w:color="auto"/>
              <w:bottom w:val="nil" w:sz="6" w:space="0" w:color="auto"/>
              <w:right w:val="nil" w:sz="6" w:space="0" w:color="auto"/>
            </w:tcBorders>
          </w:tcPr>
          <w:p>
            <w:pPr>
              <w:pStyle w:val="TableParagraph"/>
              <w:spacing w:line="205" w:lineRule="exact"/>
              <w:ind w:left="345" w:right="0"/>
              <w:jc w:val="center"/>
              <w:rPr>
                <w:rFonts w:ascii="宋体" w:hAnsi="宋体" w:cs="宋体" w:eastAsia="宋体" w:hint="default"/>
                <w:sz w:val="16"/>
                <w:szCs w:val="16"/>
              </w:rPr>
            </w:pPr>
            <w:r>
              <w:rPr>
                <w:rFonts w:ascii="宋体"/>
                <w:w w:val="85"/>
                <w:sz w:val="16"/>
              </w:rPr>
              <w:t>(b)</w:t>
            </w:r>
            <w:r>
              <w:rPr>
                <w:rFonts w:ascii="宋体"/>
                <w:sz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3,518,253,860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left="1468" w:right="0"/>
              <w:jc w:val="left"/>
              <w:rPr>
                <w:rFonts w:ascii="宋体" w:hAnsi="宋体" w:cs="宋体" w:eastAsia="宋体" w:hint="default"/>
                <w:sz w:val="16"/>
                <w:szCs w:val="16"/>
              </w:rPr>
            </w:pPr>
            <w:r>
              <w:rPr>
                <w:rFonts w:ascii="宋体"/>
                <w:sz w:val="16"/>
              </w:rPr>
              <w:t>3,777,816,483</w:t>
            </w:r>
          </w:p>
        </w:tc>
      </w:tr>
      <w:tr>
        <w:trPr>
          <w:trHeight w:val="331" w:hRule="exact"/>
        </w:trPr>
        <w:tc>
          <w:tcPr>
            <w:tcW w:w="2498"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596" w:type="dxa"/>
            <w:tcBorders>
              <w:top w:val="nil" w:sz="6" w:space="0" w:color="auto"/>
              <w:left w:val="nil" w:sz="6" w:space="0" w:color="auto"/>
              <w:bottom w:val="single" w:sz="6" w:space="0" w:color="000000"/>
              <w:right w:val="nil" w:sz="6" w:space="0" w:color="auto"/>
            </w:tcBorders>
          </w:tcPr>
          <w:p>
            <w:pP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3,613,989,334</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left="1468" w:right="0"/>
              <w:jc w:val="left"/>
              <w:rPr>
                <w:rFonts w:ascii="宋体" w:hAnsi="宋体" w:cs="宋体" w:eastAsia="宋体" w:hint="default"/>
                <w:sz w:val="16"/>
                <w:szCs w:val="16"/>
              </w:rPr>
            </w:pPr>
            <w:r>
              <w:rPr>
                <w:rFonts w:ascii="宋体"/>
                <w:sz w:val="16"/>
              </w:rPr>
              <w:t>3,882,804,123</w:t>
            </w:r>
          </w:p>
        </w:tc>
      </w:tr>
      <w:tr>
        <w:trPr>
          <w:trHeight w:val="407" w:hRule="exact"/>
        </w:trPr>
        <w:tc>
          <w:tcPr>
            <w:tcW w:w="2498"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0"/>
              <w:jc w:val="left"/>
              <w:rPr>
                <w:rFonts w:ascii="宋体" w:hAnsi="宋体" w:cs="宋体" w:eastAsia="宋体" w:hint="default"/>
                <w:sz w:val="16"/>
                <w:szCs w:val="16"/>
              </w:rPr>
            </w:pPr>
            <w:r>
              <w:rPr>
                <w:rFonts w:ascii="宋体" w:hAnsi="宋体" w:cs="宋体" w:eastAsia="宋体" w:hint="default"/>
                <w:sz w:val="16"/>
                <w:szCs w:val="16"/>
              </w:rPr>
              <w:t>减：一年内到期的长期借款</w:t>
            </w:r>
          </w:p>
        </w:tc>
        <w:tc>
          <w:tcPr>
            <w:tcW w:w="1596"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345" w:right="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(23)</w:t>
            </w:r>
            <w:r>
              <w:rPr>
                <w:rFonts w:ascii="宋体" w:hAnsi="宋体" w:cs="宋体" w:eastAsia="宋体" w:hint="default"/>
                <w:sz w:val="16"/>
                <w:szCs w:val="16"/>
              </w:rPr>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
              <w:jc w:val="right"/>
              <w:rPr>
                <w:rFonts w:ascii="宋体" w:hAnsi="宋体" w:cs="宋体" w:eastAsia="宋体" w:hint="default"/>
                <w:sz w:val="16"/>
                <w:szCs w:val="16"/>
              </w:rPr>
            </w:pPr>
            <w:r>
              <w:rPr>
                <w:rFonts w:ascii="宋体"/>
                <w:w w:val="90"/>
                <w:sz w:val="16"/>
              </w:rPr>
              <w:t>(440,816,358)</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
              <w:jc w:val="right"/>
              <w:rPr>
                <w:rFonts w:ascii="宋体" w:hAnsi="宋体" w:cs="宋体" w:eastAsia="宋体" w:hint="default"/>
                <w:sz w:val="16"/>
                <w:szCs w:val="16"/>
              </w:rPr>
            </w:pPr>
            <w:r>
              <w:rPr>
                <w:rFonts w:ascii="宋体"/>
                <w:w w:val="90"/>
                <w:sz w:val="16"/>
              </w:rPr>
              <w:t>(409,681,186)</w:t>
            </w:r>
            <w:r>
              <w:rPr>
                <w:rFonts w:ascii="宋体"/>
                <w:sz w:val="16"/>
              </w:rPr>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
              <w:jc w:val="right"/>
              <w:rPr>
                <w:rFonts w:ascii="宋体" w:hAnsi="宋体" w:cs="宋体" w:eastAsia="宋体" w:hint="default"/>
                <w:sz w:val="16"/>
                <w:szCs w:val="16"/>
              </w:rPr>
            </w:pPr>
            <w:r>
              <w:rPr>
                <w:rFonts w:ascii="宋体"/>
                <w:w w:val="95"/>
                <w:sz w:val="16"/>
              </w:rPr>
              <w:t>3,173,172,976</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
              <w:jc w:val="right"/>
              <w:rPr>
                <w:rFonts w:ascii="宋体" w:hAnsi="宋体" w:cs="宋体" w:eastAsia="宋体" w:hint="default"/>
                <w:sz w:val="16"/>
                <w:szCs w:val="16"/>
              </w:rPr>
            </w:pPr>
            <w:r>
              <w:rPr>
                <w:rFonts w:ascii="宋体"/>
                <w:w w:val="95"/>
                <w:sz w:val="16"/>
              </w:rPr>
              <w:t>3,473,122,937</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98" w:right="93"/>
        <w:jc w:val="center"/>
      </w:pPr>
      <w:r>
        <w:rPr/>
        <w:t>(a)</w:t>
      </w:r>
      <w:r>
        <w:rPr>
          <w:spacing w:val="77"/>
        </w:rPr>
        <w:t> </w:t>
      </w:r>
      <w:r>
        <w:rPr/>
        <w:t>于</w:t>
      </w:r>
      <w:r>
        <w:rPr>
          <w:spacing w:val="-48"/>
        </w:rPr>
        <w:t> </w:t>
      </w:r>
      <w:r>
        <w:rPr/>
        <w:t>2018</w:t>
      </w:r>
      <w:r>
        <w:rPr>
          <w:spacing w:val="-48"/>
        </w:rPr>
        <w:t> </w:t>
      </w:r>
      <w:r>
        <w:rPr/>
        <w:t>年</w:t>
      </w:r>
      <w:r>
        <w:rPr>
          <w:spacing w:val="-48"/>
        </w:rPr>
        <w:t> </w:t>
      </w:r>
      <w:r>
        <w:rPr/>
        <w:t>12</w:t>
      </w:r>
      <w:r>
        <w:rPr>
          <w:spacing w:val="-48"/>
        </w:rPr>
        <w:t> </w:t>
      </w:r>
      <w:r>
        <w:rPr/>
        <w:t>月</w:t>
      </w:r>
      <w:r>
        <w:rPr>
          <w:spacing w:val="-48"/>
        </w:rPr>
        <w:t> </w:t>
      </w:r>
      <w:r>
        <w:rPr/>
        <w:t>31</w:t>
      </w:r>
      <w:r>
        <w:rPr>
          <w:spacing w:val="-48"/>
        </w:rPr>
        <w:t> </w:t>
      </w:r>
      <w:r>
        <w:rPr>
          <w:spacing w:val="-3"/>
        </w:rPr>
        <w:t>日，保证借款包括由第三方提供担保的借款（含一年内）约人民币</w:t>
      </w:r>
      <w:r>
        <w:rPr>
          <w:spacing w:val="-48"/>
        </w:rPr>
        <w:t> </w:t>
      </w:r>
      <w:r>
        <w:rPr/>
        <w:t>0.96</w:t>
      </w:r>
      <w:r>
        <w:rPr>
          <w:spacing w:val="-48"/>
        </w:rPr>
        <w:t> </w:t>
      </w:r>
      <w:r>
        <w:rPr>
          <w:spacing w:val="-4"/>
        </w:rPr>
        <w:t>亿元（2017</w:t>
      </w:r>
      <w:r>
        <w:rPr>
          <w:spacing w:val="-48"/>
        </w:rPr>
        <w:t> </w:t>
      </w:r>
      <w:r>
        <w:rPr/>
        <w:t>年</w:t>
      </w:r>
      <w:r>
        <w:rPr>
          <w:spacing w:val="-48"/>
        </w:rPr>
        <w:t> </w:t>
      </w:r>
      <w:r>
        <w:rPr/>
        <w:t>12</w:t>
      </w:r>
      <w:r>
        <w:rPr>
          <w:spacing w:val="-48"/>
        </w:rPr>
        <w:t> </w:t>
      </w:r>
      <w:r>
        <w:rPr/>
        <w:t>月</w:t>
      </w:r>
      <w:r>
        <w:rPr>
          <w:spacing w:val="-48"/>
        </w:rPr>
        <w:t> </w:t>
      </w:r>
      <w:r>
        <w:rPr/>
        <w:t>31</w:t>
      </w:r>
      <w:r>
        <w:rPr>
          <w:spacing w:val="-48"/>
        </w:rPr>
        <w:t> </w:t>
      </w:r>
      <w:r>
        <w:rPr>
          <w:spacing w:val="-7"/>
        </w:rPr>
        <w:t>日：</w:t>
      </w:r>
    </w:p>
    <w:p>
      <w:pPr>
        <w:pStyle w:val="BodyText"/>
        <w:spacing w:line="240" w:lineRule="auto" w:before="44"/>
        <w:ind w:right="0"/>
        <w:jc w:val="left"/>
      </w:pPr>
      <w:r>
        <w:rPr/>
        <w:t>约人民币</w:t>
      </w:r>
      <w:r>
        <w:rPr>
          <w:spacing w:val="-51"/>
        </w:rPr>
        <w:t> </w:t>
      </w:r>
      <w:r>
        <w:rPr/>
        <w:t>1.05</w:t>
      </w:r>
      <w:r>
        <w:rPr>
          <w:spacing w:val="-52"/>
        </w:rPr>
        <w:t> </w:t>
      </w:r>
      <w:r>
        <w:rPr/>
        <w:t>亿元）。</w:t>
      </w:r>
    </w:p>
    <w:p>
      <w:pPr>
        <w:spacing w:line="240" w:lineRule="auto" w:before="5"/>
        <w:rPr>
          <w:rFonts w:ascii="宋体" w:hAnsi="宋体" w:cs="宋体" w:eastAsia="宋体" w:hint="default"/>
          <w:sz w:val="16"/>
          <w:szCs w:val="16"/>
        </w:rPr>
      </w:pPr>
    </w:p>
    <w:p>
      <w:pPr>
        <w:pStyle w:val="BodyText"/>
        <w:spacing w:line="240" w:lineRule="auto"/>
        <w:ind w:left="57" w:right="93"/>
        <w:jc w:val="center"/>
      </w:pPr>
      <w:r>
        <w:rPr>
          <w:w w:val="55"/>
        </w:rPr>
        <w:t>(</w:t>
      </w:r>
      <w:r>
        <w:rPr>
          <w:spacing w:val="-1"/>
          <w:w w:val="111"/>
        </w:rPr>
        <w:t>b</w:t>
      </w:r>
      <w:r>
        <w:rPr>
          <w:w w:val="55"/>
        </w:rPr>
        <w:t>)</w:t>
      </w:r>
      <w:r>
        <w:rPr/>
        <w:t> </w:t>
      </w:r>
      <w:r>
        <w:rPr>
          <w:spacing w:val="-40"/>
        </w:rPr>
        <w:t> </w:t>
      </w:r>
      <w:r>
        <w:rPr/>
        <w:t>于</w:t>
      </w:r>
      <w:r>
        <w:rPr>
          <w:spacing w:val="-45"/>
        </w:rPr>
        <w:t> </w:t>
      </w:r>
      <w:r>
        <w:rPr>
          <w:spacing w:val="-1"/>
          <w:w w:val="111"/>
        </w:rPr>
        <w:t>201</w:t>
      </w:r>
      <w:r>
        <w:rPr>
          <w:w w:val="111"/>
        </w:rPr>
        <w:t>8</w:t>
      </w:r>
      <w:r>
        <w:rPr>
          <w:spacing w:val="-45"/>
        </w:rPr>
        <w:t> </w:t>
      </w:r>
      <w:r>
        <w:rPr/>
        <w:t>年</w:t>
      </w:r>
      <w:r>
        <w:rPr>
          <w:spacing w:val="-45"/>
        </w:rPr>
        <w:t> </w:t>
      </w:r>
      <w:r>
        <w:rPr>
          <w:spacing w:val="-1"/>
          <w:w w:val="111"/>
        </w:rPr>
        <w:t>1</w:t>
      </w:r>
      <w:r>
        <w:rPr>
          <w:w w:val="111"/>
        </w:rPr>
        <w:t>2</w:t>
      </w:r>
      <w:r>
        <w:rPr>
          <w:spacing w:val="-45"/>
        </w:rPr>
        <w:t> </w:t>
      </w:r>
      <w:r>
        <w:rPr/>
        <w:t>月</w:t>
      </w:r>
      <w:r>
        <w:rPr>
          <w:spacing w:val="-45"/>
        </w:rPr>
        <w:t> </w:t>
      </w:r>
      <w:r>
        <w:rPr>
          <w:spacing w:val="-1"/>
          <w:w w:val="111"/>
        </w:rPr>
        <w:t>3</w:t>
      </w:r>
      <w:r>
        <w:rPr>
          <w:w w:val="111"/>
        </w:rPr>
        <w:t>1</w:t>
      </w:r>
      <w:r>
        <w:rPr>
          <w:spacing w:val="-45"/>
        </w:rPr>
        <w:t> </w:t>
      </w:r>
      <w:r>
        <w:rPr/>
        <w:t>日</w:t>
      </w:r>
      <w:r>
        <w:rPr>
          <w:spacing w:val="3"/>
        </w:rPr>
        <w:t>，信用借款包括由国开发展基金有限公司和中国农发重点建设基金有限公司提供的政策性优惠</w:t>
      </w:r>
      <w:r>
        <w:rPr/>
      </w:r>
    </w:p>
    <w:p>
      <w:pPr>
        <w:pStyle w:val="BodyText"/>
        <w:spacing w:line="240" w:lineRule="auto" w:before="44"/>
        <w:ind w:left="217" w:right="93"/>
        <w:jc w:val="center"/>
      </w:pPr>
      <w:r>
        <w:rPr/>
        <w:t>贷款约人民币</w:t>
      </w:r>
      <w:r>
        <w:rPr>
          <w:spacing w:val="-37"/>
        </w:rPr>
        <w:t> </w:t>
      </w:r>
      <w:r>
        <w:rPr/>
        <w:t>32.99</w:t>
      </w:r>
      <w:r>
        <w:rPr>
          <w:spacing w:val="-38"/>
        </w:rPr>
        <w:t> </w:t>
      </w:r>
      <w:r>
        <w:rPr/>
        <w:t>亿元，主要用于中小城市和乡村基础网络建设（2017</w:t>
      </w:r>
      <w:r>
        <w:rPr>
          <w:spacing w:val="-38"/>
        </w:rPr>
        <w:t> </w:t>
      </w:r>
      <w:r>
        <w:rPr/>
        <w:t>年</w:t>
      </w:r>
      <w:r>
        <w:rPr>
          <w:spacing w:val="-37"/>
        </w:rPr>
        <w:t> </w:t>
      </w:r>
      <w:r>
        <w:rPr/>
        <w:t>12</w:t>
      </w:r>
      <w:r>
        <w:rPr>
          <w:spacing w:val="-38"/>
        </w:rPr>
        <w:t> </w:t>
      </w:r>
      <w:r>
        <w:rPr/>
        <w:t>月</w:t>
      </w:r>
      <w:r>
        <w:rPr>
          <w:spacing w:val="-37"/>
        </w:rPr>
        <w:t> </w:t>
      </w:r>
      <w:r>
        <w:rPr/>
        <w:t>31</w:t>
      </w:r>
      <w:r>
        <w:rPr>
          <w:spacing w:val="-38"/>
        </w:rPr>
        <w:t> </w:t>
      </w:r>
      <w:r>
        <w:rPr/>
        <w:t>日：约人民币</w:t>
      </w:r>
      <w:r>
        <w:rPr>
          <w:spacing w:val="-37"/>
        </w:rPr>
        <w:t> </w:t>
      </w:r>
      <w:r>
        <w:rPr/>
        <w:t>35.32</w:t>
      </w:r>
      <w:r>
        <w:rPr>
          <w:spacing w:val="-38"/>
        </w:rPr>
        <w:t> </w:t>
      </w:r>
      <w:r>
        <w:rPr/>
        <w:t>亿元）。</w:t>
      </w:r>
    </w:p>
    <w:p>
      <w:pPr>
        <w:spacing w:after="0" w:line="240" w:lineRule="auto"/>
        <w:jc w:val="center"/>
        <w:sectPr>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453" w:right="7272" w:hanging="341"/>
        <w:jc w:val="left"/>
      </w:pPr>
      <w:r>
        <w:rPr/>
        <w:t>25、长期借款（续）</w:t>
      </w:r>
      <w:r>
        <w:rPr>
          <w:spacing w:val="-71"/>
        </w:rPr>
        <w:t> </w:t>
      </w:r>
      <w:r>
        <w:rPr/>
        <w:t>长期借款到期日分析如下：</w:t>
      </w:r>
    </w:p>
    <w:p>
      <w:pPr>
        <w:spacing w:line="240" w:lineRule="auto" w:before="7"/>
        <w:rPr>
          <w:rFonts w:ascii="宋体" w:hAnsi="宋体" w:cs="宋体" w:eastAsia="宋体" w:hint="default"/>
          <w:sz w:val="3"/>
          <w:szCs w:val="3"/>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pacing w:val="28"/>
                <w:w w:val="105"/>
                <w:sz w:val="16"/>
                <w:szCs w:val="16"/>
              </w:rPr>
              <w:t>1到2年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416,768,634</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422,682,782</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pacing w:val="28"/>
                <w:w w:val="105"/>
                <w:sz w:val="16"/>
                <w:szCs w:val="16"/>
              </w:rPr>
              <w:t>2到5年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1,173,400,829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1,174,747,134</w:t>
            </w:r>
            <w:r>
              <w:rPr>
                <w:rFonts w:ascii="宋体"/>
                <w:sz w:val="16"/>
              </w:rPr>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5</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1,583,003,513</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1,875,693,021</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3,173,172,976</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3,473,122,937</w:t>
            </w:r>
            <w:r>
              <w:rPr>
                <w:rFonts w:ascii="宋体"/>
                <w:sz w:val="16"/>
              </w:rPr>
            </w:r>
          </w:p>
        </w:tc>
      </w:tr>
    </w:tbl>
    <w:p>
      <w:pPr>
        <w:spacing w:line="240" w:lineRule="auto" w:before="1"/>
        <w:rPr>
          <w:rFonts w:ascii="宋体" w:hAnsi="宋体" w:cs="宋体" w:eastAsia="宋体" w:hint="default"/>
          <w:sz w:val="15"/>
          <w:szCs w:val="15"/>
        </w:rPr>
      </w:pPr>
    </w:p>
    <w:p>
      <w:pPr>
        <w:pStyle w:val="BodyText"/>
        <w:spacing w:line="285" w:lineRule="auto" w:before="31"/>
        <w:ind w:left="453" w:right="146"/>
        <w:jc w:val="left"/>
      </w:pPr>
      <w:r>
        <w:rPr>
          <w:w w:val="110"/>
        </w:rPr>
        <w:t>于</w:t>
      </w:r>
      <w:r>
        <w:rPr>
          <w:spacing w:val="-71"/>
          <w:w w:val="110"/>
        </w:rPr>
        <w:t> </w:t>
      </w:r>
      <w:r>
        <w:rPr>
          <w:w w:val="110"/>
        </w:rPr>
        <w:t>2018</w:t>
      </w:r>
      <w:r>
        <w:rPr>
          <w:spacing w:val="-72"/>
          <w:w w:val="110"/>
        </w:rPr>
        <w:t> </w:t>
      </w:r>
      <w:r>
        <w:rPr>
          <w:w w:val="110"/>
        </w:rPr>
        <w:t>年</w:t>
      </w:r>
      <w:r>
        <w:rPr>
          <w:spacing w:val="-71"/>
          <w:w w:val="110"/>
        </w:rPr>
        <w:t> </w:t>
      </w:r>
      <w:r>
        <w:rPr>
          <w:w w:val="110"/>
        </w:rPr>
        <w:t>12</w:t>
      </w:r>
      <w:r>
        <w:rPr>
          <w:spacing w:val="-71"/>
          <w:w w:val="110"/>
        </w:rPr>
        <w:t> </w:t>
      </w:r>
      <w:r>
        <w:rPr>
          <w:w w:val="110"/>
        </w:rPr>
        <w:t>月</w:t>
      </w:r>
      <w:r>
        <w:rPr>
          <w:spacing w:val="-71"/>
          <w:w w:val="110"/>
        </w:rPr>
        <w:t> </w:t>
      </w:r>
      <w:r>
        <w:rPr>
          <w:w w:val="110"/>
        </w:rPr>
        <w:t>31</w:t>
      </w:r>
      <w:r>
        <w:rPr>
          <w:spacing w:val="-71"/>
          <w:w w:val="110"/>
        </w:rPr>
        <w:t> </w:t>
      </w:r>
      <w:r>
        <w:rPr>
          <w:spacing w:val="3"/>
          <w:w w:val="110"/>
        </w:rPr>
        <w:t>日，长期借款的票面利率范围为</w:t>
      </w:r>
      <w:r>
        <w:rPr>
          <w:spacing w:val="-71"/>
          <w:w w:val="110"/>
        </w:rPr>
        <w:t> </w:t>
      </w:r>
      <w:r>
        <w:rPr>
          <w:w w:val="110"/>
        </w:rPr>
        <w:t>0%~2.50%（2017</w:t>
      </w:r>
      <w:r>
        <w:rPr>
          <w:spacing w:val="-72"/>
          <w:w w:val="110"/>
        </w:rPr>
        <w:t> </w:t>
      </w:r>
      <w:r>
        <w:rPr>
          <w:w w:val="110"/>
        </w:rPr>
        <w:t>年</w:t>
      </w:r>
      <w:r>
        <w:rPr>
          <w:spacing w:val="-71"/>
          <w:w w:val="110"/>
        </w:rPr>
        <w:t> </w:t>
      </w:r>
      <w:r>
        <w:rPr>
          <w:w w:val="110"/>
        </w:rPr>
        <w:t>12</w:t>
      </w:r>
      <w:r>
        <w:rPr>
          <w:spacing w:val="-71"/>
          <w:w w:val="110"/>
        </w:rPr>
        <w:t> </w:t>
      </w:r>
      <w:r>
        <w:rPr>
          <w:w w:val="110"/>
        </w:rPr>
        <w:t>月</w:t>
      </w:r>
      <w:r>
        <w:rPr>
          <w:spacing w:val="-71"/>
          <w:w w:val="110"/>
        </w:rPr>
        <w:t> </w:t>
      </w:r>
      <w:r>
        <w:rPr>
          <w:w w:val="110"/>
        </w:rPr>
        <w:t>31</w:t>
      </w:r>
      <w:r>
        <w:rPr>
          <w:spacing w:val="-71"/>
          <w:w w:val="110"/>
        </w:rPr>
        <w:t> </w:t>
      </w:r>
      <w:r>
        <w:rPr>
          <w:w w:val="110"/>
        </w:rPr>
        <w:t>日：0%~2.50%）。其中，零利</w:t>
      </w:r>
      <w:r>
        <w:rPr/>
        <w:t> </w:t>
      </w:r>
      <w:r>
        <w:rPr>
          <w:w w:val="110"/>
        </w:rPr>
        <w:t>率的借款来自经中国银行转贷的外国政府无息借款。</w:t>
      </w:r>
    </w:p>
    <w:p>
      <w:pPr>
        <w:spacing w:line="240" w:lineRule="auto" w:before="10"/>
        <w:rPr>
          <w:rFonts w:ascii="宋体" w:hAnsi="宋体" w:cs="宋体" w:eastAsia="宋体" w:hint="default"/>
          <w:sz w:val="13"/>
          <w:szCs w:val="13"/>
        </w:rPr>
      </w:pPr>
    </w:p>
    <w:p>
      <w:pPr>
        <w:pStyle w:val="BodyText"/>
        <w:spacing w:line="458" w:lineRule="auto"/>
        <w:ind w:left="113" w:right="1943" w:firstLine="340"/>
        <w:jc w:val="left"/>
      </w:pPr>
      <w:r>
        <w:rPr>
          <w:w w:val="105"/>
        </w:rPr>
        <w:t>于</w:t>
      </w:r>
      <w:r>
        <w:rPr>
          <w:spacing w:val="-66"/>
          <w:w w:val="105"/>
        </w:rPr>
        <w:t> </w:t>
      </w:r>
      <w:r>
        <w:rPr>
          <w:w w:val="105"/>
        </w:rPr>
        <w:t>2018</w:t>
      </w:r>
      <w:r>
        <w:rPr>
          <w:spacing w:val="-67"/>
          <w:w w:val="105"/>
        </w:rPr>
        <w:t> </w:t>
      </w:r>
      <w:r>
        <w:rPr>
          <w:w w:val="105"/>
        </w:rPr>
        <w:t>年</w:t>
      </w:r>
      <w:r>
        <w:rPr>
          <w:spacing w:val="-66"/>
          <w:w w:val="105"/>
        </w:rPr>
        <w:t> </w:t>
      </w:r>
      <w:r>
        <w:rPr>
          <w:w w:val="105"/>
        </w:rPr>
        <w:t>12</w:t>
      </w:r>
      <w:r>
        <w:rPr>
          <w:spacing w:val="-67"/>
          <w:w w:val="105"/>
        </w:rPr>
        <w:t> </w:t>
      </w:r>
      <w:r>
        <w:rPr>
          <w:w w:val="105"/>
        </w:rPr>
        <w:t>月</w:t>
      </w:r>
      <w:r>
        <w:rPr>
          <w:spacing w:val="-66"/>
          <w:w w:val="105"/>
        </w:rPr>
        <w:t> </w:t>
      </w:r>
      <w:r>
        <w:rPr>
          <w:w w:val="105"/>
        </w:rPr>
        <w:t>31</w:t>
      </w:r>
      <w:r>
        <w:rPr>
          <w:spacing w:val="-67"/>
          <w:w w:val="105"/>
        </w:rPr>
        <w:t> </w:t>
      </w:r>
      <w:r>
        <w:rPr>
          <w:w w:val="105"/>
        </w:rPr>
        <w:t>日，本集团无已到期但尚未偿还的长期借款（2017</w:t>
      </w:r>
      <w:r>
        <w:rPr>
          <w:spacing w:val="-67"/>
          <w:w w:val="105"/>
        </w:rPr>
        <w:t> </w:t>
      </w:r>
      <w:r>
        <w:rPr>
          <w:w w:val="105"/>
        </w:rPr>
        <w:t>年</w:t>
      </w:r>
      <w:r>
        <w:rPr>
          <w:spacing w:val="-66"/>
          <w:w w:val="105"/>
        </w:rPr>
        <w:t> </w:t>
      </w:r>
      <w:r>
        <w:rPr>
          <w:w w:val="105"/>
        </w:rPr>
        <w:t>12</w:t>
      </w:r>
      <w:r>
        <w:rPr>
          <w:spacing w:val="-67"/>
          <w:w w:val="105"/>
        </w:rPr>
        <w:t> </w:t>
      </w:r>
      <w:r>
        <w:rPr>
          <w:w w:val="105"/>
        </w:rPr>
        <w:t>月</w:t>
      </w:r>
      <w:r>
        <w:rPr>
          <w:spacing w:val="-66"/>
          <w:w w:val="105"/>
        </w:rPr>
        <w:t> </w:t>
      </w:r>
      <w:r>
        <w:rPr>
          <w:w w:val="105"/>
        </w:rPr>
        <w:t>31</w:t>
      </w:r>
      <w:r>
        <w:rPr>
          <w:spacing w:val="-67"/>
          <w:w w:val="105"/>
        </w:rPr>
        <w:t> </w:t>
      </w:r>
      <w:r>
        <w:rPr>
          <w:w w:val="105"/>
        </w:rPr>
        <w:t>日：无）。</w:t>
      </w:r>
      <w:r>
        <w:rPr/>
        <w:t> </w:t>
      </w:r>
      <w:r>
        <w:rPr>
          <w:w w:val="105"/>
        </w:rPr>
        <w:t>26、应付债券</w:t>
      </w:r>
      <w:r>
        <w:rPr/>
      </w:r>
    </w:p>
    <w:p>
      <w:pPr>
        <w:pStyle w:val="BodyText"/>
        <w:spacing w:line="240" w:lineRule="auto" w:before="71"/>
        <w:ind w:left="113" w:right="0"/>
        <w:jc w:val="left"/>
      </w:pPr>
      <w:r>
        <w:rPr>
          <w:w w:val="95"/>
        </w:rPr>
        <w:t>(a)</w:t>
      </w:r>
      <w:r>
        <w:rPr>
          <w:spacing w:val="33"/>
          <w:w w:val="95"/>
        </w:rPr>
        <w:t> </w:t>
      </w:r>
      <w:r>
        <w:rPr>
          <w:w w:val="95"/>
        </w:rPr>
        <w:t>应付债券</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2672"/>
        <w:gridCol w:w="1421"/>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454"/>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gridSpan w:val="2"/>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2015</w:t>
            </w:r>
            <w:r>
              <w:rPr>
                <w:rFonts w:ascii="宋体" w:hAnsi="宋体" w:cs="宋体" w:eastAsia="宋体" w:hint="default"/>
                <w:spacing w:val="-6"/>
                <w:sz w:val="16"/>
                <w:szCs w:val="16"/>
              </w:rPr>
              <w:t> </w:t>
            </w:r>
            <w:r>
              <w:rPr>
                <w:rFonts w:ascii="宋体" w:hAnsi="宋体" w:cs="宋体" w:eastAsia="宋体" w:hint="default"/>
                <w:sz w:val="16"/>
                <w:szCs w:val="16"/>
              </w:rPr>
              <w:t>年第一期中期票据</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3,994,249,301</w:t>
            </w:r>
            <w:r>
              <w:rPr>
                <w:rFonts w:ascii="宋体"/>
                <w:sz w:val="16"/>
              </w:rPr>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2015</w:t>
            </w:r>
            <w:r>
              <w:rPr>
                <w:rFonts w:ascii="宋体" w:hAnsi="宋体" w:cs="宋体" w:eastAsia="宋体" w:hint="default"/>
                <w:spacing w:val="-6"/>
                <w:sz w:val="16"/>
                <w:szCs w:val="16"/>
              </w:rPr>
              <w:t> </w:t>
            </w:r>
            <w:r>
              <w:rPr>
                <w:rFonts w:ascii="宋体" w:hAnsi="宋体" w:cs="宋体" w:eastAsia="宋体" w:hint="default"/>
                <w:sz w:val="16"/>
                <w:szCs w:val="16"/>
              </w:rPr>
              <w:t>年第二期中期票据</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3,994,351,992</w:t>
            </w:r>
            <w:r>
              <w:rPr>
                <w:rFonts w:ascii="宋体"/>
                <w:sz w:val="16"/>
              </w:rPr>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2015</w:t>
            </w:r>
            <w:r>
              <w:rPr>
                <w:rFonts w:ascii="宋体" w:hAnsi="宋体" w:cs="宋体" w:eastAsia="宋体" w:hint="default"/>
                <w:spacing w:val="-6"/>
                <w:sz w:val="16"/>
                <w:szCs w:val="16"/>
              </w:rPr>
              <w:t> </w:t>
            </w:r>
            <w:r>
              <w:rPr>
                <w:rFonts w:ascii="宋体" w:hAnsi="宋体" w:cs="宋体" w:eastAsia="宋体" w:hint="default"/>
                <w:sz w:val="16"/>
                <w:szCs w:val="16"/>
              </w:rPr>
              <w:t>年第三期中期票据</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3,490,077,768</w:t>
            </w:r>
            <w:r>
              <w:rPr>
                <w:rFonts w:ascii="宋体"/>
                <w:sz w:val="16"/>
              </w:rPr>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2015</w:t>
            </w:r>
            <w:r>
              <w:rPr>
                <w:rFonts w:ascii="宋体" w:hAnsi="宋体" w:cs="宋体" w:eastAsia="宋体" w:hint="default"/>
                <w:spacing w:val="-6"/>
                <w:sz w:val="16"/>
                <w:szCs w:val="16"/>
              </w:rPr>
              <w:t> </w:t>
            </w:r>
            <w:r>
              <w:rPr>
                <w:rFonts w:ascii="宋体" w:hAnsi="宋体" w:cs="宋体" w:eastAsia="宋体" w:hint="default"/>
                <w:sz w:val="16"/>
                <w:szCs w:val="16"/>
              </w:rPr>
              <w:t>年第四期中期票据</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3,490,077,768</w:t>
            </w:r>
            <w:r>
              <w:rPr>
                <w:rFonts w:ascii="宋体"/>
                <w:sz w:val="16"/>
              </w:rPr>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2015</w:t>
            </w:r>
            <w:r>
              <w:rPr>
                <w:rFonts w:ascii="宋体" w:hAnsi="宋体" w:cs="宋体" w:eastAsia="宋体" w:hint="default"/>
                <w:spacing w:val="-6"/>
                <w:sz w:val="16"/>
                <w:szCs w:val="16"/>
              </w:rPr>
              <w:t> </w:t>
            </w:r>
            <w:r>
              <w:rPr>
                <w:rFonts w:ascii="宋体" w:hAnsi="宋体" w:cs="宋体" w:eastAsia="宋体" w:hint="default"/>
                <w:sz w:val="16"/>
                <w:szCs w:val="16"/>
              </w:rPr>
              <w:t>年第五期中期票据</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2,991,495,230</w:t>
            </w:r>
            <w:r>
              <w:rPr>
                <w:rFonts w:ascii="宋体"/>
                <w:sz w:val="16"/>
              </w:rPr>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2016</w:t>
            </w:r>
            <w:r>
              <w:rPr>
                <w:rFonts w:ascii="宋体" w:hAnsi="宋体" w:cs="宋体" w:eastAsia="宋体" w:hint="default"/>
                <w:spacing w:val="-6"/>
                <w:sz w:val="16"/>
                <w:szCs w:val="16"/>
              </w:rPr>
              <w:t> </w:t>
            </w:r>
            <w:r>
              <w:rPr>
                <w:rFonts w:ascii="宋体" w:hAnsi="宋体" w:cs="宋体" w:eastAsia="宋体" w:hint="default"/>
                <w:sz w:val="16"/>
                <w:szCs w:val="16"/>
              </w:rPr>
              <w:t>年第一期公司债券品种一</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6,997,917,124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6,993,168,845</w:t>
            </w:r>
            <w:r>
              <w:rPr>
                <w:rFonts w:ascii="宋体"/>
                <w:sz w:val="16"/>
              </w:rPr>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2016</w:t>
            </w:r>
            <w:r>
              <w:rPr>
                <w:rFonts w:ascii="宋体" w:hAnsi="宋体" w:cs="宋体" w:eastAsia="宋体" w:hint="default"/>
                <w:spacing w:val="-6"/>
                <w:sz w:val="16"/>
                <w:szCs w:val="16"/>
              </w:rPr>
              <w:t> </w:t>
            </w:r>
            <w:r>
              <w:rPr>
                <w:rFonts w:ascii="宋体" w:hAnsi="宋体" w:cs="宋体" w:eastAsia="宋体" w:hint="default"/>
                <w:sz w:val="16"/>
                <w:szCs w:val="16"/>
              </w:rPr>
              <w:t>年第一期公司债券品种二</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998,985,859</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998,592,132</w:t>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2016</w:t>
            </w:r>
            <w:r>
              <w:rPr>
                <w:rFonts w:ascii="宋体" w:hAnsi="宋体" w:cs="宋体" w:eastAsia="宋体" w:hint="default"/>
                <w:spacing w:val="-6"/>
                <w:sz w:val="16"/>
                <w:szCs w:val="16"/>
              </w:rPr>
              <w:t> </w:t>
            </w:r>
            <w:r>
              <w:rPr>
                <w:rFonts w:ascii="宋体" w:hAnsi="宋体" w:cs="宋体" w:eastAsia="宋体" w:hint="default"/>
                <w:sz w:val="16"/>
                <w:szCs w:val="16"/>
              </w:rPr>
              <w:t>年第二期公司债券</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9,996,331,852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9,989,573,385</w:t>
            </w:r>
            <w:r>
              <w:rPr>
                <w:rFonts w:ascii="宋体"/>
                <w:sz w:val="16"/>
              </w:rPr>
            </w:r>
          </w:p>
        </w:tc>
      </w:tr>
      <w:tr>
        <w:trPr>
          <w:trHeight w:val="330" w:hRule="exact"/>
        </w:trPr>
        <w:tc>
          <w:tcPr>
            <w:tcW w:w="4093" w:type="dxa"/>
            <w:gridSpan w:val="2"/>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17,993,234,835</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35,941,586,421</w:t>
            </w:r>
            <w:r>
              <w:rPr>
                <w:rFonts w:ascii="宋体"/>
                <w:sz w:val="16"/>
              </w:rPr>
            </w:r>
          </w:p>
        </w:tc>
      </w:tr>
      <w:tr>
        <w:trPr>
          <w:trHeight w:val="407" w:hRule="exact"/>
        </w:trPr>
        <w:tc>
          <w:tcPr>
            <w:tcW w:w="267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减：一年内到期的应付债券</w:t>
            </w:r>
          </w:p>
        </w:tc>
        <w:tc>
          <w:tcPr>
            <w:tcW w:w="1421"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403" w:right="0"/>
              <w:jc w:val="lef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(23)</w:t>
            </w:r>
            <w:r>
              <w:rPr>
                <w:rFonts w:ascii="宋体" w:hAnsi="宋体" w:cs="宋体" w:eastAsia="宋体" w:hint="default"/>
                <w:sz w:val="16"/>
                <w:szCs w:val="16"/>
              </w:rPr>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(16,994,248,976)</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(17,960,252,059)</w:t>
            </w:r>
            <w:r>
              <w:rPr>
                <w:rFonts w:ascii="宋体"/>
                <w:sz w:val="16"/>
              </w:rPr>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998,985,859</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17,981,334,362</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20"/>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26、应付债券（续）</w:t>
      </w:r>
    </w:p>
    <w:p>
      <w:pPr>
        <w:spacing w:line="240" w:lineRule="auto" w:before="12"/>
        <w:rPr>
          <w:rFonts w:ascii="宋体" w:hAnsi="宋体" w:cs="宋体" w:eastAsia="宋体" w:hint="default"/>
          <w:sz w:val="17"/>
          <w:szCs w:val="17"/>
        </w:rPr>
      </w:pPr>
    </w:p>
    <w:p>
      <w:pPr>
        <w:pStyle w:val="BodyText"/>
        <w:spacing w:line="240" w:lineRule="auto"/>
        <w:ind w:left="114" w:right="0"/>
        <w:jc w:val="left"/>
      </w:pPr>
      <w:r>
        <w:rPr/>
        <w:t>(b)</w:t>
      </w:r>
      <w:r>
        <w:rPr>
          <w:spacing w:val="-21"/>
        </w:rPr>
        <w:t> </w:t>
      </w:r>
      <w:r>
        <w:rPr/>
        <w:t>中期票据及公司债券的增减变动</w:t>
      </w:r>
    </w:p>
    <w:p>
      <w:pPr>
        <w:spacing w:line="240" w:lineRule="auto" w:before="7"/>
        <w:rPr>
          <w:rFonts w:ascii="宋体" w:hAnsi="宋体" w:cs="宋体" w:eastAsia="宋体" w:hint="default"/>
          <w:sz w:val="14"/>
          <w:szCs w:val="14"/>
        </w:rPr>
      </w:pPr>
    </w:p>
    <w:p>
      <w:pPr>
        <w:tabs>
          <w:tab w:pos="3791" w:val="left" w:leader="none"/>
          <w:tab w:pos="4324" w:val="left" w:leader="none"/>
          <w:tab w:pos="5612" w:val="left" w:leader="none"/>
          <w:tab w:pos="6381" w:val="left" w:leader="none"/>
        </w:tabs>
        <w:spacing w:before="55"/>
        <w:ind w:left="3248" w:right="0" w:firstLine="0"/>
        <w:jc w:val="left"/>
        <w:rPr>
          <w:rFonts w:ascii="宋体" w:hAnsi="宋体" w:cs="宋体" w:eastAsia="宋体" w:hint="default"/>
          <w:sz w:val="12"/>
          <w:szCs w:val="12"/>
        </w:rPr>
      </w:pPr>
      <w:r>
        <w:rPr>
          <w:rFonts w:ascii="宋体" w:hAnsi="宋体" w:cs="宋体" w:eastAsia="宋体" w:hint="default"/>
          <w:sz w:val="12"/>
          <w:szCs w:val="12"/>
        </w:rPr>
        <w:t>债券</w:t>
        <w:tab/>
        <w:t>票面</w:t>
        <w:tab/>
        <w:t>发行</w:t>
        <w:tab/>
        <w:t>本年</w:t>
        <w:tab/>
        <w:t>按面值</w:t>
      </w:r>
    </w:p>
    <w:p>
      <w:pPr>
        <w:spacing w:after="0"/>
        <w:jc w:val="left"/>
        <w:rPr>
          <w:rFonts w:ascii="宋体" w:hAnsi="宋体" w:cs="宋体" w:eastAsia="宋体" w:hint="default"/>
          <w:sz w:val="12"/>
          <w:szCs w:val="12"/>
        </w:rPr>
        <w:sectPr>
          <w:pgSz w:w="11910" w:h="16160"/>
          <w:pgMar w:header="2776" w:footer="298" w:top="2960" w:bottom="480" w:left="1360" w:right="640"/>
        </w:sectPr>
      </w:pPr>
    </w:p>
    <w:p>
      <w:pPr>
        <w:tabs>
          <w:tab w:pos="1761" w:val="left" w:leader="none"/>
          <w:tab w:pos="2667" w:val="left" w:leader="none"/>
        </w:tabs>
        <w:spacing w:before="43"/>
        <w:ind w:left="509" w:right="-20" w:firstLine="0"/>
        <w:jc w:val="left"/>
        <w:rPr>
          <w:rFonts w:ascii="宋体" w:hAnsi="宋体" w:cs="宋体" w:eastAsia="宋体" w:hint="default"/>
          <w:sz w:val="12"/>
          <w:szCs w:val="12"/>
        </w:rPr>
      </w:pPr>
      <w:r>
        <w:rPr>
          <w:rFonts w:ascii="宋体" w:hAnsi="宋体" w:cs="宋体" w:eastAsia="宋体" w:hint="default"/>
          <w:sz w:val="12"/>
          <w:szCs w:val="12"/>
        </w:rPr>
        <w:t>债券名称（注</w:t>
      </w:r>
      <w:r>
        <w:rPr>
          <w:rFonts w:ascii="宋体" w:hAnsi="宋体" w:cs="宋体" w:eastAsia="宋体" w:hint="default"/>
          <w:spacing w:val="-24"/>
          <w:sz w:val="12"/>
          <w:szCs w:val="12"/>
        </w:rPr>
        <w:t> </w:t>
      </w:r>
      <w:r>
        <w:rPr>
          <w:rFonts w:ascii="宋体" w:hAnsi="宋体" w:cs="宋体" w:eastAsia="宋体" w:hint="default"/>
          <w:sz w:val="12"/>
          <w:szCs w:val="12"/>
        </w:rPr>
        <w:t>1）</w:t>
        <w:tab/>
        <w:t>面值</w:t>
        <w:tab/>
        <w:t>发行日期</w:t>
      </w:r>
      <w:r>
        <w:rPr>
          <w:rFonts w:ascii="宋体" w:hAnsi="宋体" w:cs="宋体" w:eastAsia="宋体" w:hint="default"/>
          <w:spacing w:val="41"/>
          <w:sz w:val="12"/>
          <w:szCs w:val="12"/>
        </w:rPr>
        <w:t> </w:t>
      </w:r>
      <w:r>
        <w:rPr>
          <w:rFonts w:ascii="宋体" w:hAnsi="宋体" w:cs="宋体" w:eastAsia="宋体" w:hint="default"/>
          <w:sz w:val="12"/>
          <w:szCs w:val="12"/>
        </w:rPr>
        <w:t>期限</w:t>
      </w:r>
    </w:p>
    <w:p>
      <w:pPr>
        <w:tabs>
          <w:tab w:pos="796" w:val="left" w:leader="none"/>
        </w:tabs>
        <w:spacing w:before="43"/>
        <w:ind w:left="263" w:right="-18" w:firstLine="0"/>
        <w:jc w:val="left"/>
        <w:rPr>
          <w:rFonts w:ascii="宋体" w:hAnsi="宋体" w:cs="宋体" w:eastAsia="宋体" w:hint="default"/>
          <w:sz w:val="12"/>
          <w:szCs w:val="12"/>
        </w:rPr>
      </w:pPr>
      <w:r>
        <w:rPr/>
        <w:br w:type="column"/>
      </w:r>
      <w:r>
        <w:rPr>
          <w:rFonts w:ascii="宋体" w:hAnsi="宋体" w:cs="宋体" w:eastAsia="宋体" w:hint="default"/>
          <w:sz w:val="12"/>
          <w:szCs w:val="12"/>
        </w:rPr>
        <w:t>利率</w:t>
        <w:tab/>
        <w:t>金额 </w:t>
      </w:r>
      <w:r>
        <w:rPr>
          <w:rFonts w:ascii="宋体" w:hAnsi="宋体" w:cs="宋体" w:eastAsia="宋体" w:hint="default"/>
          <w:spacing w:val="-4"/>
          <w:sz w:val="12"/>
          <w:szCs w:val="12"/>
        </w:rPr>
        <w:t>年初余额（注 </w:t>
      </w:r>
      <w:r>
        <w:rPr>
          <w:rFonts w:ascii="宋体" w:hAnsi="宋体" w:cs="宋体" w:eastAsia="宋体" w:hint="default"/>
          <w:sz w:val="12"/>
          <w:szCs w:val="12"/>
        </w:rPr>
        <w:t>2）</w:t>
      </w:r>
      <w:r>
        <w:rPr>
          <w:rFonts w:ascii="宋体" w:hAnsi="宋体" w:cs="宋体" w:eastAsia="宋体" w:hint="default"/>
          <w:spacing w:val="-6"/>
          <w:sz w:val="12"/>
          <w:szCs w:val="12"/>
        </w:rPr>
        <w:t> </w:t>
      </w:r>
      <w:r>
        <w:rPr>
          <w:rFonts w:ascii="宋体" w:hAnsi="宋体" w:cs="宋体" w:eastAsia="宋体" w:hint="default"/>
          <w:sz w:val="12"/>
          <w:szCs w:val="12"/>
        </w:rPr>
        <w:t>发行</w:t>
      </w:r>
    </w:p>
    <w:p>
      <w:pPr>
        <w:tabs>
          <w:tab w:pos="1110" w:val="left" w:leader="none"/>
          <w:tab w:pos="2290" w:val="left" w:leader="none"/>
        </w:tabs>
        <w:spacing w:before="43"/>
        <w:ind w:left="369" w:right="0" w:firstLine="0"/>
        <w:jc w:val="left"/>
        <w:rPr>
          <w:rFonts w:ascii="宋体" w:hAnsi="宋体" w:cs="宋体" w:eastAsia="宋体" w:hint="default"/>
          <w:sz w:val="12"/>
          <w:szCs w:val="12"/>
        </w:rPr>
      </w:pPr>
      <w:r>
        <w:rPr/>
        <w:br w:type="column"/>
      </w:r>
      <w:r>
        <w:rPr>
          <w:rFonts w:ascii="宋体" w:hAnsi="宋体" w:cs="宋体" w:eastAsia="宋体" w:hint="default"/>
          <w:sz w:val="12"/>
          <w:szCs w:val="12"/>
        </w:rPr>
        <w:t>计提利息</w:t>
        <w:tab/>
        <w:t>折溢价摊销</w:t>
        <w:tab/>
        <w:t>本年偿还  年末余额（注</w:t>
      </w:r>
      <w:r>
        <w:rPr>
          <w:rFonts w:ascii="宋体" w:hAnsi="宋体" w:cs="宋体" w:eastAsia="宋体" w:hint="default"/>
          <w:spacing w:val="-21"/>
          <w:sz w:val="12"/>
          <w:szCs w:val="12"/>
        </w:rPr>
        <w:t> </w:t>
      </w:r>
      <w:r>
        <w:rPr>
          <w:rFonts w:ascii="宋体" w:hAnsi="宋体" w:cs="宋体" w:eastAsia="宋体" w:hint="default"/>
          <w:sz w:val="12"/>
          <w:szCs w:val="12"/>
        </w:rPr>
        <w:t>2）</w:t>
      </w:r>
    </w:p>
    <w:p>
      <w:pPr>
        <w:spacing w:after="0"/>
        <w:jc w:val="left"/>
        <w:rPr>
          <w:rFonts w:ascii="宋体" w:hAnsi="宋体" w:cs="宋体" w:eastAsia="宋体" w:hint="default"/>
          <w:sz w:val="12"/>
          <w:szCs w:val="12"/>
        </w:rPr>
        <w:sectPr>
          <w:type w:val="continuous"/>
          <w:pgSz w:w="11910" w:h="16160"/>
          <w:pgMar w:top="1520" w:bottom="280" w:left="1360" w:right="640"/>
          <w:cols w:num="3" w:equalWidth="0">
            <w:col w:w="3489" w:space="40"/>
            <w:col w:w="2325" w:space="40"/>
            <w:col w:w="4016"/>
          </w:cols>
        </w:sectPr>
      </w:pP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021;height:2" coordorigin="20,20" coordsize="1021,2">
              <v:shape style="position:absolute;left:20;top:20;width:1021;height:2" coordorigin="20,20" coordsize="1021,0" path="m20,20l1040,20e" filled="false" stroked="true" strokeweight="2pt" strokecolor="#9f8958">
                <v:path arrowok="t"/>
              </v:shape>
            </v:group>
            <v:group style="position:absolute;left:1040;top:20;width:556;height:2" coordorigin="1040,20" coordsize="556,2">
              <v:shape style="position:absolute;left:1040;top:20;width:556;height:2" coordorigin="1040,20" coordsize="556,0" path="m1040,20l1596,20e" filled="false" stroked="true" strokeweight="2pt" strokecolor="#9f8958">
                <v:path arrowok="t"/>
              </v:shape>
            </v:group>
            <v:group style="position:absolute;left:1596;top:20;width:1146;height:2" coordorigin="1596,20" coordsize="1146,2">
              <v:shape style="position:absolute;left:1596;top:20;width:1146;height:2" coordorigin="1596,20" coordsize="1146,0" path="m1596,20l2741,20e" filled="false" stroked="true" strokeweight="2pt" strokecolor="#9f8958">
                <v:path arrowok="t"/>
              </v:shape>
            </v:group>
            <v:group style="position:absolute;left:2741;top:20;width:386;height:2" coordorigin="2741,20" coordsize="386,2">
              <v:shape style="position:absolute;left:2741;top:20;width:386;height:2" coordorigin="2741,20" coordsize="386,0" path="m2741,20l3127,20e" filled="false" stroked="true" strokeweight="2pt" strokecolor="#9f8958">
                <v:path arrowok="t"/>
              </v:shape>
            </v:group>
            <v:group style="position:absolute;left:3127;top:20;width:499;height:2" coordorigin="3127,20" coordsize="499,2">
              <v:shape style="position:absolute;left:3127;top:20;width:499;height:2" coordorigin="3127,20" coordsize="499,0" path="m3127,20l3626,20e" filled="false" stroked="true" strokeweight="2pt" strokecolor="#9f8958">
                <v:path arrowok="t"/>
              </v:shape>
            </v:group>
            <v:group style="position:absolute;left:3626;top:20;width:533;height:2" coordorigin="3626,20" coordsize="533,2">
              <v:shape style="position:absolute;left:3626;top:20;width:533;height:2" coordorigin="3626,20" coordsize="533,0" path="m3626,20l4159,20e" filled="false" stroked="true" strokeweight="2pt" strokecolor="#9f8958">
                <v:path arrowok="t"/>
              </v:shape>
            </v:group>
            <v:group style="position:absolute;left:4159;top:20;width:964;height:2" coordorigin="4159,20" coordsize="964,2">
              <v:shape style="position:absolute;left:4159;top:20;width:964;height:2" coordorigin="4159,20" coordsize="964,0" path="m4159,20l5122,20e" filled="false" stroked="true" strokeweight="2pt" strokecolor="#9f8958">
                <v:path arrowok="t"/>
              </v:shape>
            </v:group>
            <v:group style="position:absolute;left:5122;top:20;width:352;height:2" coordorigin="5122,20" coordsize="352,2">
              <v:shape style="position:absolute;left:5122;top:20;width:352;height:2" coordorigin="5122,20" coordsize="352,0" path="m5122,20l5474,20e" filled="false" stroked="true" strokeweight="2pt" strokecolor="#9f8958">
                <v:path arrowok="t"/>
              </v:shape>
            </v:group>
            <v:group style="position:absolute;left:5474;top:20;width:862;height:2" coordorigin="5474,20" coordsize="862,2">
              <v:shape style="position:absolute;left:5474;top:20;width:862;height:2" coordorigin="5474,20" coordsize="862,0" path="m5474,20l6336,20e" filled="false" stroked="true" strokeweight="2pt" strokecolor="#9f8958">
                <v:path arrowok="t"/>
              </v:shape>
            </v:group>
            <v:group style="position:absolute;left:6336;top:20;width:862;height:2" coordorigin="6336,20" coordsize="862,2">
              <v:shape style="position:absolute;left:6336;top:20;width:862;height:2" coordorigin="6336,20" coordsize="862,0" path="m6336,20l7197,20e" filled="false" stroked="true" strokeweight="2pt" strokecolor="#9f8958">
                <v:path arrowok="t"/>
              </v:shape>
            </v:group>
            <v:group style="position:absolute;left:7197;top:20;width:1061;height:2" coordorigin="7197,20" coordsize="1061,2">
              <v:shape style="position:absolute;left:7197;top:20;width:1061;height:2" coordorigin="7197,20" coordsize="1061,0" path="m7197,20l8257,20e" filled="false" stroked="true" strokeweight="2pt" strokecolor="#9f8958">
                <v:path arrowok="t"/>
              </v:shape>
            </v:group>
            <v:group style="position:absolute;left:8257;top:20;width:1061;height:2" coordorigin="8257,20" coordsize="1061,2">
              <v:shape style="position:absolute;left:8257;top:20;width:1061;height:2" coordorigin="8257,20" coordsize="1061,0" path="m8257,20l9318,20e" filled="false" stroked="true" strokeweight="2pt" strokecolor="#9f8958">
                <v:path arrowok="t"/>
              </v:shape>
            </v:group>
          </v:group>
        </w:pict>
      </w:r>
      <w:r>
        <w:rPr>
          <w:rFonts w:ascii="宋体" w:hAnsi="宋体" w:cs="宋体" w:eastAsia="宋体" w:hint="default"/>
          <w:position w:val="0"/>
          <w:sz w:val="4"/>
          <w:szCs w:val="4"/>
        </w:rPr>
      </w:r>
    </w:p>
    <w:p>
      <w:pPr>
        <w:spacing w:before="76"/>
        <w:ind w:left="482" w:right="0" w:firstLine="0"/>
        <w:jc w:val="left"/>
        <w:rPr>
          <w:rFonts w:ascii="宋体" w:hAnsi="宋体" w:cs="宋体" w:eastAsia="宋体" w:hint="default"/>
          <w:sz w:val="12"/>
          <w:szCs w:val="12"/>
        </w:rPr>
      </w:pPr>
      <w:r>
        <w:rPr>
          <w:rFonts w:ascii="宋体" w:hAnsi="宋体" w:cs="宋体" w:eastAsia="宋体" w:hint="default"/>
          <w:w w:val="105"/>
          <w:sz w:val="12"/>
          <w:szCs w:val="12"/>
        </w:rPr>
        <w:t>2015</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年第一期中</w:t>
      </w:r>
    </w:p>
    <w:p>
      <w:pPr>
        <w:spacing w:line="240" w:lineRule="auto" w:before="9"/>
        <w:rPr>
          <w:rFonts w:ascii="宋体" w:hAnsi="宋体" w:cs="宋体" w:eastAsia="宋体" w:hint="default"/>
          <w:sz w:val="2"/>
          <w:szCs w:val="2"/>
        </w:rPr>
      </w:pPr>
    </w:p>
    <w:tbl>
      <w:tblPr>
        <w:tblW w:w="0" w:type="auto"/>
        <w:jc w:val="left"/>
        <w:tblInd w:w="454" w:type="dxa"/>
        <w:tblLayout w:type="fixed"/>
        <w:tblCellMar>
          <w:top w:w="0" w:type="dxa"/>
          <w:left w:w="0" w:type="dxa"/>
          <w:bottom w:w="0" w:type="dxa"/>
          <w:right w:w="0" w:type="dxa"/>
        </w:tblCellMar>
        <w:tblLook w:val="01E0"/>
      </w:tblPr>
      <w:tblGrid>
        <w:gridCol w:w="733"/>
        <w:gridCol w:w="899"/>
        <w:gridCol w:w="1557"/>
        <w:gridCol w:w="453"/>
        <w:gridCol w:w="534"/>
        <w:gridCol w:w="980"/>
        <w:gridCol w:w="1262"/>
        <w:gridCol w:w="811"/>
        <w:gridCol w:w="1093"/>
        <w:gridCol w:w="981"/>
      </w:tblGrid>
      <w:tr>
        <w:trPr>
          <w:trHeight w:val="330"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tabs>
                <w:tab w:pos="1144" w:val="left" w:leader="none"/>
                <w:tab w:pos="3224" w:val="left" w:leader="none"/>
              </w:tabs>
              <w:spacing w:line="240" w:lineRule="auto" w:before="7"/>
              <w:ind w:left="28" w:right="0"/>
              <w:jc w:val="left"/>
              <w:rPr>
                <w:rFonts w:ascii="宋体" w:hAnsi="宋体" w:cs="宋体" w:eastAsia="宋体" w:hint="default"/>
                <w:sz w:val="12"/>
                <w:szCs w:val="12"/>
              </w:rPr>
            </w:pPr>
            <w:r>
              <w:rPr>
                <w:rFonts w:ascii="宋体" w:hAnsi="宋体" w:cs="宋体" w:eastAsia="宋体" w:hint="default"/>
                <w:sz w:val="12"/>
                <w:szCs w:val="12"/>
              </w:rPr>
              <w:t>期票据</w:t>
              <w:tab/>
            </w:r>
            <w:r>
              <w:rPr>
                <w:rFonts w:ascii="宋体" w:hAnsi="宋体" w:cs="宋体" w:eastAsia="宋体" w:hint="default"/>
                <w:w w:val="105"/>
                <w:sz w:val="12"/>
                <w:szCs w:val="12"/>
              </w:rPr>
              <w:t>40 亿元  </w:t>
            </w:r>
            <w:r>
              <w:rPr>
                <w:rFonts w:ascii="宋体" w:hAnsi="宋体" w:cs="宋体" w:eastAsia="宋体" w:hint="default"/>
                <w:spacing w:val="11"/>
                <w:w w:val="105"/>
                <w:sz w:val="12"/>
                <w:szCs w:val="12"/>
              </w:rPr>
              <w:t>2015年6月 </w:t>
            </w:r>
            <w:r>
              <w:rPr>
                <w:rFonts w:ascii="宋体" w:hAnsi="宋体" w:cs="宋体" w:eastAsia="宋体" w:hint="default"/>
                <w:spacing w:val="9"/>
                <w:w w:val="105"/>
                <w:sz w:val="12"/>
                <w:szCs w:val="12"/>
              </w:rPr>
              <w:t>15日</w:t>
            </w:r>
            <w:r>
              <w:rPr>
                <w:rFonts w:ascii="宋体" w:hAnsi="宋体" w:cs="宋体" w:eastAsia="宋体" w:hint="default"/>
                <w:spacing w:val="28"/>
                <w:w w:val="105"/>
                <w:sz w:val="12"/>
                <w:szCs w:val="12"/>
              </w:rPr>
              <w:t> </w:t>
            </w:r>
            <w:r>
              <w:rPr>
                <w:rFonts w:ascii="宋体" w:hAnsi="宋体" w:cs="宋体" w:eastAsia="宋体" w:hint="default"/>
                <w:spacing w:val="14"/>
                <w:w w:val="105"/>
                <w:sz w:val="12"/>
                <w:szCs w:val="12"/>
              </w:rPr>
              <w:t>3年</w:t>
              <w:tab/>
            </w:r>
            <w:r>
              <w:rPr>
                <w:rFonts w:ascii="宋体" w:hAnsi="宋体" w:cs="宋体" w:eastAsia="宋体" w:hint="default"/>
                <w:w w:val="105"/>
                <w:sz w:val="12"/>
                <w:szCs w:val="12"/>
              </w:rPr>
              <w:t>3.85%</w:t>
            </w:r>
            <w:r>
              <w:rPr>
                <w:rFonts w:ascii="宋体" w:hAnsi="宋体" w:cs="宋体" w:eastAsia="宋体" w:hint="default"/>
                <w:sz w:val="12"/>
                <w:szCs w:val="12"/>
              </w:rPr>
            </w:r>
          </w:p>
        </w:tc>
        <w:tc>
          <w:tcPr>
            <w:tcW w:w="534"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center"/>
              <w:rPr>
                <w:rFonts w:ascii="宋体" w:hAnsi="宋体" w:cs="宋体" w:eastAsia="宋体" w:hint="default"/>
                <w:sz w:val="12"/>
                <w:szCs w:val="12"/>
              </w:rPr>
            </w:pPr>
            <w:r>
              <w:rPr>
                <w:rFonts w:ascii="宋体" w:hAnsi="宋体" w:cs="宋体" w:eastAsia="宋体" w:hint="default"/>
                <w:w w:val="105"/>
                <w:sz w:val="12"/>
                <w:szCs w:val="12"/>
              </w:rPr>
              <w:t>40</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7"/>
              <w:ind w:left="50" w:right="0"/>
              <w:jc w:val="center"/>
              <w:rPr>
                <w:rFonts w:ascii="宋体" w:hAnsi="宋体" w:cs="宋体" w:eastAsia="宋体" w:hint="default"/>
                <w:sz w:val="12"/>
                <w:szCs w:val="12"/>
              </w:rPr>
            </w:pPr>
            <w:r>
              <w:rPr>
                <w:rFonts w:ascii="宋体"/>
                <w:sz w:val="12"/>
              </w:rPr>
              <w:t>4,078,632,864</w:t>
            </w:r>
          </w:p>
        </w:tc>
        <w:tc>
          <w:tcPr>
            <w:tcW w:w="1262" w:type="dxa"/>
            <w:tcBorders>
              <w:top w:val="nil" w:sz="6" w:space="0" w:color="auto"/>
              <w:left w:val="nil" w:sz="6" w:space="0" w:color="auto"/>
              <w:bottom w:val="nil" w:sz="6" w:space="0" w:color="auto"/>
              <w:right w:val="nil" w:sz="6" w:space="0" w:color="auto"/>
            </w:tcBorders>
          </w:tcPr>
          <w:p>
            <w:pPr>
              <w:pStyle w:val="TableParagraph"/>
              <w:tabs>
                <w:tab w:pos="531" w:val="left" w:leader="none"/>
              </w:tabs>
              <w:spacing w:line="240" w:lineRule="auto" w:before="7"/>
              <w:ind w:left="82" w:right="0"/>
              <w:jc w:val="left"/>
              <w:rPr>
                <w:rFonts w:ascii="宋体" w:hAnsi="宋体" w:cs="宋体" w:eastAsia="宋体" w:hint="default"/>
                <w:sz w:val="12"/>
                <w:szCs w:val="12"/>
              </w:rPr>
            </w:pPr>
            <w:r>
              <w:rPr>
                <w:rFonts w:ascii="宋体"/>
                <w:w w:val="115"/>
                <w:sz w:val="12"/>
              </w:rPr>
              <w:t>-</w:t>
              <w:tab/>
            </w:r>
            <w:r>
              <w:rPr>
                <w:rFonts w:ascii="宋体"/>
                <w:w w:val="110"/>
                <w:sz w:val="12"/>
              </w:rPr>
              <w:t>69,616,437</w:t>
            </w:r>
            <w:r>
              <w:rPr>
                <w:rFonts w:ascii="宋体"/>
                <w:sz w:val="12"/>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78"/>
              <w:jc w:val="right"/>
              <w:rPr>
                <w:rFonts w:ascii="宋体" w:hAnsi="宋体" w:cs="宋体" w:eastAsia="宋体" w:hint="default"/>
                <w:sz w:val="12"/>
                <w:szCs w:val="12"/>
              </w:rPr>
            </w:pPr>
            <w:r>
              <w:rPr>
                <w:rFonts w:ascii="宋体"/>
                <w:w w:val="95"/>
                <w:sz w:val="12"/>
              </w:rPr>
              <w:t>5,750,699</w:t>
            </w:r>
            <w:r>
              <w:rPr>
                <w:rFonts w:ascii="宋体"/>
                <w:sz w:val="12"/>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7"/>
              <w:ind w:right="111"/>
              <w:jc w:val="right"/>
              <w:rPr>
                <w:rFonts w:ascii="宋体" w:hAnsi="宋体" w:cs="宋体" w:eastAsia="宋体" w:hint="default"/>
                <w:sz w:val="12"/>
                <w:szCs w:val="12"/>
              </w:rPr>
            </w:pPr>
            <w:r>
              <w:rPr>
                <w:rFonts w:ascii="宋体"/>
                <w:w w:val="90"/>
                <w:sz w:val="12"/>
              </w:rPr>
              <w:t>(4,154,000,000)</w:t>
            </w:r>
            <w:r>
              <w:rPr>
                <w:rFonts w:ascii="宋体"/>
                <w:sz w:val="12"/>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7"/>
              <w:ind w:right="33"/>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spacing w:line="68" w:lineRule="exact"/>
              <w:ind w:left="28" w:right="0"/>
              <w:jc w:val="left"/>
              <w:rPr>
                <w:rFonts w:ascii="宋体" w:hAnsi="宋体" w:cs="宋体" w:eastAsia="宋体" w:hint="default"/>
                <w:sz w:val="12"/>
                <w:szCs w:val="12"/>
              </w:rPr>
            </w:pPr>
            <w:r>
              <w:rPr>
                <w:rFonts w:ascii="宋体" w:hAnsi="宋体" w:cs="宋体" w:eastAsia="宋体" w:hint="default"/>
                <w:w w:val="105"/>
                <w:sz w:val="12"/>
                <w:szCs w:val="12"/>
              </w:rPr>
              <w:t>2015</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年第二期中</w:t>
            </w:r>
          </w:p>
          <w:p>
            <w:pPr>
              <w:pStyle w:val="TableParagraph"/>
              <w:tabs>
                <w:tab w:pos="1144" w:val="left" w:leader="none"/>
                <w:tab w:pos="3224" w:val="left" w:leader="none"/>
              </w:tabs>
              <w:spacing w:line="240" w:lineRule="auto" w:before="43"/>
              <w:ind w:left="28" w:right="0"/>
              <w:jc w:val="left"/>
              <w:rPr>
                <w:rFonts w:ascii="宋体" w:hAnsi="宋体" w:cs="宋体" w:eastAsia="宋体" w:hint="default"/>
                <w:sz w:val="12"/>
                <w:szCs w:val="12"/>
              </w:rPr>
            </w:pPr>
            <w:r>
              <w:rPr>
                <w:rFonts w:ascii="宋体" w:hAnsi="宋体" w:cs="宋体" w:eastAsia="宋体" w:hint="default"/>
                <w:sz w:val="12"/>
                <w:szCs w:val="12"/>
              </w:rPr>
              <w:t>期票据</w:t>
              <w:tab/>
            </w:r>
            <w:r>
              <w:rPr>
                <w:rFonts w:ascii="宋体" w:hAnsi="宋体" w:cs="宋体" w:eastAsia="宋体" w:hint="default"/>
                <w:w w:val="105"/>
                <w:sz w:val="12"/>
                <w:szCs w:val="12"/>
              </w:rPr>
              <w:t>40 亿元  </w:t>
            </w:r>
            <w:r>
              <w:rPr>
                <w:rFonts w:ascii="宋体" w:hAnsi="宋体" w:cs="宋体" w:eastAsia="宋体" w:hint="default"/>
                <w:spacing w:val="11"/>
                <w:w w:val="105"/>
                <w:sz w:val="12"/>
                <w:szCs w:val="12"/>
              </w:rPr>
              <w:t>2015年6月 </w:t>
            </w:r>
            <w:r>
              <w:rPr>
                <w:rFonts w:ascii="宋体" w:hAnsi="宋体" w:cs="宋体" w:eastAsia="宋体" w:hint="default"/>
                <w:spacing w:val="9"/>
                <w:w w:val="105"/>
                <w:sz w:val="12"/>
                <w:szCs w:val="12"/>
              </w:rPr>
              <w:t>18日</w:t>
            </w:r>
            <w:r>
              <w:rPr>
                <w:rFonts w:ascii="宋体" w:hAnsi="宋体" w:cs="宋体" w:eastAsia="宋体" w:hint="default"/>
                <w:spacing w:val="28"/>
                <w:w w:val="105"/>
                <w:sz w:val="12"/>
                <w:szCs w:val="12"/>
              </w:rPr>
              <w:t> </w:t>
            </w:r>
            <w:r>
              <w:rPr>
                <w:rFonts w:ascii="宋体" w:hAnsi="宋体" w:cs="宋体" w:eastAsia="宋体" w:hint="default"/>
                <w:spacing w:val="14"/>
                <w:w w:val="105"/>
                <w:sz w:val="12"/>
                <w:szCs w:val="12"/>
              </w:rPr>
              <w:t>3年</w:t>
              <w:tab/>
            </w:r>
            <w:r>
              <w:rPr>
                <w:rFonts w:ascii="宋体" w:hAnsi="宋体" w:cs="宋体" w:eastAsia="宋体" w:hint="default"/>
                <w:w w:val="105"/>
                <w:sz w:val="12"/>
                <w:szCs w:val="12"/>
              </w:rPr>
              <w:t>3.85%</w:t>
            </w:r>
            <w:r>
              <w:rPr>
                <w:rFonts w:ascii="宋体" w:hAnsi="宋体" w:cs="宋体" w:eastAsia="宋体" w:hint="default"/>
                <w:sz w:val="12"/>
                <w:szCs w:val="12"/>
              </w:rPr>
            </w:r>
          </w:p>
        </w:tc>
        <w:tc>
          <w:tcPr>
            <w:tcW w:w="5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w w:val="105"/>
                <w:sz w:val="12"/>
                <w:szCs w:val="12"/>
              </w:rPr>
              <w:t>40</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50" w:right="0"/>
              <w:jc w:val="center"/>
              <w:rPr>
                <w:rFonts w:ascii="宋体" w:hAnsi="宋体" w:cs="宋体" w:eastAsia="宋体" w:hint="default"/>
                <w:sz w:val="12"/>
                <w:szCs w:val="12"/>
              </w:rPr>
            </w:pPr>
            <w:r>
              <w:rPr>
                <w:rFonts w:ascii="宋体"/>
                <w:sz w:val="12"/>
              </w:rPr>
              <w:t>4,077,469,801</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31" w:val="left" w:leader="none"/>
              </w:tabs>
              <w:spacing w:line="240" w:lineRule="auto"/>
              <w:ind w:left="82" w:right="0"/>
              <w:jc w:val="left"/>
              <w:rPr>
                <w:rFonts w:ascii="宋体" w:hAnsi="宋体" w:cs="宋体" w:eastAsia="宋体" w:hint="default"/>
                <w:sz w:val="12"/>
                <w:szCs w:val="12"/>
              </w:rPr>
            </w:pPr>
            <w:r>
              <w:rPr>
                <w:rFonts w:ascii="宋体"/>
                <w:w w:val="115"/>
                <w:sz w:val="12"/>
              </w:rPr>
              <w:t>-</w:t>
              <w:tab/>
            </w:r>
            <w:r>
              <w:rPr>
                <w:rFonts w:ascii="宋体"/>
                <w:w w:val="110"/>
                <w:sz w:val="12"/>
              </w:rPr>
              <w:t>70,882,191</w:t>
            </w:r>
            <w:r>
              <w:rPr>
                <w:rFonts w:ascii="宋体"/>
                <w:sz w:val="12"/>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8"/>
              <w:jc w:val="right"/>
              <w:rPr>
                <w:rFonts w:ascii="宋体" w:hAnsi="宋体" w:cs="宋体" w:eastAsia="宋体" w:hint="default"/>
                <w:sz w:val="12"/>
                <w:szCs w:val="12"/>
              </w:rPr>
            </w:pPr>
            <w:r>
              <w:rPr>
                <w:rFonts w:ascii="宋体"/>
                <w:w w:val="95"/>
                <w:sz w:val="12"/>
              </w:rPr>
              <w:t>5,648,008</w:t>
            </w:r>
            <w:r>
              <w:rPr>
                <w:rFonts w:ascii="宋体"/>
                <w:sz w:val="12"/>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1"/>
              <w:jc w:val="right"/>
              <w:rPr>
                <w:rFonts w:ascii="宋体" w:hAnsi="宋体" w:cs="宋体" w:eastAsia="宋体" w:hint="default"/>
                <w:sz w:val="12"/>
                <w:szCs w:val="12"/>
              </w:rPr>
            </w:pPr>
            <w:r>
              <w:rPr>
                <w:rFonts w:ascii="宋体"/>
                <w:w w:val="90"/>
                <w:sz w:val="12"/>
              </w:rPr>
              <w:t>(4,154,000,000)</w:t>
            </w:r>
            <w:r>
              <w:rPr>
                <w:rFonts w:ascii="宋体"/>
                <w:sz w:val="12"/>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3"/>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spacing w:line="68" w:lineRule="exact"/>
              <w:ind w:left="28" w:right="0"/>
              <w:jc w:val="left"/>
              <w:rPr>
                <w:rFonts w:ascii="宋体" w:hAnsi="宋体" w:cs="宋体" w:eastAsia="宋体" w:hint="default"/>
                <w:sz w:val="12"/>
                <w:szCs w:val="12"/>
              </w:rPr>
            </w:pPr>
            <w:r>
              <w:rPr>
                <w:rFonts w:ascii="宋体" w:hAnsi="宋体" w:cs="宋体" w:eastAsia="宋体" w:hint="default"/>
                <w:w w:val="105"/>
                <w:sz w:val="12"/>
                <w:szCs w:val="12"/>
              </w:rPr>
              <w:t>2015</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年第三期中</w:t>
            </w:r>
          </w:p>
          <w:p>
            <w:pPr>
              <w:pStyle w:val="TableParagraph"/>
              <w:tabs>
                <w:tab w:pos="1144" w:val="left" w:leader="none"/>
                <w:tab w:pos="3224" w:val="left" w:leader="none"/>
              </w:tabs>
              <w:spacing w:line="240" w:lineRule="auto" w:before="43"/>
              <w:ind w:left="28" w:right="0"/>
              <w:jc w:val="left"/>
              <w:rPr>
                <w:rFonts w:ascii="宋体" w:hAnsi="宋体" w:cs="宋体" w:eastAsia="宋体" w:hint="default"/>
                <w:sz w:val="12"/>
                <w:szCs w:val="12"/>
              </w:rPr>
            </w:pPr>
            <w:r>
              <w:rPr>
                <w:rFonts w:ascii="宋体" w:hAnsi="宋体" w:cs="宋体" w:eastAsia="宋体" w:hint="default"/>
                <w:sz w:val="12"/>
                <w:szCs w:val="12"/>
              </w:rPr>
              <w:t>期票据</w:t>
              <w:tab/>
            </w:r>
            <w:r>
              <w:rPr>
                <w:rFonts w:ascii="宋体" w:hAnsi="宋体" w:cs="宋体" w:eastAsia="宋体" w:hint="default"/>
                <w:w w:val="110"/>
                <w:sz w:val="12"/>
                <w:szCs w:val="12"/>
              </w:rPr>
              <w:t>35</w:t>
            </w:r>
            <w:r>
              <w:rPr>
                <w:rFonts w:ascii="宋体" w:hAnsi="宋体" w:cs="宋体" w:eastAsia="宋体" w:hint="default"/>
                <w:spacing w:val="-42"/>
                <w:w w:val="110"/>
                <w:sz w:val="12"/>
                <w:szCs w:val="12"/>
              </w:rPr>
              <w:t> </w:t>
            </w:r>
            <w:r>
              <w:rPr>
                <w:rFonts w:ascii="宋体" w:hAnsi="宋体" w:cs="宋体" w:eastAsia="宋体" w:hint="default"/>
                <w:w w:val="110"/>
                <w:sz w:val="12"/>
                <w:szCs w:val="12"/>
              </w:rPr>
              <w:t>亿元</w:t>
            </w:r>
            <w:r>
              <w:rPr>
                <w:rFonts w:ascii="宋体" w:hAnsi="宋体" w:cs="宋体" w:eastAsia="宋体" w:hint="default"/>
                <w:spacing w:val="19"/>
                <w:w w:val="110"/>
                <w:sz w:val="12"/>
                <w:szCs w:val="12"/>
              </w:rPr>
              <w:t> </w:t>
            </w:r>
            <w:r>
              <w:rPr>
                <w:rFonts w:ascii="宋体" w:hAnsi="宋体" w:cs="宋体" w:eastAsia="宋体" w:hint="default"/>
                <w:w w:val="110"/>
                <w:sz w:val="12"/>
                <w:szCs w:val="12"/>
              </w:rPr>
              <w:t>2015</w:t>
            </w:r>
            <w:r>
              <w:rPr>
                <w:rFonts w:ascii="宋体" w:hAnsi="宋体" w:cs="宋体" w:eastAsia="宋体" w:hint="default"/>
                <w:spacing w:val="-42"/>
                <w:w w:val="110"/>
                <w:sz w:val="12"/>
                <w:szCs w:val="12"/>
              </w:rPr>
              <w:t> </w:t>
            </w:r>
            <w:r>
              <w:rPr>
                <w:rFonts w:ascii="宋体" w:hAnsi="宋体" w:cs="宋体" w:eastAsia="宋体" w:hint="default"/>
                <w:w w:val="110"/>
                <w:sz w:val="12"/>
                <w:szCs w:val="12"/>
              </w:rPr>
              <w:t>年</w:t>
            </w:r>
            <w:r>
              <w:rPr>
                <w:rFonts w:ascii="宋体" w:hAnsi="宋体" w:cs="宋体" w:eastAsia="宋体" w:hint="default"/>
                <w:spacing w:val="-41"/>
                <w:w w:val="110"/>
                <w:sz w:val="12"/>
                <w:szCs w:val="12"/>
              </w:rPr>
              <w:t> </w:t>
            </w:r>
            <w:r>
              <w:rPr>
                <w:rFonts w:ascii="宋体" w:hAnsi="宋体" w:cs="宋体" w:eastAsia="宋体" w:hint="default"/>
                <w:w w:val="110"/>
                <w:sz w:val="12"/>
                <w:szCs w:val="12"/>
              </w:rPr>
              <w:t>11</w:t>
            </w:r>
            <w:r>
              <w:rPr>
                <w:rFonts w:ascii="宋体" w:hAnsi="宋体" w:cs="宋体" w:eastAsia="宋体" w:hint="default"/>
                <w:spacing w:val="-42"/>
                <w:w w:val="110"/>
                <w:sz w:val="12"/>
                <w:szCs w:val="12"/>
              </w:rPr>
              <w:t> </w:t>
            </w:r>
            <w:r>
              <w:rPr>
                <w:rFonts w:ascii="宋体" w:hAnsi="宋体" w:cs="宋体" w:eastAsia="宋体" w:hint="default"/>
                <w:w w:val="110"/>
                <w:sz w:val="12"/>
                <w:szCs w:val="12"/>
              </w:rPr>
              <w:t>月</w:t>
            </w:r>
            <w:r>
              <w:rPr>
                <w:rFonts w:ascii="宋体" w:hAnsi="宋体" w:cs="宋体" w:eastAsia="宋体" w:hint="default"/>
                <w:spacing w:val="-41"/>
                <w:w w:val="110"/>
                <w:sz w:val="12"/>
                <w:szCs w:val="12"/>
              </w:rPr>
              <w:t> </w:t>
            </w:r>
            <w:r>
              <w:rPr>
                <w:rFonts w:ascii="宋体" w:hAnsi="宋体" w:cs="宋体" w:eastAsia="宋体" w:hint="default"/>
                <w:w w:val="110"/>
                <w:sz w:val="12"/>
                <w:szCs w:val="12"/>
              </w:rPr>
              <w:t>30</w:t>
            </w:r>
            <w:r>
              <w:rPr>
                <w:rFonts w:ascii="宋体" w:hAnsi="宋体" w:cs="宋体" w:eastAsia="宋体" w:hint="default"/>
                <w:spacing w:val="-42"/>
                <w:w w:val="110"/>
                <w:sz w:val="12"/>
                <w:szCs w:val="12"/>
              </w:rPr>
              <w:t> </w:t>
            </w:r>
            <w:r>
              <w:rPr>
                <w:rFonts w:ascii="宋体" w:hAnsi="宋体" w:cs="宋体" w:eastAsia="宋体" w:hint="default"/>
                <w:w w:val="110"/>
                <w:sz w:val="12"/>
                <w:szCs w:val="12"/>
              </w:rPr>
              <w:t>日</w:t>
            </w:r>
            <w:r>
              <w:rPr>
                <w:rFonts w:ascii="宋体" w:hAnsi="宋体" w:cs="宋体" w:eastAsia="宋体" w:hint="default"/>
                <w:spacing w:val="27"/>
                <w:w w:val="110"/>
                <w:sz w:val="12"/>
                <w:szCs w:val="12"/>
              </w:rPr>
              <w:t> </w:t>
            </w:r>
            <w:r>
              <w:rPr>
                <w:rFonts w:ascii="宋体" w:hAnsi="宋体" w:cs="宋体" w:eastAsia="宋体" w:hint="default"/>
                <w:spacing w:val="14"/>
                <w:w w:val="110"/>
                <w:sz w:val="12"/>
                <w:szCs w:val="12"/>
              </w:rPr>
              <w:t>3年</w:t>
              <w:tab/>
            </w:r>
            <w:r>
              <w:rPr>
                <w:rFonts w:ascii="宋体" w:hAnsi="宋体" w:cs="宋体" w:eastAsia="宋体" w:hint="default"/>
                <w:w w:val="110"/>
                <w:sz w:val="12"/>
                <w:szCs w:val="12"/>
              </w:rPr>
              <w:t>3.30%</w:t>
            </w:r>
            <w:r>
              <w:rPr>
                <w:rFonts w:ascii="宋体" w:hAnsi="宋体" w:cs="宋体" w:eastAsia="宋体" w:hint="default"/>
                <w:sz w:val="12"/>
                <w:szCs w:val="12"/>
              </w:rPr>
            </w:r>
          </w:p>
        </w:tc>
        <w:tc>
          <w:tcPr>
            <w:tcW w:w="5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w w:val="105"/>
                <w:sz w:val="12"/>
                <w:szCs w:val="12"/>
              </w:rPr>
              <w:t>35</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50" w:right="0"/>
              <w:jc w:val="center"/>
              <w:rPr>
                <w:rFonts w:ascii="宋体" w:hAnsi="宋体" w:cs="宋体" w:eastAsia="宋体" w:hint="default"/>
                <w:sz w:val="12"/>
                <w:szCs w:val="12"/>
              </w:rPr>
            </w:pPr>
            <w:r>
              <w:rPr>
                <w:rFonts w:ascii="宋体"/>
                <w:sz w:val="12"/>
              </w:rPr>
              <w:t>3,500,203,795</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465" w:val="left" w:leader="none"/>
              </w:tabs>
              <w:spacing w:line="240" w:lineRule="auto"/>
              <w:ind w:left="82" w:right="0"/>
              <w:jc w:val="left"/>
              <w:rPr>
                <w:rFonts w:ascii="宋体" w:hAnsi="宋体" w:cs="宋体" w:eastAsia="宋体" w:hint="default"/>
                <w:sz w:val="12"/>
                <w:szCs w:val="12"/>
              </w:rPr>
            </w:pPr>
            <w:r>
              <w:rPr>
                <w:rFonts w:ascii="宋体"/>
                <w:w w:val="115"/>
                <w:sz w:val="12"/>
              </w:rPr>
              <w:t>-</w:t>
              <w:tab/>
            </w:r>
            <w:r>
              <w:rPr>
                <w:rFonts w:ascii="宋体"/>
                <w:w w:val="110"/>
                <w:sz w:val="12"/>
              </w:rPr>
              <w:t>105,373,973</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8"/>
              <w:jc w:val="right"/>
              <w:rPr>
                <w:rFonts w:ascii="宋体" w:hAnsi="宋体" w:cs="宋体" w:eastAsia="宋体" w:hint="default"/>
                <w:sz w:val="12"/>
                <w:szCs w:val="12"/>
              </w:rPr>
            </w:pPr>
            <w:r>
              <w:rPr>
                <w:rFonts w:ascii="宋体"/>
                <w:w w:val="95"/>
                <w:sz w:val="12"/>
              </w:rPr>
              <w:t>9,922,232</w:t>
            </w:r>
            <w:r>
              <w:rPr>
                <w:rFonts w:ascii="宋体"/>
                <w:sz w:val="12"/>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1"/>
              <w:jc w:val="right"/>
              <w:rPr>
                <w:rFonts w:ascii="宋体" w:hAnsi="宋体" w:cs="宋体" w:eastAsia="宋体" w:hint="default"/>
                <w:sz w:val="12"/>
                <w:szCs w:val="12"/>
              </w:rPr>
            </w:pPr>
            <w:r>
              <w:rPr>
                <w:rFonts w:ascii="宋体"/>
                <w:w w:val="90"/>
                <w:sz w:val="12"/>
              </w:rPr>
              <w:t>(3,615,500,000)</w:t>
            </w:r>
            <w:r>
              <w:rPr>
                <w:rFonts w:ascii="宋体"/>
                <w:sz w:val="12"/>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3"/>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spacing w:line="68" w:lineRule="exact"/>
              <w:ind w:left="28" w:right="0"/>
              <w:jc w:val="left"/>
              <w:rPr>
                <w:rFonts w:ascii="宋体" w:hAnsi="宋体" w:cs="宋体" w:eastAsia="宋体" w:hint="default"/>
                <w:sz w:val="12"/>
                <w:szCs w:val="12"/>
              </w:rPr>
            </w:pPr>
            <w:r>
              <w:rPr>
                <w:rFonts w:ascii="宋体" w:hAnsi="宋体" w:cs="宋体" w:eastAsia="宋体" w:hint="default"/>
                <w:w w:val="105"/>
                <w:sz w:val="12"/>
                <w:szCs w:val="12"/>
              </w:rPr>
              <w:t>2015</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年第四期中</w:t>
            </w:r>
          </w:p>
          <w:p>
            <w:pPr>
              <w:pStyle w:val="TableParagraph"/>
              <w:tabs>
                <w:tab w:pos="1144" w:val="left" w:leader="none"/>
                <w:tab w:pos="3224" w:val="left" w:leader="none"/>
              </w:tabs>
              <w:spacing w:line="240" w:lineRule="auto" w:before="43"/>
              <w:ind w:left="28" w:right="0"/>
              <w:jc w:val="left"/>
              <w:rPr>
                <w:rFonts w:ascii="宋体" w:hAnsi="宋体" w:cs="宋体" w:eastAsia="宋体" w:hint="default"/>
                <w:sz w:val="12"/>
                <w:szCs w:val="12"/>
              </w:rPr>
            </w:pPr>
            <w:r>
              <w:rPr>
                <w:rFonts w:ascii="宋体" w:hAnsi="宋体" w:cs="宋体" w:eastAsia="宋体" w:hint="default"/>
                <w:sz w:val="12"/>
                <w:szCs w:val="12"/>
              </w:rPr>
              <w:t>期票据</w:t>
              <w:tab/>
            </w:r>
            <w:r>
              <w:rPr>
                <w:rFonts w:ascii="宋体" w:hAnsi="宋体" w:cs="宋体" w:eastAsia="宋体" w:hint="default"/>
                <w:w w:val="110"/>
                <w:sz w:val="12"/>
                <w:szCs w:val="12"/>
              </w:rPr>
              <w:t>35</w:t>
            </w:r>
            <w:r>
              <w:rPr>
                <w:rFonts w:ascii="宋体" w:hAnsi="宋体" w:cs="宋体" w:eastAsia="宋体" w:hint="default"/>
                <w:spacing w:val="-42"/>
                <w:w w:val="110"/>
                <w:sz w:val="12"/>
                <w:szCs w:val="12"/>
              </w:rPr>
              <w:t> </w:t>
            </w:r>
            <w:r>
              <w:rPr>
                <w:rFonts w:ascii="宋体" w:hAnsi="宋体" w:cs="宋体" w:eastAsia="宋体" w:hint="default"/>
                <w:w w:val="110"/>
                <w:sz w:val="12"/>
                <w:szCs w:val="12"/>
              </w:rPr>
              <w:t>亿元</w:t>
            </w:r>
            <w:r>
              <w:rPr>
                <w:rFonts w:ascii="宋体" w:hAnsi="宋体" w:cs="宋体" w:eastAsia="宋体" w:hint="default"/>
                <w:spacing w:val="19"/>
                <w:w w:val="110"/>
                <w:sz w:val="12"/>
                <w:szCs w:val="12"/>
              </w:rPr>
              <w:t> </w:t>
            </w:r>
            <w:r>
              <w:rPr>
                <w:rFonts w:ascii="宋体" w:hAnsi="宋体" w:cs="宋体" w:eastAsia="宋体" w:hint="default"/>
                <w:w w:val="110"/>
                <w:sz w:val="12"/>
                <w:szCs w:val="12"/>
              </w:rPr>
              <w:t>2015</w:t>
            </w:r>
            <w:r>
              <w:rPr>
                <w:rFonts w:ascii="宋体" w:hAnsi="宋体" w:cs="宋体" w:eastAsia="宋体" w:hint="default"/>
                <w:spacing w:val="-42"/>
                <w:w w:val="110"/>
                <w:sz w:val="12"/>
                <w:szCs w:val="12"/>
              </w:rPr>
              <w:t> </w:t>
            </w:r>
            <w:r>
              <w:rPr>
                <w:rFonts w:ascii="宋体" w:hAnsi="宋体" w:cs="宋体" w:eastAsia="宋体" w:hint="default"/>
                <w:w w:val="110"/>
                <w:sz w:val="12"/>
                <w:szCs w:val="12"/>
              </w:rPr>
              <w:t>年</w:t>
            </w:r>
            <w:r>
              <w:rPr>
                <w:rFonts w:ascii="宋体" w:hAnsi="宋体" w:cs="宋体" w:eastAsia="宋体" w:hint="default"/>
                <w:spacing w:val="-41"/>
                <w:w w:val="110"/>
                <w:sz w:val="12"/>
                <w:szCs w:val="12"/>
              </w:rPr>
              <w:t> </w:t>
            </w:r>
            <w:r>
              <w:rPr>
                <w:rFonts w:ascii="宋体" w:hAnsi="宋体" w:cs="宋体" w:eastAsia="宋体" w:hint="default"/>
                <w:w w:val="110"/>
                <w:sz w:val="12"/>
                <w:szCs w:val="12"/>
              </w:rPr>
              <w:t>11</w:t>
            </w:r>
            <w:r>
              <w:rPr>
                <w:rFonts w:ascii="宋体" w:hAnsi="宋体" w:cs="宋体" w:eastAsia="宋体" w:hint="default"/>
                <w:spacing w:val="-42"/>
                <w:w w:val="110"/>
                <w:sz w:val="12"/>
                <w:szCs w:val="12"/>
              </w:rPr>
              <w:t> </w:t>
            </w:r>
            <w:r>
              <w:rPr>
                <w:rFonts w:ascii="宋体" w:hAnsi="宋体" w:cs="宋体" w:eastAsia="宋体" w:hint="default"/>
                <w:w w:val="110"/>
                <w:sz w:val="12"/>
                <w:szCs w:val="12"/>
              </w:rPr>
              <w:t>月</w:t>
            </w:r>
            <w:r>
              <w:rPr>
                <w:rFonts w:ascii="宋体" w:hAnsi="宋体" w:cs="宋体" w:eastAsia="宋体" w:hint="default"/>
                <w:spacing w:val="-41"/>
                <w:w w:val="110"/>
                <w:sz w:val="12"/>
                <w:szCs w:val="12"/>
              </w:rPr>
              <w:t> </w:t>
            </w:r>
            <w:r>
              <w:rPr>
                <w:rFonts w:ascii="宋体" w:hAnsi="宋体" w:cs="宋体" w:eastAsia="宋体" w:hint="default"/>
                <w:w w:val="110"/>
                <w:sz w:val="12"/>
                <w:szCs w:val="12"/>
              </w:rPr>
              <w:t>30</w:t>
            </w:r>
            <w:r>
              <w:rPr>
                <w:rFonts w:ascii="宋体" w:hAnsi="宋体" w:cs="宋体" w:eastAsia="宋体" w:hint="default"/>
                <w:spacing w:val="-42"/>
                <w:w w:val="110"/>
                <w:sz w:val="12"/>
                <w:szCs w:val="12"/>
              </w:rPr>
              <w:t> </w:t>
            </w:r>
            <w:r>
              <w:rPr>
                <w:rFonts w:ascii="宋体" w:hAnsi="宋体" w:cs="宋体" w:eastAsia="宋体" w:hint="default"/>
                <w:w w:val="110"/>
                <w:sz w:val="12"/>
                <w:szCs w:val="12"/>
              </w:rPr>
              <w:t>日</w:t>
            </w:r>
            <w:r>
              <w:rPr>
                <w:rFonts w:ascii="宋体" w:hAnsi="宋体" w:cs="宋体" w:eastAsia="宋体" w:hint="default"/>
                <w:spacing w:val="27"/>
                <w:w w:val="110"/>
                <w:sz w:val="12"/>
                <w:szCs w:val="12"/>
              </w:rPr>
              <w:t> </w:t>
            </w:r>
            <w:r>
              <w:rPr>
                <w:rFonts w:ascii="宋体" w:hAnsi="宋体" w:cs="宋体" w:eastAsia="宋体" w:hint="default"/>
                <w:spacing w:val="14"/>
                <w:w w:val="110"/>
                <w:sz w:val="12"/>
                <w:szCs w:val="12"/>
              </w:rPr>
              <w:t>3年</w:t>
              <w:tab/>
            </w:r>
            <w:r>
              <w:rPr>
                <w:rFonts w:ascii="宋体" w:hAnsi="宋体" w:cs="宋体" w:eastAsia="宋体" w:hint="default"/>
                <w:w w:val="110"/>
                <w:sz w:val="12"/>
                <w:szCs w:val="12"/>
              </w:rPr>
              <w:t>3.30%</w:t>
            </w:r>
            <w:r>
              <w:rPr>
                <w:rFonts w:ascii="宋体" w:hAnsi="宋体" w:cs="宋体" w:eastAsia="宋体" w:hint="default"/>
                <w:sz w:val="12"/>
                <w:szCs w:val="12"/>
              </w:rPr>
            </w:r>
          </w:p>
        </w:tc>
        <w:tc>
          <w:tcPr>
            <w:tcW w:w="5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w w:val="105"/>
                <w:sz w:val="12"/>
                <w:szCs w:val="12"/>
              </w:rPr>
              <w:t>35</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50" w:right="0"/>
              <w:jc w:val="center"/>
              <w:rPr>
                <w:rFonts w:ascii="宋体" w:hAnsi="宋体" w:cs="宋体" w:eastAsia="宋体" w:hint="default"/>
                <w:sz w:val="12"/>
                <w:szCs w:val="12"/>
              </w:rPr>
            </w:pPr>
            <w:r>
              <w:rPr>
                <w:rFonts w:ascii="宋体"/>
                <w:sz w:val="12"/>
              </w:rPr>
              <w:t>3,500,203,795</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465" w:val="left" w:leader="none"/>
              </w:tabs>
              <w:spacing w:line="240" w:lineRule="auto"/>
              <w:ind w:left="82" w:right="0"/>
              <w:jc w:val="left"/>
              <w:rPr>
                <w:rFonts w:ascii="宋体" w:hAnsi="宋体" w:cs="宋体" w:eastAsia="宋体" w:hint="default"/>
                <w:sz w:val="12"/>
                <w:szCs w:val="12"/>
              </w:rPr>
            </w:pPr>
            <w:r>
              <w:rPr>
                <w:rFonts w:ascii="宋体"/>
                <w:w w:val="115"/>
                <w:sz w:val="12"/>
              </w:rPr>
              <w:t>-</w:t>
              <w:tab/>
            </w:r>
            <w:r>
              <w:rPr>
                <w:rFonts w:ascii="宋体"/>
                <w:w w:val="110"/>
                <w:sz w:val="12"/>
              </w:rPr>
              <w:t>105,373,973</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8"/>
              <w:jc w:val="right"/>
              <w:rPr>
                <w:rFonts w:ascii="宋体" w:hAnsi="宋体" w:cs="宋体" w:eastAsia="宋体" w:hint="default"/>
                <w:sz w:val="12"/>
                <w:szCs w:val="12"/>
              </w:rPr>
            </w:pPr>
            <w:r>
              <w:rPr>
                <w:rFonts w:ascii="宋体"/>
                <w:w w:val="95"/>
                <w:sz w:val="12"/>
              </w:rPr>
              <w:t>9,922,232</w:t>
            </w:r>
            <w:r>
              <w:rPr>
                <w:rFonts w:ascii="宋体"/>
                <w:sz w:val="12"/>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1"/>
              <w:jc w:val="right"/>
              <w:rPr>
                <w:rFonts w:ascii="宋体" w:hAnsi="宋体" w:cs="宋体" w:eastAsia="宋体" w:hint="default"/>
                <w:sz w:val="12"/>
                <w:szCs w:val="12"/>
              </w:rPr>
            </w:pPr>
            <w:r>
              <w:rPr>
                <w:rFonts w:ascii="宋体"/>
                <w:w w:val="90"/>
                <w:sz w:val="12"/>
              </w:rPr>
              <w:t>(3,615,500,000)</w:t>
            </w:r>
            <w:r>
              <w:rPr>
                <w:rFonts w:ascii="宋体"/>
                <w:sz w:val="12"/>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3"/>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spacing w:line="68" w:lineRule="exact"/>
              <w:ind w:left="28" w:right="0"/>
              <w:jc w:val="left"/>
              <w:rPr>
                <w:rFonts w:ascii="宋体" w:hAnsi="宋体" w:cs="宋体" w:eastAsia="宋体" w:hint="default"/>
                <w:sz w:val="12"/>
                <w:szCs w:val="12"/>
              </w:rPr>
            </w:pPr>
            <w:r>
              <w:rPr>
                <w:rFonts w:ascii="宋体" w:hAnsi="宋体" w:cs="宋体" w:eastAsia="宋体" w:hint="default"/>
                <w:w w:val="105"/>
                <w:sz w:val="12"/>
                <w:szCs w:val="12"/>
              </w:rPr>
              <w:t>2015</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年第五期中</w:t>
            </w:r>
          </w:p>
          <w:p>
            <w:pPr>
              <w:pStyle w:val="TableParagraph"/>
              <w:tabs>
                <w:tab w:pos="1144" w:val="left" w:leader="none"/>
                <w:tab w:pos="3224" w:val="left" w:leader="none"/>
              </w:tabs>
              <w:spacing w:line="240" w:lineRule="auto" w:before="43"/>
              <w:ind w:left="28" w:right="0"/>
              <w:jc w:val="left"/>
              <w:rPr>
                <w:rFonts w:ascii="宋体" w:hAnsi="宋体" w:cs="宋体" w:eastAsia="宋体" w:hint="default"/>
                <w:sz w:val="12"/>
                <w:szCs w:val="12"/>
              </w:rPr>
            </w:pPr>
            <w:r>
              <w:rPr>
                <w:rFonts w:ascii="宋体" w:hAnsi="宋体" w:cs="宋体" w:eastAsia="宋体" w:hint="default"/>
                <w:sz w:val="12"/>
                <w:szCs w:val="12"/>
              </w:rPr>
              <w:t>期票据</w:t>
              <w:tab/>
            </w:r>
            <w:r>
              <w:rPr>
                <w:rFonts w:ascii="宋体" w:hAnsi="宋体" w:cs="宋体" w:eastAsia="宋体" w:hint="default"/>
                <w:w w:val="110"/>
                <w:sz w:val="12"/>
                <w:szCs w:val="12"/>
              </w:rPr>
              <w:t>30</w:t>
            </w:r>
            <w:r>
              <w:rPr>
                <w:rFonts w:ascii="宋体" w:hAnsi="宋体" w:cs="宋体" w:eastAsia="宋体" w:hint="default"/>
                <w:spacing w:val="-42"/>
                <w:w w:val="110"/>
                <w:sz w:val="12"/>
                <w:szCs w:val="12"/>
              </w:rPr>
              <w:t> </w:t>
            </w:r>
            <w:r>
              <w:rPr>
                <w:rFonts w:ascii="宋体" w:hAnsi="宋体" w:cs="宋体" w:eastAsia="宋体" w:hint="default"/>
                <w:w w:val="110"/>
                <w:sz w:val="12"/>
                <w:szCs w:val="12"/>
              </w:rPr>
              <w:t>亿元</w:t>
            </w:r>
            <w:r>
              <w:rPr>
                <w:rFonts w:ascii="宋体" w:hAnsi="宋体" w:cs="宋体" w:eastAsia="宋体" w:hint="default"/>
                <w:spacing w:val="19"/>
                <w:w w:val="110"/>
                <w:sz w:val="12"/>
                <w:szCs w:val="12"/>
              </w:rPr>
              <w:t> </w:t>
            </w:r>
            <w:r>
              <w:rPr>
                <w:rFonts w:ascii="宋体" w:hAnsi="宋体" w:cs="宋体" w:eastAsia="宋体" w:hint="default"/>
                <w:w w:val="110"/>
                <w:sz w:val="12"/>
                <w:szCs w:val="12"/>
              </w:rPr>
              <w:t>2015</w:t>
            </w:r>
            <w:r>
              <w:rPr>
                <w:rFonts w:ascii="宋体" w:hAnsi="宋体" w:cs="宋体" w:eastAsia="宋体" w:hint="default"/>
                <w:spacing w:val="-42"/>
                <w:w w:val="110"/>
                <w:sz w:val="12"/>
                <w:szCs w:val="12"/>
              </w:rPr>
              <w:t> </w:t>
            </w:r>
            <w:r>
              <w:rPr>
                <w:rFonts w:ascii="宋体" w:hAnsi="宋体" w:cs="宋体" w:eastAsia="宋体" w:hint="default"/>
                <w:w w:val="110"/>
                <w:sz w:val="12"/>
                <w:szCs w:val="12"/>
              </w:rPr>
              <w:t>年</w:t>
            </w:r>
            <w:r>
              <w:rPr>
                <w:rFonts w:ascii="宋体" w:hAnsi="宋体" w:cs="宋体" w:eastAsia="宋体" w:hint="default"/>
                <w:spacing w:val="-41"/>
                <w:w w:val="110"/>
                <w:sz w:val="12"/>
                <w:szCs w:val="12"/>
              </w:rPr>
              <w:t> </w:t>
            </w:r>
            <w:r>
              <w:rPr>
                <w:rFonts w:ascii="宋体" w:hAnsi="宋体" w:cs="宋体" w:eastAsia="宋体" w:hint="default"/>
                <w:w w:val="110"/>
                <w:sz w:val="12"/>
                <w:szCs w:val="12"/>
              </w:rPr>
              <w:t>11</w:t>
            </w:r>
            <w:r>
              <w:rPr>
                <w:rFonts w:ascii="宋体" w:hAnsi="宋体" w:cs="宋体" w:eastAsia="宋体" w:hint="default"/>
                <w:spacing w:val="-42"/>
                <w:w w:val="110"/>
                <w:sz w:val="12"/>
                <w:szCs w:val="12"/>
              </w:rPr>
              <w:t> </w:t>
            </w:r>
            <w:r>
              <w:rPr>
                <w:rFonts w:ascii="宋体" w:hAnsi="宋体" w:cs="宋体" w:eastAsia="宋体" w:hint="default"/>
                <w:w w:val="110"/>
                <w:sz w:val="12"/>
                <w:szCs w:val="12"/>
              </w:rPr>
              <w:t>月</w:t>
            </w:r>
            <w:r>
              <w:rPr>
                <w:rFonts w:ascii="宋体" w:hAnsi="宋体" w:cs="宋体" w:eastAsia="宋体" w:hint="default"/>
                <w:spacing w:val="-41"/>
                <w:w w:val="110"/>
                <w:sz w:val="12"/>
                <w:szCs w:val="12"/>
              </w:rPr>
              <w:t> </w:t>
            </w:r>
            <w:r>
              <w:rPr>
                <w:rFonts w:ascii="宋体" w:hAnsi="宋体" w:cs="宋体" w:eastAsia="宋体" w:hint="default"/>
                <w:w w:val="110"/>
                <w:sz w:val="12"/>
                <w:szCs w:val="12"/>
              </w:rPr>
              <w:t>30</w:t>
            </w:r>
            <w:r>
              <w:rPr>
                <w:rFonts w:ascii="宋体" w:hAnsi="宋体" w:cs="宋体" w:eastAsia="宋体" w:hint="default"/>
                <w:spacing w:val="-42"/>
                <w:w w:val="110"/>
                <w:sz w:val="12"/>
                <w:szCs w:val="12"/>
              </w:rPr>
              <w:t> </w:t>
            </w:r>
            <w:r>
              <w:rPr>
                <w:rFonts w:ascii="宋体" w:hAnsi="宋体" w:cs="宋体" w:eastAsia="宋体" w:hint="default"/>
                <w:w w:val="110"/>
                <w:sz w:val="12"/>
                <w:szCs w:val="12"/>
              </w:rPr>
              <w:t>日</w:t>
            </w:r>
            <w:r>
              <w:rPr>
                <w:rFonts w:ascii="宋体" w:hAnsi="宋体" w:cs="宋体" w:eastAsia="宋体" w:hint="default"/>
                <w:spacing w:val="27"/>
                <w:w w:val="110"/>
                <w:sz w:val="12"/>
                <w:szCs w:val="12"/>
              </w:rPr>
              <w:t> </w:t>
            </w:r>
            <w:r>
              <w:rPr>
                <w:rFonts w:ascii="宋体" w:hAnsi="宋体" w:cs="宋体" w:eastAsia="宋体" w:hint="default"/>
                <w:spacing w:val="14"/>
                <w:w w:val="110"/>
                <w:sz w:val="12"/>
                <w:szCs w:val="12"/>
              </w:rPr>
              <w:t>3年</w:t>
              <w:tab/>
            </w:r>
            <w:r>
              <w:rPr>
                <w:rFonts w:ascii="宋体" w:hAnsi="宋体" w:cs="宋体" w:eastAsia="宋体" w:hint="default"/>
                <w:w w:val="110"/>
                <w:sz w:val="12"/>
                <w:szCs w:val="12"/>
              </w:rPr>
              <w:t>3.30%</w:t>
            </w:r>
            <w:r>
              <w:rPr>
                <w:rFonts w:ascii="宋体" w:hAnsi="宋体" w:cs="宋体" w:eastAsia="宋体" w:hint="default"/>
                <w:sz w:val="12"/>
                <w:szCs w:val="12"/>
              </w:rPr>
            </w:r>
          </w:p>
        </w:tc>
        <w:tc>
          <w:tcPr>
            <w:tcW w:w="5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w w:val="105"/>
                <w:sz w:val="12"/>
                <w:szCs w:val="12"/>
              </w:rPr>
              <w:t>30</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50" w:right="0"/>
              <w:jc w:val="center"/>
              <w:rPr>
                <w:rFonts w:ascii="宋体" w:hAnsi="宋体" w:cs="宋体" w:eastAsia="宋体" w:hint="default"/>
                <w:sz w:val="12"/>
                <w:szCs w:val="12"/>
              </w:rPr>
            </w:pPr>
            <w:r>
              <w:rPr>
                <w:rFonts w:ascii="宋体"/>
                <w:sz w:val="12"/>
              </w:rPr>
              <w:t>3,000,174,682</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31" w:val="left" w:leader="none"/>
              </w:tabs>
              <w:spacing w:line="240" w:lineRule="auto"/>
              <w:ind w:left="82" w:right="0"/>
              <w:jc w:val="left"/>
              <w:rPr>
                <w:rFonts w:ascii="宋体" w:hAnsi="宋体" w:cs="宋体" w:eastAsia="宋体" w:hint="default"/>
                <w:sz w:val="12"/>
                <w:szCs w:val="12"/>
              </w:rPr>
            </w:pPr>
            <w:r>
              <w:rPr>
                <w:rFonts w:ascii="宋体"/>
                <w:w w:val="115"/>
                <w:sz w:val="12"/>
              </w:rPr>
              <w:t>-</w:t>
              <w:tab/>
            </w:r>
            <w:r>
              <w:rPr>
                <w:rFonts w:ascii="宋体"/>
                <w:w w:val="110"/>
                <w:sz w:val="12"/>
              </w:rPr>
              <w:t>90,320,548</w:t>
            </w:r>
            <w:r>
              <w:rPr>
                <w:rFonts w:ascii="宋体"/>
                <w:sz w:val="12"/>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8"/>
              <w:jc w:val="right"/>
              <w:rPr>
                <w:rFonts w:ascii="宋体" w:hAnsi="宋体" w:cs="宋体" w:eastAsia="宋体" w:hint="default"/>
                <w:sz w:val="12"/>
                <w:szCs w:val="12"/>
              </w:rPr>
            </w:pPr>
            <w:r>
              <w:rPr>
                <w:rFonts w:ascii="宋体"/>
                <w:w w:val="95"/>
                <w:sz w:val="12"/>
              </w:rPr>
              <w:t>8,504,770</w:t>
            </w:r>
            <w:r>
              <w:rPr>
                <w:rFonts w:ascii="宋体"/>
                <w:sz w:val="12"/>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1"/>
              <w:jc w:val="right"/>
              <w:rPr>
                <w:rFonts w:ascii="宋体" w:hAnsi="宋体" w:cs="宋体" w:eastAsia="宋体" w:hint="default"/>
                <w:sz w:val="12"/>
                <w:szCs w:val="12"/>
              </w:rPr>
            </w:pPr>
            <w:r>
              <w:rPr>
                <w:rFonts w:ascii="宋体"/>
                <w:w w:val="90"/>
                <w:sz w:val="12"/>
              </w:rPr>
              <w:t>(3,099,000,000)</w:t>
            </w:r>
            <w:r>
              <w:rPr>
                <w:rFonts w:ascii="宋体"/>
                <w:sz w:val="12"/>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3"/>
              <w:jc w:val="right"/>
              <w:rPr>
                <w:rFonts w:ascii="宋体" w:hAnsi="宋体" w:cs="宋体" w:eastAsia="宋体" w:hint="default"/>
                <w:sz w:val="12"/>
                <w:szCs w:val="12"/>
              </w:rPr>
            </w:pPr>
            <w:r>
              <w:rPr>
                <w:rFonts w:ascii="宋体"/>
                <w:w w:val="131"/>
                <w:sz w:val="12"/>
              </w:rPr>
              <w:t>-</w:t>
            </w:r>
            <w:r>
              <w:rPr>
                <w:rFonts w:ascii="宋体"/>
                <w:sz w:val="12"/>
              </w:rPr>
            </w:r>
          </w:p>
        </w:tc>
      </w:tr>
      <w:tr>
        <w:trPr>
          <w:trHeight w:val="433"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spacing w:line="68" w:lineRule="exact"/>
              <w:ind w:left="28" w:right="0"/>
              <w:jc w:val="left"/>
              <w:rPr>
                <w:rFonts w:ascii="宋体" w:hAnsi="宋体" w:cs="宋体" w:eastAsia="宋体" w:hint="default"/>
                <w:sz w:val="12"/>
                <w:szCs w:val="12"/>
              </w:rPr>
            </w:pPr>
            <w:r>
              <w:rPr>
                <w:rFonts w:ascii="宋体" w:hAnsi="宋体" w:cs="宋体" w:eastAsia="宋体" w:hint="default"/>
                <w:w w:val="105"/>
                <w:sz w:val="12"/>
                <w:szCs w:val="12"/>
              </w:rPr>
              <w:t>2016</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年第一期公</w:t>
            </w:r>
          </w:p>
          <w:p>
            <w:pPr>
              <w:pStyle w:val="TableParagraph"/>
              <w:tabs>
                <w:tab w:pos="1144" w:val="left" w:leader="none"/>
                <w:tab w:pos="1783" w:val="left" w:leader="none"/>
                <w:tab w:pos="3224" w:val="left" w:leader="none"/>
              </w:tabs>
              <w:spacing w:line="240" w:lineRule="auto" w:before="43"/>
              <w:ind w:left="28" w:right="0"/>
              <w:jc w:val="left"/>
              <w:rPr>
                <w:rFonts w:ascii="宋体" w:hAnsi="宋体" w:cs="宋体" w:eastAsia="宋体" w:hint="default"/>
                <w:sz w:val="12"/>
                <w:szCs w:val="12"/>
              </w:rPr>
            </w:pPr>
            <w:r>
              <w:rPr>
                <w:rFonts w:ascii="宋体" w:hAnsi="宋体" w:cs="宋体" w:eastAsia="宋体" w:hint="default"/>
                <w:sz w:val="12"/>
                <w:szCs w:val="12"/>
              </w:rPr>
              <w:t>司债券品种一</w:t>
              <w:tab/>
            </w:r>
            <w:r>
              <w:rPr>
                <w:rFonts w:ascii="宋体" w:hAnsi="宋体" w:cs="宋体" w:eastAsia="宋体" w:hint="default"/>
                <w:w w:val="105"/>
                <w:sz w:val="12"/>
                <w:szCs w:val="12"/>
              </w:rPr>
              <w:t>70</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tab/>
            </w:r>
            <w:r>
              <w:rPr>
                <w:rFonts w:ascii="宋体" w:hAnsi="宋体" w:cs="宋体" w:eastAsia="宋体" w:hint="default"/>
                <w:spacing w:val="15"/>
                <w:w w:val="105"/>
                <w:sz w:val="12"/>
                <w:szCs w:val="12"/>
              </w:rPr>
              <w:t>2016年6月7日</w:t>
            </w:r>
            <w:r>
              <w:rPr>
                <w:rFonts w:ascii="宋体" w:hAnsi="宋体" w:cs="宋体" w:eastAsia="宋体" w:hint="default"/>
                <w:spacing w:val="64"/>
                <w:w w:val="105"/>
                <w:sz w:val="12"/>
                <w:szCs w:val="12"/>
              </w:rPr>
              <w:t> </w:t>
            </w:r>
            <w:r>
              <w:rPr>
                <w:rFonts w:ascii="宋体" w:hAnsi="宋体" w:cs="宋体" w:eastAsia="宋体" w:hint="default"/>
                <w:spacing w:val="14"/>
                <w:w w:val="105"/>
                <w:sz w:val="12"/>
                <w:szCs w:val="12"/>
              </w:rPr>
              <w:t>3年</w:t>
              <w:tab/>
            </w:r>
            <w:r>
              <w:rPr>
                <w:rFonts w:ascii="宋体" w:hAnsi="宋体" w:cs="宋体" w:eastAsia="宋体" w:hint="default"/>
                <w:w w:val="105"/>
                <w:sz w:val="12"/>
                <w:szCs w:val="12"/>
              </w:rPr>
              <w:t>3.07%</w:t>
            </w:r>
            <w:r>
              <w:rPr>
                <w:rFonts w:ascii="宋体" w:hAnsi="宋体" w:cs="宋体" w:eastAsia="宋体" w:hint="default"/>
                <w:sz w:val="12"/>
                <w:szCs w:val="12"/>
              </w:rPr>
            </w:r>
          </w:p>
        </w:tc>
        <w:tc>
          <w:tcPr>
            <w:tcW w:w="5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w w:val="105"/>
                <w:sz w:val="12"/>
                <w:szCs w:val="12"/>
              </w:rPr>
              <w:t>70</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50" w:right="0"/>
              <w:jc w:val="center"/>
              <w:rPr>
                <w:rFonts w:ascii="宋体" w:hAnsi="宋体" w:cs="宋体" w:eastAsia="宋体" w:hint="default"/>
                <w:sz w:val="12"/>
                <w:szCs w:val="12"/>
              </w:rPr>
            </w:pPr>
            <w:r>
              <w:rPr>
                <w:rFonts w:ascii="宋体"/>
                <w:sz w:val="12"/>
              </w:rPr>
              <w:t>7,115,632,407</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465" w:val="left" w:leader="none"/>
              </w:tabs>
              <w:spacing w:line="240" w:lineRule="auto"/>
              <w:ind w:left="82" w:right="0"/>
              <w:jc w:val="left"/>
              <w:rPr>
                <w:rFonts w:ascii="宋体" w:hAnsi="宋体" w:cs="宋体" w:eastAsia="宋体" w:hint="default"/>
                <w:sz w:val="12"/>
                <w:szCs w:val="12"/>
              </w:rPr>
            </w:pPr>
            <w:r>
              <w:rPr>
                <w:rFonts w:ascii="宋体"/>
                <w:w w:val="115"/>
                <w:sz w:val="12"/>
              </w:rPr>
              <w:t>-</w:t>
              <w:tab/>
            </w:r>
            <w:r>
              <w:rPr>
                <w:rFonts w:ascii="宋体"/>
                <w:w w:val="110"/>
                <w:sz w:val="12"/>
              </w:rPr>
              <w:t>214,900,000</w:t>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8"/>
              <w:jc w:val="right"/>
              <w:rPr>
                <w:rFonts w:ascii="宋体" w:hAnsi="宋体" w:cs="宋体" w:eastAsia="宋体" w:hint="default"/>
                <w:sz w:val="12"/>
                <w:szCs w:val="12"/>
              </w:rPr>
            </w:pPr>
            <w:r>
              <w:rPr>
                <w:rFonts w:ascii="宋体"/>
                <w:w w:val="95"/>
                <w:sz w:val="12"/>
              </w:rPr>
              <w:t>4,748,279</w:t>
            </w:r>
            <w:r>
              <w:rPr>
                <w:rFonts w:ascii="宋体"/>
                <w:sz w:val="12"/>
              </w:rPr>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1"/>
              <w:jc w:val="right"/>
              <w:rPr>
                <w:rFonts w:ascii="宋体" w:hAnsi="宋体" w:cs="宋体" w:eastAsia="宋体" w:hint="default"/>
                <w:sz w:val="12"/>
                <w:szCs w:val="12"/>
              </w:rPr>
            </w:pPr>
            <w:r>
              <w:rPr>
                <w:rFonts w:ascii="宋体"/>
                <w:w w:val="90"/>
                <w:sz w:val="12"/>
              </w:rPr>
              <w:t>(214,900,000)</w:t>
            </w:r>
            <w:r>
              <w:rPr>
                <w:rFonts w:ascii="宋体"/>
                <w:sz w:val="12"/>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3"/>
              <w:jc w:val="right"/>
              <w:rPr>
                <w:rFonts w:ascii="宋体" w:hAnsi="宋体" w:cs="宋体" w:eastAsia="宋体" w:hint="default"/>
                <w:sz w:val="12"/>
                <w:szCs w:val="12"/>
              </w:rPr>
            </w:pPr>
            <w:r>
              <w:rPr>
                <w:rFonts w:ascii="宋体"/>
                <w:w w:val="95"/>
                <w:sz w:val="12"/>
              </w:rPr>
              <w:t>7,120,380,686</w:t>
            </w:r>
            <w:r>
              <w:rPr>
                <w:rFonts w:ascii="宋体"/>
                <w:sz w:val="12"/>
              </w:rPr>
            </w:r>
          </w:p>
        </w:tc>
      </w:tr>
      <w:tr>
        <w:trPr>
          <w:trHeight w:val="277"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spacing w:line="68" w:lineRule="exact"/>
              <w:ind w:left="28" w:right="0"/>
              <w:jc w:val="left"/>
              <w:rPr>
                <w:rFonts w:ascii="宋体" w:hAnsi="宋体" w:cs="宋体" w:eastAsia="宋体" w:hint="default"/>
                <w:sz w:val="12"/>
                <w:szCs w:val="12"/>
              </w:rPr>
            </w:pPr>
            <w:r>
              <w:rPr>
                <w:rFonts w:ascii="宋体" w:hAnsi="宋体" w:cs="宋体" w:eastAsia="宋体" w:hint="default"/>
                <w:w w:val="105"/>
                <w:sz w:val="12"/>
                <w:szCs w:val="12"/>
              </w:rPr>
              <w:t>2016</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年第一期公</w:t>
            </w:r>
          </w:p>
          <w:p>
            <w:pPr>
              <w:pStyle w:val="TableParagraph"/>
              <w:tabs>
                <w:tab w:pos="1144" w:val="left" w:leader="none"/>
                <w:tab w:pos="1783" w:val="left" w:leader="none"/>
                <w:tab w:pos="3224" w:val="left" w:leader="none"/>
              </w:tabs>
              <w:spacing w:line="240" w:lineRule="auto" w:before="43"/>
              <w:ind w:left="28" w:right="0"/>
              <w:jc w:val="left"/>
              <w:rPr>
                <w:rFonts w:ascii="宋体" w:hAnsi="宋体" w:cs="宋体" w:eastAsia="宋体" w:hint="default"/>
                <w:sz w:val="12"/>
                <w:szCs w:val="12"/>
              </w:rPr>
            </w:pPr>
            <w:r>
              <w:rPr>
                <w:rFonts w:ascii="宋体" w:hAnsi="宋体" w:cs="宋体" w:eastAsia="宋体" w:hint="default"/>
                <w:sz w:val="12"/>
                <w:szCs w:val="12"/>
              </w:rPr>
              <w:t>司债券品种二</w:t>
              <w:tab/>
            </w:r>
            <w:r>
              <w:rPr>
                <w:rFonts w:ascii="宋体" w:hAnsi="宋体" w:cs="宋体" w:eastAsia="宋体" w:hint="default"/>
                <w:w w:val="105"/>
                <w:sz w:val="12"/>
                <w:szCs w:val="12"/>
              </w:rPr>
              <w:t>10</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tab/>
            </w:r>
            <w:r>
              <w:rPr>
                <w:rFonts w:ascii="宋体" w:hAnsi="宋体" w:cs="宋体" w:eastAsia="宋体" w:hint="default"/>
                <w:spacing w:val="15"/>
                <w:w w:val="105"/>
                <w:sz w:val="12"/>
                <w:szCs w:val="12"/>
              </w:rPr>
              <w:t>2016年6月7日</w:t>
            </w:r>
            <w:r>
              <w:rPr>
                <w:rFonts w:ascii="宋体" w:hAnsi="宋体" w:cs="宋体" w:eastAsia="宋体" w:hint="default"/>
                <w:spacing w:val="64"/>
                <w:w w:val="105"/>
                <w:sz w:val="12"/>
                <w:szCs w:val="12"/>
              </w:rPr>
              <w:t> </w:t>
            </w:r>
            <w:r>
              <w:rPr>
                <w:rFonts w:ascii="宋体" w:hAnsi="宋体" w:cs="宋体" w:eastAsia="宋体" w:hint="default"/>
                <w:spacing w:val="14"/>
                <w:w w:val="105"/>
                <w:sz w:val="12"/>
                <w:szCs w:val="12"/>
              </w:rPr>
              <w:t>5年</w:t>
              <w:tab/>
            </w:r>
            <w:r>
              <w:rPr>
                <w:rFonts w:ascii="宋体" w:hAnsi="宋体" w:cs="宋体" w:eastAsia="宋体" w:hint="default"/>
                <w:w w:val="105"/>
                <w:sz w:val="12"/>
                <w:szCs w:val="12"/>
              </w:rPr>
              <w:t>3.43%</w:t>
            </w:r>
            <w:r>
              <w:rPr>
                <w:rFonts w:ascii="宋体" w:hAnsi="宋体" w:cs="宋体" w:eastAsia="宋体" w:hint="default"/>
                <w:sz w:val="12"/>
                <w:szCs w:val="12"/>
              </w:rPr>
            </w:r>
          </w:p>
        </w:tc>
        <w:tc>
          <w:tcPr>
            <w:tcW w:w="534"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0"/>
              <w:jc w:val="center"/>
              <w:rPr>
                <w:rFonts w:ascii="宋体" w:hAnsi="宋体" w:cs="宋体" w:eastAsia="宋体" w:hint="default"/>
                <w:sz w:val="12"/>
                <w:szCs w:val="12"/>
              </w:rPr>
            </w:pPr>
            <w:r>
              <w:rPr>
                <w:rFonts w:ascii="宋体" w:hAnsi="宋体" w:cs="宋体" w:eastAsia="宋体" w:hint="default"/>
                <w:w w:val="105"/>
                <w:sz w:val="12"/>
                <w:szCs w:val="12"/>
              </w:rPr>
              <w:t>10</w:t>
            </w:r>
            <w:r>
              <w:rPr>
                <w:rFonts w:ascii="宋体" w:hAnsi="宋体" w:cs="宋体" w:eastAsia="宋体" w:hint="default"/>
                <w:spacing w:val="-39"/>
                <w:w w:val="105"/>
                <w:sz w:val="12"/>
                <w:szCs w:val="12"/>
              </w:rPr>
              <w:t> </w:t>
            </w:r>
            <w:r>
              <w:rPr>
                <w:rFonts w:ascii="宋体" w:hAnsi="宋体" w:cs="宋体" w:eastAsia="宋体" w:hint="default"/>
                <w:w w:val="105"/>
                <w:sz w:val="12"/>
                <w:szCs w:val="12"/>
              </w:rPr>
              <w:t>亿元</w:t>
            </w:r>
          </w:p>
        </w:tc>
        <w:tc>
          <w:tcPr>
            <w:tcW w:w="980"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left="50" w:right="0"/>
              <w:jc w:val="center"/>
              <w:rPr>
                <w:rFonts w:ascii="宋体" w:hAnsi="宋体" w:cs="宋体" w:eastAsia="宋体" w:hint="default"/>
                <w:sz w:val="12"/>
                <w:szCs w:val="12"/>
              </w:rPr>
            </w:pPr>
            <w:r>
              <w:rPr>
                <w:rFonts w:ascii="宋体"/>
                <w:sz w:val="12"/>
              </w:rPr>
              <w:t>1,018,138,433</w:t>
            </w:r>
          </w:p>
        </w:tc>
        <w:tc>
          <w:tcPr>
            <w:tcW w:w="1262"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tabs>
                <w:tab w:pos="531" w:val="left" w:leader="none"/>
              </w:tabs>
              <w:spacing w:line="240" w:lineRule="auto"/>
              <w:ind w:left="82" w:right="0"/>
              <w:jc w:val="left"/>
              <w:rPr>
                <w:rFonts w:ascii="宋体" w:hAnsi="宋体" w:cs="宋体" w:eastAsia="宋体" w:hint="default"/>
                <w:sz w:val="12"/>
                <w:szCs w:val="12"/>
              </w:rPr>
            </w:pPr>
            <w:r>
              <w:rPr>
                <w:rFonts w:ascii="宋体"/>
                <w:w w:val="115"/>
                <w:sz w:val="12"/>
              </w:rPr>
              <w:t>-</w:t>
              <w:tab/>
            </w:r>
            <w:r>
              <w:rPr>
                <w:rFonts w:ascii="宋体"/>
                <w:w w:val="110"/>
                <w:sz w:val="12"/>
              </w:rPr>
              <w:t>34,300,000</w:t>
            </w:r>
            <w:r>
              <w:rPr>
                <w:rFonts w:ascii="宋体"/>
                <w:sz w:val="12"/>
              </w:rPr>
            </w:r>
          </w:p>
        </w:tc>
        <w:tc>
          <w:tcPr>
            <w:tcW w:w="81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78"/>
              <w:jc w:val="right"/>
              <w:rPr>
                <w:rFonts w:ascii="宋体" w:hAnsi="宋体" w:cs="宋体" w:eastAsia="宋体" w:hint="default"/>
                <w:sz w:val="12"/>
                <w:szCs w:val="12"/>
              </w:rPr>
            </w:pPr>
            <w:r>
              <w:rPr>
                <w:rFonts w:ascii="宋体"/>
                <w:sz w:val="12"/>
              </w:rPr>
              <w:t>393,727</w:t>
            </w:r>
          </w:p>
        </w:tc>
        <w:tc>
          <w:tcPr>
            <w:tcW w:w="1093"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112"/>
              <w:jc w:val="right"/>
              <w:rPr>
                <w:rFonts w:ascii="宋体" w:hAnsi="宋体" w:cs="宋体" w:eastAsia="宋体" w:hint="default"/>
                <w:sz w:val="12"/>
                <w:szCs w:val="12"/>
              </w:rPr>
            </w:pPr>
            <w:r>
              <w:rPr>
                <w:rFonts w:ascii="宋体"/>
                <w:w w:val="90"/>
                <w:sz w:val="12"/>
              </w:rPr>
              <w:t>(34,300,000)</w:t>
            </w:r>
            <w:r>
              <w:rPr>
                <w:rFonts w:ascii="宋体"/>
                <w:sz w:val="12"/>
              </w:rPr>
            </w:r>
          </w:p>
        </w:tc>
        <w:tc>
          <w:tcPr>
            <w:tcW w:w="981" w:type="dxa"/>
            <w:tcBorders>
              <w:top w:val="nil" w:sz="6" w:space="0" w:color="auto"/>
              <w:left w:val="nil" w:sz="6" w:space="0" w:color="auto"/>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8"/>
                <w:szCs w:val="8"/>
              </w:rPr>
            </w:pPr>
          </w:p>
          <w:p>
            <w:pPr>
              <w:pStyle w:val="TableParagraph"/>
              <w:spacing w:line="240" w:lineRule="auto"/>
              <w:ind w:right="33"/>
              <w:jc w:val="right"/>
              <w:rPr>
                <w:rFonts w:ascii="宋体" w:hAnsi="宋体" w:cs="宋体" w:eastAsia="宋体" w:hint="default"/>
                <w:sz w:val="12"/>
                <w:szCs w:val="12"/>
              </w:rPr>
            </w:pPr>
            <w:r>
              <w:rPr>
                <w:rFonts w:ascii="宋体"/>
                <w:w w:val="95"/>
                <w:sz w:val="12"/>
              </w:rPr>
              <w:t>1,018,532,160</w:t>
            </w:r>
            <w:r>
              <w:rPr>
                <w:rFonts w:ascii="宋体"/>
                <w:sz w:val="12"/>
              </w:rPr>
            </w:r>
          </w:p>
        </w:tc>
      </w:tr>
      <w:tr>
        <w:trPr>
          <w:trHeight w:val="273" w:hRule="exact"/>
        </w:trPr>
        <w:tc>
          <w:tcPr>
            <w:tcW w:w="3642" w:type="dxa"/>
            <w:gridSpan w:val="4"/>
            <w:tcBorders>
              <w:top w:val="nil" w:sz="6" w:space="0" w:color="auto"/>
              <w:left w:val="nil" w:sz="6" w:space="0" w:color="auto"/>
              <w:bottom w:val="nil" w:sz="6" w:space="0" w:color="auto"/>
              <w:right w:val="nil" w:sz="6" w:space="0" w:color="auto"/>
            </w:tcBorders>
          </w:tcPr>
          <w:p>
            <w:pPr>
              <w:pStyle w:val="TableParagraph"/>
              <w:spacing w:line="240" w:lineRule="auto" w:before="67"/>
              <w:ind w:left="28" w:right="0"/>
              <w:jc w:val="left"/>
              <w:rPr>
                <w:rFonts w:ascii="宋体" w:hAnsi="宋体" w:cs="宋体" w:eastAsia="宋体" w:hint="default"/>
                <w:sz w:val="12"/>
                <w:szCs w:val="12"/>
              </w:rPr>
            </w:pPr>
            <w:r>
              <w:rPr>
                <w:rFonts w:ascii="宋体" w:hAnsi="宋体" w:cs="宋体" w:eastAsia="宋体" w:hint="default"/>
                <w:w w:val="105"/>
                <w:sz w:val="12"/>
                <w:szCs w:val="12"/>
              </w:rPr>
              <w:t>2016</w:t>
            </w:r>
            <w:r>
              <w:rPr>
                <w:rFonts w:ascii="宋体" w:hAnsi="宋体" w:cs="宋体" w:eastAsia="宋体" w:hint="default"/>
                <w:spacing w:val="-50"/>
                <w:w w:val="105"/>
                <w:sz w:val="12"/>
                <w:szCs w:val="12"/>
              </w:rPr>
              <w:t> </w:t>
            </w:r>
            <w:r>
              <w:rPr>
                <w:rFonts w:ascii="宋体" w:hAnsi="宋体" w:cs="宋体" w:eastAsia="宋体" w:hint="default"/>
                <w:w w:val="105"/>
                <w:sz w:val="12"/>
                <w:szCs w:val="12"/>
              </w:rPr>
              <w:t>年第二期公</w:t>
            </w:r>
          </w:p>
        </w:tc>
        <w:tc>
          <w:tcPr>
            <w:tcW w:w="534" w:type="dxa"/>
            <w:tcBorders>
              <w:top w:val="nil" w:sz="6" w:space="0" w:color="auto"/>
              <w:left w:val="nil" w:sz="6" w:space="0" w:color="auto"/>
              <w:bottom w:val="nil" w:sz="6" w:space="0" w:color="auto"/>
              <w:right w:val="nil" w:sz="6" w:space="0" w:color="auto"/>
            </w:tcBorders>
          </w:tcPr>
          <w:p>
            <w:pPr/>
          </w:p>
        </w:tc>
        <w:tc>
          <w:tcPr>
            <w:tcW w:w="980" w:type="dxa"/>
            <w:tcBorders>
              <w:top w:val="nil" w:sz="6" w:space="0" w:color="auto"/>
              <w:left w:val="nil" w:sz="6" w:space="0" w:color="auto"/>
              <w:bottom w:val="nil" w:sz="6" w:space="0" w:color="auto"/>
              <w:right w:val="nil" w:sz="6" w:space="0" w:color="auto"/>
            </w:tcBorders>
          </w:tcPr>
          <w:p>
            <w:pPr/>
          </w:p>
        </w:tc>
        <w:tc>
          <w:tcPr>
            <w:tcW w:w="1262" w:type="dxa"/>
            <w:tcBorders>
              <w:top w:val="nil" w:sz="6" w:space="0" w:color="auto"/>
              <w:left w:val="nil" w:sz="6" w:space="0" w:color="auto"/>
              <w:bottom w:val="nil" w:sz="6" w:space="0" w:color="auto"/>
              <w:right w:val="nil" w:sz="6" w:space="0" w:color="auto"/>
            </w:tcBorders>
          </w:tcPr>
          <w:p>
            <w:pPr/>
          </w:p>
        </w:tc>
        <w:tc>
          <w:tcPr>
            <w:tcW w:w="811" w:type="dxa"/>
            <w:tcBorders>
              <w:top w:val="nil" w:sz="6" w:space="0" w:color="auto"/>
              <w:left w:val="nil" w:sz="6" w:space="0" w:color="auto"/>
              <w:bottom w:val="nil" w:sz="6" w:space="0" w:color="auto"/>
              <w:right w:val="nil" w:sz="6" w:space="0" w:color="auto"/>
            </w:tcBorders>
          </w:tcPr>
          <w:p>
            <w:pPr/>
          </w:p>
        </w:tc>
        <w:tc>
          <w:tcPr>
            <w:tcW w:w="1093" w:type="dxa"/>
            <w:tcBorders>
              <w:top w:val="nil" w:sz="6" w:space="0" w:color="auto"/>
              <w:left w:val="nil" w:sz="6" w:space="0" w:color="auto"/>
              <w:bottom w:val="nil" w:sz="6" w:space="0" w:color="auto"/>
              <w:right w:val="nil" w:sz="6" w:space="0" w:color="auto"/>
            </w:tcBorders>
          </w:tcPr>
          <w:p>
            <w:pPr/>
          </w:p>
        </w:tc>
        <w:tc>
          <w:tcPr>
            <w:tcW w:w="981" w:type="dxa"/>
            <w:tcBorders>
              <w:top w:val="nil" w:sz="6" w:space="0" w:color="auto"/>
              <w:left w:val="nil" w:sz="6" w:space="0" w:color="auto"/>
              <w:bottom w:val="nil" w:sz="6" w:space="0" w:color="auto"/>
              <w:right w:val="nil" w:sz="6" w:space="0" w:color="auto"/>
            </w:tcBorders>
          </w:tcPr>
          <w:p>
            <w:pPr/>
          </w:p>
        </w:tc>
      </w:tr>
      <w:tr>
        <w:trPr>
          <w:trHeight w:val="277" w:hRule="exact"/>
        </w:trPr>
        <w:tc>
          <w:tcPr>
            <w:tcW w:w="733" w:type="dxa"/>
            <w:tcBorders>
              <w:top w:val="nil" w:sz="6" w:space="0" w:color="auto"/>
              <w:left w:val="nil" w:sz="6" w:space="0" w:color="auto"/>
              <w:bottom w:val="single" w:sz="6" w:space="0" w:color="000000"/>
              <w:right w:val="nil" w:sz="6" w:space="0" w:color="auto"/>
            </w:tcBorders>
          </w:tcPr>
          <w:p>
            <w:pPr>
              <w:pStyle w:val="TableParagraph"/>
              <w:spacing w:line="151" w:lineRule="exact"/>
              <w:ind w:left="28" w:right="0"/>
              <w:jc w:val="left"/>
              <w:rPr>
                <w:rFonts w:ascii="宋体" w:hAnsi="宋体" w:cs="宋体" w:eastAsia="宋体" w:hint="default"/>
                <w:sz w:val="12"/>
                <w:szCs w:val="12"/>
              </w:rPr>
            </w:pPr>
            <w:r>
              <w:rPr>
                <w:rFonts w:ascii="宋体" w:hAnsi="宋体" w:cs="宋体" w:eastAsia="宋体" w:hint="default"/>
                <w:sz w:val="12"/>
                <w:szCs w:val="12"/>
              </w:rPr>
              <w:t>司债券</w:t>
            </w:r>
          </w:p>
        </w:tc>
        <w:tc>
          <w:tcPr>
            <w:tcW w:w="899" w:type="dxa"/>
            <w:tcBorders>
              <w:top w:val="nil" w:sz="6" w:space="0" w:color="auto"/>
              <w:left w:val="nil" w:sz="6" w:space="0" w:color="auto"/>
              <w:bottom w:val="single" w:sz="6" w:space="0" w:color="000000"/>
              <w:right w:val="nil" w:sz="6" w:space="0" w:color="auto"/>
            </w:tcBorders>
          </w:tcPr>
          <w:p>
            <w:pPr>
              <w:pStyle w:val="TableParagraph"/>
              <w:spacing w:line="151" w:lineRule="exact"/>
              <w:ind w:left="344" w:right="0"/>
              <w:jc w:val="left"/>
              <w:rPr>
                <w:rFonts w:ascii="宋体" w:hAnsi="宋体" w:cs="宋体" w:eastAsia="宋体" w:hint="default"/>
                <w:sz w:val="12"/>
                <w:szCs w:val="12"/>
              </w:rPr>
            </w:pPr>
            <w:r>
              <w:rPr>
                <w:rFonts w:ascii="宋体" w:hAnsi="宋体" w:cs="宋体" w:eastAsia="宋体" w:hint="default"/>
                <w:w w:val="105"/>
                <w:sz w:val="12"/>
                <w:szCs w:val="12"/>
              </w:rPr>
              <w:t>100</w:t>
            </w:r>
            <w:r>
              <w:rPr>
                <w:rFonts w:ascii="宋体" w:hAnsi="宋体" w:cs="宋体" w:eastAsia="宋体" w:hint="default"/>
                <w:spacing w:val="-36"/>
                <w:w w:val="105"/>
                <w:sz w:val="12"/>
                <w:szCs w:val="12"/>
              </w:rPr>
              <w:t> </w:t>
            </w:r>
            <w:r>
              <w:rPr>
                <w:rFonts w:ascii="宋体" w:hAnsi="宋体" w:cs="宋体" w:eastAsia="宋体" w:hint="default"/>
                <w:w w:val="105"/>
                <w:sz w:val="12"/>
                <w:szCs w:val="12"/>
              </w:rPr>
              <w:t>亿元</w:t>
            </w:r>
          </w:p>
        </w:tc>
        <w:tc>
          <w:tcPr>
            <w:tcW w:w="1557" w:type="dxa"/>
            <w:tcBorders>
              <w:top w:val="nil" w:sz="6" w:space="0" w:color="auto"/>
              <w:left w:val="nil" w:sz="6" w:space="0" w:color="auto"/>
              <w:bottom w:val="single" w:sz="6" w:space="0" w:color="000000"/>
              <w:right w:val="nil" w:sz="6" w:space="0" w:color="auto"/>
            </w:tcBorders>
          </w:tcPr>
          <w:p>
            <w:pPr>
              <w:pStyle w:val="TableParagraph"/>
              <w:spacing w:line="151" w:lineRule="exact"/>
              <w:ind w:left="84" w:right="0"/>
              <w:jc w:val="left"/>
              <w:rPr>
                <w:rFonts w:ascii="宋体" w:hAnsi="宋体" w:cs="宋体" w:eastAsia="宋体" w:hint="default"/>
                <w:sz w:val="12"/>
                <w:szCs w:val="12"/>
              </w:rPr>
            </w:pPr>
            <w:r>
              <w:rPr>
                <w:rFonts w:ascii="宋体" w:hAnsi="宋体" w:cs="宋体" w:eastAsia="宋体" w:hint="default"/>
                <w:spacing w:val="11"/>
                <w:w w:val="105"/>
                <w:sz w:val="12"/>
                <w:szCs w:val="12"/>
              </w:rPr>
              <w:t>2016年7月 </w:t>
            </w:r>
            <w:r>
              <w:rPr>
                <w:rFonts w:ascii="宋体" w:hAnsi="宋体" w:cs="宋体" w:eastAsia="宋体" w:hint="default"/>
                <w:spacing w:val="9"/>
                <w:w w:val="105"/>
                <w:sz w:val="12"/>
                <w:szCs w:val="12"/>
              </w:rPr>
              <w:t>14日</w:t>
            </w:r>
            <w:r>
              <w:rPr>
                <w:rFonts w:ascii="宋体" w:hAnsi="宋体" w:cs="宋体" w:eastAsia="宋体" w:hint="default"/>
                <w:spacing w:val="23"/>
                <w:w w:val="105"/>
                <w:sz w:val="12"/>
                <w:szCs w:val="12"/>
              </w:rPr>
              <w:t> </w:t>
            </w:r>
            <w:r>
              <w:rPr>
                <w:rFonts w:ascii="宋体" w:hAnsi="宋体" w:cs="宋体" w:eastAsia="宋体" w:hint="default"/>
                <w:spacing w:val="14"/>
                <w:w w:val="105"/>
                <w:sz w:val="12"/>
                <w:szCs w:val="12"/>
              </w:rPr>
              <w:t>3年</w:t>
            </w:r>
            <w:r>
              <w:rPr>
                <w:rFonts w:ascii="宋体" w:hAnsi="宋体" w:cs="宋体" w:eastAsia="宋体" w:hint="default"/>
                <w:spacing w:val="-30"/>
                <w:sz w:val="12"/>
                <w:szCs w:val="12"/>
              </w:rPr>
              <w:t> </w:t>
            </w:r>
            <w:r>
              <w:rPr>
                <w:rFonts w:ascii="宋体" w:hAnsi="宋体" w:cs="宋体" w:eastAsia="宋体" w:hint="default"/>
                <w:sz w:val="12"/>
                <w:szCs w:val="12"/>
              </w:rPr>
            </w:r>
          </w:p>
        </w:tc>
        <w:tc>
          <w:tcPr>
            <w:tcW w:w="987" w:type="dxa"/>
            <w:gridSpan w:val="2"/>
            <w:tcBorders>
              <w:top w:val="nil" w:sz="6" w:space="0" w:color="auto"/>
              <w:left w:val="nil" w:sz="6" w:space="0" w:color="auto"/>
              <w:bottom w:val="single" w:sz="6" w:space="0" w:color="000000"/>
              <w:right w:val="nil" w:sz="6" w:space="0" w:color="auto"/>
            </w:tcBorders>
          </w:tcPr>
          <w:p>
            <w:pPr>
              <w:pStyle w:val="TableParagraph"/>
              <w:spacing w:line="151" w:lineRule="exact"/>
              <w:ind w:left="35" w:right="0"/>
              <w:jc w:val="left"/>
              <w:rPr>
                <w:rFonts w:ascii="宋体" w:hAnsi="宋体" w:cs="宋体" w:eastAsia="宋体" w:hint="default"/>
                <w:sz w:val="12"/>
                <w:szCs w:val="12"/>
              </w:rPr>
            </w:pPr>
            <w:r>
              <w:rPr>
                <w:rFonts w:ascii="宋体" w:hAnsi="宋体" w:cs="宋体" w:eastAsia="宋体" w:hint="default"/>
                <w:w w:val="110"/>
                <w:sz w:val="12"/>
                <w:szCs w:val="12"/>
              </w:rPr>
              <w:t>2.95% 100</w:t>
            </w:r>
            <w:r>
              <w:rPr>
                <w:rFonts w:ascii="宋体" w:hAnsi="宋体" w:cs="宋体" w:eastAsia="宋体" w:hint="default"/>
                <w:spacing w:val="-40"/>
                <w:w w:val="110"/>
                <w:sz w:val="12"/>
                <w:szCs w:val="12"/>
              </w:rPr>
              <w:t> </w:t>
            </w:r>
            <w:r>
              <w:rPr>
                <w:rFonts w:ascii="宋体" w:hAnsi="宋体" w:cs="宋体" w:eastAsia="宋体" w:hint="default"/>
                <w:w w:val="110"/>
                <w:sz w:val="12"/>
                <w:szCs w:val="12"/>
              </w:rPr>
              <w:t>亿元</w:t>
            </w:r>
          </w:p>
        </w:tc>
        <w:tc>
          <w:tcPr>
            <w:tcW w:w="980" w:type="dxa"/>
            <w:tcBorders>
              <w:top w:val="nil" w:sz="6" w:space="0" w:color="auto"/>
              <w:left w:val="nil" w:sz="6" w:space="0" w:color="auto"/>
              <w:bottom w:val="single" w:sz="6" w:space="0" w:color="000000"/>
              <w:right w:val="nil" w:sz="6" w:space="0" w:color="auto"/>
            </w:tcBorders>
          </w:tcPr>
          <w:p>
            <w:pPr>
              <w:pStyle w:val="TableParagraph"/>
              <w:spacing w:line="151" w:lineRule="exact"/>
              <w:ind w:right="14"/>
              <w:jc w:val="center"/>
              <w:rPr>
                <w:rFonts w:ascii="宋体" w:hAnsi="宋体" w:cs="宋体" w:eastAsia="宋体" w:hint="default"/>
                <w:sz w:val="12"/>
                <w:szCs w:val="12"/>
              </w:rPr>
            </w:pPr>
            <w:r>
              <w:rPr>
                <w:rFonts w:ascii="宋体"/>
                <w:sz w:val="12"/>
              </w:rPr>
              <w:t>10,127,778,864</w:t>
            </w:r>
          </w:p>
        </w:tc>
        <w:tc>
          <w:tcPr>
            <w:tcW w:w="1262" w:type="dxa"/>
            <w:tcBorders>
              <w:top w:val="nil" w:sz="6" w:space="0" w:color="auto"/>
              <w:left w:val="nil" w:sz="6" w:space="0" w:color="auto"/>
              <w:bottom w:val="single" w:sz="6" w:space="0" w:color="000000"/>
              <w:right w:val="nil" w:sz="6" w:space="0" w:color="auto"/>
            </w:tcBorders>
          </w:tcPr>
          <w:p>
            <w:pPr>
              <w:pStyle w:val="TableParagraph"/>
              <w:tabs>
                <w:tab w:pos="465" w:val="left" w:leader="none"/>
              </w:tabs>
              <w:spacing w:line="151" w:lineRule="exact"/>
              <w:ind w:left="82" w:right="0"/>
              <w:jc w:val="left"/>
              <w:rPr>
                <w:rFonts w:ascii="宋体" w:hAnsi="宋体" w:cs="宋体" w:eastAsia="宋体" w:hint="default"/>
                <w:sz w:val="12"/>
                <w:szCs w:val="12"/>
              </w:rPr>
            </w:pPr>
            <w:r>
              <w:rPr>
                <w:rFonts w:ascii="宋体"/>
                <w:w w:val="115"/>
                <w:sz w:val="12"/>
              </w:rPr>
              <w:t>-</w:t>
              <w:tab/>
            </w:r>
            <w:r>
              <w:rPr>
                <w:rFonts w:ascii="宋体"/>
                <w:w w:val="110"/>
                <w:sz w:val="12"/>
              </w:rPr>
              <w:t>295,000,000</w:t>
            </w:r>
          </w:p>
        </w:tc>
        <w:tc>
          <w:tcPr>
            <w:tcW w:w="811" w:type="dxa"/>
            <w:tcBorders>
              <w:top w:val="nil" w:sz="6" w:space="0" w:color="auto"/>
              <w:left w:val="nil" w:sz="6" w:space="0" w:color="auto"/>
              <w:bottom w:val="single" w:sz="6" w:space="0" w:color="000000"/>
              <w:right w:val="nil" w:sz="6" w:space="0" w:color="auto"/>
            </w:tcBorders>
          </w:tcPr>
          <w:p>
            <w:pPr>
              <w:pStyle w:val="TableParagraph"/>
              <w:spacing w:line="151" w:lineRule="exact"/>
              <w:ind w:right="78"/>
              <w:jc w:val="right"/>
              <w:rPr>
                <w:rFonts w:ascii="宋体" w:hAnsi="宋体" w:cs="宋体" w:eastAsia="宋体" w:hint="default"/>
                <w:sz w:val="12"/>
                <w:szCs w:val="12"/>
              </w:rPr>
            </w:pPr>
            <w:r>
              <w:rPr>
                <w:rFonts w:ascii="宋体"/>
                <w:w w:val="95"/>
                <w:sz w:val="12"/>
              </w:rPr>
              <w:t>6,758,467</w:t>
            </w:r>
            <w:r>
              <w:rPr>
                <w:rFonts w:ascii="宋体"/>
                <w:sz w:val="12"/>
              </w:rPr>
            </w:r>
          </w:p>
        </w:tc>
        <w:tc>
          <w:tcPr>
            <w:tcW w:w="1093" w:type="dxa"/>
            <w:tcBorders>
              <w:top w:val="nil" w:sz="6" w:space="0" w:color="auto"/>
              <w:left w:val="nil" w:sz="6" w:space="0" w:color="auto"/>
              <w:bottom w:val="single" w:sz="6" w:space="0" w:color="000000"/>
              <w:right w:val="nil" w:sz="6" w:space="0" w:color="auto"/>
            </w:tcBorders>
          </w:tcPr>
          <w:p>
            <w:pPr>
              <w:pStyle w:val="TableParagraph"/>
              <w:spacing w:line="151" w:lineRule="exact"/>
              <w:ind w:right="112"/>
              <w:jc w:val="right"/>
              <w:rPr>
                <w:rFonts w:ascii="宋体" w:hAnsi="宋体" w:cs="宋体" w:eastAsia="宋体" w:hint="default"/>
                <w:sz w:val="12"/>
                <w:szCs w:val="12"/>
              </w:rPr>
            </w:pPr>
            <w:r>
              <w:rPr>
                <w:rFonts w:ascii="宋体"/>
                <w:w w:val="90"/>
                <w:sz w:val="12"/>
              </w:rPr>
              <w:t>(295,000,000)</w:t>
            </w:r>
            <w:r>
              <w:rPr>
                <w:rFonts w:ascii="宋体"/>
                <w:sz w:val="12"/>
              </w:rPr>
            </w:r>
          </w:p>
        </w:tc>
        <w:tc>
          <w:tcPr>
            <w:tcW w:w="981" w:type="dxa"/>
            <w:tcBorders>
              <w:top w:val="nil" w:sz="6" w:space="0" w:color="auto"/>
              <w:left w:val="nil" w:sz="6" w:space="0" w:color="auto"/>
              <w:bottom w:val="single" w:sz="6" w:space="0" w:color="000000"/>
              <w:right w:val="nil" w:sz="6" w:space="0" w:color="auto"/>
            </w:tcBorders>
          </w:tcPr>
          <w:p>
            <w:pPr>
              <w:pStyle w:val="TableParagraph"/>
              <w:spacing w:line="151" w:lineRule="exact"/>
              <w:ind w:right="34"/>
              <w:jc w:val="right"/>
              <w:rPr>
                <w:rFonts w:ascii="宋体" w:hAnsi="宋体" w:cs="宋体" w:eastAsia="宋体" w:hint="default"/>
                <w:sz w:val="12"/>
                <w:szCs w:val="12"/>
              </w:rPr>
            </w:pPr>
            <w:r>
              <w:rPr>
                <w:rFonts w:ascii="宋体"/>
                <w:w w:val="95"/>
                <w:sz w:val="12"/>
              </w:rPr>
              <w:t>10,134,537,331</w:t>
            </w:r>
            <w:r>
              <w:rPr>
                <w:rFonts w:ascii="宋体"/>
                <w:sz w:val="12"/>
              </w:rPr>
            </w:r>
          </w:p>
        </w:tc>
      </w:tr>
      <w:tr>
        <w:trPr>
          <w:trHeight w:val="350" w:hRule="exact"/>
        </w:trPr>
        <w:tc>
          <w:tcPr>
            <w:tcW w:w="733"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left="28" w:right="0"/>
              <w:jc w:val="left"/>
              <w:rPr>
                <w:rFonts w:ascii="宋体" w:hAnsi="宋体" w:cs="宋体" w:eastAsia="宋体" w:hint="default"/>
                <w:sz w:val="12"/>
                <w:szCs w:val="12"/>
              </w:rPr>
            </w:pPr>
            <w:r>
              <w:rPr>
                <w:rFonts w:ascii="宋体" w:hAnsi="宋体" w:cs="宋体" w:eastAsia="宋体" w:hint="default"/>
                <w:sz w:val="12"/>
                <w:szCs w:val="12"/>
              </w:rPr>
              <w:t>合计</w:t>
            </w:r>
          </w:p>
        </w:tc>
        <w:tc>
          <w:tcPr>
            <w:tcW w:w="899" w:type="dxa"/>
            <w:tcBorders>
              <w:top w:val="single" w:sz="6" w:space="0" w:color="000000"/>
              <w:left w:val="nil" w:sz="6" w:space="0" w:color="auto"/>
              <w:bottom w:val="nil" w:sz="6" w:space="0" w:color="auto"/>
              <w:right w:val="nil" w:sz="6" w:space="0" w:color="auto"/>
            </w:tcBorders>
          </w:tcPr>
          <w:p>
            <w:pPr/>
          </w:p>
        </w:tc>
        <w:tc>
          <w:tcPr>
            <w:tcW w:w="1557" w:type="dxa"/>
            <w:tcBorders>
              <w:top w:val="single" w:sz="6" w:space="0" w:color="000000"/>
              <w:left w:val="nil" w:sz="6" w:space="0" w:color="auto"/>
              <w:bottom w:val="nil" w:sz="6" w:space="0" w:color="auto"/>
              <w:right w:val="nil" w:sz="6" w:space="0" w:color="auto"/>
            </w:tcBorders>
          </w:tcPr>
          <w:p>
            <w:pPr/>
          </w:p>
        </w:tc>
        <w:tc>
          <w:tcPr>
            <w:tcW w:w="987" w:type="dxa"/>
            <w:gridSpan w:val="2"/>
            <w:tcBorders>
              <w:top w:val="single" w:sz="6" w:space="0" w:color="000000"/>
              <w:left w:val="nil" w:sz="6" w:space="0" w:color="auto"/>
              <w:bottom w:val="nil" w:sz="6" w:space="0" w:color="auto"/>
              <w:right w:val="nil" w:sz="6" w:space="0" w:color="auto"/>
            </w:tcBorders>
          </w:tcPr>
          <w:p>
            <w:pPr/>
          </w:p>
        </w:tc>
        <w:tc>
          <w:tcPr>
            <w:tcW w:w="980"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14"/>
              <w:jc w:val="center"/>
              <w:rPr>
                <w:rFonts w:ascii="宋体" w:hAnsi="宋体" w:cs="宋体" w:eastAsia="宋体" w:hint="default"/>
                <w:sz w:val="12"/>
                <w:szCs w:val="12"/>
              </w:rPr>
            </w:pPr>
            <w:r>
              <w:rPr>
                <w:rFonts w:ascii="宋体"/>
                <w:sz w:val="12"/>
              </w:rPr>
              <w:t>36,418,234,641</w:t>
            </w:r>
          </w:p>
        </w:tc>
        <w:tc>
          <w:tcPr>
            <w:tcW w:w="1262" w:type="dxa"/>
            <w:tcBorders>
              <w:top w:val="single" w:sz="6" w:space="0" w:color="000000"/>
              <w:left w:val="nil" w:sz="6" w:space="0" w:color="auto"/>
              <w:bottom w:val="nil" w:sz="6" w:space="0" w:color="auto"/>
              <w:right w:val="nil" w:sz="6" w:space="0" w:color="auto"/>
            </w:tcBorders>
          </w:tcPr>
          <w:p>
            <w:pPr>
              <w:pStyle w:val="TableParagraph"/>
              <w:tabs>
                <w:tab w:pos="465" w:val="left" w:leader="none"/>
              </w:tabs>
              <w:spacing w:line="240" w:lineRule="auto" w:before="76"/>
              <w:ind w:left="82" w:right="0"/>
              <w:jc w:val="left"/>
              <w:rPr>
                <w:rFonts w:ascii="宋体" w:hAnsi="宋体" w:cs="宋体" w:eastAsia="宋体" w:hint="default"/>
                <w:sz w:val="12"/>
                <w:szCs w:val="12"/>
              </w:rPr>
            </w:pPr>
            <w:r>
              <w:rPr>
                <w:rFonts w:ascii="宋体"/>
                <w:w w:val="115"/>
                <w:sz w:val="12"/>
              </w:rPr>
              <w:t>-</w:t>
              <w:tab/>
            </w:r>
            <w:r>
              <w:rPr>
                <w:rFonts w:ascii="宋体"/>
                <w:w w:val="110"/>
                <w:sz w:val="12"/>
              </w:rPr>
              <w:t>985,767,122</w:t>
            </w:r>
          </w:p>
        </w:tc>
        <w:tc>
          <w:tcPr>
            <w:tcW w:w="811"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78"/>
              <w:jc w:val="right"/>
              <w:rPr>
                <w:rFonts w:ascii="宋体" w:hAnsi="宋体" w:cs="宋体" w:eastAsia="宋体" w:hint="default"/>
                <w:sz w:val="12"/>
                <w:szCs w:val="12"/>
              </w:rPr>
            </w:pPr>
            <w:r>
              <w:rPr>
                <w:rFonts w:ascii="宋体"/>
                <w:w w:val="95"/>
                <w:sz w:val="12"/>
              </w:rPr>
              <w:t>51,648,414</w:t>
            </w:r>
            <w:r>
              <w:rPr>
                <w:rFonts w:ascii="宋体"/>
                <w:sz w:val="12"/>
              </w:rPr>
            </w:r>
          </w:p>
        </w:tc>
        <w:tc>
          <w:tcPr>
            <w:tcW w:w="1093"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111"/>
              <w:jc w:val="right"/>
              <w:rPr>
                <w:rFonts w:ascii="宋体" w:hAnsi="宋体" w:cs="宋体" w:eastAsia="宋体" w:hint="default"/>
                <w:sz w:val="12"/>
                <w:szCs w:val="12"/>
              </w:rPr>
            </w:pPr>
            <w:r>
              <w:rPr>
                <w:rFonts w:ascii="宋体"/>
                <w:w w:val="90"/>
                <w:sz w:val="12"/>
              </w:rPr>
              <w:t>(19,182,200,000)</w:t>
            </w:r>
            <w:r>
              <w:rPr>
                <w:rFonts w:ascii="宋体"/>
                <w:sz w:val="12"/>
              </w:rPr>
            </w:r>
          </w:p>
        </w:tc>
        <w:tc>
          <w:tcPr>
            <w:tcW w:w="981"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34"/>
              <w:jc w:val="right"/>
              <w:rPr>
                <w:rFonts w:ascii="宋体" w:hAnsi="宋体" w:cs="宋体" w:eastAsia="宋体" w:hint="default"/>
                <w:sz w:val="12"/>
                <w:szCs w:val="12"/>
              </w:rPr>
            </w:pPr>
            <w:r>
              <w:rPr>
                <w:rFonts w:ascii="宋体"/>
                <w:w w:val="95"/>
                <w:sz w:val="12"/>
              </w:rPr>
              <w:t>18,273,450,177</w:t>
            </w:r>
            <w:r>
              <w:rPr>
                <w:rFonts w:ascii="宋体"/>
                <w:sz w:val="12"/>
              </w:rPr>
            </w:r>
          </w:p>
        </w:tc>
      </w:tr>
    </w:tbl>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021;height:2" coordorigin="20,20" coordsize="1021,2">
              <v:shape style="position:absolute;left:20;top:20;width:1021;height:2" coordorigin="20,20" coordsize="1021,0" path="m20,20l1040,20e" filled="false" stroked="true" strokeweight="2pt" strokecolor="#9f8958">
                <v:path arrowok="t"/>
              </v:shape>
            </v:group>
            <v:group style="position:absolute;left:1040;top:20;width:556;height:2" coordorigin="1040,20" coordsize="556,2">
              <v:shape style="position:absolute;left:1040;top:20;width:556;height:2" coordorigin="1040,20" coordsize="556,0" path="m1040,20l1596,20e" filled="false" stroked="true" strokeweight="2pt" strokecolor="#9f8958">
                <v:path arrowok="t"/>
              </v:shape>
            </v:group>
            <v:group style="position:absolute;left:1596;top:20;width:1146;height:2" coordorigin="1596,20" coordsize="1146,2">
              <v:shape style="position:absolute;left:1596;top:20;width:1146;height:2" coordorigin="1596,20" coordsize="1146,0" path="m1596,20l2741,20e" filled="false" stroked="true" strokeweight="2pt" strokecolor="#9f8958">
                <v:path arrowok="t"/>
              </v:shape>
            </v:group>
            <v:group style="position:absolute;left:2741;top:20;width:386;height:2" coordorigin="2741,20" coordsize="386,2">
              <v:shape style="position:absolute;left:2741;top:20;width:386;height:2" coordorigin="2741,20" coordsize="386,0" path="m2741,20l3127,20e" filled="false" stroked="true" strokeweight="2pt" strokecolor="#9f8958">
                <v:path arrowok="t"/>
              </v:shape>
            </v:group>
            <v:group style="position:absolute;left:3127;top:20;width:499;height:2" coordorigin="3127,20" coordsize="499,2">
              <v:shape style="position:absolute;left:3127;top:20;width:499;height:2" coordorigin="3127,20" coordsize="499,0" path="m3127,20l3626,20e" filled="false" stroked="true" strokeweight="2pt" strokecolor="#9f8958">
                <v:path arrowok="t"/>
              </v:shape>
            </v:group>
            <v:group style="position:absolute;left:3626;top:20;width:533;height:2" coordorigin="3626,20" coordsize="533,2">
              <v:shape style="position:absolute;left:3626;top:20;width:533;height:2" coordorigin="3626,20" coordsize="533,0" path="m3626,20l4159,20e" filled="false" stroked="true" strokeweight="2pt" strokecolor="#9f8958">
                <v:path arrowok="t"/>
              </v:shape>
            </v:group>
            <v:group style="position:absolute;left:4159;top:20;width:964;height:2" coordorigin="4159,20" coordsize="964,2">
              <v:shape style="position:absolute;left:4159;top:20;width:964;height:2" coordorigin="4159,20" coordsize="964,0" path="m4159,20l5122,20e" filled="false" stroked="true" strokeweight="2pt" strokecolor="#9f8958">
                <v:path arrowok="t"/>
              </v:shape>
            </v:group>
            <v:group style="position:absolute;left:5122;top:20;width:352;height:2" coordorigin="5122,20" coordsize="352,2">
              <v:shape style="position:absolute;left:5122;top:20;width:352;height:2" coordorigin="5122,20" coordsize="352,0" path="m5122,20l5474,20e" filled="false" stroked="true" strokeweight="2pt" strokecolor="#9f8958">
                <v:path arrowok="t"/>
              </v:shape>
            </v:group>
            <v:group style="position:absolute;left:5474;top:20;width:862;height:2" coordorigin="5474,20" coordsize="862,2">
              <v:shape style="position:absolute;left:5474;top:20;width:862;height:2" coordorigin="5474,20" coordsize="862,0" path="m5474,20l6336,20e" filled="false" stroked="true" strokeweight="2pt" strokecolor="#9f8958">
                <v:path arrowok="t"/>
              </v:shape>
            </v:group>
            <v:group style="position:absolute;left:6336;top:20;width:862;height:2" coordorigin="6336,20" coordsize="862,2">
              <v:shape style="position:absolute;left:6336;top:20;width:862;height:2" coordorigin="6336,20" coordsize="862,0" path="m6336,20l7197,20e" filled="false" stroked="true" strokeweight="2pt" strokecolor="#9f8958">
                <v:path arrowok="t"/>
              </v:shape>
            </v:group>
            <v:group style="position:absolute;left:7197;top:20;width:1061;height:2" coordorigin="7197,20" coordsize="1061,2">
              <v:shape style="position:absolute;left:7197;top:20;width:1061;height:2" coordorigin="7197,20" coordsize="1061,0" path="m7197,20l8257,20e" filled="false" stroked="true" strokeweight="2pt" strokecolor="#9f8958">
                <v:path arrowok="t"/>
              </v:shape>
            </v:group>
            <v:group style="position:absolute;left:8257;top:20;width:1061;height:2" coordorigin="8257,20" coordsize="1061,2">
              <v:shape style="position:absolute;left:8257;top:20;width:1061;height:2" coordorigin="8257,20" coordsize="1061,0" path="m8257,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5"/>
        <w:rPr>
          <w:rFonts w:ascii="宋体" w:hAnsi="宋体" w:cs="宋体" w:eastAsia="宋体" w:hint="default"/>
          <w:sz w:val="15"/>
          <w:szCs w:val="15"/>
        </w:rPr>
      </w:pPr>
    </w:p>
    <w:p>
      <w:pPr>
        <w:pStyle w:val="BodyText"/>
        <w:spacing w:line="458" w:lineRule="auto" w:before="31"/>
        <w:ind w:right="1368"/>
        <w:jc w:val="left"/>
      </w:pPr>
      <w:r>
        <w:rPr/>
        <w:t>注</w:t>
      </w:r>
      <w:r>
        <w:rPr>
          <w:spacing w:val="-37"/>
        </w:rPr>
        <w:t> </w:t>
      </w:r>
      <w:r>
        <w:rPr/>
        <w:t>1：中期票据及公司债券均为本公司所属联通运营公司发行，且均为单利按年计息，每年付息一次。</w:t>
      </w:r>
      <w:r>
        <w:rPr>
          <w:w w:val="100"/>
        </w:rPr>
        <w:t> </w:t>
      </w:r>
      <w:r>
        <w:rPr>
          <w:w w:val="95"/>
        </w:rPr>
        <w:t>注 2：余额包含了附注五 (22)(a)</w:t>
      </w:r>
      <w:r>
        <w:rPr>
          <w:spacing w:val="-20"/>
          <w:w w:val="95"/>
        </w:rPr>
        <w:t> </w:t>
      </w:r>
      <w:r>
        <w:rPr>
          <w:w w:val="95"/>
        </w:rPr>
        <w:t>列示的应付长期债券利息。</w:t>
      </w:r>
    </w:p>
    <w:p>
      <w:pPr>
        <w:pStyle w:val="BodyText"/>
        <w:spacing w:line="240" w:lineRule="auto" w:before="50"/>
        <w:ind w:left="113" w:right="0"/>
        <w:jc w:val="left"/>
      </w:pPr>
      <w:r>
        <w:rPr/>
        <w:t>27、长期应付款</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2634"/>
        <w:gridCol w:w="1459"/>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542"/>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63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限制性股票回购义务</w:t>
            </w:r>
          </w:p>
        </w:tc>
        <w:tc>
          <w:tcPr>
            <w:tcW w:w="145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209" w:right="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(32)</w:t>
            </w:r>
            <w:r>
              <w:rPr>
                <w:rFonts w:ascii="宋体" w:hAnsi="宋体" w:cs="宋体" w:eastAsia="宋体" w:hint="default"/>
                <w:sz w:val="16"/>
                <w:szCs w:val="16"/>
              </w:rPr>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2,993,014,742</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应付融资租赁款</w:t>
            </w:r>
          </w:p>
        </w:tc>
        <w:tc>
          <w:tcPr>
            <w:tcW w:w="1459" w:type="dxa"/>
            <w:tcBorders>
              <w:top w:val="nil" w:sz="6" w:space="0" w:color="auto"/>
              <w:left w:val="nil" w:sz="6" w:space="0" w:color="auto"/>
              <w:bottom w:val="nil" w:sz="6" w:space="0" w:color="auto"/>
              <w:right w:val="nil" w:sz="6" w:space="0" w:color="auto"/>
            </w:tcBorders>
          </w:tcPr>
          <w:p>
            <w:pPr>
              <w:pStyle w:val="TableParagraph"/>
              <w:spacing w:line="205" w:lineRule="exact"/>
              <w:ind w:left="208" w:right="0"/>
              <w:jc w:val="center"/>
              <w:rPr>
                <w:rFonts w:ascii="宋体" w:hAnsi="宋体" w:cs="宋体" w:eastAsia="宋体" w:hint="default"/>
                <w:sz w:val="16"/>
                <w:szCs w:val="16"/>
              </w:rPr>
            </w:pPr>
            <w:r>
              <w:rPr>
                <w:rFonts w:ascii="宋体"/>
                <w:w w:val="80"/>
                <w:sz w:val="16"/>
              </w:rPr>
              <w:t>(a)</w:t>
            </w:r>
            <w:r>
              <w:rPr>
                <w:rFonts w:ascii="宋体"/>
                <w:sz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240,033,088</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692,329,755</w:t>
            </w:r>
          </w:p>
        </w:tc>
      </w:tr>
      <w:tr>
        <w:trPr>
          <w:trHeight w:val="273" w:hRule="exact"/>
        </w:trPr>
        <w:tc>
          <w:tcPr>
            <w:tcW w:w="2634"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459" w:type="dxa"/>
            <w:tcBorders>
              <w:top w:val="nil" w:sz="6" w:space="0" w:color="auto"/>
              <w:left w:val="nil" w:sz="6" w:space="0" w:color="auto"/>
              <w:bottom w:val="nil" w:sz="6" w:space="0" w:color="auto"/>
              <w:right w:val="nil" w:sz="6" w:space="0" w:color="auto"/>
            </w:tcBorders>
          </w:tcPr>
          <w:p>
            <w:pP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72,837,650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89,815,749</w:t>
            </w:r>
            <w:r>
              <w:rPr>
                <w:rFonts w:ascii="宋体"/>
                <w:sz w:val="16"/>
              </w:rPr>
            </w:r>
          </w:p>
        </w:tc>
      </w:tr>
      <w:tr>
        <w:trPr>
          <w:trHeight w:val="331" w:hRule="exact"/>
        </w:trPr>
        <w:tc>
          <w:tcPr>
            <w:tcW w:w="2634"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459" w:type="dxa"/>
            <w:tcBorders>
              <w:top w:val="nil" w:sz="6" w:space="0" w:color="auto"/>
              <w:left w:val="nil" w:sz="6" w:space="0" w:color="auto"/>
              <w:bottom w:val="single" w:sz="6" w:space="0" w:color="000000"/>
              <w:right w:val="nil" w:sz="6" w:space="0" w:color="auto"/>
            </w:tcBorders>
          </w:tcPr>
          <w:p>
            <w:pP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3,305,885,480</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782,145,504</w:t>
            </w:r>
          </w:p>
        </w:tc>
      </w:tr>
      <w:tr>
        <w:trPr>
          <w:trHeight w:val="407" w:hRule="exact"/>
        </w:trPr>
        <w:tc>
          <w:tcPr>
            <w:tcW w:w="2634"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减：一年内到期的长期应付款</w:t>
            </w:r>
          </w:p>
        </w:tc>
        <w:tc>
          <w:tcPr>
            <w:tcW w:w="1459"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209" w:right="0"/>
              <w:jc w:val="center"/>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(23)</w:t>
            </w:r>
            <w:r>
              <w:rPr>
                <w:rFonts w:ascii="宋体" w:hAnsi="宋体" w:cs="宋体" w:eastAsia="宋体" w:hint="default"/>
                <w:sz w:val="16"/>
                <w:szCs w:val="16"/>
              </w:rPr>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(250,394,349)</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(460,624,575)</w:t>
            </w:r>
            <w:r>
              <w:rPr>
                <w:rFonts w:ascii="宋体"/>
                <w:sz w:val="16"/>
              </w:rPr>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3,055,491,131</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321,520,929</w:t>
            </w:r>
          </w:p>
        </w:tc>
      </w:tr>
    </w:tbl>
    <w:p>
      <w:pPr>
        <w:spacing w:after="0" w:line="240" w:lineRule="auto"/>
        <w:jc w:val="right"/>
        <w:rPr>
          <w:rFonts w:ascii="宋体" w:hAnsi="宋体" w:cs="宋体" w:eastAsia="宋体" w:hint="default"/>
          <w:sz w:val="16"/>
          <w:szCs w:val="16"/>
        </w:rPr>
        <w:sectPr>
          <w:type w:val="continuous"/>
          <w:pgSz w:w="11910" w:h="16160"/>
          <w:pgMar w:top="1520" w:bottom="2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742"/>
        <w:jc w:val="left"/>
      </w:pPr>
      <w:r>
        <w:rPr/>
        <w:t>27、长期应付款（续）</w:t>
      </w:r>
      <w:r>
        <w:rPr>
          <w:spacing w:val="-71"/>
        </w:rPr>
        <w:t> </w:t>
      </w:r>
      <w:r>
        <w:rPr/>
        <w:t>(a)</w:t>
      </w:r>
      <w:r>
        <w:rPr>
          <w:spacing w:val="-21"/>
        </w:rPr>
        <w:t> </w:t>
      </w:r>
      <w:r>
        <w:rPr/>
        <w:t>应付融资租赁款</w:t>
      </w:r>
    </w:p>
    <w:p>
      <w:pPr>
        <w:pStyle w:val="BodyText"/>
        <w:spacing w:line="240" w:lineRule="auto" w:before="54"/>
        <w:ind w:left="453" w:right="0"/>
        <w:jc w:val="left"/>
      </w:pPr>
      <w:r>
        <w:rPr>
          <w:w w:val="95"/>
        </w:rPr>
        <w:t>本集团通过融资租赁租入固定资产（附注五 </w:t>
      </w:r>
      <w:r>
        <w:rPr>
          <w:spacing w:val="71"/>
          <w:w w:val="95"/>
        </w:rPr>
        <w:t> </w:t>
      </w:r>
      <w:r>
        <w:rPr>
          <w:w w:val="95"/>
        </w:rPr>
        <w:t>(11)(b)），未来应支付租金汇总如下：</w:t>
      </w:r>
      <w:r>
        <w:rPr/>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61"/>
                <w:w w:val="105"/>
                <w:sz w:val="16"/>
                <w:szCs w:val="16"/>
              </w:rPr>
              <w:t> </w:t>
            </w:r>
            <w:r>
              <w:rPr>
                <w:rFonts w:ascii="宋体" w:hAnsi="宋体" w:cs="宋体" w:eastAsia="宋体" w:hint="default"/>
                <w:w w:val="105"/>
                <w:sz w:val="16"/>
                <w:szCs w:val="16"/>
              </w:rPr>
              <w:t>年以内（含</w:t>
            </w:r>
            <w:r>
              <w:rPr>
                <w:rFonts w:ascii="宋体" w:hAnsi="宋体" w:cs="宋体" w:eastAsia="宋体" w:hint="default"/>
                <w:spacing w:val="-60"/>
                <w:w w:val="105"/>
                <w:sz w:val="16"/>
                <w:szCs w:val="16"/>
              </w:rPr>
              <w:t> </w:t>
            </w:r>
            <w:r>
              <w:rPr>
                <w:rFonts w:ascii="宋体" w:hAnsi="宋体" w:cs="宋体" w:eastAsia="宋体" w:hint="default"/>
                <w:w w:val="105"/>
                <w:sz w:val="16"/>
                <w:szCs w:val="16"/>
              </w:rPr>
              <w:t>1</w:t>
            </w:r>
            <w:r>
              <w:rPr>
                <w:rFonts w:ascii="宋体" w:hAnsi="宋体" w:cs="宋体" w:eastAsia="宋体" w:hint="default"/>
                <w:spacing w:val="-61"/>
                <w:w w:val="105"/>
                <w:sz w:val="16"/>
                <w:szCs w:val="16"/>
              </w:rPr>
              <w:t> </w:t>
            </w:r>
            <w:r>
              <w:rPr>
                <w:rFonts w:ascii="宋体" w:hAnsi="宋体" w:cs="宋体" w:eastAsia="宋体" w:hint="default"/>
                <w:w w:val="105"/>
                <w:sz w:val="16"/>
                <w:szCs w:val="16"/>
              </w:rPr>
              <w:t>年）</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242,789,918</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484,149,051</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8"/>
                <w:w w:val="105"/>
                <w:sz w:val="16"/>
                <w:szCs w:val="16"/>
              </w:rPr>
              <w:t> </w:t>
            </w:r>
            <w:r>
              <w:rPr>
                <w:rFonts w:ascii="宋体" w:hAnsi="宋体" w:cs="宋体" w:eastAsia="宋体" w:hint="default"/>
                <w:w w:val="105"/>
                <w:sz w:val="16"/>
                <w:szCs w:val="16"/>
              </w:rPr>
              <w:t>年以上</w:t>
            </w:r>
            <w:r>
              <w:rPr>
                <w:rFonts w:ascii="宋体" w:hAnsi="宋体" w:cs="宋体" w:eastAsia="宋体" w:hint="default"/>
                <w:spacing w:val="-58"/>
                <w:w w:val="105"/>
                <w:sz w:val="16"/>
                <w:szCs w:val="16"/>
              </w:rPr>
              <w:t> </w:t>
            </w:r>
            <w:r>
              <w:rPr>
                <w:rFonts w:ascii="宋体" w:hAnsi="宋体" w:cs="宋体" w:eastAsia="宋体" w:hint="default"/>
                <w:w w:val="105"/>
                <w:sz w:val="16"/>
                <w:szCs w:val="16"/>
              </w:rPr>
              <w:t>2</w:t>
            </w:r>
            <w:r>
              <w:rPr>
                <w:rFonts w:ascii="宋体" w:hAnsi="宋体" w:cs="宋体" w:eastAsia="宋体" w:hint="default"/>
                <w:spacing w:val="-58"/>
                <w:w w:val="105"/>
                <w:sz w:val="16"/>
                <w:szCs w:val="16"/>
              </w:rPr>
              <w:t> </w:t>
            </w:r>
            <w:r>
              <w:rPr>
                <w:rFonts w:ascii="宋体" w:hAnsi="宋体" w:cs="宋体" w:eastAsia="宋体" w:hint="default"/>
                <w:w w:val="105"/>
                <w:sz w:val="16"/>
                <w:szCs w:val="16"/>
              </w:rPr>
              <w:t>年以内（含</w:t>
            </w:r>
            <w:r>
              <w:rPr>
                <w:rFonts w:ascii="宋体" w:hAnsi="宋体" w:cs="宋体" w:eastAsia="宋体" w:hint="default"/>
                <w:spacing w:val="-58"/>
                <w:w w:val="105"/>
                <w:sz w:val="16"/>
                <w:szCs w:val="16"/>
              </w:rPr>
              <w:t> </w:t>
            </w:r>
            <w:r>
              <w:rPr>
                <w:rFonts w:ascii="宋体" w:hAnsi="宋体" w:cs="宋体" w:eastAsia="宋体" w:hint="default"/>
                <w:w w:val="105"/>
                <w:sz w:val="16"/>
                <w:szCs w:val="16"/>
              </w:rPr>
              <w:t>2</w:t>
            </w:r>
            <w:r>
              <w:rPr>
                <w:rFonts w:ascii="宋体" w:hAnsi="宋体" w:cs="宋体" w:eastAsia="宋体" w:hint="default"/>
                <w:spacing w:val="-58"/>
                <w:w w:val="105"/>
                <w:sz w:val="16"/>
                <w:szCs w:val="16"/>
              </w:rPr>
              <w:t> </w:t>
            </w:r>
            <w:r>
              <w:rPr>
                <w:rFonts w:ascii="宋体" w:hAnsi="宋体" w:cs="宋体" w:eastAsia="宋体" w:hint="default"/>
                <w:w w:val="105"/>
                <w:sz w:val="16"/>
                <w:szCs w:val="16"/>
              </w:rPr>
              <w:t>年）</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2,387,770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236,008,002</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2</w:t>
            </w:r>
            <w:r>
              <w:rPr>
                <w:rFonts w:ascii="宋体" w:hAnsi="宋体" w:cs="宋体" w:eastAsia="宋体" w:hint="default"/>
                <w:spacing w:val="-60"/>
                <w:sz w:val="16"/>
                <w:szCs w:val="16"/>
              </w:rPr>
              <w:t> </w:t>
            </w:r>
            <w:r>
              <w:rPr>
                <w:rFonts w:ascii="宋体" w:hAnsi="宋体" w:cs="宋体" w:eastAsia="宋体" w:hint="default"/>
                <w:spacing w:val="9"/>
                <w:sz w:val="16"/>
                <w:szCs w:val="16"/>
              </w:rPr>
              <w:t>年以上3</w:t>
            </w:r>
            <w:r>
              <w:rPr>
                <w:rFonts w:ascii="宋体" w:hAnsi="宋体" w:cs="宋体" w:eastAsia="宋体" w:hint="default"/>
                <w:spacing w:val="-60"/>
                <w:sz w:val="16"/>
                <w:szCs w:val="16"/>
              </w:rPr>
              <w:t> </w:t>
            </w:r>
            <w:r>
              <w:rPr>
                <w:rFonts w:ascii="宋体" w:hAnsi="宋体" w:cs="宋体" w:eastAsia="宋体" w:hint="default"/>
                <w:sz w:val="16"/>
                <w:szCs w:val="16"/>
              </w:rPr>
              <w:t>年以内</w:t>
            </w:r>
            <w:r>
              <w:rPr>
                <w:rFonts w:ascii="宋体" w:hAnsi="宋体" w:cs="宋体" w:eastAsia="宋体" w:hint="default"/>
                <w:spacing w:val="-58"/>
                <w:sz w:val="16"/>
                <w:szCs w:val="16"/>
              </w:rPr>
              <w:t> </w:t>
            </w:r>
            <w:r>
              <w:rPr>
                <w:rFonts w:ascii="宋体" w:hAnsi="宋体" w:cs="宋体" w:eastAsia="宋体" w:hint="default"/>
                <w:spacing w:val="36"/>
                <w:sz w:val="16"/>
                <w:szCs w:val="16"/>
              </w:rPr>
              <w:t>(含3年)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2,185,464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3</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2,185,464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249,548,616</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720,157,053</w:t>
            </w:r>
          </w:p>
        </w:tc>
      </w:tr>
      <w:tr>
        <w:trPr>
          <w:trHeight w:val="407"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减：未确认融资费用</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(9,515,528)</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(27,827,298)</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240,033,088</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692,329,755</w:t>
            </w:r>
          </w:p>
        </w:tc>
      </w:tr>
    </w:tbl>
    <w:p>
      <w:pPr>
        <w:spacing w:line="240" w:lineRule="auto" w:before="1"/>
        <w:rPr>
          <w:rFonts w:ascii="宋体" w:hAnsi="宋体" w:cs="宋体" w:eastAsia="宋体" w:hint="default"/>
          <w:sz w:val="15"/>
          <w:szCs w:val="15"/>
        </w:rPr>
      </w:pPr>
    </w:p>
    <w:p>
      <w:pPr>
        <w:pStyle w:val="BodyText"/>
        <w:spacing w:line="240" w:lineRule="auto" w:before="31"/>
        <w:ind w:left="113" w:right="0"/>
        <w:jc w:val="left"/>
      </w:pPr>
      <w:r>
        <w:rPr/>
        <w:t>28、长期应付职工薪酬</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3038"/>
        <w:gridCol w:w="1056"/>
        <w:gridCol w:w="2602"/>
        <w:gridCol w:w="2602"/>
      </w:tblGrid>
      <w:tr>
        <w:trPr>
          <w:trHeight w:val="350" w:hRule="exact"/>
        </w:trPr>
        <w:tc>
          <w:tcPr>
            <w:tcW w:w="409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452"/>
              <w:jc w:val="right"/>
              <w:rPr>
                <w:rFonts w:ascii="宋体" w:hAnsi="宋体" w:cs="宋体" w:eastAsia="宋体" w:hint="default"/>
                <w:sz w:val="16"/>
                <w:szCs w:val="16"/>
              </w:rPr>
            </w:pPr>
            <w:r>
              <w:rPr>
                <w:rFonts w:ascii="宋体" w:hAnsi="宋体" w:cs="宋体" w:eastAsia="宋体" w:hint="default"/>
                <w:sz w:val="16"/>
                <w:szCs w:val="16"/>
              </w:rPr>
              <w:t>注</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303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应付内退员工补偿费</w:t>
            </w:r>
          </w:p>
        </w:tc>
        <w:tc>
          <w:tcPr>
            <w:tcW w:w="105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39"/>
              <w:jc w:val="righ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(20)</w:t>
            </w:r>
            <w:r>
              <w:rPr>
                <w:rFonts w:ascii="宋体" w:hAnsi="宋体" w:cs="宋体" w:eastAsia="宋体" w:hint="default"/>
                <w:sz w:val="16"/>
                <w:szCs w:val="16"/>
              </w:rPr>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3,141,931</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3,626,044</w:t>
            </w:r>
            <w:r>
              <w:rPr>
                <w:rFonts w:ascii="宋体"/>
                <w:sz w:val="16"/>
              </w:rPr>
            </w:r>
          </w:p>
        </w:tc>
      </w:tr>
      <w:tr>
        <w:trPr>
          <w:trHeight w:val="273" w:hRule="exact"/>
        </w:trPr>
        <w:tc>
          <w:tcPr>
            <w:tcW w:w="303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应付离退休后补充福利</w:t>
            </w:r>
          </w:p>
        </w:tc>
        <w:tc>
          <w:tcPr>
            <w:tcW w:w="1056" w:type="dxa"/>
            <w:tcBorders>
              <w:top w:val="nil" w:sz="6" w:space="0" w:color="auto"/>
              <w:left w:val="nil" w:sz="6" w:space="0" w:color="auto"/>
              <w:bottom w:val="nil" w:sz="6" w:space="0" w:color="auto"/>
              <w:right w:val="nil" w:sz="6" w:space="0" w:color="auto"/>
            </w:tcBorders>
          </w:tcPr>
          <w:p>
            <w:pPr>
              <w:pStyle w:val="TableParagraph"/>
              <w:spacing w:line="205" w:lineRule="exact"/>
              <w:ind w:right="139"/>
              <w:jc w:val="right"/>
              <w:rPr>
                <w:rFonts w:ascii="宋体" w:hAnsi="宋体" w:cs="宋体" w:eastAsia="宋体" w:hint="default"/>
                <w:sz w:val="16"/>
                <w:szCs w:val="16"/>
              </w:rPr>
            </w:pP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(20)</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67,758,283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64,813,700</w:t>
            </w:r>
            <w:r>
              <w:rPr>
                <w:rFonts w:ascii="宋体"/>
                <w:sz w:val="16"/>
              </w:rPr>
            </w:r>
          </w:p>
        </w:tc>
      </w:tr>
      <w:tr>
        <w:trPr>
          <w:trHeight w:val="331" w:hRule="exact"/>
        </w:trPr>
        <w:tc>
          <w:tcPr>
            <w:tcW w:w="3038"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1056" w:type="dxa"/>
            <w:tcBorders>
              <w:top w:val="nil" w:sz="6" w:space="0" w:color="auto"/>
              <w:left w:val="nil" w:sz="6" w:space="0" w:color="auto"/>
              <w:bottom w:val="single" w:sz="6" w:space="0" w:color="000000"/>
              <w:right w:val="nil" w:sz="6" w:space="0" w:color="auto"/>
            </w:tcBorders>
          </w:tcPr>
          <w:p>
            <w:pP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70,900,214</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68,439,744</w:t>
            </w:r>
            <w:r>
              <w:rPr>
                <w:rFonts w:ascii="宋体"/>
                <w:sz w:val="16"/>
              </w:rPr>
            </w:r>
          </w:p>
        </w:tc>
      </w:tr>
      <w:tr>
        <w:trPr>
          <w:trHeight w:val="350" w:hRule="exact"/>
        </w:trPr>
        <w:tc>
          <w:tcPr>
            <w:tcW w:w="4093" w:type="dxa"/>
            <w:gridSpan w:val="2"/>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减：应付内退员工补偿费（流动部分）</w:t>
            </w:r>
          </w:p>
        </w:tc>
        <w:tc>
          <w:tcPr>
            <w:tcW w:w="2602" w:type="dxa"/>
            <w:tcBorders>
              <w:top w:val="single" w:sz="6" w:space="0" w:color="000000"/>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(760,708)</w:t>
            </w:r>
            <w:r>
              <w:rPr>
                <w:rFonts w:ascii="宋体"/>
                <w:sz w:val="16"/>
              </w:rPr>
            </w:r>
          </w:p>
        </w:tc>
        <w:tc>
          <w:tcPr>
            <w:tcW w:w="2602"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(842,977)</w:t>
            </w:r>
            <w:r>
              <w:rPr>
                <w:rFonts w:ascii="宋体"/>
                <w:sz w:val="16"/>
              </w:rPr>
            </w:r>
          </w:p>
        </w:tc>
      </w:tr>
      <w:tr>
        <w:trPr>
          <w:trHeight w:val="273" w:hRule="exact"/>
        </w:trPr>
        <w:tc>
          <w:tcPr>
            <w:tcW w:w="4093" w:type="dxa"/>
            <w:gridSpan w:val="2"/>
            <w:tcBorders>
              <w:top w:val="nil" w:sz="6" w:space="0" w:color="auto"/>
              <w:left w:val="nil" w:sz="6" w:space="0" w:color="auto"/>
              <w:bottom w:val="nil" w:sz="6" w:space="0" w:color="auto"/>
              <w:right w:val="nil" w:sz="6" w:space="0" w:color="auto"/>
            </w:tcBorders>
          </w:tcPr>
          <w:p>
            <w:pPr>
              <w:pStyle w:val="TableParagraph"/>
              <w:spacing w:line="205" w:lineRule="exact"/>
              <w:ind w:left="423" w:right="0"/>
              <w:jc w:val="left"/>
              <w:rPr>
                <w:rFonts w:ascii="宋体" w:hAnsi="宋体" w:cs="宋体" w:eastAsia="宋体" w:hint="default"/>
                <w:sz w:val="16"/>
                <w:szCs w:val="16"/>
              </w:rPr>
            </w:pPr>
            <w:r>
              <w:rPr>
                <w:rFonts w:ascii="宋体" w:hAnsi="宋体" w:cs="宋体" w:eastAsia="宋体" w:hint="default"/>
                <w:sz w:val="16"/>
                <w:szCs w:val="16"/>
              </w:rPr>
              <w:t>应付离退休后补充福</w:t>
            </w:r>
            <w:r>
              <w:rPr>
                <w:rFonts w:ascii="宋体" w:hAnsi="宋体" w:cs="宋体" w:eastAsia="宋体" w:hint="default"/>
                <w:spacing w:val="-74"/>
                <w:sz w:val="16"/>
                <w:szCs w:val="16"/>
              </w:rPr>
              <w:t>利</w:t>
            </w:r>
            <w:r>
              <w:rPr>
                <w:rFonts w:ascii="宋体" w:hAnsi="宋体" w:cs="宋体" w:eastAsia="宋体" w:hint="default"/>
                <w:sz w:val="16"/>
                <w:szCs w:val="16"/>
              </w:rPr>
              <w:t>（流动部分）</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(4,404,340)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(3,463,622)</w:t>
            </w:r>
            <w:r>
              <w:rPr>
                <w:rFonts w:ascii="宋体"/>
                <w:sz w:val="16"/>
              </w:rPr>
            </w:r>
          </w:p>
        </w:tc>
      </w:tr>
      <w:tr>
        <w:trPr>
          <w:trHeight w:val="331" w:hRule="exact"/>
        </w:trPr>
        <w:tc>
          <w:tcPr>
            <w:tcW w:w="4093" w:type="dxa"/>
            <w:gridSpan w:val="2"/>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(5,165,048)</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(4,306,599)</w:t>
            </w:r>
            <w:r>
              <w:rPr>
                <w:rFonts w:ascii="宋体"/>
                <w:sz w:val="16"/>
              </w:rPr>
            </w:r>
          </w:p>
        </w:tc>
      </w:tr>
      <w:tr>
        <w:trPr>
          <w:trHeight w:val="414" w:hRule="exact"/>
        </w:trPr>
        <w:tc>
          <w:tcPr>
            <w:tcW w:w="409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65,735,166</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64,133,145</w:t>
            </w:r>
            <w:r>
              <w:rPr>
                <w:rFonts w:ascii="宋体"/>
                <w:sz w:val="16"/>
              </w:rPr>
            </w:r>
          </w:p>
        </w:tc>
      </w:tr>
    </w:tbl>
    <w:p>
      <w:pPr>
        <w:spacing w:after="0" w:line="240" w:lineRule="auto"/>
        <w:jc w:val="right"/>
        <w:rPr>
          <w:rFonts w:ascii="宋体" w:hAnsi="宋体" w:cs="宋体" w:eastAsia="宋体" w:hint="default"/>
          <w:sz w:val="16"/>
          <w:szCs w:val="16"/>
        </w:rPr>
        <w:sectPr>
          <w:footerReference w:type="even" r:id="rId314"/>
          <w:footerReference w:type="default" r:id="rId315"/>
          <w:pgSz w:w="11910" w:h="16160"/>
          <w:pgMar w:footer="320" w:header="1200" w:top="2120" w:bottom="520" w:left="6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6"/>
          <w:szCs w:val="26"/>
        </w:rPr>
      </w:pPr>
    </w:p>
    <w:p>
      <w:pPr>
        <w:spacing w:before="46"/>
        <w:ind w:left="0" w:right="1594" w:firstLine="0"/>
        <w:jc w:val="right"/>
        <w:rPr>
          <w:rFonts w:ascii="宋体" w:hAnsi="宋体" w:cs="宋体" w:eastAsia="宋体" w:hint="default"/>
          <w:sz w:val="14"/>
          <w:szCs w:val="14"/>
        </w:rPr>
      </w:pPr>
      <w:r>
        <w:rPr/>
        <w:pict>
          <v:shape style="position:absolute;margin-left:71.950798pt;margin-top:-86.386177pt;width:483.65pt;height:156.4pt;mso-position-horizontal-relative:page;mso-position-vertical-relative:paragraph;z-index:10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90"/>
                    <w:gridCol w:w="639"/>
                    <w:gridCol w:w="1230"/>
                    <w:gridCol w:w="1307"/>
                    <w:gridCol w:w="1138"/>
                    <w:gridCol w:w="1099"/>
                    <w:gridCol w:w="1041"/>
                    <w:gridCol w:w="1427"/>
                  </w:tblGrid>
                  <w:tr>
                    <w:trPr>
                      <w:trHeight w:val="823" w:hRule="exact"/>
                    </w:trPr>
                    <w:tc>
                      <w:tcPr>
                        <w:tcW w:w="1790"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right="618"/>
                          <w:jc w:val="center"/>
                          <w:rPr>
                            <w:rFonts w:ascii="宋体" w:hAnsi="宋体" w:cs="宋体" w:eastAsia="宋体" w:hint="default"/>
                            <w:sz w:val="18"/>
                            <w:szCs w:val="18"/>
                          </w:rPr>
                        </w:pPr>
                        <w:r>
                          <w:rPr>
                            <w:rFonts w:ascii="宋体" w:hAnsi="宋体" w:cs="宋体" w:eastAsia="宋体" w:hint="default"/>
                            <w:sz w:val="18"/>
                            <w:szCs w:val="18"/>
                          </w:rPr>
                          <w:t>29、递延收益</w:t>
                        </w:r>
                      </w:p>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644"/>
                          <w:jc w:val="center"/>
                          <w:rPr>
                            <w:rFonts w:ascii="宋体" w:hAnsi="宋体" w:cs="宋体" w:eastAsia="宋体" w:hint="default"/>
                            <w:sz w:val="14"/>
                            <w:szCs w:val="14"/>
                          </w:rPr>
                        </w:pPr>
                        <w:r>
                          <w:rPr>
                            <w:rFonts w:ascii="宋体" w:hAnsi="宋体" w:cs="宋体" w:eastAsia="宋体" w:hint="default"/>
                            <w:sz w:val="14"/>
                            <w:szCs w:val="14"/>
                          </w:rPr>
                          <w:t>项目</w:t>
                        </w:r>
                      </w:p>
                    </w:tc>
                    <w:tc>
                      <w:tcPr>
                        <w:tcW w:w="639"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0"/>
                          <w:jc w:val="center"/>
                          <w:rPr>
                            <w:rFonts w:ascii="宋体" w:hAnsi="宋体" w:cs="宋体" w:eastAsia="宋体" w:hint="default"/>
                            <w:sz w:val="14"/>
                            <w:szCs w:val="14"/>
                          </w:rPr>
                        </w:pPr>
                        <w:r>
                          <w:rPr>
                            <w:rFonts w:ascii="宋体" w:hAnsi="宋体" w:cs="宋体" w:eastAsia="宋体" w:hint="default"/>
                            <w:sz w:val="14"/>
                            <w:szCs w:val="14"/>
                          </w:rPr>
                          <w:t>注</w:t>
                        </w:r>
                      </w:p>
                    </w:tc>
                    <w:tc>
                      <w:tcPr>
                        <w:tcW w:w="1230"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73"/>
                          <w:jc w:val="right"/>
                          <w:rPr>
                            <w:rFonts w:ascii="宋体" w:hAnsi="宋体" w:cs="宋体" w:eastAsia="宋体" w:hint="default"/>
                            <w:sz w:val="14"/>
                            <w:szCs w:val="14"/>
                          </w:rPr>
                        </w:pPr>
                        <w:r>
                          <w:rPr>
                            <w:rFonts w:ascii="宋体" w:hAnsi="宋体" w:cs="宋体" w:eastAsia="宋体" w:hint="default"/>
                            <w:sz w:val="14"/>
                            <w:szCs w:val="14"/>
                          </w:rPr>
                          <w:t>年初余额</w:t>
                        </w:r>
                      </w:p>
                    </w:tc>
                    <w:tc>
                      <w:tcPr>
                        <w:tcW w:w="130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10"/>
                          <w:jc w:val="right"/>
                          <w:rPr>
                            <w:rFonts w:ascii="宋体" w:hAnsi="宋体" w:cs="宋体" w:eastAsia="宋体" w:hint="default"/>
                            <w:sz w:val="14"/>
                            <w:szCs w:val="14"/>
                          </w:rPr>
                        </w:pPr>
                        <w:r>
                          <w:rPr>
                            <w:rFonts w:ascii="宋体" w:hAnsi="宋体" w:cs="宋体" w:eastAsia="宋体" w:hint="default"/>
                            <w:sz w:val="14"/>
                            <w:szCs w:val="14"/>
                          </w:rPr>
                          <w:t>重分类至合同负债</w:t>
                        </w:r>
                      </w:p>
                    </w:tc>
                    <w:tc>
                      <w:tcPr>
                        <w:tcW w:w="1138"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30"/>
                          <w:jc w:val="right"/>
                          <w:rPr>
                            <w:rFonts w:ascii="宋体" w:hAnsi="宋体" w:cs="宋体" w:eastAsia="宋体" w:hint="default"/>
                            <w:sz w:val="14"/>
                            <w:szCs w:val="14"/>
                          </w:rPr>
                        </w:pPr>
                        <w:r>
                          <w:rPr>
                            <w:rFonts w:ascii="宋体" w:hAnsi="宋体" w:cs="宋体" w:eastAsia="宋体" w:hint="default"/>
                            <w:sz w:val="14"/>
                            <w:szCs w:val="14"/>
                          </w:rPr>
                          <w:t>本年增加</w:t>
                        </w:r>
                      </w:p>
                    </w:tc>
                    <w:tc>
                      <w:tcPr>
                        <w:tcW w:w="1099"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10"/>
                          <w:jc w:val="right"/>
                          <w:rPr>
                            <w:rFonts w:ascii="宋体" w:hAnsi="宋体" w:cs="宋体" w:eastAsia="宋体" w:hint="default"/>
                            <w:sz w:val="14"/>
                            <w:szCs w:val="14"/>
                          </w:rPr>
                        </w:pPr>
                        <w:r>
                          <w:rPr>
                            <w:rFonts w:ascii="宋体" w:hAnsi="宋体" w:cs="宋体" w:eastAsia="宋体" w:hint="default"/>
                            <w:sz w:val="14"/>
                            <w:szCs w:val="14"/>
                          </w:rPr>
                          <w:t>本年减少</w:t>
                        </w:r>
                      </w:p>
                    </w:tc>
                    <w:tc>
                      <w:tcPr>
                        <w:tcW w:w="1041"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33"/>
                          <w:jc w:val="right"/>
                          <w:rPr>
                            <w:rFonts w:ascii="宋体" w:hAnsi="宋体" w:cs="宋体" w:eastAsia="宋体" w:hint="default"/>
                            <w:sz w:val="14"/>
                            <w:szCs w:val="14"/>
                          </w:rPr>
                        </w:pPr>
                        <w:r>
                          <w:rPr>
                            <w:rFonts w:ascii="宋体" w:hAnsi="宋体" w:cs="宋体" w:eastAsia="宋体" w:hint="default"/>
                            <w:sz w:val="14"/>
                            <w:szCs w:val="14"/>
                          </w:rPr>
                          <w:t>年末余额</w:t>
                        </w:r>
                      </w:p>
                    </w:tc>
                    <w:tc>
                      <w:tcPr>
                        <w:tcW w:w="142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54"/>
                          <w:jc w:val="right"/>
                          <w:rPr>
                            <w:rFonts w:ascii="宋体" w:hAnsi="宋体" w:cs="宋体" w:eastAsia="宋体" w:hint="default"/>
                            <w:sz w:val="14"/>
                            <w:szCs w:val="14"/>
                          </w:rPr>
                        </w:pPr>
                        <w:r>
                          <w:rPr>
                            <w:rFonts w:ascii="宋体" w:hAnsi="宋体" w:cs="宋体" w:eastAsia="宋体" w:hint="default"/>
                            <w:sz w:val="14"/>
                            <w:szCs w:val="14"/>
                          </w:rPr>
                          <w:t>形成原因</w:t>
                        </w:r>
                      </w:p>
                    </w:tc>
                  </w:tr>
                  <w:tr>
                    <w:trPr>
                      <w:trHeight w:val="341" w:hRule="exact"/>
                    </w:trPr>
                    <w:tc>
                      <w:tcPr>
                        <w:tcW w:w="179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left="431" w:right="0"/>
                          <w:jc w:val="left"/>
                          <w:rPr>
                            <w:rFonts w:ascii="宋体" w:hAnsi="宋体" w:cs="宋体" w:eastAsia="宋体" w:hint="default"/>
                            <w:sz w:val="14"/>
                            <w:szCs w:val="14"/>
                          </w:rPr>
                        </w:pPr>
                        <w:r>
                          <w:rPr>
                            <w:rFonts w:ascii="宋体" w:hAnsi="宋体" w:cs="宋体" w:eastAsia="宋体" w:hint="default"/>
                            <w:sz w:val="14"/>
                            <w:szCs w:val="14"/>
                          </w:rPr>
                          <w:t>政府补助（注）</w:t>
                        </w:r>
                      </w:p>
                    </w:tc>
                    <w:tc>
                      <w:tcPr>
                        <w:tcW w:w="639" w:type="dxa"/>
                        <w:tcBorders>
                          <w:top w:val="single" w:sz="16" w:space="0" w:color="9F8958"/>
                          <w:left w:val="nil" w:sz="6" w:space="0" w:color="auto"/>
                          <w:bottom w:val="nil" w:sz="6" w:space="0" w:color="auto"/>
                          <w:right w:val="nil" w:sz="6" w:space="0" w:color="auto"/>
                        </w:tcBorders>
                      </w:tcPr>
                      <w:p>
                        <w:pPr/>
                      </w:p>
                    </w:tc>
                    <w:tc>
                      <w:tcPr>
                        <w:tcW w:w="123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72"/>
                          <w:jc w:val="right"/>
                          <w:rPr>
                            <w:rFonts w:ascii="宋体" w:hAnsi="宋体" w:cs="宋体" w:eastAsia="宋体" w:hint="default"/>
                            <w:sz w:val="14"/>
                            <w:szCs w:val="14"/>
                          </w:rPr>
                        </w:pPr>
                        <w:r>
                          <w:rPr>
                            <w:rFonts w:ascii="宋体"/>
                            <w:w w:val="95"/>
                            <w:sz w:val="14"/>
                          </w:rPr>
                          <w:t>2,219,965,660</w:t>
                        </w:r>
                        <w:r>
                          <w:rPr>
                            <w:rFonts w:ascii="宋体"/>
                            <w:sz w:val="14"/>
                          </w:rPr>
                        </w:r>
                      </w:p>
                    </w:tc>
                    <w:tc>
                      <w:tcPr>
                        <w:tcW w:w="1307"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10"/>
                          <w:jc w:val="right"/>
                          <w:rPr>
                            <w:rFonts w:ascii="宋体" w:hAnsi="宋体" w:cs="宋体" w:eastAsia="宋体" w:hint="default"/>
                            <w:sz w:val="14"/>
                            <w:szCs w:val="14"/>
                          </w:rPr>
                        </w:pPr>
                        <w:r>
                          <w:rPr>
                            <w:rFonts w:ascii="宋体"/>
                            <w:w w:val="131"/>
                            <w:sz w:val="14"/>
                          </w:rPr>
                          <w:t>-</w:t>
                        </w:r>
                        <w:r>
                          <w:rPr>
                            <w:rFonts w:ascii="宋体"/>
                            <w:sz w:val="14"/>
                          </w:rPr>
                        </w:r>
                      </w:p>
                    </w:tc>
                    <w:tc>
                      <w:tcPr>
                        <w:tcW w:w="1138"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29"/>
                          <w:jc w:val="right"/>
                          <w:rPr>
                            <w:rFonts w:ascii="宋体" w:hAnsi="宋体" w:cs="宋体" w:eastAsia="宋体" w:hint="default"/>
                            <w:sz w:val="14"/>
                            <w:szCs w:val="14"/>
                          </w:rPr>
                        </w:pPr>
                        <w:r>
                          <w:rPr>
                            <w:rFonts w:ascii="宋体"/>
                            <w:sz w:val="14"/>
                          </w:rPr>
                          <w:t>972,181,822</w:t>
                        </w:r>
                      </w:p>
                    </w:tc>
                    <w:tc>
                      <w:tcPr>
                        <w:tcW w:w="1099"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10"/>
                          <w:jc w:val="right"/>
                          <w:rPr>
                            <w:rFonts w:ascii="宋体" w:hAnsi="宋体" w:cs="宋体" w:eastAsia="宋体" w:hint="default"/>
                            <w:sz w:val="14"/>
                            <w:szCs w:val="14"/>
                          </w:rPr>
                        </w:pPr>
                        <w:r>
                          <w:rPr>
                            <w:rFonts w:ascii="宋体"/>
                            <w:w w:val="90"/>
                            <w:sz w:val="14"/>
                          </w:rPr>
                          <w:t>(323,222,080)</w:t>
                        </w:r>
                        <w:r>
                          <w:rPr>
                            <w:rFonts w:ascii="宋体"/>
                            <w:sz w:val="14"/>
                          </w:rPr>
                        </w:r>
                      </w:p>
                    </w:tc>
                    <w:tc>
                      <w:tcPr>
                        <w:tcW w:w="1041"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33"/>
                          <w:jc w:val="right"/>
                          <w:rPr>
                            <w:rFonts w:ascii="宋体" w:hAnsi="宋体" w:cs="宋体" w:eastAsia="宋体" w:hint="default"/>
                            <w:sz w:val="14"/>
                            <w:szCs w:val="14"/>
                          </w:rPr>
                        </w:pPr>
                        <w:r>
                          <w:rPr>
                            <w:rFonts w:ascii="宋体"/>
                            <w:w w:val="95"/>
                            <w:sz w:val="14"/>
                          </w:rPr>
                          <w:t>2,868,925,402</w:t>
                        </w:r>
                        <w:r>
                          <w:rPr>
                            <w:rFonts w:ascii="宋体"/>
                            <w:sz w:val="14"/>
                          </w:rPr>
                        </w:r>
                      </w:p>
                    </w:tc>
                    <w:tc>
                      <w:tcPr>
                        <w:tcW w:w="1427"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54"/>
                          <w:jc w:val="right"/>
                          <w:rPr>
                            <w:rFonts w:ascii="宋体" w:hAnsi="宋体" w:cs="宋体" w:eastAsia="宋体" w:hint="default"/>
                            <w:sz w:val="14"/>
                            <w:szCs w:val="14"/>
                          </w:rPr>
                        </w:pPr>
                        <w:r>
                          <w:rPr>
                            <w:rFonts w:ascii="宋体" w:hAnsi="宋体" w:cs="宋体" w:eastAsia="宋体" w:hint="default"/>
                            <w:w w:val="95"/>
                            <w:sz w:val="14"/>
                            <w:szCs w:val="14"/>
                          </w:rPr>
                          <w:t>参见附注五</w:t>
                        </w:r>
                        <w:r>
                          <w:rPr>
                            <w:rFonts w:ascii="宋体" w:hAnsi="宋体" w:cs="宋体" w:eastAsia="宋体" w:hint="default"/>
                            <w:spacing w:val="-30"/>
                            <w:w w:val="95"/>
                            <w:sz w:val="14"/>
                            <w:szCs w:val="14"/>
                          </w:rPr>
                          <w:t> </w:t>
                        </w:r>
                        <w:r>
                          <w:rPr>
                            <w:rFonts w:ascii="宋体" w:hAnsi="宋体" w:cs="宋体" w:eastAsia="宋体" w:hint="default"/>
                            <w:w w:val="95"/>
                            <w:sz w:val="14"/>
                            <w:szCs w:val="14"/>
                          </w:rPr>
                          <w:t>(46)</w:t>
                        </w:r>
                        <w:r>
                          <w:rPr>
                            <w:rFonts w:ascii="宋体" w:hAnsi="宋体" w:cs="宋体" w:eastAsia="宋体" w:hint="default"/>
                            <w:sz w:val="14"/>
                            <w:szCs w:val="14"/>
                          </w:rPr>
                        </w:r>
                      </w:p>
                    </w:tc>
                  </w:tr>
                  <w:tr>
                    <w:trPr>
                      <w:trHeight w:val="253" w:hRule="exact"/>
                    </w:trPr>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20"/>
                          <w:jc w:val="right"/>
                          <w:rPr>
                            <w:rFonts w:ascii="宋体" w:hAnsi="宋体" w:cs="宋体" w:eastAsia="宋体" w:hint="default"/>
                            <w:sz w:val="14"/>
                            <w:szCs w:val="14"/>
                          </w:rPr>
                        </w:pPr>
                        <w:r>
                          <w:rPr>
                            <w:rFonts w:ascii="宋体" w:hAnsi="宋体" w:cs="宋体" w:eastAsia="宋体" w:hint="default"/>
                            <w:w w:val="105"/>
                            <w:sz w:val="14"/>
                            <w:szCs w:val="14"/>
                          </w:rPr>
                          <w:t>-</w:t>
                        </w:r>
                        <w:r>
                          <w:rPr>
                            <w:rFonts w:ascii="宋体" w:hAnsi="宋体" w:cs="宋体" w:eastAsia="宋体" w:hint="default"/>
                            <w:spacing w:val="-56"/>
                            <w:w w:val="105"/>
                            <w:sz w:val="14"/>
                            <w:szCs w:val="14"/>
                          </w:rPr>
                          <w:t> </w:t>
                        </w:r>
                        <w:r>
                          <w:rPr>
                            <w:rFonts w:ascii="宋体" w:hAnsi="宋体" w:cs="宋体" w:eastAsia="宋体" w:hint="default"/>
                            <w:w w:val="105"/>
                            <w:sz w:val="14"/>
                            <w:szCs w:val="14"/>
                          </w:rPr>
                          <w:t>与资产相关</w:t>
                        </w:r>
                      </w:p>
                    </w:tc>
                    <w:tc>
                      <w:tcPr>
                        <w:tcW w:w="18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900" w:right="0"/>
                          <w:jc w:val="left"/>
                          <w:rPr>
                            <w:rFonts w:ascii="宋体" w:hAnsi="宋体" w:cs="宋体" w:eastAsia="宋体" w:hint="default"/>
                            <w:sz w:val="14"/>
                            <w:szCs w:val="14"/>
                          </w:rPr>
                        </w:pPr>
                        <w:r>
                          <w:rPr>
                            <w:rFonts w:ascii="宋体"/>
                            <w:sz w:val="14"/>
                          </w:rPr>
                          <w:t>2,101,715,789</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131"/>
                            <w:sz w:val="14"/>
                          </w:rPr>
                          <w:t>-</w:t>
                        </w:r>
                        <w:r>
                          <w:rPr>
                            <w:rFonts w:ascii="宋体"/>
                            <w:sz w:val="14"/>
                          </w:rPr>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29"/>
                          <w:jc w:val="right"/>
                          <w:rPr>
                            <w:rFonts w:ascii="宋体" w:hAnsi="宋体" w:cs="宋体" w:eastAsia="宋体" w:hint="default"/>
                            <w:sz w:val="14"/>
                            <w:szCs w:val="14"/>
                          </w:rPr>
                        </w:pPr>
                        <w:r>
                          <w:rPr>
                            <w:rFonts w:ascii="宋体"/>
                            <w:sz w:val="14"/>
                          </w:rPr>
                          <w:t>757,616,043</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90"/>
                            <w:sz w:val="14"/>
                          </w:rPr>
                          <w:t>(179,134,480)</w:t>
                        </w:r>
                        <w:r>
                          <w:rPr>
                            <w:rFonts w:ascii="宋体"/>
                            <w:sz w:val="14"/>
                          </w:rPr>
                        </w:r>
                      </w:p>
                    </w:tc>
                    <w:tc>
                      <w:tcPr>
                        <w:tcW w:w="2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112" w:right="0"/>
                          <w:jc w:val="left"/>
                          <w:rPr>
                            <w:rFonts w:ascii="宋体" w:hAnsi="宋体" w:cs="宋体" w:eastAsia="宋体" w:hint="default"/>
                            <w:sz w:val="14"/>
                            <w:szCs w:val="14"/>
                          </w:rPr>
                        </w:pPr>
                        <w:r>
                          <w:rPr>
                            <w:rFonts w:ascii="宋体"/>
                            <w:sz w:val="14"/>
                          </w:rPr>
                          <w:t>2,680,197,352</w:t>
                        </w:r>
                      </w:p>
                    </w:tc>
                  </w:tr>
                  <w:tr>
                    <w:trPr>
                      <w:trHeight w:val="303" w:hRule="exact"/>
                    </w:trPr>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20"/>
                          <w:jc w:val="right"/>
                          <w:rPr>
                            <w:rFonts w:ascii="宋体" w:hAnsi="宋体" w:cs="宋体" w:eastAsia="宋体" w:hint="default"/>
                            <w:sz w:val="14"/>
                            <w:szCs w:val="14"/>
                          </w:rPr>
                        </w:pPr>
                        <w:r>
                          <w:rPr>
                            <w:rFonts w:ascii="宋体" w:hAnsi="宋体" w:cs="宋体" w:eastAsia="宋体" w:hint="default"/>
                            <w:w w:val="105"/>
                            <w:sz w:val="14"/>
                            <w:szCs w:val="14"/>
                          </w:rPr>
                          <w:t>-</w:t>
                        </w:r>
                        <w:r>
                          <w:rPr>
                            <w:rFonts w:ascii="宋体" w:hAnsi="宋体" w:cs="宋体" w:eastAsia="宋体" w:hint="default"/>
                            <w:spacing w:val="-56"/>
                            <w:w w:val="105"/>
                            <w:sz w:val="14"/>
                            <w:szCs w:val="14"/>
                          </w:rPr>
                          <w:t> </w:t>
                        </w:r>
                        <w:r>
                          <w:rPr>
                            <w:rFonts w:ascii="宋体" w:hAnsi="宋体" w:cs="宋体" w:eastAsia="宋体" w:hint="default"/>
                            <w:w w:val="105"/>
                            <w:sz w:val="14"/>
                            <w:szCs w:val="14"/>
                          </w:rPr>
                          <w:t>与收益相关</w:t>
                        </w:r>
                      </w:p>
                    </w:tc>
                    <w:tc>
                      <w:tcPr>
                        <w:tcW w:w="18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1017" w:right="0"/>
                          <w:jc w:val="left"/>
                          <w:rPr>
                            <w:rFonts w:ascii="宋体" w:hAnsi="宋体" w:cs="宋体" w:eastAsia="宋体" w:hint="default"/>
                            <w:sz w:val="14"/>
                            <w:szCs w:val="14"/>
                          </w:rPr>
                        </w:pPr>
                        <w:r>
                          <w:rPr>
                            <w:rFonts w:ascii="宋体"/>
                            <w:sz w:val="14"/>
                          </w:rPr>
                          <w:t>118,249,871</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131"/>
                            <w:sz w:val="14"/>
                          </w:rPr>
                          <w:t>-</w:t>
                        </w:r>
                        <w:r>
                          <w:rPr>
                            <w:rFonts w:ascii="宋体"/>
                            <w:sz w:val="14"/>
                          </w:rPr>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0"/>
                          <w:jc w:val="right"/>
                          <w:rPr>
                            <w:rFonts w:ascii="宋体" w:hAnsi="宋体" w:cs="宋体" w:eastAsia="宋体" w:hint="default"/>
                            <w:sz w:val="14"/>
                            <w:szCs w:val="14"/>
                          </w:rPr>
                        </w:pPr>
                        <w:r>
                          <w:rPr>
                            <w:rFonts w:ascii="宋体"/>
                            <w:sz w:val="14"/>
                          </w:rPr>
                          <w:t>214,565,779</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90"/>
                            <w:sz w:val="14"/>
                          </w:rPr>
                          <w:t>(144,087,600)</w:t>
                        </w:r>
                        <w:r>
                          <w:rPr>
                            <w:rFonts w:ascii="宋体"/>
                            <w:sz w:val="14"/>
                          </w:rPr>
                        </w:r>
                      </w:p>
                    </w:tc>
                    <w:tc>
                      <w:tcPr>
                        <w:tcW w:w="24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229" w:right="0"/>
                          <w:jc w:val="left"/>
                          <w:rPr>
                            <w:rFonts w:ascii="宋体" w:hAnsi="宋体" w:cs="宋体" w:eastAsia="宋体" w:hint="default"/>
                            <w:sz w:val="14"/>
                            <w:szCs w:val="14"/>
                          </w:rPr>
                        </w:pPr>
                        <w:r>
                          <w:rPr>
                            <w:rFonts w:ascii="宋体"/>
                            <w:sz w:val="14"/>
                          </w:rPr>
                          <w:t>188,728,050</w:t>
                        </w:r>
                      </w:p>
                    </w:tc>
                  </w:tr>
                  <w:tr>
                    <w:trPr>
                      <w:trHeight w:val="247" w:hRule="exact"/>
                    </w:trPr>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236"/>
                          <w:jc w:val="right"/>
                          <w:rPr>
                            <w:rFonts w:ascii="宋体" w:hAnsi="宋体" w:cs="宋体" w:eastAsia="宋体" w:hint="default"/>
                            <w:sz w:val="14"/>
                            <w:szCs w:val="14"/>
                          </w:rPr>
                        </w:pPr>
                        <w:r>
                          <w:rPr>
                            <w:rFonts w:ascii="宋体" w:hAnsi="宋体" w:cs="宋体" w:eastAsia="宋体" w:hint="default"/>
                            <w:sz w:val="14"/>
                            <w:szCs w:val="14"/>
                          </w:rPr>
                          <w:t>递延的装移机收入</w:t>
                        </w:r>
                      </w:p>
                    </w:tc>
                    <w:tc>
                      <w:tcPr>
                        <w:tcW w:w="18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53"/>
                          <w:ind w:left="1017" w:right="0"/>
                          <w:jc w:val="left"/>
                          <w:rPr>
                            <w:rFonts w:ascii="宋体" w:hAnsi="宋体" w:cs="宋体" w:eastAsia="宋体" w:hint="default"/>
                            <w:sz w:val="14"/>
                            <w:szCs w:val="14"/>
                          </w:rPr>
                        </w:pPr>
                        <w:r>
                          <w:rPr>
                            <w:rFonts w:ascii="宋体"/>
                            <w:sz w:val="14"/>
                          </w:rPr>
                          <w:t>310,959,140</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10"/>
                          <w:jc w:val="right"/>
                          <w:rPr>
                            <w:rFonts w:ascii="宋体" w:hAnsi="宋体" w:cs="宋体" w:eastAsia="宋体" w:hint="default"/>
                            <w:sz w:val="14"/>
                            <w:szCs w:val="14"/>
                          </w:rPr>
                        </w:pPr>
                        <w:r>
                          <w:rPr>
                            <w:rFonts w:ascii="宋体"/>
                            <w:w w:val="90"/>
                            <w:sz w:val="14"/>
                          </w:rPr>
                          <w:t>(310,959,140)</w:t>
                        </w:r>
                        <w:r>
                          <w:rPr>
                            <w:rFonts w:ascii="宋体"/>
                            <w:sz w:val="14"/>
                          </w:rPr>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30"/>
                          <w:jc w:val="right"/>
                          <w:rPr>
                            <w:rFonts w:ascii="宋体" w:hAnsi="宋体" w:cs="宋体" w:eastAsia="宋体" w:hint="default"/>
                            <w:sz w:val="14"/>
                            <w:szCs w:val="14"/>
                          </w:rPr>
                        </w:pPr>
                        <w:r>
                          <w:rPr>
                            <w:rFonts w:ascii="宋体"/>
                            <w:w w:val="131"/>
                            <w:sz w:val="14"/>
                          </w:rPr>
                          <w:t>-</w:t>
                        </w:r>
                        <w:r>
                          <w:rPr>
                            <w:rFonts w:ascii="宋体"/>
                            <w:sz w:val="14"/>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53"/>
                          <w:ind w:right="112"/>
                          <w:jc w:val="right"/>
                          <w:rPr>
                            <w:rFonts w:ascii="宋体" w:hAnsi="宋体" w:cs="宋体" w:eastAsia="宋体" w:hint="default"/>
                            <w:sz w:val="14"/>
                            <w:szCs w:val="14"/>
                          </w:rPr>
                        </w:pPr>
                        <w:r>
                          <w:rPr>
                            <w:rFonts w:ascii="宋体"/>
                            <w:w w:val="131"/>
                            <w:sz w:val="14"/>
                          </w:rPr>
                          <w:t>-</w:t>
                        </w:r>
                        <w:r>
                          <w:rPr>
                            <w:rFonts w:ascii="宋体"/>
                            <w:sz w:val="14"/>
                          </w:rPr>
                        </w:r>
                      </w:p>
                    </w:tc>
                    <w:tc>
                      <w:tcPr>
                        <w:tcW w:w="2469" w:type="dxa"/>
                        <w:gridSpan w:val="2"/>
                        <w:tcBorders>
                          <w:top w:val="nil" w:sz="6" w:space="0" w:color="auto"/>
                          <w:left w:val="nil" w:sz="6" w:space="0" w:color="auto"/>
                          <w:bottom w:val="nil" w:sz="6" w:space="0" w:color="auto"/>
                          <w:right w:val="nil" w:sz="6" w:space="0" w:color="auto"/>
                        </w:tcBorders>
                      </w:tcPr>
                      <w:p>
                        <w:pPr>
                          <w:pStyle w:val="TableParagraph"/>
                          <w:spacing w:line="136" w:lineRule="exact"/>
                          <w:ind w:left="1151" w:right="0"/>
                          <w:jc w:val="left"/>
                          <w:rPr>
                            <w:rFonts w:ascii="宋体" w:hAnsi="宋体" w:cs="宋体" w:eastAsia="宋体" w:hint="default"/>
                            <w:sz w:val="14"/>
                            <w:szCs w:val="14"/>
                          </w:rPr>
                        </w:pPr>
                        <w:r>
                          <w:rPr>
                            <w:rFonts w:ascii="宋体" w:hAnsi="宋体" w:cs="宋体" w:eastAsia="宋体" w:hint="default"/>
                            <w:sz w:val="14"/>
                            <w:szCs w:val="14"/>
                          </w:rPr>
                          <w:t>与固网业务安装服务</w:t>
                        </w:r>
                      </w:p>
                    </w:tc>
                  </w:tr>
                  <w:tr>
                    <w:trPr>
                      <w:trHeight w:val="434" w:hRule="exact"/>
                    </w:trPr>
                    <w:tc>
                      <w:tcPr>
                        <w:tcW w:w="9673" w:type="dxa"/>
                        <w:gridSpan w:val="8"/>
                        <w:tcBorders>
                          <w:top w:val="nil" w:sz="6" w:space="0" w:color="auto"/>
                          <w:left w:val="nil" w:sz="6" w:space="0" w:color="auto"/>
                          <w:bottom w:val="nil" w:sz="6" w:space="0" w:color="auto"/>
                          <w:right w:val="nil" w:sz="6" w:space="0" w:color="auto"/>
                        </w:tcBorders>
                      </w:tcPr>
                      <w:p>
                        <w:pPr>
                          <w:pStyle w:val="TableParagraph"/>
                          <w:spacing w:line="90" w:lineRule="exact"/>
                          <w:ind w:right="54"/>
                          <w:jc w:val="right"/>
                          <w:rPr>
                            <w:rFonts w:ascii="宋体" w:hAnsi="宋体" w:cs="宋体" w:eastAsia="宋体" w:hint="default"/>
                            <w:sz w:val="14"/>
                            <w:szCs w:val="14"/>
                          </w:rPr>
                        </w:pPr>
                        <w:r>
                          <w:rPr>
                            <w:rFonts w:ascii="宋体" w:hAnsi="宋体" w:cs="宋体" w:eastAsia="宋体" w:hint="default"/>
                            <w:sz w:val="14"/>
                            <w:szCs w:val="14"/>
                          </w:rPr>
                          <w:t>相关的装移机收入</w:t>
                        </w:r>
                      </w:p>
                      <w:p>
                        <w:pPr>
                          <w:pStyle w:val="TableParagraph"/>
                          <w:tabs>
                            <w:tab w:pos="7924" w:val="left" w:leader="none"/>
                          </w:tabs>
                          <w:spacing w:line="240" w:lineRule="auto" w:before="70"/>
                          <w:ind w:right="55"/>
                          <w:jc w:val="right"/>
                          <w:rPr>
                            <w:rFonts w:ascii="宋体" w:hAnsi="宋体" w:cs="宋体" w:eastAsia="宋体" w:hint="default"/>
                            <w:sz w:val="14"/>
                            <w:szCs w:val="14"/>
                          </w:rPr>
                        </w:pPr>
                        <w:r>
                          <w:rPr>
                            <w:rFonts w:ascii="宋体" w:hAnsi="宋体" w:cs="宋体" w:eastAsia="宋体" w:hint="default"/>
                            <w:sz w:val="14"/>
                            <w:szCs w:val="14"/>
                          </w:rPr>
                          <w:t>递延的用户积分奖</w:t>
                          <w:tab/>
                          <w:t>积分回馈形成的递延</w:t>
                        </w:r>
                      </w:p>
                    </w:tc>
                  </w:tr>
                  <w:tr>
                    <w:trPr>
                      <w:trHeight w:val="177" w:hRule="exact"/>
                    </w:trPr>
                    <w:tc>
                      <w:tcPr>
                        <w:tcW w:w="1790" w:type="dxa"/>
                        <w:tcBorders>
                          <w:top w:val="nil" w:sz="6" w:space="0" w:color="auto"/>
                          <w:left w:val="nil" w:sz="6" w:space="0" w:color="auto"/>
                          <w:bottom w:val="nil" w:sz="6" w:space="0" w:color="auto"/>
                          <w:right w:val="nil" w:sz="6" w:space="0" w:color="auto"/>
                        </w:tcBorders>
                      </w:tcPr>
                      <w:p>
                        <w:pPr>
                          <w:pStyle w:val="TableParagraph"/>
                          <w:spacing w:line="110" w:lineRule="exact"/>
                          <w:ind w:left="431" w:right="0"/>
                          <w:jc w:val="left"/>
                          <w:rPr>
                            <w:rFonts w:ascii="宋体" w:hAnsi="宋体" w:cs="宋体" w:eastAsia="宋体" w:hint="default"/>
                            <w:sz w:val="14"/>
                            <w:szCs w:val="14"/>
                          </w:rPr>
                        </w:pPr>
                        <w:r>
                          <w:rPr>
                            <w:rFonts w:ascii="宋体" w:hAnsi="宋体" w:cs="宋体" w:eastAsia="宋体" w:hint="default"/>
                            <w:sz w:val="14"/>
                            <w:szCs w:val="14"/>
                          </w:rPr>
                          <w:t>励公允价值</w:t>
                        </w:r>
                      </w:p>
                    </w:tc>
                    <w:tc>
                      <w:tcPr>
                        <w:tcW w:w="1869" w:type="dxa"/>
                        <w:gridSpan w:val="2"/>
                        <w:tcBorders>
                          <w:top w:val="nil" w:sz="6" w:space="0" w:color="auto"/>
                          <w:left w:val="nil" w:sz="6" w:space="0" w:color="auto"/>
                          <w:bottom w:val="nil" w:sz="6" w:space="0" w:color="auto"/>
                          <w:right w:val="nil" w:sz="6" w:space="0" w:color="auto"/>
                        </w:tcBorders>
                      </w:tcPr>
                      <w:p>
                        <w:pPr/>
                      </w:p>
                    </w:tc>
                    <w:tc>
                      <w:tcPr>
                        <w:tcW w:w="1307" w:type="dxa"/>
                        <w:tcBorders>
                          <w:top w:val="nil" w:sz="6" w:space="0" w:color="auto"/>
                          <w:left w:val="nil" w:sz="6" w:space="0" w:color="auto"/>
                          <w:bottom w:val="nil" w:sz="6" w:space="0" w:color="auto"/>
                          <w:right w:val="nil" w:sz="6" w:space="0" w:color="auto"/>
                        </w:tcBorders>
                      </w:tcPr>
                      <w:p>
                        <w:pPr/>
                      </w:p>
                    </w:tc>
                    <w:tc>
                      <w:tcPr>
                        <w:tcW w:w="1138" w:type="dxa"/>
                        <w:tcBorders>
                          <w:top w:val="nil" w:sz="6" w:space="0" w:color="auto"/>
                          <w:left w:val="nil" w:sz="6" w:space="0" w:color="auto"/>
                          <w:bottom w:val="nil" w:sz="6" w:space="0" w:color="auto"/>
                          <w:right w:val="nil" w:sz="6" w:space="0" w:color="auto"/>
                        </w:tcBorders>
                      </w:tcPr>
                      <w:p>
                        <w:pPr/>
                      </w:p>
                    </w:tc>
                    <w:tc>
                      <w:tcPr>
                        <w:tcW w:w="1099" w:type="dxa"/>
                        <w:tcBorders>
                          <w:top w:val="nil" w:sz="6" w:space="0" w:color="auto"/>
                          <w:left w:val="nil" w:sz="6" w:space="0" w:color="auto"/>
                          <w:bottom w:val="nil" w:sz="6" w:space="0" w:color="auto"/>
                          <w:right w:val="nil" w:sz="6" w:space="0" w:color="auto"/>
                        </w:tcBorders>
                      </w:tcPr>
                      <w:p>
                        <w:pPr/>
                      </w:p>
                    </w:tc>
                    <w:tc>
                      <w:tcPr>
                        <w:tcW w:w="1041" w:type="dxa"/>
                        <w:tcBorders>
                          <w:top w:val="nil" w:sz="6" w:space="0" w:color="auto"/>
                          <w:left w:val="nil" w:sz="6" w:space="0" w:color="auto"/>
                          <w:bottom w:val="nil" w:sz="6" w:space="0" w:color="auto"/>
                          <w:right w:val="nil" w:sz="6" w:space="0" w:color="auto"/>
                        </w:tcBorders>
                      </w:tcPr>
                      <w:p>
                        <w:pPr/>
                      </w:p>
                    </w:tc>
                    <w:tc>
                      <w:tcPr>
                        <w:tcW w:w="1427" w:type="dxa"/>
                        <w:tcBorders>
                          <w:top w:val="nil" w:sz="6" w:space="0" w:color="auto"/>
                          <w:left w:val="nil" w:sz="6" w:space="0" w:color="auto"/>
                          <w:bottom w:val="nil" w:sz="6" w:space="0" w:color="auto"/>
                          <w:right w:val="nil" w:sz="6" w:space="0" w:color="auto"/>
                        </w:tcBorders>
                      </w:tcPr>
                      <w:p>
                        <w:pPr>
                          <w:pStyle w:val="TableParagraph"/>
                          <w:spacing w:line="110" w:lineRule="exact"/>
                          <w:ind w:right="55"/>
                          <w:jc w:val="right"/>
                          <w:rPr>
                            <w:rFonts w:ascii="宋体" w:hAnsi="宋体" w:cs="宋体" w:eastAsia="宋体" w:hint="default"/>
                            <w:sz w:val="14"/>
                            <w:szCs w:val="14"/>
                          </w:rPr>
                        </w:pPr>
                        <w:r>
                          <w:rPr>
                            <w:rFonts w:ascii="宋体" w:hAnsi="宋体" w:cs="宋体" w:eastAsia="宋体" w:hint="default"/>
                            <w:sz w:val="14"/>
                            <w:szCs w:val="14"/>
                          </w:rPr>
                          <w:t>收益</w:t>
                        </w:r>
                      </w:p>
                    </w:tc>
                  </w:tr>
                  <w:tr>
                    <w:trPr>
                      <w:trHeight w:val="253" w:hRule="exact"/>
                    </w:trPr>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1" w:right="0"/>
                          <w:jc w:val="left"/>
                          <w:rPr>
                            <w:rFonts w:ascii="宋体" w:hAnsi="宋体" w:cs="宋体" w:eastAsia="宋体" w:hint="default"/>
                            <w:sz w:val="14"/>
                            <w:szCs w:val="14"/>
                          </w:rPr>
                        </w:pPr>
                        <w:r>
                          <w:rPr>
                            <w:rFonts w:ascii="宋体" w:hAnsi="宋体" w:cs="宋体" w:eastAsia="宋体" w:hint="default"/>
                            <w:sz w:val="14"/>
                            <w:szCs w:val="14"/>
                          </w:rPr>
                          <w:t>其他</w:t>
                        </w:r>
                      </w:p>
                    </w:tc>
                    <w:tc>
                      <w:tcPr>
                        <w:tcW w:w="18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1016" w:right="0"/>
                          <w:jc w:val="left"/>
                          <w:rPr>
                            <w:rFonts w:ascii="宋体" w:hAnsi="宋体" w:cs="宋体" w:eastAsia="宋体" w:hint="default"/>
                            <w:sz w:val="14"/>
                            <w:szCs w:val="14"/>
                          </w:rPr>
                        </w:pPr>
                        <w:r>
                          <w:rPr>
                            <w:rFonts w:ascii="宋体"/>
                            <w:sz w:val="14"/>
                          </w:rPr>
                          <w:t>106,604,119</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90"/>
                            <w:sz w:val="14"/>
                          </w:rPr>
                          <w:t>(50,091,731)</w:t>
                        </w:r>
                        <w:r>
                          <w:rPr>
                            <w:rFonts w:ascii="宋体"/>
                            <w:sz w:val="14"/>
                          </w:rPr>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0"/>
                          <w:jc w:val="right"/>
                          <w:rPr>
                            <w:rFonts w:ascii="宋体" w:hAnsi="宋体" w:cs="宋体" w:eastAsia="宋体" w:hint="default"/>
                            <w:sz w:val="14"/>
                            <w:szCs w:val="14"/>
                          </w:rPr>
                        </w:pPr>
                        <w:r>
                          <w:rPr>
                            <w:rFonts w:ascii="宋体"/>
                            <w:sz w:val="14"/>
                          </w:rPr>
                          <w:t>831,236,065</w:t>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90"/>
                            <w:sz w:val="14"/>
                          </w:rPr>
                          <w:t>(69,255,468)</w:t>
                        </w:r>
                        <w:r>
                          <w:rPr>
                            <w:rFonts w:ascii="宋体"/>
                            <w:sz w:val="14"/>
                          </w:rPr>
                        </w:r>
                      </w:p>
                    </w:tc>
                    <w:tc>
                      <w:tcPr>
                        <w:tcW w:w="10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14"/>
                            <w:szCs w:val="14"/>
                          </w:rPr>
                        </w:pPr>
                        <w:r>
                          <w:rPr>
                            <w:rFonts w:ascii="宋体"/>
                            <w:sz w:val="14"/>
                          </w:rPr>
                          <w:t>818,492,985</w:t>
                        </w:r>
                      </w:p>
                    </w:tc>
                    <w:tc>
                      <w:tcPr>
                        <w:tcW w:w="1427" w:type="dxa"/>
                        <w:tcBorders>
                          <w:top w:val="nil" w:sz="6" w:space="0" w:color="auto"/>
                          <w:left w:val="nil" w:sz="6" w:space="0" w:color="auto"/>
                          <w:bottom w:val="nil" w:sz="6" w:space="0" w:color="auto"/>
                          <w:right w:val="nil" w:sz="6" w:space="0" w:color="auto"/>
                        </w:tcBorders>
                      </w:tcPr>
                      <w:p>
                        <w:pPr/>
                      </w:p>
                    </w:tc>
                  </w:tr>
                  <w:tr>
                    <w:trPr>
                      <w:trHeight w:val="297" w:hRule="exact"/>
                    </w:trPr>
                    <w:tc>
                      <w:tcPr>
                        <w:tcW w:w="179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1" w:right="0"/>
                          <w:jc w:val="left"/>
                          <w:rPr>
                            <w:rFonts w:ascii="宋体" w:hAnsi="宋体" w:cs="宋体" w:eastAsia="宋体" w:hint="default"/>
                            <w:sz w:val="14"/>
                            <w:szCs w:val="14"/>
                          </w:rPr>
                        </w:pPr>
                        <w:r>
                          <w:rPr>
                            <w:rFonts w:ascii="宋体" w:hAnsi="宋体" w:cs="宋体" w:eastAsia="宋体" w:hint="default"/>
                            <w:sz w:val="14"/>
                            <w:szCs w:val="14"/>
                          </w:rPr>
                          <w:t>小计</w:t>
                        </w:r>
                      </w:p>
                    </w:tc>
                    <w:tc>
                      <w:tcPr>
                        <w:tcW w:w="1869"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3"/>
                          <w:ind w:left="900" w:right="0"/>
                          <w:jc w:val="left"/>
                          <w:rPr>
                            <w:rFonts w:ascii="宋体" w:hAnsi="宋体" w:cs="宋体" w:eastAsia="宋体" w:hint="default"/>
                            <w:sz w:val="14"/>
                            <w:szCs w:val="14"/>
                          </w:rPr>
                        </w:pPr>
                        <w:r>
                          <w:rPr>
                            <w:rFonts w:ascii="宋体"/>
                            <w:sz w:val="14"/>
                          </w:rPr>
                          <w:t>3,369,387,969</w:t>
                        </w:r>
                      </w:p>
                    </w:tc>
                    <w:tc>
                      <w:tcPr>
                        <w:tcW w:w="1307"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90"/>
                            <w:sz w:val="14"/>
                          </w:rPr>
                          <w:t>(1,092,909,921)</w:t>
                        </w:r>
                        <w:r>
                          <w:rPr>
                            <w:rFonts w:ascii="宋体"/>
                            <w:sz w:val="14"/>
                          </w:rPr>
                        </w:r>
                      </w:p>
                    </w:tc>
                    <w:tc>
                      <w:tcPr>
                        <w:tcW w:w="113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30"/>
                          <w:jc w:val="right"/>
                          <w:rPr>
                            <w:rFonts w:ascii="宋体" w:hAnsi="宋体" w:cs="宋体" w:eastAsia="宋体" w:hint="default"/>
                            <w:sz w:val="14"/>
                            <w:szCs w:val="14"/>
                          </w:rPr>
                        </w:pPr>
                        <w:r>
                          <w:rPr>
                            <w:rFonts w:ascii="宋体"/>
                            <w:w w:val="95"/>
                            <w:sz w:val="14"/>
                          </w:rPr>
                          <w:t>1,803,417,887</w:t>
                        </w:r>
                        <w:r>
                          <w:rPr>
                            <w:rFonts w:ascii="宋体"/>
                            <w:sz w:val="14"/>
                          </w:rPr>
                        </w:r>
                      </w:p>
                    </w:tc>
                    <w:tc>
                      <w:tcPr>
                        <w:tcW w:w="1099"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0"/>
                          <w:jc w:val="right"/>
                          <w:rPr>
                            <w:rFonts w:ascii="宋体" w:hAnsi="宋体" w:cs="宋体" w:eastAsia="宋体" w:hint="default"/>
                            <w:sz w:val="14"/>
                            <w:szCs w:val="14"/>
                          </w:rPr>
                        </w:pPr>
                        <w:r>
                          <w:rPr>
                            <w:rFonts w:ascii="宋体"/>
                            <w:w w:val="90"/>
                            <w:sz w:val="14"/>
                          </w:rPr>
                          <w:t>(392,477,548)</w:t>
                        </w:r>
                        <w:r>
                          <w:rPr>
                            <w:rFonts w:ascii="宋体"/>
                            <w:sz w:val="14"/>
                          </w:rPr>
                        </w:r>
                      </w:p>
                    </w:tc>
                    <w:tc>
                      <w:tcPr>
                        <w:tcW w:w="104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33"/>
                          <w:jc w:val="right"/>
                          <w:rPr>
                            <w:rFonts w:ascii="宋体" w:hAnsi="宋体" w:cs="宋体" w:eastAsia="宋体" w:hint="default"/>
                            <w:sz w:val="14"/>
                            <w:szCs w:val="14"/>
                          </w:rPr>
                        </w:pPr>
                        <w:r>
                          <w:rPr>
                            <w:rFonts w:ascii="宋体"/>
                            <w:w w:val="95"/>
                            <w:sz w:val="14"/>
                          </w:rPr>
                          <w:t>3,687,418,387</w:t>
                        </w:r>
                        <w:r>
                          <w:rPr>
                            <w:rFonts w:ascii="宋体"/>
                            <w:sz w:val="14"/>
                          </w:rPr>
                        </w:r>
                      </w:p>
                    </w:tc>
                    <w:tc>
                      <w:tcPr>
                        <w:tcW w:w="1427" w:type="dxa"/>
                        <w:tcBorders>
                          <w:top w:val="nil" w:sz="6" w:space="0" w:color="auto"/>
                          <w:left w:val="nil" w:sz="6" w:space="0" w:color="auto"/>
                          <w:bottom w:val="nil" w:sz="6" w:space="0" w:color="auto"/>
                          <w:right w:val="nil" w:sz="6" w:space="0" w:color="auto"/>
                        </w:tcBorders>
                      </w:tcPr>
                      <w:p>
                        <w:pPr/>
                      </w:p>
                    </w:tc>
                  </w:tr>
                </w:tbl>
                <w:p>
                  <w:pPr/>
                </w:p>
              </w:txbxContent>
            </v:textbox>
            <w10:wrap type="none"/>
          </v:shape>
        </w:pict>
      </w:r>
      <w:r>
        <w:rPr>
          <w:rFonts w:ascii="宋体"/>
          <w:w w:val="131"/>
          <w:sz w:val="14"/>
        </w:rPr>
        <w:t>-</w:t>
      </w:r>
      <w:r>
        <w:rPr>
          <w:rFonts w:ascii="宋体"/>
          <w:sz w:val="14"/>
        </w:rPr>
      </w:r>
    </w:p>
    <w:p>
      <w:pPr>
        <w:spacing w:line="240" w:lineRule="auto" w:before="2"/>
        <w:rPr>
          <w:rFonts w:ascii="宋体" w:hAnsi="宋体" w:cs="宋体" w:eastAsia="宋体" w:hint="default"/>
          <w:sz w:val="17"/>
          <w:szCs w:val="17"/>
        </w:rPr>
      </w:pPr>
    </w:p>
    <w:p>
      <w:pPr>
        <w:tabs>
          <w:tab w:pos="4118" w:val="left" w:leader="none"/>
          <w:tab w:pos="5999" w:val="left" w:leader="none"/>
          <w:tab w:pos="7118" w:val="left" w:leader="none"/>
          <w:tab w:pos="8236" w:val="left" w:leader="none"/>
        </w:tabs>
        <w:spacing w:before="46"/>
        <w:ind w:left="2926" w:right="0" w:firstLine="0"/>
        <w:jc w:val="left"/>
        <w:rPr>
          <w:rFonts w:ascii="宋体" w:hAnsi="宋体" w:cs="宋体" w:eastAsia="宋体" w:hint="default"/>
          <w:sz w:val="14"/>
          <w:szCs w:val="14"/>
        </w:rPr>
      </w:pPr>
      <w:r>
        <w:rPr>
          <w:rFonts w:ascii="宋体"/>
          <w:sz w:val="14"/>
        </w:rPr>
        <w:t>731,859,050</w:t>
        <w:tab/>
      </w:r>
      <w:r>
        <w:rPr>
          <w:rFonts w:ascii="宋体"/>
          <w:w w:val="90"/>
          <w:sz w:val="14"/>
        </w:rPr>
        <w:t>(731,859,050)</w:t>
        <w:tab/>
      </w:r>
      <w:r>
        <w:rPr>
          <w:rFonts w:ascii="宋体"/>
          <w:w w:val="110"/>
          <w:sz w:val="14"/>
        </w:rPr>
        <w:t>-</w:t>
        <w:tab/>
        <w:t>-</w:t>
        <w:tab/>
        <w:t>-</w:t>
      </w:r>
      <w:r>
        <w:rPr>
          <w:rFonts w:ascii="宋体"/>
          <w:sz w:val="14"/>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5"/>
          <w:szCs w:val="15"/>
        </w:rPr>
      </w:pPr>
    </w:p>
    <w:p>
      <w:pPr>
        <w:spacing w:line="20" w:lineRule="exact"/>
        <w:ind w:left="486" w:right="0" w:firstLine="0"/>
        <w:rPr>
          <w:rFonts w:ascii="宋体" w:hAnsi="宋体" w:cs="宋体" w:eastAsia="宋体" w:hint="default"/>
          <w:sz w:val="2"/>
          <w:szCs w:val="2"/>
        </w:rPr>
      </w:pPr>
      <w:r>
        <w:rPr>
          <w:rFonts w:ascii="宋体" w:hAnsi="宋体" w:cs="宋体" w:eastAsia="宋体" w:hint="default"/>
          <w:sz w:val="2"/>
          <w:szCs w:val="2"/>
        </w:rPr>
        <w:pict>
          <v:group style="width:465.65pt;height:.75pt;mso-position-horizontal-relative:char;mso-position-vertical-relative:line" coordorigin="0,0" coordsize="9313,15">
            <v:group style="position:absolute;left:8;top:8;width:1259;height:2" coordorigin="8,8" coordsize="1259,2">
              <v:shape style="position:absolute;left:8;top:8;width:1259;height:2" coordorigin="8,8" coordsize="1259,0" path="m8,8l1266,8e" filled="false" stroked="true" strokeweight=".75pt" strokecolor="#000000">
                <v:path arrowok="t"/>
              </v:shape>
            </v:group>
            <v:group style="position:absolute;left:1266;top:8;width:930;height:2" coordorigin="1266,8" coordsize="930,2">
              <v:shape style="position:absolute;left:1266;top:8;width:930;height:2" coordorigin="1266,8" coordsize="930,0" path="m1266,8l2196,8e" filled="false" stroked="true" strokeweight=".75pt" strokecolor="#000000">
                <v:path arrowok="t"/>
              </v:shape>
            </v:group>
            <v:group style="position:absolute;left:2196;top:8;width:1078;height:2" coordorigin="2196,8" coordsize="1078,2">
              <v:shape style="position:absolute;left:2196;top:8;width:1078;height:2" coordorigin="2196,8" coordsize="1078,0" path="m2196,8l3273,8e" filled="false" stroked="true" strokeweight=".75pt" strokecolor="#000000">
                <v:path arrowok="t"/>
              </v:shape>
            </v:group>
            <v:group style="position:absolute;left:3273;top:8;width:1270;height:2" coordorigin="3273,8" coordsize="1270,2">
              <v:shape style="position:absolute;left:3273;top:8;width:1270;height:2" coordorigin="3273,8" coordsize="1270,0" path="m3273,8l4543,8e" filled="false" stroked="true" strokeweight=".75pt" strokecolor="#000000">
                <v:path arrowok="t"/>
              </v:shape>
            </v:group>
            <v:group style="position:absolute;left:4543;top:8;width:1119;height:2" coordorigin="4543,8" coordsize="1119,2">
              <v:shape style="position:absolute;left:4543;top:8;width:1119;height:2" coordorigin="4543,8" coordsize="1119,0" path="m4543,8l5662,8e" filled="false" stroked="true" strokeweight=".75pt" strokecolor="#000000">
                <v:path arrowok="t"/>
              </v:shape>
            </v:group>
            <v:group style="position:absolute;left:5662;top:8;width:1119;height:2" coordorigin="5662,8" coordsize="1119,2">
              <v:shape style="position:absolute;left:5662;top:8;width:1119;height:2" coordorigin="5662,8" coordsize="1119,0" path="m5662,8l6780,8e" filled="false" stroked="true" strokeweight=".75pt" strokecolor="#000000">
                <v:path arrowok="t"/>
              </v:shape>
            </v:group>
            <v:group style="position:absolute;left:6780;top:8;width:1119;height:2" coordorigin="6780,8" coordsize="1119,2">
              <v:shape style="position:absolute;left:6780;top:8;width:1119;height:2" coordorigin="6780,8" coordsize="1119,0" path="m6780,8l7899,8e" filled="false" stroked="true" strokeweight=".75pt" strokecolor="#000000">
                <v:path arrowok="t"/>
              </v:shape>
            </v:group>
            <v:group style="position:absolute;left:7899;top:8;width:1406;height:2" coordorigin="7899,8" coordsize="1406,2">
              <v:shape style="position:absolute;left:7899;top:8;width:1406;height:2" coordorigin="7899,8" coordsize="1406,0" path="m7899,8l9305,8e" filled="false" stroked="true" strokeweight=".7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160"/>
          <w:pgMar w:header="2776" w:footer="298" w:top="2960" w:bottom="480" w:left="1320" w:right="660"/>
        </w:sectPr>
      </w:pPr>
    </w:p>
    <w:p>
      <w:pPr>
        <w:spacing w:line="261" w:lineRule="auto" w:before="65"/>
        <w:ind w:left="834" w:right="-20" w:hanging="284"/>
        <w:jc w:val="left"/>
        <w:rPr>
          <w:rFonts w:ascii="宋体" w:hAnsi="宋体" w:cs="宋体" w:eastAsia="宋体" w:hint="default"/>
          <w:sz w:val="14"/>
          <w:szCs w:val="14"/>
        </w:rPr>
      </w:pPr>
      <w:r>
        <w:rPr>
          <w:rFonts w:ascii="宋体" w:hAnsi="宋体" w:cs="宋体" w:eastAsia="宋体" w:hint="default"/>
          <w:sz w:val="14"/>
          <w:szCs w:val="14"/>
        </w:rPr>
        <w:t>减：上述递延收益 的流动部分</w:t>
      </w:r>
    </w:p>
    <w:p>
      <w:pPr>
        <w:spacing w:line="261" w:lineRule="auto" w:before="65"/>
        <w:ind w:left="98" w:right="-19" w:firstLine="0"/>
        <w:jc w:val="left"/>
        <w:rPr>
          <w:rFonts w:ascii="宋体" w:hAnsi="宋体" w:cs="宋体" w:eastAsia="宋体" w:hint="default"/>
          <w:sz w:val="14"/>
          <w:szCs w:val="14"/>
        </w:rPr>
      </w:pPr>
      <w:r>
        <w:rPr>
          <w:w w:val="95"/>
        </w:rPr>
        <w:br w:type="column"/>
      </w:r>
      <w:r>
        <w:rPr>
          <w:rFonts w:ascii="宋体" w:hAnsi="宋体" w:cs="宋体" w:eastAsia="宋体" w:hint="default"/>
          <w:w w:val="95"/>
          <w:sz w:val="14"/>
          <w:szCs w:val="14"/>
        </w:rPr>
        <w:t>附注五</w:t>
      </w:r>
      <w:r>
        <w:rPr>
          <w:rFonts w:ascii="宋体" w:hAnsi="宋体" w:cs="宋体" w:eastAsia="宋体" w:hint="default"/>
          <w:spacing w:val="-49"/>
          <w:w w:val="95"/>
          <w:sz w:val="14"/>
          <w:szCs w:val="14"/>
        </w:rPr>
        <w:t> </w:t>
      </w:r>
      <w:r>
        <w:rPr>
          <w:rFonts w:ascii="宋体" w:hAnsi="宋体" w:cs="宋体" w:eastAsia="宋体" w:hint="default"/>
          <w:w w:val="95"/>
          <w:sz w:val="14"/>
          <w:szCs w:val="14"/>
        </w:rPr>
        <w:t>(19)，</w:t>
      </w:r>
      <w:r>
        <w:rPr>
          <w:rFonts w:ascii="宋体" w:hAnsi="宋体" w:cs="宋体" w:eastAsia="宋体" w:hint="default"/>
          <w:w w:val="88"/>
          <w:sz w:val="14"/>
          <w:szCs w:val="14"/>
        </w:rPr>
        <w:t> </w:t>
      </w:r>
      <w:r>
        <w:rPr>
          <w:rFonts w:ascii="宋体" w:hAnsi="宋体" w:cs="宋体" w:eastAsia="宋体" w:hint="default"/>
          <w:w w:val="95"/>
          <w:sz w:val="14"/>
          <w:szCs w:val="14"/>
        </w:rPr>
        <w:t>附注五</w:t>
      </w:r>
      <w:r>
        <w:rPr>
          <w:rFonts w:ascii="宋体" w:hAnsi="宋体" w:cs="宋体" w:eastAsia="宋体" w:hint="default"/>
          <w:spacing w:val="-44"/>
          <w:w w:val="95"/>
          <w:sz w:val="14"/>
          <w:szCs w:val="14"/>
        </w:rPr>
        <w:t> </w:t>
      </w:r>
      <w:r>
        <w:rPr>
          <w:rFonts w:ascii="宋体" w:hAnsi="宋体" w:cs="宋体" w:eastAsia="宋体" w:hint="default"/>
          <w:w w:val="95"/>
          <w:sz w:val="14"/>
          <w:szCs w:val="14"/>
        </w:rPr>
        <w:t>(23)</w:t>
      </w:r>
      <w:r>
        <w:rPr>
          <w:rFonts w:ascii="宋体" w:hAnsi="宋体" w:cs="宋体" w:eastAsia="宋体" w:hint="default"/>
          <w:sz w:val="14"/>
          <w:szCs w:val="14"/>
        </w:rPr>
      </w:r>
    </w:p>
    <w:p>
      <w:pPr>
        <w:spacing w:line="240" w:lineRule="auto" w:before="8"/>
        <w:rPr>
          <w:rFonts w:ascii="宋体" w:hAnsi="宋体" w:cs="宋体" w:eastAsia="宋体" w:hint="default"/>
          <w:sz w:val="12"/>
          <w:szCs w:val="12"/>
        </w:rPr>
      </w:pPr>
      <w:r>
        <w:rPr/>
        <w:br w:type="column"/>
      </w:r>
      <w:r>
        <w:rPr>
          <w:rFonts w:ascii="宋体"/>
          <w:sz w:val="12"/>
        </w:rPr>
      </w:r>
    </w:p>
    <w:p>
      <w:pPr>
        <w:tabs>
          <w:tab w:pos="1530" w:val="left" w:leader="none"/>
          <w:tab w:pos="4886" w:val="left" w:leader="none"/>
        </w:tabs>
        <w:spacing w:before="0"/>
        <w:ind w:left="182" w:right="0" w:firstLine="0"/>
        <w:jc w:val="left"/>
        <w:rPr>
          <w:rFonts w:ascii="宋体" w:hAnsi="宋体" w:cs="宋体" w:eastAsia="宋体" w:hint="default"/>
          <w:sz w:val="14"/>
          <w:szCs w:val="14"/>
        </w:rPr>
      </w:pPr>
      <w:r>
        <w:rPr>
          <w:rFonts w:ascii="宋体"/>
          <w:w w:val="90"/>
          <w:sz w:val="14"/>
        </w:rPr>
        <w:t>(349,307,951)</w:t>
        <w:tab/>
      </w:r>
      <w:r>
        <w:rPr>
          <w:rFonts w:ascii="宋体"/>
          <w:sz w:val="14"/>
        </w:rPr>
        <w:t>310,893,833</w:t>
        <w:tab/>
        <w:t>(78,279,483)</w:t>
      </w:r>
    </w:p>
    <w:p>
      <w:pPr>
        <w:spacing w:after="0"/>
        <w:jc w:val="left"/>
        <w:rPr>
          <w:rFonts w:ascii="宋体" w:hAnsi="宋体" w:cs="宋体" w:eastAsia="宋体" w:hint="default"/>
          <w:sz w:val="14"/>
          <w:szCs w:val="14"/>
        </w:rPr>
        <w:sectPr>
          <w:type w:val="continuous"/>
          <w:pgSz w:w="11910" w:h="16160"/>
          <w:pgMar w:top="1520" w:bottom="280" w:left="1320" w:right="660"/>
          <w:cols w:num="3" w:equalWidth="0">
            <w:col w:w="1671" w:space="40"/>
            <w:col w:w="915" w:space="40"/>
            <w:col w:w="7264"/>
          </w:cols>
        </w:sectPr>
      </w:pPr>
    </w:p>
    <w:p>
      <w:pPr>
        <w:spacing w:line="240" w:lineRule="auto" w:before="1"/>
        <w:rPr>
          <w:rFonts w:ascii="宋体" w:hAnsi="宋体" w:cs="宋体" w:eastAsia="宋体" w:hint="default"/>
          <w:sz w:val="8"/>
          <w:szCs w:val="8"/>
        </w:rPr>
      </w:pPr>
    </w:p>
    <w:p>
      <w:pPr>
        <w:spacing w:line="20" w:lineRule="exact"/>
        <w:ind w:left="486" w:right="0" w:firstLine="0"/>
        <w:rPr>
          <w:rFonts w:ascii="宋体" w:hAnsi="宋体" w:cs="宋体" w:eastAsia="宋体" w:hint="default"/>
          <w:sz w:val="2"/>
          <w:szCs w:val="2"/>
        </w:rPr>
      </w:pPr>
      <w:r>
        <w:rPr>
          <w:rFonts w:ascii="宋体" w:hAnsi="宋体" w:cs="宋体" w:eastAsia="宋体" w:hint="default"/>
          <w:sz w:val="2"/>
          <w:szCs w:val="2"/>
        </w:rPr>
        <w:pict>
          <v:group style="width:465.65pt;height:.75pt;mso-position-horizontal-relative:char;mso-position-vertical-relative:line" coordorigin="0,0" coordsize="9313,15">
            <v:group style="position:absolute;left:8;top:8;width:1259;height:2" coordorigin="8,8" coordsize="1259,2">
              <v:shape style="position:absolute;left:8;top:8;width:1259;height:2" coordorigin="8,8" coordsize="1259,0" path="m8,8l1266,8e" filled="false" stroked="true" strokeweight=".75pt" strokecolor="#000000">
                <v:path arrowok="t"/>
              </v:shape>
            </v:group>
            <v:group style="position:absolute;left:1266;top:8;width:930;height:2" coordorigin="1266,8" coordsize="930,2">
              <v:shape style="position:absolute;left:1266;top:8;width:930;height:2" coordorigin="1266,8" coordsize="930,0" path="m1266,8l2196,8e" filled="false" stroked="true" strokeweight=".75pt" strokecolor="#000000">
                <v:path arrowok="t"/>
              </v:shape>
            </v:group>
            <v:group style="position:absolute;left:2196;top:8;width:1078;height:2" coordorigin="2196,8" coordsize="1078,2">
              <v:shape style="position:absolute;left:2196;top:8;width:1078;height:2" coordorigin="2196,8" coordsize="1078,0" path="m2196,8l3273,8e" filled="false" stroked="true" strokeweight=".75pt" strokecolor="#000000">
                <v:path arrowok="t"/>
              </v:shape>
            </v:group>
            <v:group style="position:absolute;left:3273;top:8;width:1270;height:2" coordorigin="3273,8" coordsize="1270,2">
              <v:shape style="position:absolute;left:3273;top:8;width:1270;height:2" coordorigin="3273,8" coordsize="1270,0" path="m3273,8l4543,8e" filled="false" stroked="true" strokeweight=".75pt" strokecolor="#000000">
                <v:path arrowok="t"/>
              </v:shape>
            </v:group>
            <v:group style="position:absolute;left:4543;top:8;width:1119;height:2" coordorigin="4543,8" coordsize="1119,2">
              <v:shape style="position:absolute;left:4543;top:8;width:1119;height:2" coordorigin="4543,8" coordsize="1119,0" path="m4543,8l5662,8e" filled="false" stroked="true" strokeweight=".75pt" strokecolor="#000000">
                <v:path arrowok="t"/>
              </v:shape>
            </v:group>
            <v:group style="position:absolute;left:5662;top:8;width:1119;height:2" coordorigin="5662,8" coordsize="1119,2">
              <v:shape style="position:absolute;left:5662;top:8;width:1119;height:2" coordorigin="5662,8" coordsize="1119,0" path="m5662,8l6780,8e" filled="false" stroked="true" strokeweight=".75pt" strokecolor="#000000">
                <v:path arrowok="t"/>
              </v:shape>
            </v:group>
            <v:group style="position:absolute;left:6780;top:8;width:1119;height:2" coordorigin="6780,8" coordsize="1119,2">
              <v:shape style="position:absolute;left:6780;top:8;width:1119;height:2" coordorigin="6780,8" coordsize="1119,0" path="m6780,8l7899,8e" filled="false" stroked="true" strokeweight=".75pt" strokecolor="#000000">
                <v:path arrowok="t"/>
              </v:shape>
            </v:group>
            <v:group style="position:absolute;left:7899;top:8;width:1406;height:2" coordorigin="7899,8" coordsize="1406,2">
              <v:shape style="position:absolute;left:7899;top:8;width:1406;height:2" coordorigin="7899,8" coordsize="1406,0" path="m7899,8l9305,8e" filled="false" stroked="true" strokeweight=".75pt" strokecolor="#000000">
                <v:path arrowok="t"/>
              </v:shape>
            </v:group>
          </v:group>
        </w:pict>
      </w:r>
      <w:r>
        <w:rPr>
          <w:rFonts w:ascii="宋体" w:hAnsi="宋体" w:cs="宋体" w:eastAsia="宋体" w:hint="default"/>
          <w:sz w:val="2"/>
          <w:szCs w:val="2"/>
        </w:rPr>
      </w:r>
    </w:p>
    <w:p>
      <w:pPr>
        <w:tabs>
          <w:tab w:pos="2809" w:val="left" w:leader="none"/>
          <w:tab w:pos="4118" w:val="left" w:leader="none"/>
          <w:tab w:pos="7435" w:val="left" w:leader="none"/>
        </w:tabs>
        <w:spacing w:before="65"/>
        <w:ind w:left="550" w:right="0" w:firstLine="0"/>
        <w:jc w:val="left"/>
        <w:rPr>
          <w:rFonts w:ascii="宋体" w:hAnsi="宋体" w:cs="宋体" w:eastAsia="宋体" w:hint="default"/>
          <w:sz w:val="14"/>
          <w:szCs w:val="14"/>
        </w:rPr>
      </w:pPr>
      <w:r>
        <w:rPr>
          <w:rFonts w:ascii="宋体" w:hAnsi="宋体" w:cs="宋体" w:eastAsia="宋体" w:hint="default"/>
          <w:sz w:val="14"/>
          <w:szCs w:val="14"/>
        </w:rPr>
        <w:t>合计</w:t>
        <w:tab/>
      </w:r>
      <w:r>
        <w:rPr>
          <w:rFonts w:ascii="宋体" w:hAnsi="宋体" w:cs="宋体" w:eastAsia="宋体" w:hint="default"/>
          <w:w w:val="95"/>
          <w:sz w:val="14"/>
          <w:szCs w:val="14"/>
        </w:rPr>
        <w:t>3,020,080,018</w:t>
        <w:tab/>
      </w:r>
      <w:r>
        <w:rPr>
          <w:rFonts w:ascii="宋体" w:hAnsi="宋体" w:cs="宋体" w:eastAsia="宋体" w:hint="default"/>
          <w:w w:val="90"/>
          <w:sz w:val="14"/>
          <w:szCs w:val="14"/>
        </w:rPr>
        <w:t>(782,016,088)</w:t>
        <w:tab/>
      </w:r>
      <w:r>
        <w:rPr>
          <w:rFonts w:ascii="宋体" w:hAnsi="宋体" w:cs="宋体" w:eastAsia="宋体" w:hint="default"/>
          <w:sz w:val="14"/>
          <w:szCs w:val="14"/>
        </w:rPr>
        <w:t>3,609,138,904</w:t>
      </w:r>
    </w:p>
    <w:p>
      <w:pPr>
        <w:spacing w:line="240" w:lineRule="auto" w:before="9"/>
        <w:rPr>
          <w:rFonts w:ascii="宋体" w:hAnsi="宋体" w:cs="宋体" w:eastAsia="宋体" w:hint="default"/>
          <w:sz w:val="8"/>
          <w:szCs w:val="8"/>
        </w:rPr>
      </w:pPr>
    </w:p>
    <w:p>
      <w:pPr>
        <w:spacing w:line="40" w:lineRule="exact"/>
        <w:ind w:left="47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259;height:2" coordorigin="20,20" coordsize="1259,2">
              <v:shape style="position:absolute;left:20;top:20;width:1259;height:2" coordorigin="20,20" coordsize="1259,0" path="m20,20l1279,20e" filled="false" stroked="true" strokeweight="2pt" strokecolor="#9f8958">
                <v:path arrowok="t"/>
              </v:shape>
            </v:group>
            <v:group style="position:absolute;left:1279;top:20;width:930;height:2" coordorigin="1279,20" coordsize="930,2">
              <v:shape style="position:absolute;left:1279;top:20;width:930;height:2" coordorigin="1279,20" coordsize="930,0" path="m1279,20l2208,20e" filled="false" stroked="true" strokeweight="2pt" strokecolor="#9f8958">
                <v:path arrowok="t"/>
              </v:shape>
            </v:group>
            <v:group style="position:absolute;left:2208;top:20;width:1078;height:2" coordorigin="2208,20" coordsize="1078,2">
              <v:shape style="position:absolute;left:2208;top:20;width:1078;height:2" coordorigin="2208,20" coordsize="1078,0" path="m2208,20l3286,20e" filled="false" stroked="true" strokeweight="2pt" strokecolor="#9f8958">
                <v:path arrowok="t"/>
              </v:shape>
            </v:group>
            <v:group style="position:absolute;left:3286;top:20;width:1270;height:2" coordorigin="3286,20" coordsize="1270,2">
              <v:shape style="position:absolute;left:3286;top:20;width:1270;height:2" coordorigin="3286,20" coordsize="1270,0" path="m3286,20l4555,20e" filled="false" stroked="true" strokeweight="2pt" strokecolor="#9f8958">
                <v:path arrowok="t"/>
              </v:shape>
            </v:group>
            <v:group style="position:absolute;left:4555;top:20;width:1119;height:2" coordorigin="4555,20" coordsize="1119,2">
              <v:shape style="position:absolute;left:4555;top:20;width:1119;height:2" coordorigin="4555,20" coordsize="1119,0" path="m4555,20l5674,20e" filled="false" stroked="true" strokeweight="2pt" strokecolor="#9f8958">
                <v:path arrowok="t"/>
              </v:shape>
            </v:group>
            <v:group style="position:absolute;left:5674;top:20;width:1119;height:2" coordorigin="5674,20" coordsize="1119,2">
              <v:shape style="position:absolute;left:5674;top:20;width:1119;height:2" coordorigin="5674,20" coordsize="1119,0" path="m5674,20l6793,20e" filled="false" stroked="true" strokeweight="2pt" strokecolor="#9f8958">
                <v:path arrowok="t"/>
              </v:shape>
            </v:group>
            <v:group style="position:absolute;left:6793;top:20;width:1119;height:2" coordorigin="6793,20" coordsize="1119,2">
              <v:shape style="position:absolute;left:6793;top:20;width:1119;height:2" coordorigin="6793,20" coordsize="1119,0" path="m6793,20l7912,20e" filled="false" stroked="true" strokeweight="2pt" strokecolor="#9f8958">
                <v:path arrowok="t"/>
              </v:shape>
            </v:group>
            <v:group style="position:absolute;left:7912;top:20;width:1406;height:2" coordorigin="7912,20" coordsize="1406,2">
              <v:shape style="position:absolute;left:7912;top:20;width:1406;height:2" coordorigin="7912,20" coordsize="1406,0" path="m7912,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458" w:lineRule="auto" w:before="31"/>
        <w:ind w:left="153" w:right="4181" w:firstLine="340"/>
        <w:jc w:val="left"/>
      </w:pPr>
      <w:r>
        <w:rPr>
          <w:w w:val="95"/>
        </w:rPr>
        <w:t>注：本集团确认为递延收益的政府补助，参见附注五</w:t>
      </w:r>
      <w:r>
        <w:rPr>
          <w:spacing w:val="20"/>
          <w:w w:val="95"/>
        </w:rPr>
        <w:t> </w:t>
      </w:r>
      <w:r>
        <w:rPr>
          <w:w w:val="95"/>
        </w:rPr>
        <w:t>(46)。</w:t>
      </w:r>
      <w:r>
        <w:rPr>
          <w:w w:val="88"/>
        </w:rPr>
        <w:t> </w:t>
      </w:r>
      <w:r>
        <w:rPr/>
        <w:t>30、股本</w:t>
      </w:r>
    </w:p>
    <w:p>
      <w:pPr>
        <w:spacing w:line="240" w:lineRule="auto" w:before="0"/>
        <w:rPr>
          <w:rFonts w:ascii="宋体" w:hAnsi="宋体" w:cs="宋体" w:eastAsia="宋体" w:hint="default"/>
          <w:sz w:val="3"/>
          <w:szCs w:val="3"/>
        </w:rPr>
      </w:pPr>
    </w:p>
    <w:tbl>
      <w:tblPr>
        <w:tblW w:w="0" w:type="auto"/>
        <w:jc w:val="left"/>
        <w:tblInd w:w="459" w:type="dxa"/>
        <w:tblLayout w:type="fixed"/>
        <w:tblCellMar>
          <w:top w:w="0" w:type="dxa"/>
          <w:left w:w="0" w:type="dxa"/>
          <w:bottom w:w="0" w:type="dxa"/>
          <w:right w:w="0" w:type="dxa"/>
        </w:tblCellMar>
        <w:tblLook w:val="01E0"/>
      </w:tblPr>
      <w:tblGrid>
        <w:gridCol w:w="4071"/>
        <w:gridCol w:w="2142"/>
        <w:gridCol w:w="826"/>
        <w:gridCol w:w="2294"/>
      </w:tblGrid>
      <w:tr>
        <w:trPr>
          <w:trHeight w:val="836" w:hRule="exact"/>
        </w:trPr>
        <w:tc>
          <w:tcPr>
            <w:tcW w:w="4071" w:type="dxa"/>
            <w:tcBorders>
              <w:top w:val="nil" w:sz="6" w:space="0" w:color="auto"/>
              <w:left w:val="nil" w:sz="6" w:space="0" w:color="auto"/>
              <w:bottom w:val="single" w:sz="6" w:space="0" w:color="000000"/>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于 2018</w:t>
            </w:r>
            <w:r>
              <w:rPr>
                <w:rFonts w:ascii="宋体" w:hAnsi="宋体" w:cs="宋体" w:eastAsia="宋体" w:hint="default"/>
                <w:spacing w:val="-52"/>
                <w:sz w:val="18"/>
                <w:szCs w:val="18"/>
              </w:rPr>
              <w:t> </w:t>
            </w:r>
            <w:r>
              <w:rPr>
                <w:rFonts w:ascii="宋体" w:hAnsi="宋体" w:cs="宋体" w:eastAsia="宋体" w:hint="default"/>
                <w:sz w:val="18"/>
                <w:szCs w:val="18"/>
              </w:rPr>
              <w:t>年度，本公司股本变化情况列示如下：</w:t>
            </w:r>
          </w:p>
        </w:tc>
        <w:tc>
          <w:tcPr>
            <w:tcW w:w="2142" w:type="dxa"/>
            <w:tcBorders>
              <w:top w:val="nil" w:sz="6" w:space="0" w:color="auto"/>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left="790" w:right="0"/>
              <w:jc w:val="left"/>
              <w:rPr>
                <w:rFonts w:ascii="宋体" w:hAnsi="宋体" w:cs="宋体" w:eastAsia="宋体" w:hint="default"/>
                <w:sz w:val="16"/>
                <w:szCs w:val="16"/>
              </w:rPr>
            </w:pPr>
            <w:r>
              <w:rPr>
                <w:rFonts w:ascii="宋体" w:hAnsi="宋体" w:cs="宋体" w:eastAsia="宋体" w:hint="default"/>
                <w:sz w:val="16"/>
                <w:szCs w:val="16"/>
              </w:rPr>
              <w:t>本年增减变动</w:t>
            </w:r>
          </w:p>
        </w:tc>
        <w:tc>
          <w:tcPr>
            <w:tcW w:w="3119" w:type="dxa"/>
            <w:gridSpan w:val="2"/>
            <w:tcBorders>
              <w:top w:val="nil" w:sz="6" w:space="0" w:color="auto"/>
              <w:left w:val="nil" w:sz="6" w:space="0" w:color="auto"/>
              <w:bottom w:val="nil" w:sz="6" w:space="0" w:color="auto"/>
              <w:right w:val="nil" w:sz="6" w:space="0" w:color="auto"/>
            </w:tcBorders>
          </w:tcPr>
          <w:p>
            <w:pPr/>
          </w:p>
        </w:tc>
      </w:tr>
      <w:tr>
        <w:trPr>
          <w:trHeight w:val="414" w:hRule="exact"/>
        </w:trPr>
        <w:tc>
          <w:tcPr>
            <w:tcW w:w="407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2139"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14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554" w:right="0"/>
              <w:jc w:val="left"/>
              <w:rPr>
                <w:rFonts w:ascii="宋体" w:hAnsi="宋体" w:cs="宋体" w:eastAsia="宋体" w:hint="default"/>
                <w:sz w:val="16"/>
                <w:szCs w:val="16"/>
              </w:rPr>
            </w:pPr>
            <w:r>
              <w:rPr>
                <w:rFonts w:ascii="宋体" w:hAnsi="宋体" w:cs="宋体" w:eastAsia="宋体" w:hint="default"/>
                <w:sz w:val="16"/>
                <w:szCs w:val="16"/>
              </w:rPr>
              <w:t>发行新股</w:t>
            </w:r>
          </w:p>
        </w:tc>
        <w:tc>
          <w:tcPr>
            <w:tcW w:w="82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其他</w:t>
            </w:r>
          </w:p>
        </w:tc>
        <w:tc>
          <w:tcPr>
            <w:tcW w:w="2294" w:type="dxa"/>
            <w:tcBorders>
              <w:top w:val="nil" w:sz="6" w:space="0" w:color="auto"/>
              <w:left w:val="nil" w:sz="6" w:space="0" w:color="auto"/>
              <w:bottom w:val="single" w:sz="16" w:space="0" w:color="9F8958"/>
              <w:right w:val="nil" w:sz="6" w:space="0" w:color="auto"/>
            </w:tcBorders>
          </w:tcPr>
          <w:p>
            <w:pPr>
              <w:pStyle w:val="TableParagraph"/>
              <w:spacing w:line="240" w:lineRule="auto" w:before="71"/>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4071" w:type="dxa"/>
            <w:tcBorders>
              <w:top w:val="single" w:sz="16" w:space="0" w:color="9F8958"/>
              <w:left w:val="nil" w:sz="6" w:space="0" w:color="auto"/>
              <w:bottom w:val="single" w:sz="16" w:space="0" w:color="9F8958"/>
              <w:right w:val="nil" w:sz="6" w:space="0" w:color="auto"/>
            </w:tcBorders>
          </w:tcPr>
          <w:p>
            <w:pPr>
              <w:pStyle w:val="TableParagraph"/>
              <w:tabs>
                <w:tab w:pos="2420" w:val="left" w:leader="none"/>
              </w:tabs>
              <w:spacing w:line="240" w:lineRule="auto" w:before="64"/>
              <w:ind w:left="148" w:right="0"/>
              <w:jc w:val="left"/>
              <w:rPr>
                <w:rFonts w:ascii="宋体" w:hAnsi="宋体" w:cs="宋体" w:eastAsia="宋体" w:hint="default"/>
                <w:sz w:val="16"/>
                <w:szCs w:val="16"/>
              </w:rPr>
            </w:pPr>
            <w:r>
              <w:rPr>
                <w:rFonts w:ascii="宋体" w:hAnsi="宋体" w:cs="宋体" w:eastAsia="宋体" w:hint="default"/>
                <w:sz w:val="16"/>
                <w:szCs w:val="16"/>
              </w:rPr>
              <w:t>股份总数</w:t>
              <w:tab/>
              <w:t>30,233,950,687</w:t>
            </w:r>
          </w:p>
        </w:tc>
        <w:tc>
          <w:tcPr>
            <w:tcW w:w="214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306" w:right="0"/>
              <w:jc w:val="left"/>
              <w:rPr>
                <w:rFonts w:ascii="宋体" w:hAnsi="宋体" w:cs="宋体" w:eastAsia="宋体" w:hint="default"/>
                <w:sz w:val="16"/>
                <w:szCs w:val="16"/>
              </w:rPr>
            </w:pPr>
            <w:r>
              <w:rPr>
                <w:rFonts w:ascii="宋体"/>
                <w:sz w:val="16"/>
              </w:rPr>
              <w:t>793,861,000</w:t>
            </w:r>
          </w:p>
        </w:tc>
        <w:tc>
          <w:tcPr>
            <w:tcW w:w="826"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c>
          <w:tcPr>
            <w:tcW w:w="2294"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31,027,811,687</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494" w:right="0"/>
        <w:jc w:val="left"/>
      </w:pPr>
      <w:r>
        <w:rPr/>
        <w:t>如附注十二所述，本公司于</w:t>
      </w:r>
      <w:r>
        <w:rPr>
          <w:spacing w:val="-33"/>
        </w:rPr>
        <w:t> </w:t>
      </w:r>
      <w:r>
        <w:rPr/>
        <w:t>2018</w:t>
      </w:r>
      <w:r>
        <w:rPr>
          <w:spacing w:val="-35"/>
        </w:rPr>
        <w:t> </w:t>
      </w:r>
      <w:r>
        <w:rPr/>
        <w:t>年向限制性股票激励计划激励对象定向发行人民币普通股股票</w:t>
      </w:r>
      <w:r>
        <w:rPr>
          <w:spacing w:val="-33"/>
        </w:rPr>
        <w:t> </w:t>
      </w:r>
      <w:r>
        <w:rPr/>
        <w:t>793,861,000</w:t>
      </w:r>
      <w:r>
        <w:rPr>
          <w:spacing w:val="-35"/>
        </w:rPr>
        <w:t> </w:t>
      </w:r>
      <w:r>
        <w:rPr/>
        <w:t>股。</w:t>
      </w:r>
    </w:p>
    <w:p>
      <w:pPr>
        <w:spacing w:after="0" w:line="240" w:lineRule="auto"/>
        <w:jc w:val="left"/>
        <w:sectPr>
          <w:type w:val="continuous"/>
          <w:pgSz w:w="11910" w:h="16160"/>
          <w:pgMar w:top="1520" w:bottom="280" w:left="132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87"/>
        <w:jc w:val="left"/>
      </w:pPr>
      <w:r>
        <w:rPr/>
        <w:t>31、资本公积</w:t>
      </w:r>
    </w:p>
    <w:p>
      <w:pPr>
        <w:spacing w:line="240" w:lineRule="auto" w:before="10"/>
        <w:rPr>
          <w:rFonts w:ascii="宋体" w:hAnsi="宋体" w:cs="宋体" w:eastAsia="宋体" w:hint="default"/>
          <w:sz w:val="14"/>
          <w:szCs w:val="14"/>
        </w:rPr>
      </w:pPr>
    </w:p>
    <w:tbl>
      <w:tblPr>
        <w:tblW w:w="0" w:type="auto"/>
        <w:jc w:val="left"/>
        <w:tblInd w:w="453" w:type="dxa"/>
        <w:tblLayout w:type="fixed"/>
        <w:tblCellMar>
          <w:top w:w="0" w:type="dxa"/>
          <w:left w:w="0" w:type="dxa"/>
          <w:bottom w:w="0" w:type="dxa"/>
          <w:right w:w="0" w:type="dxa"/>
        </w:tblCellMar>
        <w:tblLook w:val="01E0"/>
      </w:tblPr>
      <w:tblGrid>
        <w:gridCol w:w="3269"/>
        <w:gridCol w:w="1820"/>
        <w:gridCol w:w="1459"/>
        <w:gridCol w:w="1035"/>
        <w:gridCol w:w="1715"/>
      </w:tblGrid>
      <w:tr>
        <w:trPr>
          <w:trHeight w:val="384" w:hRule="exact"/>
        </w:trPr>
        <w:tc>
          <w:tcPr>
            <w:tcW w:w="3269" w:type="dxa"/>
            <w:tcBorders>
              <w:top w:val="nil" w:sz="6" w:space="0" w:color="auto"/>
              <w:left w:val="nil" w:sz="6" w:space="0" w:color="auto"/>
              <w:bottom w:val="single" w:sz="16" w:space="0" w:color="9F8958"/>
              <w:right w:val="nil" w:sz="6" w:space="0" w:color="auto"/>
            </w:tcBorders>
          </w:tcPr>
          <w:p>
            <w:pPr>
              <w:pStyle w:val="TableParagraph"/>
              <w:tabs>
                <w:tab w:pos="2773" w:val="left" w:leader="none"/>
              </w:tabs>
              <w:spacing w:line="240" w:lineRule="auto" w:before="41"/>
              <w:ind w:left="113" w:right="0"/>
              <w:jc w:val="left"/>
              <w:rPr>
                <w:rFonts w:ascii="宋体" w:hAnsi="宋体" w:cs="宋体" w:eastAsia="宋体" w:hint="default"/>
                <w:sz w:val="16"/>
                <w:szCs w:val="16"/>
              </w:rPr>
            </w:pPr>
            <w:r>
              <w:rPr>
                <w:rFonts w:ascii="宋体" w:hAnsi="宋体" w:cs="宋体" w:eastAsia="宋体" w:hint="default"/>
                <w:sz w:val="16"/>
                <w:szCs w:val="16"/>
              </w:rPr>
              <w:t>项目</w:t>
              <w:tab/>
              <w:t>注释</w:t>
            </w:r>
          </w:p>
        </w:tc>
        <w:tc>
          <w:tcPr>
            <w:tcW w:w="182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253"/>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459"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81"/>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035"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210"/>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715"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3269" w:type="dxa"/>
            <w:tcBorders>
              <w:top w:val="single" w:sz="16" w:space="0" w:color="9F8958"/>
              <w:left w:val="nil" w:sz="6" w:space="0" w:color="auto"/>
              <w:bottom w:val="nil" w:sz="6" w:space="0" w:color="auto"/>
              <w:right w:val="nil" w:sz="6" w:space="0" w:color="auto"/>
            </w:tcBorders>
          </w:tcPr>
          <w:p>
            <w:pPr>
              <w:pStyle w:val="TableParagraph"/>
              <w:tabs>
                <w:tab w:pos="2849"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发起人出资溢价</w:t>
              <w:tab/>
              <w:t>(a)</w:t>
            </w:r>
          </w:p>
        </w:tc>
        <w:tc>
          <w:tcPr>
            <w:tcW w:w="182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52"/>
              <w:jc w:val="right"/>
              <w:rPr>
                <w:rFonts w:ascii="宋体" w:hAnsi="宋体" w:cs="宋体" w:eastAsia="宋体" w:hint="default"/>
                <w:sz w:val="16"/>
                <w:szCs w:val="16"/>
              </w:rPr>
            </w:pPr>
            <w:r>
              <w:rPr>
                <w:rFonts w:ascii="宋体"/>
                <w:w w:val="95"/>
                <w:sz w:val="16"/>
              </w:rPr>
              <w:t>7,913,551,905</w:t>
            </w:r>
            <w:r>
              <w:rPr>
                <w:rFonts w:ascii="宋体"/>
                <w:sz w:val="16"/>
              </w:rPr>
            </w:r>
          </w:p>
        </w:tc>
        <w:tc>
          <w:tcPr>
            <w:tcW w:w="145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10"/>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7,913,551,905</w:t>
            </w:r>
            <w:r>
              <w:rPr>
                <w:rFonts w:ascii="宋体"/>
                <w:sz w:val="16"/>
              </w:rPr>
            </w:r>
          </w:p>
        </w:tc>
      </w:tr>
      <w:tr>
        <w:trPr>
          <w:trHeight w:val="32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49" w:val="left" w:leader="none"/>
              </w:tabs>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人民币普通股发行溢价</w:t>
              <w:tab/>
              <w:t>(a)</w:t>
            </w:r>
          </w:p>
        </w:tc>
        <w:tc>
          <w:tcPr>
            <w:tcW w:w="1820" w:type="dxa"/>
            <w:tcBorders>
              <w:top w:val="nil" w:sz="6" w:space="0" w:color="auto"/>
              <w:left w:val="nil" w:sz="6" w:space="0" w:color="auto"/>
              <w:bottom w:val="nil" w:sz="6" w:space="0" w:color="auto"/>
              <w:right w:val="nil" w:sz="6" w:space="0" w:color="auto"/>
            </w:tcBorders>
          </w:tcPr>
          <w:p>
            <w:pPr>
              <w:pStyle w:val="TableParagraph"/>
              <w:spacing w:line="205" w:lineRule="exact"/>
              <w:ind w:right="252"/>
              <w:jc w:val="right"/>
              <w:rPr>
                <w:rFonts w:ascii="宋体" w:hAnsi="宋体" w:cs="宋体" w:eastAsia="宋体" w:hint="default"/>
                <w:sz w:val="16"/>
                <w:szCs w:val="16"/>
              </w:rPr>
            </w:pPr>
            <w:r>
              <w:rPr>
                <w:rFonts w:ascii="宋体"/>
                <w:w w:val="95"/>
                <w:sz w:val="16"/>
              </w:rPr>
              <w:t>61,706,266,598</w:t>
            </w:r>
            <w:r>
              <w:rPr>
                <w:rFonts w:ascii="宋体"/>
                <w:sz w:val="16"/>
              </w:rPr>
            </w:r>
          </w:p>
        </w:tc>
        <w:tc>
          <w:tcPr>
            <w:tcW w:w="1459"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w w:val="95"/>
                <w:sz w:val="16"/>
              </w:rPr>
              <w:t>2,214,872,190</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63,921,138,788</w:t>
            </w:r>
            <w:r>
              <w:rPr>
                <w:rFonts w:ascii="宋体"/>
                <w:sz w:val="16"/>
              </w:rPr>
            </w:r>
          </w:p>
        </w:tc>
      </w:tr>
      <w:tr>
        <w:trPr>
          <w:trHeight w:val="37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45" w:val="left" w:leader="none"/>
              </w:tabs>
              <w:spacing w:line="115" w:lineRule="auto" w:before="42"/>
              <w:ind w:left="113" w:right="243"/>
              <w:jc w:val="left"/>
              <w:rPr>
                <w:rFonts w:ascii="宋体" w:hAnsi="宋体" w:cs="宋体" w:eastAsia="宋体" w:hint="default"/>
                <w:sz w:val="16"/>
                <w:szCs w:val="16"/>
              </w:rPr>
            </w:pPr>
            <w:r>
              <w:rPr>
                <w:rFonts w:ascii="宋体" w:hAnsi="宋体" w:cs="宋体" w:eastAsia="宋体" w:hint="default"/>
                <w:sz w:val="16"/>
                <w:szCs w:val="16"/>
              </w:rPr>
              <w:t>联通运营公司同一控制下收购相关 电信业务的影响</w:t>
              <w:tab/>
            </w:r>
            <w:r>
              <w:rPr>
                <w:rFonts w:ascii="宋体" w:hAnsi="宋体" w:cs="宋体" w:eastAsia="宋体" w:hint="default"/>
                <w:w w:val="70"/>
                <w:position w:val="10"/>
                <w:sz w:val="16"/>
                <w:szCs w:val="16"/>
              </w:rPr>
              <w:t>(b)</w:t>
            </w:r>
            <w:r>
              <w:rPr>
                <w:rFonts w:ascii="宋体" w:hAnsi="宋体" w:cs="宋体" w:eastAsia="宋体" w:hint="default"/>
                <w:sz w:val="16"/>
                <w:szCs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52"/>
              <w:jc w:val="right"/>
              <w:rPr>
                <w:rFonts w:ascii="宋体" w:hAnsi="宋体" w:cs="宋体" w:eastAsia="宋体" w:hint="default"/>
                <w:sz w:val="16"/>
                <w:szCs w:val="16"/>
              </w:rPr>
            </w:pPr>
            <w:r>
              <w:rPr>
                <w:rFonts w:ascii="宋体"/>
                <w:sz w:val="16"/>
              </w:rPr>
              <w:t>306,029,961</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11"/>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0"/>
              <w:jc w:val="right"/>
              <w:rPr>
                <w:rFonts w:ascii="宋体" w:hAnsi="宋体" w:cs="宋体" w:eastAsia="宋体" w:hint="default"/>
                <w:sz w:val="16"/>
                <w:szCs w:val="16"/>
              </w:rPr>
            </w:pPr>
            <w:r>
              <w:rPr>
                <w:rFonts w:ascii="宋体"/>
                <w:sz w:val="16"/>
              </w:rPr>
              <w:t>306,029,961</w:t>
            </w:r>
          </w:p>
        </w:tc>
      </w:tr>
      <w:tr>
        <w:trPr>
          <w:trHeight w:val="37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49" w:val="left" w:leader="none"/>
              </w:tabs>
              <w:spacing w:line="240" w:lineRule="auto" w:before="45"/>
              <w:ind w:left="113" w:right="0"/>
              <w:jc w:val="left"/>
              <w:rPr>
                <w:rFonts w:ascii="宋体" w:hAnsi="宋体" w:cs="宋体" w:eastAsia="宋体" w:hint="default"/>
                <w:sz w:val="16"/>
                <w:szCs w:val="16"/>
              </w:rPr>
            </w:pPr>
            <w:r>
              <w:rPr>
                <w:rFonts w:ascii="宋体" w:hAnsi="宋体" w:cs="宋体" w:eastAsia="宋体" w:hint="default"/>
                <w:sz w:val="16"/>
                <w:szCs w:val="16"/>
              </w:rPr>
              <w:t>子公司企业改制评估增值的影响</w:t>
              <w:tab/>
              <w:t>(c)</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52"/>
              <w:jc w:val="right"/>
              <w:rPr>
                <w:rFonts w:ascii="宋体" w:hAnsi="宋体" w:cs="宋体" w:eastAsia="宋体" w:hint="default"/>
                <w:sz w:val="16"/>
                <w:szCs w:val="16"/>
              </w:rPr>
            </w:pPr>
            <w:r>
              <w:rPr>
                <w:rFonts w:ascii="宋体"/>
                <w:w w:val="95"/>
                <w:sz w:val="16"/>
              </w:rPr>
              <w:t>29,996,252</w:t>
            </w:r>
            <w:r>
              <w:rPr>
                <w:rFonts w:ascii="宋体"/>
                <w:sz w:val="16"/>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11"/>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0"/>
              <w:jc w:val="right"/>
              <w:rPr>
                <w:rFonts w:ascii="宋体" w:hAnsi="宋体" w:cs="宋体" w:eastAsia="宋体" w:hint="default"/>
                <w:sz w:val="16"/>
                <w:szCs w:val="16"/>
              </w:rPr>
            </w:pPr>
            <w:r>
              <w:rPr>
                <w:rFonts w:ascii="宋体"/>
                <w:w w:val="95"/>
                <w:sz w:val="16"/>
              </w:rPr>
              <w:t>29,996,252</w:t>
            </w:r>
            <w:r>
              <w:rPr>
                <w:rFonts w:ascii="宋体"/>
                <w:sz w:val="16"/>
              </w:rPr>
            </w:r>
          </w:p>
        </w:tc>
      </w:tr>
      <w:tr>
        <w:trPr>
          <w:trHeight w:val="42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45" w:val="left" w:leader="none"/>
              </w:tabs>
              <w:spacing w:line="115" w:lineRule="auto" w:before="42"/>
              <w:ind w:left="113" w:right="243"/>
              <w:jc w:val="left"/>
              <w:rPr>
                <w:rFonts w:ascii="宋体" w:hAnsi="宋体" w:cs="宋体" w:eastAsia="宋体" w:hint="default"/>
                <w:sz w:val="16"/>
                <w:szCs w:val="16"/>
              </w:rPr>
            </w:pPr>
            <w:r>
              <w:rPr>
                <w:rFonts w:ascii="宋体" w:hAnsi="宋体" w:cs="宋体" w:eastAsia="宋体" w:hint="default"/>
                <w:sz w:val="16"/>
                <w:szCs w:val="16"/>
              </w:rPr>
              <w:t>与股份期权相关的员工薪酬所确认 金额的影响</w:t>
              <w:tab/>
            </w:r>
            <w:r>
              <w:rPr>
                <w:rFonts w:ascii="宋体" w:hAnsi="宋体" w:cs="宋体" w:eastAsia="宋体" w:hint="default"/>
                <w:w w:val="70"/>
                <w:position w:val="10"/>
                <w:sz w:val="16"/>
                <w:szCs w:val="16"/>
              </w:rPr>
              <w:t>(d)</w:t>
            </w:r>
            <w:r>
              <w:rPr>
                <w:rFonts w:ascii="宋体" w:hAnsi="宋体" w:cs="宋体" w:eastAsia="宋体" w:hint="default"/>
                <w:sz w:val="16"/>
                <w:szCs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52"/>
              <w:jc w:val="right"/>
              <w:rPr>
                <w:rFonts w:ascii="宋体" w:hAnsi="宋体" w:cs="宋体" w:eastAsia="宋体" w:hint="default"/>
                <w:sz w:val="16"/>
                <w:szCs w:val="16"/>
              </w:rPr>
            </w:pPr>
            <w:r>
              <w:rPr>
                <w:rFonts w:ascii="宋体"/>
                <w:sz w:val="16"/>
              </w:rPr>
              <w:t>300,864,206</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11"/>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0"/>
              <w:jc w:val="right"/>
              <w:rPr>
                <w:rFonts w:ascii="宋体" w:hAnsi="宋体" w:cs="宋体" w:eastAsia="宋体" w:hint="default"/>
                <w:sz w:val="16"/>
                <w:szCs w:val="16"/>
              </w:rPr>
            </w:pPr>
            <w:r>
              <w:rPr>
                <w:rFonts w:ascii="宋体"/>
                <w:sz w:val="16"/>
              </w:rPr>
              <w:t>300,864,206</w:t>
            </w:r>
          </w:p>
        </w:tc>
      </w:tr>
      <w:tr>
        <w:trPr>
          <w:trHeight w:val="47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45" w:val="left" w:leader="none"/>
              </w:tabs>
              <w:spacing w:line="115" w:lineRule="auto" w:before="92"/>
              <w:ind w:left="113" w:right="243"/>
              <w:jc w:val="left"/>
              <w:rPr>
                <w:rFonts w:ascii="宋体" w:hAnsi="宋体" w:cs="宋体" w:eastAsia="宋体" w:hint="default"/>
                <w:sz w:val="16"/>
                <w:szCs w:val="16"/>
              </w:rPr>
            </w:pPr>
            <w:r>
              <w:rPr>
                <w:rFonts w:ascii="宋体" w:hAnsi="宋体" w:cs="宋体" w:eastAsia="宋体" w:hint="default"/>
                <w:sz w:val="16"/>
                <w:szCs w:val="16"/>
              </w:rPr>
              <w:t>联通红筹公司为投资西班牙电信而 增发的股份</w:t>
              <w:tab/>
            </w:r>
            <w:r>
              <w:rPr>
                <w:rFonts w:ascii="宋体" w:hAnsi="宋体" w:cs="宋体" w:eastAsia="宋体" w:hint="default"/>
                <w:w w:val="70"/>
                <w:position w:val="10"/>
                <w:sz w:val="16"/>
                <w:szCs w:val="16"/>
              </w:rPr>
              <w:t>(e)</w:t>
            </w:r>
            <w:r>
              <w:rPr>
                <w:rFonts w:ascii="宋体" w:hAnsi="宋体" w:cs="宋体" w:eastAsia="宋体" w:hint="default"/>
                <w:sz w:val="16"/>
                <w:szCs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52"/>
              <w:jc w:val="right"/>
              <w:rPr>
                <w:rFonts w:ascii="宋体" w:hAnsi="宋体" w:cs="宋体" w:eastAsia="宋体" w:hint="default"/>
                <w:sz w:val="16"/>
                <w:szCs w:val="16"/>
              </w:rPr>
            </w:pPr>
            <w:r>
              <w:rPr>
                <w:rFonts w:ascii="宋体"/>
                <w:w w:val="95"/>
                <w:sz w:val="16"/>
              </w:rPr>
              <w:t>2,274,479,484</w:t>
            </w:r>
            <w:r>
              <w:rPr>
                <w:rFonts w:ascii="宋体"/>
                <w:sz w:val="16"/>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11"/>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95"/>
                <w:sz w:val="16"/>
              </w:rPr>
              <w:t>2,274,479,484</w:t>
            </w:r>
            <w:r>
              <w:rPr>
                <w:rFonts w:ascii="宋体"/>
                <w:sz w:val="16"/>
              </w:rPr>
            </w:r>
          </w:p>
        </w:tc>
      </w:tr>
      <w:tr>
        <w:trPr>
          <w:trHeight w:val="42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63" w:val="left" w:leader="none"/>
              </w:tabs>
              <w:spacing w:line="115" w:lineRule="auto" w:before="92"/>
              <w:ind w:left="113" w:right="261"/>
              <w:jc w:val="left"/>
              <w:rPr>
                <w:rFonts w:ascii="宋体" w:hAnsi="宋体" w:cs="宋体" w:eastAsia="宋体" w:hint="default"/>
                <w:sz w:val="16"/>
                <w:szCs w:val="16"/>
              </w:rPr>
            </w:pPr>
            <w:r>
              <w:rPr>
                <w:rFonts w:ascii="宋体" w:hAnsi="宋体" w:cs="宋体" w:eastAsia="宋体" w:hint="default"/>
                <w:sz w:val="16"/>
                <w:szCs w:val="16"/>
              </w:rPr>
              <w:t>确认子公司员工行使股份期权所增 加的子公司权益的影响</w:t>
              <w:tab/>
            </w:r>
            <w:r>
              <w:rPr>
                <w:rFonts w:ascii="宋体" w:hAnsi="宋体" w:cs="宋体" w:eastAsia="宋体" w:hint="default"/>
                <w:w w:val="55"/>
                <w:position w:val="10"/>
                <w:sz w:val="16"/>
                <w:szCs w:val="16"/>
              </w:rPr>
              <w:t>(f)</w:t>
            </w:r>
            <w:r>
              <w:rPr>
                <w:rFonts w:ascii="宋体" w:hAnsi="宋体" w:cs="宋体" w:eastAsia="宋体" w:hint="default"/>
                <w:sz w:val="16"/>
                <w:szCs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52"/>
              <w:jc w:val="right"/>
              <w:rPr>
                <w:rFonts w:ascii="宋体" w:hAnsi="宋体" w:cs="宋体" w:eastAsia="宋体" w:hint="default"/>
                <w:sz w:val="16"/>
                <w:szCs w:val="16"/>
              </w:rPr>
            </w:pPr>
            <w:r>
              <w:rPr>
                <w:rFonts w:ascii="宋体"/>
                <w:sz w:val="16"/>
              </w:rPr>
              <w:t>686,078,232</w:t>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80"/>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09"/>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sz w:val="16"/>
              </w:rPr>
              <w:t>686,078,232</w:t>
            </w:r>
          </w:p>
        </w:tc>
      </w:tr>
      <w:tr>
        <w:trPr>
          <w:trHeight w:val="37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45" w:val="left" w:leader="none"/>
              </w:tabs>
              <w:spacing w:line="240" w:lineRule="auto" w:before="45"/>
              <w:ind w:left="113" w:right="0"/>
              <w:jc w:val="left"/>
              <w:rPr>
                <w:rFonts w:ascii="宋体" w:hAnsi="宋体" w:cs="宋体" w:eastAsia="宋体" w:hint="default"/>
                <w:sz w:val="16"/>
                <w:szCs w:val="16"/>
              </w:rPr>
            </w:pPr>
            <w:r>
              <w:rPr>
                <w:rFonts w:ascii="宋体" w:hAnsi="宋体" w:cs="宋体" w:eastAsia="宋体" w:hint="default"/>
                <w:sz w:val="16"/>
                <w:szCs w:val="16"/>
              </w:rPr>
              <w:t>子公司未分配利润转增资本的影响</w:t>
              <w:tab/>
              <w:t>(g)</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52"/>
              <w:jc w:val="right"/>
              <w:rPr>
                <w:rFonts w:ascii="宋体" w:hAnsi="宋体" w:cs="宋体" w:eastAsia="宋体" w:hint="default"/>
                <w:sz w:val="16"/>
                <w:szCs w:val="16"/>
              </w:rPr>
            </w:pPr>
            <w:r>
              <w:rPr>
                <w:rFonts w:ascii="宋体"/>
                <w:w w:val="95"/>
                <w:sz w:val="16"/>
              </w:rPr>
              <w:t>10,414,323,266</w:t>
            </w:r>
            <w:r>
              <w:rPr>
                <w:rFonts w:ascii="宋体"/>
                <w:sz w:val="16"/>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11"/>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0"/>
              <w:jc w:val="right"/>
              <w:rPr>
                <w:rFonts w:ascii="宋体" w:hAnsi="宋体" w:cs="宋体" w:eastAsia="宋体" w:hint="default"/>
                <w:sz w:val="16"/>
                <w:szCs w:val="16"/>
              </w:rPr>
            </w:pPr>
            <w:r>
              <w:rPr>
                <w:rFonts w:ascii="宋体"/>
                <w:w w:val="95"/>
                <w:sz w:val="16"/>
              </w:rPr>
              <w:t>10,414,323,266</w:t>
            </w:r>
            <w:r>
              <w:rPr>
                <w:rFonts w:ascii="宋体"/>
                <w:sz w:val="16"/>
              </w:rPr>
            </w:r>
          </w:p>
        </w:tc>
      </w:tr>
      <w:tr>
        <w:trPr>
          <w:trHeight w:val="373" w:hRule="exact"/>
        </w:trPr>
        <w:tc>
          <w:tcPr>
            <w:tcW w:w="3269" w:type="dxa"/>
            <w:tcBorders>
              <w:top w:val="nil" w:sz="6" w:space="0" w:color="auto"/>
              <w:left w:val="nil" w:sz="6" w:space="0" w:color="auto"/>
              <w:bottom w:val="nil" w:sz="6" w:space="0" w:color="auto"/>
              <w:right w:val="nil" w:sz="6" w:space="0" w:color="auto"/>
            </w:tcBorders>
          </w:tcPr>
          <w:p>
            <w:pPr>
              <w:pStyle w:val="TableParagraph"/>
              <w:spacing w:line="100" w:lineRule="exact"/>
              <w:ind w:left="113" w:right="0"/>
              <w:jc w:val="left"/>
              <w:rPr>
                <w:rFonts w:ascii="宋体" w:hAnsi="宋体" w:cs="宋体" w:eastAsia="宋体" w:hint="default"/>
                <w:sz w:val="16"/>
                <w:szCs w:val="16"/>
              </w:rPr>
            </w:pPr>
            <w:r>
              <w:rPr>
                <w:rFonts w:ascii="宋体" w:hAnsi="宋体" w:cs="宋体" w:eastAsia="宋体" w:hint="default"/>
                <w:sz w:val="16"/>
                <w:szCs w:val="16"/>
              </w:rPr>
              <w:t>因所持子公司股份变化对资本公积</w:t>
            </w:r>
          </w:p>
          <w:p>
            <w:pPr>
              <w:pStyle w:val="TableParagraph"/>
              <w:tabs>
                <w:tab w:pos="2845" w:val="left" w:leader="none"/>
              </w:tabs>
              <w:spacing w:line="255" w:lineRule="exact"/>
              <w:ind w:left="113" w:right="0"/>
              <w:jc w:val="left"/>
              <w:rPr>
                <w:rFonts w:ascii="宋体" w:hAnsi="宋体" w:cs="宋体" w:eastAsia="宋体" w:hint="default"/>
                <w:sz w:val="16"/>
                <w:szCs w:val="16"/>
              </w:rPr>
            </w:pPr>
            <w:r>
              <w:rPr>
                <w:rFonts w:ascii="宋体" w:hAnsi="宋体" w:cs="宋体" w:eastAsia="宋体" w:hint="default"/>
                <w:position w:val="-9"/>
                <w:sz w:val="16"/>
                <w:szCs w:val="16"/>
              </w:rPr>
              <w:t>的影响</w:t>
              <w:tab/>
            </w:r>
            <w:r>
              <w:rPr>
                <w:rFonts w:ascii="宋体" w:hAnsi="宋体" w:cs="宋体" w:eastAsia="宋体" w:hint="default"/>
                <w:sz w:val="16"/>
                <w:szCs w:val="16"/>
              </w:rPr>
              <w:t>(h)</w:t>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52"/>
              <w:jc w:val="right"/>
              <w:rPr>
                <w:rFonts w:ascii="宋体" w:hAnsi="宋体" w:cs="宋体" w:eastAsia="宋体" w:hint="default"/>
                <w:sz w:val="16"/>
                <w:szCs w:val="16"/>
              </w:rPr>
            </w:pPr>
            <w:r>
              <w:rPr>
                <w:rFonts w:ascii="宋体"/>
                <w:w w:val="90"/>
                <w:sz w:val="16"/>
              </w:rPr>
              <w:t>(10,669,121,620)</w:t>
            </w:r>
            <w:r>
              <w:rPr>
                <w:rFonts w:ascii="宋体"/>
                <w:sz w:val="16"/>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10"/>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0"/>
              <w:jc w:val="right"/>
              <w:rPr>
                <w:rFonts w:ascii="宋体" w:hAnsi="宋体" w:cs="宋体" w:eastAsia="宋体" w:hint="default"/>
                <w:sz w:val="16"/>
                <w:szCs w:val="16"/>
              </w:rPr>
            </w:pPr>
            <w:r>
              <w:rPr>
                <w:rFonts w:ascii="宋体"/>
                <w:w w:val="90"/>
                <w:sz w:val="16"/>
              </w:rPr>
              <w:t>(10,669,121,620)</w:t>
            </w:r>
            <w:r>
              <w:rPr>
                <w:rFonts w:ascii="宋体"/>
                <w:sz w:val="16"/>
              </w:rPr>
            </w:r>
          </w:p>
        </w:tc>
      </w:tr>
      <w:tr>
        <w:trPr>
          <w:trHeight w:val="32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72" w:val="left" w:leader="none"/>
              </w:tabs>
              <w:spacing w:line="240" w:lineRule="auto" w:before="45"/>
              <w:ind w:left="113" w:right="0"/>
              <w:jc w:val="left"/>
              <w:rPr>
                <w:rFonts w:ascii="宋体" w:hAnsi="宋体" w:cs="宋体" w:eastAsia="宋体" w:hint="default"/>
                <w:sz w:val="16"/>
                <w:szCs w:val="16"/>
              </w:rPr>
            </w:pPr>
            <w:r>
              <w:rPr>
                <w:rFonts w:ascii="宋体" w:hAnsi="宋体" w:cs="宋体" w:eastAsia="宋体" w:hint="default"/>
                <w:w w:val="90"/>
                <w:sz w:val="16"/>
                <w:szCs w:val="16"/>
              </w:rPr>
              <w:t>子公司发行可转换债券的影响</w:t>
              <w:tab/>
              <w:t>(i)</w:t>
            </w:r>
            <w:r>
              <w:rPr>
                <w:rFonts w:ascii="宋体" w:hAnsi="宋体" w:cs="宋体" w:eastAsia="宋体" w:hint="default"/>
                <w:sz w:val="16"/>
                <w:szCs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52"/>
              <w:jc w:val="right"/>
              <w:rPr>
                <w:rFonts w:ascii="宋体" w:hAnsi="宋体" w:cs="宋体" w:eastAsia="宋体" w:hint="default"/>
                <w:sz w:val="16"/>
                <w:szCs w:val="16"/>
              </w:rPr>
            </w:pPr>
            <w:r>
              <w:rPr>
                <w:rFonts w:ascii="宋体"/>
                <w:w w:val="95"/>
                <w:sz w:val="16"/>
              </w:rPr>
              <w:t>3,310,271,931</w:t>
            </w:r>
            <w:r>
              <w:rPr>
                <w:rFonts w:ascii="宋体"/>
                <w:sz w:val="16"/>
              </w:rPr>
            </w:r>
          </w:p>
        </w:tc>
        <w:tc>
          <w:tcPr>
            <w:tcW w:w="145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81"/>
              <w:jc w:val="right"/>
              <w:rPr>
                <w:rFonts w:ascii="宋体" w:hAnsi="宋体" w:cs="宋体" w:eastAsia="宋体" w:hint="default"/>
                <w:sz w:val="16"/>
                <w:szCs w:val="16"/>
              </w:rPr>
            </w:pPr>
            <w:r>
              <w:rPr>
                <w:rFonts w:ascii="宋体"/>
                <w:w w:val="131"/>
                <w:sz w:val="16"/>
              </w:rPr>
              <w:t>-</w:t>
            </w:r>
            <w:r>
              <w:rPr>
                <w:rFonts w:ascii="宋体"/>
                <w:sz w:val="16"/>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10"/>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10"/>
              <w:jc w:val="right"/>
              <w:rPr>
                <w:rFonts w:ascii="宋体" w:hAnsi="宋体" w:cs="宋体" w:eastAsia="宋体" w:hint="default"/>
                <w:sz w:val="16"/>
                <w:szCs w:val="16"/>
              </w:rPr>
            </w:pPr>
            <w:r>
              <w:rPr>
                <w:rFonts w:ascii="宋体"/>
                <w:w w:val="95"/>
                <w:sz w:val="16"/>
              </w:rPr>
              <w:t>3,310,271,931</w:t>
            </w:r>
            <w:r>
              <w:rPr>
                <w:rFonts w:ascii="宋体"/>
                <w:sz w:val="16"/>
              </w:rPr>
            </w:r>
          </w:p>
        </w:tc>
      </w:tr>
      <w:tr>
        <w:trPr>
          <w:trHeight w:val="273" w:hRule="exact"/>
        </w:trPr>
        <w:tc>
          <w:tcPr>
            <w:tcW w:w="3269" w:type="dxa"/>
            <w:tcBorders>
              <w:top w:val="nil" w:sz="6" w:space="0" w:color="auto"/>
              <w:left w:val="nil" w:sz="6" w:space="0" w:color="auto"/>
              <w:bottom w:val="nil" w:sz="6" w:space="0" w:color="auto"/>
              <w:right w:val="nil" w:sz="6" w:space="0" w:color="auto"/>
            </w:tcBorders>
          </w:tcPr>
          <w:p>
            <w:pPr>
              <w:pStyle w:val="TableParagraph"/>
              <w:tabs>
                <w:tab w:pos="2872" w:val="left" w:leader="none"/>
              </w:tabs>
              <w:spacing w:line="205" w:lineRule="exact"/>
              <w:ind w:left="113" w:right="0"/>
              <w:jc w:val="left"/>
              <w:rPr>
                <w:rFonts w:ascii="宋体" w:hAnsi="宋体" w:cs="宋体" w:eastAsia="宋体" w:hint="default"/>
                <w:sz w:val="16"/>
                <w:szCs w:val="16"/>
              </w:rPr>
            </w:pPr>
            <w:r>
              <w:rPr>
                <w:rFonts w:ascii="宋体" w:hAnsi="宋体" w:cs="宋体" w:eastAsia="宋体" w:hint="default"/>
                <w:w w:val="90"/>
                <w:sz w:val="16"/>
                <w:szCs w:val="16"/>
              </w:rPr>
              <w:t>股份支付</w:t>
              <w:tab/>
            </w:r>
            <w:r>
              <w:rPr>
                <w:rFonts w:ascii="宋体" w:hAnsi="宋体" w:cs="宋体" w:eastAsia="宋体" w:hint="default"/>
                <w:w w:val="85"/>
                <w:sz w:val="16"/>
                <w:szCs w:val="16"/>
              </w:rPr>
              <w:t>(j)</w:t>
            </w:r>
            <w:r>
              <w:rPr>
                <w:rFonts w:ascii="宋体" w:hAnsi="宋体" w:cs="宋体" w:eastAsia="宋体" w:hint="default"/>
                <w:sz w:val="16"/>
                <w:szCs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05" w:lineRule="exact"/>
              <w:ind w:right="253"/>
              <w:jc w:val="right"/>
              <w:rPr>
                <w:rFonts w:ascii="宋体" w:hAnsi="宋体" w:cs="宋体" w:eastAsia="宋体" w:hint="default"/>
                <w:sz w:val="16"/>
                <w:szCs w:val="16"/>
              </w:rPr>
            </w:pPr>
            <w:r>
              <w:rPr>
                <w:rFonts w:ascii="宋体"/>
                <w:w w:val="131"/>
                <w:sz w:val="16"/>
              </w:rPr>
              <w:t>-</w:t>
            </w:r>
            <w:r>
              <w:rPr>
                <w:rFonts w:ascii="宋体"/>
                <w:sz w:val="16"/>
              </w:rPr>
            </w:r>
          </w:p>
        </w:tc>
        <w:tc>
          <w:tcPr>
            <w:tcW w:w="1459" w:type="dxa"/>
            <w:tcBorders>
              <w:top w:val="nil" w:sz="6" w:space="0" w:color="auto"/>
              <w:left w:val="nil" w:sz="6" w:space="0" w:color="auto"/>
              <w:bottom w:val="nil" w:sz="6" w:space="0" w:color="auto"/>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sz w:val="16"/>
              </w:rPr>
              <w:t>613,920,000</w:t>
            </w:r>
          </w:p>
        </w:tc>
        <w:tc>
          <w:tcPr>
            <w:tcW w:w="1035" w:type="dxa"/>
            <w:tcBorders>
              <w:top w:val="nil" w:sz="6" w:space="0" w:color="auto"/>
              <w:left w:val="nil" w:sz="6" w:space="0" w:color="auto"/>
              <w:bottom w:val="nil" w:sz="6" w:space="0" w:color="auto"/>
              <w:right w:val="nil" w:sz="6" w:space="0" w:color="auto"/>
            </w:tcBorders>
          </w:tcPr>
          <w:p>
            <w:pPr>
              <w:pStyle w:val="TableParagraph"/>
              <w:spacing w:line="205" w:lineRule="exact"/>
              <w:ind w:right="210"/>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613,920,000</w:t>
            </w:r>
          </w:p>
        </w:tc>
      </w:tr>
      <w:tr>
        <w:trPr>
          <w:trHeight w:val="330" w:hRule="exact"/>
        </w:trPr>
        <w:tc>
          <w:tcPr>
            <w:tcW w:w="3269" w:type="dxa"/>
            <w:tcBorders>
              <w:top w:val="nil" w:sz="6" w:space="0" w:color="auto"/>
              <w:left w:val="nil" w:sz="6" w:space="0" w:color="auto"/>
              <w:bottom w:val="single" w:sz="6" w:space="0" w:color="000000"/>
              <w:right w:val="nil" w:sz="6" w:space="0" w:color="auto"/>
            </w:tcBorders>
          </w:tcPr>
          <w:p>
            <w:pPr>
              <w:pStyle w:val="TableParagraph"/>
              <w:tabs>
                <w:tab w:pos="2849" w:val="left" w:leader="none"/>
              </w:tabs>
              <w:spacing w:line="205" w:lineRule="exact"/>
              <w:ind w:left="113" w:right="0"/>
              <w:jc w:val="left"/>
              <w:rPr>
                <w:rFonts w:ascii="宋体" w:hAnsi="宋体" w:cs="宋体" w:eastAsia="宋体" w:hint="default"/>
                <w:sz w:val="16"/>
                <w:szCs w:val="16"/>
              </w:rPr>
            </w:pPr>
            <w:r>
              <w:rPr>
                <w:rFonts w:ascii="宋体" w:hAnsi="宋体" w:cs="宋体" w:eastAsia="宋体" w:hint="default"/>
                <w:w w:val="95"/>
                <w:sz w:val="16"/>
                <w:szCs w:val="16"/>
              </w:rPr>
              <w:t>其他</w:t>
              <w:tab/>
              <w:t>(k)</w:t>
            </w:r>
            <w:r>
              <w:rPr>
                <w:rFonts w:ascii="宋体" w:hAnsi="宋体" w:cs="宋体" w:eastAsia="宋体" w:hint="default"/>
                <w:sz w:val="16"/>
                <w:szCs w:val="16"/>
              </w:rPr>
            </w:r>
          </w:p>
        </w:tc>
        <w:tc>
          <w:tcPr>
            <w:tcW w:w="1820" w:type="dxa"/>
            <w:tcBorders>
              <w:top w:val="nil" w:sz="6" w:space="0" w:color="auto"/>
              <w:left w:val="nil" w:sz="6" w:space="0" w:color="auto"/>
              <w:bottom w:val="single" w:sz="6" w:space="0" w:color="000000"/>
              <w:right w:val="nil" w:sz="6" w:space="0" w:color="auto"/>
            </w:tcBorders>
          </w:tcPr>
          <w:p>
            <w:pPr>
              <w:pStyle w:val="TableParagraph"/>
              <w:spacing w:line="205" w:lineRule="exact"/>
              <w:ind w:right="252"/>
              <w:jc w:val="right"/>
              <w:rPr>
                <w:rFonts w:ascii="宋体" w:hAnsi="宋体" w:cs="宋体" w:eastAsia="宋体" w:hint="default"/>
                <w:sz w:val="16"/>
                <w:szCs w:val="16"/>
              </w:rPr>
            </w:pPr>
            <w:r>
              <w:rPr>
                <w:rFonts w:ascii="宋体"/>
                <w:w w:val="95"/>
                <w:sz w:val="16"/>
              </w:rPr>
              <w:t>73,591,190</w:t>
            </w:r>
            <w:r>
              <w:rPr>
                <w:rFonts w:ascii="宋体"/>
                <w:sz w:val="16"/>
              </w:rPr>
            </w:r>
          </w:p>
        </w:tc>
        <w:tc>
          <w:tcPr>
            <w:tcW w:w="1459" w:type="dxa"/>
            <w:tcBorders>
              <w:top w:val="nil" w:sz="6" w:space="0" w:color="auto"/>
              <w:left w:val="nil" w:sz="6" w:space="0" w:color="auto"/>
              <w:bottom w:val="single" w:sz="6" w:space="0" w:color="000000"/>
              <w:right w:val="nil" w:sz="6" w:space="0" w:color="auto"/>
            </w:tcBorders>
          </w:tcPr>
          <w:p>
            <w:pPr>
              <w:pStyle w:val="TableParagraph"/>
              <w:spacing w:line="205" w:lineRule="exact"/>
              <w:ind w:right="180"/>
              <w:jc w:val="right"/>
              <w:rPr>
                <w:rFonts w:ascii="宋体" w:hAnsi="宋体" w:cs="宋体" w:eastAsia="宋体" w:hint="default"/>
                <w:sz w:val="16"/>
                <w:szCs w:val="16"/>
              </w:rPr>
            </w:pPr>
            <w:r>
              <w:rPr>
                <w:rFonts w:ascii="宋体"/>
                <w:sz w:val="16"/>
              </w:rPr>
              <w:t>368,445,028</w:t>
            </w:r>
          </w:p>
        </w:tc>
        <w:tc>
          <w:tcPr>
            <w:tcW w:w="1035" w:type="dxa"/>
            <w:tcBorders>
              <w:top w:val="nil" w:sz="6" w:space="0" w:color="auto"/>
              <w:left w:val="nil" w:sz="6" w:space="0" w:color="auto"/>
              <w:bottom w:val="single" w:sz="6" w:space="0" w:color="000000"/>
              <w:right w:val="nil" w:sz="6" w:space="0" w:color="auto"/>
            </w:tcBorders>
          </w:tcPr>
          <w:p>
            <w:pPr>
              <w:pStyle w:val="TableParagraph"/>
              <w:spacing w:line="205" w:lineRule="exact"/>
              <w:ind w:right="210"/>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442,036,218</w:t>
            </w:r>
          </w:p>
        </w:tc>
      </w:tr>
      <w:tr>
        <w:trPr>
          <w:trHeight w:val="414" w:hRule="exact"/>
        </w:trPr>
        <w:tc>
          <w:tcPr>
            <w:tcW w:w="326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82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53"/>
              <w:jc w:val="right"/>
              <w:rPr>
                <w:rFonts w:ascii="宋体" w:hAnsi="宋体" w:cs="宋体" w:eastAsia="宋体" w:hint="default"/>
                <w:sz w:val="16"/>
                <w:szCs w:val="16"/>
              </w:rPr>
            </w:pPr>
            <w:r>
              <w:rPr>
                <w:rFonts w:ascii="宋体"/>
                <w:w w:val="95"/>
                <w:sz w:val="16"/>
              </w:rPr>
              <w:t>76,346,331,405</w:t>
            </w:r>
            <w:r>
              <w:rPr>
                <w:rFonts w:ascii="宋体"/>
                <w:sz w:val="16"/>
              </w:rPr>
            </w:r>
          </w:p>
        </w:tc>
        <w:tc>
          <w:tcPr>
            <w:tcW w:w="145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81"/>
              <w:jc w:val="right"/>
              <w:rPr>
                <w:rFonts w:ascii="宋体" w:hAnsi="宋体" w:cs="宋体" w:eastAsia="宋体" w:hint="default"/>
                <w:sz w:val="16"/>
                <w:szCs w:val="16"/>
              </w:rPr>
            </w:pPr>
            <w:r>
              <w:rPr>
                <w:rFonts w:ascii="宋体"/>
                <w:w w:val="95"/>
                <w:sz w:val="16"/>
              </w:rPr>
              <w:t>3,197,237,218</w:t>
            </w:r>
            <w:r>
              <w:rPr>
                <w:rFonts w:ascii="宋体"/>
                <w:sz w:val="16"/>
              </w:rPr>
            </w:r>
          </w:p>
        </w:tc>
        <w:tc>
          <w:tcPr>
            <w:tcW w:w="10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10"/>
              <w:jc w:val="right"/>
              <w:rPr>
                <w:rFonts w:ascii="宋体" w:hAnsi="宋体" w:cs="宋体" w:eastAsia="宋体" w:hint="default"/>
                <w:sz w:val="16"/>
                <w:szCs w:val="16"/>
              </w:rPr>
            </w:pPr>
            <w:r>
              <w:rPr>
                <w:rFonts w:ascii="宋体"/>
                <w:w w:val="131"/>
                <w:sz w:val="16"/>
              </w:rPr>
              <w:t>-</w:t>
            </w:r>
            <w:r>
              <w:rPr>
                <w:rFonts w:ascii="宋体"/>
                <w:sz w:val="16"/>
              </w:rPr>
            </w:r>
          </w:p>
        </w:tc>
        <w:tc>
          <w:tcPr>
            <w:tcW w:w="171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79,543,568,623</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453" w:right="87"/>
        <w:jc w:val="left"/>
      </w:pPr>
      <w:r>
        <w:rPr/>
        <w:t>注释：</w:t>
      </w:r>
    </w:p>
    <w:p>
      <w:pPr>
        <w:spacing w:line="240" w:lineRule="auto" w:before="5"/>
        <w:rPr>
          <w:rFonts w:ascii="宋体" w:hAnsi="宋体" w:cs="宋体" w:eastAsia="宋体" w:hint="default"/>
          <w:sz w:val="16"/>
          <w:szCs w:val="16"/>
        </w:rPr>
      </w:pPr>
    </w:p>
    <w:p>
      <w:pPr>
        <w:pStyle w:val="BodyText"/>
        <w:spacing w:line="285" w:lineRule="auto"/>
        <w:ind w:left="794" w:right="189" w:hanging="341"/>
        <w:jc w:val="both"/>
      </w:pPr>
      <w:r>
        <w:rPr/>
        <w:t>(a) 本公司成立之初发起人各方实际出资额超过其按《公司章程》规定的 </w:t>
      </w:r>
      <w:r>
        <w:rPr>
          <w:w w:val="110"/>
        </w:rPr>
        <w:t>65%</w:t>
      </w:r>
      <w:r>
        <w:rPr>
          <w:spacing w:val="-39"/>
          <w:w w:val="110"/>
        </w:rPr>
        <w:t> </w:t>
      </w:r>
      <w:r>
        <w:rPr/>
        <w:t>折股比例计算之实缴注册资本的差额，</w:t>
      </w:r>
      <w:r>
        <w:rPr/>
        <w:t> 以及</w:t>
      </w:r>
      <w:r>
        <w:rPr>
          <w:spacing w:val="-23"/>
        </w:rPr>
        <w:t> </w:t>
      </w:r>
      <w:r>
        <w:rPr/>
        <w:t>2002</w:t>
      </w:r>
      <w:r>
        <w:rPr>
          <w:spacing w:val="-23"/>
        </w:rPr>
        <w:t> </w:t>
      </w:r>
      <w:r>
        <w:rPr/>
        <w:t>年因发行境内上市的人民币普通股、2004</w:t>
      </w:r>
      <w:r>
        <w:rPr>
          <w:spacing w:val="-23"/>
        </w:rPr>
        <w:t> </w:t>
      </w:r>
      <w:r>
        <w:rPr/>
        <w:t>年配售人民币普通股、2017</w:t>
      </w:r>
      <w:r>
        <w:rPr>
          <w:spacing w:val="-23"/>
        </w:rPr>
        <w:t> </w:t>
      </w:r>
      <w:r>
        <w:rPr/>
        <w:t>年非公开发行人民币普通股股票</w:t>
      </w:r>
      <w:r>
        <w:rPr/>
        <w:t> 和 2018</w:t>
      </w:r>
      <w:r>
        <w:rPr>
          <w:spacing w:val="-52"/>
        </w:rPr>
        <w:t> </w:t>
      </w:r>
      <w:r>
        <w:rPr/>
        <w:t>年向限制性股票激励计划激励对象定向发行人民币普通股股票的溢价被记录于资本公积。</w:t>
      </w:r>
    </w:p>
    <w:p>
      <w:pPr>
        <w:spacing w:line="240" w:lineRule="auto" w:before="10"/>
        <w:rPr>
          <w:rFonts w:ascii="宋体" w:hAnsi="宋体" w:cs="宋体" w:eastAsia="宋体" w:hint="default"/>
          <w:sz w:val="13"/>
          <w:szCs w:val="13"/>
        </w:rPr>
      </w:pPr>
    </w:p>
    <w:p>
      <w:pPr>
        <w:pStyle w:val="BodyText"/>
        <w:spacing w:line="285" w:lineRule="auto"/>
        <w:ind w:left="794" w:right="182" w:hanging="341"/>
        <w:jc w:val="left"/>
      </w:pPr>
      <w:r>
        <w:rPr/>
        <w:t>(b)</w:t>
      </w:r>
      <w:r>
        <w:rPr>
          <w:spacing w:val="40"/>
        </w:rPr>
        <w:t> </w:t>
      </w:r>
      <w:r>
        <w:rPr/>
        <w:t>于</w:t>
      </w:r>
      <w:r>
        <w:rPr>
          <w:spacing w:val="-50"/>
        </w:rPr>
        <w:t> </w:t>
      </w:r>
      <w:r>
        <w:rPr/>
        <w:t>2009</w:t>
      </w:r>
      <w:r>
        <w:rPr>
          <w:spacing w:val="-50"/>
        </w:rPr>
        <w:t> </w:t>
      </w:r>
      <w:r>
        <w:rPr/>
        <w:t>年</w:t>
      </w:r>
      <w:r>
        <w:rPr>
          <w:spacing w:val="-50"/>
        </w:rPr>
        <w:t> </w:t>
      </w:r>
      <w:r>
        <w:rPr/>
        <w:t>1</w:t>
      </w:r>
      <w:r>
        <w:rPr>
          <w:spacing w:val="-50"/>
        </w:rPr>
        <w:t> </w:t>
      </w:r>
      <w:r>
        <w:rPr/>
        <w:t>月，联通运营公司根据转让协议完成了向联通集团和网通集团收购相关电信业务和资产的交易。本公</w:t>
      </w:r>
      <w:r>
        <w:rPr/>
        <w:t> 司根据持股比例计算了在同一控制下该等收购对本集团资本公积的影响。</w:t>
      </w:r>
    </w:p>
    <w:p>
      <w:pPr>
        <w:spacing w:line="240" w:lineRule="auto" w:before="10"/>
        <w:rPr>
          <w:rFonts w:ascii="宋体" w:hAnsi="宋体" w:cs="宋体" w:eastAsia="宋体" w:hint="default"/>
          <w:sz w:val="13"/>
          <w:szCs w:val="13"/>
        </w:rPr>
      </w:pPr>
    </w:p>
    <w:p>
      <w:pPr>
        <w:pStyle w:val="BodyText"/>
        <w:spacing w:line="285" w:lineRule="auto"/>
        <w:ind w:left="794" w:right="87"/>
        <w:jc w:val="left"/>
      </w:pPr>
      <w:r>
        <w:rPr>
          <w:spacing w:val="2"/>
        </w:rPr>
        <w:t>由于本公司所属联通运营公司于</w:t>
      </w:r>
      <w:r>
        <w:rPr>
          <w:spacing w:val="-30"/>
        </w:rPr>
        <w:t> </w:t>
      </w:r>
      <w:r>
        <w:rPr/>
        <w:t>2007</w:t>
      </w:r>
      <w:r>
        <w:rPr>
          <w:spacing w:val="-30"/>
        </w:rPr>
        <w:t> </w:t>
      </w:r>
      <w:r>
        <w:rPr/>
        <w:t>年</w:t>
      </w:r>
      <w:r>
        <w:rPr>
          <w:spacing w:val="-30"/>
        </w:rPr>
        <w:t> </w:t>
      </w:r>
      <w:r>
        <w:rPr/>
        <w:t>12</w:t>
      </w:r>
      <w:r>
        <w:rPr>
          <w:spacing w:val="-30"/>
        </w:rPr>
        <w:t> </w:t>
      </w:r>
      <w:r>
        <w:rPr/>
        <w:t>月</w:t>
      </w:r>
      <w:r>
        <w:rPr>
          <w:spacing w:val="-30"/>
        </w:rPr>
        <w:t> </w:t>
      </w:r>
      <w:r>
        <w:rPr/>
        <w:t>31</w:t>
      </w:r>
      <w:r>
        <w:rPr>
          <w:spacing w:val="-30"/>
        </w:rPr>
        <w:t> </w:t>
      </w:r>
      <w:r>
        <w:rPr>
          <w:spacing w:val="2"/>
        </w:rPr>
        <w:t>日完成了对贵州业务的收购，本公司根据持股比例计算了在同</w:t>
      </w:r>
      <w:r>
        <w:rPr>
          <w:spacing w:val="-74"/>
        </w:rPr>
        <w:t> </w:t>
      </w:r>
      <w:r>
        <w:rPr>
          <w:spacing w:val="-74"/>
        </w:rPr>
      </w:r>
      <w:r>
        <w:rPr/>
        <w:t>一控制下收购贵州业务对本集团资本公积的影响。</w:t>
      </w:r>
    </w:p>
    <w:p>
      <w:pPr>
        <w:spacing w:line="240" w:lineRule="auto" w:before="10"/>
        <w:rPr>
          <w:rFonts w:ascii="宋体" w:hAnsi="宋体" w:cs="宋体" w:eastAsia="宋体" w:hint="default"/>
          <w:sz w:val="13"/>
          <w:szCs w:val="13"/>
        </w:rPr>
      </w:pPr>
    </w:p>
    <w:p>
      <w:pPr>
        <w:pStyle w:val="BodyText"/>
        <w:spacing w:line="285" w:lineRule="auto"/>
        <w:ind w:left="794" w:right="90" w:hanging="341"/>
        <w:jc w:val="left"/>
      </w:pPr>
      <w:r>
        <w:rPr/>
        <w:t>(c)</w:t>
      </w:r>
      <w:r>
        <w:rPr>
          <w:spacing w:val="52"/>
        </w:rPr>
        <w:t> </w:t>
      </w:r>
      <w:r>
        <w:rPr/>
        <w:t>本集团的子公司中讯设计院是一家于</w:t>
      </w:r>
      <w:r>
        <w:rPr>
          <w:spacing w:val="-50"/>
        </w:rPr>
        <w:t> </w:t>
      </w:r>
      <w:r>
        <w:rPr/>
        <w:t>2008</w:t>
      </w:r>
      <w:r>
        <w:rPr>
          <w:spacing w:val="-50"/>
        </w:rPr>
        <w:t> </w:t>
      </w:r>
      <w:r>
        <w:rPr/>
        <w:t>年</w:t>
      </w:r>
      <w:r>
        <w:rPr>
          <w:spacing w:val="-50"/>
        </w:rPr>
        <w:t> </w:t>
      </w:r>
      <w:r>
        <w:rPr/>
        <w:t>9</w:t>
      </w:r>
      <w:r>
        <w:rPr>
          <w:spacing w:val="-50"/>
        </w:rPr>
        <w:t> </w:t>
      </w:r>
      <w:r>
        <w:rPr/>
        <w:t>月</w:t>
      </w:r>
      <w:r>
        <w:rPr>
          <w:spacing w:val="-50"/>
        </w:rPr>
        <w:t> </w:t>
      </w:r>
      <w:r>
        <w:rPr/>
        <w:t>27</w:t>
      </w:r>
      <w:r>
        <w:rPr>
          <w:spacing w:val="-50"/>
        </w:rPr>
        <w:t> </w:t>
      </w:r>
      <w:r>
        <w:rPr/>
        <w:t>日完成公司制改制后设立的企业，根据企业改制的相关规定，</w:t>
      </w:r>
      <w:r>
        <w:rPr/>
        <w:t> 中讯设计院在改制过程中的资产评估增值被计入其改制后公司的所有者权益。本公司根据持股比例计算了该资产</w:t>
      </w:r>
      <w:r>
        <w:rPr>
          <w:spacing w:val="2"/>
        </w:rPr>
        <w:t> </w:t>
      </w:r>
      <w:r>
        <w:rPr/>
        <w:t>评估增值对本集团资本公积的影响。</w:t>
      </w:r>
    </w:p>
    <w:p>
      <w:pPr>
        <w:spacing w:line="240" w:lineRule="auto" w:before="10"/>
        <w:rPr>
          <w:rFonts w:ascii="宋体" w:hAnsi="宋体" w:cs="宋体" w:eastAsia="宋体" w:hint="default"/>
          <w:sz w:val="13"/>
          <w:szCs w:val="13"/>
        </w:rPr>
      </w:pPr>
    </w:p>
    <w:p>
      <w:pPr>
        <w:pStyle w:val="BodyText"/>
        <w:spacing w:line="285" w:lineRule="auto"/>
        <w:ind w:left="793" w:right="87" w:hanging="340"/>
        <w:jc w:val="left"/>
      </w:pPr>
      <w:r>
        <w:rPr>
          <w:spacing w:val="-1"/>
          <w:w w:val="73"/>
        </w:rPr>
        <w:t>(d)</w:t>
      </w:r>
      <w:r>
        <w:rPr>
          <w:spacing w:val="18"/>
          <w:w w:val="73"/>
        </w:rPr>
        <w:t> </w:t>
      </w:r>
      <w:r>
        <w:rPr>
          <w:spacing w:val="3"/>
        </w:rPr>
        <w:t>联通红筹公司及其子公司网通红筹公司授予员工的可行权日在</w:t>
      </w:r>
      <w:r>
        <w:rPr>
          <w:spacing w:val="-41"/>
        </w:rPr>
        <w:t> </w:t>
      </w:r>
      <w:r>
        <w:rPr>
          <w:spacing w:val="-1"/>
          <w:w w:val="111"/>
        </w:rPr>
        <w:t>2007</w:t>
      </w:r>
      <w:r>
        <w:rPr>
          <w:spacing w:val="-52"/>
          <w:w w:val="111"/>
        </w:rPr>
        <w:t> </w:t>
      </w:r>
      <w:r>
        <w:rPr/>
        <w:t>年</w:t>
      </w:r>
      <w:r>
        <w:rPr>
          <w:spacing w:val="-41"/>
        </w:rPr>
        <w:t> </w:t>
      </w:r>
      <w:r>
        <w:rPr>
          <w:w w:val="111"/>
        </w:rPr>
        <w:t>1</w:t>
      </w:r>
      <w:r>
        <w:rPr>
          <w:spacing w:val="-52"/>
          <w:w w:val="111"/>
        </w:rPr>
        <w:t> </w:t>
      </w:r>
      <w:r>
        <w:rPr/>
        <w:t>月</w:t>
      </w:r>
      <w:r>
        <w:rPr>
          <w:spacing w:val="-41"/>
        </w:rPr>
        <w:t> </w:t>
      </w:r>
      <w:r>
        <w:rPr>
          <w:w w:val="111"/>
        </w:rPr>
        <w:t>1</w:t>
      </w:r>
      <w:r>
        <w:rPr>
          <w:spacing w:val="-52"/>
          <w:w w:val="111"/>
        </w:rPr>
        <w:t> </w:t>
      </w:r>
      <w:r>
        <w:rPr>
          <w:spacing w:val="3"/>
        </w:rPr>
        <w:t>日后的股份期权的公允价值于等待</w:t>
      </w:r>
      <w:r>
        <w:rPr/>
        <w:t> 期内确认相应的费用。</w:t>
      </w:r>
    </w:p>
    <w:p>
      <w:pPr>
        <w:spacing w:line="240" w:lineRule="auto" w:before="10"/>
        <w:rPr>
          <w:rFonts w:ascii="宋体" w:hAnsi="宋体" w:cs="宋体" w:eastAsia="宋体" w:hint="default"/>
          <w:sz w:val="13"/>
          <w:szCs w:val="13"/>
        </w:rPr>
      </w:pPr>
    </w:p>
    <w:p>
      <w:pPr>
        <w:pStyle w:val="BodyText"/>
        <w:spacing w:line="240" w:lineRule="auto"/>
        <w:ind w:left="453" w:right="87"/>
        <w:jc w:val="left"/>
      </w:pPr>
      <w:r>
        <w:rPr>
          <w:w w:val="55"/>
        </w:rPr>
        <w:t>(</w:t>
      </w:r>
      <w:r>
        <w:rPr>
          <w:spacing w:val="-1"/>
          <w:w w:val="111"/>
        </w:rPr>
        <w:t>e</w:t>
      </w:r>
      <w:r>
        <w:rPr>
          <w:w w:val="55"/>
        </w:rPr>
        <w:t>)</w:t>
      </w:r>
      <w:r>
        <w:rPr/>
        <w:t> </w:t>
      </w:r>
      <w:r>
        <w:rPr>
          <w:spacing w:val="-40"/>
        </w:rPr>
        <w:t> </w:t>
      </w:r>
      <w:r>
        <w:rPr/>
        <w:t>于</w:t>
      </w:r>
      <w:r>
        <w:rPr>
          <w:spacing w:val="-45"/>
        </w:rPr>
        <w:t> </w:t>
      </w:r>
      <w:r>
        <w:rPr>
          <w:spacing w:val="-1"/>
          <w:w w:val="111"/>
        </w:rPr>
        <w:t>200</w:t>
      </w:r>
      <w:r>
        <w:rPr>
          <w:w w:val="111"/>
        </w:rPr>
        <w:t>9</w:t>
      </w:r>
      <w:r>
        <w:rPr>
          <w:spacing w:val="-45"/>
        </w:rPr>
        <w:t> </w:t>
      </w:r>
      <w:r>
        <w:rPr/>
        <w:t>年</w:t>
      </w:r>
      <w:r>
        <w:rPr>
          <w:spacing w:val="-45"/>
        </w:rPr>
        <w:t> </w:t>
      </w:r>
      <w:r>
        <w:rPr>
          <w:spacing w:val="-1"/>
          <w:w w:val="111"/>
        </w:rPr>
        <w:t>1</w:t>
      </w:r>
      <w:r>
        <w:rPr>
          <w:w w:val="111"/>
        </w:rPr>
        <w:t>0</w:t>
      </w:r>
      <w:r>
        <w:rPr>
          <w:spacing w:val="-45"/>
        </w:rPr>
        <w:t> </w:t>
      </w:r>
      <w:r>
        <w:rPr/>
        <w:t>月</w:t>
      </w:r>
      <w:r>
        <w:rPr>
          <w:spacing w:val="-45"/>
        </w:rPr>
        <w:t> </w:t>
      </w:r>
      <w:r>
        <w:rPr>
          <w:spacing w:val="-1"/>
          <w:w w:val="111"/>
        </w:rPr>
        <w:t>2</w:t>
      </w:r>
      <w:r>
        <w:rPr>
          <w:w w:val="111"/>
        </w:rPr>
        <w:t>1</w:t>
      </w:r>
      <w:r>
        <w:rPr>
          <w:spacing w:val="-45"/>
        </w:rPr>
        <w:t> </w:t>
      </w:r>
      <w:r>
        <w:rPr/>
        <w:t>日</w:t>
      </w:r>
      <w:r>
        <w:rPr>
          <w:spacing w:val="1"/>
        </w:rPr>
        <w:t>，本公司所属子公司联通红筹公司通过向西班牙电信新发行</w:t>
      </w:r>
      <w:r>
        <w:rPr/>
        <w:t>约</w:t>
      </w:r>
      <w:r>
        <w:rPr>
          <w:spacing w:val="-45"/>
        </w:rPr>
        <w:t> </w:t>
      </w:r>
      <w:r>
        <w:rPr>
          <w:spacing w:val="-1"/>
          <w:w w:val="111"/>
        </w:rPr>
        <w:t>6</w:t>
      </w:r>
      <w:r>
        <w:rPr>
          <w:w w:val="55"/>
        </w:rPr>
        <w:t>.</w:t>
      </w:r>
      <w:r>
        <w:rPr>
          <w:spacing w:val="-1"/>
          <w:w w:val="111"/>
        </w:rPr>
        <w:t>9</w:t>
      </w:r>
      <w:r>
        <w:rPr>
          <w:w w:val="111"/>
        </w:rPr>
        <w:t>4</w:t>
      </w:r>
      <w:r>
        <w:rPr>
          <w:spacing w:val="-45"/>
        </w:rPr>
        <w:t> </w:t>
      </w:r>
      <w:r>
        <w:rPr>
          <w:spacing w:val="1"/>
        </w:rPr>
        <w:t>亿股股份并购买西班牙</w:t>
      </w:r>
      <w:r>
        <w:rPr/>
      </w:r>
    </w:p>
    <w:p>
      <w:pPr>
        <w:pStyle w:val="BodyText"/>
        <w:spacing w:line="240" w:lineRule="auto" w:before="44"/>
        <w:ind w:left="793" w:right="87"/>
        <w:jc w:val="left"/>
      </w:pPr>
      <w:r>
        <w:rPr>
          <w:spacing w:val="1"/>
        </w:rPr>
        <w:t>电信的</w:t>
      </w:r>
      <w:r>
        <w:rPr/>
        <w:t>约</w:t>
      </w:r>
      <w:r>
        <w:rPr>
          <w:spacing w:val="-45"/>
        </w:rPr>
        <w:t> </w:t>
      </w:r>
      <w:r>
        <w:rPr>
          <w:spacing w:val="-1"/>
          <w:w w:val="111"/>
        </w:rPr>
        <w:t>0</w:t>
      </w:r>
      <w:r>
        <w:rPr>
          <w:w w:val="55"/>
        </w:rPr>
        <w:t>.</w:t>
      </w:r>
      <w:r>
        <w:rPr>
          <w:spacing w:val="-1"/>
          <w:w w:val="111"/>
        </w:rPr>
        <w:t>4</w:t>
      </w:r>
      <w:r>
        <w:rPr>
          <w:w w:val="111"/>
        </w:rPr>
        <w:t>1</w:t>
      </w:r>
      <w:r>
        <w:rPr>
          <w:spacing w:val="-45"/>
        </w:rPr>
        <w:t> </w:t>
      </w:r>
      <w:r>
        <w:rPr>
          <w:spacing w:val="1"/>
        </w:rPr>
        <w:t>亿股股份完成了与西班牙电信的相互投</w:t>
      </w:r>
      <w:r>
        <w:rPr/>
        <w:t>资</w:t>
      </w:r>
      <w:r>
        <w:rPr>
          <w:spacing w:val="1"/>
        </w:rPr>
        <w:t>。为完成该交易联通红筹公司所新发行股份的公允价值约</w:t>
      </w:r>
      <w:r>
        <w:rPr/>
      </w:r>
    </w:p>
    <w:p>
      <w:pPr>
        <w:pStyle w:val="BodyText"/>
        <w:spacing w:line="285" w:lineRule="auto" w:before="44"/>
        <w:ind w:left="793" w:right="87"/>
        <w:jc w:val="left"/>
      </w:pPr>
      <w:r>
        <w:rPr>
          <w:spacing w:val="2"/>
        </w:rPr>
        <w:t>人民币</w:t>
      </w:r>
      <w:r>
        <w:rPr>
          <w:spacing w:val="-30"/>
        </w:rPr>
        <w:t> </w:t>
      </w:r>
      <w:r>
        <w:rPr>
          <w:spacing w:val="-1"/>
          <w:w w:val="99"/>
        </w:rPr>
        <w:t>67.12</w:t>
      </w:r>
      <w:r>
        <w:rPr>
          <w:spacing w:val="-30"/>
          <w:w w:val="99"/>
        </w:rPr>
        <w:t> </w:t>
      </w:r>
      <w:r>
        <w:rPr>
          <w:spacing w:val="2"/>
        </w:rPr>
        <w:t>亿元，分别增加了联通红筹公司的股本和资本溢价。本公司根据持股比例计算了该子公司发行股份</w:t>
      </w:r>
      <w:r>
        <w:rPr>
          <w:spacing w:val="-83"/>
        </w:rPr>
        <w:t> </w:t>
      </w:r>
      <w:r>
        <w:rPr>
          <w:spacing w:val="-83"/>
        </w:rPr>
      </w:r>
      <w:r>
        <w:rPr/>
        <w:t>对本集团资本公积的影响。</w:t>
      </w:r>
    </w:p>
    <w:p>
      <w:pPr>
        <w:spacing w:after="0" w:line="285" w:lineRule="auto"/>
        <w:jc w:val="left"/>
        <w:sectPr>
          <w:footerReference w:type="even" r:id="rId316"/>
          <w:footerReference w:type="default" r:id="rId317"/>
          <w:pgSz w:w="11910" w:h="16160"/>
          <w:pgMar w:footer="320" w:header="1200" w:top="2120" w:bottom="520" w:left="680" w:right="1280"/>
          <w:pgNumType w:start="162"/>
        </w:sectPr>
      </w:pPr>
    </w:p>
    <w:p>
      <w:pPr>
        <w:spacing w:line="240" w:lineRule="auto" w:before="3"/>
        <w:rPr>
          <w:rFonts w:ascii="宋体" w:hAnsi="宋体" w:cs="宋体" w:eastAsia="宋体" w:hint="default"/>
          <w:sz w:val="14"/>
          <w:szCs w:val="14"/>
        </w:rPr>
      </w:pPr>
    </w:p>
    <w:p>
      <w:pPr>
        <w:pStyle w:val="BodyText"/>
        <w:spacing w:line="480" w:lineRule="auto" w:before="31"/>
        <w:ind w:left="494" w:right="7274" w:hanging="341"/>
        <w:jc w:val="left"/>
      </w:pPr>
      <w:r>
        <w:rPr/>
        <w:t>31、资本公积（续）</w:t>
      </w:r>
      <w:r>
        <w:rPr>
          <w:spacing w:val="-71"/>
        </w:rPr>
        <w:t> </w:t>
      </w:r>
      <w:r>
        <w:rPr/>
        <w:t>注释（续）：</w:t>
      </w:r>
    </w:p>
    <w:p>
      <w:pPr>
        <w:pStyle w:val="BodyText"/>
        <w:spacing w:line="285" w:lineRule="auto" w:before="34"/>
        <w:ind w:left="834" w:right="105" w:hanging="341"/>
        <w:jc w:val="both"/>
      </w:pPr>
      <w:r>
        <w:rPr/>
        <w:t>(f)</w:t>
      </w:r>
      <w:r>
        <w:rPr>
          <w:spacing w:val="25"/>
        </w:rPr>
        <w:t> </w:t>
      </w:r>
      <w:r>
        <w:rPr>
          <w:spacing w:val="2"/>
        </w:rPr>
        <w:t>联通红筹公司的部分被授予股份期权的员工行使股份期权，从而增加联通红筹公司的股本及股本溢价，本公司根</w:t>
      </w:r>
      <w:r>
        <w:rPr>
          <w:spacing w:val="3"/>
        </w:rPr>
        <w:t> </w:t>
      </w:r>
      <w:r>
        <w:rPr/>
        <w:t>据对联通红筹公司的持股比例计算了对本集团资本公积的影响。</w:t>
      </w:r>
    </w:p>
    <w:p>
      <w:pPr>
        <w:spacing w:line="240" w:lineRule="auto" w:before="10"/>
        <w:rPr>
          <w:rFonts w:ascii="宋体" w:hAnsi="宋体" w:cs="宋体" w:eastAsia="宋体" w:hint="default"/>
          <w:sz w:val="13"/>
          <w:szCs w:val="13"/>
        </w:rPr>
      </w:pPr>
    </w:p>
    <w:p>
      <w:pPr>
        <w:pStyle w:val="BodyText"/>
        <w:spacing w:line="240" w:lineRule="auto"/>
        <w:ind w:left="494" w:right="0"/>
        <w:jc w:val="left"/>
      </w:pPr>
      <w:r>
        <w:rPr>
          <w:w w:val="55"/>
        </w:rPr>
        <w:t>(</w:t>
      </w:r>
      <w:r>
        <w:rPr>
          <w:spacing w:val="-1"/>
          <w:w w:val="111"/>
        </w:rPr>
        <w:t>g</w:t>
      </w:r>
      <w:r>
        <w:rPr>
          <w:w w:val="55"/>
        </w:rPr>
        <w:t>)</w:t>
      </w:r>
      <w:r>
        <w:rPr/>
        <w:t> </w:t>
      </w:r>
      <w:r>
        <w:rPr>
          <w:spacing w:val="-40"/>
        </w:rPr>
        <w:t> </w:t>
      </w:r>
      <w:r>
        <w:rPr/>
        <w:t>于</w:t>
      </w:r>
      <w:r>
        <w:rPr>
          <w:spacing w:val="-44"/>
        </w:rPr>
        <w:t> </w:t>
      </w:r>
      <w:r>
        <w:rPr>
          <w:spacing w:val="-1"/>
          <w:w w:val="111"/>
        </w:rPr>
        <w:t>200</w:t>
      </w:r>
      <w:r>
        <w:rPr>
          <w:w w:val="111"/>
        </w:rPr>
        <w:t>7</w:t>
      </w:r>
      <w:r>
        <w:rPr>
          <w:spacing w:val="-45"/>
        </w:rPr>
        <w:t> </w:t>
      </w:r>
      <w:r>
        <w:rPr>
          <w:spacing w:val="3"/>
        </w:rPr>
        <w:t>年</w:t>
      </w:r>
      <w:r>
        <w:rPr/>
        <w:t>度</w:t>
      </w:r>
      <w:r>
        <w:rPr>
          <w:spacing w:val="3"/>
        </w:rPr>
        <w:t>，联通运营公司根据董事会决</w:t>
      </w:r>
      <w:r>
        <w:rPr/>
        <w:t>议</w:t>
      </w:r>
      <w:r>
        <w:rPr>
          <w:spacing w:val="3"/>
        </w:rPr>
        <w:t>，以其累计未分配利润中的约人民</w:t>
      </w:r>
      <w:r>
        <w:rPr/>
        <w:t>币</w:t>
      </w:r>
      <w:r>
        <w:rPr>
          <w:spacing w:val="-45"/>
        </w:rPr>
        <w:t> </w:t>
      </w:r>
      <w:r>
        <w:rPr>
          <w:spacing w:val="-1"/>
          <w:w w:val="111"/>
        </w:rPr>
        <w:t>17</w:t>
      </w:r>
      <w:r>
        <w:rPr>
          <w:w w:val="111"/>
        </w:rPr>
        <w:t>3</w:t>
      </w:r>
      <w:r>
        <w:rPr>
          <w:spacing w:val="-45"/>
        </w:rPr>
        <w:t> </w:t>
      </w:r>
      <w:r>
        <w:rPr>
          <w:spacing w:val="3"/>
        </w:rPr>
        <w:t>亿元未分配利润转增注册</w:t>
      </w:r>
      <w:r>
        <w:rPr/>
      </w:r>
    </w:p>
    <w:p>
      <w:pPr>
        <w:pStyle w:val="BodyText"/>
        <w:spacing w:line="285" w:lineRule="auto" w:before="44"/>
        <w:ind w:left="834" w:right="105"/>
        <w:jc w:val="both"/>
      </w:pPr>
      <w:r>
        <w:rPr/>
        <w:t>资本。此外，本公司的子公司中讯设计院是一家于</w:t>
      </w:r>
      <w:r>
        <w:rPr>
          <w:spacing w:val="-31"/>
        </w:rPr>
        <w:t> </w:t>
      </w:r>
      <w:r>
        <w:rPr/>
        <w:t>2008</w:t>
      </w:r>
      <w:r>
        <w:rPr>
          <w:spacing w:val="-31"/>
        </w:rPr>
        <w:t> </w:t>
      </w:r>
      <w:r>
        <w:rPr/>
        <w:t>年</w:t>
      </w:r>
      <w:r>
        <w:rPr>
          <w:spacing w:val="-31"/>
        </w:rPr>
        <w:t> </w:t>
      </w:r>
      <w:r>
        <w:rPr/>
        <w:t>9</w:t>
      </w:r>
      <w:r>
        <w:rPr>
          <w:spacing w:val="-31"/>
        </w:rPr>
        <w:t> </w:t>
      </w:r>
      <w:r>
        <w:rPr/>
        <w:t>月</w:t>
      </w:r>
      <w:r>
        <w:rPr>
          <w:spacing w:val="-31"/>
        </w:rPr>
        <w:t> </w:t>
      </w:r>
      <w:r>
        <w:rPr/>
        <w:t>27</w:t>
      </w:r>
      <w:r>
        <w:rPr>
          <w:spacing w:val="-31"/>
        </w:rPr>
        <w:t> </w:t>
      </w:r>
      <w:r>
        <w:rPr/>
        <w:t>日完成公司制改制后设立的企业，根据相关企</w:t>
      </w:r>
      <w:r>
        <w:rPr>
          <w:spacing w:val="-75"/>
        </w:rPr>
        <w:t> </w:t>
      </w:r>
      <w:r>
        <w:rPr>
          <w:spacing w:val="-75"/>
        </w:rPr>
      </w:r>
      <w:r>
        <w:rPr>
          <w:spacing w:val="2"/>
        </w:rPr>
        <w:t>业改制的规定，中讯设计院截至改制日止的未分配利润被全部转入资本公积项下。本公司根据持股比例计算了上</w:t>
      </w:r>
      <w:r>
        <w:rPr>
          <w:spacing w:val="-49"/>
        </w:rPr>
        <w:t> </w:t>
      </w:r>
      <w:r>
        <w:rPr>
          <w:spacing w:val="-49"/>
        </w:rPr>
      </w:r>
      <w:r>
        <w:rPr/>
        <w:t>述事项对本集团资本公积的影响。</w:t>
      </w:r>
    </w:p>
    <w:p>
      <w:pPr>
        <w:spacing w:line="240" w:lineRule="auto" w:before="10"/>
        <w:rPr>
          <w:rFonts w:ascii="宋体" w:hAnsi="宋体" w:cs="宋体" w:eastAsia="宋体" w:hint="default"/>
          <w:sz w:val="13"/>
          <w:szCs w:val="13"/>
        </w:rPr>
      </w:pPr>
    </w:p>
    <w:p>
      <w:pPr>
        <w:pStyle w:val="BodyText"/>
        <w:spacing w:line="285" w:lineRule="auto"/>
        <w:ind w:left="834" w:right="109" w:hanging="340"/>
        <w:jc w:val="both"/>
      </w:pPr>
      <w:r>
        <w:rPr>
          <w:spacing w:val="-1"/>
          <w:w w:val="73"/>
        </w:rPr>
        <w:t>(h)</w:t>
      </w:r>
      <w:r>
        <w:rPr>
          <w:spacing w:val="17"/>
          <w:w w:val="73"/>
        </w:rPr>
        <w:t> </w:t>
      </w:r>
      <w:r>
        <w:rPr/>
        <w:t>如附注二</w:t>
      </w:r>
      <w:r>
        <w:rPr>
          <w:spacing w:val="-42"/>
        </w:rPr>
        <w:t> </w:t>
      </w:r>
      <w:r>
        <w:rPr>
          <w:spacing w:val="-1"/>
          <w:w w:val="73"/>
        </w:rPr>
        <w:t>(1)</w:t>
      </w:r>
      <w:r>
        <w:rPr>
          <w:spacing w:val="-18"/>
          <w:w w:val="73"/>
        </w:rPr>
        <w:t> </w:t>
      </w:r>
      <w:r>
        <w:rPr/>
        <w:t>所述，于</w:t>
      </w:r>
      <w:r>
        <w:rPr>
          <w:spacing w:val="-42"/>
        </w:rPr>
        <w:t> </w:t>
      </w:r>
      <w:r>
        <w:rPr>
          <w:spacing w:val="-1"/>
          <w:w w:val="111"/>
        </w:rPr>
        <w:t>2008</w:t>
      </w:r>
      <w:r>
        <w:rPr>
          <w:spacing w:val="-52"/>
          <w:w w:val="111"/>
        </w:rPr>
        <w:t> </w:t>
      </w:r>
      <w:r>
        <w:rPr/>
        <w:t>年</w:t>
      </w:r>
      <w:r>
        <w:rPr>
          <w:spacing w:val="-42"/>
        </w:rPr>
        <w:t> </w:t>
      </w:r>
      <w:r>
        <w:rPr>
          <w:spacing w:val="-1"/>
          <w:w w:val="111"/>
        </w:rPr>
        <w:t>10</w:t>
      </w:r>
      <w:r>
        <w:rPr>
          <w:spacing w:val="-52"/>
          <w:w w:val="111"/>
        </w:rPr>
        <w:t> </w:t>
      </w:r>
      <w:r>
        <w:rPr/>
        <w:t>月</w:t>
      </w:r>
      <w:r>
        <w:rPr>
          <w:spacing w:val="-42"/>
        </w:rPr>
        <w:t> </w:t>
      </w:r>
      <w:r>
        <w:rPr>
          <w:spacing w:val="-1"/>
          <w:w w:val="111"/>
        </w:rPr>
        <w:t>15</w:t>
      </w:r>
      <w:r>
        <w:rPr>
          <w:spacing w:val="-52"/>
          <w:w w:val="111"/>
        </w:rPr>
        <w:t> </w:t>
      </w:r>
      <w:r>
        <w:rPr/>
        <w:t>日，联通红筹公司与网通红筹公司通过换股方式完成了两家公司的合并，</w:t>
      </w:r>
      <w:r>
        <w:rPr/>
        <w:t> </w:t>
      </w:r>
      <w:r>
        <w:rPr>
          <w:spacing w:val="1"/>
        </w:rPr>
        <w:t>从而导致本公司通过联通</w:t>
      </w:r>
      <w:r>
        <w:rPr/>
        <w:t> </w:t>
      </w:r>
      <w:r>
        <w:rPr>
          <w:w w:val="103"/>
        </w:rPr>
        <w:t>BVI</w:t>
      </w:r>
      <w:r>
        <w:rPr>
          <w:spacing w:val="-66"/>
          <w:w w:val="103"/>
        </w:rPr>
        <w:t> </w:t>
      </w:r>
      <w:r>
        <w:rPr>
          <w:spacing w:val="1"/>
        </w:rPr>
        <w:t>公司对联通红筹公司的持股比例下降。该同一控制下企业合并增加的本集团资本公</w:t>
      </w:r>
      <w:r>
        <w:rPr>
          <w:spacing w:val="2"/>
        </w:rPr>
        <w:t> </w:t>
      </w:r>
      <w:r>
        <w:rPr/>
        <w:t>积与本公司对联通红筹公司持股比例下降的因素互抵后减少本集团资本公积约人民币</w:t>
      </w:r>
      <w:r>
        <w:rPr>
          <w:spacing w:val="-46"/>
        </w:rPr>
        <w:t> </w:t>
      </w:r>
      <w:r>
        <w:rPr/>
        <w:t>61.18</w:t>
      </w:r>
      <w:r>
        <w:rPr>
          <w:spacing w:val="-47"/>
        </w:rPr>
        <w:t> </w:t>
      </w:r>
      <w:r>
        <w:rPr/>
        <w:t>亿元。</w:t>
      </w:r>
    </w:p>
    <w:p>
      <w:pPr>
        <w:spacing w:line="240" w:lineRule="auto" w:before="10"/>
        <w:rPr>
          <w:rFonts w:ascii="宋体" w:hAnsi="宋体" w:cs="宋体" w:eastAsia="宋体" w:hint="default"/>
          <w:sz w:val="13"/>
          <w:szCs w:val="13"/>
        </w:rPr>
      </w:pPr>
    </w:p>
    <w:p>
      <w:pPr>
        <w:pStyle w:val="BodyText"/>
        <w:spacing w:line="285" w:lineRule="auto"/>
        <w:ind w:left="834" w:right="109"/>
        <w:jc w:val="both"/>
      </w:pPr>
      <w:r>
        <w:rPr>
          <w:w w:val="105"/>
        </w:rPr>
        <w:t>由于本公司子公司联通红筹公司分别于</w:t>
      </w:r>
      <w:r>
        <w:rPr>
          <w:spacing w:val="-66"/>
          <w:w w:val="105"/>
        </w:rPr>
        <w:t> </w:t>
      </w:r>
      <w:r>
        <w:rPr>
          <w:w w:val="105"/>
        </w:rPr>
        <w:t>2009</w:t>
      </w:r>
      <w:r>
        <w:rPr>
          <w:spacing w:val="-66"/>
          <w:w w:val="105"/>
        </w:rPr>
        <w:t> </w:t>
      </w:r>
      <w:r>
        <w:rPr>
          <w:w w:val="105"/>
        </w:rPr>
        <w:t>年</w:t>
      </w:r>
      <w:r>
        <w:rPr>
          <w:spacing w:val="-66"/>
          <w:w w:val="105"/>
        </w:rPr>
        <w:t> </w:t>
      </w:r>
      <w:r>
        <w:rPr>
          <w:w w:val="105"/>
        </w:rPr>
        <w:t>10</w:t>
      </w:r>
      <w:r>
        <w:rPr>
          <w:spacing w:val="-66"/>
          <w:w w:val="105"/>
        </w:rPr>
        <w:t> </w:t>
      </w:r>
      <w:r>
        <w:rPr>
          <w:w w:val="105"/>
        </w:rPr>
        <w:t>月</w:t>
      </w:r>
      <w:r>
        <w:rPr>
          <w:spacing w:val="-66"/>
          <w:w w:val="105"/>
        </w:rPr>
        <w:t> </w:t>
      </w:r>
      <w:r>
        <w:rPr>
          <w:w w:val="105"/>
        </w:rPr>
        <w:t>21</w:t>
      </w:r>
      <w:r>
        <w:rPr>
          <w:spacing w:val="-66"/>
          <w:w w:val="105"/>
        </w:rPr>
        <w:t> </w:t>
      </w:r>
      <w:r>
        <w:rPr>
          <w:w w:val="105"/>
        </w:rPr>
        <w:t>日和</w:t>
      </w:r>
      <w:r>
        <w:rPr>
          <w:spacing w:val="-66"/>
          <w:w w:val="105"/>
        </w:rPr>
        <w:t> </w:t>
      </w:r>
      <w:r>
        <w:rPr>
          <w:w w:val="105"/>
        </w:rPr>
        <w:t>2009</w:t>
      </w:r>
      <w:r>
        <w:rPr>
          <w:spacing w:val="-66"/>
          <w:w w:val="105"/>
        </w:rPr>
        <w:t> </w:t>
      </w:r>
      <w:r>
        <w:rPr>
          <w:w w:val="105"/>
        </w:rPr>
        <w:t>年</w:t>
      </w:r>
      <w:r>
        <w:rPr>
          <w:spacing w:val="-66"/>
          <w:w w:val="105"/>
        </w:rPr>
        <w:t> </w:t>
      </w:r>
      <w:r>
        <w:rPr>
          <w:w w:val="105"/>
        </w:rPr>
        <w:t>11</w:t>
      </w:r>
      <w:r>
        <w:rPr>
          <w:spacing w:val="-66"/>
          <w:w w:val="105"/>
        </w:rPr>
        <w:t> </w:t>
      </w:r>
      <w:r>
        <w:rPr>
          <w:w w:val="105"/>
        </w:rPr>
        <w:t>月</w:t>
      </w:r>
      <w:r>
        <w:rPr>
          <w:spacing w:val="-66"/>
          <w:w w:val="105"/>
        </w:rPr>
        <w:t> </w:t>
      </w:r>
      <w:r>
        <w:rPr>
          <w:w w:val="105"/>
        </w:rPr>
        <w:t>5</w:t>
      </w:r>
      <w:r>
        <w:rPr>
          <w:spacing w:val="-66"/>
          <w:w w:val="105"/>
        </w:rPr>
        <w:t> </w:t>
      </w:r>
      <w:r>
        <w:rPr>
          <w:w w:val="105"/>
        </w:rPr>
        <w:t>日完成了与西班牙电信相互投资和</w:t>
      </w:r>
      <w:r>
        <w:rPr>
          <w:spacing w:val="2"/>
        </w:rPr>
        <w:t> </w:t>
      </w:r>
      <w:r>
        <w:rPr/>
        <w:t>回购</w:t>
      </w:r>
      <w:r>
        <w:rPr>
          <w:spacing w:val="-37"/>
        </w:rPr>
        <w:t> </w:t>
      </w:r>
      <w:r>
        <w:rPr>
          <w:w w:val="118"/>
        </w:rPr>
        <w:t>SKT</w:t>
      </w:r>
      <w:r>
        <w:rPr>
          <w:spacing w:val="-54"/>
          <w:w w:val="118"/>
        </w:rPr>
        <w:t> </w:t>
      </w:r>
      <w:r>
        <w:rPr/>
        <w:t>持有的联通红筹公司股份的交易导致联通</w:t>
      </w:r>
      <w:r>
        <w:rPr>
          <w:spacing w:val="-37"/>
        </w:rPr>
        <w:t> </w:t>
      </w:r>
      <w:r>
        <w:rPr>
          <w:w w:val="103"/>
        </w:rPr>
        <w:t>BVI</w:t>
      </w:r>
      <w:r>
        <w:rPr>
          <w:spacing w:val="-40"/>
          <w:w w:val="103"/>
        </w:rPr>
        <w:t> </w:t>
      </w:r>
      <w:r>
        <w:rPr/>
        <w:t>公司对联通红筹公司的持股比例增加，使本集团资本公积</w:t>
      </w:r>
      <w:r>
        <w:rPr>
          <w:spacing w:val="-82"/>
        </w:rPr>
        <w:t> </w:t>
      </w:r>
      <w:r>
        <w:rPr>
          <w:spacing w:val="-82"/>
        </w:rPr>
      </w:r>
      <w:r>
        <w:rPr/>
        <w:t>增加约人民币</w:t>
      </w:r>
      <w:r>
        <w:rPr>
          <w:spacing w:val="-51"/>
        </w:rPr>
        <w:t> </w:t>
      </w:r>
      <w:r>
        <w:rPr/>
        <w:t>6.22</w:t>
      </w:r>
      <w:r>
        <w:rPr>
          <w:spacing w:val="-52"/>
        </w:rPr>
        <w:t> </w:t>
      </w:r>
      <w:r>
        <w:rPr/>
        <w:t>亿元。</w:t>
      </w:r>
    </w:p>
    <w:p>
      <w:pPr>
        <w:pStyle w:val="BodyText"/>
        <w:spacing w:line="450" w:lineRule="exact" w:before="30"/>
        <w:ind w:left="834" w:right="105"/>
        <w:jc w:val="both"/>
      </w:pPr>
      <w:r>
        <w:rPr/>
        <w:t>此外，联通红筹公司的部分被授予股份期权的员工行使股份期权导致联通</w:t>
      </w:r>
      <w:r>
        <w:rPr>
          <w:spacing w:val="-65"/>
        </w:rPr>
        <w:t> </w:t>
      </w:r>
      <w:r>
        <w:rPr/>
        <w:t>BVI</w:t>
      </w:r>
      <w:r>
        <w:rPr>
          <w:spacing w:val="-65"/>
        </w:rPr>
        <w:t> </w:t>
      </w:r>
      <w:r>
        <w:rPr/>
        <w:t>公司对联通红筹公司持股比例下降。</w:t>
      </w:r>
      <w:r>
        <w:rPr/>
        <w:t> </w:t>
      </w:r>
      <w:r>
        <w:rPr>
          <w:spacing w:val="-1"/>
          <w:w w:val="111"/>
        </w:rPr>
        <w:t>2017</w:t>
      </w:r>
      <w:r>
        <w:rPr>
          <w:spacing w:val="-57"/>
          <w:w w:val="111"/>
        </w:rPr>
        <w:t> </w:t>
      </w:r>
      <w:r>
        <w:rPr/>
        <w:t>年</w:t>
      </w:r>
      <w:r>
        <w:rPr>
          <w:spacing w:val="-47"/>
        </w:rPr>
        <w:t> </w:t>
      </w:r>
      <w:r>
        <w:rPr>
          <w:spacing w:val="-1"/>
          <w:w w:val="111"/>
        </w:rPr>
        <w:t>11</w:t>
      </w:r>
      <w:r>
        <w:rPr>
          <w:spacing w:val="-57"/>
          <w:w w:val="111"/>
        </w:rPr>
        <w:t> </w:t>
      </w:r>
      <w:r>
        <w:rPr>
          <w:spacing w:val="3"/>
        </w:rPr>
        <w:t>月，本公司通过联通</w:t>
      </w:r>
      <w:r>
        <w:rPr>
          <w:spacing w:val="-47"/>
        </w:rPr>
        <w:t> </w:t>
      </w:r>
      <w:r>
        <w:rPr>
          <w:w w:val="103"/>
        </w:rPr>
        <w:t>BVI</w:t>
      </w:r>
      <w:r>
        <w:rPr>
          <w:spacing w:val="-50"/>
          <w:w w:val="103"/>
        </w:rPr>
        <w:t> </w:t>
      </w:r>
      <w:r>
        <w:rPr>
          <w:spacing w:val="4"/>
        </w:rPr>
        <w:t>公司间接增持联通红筹公司股份</w:t>
      </w:r>
      <w:r>
        <w:rPr>
          <w:spacing w:val="-47"/>
        </w:rPr>
        <w:t> </w:t>
      </w:r>
      <w:r>
        <w:rPr>
          <w:spacing w:val="-1"/>
          <w:w w:val="116"/>
        </w:rPr>
        <w:t>10.60%</w:t>
      </w:r>
      <w:r>
        <w:rPr>
          <w:spacing w:val="-62"/>
          <w:w w:val="116"/>
        </w:rPr>
        <w:t> </w:t>
      </w:r>
      <w:r>
        <w:rPr>
          <w:spacing w:val="3"/>
        </w:rPr>
        <w:t>至持股</w:t>
      </w:r>
      <w:r>
        <w:rPr>
          <w:spacing w:val="-47"/>
        </w:rPr>
        <w:t> </w:t>
      </w:r>
      <w:r>
        <w:rPr>
          <w:spacing w:val="2"/>
          <w:w w:val="107"/>
        </w:rPr>
        <w:t>43.94%，出资额与联通红</w:t>
      </w:r>
      <w:r>
        <w:rPr>
          <w:w w:val="107"/>
        </w:rPr>
      </w:r>
    </w:p>
    <w:p>
      <w:pPr>
        <w:pStyle w:val="BodyText"/>
        <w:spacing w:line="215" w:lineRule="exact"/>
        <w:ind w:left="834" w:right="0"/>
        <w:jc w:val="both"/>
      </w:pPr>
      <w:r>
        <w:rPr/>
        <w:t>筹公司对应持股比例之差人民币</w:t>
      </w:r>
      <w:r>
        <w:rPr>
          <w:spacing w:val="-56"/>
        </w:rPr>
        <w:t> </w:t>
      </w:r>
      <w:r>
        <w:rPr/>
        <w:t>4,013,152,167</w:t>
      </w:r>
      <w:r>
        <w:rPr>
          <w:spacing w:val="-57"/>
        </w:rPr>
        <w:t> </w:t>
      </w:r>
      <w:r>
        <w:rPr/>
        <w:t>元，计入本集团资本公积。</w:t>
      </w:r>
    </w:p>
    <w:p>
      <w:pPr>
        <w:spacing w:line="240" w:lineRule="auto" w:before="5"/>
        <w:rPr>
          <w:rFonts w:ascii="宋体" w:hAnsi="宋体" w:cs="宋体" w:eastAsia="宋体" w:hint="default"/>
          <w:sz w:val="16"/>
          <w:szCs w:val="16"/>
        </w:rPr>
      </w:pPr>
    </w:p>
    <w:p>
      <w:pPr>
        <w:pStyle w:val="BodyText"/>
        <w:spacing w:line="285" w:lineRule="auto"/>
        <w:ind w:left="833" w:right="110" w:hanging="340"/>
        <w:jc w:val="both"/>
      </w:pPr>
      <w:r>
        <w:rPr>
          <w:w w:val="90"/>
        </w:rPr>
        <w:t>(i)</w:t>
      </w:r>
      <w:r>
        <w:rPr>
          <w:spacing w:val="44"/>
          <w:w w:val="90"/>
        </w:rPr>
        <w:t> </w:t>
      </w:r>
      <w:r>
        <w:rPr/>
        <w:t>于</w:t>
      </w:r>
      <w:r>
        <w:rPr>
          <w:spacing w:val="-44"/>
        </w:rPr>
        <w:t> </w:t>
      </w:r>
      <w:r>
        <w:rPr/>
        <w:t>2007</w:t>
      </w:r>
      <w:r>
        <w:rPr>
          <w:spacing w:val="-44"/>
        </w:rPr>
        <w:t> </w:t>
      </w:r>
      <w:r>
        <w:rPr>
          <w:spacing w:val="2"/>
        </w:rPr>
        <w:t>年，联通红筹公司向</w:t>
      </w:r>
      <w:r>
        <w:rPr>
          <w:spacing w:val="-44"/>
        </w:rPr>
        <w:t> </w:t>
      </w:r>
      <w:r>
        <w:rPr/>
        <w:t>SKT</w:t>
      </w:r>
      <w:r>
        <w:rPr>
          <w:spacing w:val="-44"/>
        </w:rPr>
        <w:t> </w:t>
      </w:r>
      <w:r>
        <w:rPr>
          <w:spacing w:val="2"/>
        </w:rPr>
        <w:t>发行的可转换债券已全部转换为联通红筹公司股份，根据换股后本公司对联通</w:t>
      </w:r>
      <w:r>
        <w:rPr>
          <w:spacing w:val="3"/>
        </w:rPr>
        <w:t> </w:t>
      </w:r>
      <w:r>
        <w:rPr>
          <w:spacing w:val="2"/>
        </w:rPr>
        <w:t>红筹公司的持股比例计算，增加本集团资本公积约人民币</w:t>
      </w:r>
      <w:r>
        <w:rPr/>
        <w:t> </w:t>
      </w:r>
      <w:r>
        <w:rPr>
          <w:spacing w:val="-1"/>
          <w:w w:val="99"/>
        </w:rPr>
        <w:t>31.17</w:t>
      </w:r>
      <w:r>
        <w:rPr>
          <w:spacing w:val="-58"/>
          <w:w w:val="99"/>
        </w:rPr>
        <w:t> </w:t>
      </w:r>
      <w:r>
        <w:rPr>
          <w:spacing w:val="2"/>
        </w:rPr>
        <w:t>亿元。此外，本公司所属子公司亿迅投资有限公</w:t>
      </w:r>
    </w:p>
    <w:p>
      <w:pPr>
        <w:pStyle w:val="BodyText"/>
        <w:spacing w:line="240" w:lineRule="auto" w:before="10"/>
        <w:ind w:left="833" w:right="0"/>
        <w:jc w:val="both"/>
      </w:pPr>
      <w:r>
        <w:rPr>
          <w:spacing w:val="2"/>
        </w:rPr>
        <w:t>司（发行人，已注销）于</w:t>
      </w:r>
      <w:r>
        <w:rPr>
          <w:spacing w:val="-27"/>
        </w:rPr>
        <w:t> </w:t>
      </w:r>
      <w:r>
        <w:rPr/>
        <w:t>2010</w:t>
      </w:r>
      <w:r>
        <w:rPr>
          <w:spacing w:val="-29"/>
        </w:rPr>
        <w:t> </w:t>
      </w:r>
      <w:r>
        <w:rPr/>
        <w:t>年</w:t>
      </w:r>
      <w:r>
        <w:rPr>
          <w:spacing w:val="-27"/>
        </w:rPr>
        <w:t> </w:t>
      </w:r>
      <w:r>
        <w:rPr/>
        <w:t>10</w:t>
      </w:r>
      <w:r>
        <w:rPr>
          <w:spacing w:val="-29"/>
        </w:rPr>
        <w:t> </w:t>
      </w:r>
      <w:r>
        <w:rPr/>
        <w:t>月</w:t>
      </w:r>
      <w:r>
        <w:rPr>
          <w:spacing w:val="-27"/>
        </w:rPr>
        <w:t> </w:t>
      </w:r>
      <w:r>
        <w:rPr/>
        <w:t>18</w:t>
      </w:r>
      <w:r>
        <w:rPr>
          <w:spacing w:val="-29"/>
        </w:rPr>
        <w:t> </w:t>
      </w:r>
      <w:r>
        <w:rPr>
          <w:spacing w:val="2"/>
        </w:rPr>
        <w:t>日完成了联通红筹公司可转换债券的发行，该可转换债券权益部分约</w:t>
      </w:r>
      <w:r>
        <w:rPr/>
      </w:r>
    </w:p>
    <w:p>
      <w:pPr>
        <w:pStyle w:val="BodyText"/>
        <w:spacing w:line="240" w:lineRule="auto" w:before="44"/>
        <w:ind w:left="833" w:right="0"/>
        <w:jc w:val="both"/>
      </w:pPr>
      <w:r>
        <w:rPr/>
        <w:t>人民币</w:t>
      </w:r>
      <w:r>
        <w:rPr>
          <w:spacing w:val="-51"/>
        </w:rPr>
        <w:t> </w:t>
      </w:r>
      <w:r>
        <w:rPr/>
        <w:t>5.72</w:t>
      </w:r>
      <w:r>
        <w:rPr>
          <w:spacing w:val="-52"/>
        </w:rPr>
        <w:t> </w:t>
      </w:r>
      <w:r>
        <w:rPr/>
        <w:t>亿元根据本公司的持股比例计算约人民币</w:t>
      </w:r>
      <w:r>
        <w:rPr>
          <w:spacing w:val="-51"/>
        </w:rPr>
        <w:t> </w:t>
      </w:r>
      <w:r>
        <w:rPr/>
        <w:t>1.94</w:t>
      </w:r>
      <w:r>
        <w:rPr>
          <w:spacing w:val="-52"/>
        </w:rPr>
        <w:t> </w:t>
      </w:r>
      <w:r>
        <w:rPr/>
        <w:t>亿元被反映在本集团资本公积项下。</w:t>
      </w:r>
    </w:p>
    <w:p>
      <w:pPr>
        <w:spacing w:line="240" w:lineRule="auto" w:before="5"/>
        <w:rPr>
          <w:rFonts w:ascii="宋体" w:hAnsi="宋体" w:cs="宋体" w:eastAsia="宋体" w:hint="default"/>
          <w:sz w:val="16"/>
          <w:szCs w:val="16"/>
        </w:rPr>
      </w:pPr>
    </w:p>
    <w:p>
      <w:pPr>
        <w:pStyle w:val="BodyText"/>
        <w:tabs>
          <w:tab w:pos="833" w:val="left" w:leader="none"/>
        </w:tabs>
        <w:spacing w:line="240" w:lineRule="auto"/>
        <w:ind w:left="493" w:right="0"/>
        <w:jc w:val="left"/>
      </w:pPr>
      <w:r>
        <w:rPr>
          <w:w w:val="50"/>
        </w:rPr>
        <w:t>(j)</w:t>
        <w:tab/>
      </w:r>
      <w:r>
        <w:rPr/>
        <w:t>2018</w:t>
      </w:r>
      <w:r>
        <w:rPr>
          <w:spacing w:val="-37"/>
        </w:rPr>
        <w:t> </w:t>
      </w:r>
      <w:r>
        <w:rPr/>
        <w:t>年，本公司实施了限制性股票激励计划并将当期通过股份支付获取的服务人民币</w:t>
      </w:r>
      <w:r>
        <w:rPr>
          <w:spacing w:val="-36"/>
        </w:rPr>
        <w:t> </w:t>
      </w:r>
      <w:r>
        <w:rPr/>
        <w:t>6.14</w:t>
      </w:r>
      <w:r>
        <w:rPr>
          <w:spacing w:val="-37"/>
        </w:rPr>
        <w:t> </w:t>
      </w:r>
      <w:r>
        <w:rPr/>
        <w:t>亿元计入资本公积。</w:t>
      </w:r>
    </w:p>
    <w:p>
      <w:pPr>
        <w:spacing w:line="240" w:lineRule="auto" w:before="5"/>
        <w:rPr>
          <w:rFonts w:ascii="宋体" w:hAnsi="宋体" w:cs="宋体" w:eastAsia="宋体" w:hint="default"/>
          <w:sz w:val="16"/>
          <w:szCs w:val="16"/>
        </w:rPr>
      </w:pPr>
    </w:p>
    <w:p>
      <w:pPr>
        <w:pStyle w:val="BodyText"/>
        <w:spacing w:line="285" w:lineRule="auto"/>
        <w:ind w:left="833" w:right="108" w:hanging="341"/>
        <w:jc w:val="both"/>
      </w:pPr>
      <w:r>
        <w:rPr/>
        <w:t>(k) 2018</w:t>
      </w:r>
      <w:r>
        <w:rPr>
          <w:spacing w:val="-74"/>
        </w:rPr>
        <w:t> </w:t>
      </w:r>
      <w:r>
        <w:rPr/>
        <w:t>年，本集团的若干联营企业将因其他股东增资而导致的所有者权益变动计入资本公积项下，本公司根据持股</w:t>
      </w:r>
      <w:r>
        <w:rPr>
          <w:spacing w:val="1"/>
        </w:rPr>
        <w:t> </w:t>
      </w:r>
      <w:r>
        <w:rPr/>
        <w:t>比例计算了上述事项对本集团资本公积的影响。</w:t>
      </w:r>
    </w:p>
    <w:p>
      <w:pPr>
        <w:spacing w:line="240" w:lineRule="auto" w:before="5"/>
        <w:rPr>
          <w:rFonts w:ascii="宋体" w:hAnsi="宋体" w:cs="宋体" w:eastAsia="宋体" w:hint="default"/>
          <w:sz w:val="11"/>
          <w:szCs w:val="11"/>
        </w:rPr>
      </w:pPr>
    </w:p>
    <w:tbl>
      <w:tblPr>
        <w:tblW w:w="0" w:type="auto"/>
        <w:jc w:val="left"/>
        <w:tblInd w:w="118" w:type="dxa"/>
        <w:tblLayout w:type="fixed"/>
        <w:tblCellMar>
          <w:top w:w="0" w:type="dxa"/>
          <w:left w:w="0" w:type="dxa"/>
          <w:bottom w:w="0" w:type="dxa"/>
          <w:right w:w="0" w:type="dxa"/>
        </w:tblCellMar>
        <w:tblLook w:val="01E0"/>
      </w:tblPr>
      <w:tblGrid>
        <w:gridCol w:w="2257"/>
        <w:gridCol w:w="2136"/>
        <w:gridCol w:w="1923"/>
        <w:gridCol w:w="1605"/>
        <w:gridCol w:w="1737"/>
      </w:tblGrid>
      <w:tr>
        <w:trPr>
          <w:trHeight w:val="843" w:hRule="exact"/>
        </w:trPr>
        <w:tc>
          <w:tcPr>
            <w:tcW w:w="2257"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32、库存股</w:t>
            </w:r>
          </w:p>
        </w:tc>
        <w:tc>
          <w:tcPr>
            <w:tcW w:w="2136"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416"/>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923"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482"/>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605"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231"/>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73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2257"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489" w:right="0"/>
              <w:jc w:val="left"/>
              <w:rPr>
                <w:rFonts w:ascii="宋体" w:hAnsi="宋体" w:cs="宋体" w:eastAsia="宋体" w:hint="default"/>
                <w:sz w:val="16"/>
                <w:szCs w:val="16"/>
              </w:rPr>
            </w:pPr>
            <w:r>
              <w:rPr>
                <w:rFonts w:ascii="宋体" w:hAnsi="宋体" w:cs="宋体" w:eastAsia="宋体" w:hint="default"/>
                <w:sz w:val="16"/>
                <w:szCs w:val="16"/>
              </w:rPr>
              <w:t>限制性股票回购义务</w:t>
            </w:r>
          </w:p>
        </w:tc>
        <w:tc>
          <w:tcPr>
            <w:tcW w:w="2136"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416"/>
              <w:jc w:val="right"/>
              <w:rPr>
                <w:rFonts w:ascii="宋体" w:hAnsi="宋体" w:cs="宋体" w:eastAsia="宋体" w:hint="default"/>
                <w:sz w:val="16"/>
                <w:szCs w:val="16"/>
              </w:rPr>
            </w:pPr>
            <w:r>
              <w:rPr>
                <w:rFonts w:ascii="宋体"/>
                <w:w w:val="131"/>
                <w:sz w:val="16"/>
              </w:rPr>
              <w:t>-</w:t>
            </w:r>
            <w:r>
              <w:rPr>
                <w:rFonts w:ascii="宋体"/>
                <w:sz w:val="16"/>
              </w:rPr>
            </w:r>
          </w:p>
        </w:tc>
        <w:tc>
          <w:tcPr>
            <w:tcW w:w="192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482"/>
              <w:jc w:val="right"/>
              <w:rPr>
                <w:rFonts w:ascii="宋体" w:hAnsi="宋体" w:cs="宋体" w:eastAsia="宋体" w:hint="default"/>
                <w:sz w:val="16"/>
                <w:szCs w:val="16"/>
              </w:rPr>
            </w:pPr>
            <w:r>
              <w:rPr>
                <w:rFonts w:ascii="宋体"/>
                <w:w w:val="95"/>
                <w:sz w:val="16"/>
              </w:rPr>
              <w:t>3,008,733,190</w:t>
            </w:r>
            <w:r>
              <w:rPr>
                <w:rFonts w:ascii="宋体"/>
                <w:sz w:val="16"/>
              </w:rPr>
            </w:r>
          </w:p>
        </w:tc>
        <w:tc>
          <w:tcPr>
            <w:tcW w:w="1605"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231"/>
              <w:jc w:val="right"/>
              <w:rPr>
                <w:rFonts w:ascii="宋体" w:hAnsi="宋体" w:cs="宋体" w:eastAsia="宋体" w:hint="default"/>
                <w:sz w:val="16"/>
                <w:szCs w:val="16"/>
              </w:rPr>
            </w:pPr>
            <w:r>
              <w:rPr>
                <w:rFonts w:ascii="宋体"/>
                <w:w w:val="90"/>
                <w:sz w:val="16"/>
              </w:rPr>
              <w:t>(15,718,448)</w:t>
            </w:r>
            <w:r>
              <w:rPr>
                <w:rFonts w:ascii="宋体"/>
                <w:sz w:val="16"/>
              </w:rPr>
            </w:r>
          </w:p>
        </w:tc>
        <w:tc>
          <w:tcPr>
            <w:tcW w:w="1737"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2,993,014,742</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494" w:right="0"/>
        <w:jc w:val="left"/>
      </w:pPr>
      <w:r>
        <w:rPr>
          <w:spacing w:val="3"/>
        </w:rPr>
        <w:t>如附注</w:t>
      </w:r>
      <w:r>
        <w:rPr/>
        <w:t>五</w:t>
      </w:r>
      <w:r>
        <w:rPr>
          <w:spacing w:val="-45"/>
        </w:rPr>
        <w:t> </w:t>
      </w:r>
      <w:r>
        <w:rPr>
          <w:w w:val="55"/>
        </w:rPr>
        <w:t>(</w:t>
      </w:r>
      <w:r>
        <w:rPr>
          <w:spacing w:val="-1"/>
          <w:w w:val="111"/>
        </w:rPr>
        <w:t>31</w:t>
      </w:r>
      <w:r>
        <w:rPr>
          <w:w w:val="55"/>
        </w:rPr>
        <w:t>)</w:t>
      </w:r>
      <w:r>
        <w:rPr>
          <w:spacing w:val="-45"/>
        </w:rPr>
        <w:t> </w:t>
      </w:r>
      <w:r>
        <w:rPr>
          <w:spacing w:val="3"/>
        </w:rPr>
        <w:t>及附注十二所</w:t>
      </w:r>
      <w:r>
        <w:rPr/>
        <w:t>述</w:t>
      </w:r>
      <w:r>
        <w:rPr>
          <w:spacing w:val="3"/>
        </w:rPr>
        <w:t>，本公司</w:t>
      </w:r>
      <w:r>
        <w:rPr/>
        <w:t>于</w:t>
      </w:r>
      <w:r>
        <w:rPr>
          <w:spacing w:val="-45"/>
        </w:rPr>
        <w:t> </w:t>
      </w:r>
      <w:r>
        <w:rPr>
          <w:spacing w:val="-1"/>
          <w:w w:val="111"/>
        </w:rPr>
        <w:t>201</w:t>
      </w:r>
      <w:r>
        <w:rPr>
          <w:w w:val="111"/>
        </w:rPr>
        <w:t>8</w:t>
      </w:r>
      <w:r>
        <w:rPr>
          <w:spacing w:val="-45"/>
        </w:rPr>
        <w:t> </w:t>
      </w:r>
      <w:r>
        <w:rPr>
          <w:spacing w:val="3"/>
        </w:rPr>
        <w:t>年实施限制性股票激励计</w:t>
      </w:r>
      <w:r>
        <w:rPr/>
        <w:t>划</w:t>
      </w:r>
      <w:r>
        <w:rPr>
          <w:spacing w:val="3"/>
        </w:rPr>
        <w:t>，就回购义务确认相应负债和库存股人民</w:t>
      </w:r>
      <w:r>
        <w:rPr/>
      </w:r>
    </w:p>
    <w:p>
      <w:pPr>
        <w:pStyle w:val="BodyText"/>
        <w:spacing w:line="240" w:lineRule="auto" w:before="44"/>
        <w:ind w:left="494" w:right="0"/>
        <w:jc w:val="left"/>
      </w:pPr>
      <w:r>
        <w:rPr/>
        <w:t>币</w:t>
      </w:r>
      <w:r>
        <w:rPr>
          <w:spacing w:val="-46"/>
        </w:rPr>
        <w:t> </w:t>
      </w:r>
      <w:r>
        <w:rPr/>
        <w:t>30.09</w:t>
      </w:r>
      <w:r>
        <w:rPr>
          <w:spacing w:val="-47"/>
        </w:rPr>
        <w:t> </w:t>
      </w:r>
      <w:r>
        <w:rPr/>
        <w:t>亿元。</w:t>
      </w:r>
    </w:p>
    <w:p>
      <w:pPr>
        <w:spacing w:after="0" w:line="240" w:lineRule="auto"/>
        <w:jc w:val="left"/>
        <w:sectPr>
          <w:pgSz w:w="11910" w:h="16160"/>
          <w:pgMar w:header="2776" w:footer="298" w:top="2960" w:bottom="480" w:left="132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53" w:right="0"/>
        <w:jc w:val="left"/>
      </w:pPr>
      <w:r>
        <w:rPr/>
        <w:t>33、其他综合收益</w:t>
      </w:r>
    </w:p>
    <w:p>
      <w:pPr>
        <w:spacing w:line="240" w:lineRule="auto" w:before="7"/>
        <w:rPr>
          <w:rFonts w:ascii="宋体" w:hAnsi="宋体" w:cs="宋体" w:eastAsia="宋体" w:hint="default"/>
          <w:sz w:val="14"/>
          <w:szCs w:val="14"/>
        </w:rPr>
      </w:pPr>
    </w:p>
    <w:p>
      <w:pPr>
        <w:spacing w:before="55"/>
        <w:ind w:left="2582" w:right="0" w:firstLine="0"/>
        <w:jc w:val="center"/>
        <w:rPr>
          <w:rFonts w:ascii="宋体" w:hAnsi="宋体" w:cs="宋体" w:eastAsia="宋体" w:hint="default"/>
          <w:sz w:val="12"/>
          <w:szCs w:val="12"/>
        </w:rPr>
      </w:pPr>
      <w:r>
        <w:rPr>
          <w:rFonts w:ascii="宋体" w:hAnsi="宋体" w:cs="宋体" w:eastAsia="宋体" w:hint="default"/>
          <w:sz w:val="12"/>
          <w:szCs w:val="12"/>
        </w:rPr>
        <w:t>本年发生额</w:t>
      </w:r>
    </w:p>
    <w:p>
      <w:pPr>
        <w:spacing w:line="240" w:lineRule="auto" w:before="1"/>
        <w:rPr>
          <w:rFonts w:ascii="宋体" w:hAnsi="宋体" w:cs="宋体" w:eastAsia="宋体" w:hint="default"/>
          <w:sz w:val="9"/>
          <w:szCs w:val="9"/>
        </w:rPr>
      </w:pPr>
    </w:p>
    <w:p>
      <w:pPr>
        <w:spacing w:line="20" w:lineRule="exact"/>
        <w:ind w:left="4046" w:right="0" w:firstLine="0"/>
        <w:rPr>
          <w:rFonts w:ascii="宋体" w:hAnsi="宋体" w:cs="宋体" w:eastAsia="宋体" w:hint="default"/>
          <w:sz w:val="2"/>
          <w:szCs w:val="2"/>
        </w:rPr>
      </w:pPr>
      <w:r>
        <w:rPr>
          <w:rFonts w:ascii="宋体" w:hAnsi="宋体" w:cs="宋体" w:eastAsia="宋体" w:hint="default"/>
          <w:sz w:val="2"/>
          <w:szCs w:val="2"/>
        </w:rPr>
        <w:pict>
          <v:group style="width:220.75pt;height:.75pt;mso-position-horizontal-relative:char;mso-position-vertical-relative:line" coordorigin="0,0" coordsize="4415,15">
            <v:group style="position:absolute;left:8;top:8;width:4400;height:2" coordorigin="8,8" coordsize="4400,2">
              <v:shape style="position:absolute;left:8;top:8;width:4400;height:2" coordorigin="8,8" coordsize="4400,0" path="m8,8l4407,8e" filled="false" stroked="true" strokeweight=".7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160"/>
          <w:pgMar w:header="1200" w:footer="320" w:top="2120" w:bottom="520" w:left="640" w:right="1340"/>
        </w:sectPr>
      </w:pPr>
    </w:p>
    <w:p>
      <w:pPr>
        <w:spacing w:line="304" w:lineRule="auto" w:before="71"/>
        <w:ind w:left="2046" w:right="1091" w:firstLine="0"/>
        <w:jc w:val="left"/>
        <w:rPr>
          <w:rFonts w:ascii="宋体" w:hAnsi="宋体" w:cs="宋体" w:eastAsia="宋体" w:hint="default"/>
          <w:sz w:val="12"/>
          <w:szCs w:val="12"/>
        </w:rPr>
      </w:pPr>
      <w:r>
        <w:rPr>
          <w:rFonts w:ascii="宋体" w:hAnsi="宋体" w:cs="宋体" w:eastAsia="宋体" w:hint="default"/>
          <w:sz w:val="12"/>
          <w:szCs w:val="12"/>
        </w:rPr>
        <w:t>归属于母公司股 东的其他综合收</w:t>
      </w:r>
    </w:p>
    <w:p>
      <w:pPr>
        <w:tabs>
          <w:tab w:pos="2286" w:val="left" w:leader="none"/>
          <w:tab w:pos="3637" w:val="left" w:leader="none"/>
        </w:tabs>
        <w:spacing w:before="10"/>
        <w:ind w:left="550" w:right="-20" w:firstLine="0"/>
        <w:jc w:val="left"/>
        <w:rPr>
          <w:rFonts w:ascii="宋体" w:hAnsi="宋体" w:cs="宋体" w:eastAsia="宋体" w:hint="default"/>
          <w:sz w:val="12"/>
          <w:szCs w:val="12"/>
        </w:rPr>
      </w:pPr>
      <w:r>
        <w:rPr>
          <w:rFonts w:ascii="宋体" w:hAnsi="宋体" w:cs="宋体" w:eastAsia="宋体" w:hint="default"/>
          <w:sz w:val="12"/>
          <w:szCs w:val="12"/>
        </w:rPr>
        <w:t>项目</w:t>
        <w:tab/>
        <w:t>益年初余额</w:t>
        <w:tab/>
        <w:t>重分类</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10"/>
        <w:rPr>
          <w:rFonts w:ascii="宋体" w:hAnsi="宋体" w:cs="宋体" w:eastAsia="宋体" w:hint="default"/>
          <w:sz w:val="8"/>
          <w:szCs w:val="8"/>
        </w:rPr>
      </w:pPr>
    </w:p>
    <w:p>
      <w:pPr>
        <w:spacing w:before="0"/>
        <w:ind w:left="158" w:right="-20" w:firstLine="0"/>
        <w:jc w:val="left"/>
        <w:rPr>
          <w:rFonts w:ascii="宋体" w:hAnsi="宋体" w:cs="宋体" w:eastAsia="宋体" w:hint="default"/>
          <w:sz w:val="12"/>
          <w:szCs w:val="12"/>
        </w:rPr>
      </w:pPr>
      <w:r>
        <w:rPr>
          <w:rFonts w:ascii="宋体" w:hAnsi="宋体" w:cs="宋体" w:eastAsia="宋体" w:hint="default"/>
          <w:sz w:val="12"/>
          <w:szCs w:val="12"/>
        </w:rPr>
        <w:t>本年所得税前</w:t>
      </w:r>
    </w:p>
    <w:p>
      <w:pPr>
        <w:spacing w:before="43"/>
        <w:ind w:left="518" w:right="-20" w:firstLine="0"/>
        <w:jc w:val="left"/>
        <w:rPr>
          <w:rFonts w:ascii="宋体" w:hAnsi="宋体" w:cs="宋体" w:eastAsia="宋体" w:hint="default"/>
          <w:sz w:val="12"/>
          <w:szCs w:val="12"/>
        </w:rPr>
      </w:pPr>
      <w:r>
        <w:rPr>
          <w:rFonts w:ascii="宋体" w:hAnsi="宋体" w:cs="宋体" w:eastAsia="宋体" w:hint="default"/>
          <w:sz w:val="12"/>
          <w:szCs w:val="12"/>
        </w:rPr>
        <w:t>发生额</w:t>
      </w:r>
    </w:p>
    <w:p>
      <w:pPr>
        <w:spacing w:line="304" w:lineRule="auto" w:before="71"/>
        <w:ind w:left="101" w:right="0" w:firstLine="0"/>
        <w:jc w:val="both"/>
        <w:rPr>
          <w:rFonts w:ascii="宋体" w:hAnsi="宋体" w:cs="宋体" w:eastAsia="宋体" w:hint="default"/>
          <w:sz w:val="12"/>
          <w:szCs w:val="12"/>
        </w:rPr>
      </w:pPr>
      <w:r>
        <w:rPr/>
        <w:br w:type="column"/>
      </w:r>
      <w:r>
        <w:rPr>
          <w:rFonts w:ascii="宋体" w:hAnsi="宋体" w:cs="宋体" w:eastAsia="宋体" w:hint="default"/>
          <w:sz w:val="12"/>
          <w:szCs w:val="12"/>
        </w:rPr>
        <w:t>减：前期计入 其他综合收益 当期转入损益</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10"/>
        <w:rPr>
          <w:rFonts w:ascii="宋体" w:hAnsi="宋体" w:cs="宋体" w:eastAsia="宋体" w:hint="default"/>
          <w:sz w:val="8"/>
          <w:szCs w:val="8"/>
        </w:rPr>
      </w:pPr>
    </w:p>
    <w:p>
      <w:pPr>
        <w:spacing w:before="0"/>
        <w:ind w:left="0" w:right="0" w:firstLine="0"/>
        <w:jc w:val="right"/>
        <w:rPr>
          <w:rFonts w:ascii="宋体" w:hAnsi="宋体" w:cs="宋体" w:eastAsia="宋体" w:hint="default"/>
          <w:sz w:val="12"/>
          <w:szCs w:val="12"/>
        </w:rPr>
      </w:pPr>
      <w:r>
        <w:rPr>
          <w:rFonts w:ascii="宋体" w:hAnsi="宋体" w:cs="宋体" w:eastAsia="宋体" w:hint="default"/>
          <w:sz w:val="12"/>
          <w:szCs w:val="12"/>
        </w:rPr>
        <w:t>减：所得税</w:t>
      </w:r>
    </w:p>
    <w:p>
      <w:pPr>
        <w:spacing w:before="43"/>
        <w:ind w:left="0" w:right="0" w:firstLine="0"/>
        <w:jc w:val="right"/>
        <w:rPr>
          <w:rFonts w:ascii="宋体" w:hAnsi="宋体" w:cs="宋体" w:eastAsia="宋体" w:hint="default"/>
          <w:sz w:val="12"/>
          <w:szCs w:val="12"/>
        </w:rPr>
      </w:pPr>
      <w:r>
        <w:rPr>
          <w:rFonts w:ascii="宋体" w:hAnsi="宋体" w:cs="宋体" w:eastAsia="宋体" w:hint="default"/>
          <w:sz w:val="12"/>
          <w:szCs w:val="12"/>
        </w:rPr>
        <w:t>费用</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10"/>
        <w:rPr>
          <w:rFonts w:ascii="宋体" w:hAnsi="宋体" w:cs="宋体" w:eastAsia="宋体" w:hint="default"/>
          <w:sz w:val="8"/>
          <w:szCs w:val="8"/>
        </w:rPr>
      </w:pPr>
    </w:p>
    <w:p>
      <w:pPr>
        <w:spacing w:before="0"/>
        <w:ind w:left="278" w:right="-20" w:firstLine="0"/>
        <w:jc w:val="left"/>
        <w:rPr>
          <w:rFonts w:ascii="宋体" w:hAnsi="宋体" w:cs="宋体" w:eastAsia="宋体" w:hint="default"/>
          <w:sz w:val="12"/>
          <w:szCs w:val="12"/>
        </w:rPr>
      </w:pPr>
      <w:r>
        <w:rPr>
          <w:rFonts w:ascii="宋体" w:hAnsi="宋体" w:cs="宋体" w:eastAsia="宋体" w:hint="default"/>
          <w:sz w:val="12"/>
          <w:szCs w:val="12"/>
        </w:rPr>
        <w:t>税后归属于</w:t>
      </w:r>
    </w:p>
    <w:p>
      <w:pPr>
        <w:spacing w:before="43"/>
        <w:ind w:left="518" w:right="-20" w:firstLine="0"/>
        <w:jc w:val="left"/>
        <w:rPr>
          <w:rFonts w:ascii="宋体" w:hAnsi="宋体" w:cs="宋体" w:eastAsia="宋体" w:hint="default"/>
          <w:sz w:val="12"/>
          <w:szCs w:val="12"/>
        </w:rPr>
      </w:pPr>
      <w:r>
        <w:rPr>
          <w:rFonts w:ascii="宋体" w:hAnsi="宋体" w:cs="宋体" w:eastAsia="宋体" w:hint="default"/>
          <w:sz w:val="12"/>
          <w:szCs w:val="12"/>
        </w:rPr>
        <w:t>母公司</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10"/>
        <w:rPr>
          <w:rFonts w:ascii="宋体" w:hAnsi="宋体" w:cs="宋体" w:eastAsia="宋体" w:hint="default"/>
          <w:sz w:val="8"/>
          <w:szCs w:val="8"/>
        </w:rPr>
      </w:pPr>
    </w:p>
    <w:p>
      <w:pPr>
        <w:spacing w:line="304" w:lineRule="auto" w:before="0"/>
        <w:ind w:left="398" w:right="-20" w:hanging="120"/>
        <w:jc w:val="left"/>
        <w:rPr>
          <w:rFonts w:ascii="宋体" w:hAnsi="宋体" w:cs="宋体" w:eastAsia="宋体" w:hint="default"/>
          <w:sz w:val="12"/>
          <w:szCs w:val="12"/>
        </w:rPr>
      </w:pPr>
      <w:r>
        <w:rPr>
          <w:rFonts w:ascii="宋体" w:hAnsi="宋体" w:cs="宋体" w:eastAsia="宋体" w:hint="default"/>
          <w:sz w:val="12"/>
          <w:szCs w:val="12"/>
        </w:rPr>
        <w:t>税后归属于 少数股东</w:t>
      </w:r>
    </w:p>
    <w:p>
      <w:pPr>
        <w:spacing w:line="240" w:lineRule="auto" w:before="0"/>
        <w:rPr>
          <w:rFonts w:ascii="宋体" w:hAnsi="宋体" w:cs="宋体" w:eastAsia="宋体" w:hint="default"/>
          <w:sz w:val="12"/>
          <w:szCs w:val="12"/>
        </w:rPr>
      </w:pPr>
      <w:r>
        <w:rPr/>
        <w:br w:type="column"/>
      </w:r>
      <w:r>
        <w:rPr>
          <w:rFonts w:ascii="宋体"/>
          <w:sz w:val="12"/>
        </w:rPr>
      </w:r>
    </w:p>
    <w:p>
      <w:pPr>
        <w:spacing w:line="240" w:lineRule="auto" w:before="10"/>
        <w:rPr>
          <w:rFonts w:ascii="宋体" w:hAnsi="宋体" w:cs="宋体" w:eastAsia="宋体" w:hint="default"/>
          <w:sz w:val="8"/>
          <w:szCs w:val="8"/>
        </w:rPr>
      </w:pPr>
    </w:p>
    <w:p>
      <w:pPr>
        <w:spacing w:line="304" w:lineRule="auto" w:before="0"/>
        <w:ind w:left="217" w:right="171" w:hanging="120"/>
        <w:jc w:val="left"/>
        <w:rPr>
          <w:rFonts w:ascii="宋体" w:hAnsi="宋体" w:cs="宋体" w:eastAsia="宋体" w:hint="default"/>
          <w:sz w:val="12"/>
          <w:szCs w:val="12"/>
        </w:rPr>
      </w:pPr>
      <w:r>
        <w:rPr>
          <w:rFonts w:ascii="宋体" w:hAnsi="宋体" w:cs="宋体" w:eastAsia="宋体" w:hint="default"/>
          <w:sz w:val="12"/>
          <w:szCs w:val="12"/>
        </w:rPr>
        <w:t>归属于母公司股东的其 他综合收益年末余额</w:t>
      </w:r>
    </w:p>
    <w:p>
      <w:pPr>
        <w:spacing w:after="0" w:line="304" w:lineRule="auto"/>
        <w:jc w:val="left"/>
        <w:rPr>
          <w:rFonts w:ascii="宋体" w:hAnsi="宋体" w:cs="宋体" w:eastAsia="宋体" w:hint="default"/>
          <w:sz w:val="12"/>
          <w:szCs w:val="12"/>
        </w:rPr>
        <w:sectPr>
          <w:type w:val="continuous"/>
          <w:pgSz w:w="11910" w:h="16160"/>
          <w:pgMar w:top="1520" w:bottom="280" w:left="640" w:right="1340"/>
          <w:cols w:num="7" w:equalWidth="0">
            <w:col w:w="3998" w:space="40"/>
            <w:col w:w="879" w:space="40"/>
            <w:col w:w="822" w:space="40"/>
            <w:col w:w="743" w:space="40"/>
            <w:col w:w="879" w:space="40"/>
            <w:col w:w="879" w:space="40"/>
            <w:col w:w="1490"/>
          </w:cols>
        </w:sectPr>
      </w:pPr>
    </w:p>
    <w:p>
      <w:pPr>
        <w:spacing w:line="240" w:lineRule="auto" w:before="2"/>
        <w:rPr>
          <w:rFonts w:ascii="宋体" w:hAnsi="宋体" w:cs="宋体" w:eastAsia="宋体" w:hint="default"/>
          <w:sz w:val="6"/>
          <w:szCs w:val="6"/>
        </w:rPr>
      </w:pPr>
    </w:p>
    <w:p>
      <w:pPr>
        <w:spacing w:line="40" w:lineRule="exact"/>
        <w:ind w:left="47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418;height:2" coordorigin="20,20" coordsize="1418,2">
              <v:shape style="position:absolute;left:20;top:20;width:1418;height:2" coordorigin="20,20" coordsize="1418,0" path="m20,20l1437,20e" filled="false" stroked="true" strokeweight="2pt" strokecolor="#9f8958">
                <v:path arrowok="t"/>
              </v:shape>
            </v:group>
            <v:group style="position:absolute;left:1437;top:20;width:1032;height:2" coordorigin="1437,20" coordsize="1032,2">
              <v:shape style="position:absolute;left:1437;top:20;width:1032;height:2" coordorigin="1437,20" coordsize="1032,0" path="m1437,20l2469,20e" filled="false" stroked="true" strokeweight="2pt" strokecolor="#9f8958">
                <v:path arrowok="t"/>
              </v:shape>
            </v:group>
            <v:group style="position:absolute;left:2469;top:20;width:1112;height:2" coordorigin="2469,20" coordsize="1112,2">
              <v:shape style="position:absolute;left:2469;top:20;width:1112;height:2" coordorigin="2469,20" coordsize="1112,0" path="m2469,20l3580,20e" filled="false" stroked="true" strokeweight="2pt" strokecolor="#9f8958">
                <v:path arrowok="t"/>
              </v:shape>
            </v:group>
            <v:group style="position:absolute;left:3580;top:20;width:919;height:2" coordorigin="3580,20" coordsize="919,2">
              <v:shape style="position:absolute;left:3580;top:20;width:919;height:2" coordorigin="3580,20" coordsize="919,0" path="m3580,20l4499,20e" filled="false" stroked="true" strokeweight="2pt" strokecolor="#9f8958">
                <v:path arrowok="t"/>
              </v:shape>
            </v:group>
            <v:group style="position:absolute;left:4499;top:20;width:862;height:2" coordorigin="4499,20" coordsize="862,2">
              <v:shape style="position:absolute;left:4499;top:20;width:862;height:2" coordorigin="4499,20" coordsize="862,0" path="m4499,20l5360,20e" filled="false" stroked="true" strokeweight="2pt" strokecolor="#9f8958">
                <v:path arrowok="t"/>
              </v:shape>
            </v:group>
            <v:group style="position:absolute;left:5360;top:20;width:783;height:2" coordorigin="5360,20" coordsize="783,2">
              <v:shape style="position:absolute;left:5360;top:20;width:783;height:2" coordorigin="5360,20" coordsize="783,0" path="m5360,20l6143,20e" filled="false" stroked="true" strokeweight="2pt" strokecolor="#9f8958">
                <v:path arrowok="t"/>
              </v:shape>
            </v:group>
            <v:group style="position:absolute;left:6143;top:20;width:919;height:2" coordorigin="6143,20" coordsize="919,2">
              <v:shape style="position:absolute;left:6143;top:20;width:919;height:2" coordorigin="6143,20" coordsize="919,0" path="m6143,20l7061,20e" filled="false" stroked="true" strokeweight="2pt" strokecolor="#9f8958">
                <v:path arrowok="t"/>
              </v:shape>
            </v:group>
            <v:group style="position:absolute;left:7061;top:20;width:919;height:2" coordorigin="7061,20" coordsize="919,2">
              <v:shape style="position:absolute;left:7061;top:20;width:919;height:2" coordorigin="7061,20" coordsize="919,0" path="m7061,20l7980,20e" filled="false" stroked="true" strokeweight="2pt" strokecolor="#9f8958">
                <v:path arrowok="t"/>
              </v:shape>
            </v:group>
            <v:group style="position:absolute;left:7980;top:20;width:1338;height:2" coordorigin="7980,20" coordsize="1338,2">
              <v:shape style="position:absolute;left:7980;top:20;width:1338;height:2" coordorigin="7980,20" coordsize="1338,0" path="m7980,20l9318,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type w:val="continuous"/>
          <w:pgSz w:w="11910" w:h="16160"/>
          <w:pgMar w:top="1520" w:bottom="280" w:left="640" w:right="1340"/>
        </w:sectPr>
      </w:pPr>
    </w:p>
    <w:p>
      <w:pPr>
        <w:spacing w:line="304" w:lineRule="auto" w:before="76"/>
        <w:ind w:left="550" w:right="-20" w:firstLine="0"/>
        <w:jc w:val="left"/>
        <w:rPr>
          <w:rFonts w:ascii="宋体" w:hAnsi="宋体" w:cs="宋体" w:eastAsia="宋体" w:hint="default"/>
          <w:sz w:val="12"/>
          <w:szCs w:val="12"/>
        </w:rPr>
      </w:pPr>
      <w:r>
        <w:rPr>
          <w:rFonts w:ascii="宋体" w:hAnsi="宋体" w:cs="宋体" w:eastAsia="宋体" w:hint="default"/>
          <w:sz w:val="12"/>
          <w:szCs w:val="12"/>
        </w:rPr>
        <w:t>不能重分类进损益的其 他综合收益</w:t>
      </w:r>
    </w:p>
    <w:p>
      <w:pPr>
        <w:spacing w:line="240" w:lineRule="auto" w:before="6"/>
        <w:rPr>
          <w:rFonts w:ascii="宋体" w:hAnsi="宋体" w:cs="宋体" w:eastAsia="宋体" w:hint="default"/>
          <w:sz w:val="13"/>
          <w:szCs w:val="13"/>
        </w:rPr>
      </w:pPr>
      <w:r>
        <w:rPr/>
        <w:br w:type="column"/>
      </w:r>
      <w:r>
        <w:rPr>
          <w:rFonts w:ascii="宋体"/>
          <w:sz w:val="13"/>
        </w:rPr>
      </w:r>
    </w:p>
    <w:p>
      <w:pPr>
        <w:tabs>
          <w:tab w:pos="1374" w:val="left" w:leader="none"/>
          <w:tab w:pos="3908" w:val="left" w:leader="none"/>
          <w:tab w:pos="4236" w:val="left" w:leader="none"/>
          <w:tab w:pos="7112" w:val="left" w:leader="none"/>
        </w:tabs>
        <w:spacing w:before="0"/>
        <w:ind w:left="496" w:right="0" w:firstLine="0"/>
        <w:jc w:val="left"/>
        <w:rPr>
          <w:rFonts w:ascii="宋体" w:hAnsi="宋体" w:cs="宋体" w:eastAsia="宋体" w:hint="default"/>
          <w:sz w:val="12"/>
          <w:szCs w:val="12"/>
        </w:rPr>
      </w:pPr>
      <w:r>
        <w:rPr>
          <w:rFonts w:ascii="宋体"/>
          <w:w w:val="95"/>
          <w:sz w:val="12"/>
        </w:rPr>
        <w:t>12,260,031</w:t>
        <w:tab/>
      </w:r>
      <w:r>
        <w:rPr>
          <w:rFonts w:ascii="宋体"/>
          <w:sz w:val="12"/>
        </w:rPr>
        <w:t>(2,381,329,329)</w:t>
      </w:r>
      <w:r>
        <w:rPr>
          <w:rFonts w:ascii="宋体"/>
          <w:spacing w:val="10"/>
          <w:sz w:val="12"/>
        </w:rPr>
        <w:t> </w:t>
      </w:r>
      <w:r>
        <w:rPr>
          <w:rFonts w:ascii="宋体"/>
          <w:sz w:val="12"/>
        </w:rPr>
        <w:t>(392,344,975)</w:t>
        <w:tab/>
        <w:t>-</w:t>
        <w:tab/>
        <w:t>2,510,508  (171,284,422) </w:t>
      </w:r>
      <w:r>
        <w:rPr>
          <w:rFonts w:ascii="宋体"/>
          <w:spacing w:val="29"/>
          <w:sz w:val="12"/>
        </w:rPr>
        <w:t> </w:t>
      </w:r>
      <w:r>
        <w:rPr>
          <w:rFonts w:ascii="宋体"/>
          <w:sz w:val="12"/>
        </w:rPr>
        <w:t>(218,550,045)</w:t>
        <w:tab/>
        <w:t>(2,540,353,720)</w:t>
      </w:r>
    </w:p>
    <w:p>
      <w:pPr>
        <w:spacing w:after="0"/>
        <w:jc w:val="left"/>
        <w:rPr>
          <w:rFonts w:ascii="宋体" w:hAnsi="宋体" w:cs="宋体" w:eastAsia="宋体" w:hint="default"/>
          <w:sz w:val="12"/>
          <w:szCs w:val="12"/>
        </w:rPr>
        <w:sectPr>
          <w:type w:val="continuous"/>
          <w:pgSz w:w="11910" w:h="16160"/>
          <w:pgMar w:top="1520" w:bottom="280" w:left="640" w:right="1340"/>
          <w:cols w:num="2" w:equalWidth="0">
            <w:col w:w="1751" w:space="40"/>
            <w:col w:w="8139"/>
          </w:cols>
        </w:sectPr>
      </w:pPr>
    </w:p>
    <w:tbl>
      <w:tblPr>
        <w:tblW w:w="0" w:type="auto"/>
        <w:jc w:val="left"/>
        <w:tblInd w:w="493" w:type="dxa"/>
        <w:tblLayout w:type="fixed"/>
        <w:tblCellMar>
          <w:top w:w="0" w:type="dxa"/>
          <w:left w:w="0" w:type="dxa"/>
          <w:bottom w:w="0" w:type="dxa"/>
          <w:right w:w="0" w:type="dxa"/>
        </w:tblCellMar>
        <w:tblLook w:val="01E0"/>
      </w:tblPr>
      <w:tblGrid>
        <w:gridCol w:w="2532"/>
        <w:gridCol w:w="1065"/>
        <w:gridCol w:w="1217"/>
        <w:gridCol w:w="1346"/>
        <w:gridCol w:w="919"/>
        <w:gridCol w:w="1078"/>
        <w:gridCol w:w="1141"/>
      </w:tblGrid>
      <w:tr>
        <w:trPr>
          <w:trHeight w:val="663" w:hRule="exact"/>
        </w:trPr>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40"/>
              <w:ind w:right="1217"/>
              <w:jc w:val="center"/>
              <w:rPr>
                <w:rFonts w:ascii="宋体" w:hAnsi="宋体" w:cs="宋体" w:eastAsia="宋体" w:hint="default"/>
                <w:sz w:val="12"/>
                <w:szCs w:val="12"/>
              </w:rPr>
            </w:pPr>
            <w:r>
              <w:rPr>
                <w:rFonts w:ascii="宋体" w:hAnsi="宋体" w:cs="宋体" w:eastAsia="宋体" w:hint="default"/>
                <w:sz w:val="12"/>
                <w:szCs w:val="12"/>
              </w:rPr>
              <w:t>其中：重新计算设定受</w:t>
            </w:r>
          </w:p>
          <w:p>
            <w:pPr>
              <w:pStyle w:val="TableParagraph"/>
              <w:tabs>
                <w:tab w:pos="1793" w:val="left" w:leader="none"/>
              </w:tabs>
              <w:spacing w:line="240" w:lineRule="auto" w:before="43"/>
              <w:ind w:left="425" w:right="0"/>
              <w:jc w:val="left"/>
              <w:rPr>
                <w:rFonts w:ascii="宋体" w:hAnsi="宋体" w:cs="宋体" w:eastAsia="宋体" w:hint="default"/>
                <w:sz w:val="12"/>
                <w:szCs w:val="12"/>
              </w:rPr>
            </w:pPr>
            <w:r>
              <w:rPr>
                <w:rFonts w:ascii="宋体" w:hAnsi="宋体" w:cs="宋体" w:eastAsia="宋体" w:hint="default"/>
                <w:sz w:val="12"/>
                <w:szCs w:val="12"/>
              </w:rPr>
              <w:t>益计划的变动额</w:t>
              <w:tab/>
              <w:t>12,260,031</w:t>
            </w:r>
          </w:p>
          <w:p>
            <w:pPr>
              <w:pStyle w:val="TableParagraph"/>
              <w:spacing w:line="240" w:lineRule="auto" w:before="43"/>
              <w:ind w:left="425" w:right="0"/>
              <w:jc w:val="left"/>
              <w:rPr>
                <w:rFonts w:ascii="宋体" w:hAnsi="宋体" w:cs="宋体" w:eastAsia="宋体" w:hint="default"/>
                <w:sz w:val="12"/>
                <w:szCs w:val="12"/>
              </w:rPr>
            </w:pPr>
            <w:r>
              <w:rPr>
                <w:rFonts w:ascii="宋体" w:hAnsi="宋体" w:cs="宋体" w:eastAsia="宋体" w:hint="default"/>
                <w:sz w:val="12"/>
                <w:szCs w:val="12"/>
              </w:rPr>
              <w:t>（注</w:t>
            </w:r>
            <w:r>
              <w:rPr>
                <w:rFonts w:ascii="宋体" w:hAnsi="宋体" w:cs="宋体" w:eastAsia="宋体" w:hint="default"/>
                <w:spacing w:val="-24"/>
                <w:sz w:val="12"/>
                <w:szCs w:val="12"/>
              </w:rPr>
              <w:t> </w:t>
            </w:r>
            <w:r>
              <w:rPr>
                <w:rFonts w:ascii="宋体" w:hAnsi="宋体" w:cs="宋体" w:eastAsia="宋体" w:hint="default"/>
                <w:sz w:val="12"/>
                <w:szCs w:val="12"/>
              </w:rPr>
              <w:t>1）</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91"/>
              <w:jc w:val="right"/>
              <w:rPr>
                <w:rFonts w:ascii="宋体" w:hAnsi="宋体" w:cs="宋体" w:eastAsia="宋体" w:hint="default"/>
                <w:sz w:val="12"/>
                <w:szCs w:val="12"/>
              </w:rPr>
            </w:pPr>
            <w:r>
              <w:rPr>
                <w:rFonts w:ascii="宋体"/>
                <w:w w:val="131"/>
                <w:sz w:val="12"/>
              </w:rPr>
              <w:t>-</w:t>
            </w:r>
            <w:r>
              <w:rPr>
                <w:rFonts w:ascii="宋体"/>
                <w:sz w:val="12"/>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389"/>
              <w:jc w:val="right"/>
              <w:rPr>
                <w:rFonts w:ascii="宋体" w:hAnsi="宋体" w:cs="宋体" w:eastAsia="宋体" w:hint="default"/>
                <w:sz w:val="12"/>
                <w:szCs w:val="12"/>
              </w:rPr>
            </w:pPr>
            <w:r>
              <w:rPr>
                <w:rFonts w:ascii="宋体"/>
                <w:w w:val="90"/>
                <w:sz w:val="12"/>
              </w:rPr>
              <w:t>(9,167,692)</w:t>
            </w:r>
            <w:r>
              <w:rPr>
                <w:rFonts w:ascii="宋体"/>
                <w:sz w:val="12"/>
              </w:rPr>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tabs>
                <w:tab w:pos="428" w:val="left" w:leader="none"/>
              </w:tabs>
              <w:spacing w:line="240" w:lineRule="auto" w:before="83"/>
              <w:ind w:right="91"/>
              <w:jc w:val="right"/>
              <w:rPr>
                <w:rFonts w:ascii="宋体" w:hAnsi="宋体" w:cs="宋体" w:eastAsia="宋体" w:hint="default"/>
                <w:sz w:val="12"/>
                <w:szCs w:val="12"/>
              </w:rPr>
            </w:pPr>
            <w:r>
              <w:rPr>
                <w:rFonts w:ascii="宋体"/>
                <w:w w:val="115"/>
                <w:sz w:val="12"/>
              </w:rPr>
              <w:t>-</w:t>
              <w:tab/>
            </w:r>
            <w:r>
              <w:rPr>
                <w:rFonts w:ascii="宋体"/>
                <w:sz w:val="12"/>
              </w:rPr>
              <w:t>911,295</w:t>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91"/>
              <w:jc w:val="right"/>
              <w:rPr>
                <w:rFonts w:ascii="宋体" w:hAnsi="宋体" w:cs="宋体" w:eastAsia="宋体" w:hint="default"/>
                <w:sz w:val="12"/>
                <w:szCs w:val="12"/>
              </w:rPr>
            </w:pPr>
            <w:r>
              <w:rPr>
                <w:rFonts w:ascii="宋体"/>
                <w:w w:val="90"/>
                <w:sz w:val="12"/>
              </w:rPr>
              <w:t>(3,627,674)</w:t>
            </w:r>
            <w:r>
              <w:rPr>
                <w:rFonts w:ascii="宋体"/>
                <w:sz w:val="12"/>
              </w:rPr>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251"/>
              <w:jc w:val="right"/>
              <w:rPr>
                <w:rFonts w:ascii="宋体" w:hAnsi="宋体" w:cs="宋体" w:eastAsia="宋体" w:hint="default"/>
                <w:sz w:val="12"/>
                <w:szCs w:val="12"/>
              </w:rPr>
            </w:pPr>
            <w:r>
              <w:rPr>
                <w:rFonts w:ascii="宋体"/>
                <w:w w:val="90"/>
                <w:sz w:val="12"/>
              </w:rPr>
              <w:t>(4,628,723)</w:t>
            </w:r>
            <w:r>
              <w:rPr>
                <w:rFonts w:ascii="宋体"/>
                <w:sz w:val="12"/>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2"/>
                <w:szCs w:val="12"/>
              </w:rPr>
            </w:pPr>
          </w:p>
          <w:p>
            <w:pPr>
              <w:pStyle w:val="TableParagraph"/>
              <w:spacing w:line="240" w:lineRule="auto" w:before="83"/>
              <w:ind w:right="54"/>
              <w:jc w:val="right"/>
              <w:rPr>
                <w:rFonts w:ascii="宋体" w:hAnsi="宋体" w:cs="宋体" w:eastAsia="宋体" w:hint="default"/>
                <w:sz w:val="12"/>
                <w:szCs w:val="12"/>
              </w:rPr>
            </w:pPr>
            <w:r>
              <w:rPr>
                <w:rFonts w:ascii="宋体"/>
                <w:w w:val="95"/>
                <w:sz w:val="12"/>
              </w:rPr>
              <w:t>8,632,357</w:t>
            </w:r>
            <w:r>
              <w:rPr>
                <w:rFonts w:ascii="宋体"/>
                <w:sz w:val="12"/>
              </w:rPr>
            </w:r>
          </w:p>
        </w:tc>
      </w:tr>
      <w:tr>
        <w:trPr>
          <w:trHeight w:val="584" w:hRule="exact"/>
        </w:trPr>
        <w:tc>
          <w:tcPr>
            <w:tcW w:w="2532" w:type="dxa"/>
            <w:tcBorders>
              <w:top w:val="nil" w:sz="6" w:space="0" w:color="auto"/>
              <w:left w:val="nil" w:sz="6" w:space="0" w:color="auto"/>
              <w:bottom w:val="nil" w:sz="6" w:space="0" w:color="auto"/>
              <w:right w:val="nil" w:sz="6" w:space="0" w:color="auto"/>
            </w:tcBorders>
          </w:tcPr>
          <w:p>
            <w:pPr>
              <w:pStyle w:val="TableParagraph"/>
              <w:spacing w:line="240" w:lineRule="auto" w:before="10"/>
              <w:ind w:left="425" w:right="0"/>
              <w:jc w:val="left"/>
              <w:rPr>
                <w:rFonts w:ascii="宋体" w:hAnsi="宋体" w:cs="宋体" w:eastAsia="宋体" w:hint="default"/>
                <w:sz w:val="12"/>
                <w:szCs w:val="12"/>
              </w:rPr>
            </w:pPr>
            <w:r>
              <w:rPr>
                <w:rFonts w:ascii="宋体" w:hAnsi="宋体" w:cs="宋体" w:eastAsia="宋体" w:hint="default"/>
                <w:sz w:val="12"/>
                <w:szCs w:val="12"/>
              </w:rPr>
              <w:t>其他权益工具投</w:t>
            </w:r>
          </w:p>
          <w:p>
            <w:pPr>
              <w:pStyle w:val="TableParagraph"/>
              <w:tabs>
                <w:tab w:pos="2313" w:val="left" w:leader="none"/>
              </w:tabs>
              <w:spacing w:line="240" w:lineRule="auto" w:before="43"/>
              <w:ind w:left="425" w:right="0"/>
              <w:jc w:val="left"/>
              <w:rPr>
                <w:rFonts w:ascii="宋体" w:hAnsi="宋体" w:cs="宋体" w:eastAsia="宋体" w:hint="default"/>
                <w:sz w:val="12"/>
                <w:szCs w:val="12"/>
              </w:rPr>
            </w:pPr>
            <w:r>
              <w:rPr>
                <w:rFonts w:ascii="宋体" w:hAnsi="宋体" w:cs="宋体" w:eastAsia="宋体" w:hint="default"/>
                <w:sz w:val="12"/>
                <w:szCs w:val="12"/>
              </w:rPr>
              <w:t>资公允价值变动</w:t>
              <w:tab/>
            </w:r>
            <w:r>
              <w:rPr>
                <w:rFonts w:ascii="宋体" w:hAnsi="宋体" w:cs="宋体" w:eastAsia="宋体" w:hint="default"/>
                <w:w w:val="115"/>
                <w:sz w:val="12"/>
                <w:szCs w:val="12"/>
              </w:rPr>
              <w:t>-</w:t>
            </w:r>
            <w:r>
              <w:rPr>
                <w:rFonts w:ascii="宋体" w:hAnsi="宋体" w:cs="宋体" w:eastAsia="宋体" w:hint="default"/>
                <w:sz w:val="12"/>
                <w:szCs w:val="12"/>
              </w:rPr>
            </w:r>
          </w:p>
          <w:p>
            <w:pPr>
              <w:pStyle w:val="TableParagraph"/>
              <w:spacing w:line="240" w:lineRule="auto" w:before="43"/>
              <w:ind w:left="425" w:right="0"/>
              <w:jc w:val="left"/>
              <w:rPr>
                <w:rFonts w:ascii="宋体" w:hAnsi="宋体" w:cs="宋体" w:eastAsia="宋体" w:hint="default"/>
                <w:sz w:val="12"/>
                <w:szCs w:val="12"/>
              </w:rPr>
            </w:pPr>
            <w:r>
              <w:rPr>
                <w:rFonts w:ascii="宋体" w:hAnsi="宋体" w:cs="宋体" w:eastAsia="宋体" w:hint="default"/>
                <w:sz w:val="12"/>
                <w:szCs w:val="12"/>
              </w:rPr>
              <w:t>（注</w:t>
            </w:r>
            <w:r>
              <w:rPr>
                <w:rFonts w:ascii="宋体" w:hAnsi="宋体" w:cs="宋体" w:eastAsia="宋体" w:hint="default"/>
                <w:spacing w:val="-24"/>
                <w:sz w:val="12"/>
                <w:szCs w:val="12"/>
              </w:rPr>
              <w:t> </w:t>
            </w:r>
            <w:r>
              <w:rPr>
                <w:rFonts w:ascii="宋体" w:hAnsi="宋体" w:cs="宋体" w:eastAsia="宋体" w:hint="default"/>
                <w:sz w:val="12"/>
                <w:szCs w:val="12"/>
              </w:rPr>
              <w:t>2）</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91"/>
              <w:jc w:val="right"/>
              <w:rPr>
                <w:rFonts w:ascii="宋体" w:hAnsi="宋体" w:cs="宋体" w:eastAsia="宋体" w:hint="default"/>
                <w:sz w:val="12"/>
                <w:szCs w:val="12"/>
              </w:rPr>
            </w:pPr>
            <w:r>
              <w:rPr>
                <w:rFonts w:ascii="宋体"/>
                <w:w w:val="90"/>
                <w:sz w:val="12"/>
              </w:rPr>
              <w:t>(2,381,329,329)</w:t>
            </w:r>
            <w:r>
              <w:rPr>
                <w:rFonts w:ascii="宋体"/>
                <w:sz w:val="12"/>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389"/>
              <w:jc w:val="right"/>
              <w:rPr>
                <w:rFonts w:ascii="宋体" w:hAnsi="宋体" w:cs="宋体" w:eastAsia="宋体" w:hint="default"/>
                <w:sz w:val="12"/>
                <w:szCs w:val="12"/>
              </w:rPr>
            </w:pPr>
            <w:r>
              <w:rPr>
                <w:rFonts w:ascii="宋体"/>
                <w:w w:val="90"/>
                <w:sz w:val="12"/>
              </w:rPr>
              <w:t>(383,177,283)</w:t>
            </w:r>
            <w:r>
              <w:rPr>
                <w:rFonts w:ascii="宋体"/>
                <w:sz w:val="12"/>
              </w:rPr>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tabs>
                <w:tab w:pos="328" w:val="left" w:leader="none"/>
              </w:tabs>
              <w:spacing w:line="240" w:lineRule="auto"/>
              <w:ind w:right="91"/>
              <w:jc w:val="right"/>
              <w:rPr>
                <w:rFonts w:ascii="宋体" w:hAnsi="宋体" w:cs="宋体" w:eastAsia="宋体" w:hint="default"/>
                <w:sz w:val="12"/>
                <w:szCs w:val="12"/>
              </w:rPr>
            </w:pPr>
            <w:r>
              <w:rPr>
                <w:rFonts w:ascii="宋体"/>
                <w:w w:val="110"/>
                <w:sz w:val="12"/>
              </w:rPr>
              <w:t>-</w:t>
              <w:tab/>
            </w:r>
            <w:r>
              <w:rPr>
                <w:rFonts w:ascii="宋体"/>
                <w:w w:val="95"/>
                <w:sz w:val="12"/>
              </w:rPr>
              <w:t>1,599,213</w:t>
            </w:r>
            <w:r>
              <w:rPr>
                <w:rFonts w:ascii="宋体"/>
                <w:sz w:val="12"/>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91"/>
              <w:jc w:val="right"/>
              <w:rPr>
                <w:rFonts w:ascii="宋体" w:hAnsi="宋体" w:cs="宋体" w:eastAsia="宋体" w:hint="default"/>
                <w:sz w:val="12"/>
                <w:szCs w:val="12"/>
              </w:rPr>
            </w:pPr>
            <w:r>
              <w:rPr>
                <w:rFonts w:ascii="宋体"/>
                <w:w w:val="90"/>
                <w:sz w:val="12"/>
              </w:rPr>
              <w:t>(167,656,748)</w:t>
            </w:r>
            <w:r>
              <w:rPr>
                <w:rFonts w:ascii="宋体"/>
                <w:sz w:val="12"/>
              </w:rPr>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251"/>
              <w:jc w:val="right"/>
              <w:rPr>
                <w:rFonts w:ascii="宋体" w:hAnsi="宋体" w:cs="宋体" w:eastAsia="宋体" w:hint="default"/>
                <w:sz w:val="12"/>
                <w:szCs w:val="12"/>
              </w:rPr>
            </w:pPr>
            <w:r>
              <w:rPr>
                <w:rFonts w:ascii="宋体"/>
                <w:w w:val="90"/>
                <w:sz w:val="12"/>
              </w:rPr>
              <w:t>(213,921,322)</w:t>
            </w:r>
            <w:r>
              <w:rPr>
                <w:rFonts w:ascii="宋体"/>
                <w:sz w:val="12"/>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right="54"/>
              <w:jc w:val="right"/>
              <w:rPr>
                <w:rFonts w:ascii="宋体" w:hAnsi="宋体" w:cs="宋体" w:eastAsia="宋体" w:hint="default"/>
                <w:sz w:val="12"/>
                <w:szCs w:val="12"/>
              </w:rPr>
            </w:pPr>
            <w:r>
              <w:rPr>
                <w:rFonts w:ascii="宋体"/>
                <w:w w:val="90"/>
                <w:sz w:val="12"/>
              </w:rPr>
              <w:t>(2,548,986,077)</w:t>
            </w:r>
            <w:r>
              <w:rPr>
                <w:rFonts w:ascii="宋体"/>
                <w:sz w:val="12"/>
              </w:rPr>
            </w:r>
          </w:p>
        </w:tc>
      </w:tr>
      <w:tr>
        <w:trPr>
          <w:trHeight w:val="327" w:hRule="exact"/>
        </w:trPr>
        <w:tc>
          <w:tcPr>
            <w:tcW w:w="2532" w:type="dxa"/>
            <w:tcBorders>
              <w:top w:val="nil" w:sz="6" w:space="0" w:color="auto"/>
              <w:left w:val="nil" w:sz="6" w:space="0" w:color="auto"/>
              <w:bottom w:val="nil" w:sz="6" w:space="0" w:color="auto"/>
              <w:right w:val="nil" w:sz="6" w:space="0" w:color="auto"/>
            </w:tcBorders>
          </w:tcPr>
          <w:p>
            <w:pPr>
              <w:pStyle w:val="TableParagraph"/>
              <w:spacing w:line="129" w:lineRule="exact" w:before="60"/>
              <w:ind w:left="56" w:right="0"/>
              <w:jc w:val="left"/>
              <w:rPr>
                <w:rFonts w:ascii="宋体" w:hAnsi="宋体" w:cs="宋体" w:eastAsia="宋体" w:hint="default"/>
                <w:sz w:val="12"/>
                <w:szCs w:val="12"/>
              </w:rPr>
            </w:pPr>
            <w:r>
              <w:rPr>
                <w:rFonts w:ascii="宋体" w:hAnsi="宋体" w:cs="宋体" w:eastAsia="宋体" w:hint="default"/>
                <w:sz w:val="12"/>
                <w:szCs w:val="12"/>
              </w:rPr>
              <w:t>将重分类进损益的其他</w:t>
            </w:r>
          </w:p>
          <w:p>
            <w:pPr>
              <w:pStyle w:val="TableParagraph"/>
              <w:spacing w:line="129" w:lineRule="exact"/>
              <w:ind w:left="1560" w:right="0"/>
              <w:jc w:val="left"/>
              <w:rPr>
                <w:rFonts w:ascii="宋体" w:hAnsi="宋体" w:cs="宋体" w:eastAsia="宋体" w:hint="default"/>
                <w:sz w:val="12"/>
                <w:szCs w:val="12"/>
              </w:rPr>
            </w:pPr>
            <w:r>
              <w:rPr>
                <w:rFonts w:ascii="宋体"/>
                <w:sz w:val="12"/>
              </w:rPr>
              <w:t>(2,408,122,784)</w:t>
            </w:r>
          </w:p>
        </w:tc>
        <w:tc>
          <w:tcPr>
            <w:tcW w:w="1065"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91"/>
              <w:jc w:val="right"/>
              <w:rPr>
                <w:rFonts w:ascii="宋体" w:hAnsi="宋体" w:cs="宋体" w:eastAsia="宋体" w:hint="default"/>
                <w:sz w:val="12"/>
                <w:szCs w:val="12"/>
              </w:rPr>
            </w:pPr>
            <w:r>
              <w:rPr>
                <w:rFonts w:ascii="宋体"/>
                <w:w w:val="95"/>
                <w:sz w:val="12"/>
              </w:rPr>
              <w:t>2,381,329,329</w:t>
            </w:r>
            <w:r>
              <w:rPr>
                <w:rFonts w:ascii="宋体"/>
                <w:sz w:val="12"/>
              </w:rPr>
            </w:r>
          </w:p>
        </w:tc>
        <w:tc>
          <w:tcPr>
            <w:tcW w:w="1217"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389"/>
              <w:jc w:val="right"/>
              <w:rPr>
                <w:rFonts w:ascii="宋体" w:hAnsi="宋体" w:cs="宋体" w:eastAsia="宋体" w:hint="default"/>
                <w:sz w:val="12"/>
                <w:szCs w:val="12"/>
              </w:rPr>
            </w:pPr>
            <w:r>
              <w:rPr>
                <w:rFonts w:ascii="宋体"/>
                <w:sz w:val="12"/>
              </w:rPr>
              <w:t>144,741,929</w:t>
            </w:r>
          </w:p>
        </w:tc>
        <w:tc>
          <w:tcPr>
            <w:tcW w:w="1346"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tabs>
                <w:tab w:pos="782" w:val="left" w:leader="none"/>
              </w:tabs>
              <w:spacing w:line="240" w:lineRule="auto"/>
              <w:ind w:right="91"/>
              <w:jc w:val="right"/>
              <w:rPr>
                <w:rFonts w:ascii="宋体" w:hAnsi="宋体" w:cs="宋体" w:eastAsia="宋体" w:hint="default"/>
                <w:sz w:val="12"/>
                <w:szCs w:val="12"/>
              </w:rPr>
            </w:pPr>
            <w:r>
              <w:rPr>
                <w:rFonts w:ascii="宋体"/>
                <w:w w:val="130"/>
                <w:sz w:val="12"/>
              </w:rPr>
              <w:t>-</w:t>
              <w:tab/>
              <w:t>-</w:t>
            </w:r>
            <w:r>
              <w:rPr>
                <w:rFonts w:ascii="宋体"/>
                <w:sz w:val="12"/>
              </w:rPr>
            </w:r>
          </w:p>
        </w:tc>
        <w:tc>
          <w:tcPr>
            <w:tcW w:w="919"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91"/>
              <w:jc w:val="right"/>
              <w:rPr>
                <w:rFonts w:ascii="宋体" w:hAnsi="宋体" w:cs="宋体" w:eastAsia="宋体" w:hint="default"/>
                <w:sz w:val="12"/>
                <w:szCs w:val="12"/>
              </w:rPr>
            </w:pPr>
            <w:r>
              <w:rPr>
                <w:rFonts w:ascii="宋体"/>
                <w:w w:val="95"/>
                <w:sz w:val="12"/>
              </w:rPr>
              <w:t>63,596,321</w:t>
            </w:r>
            <w:r>
              <w:rPr>
                <w:rFonts w:ascii="宋体"/>
                <w:sz w:val="12"/>
              </w:rPr>
            </w:r>
          </w:p>
        </w:tc>
        <w:tc>
          <w:tcPr>
            <w:tcW w:w="1078"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250"/>
              <w:jc w:val="right"/>
              <w:rPr>
                <w:rFonts w:ascii="宋体" w:hAnsi="宋体" w:cs="宋体" w:eastAsia="宋体" w:hint="default"/>
                <w:sz w:val="12"/>
                <w:szCs w:val="12"/>
              </w:rPr>
            </w:pPr>
            <w:r>
              <w:rPr>
                <w:rFonts w:ascii="宋体"/>
                <w:w w:val="95"/>
                <w:sz w:val="12"/>
              </w:rPr>
              <w:t>81,145,608</w:t>
            </w:r>
            <w:r>
              <w:rPr>
                <w:rFonts w:ascii="宋体"/>
                <w:sz w:val="12"/>
              </w:rPr>
            </w:r>
          </w:p>
        </w:tc>
        <w:tc>
          <w:tcPr>
            <w:tcW w:w="1141" w:type="dxa"/>
            <w:tcBorders>
              <w:top w:val="nil" w:sz="6" w:space="0" w:color="auto"/>
              <w:left w:val="nil" w:sz="6" w:space="0" w:color="auto"/>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54"/>
              <w:jc w:val="right"/>
              <w:rPr>
                <w:rFonts w:ascii="宋体" w:hAnsi="宋体" w:cs="宋体" w:eastAsia="宋体" w:hint="default"/>
                <w:sz w:val="12"/>
                <w:szCs w:val="12"/>
              </w:rPr>
            </w:pPr>
            <w:r>
              <w:rPr>
                <w:rFonts w:ascii="宋体"/>
                <w:w w:val="95"/>
                <w:sz w:val="12"/>
              </w:rPr>
              <w:t>36,802,866</w:t>
            </w:r>
            <w:r>
              <w:rPr>
                <w:rFonts w:ascii="宋体"/>
                <w:sz w:val="12"/>
              </w:rPr>
            </w:r>
          </w:p>
        </w:tc>
      </w:tr>
      <w:tr>
        <w:trPr>
          <w:trHeight w:val="373" w:hRule="exact"/>
        </w:trPr>
        <w:tc>
          <w:tcPr>
            <w:tcW w:w="2532" w:type="dxa"/>
            <w:tcBorders>
              <w:top w:val="nil" w:sz="6" w:space="0" w:color="auto"/>
              <w:left w:val="nil" w:sz="6" w:space="0" w:color="auto"/>
              <w:bottom w:val="nil" w:sz="6" w:space="0" w:color="auto"/>
              <w:right w:val="nil" w:sz="6" w:space="0" w:color="auto"/>
            </w:tcBorders>
          </w:tcPr>
          <w:p>
            <w:pPr>
              <w:pStyle w:val="TableParagraph"/>
              <w:spacing w:line="91" w:lineRule="exact"/>
              <w:ind w:left="56" w:right="0"/>
              <w:jc w:val="left"/>
              <w:rPr>
                <w:rFonts w:ascii="宋体" w:hAnsi="宋体" w:cs="宋体" w:eastAsia="宋体" w:hint="default"/>
                <w:sz w:val="12"/>
                <w:szCs w:val="12"/>
              </w:rPr>
            </w:pPr>
            <w:r>
              <w:rPr>
                <w:rFonts w:ascii="宋体" w:hAnsi="宋体" w:cs="宋体" w:eastAsia="宋体" w:hint="default"/>
                <w:sz w:val="12"/>
                <w:szCs w:val="12"/>
              </w:rPr>
              <w:t>综合收益</w:t>
            </w:r>
          </w:p>
          <w:p>
            <w:pPr>
              <w:pStyle w:val="TableParagraph"/>
              <w:spacing w:line="240" w:lineRule="auto" w:before="76"/>
              <w:ind w:left="57" w:right="0"/>
              <w:jc w:val="left"/>
              <w:rPr>
                <w:rFonts w:ascii="宋体" w:hAnsi="宋体" w:cs="宋体" w:eastAsia="宋体" w:hint="default"/>
                <w:sz w:val="12"/>
                <w:szCs w:val="12"/>
              </w:rPr>
            </w:pPr>
            <w:r>
              <w:rPr>
                <w:rFonts w:ascii="宋体" w:hAnsi="宋体" w:cs="宋体" w:eastAsia="宋体" w:hint="default"/>
                <w:sz w:val="12"/>
                <w:szCs w:val="12"/>
              </w:rPr>
              <w:t>其中：可供出售金融资</w:t>
            </w:r>
          </w:p>
        </w:tc>
        <w:tc>
          <w:tcPr>
            <w:tcW w:w="1065" w:type="dxa"/>
            <w:tcBorders>
              <w:top w:val="nil" w:sz="6" w:space="0" w:color="auto"/>
              <w:left w:val="nil" w:sz="6" w:space="0" w:color="auto"/>
              <w:bottom w:val="nil" w:sz="6" w:space="0" w:color="auto"/>
              <w:right w:val="nil" w:sz="6" w:space="0" w:color="auto"/>
            </w:tcBorders>
          </w:tcPr>
          <w:p>
            <w:pPr/>
          </w:p>
        </w:tc>
        <w:tc>
          <w:tcPr>
            <w:tcW w:w="1217"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919" w:type="dxa"/>
            <w:tcBorders>
              <w:top w:val="nil" w:sz="6" w:space="0" w:color="auto"/>
              <w:left w:val="nil" w:sz="6" w:space="0" w:color="auto"/>
              <w:bottom w:val="nil" w:sz="6" w:space="0" w:color="auto"/>
              <w:right w:val="nil" w:sz="6" w:space="0" w:color="auto"/>
            </w:tcBorders>
          </w:tcPr>
          <w:p>
            <w:pPr/>
          </w:p>
        </w:tc>
        <w:tc>
          <w:tcPr>
            <w:tcW w:w="1078" w:type="dxa"/>
            <w:tcBorders>
              <w:top w:val="nil" w:sz="6" w:space="0" w:color="auto"/>
              <w:left w:val="nil" w:sz="6" w:space="0" w:color="auto"/>
              <w:bottom w:val="nil" w:sz="6" w:space="0" w:color="auto"/>
              <w:right w:val="nil" w:sz="6" w:space="0" w:color="auto"/>
            </w:tcBorders>
          </w:tcPr>
          <w:p>
            <w:pPr/>
          </w:p>
        </w:tc>
        <w:tc>
          <w:tcPr>
            <w:tcW w:w="1141" w:type="dxa"/>
            <w:tcBorders>
              <w:top w:val="nil" w:sz="6" w:space="0" w:color="auto"/>
              <w:left w:val="nil" w:sz="6" w:space="0" w:color="auto"/>
              <w:bottom w:val="nil" w:sz="6" w:space="0" w:color="auto"/>
              <w:right w:val="nil" w:sz="6" w:space="0" w:color="auto"/>
            </w:tcBorders>
          </w:tcPr>
          <w:p>
            <w:pPr/>
          </w:p>
        </w:tc>
      </w:tr>
      <w:tr>
        <w:trPr>
          <w:trHeight w:val="367" w:hRule="exact"/>
        </w:trPr>
        <w:tc>
          <w:tcPr>
            <w:tcW w:w="2532" w:type="dxa"/>
            <w:tcBorders>
              <w:top w:val="nil" w:sz="6" w:space="0" w:color="auto"/>
              <w:left w:val="nil" w:sz="6" w:space="0" w:color="auto"/>
              <w:bottom w:val="nil" w:sz="6" w:space="0" w:color="auto"/>
              <w:right w:val="nil" w:sz="6" w:space="0" w:color="auto"/>
            </w:tcBorders>
          </w:tcPr>
          <w:p>
            <w:pPr>
              <w:pStyle w:val="TableParagraph"/>
              <w:tabs>
                <w:tab w:pos="1560" w:val="left" w:leader="none"/>
              </w:tabs>
              <w:spacing w:line="151" w:lineRule="exact"/>
              <w:ind w:left="425" w:right="0"/>
              <w:jc w:val="left"/>
              <w:rPr>
                <w:rFonts w:ascii="宋体" w:hAnsi="宋体" w:cs="宋体" w:eastAsia="宋体" w:hint="default"/>
                <w:sz w:val="12"/>
                <w:szCs w:val="12"/>
              </w:rPr>
            </w:pPr>
            <w:r>
              <w:rPr>
                <w:rFonts w:ascii="宋体" w:hAnsi="宋体" w:cs="宋体" w:eastAsia="宋体" w:hint="default"/>
                <w:sz w:val="12"/>
                <w:szCs w:val="12"/>
              </w:rPr>
              <w:t>产公允价值变动</w:t>
              <w:tab/>
              <w:t>(2,381,329,329)</w:t>
            </w:r>
          </w:p>
          <w:p>
            <w:pPr>
              <w:pStyle w:val="TableParagraph"/>
              <w:spacing w:line="240" w:lineRule="auto" w:before="43"/>
              <w:ind w:left="425" w:right="0"/>
              <w:jc w:val="left"/>
              <w:rPr>
                <w:rFonts w:ascii="宋体" w:hAnsi="宋体" w:cs="宋体" w:eastAsia="宋体" w:hint="default"/>
                <w:sz w:val="12"/>
                <w:szCs w:val="12"/>
              </w:rPr>
            </w:pPr>
            <w:r>
              <w:rPr>
                <w:rFonts w:ascii="宋体" w:hAnsi="宋体" w:cs="宋体" w:eastAsia="宋体" w:hint="default"/>
                <w:sz w:val="12"/>
                <w:szCs w:val="12"/>
              </w:rPr>
              <w:t>（注</w:t>
            </w:r>
            <w:r>
              <w:rPr>
                <w:rFonts w:ascii="宋体" w:hAnsi="宋体" w:cs="宋体" w:eastAsia="宋体" w:hint="default"/>
                <w:spacing w:val="-24"/>
                <w:sz w:val="12"/>
                <w:szCs w:val="12"/>
              </w:rPr>
              <w:t> </w:t>
            </w:r>
            <w:r>
              <w:rPr>
                <w:rFonts w:ascii="宋体" w:hAnsi="宋体" w:cs="宋体" w:eastAsia="宋体" w:hint="default"/>
                <w:sz w:val="12"/>
                <w:szCs w:val="12"/>
              </w:rPr>
              <w:t>2）</w:t>
            </w:r>
          </w:p>
        </w:tc>
        <w:tc>
          <w:tcPr>
            <w:tcW w:w="1065" w:type="dxa"/>
            <w:tcBorders>
              <w:top w:val="nil" w:sz="6" w:space="0" w:color="auto"/>
              <w:left w:val="nil" w:sz="6" w:space="0" w:color="auto"/>
              <w:bottom w:val="nil" w:sz="6" w:space="0" w:color="auto"/>
              <w:right w:val="nil" w:sz="6" w:space="0" w:color="auto"/>
            </w:tcBorders>
          </w:tcPr>
          <w:p>
            <w:pPr>
              <w:pStyle w:val="TableParagraph"/>
              <w:spacing w:line="151" w:lineRule="exact"/>
              <w:ind w:right="90"/>
              <w:jc w:val="right"/>
              <w:rPr>
                <w:rFonts w:ascii="宋体" w:hAnsi="宋体" w:cs="宋体" w:eastAsia="宋体" w:hint="default"/>
                <w:sz w:val="12"/>
                <w:szCs w:val="12"/>
              </w:rPr>
            </w:pPr>
            <w:r>
              <w:rPr>
                <w:rFonts w:ascii="宋体"/>
                <w:w w:val="95"/>
                <w:sz w:val="12"/>
              </w:rPr>
              <w:t>2,381,329,329</w:t>
            </w:r>
            <w:r>
              <w:rPr>
                <w:rFonts w:ascii="宋体"/>
                <w:sz w:val="12"/>
              </w:rPr>
            </w:r>
          </w:p>
        </w:tc>
        <w:tc>
          <w:tcPr>
            <w:tcW w:w="1217" w:type="dxa"/>
            <w:tcBorders>
              <w:top w:val="nil" w:sz="6" w:space="0" w:color="auto"/>
              <w:left w:val="nil" w:sz="6" w:space="0" w:color="auto"/>
              <w:bottom w:val="nil" w:sz="6" w:space="0" w:color="auto"/>
              <w:right w:val="nil" w:sz="6" w:space="0" w:color="auto"/>
            </w:tcBorders>
          </w:tcPr>
          <w:p>
            <w:pPr>
              <w:pStyle w:val="TableParagraph"/>
              <w:spacing w:line="151" w:lineRule="exact"/>
              <w:ind w:right="389"/>
              <w:jc w:val="right"/>
              <w:rPr>
                <w:rFonts w:ascii="宋体" w:hAnsi="宋体" w:cs="宋体" w:eastAsia="宋体" w:hint="default"/>
                <w:sz w:val="12"/>
                <w:szCs w:val="12"/>
              </w:rPr>
            </w:pPr>
            <w:r>
              <w:rPr>
                <w:rFonts w:ascii="宋体"/>
                <w:w w:val="131"/>
                <w:sz w:val="12"/>
              </w:rPr>
              <w:t>-</w:t>
            </w:r>
            <w:r>
              <w:rPr>
                <w:rFonts w:ascii="宋体"/>
                <w:sz w:val="12"/>
              </w:rPr>
            </w:r>
          </w:p>
        </w:tc>
        <w:tc>
          <w:tcPr>
            <w:tcW w:w="1346" w:type="dxa"/>
            <w:tcBorders>
              <w:top w:val="nil" w:sz="6" w:space="0" w:color="auto"/>
              <w:left w:val="nil" w:sz="6" w:space="0" w:color="auto"/>
              <w:bottom w:val="nil" w:sz="6" w:space="0" w:color="auto"/>
              <w:right w:val="nil" w:sz="6" w:space="0" w:color="auto"/>
            </w:tcBorders>
          </w:tcPr>
          <w:p>
            <w:pPr>
              <w:pStyle w:val="TableParagraph"/>
              <w:tabs>
                <w:tab w:pos="782" w:val="left" w:leader="none"/>
              </w:tabs>
              <w:spacing w:line="151" w:lineRule="exact"/>
              <w:ind w:right="90"/>
              <w:jc w:val="right"/>
              <w:rPr>
                <w:rFonts w:ascii="宋体" w:hAnsi="宋体" w:cs="宋体" w:eastAsia="宋体" w:hint="default"/>
                <w:sz w:val="12"/>
                <w:szCs w:val="12"/>
              </w:rPr>
            </w:pPr>
            <w:r>
              <w:rPr>
                <w:rFonts w:ascii="宋体"/>
                <w:w w:val="130"/>
                <w:sz w:val="12"/>
              </w:rPr>
              <w:t>-</w:t>
              <w:tab/>
              <w:t>-</w:t>
            </w:r>
            <w:r>
              <w:rPr>
                <w:rFonts w:ascii="宋体"/>
                <w:sz w:val="12"/>
              </w:rPr>
            </w:r>
          </w:p>
        </w:tc>
        <w:tc>
          <w:tcPr>
            <w:tcW w:w="919" w:type="dxa"/>
            <w:tcBorders>
              <w:top w:val="nil" w:sz="6" w:space="0" w:color="auto"/>
              <w:left w:val="nil" w:sz="6" w:space="0" w:color="auto"/>
              <w:bottom w:val="nil" w:sz="6" w:space="0" w:color="auto"/>
              <w:right w:val="nil" w:sz="6" w:space="0" w:color="auto"/>
            </w:tcBorders>
          </w:tcPr>
          <w:p>
            <w:pPr>
              <w:pStyle w:val="TableParagraph"/>
              <w:spacing w:line="151" w:lineRule="exact"/>
              <w:ind w:right="91"/>
              <w:jc w:val="right"/>
              <w:rPr>
                <w:rFonts w:ascii="宋体" w:hAnsi="宋体" w:cs="宋体" w:eastAsia="宋体" w:hint="default"/>
                <w:sz w:val="12"/>
                <w:szCs w:val="12"/>
              </w:rPr>
            </w:pPr>
            <w:r>
              <w:rPr>
                <w:rFonts w:ascii="宋体"/>
                <w:w w:val="131"/>
                <w:sz w:val="12"/>
              </w:rPr>
              <w:t>-</w:t>
            </w:r>
            <w:r>
              <w:rPr>
                <w:rFonts w:ascii="宋体"/>
                <w:sz w:val="12"/>
              </w:rPr>
            </w:r>
          </w:p>
        </w:tc>
        <w:tc>
          <w:tcPr>
            <w:tcW w:w="1078" w:type="dxa"/>
            <w:tcBorders>
              <w:top w:val="nil" w:sz="6" w:space="0" w:color="auto"/>
              <w:left w:val="nil" w:sz="6" w:space="0" w:color="auto"/>
              <w:bottom w:val="nil" w:sz="6" w:space="0" w:color="auto"/>
              <w:right w:val="nil" w:sz="6" w:space="0" w:color="auto"/>
            </w:tcBorders>
          </w:tcPr>
          <w:p>
            <w:pPr>
              <w:pStyle w:val="TableParagraph"/>
              <w:spacing w:line="151" w:lineRule="exact"/>
              <w:ind w:right="250"/>
              <w:jc w:val="right"/>
              <w:rPr>
                <w:rFonts w:ascii="宋体" w:hAnsi="宋体" w:cs="宋体" w:eastAsia="宋体" w:hint="default"/>
                <w:sz w:val="12"/>
                <w:szCs w:val="12"/>
              </w:rPr>
            </w:pPr>
            <w:r>
              <w:rPr>
                <w:rFonts w:ascii="宋体"/>
                <w:w w:val="131"/>
                <w:sz w:val="12"/>
              </w:rPr>
              <w:t>-</w:t>
            </w:r>
            <w:r>
              <w:rPr>
                <w:rFonts w:ascii="宋体"/>
                <w:sz w:val="12"/>
              </w:rPr>
            </w:r>
          </w:p>
        </w:tc>
        <w:tc>
          <w:tcPr>
            <w:tcW w:w="1141" w:type="dxa"/>
            <w:tcBorders>
              <w:top w:val="nil" w:sz="6" w:space="0" w:color="auto"/>
              <w:left w:val="nil" w:sz="6" w:space="0" w:color="auto"/>
              <w:bottom w:val="nil" w:sz="6" w:space="0" w:color="auto"/>
              <w:right w:val="nil" w:sz="6" w:space="0" w:color="auto"/>
            </w:tcBorders>
          </w:tcPr>
          <w:p>
            <w:pPr>
              <w:pStyle w:val="TableParagraph"/>
              <w:spacing w:line="151" w:lineRule="exact"/>
              <w:ind w:right="54"/>
              <w:jc w:val="right"/>
              <w:rPr>
                <w:rFonts w:ascii="宋体" w:hAnsi="宋体" w:cs="宋体" w:eastAsia="宋体" w:hint="default"/>
                <w:sz w:val="12"/>
                <w:szCs w:val="12"/>
              </w:rPr>
            </w:pPr>
            <w:r>
              <w:rPr>
                <w:rFonts w:ascii="宋体"/>
                <w:w w:val="131"/>
                <w:sz w:val="12"/>
              </w:rPr>
              <w:t>-</w:t>
            </w:r>
            <w:r>
              <w:rPr>
                <w:rFonts w:ascii="宋体"/>
                <w:sz w:val="12"/>
              </w:rPr>
            </w:r>
          </w:p>
        </w:tc>
      </w:tr>
      <w:tr>
        <w:trPr>
          <w:trHeight w:val="543" w:hRule="exact"/>
        </w:trPr>
        <w:tc>
          <w:tcPr>
            <w:tcW w:w="2532" w:type="dxa"/>
            <w:tcBorders>
              <w:top w:val="nil" w:sz="6" w:space="0" w:color="auto"/>
              <w:left w:val="nil" w:sz="6" w:space="0" w:color="auto"/>
              <w:bottom w:val="single" w:sz="6" w:space="0" w:color="000000"/>
              <w:right w:val="nil" w:sz="6" w:space="0" w:color="auto"/>
            </w:tcBorders>
          </w:tcPr>
          <w:p>
            <w:pPr>
              <w:pStyle w:val="TableParagraph"/>
              <w:spacing w:line="129" w:lineRule="exact" w:before="60"/>
              <w:ind w:left="425" w:right="0"/>
              <w:jc w:val="left"/>
              <w:rPr>
                <w:rFonts w:ascii="宋体" w:hAnsi="宋体" w:cs="宋体" w:eastAsia="宋体" w:hint="default"/>
                <w:sz w:val="12"/>
                <w:szCs w:val="12"/>
              </w:rPr>
            </w:pPr>
            <w:r>
              <w:rPr>
                <w:rFonts w:ascii="宋体" w:hAnsi="宋体" w:cs="宋体" w:eastAsia="宋体" w:hint="default"/>
                <w:sz w:val="12"/>
                <w:szCs w:val="12"/>
              </w:rPr>
              <w:t>外币财务报表折</w:t>
            </w:r>
          </w:p>
          <w:p>
            <w:pPr>
              <w:pStyle w:val="TableParagraph"/>
              <w:spacing w:line="100" w:lineRule="exact"/>
              <w:ind w:right="137"/>
              <w:jc w:val="right"/>
              <w:rPr>
                <w:rFonts w:ascii="宋体" w:hAnsi="宋体" w:cs="宋体" w:eastAsia="宋体" w:hint="default"/>
                <w:sz w:val="12"/>
                <w:szCs w:val="12"/>
              </w:rPr>
            </w:pPr>
            <w:r>
              <w:rPr>
                <w:rFonts w:ascii="宋体"/>
                <w:w w:val="90"/>
                <w:sz w:val="12"/>
              </w:rPr>
              <w:t>(26,793,455)</w:t>
            </w:r>
            <w:r>
              <w:rPr>
                <w:rFonts w:ascii="宋体"/>
                <w:sz w:val="12"/>
              </w:rPr>
            </w:r>
          </w:p>
          <w:p>
            <w:pPr>
              <w:pStyle w:val="TableParagraph"/>
              <w:spacing w:line="128" w:lineRule="exact"/>
              <w:ind w:left="425" w:right="0"/>
              <w:jc w:val="left"/>
              <w:rPr>
                <w:rFonts w:ascii="宋体" w:hAnsi="宋体" w:cs="宋体" w:eastAsia="宋体" w:hint="default"/>
                <w:sz w:val="12"/>
                <w:szCs w:val="12"/>
              </w:rPr>
            </w:pPr>
            <w:r>
              <w:rPr>
                <w:rFonts w:ascii="宋体" w:hAnsi="宋体" w:cs="宋体" w:eastAsia="宋体" w:hint="default"/>
                <w:sz w:val="12"/>
                <w:szCs w:val="12"/>
              </w:rPr>
              <w:t>算差额</w:t>
            </w:r>
          </w:p>
        </w:tc>
        <w:tc>
          <w:tcPr>
            <w:tcW w:w="1065"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90"/>
              <w:jc w:val="right"/>
              <w:rPr>
                <w:rFonts w:ascii="宋体" w:hAnsi="宋体" w:cs="宋体" w:eastAsia="宋体" w:hint="default"/>
                <w:sz w:val="12"/>
                <w:szCs w:val="12"/>
              </w:rPr>
            </w:pPr>
            <w:r>
              <w:rPr>
                <w:rFonts w:ascii="宋体"/>
                <w:w w:val="131"/>
                <w:sz w:val="12"/>
              </w:rPr>
              <w:t>-</w:t>
            </w:r>
            <w:r>
              <w:rPr>
                <w:rFonts w:ascii="宋体"/>
                <w:sz w:val="12"/>
              </w:rPr>
            </w:r>
          </w:p>
        </w:tc>
        <w:tc>
          <w:tcPr>
            <w:tcW w:w="1217"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389"/>
              <w:jc w:val="right"/>
              <w:rPr>
                <w:rFonts w:ascii="宋体" w:hAnsi="宋体" w:cs="宋体" w:eastAsia="宋体" w:hint="default"/>
                <w:sz w:val="12"/>
                <w:szCs w:val="12"/>
              </w:rPr>
            </w:pPr>
            <w:r>
              <w:rPr>
                <w:rFonts w:ascii="宋体"/>
                <w:sz w:val="12"/>
              </w:rPr>
              <w:t>144,741,929</w:t>
            </w:r>
          </w:p>
        </w:tc>
        <w:tc>
          <w:tcPr>
            <w:tcW w:w="1346"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tabs>
                <w:tab w:pos="782" w:val="left" w:leader="none"/>
              </w:tabs>
              <w:spacing w:line="240" w:lineRule="auto"/>
              <w:ind w:right="90"/>
              <w:jc w:val="right"/>
              <w:rPr>
                <w:rFonts w:ascii="宋体" w:hAnsi="宋体" w:cs="宋体" w:eastAsia="宋体" w:hint="default"/>
                <w:sz w:val="12"/>
                <w:szCs w:val="12"/>
              </w:rPr>
            </w:pPr>
            <w:r>
              <w:rPr>
                <w:rFonts w:ascii="宋体"/>
                <w:w w:val="130"/>
                <w:sz w:val="12"/>
              </w:rPr>
              <w:t>-</w:t>
              <w:tab/>
              <w:t>-</w:t>
            </w:r>
            <w:r>
              <w:rPr>
                <w:rFonts w:ascii="宋体"/>
                <w:sz w:val="12"/>
              </w:rPr>
            </w:r>
          </w:p>
        </w:tc>
        <w:tc>
          <w:tcPr>
            <w:tcW w:w="919"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90"/>
              <w:jc w:val="right"/>
              <w:rPr>
                <w:rFonts w:ascii="宋体" w:hAnsi="宋体" w:cs="宋体" w:eastAsia="宋体" w:hint="default"/>
                <w:sz w:val="12"/>
                <w:szCs w:val="12"/>
              </w:rPr>
            </w:pPr>
            <w:r>
              <w:rPr>
                <w:rFonts w:ascii="宋体"/>
                <w:w w:val="95"/>
                <w:sz w:val="12"/>
              </w:rPr>
              <w:t>63,596,321</w:t>
            </w:r>
            <w:r>
              <w:rPr>
                <w:rFonts w:ascii="宋体"/>
                <w:sz w:val="12"/>
              </w:rPr>
            </w:r>
          </w:p>
        </w:tc>
        <w:tc>
          <w:tcPr>
            <w:tcW w:w="1078"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250"/>
              <w:jc w:val="right"/>
              <w:rPr>
                <w:rFonts w:ascii="宋体" w:hAnsi="宋体" w:cs="宋体" w:eastAsia="宋体" w:hint="default"/>
                <w:sz w:val="12"/>
                <w:szCs w:val="12"/>
              </w:rPr>
            </w:pPr>
            <w:r>
              <w:rPr>
                <w:rFonts w:ascii="宋体"/>
                <w:w w:val="95"/>
                <w:sz w:val="12"/>
              </w:rPr>
              <w:t>81,145,608</w:t>
            </w:r>
            <w:r>
              <w:rPr>
                <w:rFonts w:ascii="宋体"/>
                <w:sz w:val="12"/>
              </w:rPr>
            </w:r>
          </w:p>
        </w:tc>
        <w:tc>
          <w:tcPr>
            <w:tcW w:w="1141" w:type="dxa"/>
            <w:tcBorders>
              <w:top w:val="nil" w:sz="6" w:space="0" w:color="auto"/>
              <w:left w:val="nil" w:sz="6" w:space="0" w:color="auto"/>
              <w:bottom w:val="single" w:sz="6" w:space="0" w:color="000000"/>
              <w:right w:val="nil" w:sz="6" w:space="0" w:color="auto"/>
            </w:tcBorders>
          </w:tcPr>
          <w:p>
            <w:pPr>
              <w:pStyle w:val="TableParagraph"/>
              <w:spacing w:line="240" w:lineRule="auto" w:before="4"/>
              <w:ind w:right="0"/>
              <w:jc w:val="left"/>
              <w:rPr>
                <w:rFonts w:ascii="宋体" w:hAnsi="宋体" w:cs="宋体" w:eastAsia="宋体" w:hint="default"/>
                <w:sz w:val="12"/>
                <w:szCs w:val="12"/>
              </w:rPr>
            </w:pPr>
          </w:p>
          <w:p>
            <w:pPr>
              <w:pStyle w:val="TableParagraph"/>
              <w:spacing w:line="240" w:lineRule="auto"/>
              <w:ind w:right="53"/>
              <w:jc w:val="right"/>
              <w:rPr>
                <w:rFonts w:ascii="宋体" w:hAnsi="宋体" w:cs="宋体" w:eastAsia="宋体" w:hint="default"/>
                <w:sz w:val="12"/>
                <w:szCs w:val="12"/>
              </w:rPr>
            </w:pPr>
            <w:r>
              <w:rPr>
                <w:rFonts w:ascii="宋体"/>
                <w:w w:val="95"/>
                <w:sz w:val="12"/>
              </w:rPr>
              <w:t>36,802,866</w:t>
            </w:r>
            <w:r>
              <w:rPr>
                <w:rFonts w:ascii="宋体"/>
                <w:sz w:val="12"/>
              </w:rPr>
            </w:r>
          </w:p>
        </w:tc>
      </w:tr>
      <w:tr>
        <w:trPr>
          <w:trHeight w:val="350" w:hRule="exact"/>
        </w:trPr>
        <w:tc>
          <w:tcPr>
            <w:tcW w:w="2532" w:type="dxa"/>
            <w:tcBorders>
              <w:top w:val="single" w:sz="6" w:space="0" w:color="000000"/>
              <w:left w:val="nil" w:sz="6" w:space="0" w:color="auto"/>
              <w:bottom w:val="nil" w:sz="6" w:space="0" w:color="auto"/>
              <w:right w:val="nil" w:sz="6" w:space="0" w:color="auto"/>
            </w:tcBorders>
          </w:tcPr>
          <w:p>
            <w:pPr>
              <w:pStyle w:val="TableParagraph"/>
              <w:tabs>
                <w:tab w:pos="1560" w:val="left" w:leader="none"/>
              </w:tabs>
              <w:spacing w:line="240" w:lineRule="auto" w:before="76"/>
              <w:ind w:left="56" w:right="0"/>
              <w:jc w:val="left"/>
              <w:rPr>
                <w:rFonts w:ascii="宋体" w:hAnsi="宋体" w:cs="宋体" w:eastAsia="宋体" w:hint="default"/>
                <w:sz w:val="12"/>
                <w:szCs w:val="12"/>
              </w:rPr>
            </w:pPr>
            <w:r>
              <w:rPr>
                <w:rFonts w:ascii="宋体" w:hAnsi="宋体" w:cs="宋体" w:eastAsia="宋体" w:hint="default"/>
                <w:sz w:val="12"/>
                <w:szCs w:val="12"/>
              </w:rPr>
              <w:t>合计</w:t>
              <w:tab/>
              <w:t>(2,395,862,753)</w:t>
            </w:r>
          </w:p>
        </w:tc>
        <w:tc>
          <w:tcPr>
            <w:tcW w:w="1065"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91"/>
              <w:jc w:val="right"/>
              <w:rPr>
                <w:rFonts w:ascii="宋体" w:hAnsi="宋体" w:cs="宋体" w:eastAsia="宋体" w:hint="default"/>
                <w:sz w:val="12"/>
                <w:szCs w:val="12"/>
              </w:rPr>
            </w:pPr>
            <w:r>
              <w:rPr>
                <w:rFonts w:ascii="宋体"/>
                <w:w w:val="131"/>
                <w:sz w:val="12"/>
              </w:rPr>
              <w:t>-</w:t>
            </w:r>
            <w:r>
              <w:rPr>
                <w:rFonts w:ascii="宋体"/>
                <w:sz w:val="12"/>
              </w:rPr>
            </w:r>
          </w:p>
        </w:tc>
        <w:tc>
          <w:tcPr>
            <w:tcW w:w="1217"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389"/>
              <w:jc w:val="right"/>
              <w:rPr>
                <w:rFonts w:ascii="宋体" w:hAnsi="宋体" w:cs="宋体" w:eastAsia="宋体" w:hint="default"/>
                <w:sz w:val="12"/>
                <w:szCs w:val="12"/>
              </w:rPr>
            </w:pPr>
            <w:r>
              <w:rPr>
                <w:rFonts w:ascii="宋体"/>
                <w:w w:val="90"/>
                <w:sz w:val="12"/>
              </w:rPr>
              <w:t>(247,603,046)</w:t>
            </w:r>
            <w:r>
              <w:rPr>
                <w:rFonts w:ascii="宋体"/>
                <w:sz w:val="12"/>
              </w:rPr>
            </w:r>
          </w:p>
        </w:tc>
        <w:tc>
          <w:tcPr>
            <w:tcW w:w="1346" w:type="dxa"/>
            <w:tcBorders>
              <w:top w:val="single" w:sz="6" w:space="0" w:color="000000"/>
              <w:left w:val="nil" w:sz="6" w:space="0" w:color="auto"/>
              <w:bottom w:val="nil" w:sz="6" w:space="0" w:color="auto"/>
              <w:right w:val="nil" w:sz="6" w:space="0" w:color="auto"/>
            </w:tcBorders>
          </w:tcPr>
          <w:p>
            <w:pPr>
              <w:pStyle w:val="TableParagraph"/>
              <w:tabs>
                <w:tab w:pos="328" w:val="left" w:leader="none"/>
              </w:tabs>
              <w:spacing w:line="240" w:lineRule="auto" w:before="76"/>
              <w:ind w:right="91"/>
              <w:jc w:val="right"/>
              <w:rPr>
                <w:rFonts w:ascii="宋体" w:hAnsi="宋体" w:cs="宋体" w:eastAsia="宋体" w:hint="default"/>
                <w:sz w:val="12"/>
                <w:szCs w:val="12"/>
              </w:rPr>
            </w:pPr>
            <w:r>
              <w:rPr>
                <w:rFonts w:ascii="宋体"/>
                <w:w w:val="110"/>
                <w:sz w:val="12"/>
              </w:rPr>
              <w:t>-</w:t>
              <w:tab/>
            </w:r>
            <w:r>
              <w:rPr>
                <w:rFonts w:ascii="宋体"/>
                <w:w w:val="95"/>
                <w:sz w:val="12"/>
              </w:rPr>
              <w:t>2,510,508</w:t>
            </w:r>
            <w:r>
              <w:rPr>
                <w:rFonts w:ascii="宋体"/>
                <w:sz w:val="12"/>
              </w:rPr>
            </w:r>
          </w:p>
        </w:tc>
        <w:tc>
          <w:tcPr>
            <w:tcW w:w="919"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91"/>
              <w:jc w:val="right"/>
              <w:rPr>
                <w:rFonts w:ascii="宋体" w:hAnsi="宋体" w:cs="宋体" w:eastAsia="宋体" w:hint="default"/>
                <w:sz w:val="12"/>
                <w:szCs w:val="12"/>
              </w:rPr>
            </w:pPr>
            <w:r>
              <w:rPr>
                <w:rFonts w:ascii="宋体"/>
                <w:w w:val="90"/>
                <w:sz w:val="12"/>
              </w:rPr>
              <w:t>(107,688,101)</w:t>
            </w:r>
            <w:r>
              <w:rPr>
                <w:rFonts w:ascii="宋体"/>
                <w:sz w:val="12"/>
              </w:rPr>
            </w:r>
          </w:p>
        </w:tc>
        <w:tc>
          <w:tcPr>
            <w:tcW w:w="1078"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251"/>
              <w:jc w:val="right"/>
              <w:rPr>
                <w:rFonts w:ascii="宋体" w:hAnsi="宋体" w:cs="宋体" w:eastAsia="宋体" w:hint="default"/>
                <w:sz w:val="12"/>
                <w:szCs w:val="12"/>
              </w:rPr>
            </w:pPr>
            <w:r>
              <w:rPr>
                <w:rFonts w:ascii="宋体"/>
                <w:w w:val="90"/>
                <w:sz w:val="12"/>
              </w:rPr>
              <w:t>(137,404,437)</w:t>
            </w:r>
            <w:r>
              <w:rPr>
                <w:rFonts w:ascii="宋体"/>
                <w:sz w:val="12"/>
              </w:rPr>
            </w:r>
          </w:p>
        </w:tc>
        <w:tc>
          <w:tcPr>
            <w:tcW w:w="1141" w:type="dxa"/>
            <w:tcBorders>
              <w:top w:val="single" w:sz="6" w:space="0" w:color="000000"/>
              <w:left w:val="nil" w:sz="6" w:space="0" w:color="auto"/>
              <w:bottom w:val="nil" w:sz="6" w:space="0" w:color="auto"/>
              <w:right w:val="nil" w:sz="6" w:space="0" w:color="auto"/>
            </w:tcBorders>
          </w:tcPr>
          <w:p>
            <w:pPr>
              <w:pStyle w:val="TableParagraph"/>
              <w:spacing w:line="240" w:lineRule="auto" w:before="76"/>
              <w:ind w:right="54"/>
              <w:jc w:val="right"/>
              <w:rPr>
                <w:rFonts w:ascii="宋体" w:hAnsi="宋体" w:cs="宋体" w:eastAsia="宋体" w:hint="default"/>
                <w:sz w:val="12"/>
                <w:szCs w:val="12"/>
              </w:rPr>
            </w:pPr>
            <w:r>
              <w:rPr>
                <w:rFonts w:ascii="宋体"/>
                <w:w w:val="90"/>
                <w:sz w:val="12"/>
              </w:rPr>
              <w:t>(2,503,550,854)</w:t>
            </w:r>
            <w:r>
              <w:rPr>
                <w:rFonts w:ascii="宋体"/>
                <w:sz w:val="12"/>
              </w:rPr>
            </w:r>
          </w:p>
        </w:tc>
      </w:tr>
    </w:tbl>
    <w:p>
      <w:pPr>
        <w:spacing w:line="40" w:lineRule="exact"/>
        <w:ind w:left="47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418;height:2" coordorigin="20,20" coordsize="1418,2">
              <v:shape style="position:absolute;left:20;top:20;width:1418;height:2" coordorigin="20,20" coordsize="1418,0" path="m20,20l1437,20e" filled="false" stroked="true" strokeweight="2pt" strokecolor="#9f8958">
                <v:path arrowok="t"/>
              </v:shape>
            </v:group>
            <v:group style="position:absolute;left:1437;top:20;width:1032;height:2" coordorigin="1437,20" coordsize="1032,2">
              <v:shape style="position:absolute;left:1437;top:20;width:1032;height:2" coordorigin="1437,20" coordsize="1032,0" path="m1437,20l2469,20e" filled="false" stroked="true" strokeweight="2pt" strokecolor="#9f8958">
                <v:path arrowok="t"/>
              </v:shape>
            </v:group>
            <v:group style="position:absolute;left:2469;top:20;width:1112;height:2" coordorigin="2469,20" coordsize="1112,2">
              <v:shape style="position:absolute;left:2469;top:20;width:1112;height:2" coordorigin="2469,20" coordsize="1112,0" path="m2469,20l3580,20e" filled="false" stroked="true" strokeweight="2pt" strokecolor="#9f8958">
                <v:path arrowok="t"/>
              </v:shape>
            </v:group>
            <v:group style="position:absolute;left:3580;top:20;width:919;height:2" coordorigin="3580,20" coordsize="919,2">
              <v:shape style="position:absolute;left:3580;top:20;width:919;height:2" coordorigin="3580,20" coordsize="919,0" path="m3580,20l4499,20e" filled="false" stroked="true" strokeweight="2pt" strokecolor="#9f8958">
                <v:path arrowok="t"/>
              </v:shape>
            </v:group>
            <v:group style="position:absolute;left:4499;top:20;width:862;height:2" coordorigin="4499,20" coordsize="862,2">
              <v:shape style="position:absolute;left:4499;top:20;width:862;height:2" coordorigin="4499,20" coordsize="862,0" path="m4499,20l5360,20e" filled="false" stroked="true" strokeweight="2pt" strokecolor="#9f8958">
                <v:path arrowok="t"/>
              </v:shape>
            </v:group>
            <v:group style="position:absolute;left:5360;top:20;width:783;height:2" coordorigin="5360,20" coordsize="783,2">
              <v:shape style="position:absolute;left:5360;top:20;width:783;height:2" coordorigin="5360,20" coordsize="783,0" path="m5360,20l6143,20e" filled="false" stroked="true" strokeweight="2pt" strokecolor="#9f8958">
                <v:path arrowok="t"/>
              </v:shape>
            </v:group>
            <v:group style="position:absolute;left:6143;top:20;width:919;height:2" coordorigin="6143,20" coordsize="919,2">
              <v:shape style="position:absolute;left:6143;top:20;width:919;height:2" coordorigin="6143,20" coordsize="919,0" path="m6143,20l7061,20e" filled="false" stroked="true" strokeweight="2pt" strokecolor="#9f8958">
                <v:path arrowok="t"/>
              </v:shape>
            </v:group>
            <v:group style="position:absolute;left:7061;top:20;width:919;height:2" coordorigin="7061,20" coordsize="919,2">
              <v:shape style="position:absolute;left:7061;top:20;width:919;height:2" coordorigin="7061,20" coordsize="919,0" path="m7061,20l7980,20e" filled="false" stroked="true" strokeweight="2pt" strokecolor="#9f8958">
                <v:path arrowok="t"/>
              </v:shape>
            </v:group>
            <v:group style="position:absolute;left:7980;top:20;width:1338;height:2" coordorigin="7980,20" coordsize="1338,2">
              <v:shape style="position:absolute;left:7980;top:20;width:1338;height:2" coordorigin="7980,20" coordsize="1338,0" path="m7980,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8"/>
        <w:rPr>
          <w:rFonts w:ascii="宋体" w:hAnsi="宋体" w:cs="宋体" w:eastAsia="宋体" w:hint="default"/>
          <w:sz w:val="15"/>
          <w:szCs w:val="15"/>
        </w:rPr>
      </w:pPr>
    </w:p>
    <w:p>
      <w:pPr>
        <w:pStyle w:val="BodyText"/>
        <w:spacing w:line="285" w:lineRule="auto" w:before="31"/>
        <w:ind w:left="1004" w:right="128" w:hanging="511"/>
        <w:jc w:val="both"/>
      </w:pPr>
      <w:r>
        <w:rPr/>
        <w:t>注</w:t>
      </w:r>
      <w:r>
        <w:rPr>
          <w:spacing w:val="-38"/>
        </w:rPr>
        <w:t> </w:t>
      </w:r>
      <w:r>
        <w:rPr>
          <w:spacing w:val="1"/>
          <w:w w:val="101"/>
        </w:rPr>
        <w:t>1：如附注三</w:t>
      </w:r>
      <w:r>
        <w:rPr>
          <w:spacing w:val="-40"/>
          <w:w w:val="101"/>
        </w:rPr>
        <w:t> </w:t>
      </w:r>
      <w:r>
        <w:rPr>
          <w:spacing w:val="-1"/>
          <w:w w:val="83"/>
        </w:rPr>
        <w:t>(18)</w:t>
      </w:r>
      <w:r>
        <w:rPr>
          <w:spacing w:val="-23"/>
          <w:w w:val="83"/>
        </w:rPr>
        <w:t> </w:t>
      </w:r>
      <w:r>
        <w:rPr>
          <w:spacing w:val="1"/>
        </w:rPr>
        <w:t>所述，本集团的个别子公司向职工提供其他离退休后补充福利，该福利被视为设定受益计划。重</w:t>
      </w:r>
      <w:r>
        <w:rPr>
          <w:spacing w:val="-82"/>
        </w:rPr>
        <w:t> </w:t>
      </w:r>
      <w:r>
        <w:rPr>
          <w:spacing w:val="-82"/>
        </w:rPr>
      </w:r>
      <w:r>
        <w:rPr/>
        <w:t>新计量设定受益计划净负债所产生的变动使归属于母公司其他综合收益减少约人民币</w:t>
      </w:r>
      <w:r>
        <w:rPr>
          <w:spacing w:val="-30"/>
        </w:rPr>
        <w:t> </w:t>
      </w:r>
      <w:r>
        <w:rPr/>
        <w:t>363</w:t>
      </w:r>
      <w:r>
        <w:rPr>
          <w:spacing w:val="-30"/>
        </w:rPr>
        <w:t> </w:t>
      </w:r>
      <w:r>
        <w:rPr/>
        <w:t>万元（2017</w:t>
      </w:r>
      <w:r>
        <w:rPr>
          <w:spacing w:val="-30"/>
        </w:rPr>
        <w:t> </w:t>
      </w:r>
      <w:r>
        <w:rPr/>
        <w:t>年：增加</w:t>
      </w:r>
      <w:r>
        <w:rPr/>
        <w:t> 约人民币 203</w:t>
      </w:r>
      <w:r>
        <w:rPr>
          <w:spacing w:val="-62"/>
        </w:rPr>
        <w:t> </w:t>
      </w:r>
      <w:r>
        <w:rPr/>
        <w:t>万元）。</w:t>
      </w:r>
    </w:p>
    <w:p>
      <w:pPr>
        <w:spacing w:line="240" w:lineRule="auto" w:before="10"/>
        <w:rPr>
          <w:rFonts w:ascii="宋体" w:hAnsi="宋体" w:cs="宋体" w:eastAsia="宋体" w:hint="default"/>
          <w:sz w:val="13"/>
          <w:szCs w:val="13"/>
        </w:rPr>
      </w:pPr>
    </w:p>
    <w:p>
      <w:pPr>
        <w:pStyle w:val="BodyText"/>
        <w:spacing w:line="285" w:lineRule="auto"/>
        <w:ind w:left="1004" w:right="126" w:hanging="511"/>
        <w:jc w:val="both"/>
      </w:pPr>
      <w:r>
        <w:rPr/>
        <w:t>注</w:t>
      </w:r>
      <w:r>
        <w:rPr>
          <w:spacing w:val="-38"/>
        </w:rPr>
        <w:t> </w:t>
      </w:r>
      <w:r>
        <w:rPr>
          <w:spacing w:val="1"/>
          <w:w w:val="101"/>
        </w:rPr>
        <w:t>2：如附注五</w:t>
      </w:r>
      <w:r>
        <w:rPr>
          <w:spacing w:val="-39"/>
          <w:w w:val="101"/>
        </w:rPr>
        <w:t> </w:t>
      </w:r>
      <w:r>
        <w:rPr>
          <w:spacing w:val="-1"/>
          <w:w w:val="83"/>
        </w:rPr>
        <w:t>(10)</w:t>
      </w:r>
      <w:r>
        <w:rPr>
          <w:spacing w:val="-23"/>
          <w:w w:val="83"/>
        </w:rPr>
        <w:t> </w:t>
      </w:r>
      <w:r>
        <w:rPr>
          <w:spacing w:val="1"/>
        </w:rPr>
        <w:t>所述，本公司所属子公司持有的其他权益工具产生的公允价值变动计入其他综合收益项下。根据</w:t>
      </w:r>
      <w:r>
        <w:rPr>
          <w:spacing w:val="-81"/>
        </w:rPr>
        <w:t> </w:t>
      </w:r>
      <w:r>
        <w:rPr>
          <w:spacing w:val="-81"/>
        </w:rPr>
      </w:r>
      <w:r>
        <w:rPr>
          <w:spacing w:val="3"/>
        </w:rPr>
        <w:t>本公司的持股比例，截至</w:t>
      </w:r>
      <w:r>
        <w:rPr>
          <w:spacing w:val="-28"/>
        </w:rPr>
        <w:t> </w:t>
      </w:r>
      <w:r>
        <w:rPr/>
        <w:t>2018</w:t>
      </w:r>
      <w:r>
        <w:rPr>
          <w:spacing w:val="-28"/>
        </w:rPr>
        <w:t> </w:t>
      </w:r>
      <w:r>
        <w:rPr/>
        <w:t>年</w:t>
      </w:r>
      <w:r>
        <w:rPr>
          <w:spacing w:val="-28"/>
        </w:rPr>
        <w:t> </w:t>
      </w:r>
      <w:r>
        <w:rPr/>
        <w:t>12</w:t>
      </w:r>
      <w:r>
        <w:rPr>
          <w:spacing w:val="-28"/>
        </w:rPr>
        <w:t> </w:t>
      </w:r>
      <w:r>
        <w:rPr/>
        <w:t>月</w:t>
      </w:r>
      <w:r>
        <w:rPr>
          <w:spacing w:val="-28"/>
        </w:rPr>
        <w:t> </w:t>
      </w:r>
      <w:r>
        <w:rPr/>
        <w:t>31</w:t>
      </w:r>
      <w:r>
        <w:rPr>
          <w:spacing w:val="-28"/>
        </w:rPr>
        <w:t> </w:t>
      </w:r>
      <w:r>
        <w:rPr>
          <w:spacing w:val="3"/>
        </w:rPr>
        <w:t>日止期间，该其他权益工具公允价值变动减少归属于母公司其他综</w:t>
      </w:r>
    </w:p>
    <w:p>
      <w:pPr>
        <w:pStyle w:val="BodyText"/>
        <w:spacing w:line="240" w:lineRule="auto" w:before="10"/>
        <w:ind w:left="1004" w:right="0"/>
        <w:jc w:val="left"/>
      </w:pPr>
      <w:r>
        <w:rPr/>
        <w:t>合收益约人民币</w:t>
      </w:r>
      <w:r>
        <w:rPr>
          <w:spacing w:val="-42"/>
        </w:rPr>
        <w:t> </w:t>
      </w:r>
      <w:r>
        <w:rPr/>
        <w:t>1.68</w:t>
      </w:r>
      <w:r>
        <w:rPr>
          <w:spacing w:val="-43"/>
        </w:rPr>
        <w:t> </w:t>
      </w:r>
      <w:r>
        <w:rPr/>
        <w:t>亿元（2017</w:t>
      </w:r>
      <w:r>
        <w:rPr>
          <w:spacing w:val="-43"/>
        </w:rPr>
        <w:t> </w:t>
      </w:r>
      <w:r>
        <w:rPr/>
        <w:t>年：增加约人民币</w:t>
      </w:r>
      <w:r>
        <w:rPr>
          <w:spacing w:val="-42"/>
        </w:rPr>
        <w:t> </w:t>
      </w:r>
      <w:r>
        <w:rPr/>
        <w:t>0.46</w:t>
      </w:r>
      <w:r>
        <w:rPr>
          <w:spacing w:val="-43"/>
        </w:rPr>
        <w:t> </w:t>
      </w:r>
      <w:r>
        <w:rPr/>
        <w:t>亿元）。</w:t>
      </w:r>
    </w:p>
    <w:p>
      <w:pPr>
        <w:spacing w:line="240" w:lineRule="auto" w:before="0"/>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1964"/>
        <w:gridCol w:w="2374"/>
        <w:gridCol w:w="1777"/>
        <w:gridCol w:w="1602"/>
        <w:gridCol w:w="1955"/>
      </w:tblGrid>
      <w:tr>
        <w:trPr>
          <w:trHeight w:val="843" w:hRule="exact"/>
        </w:trPr>
        <w:tc>
          <w:tcPr>
            <w:tcW w:w="1964"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34、盈余公积</w:t>
            </w:r>
          </w:p>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488"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374"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466"/>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77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508"/>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602"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451"/>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955"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1964"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法定盈余公积</w:t>
            </w:r>
          </w:p>
        </w:tc>
        <w:tc>
          <w:tcPr>
            <w:tcW w:w="2374"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467"/>
              <w:jc w:val="right"/>
              <w:rPr>
                <w:rFonts w:ascii="宋体" w:hAnsi="宋体" w:cs="宋体" w:eastAsia="宋体" w:hint="default"/>
                <w:sz w:val="16"/>
                <w:szCs w:val="16"/>
              </w:rPr>
            </w:pPr>
            <w:r>
              <w:rPr>
                <w:rFonts w:ascii="宋体"/>
                <w:w w:val="95"/>
                <w:sz w:val="16"/>
              </w:rPr>
              <w:t>1,338,484,194</w:t>
            </w:r>
            <w:r>
              <w:rPr>
                <w:rFonts w:ascii="宋体"/>
                <w:sz w:val="16"/>
              </w:rPr>
            </w:r>
          </w:p>
        </w:tc>
        <w:tc>
          <w:tcPr>
            <w:tcW w:w="1777"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508"/>
              <w:jc w:val="right"/>
              <w:rPr>
                <w:rFonts w:ascii="宋体" w:hAnsi="宋体" w:cs="宋体" w:eastAsia="宋体" w:hint="default"/>
                <w:sz w:val="16"/>
                <w:szCs w:val="16"/>
              </w:rPr>
            </w:pPr>
            <w:r>
              <w:rPr>
                <w:rFonts w:ascii="宋体"/>
                <w:w w:val="95"/>
                <w:sz w:val="16"/>
              </w:rPr>
              <w:t>73,539,493</w:t>
            </w:r>
            <w:r>
              <w:rPr>
                <w:rFonts w:ascii="宋体"/>
                <w:sz w:val="16"/>
              </w:rPr>
            </w:r>
          </w:p>
        </w:tc>
        <w:tc>
          <w:tcPr>
            <w:tcW w:w="1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449"/>
              <w:jc w:val="right"/>
              <w:rPr>
                <w:rFonts w:ascii="宋体" w:hAnsi="宋体" w:cs="宋体" w:eastAsia="宋体" w:hint="default"/>
                <w:sz w:val="16"/>
                <w:szCs w:val="16"/>
              </w:rPr>
            </w:pPr>
            <w:r>
              <w:rPr>
                <w:rFonts w:ascii="宋体"/>
                <w:w w:val="131"/>
                <w:sz w:val="16"/>
              </w:rPr>
              <w:t>-</w:t>
            </w:r>
            <w:r>
              <w:rPr>
                <w:rFonts w:ascii="宋体"/>
                <w:sz w:val="16"/>
              </w:rPr>
            </w:r>
          </w:p>
        </w:tc>
        <w:tc>
          <w:tcPr>
            <w:tcW w:w="1955"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1,412,023,687</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493" w:right="0"/>
        <w:jc w:val="left"/>
      </w:pPr>
      <w:r>
        <w:rPr/>
        <w:t>根据《中华人民共和国公司法》及本公司《公司章程》，本公司于年度决算时按年度净利润的 10%</w:t>
      </w:r>
      <w:r>
        <w:rPr>
          <w:spacing w:val="17"/>
        </w:rPr>
        <w:t> </w:t>
      </w:r>
      <w:r>
        <w:rPr/>
        <w:t>提取法定盈余公积</w:t>
      </w:r>
    </w:p>
    <w:p>
      <w:pPr>
        <w:pStyle w:val="BodyText"/>
        <w:spacing w:line="285" w:lineRule="auto" w:before="44"/>
        <w:ind w:left="493" w:right="0"/>
        <w:jc w:val="left"/>
      </w:pPr>
      <w:r>
        <w:rPr/>
        <w:t>金。当法定盈余公积金累计额达到股本的 50% 以上时，可不再提取。法定盈余公积金经批准后可用于弥补亏损，或者</w:t>
      </w:r>
      <w:r>
        <w:rPr>
          <w:spacing w:val="-73"/>
        </w:rPr>
        <w:t> </w:t>
      </w:r>
      <w:r>
        <w:rPr>
          <w:spacing w:val="-73"/>
        </w:rPr>
      </w:r>
      <w:r>
        <w:rPr>
          <w:w w:val="110"/>
        </w:rPr>
        <w:t>增加股本。</w:t>
      </w:r>
    </w:p>
    <w:p>
      <w:pPr>
        <w:spacing w:after="0" w:line="285" w:lineRule="auto"/>
        <w:jc w:val="left"/>
        <w:sectPr>
          <w:type w:val="continuous"/>
          <w:pgSz w:w="11910" w:h="16160"/>
          <w:pgMar w:top="1520" w:bottom="280" w:left="640" w:right="1340"/>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35、未分配利润</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调整前年初未分配利润</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29,773,369,882</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29,432,859,036</w:t>
            </w:r>
            <w:r>
              <w:rPr>
                <w:rFonts w:ascii="宋体"/>
                <w:sz w:val="16"/>
              </w:rPr>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调整年初未分配利润合计数</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394,216,131</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50" w:hRule="exact"/>
        </w:trPr>
        <w:tc>
          <w:tcPr>
            <w:tcW w:w="4093"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调整后年初未分配利润</w:t>
            </w:r>
          </w:p>
        </w:tc>
        <w:tc>
          <w:tcPr>
            <w:tcW w:w="2602" w:type="dxa"/>
            <w:tcBorders>
              <w:top w:val="single" w:sz="6" w:space="0" w:color="000000"/>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30,167,586,013</w:t>
            </w:r>
            <w:r>
              <w:rPr>
                <w:rFonts w:ascii="宋体"/>
                <w:sz w:val="16"/>
              </w:rPr>
            </w:r>
          </w:p>
        </w:tc>
        <w:tc>
          <w:tcPr>
            <w:tcW w:w="2602"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29,432,859,036</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加：本年归属于母公司股东的净利润</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4,080,771,727</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425,844,654</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减：提取法定盈余公积</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(73,539,493)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23" w:right="0"/>
              <w:jc w:val="left"/>
              <w:rPr>
                <w:rFonts w:ascii="宋体" w:hAnsi="宋体" w:cs="宋体" w:eastAsia="宋体" w:hint="default"/>
                <w:sz w:val="16"/>
                <w:szCs w:val="16"/>
              </w:rPr>
            </w:pPr>
            <w:r>
              <w:rPr>
                <w:rFonts w:ascii="宋体" w:hAnsi="宋体" w:cs="宋体" w:eastAsia="宋体" w:hint="default"/>
                <w:sz w:val="16"/>
                <w:szCs w:val="16"/>
              </w:rPr>
              <w:t>提取一般风险准备</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(108,402,331)</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(85,333,808)</w:t>
            </w:r>
            <w:r>
              <w:rPr>
                <w:rFonts w:ascii="宋体"/>
                <w:sz w:val="16"/>
              </w:rPr>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423" w:right="0"/>
              <w:jc w:val="left"/>
              <w:rPr>
                <w:rFonts w:ascii="宋体" w:hAnsi="宋体" w:cs="宋体" w:eastAsia="宋体" w:hint="default"/>
                <w:sz w:val="16"/>
                <w:szCs w:val="16"/>
              </w:rPr>
            </w:pPr>
            <w:r>
              <w:rPr>
                <w:rFonts w:ascii="宋体" w:hAnsi="宋体" w:cs="宋体" w:eastAsia="宋体" w:hint="default"/>
                <w:sz w:val="16"/>
                <w:szCs w:val="16"/>
              </w:rPr>
              <w:t>应付普通股股利</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(614,350,671)</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年末未分配利润</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33,452,065,245</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29,773,369,882</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right="0"/>
        <w:jc w:val="left"/>
      </w:pPr>
      <w:r>
        <w:rPr/>
        <w:t>于</w:t>
      </w:r>
      <w:r>
        <w:rPr>
          <w:spacing w:val="-49"/>
        </w:rPr>
        <w:t> </w:t>
      </w:r>
      <w:r>
        <w:rPr/>
        <w:t>2018</w:t>
      </w:r>
      <w:r>
        <w:rPr>
          <w:spacing w:val="-49"/>
        </w:rPr>
        <w:t> </w:t>
      </w:r>
      <w:r>
        <w:rPr/>
        <w:t>年</w:t>
      </w:r>
      <w:r>
        <w:rPr>
          <w:spacing w:val="-49"/>
        </w:rPr>
        <w:t> </w:t>
      </w:r>
      <w:r>
        <w:rPr/>
        <w:t>5</w:t>
      </w:r>
      <w:r>
        <w:rPr>
          <w:spacing w:val="-49"/>
        </w:rPr>
        <w:t> </w:t>
      </w:r>
      <w:r>
        <w:rPr/>
        <w:t>月</w:t>
      </w:r>
      <w:r>
        <w:rPr>
          <w:spacing w:val="-49"/>
        </w:rPr>
        <w:t> </w:t>
      </w:r>
      <w:r>
        <w:rPr/>
        <w:t>9</w:t>
      </w:r>
      <w:r>
        <w:rPr>
          <w:spacing w:val="-49"/>
        </w:rPr>
        <w:t> </w:t>
      </w:r>
      <w:r>
        <w:rPr>
          <w:spacing w:val="-5"/>
        </w:rPr>
        <w:t>日，本公司股东大会批准根据</w:t>
      </w:r>
      <w:r>
        <w:rPr>
          <w:spacing w:val="-49"/>
        </w:rPr>
        <w:t> </w:t>
      </w:r>
      <w:r>
        <w:rPr/>
        <w:t>2018</w:t>
      </w:r>
      <w:r>
        <w:rPr>
          <w:spacing w:val="-50"/>
        </w:rPr>
        <w:t> </w:t>
      </w:r>
      <w:r>
        <w:rPr/>
        <w:t>年</w:t>
      </w:r>
      <w:r>
        <w:rPr>
          <w:spacing w:val="-49"/>
        </w:rPr>
        <w:t> </w:t>
      </w:r>
      <w:r>
        <w:rPr/>
        <w:t>4</w:t>
      </w:r>
      <w:r>
        <w:rPr>
          <w:spacing w:val="-49"/>
        </w:rPr>
        <w:t> </w:t>
      </w:r>
      <w:r>
        <w:rPr/>
        <w:t>月</w:t>
      </w:r>
      <w:r>
        <w:rPr>
          <w:spacing w:val="-49"/>
        </w:rPr>
        <w:t> </w:t>
      </w:r>
      <w:r>
        <w:rPr/>
        <w:t>9</w:t>
      </w:r>
      <w:r>
        <w:rPr>
          <w:spacing w:val="-49"/>
        </w:rPr>
        <w:t> </w:t>
      </w:r>
      <w:r>
        <w:rPr/>
        <w:t>日股本为基数向全体股东派发每股现金股利人民币</w:t>
      </w:r>
      <w:r>
        <w:rPr>
          <w:spacing w:val="-49"/>
        </w:rPr>
        <w:t> </w:t>
      </w:r>
      <w:r>
        <w:rPr/>
        <w:t>0.0198</w:t>
      </w:r>
    </w:p>
    <w:p>
      <w:pPr>
        <w:pStyle w:val="BodyText"/>
        <w:spacing w:line="285" w:lineRule="auto" w:before="44"/>
        <w:ind w:right="150"/>
        <w:jc w:val="left"/>
      </w:pPr>
      <w:r>
        <w:rPr/>
        <w:t>元（含税）的《公司</w:t>
      </w:r>
      <w:r>
        <w:rPr>
          <w:spacing w:val="-37"/>
        </w:rPr>
        <w:t> </w:t>
      </w:r>
      <w:r>
        <w:rPr/>
        <w:t>2017</w:t>
      </w:r>
      <w:r>
        <w:rPr>
          <w:spacing w:val="-37"/>
        </w:rPr>
        <w:t> </w:t>
      </w:r>
      <w:r>
        <w:rPr/>
        <w:t>年度利润分配议案》，共计约人民币</w:t>
      </w:r>
      <w:r>
        <w:rPr>
          <w:spacing w:val="-37"/>
        </w:rPr>
        <w:t> </w:t>
      </w:r>
      <w:r>
        <w:rPr/>
        <w:t>6.14</w:t>
      </w:r>
      <w:r>
        <w:rPr>
          <w:spacing w:val="-37"/>
        </w:rPr>
        <w:t> </w:t>
      </w:r>
      <w:r>
        <w:rPr/>
        <w:t>亿元（2017</w:t>
      </w:r>
      <w:r>
        <w:rPr>
          <w:spacing w:val="-37"/>
        </w:rPr>
        <w:t> </w:t>
      </w:r>
      <w:r>
        <w:rPr/>
        <w:t>年：人民币</w:t>
      </w:r>
      <w:r>
        <w:rPr>
          <w:spacing w:val="-37"/>
        </w:rPr>
        <w:t> </w:t>
      </w:r>
      <w:r>
        <w:rPr/>
        <w:t>0</w:t>
      </w:r>
      <w:r>
        <w:rPr>
          <w:spacing w:val="-37"/>
        </w:rPr>
        <w:t> </w:t>
      </w:r>
      <w:r>
        <w:rPr/>
        <w:t>元）的股利自未分配利</w:t>
      </w:r>
      <w:r>
        <w:rPr>
          <w:spacing w:val="-87"/>
        </w:rPr>
        <w:t> </w:t>
      </w:r>
      <w:r>
        <w:rPr>
          <w:spacing w:val="-87"/>
        </w:rPr>
      </w:r>
      <w:r>
        <w:rPr/>
        <w:t>润转出。</w:t>
      </w:r>
    </w:p>
    <w:p>
      <w:pPr>
        <w:spacing w:line="240" w:lineRule="auto" w:before="10"/>
        <w:rPr>
          <w:rFonts w:ascii="宋体" w:hAnsi="宋体" w:cs="宋体" w:eastAsia="宋体" w:hint="default"/>
          <w:sz w:val="13"/>
          <w:szCs w:val="13"/>
        </w:rPr>
      </w:pPr>
    </w:p>
    <w:p>
      <w:pPr>
        <w:pStyle w:val="BodyText"/>
        <w:spacing w:line="240" w:lineRule="auto"/>
        <w:ind w:right="0"/>
        <w:jc w:val="left"/>
      </w:pPr>
      <w:r>
        <w:rPr/>
        <w:t>于</w:t>
      </w:r>
      <w:r>
        <w:rPr>
          <w:spacing w:val="-44"/>
        </w:rPr>
        <w:t> </w:t>
      </w:r>
      <w:r>
        <w:rPr>
          <w:spacing w:val="-1"/>
          <w:w w:val="111"/>
        </w:rPr>
        <w:t>201</w:t>
      </w:r>
      <w:r>
        <w:rPr>
          <w:w w:val="111"/>
        </w:rPr>
        <w:t>8</w:t>
      </w:r>
      <w:r>
        <w:rPr>
          <w:spacing w:val="-44"/>
        </w:rPr>
        <w:t> </w:t>
      </w:r>
      <w:r>
        <w:rPr/>
        <w:t>年</w:t>
      </w:r>
      <w:r>
        <w:rPr>
          <w:spacing w:val="-44"/>
        </w:rPr>
        <w:t> </w:t>
      </w:r>
      <w:r>
        <w:rPr>
          <w:spacing w:val="-1"/>
          <w:w w:val="111"/>
        </w:rPr>
        <w:t>1</w:t>
      </w:r>
      <w:r>
        <w:rPr>
          <w:w w:val="111"/>
        </w:rPr>
        <w:t>2</w:t>
      </w:r>
      <w:r>
        <w:rPr>
          <w:spacing w:val="-44"/>
        </w:rPr>
        <w:t> </w:t>
      </w:r>
      <w:r>
        <w:rPr/>
        <w:t>月</w:t>
      </w:r>
      <w:r>
        <w:rPr>
          <w:spacing w:val="-44"/>
        </w:rPr>
        <w:t> </w:t>
      </w:r>
      <w:r>
        <w:rPr>
          <w:spacing w:val="-1"/>
          <w:w w:val="111"/>
        </w:rPr>
        <w:t>3</w:t>
      </w:r>
      <w:r>
        <w:rPr>
          <w:w w:val="111"/>
        </w:rPr>
        <w:t>1</w:t>
      </w:r>
      <w:r>
        <w:rPr>
          <w:spacing w:val="-44"/>
        </w:rPr>
        <w:t> </w:t>
      </w:r>
      <w:r>
        <w:rPr/>
        <w:t>日</w:t>
      </w:r>
      <w:r>
        <w:rPr>
          <w:spacing w:val="4"/>
        </w:rPr>
        <w:t>，本集团归属于母公司的未分配利润中包含了本公司的子公司提取的盈余公积约人民</w:t>
      </w:r>
      <w:r>
        <w:rPr/>
        <w:t>币</w:t>
      </w:r>
      <w:r>
        <w:rPr>
          <w:spacing w:val="-44"/>
        </w:rPr>
        <w:t> </w:t>
      </w:r>
      <w:r>
        <w:rPr>
          <w:spacing w:val="-1"/>
          <w:w w:val="111"/>
        </w:rPr>
        <w:t>97</w:t>
      </w:r>
      <w:r>
        <w:rPr>
          <w:w w:val="55"/>
        </w:rPr>
        <w:t>.</w:t>
      </w:r>
      <w:r>
        <w:rPr>
          <w:spacing w:val="-1"/>
          <w:w w:val="111"/>
        </w:rPr>
        <w:t>7</w:t>
      </w:r>
      <w:r>
        <w:rPr>
          <w:w w:val="111"/>
        </w:rPr>
        <w:t>0</w:t>
      </w:r>
      <w:r>
        <w:rPr/>
      </w:r>
    </w:p>
    <w:p>
      <w:pPr>
        <w:pStyle w:val="BodyText"/>
        <w:spacing w:line="240" w:lineRule="auto" w:before="44"/>
        <w:ind w:right="0"/>
        <w:jc w:val="left"/>
      </w:pPr>
      <w:r>
        <w:rPr>
          <w:w w:val="105"/>
        </w:rPr>
        <w:t>亿元（2017</w:t>
      </w:r>
      <w:r>
        <w:rPr>
          <w:spacing w:val="-67"/>
          <w:w w:val="105"/>
        </w:rPr>
        <w:t> </w:t>
      </w:r>
      <w:r>
        <w:rPr>
          <w:w w:val="105"/>
        </w:rPr>
        <w:t>年</w:t>
      </w:r>
      <w:r>
        <w:rPr>
          <w:spacing w:val="-67"/>
          <w:w w:val="105"/>
        </w:rPr>
        <w:t> </w:t>
      </w:r>
      <w:r>
        <w:rPr>
          <w:w w:val="105"/>
        </w:rPr>
        <w:t>12</w:t>
      </w:r>
      <w:r>
        <w:rPr>
          <w:spacing w:val="-67"/>
          <w:w w:val="105"/>
        </w:rPr>
        <w:t> </w:t>
      </w:r>
      <w:r>
        <w:rPr>
          <w:w w:val="105"/>
        </w:rPr>
        <w:t>月</w:t>
      </w:r>
      <w:r>
        <w:rPr>
          <w:spacing w:val="-67"/>
          <w:w w:val="105"/>
        </w:rPr>
        <w:t> </w:t>
      </w:r>
      <w:r>
        <w:rPr>
          <w:w w:val="105"/>
        </w:rPr>
        <w:t>31</w:t>
      </w:r>
      <w:r>
        <w:rPr>
          <w:spacing w:val="-67"/>
          <w:w w:val="105"/>
        </w:rPr>
        <w:t> </w:t>
      </w:r>
      <w:r>
        <w:rPr>
          <w:w w:val="105"/>
        </w:rPr>
        <w:t>日：约人民币</w:t>
      </w:r>
      <w:r>
        <w:rPr>
          <w:spacing w:val="-67"/>
          <w:w w:val="105"/>
        </w:rPr>
        <w:t> </w:t>
      </w:r>
      <w:r>
        <w:rPr>
          <w:w w:val="105"/>
        </w:rPr>
        <w:t>97.25</w:t>
      </w:r>
      <w:r>
        <w:rPr>
          <w:spacing w:val="-67"/>
          <w:w w:val="105"/>
        </w:rPr>
        <w:t> </w:t>
      </w:r>
      <w:r>
        <w:rPr>
          <w:w w:val="105"/>
        </w:rPr>
        <w:t>亿元）。</w:t>
      </w:r>
    </w:p>
    <w:p>
      <w:pPr>
        <w:spacing w:after="0" w:line="240" w:lineRule="auto"/>
        <w:jc w:val="left"/>
        <w:sectPr>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36、营业收入和营业成本</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2606" w:hRule="exact"/>
        </w:trPr>
        <w:tc>
          <w:tcPr>
            <w:tcW w:w="409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283" w:right="2367" w:hanging="171"/>
              <w:jc w:val="left"/>
              <w:rPr>
                <w:rFonts w:ascii="宋体" w:hAnsi="宋体" w:cs="宋体" w:eastAsia="宋体" w:hint="default"/>
                <w:sz w:val="16"/>
                <w:szCs w:val="16"/>
              </w:rPr>
            </w:pPr>
            <w:r>
              <w:rPr>
                <w:rFonts w:ascii="宋体" w:hAnsi="宋体" w:cs="宋体" w:eastAsia="宋体" w:hint="default"/>
                <w:sz w:val="16"/>
                <w:szCs w:val="16"/>
              </w:rPr>
              <w:t>主营业务收入： 语音通话及月租费 增值服务 宽带及移动数据服务</w:t>
            </w:r>
          </w:p>
          <w:p>
            <w:pPr>
              <w:pStyle w:val="TableParagraph"/>
              <w:spacing w:line="314" w:lineRule="auto" w:before="14"/>
              <w:ind w:left="283" w:right="1887" w:hanging="1"/>
              <w:jc w:val="left"/>
              <w:rPr>
                <w:rFonts w:ascii="宋体" w:hAnsi="宋体" w:cs="宋体" w:eastAsia="宋体" w:hint="default"/>
                <w:sz w:val="16"/>
                <w:szCs w:val="16"/>
              </w:rPr>
            </w:pPr>
            <w:r>
              <w:rPr>
                <w:rFonts w:ascii="宋体" w:hAnsi="宋体" w:cs="宋体" w:eastAsia="宋体" w:hint="default"/>
                <w:sz w:val="16"/>
                <w:szCs w:val="16"/>
              </w:rPr>
              <w:t>数据及其他互联网应用收入 网间结算收入 电路及网元服务</w:t>
            </w:r>
          </w:p>
          <w:p>
            <w:pPr>
              <w:pStyle w:val="TableParagraph"/>
              <w:spacing w:line="314" w:lineRule="auto" w:before="14"/>
              <w:ind w:left="114" w:right="3486" w:firstLine="170"/>
              <w:jc w:val="left"/>
              <w:rPr>
                <w:rFonts w:ascii="宋体" w:hAnsi="宋体" w:cs="宋体" w:eastAsia="宋体" w:hint="default"/>
                <w:sz w:val="16"/>
                <w:szCs w:val="16"/>
              </w:rPr>
            </w:pPr>
            <w:r>
              <w:rPr>
                <w:rFonts w:ascii="宋体" w:hAnsi="宋体" w:cs="宋体" w:eastAsia="宋体" w:hint="default"/>
                <w:sz w:val="16"/>
                <w:szCs w:val="16"/>
              </w:rPr>
              <w:t>其他 小计</w:t>
            </w:r>
          </w:p>
        </w:tc>
        <w:tc>
          <w:tcPr>
            <w:tcW w:w="2602"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1379" w:right="0"/>
              <w:jc w:val="left"/>
              <w:rPr>
                <w:rFonts w:ascii="宋体" w:hAnsi="宋体" w:cs="宋体" w:eastAsia="宋体" w:hint="default"/>
                <w:sz w:val="16"/>
                <w:szCs w:val="16"/>
              </w:rPr>
            </w:pPr>
            <w:r>
              <w:rPr>
                <w:rFonts w:ascii="宋体"/>
                <w:sz w:val="16"/>
              </w:rPr>
              <w:t>32,486,191,534</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24,606,164,947</w:t>
            </w:r>
          </w:p>
          <w:p>
            <w:pPr>
              <w:pStyle w:val="TableParagraph"/>
              <w:spacing w:line="240" w:lineRule="auto" w:before="64"/>
              <w:ind w:left="1178" w:right="0"/>
              <w:jc w:val="center"/>
              <w:rPr>
                <w:rFonts w:ascii="宋体" w:hAnsi="宋体" w:cs="宋体" w:eastAsia="宋体" w:hint="default"/>
                <w:sz w:val="16"/>
                <w:szCs w:val="16"/>
              </w:rPr>
            </w:pPr>
            <w:r>
              <w:rPr>
                <w:rFonts w:ascii="宋体"/>
                <w:sz w:val="16"/>
              </w:rPr>
              <w:t>148,431,028,466</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26,489,326,698</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13,707,834,149</w:t>
            </w:r>
          </w:p>
          <w:p>
            <w:pPr>
              <w:pStyle w:val="TableParagraph"/>
              <w:spacing w:line="240" w:lineRule="auto" w:before="64"/>
              <w:ind w:left="1380" w:right="0"/>
              <w:jc w:val="left"/>
              <w:rPr>
                <w:rFonts w:ascii="宋体" w:hAnsi="宋体" w:cs="宋体" w:eastAsia="宋体" w:hint="default"/>
                <w:sz w:val="16"/>
                <w:szCs w:val="16"/>
              </w:rPr>
            </w:pPr>
            <w:r>
              <w:rPr>
                <w:rFonts w:ascii="宋体"/>
                <w:sz w:val="16"/>
              </w:rPr>
              <w:t>14,178,374,088</w:t>
            </w:r>
          </w:p>
          <w:p>
            <w:pPr>
              <w:pStyle w:val="TableParagraph"/>
              <w:spacing w:line="240" w:lineRule="auto" w:before="64"/>
              <w:ind w:left="1356" w:right="0"/>
              <w:jc w:val="center"/>
              <w:rPr>
                <w:rFonts w:ascii="宋体" w:hAnsi="宋体" w:cs="宋体" w:eastAsia="宋体" w:hint="default"/>
                <w:sz w:val="16"/>
                <w:szCs w:val="16"/>
              </w:rPr>
            </w:pPr>
            <w:r>
              <w:rPr>
                <w:rFonts w:ascii="宋体"/>
                <w:sz w:val="16"/>
              </w:rPr>
              <w:t>3,783,668,234</w:t>
            </w:r>
          </w:p>
          <w:p>
            <w:pPr>
              <w:pStyle w:val="TableParagraph"/>
              <w:spacing w:line="240" w:lineRule="auto" w:before="64"/>
              <w:ind w:left="1179" w:right="0"/>
              <w:jc w:val="center"/>
              <w:rPr>
                <w:rFonts w:ascii="宋体" w:hAnsi="宋体" w:cs="宋体" w:eastAsia="宋体" w:hint="default"/>
                <w:sz w:val="16"/>
                <w:szCs w:val="16"/>
              </w:rPr>
            </w:pPr>
            <w:r>
              <w:rPr>
                <w:rFonts w:ascii="宋体"/>
                <w:sz w:val="16"/>
              </w:rPr>
              <w:t>263,682,588,116</w:t>
            </w:r>
          </w:p>
        </w:tc>
        <w:tc>
          <w:tcPr>
            <w:tcW w:w="2602" w:type="dxa"/>
            <w:tcBorders>
              <w:top w:val="single" w:sz="16" w:space="0" w:color="9F8958"/>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1379" w:right="0"/>
              <w:jc w:val="left"/>
              <w:rPr>
                <w:rFonts w:ascii="宋体" w:hAnsi="宋体" w:cs="宋体" w:eastAsia="宋体" w:hint="default"/>
                <w:sz w:val="16"/>
                <w:szCs w:val="16"/>
              </w:rPr>
            </w:pPr>
            <w:r>
              <w:rPr>
                <w:rFonts w:ascii="宋体"/>
                <w:sz w:val="16"/>
              </w:rPr>
              <w:t>39,154,244,110</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22,793,242,993</w:t>
            </w:r>
          </w:p>
          <w:p>
            <w:pPr>
              <w:pStyle w:val="TableParagraph"/>
              <w:spacing w:line="240" w:lineRule="auto" w:before="64"/>
              <w:ind w:left="1178" w:right="0"/>
              <w:jc w:val="center"/>
              <w:rPr>
                <w:rFonts w:ascii="宋体" w:hAnsi="宋体" w:cs="宋体" w:eastAsia="宋体" w:hint="default"/>
                <w:sz w:val="16"/>
                <w:szCs w:val="16"/>
              </w:rPr>
            </w:pPr>
            <w:r>
              <w:rPr>
                <w:rFonts w:ascii="宋体"/>
                <w:sz w:val="16"/>
              </w:rPr>
              <w:t>137,133,410,615</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20,073,605,639</w:t>
            </w:r>
          </w:p>
          <w:p>
            <w:pPr>
              <w:pStyle w:val="TableParagraph"/>
              <w:spacing w:line="240" w:lineRule="auto" w:before="64"/>
              <w:ind w:left="1380" w:right="0"/>
              <w:jc w:val="left"/>
              <w:rPr>
                <w:rFonts w:ascii="宋体" w:hAnsi="宋体" w:cs="宋体" w:eastAsia="宋体" w:hint="default"/>
                <w:sz w:val="16"/>
                <w:szCs w:val="16"/>
              </w:rPr>
            </w:pPr>
            <w:r>
              <w:rPr>
                <w:rFonts w:ascii="宋体"/>
                <w:sz w:val="16"/>
              </w:rPr>
              <w:t>14,232,975,294</w:t>
            </w:r>
          </w:p>
          <w:p>
            <w:pPr>
              <w:pStyle w:val="TableParagraph"/>
              <w:spacing w:line="240" w:lineRule="auto" w:before="64"/>
              <w:ind w:left="1380" w:right="0"/>
              <w:jc w:val="left"/>
              <w:rPr>
                <w:rFonts w:ascii="宋体" w:hAnsi="宋体" w:cs="宋体" w:eastAsia="宋体" w:hint="default"/>
                <w:sz w:val="16"/>
                <w:szCs w:val="16"/>
              </w:rPr>
            </w:pPr>
            <w:r>
              <w:rPr>
                <w:rFonts w:ascii="宋体"/>
                <w:sz w:val="16"/>
              </w:rPr>
              <w:t>12,518,666,102</w:t>
            </w:r>
          </w:p>
          <w:p>
            <w:pPr>
              <w:pStyle w:val="TableParagraph"/>
              <w:spacing w:line="240" w:lineRule="auto" w:before="64"/>
              <w:ind w:left="1356" w:right="0"/>
              <w:jc w:val="center"/>
              <w:rPr>
                <w:rFonts w:ascii="宋体" w:hAnsi="宋体" w:cs="宋体" w:eastAsia="宋体" w:hint="default"/>
                <w:sz w:val="16"/>
                <w:szCs w:val="16"/>
              </w:rPr>
            </w:pPr>
            <w:r>
              <w:rPr>
                <w:rFonts w:ascii="宋体"/>
                <w:sz w:val="16"/>
              </w:rPr>
              <w:t>3,109,236,599</w:t>
            </w:r>
          </w:p>
          <w:p>
            <w:pPr>
              <w:pStyle w:val="TableParagraph"/>
              <w:spacing w:line="240" w:lineRule="auto" w:before="64"/>
              <w:ind w:left="1179" w:right="0"/>
              <w:jc w:val="center"/>
              <w:rPr>
                <w:rFonts w:ascii="宋体" w:hAnsi="宋体" w:cs="宋体" w:eastAsia="宋体" w:hint="default"/>
                <w:sz w:val="16"/>
                <w:szCs w:val="16"/>
              </w:rPr>
            </w:pPr>
            <w:r>
              <w:rPr>
                <w:rFonts w:ascii="宋体"/>
                <w:sz w:val="16"/>
              </w:rPr>
              <w:t>249,015,381,352</w:t>
            </w:r>
          </w:p>
        </w:tc>
      </w:tr>
      <w:tr>
        <w:trPr>
          <w:trHeight w:val="680"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314" w:lineRule="auto" w:before="64"/>
              <w:ind w:left="113" w:right="2857"/>
              <w:jc w:val="left"/>
              <w:rPr>
                <w:rFonts w:ascii="宋体" w:hAnsi="宋体" w:cs="宋体" w:eastAsia="宋体" w:hint="default"/>
                <w:sz w:val="16"/>
                <w:szCs w:val="16"/>
              </w:rPr>
            </w:pPr>
            <w:r>
              <w:rPr>
                <w:rFonts w:ascii="宋体" w:hAnsi="宋体" w:cs="宋体" w:eastAsia="宋体" w:hint="default"/>
                <w:sz w:val="16"/>
                <w:szCs w:val="16"/>
              </w:rPr>
              <w:t>其他业务收入： 销售通信产品</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0"/>
              <w:jc w:val="right"/>
              <w:rPr>
                <w:rFonts w:ascii="宋体" w:hAnsi="宋体" w:cs="宋体" w:eastAsia="宋体" w:hint="default"/>
                <w:sz w:val="16"/>
                <w:szCs w:val="16"/>
              </w:rPr>
            </w:pPr>
            <w:r>
              <w:rPr>
                <w:rFonts w:ascii="宋体"/>
                <w:w w:val="95"/>
                <w:sz w:val="16"/>
              </w:rPr>
              <w:t>27,194,188,750</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0"/>
              <w:jc w:val="right"/>
              <w:rPr>
                <w:rFonts w:ascii="宋体" w:hAnsi="宋体" w:cs="宋体" w:eastAsia="宋体" w:hint="default"/>
                <w:sz w:val="16"/>
                <w:szCs w:val="16"/>
              </w:rPr>
            </w:pPr>
            <w:r>
              <w:rPr>
                <w:rFonts w:ascii="宋体"/>
                <w:w w:val="95"/>
                <w:sz w:val="16"/>
              </w:rPr>
              <w:t>25,813,564,919</w:t>
            </w:r>
            <w:r>
              <w:rPr>
                <w:rFonts w:ascii="宋体"/>
                <w:sz w:val="16"/>
              </w:rPr>
            </w:r>
          </w:p>
        </w:tc>
      </w:tr>
      <w:tr>
        <w:trPr>
          <w:trHeight w:val="407"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290,876,776,866</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274,828,946,271</w:t>
            </w:r>
            <w:r>
              <w:rPr>
                <w:rFonts w:ascii="宋体"/>
                <w:sz w:val="16"/>
              </w:rPr>
            </w:r>
          </w:p>
        </w:tc>
      </w:tr>
      <w:tr>
        <w:trPr>
          <w:trHeight w:val="688"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314" w:lineRule="auto" w:before="64"/>
              <w:ind w:left="600" w:right="1737" w:hanging="488"/>
              <w:jc w:val="left"/>
              <w:rPr>
                <w:rFonts w:ascii="宋体" w:hAnsi="宋体" w:cs="宋体" w:eastAsia="宋体" w:hint="default"/>
                <w:sz w:val="16"/>
                <w:szCs w:val="16"/>
              </w:rPr>
            </w:pPr>
            <w:r>
              <w:rPr>
                <w:rFonts w:ascii="宋体" w:hAnsi="宋体" w:cs="宋体" w:eastAsia="宋体" w:hint="default"/>
                <w:sz w:val="16"/>
                <w:szCs w:val="16"/>
              </w:rPr>
              <w:t>其中：源自于新收入准则的收入 其他来源收入</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left="1177" w:right="0"/>
              <w:jc w:val="center"/>
              <w:rPr>
                <w:rFonts w:ascii="宋体" w:hAnsi="宋体" w:cs="宋体" w:eastAsia="宋体" w:hint="default"/>
                <w:sz w:val="16"/>
                <w:szCs w:val="16"/>
              </w:rPr>
            </w:pPr>
            <w:r>
              <w:rPr>
                <w:rFonts w:ascii="宋体"/>
                <w:sz w:val="16"/>
              </w:rPr>
              <w:t>289,810,151,688</w:t>
            </w:r>
          </w:p>
          <w:p>
            <w:pPr>
              <w:pStyle w:val="TableParagraph"/>
              <w:spacing w:line="240" w:lineRule="auto" w:before="64"/>
              <w:ind w:left="1355" w:right="0"/>
              <w:jc w:val="center"/>
              <w:rPr>
                <w:rFonts w:ascii="宋体" w:hAnsi="宋体" w:cs="宋体" w:eastAsia="宋体" w:hint="default"/>
                <w:sz w:val="16"/>
                <w:szCs w:val="16"/>
              </w:rPr>
            </w:pPr>
            <w:r>
              <w:rPr>
                <w:rFonts w:ascii="宋体"/>
                <w:sz w:val="16"/>
              </w:rPr>
              <w:t>1,066,625,178</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290" w:right="0"/>
              <w:jc w:val="left"/>
              <w:rPr>
                <w:rFonts w:ascii="宋体" w:hAnsi="宋体" w:cs="宋体" w:eastAsia="宋体" w:hint="default"/>
                <w:sz w:val="16"/>
                <w:szCs w:val="16"/>
              </w:rPr>
            </w:pPr>
            <w:r>
              <w:rPr>
                <w:rFonts w:ascii="宋体"/>
                <w:sz w:val="16"/>
              </w:rPr>
              <w:t>273,848,491,455</w:t>
            </w:r>
          </w:p>
          <w:p>
            <w:pPr>
              <w:pStyle w:val="TableParagraph"/>
              <w:spacing w:line="240" w:lineRule="auto" w:before="64"/>
              <w:ind w:left="1601" w:right="0"/>
              <w:jc w:val="left"/>
              <w:rPr>
                <w:rFonts w:ascii="宋体" w:hAnsi="宋体" w:cs="宋体" w:eastAsia="宋体" w:hint="default"/>
                <w:sz w:val="16"/>
                <w:szCs w:val="16"/>
              </w:rPr>
            </w:pPr>
            <w:r>
              <w:rPr>
                <w:rFonts w:ascii="宋体"/>
                <w:sz w:val="16"/>
              </w:rPr>
              <w:t>980,454,816</w:t>
            </w:r>
          </w:p>
        </w:tc>
      </w:tr>
    </w:tbl>
    <w:p>
      <w:pPr>
        <w:spacing w:line="240" w:lineRule="auto" w:before="1"/>
        <w:rPr>
          <w:rFonts w:ascii="宋体" w:hAnsi="宋体" w:cs="宋体" w:eastAsia="宋体" w:hint="default"/>
          <w:sz w:val="15"/>
          <w:szCs w:val="15"/>
        </w:rPr>
      </w:pPr>
    </w:p>
    <w:p>
      <w:pPr>
        <w:pStyle w:val="BodyText"/>
        <w:spacing w:line="285" w:lineRule="auto" w:before="31"/>
        <w:ind w:left="453" w:right="146"/>
        <w:jc w:val="both"/>
      </w:pPr>
      <w:r>
        <w:rPr/>
        <w:t>本集团的收入主要来自于向用户提供包括语音、数据接入、电信增值服务、互联网应用等电信服务，以及销售或捆绑</w:t>
      </w:r>
      <w:r>
        <w:rPr>
          <w:spacing w:val="3"/>
        </w:rPr>
        <w:t> </w:t>
      </w:r>
      <w:r>
        <w:rPr>
          <w:spacing w:val="3"/>
        </w:rPr>
      </w:r>
      <w:r>
        <w:rPr/>
        <w:t>销售包括终端在内的通信产品。一般情况下，与个人用户签订的电信服务合同都是月度合同或者预计期限在一年以内</w:t>
      </w:r>
      <w:r>
        <w:rPr>
          <w:spacing w:val="7"/>
        </w:rPr>
        <w:t> </w:t>
      </w:r>
      <w:r>
        <w:rPr>
          <w:spacing w:val="7"/>
        </w:rPr>
      </w:r>
      <w:r>
        <w:rPr/>
        <w:t>的合同，与商务用户或政企客户签订的电信服务合同是</w:t>
      </w:r>
      <w:r>
        <w:rPr>
          <w:spacing w:val="-21"/>
        </w:rPr>
        <w:t> </w:t>
      </w:r>
      <w:r>
        <w:rPr/>
        <w:t>1</w:t>
      </w:r>
      <w:r>
        <w:rPr>
          <w:spacing w:val="-21"/>
        </w:rPr>
        <w:t> </w:t>
      </w:r>
      <w:r>
        <w:rPr/>
        <w:t>至</w:t>
      </w:r>
      <w:r>
        <w:rPr>
          <w:spacing w:val="-21"/>
        </w:rPr>
        <w:t> </w:t>
      </w:r>
      <w:r>
        <w:rPr/>
        <w:t>5</w:t>
      </w:r>
      <w:r>
        <w:rPr>
          <w:spacing w:val="-21"/>
        </w:rPr>
        <w:t> </w:t>
      </w:r>
      <w:r>
        <w:rPr/>
        <w:t>年的固定期限合同。本集团每月按照固定的单价和实际</w:t>
      </w:r>
      <w:r>
        <w:rPr>
          <w:spacing w:val="-79"/>
        </w:rPr>
        <w:t> </w:t>
      </w:r>
      <w:r>
        <w:rPr>
          <w:spacing w:val="-79"/>
        </w:rPr>
      </w:r>
      <w:r>
        <w:rPr/>
        <w:t>服务量向大部分用户发出账单，并获得收款权。本集团对于预计期限在一年或更短期限的合同，以及对于按履约义务</w:t>
      </w:r>
      <w:r>
        <w:rPr>
          <w:spacing w:val="5"/>
        </w:rPr>
        <w:t> </w:t>
      </w:r>
      <w:r>
        <w:rPr>
          <w:spacing w:val="5"/>
        </w:rPr>
      </w:r>
      <w:r>
        <w:rPr/>
        <w:t>完成进度即可直接发出账单确认收入和收款权的合同，采用新收入准则允许的实际操作简化处理方法，因此，相关剩</w:t>
      </w:r>
      <w:r>
        <w:rPr>
          <w:spacing w:val="5"/>
        </w:rPr>
        <w:t> </w:t>
      </w:r>
      <w:r>
        <w:rPr>
          <w:spacing w:val="5"/>
        </w:rPr>
      </w:r>
      <w:r>
        <w:rPr/>
        <w:t>余履约义务的信息未予披露。</w:t>
      </w:r>
    </w:p>
    <w:p>
      <w:pPr>
        <w:spacing w:line="240" w:lineRule="auto" w:before="9"/>
        <w:rPr>
          <w:rFonts w:ascii="宋体" w:hAnsi="宋体" w:cs="宋体" w:eastAsia="宋体" w:hint="default"/>
          <w:sz w:val="14"/>
          <w:szCs w:val="14"/>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2333" w:hRule="exact"/>
        </w:trPr>
        <w:tc>
          <w:tcPr>
            <w:tcW w:w="409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283" w:right="2367" w:hanging="171"/>
              <w:jc w:val="left"/>
              <w:rPr>
                <w:rFonts w:ascii="宋体" w:hAnsi="宋体" w:cs="宋体" w:eastAsia="宋体" w:hint="default"/>
                <w:sz w:val="16"/>
                <w:szCs w:val="16"/>
              </w:rPr>
            </w:pPr>
            <w:r>
              <w:rPr>
                <w:rFonts w:ascii="宋体" w:hAnsi="宋体" w:cs="宋体" w:eastAsia="宋体" w:hint="default"/>
                <w:sz w:val="16"/>
                <w:szCs w:val="16"/>
              </w:rPr>
              <w:t>主营业务成本： 折旧及摊销 网间结算支出 人工成本 网络运行及支撑成本 技术服务成本</w:t>
            </w:r>
          </w:p>
          <w:p>
            <w:pPr>
              <w:pStyle w:val="TableParagraph"/>
              <w:spacing w:line="314" w:lineRule="auto" w:before="14"/>
              <w:ind w:left="114" w:right="3487" w:firstLine="170"/>
              <w:jc w:val="left"/>
              <w:rPr>
                <w:rFonts w:ascii="宋体" w:hAnsi="宋体" w:cs="宋体" w:eastAsia="宋体" w:hint="default"/>
                <w:sz w:val="16"/>
                <w:szCs w:val="16"/>
              </w:rPr>
            </w:pPr>
            <w:r>
              <w:rPr>
                <w:rFonts w:ascii="宋体" w:hAnsi="宋体" w:cs="宋体" w:eastAsia="宋体" w:hint="default"/>
                <w:sz w:val="16"/>
                <w:szCs w:val="16"/>
              </w:rPr>
              <w:t>其他 小计</w:t>
            </w:r>
          </w:p>
        </w:tc>
        <w:tc>
          <w:tcPr>
            <w:tcW w:w="2602"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1379" w:right="0"/>
              <w:jc w:val="left"/>
              <w:rPr>
                <w:rFonts w:ascii="宋体" w:hAnsi="宋体" w:cs="宋体" w:eastAsia="宋体" w:hint="default"/>
                <w:sz w:val="16"/>
                <w:szCs w:val="16"/>
              </w:rPr>
            </w:pPr>
            <w:r>
              <w:rPr>
                <w:rFonts w:ascii="宋体"/>
                <w:sz w:val="16"/>
              </w:rPr>
              <w:t>71,565,352,182</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12,579,380,472</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34,815,398,472</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55,076,898,324</w:t>
            </w:r>
          </w:p>
          <w:p>
            <w:pPr>
              <w:pStyle w:val="TableParagraph"/>
              <w:spacing w:line="240" w:lineRule="auto" w:before="64"/>
              <w:ind w:left="1356" w:right="0"/>
              <w:jc w:val="center"/>
              <w:rPr>
                <w:rFonts w:ascii="宋体" w:hAnsi="宋体" w:cs="宋体" w:eastAsia="宋体" w:hint="default"/>
                <w:sz w:val="16"/>
                <w:szCs w:val="16"/>
              </w:rPr>
            </w:pPr>
            <w:r>
              <w:rPr>
                <w:rFonts w:ascii="宋体"/>
                <w:sz w:val="16"/>
              </w:rPr>
              <w:t>4,580,963,320</w:t>
            </w:r>
          </w:p>
          <w:p>
            <w:pPr>
              <w:pStyle w:val="TableParagraph"/>
              <w:spacing w:line="240" w:lineRule="auto" w:before="64"/>
              <w:ind w:left="1356" w:right="0"/>
              <w:jc w:val="center"/>
              <w:rPr>
                <w:rFonts w:ascii="宋体" w:hAnsi="宋体" w:cs="宋体" w:eastAsia="宋体" w:hint="default"/>
                <w:sz w:val="16"/>
                <w:szCs w:val="16"/>
              </w:rPr>
            </w:pPr>
            <w:r>
              <w:rPr>
                <w:rFonts w:ascii="宋体"/>
                <w:sz w:val="16"/>
              </w:rPr>
              <w:t>7,363,628,826</w:t>
            </w:r>
          </w:p>
          <w:p>
            <w:pPr>
              <w:pStyle w:val="TableParagraph"/>
              <w:spacing w:line="240" w:lineRule="auto" w:before="64"/>
              <w:ind w:left="1179" w:right="0"/>
              <w:jc w:val="center"/>
              <w:rPr>
                <w:rFonts w:ascii="宋体" w:hAnsi="宋体" w:cs="宋体" w:eastAsia="宋体" w:hint="default"/>
                <w:sz w:val="16"/>
                <w:szCs w:val="16"/>
              </w:rPr>
            </w:pPr>
            <w:r>
              <w:rPr>
                <w:rFonts w:ascii="宋体"/>
                <w:sz w:val="16"/>
              </w:rPr>
              <w:t>185,981,621,596</w:t>
            </w:r>
          </w:p>
        </w:tc>
        <w:tc>
          <w:tcPr>
            <w:tcW w:w="2602" w:type="dxa"/>
            <w:tcBorders>
              <w:top w:val="single" w:sz="16" w:space="0" w:color="9F8958"/>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left="1379" w:right="0"/>
              <w:jc w:val="left"/>
              <w:rPr>
                <w:rFonts w:ascii="宋体" w:hAnsi="宋体" w:cs="宋体" w:eastAsia="宋体" w:hint="default"/>
                <w:sz w:val="16"/>
                <w:szCs w:val="16"/>
              </w:rPr>
            </w:pPr>
            <w:r>
              <w:rPr>
                <w:rFonts w:ascii="宋体"/>
                <w:sz w:val="16"/>
              </w:rPr>
              <w:t>73,607,747,081</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12,617,033,343</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31,207,263,946</w:t>
            </w:r>
          </w:p>
          <w:p>
            <w:pPr>
              <w:pStyle w:val="TableParagraph"/>
              <w:spacing w:line="240" w:lineRule="auto" w:before="64"/>
              <w:ind w:left="1380" w:right="0"/>
              <w:jc w:val="left"/>
              <w:rPr>
                <w:rFonts w:ascii="宋体" w:hAnsi="宋体" w:cs="宋体" w:eastAsia="宋体" w:hint="default"/>
                <w:sz w:val="16"/>
                <w:szCs w:val="16"/>
              </w:rPr>
            </w:pPr>
            <w:r>
              <w:rPr>
                <w:rFonts w:ascii="宋体"/>
                <w:sz w:val="16"/>
              </w:rPr>
              <w:t>54,506,750,776</w:t>
            </w:r>
          </w:p>
          <w:p>
            <w:pPr>
              <w:pStyle w:val="TableParagraph"/>
              <w:spacing w:line="240" w:lineRule="auto" w:before="64"/>
              <w:ind w:left="1356" w:right="0"/>
              <w:jc w:val="center"/>
              <w:rPr>
                <w:rFonts w:ascii="宋体" w:hAnsi="宋体" w:cs="宋体" w:eastAsia="宋体" w:hint="default"/>
                <w:sz w:val="16"/>
                <w:szCs w:val="16"/>
              </w:rPr>
            </w:pPr>
            <w:r>
              <w:rPr>
                <w:rFonts w:ascii="宋体"/>
                <w:sz w:val="16"/>
              </w:rPr>
              <w:t>2,398,295,795</w:t>
            </w:r>
          </w:p>
          <w:p>
            <w:pPr>
              <w:pStyle w:val="TableParagraph"/>
              <w:spacing w:line="240" w:lineRule="auto" w:before="64"/>
              <w:ind w:left="1356" w:right="0"/>
              <w:jc w:val="center"/>
              <w:rPr>
                <w:rFonts w:ascii="宋体" w:hAnsi="宋体" w:cs="宋体" w:eastAsia="宋体" w:hint="default"/>
                <w:sz w:val="16"/>
                <w:szCs w:val="16"/>
              </w:rPr>
            </w:pPr>
            <w:r>
              <w:rPr>
                <w:rFonts w:ascii="宋体"/>
                <w:sz w:val="16"/>
              </w:rPr>
              <w:t>5,996,320,974</w:t>
            </w:r>
          </w:p>
          <w:p>
            <w:pPr>
              <w:pStyle w:val="TableParagraph"/>
              <w:spacing w:line="240" w:lineRule="auto" w:before="64"/>
              <w:ind w:left="1179" w:right="0"/>
              <w:jc w:val="center"/>
              <w:rPr>
                <w:rFonts w:ascii="宋体" w:hAnsi="宋体" w:cs="宋体" w:eastAsia="宋体" w:hint="default"/>
                <w:sz w:val="16"/>
                <w:szCs w:val="16"/>
              </w:rPr>
            </w:pPr>
            <w:r>
              <w:rPr>
                <w:rFonts w:ascii="宋体"/>
                <w:sz w:val="16"/>
              </w:rPr>
              <w:t>180,333,411,915</w:t>
            </w:r>
          </w:p>
        </w:tc>
      </w:tr>
      <w:tr>
        <w:trPr>
          <w:trHeight w:val="680"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314" w:lineRule="auto" w:before="64"/>
              <w:ind w:left="283" w:right="2527" w:hanging="171"/>
              <w:jc w:val="left"/>
              <w:rPr>
                <w:rFonts w:ascii="宋体" w:hAnsi="宋体" w:cs="宋体" w:eastAsia="宋体" w:hint="default"/>
                <w:sz w:val="16"/>
                <w:szCs w:val="16"/>
              </w:rPr>
            </w:pPr>
            <w:r>
              <w:rPr>
                <w:rFonts w:ascii="宋体" w:hAnsi="宋体" w:cs="宋体" w:eastAsia="宋体" w:hint="default"/>
                <w:sz w:val="16"/>
                <w:szCs w:val="16"/>
              </w:rPr>
              <w:t>其他业务成本： 销售通信产品成本</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0"/>
              <w:jc w:val="right"/>
              <w:rPr>
                <w:rFonts w:ascii="宋体" w:hAnsi="宋体" w:cs="宋体" w:eastAsia="宋体" w:hint="default"/>
                <w:sz w:val="16"/>
                <w:szCs w:val="16"/>
              </w:rPr>
            </w:pPr>
            <w:r>
              <w:rPr>
                <w:rFonts w:ascii="宋体"/>
                <w:w w:val="95"/>
                <w:sz w:val="16"/>
              </w:rPr>
              <w:t>27,604,015,917</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0"/>
              <w:jc w:val="right"/>
              <w:rPr>
                <w:rFonts w:ascii="宋体" w:hAnsi="宋体" w:cs="宋体" w:eastAsia="宋体" w:hint="default"/>
                <w:sz w:val="16"/>
                <w:szCs w:val="16"/>
              </w:rPr>
            </w:pPr>
            <w:r>
              <w:rPr>
                <w:rFonts w:ascii="宋体"/>
                <w:w w:val="95"/>
                <w:sz w:val="16"/>
              </w:rPr>
              <w:t>26,643,306,016</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213,585,637,513</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206,976,717,931</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20"/>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37、税金及附加</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城市维护建设税及教育费附加等</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295,994,293</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237,201,893</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房产税</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774,748,413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700,924,779</w:t>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318,728,278</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343,899,834</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1,389,470,984</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1,282,026,506</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38、销售费用</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销售渠道费用</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23,151,022,969</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22,657,673,739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广告及业务宣传费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2,881,637,115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2,462,547,595</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用户服务及维系成本</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4,085,515,651</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3,987,304,665</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用户终端接入及维护成本</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3,357,873,031</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3,546,762,422</w:t>
            </w:r>
            <w:r>
              <w:rPr>
                <w:rFonts w:ascii="宋体"/>
                <w:sz w:val="16"/>
              </w:rPr>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1,693,666,694</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1,431,176,135</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35,169,715,460</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34,085,464,556</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39、管理费用</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人工成本</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13,327,244,437</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11,263,975,669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办公及交通费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1,433,616,853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1,549,802,777</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折旧及摊销</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4,725,200,661</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4,386,428,645</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差旅费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355,232,023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341,150,926</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水电取暖费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696,044,843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694,677,589</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房屋租赁费用</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1,414,932,515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1,335,855,830</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规费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273,826,292</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263,604,371</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专业服务及咨询费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211,179,740</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256,754,654</w:t>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487,842,301</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749,457,286</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22,925,119,665</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20,841,707,747</w:t>
            </w:r>
            <w:r>
              <w:rPr>
                <w:rFonts w:ascii="宋体"/>
                <w:sz w:val="16"/>
              </w:rPr>
            </w:r>
          </w:p>
        </w:tc>
      </w:tr>
    </w:tbl>
    <w:p>
      <w:pPr>
        <w:spacing w:after="0" w:line="240" w:lineRule="auto"/>
        <w:jc w:val="right"/>
        <w:rPr>
          <w:rFonts w:ascii="宋体" w:hAnsi="宋体" w:cs="宋体" w:eastAsia="宋体" w:hint="default"/>
          <w:sz w:val="16"/>
          <w:szCs w:val="16"/>
        </w:rPr>
        <w:sectPr>
          <w:headerReference w:type="default" r:id="rId318"/>
          <w:headerReference w:type="even" r:id="rId319"/>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40、研发费用</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直接职工薪酬</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502,872,217</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254,708,971</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折旧摊销费用</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54,829,484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39,787,510</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委托外部研发费用</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58,880,972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39,029,595</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直接材料费用</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6,893,315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13,920,217</w:t>
            </w:r>
            <w:r>
              <w:rPr>
                <w:rFonts w:ascii="宋体"/>
                <w:sz w:val="16"/>
              </w:rPr>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248,749,782</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144,495,655</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872,225,770</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491,941,948</w:t>
            </w:r>
          </w:p>
        </w:tc>
      </w:tr>
    </w:tbl>
    <w:p>
      <w:pPr>
        <w:spacing w:line="240" w:lineRule="auto" w:before="1"/>
        <w:rPr>
          <w:rFonts w:ascii="宋体" w:hAnsi="宋体" w:cs="宋体" w:eastAsia="宋体" w:hint="default"/>
          <w:sz w:val="15"/>
          <w:szCs w:val="15"/>
        </w:rPr>
      </w:pPr>
    </w:p>
    <w:p>
      <w:pPr>
        <w:pStyle w:val="BodyText"/>
        <w:spacing w:line="240" w:lineRule="auto" w:before="31"/>
        <w:ind w:left="113" w:right="0"/>
        <w:jc w:val="left"/>
      </w:pPr>
      <w:r>
        <w:rPr/>
        <w:t>41、财务费用</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利息支出</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2,073,019,955</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5,927,136,047</w:t>
            </w:r>
            <w:r>
              <w:rPr>
                <w:rFonts w:ascii="宋体"/>
                <w:sz w:val="16"/>
              </w:rPr>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减：资本化利息</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(533,652,880)</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(669,821,750)</w:t>
            </w:r>
            <w:r>
              <w:rPr>
                <w:rFonts w:ascii="宋体"/>
                <w:sz w:val="16"/>
              </w:rPr>
            </w:r>
          </w:p>
        </w:tc>
      </w:tr>
      <w:tr>
        <w:trPr>
          <w:trHeight w:val="350" w:hRule="exact"/>
        </w:trPr>
        <w:tc>
          <w:tcPr>
            <w:tcW w:w="4093"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净利息支出</w:t>
            </w:r>
          </w:p>
        </w:tc>
        <w:tc>
          <w:tcPr>
            <w:tcW w:w="2602" w:type="dxa"/>
            <w:tcBorders>
              <w:top w:val="single" w:sz="6" w:space="0" w:color="000000"/>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1,539,367,075</w:t>
            </w:r>
            <w:r>
              <w:rPr>
                <w:rFonts w:ascii="宋体"/>
                <w:sz w:val="16"/>
              </w:rPr>
            </w:r>
          </w:p>
        </w:tc>
        <w:tc>
          <w:tcPr>
            <w:tcW w:w="2602"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5,257,314,297</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减：利息收入</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(1,735,244,249)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(1,676,073,979)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95"/>
                <w:sz w:val="16"/>
                <w:szCs w:val="16"/>
              </w:rPr>
              <w:t>净汇兑（收益）/</w:t>
            </w:r>
            <w:r>
              <w:rPr>
                <w:rFonts w:ascii="宋体" w:hAnsi="宋体" w:cs="宋体" w:eastAsia="宋体" w:hint="default"/>
                <w:spacing w:val="4"/>
                <w:w w:val="95"/>
                <w:sz w:val="16"/>
                <w:szCs w:val="16"/>
              </w:rPr>
              <w:t> </w:t>
            </w:r>
            <w:r>
              <w:rPr>
                <w:rFonts w:ascii="宋体" w:hAnsi="宋体" w:cs="宋体" w:eastAsia="宋体" w:hint="default"/>
                <w:w w:val="95"/>
                <w:sz w:val="16"/>
                <w:szCs w:val="16"/>
              </w:rPr>
              <w:t>亏损</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(80,450,209)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231,282,358</w:t>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金融机构手续费及其他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138,547,592</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266,482,839</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(137,779,791)</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4,079,005,515</w:t>
            </w:r>
            <w:r>
              <w:rPr>
                <w:rFonts w:ascii="宋体"/>
                <w:sz w:val="16"/>
              </w:rPr>
            </w:r>
          </w:p>
        </w:tc>
      </w:tr>
    </w:tbl>
    <w:p>
      <w:pPr>
        <w:spacing w:line="240" w:lineRule="auto" w:before="1"/>
        <w:rPr>
          <w:rFonts w:ascii="宋体" w:hAnsi="宋体" w:cs="宋体" w:eastAsia="宋体" w:hint="default"/>
          <w:sz w:val="15"/>
          <w:szCs w:val="15"/>
        </w:rPr>
      </w:pPr>
    </w:p>
    <w:p>
      <w:pPr>
        <w:pStyle w:val="BodyText"/>
        <w:spacing w:line="458" w:lineRule="auto" w:before="31"/>
        <w:ind w:left="113" w:right="0" w:firstLine="340"/>
        <w:jc w:val="left"/>
      </w:pPr>
      <w:r>
        <w:rPr/>
        <w:t>于</w:t>
      </w:r>
      <w:r>
        <w:rPr>
          <w:spacing w:val="-36"/>
        </w:rPr>
        <w:t> </w:t>
      </w:r>
      <w:r>
        <w:rPr/>
        <w:t>2018</w:t>
      </w:r>
      <w:r>
        <w:rPr>
          <w:spacing w:val="-38"/>
        </w:rPr>
        <w:t> </w:t>
      </w:r>
      <w:r>
        <w:rPr/>
        <w:t>年</w:t>
      </w:r>
      <w:r>
        <w:rPr>
          <w:spacing w:val="-36"/>
        </w:rPr>
        <w:t> </w:t>
      </w:r>
      <w:r>
        <w:rPr/>
        <w:t>12</w:t>
      </w:r>
      <w:r>
        <w:rPr>
          <w:spacing w:val="-38"/>
        </w:rPr>
        <w:t> </w:t>
      </w:r>
      <w:r>
        <w:rPr/>
        <w:t>月</w:t>
      </w:r>
      <w:r>
        <w:rPr>
          <w:spacing w:val="-36"/>
        </w:rPr>
        <w:t> </w:t>
      </w:r>
      <w:r>
        <w:rPr/>
        <w:t>31</w:t>
      </w:r>
      <w:r>
        <w:rPr>
          <w:spacing w:val="-38"/>
        </w:rPr>
        <w:t> </w:t>
      </w:r>
      <w:r>
        <w:rPr/>
        <w:t>日，应收利息款项约人民币</w:t>
      </w:r>
      <w:r>
        <w:rPr>
          <w:spacing w:val="-36"/>
        </w:rPr>
        <w:t> </w:t>
      </w:r>
      <w:r>
        <w:rPr/>
        <w:t>3.42</w:t>
      </w:r>
      <w:r>
        <w:rPr>
          <w:spacing w:val="-38"/>
        </w:rPr>
        <w:t> </w:t>
      </w:r>
      <w:r>
        <w:rPr/>
        <w:t>亿元（2017</w:t>
      </w:r>
      <w:r>
        <w:rPr>
          <w:spacing w:val="-38"/>
        </w:rPr>
        <w:t> </w:t>
      </w:r>
      <w:r>
        <w:rPr/>
        <w:t>年</w:t>
      </w:r>
      <w:r>
        <w:rPr>
          <w:spacing w:val="-36"/>
        </w:rPr>
        <w:t> </w:t>
      </w:r>
      <w:r>
        <w:rPr/>
        <w:t>12</w:t>
      </w:r>
      <w:r>
        <w:rPr>
          <w:spacing w:val="-38"/>
        </w:rPr>
        <w:t> </w:t>
      </w:r>
      <w:r>
        <w:rPr/>
        <w:t>月</w:t>
      </w:r>
      <w:r>
        <w:rPr>
          <w:spacing w:val="-36"/>
        </w:rPr>
        <w:t> </w:t>
      </w:r>
      <w:r>
        <w:rPr/>
        <w:t>31</w:t>
      </w:r>
      <w:r>
        <w:rPr>
          <w:spacing w:val="-38"/>
        </w:rPr>
        <w:t> </w:t>
      </w:r>
      <w:r>
        <w:rPr/>
        <w:t>日：约人民币</w:t>
      </w:r>
      <w:r>
        <w:rPr>
          <w:spacing w:val="-36"/>
        </w:rPr>
        <w:t> </w:t>
      </w:r>
      <w:r>
        <w:rPr/>
        <w:t>3.18</w:t>
      </w:r>
      <w:r>
        <w:rPr>
          <w:spacing w:val="-38"/>
        </w:rPr>
        <w:t> </w:t>
      </w:r>
      <w:r>
        <w:rPr/>
        <w:t>亿元）。</w:t>
      </w:r>
      <w:r>
        <w:rPr/>
        <w:t> 42、资产减值损失</w:t>
      </w:r>
    </w:p>
    <w:p>
      <w:pPr>
        <w:spacing w:line="240" w:lineRule="auto" w:before="11"/>
        <w:rPr>
          <w:rFonts w:ascii="宋体" w:hAnsi="宋体" w:cs="宋体" w:eastAsia="宋体" w:hint="default"/>
          <w:sz w:val="4"/>
          <w:szCs w:val="4"/>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坏账准备</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3,848,574,752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存货跌价准备</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236,273,460</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111,472,859</w:t>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18,900,989</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83,872</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255,174,449</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3,960,131,483</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20"/>
        </w:sectPr>
      </w:pPr>
    </w:p>
    <w:p>
      <w:pPr>
        <w:spacing w:line="240" w:lineRule="auto" w:before="3"/>
        <w:rPr>
          <w:rFonts w:ascii="宋体" w:hAnsi="宋体" w:cs="宋体" w:eastAsia="宋体" w:hint="default"/>
          <w:sz w:val="14"/>
          <w:szCs w:val="14"/>
        </w:rPr>
      </w:pPr>
    </w:p>
    <w:tbl>
      <w:tblPr>
        <w:tblW w:w="0" w:type="auto"/>
        <w:jc w:val="left"/>
        <w:tblInd w:w="119" w:type="dxa"/>
        <w:tblLayout w:type="fixed"/>
        <w:tblCellMar>
          <w:top w:w="0" w:type="dxa"/>
          <w:left w:w="0" w:type="dxa"/>
          <w:bottom w:w="0" w:type="dxa"/>
          <w:right w:w="0" w:type="dxa"/>
        </w:tblCellMar>
        <w:tblLook w:val="01E0"/>
      </w:tblPr>
      <w:tblGrid>
        <w:gridCol w:w="5234"/>
        <w:gridCol w:w="4439"/>
      </w:tblGrid>
      <w:tr>
        <w:trPr>
          <w:trHeight w:val="843" w:hRule="exact"/>
        </w:trPr>
        <w:tc>
          <w:tcPr>
            <w:tcW w:w="5234"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43、信用减值损失</w:t>
            </w:r>
          </w:p>
        </w:tc>
        <w:tc>
          <w:tcPr>
            <w:tcW w:w="4439"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523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应收票据及应收账款</w:t>
            </w:r>
          </w:p>
        </w:tc>
        <w:tc>
          <w:tcPr>
            <w:tcW w:w="443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3,299,981,450</w:t>
            </w:r>
            <w:r>
              <w:rPr>
                <w:rFonts w:ascii="宋体"/>
                <w:sz w:val="16"/>
              </w:rPr>
            </w:r>
          </w:p>
        </w:tc>
      </w:tr>
      <w:tr>
        <w:trPr>
          <w:trHeight w:val="273" w:hRule="exact"/>
        </w:trPr>
        <w:tc>
          <w:tcPr>
            <w:tcW w:w="5234" w:type="dxa"/>
            <w:tcBorders>
              <w:top w:val="nil" w:sz="6" w:space="0" w:color="auto"/>
              <w:left w:val="nil" w:sz="6" w:space="0" w:color="auto"/>
              <w:bottom w:val="nil" w:sz="6" w:space="0" w:color="auto"/>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4439"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13,602,821</w:t>
            </w:r>
            <w:r>
              <w:rPr>
                <w:rFonts w:ascii="宋体"/>
                <w:sz w:val="16"/>
              </w:rPr>
            </w:r>
          </w:p>
        </w:tc>
      </w:tr>
      <w:tr>
        <w:trPr>
          <w:trHeight w:val="273" w:hRule="exact"/>
        </w:trPr>
        <w:tc>
          <w:tcPr>
            <w:tcW w:w="5234" w:type="dxa"/>
            <w:tcBorders>
              <w:top w:val="nil" w:sz="6" w:space="0" w:color="auto"/>
              <w:left w:val="nil" w:sz="6" w:space="0" w:color="auto"/>
              <w:bottom w:val="nil" w:sz="6" w:space="0" w:color="auto"/>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合同资产</w:t>
            </w:r>
          </w:p>
        </w:tc>
        <w:tc>
          <w:tcPr>
            <w:tcW w:w="4439"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230,553,517</w:t>
            </w:r>
          </w:p>
        </w:tc>
      </w:tr>
      <w:tr>
        <w:trPr>
          <w:trHeight w:val="331" w:hRule="exact"/>
        </w:trPr>
        <w:tc>
          <w:tcPr>
            <w:tcW w:w="5234" w:type="dxa"/>
            <w:tcBorders>
              <w:top w:val="nil" w:sz="6" w:space="0" w:color="auto"/>
              <w:left w:val="nil" w:sz="6" w:space="0" w:color="auto"/>
              <w:bottom w:val="single" w:sz="6" w:space="0" w:color="000000"/>
              <w:right w:val="nil" w:sz="6" w:space="0" w:color="auto"/>
            </w:tcBorders>
          </w:tcPr>
          <w:p>
            <w:pPr>
              <w:pStyle w:val="TableParagraph"/>
              <w:spacing w:line="205" w:lineRule="exact"/>
              <w:ind w:left="488"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4439"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65,397,272</w:t>
            </w:r>
            <w:r>
              <w:rPr>
                <w:rFonts w:ascii="宋体"/>
                <w:sz w:val="16"/>
              </w:rPr>
            </w:r>
          </w:p>
        </w:tc>
      </w:tr>
      <w:tr>
        <w:trPr>
          <w:trHeight w:val="414" w:hRule="exact"/>
        </w:trPr>
        <w:tc>
          <w:tcPr>
            <w:tcW w:w="523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443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3,609,535,060</w:t>
            </w:r>
            <w:r>
              <w:rPr>
                <w:rFonts w:ascii="宋体"/>
                <w:sz w:val="16"/>
              </w:rPr>
            </w:r>
          </w:p>
        </w:tc>
      </w:tr>
      <w:tr>
        <w:trPr>
          <w:trHeight w:val="597" w:hRule="exact"/>
        </w:trPr>
        <w:tc>
          <w:tcPr>
            <w:tcW w:w="5234" w:type="dxa"/>
            <w:tcBorders>
              <w:top w:val="single" w:sz="16" w:space="0" w:color="9F8958"/>
              <w:left w:val="nil" w:sz="6" w:space="0" w:color="auto"/>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5" w:right="0"/>
              <w:jc w:val="left"/>
              <w:rPr>
                <w:rFonts w:ascii="宋体" w:hAnsi="宋体" w:cs="宋体" w:eastAsia="宋体" w:hint="default"/>
                <w:sz w:val="18"/>
                <w:szCs w:val="18"/>
              </w:rPr>
            </w:pPr>
            <w:r>
              <w:rPr>
                <w:rFonts w:ascii="宋体" w:hAnsi="宋体" w:cs="宋体" w:eastAsia="宋体" w:hint="default"/>
                <w:sz w:val="18"/>
                <w:szCs w:val="18"/>
              </w:rPr>
              <w:t>44、投资收益</w:t>
            </w:r>
          </w:p>
        </w:tc>
        <w:tc>
          <w:tcPr>
            <w:tcW w:w="4439" w:type="dxa"/>
            <w:tcBorders>
              <w:top w:val="single" w:sz="16" w:space="0" w:color="9F8958"/>
              <w:left w:val="nil" w:sz="6" w:space="0" w:color="auto"/>
              <w:bottom w:val="nil" w:sz="6" w:space="0" w:color="auto"/>
              <w:right w:val="nil" w:sz="6" w:space="0" w:color="auto"/>
            </w:tcBorders>
          </w:tcPr>
          <w:p>
            <w:pPr/>
          </w:p>
        </w:tc>
      </w:tr>
    </w:tbl>
    <w:p>
      <w:pPr>
        <w:spacing w:line="240" w:lineRule="auto" w:before="9"/>
        <w:rPr>
          <w:rFonts w:ascii="宋体" w:hAnsi="宋体" w:cs="宋体" w:eastAsia="宋体" w:hint="default"/>
          <w:sz w:val="8"/>
          <w:szCs w:val="8"/>
        </w:rPr>
      </w:pPr>
    </w:p>
    <w:tbl>
      <w:tblPr>
        <w:tblW w:w="0" w:type="auto"/>
        <w:jc w:val="left"/>
        <w:tblInd w:w="47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25"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其他权益工具投资在持有期间的股利收</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202,813,360</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226,217,244</w:t>
            </w:r>
          </w:p>
        </w:tc>
      </w:tr>
      <w:tr>
        <w:trPr>
          <w:trHeight w:val="23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168" w:lineRule="exact"/>
              <w:ind w:left="113" w:right="0"/>
              <w:jc w:val="left"/>
              <w:rPr>
                <w:rFonts w:ascii="宋体" w:hAnsi="宋体" w:cs="宋体" w:eastAsia="宋体" w:hint="default"/>
                <w:sz w:val="16"/>
                <w:szCs w:val="16"/>
              </w:rPr>
            </w:pPr>
            <w:r>
              <w:rPr>
                <w:rFonts w:ascii="宋体" w:hAnsi="宋体" w:cs="宋体" w:eastAsia="宋体" w:hint="default"/>
                <w:sz w:val="16"/>
                <w:szCs w:val="16"/>
              </w:rPr>
              <w:t>益（注</w:t>
            </w:r>
            <w:r>
              <w:rPr>
                <w:rFonts w:ascii="宋体" w:hAnsi="宋体" w:cs="宋体" w:eastAsia="宋体" w:hint="default"/>
                <w:spacing w:val="-32"/>
                <w:sz w:val="16"/>
                <w:szCs w:val="16"/>
              </w:rPr>
              <w:t> </w:t>
            </w:r>
            <w:r>
              <w:rPr>
                <w:rFonts w:ascii="宋体" w:hAnsi="宋体" w:cs="宋体" w:eastAsia="宋体" w:hint="default"/>
                <w:sz w:val="16"/>
                <w:szCs w:val="16"/>
              </w:rPr>
              <w:t>1）</w:t>
            </w:r>
          </w:p>
        </w:tc>
        <w:tc>
          <w:tcPr>
            <w:tcW w:w="2602" w:type="dxa"/>
            <w:tcBorders>
              <w:top w:val="nil" w:sz="6" w:space="0" w:color="auto"/>
              <w:left w:val="nil" w:sz="6" w:space="0" w:color="auto"/>
              <w:bottom w:val="nil" w:sz="6" w:space="0" w:color="auto"/>
              <w:right w:val="nil" w:sz="6" w:space="0" w:color="auto"/>
            </w:tcBorders>
            <w:shd w:val="clear" w:color="auto" w:fill="ECE7DD"/>
          </w:tcPr>
          <w:p>
            <w:pPr/>
          </w:p>
        </w:tc>
        <w:tc>
          <w:tcPr>
            <w:tcW w:w="2602" w:type="dxa"/>
            <w:tcBorders>
              <w:top w:val="nil" w:sz="6" w:space="0" w:color="auto"/>
              <w:left w:val="nil" w:sz="6" w:space="0" w:color="auto"/>
              <w:bottom w:val="nil" w:sz="6" w:space="0" w:color="auto"/>
              <w:right w:val="nil" w:sz="6" w:space="0" w:color="auto"/>
            </w:tcBorders>
          </w:tcPr>
          <w:p>
            <w:pP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权益法核算的长期股权投资收益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2,236,077,532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1,466,546,786</w:t>
            </w:r>
            <w:r>
              <w:rPr>
                <w:rFonts w:ascii="宋体"/>
                <w:sz w:val="16"/>
              </w:rPr>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36,676,602</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7,398,012</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2,475,567,494</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1,700,162,042</w:t>
            </w:r>
            <w:r>
              <w:rPr>
                <w:rFonts w:ascii="宋体"/>
                <w:sz w:val="16"/>
              </w:rPr>
            </w:r>
          </w:p>
        </w:tc>
      </w:tr>
    </w:tbl>
    <w:p>
      <w:pPr>
        <w:spacing w:line="240" w:lineRule="auto" w:before="1"/>
        <w:rPr>
          <w:rFonts w:ascii="宋体" w:hAnsi="宋体" w:cs="宋体" w:eastAsia="宋体" w:hint="default"/>
          <w:sz w:val="15"/>
          <w:szCs w:val="15"/>
        </w:rPr>
      </w:pPr>
    </w:p>
    <w:p>
      <w:pPr>
        <w:pStyle w:val="BodyText"/>
        <w:spacing w:line="285" w:lineRule="auto" w:before="31"/>
        <w:ind w:left="947" w:right="100" w:hanging="454"/>
        <w:jc w:val="left"/>
      </w:pPr>
      <w:r>
        <w:rPr/>
        <w:t>注</w:t>
      </w:r>
      <w:r>
        <w:rPr>
          <w:spacing w:val="-41"/>
        </w:rPr>
        <w:t> </w:t>
      </w:r>
      <w:r>
        <w:rPr>
          <w:spacing w:val="-7"/>
        </w:rPr>
        <w:t>1：于</w:t>
      </w:r>
      <w:r>
        <w:rPr>
          <w:spacing w:val="-41"/>
        </w:rPr>
        <w:t> </w:t>
      </w:r>
      <w:r>
        <w:rPr/>
        <w:t>2018</w:t>
      </w:r>
      <w:r>
        <w:rPr>
          <w:spacing w:val="-41"/>
        </w:rPr>
        <w:t> </w:t>
      </w:r>
      <w:r>
        <w:rPr/>
        <w:t>年度，本集团所属子公司联通红筹公司收到西班牙电信宣布派发的现金股利人民币</w:t>
      </w:r>
      <w:r>
        <w:rPr>
          <w:spacing w:val="-41"/>
        </w:rPr>
        <w:t> </w:t>
      </w:r>
      <w:r>
        <w:rPr/>
        <w:t>1.96</w:t>
      </w:r>
      <w:r>
        <w:rPr>
          <w:spacing w:val="-41"/>
        </w:rPr>
        <w:t> </w:t>
      </w:r>
      <w:r>
        <w:rPr>
          <w:spacing w:val="-3"/>
        </w:rPr>
        <w:t>亿元（2017</w:t>
      </w:r>
      <w:r>
        <w:rPr>
          <w:spacing w:val="-41"/>
        </w:rPr>
        <w:t> </w:t>
      </w:r>
      <w:r>
        <w:rPr>
          <w:spacing w:val="-5"/>
        </w:rPr>
        <w:t>年：</w:t>
      </w:r>
      <w:r>
        <w:rPr>
          <w:spacing w:val="-88"/>
        </w:rPr>
        <w:t> </w:t>
      </w:r>
      <w:r>
        <w:rPr>
          <w:spacing w:val="-88"/>
        </w:rPr>
      </w:r>
      <w:r>
        <w:rPr/>
        <w:t>人民币</w:t>
      </w:r>
      <w:r>
        <w:rPr>
          <w:spacing w:val="-51"/>
        </w:rPr>
        <w:t> </w:t>
      </w:r>
      <w:r>
        <w:rPr/>
        <w:t>1.98</w:t>
      </w:r>
      <w:r>
        <w:rPr>
          <w:spacing w:val="-52"/>
        </w:rPr>
        <w:t> </w:t>
      </w:r>
      <w:r>
        <w:rPr/>
        <w:t>亿元）。</w:t>
      </w:r>
    </w:p>
    <w:p>
      <w:pPr>
        <w:spacing w:line="240" w:lineRule="auto" w:before="10"/>
        <w:rPr>
          <w:rFonts w:ascii="宋体" w:hAnsi="宋体" w:cs="宋体" w:eastAsia="宋体" w:hint="default"/>
          <w:sz w:val="13"/>
          <w:szCs w:val="13"/>
        </w:rPr>
      </w:pPr>
    </w:p>
    <w:p>
      <w:pPr>
        <w:pStyle w:val="BodyText"/>
        <w:spacing w:line="240" w:lineRule="auto"/>
        <w:ind w:left="154" w:right="87"/>
        <w:jc w:val="left"/>
      </w:pPr>
      <w:r>
        <w:rPr/>
        <w:t>45、资产处置损失</w:t>
      </w:r>
    </w:p>
    <w:p>
      <w:pPr>
        <w:spacing w:line="240" w:lineRule="auto" w:before="4"/>
        <w:rPr>
          <w:rFonts w:ascii="宋体" w:hAnsi="宋体" w:cs="宋体" w:eastAsia="宋体" w:hint="default"/>
          <w:sz w:val="17"/>
          <w:szCs w:val="17"/>
        </w:rPr>
      </w:pPr>
    </w:p>
    <w:tbl>
      <w:tblPr>
        <w:tblW w:w="0" w:type="auto"/>
        <w:jc w:val="left"/>
        <w:tblInd w:w="474" w:type="dxa"/>
        <w:tblLayout w:type="fixed"/>
        <w:tblCellMar>
          <w:top w:w="0" w:type="dxa"/>
          <w:left w:w="0" w:type="dxa"/>
          <w:bottom w:w="0" w:type="dxa"/>
          <w:right w:w="0" w:type="dxa"/>
        </w:tblCellMar>
        <w:tblLook w:val="01E0"/>
      </w:tblPr>
      <w:tblGrid>
        <w:gridCol w:w="2835"/>
        <w:gridCol w:w="2154"/>
        <w:gridCol w:w="2361"/>
        <w:gridCol w:w="1948"/>
      </w:tblGrid>
      <w:tr>
        <w:trPr>
          <w:trHeight w:val="550" w:hRule="exact"/>
        </w:trPr>
        <w:tc>
          <w:tcPr>
            <w:tcW w:w="2835"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15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361"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17"/>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948" w:type="dxa"/>
            <w:tcBorders>
              <w:top w:val="nil" w:sz="6" w:space="0" w:color="auto"/>
              <w:left w:val="nil" w:sz="6" w:space="0" w:color="auto"/>
              <w:bottom w:val="single" w:sz="16" w:space="0" w:color="9F8958"/>
              <w:right w:val="nil" w:sz="6" w:space="0" w:color="auto"/>
            </w:tcBorders>
          </w:tcPr>
          <w:p>
            <w:pPr>
              <w:pStyle w:val="TableParagraph"/>
              <w:spacing w:line="205" w:lineRule="exact" w:before="7"/>
              <w:ind w:left="319" w:right="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年计入非经常性</w:t>
            </w:r>
          </w:p>
          <w:p>
            <w:pPr>
              <w:pStyle w:val="TableParagraph"/>
              <w:spacing w:line="205" w:lineRule="exact"/>
              <w:ind w:left="1034" w:right="0"/>
              <w:jc w:val="left"/>
              <w:rPr>
                <w:rFonts w:ascii="宋体" w:hAnsi="宋体" w:cs="宋体" w:eastAsia="宋体" w:hint="default"/>
                <w:sz w:val="16"/>
                <w:szCs w:val="16"/>
              </w:rPr>
            </w:pPr>
            <w:r>
              <w:rPr>
                <w:rFonts w:ascii="宋体" w:hAnsi="宋体" w:cs="宋体" w:eastAsia="宋体" w:hint="default"/>
                <w:sz w:val="16"/>
                <w:szCs w:val="16"/>
              </w:rPr>
              <w:t>损益的金额</w:t>
            </w:r>
          </w:p>
        </w:tc>
      </w:tr>
      <w:tr>
        <w:trPr>
          <w:trHeight w:val="362" w:hRule="exact"/>
        </w:trPr>
        <w:tc>
          <w:tcPr>
            <w:tcW w:w="283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固定资产处置损失</w:t>
            </w:r>
          </w:p>
        </w:tc>
        <w:tc>
          <w:tcPr>
            <w:tcW w:w="2154"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3,944,013,514</w:t>
            </w:r>
            <w:r>
              <w:rPr>
                <w:rFonts w:ascii="宋体"/>
                <w:sz w:val="16"/>
              </w:rPr>
            </w:r>
          </w:p>
        </w:tc>
        <w:tc>
          <w:tcPr>
            <w:tcW w:w="236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17"/>
              <w:jc w:val="right"/>
              <w:rPr>
                <w:rFonts w:ascii="宋体" w:hAnsi="宋体" w:cs="宋体" w:eastAsia="宋体" w:hint="default"/>
                <w:sz w:val="16"/>
                <w:szCs w:val="16"/>
              </w:rPr>
            </w:pPr>
            <w:r>
              <w:rPr>
                <w:rFonts w:ascii="宋体"/>
                <w:w w:val="95"/>
                <w:sz w:val="16"/>
              </w:rPr>
              <w:t>3,489,660,989</w:t>
            </w:r>
            <w:r>
              <w:rPr>
                <w:rFonts w:ascii="宋体"/>
                <w:sz w:val="16"/>
              </w:rPr>
            </w:r>
          </w:p>
        </w:tc>
        <w:tc>
          <w:tcPr>
            <w:tcW w:w="194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3,944,013,514</w:t>
            </w:r>
            <w:r>
              <w:rPr>
                <w:rFonts w:ascii="宋体"/>
                <w:sz w:val="16"/>
              </w:rPr>
            </w:r>
          </w:p>
        </w:tc>
      </w:tr>
      <w:tr>
        <w:trPr>
          <w:trHeight w:val="273"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在建工程处置损失</w:t>
            </w:r>
          </w:p>
        </w:tc>
        <w:tc>
          <w:tcPr>
            <w:tcW w:w="215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12,855,215</w:t>
            </w:r>
            <w:r>
              <w:rPr>
                <w:rFonts w:ascii="宋体"/>
                <w:sz w:val="16"/>
              </w:rPr>
            </w:r>
          </w:p>
        </w:tc>
        <w:tc>
          <w:tcPr>
            <w:tcW w:w="2361" w:type="dxa"/>
            <w:tcBorders>
              <w:top w:val="nil" w:sz="6" w:space="0" w:color="auto"/>
              <w:left w:val="nil" w:sz="6" w:space="0" w:color="auto"/>
              <w:bottom w:val="nil" w:sz="6" w:space="0" w:color="auto"/>
              <w:right w:val="nil" w:sz="6" w:space="0" w:color="auto"/>
            </w:tcBorders>
          </w:tcPr>
          <w:p>
            <w:pPr>
              <w:pStyle w:val="TableParagraph"/>
              <w:spacing w:line="205" w:lineRule="exact"/>
              <w:ind w:right="317"/>
              <w:jc w:val="right"/>
              <w:rPr>
                <w:rFonts w:ascii="宋体" w:hAnsi="宋体" w:cs="宋体" w:eastAsia="宋体" w:hint="default"/>
                <w:sz w:val="16"/>
                <w:szCs w:val="16"/>
              </w:rPr>
            </w:pPr>
            <w:r>
              <w:rPr>
                <w:rFonts w:ascii="宋体"/>
                <w:w w:val="95"/>
                <w:sz w:val="16"/>
              </w:rPr>
              <w:t>4,882,999</w:t>
            </w:r>
            <w:r>
              <w:rPr>
                <w:rFonts w:ascii="宋体"/>
                <w:sz w:val="16"/>
              </w:rPr>
            </w:r>
          </w:p>
        </w:tc>
        <w:tc>
          <w:tcPr>
            <w:tcW w:w="1948"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12,855,215</w:t>
            </w:r>
            <w:r>
              <w:rPr>
                <w:rFonts w:ascii="宋体"/>
                <w:sz w:val="16"/>
              </w:rPr>
            </w:r>
          </w:p>
        </w:tc>
      </w:tr>
      <w:tr>
        <w:trPr>
          <w:trHeight w:val="273" w:hRule="exact"/>
        </w:trPr>
        <w:tc>
          <w:tcPr>
            <w:tcW w:w="283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95"/>
                <w:sz w:val="16"/>
                <w:szCs w:val="16"/>
              </w:rPr>
              <w:t>无形资产处置损失</w:t>
            </w:r>
            <w:r>
              <w:rPr>
                <w:rFonts w:ascii="宋体" w:hAnsi="宋体" w:cs="宋体" w:eastAsia="宋体" w:hint="default"/>
                <w:spacing w:val="28"/>
                <w:w w:val="95"/>
                <w:sz w:val="16"/>
                <w:szCs w:val="16"/>
              </w:rPr>
              <w:t> </w:t>
            </w:r>
            <w:r>
              <w:rPr>
                <w:rFonts w:ascii="宋体" w:hAnsi="宋体" w:cs="宋体" w:eastAsia="宋体" w:hint="default"/>
                <w:w w:val="95"/>
                <w:sz w:val="16"/>
                <w:szCs w:val="16"/>
              </w:rPr>
              <w:t>/（收益）</w:t>
            </w:r>
            <w:r>
              <w:rPr>
                <w:rFonts w:ascii="宋体" w:hAnsi="宋体" w:cs="宋体" w:eastAsia="宋体" w:hint="default"/>
                <w:sz w:val="16"/>
                <w:szCs w:val="16"/>
              </w:rPr>
            </w:r>
          </w:p>
        </w:tc>
        <w:tc>
          <w:tcPr>
            <w:tcW w:w="215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19,787,523</w:t>
            </w:r>
            <w:r>
              <w:rPr>
                <w:rFonts w:ascii="宋体"/>
                <w:sz w:val="16"/>
              </w:rPr>
            </w:r>
          </w:p>
        </w:tc>
        <w:tc>
          <w:tcPr>
            <w:tcW w:w="2361" w:type="dxa"/>
            <w:tcBorders>
              <w:top w:val="nil" w:sz="6" w:space="0" w:color="auto"/>
              <w:left w:val="nil" w:sz="6" w:space="0" w:color="auto"/>
              <w:bottom w:val="nil" w:sz="6" w:space="0" w:color="auto"/>
              <w:right w:val="nil" w:sz="6" w:space="0" w:color="auto"/>
            </w:tcBorders>
          </w:tcPr>
          <w:p>
            <w:pPr>
              <w:pStyle w:val="TableParagraph"/>
              <w:spacing w:line="205" w:lineRule="exact"/>
              <w:ind w:right="317"/>
              <w:jc w:val="right"/>
              <w:rPr>
                <w:rFonts w:ascii="宋体" w:hAnsi="宋体" w:cs="宋体" w:eastAsia="宋体" w:hint="default"/>
                <w:sz w:val="16"/>
                <w:szCs w:val="16"/>
              </w:rPr>
            </w:pPr>
            <w:r>
              <w:rPr>
                <w:rFonts w:ascii="宋体"/>
                <w:w w:val="90"/>
                <w:sz w:val="16"/>
              </w:rPr>
              <w:t>(5,646,272)</w:t>
            </w:r>
            <w:r>
              <w:rPr>
                <w:rFonts w:ascii="宋体"/>
                <w:sz w:val="16"/>
              </w:rPr>
            </w:r>
          </w:p>
        </w:tc>
        <w:tc>
          <w:tcPr>
            <w:tcW w:w="1948"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19,787,523</w:t>
            </w:r>
            <w:r>
              <w:rPr>
                <w:rFonts w:ascii="宋体"/>
                <w:sz w:val="16"/>
              </w:rPr>
            </w:r>
          </w:p>
        </w:tc>
      </w:tr>
      <w:tr>
        <w:trPr>
          <w:trHeight w:val="331" w:hRule="exact"/>
        </w:trPr>
        <w:tc>
          <w:tcPr>
            <w:tcW w:w="2835"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15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(4,853,103)</w:t>
            </w:r>
            <w:r>
              <w:rPr>
                <w:rFonts w:ascii="宋体"/>
                <w:sz w:val="16"/>
              </w:rPr>
            </w:r>
          </w:p>
        </w:tc>
        <w:tc>
          <w:tcPr>
            <w:tcW w:w="2361" w:type="dxa"/>
            <w:tcBorders>
              <w:top w:val="nil" w:sz="6" w:space="0" w:color="auto"/>
              <w:left w:val="nil" w:sz="6" w:space="0" w:color="auto"/>
              <w:bottom w:val="single" w:sz="6" w:space="0" w:color="000000"/>
              <w:right w:val="nil" w:sz="6" w:space="0" w:color="auto"/>
            </w:tcBorders>
          </w:tcPr>
          <w:p>
            <w:pPr>
              <w:pStyle w:val="TableParagraph"/>
              <w:spacing w:line="205" w:lineRule="exact"/>
              <w:ind w:right="317"/>
              <w:jc w:val="right"/>
              <w:rPr>
                <w:rFonts w:ascii="宋体" w:hAnsi="宋体" w:cs="宋体" w:eastAsia="宋体" w:hint="default"/>
                <w:sz w:val="16"/>
                <w:szCs w:val="16"/>
              </w:rPr>
            </w:pPr>
            <w:r>
              <w:rPr>
                <w:rFonts w:ascii="宋体"/>
                <w:w w:val="131"/>
                <w:sz w:val="16"/>
              </w:rPr>
              <w:t>-</w:t>
            </w:r>
            <w:r>
              <w:rPr>
                <w:rFonts w:ascii="宋体"/>
                <w:sz w:val="16"/>
              </w:rPr>
            </w:r>
          </w:p>
        </w:tc>
        <w:tc>
          <w:tcPr>
            <w:tcW w:w="1948"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(4,853,103)</w:t>
            </w:r>
            <w:r>
              <w:rPr>
                <w:rFonts w:ascii="宋体"/>
                <w:sz w:val="16"/>
              </w:rPr>
            </w:r>
          </w:p>
        </w:tc>
      </w:tr>
      <w:tr>
        <w:trPr>
          <w:trHeight w:val="414" w:hRule="exact"/>
        </w:trPr>
        <w:tc>
          <w:tcPr>
            <w:tcW w:w="283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15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3,971,803,149</w:t>
            </w:r>
            <w:r>
              <w:rPr>
                <w:rFonts w:ascii="宋体"/>
                <w:sz w:val="16"/>
              </w:rPr>
            </w:r>
          </w:p>
        </w:tc>
        <w:tc>
          <w:tcPr>
            <w:tcW w:w="236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17"/>
              <w:jc w:val="right"/>
              <w:rPr>
                <w:rFonts w:ascii="宋体" w:hAnsi="宋体" w:cs="宋体" w:eastAsia="宋体" w:hint="default"/>
                <w:sz w:val="16"/>
                <w:szCs w:val="16"/>
              </w:rPr>
            </w:pPr>
            <w:r>
              <w:rPr>
                <w:rFonts w:ascii="宋体"/>
                <w:w w:val="95"/>
                <w:sz w:val="16"/>
              </w:rPr>
              <w:t>3,488,897,716</w:t>
            </w:r>
            <w:r>
              <w:rPr>
                <w:rFonts w:ascii="宋体"/>
                <w:sz w:val="16"/>
              </w:rPr>
            </w:r>
          </w:p>
        </w:tc>
        <w:tc>
          <w:tcPr>
            <w:tcW w:w="194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3,971,803,149</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2776" w:footer="298" w:top="2960" w:bottom="480" w:left="132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87"/>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53" w:right="87"/>
        <w:jc w:val="left"/>
      </w:pPr>
      <w:r>
        <w:rPr/>
        <w:t>46、政府补助</w:t>
      </w:r>
    </w:p>
    <w:p>
      <w:pPr>
        <w:spacing w:line="240" w:lineRule="auto" w:before="12"/>
        <w:rPr>
          <w:rFonts w:ascii="宋体" w:hAnsi="宋体" w:cs="宋体" w:eastAsia="宋体" w:hint="default"/>
          <w:sz w:val="17"/>
          <w:szCs w:val="17"/>
        </w:rPr>
      </w:pPr>
    </w:p>
    <w:p>
      <w:pPr>
        <w:pStyle w:val="BodyText"/>
        <w:spacing w:line="240" w:lineRule="auto"/>
        <w:ind w:left="493" w:right="87"/>
        <w:jc w:val="left"/>
      </w:pPr>
      <w:r>
        <w:rPr/>
        <w:t>其他收益</w:t>
      </w:r>
    </w:p>
    <w:p>
      <w:pPr>
        <w:spacing w:line="240" w:lineRule="auto" w:before="4"/>
        <w:rPr>
          <w:rFonts w:ascii="宋体" w:hAnsi="宋体" w:cs="宋体" w:eastAsia="宋体" w:hint="default"/>
          <w:sz w:val="17"/>
          <w:szCs w:val="17"/>
        </w:rPr>
      </w:pPr>
    </w:p>
    <w:tbl>
      <w:tblPr>
        <w:tblW w:w="0" w:type="auto"/>
        <w:jc w:val="left"/>
        <w:tblInd w:w="473" w:type="dxa"/>
        <w:tblLayout w:type="fixed"/>
        <w:tblCellMar>
          <w:top w:w="0" w:type="dxa"/>
          <w:left w:w="0" w:type="dxa"/>
          <w:bottom w:w="0" w:type="dxa"/>
          <w:right w:w="0" w:type="dxa"/>
        </w:tblCellMar>
        <w:tblLook w:val="01E0"/>
      </w:tblPr>
      <w:tblGrid>
        <w:gridCol w:w="4989"/>
        <w:gridCol w:w="2154"/>
        <w:gridCol w:w="2154"/>
      </w:tblGrid>
      <w:tr>
        <w:trPr>
          <w:trHeight w:val="350" w:hRule="exact"/>
        </w:trPr>
        <w:tc>
          <w:tcPr>
            <w:tcW w:w="4989" w:type="dxa"/>
            <w:tcBorders>
              <w:top w:val="nil" w:sz="6" w:space="0" w:color="auto"/>
              <w:left w:val="nil" w:sz="6" w:space="0" w:color="auto"/>
              <w:bottom w:val="single" w:sz="16" w:space="0" w:color="9F8958"/>
              <w:right w:val="nil" w:sz="6" w:space="0" w:color="auto"/>
            </w:tcBorders>
          </w:tcPr>
          <w:p>
            <w:pPr/>
          </w:p>
        </w:tc>
        <w:tc>
          <w:tcPr>
            <w:tcW w:w="215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154"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4989"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3273"/>
              <w:jc w:val="left"/>
              <w:rPr>
                <w:rFonts w:ascii="宋体" w:hAnsi="宋体" w:cs="宋体" w:eastAsia="宋体" w:hint="default"/>
                <w:sz w:val="16"/>
                <w:szCs w:val="16"/>
              </w:rPr>
            </w:pPr>
            <w:r>
              <w:rPr>
                <w:rFonts w:ascii="宋体" w:hAnsi="宋体" w:cs="宋体" w:eastAsia="宋体" w:hint="default"/>
                <w:sz w:val="16"/>
                <w:szCs w:val="16"/>
              </w:rPr>
              <w:t>与资产相关的政府补助 与收益相关的政府补助</w:t>
            </w:r>
          </w:p>
        </w:tc>
        <w:tc>
          <w:tcPr>
            <w:tcW w:w="2154"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153" w:right="0"/>
              <w:jc w:val="left"/>
              <w:rPr>
                <w:rFonts w:ascii="宋体" w:hAnsi="宋体" w:cs="宋体" w:eastAsia="宋体" w:hint="default"/>
                <w:sz w:val="16"/>
                <w:szCs w:val="16"/>
              </w:rPr>
            </w:pPr>
            <w:r>
              <w:rPr>
                <w:rFonts w:ascii="宋体"/>
                <w:sz w:val="16"/>
              </w:rPr>
              <w:t>113,062,783</w:t>
            </w:r>
          </w:p>
          <w:p>
            <w:pPr>
              <w:pStyle w:val="TableParagraph"/>
              <w:spacing w:line="240" w:lineRule="auto" w:before="64"/>
              <w:ind w:left="1242" w:right="0"/>
              <w:jc w:val="left"/>
              <w:rPr>
                <w:rFonts w:ascii="宋体" w:hAnsi="宋体" w:cs="宋体" w:eastAsia="宋体" w:hint="default"/>
                <w:sz w:val="16"/>
                <w:szCs w:val="16"/>
              </w:rPr>
            </w:pPr>
            <w:r>
              <w:rPr>
                <w:rFonts w:ascii="宋体"/>
                <w:sz w:val="16"/>
              </w:rPr>
              <w:t>72,150,975</w:t>
            </w:r>
          </w:p>
        </w:tc>
        <w:tc>
          <w:tcPr>
            <w:tcW w:w="2154"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242" w:right="0"/>
              <w:jc w:val="left"/>
              <w:rPr>
                <w:rFonts w:ascii="宋体" w:hAnsi="宋体" w:cs="宋体" w:eastAsia="宋体" w:hint="default"/>
                <w:sz w:val="16"/>
                <w:szCs w:val="16"/>
              </w:rPr>
            </w:pPr>
            <w:r>
              <w:rPr>
                <w:rFonts w:ascii="宋体"/>
                <w:sz w:val="16"/>
              </w:rPr>
              <w:t>87,756,128</w:t>
            </w:r>
          </w:p>
          <w:p>
            <w:pPr>
              <w:pStyle w:val="TableParagraph"/>
              <w:spacing w:line="240" w:lineRule="auto" w:before="64"/>
              <w:ind w:left="1153" w:right="0"/>
              <w:jc w:val="left"/>
              <w:rPr>
                <w:rFonts w:ascii="宋体" w:hAnsi="宋体" w:cs="宋体" w:eastAsia="宋体" w:hint="default"/>
                <w:sz w:val="16"/>
                <w:szCs w:val="16"/>
              </w:rPr>
            </w:pPr>
            <w:r>
              <w:rPr>
                <w:rFonts w:ascii="宋体"/>
                <w:sz w:val="16"/>
              </w:rPr>
              <w:t>108,648,444</w:t>
            </w:r>
          </w:p>
        </w:tc>
      </w:tr>
      <w:tr>
        <w:trPr>
          <w:trHeight w:val="414" w:hRule="exact"/>
        </w:trPr>
        <w:tc>
          <w:tcPr>
            <w:tcW w:w="498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15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185,213,758</w:t>
            </w:r>
          </w:p>
        </w:tc>
        <w:tc>
          <w:tcPr>
            <w:tcW w:w="215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196,404,572</w:t>
            </w:r>
          </w:p>
        </w:tc>
      </w:tr>
    </w:tbl>
    <w:p>
      <w:pPr>
        <w:spacing w:line="240" w:lineRule="auto" w:before="1"/>
        <w:rPr>
          <w:rFonts w:ascii="宋体" w:hAnsi="宋体" w:cs="宋体" w:eastAsia="宋体" w:hint="default"/>
          <w:sz w:val="15"/>
          <w:szCs w:val="15"/>
        </w:rPr>
      </w:pPr>
    </w:p>
    <w:p>
      <w:pPr>
        <w:pStyle w:val="BodyText"/>
        <w:spacing w:line="240" w:lineRule="auto" w:before="31"/>
        <w:ind w:left="493" w:right="87"/>
        <w:jc w:val="left"/>
      </w:pPr>
      <w:r>
        <w:rPr/>
        <w:t>营业外收入</w:t>
      </w:r>
    </w:p>
    <w:p>
      <w:pPr>
        <w:spacing w:line="240" w:lineRule="auto" w:before="4"/>
        <w:rPr>
          <w:rFonts w:ascii="宋体" w:hAnsi="宋体" w:cs="宋体" w:eastAsia="宋体" w:hint="default"/>
          <w:sz w:val="17"/>
          <w:szCs w:val="17"/>
        </w:rPr>
      </w:pPr>
    </w:p>
    <w:tbl>
      <w:tblPr>
        <w:tblW w:w="0" w:type="auto"/>
        <w:jc w:val="left"/>
        <w:tblInd w:w="473" w:type="dxa"/>
        <w:tblLayout w:type="fixed"/>
        <w:tblCellMar>
          <w:top w:w="0" w:type="dxa"/>
          <w:left w:w="0" w:type="dxa"/>
          <w:bottom w:w="0" w:type="dxa"/>
          <w:right w:w="0" w:type="dxa"/>
        </w:tblCellMar>
        <w:tblLook w:val="01E0"/>
      </w:tblPr>
      <w:tblGrid>
        <w:gridCol w:w="4989"/>
        <w:gridCol w:w="2154"/>
        <w:gridCol w:w="2154"/>
      </w:tblGrid>
      <w:tr>
        <w:trPr>
          <w:trHeight w:val="350" w:hRule="exact"/>
        </w:trPr>
        <w:tc>
          <w:tcPr>
            <w:tcW w:w="4989"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900"/>
              <w:jc w:val="right"/>
              <w:rPr>
                <w:rFonts w:ascii="宋体" w:hAnsi="宋体" w:cs="宋体" w:eastAsia="宋体" w:hint="default"/>
                <w:sz w:val="16"/>
                <w:szCs w:val="16"/>
              </w:rPr>
            </w:pPr>
            <w:r>
              <w:rPr>
                <w:rFonts w:ascii="宋体" w:hAnsi="宋体" w:cs="宋体" w:eastAsia="宋体" w:hint="default"/>
                <w:sz w:val="16"/>
                <w:szCs w:val="16"/>
              </w:rPr>
              <w:t>注</w:t>
            </w:r>
          </w:p>
        </w:tc>
        <w:tc>
          <w:tcPr>
            <w:tcW w:w="215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154"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427" w:hRule="exact"/>
        </w:trPr>
        <w:tc>
          <w:tcPr>
            <w:tcW w:w="4989" w:type="dxa"/>
            <w:tcBorders>
              <w:top w:val="single" w:sz="16" w:space="0" w:color="9F8958"/>
              <w:left w:val="nil" w:sz="6" w:space="0" w:color="auto"/>
              <w:bottom w:val="single" w:sz="16" w:space="0" w:color="9F8958"/>
              <w:right w:val="nil" w:sz="6" w:space="0" w:color="auto"/>
            </w:tcBorders>
          </w:tcPr>
          <w:p>
            <w:pPr>
              <w:pStyle w:val="TableParagraph"/>
              <w:tabs>
                <w:tab w:pos="3613" w:val="left" w:leader="none"/>
              </w:tabs>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与收益相关的政府补助</w:t>
              <w:tab/>
            </w:r>
            <w:r>
              <w:rPr>
                <w:rFonts w:ascii="宋体" w:hAnsi="宋体" w:cs="宋体" w:eastAsia="宋体" w:hint="default"/>
                <w:w w:val="95"/>
                <w:sz w:val="16"/>
                <w:szCs w:val="16"/>
              </w:rPr>
              <w:t>附注五</w:t>
            </w:r>
            <w:r>
              <w:rPr>
                <w:rFonts w:ascii="宋体" w:hAnsi="宋体" w:cs="宋体" w:eastAsia="宋体" w:hint="default"/>
                <w:spacing w:val="-50"/>
                <w:w w:val="95"/>
                <w:sz w:val="16"/>
                <w:szCs w:val="16"/>
              </w:rPr>
              <w:t> </w:t>
            </w:r>
            <w:r>
              <w:rPr>
                <w:rFonts w:ascii="宋体" w:hAnsi="宋体" w:cs="宋体" w:eastAsia="宋体" w:hint="default"/>
                <w:w w:val="95"/>
                <w:sz w:val="16"/>
                <w:szCs w:val="16"/>
              </w:rPr>
              <w:t>(47)</w:t>
            </w:r>
            <w:r>
              <w:rPr>
                <w:rFonts w:ascii="宋体" w:hAnsi="宋体" w:cs="宋体" w:eastAsia="宋体" w:hint="default"/>
                <w:sz w:val="16"/>
                <w:szCs w:val="16"/>
              </w:rPr>
            </w:r>
          </w:p>
        </w:tc>
        <w:tc>
          <w:tcPr>
            <w:tcW w:w="2154"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71,936,625</w:t>
            </w:r>
            <w:r>
              <w:rPr>
                <w:rFonts w:ascii="宋体"/>
                <w:sz w:val="16"/>
              </w:rPr>
            </w:r>
          </w:p>
        </w:tc>
        <w:tc>
          <w:tcPr>
            <w:tcW w:w="2154"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56,974,506</w:t>
            </w:r>
            <w:r>
              <w:rPr>
                <w:rFonts w:ascii="宋体"/>
                <w:sz w:val="16"/>
              </w:rPr>
            </w:r>
          </w:p>
        </w:tc>
      </w:tr>
    </w:tbl>
    <w:p>
      <w:pPr>
        <w:spacing w:line="240" w:lineRule="auto" w:before="1"/>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3680"/>
        <w:gridCol w:w="1404"/>
        <w:gridCol w:w="1148"/>
        <w:gridCol w:w="1173"/>
        <w:gridCol w:w="1161"/>
        <w:gridCol w:w="1092"/>
      </w:tblGrid>
      <w:tr>
        <w:trPr>
          <w:trHeight w:val="729"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(a)</w:t>
            </w:r>
            <w:r>
              <w:rPr>
                <w:rFonts w:ascii="宋体" w:hAnsi="宋体" w:cs="宋体" w:eastAsia="宋体" w:hint="default"/>
                <w:spacing w:val="-21"/>
                <w:sz w:val="18"/>
                <w:szCs w:val="18"/>
              </w:rPr>
              <w:t> </w:t>
            </w:r>
            <w:r>
              <w:rPr>
                <w:rFonts w:ascii="宋体" w:hAnsi="宋体" w:cs="宋体" w:eastAsia="宋体" w:hint="default"/>
                <w:sz w:val="18"/>
                <w:szCs w:val="18"/>
              </w:rPr>
              <w:t>与资产相关的政府补助</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201"/>
              <w:jc w:val="right"/>
              <w:rPr>
                <w:rFonts w:ascii="宋体" w:hAnsi="宋体" w:cs="宋体" w:eastAsia="宋体" w:hint="default"/>
                <w:sz w:val="14"/>
                <w:szCs w:val="14"/>
              </w:rPr>
            </w:pPr>
            <w:r>
              <w:rPr>
                <w:rFonts w:ascii="宋体" w:hAnsi="宋体" w:cs="宋体" w:eastAsia="宋体" w:hint="default"/>
                <w:sz w:val="14"/>
                <w:szCs w:val="14"/>
              </w:rPr>
              <w:t>递延收益</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169"/>
              <w:jc w:val="right"/>
              <w:rPr>
                <w:rFonts w:ascii="宋体" w:hAnsi="宋体" w:cs="宋体" w:eastAsia="宋体" w:hint="default"/>
                <w:sz w:val="14"/>
                <w:szCs w:val="14"/>
              </w:rPr>
            </w:pPr>
            <w:r>
              <w:rPr>
                <w:rFonts w:ascii="宋体" w:hAnsi="宋体" w:cs="宋体" w:eastAsia="宋体" w:hint="default"/>
                <w:sz w:val="14"/>
                <w:szCs w:val="14"/>
              </w:rPr>
              <w:t>本年新增</w:t>
            </w:r>
          </w:p>
        </w:tc>
        <w:tc>
          <w:tcPr>
            <w:tcW w:w="1173" w:type="dxa"/>
            <w:tcBorders>
              <w:top w:val="nil" w:sz="6" w:space="0" w:color="auto"/>
              <w:left w:val="nil" w:sz="6" w:space="0" w:color="auto"/>
              <w:bottom w:val="nil" w:sz="6" w:space="0" w:color="auto"/>
              <w:right w:val="nil" w:sz="6" w:space="0" w:color="auto"/>
            </w:tcBorders>
          </w:tcPr>
          <w:p>
            <w:pPr/>
          </w:p>
        </w:tc>
        <w:tc>
          <w:tcPr>
            <w:tcW w:w="1161"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0"/>
                <w:szCs w:val="10"/>
              </w:rPr>
            </w:pPr>
          </w:p>
          <w:p>
            <w:pPr>
              <w:pStyle w:val="TableParagraph"/>
              <w:spacing w:line="240" w:lineRule="auto"/>
              <w:ind w:right="54"/>
              <w:jc w:val="right"/>
              <w:rPr>
                <w:rFonts w:ascii="宋体" w:hAnsi="宋体" w:cs="宋体" w:eastAsia="宋体" w:hint="default"/>
                <w:sz w:val="14"/>
                <w:szCs w:val="14"/>
              </w:rPr>
            </w:pPr>
            <w:r>
              <w:rPr>
                <w:rFonts w:ascii="宋体" w:hAnsi="宋体" w:cs="宋体" w:eastAsia="宋体" w:hint="default"/>
                <w:sz w:val="14"/>
                <w:szCs w:val="14"/>
              </w:rPr>
              <w:t>递延收益</w:t>
            </w:r>
          </w:p>
        </w:tc>
      </w:tr>
      <w:tr>
        <w:trPr>
          <w:trHeight w:val="295" w:hRule="exact"/>
        </w:trPr>
        <w:tc>
          <w:tcPr>
            <w:tcW w:w="3680" w:type="dxa"/>
            <w:tcBorders>
              <w:top w:val="nil" w:sz="6" w:space="0" w:color="auto"/>
              <w:left w:val="nil" w:sz="6" w:space="0" w:color="auto"/>
              <w:bottom w:val="single" w:sz="16" w:space="0" w:color="9F8958"/>
              <w:right w:val="nil" w:sz="6" w:space="0" w:color="auto"/>
            </w:tcBorders>
          </w:tcPr>
          <w:p>
            <w:pPr>
              <w:pStyle w:val="TableParagraph"/>
              <w:spacing w:line="162" w:lineRule="exact"/>
              <w:ind w:left="431" w:right="0"/>
              <w:jc w:val="left"/>
              <w:rPr>
                <w:rFonts w:ascii="宋体" w:hAnsi="宋体" w:cs="宋体" w:eastAsia="宋体" w:hint="default"/>
                <w:sz w:val="14"/>
                <w:szCs w:val="14"/>
              </w:rPr>
            </w:pPr>
            <w:r>
              <w:rPr>
                <w:rFonts w:ascii="宋体" w:hAnsi="宋体" w:cs="宋体" w:eastAsia="宋体" w:hint="default"/>
                <w:sz w:val="14"/>
                <w:szCs w:val="14"/>
              </w:rPr>
              <w:t>补助项目</w:t>
            </w:r>
          </w:p>
        </w:tc>
        <w:tc>
          <w:tcPr>
            <w:tcW w:w="1404" w:type="dxa"/>
            <w:tcBorders>
              <w:top w:val="nil" w:sz="6" w:space="0" w:color="auto"/>
              <w:left w:val="nil" w:sz="6" w:space="0" w:color="auto"/>
              <w:bottom w:val="single" w:sz="16" w:space="0" w:color="9F8958"/>
              <w:right w:val="nil" w:sz="6" w:space="0" w:color="auto"/>
            </w:tcBorders>
          </w:tcPr>
          <w:p>
            <w:pPr>
              <w:pStyle w:val="TableParagraph"/>
              <w:spacing w:line="162" w:lineRule="exact"/>
              <w:ind w:right="201"/>
              <w:jc w:val="right"/>
              <w:rPr>
                <w:rFonts w:ascii="宋体" w:hAnsi="宋体" w:cs="宋体" w:eastAsia="宋体" w:hint="default"/>
                <w:sz w:val="14"/>
                <w:szCs w:val="14"/>
              </w:rPr>
            </w:pPr>
            <w:r>
              <w:rPr>
                <w:rFonts w:ascii="宋体" w:hAnsi="宋体" w:cs="宋体" w:eastAsia="宋体" w:hint="default"/>
                <w:sz w:val="14"/>
                <w:szCs w:val="14"/>
              </w:rPr>
              <w:t>年初余额</w:t>
            </w:r>
          </w:p>
        </w:tc>
        <w:tc>
          <w:tcPr>
            <w:tcW w:w="1148" w:type="dxa"/>
            <w:tcBorders>
              <w:top w:val="nil" w:sz="6" w:space="0" w:color="auto"/>
              <w:left w:val="nil" w:sz="6" w:space="0" w:color="auto"/>
              <w:bottom w:val="single" w:sz="16" w:space="0" w:color="9F8958"/>
              <w:right w:val="nil" w:sz="6" w:space="0" w:color="auto"/>
            </w:tcBorders>
          </w:tcPr>
          <w:p>
            <w:pPr>
              <w:pStyle w:val="TableParagraph"/>
              <w:spacing w:line="162" w:lineRule="exact"/>
              <w:ind w:right="169"/>
              <w:jc w:val="right"/>
              <w:rPr>
                <w:rFonts w:ascii="宋体" w:hAnsi="宋体" w:cs="宋体" w:eastAsia="宋体" w:hint="default"/>
                <w:sz w:val="14"/>
                <w:szCs w:val="14"/>
              </w:rPr>
            </w:pPr>
            <w:r>
              <w:rPr>
                <w:rFonts w:ascii="宋体" w:hAnsi="宋体" w:cs="宋体" w:eastAsia="宋体" w:hint="default"/>
                <w:sz w:val="14"/>
                <w:szCs w:val="14"/>
              </w:rPr>
              <w:t>补助金额</w:t>
            </w:r>
          </w:p>
        </w:tc>
        <w:tc>
          <w:tcPr>
            <w:tcW w:w="1173" w:type="dxa"/>
            <w:tcBorders>
              <w:top w:val="nil" w:sz="6" w:space="0" w:color="auto"/>
              <w:left w:val="nil" w:sz="6" w:space="0" w:color="auto"/>
              <w:bottom w:val="single" w:sz="16" w:space="0" w:color="9F8958"/>
              <w:right w:val="nil" w:sz="6" w:space="0" w:color="auto"/>
            </w:tcBorders>
          </w:tcPr>
          <w:p>
            <w:pPr>
              <w:pStyle w:val="TableParagraph"/>
              <w:spacing w:line="162" w:lineRule="exact"/>
              <w:ind w:right="162"/>
              <w:jc w:val="right"/>
              <w:rPr>
                <w:rFonts w:ascii="宋体" w:hAnsi="宋体" w:cs="宋体" w:eastAsia="宋体" w:hint="default"/>
                <w:sz w:val="14"/>
                <w:szCs w:val="14"/>
              </w:rPr>
            </w:pPr>
            <w:r>
              <w:rPr>
                <w:rFonts w:ascii="宋体" w:hAnsi="宋体" w:cs="宋体" w:eastAsia="宋体" w:hint="default"/>
                <w:sz w:val="14"/>
                <w:szCs w:val="14"/>
              </w:rPr>
              <w:t>冲减财务费用</w:t>
            </w:r>
          </w:p>
        </w:tc>
        <w:tc>
          <w:tcPr>
            <w:tcW w:w="1161" w:type="dxa"/>
            <w:tcBorders>
              <w:top w:val="nil" w:sz="6" w:space="0" w:color="auto"/>
              <w:left w:val="nil" w:sz="6" w:space="0" w:color="auto"/>
              <w:bottom w:val="single" w:sz="16" w:space="0" w:color="9F8958"/>
              <w:right w:val="nil" w:sz="6" w:space="0" w:color="auto"/>
            </w:tcBorders>
          </w:tcPr>
          <w:p>
            <w:pPr>
              <w:pStyle w:val="TableParagraph"/>
              <w:spacing w:line="162" w:lineRule="exact"/>
              <w:ind w:right="142"/>
              <w:jc w:val="right"/>
              <w:rPr>
                <w:rFonts w:ascii="宋体" w:hAnsi="宋体" w:cs="宋体" w:eastAsia="宋体" w:hint="default"/>
                <w:sz w:val="14"/>
                <w:szCs w:val="14"/>
              </w:rPr>
            </w:pPr>
            <w:r>
              <w:rPr>
                <w:rFonts w:ascii="宋体" w:hAnsi="宋体" w:cs="宋体" w:eastAsia="宋体" w:hint="default"/>
                <w:sz w:val="14"/>
                <w:szCs w:val="14"/>
              </w:rPr>
              <w:t>计入其他收益</w:t>
            </w:r>
          </w:p>
        </w:tc>
        <w:tc>
          <w:tcPr>
            <w:tcW w:w="1092" w:type="dxa"/>
            <w:tcBorders>
              <w:top w:val="nil" w:sz="6" w:space="0" w:color="auto"/>
              <w:left w:val="nil" w:sz="6" w:space="0" w:color="auto"/>
              <w:bottom w:val="single" w:sz="16" w:space="0" w:color="9F8958"/>
              <w:right w:val="nil" w:sz="6" w:space="0" w:color="auto"/>
            </w:tcBorders>
          </w:tcPr>
          <w:p>
            <w:pPr>
              <w:pStyle w:val="TableParagraph"/>
              <w:spacing w:line="162" w:lineRule="exact"/>
              <w:ind w:right="54"/>
              <w:jc w:val="right"/>
              <w:rPr>
                <w:rFonts w:ascii="宋体" w:hAnsi="宋体" w:cs="宋体" w:eastAsia="宋体" w:hint="default"/>
                <w:sz w:val="14"/>
                <w:szCs w:val="14"/>
              </w:rPr>
            </w:pPr>
            <w:r>
              <w:rPr>
                <w:rFonts w:ascii="宋体" w:hAnsi="宋体" w:cs="宋体" w:eastAsia="宋体" w:hint="default"/>
                <w:sz w:val="14"/>
                <w:szCs w:val="14"/>
              </w:rPr>
              <w:t>年末余额</w:t>
            </w:r>
          </w:p>
        </w:tc>
      </w:tr>
      <w:tr>
        <w:trPr>
          <w:trHeight w:val="341" w:hRule="exact"/>
        </w:trPr>
        <w:tc>
          <w:tcPr>
            <w:tcW w:w="368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left="431" w:right="0"/>
              <w:jc w:val="left"/>
              <w:rPr>
                <w:rFonts w:ascii="宋体" w:hAnsi="宋体" w:cs="宋体" w:eastAsia="宋体" w:hint="default"/>
                <w:sz w:val="14"/>
                <w:szCs w:val="14"/>
              </w:rPr>
            </w:pPr>
            <w:r>
              <w:rPr>
                <w:rFonts w:ascii="宋体" w:hAnsi="宋体" w:cs="宋体" w:eastAsia="宋体" w:hint="default"/>
                <w:sz w:val="14"/>
                <w:szCs w:val="14"/>
              </w:rPr>
              <w:t>政策性优惠贷款贴息</w:t>
            </w:r>
          </w:p>
        </w:tc>
        <w:tc>
          <w:tcPr>
            <w:tcW w:w="1404"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14"/>
                <w:szCs w:val="14"/>
              </w:rPr>
            </w:pPr>
            <w:r>
              <w:rPr>
                <w:rFonts w:ascii="宋体"/>
                <w:sz w:val="14"/>
              </w:rPr>
              <w:t>840,742,377</w:t>
            </w:r>
          </w:p>
        </w:tc>
        <w:tc>
          <w:tcPr>
            <w:tcW w:w="1148"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69"/>
              <w:jc w:val="right"/>
              <w:rPr>
                <w:rFonts w:ascii="宋体" w:hAnsi="宋体" w:cs="宋体" w:eastAsia="宋体" w:hint="default"/>
                <w:sz w:val="14"/>
                <w:szCs w:val="14"/>
              </w:rPr>
            </w:pPr>
            <w:r>
              <w:rPr>
                <w:rFonts w:ascii="宋体"/>
                <w:w w:val="131"/>
                <w:sz w:val="14"/>
              </w:rPr>
              <w:t>-</w:t>
            </w:r>
            <w:r>
              <w:rPr>
                <w:rFonts w:ascii="宋体"/>
                <w:sz w:val="14"/>
              </w:rPr>
            </w:r>
          </w:p>
        </w:tc>
        <w:tc>
          <w:tcPr>
            <w:tcW w:w="1173"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62"/>
              <w:jc w:val="right"/>
              <w:rPr>
                <w:rFonts w:ascii="宋体" w:hAnsi="宋体" w:cs="宋体" w:eastAsia="宋体" w:hint="default"/>
                <w:sz w:val="14"/>
                <w:szCs w:val="14"/>
              </w:rPr>
            </w:pPr>
            <w:r>
              <w:rPr>
                <w:rFonts w:ascii="宋体"/>
                <w:w w:val="90"/>
                <w:sz w:val="14"/>
              </w:rPr>
              <w:t>(66,071,697)</w:t>
            </w:r>
            <w:r>
              <w:rPr>
                <w:rFonts w:ascii="宋体"/>
                <w:sz w:val="14"/>
              </w:rPr>
            </w:r>
          </w:p>
        </w:tc>
        <w:tc>
          <w:tcPr>
            <w:tcW w:w="1161"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42"/>
              <w:jc w:val="right"/>
              <w:rPr>
                <w:rFonts w:ascii="宋体" w:hAnsi="宋体" w:cs="宋体" w:eastAsia="宋体" w:hint="default"/>
                <w:sz w:val="14"/>
                <w:szCs w:val="14"/>
              </w:rPr>
            </w:pPr>
            <w:r>
              <w:rPr>
                <w:rFonts w:ascii="宋体"/>
                <w:w w:val="131"/>
                <w:sz w:val="14"/>
              </w:rPr>
              <w:t>-</w:t>
            </w:r>
            <w:r>
              <w:rPr>
                <w:rFonts w:ascii="宋体"/>
                <w:sz w:val="14"/>
              </w:rPr>
            </w:r>
          </w:p>
        </w:tc>
        <w:tc>
          <w:tcPr>
            <w:tcW w:w="1092"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54"/>
              <w:jc w:val="right"/>
              <w:rPr>
                <w:rFonts w:ascii="宋体" w:hAnsi="宋体" w:cs="宋体" w:eastAsia="宋体" w:hint="default"/>
                <w:sz w:val="14"/>
                <w:szCs w:val="14"/>
              </w:rPr>
            </w:pPr>
            <w:r>
              <w:rPr>
                <w:rFonts w:ascii="宋体"/>
                <w:sz w:val="14"/>
              </w:rPr>
              <w:t>774,670,680</w:t>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1" w:right="0"/>
              <w:jc w:val="left"/>
              <w:rPr>
                <w:rFonts w:ascii="宋体" w:hAnsi="宋体" w:cs="宋体" w:eastAsia="宋体" w:hint="default"/>
                <w:sz w:val="14"/>
                <w:szCs w:val="14"/>
              </w:rPr>
            </w:pPr>
            <w:r>
              <w:rPr>
                <w:rFonts w:ascii="宋体" w:hAnsi="宋体" w:cs="宋体" w:eastAsia="宋体" w:hint="default"/>
                <w:sz w:val="14"/>
                <w:szCs w:val="14"/>
              </w:rPr>
              <w:t>骨干直联点项目政府补贴</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2"/>
              <w:jc w:val="right"/>
              <w:rPr>
                <w:rFonts w:ascii="宋体" w:hAnsi="宋体" w:cs="宋体" w:eastAsia="宋体" w:hint="default"/>
                <w:sz w:val="14"/>
                <w:szCs w:val="14"/>
              </w:rPr>
            </w:pPr>
            <w:r>
              <w:rPr>
                <w:rFonts w:ascii="宋体"/>
                <w:sz w:val="14"/>
              </w:rPr>
              <w:t>179,309,692</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9"/>
              <w:jc w:val="right"/>
              <w:rPr>
                <w:rFonts w:ascii="宋体" w:hAnsi="宋体" w:cs="宋体" w:eastAsia="宋体" w:hint="default"/>
                <w:sz w:val="14"/>
                <w:szCs w:val="14"/>
              </w:rPr>
            </w:pPr>
            <w:r>
              <w:rPr>
                <w:rFonts w:ascii="宋体"/>
                <w:w w:val="131"/>
                <w:sz w:val="14"/>
              </w:rPr>
              <w:t>-</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2"/>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2"/>
              <w:jc w:val="right"/>
              <w:rPr>
                <w:rFonts w:ascii="宋体" w:hAnsi="宋体" w:cs="宋体" w:eastAsia="宋体" w:hint="default"/>
                <w:sz w:val="14"/>
                <w:szCs w:val="14"/>
              </w:rPr>
            </w:pPr>
            <w:r>
              <w:rPr>
                <w:rFonts w:ascii="宋体"/>
                <w:w w:val="90"/>
                <w:sz w:val="14"/>
              </w:rPr>
              <w:t>(28,479,337)</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4"/>
              <w:jc w:val="right"/>
              <w:rPr>
                <w:rFonts w:ascii="宋体" w:hAnsi="宋体" w:cs="宋体" w:eastAsia="宋体" w:hint="default"/>
                <w:sz w:val="14"/>
                <w:szCs w:val="14"/>
              </w:rPr>
            </w:pPr>
            <w:r>
              <w:rPr>
                <w:rFonts w:ascii="宋体"/>
                <w:sz w:val="14"/>
              </w:rPr>
              <w:t>150,830,355</w:t>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1" w:right="0"/>
              <w:jc w:val="left"/>
              <w:rPr>
                <w:rFonts w:ascii="宋体" w:hAnsi="宋体" w:cs="宋体" w:eastAsia="宋体" w:hint="default"/>
                <w:sz w:val="14"/>
                <w:szCs w:val="14"/>
              </w:rPr>
            </w:pPr>
            <w:r>
              <w:rPr>
                <w:rFonts w:ascii="宋体" w:hAnsi="宋体" w:cs="宋体" w:eastAsia="宋体" w:hint="default"/>
                <w:sz w:val="14"/>
                <w:szCs w:val="14"/>
              </w:rPr>
              <w:t>电信普遍服务项目建设补助</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2"/>
              <w:jc w:val="right"/>
              <w:rPr>
                <w:rFonts w:ascii="宋体" w:hAnsi="宋体" w:cs="宋体" w:eastAsia="宋体" w:hint="default"/>
                <w:sz w:val="14"/>
                <w:szCs w:val="14"/>
              </w:rPr>
            </w:pPr>
            <w:r>
              <w:rPr>
                <w:rFonts w:ascii="宋体"/>
                <w:sz w:val="14"/>
              </w:rPr>
              <w:t>688,306,821</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9"/>
              <w:jc w:val="right"/>
              <w:rPr>
                <w:rFonts w:ascii="宋体" w:hAnsi="宋体" w:cs="宋体" w:eastAsia="宋体" w:hint="default"/>
                <w:sz w:val="14"/>
                <w:szCs w:val="14"/>
              </w:rPr>
            </w:pPr>
            <w:r>
              <w:rPr>
                <w:rFonts w:ascii="宋体"/>
                <w:sz w:val="14"/>
              </w:rPr>
              <w:t>569,690,799</w:t>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2"/>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2"/>
              <w:jc w:val="right"/>
              <w:rPr>
                <w:rFonts w:ascii="宋体" w:hAnsi="宋体" w:cs="宋体" w:eastAsia="宋体" w:hint="default"/>
                <w:sz w:val="14"/>
                <w:szCs w:val="14"/>
              </w:rPr>
            </w:pPr>
            <w:r>
              <w:rPr>
                <w:rFonts w:ascii="宋体"/>
                <w:w w:val="90"/>
                <w:sz w:val="14"/>
              </w:rPr>
              <w:t>(47,863,559)</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4"/>
              <w:jc w:val="right"/>
              <w:rPr>
                <w:rFonts w:ascii="宋体" w:hAnsi="宋体" w:cs="宋体" w:eastAsia="宋体" w:hint="default"/>
                <w:sz w:val="14"/>
                <w:szCs w:val="14"/>
              </w:rPr>
            </w:pPr>
            <w:r>
              <w:rPr>
                <w:rFonts w:ascii="宋体"/>
                <w:w w:val="95"/>
                <w:sz w:val="14"/>
              </w:rPr>
              <w:t>1,210,134,061</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1" w:right="0"/>
              <w:jc w:val="left"/>
              <w:rPr>
                <w:rFonts w:ascii="宋体" w:hAnsi="宋体" w:cs="宋体" w:eastAsia="宋体" w:hint="default"/>
                <w:sz w:val="14"/>
                <w:szCs w:val="14"/>
              </w:rPr>
            </w:pPr>
            <w:r>
              <w:rPr>
                <w:rFonts w:ascii="宋体" w:hAnsi="宋体" w:cs="宋体" w:eastAsia="宋体" w:hint="default"/>
                <w:sz w:val="14"/>
                <w:szCs w:val="14"/>
              </w:rPr>
              <w:t>下一代互联网试商用专项网络改造工程</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2"/>
              <w:jc w:val="right"/>
              <w:rPr>
                <w:rFonts w:ascii="宋体" w:hAnsi="宋体" w:cs="宋体" w:eastAsia="宋体" w:hint="default"/>
                <w:sz w:val="14"/>
                <w:szCs w:val="14"/>
              </w:rPr>
            </w:pPr>
            <w:r>
              <w:rPr>
                <w:rFonts w:ascii="宋体"/>
                <w:sz w:val="14"/>
              </w:rPr>
              <w:t>104,050,726</w:t>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9"/>
              <w:jc w:val="right"/>
              <w:rPr>
                <w:rFonts w:ascii="宋体" w:hAnsi="宋体" w:cs="宋体" w:eastAsia="宋体" w:hint="default"/>
                <w:sz w:val="14"/>
                <w:szCs w:val="14"/>
              </w:rPr>
            </w:pPr>
            <w:r>
              <w:rPr>
                <w:rFonts w:ascii="宋体"/>
                <w:w w:val="131"/>
                <w:sz w:val="14"/>
              </w:rPr>
              <w:t>-</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2"/>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2"/>
              <w:jc w:val="right"/>
              <w:rPr>
                <w:rFonts w:ascii="宋体" w:hAnsi="宋体" w:cs="宋体" w:eastAsia="宋体" w:hint="default"/>
                <w:sz w:val="14"/>
                <w:szCs w:val="14"/>
              </w:rPr>
            </w:pPr>
            <w:r>
              <w:rPr>
                <w:rFonts w:ascii="宋体"/>
                <w:w w:val="90"/>
                <w:sz w:val="14"/>
              </w:rPr>
              <w:t>(15,000,000)</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4"/>
              <w:jc w:val="right"/>
              <w:rPr>
                <w:rFonts w:ascii="宋体" w:hAnsi="宋体" w:cs="宋体" w:eastAsia="宋体" w:hint="default"/>
                <w:sz w:val="14"/>
                <w:szCs w:val="14"/>
              </w:rPr>
            </w:pPr>
            <w:r>
              <w:rPr>
                <w:rFonts w:ascii="宋体"/>
                <w:w w:val="95"/>
                <w:sz w:val="14"/>
              </w:rPr>
              <w:t>89,050,726</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1" w:right="0"/>
              <w:jc w:val="left"/>
              <w:rPr>
                <w:rFonts w:ascii="宋体" w:hAnsi="宋体" w:cs="宋体" w:eastAsia="宋体" w:hint="default"/>
                <w:sz w:val="14"/>
                <w:szCs w:val="14"/>
              </w:rPr>
            </w:pPr>
            <w:r>
              <w:rPr>
                <w:rFonts w:ascii="宋体" w:hAnsi="宋体" w:cs="宋体" w:eastAsia="宋体" w:hint="default"/>
                <w:sz w:val="14"/>
                <w:szCs w:val="14"/>
              </w:rPr>
              <w:t>西咸新区沣西新城联通数据中心土地政府返回款</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1"/>
              <w:jc w:val="right"/>
              <w:rPr>
                <w:rFonts w:ascii="宋体" w:hAnsi="宋体" w:cs="宋体" w:eastAsia="宋体" w:hint="default"/>
                <w:sz w:val="14"/>
                <w:szCs w:val="14"/>
              </w:rPr>
            </w:pPr>
            <w:r>
              <w:rPr>
                <w:rFonts w:ascii="宋体"/>
                <w:w w:val="131"/>
                <w:sz w:val="14"/>
              </w:rPr>
              <w:t>-</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9"/>
              <w:jc w:val="right"/>
              <w:rPr>
                <w:rFonts w:ascii="宋体" w:hAnsi="宋体" w:cs="宋体" w:eastAsia="宋体" w:hint="default"/>
                <w:sz w:val="14"/>
                <w:szCs w:val="14"/>
              </w:rPr>
            </w:pPr>
            <w:r>
              <w:rPr>
                <w:rFonts w:ascii="宋体"/>
                <w:w w:val="95"/>
                <w:sz w:val="14"/>
              </w:rPr>
              <w:t>38,917,820</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2"/>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2"/>
              <w:jc w:val="right"/>
              <w:rPr>
                <w:rFonts w:ascii="宋体" w:hAnsi="宋体" w:cs="宋体" w:eastAsia="宋体" w:hint="default"/>
                <w:sz w:val="14"/>
                <w:szCs w:val="14"/>
              </w:rPr>
            </w:pPr>
            <w:r>
              <w:rPr>
                <w:rFonts w:ascii="宋体"/>
                <w:w w:val="131"/>
                <w:sz w:val="14"/>
              </w:rPr>
              <w:t>-</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4"/>
              <w:jc w:val="right"/>
              <w:rPr>
                <w:rFonts w:ascii="宋体" w:hAnsi="宋体" w:cs="宋体" w:eastAsia="宋体" w:hint="default"/>
                <w:sz w:val="14"/>
                <w:szCs w:val="14"/>
              </w:rPr>
            </w:pPr>
            <w:r>
              <w:rPr>
                <w:rFonts w:ascii="宋体"/>
                <w:w w:val="95"/>
                <w:sz w:val="14"/>
              </w:rPr>
              <w:t>38,917,820</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1" w:right="0"/>
              <w:jc w:val="left"/>
              <w:rPr>
                <w:rFonts w:ascii="宋体" w:hAnsi="宋体" w:cs="宋体" w:eastAsia="宋体" w:hint="default"/>
                <w:sz w:val="14"/>
                <w:szCs w:val="14"/>
              </w:rPr>
            </w:pPr>
            <w:r>
              <w:rPr>
                <w:rFonts w:ascii="宋体" w:hAnsi="宋体" w:cs="宋体" w:eastAsia="宋体" w:hint="default"/>
                <w:sz w:val="14"/>
                <w:szCs w:val="14"/>
              </w:rPr>
              <w:t>成都国际大数据智能产业基地</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1"/>
              <w:jc w:val="right"/>
              <w:rPr>
                <w:rFonts w:ascii="宋体" w:hAnsi="宋体" w:cs="宋体" w:eastAsia="宋体" w:hint="default"/>
                <w:sz w:val="14"/>
                <w:szCs w:val="14"/>
              </w:rPr>
            </w:pPr>
            <w:r>
              <w:rPr>
                <w:rFonts w:ascii="宋体"/>
                <w:w w:val="131"/>
                <w:sz w:val="14"/>
              </w:rPr>
              <w:t>-</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9"/>
              <w:jc w:val="right"/>
              <w:rPr>
                <w:rFonts w:ascii="宋体" w:hAnsi="宋体" w:cs="宋体" w:eastAsia="宋体" w:hint="default"/>
                <w:sz w:val="14"/>
                <w:szCs w:val="14"/>
              </w:rPr>
            </w:pPr>
            <w:r>
              <w:rPr>
                <w:rFonts w:ascii="宋体"/>
                <w:w w:val="95"/>
                <w:sz w:val="14"/>
              </w:rPr>
              <w:t>20,000,000</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2"/>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2"/>
              <w:jc w:val="right"/>
              <w:rPr>
                <w:rFonts w:ascii="宋体" w:hAnsi="宋体" w:cs="宋体" w:eastAsia="宋体" w:hint="default"/>
                <w:sz w:val="14"/>
                <w:szCs w:val="14"/>
              </w:rPr>
            </w:pPr>
            <w:r>
              <w:rPr>
                <w:rFonts w:ascii="宋体"/>
                <w:w w:val="131"/>
                <w:sz w:val="14"/>
              </w:rPr>
              <w:t>-</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4"/>
              <w:jc w:val="right"/>
              <w:rPr>
                <w:rFonts w:ascii="宋体" w:hAnsi="宋体" w:cs="宋体" w:eastAsia="宋体" w:hint="default"/>
                <w:sz w:val="14"/>
                <w:szCs w:val="14"/>
              </w:rPr>
            </w:pPr>
            <w:r>
              <w:rPr>
                <w:rFonts w:ascii="宋体"/>
                <w:w w:val="95"/>
                <w:sz w:val="14"/>
              </w:rPr>
              <w:t>20,000,000</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2" w:right="0"/>
              <w:jc w:val="left"/>
              <w:rPr>
                <w:rFonts w:ascii="宋体" w:hAnsi="宋体" w:cs="宋体" w:eastAsia="宋体" w:hint="default"/>
                <w:sz w:val="14"/>
                <w:szCs w:val="14"/>
              </w:rPr>
            </w:pPr>
            <w:r>
              <w:rPr>
                <w:rFonts w:ascii="宋体" w:hAnsi="宋体" w:cs="宋体" w:eastAsia="宋体" w:hint="default"/>
                <w:sz w:val="14"/>
                <w:szCs w:val="14"/>
              </w:rPr>
              <w:t>南山区国际双创示范基地国际创客中心项目</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0"/>
              <w:jc w:val="right"/>
              <w:rPr>
                <w:rFonts w:ascii="宋体" w:hAnsi="宋体" w:cs="宋体" w:eastAsia="宋体" w:hint="default"/>
                <w:sz w:val="14"/>
                <w:szCs w:val="14"/>
              </w:rPr>
            </w:pPr>
            <w:r>
              <w:rPr>
                <w:rFonts w:ascii="宋体"/>
                <w:w w:val="131"/>
                <w:sz w:val="14"/>
              </w:rPr>
              <w:t>-</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8"/>
              <w:jc w:val="right"/>
              <w:rPr>
                <w:rFonts w:ascii="宋体" w:hAnsi="宋体" w:cs="宋体" w:eastAsia="宋体" w:hint="default"/>
                <w:sz w:val="14"/>
                <w:szCs w:val="14"/>
              </w:rPr>
            </w:pPr>
            <w:r>
              <w:rPr>
                <w:rFonts w:ascii="宋体"/>
                <w:w w:val="95"/>
                <w:sz w:val="14"/>
              </w:rPr>
              <w:t>17,013,782</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1"/>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2"/>
              <w:jc w:val="right"/>
              <w:rPr>
                <w:rFonts w:ascii="宋体" w:hAnsi="宋体" w:cs="宋体" w:eastAsia="宋体" w:hint="default"/>
                <w:sz w:val="14"/>
                <w:szCs w:val="14"/>
              </w:rPr>
            </w:pPr>
            <w:r>
              <w:rPr>
                <w:rFonts w:ascii="宋体"/>
                <w:w w:val="131"/>
                <w:sz w:val="14"/>
              </w:rPr>
              <w:t>-</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w w:val="95"/>
                <w:sz w:val="14"/>
              </w:rPr>
              <w:t>17,013,782</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2" w:right="0"/>
              <w:jc w:val="left"/>
              <w:rPr>
                <w:rFonts w:ascii="宋体" w:hAnsi="宋体" w:cs="宋体" w:eastAsia="宋体" w:hint="default"/>
                <w:sz w:val="14"/>
                <w:szCs w:val="14"/>
              </w:rPr>
            </w:pPr>
            <w:r>
              <w:rPr>
                <w:rFonts w:ascii="宋体" w:hAnsi="宋体" w:cs="宋体" w:eastAsia="宋体" w:hint="default"/>
                <w:sz w:val="14"/>
                <w:szCs w:val="14"/>
              </w:rPr>
              <w:t>信息通信基础设施建设补贴</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0"/>
              <w:jc w:val="right"/>
              <w:rPr>
                <w:rFonts w:ascii="宋体" w:hAnsi="宋体" w:cs="宋体" w:eastAsia="宋体" w:hint="default"/>
                <w:sz w:val="14"/>
                <w:szCs w:val="14"/>
              </w:rPr>
            </w:pPr>
            <w:r>
              <w:rPr>
                <w:rFonts w:ascii="宋体"/>
                <w:w w:val="95"/>
                <w:sz w:val="14"/>
              </w:rPr>
              <w:t>69,613,655</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8"/>
              <w:jc w:val="right"/>
              <w:rPr>
                <w:rFonts w:ascii="宋体" w:hAnsi="宋体" w:cs="宋体" w:eastAsia="宋体" w:hint="default"/>
                <w:sz w:val="14"/>
                <w:szCs w:val="14"/>
              </w:rPr>
            </w:pPr>
            <w:r>
              <w:rPr>
                <w:rFonts w:ascii="宋体"/>
                <w:w w:val="95"/>
                <w:sz w:val="14"/>
              </w:rPr>
              <w:t>20,446,729</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1"/>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1"/>
              <w:jc w:val="right"/>
              <w:rPr>
                <w:rFonts w:ascii="宋体" w:hAnsi="宋体" w:cs="宋体" w:eastAsia="宋体" w:hint="default"/>
                <w:sz w:val="14"/>
                <w:szCs w:val="14"/>
              </w:rPr>
            </w:pPr>
            <w:r>
              <w:rPr>
                <w:rFonts w:ascii="宋体"/>
                <w:w w:val="90"/>
                <w:sz w:val="14"/>
              </w:rPr>
              <w:t>(9,925,761)</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w w:val="95"/>
                <w:sz w:val="14"/>
              </w:rPr>
              <w:t>80,134,623</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2" w:right="0"/>
              <w:jc w:val="left"/>
              <w:rPr>
                <w:rFonts w:ascii="宋体" w:hAnsi="宋体" w:cs="宋体" w:eastAsia="宋体" w:hint="default"/>
                <w:sz w:val="14"/>
                <w:szCs w:val="14"/>
              </w:rPr>
            </w:pPr>
            <w:r>
              <w:rPr>
                <w:rFonts w:ascii="宋体" w:hAnsi="宋体" w:cs="宋体" w:eastAsia="宋体" w:hint="default"/>
                <w:sz w:val="14"/>
                <w:szCs w:val="14"/>
              </w:rPr>
              <w:t>光纤建设改造补助</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18,212,528</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8"/>
              <w:jc w:val="right"/>
              <w:rPr>
                <w:rFonts w:ascii="宋体" w:hAnsi="宋体" w:cs="宋体" w:eastAsia="宋体" w:hint="default"/>
                <w:sz w:val="14"/>
                <w:szCs w:val="14"/>
              </w:rPr>
            </w:pPr>
            <w:r>
              <w:rPr>
                <w:rFonts w:ascii="宋体"/>
                <w:w w:val="95"/>
                <w:sz w:val="14"/>
              </w:rPr>
              <w:t>7,317,110</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1"/>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1"/>
              <w:jc w:val="right"/>
              <w:rPr>
                <w:rFonts w:ascii="宋体" w:hAnsi="宋体" w:cs="宋体" w:eastAsia="宋体" w:hint="default"/>
                <w:sz w:val="14"/>
                <w:szCs w:val="14"/>
              </w:rPr>
            </w:pPr>
            <w:r>
              <w:rPr>
                <w:rFonts w:ascii="宋体"/>
                <w:w w:val="90"/>
                <w:sz w:val="14"/>
              </w:rPr>
              <w:t>(2,150,539)</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w w:val="95"/>
                <w:sz w:val="14"/>
              </w:rPr>
              <w:t>23,379,099</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2" w:right="0"/>
              <w:jc w:val="left"/>
              <w:rPr>
                <w:rFonts w:ascii="宋体" w:hAnsi="宋体" w:cs="宋体" w:eastAsia="宋体" w:hint="default"/>
                <w:sz w:val="14"/>
                <w:szCs w:val="14"/>
              </w:rPr>
            </w:pPr>
            <w:r>
              <w:rPr>
                <w:rFonts w:ascii="宋体" w:hAnsi="宋体" w:cs="宋体" w:eastAsia="宋体" w:hint="default"/>
                <w:sz w:val="14"/>
                <w:szCs w:val="14"/>
              </w:rPr>
              <w:t>哈南工业新城工业项目</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15,000,000</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8"/>
              <w:jc w:val="right"/>
              <w:rPr>
                <w:rFonts w:ascii="宋体" w:hAnsi="宋体" w:cs="宋体" w:eastAsia="宋体" w:hint="default"/>
                <w:sz w:val="14"/>
                <w:szCs w:val="14"/>
              </w:rPr>
            </w:pPr>
            <w:r>
              <w:rPr>
                <w:rFonts w:ascii="宋体"/>
                <w:w w:val="131"/>
                <w:sz w:val="14"/>
              </w:rPr>
              <w:t>-</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1"/>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1"/>
              <w:jc w:val="right"/>
              <w:rPr>
                <w:rFonts w:ascii="宋体" w:hAnsi="宋体" w:cs="宋体" w:eastAsia="宋体" w:hint="default"/>
                <w:sz w:val="14"/>
                <w:szCs w:val="14"/>
              </w:rPr>
            </w:pPr>
            <w:r>
              <w:rPr>
                <w:rFonts w:ascii="宋体"/>
                <w:w w:val="131"/>
                <w:sz w:val="14"/>
              </w:rPr>
              <w:t>-</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w w:val="95"/>
                <w:sz w:val="14"/>
              </w:rPr>
              <w:t>15,000,000</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3" w:right="0"/>
              <w:jc w:val="left"/>
              <w:rPr>
                <w:rFonts w:ascii="宋体" w:hAnsi="宋体" w:cs="宋体" w:eastAsia="宋体" w:hint="default"/>
                <w:sz w:val="14"/>
                <w:szCs w:val="14"/>
              </w:rPr>
            </w:pPr>
            <w:r>
              <w:rPr>
                <w:rFonts w:ascii="宋体" w:hAnsi="宋体" w:cs="宋体" w:eastAsia="宋体" w:hint="default"/>
                <w:sz w:val="14"/>
                <w:szCs w:val="14"/>
              </w:rPr>
              <w:t>宽带乡村和中小城市补贴</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28,559,589</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8"/>
              <w:jc w:val="right"/>
              <w:rPr>
                <w:rFonts w:ascii="宋体" w:hAnsi="宋体" w:cs="宋体" w:eastAsia="宋体" w:hint="default"/>
                <w:sz w:val="14"/>
                <w:szCs w:val="14"/>
              </w:rPr>
            </w:pPr>
            <w:r>
              <w:rPr>
                <w:rFonts w:ascii="宋体"/>
                <w:w w:val="131"/>
                <w:sz w:val="14"/>
              </w:rPr>
              <w:t>-</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0"/>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1"/>
              <w:jc w:val="right"/>
              <w:rPr>
                <w:rFonts w:ascii="宋体" w:hAnsi="宋体" w:cs="宋体" w:eastAsia="宋体" w:hint="default"/>
                <w:sz w:val="14"/>
                <w:szCs w:val="14"/>
              </w:rPr>
            </w:pPr>
            <w:r>
              <w:rPr>
                <w:rFonts w:ascii="宋体"/>
                <w:w w:val="90"/>
                <w:sz w:val="14"/>
              </w:rPr>
              <w:t>(2,897,710)</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2"/>
              <w:jc w:val="right"/>
              <w:rPr>
                <w:rFonts w:ascii="宋体" w:hAnsi="宋体" w:cs="宋体" w:eastAsia="宋体" w:hint="default"/>
                <w:sz w:val="14"/>
                <w:szCs w:val="14"/>
              </w:rPr>
            </w:pPr>
            <w:r>
              <w:rPr>
                <w:rFonts w:ascii="宋体"/>
                <w:w w:val="95"/>
                <w:sz w:val="14"/>
              </w:rPr>
              <w:t>25,661,879</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3" w:right="0"/>
              <w:jc w:val="left"/>
              <w:rPr>
                <w:rFonts w:ascii="宋体" w:hAnsi="宋体" w:cs="宋体" w:eastAsia="宋体" w:hint="default"/>
                <w:sz w:val="14"/>
                <w:szCs w:val="14"/>
              </w:rPr>
            </w:pPr>
            <w:r>
              <w:rPr>
                <w:rFonts w:ascii="宋体" w:hAnsi="宋体" w:cs="宋体" w:eastAsia="宋体" w:hint="default"/>
                <w:sz w:val="14"/>
                <w:szCs w:val="14"/>
              </w:rPr>
              <w:t>数字阅读基地项目建设</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131"/>
                <w:sz w:val="14"/>
              </w:rPr>
              <w:t>-</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7"/>
              <w:jc w:val="right"/>
              <w:rPr>
                <w:rFonts w:ascii="宋体" w:hAnsi="宋体" w:cs="宋体" w:eastAsia="宋体" w:hint="default"/>
                <w:sz w:val="14"/>
                <w:szCs w:val="14"/>
              </w:rPr>
            </w:pPr>
            <w:r>
              <w:rPr>
                <w:rFonts w:ascii="宋体"/>
                <w:w w:val="95"/>
                <w:sz w:val="14"/>
              </w:rPr>
              <w:t>12,500,000</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0"/>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0"/>
              <w:jc w:val="right"/>
              <w:rPr>
                <w:rFonts w:ascii="宋体" w:hAnsi="宋体" w:cs="宋体" w:eastAsia="宋体" w:hint="default"/>
                <w:sz w:val="14"/>
                <w:szCs w:val="14"/>
              </w:rPr>
            </w:pPr>
            <w:r>
              <w:rPr>
                <w:rFonts w:ascii="宋体"/>
                <w:w w:val="90"/>
                <w:sz w:val="14"/>
              </w:rPr>
              <w:t>(416,664)</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2"/>
              <w:jc w:val="right"/>
              <w:rPr>
                <w:rFonts w:ascii="宋体" w:hAnsi="宋体" w:cs="宋体" w:eastAsia="宋体" w:hint="default"/>
                <w:sz w:val="14"/>
                <w:szCs w:val="14"/>
              </w:rPr>
            </w:pPr>
            <w:r>
              <w:rPr>
                <w:rFonts w:ascii="宋体"/>
                <w:w w:val="95"/>
                <w:sz w:val="14"/>
              </w:rPr>
              <w:t>12,083,336</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3" w:right="0"/>
              <w:jc w:val="left"/>
              <w:rPr>
                <w:rFonts w:ascii="宋体" w:hAnsi="宋体" w:cs="宋体" w:eastAsia="宋体" w:hint="default"/>
                <w:sz w:val="14"/>
                <w:szCs w:val="14"/>
              </w:rPr>
            </w:pPr>
            <w:r>
              <w:rPr>
                <w:rFonts w:ascii="宋体" w:hAnsi="宋体" w:cs="宋体" w:eastAsia="宋体" w:hint="default"/>
                <w:sz w:val="14"/>
                <w:szCs w:val="14"/>
              </w:rPr>
              <w:t>深圳联通数字家庭项目</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8"/>
              <w:jc w:val="right"/>
              <w:rPr>
                <w:rFonts w:ascii="宋体" w:hAnsi="宋体" w:cs="宋体" w:eastAsia="宋体" w:hint="default"/>
                <w:sz w:val="14"/>
                <w:szCs w:val="14"/>
              </w:rPr>
            </w:pPr>
            <w:r>
              <w:rPr>
                <w:rFonts w:ascii="宋体"/>
                <w:w w:val="95"/>
                <w:sz w:val="14"/>
              </w:rPr>
              <w:t>12,602,342</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7"/>
              <w:jc w:val="right"/>
              <w:rPr>
                <w:rFonts w:ascii="宋体" w:hAnsi="宋体" w:cs="宋体" w:eastAsia="宋体" w:hint="default"/>
                <w:sz w:val="14"/>
                <w:szCs w:val="14"/>
              </w:rPr>
            </w:pPr>
            <w:r>
              <w:rPr>
                <w:rFonts w:ascii="宋体"/>
                <w:w w:val="131"/>
                <w:sz w:val="14"/>
              </w:rPr>
              <w:t>-</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0"/>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0"/>
              <w:jc w:val="right"/>
              <w:rPr>
                <w:rFonts w:ascii="宋体" w:hAnsi="宋体" w:cs="宋体" w:eastAsia="宋体" w:hint="default"/>
                <w:sz w:val="14"/>
                <w:szCs w:val="14"/>
              </w:rPr>
            </w:pPr>
            <w:r>
              <w:rPr>
                <w:rFonts w:ascii="宋体"/>
                <w:w w:val="90"/>
                <w:sz w:val="14"/>
              </w:rPr>
              <w:t>(1,592,650)</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2"/>
              <w:jc w:val="right"/>
              <w:rPr>
                <w:rFonts w:ascii="宋体" w:hAnsi="宋体" w:cs="宋体" w:eastAsia="宋体" w:hint="default"/>
                <w:sz w:val="14"/>
                <w:szCs w:val="14"/>
              </w:rPr>
            </w:pPr>
            <w:r>
              <w:rPr>
                <w:rFonts w:ascii="宋体"/>
                <w:w w:val="95"/>
                <w:sz w:val="14"/>
              </w:rPr>
              <w:t>11,009,692</w:t>
            </w:r>
            <w:r>
              <w:rPr>
                <w:rFonts w:ascii="宋体"/>
                <w:sz w:val="14"/>
              </w:rPr>
            </w:r>
          </w:p>
        </w:tc>
      </w:tr>
      <w:tr>
        <w:trPr>
          <w:trHeight w:val="253" w:hRule="exact"/>
        </w:trPr>
        <w:tc>
          <w:tcPr>
            <w:tcW w:w="3680" w:type="dxa"/>
            <w:tcBorders>
              <w:top w:val="nil" w:sz="6" w:space="0" w:color="auto"/>
              <w:left w:val="nil" w:sz="6" w:space="0" w:color="auto"/>
              <w:bottom w:val="nil" w:sz="6" w:space="0" w:color="auto"/>
              <w:right w:val="nil" w:sz="6" w:space="0" w:color="auto"/>
            </w:tcBorders>
          </w:tcPr>
          <w:p>
            <w:pPr>
              <w:pStyle w:val="TableParagraph"/>
              <w:spacing w:line="240" w:lineRule="auto" w:before="3"/>
              <w:ind w:left="434" w:right="0"/>
              <w:jc w:val="left"/>
              <w:rPr>
                <w:rFonts w:ascii="宋体" w:hAnsi="宋体" w:cs="宋体" w:eastAsia="宋体" w:hint="default"/>
                <w:sz w:val="14"/>
                <w:szCs w:val="14"/>
              </w:rPr>
            </w:pPr>
            <w:r>
              <w:rPr>
                <w:rFonts w:ascii="宋体" w:hAnsi="宋体" w:cs="宋体" w:eastAsia="宋体" w:hint="default"/>
                <w:sz w:val="14"/>
                <w:szCs w:val="14"/>
              </w:rPr>
              <w:t>四川通信管理局扶贫攻坚实施方案专项资金</w:t>
            </w:r>
          </w:p>
        </w:tc>
        <w:tc>
          <w:tcPr>
            <w:tcW w:w="140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8"/>
              <w:jc w:val="right"/>
              <w:rPr>
                <w:rFonts w:ascii="宋体" w:hAnsi="宋体" w:cs="宋体" w:eastAsia="宋体" w:hint="default"/>
                <w:sz w:val="14"/>
                <w:szCs w:val="14"/>
              </w:rPr>
            </w:pPr>
            <w:r>
              <w:rPr>
                <w:rFonts w:ascii="宋体"/>
                <w:w w:val="95"/>
                <w:sz w:val="14"/>
              </w:rPr>
              <w:t>19,751,306</w:t>
            </w:r>
            <w:r>
              <w:rPr>
                <w:rFonts w:ascii="宋体"/>
                <w:sz w:val="14"/>
              </w:rPr>
            </w:r>
          </w:p>
        </w:tc>
        <w:tc>
          <w:tcPr>
            <w:tcW w:w="1148"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67"/>
              <w:jc w:val="right"/>
              <w:rPr>
                <w:rFonts w:ascii="宋体" w:hAnsi="宋体" w:cs="宋体" w:eastAsia="宋体" w:hint="default"/>
                <w:sz w:val="14"/>
                <w:szCs w:val="14"/>
              </w:rPr>
            </w:pPr>
            <w:r>
              <w:rPr>
                <w:rFonts w:ascii="宋体"/>
                <w:w w:val="131"/>
                <w:sz w:val="14"/>
              </w:rPr>
              <w:t>-</w:t>
            </w:r>
            <w:r>
              <w:rPr>
                <w:rFonts w:ascii="宋体"/>
                <w:sz w:val="14"/>
              </w:rPr>
            </w:r>
          </w:p>
        </w:tc>
        <w:tc>
          <w:tcPr>
            <w:tcW w:w="117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59"/>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40"/>
              <w:jc w:val="right"/>
              <w:rPr>
                <w:rFonts w:ascii="宋体" w:hAnsi="宋体" w:cs="宋体" w:eastAsia="宋体" w:hint="default"/>
                <w:sz w:val="14"/>
                <w:szCs w:val="14"/>
              </w:rPr>
            </w:pPr>
            <w:r>
              <w:rPr>
                <w:rFonts w:ascii="宋体"/>
                <w:w w:val="90"/>
                <w:sz w:val="14"/>
              </w:rPr>
              <w:t>(4,706,592)</w:t>
            </w:r>
            <w:r>
              <w:rPr>
                <w:rFonts w:ascii="宋体"/>
                <w:sz w:val="14"/>
              </w:rPr>
            </w:r>
          </w:p>
        </w:tc>
        <w:tc>
          <w:tcPr>
            <w:tcW w:w="10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1"/>
              <w:jc w:val="right"/>
              <w:rPr>
                <w:rFonts w:ascii="宋体" w:hAnsi="宋体" w:cs="宋体" w:eastAsia="宋体" w:hint="default"/>
                <w:sz w:val="14"/>
                <w:szCs w:val="14"/>
              </w:rPr>
            </w:pPr>
            <w:r>
              <w:rPr>
                <w:rFonts w:ascii="宋体"/>
                <w:w w:val="95"/>
                <w:sz w:val="14"/>
              </w:rPr>
              <w:t>15,044,714</w:t>
            </w:r>
            <w:r>
              <w:rPr>
                <w:rFonts w:ascii="宋体"/>
                <w:sz w:val="14"/>
              </w:rPr>
            </w:r>
          </w:p>
        </w:tc>
      </w:tr>
      <w:tr>
        <w:trPr>
          <w:trHeight w:val="312" w:hRule="exact"/>
        </w:trPr>
        <w:tc>
          <w:tcPr>
            <w:tcW w:w="368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left="434" w:right="0"/>
              <w:jc w:val="left"/>
              <w:rPr>
                <w:rFonts w:ascii="宋体" w:hAnsi="宋体" w:cs="宋体" w:eastAsia="宋体" w:hint="default"/>
                <w:sz w:val="14"/>
                <w:szCs w:val="14"/>
              </w:rPr>
            </w:pPr>
            <w:r>
              <w:rPr>
                <w:rFonts w:ascii="宋体" w:hAnsi="宋体" w:cs="宋体" w:eastAsia="宋体" w:hint="default"/>
                <w:sz w:val="14"/>
                <w:szCs w:val="14"/>
              </w:rPr>
              <w:t>其他</w:t>
            </w:r>
          </w:p>
        </w:tc>
        <w:tc>
          <w:tcPr>
            <w:tcW w:w="1404"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98"/>
              <w:jc w:val="right"/>
              <w:rPr>
                <w:rFonts w:ascii="宋体" w:hAnsi="宋体" w:cs="宋体" w:eastAsia="宋体" w:hint="default"/>
                <w:sz w:val="14"/>
                <w:szCs w:val="14"/>
              </w:rPr>
            </w:pPr>
            <w:r>
              <w:rPr>
                <w:rFonts w:ascii="宋体"/>
                <w:sz w:val="14"/>
              </w:rPr>
              <w:t>125,566,753</w:t>
            </w:r>
          </w:p>
        </w:tc>
        <w:tc>
          <w:tcPr>
            <w:tcW w:w="1148"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66"/>
              <w:jc w:val="right"/>
              <w:rPr>
                <w:rFonts w:ascii="宋体" w:hAnsi="宋体" w:cs="宋体" w:eastAsia="宋体" w:hint="default"/>
                <w:sz w:val="14"/>
                <w:szCs w:val="14"/>
              </w:rPr>
            </w:pPr>
            <w:r>
              <w:rPr>
                <w:rFonts w:ascii="宋体"/>
                <w:w w:val="95"/>
                <w:sz w:val="14"/>
              </w:rPr>
              <w:t>71,729,803</w:t>
            </w:r>
            <w:r>
              <w:rPr>
                <w:rFonts w:ascii="宋体"/>
                <w:sz w:val="14"/>
              </w:rPr>
            </w:r>
          </w:p>
        </w:tc>
        <w:tc>
          <w:tcPr>
            <w:tcW w:w="1173"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59"/>
              <w:jc w:val="right"/>
              <w:rPr>
                <w:rFonts w:ascii="宋体" w:hAnsi="宋体" w:cs="宋体" w:eastAsia="宋体" w:hint="default"/>
                <w:sz w:val="14"/>
                <w:szCs w:val="14"/>
              </w:rPr>
            </w:pPr>
            <w:r>
              <w:rPr>
                <w:rFonts w:ascii="宋体"/>
                <w:w w:val="131"/>
                <w:sz w:val="14"/>
              </w:rPr>
              <w:t>-</w:t>
            </w:r>
            <w:r>
              <w:rPr>
                <w:rFonts w:ascii="宋体"/>
                <w:sz w:val="14"/>
              </w:rPr>
            </w:r>
          </w:p>
        </w:tc>
        <w:tc>
          <w:tcPr>
            <w:tcW w:w="1161"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40"/>
              <w:jc w:val="right"/>
              <w:rPr>
                <w:rFonts w:ascii="宋体" w:hAnsi="宋体" w:cs="宋体" w:eastAsia="宋体" w:hint="default"/>
                <w:sz w:val="14"/>
                <w:szCs w:val="14"/>
              </w:rPr>
            </w:pPr>
            <w:r>
              <w:rPr>
                <w:rFonts w:ascii="宋体"/>
                <w:w w:val="90"/>
                <w:sz w:val="14"/>
              </w:rPr>
              <w:t>(29,971)</w:t>
            </w:r>
            <w:r>
              <w:rPr>
                <w:rFonts w:ascii="宋体"/>
                <w:sz w:val="14"/>
              </w:rPr>
            </w:r>
          </w:p>
        </w:tc>
        <w:tc>
          <w:tcPr>
            <w:tcW w:w="1092"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51"/>
              <w:jc w:val="right"/>
              <w:rPr>
                <w:rFonts w:ascii="宋体" w:hAnsi="宋体" w:cs="宋体" w:eastAsia="宋体" w:hint="default"/>
                <w:sz w:val="14"/>
                <w:szCs w:val="14"/>
              </w:rPr>
            </w:pPr>
            <w:r>
              <w:rPr>
                <w:rFonts w:ascii="宋体"/>
                <w:sz w:val="14"/>
              </w:rPr>
              <w:t>197,266,585</w:t>
            </w:r>
          </w:p>
        </w:tc>
      </w:tr>
      <w:tr>
        <w:trPr>
          <w:trHeight w:val="371" w:hRule="exact"/>
        </w:trPr>
        <w:tc>
          <w:tcPr>
            <w:tcW w:w="3680"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left="431"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404"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14"/>
                <w:szCs w:val="14"/>
              </w:rPr>
            </w:pPr>
            <w:r>
              <w:rPr>
                <w:rFonts w:ascii="宋体"/>
                <w:w w:val="95"/>
                <w:sz w:val="14"/>
              </w:rPr>
              <w:t>2,101,715,789</w:t>
            </w:r>
            <w:r>
              <w:rPr>
                <w:rFonts w:ascii="宋体"/>
                <w:sz w:val="14"/>
              </w:rPr>
            </w:r>
          </w:p>
        </w:tc>
        <w:tc>
          <w:tcPr>
            <w:tcW w:w="1148"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169"/>
              <w:jc w:val="right"/>
              <w:rPr>
                <w:rFonts w:ascii="宋体" w:hAnsi="宋体" w:cs="宋体" w:eastAsia="宋体" w:hint="default"/>
                <w:sz w:val="14"/>
                <w:szCs w:val="14"/>
              </w:rPr>
            </w:pPr>
            <w:r>
              <w:rPr>
                <w:rFonts w:ascii="宋体"/>
                <w:sz w:val="14"/>
              </w:rPr>
              <w:t>757,616,043</w:t>
            </w:r>
          </w:p>
        </w:tc>
        <w:tc>
          <w:tcPr>
            <w:tcW w:w="1173"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162"/>
              <w:jc w:val="right"/>
              <w:rPr>
                <w:rFonts w:ascii="宋体" w:hAnsi="宋体" w:cs="宋体" w:eastAsia="宋体" w:hint="default"/>
                <w:sz w:val="14"/>
                <w:szCs w:val="14"/>
              </w:rPr>
            </w:pPr>
            <w:r>
              <w:rPr>
                <w:rFonts w:ascii="宋体"/>
                <w:w w:val="90"/>
                <w:sz w:val="14"/>
              </w:rPr>
              <w:t>(66,071,697)</w:t>
            </w:r>
            <w:r>
              <w:rPr>
                <w:rFonts w:ascii="宋体"/>
                <w:sz w:val="14"/>
              </w:rPr>
            </w:r>
          </w:p>
        </w:tc>
        <w:tc>
          <w:tcPr>
            <w:tcW w:w="1161"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142"/>
              <w:jc w:val="right"/>
              <w:rPr>
                <w:rFonts w:ascii="宋体" w:hAnsi="宋体" w:cs="宋体" w:eastAsia="宋体" w:hint="default"/>
                <w:sz w:val="14"/>
                <w:szCs w:val="14"/>
              </w:rPr>
            </w:pPr>
            <w:r>
              <w:rPr>
                <w:rFonts w:ascii="宋体"/>
                <w:w w:val="90"/>
                <w:sz w:val="14"/>
              </w:rPr>
              <w:t>(113,062,783)</w:t>
            </w:r>
            <w:r>
              <w:rPr>
                <w:rFonts w:ascii="宋体"/>
                <w:sz w:val="14"/>
              </w:rPr>
            </w:r>
          </w:p>
        </w:tc>
        <w:tc>
          <w:tcPr>
            <w:tcW w:w="1092"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54"/>
              <w:jc w:val="right"/>
              <w:rPr>
                <w:rFonts w:ascii="宋体" w:hAnsi="宋体" w:cs="宋体" w:eastAsia="宋体" w:hint="default"/>
                <w:sz w:val="14"/>
                <w:szCs w:val="14"/>
              </w:rPr>
            </w:pPr>
            <w:r>
              <w:rPr>
                <w:rFonts w:ascii="宋体"/>
                <w:w w:val="95"/>
                <w:sz w:val="14"/>
              </w:rPr>
              <w:t>2,680,197,352</w:t>
            </w:r>
            <w:r>
              <w:rPr>
                <w:rFonts w:ascii="宋体"/>
                <w:sz w:val="14"/>
              </w:rPr>
            </w:r>
          </w:p>
        </w:tc>
      </w:tr>
    </w:tbl>
    <w:p>
      <w:pPr>
        <w:spacing w:line="40" w:lineRule="exact"/>
        <w:ind w:left="47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2pt;height:2pt;mso-position-horizontal-relative:char;mso-position-vertical-relative:line" coordorigin="0,0" coordsize="9324,40">
            <v:group style="position:absolute;left:20;top:20;width:3383;height:2" coordorigin="20,20" coordsize="3383,2">
              <v:shape style="position:absolute;left:20;top:20;width:3383;height:2" coordorigin="20,20" coordsize="3383,0" path="m20,20l3403,20e" filled="false" stroked="true" strokeweight="2pt" strokecolor="#9f8958">
                <v:path arrowok="t"/>
              </v:shape>
            </v:group>
            <v:group style="position:absolute;left:3403;top:20;width:1181;height:2" coordorigin="3403,20" coordsize="1181,2">
              <v:shape style="position:absolute;left:3403;top:20;width:1181;height:2" coordorigin="3403,20" coordsize="1181,0" path="m3403,20l4583,20e" filled="false" stroked="true" strokeweight="2pt" strokecolor="#9f8958">
                <v:path arrowok="t"/>
              </v:shape>
            </v:group>
            <v:group style="position:absolute;left:4583;top:20;width:1181;height:2" coordorigin="4583,20" coordsize="1181,2">
              <v:shape style="position:absolute;left:4583;top:20;width:1181;height:2" coordorigin="4583,20" coordsize="1181,0" path="m4583,20l5763,20e" filled="false" stroked="true" strokeweight="2pt" strokecolor="#9f8958">
                <v:path arrowok="t"/>
              </v:shape>
            </v:group>
            <v:group style="position:absolute;left:5763;top:20;width:1181;height:2" coordorigin="5763,20" coordsize="1181,2">
              <v:shape style="position:absolute;left:5763;top:20;width:1181;height:2" coordorigin="5763,20" coordsize="1181,0" path="m5763,20l6943,20e" filled="false" stroked="true" strokeweight="2pt" strokecolor="#9f8958">
                <v:path arrowok="t"/>
              </v:shape>
            </v:group>
            <v:group style="position:absolute;left:6943;top:20;width:1181;height:2" coordorigin="6943,20" coordsize="1181,2">
              <v:shape style="position:absolute;left:6943;top:20;width:1181;height:2" coordorigin="6943,20" coordsize="1181,0" path="m6943,20l8123,20e" filled="false" stroked="true" strokeweight="2pt" strokecolor="#9f8958">
                <v:path arrowok="t"/>
              </v:shape>
            </v:group>
            <v:group style="position:absolute;left:8123;top:20;width:1181;height:2" coordorigin="8123,20" coordsize="1181,2">
              <v:shape style="position:absolute;left:8123;top:20;width:1181;height:2" coordorigin="8123,20" coordsize="1181,0" path="m8123,20l9303,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footerReference w:type="even" r:id="rId320"/>
          <w:footerReference w:type="default" r:id="rId321"/>
          <w:pgSz w:w="11910" w:h="16160"/>
          <w:pgMar w:footer="320" w:header="1200" w:top="2120" w:bottom="520" w:left="640" w:right="1320"/>
        </w:sectPr>
      </w:pPr>
    </w:p>
    <w:p>
      <w:pPr>
        <w:spacing w:line="240" w:lineRule="auto" w:before="3"/>
        <w:rPr>
          <w:rFonts w:ascii="宋体" w:hAnsi="宋体" w:cs="宋体" w:eastAsia="宋体" w:hint="default"/>
          <w:sz w:val="14"/>
          <w:szCs w:val="14"/>
        </w:rPr>
      </w:pPr>
    </w:p>
    <w:p>
      <w:pPr>
        <w:pStyle w:val="BodyText"/>
        <w:spacing w:line="240" w:lineRule="auto" w:before="31"/>
        <w:ind w:left="114" w:right="125"/>
        <w:jc w:val="left"/>
      </w:pPr>
      <w:r>
        <w:rPr/>
        <w:t>46、政府补助（续）</w:t>
      </w:r>
    </w:p>
    <w:p>
      <w:pPr>
        <w:spacing w:line="240" w:lineRule="auto" w:before="12"/>
        <w:rPr>
          <w:rFonts w:ascii="宋体" w:hAnsi="宋体" w:cs="宋体" w:eastAsia="宋体" w:hint="default"/>
          <w:sz w:val="17"/>
          <w:szCs w:val="17"/>
        </w:rPr>
      </w:pPr>
    </w:p>
    <w:p>
      <w:pPr>
        <w:pStyle w:val="BodyText"/>
        <w:spacing w:line="240" w:lineRule="auto"/>
        <w:ind w:left="114" w:right="125"/>
        <w:jc w:val="left"/>
      </w:pPr>
      <w:r>
        <w:rPr/>
        <w:t>(b)</w:t>
      </w:r>
      <w:r>
        <w:rPr>
          <w:spacing w:val="-21"/>
        </w:rPr>
        <w:t> </w:t>
      </w:r>
      <w:r>
        <w:rPr/>
        <w:t>与收益相关的政府补助</w:t>
      </w:r>
    </w:p>
    <w:p>
      <w:pPr>
        <w:spacing w:line="240" w:lineRule="auto" w:before="9"/>
        <w:rPr>
          <w:rFonts w:ascii="宋体" w:hAnsi="宋体" w:cs="宋体" w:eastAsia="宋体" w:hint="default"/>
          <w:sz w:val="14"/>
          <w:szCs w:val="14"/>
        </w:rPr>
      </w:pPr>
    </w:p>
    <w:tbl>
      <w:tblPr>
        <w:tblW w:w="0" w:type="auto"/>
        <w:jc w:val="left"/>
        <w:tblInd w:w="454" w:type="dxa"/>
        <w:tblLayout w:type="fixed"/>
        <w:tblCellMar>
          <w:top w:w="0" w:type="dxa"/>
          <w:left w:w="0" w:type="dxa"/>
          <w:bottom w:w="0" w:type="dxa"/>
          <w:right w:w="0" w:type="dxa"/>
        </w:tblCellMar>
        <w:tblLook w:val="01E0"/>
      </w:tblPr>
      <w:tblGrid>
        <w:gridCol w:w="3116"/>
        <w:gridCol w:w="1592"/>
        <w:gridCol w:w="1180"/>
        <w:gridCol w:w="1180"/>
        <w:gridCol w:w="1180"/>
        <w:gridCol w:w="1035"/>
      </w:tblGrid>
      <w:tr>
        <w:trPr>
          <w:trHeight w:val="565" w:hRule="exact"/>
        </w:trPr>
        <w:tc>
          <w:tcPr>
            <w:tcW w:w="3116" w:type="dxa"/>
            <w:tcBorders>
              <w:top w:val="nil" w:sz="6" w:space="0" w:color="auto"/>
              <w:left w:val="nil" w:sz="6" w:space="0" w:color="auto"/>
              <w:bottom w:val="single" w:sz="16" w:space="0" w:color="9F8958"/>
              <w:right w:val="nil" w:sz="6" w:space="0" w:color="auto"/>
            </w:tcBorders>
          </w:tcPr>
          <w:p>
            <w:pPr>
              <w:pStyle w:val="TableParagraph"/>
              <w:spacing w:line="240" w:lineRule="auto" w:before="48"/>
              <w:ind w:left="56" w:right="0"/>
              <w:jc w:val="left"/>
              <w:rPr>
                <w:rFonts w:ascii="宋体" w:hAnsi="宋体" w:cs="宋体" w:eastAsia="宋体" w:hint="default"/>
                <w:sz w:val="14"/>
                <w:szCs w:val="14"/>
              </w:rPr>
            </w:pPr>
            <w:r>
              <w:rPr>
                <w:rFonts w:ascii="宋体" w:hAnsi="宋体" w:cs="宋体" w:eastAsia="宋体" w:hint="default"/>
                <w:sz w:val="14"/>
                <w:szCs w:val="14"/>
              </w:rPr>
              <w:t>补助项目</w:t>
            </w:r>
          </w:p>
        </w:tc>
        <w:tc>
          <w:tcPr>
            <w:tcW w:w="1592" w:type="dxa"/>
            <w:tcBorders>
              <w:top w:val="nil" w:sz="6" w:space="0" w:color="auto"/>
              <w:left w:val="nil" w:sz="6" w:space="0" w:color="auto"/>
              <w:bottom w:val="single" w:sz="16" w:space="0" w:color="9F8958"/>
              <w:right w:val="nil" w:sz="6" w:space="0" w:color="auto"/>
            </w:tcBorders>
          </w:tcPr>
          <w:p>
            <w:pPr>
              <w:pStyle w:val="TableParagraph"/>
              <w:spacing w:line="261" w:lineRule="auto" w:before="48"/>
              <w:ind w:left="830" w:right="200"/>
              <w:jc w:val="left"/>
              <w:rPr>
                <w:rFonts w:ascii="宋体" w:hAnsi="宋体" w:cs="宋体" w:eastAsia="宋体" w:hint="default"/>
                <w:sz w:val="14"/>
                <w:szCs w:val="14"/>
              </w:rPr>
            </w:pPr>
            <w:r>
              <w:rPr>
                <w:rFonts w:ascii="宋体" w:hAnsi="宋体" w:cs="宋体" w:eastAsia="宋体" w:hint="default"/>
                <w:sz w:val="14"/>
                <w:szCs w:val="14"/>
              </w:rPr>
              <w:t>递延收益 年初余额</w:t>
            </w:r>
          </w:p>
        </w:tc>
        <w:tc>
          <w:tcPr>
            <w:tcW w:w="1180" w:type="dxa"/>
            <w:tcBorders>
              <w:top w:val="nil" w:sz="6" w:space="0" w:color="auto"/>
              <w:left w:val="nil" w:sz="6" w:space="0" w:color="auto"/>
              <w:bottom w:val="single" w:sz="16" w:space="0" w:color="9F8958"/>
              <w:right w:val="nil" w:sz="6" w:space="0" w:color="auto"/>
            </w:tcBorders>
          </w:tcPr>
          <w:p>
            <w:pPr>
              <w:pStyle w:val="TableParagraph"/>
              <w:spacing w:line="208" w:lineRule="exact" w:before="42"/>
              <w:ind w:left="337" w:right="0"/>
              <w:jc w:val="left"/>
              <w:rPr>
                <w:rFonts w:ascii="宋体" w:hAnsi="宋体" w:cs="宋体" w:eastAsia="宋体" w:hint="default"/>
                <w:sz w:val="16"/>
                <w:szCs w:val="16"/>
              </w:rPr>
            </w:pPr>
            <w:r>
              <w:rPr>
                <w:rFonts w:ascii="宋体" w:hAnsi="宋体" w:cs="宋体" w:eastAsia="宋体" w:hint="default"/>
                <w:sz w:val="16"/>
                <w:szCs w:val="16"/>
              </w:rPr>
              <w:t>本年新增</w:t>
            </w:r>
          </w:p>
          <w:p>
            <w:pPr>
              <w:pStyle w:val="TableParagraph"/>
              <w:spacing w:line="182" w:lineRule="exact"/>
              <w:ind w:left="417" w:right="0"/>
              <w:jc w:val="left"/>
              <w:rPr>
                <w:rFonts w:ascii="宋体" w:hAnsi="宋体" w:cs="宋体" w:eastAsia="宋体" w:hint="default"/>
                <w:sz w:val="14"/>
                <w:szCs w:val="14"/>
              </w:rPr>
            </w:pPr>
            <w:r>
              <w:rPr>
                <w:rFonts w:ascii="宋体" w:hAnsi="宋体" w:cs="宋体" w:eastAsia="宋体" w:hint="default"/>
                <w:sz w:val="14"/>
                <w:szCs w:val="14"/>
              </w:rPr>
              <w:t>补助金额</w:t>
            </w:r>
          </w:p>
        </w:tc>
        <w:tc>
          <w:tcPr>
            <w:tcW w:w="1180" w:type="dxa"/>
            <w:tcBorders>
              <w:top w:val="nil" w:sz="6" w:space="0" w:color="auto"/>
              <w:left w:val="nil" w:sz="6" w:space="0" w:color="auto"/>
              <w:bottom w:val="single" w:sz="16" w:space="0" w:color="9F8958"/>
              <w:right w:val="nil" w:sz="6" w:space="0" w:color="auto"/>
            </w:tcBorders>
          </w:tcPr>
          <w:p>
            <w:pPr>
              <w:pStyle w:val="TableParagraph"/>
              <w:spacing w:line="208" w:lineRule="exact" w:before="42"/>
              <w:ind w:left="657" w:right="0"/>
              <w:jc w:val="left"/>
              <w:rPr>
                <w:rFonts w:ascii="宋体" w:hAnsi="宋体" w:cs="宋体" w:eastAsia="宋体" w:hint="default"/>
                <w:sz w:val="16"/>
                <w:szCs w:val="16"/>
              </w:rPr>
            </w:pPr>
            <w:r>
              <w:rPr>
                <w:rFonts w:ascii="宋体" w:hAnsi="宋体" w:cs="宋体" w:eastAsia="宋体" w:hint="default"/>
                <w:sz w:val="16"/>
                <w:szCs w:val="16"/>
              </w:rPr>
              <w:t>计入</w:t>
            </w:r>
          </w:p>
          <w:p>
            <w:pPr>
              <w:pStyle w:val="TableParagraph"/>
              <w:spacing w:line="182" w:lineRule="exact"/>
              <w:ind w:left="277" w:right="0"/>
              <w:jc w:val="left"/>
              <w:rPr>
                <w:rFonts w:ascii="宋体" w:hAnsi="宋体" w:cs="宋体" w:eastAsia="宋体" w:hint="default"/>
                <w:sz w:val="14"/>
                <w:szCs w:val="14"/>
              </w:rPr>
            </w:pPr>
            <w:r>
              <w:rPr>
                <w:rFonts w:ascii="宋体" w:hAnsi="宋体" w:cs="宋体" w:eastAsia="宋体" w:hint="default"/>
                <w:sz w:val="14"/>
                <w:szCs w:val="14"/>
              </w:rPr>
              <w:t>营业外收入</w:t>
            </w:r>
          </w:p>
        </w:tc>
        <w:tc>
          <w:tcPr>
            <w:tcW w:w="1180" w:type="dxa"/>
            <w:tcBorders>
              <w:top w:val="nil" w:sz="6" w:space="0" w:color="auto"/>
              <w:left w:val="nil" w:sz="6" w:space="0" w:color="auto"/>
              <w:bottom w:val="single" w:sz="16" w:space="0" w:color="9F8958"/>
              <w:right w:val="nil" w:sz="6" w:space="0" w:color="auto"/>
            </w:tcBorders>
          </w:tcPr>
          <w:p>
            <w:pPr>
              <w:pStyle w:val="TableParagraph"/>
              <w:spacing w:line="208" w:lineRule="exact" w:before="42"/>
              <w:ind w:left="657" w:right="0"/>
              <w:jc w:val="left"/>
              <w:rPr>
                <w:rFonts w:ascii="宋体" w:hAnsi="宋体" w:cs="宋体" w:eastAsia="宋体" w:hint="default"/>
                <w:sz w:val="16"/>
                <w:szCs w:val="16"/>
              </w:rPr>
            </w:pPr>
            <w:r>
              <w:rPr>
                <w:rFonts w:ascii="宋体" w:hAnsi="宋体" w:cs="宋体" w:eastAsia="宋体" w:hint="default"/>
                <w:sz w:val="16"/>
                <w:szCs w:val="16"/>
              </w:rPr>
              <w:t>计入</w:t>
            </w:r>
          </w:p>
          <w:p>
            <w:pPr>
              <w:pStyle w:val="TableParagraph"/>
              <w:spacing w:line="182" w:lineRule="exact"/>
              <w:ind w:left="417" w:right="0"/>
              <w:jc w:val="left"/>
              <w:rPr>
                <w:rFonts w:ascii="宋体" w:hAnsi="宋体" w:cs="宋体" w:eastAsia="宋体" w:hint="default"/>
                <w:sz w:val="14"/>
                <w:szCs w:val="14"/>
              </w:rPr>
            </w:pPr>
            <w:r>
              <w:rPr>
                <w:rFonts w:ascii="宋体" w:hAnsi="宋体" w:cs="宋体" w:eastAsia="宋体" w:hint="default"/>
                <w:sz w:val="14"/>
                <w:szCs w:val="14"/>
              </w:rPr>
              <w:t>其他收益</w:t>
            </w:r>
          </w:p>
        </w:tc>
        <w:tc>
          <w:tcPr>
            <w:tcW w:w="1035" w:type="dxa"/>
            <w:tcBorders>
              <w:top w:val="nil" w:sz="6" w:space="0" w:color="auto"/>
              <w:left w:val="nil" w:sz="6" w:space="0" w:color="auto"/>
              <w:bottom w:val="single" w:sz="16" w:space="0" w:color="9F8958"/>
              <w:right w:val="nil" w:sz="6" w:space="0" w:color="auto"/>
            </w:tcBorders>
          </w:tcPr>
          <w:p>
            <w:pPr>
              <w:pStyle w:val="TableParagraph"/>
              <w:spacing w:line="208" w:lineRule="exact" w:before="42"/>
              <w:ind w:left="337" w:right="0"/>
              <w:jc w:val="left"/>
              <w:rPr>
                <w:rFonts w:ascii="宋体" w:hAnsi="宋体" w:cs="宋体" w:eastAsia="宋体" w:hint="default"/>
                <w:sz w:val="16"/>
                <w:szCs w:val="16"/>
              </w:rPr>
            </w:pPr>
            <w:r>
              <w:rPr>
                <w:rFonts w:ascii="宋体" w:hAnsi="宋体" w:cs="宋体" w:eastAsia="宋体" w:hint="default"/>
                <w:sz w:val="16"/>
                <w:szCs w:val="16"/>
              </w:rPr>
              <w:t>递延收益</w:t>
            </w:r>
          </w:p>
          <w:p>
            <w:pPr>
              <w:pStyle w:val="TableParagraph"/>
              <w:spacing w:line="182" w:lineRule="exact"/>
              <w:ind w:left="417" w:right="0"/>
              <w:jc w:val="left"/>
              <w:rPr>
                <w:rFonts w:ascii="宋体" w:hAnsi="宋体" w:cs="宋体" w:eastAsia="宋体" w:hint="default"/>
                <w:sz w:val="14"/>
                <w:szCs w:val="14"/>
              </w:rPr>
            </w:pPr>
            <w:r>
              <w:rPr>
                <w:rFonts w:ascii="宋体" w:hAnsi="宋体" w:cs="宋体" w:eastAsia="宋体" w:hint="default"/>
                <w:sz w:val="14"/>
                <w:szCs w:val="14"/>
              </w:rPr>
              <w:t>年末余额</w:t>
            </w:r>
          </w:p>
        </w:tc>
      </w:tr>
      <w:tr>
        <w:trPr>
          <w:trHeight w:val="341" w:hRule="exact"/>
        </w:trPr>
        <w:tc>
          <w:tcPr>
            <w:tcW w:w="3116"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left="56" w:right="0"/>
              <w:jc w:val="left"/>
              <w:rPr>
                <w:rFonts w:ascii="宋体" w:hAnsi="宋体" w:cs="宋体" w:eastAsia="宋体" w:hint="default"/>
                <w:sz w:val="14"/>
                <w:szCs w:val="14"/>
              </w:rPr>
            </w:pPr>
            <w:r>
              <w:rPr>
                <w:rFonts w:ascii="宋体" w:hAnsi="宋体" w:cs="宋体" w:eastAsia="宋体" w:hint="default"/>
                <w:sz w:val="14"/>
                <w:szCs w:val="14"/>
              </w:rPr>
              <w:t>2017</w:t>
            </w:r>
            <w:r>
              <w:rPr>
                <w:rFonts w:ascii="宋体" w:hAnsi="宋体" w:cs="宋体" w:eastAsia="宋体" w:hint="default"/>
                <w:spacing w:val="-6"/>
                <w:sz w:val="14"/>
                <w:szCs w:val="14"/>
              </w:rPr>
              <w:t> </w:t>
            </w:r>
            <w:r>
              <w:rPr>
                <w:rFonts w:ascii="宋体" w:hAnsi="宋体" w:cs="宋体" w:eastAsia="宋体" w:hint="default"/>
                <w:sz w:val="14"/>
                <w:szCs w:val="14"/>
              </w:rPr>
              <w:t>年川通局支持通信业专项发展资金</w:t>
            </w:r>
          </w:p>
        </w:tc>
        <w:tc>
          <w:tcPr>
            <w:tcW w:w="1592"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99"/>
              <w:jc w:val="right"/>
              <w:rPr>
                <w:rFonts w:ascii="宋体" w:hAnsi="宋体" w:cs="宋体" w:eastAsia="宋体" w:hint="default"/>
                <w:sz w:val="14"/>
                <w:szCs w:val="14"/>
              </w:rPr>
            </w:pPr>
            <w:r>
              <w:rPr>
                <w:rFonts w:ascii="宋体"/>
                <w:w w:val="95"/>
                <w:sz w:val="14"/>
              </w:rPr>
              <w:t>38,609,200</w:t>
            </w:r>
            <w:r>
              <w:rPr>
                <w:rFonts w:ascii="宋体"/>
                <w:sz w:val="14"/>
              </w:rPr>
            </w:r>
          </w:p>
        </w:tc>
        <w:tc>
          <w:tcPr>
            <w:tcW w:w="118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14"/>
                <w:szCs w:val="14"/>
              </w:rPr>
            </w:pPr>
            <w:r>
              <w:rPr>
                <w:rFonts w:ascii="宋体"/>
                <w:w w:val="131"/>
                <w:sz w:val="14"/>
              </w:rPr>
              <w:t>-</w:t>
            </w:r>
            <w:r>
              <w:rPr>
                <w:rFonts w:ascii="宋体"/>
                <w:sz w:val="14"/>
              </w:rPr>
            </w:r>
          </w:p>
        </w:tc>
        <w:tc>
          <w:tcPr>
            <w:tcW w:w="118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14"/>
                <w:szCs w:val="14"/>
              </w:rPr>
            </w:pPr>
            <w:r>
              <w:rPr>
                <w:rFonts w:ascii="宋体"/>
                <w:w w:val="131"/>
                <w:sz w:val="14"/>
              </w:rPr>
              <w:t>-</w:t>
            </w:r>
            <w:r>
              <w:rPr>
                <w:rFonts w:ascii="宋体"/>
                <w:sz w:val="14"/>
              </w:rPr>
            </w:r>
          </w:p>
        </w:tc>
        <w:tc>
          <w:tcPr>
            <w:tcW w:w="118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14"/>
                <w:szCs w:val="14"/>
              </w:rPr>
            </w:pPr>
            <w:r>
              <w:rPr>
                <w:rFonts w:ascii="宋体"/>
                <w:w w:val="131"/>
                <w:sz w:val="14"/>
              </w:rPr>
              <w:t>-</w:t>
            </w:r>
            <w:r>
              <w:rPr>
                <w:rFonts w:ascii="宋体"/>
                <w:sz w:val="14"/>
              </w:rPr>
            </w:r>
          </w:p>
        </w:tc>
        <w:tc>
          <w:tcPr>
            <w:tcW w:w="1035"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54"/>
              <w:jc w:val="right"/>
              <w:rPr>
                <w:rFonts w:ascii="宋体" w:hAnsi="宋体" w:cs="宋体" w:eastAsia="宋体" w:hint="default"/>
                <w:sz w:val="14"/>
                <w:szCs w:val="14"/>
              </w:rPr>
            </w:pPr>
            <w:r>
              <w:rPr>
                <w:rFonts w:ascii="宋体"/>
                <w:w w:val="95"/>
                <w:sz w:val="14"/>
              </w:rPr>
              <w:t>38,609,200</w:t>
            </w:r>
            <w:r>
              <w:rPr>
                <w:rFonts w:ascii="宋体"/>
                <w:sz w:val="14"/>
              </w:rPr>
            </w:r>
          </w:p>
        </w:tc>
      </w:tr>
      <w:tr>
        <w:trPr>
          <w:trHeight w:val="253"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3"/>
              <w:ind w:left="56" w:right="0"/>
              <w:jc w:val="left"/>
              <w:rPr>
                <w:rFonts w:ascii="宋体" w:hAnsi="宋体" w:cs="宋体" w:eastAsia="宋体" w:hint="default"/>
                <w:sz w:val="14"/>
                <w:szCs w:val="14"/>
              </w:rPr>
            </w:pPr>
            <w:r>
              <w:rPr>
                <w:rFonts w:ascii="宋体" w:hAnsi="宋体" w:cs="宋体" w:eastAsia="宋体" w:hint="default"/>
                <w:sz w:val="14"/>
                <w:szCs w:val="14"/>
              </w:rPr>
              <w:t>战备应急补贴</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131"/>
                <w:sz w:val="14"/>
              </w:rPr>
              <w:t>-</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6,440,000</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200"/>
              <w:jc w:val="right"/>
              <w:rPr>
                <w:rFonts w:ascii="宋体" w:hAnsi="宋体" w:cs="宋体" w:eastAsia="宋体" w:hint="default"/>
                <w:sz w:val="14"/>
                <w:szCs w:val="14"/>
              </w:rPr>
            </w:pPr>
            <w:r>
              <w:rPr>
                <w:rFonts w:ascii="宋体"/>
                <w:w w:val="131"/>
                <w:sz w:val="14"/>
              </w:rPr>
              <w:t>-</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(6,440,000)</w:t>
            </w:r>
            <w:r>
              <w:rPr>
                <w:rFonts w:ascii="宋体"/>
                <w:sz w:val="14"/>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4"/>
              <w:jc w:val="right"/>
              <w:rPr>
                <w:rFonts w:ascii="宋体" w:hAnsi="宋体" w:cs="宋体" w:eastAsia="宋体" w:hint="default"/>
                <w:sz w:val="14"/>
                <w:szCs w:val="14"/>
              </w:rPr>
            </w:pPr>
            <w:r>
              <w:rPr>
                <w:rFonts w:ascii="宋体"/>
                <w:w w:val="131"/>
                <w:sz w:val="14"/>
              </w:rPr>
              <w:t>-</w:t>
            </w:r>
            <w:r>
              <w:rPr>
                <w:rFonts w:ascii="宋体"/>
                <w:sz w:val="14"/>
              </w:rPr>
            </w:r>
          </w:p>
        </w:tc>
      </w:tr>
      <w:tr>
        <w:trPr>
          <w:trHeight w:val="253"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3"/>
              <w:ind w:left="57" w:right="0"/>
              <w:jc w:val="left"/>
              <w:rPr>
                <w:rFonts w:ascii="宋体" w:hAnsi="宋体" w:cs="宋体" w:eastAsia="宋体" w:hint="default"/>
                <w:sz w:val="14"/>
                <w:szCs w:val="14"/>
              </w:rPr>
            </w:pPr>
            <w:r>
              <w:rPr>
                <w:rFonts w:ascii="宋体" w:hAnsi="宋体" w:cs="宋体" w:eastAsia="宋体" w:hint="default"/>
                <w:sz w:val="14"/>
                <w:szCs w:val="14"/>
              </w:rPr>
              <w:t>稳岗补贴</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1,437,915</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21,708,192</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(1,255,873)</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(3,034,103)</w:t>
            </w:r>
            <w:r>
              <w:rPr>
                <w:rFonts w:ascii="宋体"/>
                <w:sz w:val="14"/>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w w:val="95"/>
                <w:sz w:val="14"/>
              </w:rPr>
              <w:t>18,856,131</w:t>
            </w:r>
            <w:r>
              <w:rPr>
                <w:rFonts w:ascii="宋体"/>
                <w:sz w:val="14"/>
              </w:rPr>
            </w:r>
          </w:p>
        </w:tc>
      </w:tr>
      <w:tr>
        <w:trPr>
          <w:trHeight w:val="253"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3"/>
              <w:ind w:left="57" w:right="0"/>
              <w:jc w:val="left"/>
              <w:rPr>
                <w:rFonts w:ascii="宋体" w:hAnsi="宋体" w:cs="宋体" w:eastAsia="宋体" w:hint="default"/>
                <w:sz w:val="14"/>
                <w:szCs w:val="14"/>
              </w:rPr>
            </w:pPr>
            <w:r>
              <w:rPr>
                <w:rFonts w:ascii="宋体" w:hAnsi="宋体" w:cs="宋体" w:eastAsia="宋体" w:hint="default"/>
                <w:sz w:val="14"/>
                <w:szCs w:val="14"/>
              </w:rPr>
              <w:t>4K</w:t>
            </w:r>
            <w:r>
              <w:rPr>
                <w:rFonts w:ascii="宋体" w:hAnsi="宋体" w:cs="宋体" w:eastAsia="宋体" w:hint="default"/>
                <w:spacing w:val="-13"/>
                <w:sz w:val="14"/>
                <w:szCs w:val="14"/>
              </w:rPr>
              <w:t> </w:t>
            </w:r>
            <w:r>
              <w:rPr>
                <w:rFonts w:ascii="宋体" w:hAnsi="宋体" w:cs="宋体" w:eastAsia="宋体" w:hint="default"/>
                <w:sz w:val="14"/>
                <w:szCs w:val="14"/>
              </w:rPr>
              <w:t>电视政府采购项目补助</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131"/>
                <w:sz w:val="14"/>
              </w:rPr>
              <w:t>-</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4,212,500</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131"/>
                <w:sz w:val="14"/>
              </w:rPr>
              <w:t>-</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(1,712,500)</w:t>
            </w:r>
            <w:r>
              <w:rPr>
                <w:rFonts w:ascii="宋体"/>
                <w:sz w:val="14"/>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w w:val="95"/>
                <w:sz w:val="14"/>
              </w:rPr>
              <w:t>2,500,000</w:t>
            </w:r>
            <w:r>
              <w:rPr>
                <w:rFonts w:ascii="宋体"/>
                <w:sz w:val="14"/>
              </w:rPr>
            </w:r>
          </w:p>
        </w:tc>
      </w:tr>
      <w:tr>
        <w:trPr>
          <w:trHeight w:val="253" w:hRule="exact"/>
        </w:trPr>
        <w:tc>
          <w:tcPr>
            <w:tcW w:w="3116" w:type="dxa"/>
            <w:tcBorders>
              <w:top w:val="nil" w:sz="6" w:space="0" w:color="auto"/>
              <w:left w:val="nil" w:sz="6" w:space="0" w:color="auto"/>
              <w:bottom w:val="nil" w:sz="6" w:space="0" w:color="auto"/>
              <w:right w:val="nil" w:sz="6" w:space="0" w:color="auto"/>
            </w:tcBorders>
          </w:tcPr>
          <w:p>
            <w:pPr>
              <w:pStyle w:val="TableParagraph"/>
              <w:spacing w:line="240" w:lineRule="auto" w:before="3"/>
              <w:ind w:left="57" w:right="0"/>
              <w:jc w:val="left"/>
              <w:rPr>
                <w:rFonts w:ascii="宋体" w:hAnsi="宋体" w:cs="宋体" w:eastAsia="宋体" w:hint="default"/>
                <w:sz w:val="14"/>
                <w:szCs w:val="14"/>
              </w:rPr>
            </w:pPr>
            <w:r>
              <w:rPr>
                <w:rFonts w:ascii="宋体" w:hAnsi="宋体" w:cs="宋体" w:eastAsia="宋体" w:hint="default"/>
                <w:sz w:val="14"/>
                <w:szCs w:val="14"/>
              </w:rPr>
              <w:t>拆迁改造补助</w:t>
            </w:r>
          </w:p>
        </w:tc>
        <w:tc>
          <w:tcPr>
            <w:tcW w:w="1592"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sz w:val="14"/>
              </w:rPr>
              <w:t>137,000</w:t>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2,472,037</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(746,993)</w:t>
            </w:r>
            <w:r>
              <w:rPr>
                <w:rFonts w:ascii="宋体"/>
                <w:sz w:val="14"/>
              </w:rPr>
            </w:r>
          </w:p>
        </w:tc>
        <w:tc>
          <w:tcPr>
            <w:tcW w:w="118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(1,543,999)</w:t>
            </w:r>
            <w:r>
              <w:rPr>
                <w:rFonts w:ascii="宋体"/>
                <w:sz w:val="14"/>
              </w:rPr>
            </w:r>
          </w:p>
        </w:tc>
        <w:tc>
          <w:tcPr>
            <w:tcW w:w="103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sz w:val="14"/>
              </w:rPr>
              <w:t>318,045</w:t>
            </w:r>
          </w:p>
        </w:tc>
      </w:tr>
      <w:tr>
        <w:trPr>
          <w:trHeight w:val="312" w:hRule="exact"/>
        </w:trPr>
        <w:tc>
          <w:tcPr>
            <w:tcW w:w="3116" w:type="dxa"/>
            <w:tcBorders>
              <w:top w:val="nil" w:sz="6" w:space="0" w:color="auto"/>
              <w:left w:val="nil" w:sz="6" w:space="0" w:color="auto"/>
              <w:bottom w:val="single" w:sz="6" w:space="0" w:color="000000"/>
              <w:right w:val="nil" w:sz="6" w:space="0" w:color="auto"/>
            </w:tcBorders>
          </w:tcPr>
          <w:p>
            <w:pPr>
              <w:pStyle w:val="TableParagraph"/>
              <w:spacing w:line="240" w:lineRule="auto" w:before="3"/>
              <w:ind w:left="57" w:right="0"/>
              <w:jc w:val="left"/>
              <w:rPr>
                <w:rFonts w:ascii="宋体" w:hAnsi="宋体" w:cs="宋体" w:eastAsia="宋体" w:hint="default"/>
                <w:sz w:val="14"/>
                <w:szCs w:val="14"/>
              </w:rPr>
            </w:pPr>
            <w:r>
              <w:rPr>
                <w:rFonts w:ascii="宋体" w:hAnsi="宋体" w:cs="宋体" w:eastAsia="宋体" w:hint="default"/>
                <w:sz w:val="14"/>
                <w:szCs w:val="14"/>
              </w:rPr>
              <w:t>其他</w:t>
            </w:r>
          </w:p>
        </w:tc>
        <w:tc>
          <w:tcPr>
            <w:tcW w:w="1592"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5"/>
                <w:sz w:val="14"/>
              </w:rPr>
              <w:t>78,065,756</w:t>
            </w:r>
            <w:r>
              <w:rPr>
                <w:rFonts w:ascii="宋体"/>
                <w:sz w:val="14"/>
              </w:rPr>
            </w:r>
          </w:p>
        </w:tc>
        <w:tc>
          <w:tcPr>
            <w:tcW w:w="118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sz w:val="14"/>
              </w:rPr>
              <w:t>179,733,050</w:t>
            </w:r>
          </w:p>
        </w:tc>
        <w:tc>
          <w:tcPr>
            <w:tcW w:w="118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(69,933,759)</w:t>
            </w:r>
            <w:r>
              <w:rPr>
                <w:rFonts w:ascii="宋体"/>
                <w:sz w:val="14"/>
              </w:rPr>
            </w:r>
          </w:p>
        </w:tc>
        <w:tc>
          <w:tcPr>
            <w:tcW w:w="1180"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199"/>
              <w:jc w:val="right"/>
              <w:rPr>
                <w:rFonts w:ascii="宋体" w:hAnsi="宋体" w:cs="宋体" w:eastAsia="宋体" w:hint="default"/>
                <w:sz w:val="14"/>
                <w:szCs w:val="14"/>
              </w:rPr>
            </w:pPr>
            <w:r>
              <w:rPr>
                <w:rFonts w:ascii="宋体"/>
                <w:w w:val="90"/>
                <w:sz w:val="14"/>
              </w:rPr>
              <w:t>(59,420,373)</w:t>
            </w:r>
            <w:r>
              <w:rPr>
                <w:rFonts w:ascii="宋体"/>
                <w:sz w:val="14"/>
              </w:rPr>
            </w:r>
          </w:p>
        </w:tc>
        <w:tc>
          <w:tcPr>
            <w:tcW w:w="1035" w:type="dxa"/>
            <w:tcBorders>
              <w:top w:val="nil" w:sz="6" w:space="0" w:color="auto"/>
              <w:left w:val="nil" w:sz="6" w:space="0" w:color="auto"/>
              <w:bottom w:val="single" w:sz="6" w:space="0" w:color="000000"/>
              <w:right w:val="nil" w:sz="6" w:space="0" w:color="auto"/>
            </w:tcBorders>
          </w:tcPr>
          <w:p>
            <w:pPr>
              <w:pStyle w:val="TableParagraph"/>
              <w:spacing w:line="240" w:lineRule="auto" w:before="3"/>
              <w:ind w:right="53"/>
              <w:jc w:val="right"/>
              <w:rPr>
                <w:rFonts w:ascii="宋体" w:hAnsi="宋体" w:cs="宋体" w:eastAsia="宋体" w:hint="default"/>
                <w:sz w:val="14"/>
                <w:szCs w:val="14"/>
              </w:rPr>
            </w:pPr>
            <w:r>
              <w:rPr>
                <w:rFonts w:ascii="宋体"/>
                <w:sz w:val="14"/>
              </w:rPr>
              <w:t>128,444,674</w:t>
            </w:r>
          </w:p>
        </w:tc>
      </w:tr>
      <w:tr>
        <w:trPr>
          <w:trHeight w:val="371" w:hRule="exact"/>
        </w:trPr>
        <w:tc>
          <w:tcPr>
            <w:tcW w:w="3116"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left="56" w:right="0"/>
              <w:jc w:val="left"/>
              <w:rPr>
                <w:rFonts w:ascii="宋体" w:hAnsi="宋体" w:cs="宋体" w:eastAsia="宋体" w:hint="default"/>
                <w:sz w:val="14"/>
                <w:szCs w:val="14"/>
              </w:rPr>
            </w:pPr>
            <w:r>
              <w:rPr>
                <w:rFonts w:ascii="宋体" w:hAnsi="宋体" w:cs="宋体" w:eastAsia="宋体" w:hint="default"/>
                <w:sz w:val="14"/>
                <w:szCs w:val="14"/>
              </w:rPr>
              <w:t>合计</w:t>
            </w:r>
          </w:p>
        </w:tc>
        <w:tc>
          <w:tcPr>
            <w:tcW w:w="1592"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199"/>
              <w:jc w:val="right"/>
              <w:rPr>
                <w:rFonts w:ascii="宋体" w:hAnsi="宋体" w:cs="宋体" w:eastAsia="宋体" w:hint="default"/>
                <w:sz w:val="14"/>
                <w:szCs w:val="14"/>
              </w:rPr>
            </w:pPr>
            <w:r>
              <w:rPr>
                <w:rFonts w:ascii="宋体"/>
                <w:sz w:val="14"/>
              </w:rPr>
              <w:t>118,249,871</w:t>
            </w:r>
          </w:p>
        </w:tc>
        <w:tc>
          <w:tcPr>
            <w:tcW w:w="1180"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199"/>
              <w:jc w:val="right"/>
              <w:rPr>
                <w:rFonts w:ascii="宋体" w:hAnsi="宋体" w:cs="宋体" w:eastAsia="宋体" w:hint="default"/>
                <w:sz w:val="14"/>
                <w:szCs w:val="14"/>
              </w:rPr>
            </w:pPr>
            <w:r>
              <w:rPr>
                <w:rFonts w:ascii="宋体"/>
                <w:sz w:val="14"/>
              </w:rPr>
              <w:t>214,565,779</w:t>
            </w:r>
          </w:p>
        </w:tc>
        <w:tc>
          <w:tcPr>
            <w:tcW w:w="1180"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14"/>
                <w:szCs w:val="14"/>
              </w:rPr>
            </w:pPr>
            <w:r>
              <w:rPr>
                <w:rFonts w:ascii="宋体"/>
                <w:w w:val="90"/>
                <w:sz w:val="14"/>
              </w:rPr>
              <w:t>(71,936,625)</w:t>
            </w:r>
            <w:r>
              <w:rPr>
                <w:rFonts w:ascii="宋体"/>
                <w:sz w:val="14"/>
              </w:rPr>
            </w:r>
          </w:p>
        </w:tc>
        <w:tc>
          <w:tcPr>
            <w:tcW w:w="1180"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200"/>
              <w:jc w:val="right"/>
              <w:rPr>
                <w:rFonts w:ascii="宋体" w:hAnsi="宋体" w:cs="宋体" w:eastAsia="宋体" w:hint="default"/>
                <w:sz w:val="14"/>
                <w:szCs w:val="14"/>
              </w:rPr>
            </w:pPr>
            <w:r>
              <w:rPr>
                <w:rFonts w:ascii="宋体"/>
                <w:w w:val="90"/>
                <w:sz w:val="14"/>
              </w:rPr>
              <w:t>(72,150,975)</w:t>
            </w:r>
            <w:r>
              <w:rPr>
                <w:rFonts w:ascii="宋体"/>
                <w:sz w:val="14"/>
              </w:rPr>
            </w:r>
          </w:p>
        </w:tc>
        <w:tc>
          <w:tcPr>
            <w:tcW w:w="1035" w:type="dxa"/>
            <w:tcBorders>
              <w:top w:val="single" w:sz="6" w:space="0" w:color="000000"/>
              <w:left w:val="nil" w:sz="6" w:space="0" w:color="auto"/>
              <w:bottom w:val="nil" w:sz="6" w:space="0" w:color="auto"/>
              <w:right w:val="nil" w:sz="6" w:space="0" w:color="auto"/>
            </w:tcBorders>
          </w:tcPr>
          <w:p>
            <w:pPr>
              <w:pStyle w:val="TableParagraph"/>
              <w:spacing w:line="240" w:lineRule="auto" w:before="70"/>
              <w:ind w:right="54"/>
              <w:jc w:val="right"/>
              <w:rPr>
                <w:rFonts w:ascii="宋体" w:hAnsi="宋体" w:cs="宋体" w:eastAsia="宋体" w:hint="default"/>
                <w:sz w:val="14"/>
                <w:szCs w:val="14"/>
              </w:rPr>
            </w:pPr>
            <w:r>
              <w:rPr>
                <w:rFonts w:ascii="宋体"/>
                <w:sz w:val="14"/>
              </w:rPr>
              <w:t>188,728,050</w:t>
            </w:r>
          </w:p>
        </w:tc>
      </w:tr>
    </w:tbl>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2pt;height:2pt;mso-position-horizontal-relative:char;mso-position-vertical-relative:line" coordorigin="0,0" coordsize="9324,40">
            <v:group style="position:absolute;left:20;top:20;width:3383;height:2" coordorigin="20,20" coordsize="3383,2">
              <v:shape style="position:absolute;left:20;top:20;width:3383;height:2" coordorigin="20,20" coordsize="3383,0" path="m20,20l3403,20e" filled="false" stroked="true" strokeweight="2pt" strokecolor="#9f8958">
                <v:path arrowok="t"/>
              </v:shape>
            </v:group>
            <v:group style="position:absolute;left:3403;top:20;width:1181;height:2" coordorigin="3403,20" coordsize="1181,2">
              <v:shape style="position:absolute;left:3403;top:20;width:1181;height:2" coordorigin="3403,20" coordsize="1181,0" path="m3403,20l4583,20e" filled="false" stroked="true" strokeweight="2pt" strokecolor="#9f8958">
                <v:path arrowok="t"/>
              </v:shape>
            </v:group>
            <v:group style="position:absolute;left:4583;top:20;width:1181;height:2" coordorigin="4583,20" coordsize="1181,2">
              <v:shape style="position:absolute;left:4583;top:20;width:1181;height:2" coordorigin="4583,20" coordsize="1181,0" path="m4583,20l5763,20e" filled="false" stroked="true" strokeweight="2pt" strokecolor="#9f8958">
                <v:path arrowok="t"/>
              </v:shape>
            </v:group>
            <v:group style="position:absolute;left:5763;top:20;width:1181;height:2" coordorigin="5763,20" coordsize="1181,2">
              <v:shape style="position:absolute;left:5763;top:20;width:1181;height:2" coordorigin="5763,20" coordsize="1181,0" path="m5763,20l6943,20e" filled="false" stroked="true" strokeweight="2pt" strokecolor="#9f8958">
                <v:path arrowok="t"/>
              </v:shape>
            </v:group>
            <v:group style="position:absolute;left:6943;top:20;width:1181;height:2" coordorigin="6943,20" coordsize="1181,2">
              <v:shape style="position:absolute;left:6943;top:20;width:1181;height:2" coordorigin="6943,20" coordsize="1181,0" path="m6943,20l8123,20e" filled="false" stroked="true" strokeweight="2pt" strokecolor="#9f8958">
                <v:path arrowok="t"/>
              </v:shape>
            </v:group>
            <v:group style="position:absolute;left:8123;top:20;width:1181;height:2" coordorigin="8123,20" coordsize="1181,2">
              <v:shape style="position:absolute;left:8123;top:20;width:1181;height:2" coordorigin="8123,20" coordsize="1181,0" path="m8123,20l9303,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4"/>
        <w:rPr>
          <w:rFonts w:ascii="宋体" w:hAnsi="宋体" w:cs="宋体" w:eastAsia="宋体" w:hint="default"/>
          <w:sz w:val="15"/>
          <w:szCs w:val="15"/>
        </w:rPr>
      </w:pPr>
    </w:p>
    <w:p>
      <w:pPr>
        <w:pStyle w:val="BodyText"/>
        <w:spacing w:line="480" w:lineRule="auto" w:before="31"/>
        <w:ind w:left="114" w:right="8442"/>
        <w:jc w:val="left"/>
      </w:pPr>
      <w:r>
        <w:rPr/>
        <w:t>47、营业外收支</w:t>
      </w:r>
      <w:r>
        <w:rPr>
          <w:spacing w:val="-71"/>
        </w:rPr>
        <w:t> </w:t>
      </w:r>
      <w:r>
        <w:rPr/>
        <w:t>(a)</w:t>
      </w:r>
      <w:r>
        <w:rPr>
          <w:spacing w:val="-21"/>
        </w:rPr>
        <w:t> </w:t>
      </w:r>
      <w:r>
        <w:rPr/>
        <w:t>营业外收入</w:t>
      </w:r>
    </w:p>
    <w:p>
      <w:pPr>
        <w:spacing w:line="240" w:lineRule="auto" w:before="7"/>
        <w:rPr>
          <w:rFonts w:ascii="宋体" w:hAnsi="宋体" w:cs="宋体" w:eastAsia="宋体" w:hint="default"/>
          <w:sz w:val="3"/>
          <w:szCs w:val="3"/>
        </w:rPr>
      </w:pPr>
    </w:p>
    <w:tbl>
      <w:tblPr>
        <w:tblW w:w="0" w:type="auto"/>
        <w:jc w:val="left"/>
        <w:tblInd w:w="434" w:type="dxa"/>
        <w:tblLayout w:type="fixed"/>
        <w:tblCellMar>
          <w:top w:w="0" w:type="dxa"/>
          <w:left w:w="0" w:type="dxa"/>
          <w:bottom w:w="0" w:type="dxa"/>
          <w:right w:w="0" w:type="dxa"/>
        </w:tblCellMar>
        <w:tblLook w:val="01E0"/>
      </w:tblPr>
      <w:tblGrid>
        <w:gridCol w:w="1903"/>
        <w:gridCol w:w="1470"/>
        <w:gridCol w:w="1580"/>
        <w:gridCol w:w="2122"/>
        <w:gridCol w:w="2208"/>
      </w:tblGrid>
      <w:tr>
        <w:trPr>
          <w:trHeight w:val="550" w:hRule="exact"/>
        </w:trPr>
        <w:tc>
          <w:tcPr>
            <w:tcW w:w="3373"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555"/>
              <w:jc w:val="right"/>
              <w:rPr>
                <w:rFonts w:ascii="宋体" w:hAnsi="宋体" w:cs="宋体" w:eastAsia="宋体" w:hint="default"/>
                <w:sz w:val="16"/>
                <w:szCs w:val="16"/>
              </w:rPr>
            </w:pPr>
            <w:r>
              <w:rPr>
                <w:rFonts w:ascii="宋体" w:hAnsi="宋体" w:cs="宋体" w:eastAsia="宋体" w:hint="default"/>
                <w:sz w:val="16"/>
                <w:szCs w:val="16"/>
              </w:rPr>
              <w:t>注</w:t>
            </w:r>
          </w:p>
        </w:tc>
        <w:tc>
          <w:tcPr>
            <w:tcW w:w="1580"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122"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52"/>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208" w:type="dxa"/>
            <w:tcBorders>
              <w:top w:val="nil" w:sz="6" w:space="0" w:color="auto"/>
              <w:left w:val="nil" w:sz="6" w:space="0" w:color="auto"/>
              <w:bottom w:val="single" w:sz="16" w:space="0" w:color="9F8958"/>
              <w:right w:val="nil" w:sz="6" w:space="0" w:color="auto"/>
            </w:tcBorders>
          </w:tcPr>
          <w:p>
            <w:pPr>
              <w:pStyle w:val="TableParagraph"/>
              <w:spacing w:line="200" w:lineRule="exact" w:before="34"/>
              <w:ind w:left="654" w:right="111" w:firstLine="564"/>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10"/>
                <w:sz w:val="16"/>
                <w:szCs w:val="16"/>
              </w:rPr>
              <w:t> </w:t>
            </w:r>
            <w:r>
              <w:rPr>
                <w:rFonts w:ascii="宋体" w:hAnsi="宋体" w:cs="宋体" w:eastAsia="宋体" w:hint="default"/>
                <w:sz w:val="16"/>
                <w:szCs w:val="16"/>
              </w:rPr>
              <w:t>年计入</w:t>
            </w:r>
            <w:r>
              <w:rPr>
                <w:rFonts w:ascii="宋体" w:hAnsi="宋体" w:cs="宋体" w:eastAsia="宋体" w:hint="default"/>
                <w:sz w:val="16"/>
                <w:szCs w:val="16"/>
              </w:rPr>
              <w:t> 非经常性损益的金额</w:t>
            </w:r>
          </w:p>
        </w:tc>
      </w:tr>
      <w:tr>
        <w:trPr>
          <w:trHeight w:val="362" w:hRule="exact"/>
        </w:trPr>
        <w:tc>
          <w:tcPr>
            <w:tcW w:w="190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违约赔款收入</w:t>
            </w:r>
          </w:p>
        </w:tc>
        <w:tc>
          <w:tcPr>
            <w:tcW w:w="1470" w:type="dxa"/>
            <w:tcBorders>
              <w:top w:val="single" w:sz="16" w:space="0" w:color="9F8958"/>
              <w:left w:val="nil" w:sz="6" w:space="0" w:color="auto"/>
              <w:bottom w:val="nil" w:sz="6" w:space="0" w:color="auto"/>
              <w:right w:val="nil" w:sz="6" w:space="0" w:color="auto"/>
            </w:tcBorders>
          </w:tcPr>
          <w:p>
            <w:pPr/>
          </w:p>
        </w:tc>
        <w:tc>
          <w:tcPr>
            <w:tcW w:w="1580"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271,789,492</w:t>
            </w:r>
          </w:p>
        </w:tc>
        <w:tc>
          <w:tcPr>
            <w:tcW w:w="212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652"/>
              <w:jc w:val="right"/>
              <w:rPr>
                <w:rFonts w:ascii="宋体" w:hAnsi="宋体" w:cs="宋体" w:eastAsia="宋体" w:hint="default"/>
                <w:sz w:val="16"/>
                <w:szCs w:val="16"/>
              </w:rPr>
            </w:pPr>
            <w:r>
              <w:rPr>
                <w:rFonts w:ascii="宋体"/>
                <w:sz w:val="16"/>
              </w:rPr>
              <w:t>336,236,030</w:t>
            </w:r>
          </w:p>
        </w:tc>
        <w:tc>
          <w:tcPr>
            <w:tcW w:w="220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271,789,492</w:t>
            </w:r>
          </w:p>
        </w:tc>
      </w:tr>
      <w:tr>
        <w:trPr>
          <w:trHeight w:val="273"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政府补助</w:t>
            </w:r>
          </w:p>
        </w:tc>
        <w:tc>
          <w:tcPr>
            <w:tcW w:w="1470" w:type="dxa"/>
            <w:tcBorders>
              <w:top w:val="nil" w:sz="6" w:space="0" w:color="auto"/>
              <w:left w:val="nil" w:sz="6" w:space="0" w:color="auto"/>
              <w:bottom w:val="nil" w:sz="6" w:space="0" w:color="auto"/>
              <w:right w:val="nil" w:sz="6" w:space="0" w:color="auto"/>
            </w:tcBorders>
          </w:tcPr>
          <w:p>
            <w:pPr>
              <w:pStyle w:val="TableParagraph"/>
              <w:spacing w:line="205" w:lineRule="exact"/>
              <w:ind w:left="350" w:right="0"/>
              <w:jc w:val="left"/>
              <w:rPr>
                <w:rFonts w:ascii="宋体" w:hAnsi="宋体" w:cs="宋体" w:eastAsia="宋体" w:hint="default"/>
                <w:sz w:val="16"/>
                <w:szCs w:val="16"/>
              </w:rPr>
            </w:pPr>
            <w:r>
              <w:rPr>
                <w:rFonts w:ascii="宋体" w:hAnsi="宋体" w:cs="宋体" w:eastAsia="宋体" w:hint="default"/>
                <w:w w:val="90"/>
                <w:sz w:val="16"/>
                <w:szCs w:val="16"/>
              </w:rPr>
              <w:t>附注五</w:t>
            </w:r>
            <w:r>
              <w:rPr>
                <w:rFonts w:ascii="宋体" w:hAnsi="宋体" w:cs="宋体" w:eastAsia="宋体" w:hint="default"/>
                <w:spacing w:val="-45"/>
                <w:w w:val="90"/>
                <w:sz w:val="16"/>
                <w:szCs w:val="16"/>
              </w:rPr>
              <w:t> </w:t>
            </w:r>
            <w:r>
              <w:rPr>
                <w:rFonts w:ascii="宋体" w:hAnsi="宋体" w:cs="宋体" w:eastAsia="宋体" w:hint="default"/>
                <w:w w:val="90"/>
                <w:sz w:val="16"/>
                <w:szCs w:val="16"/>
              </w:rPr>
              <w:t>(46)(b)</w:t>
            </w:r>
            <w:r>
              <w:rPr>
                <w:rFonts w:ascii="宋体" w:hAnsi="宋体" w:cs="宋体" w:eastAsia="宋体" w:hint="default"/>
                <w:sz w:val="16"/>
                <w:szCs w:val="16"/>
              </w:rPr>
            </w:r>
          </w:p>
        </w:tc>
        <w:tc>
          <w:tcPr>
            <w:tcW w:w="158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71,936,625</w:t>
            </w:r>
            <w:r>
              <w:rPr>
                <w:rFonts w:ascii="宋体"/>
                <w:sz w:val="16"/>
              </w:rPr>
            </w:r>
          </w:p>
        </w:tc>
        <w:tc>
          <w:tcPr>
            <w:tcW w:w="2122" w:type="dxa"/>
            <w:tcBorders>
              <w:top w:val="nil" w:sz="6" w:space="0" w:color="auto"/>
              <w:left w:val="nil" w:sz="6" w:space="0" w:color="auto"/>
              <w:bottom w:val="nil" w:sz="6" w:space="0" w:color="auto"/>
              <w:right w:val="nil" w:sz="6" w:space="0" w:color="auto"/>
            </w:tcBorders>
          </w:tcPr>
          <w:p>
            <w:pPr>
              <w:pStyle w:val="TableParagraph"/>
              <w:spacing w:line="205" w:lineRule="exact"/>
              <w:ind w:right="652"/>
              <w:jc w:val="right"/>
              <w:rPr>
                <w:rFonts w:ascii="宋体" w:hAnsi="宋体" w:cs="宋体" w:eastAsia="宋体" w:hint="default"/>
                <w:sz w:val="16"/>
                <w:szCs w:val="16"/>
              </w:rPr>
            </w:pPr>
            <w:r>
              <w:rPr>
                <w:rFonts w:ascii="宋体"/>
                <w:w w:val="95"/>
                <w:sz w:val="16"/>
              </w:rPr>
              <w:t>56,974,506</w:t>
            </w:r>
            <w:r>
              <w:rPr>
                <w:rFonts w:ascii="宋体"/>
                <w:sz w:val="16"/>
              </w:rPr>
            </w:r>
          </w:p>
        </w:tc>
        <w:tc>
          <w:tcPr>
            <w:tcW w:w="22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71,936,625</w:t>
            </w:r>
            <w:r>
              <w:rPr>
                <w:rFonts w:ascii="宋体"/>
                <w:sz w:val="16"/>
              </w:rPr>
            </w:r>
          </w:p>
        </w:tc>
      </w:tr>
      <w:tr>
        <w:trPr>
          <w:trHeight w:val="273" w:hRule="exact"/>
        </w:trPr>
        <w:tc>
          <w:tcPr>
            <w:tcW w:w="19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无法支付的应付账款</w:t>
            </w:r>
          </w:p>
        </w:tc>
        <w:tc>
          <w:tcPr>
            <w:tcW w:w="1470" w:type="dxa"/>
            <w:tcBorders>
              <w:top w:val="nil" w:sz="6" w:space="0" w:color="auto"/>
              <w:left w:val="nil" w:sz="6" w:space="0" w:color="auto"/>
              <w:bottom w:val="nil" w:sz="6" w:space="0" w:color="auto"/>
              <w:right w:val="nil" w:sz="6" w:space="0" w:color="auto"/>
            </w:tcBorders>
          </w:tcPr>
          <w:p>
            <w:pPr/>
          </w:p>
        </w:tc>
        <w:tc>
          <w:tcPr>
            <w:tcW w:w="158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22,169,828</w:t>
            </w:r>
            <w:r>
              <w:rPr>
                <w:rFonts w:ascii="宋体"/>
                <w:sz w:val="16"/>
              </w:rPr>
            </w:r>
          </w:p>
        </w:tc>
        <w:tc>
          <w:tcPr>
            <w:tcW w:w="2122" w:type="dxa"/>
            <w:tcBorders>
              <w:top w:val="nil" w:sz="6" w:space="0" w:color="auto"/>
              <w:left w:val="nil" w:sz="6" w:space="0" w:color="auto"/>
              <w:bottom w:val="nil" w:sz="6" w:space="0" w:color="auto"/>
              <w:right w:val="nil" w:sz="6" w:space="0" w:color="auto"/>
            </w:tcBorders>
          </w:tcPr>
          <w:p>
            <w:pPr>
              <w:pStyle w:val="TableParagraph"/>
              <w:spacing w:line="205" w:lineRule="exact"/>
              <w:ind w:right="652"/>
              <w:jc w:val="right"/>
              <w:rPr>
                <w:rFonts w:ascii="宋体" w:hAnsi="宋体" w:cs="宋体" w:eastAsia="宋体" w:hint="default"/>
                <w:sz w:val="16"/>
                <w:szCs w:val="16"/>
              </w:rPr>
            </w:pPr>
            <w:r>
              <w:rPr>
                <w:rFonts w:ascii="宋体"/>
                <w:sz w:val="16"/>
              </w:rPr>
              <w:t>211,241,758</w:t>
            </w:r>
          </w:p>
        </w:tc>
        <w:tc>
          <w:tcPr>
            <w:tcW w:w="22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22,169,828</w:t>
            </w:r>
            <w:r>
              <w:rPr>
                <w:rFonts w:ascii="宋体"/>
                <w:sz w:val="16"/>
              </w:rPr>
            </w:r>
          </w:p>
        </w:tc>
      </w:tr>
      <w:tr>
        <w:trPr>
          <w:trHeight w:val="331" w:hRule="exact"/>
        </w:trPr>
        <w:tc>
          <w:tcPr>
            <w:tcW w:w="190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470" w:type="dxa"/>
            <w:tcBorders>
              <w:top w:val="nil" w:sz="6" w:space="0" w:color="auto"/>
              <w:left w:val="nil" w:sz="6" w:space="0" w:color="auto"/>
              <w:bottom w:val="single" w:sz="6" w:space="0" w:color="000000"/>
              <w:right w:val="nil" w:sz="6" w:space="0" w:color="auto"/>
            </w:tcBorders>
          </w:tcPr>
          <w:p>
            <w:pPr/>
          </w:p>
        </w:tc>
        <w:tc>
          <w:tcPr>
            <w:tcW w:w="1580"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380,209,172</w:t>
            </w:r>
          </w:p>
        </w:tc>
        <w:tc>
          <w:tcPr>
            <w:tcW w:w="2122" w:type="dxa"/>
            <w:tcBorders>
              <w:top w:val="nil" w:sz="6" w:space="0" w:color="auto"/>
              <w:left w:val="nil" w:sz="6" w:space="0" w:color="auto"/>
              <w:bottom w:val="single" w:sz="6" w:space="0" w:color="000000"/>
              <w:right w:val="nil" w:sz="6" w:space="0" w:color="auto"/>
            </w:tcBorders>
          </w:tcPr>
          <w:p>
            <w:pPr>
              <w:pStyle w:val="TableParagraph"/>
              <w:spacing w:line="205" w:lineRule="exact"/>
              <w:ind w:right="652"/>
              <w:jc w:val="right"/>
              <w:rPr>
                <w:rFonts w:ascii="宋体" w:hAnsi="宋体" w:cs="宋体" w:eastAsia="宋体" w:hint="default"/>
                <w:sz w:val="16"/>
                <w:szCs w:val="16"/>
              </w:rPr>
            </w:pPr>
            <w:r>
              <w:rPr>
                <w:rFonts w:ascii="宋体"/>
                <w:sz w:val="16"/>
              </w:rPr>
              <w:t>442,601,356</w:t>
            </w:r>
          </w:p>
        </w:tc>
        <w:tc>
          <w:tcPr>
            <w:tcW w:w="2208"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380,209,172</w:t>
            </w:r>
          </w:p>
        </w:tc>
      </w:tr>
      <w:tr>
        <w:trPr>
          <w:trHeight w:val="414" w:hRule="exact"/>
        </w:trPr>
        <w:tc>
          <w:tcPr>
            <w:tcW w:w="3373"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580"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746,105,117</w:t>
            </w:r>
          </w:p>
        </w:tc>
        <w:tc>
          <w:tcPr>
            <w:tcW w:w="212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652"/>
              <w:jc w:val="right"/>
              <w:rPr>
                <w:rFonts w:ascii="宋体" w:hAnsi="宋体" w:cs="宋体" w:eastAsia="宋体" w:hint="default"/>
                <w:sz w:val="16"/>
                <w:szCs w:val="16"/>
              </w:rPr>
            </w:pPr>
            <w:r>
              <w:rPr>
                <w:rFonts w:ascii="宋体"/>
                <w:w w:val="95"/>
                <w:sz w:val="16"/>
              </w:rPr>
              <w:t>1,047,053,650</w:t>
            </w:r>
            <w:r>
              <w:rPr>
                <w:rFonts w:ascii="宋体"/>
                <w:sz w:val="16"/>
              </w:rPr>
            </w:r>
          </w:p>
        </w:tc>
        <w:tc>
          <w:tcPr>
            <w:tcW w:w="220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746,105,117</w:t>
            </w:r>
          </w:p>
        </w:tc>
      </w:tr>
    </w:tbl>
    <w:p>
      <w:pPr>
        <w:spacing w:line="240" w:lineRule="auto" w:before="1"/>
        <w:rPr>
          <w:rFonts w:ascii="宋体" w:hAnsi="宋体" w:cs="宋体" w:eastAsia="宋体" w:hint="default"/>
          <w:sz w:val="15"/>
          <w:szCs w:val="15"/>
        </w:rPr>
      </w:pPr>
    </w:p>
    <w:p>
      <w:pPr>
        <w:pStyle w:val="BodyText"/>
        <w:spacing w:line="240" w:lineRule="auto" w:before="31"/>
        <w:ind w:left="114" w:right="125"/>
        <w:jc w:val="left"/>
      </w:pPr>
      <w:r>
        <w:rPr/>
        <w:t>(b)</w:t>
      </w:r>
      <w:r>
        <w:rPr>
          <w:spacing w:val="-21"/>
        </w:rPr>
        <w:t> </w:t>
      </w:r>
      <w:r>
        <w:rPr/>
        <w:t>营业外支出</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3387"/>
        <w:gridCol w:w="1580"/>
        <w:gridCol w:w="2115"/>
        <w:gridCol w:w="2201"/>
      </w:tblGrid>
      <w:tr>
        <w:trPr>
          <w:trHeight w:val="550" w:hRule="exact"/>
        </w:trPr>
        <w:tc>
          <w:tcPr>
            <w:tcW w:w="3387" w:type="dxa"/>
            <w:tcBorders>
              <w:top w:val="nil" w:sz="6" w:space="0" w:color="auto"/>
              <w:left w:val="nil" w:sz="6" w:space="0" w:color="auto"/>
              <w:bottom w:val="single" w:sz="16" w:space="0" w:color="9F8958"/>
              <w:right w:val="nil" w:sz="6" w:space="0" w:color="auto"/>
            </w:tcBorders>
          </w:tcPr>
          <w:p>
            <w:pPr/>
          </w:p>
        </w:tc>
        <w:tc>
          <w:tcPr>
            <w:tcW w:w="1580"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115" w:type="dxa"/>
            <w:tcBorders>
              <w:top w:val="nil" w:sz="6" w:space="0" w:color="auto"/>
              <w:left w:val="nil" w:sz="6" w:space="0" w:color="auto"/>
              <w:bottom w:val="single" w:sz="16" w:space="0" w:color="9F8958"/>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45"/>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201" w:type="dxa"/>
            <w:tcBorders>
              <w:top w:val="nil" w:sz="6" w:space="0" w:color="auto"/>
              <w:left w:val="nil" w:sz="6" w:space="0" w:color="auto"/>
              <w:bottom w:val="single" w:sz="16" w:space="0" w:color="9F8958"/>
              <w:right w:val="nil" w:sz="6" w:space="0" w:color="auto"/>
            </w:tcBorders>
          </w:tcPr>
          <w:p>
            <w:pPr>
              <w:pStyle w:val="TableParagraph"/>
              <w:spacing w:line="200" w:lineRule="exact" w:before="34"/>
              <w:ind w:left="647" w:right="111" w:firstLine="564"/>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10"/>
                <w:sz w:val="16"/>
                <w:szCs w:val="16"/>
              </w:rPr>
              <w:t> </w:t>
            </w:r>
            <w:r>
              <w:rPr>
                <w:rFonts w:ascii="宋体" w:hAnsi="宋体" w:cs="宋体" w:eastAsia="宋体" w:hint="default"/>
                <w:sz w:val="16"/>
                <w:szCs w:val="16"/>
              </w:rPr>
              <w:t>年计入</w:t>
            </w:r>
            <w:r>
              <w:rPr>
                <w:rFonts w:ascii="宋体" w:hAnsi="宋体" w:cs="宋体" w:eastAsia="宋体" w:hint="default"/>
                <w:sz w:val="16"/>
                <w:szCs w:val="16"/>
              </w:rPr>
              <w:t> 非经常性损益的金额</w:t>
            </w:r>
          </w:p>
        </w:tc>
      </w:tr>
      <w:tr>
        <w:trPr>
          <w:trHeight w:val="362" w:hRule="exact"/>
        </w:trPr>
        <w:tc>
          <w:tcPr>
            <w:tcW w:w="338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违约赔偿支出</w:t>
            </w:r>
          </w:p>
        </w:tc>
        <w:tc>
          <w:tcPr>
            <w:tcW w:w="1580"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111,217,592</w:t>
            </w:r>
          </w:p>
        </w:tc>
        <w:tc>
          <w:tcPr>
            <w:tcW w:w="211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645"/>
              <w:jc w:val="right"/>
              <w:rPr>
                <w:rFonts w:ascii="宋体" w:hAnsi="宋体" w:cs="宋体" w:eastAsia="宋体" w:hint="default"/>
                <w:sz w:val="16"/>
                <w:szCs w:val="16"/>
              </w:rPr>
            </w:pPr>
            <w:r>
              <w:rPr>
                <w:rFonts w:ascii="宋体"/>
                <w:w w:val="95"/>
                <w:sz w:val="16"/>
              </w:rPr>
              <w:t>34,854,045</w:t>
            </w:r>
            <w:r>
              <w:rPr>
                <w:rFonts w:ascii="宋体"/>
                <w:sz w:val="16"/>
              </w:rPr>
            </w:r>
          </w:p>
        </w:tc>
        <w:tc>
          <w:tcPr>
            <w:tcW w:w="220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sz w:val="16"/>
              </w:rPr>
              <w:t>111,217,592</w:t>
            </w:r>
          </w:p>
        </w:tc>
      </w:tr>
      <w:tr>
        <w:trPr>
          <w:trHeight w:val="273" w:hRule="exact"/>
        </w:trPr>
        <w:tc>
          <w:tcPr>
            <w:tcW w:w="338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捐赠支出</w:t>
            </w:r>
          </w:p>
        </w:tc>
        <w:tc>
          <w:tcPr>
            <w:tcW w:w="158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1,621,530</w:t>
            </w:r>
            <w:r>
              <w:rPr>
                <w:rFonts w:ascii="宋体"/>
                <w:sz w:val="16"/>
              </w:rPr>
            </w:r>
          </w:p>
        </w:tc>
        <w:tc>
          <w:tcPr>
            <w:tcW w:w="2115" w:type="dxa"/>
            <w:tcBorders>
              <w:top w:val="nil" w:sz="6" w:space="0" w:color="auto"/>
              <w:left w:val="nil" w:sz="6" w:space="0" w:color="auto"/>
              <w:bottom w:val="nil" w:sz="6" w:space="0" w:color="auto"/>
              <w:right w:val="nil" w:sz="6" w:space="0" w:color="auto"/>
            </w:tcBorders>
          </w:tcPr>
          <w:p>
            <w:pPr>
              <w:pStyle w:val="TableParagraph"/>
              <w:spacing w:line="205" w:lineRule="exact"/>
              <w:ind w:right="645"/>
              <w:jc w:val="right"/>
              <w:rPr>
                <w:rFonts w:ascii="宋体" w:hAnsi="宋体" w:cs="宋体" w:eastAsia="宋体" w:hint="default"/>
                <w:sz w:val="16"/>
                <w:szCs w:val="16"/>
              </w:rPr>
            </w:pPr>
            <w:r>
              <w:rPr>
                <w:rFonts w:ascii="宋体"/>
                <w:w w:val="95"/>
                <w:sz w:val="16"/>
              </w:rPr>
              <w:t>12,650,991</w:t>
            </w:r>
            <w:r>
              <w:rPr>
                <w:rFonts w:ascii="宋体"/>
                <w:sz w:val="16"/>
              </w:rPr>
            </w:r>
          </w:p>
        </w:tc>
        <w:tc>
          <w:tcPr>
            <w:tcW w:w="220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1,621,530</w:t>
            </w:r>
            <w:r>
              <w:rPr>
                <w:rFonts w:ascii="宋体"/>
                <w:sz w:val="16"/>
              </w:rPr>
            </w:r>
          </w:p>
        </w:tc>
      </w:tr>
      <w:tr>
        <w:trPr>
          <w:trHeight w:val="273" w:hRule="exact"/>
        </w:trPr>
        <w:tc>
          <w:tcPr>
            <w:tcW w:w="338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固定资产盘亏及报废损失</w:t>
            </w:r>
          </w:p>
        </w:tc>
        <w:tc>
          <w:tcPr>
            <w:tcW w:w="1580"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224,552,456</w:t>
            </w:r>
          </w:p>
        </w:tc>
        <w:tc>
          <w:tcPr>
            <w:tcW w:w="2115" w:type="dxa"/>
            <w:tcBorders>
              <w:top w:val="nil" w:sz="6" w:space="0" w:color="auto"/>
              <w:left w:val="nil" w:sz="6" w:space="0" w:color="auto"/>
              <w:bottom w:val="nil" w:sz="6" w:space="0" w:color="auto"/>
              <w:right w:val="nil" w:sz="6" w:space="0" w:color="auto"/>
            </w:tcBorders>
          </w:tcPr>
          <w:p>
            <w:pPr>
              <w:pStyle w:val="TableParagraph"/>
              <w:spacing w:line="205" w:lineRule="exact"/>
              <w:ind w:right="645"/>
              <w:jc w:val="right"/>
              <w:rPr>
                <w:rFonts w:ascii="宋体" w:hAnsi="宋体" w:cs="宋体" w:eastAsia="宋体" w:hint="default"/>
                <w:sz w:val="16"/>
                <w:szCs w:val="16"/>
              </w:rPr>
            </w:pPr>
            <w:r>
              <w:rPr>
                <w:rFonts w:ascii="宋体"/>
                <w:w w:val="131"/>
                <w:sz w:val="16"/>
              </w:rPr>
              <w:t>-</w:t>
            </w:r>
            <w:r>
              <w:rPr>
                <w:rFonts w:ascii="宋体"/>
                <w:sz w:val="16"/>
              </w:rPr>
            </w:r>
          </w:p>
        </w:tc>
        <w:tc>
          <w:tcPr>
            <w:tcW w:w="2201"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224,552,456</w:t>
            </w:r>
          </w:p>
        </w:tc>
      </w:tr>
      <w:tr>
        <w:trPr>
          <w:trHeight w:val="331" w:hRule="exact"/>
        </w:trPr>
        <w:tc>
          <w:tcPr>
            <w:tcW w:w="3387"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1580"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254,701,511</w:t>
            </w:r>
          </w:p>
        </w:tc>
        <w:tc>
          <w:tcPr>
            <w:tcW w:w="2115" w:type="dxa"/>
            <w:tcBorders>
              <w:top w:val="nil" w:sz="6" w:space="0" w:color="auto"/>
              <w:left w:val="nil" w:sz="6" w:space="0" w:color="auto"/>
              <w:bottom w:val="single" w:sz="6" w:space="0" w:color="000000"/>
              <w:right w:val="nil" w:sz="6" w:space="0" w:color="auto"/>
            </w:tcBorders>
          </w:tcPr>
          <w:p>
            <w:pPr>
              <w:pStyle w:val="TableParagraph"/>
              <w:spacing w:line="205" w:lineRule="exact"/>
              <w:ind w:right="645"/>
              <w:jc w:val="right"/>
              <w:rPr>
                <w:rFonts w:ascii="宋体" w:hAnsi="宋体" w:cs="宋体" w:eastAsia="宋体" w:hint="default"/>
                <w:sz w:val="16"/>
                <w:szCs w:val="16"/>
              </w:rPr>
            </w:pPr>
            <w:r>
              <w:rPr>
                <w:rFonts w:ascii="宋体"/>
                <w:sz w:val="16"/>
              </w:rPr>
              <w:t>134,888,852</w:t>
            </w:r>
          </w:p>
        </w:tc>
        <w:tc>
          <w:tcPr>
            <w:tcW w:w="2201" w:type="dxa"/>
            <w:tcBorders>
              <w:top w:val="nil" w:sz="6" w:space="0" w:color="auto"/>
              <w:left w:val="nil" w:sz="6" w:space="0" w:color="auto"/>
              <w:bottom w:val="single" w:sz="6" w:space="0" w:color="000000"/>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254,701,511</w:t>
            </w:r>
          </w:p>
        </w:tc>
      </w:tr>
      <w:tr>
        <w:trPr>
          <w:trHeight w:val="414" w:hRule="exact"/>
        </w:trPr>
        <w:tc>
          <w:tcPr>
            <w:tcW w:w="338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580"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592,093,089</w:t>
            </w:r>
          </w:p>
        </w:tc>
        <w:tc>
          <w:tcPr>
            <w:tcW w:w="211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645"/>
              <w:jc w:val="right"/>
              <w:rPr>
                <w:rFonts w:ascii="宋体" w:hAnsi="宋体" w:cs="宋体" w:eastAsia="宋体" w:hint="default"/>
                <w:sz w:val="16"/>
                <w:szCs w:val="16"/>
              </w:rPr>
            </w:pPr>
            <w:r>
              <w:rPr>
                <w:rFonts w:ascii="宋体"/>
                <w:sz w:val="16"/>
              </w:rPr>
              <w:t>182,393,888</w:t>
            </w:r>
          </w:p>
        </w:tc>
        <w:tc>
          <w:tcPr>
            <w:tcW w:w="2201"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592,093,089</w:t>
            </w:r>
          </w:p>
        </w:tc>
      </w:tr>
    </w:tbl>
    <w:p>
      <w:pPr>
        <w:spacing w:after="0" w:line="240" w:lineRule="auto"/>
        <w:jc w:val="right"/>
        <w:rPr>
          <w:rFonts w:ascii="宋体" w:hAnsi="宋体" w:cs="宋体" w:eastAsia="宋体" w:hint="default"/>
          <w:sz w:val="16"/>
          <w:szCs w:val="16"/>
        </w:rPr>
        <w:sectPr>
          <w:pgSz w:w="11910" w:h="16160"/>
          <w:pgMar w:header="2776" w:footer="298" w:top="2960" w:bottom="480" w:left="136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48、所得税</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706"/>
        <w:gridCol w:w="2296"/>
        <w:gridCol w:w="2296"/>
      </w:tblGrid>
      <w:tr>
        <w:trPr>
          <w:trHeight w:val="350" w:hRule="exact"/>
        </w:trPr>
        <w:tc>
          <w:tcPr>
            <w:tcW w:w="4706" w:type="dxa"/>
            <w:tcBorders>
              <w:top w:val="nil" w:sz="6" w:space="0" w:color="auto"/>
              <w:left w:val="nil" w:sz="6" w:space="0" w:color="auto"/>
              <w:bottom w:val="single" w:sz="16" w:space="0" w:color="9F8958"/>
              <w:right w:val="nil" w:sz="6" w:space="0" w:color="auto"/>
            </w:tcBorders>
          </w:tcPr>
          <w:p>
            <w:pPr/>
          </w:p>
        </w:tc>
        <w:tc>
          <w:tcPr>
            <w:tcW w:w="229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296"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4706"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3470"/>
              <w:jc w:val="left"/>
              <w:rPr>
                <w:rFonts w:ascii="宋体" w:hAnsi="宋体" w:cs="宋体" w:eastAsia="宋体" w:hint="default"/>
                <w:sz w:val="16"/>
                <w:szCs w:val="16"/>
              </w:rPr>
            </w:pPr>
            <w:r>
              <w:rPr>
                <w:rFonts w:ascii="宋体" w:hAnsi="宋体" w:cs="宋体" w:eastAsia="宋体" w:hint="default"/>
                <w:sz w:val="16"/>
                <w:szCs w:val="16"/>
              </w:rPr>
              <w:t>当期所得税 加：递延所得税</w:t>
            </w:r>
          </w:p>
        </w:tc>
        <w:tc>
          <w:tcPr>
            <w:tcW w:w="2296"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182" w:right="0"/>
              <w:jc w:val="center"/>
              <w:rPr>
                <w:rFonts w:ascii="宋体" w:hAnsi="宋体" w:cs="宋体" w:eastAsia="宋体" w:hint="default"/>
                <w:sz w:val="16"/>
                <w:szCs w:val="16"/>
              </w:rPr>
            </w:pPr>
            <w:r>
              <w:rPr>
                <w:rFonts w:ascii="宋体"/>
                <w:sz w:val="16"/>
              </w:rPr>
              <w:t>565,280,100</w:t>
            </w:r>
          </w:p>
          <w:p>
            <w:pPr>
              <w:pStyle w:val="TableParagraph"/>
              <w:spacing w:line="240" w:lineRule="auto" w:before="64"/>
              <w:ind w:left="1049" w:right="0"/>
              <w:jc w:val="center"/>
              <w:rPr>
                <w:rFonts w:ascii="宋体" w:hAnsi="宋体" w:cs="宋体" w:eastAsia="宋体" w:hint="default"/>
                <w:sz w:val="16"/>
                <w:szCs w:val="16"/>
              </w:rPr>
            </w:pPr>
            <w:r>
              <w:rPr>
                <w:rFonts w:ascii="宋体"/>
                <w:sz w:val="16"/>
              </w:rPr>
              <w:t>2,209,418,972</w:t>
            </w:r>
          </w:p>
        </w:tc>
        <w:tc>
          <w:tcPr>
            <w:tcW w:w="2296"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295" w:right="0"/>
              <w:jc w:val="left"/>
              <w:rPr>
                <w:rFonts w:ascii="宋体" w:hAnsi="宋体" w:cs="宋体" w:eastAsia="宋体" w:hint="default"/>
                <w:sz w:val="16"/>
                <w:szCs w:val="16"/>
              </w:rPr>
            </w:pPr>
            <w:r>
              <w:rPr>
                <w:rFonts w:ascii="宋体"/>
                <w:sz w:val="16"/>
              </w:rPr>
              <w:t>736,383,774</w:t>
            </w:r>
          </w:p>
          <w:p>
            <w:pPr>
              <w:pStyle w:val="TableParagraph"/>
              <w:spacing w:line="240" w:lineRule="auto" w:before="64"/>
              <w:ind w:left="1295" w:right="0"/>
              <w:jc w:val="left"/>
              <w:rPr>
                <w:rFonts w:ascii="宋体" w:hAnsi="宋体" w:cs="宋体" w:eastAsia="宋体" w:hint="default"/>
                <w:sz w:val="16"/>
                <w:szCs w:val="16"/>
              </w:rPr>
            </w:pPr>
            <w:r>
              <w:rPr>
                <w:rFonts w:ascii="宋体"/>
                <w:sz w:val="16"/>
              </w:rPr>
              <w:t>(42,475,067)</w:t>
            </w:r>
          </w:p>
        </w:tc>
      </w:tr>
      <w:tr>
        <w:trPr>
          <w:trHeight w:val="414" w:hRule="exact"/>
        </w:trPr>
        <w:tc>
          <w:tcPr>
            <w:tcW w:w="470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29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2"/>
              <w:jc w:val="right"/>
              <w:rPr>
                <w:rFonts w:ascii="宋体" w:hAnsi="宋体" w:cs="宋体" w:eastAsia="宋体" w:hint="default"/>
                <w:sz w:val="16"/>
                <w:szCs w:val="16"/>
              </w:rPr>
            </w:pPr>
            <w:r>
              <w:rPr>
                <w:rFonts w:ascii="宋体"/>
                <w:w w:val="95"/>
                <w:sz w:val="16"/>
              </w:rPr>
              <w:t>2,774,699,072</w:t>
            </w:r>
            <w:r>
              <w:rPr>
                <w:rFonts w:ascii="宋体"/>
                <w:sz w:val="16"/>
              </w:rPr>
            </w:r>
          </w:p>
        </w:tc>
        <w:tc>
          <w:tcPr>
            <w:tcW w:w="229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693,908,707</w:t>
            </w:r>
          </w:p>
        </w:tc>
      </w:tr>
    </w:tbl>
    <w:p>
      <w:pPr>
        <w:spacing w:line="240" w:lineRule="auto" w:before="1"/>
        <w:rPr>
          <w:rFonts w:ascii="宋体" w:hAnsi="宋体" w:cs="宋体" w:eastAsia="宋体" w:hint="default"/>
          <w:sz w:val="15"/>
          <w:szCs w:val="15"/>
        </w:rPr>
      </w:pPr>
    </w:p>
    <w:p>
      <w:pPr>
        <w:pStyle w:val="BodyText"/>
        <w:spacing w:line="240" w:lineRule="auto" w:before="31"/>
        <w:ind w:left="113" w:right="0"/>
        <w:jc w:val="left"/>
      </w:pPr>
      <w:r>
        <w:rPr/>
        <w:t>(a)</w:t>
      </w:r>
      <w:r>
        <w:rPr>
          <w:spacing w:val="-21"/>
        </w:rPr>
        <w:t> </w:t>
      </w:r>
      <w:r>
        <w:rPr/>
        <w:t>按法定税率计算之所得税与实际所得税费用调整如下：</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25"/>
        <w:gridCol w:w="699"/>
        <w:gridCol w:w="2287"/>
        <w:gridCol w:w="2287"/>
      </w:tblGrid>
      <w:tr>
        <w:trPr>
          <w:trHeight w:val="350" w:hRule="exact"/>
        </w:trPr>
        <w:tc>
          <w:tcPr>
            <w:tcW w:w="4724"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7"/>
              <w:ind w:right="215"/>
              <w:jc w:val="right"/>
              <w:rPr>
                <w:rFonts w:ascii="宋体" w:hAnsi="宋体" w:cs="宋体" w:eastAsia="宋体" w:hint="default"/>
                <w:sz w:val="16"/>
                <w:szCs w:val="16"/>
              </w:rPr>
            </w:pPr>
            <w:r>
              <w:rPr>
                <w:rFonts w:ascii="宋体" w:hAnsi="宋体" w:cs="宋体" w:eastAsia="宋体" w:hint="default"/>
                <w:sz w:val="16"/>
                <w:szCs w:val="16"/>
              </w:rPr>
              <w:t>注释</w:t>
            </w:r>
          </w:p>
        </w:tc>
        <w:tc>
          <w:tcPr>
            <w:tcW w:w="2287"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287"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724" w:type="dxa"/>
            <w:gridSpan w:val="2"/>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利润总额</w:t>
            </w:r>
          </w:p>
        </w:tc>
        <w:tc>
          <w:tcPr>
            <w:tcW w:w="228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2"/>
              <w:jc w:val="right"/>
              <w:rPr>
                <w:rFonts w:ascii="宋体" w:hAnsi="宋体" w:cs="宋体" w:eastAsia="宋体" w:hint="default"/>
                <w:sz w:val="16"/>
                <w:szCs w:val="16"/>
              </w:rPr>
            </w:pPr>
            <w:r>
              <w:rPr>
                <w:rFonts w:ascii="宋体"/>
                <w:w w:val="95"/>
                <w:sz w:val="16"/>
              </w:rPr>
              <w:t>12,075,362,887</w:t>
            </w:r>
            <w:r>
              <w:rPr>
                <w:rFonts w:ascii="宋体"/>
                <w:sz w:val="16"/>
              </w:rPr>
            </w:r>
          </w:p>
        </w:tc>
        <w:tc>
          <w:tcPr>
            <w:tcW w:w="228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2,377,866,816</w:t>
            </w:r>
            <w:r>
              <w:rPr>
                <w:rFonts w:ascii="宋体"/>
                <w:sz w:val="16"/>
              </w:rPr>
            </w:r>
          </w:p>
        </w:tc>
      </w:tr>
      <w:tr>
        <w:trPr>
          <w:trHeight w:val="331" w:hRule="exact"/>
        </w:trPr>
        <w:tc>
          <w:tcPr>
            <w:tcW w:w="4724" w:type="dxa"/>
            <w:gridSpan w:val="2"/>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按</w:t>
            </w:r>
            <w:r>
              <w:rPr>
                <w:rFonts w:ascii="宋体" w:hAnsi="宋体" w:cs="宋体" w:eastAsia="宋体" w:hint="default"/>
                <w:spacing w:val="-38"/>
                <w:w w:val="105"/>
                <w:sz w:val="16"/>
                <w:szCs w:val="16"/>
              </w:rPr>
              <w:t> </w:t>
            </w:r>
            <w:r>
              <w:rPr>
                <w:rFonts w:ascii="宋体" w:hAnsi="宋体" w:cs="宋体" w:eastAsia="宋体" w:hint="default"/>
                <w:w w:val="105"/>
                <w:sz w:val="16"/>
                <w:szCs w:val="16"/>
              </w:rPr>
              <w:t>25%</w:t>
            </w:r>
            <w:r>
              <w:rPr>
                <w:rFonts w:ascii="宋体" w:hAnsi="宋体" w:cs="宋体" w:eastAsia="宋体" w:hint="default"/>
                <w:spacing w:val="-39"/>
                <w:w w:val="105"/>
                <w:sz w:val="16"/>
                <w:szCs w:val="16"/>
              </w:rPr>
              <w:t> </w:t>
            </w:r>
            <w:r>
              <w:rPr>
                <w:rFonts w:ascii="宋体" w:hAnsi="宋体" w:cs="宋体" w:eastAsia="宋体" w:hint="default"/>
                <w:w w:val="105"/>
                <w:sz w:val="16"/>
                <w:szCs w:val="16"/>
              </w:rPr>
              <w:t>计算的预期所得税</w:t>
            </w:r>
          </w:p>
        </w:tc>
        <w:tc>
          <w:tcPr>
            <w:tcW w:w="228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95"/>
                <w:sz w:val="16"/>
              </w:rPr>
              <w:t>3,018,840,722</w:t>
            </w:r>
            <w:r>
              <w:rPr>
                <w:rFonts w:ascii="宋体"/>
                <w:sz w:val="16"/>
              </w:rPr>
            </w:r>
          </w:p>
        </w:tc>
        <w:tc>
          <w:tcPr>
            <w:tcW w:w="2287"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594,466,704</w:t>
            </w:r>
          </w:p>
        </w:tc>
      </w:tr>
      <w:tr>
        <w:trPr>
          <w:trHeight w:val="350" w:hRule="exact"/>
        </w:trPr>
        <w:tc>
          <w:tcPr>
            <w:tcW w:w="4025" w:type="dxa"/>
            <w:tcBorders>
              <w:top w:val="single" w:sz="6" w:space="0" w:color="000000"/>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所得税影响调整：</w:t>
            </w:r>
          </w:p>
        </w:tc>
        <w:tc>
          <w:tcPr>
            <w:tcW w:w="699" w:type="dxa"/>
            <w:tcBorders>
              <w:top w:val="single" w:sz="6" w:space="0" w:color="000000"/>
              <w:left w:val="nil" w:sz="6" w:space="0" w:color="auto"/>
              <w:bottom w:val="nil" w:sz="6" w:space="0" w:color="auto"/>
              <w:right w:val="nil" w:sz="6" w:space="0" w:color="auto"/>
            </w:tcBorders>
          </w:tcPr>
          <w:p>
            <w:pPr/>
          </w:p>
        </w:tc>
        <w:tc>
          <w:tcPr>
            <w:tcW w:w="2287" w:type="dxa"/>
            <w:tcBorders>
              <w:top w:val="single" w:sz="6" w:space="0" w:color="000000"/>
              <w:left w:val="nil" w:sz="6" w:space="0" w:color="auto"/>
              <w:bottom w:val="nil" w:sz="6" w:space="0" w:color="auto"/>
              <w:right w:val="nil" w:sz="6" w:space="0" w:color="auto"/>
            </w:tcBorders>
            <w:shd w:val="clear" w:color="auto" w:fill="ECE7DD"/>
          </w:tcPr>
          <w:p>
            <w:pPr/>
          </w:p>
        </w:tc>
        <w:tc>
          <w:tcPr>
            <w:tcW w:w="2287" w:type="dxa"/>
            <w:tcBorders>
              <w:top w:val="single" w:sz="6" w:space="0" w:color="000000"/>
              <w:left w:val="nil" w:sz="6" w:space="0" w:color="auto"/>
              <w:bottom w:val="nil" w:sz="6" w:space="0" w:color="auto"/>
              <w:right w:val="nil" w:sz="6" w:space="0" w:color="auto"/>
            </w:tcBorders>
          </w:tcPr>
          <w:p>
            <w:pPr/>
          </w:p>
        </w:tc>
      </w:tr>
      <w:tr>
        <w:trPr>
          <w:trHeight w:val="273" w:hRule="exact"/>
        </w:trPr>
        <w:tc>
          <w:tcPr>
            <w:tcW w:w="402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不得扣除的成本、费用和损失</w:t>
            </w:r>
          </w:p>
        </w:tc>
        <w:tc>
          <w:tcPr>
            <w:tcW w:w="699" w:type="dxa"/>
            <w:tcBorders>
              <w:top w:val="nil" w:sz="6" w:space="0" w:color="auto"/>
              <w:left w:val="nil" w:sz="6" w:space="0" w:color="auto"/>
              <w:bottom w:val="nil" w:sz="6" w:space="0" w:color="auto"/>
              <w:right w:val="nil" w:sz="6" w:space="0" w:color="auto"/>
            </w:tcBorders>
          </w:tcPr>
          <w:p>
            <w:pP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sz w:val="16"/>
              </w:rPr>
              <w:t>420,841,285</w:t>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305,203,646</w:t>
            </w:r>
          </w:p>
        </w:tc>
      </w:tr>
      <w:tr>
        <w:trPr>
          <w:trHeight w:val="273" w:hRule="exact"/>
        </w:trPr>
        <w:tc>
          <w:tcPr>
            <w:tcW w:w="402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权益法核算的长期股权投资持有期间投资收益</w:t>
            </w:r>
          </w:p>
        </w:tc>
        <w:tc>
          <w:tcPr>
            <w:tcW w:w="699" w:type="dxa"/>
            <w:tcBorders>
              <w:top w:val="nil" w:sz="6" w:space="0" w:color="auto"/>
              <w:left w:val="nil" w:sz="6" w:space="0" w:color="auto"/>
              <w:bottom w:val="nil" w:sz="6" w:space="0" w:color="auto"/>
              <w:right w:val="nil" w:sz="6" w:space="0" w:color="auto"/>
            </w:tcBorders>
          </w:tcPr>
          <w:p>
            <w:pP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(308,146,501)</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(276,502,929)</w:t>
            </w:r>
            <w:r>
              <w:rPr>
                <w:rFonts w:ascii="宋体"/>
                <w:sz w:val="16"/>
              </w:rPr>
            </w:r>
          </w:p>
        </w:tc>
      </w:tr>
      <w:tr>
        <w:trPr>
          <w:trHeight w:val="273" w:hRule="exact"/>
        </w:trPr>
        <w:tc>
          <w:tcPr>
            <w:tcW w:w="402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当期汇算清缴差异</w:t>
            </w:r>
          </w:p>
        </w:tc>
        <w:tc>
          <w:tcPr>
            <w:tcW w:w="699" w:type="dxa"/>
            <w:tcBorders>
              <w:top w:val="nil" w:sz="6" w:space="0" w:color="auto"/>
              <w:left w:val="nil" w:sz="6" w:space="0" w:color="auto"/>
              <w:bottom w:val="nil" w:sz="6" w:space="0" w:color="auto"/>
              <w:right w:val="nil" w:sz="6" w:space="0" w:color="auto"/>
            </w:tcBorders>
          </w:tcPr>
          <w:p>
            <w:pPr>
              <w:pStyle w:val="TableParagraph"/>
              <w:spacing w:line="205" w:lineRule="exact"/>
              <w:ind w:right="54"/>
              <w:jc w:val="center"/>
              <w:rPr>
                <w:rFonts w:ascii="宋体" w:hAnsi="宋体" w:cs="宋体" w:eastAsia="宋体" w:hint="default"/>
                <w:sz w:val="16"/>
                <w:szCs w:val="16"/>
              </w:rPr>
            </w:pPr>
            <w:r>
              <w:rPr>
                <w:rFonts w:ascii="宋体"/>
                <w:w w:val="85"/>
                <w:sz w:val="16"/>
              </w:rPr>
              <w:t>(1)</w:t>
            </w:r>
            <w:r>
              <w:rPr>
                <w:rFonts w:ascii="宋体"/>
                <w:sz w:val="16"/>
              </w:rPr>
            </w: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18,134,196</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38,478,990</w:t>
            </w:r>
            <w:r>
              <w:rPr>
                <w:rFonts w:ascii="宋体"/>
                <w:sz w:val="16"/>
              </w:rPr>
            </w:r>
          </w:p>
        </w:tc>
      </w:tr>
      <w:tr>
        <w:trPr>
          <w:trHeight w:val="273" w:hRule="exact"/>
        </w:trPr>
        <w:tc>
          <w:tcPr>
            <w:tcW w:w="402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使用前期未确认递延所得税资产的可抵扣亏损的影响</w:t>
            </w:r>
          </w:p>
        </w:tc>
        <w:tc>
          <w:tcPr>
            <w:tcW w:w="699" w:type="dxa"/>
            <w:tcBorders>
              <w:top w:val="nil" w:sz="6" w:space="0" w:color="auto"/>
              <w:left w:val="nil" w:sz="6" w:space="0" w:color="auto"/>
              <w:bottom w:val="nil" w:sz="6" w:space="0" w:color="auto"/>
              <w:right w:val="nil" w:sz="6" w:space="0" w:color="auto"/>
            </w:tcBorders>
          </w:tcPr>
          <w:p>
            <w:pPr>
              <w:pStyle w:val="TableParagraph"/>
              <w:spacing w:line="205" w:lineRule="exact"/>
              <w:ind w:right="55"/>
              <w:jc w:val="center"/>
              <w:rPr>
                <w:rFonts w:ascii="宋体" w:hAnsi="宋体" w:cs="宋体" w:eastAsia="宋体" w:hint="default"/>
                <w:sz w:val="16"/>
                <w:szCs w:val="16"/>
              </w:rPr>
            </w:pPr>
            <w:r>
              <w:rPr>
                <w:rFonts w:ascii="宋体"/>
                <w:w w:val="85"/>
                <w:sz w:val="16"/>
              </w:rPr>
              <w:t>(2)</w:t>
            </w:r>
            <w:r>
              <w:rPr>
                <w:rFonts w:ascii="宋体"/>
                <w:sz w:val="16"/>
              </w:rPr>
            </w: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(197,204,565)</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(9,267,967)</w:t>
            </w:r>
            <w:r>
              <w:rPr>
                <w:rFonts w:ascii="宋体"/>
                <w:sz w:val="16"/>
              </w:rPr>
            </w:r>
          </w:p>
        </w:tc>
      </w:tr>
      <w:tr>
        <w:trPr>
          <w:trHeight w:val="273" w:hRule="exact"/>
        </w:trPr>
        <w:tc>
          <w:tcPr>
            <w:tcW w:w="402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本年未确认递延所得税资产的可抵扣亏损影响</w:t>
            </w:r>
          </w:p>
        </w:tc>
        <w:tc>
          <w:tcPr>
            <w:tcW w:w="699" w:type="dxa"/>
            <w:tcBorders>
              <w:top w:val="nil" w:sz="6" w:space="0" w:color="auto"/>
              <w:left w:val="nil" w:sz="6" w:space="0" w:color="auto"/>
              <w:bottom w:val="nil" w:sz="6" w:space="0" w:color="auto"/>
              <w:right w:val="nil" w:sz="6" w:space="0" w:color="auto"/>
            </w:tcBorders>
          </w:tcPr>
          <w:p>
            <w:pPr>
              <w:pStyle w:val="TableParagraph"/>
              <w:spacing w:line="205" w:lineRule="exact"/>
              <w:ind w:right="55"/>
              <w:jc w:val="center"/>
              <w:rPr>
                <w:rFonts w:ascii="宋体" w:hAnsi="宋体" w:cs="宋体" w:eastAsia="宋体" w:hint="default"/>
                <w:sz w:val="16"/>
                <w:szCs w:val="16"/>
              </w:rPr>
            </w:pPr>
            <w:r>
              <w:rPr>
                <w:rFonts w:ascii="宋体"/>
                <w:w w:val="85"/>
                <w:sz w:val="16"/>
              </w:rPr>
              <w:t>(3)</w:t>
            </w:r>
            <w:r>
              <w:rPr>
                <w:rFonts w:ascii="宋体"/>
                <w:sz w:val="16"/>
              </w:rPr>
            </w: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26,146,481</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58,645,669</w:t>
            </w:r>
            <w:r>
              <w:rPr>
                <w:rFonts w:ascii="宋体"/>
                <w:sz w:val="16"/>
              </w:rPr>
            </w:r>
          </w:p>
        </w:tc>
      </w:tr>
      <w:tr>
        <w:trPr>
          <w:trHeight w:val="273" w:hRule="exact"/>
        </w:trPr>
        <w:tc>
          <w:tcPr>
            <w:tcW w:w="4025"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子公司适用不同税率的影响</w:t>
            </w:r>
          </w:p>
        </w:tc>
        <w:tc>
          <w:tcPr>
            <w:tcW w:w="699" w:type="dxa"/>
            <w:tcBorders>
              <w:top w:val="nil" w:sz="6" w:space="0" w:color="auto"/>
              <w:left w:val="nil" w:sz="6" w:space="0" w:color="auto"/>
              <w:bottom w:val="nil" w:sz="6" w:space="0" w:color="auto"/>
              <w:right w:val="nil" w:sz="6" w:space="0" w:color="auto"/>
            </w:tcBorders>
          </w:tcPr>
          <w:p>
            <w:pPr>
              <w:pStyle w:val="TableParagraph"/>
              <w:spacing w:line="205" w:lineRule="exact"/>
              <w:ind w:right="55"/>
              <w:jc w:val="center"/>
              <w:rPr>
                <w:rFonts w:ascii="宋体" w:hAnsi="宋体" w:cs="宋体" w:eastAsia="宋体" w:hint="default"/>
                <w:sz w:val="16"/>
                <w:szCs w:val="16"/>
              </w:rPr>
            </w:pPr>
            <w:r>
              <w:rPr>
                <w:rFonts w:ascii="宋体"/>
                <w:w w:val="85"/>
                <w:sz w:val="16"/>
              </w:rPr>
              <w:t>(4)</w:t>
            </w:r>
            <w:r>
              <w:rPr>
                <w:rFonts w:ascii="宋体"/>
                <w:sz w:val="16"/>
              </w:rPr>
            </w: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(137,658,860)</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(136,886,471)</w:t>
            </w:r>
            <w:r>
              <w:rPr>
                <w:rFonts w:ascii="宋体"/>
                <w:sz w:val="16"/>
              </w:rPr>
            </w:r>
          </w:p>
        </w:tc>
      </w:tr>
      <w:tr>
        <w:trPr>
          <w:trHeight w:val="330" w:hRule="exact"/>
        </w:trPr>
        <w:tc>
          <w:tcPr>
            <w:tcW w:w="4025"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699" w:type="dxa"/>
            <w:tcBorders>
              <w:top w:val="nil" w:sz="6" w:space="0" w:color="auto"/>
              <w:left w:val="nil" w:sz="6" w:space="0" w:color="auto"/>
              <w:bottom w:val="single" w:sz="6" w:space="0" w:color="000000"/>
              <w:right w:val="nil" w:sz="6" w:space="0" w:color="auto"/>
            </w:tcBorders>
          </w:tcPr>
          <w:p>
            <w:pPr/>
          </w:p>
        </w:tc>
        <w:tc>
          <w:tcPr>
            <w:tcW w:w="228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(66,253,686)</w:t>
            </w:r>
            <w:r>
              <w:rPr>
                <w:rFonts w:ascii="宋体"/>
                <w:sz w:val="16"/>
              </w:rPr>
            </w:r>
          </w:p>
        </w:tc>
        <w:tc>
          <w:tcPr>
            <w:tcW w:w="2287"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119,771,065</w:t>
            </w:r>
          </w:p>
        </w:tc>
      </w:tr>
      <w:tr>
        <w:trPr>
          <w:trHeight w:val="414" w:hRule="exact"/>
        </w:trPr>
        <w:tc>
          <w:tcPr>
            <w:tcW w:w="4724"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所得税费用</w:t>
            </w:r>
          </w:p>
        </w:tc>
        <w:tc>
          <w:tcPr>
            <w:tcW w:w="228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2"/>
              <w:jc w:val="right"/>
              <w:rPr>
                <w:rFonts w:ascii="宋体" w:hAnsi="宋体" w:cs="宋体" w:eastAsia="宋体" w:hint="default"/>
                <w:sz w:val="16"/>
                <w:szCs w:val="16"/>
              </w:rPr>
            </w:pPr>
            <w:r>
              <w:rPr>
                <w:rFonts w:ascii="宋体"/>
                <w:w w:val="95"/>
                <w:sz w:val="16"/>
              </w:rPr>
              <w:t>2,774,699,072</w:t>
            </w:r>
            <w:r>
              <w:rPr>
                <w:rFonts w:ascii="宋体"/>
                <w:sz w:val="16"/>
              </w:rPr>
            </w:r>
          </w:p>
        </w:tc>
        <w:tc>
          <w:tcPr>
            <w:tcW w:w="228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693,908,707</w:t>
            </w:r>
          </w:p>
        </w:tc>
      </w:tr>
    </w:tbl>
    <w:p>
      <w:pPr>
        <w:spacing w:line="240" w:lineRule="auto" w:before="1"/>
        <w:rPr>
          <w:rFonts w:ascii="宋体" w:hAnsi="宋体" w:cs="宋体" w:eastAsia="宋体" w:hint="default"/>
          <w:sz w:val="15"/>
          <w:szCs w:val="15"/>
        </w:rPr>
      </w:pPr>
    </w:p>
    <w:p>
      <w:pPr>
        <w:pStyle w:val="BodyText"/>
        <w:spacing w:line="285" w:lineRule="auto" w:before="31"/>
        <w:ind w:left="793" w:right="0" w:hanging="340"/>
        <w:jc w:val="left"/>
      </w:pPr>
      <w:r>
        <w:rPr>
          <w:spacing w:val="-1"/>
          <w:w w:val="73"/>
        </w:rPr>
        <w:t>(1)</w:t>
      </w:r>
      <w:r>
        <w:rPr>
          <w:spacing w:val="47"/>
          <w:w w:val="73"/>
        </w:rPr>
        <w:t> </w:t>
      </w:r>
      <w:r>
        <w:rPr>
          <w:spacing w:val="2"/>
        </w:rPr>
        <w:t>本集团在年度企业所得税汇算清缴时，因前期与税务机关就部分税前可抵扣项目的认定存在差异，经与主管税务</w:t>
      </w:r>
      <w:r>
        <w:rPr>
          <w:spacing w:val="-87"/>
        </w:rPr>
        <w:t> </w:t>
      </w:r>
      <w:r>
        <w:rPr>
          <w:spacing w:val="-87"/>
        </w:rPr>
      </w:r>
      <w:r>
        <w:rPr/>
        <w:t>机关确认后退回</w:t>
      </w:r>
      <w:r>
        <w:rPr>
          <w:spacing w:val="-63"/>
        </w:rPr>
        <w:t> </w:t>
      </w:r>
      <w:r>
        <w:rPr>
          <w:w w:val="95"/>
        </w:rPr>
        <w:t>/</w:t>
      </w:r>
      <w:r>
        <w:rPr>
          <w:spacing w:val="-59"/>
          <w:w w:val="95"/>
        </w:rPr>
        <w:t> </w:t>
      </w:r>
      <w:r>
        <w:rPr/>
        <w:t>补缴企业所得税。</w:t>
      </w:r>
    </w:p>
    <w:p>
      <w:pPr>
        <w:spacing w:line="240" w:lineRule="auto" w:before="10"/>
        <w:rPr>
          <w:rFonts w:ascii="宋体" w:hAnsi="宋体" w:cs="宋体" w:eastAsia="宋体" w:hint="default"/>
          <w:sz w:val="13"/>
          <w:szCs w:val="13"/>
        </w:rPr>
      </w:pPr>
    </w:p>
    <w:p>
      <w:pPr>
        <w:pStyle w:val="BodyText"/>
        <w:spacing w:line="240" w:lineRule="auto"/>
        <w:ind w:left="453" w:right="0"/>
        <w:jc w:val="left"/>
      </w:pPr>
      <w:r>
        <w:rPr/>
        <w:t>(2)</w:t>
      </w:r>
      <w:r>
        <w:rPr>
          <w:spacing w:val="-21"/>
        </w:rPr>
        <w:t> </w:t>
      </w:r>
      <w:r>
        <w:rPr/>
        <w:t>本公司的个别子公司运营状况改善实现盈利，因而使用前期未确认递延所得税资产的亏损。</w:t>
      </w:r>
    </w:p>
    <w:p>
      <w:pPr>
        <w:spacing w:line="240" w:lineRule="auto" w:before="5"/>
        <w:rPr>
          <w:rFonts w:ascii="宋体" w:hAnsi="宋体" w:cs="宋体" w:eastAsia="宋体" w:hint="default"/>
          <w:sz w:val="16"/>
          <w:szCs w:val="16"/>
        </w:rPr>
      </w:pPr>
    </w:p>
    <w:p>
      <w:pPr>
        <w:pStyle w:val="BodyText"/>
        <w:spacing w:line="285" w:lineRule="auto"/>
        <w:ind w:left="793" w:right="0" w:hanging="340"/>
        <w:jc w:val="left"/>
      </w:pPr>
      <w:r>
        <w:rPr>
          <w:spacing w:val="-1"/>
          <w:w w:val="73"/>
        </w:rPr>
        <w:t>(3)</w:t>
      </w:r>
      <w:r>
        <w:rPr>
          <w:spacing w:val="8"/>
          <w:w w:val="73"/>
        </w:rPr>
        <w:t> </w:t>
      </w:r>
      <w:r>
        <w:rPr/>
        <w:t>本集团的个别子公司于</w:t>
      </w:r>
      <w:r>
        <w:rPr>
          <w:spacing w:val="-45"/>
        </w:rPr>
        <w:t> </w:t>
      </w:r>
      <w:r>
        <w:rPr>
          <w:spacing w:val="-1"/>
          <w:w w:val="111"/>
        </w:rPr>
        <w:t>2018</w:t>
      </w:r>
      <w:r>
        <w:rPr>
          <w:spacing w:val="-55"/>
          <w:w w:val="111"/>
        </w:rPr>
        <w:t> </w:t>
      </w:r>
      <w:r>
        <w:rPr/>
        <w:t>年产生亏损，管理层预计在税务亏损到期前很难获取足够的应税利润用于弥补亏损，</w:t>
      </w:r>
      <w:r>
        <w:rPr/>
        <w:t> 因此本年未确认递延所得税资产。</w:t>
      </w:r>
    </w:p>
    <w:p>
      <w:pPr>
        <w:spacing w:line="240" w:lineRule="auto" w:before="10"/>
        <w:rPr>
          <w:rFonts w:ascii="宋体" w:hAnsi="宋体" w:cs="宋体" w:eastAsia="宋体" w:hint="default"/>
          <w:sz w:val="13"/>
          <w:szCs w:val="13"/>
        </w:rPr>
      </w:pPr>
    </w:p>
    <w:p>
      <w:pPr>
        <w:pStyle w:val="BodyText"/>
        <w:spacing w:line="285" w:lineRule="auto"/>
        <w:ind w:left="793" w:right="0" w:hanging="340"/>
        <w:jc w:val="left"/>
      </w:pPr>
      <w:r>
        <w:rPr>
          <w:spacing w:val="-1"/>
          <w:w w:val="73"/>
        </w:rPr>
        <w:t>(4)</w:t>
      </w:r>
      <w:r>
        <w:rPr>
          <w:spacing w:val="41"/>
          <w:w w:val="73"/>
        </w:rPr>
        <w:t> </w:t>
      </w:r>
      <w:r>
        <w:rPr>
          <w:spacing w:val="1"/>
        </w:rPr>
        <w:t>子公司适用不同税率的影响包括本集团中的若干子公司及分公司享受的优惠税率及境外子公司不同税率的影响，</w:t>
      </w:r>
      <w:r>
        <w:rPr>
          <w:spacing w:val="-78"/>
        </w:rPr>
        <w:t> </w:t>
      </w:r>
      <w:r>
        <w:rPr>
          <w:spacing w:val="-78"/>
        </w:rPr>
      </w:r>
      <w:r>
        <w:rPr>
          <w:w w:val="90"/>
        </w:rPr>
        <w:t>参见附注四</w:t>
      </w:r>
      <w:r>
        <w:rPr>
          <w:spacing w:val="-41"/>
          <w:w w:val="90"/>
        </w:rPr>
        <w:t> </w:t>
      </w:r>
      <w:r>
        <w:rPr>
          <w:w w:val="90"/>
        </w:rPr>
        <w:t>(2)(b)、附注四</w:t>
      </w:r>
      <w:r>
        <w:rPr>
          <w:spacing w:val="-41"/>
          <w:w w:val="90"/>
        </w:rPr>
        <w:t> </w:t>
      </w:r>
      <w:r>
        <w:rPr>
          <w:w w:val="90"/>
        </w:rPr>
        <w:t>(2)(c)</w:t>
      </w:r>
      <w:r>
        <w:rPr>
          <w:spacing w:val="-41"/>
          <w:w w:val="90"/>
        </w:rPr>
        <w:t> </w:t>
      </w:r>
      <w:r>
        <w:rPr>
          <w:w w:val="90"/>
        </w:rPr>
        <w:t>及附注四</w:t>
      </w:r>
      <w:r>
        <w:rPr>
          <w:spacing w:val="-41"/>
          <w:w w:val="90"/>
        </w:rPr>
        <w:t> </w:t>
      </w:r>
      <w:r>
        <w:rPr>
          <w:w w:val="90"/>
        </w:rPr>
        <w:t>(2)(d)。</w:t>
      </w:r>
      <w:r>
        <w:rPr/>
      </w:r>
    </w:p>
    <w:p>
      <w:pPr>
        <w:spacing w:after="0" w:line="285" w:lineRule="auto"/>
        <w:jc w:val="left"/>
        <w:sectPr>
          <w:footerReference w:type="even" r:id="rId322"/>
          <w:footerReference w:type="default" r:id="rId323"/>
          <w:pgSz w:w="11910" w:h="16160"/>
          <w:pgMar w:footer="320" w:header="1200" w:top="2120" w:bottom="520" w:left="680" w:right="1320"/>
          <w:pgNumType w:start="172"/>
        </w:sectPr>
      </w:pPr>
    </w:p>
    <w:p>
      <w:pPr>
        <w:spacing w:line="240" w:lineRule="auto" w:before="7"/>
        <w:rPr>
          <w:rFonts w:ascii="宋体" w:hAnsi="宋体" w:cs="宋体" w:eastAsia="宋体" w:hint="default"/>
          <w:sz w:val="14"/>
          <w:szCs w:val="14"/>
        </w:rPr>
      </w:pPr>
    </w:p>
    <w:p>
      <w:pPr>
        <w:pStyle w:val="BodyText"/>
        <w:spacing w:line="240" w:lineRule="auto" w:before="31"/>
        <w:ind w:left="114" w:right="0"/>
        <w:jc w:val="left"/>
      </w:pPr>
      <w:r>
        <w:rPr/>
        <w:t>(b)</w:t>
      </w:r>
      <w:r>
        <w:rPr>
          <w:spacing w:val="-21"/>
        </w:rPr>
        <w:t> </w:t>
      </w:r>
      <w:r>
        <w:rPr/>
        <w:t>递延所得税资产及负债的变动如下：</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706"/>
        <w:gridCol w:w="2296"/>
        <w:gridCol w:w="2296"/>
      </w:tblGrid>
      <w:tr>
        <w:trPr>
          <w:trHeight w:val="350" w:hRule="exact"/>
        </w:trPr>
        <w:tc>
          <w:tcPr>
            <w:tcW w:w="4706" w:type="dxa"/>
            <w:tcBorders>
              <w:top w:val="nil" w:sz="6" w:space="0" w:color="auto"/>
              <w:left w:val="nil" w:sz="6" w:space="0" w:color="auto"/>
              <w:bottom w:val="single" w:sz="16" w:space="0" w:color="9F8958"/>
              <w:right w:val="nil" w:sz="6" w:space="0" w:color="auto"/>
            </w:tcBorders>
          </w:tcPr>
          <w:p>
            <w:pPr/>
          </w:p>
        </w:tc>
        <w:tc>
          <w:tcPr>
            <w:tcW w:w="229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296"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70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递延所得税资产：</w:t>
            </w:r>
          </w:p>
        </w:tc>
        <w:tc>
          <w:tcPr>
            <w:tcW w:w="2296" w:type="dxa"/>
            <w:tcBorders>
              <w:top w:val="single" w:sz="16" w:space="0" w:color="9F8958"/>
              <w:left w:val="nil" w:sz="6" w:space="0" w:color="auto"/>
              <w:bottom w:val="nil" w:sz="6" w:space="0" w:color="auto"/>
              <w:right w:val="nil" w:sz="6" w:space="0" w:color="auto"/>
            </w:tcBorders>
            <w:shd w:val="clear" w:color="auto" w:fill="ECE7DD"/>
          </w:tcPr>
          <w:p>
            <w:pPr/>
          </w:p>
        </w:tc>
        <w:tc>
          <w:tcPr>
            <w:tcW w:w="2296" w:type="dxa"/>
            <w:tcBorders>
              <w:top w:val="single" w:sz="16" w:space="0" w:color="9F8958"/>
              <w:left w:val="nil" w:sz="6" w:space="0" w:color="auto"/>
              <w:bottom w:val="nil" w:sz="6" w:space="0" w:color="auto"/>
              <w:right w:val="nil" w:sz="6" w:space="0" w:color="auto"/>
            </w:tcBorders>
          </w:tcPr>
          <w:p>
            <w:pPr/>
          </w:p>
        </w:tc>
      </w:tr>
      <w:tr>
        <w:trPr>
          <w:trHeight w:val="273"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原收入</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金融工具准则下的余额年初余额</w:t>
            </w:r>
          </w:p>
        </w:tc>
        <w:tc>
          <w:tcPr>
            <w:tcW w:w="22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4,573,333,656</w:t>
            </w:r>
            <w:r>
              <w:rPr>
                <w:rFonts w:ascii="宋体"/>
                <w:sz w:val="16"/>
              </w:rPr>
            </w:r>
          </w:p>
        </w:tc>
        <w:tc>
          <w:tcPr>
            <w:tcW w:w="22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4,535,525,693</w:t>
            </w:r>
            <w:r>
              <w:rPr>
                <w:rFonts w:ascii="宋体"/>
                <w:sz w:val="16"/>
              </w:rPr>
            </w:r>
          </w:p>
        </w:tc>
      </w:tr>
      <w:tr>
        <w:trPr>
          <w:trHeight w:val="273"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首次执行新收入</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新金融工具准则的调整金额</w:t>
            </w:r>
          </w:p>
        </w:tc>
        <w:tc>
          <w:tcPr>
            <w:tcW w:w="22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(318,711,076)</w:t>
            </w:r>
            <w:r>
              <w:rPr>
                <w:rFonts w:ascii="宋体"/>
                <w:sz w:val="16"/>
              </w:rPr>
            </w:r>
          </w:p>
        </w:tc>
        <w:tc>
          <w:tcPr>
            <w:tcW w:w="22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40"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调整后的年初余额</w:t>
            </w:r>
          </w:p>
        </w:tc>
        <w:tc>
          <w:tcPr>
            <w:tcW w:w="22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4,254,622,580</w:t>
            </w:r>
            <w:r>
              <w:rPr>
                <w:rFonts w:ascii="宋体"/>
                <w:sz w:val="16"/>
              </w:rPr>
            </w:r>
          </w:p>
        </w:tc>
        <w:tc>
          <w:tcPr>
            <w:tcW w:w="22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4,535,525,693</w:t>
            </w:r>
            <w:r>
              <w:rPr>
                <w:rFonts w:ascii="宋体"/>
                <w:sz w:val="16"/>
              </w:rPr>
            </w:r>
          </w:p>
        </w:tc>
      </w:tr>
      <w:tr>
        <w:trPr>
          <w:trHeight w:val="340" w:hRule="exact"/>
        </w:trPr>
        <w:tc>
          <w:tcPr>
            <w:tcW w:w="4706" w:type="dxa"/>
            <w:tcBorders>
              <w:top w:val="nil" w:sz="6" w:space="0" w:color="auto"/>
              <w:left w:val="nil" w:sz="6" w:space="0" w:color="auto"/>
              <w:bottom w:val="nil" w:sz="6" w:space="0" w:color="auto"/>
              <w:right w:val="nil" w:sz="6" w:space="0" w:color="auto"/>
            </w:tcBorders>
          </w:tcPr>
          <w:p>
            <w:pPr>
              <w:pStyle w:val="TableParagraph"/>
              <w:spacing w:line="240" w:lineRule="auto" w:before="62"/>
              <w:ind w:left="283" w:right="0"/>
              <w:jc w:val="left"/>
              <w:rPr>
                <w:rFonts w:ascii="宋体" w:hAnsi="宋体" w:cs="宋体" w:eastAsia="宋体" w:hint="default"/>
                <w:sz w:val="16"/>
                <w:szCs w:val="16"/>
              </w:rPr>
            </w:pPr>
            <w:r>
              <w:rPr>
                <w:rFonts w:ascii="宋体" w:hAnsi="宋体" w:cs="宋体" w:eastAsia="宋体" w:hint="default"/>
                <w:sz w:val="16"/>
                <w:szCs w:val="16"/>
              </w:rPr>
              <w:t>计入利润表的递延所得税</w:t>
            </w:r>
          </w:p>
        </w:tc>
        <w:tc>
          <w:tcPr>
            <w:tcW w:w="22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0"/>
                <w:sz w:val="16"/>
              </w:rPr>
              <w:t>(2,206,036,314)</w:t>
            </w:r>
            <w:r>
              <w:rPr>
                <w:rFonts w:ascii="宋体"/>
                <w:sz w:val="16"/>
              </w:rPr>
            </w:r>
          </w:p>
        </w:tc>
        <w:tc>
          <w:tcPr>
            <w:tcW w:w="2296"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37,807,963</w:t>
            </w:r>
            <w:r>
              <w:rPr>
                <w:rFonts w:ascii="宋体"/>
                <w:sz w:val="16"/>
              </w:rPr>
            </w:r>
          </w:p>
        </w:tc>
      </w:tr>
      <w:tr>
        <w:trPr>
          <w:trHeight w:val="338" w:hRule="exact"/>
        </w:trPr>
        <w:tc>
          <w:tcPr>
            <w:tcW w:w="4706" w:type="dxa"/>
            <w:tcBorders>
              <w:top w:val="nil" w:sz="6" w:space="0" w:color="auto"/>
              <w:left w:val="nil" w:sz="6" w:space="0" w:color="auto"/>
              <w:bottom w:val="single" w:sz="16" w:space="0" w:color="9F8958"/>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年末余额</w:t>
            </w:r>
          </w:p>
        </w:tc>
        <w:tc>
          <w:tcPr>
            <w:tcW w:w="229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2,048,586,266</w:t>
            </w:r>
            <w:r>
              <w:rPr>
                <w:rFonts w:ascii="宋体"/>
                <w:sz w:val="16"/>
              </w:rPr>
            </w:r>
          </w:p>
        </w:tc>
        <w:tc>
          <w:tcPr>
            <w:tcW w:w="2296"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4,573,333,656</w:t>
            </w:r>
            <w:r>
              <w:rPr>
                <w:rFonts w:ascii="宋体"/>
                <w:sz w:val="16"/>
              </w:rPr>
            </w:r>
          </w:p>
        </w:tc>
      </w:tr>
    </w:tbl>
    <w:p>
      <w:pPr>
        <w:spacing w:line="240" w:lineRule="auto" w:before="9"/>
        <w:rPr>
          <w:rFonts w:ascii="宋体" w:hAnsi="宋体" w:cs="宋体" w:eastAsia="宋体" w:hint="default"/>
          <w:sz w:val="21"/>
          <w:szCs w:val="21"/>
        </w:rPr>
      </w:pPr>
    </w:p>
    <w:tbl>
      <w:tblPr>
        <w:tblW w:w="0" w:type="auto"/>
        <w:jc w:val="left"/>
        <w:tblInd w:w="434" w:type="dxa"/>
        <w:tblLayout w:type="fixed"/>
        <w:tblCellMar>
          <w:top w:w="0" w:type="dxa"/>
          <w:left w:w="0" w:type="dxa"/>
          <w:bottom w:w="0" w:type="dxa"/>
          <w:right w:w="0" w:type="dxa"/>
        </w:tblCellMar>
        <w:tblLook w:val="01E0"/>
      </w:tblPr>
      <w:tblGrid>
        <w:gridCol w:w="4724"/>
        <w:gridCol w:w="2287"/>
        <w:gridCol w:w="2287"/>
      </w:tblGrid>
      <w:tr>
        <w:trPr>
          <w:trHeight w:val="350" w:hRule="exact"/>
        </w:trPr>
        <w:tc>
          <w:tcPr>
            <w:tcW w:w="4724" w:type="dxa"/>
            <w:tcBorders>
              <w:top w:val="nil" w:sz="6" w:space="0" w:color="auto"/>
              <w:left w:val="nil" w:sz="6" w:space="0" w:color="auto"/>
              <w:bottom w:val="single" w:sz="16" w:space="0" w:color="9F8958"/>
              <w:right w:val="nil" w:sz="6" w:space="0" w:color="auto"/>
            </w:tcBorders>
          </w:tcPr>
          <w:p>
            <w:pPr/>
          </w:p>
        </w:tc>
        <w:tc>
          <w:tcPr>
            <w:tcW w:w="2287"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287"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72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递延所得税负债：</w:t>
            </w:r>
          </w:p>
        </w:tc>
        <w:tc>
          <w:tcPr>
            <w:tcW w:w="2287" w:type="dxa"/>
            <w:tcBorders>
              <w:top w:val="single" w:sz="16" w:space="0" w:color="9F8958"/>
              <w:left w:val="nil" w:sz="6" w:space="0" w:color="auto"/>
              <w:bottom w:val="nil" w:sz="6" w:space="0" w:color="auto"/>
              <w:right w:val="nil" w:sz="6" w:space="0" w:color="auto"/>
            </w:tcBorders>
            <w:shd w:val="clear" w:color="auto" w:fill="ECE7DD"/>
          </w:tcPr>
          <w:p>
            <w:pPr/>
          </w:p>
        </w:tc>
        <w:tc>
          <w:tcPr>
            <w:tcW w:w="2287" w:type="dxa"/>
            <w:tcBorders>
              <w:top w:val="single" w:sz="16" w:space="0" w:color="9F8958"/>
              <w:left w:val="nil" w:sz="6" w:space="0" w:color="auto"/>
              <w:bottom w:val="nil" w:sz="6" w:space="0" w:color="auto"/>
              <w:right w:val="nil" w:sz="6" w:space="0" w:color="auto"/>
            </w:tcBorders>
          </w:tcPr>
          <w:p>
            <w:pPr/>
          </w:p>
        </w:tc>
      </w:tr>
      <w:tr>
        <w:trPr>
          <w:trHeight w:val="273"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年初余额</w:t>
            </w: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(124,585,795)</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(127,750,269)</w:t>
            </w:r>
            <w:r>
              <w:rPr>
                <w:rFonts w:ascii="宋体"/>
                <w:sz w:val="16"/>
              </w:rPr>
            </w:r>
          </w:p>
        </w:tc>
      </w:tr>
      <w:tr>
        <w:trPr>
          <w:trHeight w:val="273"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计入利润表的递延所得税</w:t>
            </w: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(3,382,658)</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4,667,104</w:t>
            </w:r>
            <w:r>
              <w:rPr>
                <w:rFonts w:ascii="宋体"/>
                <w:sz w:val="16"/>
              </w:rPr>
            </w:r>
          </w:p>
        </w:tc>
      </w:tr>
      <w:tr>
        <w:trPr>
          <w:trHeight w:val="340" w:hRule="exact"/>
        </w:trPr>
        <w:tc>
          <w:tcPr>
            <w:tcW w:w="472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计入其他综合收益的递延所得税</w:t>
            </w:r>
          </w:p>
        </w:tc>
        <w:tc>
          <w:tcPr>
            <w:tcW w:w="228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2,510,508</w:t>
            </w:r>
            <w:r>
              <w:rPr>
                <w:rFonts w:ascii="宋体"/>
                <w:sz w:val="16"/>
              </w:rPr>
            </w:r>
          </w:p>
        </w:tc>
        <w:tc>
          <w:tcPr>
            <w:tcW w:w="228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(1,502,630)</w:t>
            </w:r>
            <w:r>
              <w:rPr>
                <w:rFonts w:ascii="宋体"/>
                <w:sz w:val="16"/>
              </w:rPr>
            </w:r>
          </w:p>
        </w:tc>
      </w:tr>
      <w:tr>
        <w:trPr>
          <w:trHeight w:val="405" w:hRule="exact"/>
        </w:trPr>
        <w:tc>
          <w:tcPr>
            <w:tcW w:w="4724"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283" w:right="0"/>
              <w:jc w:val="left"/>
              <w:rPr>
                <w:rFonts w:ascii="宋体" w:hAnsi="宋体" w:cs="宋体" w:eastAsia="宋体" w:hint="default"/>
                <w:sz w:val="16"/>
                <w:szCs w:val="16"/>
              </w:rPr>
            </w:pPr>
            <w:r>
              <w:rPr>
                <w:rFonts w:ascii="宋体" w:hAnsi="宋体" w:cs="宋体" w:eastAsia="宋体" w:hint="default"/>
                <w:sz w:val="16"/>
                <w:szCs w:val="16"/>
              </w:rPr>
              <w:t>年末余额</w:t>
            </w:r>
          </w:p>
        </w:tc>
        <w:tc>
          <w:tcPr>
            <w:tcW w:w="2287"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0"/>
                <w:sz w:val="16"/>
              </w:rPr>
              <w:t>(125,457,945)</w:t>
            </w:r>
            <w:r>
              <w:rPr>
                <w:rFonts w:ascii="宋体"/>
                <w:sz w:val="16"/>
              </w:rPr>
            </w:r>
          </w:p>
        </w:tc>
        <w:tc>
          <w:tcPr>
            <w:tcW w:w="2287"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0"/>
                <w:sz w:val="16"/>
              </w:rPr>
              <w:t>(124,585,795)</w:t>
            </w:r>
            <w:r>
              <w:rPr>
                <w:rFonts w:ascii="宋体"/>
                <w:sz w:val="16"/>
              </w:rPr>
            </w:r>
          </w:p>
        </w:tc>
      </w:tr>
    </w:tbl>
    <w:p>
      <w:pPr>
        <w:spacing w:after="0" w:line="240" w:lineRule="auto"/>
        <w:jc w:val="right"/>
        <w:rPr>
          <w:rFonts w:ascii="宋体" w:hAnsi="宋体" w:cs="宋体" w:eastAsia="宋体" w:hint="default"/>
          <w:sz w:val="16"/>
          <w:szCs w:val="16"/>
        </w:rPr>
        <w:sectPr>
          <w:headerReference w:type="default" r:id="rId324"/>
          <w:headerReference w:type="even" r:id="rId325"/>
          <w:pgSz w:w="11910" w:h="16160"/>
          <w:pgMar w:header="2796" w:footer="298" w:top="344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48、所得税（续）</w:t>
      </w:r>
    </w:p>
    <w:p>
      <w:pPr>
        <w:spacing w:line="240" w:lineRule="auto" w:before="12"/>
        <w:rPr>
          <w:rFonts w:ascii="宋体" w:hAnsi="宋体" w:cs="宋体" w:eastAsia="宋体" w:hint="default"/>
          <w:sz w:val="17"/>
          <w:szCs w:val="17"/>
        </w:rPr>
      </w:pPr>
    </w:p>
    <w:p>
      <w:pPr>
        <w:pStyle w:val="BodyText"/>
        <w:tabs>
          <w:tab w:pos="833" w:val="left" w:leader="none"/>
        </w:tabs>
        <w:spacing w:line="480" w:lineRule="auto"/>
        <w:ind w:left="453" w:right="4569" w:hanging="341"/>
        <w:jc w:val="left"/>
      </w:pPr>
      <w:r>
        <w:rPr/>
        <w:t>(c)</w:t>
      </w:r>
      <w:r>
        <w:rPr>
          <w:spacing w:val="-16"/>
        </w:rPr>
        <w:t> </w:t>
      </w:r>
      <w:r>
        <w:rPr/>
        <w:t>递延所得税资产及负债包括以下暂时性差异对所得税的影响：</w:t>
      </w:r>
      <w:r>
        <w:rPr/>
        <w:t> </w:t>
      </w:r>
      <w:r>
        <w:rPr>
          <w:w w:val="50"/>
        </w:rPr>
        <w:t>(i)</w:t>
        <w:tab/>
      </w:r>
      <w:r>
        <w:rPr/>
        <w:t>递延所得税资产：</w:t>
      </w:r>
    </w:p>
    <w:p>
      <w:pPr>
        <w:spacing w:line="240" w:lineRule="auto" w:before="8"/>
        <w:rPr>
          <w:rFonts w:ascii="宋体" w:hAnsi="宋体" w:cs="宋体" w:eastAsia="宋体" w:hint="default"/>
          <w:sz w:val="3"/>
          <w:szCs w:val="3"/>
        </w:rPr>
      </w:pPr>
    </w:p>
    <w:tbl>
      <w:tblPr>
        <w:tblW w:w="0" w:type="auto"/>
        <w:jc w:val="left"/>
        <w:tblInd w:w="433" w:type="dxa"/>
        <w:tblLayout w:type="fixed"/>
        <w:tblCellMar>
          <w:top w:w="0" w:type="dxa"/>
          <w:left w:w="0" w:type="dxa"/>
          <w:bottom w:w="0" w:type="dxa"/>
          <w:right w:w="0" w:type="dxa"/>
        </w:tblCellMar>
        <w:tblLook w:val="01E0"/>
      </w:tblPr>
      <w:tblGrid>
        <w:gridCol w:w="2488"/>
        <w:gridCol w:w="607"/>
        <w:gridCol w:w="1648"/>
        <w:gridCol w:w="1447"/>
        <w:gridCol w:w="1648"/>
        <w:gridCol w:w="1447"/>
      </w:tblGrid>
      <w:tr>
        <w:trPr>
          <w:trHeight w:val="342" w:hRule="exact"/>
        </w:trPr>
        <w:tc>
          <w:tcPr>
            <w:tcW w:w="2488"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16"/>
                <w:szCs w:val="16"/>
              </w:rPr>
            </w:pPr>
            <w:r>
              <w:rPr>
                <w:rFonts w:ascii="宋体" w:hAnsi="宋体" w:cs="宋体" w:eastAsia="宋体" w:hint="default"/>
                <w:sz w:val="16"/>
                <w:szCs w:val="16"/>
              </w:rPr>
              <w:t>同一纳税实体递延所得税资产：</w:t>
            </w:r>
          </w:p>
        </w:tc>
        <w:tc>
          <w:tcPr>
            <w:tcW w:w="607"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34" w:right="0"/>
              <w:jc w:val="left"/>
              <w:rPr>
                <w:rFonts w:ascii="宋体" w:hAnsi="宋体" w:cs="宋体" w:eastAsia="宋体" w:hint="default"/>
                <w:sz w:val="16"/>
                <w:szCs w:val="16"/>
              </w:rPr>
            </w:pPr>
            <w:r>
              <w:rPr>
                <w:rFonts w:ascii="宋体" w:hAnsi="宋体" w:cs="宋体" w:eastAsia="宋体" w:hint="default"/>
                <w:sz w:val="16"/>
                <w:szCs w:val="16"/>
              </w:rPr>
              <w:t>注释</w:t>
            </w:r>
          </w:p>
        </w:tc>
        <w:tc>
          <w:tcPr>
            <w:tcW w:w="3094" w:type="dxa"/>
            <w:gridSpan w:val="2"/>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852"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3094"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7"/>
              <w:ind w:left="852"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4" w:hRule="exact"/>
        </w:trPr>
        <w:tc>
          <w:tcPr>
            <w:tcW w:w="2488" w:type="dxa"/>
            <w:vMerge/>
            <w:tcBorders>
              <w:left w:val="nil" w:sz="6" w:space="0" w:color="auto"/>
              <w:bottom w:val="single" w:sz="16" w:space="0" w:color="9F8958"/>
              <w:right w:val="nil" w:sz="6" w:space="0" w:color="auto"/>
            </w:tcBorders>
          </w:tcPr>
          <w:p>
            <w:pPr/>
          </w:p>
        </w:tc>
        <w:tc>
          <w:tcPr>
            <w:tcW w:w="607" w:type="dxa"/>
            <w:vMerge/>
            <w:tcBorders>
              <w:left w:val="nil" w:sz="6" w:space="0" w:color="auto"/>
              <w:bottom w:val="single" w:sz="16" w:space="0" w:color="9F8958"/>
              <w:right w:val="nil" w:sz="6" w:space="0" w:color="auto"/>
            </w:tcBorders>
          </w:tcPr>
          <w:p>
            <w:pPr/>
          </w:p>
        </w:tc>
        <w:tc>
          <w:tcPr>
            <w:tcW w:w="164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hAnsi="宋体" w:cs="宋体" w:eastAsia="宋体" w:hint="default"/>
                <w:sz w:val="16"/>
                <w:szCs w:val="16"/>
              </w:rPr>
              <w:t>可抵扣暂时性差异</w:t>
            </w:r>
          </w:p>
        </w:tc>
        <w:tc>
          <w:tcPr>
            <w:tcW w:w="144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递延所得税资产</w:t>
            </w:r>
          </w:p>
        </w:tc>
        <w:tc>
          <w:tcPr>
            <w:tcW w:w="164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11"/>
              <w:jc w:val="right"/>
              <w:rPr>
                <w:rFonts w:ascii="宋体" w:hAnsi="宋体" w:cs="宋体" w:eastAsia="宋体" w:hint="default"/>
                <w:sz w:val="16"/>
                <w:szCs w:val="16"/>
              </w:rPr>
            </w:pPr>
            <w:r>
              <w:rPr>
                <w:rFonts w:ascii="宋体" w:hAnsi="宋体" w:cs="宋体" w:eastAsia="宋体" w:hint="default"/>
                <w:sz w:val="16"/>
                <w:szCs w:val="16"/>
              </w:rPr>
              <w:t>可抵扣暂时性差异</w:t>
            </w:r>
          </w:p>
        </w:tc>
        <w:tc>
          <w:tcPr>
            <w:tcW w:w="144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递延所得税资产</w:t>
            </w:r>
          </w:p>
        </w:tc>
      </w:tr>
      <w:tr>
        <w:trPr>
          <w:trHeight w:val="362" w:hRule="exact"/>
        </w:trPr>
        <w:tc>
          <w:tcPr>
            <w:tcW w:w="248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固定资产及在建工程减值准备</w:t>
            </w:r>
          </w:p>
        </w:tc>
        <w:tc>
          <w:tcPr>
            <w:tcW w:w="60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20" w:right="0"/>
              <w:jc w:val="center"/>
              <w:rPr>
                <w:rFonts w:ascii="宋体" w:hAnsi="宋体" w:cs="宋体" w:eastAsia="宋体" w:hint="default"/>
                <w:sz w:val="16"/>
                <w:szCs w:val="16"/>
              </w:rPr>
            </w:pPr>
            <w:r>
              <w:rPr>
                <w:rFonts w:ascii="宋体"/>
                <w:w w:val="85"/>
                <w:sz w:val="16"/>
              </w:rPr>
              <w:t>(2)</w:t>
            </w:r>
            <w:r>
              <w:rPr>
                <w:rFonts w:ascii="宋体"/>
                <w:sz w:val="16"/>
              </w:rPr>
            </w:r>
          </w:p>
        </w:tc>
        <w:tc>
          <w:tcPr>
            <w:tcW w:w="164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w w:val="95"/>
                <w:sz w:val="16"/>
              </w:rPr>
              <w:t>85,166,105</w:t>
            </w:r>
            <w:r>
              <w:rPr>
                <w:rFonts w:ascii="宋体"/>
                <w:sz w:val="16"/>
              </w:rPr>
            </w:r>
          </w:p>
        </w:tc>
        <w:tc>
          <w:tcPr>
            <w:tcW w:w="144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20,293,953</w:t>
            </w:r>
            <w:r>
              <w:rPr>
                <w:rFonts w:ascii="宋体"/>
                <w:sz w:val="16"/>
              </w:rPr>
            </w:r>
          </w:p>
        </w:tc>
        <w:tc>
          <w:tcPr>
            <w:tcW w:w="164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11"/>
              <w:jc w:val="right"/>
              <w:rPr>
                <w:rFonts w:ascii="宋体" w:hAnsi="宋体" w:cs="宋体" w:eastAsia="宋体" w:hint="default"/>
                <w:sz w:val="16"/>
                <w:szCs w:val="16"/>
              </w:rPr>
            </w:pPr>
            <w:r>
              <w:rPr>
                <w:rFonts w:ascii="宋体"/>
                <w:w w:val="95"/>
                <w:sz w:val="16"/>
              </w:rPr>
              <w:t>70,441,995</w:t>
            </w:r>
            <w:r>
              <w:rPr>
                <w:rFonts w:ascii="宋体"/>
                <w:sz w:val="16"/>
              </w:rPr>
            </w:r>
          </w:p>
        </w:tc>
        <w:tc>
          <w:tcPr>
            <w:tcW w:w="144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16,612,926</w:t>
            </w:r>
            <w:r>
              <w:rPr>
                <w:rFonts w:ascii="宋体"/>
                <w:sz w:val="16"/>
              </w:rPr>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存货跌价准备</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20" w:right="0"/>
              <w:jc w:val="center"/>
              <w:rPr>
                <w:rFonts w:ascii="宋体" w:hAnsi="宋体" w:cs="宋体" w:eastAsia="宋体" w:hint="default"/>
                <w:sz w:val="16"/>
                <w:szCs w:val="16"/>
              </w:rPr>
            </w:pPr>
            <w:r>
              <w:rPr>
                <w:rFonts w:ascii="宋体"/>
                <w:w w:val="85"/>
                <w:sz w:val="16"/>
              </w:rPr>
              <w:t>(2)</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5"/>
                <w:sz w:val="16"/>
              </w:rPr>
              <w:t>20,336,312</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4,744,859</w:t>
            </w:r>
            <w:r>
              <w:rPr>
                <w:rFonts w:ascii="宋体"/>
                <w:sz w:val="16"/>
              </w:rPr>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5"/>
                <w:sz w:val="16"/>
              </w:rPr>
              <w:t>35,593,747</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8,550,519</w:t>
            </w:r>
            <w:r>
              <w:rPr>
                <w:rFonts w:ascii="宋体"/>
                <w:sz w:val="16"/>
              </w:rPr>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应收款项坏账准备</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20" w:right="0"/>
              <w:jc w:val="center"/>
              <w:rPr>
                <w:rFonts w:ascii="宋体" w:hAnsi="宋体" w:cs="宋体" w:eastAsia="宋体" w:hint="default"/>
                <w:sz w:val="16"/>
                <w:szCs w:val="16"/>
              </w:rPr>
            </w:pPr>
            <w:r>
              <w:rPr>
                <w:rFonts w:ascii="宋体"/>
                <w:w w:val="85"/>
                <w:sz w:val="16"/>
              </w:rPr>
              <w:t>(3)</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5"/>
                <w:sz w:val="16"/>
              </w:rPr>
              <w:t>7,003,844,373</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1,709,537,474</w:t>
            </w:r>
            <w:r>
              <w:rPr>
                <w:rFonts w:ascii="宋体"/>
                <w:sz w:val="16"/>
              </w:rPr>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5"/>
                <w:sz w:val="16"/>
              </w:rPr>
              <w:t>6,461,270,090</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1,599,335,250</w:t>
            </w:r>
            <w:r>
              <w:rPr>
                <w:rFonts w:ascii="宋体"/>
                <w:sz w:val="16"/>
              </w:rPr>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尚未抵扣的预提费用</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20" w:right="0"/>
              <w:jc w:val="center"/>
              <w:rPr>
                <w:rFonts w:ascii="宋体" w:hAnsi="宋体" w:cs="宋体" w:eastAsia="宋体" w:hint="default"/>
                <w:sz w:val="16"/>
                <w:szCs w:val="16"/>
              </w:rPr>
            </w:pPr>
            <w:r>
              <w:rPr>
                <w:rFonts w:ascii="宋体"/>
                <w:w w:val="85"/>
                <w:sz w:val="16"/>
              </w:rPr>
              <w:t>(4)</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5"/>
                <w:sz w:val="16"/>
              </w:rPr>
              <w:t>12,548,578,545</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3,135,550,178</w:t>
            </w:r>
            <w:r>
              <w:rPr>
                <w:rFonts w:ascii="宋体"/>
                <w:sz w:val="16"/>
              </w:rPr>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5"/>
                <w:sz w:val="16"/>
              </w:rPr>
              <w:t>10,038,214,993</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2,509,553,748</w:t>
            </w:r>
            <w:r>
              <w:rPr>
                <w:rFonts w:ascii="宋体"/>
                <w:sz w:val="16"/>
              </w:rPr>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递延收益</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合同负债</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20" w:right="0"/>
              <w:jc w:val="center"/>
              <w:rPr>
                <w:rFonts w:ascii="宋体" w:hAnsi="宋体" w:cs="宋体" w:eastAsia="宋体" w:hint="default"/>
                <w:sz w:val="16"/>
                <w:szCs w:val="16"/>
              </w:rPr>
            </w:pPr>
            <w:r>
              <w:rPr>
                <w:rFonts w:ascii="宋体"/>
                <w:w w:val="85"/>
                <w:sz w:val="16"/>
              </w:rPr>
              <w:t>(5)</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5"/>
                <w:sz w:val="16"/>
              </w:rPr>
              <w:t>3,017,300,427</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751,596,339</w:t>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5"/>
                <w:sz w:val="16"/>
              </w:rPr>
              <w:t>2,250,529,786</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559,960,494</w:t>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已计提尚未发放的职工薪酬</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19" w:right="0"/>
              <w:jc w:val="center"/>
              <w:rPr>
                <w:rFonts w:ascii="宋体" w:hAnsi="宋体" w:cs="宋体" w:eastAsia="宋体" w:hint="default"/>
                <w:sz w:val="16"/>
                <w:szCs w:val="16"/>
              </w:rPr>
            </w:pPr>
            <w:r>
              <w:rPr>
                <w:rFonts w:ascii="宋体"/>
                <w:w w:val="85"/>
                <w:sz w:val="16"/>
              </w:rPr>
              <w:t>(6)</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3"/>
              <w:jc w:val="right"/>
              <w:rPr>
                <w:rFonts w:ascii="宋体" w:hAnsi="宋体" w:cs="宋体" w:eastAsia="宋体" w:hint="default"/>
                <w:sz w:val="16"/>
                <w:szCs w:val="16"/>
              </w:rPr>
            </w:pPr>
            <w:r>
              <w:rPr>
                <w:rFonts w:ascii="宋体"/>
                <w:sz w:val="16"/>
              </w:rPr>
              <w:t>947,512,277</w:t>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235,115,527</w:t>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2"/>
              <w:jc w:val="right"/>
              <w:rPr>
                <w:rFonts w:ascii="宋体" w:hAnsi="宋体" w:cs="宋体" w:eastAsia="宋体" w:hint="default"/>
                <w:sz w:val="16"/>
                <w:szCs w:val="16"/>
              </w:rPr>
            </w:pPr>
            <w:r>
              <w:rPr>
                <w:rFonts w:ascii="宋体"/>
                <w:sz w:val="16"/>
              </w:rPr>
              <w:t>175,021,516</w:t>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42,541,447</w:t>
            </w:r>
            <w:r>
              <w:rPr>
                <w:rFonts w:ascii="宋体"/>
                <w:sz w:val="16"/>
              </w:rPr>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集团内部购销业务未实现净利润</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19" w:right="0"/>
              <w:jc w:val="center"/>
              <w:rPr>
                <w:rFonts w:ascii="宋体" w:hAnsi="宋体" w:cs="宋体" w:eastAsia="宋体" w:hint="default"/>
                <w:sz w:val="16"/>
                <w:szCs w:val="16"/>
              </w:rPr>
            </w:pPr>
            <w:r>
              <w:rPr>
                <w:rFonts w:ascii="宋体"/>
                <w:w w:val="85"/>
                <w:sz w:val="16"/>
              </w:rPr>
              <w:t>(7)</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2"/>
              <w:jc w:val="right"/>
              <w:rPr>
                <w:rFonts w:ascii="宋体" w:hAnsi="宋体" w:cs="宋体" w:eastAsia="宋体" w:hint="default"/>
                <w:sz w:val="16"/>
                <w:szCs w:val="16"/>
              </w:rPr>
            </w:pPr>
            <w:r>
              <w:rPr>
                <w:rFonts w:ascii="宋体"/>
                <w:sz w:val="16"/>
              </w:rPr>
              <w:t>613,963,083</w:t>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153,384,611</w:t>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2"/>
              <w:jc w:val="right"/>
              <w:rPr>
                <w:rFonts w:ascii="宋体" w:hAnsi="宋体" w:cs="宋体" w:eastAsia="宋体" w:hint="default"/>
                <w:sz w:val="16"/>
                <w:szCs w:val="16"/>
              </w:rPr>
            </w:pPr>
            <w:r>
              <w:rPr>
                <w:rFonts w:ascii="宋体"/>
                <w:sz w:val="16"/>
              </w:rPr>
              <w:t>481,656,893</w:t>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120,414,223</w:t>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与联营企业交易未实现净利润</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19" w:right="0"/>
              <w:jc w:val="center"/>
              <w:rPr>
                <w:rFonts w:ascii="宋体" w:hAnsi="宋体" w:cs="宋体" w:eastAsia="宋体" w:hint="default"/>
                <w:sz w:val="16"/>
                <w:szCs w:val="16"/>
              </w:rPr>
            </w:pPr>
            <w:r>
              <w:rPr>
                <w:rFonts w:ascii="宋体"/>
                <w:w w:val="95"/>
                <w:sz w:val="16"/>
              </w:rPr>
              <w:t>(11)</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2"/>
              <w:jc w:val="right"/>
              <w:rPr>
                <w:rFonts w:ascii="宋体" w:hAnsi="宋体" w:cs="宋体" w:eastAsia="宋体" w:hint="default"/>
                <w:sz w:val="16"/>
                <w:szCs w:val="16"/>
              </w:rPr>
            </w:pPr>
            <w:r>
              <w:rPr>
                <w:rFonts w:ascii="宋体"/>
                <w:w w:val="95"/>
                <w:sz w:val="16"/>
              </w:rPr>
              <w:t>1,779,872,656</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3"/>
              <w:jc w:val="right"/>
              <w:rPr>
                <w:rFonts w:ascii="宋体" w:hAnsi="宋体" w:cs="宋体" w:eastAsia="宋体" w:hint="default"/>
                <w:sz w:val="16"/>
                <w:szCs w:val="16"/>
              </w:rPr>
            </w:pPr>
            <w:r>
              <w:rPr>
                <w:rFonts w:ascii="宋体"/>
                <w:sz w:val="16"/>
              </w:rPr>
              <w:t>444,968,164</w:t>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2"/>
              <w:jc w:val="right"/>
              <w:rPr>
                <w:rFonts w:ascii="宋体" w:hAnsi="宋体" w:cs="宋体" w:eastAsia="宋体" w:hint="default"/>
                <w:sz w:val="16"/>
                <w:szCs w:val="16"/>
              </w:rPr>
            </w:pPr>
            <w:r>
              <w:rPr>
                <w:rFonts w:ascii="宋体"/>
                <w:w w:val="95"/>
                <w:sz w:val="16"/>
              </w:rPr>
              <w:t>2,783,364,187</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sz w:val="16"/>
              </w:rPr>
              <w:t>695,841,047</w:t>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无形资产摊销差异</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18" w:right="0"/>
              <w:jc w:val="center"/>
              <w:rPr>
                <w:rFonts w:ascii="宋体" w:hAnsi="宋体" w:cs="宋体" w:eastAsia="宋体" w:hint="default"/>
                <w:sz w:val="16"/>
                <w:szCs w:val="16"/>
              </w:rPr>
            </w:pPr>
            <w:r>
              <w:rPr>
                <w:rFonts w:ascii="宋体"/>
                <w:w w:val="95"/>
                <w:sz w:val="16"/>
              </w:rPr>
              <w:t>(12)</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2"/>
              <w:jc w:val="right"/>
              <w:rPr>
                <w:rFonts w:ascii="宋体" w:hAnsi="宋体" w:cs="宋体" w:eastAsia="宋体" w:hint="default"/>
                <w:sz w:val="16"/>
                <w:szCs w:val="16"/>
              </w:rPr>
            </w:pPr>
            <w:r>
              <w:rPr>
                <w:rFonts w:ascii="宋体"/>
                <w:w w:val="95"/>
                <w:sz w:val="16"/>
              </w:rPr>
              <w:t>1,684,502,575</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sz w:val="16"/>
              </w:rPr>
              <w:t>416,387,505</w:t>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2"/>
              <w:jc w:val="right"/>
              <w:rPr>
                <w:rFonts w:ascii="宋体" w:hAnsi="宋体" w:cs="宋体" w:eastAsia="宋体" w:hint="default"/>
                <w:sz w:val="16"/>
                <w:szCs w:val="16"/>
              </w:rPr>
            </w:pPr>
            <w:r>
              <w:rPr>
                <w:rFonts w:ascii="宋体"/>
                <w:w w:val="95"/>
                <w:sz w:val="16"/>
              </w:rPr>
              <w:t>1,692,213,324</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sz w:val="16"/>
              </w:rPr>
              <w:t>420,856,409</w:t>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可抵扣亏损</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18" w:right="0"/>
              <w:jc w:val="center"/>
              <w:rPr>
                <w:rFonts w:ascii="宋体" w:hAnsi="宋体" w:cs="宋体" w:eastAsia="宋体" w:hint="default"/>
                <w:sz w:val="16"/>
                <w:szCs w:val="16"/>
              </w:rPr>
            </w:pPr>
            <w:r>
              <w:rPr>
                <w:rFonts w:ascii="宋体"/>
                <w:w w:val="95"/>
                <w:sz w:val="16"/>
              </w:rPr>
              <w:t>(15)</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2"/>
              <w:jc w:val="right"/>
              <w:rPr>
                <w:rFonts w:ascii="宋体" w:hAnsi="宋体" w:cs="宋体" w:eastAsia="宋体" w:hint="default"/>
                <w:sz w:val="16"/>
                <w:szCs w:val="16"/>
              </w:rPr>
            </w:pPr>
            <w:r>
              <w:rPr>
                <w:rFonts w:ascii="宋体"/>
                <w:w w:val="95"/>
                <w:sz w:val="16"/>
              </w:rPr>
              <w:t>5,216,016,472</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95"/>
                <w:sz w:val="16"/>
              </w:rPr>
              <w:t>1,304,004,118</w:t>
            </w:r>
            <w:r>
              <w:rPr>
                <w:rFonts w:ascii="宋体"/>
                <w:sz w:val="16"/>
              </w:rPr>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2"/>
              <w:jc w:val="right"/>
              <w:rPr>
                <w:rFonts w:ascii="宋体" w:hAnsi="宋体" w:cs="宋体" w:eastAsia="宋体" w:hint="default"/>
                <w:sz w:val="16"/>
                <w:szCs w:val="16"/>
              </w:rPr>
            </w:pPr>
            <w:r>
              <w:rPr>
                <w:rFonts w:ascii="宋体"/>
                <w:w w:val="95"/>
                <w:sz w:val="16"/>
              </w:rPr>
              <w:t>9,002,933,989</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95"/>
                <w:sz w:val="16"/>
              </w:rPr>
              <w:t>2,244,748,472</w:t>
            </w:r>
            <w:r>
              <w:rPr>
                <w:rFonts w:ascii="宋体"/>
                <w:sz w:val="16"/>
              </w:rPr>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607" w:type="dxa"/>
            <w:tcBorders>
              <w:top w:val="nil" w:sz="6" w:space="0" w:color="auto"/>
              <w:left w:val="nil" w:sz="6" w:space="0" w:color="auto"/>
              <w:bottom w:val="nil" w:sz="6" w:space="0" w:color="auto"/>
              <w:right w:val="nil" w:sz="6" w:space="0" w:color="auto"/>
            </w:tcBorders>
          </w:tcPr>
          <w:p>
            <w:pP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2"/>
              <w:jc w:val="right"/>
              <w:rPr>
                <w:rFonts w:ascii="宋体" w:hAnsi="宋体" w:cs="宋体" w:eastAsia="宋体" w:hint="default"/>
                <w:sz w:val="16"/>
                <w:szCs w:val="16"/>
              </w:rPr>
            </w:pPr>
            <w:r>
              <w:rPr>
                <w:rFonts w:ascii="宋体"/>
                <w:w w:val="95"/>
                <w:sz w:val="16"/>
              </w:rPr>
              <w:t>1,594,220,501</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sz w:val="16"/>
              </w:rPr>
              <w:t>394,658,782</w:t>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2"/>
              <w:jc w:val="right"/>
              <w:rPr>
                <w:rFonts w:ascii="宋体" w:hAnsi="宋体" w:cs="宋体" w:eastAsia="宋体" w:hint="default"/>
                <w:sz w:val="16"/>
                <w:szCs w:val="16"/>
              </w:rPr>
            </w:pPr>
            <w:r>
              <w:rPr>
                <w:rFonts w:ascii="宋体"/>
                <w:w w:val="95"/>
                <w:sz w:val="16"/>
              </w:rPr>
              <w:t>3,900,404,044</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sz w:val="16"/>
              </w:rPr>
              <w:t>970,030,815</w:t>
            </w:r>
          </w:p>
        </w:tc>
      </w:tr>
      <w:tr>
        <w:trPr>
          <w:trHeight w:val="330" w:hRule="exact"/>
        </w:trPr>
        <w:tc>
          <w:tcPr>
            <w:tcW w:w="2488" w:type="dxa"/>
            <w:tcBorders>
              <w:top w:val="nil" w:sz="6" w:space="0" w:color="auto"/>
              <w:left w:val="nil" w:sz="6" w:space="0" w:color="auto"/>
              <w:bottom w:val="single" w:sz="6" w:space="0" w:color="000000"/>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607" w:type="dxa"/>
            <w:tcBorders>
              <w:top w:val="nil" w:sz="6" w:space="0" w:color="auto"/>
              <w:left w:val="nil" w:sz="6" w:space="0" w:color="auto"/>
              <w:bottom w:val="single" w:sz="6" w:space="0" w:color="000000"/>
              <w:right w:val="nil" w:sz="6" w:space="0" w:color="auto"/>
            </w:tcBorders>
          </w:tcPr>
          <w:p>
            <w:pPr/>
          </w:p>
        </w:tc>
        <w:tc>
          <w:tcPr>
            <w:tcW w:w="164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212"/>
              <w:jc w:val="right"/>
              <w:rPr>
                <w:rFonts w:ascii="宋体" w:hAnsi="宋体" w:cs="宋体" w:eastAsia="宋体" w:hint="default"/>
                <w:sz w:val="16"/>
                <w:szCs w:val="16"/>
              </w:rPr>
            </w:pPr>
            <w:r>
              <w:rPr>
                <w:rFonts w:ascii="宋体"/>
                <w:w w:val="95"/>
                <w:sz w:val="16"/>
              </w:rPr>
              <w:t>34,511,313,326</w:t>
            </w:r>
            <w:r>
              <w:rPr>
                <w:rFonts w:ascii="宋体"/>
                <w:sz w:val="16"/>
              </w:rPr>
            </w:r>
          </w:p>
        </w:tc>
        <w:tc>
          <w:tcPr>
            <w:tcW w:w="144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95"/>
                <w:sz w:val="16"/>
              </w:rPr>
              <w:t>8,570,241,510</w:t>
            </w:r>
            <w:r>
              <w:rPr>
                <w:rFonts w:ascii="宋体"/>
                <w:sz w:val="16"/>
              </w:rPr>
            </w:r>
          </w:p>
        </w:tc>
        <w:tc>
          <w:tcPr>
            <w:tcW w:w="1648" w:type="dxa"/>
            <w:tcBorders>
              <w:top w:val="nil" w:sz="6" w:space="0" w:color="auto"/>
              <w:left w:val="nil" w:sz="6" w:space="0" w:color="auto"/>
              <w:bottom w:val="single" w:sz="6" w:space="0" w:color="000000"/>
              <w:right w:val="nil" w:sz="6" w:space="0" w:color="auto"/>
            </w:tcBorders>
          </w:tcPr>
          <w:p>
            <w:pPr>
              <w:pStyle w:val="TableParagraph"/>
              <w:spacing w:line="205" w:lineRule="exact"/>
              <w:ind w:right="212"/>
              <w:jc w:val="right"/>
              <w:rPr>
                <w:rFonts w:ascii="宋体" w:hAnsi="宋体" w:cs="宋体" w:eastAsia="宋体" w:hint="default"/>
                <w:sz w:val="16"/>
                <w:szCs w:val="16"/>
              </w:rPr>
            </w:pPr>
            <w:r>
              <w:rPr>
                <w:rFonts w:ascii="宋体"/>
                <w:w w:val="95"/>
                <w:sz w:val="16"/>
              </w:rPr>
              <w:t>36,891,644,564</w:t>
            </w:r>
            <w:r>
              <w:rPr>
                <w:rFonts w:ascii="宋体"/>
                <w:sz w:val="16"/>
              </w:rPr>
            </w:r>
          </w:p>
        </w:tc>
        <w:tc>
          <w:tcPr>
            <w:tcW w:w="1447" w:type="dxa"/>
            <w:tcBorders>
              <w:top w:val="nil" w:sz="6" w:space="0" w:color="auto"/>
              <w:left w:val="nil" w:sz="6" w:space="0" w:color="auto"/>
              <w:bottom w:val="single" w:sz="6" w:space="0" w:color="000000"/>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95"/>
                <w:sz w:val="16"/>
              </w:rPr>
              <w:t>9,188,445,350</w:t>
            </w:r>
            <w:r>
              <w:rPr>
                <w:rFonts w:ascii="宋体"/>
                <w:sz w:val="16"/>
              </w:rPr>
            </w:r>
          </w:p>
        </w:tc>
      </w:tr>
      <w:tr>
        <w:trPr>
          <w:trHeight w:val="414" w:hRule="exact"/>
        </w:trPr>
        <w:tc>
          <w:tcPr>
            <w:tcW w:w="3094"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同一纳税实体递延所得税负债：</w:t>
            </w:r>
          </w:p>
        </w:tc>
        <w:tc>
          <w:tcPr>
            <w:tcW w:w="164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hAnsi="宋体" w:cs="宋体" w:eastAsia="宋体" w:hint="default"/>
                <w:sz w:val="16"/>
                <w:szCs w:val="16"/>
              </w:rPr>
              <w:t>应纳税暂时性差异</w:t>
            </w:r>
          </w:p>
        </w:tc>
        <w:tc>
          <w:tcPr>
            <w:tcW w:w="144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递延所得税负债</w:t>
            </w:r>
          </w:p>
        </w:tc>
        <w:tc>
          <w:tcPr>
            <w:tcW w:w="164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11"/>
              <w:jc w:val="right"/>
              <w:rPr>
                <w:rFonts w:ascii="宋体" w:hAnsi="宋体" w:cs="宋体" w:eastAsia="宋体" w:hint="default"/>
                <w:sz w:val="16"/>
                <w:szCs w:val="16"/>
              </w:rPr>
            </w:pPr>
            <w:r>
              <w:rPr>
                <w:rFonts w:ascii="宋体" w:hAnsi="宋体" w:cs="宋体" w:eastAsia="宋体" w:hint="default"/>
                <w:sz w:val="16"/>
                <w:szCs w:val="16"/>
              </w:rPr>
              <w:t>应纳税暂时性差异</w:t>
            </w:r>
          </w:p>
        </w:tc>
        <w:tc>
          <w:tcPr>
            <w:tcW w:w="144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递延所得税负债</w:t>
            </w:r>
          </w:p>
        </w:tc>
      </w:tr>
      <w:tr>
        <w:trPr>
          <w:trHeight w:val="362" w:hRule="exact"/>
        </w:trPr>
        <w:tc>
          <w:tcPr>
            <w:tcW w:w="248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增量佣金支出</w:t>
            </w:r>
          </w:p>
        </w:tc>
        <w:tc>
          <w:tcPr>
            <w:tcW w:w="60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20" w:right="0"/>
              <w:jc w:val="center"/>
              <w:rPr>
                <w:rFonts w:ascii="宋体" w:hAnsi="宋体" w:cs="宋体" w:eastAsia="宋体" w:hint="default"/>
                <w:sz w:val="16"/>
                <w:szCs w:val="16"/>
              </w:rPr>
            </w:pPr>
            <w:r>
              <w:rPr>
                <w:rFonts w:ascii="宋体"/>
                <w:w w:val="95"/>
                <w:sz w:val="16"/>
              </w:rPr>
              <w:t>(16)</w:t>
            </w:r>
            <w:r>
              <w:rPr>
                <w:rFonts w:ascii="宋体"/>
                <w:sz w:val="16"/>
              </w:rPr>
            </w:r>
          </w:p>
        </w:tc>
        <w:tc>
          <w:tcPr>
            <w:tcW w:w="164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w w:val="90"/>
                <w:sz w:val="16"/>
              </w:rPr>
              <w:t>(914,332,880)</w:t>
            </w:r>
            <w:r>
              <w:rPr>
                <w:rFonts w:ascii="宋体"/>
                <w:sz w:val="16"/>
              </w:rPr>
            </w:r>
          </w:p>
        </w:tc>
        <w:tc>
          <w:tcPr>
            <w:tcW w:w="144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(228,583,220)</w:t>
            </w:r>
            <w:r>
              <w:rPr>
                <w:rFonts w:ascii="宋体"/>
                <w:sz w:val="16"/>
              </w:rPr>
            </w:r>
          </w:p>
        </w:tc>
        <w:tc>
          <w:tcPr>
            <w:tcW w:w="164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11"/>
              <w:jc w:val="right"/>
              <w:rPr>
                <w:rFonts w:ascii="宋体" w:hAnsi="宋体" w:cs="宋体" w:eastAsia="宋体" w:hint="default"/>
                <w:sz w:val="16"/>
                <w:szCs w:val="16"/>
              </w:rPr>
            </w:pPr>
            <w:r>
              <w:rPr>
                <w:rFonts w:ascii="宋体" w:hAnsi="宋体" w:cs="宋体" w:eastAsia="宋体" w:hint="default"/>
                <w:sz w:val="16"/>
                <w:szCs w:val="16"/>
              </w:rPr>
              <w:t>不适用</w:t>
            </w:r>
          </w:p>
        </w:tc>
        <w:tc>
          <w:tcPr>
            <w:tcW w:w="144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铁塔资产转让所得</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20" w:right="0"/>
              <w:jc w:val="center"/>
              <w:rPr>
                <w:rFonts w:ascii="宋体" w:hAnsi="宋体" w:cs="宋体" w:eastAsia="宋体" w:hint="default"/>
                <w:sz w:val="16"/>
                <w:szCs w:val="16"/>
              </w:rPr>
            </w:pPr>
            <w:r>
              <w:rPr>
                <w:rFonts w:ascii="宋体"/>
                <w:w w:val="95"/>
                <w:sz w:val="16"/>
              </w:rPr>
              <w:t>(14)</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0"/>
                <w:sz w:val="16"/>
              </w:rPr>
              <w:t>(1,490,614,948)</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(372,653,737)</w:t>
            </w:r>
            <w:r>
              <w:rPr>
                <w:rFonts w:ascii="宋体"/>
                <w:sz w:val="16"/>
              </w:rPr>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0"/>
                <w:sz w:val="16"/>
              </w:rPr>
              <w:t>(2,981,229,894)</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(745,307,474)</w:t>
            </w:r>
            <w:r>
              <w:rPr>
                <w:rFonts w:ascii="宋体"/>
                <w:sz w:val="16"/>
              </w:rPr>
            </w:r>
          </w:p>
        </w:tc>
      </w:tr>
      <w:tr>
        <w:trPr>
          <w:trHeight w:val="273" w:hRule="exact"/>
        </w:trPr>
        <w:tc>
          <w:tcPr>
            <w:tcW w:w="248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固定资产加速折旧</w:t>
            </w:r>
          </w:p>
        </w:tc>
        <w:tc>
          <w:tcPr>
            <w:tcW w:w="607" w:type="dxa"/>
            <w:tcBorders>
              <w:top w:val="nil" w:sz="6" w:space="0" w:color="auto"/>
              <w:left w:val="nil" w:sz="6" w:space="0" w:color="auto"/>
              <w:bottom w:val="nil" w:sz="6" w:space="0" w:color="auto"/>
              <w:right w:val="nil" w:sz="6" w:space="0" w:color="auto"/>
            </w:tcBorders>
          </w:tcPr>
          <w:p>
            <w:pPr>
              <w:pStyle w:val="TableParagraph"/>
              <w:spacing w:line="205" w:lineRule="exact"/>
              <w:ind w:left="20" w:right="0"/>
              <w:jc w:val="center"/>
              <w:rPr>
                <w:rFonts w:ascii="宋体" w:hAnsi="宋体" w:cs="宋体" w:eastAsia="宋体" w:hint="default"/>
                <w:sz w:val="16"/>
                <w:szCs w:val="16"/>
              </w:rPr>
            </w:pPr>
            <w:r>
              <w:rPr>
                <w:rFonts w:ascii="宋体"/>
                <w:w w:val="95"/>
                <w:sz w:val="16"/>
              </w:rPr>
              <w:t>(13)</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0"/>
                <w:sz w:val="16"/>
              </w:rPr>
              <w:t>(23,681,673,148)</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(5,920,418,287)</w:t>
            </w:r>
            <w:r>
              <w:rPr>
                <w:rFonts w:ascii="宋体"/>
                <w:sz w:val="16"/>
              </w:rPr>
            </w:r>
          </w:p>
        </w:tc>
        <w:tc>
          <w:tcPr>
            <w:tcW w:w="1648" w:type="dxa"/>
            <w:tcBorders>
              <w:top w:val="nil" w:sz="6" w:space="0" w:color="auto"/>
              <w:left w:val="nil" w:sz="6" w:space="0" w:color="auto"/>
              <w:bottom w:val="nil" w:sz="6" w:space="0" w:color="auto"/>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0"/>
                <w:sz w:val="16"/>
              </w:rPr>
              <w:t>(15,479,216,880)</w:t>
            </w:r>
            <w:r>
              <w:rPr>
                <w:rFonts w:ascii="宋体"/>
                <w:sz w:val="16"/>
              </w:rPr>
            </w:r>
          </w:p>
        </w:tc>
        <w:tc>
          <w:tcPr>
            <w:tcW w:w="1447"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(3,869,804,220)</w:t>
            </w:r>
            <w:r>
              <w:rPr>
                <w:rFonts w:ascii="宋体"/>
                <w:sz w:val="16"/>
              </w:rPr>
            </w:r>
          </w:p>
        </w:tc>
      </w:tr>
      <w:tr>
        <w:trPr>
          <w:trHeight w:val="331" w:hRule="exact"/>
        </w:trPr>
        <w:tc>
          <w:tcPr>
            <w:tcW w:w="2488"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607" w:type="dxa"/>
            <w:tcBorders>
              <w:top w:val="nil" w:sz="6" w:space="0" w:color="auto"/>
              <w:left w:val="nil" w:sz="6" w:space="0" w:color="auto"/>
              <w:bottom w:val="single" w:sz="6" w:space="0" w:color="000000"/>
              <w:right w:val="nil" w:sz="6" w:space="0" w:color="auto"/>
            </w:tcBorders>
          </w:tcPr>
          <w:p>
            <w:pPr/>
          </w:p>
        </w:tc>
        <w:tc>
          <w:tcPr>
            <w:tcW w:w="164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0"/>
                <w:sz w:val="16"/>
              </w:rPr>
              <w:t>(26,086,620,976)</w:t>
            </w:r>
            <w:r>
              <w:rPr>
                <w:rFonts w:ascii="宋体"/>
                <w:sz w:val="16"/>
              </w:rPr>
            </w:r>
          </w:p>
        </w:tc>
        <w:tc>
          <w:tcPr>
            <w:tcW w:w="144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(6,521,655,244)</w:t>
            </w:r>
            <w:r>
              <w:rPr>
                <w:rFonts w:ascii="宋体"/>
                <w:sz w:val="16"/>
              </w:rPr>
            </w:r>
          </w:p>
        </w:tc>
        <w:tc>
          <w:tcPr>
            <w:tcW w:w="1648" w:type="dxa"/>
            <w:tcBorders>
              <w:top w:val="nil" w:sz="6" w:space="0" w:color="auto"/>
              <w:left w:val="nil" w:sz="6" w:space="0" w:color="auto"/>
              <w:bottom w:val="single" w:sz="6" w:space="0" w:color="000000"/>
              <w:right w:val="nil" w:sz="6" w:space="0" w:color="auto"/>
            </w:tcBorders>
          </w:tcPr>
          <w:p>
            <w:pPr>
              <w:pStyle w:val="TableParagraph"/>
              <w:spacing w:line="205" w:lineRule="exact"/>
              <w:ind w:right="211"/>
              <w:jc w:val="right"/>
              <w:rPr>
                <w:rFonts w:ascii="宋体" w:hAnsi="宋体" w:cs="宋体" w:eastAsia="宋体" w:hint="default"/>
                <w:sz w:val="16"/>
                <w:szCs w:val="16"/>
              </w:rPr>
            </w:pPr>
            <w:r>
              <w:rPr>
                <w:rFonts w:ascii="宋体"/>
                <w:w w:val="90"/>
                <w:sz w:val="16"/>
              </w:rPr>
              <w:t>(18,460,446,774)</w:t>
            </w:r>
            <w:r>
              <w:rPr>
                <w:rFonts w:ascii="宋体"/>
                <w:sz w:val="16"/>
              </w:rPr>
            </w:r>
          </w:p>
        </w:tc>
        <w:tc>
          <w:tcPr>
            <w:tcW w:w="1447"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(4,615,111,694)</w:t>
            </w:r>
            <w:r>
              <w:rPr>
                <w:rFonts w:ascii="宋体"/>
                <w:sz w:val="16"/>
              </w:rPr>
            </w:r>
          </w:p>
        </w:tc>
      </w:tr>
      <w:tr>
        <w:trPr>
          <w:trHeight w:val="414" w:hRule="exact"/>
        </w:trPr>
        <w:tc>
          <w:tcPr>
            <w:tcW w:w="3094"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净值</w:t>
            </w:r>
          </w:p>
        </w:tc>
        <w:tc>
          <w:tcPr>
            <w:tcW w:w="164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w w:val="95"/>
                <w:sz w:val="16"/>
              </w:rPr>
              <w:t>8,424,692,350</w:t>
            </w:r>
            <w:r>
              <w:rPr>
                <w:rFonts w:ascii="宋体"/>
                <w:sz w:val="16"/>
              </w:rPr>
            </w:r>
          </w:p>
        </w:tc>
        <w:tc>
          <w:tcPr>
            <w:tcW w:w="144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2,048,586,266</w:t>
            </w:r>
            <w:r>
              <w:rPr>
                <w:rFonts w:ascii="宋体"/>
                <w:sz w:val="16"/>
              </w:rPr>
            </w:r>
          </w:p>
        </w:tc>
        <w:tc>
          <w:tcPr>
            <w:tcW w:w="164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11"/>
              <w:jc w:val="right"/>
              <w:rPr>
                <w:rFonts w:ascii="宋体" w:hAnsi="宋体" w:cs="宋体" w:eastAsia="宋体" w:hint="default"/>
                <w:sz w:val="16"/>
                <w:szCs w:val="16"/>
              </w:rPr>
            </w:pPr>
            <w:r>
              <w:rPr>
                <w:rFonts w:ascii="宋体"/>
                <w:w w:val="95"/>
                <w:sz w:val="16"/>
              </w:rPr>
              <w:t>18,431,197,790</w:t>
            </w:r>
            <w:r>
              <w:rPr>
                <w:rFonts w:ascii="宋体"/>
                <w:sz w:val="16"/>
              </w:rPr>
            </w:r>
          </w:p>
        </w:tc>
        <w:tc>
          <w:tcPr>
            <w:tcW w:w="144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4,573,333,656</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40"/>
        </w:sectPr>
      </w:pPr>
    </w:p>
    <w:p>
      <w:pPr>
        <w:spacing w:line="240" w:lineRule="auto" w:before="7"/>
        <w:rPr>
          <w:rFonts w:ascii="宋体" w:hAnsi="宋体" w:cs="宋体" w:eastAsia="宋体" w:hint="default"/>
          <w:sz w:val="14"/>
          <w:szCs w:val="14"/>
        </w:rPr>
      </w:pPr>
    </w:p>
    <w:p>
      <w:pPr>
        <w:pStyle w:val="BodyText"/>
        <w:tabs>
          <w:tab w:pos="833" w:val="left" w:leader="none"/>
        </w:tabs>
        <w:spacing w:line="240" w:lineRule="auto" w:before="31"/>
        <w:ind w:right="125"/>
        <w:jc w:val="left"/>
      </w:pPr>
      <w:r>
        <w:rPr>
          <w:w w:val="45"/>
        </w:rPr>
        <w:t>(ii)</w:t>
        <w:tab/>
      </w:r>
      <w:r>
        <w:rPr>
          <w:w w:val="90"/>
        </w:rPr>
        <w:t>递延所得税负债：</w:t>
      </w:r>
    </w:p>
    <w:p>
      <w:pPr>
        <w:spacing w:line="240" w:lineRule="auto" w:before="5"/>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2497"/>
        <w:gridCol w:w="597"/>
        <w:gridCol w:w="1648"/>
        <w:gridCol w:w="1447"/>
        <w:gridCol w:w="1704"/>
        <w:gridCol w:w="1390"/>
      </w:tblGrid>
      <w:tr>
        <w:trPr>
          <w:trHeight w:val="342" w:hRule="exact"/>
        </w:trPr>
        <w:tc>
          <w:tcPr>
            <w:tcW w:w="2497"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16"/>
                <w:szCs w:val="16"/>
              </w:rPr>
            </w:pPr>
            <w:r>
              <w:rPr>
                <w:rFonts w:ascii="宋体" w:hAnsi="宋体" w:cs="宋体" w:eastAsia="宋体" w:hint="default"/>
                <w:sz w:val="16"/>
                <w:szCs w:val="16"/>
              </w:rPr>
              <w:t>同一纳税实体递延所得税负债：</w:t>
            </w:r>
          </w:p>
        </w:tc>
        <w:tc>
          <w:tcPr>
            <w:tcW w:w="597"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44" w:right="0"/>
              <w:jc w:val="left"/>
              <w:rPr>
                <w:rFonts w:ascii="宋体" w:hAnsi="宋体" w:cs="宋体" w:eastAsia="宋体" w:hint="default"/>
                <w:sz w:val="16"/>
                <w:szCs w:val="16"/>
              </w:rPr>
            </w:pPr>
            <w:r>
              <w:rPr>
                <w:rFonts w:ascii="宋体" w:hAnsi="宋体" w:cs="宋体" w:eastAsia="宋体" w:hint="default"/>
                <w:sz w:val="16"/>
                <w:szCs w:val="16"/>
              </w:rPr>
              <w:t>注释</w:t>
            </w:r>
          </w:p>
        </w:tc>
        <w:tc>
          <w:tcPr>
            <w:tcW w:w="3094" w:type="dxa"/>
            <w:gridSpan w:val="2"/>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852"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3094"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7"/>
              <w:ind w:left="852"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4" w:hRule="exact"/>
        </w:trPr>
        <w:tc>
          <w:tcPr>
            <w:tcW w:w="2497" w:type="dxa"/>
            <w:vMerge/>
            <w:tcBorders>
              <w:left w:val="nil" w:sz="6" w:space="0" w:color="auto"/>
              <w:bottom w:val="single" w:sz="16" w:space="0" w:color="9F8958"/>
              <w:right w:val="nil" w:sz="6" w:space="0" w:color="auto"/>
            </w:tcBorders>
          </w:tcPr>
          <w:p>
            <w:pPr/>
          </w:p>
        </w:tc>
        <w:tc>
          <w:tcPr>
            <w:tcW w:w="597" w:type="dxa"/>
            <w:vMerge/>
            <w:tcBorders>
              <w:left w:val="nil" w:sz="6" w:space="0" w:color="auto"/>
              <w:bottom w:val="single" w:sz="16" w:space="0" w:color="9F8958"/>
              <w:right w:val="nil" w:sz="6" w:space="0" w:color="auto"/>
            </w:tcBorders>
          </w:tcPr>
          <w:p>
            <w:pPr/>
          </w:p>
        </w:tc>
        <w:tc>
          <w:tcPr>
            <w:tcW w:w="164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hAnsi="宋体" w:cs="宋体" w:eastAsia="宋体" w:hint="default"/>
                <w:sz w:val="16"/>
                <w:szCs w:val="16"/>
              </w:rPr>
              <w:t>应纳税暂时性差异</w:t>
            </w:r>
          </w:p>
        </w:tc>
        <w:tc>
          <w:tcPr>
            <w:tcW w:w="144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递延所得税负债</w:t>
            </w:r>
          </w:p>
        </w:tc>
        <w:tc>
          <w:tcPr>
            <w:tcW w:w="170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54"/>
              <w:jc w:val="right"/>
              <w:rPr>
                <w:rFonts w:ascii="宋体" w:hAnsi="宋体" w:cs="宋体" w:eastAsia="宋体" w:hint="default"/>
                <w:sz w:val="16"/>
                <w:szCs w:val="16"/>
              </w:rPr>
            </w:pPr>
            <w:r>
              <w:rPr>
                <w:rFonts w:ascii="宋体" w:hAnsi="宋体" w:cs="宋体" w:eastAsia="宋体" w:hint="default"/>
                <w:sz w:val="16"/>
                <w:szCs w:val="16"/>
              </w:rPr>
              <w:t>应纳税暂时性差异</w:t>
            </w:r>
          </w:p>
        </w:tc>
        <w:tc>
          <w:tcPr>
            <w:tcW w:w="139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递延所得税负债</w:t>
            </w:r>
          </w:p>
        </w:tc>
      </w:tr>
      <w:tr>
        <w:trPr>
          <w:trHeight w:val="362" w:hRule="exact"/>
        </w:trPr>
        <w:tc>
          <w:tcPr>
            <w:tcW w:w="249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固定资产计提折旧的核算差异</w:t>
            </w:r>
          </w:p>
        </w:tc>
        <w:tc>
          <w:tcPr>
            <w:tcW w:w="59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0" w:right="0"/>
              <w:jc w:val="center"/>
              <w:rPr>
                <w:rFonts w:ascii="宋体" w:hAnsi="宋体" w:cs="宋体" w:eastAsia="宋体" w:hint="default"/>
                <w:sz w:val="16"/>
                <w:szCs w:val="16"/>
              </w:rPr>
            </w:pPr>
            <w:r>
              <w:rPr>
                <w:rFonts w:ascii="宋体"/>
                <w:w w:val="85"/>
                <w:sz w:val="16"/>
              </w:rPr>
              <w:t>(8)</w:t>
            </w:r>
            <w:r>
              <w:rPr>
                <w:rFonts w:ascii="宋体"/>
                <w:sz w:val="16"/>
              </w:rPr>
            </w:r>
          </w:p>
        </w:tc>
        <w:tc>
          <w:tcPr>
            <w:tcW w:w="164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w w:val="90"/>
                <w:sz w:val="16"/>
              </w:rPr>
              <w:t>(674,132,085)</w:t>
            </w:r>
            <w:r>
              <w:rPr>
                <w:rFonts w:ascii="宋体"/>
                <w:sz w:val="16"/>
              </w:rPr>
            </w:r>
          </w:p>
        </w:tc>
        <w:tc>
          <w:tcPr>
            <w:tcW w:w="144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(111,231,794)</w:t>
            </w:r>
            <w:r>
              <w:rPr>
                <w:rFonts w:ascii="宋体"/>
                <w:sz w:val="16"/>
              </w:rPr>
            </w:r>
          </w:p>
        </w:tc>
        <w:tc>
          <w:tcPr>
            <w:tcW w:w="170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54"/>
              <w:jc w:val="right"/>
              <w:rPr>
                <w:rFonts w:ascii="宋体" w:hAnsi="宋体" w:cs="宋体" w:eastAsia="宋体" w:hint="default"/>
                <w:sz w:val="16"/>
                <w:szCs w:val="16"/>
              </w:rPr>
            </w:pPr>
            <w:r>
              <w:rPr>
                <w:rFonts w:ascii="宋体"/>
                <w:w w:val="90"/>
                <w:sz w:val="16"/>
              </w:rPr>
              <w:t>(653,375,201)</w:t>
            </w:r>
            <w:r>
              <w:rPr>
                <w:rFonts w:ascii="宋体"/>
                <w:sz w:val="16"/>
              </w:rPr>
            </w:r>
          </w:p>
        </w:tc>
        <w:tc>
          <w:tcPr>
            <w:tcW w:w="139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(107,806,908)</w:t>
            </w:r>
            <w:r>
              <w:rPr>
                <w:rFonts w:ascii="宋体"/>
                <w:sz w:val="16"/>
              </w:rPr>
            </w:r>
          </w:p>
        </w:tc>
      </w:tr>
      <w:tr>
        <w:trPr>
          <w:trHeight w:val="273"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改制评估增值</w:t>
            </w:r>
          </w:p>
        </w:tc>
        <w:tc>
          <w:tcPr>
            <w:tcW w:w="597" w:type="dxa"/>
            <w:tcBorders>
              <w:top w:val="nil" w:sz="6" w:space="0" w:color="auto"/>
              <w:left w:val="nil" w:sz="6" w:space="0" w:color="auto"/>
              <w:bottom w:val="nil" w:sz="6" w:space="0" w:color="auto"/>
              <w:right w:val="nil" w:sz="6" w:space="0" w:color="auto"/>
            </w:tcBorders>
          </w:tcPr>
          <w:p>
            <w:pPr>
              <w:pStyle w:val="TableParagraph"/>
              <w:spacing w:line="205" w:lineRule="exact"/>
              <w:ind w:left="10" w:right="0"/>
              <w:jc w:val="center"/>
              <w:rPr>
                <w:rFonts w:ascii="宋体" w:hAnsi="宋体" w:cs="宋体" w:eastAsia="宋体" w:hint="default"/>
                <w:sz w:val="16"/>
                <w:szCs w:val="16"/>
              </w:rPr>
            </w:pPr>
            <w:r>
              <w:rPr>
                <w:rFonts w:ascii="宋体"/>
                <w:w w:val="85"/>
                <w:sz w:val="16"/>
              </w:rPr>
              <w:t>(9)</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0"/>
                <w:sz w:val="16"/>
              </w:rPr>
              <w:t>(82,327,000)</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(12,349,050)</w:t>
            </w:r>
            <w:r>
              <w:rPr>
                <w:rFonts w:ascii="宋体"/>
                <w:sz w:val="16"/>
              </w:rPr>
            </w:r>
          </w:p>
        </w:tc>
        <w:tc>
          <w:tcPr>
            <w:tcW w:w="1704" w:type="dxa"/>
            <w:tcBorders>
              <w:top w:val="nil" w:sz="6" w:space="0" w:color="auto"/>
              <w:left w:val="nil" w:sz="6" w:space="0" w:color="auto"/>
              <w:bottom w:val="nil" w:sz="6" w:space="0" w:color="auto"/>
              <w:right w:val="nil" w:sz="6" w:space="0" w:color="auto"/>
            </w:tcBorders>
          </w:tcPr>
          <w:p>
            <w:pPr>
              <w:pStyle w:val="TableParagraph"/>
              <w:spacing w:line="205" w:lineRule="exact"/>
              <w:ind w:right="268"/>
              <w:jc w:val="right"/>
              <w:rPr>
                <w:rFonts w:ascii="宋体" w:hAnsi="宋体" w:cs="宋体" w:eastAsia="宋体" w:hint="default"/>
                <w:sz w:val="16"/>
                <w:szCs w:val="16"/>
              </w:rPr>
            </w:pPr>
            <w:r>
              <w:rPr>
                <w:rFonts w:ascii="宋体"/>
                <w:w w:val="90"/>
                <w:sz w:val="16"/>
              </w:rPr>
              <w:t>(87,590,634)</w:t>
            </w:r>
            <w:r>
              <w:rPr>
                <w:rFonts w:ascii="宋体"/>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(13,138,595)</w:t>
            </w:r>
            <w:r>
              <w:rPr>
                <w:rFonts w:ascii="宋体"/>
                <w:sz w:val="16"/>
              </w:rPr>
            </w:r>
          </w:p>
        </w:tc>
      </w:tr>
      <w:tr>
        <w:trPr>
          <w:trHeight w:val="473"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00" w:lineRule="exact" w:before="22"/>
              <w:ind w:left="113" w:right="142"/>
              <w:jc w:val="left"/>
              <w:rPr>
                <w:rFonts w:ascii="宋体" w:hAnsi="宋体" w:cs="宋体" w:eastAsia="宋体" w:hint="default"/>
                <w:sz w:val="16"/>
                <w:szCs w:val="16"/>
              </w:rPr>
            </w:pPr>
            <w:r>
              <w:rPr>
                <w:rFonts w:ascii="宋体" w:hAnsi="宋体" w:cs="宋体" w:eastAsia="宋体" w:hint="default"/>
                <w:sz w:val="16"/>
                <w:szCs w:val="16"/>
              </w:rPr>
              <w:t>中讯设计院其他权益工具投资公 允价值变动</w:t>
            </w:r>
          </w:p>
        </w:tc>
        <w:tc>
          <w:tcPr>
            <w:tcW w:w="597"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0" w:right="0"/>
              <w:jc w:val="center"/>
              <w:rPr>
                <w:rFonts w:ascii="宋体" w:hAnsi="宋体" w:cs="宋体" w:eastAsia="宋体" w:hint="default"/>
                <w:sz w:val="16"/>
                <w:szCs w:val="16"/>
              </w:rPr>
            </w:pPr>
            <w:r>
              <w:rPr>
                <w:rFonts w:ascii="宋体"/>
                <w:w w:val="95"/>
                <w:sz w:val="16"/>
              </w:rPr>
              <w:t>(10)</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211"/>
              <w:jc w:val="right"/>
              <w:rPr>
                <w:rFonts w:ascii="宋体" w:hAnsi="宋体" w:cs="宋体" w:eastAsia="宋体" w:hint="default"/>
                <w:sz w:val="16"/>
                <w:szCs w:val="16"/>
              </w:rPr>
            </w:pPr>
            <w:r>
              <w:rPr>
                <w:rFonts w:ascii="宋体"/>
                <w:w w:val="90"/>
                <w:sz w:val="16"/>
              </w:rPr>
              <w:t>(96,798,280)</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1"/>
              <w:jc w:val="right"/>
              <w:rPr>
                <w:rFonts w:ascii="宋体" w:hAnsi="宋体" w:cs="宋体" w:eastAsia="宋体" w:hint="default"/>
                <w:sz w:val="16"/>
                <w:szCs w:val="16"/>
              </w:rPr>
            </w:pPr>
            <w:r>
              <w:rPr>
                <w:rFonts w:ascii="宋体"/>
                <w:w w:val="90"/>
                <w:sz w:val="16"/>
              </w:rPr>
              <w:t>(14,519,742)</w:t>
            </w:r>
            <w:r>
              <w:rPr>
                <w:rFonts w:ascii="宋体"/>
                <w:sz w:val="16"/>
              </w:rPr>
            </w:r>
          </w:p>
        </w:tc>
        <w:tc>
          <w:tcPr>
            <w:tcW w:w="1704" w:type="dxa"/>
            <w:tcBorders>
              <w:top w:val="nil" w:sz="6" w:space="0" w:color="auto"/>
              <w:left w:val="nil" w:sz="6" w:space="0" w:color="auto"/>
              <w:bottom w:val="nil" w:sz="6" w:space="0" w:color="auto"/>
              <w:right w:val="nil" w:sz="6" w:space="0" w:color="auto"/>
            </w:tcBorders>
          </w:tcPr>
          <w:p>
            <w:pPr>
              <w:pStyle w:val="TableParagraph"/>
              <w:spacing w:line="240" w:lineRule="auto" w:before="95"/>
              <w:ind w:left="457" w:right="0"/>
              <w:jc w:val="left"/>
              <w:rPr>
                <w:rFonts w:ascii="宋体" w:hAnsi="宋体" w:cs="宋体" w:eastAsia="宋体" w:hint="default"/>
                <w:sz w:val="16"/>
                <w:szCs w:val="16"/>
              </w:rPr>
            </w:pPr>
            <w:r>
              <w:rPr>
                <w:rFonts w:ascii="宋体"/>
                <w:sz w:val="16"/>
              </w:rPr>
              <w:t>(107,459,698)</w:t>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0"/>
                <w:sz w:val="16"/>
              </w:rPr>
              <w:t>(16,118,955)</w:t>
            </w:r>
            <w:r>
              <w:rPr>
                <w:rFonts w:ascii="宋体"/>
                <w:sz w:val="16"/>
              </w:rPr>
            </w:r>
          </w:p>
        </w:tc>
      </w:tr>
      <w:tr>
        <w:trPr>
          <w:trHeight w:val="331" w:hRule="exact"/>
        </w:trPr>
        <w:tc>
          <w:tcPr>
            <w:tcW w:w="2497"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597" w:type="dxa"/>
            <w:tcBorders>
              <w:top w:val="nil" w:sz="6" w:space="0" w:color="auto"/>
              <w:left w:val="nil" w:sz="6" w:space="0" w:color="auto"/>
              <w:bottom w:val="single" w:sz="6" w:space="0" w:color="000000"/>
              <w:right w:val="nil" w:sz="6" w:space="0" w:color="auto"/>
            </w:tcBorders>
          </w:tcPr>
          <w:p>
            <w:pPr/>
          </w:p>
        </w:tc>
        <w:tc>
          <w:tcPr>
            <w:tcW w:w="164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0"/>
                <w:sz w:val="16"/>
              </w:rPr>
              <w:t>(853,257,365)</w:t>
            </w:r>
            <w:r>
              <w:rPr>
                <w:rFonts w:ascii="宋体"/>
                <w:sz w:val="16"/>
              </w:rPr>
            </w:r>
          </w:p>
        </w:tc>
        <w:tc>
          <w:tcPr>
            <w:tcW w:w="144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(138,100,586)</w:t>
            </w:r>
            <w:r>
              <w:rPr>
                <w:rFonts w:ascii="宋体"/>
                <w:sz w:val="16"/>
              </w:rPr>
            </w:r>
          </w:p>
        </w:tc>
        <w:tc>
          <w:tcPr>
            <w:tcW w:w="1704" w:type="dxa"/>
            <w:tcBorders>
              <w:top w:val="nil" w:sz="6" w:space="0" w:color="auto"/>
              <w:left w:val="nil" w:sz="6" w:space="0" w:color="auto"/>
              <w:bottom w:val="single" w:sz="6" w:space="0" w:color="000000"/>
              <w:right w:val="nil" w:sz="6" w:space="0" w:color="auto"/>
            </w:tcBorders>
          </w:tcPr>
          <w:p>
            <w:pPr>
              <w:pStyle w:val="TableParagraph"/>
              <w:spacing w:line="205" w:lineRule="exact"/>
              <w:ind w:left="457" w:right="0"/>
              <w:jc w:val="left"/>
              <w:rPr>
                <w:rFonts w:ascii="宋体" w:hAnsi="宋体" w:cs="宋体" w:eastAsia="宋体" w:hint="default"/>
                <w:sz w:val="16"/>
                <w:szCs w:val="16"/>
              </w:rPr>
            </w:pPr>
            <w:r>
              <w:rPr>
                <w:rFonts w:ascii="宋体"/>
                <w:sz w:val="16"/>
              </w:rPr>
              <w:t>(848,425,533)</w:t>
            </w:r>
          </w:p>
        </w:tc>
        <w:tc>
          <w:tcPr>
            <w:tcW w:w="1390"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0"/>
                <w:sz w:val="16"/>
              </w:rPr>
              <w:t>(137,064,458)</w:t>
            </w:r>
            <w:r>
              <w:rPr>
                <w:rFonts w:ascii="宋体"/>
                <w:sz w:val="16"/>
              </w:rPr>
            </w:r>
          </w:p>
        </w:tc>
      </w:tr>
      <w:tr>
        <w:trPr>
          <w:trHeight w:val="414" w:hRule="exact"/>
        </w:trPr>
        <w:tc>
          <w:tcPr>
            <w:tcW w:w="3094"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同一纳税实体递延所得税资产：</w:t>
            </w:r>
          </w:p>
        </w:tc>
        <w:tc>
          <w:tcPr>
            <w:tcW w:w="164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hAnsi="宋体" w:cs="宋体" w:eastAsia="宋体" w:hint="default"/>
                <w:sz w:val="16"/>
                <w:szCs w:val="16"/>
              </w:rPr>
              <w:t>可抵扣暂时性差异</w:t>
            </w:r>
          </w:p>
        </w:tc>
        <w:tc>
          <w:tcPr>
            <w:tcW w:w="144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递延所得税资产</w:t>
            </w:r>
          </w:p>
        </w:tc>
        <w:tc>
          <w:tcPr>
            <w:tcW w:w="170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53" w:right="0"/>
              <w:jc w:val="left"/>
              <w:rPr>
                <w:rFonts w:ascii="宋体" w:hAnsi="宋体" w:cs="宋体" w:eastAsia="宋体" w:hint="default"/>
                <w:sz w:val="16"/>
                <w:szCs w:val="16"/>
              </w:rPr>
            </w:pPr>
            <w:r>
              <w:rPr>
                <w:rFonts w:ascii="宋体" w:hAnsi="宋体" w:cs="宋体" w:eastAsia="宋体" w:hint="default"/>
                <w:sz w:val="16"/>
                <w:szCs w:val="16"/>
              </w:rPr>
              <w:t>可抵扣暂时性差异</w:t>
            </w:r>
          </w:p>
        </w:tc>
        <w:tc>
          <w:tcPr>
            <w:tcW w:w="139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递延所得税资产</w:t>
            </w:r>
          </w:p>
        </w:tc>
      </w:tr>
      <w:tr>
        <w:trPr>
          <w:trHeight w:val="362" w:hRule="exact"/>
        </w:trPr>
        <w:tc>
          <w:tcPr>
            <w:tcW w:w="249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已计提尚未发放的职工薪酬</w:t>
            </w:r>
          </w:p>
        </w:tc>
        <w:tc>
          <w:tcPr>
            <w:tcW w:w="59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0" w:right="0"/>
              <w:jc w:val="center"/>
              <w:rPr>
                <w:rFonts w:ascii="宋体" w:hAnsi="宋体" w:cs="宋体" w:eastAsia="宋体" w:hint="default"/>
                <w:sz w:val="16"/>
                <w:szCs w:val="16"/>
              </w:rPr>
            </w:pPr>
            <w:r>
              <w:rPr>
                <w:rFonts w:ascii="宋体"/>
                <w:w w:val="85"/>
                <w:sz w:val="16"/>
              </w:rPr>
              <w:t>(6)</w:t>
            </w:r>
            <w:r>
              <w:rPr>
                <w:rFonts w:ascii="宋体"/>
                <w:sz w:val="16"/>
              </w:rPr>
            </w:r>
          </w:p>
        </w:tc>
        <w:tc>
          <w:tcPr>
            <w:tcW w:w="164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w w:val="95"/>
                <w:sz w:val="16"/>
              </w:rPr>
              <w:t>32,502,053</w:t>
            </w:r>
            <w:r>
              <w:rPr>
                <w:rFonts w:ascii="宋体"/>
                <w:sz w:val="16"/>
              </w:rPr>
            </w:r>
          </w:p>
        </w:tc>
        <w:tc>
          <w:tcPr>
            <w:tcW w:w="144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4,875,308</w:t>
            </w:r>
            <w:r>
              <w:rPr>
                <w:rFonts w:ascii="宋体"/>
                <w:sz w:val="16"/>
              </w:rPr>
            </w:r>
          </w:p>
        </w:tc>
        <w:tc>
          <w:tcPr>
            <w:tcW w:w="170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67"/>
              <w:jc w:val="right"/>
              <w:rPr>
                <w:rFonts w:ascii="宋体" w:hAnsi="宋体" w:cs="宋体" w:eastAsia="宋体" w:hint="default"/>
                <w:sz w:val="16"/>
                <w:szCs w:val="16"/>
              </w:rPr>
            </w:pPr>
            <w:r>
              <w:rPr>
                <w:rFonts w:ascii="宋体"/>
                <w:w w:val="95"/>
                <w:sz w:val="16"/>
              </w:rPr>
              <w:t>30,514,213</w:t>
            </w:r>
            <w:r>
              <w:rPr>
                <w:rFonts w:ascii="宋体"/>
                <w:sz w:val="16"/>
              </w:rPr>
            </w:r>
          </w:p>
        </w:tc>
        <w:tc>
          <w:tcPr>
            <w:tcW w:w="139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4,577,132</w:t>
            </w:r>
            <w:r>
              <w:rPr>
                <w:rFonts w:ascii="宋体"/>
                <w:sz w:val="16"/>
              </w:rPr>
            </w:r>
          </w:p>
        </w:tc>
      </w:tr>
      <w:tr>
        <w:trPr>
          <w:trHeight w:val="273"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固定资产计提折旧的核算差异</w:t>
            </w:r>
          </w:p>
        </w:tc>
        <w:tc>
          <w:tcPr>
            <w:tcW w:w="597" w:type="dxa"/>
            <w:tcBorders>
              <w:top w:val="nil" w:sz="6" w:space="0" w:color="auto"/>
              <w:left w:val="nil" w:sz="6" w:space="0" w:color="auto"/>
              <w:bottom w:val="nil" w:sz="6" w:space="0" w:color="auto"/>
              <w:right w:val="nil" w:sz="6" w:space="0" w:color="auto"/>
            </w:tcBorders>
          </w:tcPr>
          <w:p>
            <w:pPr>
              <w:pStyle w:val="TableParagraph"/>
              <w:spacing w:line="205" w:lineRule="exact"/>
              <w:ind w:left="10" w:right="0"/>
              <w:jc w:val="center"/>
              <w:rPr>
                <w:rFonts w:ascii="宋体" w:hAnsi="宋体" w:cs="宋体" w:eastAsia="宋体" w:hint="default"/>
                <w:sz w:val="16"/>
                <w:szCs w:val="16"/>
              </w:rPr>
            </w:pPr>
            <w:r>
              <w:rPr>
                <w:rFonts w:ascii="宋体"/>
                <w:w w:val="85"/>
                <w:sz w:val="16"/>
              </w:rPr>
              <w:t>(8)</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5"/>
                <w:sz w:val="16"/>
              </w:rPr>
              <w:t>15,910,153</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2,386,523</w:t>
            </w:r>
            <w:r>
              <w:rPr>
                <w:rFonts w:ascii="宋体"/>
                <w:sz w:val="16"/>
              </w:rPr>
            </w:r>
          </w:p>
        </w:tc>
        <w:tc>
          <w:tcPr>
            <w:tcW w:w="1704" w:type="dxa"/>
            <w:tcBorders>
              <w:top w:val="nil" w:sz="6" w:space="0" w:color="auto"/>
              <w:left w:val="nil" w:sz="6" w:space="0" w:color="auto"/>
              <w:bottom w:val="nil" w:sz="6" w:space="0" w:color="auto"/>
              <w:right w:val="nil" w:sz="6" w:space="0" w:color="auto"/>
            </w:tcBorders>
          </w:tcPr>
          <w:p>
            <w:pPr>
              <w:pStyle w:val="TableParagraph"/>
              <w:spacing w:line="205" w:lineRule="exact"/>
              <w:ind w:right="267"/>
              <w:jc w:val="right"/>
              <w:rPr>
                <w:rFonts w:ascii="宋体" w:hAnsi="宋体" w:cs="宋体" w:eastAsia="宋体" w:hint="default"/>
                <w:sz w:val="16"/>
                <w:szCs w:val="16"/>
              </w:rPr>
            </w:pPr>
            <w:r>
              <w:rPr>
                <w:rFonts w:ascii="宋体"/>
                <w:w w:val="95"/>
                <w:sz w:val="16"/>
              </w:rPr>
              <w:t>18,292,960</w:t>
            </w:r>
            <w:r>
              <w:rPr>
                <w:rFonts w:ascii="宋体"/>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2,743,944</w:t>
            </w:r>
            <w:r>
              <w:rPr>
                <w:rFonts w:ascii="宋体"/>
                <w:sz w:val="16"/>
              </w:rPr>
            </w:r>
          </w:p>
        </w:tc>
      </w:tr>
      <w:tr>
        <w:trPr>
          <w:trHeight w:val="273" w:hRule="exact"/>
        </w:trPr>
        <w:tc>
          <w:tcPr>
            <w:tcW w:w="2497"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应收款项坏账准备</w:t>
            </w:r>
          </w:p>
        </w:tc>
        <w:tc>
          <w:tcPr>
            <w:tcW w:w="597" w:type="dxa"/>
            <w:tcBorders>
              <w:top w:val="nil" w:sz="6" w:space="0" w:color="auto"/>
              <w:left w:val="nil" w:sz="6" w:space="0" w:color="auto"/>
              <w:bottom w:val="nil" w:sz="6" w:space="0" w:color="auto"/>
              <w:right w:val="nil" w:sz="6" w:space="0" w:color="auto"/>
            </w:tcBorders>
          </w:tcPr>
          <w:p>
            <w:pPr>
              <w:pStyle w:val="TableParagraph"/>
              <w:spacing w:line="205" w:lineRule="exact"/>
              <w:ind w:left="10" w:right="0"/>
              <w:jc w:val="center"/>
              <w:rPr>
                <w:rFonts w:ascii="宋体" w:hAnsi="宋体" w:cs="宋体" w:eastAsia="宋体" w:hint="default"/>
                <w:sz w:val="16"/>
                <w:szCs w:val="16"/>
              </w:rPr>
            </w:pPr>
            <w:r>
              <w:rPr>
                <w:rFonts w:ascii="宋体"/>
                <w:w w:val="85"/>
                <w:sz w:val="16"/>
              </w:rPr>
              <w:t>(3)</w:t>
            </w:r>
            <w:r>
              <w:rPr>
                <w:rFonts w:ascii="宋体"/>
                <w:sz w:val="16"/>
              </w:rPr>
            </w:r>
          </w:p>
        </w:tc>
        <w:tc>
          <w:tcPr>
            <w:tcW w:w="164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5"/>
                <w:sz w:val="16"/>
              </w:rPr>
              <w:t>35,872,067</w:t>
            </w:r>
            <w:r>
              <w:rPr>
                <w:rFonts w:ascii="宋体"/>
                <w:sz w:val="16"/>
              </w:rPr>
            </w:r>
          </w:p>
        </w:tc>
        <w:tc>
          <w:tcPr>
            <w:tcW w:w="1447"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5,380,810</w:t>
            </w:r>
            <w:r>
              <w:rPr>
                <w:rFonts w:ascii="宋体"/>
                <w:sz w:val="16"/>
              </w:rPr>
            </w:r>
          </w:p>
        </w:tc>
        <w:tc>
          <w:tcPr>
            <w:tcW w:w="1704" w:type="dxa"/>
            <w:tcBorders>
              <w:top w:val="nil" w:sz="6" w:space="0" w:color="auto"/>
              <w:left w:val="nil" w:sz="6" w:space="0" w:color="auto"/>
              <w:bottom w:val="nil" w:sz="6" w:space="0" w:color="auto"/>
              <w:right w:val="nil" w:sz="6" w:space="0" w:color="auto"/>
            </w:tcBorders>
          </w:tcPr>
          <w:p>
            <w:pPr>
              <w:pStyle w:val="TableParagraph"/>
              <w:spacing w:line="205" w:lineRule="exact"/>
              <w:ind w:right="267"/>
              <w:jc w:val="right"/>
              <w:rPr>
                <w:rFonts w:ascii="宋体" w:hAnsi="宋体" w:cs="宋体" w:eastAsia="宋体" w:hint="default"/>
                <w:sz w:val="16"/>
                <w:szCs w:val="16"/>
              </w:rPr>
            </w:pPr>
            <w:r>
              <w:rPr>
                <w:rFonts w:ascii="宋体"/>
                <w:w w:val="95"/>
                <w:sz w:val="16"/>
              </w:rPr>
              <w:t>34,383,915</w:t>
            </w:r>
            <w:r>
              <w:rPr>
                <w:rFonts w:ascii="宋体"/>
                <w:sz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5,157,587</w:t>
            </w:r>
            <w:r>
              <w:rPr>
                <w:rFonts w:ascii="宋体"/>
                <w:sz w:val="16"/>
              </w:rPr>
            </w:r>
          </w:p>
        </w:tc>
      </w:tr>
      <w:tr>
        <w:trPr>
          <w:trHeight w:val="331" w:hRule="exact"/>
        </w:trPr>
        <w:tc>
          <w:tcPr>
            <w:tcW w:w="2497"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597" w:type="dxa"/>
            <w:tcBorders>
              <w:top w:val="nil" w:sz="6" w:space="0" w:color="auto"/>
              <w:left w:val="nil" w:sz="6" w:space="0" w:color="auto"/>
              <w:bottom w:val="single" w:sz="6" w:space="0" w:color="000000"/>
              <w:right w:val="nil" w:sz="6" w:space="0" w:color="auto"/>
            </w:tcBorders>
          </w:tcPr>
          <w:p>
            <w:pPr/>
          </w:p>
        </w:tc>
        <w:tc>
          <w:tcPr>
            <w:tcW w:w="164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211"/>
              <w:jc w:val="right"/>
              <w:rPr>
                <w:rFonts w:ascii="宋体" w:hAnsi="宋体" w:cs="宋体" w:eastAsia="宋体" w:hint="default"/>
                <w:sz w:val="16"/>
                <w:szCs w:val="16"/>
              </w:rPr>
            </w:pPr>
            <w:r>
              <w:rPr>
                <w:rFonts w:ascii="宋体"/>
                <w:w w:val="95"/>
                <w:sz w:val="16"/>
              </w:rPr>
              <w:t>84,284,273</w:t>
            </w:r>
            <w:r>
              <w:rPr>
                <w:rFonts w:ascii="宋体"/>
                <w:sz w:val="16"/>
              </w:rPr>
            </w:r>
          </w:p>
        </w:tc>
        <w:tc>
          <w:tcPr>
            <w:tcW w:w="1447"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12,642,641</w:t>
            </w:r>
            <w:r>
              <w:rPr>
                <w:rFonts w:ascii="宋体"/>
                <w:sz w:val="16"/>
              </w:rPr>
            </w:r>
          </w:p>
        </w:tc>
        <w:tc>
          <w:tcPr>
            <w:tcW w:w="1704" w:type="dxa"/>
            <w:tcBorders>
              <w:top w:val="nil" w:sz="6" w:space="0" w:color="auto"/>
              <w:left w:val="nil" w:sz="6" w:space="0" w:color="auto"/>
              <w:bottom w:val="single" w:sz="6" w:space="0" w:color="000000"/>
              <w:right w:val="nil" w:sz="6" w:space="0" w:color="auto"/>
            </w:tcBorders>
          </w:tcPr>
          <w:p>
            <w:pPr>
              <w:pStyle w:val="TableParagraph"/>
              <w:spacing w:line="205" w:lineRule="exact"/>
              <w:ind w:right="268"/>
              <w:jc w:val="right"/>
              <w:rPr>
                <w:rFonts w:ascii="宋体" w:hAnsi="宋体" w:cs="宋体" w:eastAsia="宋体" w:hint="default"/>
                <w:sz w:val="16"/>
                <w:szCs w:val="16"/>
              </w:rPr>
            </w:pPr>
            <w:r>
              <w:rPr>
                <w:rFonts w:ascii="宋体"/>
                <w:w w:val="95"/>
                <w:sz w:val="16"/>
              </w:rPr>
              <w:t>83,191,088</w:t>
            </w:r>
            <w:r>
              <w:rPr>
                <w:rFonts w:ascii="宋体"/>
                <w:sz w:val="16"/>
              </w:rPr>
            </w:r>
          </w:p>
        </w:tc>
        <w:tc>
          <w:tcPr>
            <w:tcW w:w="1390"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12,478,663</w:t>
            </w:r>
            <w:r>
              <w:rPr>
                <w:rFonts w:ascii="宋体"/>
                <w:sz w:val="16"/>
              </w:rPr>
            </w:r>
          </w:p>
        </w:tc>
      </w:tr>
      <w:tr>
        <w:trPr>
          <w:trHeight w:val="414" w:hRule="exact"/>
        </w:trPr>
        <w:tc>
          <w:tcPr>
            <w:tcW w:w="3094" w:type="dxa"/>
            <w:gridSpan w:val="2"/>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净值</w:t>
            </w:r>
          </w:p>
        </w:tc>
        <w:tc>
          <w:tcPr>
            <w:tcW w:w="164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11"/>
              <w:jc w:val="right"/>
              <w:rPr>
                <w:rFonts w:ascii="宋体" w:hAnsi="宋体" w:cs="宋体" w:eastAsia="宋体" w:hint="default"/>
                <w:sz w:val="16"/>
                <w:szCs w:val="16"/>
              </w:rPr>
            </w:pPr>
            <w:r>
              <w:rPr>
                <w:rFonts w:ascii="宋体"/>
                <w:w w:val="90"/>
                <w:sz w:val="16"/>
              </w:rPr>
              <w:t>(768,973,092)</w:t>
            </w:r>
            <w:r>
              <w:rPr>
                <w:rFonts w:ascii="宋体"/>
                <w:sz w:val="16"/>
              </w:rPr>
            </w:r>
          </w:p>
        </w:tc>
        <w:tc>
          <w:tcPr>
            <w:tcW w:w="1447"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(125,457,945)</w:t>
            </w:r>
            <w:r>
              <w:rPr>
                <w:rFonts w:ascii="宋体"/>
                <w:sz w:val="16"/>
              </w:rPr>
            </w:r>
          </w:p>
        </w:tc>
        <w:tc>
          <w:tcPr>
            <w:tcW w:w="1704"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457" w:right="0"/>
              <w:jc w:val="left"/>
              <w:rPr>
                <w:rFonts w:ascii="宋体" w:hAnsi="宋体" w:cs="宋体" w:eastAsia="宋体" w:hint="default"/>
                <w:sz w:val="16"/>
                <w:szCs w:val="16"/>
              </w:rPr>
            </w:pPr>
            <w:r>
              <w:rPr>
                <w:rFonts w:ascii="宋体"/>
                <w:sz w:val="16"/>
              </w:rPr>
              <w:t>(765,234,445)</w:t>
            </w:r>
          </w:p>
        </w:tc>
        <w:tc>
          <w:tcPr>
            <w:tcW w:w="1390"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0"/>
                <w:sz w:val="16"/>
              </w:rPr>
              <w:t>(124,585,795)</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right="125"/>
        <w:jc w:val="left"/>
      </w:pPr>
      <w:r>
        <w:rPr>
          <w:w w:val="80"/>
        </w:rPr>
        <w:t>(iii)</w:t>
      </w:r>
      <w:r>
        <w:rPr>
          <w:spacing w:val="-17"/>
          <w:w w:val="80"/>
        </w:rPr>
        <w:t> </w:t>
      </w:r>
      <w:r>
        <w:rPr>
          <w:w w:val="90"/>
        </w:rPr>
        <w:t>注释</w:t>
      </w:r>
    </w:p>
    <w:p>
      <w:pPr>
        <w:spacing w:line="240" w:lineRule="auto" w:before="5"/>
        <w:rPr>
          <w:rFonts w:ascii="宋体" w:hAnsi="宋体" w:cs="宋体" w:eastAsia="宋体" w:hint="default"/>
          <w:sz w:val="16"/>
          <w:szCs w:val="16"/>
        </w:rPr>
      </w:pPr>
    </w:p>
    <w:p>
      <w:pPr>
        <w:pStyle w:val="BodyText"/>
        <w:spacing w:line="285" w:lineRule="auto"/>
        <w:ind w:left="794" w:right="128"/>
        <w:jc w:val="both"/>
      </w:pPr>
      <w:r>
        <w:rPr>
          <w:spacing w:val="-1"/>
        </w:rPr>
        <w:t>以上递延所得税资产及负债是根据本集团在各期间因暂时性差异对所得税影响金额计算。在资产负债表债务法下，</w:t>
      </w:r>
      <w:r>
        <w:rPr>
          <w:spacing w:val="-83"/>
        </w:rPr>
        <w:t> </w:t>
      </w:r>
      <w:r>
        <w:rPr>
          <w:spacing w:val="-83"/>
        </w:rPr>
      </w:r>
      <w:r>
        <w:rPr>
          <w:spacing w:val="2"/>
        </w:rPr>
        <w:t>暂时性差异对所得税的影响金额，在考虑了当时有关税务法规及市场发展情况，可以递延和分配到以后各期。这</w:t>
      </w:r>
      <w:r>
        <w:rPr>
          <w:spacing w:val="-51"/>
        </w:rPr>
        <w:t> </w:t>
      </w:r>
      <w:r>
        <w:rPr>
          <w:spacing w:val="-51"/>
        </w:rPr>
      </w:r>
      <w:r>
        <w:rPr/>
        <w:t>些暂时性差异的详细说明如下：</w:t>
      </w:r>
    </w:p>
    <w:p>
      <w:pPr>
        <w:spacing w:line="240" w:lineRule="auto" w:before="10"/>
        <w:rPr>
          <w:rFonts w:ascii="宋体" w:hAnsi="宋体" w:cs="宋体" w:eastAsia="宋体" w:hint="default"/>
          <w:sz w:val="13"/>
          <w:szCs w:val="13"/>
        </w:rPr>
      </w:pPr>
    </w:p>
    <w:p>
      <w:pPr>
        <w:pStyle w:val="BodyText"/>
        <w:spacing w:line="285" w:lineRule="auto"/>
        <w:ind w:left="794" w:right="125" w:hanging="340"/>
        <w:jc w:val="both"/>
      </w:pPr>
      <w:r>
        <w:rPr>
          <w:spacing w:val="-1"/>
          <w:w w:val="73"/>
        </w:rPr>
        <w:t>(1)</w:t>
      </w:r>
      <w:r>
        <w:rPr>
          <w:spacing w:val="8"/>
          <w:w w:val="73"/>
        </w:rPr>
        <w:t> </w:t>
      </w:r>
      <w:r>
        <w:rPr>
          <w:spacing w:val="2"/>
        </w:rPr>
        <w:t>本公司于资产负债表日对集团内受同一纳税征管部门管理的同一纳税实体的递延所得税资产和递延所得税负债的</w:t>
      </w:r>
      <w:r>
        <w:rPr>
          <w:spacing w:val="2"/>
        </w:rPr>
        <w:t> 余额进行分析，如果递延所得税资产的余额大于递延所得税负债的余额，则将递延所得税资产与递延所得税负债</w:t>
      </w:r>
      <w:r>
        <w:rPr>
          <w:spacing w:val="3"/>
        </w:rPr>
        <w:t> </w:t>
      </w:r>
      <w:r>
        <w:rPr>
          <w:spacing w:val="2"/>
        </w:rPr>
        <w:t>抵销后的净额列示于资产负债表的“递延所得税资产”项下；如果递延所得税资产的余额小于递延所得税负债的</w:t>
      </w:r>
      <w:r>
        <w:rPr>
          <w:spacing w:val="3"/>
        </w:rPr>
        <w:t> </w:t>
      </w:r>
      <w:r>
        <w:rPr/>
        <w:t>余额，则将递延所得税资产与递延所得税负债抵销后的净额列示于资产负债表的“递延所得税负债”项下。</w:t>
      </w:r>
    </w:p>
    <w:p>
      <w:pPr>
        <w:spacing w:line="240" w:lineRule="auto" w:before="10"/>
        <w:rPr>
          <w:rFonts w:ascii="宋体" w:hAnsi="宋体" w:cs="宋体" w:eastAsia="宋体" w:hint="default"/>
          <w:sz w:val="13"/>
          <w:szCs w:val="13"/>
        </w:rPr>
      </w:pPr>
    </w:p>
    <w:p>
      <w:pPr>
        <w:pStyle w:val="BodyText"/>
        <w:spacing w:line="285" w:lineRule="auto"/>
        <w:ind w:left="794" w:right="125" w:hanging="340"/>
        <w:jc w:val="both"/>
      </w:pPr>
      <w:r>
        <w:rPr>
          <w:spacing w:val="-1"/>
          <w:w w:val="73"/>
        </w:rPr>
        <w:t>(2)</w:t>
      </w:r>
      <w:r>
        <w:rPr>
          <w:spacing w:val="46"/>
          <w:w w:val="73"/>
        </w:rPr>
        <w:t> </w:t>
      </w:r>
      <w:r>
        <w:rPr>
          <w:spacing w:val="2"/>
        </w:rPr>
        <w:t>本集团于资产负债表日，对有关资产减值准备是否能在未来为本集团抵扣以后年度的所得税进行评估。按税务法</w:t>
      </w:r>
      <w:r>
        <w:rPr>
          <w:spacing w:val="-87"/>
        </w:rPr>
        <w:t> </w:t>
      </w:r>
      <w:r>
        <w:rPr>
          <w:spacing w:val="-87"/>
        </w:rPr>
      </w:r>
      <w:r>
        <w:rPr>
          <w:spacing w:val="2"/>
        </w:rPr>
        <w:t>规的有关规定，当期计提的各项资产减值准备虽然不得在当期税前列支，但期后可于相关资产的减值损失实现时</w:t>
      </w:r>
      <w:r>
        <w:rPr>
          <w:spacing w:val="3"/>
        </w:rPr>
        <w:t> </w:t>
      </w:r>
      <w:r>
        <w:rPr>
          <w:spacing w:val="2"/>
        </w:rPr>
        <w:t>在税前列支。这些已减值的资产按纳税的需要根据减值前的金额通过折旧和摊销在以后年度抵减应纳税所得额。</w:t>
      </w:r>
      <w:r>
        <w:rPr/>
        <w:t> 因此本集团对确信可于未来期间实现的资产减值准备对所得税的影响，确认递延所得税资产。</w:t>
      </w:r>
    </w:p>
    <w:p>
      <w:pPr>
        <w:spacing w:line="240" w:lineRule="auto" w:before="10"/>
        <w:rPr>
          <w:rFonts w:ascii="宋体" w:hAnsi="宋体" w:cs="宋体" w:eastAsia="宋体" w:hint="default"/>
          <w:sz w:val="13"/>
          <w:szCs w:val="13"/>
        </w:rPr>
      </w:pPr>
    </w:p>
    <w:p>
      <w:pPr>
        <w:pStyle w:val="BodyText"/>
        <w:spacing w:line="285" w:lineRule="auto"/>
        <w:ind w:left="793" w:right="128" w:hanging="340"/>
        <w:jc w:val="both"/>
      </w:pPr>
      <w:r>
        <w:rPr>
          <w:spacing w:val="-1"/>
          <w:w w:val="73"/>
        </w:rPr>
        <w:t>(3)</w:t>
      </w:r>
      <w:r>
        <w:rPr>
          <w:spacing w:val="41"/>
          <w:w w:val="73"/>
        </w:rPr>
        <w:t> </w:t>
      </w:r>
      <w:r>
        <w:rPr>
          <w:spacing w:val="1"/>
        </w:rPr>
        <w:t>应收款项坏账准备所对应的递延所得税资产主要由本集团计提的应收账款及其他应收款坏账准备产生。根据税收</w:t>
      </w:r>
      <w:r>
        <w:rPr>
          <w:spacing w:val="-77"/>
        </w:rPr>
        <w:t> </w:t>
      </w:r>
      <w:r>
        <w:rPr>
          <w:spacing w:val="-77"/>
        </w:rPr>
      </w:r>
      <w:r>
        <w:rPr>
          <w:spacing w:val="2"/>
        </w:rPr>
        <w:t>相关法规，实际坏账损失经向主管税务机关报备后可作为税前扣除项目。因此，本集团将尚未形成实际坏账损失</w:t>
      </w:r>
      <w:r>
        <w:rPr>
          <w:spacing w:val="3"/>
        </w:rPr>
        <w:t> </w:t>
      </w:r>
      <w:r>
        <w:rPr/>
        <w:t>的坏账准备所对应的所得税的影响确认为递延所得税资产，而将形成坏账损失的坏账准备向主管税务机关报备后</w:t>
      </w:r>
      <w:r>
        <w:rPr>
          <w:spacing w:val="2"/>
        </w:rPr>
        <w:t> </w:t>
      </w:r>
      <w:r>
        <w:rPr/>
        <w:t>于所得税前扣除，同时转回相应的递延所得税资产。</w:t>
      </w:r>
    </w:p>
    <w:p>
      <w:pPr>
        <w:spacing w:after="0" w:line="285" w:lineRule="auto"/>
        <w:jc w:val="both"/>
        <w:sectPr>
          <w:headerReference w:type="default" r:id="rId326"/>
          <w:headerReference w:type="even" r:id="rId327"/>
          <w:pgSz w:w="11910" w:h="16160"/>
          <w:pgMar w:header="2796" w:footer="298" w:top="3900" w:bottom="480" w:left="136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48、所得税（续）</w:t>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(c)</w:t>
      </w:r>
      <w:r>
        <w:rPr>
          <w:spacing w:val="-21"/>
        </w:rPr>
        <w:t> </w:t>
      </w:r>
      <w:r>
        <w:rPr/>
        <w:t>递延所得税资产及负债包括以下暂时性差异对所得税的影响（续）：</w:t>
      </w:r>
    </w:p>
    <w:p>
      <w:pPr>
        <w:spacing w:line="240" w:lineRule="auto" w:before="12"/>
        <w:rPr>
          <w:rFonts w:ascii="宋体" w:hAnsi="宋体" w:cs="宋体" w:eastAsia="宋体" w:hint="default"/>
          <w:sz w:val="17"/>
          <w:szCs w:val="17"/>
        </w:rPr>
      </w:pPr>
    </w:p>
    <w:p>
      <w:pPr>
        <w:pStyle w:val="BodyText"/>
        <w:spacing w:line="240" w:lineRule="auto"/>
        <w:ind w:left="453" w:right="125"/>
        <w:jc w:val="left"/>
      </w:pPr>
      <w:r>
        <w:rPr>
          <w:w w:val="80"/>
        </w:rPr>
        <w:t>(iii)</w:t>
      </w:r>
      <w:r>
        <w:rPr>
          <w:spacing w:val="-3"/>
          <w:w w:val="80"/>
        </w:rPr>
        <w:t> </w:t>
      </w:r>
      <w:r>
        <w:rPr>
          <w:w w:val="90"/>
        </w:rPr>
        <w:t>注释（续）</w:t>
      </w:r>
    </w:p>
    <w:p>
      <w:pPr>
        <w:spacing w:line="240" w:lineRule="auto" w:before="5"/>
        <w:rPr>
          <w:rFonts w:ascii="宋体" w:hAnsi="宋体" w:cs="宋体" w:eastAsia="宋体" w:hint="default"/>
          <w:sz w:val="16"/>
          <w:szCs w:val="16"/>
        </w:rPr>
      </w:pPr>
    </w:p>
    <w:p>
      <w:pPr>
        <w:pStyle w:val="BodyText"/>
        <w:spacing w:line="285" w:lineRule="auto"/>
        <w:ind w:left="793" w:right="125" w:hanging="340"/>
        <w:jc w:val="both"/>
      </w:pPr>
      <w:r>
        <w:rPr>
          <w:spacing w:val="-1"/>
          <w:w w:val="73"/>
        </w:rPr>
        <w:t>(4)</w:t>
      </w:r>
      <w:r>
        <w:rPr>
          <w:spacing w:val="43"/>
          <w:w w:val="73"/>
        </w:rPr>
        <w:t> </w:t>
      </w:r>
      <w:r>
        <w:rPr>
          <w:spacing w:val="2"/>
        </w:rPr>
        <w:t>本集团对本年已经发生但尚未支付的成本费用在合理估计的基础上进行预提。而根据中国税收法规的有关规定，</w:t>
      </w:r>
      <w:r>
        <w:rPr>
          <w:spacing w:val="-86"/>
        </w:rPr>
        <w:t> </w:t>
      </w:r>
      <w:r>
        <w:rPr>
          <w:spacing w:val="-86"/>
        </w:rPr>
      </w:r>
      <w:r>
        <w:rPr>
          <w:spacing w:val="2"/>
        </w:rPr>
        <w:t>成本费用应该按照实际发生额在税前列支，对于没有明确证据的预提费用不得在税前列支，因此本集团对估计预</w:t>
      </w:r>
      <w:r>
        <w:rPr>
          <w:spacing w:val="3"/>
        </w:rPr>
        <w:t> </w:t>
      </w:r>
      <w:r>
        <w:rPr>
          <w:spacing w:val="2"/>
        </w:rPr>
        <w:t>提的成本费用确认了相应的递延所得税资产，并在该等估计预提成本费用实际支付时，将有关递延所得税资产予</w:t>
      </w:r>
      <w:r>
        <w:rPr>
          <w:spacing w:val="3"/>
        </w:rPr>
        <w:t> </w:t>
      </w:r>
      <w:r>
        <w:rPr/>
        <w:t>以转回。</w:t>
      </w:r>
    </w:p>
    <w:p>
      <w:pPr>
        <w:spacing w:line="240" w:lineRule="auto" w:before="10"/>
        <w:rPr>
          <w:rFonts w:ascii="宋体" w:hAnsi="宋体" w:cs="宋体" w:eastAsia="宋体" w:hint="default"/>
          <w:sz w:val="13"/>
          <w:szCs w:val="13"/>
        </w:rPr>
      </w:pPr>
    </w:p>
    <w:p>
      <w:pPr>
        <w:pStyle w:val="BodyText"/>
        <w:spacing w:line="285" w:lineRule="auto"/>
        <w:ind w:left="793" w:right="126" w:hanging="340"/>
        <w:jc w:val="both"/>
      </w:pPr>
      <w:r>
        <w:rPr>
          <w:spacing w:val="-1"/>
          <w:w w:val="73"/>
        </w:rPr>
        <w:t>(5)</w:t>
      </w:r>
      <w:r>
        <w:rPr>
          <w:spacing w:val="22"/>
          <w:w w:val="73"/>
        </w:rPr>
        <w:t> </w:t>
      </w:r>
      <w:r>
        <w:rPr>
          <w:spacing w:val="1"/>
        </w:rPr>
        <w:t>本集团于</w:t>
      </w:r>
      <w:r>
        <w:rPr>
          <w:spacing w:val="-40"/>
        </w:rPr>
        <w:t> </w:t>
      </w:r>
      <w:r>
        <w:rPr>
          <w:spacing w:val="-1"/>
          <w:w w:val="111"/>
        </w:rPr>
        <w:t>2008</w:t>
      </w:r>
      <w:r>
        <w:rPr>
          <w:spacing w:val="-50"/>
          <w:w w:val="111"/>
        </w:rPr>
        <w:t> </w:t>
      </w:r>
      <w:r>
        <w:rPr>
          <w:spacing w:val="1"/>
        </w:rPr>
        <w:t>年度出售</w:t>
      </w:r>
      <w:r>
        <w:rPr>
          <w:spacing w:val="-40"/>
        </w:rPr>
        <w:t> </w:t>
      </w:r>
      <w:r>
        <w:rPr>
          <w:spacing w:val="-1"/>
          <w:w w:val="149"/>
        </w:rPr>
        <w:t>CDMA</w:t>
      </w:r>
      <w:r>
        <w:rPr>
          <w:spacing w:val="-85"/>
          <w:w w:val="149"/>
        </w:rPr>
        <w:t> </w:t>
      </w:r>
      <w:r>
        <w:rPr>
          <w:spacing w:val="1"/>
        </w:rPr>
        <w:t>业务时，因承诺未来一段时间内向中国电信提供若干服务而确认了递延收益。因</w:t>
      </w:r>
      <w:r>
        <w:rPr>
          <w:spacing w:val="-86"/>
        </w:rPr>
        <w:t> </w:t>
      </w:r>
      <w:r>
        <w:rPr>
          <w:spacing w:val="-86"/>
        </w:rPr>
      </w:r>
      <w:r>
        <w:rPr/>
        <w:t>在税法下该收益于 CDMA 业务出售期间计入当期应税收入并缴纳所得税，而在会计上该收益将在以后服务提供期</w:t>
      </w:r>
      <w:r>
        <w:rPr>
          <w:spacing w:val="1"/>
        </w:rPr>
        <w:t> </w:t>
      </w:r>
      <w:r>
        <w:rPr>
          <w:w w:val="105"/>
        </w:rPr>
        <w:t>间确认收入，由此产生的暂时性差异被确认了相关的递延所得税资产。</w:t>
      </w:r>
    </w:p>
    <w:p>
      <w:pPr>
        <w:spacing w:line="240" w:lineRule="auto" w:before="10"/>
        <w:rPr>
          <w:rFonts w:ascii="宋体" w:hAnsi="宋体" w:cs="宋体" w:eastAsia="宋体" w:hint="default"/>
          <w:sz w:val="13"/>
          <w:szCs w:val="13"/>
        </w:rPr>
      </w:pPr>
    </w:p>
    <w:p>
      <w:pPr>
        <w:pStyle w:val="BodyText"/>
        <w:spacing w:line="285" w:lineRule="auto"/>
        <w:ind w:left="793" w:right="126"/>
        <w:jc w:val="both"/>
      </w:pPr>
      <w:r>
        <w:rPr>
          <w:spacing w:val="2"/>
        </w:rPr>
        <w:t>另外，本集团实施积分奖励计划，将部分交易价格分摊至用户在未来购买本集团商品或服务时可兑换抵扣的奖励</w:t>
      </w:r>
      <w:r>
        <w:rPr>
          <w:spacing w:val="-49"/>
        </w:rPr>
        <w:t> </w:t>
      </w:r>
      <w:r>
        <w:rPr>
          <w:spacing w:val="-49"/>
        </w:rPr>
      </w:r>
      <w:r>
        <w:rPr>
          <w:spacing w:val="2"/>
        </w:rPr>
        <w:t>积分。分摊比例按照奖励积分和相关商品或服务单独售价的相对比例确定。本集团将分摊至奖励积分的金额予以</w:t>
      </w:r>
      <w:r>
        <w:rPr>
          <w:spacing w:val="-49"/>
        </w:rPr>
        <w:t> </w:t>
      </w:r>
      <w:r>
        <w:rPr>
          <w:spacing w:val="-49"/>
        </w:rPr>
      </w:r>
      <w:r>
        <w:rPr>
          <w:spacing w:val="2"/>
        </w:rPr>
        <w:t>递延并在积分兑换或到期时确认为收入。但是根据税法要求，当本集团就向用户收取或应收现金时即已产生纳税</w:t>
      </w:r>
      <w:r>
        <w:rPr>
          <w:spacing w:val="-49"/>
        </w:rPr>
        <w:t> </w:t>
      </w:r>
      <w:r>
        <w:rPr>
          <w:spacing w:val="-49"/>
        </w:rPr>
      </w:r>
      <w:r>
        <w:rPr>
          <w:spacing w:val="2"/>
        </w:rPr>
        <w:t>义务，而非在积分兑换当期。因此，年末未兑换的积分奖励计划的递延收益对应的所得税影响被确认为递延所得</w:t>
      </w:r>
      <w:r>
        <w:rPr>
          <w:spacing w:val="-51"/>
        </w:rPr>
        <w:t> </w:t>
      </w:r>
      <w:r>
        <w:rPr>
          <w:spacing w:val="-51"/>
        </w:rPr>
      </w:r>
      <w:r>
        <w:rPr/>
        <w:t>税资产。</w:t>
      </w:r>
    </w:p>
    <w:p>
      <w:pPr>
        <w:spacing w:line="240" w:lineRule="auto" w:before="10"/>
        <w:rPr>
          <w:rFonts w:ascii="宋体" w:hAnsi="宋体" w:cs="宋体" w:eastAsia="宋体" w:hint="default"/>
          <w:sz w:val="13"/>
          <w:szCs w:val="13"/>
        </w:rPr>
      </w:pPr>
    </w:p>
    <w:p>
      <w:pPr>
        <w:pStyle w:val="BodyText"/>
        <w:spacing w:line="285" w:lineRule="auto"/>
        <w:ind w:left="793" w:right="131"/>
        <w:jc w:val="both"/>
      </w:pPr>
      <w:r>
        <w:rPr/>
        <w:t>在税法下与资产相关以及与收益相关的政府补助于收到当期计入应税收入并缴纳所得税，而在会计上将在以后递</w:t>
      </w:r>
      <w:r>
        <w:rPr>
          <w:spacing w:val="5"/>
        </w:rPr>
        <w:t> </w:t>
      </w:r>
      <w:r>
        <w:rPr>
          <w:spacing w:val="5"/>
        </w:rPr>
      </w:r>
      <w:r>
        <w:rPr/>
        <w:t>延收益摊销期间确认收入，由此产生的暂时性差异确认为相关的递延所得税资产。</w:t>
      </w:r>
    </w:p>
    <w:p>
      <w:pPr>
        <w:spacing w:line="240" w:lineRule="auto" w:before="10"/>
        <w:rPr>
          <w:rFonts w:ascii="宋体" w:hAnsi="宋体" w:cs="宋体" w:eastAsia="宋体" w:hint="default"/>
          <w:sz w:val="13"/>
          <w:szCs w:val="13"/>
        </w:rPr>
      </w:pPr>
    </w:p>
    <w:p>
      <w:pPr>
        <w:pStyle w:val="BodyText"/>
        <w:spacing w:line="285" w:lineRule="auto"/>
        <w:ind w:left="793" w:right="126" w:hanging="340"/>
        <w:jc w:val="both"/>
      </w:pPr>
      <w:r>
        <w:rPr>
          <w:spacing w:val="-1"/>
          <w:w w:val="73"/>
        </w:rPr>
        <w:t>(6)</w:t>
      </w:r>
      <w:r>
        <w:rPr>
          <w:spacing w:val="46"/>
          <w:w w:val="73"/>
        </w:rPr>
        <w:t> </w:t>
      </w:r>
      <w:r>
        <w:rPr>
          <w:spacing w:val="2"/>
        </w:rPr>
        <w:t>本集团位于中国境内的若干子公司年末有未支付的工资。根据中国税收法规的有关规定，年末未发放的工资薪金</w:t>
      </w:r>
      <w:r>
        <w:rPr>
          <w:spacing w:val="-87"/>
        </w:rPr>
        <w:t> </w:t>
      </w:r>
      <w:r>
        <w:rPr>
          <w:spacing w:val="-87"/>
        </w:rPr>
      </w:r>
      <w:r>
        <w:rPr/>
        <w:t>在以后期间实际发放时或一定比例内计提的企业年金在缴纳时，经主管税务机关审核，可在实际发放</w:t>
      </w:r>
      <w:r>
        <w:rPr>
          <w:spacing w:val="-63"/>
        </w:rPr>
        <w:t> </w:t>
      </w:r>
      <w:r>
        <w:rPr>
          <w:w w:val="95"/>
        </w:rPr>
        <w:t>/</w:t>
      </w:r>
      <w:r>
        <w:rPr>
          <w:spacing w:val="-58"/>
          <w:w w:val="95"/>
        </w:rPr>
        <w:t> </w:t>
      </w:r>
      <w:r>
        <w:rPr/>
        <w:t>缴纳期间企</w:t>
      </w:r>
      <w:r>
        <w:rPr/>
        <w:t> 业所得税前扣除，由此产生的暂时性差异被确认为递延所得税资产。</w:t>
      </w:r>
    </w:p>
    <w:p>
      <w:pPr>
        <w:spacing w:line="240" w:lineRule="auto" w:before="10"/>
        <w:rPr>
          <w:rFonts w:ascii="宋体" w:hAnsi="宋体" w:cs="宋体" w:eastAsia="宋体" w:hint="default"/>
          <w:sz w:val="13"/>
          <w:szCs w:val="13"/>
        </w:rPr>
      </w:pPr>
    </w:p>
    <w:p>
      <w:pPr>
        <w:pStyle w:val="BodyText"/>
        <w:spacing w:line="285" w:lineRule="auto"/>
        <w:ind w:left="793" w:right="131" w:hanging="340"/>
        <w:jc w:val="both"/>
      </w:pPr>
      <w:r>
        <w:rPr>
          <w:spacing w:val="-1"/>
          <w:w w:val="73"/>
        </w:rPr>
        <w:t>(7)</w:t>
      </w:r>
      <w:r>
        <w:rPr>
          <w:spacing w:val="42"/>
          <w:w w:val="73"/>
        </w:rPr>
        <w:t> </w:t>
      </w:r>
      <w:r>
        <w:rPr>
          <w:spacing w:val="1"/>
        </w:rPr>
        <w:t>本集团子公司之间的内部交易产生的未实现利润抵销构成会计与税务上的暂时性差异，其所得税影响确认递延所</w:t>
      </w:r>
      <w:r>
        <w:rPr>
          <w:spacing w:val="-77"/>
        </w:rPr>
        <w:t> </w:t>
      </w:r>
      <w:r>
        <w:rPr>
          <w:spacing w:val="-77"/>
        </w:rPr>
      </w:r>
      <w:r>
        <w:rPr/>
        <w:t>得税资产。</w:t>
      </w:r>
    </w:p>
    <w:p>
      <w:pPr>
        <w:spacing w:line="240" w:lineRule="auto" w:before="10"/>
        <w:rPr>
          <w:rFonts w:ascii="宋体" w:hAnsi="宋体" w:cs="宋体" w:eastAsia="宋体" w:hint="default"/>
          <w:sz w:val="13"/>
          <w:szCs w:val="13"/>
        </w:rPr>
      </w:pPr>
    </w:p>
    <w:p>
      <w:pPr>
        <w:pStyle w:val="BodyText"/>
        <w:spacing w:line="285" w:lineRule="auto"/>
        <w:ind w:left="793" w:right="126" w:hanging="340"/>
        <w:jc w:val="both"/>
      </w:pPr>
      <w:r>
        <w:rPr>
          <w:spacing w:val="-1"/>
          <w:w w:val="73"/>
        </w:rPr>
        <w:t>(8)</w:t>
      </w:r>
      <w:r>
        <w:rPr>
          <w:spacing w:val="46"/>
          <w:w w:val="73"/>
        </w:rPr>
        <w:t> </w:t>
      </w:r>
      <w:r>
        <w:rPr>
          <w:spacing w:val="2"/>
        </w:rPr>
        <w:t>中讯设计院、联通香港运营等子公司部分固定资产的折旧年限在会计与税务上存在差异，此暂时性差异的所得税</w:t>
      </w:r>
      <w:r>
        <w:rPr>
          <w:spacing w:val="-87"/>
        </w:rPr>
        <w:t> </w:t>
      </w:r>
      <w:r>
        <w:rPr>
          <w:spacing w:val="-87"/>
        </w:rPr>
      </w:r>
      <w:r>
        <w:rPr/>
        <w:t>影响确认递延所得税资产或负债。</w:t>
      </w:r>
    </w:p>
    <w:p>
      <w:pPr>
        <w:spacing w:line="240" w:lineRule="auto" w:before="10"/>
        <w:rPr>
          <w:rFonts w:ascii="宋体" w:hAnsi="宋体" w:cs="宋体" w:eastAsia="宋体" w:hint="default"/>
          <w:sz w:val="13"/>
          <w:szCs w:val="13"/>
        </w:rPr>
      </w:pPr>
    </w:p>
    <w:p>
      <w:pPr>
        <w:pStyle w:val="BodyText"/>
        <w:spacing w:line="285" w:lineRule="auto"/>
        <w:ind w:left="793" w:right="126" w:hanging="340"/>
        <w:jc w:val="both"/>
      </w:pPr>
      <w:r>
        <w:rPr>
          <w:spacing w:val="-1"/>
          <w:w w:val="73"/>
        </w:rPr>
        <w:t>(9)</w:t>
      </w:r>
      <w:r>
        <w:rPr>
          <w:spacing w:val="43"/>
          <w:w w:val="73"/>
        </w:rPr>
        <w:t> </w:t>
      </w:r>
      <w:r>
        <w:rPr>
          <w:spacing w:val="2"/>
        </w:rPr>
        <w:t>中讯设计院和规划设计院进行公司制改建时确认了相关资产的评估增值，并按评估值作为基础计提折旧及摊销；</w:t>
      </w:r>
      <w:r>
        <w:rPr>
          <w:spacing w:val="-86"/>
        </w:rPr>
        <w:t> </w:t>
      </w:r>
      <w:r>
        <w:rPr>
          <w:spacing w:val="-86"/>
        </w:rPr>
      </w:r>
      <w:r>
        <w:rPr>
          <w:spacing w:val="2"/>
        </w:rPr>
        <w:t>而根据所得税法规定，中讯设计院和规划设计院仍按原计税基础，即资产以历史成本为计税基础并按历史成本计</w:t>
      </w:r>
      <w:r>
        <w:rPr>
          <w:spacing w:val="3"/>
        </w:rPr>
        <w:t> </w:t>
      </w:r>
      <w:r>
        <w:rPr/>
        <w:t>提折旧和摊销并计算应交所得税，因此资产评估增值的所得税影响被确认为递延所得税负债。</w:t>
      </w:r>
    </w:p>
    <w:p>
      <w:pPr>
        <w:spacing w:line="240" w:lineRule="auto" w:before="10"/>
        <w:rPr>
          <w:rFonts w:ascii="宋体" w:hAnsi="宋体" w:cs="宋体" w:eastAsia="宋体" w:hint="default"/>
          <w:sz w:val="13"/>
          <w:szCs w:val="13"/>
        </w:rPr>
      </w:pPr>
    </w:p>
    <w:p>
      <w:pPr>
        <w:pStyle w:val="BodyText"/>
        <w:spacing w:line="285" w:lineRule="auto"/>
        <w:ind w:left="793" w:right="126" w:hanging="341"/>
        <w:jc w:val="both"/>
      </w:pPr>
      <w:r>
        <w:rPr>
          <w:spacing w:val="-1"/>
          <w:w w:val="83"/>
        </w:rPr>
        <w:t>(10)</w:t>
      </w:r>
      <w:r>
        <w:rPr>
          <w:w w:val="83"/>
        </w:rPr>
        <w:t> </w:t>
      </w:r>
      <w:r>
        <w:rPr>
          <w:spacing w:val="1"/>
        </w:rPr>
        <w:t>按照企业会计准则要求，本集团每一会计期间会确认本集团持有的其他权益工具投资的公允价值的变动并计入其</w:t>
      </w:r>
      <w:r>
        <w:rPr>
          <w:spacing w:val="-77"/>
        </w:rPr>
        <w:t> </w:t>
      </w:r>
      <w:r>
        <w:rPr>
          <w:spacing w:val="-77"/>
        </w:rPr>
      </w:r>
      <w:r>
        <w:rPr>
          <w:spacing w:val="2"/>
        </w:rPr>
        <w:t>他综合收益。在本集团持有该等其他权益工具投资期间不计入应纳税所得额，而实际处置或出售该等其他权益工</w:t>
      </w:r>
      <w:r>
        <w:rPr>
          <w:spacing w:val="3"/>
        </w:rPr>
        <w:t> </w:t>
      </w:r>
      <w:r>
        <w:rPr/>
        <w:t>具投资时产生的收益或损失将计入当期应纳税所得额，由此产生的暂时性差异的所得税影响被确认为递延所得税</w:t>
      </w:r>
      <w:r>
        <w:rPr>
          <w:spacing w:val="2"/>
        </w:rPr>
        <w:t> </w:t>
      </w:r>
      <w:r>
        <w:rPr/>
        <w:t>负债（对收益）或递延所得税资产（对损失）。</w:t>
      </w:r>
    </w:p>
    <w:p>
      <w:pPr>
        <w:spacing w:line="240" w:lineRule="auto" w:before="10"/>
        <w:rPr>
          <w:rFonts w:ascii="宋体" w:hAnsi="宋体" w:cs="宋体" w:eastAsia="宋体" w:hint="default"/>
          <w:sz w:val="13"/>
          <w:szCs w:val="13"/>
        </w:rPr>
      </w:pPr>
    </w:p>
    <w:p>
      <w:pPr>
        <w:pStyle w:val="BodyText"/>
        <w:spacing w:line="285" w:lineRule="auto"/>
        <w:ind w:left="793" w:right="132" w:hanging="341"/>
        <w:jc w:val="both"/>
      </w:pPr>
      <w:r>
        <w:rPr>
          <w:spacing w:val="-1"/>
          <w:w w:val="83"/>
        </w:rPr>
        <w:t>(11)</w:t>
      </w:r>
      <w:r>
        <w:rPr>
          <w:w w:val="83"/>
        </w:rPr>
        <w:t> </w:t>
      </w:r>
      <w:r>
        <w:rPr>
          <w:spacing w:val="1"/>
        </w:rPr>
        <w:t>由于出售铁塔资产未实现利润中按持股比例占有部分构成会计与税务上的暂时性差异，其所得税影响确认递延所</w:t>
      </w:r>
      <w:r>
        <w:rPr>
          <w:spacing w:val="-77"/>
        </w:rPr>
        <w:t> </w:t>
      </w:r>
      <w:r>
        <w:rPr>
          <w:spacing w:val="-77"/>
        </w:rPr>
      </w:r>
      <w:r>
        <w:rPr/>
        <w:t>得税资产。</w:t>
      </w:r>
    </w:p>
    <w:p>
      <w:pPr>
        <w:spacing w:line="240" w:lineRule="auto" w:before="10"/>
        <w:rPr>
          <w:rFonts w:ascii="宋体" w:hAnsi="宋体" w:cs="宋体" w:eastAsia="宋体" w:hint="default"/>
          <w:sz w:val="13"/>
          <w:szCs w:val="13"/>
        </w:rPr>
      </w:pPr>
    </w:p>
    <w:p>
      <w:pPr>
        <w:pStyle w:val="BodyText"/>
        <w:spacing w:line="240" w:lineRule="auto"/>
        <w:ind w:left="452" w:right="125"/>
        <w:jc w:val="left"/>
      </w:pPr>
      <w:r>
        <w:rPr>
          <w:w w:val="95"/>
        </w:rPr>
        <w:t>(12)   </w:t>
      </w:r>
      <w:r>
        <w:rPr>
          <w:spacing w:val="69"/>
          <w:w w:val="95"/>
        </w:rPr>
        <w:t> </w:t>
      </w:r>
      <w:r>
        <w:rPr>
          <w:w w:val="95"/>
        </w:rPr>
        <w:t>本集团部分软件的摊销年限在会计与税务上存在差异，此暂时性差异的所得税影响确认递延所得税资产。</w:t>
      </w:r>
    </w:p>
    <w:p>
      <w:pPr>
        <w:spacing w:after="0" w:line="240" w:lineRule="auto"/>
        <w:jc w:val="left"/>
        <w:sectPr>
          <w:pgSz w:w="11910" w:h="16160"/>
          <w:pgMar w:header="1200" w:footer="320" w:top="2120" w:bottom="520" w:left="680" w:right="1340"/>
        </w:sectPr>
      </w:pPr>
    </w:p>
    <w:p>
      <w:pPr>
        <w:spacing w:line="240" w:lineRule="auto" w:before="7"/>
        <w:rPr>
          <w:rFonts w:ascii="宋体" w:hAnsi="宋体" w:cs="宋体" w:eastAsia="宋体" w:hint="default"/>
          <w:sz w:val="14"/>
          <w:szCs w:val="14"/>
        </w:rPr>
      </w:pPr>
    </w:p>
    <w:p>
      <w:pPr>
        <w:pStyle w:val="BodyText"/>
        <w:spacing w:line="240" w:lineRule="auto" w:before="31"/>
        <w:ind w:right="0"/>
        <w:jc w:val="left"/>
      </w:pPr>
      <w:r>
        <w:rPr>
          <w:w w:val="80"/>
        </w:rPr>
        <w:t>(iii)</w:t>
      </w:r>
      <w:r>
        <w:rPr>
          <w:spacing w:val="-3"/>
          <w:w w:val="80"/>
        </w:rPr>
        <w:t> </w:t>
      </w:r>
      <w:r>
        <w:rPr>
          <w:w w:val="90"/>
        </w:rPr>
        <w:t>注释（续）</w:t>
      </w:r>
    </w:p>
    <w:p>
      <w:pPr>
        <w:spacing w:line="240" w:lineRule="auto" w:before="5"/>
        <w:rPr>
          <w:rFonts w:ascii="宋体" w:hAnsi="宋体" w:cs="宋体" w:eastAsia="宋体" w:hint="default"/>
          <w:sz w:val="16"/>
          <w:szCs w:val="16"/>
        </w:rPr>
      </w:pPr>
    </w:p>
    <w:p>
      <w:pPr>
        <w:pStyle w:val="BodyText"/>
        <w:spacing w:line="240" w:lineRule="auto"/>
        <w:ind w:right="0"/>
        <w:jc w:val="left"/>
      </w:pPr>
      <w:r>
        <w:rPr>
          <w:w w:val="55"/>
        </w:rPr>
        <w:t>(</w:t>
      </w:r>
      <w:r>
        <w:rPr>
          <w:spacing w:val="-1"/>
          <w:w w:val="111"/>
        </w:rPr>
        <w:t>13</w:t>
      </w:r>
      <w:r>
        <w:rPr>
          <w:w w:val="55"/>
        </w:rPr>
        <w:t>)</w:t>
      </w:r>
      <w:r>
        <w:rPr>
          <w:spacing w:val="-50"/>
        </w:rPr>
        <w:t> </w:t>
      </w:r>
      <w:r>
        <w:rPr/>
        <w:t>本集团于</w:t>
      </w:r>
      <w:r>
        <w:rPr>
          <w:spacing w:val="-45"/>
        </w:rPr>
        <w:t> </w:t>
      </w:r>
      <w:r>
        <w:rPr>
          <w:spacing w:val="-1"/>
          <w:w w:val="111"/>
        </w:rPr>
        <w:t>201</w:t>
      </w:r>
      <w:r>
        <w:rPr>
          <w:w w:val="111"/>
        </w:rPr>
        <w:t>4</w:t>
      </w:r>
      <w:r>
        <w:rPr>
          <w:spacing w:val="-45"/>
        </w:rPr>
        <w:t> </w:t>
      </w:r>
      <w:r>
        <w:rPr/>
        <w:t>年起，根据财政部、国家税务总局《关于完善固定资产加速折旧企业所得税政策的通知》（“财税</w:t>
      </w:r>
    </w:p>
    <w:p>
      <w:pPr>
        <w:pStyle w:val="BodyText"/>
        <w:spacing w:line="285" w:lineRule="auto" w:before="44"/>
        <w:ind w:left="794" w:right="141"/>
        <w:jc w:val="left"/>
      </w:pPr>
      <w:r>
        <w:rPr>
          <w:spacing w:val="-1"/>
          <w:w w:val="97"/>
        </w:rPr>
        <w:t>[2014]75</w:t>
      </w:r>
      <w:r>
        <w:rPr>
          <w:spacing w:val="-24"/>
          <w:w w:val="97"/>
        </w:rPr>
        <w:t> </w:t>
      </w:r>
      <w:r>
        <w:rPr>
          <w:spacing w:val="1"/>
        </w:rPr>
        <w:t>号”）文件规定，对符合规定的固定资产按照缩短折旧年限方法计算折旧或一次性计入当期成本费用，</w:t>
      </w:r>
      <w:r>
        <w:rPr>
          <w:spacing w:val="-71"/>
        </w:rPr>
        <w:t> </w:t>
      </w:r>
      <w:r>
        <w:rPr>
          <w:spacing w:val="-71"/>
        </w:rPr>
      </w:r>
      <w:r>
        <w:rPr>
          <w:spacing w:val="-1"/>
        </w:rPr>
        <w:t>在计算应纳税所得额时扣除，税法与会计上折旧年限区别构成暂时性差异，其所得税影响确认为递延所得税负债。</w:t>
      </w:r>
    </w:p>
    <w:p>
      <w:pPr>
        <w:spacing w:line="240" w:lineRule="auto" w:before="10"/>
        <w:rPr>
          <w:rFonts w:ascii="宋体" w:hAnsi="宋体" w:cs="宋体" w:eastAsia="宋体" w:hint="default"/>
          <w:sz w:val="13"/>
          <w:szCs w:val="13"/>
        </w:rPr>
      </w:pPr>
    </w:p>
    <w:p>
      <w:pPr>
        <w:pStyle w:val="BodyText"/>
        <w:spacing w:line="285" w:lineRule="auto"/>
        <w:ind w:left="794" w:right="148" w:hanging="341"/>
        <w:jc w:val="both"/>
      </w:pPr>
      <w:r>
        <w:rPr>
          <w:spacing w:val="-1"/>
          <w:w w:val="83"/>
        </w:rPr>
        <w:t>(14)</w:t>
      </w:r>
      <w:r>
        <w:rPr>
          <w:spacing w:val="-31"/>
          <w:w w:val="83"/>
        </w:rPr>
        <w:t> </w:t>
      </w:r>
      <w:r>
        <w:rPr/>
        <w:t>于</w:t>
      </w:r>
      <w:r>
        <w:rPr>
          <w:spacing w:val="-41"/>
        </w:rPr>
        <w:t> </w:t>
      </w:r>
      <w:r>
        <w:rPr>
          <w:spacing w:val="-1"/>
          <w:w w:val="111"/>
        </w:rPr>
        <w:t>2015</w:t>
      </w:r>
      <w:r>
        <w:rPr>
          <w:spacing w:val="-51"/>
          <w:w w:val="111"/>
        </w:rPr>
        <w:t> </w:t>
      </w:r>
      <w:r>
        <w:rPr/>
        <w:t>年</w:t>
      </w:r>
      <w:r>
        <w:rPr>
          <w:spacing w:val="-41"/>
        </w:rPr>
        <w:t> </w:t>
      </w:r>
      <w:r>
        <w:rPr>
          <w:spacing w:val="-1"/>
          <w:w w:val="111"/>
        </w:rPr>
        <w:t>10</w:t>
      </w:r>
      <w:r>
        <w:rPr>
          <w:spacing w:val="-51"/>
          <w:w w:val="111"/>
        </w:rPr>
        <w:t> </w:t>
      </w:r>
      <w:r>
        <w:rPr/>
        <w:t>月</w:t>
      </w:r>
      <w:r>
        <w:rPr>
          <w:spacing w:val="-41"/>
        </w:rPr>
        <w:t> </w:t>
      </w:r>
      <w:r>
        <w:rPr>
          <w:spacing w:val="-1"/>
          <w:w w:val="111"/>
        </w:rPr>
        <w:t>14</w:t>
      </w:r>
      <w:r>
        <w:rPr>
          <w:spacing w:val="-51"/>
          <w:w w:val="111"/>
        </w:rPr>
        <w:t> </w:t>
      </w:r>
      <w:r>
        <w:rPr>
          <w:spacing w:val="2"/>
        </w:rPr>
        <w:t>日，本集团向铁塔公司出售铁塔资产以换取铁塔公司发行的股份及现金对价。根据国家税务</w:t>
      </w:r>
      <w:r>
        <w:rPr>
          <w:spacing w:val="-85"/>
        </w:rPr>
        <w:t> </w:t>
      </w:r>
      <w:r>
        <w:rPr>
          <w:spacing w:val="-85"/>
        </w:rPr>
      </w:r>
      <w:r>
        <w:rPr>
          <w:spacing w:val="2"/>
        </w:rPr>
        <w:t>总局相关规定，通过出售铁塔资产向铁塔公司投资而确认的铁塔资产转让所得（“转让所得”），在向主管税务</w:t>
      </w:r>
      <w:r>
        <w:rPr>
          <w:spacing w:val="3"/>
        </w:rPr>
        <w:t> </w:t>
      </w:r>
      <w:r>
        <w:rPr>
          <w:spacing w:val="2"/>
        </w:rPr>
        <w:t>局完成申报后，可在不超过 </w:t>
      </w:r>
      <w:r>
        <w:rPr/>
        <w:t>5</w:t>
      </w:r>
      <w:r>
        <w:rPr>
          <w:spacing w:val="-53"/>
        </w:rPr>
        <w:t> </w:t>
      </w:r>
      <w:r>
        <w:rPr>
          <w:spacing w:val="2"/>
        </w:rPr>
        <w:t>年期限内，分期均匀计入相应年度的应纳税所得额，按规定计算缴纳企业所得税。</w:t>
      </w:r>
    </w:p>
    <w:p>
      <w:pPr>
        <w:pStyle w:val="BodyText"/>
        <w:spacing w:line="240" w:lineRule="auto" w:before="10"/>
        <w:ind w:left="794" w:right="0"/>
        <w:jc w:val="left"/>
      </w:pPr>
      <w:r>
        <w:rPr>
          <w:spacing w:val="2"/>
        </w:rPr>
        <w:t>在完成申报以前，本集团就全部转让所得计提了应交所得税。于</w:t>
      </w:r>
      <w:r>
        <w:rPr>
          <w:spacing w:val="-27"/>
        </w:rPr>
        <w:t> </w:t>
      </w:r>
      <w:r>
        <w:rPr/>
        <w:t>2016</w:t>
      </w:r>
      <w:r>
        <w:rPr>
          <w:spacing w:val="-29"/>
        </w:rPr>
        <w:t> </w:t>
      </w:r>
      <w:r>
        <w:rPr/>
        <w:t>年</w:t>
      </w:r>
      <w:r>
        <w:rPr>
          <w:spacing w:val="-27"/>
        </w:rPr>
        <w:t> </w:t>
      </w:r>
      <w:r>
        <w:rPr/>
        <w:t>12</w:t>
      </w:r>
      <w:r>
        <w:rPr>
          <w:spacing w:val="-29"/>
        </w:rPr>
        <w:t> </w:t>
      </w:r>
      <w:r>
        <w:rPr/>
        <w:t>月</w:t>
      </w:r>
      <w:r>
        <w:rPr>
          <w:spacing w:val="-27"/>
        </w:rPr>
        <w:t> </w:t>
      </w:r>
      <w:r>
        <w:rPr/>
        <w:t>31</w:t>
      </w:r>
      <w:r>
        <w:rPr>
          <w:spacing w:val="-29"/>
        </w:rPr>
        <w:t> </w:t>
      </w:r>
      <w:r>
        <w:rPr>
          <w:spacing w:val="2"/>
        </w:rPr>
        <w:t>日前，本集团在主管税务局完</w:t>
      </w:r>
      <w:r>
        <w:rPr/>
      </w:r>
    </w:p>
    <w:p>
      <w:pPr>
        <w:pStyle w:val="BodyText"/>
        <w:spacing w:line="240" w:lineRule="auto" w:before="44"/>
        <w:ind w:left="794" w:right="0"/>
        <w:jc w:val="left"/>
      </w:pPr>
      <w:r>
        <w:rPr/>
        <w:t>成了转让所得的申报，并将应交所得税剩余部分予以递延，在</w:t>
      </w:r>
      <w:r>
        <w:rPr>
          <w:spacing w:val="-25"/>
        </w:rPr>
        <w:t> </w:t>
      </w:r>
      <w:r>
        <w:rPr/>
        <w:t>2016</w:t>
      </w:r>
      <w:r>
        <w:rPr>
          <w:spacing w:val="-27"/>
        </w:rPr>
        <w:t> </w:t>
      </w:r>
      <w:r>
        <w:rPr/>
        <w:t>年至</w:t>
      </w:r>
      <w:r>
        <w:rPr>
          <w:spacing w:val="-25"/>
        </w:rPr>
        <w:t> </w:t>
      </w:r>
      <w:r>
        <w:rPr/>
        <w:t>2019</w:t>
      </w:r>
      <w:r>
        <w:rPr>
          <w:spacing w:val="-27"/>
        </w:rPr>
        <w:t> </w:t>
      </w:r>
      <w:r>
        <w:rPr/>
        <w:t>年内均匀转回。</w:t>
      </w:r>
    </w:p>
    <w:p>
      <w:pPr>
        <w:spacing w:line="240" w:lineRule="auto" w:before="5"/>
        <w:rPr>
          <w:rFonts w:ascii="宋体" w:hAnsi="宋体" w:cs="宋体" w:eastAsia="宋体" w:hint="default"/>
          <w:sz w:val="16"/>
          <w:szCs w:val="16"/>
        </w:rPr>
      </w:pPr>
    </w:p>
    <w:p>
      <w:pPr>
        <w:pStyle w:val="BodyText"/>
        <w:spacing w:line="285" w:lineRule="auto"/>
        <w:ind w:left="794" w:right="145" w:hanging="341"/>
        <w:jc w:val="both"/>
      </w:pPr>
      <w:r>
        <w:rPr>
          <w:spacing w:val="-1"/>
          <w:w w:val="83"/>
        </w:rPr>
        <w:t>(15)</w:t>
      </w:r>
      <w:r>
        <w:rPr>
          <w:w w:val="83"/>
        </w:rPr>
        <w:t> </w:t>
      </w:r>
      <w:r>
        <w:rPr>
          <w:spacing w:val="2"/>
        </w:rPr>
        <w:t>指联通运营公司发生税务亏损而形成的可抵扣暂时性差异。本集团预计，联通运营公司在未来期间能够获得足够</w:t>
      </w:r>
      <w:r>
        <w:rPr>
          <w:spacing w:val="-82"/>
        </w:rPr>
        <w:t> </w:t>
      </w:r>
      <w:r>
        <w:rPr>
          <w:spacing w:val="-82"/>
        </w:rPr>
      </w:r>
      <w:r>
        <w:rPr/>
        <w:t>的应纳税所得额用以抵扣递延所得税资产的利益，由此确认递延所得税资产。</w:t>
      </w:r>
    </w:p>
    <w:p>
      <w:pPr>
        <w:spacing w:line="240" w:lineRule="auto" w:before="10"/>
        <w:rPr>
          <w:rFonts w:ascii="宋体" w:hAnsi="宋体" w:cs="宋体" w:eastAsia="宋体" w:hint="default"/>
          <w:sz w:val="13"/>
          <w:szCs w:val="13"/>
        </w:rPr>
      </w:pPr>
    </w:p>
    <w:p>
      <w:pPr>
        <w:pStyle w:val="BodyText"/>
        <w:spacing w:line="285" w:lineRule="auto"/>
        <w:ind w:left="794" w:right="151" w:hanging="341"/>
        <w:jc w:val="both"/>
      </w:pPr>
      <w:r>
        <w:rPr>
          <w:spacing w:val="-1"/>
          <w:w w:val="83"/>
        </w:rPr>
        <w:t>(16)</w:t>
      </w:r>
      <w:r>
        <w:rPr>
          <w:spacing w:val="-31"/>
          <w:w w:val="83"/>
        </w:rPr>
        <w:t> </w:t>
      </w:r>
      <w:r>
        <w:rPr>
          <w:spacing w:val="1"/>
        </w:rPr>
        <w:t>如附注五</w:t>
      </w:r>
      <w:r>
        <w:rPr>
          <w:spacing w:val="-40"/>
        </w:rPr>
        <w:t> </w:t>
      </w:r>
      <w:r>
        <w:rPr>
          <w:spacing w:val="-1"/>
          <w:w w:val="111"/>
        </w:rPr>
        <w:t>16</w:t>
      </w:r>
      <w:r>
        <w:rPr>
          <w:spacing w:val="-27"/>
          <w:w w:val="111"/>
        </w:rPr>
        <w:t> </w:t>
      </w:r>
      <w:r>
        <w:rPr>
          <w:w w:val="70"/>
        </w:rPr>
        <w:t>(a)</w:t>
      </w:r>
      <w:r>
        <w:rPr>
          <w:spacing w:val="-14"/>
          <w:w w:val="70"/>
        </w:rPr>
        <w:t> </w:t>
      </w:r>
      <w:r>
        <w:rPr>
          <w:spacing w:val="1"/>
        </w:rPr>
        <w:t>所述，本集团将摊销期在</w:t>
      </w:r>
      <w:r>
        <w:rPr>
          <w:spacing w:val="-40"/>
        </w:rPr>
        <w:t> </w:t>
      </w:r>
      <w:r>
        <w:rPr>
          <w:w w:val="111"/>
        </w:rPr>
        <w:t>1</w:t>
      </w:r>
      <w:r>
        <w:rPr>
          <w:spacing w:val="-50"/>
          <w:w w:val="111"/>
        </w:rPr>
        <w:t> </w:t>
      </w:r>
      <w:r>
        <w:rPr>
          <w:spacing w:val="1"/>
        </w:rPr>
        <w:t>年以上的支付给渠道商的增量佣金支出资本化，在对应收入确认期摊</w:t>
      </w:r>
      <w:r>
        <w:rPr>
          <w:spacing w:val="-84"/>
        </w:rPr>
        <w:t> </w:t>
      </w:r>
      <w:r>
        <w:rPr>
          <w:spacing w:val="-84"/>
        </w:rPr>
      </w:r>
      <w:r>
        <w:rPr/>
        <w:t>销计入损益，而在税法上按支出时进行税务抵扣。该暂时性差异对于所得税的影响确认为递延所得税负债。</w:t>
      </w:r>
    </w:p>
    <w:p>
      <w:pPr>
        <w:spacing w:line="240" w:lineRule="auto" w:before="10"/>
        <w:rPr>
          <w:rFonts w:ascii="宋体" w:hAnsi="宋体" w:cs="宋体" w:eastAsia="宋体" w:hint="default"/>
          <w:sz w:val="13"/>
          <w:szCs w:val="13"/>
        </w:rPr>
      </w:pPr>
    </w:p>
    <w:p>
      <w:pPr>
        <w:pStyle w:val="BodyText"/>
        <w:spacing w:line="240" w:lineRule="auto"/>
        <w:ind w:left="114" w:right="0"/>
        <w:jc w:val="left"/>
      </w:pPr>
      <w:r>
        <w:rPr/>
        <w:t>(d)</w:t>
      </w:r>
      <w:r>
        <w:rPr>
          <w:spacing w:val="-21"/>
        </w:rPr>
        <w:t> </w:t>
      </w:r>
      <w:r>
        <w:rPr/>
        <w:t>本集团未确认递延所得税资产的可抵扣暂时性差异及可抵扣亏损分析如下：</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left="1098"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098"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700"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314" w:lineRule="auto" w:before="64"/>
              <w:ind w:left="113" w:right="2697"/>
              <w:jc w:val="left"/>
              <w:rPr>
                <w:rFonts w:ascii="宋体" w:hAnsi="宋体" w:cs="宋体" w:eastAsia="宋体" w:hint="default"/>
                <w:sz w:val="16"/>
                <w:szCs w:val="16"/>
              </w:rPr>
            </w:pPr>
            <w:r>
              <w:rPr>
                <w:rFonts w:ascii="宋体" w:hAnsi="宋体" w:cs="宋体" w:eastAsia="宋体" w:hint="default"/>
                <w:sz w:val="16"/>
                <w:szCs w:val="16"/>
              </w:rPr>
              <w:t>可抵扣暂时性差异 可抵扣亏损</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left="1468" w:right="0"/>
              <w:jc w:val="left"/>
              <w:rPr>
                <w:rFonts w:ascii="宋体" w:hAnsi="宋体" w:cs="宋体" w:eastAsia="宋体" w:hint="default"/>
                <w:sz w:val="16"/>
                <w:szCs w:val="16"/>
              </w:rPr>
            </w:pPr>
            <w:r>
              <w:rPr>
                <w:rFonts w:ascii="宋体"/>
                <w:sz w:val="16"/>
              </w:rPr>
              <w:t>7,767,067,885</w:t>
            </w:r>
          </w:p>
          <w:p>
            <w:pPr>
              <w:pStyle w:val="TableParagraph"/>
              <w:spacing w:line="240" w:lineRule="auto" w:before="64"/>
              <w:ind w:left="1468" w:right="0"/>
              <w:jc w:val="left"/>
              <w:rPr>
                <w:rFonts w:ascii="宋体" w:hAnsi="宋体" w:cs="宋体" w:eastAsia="宋体" w:hint="default"/>
                <w:sz w:val="16"/>
                <w:szCs w:val="16"/>
              </w:rPr>
            </w:pPr>
            <w:r>
              <w:rPr>
                <w:rFonts w:ascii="宋体"/>
                <w:sz w:val="16"/>
              </w:rPr>
              <w:t>1,328,156,435</w:t>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468" w:right="0"/>
              <w:jc w:val="left"/>
              <w:rPr>
                <w:rFonts w:ascii="宋体" w:hAnsi="宋体" w:cs="宋体" w:eastAsia="宋体" w:hint="default"/>
                <w:sz w:val="16"/>
                <w:szCs w:val="16"/>
              </w:rPr>
            </w:pPr>
            <w:r>
              <w:rPr>
                <w:rFonts w:ascii="宋体"/>
                <w:sz w:val="16"/>
              </w:rPr>
              <w:t>7,394,552,021</w:t>
            </w:r>
          </w:p>
          <w:p>
            <w:pPr>
              <w:pStyle w:val="TableParagraph"/>
              <w:spacing w:line="240" w:lineRule="auto" w:before="64"/>
              <w:ind w:left="1468" w:right="0"/>
              <w:jc w:val="left"/>
              <w:rPr>
                <w:rFonts w:ascii="宋体" w:hAnsi="宋体" w:cs="宋体" w:eastAsia="宋体" w:hint="default"/>
                <w:sz w:val="16"/>
                <w:szCs w:val="16"/>
              </w:rPr>
            </w:pPr>
            <w:r>
              <w:rPr>
                <w:rFonts w:ascii="宋体"/>
                <w:sz w:val="16"/>
              </w:rPr>
              <w:t>1,953,747,327</w:t>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(e)</w:t>
      </w:r>
      <w:r>
        <w:rPr>
          <w:spacing w:val="-21"/>
        </w:rPr>
        <w:t> </w:t>
      </w:r>
      <w:r>
        <w:rPr/>
        <w:t>未确认递延所得税资产的可抵扣亏损将于以下年度到期：</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2019</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16,687,320</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31,260,824</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2020</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357,197,239</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1,118,436,216</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2021</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519,024,065</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521,328,048</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2022</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330,661,885</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282,722,239</w:t>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2023</w:t>
            </w:r>
            <w:r>
              <w:rPr>
                <w:rFonts w:ascii="宋体" w:hAnsi="宋体" w:cs="宋体" w:eastAsia="宋体" w:hint="default"/>
                <w:spacing w:val="-42"/>
                <w:w w:val="105"/>
                <w:sz w:val="16"/>
                <w:szCs w:val="16"/>
              </w:rPr>
              <w:t> </w:t>
            </w:r>
            <w:r>
              <w:rPr>
                <w:rFonts w:ascii="宋体" w:hAnsi="宋体" w:cs="宋体" w:eastAsia="宋体" w:hint="default"/>
                <w:w w:val="105"/>
                <w:sz w:val="16"/>
                <w:szCs w:val="16"/>
              </w:rPr>
              <w:t>年度</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104,585,926</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1,328,156,435</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1,953,747,327</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w w:val="95"/>
        </w:rPr>
        <w:t>(f) </w:t>
      </w:r>
      <w:r>
        <w:rPr>
          <w:spacing w:val="10"/>
          <w:w w:val="95"/>
        </w:rPr>
        <w:t> </w:t>
      </w:r>
      <w:r>
        <w:rPr>
          <w:w w:val="95"/>
        </w:rPr>
        <w:t>未确认的递延所得税负债</w:t>
      </w:r>
    </w:p>
    <w:p>
      <w:pPr>
        <w:spacing w:line="240" w:lineRule="auto" w:before="12"/>
        <w:rPr>
          <w:rFonts w:ascii="宋体" w:hAnsi="宋体" w:cs="宋体" w:eastAsia="宋体" w:hint="default"/>
          <w:sz w:val="17"/>
          <w:szCs w:val="17"/>
        </w:rPr>
      </w:pPr>
    </w:p>
    <w:p>
      <w:pPr>
        <w:pStyle w:val="BodyText"/>
        <w:spacing w:line="285" w:lineRule="auto"/>
        <w:ind w:right="149"/>
        <w:jc w:val="both"/>
      </w:pPr>
      <w:r>
        <w:rPr/>
        <w:t>于</w:t>
      </w:r>
      <w:r>
        <w:rPr>
          <w:spacing w:val="-28"/>
        </w:rPr>
        <w:t> </w:t>
      </w:r>
      <w:r>
        <w:rPr/>
        <w:t>2018</w:t>
      </w:r>
      <w:r>
        <w:rPr>
          <w:spacing w:val="-28"/>
        </w:rPr>
        <w:t> </w:t>
      </w:r>
      <w:r>
        <w:rPr/>
        <w:t>年</w:t>
      </w:r>
      <w:r>
        <w:rPr>
          <w:spacing w:val="-28"/>
        </w:rPr>
        <w:t> </w:t>
      </w:r>
      <w:r>
        <w:rPr/>
        <w:t>12</w:t>
      </w:r>
      <w:r>
        <w:rPr>
          <w:spacing w:val="-28"/>
        </w:rPr>
        <w:t> </w:t>
      </w:r>
      <w:r>
        <w:rPr/>
        <w:t>月</w:t>
      </w:r>
      <w:r>
        <w:rPr>
          <w:spacing w:val="-28"/>
        </w:rPr>
        <w:t> </w:t>
      </w:r>
      <w:r>
        <w:rPr/>
        <w:t>31</w:t>
      </w:r>
      <w:r>
        <w:rPr>
          <w:spacing w:val="-28"/>
        </w:rPr>
        <w:t> </w:t>
      </w:r>
      <w:r>
        <w:rPr>
          <w:spacing w:val="2"/>
        </w:rPr>
        <w:t>日，中国铁塔等联营公司由于接受投资导致本集团股份稀释而使本集团长期股权投资账面价值发</w:t>
      </w:r>
      <w:r>
        <w:rPr>
          <w:spacing w:val="-83"/>
        </w:rPr>
        <w:t> </w:t>
      </w:r>
      <w:r>
        <w:rPr>
          <w:spacing w:val="-83"/>
        </w:rPr>
      </w:r>
      <w:r>
        <w:rPr>
          <w:spacing w:val="2"/>
        </w:rPr>
        <w:t>生变动，产生的暂时性差异为人民币</w:t>
      </w:r>
      <w:r>
        <w:rPr>
          <w:spacing w:val="-21"/>
        </w:rPr>
        <w:t> </w:t>
      </w:r>
      <w:r>
        <w:rPr/>
        <w:t>839</w:t>
      </w:r>
      <w:r>
        <w:rPr>
          <w:spacing w:val="-21"/>
        </w:rPr>
        <w:t> </w:t>
      </w:r>
      <w:r>
        <w:rPr/>
        <w:t>百万元（2017</w:t>
      </w:r>
      <w:r>
        <w:rPr>
          <w:spacing w:val="-21"/>
        </w:rPr>
        <w:t> </w:t>
      </w:r>
      <w:r>
        <w:rPr/>
        <w:t>年：39</w:t>
      </w:r>
      <w:r>
        <w:rPr>
          <w:spacing w:val="-21"/>
        </w:rPr>
        <w:t> </w:t>
      </w:r>
      <w:r>
        <w:rPr>
          <w:spacing w:val="2"/>
        </w:rPr>
        <w:t>百万元）。由于本集团拟长期持有相关投资，该等账</w:t>
      </w:r>
      <w:r>
        <w:rPr>
          <w:spacing w:val="-76"/>
        </w:rPr>
        <w:t> </w:t>
      </w:r>
      <w:r>
        <w:rPr>
          <w:spacing w:val="-76"/>
        </w:rPr>
      </w:r>
      <w:r>
        <w:rPr/>
        <w:t>面价值变动在可预见的将来很可能不会实现，故尚未就该等差异确认递延所得税负债。</w:t>
      </w:r>
    </w:p>
    <w:p>
      <w:pPr>
        <w:spacing w:after="0" w:line="285" w:lineRule="auto"/>
        <w:jc w:val="both"/>
        <w:sectPr>
          <w:pgSz w:w="11910" w:h="16160"/>
          <w:pgMar w:header="2796" w:footer="298" w:top="390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49、每股收益</w:t>
      </w:r>
    </w:p>
    <w:p>
      <w:pPr>
        <w:spacing w:line="240" w:lineRule="auto" w:before="12"/>
        <w:rPr>
          <w:rFonts w:ascii="宋体" w:hAnsi="宋体" w:cs="宋体" w:eastAsia="宋体" w:hint="default"/>
          <w:sz w:val="17"/>
          <w:szCs w:val="17"/>
        </w:rPr>
      </w:pPr>
    </w:p>
    <w:p>
      <w:pPr>
        <w:pStyle w:val="BodyText"/>
        <w:spacing w:line="480" w:lineRule="auto"/>
        <w:ind w:left="453" w:right="1332" w:hanging="341"/>
        <w:jc w:val="left"/>
      </w:pPr>
      <w:r>
        <w:rPr/>
        <w:t>(a)</w:t>
      </w:r>
      <w:r>
        <w:rPr>
          <w:spacing w:val="58"/>
        </w:rPr>
        <w:t> </w:t>
      </w:r>
      <w:r>
        <w:rPr/>
        <w:t>基本每股收益</w:t>
      </w:r>
      <w:r>
        <w:rPr/>
        <w:t> 基本每股收益以归属于母公司普通股股东的合并净利润除以母公司发行在外普通股的加权平均数计算：</w:t>
      </w:r>
    </w:p>
    <w:p>
      <w:pPr>
        <w:spacing w:line="240" w:lineRule="auto" w:before="7"/>
        <w:rPr>
          <w:rFonts w:ascii="宋体" w:hAnsi="宋体" w:cs="宋体" w:eastAsia="宋体" w:hint="default"/>
          <w:sz w:val="3"/>
          <w:szCs w:val="3"/>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409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1737"/>
              <w:jc w:val="left"/>
              <w:rPr>
                <w:rFonts w:ascii="宋体" w:hAnsi="宋体" w:cs="宋体" w:eastAsia="宋体" w:hint="default"/>
                <w:sz w:val="16"/>
                <w:szCs w:val="16"/>
              </w:rPr>
            </w:pPr>
            <w:r>
              <w:rPr>
                <w:rFonts w:ascii="宋体" w:hAnsi="宋体" w:cs="宋体" w:eastAsia="宋体" w:hint="default"/>
                <w:sz w:val="16"/>
                <w:szCs w:val="16"/>
              </w:rPr>
              <w:t>归属于母公司股东的合并净利润 减：限制性股票影响</w:t>
            </w:r>
          </w:p>
        </w:tc>
        <w:tc>
          <w:tcPr>
            <w:tcW w:w="2602"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355" w:right="0"/>
              <w:jc w:val="center"/>
              <w:rPr>
                <w:rFonts w:ascii="宋体" w:hAnsi="宋体" w:cs="宋体" w:eastAsia="宋体" w:hint="default"/>
                <w:sz w:val="16"/>
                <w:szCs w:val="16"/>
              </w:rPr>
            </w:pPr>
            <w:r>
              <w:rPr>
                <w:rFonts w:ascii="宋体"/>
                <w:sz w:val="16"/>
              </w:rPr>
              <w:t>4,080,771,727</w:t>
            </w:r>
          </w:p>
          <w:p>
            <w:pPr>
              <w:pStyle w:val="TableParagraph"/>
              <w:spacing w:line="240" w:lineRule="auto" w:before="64"/>
              <w:ind w:left="1488" w:right="0"/>
              <w:jc w:val="center"/>
              <w:rPr>
                <w:rFonts w:ascii="宋体" w:hAnsi="宋体" w:cs="宋体" w:eastAsia="宋体" w:hint="default"/>
                <w:sz w:val="16"/>
                <w:szCs w:val="16"/>
              </w:rPr>
            </w:pPr>
            <w:r>
              <w:rPr>
                <w:rFonts w:ascii="宋体"/>
                <w:sz w:val="16"/>
              </w:rPr>
              <w:t>(85,696,206)</w:t>
            </w:r>
          </w:p>
        </w:tc>
        <w:tc>
          <w:tcPr>
            <w:tcW w:w="2602"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425,844,654</w:t>
            </w:r>
          </w:p>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07"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调整后归属于母公司股东的合并净利润</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3,995,075,521</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425,844,654</w:t>
            </w:r>
          </w:p>
        </w:tc>
      </w:tr>
      <w:tr>
        <w:trPr>
          <w:trHeight w:val="407"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本公司发行在外普通股的加权平均数</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30,233,950,687</w:t>
            </w:r>
            <w:r>
              <w:rPr>
                <w:rFonts w:ascii="宋体"/>
                <w:sz w:val="16"/>
              </w:rPr>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22,702,822,110</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基本每股收益</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0.1321</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0.0188</w:t>
            </w:r>
          </w:p>
        </w:tc>
      </w:tr>
    </w:tbl>
    <w:p>
      <w:pPr>
        <w:spacing w:line="240" w:lineRule="auto" w:before="1"/>
        <w:rPr>
          <w:rFonts w:ascii="宋体" w:hAnsi="宋体" w:cs="宋体" w:eastAsia="宋体" w:hint="default"/>
          <w:sz w:val="15"/>
          <w:szCs w:val="15"/>
        </w:rPr>
      </w:pPr>
    </w:p>
    <w:p>
      <w:pPr>
        <w:pStyle w:val="BodyText"/>
        <w:spacing w:line="240" w:lineRule="auto" w:before="31"/>
        <w:ind w:left="453" w:right="0"/>
        <w:jc w:val="left"/>
      </w:pPr>
      <w:r>
        <w:rPr/>
        <w:t>(b)</w:t>
      </w:r>
      <w:r>
        <w:rPr>
          <w:spacing w:val="19"/>
        </w:rPr>
        <w:t> </w:t>
      </w:r>
      <w:r>
        <w:rPr/>
        <w:t>稀释每股收益</w:t>
      </w:r>
    </w:p>
    <w:p>
      <w:pPr>
        <w:spacing w:line="240" w:lineRule="auto" w:before="5"/>
        <w:rPr>
          <w:rFonts w:ascii="宋体" w:hAnsi="宋体" w:cs="宋体" w:eastAsia="宋体" w:hint="default"/>
          <w:sz w:val="16"/>
          <w:szCs w:val="16"/>
        </w:rPr>
      </w:pPr>
    </w:p>
    <w:p>
      <w:pPr>
        <w:pStyle w:val="BodyText"/>
        <w:spacing w:line="458" w:lineRule="auto"/>
        <w:ind w:left="113" w:right="3347" w:firstLine="720"/>
        <w:jc w:val="left"/>
      </w:pPr>
      <w:r>
        <w:rPr/>
        <w:t>于 2018</w:t>
      </w:r>
      <w:r>
        <w:rPr>
          <w:spacing w:val="-55"/>
        </w:rPr>
        <w:t> </w:t>
      </w:r>
      <w:r>
        <w:rPr/>
        <w:t>年度，本公司发行在外的限制性股票对每股收益无稀释性影响。</w:t>
      </w:r>
      <w:r>
        <w:rPr/>
        <w:t> 50、现金流量表项目注释</w:t>
      </w:r>
    </w:p>
    <w:p>
      <w:pPr>
        <w:pStyle w:val="BodyText"/>
        <w:spacing w:line="240" w:lineRule="auto" w:before="71"/>
        <w:ind w:left="113" w:right="0"/>
        <w:jc w:val="left"/>
      </w:pPr>
      <w:r>
        <w:rPr/>
        <w:t>(a)</w:t>
      </w:r>
      <w:r>
        <w:rPr>
          <w:spacing w:val="-21"/>
        </w:rPr>
        <w:t> </w:t>
      </w:r>
      <w:r>
        <w:rPr/>
        <w:t>收到其他与经营活动有关的现金</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违约赔款收入</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99,001,665</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127,548,375</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政府补助</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900,245,198</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620,434,637</w:t>
            </w:r>
          </w:p>
        </w:tc>
      </w:tr>
      <w:tr>
        <w:trPr>
          <w:trHeight w:val="331"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2,170,627,812</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1,275,313,965</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3,169,874,675</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2,023,296,977</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3" w:right="0"/>
        <w:jc w:val="left"/>
      </w:pPr>
      <w:r>
        <w:rPr/>
        <w:t>(b)</w:t>
      </w:r>
      <w:r>
        <w:rPr>
          <w:spacing w:val="-21"/>
        </w:rPr>
        <w:t> </w:t>
      </w:r>
      <w:r>
        <w:rPr/>
        <w:t>支付其他与经营活动有关的现金</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办公及交通费</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1,433,616,853</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1,549,802,777</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水电取暖费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696,044,843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694,677,589</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差旅费</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355,232,023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341,150,926</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违约赔偿支出</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119,217,592</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34,854,045</w:t>
            </w:r>
            <w:r>
              <w:rPr>
                <w:rFonts w:ascii="宋体"/>
                <w:sz w:val="16"/>
              </w:rPr>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2,209,786,638</w:t>
            </w:r>
            <w:r>
              <w:rPr>
                <w:rFonts w:ascii="宋体"/>
                <w:sz w:val="16"/>
              </w:rPr>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1,345,827,858</w:t>
            </w:r>
            <w:r>
              <w:rPr>
                <w:rFonts w:ascii="宋体"/>
                <w:sz w:val="16"/>
              </w:rPr>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4,813,897,949</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3,966,313,195</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20"/>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50、现金流量表项目注释（续）</w:t>
      </w:r>
    </w:p>
    <w:p>
      <w:pPr>
        <w:spacing w:line="240" w:lineRule="auto" w:before="12"/>
        <w:rPr>
          <w:rFonts w:ascii="宋体" w:hAnsi="宋体" w:cs="宋体" w:eastAsia="宋体" w:hint="default"/>
          <w:sz w:val="17"/>
          <w:szCs w:val="17"/>
        </w:rPr>
      </w:pPr>
    </w:p>
    <w:p>
      <w:pPr>
        <w:pStyle w:val="BodyText"/>
        <w:spacing w:line="240" w:lineRule="auto"/>
        <w:ind w:left="114" w:right="0"/>
        <w:jc w:val="left"/>
      </w:pPr>
      <w:r>
        <w:rPr/>
        <w:t>(c)</w:t>
      </w:r>
      <w:r>
        <w:rPr>
          <w:spacing w:val="-21"/>
        </w:rPr>
        <w:t> </w:t>
      </w:r>
      <w:r>
        <w:rPr/>
        <w:t>收到其他与投资活动有关的现金</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409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1289"/>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33"/>
                <w:sz w:val="16"/>
                <w:szCs w:val="16"/>
              </w:rPr>
              <w:t> </w:t>
            </w:r>
            <w:r>
              <w:rPr>
                <w:rFonts w:ascii="宋体" w:hAnsi="宋体" w:cs="宋体" w:eastAsia="宋体" w:hint="default"/>
                <w:sz w:val="16"/>
                <w:szCs w:val="16"/>
              </w:rPr>
              <w:t>个月以上银行存款及限制性存款减少</w:t>
            </w:r>
            <w:r>
              <w:rPr>
                <w:rFonts w:ascii="宋体" w:hAnsi="宋体" w:cs="宋体" w:eastAsia="宋体" w:hint="default"/>
                <w:sz w:val="16"/>
                <w:szCs w:val="16"/>
              </w:rPr>
              <w:t> 财务公司收回贷款</w:t>
            </w:r>
          </w:p>
        </w:tc>
        <w:tc>
          <w:tcPr>
            <w:tcW w:w="2602"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468" w:right="0"/>
              <w:jc w:val="left"/>
              <w:rPr>
                <w:rFonts w:ascii="宋体" w:hAnsi="宋体" w:cs="宋体" w:eastAsia="宋体" w:hint="default"/>
                <w:sz w:val="16"/>
                <w:szCs w:val="16"/>
              </w:rPr>
            </w:pPr>
            <w:r>
              <w:rPr>
                <w:rFonts w:ascii="宋体"/>
                <w:sz w:val="16"/>
              </w:rPr>
              <w:t>3,097,686,844</w:t>
            </w:r>
          </w:p>
          <w:p>
            <w:pPr>
              <w:pStyle w:val="TableParagraph"/>
              <w:spacing w:line="240" w:lineRule="auto" w:before="64"/>
              <w:ind w:left="1468" w:right="0"/>
              <w:jc w:val="left"/>
              <w:rPr>
                <w:rFonts w:ascii="宋体" w:hAnsi="宋体" w:cs="宋体" w:eastAsia="宋体" w:hint="default"/>
                <w:sz w:val="16"/>
                <w:szCs w:val="16"/>
              </w:rPr>
            </w:pPr>
            <w:r>
              <w:rPr>
                <w:rFonts w:ascii="宋体"/>
                <w:sz w:val="16"/>
              </w:rPr>
              <w:t>6,354,000,000</w:t>
            </w:r>
          </w:p>
        </w:tc>
        <w:tc>
          <w:tcPr>
            <w:tcW w:w="2602"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3,189,233</w:t>
            </w:r>
            <w:r>
              <w:rPr>
                <w:rFonts w:ascii="宋体"/>
                <w:sz w:val="16"/>
              </w:rPr>
            </w:r>
          </w:p>
          <w:p>
            <w:pPr>
              <w:pStyle w:val="TableParagraph"/>
              <w:spacing w:line="240" w:lineRule="auto" w:before="64"/>
              <w:ind w:right="111"/>
              <w:jc w:val="right"/>
              <w:rPr>
                <w:rFonts w:ascii="宋体" w:hAnsi="宋体" w:cs="宋体" w:eastAsia="宋体" w:hint="default"/>
                <w:sz w:val="16"/>
                <w:szCs w:val="16"/>
              </w:rPr>
            </w:pPr>
            <w:r>
              <w:rPr>
                <w:rFonts w:ascii="宋体"/>
                <w:sz w:val="16"/>
              </w:rPr>
              <w:t>500,000,000</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9,451,686,844</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503,189,233</w:t>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(d)</w:t>
      </w:r>
      <w:r>
        <w:rPr>
          <w:spacing w:val="-21"/>
        </w:rPr>
        <w:t> </w:t>
      </w:r>
      <w:r>
        <w:rPr/>
        <w:t>支付其他与投资活动有关的现金</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409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1289"/>
              <w:jc w:val="left"/>
              <w:rPr>
                <w:rFonts w:ascii="宋体" w:hAnsi="宋体" w:cs="宋体" w:eastAsia="宋体" w:hint="default"/>
                <w:sz w:val="16"/>
                <w:szCs w:val="16"/>
              </w:rPr>
            </w:pPr>
            <w:r>
              <w:rPr>
                <w:rFonts w:ascii="宋体" w:hAnsi="宋体" w:cs="宋体" w:eastAsia="宋体" w:hint="default"/>
                <w:sz w:val="16"/>
                <w:szCs w:val="16"/>
              </w:rPr>
              <w:t>3</w:t>
            </w:r>
            <w:r>
              <w:rPr>
                <w:rFonts w:ascii="宋体" w:hAnsi="宋体" w:cs="宋体" w:eastAsia="宋体" w:hint="default"/>
                <w:spacing w:val="-33"/>
                <w:sz w:val="16"/>
                <w:szCs w:val="16"/>
              </w:rPr>
              <w:t> </w:t>
            </w:r>
            <w:r>
              <w:rPr>
                <w:rFonts w:ascii="宋体" w:hAnsi="宋体" w:cs="宋体" w:eastAsia="宋体" w:hint="default"/>
                <w:sz w:val="16"/>
                <w:szCs w:val="16"/>
              </w:rPr>
              <w:t>个月以上银行存款及限制性存款增加</w:t>
            </w:r>
            <w:r>
              <w:rPr>
                <w:rFonts w:ascii="宋体" w:hAnsi="宋体" w:cs="宋体" w:eastAsia="宋体" w:hint="default"/>
                <w:sz w:val="16"/>
                <w:szCs w:val="16"/>
              </w:rPr>
              <w:t> 财务公司发放贷款</w:t>
            </w:r>
          </w:p>
        </w:tc>
        <w:tc>
          <w:tcPr>
            <w:tcW w:w="2602"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left="1690" w:right="0"/>
              <w:jc w:val="left"/>
              <w:rPr>
                <w:rFonts w:ascii="宋体" w:hAnsi="宋体" w:cs="宋体" w:eastAsia="宋体" w:hint="default"/>
                <w:sz w:val="16"/>
                <w:szCs w:val="16"/>
              </w:rPr>
            </w:pPr>
            <w:r>
              <w:rPr>
                <w:rFonts w:ascii="宋体"/>
                <w:sz w:val="16"/>
              </w:rPr>
              <w:t>30,500,146</w:t>
            </w:r>
          </w:p>
          <w:p>
            <w:pPr>
              <w:pStyle w:val="TableParagraph"/>
              <w:spacing w:line="240" w:lineRule="auto" w:before="64"/>
              <w:ind w:left="1379" w:right="0"/>
              <w:jc w:val="left"/>
              <w:rPr>
                <w:rFonts w:ascii="宋体" w:hAnsi="宋体" w:cs="宋体" w:eastAsia="宋体" w:hint="default"/>
                <w:sz w:val="16"/>
                <w:szCs w:val="16"/>
              </w:rPr>
            </w:pPr>
            <w:r>
              <w:rPr>
                <w:rFonts w:ascii="宋体"/>
                <w:sz w:val="16"/>
              </w:rPr>
              <w:t>13,558,000,000</w:t>
            </w:r>
          </w:p>
        </w:tc>
        <w:tc>
          <w:tcPr>
            <w:tcW w:w="2602"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355" w:right="0"/>
              <w:jc w:val="center"/>
              <w:rPr>
                <w:rFonts w:ascii="宋体" w:hAnsi="宋体" w:cs="宋体" w:eastAsia="宋体" w:hint="default"/>
                <w:sz w:val="16"/>
                <w:szCs w:val="16"/>
              </w:rPr>
            </w:pPr>
            <w:r>
              <w:rPr>
                <w:rFonts w:ascii="宋体"/>
                <w:sz w:val="16"/>
              </w:rPr>
              <w:t>3,097,399,773</w:t>
            </w:r>
          </w:p>
          <w:p>
            <w:pPr>
              <w:pStyle w:val="TableParagraph"/>
              <w:spacing w:line="240" w:lineRule="auto" w:before="64"/>
              <w:ind w:left="1488" w:right="0"/>
              <w:jc w:val="center"/>
              <w:rPr>
                <w:rFonts w:ascii="宋体" w:hAnsi="宋体" w:cs="宋体" w:eastAsia="宋体" w:hint="default"/>
                <w:sz w:val="16"/>
                <w:szCs w:val="16"/>
              </w:rPr>
            </w:pPr>
            <w:r>
              <w:rPr>
                <w:rFonts w:ascii="宋体"/>
                <w:sz w:val="16"/>
              </w:rPr>
              <w:t>700,000,000</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13,588,500,146</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3,797,399,773</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(e)</w:t>
      </w:r>
      <w:r>
        <w:rPr>
          <w:spacing w:val="-21"/>
        </w:rPr>
        <w:t> </w:t>
      </w:r>
      <w:r>
        <w:rPr/>
        <w:t>收到其他与筹资活动有关的现金</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427"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财务公司净吸收存款增加</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2,233,338,088</w:t>
            </w:r>
            <w:r>
              <w:rPr>
                <w:rFonts w:ascii="宋体"/>
                <w:sz w:val="16"/>
              </w:rPr>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12,303,722</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3" w:right="0"/>
        <w:jc w:val="left"/>
      </w:pPr>
      <w:r>
        <w:rPr>
          <w:w w:val="95"/>
        </w:rPr>
        <w:t>(f) </w:t>
      </w:r>
      <w:r>
        <w:rPr>
          <w:spacing w:val="37"/>
          <w:w w:val="95"/>
        </w:rPr>
        <w:t> </w:t>
      </w:r>
      <w:r>
        <w:rPr>
          <w:w w:val="95"/>
        </w:rPr>
        <w:t>支付其他与筹资活动有关的现金</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693" w:hRule="exact"/>
        </w:trPr>
        <w:tc>
          <w:tcPr>
            <w:tcW w:w="4093" w:type="dxa"/>
            <w:tcBorders>
              <w:top w:val="single" w:sz="16" w:space="0" w:color="9F8958"/>
              <w:left w:val="nil" w:sz="6" w:space="0" w:color="auto"/>
              <w:bottom w:val="single" w:sz="6" w:space="0" w:color="000000"/>
              <w:right w:val="nil" w:sz="6" w:space="0" w:color="auto"/>
            </w:tcBorders>
          </w:tcPr>
          <w:p>
            <w:pPr>
              <w:pStyle w:val="TableParagraph"/>
              <w:spacing w:line="314" w:lineRule="auto" w:before="64"/>
              <w:ind w:left="113" w:right="1897"/>
              <w:jc w:val="left"/>
              <w:rPr>
                <w:rFonts w:ascii="宋体" w:hAnsi="宋体" w:cs="宋体" w:eastAsia="宋体" w:hint="default"/>
                <w:sz w:val="16"/>
                <w:szCs w:val="16"/>
              </w:rPr>
            </w:pPr>
            <w:r>
              <w:rPr>
                <w:rFonts w:ascii="宋体" w:hAnsi="宋体" w:cs="宋体" w:eastAsia="宋体" w:hint="default"/>
                <w:sz w:val="16"/>
                <w:szCs w:val="16"/>
              </w:rPr>
              <w:t>财务公司法定存款准备金增加 财务公司净吸收存款减少</w:t>
            </w:r>
          </w:p>
        </w:tc>
        <w:tc>
          <w:tcPr>
            <w:tcW w:w="2602" w:type="dxa"/>
            <w:tcBorders>
              <w:top w:val="single" w:sz="16" w:space="0" w:color="9F8958"/>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679,820,599</w:t>
            </w:r>
          </w:p>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single" w:sz="16" w:space="0" w:color="9F8958"/>
              <w:left w:val="nil" w:sz="6" w:space="0" w:color="auto"/>
              <w:bottom w:val="single" w:sz="6" w:space="0" w:color="000000"/>
              <w:right w:val="nil" w:sz="6" w:space="0" w:color="auto"/>
            </w:tcBorders>
          </w:tcPr>
          <w:p>
            <w:pPr>
              <w:pStyle w:val="TableParagraph"/>
              <w:spacing w:line="240" w:lineRule="auto" w:before="64"/>
              <w:ind w:left="1601" w:right="0"/>
              <w:jc w:val="left"/>
              <w:rPr>
                <w:rFonts w:ascii="宋体" w:hAnsi="宋体" w:cs="宋体" w:eastAsia="宋体" w:hint="default"/>
                <w:sz w:val="16"/>
                <w:szCs w:val="16"/>
              </w:rPr>
            </w:pPr>
            <w:r>
              <w:rPr>
                <w:rFonts w:ascii="宋体"/>
                <w:sz w:val="16"/>
              </w:rPr>
              <w:t>620,418,697</w:t>
            </w:r>
          </w:p>
          <w:p>
            <w:pPr>
              <w:pStyle w:val="TableParagraph"/>
              <w:spacing w:line="240" w:lineRule="auto" w:before="64"/>
              <w:ind w:left="1690" w:right="0"/>
              <w:jc w:val="left"/>
              <w:rPr>
                <w:rFonts w:ascii="宋体" w:hAnsi="宋体" w:cs="宋体" w:eastAsia="宋体" w:hint="default"/>
                <w:sz w:val="16"/>
                <w:szCs w:val="16"/>
              </w:rPr>
            </w:pPr>
            <w:r>
              <w:rPr>
                <w:rFonts w:ascii="宋体"/>
                <w:sz w:val="16"/>
              </w:rPr>
              <w:t>74,728,074</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679,820,599</w:t>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695,146,771</w:t>
            </w:r>
          </w:p>
        </w:tc>
      </w:tr>
    </w:tbl>
    <w:p>
      <w:pPr>
        <w:spacing w:after="0" w:line="240" w:lineRule="auto"/>
        <w:jc w:val="right"/>
        <w:rPr>
          <w:rFonts w:ascii="宋体" w:hAnsi="宋体" w:cs="宋体" w:eastAsia="宋体" w:hint="default"/>
          <w:sz w:val="16"/>
          <w:szCs w:val="16"/>
        </w:rPr>
        <w:sectPr>
          <w:headerReference w:type="default" r:id="rId328"/>
          <w:headerReference w:type="even" r:id="rId329"/>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742"/>
        <w:jc w:val="left"/>
      </w:pPr>
      <w:r>
        <w:rPr/>
        <w:t>51、现金流量表补充资料</w:t>
      </w:r>
      <w:r>
        <w:rPr>
          <w:spacing w:val="-71"/>
        </w:rPr>
        <w:t> </w:t>
      </w:r>
      <w:r>
        <w:rPr/>
        <w:t>(a)</w:t>
      </w:r>
      <w:r>
        <w:rPr>
          <w:spacing w:val="-21"/>
        </w:rPr>
        <w:t> </w:t>
      </w:r>
      <w:r>
        <w:rPr/>
        <w:t>现金流量表补充资料</w:t>
      </w:r>
    </w:p>
    <w:p>
      <w:pPr>
        <w:pStyle w:val="BodyText"/>
        <w:spacing w:line="240" w:lineRule="auto" w:before="54"/>
        <w:ind w:left="453" w:right="0"/>
        <w:jc w:val="left"/>
      </w:pPr>
      <w:r>
        <w:rPr/>
        <w:t>将合并净利润调节为经营活动现金流量：</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合并净利润</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9,300,663,815</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1,683,958,109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加：资产减值损失</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255,174,449</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3,960,131,483</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信用减值损失</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3,609,535,060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sz w:val="16"/>
                <w:szCs w:val="16"/>
              </w:rPr>
              <w:t>不适用</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固定资产折旧</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66,305,636,396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66,461,913,614</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无形资产摊销</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5,132,967,570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4,434,805,143</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长期待摊费用摊销</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2,136,416,482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8,948,164,782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长期待摊费用增加</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(698,151,119)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(4,395,656,563)</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处置固定资产、无形资产的净损失</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4,147,761,206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3,488,897,716</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以股份为基础支付的员工薪酬</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613,920,000</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公允价值变动</w:t>
            </w:r>
            <w:r>
              <w:rPr>
                <w:rFonts w:ascii="宋体" w:hAnsi="宋体" w:cs="宋体" w:eastAsia="宋体" w:hint="default"/>
                <w:spacing w:val="-64"/>
                <w:sz w:val="16"/>
                <w:szCs w:val="16"/>
              </w:rPr>
              <w:t> </w:t>
            </w:r>
            <w:r>
              <w:rPr>
                <w:rFonts w:ascii="宋体" w:hAnsi="宋体" w:cs="宋体" w:eastAsia="宋体" w:hint="default"/>
                <w:w w:val="95"/>
                <w:sz w:val="16"/>
                <w:szCs w:val="16"/>
              </w:rPr>
              <w:t>(</w:t>
            </w:r>
            <w:r>
              <w:rPr>
                <w:rFonts w:ascii="宋体" w:hAnsi="宋体" w:cs="宋体" w:eastAsia="宋体" w:hint="default"/>
                <w:spacing w:val="-60"/>
                <w:w w:val="95"/>
                <w:sz w:val="16"/>
                <w:szCs w:val="16"/>
              </w:rPr>
              <w:t> </w:t>
            </w:r>
            <w:r>
              <w:rPr>
                <w:rFonts w:ascii="宋体" w:hAnsi="宋体" w:cs="宋体" w:eastAsia="宋体" w:hint="default"/>
                <w:sz w:val="16"/>
                <w:szCs w:val="16"/>
              </w:rPr>
              <w:t>收益</w:t>
            </w:r>
            <w:r>
              <w:rPr>
                <w:rFonts w:ascii="宋体" w:hAnsi="宋体" w:cs="宋体" w:eastAsia="宋体" w:hint="default"/>
                <w:spacing w:val="-64"/>
                <w:sz w:val="16"/>
                <w:szCs w:val="16"/>
              </w:rPr>
              <w:t> </w:t>
            </w:r>
            <w:r>
              <w:rPr>
                <w:rFonts w:ascii="宋体" w:hAnsi="宋体" w:cs="宋体" w:eastAsia="宋体" w:hint="default"/>
                <w:w w:val="95"/>
                <w:sz w:val="16"/>
                <w:szCs w:val="16"/>
              </w:rPr>
              <w:t>)/</w:t>
            </w:r>
            <w:r>
              <w:rPr>
                <w:rFonts w:ascii="宋体" w:hAnsi="宋体" w:cs="宋体" w:eastAsia="宋体" w:hint="default"/>
                <w:spacing w:val="-60"/>
                <w:w w:val="95"/>
                <w:sz w:val="16"/>
                <w:szCs w:val="16"/>
              </w:rPr>
              <w:t> </w:t>
            </w:r>
            <w:r>
              <w:rPr>
                <w:rFonts w:ascii="宋体" w:hAnsi="宋体" w:cs="宋体" w:eastAsia="宋体" w:hint="default"/>
                <w:sz w:val="16"/>
                <w:szCs w:val="16"/>
              </w:rPr>
              <w:t>损失</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0"/>
                <w:sz w:val="16"/>
              </w:rPr>
              <w:t>(24,695,000)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6,412,429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财务费用</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1,639,706,406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4,595,879,944</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投资收益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(2,475,567,494)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(1,700,162,042)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w w:val="90"/>
                <w:sz w:val="16"/>
                <w:szCs w:val="16"/>
              </w:rPr>
              <w:t>递延所得税资产减少 /( 增加</w:t>
            </w:r>
            <w:r>
              <w:rPr>
                <w:rFonts w:ascii="宋体" w:hAnsi="宋体" w:cs="宋体" w:eastAsia="宋体" w:hint="default"/>
                <w:spacing w:val="-4"/>
                <w:w w:val="90"/>
                <w:sz w:val="16"/>
                <w:szCs w:val="16"/>
              </w:rPr>
              <w:t> </w:t>
            </w:r>
            <w:r>
              <w:rPr>
                <w:rFonts w:ascii="宋体" w:hAnsi="宋体" w:cs="宋体" w:eastAsia="宋体" w:hint="default"/>
                <w:w w:val="90"/>
                <w:sz w:val="16"/>
                <w:szCs w:val="16"/>
              </w:rPr>
              <w:t>)</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2,206,036,314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(37,807,963)</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w w:val="90"/>
                <w:sz w:val="16"/>
                <w:szCs w:val="16"/>
              </w:rPr>
              <w:t>递延所得税负债增加 /( 减少</w:t>
            </w:r>
            <w:r>
              <w:rPr>
                <w:rFonts w:ascii="宋体" w:hAnsi="宋体" w:cs="宋体" w:eastAsia="宋体" w:hint="default"/>
                <w:spacing w:val="-4"/>
                <w:w w:val="90"/>
                <w:sz w:val="16"/>
                <w:szCs w:val="16"/>
              </w:rPr>
              <w:t> </w:t>
            </w:r>
            <w:r>
              <w:rPr>
                <w:rFonts w:ascii="宋体" w:hAnsi="宋体" w:cs="宋体" w:eastAsia="宋体" w:hint="default"/>
                <w:w w:val="90"/>
                <w:sz w:val="16"/>
                <w:szCs w:val="16"/>
              </w:rPr>
              <w:t>)</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3,382,658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(4,667,104)</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存货的</w:t>
            </w:r>
            <w:r>
              <w:rPr>
                <w:rFonts w:ascii="宋体" w:hAnsi="宋体" w:cs="宋体" w:eastAsia="宋体" w:hint="default"/>
                <w:spacing w:val="-61"/>
                <w:sz w:val="16"/>
                <w:szCs w:val="16"/>
              </w:rPr>
              <w:t> </w:t>
            </w:r>
            <w:r>
              <w:rPr>
                <w:rFonts w:ascii="宋体" w:hAnsi="宋体" w:cs="宋体" w:eastAsia="宋体" w:hint="default"/>
                <w:w w:val="90"/>
                <w:sz w:val="16"/>
                <w:szCs w:val="16"/>
              </w:rPr>
              <w:t>(</w:t>
            </w:r>
            <w:r>
              <w:rPr>
                <w:rFonts w:ascii="宋体" w:hAnsi="宋体" w:cs="宋体" w:eastAsia="宋体" w:hint="default"/>
                <w:spacing w:val="-53"/>
                <w:w w:val="90"/>
                <w:sz w:val="16"/>
                <w:szCs w:val="16"/>
              </w:rPr>
              <w:t> </w:t>
            </w:r>
            <w:r>
              <w:rPr>
                <w:rFonts w:ascii="宋体" w:hAnsi="宋体" w:cs="宋体" w:eastAsia="宋体" w:hint="default"/>
                <w:sz w:val="16"/>
                <w:szCs w:val="16"/>
              </w:rPr>
              <w:t>增加</w:t>
            </w:r>
            <w:r>
              <w:rPr>
                <w:rFonts w:ascii="宋体" w:hAnsi="宋体" w:cs="宋体" w:eastAsia="宋体" w:hint="default"/>
                <w:spacing w:val="-61"/>
                <w:sz w:val="16"/>
                <w:szCs w:val="16"/>
              </w:rPr>
              <w:t> </w:t>
            </w:r>
            <w:r>
              <w:rPr>
                <w:rFonts w:ascii="宋体" w:hAnsi="宋体" w:cs="宋体" w:eastAsia="宋体" w:hint="default"/>
                <w:w w:val="90"/>
                <w:sz w:val="16"/>
                <w:szCs w:val="16"/>
              </w:rPr>
              <w:t>)/</w:t>
            </w:r>
            <w:r>
              <w:rPr>
                <w:rFonts w:ascii="宋体" w:hAnsi="宋体" w:cs="宋体" w:eastAsia="宋体" w:hint="default"/>
                <w:spacing w:val="-53"/>
                <w:w w:val="90"/>
                <w:sz w:val="16"/>
                <w:szCs w:val="16"/>
              </w:rPr>
              <w:t> </w:t>
            </w:r>
            <w:r>
              <w:rPr>
                <w:rFonts w:ascii="宋体" w:hAnsi="宋体" w:cs="宋体" w:eastAsia="宋体" w:hint="default"/>
                <w:sz w:val="16"/>
                <w:szCs w:val="16"/>
              </w:rPr>
              <w:t>减少</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(386,035,338)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81,222,586</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w w:val="90"/>
                <w:sz w:val="16"/>
                <w:szCs w:val="16"/>
              </w:rPr>
              <w:t>经营性应收项目的减少 /( 增加</w:t>
            </w:r>
            <w:r>
              <w:rPr>
                <w:rFonts w:ascii="宋体" w:hAnsi="宋体" w:cs="宋体" w:eastAsia="宋体" w:hint="default"/>
                <w:spacing w:val="12"/>
                <w:w w:val="90"/>
                <w:sz w:val="16"/>
                <w:szCs w:val="16"/>
              </w:rPr>
              <w:t> </w:t>
            </w:r>
            <w:r>
              <w:rPr>
                <w:rFonts w:ascii="宋体" w:hAnsi="宋体" w:cs="宋体" w:eastAsia="宋体" w:hint="default"/>
                <w:w w:val="90"/>
                <w:sz w:val="16"/>
                <w:szCs w:val="16"/>
              </w:rPr>
              <w:t>)</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520,594,703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(4,383,583,070)</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453" w:right="0"/>
              <w:jc w:val="left"/>
              <w:rPr>
                <w:rFonts w:ascii="宋体" w:hAnsi="宋体" w:cs="宋体" w:eastAsia="宋体" w:hint="default"/>
                <w:sz w:val="16"/>
                <w:szCs w:val="16"/>
              </w:rPr>
            </w:pPr>
            <w:r>
              <w:rPr>
                <w:rFonts w:ascii="宋体" w:hAnsi="宋体" w:cs="宋体" w:eastAsia="宋体" w:hint="default"/>
                <w:sz w:val="16"/>
                <w:szCs w:val="16"/>
              </w:rPr>
              <w:t>经营性应付项目的增加</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2,542,379,239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8,195,862,965</w:t>
            </w:r>
            <w:r>
              <w:rPr>
                <w:rFonts w:ascii="宋体"/>
                <w:sz w:val="16"/>
              </w:rPr>
            </w:r>
          </w:p>
        </w:tc>
      </w:tr>
      <w:tr>
        <w:trPr>
          <w:trHeight w:val="337"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经营活动产生的现金流量净额</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94,829,725,347</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91,335,372,029</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453" w:right="0"/>
        <w:jc w:val="left"/>
      </w:pPr>
      <w:r>
        <w:rPr/>
        <w:t>现金及现金等价物净变动情况：</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现金的年末余额</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29,707,259,073</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32,590,478,235</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减：现金的年初余额</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(32,590,478,235)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(23,293,060,482)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加：现金等价物的年末余额</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355,647,409</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285,347,184</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减：现金等价物的年初余额</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(285,347,184)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(348,049,283)</w:t>
            </w:r>
            <w:r>
              <w:rPr>
                <w:rFonts w:ascii="宋体"/>
                <w:sz w:val="16"/>
              </w:rPr>
            </w:r>
          </w:p>
        </w:tc>
      </w:tr>
      <w:tr>
        <w:trPr>
          <w:trHeight w:val="338"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现金及现金等价物净</w:t>
            </w:r>
            <w:r>
              <w:rPr>
                <w:rFonts w:ascii="宋体" w:hAnsi="宋体" w:cs="宋体" w:eastAsia="宋体" w:hint="default"/>
                <w:spacing w:val="-64"/>
                <w:sz w:val="16"/>
                <w:szCs w:val="16"/>
              </w:rPr>
              <w:t> </w:t>
            </w:r>
            <w:r>
              <w:rPr>
                <w:rFonts w:ascii="宋体" w:hAnsi="宋体" w:cs="宋体" w:eastAsia="宋体" w:hint="default"/>
                <w:w w:val="95"/>
                <w:sz w:val="16"/>
                <w:szCs w:val="16"/>
              </w:rPr>
              <w:t>(</w:t>
            </w:r>
            <w:r>
              <w:rPr>
                <w:rFonts w:ascii="宋体" w:hAnsi="宋体" w:cs="宋体" w:eastAsia="宋体" w:hint="default"/>
                <w:spacing w:val="-60"/>
                <w:w w:val="95"/>
                <w:sz w:val="16"/>
                <w:szCs w:val="16"/>
              </w:rPr>
              <w:t> </w:t>
            </w:r>
            <w:r>
              <w:rPr>
                <w:rFonts w:ascii="宋体" w:hAnsi="宋体" w:cs="宋体" w:eastAsia="宋体" w:hint="default"/>
                <w:sz w:val="16"/>
                <w:szCs w:val="16"/>
              </w:rPr>
              <w:t>减少</w:t>
            </w:r>
            <w:r>
              <w:rPr>
                <w:rFonts w:ascii="宋体" w:hAnsi="宋体" w:cs="宋体" w:eastAsia="宋体" w:hint="default"/>
                <w:spacing w:val="-64"/>
                <w:sz w:val="16"/>
                <w:szCs w:val="16"/>
              </w:rPr>
              <w:t> </w:t>
            </w:r>
            <w:r>
              <w:rPr>
                <w:rFonts w:ascii="宋体" w:hAnsi="宋体" w:cs="宋体" w:eastAsia="宋体" w:hint="default"/>
                <w:w w:val="95"/>
                <w:sz w:val="16"/>
                <w:szCs w:val="16"/>
              </w:rPr>
              <w:t>)/</w:t>
            </w:r>
            <w:r>
              <w:rPr>
                <w:rFonts w:ascii="宋体" w:hAnsi="宋体" w:cs="宋体" w:eastAsia="宋体" w:hint="default"/>
                <w:spacing w:val="-60"/>
                <w:w w:val="95"/>
                <w:sz w:val="16"/>
                <w:szCs w:val="16"/>
              </w:rPr>
              <w:t> </w:t>
            </w:r>
            <w:r>
              <w:rPr>
                <w:rFonts w:ascii="宋体" w:hAnsi="宋体" w:cs="宋体" w:eastAsia="宋体" w:hint="default"/>
                <w:sz w:val="16"/>
                <w:szCs w:val="16"/>
              </w:rPr>
              <w:t>增加额</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(2,812,918,937)</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9,234,715,654</w:t>
            </w:r>
            <w:r>
              <w:rPr>
                <w:rFonts w:ascii="宋体"/>
                <w:sz w:val="16"/>
              </w:rPr>
            </w:r>
          </w:p>
        </w:tc>
      </w:tr>
    </w:tbl>
    <w:p>
      <w:pPr>
        <w:spacing w:after="0" w:line="205" w:lineRule="exact"/>
        <w:jc w:val="right"/>
        <w:rPr>
          <w:rFonts w:ascii="宋体" w:hAnsi="宋体" w:cs="宋体" w:eastAsia="宋体" w:hint="default"/>
          <w:sz w:val="16"/>
          <w:szCs w:val="16"/>
        </w:rPr>
        <w:sectPr>
          <w:footerReference w:type="even" r:id="rId330"/>
          <w:footerReference w:type="default" r:id="rId331"/>
          <w:pgSz w:w="11910" w:h="16160"/>
          <w:pgMar w:footer="320" w:header="1200" w:top="2120" w:bottom="520" w:left="680" w:right="1320"/>
        </w:sectPr>
      </w:pPr>
    </w:p>
    <w:p>
      <w:pPr>
        <w:spacing w:line="240" w:lineRule="auto" w:before="3"/>
        <w:rPr>
          <w:rFonts w:ascii="宋体" w:hAnsi="宋体" w:cs="宋体" w:eastAsia="宋体" w:hint="default"/>
          <w:sz w:val="14"/>
          <w:szCs w:val="14"/>
        </w:rPr>
      </w:pPr>
    </w:p>
    <w:p>
      <w:pPr>
        <w:pStyle w:val="BodyText"/>
        <w:spacing w:line="480" w:lineRule="auto" w:before="31"/>
        <w:ind w:left="114" w:right="7021"/>
        <w:jc w:val="left"/>
      </w:pPr>
      <w:r>
        <w:rPr/>
        <w:t>51、现金流量表补充资料（续）</w:t>
      </w:r>
      <w:r>
        <w:rPr>
          <w:spacing w:val="-71"/>
        </w:rPr>
        <w:t> </w:t>
      </w:r>
      <w:r>
        <w:rPr/>
        <w:t>(b)</w:t>
      </w:r>
      <w:r>
        <w:rPr>
          <w:spacing w:val="-21"/>
        </w:rPr>
        <w:t> </w:t>
      </w:r>
      <w:r>
        <w:rPr/>
        <w:t>现金及现金等价物</w:t>
      </w:r>
    </w:p>
    <w:p>
      <w:pPr>
        <w:spacing w:line="240" w:lineRule="auto" w:before="7"/>
        <w:rPr>
          <w:rFonts w:ascii="宋体" w:hAnsi="宋体" w:cs="宋体" w:eastAsia="宋体" w:hint="default"/>
          <w:sz w:val="3"/>
          <w:szCs w:val="3"/>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现金</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29,707,259,073</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32,590,478,235</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其中：库存现金</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522,543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3,495,936</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623" w:right="0"/>
              <w:jc w:val="left"/>
              <w:rPr>
                <w:rFonts w:ascii="宋体" w:hAnsi="宋体" w:cs="宋体" w:eastAsia="宋体" w:hint="default"/>
                <w:sz w:val="16"/>
                <w:szCs w:val="16"/>
              </w:rPr>
            </w:pPr>
            <w:r>
              <w:rPr>
                <w:rFonts w:ascii="宋体" w:hAnsi="宋体" w:cs="宋体" w:eastAsia="宋体" w:hint="default"/>
                <w:sz w:val="16"/>
                <w:szCs w:val="16"/>
              </w:rPr>
              <w:t>可随时用于支付的银行存款</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29,706,736,530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32,586,982,299</w:t>
            </w:r>
            <w:r>
              <w:rPr>
                <w:rFonts w:ascii="宋体"/>
                <w:sz w:val="16"/>
              </w:rPr>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其他货币资金</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sz w:val="16"/>
              </w:rPr>
              <w:t>355,647,409</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sz w:val="16"/>
              </w:rPr>
              <w:t>285,347,184</w:t>
            </w:r>
          </w:p>
        </w:tc>
      </w:tr>
      <w:tr>
        <w:trPr>
          <w:trHeight w:val="405"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年末现金及现金等价物余额</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30,062,906,482</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32,875,825,419</w:t>
            </w:r>
            <w:r>
              <w:rPr>
                <w:rFonts w:ascii="宋体"/>
                <w:sz w:val="16"/>
              </w:rPr>
            </w:r>
          </w:p>
        </w:tc>
      </w:tr>
    </w:tbl>
    <w:p>
      <w:pPr>
        <w:spacing w:line="240" w:lineRule="auto" w:before="5"/>
        <w:rPr>
          <w:rFonts w:ascii="宋体" w:hAnsi="宋体" w:cs="宋体" w:eastAsia="宋体" w:hint="default"/>
          <w:sz w:val="28"/>
          <w:szCs w:val="28"/>
        </w:rPr>
      </w:pPr>
    </w:p>
    <w:p>
      <w:pPr>
        <w:pStyle w:val="BodyText"/>
        <w:spacing w:line="240" w:lineRule="auto" w:before="26"/>
        <w:ind w:left="114" w:right="0"/>
        <w:jc w:val="left"/>
        <w:rPr>
          <w:rFonts w:ascii="宋体" w:hAnsi="宋体" w:cs="宋体" w:eastAsia="宋体" w:hint="default"/>
        </w:rPr>
      </w:pPr>
      <w:r>
        <w:rPr>
          <w:rFonts w:ascii="宋体" w:hAnsi="宋体" w:cs="宋体" w:eastAsia="宋体" w:hint="default"/>
          <w:color w:val="9F8958"/>
        </w:rPr>
        <w:t>六、合并范围的变更</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right="0"/>
        <w:jc w:val="left"/>
      </w:pPr>
      <w:r>
        <w:rPr>
          <w:w w:val="95"/>
        </w:rPr>
        <w:t>除新设若干子公司（附注七  (1)(a)）外，2018</w:t>
      </w:r>
      <w:r>
        <w:rPr>
          <w:spacing w:val="27"/>
          <w:w w:val="95"/>
        </w:rPr>
        <w:t> </w:t>
      </w:r>
      <w:r>
        <w:rPr>
          <w:w w:val="95"/>
        </w:rPr>
        <w:t>年本集团合并范围未发生变更。</w:t>
      </w:r>
    </w:p>
    <w:p>
      <w:pPr>
        <w:spacing w:after="0" w:line="240" w:lineRule="auto"/>
        <w:jc w:val="left"/>
        <w:sectPr>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七、在其他主体中的权益</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974"/>
        <w:jc w:val="left"/>
      </w:pPr>
      <w:r>
        <w:rPr/>
        <w:t>1、</w:t>
      </w:r>
      <w:r>
        <w:rPr>
          <w:spacing w:val="-22"/>
        </w:rPr>
        <w:t> </w:t>
      </w:r>
      <w:r>
        <w:rPr/>
        <w:t>在子公司中的权益</w:t>
      </w:r>
      <w:r>
        <w:rPr/>
        <w:t> (a)</w:t>
      </w:r>
      <w:r>
        <w:rPr>
          <w:spacing w:val="-21"/>
        </w:rPr>
        <w:t> </w:t>
      </w:r>
      <w:r>
        <w:rPr/>
        <w:t>企业集团的构成</w:t>
      </w:r>
    </w:p>
    <w:p>
      <w:pPr>
        <w:pStyle w:val="BodyText"/>
        <w:spacing w:line="240" w:lineRule="auto" w:before="54"/>
        <w:ind w:left="453" w:right="125"/>
        <w:jc w:val="left"/>
      </w:pPr>
      <w:r>
        <w:rPr/>
        <w:t>(1)</w:t>
      </w:r>
      <w:r>
        <w:rPr>
          <w:spacing w:val="19"/>
        </w:rPr>
        <w:t> </w:t>
      </w:r>
      <w:r>
        <w:rPr/>
        <w:t>通过设立或投资方式取得的子公司</w:t>
      </w:r>
    </w:p>
    <w:p>
      <w:pPr>
        <w:spacing w:line="240" w:lineRule="auto" w:before="10"/>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footerReference w:type="even" r:id="rId332"/>
          <w:footerReference w:type="default" r:id="rId333"/>
          <w:pgSz w:w="11910" w:h="16160"/>
          <w:pgMar w:footer="320" w:header="1200" w:top="2120" w:bottom="520" w:left="680" w:right="1340"/>
          <w:pgNumType w:start="182"/>
        </w:sectPr>
      </w:pPr>
    </w:p>
    <w:p>
      <w:pPr>
        <w:spacing w:line="240" w:lineRule="auto" w:before="5"/>
        <w:rPr>
          <w:rFonts w:ascii="宋体" w:hAnsi="宋体" w:cs="宋体" w:eastAsia="宋体" w:hint="default"/>
          <w:sz w:val="18"/>
          <w:szCs w:val="18"/>
        </w:rPr>
      </w:pPr>
    </w:p>
    <w:p>
      <w:pPr>
        <w:tabs>
          <w:tab w:pos="3691" w:val="left" w:leader="none"/>
          <w:tab w:pos="5079" w:val="left" w:leader="none"/>
          <w:tab w:pos="6692" w:val="left" w:leader="none"/>
        </w:tabs>
        <w:spacing w:before="0"/>
        <w:ind w:left="510" w:right="-20" w:firstLine="0"/>
        <w:jc w:val="left"/>
        <w:rPr>
          <w:rFonts w:ascii="宋体" w:hAnsi="宋体" w:cs="宋体" w:eastAsia="宋体" w:hint="default"/>
          <w:sz w:val="16"/>
          <w:szCs w:val="16"/>
        </w:rPr>
      </w:pPr>
      <w:r>
        <w:rPr>
          <w:rFonts w:ascii="宋体" w:hAnsi="宋体" w:cs="宋体" w:eastAsia="宋体" w:hint="default"/>
          <w:sz w:val="16"/>
          <w:szCs w:val="16"/>
        </w:rPr>
        <w:t>子公司名称</w:t>
        <w:tab/>
        <w:t>主要经营地</w:t>
        <w:tab/>
        <w:t>注册地</w:t>
        <w:tab/>
        <w:t>业务性质</w:t>
      </w:r>
    </w:p>
    <w:p>
      <w:pPr>
        <w:spacing w:line="205" w:lineRule="exact" w:before="41"/>
        <w:ind w:left="472"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注册资本</w:t>
      </w:r>
    </w:p>
    <w:p>
      <w:pPr>
        <w:spacing w:line="205" w:lineRule="exact" w:before="0"/>
        <w:ind w:left="472" w:right="0" w:firstLine="0"/>
        <w:jc w:val="left"/>
        <w:rPr>
          <w:rFonts w:ascii="宋体" w:hAnsi="宋体" w:cs="宋体" w:eastAsia="宋体" w:hint="default"/>
          <w:sz w:val="16"/>
          <w:szCs w:val="16"/>
        </w:rPr>
      </w:pPr>
      <w:r>
        <w:rPr>
          <w:rFonts w:ascii="宋体" w:hAnsi="宋体" w:cs="宋体" w:eastAsia="宋体" w:hint="default"/>
          <w:sz w:val="16"/>
          <w:szCs w:val="16"/>
        </w:rPr>
        <w:t>（千元）  持股比例</w:t>
      </w:r>
      <w:r>
        <w:rPr>
          <w:rFonts w:ascii="宋体" w:hAnsi="宋体" w:cs="宋体" w:eastAsia="宋体" w:hint="default"/>
          <w:spacing w:val="3"/>
          <w:sz w:val="16"/>
          <w:szCs w:val="16"/>
        </w:rPr>
        <w:t> </w:t>
      </w:r>
      <w:r>
        <w:rPr>
          <w:rFonts w:ascii="宋体" w:hAnsi="宋体" w:cs="宋体" w:eastAsia="宋体" w:hint="default"/>
          <w:sz w:val="16"/>
          <w:szCs w:val="16"/>
        </w:rPr>
        <w:t>(%)</w:t>
      </w:r>
    </w:p>
    <w:p>
      <w:pPr>
        <w:spacing w:after="0" w:line="205" w:lineRule="exact"/>
        <w:jc w:val="left"/>
        <w:rPr>
          <w:rFonts w:ascii="宋体" w:hAnsi="宋体" w:cs="宋体" w:eastAsia="宋体" w:hint="default"/>
          <w:sz w:val="16"/>
          <w:szCs w:val="16"/>
        </w:rPr>
        <w:sectPr>
          <w:type w:val="continuous"/>
          <w:pgSz w:w="11910" w:h="16160"/>
          <w:pgMar w:top="1520" w:bottom="280" w:left="680" w:right="1340"/>
          <w:cols w:num="2" w:equalWidth="0">
            <w:col w:w="7333" w:space="40"/>
            <w:col w:w="2517"/>
          </w:cols>
        </w:sectPr>
      </w:pPr>
    </w:p>
    <w:p>
      <w:pPr>
        <w:spacing w:line="240" w:lineRule="auto" w:before="9"/>
        <w:rPr>
          <w:rFonts w:ascii="宋体" w:hAnsi="宋体" w:cs="宋体" w:eastAsia="宋体" w:hint="default"/>
          <w:sz w:val="8"/>
          <w:szCs w:val="8"/>
        </w:rPr>
      </w:pPr>
    </w:p>
    <w:p>
      <w:pPr>
        <w:spacing w:line="40" w:lineRule="exact"/>
        <w:ind w:left="43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229;height:2" coordorigin="3044,20" coordsize="1229,2">
              <v:shape style="position:absolute;left:3044;top:20;width:1229;height:2" coordorigin="3044,20" coordsize="1229,0" path="m3044,20l4272,20e" filled="false" stroked="true" strokeweight="2pt" strokecolor="#9f8958">
                <v:path arrowok="t"/>
              </v:shape>
            </v:group>
            <v:group style="position:absolute;left:4272;top:20;width:1229;height:2" coordorigin="4272,20" coordsize="1229,2">
              <v:shape style="position:absolute;left:4272;top:20;width:1229;height:2" coordorigin="4272,20" coordsize="1229,0" path="m4272,20l5500,20e" filled="false" stroked="true" strokeweight="2pt" strokecolor="#9f8958">
                <v:path arrowok="t"/>
              </v:shape>
            </v:group>
            <v:group style="position:absolute;left:5500;top:20;width:1456;height:2" coordorigin="5500,20" coordsize="1456,2">
              <v:shape style="position:absolute;left:5500;top:20;width:1456;height:2" coordorigin="5500,20" coordsize="1456,0" path="m5500,20l6955,20e" filled="false" stroked="true" strokeweight="2pt" strokecolor="#9f8958">
                <v:path arrowok="t"/>
              </v:shape>
            </v:group>
            <v:group style="position:absolute;left:6955;top:20;width:1153;height:2" coordorigin="6955,20" coordsize="1153,2">
              <v:shape style="position:absolute;left:6955;top:20;width:1153;height:2" coordorigin="6955,20" coordsize="1153,0" path="m6955,20l8108,20e" filled="false" stroked="true" strokeweight="2pt" strokecolor="#9f8958">
                <v:path arrowok="t"/>
              </v:shape>
            </v:group>
            <v:group style="position:absolute;left:8108;top:20;width:596;height:2" coordorigin="8108,20" coordsize="596,2">
              <v:shape style="position:absolute;left:8108;top:20;width:596;height:2" coordorigin="8108,20" coordsize="596,0" path="m8108,20l8703,20e" filled="false" stroked="true" strokeweight="2pt" strokecolor="#9f8958">
                <v:path arrowok="t"/>
              </v:shape>
            </v:group>
            <v:group style="position:absolute;left:8703;top:20;width:615;height:2" coordorigin="8703,20" coordsize="615,2">
              <v:shape style="position:absolute;left:8703;top:20;width:615;height:2" coordorigin="8703,20" coordsize="615,0" path="m8703,20l9318,20e" filled="false" stroked="true" strokeweight="2pt" strokecolor="#9f8958">
                <v:path arrowok="t"/>
              </v:shape>
            </v:group>
          </v:group>
        </w:pict>
      </w:r>
      <w:r>
        <w:rPr>
          <w:rFonts w:ascii="宋体" w:hAnsi="宋体" w:cs="宋体" w:eastAsia="宋体" w:hint="default"/>
          <w:position w:val="0"/>
          <w:sz w:val="4"/>
          <w:szCs w:val="4"/>
        </w:rPr>
      </w:r>
    </w:p>
    <w:p>
      <w:pPr>
        <w:tabs>
          <w:tab w:pos="614" w:val="left" w:leader="none"/>
        </w:tabs>
        <w:spacing w:before="64"/>
        <w:ind w:left="0" w:right="188" w:firstLine="0"/>
        <w:jc w:val="right"/>
        <w:rPr>
          <w:rFonts w:ascii="宋体" w:hAnsi="宋体" w:cs="宋体" w:eastAsia="宋体" w:hint="default"/>
          <w:sz w:val="16"/>
          <w:szCs w:val="16"/>
        </w:rPr>
      </w:pPr>
      <w:r>
        <w:rPr>
          <w:rFonts w:ascii="宋体" w:hAnsi="宋体" w:cs="宋体" w:eastAsia="宋体" w:hint="default"/>
          <w:sz w:val="16"/>
          <w:szCs w:val="16"/>
        </w:rPr>
        <w:t>直接</w:t>
        <w:tab/>
        <w:t>间接</w:t>
      </w:r>
    </w:p>
    <w:p>
      <w:pPr>
        <w:spacing w:line="240" w:lineRule="auto" w:before="1"/>
        <w:rPr>
          <w:rFonts w:ascii="宋体" w:hAnsi="宋体" w:cs="宋体" w:eastAsia="宋体" w:hint="default"/>
          <w:sz w:val="9"/>
          <w:szCs w:val="9"/>
        </w:rPr>
      </w:pPr>
    </w:p>
    <w:p>
      <w:pPr>
        <w:spacing w:line="20" w:lineRule="exact"/>
        <w:ind w:left="8534" w:right="0" w:firstLine="0"/>
        <w:rPr>
          <w:rFonts w:ascii="宋体" w:hAnsi="宋体" w:cs="宋体" w:eastAsia="宋体" w:hint="default"/>
          <w:sz w:val="2"/>
          <w:szCs w:val="2"/>
        </w:rPr>
      </w:pPr>
      <w:r>
        <w:rPr>
          <w:rFonts w:ascii="宋体" w:hAnsi="宋体" w:cs="宋体" w:eastAsia="宋体" w:hint="default"/>
          <w:sz w:val="2"/>
          <w:szCs w:val="2"/>
        </w:rPr>
        <w:pict>
          <v:group style="width:61.25pt;height:.75pt;mso-position-horizontal-relative:char;mso-position-vertical-relative:line" coordorigin="0,0" coordsize="1225,15">
            <v:group style="position:absolute;left:8;top:8;width:596;height:2" coordorigin="8,8" coordsize="596,2">
              <v:shape style="position:absolute;left:8;top:8;width:596;height:2" coordorigin="8,8" coordsize="596,0" path="m8,8l603,8e" filled="false" stroked="true" strokeweight=".75pt" strokecolor="#000000">
                <v:path arrowok="t"/>
              </v:shape>
            </v:group>
            <v:group style="position:absolute;left:603;top:8;width:615;height:2" coordorigin="603,8" coordsize="615,2">
              <v:shape style="position:absolute;left:603;top:8;width:615;height:2" coordorigin="603,8" coordsize="615,0" path="m603,8l1217,8e" filled="false" stroked="true" strokeweight=".7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160"/>
          <w:pgMar w:top="1520" w:bottom="280" w:left="680" w:right="1340"/>
        </w:sectPr>
      </w:pPr>
    </w:p>
    <w:p>
      <w:pPr>
        <w:spacing w:line="205" w:lineRule="exact" w:before="59"/>
        <w:ind w:left="510" w:right="-20" w:firstLine="0"/>
        <w:jc w:val="left"/>
        <w:rPr>
          <w:rFonts w:ascii="宋体" w:hAnsi="宋体" w:cs="宋体" w:eastAsia="宋体" w:hint="default"/>
          <w:sz w:val="16"/>
          <w:szCs w:val="16"/>
        </w:rPr>
      </w:pPr>
      <w:r>
        <w:rPr>
          <w:rFonts w:ascii="宋体" w:hAnsi="宋体" w:cs="宋体" w:eastAsia="宋体" w:hint="default"/>
          <w:sz w:val="16"/>
          <w:szCs w:val="16"/>
        </w:rPr>
        <w:t>中国联通</w:t>
      </w:r>
      <w:r>
        <w:rPr>
          <w:rFonts w:ascii="宋体" w:hAnsi="宋体" w:cs="宋体" w:eastAsia="宋体" w:hint="default"/>
          <w:spacing w:val="-36"/>
          <w:sz w:val="16"/>
          <w:szCs w:val="16"/>
        </w:rPr>
        <w:t> </w:t>
      </w:r>
      <w:r>
        <w:rPr>
          <w:rFonts w:ascii="宋体" w:hAnsi="宋体" w:cs="宋体" w:eastAsia="宋体" w:hint="default"/>
          <w:sz w:val="16"/>
          <w:szCs w:val="16"/>
        </w:rPr>
        <w:t>BVI</w:t>
      </w:r>
      <w:r>
        <w:rPr>
          <w:rFonts w:ascii="宋体" w:hAnsi="宋体" w:cs="宋体" w:eastAsia="宋体" w:hint="default"/>
          <w:spacing w:val="-36"/>
          <w:sz w:val="16"/>
          <w:szCs w:val="16"/>
        </w:rPr>
        <w:t> </w:t>
      </w:r>
      <w:r>
        <w:rPr>
          <w:rFonts w:ascii="宋体" w:hAnsi="宋体" w:cs="宋体" w:eastAsia="宋体" w:hint="default"/>
          <w:sz w:val="16"/>
          <w:szCs w:val="16"/>
        </w:rPr>
        <w:t>有限公司</w:t>
      </w:r>
    </w:p>
    <w:p>
      <w:pPr>
        <w:spacing w:line="314" w:lineRule="auto" w:before="0"/>
        <w:ind w:left="510" w:right="-20" w:firstLine="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40"/>
          <w:sz w:val="16"/>
          <w:szCs w:val="16"/>
        </w:rPr>
        <w:t> </w:t>
      </w:r>
      <w:r>
        <w:rPr>
          <w:rFonts w:ascii="宋体" w:hAnsi="宋体" w:cs="宋体" w:eastAsia="宋体" w:hint="default"/>
          <w:sz w:val="16"/>
          <w:szCs w:val="16"/>
        </w:rPr>
        <w:t>BVI</w:t>
      </w:r>
      <w:r>
        <w:rPr>
          <w:rFonts w:ascii="宋体" w:hAnsi="宋体" w:cs="宋体" w:eastAsia="宋体" w:hint="default"/>
          <w:spacing w:val="-40"/>
          <w:sz w:val="16"/>
          <w:szCs w:val="16"/>
        </w:rPr>
        <w:t> </w:t>
      </w:r>
      <w:r>
        <w:rPr>
          <w:rFonts w:ascii="宋体" w:hAnsi="宋体" w:cs="宋体" w:eastAsia="宋体" w:hint="default"/>
          <w:sz w:val="16"/>
          <w:szCs w:val="16"/>
        </w:rPr>
        <w:t>公司”）</w:t>
      </w:r>
      <w:r>
        <w:rPr>
          <w:rFonts w:ascii="宋体" w:hAnsi="宋体" w:cs="宋体" w:eastAsia="宋体" w:hint="default"/>
          <w:spacing w:val="-73"/>
          <w:sz w:val="16"/>
          <w:szCs w:val="16"/>
        </w:rPr>
        <w:t> </w:t>
      </w:r>
      <w:r>
        <w:rPr>
          <w:rFonts w:ascii="宋体" w:hAnsi="宋体" w:cs="宋体" w:eastAsia="宋体" w:hint="default"/>
          <w:spacing w:val="-73"/>
          <w:sz w:val="16"/>
          <w:szCs w:val="16"/>
        </w:rPr>
      </w:r>
      <w:r>
        <w:rPr>
          <w:rFonts w:ascii="宋体" w:hAnsi="宋体" w:cs="宋体" w:eastAsia="宋体" w:hint="default"/>
          <w:sz w:val="16"/>
          <w:szCs w:val="16"/>
        </w:rPr>
        <w:t>中国联合网络通信（香港）股份有限公司</w:t>
      </w:r>
    </w:p>
    <w:p>
      <w:pPr>
        <w:spacing w:line="150" w:lineRule="exact" w:before="0"/>
        <w:ind w:left="510" w:right="-20" w:firstLine="0"/>
        <w:jc w:val="left"/>
        <w:rPr>
          <w:rFonts w:ascii="宋体" w:hAnsi="宋体" w:cs="宋体" w:eastAsia="宋体" w:hint="default"/>
          <w:sz w:val="16"/>
          <w:szCs w:val="16"/>
        </w:rPr>
      </w:pPr>
      <w:r>
        <w:rPr>
          <w:rFonts w:ascii="宋体" w:hAnsi="宋体" w:cs="宋体" w:eastAsia="宋体" w:hint="default"/>
          <w:sz w:val="16"/>
          <w:szCs w:val="16"/>
        </w:rPr>
        <w:t>（“联通红筹公司”）</w:t>
      </w:r>
    </w:p>
    <w:p>
      <w:pPr>
        <w:spacing w:line="205" w:lineRule="exact" w:before="64"/>
        <w:ind w:left="510" w:right="-20" w:firstLine="0"/>
        <w:jc w:val="left"/>
        <w:rPr>
          <w:rFonts w:ascii="宋体" w:hAnsi="宋体" w:cs="宋体" w:eastAsia="宋体" w:hint="default"/>
          <w:sz w:val="16"/>
          <w:szCs w:val="16"/>
        </w:rPr>
      </w:pPr>
      <w:r>
        <w:rPr>
          <w:rFonts w:ascii="宋体" w:hAnsi="宋体" w:cs="宋体" w:eastAsia="宋体" w:hint="default"/>
          <w:sz w:val="16"/>
          <w:szCs w:val="16"/>
        </w:rPr>
        <w:t>中国联合网络通信有限公司</w:t>
      </w:r>
    </w:p>
    <w:p>
      <w:pPr>
        <w:spacing w:line="314" w:lineRule="auto" w:before="0"/>
        <w:ind w:left="510" w:right="1260" w:hanging="1"/>
        <w:jc w:val="left"/>
        <w:rPr>
          <w:rFonts w:ascii="宋体" w:hAnsi="宋体" w:cs="宋体" w:eastAsia="宋体" w:hint="default"/>
          <w:sz w:val="16"/>
          <w:szCs w:val="16"/>
        </w:rPr>
      </w:pPr>
      <w:r>
        <w:rPr>
          <w:rFonts w:ascii="宋体" w:hAnsi="宋体" w:cs="宋体" w:eastAsia="宋体" w:hint="default"/>
          <w:sz w:val="16"/>
          <w:szCs w:val="16"/>
        </w:rPr>
        <w:t>（“联通运营公司”） 联通华盛通信有限公司</w:t>
      </w:r>
    </w:p>
    <w:p>
      <w:pPr>
        <w:spacing w:line="150" w:lineRule="exact" w:before="0"/>
        <w:ind w:left="511" w:right="-20" w:hanging="1"/>
        <w:jc w:val="left"/>
        <w:rPr>
          <w:rFonts w:ascii="宋体" w:hAnsi="宋体" w:cs="宋体" w:eastAsia="宋体" w:hint="default"/>
          <w:sz w:val="16"/>
          <w:szCs w:val="16"/>
        </w:rPr>
      </w:pPr>
      <w:r>
        <w:rPr>
          <w:rFonts w:ascii="宋体" w:hAnsi="宋体" w:cs="宋体" w:eastAsia="宋体" w:hint="default"/>
          <w:sz w:val="16"/>
          <w:szCs w:val="16"/>
        </w:rPr>
        <w:t>（“联通华盛”）</w:t>
      </w:r>
    </w:p>
    <w:p>
      <w:pPr>
        <w:spacing w:line="20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联通支付有限公司</w:t>
      </w:r>
    </w:p>
    <w:p>
      <w:pPr>
        <w:spacing w:line="314" w:lineRule="auto" w:before="0"/>
        <w:ind w:left="511" w:right="1099" w:hanging="1"/>
        <w:jc w:val="left"/>
        <w:rPr>
          <w:rFonts w:ascii="宋体" w:hAnsi="宋体" w:cs="宋体" w:eastAsia="宋体" w:hint="default"/>
          <w:sz w:val="16"/>
          <w:szCs w:val="16"/>
        </w:rPr>
      </w:pPr>
      <w:r>
        <w:rPr>
          <w:rFonts w:ascii="宋体" w:hAnsi="宋体" w:cs="宋体" w:eastAsia="宋体" w:hint="default"/>
          <w:sz w:val="16"/>
          <w:szCs w:val="16"/>
        </w:rPr>
        <w:t>（“联通支付”） 联通新时空通信有限公司</w:t>
      </w:r>
    </w:p>
    <w:p>
      <w:pPr>
        <w:spacing w:line="150" w:lineRule="exact" w:before="0"/>
        <w:ind w:left="511" w:right="-20" w:hanging="1"/>
        <w:jc w:val="left"/>
        <w:rPr>
          <w:rFonts w:ascii="宋体" w:hAnsi="宋体" w:cs="宋体" w:eastAsia="宋体" w:hint="default"/>
          <w:sz w:val="16"/>
          <w:szCs w:val="16"/>
        </w:rPr>
      </w:pPr>
      <w:r>
        <w:rPr>
          <w:rFonts w:ascii="宋体" w:hAnsi="宋体" w:cs="宋体" w:eastAsia="宋体" w:hint="default"/>
          <w:sz w:val="16"/>
          <w:szCs w:val="16"/>
        </w:rPr>
        <w:t>（“联通新时空”）</w:t>
      </w:r>
    </w:p>
    <w:p>
      <w:pPr>
        <w:spacing w:line="20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联通云数据有限公司</w:t>
      </w:r>
    </w:p>
    <w:p>
      <w:pPr>
        <w:spacing w:line="314" w:lineRule="auto" w:before="0"/>
        <w:ind w:left="511" w:right="619" w:hanging="1"/>
        <w:jc w:val="left"/>
        <w:rPr>
          <w:rFonts w:ascii="宋体" w:hAnsi="宋体" w:cs="宋体" w:eastAsia="宋体" w:hint="default"/>
          <w:sz w:val="16"/>
          <w:szCs w:val="16"/>
        </w:rPr>
      </w:pPr>
      <w:r>
        <w:rPr>
          <w:rFonts w:ascii="宋体" w:hAnsi="宋体" w:cs="宋体" w:eastAsia="宋体" w:hint="default"/>
          <w:sz w:val="16"/>
          <w:szCs w:val="16"/>
        </w:rPr>
        <w:t>（“联通云数据”） 中国联通（缅甸）运营有限公司</w:t>
      </w:r>
    </w:p>
    <w:p>
      <w:pPr>
        <w:spacing w:line="150" w:lineRule="exact" w:before="0"/>
        <w:ind w:left="511" w:right="-20" w:firstLine="0"/>
        <w:jc w:val="left"/>
        <w:rPr>
          <w:rFonts w:ascii="宋体" w:hAnsi="宋体" w:cs="宋体" w:eastAsia="宋体" w:hint="default"/>
          <w:sz w:val="16"/>
          <w:szCs w:val="16"/>
        </w:rPr>
      </w:pPr>
      <w:r>
        <w:rPr>
          <w:rFonts w:ascii="宋体" w:hAnsi="宋体" w:cs="宋体" w:eastAsia="宋体" w:hint="default"/>
          <w:sz w:val="16"/>
          <w:szCs w:val="16"/>
        </w:rPr>
        <w:t>（“联通缅甸运营”）</w:t>
      </w:r>
    </w:p>
    <w:p>
      <w:pPr>
        <w:spacing w:line="20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中国联通（新加坡）运营有限公司</w:t>
      </w:r>
    </w:p>
    <w:p>
      <w:pPr>
        <w:spacing w:line="314" w:lineRule="auto" w:before="0"/>
        <w:ind w:left="511" w:right="619" w:hanging="1"/>
        <w:jc w:val="left"/>
        <w:rPr>
          <w:rFonts w:ascii="宋体" w:hAnsi="宋体" w:cs="宋体" w:eastAsia="宋体" w:hint="default"/>
          <w:sz w:val="16"/>
          <w:szCs w:val="16"/>
        </w:rPr>
      </w:pPr>
      <w:r>
        <w:rPr>
          <w:rFonts w:ascii="宋体" w:hAnsi="宋体" w:cs="宋体" w:eastAsia="宋体" w:hint="default"/>
          <w:sz w:val="16"/>
          <w:szCs w:val="16"/>
        </w:rPr>
        <w:t>（“联通新加坡运营”） 中国联通（南非）运营有限公司</w:t>
      </w:r>
    </w:p>
    <w:p>
      <w:pPr>
        <w:spacing w:line="150" w:lineRule="exact" w:before="0"/>
        <w:ind w:left="511" w:right="-20" w:firstLine="0"/>
        <w:jc w:val="left"/>
        <w:rPr>
          <w:rFonts w:ascii="宋体" w:hAnsi="宋体" w:cs="宋体" w:eastAsia="宋体" w:hint="default"/>
          <w:sz w:val="16"/>
          <w:szCs w:val="16"/>
        </w:rPr>
      </w:pPr>
      <w:r>
        <w:rPr>
          <w:rFonts w:ascii="宋体" w:hAnsi="宋体" w:cs="宋体" w:eastAsia="宋体" w:hint="default"/>
          <w:sz w:val="16"/>
          <w:szCs w:val="16"/>
        </w:rPr>
        <w:t>（“联通南非运营”）</w:t>
      </w:r>
    </w:p>
    <w:p>
      <w:pPr>
        <w:spacing w:line="20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中国联通（澳大利亚）运营有限公司</w:t>
      </w:r>
    </w:p>
    <w:p>
      <w:pPr>
        <w:spacing w:line="314" w:lineRule="auto" w:before="0"/>
        <w:ind w:left="512" w:right="458" w:hanging="1"/>
        <w:jc w:val="left"/>
        <w:rPr>
          <w:rFonts w:ascii="宋体" w:hAnsi="宋体" w:cs="宋体" w:eastAsia="宋体" w:hint="default"/>
          <w:sz w:val="16"/>
          <w:szCs w:val="16"/>
        </w:rPr>
      </w:pPr>
      <w:r>
        <w:rPr>
          <w:rFonts w:ascii="宋体" w:hAnsi="宋体" w:cs="宋体" w:eastAsia="宋体" w:hint="default"/>
          <w:sz w:val="16"/>
          <w:szCs w:val="16"/>
        </w:rPr>
        <w:t>（“联通澳大利亚运营”） 中国联通（俄罗斯）运营有限公司</w:t>
      </w:r>
    </w:p>
    <w:p>
      <w:pPr>
        <w:spacing w:line="150" w:lineRule="exact" w:before="0"/>
        <w:ind w:left="512" w:right="-20" w:firstLine="0"/>
        <w:jc w:val="left"/>
        <w:rPr>
          <w:rFonts w:ascii="宋体" w:hAnsi="宋体" w:cs="宋体" w:eastAsia="宋体" w:hint="default"/>
          <w:sz w:val="16"/>
          <w:szCs w:val="16"/>
        </w:rPr>
      </w:pPr>
      <w:r>
        <w:rPr>
          <w:rFonts w:ascii="宋体" w:hAnsi="宋体" w:cs="宋体" w:eastAsia="宋体" w:hint="default"/>
          <w:sz w:val="16"/>
          <w:szCs w:val="16"/>
        </w:rPr>
        <w:t>（“联通俄罗斯运营”）</w:t>
      </w:r>
    </w:p>
    <w:p>
      <w:pPr>
        <w:spacing w:line="205" w:lineRule="exact" w:before="64"/>
        <w:ind w:left="512" w:right="-20" w:firstLine="0"/>
        <w:jc w:val="left"/>
        <w:rPr>
          <w:rFonts w:ascii="宋体" w:hAnsi="宋体" w:cs="宋体" w:eastAsia="宋体" w:hint="default"/>
          <w:sz w:val="16"/>
          <w:szCs w:val="16"/>
        </w:rPr>
      </w:pPr>
      <w:r>
        <w:rPr>
          <w:rFonts w:ascii="宋体" w:hAnsi="宋体" w:cs="宋体" w:eastAsia="宋体" w:hint="default"/>
          <w:sz w:val="16"/>
          <w:szCs w:val="16"/>
        </w:rPr>
        <w:t>中国联通（马来西亚）运营有限公司</w:t>
      </w:r>
    </w:p>
    <w:p>
      <w:pPr>
        <w:spacing w:line="314" w:lineRule="auto" w:before="0"/>
        <w:ind w:left="512" w:right="618" w:hanging="1"/>
        <w:jc w:val="left"/>
        <w:rPr>
          <w:rFonts w:ascii="宋体" w:hAnsi="宋体" w:cs="宋体" w:eastAsia="宋体" w:hint="default"/>
          <w:sz w:val="16"/>
          <w:szCs w:val="16"/>
        </w:rPr>
      </w:pPr>
      <w:r>
        <w:rPr>
          <w:rFonts w:ascii="宋体" w:hAnsi="宋体" w:cs="宋体" w:eastAsia="宋体" w:hint="default"/>
          <w:sz w:val="16"/>
          <w:szCs w:val="16"/>
        </w:rPr>
        <w:t>（“联通马来西亚运营”） 中国联通（泰国）运营有限公司</w:t>
      </w:r>
    </w:p>
    <w:p>
      <w:pPr>
        <w:spacing w:line="150" w:lineRule="exact" w:before="0"/>
        <w:ind w:left="512" w:right="-20" w:firstLine="0"/>
        <w:jc w:val="left"/>
        <w:rPr>
          <w:rFonts w:ascii="宋体" w:hAnsi="宋体" w:cs="宋体" w:eastAsia="宋体" w:hint="default"/>
          <w:sz w:val="16"/>
          <w:szCs w:val="16"/>
        </w:rPr>
      </w:pPr>
      <w:r>
        <w:rPr>
          <w:rFonts w:ascii="宋体" w:hAnsi="宋体" w:cs="宋体" w:eastAsia="宋体" w:hint="default"/>
          <w:sz w:val="16"/>
          <w:szCs w:val="16"/>
        </w:rPr>
        <w:t>（“联通泰国运营”）</w:t>
      </w:r>
    </w:p>
    <w:p>
      <w:pPr>
        <w:spacing w:line="205" w:lineRule="exact" w:before="64"/>
        <w:ind w:left="512" w:right="-20" w:firstLine="0"/>
        <w:jc w:val="left"/>
        <w:rPr>
          <w:rFonts w:ascii="宋体" w:hAnsi="宋体" w:cs="宋体" w:eastAsia="宋体" w:hint="default"/>
          <w:sz w:val="16"/>
          <w:szCs w:val="16"/>
        </w:rPr>
      </w:pPr>
      <w:r>
        <w:rPr>
          <w:rFonts w:ascii="宋体" w:hAnsi="宋体" w:cs="宋体" w:eastAsia="宋体" w:hint="default"/>
          <w:sz w:val="16"/>
          <w:szCs w:val="16"/>
        </w:rPr>
        <w:t>中国联通（韩国）运营有限公司</w:t>
      </w:r>
    </w:p>
    <w:p>
      <w:pPr>
        <w:spacing w:line="314" w:lineRule="auto" w:before="0"/>
        <w:ind w:left="512" w:right="618" w:hanging="1"/>
        <w:jc w:val="left"/>
        <w:rPr>
          <w:rFonts w:ascii="宋体" w:hAnsi="宋体" w:cs="宋体" w:eastAsia="宋体" w:hint="default"/>
          <w:sz w:val="16"/>
          <w:szCs w:val="16"/>
        </w:rPr>
      </w:pPr>
      <w:r>
        <w:rPr>
          <w:rFonts w:ascii="宋体" w:hAnsi="宋体" w:cs="宋体" w:eastAsia="宋体" w:hint="default"/>
          <w:sz w:val="16"/>
          <w:szCs w:val="16"/>
        </w:rPr>
        <w:t>（“联通韩国运营”） 中国联通（越南）运营有限公司</w:t>
      </w:r>
    </w:p>
    <w:p>
      <w:pPr>
        <w:spacing w:line="150" w:lineRule="exact" w:before="0"/>
        <w:ind w:left="512" w:right="-20" w:firstLine="0"/>
        <w:jc w:val="left"/>
        <w:rPr>
          <w:rFonts w:ascii="宋体" w:hAnsi="宋体" w:cs="宋体" w:eastAsia="宋体" w:hint="default"/>
          <w:sz w:val="16"/>
          <w:szCs w:val="16"/>
        </w:rPr>
      </w:pPr>
      <w:r>
        <w:rPr>
          <w:rFonts w:ascii="宋体" w:hAnsi="宋体" w:cs="宋体" w:eastAsia="宋体" w:hint="default"/>
          <w:sz w:val="16"/>
          <w:szCs w:val="16"/>
        </w:rPr>
        <w:t>（“联通越南运营”）</w:t>
      </w:r>
    </w:p>
    <w:p>
      <w:pPr>
        <w:spacing w:line="205" w:lineRule="exact" w:before="64"/>
        <w:ind w:left="512" w:right="-20" w:firstLine="0"/>
        <w:jc w:val="left"/>
        <w:rPr>
          <w:rFonts w:ascii="宋体" w:hAnsi="宋体" w:cs="宋体" w:eastAsia="宋体" w:hint="default"/>
          <w:sz w:val="16"/>
          <w:szCs w:val="16"/>
        </w:rPr>
      </w:pPr>
      <w:r>
        <w:rPr>
          <w:rFonts w:ascii="宋体" w:hAnsi="宋体" w:cs="宋体" w:eastAsia="宋体" w:hint="default"/>
          <w:sz w:val="16"/>
          <w:szCs w:val="16"/>
        </w:rPr>
        <w:t>中国联通（柬埔寨）运营有限公司</w:t>
      </w:r>
    </w:p>
    <w:p>
      <w:pPr>
        <w:spacing w:line="314" w:lineRule="auto" w:before="0"/>
        <w:ind w:left="513" w:right="617" w:hanging="1"/>
        <w:jc w:val="left"/>
        <w:rPr>
          <w:rFonts w:ascii="宋体" w:hAnsi="宋体" w:cs="宋体" w:eastAsia="宋体" w:hint="default"/>
          <w:sz w:val="16"/>
          <w:szCs w:val="16"/>
        </w:rPr>
      </w:pPr>
      <w:r>
        <w:rPr>
          <w:rFonts w:ascii="宋体" w:hAnsi="宋体" w:cs="宋体" w:eastAsia="宋体" w:hint="default"/>
          <w:sz w:val="16"/>
          <w:szCs w:val="16"/>
        </w:rPr>
        <w:t>（“联通柬埔寨运营”） 中国联通（巴西）运营有限公司</w:t>
      </w:r>
    </w:p>
    <w:p>
      <w:pPr>
        <w:spacing w:line="150" w:lineRule="exact" w:before="0"/>
        <w:ind w:left="513" w:right="-20" w:firstLine="0"/>
        <w:jc w:val="left"/>
        <w:rPr>
          <w:rFonts w:ascii="宋体" w:hAnsi="宋体" w:cs="宋体" w:eastAsia="宋体" w:hint="default"/>
          <w:sz w:val="16"/>
          <w:szCs w:val="16"/>
        </w:rPr>
      </w:pPr>
      <w:r>
        <w:rPr>
          <w:rFonts w:ascii="宋体" w:hAnsi="宋体" w:cs="宋体" w:eastAsia="宋体" w:hint="default"/>
          <w:sz w:val="16"/>
          <w:szCs w:val="16"/>
        </w:rPr>
        <w:t>（“联通巴西运营”）</w:t>
      </w:r>
    </w:p>
    <w:p>
      <w:pPr>
        <w:spacing w:line="205" w:lineRule="exact" w:before="64"/>
        <w:ind w:left="513" w:right="-20" w:firstLine="0"/>
        <w:jc w:val="left"/>
        <w:rPr>
          <w:rFonts w:ascii="宋体" w:hAnsi="宋体" w:cs="宋体" w:eastAsia="宋体" w:hint="default"/>
          <w:sz w:val="16"/>
          <w:szCs w:val="16"/>
        </w:rPr>
      </w:pPr>
      <w:r>
        <w:rPr>
          <w:rFonts w:ascii="宋体" w:hAnsi="宋体" w:cs="宋体" w:eastAsia="宋体" w:hint="default"/>
          <w:sz w:val="16"/>
          <w:szCs w:val="16"/>
        </w:rPr>
        <w:t>中国联通（巴西）控股有限公司</w:t>
      </w:r>
    </w:p>
    <w:p>
      <w:pPr>
        <w:spacing w:line="205" w:lineRule="exact" w:before="0"/>
        <w:ind w:left="513" w:right="-20" w:firstLine="0"/>
        <w:jc w:val="left"/>
        <w:rPr>
          <w:rFonts w:ascii="宋体" w:hAnsi="宋体" w:cs="宋体" w:eastAsia="宋体" w:hint="default"/>
          <w:sz w:val="16"/>
          <w:szCs w:val="16"/>
        </w:rPr>
      </w:pPr>
      <w:r>
        <w:rPr>
          <w:rFonts w:ascii="宋体" w:hAnsi="宋体" w:cs="宋体" w:eastAsia="宋体" w:hint="default"/>
          <w:sz w:val="16"/>
          <w:szCs w:val="16"/>
        </w:rPr>
        <w:t>（“联通巴西控股”）</w:t>
      </w:r>
    </w:p>
    <w:p>
      <w:pPr>
        <w:spacing w:before="59"/>
        <w:ind w:left="341"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（英属）</w:t>
      </w:r>
    </w:p>
    <w:p>
      <w:pPr>
        <w:spacing w:before="59"/>
        <w:ind w:left="510"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（英属）</w:t>
      </w:r>
    </w:p>
    <w:p>
      <w:pPr>
        <w:spacing w:line="240" w:lineRule="auto" w:before="2"/>
        <w:rPr>
          <w:rFonts w:ascii="宋体" w:hAnsi="宋体" w:cs="宋体" w:eastAsia="宋体" w:hint="default"/>
          <w:sz w:val="12"/>
          <w:szCs w:val="12"/>
        </w:rPr>
      </w:pPr>
      <w:r>
        <w:rPr/>
        <w:br w:type="column"/>
      </w:r>
      <w:r>
        <w:rPr>
          <w:rFonts w:ascii="宋体"/>
          <w:sz w:val="12"/>
        </w:rPr>
      </w:r>
    </w:p>
    <w:p>
      <w:pPr>
        <w:tabs>
          <w:tab w:pos="1677" w:val="left" w:leader="none"/>
          <w:tab w:pos="3407" w:val="left" w:leader="none"/>
        </w:tabs>
        <w:spacing w:before="0"/>
        <w:ind w:left="510" w:right="0" w:firstLine="0"/>
        <w:jc w:val="left"/>
        <w:rPr>
          <w:rFonts w:ascii="宋体" w:hAnsi="宋体" w:cs="宋体" w:eastAsia="宋体" w:hint="default"/>
          <w:sz w:val="16"/>
          <w:szCs w:val="16"/>
        </w:rPr>
      </w:pPr>
      <w:r>
        <w:rPr/>
        <w:pict>
          <v:shape style="position:absolute;margin-left:212.841507pt;margin-top:8.0639pt;width:307.8pt;height:429.1pt;mso-position-horizontal-relative:page;mso-position-vertical-relative:paragraph;z-index:105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29"/>
                    <w:gridCol w:w="1301"/>
                    <w:gridCol w:w="1436"/>
                    <w:gridCol w:w="1289"/>
                    <w:gridCol w:w="1001"/>
                  </w:tblGrid>
                  <w:tr>
                    <w:trPr>
                      <w:trHeight w:val="690"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148" w:lineRule="exact"/>
                          <w:ind w:left="114" w:right="0"/>
                          <w:jc w:val="left"/>
                          <w:rPr>
                            <w:rFonts w:ascii="宋体" w:hAnsi="宋体" w:cs="宋体" w:eastAsia="宋体" w:hint="default"/>
                            <w:sz w:val="16"/>
                            <w:szCs w:val="16"/>
                          </w:rPr>
                        </w:pPr>
                        <w:r>
                          <w:rPr>
                            <w:rFonts w:ascii="宋体" w:hAnsi="宋体" w:cs="宋体" w:eastAsia="宋体" w:hint="default"/>
                            <w:sz w:val="16"/>
                            <w:szCs w:val="16"/>
                          </w:rPr>
                          <w:t>维尔京群岛</w:t>
                        </w: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14" w:right="0"/>
                          <w:jc w:val="left"/>
                          <w:rPr>
                            <w:rFonts w:ascii="宋体" w:hAnsi="宋体" w:cs="宋体" w:eastAsia="宋体" w:hint="default"/>
                            <w:sz w:val="16"/>
                            <w:szCs w:val="16"/>
                          </w:rPr>
                        </w:pPr>
                        <w:r>
                          <w:rPr>
                            <w:rFonts w:ascii="宋体" w:hAnsi="宋体" w:cs="宋体" w:eastAsia="宋体" w:hint="default"/>
                            <w:sz w:val="16"/>
                            <w:szCs w:val="16"/>
                          </w:rPr>
                          <w:t>中国，香港</w:t>
                        </w:r>
                      </w:p>
                    </w:tc>
                    <w:tc>
                      <w:tcPr>
                        <w:tcW w:w="1301" w:type="dxa"/>
                        <w:tcBorders>
                          <w:top w:val="nil" w:sz="6" w:space="0" w:color="auto"/>
                          <w:left w:val="nil" w:sz="6" w:space="0" w:color="auto"/>
                          <w:bottom w:val="nil" w:sz="6" w:space="0" w:color="auto"/>
                          <w:right w:val="nil" w:sz="6" w:space="0" w:color="auto"/>
                        </w:tcBorders>
                      </w:tcPr>
                      <w:p>
                        <w:pPr>
                          <w:pStyle w:val="TableParagraph"/>
                          <w:spacing w:line="148" w:lineRule="exact"/>
                          <w:ind w:left="213" w:right="0"/>
                          <w:jc w:val="left"/>
                          <w:rPr>
                            <w:rFonts w:ascii="宋体" w:hAnsi="宋体" w:cs="宋体" w:eastAsia="宋体" w:hint="default"/>
                            <w:sz w:val="16"/>
                            <w:szCs w:val="16"/>
                          </w:rPr>
                        </w:pPr>
                        <w:r>
                          <w:rPr>
                            <w:rFonts w:ascii="宋体" w:hAnsi="宋体" w:cs="宋体" w:eastAsia="宋体" w:hint="default"/>
                            <w:sz w:val="16"/>
                            <w:szCs w:val="16"/>
                          </w:rPr>
                          <w:t>维尔京群岛</w:t>
                        </w: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13" w:right="0"/>
                          <w:jc w:val="left"/>
                          <w:rPr>
                            <w:rFonts w:ascii="宋体" w:hAnsi="宋体" w:cs="宋体" w:eastAsia="宋体" w:hint="default"/>
                            <w:sz w:val="16"/>
                            <w:szCs w:val="16"/>
                          </w:rPr>
                        </w:pPr>
                        <w:r>
                          <w:rPr>
                            <w:rFonts w:ascii="宋体" w:hAnsi="宋体" w:cs="宋体" w:eastAsia="宋体" w:hint="default"/>
                            <w:sz w:val="16"/>
                            <w:szCs w:val="16"/>
                          </w:rPr>
                          <w:t>中国，香港</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108"/>
                          <w:jc w:val="right"/>
                          <w:rPr>
                            <w:rFonts w:ascii="宋体" w:hAnsi="宋体" w:cs="宋体" w:eastAsia="宋体" w:hint="default"/>
                            <w:sz w:val="16"/>
                            <w:szCs w:val="16"/>
                          </w:rPr>
                        </w:pPr>
                        <w:r>
                          <w:rPr>
                            <w:rFonts w:ascii="宋体" w:hAnsi="宋体" w:cs="宋体" w:eastAsia="宋体" w:hint="default"/>
                            <w:sz w:val="16"/>
                            <w:szCs w:val="16"/>
                          </w:rPr>
                          <w:t>投资控股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244"/>
                          <w:jc w:val="right"/>
                          <w:rPr>
                            <w:rFonts w:ascii="宋体" w:hAnsi="宋体" w:cs="宋体" w:eastAsia="宋体" w:hint="default"/>
                            <w:sz w:val="16"/>
                            <w:szCs w:val="16"/>
                          </w:rPr>
                        </w:pPr>
                        <w:r>
                          <w:rPr>
                            <w:rFonts w:ascii="宋体" w:hAnsi="宋体" w:cs="宋体" w:eastAsia="宋体" w:hint="default"/>
                            <w:sz w:val="16"/>
                            <w:szCs w:val="16"/>
                          </w:rPr>
                          <w:t>不适用</w:t>
                        </w:r>
                      </w:p>
                    </w:tc>
                    <w:tc>
                      <w:tcPr>
                        <w:tcW w:w="10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tabs>
                            <w:tab w:pos="319" w:val="left" w:leader="none"/>
                          </w:tabs>
                          <w:spacing w:line="240" w:lineRule="auto"/>
                          <w:ind w:right="35"/>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7"/>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70"/>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8"/>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5"/>
                          <w:jc w:val="right"/>
                          <w:rPr>
                            <w:rFonts w:ascii="宋体" w:hAnsi="宋体" w:cs="宋体" w:eastAsia="宋体" w:hint="default"/>
                            <w:sz w:val="16"/>
                            <w:szCs w:val="16"/>
                          </w:rPr>
                        </w:pPr>
                        <w:r>
                          <w:rPr>
                            <w:rFonts w:ascii="宋体"/>
                            <w:sz w:val="16"/>
                          </w:rPr>
                          <w:t>213,044,798</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5"/>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7"/>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70"/>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9"/>
                          <w:jc w:val="right"/>
                          <w:rPr>
                            <w:rFonts w:ascii="宋体" w:hAnsi="宋体" w:cs="宋体" w:eastAsia="宋体" w:hint="default"/>
                            <w:sz w:val="16"/>
                            <w:szCs w:val="16"/>
                          </w:rPr>
                        </w:pPr>
                        <w:r>
                          <w:rPr>
                            <w:rFonts w:ascii="宋体" w:hAnsi="宋体" w:cs="宋体" w:eastAsia="宋体" w:hint="default"/>
                            <w:sz w:val="16"/>
                            <w:szCs w:val="16"/>
                          </w:rPr>
                          <w:t>通信终端销售</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5"/>
                          <w:jc w:val="right"/>
                          <w:rPr>
                            <w:rFonts w:ascii="宋体" w:hAnsi="宋体" w:cs="宋体" w:eastAsia="宋体" w:hint="default"/>
                            <w:sz w:val="16"/>
                            <w:szCs w:val="16"/>
                          </w:rPr>
                        </w:pPr>
                        <w:r>
                          <w:rPr>
                            <w:rFonts w:ascii="宋体"/>
                            <w:sz w:val="16"/>
                          </w:rPr>
                          <w:t>610,527</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5"/>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6"/>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70"/>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宋体" w:hAnsi="宋体" w:cs="宋体" w:eastAsia="宋体" w:hint="default"/>
                            <w:sz w:val="16"/>
                            <w:szCs w:val="16"/>
                          </w:rPr>
                        </w:pPr>
                        <w:r>
                          <w:rPr>
                            <w:rFonts w:ascii="宋体" w:hAnsi="宋体" w:cs="宋体" w:eastAsia="宋体" w:hint="default"/>
                            <w:sz w:val="16"/>
                            <w:szCs w:val="16"/>
                          </w:rPr>
                          <w:t>第三方移动支付</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sz w:val="16"/>
                          </w:rPr>
                          <w:t>250,000</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5"/>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317"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6"/>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9"/>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宋体" w:hAnsi="宋体" w:cs="宋体" w:eastAsia="宋体" w:hint="default"/>
                            <w:sz w:val="16"/>
                            <w:szCs w:val="16"/>
                          </w:rPr>
                        </w:pPr>
                        <w:r>
                          <w:rPr>
                            <w:rFonts w:ascii="宋体" w:hAnsi="宋体" w:cs="宋体" w:eastAsia="宋体" w:hint="default"/>
                            <w:sz w:val="16"/>
                            <w:szCs w:val="16"/>
                          </w:rPr>
                          <w:t>电信网络租赁</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w w:val="95"/>
                            <w:sz w:val="16"/>
                          </w:rPr>
                          <w:t>40,233,740</w:t>
                        </w:r>
                        <w:r>
                          <w:rPr>
                            <w:rFonts w:ascii="宋体"/>
                            <w:sz w:val="16"/>
                          </w:rPr>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5"/>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393" w:hRule="exact"/>
                    </w:trPr>
                    <w:tc>
                      <w:tcPr>
                        <w:tcW w:w="6156"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237" w:right="0"/>
                          <w:jc w:val="center"/>
                          <w:rPr>
                            <w:rFonts w:ascii="宋体" w:hAnsi="宋体" w:cs="宋体" w:eastAsia="宋体" w:hint="default"/>
                            <w:sz w:val="16"/>
                            <w:szCs w:val="16"/>
                          </w:rPr>
                        </w:pPr>
                        <w:r>
                          <w:rPr>
                            <w:rFonts w:ascii="宋体" w:hAnsi="宋体" w:cs="宋体" w:eastAsia="宋体" w:hint="default"/>
                            <w:sz w:val="16"/>
                            <w:szCs w:val="16"/>
                          </w:rPr>
                          <w:t>技术开发、转让</w:t>
                        </w:r>
                      </w:p>
                    </w:tc>
                  </w:tr>
                  <w:tr>
                    <w:trPr>
                      <w:trHeight w:val="287"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68" w:lineRule="exact"/>
                          <w:ind w:right="96"/>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301" w:type="dxa"/>
                        <w:tcBorders>
                          <w:top w:val="nil" w:sz="6" w:space="0" w:color="auto"/>
                          <w:left w:val="nil" w:sz="6" w:space="0" w:color="auto"/>
                          <w:bottom w:val="nil" w:sz="6" w:space="0" w:color="auto"/>
                          <w:right w:val="nil" w:sz="6" w:space="0" w:color="auto"/>
                        </w:tcBorders>
                      </w:tcPr>
                      <w:p>
                        <w:pPr>
                          <w:pStyle w:val="TableParagraph"/>
                          <w:spacing w:line="68" w:lineRule="exact"/>
                          <w:ind w:right="69"/>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436" w:type="dxa"/>
                        <w:tcBorders>
                          <w:top w:val="nil" w:sz="6" w:space="0" w:color="auto"/>
                          <w:left w:val="nil" w:sz="6" w:space="0" w:color="auto"/>
                          <w:bottom w:val="nil" w:sz="6" w:space="0" w:color="auto"/>
                          <w:right w:val="nil" w:sz="6" w:space="0" w:color="auto"/>
                        </w:tcBorders>
                      </w:tcPr>
                      <w:p>
                        <w:pPr>
                          <w:pStyle w:val="TableParagraph"/>
                          <w:spacing w:line="168" w:lineRule="exact"/>
                          <w:ind w:right="107"/>
                          <w:jc w:val="right"/>
                          <w:rPr>
                            <w:rFonts w:ascii="宋体" w:hAnsi="宋体" w:cs="宋体" w:eastAsia="宋体" w:hint="default"/>
                            <w:sz w:val="16"/>
                            <w:szCs w:val="16"/>
                          </w:rPr>
                        </w:pPr>
                        <w:r>
                          <w:rPr>
                            <w:rFonts w:ascii="宋体" w:hAnsi="宋体" w:cs="宋体" w:eastAsia="宋体" w:hint="default"/>
                            <w:sz w:val="16"/>
                            <w:szCs w:val="16"/>
                          </w:rPr>
                          <w:t>及咨询服务</w:t>
                        </w:r>
                      </w:p>
                    </w:tc>
                    <w:tc>
                      <w:tcPr>
                        <w:tcW w:w="1289" w:type="dxa"/>
                        <w:tcBorders>
                          <w:top w:val="nil" w:sz="6" w:space="0" w:color="auto"/>
                          <w:left w:val="nil" w:sz="6" w:space="0" w:color="auto"/>
                          <w:bottom w:val="nil" w:sz="6" w:space="0" w:color="auto"/>
                          <w:right w:val="nil" w:sz="6" w:space="0" w:color="auto"/>
                        </w:tcBorders>
                      </w:tcPr>
                      <w:p>
                        <w:pPr>
                          <w:pStyle w:val="TableParagraph"/>
                          <w:spacing w:line="68" w:lineRule="exact"/>
                          <w:ind w:right="243"/>
                          <w:jc w:val="right"/>
                          <w:rPr>
                            <w:rFonts w:ascii="宋体" w:hAnsi="宋体" w:cs="宋体" w:eastAsia="宋体" w:hint="default"/>
                            <w:sz w:val="16"/>
                            <w:szCs w:val="16"/>
                          </w:rPr>
                        </w:pPr>
                        <w:r>
                          <w:rPr>
                            <w:rFonts w:ascii="宋体"/>
                            <w:w w:val="95"/>
                            <w:sz w:val="16"/>
                          </w:rPr>
                          <w:t>2,854,851</w:t>
                        </w:r>
                        <w:r>
                          <w:rPr>
                            <w:rFonts w:ascii="宋体"/>
                            <w:sz w:val="16"/>
                          </w:rPr>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68" w:lineRule="exact"/>
                          <w:ind w:right="34"/>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2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95"/>
                          <w:jc w:val="center"/>
                          <w:rPr>
                            <w:rFonts w:ascii="宋体" w:hAnsi="宋体" w:cs="宋体" w:eastAsia="宋体" w:hint="default"/>
                            <w:sz w:val="16"/>
                            <w:szCs w:val="16"/>
                          </w:rPr>
                        </w:pPr>
                        <w:r>
                          <w:rPr>
                            <w:rFonts w:ascii="宋体" w:hAnsi="宋体" w:cs="宋体" w:eastAsia="宋体" w:hint="default"/>
                            <w:sz w:val="16"/>
                            <w:szCs w:val="16"/>
                          </w:rPr>
                          <w:t>缅甸</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69"/>
                          <w:jc w:val="center"/>
                          <w:rPr>
                            <w:rFonts w:ascii="宋体" w:hAnsi="宋体" w:cs="宋体" w:eastAsia="宋体" w:hint="default"/>
                            <w:sz w:val="16"/>
                            <w:szCs w:val="16"/>
                          </w:rPr>
                        </w:pPr>
                        <w:r>
                          <w:rPr>
                            <w:rFonts w:ascii="宋体" w:hAnsi="宋体" w:cs="宋体" w:eastAsia="宋体" w:hint="default"/>
                            <w:sz w:val="16"/>
                            <w:szCs w:val="16"/>
                          </w:rPr>
                          <w:t>缅甸</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107"/>
                          <w:jc w:val="right"/>
                          <w:rPr>
                            <w:rFonts w:ascii="宋体" w:hAnsi="宋体" w:cs="宋体" w:eastAsia="宋体" w:hint="default"/>
                            <w:sz w:val="16"/>
                            <w:szCs w:val="16"/>
                          </w:rPr>
                        </w:pPr>
                        <w:r>
                          <w:rPr>
                            <w:rFonts w:ascii="宋体" w:hAnsi="宋体" w:cs="宋体" w:eastAsia="宋体" w:hint="default"/>
                            <w:sz w:val="16"/>
                            <w:szCs w:val="16"/>
                          </w:rPr>
                          <w:t>通信技术培训</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43"/>
                          <w:jc w:val="right"/>
                          <w:rPr>
                            <w:rFonts w:ascii="宋体" w:hAnsi="宋体" w:cs="宋体" w:eastAsia="宋体" w:hint="default"/>
                            <w:sz w:val="16"/>
                            <w:szCs w:val="16"/>
                          </w:rPr>
                        </w:pPr>
                        <w:r>
                          <w:rPr>
                            <w:rFonts w:ascii="宋体" w:hAnsi="宋体" w:cs="宋体" w:eastAsia="宋体" w:hint="default"/>
                            <w:sz w:val="16"/>
                            <w:szCs w:val="16"/>
                          </w:rPr>
                          <w:t>美元</w:t>
                        </w:r>
                        <w:r>
                          <w:rPr>
                            <w:rFonts w:ascii="宋体" w:hAnsi="宋体" w:cs="宋体" w:eastAsia="宋体" w:hint="default"/>
                            <w:spacing w:val="-41"/>
                            <w:sz w:val="16"/>
                            <w:szCs w:val="16"/>
                          </w:rPr>
                          <w:t> </w:t>
                        </w:r>
                        <w:r>
                          <w:rPr>
                            <w:rFonts w:ascii="宋体" w:hAnsi="宋体" w:cs="宋体" w:eastAsia="宋体" w:hint="default"/>
                            <w:sz w:val="16"/>
                            <w:szCs w:val="16"/>
                          </w:rPr>
                          <w:t>2,150</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45"/>
                          <w:ind w:right="34"/>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5"/>
                          <w:jc w:val="center"/>
                          <w:rPr>
                            <w:rFonts w:ascii="宋体" w:hAnsi="宋体" w:cs="宋体" w:eastAsia="宋体" w:hint="default"/>
                            <w:sz w:val="16"/>
                            <w:szCs w:val="16"/>
                          </w:rPr>
                        </w:pPr>
                        <w:r>
                          <w:rPr>
                            <w:rFonts w:ascii="宋体" w:hAnsi="宋体" w:cs="宋体" w:eastAsia="宋体" w:hint="default"/>
                            <w:sz w:val="16"/>
                            <w:szCs w:val="16"/>
                          </w:rPr>
                          <w:t>新加坡</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8"/>
                          <w:jc w:val="center"/>
                          <w:rPr>
                            <w:rFonts w:ascii="宋体" w:hAnsi="宋体" w:cs="宋体" w:eastAsia="宋体" w:hint="default"/>
                            <w:sz w:val="16"/>
                            <w:szCs w:val="16"/>
                          </w:rPr>
                        </w:pPr>
                        <w:r>
                          <w:rPr>
                            <w:rFonts w:ascii="宋体" w:hAnsi="宋体" w:cs="宋体" w:eastAsia="宋体" w:hint="default"/>
                            <w:sz w:val="16"/>
                            <w:szCs w:val="16"/>
                          </w:rPr>
                          <w:t>新加坡</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hAnsi="宋体" w:cs="宋体" w:eastAsia="宋体" w:hint="default"/>
                            <w:sz w:val="16"/>
                            <w:szCs w:val="16"/>
                          </w:rPr>
                          <w:t>美元</w:t>
                        </w:r>
                        <w:r>
                          <w:rPr>
                            <w:rFonts w:ascii="宋体" w:hAnsi="宋体" w:cs="宋体" w:eastAsia="宋体" w:hint="default"/>
                            <w:spacing w:val="-41"/>
                            <w:sz w:val="16"/>
                            <w:szCs w:val="16"/>
                          </w:rPr>
                          <w:t> </w:t>
                        </w:r>
                        <w:r>
                          <w:rPr>
                            <w:rFonts w:ascii="宋体" w:hAnsi="宋体" w:cs="宋体" w:eastAsia="宋体" w:hint="default"/>
                            <w:sz w:val="16"/>
                            <w:szCs w:val="16"/>
                          </w:rPr>
                          <w:t>4,651</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4"/>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5"/>
                          <w:jc w:val="center"/>
                          <w:rPr>
                            <w:rFonts w:ascii="宋体" w:hAnsi="宋体" w:cs="宋体" w:eastAsia="宋体" w:hint="default"/>
                            <w:sz w:val="16"/>
                            <w:szCs w:val="16"/>
                          </w:rPr>
                        </w:pPr>
                        <w:r>
                          <w:rPr>
                            <w:rFonts w:ascii="宋体" w:hAnsi="宋体" w:cs="宋体" w:eastAsia="宋体" w:hint="default"/>
                            <w:sz w:val="16"/>
                            <w:szCs w:val="16"/>
                          </w:rPr>
                          <w:t>南非</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8"/>
                          <w:jc w:val="center"/>
                          <w:rPr>
                            <w:rFonts w:ascii="宋体" w:hAnsi="宋体" w:cs="宋体" w:eastAsia="宋体" w:hint="default"/>
                            <w:sz w:val="16"/>
                            <w:szCs w:val="16"/>
                          </w:rPr>
                        </w:pPr>
                        <w:r>
                          <w:rPr>
                            <w:rFonts w:ascii="宋体" w:hAnsi="宋体" w:cs="宋体" w:eastAsia="宋体" w:hint="default"/>
                            <w:sz w:val="16"/>
                            <w:szCs w:val="16"/>
                          </w:rPr>
                          <w:t>南非</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7"/>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hAnsi="宋体" w:cs="宋体" w:eastAsia="宋体" w:hint="default"/>
                            <w:sz w:val="16"/>
                            <w:szCs w:val="16"/>
                          </w:rPr>
                          <w:t>不适用</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4"/>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4"/>
                          <w:jc w:val="center"/>
                          <w:rPr>
                            <w:rFonts w:ascii="宋体" w:hAnsi="宋体" w:cs="宋体" w:eastAsia="宋体" w:hint="default"/>
                            <w:sz w:val="16"/>
                            <w:szCs w:val="16"/>
                          </w:rPr>
                        </w:pPr>
                        <w:r>
                          <w:rPr>
                            <w:rFonts w:ascii="宋体" w:hAnsi="宋体" w:cs="宋体" w:eastAsia="宋体" w:hint="default"/>
                            <w:sz w:val="16"/>
                            <w:szCs w:val="16"/>
                          </w:rPr>
                          <w:t>新南威尔士</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8"/>
                          <w:jc w:val="center"/>
                          <w:rPr>
                            <w:rFonts w:ascii="宋体" w:hAnsi="宋体" w:cs="宋体" w:eastAsia="宋体" w:hint="default"/>
                            <w:sz w:val="16"/>
                            <w:szCs w:val="16"/>
                          </w:rPr>
                        </w:pPr>
                        <w:r>
                          <w:rPr>
                            <w:rFonts w:ascii="宋体" w:hAnsi="宋体" w:cs="宋体" w:eastAsia="宋体" w:hint="default"/>
                            <w:sz w:val="16"/>
                            <w:szCs w:val="16"/>
                          </w:rPr>
                          <w:t>新南威尔士</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hAnsi="宋体" w:cs="宋体" w:eastAsia="宋体" w:hint="default"/>
                            <w:sz w:val="16"/>
                            <w:szCs w:val="16"/>
                          </w:rPr>
                          <w:t>澳元</w:t>
                        </w:r>
                        <w:r>
                          <w:rPr>
                            <w:rFonts w:ascii="宋体" w:hAnsi="宋体" w:cs="宋体" w:eastAsia="宋体" w:hint="default"/>
                            <w:spacing w:val="-41"/>
                            <w:sz w:val="16"/>
                            <w:szCs w:val="16"/>
                          </w:rPr>
                          <w:t> </w:t>
                        </w:r>
                        <w:r>
                          <w:rPr>
                            <w:rFonts w:ascii="宋体" w:hAnsi="宋体" w:cs="宋体" w:eastAsia="宋体" w:hint="default"/>
                            <w:sz w:val="16"/>
                            <w:szCs w:val="16"/>
                          </w:rPr>
                          <w:t>4,350</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4"/>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4"/>
                          <w:jc w:val="center"/>
                          <w:rPr>
                            <w:rFonts w:ascii="宋体" w:hAnsi="宋体" w:cs="宋体" w:eastAsia="宋体" w:hint="default"/>
                            <w:sz w:val="16"/>
                            <w:szCs w:val="16"/>
                          </w:rPr>
                        </w:pPr>
                        <w:r>
                          <w:rPr>
                            <w:rFonts w:ascii="宋体" w:hAnsi="宋体" w:cs="宋体" w:eastAsia="宋体" w:hint="default"/>
                            <w:sz w:val="16"/>
                            <w:szCs w:val="16"/>
                          </w:rPr>
                          <w:t>俄罗斯</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7"/>
                          <w:jc w:val="center"/>
                          <w:rPr>
                            <w:rFonts w:ascii="宋体" w:hAnsi="宋体" w:cs="宋体" w:eastAsia="宋体" w:hint="default"/>
                            <w:sz w:val="16"/>
                            <w:szCs w:val="16"/>
                          </w:rPr>
                        </w:pPr>
                        <w:r>
                          <w:rPr>
                            <w:rFonts w:ascii="宋体" w:hAnsi="宋体" w:cs="宋体" w:eastAsia="宋体" w:hint="default"/>
                            <w:sz w:val="16"/>
                            <w:szCs w:val="16"/>
                          </w:rPr>
                          <w:t>俄罗斯</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hAnsi="宋体" w:cs="宋体" w:eastAsia="宋体" w:hint="default"/>
                            <w:w w:val="105"/>
                            <w:sz w:val="16"/>
                            <w:szCs w:val="16"/>
                          </w:rPr>
                          <w:t>卢布</w:t>
                        </w:r>
                        <w:r>
                          <w:rPr>
                            <w:rFonts w:ascii="宋体" w:hAnsi="宋体" w:cs="宋体" w:eastAsia="宋体" w:hint="default"/>
                            <w:spacing w:val="-51"/>
                            <w:w w:val="105"/>
                            <w:sz w:val="16"/>
                            <w:szCs w:val="16"/>
                          </w:rPr>
                          <w:t> </w:t>
                        </w:r>
                        <w:r>
                          <w:rPr>
                            <w:rFonts w:ascii="宋体" w:hAnsi="宋体" w:cs="宋体" w:eastAsia="宋体" w:hint="default"/>
                            <w:w w:val="105"/>
                            <w:sz w:val="16"/>
                            <w:szCs w:val="16"/>
                          </w:rPr>
                          <w:t>10</w:t>
                        </w:r>
                        <w:r>
                          <w:rPr>
                            <w:rFonts w:ascii="宋体" w:hAnsi="宋体" w:cs="宋体" w:eastAsia="宋体" w:hint="default"/>
                            <w:sz w:val="16"/>
                            <w:szCs w:val="16"/>
                          </w:rPr>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4"/>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4"/>
                          <w:jc w:val="center"/>
                          <w:rPr>
                            <w:rFonts w:ascii="宋体" w:hAnsi="宋体" w:cs="宋体" w:eastAsia="宋体" w:hint="default"/>
                            <w:sz w:val="16"/>
                            <w:szCs w:val="16"/>
                          </w:rPr>
                        </w:pPr>
                        <w:r>
                          <w:rPr>
                            <w:rFonts w:ascii="宋体" w:hAnsi="宋体" w:cs="宋体" w:eastAsia="宋体" w:hint="default"/>
                            <w:sz w:val="16"/>
                            <w:szCs w:val="16"/>
                          </w:rPr>
                          <w:t>马来西亚</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7"/>
                          <w:jc w:val="center"/>
                          <w:rPr>
                            <w:rFonts w:ascii="宋体" w:hAnsi="宋体" w:cs="宋体" w:eastAsia="宋体" w:hint="default"/>
                            <w:sz w:val="16"/>
                            <w:szCs w:val="16"/>
                          </w:rPr>
                        </w:pPr>
                        <w:r>
                          <w:rPr>
                            <w:rFonts w:ascii="宋体" w:hAnsi="宋体" w:cs="宋体" w:eastAsia="宋体" w:hint="default"/>
                            <w:sz w:val="16"/>
                            <w:szCs w:val="16"/>
                          </w:rPr>
                          <w:t>马来西亚</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hAnsi="宋体" w:cs="宋体" w:eastAsia="宋体" w:hint="default"/>
                            <w:w w:val="105"/>
                            <w:sz w:val="16"/>
                            <w:szCs w:val="16"/>
                          </w:rPr>
                          <w:t>令吉特</w:t>
                        </w:r>
                        <w:r>
                          <w:rPr>
                            <w:rFonts w:ascii="宋体" w:hAnsi="宋体" w:cs="宋体" w:eastAsia="宋体" w:hint="default"/>
                            <w:spacing w:val="-59"/>
                            <w:w w:val="105"/>
                            <w:sz w:val="16"/>
                            <w:szCs w:val="16"/>
                          </w:rPr>
                          <w:t> </w:t>
                        </w:r>
                        <w:r>
                          <w:rPr>
                            <w:rFonts w:ascii="宋体" w:hAnsi="宋体" w:cs="宋体" w:eastAsia="宋体" w:hint="default"/>
                            <w:w w:val="105"/>
                            <w:sz w:val="16"/>
                            <w:szCs w:val="16"/>
                          </w:rPr>
                          <w:t>10</w:t>
                        </w:r>
                        <w:r>
                          <w:rPr>
                            <w:rFonts w:ascii="宋体" w:hAnsi="宋体" w:cs="宋体" w:eastAsia="宋体" w:hint="default"/>
                            <w:sz w:val="16"/>
                            <w:szCs w:val="16"/>
                          </w:rPr>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3"/>
                          <w:jc w:val="center"/>
                          <w:rPr>
                            <w:rFonts w:ascii="宋体" w:hAnsi="宋体" w:cs="宋体" w:eastAsia="宋体" w:hint="default"/>
                            <w:sz w:val="16"/>
                            <w:szCs w:val="16"/>
                          </w:rPr>
                        </w:pPr>
                        <w:r>
                          <w:rPr>
                            <w:rFonts w:ascii="宋体" w:hAnsi="宋体" w:cs="宋体" w:eastAsia="宋体" w:hint="default"/>
                            <w:sz w:val="16"/>
                            <w:szCs w:val="16"/>
                          </w:rPr>
                          <w:t>泰国</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7"/>
                          <w:jc w:val="center"/>
                          <w:rPr>
                            <w:rFonts w:ascii="宋体" w:hAnsi="宋体" w:cs="宋体" w:eastAsia="宋体" w:hint="default"/>
                            <w:sz w:val="16"/>
                            <w:szCs w:val="16"/>
                          </w:rPr>
                        </w:pPr>
                        <w:r>
                          <w:rPr>
                            <w:rFonts w:ascii="宋体" w:hAnsi="宋体" w:cs="宋体" w:eastAsia="宋体" w:hint="default"/>
                            <w:sz w:val="16"/>
                            <w:szCs w:val="16"/>
                          </w:rPr>
                          <w:t>泰国</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hAnsi="宋体" w:cs="宋体" w:eastAsia="宋体" w:hint="default"/>
                            <w:sz w:val="16"/>
                            <w:szCs w:val="16"/>
                          </w:rPr>
                          <w:t>泰铢</w:t>
                        </w:r>
                        <w:r>
                          <w:rPr>
                            <w:rFonts w:ascii="宋体" w:hAnsi="宋体" w:cs="宋体" w:eastAsia="宋体" w:hint="default"/>
                            <w:spacing w:val="-41"/>
                            <w:sz w:val="16"/>
                            <w:szCs w:val="16"/>
                          </w:rPr>
                          <w:t> </w:t>
                        </w:r>
                        <w:r>
                          <w:rPr>
                            <w:rFonts w:ascii="宋体" w:hAnsi="宋体" w:cs="宋体" w:eastAsia="宋体" w:hint="default"/>
                            <w:sz w:val="16"/>
                            <w:szCs w:val="16"/>
                          </w:rPr>
                          <w:t>2,000</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3"/>
                          <w:jc w:val="center"/>
                          <w:rPr>
                            <w:rFonts w:ascii="宋体" w:hAnsi="宋体" w:cs="宋体" w:eastAsia="宋体" w:hint="default"/>
                            <w:sz w:val="16"/>
                            <w:szCs w:val="16"/>
                          </w:rPr>
                        </w:pPr>
                        <w:r>
                          <w:rPr>
                            <w:rFonts w:ascii="宋体" w:hAnsi="宋体" w:cs="宋体" w:eastAsia="宋体" w:hint="default"/>
                            <w:sz w:val="16"/>
                            <w:szCs w:val="16"/>
                          </w:rPr>
                          <w:t>韩国</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6"/>
                          <w:jc w:val="center"/>
                          <w:rPr>
                            <w:rFonts w:ascii="宋体" w:hAnsi="宋体" w:cs="宋体" w:eastAsia="宋体" w:hint="default"/>
                            <w:sz w:val="16"/>
                            <w:szCs w:val="16"/>
                          </w:rPr>
                        </w:pPr>
                        <w:r>
                          <w:rPr>
                            <w:rFonts w:ascii="宋体" w:hAnsi="宋体" w:cs="宋体" w:eastAsia="宋体" w:hint="default"/>
                            <w:sz w:val="16"/>
                            <w:szCs w:val="16"/>
                          </w:rPr>
                          <w:t>韩国</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hAnsi="宋体" w:cs="宋体" w:eastAsia="宋体" w:hint="default"/>
                            <w:sz w:val="16"/>
                            <w:szCs w:val="16"/>
                          </w:rPr>
                          <w:t>韩元</w:t>
                        </w:r>
                        <w:r>
                          <w:rPr>
                            <w:rFonts w:ascii="宋体" w:hAnsi="宋体" w:cs="宋体" w:eastAsia="宋体" w:hint="default"/>
                            <w:spacing w:val="-23"/>
                            <w:sz w:val="16"/>
                            <w:szCs w:val="16"/>
                          </w:rPr>
                          <w:t> </w:t>
                        </w:r>
                        <w:r>
                          <w:rPr>
                            <w:rFonts w:ascii="宋体" w:hAnsi="宋体" w:cs="宋体" w:eastAsia="宋体" w:hint="default"/>
                            <w:sz w:val="16"/>
                            <w:szCs w:val="16"/>
                          </w:rPr>
                          <w:t>300,000</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3"/>
                          <w:jc w:val="center"/>
                          <w:rPr>
                            <w:rFonts w:ascii="宋体" w:hAnsi="宋体" w:cs="宋体" w:eastAsia="宋体" w:hint="default"/>
                            <w:sz w:val="16"/>
                            <w:szCs w:val="16"/>
                          </w:rPr>
                        </w:pPr>
                        <w:r>
                          <w:rPr>
                            <w:rFonts w:ascii="宋体" w:hAnsi="宋体" w:cs="宋体" w:eastAsia="宋体" w:hint="default"/>
                            <w:sz w:val="16"/>
                            <w:szCs w:val="16"/>
                          </w:rPr>
                          <w:t>越南</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6"/>
                          <w:jc w:val="center"/>
                          <w:rPr>
                            <w:rFonts w:ascii="宋体" w:hAnsi="宋体" w:cs="宋体" w:eastAsia="宋体" w:hint="default"/>
                            <w:sz w:val="16"/>
                            <w:szCs w:val="16"/>
                          </w:rPr>
                        </w:pPr>
                        <w:r>
                          <w:rPr>
                            <w:rFonts w:ascii="宋体" w:hAnsi="宋体" w:cs="宋体" w:eastAsia="宋体" w:hint="default"/>
                            <w:sz w:val="16"/>
                            <w:szCs w:val="16"/>
                          </w:rPr>
                          <w:t>越南</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6"/>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hAnsi="宋体" w:cs="宋体" w:eastAsia="宋体" w:hint="default"/>
                            <w:sz w:val="16"/>
                            <w:szCs w:val="16"/>
                          </w:rPr>
                          <w:t>不适用</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center"/>
                          <w:rPr>
                            <w:rFonts w:ascii="宋体" w:hAnsi="宋体" w:cs="宋体" w:eastAsia="宋体" w:hint="default"/>
                            <w:sz w:val="16"/>
                            <w:szCs w:val="16"/>
                          </w:rPr>
                        </w:pPr>
                        <w:r>
                          <w:rPr>
                            <w:rFonts w:ascii="宋体" w:hAnsi="宋体" w:cs="宋体" w:eastAsia="宋体" w:hint="default"/>
                            <w:sz w:val="16"/>
                            <w:szCs w:val="16"/>
                          </w:rPr>
                          <w:t>柬埔寨</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6"/>
                          <w:jc w:val="center"/>
                          <w:rPr>
                            <w:rFonts w:ascii="宋体" w:hAnsi="宋体" w:cs="宋体" w:eastAsia="宋体" w:hint="default"/>
                            <w:sz w:val="16"/>
                            <w:szCs w:val="16"/>
                          </w:rPr>
                        </w:pPr>
                        <w:r>
                          <w:rPr>
                            <w:rFonts w:ascii="宋体" w:hAnsi="宋体" w:cs="宋体" w:eastAsia="宋体" w:hint="default"/>
                            <w:sz w:val="16"/>
                            <w:szCs w:val="16"/>
                          </w:rPr>
                          <w:t>柬埔寨</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5"/>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hAnsi="宋体" w:cs="宋体" w:eastAsia="宋体" w:hint="default"/>
                            <w:sz w:val="16"/>
                            <w:szCs w:val="16"/>
                          </w:rPr>
                          <w:t>不适用</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center"/>
                          <w:rPr>
                            <w:rFonts w:ascii="宋体" w:hAnsi="宋体" w:cs="宋体" w:eastAsia="宋体" w:hint="default"/>
                            <w:sz w:val="16"/>
                            <w:szCs w:val="16"/>
                          </w:rPr>
                        </w:pPr>
                        <w:r>
                          <w:rPr>
                            <w:rFonts w:ascii="宋体" w:hAnsi="宋体" w:cs="宋体" w:eastAsia="宋体" w:hint="default"/>
                            <w:sz w:val="16"/>
                            <w:szCs w:val="16"/>
                          </w:rPr>
                          <w:t>巴西</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6"/>
                          <w:jc w:val="center"/>
                          <w:rPr>
                            <w:rFonts w:ascii="宋体" w:hAnsi="宋体" w:cs="宋体" w:eastAsia="宋体" w:hint="default"/>
                            <w:sz w:val="16"/>
                            <w:szCs w:val="16"/>
                          </w:rPr>
                        </w:pPr>
                        <w:r>
                          <w:rPr>
                            <w:rFonts w:ascii="宋体" w:hAnsi="宋体" w:cs="宋体" w:eastAsia="宋体" w:hint="default"/>
                            <w:sz w:val="16"/>
                            <w:szCs w:val="16"/>
                          </w:rPr>
                          <w:t>巴西</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5"/>
                          <w:jc w:val="right"/>
                          <w:rPr>
                            <w:rFonts w:ascii="宋体" w:hAnsi="宋体" w:cs="宋体" w:eastAsia="宋体" w:hint="default"/>
                            <w:sz w:val="16"/>
                            <w:szCs w:val="16"/>
                          </w:rPr>
                        </w:pPr>
                        <w:r>
                          <w:rPr>
                            <w:rFonts w:ascii="宋体" w:hAnsi="宋体" w:cs="宋体" w:eastAsia="宋体" w:hint="default"/>
                            <w:sz w:val="16"/>
                            <w:szCs w:val="16"/>
                          </w:rPr>
                          <w:t>电信业务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1"/>
                          <w:jc w:val="right"/>
                          <w:rPr>
                            <w:rFonts w:ascii="宋体" w:hAnsi="宋体" w:cs="宋体" w:eastAsia="宋体" w:hint="default"/>
                            <w:sz w:val="16"/>
                            <w:szCs w:val="16"/>
                          </w:rPr>
                        </w:pPr>
                        <w:r>
                          <w:rPr>
                            <w:rFonts w:ascii="宋体" w:hAnsi="宋体" w:cs="宋体" w:eastAsia="宋体" w:hint="default"/>
                            <w:sz w:val="16"/>
                            <w:szCs w:val="16"/>
                          </w:rPr>
                          <w:t>不适用</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317" w:hRule="exact"/>
                    </w:trPr>
                    <w:tc>
                      <w:tcPr>
                        <w:tcW w:w="112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2"/>
                          <w:jc w:val="center"/>
                          <w:rPr>
                            <w:rFonts w:ascii="宋体" w:hAnsi="宋体" w:cs="宋体" w:eastAsia="宋体" w:hint="default"/>
                            <w:sz w:val="16"/>
                            <w:szCs w:val="16"/>
                          </w:rPr>
                        </w:pPr>
                        <w:r>
                          <w:rPr>
                            <w:rFonts w:ascii="宋体" w:hAnsi="宋体" w:cs="宋体" w:eastAsia="宋体" w:hint="default"/>
                            <w:sz w:val="16"/>
                            <w:szCs w:val="16"/>
                          </w:rPr>
                          <w:t>巴西</w:t>
                        </w:r>
                      </w:p>
                    </w:tc>
                    <w:tc>
                      <w:tcPr>
                        <w:tcW w:w="130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5"/>
                          <w:jc w:val="center"/>
                          <w:rPr>
                            <w:rFonts w:ascii="宋体" w:hAnsi="宋体" w:cs="宋体" w:eastAsia="宋体" w:hint="default"/>
                            <w:sz w:val="16"/>
                            <w:szCs w:val="16"/>
                          </w:rPr>
                        </w:pPr>
                        <w:r>
                          <w:rPr>
                            <w:rFonts w:ascii="宋体" w:hAnsi="宋体" w:cs="宋体" w:eastAsia="宋体" w:hint="default"/>
                            <w:sz w:val="16"/>
                            <w:szCs w:val="16"/>
                          </w:rPr>
                          <w:t>巴西</w:t>
                        </w:r>
                      </w:p>
                    </w:tc>
                    <w:tc>
                      <w:tcPr>
                        <w:tcW w:w="143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5"/>
                          <w:jc w:val="right"/>
                          <w:rPr>
                            <w:rFonts w:ascii="宋体" w:hAnsi="宋体" w:cs="宋体" w:eastAsia="宋体" w:hint="default"/>
                            <w:sz w:val="16"/>
                            <w:szCs w:val="16"/>
                          </w:rPr>
                        </w:pPr>
                        <w:r>
                          <w:rPr>
                            <w:rFonts w:ascii="宋体" w:hAnsi="宋体" w:cs="宋体" w:eastAsia="宋体" w:hint="default"/>
                            <w:sz w:val="16"/>
                            <w:szCs w:val="16"/>
                          </w:rPr>
                          <w:t>投资控股</w:t>
                        </w:r>
                      </w:p>
                    </w:tc>
                    <w:tc>
                      <w:tcPr>
                        <w:tcW w:w="128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1"/>
                          <w:jc w:val="right"/>
                          <w:rPr>
                            <w:rFonts w:ascii="宋体" w:hAnsi="宋体" w:cs="宋体" w:eastAsia="宋体" w:hint="default"/>
                            <w:sz w:val="16"/>
                            <w:szCs w:val="16"/>
                          </w:rPr>
                        </w:pPr>
                        <w:r>
                          <w:rPr>
                            <w:rFonts w:ascii="宋体" w:hAnsi="宋体" w:cs="宋体" w:eastAsia="宋体" w:hint="default"/>
                            <w:sz w:val="16"/>
                            <w:szCs w:val="16"/>
                          </w:rPr>
                          <w:t>不适用</w:t>
                        </w:r>
                      </w:p>
                    </w:tc>
                    <w:tc>
                      <w:tcPr>
                        <w:tcW w:w="1001"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bl>
                <w:p>
                  <w:pPr/>
                </w:p>
              </w:txbxContent>
            </v:textbox>
            <w10:wrap type="none"/>
          </v:shape>
        </w:pict>
      </w:r>
      <w:r>
        <w:rPr>
          <w:rFonts w:ascii="宋体" w:hAnsi="宋体" w:cs="宋体" w:eastAsia="宋体" w:hint="default"/>
          <w:sz w:val="16"/>
          <w:szCs w:val="16"/>
        </w:rPr>
        <w:t>投资控股</w:t>
        <w:tab/>
      </w:r>
      <w:r>
        <w:rPr>
          <w:rFonts w:ascii="宋体" w:hAnsi="宋体" w:cs="宋体" w:eastAsia="宋体" w:hint="default"/>
          <w:w w:val="105"/>
          <w:sz w:val="16"/>
          <w:szCs w:val="16"/>
        </w:rPr>
        <w:t>美元 150</w:t>
      </w:r>
      <w:r>
        <w:rPr>
          <w:rFonts w:ascii="宋体" w:hAnsi="宋体" w:cs="宋体" w:eastAsia="宋体" w:hint="default"/>
          <w:spacing w:val="44"/>
          <w:w w:val="105"/>
          <w:sz w:val="16"/>
          <w:szCs w:val="16"/>
        </w:rPr>
        <w:t> </w:t>
      </w:r>
      <w:r>
        <w:rPr>
          <w:rFonts w:ascii="宋体" w:hAnsi="宋体" w:cs="宋体" w:eastAsia="宋体" w:hint="default"/>
          <w:w w:val="105"/>
          <w:sz w:val="16"/>
          <w:szCs w:val="16"/>
        </w:rPr>
        <w:t>82.10</w:t>
        <w:tab/>
        <w:t>-</w:t>
      </w:r>
      <w:r>
        <w:rPr>
          <w:rFonts w:ascii="宋体" w:hAnsi="宋体" w:cs="宋体" w:eastAsia="宋体" w:hint="default"/>
          <w:sz w:val="16"/>
          <w:szCs w:val="16"/>
        </w:rPr>
      </w:r>
    </w:p>
    <w:p>
      <w:pPr>
        <w:spacing w:after="0"/>
        <w:jc w:val="left"/>
        <w:rPr>
          <w:rFonts w:ascii="宋体" w:hAnsi="宋体" w:cs="宋体" w:eastAsia="宋体" w:hint="default"/>
          <w:sz w:val="16"/>
          <w:szCs w:val="16"/>
        </w:rPr>
        <w:sectPr>
          <w:type w:val="continuous"/>
          <w:pgSz w:w="11910" w:h="16160"/>
          <w:pgMar w:top="1520" w:bottom="280" w:left="680" w:right="1340"/>
          <w:cols w:num="4" w:equalWidth="0">
            <w:col w:w="3391" w:space="40"/>
            <w:col w:w="982" w:space="77"/>
            <w:col w:w="1151" w:space="542"/>
            <w:col w:w="3707"/>
          </w:cols>
        </w:sectPr>
      </w:pPr>
    </w:p>
    <w:p>
      <w:pPr>
        <w:spacing w:line="240" w:lineRule="auto" w:before="8"/>
        <w:rPr>
          <w:rFonts w:ascii="宋体" w:hAnsi="宋体" w:cs="宋体" w:eastAsia="宋体" w:hint="default"/>
          <w:sz w:val="8"/>
          <w:szCs w:val="8"/>
        </w:rPr>
      </w:pPr>
    </w:p>
    <w:p>
      <w:pPr>
        <w:spacing w:line="40" w:lineRule="exact"/>
        <w:ind w:left="43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229;height:2" coordorigin="3044,20" coordsize="1229,2">
              <v:shape style="position:absolute;left:3044;top:20;width:1229;height:2" coordorigin="3044,20" coordsize="1229,0" path="m3044,20l4272,20e" filled="false" stroked="true" strokeweight="2pt" strokecolor="#9f8958">
                <v:path arrowok="t"/>
              </v:shape>
            </v:group>
            <v:group style="position:absolute;left:4272;top:20;width:1229;height:2" coordorigin="4272,20" coordsize="1229,2">
              <v:shape style="position:absolute;left:4272;top:20;width:1229;height:2" coordorigin="4272,20" coordsize="1229,0" path="m4272,20l5500,20e" filled="false" stroked="true" strokeweight="2pt" strokecolor="#9f8958">
                <v:path arrowok="t"/>
              </v:shape>
            </v:group>
            <v:group style="position:absolute;left:5500;top:20;width:1456;height:2" coordorigin="5500,20" coordsize="1456,2">
              <v:shape style="position:absolute;left:5500;top:20;width:1456;height:2" coordorigin="5500,20" coordsize="1456,0" path="m5500,20l6955,20e" filled="false" stroked="true" strokeweight="2pt" strokecolor="#9f8958">
                <v:path arrowok="t"/>
              </v:shape>
            </v:group>
            <v:group style="position:absolute;left:6955;top:20;width:1153;height:2" coordorigin="6955,20" coordsize="1153,2">
              <v:shape style="position:absolute;left:6955;top:20;width:1153;height:2" coordorigin="6955,20" coordsize="1153,0" path="m6955,20l8108,20e" filled="false" stroked="true" strokeweight="2pt" strokecolor="#9f8958">
                <v:path arrowok="t"/>
              </v:shape>
            </v:group>
            <v:group style="position:absolute;left:8108;top:20;width:596;height:2" coordorigin="8108,20" coordsize="596,2">
              <v:shape style="position:absolute;left:8108;top:20;width:596;height:2" coordorigin="8108,20" coordsize="596,0" path="m8108,20l8703,20e" filled="false" stroked="true" strokeweight="2pt" strokecolor="#9f8958">
                <v:path arrowok="t"/>
              </v:shape>
            </v:group>
            <v:group style="position:absolute;left:8703;top:20;width:615;height:2" coordorigin="8703,20" coordsize="615,2">
              <v:shape style="position:absolute;left:8703;top:20;width:615;height:2" coordorigin="8703,20" coordsize="615,0" path="m8703,20l9318,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type w:val="continuous"/>
          <w:pgSz w:w="11910" w:h="16160"/>
          <w:pgMar w:top="1520" w:bottom="280" w:left="680" w:right="1340"/>
        </w:sectPr>
      </w:pPr>
    </w:p>
    <w:p>
      <w:pPr>
        <w:spacing w:line="240" w:lineRule="auto" w:before="7"/>
        <w:rPr>
          <w:rFonts w:ascii="宋体" w:hAnsi="宋体" w:cs="宋体" w:eastAsia="宋体" w:hint="default"/>
          <w:sz w:val="14"/>
          <w:szCs w:val="14"/>
        </w:rPr>
      </w:pPr>
    </w:p>
    <w:p>
      <w:pPr>
        <w:pStyle w:val="BodyText"/>
        <w:spacing w:line="240" w:lineRule="auto" w:before="31"/>
        <w:ind w:right="125"/>
        <w:jc w:val="left"/>
      </w:pPr>
      <w:r>
        <w:rPr/>
        <w:t>(1)</w:t>
      </w:r>
      <w:r>
        <w:rPr>
          <w:spacing w:val="19"/>
        </w:rPr>
        <w:t> </w:t>
      </w:r>
      <w:r>
        <w:rPr/>
        <w:t>通过设立或投资方式取得的子公司（续）</w:t>
      </w:r>
    </w:p>
    <w:p>
      <w:pPr>
        <w:spacing w:line="240" w:lineRule="auto" w:before="10"/>
        <w:rPr>
          <w:rFonts w:ascii="宋体" w:hAnsi="宋体" w:cs="宋体" w:eastAsia="宋体" w:hint="default"/>
          <w:sz w:val="14"/>
          <w:szCs w:val="14"/>
        </w:rPr>
      </w:pPr>
    </w:p>
    <w:tbl>
      <w:tblPr>
        <w:tblW w:w="0" w:type="auto"/>
        <w:jc w:val="left"/>
        <w:tblInd w:w="454" w:type="dxa"/>
        <w:tblLayout w:type="fixed"/>
        <w:tblCellMar>
          <w:top w:w="0" w:type="dxa"/>
          <w:left w:w="0" w:type="dxa"/>
          <w:bottom w:w="0" w:type="dxa"/>
          <w:right w:w="0" w:type="dxa"/>
        </w:tblCellMar>
        <w:tblLook w:val="01E0"/>
      </w:tblPr>
      <w:tblGrid>
        <w:gridCol w:w="4262"/>
        <w:gridCol w:w="1335"/>
        <w:gridCol w:w="1652"/>
        <w:gridCol w:w="856"/>
        <w:gridCol w:w="1193"/>
      </w:tblGrid>
      <w:tr>
        <w:trPr>
          <w:trHeight w:val="584" w:hRule="exact"/>
        </w:trPr>
        <w:tc>
          <w:tcPr>
            <w:tcW w:w="4262"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52"/>
              <w:jc w:val="right"/>
              <w:rPr>
                <w:rFonts w:ascii="宋体" w:hAnsi="宋体" w:cs="宋体" w:eastAsia="宋体" w:hint="default"/>
                <w:sz w:val="16"/>
                <w:szCs w:val="16"/>
              </w:rPr>
            </w:pPr>
            <w:r>
              <w:rPr>
                <w:rFonts w:ascii="宋体" w:hAnsi="宋体" w:cs="宋体" w:eastAsia="宋体" w:hint="default"/>
                <w:sz w:val="16"/>
                <w:szCs w:val="16"/>
              </w:rPr>
              <w:t>主要经营地</w:t>
            </w:r>
          </w:p>
        </w:tc>
        <w:tc>
          <w:tcPr>
            <w:tcW w:w="1335"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28"/>
              <w:jc w:val="center"/>
              <w:rPr>
                <w:rFonts w:ascii="宋体" w:hAnsi="宋体" w:cs="宋体" w:eastAsia="宋体" w:hint="default"/>
                <w:sz w:val="16"/>
                <w:szCs w:val="16"/>
              </w:rPr>
            </w:pPr>
            <w:r>
              <w:rPr>
                <w:rFonts w:ascii="宋体" w:hAnsi="宋体" w:cs="宋体" w:eastAsia="宋体" w:hint="default"/>
                <w:sz w:val="16"/>
                <w:szCs w:val="16"/>
              </w:rPr>
              <w:t>注册地</w:t>
            </w:r>
          </w:p>
        </w:tc>
        <w:tc>
          <w:tcPr>
            <w:tcW w:w="1652"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right="88"/>
              <w:jc w:val="right"/>
              <w:rPr>
                <w:rFonts w:ascii="宋体" w:hAnsi="宋体" w:cs="宋体" w:eastAsia="宋体" w:hint="default"/>
                <w:sz w:val="16"/>
                <w:szCs w:val="16"/>
              </w:rPr>
            </w:pPr>
            <w:r>
              <w:rPr>
                <w:rFonts w:ascii="宋体" w:hAnsi="宋体" w:cs="宋体" w:eastAsia="宋体" w:hint="default"/>
                <w:sz w:val="16"/>
                <w:szCs w:val="16"/>
              </w:rPr>
              <w:t>业务性质</w:t>
            </w:r>
          </w:p>
        </w:tc>
        <w:tc>
          <w:tcPr>
            <w:tcW w:w="856" w:type="dxa"/>
            <w:tcBorders>
              <w:top w:val="nil" w:sz="6" w:space="0" w:color="auto"/>
              <w:left w:val="nil" w:sz="6" w:space="0" w:color="auto"/>
              <w:bottom w:val="single" w:sz="16" w:space="0" w:color="9F8958"/>
              <w:right w:val="nil" w:sz="6" w:space="0" w:color="auto"/>
            </w:tcBorders>
          </w:tcPr>
          <w:p>
            <w:pPr>
              <w:pStyle w:val="TableParagraph"/>
              <w:spacing w:line="205" w:lineRule="exact" w:before="41"/>
              <w:ind w:left="159" w:right="0"/>
              <w:jc w:val="left"/>
              <w:rPr>
                <w:rFonts w:ascii="宋体" w:hAnsi="宋体" w:cs="宋体" w:eastAsia="宋体" w:hint="default"/>
                <w:sz w:val="16"/>
                <w:szCs w:val="16"/>
              </w:rPr>
            </w:pPr>
            <w:r>
              <w:rPr>
                <w:rFonts w:ascii="宋体" w:hAnsi="宋体" w:cs="宋体" w:eastAsia="宋体" w:hint="default"/>
                <w:sz w:val="16"/>
                <w:szCs w:val="16"/>
              </w:rPr>
              <w:t>注册资本</w:t>
            </w:r>
          </w:p>
          <w:p>
            <w:pPr>
              <w:pStyle w:val="TableParagraph"/>
              <w:spacing w:line="205" w:lineRule="exact"/>
              <w:ind w:left="159" w:right="0"/>
              <w:jc w:val="left"/>
              <w:rPr>
                <w:rFonts w:ascii="宋体" w:hAnsi="宋体" w:cs="宋体" w:eastAsia="宋体" w:hint="default"/>
                <w:sz w:val="16"/>
                <w:szCs w:val="16"/>
              </w:rPr>
            </w:pPr>
            <w:r>
              <w:rPr>
                <w:rFonts w:ascii="宋体" w:hAnsi="宋体" w:cs="宋体" w:eastAsia="宋体" w:hint="default"/>
                <w:sz w:val="16"/>
                <w:szCs w:val="16"/>
              </w:rPr>
              <w:t>（千元）</w:t>
            </w:r>
          </w:p>
        </w:tc>
        <w:tc>
          <w:tcPr>
            <w:tcW w:w="1193"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8"/>
                <w:szCs w:val="18"/>
              </w:rPr>
            </w:pPr>
          </w:p>
          <w:p>
            <w:pPr>
              <w:pStyle w:val="TableParagraph"/>
              <w:spacing w:line="240" w:lineRule="auto"/>
              <w:ind w:left="132" w:right="0"/>
              <w:jc w:val="left"/>
              <w:rPr>
                <w:rFonts w:ascii="宋体" w:hAnsi="宋体" w:cs="宋体" w:eastAsia="宋体" w:hint="default"/>
                <w:sz w:val="16"/>
                <w:szCs w:val="16"/>
              </w:rPr>
            </w:pPr>
            <w:r>
              <w:rPr>
                <w:rFonts w:ascii="宋体" w:hAnsi="宋体" w:cs="宋体" w:eastAsia="宋体" w:hint="default"/>
                <w:sz w:val="16"/>
                <w:szCs w:val="16"/>
              </w:rPr>
              <w:t>持股比例</w:t>
            </w:r>
            <w:r>
              <w:rPr>
                <w:rFonts w:ascii="宋体" w:hAnsi="宋体" w:cs="宋体" w:eastAsia="宋体" w:hint="default"/>
                <w:spacing w:val="-34"/>
                <w:sz w:val="16"/>
                <w:szCs w:val="16"/>
              </w:rPr>
              <w:t> </w:t>
            </w:r>
            <w:r>
              <w:rPr>
                <w:rFonts w:ascii="宋体" w:hAnsi="宋体" w:cs="宋体" w:eastAsia="宋体" w:hint="default"/>
                <w:sz w:val="16"/>
                <w:szCs w:val="16"/>
              </w:rPr>
              <w:t>(%)</w:t>
            </w:r>
          </w:p>
        </w:tc>
      </w:tr>
      <w:tr>
        <w:trPr>
          <w:trHeight w:val="419" w:hRule="exact"/>
        </w:trPr>
        <w:tc>
          <w:tcPr>
            <w:tcW w:w="4262" w:type="dxa"/>
            <w:tcBorders>
              <w:top w:val="single" w:sz="16" w:space="0" w:color="9F8958"/>
              <w:left w:val="nil" w:sz="6" w:space="0" w:color="auto"/>
              <w:bottom w:val="nil" w:sz="6" w:space="0" w:color="auto"/>
              <w:right w:val="nil" w:sz="6" w:space="0" w:color="auto"/>
            </w:tcBorders>
          </w:tcPr>
          <w:p>
            <w:pPr/>
          </w:p>
        </w:tc>
        <w:tc>
          <w:tcPr>
            <w:tcW w:w="1335" w:type="dxa"/>
            <w:tcBorders>
              <w:top w:val="single" w:sz="16" w:space="0" w:color="9F8958"/>
              <w:left w:val="nil" w:sz="6" w:space="0" w:color="auto"/>
              <w:bottom w:val="nil" w:sz="6" w:space="0" w:color="auto"/>
              <w:right w:val="nil" w:sz="6" w:space="0" w:color="auto"/>
            </w:tcBorders>
          </w:tcPr>
          <w:p>
            <w:pPr/>
          </w:p>
        </w:tc>
        <w:tc>
          <w:tcPr>
            <w:tcW w:w="1652" w:type="dxa"/>
            <w:tcBorders>
              <w:top w:val="single" w:sz="16" w:space="0" w:color="9F8958"/>
              <w:left w:val="nil" w:sz="6" w:space="0" w:color="auto"/>
              <w:bottom w:val="nil" w:sz="6" w:space="0" w:color="auto"/>
              <w:right w:val="nil" w:sz="6" w:space="0" w:color="auto"/>
            </w:tcBorders>
          </w:tcPr>
          <w:p>
            <w:pPr/>
          </w:p>
        </w:tc>
        <w:tc>
          <w:tcPr>
            <w:tcW w:w="856" w:type="dxa"/>
            <w:tcBorders>
              <w:top w:val="single" w:sz="16" w:space="0" w:color="9F8958"/>
              <w:left w:val="nil" w:sz="6" w:space="0" w:color="auto"/>
              <w:bottom w:val="nil" w:sz="6" w:space="0" w:color="auto"/>
              <w:right w:val="nil" w:sz="6" w:space="0" w:color="auto"/>
            </w:tcBorders>
          </w:tcPr>
          <w:p>
            <w:pPr/>
          </w:p>
        </w:tc>
        <w:tc>
          <w:tcPr>
            <w:tcW w:w="1193" w:type="dxa"/>
            <w:tcBorders>
              <w:top w:val="single" w:sz="16" w:space="0" w:color="9F8958"/>
              <w:left w:val="nil" w:sz="6" w:space="0" w:color="auto"/>
              <w:bottom w:val="single" w:sz="6" w:space="0" w:color="000000"/>
              <w:right w:val="nil" w:sz="6" w:space="0" w:color="auto"/>
            </w:tcBorders>
          </w:tcPr>
          <w:p>
            <w:pPr>
              <w:pStyle w:val="TableParagraph"/>
              <w:tabs>
                <w:tab w:pos="596" w:val="left" w:leader="none"/>
              </w:tabs>
              <w:spacing w:line="240" w:lineRule="auto" w:before="64"/>
              <w:ind w:right="54"/>
              <w:jc w:val="right"/>
              <w:rPr>
                <w:rFonts w:ascii="宋体" w:hAnsi="宋体" w:cs="宋体" w:eastAsia="宋体" w:hint="default"/>
                <w:sz w:val="16"/>
                <w:szCs w:val="16"/>
              </w:rPr>
            </w:pPr>
            <w:r>
              <w:rPr>
                <w:rFonts w:ascii="宋体" w:hAnsi="宋体" w:cs="宋体" w:eastAsia="宋体" w:hint="default"/>
                <w:sz w:val="16"/>
                <w:szCs w:val="16"/>
              </w:rPr>
              <w:t>直接</w:t>
              <w:tab/>
              <w:t>间接</w:t>
            </w:r>
          </w:p>
        </w:tc>
      </w:tr>
      <w:tr>
        <w:trPr>
          <w:trHeight w:val="39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5" w:lineRule="exact" w:before="71"/>
              <w:ind w:left="56" w:right="0"/>
              <w:jc w:val="left"/>
              <w:rPr>
                <w:rFonts w:ascii="宋体" w:hAnsi="宋体" w:cs="宋体" w:eastAsia="宋体" w:hint="default"/>
                <w:sz w:val="16"/>
                <w:szCs w:val="16"/>
              </w:rPr>
            </w:pPr>
            <w:r>
              <w:rPr>
                <w:rFonts w:ascii="宋体" w:hAnsi="宋体" w:cs="宋体" w:eastAsia="宋体" w:hint="default"/>
                <w:sz w:val="16"/>
                <w:szCs w:val="16"/>
              </w:rPr>
              <w:t>联通创新创业投资有限公司</w:t>
            </w:r>
          </w:p>
          <w:p>
            <w:pPr>
              <w:pStyle w:val="TableParagraph"/>
              <w:tabs>
                <w:tab w:pos="3127" w:val="left" w:leader="none"/>
              </w:tabs>
              <w:spacing w:line="207"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（“联通创投”）</w:t>
              <w:tab/>
            </w:r>
            <w:r>
              <w:rPr>
                <w:rFonts w:ascii="宋体" w:hAnsi="宋体" w:cs="宋体" w:eastAsia="宋体" w:hint="default"/>
                <w:position w:val="10"/>
                <w:sz w:val="16"/>
                <w:szCs w:val="16"/>
              </w:rPr>
              <w:t>中国，北京市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28"/>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88"/>
              <w:jc w:val="right"/>
              <w:rPr>
                <w:rFonts w:ascii="宋体" w:hAnsi="宋体" w:cs="宋体" w:eastAsia="宋体" w:hint="default"/>
                <w:sz w:val="16"/>
                <w:szCs w:val="16"/>
              </w:rPr>
            </w:pPr>
            <w:r>
              <w:rPr>
                <w:rFonts w:ascii="宋体" w:hAnsi="宋体" w:cs="宋体" w:eastAsia="宋体" w:hint="default"/>
                <w:sz w:val="16"/>
                <w:szCs w:val="16"/>
              </w:rPr>
              <w:t>创业投资业务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54"/>
              <w:jc w:val="right"/>
              <w:rPr>
                <w:rFonts w:ascii="宋体" w:hAnsi="宋体" w:cs="宋体" w:eastAsia="宋体" w:hint="default"/>
                <w:sz w:val="16"/>
                <w:szCs w:val="16"/>
              </w:rPr>
            </w:pPr>
            <w:r>
              <w:rPr>
                <w:rFonts w:ascii="宋体"/>
                <w:sz w:val="16"/>
              </w:rPr>
              <w:t>740,000</w:t>
            </w:r>
          </w:p>
        </w:tc>
        <w:tc>
          <w:tcPr>
            <w:tcW w:w="1193" w:type="dxa"/>
            <w:tcBorders>
              <w:top w:val="single" w:sz="6"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39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left="56" w:right="0"/>
              <w:jc w:val="left"/>
              <w:rPr>
                <w:rFonts w:ascii="宋体" w:hAnsi="宋体" w:cs="宋体" w:eastAsia="宋体" w:hint="default"/>
                <w:sz w:val="16"/>
                <w:szCs w:val="16"/>
              </w:rPr>
            </w:pPr>
            <w:r>
              <w:rPr>
                <w:rFonts w:ascii="宋体" w:hAnsi="宋体" w:cs="宋体" w:eastAsia="宋体" w:hint="default"/>
                <w:sz w:val="16"/>
                <w:szCs w:val="16"/>
              </w:rPr>
              <w:t>小沃科技有限公司</w:t>
            </w:r>
          </w:p>
        </w:tc>
        <w:tc>
          <w:tcPr>
            <w:tcW w:w="1335"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1"/>
                <w:szCs w:val="11"/>
              </w:rPr>
            </w:pPr>
          </w:p>
          <w:p>
            <w:pPr>
              <w:pStyle w:val="TableParagraph"/>
              <w:spacing w:line="240" w:lineRule="auto"/>
              <w:ind w:right="88"/>
              <w:jc w:val="right"/>
              <w:rPr>
                <w:rFonts w:ascii="宋体" w:hAnsi="宋体" w:cs="宋体" w:eastAsia="宋体" w:hint="default"/>
                <w:sz w:val="16"/>
                <w:szCs w:val="16"/>
              </w:rPr>
            </w:pPr>
            <w:r>
              <w:rPr>
                <w:rFonts w:ascii="宋体" w:hAnsi="宋体" w:cs="宋体" w:eastAsia="宋体" w:hint="default"/>
                <w:sz w:val="16"/>
                <w:szCs w:val="16"/>
              </w:rPr>
              <w:t>技术开发</w:t>
            </w:r>
          </w:p>
        </w:tc>
        <w:tc>
          <w:tcPr>
            <w:tcW w:w="856"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r>
      <w:tr>
        <w:trPr>
          <w:trHeight w:val="287" w:hRule="exact"/>
        </w:trPr>
        <w:tc>
          <w:tcPr>
            <w:tcW w:w="4262" w:type="dxa"/>
            <w:tcBorders>
              <w:top w:val="nil" w:sz="6" w:space="0" w:color="auto"/>
              <w:left w:val="nil" w:sz="6" w:space="0" w:color="auto"/>
              <w:bottom w:val="nil" w:sz="6" w:space="0" w:color="auto"/>
              <w:right w:val="nil" w:sz="6" w:space="0" w:color="auto"/>
            </w:tcBorders>
          </w:tcPr>
          <w:p>
            <w:pPr>
              <w:pStyle w:val="TableParagraph"/>
              <w:tabs>
                <w:tab w:pos="3127" w:val="left" w:leader="none"/>
              </w:tabs>
              <w:spacing w:line="168" w:lineRule="exact"/>
              <w:ind w:left="56" w:right="0"/>
              <w:jc w:val="left"/>
              <w:rPr>
                <w:rFonts w:ascii="宋体" w:hAnsi="宋体" w:cs="宋体" w:eastAsia="宋体" w:hint="default"/>
                <w:sz w:val="16"/>
                <w:szCs w:val="16"/>
              </w:rPr>
            </w:pPr>
            <w:r>
              <w:rPr>
                <w:rFonts w:ascii="宋体" w:hAnsi="宋体" w:cs="宋体" w:eastAsia="宋体" w:hint="default"/>
                <w:sz w:val="16"/>
                <w:szCs w:val="16"/>
              </w:rPr>
              <w:t>（“小沃科技”）</w:t>
              <w:tab/>
            </w:r>
            <w:r>
              <w:rPr>
                <w:rFonts w:ascii="宋体" w:hAnsi="宋体" w:cs="宋体" w:eastAsia="宋体" w:hint="default"/>
                <w:position w:val="10"/>
                <w:sz w:val="16"/>
                <w:szCs w:val="16"/>
              </w:rPr>
              <w:t>中国，上海市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68" w:lineRule="exact"/>
              <w:ind w:right="28"/>
              <w:jc w:val="center"/>
              <w:rPr>
                <w:rFonts w:ascii="宋体" w:hAnsi="宋体" w:cs="宋体" w:eastAsia="宋体" w:hint="default"/>
                <w:sz w:val="16"/>
                <w:szCs w:val="16"/>
              </w:rPr>
            </w:pPr>
            <w:r>
              <w:rPr>
                <w:rFonts w:ascii="宋体" w:hAnsi="宋体" w:cs="宋体" w:eastAsia="宋体" w:hint="default"/>
                <w:sz w:val="16"/>
                <w:szCs w:val="16"/>
              </w:rPr>
              <w:t>中国，上海市</w:t>
            </w:r>
          </w:p>
        </w:tc>
        <w:tc>
          <w:tcPr>
            <w:tcW w:w="1652" w:type="dxa"/>
            <w:tcBorders>
              <w:top w:val="nil" w:sz="6" w:space="0" w:color="auto"/>
              <w:left w:val="nil" w:sz="6" w:space="0" w:color="auto"/>
              <w:bottom w:val="nil" w:sz="6" w:space="0" w:color="auto"/>
              <w:right w:val="nil" w:sz="6" w:space="0" w:color="auto"/>
            </w:tcBorders>
          </w:tcPr>
          <w:p>
            <w:pPr>
              <w:pStyle w:val="TableParagraph"/>
              <w:spacing w:line="168" w:lineRule="exact"/>
              <w:ind w:right="88"/>
              <w:jc w:val="right"/>
              <w:rPr>
                <w:rFonts w:ascii="宋体" w:hAnsi="宋体" w:cs="宋体" w:eastAsia="宋体" w:hint="default"/>
                <w:sz w:val="16"/>
                <w:szCs w:val="16"/>
              </w:rPr>
            </w:pPr>
            <w:r>
              <w:rPr>
                <w:rFonts w:ascii="宋体" w:hAnsi="宋体" w:cs="宋体" w:eastAsia="宋体" w:hint="default"/>
                <w:sz w:val="16"/>
                <w:szCs w:val="16"/>
              </w:rPr>
              <w:t>和推广</w:t>
            </w:r>
          </w:p>
        </w:tc>
        <w:tc>
          <w:tcPr>
            <w:tcW w:w="856" w:type="dxa"/>
            <w:tcBorders>
              <w:top w:val="nil" w:sz="6" w:space="0" w:color="auto"/>
              <w:left w:val="nil" w:sz="6" w:space="0" w:color="auto"/>
              <w:bottom w:val="nil" w:sz="6" w:space="0" w:color="auto"/>
              <w:right w:val="nil" w:sz="6" w:space="0" w:color="auto"/>
            </w:tcBorders>
          </w:tcPr>
          <w:p>
            <w:pPr>
              <w:pStyle w:val="TableParagraph"/>
              <w:spacing w:line="68" w:lineRule="exact"/>
              <w:ind w:right="54"/>
              <w:jc w:val="right"/>
              <w:rPr>
                <w:rFonts w:ascii="宋体" w:hAnsi="宋体" w:cs="宋体" w:eastAsia="宋体" w:hint="default"/>
                <w:sz w:val="16"/>
                <w:szCs w:val="16"/>
              </w:rPr>
            </w:pPr>
            <w:r>
              <w:rPr>
                <w:rFonts w:ascii="宋体"/>
                <w:sz w:val="16"/>
              </w:rPr>
              <w:t>200,000</w:t>
            </w:r>
          </w:p>
        </w:tc>
        <w:tc>
          <w:tcPr>
            <w:tcW w:w="1193" w:type="dxa"/>
            <w:tcBorders>
              <w:top w:val="nil" w:sz="6" w:space="0" w:color="auto"/>
              <w:left w:val="nil" w:sz="6" w:space="0" w:color="auto"/>
              <w:bottom w:val="nil" w:sz="6" w:space="0" w:color="auto"/>
              <w:right w:val="nil" w:sz="6" w:space="0" w:color="auto"/>
            </w:tcBorders>
          </w:tcPr>
          <w:p>
            <w:pPr>
              <w:pStyle w:val="TableParagraph"/>
              <w:spacing w:line="68" w:lineRule="exact"/>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2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00"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联通智网科技有限公司</w:t>
            </w:r>
          </w:p>
          <w:p>
            <w:pPr>
              <w:pStyle w:val="TableParagraph"/>
              <w:tabs>
                <w:tab w:pos="312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（“智网科技”）</w:t>
              <w:tab/>
            </w:r>
            <w:r>
              <w:rPr>
                <w:rFonts w:ascii="宋体" w:hAnsi="宋体" w:cs="宋体" w:eastAsia="宋体" w:hint="default"/>
                <w:position w:val="10"/>
                <w:sz w:val="16"/>
                <w:szCs w:val="16"/>
              </w:rPr>
              <w:t>中国，北京市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28"/>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88"/>
              <w:jc w:val="right"/>
              <w:rPr>
                <w:rFonts w:ascii="宋体" w:hAnsi="宋体" w:cs="宋体" w:eastAsia="宋体" w:hint="default"/>
                <w:sz w:val="16"/>
                <w:szCs w:val="16"/>
              </w:rPr>
            </w:pPr>
            <w:r>
              <w:rPr>
                <w:rFonts w:ascii="宋体" w:hAnsi="宋体" w:cs="宋体" w:eastAsia="宋体" w:hint="default"/>
                <w:sz w:val="16"/>
                <w:szCs w:val="16"/>
              </w:rPr>
              <w:t>汽车信息化服务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54"/>
              <w:jc w:val="right"/>
              <w:rPr>
                <w:rFonts w:ascii="宋体" w:hAnsi="宋体" w:cs="宋体" w:eastAsia="宋体" w:hint="default"/>
                <w:sz w:val="16"/>
                <w:szCs w:val="16"/>
              </w:rPr>
            </w:pPr>
            <w:r>
              <w:rPr>
                <w:rFonts w:ascii="宋体"/>
                <w:sz w:val="16"/>
              </w:rPr>
              <w:t>170,000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6" w:right="0"/>
              <w:jc w:val="left"/>
              <w:rPr>
                <w:rFonts w:ascii="宋体" w:hAnsi="宋体" w:cs="宋体" w:eastAsia="宋体" w:hint="default"/>
                <w:sz w:val="16"/>
                <w:szCs w:val="16"/>
              </w:rPr>
            </w:pPr>
            <w:r>
              <w:rPr>
                <w:rFonts w:ascii="宋体" w:hAnsi="宋体" w:cs="宋体" w:eastAsia="宋体" w:hint="default"/>
                <w:sz w:val="16"/>
                <w:szCs w:val="16"/>
              </w:rPr>
              <w:t>中国联通国际有限公司</w:t>
            </w:r>
          </w:p>
          <w:p>
            <w:pPr>
              <w:pStyle w:val="TableParagraph"/>
              <w:tabs>
                <w:tab w:pos="320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（“联通国际”）</w:t>
              <w:tab/>
            </w:r>
            <w:r>
              <w:rPr>
                <w:rFonts w:ascii="宋体" w:hAnsi="宋体" w:cs="宋体" w:eastAsia="宋体" w:hint="default"/>
                <w:position w:val="10"/>
                <w:sz w:val="16"/>
                <w:szCs w:val="16"/>
              </w:rPr>
              <w:t>中国，香港</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中国，香港</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投资控股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hAnsi="宋体" w:cs="宋体" w:eastAsia="宋体" w:hint="default"/>
                <w:sz w:val="16"/>
                <w:szCs w:val="16"/>
              </w:rPr>
              <w:t>不适用</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联通集团财务有限公司</w:t>
            </w:r>
          </w:p>
          <w:p>
            <w:pPr>
              <w:pStyle w:val="TableParagraph"/>
              <w:tabs>
                <w:tab w:pos="312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（“财务公司”）</w:t>
              <w:tab/>
            </w:r>
            <w:r>
              <w:rPr>
                <w:rFonts w:ascii="宋体" w:hAnsi="宋体" w:cs="宋体" w:eastAsia="宋体" w:hint="default"/>
                <w:position w:val="10"/>
                <w:sz w:val="16"/>
                <w:szCs w:val="16"/>
              </w:rPr>
              <w:t>中国，北京市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金融服务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95"/>
                <w:sz w:val="16"/>
              </w:rPr>
              <w:t>3,000,000</w:t>
            </w:r>
            <w:r>
              <w:rPr>
                <w:rFonts w:ascii="宋体"/>
                <w:sz w:val="16"/>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39.99</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tabs>
                <w:tab w:pos="3127" w:val="left" w:leader="none"/>
              </w:tabs>
              <w:spacing w:line="115" w:lineRule="auto" w:before="92"/>
              <w:ind w:left="56" w:right="172"/>
              <w:jc w:val="left"/>
              <w:rPr>
                <w:rFonts w:ascii="宋体" w:hAnsi="宋体" w:cs="宋体" w:eastAsia="宋体" w:hint="default"/>
                <w:sz w:val="16"/>
                <w:szCs w:val="16"/>
              </w:rPr>
            </w:pPr>
            <w:r>
              <w:rPr>
                <w:rFonts w:ascii="宋体" w:hAnsi="宋体" w:cs="宋体" w:eastAsia="宋体" w:hint="default"/>
                <w:sz w:val="16"/>
                <w:szCs w:val="16"/>
              </w:rPr>
              <w:t>联通创新创业投资管理（深圳） 有限责任公司（“创投深圳”）</w:t>
              <w:tab/>
            </w:r>
            <w:r>
              <w:rPr>
                <w:rFonts w:ascii="宋体" w:hAnsi="宋体" w:cs="宋体" w:eastAsia="宋体" w:hint="default"/>
                <w:position w:val="10"/>
                <w:sz w:val="16"/>
                <w:szCs w:val="16"/>
              </w:rPr>
              <w:t>中国，深圳市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中国，深圳市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创业投资业务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95"/>
                <w:sz w:val="16"/>
              </w:rPr>
              <w:t>5,000</w:t>
            </w:r>
            <w:r>
              <w:rPr>
                <w:rFonts w:ascii="宋体"/>
                <w:sz w:val="16"/>
              </w:rPr>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联通创新创业投资（贵州）有限公司</w:t>
            </w:r>
          </w:p>
          <w:p>
            <w:pPr>
              <w:pStyle w:val="TableParagraph"/>
              <w:tabs>
                <w:tab w:pos="312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（“创投贵州”）</w:t>
              <w:tab/>
            </w:r>
            <w:r>
              <w:rPr>
                <w:rFonts w:ascii="宋体" w:hAnsi="宋体" w:cs="宋体" w:eastAsia="宋体" w:hint="default"/>
                <w:position w:val="10"/>
                <w:sz w:val="16"/>
                <w:szCs w:val="16"/>
              </w:rPr>
              <w:t>中国，贵州省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中国，贵州省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创业投资业务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10,000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26.36</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联通创新创业（深圳）投资中心</w:t>
            </w:r>
          </w:p>
          <w:p>
            <w:pPr>
              <w:pStyle w:val="TableParagraph"/>
              <w:tabs>
                <w:tab w:pos="312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（有限合伙）（“深圳投资中心”）</w:t>
              <w:tab/>
            </w:r>
            <w:r>
              <w:rPr>
                <w:rFonts w:ascii="宋体" w:hAnsi="宋体" w:cs="宋体" w:eastAsia="宋体" w:hint="default"/>
                <w:position w:val="10"/>
                <w:sz w:val="16"/>
                <w:szCs w:val="16"/>
              </w:rPr>
              <w:t>中国，深圳市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中国，深圳市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创业投资业务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200,000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联通（山东）产业互联网有限公司</w:t>
            </w:r>
          </w:p>
          <w:p>
            <w:pPr>
              <w:pStyle w:val="TableParagraph"/>
              <w:tabs>
                <w:tab w:pos="312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（“互联网山东”）</w:t>
              <w:tab/>
            </w:r>
            <w:r>
              <w:rPr>
                <w:rFonts w:ascii="宋体" w:hAnsi="宋体" w:cs="宋体" w:eastAsia="宋体" w:hint="default"/>
                <w:position w:val="10"/>
                <w:sz w:val="16"/>
                <w:szCs w:val="16"/>
              </w:rPr>
              <w:t>中国，济南市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中国，济南市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联通（广东）产业互联网有限公司</w:t>
            </w:r>
          </w:p>
          <w:p>
            <w:pPr>
              <w:pStyle w:val="TableParagraph"/>
              <w:tabs>
                <w:tab w:pos="312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（“互联网广东”）</w:t>
              <w:tab/>
            </w:r>
            <w:r>
              <w:rPr>
                <w:rFonts w:ascii="宋体" w:hAnsi="宋体" w:cs="宋体" w:eastAsia="宋体" w:hint="default"/>
                <w:position w:val="10"/>
                <w:sz w:val="16"/>
                <w:szCs w:val="16"/>
              </w:rPr>
              <w:t>中国，广州市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中国，广州市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100,000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6" w:right="0"/>
              <w:jc w:val="left"/>
              <w:rPr>
                <w:rFonts w:ascii="宋体" w:hAnsi="宋体" w:cs="宋体" w:eastAsia="宋体" w:hint="default"/>
                <w:sz w:val="16"/>
                <w:szCs w:val="16"/>
              </w:rPr>
            </w:pPr>
            <w:r>
              <w:rPr>
                <w:rFonts w:ascii="宋体" w:hAnsi="宋体" w:cs="宋体" w:eastAsia="宋体" w:hint="default"/>
                <w:sz w:val="16"/>
                <w:szCs w:val="16"/>
              </w:rPr>
              <w:t>联通（浙江）产业互联网有限公司</w:t>
            </w:r>
          </w:p>
          <w:p>
            <w:pPr>
              <w:pStyle w:val="TableParagraph"/>
              <w:tabs>
                <w:tab w:pos="3127" w:val="left" w:leader="none"/>
              </w:tabs>
              <w:spacing w:line="255" w:lineRule="exact"/>
              <w:ind w:left="56" w:right="0"/>
              <w:jc w:val="left"/>
              <w:rPr>
                <w:rFonts w:ascii="宋体" w:hAnsi="宋体" w:cs="宋体" w:eastAsia="宋体" w:hint="default"/>
                <w:sz w:val="16"/>
                <w:szCs w:val="16"/>
              </w:rPr>
            </w:pPr>
            <w:r>
              <w:rPr>
                <w:rFonts w:ascii="宋体" w:hAnsi="宋体" w:cs="宋体" w:eastAsia="宋体" w:hint="default"/>
                <w:sz w:val="16"/>
                <w:szCs w:val="16"/>
              </w:rPr>
              <w:t>（“互联网浙江”）</w:t>
              <w:tab/>
            </w:r>
            <w:r>
              <w:rPr>
                <w:rFonts w:ascii="宋体" w:hAnsi="宋体" w:cs="宋体" w:eastAsia="宋体" w:hint="default"/>
                <w:position w:val="10"/>
                <w:sz w:val="16"/>
                <w:szCs w:val="16"/>
              </w:rPr>
              <w:t>中国，杭州市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中国，杭州市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联通（福建）产业互联网有限公司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127" w:val="left" w:leader="none"/>
              </w:tabs>
              <w:spacing w:line="255"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（“互联网福建”）</w:t>
              <w:tab/>
            </w:r>
            <w:r>
              <w:rPr>
                <w:rFonts w:ascii="宋体" w:hAnsi="宋体" w:cs="宋体" w:eastAsia="宋体" w:hint="default"/>
                <w:position w:val="10"/>
                <w:sz w:val="16"/>
                <w:szCs w:val="16"/>
              </w:rPr>
              <w:t>中国，福建省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8"/>
              <w:jc w:val="center"/>
              <w:rPr>
                <w:rFonts w:ascii="宋体" w:hAnsi="宋体" w:cs="宋体" w:eastAsia="宋体" w:hint="default"/>
                <w:sz w:val="16"/>
                <w:szCs w:val="16"/>
              </w:rPr>
            </w:pPr>
            <w:r>
              <w:rPr>
                <w:rFonts w:ascii="宋体" w:hAnsi="宋体" w:cs="宋体" w:eastAsia="宋体" w:hint="default"/>
                <w:sz w:val="16"/>
                <w:szCs w:val="16"/>
              </w:rPr>
              <w:t>中国，福建省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联通（山西）产业互联网有限公司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127" w:val="left" w:leader="none"/>
              </w:tabs>
              <w:spacing w:line="255"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（“互联网山西”）</w:t>
              <w:tab/>
            </w:r>
            <w:r>
              <w:rPr>
                <w:rFonts w:ascii="宋体" w:hAnsi="宋体" w:cs="宋体" w:eastAsia="宋体" w:hint="default"/>
                <w:position w:val="10"/>
                <w:sz w:val="16"/>
                <w:szCs w:val="16"/>
              </w:rPr>
              <w:t>中国，山西省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7"/>
              <w:jc w:val="center"/>
              <w:rPr>
                <w:rFonts w:ascii="宋体" w:hAnsi="宋体" w:cs="宋体" w:eastAsia="宋体" w:hint="default"/>
                <w:sz w:val="16"/>
                <w:szCs w:val="16"/>
              </w:rPr>
            </w:pPr>
            <w:r>
              <w:rPr>
                <w:rFonts w:ascii="宋体" w:hAnsi="宋体" w:cs="宋体" w:eastAsia="宋体" w:hint="default"/>
                <w:sz w:val="16"/>
                <w:szCs w:val="16"/>
              </w:rPr>
              <w:t>中国，山西省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8"/>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联通雄安产业互联网有限公司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127" w:val="left" w:leader="none"/>
              </w:tabs>
              <w:spacing w:line="255"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（“互联网雄安”）</w:t>
              <w:tab/>
            </w:r>
            <w:r>
              <w:rPr>
                <w:rFonts w:ascii="宋体" w:hAnsi="宋体" w:cs="宋体" w:eastAsia="宋体" w:hint="default"/>
                <w:position w:val="10"/>
                <w:sz w:val="16"/>
                <w:szCs w:val="16"/>
              </w:rPr>
              <w:t>中国，河北省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7"/>
              <w:jc w:val="center"/>
              <w:rPr>
                <w:rFonts w:ascii="宋体" w:hAnsi="宋体" w:cs="宋体" w:eastAsia="宋体" w:hint="default"/>
                <w:sz w:val="16"/>
                <w:szCs w:val="16"/>
              </w:rPr>
            </w:pPr>
            <w:r>
              <w:rPr>
                <w:rFonts w:ascii="宋体" w:hAnsi="宋体" w:cs="宋体" w:eastAsia="宋体" w:hint="default"/>
                <w:sz w:val="16"/>
                <w:szCs w:val="16"/>
              </w:rPr>
              <w:t>中国，河北省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7"/>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联通（四川）产业互联网有限公司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128" w:val="left" w:leader="none"/>
              </w:tabs>
              <w:spacing w:line="255"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（“互联网四川”）</w:t>
              <w:tab/>
            </w:r>
            <w:r>
              <w:rPr>
                <w:rFonts w:ascii="宋体" w:hAnsi="宋体" w:cs="宋体" w:eastAsia="宋体" w:hint="default"/>
                <w:position w:val="10"/>
                <w:sz w:val="16"/>
                <w:szCs w:val="16"/>
              </w:rPr>
              <w:t>中国，四川省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7"/>
              <w:jc w:val="center"/>
              <w:rPr>
                <w:rFonts w:ascii="宋体" w:hAnsi="宋体" w:cs="宋体" w:eastAsia="宋体" w:hint="default"/>
                <w:sz w:val="16"/>
                <w:szCs w:val="16"/>
              </w:rPr>
            </w:pPr>
            <w:r>
              <w:rPr>
                <w:rFonts w:ascii="宋体" w:hAnsi="宋体" w:cs="宋体" w:eastAsia="宋体" w:hint="default"/>
                <w:sz w:val="16"/>
                <w:szCs w:val="16"/>
              </w:rPr>
              <w:t>中国，四川省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7"/>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联通（辽宁）产业互联网有限公司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128" w:val="left" w:leader="none"/>
              </w:tabs>
              <w:spacing w:line="255"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（“互联网辽宁”）</w:t>
              <w:tab/>
            </w:r>
            <w:r>
              <w:rPr>
                <w:rFonts w:ascii="宋体" w:hAnsi="宋体" w:cs="宋体" w:eastAsia="宋体" w:hint="default"/>
                <w:position w:val="10"/>
                <w:sz w:val="16"/>
                <w:szCs w:val="16"/>
              </w:rPr>
              <w:t>中国，辽宁省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6"/>
              <w:jc w:val="center"/>
              <w:rPr>
                <w:rFonts w:ascii="宋体" w:hAnsi="宋体" w:cs="宋体" w:eastAsia="宋体" w:hint="default"/>
                <w:sz w:val="16"/>
                <w:szCs w:val="16"/>
              </w:rPr>
            </w:pPr>
            <w:r>
              <w:rPr>
                <w:rFonts w:ascii="宋体" w:hAnsi="宋体" w:cs="宋体" w:eastAsia="宋体" w:hint="default"/>
                <w:sz w:val="16"/>
                <w:szCs w:val="16"/>
              </w:rPr>
              <w:t>中国，辽宁省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7"/>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联通（上海）产业互联网有限公司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128" w:val="left" w:leader="none"/>
              </w:tabs>
              <w:spacing w:line="255"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（“互联网上海”）</w:t>
              <w:tab/>
            </w:r>
            <w:r>
              <w:rPr>
                <w:rFonts w:ascii="宋体" w:hAnsi="宋体" w:cs="宋体" w:eastAsia="宋体" w:hint="default"/>
                <w:position w:val="10"/>
                <w:sz w:val="16"/>
                <w:szCs w:val="16"/>
              </w:rPr>
              <w:t>中国，上海市</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6"/>
              <w:jc w:val="center"/>
              <w:rPr>
                <w:rFonts w:ascii="宋体" w:hAnsi="宋体" w:cs="宋体" w:eastAsia="宋体" w:hint="default"/>
                <w:sz w:val="16"/>
                <w:szCs w:val="16"/>
              </w:rPr>
            </w:pPr>
            <w:r>
              <w:rPr>
                <w:rFonts w:ascii="宋体" w:hAnsi="宋体" w:cs="宋体" w:eastAsia="宋体" w:hint="default"/>
                <w:sz w:val="16"/>
                <w:szCs w:val="16"/>
              </w:rPr>
              <w:t>中国，上海市</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7"/>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473"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联通（江苏）产业互联网有限公司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128" w:val="left" w:leader="none"/>
              </w:tabs>
              <w:spacing w:line="255"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（“互联网江苏”）</w:t>
              <w:tab/>
            </w:r>
            <w:r>
              <w:rPr>
                <w:rFonts w:ascii="宋体" w:hAnsi="宋体" w:cs="宋体" w:eastAsia="宋体" w:hint="default"/>
                <w:position w:val="10"/>
                <w:sz w:val="16"/>
                <w:szCs w:val="16"/>
              </w:rPr>
              <w:t>中国，江苏省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6"/>
              <w:jc w:val="center"/>
              <w:rPr>
                <w:rFonts w:ascii="宋体" w:hAnsi="宋体" w:cs="宋体" w:eastAsia="宋体" w:hint="default"/>
                <w:sz w:val="16"/>
                <w:szCs w:val="16"/>
              </w:rPr>
            </w:pPr>
            <w:r>
              <w:rPr>
                <w:rFonts w:ascii="宋体" w:hAnsi="宋体" w:cs="宋体" w:eastAsia="宋体" w:hint="default"/>
                <w:sz w:val="16"/>
                <w:szCs w:val="16"/>
              </w:rPr>
              <w:t>中国，江苏省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7"/>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100,000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317" w:hRule="exact"/>
        </w:trPr>
        <w:tc>
          <w:tcPr>
            <w:tcW w:w="4262" w:type="dxa"/>
            <w:tcBorders>
              <w:top w:val="nil" w:sz="6" w:space="0" w:color="auto"/>
              <w:left w:val="nil" w:sz="6" w:space="0" w:color="auto"/>
              <w:bottom w:val="nil" w:sz="6" w:space="0" w:color="auto"/>
              <w:right w:val="nil" w:sz="6" w:space="0" w:color="auto"/>
            </w:tcBorders>
          </w:tcPr>
          <w:p>
            <w:pPr>
              <w:pStyle w:val="TableParagraph"/>
              <w:spacing w:line="150" w:lineRule="exact"/>
              <w:ind w:left="57" w:right="0"/>
              <w:jc w:val="left"/>
              <w:rPr>
                <w:rFonts w:ascii="宋体" w:hAnsi="宋体" w:cs="宋体" w:eastAsia="宋体" w:hint="default"/>
                <w:sz w:val="16"/>
                <w:szCs w:val="16"/>
              </w:rPr>
            </w:pPr>
            <w:r>
              <w:rPr>
                <w:rFonts w:ascii="宋体" w:hAnsi="宋体" w:cs="宋体" w:eastAsia="宋体" w:hint="default"/>
                <w:sz w:val="16"/>
                <w:szCs w:val="16"/>
              </w:rPr>
              <w:t>联通（黑龙江）产业互联网有限公司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pStyle w:val="TableParagraph"/>
              <w:tabs>
                <w:tab w:pos="3048" w:val="left" w:leader="none"/>
              </w:tabs>
              <w:spacing w:line="207" w:lineRule="exact"/>
              <w:ind w:left="57" w:right="0"/>
              <w:jc w:val="left"/>
              <w:rPr>
                <w:rFonts w:ascii="宋体" w:hAnsi="宋体" w:cs="宋体" w:eastAsia="宋体" w:hint="default"/>
                <w:sz w:val="16"/>
                <w:szCs w:val="16"/>
              </w:rPr>
            </w:pPr>
            <w:r>
              <w:rPr>
                <w:rFonts w:ascii="宋体" w:hAnsi="宋体" w:cs="宋体" w:eastAsia="宋体" w:hint="default"/>
                <w:sz w:val="16"/>
                <w:szCs w:val="16"/>
              </w:rPr>
              <w:t>（“互联网黑龙江”）</w:t>
              <w:tab/>
            </w:r>
            <w:r>
              <w:rPr>
                <w:rFonts w:ascii="宋体" w:hAnsi="宋体" w:cs="宋体" w:eastAsia="宋体" w:hint="default"/>
                <w:position w:val="10"/>
                <w:sz w:val="16"/>
                <w:szCs w:val="16"/>
              </w:rPr>
              <w:t>中国，黑龙江省</w:t>
            </w:r>
            <w:r>
              <w:rPr>
                <w:rFonts w:ascii="宋体" w:hAnsi="宋体" w:cs="宋体" w:eastAsia="宋体" w:hint="default"/>
                <w:sz w:val="16"/>
                <w:szCs w:val="16"/>
              </w:rPr>
            </w:r>
          </w:p>
        </w:tc>
        <w:tc>
          <w:tcPr>
            <w:tcW w:w="1335"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6"/>
              <w:jc w:val="center"/>
              <w:rPr>
                <w:rFonts w:ascii="宋体" w:hAnsi="宋体" w:cs="宋体" w:eastAsia="宋体" w:hint="default"/>
                <w:sz w:val="16"/>
                <w:szCs w:val="16"/>
              </w:rPr>
            </w:pPr>
            <w:r>
              <w:rPr>
                <w:rFonts w:ascii="宋体" w:hAnsi="宋体" w:cs="宋体" w:eastAsia="宋体" w:hint="default"/>
                <w:sz w:val="16"/>
                <w:szCs w:val="16"/>
              </w:rPr>
              <w:t>中国，黑龙江省</w:t>
            </w:r>
          </w:p>
        </w:tc>
        <w:tc>
          <w:tcPr>
            <w:tcW w:w="165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7"/>
              <w:jc w:val="right"/>
              <w:rPr>
                <w:rFonts w:ascii="宋体" w:hAnsi="宋体" w:cs="宋体" w:eastAsia="宋体" w:hint="default"/>
                <w:sz w:val="16"/>
                <w:szCs w:val="16"/>
              </w:rPr>
            </w:pPr>
            <w:r>
              <w:rPr>
                <w:rFonts w:ascii="宋体" w:hAnsi="宋体" w:cs="宋体" w:eastAsia="宋体" w:hint="default"/>
                <w:sz w:val="16"/>
                <w:szCs w:val="16"/>
              </w:rPr>
              <w:t>信息及系统集成业务</w:t>
            </w:r>
          </w:p>
        </w:tc>
        <w:tc>
          <w:tcPr>
            <w:tcW w:w="85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50,000</w:t>
            </w:r>
          </w:p>
        </w:tc>
        <w:tc>
          <w:tcPr>
            <w:tcW w:w="119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w w:val="115"/>
                <w:sz w:val="16"/>
              </w:rPr>
              <w:t>-</w:t>
            </w:r>
            <w:r>
              <w:rPr>
                <w:rFonts w:ascii="宋体"/>
                <w:spacing w:val="57"/>
                <w:w w:val="115"/>
                <w:sz w:val="16"/>
              </w:rPr>
              <w:t> </w:t>
            </w:r>
            <w:r>
              <w:rPr>
                <w:rFonts w:ascii="宋体"/>
                <w:w w:val="115"/>
                <w:sz w:val="16"/>
              </w:rPr>
              <w:t>43.94</w:t>
            </w:r>
            <w:r>
              <w:rPr>
                <w:rFonts w:ascii="宋体"/>
                <w:sz w:val="16"/>
              </w:rPr>
            </w:r>
          </w:p>
        </w:tc>
      </w:tr>
      <w:tr>
        <w:trPr>
          <w:trHeight w:val="200" w:hRule="exact"/>
        </w:trPr>
        <w:tc>
          <w:tcPr>
            <w:tcW w:w="4262" w:type="dxa"/>
            <w:tcBorders>
              <w:top w:val="nil" w:sz="6" w:space="0" w:color="auto"/>
              <w:left w:val="nil" w:sz="6" w:space="0" w:color="auto"/>
              <w:bottom w:val="nil" w:sz="6" w:space="0" w:color="auto"/>
              <w:right w:val="nil" w:sz="6" w:space="0" w:color="auto"/>
            </w:tcBorders>
          </w:tcPr>
          <w:p>
            <w:pPr/>
          </w:p>
        </w:tc>
        <w:tc>
          <w:tcPr>
            <w:tcW w:w="1335" w:type="dxa"/>
            <w:tcBorders>
              <w:top w:val="nil" w:sz="6" w:space="0" w:color="auto"/>
              <w:left w:val="nil" w:sz="6" w:space="0" w:color="auto"/>
              <w:bottom w:val="nil" w:sz="6" w:space="0" w:color="auto"/>
              <w:right w:val="nil" w:sz="6" w:space="0" w:color="auto"/>
            </w:tcBorders>
          </w:tcPr>
          <w:p>
            <w:pPr/>
          </w:p>
        </w:tc>
        <w:tc>
          <w:tcPr>
            <w:tcW w:w="1652" w:type="dxa"/>
            <w:tcBorders>
              <w:top w:val="nil" w:sz="6" w:space="0" w:color="auto"/>
              <w:left w:val="nil" w:sz="6" w:space="0" w:color="auto"/>
              <w:bottom w:val="nil" w:sz="6" w:space="0" w:color="auto"/>
              <w:right w:val="nil" w:sz="6" w:space="0" w:color="auto"/>
            </w:tcBorders>
          </w:tcPr>
          <w:p>
            <w:pPr/>
          </w:p>
        </w:tc>
        <w:tc>
          <w:tcPr>
            <w:tcW w:w="856" w:type="dxa"/>
            <w:tcBorders>
              <w:top w:val="nil" w:sz="6" w:space="0" w:color="auto"/>
              <w:left w:val="nil" w:sz="6" w:space="0" w:color="auto"/>
              <w:bottom w:val="nil" w:sz="6" w:space="0" w:color="auto"/>
              <w:right w:val="nil" w:sz="6" w:space="0" w:color="auto"/>
            </w:tcBorders>
          </w:tcPr>
          <w:p>
            <w:pPr/>
          </w:p>
        </w:tc>
        <w:tc>
          <w:tcPr>
            <w:tcW w:w="1193" w:type="dxa"/>
            <w:tcBorders>
              <w:top w:val="nil" w:sz="6" w:space="0" w:color="auto"/>
              <w:left w:val="nil" w:sz="6" w:space="0" w:color="auto"/>
              <w:bottom w:val="nil" w:sz="6" w:space="0" w:color="auto"/>
              <w:right w:val="nil" w:sz="6" w:space="0" w:color="auto"/>
            </w:tcBorders>
          </w:tcPr>
          <w:p>
            <w:pPr/>
          </w:p>
        </w:tc>
      </w:tr>
    </w:tbl>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2955;height:2" coordorigin="20,20" coordsize="2955,2">
              <v:shape style="position:absolute;left:20;top:20;width:2955;height:2" coordorigin="20,20" coordsize="2955,0" path="m20,20l2974,20e" filled="false" stroked="true" strokeweight="2pt" strokecolor="#9f8958">
                <v:path arrowok="t"/>
              </v:shape>
            </v:group>
            <v:group style="position:absolute;left:2974;top:20;width:1307;height:2" coordorigin="2974,20" coordsize="1307,2">
              <v:shape style="position:absolute;left:2974;top:20;width:1307;height:2" coordorigin="2974,20" coordsize="1307,0" path="m2974,20l4281,20e" filled="false" stroked="true" strokeweight="2pt" strokecolor="#9f8958">
                <v:path arrowok="t"/>
              </v:shape>
            </v:group>
            <v:group style="position:absolute;left:4281;top:20;width:1307;height:2" coordorigin="4281,20" coordsize="1307,2">
              <v:shape style="position:absolute;left:4281;top:20;width:1307;height:2" coordorigin="4281,20" coordsize="1307,0" path="m4281,20l5587,20e" filled="false" stroked="true" strokeweight="2pt" strokecolor="#9f8958">
                <v:path arrowok="t"/>
              </v:shape>
            </v:group>
            <v:group style="position:absolute;left:5587;top:20;width:1648;height:2" coordorigin="5587,20" coordsize="1648,2">
              <v:shape style="position:absolute;left:5587;top:20;width:1648;height:2" coordorigin="5587,20" coordsize="1648,0" path="m5587,20l7235,20e" filled="false" stroked="true" strokeweight="2pt" strokecolor="#9f8958">
                <v:path arrowok="t"/>
              </v:shape>
            </v:group>
            <v:group style="position:absolute;left:7235;top:20;width:890;height:2" coordorigin="7235,20" coordsize="890,2">
              <v:shape style="position:absolute;left:7235;top:20;width:890;height:2" coordorigin="7235,20" coordsize="890,0" path="m7235,20l8125,20e" filled="false" stroked="true" strokeweight="2pt" strokecolor="#9f8958">
                <v:path arrowok="t"/>
              </v:shape>
            </v:group>
            <v:group style="position:absolute;left:8125;top:20;width:597;height:2" coordorigin="8125,20" coordsize="597,2">
              <v:shape style="position:absolute;left:8125;top:20;width:597;height:2" coordorigin="8125,20" coordsize="597,0" path="m8125,20l8721,20e" filled="false" stroked="true" strokeweight="2pt" strokecolor="#9f8958">
                <v:path arrowok="t"/>
              </v:shape>
            </v:group>
            <v:group style="position:absolute;left:8721;top:20;width:597;height:2" coordorigin="8721,20" coordsize="597,2">
              <v:shape style="position:absolute;left:8721;top:20;width:597;height:2" coordorigin="8721,20" coordsize="597,0" path="m8721,20l9318,20e" filled="false" stroked="true" strokeweight="2pt" strokecolor="#9f8958">
                <v:path arrowok="t"/>
              </v:shape>
            </v:group>
          </v:group>
        </w:pict>
      </w:r>
      <w:r>
        <w:rPr>
          <w:rFonts w:ascii="宋体" w:hAnsi="宋体" w:cs="宋体" w:eastAsia="宋体" w:hint="default"/>
          <w:position w:val="0"/>
          <w:sz w:val="4"/>
          <w:szCs w:val="4"/>
        </w:rPr>
      </w:r>
    </w:p>
    <w:p>
      <w:pPr>
        <w:spacing w:after="0" w:line="40" w:lineRule="exact"/>
        <w:rPr>
          <w:rFonts w:ascii="宋体" w:hAnsi="宋体" w:cs="宋体" w:eastAsia="宋体" w:hint="default"/>
          <w:sz w:val="4"/>
          <w:szCs w:val="4"/>
        </w:rPr>
        <w:sectPr>
          <w:headerReference w:type="default" r:id="rId334"/>
          <w:headerReference w:type="even" r:id="rId335"/>
          <w:pgSz w:w="11910" w:h="16160"/>
          <w:pgMar w:header="2796" w:footer="298" w:top="3900" w:bottom="480" w:left="136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七、在其他主体中的权益（续）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434"/>
        <w:jc w:val="left"/>
      </w:pPr>
      <w:r>
        <w:rPr/>
        <w:t>1、</w:t>
      </w:r>
      <w:r>
        <w:rPr>
          <w:spacing w:val="-22"/>
        </w:rPr>
        <w:t> </w:t>
      </w:r>
      <w:r>
        <w:rPr/>
        <w:t>在子公司中的权益（续）</w:t>
      </w:r>
      <w:r>
        <w:rPr/>
        <w:t> (a)</w:t>
      </w:r>
      <w:r>
        <w:rPr>
          <w:spacing w:val="-21"/>
        </w:rPr>
        <w:t> </w:t>
      </w:r>
      <w:r>
        <w:rPr/>
        <w:t>企业集团的构成（续）</w:t>
      </w:r>
    </w:p>
    <w:p>
      <w:pPr>
        <w:pStyle w:val="BodyText"/>
        <w:spacing w:line="240" w:lineRule="auto" w:before="54"/>
        <w:ind w:left="453" w:right="125"/>
        <w:jc w:val="left"/>
      </w:pPr>
      <w:r>
        <w:rPr/>
        <w:t>(1)</w:t>
      </w:r>
      <w:r>
        <w:rPr>
          <w:spacing w:val="19"/>
        </w:rPr>
        <w:t> </w:t>
      </w:r>
      <w:r>
        <w:rPr/>
        <w:t>通过设立或投资方式取得的子公司（续）</w:t>
      </w:r>
    </w:p>
    <w:p>
      <w:pPr>
        <w:spacing w:line="240" w:lineRule="auto" w:before="10"/>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160"/>
          <w:pgMar w:header="1200" w:footer="320" w:top="2120" w:bottom="520" w:left="680" w:right="1340"/>
        </w:sectPr>
      </w:pPr>
    </w:p>
    <w:p>
      <w:pPr>
        <w:spacing w:line="240" w:lineRule="auto" w:before="5"/>
        <w:rPr>
          <w:rFonts w:ascii="宋体" w:hAnsi="宋体" w:cs="宋体" w:eastAsia="宋体" w:hint="default"/>
          <w:sz w:val="18"/>
          <w:szCs w:val="18"/>
        </w:rPr>
      </w:pPr>
    </w:p>
    <w:p>
      <w:pPr>
        <w:tabs>
          <w:tab w:pos="3691" w:val="left" w:leader="none"/>
          <w:tab w:pos="5068" w:val="left" w:leader="none"/>
          <w:tab w:pos="6872" w:val="left" w:leader="none"/>
        </w:tabs>
        <w:spacing w:before="0"/>
        <w:ind w:left="510" w:right="-20" w:firstLine="0"/>
        <w:jc w:val="left"/>
        <w:rPr>
          <w:rFonts w:ascii="宋体" w:hAnsi="宋体" w:cs="宋体" w:eastAsia="宋体" w:hint="default"/>
          <w:sz w:val="16"/>
          <w:szCs w:val="16"/>
        </w:rPr>
      </w:pPr>
      <w:r>
        <w:rPr>
          <w:rFonts w:ascii="宋体" w:hAnsi="宋体" w:cs="宋体" w:eastAsia="宋体" w:hint="default"/>
          <w:sz w:val="16"/>
          <w:szCs w:val="16"/>
        </w:rPr>
        <w:t>子公司名称</w:t>
        <w:tab/>
        <w:t>主要经营地</w:t>
        <w:tab/>
        <w:t>注册地</w:t>
        <w:tab/>
        <w:t>业务性质</w:t>
      </w:r>
    </w:p>
    <w:p>
      <w:pPr>
        <w:spacing w:line="205" w:lineRule="exact" w:before="41"/>
        <w:ind w:left="293"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注册资本</w:t>
      </w:r>
    </w:p>
    <w:p>
      <w:pPr>
        <w:spacing w:line="205" w:lineRule="exact" w:before="0"/>
        <w:ind w:left="293" w:right="0" w:firstLine="0"/>
        <w:jc w:val="left"/>
        <w:rPr>
          <w:rFonts w:ascii="宋体" w:hAnsi="宋体" w:cs="宋体" w:eastAsia="宋体" w:hint="default"/>
          <w:sz w:val="16"/>
          <w:szCs w:val="16"/>
        </w:rPr>
      </w:pPr>
      <w:r>
        <w:rPr>
          <w:rFonts w:ascii="宋体" w:hAnsi="宋体" w:cs="宋体" w:eastAsia="宋体" w:hint="default"/>
          <w:sz w:val="16"/>
          <w:szCs w:val="16"/>
        </w:rPr>
        <w:t>（千元）  持股比例</w:t>
      </w:r>
      <w:r>
        <w:rPr>
          <w:rFonts w:ascii="宋体" w:hAnsi="宋体" w:cs="宋体" w:eastAsia="宋体" w:hint="default"/>
          <w:spacing w:val="3"/>
          <w:sz w:val="16"/>
          <w:szCs w:val="16"/>
        </w:rPr>
        <w:t> </w:t>
      </w:r>
      <w:r>
        <w:rPr>
          <w:rFonts w:ascii="宋体" w:hAnsi="宋体" w:cs="宋体" w:eastAsia="宋体" w:hint="default"/>
          <w:sz w:val="16"/>
          <w:szCs w:val="16"/>
        </w:rPr>
        <w:t>(%)</w:t>
      </w:r>
    </w:p>
    <w:p>
      <w:pPr>
        <w:spacing w:after="0" w:line="205" w:lineRule="exact"/>
        <w:jc w:val="left"/>
        <w:rPr>
          <w:rFonts w:ascii="宋体" w:hAnsi="宋体" w:cs="宋体" w:eastAsia="宋体" w:hint="default"/>
          <w:sz w:val="16"/>
          <w:szCs w:val="16"/>
        </w:rPr>
        <w:sectPr>
          <w:type w:val="continuous"/>
          <w:pgSz w:w="11910" w:h="16160"/>
          <w:pgMar w:top="1520" w:bottom="280" w:left="680" w:right="1340"/>
          <w:cols w:num="2" w:equalWidth="0">
            <w:col w:w="7513" w:space="40"/>
            <w:col w:w="2337"/>
          </w:cols>
        </w:sectPr>
      </w:pPr>
    </w:p>
    <w:p>
      <w:pPr>
        <w:spacing w:line="240" w:lineRule="auto" w:before="9"/>
        <w:rPr>
          <w:rFonts w:ascii="宋体" w:hAnsi="宋体" w:cs="宋体" w:eastAsia="宋体" w:hint="default"/>
          <w:sz w:val="8"/>
          <w:szCs w:val="8"/>
        </w:rPr>
      </w:pPr>
    </w:p>
    <w:p>
      <w:pPr>
        <w:spacing w:line="40" w:lineRule="exact"/>
        <w:ind w:left="43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229;height:2" coordorigin="3044,20" coordsize="1229,2">
              <v:shape style="position:absolute;left:3044;top:20;width:1229;height:2" coordorigin="3044,20" coordsize="1229,0" path="m3044,20l4272,20e" filled="false" stroked="true" strokeweight="2pt" strokecolor="#9f8958">
                <v:path arrowok="t"/>
              </v:shape>
            </v:group>
            <v:group style="position:absolute;left:4272;top:20;width:1205;height:2" coordorigin="4272,20" coordsize="1205,2">
              <v:shape style="position:absolute;left:4272;top:20;width:1205;height:2" coordorigin="4272,20" coordsize="1205,0" path="m4272,20l5477,20e" filled="false" stroked="true" strokeweight="2pt" strokecolor="#9f8958">
                <v:path arrowok="t"/>
              </v:shape>
            </v:group>
            <v:group style="position:absolute;left:5477;top:20;width:1659;height:2" coordorigin="5477,20" coordsize="1659,2">
              <v:shape style="position:absolute;left:5477;top:20;width:1659;height:2" coordorigin="5477,20" coordsize="1659,0" path="m5477,20l7135,20e" filled="false" stroked="true" strokeweight="2pt" strokecolor="#9f8958">
                <v:path arrowok="t"/>
              </v:shape>
            </v:group>
            <v:group style="position:absolute;left:7135;top:20;width:974;height:2" coordorigin="7135,20" coordsize="974,2">
              <v:shape style="position:absolute;left:7135;top:20;width:974;height:2" coordorigin="7135,20" coordsize="974,0" path="m7135,20l8108,20e" filled="false" stroked="true" strokeweight="2pt" strokecolor="#9f8958">
                <v:path arrowok="t"/>
              </v:shape>
            </v:group>
            <v:group style="position:absolute;left:8108;top:20;width:596;height:2" coordorigin="8108,20" coordsize="596,2">
              <v:shape style="position:absolute;left:8108;top:20;width:596;height:2" coordorigin="8108,20" coordsize="596,0" path="m8108,20l8703,20e" filled="false" stroked="true" strokeweight="2pt" strokecolor="#9f8958">
                <v:path arrowok="t"/>
              </v:shape>
            </v:group>
            <v:group style="position:absolute;left:8703;top:20;width:615;height:2" coordorigin="8703,20" coordsize="615,2">
              <v:shape style="position:absolute;left:8703;top:20;width:615;height:2" coordorigin="8703,20" coordsize="615,0" path="m8703,20l9318,20e" filled="false" stroked="true" strokeweight="2pt" strokecolor="#9f8958">
                <v:path arrowok="t"/>
              </v:shape>
            </v:group>
          </v:group>
        </w:pict>
      </w:r>
      <w:r>
        <w:rPr>
          <w:rFonts w:ascii="宋体" w:hAnsi="宋体" w:cs="宋体" w:eastAsia="宋体" w:hint="default"/>
          <w:position w:val="0"/>
          <w:sz w:val="4"/>
          <w:szCs w:val="4"/>
        </w:rPr>
      </w:r>
    </w:p>
    <w:p>
      <w:pPr>
        <w:tabs>
          <w:tab w:pos="614" w:val="left" w:leader="none"/>
        </w:tabs>
        <w:spacing w:before="64"/>
        <w:ind w:left="0" w:right="188" w:firstLine="0"/>
        <w:jc w:val="right"/>
        <w:rPr>
          <w:rFonts w:ascii="宋体" w:hAnsi="宋体" w:cs="宋体" w:eastAsia="宋体" w:hint="default"/>
          <w:sz w:val="16"/>
          <w:szCs w:val="16"/>
        </w:rPr>
      </w:pPr>
      <w:r>
        <w:rPr>
          <w:rFonts w:ascii="宋体" w:hAnsi="宋体" w:cs="宋体" w:eastAsia="宋体" w:hint="default"/>
          <w:sz w:val="16"/>
          <w:szCs w:val="16"/>
        </w:rPr>
        <w:t>直接</w:t>
        <w:tab/>
        <w:t>间接</w:t>
      </w:r>
    </w:p>
    <w:p>
      <w:pPr>
        <w:spacing w:line="240" w:lineRule="auto" w:before="1"/>
        <w:rPr>
          <w:rFonts w:ascii="宋体" w:hAnsi="宋体" w:cs="宋体" w:eastAsia="宋体" w:hint="default"/>
          <w:sz w:val="9"/>
          <w:szCs w:val="9"/>
        </w:rPr>
      </w:pPr>
    </w:p>
    <w:p>
      <w:pPr>
        <w:spacing w:line="20" w:lineRule="exact"/>
        <w:ind w:left="8534" w:right="0" w:firstLine="0"/>
        <w:rPr>
          <w:rFonts w:ascii="宋体" w:hAnsi="宋体" w:cs="宋体" w:eastAsia="宋体" w:hint="default"/>
          <w:sz w:val="2"/>
          <w:szCs w:val="2"/>
        </w:rPr>
      </w:pPr>
      <w:r>
        <w:rPr>
          <w:rFonts w:ascii="宋体" w:hAnsi="宋体" w:cs="宋体" w:eastAsia="宋体" w:hint="default"/>
          <w:sz w:val="2"/>
          <w:szCs w:val="2"/>
        </w:rPr>
        <w:pict>
          <v:group style="width:61.25pt;height:.75pt;mso-position-horizontal-relative:char;mso-position-vertical-relative:line" coordorigin="0,0" coordsize="1225,15">
            <v:group style="position:absolute;left:8;top:8;width:596;height:2" coordorigin="8,8" coordsize="596,2">
              <v:shape style="position:absolute;left:8;top:8;width:596;height:2" coordorigin="8,8" coordsize="596,0" path="m8,8l603,8e" filled="false" stroked="true" strokeweight=".75pt" strokecolor="#000000">
                <v:path arrowok="t"/>
              </v:shape>
            </v:group>
            <v:group style="position:absolute;left:603;top:8;width:615;height:2" coordorigin="603,8" coordsize="615,2">
              <v:shape style="position:absolute;left:603;top:8;width:615;height:2" coordorigin="603,8" coordsize="615,0" path="m603,8l1217,8e" filled="false" stroked="true" strokeweight=".75pt" strokecolor="#000000">
                <v:path arrowok="t"/>
              </v:shape>
            </v:group>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type w:val="continuous"/>
          <w:pgSz w:w="11910" w:h="16160"/>
          <w:pgMar w:top="1520" w:bottom="280" w:left="680" w:right="1340"/>
        </w:sectPr>
      </w:pPr>
    </w:p>
    <w:p>
      <w:pPr>
        <w:spacing w:line="155" w:lineRule="exact" w:before="59"/>
        <w:ind w:left="554" w:right="-20" w:firstLine="0"/>
        <w:jc w:val="left"/>
        <w:rPr>
          <w:rFonts w:ascii="宋体" w:hAnsi="宋体" w:cs="宋体" w:eastAsia="宋体" w:hint="default"/>
          <w:sz w:val="16"/>
          <w:szCs w:val="16"/>
        </w:rPr>
      </w:pPr>
      <w:r>
        <w:rPr>
          <w:rFonts w:ascii="宋体" w:hAnsi="宋体" w:cs="宋体" w:eastAsia="宋体" w:hint="default"/>
          <w:sz w:val="16"/>
          <w:szCs w:val="16"/>
        </w:rPr>
        <w:t>联通（陕西）产业互联网有限公司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tabs>
          <w:tab w:pos="3611" w:val="left" w:leader="none"/>
          <w:tab w:pos="4828" w:val="left" w:leader="none"/>
          <w:tab w:pos="6072" w:val="left" w:leader="none"/>
        </w:tabs>
        <w:spacing w:line="255" w:lineRule="exact" w:before="0"/>
        <w:ind w:left="510" w:right="-20" w:firstLine="0"/>
        <w:jc w:val="left"/>
        <w:rPr>
          <w:rFonts w:ascii="宋体" w:hAnsi="宋体" w:cs="宋体" w:eastAsia="宋体" w:hint="default"/>
          <w:sz w:val="16"/>
          <w:szCs w:val="16"/>
        </w:rPr>
      </w:pPr>
      <w:r>
        <w:rPr>
          <w:rFonts w:ascii="宋体" w:hAnsi="宋体" w:cs="宋体" w:eastAsia="宋体" w:hint="default"/>
          <w:position w:val="-9"/>
          <w:sz w:val="16"/>
          <w:szCs w:val="16"/>
        </w:rPr>
        <w:t>（“互联网陕西”）</w:t>
        <w:tab/>
      </w:r>
      <w:r>
        <w:rPr>
          <w:rFonts w:ascii="宋体" w:hAnsi="宋体" w:cs="宋体" w:eastAsia="宋体" w:hint="default"/>
          <w:sz w:val="16"/>
          <w:szCs w:val="16"/>
        </w:rPr>
        <w:t>中国，陕西省</w:t>
        <w:tab/>
        <w:t>中国，陕西省</w:t>
        <w:tab/>
        <w:t>软件和信息技术服务</w:t>
      </w:r>
    </w:p>
    <w:p>
      <w:pPr>
        <w:spacing w:line="155" w:lineRule="exact" w:before="64"/>
        <w:ind w:left="510" w:right="-20" w:firstLine="0"/>
        <w:jc w:val="left"/>
        <w:rPr>
          <w:rFonts w:ascii="宋体" w:hAnsi="宋体" w:cs="宋体" w:eastAsia="宋体" w:hint="default"/>
          <w:sz w:val="16"/>
          <w:szCs w:val="16"/>
        </w:rPr>
      </w:pPr>
      <w:r>
        <w:rPr>
          <w:rFonts w:ascii="宋体" w:hAnsi="宋体" w:cs="宋体" w:eastAsia="宋体" w:hint="default"/>
          <w:sz w:val="16"/>
          <w:szCs w:val="16"/>
        </w:rPr>
        <w:t>联通大数据有限公司</w:t>
      </w:r>
    </w:p>
    <w:p>
      <w:pPr>
        <w:tabs>
          <w:tab w:pos="3611" w:val="left" w:leader="none"/>
          <w:tab w:pos="4828" w:val="left" w:leader="none"/>
          <w:tab w:pos="6872" w:val="left" w:leader="none"/>
        </w:tabs>
        <w:spacing w:line="255" w:lineRule="exact" w:before="0"/>
        <w:ind w:left="510" w:right="-20" w:firstLine="0"/>
        <w:jc w:val="left"/>
        <w:rPr>
          <w:rFonts w:ascii="宋体" w:hAnsi="宋体" w:cs="宋体" w:eastAsia="宋体" w:hint="default"/>
          <w:sz w:val="16"/>
          <w:szCs w:val="16"/>
        </w:rPr>
      </w:pPr>
      <w:r>
        <w:rPr>
          <w:rFonts w:ascii="宋体" w:hAnsi="宋体" w:cs="宋体" w:eastAsia="宋体" w:hint="default"/>
          <w:position w:val="-9"/>
          <w:sz w:val="16"/>
          <w:szCs w:val="16"/>
        </w:rPr>
        <w:t>（“联通大数据”）</w:t>
        <w:tab/>
      </w:r>
      <w:r>
        <w:rPr>
          <w:rFonts w:ascii="宋体" w:hAnsi="宋体" w:cs="宋体" w:eastAsia="宋体" w:hint="default"/>
          <w:sz w:val="16"/>
          <w:szCs w:val="16"/>
        </w:rPr>
        <w:t>中国，北京市</w:t>
        <w:tab/>
        <w:t>中国，北京市</w:t>
        <w:tab/>
        <w:t>数据处理</w:t>
      </w:r>
    </w:p>
    <w:p>
      <w:pPr>
        <w:spacing w:line="205" w:lineRule="exact" w:before="64"/>
        <w:ind w:left="510" w:right="-20" w:firstLine="0"/>
        <w:jc w:val="left"/>
        <w:rPr>
          <w:rFonts w:ascii="宋体" w:hAnsi="宋体" w:cs="宋体" w:eastAsia="宋体" w:hint="default"/>
          <w:sz w:val="16"/>
          <w:szCs w:val="16"/>
        </w:rPr>
      </w:pPr>
      <w:r>
        <w:rPr/>
        <w:pict>
          <v:shape style="position:absolute;margin-left:212.849503pt;margin-top:11.263876pt;width:307.75pt;height:197.4pt;mso-position-horizontal-relative:page;mso-position-vertical-relative:paragraph;z-index:106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24"/>
                    <w:gridCol w:w="1231"/>
                    <w:gridCol w:w="1713"/>
                    <w:gridCol w:w="1087"/>
                    <w:gridCol w:w="1000"/>
                  </w:tblGrid>
                  <w:tr>
                    <w:trPr>
                      <w:trHeight w:val="317"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148" w:lineRule="exact"/>
                          <w:ind w:right="91"/>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231" w:type="dxa"/>
                        <w:tcBorders>
                          <w:top w:val="nil" w:sz="6" w:space="0" w:color="auto"/>
                          <w:left w:val="nil" w:sz="6" w:space="0" w:color="auto"/>
                          <w:bottom w:val="nil" w:sz="6" w:space="0" w:color="auto"/>
                          <w:right w:val="nil" w:sz="6" w:space="0" w:color="auto"/>
                        </w:tcBorders>
                      </w:tcPr>
                      <w:p>
                        <w:pPr>
                          <w:pStyle w:val="TableParagraph"/>
                          <w:spacing w:line="148" w:lineRule="exact"/>
                          <w:ind w:right="13"/>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713" w:type="dxa"/>
                        <w:tcBorders>
                          <w:top w:val="nil" w:sz="6" w:space="0" w:color="auto"/>
                          <w:left w:val="nil" w:sz="6" w:space="0" w:color="auto"/>
                          <w:bottom w:val="nil" w:sz="6" w:space="0" w:color="auto"/>
                          <w:right w:val="nil" w:sz="6" w:space="0" w:color="auto"/>
                        </w:tcBorders>
                      </w:tcPr>
                      <w:p>
                        <w:pPr>
                          <w:pStyle w:val="TableParagraph"/>
                          <w:spacing w:line="148" w:lineRule="exact"/>
                          <w:ind w:right="130"/>
                          <w:jc w:val="right"/>
                          <w:rPr>
                            <w:rFonts w:ascii="宋体" w:hAnsi="宋体" w:cs="宋体" w:eastAsia="宋体" w:hint="default"/>
                            <w:sz w:val="16"/>
                            <w:szCs w:val="16"/>
                          </w:rPr>
                        </w:pPr>
                        <w:r>
                          <w:rPr>
                            <w:rFonts w:ascii="宋体" w:hAnsi="宋体" w:cs="宋体" w:eastAsia="宋体" w:hint="default"/>
                            <w:sz w:val="16"/>
                            <w:szCs w:val="16"/>
                          </w:rPr>
                          <w:t>旅游业务</w:t>
                        </w:r>
                      </w:p>
                    </w:tc>
                    <w:tc>
                      <w:tcPr>
                        <w:tcW w:w="2087" w:type="dxa"/>
                        <w:gridSpan w:val="2"/>
                        <w:tcBorders>
                          <w:top w:val="nil" w:sz="6" w:space="0" w:color="auto"/>
                          <w:left w:val="nil" w:sz="6" w:space="0" w:color="auto"/>
                          <w:bottom w:val="nil" w:sz="6" w:space="0" w:color="auto"/>
                          <w:right w:val="nil" w:sz="6" w:space="0" w:color="auto"/>
                        </w:tcBorders>
                      </w:tcPr>
                      <w:p>
                        <w:pPr/>
                      </w:p>
                    </w:tc>
                  </w:tr>
                  <w:tr>
                    <w:trPr>
                      <w:trHeight w:val="473"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1"/>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
                          <w:jc w:val="center"/>
                          <w:rPr>
                            <w:rFonts w:ascii="宋体" w:hAnsi="宋体" w:cs="宋体" w:eastAsia="宋体" w:hint="default"/>
                            <w:sz w:val="16"/>
                            <w:szCs w:val="16"/>
                          </w:rPr>
                        </w:pPr>
                        <w:r>
                          <w:rPr>
                            <w:rFonts w:ascii="宋体" w:hAnsi="宋体" w:cs="宋体" w:eastAsia="宋体" w:hint="default"/>
                            <w:sz w:val="16"/>
                            <w:szCs w:val="16"/>
                          </w:rPr>
                          <w:t>中国，天津市</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0"/>
                          <w:jc w:val="right"/>
                          <w:rPr>
                            <w:rFonts w:ascii="宋体" w:hAnsi="宋体" w:cs="宋体" w:eastAsia="宋体" w:hint="default"/>
                            <w:sz w:val="16"/>
                            <w:szCs w:val="16"/>
                          </w:rPr>
                        </w:pPr>
                        <w:r>
                          <w:rPr>
                            <w:rFonts w:ascii="宋体" w:hAnsi="宋体" w:cs="宋体" w:eastAsia="宋体" w:hint="default"/>
                            <w:sz w:val="16"/>
                            <w:szCs w:val="16"/>
                          </w:rPr>
                          <w:t>视频科技</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sz w:val="16"/>
                          </w:rPr>
                          <w:t>100,000</w:t>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4"/>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1"/>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0"/>
                          <w:jc w:val="right"/>
                          <w:rPr>
                            <w:rFonts w:ascii="宋体" w:hAnsi="宋体" w:cs="宋体" w:eastAsia="宋体" w:hint="default"/>
                            <w:sz w:val="16"/>
                            <w:szCs w:val="16"/>
                          </w:rPr>
                        </w:pPr>
                        <w:r>
                          <w:rPr>
                            <w:rFonts w:ascii="宋体" w:hAnsi="宋体" w:cs="宋体" w:eastAsia="宋体" w:hint="default"/>
                            <w:sz w:val="16"/>
                            <w:szCs w:val="16"/>
                          </w:rPr>
                          <w:t>融资租赁业务</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w w:val="95"/>
                            <w:sz w:val="16"/>
                          </w:rPr>
                          <w:t>5,000,000</w:t>
                        </w:r>
                        <w:r>
                          <w:rPr>
                            <w:rFonts w:ascii="宋体"/>
                            <w:sz w:val="16"/>
                          </w:rPr>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0"/>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
                          <w:jc w:val="center"/>
                          <w:rPr>
                            <w:rFonts w:ascii="宋体" w:hAnsi="宋体" w:cs="宋体" w:eastAsia="宋体" w:hint="default"/>
                            <w:sz w:val="16"/>
                            <w:szCs w:val="16"/>
                          </w:rPr>
                        </w:pPr>
                        <w:r>
                          <w:rPr>
                            <w:rFonts w:ascii="宋体" w:hAnsi="宋体" w:cs="宋体" w:eastAsia="宋体" w:hint="default"/>
                            <w:sz w:val="16"/>
                            <w:szCs w:val="16"/>
                          </w:rPr>
                          <w:t>中国，南京市</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物联网业务</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w w:val="95"/>
                            <w:sz w:val="16"/>
                          </w:rPr>
                          <w:t>1,000,000</w:t>
                        </w:r>
                        <w:r>
                          <w:rPr>
                            <w:rFonts w:ascii="宋体"/>
                            <w:sz w:val="16"/>
                          </w:rPr>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0"/>
                          <w:jc w:val="center"/>
                          <w:rPr>
                            <w:rFonts w:ascii="宋体" w:hAnsi="宋体" w:cs="宋体" w:eastAsia="宋体" w:hint="default"/>
                            <w:sz w:val="16"/>
                            <w:szCs w:val="16"/>
                          </w:rPr>
                        </w:pPr>
                        <w:r>
                          <w:rPr>
                            <w:rFonts w:ascii="宋体" w:hAnsi="宋体" w:cs="宋体" w:eastAsia="宋体" w:hint="default"/>
                            <w:sz w:val="16"/>
                            <w:szCs w:val="16"/>
                          </w:rPr>
                          <w:t>中国，四川省</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
                          <w:jc w:val="center"/>
                          <w:rPr>
                            <w:rFonts w:ascii="宋体" w:hAnsi="宋体" w:cs="宋体" w:eastAsia="宋体" w:hint="default"/>
                            <w:sz w:val="16"/>
                            <w:szCs w:val="16"/>
                          </w:rPr>
                        </w:pPr>
                        <w:r>
                          <w:rPr>
                            <w:rFonts w:ascii="宋体" w:hAnsi="宋体" w:cs="宋体" w:eastAsia="宋体" w:hint="default"/>
                            <w:sz w:val="16"/>
                            <w:szCs w:val="16"/>
                          </w:rPr>
                          <w:t>中国，四川省</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数据处理</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sz w:val="16"/>
                          </w:rPr>
                          <w:t>100,000</w:t>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21.41</w:t>
                        </w:r>
                        <w:r>
                          <w:rPr>
                            <w:rFonts w:ascii="宋体"/>
                            <w:sz w:val="16"/>
                          </w:rPr>
                        </w:r>
                      </w:p>
                    </w:tc>
                  </w:tr>
                  <w:tr>
                    <w:trPr>
                      <w:trHeight w:val="473"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90"/>
                          <w:jc w:val="center"/>
                          <w:rPr>
                            <w:rFonts w:ascii="宋体" w:hAnsi="宋体" w:cs="宋体" w:eastAsia="宋体" w:hint="default"/>
                            <w:sz w:val="16"/>
                            <w:szCs w:val="16"/>
                          </w:rPr>
                        </w:pPr>
                        <w:r>
                          <w:rPr>
                            <w:rFonts w:ascii="宋体" w:hAnsi="宋体" w:cs="宋体" w:eastAsia="宋体" w:hint="default"/>
                            <w:sz w:val="16"/>
                            <w:szCs w:val="16"/>
                          </w:rPr>
                          <w:t>中国，湖南省</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3"/>
                          <w:jc w:val="center"/>
                          <w:rPr>
                            <w:rFonts w:ascii="宋体" w:hAnsi="宋体" w:cs="宋体" w:eastAsia="宋体" w:hint="default"/>
                            <w:sz w:val="16"/>
                            <w:szCs w:val="16"/>
                          </w:rPr>
                        </w:pPr>
                        <w:r>
                          <w:rPr>
                            <w:rFonts w:ascii="宋体" w:hAnsi="宋体" w:cs="宋体" w:eastAsia="宋体" w:hint="default"/>
                            <w:sz w:val="16"/>
                            <w:szCs w:val="16"/>
                          </w:rPr>
                          <w:t>中国，湖南省</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软件和信息技术</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sz w:val="16"/>
                          </w:rPr>
                          <w:t>51,000</w:t>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9"/>
                          <w:jc w:val="center"/>
                          <w:rPr>
                            <w:rFonts w:ascii="宋体" w:hAnsi="宋体" w:cs="宋体" w:eastAsia="宋体" w:hint="default"/>
                            <w:sz w:val="16"/>
                            <w:szCs w:val="16"/>
                          </w:rPr>
                        </w:pPr>
                        <w:r>
                          <w:rPr>
                            <w:rFonts w:ascii="宋体" w:hAnsi="宋体" w:cs="宋体" w:eastAsia="宋体" w:hint="default"/>
                            <w:sz w:val="16"/>
                            <w:szCs w:val="16"/>
                          </w:rPr>
                          <w:t>中国，广东省</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
                          <w:jc w:val="center"/>
                          <w:rPr>
                            <w:rFonts w:ascii="宋体" w:hAnsi="宋体" w:cs="宋体" w:eastAsia="宋体" w:hint="default"/>
                            <w:sz w:val="16"/>
                            <w:szCs w:val="16"/>
                          </w:rPr>
                        </w:pPr>
                        <w:r>
                          <w:rPr>
                            <w:rFonts w:ascii="宋体" w:hAnsi="宋体" w:cs="宋体" w:eastAsia="宋体" w:hint="default"/>
                            <w:sz w:val="16"/>
                            <w:szCs w:val="16"/>
                          </w:rPr>
                          <w:t>中国，广东省</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文化艺术</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sz w:val="16"/>
                          </w:rPr>
                          <w:t>100,000</w:t>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9"/>
                          <w:jc w:val="center"/>
                          <w:rPr>
                            <w:rFonts w:ascii="宋体" w:hAnsi="宋体" w:cs="宋体" w:eastAsia="宋体" w:hint="default"/>
                            <w:sz w:val="16"/>
                            <w:szCs w:val="16"/>
                          </w:rPr>
                        </w:pPr>
                        <w:r>
                          <w:rPr>
                            <w:rFonts w:ascii="宋体" w:hAnsi="宋体" w:cs="宋体" w:eastAsia="宋体" w:hint="default"/>
                            <w:sz w:val="16"/>
                            <w:szCs w:val="16"/>
                          </w:rPr>
                          <w:t>中国，上海市</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
                          <w:jc w:val="center"/>
                          <w:rPr>
                            <w:rFonts w:ascii="宋体" w:hAnsi="宋体" w:cs="宋体" w:eastAsia="宋体" w:hint="default"/>
                            <w:sz w:val="16"/>
                            <w:szCs w:val="16"/>
                          </w:rPr>
                        </w:pPr>
                        <w:r>
                          <w:rPr>
                            <w:rFonts w:ascii="宋体" w:hAnsi="宋体" w:cs="宋体" w:eastAsia="宋体" w:hint="default"/>
                            <w:sz w:val="16"/>
                            <w:szCs w:val="16"/>
                          </w:rPr>
                          <w:t>中国，上海市</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软件和信息技术服务</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sz w:val="16"/>
                          </w:rPr>
                          <w:t>10,000</w:t>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317" w:hRule="exact"/>
                    </w:trPr>
                    <w:tc>
                      <w:tcPr>
                        <w:tcW w:w="112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89"/>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231"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
                          <w:jc w:val="center"/>
                          <w:rPr>
                            <w:rFonts w:ascii="宋体" w:hAnsi="宋体" w:cs="宋体" w:eastAsia="宋体" w:hint="default"/>
                            <w:sz w:val="16"/>
                            <w:szCs w:val="16"/>
                          </w:rPr>
                        </w:pPr>
                        <w:r>
                          <w:rPr>
                            <w:rFonts w:ascii="宋体" w:hAnsi="宋体" w:cs="宋体" w:eastAsia="宋体" w:hint="default"/>
                            <w:sz w:val="16"/>
                            <w:szCs w:val="16"/>
                          </w:rPr>
                          <w:t>中国，北京市</w:t>
                        </w:r>
                      </w:p>
                    </w:tc>
                    <w:tc>
                      <w:tcPr>
                        <w:tcW w:w="171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科技推广和应用服务</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sz w:val="16"/>
                          </w:rPr>
                          <w:t>10,000</w:t>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35.15</w:t>
                        </w:r>
                        <w:r>
                          <w:rPr>
                            <w:rFonts w:ascii="宋体"/>
                            <w:sz w:val="16"/>
                          </w:rPr>
                        </w:r>
                      </w:p>
                    </w:tc>
                  </w:tr>
                </w:tbl>
                <w:p>
                  <w:pPr/>
                </w:p>
              </w:txbxContent>
            </v:textbox>
            <w10:wrap type="none"/>
          </v:shape>
        </w:pict>
      </w:r>
      <w:r>
        <w:rPr>
          <w:rFonts w:ascii="宋体" w:hAnsi="宋体" w:cs="宋体" w:eastAsia="宋体" w:hint="default"/>
          <w:sz w:val="16"/>
          <w:szCs w:val="16"/>
        </w:rPr>
        <w:t>联通旅游（北京）有限公司</w:t>
      </w:r>
    </w:p>
    <w:p>
      <w:pPr>
        <w:spacing w:line="314" w:lineRule="auto" w:before="0"/>
        <w:ind w:left="511" w:right="5253" w:hanging="1"/>
        <w:jc w:val="left"/>
        <w:rPr>
          <w:rFonts w:ascii="宋体" w:hAnsi="宋体" w:cs="宋体" w:eastAsia="宋体" w:hint="default"/>
          <w:sz w:val="16"/>
          <w:szCs w:val="16"/>
        </w:rPr>
      </w:pPr>
      <w:r>
        <w:rPr>
          <w:rFonts w:ascii="宋体" w:hAnsi="宋体" w:cs="宋体" w:eastAsia="宋体" w:hint="default"/>
          <w:sz w:val="16"/>
          <w:szCs w:val="16"/>
        </w:rPr>
        <w:t>（“联通旅游”） 联通视频科技有限公司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spacing w:line="150" w:lineRule="exact" w:before="0"/>
        <w:ind w:left="511" w:right="-20" w:firstLine="0"/>
        <w:jc w:val="left"/>
        <w:rPr>
          <w:rFonts w:ascii="宋体" w:hAnsi="宋体" w:cs="宋体" w:eastAsia="宋体" w:hint="default"/>
          <w:sz w:val="16"/>
          <w:szCs w:val="16"/>
        </w:rPr>
      </w:pPr>
      <w:r>
        <w:rPr>
          <w:rFonts w:ascii="宋体" w:hAnsi="宋体" w:cs="宋体" w:eastAsia="宋体" w:hint="default"/>
          <w:sz w:val="16"/>
          <w:szCs w:val="16"/>
        </w:rPr>
        <w:t>（“联通视频”）</w:t>
      </w:r>
    </w:p>
    <w:p>
      <w:pPr>
        <w:spacing w:line="20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联通融资租赁有限公司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spacing w:line="314" w:lineRule="auto" w:before="0"/>
        <w:ind w:left="511" w:right="5093" w:hanging="1"/>
        <w:jc w:val="left"/>
        <w:rPr>
          <w:rFonts w:ascii="宋体" w:hAnsi="宋体" w:cs="宋体" w:eastAsia="宋体" w:hint="default"/>
          <w:sz w:val="16"/>
          <w:szCs w:val="16"/>
        </w:rPr>
      </w:pPr>
      <w:r>
        <w:rPr>
          <w:rFonts w:ascii="宋体" w:hAnsi="宋体" w:cs="宋体" w:eastAsia="宋体" w:hint="default"/>
          <w:sz w:val="16"/>
          <w:szCs w:val="16"/>
        </w:rPr>
        <w:t>（“联通融资租赁”） 联通物联网有限责任公司</w:t>
      </w:r>
      <w:r>
        <w:rPr>
          <w:rFonts w:ascii="宋体" w:hAnsi="宋体" w:cs="宋体" w:eastAsia="宋体" w:hint="default"/>
          <w:spacing w:val="-32"/>
          <w:sz w:val="16"/>
          <w:szCs w:val="16"/>
        </w:rPr>
        <w:t> </w:t>
      </w:r>
      <w:r>
        <w:rPr>
          <w:rFonts w:ascii="宋体" w:hAnsi="宋体" w:cs="宋体" w:eastAsia="宋体" w:hint="default"/>
          <w:sz w:val="16"/>
          <w:szCs w:val="16"/>
        </w:rPr>
        <w:t>*</w:t>
      </w:r>
    </w:p>
    <w:p>
      <w:pPr>
        <w:spacing w:line="150" w:lineRule="exact" w:before="0"/>
        <w:ind w:left="511" w:right="-20" w:firstLine="0"/>
        <w:jc w:val="left"/>
        <w:rPr>
          <w:rFonts w:ascii="宋体" w:hAnsi="宋体" w:cs="宋体" w:eastAsia="宋体" w:hint="default"/>
          <w:sz w:val="16"/>
          <w:szCs w:val="16"/>
        </w:rPr>
      </w:pPr>
      <w:r>
        <w:rPr>
          <w:rFonts w:ascii="宋体" w:hAnsi="宋体" w:cs="宋体" w:eastAsia="宋体" w:hint="default"/>
          <w:sz w:val="16"/>
          <w:szCs w:val="16"/>
        </w:rPr>
        <w:t>（“联通物联网”）</w:t>
      </w:r>
    </w:p>
    <w:p>
      <w:pPr>
        <w:spacing w:line="200" w:lineRule="exact" w:before="91"/>
        <w:ind w:left="511" w:right="4101" w:firstLine="0"/>
        <w:jc w:val="left"/>
        <w:rPr>
          <w:rFonts w:ascii="宋体" w:hAnsi="宋体" w:cs="宋体" w:eastAsia="宋体" w:hint="default"/>
          <w:sz w:val="16"/>
          <w:szCs w:val="16"/>
        </w:rPr>
      </w:pPr>
      <w:r>
        <w:rPr>
          <w:rFonts w:ascii="宋体" w:hAnsi="宋体" w:cs="宋体" w:eastAsia="宋体" w:hint="default"/>
          <w:sz w:val="16"/>
          <w:szCs w:val="16"/>
        </w:rPr>
        <w:t>联通高新大数据人工智能科技（成都）有 限公司</w:t>
      </w:r>
      <w:r>
        <w:rPr>
          <w:rFonts w:ascii="宋体" w:hAnsi="宋体" w:cs="宋体" w:eastAsia="宋体" w:hint="default"/>
          <w:spacing w:val="-32"/>
          <w:sz w:val="16"/>
          <w:szCs w:val="16"/>
        </w:rPr>
        <w:t> </w:t>
      </w:r>
      <w:r>
        <w:rPr>
          <w:rFonts w:ascii="宋体" w:hAnsi="宋体" w:cs="宋体" w:eastAsia="宋体" w:hint="default"/>
          <w:sz w:val="16"/>
          <w:szCs w:val="16"/>
        </w:rPr>
        <w:t>*（“大数据成都”）</w:t>
      </w:r>
    </w:p>
    <w:p>
      <w:pPr>
        <w:spacing w:line="205" w:lineRule="exact" w:before="46"/>
        <w:ind w:left="511" w:right="-20" w:firstLine="0"/>
        <w:jc w:val="left"/>
        <w:rPr>
          <w:rFonts w:ascii="宋体" w:hAnsi="宋体" w:cs="宋体" w:eastAsia="宋体" w:hint="default"/>
          <w:sz w:val="16"/>
          <w:szCs w:val="16"/>
        </w:rPr>
      </w:pPr>
      <w:r>
        <w:rPr>
          <w:rFonts w:ascii="宋体" w:hAnsi="宋体" w:cs="宋体" w:eastAsia="宋体" w:hint="default"/>
          <w:sz w:val="16"/>
          <w:szCs w:val="16"/>
        </w:rPr>
        <w:t>联通沃悦读文化科技文化有限公司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spacing w:line="314" w:lineRule="auto" w:before="0"/>
        <w:ind w:left="511" w:right="5093" w:hanging="1"/>
        <w:jc w:val="left"/>
        <w:rPr>
          <w:rFonts w:ascii="宋体" w:hAnsi="宋体" w:cs="宋体" w:eastAsia="宋体" w:hint="default"/>
          <w:sz w:val="16"/>
          <w:szCs w:val="16"/>
        </w:rPr>
      </w:pPr>
      <w:r>
        <w:rPr>
          <w:rFonts w:ascii="宋体" w:hAnsi="宋体" w:cs="宋体" w:eastAsia="宋体" w:hint="default"/>
          <w:sz w:val="16"/>
          <w:szCs w:val="16"/>
        </w:rPr>
        <w:t>（“联通沃悦读”） 联通沃音乐文化有限公司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spacing w:line="150" w:lineRule="exact" w:before="0"/>
        <w:ind w:left="511" w:right="-20" w:firstLine="0"/>
        <w:jc w:val="left"/>
        <w:rPr>
          <w:rFonts w:ascii="宋体" w:hAnsi="宋体" w:cs="宋体" w:eastAsia="宋体" w:hint="default"/>
          <w:sz w:val="16"/>
          <w:szCs w:val="16"/>
        </w:rPr>
      </w:pPr>
      <w:r>
        <w:rPr>
          <w:rFonts w:ascii="宋体" w:hAnsi="宋体" w:cs="宋体" w:eastAsia="宋体" w:hint="default"/>
          <w:sz w:val="16"/>
          <w:szCs w:val="16"/>
        </w:rPr>
        <w:t>（“联通沃文化”）</w:t>
      </w:r>
    </w:p>
    <w:p>
      <w:pPr>
        <w:spacing w:line="20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联通智能车联科技（上海）有限公司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spacing w:line="314" w:lineRule="auto" w:before="0"/>
        <w:ind w:left="512" w:right="4292" w:hanging="1"/>
        <w:jc w:val="left"/>
        <w:rPr>
          <w:rFonts w:ascii="宋体" w:hAnsi="宋体" w:cs="宋体" w:eastAsia="宋体" w:hint="default"/>
          <w:sz w:val="16"/>
          <w:szCs w:val="16"/>
        </w:rPr>
      </w:pPr>
      <w:r>
        <w:rPr>
          <w:rFonts w:ascii="宋体" w:hAnsi="宋体" w:cs="宋体" w:eastAsia="宋体" w:hint="default"/>
          <w:sz w:val="16"/>
          <w:szCs w:val="16"/>
        </w:rPr>
        <w:t>（“智能车联”） 联通智网睿行科技（北京）有限公司</w:t>
      </w:r>
      <w:r>
        <w:rPr>
          <w:rFonts w:ascii="宋体" w:hAnsi="宋体" w:cs="宋体" w:eastAsia="宋体" w:hint="default"/>
          <w:spacing w:val="-32"/>
          <w:sz w:val="16"/>
          <w:szCs w:val="16"/>
        </w:rPr>
        <w:t> </w:t>
      </w:r>
      <w:r>
        <w:rPr>
          <w:rFonts w:ascii="宋体" w:hAnsi="宋体" w:cs="宋体" w:eastAsia="宋体" w:hint="default"/>
          <w:sz w:val="16"/>
          <w:szCs w:val="16"/>
        </w:rPr>
        <w:t>*</w:t>
      </w:r>
    </w:p>
    <w:p>
      <w:pPr>
        <w:spacing w:line="150" w:lineRule="exact" w:before="0"/>
        <w:ind w:left="512" w:right="-20" w:firstLine="0"/>
        <w:jc w:val="left"/>
        <w:rPr>
          <w:rFonts w:ascii="宋体" w:hAnsi="宋体" w:cs="宋体" w:eastAsia="宋体" w:hint="default"/>
          <w:sz w:val="16"/>
          <w:szCs w:val="16"/>
        </w:rPr>
      </w:pPr>
      <w:r>
        <w:rPr>
          <w:rFonts w:ascii="宋体" w:hAnsi="宋体" w:cs="宋体" w:eastAsia="宋体" w:hint="default"/>
          <w:sz w:val="16"/>
          <w:szCs w:val="16"/>
        </w:rPr>
        <w:t>（“智网睿行”）</w:t>
      </w:r>
    </w:p>
    <w:p>
      <w:pPr>
        <w:tabs>
          <w:tab w:pos="1423" w:val="left" w:leader="none"/>
          <w:tab w:pos="1743" w:val="left" w:leader="none"/>
        </w:tabs>
        <w:spacing w:before="59"/>
        <w:ind w:left="444" w:right="0" w:firstLine="0"/>
        <w:jc w:val="left"/>
        <w:rPr>
          <w:rFonts w:ascii="宋体" w:hAnsi="宋体" w:cs="宋体" w:eastAsia="宋体" w:hint="default"/>
          <w:sz w:val="16"/>
          <w:szCs w:val="16"/>
        </w:rPr>
      </w:pPr>
      <w:r>
        <w:rPr/>
        <w:br w:type="column"/>
      </w:r>
      <w:r>
        <w:rPr>
          <w:rFonts w:ascii="宋体"/>
          <w:sz w:val="16"/>
        </w:rPr>
        <w:t>50,000</w:t>
        <w:tab/>
      </w:r>
      <w:r>
        <w:rPr>
          <w:rFonts w:ascii="宋体"/>
          <w:w w:val="110"/>
          <w:sz w:val="16"/>
        </w:rPr>
        <w:t>-</w:t>
        <w:tab/>
        <w:t>43.94</w:t>
      </w:r>
      <w:r>
        <w:rPr>
          <w:rFonts w:ascii="宋体"/>
          <w:sz w:val="16"/>
        </w:rPr>
      </w:r>
    </w:p>
    <w:p>
      <w:pPr>
        <w:spacing w:line="240" w:lineRule="auto" w:before="2"/>
        <w:rPr>
          <w:rFonts w:ascii="宋体" w:hAnsi="宋体" w:cs="宋体" w:eastAsia="宋体" w:hint="default"/>
          <w:sz w:val="20"/>
          <w:szCs w:val="20"/>
        </w:rPr>
      </w:pPr>
    </w:p>
    <w:p>
      <w:pPr>
        <w:tabs>
          <w:tab w:pos="1423" w:val="left" w:leader="none"/>
          <w:tab w:pos="1743" w:val="left" w:leader="none"/>
        </w:tabs>
        <w:spacing w:before="0"/>
        <w:ind w:left="356" w:right="0" w:firstLine="0"/>
        <w:jc w:val="left"/>
        <w:rPr>
          <w:rFonts w:ascii="宋体" w:hAnsi="宋体" w:cs="宋体" w:eastAsia="宋体" w:hint="default"/>
          <w:sz w:val="16"/>
          <w:szCs w:val="16"/>
        </w:rPr>
      </w:pPr>
      <w:r>
        <w:rPr>
          <w:rFonts w:ascii="宋体"/>
          <w:sz w:val="16"/>
        </w:rPr>
        <w:t>500,000</w:t>
        <w:tab/>
      </w:r>
      <w:r>
        <w:rPr>
          <w:rFonts w:ascii="宋体"/>
          <w:w w:val="110"/>
          <w:sz w:val="16"/>
        </w:rPr>
        <w:t>-</w:t>
        <w:tab/>
        <w:t>43.94</w:t>
      </w:r>
      <w:r>
        <w:rPr>
          <w:rFonts w:ascii="宋体"/>
          <w:sz w:val="16"/>
        </w:rPr>
      </w:r>
    </w:p>
    <w:p>
      <w:pPr>
        <w:spacing w:line="240" w:lineRule="auto" w:before="2"/>
        <w:rPr>
          <w:rFonts w:ascii="宋体" w:hAnsi="宋体" w:cs="宋体" w:eastAsia="宋体" w:hint="default"/>
          <w:sz w:val="20"/>
          <w:szCs w:val="20"/>
        </w:rPr>
      </w:pPr>
    </w:p>
    <w:p>
      <w:pPr>
        <w:tabs>
          <w:tab w:pos="1423" w:val="left" w:leader="none"/>
          <w:tab w:pos="1743" w:val="left" w:leader="none"/>
        </w:tabs>
        <w:spacing w:before="0"/>
        <w:ind w:left="445" w:right="0" w:firstLine="0"/>
        <w:jc w:val="left"/>
        <w:rPr>
          <w:rFonts w:ascii="宋体" w:hAnsi="宋体" w:cs="宋体" w:eastAsia="宋体" w:hint="default"/>
          <w:sz w:val="16"/>
          <w:szCs w:val="16"/>
        </w:rPr>
      </w:pPr>
      <w:r>
        <w:rPr>
          <w:rFonts w:ascii="宋体"/>
          <w:sz w:val="16"/>
        </w:rPr>
        <w:t>30,000</w:t>
        <w:tab/>
      </w:r>
      <w:r>
        <w:rPr>
          <w:rFonts w:ascii="宋体"/>
          <w:w w:val="110"/>
          <w:sz w:val="16"/>
        </w:rPr>
        <w:t>-</w:t>
        <w:tab/>
        <w:t>43.94</w:t>
      </w:r>
      <w:r>
        <w:rPr>
          <w:rFonts w:ascii="宋体"/>
          <w:sz w:val="16"/>
        </w:rPr>
      </w:r>
    </w:p>
    <w:p>
      <w:pPr>
        <w:spacing w:after="0"/>
        <w:jc w:val="left"/>
        <w:rPr>
          <w:rFonts w:ascii="宋体" w:hAnsi="宋体" w:cs="宋体" w:eastAsia="宋体" w:hint="default"/>
          <w:sz w:val="16"/>
          <w:szCs w:val="16"/>
        </w:rPr>
        <w:sectPr>
          <w:type w:val="continuous"/>
          <w:pgSz w:w="11910" w:h="16160"/>
          <w:pgMar w:top="1520" w:bottom="280" w:left="680" w:right="1340"/>
          <w:cols w:num="2" w:equalWidth="0">
            <w:col w:w="7513" w:space="40"/>
            <w:col w:w="2337"/>
          </w:cols>
        </w:sectPr>
      </w:pPr>
    </w:p>
    <w:p>
      <w:pPr>
        <w:spacing w:line="240" w:lineRule="auto" w:before="8"/>
        <w:rPr>
          <w:rFonts w:ascii="宋体" w:hAnsi="宋体" w:cs="宋体" w:eastAsia="宋体" w:hint="default"/>
          <w:sz w:val="8"/>
          <w:szCs w:val="8"/>
        </w:rPr>
      </w:pPr>
    </w:p>
    <w:p>
      <w:pPr>
        <w:spacing w:line="40" w:lineRule="exact"/>
        <w:ind w:left="433"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229;height:2" coordorigin="3044,20" coordsize="1229,2">
              <v:shape style="position:absolute;left:3044;top:20;width:1229;height:2" coordorigin="3044,20" coordsize="1229,0" path="m3044,20l4272,20e" filled="false" stroked="true" strokeweight="2pt" strokecolor="#9f8958">
                <v:path arrowok="t"/>
              </v:shape>
            </v:group>
            <v:group style="position:absolute;left:4272;top:20;width:1205;height:2" coordorigin="4272,20" coordsize="1205,2">
              <v:shape style="position:absolute;left:4272;top:20;width:1205;height:2" coordorigin="4272,20" coordsize="1205,0" path="m4272,20l5477,20e" filled="false" stroked="true" strokeweight="2pt" strokecolor="#9f8958">
                <v:path arrowok="t"/>
              </v:shape>
            </v:group>
            <v:group style="position:absolute;left:5477;top:20;width:1659;height:2" coordorigin="5477,20" coordsize="1659,2">
              <v:shape style="position:absolute;left:5477;top:20;width:1659;height:2" coordorigin="5477,20" coordsize="1659,0" path="m5477,20l7135,20e" filled="false" stroked="true" strokeweight="2pt" strokecolor="#9f8958">
                <v:path arrowok="t"/>
              </v:shape>
            </v:group>
            <v:group style="position:absolute;left:7135;top:20;width:974;height:2" coordorigin="7135,20" coordsize="974,2">
              <v:shape style="position:absolute;left:7135;top:20;width:974;height:2" coordorigin="7135,20" coordsize="974,0" path="m7135,20l8108,20e" filled="false" stroked="true" strokeweight="2pt" strokecolor="#9f8958">
                <v:path arrowok="t"/>
              </v:shape>
            </v:group>
            <v:group style="position:absolute;left:8108;top:20;width:596;height:2" coordorigin="8108,20" coordsize="596,2">
              <v:shape style="position:absolute;left:8108;top:20;width:596;height:2" coordorigin="8108,20" coordsize="596,0" path="m8108,20l8703,20e" filled="false" stroked="true" strokeweight="2pt" strokecolor="#9f8958">
                <v:path arrowok="t"/>
              </v:shape>
            </v:group>
            <v:group style="position:absolute;left:8703;top:20;width:615;height:2" coordorigin="8703,20" coordsize="615,2">
              <v:shape style="position:absolute;left:8703;top:20;width:615;height:2" coordorigin="8703,20" coordsize="615,0" path="m8703,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240" w:lineRule="auto" w:before="31"/>
        <w:ind w:left="453" w:right="125"/>
        <w:jc w:val="left"/>
      </w:pPr>
      <w:r>
        <w:rPr>
          <w:w w:val="105"/>
        </w:rPr>
        <w:t>*</w:t>
      </w:r>
      <w:r>
        <w:rPr>
          <w:spacing w:val="-54"/>
          <w:w w:val="105"/>
        </w:rPr>
        <w:t> </w:t>
      </w:r>
      <w:r>
        <w:rPr>
          <w:w w:val="105"/>
        </w:rPr>
        <w:t>为</w:t>
      </w:r>
      <w:r>
        <w:rPr>
          <w:spacing w:val="-53"/>
          <w:w w:val="105"/>
        </w:rPr>
        <w:t> </w:t>
      </w:r>
      <w:r>
        <w:rPr>
          <w:w w:val="105"/>
        </w:rPr>
        <w:t>2018</w:t>
      </w:r>
      <w:r>
        <w:rPr>
          <w:spacing w:val="-54"/>
          <w:w w:val="105"/>
        </w:rPr>
        <w:t> </w:t>
      </w:r>
      <w:r>
        <w:rPr>
          <w:w w:val="105"/>
        </w:rPr>
        <w:t>年新设</w:t>
      </w:r>
    </w:p>
    <w:p>
      <w:pPr>
        <w:spacing w:after="0" w:line="240" w:lineRule="auto"/>
        <w:jc w:val="left"/>
        <w:sectPr>
          <w:type w:val="continuous"/>
          <w:pgSz w:w="11910" w:h="16160"/>
          <w:pgMar w:top="1520" w:bottom="280" w:left="680" w:right="1340"/>
        </w:sectPr>
      </w:pPr>
    </w:p>
    <w:p>
      <w:pPr>
        <w:spacing w:line="240" w:lineRule="auto" w:before="7"/>
        <w:rPr>
          <w:rFonts w:ascii="宋体" w:hAnsi="宋体" w:cs="宋体" w:eastAsia="宋体" w:hint="default"/>
          <w:sz w:val="14"/>
          <w:szCs w:val="14"/>
        </w:rPr>
      </w:pPr>
    </w:p>
    <w:p>
      <w:pPr>
        <w:pStyle w:val="BodyText"/>
        <w:spacing w:line="240" w:lineRule="auto" w:before="31"/>
        <w:ind w:right="125"/>
        <w:jc w:val="left"/>
      </w:pPr>
      <w:r>
        <w:rPr/>
        <w:t>(2)</w:t>
      </w:r>
      <w:r>
        <w:rPr>
          <w:spacing w:val="19"/>
        </w:rPr>
        <w:t> </w:t>
      </w:r>
      <w:r>
        <w:rPr/>
        <w:t>通过同一控制下的企业合并取得的子公司</w:t>
      </w:r>
    </w:p>
    <w:p>
      <w:pPr>
        <w:spacing w:line="240" w:lineRule="auto" w:before="10"/>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pgSz w:w="11910" w:h="16160"/>
          <w:pgMar w:header="2796" w:footer="298" w:top="3900" w:bottom="480" w:left="1360" w:right="660"/>
        </w:sectPr>
      </w:pPr>
    </w:p>
    <w:p>
      <w:pPr>
        <w:spacing w:line="240" w:lineRule="auto" w:before="5"/>
        <w:rPr>
          <w:rFonts w:ascii="宋体" w:hAnsi="宋体" w:cs="宋体" w:eastAsia="宋体" w:hint="default"/>
          <w:sz w:val="18"/>
          <w:szCs w:val="18"/>
        </w:rPr>
      </w:pPr>
    </w:p>
    <w:p>
      <w:pPr>
        <w:tabs>
          <w:tab w:pos="3691" w:val="left" w:leader="none"/>
          <w:tab w:pos="5068" w:val="left" w:leader="none"/>
          <w:tab w:pos="6872" w:val="left" w:leader="none"/>
        </w:tabs>
        <w:spacing w:before="0"/>
        <w:ind w:left="510" w:right="-20" w:firstLine="0"/>
        <w:jc w:val="left"/>
        <w:rPr>
          <w:rFonts w:ascii="宋体" w:hAnsi="宋体" w:cs="宋体" w:eastAsia="宋体" w:hint="default"/>
          <w:sz w:val="16"/>
          <w:szCs w:val="16"/>
        </w:rPr>
      </w:pPr>
      <w:r>
        <w:rPr>
          <w:rFonts w:ascii="宋体" w:hAnsi="宋体" w:cs="宋体" w:eastAsia="宋体" w:hint="default"/>
          <w:sz w:val="16"/>
          <w:szCs w:val="16"/>
        </w:rPr>
        <w:t>子公司名称</w:t>
        <w:tab/>
        <w:t>主要经营地</w:t>
        <w:tab/>
        <w:t>注册地</w:t>
        <w:tab/>
        <w:t>业务性质</w:t>
      </w:r>
    </w:p>
    <w:p>
      <w:pPr>
        <w:spacing w:line="205" w:lineRule="exact" w:before="41"/>
        <w:ind w:left="293"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注册资本</w:t>
      </w:r>
    </w:p>
    <w:p>
      <w:pPr>
        <w:spacing w:line="205" w:lineRule="exact" w:before="0"/>
        <w:ind w:left="293" w:right="0" w:firstLine="0"/>
        <w:jc w:val="left"/>
        <w:rPr>
          <w:rFonts w:ascii="宋体" w:hAnsi="宋体" w:cs="宋体" w:eastAsia="宋体" w:hint="default"/>
          <w:sz w:val="16"/>
          <w:szCs w:val="16"/>
        </w:rPr>
      </w:pPr>
      <w:r>
        <w:rPr>
          <w:rFonts w:ascii="宋体" w:hAnsi="宋体" w:cs="宋体" w:eastAsia="宋体" w:hint="default"/>
          <w:sz w:val="16"/>
          <w:szCs w:val="16"/>
        </w:rPr>
        <w:t>（千元）  持股比例</w:t>
      </w:r>
      <w:r>
        <w:rPr>
          <w:rFonts w:ascii="宋体" w:hAnsi="宋体" w:cs="宋体" w:eastAsia="宋体" w:hint="default"/>
          <w:spacing w:val="3"/>
          <w:sz w:val="16"/>
          <w:szCs w:val="16"/>
        </w:rPr>
        <w:t> </w:t>
      </w:r>
      <w:r>
        <w:rPr>
          <w:rFonts w:ascii="宋体" w:hAnsi="宋体" w:cs="宋体" w:eastAsia="宋体" w:hint="default"/>
          <w:sz w:val="16"/>
          <w:szCs w:val="16"/>
        </w:rPr>
        <w:t>(%)</w:t>
      </w:r>
    </w:p>
    <w:p>
      <w:pPr>
        <w:spacing w:after="0" w:line="205" w:lineRule="exact"/>
        <w:jc w:val="left"/>
        <w:rPr>
          <w:rFonts w:ascii="宋体" w:hAnsi="宋体" w:cs="宋体" w:eastAsia="宋体" w:hint="default"/>
          <w:sz w:val="16"/>
          <w:szCs w:val="16"/>
        </w:rPr>
        <w:sectPr>
          <w:type w:val="continuous"/>
          <w:pgSz w:w="11910" w:h="16160"/>
          <w:pgMar w:top="1520" w:bottom="280" w:left="1360" w:right="660"/>
          <w:cols w:num="2" w:equalWidth="0">
            <w:col w:w="7513" w:space="40"/>
            <w:col w:w="2337"/>
          </w:cols>
        </w:sectPr>
      </w:pP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229;height:2" coordorigin="3044,20" coordsize="1229,2">
              <v:shape style="position:absolute;left:3044;top:20;width:1229;height:2" coordorigin="3044,20" coordsize="1229,0" path="m3044,20l4272,20e" filled="false" stroked="true" strokeweight="2pt" strokecolor="#9f8958">
                <v:path arrowok="t"/>
              </v:shape>
            </v:group>
            <v:group style="position:absolute;left:4272;top:20;width:1205;height:2" coordorigin="4272,20" coordsize="1205,2">
              <v:shape style="position:absolute;left:4272;top:20;width:1205;height:2" coordorigin="4272,20" coordsize="1205,0" path="m4272,20l5477,20e" filled="false" stroked="true" strokeweight="2pt" strokecolor="#9f8958">
                <v:path arrowok="t"/>
              </v:shape>
            </v:group>
            <v:group style="position:absolute;left:5477;top:20;width:1659;height:2" coordorigin="5477,20" coordsize="1659,2">
              <v:shape style="position:absolute;left:5477;top:20;width:1659;height:2" coordorigin="5477,20" coordsize="1659,0" path="m5477,20l7135,20e" filled="false" stroked="true" strokeweight="2pt" strokecolor="#9f8958">
                <v:path arrowok="t"/>
              </v:shape>
            </v:group>
            <v:group style="position:absolute;left:7135;top:20;width:974;height:2" coordorigin="7135,20" coordsize="974,2">
              <v:shape style="position:absolute;left:7135;top:20;width:974;height:2" coordorigin="7135,20" coordsize="974,0" path="m7135,20l8108,20e" filled="false" stroked="true" strokeweight="2pt" strokecolor="#9f8958">
                <v:path arrowok="t"/>
              </v:shape>
            </v:group>
            <v:group style="position:absolute;left:8108;top:20;width:596;height:2" coordorigin="8108,20" coordsize="596,2">
              <v:shape style="position:absolute;left:8108;top:20;width:596;height:2" coordorigin="8108,20" coordsize="596,0" path="m8108,20l8703,20e" filled="false" stroked="true" strokeweight="2pt" strokecolor="#9f8958">
                <v:path arrowok="t"/>
              </v:shape>
            </v:group>
            <v:group style="position:absolute;left:8703;top:20;width:615;height:2" coordorigin="8703,20" coordsize="615,2">
              <v:shape style="position:absolute;left:8703;top:20;width:615;height:2" coordorigin="8703,20" coordsize="615,0" path="m8703,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0"/>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type w:val="continuous"/>
          <w:pgSz w:w="11910" w:h="16160"/>
          <w:pgMar w:top="1520" w:bottom="280" w:left="1360" w:right="660"/>
        </w:sectPr>
      </w:pPr>
    </w:p>
    <w:p>
      <w:pPr>
        <w:spacing w:line="240" w:lineRule="auto" w:before="13"/>
        <w:rPr>
          <w:rFonts w:ascii="宋体" w:hAnsi="宋体" w:cs="宋体" w:eastAsia="宋体" w:hint="default"/>
          <w:sz w:val="15"/>
          <w:szCs w:val="15"/>
        </w:rPr>
      </w:pPr>
    </w:p>
    <w:p>
      <w:pPr>
        <w:spacing w:line="155" w:lineRule="exact" w:before="0"/>
        <w:ind w:left="510" w:right="-20" w:firstLine="0"/>
        <w:jc w:val="left"/>
        <w:rPr>
          <w:rFonts w:ascii="宋体" w:hAnsi="宋体" w:cs="宋体" w:eastAsia="宋体" w:hint="default"/>
          <w:sz w:val="16"/>
          <w:szCs w:val="16"/>
        </w:rPr>
      </w:pPr>
      <w:r>
        <w:rPr>
          <w:rFonts w:ascii="宋体" w:hAnsi="宋体" w:cs="宋体" w:eastAsia="宋体" w:hint="default"/>
          <w:sz w:val="16"/>
          <w:szCs w:val="16"/>
        </w:rPr>
        <w:t>联通系统集成有限公司</w:t>
      </w:r>
    </w:p>
    <w:p>
      <w:pPr>
        <w:tabs>
          <w:tab w:pos="3611" w:val="left" w:leader="none"/>
          <w:tab w:pos="4828" w:val="left" w:leader="none"/>
        </w:tabs>
        <w:spacing w:line="255" w:lineRule="exact" w:before="0"/>
        <w:ind w:left="510" w:right="-20" w:firstLine="0"/>
        <w:jc w:val="left"/>
        <w:rPr>
          <w:rFonts w:ascii="宋体" w:hAnsi="宋体" w:cs="宋体" w:eastAsia="宋体" w:hint="default"/>
          <w:sz w:val="16"/>
          <w:szCs w:val="16"/>
        </w:rPr>
      </w:pPr>
      <w:r>
        <w:rPr>
          <w:rFonts w:ascii="宋体" w:hAnsi="宋体" w:cs="宋体" w:eastAsia="宋体" w:hint="default"/>
          <w:position w:val="-9"/>
          <w:sz w:val="16"/>
          <w:szCs w:val="16"/>
        </w:rPr>
        <w:t>（“系统集成公司”）</w:t>
        <w:tab/>
      </w:r>
      <w:r>
        <w:rPr>
          <w:rFonts w:ascii="宋体" w:hAnsi="宋体" w:cs="宋体" w:eastAsia="宋体" w:hint="default"/>
          <w:sz w:val="16"/>
          <w:szCs w:val="16"/>
        </w:rPr>
        <w:t>中国，北京市</w:t>
        <w:tab/>
        <w:t>中国，北京市</w:t>
      </w:r>
    </w:p>
    <w:p>
      <w:pPr>
        <w:spacing w:line="15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联通在线信息科技有限公司</w:t>
      </w:r>
    </w:p>
    <w:p>
      <w:pPr>
        <w:tabs>
          <w:tab w:pos="3612" w:val="left" w:leader="none"/>
          <w:tab w:pos="4828" w:val="left" w:leader="none"/>
        </w:tabs>
        <w:spacing w:line="255" w:lineRule="exact" w:before="0"/>
        <w:ind w:left="511" w:right="-20" w:firstLine="0"/>
        <w:jc w:val="left"/>
        <w:rPr>
          <w:rFonts w:ascii="宋体" w:hAnsi="宋体" w:cs="宋体" w:eastAsia="宋体" w:hint="default"/>
          <w:sz w:val="16"/>
          <w:szCs w:val="16"/>
        </w:rPr>
      </w:pPr>
      <w:r>
        <w:rPr>
          <w:rFonts w:ascii="宋体" w:hAnsi="宋体" w:cs="宋体" w:eastAsia="宋体" w:hint="default"/>
          <w:position w:val="-9"/>
          <w:sz w:val="16"/>
          <w:szCs w:val="16"/>
        </w:rPr>
        <w:t>（“联通在线”）</w:t>
        <w:tab/>
      </w:r>
      <w:r>
        <w:rPr>
          <w:rFonts w:ascii="宋体" w:hAnsi="宋体" w:cs="宋体" w:eastAsia="宋体" w:hint="default"/>
          <w:sz w:val="16"/>
          <w:szCs w:val="16"/>
        </w:rPr>
        <w:t>中国，北京市</w:t>
        <w:tab/>
        <w:t>中国，北京市</w:t>
      </w:r>
    </w:p>
    <w:p>
      <w:pPr>
        <w:spacing w:line="161"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北京沃数媒广告有限公司</w:t>
      </w:r>
    </w:p>
    <w:p>
      <w:pPr>
        <w:spacing w:line="240" w:lineRule="auto" w:before="0"/>
        <w:rPr>
          <w:rFonts w:ascii="宋体" w:hAnsi="宋体" w:cs="宋体" w:eastAsia="宋体" w:hint="default"/>
          <w:sz w:val="18"/>
          <w:szCs w:val="18"/>
        </w:rPr>
      </w:pPr>
      <w:r>
        <w:rPr/>
        <w:br w:type="column"/>
      </w:r>
      <w:r>
        <w:rPr>
          <w:rFonts w:ascii="宋体"/>
          <w:sz w:val="18"/>
        </w:rPr>
      </w:r>
    </w:p>
    <w:p>
      <w:pPr>
        <w:spacing w:line="200" w:lineRule="exact" w:before="0"/>
        <w:ind w:left="510" w:right="2353" w:firstLine="480"/>
        <w:jc w:val="left"/>
        <w:rPr>
          <w:rFonts w:ascii="宋体" w:hAnsi="宋体" w:cs="宋体" w:eastAsia="宋体" w:hint="default"/>
          <w:sz w:val="16"/>
          <w:szCs w:val="16"/>
        </w:rPr>
      </w:pPr>
      <w:r>
        <w:rPr/>
        <w:pict>
          <v:shape style="position:absolute;margin-left:461.689301pt;margin-top:-23.727476pt;width:93.95pt;height:109.5pt;mso-position-horizontal-relative:page;mso-position-vertical-relative:paragraph;z-index:107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69"/>
                    <w:gridCol w:w="646"/>
                    <w:gridCol w:w="563"/>
                  </w:tblGrid>
                  <w:tr>
                    <w:trPr>
                      <w:trHeight w:val="376" w:hRule="exact"/>
                    </w:trPr>
                    <w:tc>
                      <w:tcPr>
                        <w:tcW w:w="669" w:type="dxa"/>
                        <w:tcBorders>
                          <w:top w:val="nil" w:sz="6" w:space="0" w:color="auto"/>
                          <w:left w:val="nil" w:sz="6" w:space="0" w:color="auto"/>
                          <w:bottom w:val="nil" w:sz="6" w:space="0" w:color="auto"/>
                          <w:right w:val="nil" w:sz="6" w:space="0" w:color="auto"/>
                        </w:tcBorders>
                      </w:tcPr>
                      <w:p>
                        <w:pPr/>
                      </w:p>
                    </w:tc>
                    <w:tc>
                      <w:tcPr>
                        <w:tcW w:w="646" w:type="dxa"/>
                        <w:tcBorders>
                          <w:top w:val="nil" w:sz="6" w:space="0" w:color="auto"/>
                          <w:left w:val="nil" w:sz="6" w:space="0" w:color="auto"/>
                          <w:bottom w:val="single" w:sz="6" w:space="0" w:color="000000"/>
                          <w:right w:val="nil" w:sz="6" w:space="0" w:color="auto"/>
                        </w:tcBorders>
                      </w:tcPr>
                      <w:p>
                        <w:pPr>
                          <w:pStyle w:val="TableParagraph"/>
                          <w:spacing w:line="240" w:lineRule="auto" w:before="41"/>
                          <w:ind w:right="105"/>
                          <w:jc w:val="right"/>
                          <w:rPr>
                            <w:rFonts w:ascii="宋体" w:hAnsi="宋体" w:cs="宋体" w:eastAsia="宋体" w:hint="default"/>
                            <w:sz w:val="16"/>
                            <w:szCs w:val="16"/>
                          </w:rPr>
                        </w:pPr>
                        <w:r>
                          <w:rPr>
                            <w:rFonts w:ascii="宋体" w:hAnsi="宋体" w:cs="宋体" w:eastAsia="宋体" w:hint="default"/>
                            <w:sz w:val="16"/>
                            <w:szCs w:val="16"/>
                          </w:rPr>
                          <w:t>直接</w:t>
                        </w:r>
                      </w:p>
                    </w:tc>
                    <w:tc>
                      <w:tcPr>
                        <w:tcW w:w="563" w:type="dxa"/>
                        <w:tcBorders>
                          <w:top w:val="nil" w:sz="6" w:space="0" w:color="auto"/>
                          <w:left w:val="nil" w:sz="6" w:space="0" w:color="auto"/>
                          <w:bottom w:val="single" w:sz="6" w:space="0" w:color="000000"/>
                          <w:right w:val="nil" w:sz="6" w:space="0" w:color="auto"/>
                        </w:tcBorders>
                      </w:tcPr>
                      <w:p>
                        <w:pPr>
                          <w:pStyle w:val="TableParagraph"/>
                          <w:spacing w:line="240" w:lineRule="auto" w:before="41"/>
                          <w:ind w:left="129" w:right="0"/>
                          <w:jc w:val="center"/>
                          <w:rPr>
                            <w:rFonts w:ascii="宋体" w:hAnsi="宋体" w:cs="宋体" w:eastAsia="宋体" w:hint="default"/>
                            <w:sz w:val="16"/>
                            <w:szCs w:val="16"/>
                          </w:rPr>
                        </w:pPr>
                        <w:r>
                          <w:rPr>
                            <w:rFonts w:ascii="宋体" w:hAnsi="宋体" w:cs="宋体" w:eastAsia="宋体" w:hint="default"/>
                            <w:sz w:val="16"/>
                            <w:szCs w:val="16"/>
                          </w:rPr>
                          <w:t>间接</w:t>
                        </w:r>
                      </w:p>
                    </w:tc>
                  </w:tr>
                  <w:tr>
                    <w:trPr>
                      <w:trHeight w:val="550" w:hRule="exact"/>
                    </w:trPr>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3"/>
                            <w:szCs w:val="13"/>
                          </w:rPr>
                        </w:pPr>
                      </w:p>
                      <w:p>
                        <w:pPr>
                          <w:pStyle w:val="TableParagraph"/>
                          <w:spacing w:line="240" w:lineRule="auto"/>
                          <w:ind w:right="54"/>
                          <w:jc w:val="right"/>
                          <w:rPr>
                            <w:rFonts w:ascii="宋体" w:hAnsi="宋体" w:cs="宋体" w:eastAsia="宋体" w:hint="default"/>
                            <w:sz w:val="16"/>
                            <w:szCs w:val="16"/>
                          </w:rPr>
                        </w:pPr>
                        <w:r>
                          <w:rPr>
                            <w:rFonts w:ascii="宋体"/>
                            <w:sz w:val="16"/>
                          </w:rPr>
                          <w:t>550,000</w:t>
                        </w:r>
                      </w:p>
                    </w:tc>
                    <w:tc>
                      <w:tcPr>
                        <w:tcW w:w="646" w:type="dxa"/>
                        <w:tcBorders>
                          <w:top w:val="single" w:sz="6"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05"/>
                          <w:jc w:val="right"/>
                          <w:rPr>
                            <w:rFonts w:ascii="宋体" w:hAnsi="宋体" w:cs="宋体" w:eastAsia="宋体" w:hint="default"/>
                            <w:sz w:val="16"/>
                            <w:szCs w:val="16"/>
                          </w:rPr>
                        </w:pPr>
                        <w:r>
                          <w:rPr>
                            <w:rFonts w:ascii="宋体"/>
                            <w:w w:val="131"/>
                            <w:sz w:val="16"/>
                          </w:rPr>
                          <w:t>-</w:t>
                        </w:r>
                        <w:r>
                          <w:rPr>
                            <w:rFonts w:ascii="宋体"/>
                            <w:sz w:val="16"/>
                          </w:rPr>
                        </w:r>
                      </w:p>
                    </w:tc>
                    <w:tc>
                      <w:tcPr>
                        <w:tcW w:w="563" w:type="dxa"/>
                        <w:tcBorders>
                          <w:top w:val="single" w:sz="6" w:space="0" w:color="000000"/>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50" w:right="0"/>
                          <w:jc w:val="center"/>
                          <w:rPr>
                            <w:rFonts w:ascii="宋体" w:hAnsi="宋体" w:cs="宋体" w:eastAsia="宋体" w:hint="default"/>
                            <w:sz w:val="16"/>
                            <w:szCs w:val="16"/>
                          </w:rPr>
                        </w:pPr>
                        <w:r>
                          <w:rPr>
                            <w:rFonts w:ascii="宋体"/>
                            <w:sz w:val="16"/>
                          </w:rPr>
                          <w:t>43.94</w:t>
                        </w:r>
                      </w:p>
                    </w:tc>
                  </w:tr>
                  <w:tr>
                    <w:trPr>
                      <w:trHeight w:val="473" w:hRule="exact"/>
                    </w:trPr>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100,000</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5"/>
                          <w:jc w:val="right"/>
                          <w:rPr>
                            <w:rFonts w:ascii="宋体" w:hAnsi="宋体" w:cs="宋体" w:eastAsia="宋体" w:hint="default"/>
                            <w:sz w:val="16"/>
                            <w:szCs w:val="16"/>
                          </w:rPr>
                        </w:pPr>
                        <w:r>
                          <w:rPr>
                            <w:rFonts w:ascii="宋体"/>
                            <w:w w:val="131"/>
                            <w:sz w:val="16"/>
                          </w:rPr>
                          <w:t>-</w:t>
                        </w:r>
                        <w:r>
                          <w:rPr>
                            <w:rFonts w:ascii="宋体"/>
                            <w:sz w:val="16"/>
                          </w:rPr>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51" w:right="0"/>
                          <w:jc w:val="center"/>
                          <w:rPr>
                            <w:rFonts w:ascii="宋体" w:hAnsi="宋体" w:cs="宋体" w:eastAsia="宋体" w:hint="default"/>
                            <w:sz w:val="16"/>
                            <w:szCs w:val="16"/>
                          </w:rPr>
                        </w:pPr>
                        <w:r>
                          <w:rPr>
                            <w:rFonts w:ascii="宋体"/>
                            <w:sz w:val="16"/>
                          </w:rPr>
                          <w:t>43.94</w:t>
                        </w:r>
                      </w:p>
                    </w:tc>
                  </w:tr>
                  <w:tr>
                    <w:trPr>
                      <w:trHeight w:val="473" w:hRule="exact"/>
                    </w:trPr>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4"/>
                          <w:jc w:val="right"/>
                          <w:rPr>
                            <w:rFonts w:ascii="宋体" w:hAnsi="宋体" w:cs="宋体" w:eastAsia="宋体" w:hint="default"/>
                            <w:sz w:val="16"/>
                            <w:szCs w:val="16"/>
                          </w:rPr>
                        </w:pPr>
                        <w:r>
                          <w:rPr>
                            <w:rFonts w:ascii="宋体"/>
                            <w:sz w:val="16"/>
                          </w:rPr>
                          <w:t>20,000</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5"/>
                          <w:jc w:val="right"/>
                          <w:rPr>
                            <w:rFonts w:ascii="宋体" w:hAnsi="宋体" w:cs="宋体" w:eastAsia="宋体" w:hint="default"/>
                            <w:sz w:val="16"/>
                            <w:szCs w:val="16"/>
                          </w:rPr>
                        </w:pPr>
                        <w:r>
                          <w:rPr>
                            <w:rFonts w:ascii="宋体"/>
                            <w:w w:val="131"/>
                            <w:sz w:val="16"/>
                          </w:rPr>
                          <w:t>-</w:t>
                        </w:r>
                        <w:r>
                          <w:rPr>
                            <w:rFonts w:ascii="宋体"/>
                            <w:sz w:val="16"/>
                          </w:rPr>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51" w:right="0"/>
                          <w:jc w:val="center"/>
                          <w:rPr>
                            <w:rFonts w:ascii="宋体" w:hAnsi="宋体" w:cs="宋体" w:eastAsia="宋体" w:hint="default"/>
                            <w:sz w:val="16"/>
                            <w:szCs w:val="16"/>
                          </w:rPr>
                        </w:pPr>
                        <w:r>
                          <w:rPr>
                            <w:rFonts w:ascii="宋体"/>
                            <w:sz w:val="16"/>
                          </w:rPr>
                          <w:t>43.94</w:t>
                        </w:r>
                      </w:p>
                    </w:tc>
                  </w:tr>
                  <w:tr>
                    <w:trPr>
                      <w:trHeight w:val="317" w:hRule="exact"/>
                    </w:trPr>
                    <w:tc>
                      <w:tcPr>
                        <w:tcW w:w="669"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3"/>
                          <w:jc w:val="right"/>
                          <w:rPr>
                            <w:rFonts w:ascii="宋体" w:hAnsi="宋体" w:cs="宋体" w:eastAsia="宋体" w:hint="default"/>
                            <w:sz w:val="16"/>
                            <w:szCs w:val="16"/>
                          </w:rPr>
                        </w:pPr>
                        <w:r>
                          <w:rPr>
                            <w:rFonts w:ascii="宋体"/>
                            <w:sz w:val="16"/>
                          </w:rPr>
                          <w:t>264,227</w:t>
                        </w:r>
                      </w:p>
                    </w:tc>
                    <w:tc>
                      <w:tcPr>
                        <w:tcW w:w="646"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05"/>
                          <w:jc w:val="right"/>
                          <w:rPr>
                            <w:rFonts w:ascii="宋体" w:hAnsi="宋体" w:cs="宋体" w:eastAsia="宋体" w:hint="default"/>
                            <w:sz w:val="16"/>
                            <w:szCs w:val="16"/>
                          </w:rPr>
                        </w:pPr>
                        <w:r>
                          <w:rPr>
                            <w:rFonts w:ascii="宋体"/>
                            <w:w w:val="131"/>
                            <w:sz w:val="16"/>
                          </w:rPr>
                          <w:t>-</w:t>
                        </w:r>
                        <w:r>
                          <w:rPr>
                            <w:rFonts w:ascii="宋体"/>
                            <w:sz w:val="16"/>
                          </w:rPr>
                        </w:r>
                      </w:p>
                    </w:tc>
                    <w:tc>
                      <w:tcPr>
                        <w:tcW w:w="563" w:type="dxa"/>
                        <w:tcBorders>
                          <w:top w:val="nil" w:sz="6" w:space="0" w:color="auto"/>
                          <w:left w:val="nil" w:sz="6" w:space="0" w:color="auto"/>
                          <w:bottom w:val="nil" w:sz="6" w:space="0" w:color="auto"/>
                          <w:right w:val="nil" w:sz="6" w:space="0" w:color="auto"/>
                        </w:tcBorders>
                      </w:tcPr>
                      <w:p>
                        <w:pPr>
                          <w:pStyle w:val="TableParagraph"/>
                          <w:spacing w:line="240" w:lineRule="auto" w:before="95"/>
                          <w:ind w:left="51" w:right="0"/>
                          <w:jc w:val="center"/>
                          <w:rPr>
                            <w:rFonts w:ascii="宋体" w:hAnsi="宋体" w:cs="宋体" w:eastAsia="宋体" w:hint="default"/>
                            <w:sz w:val="16"/>
                            <w:szCs w:val="16"/>
                          </w:rPr>
                        </w:pPr>
                        <w:r>
                          <w:rPr>
                            <w:rFonts w:ascii="宋体"/>
                            <w:sz w:val="16"/>
                          </w:rPr>
                          <w:t>43.94</w:t>
                        </w:r>
                      </w:p>
                    </w:tc>
                  </w:tr>
                </w:tbl>
                <w:p>
                  <w:pPr/>
                </w:p>
              </w:txbxContent>
            </v:textbox>
            <w10:wrap type="none"/>
          </v:shape>
        </w:pict>
      </w:r>
      <w:r>
        <w:rPr>
          <w:rFonts w:ascii="宋体" w:hAnsi="宋体" w:cs="宋体" w:eastAsia="宋体" w:hint="default"/>
          <w:sz w:val="16"/>
          <w:szCs w:val="16"/>
        </w:rPr>
        <w:t>信息及 系统集成业务</w:t>
      </w:r>
    </w:p>
    <w:p>
      <w:pPr>
        <w:spacing w:line="200" w:lineRule="exact" w:before="73"/>
        <w:ind w:left="511" w:right="2352" w:firstLine="320"/>
        <w:jc w:val="left"/>
        <w:rPr>
          <w:rFonts w:ascii="宋体" w:hAnsi="宋体" w:cs="宋体" w:eastAsia="宋体" w:hint="default"/>
          <w:sz w:val="16"/>
          <w:szCs w:val="16"/>
        </w:rPr>
      </w:pPr>
      <w:r>
        <w:rPr>
          <w:rFonts w:ascii="宋体" w:hAnsi="宋体" w:cs="宋体" w:eastAsia="宋体" w:hint="default"/>
          <w:sz w:val="16"/>
          <w:szCs w:val="16"/>
        </w:rPr>
        <w:t>互联网及 电信增值业务</w:t>
      </w:r>
    </w:p>
    <w:p>
      <w:pPr>
        <w:spacing w:after="0" w:line="200" w:lineRule="exact"/>
        <w:jc w:val="left"/>
        <w:rPr>
          <w:rFonts w:ascii="宋体" w:hAnsi="宋体" w:cs="宋体" w:eastAsia="宋体" w:hint="default"/>
          <w:sz w:val="16"/>
          <w:szCs w:val="16"/>
        </w:rPr>
        <w:sectPr>
          <w:type w:val="continuous"/>
          <w:pgSz w:w="11910" w:h="16160"/>
          <w:pgMar w:top="1520" w:bottom="280" w:left="1360" w:right="660"/>
          <w:cols w:num="2" w:equalWidth="0">
            <w:col w:w="5789" w:space="252"/>
            <w:col w:w="3849"/>
          </w:cols>
        </w:sectPr>
      </w:pPr>
    </w:p>
    <w:p>
      <w:pPr>
        <w:tabs>
          <w:tab w:pos="3612" w:val="left" w:leader="none"/>
          <w:tab w:pos="4828" w:val="left" w:leader="none"/>
          <w:tab w:pos="6872" w:val="left" w:leader="none"/>
        </w:tabs>
        <w:spacing w:line="248" w:lineRule="exact" w:before="0"/>
        <w:ind w:left="511" w:right="125" w:firstLine="0"/>
        <w:jc w:val="left"/>
        <w:rPr>
          <w:rFonts w:ascii="宋体" w:hAnsi="宋体" w:cs="宋体" w:eastAsia="宋体" w:hint="default"/>
          <w:sz w:val="16"/>
          <w:szCs w:val="16"/>
        </w:rPr>
      </w:pPr>
      <w:r>
        <w:rPr>
          <w:rFonts w:ascii="宋体" w:hAnsi="宋体" w:cs="宋体" w:eastAsia="宋体" w:hint="default"/>
          <w:position w:val="-9"/>
          <w:sz w:val="16"/>
          <w:szCs w:val="16"/>
        </w:rPr>
        <w:t>（“沃数媒”）</w:t>
        <w:tab/>
      </w:r>
      <w:r>
        <w:rPr>
          <w:rFonts w:ascii="宋体" w:hAnsi="宋体" w:cs="宋体" w:eastAsia="宋体" w:hint="default"/>
          <w:sz w:val="16"/>
          <w:szCs w:val="16"/>
        </w:rPr>
        <w:t>中国，北京市</w:t>
        <w:tab/>
        <w:t>中国，北京市</w:t>
        <w:tab/>
        <w:t>商务服务</w:t>
      </w:r>
    </w:p>
    <w:p>
      <w:pPr>
        <w:spacing w:after="0" w:line="248" w:lineRule="exact"/>
        <w:jc w:val="left"/>
        <w:rPr>
          <w:rFonts w:ascii="宋体" w:hAnsi="宋体" w:cs="宋体" w:eastAsia="宋体" w:hint="default"/>
          <w:sz w:val="16"/>
          <w:szCs w:val="16"/>
        </w:rPr>
        <w:sectPr>
          <w:type w:val="continuous"/>
          <w:pgSz w:w="11910" w:h="16160"/>
          <w:pgMar w:top="1520" w:bottom="280" w:left="1360" w:right="660"/>
        </w:sectPr>
      </w:pPr>
    </w:p>
    <w:p>
      <w:pPr>
        <w:spacing w:line="15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北京电信规划设计院有限公司</w:t>
      </w:r>
    </w:p>
    <w:p>
      <w:pPr>
        <w:tabs>
          <w:tab w:pos="3612" w:val="left" w:leader="none"/>
          <w:tab w:pos="4828" w:val="left" w:leader="none"/>
        </w:tabs>
        <w:spacing w:line="255" w:lineRule="exact" w:before="0"/>
        <w:ind w:left="511" w:right="-20" w:firstLine="0"/>
        <w:jc w:val="left"/>
        <w:rPr>
          <w:rFonts w:ascii="宋体" w:hAnsi="宋体" w:cs="宋体" w:eastAsia="宋体" w:hint="default"/>
          <w:sz w:val="16"/>
          <w:szCs w:val="16"/>
        </w:rPr>
      </w:pPr>
      <w:r>
        <w:rPr>
          <w:rFonts w:ascii="宋体" w:hAnsi="宋体" w:cs="宋体" w:eastAsia="宋体" w:hint="default"/>
          <w:position w:val="-9"/>
          <w:sz w:val="16"/>
          <w:szCs w:val="16"/>
        </w:rPr>
        <w:t>（“规划设计院”）</w:t>
        <w:tab/>
      </w:r>
      <w:r>
        <w:rPr>
          <w:rFonts w:ascii="宋体" w:hAnsi="宋体" w:cs="宋体" w:eastAsia="宋体" w:hint="default"/>
          <w:sz w:val="16"/>
          <w:szCs w:val="16"/>
        </w:rPr>
        <w:t>中国，北京市</w:t>
        <w:tab/>
        <w:t>中国，北京市</w:t>
      </w:r>
    </w:p>
    <w:p>
      <w:pPr>
        <w:spacing w:line="161"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中国联通（香港）运营有限公司</w:t>
      </w:r>
    </w:p>
    <w:p>
      <w:pPr>
        <w:spacing w:line="200" w:lineRule="exact" w:before="91"/>
        <w:ind w:left="511" w:right="2352" w:firstLine="160"/>
        <w:jc w:val="left"/>
        <w:rPr>
          <w:rFonts w:ascii="宋体" w:hAnsi="宋体" w:cs="宋体" w:eastAsia="宋体" w:hint="default"/>
          <w:sz w:val="16"/>
          <w:szCs w:val="16"/>
        </w:rPr>
      </w:pPr>
      <w:r>
        <w:rPr/>
        <w:br w:type="column"/>
      </w:r>
      <w:r>
        <w:rPr>
          <w:rFonts w:ascii="宋体" w:hAnsi="宋体" w:cs="宋体" w:eastAsia="宋体" w:hint="default"/>
          <w:sz w:val="16"/>
          <w:szCs w:val="16"/>
        </w:rPr>
        <w:t>勘察设计 及咨询服务</w:t>
      </w:r>
    </w:p>
    <w:p>
      <w:pPr>
        <w:spacing w:line="161" w:lineRule="exact" w:before="46"/>
        <w:ind w:left="1944" w:right="1379" w:firstLine="0"/>
        <w:jc w:val="center"/>
        <w:rPr>
          <w:rFonts w:ascii="宋体" w:hAnsi="宋体" w:cs="宋体" w:eastAsia="宋体" w:hint="default"/>
          <w:sz w:val="16"/>
          <w:szCs w:val="16"/>
        </w:rPr>
      </w:pPr>
      <w:r>
        <w:rPr>
          <w:rFonts w:ascii="宋体" w:hAnsi="宋体" w:cs="宋体" w:eastAsia="宋体" w:hint="default"/>
          <w:sz w:val="16"/>
          <w:szCs w:val="16"/>
        </w:rPr>
        <w:t>港币</w:t>
      </w:r>
    </w:p>
    <w:p>
      <w:pPr>
        <w:spacing w:after="0" w:line="161" w:lineRule="exact"/>
        <w:jc w:val="center"/>
        <w:rPr>
          <w:rFonts w:ascii="宋体" w:hAnsi="宋体" w:cs="宋体" w:eastAsia="宋体" w:hint="default"/>
          <w:sz w:val="16"/>
          <w:szCs w:val="16"/>
        </w:rPr>
        <w:sectPr>
          <w:type w:val="continuous"/>
          <w:pgSz w:w="11910" w:h="16160"/>
          <w:pgMar w:top="1520" w:bottom="280" w:left="1360" w:right="660"/>
          <w:cols w:num="2" w:equalWidth="0">
            <w:col w:w="5789" w:space="412"/>
            <w:col w:w="3689"/>
          </w:cols>
        </w:sectPr>
      </w:pPr>
    </w:p>
    <w:p>
      <w:pPr>
        <w:tabs>
          <w:tab w:pos="3692" w:val="left" w:leader="none"/>
          <w:tab w:pos="4909" w:val="left" w:leader="none"/>
          <w:tab w:pos="6873" w:val="left" w:leader="none"/>
        </w:tabs>
        <w:spacing w:line="248" w:lineRule="exact" w:before="0"/>
        <w:ind w:left="511" w:right="-20" w:firstLine="0"/>
        <w:jc w:val="left"/>
        <w:rPr>
          <w:rFonts w:ascii="宋体" w:hAnsi="宋体" w:cs="宋体" w:eastAsia="宋体" w:hint="default"/>
          <w:sz w:val="16"/>
          <w:szCs w:val="16"/>
        </w:rPr>
      </w:pPr>
      <w:r>
        <w:rPr>
          <w:rFonts w:ascii="宋体" w:hAnsi="宋体" w:cs="宋体" w:eastAsia="宋体" w:hint="default"/>
          <w:position w:val="-9"/>
          <w:sz w:val="16"/>
          <w:szCs w:val="16"/>
        </w:rPr>
        <w:t>（“联通香港运营”）</w:t>
        <w:tab/>
      </w:r>
      <w:r>
        <w:rPr>
          <w:rFonts w:ascii="宋体" w:hAnsi="宋体" w:cs="宋体" w:eastAsia="宋体" w:hint="default"/>
          <w:sz w:val="16"/>
          <w:szCs w:val="16"/>
        </w:rPr>
        <w:t>中国，香港</w:t>
        <w:tab/>
        <w:t>中国，香港</w:t>
        <w:tab/>
        <w:t>电信业务</w:t>
      </w:r>
    </w:p>
    <w:p>
      <w:pPr>
        <w:spacing w:line="161"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中国联通（美洲）运营有限公司</w:t>
      </w:r>
    </w:p>
    <w:p>
      <w:pPr>
        <w:tabs>
          <w:tab w:pos="1423" w:val="left" w:leader="none"/>
          <w:tab w:pos="1743" w:val="left" w:leader="none"/>
        </w:tabs>
        <w:spacing w:line="248" w:lineRule="exact" w:before="0"/>
        <w:ind w:left="223" w:right="0" w:firstLine="0"/>
        <w:jc w:val="left"/>
        <w:rPr>
          <w:rFonts w:ascii="宋体" w:hAnsi="宋体" w:cs="宋体" w:eastAsia="宋体" w:hint="default"/>
          <w:sz w:val="16"/>
          <w:szCs w:val="16"/>
        </w:rPr>
      </w:pPr>
      <w:r>
        <w:rPr>
          <w:w w:val="95"/>
        </w:rPr>
        <w:br w:type="column"/>
      </w:r>
      <w:r>
        <w:rPr>
          <w:rFonts w:ascii="宋体"/>
          <w:w w:val="95"/>
          <w:sz w:val="16"/>
        </w:rPr>
        <w:t>1,510,100</w:t>
        <w:tab/>
      </w:r>
      <w:r>
        <w:rPr>
          <w:rFonts w:ascii="宋体"/>
          <w:w w:val="105"/>
          <w:position w:val="10"/>
          <w:sz w:val="16"/>
        </w:rPr>
        <w:t>-</w:t>
        <w:tab/>
        <w:t>43.94</w:t>
      </w:r>
      <w:r>
        <w:rPr>
          <w:rFonts w:ascii="宋体"/>
          <w:sz w:val="16"/>
        </w:rPr>
      </w:r>
    </w:p>
    <w:p>
      <w:pPr>
        <w:spacing w:after="0" w:line="248" w:lineRule="exact"/>
        <w:jc w:val="left"/>
        <w:rPr>
          <w:rFonts w:ascii="宋体" w:hAnsi="宋体" w:cs="宋体" w:eastAsia="宋体" w:hint="default"/>
          <w:sz w:val="16"/>
          <w:szCs w:val="16"/>
        </w:rPr>
        <w:sectPr>
          <w:type w:val="continuous"/>
          <w:pgSz w:w="11910" w:h="16160"/>
          <w:pgMar w:top="1520" w:bottom="280" w:left="1360" w:right="660"/>
          <w:cols w:num="2" w:equalWidth="0">
            <w:col w:w="7514" w:space="40"/>
            <w:col w:w="2336"/>
          </w:cols>
        </w:sectPr>
      </w:pPr>
    </w:p>
    <w:p>
      <w:pPr>
        <w:tabs>
          <w:tab w:pos="3932" w:val="left" w:leader="none"/>
          <w:tab w:pos="5149" w:val="left" w:leader="none"/>
          <w:tab w:pos="6873" w:val="left" w:leader="none"/>
          <w:tab w:pos="7860" w:val="left" w:leader="none"/>
          <w:tab w:pos="8976" w:val="left" w:leader="none"/>
          <w:tab w:pos="9296" w:val="left" w:leader="none"/>
        </w:tabs>
        <w:spacing w:line="248" w:lineRule="exact" w:before="0"/>
        <w:ind w:left="511" w:right="125" w:firstLine="0"/>
        <w:jc w:val="left"/>
        <w:rPr>
          <w:rFonts w:ascii="宋体" w:hAnsi="宋体" w:cs="宋体" w:eastAsia="宋体" w:hint="default"/>
          <w:sz w:val="16"/>
          <w:szCs w:val="16"/>
        </w:rPr>
      </w:pPr>
      <w:r>
        <w:rPr>
          <w:rFonts w:ascii="宋体" w:hAnsi="宋体" w:cs="宋体" w:eastAsia="宋体" w:hint="default"/>
          <w:position w:val="-9"/>
          <w:sz w:val="16"/>
          <w:szCs w:val="16"/>
        </w:rPr>
        <w:t>（“联通美洲运营”）</w:t>
        <w:tab/>
      </w:r>
      <w:r>
        <w:rPr>
          <w:rFonts w:ascii="宋体" w:hAnsi="宋体" w:cs="宋体" w:eastAsia="宋体" w:hint="default"/>
          <w:sz w:val="16"/>
          <w:szCs w:val="16"/>
        </w:rPr>
        <w:t>美国</w:t>
        <w:tab/>
        <w:t>美国</w:t>
        <w:tab/>
        <w:t>电信业务</w:t>
        <w:tab/>
      </w:r>
      <w:r>
        <w:rPr>
          <w:rFonts w:ascii="宋体" w:hAnsi="宋体" w:cs="宋体" w:eastAsia="宋体" w:hint="default"/>
          <w:w w:val="105"/>
          <w:sz w:val="16"/>
          <w:szCs w:val="16"/>
        </w:rPr>
        <w:t>美元</w:t>
      </w:r>
      <w:r>
        <w:rPr>
          <w:rFonts w:ascii="宋体" w:hAnsi="宋体" w:cs="宋体" w:eastAsia="宋体" w:hint="default"/>
          <w:spacing w:val="-46"/>
          <w:w w:val="105"/>
          <w:sz w:val="16"/>
          <w:szCs w:val="16"/>
        </w:rPr>
        <w:t> </w:t>
      </w:r>
      <w:r>
        <w:rPr>
          <w:rFonts w:ascii="宋体" w:hAnsi="宋体" w:cs="宋体" w:eastAsia="宋体" w:hint="default"/>
          <w:w w:val="105"/>
          <w:sz w:val="16"/>
          <w:szCs w:val="16"/>
        </w:rPr>
        <w:t>500</w:t>
        <w:tab/>
        <w:t>-</w:t>
        <w:tab/>
        <w:t>43.94</w:t>
      </w:r>
      <w:r>
        <w:rPr>
          <w:rFonts w:ascii="宋体" w:hAnsi="宋体" w:cs="宋体" w:eastAsia="宋体" w:hint="default"/>
          <w:sz w:val="16"/>
          <w:szCs w:val="16"/>
        </w:rPr>
      </w:r>
    </w:p>
    <w:p>
      <w:pPr>
        <w:spacing w:line="155" w:lineRule="exact" w:before="64"/>
        <w:ind w:left="511" w:right="125" w:firstLine="0"/>
        <w:jc w:val="left"/>
        <w:rPr>
          <w:rFonts w:ascii="宋体" w:hAnsi="宋体" w:cs="宋体" w:eastAsia="宋体" w:hint="default"/>
          <w:sz w:val="16"/>
          <w:szCs w:val="16"/>
        </w:rPr>
      </w:pPr>
      <w:r>
        <w:rPr>
          <w:rFonts w:ascii="宋体" w:hAnsi="宋体" w:cs="宋体" w:eastAsia="宋体" w:hint="default"/>
          <w:sz w:val="16"/>
          <w:szCs w:val="16"/>
        </w:rPr>
        <w:t>中国联通（欧洲）运营有限公司</w:t>
      </w:r>
    </w:p>
    <w:p>
      <w:pPr>
        <w:tabs>
          <w:tab w:pos="3932" w:val="left" w:leader="none"/>
          <w:tab w:pos="5149" w:val="left" w:leader="none"/>
          <w:tab w:pos="6873" w:val="left" w:leader="none"/>
          <w:tab w:pos="7727" w:val="left" w:leader="none"/>
          <w:tab w:pos="8976" w:val="left" w:leader="none"/>
          <w:tab w:pos="9296" w:val="left" w:leader="none"/>
        </w:tabs>
        <w:spacing w:line="255" w:lineRule="exact" w:before="0"/>
        <w:ind w:left="511" w:right="125" w:firstLine="0"/>
        <w:jc w:val="left"/>
        <w:rPr>
          <w:rFonts w:ascii="宋体" w:hAnsi="宋体" w:cs="宋体" w:eastAsia="宋体" w:hint="default"/>
          <w:sz w:val="16"/>
          <w:szCs w:val="16"/>
        </w:rPr>
      </w:pPr>
      <w:r>
        <w:rPr>
          <w:rFonts w:ascii="宋体" w:hAnsi="宋体" w:cs="宋体" w:eastAsia="宋体" w:hint="default"/>
          <w:position w:val="-9"/>
          <w:sz w:val="16"/>
          <w:szCs w:val="16"/>
        </w:rPr>
        <w:t>（“联通欧洲运营”）</w:t>
        <w:tab/>
      </w:r>
      <w:r>
        <w:rPr>
          <w:rFonts w:ascii="宋体" w:hAnsi="宋体" w:cs="宋体" w:eastAsia="宋体" w:hint="default"/>
          <w:sz w:val="16"/>
          <w:szCs w:val="16"/>
        </w:rPr>
        <w:t>英国</w:t>
        <w:tab/>
        <w:t>英国</w:t>
        <w:tab/>
        <w:t>电信业务</w:t>
        <w:tab/>
        <w:t>英镑</w:t>
      </w:r>
      <w:r>
        <w:rPr>
          <w:rFonts w:ascii="宋体" w:hAnsi="宋体" w:cs="宋体" w:eastAsia="宋体" w:hint="default"/>
          <w:spacing w:val="-41"/>
          <w:sz w:val="16"/>
          <w:szCs w:val="16"/>
        </w:rPr>
        <w:t> </w:t>
      </w:r>
      <w:r>
        <w:rPr>
          <w:rFonts w:ascii="宋体" w:hAnsi="宋体" w:cs="宋体" w:eastAsia="宋体" w:hint="default"/>
          <w:sz w:val="16"/>
          <w:szCs w:val="16"/>
        </w:rPr>
        <w:t>4,861</w:t>
        <w:tab/>
      </w:r>
      <w:r>
        <w:rPr>
          <w:rFonts w:ascii="宋体" w:hAnsi="宋体" w:cs="宋体" w:eastAsia="宋体" w:hint="default"/>
          <w:w w:val="105"/>
          <w:sz w:val="16"/>
          <w:szCs w:val="16"/>
        </w:rPr>
        <w:t>-</w:t>
        <w:tab/>
        <w:t>43.94</w:t>
      </w:r>
      <w:r>
        <w:rPr>
          <w:rFonts w:ascii="宋体" w:hAnsi="宋体" w:cs="宋体" w:eastAsia="宋体" w:hint="default"/>
          <w:sz w:val="16"/>
          <w:szCs w:val="16"/>
        </w:rPr>
      </w:r>
    </w:p>
    <w:p>
      <w:pPr>
        <w:spacing w:after="0" w:line="255" w:lineRule="exact"/>
        <w:jc w:val="left"/>
        <w:rPr>
          <w:rFonts w:ascii="宋体" w:hAnsi="宋体" w:cs="宋体" w:eastAsia="宋体" w:hint="default"/>
          <w:sz w:val="16"/>
          <w:szCs w:val="16"/>
        </w:rPr>
        <w:sectPr>
          <w:type w:val="continuous"/>
          <w:pgSz w:w="11910" w:h="16160"/>
          <w:pgMar w:top="1520" w:bottom="280" w:left="1360" w:right="660"/>
        </w:sectPr>
      </w:pPr>
    </w:p>
    <w:p>
      <w:pPr>
        <w:spacing w:line="155" w:lineRule="exact" w:before="64"/>
        <w:ind w:left="511" w:right="-20" w:firstLine="0"/>
        <w:jc w:val="left"/>
        <w:rPr>
          <w:rFonts w:ascii="宋体" w:hAnsi="宋体" w:cs="宋体" w:eastAsia="宋体" w:hint="default"/>
          <w:sz w:val="16"/>
          <w:szCs w:val="16"/>
        </w:rPr>
      </w:pPr>
      <w:r>
        <w:rPr>
          <w:rFonts w:ascii="宋体" w:hAnsi="宋体" w:cs="宋体" w:eastAsia="宋体" w:hint="default"/>
          <w:sz w:val="16"/>
          <w:szCs w:val="16"/>
        </w:rPr>
        <w:t>中国联通（日本）运营有限公司</w:t>
      </w:r>
    </w:p>
    <w:p>
      <w:pPr>
        <w:tabs>
          <w:tab w:pos="3933" w:val="left" w:leader="none"/>
          <w:tab w:pos="5149" w:val="left" w:leader="none"/>
          <w:tab w:pos="6873" w:val="left" w:leader="none"/>
        </w:tabs>
        <w:spacing w:line="255" w:lineRule="exact" w:before="0"/>
        <w:ind w:left="511" w:right="-20" w:firstLine="0"/>
        <w:jc w:val="left"/>
        <w:rPr>
          <w:rFonts w:ascii="宋体" w:hAnsi="宋体" w:cs="宋体" w:eastAsia="宋体" w:hint="default"/>
          <w:sz w:val="16"/>
          <w:szCs w:val="16"/>
        </w:rPr>
      </w:pPr>
      <w:r>
        <w:rPr>
          <w:rFonts w:ascii="宋体" w:hAnsi="宋体" w:cs="宋体" w:eastAsia="宋体" w:hint="default"/>
          <w:sz w:val="16"/>
          <w:szCs w:val="16"/>
        </w:rPr>
        <w:t>（“联通日本运营”）</w:t>
        <w:tab/>
      </w:r>
      <w:r>
        <w:rPr>
          <w:rFonts w:ascii="宋体" w:hAnsi="宋体" w:cs="宋体" w:eastAsia="宋体" w:hint="default"/>
          <w:position w:val="10"/>
          <w:sz w:val="16"/>
          <w:szCs w:val="16"/>
        </w:rPr>
        <w:t>日本</w:t>
        <w:tab/>
        <w:t>日本</w:t>
        <w:tab/>
        <w:t>电信业务</w:t>
      </w:r>
      <w:r>
        <w:rPr>
          <w:rFonts w:ascii="宋体" w:hAnsi="宋体" w:cs="宋体" w:eastAsia="宋体" w:hint="default"/>
          <w:sz w:val="16"/>
          <w:szCs w:val="16"/>
        </w:rPr>
      </w:r>
    </w:p>
    <w:p>
      <w:pPr>
        <w:spacing w:line="155" w:lineRule="exact" w:before="64"/>
        <w:ind w:left="613"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日元</w:t>
      </w:r>
    </w:p>
    <w:p>
      <w:pPr>
        <w:tabs>
          <w:tab w:pos="1423" w:val="left" w:leader="none"/>
          <w:tab w:pos="1743" w:val="left" w:leader="none"/>
        </w:tabs>
        <w:spacing w:line="255" w:lineRule="exact" w:before="0"/>
        <w:ind w:left="356" w:right="0" w:firstLine="0"/>
        <w:jc w:val="left"/>
        <w:rPr>
          <w:rFonts w:ascii="宋体" w:hAnsi="宋体" w:cs="宋体" w:eastAsia="宋体" w:hint="default"/>
          <w:sz w:val="16"/>
          <w:szCs w:val="16"/>
        </w:rPr>
      </w:pPr>
      <w:r>
        <w:rPr>
          <w:rFonts w:ascii="宋体"/>
          <w:sz w:val="16"/>
        </w:rPr>
        <w:t>366,000</w:t>
        <w:tab/>
      </w:r>
      <w:r>
        <w:rPr>
          <w:rFonts w:ascii="宋体"/>
          <w:w w:val="110"/>
          <w:position w:val="10"/>
          <w:sz w:val="16"/>
        </w:rPr>
        <w:t>-</w:t>
        <w:tab/>
        <w:t>43.94</w:t>
      </w:r>
      <w:r>
        <w:rPr>
          <w:rFonts w:ascii="宋体"/>
          <w:sz w:val="16"/>
        </w:rPr>
      </w:r>
    </w:p>
    <w:p>
      <w:pPr>
        <w:spacing w:after="0" w:line="255" w:lineRule="exact"/>
        <w:jc w:val="left"/>
        <w:rPr>
          <w:rFonts w:ascii="宋体" w:hAnsi="宋体" w:cs="宋体" w:eastAsia="宋体" w:hint="default"/>
          <w:sz w:val="16"/>
          <w:szCs w:val="16"/>
        </w:rPr>
        <w:sectPr>
          <w:type w:val="continuous"/>
          <w:pgSz w:w="11910" w:h="16160"/>
          <w:pgMar w:top="1520" w:bottom="280" w:left="1360" w:right="660"/>
          <w:cols w:num="2" w:equalWidth="0">
            <w:col w:w="7514" w:space="40"/>
            <w:col w:w="2336"/>
          </w:cols>
        </w:sectPr>
      </w:pPr>
    </w:p>
    <w:p>
      <w:pPr>
        <w:spacing w:before="64"/>
        <w:ind w:left="512" w:right="-20" w:firstLine="0"/>
        <w:jc w:val="left"/>
        <w:rPr>
          <w:rFonts w:ascii="宋体" w:hAnsi="宋体" w:cs="宋体" w:eastAsia="宋体" w:hint="default"/>
          <w:sz w:val="16"/>
          <w:szCs w:val="16"/>
        </w:rPr>
      </w:pPr>
      <w:r>
        <w:rPr>
          <w:rFonts w:ascii="宋体" w:hAnsi="宋体" w:cs="宋体" w:eastAsia="宋体" w:hint="default"/>
          <w:sz w:val="16"/>
          <w:szCs w:val="16"/>
        </w:rPr>
        <w:t>中讯邮电咨询设计院有限公司</w:t>
      </w:r>
    </w:p>
    <w:p>
      <w:pPr>
        <w:spacing w:line="240" w:lineRule="auto" w:before="7"/>
        <w:rPr>
          <w:rFonts w:ascii="宋体" w:hAnsi="宋体" w:cs="宋体" w:eastAsia="宋体" w:hint="default"/>
          <w:sz w:val="12"/>
          <w:szCs w:val="12"/>
        </w:rPr>
      </w:pPr>
      <w:r>
        <w:rPr/>
        <w:br w:type="column"/>
      </w:r>
      <w:r>
        <w:rPr>
          <w:rFonts w:ascii="宋体"/>
          <w:sz w:val="12"/>
        </w:rPr>
      </w:r>
    </w:p>
    <w:p>
      <w:pPr>
        <w:spacing w:before="0"/>
        <w:ind w:left="512" w:right="-20" w:firstLine="0"/>
        <w:jc w:val="left"/>
        <w:rPr>
          <w:rFonts w:ascii="宋体" w:hAnsi="宋体" w:cs="宋体" w:eastAsia="宋体" w:hint="default"/>
          <w:sz w:val="16"/>
          <w:szCs w:val="16"/>
        </w:rPr>
      </w:pPr>
      <w:r>
        <w:rPr/>
        <w:pict>
          <v:shape style="position:absolute;margin-left:91.849297pt;margin-top:8.063893pt;width:462.8pt;height:97.7pt;mso-position-horizontal-relative:page;mso-position-vertical-relative:paragraph;z-index:107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225"/>
                    <w:gridCol w:w="1390"/>
                    <w:gridCol w:w="1554"/>
                    <w:gridCol w:w="1087"/>
                    <w:gridCol w:w="1000"/>
                  </w:tblGrid>
                  <w:tr>
                    <w:trPr>
                      <w:trHeight w:val="690" w:hRule="exact"/>
                    </w:trPr>
                    <w:tc>
                      <w:tcPr>
                        <w:tcW w:w="4225" w:type="dxa"/>
                        <w:tcBorders>
                          <w:top w:val="nil" w:sz="6" w:space="0" w:color="auto"/>
                          <w:left w:val="nil" w:sz="6" w:space="0" w:color="auto"/>
                          <w:bottom w:val="nil" w:sz="6" w:space="0" w:color="auto"/>
                          <w:right w:val="nil" w:sz="6" w:space="0" w:color="auto"/>
                        </w:tcBorders>
                      </w:tcPr>
                      <w:p>
                        <w:pPr>
                          <w:pStyle w:val="TableParagraph"/>
                          <w:tabs>
                            <w:tab w:pos="3136" w:val="left" w:leader="none"/>
                          </w:tabs>
                          <w:spacing w:line="148" w:lineRule="exact"/>
                          <w:ind w:left="35" w:right="0"/>
                          <w:jc w:val="left"/>
                          <w:rPr>
                            <w:rFonts w:ascii="宋体" w:hAnsi="宋体" w:cs="宋体" w:eastAsia="宋体" w:hint="default"/>
                            <w:sz w:val="16"/>
                            <w:szCs w:val="16"/>
                          </w:rPr>
                        </w:pPr>
                        <w:r>
                          <w:rPr>
                            <w:rFonts w:ascii="宋体" w:hAnsi="宋体" w:cs="宋体" w:eastAsia="宋体" w:hint="default"/>
                            <w:sz w:val="16"/>
                            <w:szCs w:val="16"/>
                          </w:rPr>
                          <w:t>（“中讯设计院”）</w:t>
                          <w:tab/>
                        </w:r>
                        <w:r>
                          <w:rPr>
                            <w:rFonts w:ascii="宋体" w:hAnsi="宋体" w:cs="宋体" w:eastAsia="宋体" w:hint="default"/>
                            <w:position w:val="10"/>
                            <w:sz w:val="16"/>
                            <w:szCs w:val="16"/>
                          </w:rPr>
                          <w:t>中国，北京市</w:t>
                        </w:r>
                        <w:r>
                          <w:rPr>
                            <w:rFonts w:ascii="宋体" w:hAnsi="宋体" w:cs="宋体" w:eastAsia="宋体" w:hint="default"/>
                            <w:sz w:val="16"/>
                            <w:szCs w:val="16"/>
                          </w:rPr>
                        </w:r>
                      </w:p>
                      <w:p>
                        <w:pPr>
                          <w:pStyle w:val="TableParagraph"/>
                          <w:spacing w:line="155" w:lineRule="exact" w:before="64"/>
                          <w:ind w:left="35" w:right="0"/>
                          <w:jc w:val="left"/>
                          <w:rPr>
                            <w:rFonts w:ascii="宋体" w:hAnsi="宋体" w:cs="宋体" w:eastAsia="宋体" w:hint="default"/>
                            <w:sz w:val="16"/>
                            <w:szCs w:val="16"/>
                          </w:rPr>
                        </w:pPr>
                        <w:r>
                          <w:rPr>
                            <w:rFonts w:ascii="宋体" w:hAnsi="宋体" w:cs="宋体" w:eastAsia="宋体" w:hint="default"/>
                            <w:sz w:val="16"/>
                            <w:szCs w:val="16"/>
                          </w:rPr>
                          <w:t>联通信息导航有限公司</w:t>
                        </w:r>
                      </w:p>
                      <w:p>
                        <w:pPr>
                          <w:pStyle w:val="TableParagraph"/>
                          <w:tabs>
                            <w:tab w:pos="3136" w:val="left" w:leader="none"/>
                          </w:tabs>
                          <w:spacing w:line="255" w:lineRule="exact"/>
                          <w:ind w:left="35" w:right="0"/>
                          <w:jc w:val="left"/>
                          <w:rPr>
                            <w:rFonts w:ascii="宋体" w:hAnsi="宋体" w:cs="宋体" w:eastAsia="宋体" w:hint="default"/>
                            <w:sz w:val="16"/>
                            <w:szCs w:val="16"/>
                          </w:rPr>
                        </w:pPr>
                        <w:r>
                          <w:rPr>
                            <w:rFonts w:ascii="宋体" w:hAnsi="宋体" w:cs="宋体" w:eastAsia="宋体" w:hint="default"/>
                            <w:sz w:val="16"/>
                            <w:szCs w:val="16"/>
                          </w:rPr>
                          <w:t>（“联通信息导航”）</w:t>
                          <w:tab/>
                        </w:r>
                        <w:r>
                          <w:rPr>
                            <w:rFonts w:ascii="宋体" w:hAnsi="宋体" w:cs="宋体" w:eastAsia="宋体" w:hint="default"/>
                            <w:position w:val="10"/>
                            <w:sz w:val="16"/>
                            <w:szCs w:val="16"/>
                          </w:rPr>
                          <w:t>中国，北京市</w:t>
                        </w:r>
                        <w:r>
                          <w:rPr>
                            <w:rFonts w:ascii="宋体" w:hAnsi="宋体" w:cs="宋体" w:eastAsia="宋体" w:hint="default"/>
                            <w:sz w:val="16"/>
                            <w:szCs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27"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554" w:type="dxa"/>
                        <w:tcBorders>
                          <w:top w:val="nil" w:sz="6" w:space="0" w:color="auto"/>
                          <w:left w:val="nil" w:sz="6" w:space="0" w:color="auto"/>
                          <w:bottom w:val="nil" w:sz="6" w:space="0" w:color="auto"/>
                          <w:right w:val="nil" w:sz="6" w:space="0" w:color="auto"/>
                        </w:tcBorders>
                      </w:tcPr>
                      <w:p>
                        <w:pPr>
                          <w:pStyle w:val="TableParagraph"/>
                          <w:spacing w:line="148" w:lineRule="exact"/>
                          <w:ind w:left="461" w:right="0" w:firstLine="159"/>
                          <w:jc w:val="left"/>
                          <w:rPr>
                            <w:rFonts w:ascii="宋体" w:hAnsi="宋体" w:cs="宋体" w:eastAsia="宋体" w:hint="default"/>
                            <w:sz w:val="16"/>
                            <w:szCs w:val="16"/>
                          </w:rPr>
                        </w:pPr>
                        <w:r>
                          <w:rPr>
                            <w:rFonts w:ascii="宋体" w:hAnsi="宋体" w:cs="宋体" w:eastAsia="宋体" w:hint="default"/>
                            <w:sz w:val="16"/>
                            <w:szCs w:val="16"/>
                          </w:rPr>
                          <w:t>及咨询服务</w:t>
                        </w: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461" w:right="0"/>
                          <w:jc w:val="left"/>
                          <w:rPr>
                            <w:rFonts w:ascii="宋体" w:hAnsi="宋体" w:cs="宋体" w:eastAsia="宋体" w:hint="default"/>
                            <w:sz w:val="16"/>
                            <w:szCs w:val="16"/>
                          </w:rPr>
                        </w:pPr>
                        <w:r>
                          <w:rPr>
                            <w:rFonts w:ascii="宋体" w:hAnsi="宋体" w:cs="宋体" w:eastAsia="宋体" w:hint="default"/>
                            <w:sz w:val="16"/>
                            <w:szCs w:val="16"/>
                          </w:rPr>
                          <w:t>电信客户服务</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243"/>
                          <w:jc w:val="right"/>
                          <w:rPr>
                            <w:rFonts w:ascii="宋体" w:hAnsi="宋体" w:cs="宋体" w:eastAsia="宋体" w:hint="default"/>
                            <w:sz w:val="16"/>
                            <w:szCs w:val="16"/>
                          </w:rPr>
                        </w:pPr>
                        <w:r>
                          <w:rPr>
                            <w:rFonts w:ascii="宋体"/>
                            <w:w w:val="95"/>
                            <w:sz w:val="16"/>
                          </w:rPr>
                          <w:t>6,825,088</w:t>
                        </w:r>
                        <w:r>
                          <w:rPr>
                            <w:rFonts w:ascii="宋体"/>
                            <w:sz w:val="16"/>
                          </w:rPr>
                        </w:r>
                      </w:p>
                    </w:tc>
                    <w:tc>
                      <w:tcPr>
                        <w:tcW w:w="100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tabs>
                            <w:tab w:pos="319" w:val="left" w:leader="none"/>
                          </w:tabs>
                          <w:spacing w:line="240" w:lineRule="auto"/>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4225" w:type="dxa"/>
                        <w:tcBorders>
                          <w:top w:val="nil" w:sz="6" w:space="0" w:color="auto"/>
                          <w:left w:val="nil" w:sz="6" w:space="0" w:color="auto"/>
                          <w:bottom w:val="nil" w:sz="6" w:space="0" w:color="auto"/>
                          <w:right w:val="nil" w:sz="6" w:space="0" w:color="auto"/>
                        </w:tcBorders>
                      </w:tcPr>
                      <w:p>
                        <w:pPr>
                          <w:pStyle w:val="TableParagraph"/>
                          <w:spacing w:line="150" w:lineRule="exact"/>
                          <w:ind w:left="35" w:right="0"/>
                          <w:jc w:val="left"/>
                          <w:rPr>
                            <w:rFonts w:ascii="宋体" w:hAnsi="宋体" w:cs="宋体" w:eastAsia="宋体" w:hint="default"/>
                            <w:sz w:val="16"/>
                            <w:szCs w:val="16"/>
                          </w:rPr>
                        </w:pPr>
                        <w:r>
                          <w:rPr>
                            <w:rFonts w:ascii="宋体" w:hAnsi="宋体" w:cs="宋体" w:eastAsia="宋体" w:hint="default"/>
                            <w:sz w:val="16"/>
                            <w:szCs w:val="16"/>
                          </w:rPr>
                          <w:t>华夏邮电咨询监理有限公司</w:t>
                        </w:r>
                      </w:p>
                      <w:p>
                        <w:pPr>
                          <w:pStyle w:val="TableParagraph"/>
                          <w:tabs>
                            <w:tab w:pos="3136" w:val="left" w:leader="none"/>
                          </w:tabs>
                          <w:spacing w:line="255" w:lineRule="exact"/>
                          <w:ind w:left="35" w:right="0"/>
                          <w:jc w:val="left"/>
                          <w:rPr>
                            <w:rFonts w:ascii="宋体" w:hAnsi="宋体" w:cs="宋体" w:eastAsia="宋体" w:hint="default"/>
                            <w:sz w:val="16"/>
                            <w:szCs w:val="16"/>
                          </w:rPr>
                        </w:pPr>
                        <w:r>
                          <w:rPr>
                            <w:rFonts w:ascii="宋体" w:hAnsi="宋体" w:cs="宋体" w:eastAsia="宋体" w:hint="default"/>
                            <w:sz w:val="16"/>
                            <w:szCs w:val="16"/>
                          </w:rPr>
                          <w:t>（“华夏邮电”）</w:t>
                          <w:tab/>
                        </w:r>
                        <w:r>
                          <w:rPr>
                            <w:rFonts w:ascii="宋体" w:hAnsi="宋体" w:cs="宋体" w:eastAsia="宋体" w:hint="default"/>
                            <w:position w:val="10"/>
                            <w:sz w:val="16"/>
                            <w:szCs w:val="16"/>
                          </w:rPr>
                          <w:t>中国，郑州市</w:t>
                        </w:r>
                        <w:r>
                          <w:rPr>
                            <w:rFonts w:ascii="宋体" w:hAnsi="宋体" w:cs="宋体" w:eastAsia="宋体" w:hint="default"/>
                            <w:sz w:val="16"/>
                            <w:szCs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8" w:right="0"/>
                          <w:jc w:val="left"/>
                          <w:rPr>
                            <w:rFonts w:ascii="宋体" w:hAnsi="宋体" w:cs="宋体" w:eastAsia="宋体" w:hint="default"/>
                            <w:sz w:val="16"/>
                            <w:szCs w:val="16"/>
                          </w:rPr>
                        </w:pPr>
                        <w:r>
                          <w:rPr>
                            <w:rFonts w:ascii="宋体" w:hAnsi="宋体" w:cs="宋体" w:eastAsia="宋体" w:hint="default"/>
                            <w:sz w:val="16"/>
                            <w:szCs w:val="16"/>
                          </w:rPr>
                          <w:t>中国，郑州市</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工程咨询及监理</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3"/>
                          <w:jc w:val="right"/>
                          <w:rPr>
                            <w:rFonts w:ascii="宋体" w:hAnsi="宋体" w:cs="宋体" w:eastAsia="宋体" w:hint="default"/>
                            <w:sz w:val="16"/>
                            <w:szCs w:val="16"/>
                          </w:rPr>
                        </w:pPr>
                        <w:r>
                          <w:rPr>
                            <w:rFonts w:ascii="宋体"/>
                            <w:sz w:val="16"/>
                          </w:rPr>
                          <w:t>50,100</w:t>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473" w:hRule="exact"/>
                    </w:trPr>
                    <w:tc>
                      <w:tcPr>
                        <w:tcW w:w="4225" w:type="dxa"/>
                        <w:tcBorders>
                          <w:top w:val="nil" w:sz="6" w:space="0" w:color="auto"/>
                          <w:left w:val="nil" w:sz="6" w:space="0" w:color="auto"/>
                          <w:bottom w:val="nil" w:sz="6" w:space="0" w:color="auto"/>
                          <w:right w:val="nil" w:sz="6" w:space="0" w:color="auto"/>
                        </w:tcBorders>
                      </w:tcPr>
                      <w:p>
                        <w:pPr>
                          <w:pStyle w:val="TableParagraph"/>
                          <w:spacing w:line="150" w:lineRule="exact"/>
                          <w:ind w:left="35" w:right="0"/>
                          <w:jc w:val="left"/>
                          <w:rPr>
                            <w:rFonts w:ascii="宋体" w:hAnsi="宋体" w:cs="宋体" w:eastAsia="宋体" w:hint="default"/>
                            <w:sz w:val="16"/>
                            <w:szCs w:val="16"/>
                          </w:rPr>
                        </w:pPr>
                        <w:r>
                          <w:rPr>
                            <w:rFonts w:ascii="宋体" w:hAnsi="宋体" w:cs="宋体" w:eastAsia="宋体" w:hint="default"/>
                            <w:sz w:val="16"/>
                            <w:szCs w:val="16"/>
                          </w:rPr>
                          <w:t>郑州凯成实业有限公司</w:t>
                        </w:r>
                      </w:p>
                      <w:p>
                        <w:pPr>
                          <w:pStyle w:val="TableParagraph"/>
                          <w:tabs>
                            <w:tab w:pos="3136" w:val="left" w:leader="none"/>
                          </w:tabs>
                          <w:spacing w:line="255" w:lineRule="exact"/>
                          <w:ind w:left="35" w:right="0"/>
                          <w:jc w:val="left"/>
                          <w:rPr>
                            <w:rFonts w:ascii="宋体" w:hAnsi="宋体" w:cs="宋体" w:eastAsia="宋体" w:hint="default"/>
                            <w:sz w:val="16"/>
                            <w:szCs w:val="16"/>
                          </w:rPr>
                        </w:pPr>
                        <w:r>
                          <w:rPr>
                            <w:rFonts w:ascii="宋体" w:hAnsi="宋体" w:cs="宋体" w:eastAsia="宋体" w:hint="default"/>
                            <w:sz w:val="16"/>
                            <w:szCs w:val="16"/>
                          </w:rPr>
                          <w:t>（“郑州凯成”）</w:t>
                          <w:tab/>
                        </w:r>
                        <w:r>
                          <w:rPr>
                            <w:rFonts w:ascii="宋体" w:hAnsi="宋体" w:cs="宋体" w:eastAsia="宋体" w:hint="default"/>
                            <w:position w:val="10"/>
                            <w:sz w:val="16"/>
                            <w:szCs w:val="16"/>
                          </w:rPr>
                          <w:t>中国，郑州市</w:t>
                        </w:r>
                        <w:r>
                          <w:rPr>
                            <w:rFonts w:ascii="宋体" w:hAnsi="宋体" w:cs="宋体" w:eastAsia="宋体" w:hint="default"/>
                            <w:sz w:val="16"/>
                            <w:szCs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8" w:right="0"/>
                          <w:jc w:val="left"/>
                          <w:rPr>
                            <w:rFonts w:ascii="宋体" w:hAnsi="宋体" w:cs="宋体" w:eastAsia="宋体" w:hint="default"/>
                            <w:sz w:val="16"/>
                            <w:szCs w:val="16"/>
                          </w:rPr>
                        </w:pPr>
                        <w:r>
                          <w:rPr>
                            <w:rFonts w:ascii="宋体" w:hAnsi="宋体" w:cs="宋体" w:eastAsia="宋体" w:hint="default"/>
                            <w:sz w:val="16"/>
                            <w:szCs w:val="16"/>
                          </w:rPr>
                          <w:t>中国，郑州市</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物业管理</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w w:val="95"/>
                            <w:sz w:val="16"/>
                          </w:rPr>
                          <w:t>2,200</w:t>
                        </w:r>
                        <w:r>
                          <w:rPr>
                            <w:rFonts w:ascii="宋体"/>
                            <w:sz w:val="16"/>
                          </w:rPr>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r>
                    <w:trPr>
                      <w:trHeight w:val="317" w:hRule="exact"/>
                    </w:trPr>
                    <w:tc>
                      <w:tcPr>
                        <w:tcW w:w="4225" w:type="dxa"/>
                        <w:tcBorders>
                          <w:top w:val="nil" w:sz="6" w:space="0" w:color="auto"/>
                          <w:left w:val="nil" w:sz="6" w:space="0" w:color="auto"/>
                          <w:bottom w:val="nil" w:sz="6" w:space="0" w:color="auto"/>
                          <w:right w:val="nil" w:sz="6" w:space="0" w:color="auto"/>
                        </w:tcBorders>
                      </w:tcPr>
                      <w:p>
                        <w:pPr>
                          <w:pStyle w:val="TableParagraph"/>
                          <w:spacing w:line="150" w:lineRule="exact"/>
                          <w:ind w:left="35" w:right="0"/>
                          <w:jc w:val="left"/>
                          <w:rPr>
                            <w:rFonts w:ascii="宋体" w:hAnsi="宋体" w:cs="宋体" w:eastAsia="宋体" w:hint="default"/>
                            <w:sz w:val="16"/>
                            <w:szCs w:val="16"/>
                          </w:rPr>
                        </w:pPr>
                        <w:r>
                          <w:rPr>
                            <w:rFonts w:ascii="宋体" w:hAnsi="宋体" w:cs="宋体" w:eastAsia="宋体" w:hint="default"/>
                            <w:sz w:val="16"/>
                            <w:szCs w:val="16"/>
                          </w:rPr>
                          <w:t>《邮电设计技术》杂志社有限公司</w:t>
                        </w:r>
                      </w:p>
                      <w:p>
                        <w:pPr>
                          <w:pStyle w:val="TableParagraph"/>
                          <w:tabs>
                            <w:tab w:pos="3136" w:val="left" w:leader="none"/>
                          </w:tabs>
                          <w:spacing w:line="207" w:lineRule="exact"/>
                          <w:ind w:left="35" w:right="0"/>
                          <w:jc w:val="left"/>
                          <w:rPr>
                            <w:rFonts w:ascii="宋体" w:hAnsi="宋体" w:cs="宋体" w:eastAsia="宋体" w:hint="default"/>
                            <w:sz w:val="16"/>
                            <w:szCs w:val="16"/>
                          </w:rPr>
                        </w:pPr>
                        <w:r>
                          <w:rPr>
                            <w:rFonts w:ascii="宋体" w:hAnsi="宋体" w:cs="宋体" w:eastAsia="宋体" w:hint="default"/>
                            <w:sz w:val="16"/>
                            <w:szCs w:val="16"/>
                          </w:rPr>
                          <w:t>（“邮电杂志社”）</w:t>
                          <w:tab/>
                        </w:r>
                        <w:r>
                          <w:rPr>
                            <w:rFonts w:ascii="宋体" w:hAnsi="宋体" w:cs="宋体" w:eastAsia="宋体" w:hint="default"/>
                            <w:position w:val="10"/>
                            <w:sz w:val="16"/>
                            <w:szCs w:val="16"/>
                          </w:rPr>
                          <w:t>中国，北京市</w:t>
                        </w:r>
                        <w:r>
                          <w:rPr>
                            <w:rFonts w:ascii="宋体" w:hAnsi="宋体" w:cs="宋体" w:eastAsia="宋体" w:hint="default"/>
                            <w:sz w:val="16"/>
                            <w:szCs w:val="16"/>
                          </w:rPr>
                        </w:r>
                      </w:p>
                    </w:tc>
                    <w:tc>
                      <w:tcPr>
                        <w:tcW w:w="1390" w:type="dxa"/>
                        <w:tcBorders>
                          <w:top w:val="nil" w:sz="6" w:space="0" w:color="auto"/>
                          <w:left w:val="nil" w:sz="6" w:space="0" w:color="auto"/>
                          <w:bottom w:val="nil" w:sz="6" w:space="0" w:color="auto"/>
                          <w:right w:val="nil" w:sz="6" w:space="0" w:color="auto"/>
                        </w:tcBorders>
                      </w:tcPr>
                      <w:p>
                        <w:pPr>
                          <w:pStyle w:val="TableParagraph"/>
                          <w:spacing w:line="240" w:lineRule="auto" w:before="95"/>
                          <w:ind w:left="128" w:right="0"/>
                          <w:jc w:val="left"/>
                          <w:rPr>
                            <w:rFonts w:ascii="宋体" w:hAnsi="宋体" w:cs="宋体" w:eastAsia="宋体" w:hint="default"/>
                            <w:sz w:val="16"/>
                            <w:szCs w:val="16"/>
                          </w:rPr>
                        </w:pPr>
                        <w:r>
                          <w:rPr>
                            <w:rFonts w:ascii="宋体" w:hAnsi="宋体" w:cs="宋体" w:eastAsia="宋体" w:hint="default"/>
                            <w:sz w:val="16"/>
                            <w:szCs w:val="16"/>
                          </w:rPr>
                          <w:t>中国，北京市</w:t>
                        </w:r>
                      </w:p>
                    </w:tc>
                    <w:tc>
                      <w:tcPr>
                        <w:tcW w:w="155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29"/>
                          <w:jc w:val="right"/>
                          <w:rPr>
                            <w:rFonts w:ascii="宋体" w:hAnsi="宋体" w:cs="宋体" w:eastAsia="宋体" w:hint="default"/>
                            <w:sz w:val="16"/>
                            <w:szCs w:val="16"/>
                          </w:rPr>
                        </w:pPr>
                        <w:r>
                          <w:rPr>
                            <w:rFonts w:ascii="宋体" w:hAnsi="宋体" w:cs="宋体" w:eastAsia="宋体" w:hint="default"/>
                            <w:sz w:val="16"/>
                            <w:szCs w:val="16"/>
                          </w:rPr>
                          <w:t>杂志出版发行</w:t>
                        </w:r>
                      </w:p>
                    </w:tc>
                    <w:tc>
                      <w:tcPr>
                        <w:tcW w:w="1087"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242"/>
                          <w:jc w:val="right"/>
                          <w:rPr>
                            <w:rFonts w:ascii="宋体" w:hAnsi="宋体" w:cs="宋体" w:eastAsia="宋体" w:hint="default"/>
                            <w:sz w:val="16"/>
                            <w:szCs w:val="16"/>
                          </w:rPr>
                        </w:pPr>
                        <w:r>
                          <w:rPr>
                            <w:rFonts w:ascii="宋体"/>
                            <w:w w:val="110"/>
                            <w:sz w:val="16"/>
                          </w:rPr>
                          <w:t>300</w:t>
                        </w:r>
                        <w:r>
                          <w:rPr>
                            <w:rFonts w:ascii="宋体"/>
                            <w:sz w:val="16"/>
                          </w:rPr>
                        </w:r>
                      </w:p>
                    </w:tc>
                    <w:tc>
                      <w:tcPr>
                        <w:tcW w:w="1000" w:type="dxa"/>
                        <w:tcBorders>
                          <w:top w:val="nil" w:sz="6" w:space="0" w:color="auto"/>
                          <w:left w:val="nil" w:sz="6" w:space="0" w:color="auto"/>
                          <w:bottom w:val="nil" w:sz="6" w:space="0" w:color="auto"/>
                          <w:right w:val="nil" w:sz="6" w:space="0" w:color="auto"/>
                        </w:tcBorders>
                      </w:tcPr>
                      <w:p>
                        <w:pPr>
                          <w:pStyle w:val="TableParagraph"/>
                          <w:tabs>
                            <w:tab w:pos="319" w:val="left" w:leader="none"/>
                          </w:tabs>
                          <w:spacing w:line="240" w:lineRule="auto" w:before="95"/>
                          <w:ind w:right="33"/>
                          <w:jc w:val="right"/>
                          <w:rPr>
                            <w:rFonts w:ascii="宋体" w:hAnsi="宋体" w:cs="宋体" w:eastAsia="宋体" w:hint="default"/>
                            <w:sz w:val="16"/>
                            <w:szCs w:val="16"/>
                          </w:rPr>
                        </w:pPr>
                        <w:r>
                          <w:rPr>
                            <w:rFonts w:ascii="宋体"/>
                            <w:w w:val="115"/>
                            <w:sz w:val="16"/>
                          </w:rPr>
                          <w:t>-</w:t>
                          <w:tab/>
                        </w:r>
                        <w:r>
                          <w:rPr>
                            <w:rFonts w:ascii="宋体"/>
                            <w:w w:val="95"/>
                            <w:sz w:val="16"/>
                          </w:rPr>
                          <w:t>43.94</w:t>
                        </w:r>
                        <w:r>
                          <w:rPr>
                            <w:rFonts w:ascii="宋体"/>
                            <w:sz w:val="16"/>
                          </w:rPr>
                        </w:r>
                      </w:p>
                    </w:tc>
                  </w:tr>
                </w:tbl>
                <w:p>
                  <w:pPr/>
                </w:p>
              </w:txbxContent>
            </v:textbox>
            <w10:wrap type="none"/>
          </v:shape>
        </w:pict>
      </w:r>
      <w:r>
        <w:rPr>
          <w:rFonts w:ascii="宋体" w:hAnsi="宋体" w:cs="宋体" w:eastAsia="宋体" w:hint="default"/>
          <w:sz w:val="16"/>
          <w:szCs w:val="16"/>
        </w:rPr>
        <w:t>中国，北京市</w:t>
      </w:r>
    </w:p>
    <w:p>
      <w:pPr>
        <w:spacing w:before="64"/>
        <w:ind w:left="512" w:right="-20" w:firstLine="0"/>
        <w:jc w:val="left"/>
        <w:rPr>
          <w:rFonts w:ascii="宋体" w:hAnsi="宋体" w:cs="宋体" w:eastAsia="宋体" w:hint="default"/>
          <w:sz w:val="16"/>
          <w:szCs w:val="16"/>
        </w:rPr>
      </w:pPr>
      <w:r>
        <w:rPr/>
        <w:br w:type="column"/>
      </w:r>
      <w:r>
        <w:rPr>
          <w:rFonts w:ascii="宋体" w:hAnsi="宋体" w:cs="宋体" w:eastAsia="宋体" w:hint="default"/>
          <w:sz w:val="16"/>
          <w:szCs w:val="16"/>
        </w:rPr>
        <w:t>勘察设计</w:t>
      </w:r>
    </w:p>
    <w:p>
      <w:pPr>
        <w:spacing w:line="240" w:lineRule="auto" w:before="7"/>
        <w:rPr>
          <w:rFonts w:ascii="宋体" w:hAnsi="宋体" w:cs="宋体" w:eastAsia="宋体" w:hint="default"/>
          <w:sz w:val="12"/>
          <w:szCs w:val="12"/>
        </w:rPr>
      </w:pPr>
      <w:r>
        <w:rPr/>
        <w:br w:type="column"/>
      </w:r>
      <w:r>
        <w:rPr>
          <w:rFonts w:ascii="宋体"/>
          <w:sz w:val="12"/>
        </w:rPr>
      </w:r>
    </w:p>
    <w:p>
      <w:pPr>
        <w:tabs>
          <w:tab w:pos="1423" w:val="left" w:leader="none"/>
          <w:tab w:pos="1743" w:val="left" w:leader="none"/>
        </w:tabs>
        <w:spacing w:before="0"/>
        <w:ind w:left="356" w:right="0" w:firstLine="0"/>
        <w:jc w:val="left"/>
        <w:rPr>
          <w:rFonts w:ascii="宋体" w:hAnsi="宋体" w:cs="宋体" w:eastAsia="宋体" w:hint="default"/>
          <w:sz w:val="16"/>
          <w:szCs w:val="16"/>
        </w:rPr>
      </w:pPr>
      <w:r>
        <w:rPr>
          <w:rFonts w:ascii="宋体"/>
          <w:sz w:val="16"/>
        </w:rPr>
        <w:t>430,000</w:t>
        <w:tab/>
      </w:r>
      <w:r>
        <w:rPr>
          <w:rFonts w:ascii="宋体"/>
          <w:w w:val="110"/>
          <w:sz w:val="16"/>
        </w:rPr>
        <w:t>-</w:t>
        <w:tab/>
        <w:t>43.94</w:t>
      </w:r>
      <w:r>
        <w:rPr>
          <w:rFonts w:ascii="宋体"/>
          <w:sz w:val="16"/>
        </w:rPr>
      </w:r>
    </w:p>
    <w:p>
      <w:pPr>
        <w:spacing w:after="0"/>
        <w:jc w:val="left"/>
        <w:rPr>
          <w:rFonts w:ascii="宋体" w:hAnsi="宋体" w:cs="宋体" w:eastAsia="宋体" w:hint="default"/>
          <w:sz w:val="16"/>
          <w:szCs w:val="16"/>
        </w:rPr>
        <w:sectPr>
          <w:type w:val="continuous"/>
          <w:pgSz w:w="11910" w:h="16160"/>
          <w:pgMar w:top="1520" w:bottom="280" w:left="1360" w:right="660"/>
          <w:cols w:num="4" w:equalWidth="0">
            <w:col w:w="2593" w:space="1725"/>
            <w:col w:w="1473" w:space="571"/>
            <w:col w:w="1153" w:space="40"/>
            <w:col w:w="2335"/>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0"/>
          <w:szCs w:val="20"/>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229;height:2" coordorigin="3044,20" coordsize="1229,2">
              <v:shape style="position:absolute;left:3044;top:20;width:1229;height:2" coordorigin="3044,20" coordsize="1229,0" path="m3044,20l4272,20e" filled="false" stroked="true" strokeweight="2pt" strokecolor="#9f8958">
                <v:path arrowok="t"/>
              </v:shape>
            </v:group>
            <v:group style="position:absolute;left:4272;top:20;width:1205;height:2" coordorigin="4272,20" coordsize="1205,2">
              <v:shape style="position:absolute;left:4272;top:20;width:1205;height:2" coordorigin="4272,20" coordsize="1205,0" path="m4272,20l5477,20e" filled="false" stroked="true" strokeweight="2pt" strokecolor="#9f8958">
                <v:path arrowok="t"/>
              </v:shape>
            </v:group>
            <v:group style="position:absolute;left:5477;top:20;width:1659;height:2" coordorigin="5477,20" coordsize="1659,2">
              <v:shape style="position:absolute;left:5477;top:20;width:1659;height:2" coordorigin="5477,20" coordsize="1659,0" path="m5477,20l7135,20e" filled="false" stroked="true" strokeweight="2pt" strokecolor="#9f8958">
                <v:path arrowok="t"/>
              </v:shape>
            </v:group>
            <v:group style="position:absolute;left:7135;top:20;width:974;height:2" coordorigin="7135,20" coordsize="974,2">
              <v:shape style="position:absolute;left:7135;top:20;width:974;height:2" coordorigin="7135,20" coordsize="974,0" path="m7135,20l8108,20e" filled="false" stroked="true" strokeweight="2pt" strokecolor="#9f8958">
                <v:path arrowok="t"/>
              </v:shape>
            </v:group>
            <v:group style="position:absolute;left:8108;top:20;width:596;height:2" coordorigin="8108,20" coordsize="596,2">
              <v:shape style="position:absolute;left:8108;top:20;width:596;height:2" coordorigin="8108,20" coordsize="596,0" path="m8108,20l8703,20e" filled="false" stroked="true" strokeweight="2pt" strokecolor="#9f8958">
                <v:path arrowok="t"/>
              </v:shape>
            </v:group>
            <v:group style="position:absolute;left:8703;top:20;width:615;height:2" coordorigin="8703,20" coordsize="615,2">
              <v:shape style="position:absolute;left:8703;top:20;width:615;height:2" coordorigin="8703,20" coordsize="615,0" path="m8703,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240" w:lineRule="auto" w:before="31"/>
        <w:ind w:right="125"/>
        <w:jc w:val="left"/>
      </w:pPr>
      <w:r>
        <w:rPr>
          <w:w w:val="105"/>
        </w:rPr>
        <w:t>*</w:t>
      </w:r>
      <w:r>
        <w:rPr>
          <w:spacing w:val="-54"/>
          <w:w w:val="105"/>
        </w:rPr>
        <w:t> </w:t>
      </w:r>
      <w:r>
        <w:rPr>
          <w:w w:val="105"/>
        </w:rPr>
        <w:t>为</w:t>
      </w:r>
      <w:r>
        <w:rPr>
          <w:spacing w:val="-53"/>
          <w:w w:val="105"/>
        </w:rPr>
        <w:t> </w:t>
      </w:r>
      <w:r>
        <w:rPr>
          <w:w w:val="105"/>
        </w:rPr>
        <w:t>2018</w:t>
      </w:r>
      <w:r>
        <w:rPr>
          <w:spacing w:val="-54"/>
          <w:w w:val="105"/>
        </w:rPr>
        <w:t> </w:t>
      </w:r>
      <w:r>
        <w:rPr>
          <w:w w:val="105"/>
        </w:rPr>
        <w:t>年新设</w:t>
      </w:r>
    </w:p>
    <w:p>
      <w:pPr>
        <w:spacing w:after="0" w:line="240" w:lineRule="auto"/>
        <w:jc w:val="left"/>
        <w:sectPr>
          <w:type w:val="continuous"/>
          <w:pgSz w:w="11910" w:h="16160"/>
          <w:pgMar w:top="1520" w:bottom="280" w:left="136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87"/>
        <w:jc w:val="left"/>
        <w:rPr>
          <w:rFonts w:ascii="宋体" w:hAnsi="宋体" w:cs="宋体" w:eastAsia="宋体" w:hint="default"/>
        </w:rPr>
      </w:pPr>
      <w:r>
        <w:rPr>
          <w:rFonts w:ascii="宋体" w:hAnsi="宋体" w:cs="宋体" w:eastAsia="宋体" w:hint="default"/>
          <w:color w:val="9F8958"/>
        </w:rPr>
        <w:t>七、在其他主体中的权益（续）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53" w:right="87"/>
        <w:jc w:val="left"/>
      </w:pPr>
      <w:r>
        <w:rPr/>
        <w:t>1、</w:t>
      </w:r>
      <w:r>
        <w:rPr>
          <w:spacing w:val="-21"/>
        </w:rPr>
        <w:t> </w:t>
      </w:r>
      <w:r>
        <w:rPr/>
        <w:t>在子公司中的权益（续）</w:t>
      </w:r>
    </w:p>
    <w:p>
      <w:pPr>
        <w:spacing w:line="240" w:lineRule="auto" w:before="7"/>
        <w:rPr>
          <w:rFonts w:ascii="宋体" w:hAnsi="宋体" w:cs="宋体" w:eastAsia="宋体" w:hint="default"/>
          <w:sz w:val="15"/>
          <w:szCs w:val="15"/>
        </w:rPr>
      </w:pPr>
    </w:p>
    <w:tbl>
      <w:tblPr>
        <w:tblW w:w="0" w:type="auto"/>
        <w:jc w:val="left"/>
        <w:tblInd w:w="118" w:type="dxa"/>
        <w:tblLayout w:type="fixed"/>
        <w:tblCellMar>
          <w:top w:w="0" w:type="dxa"/>
          <w:left w:w="0" w:type="dxa"/>
          <w:bottom w:w="0" w:type="dxa"/>
          <w:right w:w="0" w:type="dxa"/>
        </w:tblCellMar>
        <w:tblLook w:val="01E0"/>
      </w:tblPr>
      <w:tblGrid>
        <w:gridCol w:w="375"/>
        <w:gridCol w:w="2210"/>
        <w:gridCol w:w="1758"/>
        <w:gridCol w:w="1857"/>
        <w:gridCol w:w="1818"/>
        <w:gridCol w:w="1641"/>
      </w:tblGrid>
      <w:tr>
        <w:trPr>
          <w:trHeight w:val="740" w:hRule="exact"/>
        </w:trPr>
        <w:tc>
          <w:tcPr>
            <w:tcW w:w="375" w:type="dxa"/>
            <w:tcBorders>
              <w:top w:val="nil" w:sz="6" w:space="0" w:color="auto"/>
              <w:left w:val="nil" w:sz="6" w:space="0" w:color="auto"/>
              <w:bottom w:val="nil" w:sz="6" w:space="0" w:color="auto"/>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w w:val="85"/>
                <w:sz w:val="18"/>
              </w:rPr>
              <w:t>(b)</w:t>
            </w:r>
            <w:r>
              <w:rPr>
                <w:rFonts w:ascii="宋体"/>
                <w:sz w:val="18"/>
              </w:rPr>
            </w:r>
          </w:p>
        </w:tc>
        <w:tc>
          <w:tcPr>
            <w:tcW w:w="2210" w:type="dxa"/>
            <w:tcBorders>
              <w:top w:val="nil" w:sz="6" w:space="0" w:color="auto"/>
              <w:left w:val="nil" w:sz="6" w:space="0" w:color="auto"/>
              <w:bottom w:val="nil" w:sz="6" w:space="0" w:color="auto"/>
              <w:right w:val="nil" w:sz="6" w:space="0" w:color="auto"/>
            </w:tcBorders>
          </w:tcPr>
          <w:p>
            <w:pPr>
              <w:pStyle w:val="TableParagraph"/>
              <w:spacing w:line="240" w:lineRule="auto" w:before="31"/>
              <w:ind w:right="0"/>
              <w:jc w:val="left"/>
              <w:rPr>
                <w:rFonts w:ascii="宋体" w:hAnsi="宋体" w:cs="宋体" w:eastAsia="宋体" w:hint="default"/>
                <w:sz w:val="18"/>
                <w:szCs w:val="18"/>
              </w:rPr>
            </w:pPr>
            <w:r>
              <w:rPr>
                <w:rFonts w:ascii="宋体" w:hAnsi="宋体" w:cs="宋体" w:eastAsia="宋体" w:hint="default"/>
                <w:sz w:val="18"/>
                <w:szCs w:val="18"/>
              </w:rPr>
              <w:t>重要的非全资子公司</w:t>
            </w:r>
          </w:p>
        </w:tc>
        <w:tc>
          <w:tcPr>
            <w:tcW w:w="175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66"/>
              <w:jc w:val="right"/>
              <w:rPr>
                <w:rFonts w:ascii="宋体" w:hAnsi="宋体" w:cs="宋体" w:eastAsia="宋体" w:hint="default"/>
                <w:sz w:val="16"/>
                <w:szCs w:val="16"/>
              </w:rPr>
            </w:pPr>
            <w:r>
              <w:rPr>
                <w:rFonts w:ascii="宋体" w:hAnsi="宋体" w:cs="宋体" w:eastAsia="宋体" w:hint="default"/>
                <w:sz w:val="16"/>
                <w:szCs w:val="16"/>
              </w:rPr>
              <w:t>少数股东的</w:t>
            </w:r>
          </w:p>
        </w:tc>
        <w:tc>
          <w:tcPr>
            <w:tcW w:w="1857"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66"/>
              <w:jc w:val="right"/>
              <w:rPr>
                <w:rFonts w:ascii="宋体" w:hAnsi="宋体" w:cs="宋体" w:eastAsia="宋体" w:hint="default"/>
                <w:sz w:val="16"/>
                <w:szCs w:val="16"/>
              </w:rPr>
            </w:pPr>
            <w:r>
              <w:rPr>
                <w:rFonts w:ascii="宋体" w:hAnsi="宋体" w:cs="宋体" w:eastAsia="宋体" w:hint="default"/>
                <w:sz w:val="16"/>
                <w:szCs w:val="16"/>
              </w:rPr>
              <w:t>本年归属于少数</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27"/>
              <w:jc w:val="right"/>
              <w:rPr>
                <w:rFonts w:ascii="宋体" w:hAnsi="宋体" w:cs="宋体" w:eastAsia="宋体" w:hint="default"/>
                <w:sz w:val="16"/>
                <w:szCs w:val="16"/>
              </w:rPr>
            </w:pPr>
            <w:r>
              <w:rPr>
                <w:rFonts w:ascii="宋体" w:hAnsi="宋体" w:cs="宋体" w:eastAsia="宋体" w:hint="default"/>
                <w:sz w:val="16"/>
                <w:szCs w:val="16"/>
              </w:rPr>
              <w:t>本年向少数股东</w:t>
            </w:r>
          </w:p>
        </w:tc>
        <w:tc>
          <w:tcPr>
            <w:tcW w:w="1641" w:type="dxa"/>
            <w:tcBorders>
              <w:top w:val="nil" w:sz="6" w:space="0" w:color="auto"/>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sz w:val="16"/>
                <w:szCs w:val="16"/>
              </w:rPr>
              <w:t>年末少数股东</w:t>
            </w:r>
          </w:p>
        </w:tc>
      </w:tr>
      <w:tr>
        <w:trPr>
          <w:trHeight w:val="304" w:hRule="exact"/>
        </w:trPr>
        <w:tc>
          <w:tcPr>
            <w:tcW w:w="375" w:type="dxa"/>
            <w:tcBorders>
              <w:top w:val="nil" w:sz="6" w:space="0" w:color="auto"/>
              <w:left w:val="nil" w:sz="6" w:space="0" w:color="auto"/>
              <w:bottom w:val="nil" w:sz="6" w:space="0" w:color="auto"/>
              <w:right w:val="nil" w:sz="6" w:space="0" w:color="auto"/>
            </w:tcBorders>
          </w:tcPr>
          <w:p>
            <w:pPr/>
          </w:p>
        </w:tc>
        <w:tc>
          <w:tcPr>
            <w:tcW w:w="2210" w:type="dxa"/>
            <w:tcBorders>
              <w:top w:val="nil" w:sz="6" w:space="0" w:color="auto"/>
              <w:left w:val="nil" w:sz="6" w:space="0" w:color="auto"/>
              <w:bottom w:val="single" w:sz="16" w:space="0" w:color="9F8958"/>
              <w:right w:val="nil" w:sz="6" w:space="0" w:color="auto"/>
            </w:tcBorders>
          </w:tcPr>
          <w:p>
            <w:pPr>
              <w:pStyle w:val="TableParagraph"/>
              <w:spacing w:line="170" w:lineRule="exact"/>
              <w:ind w:left="113" w:right="0"/>
              <w:jc w:val="left"/>
              <w:rPr>
                <w:rFonts w:ascii="宋体" w:hAnsi="宋体" w:cs="宋体" w:eastAsia="宋体" w:hint="default"/>
                <w:sz w:val="16"/>
                <w:szCs w:val="16"/>
              </w:rPr>
            </w:pPr>
            <w:r>
              <w:rPr>
                <w:rFonts w:ascii="宋体" w:hAnsi="宋体" w:cs="宋体" w:eastAsia="宋体" w:hint="default"/>
                <w:sz w:val="16"/>
                <w:szCs w:val="16"/>
              </w:rPr>
              <w:t>子公司名称</w:t>
            </w:r>
          </w:p>
        </w:tc>
        <w:tc>
          <w:tcPr>
            <w:tcW w:w="1758" w:type="dxa"/>
            <w:tcBorders>
              <w:top w:val="nil" w:sz="6" w:space="0" w:color="auto"/>
              <w:left w:val="nil" w:sz="6" w:space="0" w:color="auto"/>
              <w:bottom w:val="single" w:sz="16" w:space="0" w:color="9F8958"/>
              <w:right w:val="nil" w:sz="6" w:space="0" w:color="auto"/>
            </w:tcBorders>
          </w:tcPr>
          <w:p>
            <w:pPr>
              <w:pStyle w:val="TableParagraph"/>
              <w:spacing w:line="170" w:lineRule="exact"/>
              <w:ind w:right="366"/>
              <w:jc w:val="right"/>
              <w:rPr>
                <w:rFonts w:ascii="宋体" w:hAnsi="宋体" w:cs="宋体" w:eastAsia="宋体" w:hint="default"/>
                <w:sz w:val="16"/>
                <w:szCs w:val="16"/>
              </w:rPr>
            </w:pPr>
            <w:r>
              <w:rPr>
                <w:rFonts w:ascii="宋体" w:hAnsi="宋体" w:cs="宋体" w:eastAsia="宋体" w:hint="default"/>
                <w:sz w:val="16"/>
                <w:szCs w:val="16"/>
              </w:rPr>
              <w:t>持股比例</w:t>
            </w:r>
          </w:p>
        </w:tc>
        <w:tc>
          <w:tcPr>
            <w:tcW w:w="1857" w:type="dxa"/>
            <w:tcBorders>
              <w:top w:val="nil" w:sz="6" w:space="0" w:color="auto"/>
              <w:left w:val="nil" w:sz="6" w:space="0" w:color="auto"/>
              <w:bottom w:val="single" w:sz="16" w:space="0" w:color="9F8958"/>
              <w:right w:val="nil" w:sz="6" w:space="0" w:color="auto"/>
            </w:tcBorders>
          </w:tcPr>
          <w:p>
            <w:pPr>
              <w:pStyle w:val="TableParagraph"/>
              <w:spacing w:line="170" w:lineRule="exact"/>
              <w:ind w:right="366"/>
              <w:jc w:val="right"/>
              <w:rPr>
                <w:rFonts w:ascii="宋体" w:hAnsi="宋体" w:cs="宋体" w:eastAsia="宋体" w:hint="default"/>
                <w:sz w:val="16"/>
                <w:szCs w:val="16"/>
              </w:rPr>
            </w:pPr>
            <w:r>
              <w:rPr>
                <w:rFonts w:ascii="宋体" w:hAnsi="宋体" w:cs="宋体" w:eastAsia="宋体" w:hint="default"/>
                <w:sz w:val="16"/>
                <w:szCs w:val="16"/>
              </w:rPr>
              <w:t>股东的损益</w:t>
            </w:r>
          </w:p>
        </w:tc>
        <w:tc>
          <w:tcPr>
            <w:tcW w:w="1818" w:type="dxa"/>
            <w:tcBorders>
              <w:top w:val="nil" w:sz="6" w:space="0" w:color="auto"/>
              <w:left w:val="nil" w:sz="6" w:space="0" w:color="auto"/>
              <w:bottom w:val="single" w:sz="16" w:space="0" w:color="9F8958"/>
              <w:right w:val="nil" w:sz="6" w:space="0" w:color="auto"/>
            </w:tcBorders>
          </w:tcPr>
          <w:p>
            <w:pPr>
              <w:pStyle w:val="TableParagraph"/>
              <w:spacing w:line="170" w:lineRule="exact"/>
              <w:ind w:right="327"/>
              <w:jc w:val="right"/>
              <w:rPr>
                <w:rFonts w:ascii="宋体" w:hAnsi="宋体" w:cs="宋体" w:eastAsia="宋体" w:hint="default"/>
                <w:sz w:val="16"/>
                <w:szCs w:val="16"/>
              </w:rPr>
            </w:pPr>
            <w:r>
              <w:rPr>
                <w:rFonts w:ascii="宋体" w:hAnsi="宋体" w:cs="宋体" w:eastAsia="宋体" w:hint="default"/>
                <w:sz w:val="16"/>
                <w:szCs w:val="16"/>
              </w:rPr>
              <w:t>宣告分派的股利</w:t>
            </w:r>
          </w:p>
        </w:tc>
        <w:tc>
          <w:tcPr>
            <w:tcW w:w="1641" w:type="dxa"/>
            <w:tcBorders>
              <w:top w:val="nil" w:sz="6" w:space="0" w:color="auto"/>
              <w:left w:val="nil" w:sz="6" w:space="0" w:color="auto"/>
              <w:bottom w:val="single" w:sz="16" w:space="0" w:color="9F8958"/>
              <w:right w:val="nil" w:sz="6" w:space="0" w:color="auto"/>
            </w:tcBorders>
          </w:tcPr>
          <w:p>
            <w:pPr>
              <w:pStyle w:val="TableParagraph"/>
              <w:spacing w:line="170" w:lineRule="exact"/>
              <w:ind w:right="111"/>
              <w:jc w:val="right"/>
              <w:rPr>
                <w:rFonts w:ascii="宋体" w:hAnsi="宋体" w:cs="宋体" w:eastAsia="宋体" w:hint="default"/>
                <w:sz w:val="16"/>
                <w:szCs w:val="16"/>
              </w:rPr>
            </w:pPr>
            <w:r>
              <w:rPr>
                <w:rFonts w:ascii="宋体" w:hAnsi="宋体" w:cs="宋体" w:eastAsia="宋体" w:hint="default"/>
                <w:sz w:val="16"/>
                <w:szCs w:val="16"/>
              </w:rPr>
              <w:t>权益余额</w:t>
            </w:r>
          </w:p>
        </w:tc>
      </w:tr>
      <w:tr>
        <w:trPr>
          <w:trHeight w:val="362" w:hRule="exact"/>
        </w:trPr>
        <w:tc>
          <w:tcPr>
            <w:tcW w:w="375" w:type="dxa"/>
            <w:tcBorders>
              <w:top w:val="nil" w:sz="6" w:space="0" w:color="auto"/>
              <w:left w:val="nil" w:sz="6" w:space="0" w:color="auto"/>
              <w:bottom w:val="nil" w:sz="6" w:space="0" w:color="auto"/>
              <w:right w:val="nil" w:sz="6" w:space="0" w:color="auto"/>
            </w:tcBorders>
          </w:tcPr>
          <w:p>
            <w:pPr/>
          </w:p>
        </w:tc>
        <w:tc>
          <w:tcPr>
            <w:tcW w:w="2210"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联通红筹公司</w:t>
            </w:r>
          </w:p>
        </w:tc>
        <w:tc>
          <w:tcPr>
            <w:tcW w:w="175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66"/>
              <w:jc w:val="right"/>
              <w:rPr>
                <w:rFonts w:ascii="宋体" w:hAnsi="宋体" w:cs="宋体" w:eastAsia="宋体" w:hint="default"/>
                <w:sz w:val="16"/>
                <w:szCs w:val="16"/>
              </w:rPr>
            </w:pPr>
            <w:r>
              <w:rPr>
                <w:rFonts w:ascii="宋体"/>
                <w:w w:val="115"/>
                <w:sz w:val="16"/>
              </w:rPr>
              <w:t>56.06%</w:t>
            </w:r>
            <w:r>
              <w:rPr>
                <w:rFonts w:ascii="宋体"/>
                <w:sz w:val="16"/>
              </w:rPr>
            </w:r>
          </w:p>
        </w:tc>
        <w:tc>
          <w:tcPr>
            <w:tcW w:w="185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66"/>
              <w:jc w:val="right"/>
              <w:rPr>
                <w:rFonts w:ascii="宋体" w:hAnsi="宋体" w:cs="宋体" w:eastAsia="宋体" w:hint="default"/>
                <w:sz w:val="16"/>
                <w:szCs w:val="16"/>
              </w:rPr>
            </w:pPr>
            <w:r>
              <w:rPr>
                <w:rFonts w:ascii="宋体"/>
                <w:w w:val="95"/>
                <w:sz w:val="16"/>
              </w:rPr>
              <w:t>3,308,430,868</w:t>
            </w:r>
            <w:r>
              <w:rPr>
                <w:rFonts w:ascii="宋体"/>
                <w:sz w:val="16"/>
              </w:rPr>
            </w:r>
          </w:p>
        </w:tc>
        <w:tc>
          <w:tcPr>
            <w:tcW w:w="181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27"/>
              <w:jc w:val="right"/>
              <w:rPr>
                <w:rFonts w:ascii="宋体" w:hAnsi="宋体" w:cs="宋体" w:eastAsia="宋体" w:hint="default"/>
                <w:sz w:val="16"/>
                <w:szCs w:val="16"/>
              </w:rPr>
            </w:pPr>
            <w:r>
              <w:rPr>
                <w:rFonts w:ascii="宋体"/>
                <w:sz w:val="16"/>
              </w:rPr>
              <w:t>739,548,215</w:t>
            </w:r>
          </w:p>
        </w:tc>
        <w:tc>
          <w:tcPr>
            <w:tcW w:w="164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174,450,543,414</w:t>
            </w:r>
            <w:r>
              <w:rPr>
                <w:rFonts w:ascii="宋体"/>
                <w:sz w:val="16"/>
              </w:rPr>
            </w:r>
          </w:p>
        </w:tc>
      </w:tr>
      <w:tr>
        <w:trPr>
          <w:trHeight w:val="338" w:hRule="exact"/>
        </w:trPr>
        <w:tc>
          <w:tcPr>
            <w:tcW w:w="375" w:type="dxa"/>
            <w:tcBorders>
              <w:top w:val="nil" w:sz="6" w:space="0" w:color="auto"/>
              <w:left w:val="nil" w:sz="6" w:space="0" w:color="auto"/>
              <w:bottom w:val="nil" w:sz="6" w:space="0" w:color="auto"/>
              <w:right w:val="nil" w:sz="6" w:space="0" w:color="auto"/>
            </w:tcBorders>
          </w:tcPr>
          <w:p>
            <w:pPr/>
          </w:p>
        </w:tc>
        <w:tc>
          <w:tcPr>
            <w:tcW w:w="2210"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36"/>
                <w:sz w:val="16"/>
                <w:szCs w:val="16"/>
              </w:rPr>
              <w:t> </w:t>
            </w:r>
            <w:r>
              <w:rPr>
                <w:rFonts w:ascii="宋体" w:hAnsi="宋体" w:cs="宋体" w:eastAsia="宋体" w:hint="default"/>
                <w:sz w:val="16"/>
                <w:szCs w:val="16"/>
              </w:rPr>
              <w:t>BVI</w:t>
            </w:r>
            <w:r>
              <w:rPr>
                <w:rFonts w:ascii="宋体" w:hAnsi="宋体" w:cs="宋体" w:eastAsia="宋体" w:hint="default"/>
                <w:spacing w:val="-36"/>
                <w:sz w:val="16"/>
                <w:szCs w:val="16"/>
              </w:rPr>
              <w:t> </w:t>
            </w:r>
            <w:r>
              <w:rPr>
                <w:rFonts w:ascii="宋体" w:hAnsi="宋体" w:cs="宋体" w:eastAsia="宋体" w:hint="default"/>
                <w:sz w:val="16"/>
                <w:szCs w:val="16"/>
              </w:rPr>
              <w:t>公司</w:t>
            </w:r>
          </w:p>
        </w:tc>
        <w:tc>
          <w:tcPr>
            <w:tcW w:w="1758" w:type="dxa"/>
            <w:tcBorders>
              <w:top w:val="nil" w:sz="6" w:space="0" w:color="auto"/>
              <w:left w:val="nil" w:sz="6" w:space="0" w:color="auto"/>
              <w:bottom w:val="single" w:sz="16" w:space="0" w:color="9F8958"/>
              <w:right w:val="nil" w:sz="6" w:space="0" w:color="auto"/>
            </w:tcBorders>
          </w:tcPr>
          <w:p>
            <w:pPr>
              <w:pStyle w:val="TableParagraph"/>
              <w:spacing w:line="205" w:lineRule="exact"/>
              <w:ind w:right="366"/>
              <w:jc w:val="right"/>
              <w:rPr>
                <w:rFonts w:ascii="宋体" w:hAnsi="宋体" w:cs="宋体" w:eastAsia="宋体" w:hint="default"/>
                <w:sz w:val="16"/>
                <w:szCs w:val="16"/>
              </w:rPr>
            </w:pPr>
            <w:r>
              <w:rPr>
                <w:rFonts w:ascii="宋体"/>
                <w:w w:val="115"/>
                <w:sz w:val="16"/>
              </w:rPr>
              <w:t>17.90%</w:t>
            </w:r>
            <w:r>
              <w:rPr>
                <w:rFonts w:ascii="宋体"/>
                <w:sz w:val="16"/>
              </w:rPr>
            </w:r>
          </w:p>
        </w:tc>
        <w:tc>
          <w:tcPr>
            <w:tcW w:w="1857" w:type="dxa"/>
            <w:tcBorders>
              <w:top w:val="nil" w:sz="6" w:space="0" w:color="auto"/>
              <w:left w:val="nil" w:sz="6" w:space="0" w:color="auto"/>
              <w:bottom w:val="single" w:sz="16" w:space="0" w:color="9F8958"/>
              <w:right w:val="nil" w:sz="6" w:space="0" w:color="auto"/>
            </w:tcBorders>
          </w:tcPr>
          <w:p>
            <w:pPr>
              <w:pStyle w:val="TableParagraph"/>
              <w:spacing w:line="205" w:lineRule="exact"/>
              <w:ind w:right="366"/>
              <w:jc w:val="right"/>
              <w:rPr>
                <w:rFonts w:ascii="宋体" w:hAnsi="宋体" w:cs="宋体" w:eastAsia="宋体" w:hint="default"/>
                <w:sz w:val="16"/>
                <w:szCs w:val="16"/>
              </w:rPr>
            </w:pPr>
            <w:r>
              <w:rPr>
                <w:rFonts w:ascii="宋体"/>
                <w:w w:val="95"/>
                <w:sz w:val="16"/>
              </w:rPr>
              <w:t>5,219,892,088</w:t>
            </w:r>
            <w:r>
              <w:rPr>
                <w:rFonts w:ascii="宋体"/>
                <w:sz w:val="16"/>
              </w:rPr>
            </w:r>
          </w:p>
        </w:tc>
        <w:tc>
          <w:tcPr>
            <w:tcW w:w="1818" w:type="dxa"/>
            <w:tcBorders>
              <w:top w:val="nil" w:sz="6" w:space="0" w:color="auto"/>
              <w:left w:val="nil" w:sz="6" w:space="0" w:color="auto"/>
              <w:bottom w:val="single" w:sz="16" w:space="0" w:color="9F8958"/>
              <w:right w:val="nil" w:sz="6" w:space="0" w:color="auto"/>
            </w:tcBorders>
          </w:tcPr>
          <w:p>
            <w:pPr>
              <w:pStyle w:val="TableParagraph"/>
              <w:spacing w:line="205" w:lineRule="exact"/>
              <w:ind w:right="327"/>
              <w:jc w:val="right"/>
              <w:rPr>
                <w:rFonts w:ascii="宋体" w:hAnsi="宋体" w:cs="宋体" w:eastAsia="宋体" w:hint="default"/>
                <w:sz w:val="16"/>
                <w:szCs w:val="16"/>
              </w:rPr>
            </w:pPr>
            <w:r>
              <w:rPr>
                <w:rFonts w:ascii="宋体"/>
                <w:sz w:val="16"/>
              </w:rPr>
              <w:t>152,458,012</w:t>
            </w:r>
          </w:p>
        </w:tc>
        <w:tc>
          <w:tcPr>
            <w:tcW w:w="1641" w:type="dxa"/>
            <w:tcBorders>
              <w:top w:val="nil" w:sz="6" w:space="0" w:color="auto"/>
              <w:left w:val="nil" w:sz="6" w:space="0" w:color="auto"/>
              <w:bottom w:val="single" w:sz="16" w:space="0" w:color="9F8958"/>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176,795,931,528</w:t>
            </w:r>
            <w:r>
              <w:rPr>
                <w:rFonts w:ascii="宋体"/>
                <w:sz w:val="16"/>
              </w:rPr>
            </w:r>
          </w:p>
        </w:tc>
      </w:tr>
    </w:tbl>
    <w:p>
      <w:pPr>
        <w:spacing w:line="240" w:lineRule="auto" w:before="7"/>
        <w:rPr>
          <w:rFonts w:ascii="宋体" w:hAnsi="宋体" w:cs="宋体" w:eastAsia="宋体" w:hint="default"/>
          <w:sz w:val="13"/>
          <w:szCs w:val="13"/>
        </w:rPr>
      </w:pPr>
    </w:p>
    <w:p>
      <w:pPr>
        <w:pStyle w:val="BodyText"/>
        <w:spacing w:line="285" w:lineRule="auto" w:before="31"/>
        <w:ind w:left="834" w:right="145" w:hanging="341"/>
        <w:jc w:val="left"/>
      </w:pPr>
      <w:r>
        <w:rPr/>
        <w:t>注：本公司直接持有联通</w:t>
      </w:r>
      <w:r>
        <w:rPr>
          <w:spacing w:val="-33"/>
        </w:rPr>
        <w:t> </w:t>
      </w:r>
      <w:r>
        <w:rPr/>
        <w:t>BVI</w:t>
      </w:r>
      <w:r>
        <w:rPr>
          <w:spacing w:val="-10"/>
        </w:rPr>
        <w:t> </w:t>
      </w:r>
      <w:r>
        <w:rPr/>
        <w:t>82.10%</w:t>
      </w:r>
      <w:r>
        <w:rPr>
          <w:spacing w:val="-34"/>
        </w:rPr>
        <w:t> </w:t>
      </w:r>
      <w:r>
        <w:rPr/>
        <w:t>的股份。同时，如附注二</w:t>
      </w:r>
      <w:r>
        <w:rPr>
          <w:spacing w:val="-33"/>
        </w:rPr>
        <w:t> </w:t>
      </w:r>
      <w:r>
        <w:rPr/>
        <w:t>(1)</w:t>
      </w:r>
      <w:r>
        <w:rPr>
          <w:spacing w:val="-10"/>
        </w:rPr>
        <w:t> </w:t>
      </w:r>
      <w:r>
        <w:rPr/>
        <w:t>所述，联通</w:t>
      </w:r>
      <w:r>
        <w:rPr>
          <w:spacing w:val="-33"/>
        </w:rPr>
        <w:t> </w:t>
      </w:r>
      <w:r>
        <w:rPr/>
        <w:t>BVI</w:t>
      </w:r>
      <w:r>
        <w:rPr>
          <w:spacing w:val="-33"/>
        </w:rPr>
        <w:t> </w:t>
      </w:r>
      <w:r>
        <w:rPr/>
        <w:t>直接持有联通红筹公司</w:t>
      </w:r>
      <w:r>
        <w:rPr>
          <w:spacing w:val="-33"/>
        </w:rPr>
        <w:t> </w:t>
      </w:r>
      <w:r>
        <w:rPr/>
        <w:t>53.52%</w:t>
      </w:r>
      <w:r>
        <w:rPr>
          <w:spacing w:val="-34"/>
        </w:rPr>
        <w:t> </w:t>
      </w:r>
      <w:r>
        <w:rPr/>
        <w:t>的</w:t>
      </w:r>
      <w:r>
        <w:rPr>
          <w:spacing w:val="-88"/>
        </w:rPr>
        <w:t> </w:t>
      </w:r>
      <w:r>
        <w:rPr>
          <w:spacing w:val="-88"/>
        </w:rPr>
      </w:r>
      <w:r>
        <w:rPr/>
        <w:t>股份，并通过与联通集团</w:t>
      </w:r>
      <w:r>
        <w:rPr>
          <w:spacing w:val="-41"/>
        </w:rPr>
        <w:t> </w:t>
      </w:r>
      <w:r>
        <w:rPr/>
        <w:t>BVI</w:t>
      </w:r>
      <w:r>
        <w:rPr>
          <w:spacing w:val="-41"/>
        </w:rPr>
        <w:t> </w:t>
      </w:r>
      <w:r>
        <w:rPr/>
        <w:t>签署《一致行动方协议》控制联通红筹公司。</w:t>
      </w:r>
    </w:p>
    <w:p>
      <w:pPr>
        <w:spacing w:line="240" w:lineRule="auto" w:before="10"/>
        <w:rPr>
          <w:rFonts w:ascii="宋体" w:hAnsi="宋体" w:cs="宋体" w:eastAsia="宋体" w:hint="default"/>
          <w:sz w:val="13"/>
          <w:szCs w:val="13"/>
        </w:rPr>
      </w:pPr>
    </w:p>
    <w:p>
      <w:pPr>
        <w:pStyle w:val="BodyText"/>
        <w:spacing w:line="240" w:lineRule="auto"/>
        <w:ind w:left="153" w:right="87"/>
        <w:jc w:val="left"/>
      </w:pPr>
      <w:r>
        <w:rPr/>
        <w:t>(c)</w:t>
      </w:r>
      <w:r>
        <w:rPr>
          <w:spacing w:val="-21"/>
        </w:rPr>
        <w:t> </w:t>
      </w:r>
      <w:r>
        <w:rPr/>
        <w:t>重要非全资子公司的主要财务信息</w:t>
      </w:r>
    </w:p>
    <w:p>
      <w:pPr>
        <w:spacing w:line="240" w:lineRule="auto" w:before="12"/>
        <w:rPr>
          <w:rFonts w:ascii="宋体" w:hAnsi="宋体" w:cs="宋体" w:eastAsia="宋体" w:hint="default"/>
          <w:sz w:val="17"/>
          <w:szCs w:val="17"/>
        </w:rPr>
      </w:pPr>
    </w:p>
    <w:p>
      <w:pPr>
        <w:pStyle w:val="BodyText"/>
        <w:spacing w:line="285" w:lineRule="auto"/>
        <w:ind w:left="493" w:right="87"/>
        <w:jc w:val="left"/>
      </w:pPr>
      <w:r>
        <w:rPr/>
        <w:t>下表列示了上述子公司的主要财务信息，这些子公司的主要财务信息是集团内部交易抵销前的金额，但是经过了合并</w:t>
      </w:r>
      <w:r>
        <w:rPr>
          <w:spacing w:val="7"/>
        </w:rPr>
        <w:t> </w:t>
      </w:r>
      <w:r>
        <w:rPr>
          <w:spacing w:val="7"/>
        </w:rPr>
      </w:r>
      <w:r>
        <w:rPr/>
        <w:t>日公允价值以及统一会计政策的调整：</w:t>
      </w:r>
    </w:p>
    <w:p>
      <w:pPr>
        <w:spacing w:line="240" w:lineRule="auto" w:before="2"/>
        <w:rPr>
          <w:rFonts w:ascii="宋体" w:hAnsi="宋体" w:cs="宋体" w:eastAsia="宋体" w:hint="default"/>
          <w:sz w:val="12"/>
          <w:szCs w:val="12"/>
        </w:rPr>
      </w:pPr>
    </w:p>
    <w:p>
      <w:pPr>
        <w:spacing w:before="41"/>
        <w:ind w:left="6469" w:right="87" w:firstLine="0"/>
        <w:jc w:val="left"/>
        <w:rPr>
          <w:rFonts w:ascii="宋体" w:hAnsi="宋体" w:cs="宋体" w:eastAsia="宋体" w:hint="default"/>
          <w:sz w:val="16"/>
          <w:szCs w:val="16"/>
        </w:rPr>
      </w:pPr>
      <w:r>
        <w:rPr>
          <w:rFonts w:ascii="宋体" w:hAnsi="宋体" w:cs="宋体" w:eastAsia="宋体" w:hint="default"/>
          <w:sz w:val="16"/>
          <w:szCs w:val="16"/>
        </w:rPr>
        <w:t>联通红筹公司（注）</w:t>
      </w:r>
    </w:p>
    <w:p>
      <w:pPr>
        <w:spacing w:line="240" w:lineRule="auto" w:before="1"/>
        <w:rPr>
          <w:rFonts w:ascii="宋体" w:hAnsi="宋体" w:cs="宋体" w:eastAsia="宋体" w:hint="default"/>
          <w:sz w:val="9"/>
          <w:szCs w:val="9"/>
        </w:rPr>
      </w:pPr>
    </w:p>
    <w:p>
      <w:pPr>
        <w:spacing w:line="20" w:lineRule="exact"/>
        <w:ind w:left="4579" w:right="0" w:firstLine="0"/>
        <w:rPr>
          <w:rFonts w:ascii="宋体" w:hAnsi="宋体" w:cs="宋体" w:eastAsia="宋体" w:hint="default"/>
          <w:sz w:val="2"/>
          <w:szCs w:val="2"/>
        </w:rPr>
      </w:pPr>
      <w:r>
        <w:rPr>
          <w:rFonts w:ascii="宋体" w:hAnsi="宋体" w:cs="宋体" w:eastAsia="宋体" w:hint="default"/>
          <w:sz w:val="2"/>
          <w:szCs w:val="2"/>
        </w:rPr>
        <w:pict>
          <v:group style="width:261pt;height:.75pt;mso-position-horizontal-relative:char;mso-position-vertical-relative:line" coordorigin="0,0" coordsize="5220,15">
            <v:group style="position:absolute;left:8;top:8;width:5205;height:2" coordorigin="8,8" coordsize="5205,2">
              <v:shape style="position:absolute;left:8;top:8;width:5205;height:2" coordorigin="8,8" coordsize="5205,0" path="m8,8l5212,8e" filled="false" stroked="true" strokeweight=".7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3"/>
          <w:szCs w:val="3"/>
        </w:rPr>
      </w:pPr>
    </w:p>
    <w:tbl>
      <w:tblPr>
        <w:tblW w:w="0" w:type="auto"/>
        <w:jc w:val="left"/>
        <w:tblInd w:w="47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left="1212" w:right="-1"/>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left="1379" w:right="0"/>
              <w:jc w:val="left"/>
              <w:rPr>
                <w:rFonts w:ascii="宋体" w:hAnsi="宋体" w:cs="宋体" w:eastAsia="宋体" w:hint="default"/>
                <w:sz w:val="16"/>
                <w:szCs w:val="16"/>
              </w:rPr>
            </w:pPr>
            <w:r>
              <w:rPr>
                <w:rFonts w:ascii="宋体"/>
                <w:sz w:val="16"/>
              </w:rPr>
              <w:t>76,810,606,104</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76,711,155,999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left="1290" w:right="0"/>
              <w:jc w:val="left"/>
              <w:rPr>
                <w:rFonts w:ascii="宋体" w:hAnsi="宋体" w:cs="宋体" w:eastAsia="宋体" w:hint="default"/>
                <w:sz w:val="16"/>
                <w:szCs w:val="16"/>
              </w:rPr>
            </w:pPr>
            <w:r>
              <w:rPr>
                <w:rFonts w:ascii="宋体"/>
                <w:sz w:val="16"/>
              </w:rPr>
              <w:t>465,824,691,423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496,842,342,365</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资产合计</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left="1290" w:right="0"/>
              <w:jc w:val="left"/>
              <w:rPr>
                <w:rFonts w:ascii="宋体" w:hAnsi="宋体" w:cs="宋体" w:eastAsia="宋体" w:hint="default"/>
                <w:sz w:val="16"/>
                <w:szCs w:val="16"/>
              </w:rPr>
            </w:pPr>
            <w:r>
              <w:rPr>
                <w:rFonts w:ascii="宋体"/>
                <w:sz w:val="16"/>
              </w:rPr>
              <w:t>542,635,297,527</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573,553,498,364</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left="1290" w:right="0"/>
              <w:jc w:val="left"/>
              <w:rPr>
                <w:rFonts w:ascii="宋体" w:hAnsi="宋体" w:cs="宋体" w:eastAsia="宋体" w:hint="default"/>
                <w:sz w:val="16"/>
                <w:szCs w:val="16"/>
              </w:rPr>
            </w:pPr>
            <w:r>
              <w:rPr>
                <w:rFonts w:ascii="宋体"/>
                <w:sz w:val="16"/>
              </w:rPr>
              <w:t>215,871,866,987</w:t>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242,621,073,258</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left="1379" w:right="0"/>
              <w:jc w:val="left"/>
              <w:rPr>
                <w:rFonts w:ascii="宋体" w:hAnsi="宋体" w:cs="宋体" w:eastAsia="宋体" w:hint="default"/>
                <w:sz w:val="16"/>
                <w:szCs w:val="16"/>
              </w:rPr>
            </w:pPr>
            <w:r>
              <w:rPr>
                <w:rFonts w:ascii="宋体"/>
                <w:sz w:val="16"/>
              </w:rPr>
              <w:t>11,077,089,554</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25,031,232,271</w:t>
            </w:r>
            <w:r>
              <w:rPr>
                <w:rFonts w:ascii="宋体"/>
                <w:sz w:val="16"/>
              </w:rPr>
            </w:r>
          </w:p>
        </w:tc>
      </w:tr>
      <w:tr>
        <w:trPr>
          <w:trHeight w:val="338"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负债合计</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left="1291" w:right="0"/>
              <w:jc w:val="left"/>
              <w:rPr>
                <w:rFonts w:ascii="宋体" w:hAnsi="宋体" w:cs="宋体" w:eastAsia="宋体" w:hint="default"/>
                <w:sz w:val="16"/>
                <w:szCs w:val="16"/>
              </w:rPr>
            </w:pPr>
            <w:r>
              <w:rPr>
                <w:rFonts w:ascii="宋体"/>
                <w:sz w:val="16"/>
              </w:rPr>
              <w:t>226,948,956,541</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267,652,305,529</w:t>
            </w:r>
            <w:r>
              <w:rPr>
                <w:rFonts w:ascii="宋体"/>
                <w:sz w:val="16"/>
              </w:rPr>
            </w:r>
          </w:p>
        </w:tc>
      </w:tr>
      <w:tr>
        <w:trPr>
          <w:trHeight w:val="700" w:hRule="exact"/>
        </w:trPr>
        <w:tc>
          <w:tcPr>
            <w:tcW w:w="4093" w:type="dxa"/>
            <w:tcBorders>
              <w:top w:val="single" w:sz="16" w:space="0" w:color="9F8958"/>
              <w:left w:val="nil" w:sz="6" w:space="0" w:color="auto"/>
              <w:bottom w:val="single" w:sz="16" w:space="0" w:color="9F8958"/>
              <w:right w:val="nil" w:sz="6" w:space="0" w:color="auto"/>
            </w:tcBorders>
          </w:tcPr>
          <w:p>
            <w:pP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营业收入</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left="1290" w:right="0"/>
              <w:jc w:val="left"/>
              <w:rPr>
                <w:rFonts w:ascii="宋体" w:hAnsi="宋体" w:cs="宋体" w:eastAsia="宋体" w:hint="default"/>
                <w:sz w:val="16"/>
                <w:szCs w:val="16"/>
              </w:rPr>
            </w:pPr>
            <w:r>
              <w:rPr>
                <w:rFonts w:ascii="宋体"/>
                <w:sz w:val="16"/>
              </w:rPr>
              <w:t>290,876,776,866</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274,828,946,271</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净利润</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left="1468" w:right="0"/>
              <w:jc w:val="left"/>
              <w:rPr>
                <w:rFonts w:ascii="宋体" w:hAnsi="宋体" w:cs="宋体" w:eastAsia="宋体" w:hint="default"/>
                <w:sz w:val="16"/>
                <w:szCs w:val="16"/>
              </w:rPr>
            </w:pPr>
            <w:r>
              <w:rPr>
                <w:rFonts w:ascii="宋体"/>
                <w:sz w:val="16"/>
              </w:rPr>
              <w:t>9,264,345,879</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1,695,132,026</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综合收益总额</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left="1468" w:right="0"/>
              <w:jc w:val="left"/>
              <w:rPr>
                <w:rFonts w:ascii="宋体" w:hAnsi="宋体" w:cs="宋体" w:eastAsia="宋体" w:hint="default"/>
                <w:sz w:val="16"/>
                <w:szCs w:val="16"/>
              </w:rPr>
            </w:pPr>
            <w:r>
              <w:rPr>
                <w:rFonts w:ascii="宋体"/>
                <w:sz w:val="16"/>
              </w:rPr>
              <w:t>9,019,253,341</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1,465,145,067</w:t>
            </w:r>
            <w:r>
              <w:rPr>
                <w:rFonts w:ascii="宋体"/>
                <w:sz w:val="16"/>
              </w:rPr>
            </w:r>
          </w:p>
        </w:tc>
      </w:tr>
      <w:tr>
        <w:trPr>
          <w:trHeight w:val="338"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经营活动现金流量</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left="1379" w:right="0"/>
              <w:jc w:val="left"/>
              <w:rPr>
                <w:rFonts w:ascii="宋体" w:hAnsi="宋体" w:cs="宋体" w:eastAsia="宋体" w:hint="default"/>
                <w:sz w:val="16"/>
                <w:szCs w:val="16"/>
              </w:rPr>
            </w:pPr>
            <w:r>
              <w:rPr>
                <w:rFonts w:ascii="宋体"/>
                <w:sz w:val="16"/>
              </w:rPr>
              <w:t>94,842,296,822</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91,346,980,466</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493" w:right="87"/>
        <w:jc w:val="left"/>
      </w:pPr>
      <w:r>
        <w:rPr/>
        <w:t>注：联通</w:t>
      </w:r>
      <w:r>
        <w:rPr>
          <w:spacing w:val="-41"/>
        </w:rPr>
        <w:t> </w:t>
      </w:r>
      <w:r>
        <w:rPr/>
        <w:t>BVI</w:t>
      </w:r>
      <w:r>
        <w:rPr>
          <w:spacing w:val="-41"/>
        </w:rPr>
        <w:t> </w:t>
      </w:r>
      <w:r>
        <w:rPr/>
        <w:t>公司并未开展实质业务，故此处仅列示联通红筹公司相关信息。</w:t>
      </w:r>
    </w:p>
    <w:p>
      <w:pPr>
        <w:spacing w:after="0" w:line="240" w:lineRule="auto"/>
        <w:jc w:val="left"/>
        <w:sectPr>
          <w:pgSz w:w="11910" w:h="16160"/>
          <w:pgMar w:header="1200" w:footer="320" w:top="2120" w:bottom="520" w:left="640" w:right="1320"/>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2、</w:t>
      </w:r>
      <w:r>
        <w:rPr>
          <w:spacing w:val="-21"/>
        </w:rPr>
        <w:t> </w:t>
      </w:r>
      <w:r>
        <w:rPr/>
        <w:t>在合营企业或联营企业中的权益</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1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合营企业</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
        </w:tc>
        <w:tc>
          <w:tcPr>
            <w:tcW w:w="2602" w:type="dxa"/>
            <w:tcBorders>
              <w:top w:val="single" w:sz="16" w:space="0" w:color="9F8958"/>
              <w:left w:val="nil" w:sz="6" w:space="0" w:color="auto"/>
              <w:bottom w:val="nil" w:sz="6" w:space="0" w:color="auto"/>
              <w:right w:val="nil" w:sz="6" w:space="0" w:color="auto"/>
            </w:tcBorders>
          </w:tcPr>
          <w:p>
            <w:pP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16"/>
                <w:sz w:val="16"/>
                <w:szCs w:val="16"/>
              </w:rPr>
              <w:t> </w:t>
            </w:r>
            <w:r>
              <w:rPr>
                <w:rFonts w:ascii="宋体" w:hAnsi="宋体" w:cs="宋体" w:eastAsia="宋体" w:hint="default"/>
                <w:sz w:val="16"/>
                <w:szCs w:val="16"/>
              </w:rPr>
              <w:t>重要的合营企业</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3,946,844,039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2,320,400,705</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right="2382"/>
              <w:jc w:val="righ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16"/>
                <w:sz w:val="16"/>
                <w:szCs w:val="16"/>
              </w:rPr>
              <w:t> </w:t>
            </w:r>
            <w:r>
              <w:rPr>
                <w:rFonts w:ascii="宋体" w:hAnsi="宋体" w:cs="宋体" w:eastAsia="宋体" w:hint="default"/>
                <w:sz w:val="16"/>
                <w:szCs w:val="16"/>
              </w:rPr>
              <w:t>不重要的合营企业</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19,539,355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48,059,056</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联营企业</w:t>
            </w:r>
          </w:p>
        </w:tc>
        <w:tc>
          <w:tcPr>
            <w:tcW w:w="2602" w:type="dxa"/>
            <w:tcBorders>
              <w:top w:val="nil" w:sz="6" w:space="0" w:color="auto"/>
              <w:left w:val="nil" w:sz="6" w:space="0" w:color="auto"/>
              <w:bottom w:val="nil" w:sz="6" w:space="0" w:color="auto"/>
              <w:right w:val="nil" w:sz="6" w:space="0" w:color="auto"/>
            </w:tcBorders>
            <w:shd w:val="clear" w:color="auto" w:fill="ECE7DD"/>
          </w:tcPr>
          <w:p>
            <w:pPr/>
          </w:p>
        </w:tc>
        <w:tc>
          <w:tcPr>
            <w:tcW w:w="2602" w:type="dxa"/>
            <w:tcBorders>
              <w:top w:val="nil" w:sz="6" w:space="0" w:color="auto"/>
              <w:left w:val="nil" w:sz="6" w:space="0" w:color="auto"/>
              <w:bottom w:val="nil" w:sz="6" w:space="0" w:color="auto"/>
              <w:right w:val="nil" w:sz="6" w:space="0" w:color="auto"/>
            </w:tcBorders>
          </w:tcPr>
          <w:p>
            <w:pP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16"/>
                <w:sz w:val="16"/>
                <w:szCs w:val="16"/>
              </w:rPr>
              <w:t> </w:t>
            </w:r>
            <w:r>
              <w:rPr>
                <w:rFonts w:ascii="宋体" w:hAnsi="宋体" w:cs="宋体" w:eastAsia="宋体" w:hint="default"/>
                <w:sz w:val="16"/>
                <w:szCs w:val="16"/>
              </w:rPr>
              <w:t>重要的联营企业</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35,498,034,658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33,042,587,194</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right="2382"/>
              <w:jc w:val="righ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16"/>
                <w:sz w:val="16"/>
                <w:szCs w:val="16"/>
              </w:rPr>
              <w:t> </w:t>
            </w:r>
            <w:r>
              <w:rPr>
                <w:rFonts w:ascii="宋体" w:hAnsi="宋体" w:cs="宋体" w:eastAsia="宋体" w:hint="default"/>
                <w:sz w:val="16"/>
                <w:szCs w:val="16"/>
              </w:rPr>
              <w:t>不重要的联营企业</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sz w:val="16"/>
              </w:rPr>
              <w:t>265,415,263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190,664,311</w:t>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39,729,833,315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35,601,711,266</w:t>
            </w:r>
            <w:r>
              <w:rPr>
                <w:rFonts w:ascii="宋体"/>
                <w:sz w:val="16"/>
              </w:rPr>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减：减值准备</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0"/>
                <w:sz w:val="16"/>
              </w:rPr>
              <w:t>(5,958,090)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405"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39,723,875,225</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35,601,711,266</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0"/>
        <w:jc w:val="left"/>
      </w:pPr>
      <w:r>
        <w:rPr/>
        <w:t>3、</w:t>
      </w:r>
      <w:r>
        <w:rPr>
          <w:spacing w:val="-21"/>
        </w:rPr>
        <w:t> </w:t>
      </w:r>
      <w:r>
        <w:rPr/>
        <w:t>重要合营企业的主要财务信息：</w:t>
      </w:r>
    </w:p>
    <w:p>
      <w:pPr>
        <w:spacing w:line="240" w:lineRule="auto" w:before="10"/>
        <w:rPr>
          <w:rFonts w:ascii="宋体" w:hAnsi="宋体" w:cs="宋体" w:eastAsia="宋体" w:hint="default"/>
          <w:sz w:val="14"/>
          <w:szCs w:val="14"/>
        </w:rPr>
      </w:pPr>
    </w:p>
    <w:p>
      <w:pPr>
        <w:spacing w:before="41"/>
        <w:ind w:left="0" w:right="2433" w:firstLine="0"/>
        <w:jc w:val="right"/>
        <w:rPr>
          <w:rFonts w:ascii="宋体" w:hAnsi="宋体" w:cs="宋体" w:eastAsia="宋体" w:hint="default"/>
          <w:sz w:val="16"/>
          <w:szCs w:val="16"/>
        </w:rPr>
      </w:pPr>
      <w:r>
        <w:rPr>
          <w:rFonts w:ascii="宋体" w:hAnsi="宋体" w:cs="宋体" w:eastAsia="宋体" w:hint="default"/>
          <w:sz w:val="16"/>
          <w:szCs w:val="16"/>
        </w:rPr>
        <w:t>合营企业</w:t>
      </w:r>
    </w:p>
    <w:p>
      <w:pPr>
        <w:spacing w:line="240" w:lineRule="auto" w:before="1"/>
        <w:rPr>
          <w:rFonts w:ascii="宋体" w:hAnsi="宋体" w:cs="宋体" w:eastAsia="宋体" w:hint="default"/>
          <w:sz w:val="9"/>
          <w:szCs w:val="9"/>
        </w:rPr>
      </w:pPr>
    </w:p>
    <w:p>
      <w:pPr>
        <w:spacing w:line="20" w:lineRule="exact"/>
        <w:ind w:left="4539" w:right="0" w:firstLine="0"/>
        <w:rPr>
          <w:rFonts w:ascii="宋体" w:hAnsi="宋体" w:cs="宋体" w:eastAsia="宋体" w:hint="default"/>
          <w:sz w:val="2"/>
          <w:szCs w:val="2"/>
        </w:rPr>
      </w:pPr>
      <w:r>
        <w:rPr>
          <w:rFonts w:ascii="宋体" w:hAnsi="宋体" w:cs="宋体" w:eastAsia="宋体" w:hint="default"/>
          <w:sz w:val="2"/>
          <w:szCs w:val="2"/>
        </w:rPr>
        <w:pict>
          <v:group style="width:261pt;height:.75pt;mso-position-horizontal-relative:char;mso-position-vertical-relative:line" coordorigin="0,0" coordsize="5220,15">
            <v:group style="position:absolute;left:8;top:8;width:5205;height:2" coordorigin="8,8" coordsize="5205,2">
              <v:shape style="position:absolute;left:8;top:8;width:5205;height:2" coordorigin="8,8" coordsize="5205,0" path="m8,8l5212,8e" filled="false" stroked="true" strokeweight=".75pt" strokecolor="#000000">
                <v:path arrowok="t"/>
              </v:shape>
            </v:group>
          </v:group>
        </w:pict>
      </w:r>
      <w:r>
        <w:rPr>
          <w:rFonts w:ascii="宋体" w:hAnsi="宋体" w:cs="宋体" w:eastAsia="宋体" w:hint="default"/>
          <w:sz w:val="2"/>
          <w:szCs w:val="2"/>
        </w:rPr>
      </w:r>
    </w:p>
    <w:p>
      <w:pPr>
        <w:spacing w:before="59"/>
        <w:ind w:left="6349" w:right="0" w:firstLine="0"/>
        <w:jc w:val="left"/>
        <w:rPr>
          <w:rFonts w:ascii="宋体" w:hAnsi="宋体" w:cs="宋体" w:eastAsia="宋体" w:hint="default"/>
          <w:sz w:val="16"/>
          <w:szCs w:val="16"/>
        </w:rPr>
      </w:pPr>
      <w:r>
        <w:rPr>
          <w:rFonts w:ascii="宋体" w:hAnsi="宋体" w:cs="宋体" w:eastAsia="宋体" w:hint="default"/>
          <w:sz w:val="16"/>
          <w:szCs w:val="16"/>
        </w:rPr>
        <w:t>招联消费金融有限公司</w:t>
      </w:r>
    </w:p>
    <w:p>
      <w:pPr>
        <w:spacing w:line="240" w:lineRule="auto" w:before="1"/>
        <w:rPr>
          <w:rFonts w:ascii="宋体" w:hAnsi="宋体" w:cs="宋体" w:eastAsia="宋体" w:hint="default"/>
          <w:sz w:val="9"/>
          <w:szCs w:val="9"/>
        </w:rPr>
      </w:pPr>
    </w:p>
    <w:p>
      <w:pPr>
        <w:spacing w:line="20" w:lineRule="exact"/>
        <w:ind w:left="4539" w:right="0" w:firstLine="0"/>
        <w:rPr>
          <w:rFonts w:ascii="宋体" w:hAnsi="宋体" w:cs="宋体" w:eastAsia="宋体" w:hint="default"/>
          <w:sz w:val="2"/>
          <w:szCs w:val="2"/>
        </w:rPr>
      </w:pPr>
      <w:r>
        <w:rPr>
          <w:rFonts w:ascii="宋体" w:hAnsi="宋体" w:cs="宋体" w:eastAsia="宋体" w:hint="default"/>
          <w:sz w:val="2"/>
          <w:szCs w:val="2"/>
        </w:rPr>
        <w:pict>
          <v:group style="width:261pt;height:.75pt;mso-position-horizontal-relative:char;mso-position-vertical-relative:line" coordorigin="0,0" coordsize="5220,15">
            <v:group style="position:absolute;left:8;top:8;width:5205;height:2" coordorigin="8,8" coordsize="5205,2">
              <v:shape style="position:absolute;left:8;top:8;width:5205;height:2" coordorigin="8,8" coordsize="5205,0" path="m8,8l5212,8e" filled="false" stroked="true" strokeweight=".7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3"/>
          <w:szCs w:val="3"/>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资产合计</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74,748,342,298</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46,979,846,594</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负债合计</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66,854,654,220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42,339,045,184</w:t>
            </w:r>
            <w:r>
              <w:rPr>
                <w:rFonts w:ascii="宋体"/>
                <w:sz w:val="16"/>
              </w:rPr>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净资产</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7,893,688,078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4,640,801,410</w:t>
            </w:r>
            <w:r>
              <w:rPr>
                <w:rFonts w:ascii="宋体"/>
                <w:sz w:val="16"/>
              </w:rPr>
            </w:r>
          </w:p>
        </w:tc>
      </w:tr>
      <w:tr>
        <w:trPr>
          <w:trHeight w:val="405"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对合营企业投资的账面价值</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3,946,844,039</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2,320,400,705</w:t>
            </w:r>
            <w:r>
              <w:rPr>
                <w:rFonts w:ascii="宋体"/>
                <w:sz w:val="16"/>
              </w:rPr>
            </w:r>
          </w:p>
        </w:tc>
      </w:tr>
      <w:tr>
        <w:trPr>
          <w:trHeight w:val="700" w:hRule="exact"/>
        </w:trPr>
        <w:tc>
          <w:tcPr>
            <w:tcW w:w="4093" w:type="dxa"/>
            <w:tcBorders>
              <w:top w:val="single" w:sz="16" w:space="0" w:color="9F8958"/>
              <w:left w:val="nil" w:sz="6" w:space="0" w:color="auto"/>
              <w:bottom w:val="single" w:sz="16" w:space="0" w:color="9F8958"/>
              <w:right w:val="nil" w:sz="6" w:space="0" w:color="auto"/>
            </w:tcBorders>
          </w:tcPr>
          <w:p>
            <w:pP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营业收入</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6,956,405,568</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4,162,583,749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净利润</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1,252,886,668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1,188,994,859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其他综合收益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综合收益总额</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1,252,886,668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1,188,994,859</w:t>
            </w:r>
            <w:r>
              <w:rPr>
                <w:rFonts w:ascii="宋体"/>
                <w:sz w:val="16"/>
              </w:rPr>
            </w:r>
          </w:p>
        </w:tc>
      </w:tr>
      <w:tr>
        <w:trPr>
          <w:trHeight w:val="338"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本年收到的来自合营企业的股利</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bl>
    <w:p>
      <w:pPr>
        <w:spacing w:after="0" w:line="205" w:lineRule="exact"/>
        <w:jc w:val="right"/>
        <w:rPr>
          <w:rFonts w:ascii="宋体" w:hAnsi="宋体" w:cs="宋体" w:eastAsia="宋体" w:hint="default"/>
          <w:sz w:val="16"/>
          <w:szCs w:val="16"/>
        </w:rPr>
        <w:sectPr>
          <w:headerReference w:type="default" r:id="rId336"/>
          <w:headerReference w:type="even" r:id="rId337"/>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七、在其他主体中的权益（续）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4、</w:t>
      </w:r>
      <w:r>
        <w:rPr>
          <w:spacing w:val="-21"/>
        </w:rPr>
        <w:t> </w:t>
      </w:r>
      <w:r>
        <w:rPr/>
        <w:t>重要联营企业的主要财务信息：</w:t>
      </w:r>
    </w:p>
    <w:p>
      <w:pPr>
        <w:spacing w:line="240" w:lineRule="auto" w:before="10"/>
        <w:rPr>
          <w:rFonts w:ascii="宋体" w:hAnsi="宋体" w:cs="宋体" w:eastAsia="宋体" w:hint="default"/>
          <w:sz w:val="14"/>
          <w:szCs w:val="14"/>
        </w:rPr>
      </w:pPr>
    </w:p>
    <w:p>
      <w:pPr>
        <w:spacing w:before="41"/>
        <w:ind w:left="0" w:right="2434" w:firstLine="0"/>
        <w:jc w:val="right"/>
        <w:rPr>
          <w:rFonts w:ascii="宋体" w:hAnsi="宋体" w:cs="宋体" w:eastAsia="宋体" w:hint="default"/>
          <w:sz w:val="16"/>
          <w:szCs w:val="16"/>
        </w:rPr>
      </w:pPr>
      <w:r>
        <w:rPr>
          <w:rFonts w:ascii="宋体" w:hAnsi="宋体" w:cs="宋体" w:eastAsia="宋体" w:hint="default"/>
          <w:sz w:val="16"/>
          <w:szCs w:val="16"/>
        </w:rPr>
        <w:t>联营企业</w:t>
      </w:r>
    </w:p>
    <w:p>
      <w:pPr>
        <w:spacing w:line="240" w:lineRule="auto" w:before="1"/>
        <w:rPr>
          <w:rFonts w:ascii="宋体" w:hAnsi="宋体" w:cs="宋体" w:eastAsia="宋体" w:hint="default"/>
          <w:sz w:val="9"/>
          <w:szCs w:val="9"/>
        </w:rPr>
      </w:pPr>
    </w:p>
    <w:p>
      <w:pPr>
        <w:spacing w:line="20" w:lineRule="exact"/>
        <w:ind w:left="4539" w:right="0" w:firstLine="0"/>
        <w:rPr>
          <w:rFonts w:ascii="宋体" w:hAnsi="宋体" w:cs="宋体" w:eastAsia="宋体" w:hint="default"/>
          <w:sz w:val="2"/>
          <w:szCs w:val="2"/>
        </w:rPr>
      </w:pPr>
      <w:r>
        <w:rPr>
          <w:rFonts w:ascii="宋体" w:hAnsi="宋体" w:cs="宋体" w:eastAsia="宋体" w:hint="default"/>
          <w:sz w:val="2"/>
          <w:szCs w:val="2"/>
        </w:rPr>
        <w:pict>
          <v:group style="width:261pt;height:.75pt;mso-position-horizontal-relative:char;mso-position-vertical-relative:line" coordorigin="0,0" coordsize="5220,15">
            <v:group style="position:absolute;left:8;top:8;width:5205;height:2" coordorigin="8,8" coordsize="5205,2">
              <v:shape style="position:absolute;left:8;top:8;width:5205;height:2" coordorigin="8,8" coordsize="5205,0" path="m8,8l5212,8e" filled="false" stroked="true" strokeweight=".75pt" strokecolor="#000000">
                <v:path arrowok="t"/>
              </v:shape>
            </v:group>
          </v:group>
        </w:pict>
      </w:r>
      <w:r>
        <w:rPr>
          <w:rFonts w:ascii="宋体" w:hAnsi="宋体" w:cs="宋体" w:eastAsia="宋体" w:hint="default"/>
          <w:sz w:val="2"/>
          <w:szCs w:val="2"/>
        </w:rPr>
      </w:r>
    </w:p>
    <w:p>
      <w:pPr>
        <w:spacing w:before="59"/>
        <w:ind w:left="0" w:right="2434" w:firstLine="0"/>
        <w:jc w:val="right"/>
        <w:rPr>
          <w:rFonts w:ascii="宋体" w:hAnsi="宋体" w:cs="宋体" w:eastAsia="宋体" w:hint="default"/>
          <w:sz w:val="16"/>
          <w:szCs w:val="16"/>
        </w:rPr>
      </w:pPr>
      <w:r>
        <w:rPr>
          <w:rFonts w:ascii="宋体" w:hAnsi="宋体" w:cs="宋体" w:eastAsia="宋体" w:hint="default"/>
          <w:sz w:val="16"/>
          <w:szCs w:val="16"/>
        </w:rPr>
        <w:t>铁塔公司</w:t>
      </w:r>
    </w:p>
    <w:p>
      <w:pPr>
        <w:spacing w:line="240" w:lineRule="auto" w:before="1"/>
        <w:rPr>
          <w:rFonts w:ascii="宋体" w:hAnsi="宋体" w:cs="宋体" w:eastAsia="宋体" w:hint="default"/>
          <w:sz w:val="9"/>
          <w:szCs w:val="9"/>
        </w:rPr>
      </w:pPr>
    </w:p>
    <w:p>
      <w:pPr>
        <w:spacing w:line="20" w:lineRule="exact"/>
        <w:ind w:left="4539" w:right="0" w:firstLine="0"/>
        <w:rPr>
          <w:rFonts w:ascii="宋体" w:hAnsi="宋体" w:cs="宋体" w:eastAsia="宋体" w:hint="default"/>
          <w:sz w:val="2"/>
          <w:szCs w:val="2"/>
        </w:rPr>
      </w:pPr>
      <w:r>
        <w:rPr>
          <w:rFonts w:ascii="宋体" w:hAnsi="宋体" w:cs="宋体" w:eastAsia="宋体" w:hint="default"/>
          <w:sz w:val="2"/>
          <w:szCs w:val="2"/>
        </w:rPr>
        <w:pict>
          <v:group style="width:261pt;height:.75pt;mso-position-horizontal-relative:char;mso-position-vertical-relative:line" coordorigin="0,0" coordsize="5220,15">
            <v:group style="position:absolute;left:8;top:8;width:5205;height:2" coordorigin="8,8" coordsize="5205,2">
              <v:shape style="position:absolute;left:8;top:8;width:5205;height:2" coordorigin="8,8" coordsize="5205,0" path="m8,8l5212,8e" filled="false" stroked="true" strokeweight=".7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3"/>
          <w:szCs w:val="3"/>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流动资产</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31,799,158,777</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30,516,743,720</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非流动资产</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283,566,049,953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292,125,914,031</w:t>
            </w:r>
            <w:r>
              <w:rPr>
                <w:rFonts w:ascii="宋体"/>
                <w:sz w:val="16"/>
              </w:rPr>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资产合计</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315,365,208,730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322,642,657,751</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流动负债</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114,759,573,436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150,437,967,922</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非流动负债</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20,102,298,786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44,710,201,036</w:t>
            </w:r>
            <w:r>
              <w:rPr>
                <w:rFonts w:ascii="宋体"/>
                <w:sz w:val="16"/>
              </w:rPr>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负债合计</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134,861,872,222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195,148,168,958</w:t>
            </w:r>
            <w:r>
              <w:rPr>
                <w:rFonts w:ascii="宋体"/>
                <w:sz w:val="16"/>
              </w:rPr>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净资产</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180,503,336,508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127,494,488,793</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调整为本集团对联营企业权益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37,277,907,313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35,825,951,351</w:t>
            </w:r>
            <w:r>
              <w:rPr>
                <w:rFonts w:ascii="宋体"/>
                <w:sz w:val="16"/>
              </w:rPr>
            </w:r>
          </w:p>
        </w:tc>
      </w:tr>
      <w:tr>
        <w:trPr>
          <w:trHeight w:val="23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递延实现的本集团出售铁塔资产收益调</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(1,779,872,655)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(2,783,364,157)</w:t>
            </w:r>
            <w:r>
              <w:rPr>
                <w:rFonts w:ascii="宋体"/>
                <w:sz w:val="16"/>
              </w:rPr>
            </w:r>
          </w:p>
        </w:tc>
      </w:tr>
      <w:tr>
        <w:trPr>
          <w:trHeight w:val="30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168" w:lineRule="exact"/>
              <w:ind w:left="113" w:right="0"/>
              <w:jc w:val="left"/>
              <w:rPr>
                <w:rFonts w:ascii="宋体" w:hAnsi="宋体" w:cs="宋体" w:eastAsia="宋体" w:hint="default"/>
                <w:sz w:val="16"/>
                <w:szCs w:val="16"/>
              </w:rPr>
            </w:pPr>
            <w:r>
              <w:rPr>
                <w:rFonts w:ascii="宋体" w:hAnsi="宋体" w:cs="宋体" w:eastAsia="宋体" w:hint="default"/>
                <w:sz w:val="16"/>
                <w:szCs w:val="16"/>
              </w:rPr>
              <w:t>整</w:t>
            </w:r>
          </w:p>
        </w:tc>
        <w:tc>
          <w:tcPr>
            <w:tcW w:w="2602" w:type="dxa"/>
            <w:tcBorders>
              <w:top w:val="nil" w:sz="6" w:space="0" w:color="auto"/>
              <w:left w:val="nil" w:sz="6" w:space="0" w:color="auto"/>
              <w:bottom w:val="nil" w:sz="6" w:space="0" w:color="auto"/>
              <w:right w:val="nil" w:sz="6" w:space="0" w:color="auto"/>
            </w:tcBorders>
            <w:shd w:val="clear" w:color="auto" w:fill="ECE7DD"/>
          </w:tcPr>
          <w:p>
            <w:pPr/>
          </w:p>
        </w:tc>
        <w:tc>
          <w:tcPr>
            <w:tcW w:w="2602" w:type="dxa"/>
            <w:tcBorders>
              <w:top w:val="nil" w:sz="6" w:space="0" w:color="auto"/>
              <w:left w:val="nil" w:sz="6" w:space="0" w:color="auto"/>
              <w:bottom w:val="nil" w:sz="6" w:space="0" w:color="auto"/>
              <w:right w:val="nil" w:sz="6" w:space="0" w:color="auto"/>
            </w:tcBorders>
          </w:tcPr>
          <w:p>
            <w:pPr/>
          </w:p>
        </w:tc>
      </w:tr>
      <w:tr>
        <w:trPr>
          <w:trHeight w:val="405"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4" w:right="0"/>
              <w:jc w:val="left"/>
              <w:rPr>
                <w:rFonts w:ascii="宋体" w:hAnsi="宋体" w:cs="宋体" w:eastAsia="宋体" w:hint="default"/>
                <w:sz w:val="16"/>
                <w:szCs w:val="16"/>
              </w:rPr>
            </w:pPr>
            <w:r>
              <w:rPr>
                <w:rFonts w:ascii="宋体" w:hAnsi="宋体" w:cs="宋体" w:eastAsia="宋体" w:hint="default"/>
                <w:sz w:val="16"/>
                <w:szCs w:val="16"/>
              </w:rPr>
              <w:t>对联营企业投资的账面价值</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35,498,034,658</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33,042,587,194</w:t>
            </w:r>
            <w:r>
              <w:rPr>
                <w:rFonts w:ascii="宋体"/>
                <w:sz w:val="16"/>
              </w:rPr>
            </w:r>
          </w:p>
        </w:tc>
      </w:tr>
      <w:tr>
        <w:trPr>
          <w:trHeight w:val="700" w:hRule="exact"/>
        </w:trPr>
        <w:tc>
          <w:tcPr>
            <w:tcW w:w="4093" w:type="dxa"/>
            <w:tcBorders>
              <w:top w:val="single" w:sz="16" w:space="0" w:color="9F8958"/>
              <w:left w:val="nil" w:sz="6" w:space="0" w:color="auto"/>
              <w:bottom w:val="single" w:sz="16" w:space="0" w:color="9F8958"/>
              <w:right w:val="nil" w:sz="6" w:space="0" w:color="auto"/>
            </w:tcBorders>
          </w:tcPr>
          <w:p>
            <w:pP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营业收入</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71,818,510,385</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68,664,688,782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净利润</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2,650,669,225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1,942,621,042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其他综合收益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综合收益总额</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2,650,669,225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1,942,621,042</w:t>
            </w:r>
            <w:r>
              <w:rPr>
                <w:rFonts w:ascii="宋体"/>
                <w:sz w:val="16"/>
              </w:rPr>
            </w:r>
          </w:p>
        </w:tc>
      </w:tr>
      <w:tr>
        <w:trPr>
          <w:trHeight w:val="338"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本年收到的来自联营企业的股利</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bl>
    <w:p>
      <w:pPr>
        <w:spacing w:after="0" w:line="205" w:lineRule="exact"/>
        <w:jc w:val="right"/>
        <w:rPr>
          <w:rFonts w:ascii="宋体" w:hAnsi="宋体" w:cs="宋体" w:eastAsia="宋体" w:hint="default"/>
          <w:sz w:val="16"/>
          <w:szCs w:val="16"/>
        </w:rPr>
        <w:sectPr>
          <w:pgSz w:w="11910" w:h="16160"/>
          <w:pgMar w:header="1200" w:footer="320" w:top="2120" w:bottom="520" w:left="6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0"/>
        <w:jc w:val="left"/>
        <w:rPr>
          <w:rFonts w:ascii="宋体" w:hAnsi="宋体" w:cs="宋体" w:eastAsia="宋体" w:hint="default"/>
        </w:rPr>
      </w:pPr>
      <w:r>
        <w:rPr>
          <w:rFonts w:ascii="宋体" w:hAnsi="宋体" w:cs="宋体" w:eastAsia="宋体" w:hint="default"/>
          <w:color w:val="9F8958"/>
        </w:rPr>
        <w:t>八、金融工具及其风险</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0"/>
        <w:jc w:val="left"/>
      </w:pPr>
      <w:r>
        <w:rPr/>
        <w:t>1、</w:t>
      </w:r>
      <w:r>
        <w:rPr>
          <w:spacing w:val="-21"/>
        </w:rPr>
        <w:t> </w:t>
      </w:r>
      <w:r>
        <w:rPr/>
        <w:t>金融风险因素</w:t>
      </w:r>
    </w:p>
    <w:p>
      <w:pPr>
        <w:spacing w:line="240" w:lineRule="auto" w:before="12"/>
        <w:rPr>
          <w:rFonts w:ascii="宋体" w:hAnsi="宋体" w:cs="宋体" w:eastAsia="宋体" w:hint="default"/>
          <w:sz w:val="17"/>
          <w:szCs w:val="17"/>
        </w:rPr>
      </w:pPr>
    </w:p>
    <w:p>
      <w:pPr>
        <w:pStyle w:val="BodyText"/>
        <w:spacing w:line="285" w:lineRule="auto"/>
        <w:ind w:right="148"/>
        <w:jc w:val="both"/>
      </w:pPr>
      <w:r>
        <w:rPr/>
        <w:t>本集团的经营活动会涉及各种金融风险，包括：市场风险（包括外汇风险、价格风险、现金流量利率风险及公允价值</w:t>
      </w:r>
      <w:r>
        <w:rPr>
          <w:spacing w:val="1"/>
        </w:rPr>
        <w:t> </w:t>
      </w:r>
      <w:r>
        <w:rPr>
          <w:spacing w:val="1"/>
        </w:rPr>
      </w:r>
      <w:r>
        <w:rPr/>
        <w:t>利率风险），信用风险和流动性风险。本集团整体风险管理计划是针对金融市场的不可预见性，尽可能减少对本集团</w:t>
      </w:r>
      <w:r>
        <w:rPr>
          <w:spacing w:val="4"/>
        </w:rPr>
        <w:t> </w:t>
      </w:r>
      <w:r>
        <w:rPr>
          <w:spacing w:val="4"/>
        </w:rPr>
      </w:r>
      <w:r>
        <w:rPr/>
        <w:t>财务业绩的潜在不利影响。</w:t>
      </w:r>
    </w:p>
    <w:p>
      <w:pPr>
        <w:spacing w:line="240" w:lineRule="auto" w:before="10"/>
        <w:rPr>
          <w:rFonts w:ascii="宋体" w:hAnsi="宋体" w:cs="宋体" w:eastAsia="宋体" w:hint="default"/>
          <w:sz w:val="13"/>
          <w:szCs w:val="13"/>
        </w:rPr>
      </w:pPr>
    </w:p>
    <w:p>
      <w:pPr>
        <w:pStyle w:val="BodyText"/>
        <w:spacing w:line="240" w:lineRule="auto"/>
        <w:ind w:left="114" w:right="0"/>
        <w:jc w:val="left"/>
      </w:pPr>
      <w:r>
        <w:rPr>
          <w:w w:val="95"/>
        </w:rPr>
        <w:t>(a)</w:t>
      </w:r>
      <w:r>
        <w:rPr>
          <w:spacing w:val="33"/>
          <w:w w:val="95"/>
        </w:rPr>
        <w:t> </w:t>
      </w:r>
      <w:r>
        <w:rPr>
          <w:w w:val="95"/>
        </w:rPr>
        <w:t>市场风险</w:t>
      </w:r>
    </w:p>
    <w:p>
      <w:pPr>
        <w:spacing w:line="240" w:lineRule="auto" w:before="12"/>
        <w:rPr>
          <w:rFonts w:ascii="宋体" w:hAnsi="宋体" w:cs="宋体" w:eastAsia="宋体" w:hint="default"/>
          <w:sz w:val="17"/>
          <w:szCs w:val="17"/>
        </w:rPr>
      </w:pPr>
    </w:p>
    <w:p>
      <w:pPr>
        <w:pStyle w:val="BodyText"/>
        <w:spacing w:line="240" w:lineRule="auto"/>
        <w:ind w:right="0"/>
        <w:jc w:val="both"/>
      </w:pPr>
      <w:r>
        <w:rPr/>
        <w:t>(1)</w:t>
      </w:r>
      <w:r>
        <w:rPr>
          <w:spacing w:val="19"/>
        </w:rPr>
        <w:t> </w:t>
      </w:r>
      <w:r>
        <w:rPr/>
        <w:t>汇率风险</w:t>
      </w:r>
    </w:p>
    <w:p>
      <w:pPr>
        <w:spacing w:line="240" w:lineRule="auto" w:before="5"/>
        <w:rPr>
          <w:rFonts w:ascii="宋体" w:hAnsi="宋体" w:cs="宋体" w:eastAsia="宋体" w:hint="default"/>
          <w:sz w:val="16"/>
          <w:szCs w:val="16"/>
        </w:rPr>
      </w:pPr>
    </w:p>
    <w:p>
      <w:pPr>
        <w:pStyle w:val="BodyText"/>
        <w:spacing w:line="285" w:lineRule="auto"/>
        <w:ind w:right="148"/>
        <w:jc w:val="both"/>
      </w:pPr>
      <w:r>
        <w:rPr/>
        <w:t>本集团的主要经营位于中国境内，主要业务也以人民币结算。但本集团承受因多种不同货币产生的外汇风险，主要涉</w:t>
      </w:r>
      <w:r>
        <w:rPr>
          <w:spacing w:val="5"/>
        </w:rPr>
        <w:t> </w:t>
      </w:r>
      <w:r>
        <w:rPr>
          <w:spacing w:val="5"/>
        </w:rPr>
      </w:r>
      <w:r>
        <w:rPr/>
        <w:t>及美元、港币和欧元等，如以外币支付款项予设备供货商和承办商或贷款人等情况下，即存在外汇风险。</w:t>
      </w:r>
    </w:p>
    <w:p>
      <w:pPr>
        <w:spacing w:line="240" w:lineRule="auto" w:before="10"/>
        <w:rPr>
          <w:rFonts w:ascii="宋体" w:hAnsi="宋体" w:cs="宋体" w:eastAsia="宋体" w:hint="default"/>
          <w:sz w:val="13"/>
          <w:szCs w:val="13"/>
        </w:rPr>
      </w:pPr>
    </w:p>
    <w:p>
      <w:pPr>
        <w:pStyle w:val="BodyText"/>
        <w:spacing w:line="285" w:lineRule="auto"/>
        <w:ind w:right="152"/>
        <w:jc w:val="both"/>
      </w:pPr>
      <w:r>
        <w:rPr/>
        <w:t>本集团资金管理中心负责监管集团外币资产及负债规模。本集团可能签署远期外汇合约或货币掉期合约以规避外汇风</w:t>
      </w:r>
      <w:r>
        <w:rPr>
          <w:spacing w:val="9"/>
        </w:rPr>
        <w:t> </w:t>
      </w:r>
      <w:r>
        <w:rPr>
          <w:spacing w:val="9"/>
        </w:rPr>
      </w:r>
      <w:r>
        <w:rPr/>
        <w:t>险。于</w:t>
      </w:r>
      <w:r>
        <w:rPr>
          <w:spacing w:val="-25"/>
        </w:rPr>
        <w:t> </w:t>
      </w:r>
      <w:r>
        <w:rPr/>
        <w:t>2018</w:t>
      </w:r>
      <w:r>
        <w:rPr>
          <w:spacing w:val="-27"/>
        </w:rPr>
        <w:t> </w:t>
      </w:r>
      <w:r>
        <w:rPr/>
        <w:t>年度以及</w:t>
      </w:r>
      <w:r>
        <w:rPr>
          <w:spacing w:val="-25"/>
        </w:rPr>
        <w:t> </w:t>
      </w:r>
      <w:r>
        <w:rPr/>
        <w:t>2017</w:t>
      </w:r>
      <w:r>
        <w:rPr>
          <w:spacing w:val="-27"/>
        </w:rPr>
        <w:t> </w:t>
      </w:r>
      <w:r>
        <w:rPr/>
        <w:t>年度，本集团未签署任何远期外汇合约或货币掉期合约。</w:t>
      </w:r>
    </w:p>
    <w:p>
      <w:pPr>
        <w:spacing w:line="240" w:lineRule="auto" w:before="10"/>
        <w:rPr>
          <w:rFonts w:ascii="宋体" w:hAnsi="宋体" w:cs="宋体" w:eastAsia="宋体" w:hint="default"/>
          <w:sz w:val="13"/>
          <w:szCs w:val="13"/>
        </w:rPr>
      </w:pPr>
    </w:p>
    <w:p>
      <w:pPr>
        <w:pStyle w:val="BodyText"/>
        <w:spacing w:line="240" w:lineRule="auto"/>
        <w:ind w:right="0"/>
        <w:jc w:val="both"/>
      </w:pPr>
      <w:r>
        <w:rPr/>
        <w:t>本集团适用的折算汇率分析如下：</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13" w:right="0"/>
              <w:jc w:val="left"/>
              <w:rPr>
                <w:rFonts w:ascii="宋体" w:hAnsi="宋体" w:cs="宋体" w:eastAsia="宋体" w:hint="default"/>
                <w:sz w:val="16"/>
                <w:szCs w:val="16"/>
              </w:rPr>
            </w:pPr>
            <w:r>
              <w:rPr>
                <w:rFonts w:ascii="宋体" w:hAnsi="宋体" w:cs="宋体" w:eastAsia="宋体" w:hint="default"/>
                <w:sz w:val="16"/>
                <w:szCs w:val="16"/>
              </w:rPr>
              <w:t>币种</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美元</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美元</w:t>
            </w:r>
            <w:r>
              <w:rPr>
                <w:rFonts w:ascii="宋体" w:hAnsi="宋体" w:cs="宋体" w:eastAsia="宋体" w:hint="default"/>
                <w:spacing w:val="-55"/>
                <w:w w:val="105"/>
                <w:sz w:val="16"/>
                <w:szCs w:val="16"/>
              </w:rPr>
              <w:t> </w:t>
            </w:r>
            <w:r>
              <w:rPr>
                <w:rFonts w:ascii="宋体" w:hAnsi="宋体" w:cs="宋体" w:eastAsia="宋体" w:hint="default"/>
                <w:w w:val="105"/>
                <w:sz w:val="16"/>
                <w:szCs w:val="16"/>
              </w:rPr>
              <w:t>=6.8632</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美元</w:t>
            </w:r>
            <w:r>
              <w:rPr>
                <w:rFonts w:ascii="宋体" w:hAnsi="宋体" w:cs="宋体" w:eastAsia="宋体" w:hint="default"/>
                <w:spacing w:val="-55"/>
                <w:w w:val="105"/>
                <w:sz w:val="16"/>
                <w:szCs w:val="16"/>
              </w:rPr>
              <w:t> </w:t>
            </w:r>
            <w:r>
              <w:rPr>
                <w:rFonts w:ascii="宋体" w:hAnsi="宋体" w:cs="宋体" w:eastAsia="宋体" w:hint="default"/>
                <w:w w:val="105"/>
                <w:sz w:val="16"/>
                <w:szCs w:val="16"/>
              </w:rPr>
              <w:t>=6.5342</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港币</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港币</w:t>
            </w:r>
            <w:r>
              <w:rPr>
                <w:rFonts w:ascii="宋体" w:hAnsi="宋体" w:cs="宋体" w:eastAsia="宋体" w:hint="default"/>
                <w:spacing w:val="-55"/>
                <w:w w:val="105"/>
                <w:sz w:val="16"/>
                <w:szCs w:val="16"/>
              </w:rPr>
              <w:t> </w:t>
            </w:r>
            <w:r>
              <w:rPr>
                <w:rFonts w:ascii="宋体" w:hAnsi="宋体" w:cs="宋体" w:eastAsia="宋体" w:hint="default"/>
                <w:w w:val="105"/>
                <w:sz w:val="16"/>
                <w:szCs w:val="16"/>
              </w:rPr>
              <w:t>=0.8762</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港币</w:t>
            </w:r>
            <w:r>
              <w:rPr>
                <w:rFonts w:ascii="宋体" w:hAnsi="宋体" w:cs="宋体" w:eastAsia="宋体" w:hint="default"/>
                <w:spacing w:val="-55"/>
                <w:w w:val="105"/>
                <w:sz w:val="16"/>
                <w:szCs w:val="16"/>
              </w:rPr>
              <w:t> </w:t>
            </w:r>
            <w:r>
              <w:rPr>
                <w:rFonts w:ascii="宋体" w:hAnsi="宋体" w:cs="宋体" w:eastAsia="宋体" w:hint="default"/>
                <w:w w:val="105"/>
                <w:sz w:val="16"/>
                <w:szCs w:val="16"/>
              </w:rPr>
              <w:t>=0.8359</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欧元</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欧元</w:t>
            </w:r>
            <w:r>
              <w:rPr>
                <w:rFonts w:ascii="宋体" w:hAnsi="宋体" w:cs="宋体" w:eastAsia="宋体" w:hint="default"/>
                <w:spacing w:val="-55"/>
                <w:w w:val="105"/>
                <w:sz w:val="16"/>
                <w:szCs w:val="16"/>
              </w:rPr>
              <w:t> </w:t>
            </w:r>
            <w:r>
              <w:rPr>
                <w:rFonts w:ascii="宋体" w:hAnsi="宋体" w:cs="宋体" w:eastAsia="宋体" w:hint="default"/>
                <w:w w:val="105"/>
                <w:sz w:val="16"/>
                <w:szCs w:val="16"/>
              </w:rPr>
              <w:t>=7.8473</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欧元</w:t>
            </w:r>
            <w:r>
              <w:rPr>
                <w:rFonts w:ascii="宋体" w:hAnsi="宋体" w:cs="宋体" w:eastAsia="宋体" w:hint="default"/>
                <w:spacing w:val="-55"/>
                <w:w w:val="105"/>
                <w:sz w:val="16"/>
                <w:szCs w:val="16"/>
              </w:rPr>
              <w:t> </w:t>
            </w:r>
            <w:r>
              <w:rPr>
                <w:rFonts w:ascii="宋体" w:hAnsi="宋体" w:cs="宋体" w:eastAsia="宋体" w:hint="default"/>
                <w:w w:val="105"/>
                <w:sz w:val="16"/>
                <w:szCs w:val="16"/>
              </w:rPr>
              <w:t>=7.8023</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日元</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日元</w:t>
            </w:r>
            <w:r>
              <w:rPr>
                <w:rFonts w:ascii="宋体" w:hAnsi="宋体" w:cs="宋体" w:eastAsia="宋体" w:hint="default"/>
                <w:spacing w:val="-55"/>
                <w:w w:val="105"/>
                <w:sz w:val="16"/>
                <w:szCs w:val="16"/>
              </w:rPr>
              <w:t> </w:t>
            </w:r>
            <w:r>
              <w:rPr>
                <w:rFonts w:ascii="宋体" w:hAnsi="宋体" w:cs="宋体" w:eastAsia="宋体" w:hint="default"/>
                <w:w w:val="105"/>
                <w:sz w:val="16"/>
                <w:szCs w:val="16"/>
              </w:rPr>
              <w:t>=0.0618</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日元</w:t>
            </w:r>
            <w:r>
              <w:rPr>
                <w:rFonts w:ascii="宋体" w:hAnsi="宋体" w:cs="宋体" w:eastAsia="宋体" w:hint="default"/>
                <w:spacing w:val="-55"/>
                <w:w w:val="105"/>
                <w:sz w:val="16"/>
                <w:szCs w:val="16"/>
              </w:rPr>
              <w:t> </w:t>
            </w:r>
            <w:r>
              <w:rPr>
                <w:rFonts w:ascii="宋体" w:hAnsi="宋体" w:cs="宋体" w:eastAsia="宋体" w:hint="default"/>
                <w:w w:val="105"/>
                <w:sz w:val="16"/>
                <w:szCs w:val="16"/>
              </w:rPr>
              <w:t>=0.0579</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r>
      <w:tr>
        <w:trPr>
          <w:trHeight w:val="338"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英镑</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英镑</w:t>
            </w:r>
            <w:r>
              <w:rPr>
                <w:rFonts w:ascii="宋体" w:hAnsi="宋体" w:cs="宋体" w:eastAsia="宋体" w:hint="default"/>
                <w:spacing w:val="-55"/>
                <w:w w:val="105"/>
                <w:sz w:val="16"/>
                <w:szCs w:val="16"/>
              </w:rPr>
              <w:t> </w:t>
            </w:r>
            <w:r>
              <w:rPr>
                <w:rFonts w:ascii="宋体" w:hAnsi="宋体" w:cs="宋体" w:eastAsia="宋体" w:hint="default"/>
                <w:w w:val="105"/>
                <w:sz w:val="16"/>
                <w:szCs w:val="16"/>
              </w:rPr>
              <w:t>=8.6762</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55"/>
                <w:w w:val="105"/>
                <w:sz w:val="16"/>
                <w:szCs w:val="16"/>
              </w:rPr>
              <w:t> </w:t>
            </w:r>
            <w:r>
              <w:rPr>
                <w:rFonts w:ascii="宋体" w:hAnsi="宋体" w:cs="宋体" w:eastAsia="宋体" w:hint="default"/>
                <w:w w:val="105"/>
                <w:sz w:val="16"/>
                <w:szCs w:val="16"/>
              </w:rPr>
              <w:t>英镑</w:t>
            </w:r>
            <w:r>
              <w:rPr>
                <w:rFonts w:ascii="宋体" w:hAnsi="宋体" w:cs="宋体" w:eastAsia="宋体" w:hint="default"/>
                <w:spacing w:val="-55"/>
                <w:w w:val="105"/>
                <w:sz w:val="16"/>
                <w:szCs w:val="16"/>
              </w:rPr>
              <w:t> </w:t>
            </w:r>
            <w:r>
              <w:rPr>
                <w:rFonts w:ascii="宋体" w:hAnsi="宋体" w:cs="宋体" w:eastAsia="宋体" w:hint="default"/>
                <w:w w:val="105"/>
                <w:sz w:val="16"/>
                <w:szCs w:val="16"/>
              </w:rPr>
              <w:t>=8.7792</w:t>
            </w:r>
            <w:r>
              <w:rPr>
                <w:rFonts w:ascii="宋体" w:hAnsi="宋体" w:cs="宋体" w:eastAsia="宋体" w:hint="default"/>
                <w:spacing w:val="-55"/>
                <w:w w:val="105"/>
                <w:sz w:val="16"/>
                <w:szCs w:val="16"/>
              </w:rPr>
              <w:t> </w:t>
            </w:r>
            <w:r>
              <w:rPr>
                <w:rFonts w:ascii="宋体" w:hAnsi="宋体" w:cs="宋体" w:eastAsia="宋体" w:hint="default"/>
                <w:w w:val="105"/>
                <w:sz w:val="16"/>
                <w:szCs w:val="16"/>
              </w:rPr>
              <w:t>人民币</w:t>
            </w:r>
          </w:p>
        </w:tc>
      </w:tr>
    </w:tbl>
    <w:p>
      <w:pPr>
        <w:spacing w:after="0" w:line="205" w:lineRule="exact"/>
        <w:jc w:val="right"/>
        <w:rPr>
          <w:rFonts w:ascii="宋体" w:hAnsi="宋体" w:cs="宋体" w:eastAsia="宋体" w:hint="default"/>
          <w:sz w:val="16"/>
          <w:szCs w:val="16"/>
        </w:rPr>
        <w:sectPr>
          <w:headerReference w:type="default" r:id="rId338"/>
          <w:footerReference w:type="default" r:id="rId339"/>
          <w:footerReference w:type="even" r:id="rId340"/>
          <w:pgSz w:w="11910" w:h="16160"/>
          <w:pgMar w:header="0" w:footer="298" w:top="1520" w:bottom="480" w:left="1360" w:right="640"/>
          <w:pgNumType w:start="189"/>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八、金融工具及其风险（续）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814"/>
        <w:jc w:val="left"/>
      </w:pPr>
      <w:r>
        <w:rPr/>
        <w:t>1、</w:t>
      </w:r>
      <w:r>
        <w:rPr>
          <w:spacing w:val="-22"/>
        </w:rPr>
        <w:t> </w:t>
      </w:r>
      <w:r>
        <w:rPr/>
        <w:t>金融风险因素（续）</w:t>
      </w:r>
      <w:r>
        <w:rPr/>
        <w:t> (a)</w:t>
      </w:r>
      <w:r>
        <w:rPr>
          <w:spacing w:val="-21"/>
        </w:rPr>
        <w:t> </w:t>
      </w:r>
      <w:r>
        <w:rPr/>
        <w:t>市场风险（续）</w:t>
      </w:r>
    </w:p>
    <w:p>
      <w:pPr>
        <w:pStyle w:val="BodyText"/>
        <w:spacing w:line="240" w:lineRule="auto" w:before="54"/>
        <w:ind w:left="453" w:right="0"/>
        <w:jc w:val="left"/>
      </w:pPr>
      <w:r>
        <w:rPr/>
        <w:t>(1)</w:t>
      </w:r>
      <w:r>
        <w:rPr>
          <w:spacing w:val="19"/>
        </w:rPr>
        <w:t> </w:t>
      </w:r>
      <w:r>
        <w:rPr/>
        <w:t>汇率风险（续）</w:t>
      </w:r>
    </w:p>
    <w:p>
      <w:pPr>
        <w:spacing w:line="240" w:lineRule="auto" w:before="5"/>
        <w:rPr>
          <w:rFonts w:ascii="宋体" w:hAnsi="宋体" w:cs="宋体" w:eastAsia="宋体" w:hint="default"/>
          <w:sz w:val="16"/>
          <w:szCs w:val="16"/>
        </w:rPr>
      </w:pPr>
    </w:p>
    <w:p>
      <w:pPr>
        <w:pStyle w:val="BodyText"/>
        <w:spacing w:line="285" w:lineRule="auto"/>
        <w:ind w:left="453" w:right="144"/>
        <w:jc w:val="left"/>
      </w:pPr>
      <w:r>
        <w:rPr>
          <w:spacing w:val="3"/>
          <w:w w:val="105"/>
        </w:rPr>
        <w:t>本集团于</w:t>
      </w:r>
      <w:r>
        <w:rPr>
          <w:spacing w:val="-69"/>
          <w:w w:val="105"/>
        </w:rPr>
        <w:t> </w:t>
      </w:r>
      <w:r>
        <w:rPr>
          <w:w w:val="105"/>
        </w:rPr>
        <w:t>2018</w:t>
      </w:r>
      <w:r>
        <w:rPr>
          <w:spacing w:val="-69"/>
          <w:w w:val="105"/>
        </w:rPr>
        <w:t> </w:t>
      </w:r>
      <w:r>
        <w:rPr>
          <w:w w:val="105"/>
        </w:rPr>
        <w:t>年</w:t>
      </w:r>
      <w:r>
        <w:rPr>
          <w:spacing w:val="-69"/>
          <w:w w:val="105"/>
        </w:rPr>
        <w:t> </w:t>
      </w:r>
      <w:r>
        <w:rPr>
          <w:w w:val="105"/>
        </w:rPr>
        <w:t>12</w:t>
      </w:r>
      <w:r>
        <w:rPr>
          <w:spacing w:val="-69"/>
          <w:w w:val="105"/>
        </w:rPr>
        <w:t> </w:t>
      </w:r>
      <w:r>
        <w:rPr>
          <w:w w:val="105"/>
        </w:rPr>
        <w:t>月</w:t>
      </w:r>
      <w:r>
        <w:rPr>
          <w:spacing w:val="-69"/>
          <w:w w:val="105"/>
        </w:rPr>
        <w:t> </w:t>
      </w:r>
      <w:r>
        <w:rPr>
          <w:w w:val="105"/>
        </w:rPr>
        <w:t>31</w:t>
      </w:r>
      <w:r>
        <w:rPr>
          <w:spacing w:val="-69"/>
          <w:w w:val="105"/>
        </w:rPr>
        <w:t> </w:t>
      </w:r>
      <w:r>
        <w:rPr>
          <w:w w:val="105"/>
        </w:rPr>
        <w:t>日及</w:t>
      </w:r>
      <w:r>
        <w:rPr>
          <w:spacing w:val="-69"/>
          <w:w w:val="105"/>
        </w:rPr>
        <w:t> </w:t>
      </w:r>
      <w:r>
        <w:rPr>
          <w:w w:val="105"/>
        </w:rPr>
        <w:t>2017</w:t>
      </w:r>
      <w:r>
        <w:rPr>
          <w:spacing w:val="-69"/>
          <w:w w:val="105"/>
        </w:rPr>
        <w:t> </w:t>
      </w:r>
      <w:r>
        <w:rPr>
          <w:w w:val="105"/>
        </w:rPr>
        <w:t>年</w:t>
      </w:r>
      <w:r>
        <w:rPr>
          <w:spacing w:val="-69"/>
          <w:w w:val="105"/>
        </w:rPr>
        <w:t> </w:t>
      </w:r>
      <w:r>
        <w:rPr>
          <w:w w:val="105"/>
        </w:rPr>
        <w:t>12</w:t>
      </w:r>
      <w:r>
        <w:rPr>
          <w:spacing w:val="-69"/>
          <w:w w:val="105"/>
        </w:rPr>
        <w:t> </w:t>
      </w:r>
      <w:r>
        <w:rPr>
          <w:w w:val="105"/>
        </w:rPr>
        <w:t>月</w:t>
      </w:r>
      <w:r>
        <w:rPr>
          <w:spacing w:val="-69"/>
          <w:w w:val="105"/>
        </w:rPr>
        <w:t> </w:t>
      </w:r>
      <w:r>
        <w:rPr>
          <w:w w:val="105"/>
        </w:rPr>
        <w:t>31</w:t>
      </w:r>
      <w:r>
        <w:rPr>
          <w:spacing w:val="-69"/>
          <w:w w:val="105"/>
        </w:rPr>
        <w:t> </w:t>
      </w:r>
      <w:r>
        <w:rPr>
          <w:spacing w:val="3"/>
          <w:w w:val="105"/>
        </w:rPr>
        <w:t>日的各外币资产负债项目汇率风险敞口如下。出于列报考虑，风险</w:t>
      </w:r>
      <w:r>
        <w:rPr>
          <w:spacing w:val="4"/>
        </w:rPr>
        <w:t> </w:t>
      </w:r>
      <w:r>
        <w:rPr>
          <w:w w:val="105"/>
        </w:rPr>
        <w:t>敞口金额以人民币列示，以资产负债表日即期汇率折算。外币报表折算差额未包括在内。</w:t>
      </w:r>
    </w:p>
    <w:p>
      <w:pPr>
        <w:spacing w:line="240" w:lineRule="auto" w:before="10"/>
        <w:rPr>
          <w:rFonts w:ascii="宋体" w:hAnsi="宋体" w:cs="宋体" w:eastAsia="宋体" w:hint="default"/>
          <w:sz w:val="14"/>
          <w:szCs w:val="14"/>
        </w:rPr>
      </w:pPr>
    </w:p>
    <w:tbl>
      <w:tblPr>
        <w:tblW w:w="0" w:type="auto"/>
        <w:jc w:val="left"/>
        <w:tblInd w:w="433" w:type="dxa"/>
        <w:tblLayout w:type="fixed"/>
        <w:tblCellMar>
          <w:top w:w="0" w:type="dxa"/>
          <w:left w:w="0" w:type="dxa"/>
          <w:bottom w:w="0" w:type="dxa"/>
          <w:right w:w="0" w:type="dxa"/>
        </w:tblCellMar>
        <w:tblLook w:val="01E0"/>
      </w:tblPr>
      <w:tblGrid>
        <w:gridCol w:w="3024"/>
        <w:gridCol w:w="1679"/>
        <w:gridCol w:w="1458"/>
        <w:gridCol w:w="1679"/>
        <w:gridCol w:w="1458"/>
      </w:tblGrid>
      <w:tr>
        <w:trPr>
          <w:trHeight w:val="342" w:hRule="exact"/>
        </w:trPr>
        <w:tc>
          <w:tcPr>
            <w:tcW w:w="3024"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150" w:right="0"/>
              <w:jc w:val="left"/>
              <w:rPr>
                <w:rFonts w:ascii="宋体" w:hAnsi="宋体" w:cs="宋体" w:eastAsia="宋体" w:hint="default"/>
                <w:sz w:val="16"/>
                <w:szCs w:val="16"/>
              </w:rPr>
            </w:pPr>
            <w:r>
              <w:rPr>
                <w:rFonts w:ascii="宋体" w:hAnsi="宋体" w:cs="宋体" w:eastAsia="宋体" w:hint="default"/>
                <w:sz w:val="16"/>
                <w:szCs w:val="16"/>
              </w:rPr>
              <w:t>（单位：人民币百万元）</w:t>
            </w:r>
          </w:p>
        </w:tc>
        <w:tc>
          <w:tcPr>
            <w:tcW w:w="3137" w:type="dxa"/>
            <w:gridSpan w:val="2"/>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873" w:right="0"/>
              <w:jc w:val="lef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3137"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7"/>
              <w:ind w:left="873"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4" w:hRule="exact"/>
        </w:trPr>
        <w:tc>
          <w:tcPr>
            <w:tcW w:w="3024" w:type="dxa"/>
            <w:vMerge/>
            <w:tcBorders>
              <w:left w:val="nil" w:sz="6" w:space="0" w:color="auto"/>
              <w:bottom w:val="single" w:sz="16" w:space="0" w:color="9F8958"/>
              <w:right w:val="nil" w:sz="6" w:space="0" w:color="auto"/>
            </w:tcBorders>
          </w:tcPr>
          <w:p>
            <w:pPr/>
          </w:p>
        </w:tc>
        <w:tc>
          <w:tcPr>
            <w:tcW w:w="167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22"/>
              <w:jc w:val="right"/>
              <w:rPr>
                <w:rFonts w:ascii="宋体" w:hAnsi="宋体" w:cs="宋体" w:eastAsia="宋体" w:hint="default"/>
                <w:sz w:val="16"/>
                <w:szCs w:val="16"/>
              </w:rPr>
            </w:pPr>
            <w:r>
              <w:rPr>
                <w:rFonts w:ascii="宋体" w:hAnsi="宋体" w:cs="宋体" w:eastAsia="宋体" w:hint="default"/>
                <w:sz w:val="16"/>
                <w:szCs w:val="16"/>
              </w:rPr>
              <w:t>外币余额</w:t>
            </w:r>
          </w:p>
        </w:tc>
        <w:tc>
          <w:tcPr>
            <w:tcW w:w="145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折算人民币余额</w:t>
            </w:r>
          </w:p>
        </w:tc>
        <w:tc>
          <w:tcPr>
            <w:tcW w:w="1679"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22"/>
              <w:jc w:val="right"/>
              <w:rPr>
                <w:rFonts w:ascii="宋体" w:hAnsi="宋体" w:cs="宋体" w:eastAsia="宋体" w:hint="default"/>
                <w:sz w:val="16"/>
                <w:szCs w:val="16"/>
              </w:rPr>
            </w:pPr>
            <w:r>
              <w:rPr>
                <w:rFonts w:ascii="宋体" w:hAnsi="宋体" w:cs="宋体" w:eastAsia="宋体" w:hint="default"/>
                <w:sz w:val="16"/>
                <w:szCs w:val="16"/>
              </w:rPr>
              <w:t>外币余额</w:t>
            </w:r>
          </w:p>
        </w:tc>
        <w:tc>
          <w:tcPr>
            <w:tcW w:w="145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折算人民币余额</w:t>
            </w:r>
          </w:p>
        </w:tc>
      </w:tr>
      <w:tr>
        <w:trPr>
          <w:trHeight w:val="362" w:hRule="exact"/>
        </w:trPr>
        <w:tc>
          <w:tcPr>
            <w:tcW w:w="302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货币资金</w:t>
            </w:r>
          </w:p>
        </w:tc>
        <w:tc>
          <w:tcPr>
            <w:tcW w:w="1679" w:type="dxa"/>
            <w:tcBorders>
              <w:top w:val="single" w:sz="16" w:space="0" w:color="9F8958"/>
              <w:left w:val="nil" w:sz="6" w:space="0" w:color="auto"/>
              <w:bottom w:val="nil" w:sz="6" w:space="0" w:color="auto"/>
              <w:right w:val="nil" w:sz="6" w:space="0" w:color="auto"/>
            </w:tcBorders>
            <w:shd w:val="clear" w:color="auto" w:fill="ECE7DD"/>
          </w:tcPr>
          <w:p>
            <w:pPr/>
          </w:p>
        </w:tc>
        <w:tc>
          <w:tcPr>
            <w:tcW w:w="1458" w:type="dxa"/>
            <w:tcBorders>
              <w:top w:val="single" w:sz="16" w:space="0" w:color="9F8958"/>
              <w:left w:val="nil" w:sz="6" w:space="0" w:color="auto"/>
              <w:bottom w:val="nil" w:sz="6" w:space="0" w:color="auto"/>
              <w:right w:val="nil" w:sz="6" w:space="0" w:color="auto"/>
            </w:tcBorders>
            <w:shd w:val="clear" w:color="auto" w:fill="ECE7DD"/>
          </w:tcPr>
          <w:p>
            <w:pPr/>
          </w:p>
        </w:tc>
        <w:tc>
          <w:tcPr>
            <w:tcW w:w="1679" w:type="dxa"/>
            <w:tcBorders>
              <w:top w:val="single" w:sz="16" w:space="0" w:color="9F8958"/>
              <w:left w:val="nil" w:sz="6" w:space="0" w:color="auto"/>
              <w:bottom w:val="nil" w:sz="6" w:space="0" w:color="auto"/>
              <w:right w:val="nil" w:sz="6" w:space="0" w:color="auto"/>
            </w:tcBorders>
          </w:tcPr>
          <w:p>
            <w:pPr/>
          </w:p>
        </w:tc>
        <w:tc>
          <w:tcPr>
            <w:tcW w:w="1458" w:type="dxa"/>
            <w:tcBorders>
              <w:top w:val="single" w:sz="16" w:space="0" w:color="9F8958"/>
              <w:left w:val="nil" w:sz="6" w:space="0" w:color="auto"/>
              <w:bottom w:val="nil" w:sz="6" w:space="0" w:color="auto"/>
              <w:right w:val="nil" w:sz="6" w:space="0" w:color="auto"/>
            </w:tcBorders>
          </w:tcPr>
          <w:p>
            <w:pP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美元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10"/>
                <w:sz w:val="16"/>
              </w:rPr>
              <w:t>114</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783</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10"/>
                <w:sz w:val="16"/>
              </w:rPr>
              <w:t>150</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980</w:t>
            </w:r>
            <w:r>
              <w:rPr>
                <w:rFonts w:ascii="宋体"/>
                <w:sz w:val="16"/>
              </w:rPr>
            </w: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港币</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10"/>
                <w:sz w:val="16"/>
              </w:rPr>
              <w:t>66</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58</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10"/>
                <w:sz w:val="16"/>
              </w:rPr>
              <w:t>509</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426</w:t>
            </w:r>
            <w:r>
              <w:rPr>
                <w:rFonts w:ascii="宋体"/>
                <w:sz w:val="16"/>
              </w:rPr>
            </w: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欧元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10"/>
                <w:sz w:val="16"/>
              </w:rPr>
              <w:t>16</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123</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10"/>
                <w:sz w:val="16"/>
              </w:rPr>
              <w:t>12</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95</w:t>
            </w:r>
            <w:r>
              <w:rPr>
                <w:rFonts w:ascii="宋体"/>
                <w:sz w:val="16"/>
              </w:rPr>
            </w: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日元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10"/>
                <w:sz w:val="16"/>
              </w:rPr>
              <w:t>23</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1"/>
                <w:sz w:val="16"/>
              </w:rPr>
              <w:t>1</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10"/>
                <w:sz w:val="16"/>
              </w:rPr>
              <w:t>12</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1"/>
                <w:sz w:val="16"/>
              </w:rPr>
              <w:t>1</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英镑</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31"/>
                <w:sz w:val="16"/>
              </w:rPr>
              <w:t>-</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1"/>
                <w:sz w:val="16"/>
              </w:rPr>
              <w:t>1</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11"/>
                <w:sz w:val="16"/>
              </w:rPr>
              <w:t>1</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10</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2" w:right="0"/>
              <w:jc w:val="left"/>
              <w:rPr>
                <w:rFonts w:ascii="宋体" w:hAnsi="宋体" w:cs="宋体" w:eastAsia="宋体" w:hint="default"/>
                <w:sz w:val="16"/>
                <w:szCs w:val="16"/>
              </w:rPr>
            </w:pPr>
            <w:r>
              <w:rPr>
                <w:rFonts w:ascii="宋体" w:hAnsi="宋体" w:cs="宋体" w:eastAsia="宋体" w:hint="default"/>
                <w:sz w:val="16"/>
                <w:szCs w:val="16"/>
              </w:rPr>
              <w:t>应收票据及应收账款</w:t>
            </w:r>
          </w:p>
        </w:tc>
        <w:tc>
          <w:tcPr>
            <w:tcW w:w="1679" w:type="dxa"/>
            <w:tcBorders>
              <w:top w:val="nil" w:sz="6" w:space="0" w:color="auto"/>
              <w:left w:val="nil" w:sz="6" w:space="0" w:color="auto"/>
              <w:bottom w:val="nil" w:sz="6" w:space="0" w:color="auto"/>
              <w:right w:val="nil" w:sz="6" w:space="0" w:color="auto"/>
            </w:tcBorders>
            <w:shd w:val="clear" w:color="auto" w:fill="ECE7DD"/>
          </w:tcPr>
          <w:p>
            <w:pPr/>
          </w:p>
        </w:tc>
        <w:tc>
          <w:tcPr>
            <w:tcW w:w="1458" w:type="dxa"/>
            <w:tcBorders>
              <w:top w:val="nil" w:sz="6" w:space="0" w:color="auto"/>
              <w:left w:val="nil" w:sz="6" w:space="0" w:color="auto"/>
              <w:bottom w:val="nil" w:sz="6" w:space="0" w:color="auto"/>
              <w:right w:val="nil" w:sz="6" w:space="0" w:color="auto"/>
            </w:tcBorders>
            <w:shd w:val="clear" w:color="auto" w:fill="ECE7DD"/>
          </w:tcPr>
          <w:p>
            <w:pPr/>
          </w:p>
        </w:tc>
        <w:tc>
          <w:tcPr>
            <w:tcW w:w="167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港币</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11"/>
                <w:sz w:val="16"/>
              </w:rPr>
              <w:t>1</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1"/>
                <w:sz w:val="16"/>
              </w:rPr>
              <w:t>1</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31"/>
                <w:sz w:val="16"/>
              </w:rPr>
              <w:t>-</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美元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10"/>
                <w:sz w:val="16"/>
              </w:rPr>
              <w:t>233</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1,601</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10"/>
                <w:sz w:val="16"/>
              </w:rPr>
              <w:t>229</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95"/>
                <w:sz w:val="16"/>
              </w:rPr>
              <w:t>1,494</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欧元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2"/>
              <w:jc w:val="right"/>
              <w:rPr>
                <w:rFonts w:ascii="宋体" w:hAnsi="宋体" w:cs="宋体" w:eastAsia="宋体" w:hint="default"/>
                <w:sz w:val="16"/>
                <w:szCs w:val="16"/>
              </w:rPr>
            </w:pPr>
            <w:r>
              <w:rPr>
                <w:rFonts w:ascii="宋体"/>
                <w:w w:val="111"/>
                <w:sz w:val="16"/>
              </w:rPr>
              <w:t>1</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110"/>
                <w:sz w:val="16"/>
              </w:rPr>
              <w:t>10</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2"/>
              <w:jc w:val="right"/>
              <w:rPr>
                <w:rFonts w:ascii="宋体" w:hAnsi="宋体" w:cs="宋体" w:eastAsia="宋体" w:hint="default"/>
                <w:sz w:val="16"/>
                <w:szCs w:val="16"/>
              </w:rPr>
            </w:pPr>
            <w:r>
              <w:rPr>
                <w:rFonts w:ascii="宋体"/>
                <w:w w:val="111"/>
                <w:sz w:val="16"/>
              </w:rPr>
              <w:t>2</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10"/>
                <w:sz w:val="16"/>
              </w:rPr>
              <w:t>16</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2" w:right="0"/>
              <w:jc w:val="left"/>
              <w:rPr>
                <w:rFonts w:ascii="宋体" w:hAnsi="宋体" w:cs="宋体" w:eastAsia="宋体" w:hint="default"/>
                <w:sz w:val="16"/>
                <w:szCs w:val="16"/>
              </w:rPr>
            </w:pPr>
            <w:r>
              <w:rPr>
                <w:rFonts w:ascii="宋体" w:hAnsi="宋体" w:cs="宋体" w:eastAsia="宋体" w:hint="default"/>
                <w:sz w:val="16"/>
                <w:szCs w:val="16"/>
              </w:rPr>
              <w:t>其他权益工具投资</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可供出售金融资产</w:t>
            </w:r>
          </w:p>
        </w:tc>
        <w:tc>
          <w:tcPr>
            <w:tcW w:w="1679" w:type="dxa"/>
            <w:tcBorders>
              <w:top w:val="nil" w:sz="6" w:space="0" w:color="auto"/>
              <w:left w:val="nil" w:sz="6" w:space="0" w:color="auto"/>
              <w:bottom w:val="nil" w:sz="6" w:space="0" w:color="auto"/>
              <w:right w:val="nil" w:sz="6" w:space="0" w:color="auto"/>
            </w:tcBorders>
            <w:shd w:val="clear" w:color="auto" w:fill="ECE7DD"/>
          </w:tcPr>
          <w:p>
            <w:pPr/>
          </w:p>
        </w:tc>
        <w:tc>
          <w:tcPr>
            <w:tcW w:w="1458" w:type="dxa"/>
            <w:tcBorders>
              <w:top w:val="nil" w:sz="6" w:space="0" w:color="auto"/>
              <w:left w:val="nil" w:sz="6" w:space="0" w:color="auto"/>
              <w:bottom w:val="nil" w:sz="6" w:space="0" w:color="auto"/>
              <w:right w:val="nil" w:sz="6" w:space="0" w:color="auto"/>
            </w:tcBorders>
            <w:shd w:val="clear" w:color="auto" w:fill="ECE7DD"/>
          </w:tcPr>
          <w:p>
            <w:pPr/>
          </w:p>
        </w:tc>
        <w:tc>
          <w:tcPr>
            <w:tcW w:w="167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欧元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3"/>
              <w:jc w:val="right"/>
              <w:rPr>
                <w:rFonts w:ascii="宋体" w:hAnsi="宋体" w:cs="宋体" w:eastAsia="宋体" w:hint="default"/>
                <w:sz w:val="16"/>
                <w:szCs w:val="16"/>
              </w:rPr>
            </w:pPr>
            <w:r>
              <w:rPr>
                <w:rFonts w:ascii="宋体"/>
                <w:w w:val="110"/>
                <w:sz w:val="16"/>
              </w:rPr>
              <w:t>471</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95"/>
                <w:sz w:val="16"/>
              </w:rPr>
              <w:t>3,698</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w w:val="110"/>
                <w:sz w:val="16"/>
              </w:rPr>
              <w:t>522</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95"/>
                <w:sz w:val="16"/>
              </w:rPr>
              <w:t>4,070</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2"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1679" w:type="dxa"/>
            <w:tcBorders>
              <w:top w:val="nil" w:sz="6" w:space="0" w:color="auto"/>
              <w:left w:val="nil" w:sz="6" w:space="0" w:color="auto"/>
              <w:bottom w:val="nil" w:sz="6" w:space="0" w:color="auto"/>
              <w:right w:val="nil" w:sz="6" w:space="0" w:color="auto"/>
            </w:tcBorders>
            <w:shd w:val="clear" w:color="auto" w:fill="ECE7DD"/>
          </w:tcPr>
          <w:p>
            <w:pPr/>
          </w:p>
        </w:tc>
        <w:tc>
          <w:tcPr>
            <w:tcW w:w="1458" w:type="dxa"/>
            <w:tcBorders>
              <w:top w:val="nil" w:sz="6" w:space="0" w:color="auto"/>
              <w:left w:val="nil" w:sz="6" w:space="0" w:color="auto"/>
              <w:bottom w:val="nil" w:sz="6" w:space="0" w:color="auto"/>
              <w:right w:val="nil" w:sz="6" w:space="0" w:color="auto"/>
            </w:tcBorders>
            <w:shd w:val="clear" w:color="auto" w:fill="ECE7DD"/>
          </w:tcPr>
          <w:p>
            <w:pPr/>
          </w:p>
        </w:tc>
        <w:tc>
          <w:tcPr>
            <w:tcW w:w="167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港币</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3"/>
              <w:jc w:val="right"/>
              <w:rPr>
                <w:rFonts w:ascii="宋体" w:hAnsi="宋体" w:cs="宋体" w:eastAsia="宋体" w:hint="default"/>
                <w:sz w:val="16"/>
                <w:szCs w:val="16"/>
              </w:rPr>
            </w:pPr>
            <w:r>
              <w:rPr>
                <w:rFonts w:ascii="宋体"/>
                <w:w w:val="111"/>
                <w:sz w:val="16"/>
              </w:rPr>
              <w:t>2</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111"/>
                <w:sz w:val="16"/>
              </w:rPr>
              <w:t>2</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w w:val="110"/>
                <w:sz w:val="16"/>
              </w:rPr>
              <w:t>520</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10"/>
                <w:sz w:val="16"/>
              </w:rPr>
              <w:t>435</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2"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1679" w:type="dxa"/>
            <w:tcBorders>
              <w:top w:val="nil" w:sz="6" w:space="0" w:color="auto"/>
              <w:left w:val="nil" w:sz="6" w:space="0" w:color="auto"/>
              <w:bottom w:val="nil" w:sz="6" w:space="0" w:color="auto"/>
              <w:right w:val="nil" w:sz="6" w:space="0" w:color="auto"/>
            </w:tcBorders>
            <w:shd w:val="clear" w:color="auto" w:fill="ECE7DD"/>
          </w:tcPr>
          <w:p>
            <w:pPr/>
          </w:p>
        </w:tc>
        <w:tc>
          <w:tcPr>
            <w:tcW w:w="1458" w:type="dxa"/>
            <w:tcBorders>
              <w:top w:val="nil" w:sz="6" w:space="0" w:color="auto"/>
              <w:left w:val="nil" w:sz="6" w:space="0" w:color="auto"/>
              <w:bottom w:val="nil" w:sz="6" w:space="0" w:color="auto"/>
              <w:right w:val="nil" w:sz="6" w:space="0" w:color="auto"/>
            </w:tcBorders>
            <w:shd w:val="clear" w:color="auto" w:fill="ECE7DD"/>
          </w:tcPr>
          <w:p>
            <w:pPr/>
          </w:p>
        </w:tc>
        <w:tc>
          <w:tcPr>
            <w:tcW w:w="167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美元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3"/>
              <w:jc w:val="right"/>
              <w:rPr>
                <w:rFonts w:ascii="宋体" w:hAnsi="宋体" w:cs="宋体" w:eastAsia="宋体" w:hint="default"/>
                <w:sz w:val="16"/>
                <w:szCs w:val="16"/>
              </w:rPr>
            </w:pPr>
            <w:r>
              <w:rPr>
                <w:rFonts w:ascii="宋体"/>
                <w:w w:val="110"/>
                <w:sz w:val="16"/>
              </w:rPr>
              <w:t>37</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110"/>
                <w:sz w:val="16"/>
              </w:rPr>
              <w:t>253</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w w:val="110"/>
                <w:sz w:val="16"/>
              </w:rPr>
              <w:t>43</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10"/>
                <w:sz w:val="16"/>
              </w:rPr>
              <w:t>278</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欧元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3"/>
              <w:jc w:val="right"/>
              <w:rPr>
                <w:rFonts w:ascii="宋体" w:hAnsi="宋体" w:cs="宋体" w:eastAsia="宋体" w:hint="default"/>
                <w:sz w:val="16"/>
                <w:szCs w:val="16"/>
              </w:rPr>
            </w:pPr>
            <w:r>
              <w:rPr>
                <w:rFonts w:ascii="宋体"/>
                <w:w w:val="111"/>
                <w:sz w:val="16"/>
              </w:rPr>
              <w:t>8</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110"/>
                <w:sz w:val="16"/>
              </w:rPr>
              <w:t>62</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w w:val="111"/>
                <w:sz w:val="16"/>
              </w:rPr>
              <w:t>9</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10"/>
                <w:sz w:val="16"/>
              </w:rPr>
              <w:t>72</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1" w:right="0"/>
              <w:jc w:val="left"/>
              <w:rPr>
                <w:rFonts w:ascii="宋体" w:hAnsi="宋体" w:cs="宋体" w:eastAsia="宋体" w:hint="default"/>
                <w:sz w:val="16"/>
                <w:szCs w:val="16"/>
              </w:rPr>
            </w:pPr>
            <w:r>
              <w:rPr>
                <w:rFonts w:ascii="宋体" w:hAnsi="宋体" w:cs="宋体" w:eastAsia="宋体" w:hint="default"/>
                <w:sz w:val="16"/>
                <w:szCs w:val="16"/>
              </w:rPr>
              <w:t>应付票据及应付账款</w:t>
            </w:r>
          </w:p>
        </w:tc>
        <w:tc>
          <w:tcPr>
            <w:tcW w:w="1679" w:type="dxa"/>
            <w:tcBorders>
              <w:top w:val="nil" w:sz="6" w:space="0" w:color="auto"/>
              <w:left w:val="nil" w:sz="6" w:space="0" w:color="auto"/>
              <w:bottom w:val="nil" w:sz="6" w:space="0" w:color="auto"/>
              <w:right w:val="nil" w:sz="6" w:space="0" w:color="auto"/>
            </w:tcBorders>
            <w:shd w:val="clear" w:color="auto" w:fill="ECE7DD"/>
          </w:tcPr>
          <w:p>
            <w:pPr/>
          </w:p>
        </w:tc>
        <w:tc>
          <w:tcPr>
            <w:tcW w:w="1458" w:type="dxa"/>
            <w:tcBorders>
              <w:top w:val="nil" w:sz="6" w:space="0" w:color="auto"/>
              <w:left w:val="nil" w:sz="6" w:space="0" w:color="auto"/>
              <w:bottom w:val="nil" w:sz="6" w:space="0" w:color="auto"/>
              <w:right w:val="nil" w:sz="6" w:space="0" w:color="auto"/>
            </w:tcBorders>
            <w:shd w:val="clear" w:color="auto" w:fill="ECE7DD"/>
          </w:tcPr>
          <w:p>
            <w:pPr/>
          </w:p>
        </w:tc>
        <w:tc>
          <w:tcPr>
            <w:tcW w:w="167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2"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美元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3"/>
              <w:jc w:val="right"/>
              <w:rPr>
                <w:rFonts w:ascii="宋体" w:hAnsi="宋体" w:cs="宋体" w:eastAsia="宋体" w:hint="default"/>
                <w:sz w:val="16"/>
                <w:szCs w:val="16"/>
              </w:rPr>
            </w:pPr>
            <w:r>
              <w:rPr>
                <w:rFonts w:ascii="宋体"/>
                <w:w w:val="110"/>
                <w:sz w:val="16"/>
              </w:rPr>
              <w:t>73</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110"/>
                <w:sz w:val="16"/>
              </w:rPr>
              <w:t>500</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w w:val="110"/>
                <w:sz w:val="16"/>
              </w:rPr>
              <w:t>58</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10"/>
                <w:sz w:val="16"/>
              </w:rPr>
              <w:t>376</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欧元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3"/>
              <w:jc w:val="right"/>
              <w:rPr>
                <w:rFonts w:ascii="宋体" w:hAnsi="宋体" w:cs="宋体" w:eastAsia="宋体" w:hint="default"/>
                <w:sz w:val="16"/>
                <w:szCs w:val="16"/>
              </w:rPr>
            </w:pPr>
            <w:r>
              <w:rPr>
                <w:rFonts w:ascii="宋体"/>
                <w:w w:val="111"/>
                <w:sz w:val="16"/>
              </w:rPr>
              <w:t>1</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110"/>
                <w:sz w:val="16"/>
              </w:rPr>
              <w:t>12</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w w:val="111"/>
                <w:sz w:val="16"/>
              </w:rPr>
              <w:t>2</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2"/>
              <w:jc w:val="right"/>
              <w:rPr>
                <w:rFonts w:ascii="宋体" w:hAnsi="宋体" w:cs="宋体" w:eastAsia="宋体" w:hint="default"/>
                <w:sz w:val="16"/>
                <w:szCs w:val="16"/>
              </w:rPr>
            </w:pPr>
            <w:r>
              <w:rPr>
                <w:rFonts w:ascii="宋体"/>
                <w:w w:val="110"/>
                <w:sz w:val="16"/>
              </w:rPr>
              <w:t>13</w:t>
            </w:r>
            <w:r>
              <w:rPr>
                <w:rFonts w:ascii="宋体"/>
                <w:sz w:val="16"/>
              </w:rPr>
            </w:r>
          </w:p>
        </w:tc>
      </w:tr>
      <w:tr>
        <w:trPr>
          <w:trHeight w:val="340"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1" w:right="0"/>
              <w:jc w:val="left"/>
              <w:rPr>
                <w:rFonts w:ascii="宋体" w:hAnsi="宋体" w:cs="宋体" w:eastAsia="宋体" w:hint="default"/>
                <w:sz w:val="16"/>
                <w:szCs w:val="16"/>
              </w:rPr>
            </w:pPr>
            <w:r>
              <w:rPr>
                <w:rFonts w:ascii="宋体" w:hAnsi="宋体" w:cs="宋体" w:eastAsia="宋体" w:hint="default"/>
                <w:sz w:val="16"/>
                <w:szCs w:val="16"/>
              </w:rPr>
              <w:t>资产负债表敞口总额</w:t>
            </w:r>
          </w:p>
        </w:tc>
        <w:tc>
          <w:tcPr>
            <w:tcW w:w="1679" w:type="dxa"/>
            <w:tcBorders>
              <w:top w:val="nil" w:sz="6" w:space="0" w:color="auto"/>
              <w:left w:val="nil" w:sz="6" w:space="0" w:color="auto"/>
              <w:bottom w:val="nil" w:sz="6" w:space="0" w:color="auto"/>
              <w:right w:val="nil" w:sz="6" w:space="0" w:color="auto"/>
            </w:tcBorders>
            <w:shd w:val="clear" w:color="auto" w:fill="ECE7DD"/>
          </w:tcPr>
          <w:p>
            <w:pPr/>
          </w:p>
        </w:tc>
        <w:tc>
          <w:tcPr>
            <w:tcW w:w="1458" w:type="dxa"/>
            <w:tcBorders>
              <w:top w:val="nil" w:sz="6" w:space="0" w:color="auto"/>
              <w:left w:val="nil" w:sz="6" w:space="0" w:color="auto"/>
              <w:bottom w:val="nil" w:sz="6" w:space="0" w:color="auto"/>
              <w:right w:val="nil" w:sz="6" w:space="0" w:color="auto"/>
            </w:tcBorders>
            <w:shd w:val="clear" w:color="auto" w:fill="ECE7DD"/>
          </w:tcPr>
          <w:p>
            <w:pPr/>
          </w:p>
        </w:tc>
        <w:tc>
          <w:tcPr>
            <w:tcW w:w="1679" w:type="dxa"/>
            <w:tcBorders>
              <w:top w:val="nil" w:sz="6" w:space="0" w:color="auto"/>
              <w:left w:val="nil" w:sz="6" w:space="0" w:color="auto"/>
              <w:bottom w:val="nil" w:sz="6" w:space="0" w:color="auto"/>
              <w:right w:val="nil" w:sz="6" w:space="0" w:color="auto"/>
            </w:tcBorders>
          </w:tcPr>
          <w:p>
            <w:pPr/>
          </w:p>
        </w:tc>
        <w:tc>
          <w:tcPr>
            <w:tcW w:w="1458" w:type="dxa"/>
            <w:tcBorders>
              <w:top w:val="nil" w:sz="6" w:space="0" w:color="auto"/>
              <w:left w:val="nil" w:sz="6" w:space="0" w:color="auto"/>
              <w:bottom w:val="nil" w:sz="6" w:space="0" w:color="auto"/>
              <w:right w:val="nil" w:sz="6" w:space="0" w:color="auto"/>
            </w:tcBorders>
          </w:tcPr>
          <w:p>
            <w:pP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美元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3"/>
              <w:jc w:val="right"/>
              <w:rPr>
                <w:rFonts w:ascii="宋体" w:hAnsi="宋体" w:cs="宋体" w:eastAsia="宋体" w:hint="default"/>
                <w:sz w:val="16"/>
                <w:szCs w:val="16"/>
              </w:rPr>
            </w:pPr>
            <w:r>
              <w:rPr>
                <w:rFonts w:ascii="宋体"/>
                <w:w w:val="110"/>
                <w:sz w:val="16"/>
              </w:rPr>
              <w:t>237</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3"/>
              <w:jc w:val="right"/>
              <w:rPr>
                <w:rFonts w:ascii="宋体" w:hAnsi="宋体" w:cs="宋体" w:eastAsia="宋体" w:hint="default"/>
                <w:sz w:val="16"/>
                <w:szCs w:val="16"/>
              </w:rPr>
            </w:pPr>
            <w:r>
              <w:rPr>
                <w:rFonts w:ascii="宋体"/>
                <w:w w:val="95"/>
                <w:sz w:val="16"/>
              </w:rPr>
              <w:t>1,631</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3"/>
              <w:jc w:val="right"/>
              <w:rPr>
                <w:rFonts w:ascii="宋体" w:hAnsi="宋体" w:cs="宋体" w:eastAsia="宋体" w:hint="default"/>
                <w:sz w:val="16"/>
                <w:szCs w:val="16"/>
              </w:rPr>
            </w:pPr>
            <w:r>
              <w:rPr>
                <w:rFonts w:ascii="宋体"/>
                <w:w w:val="110"/>
                <w:sz w:val="16"/>
              </w:rPr>
              <w:t>278</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w w:val="95"/>
                <w:sz w:val="16"/>
              </w:rPr>
              <w:t>1,820</w:t>
            </w:r>
            <w:r>
              <w:rPr>
                <w:rFonts w:ascii="宋体"/>
                <w:sz w:val="16"/>
              </w:rPr>
            </w: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港币</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4"/>
              <w:jc w:val="right"/>
              <w:rPr>
                <w:rFonts w:ascii="宋体" w:hAnsi="宋体" w:cs="宋体" w:eastAsia="宋体" w:hint="default"/>
                <w:sz w:val="16"/>
                <w:szCs w:val="16"/>
              </w:rPr>
            </w:pPr>
            <w:r>
              <w:rPr>
                <w:rFonts w:ascii="宋体"/>
                <w:w w:val="110"/>
                <w:sz w:val="16"/>
              </w:rPr>
              <w:t>65</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3"/>
              <w:jc w:val="right"/>
              <w:rPr>
                <w:rFonts w:ascii="宋体" w:hAnsi="宋体" w:cs="宋体" w:eastAsia="宋体" w:hint="default"/>
                <w:sz w:val="16"/>
                <w:szCs w:val="16"/>
              </w:rPr>
            </w:pPr>
            <w:r>
              <w:rPr>
                <w:rFonts w:ascii="宋体"/>
                <w:w w:val="110"/>
                <w:sz w:val="16"/>
              </w:rPr>
              <w:t>57</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4"/>
              <w:jc w:val="right"/>
              <w:rPr>
                <w:rFonts w:ascii="宋体" w:hAnsi="宋体" w:cs="宋体" w:eastAsia="宋体" w:hint="default"/>
                <w:sz w:val="16"/>
                <w:szCs w:val="16"/>
              </w:rPr>
            </w:pPr>
            <w:r>
              <w:rPr>
                <w:rFonts w:ascii="宋体"/>
                <w:w w:val="80"/>
                <w:sz w:val="16"/>
              </w:rPr>
              <w:t>(11)</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w w:val="70"/>
                <w:sz w:val="16"/>
              </w:rPr>
              <w:t>(9)</w:t>
            </w:r>
            <w:r>
              <w:rPr>
                <w:rFonts w:ascii="宋体"/>
                <w:sz w:val="16"/>
              </w:rPr>
            </w: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欧元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4"/>
              <w:jc w:val="right"/>
              <w:rPr>
                <w:rFonts w:ascii="宋体" w:hAnsi="宋体" w:cs="宋体" w:eastAsia="宋体" w:hint="default"/>
                <w:sz w:val="16"/>
                <w:szCs w:val="16"/>
              </w:rPr>
            </w:pPr>
            <w:r>
              <w:rPr>
                <w:rFonts w:ascii="宋体"/>
                <w:w w:val="110"/>
                <w:sz w:val="16"/>
              </w:rPr>
              <w:t>479</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3"/>
              <w:jc w:val="right"/>
              <w:rPr>
                <w:rFonts w:ascii="宋体" w:hAnsi="宋体" w:cs="宋体" w:eastAsia="宋体" w:hint="default"/>
                <w:sz w:val="16"/>
                <w:szCs w:val="16"/>
              </w:rPr>
            </w:pPr>
            <w:r>
              <w:rPr>
                <w:rFonts w:ascii="宋体"/>
                <w:w w:val="95"/>
                <w:sz w:val="16"/>
              </w:rPr>
              <w:t>3,757</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4"/>
              <w:jc w:val="right"/>
              <w:rPr>
                <w:rFonts w:ascii="宋体" w:hAnsi="宋体" w:cs="宋体" w:eastAsia="宋体" w:hint="default"/>
                <w:sz w:val="16"/>
                <w:szCs w:val="16"/>
              </w:rPr>
            </w:pPr>
            <w:r>
              <w:rPr>
                <w:rFonts w:ascii="宋体"/>
                <w:w w:val="110"/>
                <w:sz w:val="16"/>
              </w:rPr>
              <w:t>525</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w w:val="95"/>
                <w:sz w:val="16"/>
              </w:rPr>
              <w:t>4,096</w:t>
            </w:r>
            <w:r>
              <w:rPr>
                <w:rFonts w:ascii="宋体"/>
                <w:sz w:val="16"/>
              </w:rPr>
            </w:r>
          </w:p>
        </w:tc>
      </w:tr>
      <w:tr>
        <w:trPr>
          <w:trHeight w:val="273" w:hRule="exact"/>
        </w:trPr>
        <w:tc>
          <w:tcPr>
            <w:tcW w:w="3024" w:type="dxa"/>
            <w:tcBorders>
              <w:top w:val="nil" w:sz="6" w:space="0" w:color="auto"/>
              <w:left w:val="nil" w:sz="6" w:space="0" w:color="auto"/>
              <w:bottom w:val="nil" w:sz="6" w:space="0" w:color="auto"/>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日元</w:t>
            </w:r>
          </w:p>
        </w:tc>
        <w:tc>
          <w:tcPr>
            <w:tcW w:w="167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24"/>
              <w:jc w:val="right"/>
              <w:rPr>
                <w:rFonts w:ascii="宋体" w:hAnsi="宋体" w:cs="宋体" w:eastAsia="宋体" w:hint="default"/>
                <w:sz w:val="16"/>
                <w:szCs w:val="16"/>
              </w:rPr>
            </w:pPr>
            <w:r>
              <w:rPr>
                <w:rFonts w:ascii="宋体"/>
                <w:w w:val="110"/>
                <w:sz w:val="16"/>
              </w:rPr>
              <w:t>23</w:t>
            </w:r>
            <w:r>
              <w:rPr>
                <w:rFonts w:ascii="宋体"/>
                <w:sz w:val="16"/>
              </w:rPr>
            </w:r>
          </w:p>
        </w:tc>
        <w:tc>
          <w:tcPr>
            <w:tcW w:w="145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3"/>
              <w:jc w:val="right"/>
              <w:rPr>
                <w:rFonts w:ascii="宋体" w:hAnsi="宋体" w:cs="宋体" w:eastAsia="宋体" w:hint="default"/>
                <w:sz w:val="16"/>
                <w:szCs w:val="16"/>
              </w:rPr>
            </w:pPr>
            <w:r>
              <w:rPr>
                <w:rFonts w:ascii="宋体"/>
                <w:w w:val="111"/>
                <w:sz w:val="16"/>
              </w:rPr>
              <w:t>1</w:t>
            </w:r>
            <w:r>
              <w:rPr>
                <w:rFonts w:ascii="宋体"/>
                <w:sz w:val="16"/>
              </w:rPr>
            </w:r>
          </w:p>
        </w:tc>
        <w:tc>
          <w:tcPr>
            <w:tcW w:w="1679" w:type="dxa"/>
            <w:tcBorders>
              <w:top w:val="nil" w:sz="6" w:space="0" w:color="auto"/>
              <w:left w:val="nil" w:sz="6" w:space="0" w:color="auto"/>
              <w:bottom w:val="nil" w:sz="6" w:space="0" w:color="auto"/>
              <w:right w:val="nil" w:sz="6" w:space="0" w:color="auto"/>
            </w:tcBorders>
          </w:tcPr>
          <w:p>
            <w:pPr>
              <w:pStyle w:val="TableParagraph"/>
              <w:spacing w:line="205" w:lineRule="exact"/>
              <w:ind w:right="224"/>
              <w:jc w:val="right"/>
              <w:rPr>
                <w:rFonts w:ascii="宋体" w:hAnsi="宋体" w:cs="宋体" w:eastAsia="宋体" w:hint="default"/>
                <w:sz w:val="16"/>
                <w:szCs w:val="16"/>
              </w:rPr>
            </w:pPr>
            <w:r>
              <w:rPr>
                <w:rFonts w:ascii="宋体"/>
                <w:w w:val="110"/>
                <w:sz w:val="16"/>
              </w:rPr>
              <w:t>12</w:t>
            </w:r>
            <w:r>
              <w:rPr>
                <w:rFonts w:ascii="宋体"/>
                <w:sz w:val="16"/>
              </w:rPr>
            </w:r>
          </w:p>
        </w:tc>
        <w:tc>
          <w:tcPr>
            <w:tcW w:w="1458" w:type="dxa"/>
            <w:tcBorders>
              <w:top w:val="nil" w:sz="6" w:space="0" w:color="auto"/>
              <w:left w:val="nil" w:sz="6" w:space="0" w:color="auto"/>
              <w:bottom w:val="nil" w:sz="6" w:space="0" w:color="auto"/>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w w:val="111"/>
                <w:sz w:val="16"/>
              </w:rPr>
              <w:t>1</w:t>
            </w:r>
            <w:r>
              <w:rPr>
                <w:rFonts w:ascii="宋体"/>
                <w:sz w:val="16"/>
              </w:rPr>
            </w:r>
          </w:p>
        </w:tc>
      </w:tr>
      <w:tr>
        <w:trPr>
          <w:trHeight w:val="337" w:hRule="exact"/>
        </w:trPr>
        <w:tc>
          <w:tcPr>
            <w:tcW w:w="3024" w:type="dxa"/>
            <w:tcBorders>
              <w:top w:val="nil" w:sz="6" w:space="0" w:color="auto"/>
              <w:left w:val="nil" w:sz="6" w:space="0" w:color="auto"/>
              <w:bottom w:val="single" w:sz="16" w:space="0" w:color="9F8958"/>
              <w:right w:val="nil" w:sz="6" w:space="0" w:color="auto"/>
            </w:tcBorders>
          </w:tcPr>
          <w:p>
            <w:pPr>
              <w:pStyle w:val="TableParagraph"/>
              <w:spacing w:line="205" w:lineRule="exact"/>
              <w:ind w:left="281"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英镑</w:t>
            </w:r>
          </w:p>
        </w:tc>
        <w:tc>
          <w:tcPr>
            <w:tcW w:w="167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224"/>
              <w:jc w:val="right"/>
              <w:rPr>
                <w:rFonts w:ascii="宋体" w:hAnsi="宋体" w:cs="宋体" w:eastAsia="宋体" w:hint="default"/>
                <w:sz w:val="16"/>
                <w:szCs w:val="16"/>
              </w:rPr>
            </w:pPr>
            <w:r>
              <w:rPr>
                <w:rFonts w:ascii="宋体"/>
                <w:w w:val="131"/>
                <w:sz w:val="16"/>
              </w:rPr>
              <w:t>-</w:t>
            </w:r>
            <w:r>
              <w:rPr>
                <w:rFonts w:ascii="宋体"/>
                <w:sz w:val="16"/>
              </w:rPr>
            </w:r>
          </w:p>
        </w:tc>
        <w:tc>
          <w:tcPr>
            <w:tcW w:w="145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3"/>
              <w:jc w:val="right"/>
              <w:rPr>
                <w:rFonts w:ascii="宋体" w:hAnsi="宋体" w:cs="宋体" w:eastAsia="宋体" w:hint="default"/>
                <w:sz w:val="16"/>
                <w:szCs w:val="16"/>
              </w:rPr>
            </w:pPr>
            <w:r>
              <w:rPr>
                <w:rFonts w:ascii="宋体"/>
                <w:w w:val="111"/>
                <w:sz w:val="16"/>
              </w:rPr>
              <w:t>1</w:t>
            </w:r>
            <w:r>
              <w:rPr>
                <w:rFonts w:ascii="宋体"/>
                <w:sz w:val="16"/>
              </w:rPr>
            </w:r>
          </w:p>
        </w:tc>
        <w:tc>
          <w:tcPr>
            <w:tcW w:w="1679" w:type="dxa"/>
            <w:tcBorders>
              <w:top w:val="nil" w:sz="6" w:space="0" w:color="auto"/>
              <w:left w:val="nil" w:sz="6" w:space="0" w:color="auto"/>
              <w:bottom w:val="single" w:sz="16" w:space="0" w:color="9F8958"/>
              <w:right w:val="nil" w:sz="6" w:space="0" w:color="auto"/>
            </w:tcBorders>
          </w:tcPr>
          <w:p>
            <w:pPr>
              <w:pStyle w:val="TableParagraph"/>
              <w:spacing w:line="205" w:lineRule="exact"/>
              <w:ind w:right="224"/>
              <w:jc w:val="right"/>
              <w:rPr>
                <w:rFonts w:ascii="宋体" w:hAnsi="宋体" w:cs="宋体" w:eastAsia="宋体" w:hint="default"/>
                <w:sz w:val="16"/>
                <w:szCs w:val="16"/>
              </w:rPr>
            </w:pPr>
            <w:r>
              <w:rPr>
                <w:rFonts w:ascii="宋体"/>
                <w:w w:val="111"/>
                <w:sz w:val="16"/>
              </w:rPr>
              <w:t>1</w:t>
            </w:r>
            <w:r>
              <w:rPr>
                <w:rFonts w:ascii="宋体"/>
                <w:sz w:val="16"/>
              </w:rPr>
            </w:r>
          </w:p>
        </w:tc>
        <w:tc>
          <w:tcPr>
            <w:tcW w:w="1458" w:type="dxa"/>
            <w:tcBorders>
              <w:top w:val="nil" w:sz="6" w:space="0" w:color="auto"/>
              <w:left w:val="nil" w:sz="6" w:space="0" w:color="auto"/>
              <w:bottom w:val="single" w:sz="16" w:space="0" w:color="9F8958"/>
              <w:right w:val="nil" w:sz="6" w:space="0" w:color="auto"/>
            </w:tcBorders>
          </w:tcPr>
          <w:p>
            <w:pPr>
              <w:pStyle w:val="TableParagraph"/>
              <w:spacing w:line="205" w:lineRule="exact"/>
              <w:ind w:right="113"/>
              <w:jc w:val="right"/>
              <w:rPr>
                <w:rFonts w:ascii="宋体" w:hAnsi="宋体" w:cs="宋体" w:eastAsia="宋体" w:hint="default"/>
                <w:sz w:val="16"/>
                <w:szCs w:val="16"/>
              </w:rPr>
            </w:pPr>
            <w:r>
              <w:rPr>
                <w:rFonts w:ascii="宋体"/>
                <w:w w:val="110"/>
                <w:sz w:val="16"/>
              </w:rPr>
              <w:t>10</w:t>
            </w:r>
            <w:r>
              <w:rPr>
                <w:rFonts w:ascii="宋体"/>
                <w:sz w:val="16"/>
              </w:rPr>
            </w:r>
          </w:p>
        </w:tc>
      </w:tr>
    </w:tbl>
    <w:p>
      <w:pPr>
        <w:spacing w:after="0" w:line="205" w:lineRule="exact"/>
        <w:jc w:val="right"/>
        <w:rPr>
          <w:rFonts w:ascii="宋体" w:hAnsi="宋体" w:cs="宋体" w:eastAsia="宋体" w:hint="default"/>
          <w:sz w:val="16"/>
          <w:szCs w:val="16"/>
        </w:rPr>
        <w:sectPr>
          <w:headerReference w:type="even" r:id="rId341"/>
          <w:headerReference w:type="default" r:id="rId342"/>
          <w:pgSz w:w="11910" w:h="16160"/>
          <w:pgMar w:header="1200" w:footer="320" w:top="2120" w:bottom="520" w:left="680" w:right="1320"/>
        </w:sectPr>
      </w:pPr>
    </w:p>
    <w:p>
      <w:pPr>
        <w:spacing w:line="240" w:lineRule="auto" w:before="7"/>
        <w:rPr>
          <w:rFonts w:ascii="宋体" w:hAnsi="宋体" w:cs="宋体" w:eastAsia="宋体" w:hint="default"/>
          <w:sz w:val="14"/>
          <w:szCs w:val="14"/>
        </w:rPr>
      </w:pPr>
    </w:p>
    <w:p>
      <w:pPr>
        <w:pStyle w:val="BodyText"/>
        <w:spacing w:line="240" w:lineRule="auto" w:before="31"/>
        <w:ind w:left="114" w:right="95"/>
        <w:jc w:val="left"/>
      </w:pPr>
      <w:r>
        <w:rPr/>
        <w:t>(a)</w:t>
      </w:r>
      <w:r>
        <w:rPr>
          <w:spacing w:val="-21"/>
        </w:rPr>
        <w:t> </w:t>
      </w:r>
      <w:r>
        <w:rPr/>
        <w:t>市场风险（续）</w:t>
      </w:r>
    </w:p>
    <w:p>
      <w:pPr>
        <w:spacing w:line="240" w:lineRule="auto" w:before="12"/>
        <w:rPr>
          <w:rFonts w:ascii="宋体" w:hAnsi="宋体" w:cs="宋体" w:eastAsia="宋体" w:hint="default"/>
          <w:sz w:val="17"/>
          <w:szCs w:val="17"/>
        </w:rPr>
      </w:pPr>
    </w:p>
    <w:p>
      <w:pPr>
        <w:pStyle w:val="BodyText"/>
        <w:spacing w:line="240" w:lineRule="auto"/>
        <w:ind w:right="0"/>
        <w:jc w:val="both"/>
      </w:pPr>
      <w:r>
        <w:rPr/>
        <w:t>(1)</w:t>
      </w:r>
      <w:r>
        <w:rPr>
          <w:spacing w:val="19"/>
        </w:rPr>
        <w:t> </w:t>
      </w:r>
      <w:r>
        <w:rPr/>
        <w:t>汇率风险（续）</w:t>
      </w:r>
    </w:p>
    <w:p>
      <w:pPr>
        <w:spacing w:line="240" w:lineRule="auto" w:before="5"/>
        <w:rPr>
          <w:rFonts w:ascii="宋体" w:hAnsi="宋体" w:cs="宋体" w:eastAsia="宋体" w:hint="default"/>
          <w:sz w:val="16"/>
          <w:szCs w:val="16"/>
        </w:rPr>
      </w:pPr>
    </w:p>
    <w:p>
      <w:pPr>
        <w:pStyle w:val="BodyText"/>
        <w:spacing w:line="285" w:lineRule="auto"/>
        <w:ind w:right="105"/>
        <w:jc w:val="both"/>
      </w:pPr>
      <w:r>
        <w:rPr/>
        <w:t>于</w:t>
      </w:r>
      <w:r>
        <w:rPr>
          <w:spacing w:val="-42"/>
        </w:rPr>
        <w:t> </w:t>
      </w:r>
      <w:r>
        <w:rPr/>
        <w:t>2018</w:t>
      </w:r>
      <w:r>
        <w:rPr>
          <w:spacing w:val="-42"/>
        </w:rPr>
        <w:t> </w:t>
      </w:r>
      <w:r>
        <w:rPr/>
        <w:t>年</w:t>
      </w:r>
      <w:r>
        <w:rPr>
          <w:spacing w:val="-42"/>
        </w:rPr>
        <w:t> </w:t>
      </w:r>
      <w:r>
        <w:rPr/>
        <w:t>12</w:t>
      </w:r>
      <w:r>
        <w:rPr>
          <w:spacing w:val="-42"/>
        </w:rPr>
        <w:t> </w:t>
      </w:r>
      <w:r>
        <w:rPr/>
        <w:t>月</w:t>
      </w:r>
      <w:r>
        <w:rPr>
          <w:spacing w:val="-42"/>
        </w:rPr>
        <w:t> </w:t>
      </w:r>
      <w:r>
        <w:rPr/>
        <w:t>31</w:t>
      </w:r>
      <w:r>
        <w:rPr>
          <w:spacing w:val="-42"/>
        </w:rPr>
        <w:t> </w:t>
      </w:r>
      <w:r>
        <w:rPr/>
        <w:t>日，对于本集团以外币计价的货币资金、应收票据及应收账款、银行借款和应付票据及应付账款，</w:t>
      </w:r>
      <w:r>
        <w:rPr>
          <w:spacing w:val="-88"/>
        </w:rPr>
        <w:t> </w:t>
      </w:r>
      <w:r>
        <w:rPr>
          <w:spacing w:val="-88"/>
        </w:rPr>
      </w:r>
      <w:r>
        <w:rPr/>
        <w:t>假设人民币对外币（主要为对美元、港币和欧元）升值或贬值 10%，而其他因素保持不变，则会导致本集团股东权益</w:t>
      </w:r>
      <w:r>
        <w:rPr>
          <w:spacing w:val="16"/>
        </w:rPr>
        <w:t> </w:t>
      </w:r>
      <w:r>
        <w:rPr>
          <w:spacing w:val="16"/>
        </w:rPr>
      </w:r>
      <w:r>
        <w:rPr/>
        <w:t>及净利润均增加或减少约人民币</w:t>
      </w:r>
      <w:r>
        <w:rPr>
          <w:spacing w:val="-46"/>
        </w:rPr>
        <w:t> </w:t>
      </w:r>
      <w:r>
        <w:rPr>
          <w:spacing w:val="-1"/>
          <w:w w:val="97"/>
        </w:rPr>
        <w:t>1.31</w:t>
      </w:r>
      <w:r>
        <w:rPr>
          <w:spacing w:val="-44"/>
          <w:w w:val="97"/>
        </w:rPr>
        <w:t> </w:t>
      </w:r>
      <w:r>
        <w:rPr>
          <w:spacing w:val="-1"/>
          <w:w w:val="106"/>
        </w:rPr>
        <w:t>亿元（2017</w:t>
      </w:r>
      <w:r>
        <w:rPr>
          <w:spacing w:val="-52"/>
          <w:w w:val="106"/>
        </w:rPr>
        <w:t> </w:t>
      </w:r>
      <w:r>
        <w:rPr/>
        <w:t>年</w:t>
      </w:r>
      <w:r>
        <w:rPr>
          <w:spacing w:val="-46"/>
        </w:rPr>
        <w:t> </w:t>
      </w:r>
      <w:r>
        <w:rPr>
          <w:spacing w:val="-1"/>
          <w:w w:val="111"/>
        </w:rPr>
        <w:t>12</w:t>
      </w:r>
      <w:r>
        <w:rPr>
          <w:spacing w:val="-56"/>
          <w:w w:val="111"/>
        </w:rPr>
        <w:t> </w:t>
      </w:r>
      <w:r>
        <w:rPr/>
        <w:t>月</w:t>
      </w:r>
      <w:r>
        <w:rPr>
          <w:spacing w:val="-46"/>
        </w:rPr>
        <w:t> </w:t>
      </w:r>
      <w:r>
        <w:rPr>
          <w:spacing w:val="-1"/>
          <w:w w:val="111"/>
        </w:rPr>
        <w:t>31</w:t>
      </w:r>
      <w:r>
        <w:rPr>
          <w:spacing w:val="-56"/>
          <w:w w:val="111"/>
        </w:rPr>
        <w:t> </w:t>
      </w:r>
      <w:r>
        <w:rPr/>
        <w:t>日：约人民币</w:t>
      </w:r>
      <w:r>
        <w:rPr>
          <w:spacing w:val="-46"/>
        </w:rPr>
        <w:t> </w:t>
      </w:r>
      <w:r>
        <w:rPr>
          <w:spacing w:val="-1"/>
          <w:w w:val="97"/>
        </w:rPr>
        <w:t>1.39</w:t>
      </w:r>
      <w:r>
        <w:rPr>
          <w:spacing w:val="-44"/>
          <w:w w:val="97"/>
        </w:rPr>
        <w:t> </w:t>
      </w:r>
      <w:r>
        <w:rPr/>
        <w:t>亿元）。对于本集团以外币计价的其</w:t>
      </w:r>
      <w:r>
        <w:rPr/>
        <w:t> 他权益工具投资，假设人民币对外币（主要为对欧元）增加或减少 10%，而其他因素保持不变，则会导致本集团股东</w:t>
      </w:r>
      <w:r>
        <w:rPr>
          <w:spacing w:val="16"/>
        </w:rPr>
        <w:t> </w:t>
      </w:r>
      <w:r>
        <w:rPr>
          <w:spacing w:val="16"/>
        </w:rPr>
      </w:r>
      <w:r>
        <w:rPr/>
        <w:t>权益及其他综合收益均减少或增加约人民币</w:t>
      </w:r>
      <w:r>
        <w:rPr>
          <w:spacing w:val="-39"/>
        </w:rPr>
        <w:t> </w:t>
      </w:r>
      <w:r>
        <w:rPr/>
        <w:t>3.70</w:t>
      </w:r>
      <w:r>
        <w:rPr>
          <w:spacing w:val="-40"/>
        </w:rPr>
        <w:t> </w:t>
      </w:r>
      <w:r>
        <w:rPr/>
        <w:t>亿元（2017</w:t>
      </w:r>
      <w:r>
        <w:rPr>
          <w:spacing w:val="-40"/>
        </w:rPr>
        <w:t> </w:t>
      </w:r>
      <w:r>
        <w:rPr/>
        <w:t>年</w:t>
      </w:r>
      <w:r>
        <w:rPr>
          <w:spacing w:val="-39"/>
        </w:rPr>
        <w:t> </w:t>
      </w:r>
      <w:r>
        <w:rPr/>
        <w:t>12</w:t>
      </w:r>
      <w:r>
        <w:rPr>
          <w:spacing w:val="-40"/>
        </w:rPr>
        <w:t> </w:t>
      </w:r>
      <w:r>
        <w:rPr/>
        <w:t>月</w:t>
      </w:r>
      <w:r>
        <w:rPr>
          <w:spacing w:val="-39"/>
        </w:rPr>
        <w:t> </w:t>
      </w:r>
      <w:r>
        <w:rPr/>
        <w:t>31</w:t>
      </w:r>
      <w:r>
        <w:rPr>
          <w:spacing w:val="-40"/>
        </w:rPr>
        <w:t> </w:t>
      </w:r>
      <w:r>
        <w:rPr/>
        <w:t>日：约人民币</w:t>
      </w:r>
      <w:r>
        <w:rPr>
          <w:spacing w:val="-39"/>
        </w:rPr>
        <w:t> </w:t>
      </w:r>
      <w:r>
        <w:rPr/>
        <w:t>4.07</w:t>
      </w:r>
      <w:r>
        <w:rPr>
          <w:spacing w:val="-40"/>
        </w:rPr>
        <w:t> </w:t>
      </w:r>
      <w:r>
        <w:rPr/>
        <w:t>亿元）。</w:t>
      </w:r>
    </w:p>
    <w:p>
      <w:pPr>
        <w:spacing w:line="240" w:lineRule="auto" w:before="10"/>
        <w:rPr>
          <w:rFonts w:ascii="宋体" w:hAnsi="宋体" w:cs="宋体" w:eastAsia="宋体" w:hint="default"/>
          <w:sz w:val="13"/>
          <w:szCs w:val="13"/>
        </w:rPr>
      </w:pPr>
    </w:p>
    <w:p>
      <w:pPr>
        <w:pStyle w:val="BodyText"/>
        <w:spacing w:line="285" w:lineRule="auto"/>
        <w:ind w:right="105"/>
        <w:jc w:val="both"/>
      </w:pPr>
      <w:r>
        <w:rPr/>
        <w:t>上述敏感性分析是假设资产负债表日汇率发生变动，以变动后的汇率对资产负债表日本集团或本公司持有的、面临汇</w:t>
      </w:r>
      <w:r>
        <w:rPr>
          <w:spacing w:val="7"/>
        </w:rPr>
        <w:t> </w:t>
      </w:r>
      <w:r>
        <w:rPr>
          <w:spacing w:val="7"/>
        </w:rPr>
      </w:r>
      <w:r>
        <w:rPr>
          <w:spacing w:val="-2"/>
        </w:rPr>
        <w:t>率风险的金融工具进行重新计量得出的。上述分析不包括外币报表折算差异。上一年度的分析基于同样的假设和方法。</w:t>
      </w:r>
    </w:p>
    <w:p>
      <w:pPr>
        <w:spacing w:line="240" w:lineRule="auto" w:before="10"/>
        <w:rPr>
          <w:rFonts w:ascii="宋体" w:hAnsi="宋体" w:cs="宋体" w:eastAsia="宋体" w:hint="default"/>
          <w:sz w:val="13"/>
          <w:szCs w:val="13"/>
        </w:rPr>
      </w:pPr>
    </w:p>
    <w:p>
      <w:pPr>
        <w:pStyle w:val="BodyText"/>
        <w:spacing w:line="240" w:lineRule="auto"/>
        <w:ind w:right="0"/>
        <w:jc w:val="both"/>
      </w:pPr>
      <w:r>
        <w:rPr/>
        <w:t>(2)</w:t>
      </w:r>
      <w:r>
        <w:rPr>
          <w:spacing w:val="19"/>
        </w:rPr>
        <w:t> </w:t>
      </w:r>
      <w:r>
        <w:rPr/>
        <w:t>价格风险</w:t>
      </w:r>
    </w:p>
    <w:p>
      <w:pPr>
        <w:spacing w:line="240" w:lineRule="auto" w:before="5"/>
        <w:rPr>
          <w:rFonts w:ascii="宋体" w:hAnsi="宋体" w:cs="宋体" w:eastAsia="宋体" w:hint="default"/>
          <w:sz w:val="16"/>
          <w:szCs w:val="16"/>
        </w:rPr>
      </w:pPr>
    </w:p>
    <w:p>
      <w:pPr>
        <w:pStyle w:val="BodyText"/>
        <w:spacing w:line="285" w:lineRule="auto"/>
        <w:ind w:right="112"/>
        <w:jc w:val="both"/>
      </w:pPr>
      <w:r>
        <w:rPr/>
        <w:t>本集团在资产负债表中被分类为其他权益工具投资的股票投资主要为西班牙电信的股票，因此本集团承受权益证券的</w:t>
      </w:r>
      <w:r>
        <w:rPr>
          <w:spacing w:val="9"/>
        </w:rPr>
        <w:t> </w:t>
      </w:r>
      <w:r>
        <w:rPr>
          <w:spacing w:val="9"/>
        </w:rPr>
      </w:r>
      <w:r>
        <w:rPr/>
        <w:t>市场价格风险。</w:t>
      </w:r>
    </w:p>
    <w:p>
      <w:pPr>
        <w:spacing w:line="240" w:lineRule="auto" w:before="10"/>
        <w:rPr>
          <w:rFonts w:ascii="宋体" w:hAnsi="宋体" w:cs="宋体" w:eastAsia="宋体" w:hint="default"/>
          <w:sz w:val="13"/>
          <w:szCs w:val="13"/>
        </w:rPr>
      </w:pPr>
    </w:p>
    <w:p>
      <w:pPr>
        <w:pStyle w:val="BodyText"/>
        <w:spacing w:line="240" w:lineRule="auto"/>
        <w:ind w:right="0"/>
        <w:jc w:val="both"/>
      </w:pPr>
      <w:r>
        <w:rPr/>
        <w:t>于</w:t>
      </w:r>
      <w:r>
        <w:rPr>
          <w:spacing w:val="-14"/>
        </w:rPr>
        <w:t> </w:t>
      </w:r>
      <w:r>
        <w:rPr/>
        <w:t>2018</w:t>
      </w:r>
      <w:r>
        <w:rPr>
          <w:spacing w:val="-14"/>
        </w:rPr>
        <w:t> </w:t>
      </w:r>
      <w:r>
        <w:rPr/>
        <w:t>年</w:t>
      </w:r>
      <w:r>
        <w:rPr>
          <w:spacing w:val="-14"/>
        </w:rPr>
        <w:t> </w:t>
      </w:r>
      <w:r>
        <w:rPr/>
        <w:t>12</w:t>
      </w:r>
      <w:r>
        <w:rPr>
          <w:spacing w:val="-14"/>
        </w:rPr>
        <w:t> </w:t>
      </w:r>
      <w:r>
        <w:rPr/>
        <w:t>月</w:t>
      </w:r>
      <w:r>
        <w:rPr>
          <w:spacing w:val="-14"/>
        </w:rPr>
        <w:t> </w:t>
      </w:r>
      <w:r>
        <w:rPr/>
        <w:t>31</w:t>
      </w:r>
      <w:r>
        <w:rPr>
          <w:spacing w:val="-14"/>
        </w:rPr>
        <w:t> </w:t>
      </w:r>
      <w:r>
        <w:rPr/>
        <w:t>日，假设西班牙电信的股票价格上升或下降</w:t>
      </w:r>
      <w:r>
        <w:rPr>
          <w:spacing w:val="-14"/>
        </w:rPr>
        <w:t> </w:t>
      </w:r>
      <w:r>
        <w:rPr/>
        <w:t>10%，而其他因素保持不变，则其他权益工具投资账</w:t>
      </w:r>
    </w:p>
    <w:p>
      <w:pPr>
        <w:pStyle w:val="BodyText"/>
        <w:spacing w:line="240" w:lineRule="auto" w:before="44"/>
        <w:ind w:right="0"/>
        <w:jc w:val="both"/>
      </w:pPr>
      <w:r>
        <w:rPr/>
        <w:t>面价值会因公允价值变动而额外增加或减少约人民币</w:t>
      </w:r>
      <w:r>
        <w:rPr>
          <w:spacing w:val="-39"/>
        </w:rPr>
        <w:t> </w:t>
      </w:r>
      <w:r>
        <w:rPr/>
        <w:t>3.70</w:t>
      </w:r>
      <w:r>
        <w:rPr>
          <w:spacing w:val="-40"/>
        </w:rPr>
        <w:t> </w:t>
      </w:r>
      <w:r>
        <w:rPr/>
        <w:t>亿元（2017</w:t>
      </w:r>
      <w:r>
        <w:rPr>
          <w:spacing w:val="-40"/>
        </w:rPr>
        <w:t> </w:t>
      </w:r>
      <w:r>
        <w:rPr/>
        <w:t>年</w:t>
      </w:r>
      <w:r>
        <w:rPr>
          <w:spacing w:val="-39"/>
        </w:rPr>
        <w:t> </w:t>
      </w:r>
      <w:r>
        <w:rPr/>
        <w:t>12</w:t>
      </w:r>
      <w:r>
        <w:rPr>
          <w:spacing w:val="-40"/>
        </w:rPr>
        <w:t> </w:t>
      </w:r>
      <w:r>
        <w:rPr/>
        <w:t>月</w:t>
      </w:r>
      <w:r>
        <w:rPr>
          <w:spacing w:val="-39"/>
        </w:rPr>
        <w:t> </w:t>
      </w:r>
      <w:r>
        <w:rPr/>
        <w:t>31</w:t>
      </w:r>
      <w:r>
        <w:rPr>
          <w:spacing w:val="-40"/>
        </w:rPr>
        <w:t> </w:t>
      </w:r>
      <w:r>
        <w:rPr/>
        <w:t>日：约人民币</w:t>
      </w:r>
      <w:r>
        <w:rPr>
          <w:spacing w:val="-39"/>
        </w:rPr>
        <w:t> </w:t>
      </w:r>
      <w:r>
        <w:rPr/>
        <w:t>4.07</w:t>
      </w:r>
      <w:r>
        <w:rPr>
          <w:spacing w:val="-40"/>
        </w:rPr>
        <w:t> </w:t>
      </w:r>
      <w:r>
        <w:rPr/>
        <w:t>亿元）。</w:t>
      </w:r>
    </w:p>
    <w:p>
      <w:pPr>
        <w:spacing w:line="240" w:lineRule="auto" w:before="5"/>
        <w:rPr>
          <w:rFonts w:ascii="宋体" w:hAnsi="宋体" w:cs="宋体" w:eastAsia="宋体" w:hint="default"/>
          <w:sz w:val="16"/>
          <w:szCs w:val="16"/>
        </w:rPr>
      </w:pPr>
    </w:p>
    <w:p>
      <w:pPr>
        <w:pStyle w:val="BodyText"/>
        <w:spacing w:line="285" w:lineRule="auto"/>
        <w:ind w:right="112"/>
        <w:jc w:val="both"/>
      </w:pPr>
      <w:r>
        <w:rPr/>
        <w:t>上述敏感性分析是假设资产负债表日西班牙电信股票价格发生变动，以变动后的价格对西班牙电信的股票投资进行重</w:t>
      </w:r>
      <w:r>
        <w:rPr>
          <w:spacing w:val="9"/>
        </w:rPr>
        <w:t> </w:t>
      </w:r>
      <w:r>
        <w:rPr>
          <w:spacing w:val="9"/>
        </w:rPr>
      </w:r>
      <w:r>
        <w:rPr/>
        <w:t>新计量得出的。上一年度的分析基于同样的假设和方法。</w:t>
      </w:r>
    </w:p>
    <w:p>
      <w:pPr>
        <w:spacing w:line="240" w:lineRule="auto" w:before="10"/>
        <w:rPr>
          <w:rFonts w:ascii="宋体" w:hAnsi="宋体" w:cs="宋体" w:eastAsia="宋体" w:hint="default"/>
          <w:sz w:val="13"/>
          <w:szCs w:val="13"/>
        </w:rPr>
      </w:pPr>
    </w:p>
    <w:p>
      <w:pPr>
        <w:pStyle w:val="BodyText"/>
        <w:spacing w:line="240" w:lineRule="auto"/>
        <w:ind w:right="0"/>
        <w:jc w:val="both"/>
      </w:pPr>
      <w:r>
        <w:rPr/>
        <w:t>(3)</w:t>
      </w:r>
      <w:r>
        <w:rPr>
          <w:spacing w:val="19"/>
        </w:rPr>
        <w:t> </w:t>
      </w:r>
      <w:r>
        <w:rPr/>
        <w:t>现金流量和公允价值利率风险</w:t>
      </w:r>
    </w:p>
    <w:p>
      <w:pPr>
        <w:spacing w:line="240" w:lineRule="auto" w:before="5"/>
        <w:rPr>
          <w:rFonts w:ascii="宋体" w:hAnsi="宋体" w:cs="宋体" w:eastAsia="宋体" w:hint="default"/>
          <w:sz w:val="16"/>
          <w:szCs w:val="16"/>
        </w:rPr>
      </w:pPr>
    </w:p>
    <w:p>
      <w:pPr>
        <w:pStyle w:val="BodyText"/>
        <w:spacing w:line="285" w:lineRule="auto"/>
        <w:ind w:right="105"/>
        <w:jc w:val="both"/>
      </w:pPr>
      <w:r>
        <w:rPr/>
        <w:t>本集团的带息资产主要为银行存款。由于主要的银行存款皆为短期性质并且所涉及的利息金额并不重大，管理层认为</w:t>
      </w:r>
      <w:r>
        <w:rPr>
          <w:spacing w:val="7"/>
        </w:rPr>
        <w:t> </w:t>
      </w:r>
      <w:r>
        <w:rPr>
          <w:spacing w:val="7"/>
        </w:rPr>
      </w:r>
      <w:r>
        <w:rPr/>
        <w:t>市场存款利率的波动对财务报表的影响并不重大。</w:t>
      </w:r>
    </w:p>
    <w:p>
      <w:pPr>
        <w:spacing w:line="240" w:lineRule="auto" w:before="10"/>
        <w:rPr>
          <w:rFonts w:ascii="宋体" w:hAnsi="宋体" w:cs="宋体" w:eastAsia="宋体" w:hint="default"/>
          <w:sz w:val="13"/>
          <w:szCs w:val="13"/>
        </w:rPr>
      </w:pPr>
    </w:p>
    <w:p>
      <w:pPr>
        <w:pStyle w:val="BodyText"/>
        <w:spacing w:line="285" w:lineRule="auto"/>
        <w:ind w:right="105"/>
        <w:jc w:val="both"/>
      </w:pPr>
      <w:r>
        <w:rPr/>
        <w:t>本集团的利率风险产生于包括银行借款、长短期债券、吸收存款等在内的计息借款。浮动利率计息的借款、循环贷款</w:t>
      </w:r>
      <w:r>
        <w:rPr>
          <w:spacing w:val="3"/>
        </w:rPr>
        <w:t> </w:t>
      </w:r>
      <w:r>
        <w:rPr>
          <w:spacing w:val="3"/>
        </w:rPr>
      </w:r>
      <w:r>
        <w:rPr/>
        <w:t>额度范围内的固定利率短期借款、短期融资券及吸收存款导致本集团产生现金流量利率风险，而固定利率计息的长期</w:t>
      </w:r>
      <w:r>
        <w:rPr>
          <w:spacing w:val="7"/>
        </w:rPr>
        <w:t> </w:t>
      </w:r>
      <w:r>
        <w:rPr>
          <w:spacing w:val="7"/>
        </w:rPr>
      </w:r>
      <w:r>
        <w:rPr/>
        <w:t>借款、长期债券导致本集团产生公允价值利率风险。本集团主要根据当时的市场环境来决定使用固定利率或浮动利率</w:t>
      </w:r>
      <w:r>
        <w:rPr>
          <w:spacing w:val="7"/>
        </w:rPr>
        <w:t> </w:t>
      </w:r>
      <w:r>
        <w:rPr>
          <w:spacing w:val="7"/>
        </w:rPr>
      </w:r>
      <w:r>
        <w:rPr/>
        <w:t>借款的政策。</w:t>
      </w:r>
    </w:p>
    <w:p>
      <w:pPr>
        <w:spacing w:line="240" w:lineRule="auto" w:before="10"/>
        <w:rPr>
          <w:rFonts w:ascii="宋体" w:hAnsi="宋体" w:cs="宋体" w:eastAsia="宋体" w:hint="default"/>
          <w:sz w:val="13"/>
          <w:szCs w:val="13"/>
        </w:rPr>
      </w:pPr>
    </w:p>
    <w:p>
      <w:pPr>
        <w:pStyle w:val="BodyText"/>
        <w:spacing w:line="285" w:lineRule="auto"/>
        <w:ind w:right="105"/>
        <w:jc w:val="both"/>
      </w:pPr>
      <w:r>
        <w:rPr/>
        <w:t>如果利率上升会增加新增借款的成本以及本集团尚未偿还的以浮动利率计息的借款的利息支出，对本集团的财务状况</w:t>
      </w:r>
      <w:r>
        <w:rPr>
          <w:spacing w:val="9"/>
        </w:rPr>
        <w:t> </w:t>
      </w:r>
      <w:r>
        <w:rPr>
          <w:spacing w:val="9"/>
        </w:rPr>
      </w:r>
      <w:r>
        <w:rPr/>
        <w:t>产生重大的不利影响。管理层持续监控本集团利率水平并依据最新的市场状况及时做出调整。本集团可能采用利率掉</w:t>
      </w:r>
      <w:r>
        <w:rPr>
          <w:spacing w:val="7"/>
        </w:rPr>
        <w:t> </w:t>
      </w:r>
      <w:r>
        <w:rPr>
          <w:spacing w:val="7"/>
        </w:rPr>
      </w:r>
      <w:r>
        <w:rPr/>
        <w:t>期安排以降低浮动利率计息的借款产生的利率风险，但本集团认为 2018</w:t>
      </w:r>
      <w:r>
        <w:rPr>
          <w:spacing w:val="-52"/>
        </w:rPr>
        <w:t> </w:t>
      </w:r>
      <w:r>
        <w:rPr/>
        <w:t>年度并无该等安排的需要。</w:t>
      </w:r>
    </w:p>
    <w:p>
      <w:pPr>
        <w:spacing w:line="240" w:lineRule="auto" w:before="10"/>
        <w:rPr>
          <w:rFonts w:ascii="宋体" w:hAnsi="宋体" w:cs="宋体" w:eastAsia="宋体" w:hint="default"/>
          <w:sz w:val="13"/>
          <w:szCs w:val="13"/>
        </w:rPr>
      </w:pPr>
    </w:p>
    <w:p>
      <w:pPr>
        <w:pStyle w:val="BodyText"/>
        <w:spacing w:line="240" w:lineRule="auto"/>
        <w:ind w:right="0"/>
        <w:jc w:val="both"/>
      </w:pPr>
      <w:r>
        <w:rPr/>
        <w:t>于</w:t>
      </w:r>
      <w:r>
        <w:rPr>
          <w:spacing w:val="-27"/>
        </w:rPr>
        <w:t> </w:t>
      </w:r>
      <w:r>
        <w:rPr/>
        <w:t>2018</w:t>
      </w:r>
      <w:r>
        <w:rPr>
          <w:spacing w:val="-27"/>
        </w:rPr>
        <w:t> </w:t>
      </w:r>
      <w:r>
        <w:rPr/>
        <w:t>年</w:t>
      </w:r>
      <w:r>
        <w:rPr>
          <w:spacing w:val="-27"/>
        </w:rPr>
        <w:t> </w:t>
      </w:r>
      <w:r>
        <w:rPr/>
        <w:t>12</w:t>
      </w:r>
      <w:r>
        <w:rPr>
          <w:spacing w:val="-27"/>
        </w:rPr>
        <w:t> </w:t>
      </w:r>
      <w:r>
        <w:rPr/>
        <w:t>月</w:t>
      </w:r>
      <w:r>
        <w:rPr>
          <w:spacing w:val="-27"/>
        </w:rPr>
        <w:t> </w:t>
      </w:r>
      <w:r>
        <w:rPr/>
        <w:t>31</w:t>
      </w:r>
      <w:r>
        <w:rPr>
          <w:spacing w:val="-27"/>
        </w:rPr>
        <w:t> </w:t>
      </w:r>
      <w:r>
        <w:rPr>
          <w:spacing w:val="2"/>
        </w:rPr>
        <w:t>日，本集团以浮动利率计息的借款、循环贷款额度范围内的固定利率短期借款及吸收存款等约为</w:t>
      </w:r>
      <w:r>
        <w:rPr/>
      </w:r>
    </w:p>
    <w:p>
      <w:pPr>
        <w:pStyle w:val="BodyText"/>
        <w:spacing w:line="240" w:lineRule="auto" w:before="44"/>
        <w:ind w:right="0"/>
        <w:jc w:val="both"/>
      </w:pPr>
      <w:r>
        <w:rPr/>
        <w:t>人民币</w:t>
      </w:r>
      <w:r>
        <w:rPr>
          <w:spacing w:val="-31"/>
        </w:rPr>
        <w:t> </w:t>
      </w:r>
      <w:r>
        <w:rPr/>
        <w:t>195.20</w:t>
      </w:r>
      <w:r>
        <w:rPr>
          <w:spacing w:val="-31"/>
        </w:rPr>
        <w:t> </w:t>
      </w:r>
      <w:r>
        <w:rPr/>
        <w:t>亿元（2017</w:t>
      </w:r>
      <w:r>
        <w:rPr>
          <w:spacing w:val="-31"/>
        </w:rPr>
        <w:t> </w:t>
      </w:r>
      <w:r>
        <w:rPr/>
        <w:t>年</w:t>
      </w:r>
      <w:r>
        <w:rPr>
          <w:spacing w:val="-31"/>
        </w:rPr>
        <w:t> </w:t>
      </w:r>
      <w:r>
        <w:rPr/>
        <w:t>12</w:t>
      </w:r>
      <w:r>
        <w:rPr>
          <w:spacing w:val="-31"/>
        </w:rPr>
        <w:t> </w:t>
      </w:r>
      <w:r>
        <w:rPr/>
        <w:t>月</w:t>
      </w:r>
      <w:r>
        <w:rPr>
          <w:spacing w:val="-31"/>
        </w:rPr>
        <w:t> </w:t>
      </w:r>
      <w:r>
        <w:rPr/>
        <w:t>31</w:t>
      </w:r>
      <w:r>
        <w:rPr>
          <w:spacing w:val="-31"/>
        </w:rPr>
        <w:t> </w:t>
      </w:r>
      <w:r>
        <w:rPr/>
        <w:t>日：约人民币</w:t>
      </w:r>
      <w:r>
        <w:rPr>
          <w:spacing w:val="-31"/>
        </w:rPr>
        <w:t> </w:t>
      </w:r>
      <w:r>
        <w:rPr/>
        <w:t>354.63</w:t>
      </w:r>
      <w:r>
        <w:rPr>
          <w:spacing w:val="-31"/>
        </w:rPr>
        <w:t> </w:t>
      </w:r>
      <w:r>
        <w:rPr/>
        <w:t>亿元），固定利率计息的长期借款约为人民币</w:t>
      </w:r>
      <w:r>
        <w:rPr>
          <w:spacing w:val="-31"/>
        </w:rPr>
        <w:t> </w:t>
      </w:r>
      <w:r>
        <w:rPr/>
        <w:t>218.47</w:t>
      </w:r>
      <w:r>
        <w:rPr>
          <w:spacing w:val="-31"/>
        </w:rPr>
        <w:t> </w:t>
      </w:r>
      <w:r>
        <w:rPr/>
        <w:t>亿</w:t>
      </w:r>
    </w:p>
    <w:p>
      <w:pPr>
        <w:pStyle w:val="BodyText"/>
        <w:spacing w:line="240" w:lineRule="auto" w:before="44"/>
        <w:ind w:right="0"/>
        <w:jc w:val="both"/>
      </w:pPr>
      <w:r>
        <w:rPr/>
        <w:t>元（2017</w:t>
      </w:r>
      <w:r>
        <w:rPr>
          <w:spacing w:val="-34"/>
        </w:rPr>
        <w:t> </w:t>
      </w:r>
      <w:r>
        <w:rPr/>
        <w:t>年</w:t>
      </w:r>
      <w:r>
        <w:rPr>
          <w:spacing w:val="-33"/>
        </w:rPr>
        <w:t> </w:t>
      </w:r>
      <w:r>
        <w:rPr/>
        <w:t>12</w:t>
      </w:r>
      <w:r>
        <w:rPr>
          <w:spacing w:val="-34"/>
        </w:rPr>
        <w:t> </w:t>
      </w:r>
      <w:r>
        <w:rPr/>
        <w:t>月</w:t>
      </w:r>
      <w:r>
        <w:rPr>
          <w:spacing w:val="-33"/>
        </w:rPr>
        <w:t> </w:t>
      </w:r>
      <w:r>
        <w:rPr/>
        <w:t>31</w:t>
      </w:r>
      <w:r>
        <w:rPr>
          <w:spacing w:val="-34"/>
        </w:rPr>
        <w:t> </w:t>
      </w:r>
      <w:r>
        <w:rPr/>
        <w:t>日：约人民币</w:t>
      </w:r>
      <w:r>
        <w:rPr>
          <w:spacing w:val="-33"/>
        </w:rPr>
        <w:t> </w:t>
      </w:r>
      <w:r>
        <w:rPr/>
        <w:t>405.16</w:t>
      </w:r>
      <w:r>
        <w:rPr>
          <w:spacing w:val="-34"/>
        </w:rPr>
        <w:t> </w:t>
      </w:r>
      <w:r>
        <w:rPr/>
        <w:t>亿元）。</w:t>
      </w:r>
    </w:p>
    <w:p>
      <w:pPr>
        <w:spacing w:line="240" w:lineRule="auto" w:before="5"/>
        <w:rPr>
          <w:rFonts w:ascii="宋体" w:hAnsi="宋体" w:cs="宋体" w:eastAsia="宋体" w:hint="default"/>
          <w:sz w:val="16"/>
          <w:szCs w:val="16"/>
        </w:rPr>
      </w:pPr>
    </w:p>
    <w:p>
      <w:pPr>
        <w:pStyle w:val="BodyText"/>
        <w:spacing w:line="240" w:lineRule="auto"/>
        <w:ind w:right="0"/>
        <w:jc w:val="both"/>
      </w:pPr>
      <w:r>
        <w:rPr/>
        <w:t>于</w:t>
      </w:r>
      <w:r>
        <w:rPr>
          <w:spacing w:val="-27"/>
        </w:rPr>
        <w:t> </w:t>
      </w:r>
      <w:r>
        <w:rPr/>
        <w:t>2018</w:t>
      </w:r>
      <w:r>
        <w:rPr>
          <w:spacing w:val="-27"/>
        </w:rPr>
        <w:t> </w:t>
      </w:r>
      <w:r>
        <w:rPr/>
        <w:t>年</w:t>
      </w:r>
      <w:r>
        <w:rPr>
          <w:spacing w:val="-27"/>
        </w:rPr>
        <w:t> </w:t>
      </w:r>
      <w:r>
        <w:rPr/>
        <w:t>12</w:t>
      </w:r>
      <w:r>
        <w:rPr>
          <w:spacing w:val="-27"/>
        </w:rPr>
        <w:t> </w:t>
      </w:r>
      <w:r>
        <w:rPr/>
        <w:t>月</w:t>
      </w:r>
      <w:r>
        <w:rPr>
          <w:spacing w:val="-27"/>
        </w:rPr>
        <w:t> </w:t>
      </w:r>
      <w:r>
        <w:rPr/>
        <w:t>31</w:t>
      </w:r>
      <w:r>
        <w:rPr>
          <w:spacing w:val="-27"/>
        </w:rPr>
        <w:t> </w:t>
      </w:r>
      <w:r>
        <w:rPr>
          <w:spacing w:val="2"/>
        </w:rPr>
        <w:t>日，假设以浮动利率计息的借款、循环贷款额度范围内的固定利率短期借款及吸收存款利率变动</w:t>
      </w:r>
      <w:r>
        <w:rPr/>
      </w:r>
    </w:p>
    <w:p>
      <w:pPr>
        <w:pStyle w:val="BodyText"/>
        <w:spacing w:line="240" w:lineRule="auto" w:before="44"/>
        <w:ind w:right="0"/>
        <w:jc w:val="both"/>
      </w:pPr>
      <w:r>
        <w:rPr>
          <w:spacing w:val="-1"/>
          <w:w w:val="111"/>
        </w:rPr>
        <w:t>5</w:t>
      </w:r>
      <w:r>
        <w:rPr>
          <w:w w:val="111"/>
        </w:rPr>
        <w:t>0</w:t>
      </w:r>
      <w:r>
        <w:rPr>
          <w:spacing w:val="-45"/>
        </w:rPr>
        <w:t> </w:t>
      </w:r>
      <w:r>
        <w:rPr>
          <w:spacing w:val="1"/>
        </w:rPr>
        <w:t>个基</w:t>
      </w:r>
      <w:r>
        <w:rPr/>
        <w:t>点</w:t>
      </w:r>
      <w:r>
        <w:rPr>
          <w:spacing w:val="1"/>
        </w:rPr>
        <w:t>，而其他因素保持不</w:t>
      </w:r>
      <w:r>
        <w:rPr/>
        <w:t>变</w:t>
      </w:r>
      <w:r>
        <w:rPr>
          <w:spacing w:val="1"/>
        </w:rPr>
        <w:t>，则会导致本集团的股东权益及净利润均会增加或减少约人民</w:t>
      </w:r>
      <w:r>
        <w:rPr/>
        <w:t>币</w:t>
      </w:r>
      <w:r>
        <w:rPr>
          <w:spacing w:val="-45"/>
        </w:rPr>
        <w:t> </w:t>
      </w:r>
      <w:r>
        <w:rPr>
          <w:spacing w:val="-1"/>
          <w:w w:val="111"/>
        </w:rPr>
        <w:t>0</w:t>
      </w:r>
      <w:r>
        <w:rPr>
          <w:w w:val="55"/>
        </w:rPr>
        <w:t>.</w:t>
      </w:r>
      <w:r>
        <w:rPr>
          <w:spacing w:val="-1"/>
          <w:w w:val="111"/>
        </w:rPr>
        <w:t>7</w:t>
      </w:r>
      <w:r>
        <w:rPr>
          <w:w w:val="111"/>
        </w:rPr>
        <w:t>3</w:t>
      </w:r>
      <w:r>
        <w:rPr>
          <w:spacing w:val="-45"/>
        </w:rPr>
        <w:t> </w:t>
      </w:r>
      <w:r>
        <w:rPr>
          <w:spacing w:val="1"/>
        </w:rPr>
        <w:t>亿</w:t>
      </w:r>
      <w:r>
        <w:rPr/>
        <w:t>元（</w:t>
      </w:r>
      <w:r>
        <w:rPr>
          <w:spacing w:val="-1"/>
          <w:w w:val="111"/>
        </w:rPr>
        <w:t>201</w:t>
      </w:r>
      <w:r>
        <w:rPr>
          <w:w w:val="111"/>
        </w:rPr>
        <w:t>7</w:t>
      </w:r>
      <w:r>
        <w:rPr>
          <w:spacing w:val="-45"/>
        </w:rPr>
        <w:t> </w:t>
      </w:r>
      <w:r>
        <w:rPr/>
        <w:t>年</w:t>
      </w:r>
    </w:p>
    <w:p>
      <w:pPr>
        <w:pStyle w:val="BodyText"/>
        <w:spacing w:line="240" w:lineRule="auto" w:before="44"/>
        <w:ind w:right="0"/>
        <w:jc w:val="both"/>
      </w:pPr>
      <w:r>
        <w:rPr/>
        <w:t>12</w:t>
      </w:r>
      <w:r>
        <w:rPr>
          <w:spacing w:val="-41"/>
        </w:rPr>
        <w:t> </w:t>
      </w:r>
      <w:r>
        <w:rPr/>
        <w:t>月</w:t>
      </w:r>
      <w:r>
        <w:rPr>
          <w:spacing w:val="-40"/>
        </w:rPr>
        <w:t> </w:t>
      </w:r>
      <w:r>
        <w:rPr/>
        <w:t>31</w:t>
      </w:r>
      <w:r>
        <w:rPr>
          <w:spacing w:val="-41"/>
        </w:rPr>
        <w:t> </w:t>
      </w:r>
      <w:r>
        <w:rPr/>
        <w:t>日：约人民币</w:t>
      </w:r>
      <w:r>
        <w:rPr>
          <w:spacing w:val="-40"/>
        </w:rPr>
        <w:t> </w:t>
      </w:r>
      <w:r>
        <w:rPr/>
        <w:t>1.33</w:t>
      </w:r>
      <w:r>
        <w:rPr>
          <w:spacing w:val="-41"/>
        </w:rPr>
        <w:t> </w:t>
      </w:r>
      <w:r>
        <w:rPr/>
        <w:t>亿元）。</w:t>
      </w:r>
    </w:p>
    <w:p>
      <w:pPr>
        <w:spacing w:after="0" w:line="240" w:lineRule="auto"/>
        <w:jc w:val="both"/>
        <w:sectPr>
          <w:footerReference w:type="default" r:id="rId343"/>
          <w:footerReference w:type="even" r:id="rId344"/>
          <w:pgSz w:w="11910" w:h="16160"/>
          <w:pgMar w:footer="298" w:header="2796" w:top="344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八、金融工具及其风险（续）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113" w:right="7854"/>
        <w:jc w:val="left"/>
      </w:pPr>
      <w:r>
        <w:rPr/>
        <w:t>1、</w:t>
      </w:r>
      <w:r>
        <w:rPr>
          <w:spacing w:val="-22"/>
        </w:rPr>
        <w:t> </w:t>
      </w:r>
      <w:r>
        <w:rPr/>
        <w:t>金融风险因素（续）</w:t>
      </w:r>
      <w:r>
        <w:rPr/>
        <w:t> (a)</w:t>
      </w:r>
      <w:r>
        <w:rPr>
          <w:spacing w:val="-21"/>
        </w:rPr>
        <w:t> </w:t>
      </w:r>
      <w:r>
        <w:rPr/>
        <w:t>市场风险（续）</w:t>
      </w:r>
    </w:p>
    <w:p>
      <w:pPr>
        <w:pStyle w:val="BodyText"/>
        <w:spacing w:line="240" w:lineRule="auto" w:before="54"/>
        <w:ind w:left="453" w:right="0"/>
        <w:jc w:val="both"/>
      </w:pPr>
      <w:r>
        <w:rPr/>
        <w:t>(3)</w:t>
      </w:r>
      <w:r>
        <w:rPr>
          <w:spacing w:val="19"/>
        </w:rPr>
        <w:t> </w:t>
      </w:r>
      <w:r>
        <w:rPr/>
        <w:t>现金流量和公允价值利率风险（续）</w:t>
      </w:r>
    </w:p>
    <w:p>
      <w:pPr>
        <w:spacing w:line="240" w:lineRule="auto" w:before="5"/>
        <w:rPr>
          <w:rFonts w:ascii="宋体" w:hAnsi="宋体" w:cs="宋体" w:eastAsia="宋体" w:hint="default"/>
          <w:sz w:val="16"/>
          <w:szCs w:val="16"/>
        </w:rPr>
      </w:pPr>
    </w:p>
    <w:p>
      <w:pPr>
        <w:pStyle w:val="BodyText"/>
        <w:spacing w:line="285" w:lineRule="auto"/>
        <w:ind w:left="453" w:right="186"/>
        <w:jc w:val="both"/>
      </w:pPr>
      <w:r>
        <w:rPr/>
        <w:t>对于资产负债表日持有的、使本集团或本公司面临现金流量利率风险的非衍生工具，上述敏感性分析中的股东权益及</w:t>
      </w:r>
      <w:r>
        <w:rPr>
          <w:spacing w:val="7"/>
        </w:rPr>
        <w:t> </w:t>
      </w:r>
      <w:r>
        <w:rPr>
          <w:spacing w:val="7"/>
        </w:rPr>
      </w:r>
      <w:r>
        <w:rPr/>
        <w:t>净利润的影响是上述利率变动对按年度估算的利息费用或收入的影响。上一年度的分析基于同样的假设和方法。</w:t>
      </w:r>
    </w:p>
    <w:p>
      <w:pPr>
        <w:spacing w:line="240" w:lineRule="auto" w:before="10"/>
        <w:rPr>
          <w:rFonts w:ascii="宋体" w:hAnsi="宋体" w:cs="宋体" w:eastAsia="宋体" w:hint="default"/>
          <w:sz w:val="13"/>
          <w:szCs w:val="13"/>
        </w:rPr>
      </w:pPr>
    </w:p>
    <w:p>
      <w:pPr>
        <w:pStyle w:val="BodyText"/>
        <w:spacing w:line="240" w:lineRule="auto"/>
        <w:ind w:left="113" w:right="87"/>
        <w:jc w:val="left"/>
      </w:pPr>
      <w:r>
        <w:rPr/>
        <w:t>(b)</w:t>
      </w:r>
      <w:r>
        <w:rPr>
          <w:spacing w:val="-21"/>
        </w:rPr>
        <w:t> </w:t>
      </w:r>
      <w:r>
        <w:rPr/>
        <w:t>信用风险</w:t>
      </w:r>
    </w:p>
    <w:p>
      <w:pPr>
        <w:spacing w:line="240" w:lineRule="auto" w:before="12"/>
        <w:rPr>
          <w:rFonts w:ascii="宋体" w:hAnsi="宋体" w:cs="宋体" w:eastAsia="宋体" w:hint="default"/>
          <w:sz w:val="17"/>
          <w:szCs w:val="17"/>
        </w:rPr>
      </w:pPr>
    </w:p>
    <w:p>
      <w:pPr>
        <w:pStyle w:val="BodyText"/>
        <w:spacing w:line="285" w:lineRule="auto"/>
        <w:ind w:left="453" w:right="103"/>
        <w:jc w:val="both"/>
      </w:pPr>
      <w:r>
        <w:rPr/>
        <w:t>信用风险，是指金融工具的一方不能履行义务，造成另一方发生财务损失的风险。本集团对信用风险按组合分类进行</w:t>
      </w:r>
      <w:r>
        <w:rPr>
          <w:spacing w:val="5"/>
        </w:rPr>
        <w:t> </w:t>
      </w:r>
      <w:r>
        <w:rPr>
          <w:spacing w:val="5"/>
        </w:rPr>
      </w:r>
      <w:r>
        <w:rPr>
          <w:spacing w:val="-3"/>
        </w:rPr>
        <w:t>管理。本集团的货币资金，以及提供给企业用户、个人用户、关联公司及其它电信运营商的信用额度均会产生信用风险。</w:t>
      </w:r>
    </w:p>
    <w:p>
      <w:pPr>
        <w:spacing w:line="240" w:lineRule="auto" w:before="10"/>
        <w:rPr>
          <w:rFonts w:ascii="宋体" w:hAnsi="宋体" w:cs="宋体" w:eastAsia="宋体" w:hint="default"/>
          <w:sz w:val="13"/>
          <w:szCs w:val="13"/>
        </w:rPr>
      </w:pPr>
    </w:p>
    <w:p>
      <w:pPr>
        <w:pStyle w:val="BodyText"/>
        <w:spacing w:line="285" w:lineRule="auto"/>
        <w:ind w:left="453" w:right="186"/>
        <w:jc w:val="both"/>
      </w:pPr>
      <w:r>
        <w:rPr/>
        <w:t>本集团除现金以外的货币资金主要存放于信用良好的国有及其他大型银行，管理层认为不存在重大的信用风险，预期</w:t>
      </w:r>
      <w:r>
        <w:rPr>
          <w:spacing w:val="7"/>
        </w:rPr>
        <w:t> </w:t>
      </w:r>
      <w:r>
        <w:rPr>
          <w:spacing w:val="7"/>
        </w:rPr>
      </w:r>
      <w:r>
        <w:rPr/>
        <w:t>不会因为对方违约而给本集团造成损失。</w:t>
      </w:r>
    </w:p>
    <w:p>
      <w:pPr>
        <w:spacing w:line="240" w:lineRule="auto" w:before="10"/>
        <w:rPr>
          <w:rFonts w:ascii="宋体" w:hAnsi="宋体" w:cs="宋体" w:eastAsia="宋体" w:hint="default"/>
          <w:sz w:val="13"/>
          <w:szCs w:val="13"/>
        </w:rPr>
      </w:pPr>
    </w:p>
    <w:p>
      <w:pPr>
        <w:pStyle w:val="BodyText"/>
        <w:spacing w:line="285" w:lineRule="auto"/>
        <w:ind w:left="453" w:right="186"/>
        <w:jc w:val="both"/>
      </w:pPr>
      <w:r>
        <w:rPr/>
        <w:t>此外，本集团于政企客户及个人用户方面并无重大集中性的信用风险。本集团的信用风险敞口主要表现为应收服务款</w:t>
      </w:r>
      <w:r>
        <w:rPr>
          <w:spacing w:val="7"/>
        </w:rPr>
        <w:t> </w:t>
      </w:r>
      <w:r>
        <w:rPr>
          <w:spacing w:val="7"/>
        </w:rPr>
      </w:r>
      <w:r>
        <w:rPr/>
        <w:t>项以及应收合约用户通信终端款的公允价值。本集团设定相关政策以限制该信用风险敞口。本集团基于对用户的财务</w:t>
      </w:r>
      <w:r>
        <w:rPr>
          <w:spacing w:val="7"/>
        </w:rPr>
        <w:t> </w:t>
      </w:r>
      <w:r>
        <w:rPr>
          <w:spacing w:val="7"/>
        </w:rPr>
      </w:r>
      <w:r>
        <w:rPr/>
        <w:t>状况、从第三方获取担保的可能性、信用记录及其他因素诸如目前市场状况等评估了信用资质并设置信用额度。本集</w:t>
      </w:r>
      <w:r>
        <w:rPr>
          <w:spacing w:val="5"/>
        </w:rPr>
        <w:t> </w:t>
      </w:r>
      <w:r>
        <w:rPr>
          <w:spacing w:val="5"/>
        </w:rPr>
      </w:r>
      <w:r>
        <w:rPr/>
        <w:t>团授予通信服务用户的信用期一般为自账单日起平均 30</w:t>
      </w:r>
      <w:r>
        <w:rPr>
          <w:spacing w:val="-72"/>
        </w:rPr>
        <w:t> </w:t>
      </w:r>
      <w:r>
        <w:rPr/>
        <w:t>天。本集团对政企大客户所授予的信用期基于服务合同约定条</w:t>
      </w:r>
    </w:p>
    <w:p>
      <w:pPr>
        <w:pStyle w:val="BodyText"/>
        <w:spacing w:line="285" w:lineRule="auto" w:before="10"/>
        <w:ind w:left="453" w:right="186"/>
        <w:jc w:val="both"/>
      </w:pPr>
      <w:r>
        <w:rPr/>
        <w:t>款，一般不超过</w:t>
      </w:r>
      <w:r>
        <w:rPr>
          <w:spacing w:val="-10"/>
        </w:rPr>
        <w:t> </w:t>
      </w:r>
      <w:r>
        <w:rPr/>
        <w:t>1</w:t>
      </w:r>
      <w:r>
        <w:rPr>
          <w:spacing w:val="-10"/>
        </w:rPr>
        <w:t> </w:t>
      </w:r>
      <w:r>
        <w:rPr/>
        <w:t>年。本集团定期对用户使用其信用额度的状况以及结算惯例进行监控。对于其他应收款项，本集团</w:t>
      </w:r>
      <w:r>
        <w:rPr>
          <w:spacing w:val="-64"/>
        </w:rPr>
        <w:t> </w:t>
      </w:r>
      <w:r>
        <w:rPr>
          <w:spacing w:val="-64"/>
        </w:rPr>
      </w:r>
      <w:r>
        <w:rPr/>
        <w:t>会对超过信用额度一定金额的对方单位单独进行信用评估，关注对方单位支付到期款项的历史记录、目前的支付能力</w:t>
      </w:r>
      <w:r>
        <w:rPr>
          <w:spacing w:val="7"/>
        </w:rPr>
        <w:t> </w:t>
      </w:r>
      <w:r>
        <w:rPr>
          <w:spacing w:val="7"/>
        </w:rPr>
      </w:r>
      <w:r>
        <w:rPr/>
        <w:t>及其他在对方单位经营的经济环境下需考虑的特定因素。</w:t>
      </w:r>
    </w:p>
    <w:p>
      <w:pPr>
        <w:spacing w:line="240" w:lineRule="auto" w:before="10"/>
        <w:rPr>
          <w:rFonts w:ascii="宋体" w:hAnsi="宋体" w:cs="宋体" w:eastAsia="宋体" w:hint="default"/>
          <w:sz w:val="13"/>
          <w:szCs w:val="13"/>
        </w:rPr>
      </w:pPr>
    </w:p>
    <w:p>
      <w:pPr>
        <w:pStyle w:val="BodyText"/>
        <w:spacing w:line="458" w:lineRule="auto"/>
        <w:ind w:left="113" w:right="472" w:firstLine="340"/>
        <w:jc w:val="left"/>
      </w:pPr>
      <w:r>
        <w:rPr/>
        <w:t>由于关联方及其它电信运营商具有良好的信誉，并且应收此等公司的款项均定期结算，相关的信用风险并不重大。 (c)</w:t>
      </w:r>
      <w:r>
        <w:rPr>
          <w:spacing w:val="-21"/>
        </w:rPr>
        <w:t> </w:t>
      </w:r>
      <w:r>
        <w:rPr/>
        <w:t>流动性风险</w:t>
      </w:r>
    </w:p>
    <w:p>
      <w:pPr>
        <w:pStyle w:val="BodyText"/>
        <w:spacing w:line="285" w:lineRule="auto" w:before="71"/>
        <w:ind w:left="453" w:right="186"/>
        <w:jc w:val="both"/>
      </w:pPr>
      <w:r>
        <w:rPr/>
        <w:t>谨慎的流动性风险管理指通过不同资金渠道来维持充足的现金和资金获取能力，包括借入银行借款及发行债券。由于</w:t>
      </w:r>
      <w:r>
        <w:rPr>
          <w:spacing w:val="7"/>
        </w:rPr>
        <w:t> </w:t>
      </w:r>
      <w:r>
        <w:rPr>
          <w:spacing w:val="7"/>
        </w:rPr>
      </w:r>
      <w:r>
        <w:rPr/>
        <w:t>业务本身的多变性，本集团资金管理中心通过维持充足的现金及现金等价物和通过保持不同的融资渠道来保持营运资</w:t>
      </w:r>
      <w:r>
        <w:rPr>
          <w:spacing w:val="9"/>
        </w:rPr>
        <w:t> </w:t>
      </w:r>
      <w:r>
        <w:rPr>
          <w:spacing w:val="9"/>
        </w:rPr>
      </w:r>
      <w:r>
        <w:rPr>
          <w:w w:val="95"/>
        </w:rPr>
        <w:t>金的灵活性。本集团以持续经营基准编制其财务报表，请详见附注二  (2)</w:t>
      </w:r>
      <w:r>
        <w:rPr>
          <w:spacing w:val="73"/>
          <w:w w:val="95"/>
        </w:rPr>
        <w:t> </w:t>
      </w:r>
      <w:r>
        <w:rPr>
          <w:w w:val="95"/>
        </w:rPr>
        <w:t>说明。</w:t>
      </w:r>
    </w:p>
    <w:p>
      <w:pPr>
        <w:spacing w:after="0" w:line="285" w:lineRule="auto"/>
        <w:jc w:val="both"/>
        <w:sectPr>
          <w:pgSz w:w="11910" w:h="16160"/>
          <w:pgMar w:header="1200" w:footer="320" w:top="2120" w:bottom="520" w:left="680" w:right="1280"/>
        </w:sectPr>
      </w:pPr>
    </w:p>
    <w:p>
      <w:pPr>
        <w:spacing w:line="240" w:lineRule="auto" w:before="7"/>
        <w:rPr>
          <w:rFonts w:ascii="宋体" w:hAnsi="宋体" w:cs="宋体" w:eastAsia="宋体" w:hint="default"/>
          <w:sz w:val="14"/>
          <w:szCs w:val="14"/>
        </w:rPr>
      </w:pPr>
    </w:p>
    <w:p>
      <w:pPr>
        <w:pStyle w:val="BodyText"/>
        <w:spacing w:line="480" w:lineRule="auto" w:before="31"/>
        <w:ind w:right="2031" w:hanging="341"/>
        <w:jc w:val="left"/>
      </w:pPr>
      <w:r>
        <w:rPr/>
        <w:t>(c)</w:t>
      </w:r>
      <w:r>
        <w:rPr>
          <w:spacing w:val="58"/>
        </w:rPr>
        <w:t> </w:t>
      </w:r>
      <w:r>
        <w:rPr/>
        <w:t>流动性风险（续）</w:t>
      </w:r>
      <w:r>
        <w:rPr/>
        <w:t> 本集团于资产负债日的金融负债（含利息费用）以未折现金额按合约规定的到期日列示如下：</w:t>
      </w:r>
    </w:p>
    <w:p>
      <w:pPr>
        <w:spacing w:line="240" w:lineRule="auto" w:before="8"/>
        <w:rPr>
          <w:rFonts w:ascii="宋体" w:hAnsi="宋体" w:cs="宋体" w:eastAsia="宋体" w:hint="default"/>
          <w:sz w:val="3"/>
          <w:szCs w:val="3"/>
        </w:rPr>
      </w:pPr>
    </w:p>
    <w:tbl>
      <w:tblPr>
        <w:tblW w:w="0" w:type="auto"/>
        <w:jc w:val="left"/>
        <w:tblInd w:w="434" w:type="dxa"/>
        <w:tblLayout w:type="fixed"/>
        <w:tblCellMar>
          <w:top w:w="0" w:type="dxa"/>
          <w:left w:w="0" w:type="dxa"/>
          <w:bottom w:w="0" w:type="dxa"/>
          <w:right w:w="0" w:type="dxa"/>
        </w:tblCellMar>
        <w:tblLook w:val="01E0"/>
      </w:tblPr>
      <w:tblGrid>
        <w:gridCol w:w="2222"/>
        <w:gridCol w:w="1696"/>
        <w:gridCol w:w="1714"/>
        <w:gridCol w:w="1114"/>
        <w:gridCol w:w="1428"/>
        <w:gridCol w:w="1108"/>
      </w:tblGrid>
      <w:tr>
        <w:trPr>
          <w:trHeight w:val="342" w:hRule="exact"/>
        </w:trPr>
        <w:tc>
          <w:tcPr>
            <w:tcW w:w="2222" w:type="dxa"/>
            <w:vMerge w:val="restart"/>
            <w:tcBorders>
              <w:top w:val="nil" w:sz="6" w:space="0" w:color="auto"/>
              <w:left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13" w:right="0"/>
              <w:jc w:val="left"/>
              <w:rPr>
                <w:rFonts w:ascii="宋体" w:hAnsi="宋体" w:cs="宋体" w:eastAsia="宋体" w:hint="default"/>
                <w:sz w:val="16"/>
                <w:szCs w:val="16"/>
              </w:rPr>
            </w:pPr>
            <w:r>
              <w:rPr>
                <w:rFonts w:ascii="宋体" w:hAnsi="宋体" w:cs="宋体" w:eastAsia="宋体" w:hint="default"/>
                <w:sz w:val="16"/>
                <w:szCs w:val="16"/>
              </w:rPr>
              <w:t>（单位：人民币百万元）</w:t>
            </w:r>
          </w:p>
        </w:tc>
        <w:tc>
          <w:tcPr>
            <w:tcW w:w="3411" w:type="dxa"/>
            <w:gridSpan w:val="2"/>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right="18"/>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3651" w:type="dxa"/>
            <w:gridSpan w:val="3"/>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20" w:right="0"/>
              <w:jc w:val="left"/>
              <w:rPr>
                <w:rFonts w:ascii="宋体" w:hAnsi="宋体" w:cs="宋体" w:eastAsia="宋体" w:hint="default"/>
                <w:sz w:val="16"/>
                <w:szCs w:val="16"/>
              </w:rPr>
            </w:pPr>
            <w:r>
              <w:rPr>
                <w:rFonts w:ascii="宋体" w:hAnsi="宋体" w:cs="宋体" w:eastAsia="宋体" w:hint="default"/>
                <w:w w:val="110"/>
                <w:sz w:val="16"/>
                <w:szCs w:val="16"/>
              </w:rPr>
              <w:t>12</w:t>
            </w:r>
            <w:r>
              <w:rPr>
                <w:rFonts w:ascii="宋体" w:hAnsi="宋体" w:cs="宋体" w:eastAsia="宋体" w:hint="default"/>
                <w:spacing w:val="-59"/>
                <w:w w:val="110"/>
                <w:sz w:val="16"/>
                <w:szCs w:val="16"/>
              </w:rPr>
              <w:t> </w:t>
            </w:r>
            <w:r>
              <w:rPr>
                <w:rFonts w:ascii="宋体" w:hAnsi="宋体" w:cs="宋体" w:eastAsia="宋体" w:hint="default"/>
                <w:w w:val="110"/>
                <w:sz w:val="16"/>
                <w:szCs w:val="16"/>
              </w:rPr>
              <w:t>月</w:t>
            </w:r>
            <w:r>
              <w:rPr>
                <w:rFonts w:ascii="宋体" w:hAnsi="宋体" w:cs="宋体" w:eastAsia="宋体" w:hint="default"/>
                <w:spacing w:val="-58"/>
                <w:w w:val="110"/>
                <w:sz w:val="16"/>
                <w:szCs w:val="16"/>
              </w:rPr>
              <w:t> </w:t>
            </w:r>
            <w:r>
              <w:rPr>
                <w:rFonts w:ascii="宋体" w:hAnsi="宋体" w:cs="宋体" w:eastAsia="宋体" w:hint="default"/>
                <w:w w:val="110"/>
                <w:sz w:val="16"/>
                <w:szCs w:val="16"/>
              </w:rPr>
              <w:t>31</w:t>
            </w:r>
            <w:r>
              <w:rPr>
                <w:rFonts w:ascii="宋体" w:hAnsi="宋体" w:cs="宋体" w:eastAsia="宋体" w:hint="default"/>
                <w:spacing w:val="-59"/>
                <w:w w:val="110"/>
                <w:sz w:val="16"/>
                <w:szCs w:val="16"/>
              </w:rPr>
              <w:t> </w:t>
            </w:r>
            <w:r>
              <w:rPr>
                <w:rFonts w:ascii="宋体" w:hAnsi="宋体" w:cs="宋体" w:eastAsia="宋体" w:hint="default"/>
                <w:w w:val="110"/>
                <w:sz w:val="16"/>
                <w:szCs w:val="16"/>
              </w:rPr>
              <w:t>日</w:t>
            </w:r>
          </w:p>
        </w:tc>
      </w:tr>
      <w:tr>
        <w:trPr>
          <w:trHeight w:val="414" w:hRule="exact"/>
        </w:trPr>
        <w:tc>
          <w:tcPr>
            <w:tcW w:w="2222" w:type="dxa"/>
            <w:vMerge/>
            <w:tcBorders>
              <w:left w:val="nil" w:sz="6" w:space="0" w:color="auto"/>
              <w:bottom w:val="single" w:sz="16" w:space="0" w:color="9F8958"/>
              <w:right w:val="nil" w:sz="6" w:space="0" w:color="auto"/>
            </w:tcBorders>
          </w:tcPr>
          <w:p>
            <w:pPr/>
          </w:p>
        </w:tc>
        <w:tc>
          <w:tcPr>
            <w:tcW w:w="169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395"/>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年以内</w:t>
            </w:r>
          </w:p>
        </w:tc>
        <w:tc>
          <w:tcPr>
            <w:tcW w:w="171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657"/>
              <w:jc w:val="right"/>
              <w:rPr>
                <w:rFonts w:ascii="宋体" w:hAnsi="宋体" w:cs="宋体" w:eastAsia="宋体" w:hint="default"/>
                <w:sz w:val="16"/>
                <w:szCs w:val="16"/>
              </w:rPr>
            </w:pPr>
            <w:r>
              <w:rPr>
                <w:rFonts w:ascii="宋体" w:hAnsi="宋体" w:cs="宋体" w:eastAsia="宋体" w:hint="default"/>
                <w:spacing w:val="28"/>
                <w:sz w:val="16"/>
                <w:szCs w:val="16"/>
              </w:rPr>
              <w:t>1至2年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1114"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359"/>
              <w:jc w:val="right"/>
              <w:rPr>
                <w:rFonts w:ascii="宋体" w:hAnsi="宋体" w:cs="宋体" w:eastAsia="宋体" w:hint="default"/>
                <w:sz w:val="16"/>
                <w:szCs w:val="16"/>
              </w:rPr>
            </w:pPr>
            <w:r>
              <w:rPr>
                <w:rFonts w:ascii="宋体" w:hAnsi="宋体" w:cs="宋体" w:eastAsia="宋体" w:hint="default"/>
                <w:spacing w:val="28"/>
                <w:sz w:val="16"/>
                <w:szCs w:val="16"/>
              </w:rPr>
              <w:t>2至5年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142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415"/>
              <w:jc w:val="right"/>
              <w:rPr>
                <w:rFonts w:ascii="宋体" w:hAnsi="宋体" w:cs="宋体" w:eastAsia="宋体" w:hint="default"/>
                <w:sz w:val="16"/>
                <w:szCs w:val="16"/>
              </w:rPr>
            </w:pPr>
            <w:r>
              <w:rPr>
                <w:rFonts w:ascii="宋体" w:hAnsi="宋体" w:cs="宋体" w:eastAsia="宋体" w:hint="default"/>
                <w:w w:val="105"/>
                <w:sz w:val="16"/>
                <w:szCs w:val="16"/>
              </w:rPr>
              <w:t>5</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c>
        <w:tc>
          <w:tcPr>
            <w:tcW w:w="1108"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合计</w:t>
            </w:r>
          </w:p>
        </w:tc>
      </w:tr>
      <w:tr>
        <w:trPr>
          <w:trHeight w:val="362" w:hRule="exact"/>
        </w:trPr>
        <w:tc>
          <w:tcPr>
            <w:tcW w:w="222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169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395"/>
              <w:jc w:val="right"/>
              <w:rPr>
                <w:rFonts w:ascii="宋体" w:hAnsi="宋体" w:cs="宋体" w:eastAsia="宋体" w:hint="default"/>
                <w:sz w:val="16"/>
                <w:szCs w:val="16"/>
              </w:rPr>
            </w:pPr>
            <w:r>
              <w:rPr>
                <w:rFonts w:ascii="宋体"/>
                <w:w w:val="110"/>
                <w:sz w:val="16"/>
              </w:rPr>
              <w:t>452</w:t>
            </w:r>
            <w:r>
              <w:rPr>
                <w:rFonts w:ascii="宋体"/>
                <w:sz w:val="16"/>
              </w:rPr>
            </w:r>
          </w:p>
        </w:tc>
        <w:tc>
          <w:tcPr>
            <w:tcW w:w="1714"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697"/>
              <w:jc w:val="right"/>
              <w:rPr>
                <w:rFonts w:ascii="宋体" w:hAnsi="宋体" w:cs="宋体" w:eastAsia="宋体" w:hint="default"/>
                <w:sz w:val="16"/>
                <w:szCs w:val="16"/>
              </w:rPr>
            </w:pPr>
            <w:r>
              <w:rPr>
                <w:rFonts w:ascii="宋体"/>
                <w:w w:val="110"/>
                <w:sz w:val="16"/>
              </w:rPr>
              <w:t>439</w:t>
            </w:r>
            <w:r>
              <w:rPr>
                <w:rFonts w:ascii="宋体"/>
                <w:sz w:val="16"/>
              </w:rPr>
            </w:r>
          </w:p>
        </w:tc>
        <w:tc>
          <w:tcPr>
            <w:tcW w:w="1114"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399"/>
              <w:jc w:val="right"/>
              <w:rPr>
                <w:rFonts w:ascii="宋体" w:hAnsi="宋体" w:cs="宋体" w:eastAsia="宋体" w:hint="default"/>
                <w:sz w:val="16"/>
                <w:szCs w:val="16"/>
              </w:rPr>
            </w:pPr>
            <w:r>
              <w:rPr>
                <w:rFonts w:ascii="宋体"/>
                <w:w w:val="95"/>
                <w:sz w:val="16"/>
              </w:rPr>
              <w:t>1,334</w:t>
            </w:r>
            <w:r>
              <w:rPr>
                <w:rFonts w:ascii="宋体"/>
                <w:sz w:val="16"/>
              </w:rPr>
            </w:r>
          </w:p>
        </w:tc>
        <w:tc>
          <w:tcPr>
            <w:tcW w:w="142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415"/>
              <w:jc w:val="right"/>
              <w:rPr>
                <w:rFonts w:ascii="宋体" w:hAnsi="宋体" w:cs="宋体" w:eastAsia="宋体" w:hint="default"/>
                <w:sz w:val="16"/>
                <w:szCs w:val="16"/>
              </w:rPr>
            </w:pPr>
            <w:r>
              <w:rPr>
                <w:rFonts w:ascii="宋体"/>
                <w:w w:val="95"/>
                <w:sz w:val="16"/>
              </w:rPr>
              <w:t>2,150</w:t>
            </w:r>
            <w:r>
              <w:rPr>
                <w:rFonts w:ascii="宋体"/>
                <w:sz w:val="16"/>
              </w:rPr>
            </w:r>
          </w:p>
        </w:tc>
        <w:tc>
          <w:tcPr>
            <w:tcW w:w="110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4,375</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16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5"/>
              <w:jc w:val="right"/>
              <w:rPr>
                <w:rFonts w:ascii="宋体" w:hAnsi="宋体" w:cs="宋体" w:eastAsia="宋体" w:hint="default"/>
                <w:sz w:val="16"/>
                <w:szCs w:val="16"/>
              </w:rPr>
            </w:pPr>
            <w:r>
              <w:rPr>
                <w:rFonts w:ascii="宋体"/>
                <w:w w:val="110"/>
                <w:sz w:val="16"/>
              </w:rPr>
              <w:t>251</w:t>
            </w:r>
            <w:r>
              <w:rPr>
                <w:rFonts w:ascii="宋体"/>
                <w:sz w:val="16"/>
              </w:rPr>
            </w:r>
          </w:p>
        </w:tc>
        <w:tc>
          <w:tcPr>
            <w:tcW w:w="17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97"/>
              <w:jc w:val="right"/>
              <w:rPr>
                <w:rFonts w:ascii="宋体" w:hAnsi="宋体" w:cs="宋体" w:eastAsia="宋体" w:hint="default"/>
                <w:sz w:val="16"/>
                <w:szCs w:val="16"/>
              </w:rPr>
            </w:pPr>
            <w:r>
              <w:rPr>
                <w:rFonts w:ascii="宋体"/>
                <w:w w:val="110"/>
                <w:sz w:val="16"/>
              </w:rPr>
              <w:t>27</w:t>
            </w:r>
            <w:r>
              <w:rPr>
                <w:rFonts w:ascii="宋体"/>
                <w:sz w:val="16"/>
              </w:rPr>
            </w:r>
          </w:p>
        </w:tc>
        <w:tc>
          <w:tcPr>
            <w:tcW w:w="11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9"/>
              <w:jc w:val="right"/>
              <w:rPr>
                <w:rFonts w:ascii="宋体" w:hAnsi="宋体" w:cs="宋体" w:eastAsia="宋体" w:hint="default"/>
                <w:sz w:val="16"/>
                <w:szCs w:val="16"/>
              </w:rPr>
            </w:pPr>
            <w:r>
              <w:rPr>
                <w:rFonts w:ascii="宋体"/>
                <w:w w:val="110"/>
                <w:sz w:val="16"/>
              </w:rPr>
              <w:t>31</w:t>
            </w:r>
            <w:r>
              <w:rPr>
                <w:rFonts w:ascii="宋体"/>
                <w:sz w:val="16"/>
              </w:rPr>
            </w:r>
          </w:p>
        </w:tc>
        <w:tc>
          <w:tcPr>
            <w:tcW w:w="14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15"/>
              <w:jc w:val="right"/>
              <w:rPr>
                <w:rFonts w:ascii="宋体" w:hAnsi="宋体" w:cs="宋体" w:eastAsia="宋体" w:hint="default"/>
                <w:sz w:val="16"/>
                <w:szCs w:val="16"/>
              </w:rPr>
            </w:pPr>
            <w:r>
              <w:rPr>
                <w:rFonts w:ascii="宋体"/>
                <w:w w:val="111"/>
                <w:sz w:val="16"/>
              </w:rPr>
              <w:t>4</w:t>
            </w:r>
            <w:r>
              <w:rPr>
                <w:rFonts w:ascii="宋体"/>
                <w:sz w:val="16"/>
              </w:rPr>
            </w:r>
          </w:p>
        </w:tc>
        <w:tc>
          <w:tcPr>
            <w:tcW w:w="110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313</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长期应付职工薪酬</w:t>
            </w:r>
          </w:p>
        </w:tc>
        <w:tc>
          <w:tcPr>
            <w:tcW w:w="16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5"/>
              <w:jc w:val="right"/>
              <w:rPr>
                <w:rFonts w:ascii="宋体" w:hAnsi="宋体" w:cs="宋体" w:eastAsia="宋体" w:hint="default"/>
                <w:sz w:val="16"/>
                <w:szCs w:val="16"/>
              </w:rPr>
            </w:pPr>
            <w:r>
              <w:rPr>
                <w:rFonts w:ascii="宋体"/>
                <w:w w:val="111"/>
                <w:sz w:val="16"/>
              </w:rPr>
              <w:t>5</w:t>
            </w:r>
            <w:r>
              <w:rPr>
                <w:rFonts w:ascii="宋体"/>
                <w:sz w:val="16"/>
              </w:rPr>
            </w:r>
          </w:p>
        </w:tc>
        <w:tc>
          <w:tcPr>
            <w:tcW w:w="17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97"/>
              <w:jc w:val="right"/>
              <w:rPr>
                <w:rFonts w:ascii="宋体" w:hAnsi="宋体" w:cs="宋体" w:eastAsia="宋体" w:hint="default"/>
                <w:sz w:val="16"/>
                <w:szCs w:val="16"/>
              </w:rPr>
            </w:pPr>
            <w:r>
              <w:rPr>
                <w:rFonts w:ascii="宋体"/>
                <w:w w:val="111"/>
                <w:sz w:val="16"/>
              </w:rPr>
              <w:t>5</w:t>
            </w:r>
            <w:r>
              <w:rPr>
                <w:rFonts w:ascii="宋体"/>
                <w:sz w:val="16"/>
              </w:rPr>
            </w:r>
          </w:p>
        </w:tc>
        <w:tc>
          <w:tcPr>
            <w:tcW w:w="11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9"/>
              <w:jc w:val="right"/>
              <w:rPr>
                <w:rFonts w:ascii="宋体" w:hAnsi="宋体" w:cs="宋体" w:eastAsia="宋体" w:hint="default"/>
                <w:sz w:val="16"/>
                <w:szCs w:val="16"/>
              </w:rPr>
            </w:pPr>
            <w:r>
              <w:rPr>
                <w:rFonts w:ascii="宋体"/>
                <w:w w:val="110"/>
                <w:sz w:val="16"/>
              </w:rPr>
              <w:t>15</w:t>
            </w:r>
            <w:r>
              <w:rPr>
                <w:rFonts w:ascii="宋体"/>
                <w:sz w:val="16"/>
              </w:rPr>
            </w:r>
          </w:p>
        </w:tc>
        <w:tc>
          <w:tcPr>
            <w:tcW w:w="14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15"/>
              <w:jc w:val="right"/>
              <w:rPr>
                <w:rFonts w:ascii="宋体" w:hAnsi="宋体" w:cs="宋体" w:eastAsia="宋体" w:hint="default"/>
                <w:sz w:val="16"/>
                <w:szCs w:val="16"/>
              </w:rPr>
            </w:pPr>
            <w:r>
              <w:rPr>
                <w:rFonts w:ascii="宋体"/>
                <w:w w:val="110"/>
                <w:sz w:val="16"/>
              </w:rPr>
              <w:t>46</w:t>
            </w:r>
            <w:r>
              <w:rPr>
                <w:rFonts w:ascii="宋体"/>
                <w:sz w:val="16"/>
              </w:rPr>
            </w:r>
          </w:p>
        </w:tc>
        <w:tc>
          <w:tcPr>
            <w:tcW w:w="110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71</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16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5"/>
              <w:jc w:val="right"/>
              <w:rPr>
                <w:rFonts w:ascii="宋体" w:hAnsi="宋体" w:cs="宋体" w:eastAsia="宋体" w:hint="default"/>
                <w:sz w:val="16"/>
                <w:szCs w:val="16"/>
              </w:rPr>
            </w:pPr>
            <w:r>
              <w:rPr>
                <w:rFonts w:ascii="宋体"/>
                <w:w w:val="131"/>
                <w:sz w:val="16"/>
              </w:rPr>
              <w:t>-</w:t>
            </w:r>
            <w:r>
              <w:rPr>
                <w:rFonts w:ascii="宋体"/>
                <w:sz w:val="16"/>
              </w:rPr>
            </w:r>
          </w:p>
        </w:tc>
        <w:tc>
          <w:tcPr>
            <w:tcW w:w="17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97"/>
              <w:jc w:val="right"/>
              <w:rPr>
                <w:rFonts w:ascii="宋体" w:hAnsi="宋体" w:cs="宋体" w:eastAsia="宋体" w:hint="default"/>
                <w:sz w:val="16"/>
                <w:szCs w:val="16"/>
              </w:rPr>
            </w:pPr>
            <w:r>
              <w:rPr>
                <w:rFonts w:ascii="宋体"/>
                <w:w w:val="131"/>
                <w:sz w:val="16"/>
              </w:rPr>
              <w:t>-</w:t>
            </w:r>
            <w:r>
              <w:rPr>
                <w:rFonts w:ascii="宋体"/>
                <w:sz w:val="16"/>
              </w:rPr>
            </w:r>
          </w:p>
        </w:tc>
        <w:tc>
          <w:tcPr>
            <w:tcW w:w="11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00"/>
              <w:jc w:val="right"/>
              <w:rPr>
                <w:rFonts w:ascii="宋体" w:hAnsi="宋体" w:cs="宋体" w:eastAsia="宋体" w:hint="default"/>
                <w:sz w:val="16"/>
                <w:szCs w:val="16"/>
              </w:rPr>
            </w:pPr>
            <w:r>
              <w:rPr>
                <w:rFonts w:ascii="宋体"/>
                <w:w w:val="131"/>
                <w:sz w:val="16"/>
              </w:rPr>
              <w:t>-</w:t>
            </w:r>
            <w:r>
              <w:rPr>
                <w:rFonts w:ascii="宋体"/>
                <w:sz w:val="16"/>
              </w:rPr>
            </w:r>
          </w:p>
        </w:tc>
        <w:tc>
          <w:tcPr>
            <w:tcW w:w="14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15"/>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16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5"/>
              <w:jc w:val="right"/>
              <w:rPr>
                <w:rFonts w:ascii="宋体" w:hAnsi="宋体" w:cs="宋体" w:eastAsia="宋体" w:hint="default"/>
                <w:sz w:val="16"/>
                <w:szCs w:val="16"/>
              </w:rPr>
            </w:pPr>
            <w:r>
              <w:rPr>
                <w:rFonts w:ascii="宋体"/>
                <w:sz w:val="16"/>
              </w:rPr>
              <w:t>17,282</w:t>
            </w:r>
          </w:p>
        </w:tc>
        <w:tc>
          <w:tcPr>
            <w:tcW w:w="17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97"/>
              <w:jc w:val="right"/>
              <w:rPr>
                <w:rFonts w:ascii="宋体" w:hAnsi="宋体" w:cs="宋体" w:eastAsia="宋体" w:hint="default"/>
                <w:sz w:val="16"/>
                <w:szCs w:val="16"/>
              </w:rPr>
            </w:pPr>
            <w:r>
              <w:rPr>
                <w:rFonts w:ascii="宋体"/>
                <w:w w:val="110"/>
                <w:sz w:val="16"/>
              </w:rPr>
              <w:t>34</w:t>
            </w:r>
            <w:r>
              <w:rPr>
                <w:rFonts w:ascii="宋体"/>
                <w:sz w:val="16"/>
              </w:rPr>
            </w:r>
          </w:p>
        </w:tc>
        <w:tc>
          <w:tcPr>
            <w:tcW w:w="11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01"/>
              <w:jc w:val="right"/>
              <w:rPr>
                <w:rFonts w:ascii="宋体" w:hAnsi="宋体" w:cs="宋体" w:eastAsia="宋体" w:hint="default"/>
                <w:sz w:val="16"/>
                <w:szCs w:val="16"/>
              </w:rPr>
            </w:pPr>
            <w:r>
              <w:rPr>
                <w:rFonts w:ascii="宋体"/>
                <w:w w:val="95"/>
                <w:sz w:val="16"/>
              </w:rPr>
              <w:t>1,015</w:t>
            </w:r>
            <w:r>
              <w:rPr>
                <w:rFonts w:ascii="宋体"/>
                <w:sz w:val="16"/>
              </w:rPr>
            </w:r>
          </w:p>
        </w:tc>
        <w:tc>
          <w:tcPr>
            <w:tcW w:w="14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15"/>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18,331</w:t>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应付款项</w:t>
            </w:r>
          </w:p>
        </w:tc>
        <w:tc>
          <w:tcPr>
            <w:tcW w:w="16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5"/>
              <w:jc w:val="right"/>
              <w:rPr>
                <w:rFonts w:ascii="宋体" w:hAnsi="宋体" w:cs="宋体" w:eastAsia="宋体" w:hint="default"/>
                <w:sz w:val="16"/>
                <w:szCs w:val="16"/>
              </w:rPr>
            </w:pPr>
            <w:r>
              <w:rPr>
                <w:rFonts w:ascii="宋体"/>
                <w:sz w:val="16"/>
              </w:rPr>
              <w:t>133,282</w:t>
            </w:r>
          </w:p>
        </w:tc>
        <w:tc>
          <w:tcPr>
            <w:tcW w:w="17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98"/>
              <w:jc w:val="right"/>
              <w:rPr>
                <w:rFonts w:ascii="宋体" w:hAnsi="宋体" w:cs="宋体" w:eastAsia="宋体" w:hint="default"/>
                <w:sz w:val="16"/>
                <w:szCs w:val="16"/>
              </w:rPr>
            </w:pPr>
            <w:r>
              <w:rPr>
                <w:rFonts w:ascii="宋体"/>
                <w:w w:val="131"/>
                <w:sz w:val="16"/>
              </w:rPr>
              <w:t>-</w:t>
            </w:r>
            <w:r>
              <w:rPr>
                <w:rFonts w:ascii="宋体"/>
                <w:sz w:val="16"/>
              </w:rPr>
            </w:r>
          </w:p>
        </w:tc>
        <w:tc>
          <w:tcPr>
            <w:tcW w:w="11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00"/>
              <w:jc w:val="right"/>
              <w:rPr>
                <w:rFonts w:ascii="宋体" w:hAnsi="宋体" w:cs="宋体" w:eastAsia="宋体" w:hint="default"/>
                <w:sz w:val="16"/>
                <w:szCs w:val="16"/>
              </w:rPr>
            </w:pPr>
            <w:r>
              <w:rPr>
                <w:rFonts w:ascii="宋体"/>
                <w:w w:val="131"/>
                <w:sz w:val="16"/>
              </w:rPr>
              <w:t>-</w:t>
            </w:r>
            <w:r>
              <w:rPr>
                <w:rFonts w:ascii="宋体"/>
                <w:sz w:val="16"/>
              </w:rPr>
            </w:r>
          </w:p>
        </w:tc>
        <w:tc>
          <w:tcPr>
            <w:tcW w:w="14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15"/>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133,282</w:t>
            </w:r>
          </w:p>
        </w:tc>
      </w:tr>
      <w:tr>
        <w:trPr>
          <w:trHeight w:val="340"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16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395"/>
              <w:jc w:val="right"/>
              <w:rPr>
                <w:rFonts w:ascii="宋体" w:hAnsi="宋体" w:cs="宋体" w:eastAsia="宋体" w:hint="default"/>
                <w:sz w:val="16"/>
                <w:szCs w:val="16"/>
              </w:rPr>
            </w:pPr>
            <w:r>
              <w:rPr>
                <w:rFonts w:ascii="宋体"/>
                <w:sz w:val="16"/>
              </w:rPr>
              <w:t>15,499</w:t>
            </w:r>
          </w:p>
        </w:tc>
        <w:tc>
          <w:tcPr>
            <w:tcW w:w="17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698"/>
              <w:jc w:val="right"/>
              <w:rPr>
                <w:rFonts w:ascii="宋体" w:hAnsi="宋体" w:cs="宋体" w:eastAsia="宋体" w:hint="default"/>
                <w:sz w:val="16"/>
                <w:szCs w:val="16"/>
              </w:rPr>
            </w:pPr>
            <w:r>
              <w:rPr>
                <w:rFonts w:ascii="宋体"/>
                <w:w w:val="131"/>
                <w:sz w:val="16"/>
              </w:rPr>
              <w:t>-</w:t>
            </w:r>
            <w:r>
              <w:rPr>
                <w:rFonts w:ascii="宋体"/>
                <w:sz w:val="16"/>
              </w:rPr>
            </w:r>
          </w:p>
        </w:tc>
        <w:tc>
          <w:tcPr>
            <w:tcW w:w="111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00"/>
              <w:jc w:val="right"/>
              <w:rPr>
                <w:rFonts w:ascii="宋体" w:hAnsi="宋体" w:cs="宋体" w:eastAsia="宋体" w:hint="default"/>
                <w:sz w:val="16"/>
                <w:szCs w:val="16"/>
              </w:rPr>
            </w:pPr>
            <w:r>
              <w:rPr>
                <w:rFonts w:ascii="宋体"/>
                <w:w w:val="131"/>
                <w:sz w:val="16"/>
              </w:rPr>
              <w:t>-</w:t>
            </w:r>
            <w:r>
              <w:rPr>
                <w:rFonts w:ascii="宋体"/>
                <w:sz w:val="16"/>
              </w:rPr>
            </w:r>
          </w:p>
        </w:tc>
        <w:tc>
          <w:tcPr>
            <w:tcW w:w="14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17"/>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15,499</w:t>
            </w:r>
          </w:p>
        </w:tc>
      </w:tr>
      <w:tr>
        <w:trPr>
          <w:trHeight w:val="433" w:hRule="exact"/>
        </w:trPr>
        <w:tc>
          <w:tcPr>
            <w:tcW w:w="2222" w:type="dxa"/>
            <w:tcBorders>
              <w:top w:val="nil" w:sz="6" w:space="0" w:color="auto"/>
              <w:left w:val="nil" w:sz="6" w:space="0" w:color="auto"/>
              <w:bottom w:val="single" w:sz="16" w:space="0" w:color="9F8958"/>
              <w:right w:val="nil" w:sz="6" w:space="0" w:color="auto"/>
            </w:tcBorders>
          </w:tcPr>
          <w:p>
            <w:pPr/>
          </w:p>
        </w:tc>
        <w:tc>
          <w:tcPr>
            <w:tcW w:w="169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395"/>
              <w:jc w:val="right"/>
              <w:rPr>
                <w:rFonts w:ascii="宋体" w:hAnsi="宋体" w:cs="宋体" w:eastAsia="宋体" w:hint="default"/>
                <w:sz w:val="16"/>
                <w:szCs w:val="16"/>
              </w:rPr>
            </w:pPr>
            <w:r>
              <w:rPr>
                <w:rFonts w:ascii="宋体"/>
                <w:sz w:val="16"/>
              </w:rPr>
              <w:t>166,771</w:t>
            </w:r>
          </w:p>
        </w:tc>
        <w:tc>
          <w:tcPr>
            <w:tcW w:w="171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698"/>
              <w:jc w:val="right"/>
              <w:rPr>
                <w:rFonts w:ascii="宋体" w:hAnsi="宋体" w:cs="宋体" w:eastAsia="宋体" w:hint="default"/>
                <w:sz w:val="16"/>
                <w:szCs w:val="16"/>
              </w:rPr>
            </w:pPr>
            <w:r>
              <w:rPr>
                <w:rFonts w:ascii="宋体"/>
                <w:w w:val="110"/>
                <w:sz w:val="16"/>
              </w:rPr>
              <w:t>505</w:t>
            </w:r>
            <w:r>
              <w:rPr>
                <w:rFonts w:ascii="宋体"/>
                <w:sz w:val="16"/>
              </w:rPr>
            </w:r>
          </w:p>
        </w:tc>
        <w:tc>
          <w:tcPr>
            <w:tcW w:w="111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400"/>
              <w:jc w:val="right"/>
              <w:rPr>
                <w:rFonts w:ascii="宋体" w:hAnsi="宋体" w:cs="宋体" w:eastAsia="宋体" w:hint="default"/>
                <w:sz w:val="16"/>
                <w:szCs w:val="16"/>
              </w:rPr>
            </w:pPr>
            <w:r>
              <w:rPr>
                <w:rFonts w:ascii="宋体"/>
                <w:w w:val="95"/>
                <w:sz w:val="16"/>
              </w:rPr>
              <w:t>2,395</w:t>
            </w:r>
            <w:r>
              <w:rPr>
                <w:rFonts w:ascii="宋体"/>
                <w:sz w:val="16"/>
              </w:rPr>
            </w:r>
          </w:p>
        </w:tc>
        <w:tc>
          <w:tcPr>
            <w:tcW w:w="142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415"/>
              <w:jc w:val="right"/>
              <w:rPr>
                <w:rFonts w:ascii="宋体" w:hAnsi="宋体" w:cs="宋体" w:eastAsia="宋体" w:hint="default"/>
                <w:sz w:val="16"/>
                <w:szCs w:val="16"/>
              </w:rPr>
            </w:pPr>
            <w:r>
              <w:rPr>
                <w:rFonts w:ascii="宋体"/>
                <w:w w:val="95"/>
                <w:sz w:val="16"/>
              </w:rPr>
              <w:t>2,200</w:t>
            </w:r>
            <w:r>
              <w:rPr>
                <w:rFonts w:ascii="宋体"/>
                <w:sz w:val="16"/>
              </w:rPr>
            </w:r>
          </w:p>
        </w:tc>
        <w:tc>
          <w:tcPr>
            <w:tcW w:w="110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sz w:val="16"/>
              </w:rPr>
              <w:t>171,871</w:t>
            </w:r>
          </w:p>
        </w:tc>
      </w:tr>
    </w:tbl>
    <w:p>
      <w:pPr>
        <w:spacing w:line="240" w:lineRule="auto" w:before="12"/>
        <w:rPr>
          <w:rFonts w:ascii="宋体" w:hAnsi="宋体" w:cs="宋体" w:eastAsia="宋体" w:hint="default"/>
          <w:sz w:val="16"/>
          <w:szCs w:val="16"/>
        </w:rPr>
      </w:pPr>
    </w:p>
    <w:tbl>
      <w:tblPr>
        <w:tblW w:w="0" w:type="auto"/>
        <w:jc w:val="left"/>
        <w:tblInd w:w="454" w:type="dxa"/>
        <w:tblLayout w:type="fixed"/>
        <w:tblCellMar>
          <w:top w:w="0" w:type="dxa"/>
          <w:left w:w="0" w:type="dxa"/>
          <w:bottom w:w="0" w:type="dxa"/>
          <w:right w:w="0" w:type="dxa"/>
        </w:tblCellMar>
        <w:tblLook w:val="01E0"/>
      </w:tblPr>
      <w:tblGrid>
        <w:gridCol w:w="2222"/>
        <w:gridCol w:w="1696"/>
        <w:gridCol w:w="1097"/>
        <w:gridCol w:w="1783"/>
        <w:gridCol w:w="1377"/>
        <w:gridCol w:w="1108"/>
      </w:tblGrid>
      <w:tr>
        <w:trPr>
          <w:trHeight w:val="376" w:hRule="exact"/>
        </w:trPr>
        <w:tc>
          <w:tcPr>
            <w:tcW w:w="5016" w:type="dxa"/>
            <w:gridSpan w:val="3"/>
            <w:tcBorders>
              <w:top w:val="nil" w:sz="6" w:space="0" w:color="auto"/>
              <w:left w:val="nil" w:sz="6" w:space="0" w:color="auto"/>
              <w:bottom w:val="nil" w:sz="6" w:space="0" w:color="auto"/>
              <w:right w:val="nil" w:sz="6" w:space="0" w:color="auto"/>
            </w:tcBorders>
          </w:tcPr>
          <w:p>
            <w:pPr/>
          </w:p>
        </w:tc>
        <w:tc>
          <w:tcPr>
            <w:tcW w:w="1783" w:type="dxa"/>
            <w:tcBorders>
              <w:top w:val="nil" w:sz="6" w:space="0" w:color="auto"/>
              <w:left w:val="nil" w:sz="6" w:space="0" w:color="auto"/>
              <w:bottom w:val="single" w:sz="6" w:space="0" w:color="000000"/>
              <w:right w:val="nil" w:sz="6" w:space="0" w:color="auto"/>
            </w:tcBorders>
          </w:tcPr>
          <w:p>
            <w:pPr>
              <w:pStyle w:val="TableParagraph"/>
              <w:spacing w:line="240" w:lineRule="auto" w:before="41"/>
              <w:ind w:right="348"/>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485" w:type="dxa"/>
            <w:gridSpan w:val="2"/>
            <w:tcBorders>
              <w:top w:val="nil" w:sz="6" w:space="0" w:color="auto"/>
              <w:left w:val="nil" w:sz="6" w:space="0" w:color="auto"/>
              <w:bottom w:val="single" w:sz="6" w:space="0" w:color="000000"/>
              <w:right w:val="nil" w:sz="6" w:space="0" w:color="auto"/>
            </w:tcBorders>
          </w:tcPr>
          <w:p>
            <w:pPr/>
          </w:p>
        </w:tc>
      </w:tr>
      <w:tr>
        <w:trPr>
          <w:trHeight w:val="414" w:hRule="exact"/>
        </w:trPr>
        <w:tc>
          <w:tcPr>
            <w:tcW w:w="2222" w:type="dxa"/>
            <w:tcBorders>
              <w:top w:val="nil" w:sz="6" w:space="0" w:color="auto"/>
              <w:left w:val="nil" w:sz="6" w:space="0" w:color="auto"/>
              <w:bottom w:val="single" w:sz="16" w:space="0" w:color="9F8958"/>
              <w:right w:val="nil" w:sz="6" w:space="0" w:color="auto"/>
            </w:tcBorders>
          </w:tcPr>
          <w:p>
            <w:pPr>
              <w:pStyle w:val="TableParagraph"/>
              <w:spacing w:line="240" w:lineRule="auto" w:before="71"/>
              <w:ind w:left="113" w:right="0"/>
              <w:jc w:val="left"/>
              <w:rPr>
                <w:rFonts w:ascii="宋体" w:hAnsi="宋体" w:cs="宋体" w:eastAsia="宋体" w:hint="default"/>
                <w:sz w:val="16"/>
                <w:szCs w:val="16"/>
              </w:rPr>
            </w:pPr>
            <w:r>
              <w:rPr>
                <w:rFonts w:ascii="宋体" w:hAnsi="宋体" w:cs="宋体" w:eastAsia="宋体" w:hint="default"/>
                <w:sz w:val="16"/>
                <w:szCs w:val="16"/>
              </w:rPr>
              <w:t>（单位：人民币百万元）</w:t>
            </w:r>
          </w:p>
        </w:tc>
        <w:tc>
          <w:tcPr>
            <w:tcW w:w="169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395"/>
              <w:jc w:val="righ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年以内</w:t>
            </w:r>
          </w:p>
        </w:tc>
        <w:tc>
          <w:tcPr>
            <w:tcW w:w="109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40"/>
              <w:jc w:val="right"/>
              <w:rPr>
                <w:rFonts w:ascii="宋体" w:hAnsi="宋体" w:cs="宋体" w:eastAsia="宋体" w:hint="default"/>
                <w:sz w:val="16"/>
                <w:szCs w:val="16"/>
              </w:rPr>
            </w:pPr>
            <w:r>
              <w:rPr>
                <w:rFonts w:ascii="宋体" w:hAnsi="宋体" w:cs="宋体" w:eastAsia="宋体" w:hint="default"/>
                <w:spacing w:val="28"/>
                <w:sz w:val="16"/>
                <w:szCs w:val="16"/>
              </w:rPr>
              <w:t>1至2年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178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712" w:right="0"/>
              <w:jc w:val="left"/>
              <w:rPr>
                <w:rFonts w:ascii="宋体" w:hAnsi="宋体" w:cs="宋体" w:eastAsia="宋体" w:hint="default"/>
                <w:sz w:val="16"/>
                <w:szCs w:val="16"/>
              </w:rPr>
            </w:pPr>
            <w:r>
              <w:rPr>
                <w:rFonts w:ascii="宋体" w:hAnsi="宋体" w:cs="宋体" w:eastAsia="宋体" w:hint="default"/>
                <w:spacing w:val="28"/>
                <w:w w:val="105"/>
                <w:sz w:val="16"/>
                <w:szCs w:val="16"/>
              </w:rPr>
              <w:t>2至5年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1377"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415"/>
              <w:jc w:val="right"/>
              <w:rPr>
                <w:rFonts w:ascii="宋体" w:hAnsi="宋体" w:cs="宋体" w:eastAsia="宋体" w:hint="default"/>
                <w:sz w:val="16"/>
                <w:szCs w:val="16"/>
              </w:rPr>
            </w:pPr>
            <w:r>
              <w:rPr>
                <w:rFonts w:ascii="宋体" w:hAnsi="宋体" w:cs="宋体" w:eastAsia="宋体" w:hint="default"/>
                <w:w w:val="105"/>
                <w:sz w:val="16"/>
                <w:szCs w:val="16"/>
              </w:rPr>
              <w:t>5</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c>
        <w:tc>
          <w:tcPr>
            <w:tcW w:w="1108"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合计</w:t>
            </w:r>
          </w:p>
        </w:tc>
      </w:tr>
      <w:tr>
        <w:trPr>
          <w:trHeight w:val="362" w:hRule="exact"/>
        </w:trPr>
        <w:tc>
          <w:tcPr>
            <w:tcW w:w="222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169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395"/>
              <w:jc w:val="right"/>
              <w:rPr>
                <w:rFonts w:ascii="宋体" w:hAnsi="宋体" w:cs="宋体" w:eastAsia="宋体" w:hint="default"/>
                <w:sz w:val="16"/>
                <w:szCs w:val="16"/>
              </w:rPr>
            </w:pPr>
            <w:r>
              <w:rPr>
                <w:rFonts w:ascii="宋体"/>
                <w:w w:val="110"/>
                <w:sz w:val="16"/>
              </w:rPr>
              <w:t>412</w:t>
            </w:r>
            <w:r>
              <w:rPr>
                <w:rFonts w:ascii="宋体"/>
                <w:sz w:val="16"/>
              </w:rPr>
            </w:r>
          </w:p>
        </w:tc>
        <w:tc>
          <w:tcPr>
            <w:tcW w:w="109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80"/>
              <w:jc w:val="right"/>
              <w:rPr>
                <w:rFonts w:ascii="宋体" w:hAnsi="宋体" w:cs="宋体" w:eastAsia="宋体" w:hint="default"/>
                <w:sz w:val="16"/>
                <w:szCs w:val="16"/>
              </w:rPr>
            </w:pPr>
            <w:r>
              <w:rPr>
                <w:rFonts w:ascii="宋体"/>
                <w:w w:val="110"/>
                <w:sz w:val="16"/>
              </w:rPr>
              <w:t>444</w:t>
            </w:r>
            <w:r>
              <w:rPr>
                <w:rFonts w:ascii="宋体"/>
                <w:sz w:val="16"/>
              </w:rPr>
            </w:r>
          </w:p>
        </w:tc>
        <w:tc>
          <w:tcPr>
            <w:tcW w:w="178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450"/>
              <w:jc w:val="right"/>
              <w:rPr>
                <w:rFonts w:ascii="宋体" w:hAnsi="宋体" w:cs="宋体" w:eastAsia="宋体" w:hint="default"/>
                <w:sz w:val="16"/>
                <w:szCs w:val="16"/>
              </w:rPr>
            </w:pPr>
            <w:r>
              <w:rPr>
                <w:rFonts w:ascii="宋体"/>
                <w:w w:val="95"/>
                <w:sz w:val="16"/>
              </w:rPr>
              <w:t>1,329</w:t>
            </w:r>
            <w:r>
              <w:rPr>
                <w:rFonts w:ascii="宋体"/>
                <w:sz w:val="16"/>
              </w:rPr>
            </w:r>
          </w:p>
        </w:tc>
        <w:tc>
          <w:tcPr>
            <w:tcW w:w="137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415"/>
              <w:jc w:val="right"/>
              <w:rPr>
                <w:rFonts w:ascii="宋体" w:hAnsi="宋体" w:cs="宋体" w:eastAsia="宋体" w:hint="default"/>
                <w:sz w:val="16"/>
                <w:szCs w:val="16"/>
              </w:rPr>
            </w:pPr>
            <w:r>
              <w:rPr>
                <w:rFonts w:ascii="宋体"/>
                <w:w w:val="95"/>
                <w:sz w:val="16"/>
              </w:rPr>
              <w:t>2,567</w:t>
            </w:r>
            <w:r>
              <w:rPr>
                <w:rFonts w:ascii="宋体"/>
                <w:sz w:val="16"/>
              </w:rPr>
            </w:r>
          </w:p>
        </w:tc>
        <w:tc>
          <w:tcPr>
            <w:tcW w:w="110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4,752</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1696" w:type="dxa"/>
            <w:tcBorders>
              <w:top w:val="nil" w:sz="6" w:space="0" w:color="auto"/>
              <w:left w:val="nil" w:sz="6" w:space="0" w:color="auto"/>
              <w:bottom w:val="nil" w:sz="6" w:space="0" w:color="auto"/>
              <w:right w:val="nil" w:sz="6" w:space="0" w:color="auto"/>
            </w:tcBorders>
          </w:tcPr>
          <w:p>
            <w:pPr>
              <w:pStyle w:val="TableParagraph"/>
              <w:spacing w:line="205" w:lineRule="exact"/>
              <w:ind w:right="395"/>
              <w:jc w:val="right"/>
              <w:rPr>
                <w:rFonts w:ascii="宋体" w:hAnsi="宋体" w:cs="宋体" w:eastAsia="宋体" w:hint="default"/>
                <w:sz w:val="16"/>
                <w:szCs w:val="16"/>
              </w:rPr>
            </w:pPr>
            <w:r>
              <w:rPr>
                <w:rFonts w:ascii="宋体"/>
                <w:w w:val="110"/>
                <w:sz w:val="16"/>
              </w:rPr>
              <w:t>484</w:t>
            </w:r>
            <w:r>
              <w:rPr>
                <w:rFonts w:ascii="宋体"/>
                <w:sz w:val="16"/>
              </w:rPr>
            </w:r>
          </w:p>
        </w:tc>
        <w:tc>
          <w:tcPr>
            <w:tcW w:w="1097" w:type="dxa"/>
            <w:tcBorders>
              <w:top w:val="nil" w:sz="6" w:space="0" w:color="auto"/>
              <w:left w:val="nil" w:sz="6" w:space="0" w:color="auto"/>
              <w:bottom w:val="nil" w:sz="6" w:space="0" w:color="auto"/>
              <w:right w:val="nil" w:sz="6" w:space="0" w:color="auto"/>
            </w:tcBorders>
          </w:tcPr>
          <w:p>
            <w:pPr>
              <w:pStyle w:val="TableParagraph"/>
              <w:spacing w:line="205" w:lineRule="exact"/>
              <w:ind w:right="80"/>
              <w:jc w:val="right"/>
              <w:rPr>
                <w:rFonts w:ascii="宋体" w:hAnsi="宋体" w:cs="宋体" w:eastAsia="宋体" w:hint="default"/>
                <w:sz w:val="16"/>
                <w:szCs w:val="16"/>
              </w:rPr>
            </w:pPr>
            <w:r>
              <w:rPr>
                <w:rFonts w:ascii="宋体"/>
                <w:w w:val="110"/>
                <w:sz w:val="16"/>
              </w:rPr>
              <w:t>289</w:t>
            </w:r>
            <w:r>
              <w:rPr>
                <w:rFonts w:ascii="宋体"/>
                <w:sz w:val="16"/>
              </w:rPr>
            </w:r>
          </w:p>
        </w:tc>
        <w:tc>
          <w:tcPr>
            <w:tcW w:w="1783" w:type="dxa"/>
            <w:tcBorders>
              <w:top w:val="nil" w:sz="6" w:space="0" w:color="auto"/>
              <w:left w:val="nil" w:sz="6" w:space="0" w:color="auto"/>
              <w:bottom w:val="nil" w:sz="6" w:space="0" w:color="auto"/>
              <w:right w:val="nil" w:sz="6" w:space="0" w:color="auto"/>
            </w:tcBorders>
          </w:tcPr>
          <w:p>
            <w:pPr>
              <w:pStyle w:val="TableParagraph"/>
              <w:spacing w:line="205" w:lineRule="exact"/>
              <w:ind w:right="450"/>
              <w:jc w:val="right"/>
              <w:rPr>
                <w:rFonts w:ascii="宋体" w:hAnsi="宋体" w:cs="宋体" w:eastAsia="宋体" w:hint="default"/>
                <w:sz w:val="16"/>
                <w:szCs w:val="16"/>
              </w:rPr>
            </w:pPr>
            <w:r>
              <w:rPr>
                <w:rFonts w:ascii="宋体"/>
                <w:w w:val="110"/>
                <w:sz w:val="16"/>
              </w:rPr>
              <w:t>35</w:t>
            </w:r>
            <w:r>
              <w:rPr>
                <w:rFonts w:ascii="宋体"/>
                <w:sz w:val="16"/>
              </w:rPr>
            </w:r>
          </w:p>
        </w:tc>
        <w:tc>
          <w:tcPr>
            <w:tcW w:w="1377" w:type="dxa"/>
            <w:tcBorders>
              <w:top w:val="nil" w:sz="6" w:space="0" w:color="auto"/>
              <w:left w:val="nil" w:sz="6" w:space="0" w:color="auto"/>
              <w:bottom w:val="nil" w:sz="6" w:space="0" w:color="auto"/>
              <w:right w:val="nil" w:sz="6" w:space="0" w:color="auto"/>
            </w:tcBorders>
          </w:tcPr>
          <w:p>
            <w:pPr>
              <w:pStyle w:val="TableParagraph"/>
              <w:spacing w:line="205" w:lineRule="exact"/>
              <w:ind w:right="415"/>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808</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长期应付职工薪酬</w:t>
            </w:r>
          </w:p>
        </w:tc>
        <w:tc>
          <w:tcPr>
            <w:tcW w:w="1696" w:type="dxa"/>
            <w:tcBorders>
              <w:top w:val="nil" w:sz="6" w:space="0" w:color="auto"/>
              <w:left w:val="nil" w:sz="6" w:space="0" w:color="auto"/>
              <w:bottom w:val="nil" w:sz="6" w:space="0" w:color="auto"/>
              <w:right w:val="nil" w:sz="6" w:space="0" w:color="auto"/>
            </w:tcBorders>
          </w:tcPr>
          <w:p>
            <w:pPr>
              <w:pStyle w:val="TableParagraph"/>
              <w:spacing w:line="205" w:lineRule="exact"/>
              <w:ind w:right="395"/>
              <w:jc w:val="right"/>
              <w:rPr>
                <w:rFonts w:ascii="宋体" w:hAnsi="宋体" w:cs="宋体" w:eastAsia="宋体" w:hint="default"/>
                <w:sz w:val="16"/>
                <w:szCs w:val="16"/>
              </w:rPr>
            </w:pPr>
            <w:r>
              <w:rPr>
                <w:rFonts w:ascii="宋体"/>
                <w:w w:val="111"/>
                <w:sz w:val="16"/>
              </w:rPr>
              <w:t>4</w:t>
            </w:r>
            <w:r>
              <w:rPr>
                <w:rFonts w:ascii="宋体"/>
                <w:sz w:val="16"/>
              </w:rPr>
            </w:r>
          </w:p>
        </w:tc>
        <w:tc>
          <w:tcPr>
            <w:tcW w:w="1097" w:type="dxa"/>
            <w:tcBorders>
              <w:top w:val="nil" w:sz="6" w:space="0" w:color="auto"/>
              <w:left w:val="nil" w:sz="6" w:space="0" w:color="auto"/>
              <w:bottom w:val="nil" w:sz="6" w:space="0" w:color="auto"/>
              <w:right w:val="nil" w:sz="6" w:space="0" w:color="auto"/>
            </w:tcBorders>
          </w:tcPr>
          <w:p>
            <w:pPr>
              <w:pStyle w:val="TableParagraph"/>
              <w:spacing w:line="205" w:lineRule="exact"/>
              <w:ind w:right="80"/>
              <w:jc w:val="right"/>
              <w:rPr>
                <w:rFonts w:ascii="宋体" w:hAnsi="宋体" w:cs="宋体" w:eastAsia="宋体" w:hint="default"/>
                <w:sz w:val="16"/>
                <w:szCs w:val="16"/>
              </w:rPr>
            </w:pPr>
            <w:r>
              <w:rPr>
                <w:rFonts w:ascii="宋体"/>
                <w:w w:val="111"/>
                <w:sz w:val="16"/>
              </w:rPr>
              <w:t>4</w:t>
            </w:r>
            <w:r>
              <w:rPr>
                <w:rFonts w:ascii="宋体"/>
                <w:sz w:val="16"/>
              </w:rPr>
            </w:r>
          </w:p>
        </w:tc>
        <w:tc>
          <w:tcPr>
            <w:tcW w:w="1783" w:type="dxa"/>
            <w:tcBorders>
              <w:top w:val="nil" w:sz="6" w:space="0" w:color="auto"/>
              <w:left w:val="nil" w:sz="6" w:space="0" w:color="auto"/>
              <w:bottom w:val="nil" w:sz="6" w:space="0" w:color="auto"/>
              <w:right w:val="nil" w:sz="6" w:space="0" w:color="auto"/>
            </w:tcBorders>
          </w:tcPr>
          <w:p>
            <w:pPr>
              <w:pStyle w:val="TableParagraph"/>
              <w:spacing w:line="205" w:lineRule="exact"/>
              <w:ind w:right="450"/>
              <w:jc w:val="right"/>
              <w:rPr>
                <w:rFonts w:ascii="宋体" w:hAnsi="宋体" w:cs="宋体" w:eastAsia="宋体" w:hint="default"/>
                <w:sz w:val="16"/>
                <w:szCs w:val="16"/>
              </w:rPr>
            </w:pPr>
            <w:r>
              <w:rPr>
                <w:rFonts w:ascii="宋体"/>
                <w:w w:val="110"/>
                <w:sz w:val="16"/>
              </w:rPr>
              <w:t>13</w:t>
            </w:r>
            <w:r>
              <w:rPr>
                <w:rFonts w:ascii="宋体"/>
                <w:sz w:val="16"/>
              </w:rPr>
            </w:r>
          </w:p>
        </w:tc>
        <w:tc>
          <w:tcPr>
            <w:tcW w:w="1377" w:type="dxa"/>
            <w:tcBorders>
              <w:top w:val="nil" w:sz="6" w:space="0" w:color="auto"/>
              <w:left w:val="nil" w:sz="6" w:space="0" w:color="auto"/>
              <w:bottom w:val="nil" w:sz="6" w:space="0" w:color="auto"/>
              <w:right w:val="nil" w:sz="6" w:space="0" w:color="auto"/>
            </w:tcBorders>
          </w:tcPr>
          <w:p>
            <w:pPr>
              <w:pStyle w:val="TableParagraph"/>
              <w:spacing w:line="205" w:lineRule="exact"/>
              <w:ind w:right="415"/>
              <w:jc w:val="right"/>
              <w:rPr>
                <w:rFonts w:ascii="宋体" w:hAnsi="宋体" w:cs="宋体" w:eastAsia="宋体" w:hint="default"/>
                <w:sz w:val="16"/>
                <w:szCs w:val="16"/>
              </w:rPr>
            </w:pPr>
            <w:r>
              <w:rPr>
                <w:rFonts w:ascii="宋体"/>
                <w:w w:val="110"/>
                <w:sz w:val="16"/>
              </w:rPr>
              <w:t>47</w:t>
            </w:r>
            <w:r>
              <w:rPr>
                <w:rFonts w:ascii="宋体"/>
                <w:sz w:val="16"/>
              </w:rPr>
            </w:r>
          </w:p>
        </w:tc>
        <w:tc>
          <w:tcPr>
            <w:tcW w:w="11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68</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1696" w:type="dxa"/>
            <w:tcBorders>
              <w:top w:val="nil" w:sz="6" w:space="0" w:color="auto"/>
              <w:left w:val="nil" w:sz="6" w:space="0" w:color="auto"/>
              <w:bottom w:val="nil" w:sz="6" w:space="0" w:color="auto"/>
              <w:right w:val="nil" w:sz="6" w:space="0" w:color="auto"/>
            </w:tcBorders>
          </w:tcPr>
          <w:p>
            <w:pPr>
              <w:pStyle w:val="TableParagraph"/>
              <w:spacing w:line="205" w:lineRule="exact"/>
              <w:ind w:right="395"/>
              <w:jc w:val="right"/>
              <w:rPr>
                <w:rFonts w:ascii="宋体" w:hAnsi="宋体" w:cs="宋体" w:eastAsia="宋体" w:hint="default"/>
                <w:sz w:val="16"/>
                <w:szCs w:val="16"/>
              </w:rPr>
            </w:pPr>
            <w:r>
              <w:rPr>
                <w:rFonts w:ascii="宋体"/>
                <w:w w:val="95"/>
                <w:sz w:val="16"/>
              </w:rPr>
              <w:t>9,127</w:t>
            </w:r>
            <w:r>
              <w:rPr>
                <w:rFonts w:ascii="宋体"/>
                <w:sz w:val="16"/>
              </w:rPr>
            </w:r>
          </w:p>
        </w:tc>
        <w:tc>
          <w:tcPr>
            <w:tcW w:w="1097" w:type="dxa"/>
            <w:tcBorders>
              <w:top w:val="nil" w:sz="6" w:space="0" w:color="auto"/>
              <w:left w:val="nil" w:sz="6" w:space="0" w:color="auto"/>
              <w:bottom w:val="nil" w:sz="6" w:space="0" w:color="auto"/>
              <w:right w:val="nil" w:sz="6" w:space="0" w:color="auto"/>
            </w:tcBorders>
          </w:tcPr>
          <w:p>
            <w:pPr>
              <w:pStyle w:val="TableParagraph"/>
              <w:spacing w:line="205" w:lineRule="exact"/>
              <w:ind w:right="80"/>
              <w:jc w:val="right"/>
              <w:rPr>
                <w:rFonts w:ascii="宋体" w:hAnsi="宋体" w:cs="宋体" w:eastAsia="宋体" w:hint="default"/>
                <w:sz w:val="16"/>
                <w:szCs w:val="16"/>
              </w:rPr>
            </w:pPr>
            <w:r>
              <w:rPr>
                <w:rFonts w:ascii="宋体"/>
                <w:w w:val="131"/>
                <w:sz w:val="16"/>
              </w:rPr>
              <w:t>-</w:t>
            </w:r>
            <w:r>
              <w:rPr>
                <w:rFonts w:ascii="宋体"/>
                <w:sz w:val="16"/>
              </w:rPr>
            </w:r>
          </w:p>
        </w:tc>
        <w:tc>
          <w:tcPr>
            <w:tcW w:w="1783" w:type="dxa"/>
            <w:tcBorders>
              <w:top w:val="nil" w:sz="6" w:space="0" w:color="auto"/>
              <w:left w:val="nil" w:sz="6" w:space="0" w:color="auto"/>
              <w:bottom w:val="nil" w:sz="6" w:space="0" w:color="auto"/>
              <w:right w:val="nil" w:sz="6" w:space="0" w:color="auto"/>
            </w:tcBorders>
          </w:tcPr>
          <w:p>
            <w:pPr>
              <w:pStyle w:val="TableParagraph"/>
              <w:spacing w:line="205" w:lineRule="exact"/>
              <w:ind w:right="451"/>
              <w:jc w:val="right"/>
              <w:rPr>
                <w:rFonts w:ascii="宋体" w:hAnsi="宋体" w:cs="宋体" w:eastAsia="宋体" w:hint="default"/>
                <w:sz w:val="16"/>
                <w:szCs w:val="16"/>
              </w:rPr>
            </w:pPr>
            <w:r>
              <w:rPr>
                <w:rFonts w:ascii="宋体"/>
                <w:w w:val="131"/>
                <w:sz w:val="16"/>
              </w:rPr>
              <w:t>-</w:t>
            </w:r>
            <w:r>
              <w:rPr>
                <w:rFonts w:ascii="宋体"/>
                <w:sz w:val="16"/>
              </w:rPr>
            </w:r>
          </w:p>
        </w:tc>
        <w:tc>
          <w:tcPr>
            <w:tcW w:w="1377" w:type="dxa"/>
            <w:tcBorders>
              <w:top w:val="nil" w:sz="6" w:space="0" w:color="auto"/>
              <w:left w:val="nil" w:sz="6" w:space="0" w:color="auto"/>
              <w:bottom w:val="nil" w:sz="6" w:space="0" w:color="auto"/>
              <w:right w:val="nil" w:sz="6" w:space="0" w:color="auto"/>
            </w:tcBorders>
          </w:tcPr>
          <w:p>
            <w:pPr>
              <w:pStyle w:val="TableParagraph"/>
              <w:spacing w:line="205" w:lineRule="exact"/>
              <w:ind w:right="415"/>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9,127</w:t>
            </w:r>
            <w:r>
              <w:rPr>
                <w:rFonts w:ascii="宋体"/>
                <w:sz w:val="16"/>
              </w:rPr>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1696" w:type="dxa"/>
            <w:tcBorders>
              <w:top w:val="nil" w:sz="6" w:space="0" w:color="auto"/>
              <w:left w:val="nil" w:sz="6" w:space="0" w:color="auto"/>
              <w:bottom w:val="nil" w:sz="6" w:space="0" w:color="auto"/>
              <w:right w:val="nil" w:sz="6" w:space="0" w:color="auto"/>
            </w:tcBorders>
          </w:tcPr>
          <w:p>
            <w:pPr>
              <w:pStyle w:val="TableParagraph"/>
              <w:spacing w:line="205" w:lineRule="exact"/>
              <w:ind w:right="395"/>
              <w:jc w:val="right"/>
              <w:rPr>
                <w:rFonts w:ascii="宋体" w:hAnsi="宋体" w:cs="宋体" w:eastAsia="宋体" w:hint="default"/>
                <w:sz w:val="16"/>
                <w:szCs w:val="16"/>
              </w:rPr>
            </w:pPr>
            <w:r>
              <w:rPr>
                <w:rFonts w:ascii="宋体"/>
                <w:sz w:val="16"/>
              </w:rPr>
              <w:t>18,984</w:t>
            </w:r>
          </w:p>
        </w:tc>
        <w:tc>
          <w:tcPr>
            <w:tcW w:w="1097" w:type="dxa"/>
            <w:tcBorders>
              <w:top w:val="nil" w:sz="6" w:space="0" w:color="auto"/>
              <w:left w:val="nil" w:sz="6" w:space="0" w:color="auto"/>
              <w:bottom w:val="nil" w:sz="6" w:space="0" w:color="auto"/>
              <w:right w:val="nil" w:sz="6" w:space="0" w:color="auto"/>
            </w:tcBorders>
          </w:tcPr>
          <w:p>
            <w:pPr>
              <w:pStyle w:val="TableParagraph"/>
              <w:spacing w:line="205" w:lineRule="exact"/>
              <w:ind w:right="80"/>
              <w:jc w:val="right"/>
              <w:rPr>
                <w:rFonts w:ascii="宋体" w:hAnsi="宋体" w:cs="宋体" w:eastAsia="宋体" w:hint="default"/>
                <w:sz w:val="16"/>
                <w:szCs w:val="16"/>
              </w:rPr>
            </w:pPr>
            <w:r>
              <w:rPr>
                <w:rFonts w:ascii="宋体"/>
                <w:sz w:val="16"/>
              </w:rPr>
              <w:t>17,282</w:t>
            </w:r>
          </w:p>
        </w:tc>
        <w:tc>
          <w:tcPr>
            <w:tcW w:w="1783" w:type="dxa"/>
            <w:tcBorders>
              <w:top w:val="nil" w:sz="6" w:space="0" w:color="auto"/>
              <w:left w:val="nil" w:sz="6" w:space="0" w:color="auto"/>
              <w:bottom w:val="nil" w:sz="6" w:space="0" w:color="auto"/>
              <w:right w:val="nil" w:sz="6" w:space="0" w:color="auto"/>
            </w:tcBorders>
          </w:tcPr>
          <w:p>
            <w:pPr>
              <w:pStyle w:val="TableParagraph"/>
              <w:spacing w:line="205" w:lineRule="exact"/>
              <w:ind w:right="450"/>
              <w:jc w:val="right"/>
              <w:rPr>
                <w:rFonts w:ascii="宋体" w:hAnsi="宋体" w:cs="宋体" w:eastAsia="宋体" w:hint="default"/>
                <w:sz w:val="16"/>
                <w:szCs w:val="16"/>
              </w:rPr>
            </w:pPr>
            <w:r>
              <w:rPr>
                <w:rFonts w:ascii="宋体"/>
                <w:w w:val="95"/>
                <w:sz w:val="16"/>
              </w:rPr>
              <w:t>1,049</w:t>
            </w:r>
            <w:r>
              <w:rPr>
                <w:rFonts w:ascii="宋体"/>
                <w:sz w:val="16"/>
              </w:rPr>
            </w:r>
          </w:p>
        </w:tc>
        <w:tc>
          <w:tcPr>
            <w:tcW w:w="1377" w:type="dxa"/>
            <w:tcBorders>
              <w:top w:val="nil" w:sz="6" w:space="0" w:color="auto"/>
              <w:left w:val="nil" w:sz="6" w:space="0" w:color="auto"/>
              <w:bottom w:val="nil" w:sz="6" w:space="0" w:color="auto"/>
              <w:right w:val="nil" w:sz="6" w:space="0" w:color="auto"/>
            </w:tcBorders>
          </w:tcPr>
          <w:p>
            <w:pPr>
              <w:pStyle w:val="TableParagraph"/>
              <w:spacing w:line="205" w:lineRule="exact"/>
              <w:ind w:right="415"/>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37,315</w:t>
            </w:r>
          </w:p>
        </w:tc>
      </w:tr>
      <w:tr>
        <w:trPr>
          <w:trHeight w:val="273"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应付款项</w:t>
            </w:r>
          </w:p>
        </w:tc>
        <w:tc>
          <w:tcPr>
            <w:tcW w:w="1696" w:type="dxa"/>
            <w:tcBorders>
              <w:top w:val="nil" w:sz="6" w:space="0" w:color="auto"/>
              <w:left w:val="nil" w:sz="6" w:space="0" w:color="auto"/>
              <w:bottom w:val="nil" w:sz="6" w:space="0" w:color="auto"/>
              <w:right w:val="nil" w:sz="6" w:space="0" w:color="auto"/>
            </w:tcBorders>
          </w:tcPr>
          <w:p>
            <w:pPr>
              <w:pStyle w:val="TableParagraph"/>
              <w:spacing w:line="205" w:lineRule="exact"/>
              <w:ind w:right="395"/>
              <w:jc w:val="right"/>
              <w:rPr>
                <w:rFonts w:ascii="宋体" w:hAnsi="宋体" w:cs="宋体" w:eastAsia="宋体" w:hint="default"/>
                <w:sz w:val="16"/>
                <w:szCs w:val="16"/>
              </w:rPr>
            </w:pPr>
            <w:r>
              <w:rPr>
                <w:rFonts w:ascii="宋体"/>
                <w:sz w:val="16"/>
              </w:rPr>
              <w:t>138,596</w:t>
            </w:r>
          </w:p>
        </w:tc>
        <w:tc>
          <w:tcPr>
            <w:tcW w:w="1097" w:type="dxa"/>
            <w:tcBorders>
              <w:top w:val="nil" w:sz="6" w:space="0" w:color="auto"/>
              <w:left w:val="nil" w:sz="6" w:space="0" w:color="auto"/>
              <w:bottom w:val="nil" w:sz="6" w:space="0" w:color="auto"/>
              <w:right w:val="nil" w:sz="6" w:space="0" w:color="auto"/>
            </w:tcBorders>
          </w:tcPr>
          <w:p>
            <w:pPr>
              <w:pStyle w:val="TableParagraph"/>
              <w:spacing w:line="205" w:lineRule="exact"/>
              <w:ind w:right="80"/>
              <w:jc w:val="right"/>
              <w:rPr>
                <w:rFonts w:ascii="宋体" w:hAnsi="宋体" w:cs="宋体" w:eastAsia="宋体" w:hint="default"/>
                <w:sz w:val="16"/>
                <w:szCs w:val="16"/>
              </w:rPr>
            </w:pPr>
            <w:r>
              <w:rPr>
                <w:rFonts w:ascii="宋体"/>
                <w:w w:val="131"/>
                <w:sz w:val="16"/>
              </w:rPr>
              <w:t>-</w:t>
            </w:r>
            <w:r>
              <w:rPr>
                <w:rFonts w:ascii="宋体"/>
                <w:sz w:val="16"/>
              </w:rPr>
            </w:r>
          </w:p>
        </w:tc>
        <w:tc>
          <w:tcPr>
            <w:tcW w:w="1783" w:type="dxa"/>
            <w:tcBorders>
              <w:top w:val="nil" w:sz="6" w:space="0" w:color="auto"/>
              <w:left w:val="nil" w:sz="6" w:space="0" w:color="auto"/>
              <w:bottom w:val="nil" w:sz="6" w:space="0" w:color="auto"/>
              <w:right w:val="nil" w:sz="6" w:space="0" w:color="auto"/>
            </w:tcBorders>
          </w:tcPr>
          <w:p>
            <w:pPr>
              <w:pStyle w:val="TableParagraph"/>
              <w:spacing w:line="205" w:lineRule="exact"/>
              <w:ind w:right="451"/>
              <w:jc w:val="right"/>
              <w:rPr>
                <w:rFonts w:ascii="宋体" w:hAnsi="宋体" w:cs="宋体" w:eastAsia="宋体" w:hint="default"/>
                <w:sz w:val="16"/>
                <w:szCs w:val="16"/>
              </w:rPr>
            </w:pPr>
            <w:r>
              <w:rPr>
                <w:rFonts w:ascii="宋体"/>
                <w:w w:val="131"/>
                <w:sz w:val="16"/>
              </w:rPr>
              <w:t>-</w:t>
            </w:r>
            <w:r>
              <w:rPr>
                <w:rFonts w:ascii="宋体"/>
                <w:sz w:val="16"/>
              </w:rPr>
            </w:r>
          </w:p>
        </w:tc>
        <w:tc>
          <w:tcPr>
            <w:tcW w:w="1377" w:type="dxa"/>
            <w:tcBorders>
              <w:top w:val="nil" w:sz="6" w:space="0" w:color="auto"/>
              <w:left w:val="nil" w:sz="6" w:space="0" w:color="auto"/>
              <w:bottom w:val="nil" w:sz="6" w:space="0" w:color="auto"/>
              <w:right w:val="nil" w:sz="6" w:space="0" w:color="auto"/>
            </w:tcBorders>
          </w:tcPr>
          <w:p>
            <w:pPr>
              <w:pStyle w:val="TableParagraph"/>
              <w:spacing w:line="205" w:lineRule="exact"/>
              <w:ind w:right="415"/>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138,596</w:t>
            </w:r>
          </w:p>
        </w:tc>
      </w:tr>
      <w:tr>
        <w:trPr>
          <w:trHeight w:val="340" w:hRule="exact"/>
        </w:trPr>
        <w:tc>
          <w:tcPr>
            <w:tcW w:w="2222" w:type="dxa"/>
            <w:tcBorders>
              <w:top w:val="nil" w:sz="6" w:space="0" w:color="auto"/>
              <w:left w:val="nil" w:sz="6" w:space="0" w:color="auto"/>
              <w:bottom w:val="nil" w:sz="6" w:space="0" w:color="auto"/>
              <w:right w:val="nil" w:sz="6" w:space="0" w:color="auto"/>
            </w:tcBorders>
          </w:tcPr>
          <w:p>
            <w:pPr>
              <w:pStyle w:val="TableParagraph"/>
              <w:spacing w:line="205" w:lineRule="exact"/>
              <w:ind w:left="112"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1696" w:type="dxa"/>
            <w:tcBorders>
              <w:top w:val="nil" w:sz="6" w:space="0" w:color="auto"/>
              <w:left w:val="nil" w:sz="6" w:space="0" w:color="auto"/>
              <w:bottom w:val="nil" w:sz="6" w:space="0" w:color="auto"/>
              <w:right w:val="nil" w:sz="6" w:space="0" w:color="auto"/>
            </w:tcBorders>
          </w:tcPr>
          <w:p>
            <w:pPr>
              <w:pStyle w:val="TableParagraph"/>
              <w:spacing w:line="205" w:lineRule="exact"/>
              <w:ind w:right="395"/>
              <w:jc w:val="right"/>
              <w:rPr>
                <w:rFonts w:ascii="宋体" w:hAnsi="宋体" w:cs="宋体" w:eastAsia="宋体" w:hint="default"/>
                <w:sz w:val="16"/>
                <w:szCs w:val="16"/>
              </w:rPr>
            </w:pPr>
            <w:r>
              <w:rPr>
                <w:rFonts w:ascii="宋体"/>
                <w:sz w:val="16"/>
              </w:rPr>
              <w:t>27,766</w:t>
            </w:r>
          </w:p>
        </w:tc>
        <w:tc>
          <w:tcPr>
            <w:tcW w:w="1097" w:type="dxa"/>
            <w:tcBorders>
              <w:top w:val="nil" w:sz="6" w:space="0" w:color="auto"/>
              <w:left w:val="nil" w:sz="6" w:space="0" w:color="auto"/>
              <w:bottom w:val="nil" w:sz="6" w:space="0" w:color="auto"/>
              <w:right w:val="nil" w:sz="6" w:space="0" w:color="auto"/>
            </w:tcBorders>
          </w:tcPr>
          <w:p>
            <w:pPr>
              <w:pStyle w:val="TableParagraph"/>
              <w:spacing w:line="205" w:lineRule="exact"/>
              <w:ind w:right="80"/>
              <w:jc w:val="right"/>
              <w:rPr>
                <w:rFonts w:ascii="宋体" w:hAnsi="宋体" w:cs="宋体" w:eastAsia="宋体" w:hint="default"/>
                <w:sz w:val="16"/>
                <w:szCs w:val="16"/>
              </w:rPr>
            </w:pPr>
            <w:r>
              <w:rPr>
                <w:rFonts w:ascii="宋体"/>
                <w:w w:val="131"/>
                <w:sz w:val="16"/>
              </w:rPr>
              <w:t>-</w:t>
            </w:r>
            <w:r>
              <w:rPr>
                <w:rFonts w:ascii="宋体"/>
                <w:sz w:val="16"/>
              </w:rPr>
            </w:r>
          </w:p>
        </w:tc>
        <w:tc>
          <w:tcPr>
            <w:tcW w:w="1783" w:type="dxa"/>
            <w:tcBorders>
              <w:top w:val="nil" w:sz="6" w:space="0" w:color="auto"/>
              <w:left w:val="nil" w:sz="6" w:space="0" w:color="auto"/>
              <w:bottom w:val="nil" w:sz="6" w:space="0" w:color="auto"/>
              <w:right w:val="nil" w:sz="6" w:space="0" w:color="auto"/>
            </w:tcBorders>
          </w:tcPr>
          <w:p>
            <w:pPr>
              <w:pStyle w:val="TableParagraph"/>
              <w:spacing w:line="205" w:lineRule="exact"/>
              <w:ind w:right="451"/>
              <w:jc w:val="right"/>
              <w:rPr>
                <w:rFonts w:ascii="宋体" w:hAnsi="宋体" w:cs="宋体" w:eastAsia="宋体" w:hint="default"/>
                <w:sz w:val="16"/>
                <w:szCs w:val="16"/>
              </w:rPr>
            </w:pPr>
            <w:r>
              <w:rPr>
                <w:rFonts w:ascii="宋体"/>
                <w:w w:val="131"/>
                <w:sz w:val="16"/>
              </w:rPr>
              <w:t>-</w:t>
            </w:r>
            <w:r>
              <w:rPr>
                <w:rFonts w:ascii="宋体"/>
                <w:sz w:val="16"/>
              </w:rPr>
            </w:r>
          </w:p>
        </w:tc>
        <w:tc>
          <w:tcPr>
            <w:tcW w:w="1377" w:type="dxa"/>
            <w:tcBorders>
              <w:top w:val="nil" w:sz="6" w:space="0" w:color="auto"/>
              <w:left w:val="nil" w:sz="6" w:space="0" w:color="auto"/>
              <w:bottom w:val="nil" w:sz="6" w:space="0" w:color="auto"/>
              <w:right w:val="nil" w:sz="6" w:space="0" w:color="auto"/>
            </w:tcBorders>
          </w:tcPr>
          <w:p>
            <w:pPr>
              <w:pStyle w:val="TableParagraph"/>
              <w:spacing w:line="205" w:lineRule="exact"/>
              <w:ind w:right="416"/>
              <w:jc w:val="right"/>
              <w:rPr>
                <w:rFonts w:ascii="宋体" w:hAnsi="宋体" w:cs="宋体" w:eastAsia="宋体" w:hint="default"/>
                <w:sz w:val="16"/>
                <w:szCs w:val="16"/>
              </w:rPr>
            </w:pPr>
            <w:r>
              <w:rPr>
                <w:rFonts w:ascii="宋体"/>
                <w:w w:val="131"/>
                <w:sz w:val="16"/>
              </w:rPr>
              <w:t>-</w:t>
            </w:r>
            <w:r>
              <w:rPr>
                <w:rFonts w:ascii="宋体"/>
                <w:sz w:val="16"/>
              </w:rPr>
            </w:r>
          </w:p>
        </w:tc>
        <w:tc>
          <w:tcPr>
            <w:tcW w:w="1108"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27,766</w:t>
            </w:r>
          </w:p>
        </w:tc>
      </w:tr>
      <w:tr>
        <w:trPr>
          <w:trHeight w:val="405" w:hRule="exact"/>
        </w:trPr>
        <w:tc>
          <w:tcPr>
            <w:tcW w:w="2222" w:type="dxa"/>
            <w:tcBorders>
              <w:top w:val="nil" w:sz="6" w:space="0" w:color="auto"/>
              <w:left w:val="nil" w:sz="6" w:space="0" w:color="auto"/>
              <w:bottom w:val="single" w:sz="16" w:space="0" w:color="9F8958"/>
              <w:right w:val="nil" w:sz="6" w:space="0" w:color="auto"/>
            </w:tcBorders>
          </w:tcPr>
          <w:p>
            <w:pPr/>
          </w:p>
        </w:tc>
        <w:tc>
          <w:tcPr>
            <w:tcW w:w="1696"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395"/>
              <w:jc w:val="right"/>
              <w:rPr>
                <w:rFonts w:ascii="宋体" w:hAnsi="宋体" w:cs="宋体" w:eastAsia="宋体" w:hint="default"/>
                <w:sz w:val="16"/>
                <w:szCs w:val="16"/>
              </w:rPr>
            </w:pPr>
            <w:r>
              <w:rPr>
                <w:rFonts w:ascii="宋体"/>
                <w:sz w:val="16"/>
              </w:rPr>
              <w:t>195,373</w:t>
            </w:r>
          </w:p>
        </w:tc>
        <w:tc>
          <w:tcPr>
            <w:tcW w:w="1097"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80"/>
              <w:jc w:val="right"/>
              <w:rPr>
                <w:rFonts w:ascii="宋体" w:hAnsi="宋体" w:cs="宋体" w:eastAsia="宋体" w:hint="default"/>
                <w:sz w:val="16"/>
                <w:szCs w:val="16"/>
              </w:rPr>
            </w:pPr>
            <w:r>
              <w:rPr>
                <w:rFonts w:ascii="宋体"/>
                <w:sz w:val="16"/>
              </w:rPr>
              <w:t>18,019</w:t>
            </w:r>
          </w:p>
        </w:tc>
        <w:tc>
          <w:tcPr>
            <w:tcW w:w="178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451"/>
              <w:jc w:val="right"/>
              <w:rPr>
                <w:rFonts w:ascii="宋体" w:hAnsi="宋体" w:cs="宋体" w:eastAsia="宋体" w:hint="default"/>
                <w:sz w:val="16"/>
                <w:szCs w:val="16"/>
              </w:rPr>
            </w:pPr>
            <w:r>
              <w:rPr>
                <w:rFonts w:ascii="宋体"/>
                <w:w w:val="95"/>
                <w:sz w:val="16"/>
              </w:rPr>
              <w:t>2,426</w:t>
            </w:r>
            <w:r>
              <w:rPr>
                <w:rFonts w:ascii="宋体"/>
                <w:sz w:val="16"/>
              </w:rPr>
            </w:r>
          </w:p>
        </w:tc>
        <w:tc>
          <w:tcPr>
            <w:tcW w:w="1377"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415"/>
              <w:jc w:val="right"/>
              <w:rPr>
                <w:rFonts w:ascii="宋体" w:hAnsi="宋体" w:cs="宋体" w:eastAsia="宋体" w:hint="default"/>
                <w:sz w:val="16"/>
                <w:szCs w:val="16"/>
              </w:rPr>
            </w:pPr>
            <w:r>
              <w:rPr>
                <w:rFonts w:ascii="宋体"/>
                <w:w w:val="95"/>
                <w:sz w:val="16"/>
              </w:rPr>
              <w:t>2,614</w:t>
            </w:r>
            <w:r>
              <w:rPr>
                <w:rFonts w:ascii="宋体"/>
                <w:sz w:val="16"/>
              </w:rPr>
            </w:r>
          </w:p>
        </w:tc>
        <w:tc>
          <w:tcPr>
            <w:tcW w:w="1108"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sz w:val="16"/>
              </w:rPr>
              <w:t>218,432</w:t>
            </w:r>
          </w:p>
        </w:tc>
      </w:tr>
    </w:tbl>
    <w:p>
      <w:pPr>
        <w:spacing w:after="0" w:line="240" w:lineRule="auto"/>
        <w:jc w:val="right"/>
        <w:rPr>
          <w:rFonts w:ascii="宋体" w:hAnsi="宋体" w:cs="宋体" w:eastAsia="宋体" w:hint="default"/>
          <w:sz w:val="16"/>
          <w:szCs w:val="16"/>
        </w:rPr>
        <w:sectPr>
          <w:footerReference w:type="default" r:id="rId345"/>
          <w:footerReference w:type="even" r:id="rId346"/>
          <w:pgSz w:w="11910" w:h="16160"/>
          <w:pgMar w:footer="298" w:header="2796" w:top="3440" w:bottom="480" w:left="1360" w:right="660"/>
          <w:pgNumType w:start="193"/>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八、金融工具及其风险（续）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480" w:lineRule="auto"/>
        <w:ind w:left="453" w:right="7272" w:hanging="341"/>
        <w:jc w:val="left"/>
      </w:pPr>
      <w:r>
        <w:rPr/>
        <w:t>2、</w:t>
      </w:r>
      <w:r>
        <w:rPr>
          <w:spacing w:val="-30"/>
        </w:rPr>
        <w:t> </w:t>
      </w:r>
      <w:r>
        <w:rPr/>
        <w:t>资本风险管理</w:t>
      </w:r>
      <w:r>
        <w:rPr>
          <w:spacing w:val="-81"/>
        </w:rPr>
        <w:t> </w:t>
      </w:r>
      <w:r>
        <w:rPr>
          <w:spacing w:val="-81"/>
        </w:rPr>
      </w:r>
      <w:r>
        <w:rPr/>
        <w:t>本集团资本管理的目标为：</w:t>
      </w:r>
    </w:p>
    <w:p>
      <w:pPr>
        <w:pStyle w:val="BodyText"/>
        <w:spacing w:line="240" w:lineRule="auto" w:before="34"/>
        <w:ind w:left="724" w:right="0"/>
        <w:jc w:val="left"/>
      </w:pPr>
      <w:r>
        <w:rPr/>
        <w:pict>
          <v:group style="position:absolute;margin-left:61.6847pt;margin-top:7.156621pt;width:3.55pt;height:3.55pt;mso-position-horizontal-relative:page;mso-position-vertical-relative:paragraph;z-index:10912" coordorigin="1234,143" coordsize="71,71">
            <v:shape style="position:absolute;left:1234;top:143;width:71;height:71" coordorigin="1234,143" coordsize="71,71" path="m1269,143l1255,146,1244,154,1236,165,1234,179,1236,192,1244,204,1255,211,1269,214,1283,211,1294,204,1302,192,1305,179,1302,165,1294,154,1283,146,1269,143xe" filled="true" fillcolor="#000000" stroked="false">
              <v:path arrowok="t"/>
              <v:fill type="solid"/>
            </v:shape>
            <w10:wrap type="none"/>
          </v:group>
        </w:pict>
      </w:r>
      <w:r>
        <w:rPr/>
        <w:t>保障本集团的持续经营能力，从而持续地为股东提供回报及使其它利益相关者受益。</w:t>
      </w:r>
    </w:p>
    <w:p>
      <w:pPr>
        <w:spacing w:line="240" w:lineRule="auto" w:before="0"/>
        <w:rPr>
          <w:rFonts w:ascii="宋体" w:hAnsi="宋体" w:cs="宋体" w:eastAsia="宋体" w:hint="default"/>
          <w:sz w:val="14"/>
          <w:szCs w:val="14"/>
        </w:rPr>
      </w:pPr>
    </w:p>
    <w:p>
      <w:pPr>
        <w:pStyle w:val="BodyText"/>
        <w:spacing w:line="240" w:lineRule="auto" w:before="31"/>
        <w:ind w:left="724" w:right="0"/>
        <w:jc w:val="left"/>
      </w:pPr>
      <w:r>
        <w:rPr/>
        <w:pict>
          <v:group style="position:absolute;margin-left:61.6847pt;margin-top:7.006615pt;width:3.55pt;height:3.55pt;mso-position-horizontal-relative:page;mso-position-vertical-relative:paragraph;z-index:10936" coordorigin="1234,140" coordsize="71,71">
            <v:shape style="position:absolute;left:1234;top:140;width:71;height:71" coordorigin="1234,140" coordsize="71,71" path="m1269,140l1255,143,1244,151,1236,162,1234,176,1236,189,1244,201,1255,208,1269,211,1283,208,1294,201,1302,189,1305,176,1302,162,1294,151,1283,143,1269,140xe" filled="true" fillcolor="#000000" stroked="false">
              <v:path arrowok="t"/>
              <v:fill type="solid"/>
            </v:shape>
            <w10:wrap type="none"/>
          </v:group>
        </w:pict>
      </w:r>
      <w:r>
        <w:rPr/>
        <w:t>保持本集团的稳定及增长。</w:t>
      </w:r>
    </w:p>
    <w:p>
      <w:pPr>
        <w:spacing w:line="240" w:lineRule="auto" w:before="0"/>
        <w:rPr>
          <w:rFonts w:ascii="宋体" w:hAnsi="宋体" w:cs="宋体" w:eastAsia="宋体" w:hint="default"/>
          <w:sz w:val="14"/>
          <w:szCs w:val="14"/>
        </w:rPr>
      </w:pPr>
    </w:p>
    <w:p>
      <w:pPr>
        <w:pStyle w:val="BodyText"/>
        <w:spacing w:line="240" w:lineRule="auto" w:before="31"/>
        <w:ind w:left="724" w:right="0"/>
        <w:jc w:val="left"/>
      </w:pPr>
      <w:r>
        <w:rPr/>
        <w:pict>
          <v:group style="position:absolute;margin-left:61.6847pt;margin-top:7.006609pt;width:3.55pt;height:3.55pt;mso-position-horizontal-relative:page;mso-position-vertical-relative:paragraph;z-index:-958960" coordorigin="1234,140" coordsize="71,71">
            <v:shape style="position:absolute;left:1234;top:140;width:71;height:71" coordorigin="1234,140" coordsize="71,71" path="m1269,140l1255,143,1244,151,1236,162,1234,176,1236,189,1244,201,1255,208,1269,211,1283,208,1294,201,1302,189,1305,176,1302,162,1294,151,1283,143,1269,140xe" filled="true" fillcolor="#000000" stroked="false">
              <v:path arrowok="t"/>
              <v:fill type="solid"/>
            </v:shape>
            <w10:wrap type="none"/>
          </v:group>
        </w:pict>
      </w:r>
      <w:r>
        <w:rPr/>
        <w:t>提供资本，以强化本集团的风险管理能力。</w:t>
      </w:r>
    </w:p>
    <w:p>
      <w:pPr>
        <w:spacing w:line="240" w:lineRule="auto" w:before="5"/>
        <w:rPr>
          <w:rFonts w:ascii="宋体" w:hAnsi="宋体" w:cs="宋体" w:eastAsia="宋体" w:hint="default"/>
          <w:sz w:val="16"/>
          <w:szCs w:val="16"/>
        </w:rPr>
      </w:pPr>
    </w:p>
    <w:p>
      <w:pPr>
        <w:pStyle w:val="BodyText"/>
        <w:spacing w:line="285" w:lineRule="auto"/>
        <w:ind w:left="453" w:right="146"/>
        <w:jc w:val="both"/>
      </w:pPr>
      <w:r>
        <w:rPr/>
        <w:t>为了保持及调整资本结构，本集团积极定期复核及管理自身的资本结构，力求达到最理想的资本结构及股东回报。本</w:t>
      </w:r>
      <w:r>
        <w:rPr>
          <w:spacing w:val="5"/>
        </w:rPr>
        <w:t> </w:t>
      </w:r>
      <w:r>
        <w:rPr>
          <w:spacing w:val="5"/>
        </w:rPr>
      </w:r>
      <w:r>
        <w:rPr/>
        <w:t>集团考虑的因素包括：本集团未来的资本需求、资本效率、现时的及预期的盈利能力、预期的经营现金流、预期资本</w:t>
      </w:r>
      <w:r>
        <w:rPr>
          <w:spacing w:val="1"/>
        </w:rPr>
        <w:t> </w:t>
      </w:r>
      <w:r>
        <w:rPr>
          <w:spacing w:val="1"/>
        </w:rPr>
      </w:r>
      <w:r>
        <w:rPr/>
        <w:t>开支及预期的战略投资机会。</w:t>
      </w:r>
    </w:p>
    <w:p>
      <w:pPr>
        <w:spacing w:line="240" w:lineRule="auto" w:before="10"/>
        <w:rPr>
          <w:rFonts w:ascii="宋体" w:hAnsi="宋体" w:cs="宋体" w:eastAsia="宋体" w:hint="default"/>
          <w:sz w:val="13"/>
          <w:szCs w:val="13"/>
        </w:rPr>
      </w:pPr>
    </w:p>
    <w:p>
      <w:pPr>
        <w:pStyle w:val="BodyText"/>
        <w:spacing w:line="285" w:lineRule="auto"/>
        <w:ind w:left="453" w:right="146"/>
        <w:jc w:val="both"/>
      </w:pPr>
      <w:r>
        <w:rPr/>
        <w:t>本集团以债务资本率来检查资本状况，债务资本率为带息债务除以带息债务加总股东权益。带息债务主要包括资产负</w:t>
      </w:r>
      <w:r>
        <w:rPr>
          <w:spacing w:val="7"/>
        </w:rPr>
        <w:t> </w:t>
      </w:r>
      <w:r>
        <w:rPr>
          <w:spacing w:val="7"/>
        </w:rPr>
      </w:r>
      <w:r>
        <w:rPr/>
        <w:t>债表中的长短期银行借款、长短期债券及应付融资租赁款（包含于长期应付款中）等，未包括财务公司自联通集团及</w:t>
      </w:r>
      <w:r>
        <w:rPr>
          <w:spacing w:val="4"/>
        </w:rPr>
        <w:t> </w:t>
      </w:r>
      <w:r>
        <w:rPr>
          <w:spacing w:val="4"/>
        </w:rPr>
      </w:r>
      <w:r>
        <w:rPr/>
        <w:t>其子公司的吸收存款人民币</w:t>
      </w:r>
      <w:r>
        <w:rPr>
          <w:spacing w:val="-46"/>
        </w:rPr>
        <w:t> </w:t>
      </w:r>
      <w:r>
        <w:rPr/>
        <w:t>43.57</w:t>
      </w:r>
      <w:r>
        <w:rPr>
          <w:spacing w:val="-47"/>
        </w:rPr>
        <w:t> </w:t>
      </w:r>
      <w:r>
        <w:rPr/>
        <w:t>亿元。</w:t>
      </w:r>
    </w:p>
    <w:p>
      <w:pPr>
        <w:spacing w:line="240" w:lineRule="auto" w:before="10"/>
        <w:rPr>
          <w:rFonts w:ascii="宋体" w:hAnsi="宋体" w:cs="宋体" w:eastAsia="宋体" w:hint="default"/>
          <w:sz w:val="13"/>
          <w:szCs w:val="13"/>
        </w:rPr>
      </w:pPr>
    </w:p>
    <w:p>
      <w:pPr>
        <w:pStyle w:val="BodyText"/>
        <w:spacing w:line="240" w:lineRule="auto"/>
        <w:ind w:left="453" w:right="0"/>
        <w:jc w:val="both"/>
      </w:pPr>
      <w:r>
        <w:rPr>
          <w:w w:val="105"/>
        </w:rPr>
        <w:t>于</w:t>
      </w:r>
      <w:r>
        <w:rPr>
          <w:spacing w:val="-59"/>
          <w:w w:val="105"/>
        </w:rPr>
        <w:t> </w:t>
      </w:r>
      <w:r>
        <w:rPr>
          <w:w w:val="105"/>
        </w:rPr>
        <w:t>2018</w:t>
      </w:r>
      <w:r>
        <w:rPr>
          <w:spacing w:val="-59"/>
          <w:w w:val="105"/>
        </w:rPr>
        <w:t> </w:t>
      </w:r>
      <w:r>
        <w:rPr>
          <w:w w:val="105"/>
        </w:rPr>
        <w:t>年</w:t>
      </w:r>
      <w:r>
        <w:rPr>
          <w:spacing w:val="-59"/>
          <w:w w:val="105"/>
        </w:rPr>
        <w:t> </w:t>
      </w:r>
      <w:r>
        <w:rPr>
          <w:w w:val="105"/>
        </w:rPr>
        <w:t>12</w:t>
      </w:r>
      <w:r>
        <w:rPr>
          <w:spacing w:val="-59"/>
          <w:w w:val="105"/>
        </w:rPr>
        <w:t> </w:t>
      </w:r>
      <w:r>
        <w:rPr>
          <w:w w:val="105"/>
        </w:rPr>
        <w:t>月</w:t>
      </w:r>
      <w:r>
        <w:rPr>
          <w:spacing w:val="-59"/>
          <w:w w:val="105"/>
        </w:rPr>
        <w:t> </w:t>
      </w:r>
      <w:r>
        <w:rPr>
          <w:w w:val="105"/>
        </w:rPr>
        <w:t>31</w:t>
      </w:r>
      <w:r>
        <w:rPr>
          <w:spacing w:val="-59"/>
          <w:w w:val="105"/>
        </w:rPr>
        <w:t> </w:t>
      </w:r>
      <w:r>
        <w:rPr>
          <w:w w:val="105"/>
        </w:rPr>
        <w:t>日及</w:t>
      </w:r>
      <w:r>
        <w:rPr>
          <w:spacing w:val="-59"/>
          <w:w w:val="105"/>
        </w:rPr>
        <w:t> </w:t>
      </w:r>
      <w:r>
        <w:rPr>
          <w:w w:val="105"/>
        </w:rPr>
        <w:t>2017</w:t>
      </w:r>
      <w:r>
        <w:rPr>
          <w:spacing w:val="-59"/>
          <w:w w:val="105"/>
        </w:rPr>
        <w:t> </w:t>
      </w:r>
      <w:r>
        <w:rPr>
          <w:w w:val="105"/>
        </w:rPr>
        <w:t>年</w:t>
      </w:r>
      <w:r>
        <w:rPr>
          <w:spacing w:val="-59"/>
          <w:w w:val="105"/>
        </w:rPr>
        <w:t> </w:t>
      </w:r>
      <w:r>
        <w:rPr>
          <w:w w:val="105"/>
        </w:rPr>
        <w:t>12</w:t>
      </w:r>
      <w:r>
        <w:rPr>
          <w:spacing w:val="-59"/>
          <w:w w:val="105"/>
        </w:rPr>
        <w:t> </w:t>
      </w:r>
      <w:r>
        <w:rPr>
          <w:w w:val="105"/>
        </w:rPr>
        <w:t>月</w:t>
      </w:r>
      <w:r>
        <w:rPr>
          <w:spacing w:val="-59"/>
          <w:w w:val="105"/>
        </w:rPr>
        <w:t> </w:t>
      </w:r>
      <w:r>
        <w:rPr>
          <w:w w:val="105"/>
        </w:rPr>
        <w:t>31</w:t>
      </w:r>
      <w:r>
        <w:rPr>
          <w:spacing w:val="-59"/>
          <w:w w:val="105"/>
        </w:rPr>
        <w:t> </w:t>
      </w:r>
      <w:r>
        <w:rPr>
          <w:w w:val="105"/>
        </w:rPr>
        <w:t>日，本集团的债务资本率如下：</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13" w:right="0"/>
              <w:jc w:val="left"/>
              <w:rPr>
                <w:rFonts w:ascii="宋体" w:hAnsi="宋体" w:cs="宋体" w:eastAsia="宋体" w:hint="default"/>
                <w:sz w:val="16"/>
                <w:szCs w:val="16"/>
              </w:rPr>
            </w:pPr>
            <w:r>
              <w:rPr>
                <w:rFonts w:ascii="宋体" w:hAnsi="宋体" w:cs="宋体" w:eastAsia="宋体" w:hint="default"/>
                <w:sz w:val="16"/>
                <w:szCs w:val="16"/>
              </w:rPr>
              <w:t>（单位：人民币百万元）</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带息债务：</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
        </w:tc>
        <w:tc>
          <w:tcPr>
            <w:tcW w:w="2602" w:type="dxa"/>
            <w:tcBorders>
              <w:top w:val="single" w:sz="16" w:space="0" w:color="9F8958"/>
              <w:left w:val="nil" w:sz="6" w:space="0" w:color="auto"/>
              <w:bottom w:val="nil" w:sz="6" w:space="0" w:color="auto"/>
              <w:right w:val="nil" w:sz="6" w:space="0" w:color="auto"/>
            </w:tcBorders>
          </w:tcPr>
          <w:p>
            <w:pP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15,133</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24,319</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一年内到期的长期借款</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441</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410</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一年内到期的应付债券</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16,994</w:t>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17,960</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一年内到期的应付融资租赁款</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234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461</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其他流动负债</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8,991</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3,173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3,473</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999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17,981</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应付融资租赁款</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1"/>
                <w:sz w:val="16"/>
              </w:rPr>
              <w:t>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231</w:t>
            </w:r>
            <w:r>
              <w:rPr>
                <w:rFonts w:ascii="宋体"/>
                <w:sz w:val="16"/>
              </w:rPr>
            </w:r>
          </w:p>
        </w:tc>
      </w:tr>
      <w:tr>
        <w:trPr>
          <w:trHeight w:val="330" w:hRule="exact"/>
        </w:trPr>
        <w:tc>
          <w:tcPr>
            <w:tcW w:w="4093" w:type="dxa"/>
            <w:tcBorders>
              <w:top w:val="nil" w:sz="6" w:space="0" w:color="auto"/>
              <w:left w:val="nil" w:sz="6" w:space="0" w:color="auto"/>
              <w:bottom w:val="single" w:sz="6" w:space="0" w:color="000000"/>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带息债务合计</w:t>
            </w:r>
          </w:p>
        </w:tc>
        <w:tc>
          <w:tcPr>
            <w:tcW w:w="2602"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36,980</w:t>
            </w:r>
          </w:p>
        </w:tc>
        <w:tc>
          <w:tcPr>
            <w:tcW w:w="2602" w:type="dxa"/>
            <w:tcBorders>
              <w:top w:val="nil" w:sz="6" w:space="0" w:color="auto"/>
              <w:left w:val="nil" w:sz="6" w:space="0" w:color="auto"/>
              <w:bottom w:val="single" w:sz="6" w:space="0" w:color="000000"/>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73,826</w:t>
            </w:r>
          </w:p>
        </w:tc>
      </w:tr>
      <w:tr>
        <w:trPr>
          <w:trHeight w:val="407"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股东权益：</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316,940</w:t>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307,018</w:t>
            </w:r>
          </w:p>
        </w:tc>
      </w:tr>
      <w:tr>
        <w:trPr>
          <w:trHeight w:val="407" w:hRule="exact"/>
        </w:trPr>
        <w:tc>
          <w:tcPr>
            <w:tcW w:w="4093"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带息债务加股东权益合计</w:t>
            </w:r>
          </w:p>
        </w:tc>
        <w:tc>
          <w:tcPr>
            <w:tcW w:w="2602" w:type="dxa"/>
            <w:tcBorders>
              <w:top w:val="single" w:sz="6" w:space="0" w:color="000000"/>
              <w:left w:val="nil" w:sz="6" w:space="0" w:color="auto"/>
              <w:bottom w:val="single" w:sz="6" w:space="0" w:color="000000"/>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353,920</w:t>
            </w:r>
          </w:p>
        </w:tc>
        <w:tc>
          <w:tcPr>
            <w:tcW w:w="2602" w:type="dxa"/>
            <w:tcBorders>
              <w:top w:val="single" w:sz="6" w:space="0" w:color="000000"/>
              <w:left w:val="nil" w:sz="6" w:space="0" w:color="auto"/>
              <w:bottom w:val="single" w:sz="6" w:space="0" w:color="000000"/>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380,844</w:t>
            </w:r>
          </w:p>
        </w:tc>
      </w:tr>
      <w:tr>
        <w:trPr>
          <w:trHeight w:val="414" w:hRule="exact"/>
        </w:trPr>
        <w:tc>
          <w:tcPr>
            <w:tcW w:w="4093"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债务资本率</w:t>
            </w:r>
          </w:p>
        </w:tc>
        <w:tc>
          <w:tcPr>
            <w:tcW w:w="2602"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115"/>
                <w:sz w:val="16"/>
              </w:rPr>
              <w:t>10.45%</w:t>
            </w:r>
            <w:r>
              <w:rPr>
                <w:rFonts w:ascii="宋体"/>
                <w:sz w:val="16"/>
              </w:rPr>
            </w:r>
          </w:p>
        </w:tc>
        <w:tc>
          <w:tcPr>
            <w:tcW w:w="2602"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15"/>
                <w:sz w:val="16"/>
              </w:rPr>
              <w:t>19.38%</w:t>
            </w:r>
            <w:r>
              <w:rPr>
                <w:rFonts w:ascii="宋体"/>
                <w:sz w:val="16"/>
              </w:rPr>
            </w:r>
          </w:p>
        </w:tc>
      </w:tr>
    </w:tbl>
    <w:p>
      <w:pPr>
        <w:spacing w:after="0" w:line="240" w:lineRule="auto"/>
        <w:jc w:val="right"/>
        <w:rPr>
          <w:rFonts w:ascii="宋体" w:hAnsi="宋体" w:cs="宋体" w:eastAsia="宋体" w:hint="default"/>
          <w:sz w:val="16"/>
          <w:szCs w:val="16"/>
        </w:rPr>
        <w:sectPr>
          <w:pgSz w:w="11910" w:h="16160"/>
          <w:pgMar w:header="1200" w:footer="320" w:top="2120" w:bottom="520" w:left="6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463" w:lineRule="auto" w:before="26"/>
        <w:ind w:right="2091" w:hanging="341"/>
        <w:jc w:val="left"/>
      </w:pPr>
      <w:r>
        <w:rPr>
          <w:rFonts w:ascii="宋体" w:hAnsi="宋体" w:cs="宋体" w:eastAsia="宋体" w:hint="default"/>
          <w:color w:val="9F8958"/>
        </w:rPr>
        <w:t>九、公允价值的披露 </w:t>
      </w:r>
      <w:r>
        <w:rPr/>
        <w:t>根据在公允价值计量中对计量整体具有重大意义的最低层次的输入值，公允价值层次可分为： 第一层次：在计量日能够取得的相同资产或负债在活跃市场上未经调整的报价。 第二层次：除第一层次输入值外相关资产或负债直接或间接可观察的输入值。 第三层次：相关资产或负债的不可观察输入值。</w:t>
      </w:r>
    </w:p>
    <w:p>
      <w:pPr>
        <w:pStyle w:val="BodyText"/>
        <w:spacing w:line="240" w:lineRule="auto" w:before="47"/>
        <w:ind w:left="114" w:right="87"/>
        <w:jc w:val="left"/>
      </w:pPr>
      <w:r>
        <w:rPr/>
        <w:t>1、</w:t>
      </w:r>
      <w:r>
        <w:rPr>
          <w:spacing w:val="-21"/>
        </w:rPr>
        <w:t> </w:t>
      </w:r>
      <w:r>
        <w:rPr/>
        <w:t>以公允价值计量的资产的年末公允价值</w:t>
      </w:r>
    </w:p>
    <w:p>
      <w:pPr>
        <w:spacing w:line="240" w:lineRule="auto" w:before="12"/>
        <w:rPr>
          <w:rFonts w:ascii="宋体" w:hAnsi="宋体" w:cs="宋体" w:eastAsia="宋体" w:hint="default"/>
          <w:sz w:val="17"/>
          <w:szCs w:val="17"/>
        </w:rPr>
      </w:pPr>
    </w:p>
    <w:p>
      <w:pPr>
        <w:pStyle w:val="BodyText"/>
        <w:spacing w:line="285" w:lineRule="auto"/>
        <w:ind w:right="90"/>
        <w:jc w:val="left"/>
      </w:pPr>
      <w:r>
        <w:rPr/>
        <w:t>在活跃市场上交易的金融工具的公允价值以资产负债表日的市场报价为基础。若报价可方便及定期的自交易所、证券</w:t>
      </w:r>
      <w:r>
        <w:rPr>
          <w:spacing w:val="7"/>
        </w:rPr>
        <w:t> </w:t>
      </w:r>
      <w:r>
        <w:rPr>
          <w:spacing w:val="7"/>
        </w:rPr>
      </w:r>
      <w:r>
        <w:rPr>
          <w:spacing w:val="-3"/>
        </w:rPr>
        <w:t>商、经纪、行业团体、报价服务者、或监管代理处获得，且该等报价代表按公平交易基准进行的实际或常规市场交易时，</w:t>
      </w:r>
      <w:r>
        <w:rPr>
          <w:spacing w:val="-86"/>
        </w:rPr>
        <w:t> </w:t>
      </w:r>
      <w:r>
        <w:rPr>
          <w:spacing w:val="-86"/>
        </w:rPr>
      </w:r>
      <w:r>
        <w:rPr/>
        <w:t>该市场被视为活跃。本集团持有的其他权益工具投资（如对西班牙电信的股票投资）的市场报价为当时公开股票交易</w:t>
      </w:r>
      <w:r>
        <w:rPr>
          <w:spacing w:val="6"/>
        </w:rPr>
        <w:t> </w:t>
      </w:r>
      <w:r>
        <w:rPr>
          <w:spacing w:val="6"/>
        </w:rPr>
      </w:r>
      <w:r>
        <w:rPr/>
        <w:t>市场上的买方报价。</w:t>
      </w:r>
    </w:p>
    <w:p>
      <w:pPr>
        <w:spacing w:line="240" w:lineRule="auto" w:before="10"/>
        <w:rPr>
          <w:rFonts w:ascii="宋体" w:hAnsi="宋体" w:cs="宋体" w:eastAsia="宋体" w:hint="default"/>
          <w:sz w:val="13"/>
          <w:szCs w:val="13"/>
        </w:rPr>
      </w:pPr>
    </w:p>
    <w:p>
      <w:pPr>
        <w:pStyle w:val="BodyText"/>
        <w:spacing w:line="240" w:lineRule="auto"/>
        <w:ind w:right="87"/>
        <w:jc w:val="left"/>
      </w:pPr>
      <w:r>
        <w:rPr/>
        <w:t>于</w:t>
      </w:r>
      <w:r>
        <w:rPr>
          <w:spacing w:val="-32"/>
        </w:rPr>
        <w:t> </w:t>
      </w:r>
      <w:r>
        <w:rPr/>
        <w:t>2018</w:t>
      </w:r>
      <w:r>
        <w:rPr>
          <w:spacing w:val="-33"/>
        </w:rPr>
        <w:t> </w:t>
      </w:r>
      <w:r>
        <w:rPr/>
        <w:t>年</w:t>
      </w:r>
      <w:r>
        <w:rPr>
          <w:spacing w:val="-32"/>
        </w:rPr>
        <w:t> </w:t>
      </w:r>
      <w:r>
        <w:rPr/>
        <w:t>12</w:t>
      </w:r>
      <w:r>
        <w:rPr>
          <w:spacing w:val="-33"/>
        </w:rPr>
        <w:t> </w:t>
      </w:r>
      <w:r>
        <w:rPr/>
        <w:t>月</w:t>
      </w:r>
      <w:r>
        <w:rPr>
          <w:spacing w:val="-32"/>
        </w:rPr>
        <w:t> </w:t>
      </w:r>
      <w:r>
        <w:rPr/>
        <w:t>31</w:t>
      </w:r>
      <w:r>
        <w:rPr>
          <w:spacing w:val="-33"/>
        </w:rPr>
        <w:t> </w:t>
      </w:r>
      <w:r>
        <w:rPr/>
        <w:t>日，以公允价值计量的金融资产按上述三个层次列示如下：</w:t>
      </w:r>
    </w:p>
    <w:p>
      <w:pPr>
        <w:spacing w:line="240" w:lineRule="auto" w:before="10"/>
        <w:rPr>
          <w:rFonts w:ascii="宋体" w:hAnsi="宋体" w:cs="宋体" w:eastAsia="宋体" w:hint="default"/>
          <w:sz w:val="14"/>
          <w:szCs w:val="14"/>
        </w:rPr>
      </w:pPr>
    </w:p>
    <w:tbl>
      <w:tblPr>
        <w:tblW w:w="0" w:type="auto"/>
        <w:jc w:val="left"/>
        <w:tblInd w:w="454" w:type="dxa"/>
        <w:tblLayout w:type="fixed"/>
        <w:tblCellMar>
          <w:top w:w="0" w:type="dxa"/>
          <w:left w:w="0" w:type="dxa"/>
          <w:bottom w:w="0" w:type="dxa"/>
          <w:right w:w="0" w:type="dxa"/>
        </w:tblCellMar>
        <w:tblLook w:val="01E0"/>
      </w:tblPr>
      <w:tblGrid>
        <w:gridCol w:w="2652"/>
        <w:gridCol w:w="1948"/>
        <w:gridCol w:w="1700"/>
        <w:gridCol w:w="1820"/>
        <w:gridCol w:w="1163"/>
      </w:tblGrid>
      <w:tr>
        <w:trPr>
          <w:trHeight w:val="384" w:hRule="exact"/>
        </w:trPr>
        <w:tc>
          <w:tcPr>
            <w:tcW w:w="2652"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left="113" w:right="0"/>
              <w:jc w:val="left"/>
              <w:rPr>
                <w:rFonts w:ascii="宋体" w:hAnsi="宋体" w:cs="宋体" w:eastAsia="宋体" w:hint="default"/>
                <w:sz w:val="16"/>
                <w:szCs w:val="16"/>
              </w:rPr>
            </w:pPr>
            <w:r>
              <w:rPr>
                <w:rFonts w:ascii="宋体" w:hAnsi="宋体" w:cs="宋体" w:eastAsia="宋体" w:hint="default"/>
                <w:sz w:val="16"/>
                <w:szCs w:val="16"/>
              </w:rPr>
              <w:t>（单位：人民币百万元）</w:t>
            </w:r>
          </w:p>
        </w:tc>
        <w:tc>
          <w:tcPr>
            <w:tcW w:w="1948"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528"/>
              <w:jc w:val="right"/>
              <w:rPr>
                <w:rFonts w:ascii="宋体" w:hAnsi="宋体" w:cs="宋体" w:eastAsia="宋体" w:hint="default"/>
                <w:sz w:val="16"/>
                <w:szCs w:val="16"/>
              </w:rPr>
            </w:pPr>
            <w:r>
              <w:rPr>
                <w:rFonts w:ascii="宋体" w:hAnsi="宋体" w:cs="宋体" w:eastAsia="宋体" w:hint="default"/>
                <w:sz w:val="16"/>
                <w:szCs w:val="16"/>
              </w:rPr>
              <w:t>第一层次</w:t>
            </w:r>
          </w:p>
        </w:tc>
        <w:tc>
          <w:tcPr>
            <w:tcW w:w="170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528"/>
              <w:jc w:val="right"/>
              <w:rPr>
                <w:rFonts w:ascii="宋体" w:hAnsi="宋体" w:cs="宋体" w:eastAsia="宋体" w:hint="default"/>
                <w:sz w:val="16"/>
                <w:szCs w:val="16"/>
              </w:rPr>
            </w:pPr>
            <w:r>
              <w:rPr>
                <w:rFonts w:ascii="宋体" w:hAnsi="宋体" w:cs="宋体" w:eastAsia="宋体" w:hint="default"/>
                <w:sz w:val="16"/>
                <w:szCs w:val="16"/>
              </w:rPr>
              <w:t>第二层次</w:t>
            </w:r>
          </w:p>
        </w:tc>
        <w:tc>
          <w:tcPr>
            <w:tcW w:w="1820"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648"/>
              <w:jc w:val="right"/>
              <w:rPr>
                <w:rFonts w:ascii="宋体" w:hAnsi="宋体" w:cs="宋体" w:eastAsia="宋体" w:hint="default"/>
                <w:sz w:val="16"/>
                <w:szCs w:val="16"/>
              </w:rPr>
            </w:pPr>
            <w:r>
              <w:rPr>
                <w:rFonts w:ascii="宋体" w:hAnsi="宋体" w:cs="宋体" w:eastAsia="宋体" w:hint="default"/>
                <w:sz w:val="16"/>
                <w:szCs w:val="16"/>
              </w:rPr>
              <w:t>第三层次</w:t>
            </w:r>
          </w:p>
        </w:tc>
        <w:tc>
          <w:tcPr>
            <w:tcW w:w="1163"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sz w:val="16"/>
                <w:szCs w:val="16"/>
              </w:rPr>
              <w:t>合计</w:t>
            </w:r>
          </w:p>
        </w:tc>
      </w:tr>
      <w:tr>
        <w:trPr>
          <w:trHeight w:val="635" w:hRule="exact"/>
        </w:trPr>
        <w:tc>
          <w:tcPr>
            <w:tcW w:w="2652" w:type="dxa"/>
            <w:tcBorders>
              <w:top w:val="single" w:sz="16" w:space="0" w:color="9F8958"/>
              <w:left w:val="nil" w:sz="6" w:space="0" w:color="auto"/>
              <w:bottom w:val="nil" w:sz="6" w:space="0" w:color="auto"/>
              <w:right w:val="nil" w:sz="6" w:space="0" w:color="auto"/>
            </w:tcBorders>
          </w:tcPr>
          <w:p>
            <w:pPr>
              <w:pStyle w:val="TableParagraph"/>
              <w:spacing w:line="314" w:lineRule="auto" w:before="64"/>
              <w:ind w:left="283" w:right="1246" w:hanging="171"/>
              <w:jc w:val="left"/>
              <w:rPr>
                <w:rFonts w:ascii="宋体" w:hAnsi="宋体" w:cs="宋体" w:eastAsia="宋体" w:hint="default"/>
                <w:sz w:val="16"/>
                <w:szCs w:val="16"/>
              </w:rPr>
            </w:pPr>
            <w:r>
              <w:rPr>
                <w:rFonts w:ascii="宋体" w:hAnsi="宋体" w:cs="宋体" w:eastAsia="宋体" w:hint="default"/>
                <w:w w:val="105"/>
                <w:sz w:val="16"/>
                <w:szCs w:val="16"/>
              </w:rPr>
              <w:t>金融资产</w:t>
            </w:r>
            <w:r>
              <w:rPr>
                <w:rFonts w:ascii="宋体" w:hAnsi="宋体" w:cs="宋体" w:eastAsia="宋体" w:hint="default"/>
                <w:spacing w:val="-45"/>
                <w:w w:val="105"/>
                <w:sz w:val="16"/>
                <w:szCs w:val="16"/>
              </w:rPr>
              <w:t> </w:t>
            </w:r>
            <w:r>
              <w:rPr>
                <w:rFonts w:ascii="宋体" w:hAnsi="宋体" w:cs="宋体" w:eastAsia="宋体" w:hint="default"/>
                <w:w w:val="105"/>
                <w:sz w:val="16"/>
                <w:szCs w:val="16"/>
              </w:rPr>
              <w:t>-</w:t>
            </w:r>
            <w:r>
              <w:rPr>
                <w:rFonts w:ascii="宋体" w:hAnsi="宋体" w:cs="宋体" w:eastAsia="宋体" w:hint="default"/>
                <w:w w:val="131"/>
                <w:sz w:val="16"/>
                <w:szCs w:val="16"/>
              </w:rPr>
              <w:t> </w:t>
            </w:r>
            <w:r>
              <w:rPr>
                <w:rFonts w:ascii="宋体" w:hAnsi="宋体" w:cs="宋体" w:eastAsia="宋体" w:hint="default"/>
                <w:sz w:val="16"/>
                <w:szCs w:val="16"/>
              </w:rPr>
              <w:t>交易性金融资产</w:t>
            </w:r>
          </w:p>
        </w:tc>
        <w:tc>
          <w:tcPr>
            <w:tcW w:w="1948"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528"/>
              <w:jc w:val="right"/>
              <w:rPr>
                <w:rFonts w:ascii="宋体" w:hAnsi="宋体" w:cs="宋体" w:eastAsia="宋体" w:hint="default"/>
                <w:sz w:val="16"/>
                <w:szCs w:val="16"/>
              </w:rPr>
            </w:pPr>
            <w:r>
              <w:rPr>
                <w:rFonts w:ascii="宋体"/>
                <w:w w:val="131"/>
                <w:sz w:val="16"/>
              </w:rPr>
              <w:t>-</w:t>
            </w:r>
            <w:r>
              <w:rPr>
                <w:rFonts w:ascii="宋体"/>
                <w:sz w:val="16"/>
              </w:rPr>
            </w:r>
          </w:p>
        </w:tc>
        <w:tc>
          <w:tcPr>
            <w:tcW w:w="1700"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529"/>
              <w:jc w:val="right"/>
              <w:rPr>
                <w:rFonts w:ascii="宋体" w:hAnsi="宋体" w:cs="宋体" w:eastAsia="宋体" w:hint="default"/>
                <w:sz w:val="16"/>
                <w:szCs w:val="16"/>
              </w:rPr>
            </w:pPr>
            <w:r>
              <w:rPr>
                <w:rFonts w:ascii="宋体"/>
                <w:w w:val="110"/>
                <w:sz w:val="16"/>
              </w:rPr>
              <w:t>570</w:t>
            </w:r>
            <w:r>
              <w:rPr>
                <w:rFonts w:ascii="宋体"/>
                <w:sz w:val="16"/>
              </w:rPr>
            </w:r>
          </w:p>
        </w:tc>
        <w:tc>
          <w:tcPr>
            <w:tcW w:w="1820"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648"/>
              <w:jc w:val="right"/>
              <w:rPr>
                <w:rFonts w:ascii="宋体" w:hAnsi="宋体" w:cs="宋体" w:eastAsia="宋体" w:hint="default"/>
                <w:sz w:val="16"/>
                <w:szCs w:val="16"/>
              </w:rPr>
            </w:pPr>
            <w:r>
              <w:rPr>
                <w:rFonts w:ascii="宋体"/>
                <w:w w:val="110"/>
                <w:sz w:val="16"/>
              </w:rPr>
              <w:t>200</w:t>
            </w:r>
            <w:r>
              <w:rPr>
                <w:rFonts w:ascii="宋体"/>
                <w:sz w:val="16"/>
              </w:rPr>
            </w:r>
          </w:p>
        </w:tc>
        <w:tc>
          <w:tcPr>
            <w:tcW w:w="1163"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w w:val="110"/>
                <w:sz w:val="16"/>
              </w:rPr>
              <w:t>770</w:t>
            </w:r>
            <w:r>
              <w:rPr>
                <w:rFonts w:ascii="宋体"/>
                <w:sz w:val="16"/>
              </w:rPr>
            </w:r>
          </w:p>
        </w:tc>
      </w:tr>
      <w:tr>
        <w:trPr>
          <w:trHeight w:val="340" w:hRule="exact"/>
        </w:trPr>
        <w:tc>
          <w:tcPr>
            <w:tcW w:w="2652"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其他权益工具投资</w:t>
            </w:r>
          </w:p>
        </w:tc>
        <w:tc>
          <w:tcPr>
            <w:tcW w:w="1948" w:type="dxa"/>
            <w:tcBorders>
              <w:top w:val="nil" w:sz="6" w:space="0" w:color="auto"/>
              <w:left w:val="nil" w:sz="6" w:space="0" w:color="auto"/>
              <w:bottom w:val="nil" w:sz="6" w:space="0" w:color="auto"/>
              <w:right w:val="nil" w:sz="6" w:space="0" w:color="auto"/>
            </w:tcBorders>
          </w:tcPr>
          <w:p>
            <w:pPr>
              <w:pStyle w:val="TableParagraph"/>
              <w:spacing w:line="205" w:lineRule="exact"/>
              <w:ind w:right="527"/>
              <w:jc w:val="right"/>
              <w:rPr>
                <w:rFonts w:ascii="宋体" w:hAnsi="宋体" w:cs="宋体" w:eastAsia="宋体" w:hint="default"/>
                <w:sz w:val="16"/>
                <w:szCs w:val="16"/>
              </w:rPr>
            </w:pPr>
            <w:r>
              <w:rPr>
                <w:rFonts w:ascii="宋体"/>
                <w:w w:val="95"/>
                <w:sz w:val="16"/>
              </w:rPr>
              <w:t>3,845</w:t>
            </w:r>
            <w:r>
              <w:rPr>
                <w:rFonts w:ascii="宋体"/>
                <w:sz w:val="16"/>
              </w:rPr>
            </w:r>
          </w:p>
        </w:tc>
        <w:tc>
          <w:tcPr>
            <w:tcW w:w="1700" w:type="dxa"/>
            <w:tcBorders>
              <w:top w:val="nil" w:sz="6" w:space="0" w:color="auto"/>
              <w:left w:val="nil" w:sz="6" w:space="0" w:color="auto"/>
              <w:bottom w:val="nil" w:sz="6" w:space="0" w:color="auto"/>
              <w:right w:val="nil" w:sz="6" w:space="0" w:color="auto"/>
            </w:tcBorders>
          </w:tcPr>
          <w:p>
            <w:pPr>
              <w:pStyle w:val="TableParagraph"/>
              <w:spacing w:line="205" w:lineRule="exact"/>
              <w:ind w:right="528"/>
              <w:jc w:val="right"/>
              <w:rPr>
                <w:rFonts w:ascii="宋体" w:hAnsi="宋体" w:cs="宋体" w:eastAsia="宋体" w:hint="default"/>
                <w:sz w:val="16"/>
                <w:szCs w:val="16"/>
              </w:rPr>
            </w:pPr>
            <w:r>
              <w:rPr>
                <w:rFonts w:ascii="宋体"/>
                <w:w w:val="131"/>
                <w:sz w:val="16"/>
              </w:rPr>
              <w:t>-</w:t>
            </w:r>
            <w:r>
              <w:rPr>
                <w:rFonts w:ascii="宋体"/>
                <w:sz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05" w:lineRule="exact"/>
              <w:ind w:right="648"/>
              <w:jc w:val="right"/>
              <w:rPr>
                <w:rFonts w:ascii="宋体" w:hAnsi="宋体" w:cs="宋体" w:eastAsia="宋体" w:hint="default"/>
                <w:sz w:val="16"/>
                <w:szCs w:val="16"/>
              </w:rPr>
            </w:pPr>
            <w:r>
              <w:rPr>
                <w:rFonts w:ascii="宋体"/>
                <w:w w:val="110"/>
                <w:sz w:val="16"/>
              </w:rPr>
              <w:t>58</w:t>
            </w:r>
            <w:r>
              <w:rPr>
                <w:rFonts w:ascii="宋体"/>
                <w:sz w:val="16"/>
              </w:rPr>
            </w:r>
          </w:p>
        </w:tc>
        <w:tc>
          <w:tcPr>
            <w:tcW w:w="1163"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3,903</w:t>
            </w:r>
            <w:r>
              <w:rPr>
                <w:rFonts w:ascii="宋体"/>
                <w:sz w:val="16"/>
              </w:rPr>
            </w:r>
          </w:p>
        </w:tc>
      </w:tr>
      <w:tr>
        <w:trPr>
          <w:trHeight w:val="405" w:hRule="exact"/>
        </w:trPr>
        <w:tc>
          <w:tcPr>
            <w:tcW w:w="265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948"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527"/>
              <w:jc w:val="right"/>
              <w:rPr>
                <w:rFonts w:ascii="宋体" w:hAnsi="宋体" w:cs="宋体" w:eastAsia="宋体" w:hint="default"/>
                <w:sz w:val="16"/>
                <w:szCs w:val="16"/>
              </w:rPr>
            </w:pPr>
            <w:r>
              <w:rPr>
                <w:rFonts w:ascii="宋体"/>
                <w:w w:val="95"/>
                <w:sz w:val="16"/>
              </w:rPr>
              <w:t>3,845</w:t>
            </w:r>
            <w:r>
              <w:rPr>
                <w:rFonts w:ascii="宋体"/>
                <w:sz w:val="16"/>
              </w:rPr>
            </w:r>
          </w:p>
        </w:tc>
        <w:tc>
          <w:tcPr>
            <w:tcW w:w="1700"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527"/>
              <w:jc w:val="right"/>
              <w:rPr>
                <w:rFonts w:ascii="宋体" w:hAnsi="宋体" w:cs="宋体" w:eastAsia="宋体" w:hint="default"/>
                <w:sz w:val="16"/>
                <w:szCs w:val="16"/>
              </w:rPr>
            </w:pPr>
            <w:r>
              <w:rPr>
                <w:rFonts w:ascii="宋体"/>
                <w:w w:val="110"/>
                <w:sz w:val="16"/>
              </w:rPr>
              <w:t>570</w:t>
            </w:r>
            <w:r>
              <w:rPr>
                <w:rFonts w:ascii="宋体"/>
                <w:sz w:val="16"/>
              </w:rPr>
            </w:r>
          </w:p>
        </w:tc>
        <w:tc>
          <w:tcPr>
            <w:tcW w:w="1820"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648"/>
              <w:jc w:val="right"/>
              <w:rPr>
                <w:rFonts w:ascii="宋体" w:hAnsi="宋体" w:cs="宋体" w:eastAsia="宋体" w:hint="default"/>
                <w:sz w:val="16"/>
                <w:szCs w:val="16"/>
              </w:rPr>
            </w:pPr>
            <w:r>
              <w:rPr>
                <w:rFonts w:ascii="宋体"/>
                <w:w w:val="110"/>
                <w:sz w:val="16"/>
              </w:rPr>
              <w:t>258</w:t>
            </w:r>
            <w:r>
              <w:rPr>
                <w:rFonts w:ascii="宋体"/>
                <w:sz w:val="16"/>
              </w:rPr>
            </w:r>
          </w:p>
        </w:tc>
        <w:tc>
          <w:tcPr>
            <w:tcW w:w="116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4,673</w:t>
            </w:r>
            <w:r>
              <w:rPr>
                <w:rFonts w:ascii="宋体"/>
                <w:sz w:val="16"/>
              </w:rPr>
            </w:r>
          </w:p>
        </w:tc>
      </w:tr>
      <w:tr>
        <w:trPr>
          <w:trHeight w:val="637" w:hRule="exact"/>
        </w:trPr>
        <w:tc>
          <w:tcPr>
            <w:tcW w:w="9283" w:type="dxa"/>
            <w:gridSpan w:val="5"/>
            <w:tcBorders>
              <w:top w:val="nil" w:sz="6" w:space="0" w:color="auto"/>
              <w:left w:val="nil" w:sz="6" w:space="0" w:color="auto"/>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32"/>
                <w:sz w:val="18"/>
                <w:szCs w:val="18"/>
              </w:rPr>
              <w:t> </w:t>
            </w:r>
            <w:r>
              <w:rPr>
                <w:rFonts w:ascii="宋体" w:hAnsi="宋体" w:cs="宋体" w:eastAsia="宋体" w:hint="default"/>
                <w:sz w:val="18"/>
                <w:szCs w:val="18"/>
              </w:rPr>
              <w:t>2017</w:t>
            </w:r>
            <w:r>
              <w:rPr>
                <w:rFonts w:ascii="宋体" w:hAnsi="宋体" w:cs="宋体" w:eastAsia="宋体" w:hint="default"/>
                <w:spacing w:val="-33"/>
                <w:sz w:val="18"/>
                <w:szCs w:val="18"/>
              </w:rPr>
              <w:t> </w:t>
            </w:r>
            <w:r>
              <w:rPr>
                <w:rFonts w:ascii="宋体" w:hAnsi="宋体" w:cs="宋体" w:eastAsia="宋体" w:hint="default"/>
                <w:sz w:val="18"/>
                <w:szCs w:val="18"/>
              </w:rPr>
              <w:t>年</w:t>
            </w:r>
            <w:r>
              <w:rPr>
                <w:rFonts w:ascii="宋体" w:hAnsi="宋体" w:cs="宋体" w:eastAsia="宋体" w:hint="default"/>
                <w:spacing w:val="-32"/>
                <w:sz w:val="18"/>
                <w:szCs w:val="18"/>
              </w:rPr>
              <w:t> </w:t>
            </w:r>
            <w:r>
              <w:rPr>
                <w:rFonts w:ascii="宋体" w:hAnsi="宋体" w:cs="宋体" w:eastAsia="宋体" w:hint="default"/>
                <w:sz w:val="18"/>
                <w:szCs w:val="18"/>
              </w:rPr>
              <w:t>12</w:t>
            </w:r>
            <w:r>
              <w:rPr>
                <w:rFonts w:ascii="宋体" w:hAnsi="宋体" w:cs="宋体" w:eastAsia="宋体" w:hint="default"/>
                <w:spacing w:val="-33"/>
                <w:sz w:val="18"/>
                <w:szCs w:val="18"/>
              </w:rPr>
              <w:t> </w:t>
            </w:r>
            <w:r>
              <w:rPr>
                <w:rFonts w:ascii="宋体" w:hAnsi="宋体" w:cs="宋体" w:eastAsia="宋体" w:hint="default"/>
                <w:sz w:val="18"/>
                <w:szCs w:val="18"/>
              </w:rPr>
              <w:t>月</w:t>
            </w:r>
            <w:r>
              <w:rPr>
                <w:rFonts w:ascii="宋体" w:hAnsi="宋体" w:cs="宋体" w:eastAsia="宋体" w:hint="default"/>
                <w:spacing w:val="-32"/>
                <w:sz w:val="18"/>
                <w:szCs w:val="18"/>
              </w:rPr>
              <w:t> </w:t>
            </w:r>
            <w:r>
              <w:rPr>
                <w:rFonts w:ascii="宋体" w:hAnsi="宋体" w:cs="宋体" w:eastAsia="宋体" w:hint="default"/>
                <w:sz w:val="18"/>
                <w:szCs w:val="18"/>
              </w:rPr>
              <w:t>31</w:t>
            </w:r>
            <w:r>
              <w:rPr>
                <w:rFonts w:ascii="宋体" w:hAnsi="宋体" w:cs="宋体" w:eastAsia="宋体" w:hint="default"/>
                <w:spacing w:val="-33"/>
                <w:sz w:val="18"/>
                <w:szCs w:val="18"/>
              </w:rPr>
              <w:t> </w:t>
            </w:r>
            <w:r>
              <w:rPr>
                <w:rFonts w:ascii="宋体" w:hAnsi="宋体" w:cs="宋体" w:eastAsia="宋体" w:hint="default"/>
                <w:sz w:val="18"/>
                <w:szCs w:val="18"/>
              </w:rPr>
              <w:t>日，以公允价值计量的金融资产按上述三个层级列示如下：</w:t>
            </w:r>
          </w:p>
        </w:tc>
      </w:tr>
      <w:tr>
        <w:trPr>
          <w:trHeight w:val="424" w:hRule="exact"/>
        </w:trPr>
        <w:tc>
          <w:tcPr>
            <w:tcW w:w="4600" w:type="dxa"/>
            <w:gridSpan w:val="2"/>
            <w:tcBorders>
              <w:top w:val="nil" w:sz="6" w:space="0" w:color="auto"/>
              <w:left w:val="nil" w:sz="6" w:space="0" w:color="auto"/>
              <w:bottom w:val="single" w:sz="16" w:space="0" w:color="9F8958"/>
              <w:right w:val="nil" w:sz="6" w:space="0" w:color="auto"/>
            </w:tcBorders>
          </w:tcPr>
          <w:p>
            <w:pPr>
              <w:pStyle w:val="TableParagraph"/>
              <w:tabs>
                <w:tab w:pos="3429" w:val="left" w:leader="none"/>
              </w:tabs>
              <w:spacing w:line="240" w:lineRule="auto" w:before="81"/>
              <w:ind w:left="113" w:right="0"/>
              <w:jc w:val="left"/>
              <w:rPr>
                <w:rFonts w:ascii="宋体" w:hAnsi="宋体" w:cs="宋体" w:eastAsia="宋体" w:hint="default"/>
                <w:sz w:val="16"/>
                <w:szCs w:val="16"/>
              </w:rPr>
            </w:pPr>
            <w:r>
              <w:rPr>
                <w:rFonts w:ascii="宋体" w:hAnsi="宋体" w:cs="宋体" w:eastAsia="宋体" w:hint="default"/>
                <w:sz w:val="16"/>
                <w:szCs w:val="16"/>
              </w:rPr>
              <w:t>（单位：人民币百万元）</w:t>
              <w:tab/>
              <w:t>第一层次</w:t>
            </w:r>
          </w:p>
        </w:tc>
        <w:tc>
          <w:tcPr>
            <w:tcW w:w="1700" w:type="dxa"/>
            <w:tcBorders>
              <w:top w:val="nil" w:sz="6" w:space="0" w:color="auto"/>
              <w:left w:val="nil" w:sz="6" w:space="0" w:color="auto"/>
              <w:bottom w:val="single" w:sz="16" w:space="0" w:color="9F8958"/>
              <w:right w:val="nil" w:sz="6" w:space="0" w:color="auto"/>
            </w:tcBorders>
          </w:tcPr>
          <w:p>
            <w:pPr>
              <w:pStyle w:val="TableParagraph"/>
              <w:spacing w:line="240" w:lineRule="auto" w:before="81"/>
              <w:ind w:right="528"/>
              <w:jc w:val="right"/>
              <w:rPr>
                <w:rFonts w:ascii="宋体" w:hAnsi="宋体" w:cs="宋体" w:eastAsia="宋体" w:hint="default"/>
                <w:sz w:val="16"/>
                <w:szCs w:val="16"/>
              </w:rPr>
            </w:pPr>
            <w:r>
              <w:rPr>
                <w:rFonts w:ascii="宋体" w:hAnsi="宋体" w:cs="宋体" w:eastAsia="宋体" w:hint="default"/>
                <w:sz w:val="16"/>
                <w:szCs w:val="16"/>
              </w:rPr>
              <w:t>第二层次</w:t>
            </w:r>
          </w:p>
        </w:tc>
        <w:tc>
          <w:tcPr>
            <w:tcW w:w="1820" w:type="dxa"/>
            <w:tcBorders>
              <w:top w:val="nil" w:sz="6" w:space="0" w:color="auto"/>
              <w:left w:val="nil" w:sz="6" w:space="0" w:color="auto"/>
              <w:bottom w:val="single" w:sz="16" w:space="0" w:color="9F8958"/>
              <w:right w:val="nil" w:sz="6" w:space="0" w:color="auto"/>
            </w:tcBorders>
          </w:tcPr>
          <w:p>
            <w:pPr>
              <w:pStyle w:val="TableParagraph"/>
              <w:spacing w:line="240" w:lineRule="auto" w:before="81"/>
              <w:ind w:right="648"/>
              <w:jc w:val="right"/>
              <w:rPr>
                <w:rFonts w:ascii="宋体" w:hAnsi="宋体" w:cs="宋体" w:eastAsia="宋体" w:hint="default"/>
                <w:sz w:val="16"/>
                <w:szCs w:val="16"/>
              </w:rPr>
            </w:pPr>
            <w:r>
              <w:rPr>
                <w:rFonts w:ascii="宋体" w:hAnsi="宋体" w:cs="宋体" w:eastAsia="宋体" w:hint="default"/>
                <w:sz w:val="16"/>
                <w:szCs w:val="16"/>
              </w:rPr>
              <w:t>第三层次</w:t>
            </w:r>
          </w:p>
        </w:tc>
        <w:tc>
          <w:tcPr>
            <w:tcW w:w="1163" w:type="dxa"/>
            <w:tcBorders>
              <w:top w:val="nil" w:sz="6" w:space="0" w:color="auto"/>
              <w:left w:val="nil" w:sz="6" w:space="0" w:color="auto"/>
              <w:bottom w:val="single" w:sz="16" w:space="0" w:color="9F8958"/>
              <w:right w:val="nil" w:sz="6" w:space="0" w:color="auto"/>
            </w:tcBorders>
          </w:tcPr>
          <w:p>
            <w:pPr>
              <w:pStyle w:val="TableParagraph"/>
              <w:spacing w:line="240" w:lineRule="auto" w:before="81"/>
              <w:ind w:right="111"/>
              <w:jc w:val="right"/>
              <w:rPr>
                <w:rFonts w:ascii="宋体" w:hAnsi="宋体" w:cs="宋体" w:eastAsia="宋体" w:hint="default"/>
                <w:sz w:val="16"/>
                <w:szCs w:val="16"/>
              </w:rPr>
            </w:pPr>
            <w:r>
              <w:rPr>
                <w:rFonts w:ascii="宋体" w:hAnsi="宋体" w:cs="宋体" w:eastAsia="宋体" w:hint="default"/>
                <w:sz w:val="16"/>
                <w:szCs w:val="16"/>
              </w:rPr>
              <w:t>合计</w:t>
            </w:r>
          </w:p>
        </w:tc>
      </w:tr>
      <w:tr>
        <w:trPr>
          <w:trHeight w:val="735" w:hRule="exact"/>
        </w:trPr>
        <w:tc>
          <w:tcPr>
            <w:tcW w:w="4600" w:type="dxa"/>
            <w:gridSpan w:val="2"/>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金融资产</w:t>
            </w:r>
            <w:r>
              <w:rPr>
                <w:rFonts w:ascii="宋体" w:hAnsi="宋体" w:cs="宋体" w:eastAsia="宋体" w:hint="default"/>
                <w:spacing w:val="-56"/>
                <w:w w:val="105"/>
                <w:sz w:val="16"/>
                <w:szCs w:val="16"/>
              </w:rPr>
              <w:t> </w:t>
            </w:r>
            <w:r>
              <w:rPr>
                <w:rFonts w:ascii="宋体" w:hAnsi="宋体" w:cs="宋体" w:eastAsia="宋体" w:hint="default"/>
                <w:w w:val="105"/>
                <w:sz w:val="16"/>
                <w:szCs w:val="16"/>
              </w:rPr>
              <w:t>-</w:t>
            </w:r>
            <w:r>
              <w:rPr>
                <w:rFonts w:ascii="宋体" w:hAnsi="宋体" w:cs="宋体" w:eastAsia="宋体" w:hint="default"/>
                <w:sz w:val="16"/>
                <w:szCs w:val="16"/>
              </w:rPr>
            </w:r>
          </w:p>
          <w:p>
            <w:pPr>
              <w:pStyle w:val="TableParagraph"/>
              <w:tabs>
                <w:tab w:pos="3964" w:val="left" w:leader="none"/>
              </w:tabs>
              <w:spacing w:line="200" w:lineRule="exact" w:before="91"/>
              <w:ind w:left="283" w:right="528"/>
              <w:jc w:val="left"/>
              <w:rPr>
                <w:rFonts w:ascii="宋体" w:hAnsi="宋体" w:cs="宋体" w:eastAsia="宋体" w:hint="default"/>
                <w:sz w:val="16"/>
                <w:szCs w:val="16"/>
              </w:rPr>
            </w:pPr>
            <w:r>
              <w:rPr>
                <w:rFonts w:ascii="宋体" w:hAnsi="宋体" w:cs="宋体" w:eastAsia="宋体" w:hint="default"/>
                <w:sz w:val="16"/>
                <w:szCs w:val="16"/>
              </w:rPr>
              <w:t>以公允价值计量且变动计入当</w:t>
              <w:tab/>
            </w:r>
            <w:r>
              <w:rPr>
                <w:rFonts w:ascii="宋体" w:hAnsi="宋体" w:cs="宋体" w:eastAsia="宋体" w:hint="default"/>
                <w:w w:val="105"/>
                <w:sz w:val="16"/>
                <w:szCs w:val="16"/>
              </w:rPr>
              <w:t>-</w:t>
            </w:r>
            <w:r>
              <w:rPr>
                <w:rFonts w:ascii="宋体" w:hAnsi="宋体" w:cs="宋体" w:eastAsia="宋体" w:hint="default"/>
                <w:spacing w:val="-64"/>
                <w:w w:val="105"/>
                <w:sz w:val="16"/>
                <w:szCs w:val="16"/>
              </w:rPr>
              <w:t> </w:t>
            </w:r>
            <w:r>
              <w:rPr>
                <w:rFonts w:ascii="宋体" w:hAnsi="宋体" w:cs="宋体" w:eastAsia="宋体" w:hint="default"/>
                <w:spacing w:val="-64"/>
                <w:w w:val="105"/>
                <w:sz w:val="16"/>
                <w:szCs w:val="16"/>
              </w:rPr>
            </w:r>
            <w:r>
              <w:rPr>
                <w:rFonts w:ascii="宋体" w:hAnsi="宋体" w:cs="宋体" w:eastAsia="宋体" w:hint="default"/>
                <w:w w:val="105"/>
                <w:sz w:val="16"/>
                <w:szCs w:val="16"/>
              </w:rPr>
              <w:t>期损益的金融资产</w:t>
            </w:r>
          </w:p>
        </w:tc>
        <w:tc>
          <w:tcPr>
            <w:tcW w:w="1700"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528"/>
              <w:jc w:val="right"/>
              <w:rPr>
                <w:rFonts w:ascii="宋体" w:hAnsi="宋体" w:cs="宋体" w:eastAsia="宋体" w:hint="default"/>
                <w:sz w:val="16"/>
                <w:szCs w:val="16"/>
              </w:rPr>
            </w:pPr>
            <w:r>
              <w:rPr>
                <w:rFonts w:ascii="宋体"/>
                <w:w w:val="131"/>
                <w:sz w:val="16"/>
              </w:rPr>
              <w:t>-</w:t>
            </w:r>
            <w:r>
              <w:rPr>
                <w:rFonts w:ascii="宋体"/>
                <w:sz w:val="16"/>
              </w:rPr>
            </w:r>
          </w:p>
        </w:tc>
        <w:tc>
          <w:tcPr>
            <w:tcW w:w="1820"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648"/>
              <w:jc w:val="right"/>
              <w:rPr>
                <w:rFonts w:ascii="宋体" w:hAnsi="宋体" w:cs="宋体" w:eastAsia="宋体" w:hint="default"/>
                <w:sz w:val="16"/>
                <w:szCs w:val="16"/>
              </w:rPr>
            </w:pPr>
            <w:r>
              <w:rPr>
                <w:rFonts w:ascii="宋体"/>
                <w:w w:val="110"/>
                <w:sz w:val="16"/>
              </w:rPr>
              <w:t>160</w:t>
            </w:r>
            <w:r>
              <w:rPr>
                <w:rFonts w:ascii="宋体"/>
                <w:sz w:val="16"/>
              </w:rPr>
            </w:r>
          </w:p>
        </w:tc>
        <w:tc>
          <w:tcPr>
            <w:tcW w:w="1163" w:type="dxa"/>
            <w:tcBorders>
              <w:top w:val="single" w:sz="16" w:space="0" w:color="9F8958"/>
              <w:left w:val="nil" w:sz="6" w:space="0" w:color="auto"/>
              <w:bottom w:val="nil" w:sz="6" w:space="0" w:color="auto"/>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128"/>
              <w:ind w:right="111"/>
              <w:jc w:val="right"/>
              <w:rPr>
                <w:rFonts w:ascii="宋体" w:hAnsi="宋体" w:cs="宋体" w:eastAsia="宋体" w:hint="default"/>
                <w:sz w:val="16"/>
                <w:szCs w:val="16"/>
              </w:rPr>
            </w:pPr>
            <w:r>
              <w:rPr>
                <w:rFonts w:ascii="宋体"/>
                <w:w w:val="110"/>
                <w:sz w:val="16"/>
              </w:rPr>
              <w:t>160</w:t>
            </w:r>
            <w:r>
              <w:rPr>
                <w:rFonts w:ascii="宋体"/>
                <w:sz w:val="16"/>
              </w:rPr>
            </w:r>
          </w:p>
        </w:tc>
      </w:tr>
      <w:tr>
        <w:trPr>
          <w:trHeight w:val="540" w:hRule="exact"/>
        </w:trPr>
        <w:tc>
          <w:tcPr>
            <w:tcW w:w="4600" w:type="dxa"/>
            <w:gridSpan w:val="2"/>
            <w:tcBorders>
              <w:top w:val="nil" w:sz="6" w:space="0" w:color="auto"/>
              <w:left w:val="nil" w:sz="6" w:space="0" w:color="auto"/>
              <w:bottom w:val="nil" w:sz="6" w:space="0" w:color="auto"/>
              <w:right w:val="nil" w:sz="6" w:space="0" w:color="auto"/>
            </w:tcBorders>
          </w:tcPr>
          <w:p>
            <w:pPr>
              <w:pStyle w:val="TableParagraph"/>
              <w:tabs>
                <w:tab w:pos="3670" w:val="left" w:leader="none"/>
              </w:tabs>
              <w:spacing w:line="200" w:lineRule="exact" w:before="122"/>
              <w:ind w:left="283" w:right="527"/>
              <w:jc w:val="left"/>
              <w:rPr>
                <w:rFonts w:ascii="宋体" w:hAnsi="宋体" w:cs="宋体" w:eastAsia="宋体" w:hint="default"/>
                <w:sz w:val="16"/>
                <w:szCs w:val="16"/>
              </w:rPr>
            </w:pPr>
            <w:r>
              <w:rPr>
                <w:rFonts w:ascii="宋体" w:hAnsi="宋体" w:cs="宋体" w:eastAsia="宋体" w:hint="default"/>
                <w:sz w:val="16"/>
                <w:szCs w:val="16"/>
              </w:rPr>
              <w:t>可供出售金融资产 -</w:t>
            </w:r>
            <w:r>
              <w:rPr>
                <w:rFonts w:ascii="宋体" w:hAnsi="宋体" w:cs="宋体" w:eastAsia="宋体" w:hint="default"/>
                <w:spacing w:val="-56"/>
                <w:sz w:val="16"/>
                <w:szCs w:val="16"/>
              </w:rPr>
              <w:t> </w:t>
            </w:r>
            <w:r>
              <w:rPr>
                <w:rFonts w:ascii="宋体" w:hAnsi="宋体" w:cs="宋体" w:eastAsia="宋体" w:hint="default"/>
                <w:sz w:val="16"/>
                <w:szCs w:val="16"/>
              </w:rPr>
              <w:t>可供出</w:t>
              <w:tab/>
              <w:t>4,228</w:t>
            </w:r>
            <w:r>
              <w:rPr>
                <w:rFonts w:ascii="宋体" w:hAnsi="宋体" w:cs="宋体" w:eastAsia="宋体" w:hint="default"/>
                <w:w w:val="99"/>
                <w:sz w:val="16"/>
                <w:szCs w:val="16"/>
              </w:rPr>
              <w:t> </w:t>
            </w:r>
            <w:r>
              <w:rPr>
                <w:rFonts w:ascii="宋体" w:hAnsi="宋体" w:cs="宋体" w:eastAsia="宋体" w:hint="default"/>
                <w:w w:val="105"/>
                <w:sz w:val="16"/>
                <w:szCs w:val="16"/>
              </w:rPr>
              <w:t>售权益工具</w:t>
            </w:r>
          </w:p>
        </w:tc>
        <w:tc>
          <w:tcPr>
            <w:tcW w:w="170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528"/>
              <w:jc w:val="right"/>
              <w:rPr>
                <w:rFonts w:ascii="宋体" w:hAnsi="宋体" w:cs="宋体" w:eastAsia="宋体" w:hint="default"/>
                <w:sz w:val="16"/>
                <w:szCs w:val="16"/>
              </w:rPr>
            </w:pPr>
            <w:r>
              <w:rPr>
                <w:rFonts w:ascii="宋体"/>
                <w:w w:val="131"/>
                <w:sz w:val="16"/>
              </w:rPr>
              <w:t>-</w:t>
            </w:r>
            <w:r>
              <w:rPr>
                <w:rFonts w:ascii="宋体"/>
                <w:sz w:val="16"/>
              </w:rPr>
            </w:r>
          </w:p>
        </w:tc>
        <w:tc>
          <w:tcPr>
            <w:tcW w:w="1820"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648"/>
              <w:jc w:val="right"/>
              <w:rPr>
                <w:rFonts w:ascii="宋体" w:hAnsi="宋体" w:cs="宋体" w:eastAsia="宋体" w:hint="default"/>
                <w:sz w:val="16"/>
                <w:szCs w:val="16"/>
              </w:rPr>
            </w:pPr>
            <w:r>
              <w:rPr>
                <w:rFonts w:ascii="宋体"/>
                <w:w w:val="110"/>
                <w:sz w:val="16"/>
              </w:rPr>
              <w:t>58</w:t>
            </w:r>
            <w:r>
              <w:rPr>
                <w:rFonts w:ascii="宋体"/>
                <w:sz w:val="16"/>
              </w:rPr>
            </w:r>
          </w:p>
        </w:tc>
        <w:tc>
          <w:tcPr>
            <w:tcW w:w="1163"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4,286</w:t>
            </w:r>
            <w:r>
              <w:rPr>
                <w:rFonts w:ascii="宋体"/>
                <w:sz w:val="16"/>
              </w:rPr>
            </w:r>
          </w:p>
        </w:tc>
      </w:tr>
      <w:tr>
        <w:trPr>
          <w:trHeight w:val="505" w:hRule="exact"/>
        </w:trPr>
        <w:tc>
          <w:tcPr>
            <w:tcW w:w="4600" w:type="dxa"/>
            <w:gridSpan w:val="2"/>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tabs>
                <w:tab w:pos="3670" w:val="left" w:leader="none"/>
              </w:tabs>
              <w:spacing w:line="240" w:lineRule="auto"/>
              <w:ind w:left="113" w:right="0"/>
              <w:jc w:val="left"/>
              <w:rPr>
                <w:rFonts w:ascii="宋体" w:hAnsi="宋体" w:cs="宋体" w:eastAsia="宋体" w:hint="default"/>
                <w:sz w:val="16"/>
                <w:szCs w:val="16"/>
              </w:rPr>
            </w:pPr>
            <w:r>
              <w:rPr>
                <w:rFonts w:ascii="宋体" w:hAnsi="宋体" w:cs="宋体" w:eastAsia="宋体" w:hint="default"/>
                <w:sz w:val="16"/>
                <w:szCs w:val="16"/>
              </w:rPr>
              <w:t>合计</w:t>
              <w:tab/>
              <w:t>4,228</w:t>
            </w:r>
          </w:p>
        </w:tc>
        <w:tc>
          <w:tcPr>
            <w:tcW w:w="1700"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528"/>
              <w:jc w:val="right"/>
              <w:rPr>
                <w:rFonts w:ascii="宋体" w:hAnsi="宋体" w:cs="宋体" w:eastAsia="宋体" w:hint="default"/>
                <w:sz w:val="16"/>
                <w:szCs w:val="16"/>
              </w:rPr>
            </w:pPr>
            <w:r>
              <w:rPr>
                <w:rFonts w:ascii="宋体"/>
                <w:w w:val="131"/>
                <w:sz w:val="16"/>
              </w:rPr>
              <w:t>-</w:t>
            </w:r>
            <w:r>
              <w:rPr>
                <w:rFonts w:ascii="宋体"/>
                <w:sz w:val="16"/>
              </w:rPr>
            </w:r>
          </w:p>
        </w:tc>
        <w:tc>
          <w:tcPr>
            <w:tcW w:w="1820"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648"/>
              <w:jc w:val="right"/>
              <w:rPr>
                <w:rFonts w:ascii="宋体" w:hAnsi="宋体" w:cs="宋体" w:eastAsia="宋体" w:hint="default"/>
                <w:sz w:val="16"/>
                <w:szCs w:val="16"/>
              </w:rPr>
            </w:pPr>
            <w:r>
              <w:rPr>
                <w:rFonts w:ascii="宋体"/>
                <w:w w:val="110"/>
                <w:sz w:val="16"/>
              </w:rPr>
              <w:t>218</w:t>
            </w:r>
            <w:r>
              <w:rPr>
                <w:rFonts w:ascii="宋体"/>
                <w:sz w:val="16"/>
              </w:rPr>
            </w:r>
          </w:p>
        </w:tc>
        <w:tc>
          <w:tcPr>
            <w:tcW w:w="1163" w:type="dxa"/>
            <w:tcBorders>
              <w:top w:val="nil" w:sz="6" w:space="0" w:color="auto"/>
              <w:left w:val="nil" w:sz="6" w:space="0" w:color="auto"/>
              <w:bottom w:val="single" w:sz="16" w:space="0" w:color="9F8958"/>
              <w:right w:val="nil" w:sz="6" w:space="0" w:color="auto"/>
            </w:tcBorders>
          </w:tcPr>
          <w:p>
            <w:pPr>
              <w:pStyle w:val="TableParagraph"/>
              <w:spacing w:line="240" w:lineRule="auto" w:before="5"/>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w w:val="95"/>
                <w:sz w:val="16"/>
              </w:rPr>
              <w:t>4,446</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right="87"/>
        <w:jc w:val="left"/>
      </w:pPr>
      <w:r>
        <w:rPr/>
        <w:t>截至</w:t>
      </w:r>
      <w:r>
        <w:rPr>
          <w:spacing w:val="-32"/>
        </w:rPr>
        <w:t> </w:t>
      </w:r>
      <w:r>
        <w:rPr/>
        <w:t>2018</w:t>
      </w:r>
      <w:r>
        <w:rPr>
          <w:spacing w:val="-33"/>
        </w:rPr>
        <w:t> </w:t>
      </w:r>
      <w:r>
        <w:rPr/>
        <w:t>年</w:t>
      </w:r>
      <w:r>
        <w:rPr>
          <w:spacing w:val="-32"/>
        </w:rPr>
        <w:t> </w:t>
      </w:r>
      <w:r>
        <w:rPr/>
        <w:t>12</w:t>
      </w:r>
      <w:r>
        <w:rPr>
          <w:spacing w:val="-33"/>
        </w:rPr>
        <w:t> </w:t>
      </w:r>
      <w:r>
        <w:rPr/>
        <w:t>月</w:t>
      </w:r>
      <w:r>
        <w:rPr>
          <w:spacing w:val="-32"/>
        </w:rPr>
        <w:t> </w:t>
      </w:r>
      <w:r>
        <w:rPr/>
        <w:t>31</w:t>
      </w:r>
      <w:r>
        <w:rPr>
          <w:spacing w:val="-33"/>
        </w:rPr>
        <w:t> </w:t>
      </w:r>
      <w:r>
        <w:rPr/>
        <w:t>日止，无金融资产在第一层次和第二层次之间转移。</w:t>
      </w:r>
    </w:p>
    <w:p>
      <w:pPr>
        <w:spacing w:after="0" w:line="240" w:lineRule="auto"/>
        <w:jc w:val="left"/>
        <w:sectPr>
          <w:headerReference w:type="default" r:id="rId347"/>
          <w:footerReference w:type="default" r:id="rId348"/>
          <w:footerReference w:type="even" r:id="rId349"/>
          <w:pgSz w:w="11910" w:h="16160"/>
          <w:pgMar w:header="0" w:footer="298" w:top="1520" w:bottom="480" w:left="1360" w:right="600"/>
          <w:pgNumType w:start="195"/>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九、公允价值的披露（续）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2、</w:t>
      </w:r>
      <w:r>
        <w:rPr>
          <w:spacing w:val="-21"/>
        </w:rPr>
        <w:t> </w:t>
      </w:r>
      <w:r>
        <w:rPr/>
        <w:t>不以公允价值计量的金融资产和金融负债的公允价值情况</w:t>
      </w:r>
    </w:p>
    <w:p>
      <w:pPr>
        <w:spacing w:line="240" w:lineRule="auto" w:before="12"/>
        <w:rPr>
          <w:rFonts w:ascii="宋体" w:hAnsi="宋体" w:cs="宋体" w:eastAsia="宋体" w:hint="default"/>
          <w:sz w:val="17"/>
          <w:szCs w:val="17"/>
        </w:rPr>
      </w:pPr>
    </w:p>
    <w:p>
      <w:pPr>
        <w:pStyle w:val="BodyText"/>
        <w:spacing w:line="285" w:lineRule="auto"/>
        <w:ind w:left="453" w:right="125"/>
        <w:jc w:val="left"/>
      </w:pPr>
      <w:r>
        <w:rPr>
          <w:spacing w:val="3"/>
          <w:w w:val="105"/>
        </w:rPr>
        <w:t>除以下项目外，本集团</w:t>
      </w:r>
      <w:r>
        <w:rPr>
          <w:spacing w:val="-71"/>
          <w:w w:val="105"/>
        </w:rPr>
        <w:t> </w:t>
      </w:r>
      <w:r>
        <w:rPr>
          <w:w w:val="105"/>
        </w:rPr>
        <w:t>2018</w:t>
      </w:r>
      <w:r>
        <w:rPr>
          <w:spacing w:val="-71"/>
          <w:w w:val="105"/>
        </w:rPr>
        <w:t> </w:t>
      </w:r>
      <w:r>
        <w:rPr>
          <w:w w:val="105"/>
        </w:rPr>
        <w:t>年</w:t>
      </w:r>
      <w:r>
        <w:rPr>
          <w:spacing w:val="-71"/>
          <w:w w:val="105"/>
        </w:rPr>
        <w:t> </w:t>
      </w:r>
      <w:r>
        <w:rPr>
          <w:w w:val="105"/>
        </w:rPr>
        <w:t>12</w:t>
      </w:r>
      <w:r>
        <w:rPr>
          <w:spacing w:val="-71"/>
          <w:w w:val="105"/>
        </w:rPr>
        <w:t> </w:t>
      </w:r>
      <w:r>
        <w:rPr>
          <w:w w:val="105"/>
        </w:rPr>
        <w:t>月</w:t>
      </w:r>
      <w:r>
        <w:rPr>
          <w:spacing w:val="-71"/>
          <w:w w:val="105"/>
        </w:rPr>
        <w:t> </w:t>
      </w:r>
      <w:r>
        <w:rPr>
          <w:w w:val="105"/>
        </w:rPr>
        <w:t>31</w:t>
      </w:r>
      <w:r>
        <w:rPr>
          <w:spacing w:val="-71"/>
          <w:w w:val="105"/>
        </w:rPr>
        <w:t> </w:t>
      </w:r>
      <w:r>
        <w:rPr>
          <w:w w:val="105"/>
        </w:rPr>
        <w:t>日及</w:t>
      </w:r>
      <w:r>
        <w:rPr>
          <w:spacing w:val="-71"/>
          <w:w w:val="105"/>
        </w:rPr>
        <w:t> </w:t>
      </w:r>
      <w:r>
        <w:rPr>
          <w:w w:val="105"/>
        </w:rPr>
        <w:t>2017</w:t>
      </w:r>
      <w:r>
        <w:rPr>
          <w:spacing w:val="-71"/>
          <w:w w:val="105"/>
        </w:rPr>
        <w:t> </w:t>
      </w:r>
      <w:r>
        <w:rPr>
          <w:w w:val="105"/>
        </w:rPr>
        <w:t>年</w:t>
      </w:r>
      <w:r>
        <w:rPr>
          <w:spacing w:val="-71"/>
          <w:w w:val="105"/>
        </w:rPr>
        <w:t> </w:t>
      </w:r>
      <w:r>
        <w:rPr>
          <w:w w:val="105"/>
        </w:rPr>
        <w:t>12</w:t>
      </w:r>
      <w:r>
        <w:rPr>
          <w:spacing w:val="-71"/>
          <w:w w:val="105"/>
        </w:rPr>
        <w:t> </w:t>
      </w:r>
      <w:r>
        <w:rPr>
          <w:w w:val="105"/>
        </w:rPr>
        <w:t>月</w:t>
      </w:r>
      <w:r>
        <w:rPr>
          <w:spacing w:val="-71"/>
          <w:w w:val="105"/>
        </w:rPr>
        <w:t> </w:t>
      </w:r>
      <w:r>
        <w:rPr>
          <w:w w:val="105"/>
        </w:rPr>
        <w:t>31</w:t>
      </w:r>
      <w:r>
        <w:rPr>
          <w:spacing w:val="-71"/>
          <w:w w:val="105"/>
        </w:rPr>
        <w:t> </w:t>
      </w:r>
      <w:r>
        <w:rPr>
          <w:spacing w:val="4"/>
          <w:w w:val="105"/>
        </w:rPr>
        <w:t>日各项金融资产和金融负债的账面价值与公允价值之</w:t>
      </w:r>
      <w:r>
        <w:rPr>
          <w:spacing w:val="4"/>
        </w:rPr>
        <w:t> </w:t>
      </w:r>
      <w:r>
        <w:rPr>
          <w:w w:val="105"/>
        </w:rPr>
        <w:t>间无重大差异。</w:t>
      </w:r>
    </w:p>
    <w:p>
      <w:pPr>
        <w:spacing w:line="240" w:lineRule="auto" w:before="9"/>
        <w:rPr>
          <w:rFonts w:ascii="宋体" w:hAnsi="宋体" w:cs="宋体" w:eastAsia="宋体" w:hint="default"/>
          <w:sz w:val="14"/>
          <w:szCs w:val="14"/>
        </w:rPr>
      </w:pPr>
    </w:p>
    <w:tbl>
      <w:tblPr>
        <w:tblW w:w="0" w:type="auto"/>
        <w:jc w:val="left"/>
        <w:tblInd w:w="433" w:type="dxa"/>
        <w:tblLayout w:type="fixed"/>
        <w:tblCellMar>
          <w:top w:w="0" w:type="dxa"/>
          <w:left w:w="0" w:type="dxa"/>
          <w:bottom w:w="0" w:type="dxa"/>
          <w:right w:w="0" w:type="dxa"/>
        </w:tblCellMar>
        <w:tblLook w:val="01E0"/>
      </w:tblPr>
      <w:tblGrid>
        <w:gridCol w:w="1403"/>
        <w:gridCol w:w="1019"/>
        <w:gridCol w:w="404"/>
        <w:gridCol w:w="958"/>
        <w:gridCol w:w="1126"/>
        <w:gridCol w:w="1126"/>
        <w:gridCol w:w="996"/>
        <w:gridCol w:w="1255"/>
        <w:gridCol w:w="996"/>
      </w:tblGrid>
      <w:tr>
        <w:trPr>
          <w:trHeight w:val="343" w:hRule="exact"/>
        </w:trPr>
        <w:tc>
          <w:tcPr>
            <w:tcW w:w="1403" w:type="dxa"/>
            <w:vMerge w:val="restart"/>
            <w:tcBorders>
              <w:top w:val="nil" w:sz="6" w:space="0" w:color="auto"/>
              <w:left w:val="nil" w:sz="6" w:space="0" w:color="auto"/>
              <w:right w:val="nil" w:sz="6" w:space="0" w:color="auto"/>
            </w:tcBorders>
          </w:tcPr>
          <w:p>
            <w:pPr/>
          </w:p>
        </w:tc>
        <w:tc>
          <w:tcPr>
            <w:tcW w:w="1019"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right="3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404"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6" w:right="0"/>
              <w:jc w:val="left"/>
              <w:rPr>
                <w:rFonts w:ascii="宋体" w:hAnsi="宋体" w:cs="宋体" w:eastAsia="宋体" w:hint="default"/>
                <w:sz w:val="16"/>
                <w:szCs w:val="16"/>
              </w:rPr>
            </w:pPr>
            <w:r>
              <w:rPr>
                <w:rFonts w:ascii="宋体" w:hAnsi="宋体" w:cs="宋体" w:eastAsia="宋体" w:hint="default"/>
                <w:w w:val="110"/>
                <w:sz w:val="16"/>
                <w:szCs w:val="16"/>
              </w:rPr>
              <w:t>12</w:t>
            </w:r>
            <w:r>
              <w:rPr>
                <w:rFonts w:ascii="宋体" w:hAnsi="宋体" w:cs="宋体" w:eastAsia="宋体" w:hint="default"/>
                <w:spacing w:val="-64"/>
                <w:w w:val="110"/>
                <w:sz w:val="16"/>
                <w:szCs w:val="16"/>
              </w:rPr>
              <w:t> </w:t>
            </w:r>
            <w:r>
              <w:rPr>
                <w:rFonts w:ascii="宋体" w:hAnsi="宋体" w:cs="宋体" w:eastAsia="宋体" w:hint="default"/>
                <w:w w:val="110"/>
                <w:sz w:val="16"/>
                <w:szCs w:val="16"/>
              </w:rPr>
              <w:t>月</w:t>
            </w:r>
          </w:p>
        </w:tc>
        <w:tc>
          <w:tcPr>
            <w:tcW w:w="958" w:type="dxa"/>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20" w:right="0"/>
              <w:jc w:val="left"/>
              <w:rPr>
                <w:rFonts w:ascii="宋体" w:hAnsi="宋体" w:cs="宋体" w:eastAsia="宋体" w:hint="default"/>
                <w:sz w:val="16"/>
                <w:szCs w:val="16"/>
              </w:rPr>
            </w:pPr>
            <w:r>
              <w:rPr>
                <w:rFonts w:ascii="宋体" w:hAnsi="宋体" w:cs="宋体" w:eastAsia="宋体" w:hint="default"/>
                <w:w w:val="110"/>
                <w:sz w:val="16"/>
                <w:szCs w:val="16"/>
              </w:rPr>
              <w:t>31</w:t>
            </w:r>
            <w:r>
              <w:rPr>
                <w:rFonts w:ascii="宋体" w:hAnsi="宋体" w:cs="宋体" w:eastAsia="宋体" w:hint="default"/>
                <w:spacing w:val="-64"/>
                <w:w w:val="110"/>
                <w:sz w:val="16"/>
                <w:szCs w:val="16"/>
              </w:rPr>
              <w:t> </w:t>
            </w:r>
            <w:r>
              <w:rPr>
                <w:rFonts w:ascii="宋体" w:hAnsi="宋体" w:cs="宋体" w:eastAsia="宋体" w:hint="default"/>
                <w:w w:val="110"/>
                <w:sz w:val="16"/>
                <w:szCs w:val="16"/>
              </w:rPr>
              <w:t>日</w:t>
            </w:r>
          </w:p>
        </w:tc>
        <w:tc>
          <w:tcPr>
            <w:tcW w:w="3248" w:type="dxa"/>
            <w:gridSpan w:val="3"/>
            <w:tcBorders>
              <w:top w:val="nil" w:sz="6" w:space="0" w:color="auto"/>
              <w:left w:val="nil" w:sz="6" w:space="0" w:color="auto"/>
              <w:bottom w:val="single" w:sz="6" w:space="0" w:color="000000"/>
              <w:right w:val="nil" w:sz="6" w:space="0" w:color="auto"/>
            </w:tcBorders>
            <w:shd w:val="clear" w:color="auto" w:fill="ECE7DD"/>
          </w:tcPr>
          <w:p>
            <w:pPr>
              <w:pStyle w:val="TableParagraph"/>
              <w:spacing w:line="240" w:lineRule="auto" w:before="7"/>
              <w:ind w:left="641" w:right="0"/>
              <w:jc w:val="left"/>
              <w:rPr>
                <w:rFonts w:ascii="宋体" w:hAnsi="宋体" w:cs="宋体" w:eastAsia="宋体" w:hint="default"/>
                <w:sz w:val="16"/>
                <w:szCs w:val="16"/>
              </w:rPr>
            </w:pPr>
            <w:r>
              <w:rPr>
                <w:rFonts w:ascii="宋体" w:hAnsi="宋体" w:cs="宋体" w:eastAsia="宋体" w:hint="default"/>
                <w:sz w:val="16"/>
                <w:szCs w:val="16"/>
              </w:rPr>
              <w:t>2018</w:t>
            </w:r>
            <w:r>
              <w:rPr>
                <w:rFonts w:ascii="宋体" w:hAnsi="宋体" w:cs="宋体" w:eastAsia="宋体" w:hint="default"/>
                <w:spacing w:val="-6"/>
                <w:sz w:val="16"/>
                <w:szCs w:val="16"/>
              </w:rPr>
              <w:t> </w:t>
            </w:r>
            <w:r>
              <w:rPr>
                <w:rFonts w:ascii="宋体" w:hAnsi="宋体" w:cs="宋体" w:eastAsia="宋体" w:hint="default"/>
                <w:sz w:val="16"/>
                <w:szCs w:val="16"/>
              </w:rPr>
              <w:t>年公允价值计量层次</w:t>
            </w:r>
          </w:p>
        </w:tc>
        <w:tc>
          <w:tcPr>
            <w:tcW w:w="2252" w:type="dxa"/>
            <w:gridSpan w:val="2"/>
            <w:tcBorders>
              <w:top w:val="nil" w:sz="6" w:space="0" w:color="auto"/>
              <w:left w:val="nil" w:sz="6" w:space="0" w:color="auto"/>
              <w:bottom w:val="single" w:sz="6" w:space="0" w:color="000000"/>
              <w:right w:val="nil" w:sz="6" w:space="0" w:color="auto"/>
            </w:tcBorders>
          </w:tcPr>
          <w:p>
            <w:pPr>
              <w:pStyle w:val="TableParagraph"/>
              <w:spacing w:line="240" w:lineRule="auto" w:before="7"/>
              <w:ind w:left="430" w:right="0"/>
              <w:jc w:val="lef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14" w:hRule="exact"/>
        </w:trPr>
        <w:tc>
          <w:tcPr>
            <w:tcW w:w="1403" w:type="dxa"/>
            <w:vMerge/>
            <w:tcBorders>
              <w:left w:val="nil" w:sz="6" w:space="0" w:color="auto"/>
              <w:bottom w:val="single" w:sz="16" w:space="0" w:color="9F8958"/>
              <w:right w:val="nil" w:sz="6" w:space="0" w:color="auto"/>
            </w:tcBorders>
          </w:tcPr>
          <w:p>
            <w:pPr/>
          </w:p>
        </w:tc>
        <w:tc>
          <w:tcPr>
            <w:tcW w:w="1019"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4"/>
              <w:jc w:val="right"/>
              <w:rPr>
                <w:rFonts w:ascii="宋体" w:hAnsi="宋体" w:cs="宋体" w:eastAsia="宋体" w:hint="default"/>
                <w:sz w:val="16"/>
                <w:szCs w:val="16"/>
              </w:rPr>
            </w:pPr>
            <w:r>
              <w:rPr>
                <w:rFonts w:ascii="宋体" w:hAnsi="宋体" w:cs="宋体" w:eastAsia="宋体" w:hint="default"/>
                <w:sz w:val="16"/>
                <w:szCs w:val="16"/>
              </w:rPr>
              <w:t>账面价值</w:t>
            </w:r>
          </w:p>
        </w:tc>
        <w:tc>
          <w:tcPr>
            <w:tcW w:w="1362" w:type="dxa"/>
            <w:gridSpan w:val="2"/>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left="479" w:right="0"/>
              <w:jc w:val="left"/>
              <w:rPr>
                <w:rFonts w:ascii="宋体" w:hAnsi="宋体" w:cs="宋体" w:eastAsia="宋体" w:hint="default"/>
                <w:sz w:val="16"/>
                <w:szCs w:val="16"/>
              </w:rPr>
            </w:pPr>
            <w:r>
              <w:rPr>
                <w:rFonts w:ascii="宋体" w:hAnsi="宋体" w:cs="宋体" w:eastAsia="宋体" w:hint="default"/>
                <w:sz w:val="16"/>
                <w:szCs w:val="16"/>
              </w:rPr>
              <w:t>公允价值</w:t>
            </w:r>
          </w:p>
        </w:tc>
        <w:tc>
          <w:tcPr>
            <w:tcW w:w="112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40"/>
              <w:jc w:val="right"/>
              <w:rPr>
                <w:rFonts w:ascii="宋体" w:hAnsi="宋体" w:cs="宋体" w:eastAsia="宋体" w:hint="default"/>
                <w:sz w:val="16"/>
                <w:szCs w:val="16"/>
              </w:rPr>
            </w:pPr>
            <w:r>
              <w:rPr>
                <w:rFonts w:ascii="宋体" w:hAnsi="宋体" w:cs="宋体" w:eastAsia="宋体" w:hint="default"/>
                <w:sz w:val="16"/>
                <w:szCs w:val="16"/>
              </w:rPr>
              <w:t>第一层次</w:t>
            </w:r>
          </w:p>
        </w:tc>
        <w:tc>
          <w:tcPr>
            <w:tcW w:w="112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240"/>
              <w:jc w:val="right"/>
              <w:rPr>
                <w:rFonts w:ascii="宋体" w:hAnsi="宋体" w:cs="宋体" w:eastAsia="宋体" w:hint="default"/>
                <w:sz w:val="16"/>
                <w:szCs w:val="16"/>
              </w:rPr>
            </w:pPr>
            <w:r>
              <w:rPr>
                <w:rFonts w:ascii="宋体" w:hAnsi="宋体" w:cs="宋体" w:eastAsia="宋体" w:hint="default"/>
                <w:sz w:val="16"/>
                <w:szCs w:val="16"/>
              </w:rPr>
              <w:t>第二层次</w:t>
            </w:r>
          </w:p>
        </w:tc>
        <w:tc>
          <w:tcPr>
            <w:tcW w:w="996" w:type="dxa"/>
            <w:tcBorders>
              <w:top w:val="single" w:sz="6" w:space="0" w:color="000000"/>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第三层次</w:t>
            </w:r>
          </w:p>
        </w:tc>
        <w:tc>
          <w:tcPr>
            <w:tcW w:w="1255"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240"/>
              <w:jc w:val="right"/>
              <w:rPr>
                <w:rFonts w:ascii="宋体" w:hAnsi="宋体" w:cs="宋体" w:eastAsia="宋体" w:hint="default"/>
                <w:sz w:val="16"/>
                <w:szCs w:val="16"/>
              </w:rPr>
            </w:pPr>
            <w:r>
              <w:rPr>
                <w:rFonts w:ascii="宋体" w:hAnsi="宋体" w:cs="宋体" w:eastAsia="宋体" w:hint="default"/>
                <w:sz w:val="16"/>
                <w:szCs w:val="16"/>
              </w:rPr>
              <w:t>账面价值</w:t>
            </w:r>
          </w:p>
        </w:tc>
        <w:tc>
          <w:tcPr>
            <w:tcW w:w="996" w:type="dxa"/>
            <w:tcBorders>
              <w:top w:val="single" w:sz="6" w:space="0" w:color="000000"/>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hAnsi="宋体" w:cs="宋体" w:eastAsia="宋体" w:hint="default"/>
                <w:sz w:val="16"/>
                <w:szCs w:val="16"/>
              </w:rPr>
              <w:t>公允价值</w:t>
            </w:r>
          </w:p>
        </w:tc>
      </w:tr>
      <w:tr>
        <w:trPr>
          <w:trHeight w:val="362" w:hRule="exact"/>
        </w:trPr>
        <w:tc>
          <w:tcPr>
            <w:tcW w:w="140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长期借款</w:t>
            </w:r>
          </w:p>
        </w:tc>
        <w:tc>
          <w:tcPr>
            <w:tcW w:w="101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4"/>
              <w:jc w:val="right"/>
              <w:rPr>
                <w:rFonts w:ascii="宋体" w:hAnsi="宋体" w:cs="宋体" w:eastAsia="宋体" w:hint="default"/>
                <w:sz w:val="16"/>
                <w:szCs w:val="16"/>
              </w:rPr>
            </w:pPr>
            <w:r>
              <w:rPr>
                <w:rFonts w:ascii="宋体"/>
                <w:w w:val="95"/>
                <w:sz w:val="16"/>
              </w:rPr>
              <w:t>3,173</w:t>
            </w:r>
            <w:r>
              <w:rPr>
                <w:rFonts w:ascii="宋体"/>
                <w:sz w:val="16"/>
              </w:rPr>
            </w:r>
          </w:p>
        </w:tc>
        <w:tc>
          <w:tcPr>
            <w:tcW w:w="1362" w:type="dxa"/>
            <w:gridSpan w:val="2"/>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left="719" w:right="0"/>
              <w:jc w:val="left"/>
              <w:rPr>
                <w:rFonts w:ascii="宋体" w:hAnsi="宋体" w:cs="宋体" w:eastAsia="宋体" w:hint="default"/>
                <w:sz w:val="16"/>
                <w:szCs w:val="16"/>
              </w:rPr>
            </w:pPr>
            <w:r>
              <w:rPr>
                <w:rFonts w:ascii="宋体"/>
                <w:sz w:val="16"/>
              </w:rPr>
              <w:t>3,098</w:t>
            </w:r>
          </w:p>
        </w:tc>
        <w:tc>
          <w:tcPr>
            <w:tcW w:w="112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240"/>
              <w:jc w:val="right"/>
              <w:rPr>
                <w:rFonts w:ascii="宋体" w:hAnsi="宋体" w:cs="宋体" w:eastAsia="宋体" w:hint="default"/>
                <w:sz w:val="16"/>
                <w:szCs w:val="16"/>
              </w:rPr>
            </w:pPr>
            <w:r>
              <w:rPr>
                <w:rFonts w:ascii="宋体"/>
                <w:w w:val="131"/>
                <w:sz w:val="16"/>
              </w:rPr>
              <w:t>-</w:t>
            </w:r>
            <w:r>
              <w:rPr>
                <w:rFonts w:ascii="宋体"/>
                <w:sz w:val="16"/>
              </w:rPr>
            </w:r>
          </w:p>
        </w:tc>
        <w:tc>
          <w:tcPr>
            <w:tcW w:w="112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240"/>
              <w:jc w:val="right"/>
              <w:rPr>
                <w:rFonts w:ascii="宋体" w:hAnsi="宋体" w:cs="宋体" w:eastAsia="宋体" w:hint="default"/>
                <w:sz w:val="16"/>
                <w:szCs w:val="16"/>
              </w:rPr>
            </w:pPr>
            <w:r>
              <w:rPr>
                <w:rFonts w:ascii="宋体"/>
                <w:w w:val="95"/>
                <w:sz w:val="16"/>
              </w:rPr>
              <w:t>3,098</w:t>
            </w:r>
            <w:r>
              <w:rPr>
                <w:rFonts w:ascii="宋体"/>
                <w:sz w:val="16"/>
              </w:rPr>
            </w:r>
          </w:p>
        </w:tc>
        <w:tc>
          <w:tcPr>
            <w:tcW w:w="996"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c>
          <w:tcPr>
            <w:tcW w:w="125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40"/>
              <w:jc w:val="right"/>
              <w:rPr>
                <w:rFonts w:ascii="宋体" w:hAnsi="宋体" w:cs="宋体" w:eastAsia="宋体" w:hint="default"/>
                <w:sz w:val="16"/>
                <w:szCs w:val="16"/>
              </w:rPr>
            </w:pPr>
            <w:r>
              <w:rPr>
                <w:rFonts w:ascii="宋体"/>
                <w:w w:val="95"/>
                <w:sz w:val="16"/>
              </w:rPr>
              <w:t>3,473</w:t>
            </w:r>
            <w:r>
              <w:rPr>
                <w:rFonts w:ascii="宋体"/>
                <w:sz w:val="16"/>
              </w:rPr>
            </w:r>
          </w:p>
        </w:tc>
        <w:tc>
          <w:tcPr>
            <w:tcW w:w="99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3,187</w:t>
            </w:r>
            <w:r>
              <w:rPr>
                <w:rFonts w:ascii="宋体"/>
                <w:sz w:val="16"/>
              </w:rPr>
            </w:r>
          </w:p>
        </w:tc>
      </w:tr>
      <w:tr>
        <w:trPr>
          <w:trHeight w:val="273"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应付债券</w:t>
            </w:r>
          </w:p>
        </w:tc>
        <w:tc>
          <w:tcPr>
            <w:tcW w:w="1019" w:type="dxa"/>
            <w:tcBorders>
              <w:top w:val="nil" w:sz="6" w:space="0" w:color="auto"/>
              <w:left w:val="nil" w:sz="6" w:space="0" w:color="auto"/>
              <w:bottom w:val="nil" w:sz="6" w:space="0" w:color="auto"/>
              <w:right w:val="nil" w:sz="6" w:space="0" w:color="auto"/>
            </w:tcBorders>
            <w:shd w:val="clear" w:color="auto" w:fill="ECE7DD"/>
          </w:tcPr>
          <w:p>
            <w:pPr/>
          </w:p>
        </w:tc>
        <w:tc>
          <w:tcPr>
            <w:tcW w:w="1362" w:type="dxa"/>
            <w:gridSpan w:val="2"/>
            <w:tcBorders>
              <w:top w:val="nil" w:sz="6" w:space="0" w:color="auto"/>
              <w:left w:val="nil" w:sz="6" w:space="0" w:color="auto"/>
              <w:bottom w:val="nil" w:sz="6" w:space="0" w:color="auto"/>
              <w:right w:val="nil" w:sz="6" w:space="0" w:color="auto"/>
            </w:tcBorders>
            <w:shd w:val="clear" w:color="auto" w:fill="ECE7DD"/>
          </w:tcPr>
          <w:p>
            <w:pPr/>
          </w:p>
        </w:tc>
        <w:tc>
          <w:tcPr>
            <w:tcW w:w="1126" w:type="dxa"/>
            <w:tcBorders>
              <w:top w:val="nil" w:sz="6" w:space="0" w:color="auto"/>
              <w:left w:val="nil" w:sz="6" w:space="0" w:color="auto"/>
              <w:bottom w:val="nil" w:sz="6" w:space="0" w:color="auto"/>
              <w:right w:val="nil" w:sz="6" w:space="0" w:color="auto"/>
            </w:tcBorders>
            <w:shd w:val="clear" w:color="auto" w:fill="ECE7DD"/>
          </w:tcPr>
          <w:p>
            <w:pPr/>
          </w:p>
        </w:tc>
        <w:tc>
          <w:tcPr>
            <w:tcW w:w="1126" w:type="dxa"/>
            <w:tcBorders>
              <w:top w:val="nil" w:sz="6" w:space="0" w:color="auto"/>
              <w:left w:val="nil" w:sz="6" w:space="0" w:color="auto"/>
              <w:bottom w:val="nil" w:sz="6" w:space="0" w:color="auto"/>
              <w:right w:val="nil" w:sz="6" w:space="0" w:color="auto"/>
            </w:tcBorders>
            <w:shd w:val="clear" w:color="auto" w:fill="ECE7DD"/>
          </w:tcPr>
          <w:p>
            <w:pPr/>
          </w:p>
        </w:tc>
        <w:tc>
          <w:tcPr>
            <w:tcW w:w="996" w:type="dxa"/>
            <w:tcBorders>
              <w:top w:val="nil" w:sz="6" w:space="0" w:color="auto"/>
              <w:left w:val="nil" w:sz="6" w:space="0" w:color="auto"/>
              <w:bottom w:val="nil" w:sz="6" w:space="0" w:color="auto"/>
              <w:right w:val="nil" w:sz="6" w:space="0" w:color="auto"/>
            </w:tcBorders>
            <w:shd w:val="clear" w:color="auto" w:fill="ECE7DD"/>
          </w:tcPr>
          <w:p>
            <w:pPr/>
          </w:p>
        </w:tc>
        <w:tc>
          <w:tcPr>
            <w:tcW w:w="1255" w:type="dxa"/>
            <w:tcBorders>
              <w:top w:val="nil" w:sz="6" w:space="0" w:color="auto"/>
              <w:left w:val="nil" w:sz="6" w:space="0" w:color="auto"/>
              <w:bottom w:val="nil" w:sz="6" w:space="0" w:color="auto"/>
              <w:right w:val="nil" w:sz="6" w:space="0" w:color="auto"/>
            </w:tcBorders>
          </w:tcPr>
          <w:p>
            <w:pPr/>
          </w:p>
        </w:tc>
        <w:tc>
          <w:tcPr>
            <w:tcW w:w="996" w:type="dxa"/>
            <w:tcBorders>
              <w:top w:val="nil" w:sz="6" w:space="0" w:color="auto"/>
              <w:left w:val="nil" w:sz="6" w:space="0" w:color="auto"/>
              <w:bottom w:val="nil" w:sz="6" w:space="0" w:color="auto"/>
              <w:right w:val="nil" w:sz="6" w:space="0" w:color="auto"/>
            </w:tcBorders>
          </w:tcPr>
          <w:p>
            <w:pPr/>
          </w:p>
        </w:tc>
      </w:tr>
      <w:tr>
        <w:trPr>
          <w:trHeight w:val="340"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w w:val="105"/>
                <w:sz w:val="16"/>
                <w:szCs w:val="16"/>
              </w:rPr>
              <w:t>-</w:t>
            </w:r>
            <w:r>
              <w:rPr>
                <w:rFonts w:ascii="宋体" w:hAnsi="宋体" w:cs="宋体" w:eastAsia="宋体" w:hint="default"/>
                <w:spacing w:val="-56"/>
                <w:w w:val="105"/>
                <w:sz w:val="16"/>
                <w:szCs w:val="16"/>
              </w:rPr>
              <w:t> </w:t>
            </w:r>
            <w:r>
              <w:rPr>
                <w:rFonts w:ascii="宋体" w:hAnsi="宋体" w:cs="宋体" w:eastAsia="宋体" w:hint="default"/>
                <w:w w:val="105"/>
                <w:sz w:val="16"/>
                <w:szCs w:val="16"/>
              </w:rPr>
              <w:t>公司债券</w:t>
            </w:r>
          </w:p>
        </w:tc>
        <w:tc>
          <w:tcPr>
            <w:tcW w:w="1019"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4"/>
              <w:jc w:val="right"/>
              <w:rPr>
                <w:rFonts w:ascii="宋体" w:hAnsi="宋体" w:cs="宋体" w:eastAsia="宋体" w:hint="default"/>
                <w:sz w:val="16"/>
                <w:szCs w:val="16"/>
              </w:rPr>
            </w:pPr>
            <w:r>
              <w:rPr>
                <w:rFonts w:ascii="宋体"/>
                <w:w w:val="110"/>
                <w:sz w:val="16"/>
              </w:rPr>
              <w:t>999</w:t>
            </w:r>
            <w:r>
              <w:rPr>
                <w:rFonts w:ascii="宋体"/>
                <w:sz w:val="16"/>
              </w:rPr>
            </w:r>
          </w:p>
        </w:tc>
        <w:tc>
          <w:tcPr>
            <w:tcW w:w="1362" w:type="dxa"/>
            <w:gridSpan w:val="2"/>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left="719" w:right="0"/>
              <w:jc w:val="left"/>
              <w:rPr>
                <w:rFonts w:ascii="宋体" w:hAnsi="宋体" w:cs="宋体" w:eastAsia="宋体" w:hint="default"/>
                <w:sz w:val="16"/>
                <w:szCs w:val="16"/>
              </w:rPr>
            </w:pPr>
            <w:r>
              <w:rPr>
                <w:rFonts w:ascii="宋体"/>
                <w:sz w:val="16"/>
              </w:rPr>
              <w:t>1,014</w:t>
            </w:r>
          </w:p>
        </w:tc>
        <w:tc>
          <w:tcPr>
            <w:tcW w:w="112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40"/>
              <w:jc w:val="right"/>
              <w:rPr>
                <w:rFonts w:ascii="宋体" w:hAnsi="宋体" w:cs="宋体" w:eastAsia="宋体" w:hint="default"/>
                <w:sz w:val="16"/>
                <w:szCs w:val="16"/>
              </w:rPr>
            </w:pPr>
            <w:r>
              <w:rPr>
                <w:rFonts w:ascii="宋体"/>
                <w:w w:val="95"/>
                <w:sz w:val="16"/>
              </w:rPr>
              <w:t>1,014</w:t>
            </w:r>
            <w:r>
              <w:rPr>
                <w:rFonts w:ascii="宋体"/>
                <w:sz w:val="16"/>
              </w:rPr>
            </w:r>
          </w:p>
        </w:tc>
        <w:tc>
          <w:tcPr>
            <w:tcW w:w="112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240"/>
              <w:jc w:val="right"/>
              <w:rPr>
                <w:rFonts w:ascii="宋体" w:hAnsi="宋体" w:cs="宋体" w:eastAsia="宋体" w:hint="default"/>
                <w:sz w:val="16"/>
                <w:szCs w:val="16"/>
              </w:rPr>
            </w:pPr>
            <w:r>
              <w:rPr>
                <w:rFonts w:ascii="宋体"/>
                <w:w w:val="131"/>
                <w:sz w:val="16"/>
              </w:rPr>
              <w:t>-</w:t>
            </w:r>
            <w:r>
              <w:rPr>
                <w:rFonts w:ascii="宋体"/>
                <w:sz w:val="16"/>
              </w:rPr>
            </w:r>
          </w:p>
        </w:tc>
        <w:tc>
          <w:tcPr>
            <w:tcW w:w="996"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1255" w:type="dxa"/>
            <w:tcBorders>
              <w:top w:val="nil" w:sz="6" w:space="0" w:color="auto"/>
              <w:left w:val="nil" w:sz="6" w:space="0" w:color="auto"/>
              <w:bottom w:val="nil" w:sz="6" w:space="0" w:color="auto"/>
              <w:right w:val="nil" w:sz="6" w:space="0" w:color="auto"/>
            </w:tcBorders>
          </w:tcPr>
          <w:p>
            <w:pPr>
              <w:pStyle w:val="TableParagraph"/>
              <w:spacing w:line="205" w:lineRule="exact"/>
              <w:ind w:right="240"/>
              <w:jc w:val="right"/>
              <w:rPr>
                <w:rFonts w:ascii="宋体" w:hAnsi="宋体" w:cs="宋体" w:eastAsia="宋体" w:hint="default"/>
                <w:sz w:val="16"/>
                <w:szCs w:val="16"/>
              </w:rPr>
            </w:pPr>
            <w:r>
              <w:rPr>
                <w:rFonts w:ascii="宋体"/>
                <w:sz w:val="16"/>
              </w:rPr>
              <w:t>17,981</w:t>
            </w:r>
          </w:p>
        </w:tc>
        <w:tc>
          <w:tcPr>
            <w:tcW w:w="996"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17,712</w:t>
            </w:r>
          </w:p>
        </w:tc>
      </w:tr>
      <w:tr>
        <w:trPr>
          <w:trHeight w:val="433" w:hRule="exact"/>
        </w:trPr>
        <w:tc>
          <w:tcPr>
            <w:tcW w:w="140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01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4"/>
              <w:jc w:val="right"/>
              <w:rPr>
                <w:rFonts w:ascii="宋体" w:hAnsi="宋体" w:cs="宋体" w:eastAsia="宋体" w:hint="default"/>
                <w:sz w:val="16"/>
                <w:szCs w:val="16"/>
              </w:rPr>
            </w:pPr>
            <w:r>
              <w:rPr>
                <w:rFonts w:ascii="宋体"/>
                <w:w w:val="95"/>
                <w:sz w:val="16"/>
              </w:rPr>
              <w:t>4,172</w:t>
            </w:r>
            <w:r>
              <w:rPr>
                <w:rFonts w:ascii="宋体"/>
                <w:sz w:val="16"/>
              </w:rPr>
            </w:r>
          </w:p>
        </w:tc>
        <w:tc>
          <w:tcPr>
            <w:tcW w:w="1362" w:type="dxa"/>
            <w:gridSpan w:val="2"/>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left="719" w:right="0"/>
              <w:jc w:val="left"/>
              <w:rPr>
                <w:rFonts w:ascii="宋体" w:hAnsi="宋体" w:cs="宋体" w:eastAsia="宋体" w:hint="default"/>
                <w:sz w:val="16"/>
                <w:szCs w:val="16"/>
              </w:rPr>
            </w:pPr>
            <w:r>
              <w:rPr>
                <w:rFonts w:ascii="宋体"/>
                <w:sz w:val="16"/>
              </w:rPr>
              <w:t>4,112</w:t>
            </w:r>
          </w:p>
        </w:tc>
        <w:tc>
          <w:tcPr>
            <w:tcW w:w="112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240"/>
              <w:jc w:val="right"/>
              <w:rPr>
                <w:rFonts w:ascii="宋体" w:hAnsi="宋体" w:cs="宋体" w:eastAsia="宋体" w:hint="default"/>
                <w:sz w:val="16"/>
                <w:szCs w:val="16"/>
              </w:rPr>
            </w:pPr>
            <w:r>
              <w:rPr>
                <w:rFonts w:ascii="宋体"/>
                <w:w w:val="95"/>
                <w:sz w:val="16"/>
              </w:rPr>
              <w:t>1,014</w:t>
            </w:r>
            <w:r>
              <w:rPr>
                <w:rFonts w:ascii="宋体"/>
                <w:sz w:val="16"/>
              </w:rPr>
            </w:r>
          </w:p>
        </w:tc>
        <w:tc>
          <w:tcPr>
            <w:tcW w:w="112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240"/>
              <w:jc w:val="right"/>
              <w:rPr>
                <w:rFonts w:ascii="宋体" w:hAnsi="宋体" w:cs="宋体" w:eastAsia="宋体" w:hint="default"/>
                <w:sz w:val="16"/>
                <w:szCs w:val="16"/>
              </w:rPr>
            </w:pPr>
            <w:r>
              <w:rPr>
                <w:rFonts w:ascii="宋体"/>
                <w:w w:val="95"/>
                <w:sz w:val="16"/>
              </w:rPr>
              <w:t>3,098</w:t>
            </w:r>
            <w:r>
              <w:rPr>
                <w:rFonts w:ascii="宋体"/>
                <w:sz w:val="16"/>
              </w:rPr>
            </w:r>
          </w:p>
        </w:tc>
        <w:tc>
          <w:tcPr>
            <w:tcW w:w="996"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131"/>
                <w:sz w:val="16"/>
              </w:rPr>
              <w:t>-</w:t>
            </w:r>
            <w:r>
              <w:rPr>
                <w:rFonts w:ascii="宋体"/>
                <w:sz w:val="16"/>
              </w:rPr>
            </w:r>
          </w:p>
        </w:tc>
        <w:tc>
          <w:tcPr>
            <w:tcW w:w="1255"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240"/>
              <w:jc w:val="right"/>
              <w:rPr>
                <w:rFonts w:ascii="宋体" w:hAnsi="宋体" w:cs="宋体" w:eastAsia="宋体" w:hint="default"/>
                <w:sz w:val="16"/>
                <w:szCs w:val="16"/>
              </w:rPr>
            </w:pPr>
            <w:r>
              <w:rPr>
                <w:rFonts w:ascii="宋体"/>
                <w:sz w:val="16"/>
              </w:rPr>
              <w:t>21,454</w:t>
            </w:r>
          </w:p>
        </w:tc>
        <w:tc>
          <w:tcPr>
            <w:tcW w:w="996"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sz w:val="16"/>
              </w:rPr>
              <w:t>20,899</w:t>
            </w:r>
          </w:p>
        </w:tc>
      </w:tr>
    </w:tbl>
    <w:p>
      <w:pPr>
        <w:spacing w:line="240" w:lineRule="auto" w:before="11"/>
        <w:rPr>
          <w:rFonts w:ascii="宋体" w:hAnsi="宋体" w:cs="宋体" w:eastAsia="宋体" w:hint="default"/>
          <w:sz w:val="12"/>
          <w:szCs w:val="12"/>
        </w:rPr>
      </w:pPr>
    </w:p>
    <w:p>
      <w:pPr>
        <w:pStyle w:val="BodyText"/>
        <w:spacing w:line="240" w:lineRule="auto" w:before="31"/>
        <w:ind w:left="453" w:right="0"/>
        <w:jc w:val="left"/>
      </w:pPr>
      <w:r>
        <w:rPr/>
        <w:t>于</w:t>
      </w:r>
      <w:r>
        <w:rPr>
          <w:spacing w:val="-38"/>
        </w:rPr>
        <w:t> </w:t>
      </w:r>
      <w:r>
        <w:rPr/>
        <w:t>2018</w:t>
      </w:r>
      <w:r>
        <w:rPr>
          <w:spacing w:val="-38"/>
        </w:rPr>
        <w:t> </w:t>
      </w:r>
      <w:r>
        <w:rPr/>
        <w:t>年</w:t>
      </w:r>
      <w:r>
        <w:rPr>
          <w:spacing w:val="-38"/>
        </w:rPr>
        <w:t> </w:t>
      </w:r>
      <w:r>
        <w:rPr/>
        <w:t>12</w:t>
      </w:r>
      <w:r>
        <w:rPr>
          <w:spacing w:val="-38"/>
        </w:rPr>
        <w:t> </w:t>
      </w:r>
      <w:r>
        <w:rPr/>
        <w:t>月</w:t>
      </w:r>
      <w:r>
        <w:rPr>
          <w:spacing w:val="-38"/>
        </w:rPr>
        <w:t> </w:t>
      </w:r>
      <w:r>
        <w:rPr/>
        <w:t>31</w:t>
      </w:r>
      <w:r>
        <w:rPr>
          <w:spacing w:val="-38"/>
        </w:rPr>
        <w:t> </w:t>
      </w:r>
      <w:r>
        <w:rPr/>
        <w:t>日长期银行借款的公允价值以预期的借款本金和支付利息的现金流量按市场年利率</w:t>
      </w:r>
      <w:r>
        <w:rPr>
          <w:spacing w:val="-38"/>
        </w:rPr>
        <w:t> </w:t>
      </w:r>
      <w:r>
        <w:rPr/>
        <w:t>0.79%</w:t>
      </w:r>
      <w:r>
        <w:rPr>
          <w:spacing w:val="-38"/>
        </w:rPr>
        <w:t> </w:t>
      </w:r>
      <w:r>
        <w:rPr/>
        <w:t>至</w:t>
      </w:r>
      <w:r>
        <w:rPr>
          <w:spacing w:val="-38"/>
        </w:rPr>
        <w:t> </w:t>
      </w:r>
      <w:r>
        <w:rPr/>
        <w:t>4.48%</w:t>
      </w:r>
    </w:p>
    <w:p>
      <w:pPr>
        <w:pStyle w:val="BodyText"/>
        <w:spacing w:line="458" w:lineRule="auto" w:before="44"/>
        <w:ind w:left="453" w:right="3292"/>
        <w:jc w:val="left"/>
      </w:pPr>
      <w:r>
        <w:rPr>
          <w:w w:val="105"/>
        </w:rPr>
        <w:t>（2017</w:t>
      </w:r>
      <w:r>
        <w:rPr>
          <w:spacing w:val="-50"/>
          <w:w w:val="105"/>
        </w:rPr>
        <w:t> </w:t>
      </w:r>
      <w:r>
        <w:rPr>
          <w:w w:val="105"/>
        </w:rPr>
        <w:t>年</w:t>
      </w:r>
      <w:r>
        <w:rPr>
          <w:spacing w:val="-49"/>
          <w:w w:val="105"/>
        </w:rPr>
        <w:t> </w:t>
      </w:r>
      <w:r>
        <w:rPr>
          <w:w w:val="105"/>
        </w:rPr>
        <w:t>12</w:t>
      </w:r>
      <w:r>
        <w:rPr>
          <w:spacing w:val="-50"/>
          <w:w w:val="105"/>
        </w:rPr>
        <w:t> </w:t>
      </w:r>
      <w:r>
        <w:rPr>
          <w:w w:val="105"/>
        </w:rPr>
        <w:t>月</w:t>
      </w:r>
      <w:r>
        <w:rPr>
          <w:spacing w:val="-49"/>
          <w:w w:val="105"/>
        </w:rPr>
        <w:t> </w:t>
      </w:r>
      <w:r>
        <w:rPr>
          <w:w w:val="105"/>
        </w:rPr>
        <w:t>31</w:t>
      </w:r>
      <w:r>
        <w:rPr>
          <w:spacing w:val="-50"/>
          <w:w w:val="105"/>
        </w:rPr>
        <w:t> </w:t>
      </w:r>
      <w:r>
        <w:rPr>
          <w:w w:val="105"/>
        </w:rPr>
        <w:t>日：1.18%</w:t>
      </w:r>
      <w:r>
        <w:rPr>
          <w:spacing w:val="-50"/>
          <w:w w:val="105"/>
        </w:rPr>
        <w:t> </w:t>
      </w:r>
      <w:r>
        <w:rPr>
          <w:w w:val="105"/>
        </w:rPr>
        <w:t>至</w:t>
      </w:r>
      <w:r>
        <w:rPr>
          <w:spacing w:val="-49"/>
          <w:w w:val="105"/>
        </w:rPr>
        <w:t> </w:t>
      </w:r>
      <w:r>
        <w:rPr>
          <w:w w:val="105"/>
        </w:rPr>
        <w:t>5.51%）来折现估算。</w:t>
      </w:r>
      <w:r>
        <w:rPr>
          <w:spacing w:val="-61"/>
          <w:w w:val="105"/>
        </w:rPr>
        <w:t> </w:t>
      </w:r>
      <w:r>
        <w:rPr>
          <w:spacing w:val="-61"/>
          <w:w w:val="105"/>
        </w:rPr>
      </w:r>
      <w:r>
        <w:rPr/>
        <w:t>公司债券以在计量日能够取得的在活跃市场上未经调整的报价作为公允价值。</w:t>
      </w:r>
    </w:p>
    <w:p>
      <w:pPr>
        <w:pStyle w:val="BodyText"/>
        <w:spacing w:line="285" w:lineRule="auto" w:before="50"/>
        <w:ind w:left="453" w:right="118"/>
        <w:jc w:val="left"/>
      </w:pPr>
      <w:r>
        <w:rPr>
          <w:spacing w:val="2"/>
          <w:w w:val="105"/>
        </w:rPr>
        <w:t>除此之外，于</w:t>
      </w:r>
      <w:r>
        <w:rPr>
          <w:spacing w:val="-68"/>
          <w:w w:val="105"/>
        </w:rPr>
        <w:t> </w:t>
      </w:r>
      <w:r>
        <w:rPr>
          <w:w w:val="105"/>
        </w:rPr>
        <w:t>2018</w:t>
      </w:r>
      <w:r>
        <w:rPr>
          <w:spacing w:val="-68"/>
          <w:w w:val="105"/>
        </w:rPr>
        <w:t> </w:t>
      </w:r>
      <w:r>
        <w:rPr>
          <w:w w:val="105"/>
        </w:rPr>
        <w:t>年</w:t>
      </w:r>
      <w:r>
        <w:rPr>
          <w:spacing w:val="-68"/>
          <w:w w:val="105"/>
        </w:rPr>
        <w:t> </w:t>
      </w:r>
      <w:r>
        <w:rPr>
          <w:w w:val="105"/>
        </w:rPr>
        <w:t>12</w:t>
      </w:r>
      <w:r>
        <w:rPr>
          <w:spacing w:val="-68"/>
          <w:w w:val="105"/>
        </w:rPr>
        <w:t> </w:t>
      </w:r>
      <w:r>
        <w:rPr>
          <w:w w:val="105"/>
        </w:rPr>
        <w:t>月</w:t>
      </w:r>
      <w:r>
        <w:rPr>
          <w:spacing w:val="-68"/>
          <w:w w:val="105"/>
        </w:rPr>
        <w:t> </w:t>
      </w:r>
      <w:r>
        <w:rPr>
          <w:w w:val="105"/>
        </w:rPr>
        <w:t>31</w:t>
      </w:r>
      <w:r>
        <w:rPr>
          <w:spacing w:val="-68"/>
          <w:w w:val="105"/>
        </w:rPr>
        <w:t> </w:t>
      </w:r>
      <w:r>
        <w:rPr>
          <w:w w:val="105"/>
        </w:rPr>
        <w:t>日及</w:t>
      </w:r>
      <w:r>
        <w:rPr>
          <w:spacing w:val="-68"/>
          <w:w w:val="105"/>
        </w:rPr>
        <w:t> </w:t>
      </w:r>
      <w:r>
        <w:rPr>
          <w:w w:val="105"/>
        </w:rPr>
        <w:t>2017</w:t>
      </w:r>
      <w:r>
        <w:rPr>
          <w:spacing w:val="-68"/>
          <w:w w:val="105"/>
        </w:rPr>
        <w:t> </w:t>
      </w:r>
      <w:r>
        <w:rPr>
          <w:w w:val="105"/>
        </w:rPr>
        <w:t>年</w:t>
      </w:r>
      <w:r>
        <w:rPr>
          <w:spacing w:val="-68"/>
          <w:w w:val="105"/>
        </w:rPr>
        <w:t> </w:t>
      </w:r>
      <w:r>
        <w:rPr>
          <w:w w:val="105"/>
        </w:rPr>
        <w:t>12</w:t>
      </w:r>
      <w:r>
        <w:rPr>
          <w:spacing w:val="-68"/>
          <w:w w:val="105"/>
        </w:rPr>
        <w:t> </w:t>
      </w:r>
      <w:r>
        <w:rPr>
          <w:w w:val="105"/>
        </w:rPr>
        <w:t>月</w:t>
      </w:r>
      <w:r>
        <w:rPr>
          <w:spacing w:val="-68"/>
          <w:w w:val="105"/>
        </w:rPr>
        <w:t> </w:t>
      </w:r>
      <w:r>
        <w:rPr>
          <w:w w:val="105"/>
        </w:rPr>
        <w:t>31</w:t>
      </w:r>
      <w:r>
        <w:rPr>
          <w:spacing w:val="-68"/>
          <w:w w:val="105"/>
        </w:rPr>
        <w:t> </w:t>
      </w:r>
      <w:r>
        <w:rPr>
          <w:spacing w:val="3"/>
          <w:w w:val="105"/>
        </w:rPr>
        <w:t>日，由于本集团其他用摊余成本计量的金融资产和金融负债的</w:t>
      </w:r>
      <w:r>
        <w:rPr>
          <w:spacing w:val="4"/>
        </w:rPr>
        <w:t> </w:t>
      </w:r>
      <w:r>
        <w:rPr>
          <w:w w:val="105"/>
        </w:rPr>
        <w:t>性质或其较短的到期日，其账面价值与公允价值接近。</w:t>
      </w:r>
    </w:p>
    <w:p>
      <w:pPr>
        <w:spacing w:after="0" w:line="285" w:lineRule="auto"/>
        <w:jc w:val="left"/>
        <w:sectPr>
          <w:headerReference w:type="even" r:id="rId350"/>
          <w:pgSz w:w="11910" w:h="16160"/>
          <w:pgMar w:header="1200" w:footer="320" w:top="2120" w:bottom="520" w:left="680" w:right="13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125"/>
        <w:jc w:val="left"/>
        <w:rPr>
          <w:rFonts w:ascii="宋体" w:hAnsi="宋体" w:cs="宋体" w:eastAsia="宋体" w:hint="default"/>
        </w:rPr>
      </w:pPr>
      <w:r>
        <w:rPr>
          <w:rFonts w:ascii="宋体" w:hAnsi="宋体" w:cs="宋体" w:eastAsia="宋体" w:hint="default"/>
          <w:color w:val="9F8958"/>
        </w:rPr>
        <w:t>十、关联方关系及其交易</w:t>
      </w:r>
      <w:r>
        <w:rPr>
          <w:rFonts w:ascii="宋体" w:hAnsi="宋体" w:cs="宋体" w:eastAsia="宋体" w:hint="default"/>
        </w:rPr>
      </w:r>
    </w:p>
    <w:p>
      <w:pPr>
        <w:spacing w:line="240" w:lineRule="auto" w:before="7"/>
        <w:rPr>
          <w:rFonts w:ascii="宋体" w:hAnsi="宋体" w:cs="宋体" w:eastAsia="宋体" w:hint="default"/>
          <w:sz w:val="15"/>
          <w:szCs w:val="15"/>
        </w:rPr>
      </w:pPr>
    </w:p>
    <w:p>
      <w:pPr>
        <w:spacing w:after="0" w:line="240" w:lineRule="auto"/>
        <w:rPr>
          <w:rFonts w:ascii="宋体" w:hAnsi="宋体" w:cs="宋体" w:eastAsia="宋体" w:hint="default"/>
          <w:sz w:val="15"/>
          <w:szCs w:val="15"/>
        </w:rPr>
        <w:sectPr>
          <w:headerReference w:type="default" r:id="rId351"/>
          <w:pgSz w:w="11910" w:h="16160"/>
          <w:pgMar w:header="0" w:footer="298" w:top="1520" w:bottom="480" w:left="1360" w:right="660"/>
        </w:sectPr>
      </w:pPr>
    </w:p>
    <w:p>
      <w:pPr>
        <w:pStyle w:val="BodyText"/>
        <w:spacing w:line="240" w:lineRule="auto" w:before="31"/>
        <w:ind w:left="114" w:right="-20"/>
        <w:jc w:val="left"/>
      </w:pPr>
      <w:r>
        <w:rPr/>
        <w:t>1、本公司的母公司情况</w:t>
      </w:r>
    </w:p>
    <w:p>
      <w:pPr>
        <w:spacing w:line="240" w:lineRule="auto" w:before="2"/>
        <w:rPr>
          <w:rFonts w:ascii="宋体" w:hAnsi="宋体" w:cs="宋体" w:eastAsia="宋体" w:hint="default"/>
          <w:sz w:val="20"/>
          <w:szCs w:val="20"/>
        </w:rPr>
      </w:pPr>
    </w:p>
    <w:p>
      <w:pPr>
        <w:tabs>
          <w:tab w:pos="1867" w:val="left" w:leader="none"/>
          <w:tab w:pos="3317" w:val="left" w:leader="none"/>
          <w:tab w:pos="4780" w:val="left" w:leader="none"/>
        </w:tabs>
        <w:spacing w:before="0"/>
        <w:ind w:left="567" w:right="-20" w:firstLine="0"/>
        <w:jc w:val="left"/>
        <w:rPr>
          <w:rFonts w:ascii="宋体" w:hAnsi="宋体" w:cs="宋体" w:eastAsia="宋体" w:hint="default"/>
          <w:sz w:val="16"/>
          <w:szCs w:val="16"/>
        </w:rPr>
      </w:pPr>
      <w:r>
        <w:rPr>
          <w:rFonts w:ascii="宋体" w:hAnsi="宋体" w:cs="宋体" w:eastAsia="宋体" w:hint="default"/>
          <w:sz w:val="16"/>
          <w:szCs w:val="16"/>
        </w:rPr>
        <w:t>母公司名称</w:t>
        <w:tab/>
        <w:t>注册地</w:t>
        <w:tab/>
        <w:t>业务性质</w:t>
        <w:tab/>
        <w:t>注册资本</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4"/>
        <w:rPr>
          <w:rFonts w:ascii="宋体" w:hAnsi="宋体" w:cs="宋体" w:eastAsia="宋体" w:hint="default"/>
          <w:sz w:val="11"/>
          <w:szCs w:val="11"/>
        </w:rPr>
      </w:pPr>
    </w:p>
    <w:p>
      <w:pPr>
        <w:spacing w:line="200" w:lineRule="exact" w:before="0"/>
        <w:ind w:left="467" w:right="-19" w:hanging="354"/>
        <w:jc w:val="left"/>
        <w:rPr>
          <w:rFonts w:ascii="宋体" w:hAnsi="宋体" w:cs="宋体" w:eastAsia="宋体" w:hint="default"/>
          <w:sz w:val="16"/>
          <w:szCs w:val="16"/>
        </w:rPr>
      </w:pPr>
      <w:r>
        <w:rPr>
          <w:rFonts w:ascii="宋体" w:hAnsi="宋体" w:cs="宋体" w:eastAsia="宋体" w:hint="default"/>
          <w:sz w:val="16"/>
          <w:szCs w:val="16"/>
        </w:rPr>
        <w:t>母公司对本公司的 持股比例</w:t>
      </w:r>
      <w:r>
        <w:rPr>
          <w:rFonts w:ascii="宋体" w:hAnsi="宋体" w:cs="宋体" w:eastAsia="宋体" w:hint="default"/>
          <w:spacing w:val="-34"/>
          <w:sz w:val="16"/>
          <w:szCs w:val="16"/>
        </w:rPr>
        <w:t> </w:t>
      </w:r>
      <w:r>
        <w:rPr>
          <w:rFonts w:ascii="宋体" w:hAnsi="宋体" w:cs="宋体" w:eastAsia="宋体" w:hint="default"/>
          <w:sz w:val="16"/>
          <w:szCs w:val="16"/>
        </w:rPr>
        <w:t>(%)</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4"/>
        <w:rPr>
          <w:rFonts w:ascii="宋体" w:hAnsi="宋体" w:cs="宋体" w:eastAsia="宋体" w:hint="default"/>
          <w:sz w:val="11"/>
          <w:szCs w:val="11"/>
        </w:rPr>
      </w:pPr>
    </w:p>
    <w:p>
      <w:pPr>
        <w:spacing w:line="200" w:lineRule="exact" w:before="0"/>
        <w:ind w:left="302" w:right="-19" w:hanging="189"/>
        <w:jc w:val="left"/>
        <w:rPr>
          <w:rFonts w:ascii="宋体" w:hAnsi="宋体" w:cs="宋体" w:eastAsia="宋体" w:hint="default"/>
          <w:sz w:val="16"/>
          <w:szCs w:val="16"/>
        </w:rPr>
      </w:pPr>
      <w:r>
        <w:rPr>
          <w:rFonts w:ascii="宋体" w:hAnsi="宋体" w:cs="宋体" w:eastAsia="宋体" w:hint="default"/>
          <w:sz w:val="16"/>
          <w:szCs w:val="16"/>
        </w:rPr>
        <w:t>母公司对本公司的 表决权比例</w:t>
      </w:r>
      <w:r>
        <w:rPr>
          <w:rFonts w:ascii="宋体" w:hAnsi="宋体" w:cs="宋体" w:eastAsia="宋体" w:hint="default"/>
          <w:spacing w:val="-30"/>
          <w:sz w:val="16"/>
          <w:szCs w:val="16"/>
        </w:rPr>
        <w:t> </w:t>
      </w:r>
      <w:r>
        <w:rPr>
          <w:rFonts w:ascii="宋体" w:hAnsi="宋体" w:cs="宋体" w:eastAsia="宋体" w:hint="default"/>
          <w:sz w:val="16"/>
          <w:szCs w:val="16"/>
        </w:rPr>
        <w:t>(%)</w:t>
      </w:r>
    </w:p>
    <w:p>
      <w:pPr>
        <w:spacing w:line="240" w:lineRule="auto" w:before="0"/>
        <w:rPr>
          <w:rFonts w:ascii="宋体" w:hAnsi="宋体" w:cs="宋体" w:eastAsia="宋体" w:hint="default"/>
          <w:sz w:val="16"/>
          <w:szCs w:val="16"/>
        </w:rPr>
      </w:pPr>
      <w:r>
        <w:rPr/>
        <w:br w:type="column"/>
      </w:r>
      <w:r>
        <w:rPr>
          <w:rFonts w:ascii="宋体"/>
          <w:sz w:val="16"/>
        </w:rPr>
      </w:r>
    </w:p>
    <w:p>
      <w:pPr>
        <w:spacing w:line="240" w:lineRule="auto" w:before="4"/>
        <w:rPr>
          <w:rFonts w:ascii="宋体" w:hAnsi="宋体" w:cs="宋体" w:eastAsia="宋体" w:hint="default"/>
          <w:sz w:val="11"/>
          <w:szCs w:val="11"/>
        </w:rPr>
      </w:pPr>
    </w:p>
    <w:p>
      <w:pPr>
        <w:spacing w:line="200" w:lineRule="exact" w:before="0"/>
        <w:ind w:left="114" w:right="226" w:firstLine="320"/>
        <w:jc w:val="left"/>
        <w:rPr>
          <w:rFonts w:ascii="宋体" w:hAnsi="宋体" w:cs="宋体" w:eastAsia="宋体" w:hint="default"/>
          <w:sz w:val="16"/>
          <w:szCs w:val="16"/>
        </w:rPr>
      </w:pPr>
      <w:r>
        <w:rPr>
          <w:rFonts w:ascii="宋体" w:hAnsi="宋体" w:cs="宋体" w:eastAsia="宋体" w:hint="default"/>
          <w:sz w:val="16"/>
          <w:szCs w:val="16"/>
        </w:rPr>
        <w:t>本公司 最终控制方</w:t>
      </w:r>
    </w:p>
    <w:p>
      <w:pPr>
        <w:spacing w:after="0" w:line="200" w:lineRule="exact"/>
        <w:jc w:val="left"/>
        <w:rPr>
          <w:rFonts w:ascii="宋体" w:hAnsi="宋体" w:cs="宋体" w:eastAsia="宋体" w:hint="default"/>
          <w:sz w:val="16"/>
          <w:szCs w:val="16"/>
        </w:rPr>
        <w:sectPr>
          <w:type w:val="continuous"/>
          <w:pgSz w:w="11910" w:h="16160"/>
          <w:pgMar w:top="1520" w:bottom="280" w:left="1360" w:right="660"/>
          <w:cols w:num="4" w:equalWidth="0">
            <w:col w:w="5421" w:space="159"/>
            <w:col w:w="1395" w:space="193"/>
            <w:col w:w="1395" w:space="163"/>
            <w:col w:w="1164"/>
          </w:cols>
        </w:sectPr>
      </w:pPr>
    </w:p>
    <w:p>
      <w:pPr>
        <w:spacing w:line="240" w:lineRule="auto" w:before="6"/>
        <w:rPr>
          <w:rFonts w:ascii="宋体" w:hAnsi="宋体" w:cs="宋体" w:eastAsia="宋体" w:hint="default"/>
          <w:sz w:val="9"/>
          <w:szCs w:val="9"/>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191;height:2" coordorigin="20,20" coordsize="1191,2">
              <v:shape style="position:absolute;left:20;top:20;width:1191;height:2" coordorigin="20,20" coordsize="1191,0" path="m20,20l1211,20e" filled="false" stroked="true" strokeweight="2pt" strokecolor="#9f8958">
                <v:path arrowok="t"/>
              </v:shape>
            </v:group>
            <v:group style="position:absolute;left:1211;top:20;width:817;height:2" coordorigin="1211,20" coordsize="817,2">
              <v:shape style="position:absolute;left:1211;top:20;width:817;height:2" coordorigin="1211,20" coordsize="817,0" path="m1211,20l2027,20e" filled="false" stroked="true" strokeweight="2pt" strokecolor="#9f8958">
                <v:path arrowok="t"/>
              </v:shape>
            </v:group>
            <v:group style="position:absolute;left:2027;top:20;width:1611;height:2" coordorigin="2027,20" coordsize="1611,2">
              <v:shape style="position:absolute;left:2027;top:20;width:1611;height:2" coordorigin="2027,20" coordsize="1611,0" path="m2027,20l3637,20e" filled="false" stroked="true" strokeweight="2pt" strokecolor="#9f8958">
                <v:path arrowok="t"/>
              </v:shape>
            </v:group>
            <v:group style="position:absolute;left:3637;top:20;width:1463;height:2" coordorigin="3637,20" coordsize="1463,2">
              <v:shape style="position:absolute;left:3637;top:20;width:1463;height:2" coordorigin="3637,20" coordsize="1463,0" path="m3637,20l5100,20e" filled="false" stroked="true" strokeweight="2pt" strokecolor="#9f8958">
                <v:path arrowok="t"/>
              </v:shape>
            </v:group>
            <v:group style="position:absolute;left:5100;top:20;width:1554;height:2" coordorigin="5100,20" coordsize="1554,2">
              <v:shape style="position:absolute;left:5100;top:20;width:1554;height:2" coordorigin="5100,20" coordsize="1554,0" path="m5100,20l6653,20e" filled="false" stroked="true" strokeweight="2pt" strokecolor="#9f8958">
                <v:path arrowok="t"/>
              </v:shape>
            </v:group>
            <v:group style="position:absolute;left:6653;top:20;width:1588;height:2" coordorigin="6653,20" coordsize="1588,2">
              <v:shape style="position:absolute;left:6653;top:20;width:1588;height:2" coordorigin="6653,20" coordsize="1588,0" path="m6653,20l8240,20e" filled="false" stroked="true" strokeweight="2pt" strokecolor="#9f8958">
                <v:path arrowok="t"/>
              </v:shape>
            </v:group>
            <v:group style="position:absolute;left:8240;top:20;width:1078;height:2" coordorigin="8240,20" coordsize="1078,2">
              <v:shape style="position:absolute;left:8240;top:20;width:1078;height:2" coordorigin="8240,20" coordsize="1078,0" path="m8240,20l9318,20e" filled="false" stroked="true" strokeweight="2pt" strokecolor="#9f8958">
                <v:path arrowok="t"/>
              </v:shape>
            </v:group>
          </v:group>
        </w:pict>
      </w:r>
      <w:r>
        <w:rPr>
          <w:rFonts w:ascii="宋体" w:hAnsi="宋体" w:cs="宋体" w:eastAsia="宋体" w:hint="default"/>
          <w:position w:val="0"/>
          <w:sz w:val="4"/>
          <w:szCs w:val="4"/>
        </w:rPr>
      </w:r>
    </w:p>
    <w:p>
      <w:pPr>
        <w:tabs>
          <w:tab w:pos="2027" w:val="left" w:leader="none"/>
          <w:tab w:pos="2594" w:val="left" w:leader="none"/>
          <w:tab w:pos="4222" w:val="left" w:leader="none"/>
          <w:tab w:pos="6503" w:val="left" w:leader="none"/>
          <w:tab w:pos="8090" w:val="left" w:leader="none"/>
          <w:tab w:pos="8998" w:val="left" w:leader="none"/>
        </w:tabs>
        <w:spacing w:before="92"/>
        <w:ind w:left="567" w:right="125" w:firstLine="0"/>
        <w:jc w:val="left"/>
        <w:rPr>
          <w:rFonts w:ascii="宋体" w:hAnsi="宋体" w:cs="宋体" w:eastAsia="宋体" w:hint="default"/>
          <w:sz w:val="16"/>
          <w:szCs w:val="16"/>
        </w:rPr>
      </w:pPr>
      <w:r>
        <w:rPr>
          <w:rFonts w:ascii="宋体" w:hAnsi="宋体" w:cs="宋体" w:eastAsia="宋体" w:hint="default"/>
          <w:sz w:val="16"/>
          <w:szCs w:val="16"/>
        </w:rPr>
        <w:t>联通集团</w:t>
        <w:tab/>
        <w:t>北京</w:t>
        <w:tab/>
      </w:r>
      <w:r>
        <w:rPr>
          <w:rFonts w:ascii="宋体" w:hAnsi="宋体" w:cs="宋体" w:eastAsia="宋体" w:hint="default"/>
          <w:spacing w:val="-9"/>
          <w:sz w:val="16"/>
          <w:szCs w:val="16"/>
        </w:rPr>
        <w:t>电信业务及投资控股</w:t>
        <w:tab/>
      </w:r>
      <w:r>
        <w:rPr>
          <w:rFonts w:ascii="宋体" w:hAnsi="宋体" w:cs="宋体" w:eastAsia="宋体" w:hint="default"/>
          <w:w w:val="95"/>
          <w:sz w:val="16"/>
          <w:szCs w:val="16"/>
        </w:rPr>
        <w:t>106,471,198,904</w:t>
        <w:tab/>
      </w:r>
      <w:r>
        <w:rPr>
          <w:rFonts w:ascii="宋体" w:hAnsi="宋体" w:cs="宋体" w:eastAsia="宋体" w:hint="default"/>
          <w:w w:val="105"/>
          <w:sz w:val="16"/>
          <w:szCs w:val="16"/>
        </w:rPr>
        <w:t>36.7%</w:t>
        <w:tab/>
        <w:t>36.7%</w:t>
        <w:tab/>
        <w:t>联通集团</w:t>
      </w:r>
    </w:p>
    <w:p>
      <w:pPr>
        <w:spacing w:line="240" w:lineRule="auto" w:before="11"/>
        <w:rPr>
          <w:rFonts w:ascii="宋体" w:hAnsi="宋体" w:cs="宋体" w:eastAsia="宋体" w:hint="default"/>
          <w:sz w:val="10"/>
          <w:szCs w:val="10"/>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1191;height:2" coordorigin="20,20" coordsize="1191,2">
              <v:shape style="position:absolute;left:20;top:20;width:1191;height:2" coordorigin="20,20" coordsize="1191,0" path="m20,20l1211,20e" filled="false" stroked="true" strokeweight="2pt" strokecolor="#9f8958">
                <v:path arrowok="t"/>
              </v:shape>
            </v:group>
            <v:group style="position:absolute;left:1211;top:20;width:817;height:2" coordorigin="1211,20" coordsize="817,2">
              <v:shape style="position:absolute;left:1211;top:20;width:817;height:2" coordorigin="1211,20" coordsize="817,0" path="m1211,20l2027,20e" filled="false" stroked="true" strokeweight="2pt" strokecolor="#9f8958">
                <v:path arrowok="t"/>
              </v:shape>
            </v:group>
            <v:group style="position:absolute;left:2027;top:20;width:1611;height:2" coordorigin="2027,20" coordsize="1611,2">
              <v:shape style="position:absolute;left:2027;top:20;width:1611;height:2" coordorigin="2027,20" coordsize="1611,0" path="m2027,20l3637,20e" filled="false" stroked="true" strokeweight="2pt" strokecolor="#9f8958">
                <v:path arrowok="t"/>
              </v:shape>
            </v:group>
            <v:group style="position:absolute;left:3637;top:20;width:1463;height:2" coordorigin="3637,20" coordsize="1463,2">
              <v:shape style="position:absolute;left:3637;top:20;width:1463;height:2" coordorigin="3637,20" coordsize="1463,0" path="m3637,20l5100,20e" filled="false" stroked="true" strokeweight="2pt" strokecolor="#9f8958">
                <v:path arrowok="t"/>
              </v:shape>
            </v:group>
            <v:group style="position:absolute;left:5100;top:20;width:1554;height:2" coordorigin="5100,20" coordsize="1554,2">
              <v:shape style="position:absolute;left:5100;top:20;width:1554;height:2" coordorigin="5100,20" coordsize="1554,0" path="m5100,20l6653,20e" filled="false" stroked="true" strokeweight="2pt" strokecolor="#9f8958">
                <v:path arrowok="t"/>
              </v:shape>
            </v:group>
            <v:group style="position:absolute;left:6653;top:20;width:1588;height:2" coordorigin="6653,20" coordsize="1588,2">
              <v:shape style="position:absolute;left:6653;top:20;width:1588;height:2" coordorigin="6653,20" coordsize="1588,0" path="m6653,20l8240,20e" filled="false" stroked="true" strokeweight="2pt" strokecolor="#9f8958">
                <v:path arrowok="t"/>
              </v:shape>
            </v:group>
            <v:group style="position:absolute;left:8240;top:20;width:1078;height:2" coordorigin="8240,20" coordsize="1078,2">
              <v:shape style="position:absolute;left:8240;top:20;width:1078;height:2" coordorigin="8240,20" coordsize="1078,0" path="m8240,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7"/>
        <w:rPr>
          <w:rFonts w:ascii="宋体" w:hAnsi="宋体" w:cs="宋体" w:eastAsia="宋体" w:hint="default"/>
          <w:sz w:val="8"/>
          <w:szCs w:val="8"/>
        </w:rPr>
      </w:pPr>
    </w:p>
    <w:p>
      <w:pPr>
        <w:pStyle w:val="BodyText"/>
        <w:spacing w:line="458" w:lineRule="auto" w:before="31"/>
        <w:ind w:left="113" w:right="3832" w:firstLine="340"/>
        <w:jc w:val="left"/>
      </w:pPr>
      <w:r>
        <w:rPr/>
        <w:t>本公司的最终控制方为联通集团。联通集团为国资委直属的中央企业。 2、</w:t>
      </w:r>
      <w:r>
        <w:rPr>
          <w:spacing w:val="-21"/>
        </w:rPr>
        <w:t> </w:t>
      </w:r>
      <w:r>
        <w:rPr/>
        <w:t>子公司情况</w:t>
      </w:r>
    </w:p>
    <w:p>
      <w:pPr>
        <w:pStyle w:val="BodyText"/>
        <w:spacing w:line="458" w:lineRule="auto" w:before="71"/>
        <w:ind w:left="113" w:right="6172" w:firstLine="340"/>
        <w:jc w:val="left"/>
      </w:pPr>
      <w:r>
        <w:rPr/>
        <w:t>子公司的基本情况及相关信息见附注七。 3、</w:t>
      </w:r>
      <w:r>
        <w:rPr>
          <w:spacing w:val="-21"/>
        </w:rPr>
        <w:t> </w:t>
      </w:r>
      <w:r>
        <w:rPr/>
        <w:t>本公司的合营和联营企业情况</w:t>
      </w:r>
    </w:p>
    <w:p>
      <w:pPr>
        <w:pStyle w:val="BodyText"/>
        <w:spacing w:line="240" w:lineRule="auto" w:before="71"/>
        <w:ind w:right="125"/>
        <w:jc w:val="left"/>
      </w:pPr>
      <w:r>
        <w:rPr>
          <w:w w:val="95"/>
        </w:rPr>
        <w:t>本集团的合营或联营企业，详见附注五</w:t>
      </w:r>
      <w:r>
        <w:rPr>
          <w:spacing w:val="64"/>
          <w:w w:val="95"/>
        </w:rPr>
        <w:t> </w:t>
      </w:r>
      <w:r>
        <w:rPr>
          <w:w w:val="95"/>
        </w:rPr>
        <w:t>(9)。</w:t>
      </w:r>
      <w:r>
        <w:rPr/>
      </w:r>
    </w:p>
    <w:p>
      <w:pPr>
        <w:spacing w:line="240" w:lineRule="auto" w:before="0"/>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type w:val="continuous"/>
          <w:pgSz w:w="11910" w:h="16160"/>
          <w:pgMar w:top="1520" w:bottom="280" w:left="1360" w:right="660"/>
        </w:sectPr>
      </w:pPr>
    </w:p>
    <w:p>
      <w:pPr>
        <w:pStyle w:val="BodyText"/>
        <w:spacing w:line="240" w:lineRule="auto" w:before="31"/>
        <w:ind w:left="113" w:right="-18"/>
        <w:jc w:val="left"/>
      </w:pPr>
      <w:r>
        <w:rPr/>
        <w:t>4、</w:t>
      </w:r>
      <w:r>
        <w:rPr>
          <w:spacing w:val="-21"/>
        </w:rPr>
        <w:t> </w:t>
      </w:r>
      <w:r>
        <w:rPr/>
        <w:t>其他关联方情况</w:t>
      </w:r>
    </w:p>
    <w:p>
      <w:pPr>
        <w:spacing w:line="240" w:lineRule="auto" w:before="12"/>
        <w:rPr>
          <w:rFonts w:ascii="宋体" w:hAnsi="宋体" w:cs="宋体" w:eastAsia="宋体" w:hint="default"/>
          <w:sz w:val="20"/>
          <w:szCs w:val="20"/>
        </w:rPr>
      </w:pPr>
      <w:r>
        <w:rPr/>
        <w:br w:type="column"/>
      </w:r>
      <w:r>
        <w:rPr>
          <w:rFonts w:ascii="宋体"/>
          <w:sz w:val="20"/>
        </w:rPr>
      </w:r>
    </w:p>
    <w:p>
      <w:pPr>
        <w:spacing w:before="0"/>
        <w:ind w:left="113" w:right="0" w:firstLine="0"/>
        <w:jc w:val="left"/>
        <w:rPr>
          <w:rFonts w:ascii="宋体" w:hAnsi="宋体" w:cs="宋体" w:eastAsia="宋体" w:hint="default"/>
          <w:sz w:val="16"/>
          <w:szCs w:val="16"/>
        </w:rPr>
      </w:pPr>
      <w:r>
        <w:rPr>
          <w:rFonts w:ascii="宋体" w:hAnsi="宋体" w:cs="宋体" w:eastAsia="宋体" w:hint="default"/>
          <w:sz w:val="16"/>
          <w:szCs w:val="16"/>
        </w:rPr>
        <w:t>与本集团的关系</w:t>
      </w:r>
    </w:p>
    <w:p>
      <w:pPr>
        <w:spacing w:after="0"/>
        <w:jc w:val="left"/>
        <w:rPr>
          <w:rFonts w:ascii="宋体" w:hAnsi="宋体" w:cs="宋体" w:eastAsia="宋体" w:hint="default"/>
          <w:sz w:val="16"/>
          <w:szCs w:val="16"/>
        </w:rPr>
        <w:sectPr>
          <w:type w:val="continuous"/>
          <w:pgSz w:w="11910" w:h="16160"/>
          <w:pgMar w:top="1520" w:bottom="280" w:left="1360" w:right="660"/>
          <w:cols w:num="2" w:equalWidth="0">
            <w:col w:w="1714" w:space="6690"/>
            <w:col w:w="1486"/>
          </w:cols>
        </w:sectPr>
      </w:pP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766;height:2" coordorigin="20,20" coordsize="766,2">
              <v:shape style="position:absolute;left:20;top:20;width:766;height:2" coordorigin="20,20" coordsize="766,0" path="m20,20l785,20e" filled="false" stroked="true" strokeweight="2pt" strokecolor="#9f8958">
                <v:path arrowok="t"/>
              </v:shape>
            </v:group>
            <v:group style="position:absolute;left:785;top:20;width:4614;height:2" coordorigin="785,20" coordsize="4614,2">
              <v:shape style="position:absolute;left:785;top:20;width:4614;height:2" coordorigin="785,20" coordsize="4614,0" path="m785,20l5399,20e" filled="false" stroked="true" strokeweight="2pt" strokecolor="#9f8958">
                <v:path arrowok="t"/>
              </v:shape>
            </v:group>
            <v:group style="position:absolute;left:5399;top:20;width:3919;height:2" coordorigin="5399,20" coordsize="3919,2">
              <v:shape style="position:absolute;left:5399;top:20;width:3919;height:2" coordorigin="5399,20" coordsize="3919,0" path="m5399,20l9318,20e" filled="false" stroked="true" strokeweight="2pt" strokecolor="#9f8958">
                <v:path arrowok="t"/>
              </v:shape>
            </v:group>
          </v:group>
        </w:pict>
      </w:r>
      <w:r>
        <w:rPr>
          <w:rFonts w:ascii="宋体" w:hAnsi="宋体" w:cs="宋体" w:eastAsia="宋体" w:hint="default"/>
          <w:position w:val="0"/>
          <w:sz w:val="4"/>
          <w:szCs w:val="4"/>
        </w:rPr>
      </w:r>
    </w:p>
    <w:p>
      <w:pPr>
        <w:tabs>
          <w:tab w:pos="1332" w:val="left" w:leader="none"/>
          <w:tab w:pos="7718" w:val="left" w:leader="none"/>
        </w:tabs>
        <w:spacing w:before="64"/>
        <w:ind w:left="748" w:right="125" w:firstLine="0"/>
        <w:jc w:val="left"/>
        <w:rPr>
          <w:rFonts w:ascii="宋体" w:hAnsi="宋体" w:cs="宋体" w:eastAsia="宋体" w:hint="default"/>
          <w:sz w:val="16"/>
          <w:szCs w:val="16"/>
        </w:rPr>
      </w:pPr>
      <w:r>
        <w:rPr>
          <w:rFonts w:ascii="宋体" w:hAnsi="宋体" w:cs="宋体" w:eastAsia="宋体" w:hint="default"/>
          <w:w w:val="70"/>
          <w:sz w:val="16"/>
          <w:szCs w:val="16"/>
        </w:rPr>
        <w:t>(1)</w:t>
        <w:tab/>
      </w:r>
      <w:r>
        <w:rPr>
          <w:rFonts w:ascii="宋体" w:hAnsi="宋体" w:cs="宋体" w:eastAsia="宋体" w:hint="default"/>
          <w:sz w:val="16"/>
          <w:szCs w:val="16"/>
        </w:rPr>
        <w:t>联通时科</w:t>
        <w:tab/>
        <w:t>与本公司同受联通集团控制</w:t>
      </w:r>
    </w:p>
    <w:p>
      <w:pPr>
        <w:tabs>
          <w:tab w:pos="1332" w:val="left" w:leader="none"/>
          <w:tab w:pos="7718" w:val="left" w:leader="none"/>
        </w:tabs>
        <w:spacing w:before="64"/>
        <w:ind w:left="747" w:right="125" w:firstLine="0"/>
        <w:jc w:val="left"/>
        <w:rPr>
          <w:rFonts w:ascii="宋体" w:hAnsi="宋体" w:cs="宋体" w:eastAsia="宋体" w:hint="default"/>
          <w:sz w:val="16"/>
          <w:szCs w:val="16"/>
        </w:rPr>
      </w:pPr>
      <w:r>
        <w:rPr>
          <w:rFonts w:ascii="宋体" w:hAnsi="宋体" w:cs="宋体" w:eastAsia="宋体" w:hint="default"/>
          <w:w w:val="70"/>
          <w:sz w:val="16"/>
          <w:szCs w:val="16"/>
        </w:rPr>
        <w:t>(2)</w:t>
        <w:tab/>
      </w:r>
      <w:r>
        <w:rPr>
          <w:rFonts w:ascii="宋体" w:hAnsi="宋体" w:cs="宋体" w:eastAsia="宋体" w:hint="default"/>
          <w:sz w:val="16"/>
          <w:szCs w:val="16"/>
        </w:rPr>
        <w:t>联通集团</w:t>
      </w:r>
      <w:r>
        <w:rPr>
          <w:rFonts w:ascii="宋体" w:hAnsi="宋体" w:cs="宋体" w:eastAsia="宋体" w:hint="default"/>
          <w:spacing w:val="-36"/>
          <w:sz w:val="16"/>
          <w:szCs w:val="16"/>
        </w:rPr>
        <w:t> </w:t>
      </w:r>
      <w:r>
        <w:rPr>
          <w:rFonts w:ascii="宋体" w:hAnsi="宋体" w:cs="宋体" w:eastAsia="宋体" w:hint="default"/>
          <w:sz w:val="16"/>
          <w:szCs w:val="16"/>
        </w:rPr>
        <w:t>BVI</w:t>
      </w:r>
      <w:r>
        <w:rPr>
          <w:rFonts w:ascii="宋体" w:hAnsi="宋体" w:cs="宋体" w:eastAsia="宋体" w:hint="default"/>
          <w:spacing w:val="-36"/>
          <w:sz w:val="16"/>
          <w:szCs w:val="16"/>
        </w:rPr>
        <w:t> </w:t>
      </w:r>
      <w:r>
        <w:rPr>
          <w:rFonts w:ascii="宋体" w:hAnsi="宋体" w:cs="宋体" w:eastAsia="宋体" w:hint="default"/>
          <w:sz w:val="16"/>
          <w:szCs w:val="16"/>
        </w:rPr>
        <w:t>公司</w:t>
        <w:tab/>
        <w:t>与本公司同受联通集团控制</w:t>
      </w:r>
    </w:p>
    <w:p>
      <w:pPr>
        <w:tabs>
          <w:tab w:pos="1332" w:val="left" w:leader="none"/>
          <w:tab w:pos="7717" w:val="left" w:leader="none"/>
        </w:tabs>
        <w:spacing w:before="64"/>
        <w:ind w:left="747" w:right="125" w:firstLine="0"/>
        <w:jc w:val="left"/>
        <w:rPr>
          <w:rFonts w:ascii="宋体" w:hAnsi="宋体" w:cs="宋体" w:eastAsia="宋体" w:hint="default"/>
          <w:sz w:val="16"/>
          <w:szCs w:val="16"/>
        </w:rPr>
      </w:pPr>
      <w:r>
        <w:rPr>
          <w:rFonts w:ascii="宋体" w:hAnsi="宋体" w:cs="宋体" w:eastAsia="宋体" w:hint="default"/>
          <w:w w:val="70"/>
          <w:sz w:val="16"/>
          <w:szCs w:val="16"/>
        </w:rPr>
        <w:t>(3)</w:t>
        <w:tab/>
      </w:r>
      <w:r>
        <w:rPr>
          <w:rFonts w:ascii="宋体" w:hAnsi="宋体" w:cs="宋体" w:eastAsia="宋体" w:hint="default"/>
          <w:sz w:val="16"/>
          <w:szCs w:val="16"/>
        </w:rPr>
        <w:t>中国联通集团北京市通信有限公司及其子公司</w:t>
        <w:tab/>
        <w:t>与本公司同受联通集团控制</w:t>
      </w:r>
    </w:p>
    <w:p>
      <w:pPr>
        <w:tabs>
          <w:tab w:pos="1332" w:val="left" w:leader="none"/>
          <w:tab w:pos="7717" w:val="left" w:leader="none"/>
        </w:tabs>
        <w:spacing w:before="64"/>
        <w:ind w:left="747" w:right="125" w:firstLine="0"/>
        <w:jc w:val="left"/>
        <w:rPr>
          <w:rFonts w:ascii="宋体" w:hAnsi="宋体" w:cs="宋体" w:eastAsia="宋体" w:hint="default"/>
          <w:sz w:val="16"/>
          <w:szCs w:val="16"/>
        </w:rPr>
      </w:pPr>
      <w:r>
        <w:rPr>
          <w:rFonts w:ascii="宋体" w:hAnsi="宋体" w:cs="宋体" w:eastAsia="宋体" w:hint="default"/>
          <w:w w:val="70"/>
          <w:sz w:val="16"/>
          <w:szCs w:val="16"/>
        </w:rPr>
        <w:t>(4)</w:t>
        <w:tab/>
      </w:r>
      <w:r>
        <w:rPr>
          <w:rFonts w:ascii="宋体" w:hAnsi="宋体" w:cs="宋体" w:eastAsia="宋体" w:hint="default"/>
          <w:sz w:val="16"/>
          <w:szCs w:val="16"/>
        </w:rPr>
        <w:t>天津市联通通信有限公司及其子公司</w:t>
        <w:tab/>
        <w:t>与本公司同受联通集团控制</w:t>
      </w:r>
    </w:p>
    <w:p>
      <w:pPr>
        <w:tabs>
          <w:tab w:pos="1332" w:val="left" w:leader="none"/>
          <w:tab w:pos="7717" w:val="left" w:leader="none"/>
        </w:tabs>
        <w:spacing w:before="64"/>
        <w:ind w:left="747" w:right="125" w:firstLine="0"/>
        <w:jc w:val="left"/>
        <w:rPr>
          <w:rFonts w:ascii="宋体" w:hAnsi="宋体" w:cs="宋体" w:eastAsia="宋体" w:hint="default"/>
          <w:sz w:val="16"/>
          <w:szCs w:val="16"/>
        </w:rPr>
      </w:pPr>
      <w:r>
        <w:rPr>
          <w:rFonts w:ascii="宋体" w:hAnsi="宋体" w:cs="宋体" w:eastAsia="宋体" w:hint="default"/>
          <w:w w:val="70"/>
          <w:sz w:val="16"/>
          <w:szCs w:val="16"/>
        </w:rPr>
        <w:t>(5)</w:t>
        <w:tab/>
      </w:r>
      <w:r>
        <w:rPr>
          <w:rFonts w:ascii="宋体" w:hAnsi="宋体" w:cs="宋体" w:eastAsia="宋体" w:hint="default"/>
          <w:sz w:val="16"/>
          <w:szCs w:val="16"/>
        </w:rPr>
        <w:t>中国联通集团河北省通信有限公司及其子公司</w:t>
        <w:tab/>
        <w:t>与本公司同受联通集团控制</w:t>
      </w:r>
    </w:p>
    <w:p>
      <w:pPr>
        <w:tabs>
          <w:tab w:pos="1332" w:val="left" w:leader="none"/>
          <w:tab w:pos="7717" w:val="left" w:leader="none"/>
        </w:tabs>
        <w:spacing w:before="64"/>
        <w:ind w:left="747" w:right="125" w:firstLine="0"/>
        <w:jc w:val="left"/>
        <w:rPr>
          <w:rFonts w:ascii="宋体" w:hAnsi="宋体" w:cs="宋体" w:eastAsia="宋体" w:hint="default"/>
          <w:sz w:val="16"/>
          <w:szCs w:val="16"/>
        </w:rPr>
      </w:pPr>
      <w:r>
        <w:rPr>
          <w:rFonts w:ascii="宋体" w:hAnsi="宋体" w:cs="宋体" w:eastAsia="宋体" w:hint="default"/>
          <w:w w:val="70"/>
          <w:sz w:val="16"/>
          <w:szCs w:val="16"/>
        </w:rPr>
        <w:t>(6)</w:t>
        <w:tab/>
      </w:r>
      <w:r>
        <w:rPr>
          <w:rFonts w:ascii="宋体" w:hAnsi="宋体" w:cs="宋体" w:eastAsia="宋体" w:hint="default"/>
          <w:sz w:val="16"/>
          <w:szCs w:val="16"/>
        </w:rPr>
        <w:t>河南省联通通信有限公司</w:t>
        <w:tab/>
        <w:t>与本公司同受联通集团控制</w:t>
      </w:r>
    </w:p>
    <w:p>
      <w:pPr>
        <w:tabs>
          <w:tab w:pos="1331" w:val="left" w:leader="none"/>
          <w:tab w:pos="7717" w:val="left" w:leader="none"/>
        </w:tabs>
        <w:spacing w:before="64"/>
        <w:ind w:left="747" w:right="125" w:firstLine="0"/>
        <w:jc w:val="left"/>
        <w:rPr>
          <w:rFonts w:ascii="宋体" w:hAnsi="宋体" w:cs="宋体" w:eastAsia="宋体" w:hint="default"/>
          <w:sz w:val="16"/>
          <w:szCs w:val="16"/>
        </w:rPr>
      </w:pPr>
      <w:r>
        <w:rPr>
          <w:rFonts w:ascii="宋体" w:hAnsi="宋体" w:cs="宋体" w:eastAsia="宋体" w:hint="default"/>
          <w:w w:val="70"/>
          <w:sz w:val="16"/>
          <w:szCs w:val="16"/>
        </w:rPr>
        <w:t>(7)</w:t>
        <w:tab/>
      </w:r>
      <w:r>
        <w:rPr>
          <w:rFonts w:ascii="宋体" w:hAnsi="宋体" w:cs="宋体" w:eastAsia="宋体" w:hint="default"/>
          <w:sz w:val="16"/>
          <w:szCs w:val="16"/>
        </w:rPr>
        <w:t>山东省联通通信有限公司及其子公司</w:t>
        <w:tab/>
        <w:t>与本公司同受联通集团控制</w:t>
      </w:r>
    </w:p>
    <w:p>
      <w:pPr>
        <w:tabs>
          <w:tab w:pos="1331" w:val="left" w:leader="none"/>
          <w:tab w:pos="7717" w:val="left" w:leader="none"/>
        </w:tabs>
        <w:spacing w:before="64"/>
        <w:ind w:left="746" w:right="125" w:firstLine="0"/>
        <w:jc w:val="left"/>
        <w:rPr>
          <w:rFonts w:ascii="宋体" w:hAnsi="宋体" w:cs="宋体" w:eastAsia="宋体" w:hint="default"/>
          <w:sz w:val="16"/>
          <w:szCs w:val="16"/>
        </w:rPr>
      </w:pPr>
      <w:r>
        <w:rPr>
          <w:rFonts w:ascii="宋体" w:hAnsi="宋体" w:cs="宋体" w:eastAsia="宋体" w:hint="default"/>
          <w:w w:val="70"/>
          <w:sz w:val="16"/>
          <w:szCs w:val="16"/>
        </w:rPr>
        <w:t>(8)</w:t>
        <w:tab/>
      </w:r>
      <w:r>
        <w:rPr>
          <w:rFonts w:ascii="宋体" w:hAnsi="宋体" w:cs="宋体" w:eastAsia="宋体" w:hint="default"/>
          <w:sz w:val="16"/>
          <w:szCs w:val="16"/>
        </w:rPr>
        <w:t>中国联通集团辽宁省通信有限公司及其子公司</w:t>
        <w:tab/>
        <w:t>与本公司同受联通集团控制</w:t>
      </w:r>
    </w:p>
    <w:p>
      <w:pPr>
        <w:tabs>
          <w:tab w:pos="1331" w:val="left" w:leader="none"/>
          <w:tab w:pos="7716" w:val="left" w:leader="none"/>
        </w:tabs>
        <w:spacing w:before="64"/>
        <w:ind w:left="746" w:right="125" w:firstLine="0"/>
        <w:jc w:val="left"/>
        <w:rPr>
          <w:rFonts w:ascii="宋体" w:hAnsi="宋体" w:cs="宋体" w:eastAsia="宋体" w:hint="default"/>
          <w:sz w:val="16"/>
          <w:szCs w:val="16"/>
        </w:rPr>
      </w:pPr>
      <w:r>
        <w:rPr>
          <w:rFonts w:ascii="宋体" w:hAnsi="宋体" w:cs="宋体" w:eastAsia="宋体" w:hint="default"/>
          <w:w w:val="70"/>
          <w:sz w:val="16"/>
          <w:szCs w:val="16"/>
        </w:rPr>
        <w:t>(9)</w:t>
        <w:tab/>
      </w:r>
      <w:r>
        <w:rPr>
          <w:rFonts w:ascii="宋体" w:hAnsi="宋体" w:cs="宋体" w:eastAsia="宋体" w:hint="default"/>
          <w:sz w:val="16"/>
          <w:szCs w:val="16"/>
        </w:rPr>
        <w:t>山西省联通通信有限公司及其子公司</w:t>
        <w:tab/>
        <w:t>与本公司同受联通集团控制</w:t>
      </w:r>
    </w:p>
    <w:p>
      <w:pPr>
        <w:tabs>
          <w:tab w:pos="1331" w:val="left" w:leader="none"/>
          <w:tab w:pos="7716" w:val="left" w:leader="none"/>
        </w:tabs>
        <w:spacing w:before="64"/>
        <w:ind w:left="702" w:right="125" w:firstLine="0"/>
        <w:jc w:val="left"/>
        <w:rPr>
          <w:rFonts w:ascii="宋体" w:hAnsi="宋体" w:cs="宋体" w:eastAsia="宋体" w:hint="default"/>
          <w:sz w:val="16"/>
          <w:szCs w:val="16"/>
        </w:rPr>
      </w:pPr>
      <w:r>
        <w:rPr>
          <w:rFonts w:ascii="宋体" w:hAnsi="宋体" w:cs="宋体" w:eastAsia="宋体" w:hint="default"/>
          <w:w w:val="80"/>
          <w:sz w:val="16"/>
          <w:szCs w:val="16"/>
        </w:rPr>
        <w:t>(10)</w:t>
        <w:tab/>
      </w:r>
      <w:r>
        <w:rPr>
          <w:rFonts w:ascii="宋体" w:hAnsi="宋体" w:cs="宋体" w:eastAsia="宋体" w:hint="default"/>
          <w:sz w:val="16"/>
          <w:szCs w:val="16"/>
        </w:rPr>
        <w:t>吉林省联通通信有限公司及其子公司</w:t>
        <w:tab/>
        <w:t>与本公司同受联通集团控制</w:t>
      </w:r>
    </w:p>
    <w:p>
      <w:pPr>
        <w:tabs>
          <w:tab w:pos="1331" w:val="left" w:leader="none"/>
          <w:tab w:pos="7716" w:val="left" w:leader="none"/>
        </w:tabs>
        <w:spacing w:before="64"/>
        <w:ind w:left="702" w:right="125" w:firstLine="0"/>
        <w:jc w:val="left"/>
        <w:rPr>
          <w:rFonts w:ascii="宋体" w:hAnsi="宋体" w:cs="宋体" w:eastAsia="宋体" w:hint="default"/>
          <w:sz w:val="16"/>
          <w:szCs w:val="16"/>
        </w:rPr>
      </w:pPr>
      <w:r>
        <w:rPr>
          <w:rFonts w:ascii="宋体" w:hAnsi="宋体" w:cs="宋体" w:eastAsia="宋体" w:hint="default"/>
          <w:w w:val="80"/>
          <w:sz w:val="16"/>
          <w:szCs w:val="16"/>
        </w:rPr>
        <w:t>(11)</w:t>
        <w:tab/>
      </w:r>
      <w:r>
        <w:rPr>
          <w:rFonts w:ascii="宋体" w:hAnsi="宋体" w:cs="宋体" w:eastAsia="宋体" w:hint="default"/>
          <w:sz w:val="16"/>
          <w:szCs w:val="16"/>
        </w:rPr>
        <w:t>中国联通集团黑龙江省通信有限公司及其子公司</w:t>
        <w:tab/>
        <w:t>与本公司同受联通集团控制</w:t>
      </w:r>
    </w:p>
    <w:p>
      <w:pPr>
        <w:tabs>
          <w:tab w:pos="1331" w:val="left" w:leader="none"/>
          <w:tab w:pos="7716" w:val="left" w:leader="none"/>
        </w:tabs>
        <w:spacing w:before="64"/>
        <w:ind w:left="702" w:right="125" w:firstLine="0"/>
        <w:jc w:val="left"/>
        <w:rPr>
          <w:rFonts w:ascii="宋体" w:hAnsi="宋体" w:cs="宋体" w:eastAsia="宋体" w:hint="default"/>
          <w:sz w:val="16"/>
          <w:szCs w:val="16"/>
        </w:rPr>
      </w:pPr>
      <w:r>
        <w:rPr>
          <w:rFonts w:ascii="宋体" w:hAnsi="宋体" w:cs="宋体" w:eastAsia="宋体" w:hint="default"/>
          <w:w w:val="80"/>
          <w:sz w:val="16"/>
          <w:szCs w:val="16"/>
        </w:rPr>
        <w:t>(12)</w:t>
        <w:tab/>
      </w:r>
      <w:r>
        <w:rPr>
          <w:rFonts w:ascii="宋体" w:hAnsi="宋体" w:cs="宋体" w:eastAsia="宋体" w:hint="default"/>
          <w:sz w:val="16"/>
          <w:szCs w:val="16"/>
        </w:rPr>
        <w:t>内蒙古联通通信有限公司及其子公司</w:t>
        <w:tab/>
        <w:t>与本公司同受联通集团控制</w:t>
      </w:r>
    </w:p>
    <w:p>
      <w:pPr>
        <w:tabs>
          <w:tab w:pos="1330" w:val="left" w:leader="none"/>
          <w:tab w:pos="7716" w:val="left" w:leader="none"/>
        </w:tabs>
        <w:spacing w:before="64"/>
        <w:ind w:left="701" w:right="125" w:firstLine="0"/>
        <w:jc w:val="left"/>
        <w:rPr>
          <w:rFonts w:ascii="宋体" w:hAnsi="宋体" w:cs="宋体" w:eastAsia="宋体" w:hint="default"/>
          <w:sz w:val="16"/>
          <w:szCs w:val="16"/>
        </w:rPr>
      </w:pPr>
      <w:r>
        <w:rPr>
          <w:rFonts w:ascii="宋体" w:hAnsi="宋体" w:cs="宋体" w:eastAsia="宋体" w:hint="default"/>
          <w:w w:val="80"/>
          <w:sz w:val="16"/>
          <w:szCs w:val="16"/>
        </w:rPr>
        <w:t>(13)</w:t>
        <w:tab/>
      </w:r>
      <w:r>
        <w:rPr>
          <w:rFonts w:ascii="宋体" w:hAnsi="宋体" w:cs="宋体" w:eastAsia="宋体" w:hint="default"/>
          <w:sz w:val="16"/>
          <w:szCs w:val="16"/>
        </w:rPr>
        <w:t>联通通信建设有限公司及其子公司</w:t>
        <w:tab/>
        <w:t>与本公司同受联通集团控制</w:t>
      </w:r>
    </w:p>
    <w:p>
      <w:pPr>
        <w:tabs>
          <w:tab w:pos="1330" w:val="left" w:leader="none"/>
          <w:tab w:pos="7716" w:val="left" w:leader="none"/>
        </w:tabs>
        <w:spacing w:before="64"/>
        <w:ind w:left="701" w:right="125" w:firstLine="0"/>
        <w:jc w:val="left"/>
        <w:rPr>
          <w:rFonts w:ascii="宋体" w:hAnsi="宋体" w:cs="宋体" w:eastAsia="宋体" w:hint="default"/>
          <w:sz w:val="16"/>
          <w:szCs w:val="16"/>
        </w:rPr>
      </w:pPr>
      <w:r>
        <w:rPr>
          <w:rFonts w:ascii="宋体" w:hAnsi="宋体" w:cs="宋体" w:eastAsia="宋体" w:hint="default"/>
          <w:w w:val="80"/>
          <w:sz w:val="16"/>
          <w:szCs w:val="16"/>
        </w:rPr>
        <w:t>(14)</w:t>
        <w:tab/>
      </w:r>
      <w:r>
        <w:rPr>
          <w:rFonts w:ascii="宋体" w:hAnsi="宋体" w:cs="宋体" w:eastAsia="宋体" w:hint="default"/>
          <w:sz w:val="16"/>
          <w:szCs w:val="16"/>
        </w:rPr>
        <w:t>四川联通通信有限公司及其子公司</w:t>
        <w:tab/>
        <w:t>与本公司同受联通集团控制</w:t>
      </w:r>
    </w:p>
    <w:p>
      <w:pPr>
        <w:tabs>
          <w:tab w:pos="1330" w:val="left" w:leader="none"/>
          <w:tab w:pos="7716" w:val="left" w:leader="none"/>
        </w:tabs>
        <w:spacing w:before="64"/>
        <w:ind w:left="701" w:right="125" w:firstLine="0"/>
        <w:jc w:val="left"/>
        <w:rPr>
          <w:rFonts w:ascii="宋体" w:hAnsi="宋体" w:cs="宋体" w:eastAsia="宋体" w:hint="default"/>
          <w:sz w:val="16"/>
          <w:szCs w:val="16"/>
        </w:rPr>
      </w:pPr>
      <w:r>
        <w:rPr>
          <w:rFonts w:ascii="宋体" w:hAnsi="宋体" w:cs="宋体" w:eastAsia="宋体" w:hint="default"/>
          <w:w w:val="80"/>
          <w:sz w:val="16"/>
          <w:szCs w:val="16"/>
        </w:rPr>
        <w:t>(15)</w:t>
        <w:tab/>
      </w:r>
      <w:r>
        <w:rPr>
          <w:rFonts w:ascii="宋体" w:hAnsi="宋体" w:cs="宋体" w:eastAsia="宋体" w:hint="default"/>
          <w:sz w:val="16"/>
          <w:szCs w:val="16"/>
        </w:rPr>
        <w:t>中国联合网络通信集团有限公司附属分公司</w:t>
        <w:tab/>
        <w:t>与本公司同受联通集团控制</w:t>
      </w:r>
    </w:p>
    <w:p>
      <w:pPr>
        <w:tabs>
          <w:tab w:pos="1330" w:val="left" w:leader="none"/>
          <w:tab w:pos="7715" w:val="left" w:leader="none"/>
        </w:tabs>
        <w:spacing w:before="64"/>
        <w:ind w:left="701" w:right="125" w:firstLine="0"/>
        <w:jc w:val="left"/>
        <w:rPr>
          <w:rFonts w:ascii="宋体" w:hAnsi="宋体" w:cs="宋体" w:eastAsia="宋体" w:hint="default"/>
          <w:sz w:val="16"/>
          <w:szCs w:val="16"/>
        </w:rPr>
      </w:pPr>
      <w:r>
        <w:rPr>
          <w:rFonts w:ascii="宋体" w:hAnsi="宋体" w:cs="宋体" w:eastAsia="宋体" w:hint="default"/>
          <w:w w:val="80"/>
          <w:sz w:val="16"/>
          <w:szCs w:val="16"/>
        </w:rPr>
        <w:t>(16)</w:t>
        <w:tab/>
      </w:r>
      <w:r>
        <w:rPr>
          <w:rFonts w:ascii="宋体" w:hAnsi="宋体" w:cs="宋体" w:eastAsia="宋体" w:hint="default"/>
          <w:sz w:val="16"/>
          <w:szCs w:val="16"/>
        </w:rPr>
        <w:t>中网威信电子安全服务有限公司</w:t>
        <w:tab/>
        <w:t>与本公司同受联通集团控制</w:t>
      </w:r>
    </w:p>
    <w:p>
      <w:pPr>
        <w:tabs>
          <w:tab w:pos="1330" w:val="left" w:leader="none"/>
          <w:tab w:pos="7715" w:val="left" w:leader="none"/>
        </w:tabs>
        <w:spacing w:before="64"/>
        <w:ind w:left="701" w:right="125" w:firstLine="0"/>
        <w:jc w:val="left"/>
        <w:rPr>
          <w:rFonts w:ascii="宋体" w:hAnsi="宋体" w:cs="宋体" w:eastAsia="宋体" w:hint="default"/>
          <w:sz w:val="16"/>
          <w:szCs w:val="16"/>
        </w:rPr>
      </w:pPr>
      <w:r>
        <w:rPr>
          <w:rFonts w:ascii="宋体" w:hAnsi="宋体" w:cs="宋体" w:eastAsia="宋体" w:hint="default"/>
          <w:w w:val="80"/>
          <w:sz w:val="16"/>
          <w:szCs w:val="16"/>
        </w:rPr>
        <w:t>(17)</w:t>
        <w:tab/>
      </w:r>
      <w:r>
        <w:rPr>
          <w:rFonts w:ascii="宋体" w:hAnsi="宋体" w:cs="宋体" w:eastAsia="宋体" w:hint="default"/>
          <w:sz w:val="16"/>
          <w:szCs w:val="16"/>
        </w:rPr>
        <w:t>北京联通兴业科贸有限公司</w:t>
        <w:tab/>
        <w:t>与本公司同受联通集团控制</w:t>
      </w:r>
    </w:p>
    <w:p>
      <w:pPr>
        <w:tabs>
          <w:tab w:pos="1330" w:val="left" w:leader="none"/>
          <w:tab w:pos="7715" w:val="left" w:leader="none"/>
        </w:tabs>
        <w:spacing w:before="64"/>
        <w:ind w:left="701" w:right="125" w:firstLine="0"/>
        <w:jc w:val="left"/>
        <w:rPr>
          <w:rFonts w:ascii="宋体" w:hAnsi="宋体" w:cs="宋体" w:eastAsia="宋体" w:hint="default"/>
          <w:sz w:val="16"/>
          <w:szCs w:val="16"/>
        </w:rPr>
      </w:pPr>
      <w:r>
        <w:rPr>
          <w:rFonts w:ascii="宋体" w:hAnsi="宋体" w:cs="宋体" w:eastAsia="宋体" w:hint="default"/>
          <w:w w:val="80"/>
          <w:sz w:val="16"/>
          <w:szCs w:val="16"/>
        </w:rPr>
        <w:t>(18)</w:t>
        <w:tab/>
      </w:r>
      <w:r>
        <w:rPr>
          <w:rFonts w:ascii="宋体" w:hAnsi="宋体" w:cs="宋体" w:eastAsia="宋体" w:hint="default"/>
          <w:sz w:val="16"/>
          <w:szCs w:val="16"/>
        </w:rPr>
        <w:t>联通资本投资控股有限公司</w:t>
        <w:tab/>
        <w:t>与本公司同受联通集团控制</w:t>
      </w:r>
    </w:p>
    <w:p>
      <w:pPr>
        <w:tabs>
          <w:tab w:pos="1329" w:val="left" w:leader="none"/>
          <w:tab w:pos="7395" w:val="left" w:leader="none"/>
        </w:tabs>
        <w:spacing w:before="64"/>
        <w:ind w:left="700" w:right="125" w:firstLine="0"/>
        <w:jc w:val="left"/>
        <w:rPr>
          <w:rFonts w:ascii="宋体" w:hAnsi="宋体" w:cs="宋体" w:eastAsia="宋体" w:hint="default"/>
          <w:sz w:val="16"/>
          <w:szCs w:val="16"/>
        </w:rPr>
      </w:pPr>
      <w:r>
        <w:rPr>
          <w:rFonts w:ascii="宋体" w:hAnsi="宋体" w:cs="宋体" w:eastAsia="宋体" w:hint="default"/>
          <w:w w:val="80"/>
          <w:sz w:val="16"/>
          <w:szCs w:val="16"/>
        </w:rPr>
        <w:t>(19)</w:t>
        <w:tab/>
      </w:r>
      <w:r>
        <w:rPr>
          <w:rFonts w:ascii="宋体" w:hAnsi="宋体" w:cs="宋体" w:eastAsia="宋体" w:hint="default"/>
          <w:sz w:val="16"/>
          <w:szCs w:val="16"/>
        </w:rPr>
        <w:t>中国人寿保险（集团）公司及其子公司</w:t>
        <w:tab/>
        <w:t>对本公司施加重大影响的投资方</w:t>
      </w:r>
    </w:p>
    <w:p>
      <w:pPr>
        <w:tabs>
          <w:tab w:pos="1329" w:val="left" w:leader="none"/>
          <w:tab w:pos="6755" w:val="left" w:leader="none"/>
        </w:tabs>
        <w:spacing w:before="64"/>
        <w:ind w:left="700" w:right="125" w:firstLine="0"/>
        <w:jc w:val="left"/>
        <w:rPr>
          <w:rFonts w:ascii="宋体" w:hAnsi="宋体" w:cs="宋体" w:eastAsia="宋体" w:hint="default"/>
          <w:sz w:val="16"/>
          <w:szCs w:val="16"/>
        </w:rPr>
      </w:pPr>
      <w:r>
        <w:rPr>
          <w:rFonts w:ascii="宋体" w:hAnsi="宋体" w:cs="宋体" w:eastAsia="宋体" w:hint="default"/>
          <w:w w:val="80"/>
          <w:sz w:val="16"/>
          <w:szCs w:val="16"/>
        </w:rPr>
        <w:t>(20)</w:t>
        <w:tab/>
      </w:r>
      <w:r>
        <w:rPr>
          <w:rFonts w:ascii="宋体" w:hAnsi="宋体" w:cs="宋体" w:eastAsia="宋体" w:hint="default"/>
          <w:sz w:val="16"/>
          <w:szCs w:val="16"/>
        </w:rPr>
        <w:t>电讯盈科有限公司及其子公司</w:t>
        <w:tab/>
        <w:t>本公司执行董事在该公司担任非执行董事</w:t>
      </w:r>
    </w:p>
    <w:p>
      <w:pPr>
        <w:tabs>
          <w:tab w:pos="1329" w:val="left" w:leader="none"/>
          <w:tab w:pos="6755" w:val="left" w:leader="none"/>
        </w:tabs>
        <w:spacing w:before="64"/>
        <w:ind w:left="700" w:right="125" w:firstLine="0"/>
        <w:jc w:val="left"/>
        <w:rPr>
          <w:rFonts w:ascii="宋体" w:hAnsi="宋体" w:cs="宋体" w:eastAsia="宋体" w:hint="default"/>
          <w:sz w:val="16"/>
          <w:szCs w:val="16"/>
        </w:rPr>
      </w:pPr>
      <w:r>
        <w:rPr>
          <w:rFonts w:ascii="宋体" w:hAnsi="宋体" w:cs="宋体" w:eastAsia="宋体" w:hint="default"/>
          <w:w w:val="83"/>
          <w:sz w:val="16"/>
          <w:szCs w:val="16"/>
        </w:rPr>
        <w:t>(21)</w:t>
      </w:r>
      <w:r>
        <w:rPr>
          <w:rFonts w:ascii="宋体" w:hAnsi="宋体" w:cs="宋体" w:eastAsia="宋体" w:hint="default"/>
          <w:sz w:val="16"/>
          <w:szCs w:val="16"/>
        </w:rPr>
        <w:tab/>
      </w:r>
      <w:r>
        <w:rPr>
          <w:rFonts w:ascii="宋体" w:hAnsi="宋体" w:cs="宋体" w:eastAsia="宋体" w:hint="default"/>
          <w:w w:val="94"/>
          <w:sz w:val="16"/>
          <w:szCs w:val="16"/>
        </w:rPr>
        <w:t>Tele</w:t>
      </w:r>
      <w:r>
        <w:rPr>
          <w:rFonts w:ascii="宋体" w:hAnsi="宋体" w:cs="宋体" w:eastAsia="宋体" w:hint="default"/>
          <w:spacing w:val="-29"/>
          <w:w w:val="66"/>
          <w:sz w:val="16"/>
          <w:szCs w:val="16"/>
        </w:rPr>
        <w:t>f</w:t>
      </w:r>
      <w:r>
        <w:rPr>
          <w:rFonts w:ascii="宋体" w:hAnsi="宋体" w:cs="宋体" w:eastAsia="宋体" w:hint="default"/>
          <w:spacing w:val="-32"/>
          <w:w w:val="200"/>
          <w:sz w:val="16"/>
          <w:szCs w:val="16"/>
        </w:rPr>
        <w:t>ó</w:t>
      </w:r>
      <w:r>
        <w:rPr>
          <w:rFonts w:ascii="宋体" w:hAnsi="宋体" w:cs="宋体" w:eastAsia="宋体" w:hint="default"/>
          <w:w w:val="82"/>
          <w:sz w:val="16"/>
          <w:szCs w:val="16"/>
        </w:rPr>
        <w:t>nica,</w:t>
      </w:r>
      <w:r>
        <w:rPr>
          <w:rFonts w:ascii="宋体" w:hAnsi="宋体" w:cs="宋体" w:eastAsia="宋体" w:hint="default"/>
          <w:spacing w:val="-36"/>
          <w:sz w:val="16"/>
          <w:szCs w:val="16"/>
        </w:rPr>
        <w:t> </w:t>
      </w:r>
      <w:r>
        <w:rPr>
          <w:rFonts w:ascii="宋体" w:hAnsi="宋体" w:cs="宋体" w:eastAsia="宋体" w:hint="default"/>
          <w:w w:val="98"/>
          <w:sz w:val="16"/>
          <w:szCs w:val="16"/>
        </w:rPr>
        <w:t>S.A.（西班牙电信）</w:t>
      </w:r>
      <w:r>
        <w:rPr>
          <w:rFonts w:ascii="宋体" w:hAnsi="宋体" w:cs="宋体" w:eastAsia="宋体" w:hint="default"/>
          <w:sz w:val="16"/>
          <w:szCs w:val="16"/>
        </w:rPr>
        <w:tab/>
        <w:t>本公司执行董事在该公司担任非执行董事</w:t>
      </w:r>
    </w:p>
    <w:p>
      <w:pPr>
        <w:tabs>
          <w:tab w:pos="1329" w:val="left" w:leader="none"/>
          <w:tab w:pos="6914" w:val="left" w:leader="none"/>
        </w:tabs>
        <w:spacing w:before="64"/>
        <w:ind w:left="700" w:right="125" w:firstLine="0"/>
        <w:jc w:val="left"/>
        <w:rPr>
          <w:rFonts w:ascii="宋体" w:hAnsi="宋体" w:cs="宋体" w:eastAsia="宋体" w:hint="default"/>
          <w:sz w:val="16"/>
          <w:szCs w:val="16"/>
        </w:rPr>
      </w:pPr>
      <w:r>
        <w:rPr>
          <w:rFonts w:ascii="宋体" w:hAnsi="宋体" w:cs="宋体" w:eastAsia="宋体" w:hint="default"/>
          <w:w w:val="80"/>
          <w:sz w:val="16"/>
          <w:szCs w:val="16"/>
        </w:rPr>
        <w:t>(22)</w:t>
        <w:tab/>
      </w:r>
      <w:r>
        <w:rPr>
          <w:rFonts w:ascii="宋体" w:hAnsi="宋体" w:cs="宋体" w:eastAsia="宋体" w:hint="default"/>
          <w:sz w:val="16"/>
          <w:szCs w:val="16"/>
        </w:rPr>
        <w:t>广东宜通世纪科技股份有限公司</w:t>
        <w:tab/>
        <w:t>本公司独立董事在该公司担任独立董事</w:t>
      </w:r>
    </w:p>
    <w:p>
      <w:pPr>
        <w:tabs>
          <w:tab w:pos="1329" w:val="left" w:leader="none"/>
          <w:tab w:pos="7554" w:val="left" w:leader="none"/>
        </w:tabs>
        <w:spacing w:before="64"/>
        <w:ind w:left="700" w:right="125" w:firstLine="0"/>
        <w:jc w:val="left"/>
        <w:rPr>
          <w:rFonts w:ascii="宋体" w:hAnsi="宋体" w:cs="宋体" w:eastAsia="宋体" w:hint="default"/>
          <w:sz w:val="16"/>
          <w:szCs w:val="16"/>
        </w:rPr>
      </w:pPr>
      <w:r>
        <w:rPr>
          <w:rFonts w:ascii="宋体" w:hAnsi="宋体" w:cs="宋体" w:eastAsia="宋体" w:hint="default"/>
          <w:w w:val="80"/>
          <w:sz w:val="16"/>
          <w:szCs w:val="16"/>
        </w:rPr>
        <w:t>(23)</w:t>
        <w:tab/>
      </w:r>
      <w:r>
        <w:rPr>
          <w:rFonts w:ascii="宋体" w:hAnsi="宋体" w:cs="宋体" w:eastAsia="宋体" w:hint="default"/>
          <w:sz w:val="16"/>
          <w:szCs w:val="16"/>
        </w:rPr>
        <w:t>阿里云计算有限公司</w:t>
        <w:tab/>
        <w:t>本公司董事在该公司担任董事</w:t>
      </w:r>
    </w:p>
    <w:p>
      <w:pPr>
        <w:tabs>
          <w:tab w:pos="1329" w:val="left" w:leader="none"/>
          <w:tab w:pos="6914" w:val="left" w:leader="none"/>
        </w:tabs>
        <w:spacing w:before="64"/>
        <w:ind w:left="700" w:right="125" w:firstLine="0"/>
        <w:jc w:val="left"/>
        <w:rPr>
          <w:rFonts w:ascii="宋体" w:hAnsi="宋体" w:cs="宋体" w:eastAsia="宋体" w:hint="default"/>
          <w:sz w:val="16"/>
          <w:szCs w:val="16"/>
        </w:rPr>
      </w:pPr>
      <w:r>
        <w:rPr>
          <w:rFonts w:ascii="宋体" w:hAnsi="宋体" w:cs="宋体" w:eastAsia="宋体" w:hint="default"/>
          <w:w w:val="80"/>
          <w:sz w:val="16"/>
          <w:szCs w:val="16"/>
        </w:rPr>
        <w:t>(24)</w:t>
        <w:tab/>
      </w:r>
      <w:r>
        <w:rPr>
          <w:rFonts w:ascii="宋体" w:hAnsi="宋体" w:cs="宋体" w:eastAsia="宋体" w:hint="default"/>
          <w:sz w:val="16"/>
          <w:szCs w:val="16"/>
        </w:rPr>
        <w:t>深圳市爱施德股份有限公司</w:t>
        <w:tab/>
        <w:t>本公司独立董事在该公司担任独立董事</w:t>
      </w:r>
    </w:p>
    <w:p>
      <w:pPr>
        <w:tabs>
          <w:tab w:pos="1328" w:val="left" w:leader="none"/>
          <w:tab w:pos="7554" w:val="left" w:leader="none"/>
        </w:tabs>
        <w:spacing w:before="64"/>
        <w:ind w:left="699" w:right="125" w:firstLine="0"/>
        <w:jc w:val="left"/>
        <w:rPr>
          <w:rFonts w:ascii="宋体" w:hAnsi="宋体" w:cs="宋体" w:eastAsia="宋体" w:hint="default"/>
          <w:sz w:val="16"/>
          <w:szCs w:val="16"/>
        </w:rPr>
      </w:pPr>
      <w:r>
        <w:rPr>
          <w:rFonts w:ascii="宋体" w:hAnsi="宋体" w:cs="宋体" w:eastAsia="宋体" w:hint="default"/>
          <w:w w:val="80"/>
          <w:sz w:val="16"/>
          <w:szCs w:val="16"/>
        </w:rPr>
        <w:t>(25)</w:t>
        <w:tab/>
      </w:r>
      <w:r>
        <w:rPr>
          <w:rFonts w:ascii="宋体" w:hAnsi="宋体" w:cs="宋体" w:eastAsia="宋体" w:hint="default"/>
          <w:sz w:val="16"/>
          <w:szCs w:val="16"/>
        </w:rPr>
        <w:t>深圳市腾讯计算机系统有限公司</w:t>
        <w:tab/>
        <w:t>本公司董事在该公司担任董事</w:t>
      </w:r>
    </w:p>
    <w:p>
      <w:pPr>
        <w:spacing w:line="240" w:lineRule="auto" w:before="7"/>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766;height:2" coordorigin="20,20" coordsize="766,2">
              <v:shape style="position:absolute;left:20;top:20;width:766;height:2" coordorigin="20,20" coordsize="766,0" path="m20,20l785,20e" filled="false" stroked="true" strokeweight="2pt" strokecolor="#9f8958">
                <v:path arrowok="t"/>
              </v:shape>
            </v:group>
            <v:group style="position:absolute;left:785;top:20;width:4614;height:2" coordorigin="785,20" coordsize="4614,2">
              <v:shape style="position:absolute;left:785;top:20;width:4614;height:2" coordorigin="785,20" coordsize="4614,0" path="m785,20l5399,20e" filled="false" stroked="true" strokeweight="2pt" strokecolor="#9f8958">
                <v:path arrowok="t"/>
              </v:shape>
            </v:group>
            <v:group style="position:absolute;left:5399;top:20;width:3919;height:2" coordorigin="5399,20" coordsize="3919,2">
              <v:shape style="position:absolute;left:5399;top:20;width:3919;height:2" coordorigin="5399,20" coordsize="3919,0" path="m5399,20l9318,20e" filled="false" stroked="true" strokeweight="2pt" strokecolor="#9f8958">
                <v:path arrowok="t"/>
              </v:shape>
            </v:group>
          </v:group>
        </w:pict>
      </w:r>
      <w:r>
        <w:rPr>
          <w:rFonts w:ascii="宋体" w:hAnsi="宋体" w:cs="宋体" w:eastAsia="宋体" w:hint="default"/>
          <w:position w:val="0"/>
          <w:sz w:val="4"/>
          <w:szCs w:val="4"/>
        </w:rPr>
      </w:r>
    </w:p>
    <w:p>
      <w:pPr>
        <w:pStyle w:val="BodyText"/>
        <w:spacing w:line="285" w:lineRule="auto" w:before="58"/>
        <w:ind w:right="124"/>
        <w:jc w:val="left"/>
      </w:pPr>
      <w:r>
        <w:rPr>
          <w:w w:val="95"/>
        </w:rPr>
        <w:t>上述与本集团发生关联交易的关联方中，联通集团和</w:t>
      </w:r>
      <w:r>
        <w:rPr>
          <w:spacing w:val="-20"/>
          <w:w w:val="95"/>
        </w:rPr>
        <w:t> </w:t>
      </w:r>
      <w:r>
        <w:rPr>
          <w:w w:val="95"/>
        </w:rPr>
        <w:t>(1)</w:t>
      </w:r>
      <w:r>
        <w:rPr>
          <w:spacing w:val="-20"/>
          <w:w w:val="95"/>
        </w:rPr>
        <w:t> </w:t>
      </w:r>
      <w:r>
        <w:rPr>
          <w:w w:val="95"/>
        </w:rPr>
        <w:t>至</w:t>
      </w:r>
      <w:r>
        <w:rPr>
          <w:spacing w:val="-20"/>
          <w:w w:val="95"/>
        </w:rPr>
        <w:t> </w:t>
      </w:r>
      <w:r>
        <w:rPr>
          <w:w w:val="95"/>
        </w:rPr>
        <w:t>(18)</w:t>
      </w:r>
      <w:r>
        <w:rPr>
          <w:spacing w:val="-20"/>
          <w:w w:val="95"/>
        </w:rPr>
        <w:t> </w:t>
      </w:r>
      <w:r>
        <w:rPr>
          <w:spacing w:val="-6"/>
          <w:w w:val="95"/>
        </w:rPr>
        <w:t>统称为“联通集团及其子公司”；(19)</w:t>
      </w:r>
      <w:r>
        <w:rPr>
          <w:spacing w:val="-20"/>
          <w:w w:val="95"/>
        </w:rPr>
        <w:t> </w:t>
      </w:r>
      <w:r>
        <w:rPr>
          <w:w w:val="95"/>
        </w:rPr>
        <w:t>至</w:t>
      </w:r>
      <w:r>
        <w:rPr>
          <w:spacing w:val="-20"/>
          <w:w w:val="95"/>
        </w:rPr>
        <w:t> </w:t>
      </w:r>
      <w:r>
        <w:rPr>
          <w:w w:val="95"/>
        </w:rPr>
        <w:t>(25)</w:t>
      </w:r>
      <w:r>
        <w:rPr>
          <w:spacing w:val="-20"/>
          <w:w w:val="95"/>
        </w:rPr>
        <w:t> </w:t>
      </w:r>
      <w:r>
        <w:rPr>
          <w:spacing w:val="-7"/>
          <w:w w:val="95"/>
        </w:rPr>
        <w:t>统称为“其</w:t>
      </w:r>
      <w:r>
        <w:rPr>
          <w:spacing w:val="-80"/>
          <w:w w:val="95"/>
        </w:rPr>
        <w:t> </w:t>
      </w:r>
      <w:r>
        <w:rPr>
          <w:spacing w:val="-80"/>
          <w:w w:val="95"/>
        </w:rPr>
      </w:r>
      <w:r>
        <w:rPr/>
        <w:t>他关联法人”。</w:t>
      </w:r>
    </w:p>
    <w:p>
      <w:pPr>
        <w:spacing w:after="0" w:line="285" w:lineRule="auto"/>
        <w:jc w:val="left"/>
        <w:sectPr>
          <w:type w:val="continuous"/>
          <w:pgSz w:w="11910" w:h="16160"/>
          <w:pgMar w:top="1520" w:bottom="280" w:left="1360" w:right="66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33" w:right="0"/>
        <w:jc w:val="left"/>
        <w:rPr>
          <w:rFonts w:ascii="宋体" w:hAnsi="宋体" w:cs="宋体" w:eastAsia="宋体" w:hint="default"/>
        </w:rPr>
      </w:pPr>
      <w:r>
        <w:rPr>
          <w:rFonts w:ascii="宋体" w:hAnsi="宋体" w:cs="宋体" w:eastAsia="宋体" w:hint="default"/>
          <w:color w:val="9F8958"/>
        </w:rPr>
        <w:t>十、关联方关系及其交易（续）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33" w:right="0"/>
        <w:jc w:val="left"/>
      </w:pPr>
      <w:r>
        <w:rPr/>
        <w:t>5、重大关联交易</w:t>
      </w:r>
    </w:p>
    <w:p>
      <w:pPr>
        <w:spacing w:line="240" w:lineRule="auto" w:before="4"/>
        <w:rPr>
          <w:rFonts w:ascii="宋体" w:hAnsi="宋体" w:cs="宋体" w:eastAsia="宋体" w:hint="default"/>
          <w:sz w:val="17"/>
          <w:szCs w:val="17"/>
        </w:rPr>
      </w:pPr>
    </w:p>
    <w:tbl>
      <w:tblPr>
        <w:tblW w:w="0" w:type="auto"/>
        <w:jc w:val="left"/>
        <w:tblInd w:w="113" w:type="dxa"/>
        <w:tblLayout w:type="fixed"/>
        <w:tblCellMar>
          <w:top w:w="0" w:type="dxa"/>
          <w:left w:w="0" w:type="dxa"/>
          <w:bottom w:w="0" w:type="dxa"/>
          <w:right w:w="0" w:type="dxa"/>
        </w:tblCellMar>
        <w:tblLook w:val="01E0"/>
      </w:tblPr>
      <w:tblGrid>
        <w:gridCol w:w="2904"/>
        <w:gridCol w:w="1505"/>
        <w:gridCol w:w="1494"/>
        <w:gridCol w:w="1213"/>
        <w:gridCol w:w="1253"/>
        <w:gridCol w:w="1270"/>
      </w:tblGrid>
      <w:tr>
        <w:trPr>
          <w:trHeight w:val="530" w:hRule="exact"/>
        </w:trPr>
        <w:tc>
          <w:tcPr>
            <w:tcW w:w="2904" w:type="dxa"/>
            <w:tcBorders>
              <w:top w:val="nil" w:sz="6" w:space="0" w:color="auto"/>
              <w:left w:val="nil" w:sz="6" w:space="0" w:color="auto"/>
              <w:bottom w:val="single" w:sz="16" w:space="0" w:color="9F8958"/>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left="113" w:right="0"/>
              <w:jc w:val="left"/>
              <w:rPr>
                <w:rFonts w:ascii="宋体" w:hAnsi="宋体" w:cs="宋体" w:eastAsia="宋体" w:hint="default"/>
                <w:sz w:val="14"/>
                <w:szCs w:val="14"/>
              </w:rPr>
            </w:pPr>
            <w:r>
              <w:rPr>
                <w:rFonts w:ascii="宋体" w:hAnsi="宋体" w:cs="宋体" w:eastAsia="宋体" w:hint="default"/>
                <w:sz w:val="14"/>
                <w:szCs w:val="14"/>
              </w:rPr>
              <w:t>关联交易内容</w:t>
            </w:r>
          </w:p>
        </w:tc>
        <w:tc>
          <w:tcPr>
            <w:tcW w:w="1505" w:type="dxa"/>
            <w:tcBorders>
              <w:top w:val="nil" w:sz="6" w:space="0" w:color="auto"/>
              <w:left w:val="nil" w:sz="6" w:space="0" w:color="auto"/>
              <w:bottom w:val="single" w:sz="16" w:space="0" w:color="9F8958"/>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11"/>
              <w:jc w:val="right"/>
              <w:rPr>
                <w:rFonts w:ascii="宋体" w:hAnsi="宋体" w:cs="宋体" w:eastAsia="宋体" w:hint="default"/>
                <w:sz w:val="14"/>
                <w:szCs w:val="14"/>
              </w:rPr>
            </w:pPr>
            <w:r>
              <w:rPr>
                <w:rFonts w:ascii="宋体" w:hAnsi="宋体" w:cs="宋体" w:eastAsia="宋体" w:hint="default"/>
                <w:sz w:val="14"/>
                <w:szCs w:val="14"/>
              </w:rPr>
              <w:t>关联交易类型</w:t>
            </w:r>
          </w:p>
        </w:tc>
        <w:tc>
          <w:tcPr>
            <w:tcW w:w="1494" w:type="dxa"/>
            <w:tcBorders>
              <w:top w:val="nil" w:sz="6" w:space="0" w:color="auto"/>
              <w:left w:val="nil" w:sz="6" w:space="0" w:color="auto"/>
              <w:bottom w:val="single" w:sz="16" w:space="0" w:color="9F8958"/>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17"/>
              <w:jc w:val="right"/>
              <w:rPr>
                <w:rFonts w:ascii="宋体" w:hAnsi="宋体" w:cs="宋体" w:eastAsia="宋体" w:hint="default"/>
                <w:sz w:val="14"/>
                <w:szCs w:val="14"/>
              </w:rPr>
            </w:pPr>
            <w:r>
              <w:rPr>
                <w:rFonts w:ascii="宋体" w:hAnsi="宋体" w:cs="宋体" w:eastAsia="宋体" w:hint="default"/>
                <w:sz w:val="14"/>
                <w:szCs w:val="14"/>
              </w:rPr>
              <w:t>关联方</w:t>
            </w:r>
          </w:p>
        </w:tc>
        <w:tc>
          <w:tcPr>
            <w:tcW w:w="1213" w:type="dxa"/>
            <w:tcBorders>
              <w:top w:val="nil" w:sz="6" w:space="0" w:color="auto"/>
              <w:left w:val="nil" w:sz="6" w:space="0" w:color="auto"/>
              <w:bottom w:val="single" w:sz="16" w:space="0" w:color="9F8958"/>
              <w:right w:val="nil" w:sz="6" w:space="0" w:color="auto"/>
            </w:tcBorders>
          </w:tcPr>
          <w:p>
            <w:pPr>
              <w:pStyle w:val="TableParagraph"/>
              <w:spacing w:line="182" w:lineRule="exact" w:before="48"/>
              <w:ind w:left="119" w:right="111" w:firstLine="100"/>
              <w:jc w:val="left"/>
              <w:rPr>
                <w:rFonts w:ascii="宋体" w:hAnsi="宋体" w:cs="宋体" w:eastAsia="宋体" w:hint="default"/>
                <w:sz w:val="14"/>
                <w:szCs w:val="14"/>
              </w:rPr>
            </w:pPr>
            <w:r>
              <w:rPr>
                <w:rFonts w:ascii="宋体" w:hAnsi="宋体" w:cs="宋体" w:eastAsia="宋体" w:hint="default"/>
                <w:sz w:val="16"/>
                <w:szCs w:val="16"/>
              </w:rPr>
              <w:t>关联</w:t>
            </w:r>
            <w:r>
              <w:rPr>
                <w:rFonts w:ascii="宋体" w:hAnsi="宋体" w:cs="宋体" w:eastAsia="宋体" w:hint="default"/>
                <w:position w:val="1"/>
                <w:sz w:val="14"/>
                <w:szCs w:val="14"/>
              </w:rPr>
              <w:t>交易定价</w:t>
            </w:r>
            <w:r>
              <w:rPr>
                <w:rFonts w:ascii="宋体" w:hAnsi="宋体" w:cs="宋体" w:eastAsia="宋体" w:hint="default"/>
                <w:position w:val="1"/>
                <w:sz w:val="14"/>
                <w:szCs w:val="14"/>
              </w:rPr>
              <w:t> </w:t>
            </w:r>
            <w:r>
              <w:rPr>
                <w:rFonts w:ascii="宋体" w:hAnsi="宋体" w:cs="宋体" w:eastAsia="宋体" w:hint="default"/>
                <w:sz w:val="14"/>
                <w:szCs w:val="14"/>
              </w:rPr>
              <w:t>方式及决策程序</w:t>
            </w:r>
          </w:p>
        </w:tc>
        <w:tc>
          <w:tcPr>
            <w:tcW w:w="1253"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11"/>
              <w:jc w:val="right"/>
              <w:rPr>
                <w:rFonts w:ascii="宋体" w:hAnsi="宋体" w:cs="宋体" w:eastAsia="宋体" w:hint="default"/>
                <w:sz w:val="14"/>
                <w:szCs w:val="14"/>
              </w:rPr>
            </w:pPr>
            <w:r>
              <w:rPr>
                <w:rFonts w:ascii="宋体" w:hAnsi="宋体" w:cs="宋体" w:eastAsia="宋体" w:hint="default"/>
                <w:w w:val="110"/>
                <w:sz w:val="14"/>
                <w:szCs w:val="14"/>
              </w:rPr>
              <w:t>2018</w:t>
            </w:r>
            <w:r>
              <w:rPr>
                <w:rFonts w:ascii="宋体" w:hAnsi="宋体" w:cs="宋体" w:eastAsia="宋体" w:hint="default"/>
                <w:spacing w:val="-55"/>
                <w:w w:val="110"/>
                <w:sz w:val="14"/>
                <w:szCs w:val="14"/>
              </w:rPr>
              <w:t> </w:t>
            </w:r>
            <w:r>
              <w:rPr>
                <w:rFonts w:ascii="宋体" w:hAnsi="宋体" w:cs="宋体" w:eastAsia="宋体" w:hint="default"/>
                <w:w w:val="110"/>
                <w:sz w:val="14"/>
                <w:szCs w:val="14"/>
              </w:rPr>
              <w:t>年</w:t>
            </w:r>
          </w:p>
        </w:tc>
        <w:tc>
          <w:tcPr>
            <w:tcW w:w="1270" w:type="dxa"/>
            <w:tcBorders>
              <w:top w:val="nil" w:sz="6" w:space="0" w:color="auto"/>
              <w:left w:val="nil" w:sz="6" w:space="0" w:color="auto"/>
              <w:bottom w:val="single" w:sz="16" w:space="0" w:color="9F8958"/>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11"/>
              <w:jc w:val="right"/>
              <w:rPr>
                <w:rFonts w:ascii="宋体" w:hAnsi="宋体" w:cs="宋体" w:eastAsia="宋体" w:hint="default"/>
                <w:sz w:val="14"/>
                <w:szCs w:val="14"/>
              </w:rPr>
            </w:pPr>
            <w:r>
              <w:rPr>
                <w:rFonts w:ascii="宋体" w:hAnsi="宋体" w:cs="宋体" w:eastAsia="宋体" w:hint="default"/>
                <w:w w:val="110"/>
                <w:sz w:val="14"/>
                <w:szCs w:val="14"/>
              </w:rPr>
              <w:t>2017</w:t>
            </w:r>
            <w:r>
              <w:rPr>
                <w:rFonts w:ascii="宋体" w:hAnsi="宋体" w:cs="宋体" w:eastAsia="宋体" w:hint="default"/>
                <w:spacing w:val="-55"/>
                <w:w w:val="110"/>
                <w:sz w:val="14"/>
                <w:szCs w:val="14"/>
              </w:rPr>
              <w:t> </w:t>
            </w:r>
            <w:r>
              <w:rPr>
                <w:rFonts w:ascii="宋体" w:hAnsi="宋体" w:cs="宋体" w:eastAsia="宋体" w:hint="default"/>
                <w:w w:val="110"/>
                <w:sz w:val="14"/>
                <w:szCs w:val="14"/>
              </w:rPr>
              <w:t>年</w:t>
            </w:r>
          </w:p>
        </w:tc>
      </w:tr>
      <w:tr>
        <w:trPr>
          <w:trHeight w:val="341" w:hRule="exact"/>
        </w:trPr>
        <w:tc>
          <w:tcPr>
            <w:tcW w:w="2904"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left="113" w:right="0"/>
              <w:jc w:val="left"/>
              <w:rPr>
                <w:rFonts w:ascii="宋体" w:hAnsi="宋体" w:cs="宋体" w:eastAsia="宋体" w:hint="default"/>
                <w:sz w:val="14"/>
                <w:szCs w:val="14"/>
              </w:rPr>
            </w:pPr>
            <w:r>
              <w:rPr>
                <w:rFonts w:ascii="宋体" w:hAnsi="宋体" w:cs="宋体" w:eastAsia="宋体" w:hint="default"/>
                <w:sz w:val="14"/>
                <w:szCs w:val="14"/>
              </w:rPr>
              <w:t>综合服务收入</w:t>
            </w:r>
          </w:p>
        </w:tc>
        <w:tc>
          <w:tcPr>
            <w:tcW w:w="1505"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11"/>
              <w:jc w:val="right"/>
              <w:rPr>
                <w:rFonts w:ascii="宋体" w:hAnsi="宋体" w:cs="宋体" w:eastAsia="宋体" w:hint="default"/>
                <w:sz w:val="14"/>
                <w:szCs w:val="14"/>
              </w:rPr>
            </w:pPr>
            <w:r>
              <w:rPr>
                <w:rFonts w:ascii="宋体" w:hAnsi="宋体" w:cs="宋体" w:eastAsia="宋体" w:hint="default"/>
                <w:sz w:val="14"/>
                <w:szCs w:val="14"/>
              </w:rPr>
              <w:t>提供劳务</w:t>
            </w:r>
          </w:p>
        </w:tc>
        <w:tc>
          <w:tcPr>
            <w:tcW w:w="1494"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11"/>
              <w:jc w:val="right"/>
              <w:rPr>
                <w:rFonts w:ascii="宋体" w:hAnsi="宋体" w:cs="宋体" w:eastAsia="宋体" w:hint="default"/>
                <w:sz w:val="14"/>
                <w:szCs w:val="14"/>
              </w:rPr>
            </w:pPr>
            <w:r>
              <w:rPr>
                <w:rFonts w:ascii="宋体"/>
                <w:w w:val="70"/>
                <w:sz w:val="14"/>
              </w:rPr>
              <w:t>(1)(2)</w:t>
            </w:r>
            <w:r>
              <w:rPr>
                <w:rFonts w:ascii="宋体"/>
                <w:sz w:val="14"/>
              </w:rPr>
            </w:r>
          </w:p>
        </w:tc>
        <w:tc>
          <w:tcPr>
            <w:tcW w:w="1253"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0"/>
              <w:ind w:right="111"/>
              <w:jc w:val="right"/>
              <w:rPr>
                <w:rFonts w:ascii="宋体" w:hAnsi="宋体" w:cs="宋体" w:eastAsia="宋体" w:hint="default"/>
                <w:sz w:val="14"/>
                <w:szCs w:val="14"/>
              </w:rPr>
            </w:pPr>
            <w:r>
              <w:rPr>
                <w:rFonts w:ascii="宋体"/>
                <w:w w:val="95"/>
                <w:sz w:val="14"/>
              </w:rPr>
              <w:t>83,487,806</w:t>
            </w:r>
            <w:r>
              <w:rPr>
                <w:rFonts w:ascii="宋体"/>
                <w:sz w:val="14"/>
              </w:rPr>
            </w:r>
          </w:p>
        </w:tc>
        <w:tc>
          <w:tcPr>
            <w:tcW w:w="1270" w:type="dxa"/>
            <w:tcBorders>
              <w:top w:val="single" w:sz="16" w:space="0" w:color="9F8958"/>
              <w:left w:val="nil" w:sz="6" w:space="0" w:color="auto"/>
              <w:bottom w:val="nil" w:sz="6" w:space="0" w:color="auto"/>
              <w:right w:val="nil" w:sz="6" w:space="0" w:color="auto"/>
            </w:tcBorders>
          </w:tcPr>
          <w:p>
            <w:pPr>
              <w:pStyle w:val="TableParagraph"/>
              <w:spacing w:line="240" w:lineRule="auto" w:before="70"/>
              <w:ind w:right="111"/>
              <w:jc w:val="right"/>
              <w:rPr>
                <w:rFonts w:ascii="宋体" w:hAnsi="宋体" w:cs="宋体" w:eastAsia="宋体" w:hint="default"/>
                <w:sz w:val="14"/>
                <w:szCs w:val="14"/>
              </w:rPr>
            </w:pPr>
            <w:r>
              <w:rPr>
                <w:rFonts w:ascii="宋体"/>
                <w:w w:val="95"/>
                <w:sz w:val="14"/>
              </w:rPr>
              <w:t>67,473,074</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工程设计及施工服务收入</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提供劳务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铁塔公司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(11)</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235,304,335</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267,471,345</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数据及互联网业务收入</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提供劳务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其他关联法人</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(16)</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155,663,778</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115,638,067</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综合服务支出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(1)(2)</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1,230,878,338</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1,274,117,461</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支付移动增值服务支出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(1)(4)</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43,308,109</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30,441,020</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工程设计及施工服务支出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(1)(5)</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2,054,510,746</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2,411,262,537</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共享服务支出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(1)(6)</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77,185,826</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83,358,035</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末梢电信服务支出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(1)(7)</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2,905,199,737</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2,699,471,484</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综合服务支出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hAnsi="宋体" w:cs="宋体" w:eastAsia="宋体" w:hint="default"/>
                <w:sz w:val="14"/>
                <w:szCs w:val="14"/>
              </w:rPr>
              <w:t>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其他关联法人</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(16)</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108,112,692</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131"/>
                <w:sz w:val="14"/>
              </w:rPr>
              <w:t>-</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物业、设备和设施的租赁及其相关服务支出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租赁支出、接受劳务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(1)(8)</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1,033,360,062</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1,017,201,920</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通信资源租用及其相关服务支出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租赁支出、接受劳务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(1)(9)</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276,747,913</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269,718,079</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电路及通信设施租赁及其相关服务支出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租赁支出、接受劳务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其他关联法人</w:t>
            </w:r>
          </w:p>
        </w:tc>
        <w:tc>
          <w:tcPr>
            <w:tcW w:w="1213"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129,062,099</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118,189,956</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经营性租赁及其他服务费用</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租赁支出、接受劳务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铁塔公司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(13)</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15,981,811,120</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16,524,294,529</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出售资产利息收入</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利息收入</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铁塔公司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(12)</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49,269,259</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754,646,810</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净吸收</w:t>
            </w:r>
            <w:r>
              <w:rPr>
                <w:rFonts w:ascii="宋体" w:hAnsi="宋体" w:cs="宋体" w:eastAsia="宋体" w:hint="default"/>
                <w:spacing w:val="-54"/>
                <w:sz w:val="14"/>
                <w:szCs w:val="14"/>
              </w:rPr>
              <w:t> </w:t>
            </w:r>
            <w:r>
              <w:rPr>
                <w:rFonts w:ascii="宋体" w:hAnsi="宋体" w:cs="宋体" w:eastAsia="宋体" w:hint="default"/>
                <w:w w:val="90"/>
                <w:sz w:val="14"/>
                <w:szCs w:val="14"/>
              </w:rPr>
              <w:t>/(</w:t>
            </w:r>
            <w:r>
              <w:rPr>
                <w:rFonts w:ascii="宋体" w:hAnsi="宋体" w:cs="宋体" w:eastAsia="宋体" w:hint="default"/>
                <w:spacing w:val="-47"/>
                <w:w w:val="90"/>
                <w:sz w:val="14"/>
                <w:szCs w:val="14"/>
              </w:rPr>
              <w:t> </w:t>
            </w:r>
            <w:r>
              <w:rPr>
                <w:rFonts w:ascii="宋体" w:hAnsi="宋体" w:cs="宋体" w:eastAsia="宋体" w:hint="default"/>
                <w:sz w:val="14"/>
                <w:szCs w:val="14"/>
              </w:rPr>
              <w:t>提取</w:t>
            </w:r>
            <w:r>
              <w:rPr>
                <w:rFonts w:ascii="宋体" w:hAnsi="宋体" w:cs="宋体" w:eastAsia="宋体" w:hint="default"/>
                <w:spacing w:val="-54"/>
                <w:sz w:val="14"/>
                <w:szCs w:val="14"/>
              </w:rPr>
              <w:t> </w:t>
            </w:r>
            <w:r>
              <w:rPr>
                <w:rFonts w:ascii="宋体" w:hAnsi="宋体" w:cs="宋体" w:eastAsia="宋体" w:hint="default"/>
                <w:w w:val="90"/>
                <w:sz w:val="14"/>
                <w:szCs w:val="14"/>
              </w:rPr>
              <w:t>)</w:t>
            </w:r>
            <w:r>
              <w:rPr>
                <w:rFonts w:ascii="宋体" w:hAnsi="宋体" w:cs="宋体" w:eastAsia="宋体" w:hint="default"/>
                <w:spacing w:val="-47"/>
                <w:w w:val="90"/>
                <w:sz w:val="14"/>
                <w:szCs w:val="14"/>
              </w:rPr>
              <w:t> </w:t>
            </w:r>
            <w:r>
              <w:rPr>
                <w:rFonts w:ascii="宋体" w:hAnsi="宋体" w:cs="宋体" w:eastAsia="宋体" w:hint="default"/>
                <w:sz w:val="14"/>
                <w:szCs w:val="14"/>
              </w:rPr>
              <w:t>存款</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金融服务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5"/>
                <w:sz w:val="14"/>
              </w:rPr>
              <w:t>(1)(10)</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2,215,230,806</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0"/>
                <w:sz w:val="14"/>
              </w:rPr>
              <w:t>(74,728,074)</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净吸收存款</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金融服务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其他合营和联营企业</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(10)</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18,107,281</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12,303,722</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吸收存款利息支出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金融服务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5"/>
                <w:sz w:val="14"/>
              </w:rPr>
              <w:t>(1)(10)</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67,594,409</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30,944,372</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吸收存款利息支出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金融服务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其他合营和联营企业</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(10)</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195,838</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47,980</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财务公司发放贷款</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金融服务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5"/>
                <w:sz w:val="14"/>
              </w:rPr>
              <w:t>(1)(10)</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13,558,000,000</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700,000,000</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利息及手续费收入</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金融服务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5"/>
                <w:sz w:val="14"/>
              </w:rPr>
              <w:t>(1)(10)</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146,870,435</w:t>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8,496,580</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利息及手续费收入</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金融服务</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其他合营和联营企业</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(10)</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131"/>
                <w:sz w:val="14"/>
              </w:rPr>
              <w:t>-</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94,340</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自联通集团借款</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借款</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5"/>
                <w:sz w:val="14"/>
              </w:rPr>
              <w:t>(1)(14)</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47,752,400</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5,671,544,032</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自联通集团借款利息支出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借款</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5"/>
                <w:sz w:val="14"/>
              </w:rPr>
              <w:t>(1)(14)</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20,038,715</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70,764,939</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自合营公司借款</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借款</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其他合营和联营企业</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(15)</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131"/>
                <w:sz w:val="14"/>
              </w:rPr>
              <w:t>-</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sz w:val="14"/>
              </w:rPr>
              <w:t>100,000,000</w:t>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自合营公司借款利息支出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借款</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其他合营和联营企业</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(15)</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1,041,825</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1,346,325</w:t>
            </w:r>
            <w:r>
              <w:rPr>
                <w:rFonts w:ascii="宋体"/>
                <w:sz w:val="14"/>
              </w:rPr>
            </w:r>
          </w:p>
        </w:tc>
      </w:tr>
      <w:tr>
        <w:trPr>
          <w:trHeight w:val="253" w:hRule="exact"/>
        </w:trPr>
        <w:tc>
          <w:tcPr>
            <w:tcW w:w="2904" w:type="dxa"/>
            <w:tcBorders>
              <w:top w:val="nil" w:sz="6" w:space="0" w:color="auto"/>
              <w:left w:val="nil" w:sz="6" w:space="0" w:color="auto"/>
              <w:bottom w:val="nil" w:sz="6" w:space="0" w:color="auto"/>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物资采购支出</w:t>
            </w:r>
          </w:p>
        </w:tc>
        <w:tc>
          <w:tcPr>
            <w:tcW w:w="1505"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物资采购</w:t>
            </w:r>
          </w:p>
        </w:tc>
        <w:tc>
          <w:tcPr>
            <w:tcW w:w="1494"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联通集团及其子公司</w:t>
            </w:r>
          </w:p>
        </w:tc>
        <w:tc>
          <w:tcPr>
            <w:tcW w:w="12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70"/>
                <w:sz w:val="14"/>
              </w:rPr>
              <w:t>(1)(3)</w:t>
            </w:r>
            <w:r>
              <w:rPr>
                <w:rFonts w:ascii="宋体"/>
                <w:sz w:val="14"/>
              </w:rPr>
            </w:r>
          </w:p>
        </w:tc>
        <w:tc>
          <w:tcPr>
            <w:tcW w:w="1253"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33,511,241</w:t>
            </w:r>
            <w:r>
              <w:rPr>
                <w:rFonts w:ascii="宋体"/>
                <w:sz w:val="14"/>
              </w:rPr>
            </w:r>
          </w:p>
        </w:tc>
        <w:tc>
          <w:tcPr>
            <w:tcW w:w="1270" w:type="dxa"/>
            <w:tcBorders>
              <w:top w:val="nil" w:sz="6" w:space="0" w:color="auto"/>
              <w:left w:val="nil" w:sz="6" w:space="0" w:color="auto"/>
              <w:bottom w:val="nil" w:sz="6" w:space="0" w:color="auto"/>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95"/>
                <w:sz w:val="14"/>
              </w:rPr>
              <w:t>60,154,283</w:t>
            </w:r>
            <w:r>
              <w:rPr>
                <w:rFonts w:ascii="宋体"/>
                <w:sz w:val="14"/>
              </w:rPr>
            </w:r>
          </w:p>
        </w:tc>
      </w:tr>
      <w:tr>
        <w:trPr>
          <w:trHeight w:val="319" w:hRule="exact"/>
        </w:trPr>
        <w:tc>
          <w:tcPr>
            <w:tcW w:w="2904" w:type="dxa"/>
            <w:tcBorders>
              <w:top w:val="nil" w:sz="6" w:space="0" w:color="auto"/>
              <w:left w:val="nil" w:sz="6" w:space="0" w:color="auto"/>
              <w:bottom w:val="single" w:sz="16" w:space="0" w:color="9F8958"/>
              <w:right w:val="nil" w:sz="6" w:space="0" w:color="auto"/>
            </w:tcBorders>
          </w:tcPr>
          <w:p>
            <w:pPr>
              <w:pStyle w:val="TableParagraph"/>
              <w:spacing w:line="240" w:lineRule="auto" w:before="3"/>
              <w:ind w:left="113" w:right="0"/>
              <w:jc w:val="left"/>
              <w:rPr>
                <w:rFonts w:ascii="宋体" w:hAnsi="宋体" w:cs="宋体" w:eastAsia="宋体" w:hint="default"/>
                <w:sz w:val="14"/>
                <w:szCs w:val="14"/>
              </w:rPr>
            </w:pPr>
            <w:r>
              <w:rPr>
                <w:rFonts w:ascii="宋体" w:hAnsi="宋体" w:cs="宋体" w:eastAsia="宋体" w:hint="default"/>
                <w:sz w:val="14"/>
                <w:szCs w:val="14"/>
              </w:rPr>
              <w:t>物资采购支出</w:t>
            </w:r>
          </w:p>
        </w:tc>
        <w:tc>
          <w:tcPr>
            <w:tcW w:w="1505" w:type="dxa"/>
            <w:tcBorders>
              <w:top w:val="nil" w:sz="6" w:space="0" w:color="auto"/>
              <w:left w:val="nil" w:sz="6" w:space="0" w:color="auto"/>
              <w:bottom w:val="single" w:sz="16" w:space="0" w:color="9F8958"/>
              <w:right w:val="nil" w:sz="6" w:space="0" w:color="auto"/>
            </w:tcBorders>
          </w:tcPr>
          <w:p>
            <w:pPr>
              <w:pStyle w:val="TableParagraph"/>
              <w:spacing w:line="240" w:lineRule="auto" w:before="3"/>
              <w:ind w:right="112"/>
              <w:jc w:val="right"/>
              <w:rPr>
                <w:rFonts w:ascii="宋体" w:hAnsi="宋体" w:cs="宋体" w:eastAsia="宋体" w:hint="default"/>
                <w:sz w:val="14"/>
                <w:szCs w:val="14"/>
              </w:rPr>
            </w:pPr>
            <w:r>
              <w:rPr>
                <w:rFonts w:ascii="宋体" w:hAnsi="宋体" w:cs="宋体" w:eastAsia="宋体" w:hint="default"/>
                <w:sz w:val="14"/>
                <w:szCs w:val="14"/>
              </w:rPr>
              <w:t>物资采购</w:t>
            </w:r>
          </w:p>
        </w:tc>
        <w:tc>
          <w:tcPr>
            <w:tcW w:w="1494" w:type="dxa"/>
            <w:tcBorders>
              <w:top w:val="nil" w:sz="6" w:space="0" w:color="auto"/>
              <w:left w:val="nil" w:sz="6" w:space="0" w:color="auto"/>
              <w:bottom w:val="single" w:sz="16" w:space="0" w:color="9F8958"/>
              <w:right w:val="nil" w:sz="6" w:space="0" w:color="auto"/>
            </w:tcBorders>
          </w:tcPr>
          <w:p>
            <w:pPr>
              <w:pStyle w:val="TableParagraph"/>
              <w:spacing w:line="240" w:lineRule="auto" w:before="3"/>
              <w:ind w:right="117"/>
              <w:jc w:val="right"/>
              <w:rPr>
                <w:rFonts w:ascii="宋体" w:hAnsi="宋体" w:cs="宋体" w:eastAsia="宋体" w:hint="default"/>
                <w:sz w:val="14"/>
                <w:szCs w:val="14"/>
              </w:rPr>
            </w:pPr>
            <w:r>
              <w:rPr>
                <w:rFonts w:ascii="宋体" w:hAnsi="宋体" w:cs="宋体" w:eastAsia="宋体" w:hint="default"/>
                <w:sz w:val="14"/>
                <w:szCs w:val="14"/>
              </w:rPr>
              <w:t>其他关联法人</w:t>
            </w:r>
          </w:p>
        </w:tc>
        <w:tc>
          <w:tcPr>
            <w:tcW w:w="1213" w:type="dxa"/>
            <w:tcBorders>
              <w:top w:val="nil" w:sz="6" w:space="0" w:color="auto"/>
              <w:left w:val="nil" w:sz="6" w:space="0" w:color="auto"/>
              <w:bottom w:val="single" w:sz="16" w:space="0" w:color="9F8958"/>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80"/>
                <w:sz w:val="14"/>
              </w:rPr>
              <w:t>(16)</w:t>
            </w:r>
            <w:r>
              <w:rPr>
                <w:rFonts w:ascii="宋体"/>
                <w:sz w:val="14"/>
              </w:rPr>
            </w:r>
          </w:p>
        </w:tc>
        <w:tc>
          <w:tcPr>
            <w:tcW w:w="1253"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3"/>
              <w:ind w:right="111"/>
              <w:jc w:val="right"/>
              <w:rPr>
                <w:rFonts w:ascii="宋体" w:hAnsi="宋体" w:cs="宋体" w:eastAsia="宋体" w:hint="default"/>
                <w:sz w:val="14"/>
                <w:szCs w:val="14"/>
              </w:rPr>
            </w:pPr>
            <w:r>
              <w:rPr>
                <w:rFonts w:ascii="宋体"/>
                <w:sz w:val="14"/>
              </w:rPr>
              <w:t>157,911,754</w:t>
            </w:r>
          </w:p>
        </w:tc>
        <w:tc>
          <w:tcPr>
            <w:tcW w:w="1270" w:type="dxa"/>
            <w:tcBorders>
              <w:top w:val="nil" w:sz="6" w:space="0" w:color="auto"/>
              <w:left w:val="nil" w:sz="6" w:space="0" w:color="auto"/>
              <w:bottom w:val="single" w:sz="16" w:space="0" w:color="9F8958"/>
              <w:right w:val="nil" w:sz="6" w:space="0" w:color="auto"/>
            </w:tcBorders>
          </w:tcPr>
          <w:p>
            <w:pPr>
              <w:pStyle w:val="TableParagraph"/>
              <w:spacing w:line="240" w:lineRule="auto" w:before="3"/>
              <w:ind w:right="111"/>
              <w:jc w:val="right"/>
              <w:rPr>
                <w:rFonts w:ascii="宋体" w:hAnsi="宋体" w:cs="宋体" w:eastAsia="宋体" w:hint="default"/>
                <w:sz w:val="14"/>
                <w:szCs w:val="14"/>
              </w:rPr>
            </w:pPr>
            <w:r>
              <w:rPr>
                <w:rFonts w:ascii="宋体"/>
                <w:w w:val="131"/>
                <w:sz w:val="14"/>
              </w:rPr>
              <w:t>-</w:t>
            </w:r>
            <w:r>
              <w:rPr>
                <w:rFonts w:ascii="宋体"/>
                <w:sz w:val="14"/>
              </w:rPr>
            </w:r>
          </w:p>
        </w:tc>
      </w:tr>
    </w:tbl>
    <w:p>
      <w:pPr>
        <w:spacing w:after="0" w:line="240" w:lineRule="auto"/>
        <w:jc w:val="right"/>
        <w:rPr>
          <w:rFonts w:ascii="宋体" w:hAnsi="宋体" w:cs="宋体" w:eastAsia="宋体" w:hint="default"/>
          <w:sz w:val="14"/>
          <w:szCs w:val="14"/>
        </w:rPr>
        <w:sectPr>
          <w:headerReference w:type="even" r:id="rId352"/>
          <w:headerReference w:type="default" r:id="rId353"/>
          <w:footerReference w:type="even" r:id="rId354"/>
          <w:footerReference w:type="default" r:id="rId355"/>
          <w:pgSz w:w="11910" w:h="16160"/>
          <w:pgMar w:header="1200" w:footer="320" w:top="2120" w:bottom="520" w:left="660" w:right="1320"/>
          <w:pgNumType w:start="198"/>
        </w:sectPr>
      </w:pPr>
    </w:p>
    <w:p>
      <w:pPr>
        <w:spacing w:line="240" w:lineRule="auto" w:before="7"/>
        <w:rPr>
          <w:rFonts w:ascii="宋体" w:hAnsi="宋体" w:cs="宋体" w:eastAsia="宋体" w:hint="default"/>
          <w:sz w:val="14"/>
          <w:szCs w:val="14"/>
        </w:rPr>
      </w:pPr>
    </w:p>
    <w:p>
      <w:pPr>
        <w:pStyle w:val="BodyText"/>
        <w:spacing w:line="240" w:lineRule="auto" w:before="31"/>
        <w:ind w:right="87"/>
        <w:jc w:val="left"/>
      </w:pPr>
      <w:r>
        <w:rPr/>
        <w:t>注释：</w:t>
      </w:r>
    </w:p>
    <w:p>
      <w:pPr>
        <w:spacing w:line="240" w:lineRule="auto" w:before="5"/>
        <w:rPr>
          <w:rFonts w:ascii="宋体" w:hAnsi="宋体" w:cs="宋体" w:eastAsia="宋体" w:hint="default"/>
          <w:sz w:val="16"/>
          <w:szCs w:val="16"/>
        </w:rPr>
      </w:pPr>
    </w:p>
    <w:p>
      <w:pPr>
        <w:pStyle w:val="BodyText"/>
        <w:spacing w:line="240" w:lineRule="auto"/>
        <w:ind w:right="87"/>
        <w:jc w:val="left"/>
      </w:pPr>
      <w:r>
        <w:rPr>
          <w:w w:val="55"/>
        </w:rPr>
        <w:t>(</w:t>
      </w:r>
      <w:r>
        <w:rPr>
          <w:spacing w:val="-1"/>
          <w:w w:val="111"/>
        </w:rPr>
        <w:t>1</w:t>
      </w:r>
      <w:r>
        <w:rPr>
          <w:w w:val="55"/>
        </w:rPr>
        <w:t>)</w:t>
      </w:r>
      <w:r>
        <w:rPr/>
        <w:t> </w:t>
      </w:r>
      <w:r>
        <w:rPr>
          <w:spacing w:val="-40"/>
        </w:rPr>
        <w:t> </w:t>
      </w:r>
      <w:r>
        <w:rPr>
          <w:spacing w:val="11"/>
        </w:rPr>
        <w:t>联通运营公司与联通集团及其子公司</w:t>
      </w:r>
      <w:r>
        <w:rPr/>
        <w:t>于</w:t>
      </w:r>
      <w:r>
        <w:rPr>
          <w:spacing w:val="-43"/>
        </w:rPr>
        <w:t> </w:t>
      </w:r>
      <w:r>
        <w:rPr>
          <w:spacing w:val="-1"/>
          <w:w w:val="111"/>
        </w:rPr>
        <w:t>201</w:t>
      </w:r>
      <w:r>
        <w:rPr>
          <w:w w:val="111"/>
        </w:rPr>
        <w:t>3</w:t>
      </w:r>
      <w:r>
        <w:rPr>
          <w:spacing w:val="-43"/>
        </w:rPr>
        <w:t> </w:t>
      </w:r>
      <w:r>
        <w:rPr>
          <w:spacing w:val="11"/>
        </w:rPr>
        <w:t>年度签订的综合服务协议</w:t>
      </w:r>
      <w:r>
        <w:rPr/>
        <w:t>于</w:t>
      </w:r>
      <w:r>
        <w:rPr>
          <w:spacing w:val="-43"/>
        </w:rPr>
        <w:t> </w:t>
      </w:r>
      <w:r>
        <w:rPr>
          <w:spacing w:val="-1"/>
          <w:w w:val="111"/>
        </w:rPr>
        <w:t>201</w:t>
      </w:r>
      <w:r>
        <w:rPr>
          <w:w w:val="111"/>
        </w:rPr>
        <w:t>6</w:t>
      </w:r>
      <w:r>
        <w:rPr>
          <w:spacing w:val="-43"/>
        </w:rPr>
        <w:t> </w:t>
      </w:r>
      <w:r>
        <w:rPr/>
        <w:t>年</w:t>
      </w:r>
      <w:r>
        <w:rPr>
          <w:spacing w:val="-43"/>
        </w:rPr>
        <w:t> </w:t>
      </w:r>
      <w:r>
        <w:rPr>
          <w:spacing w:val="-1"/>
          <w:w w:val="111"/>
        </w:rPr>
        <w:t>1</w:t>
      </w:r>
      <w:r>
        <w:rPr>
          <w:w w:val="111"/>
        </w:rPr>
        <w:t>2</w:t>
      </w:r>
      <w:r>
        <w:rPr>
          <w:spacing w:val="-43"/>
        </w:rPr>
        <w:t> </w:t>
      </w:r>
      <w:r>
        <w:rPr/>
        <w:t>月</w:t>
      </w:r>
      <w:r>
        <w:rPr>
          <w:spacing w:val="-43"/>
        </w:rPr>
        <w:t> </w:t>
      </w:r>
      <w:r>
        <w:rPr>
          <w:spacing w:val="-1"/>
          <w:w w:val="111"/>
        </w:rPr>
        <w:t>3</w:t>
      </w:r>
      <w:r>
        <w:rPr>
          <w:w w:val="111"/>
        </w:rPr>
        <w:t>1</w:t>
      </w:r>
      <w:r>
        <w:rPr>
          <w:spacing w:val="-43"/>
        </w:rPr>
        <w:t> </w:t>
      </w:r>
      <w:r>
        <w:rPr>
          <w:spacing w:val="11"/>
        </w:rPr>
        <w:t>日期</w:t>
      </w:r>
      <w:r>
        <w:rPr/>
        <w:t>满</w:t>
      </w:r>
      <w:r>
        <w:rPr>
          <w:spacing w:val="11"/>
        </w:rPr>
        <w:t>。因</w:t>
      </w:r>
      <w:r>
        <w:rPr/>
        <w:t>此</w:t>
      </w:r>
      <w:r>
        <w:rPr>
          <w:spacing w:val="11"/>
        </w:rPr>
        <w:t>，于</w:t>
      </w:r>
      <w:r>
        <w:rPr/>
      </w:r>
    </w:p>
    <w:p>
      <w:pPr>
        <w:pStyle w:val="BodyText"/>
        <w:spacing w:line="240" w:lineRule="auto" w:before="44"/>
        <w:ind w:left="794" w:right="87"/>
        <w:jc w:val="left"/>
      </w:pPr>
      <w:r>
        <w:rPr>
          <w:w w:val="105"/>
        </w:rPr>
        <w:t>2016</w:t>
      </w:r>
      <w:r>
        <w:rPr>
          <w:spacing w:val="-79"/>
          <w:w w:val="105"/>
        </w:rPr>
        <w:t> </w:t>
      </w:r>
      <w:r>
        <w:rPr>
          <w:w w:val="105"/>
        </w:rPr>
        <w:t>年</w:t>
      </w:r>
      <w:r>
        <w:rPr>
          <w:spacing w:val="-79"/>
          <w:w w:val="105"/>
        </w:rPr>
        <w:t> </w:t>
      </w:r>
      <w:r>
        <w:rPr>
          <w:w w:val="105"/>
        </w:rPr>
        <w:t>11</w:t>
      </w:r>
      <w:r>
        <w:rPr>
          <w:spacing w:val="-79"/>
          <w:w w:val="105"/>
        </w:rPr>
        <w:t> </w:t>
      </w:r>
      <w:r>
        <w:rPr>
          <w:w w:val="105"/>
        </w:rPr>
        <w:t>月</w:t>
      </w:r>
      <w:r>
        <w:rPr>
          <w:spacing w:val="-79"/>
          <w:w w:val="105"/>
        </w:rPr>
        <w:t> </w:t>
      </w:r>
      <w:r>
        <w:rPr>
          <w:w w:val="105"/>
        </w:rPr>
        <w:t>25</w:t>
      </w:r>
      <w:r>
        <w:rPr>
          <w:spacing w:val="-79"/>
          <w:w w:val="105"/>
        </w:rPr>
        <w:t> </w:t>
      </w:r>
      <w:r>
        <w:rPr>
          <w:w w:val="105"/>
        </w:rPr>
        <w:t>日，联通运营公司与联通集团签订了《2017-2019</w:t>
      </w:r>
      <w:r>
        <w:rPr>
          <w:spacing w:val="-79"/>
          <w:w w:val="105"/>
        </w:rPr>
        <w:t> </w:t>
      </w:r>
      <w:r>
        <w:rPr>
          <w:spacing w:val="3"/>
          <w:w w:val="105"/>
        </w:rPr>
        <w:t>年综合服务协议》以延续关联交易，经本公</w:t>
      </w:r>
      <w:r>
        <w:rPr>
          <w:w w:val="105"/>
        </w:rPr>
      </w:r>
    </w:p>
    <w:p>
      <w:pPr>
        <w:pStyle w:val="BodyText"/>
        <w:spacing w:line="240" w:lineRule="auto" w:before="44"/>
        <w:ind w:left="794" w:right="87"/>
        <w:jc w:val="left"/>
      </w:pPr>
      <w:r>
        <w:rPr>
          <w:w w:val="105"/>
        </w:rPr>
        <w:t>司董事会批准，该协议于</w:t>
      </w:r>
      <w:r>
        <w:rPr>
          <w:spacing w:val="-70"/>
          <w:w w:val="105"/>
        </w:rPr>
        <w:t> </w:t>
      </w:r>
      <w:r>
        <w:rPr>
          <w:w w:val="105"/>
        </w:rPr>
        <w:t>2017</w:t>
      </w:r>
      <w:r>
        <w:rPr>
          <w:spacing w:val="-71"/>
          <w:w w:val="105"/>
        </w:rPr>
        <w:t> </w:t>
      </w:r>
      <w:r>
        <w:rPr>
          <w:w w:val="105"/>
        </w:rPr>
        <w:t>年</w:t>
      </w:r>
      <w:r>
        <w:rPr>
          <w:spacing w:val="-70"/>
          <w:w w:val="105"/>
        </w:rPr>
        <w:t> </w:t>
      </w:r>
      <w:r>
        <w:rPr>
          <w:w w:val="105"/>
        </w:rPr>
        <w:t>1</w:t>
      </w:r>
      <w:r>
        <w:rPr>
          <w:spacing w:val="-71"/>
          <w:w w:val="105"/>
        </w:rPr>
        <w:t> </w:t>
      </w:r>
      <w:r>
        <w:rPr>
          <w:w w:val="105"/>
        </w:rPr>
        <w:t>月</w:t>
      </w:r>
      <w:r>
        <w:rPr>
          <w:spacing w:val="-70"/>
          <w:w w:val="105"/>
        </w:rPr>
        <w:t> </w:t>
      </w:r>
      <w:r>
        <w:rPr>
          <w:w w:val="105"/>
        </w:rPr>
        <w:t>1</w:t>
      </w:r>
      <w:r>
        <w:rPr>
          <w:spacing w:val="-71"/>
          <w:w w:val="105"/>
        </w:rPr>
        <w:t> </w:t>
      </w:r>
      <w:r>
        <w:rPr>
          <w:w w:val="105"/>
        </w:rPr>
        <w:t>日生效。</w:t>
      </w:r>
    </w:p>
    <w:p>
      <w:pPr>
        <w:spacing w:line="240" w:lineRule="auto" w:before="5"/>
        <w:rPr>
          <w:rFonts w:ascii="宋体" w:hAnsi="宋体" w:cs="宋体" w:eastAsia="宋体" w:hint="default"/>
          <w:sz w:val="16"/>
          <w:szCs w:val="16"/>
        </w:rPr>
      </w:pPr>
    </w:p>
    <w:p>
      <w:pPr>
        <w:pStyle w:val="BodyText"/>
        <w:spacing w:line="285" w:lineRule="auto"/>
        <w:ind w:left="794" w:right="186" w:hanging="340"/>
        <w:jc w:val="both"/>
      </w:pPr>
      <w:r>
        <w:rPr>
          <w:spacing w:val="-1"/>
          <w:w w:val="73"/>
        </w:rPr>
        <w:t>(2)</w:t>
      </w:r>
      <w:r>
        <w:rPr>
          <w:spacing w:val="38"/>
          <w:w w:val="73"/>
        </w:rPr>
        <w:t> </w:t>
      </w:r>
      <w:r>
        <w:rPr>
          <w:spacing w:val="2"/>
        </w:rPr>
        <w:t>联通运营公司和联通集团及其子公司互相提供多种综合服务，包括设备租赁和维护服务、车辆服务、商品销售、</w:t>
      </w:r>
      <w:r>
        <w:rPr>
          <w:spacing w:val="-86"/>
        </w:rPr>
        <w:t> </w:t>
      </w:r>
      <w:r>
        <w:rPr>
          <w:spacing w:val="-86"/>
        </w:rPr>
      </w:r>
      <w:r>
        <w:rPr>
          <w:spacing w:val="2"/>
        </w:rPr>
        <w:t>系统集成服务、安全保卫服务、施工及安装配套服务、软件开发服务、职工培训服务、运维服务和广告及其它综</w:t>
      </w:r>
      <w:r>
        <w:rPr>
          <w:spacing w:val="3"/>
        </w:rPr>
        <w:t> </w:t>
      </w:r>
      <w:r>
        <w:rPr>
          <w:spacing w:val="-1"/>
        </w:rPr>
        <w:t>合服务。相关定价或收费标准参考政府指导价、市场价格或成本加利润的方式而指定，并在提供相关服务时结算。</w:t>
      </w:r>
    </w:p>
    <w:p>
      <w:pPr>
        <w:spacing w:line="240" w:lineRule="auto" w:before="10"/>
        <w:rPr>
          <w:rFonts w:ascii="宋体" w:hAnsi="宋体" w:cs="宋体" w:eastAsia="宋体" w:hint="default"/>
          <w:sz w:val="13"/>
          <w:szCs w:val="13"/>
        </w:rPr>
      </w:pPr>
    </w:p>
    <w:p>
      <w:pPr>
        <w:pStyle w:val="BodyText"/>
        <w:spacing w:line="285" w:lineRule="auto"/>
        <w:ind w:left="793" w:right="191" w:hanging="340"/>
        <w:jc w:val="both"/>
      </w:pPr>
      <w:r>
        <w:rPr>
          <w:spacing w:val="-1"/>
          <w:w w:val="73"/>
        </w:rPr>
        <w:t>(3)</w:t>
      </w:r>
      <w:r>
        <w:rPr>
          <w:spacing w:val="42"/>
          <w:w w:val="73"/>
        </w:rPr>
        <w:t> </w:t>
      </w:r>
      <w:r>
        <w:rPr>
          <w:spacing w:val="1"/>
        </w:rPr>
        <w:t>联通运营公司可要求联通集团及其子公司担任采购进口及国内电信设备以及其它国内非电信设备的代理商，联通</w:t>
      </w:r>
      <w:r>
        <w:rPr>
          <w:spacing w:val="-77"/>
        </w:rPr>
        <w:t> </w:t>
      </w:r>
      <w:r>
        <w:rPr>
          <w:spacing w:val="-77"/>
        </w:rPr>
      </w:r>
      <w:r>
        <w:rPr/>
        <w:t>集团及其子公司向联通运营公司提供协议项下与物资或设备采购相关的仓储和运输服务。联通运营公司支付给联</w:t>
      </w:r>
      <w:r>
        <w:rPr>
          <w:spacing w:val="2"/>
        </w:rPr>
        <w:t> </w:t>
      </w:r>
      <w:r>
        <w:rPr/>
        <w:t>通集团及其子公司的费用基于政府指导价、市场价格或成本加利润的方式确定。</w:t>
      </w:r>
    </w:p>
    <w:p>
      <w:pPr>
        <w:spacing w:line="240" w:lineRule="auto" w:before="10"/>
        <w:rPr>
          <w:rFonts w:ascii="宋体" w:hAnsi="宋体" w:cs="宋体" w:eastAsia="宋体" w:hint="default"/>
          <w:sz w:val="13"/>
          <w:szCs w:val="13"/>
        </w:rPr>
      </w:pPr>
    </w:p>
    <w:p>
      <w:pPr>
        <w:pStyle w:val="BodyText"/>
        <w:spacing w:line="285" w:lineRule="auto"/>
        <w:ind w:left="793" w:right="191" w:hanging="340"/>
        <w:jc w:val="both"/>
      </w:pPr>
      <w:r>
        <w:rPr>
          <w:spacing w:val="-1"/>
          <w:w w:val="73"/>
        </w:rPr>
        <w:t>(4)</w:t>
      </w:r>
      <w:r>
        <w:rPr>
          <w:spacing w:val="42"/>
          <w:w w:val="73"/>
        </w:rPr>
        <w:t> </w:t>
      </w:r>
      <w:r>
        <w:rPr>
          <w:spacing w:val="1"/>
        </w:rPr>
        <w:t>联通集团个别子公司利用联通运营公司的移动通信网络及数据平台向用户提供增值服务，并参考与同类地区第三</w:t>
      </w:r>
      <w:r>
        <w:rPr>
          <w:spacing w:val="-77"/>
        </w:rPr>
        <w:t> </w:t>
      </w:r>
      <w:r>
        <w:rPr>
          <w:spacing w:val="-77"/>
        </w:rPr>
      </w:r>
      <w:r>
        <w:rPr/>
        <w:t>方的交易标准按照协议中规定的收入分成比例向联通运营公司收费。</w:t>
      </w:r>
    </w:p>
    <w:p>
      <w:pPr>
        <w:spacing w:line="240" w:lineRule="auto" w:before="10"/>
        <w:rPr>
          <w:rFonts w:ascii="宋体" w:hAnsi="宋体" w:cs="宋体" w:eastAsia="宋体" w:hint="default"/>
          <w:sz w:val="13"/>
          <w:szCs w:val="13"/>
        </w:rPr>
      </w:pPr>
    </w:p>
    <w:p>
      <w:pPr>
        <w:pStyle w:val="BodyText"/>
        <w:spacing w:line="285" w:lineRule="auto"/>
        <w:ind w:left="793" w:right="191" w:hanging="340"/>
        <w:jc w:val="both"/>
      </w:pPr>
      <w:r>
        <w:rPr>
          <w:spacing w:val="-1"/>
          <w:w w:val="73"/>
        </w:rPr>
        <w:t>(5)</w:t>
      </w:r>
      <w:r>
        <w:rPr>
          <w:spacing w:val="42"/>
          <w:w w:val="73"/>
        </w:rPr>
        <w:t> </w:t>
      </w:r>
      <w:r>
        <w:rPr>
          <w:spacing w:val="1"/>
        </w:rPr>
        <w:t>联通集团及其子公司向联通运营公司提供若干工程及信息技术相关服务的一系列相关服务，其应付价格参照市场</w:t>
      </w:r>
      <w:r>
        <w:rPr>
          <w:spacing w:val="-77"/>
        </w:rPr>
        <w:t> </w:t>
      </w:r>
      <w:r>
        <w:rPr>
          <w:spacing w:val="-77"/>
        </w:rPr>
      </w:r>
      <w:r>
        <w:rPr/>
        <w:t>价格制定，于提供相关服务时结算。</w:t>
      </w:r>
    </w:p>
    <w:p>
      <w:pPr>
        <w:spacing w:line="240" w:lineRule="auto" w:before="10"/>
        <w:rPr>
          <w:rFonts w:ascii="宋体" w:hAnsi="宋体" w:cs="宋体" w:eastAsia="宋体" w:hint="default"/>
          <w:sz w:val="13"/>
          <w:szCs w:val="13"/>
        </w:rPr>
      </w:pPr>
    </w:p>
    <w:p>
      <w:pPr>
        <w:pStyle w:val="BodyText"/>
        <w:spacing w:line="285" w:lineRule="auto"/>
        <w:ind w:left="793" w:right="186" w:hanging="340"/>
        <w:jc w:val="both"/>
      </w:pPr>
      <w:r>
        <w:rPr>
          <w:spacing w:val="-1"/>
          <w:w w:val="73"/>
        </w:rPr>
        <w:t>(6)</w:t>
      </w:r>
      <w:r>
        <w:rPr>
          <w:spacing w:val="47"/>
          <w:w w:val="73"/>
        </w:rPr>
        <w:t> </w:t>
      </w:r>
      <w:r>
        <w:rPr>
          <w:spacing w:val="2"/>
        </w:rPr>
        <w:t>联通运营公司与联通集团及其子公司签订了一般行政服务的共享服务协议。根据此项协议，共享服务的费用将根</w:t>
      </w:r>
      <w:r>
        <w:rPr>
          <w:spacing w:val="-87"/>
        </w:rPr>
        <w:t> </w:t>
      </w:r>
      <w:r>
        <w:rPr>
          <w:spacing w:val="-87"/>
        </w:rPr>
      </w:r>
      <w:r>
        <w:rPr/>
        <w:t>据各自资产比例在双方之间分摊。</w:t>
      </w:r>
    </w:p>
    <w:p>
      <w:pPr>
        <w:spacing w:line="240" w:lineRule="auto" w:before="10"/>
        <w:rPr>
          <w:rFonts w:ascii="宋体" w:hAnsi="宋体" w:cs="宋体" w:eastAsia="宋体" w:hint="default"/>
          <w:sz w:val="13"/>
          <w:szCs w:val="13"/>
        </w:rPr>
      </w:pPr>
    </w:p>
    <w:p>
      <w:pPr>
        <w:pStyle w:val="BodyText"/>
        <w:spacing w:line="285" w:lineRule="auto"/>
        <w:ind w:left="793" w:right="186" w:hanging="340"/>
        <w:jc w:val="both"/>
      </w:pPr>
      <w:r>
        <w:rPr>
          <w:spacing w:val="-1"/>
          <w:w w:val="73"/>
        </w:rPr>
        <w:t>(7)</w:t>
      </w:r>
      <w:r>
        <w:rPr>
          <w:spacing w:val="47"/>
          <w:w w:val="73"/>
        </w:rPr>
        <w:t> </w:t>
      </w:r>
      <w:r>
        <w:rPr>
          <w:spacing w:val="2"/>
        </w:rPr>
        <w:t>联通集团及其子公司向联通运营公司提供末梢电信服务的相关服务，包括若干通信业务销售前、销售中和销售后</w:t>
      </w:r>
      <w:r>
        <w:rPr>
          <w:spacing w:val="-87"/>
        </w:rPr>
        <w:t> </w:t>
      </w:r>
      <w:r>
        <w:rPr>
          <w:spacing w:val="-87"/>
        </w:rPr>
      </w:r>
      <w:r>
        <w:rPr>
          <w:spacing w:val="2"/>
        </w:rPr>
        <w:t>的服务（例如若干通信设施组装及维修）、销售代理服务、账单打印和递送服务、电话亭维护、客户发展和接待</w:t>
      </w:r>
      <w:r>
        <w:rPr>
          <w:spacing w:val="3"/>
        </w:rPr>
        <w:t> </w:t>
      </w:r>
      <w:r>
        <w:rPr>
          <w:spacing w:val="2"/>
        </w:rPr>
        <w:t>以及其它客户服务。相关定价或收费标准参考政府指导价、市场价格或成本加利润的方式而指定，并在提供相关</w:t>
      </w:r>
      <w:r>
        <w:rPr>
          <w:spacing w:val="3"/>
        </w:rPr>
        <w:t> </w:t>
      </w:r>
      <w:r>
        <w:rPr/>
        <w:t>服务时结算。</w:t>
      </w:r>
    </w:p>
    <w:p>
      <w:pPr>
        <w:spacing w:line="240" w:lineRule="auto" w:before="10"/>
        <w:rPr>
          <w:rFonts w:ascii="宋体" w:hAnsi="宋体" w:cs="宋体" w:eastAsia="宋体" w:hint="default"/>
          <w:sz w:val="13"/>
          <w:szCs w:val="13"/>
        </w:rPr>
      </w:pPr>
    </w:p>
    <w:p>
      <w:pPr>
        <w:pStyle w:val="BodyText"/>
        <w:spacing w:line="285" w:lineRule="auto"/>
        <w:ind w:left="792" w:right="189" w:hanging="340"/>
        <w:jc w:val="both"/>
      </w:pPr>
      <w:r>
        <w:rPr>
          <w:spacing w:val="-1"/>
          <w:w w:val="73"/>
        </w:rPr>
        <w:t>(8)</w:t>
      </w:r>
      <w:r>
        <w:rPr>
          <w:spacing w:val="44"/>
          <w:w w:val="73"/>
        </w:rPr>
        <w:t> </w:t>
      </w:r>
      <w:r>
        <w:rPr>
          <w:spacing w:val="2"/>
        </w:rPr>
        <w:t>联通运营公司向联通集团及其子公司租用若干物业，该等物业用途为办公室、电信设备场地和其它辅助用途。联</w:t>
      </w:r>
      <w:r>
        <w:rPr>
          <w:spacing w:val="-87"/>
        </w:rPr>
        <w:t> </w:t>
      </w:r>
      <w:r>
        <w:rPr>
          <w:spacing w:val="-87"/>
        </w:rPr>
      </w:r>
      <w:r>
        <w:rPr/>
        <w:t>通运营公司应付的费用基于市场租金水平或每一项物业的折旧及税金确定。后者在折旧及税金不高于市场租金水</w:t>
      </w:r>
      <w:r>
        <w:rPr>
          <w:spacing w:val="2"/>
        </w:rPr>
        <w:t> </w:t>
      </w:r>
      <w:r>
        <w:rPr/>
        <w:t>平时适用。相关费用应按季于每季末支付，每年参考租赁物业当时市场租金水平重新审定。</w:t>
      </w:r>
    </w:p>
    <w:p>
      <w:pPr>
        <w:spacing w:line="240" w:lineRule="auto" w:before="10"/>
        <w:rPr>
          <w:rFonts w:ascii="宋体" w:hAnsi="宋体" w:cs="宋体" w:eastAsia="宋体" w:hint="default"/>
          <w:sz w:val="13"/>
          <w:szCs w:val="13"/>
        </w:rPr>
      </w:pPr>
    </w:p>
    <w:p>
      <w:pPr>
        <w:pStyle w:val="BodyText"/>
        <w:spacing w:line="285" w:lineRule="auto"/>
        <w:ind w:left="792" w:right="186" w:hanging="340"/>
        <w:jc w:val="both"/>
      </w:pPr>
      <w:r>
        <w:rPr>
          <w:spacing w:val="-1"/>
          <w:w w:val="73"/>
        </w:rPr>
        <w:t>(9)</w:t>
      </w:r>
      <w:r>
        <w:rPr>
          <w:spacing w:val="47"/>
          <w:w w:val="73"/>
        </w:rPr>
        <w:t> </w:t>
      </w:r>
      <w:r>
        <w:rPr>
          <w:spacing w:val="2"/>
        </w:rPr>
        <w:t>联通运营公司向联通集团及其子公司租用拥有的国际通信信道出入口，国际通信业务出入口，国际海缆容量以及</w:t>
      </w:r>
      <w:r>
        <w:rPr>
          <w:spacing w:val="-87"/>
        </w:rPr>
        <w:t> </w:t>
      </w:r>
      <w:r>
        <w:rPr>
          <w:spacing w:val="-87"/>
        </w:rPr>
      </w:r>
      <w:r>
        <w:rPr>
          <w:spacing w:val="2"/>
        </w:rPr>
        <w:t>国际陆缆等国际通信资源及其他通信设施，租金以通信资源和设施的年度折旧金额为基础确定，且收费不高于市</w:t>
      </w:r>
      <w:r>
        <w:rPr>
          <w:spacing w:val="3"/>
        </w:rPr>
        <w:t> </w:t>
      </w:r>
      <w:r>
        <w:rPr>
          <w:spacing w:val="2"/>
        </w:rPr>
        <w:t>场租金水平。除联通运营公司与联通集团另行协商外，上述通信设施维护所产生的费用由联通运营公司承担，相</w:t>
      </w:r>
      <w:r>
        <w:rPr>
          <w:spacing w:val="3"/>
        </w:rPr>
        <w:t> </w:t>
      </w:r>
      <w:r>
        <w:rPr/>
        <w:t>关费用参照市场价格确定，若没有市场价格，则以合理成本加合理利润的方式确定。</w:t>
      </w:r>
    </w:p>
    <w:p>
      <w:pPr>
        <w:spacing w:line="240" w:lineRule="auto" w:before="10"/>
        <w:rPr>
          <w:rFonts w:ascii="宋体" w:hAnsi="宋体" w:cs="宋体" w:eastAsia="宋体" w:hint="default"/>
          <w:sz w:val="13"/>
          <w:szCs w:val="13"/>
        </w:rPr>
      </w:pPr>
    </w:p>
    <w:p>
      <w:pPr>
        <w:pStyle w:val="BodyText"/>
        <w:spacing w:line="285" w:lineRule="auto"/>
        <w:ind w:left="792" w:right="188" w:hanging="341"/>
        <w:jc w:val="both"/>
      </w:pPr>
      <w:r>
        <w:rPr>
          <w:spacing w:val="-1"/>
          <w:w w:val="83"/>
        </w:rPr>
        <w:t>(10)</w:t>
      </w:r>
      <w:r>
        <w:rPr>
          <w:spacing w:val="-14"/>
          <w:w w:val="83"/>
        </w:rPr>
        <w:t> </w:t>
      </w:r>
      <w:r>
        <w:rPr>
          <w:spacing w:val="2"/>
        </w:rPr>
        <w:t>财务公司向联通集团及其子公司以及合营公司智慧足迹数据科技有限公司（“智慧足迹”）提供金融服务，包括</w:t>
      </w:r>
      <w:r>
        <w:rPr>
          <w:spacing w:val="-78"/>
        </w:rPr>
        <w:t> </w:t>
      </w:r>
      <w:r>
        <w:rPr>
          <w:spacing w:val="-78"/>
        </w:rPr>
      </w:r>
      <w:r>
        <w:rPr>
          <w:spacing w:val="2"/>
        </w:rPr>
        <w:t>存款服务、贷款及其他授信服务和其他金融服务。相关利率遵循中国人民银行规定的利率标准，并参考向其他用</w:t>
      </w:r>
      <w:r>
        <w:rPr>
          <w:spacing w:val="3"/>
        </w:rPr>
        <w:t> </w:t>
      </w:r>
      <w:r>
        <w:rPr>
          <w:spacing w:val="2"/>
        </w:rPr>
        <w:t>户提供同类服务所确定的利率及一般商业银行向联通集团提供同类服务的利率；相关手续费参考政府指导价、市</w:t>
      </w:r>
      <w:r>
        <w:rPr>
          <w:spacing w:val="3"/>
        </w:rPr>
        <w:t> </w:t>
      </w:r>
      <w:r>
        <w:rPr/>
        <w:t>场价格等厘定。</w:t>
      </w:r>
    </w:p>
    <w:p>
      <w:pPr>
        <w:spacing w:line="240" w:lineRule="auto" w:before="10"/>
        <w:rPr>
          <w:rFonts w:ascii="宋体" w:hAnsi="宋体" w:cs="宋体" w:eastAsia="宋体" w:hint="default"/>
          <w:sz w:val="13"/>
          <w:szCs w:val="13"/>
        </w:rPr>
      </w:pPr>
    </w:p>
    <w:p>
      <w:pPr>
        <w:pStyle w:val="BodyText"/>
        <w:spacing w:line="285" w:lineRule="auto"/>
        <w:ind w:left="792" w:right="88"/>
        <w:jc w:val="left"/>
      </w:pPr>
      <w:r>
        <w:rPr>
          <w:spacing w:val="-1"/>
          <w:w w:val="111"/>
        </w:rPr>
        <w:t>2018</w:t>
      </w:r>
      <w:r>
        <w:rPr>
          <w:spacing w:val="-49"/>
          <w:w w:val="111"/>
        </w:rPr>
        <w:t> </w:t>
      </w:r>
      <w:r>
        <w:rPr>
          <w:spacing w:val="2"/>
        </w:rPr>
        <w:t>年，财务公司向联通集团发放贷款人民币</w:t>
      </w:r>
      <w:r>
        <w:rPr>
          <w:spacing w:val="-39"/>
        </w:rPr>
        <w:t> </w:t>
      </w:r>
      <w:r>
        <w:rPr>
          <w:spacing w:val="-1"/>
          <w:w w:val="101"/>
        </w:rPr>
        <w:t>135.58</w:t>
      </w:r>
      <w:r>
        <w:rPr>
          <w:spacing w:val="-41"/>
          <w:w w:val="101"/>
        </w:rPr>
        <w:t> </w:t>
      </w:r>
      <w:r>
        <w:rPr>
          <w:spacing w:val="2"/>
        </w:rPr>
        <w:t>亿元，借款利率以起息日当日中国人民银行公布施行的同</w:t>
      </w:r>
      <w:r>
        <w:rPr>
          <w:spacing w:val="-73"/>
        </w:rPr>
        <w:t> </w:t>
      </w:r>
      <w:r>
        <w:rPr>
          <w:spacing w:val="-73"/>
        </w:rPr>
      </w:r>
      <w:r>
        <w:rPr/>
        <w:t>期同档次贷款利率的</w:t>
      </w:r>
      <w:r>
        <w:rPr>
          <w:spacing w:val="-46"/>
        </w:rPr>
        <w:t> </w:t>
      </w:r>
      <w:r>
        <w:rPr/>
        <w:t>90％至</w:t>
      </w:r>
      <w:r>
        <w:rPr>
          <w:spacing w:val="-46"/>
        </w:rPr>
        <w:t> </w:t>
      </w:r>
      <w:r>
        <w:rPr>
          <w:spacing w:val="-3"/>
        </w:rPr>
        <w:t>110％浮动利率计息。联通集团偿还贷款人民币</w:t>
      </w:r>
      <w:r>
        <w:rPr>
          <w:spacing w:val="-46"/>
        </w:rPr>
        <w:t> </w:t>
      </w:r>
      <w:r>
        <w:rPr/>
        <w:t>63.54</w:t>
      </w:r>
      <w:r>
        <w:rPr>
          <w:spacing w:val="-46"/>
        </w:rPr>
        <w:t> </w:t>
      </w:r>
      <w:r>
        <w:rPr>
          <w:spacing w:val="-7"/>
        </w:rPr>
        <w:t>亿元，剩余部分将于</w:t>
      </w:r>
      <w:r>
        <w:rPr>
          <w:spacing w:val="-46"/>
        </w:rPr>
        <w:t> </w:t>
      </w:r>
      <w:r>
        <w:rPr/>
        <w:t>1</w:t>
      </w:r>
      <w:r>
        <w:rPr>
          <w:spacing w:val="-46"/>
        </w:rPr>
        <w:t> </w:t>
      </w:r>
      <w:r>
        <w:rPr/>
        <w:t>年内到期。</w:t>
      </w:r>
    </w:p>
    <w:p>
      <w:pPr>
        <w:spacing w:after="0" w:line="285" w:lineRule="auto"/>
        <w:jc w:val="left"/>
        <w:sectPr>
          <w:pgSz w:w="11910" w:h="16160"/>
          <w:pgMar w:header="2796" w:footer="298" w:top="344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十、关联方关系及其交易（续）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87"/>
        <w:jc w:val="left"/>
      </w:pPr>
      <w:r>
        <w:rPr/>
        <w:t>5、重大关联交易（续）</w:t>
      </w:r>
    </w:p>
    <w:p>
      <w:pPr>
        <w:spacing w:line="240" w:lineRule="auto" w:before="12"/>
        <w:rPr>
          <w:rFonts w:ascii="宋体" w:hAnsi="宋体" w:cs="宋体" w:eastAsia="宋体" w:hint="default"/>
          <w:sz w:val="17"/>
          <w:szCs w:val="17"/>
        </w:rPr>
      </w:pPr>
    </w:p>
    <w:p>
      <w:pPr>
        <w:pStyle w:val="BodyText"/>
        <w:spacing w:line="240" w:lineRule="auto"/>
        <w:ind w:left="453" w:right="87"/>
        <w:jc w:val="left"/>
      </w:pPr>
      <w:r>
        <w:rPr>
          <w:w w:val="95"/>
        </w:rPr>
        <w:t>(11)  </w:t>
      </w:r>
      <w:r>
        <w:rPr>
          <w:spacing w:val="74"/>
          <w:w w:val="95"/>
        </w:rPr>
        <w:t> </w:t>
      </w:r>
      <w:r>
        <w:rPr>
          <w:w w:val="95"/>
        </w:rPr>
        <w:t>本集团向铁塔公司提供包括系统集成和工程设计服务等在内的工程设计及施工服务。</w:t>
      </w:r>
    </w:p>
    <w:p>
      <w:pPr>
        <w:spacing w:line="240" w:lineRule="auto" w:before="5"/>
        <w:rPr>
          <w:rFonts w:ascii="宋体" w:hAnsi="宋体" w:cs="宋体" w:eastAsia="宋体" w:hint="default"/>
          <w:sz w:val="16"/>
          <w:szCs w:val="16"/>
        </w:rPr>
      </w:pPr>
    </w:p>
    <w:p>
      <w:pPr>
        <w:pStyle w:val="BodyText"/>
        <w:spacing w:line="285" w:lineRule="auto"/>
        <w:ind w:left="794" w:right="87" w:hanging="341"/>
        <w:jc w:val="left"/>
      </w:pPr>
      <w:r>
        <w:rPr/>
        <w:t>(12)</w:t>
      </w:r>
      <w:r>
        <w:rPr>
          <w:spacing w:val="-45"/>
        </w:rPr>
        <w:t> </w:t>
      </w:r>
      <w:r>
        <w:rPr/>
        <w:t>于</w:t>
      </w:r>
      <w:r>
        <w:rPr>
          <w:spacing w:val="-45"/>
        </w:rPr>
        <w:t> </w:t>
      </w:r>
      <w:r>
        <w:rPr/>
        <w:t>2015</w:t>
      </w:r>
      <w:r>
        <w:rPr>
          <w:spacing w:val="-45"/>
        </w:rPr>
        <w:t> </w:t>
      </w:r>
      <w:r>
        <w:rPr/>
        <w:t>年</w:t>
      </w:r>
      <w:r>
        <w:rPr>
          <w:spacing w:val="-45"/>
        </w:rPr>
        <w:t> </w:t>
      </w:r>
      <w:r>
        <w:rPr/>
        <w:t>10</w:t>
      </w:r>
      <w:r>
        <w:rPr>
          <w:spacing w:val="-45"/>
        </w:rPr>
        <w:t> </w:t>
      </w:r>
      <w:r>
        <w:rPr/>
        <w:t>月</w:t>
      </w:r>
      <w:r>
        <w:rPr>
          <w:spacing w:val="-45"/>
        </w:rPr>
        <w:t> </w:t>
      </w:r>
      <w:r>
        <w:rPr/>
        <w:t>14</w:t>
      </w:r>
      <w:r>
        <w:rPr>
          <w:spacing w:val="-45"/>
        </w:rPr>
        <w:t> </w:t>
      </w:r>
      <w:r>
        <w:rPr>
          <w:spacing w:val="-3"/>
        </w:rPr>
        <w:t>日，联通运营公司、联通新时空与中国移动通信有限公司及其相关附属公司（“中国移动”）、</w:t>
      </w:r>
      <w:r>
        <w:rPr>
          <w:spacing w:val="-88"/>
        </w:rPr>
        <w:t> </w:t>
      </w:r>
      <w:r>
        <w:rPr>
          <w:spacing w:val="-88"/>
        </w:rPr>
      </w:r>
      <w:r>
        <w:rPr>
          <w:spacing w:val="-7"/>
        </w:rPr>
        <w:t>中国电信股份有限公司（“中国电信”）和中国国新控股有限责任公司（“中国国新”）与铁塔公司签署了转让协议。</w:t>
      </w:r>
      <w:r>
        <w:rPr/>
        <w:t> </w:t>
      </w:r>
      <w:r>
        <w:rPr>
          <w:spacing w:val="2"/>
        </w:rPr>
        <w:t>根据转让协议，本集团、中国移动及中国电信将出售若干通信铁塔及相关资产（“铁塔资产”）给铁塔公司（以</w:t>
      </w:r>
      <w:r>
        <w:rPr>
          <w:spacing w:val="3"/>
        </w:rPr>
        <w:t> </w:t>
      </w:r>
      <w:r>
        <w:rPr/>
        <w:t>下简称“出售铁塔资产”）以换取铁塔公司发行的股份及现金对价。此外，中国国新以现金认购铁塔公司股份。</w:t>
      </w:r>
    </w:p>
    <w:p>
      <w:pPr>
        <w:spacing w:line="240" w:lineRule="auto" w:before="10"/>
        <w:rPr>
          <w:rFonts w:ascii="宋体" w:hAnsi="宋体" w:cs="宋体" w:eastAsia="宋体" w:hint="default"/>
          <w:sz w:val="13"/>
          <w:szCs w:val="13"/>
        </w:rPr>
      </w:pPr>
    </w:p>
    <w:p>
      <w:pPr>
        <w:pStyle w:val="BodyText"/>
        <w:spacing w:line="240" w:lineRule="auto"/>
        <w:ind w:left="794" w:right="0"/>
        <w:jc w:val="both"/>
      </w:pPr>
      <w:r>
        <w:rPr>
          <w:spacing w:val="6"/>
        </w:rPr>
        <w:t>本集团</w:t>
      </w:r>
      <w:r>
        <w:rPr/>
        <w:t>于</w:t>
      </w:r>
      <w:r>
        <w:rPr>
          <w:spacing w:val="-44"/>
        </w:rPr>
        <w:t> </w:t>
      </w:r>
      <w:r>
        <w:rPr>
          <w:spacing w:val="-1"/>
          <w:w w:val="111"/>
        </w:rPr>
        <w:t>201</w:t>
      </w:r>
      <w:r>
        <w:rPr>
          <w:w w:val="111"/>
        </w:rPr>
        <w:t>5</w:t>
      </w:r>
      <w:r>
        <w:rPr>
          <w:spacing w:val="-44"/>
        </w:rPr>
        <w:t> </w:t>
      </w:r>
      <w:r>
        <w:rPr/>
        <w:t>年</w:t>
      </w:r>
      <w:r>
        <w:rPr>
          <w:spacing w:val="-44"/>
        </w:rPr>
        <w:t> </w:t>
      </w:r>
      <w:r>
        <w:rPr>
          <w:spacing w:val="-1"/>
          <w:w w:val="111"/>
        </w:rPr>
        <w:t>1</w:t>
      </w:r>
      <w:r>
        <w:rPr>
          <w:w w:val="111"/>
        </w:rPr>
        <w:t>0</w:t>
      </w:r>
      <w:r>
        <w:rPr>
          <w:spacing w:val="-44"/>
        </w:rPr>
        <w:t> </w:t>
      </w:r>
      <w:r>
        <w:rPr/>
        <w:t>月</w:t>
      </w:r>
      <w:r>
        <w:rPr>
          <w:spacing w:val="-44"/>
        </w:rPr>
        <w:t> </w:t>
      </w:r>
      <w:r>
        <w:rPr>
          <w:spacing w:val="-1"/>
          <w:w w:val="111"/>
        </w:rPr>
        <w:t>3</w:t>
      </w:r>
      <w:r>
        <w:rPr>
          <w:w w:val="111"/>
        </w:rPr>
        <w:t>1</w:t>
      </w:r>
      <w:r>
        <w:rPr>
          <w:spacing w:val="-44"/>
        </w:rPr>
        <w:t> </w:t>
      </w:r>
      <w:r>
        <w:rPr>
          <w:spacing w:val="6"/>
        </w:rPr>
        <w:t>日完成了上述出售铁塔资产交</w:t>
      </w:r>
      <w:r>
        <w:rPr/>
        <w:t>易</w:t>
      </w:r>
      <w:r>
        <w:rPr>
          <w:spacing w:val="6"/>
        </w:rPr>
        <w:t>，最终确定的交易对价为人民</w:t>
      </w:r>
      <w:r>
        <w:rPr/>
        <w:t>币</w:t>
      </w:r>
      <w:r>
        <w:rPr>
          <w:spacing w:val="-44"/>
        </w:rPr>
        <w:t> </w:t>
      </w:r>
      <w:r>
        <w:rPr>
          <w:spacing w:val="-1"/>
          <w:w w:val="111"/>
        </w:rPr>
        <w:t>546</w:t>
      </w:r>
      <w:r>
        <w:rPr>
          <w:w w:val="55"/>
        </w:rPr>
        <w:t>.</w:t>
      </w:r>
      <w:r>
        <w:rPr>
          <w:spacing w:val="-1"/>
          <w:w w:val="111"/>
        </w:rPr>
        <w:t>5</w:t>
      </w:r>
      <w:r>
        <w:rPr>
          <w:w w:val="111"/>
        </w:rPr>
        <w:t>8</w:t>
      </w:r>
      <w:r>
        <w:rPr>
          <w:spacing w:val="-44"/>
        </w:rPr>
        <w:t> </w:t>
      </w:r>
      <w:r>
        <w:rPr>
          <w:spacing w:val="6"/>
        </w:rPr>
        <w:t>亿</w:t>
      </w:r>
      <w:r>
        <w:rPr/>
        <w:t>元</w:t>
      </w:r>
      <w:r>
        <w:rPr>
          <w:spacing w:val="6"/>
        </w:rPr>
        <w:t>。铁</w:t>
      </w:r>
      <w:r>
        <w:rPr/>
        <w:t>塔</w:t>
      </w:r>
    </w:p>
    <w:p>
      <w:pPr>
        <w:pStyle w:val="BodyText"/>
        <w:spacing w:line="240" w:lineRule="auto" w:before="44"/>
        <w:ind w:left="794" w:right="0"/>
        <w:jc w:val="both"/>
      </w:pPr>
      <w:r>
        <w:rPr>
          <w:spacing w:val="4"/>
        </w:rPr>
        <w:t>公司以发行价每股人民</w:t>
      </w:r>
      <w:r>
        <w:rPr/>
        <w:t>币</w:t>
      </w:r>
      <w:r>
        <w:rPr>
          <w:spacing w:val="-44"/>
        </w:rPr>
        <w:t> </w:t>
      </w:r>
      <w:r>
        <w:rPr>
          <w:spacing w:val="-1"/>
          <w:w w:val="111"/>
        </w:rPr>
        <w:t>1</w:t>
      </w:r>
      <w:r>
        <w:rPr>
          <w:w w:val="55"/>
        </w:rPr>
        <w:t>.</w:t>
      </w:r>
      <w:r>
        <w:rPr>
          <w:spacing w:val="-1"/>
          <w:w w:val="111"/>
        </w:rPr>
        <w:t>0</w:t>
      </w:r>
      <w:r>
        <w:rPr>
          <w:w w:val="111"/>
        </w:rPr>
        <w:t>0</w:t>
      </w:r>
      <w:r>
        <w:rPr>
          <w:spacing w:val="-44"/>
        </w:rPr>
        <w:t> </w:t>
      </w:r>
      <w:r>
        <w:rPr>
          <w:spacing w:val="4"/>
        </w:rPr>
        <w:t>元向联通运营公司配</w:t>
      </w:r>
      <w:r>
        <w:rPr/>
        <w:t>发</w:t>
      </w:r>
      <w:r>
        <w:rPr>
          <w:spacing w:val="-44"/>
        </w:rPr>
        <w:t> </w:t>
      </w:r>
      <w:r>
        <w:rPr>
          <w:spacing w:val="-1"/>
          <w:w w:val="111"/>
        </w:rPr>
        <w:t>33</w:t>
      </w:r>
      <w:r>
        <w:rPr>
          <w:w w:val="55"/>
        </w:rPr>
        <w:t>,</w:t>
      </w:r>
      <w:r>
        <w:rPr>
          <w:spacing w:val="-1"/>
          <w:w w:val="111"/>
        </w:rPr>
        <w:t>335</w:t>
      </w:r>
      <w:r>
        <w:rPr>
          <w:w w:val="55"/>
        </w:rPr>
        <w:t>,</w:t>
      </w:r>
      <w:r>
        <w:rPr>
          <w:spacing w:val="-1"/>
          <w:w w:val="111"/>
        </w:rPr>
        <w:t>836</w:t>
      </w:r>
      <w:r>
        <w:rPr>
          <w:w w:val="55"/>
        </w:rPr>
        <w:t>,</w:t>
      </w:r>
      <w:r>
        <w:rPr>
          <w:spacing w:val="-1"/>
          <w:w w:val="111"/>
        </w:rPr>
        <w:t>82</w:t>
      </w:r>
      <w:r>
        <w:rPr>
          <w:w w:val="111"/>
        </w:rPr>
        <w:t>2</w:t>
      </w:r>
      <w:r>
        <w:rPr>
          <w:spacing w:val="-44"/>
        </w:rPr>
        <w:t> </w:t>
      </w:r>
      <w:r>
        <w:rPr>
          <w:spacing w:val="4"/>
        </w:rPr>
        <w:t>股铁塔公司股</w:t>
      </w:r>
      <w:r>
        <w:rPr/>
        <w:t>份</w:t>
      </w:r>
      <w:r>
        <w:rPr>
          <w:spacing w:val="4"/>
        </w:rPr>
        <w:t>，其余交易对价约人民币</w:t>
      </w:r>
      <w:r>
        <w:rPr/>
      </w:r>
    </w:p>
    <w:p>
      <w:pPr>
        <w:pStyle w:val="BodyText"/>
        <w:spacing w:line="285" w:lineRule="auto" w:before="44"/>
        <w:ind w:left="794" w:right="87"/>
        <w:jc w:val="left"/>
      </w:pPr>
      <w:r>
        <w:rPr/>
        <w:t>213.22</w:t>
      </w:r>
      <w:r>
        <w:rPr>
          <w:spacing w:val="-39"/>
        </w:rPr>
        <w:t> </w:t>
      </w:r>
      <w:r>
        <w:rPr>
          <w:spacing w:val="-9"/>
        </w:rPr>
        <w:t>亿元以现金支付（“现金对价”）。现金对价及交易相关增值税以年利率</w:t>
      </w:r>
      <w:r>
        <w:rPr>
          <w:spacing w:val="-39"/>
        </w:rPr>
        <w:t> </w:t>
      </w:r>
      <w:r>
        <w:rPr/>
        <w:t>3.92%</w:t>
      </w:r>
      <w:r>
        <w:rPr>
          <w:spacing w:val="-39"/>
        </w:rPr>
        <w:t> </w:t>
      </w:r>
      <w:r>
        <w:rPr>
          <w:spacing w:val="-14"/>
        </w:rPr>
        <w:t>计息。于</w:t>
      </w:r>
      <w:r>
        <w:rPr>
          <w:spacing w:val="-39"/>
        </w:rPr>
        <w:t> </w:t>
      </w:r>
      <w:r>
        <w:rPr/>
        <w:t>2017</w:t>
      </w:r>
      <w:r>
        <w:rPr>
          <w:spacing w:val="-39"/>
        </w:rPr>
        <w:t> </w:t>
      </w:r>
      <w:r>
        <w:rPr/>
        <w:t>年</w:t>
      </w:r>
      <w:r>
        <w:rPr>
          <w:spacing w:val="-39"/>
        </w:rPr>
        <w:t> </w:t>
      </w:r>
      <w:r>
        <w:rPr/>
        <w:t>12</w:t>
      </w:r>
      <w:r>
        <w:rPr>
          <w:spacing w:val="-39"/>
        </w:rPr>
        <w:t> </w:t>
      </w:r>
      <w:r>
        <w:rPr/>
        <w:t>月</w:t>
      </w:r>
      <w:r>
        <w:rPr>
          <w:spacing w:val="-39"/>
        </w:rPr>
        <w:t> </w:t>
      </w:r>
      <w:r>
        <w:rPr/>
        <w:t>31</w:t>
      </w:r>
      <w:r>
        <w:rPr>
          <w:spacing w:val="-39"/>
        </w:rPr>
        <w:t> </w:t>
      </w:r>
      <w:r>
        <w:rPr/>
        <w:t>日，</w:t>
      </w:r>
      <w:r>
        <w:rPr>
          <w:spacing w:val="-80"/>
        </w:rPr>
        <w:t> </w:t>
      </w:r>
      <w:r>
        <w:rPr>
          <w:spacing w:val="-80"/>
        </w:rPr>
      </w:r>
      <w:r>
        <w:rPr>
          <w:w w:val="105"/>
        </w:rPr>
        <w:t>现金对价已全部收讫。</w:t>
      </w:r>
    </w:p>
    <w:p>
      <w:pPr>
        <w:spacing w:line="240" w:lineRule="auto" w:before="10"/>
        <w:rPr>
          <w:rFonts w:ascii="宋体" w:hAnsi="宋体" w:cs="宋体" w:eastAsia="宋体" w:hint="default"/>
          <w:sz w:val="13"/>
          <w:szCs w:val="13"/>
        </w:rPr>
      </w:pPr>
    </w:p>
    <w:p>
      <w:pPr>
        <w:pStyle w:val="BodyText"/>
        <w:spacing w:line="240" w:lineRule="auto"/>
        <w:ind w:left="794" w:right="0"/>
        <w:jc w:val="both"/>
      </w:pPr>
      <w:r>
        <w:rPr/>
        <w:t>2018</w:t>
      </w:r>
      <w:r>
        <w:rPr>
          <w:spacing w:val="-37"/>
        </w:rPr>
        <w:t> </w:t>
      </w:r>
      <w:r>
        <w:rPr/>
        <w:t>年，交易相关增值税的利息收入为</w:t>
      </w:r>
      <w:r>
        <w:rPr>
          <w:spacing w:val="-36"/>
        </w:rPr>
        <w:t> </w:t>
      </w:r>
      <w:r>
        <w:rPr/>
        <w:t>0.49</w:t>
      </w:r>
      <w:r>
        <w:rPr>
          <w:spacing w:val="-37"/>
        </w:rPr>
        <w:t> </w:t>
      </w:r>
      <w:r>
        <w:rPr/>
        <w:t>亿元。</w:t>
      </w:r>
    </w:p>
    <w:p>
      <w:pPr>
        <w:spacing w:line="240" w:lineRule="auto" w:before="5"/>
        <w:rPr>
          <w:rFonts w:ascii="宋体" w:hAnsi="宋体" w:cs="宋体" w:eastAsia="宋体" w:hint="default"/>
          <w:sz w:val="16"/>
          <w:szCs w:val="16"/>
        </w:rPr>
      </w:pPr>
    </w:p>
    <w:p>
      <w:pPr>
        <w:pStyle w:val="BodyText"/>
        <w:spacing w:line="285" w:lineRule="auto"/>
        <w:ind w:left="794" w:right="185" w:hanging="341"/>
        <w:jc w:val="both"/>
      </w:pPr>
      <w:r>
        <w:rPr>
          <w:spacing w:val="-1"/>
          <w:w w:val="83"/>
        </w:rPr>
        <w:t>(13)</w:t>
      </w:r>
      <w:r>
        <w:rPr>
          <w:w w:val="83"/>
        </w:rPr>
        <w:t> </w:t>
      </w:r>
      <w:r>
        <w:rPr>
          <w:spacing w:val="2"/>
        </w:rPr>
        <w:t>在完成铁塔资产出售交易的同时，联通运营公司与铁塔公司也在就相关租赁和服务的条款进行最终商榷。为确保</w:t>
      </w:r>
      <w:r>
        <w:rPr>
          <w:spacing w:val="-82"/>
        </w:rPr>
        <w:t> </w:t>
      </w:r>
      <w:r>
        <w:rPr>
          <w:spacing w:val="-82"/>
        </w:rPr>
      </w:r>
      <w:r>
        <w:rPr>
          <w:spacing w:val="2"/>
        </w:rPr>
        <w:t>本集团的业务不受影响，尽管相关租赁和服务的条款尚未最终确定，铁塔公司承诺允许本集团在交易完成日至正</w:t>
      </w:r>
      <w:r>
        <w:rPr>
          <w:spacing w:val="3"/>
        </w:rPr>
        <w:t> </w:t>
      </w:r>
      <w:r>
        <w:rPr>
          <w:spacing w:val="2"/>
        </w:rPr>
        <w:t>式合同签署日前（“过渡期间”）使用铁塔资产，并由联通运营公司支付过渡期间的铁塔资产服务费用。此外，</w:t>
      </w:r>
      <w:r>
        <w:rPr/>
        <w:t> 联通运营公司也租赁了部分中国移动和中国电信出售的或铁塔公司新建的通信铁塔及相关资产。</w:t>
      </w:r>
    </w:p>
    <w:p>
      <w:pPr>
        <w:spacing w:line="240" w:lineRule="auto" w:before="10"/>
        <w:rPr>
          <w:rFonts w:ascii="宋体" w:hAnsi="宋体" w:cs="宋体" w:eastAsia="宋体" w:hint="default"/>
          <w:sz w:val="13"/>
          <w:szCs w:val="13"/>
        </w:rPr>
      </w:pPr>
    </w:p>
    <w:p>
      <w:pPr>
        <w:pStyle w:val="BodyText"/>
        <w:spacing w:line="285" w:lineRule="auto"/>
        <w:ind w:left="794" w:right="185"/>
        <w:jc w:val="both"/>
      </w:pPr>
      <w:r>
        <w:rPr/>
        <w:t>于</w:t>
      </w:r>
      <w:r>
        <w:rPr>
          <w:spacing w:val="-31"/>
        </w:rPr>
        <w:t> </w:t>
      </w:r>
      <w:r>
        <w:rPr/>
        <w:t>2016</w:t>
      </w:r>
      <w:r>
        <w:rPr>
          <w:spacing w:val="-31"/>
        </w:rPr>
        <w:t> </w:t>
      </w:r>
      <w:r>
        <w:rPr/>
        <w:t>年</w:t>
      </w:r>
      <w:r>
        <w:rPr>
          <w:spacing w:val="-31"/>
        </w:rPr>
        <w:t> </w:t>
      </w:r>
      <w:r>
        <w:rPr/>
        <w:t>7</w:t>
      </w:r>
      <w:r>
        <w:rPr>
          <w:spacing w:val="-31"/>
        </w:rPr>
        <w:t> </w:t>
      </w:r>
      <w:r>
        <w:rPr/>
        <w:t>月</w:t>
      </w:r>
      <w:r>
        <w:rPr>
          <w:spacing w:val="-31"/>
        </w:rPr>
        <w:t> </w:t>
      </w:r>
      <w:r>
        <w:rPr/>
        <w:t>8</w:t>
      </w:r>
      <w:r>
        <w:rPr>
          <w:spacing w:val="-31"/>
        </w:rPr>
        <w:t> </w:t>
      </w:r>
      <w:r>
        <w:rPr>
          <w:spacing w:val="3"/>
        </w:rPr>
        <w:t>日，联通运营公司与铁塔公司就若干通信铁塔及相关资产的使用事项签订了商务定价协议（以</w:t>
      </w:r>
      <w:r>
        <w:rPr>
          <w:spacing w:val="-84"/>
        </w:rPr>
        <w:t> </w:t>
      </w:r>
      <w:r>
        <w:rPr>
          <w:spacing w:val="-84"/>
        </w:rPr>
      </w:r>
      <w:r>
        <w:rPr>
          <w:spacing w:val="2"/>
        </w:rPr>
        <w:t>下简称“协议”），协议约定了产品目录、使用费定价标准及服务期限等具体事项。随后，双方签署了省级服务</w:t>
      </w:r>
      <w:r>
        <w:rPr>
          <w:spacing w:val="-62"/>
        </w:rPr>
        <w:t> </w:t>
      </w:r>
      <w:r>
        <w:rPr>
          <w:spacing w:val="-62"/>
        </w:rPr>
      </w:r>
      <w:r>
        <w:rPr/>
        <w:t>协议以及有关特定铁塔的租赁确认书（以下简称“确认书”）。于</w:t>
      </w:r>
      <w:r>
        <w:rPr>
          <w:spacing w:val="-31"/>
        </w:rPr>
        <w:t> </w:t>
      </w:r>
      <w:r>
        <w:rPr/>
        <w:t>2018</w:t>
      </w:r>
      <w:r>
        <w:rPr>
          <w:spacing w:val="-31"/>
        </w:rPr>
        <w:t> </w:t>
      </w:r>
      <w:r>
        <w:rPr/>
        <w:t>年</w:t>
      </w:r>
      <w:r>
        <w:rPr>
          <w:spacing w:val="-31"/>
        </w:rPr>
        <w:t> </w:t>
      </w:r>
      <w:r>
        <w:rPr/>
        <w:t>1</w:t>
      </w:r>
      <w:r>
        <w:rPr>
          <w:spacing w:val="-31"/>
        </w:rPr>
        <w:t> </w:t>
      </w:r>
      <w:r>
        <w:rPr/>
        <w:t>月</w:t>
      </w:r>
      <w:r>
        <w:rPr>
          <w:spacing w:val="-31"/>
        </w:rPr>
        <w:t> </w:t>
      </w:r>
      <w:r>
        <w:rPr/>
        <w:t>31</w:t>
      </w:r>
      <w:r>
        <w:rPr>
          <w:spacing w:val="-31"/>
        </w:rPr>
        <w:t> </w:t>
      </w:r>
      <w:r>
        <w:rPr/>
        <w:t>日，经双方公平谈判协商，联</w:t>
      </w:r>
      <w:r>
        <w:rPr>
          <w:spacing w:val="-75"/>
        </w:rPr>
        <w:t> </w:t>
      </w:r>
      <w:r>
        <w:rPr>
          <w:spacing w:val="-75"/>
        </w:rPr>
      </w:r>
      <w:r>
        <w:rPr>
          <w:spacing w:val="2"/>
        </w:rPr>
        <w:t>通运营公司与铁塔公司签署订立了《&lt;</w:t>
      </w:r>
      <w:r>
        <w:rPr>
          <w:spacing w:val="-24"/>
        </w:rPr>
        <w:t> </w:t>
      </w:r>
      <w:r>
        <w:rPr>
          <w:spacing w:val="2"/>
        </w:rPr>
        <w:t>商务定价协议</w:t>
      </w:r>
      <w:r>
        <w:rPr>
          <w:spacing w:val="-24"/>
        </w:rPr>
        <w:t> </w:t>
      </w:r>
      <w:r>
        <w:rPr/>
        <w:t>&gt;</w:t>
      </w:r>
      <w:r>
        <w:rPr>
          <w:spacing w:val="-24"/>
        </w:rPr>
        <w:t> </w:t>
      </w:r>
      <w:r>
        <w:rPr>
          <w:spacing w:val="2"/>
        </w:rPr>
        <w:t>补充协议》（以下简称“补充协议”），该补充协议的主</w:t>
      </w:r>
      <w:r>
        <w:rPr>
          <w:spacing w:val="-79"/>
        </w:rPr>
        <w:t> </w:t>
      </w:r>
      <w:r>
        <w:rPr>
          <w:spacing w:val="-79"/>
        </w:rPr>
      </w:r>
      <w:r>
        <w:rPr/>
        <w:t>要内容包括</w:t>
      </w:r>
      <w:r>
        <w:rPr>
          <w:spacing w:val="-39"/>
        </w:rPr>
        <w:t> </w:t>
      </w:r>
      <w:r>
        <w:rPr/>
        <w:t>1）降低了作为铁塔公司定价基础的成本加成率，以及</w:t>
      </w:r>
      <w:r>
        <w:rPr>
          <w:spacing w:val="-39"/>
        </w:rPr>
        <w:t> </w:t>
      </w:r>
      <w:r>
        <w:rPr/>
        <w:t>2）提高了对本集团与其他公司共享铁塔而给予</w:t>
      </w:r>
      <w:r>
        <w:rPr>
          <w:spacing w:val="-85"/>
        </w:rPr>
        <w:t> </w:t>
      </w:r>
      <w:r>
        <w:rPr>
          <w:spacing w:val="-85"/>
        </w:rPr>
      </w:r>
      <w:r>
        <w:rPr/>
        <w:t>的共享折扣率等。本集团将重新根据铁塔租赁的实际需求，签署《产品业务确认单》或《批量起租表》。自</w:t>
      </w:r>
      <w:r>
        <w:rPr>
          <w:spacing w:val="30"/>
        </w:rPr>
        <w:t> </w:t>
      </w:r>
      <w:r>
        <w:rPr/>
        <w:t>2018</w:t>
      </w:r>
    </w:p>
    <w:p>
      <w:pPr>
        <w:pStyle w:val="BodyText"/>
        <w:spacing w:line="240" w:lineRule="auto" w:before="10"/>
        <w:ind w:left="794" w:right="0"/>
        <w:jc w:val="both"/>
      </w:pPr>
      <w:r>
        <w:rPr/>
        <w:t>年</w:t>
      </w:r>
      <w:r>
        <w:rPr>
          <w:spacing w:val="-40"/>
        </w:rPr>
        <w:t> </w:t>
      </w:r>
      <w:r>
        <w:rPr/>
        <w:t>1</w:t>
      </w:r>
      <w:r>
        <w:rPr>
          <w:spacing w:val="-42"/>
        </w:rPr>
        <w:t> </w:t>
      </w:r>
      <w:r>
        <w:rPr/>
        <w:t>月</w:t>
      </w:r>
      <w:r>
        <w:rPr>
          <w:spacing w:val="-40"/>
        </w:rPr>
        <w:t> </w:t>
      </w:r>
      <w:r>
        <w:rPr/>
        <w:t>1</w:t>
      </w:r>
      <w:r>
        <w:rPr>
          <w:spacing w:val="-42"/>
        </w:rPr>
        <w:t> </w:t>
      </w:r>
      <w:r>
        <w:rPr/>
        <w:t>日，重新租赁的铁塔以新条款内容执行，约定期限为</w:t>
      </w:r>
      <w:r>
        <w:rPr>
          <w:spacing w:val="-40"/>
        </w:rPr>
        <w:t> </w:t>
      </w:r>
      <w:r>
        <w:rPr/>
        <w:t>5</w:t>
      </w:r>
      <w:r>
        <w:rPr>
          <w:spacing w:val="-42"/>
        </w:rPr>
        <w:t> </w:t>
      </w:r>
      <w:r>
        <w:rPr/>
        <w:t>年。</w:t>
      </w:r>
    </w:p>
    <w:p>
      <w:pPr>
        <w:spacing w:line="240" w:lineRule="auto" w:before="5"/>
        <w:rPr>
          <w:rFonts w:ascii="宋体" w:hAnsi="宋体" w:cs="宋体" w:eastAsia="宋体" w:hint="default"/>
          <w:sz w:val="16"/>
          <w:szCs w:val="16"/>
        </w:rPr>
      </w:pPr>
    </w:p>
    <w:p>
      <w:pPr>
        <w:pStyle w:val="BodyText"/>
        <w:spacing w:line="285" w:lineRule="auto"/>
        <w:ind w:left="794" w:right="191"/>
        <w:jc w:val="left"/>
      </w:pPr>
      <w:r>
        <w:rPr/>
        <w:t>根据协议、补充协议和确认书，本集团于</w:t>
      </w:r>
      <w:r>
        <w:rPr>
          <w:spacing w:val="-30"/>
        </w:rPr>
        <w:t> </w:t>
      </w:r>
      <w:r>
        <w:rPr/>
        <w:t>2018</w:t>
      </w:r>
      <w:r>
        <w:rPr>
          <w:spacing w:val="-30"/>
        </w:rPr>
        <w:t> </w:t>
      </w:r>
      <w:r>
        <w:rPr/>
        <w:t>年确认了与使用铁塔资产相关的经营性租赁及其他服务费用共计约</w:t>
      </w:r>
      <w:r>
        <w:rPr>
          <w:spacing w:val="-85"/>
        </w:rPr>
        <w:t> </w:t>
      </w:r>
      <w:r>
        <w:rPr>
          <w:spacing w:val="-85"/>
        </w:rPr>
      </w:r>
      <w:r>
        <w:rPr/>
        <w:t>为人民币</w:t>
      </w:r>
      <w:r>
        <w:rPr>
          <w:spacing w:val="-42"/>
        </w:rPr>
        <w:t> </w:t>
      </w:r>
      <w:r>
        <w:rPr/>
        <w:t>159.82</w:t>
      </w:r>
      <w:r>
        <w:rPr>
          <w:spacing w:val="-43"/>
        </w:rPr>
        <w:t> </w:t>
      </w:r>
      <w:r>
        <w:rPr/>
        <w:t>亿元（2017</w:t>
      </w:r>
      <w:r>
        <w:rPr>
          <w:spacing w:val="-43"/>
        </w:rPr>
        <w:t> </w:t>
      </w:r>
      <w:r>
        <w:rPr/>
        <w:t>年</w:t>
      </w:r>
      <w:r>
        <w:rPr>
          <w:spacing w:val="-42"/>
        </w:rPr>
        <w:t> </w:t>
      </w:r>
      <w:r>
        <w:rPr>
          <w:w w:val="95"/>
        </w:rPr>
        <w:t>:</w:t>
      </w:r>
      <w:r>
        <w:rPr>
          <w:spacing w:val="-33"/>
          <w:w w:val="95"/>
        </w:rPr>
        <w:t> </w:t>
      </w:r>
      <w:r>
        <w:rPr/>
        <w:t>约为人民币</w:t>
      </w:r>
      <w:r>
        <w:rPr>
          <w:spacing w:val="-42"/>
        </w:rPr>
        <w:t> </w:t>
      </w:r>
      <w:r>
        <w:rPr/>
        <w:t>165.24</w:t>
      </w:r>
      <w:r>
        <w:rPr>
          <w:spacing w:val="-43"/>
        </w:rPr>
        <w:t> </w:t>
      </w:r>
      <w:r>
        <w:rPr/>
        <w:t>亿元）。</w:t>
      </w:r>
    </w:p>
    <w:p>
      <w:pPr>
        <w:spacing w:line="240" w:lineRule="auto" w:before="10"/>
        <w:rPr>
          <w:rFonts w:ascii="宋体" w:hAnsi="宋体" w:cs="宋体" w:eastAsia="宋体" w:hint="default"/>
          <w:sz w:val="13"/>
          <w:szCs w:val="13"/>
        </w:rPr>
      </w:pPr>
    </w:p>
    <w:p>
      <w:pPr>
        <w:pStyle w:val="BodyText"/>
        <w:spacing w:line="240" w:lineRule="auto"/>
        <w:ind w:left="453" w:right="87"/>
        <w:jc w:val="left"/>
      </w:pPr>
      <w:r>
        <w:rPr>
          <w:w w:val="55"/>
        </w:rPr>
        <w:t>(</w:t>
      </w:r>
      <w:r>
        <w:rPr>
          <w:spacing w:val="-1"/>
          <w:w w:val="111"/>
        </w:rPr>
        <w:t>14</w:t>
      </w:r>
      <w:r>
        <w:rPr>
          <w:w w:val="55"/>
        </w:rPr>
        <w:t>)</w:t>
      </w:r>
      <w:r>
        <w:rPr>
          <w:spacing w:val="-50"/>
        </w:rPr>
        <w:t> </w:t>
      </w:r>
      <w:r>
        <w:rPr>
          <w:spacing w:val="-1"/>
          <w:w w:val="111"/>
        </w:rPr>
        <w:t>201</w:t>
      </w:r>
      <w:r>
        <w:rPr>
          <w:w w:val="111"/>
        </w:rPr>
        <w:t>7</w:t>
      </w:r>
      <w:r>
        <w:rPr>
          <w:spacing w:val="-45"/>
        </w:rPr>
        <w:t> </w:t>
      </w:r>
      <w:r>
        <w:rPr/>
        <w:t>年</w:t>
      </w:r>
      <w:r>
        <w:rPr>
          <w:spacing w:val="-45"/>
        </w:rPr>
        <w:t> </w:t>
      </w:r>
      <w:r>
        <w:rPr>
          <w:w w:val="111"/>
        </w:rPr>
        <w:t>2</w:t>
      </w:r>
      <w:r>
        <w:rPr>
          <w:spacing w:val="-45"/>
        </w:rPr>
        <w:t> </w:t>
      </w:r>
      <w:r>
        <w:rPr/>
        <w:t>月，联通运营公司通过财务公司自联通集团借入委托贷款人民币</w:t>
      </w:r>
      <w:r>
        <w:rPr>
          <w:spacing w:val="-45"/>
        </w:rPr>
        <w:t> </w:t>
      </w:r>
      <w:r>
        <w:rPr>
          <w:spacing w:val="-1"/>
          <w:w w:val="111"/>
        </w:rPr>
        <w:t>13</w:t>
      </w:r>
      <w:r>
        <w:rPr>
          <w:w w:val="55"/>
        </w:rPr>
        <w:t>.</w:t>
      </w:r>
      <w:r>
        <w:rPr>
          <w:spacing w:val="-1"/>
          <w:w w:val="111"/>
        </w:rPr>
        <w:t>4</w:t>
      </w:r>
      <w:r>
        <w:rPr>
          <w:w w:val="111"/>
        </w:rPr>
        <w:t>4</w:t>
      </w:r>
      <w:r>
        <w:rPr>
          <w:spacing w:val="-45"/>
        </w:rPr>
        <w:t> </w:t>
      </w:r>
      <w:r>
        <w:rPr/>
        <w:t>亿元，借款期限为</w:t>
      </w:r>
      <w:r>
        <w:rPr>
          <w:spacing w:val="-45"/>
        </w:rPr>
        <w:t> </w:t>
      </w:r>
      <w:r>
        <w:rPr>
          <w:w w:val="111"/>
        </w:rPr>
        <w:t>1</w:t>
      </w:r>
      <w:r>
        <w:rPr>
          <w:spacing w:val="-45"/>
        </w:rPr>
        <w:t> </w:t>
      </w:r>
      <w:r>
        <w:rPr/>
        <w:t>年，借款利</w:t>
      </w:r>
    </w:p>
    <w:p>
      <w:pPr>
        <w:pStyle w:val="BodyText"/>
        <w:spacing w:line="240" w:lineRule="auto" w:before="44"/>
        <w:ind w:left="794" w:right="0"/>
        <w:jc w:val="both"/>
      </w:pPr>
      <w:r>
        <w:rPr>
          <w:w w:val="105"/>
        </w:rPr>
        <w:t>率为固定利率</w:t>
      </w:r>
      <w:r>
        <w:rPr>
          <w:spacing w:val="-69"/>
          <w:w w:val="105"/>
        </w:rPr>
        <w:t> </w:t>
      </w:r>
      <w:r>
        <w:rPr>
          <w:w w:val="105"/>
        </w:rPr>
        <w:t>3.92%，该借款已于</w:t>
      </w:r>
      <w:r>
        <w:rPr>
          <w:spacing w:val="-70"/>
          <w:w w:val="105"/>
        </w:rPr>
        <w:t> </w:t>
      </w:r>
      <w:r>
        <w:rPr>
          <w:w w:val="105"/>
        </w:rPr>
        <w:t>2018</w:t>
      </w:r>
      <w:r>
        <w:rPr>
          <w:spacing w:val="-70"/>
          <w:w w:val="105"/>
        </w:rPr>
        <w:t> </w:t>
      </w:r>
      <w:r>
        <w:rPr>
          <w:w w:val="105"/>
        </w:rPr>
        <w:t>年</w:t>
      </w:r>
      <w:r>
        <w:rPr>
          <w:spacing w:val="-69"/>
          <w:w w:val="105"/>
        </w:rPr>
        <w:t> </w:t>
      </w:r>
      <w:r>
        <w:rPr>
          <w:w w:val="105"/>
        </w:rPr>
        <w:t>2</w:t>
      </w:r>
      <w:r>
        <w:rPr>
          <w:spacing w:val="-70"/>
          <w:w w:val="105"/>
        </w:rPr>
        <w:t> </w:t>
      </w:r>
      <w:r>
        <w:rPr>
          <w:w w:val="105"/>
        </w:rPr>
        <w:t>月到期并偿还。</w:t>
      </w:r>
    </w:p>
    <w:p>
      <w:pPr>
        <w:spacing w:line="240" w:lineRule="auto" w:before="5"/>
        <w:rPr>
          <w:rFonts w:ascii="宋体" w:hAnsi="宋体" w:cs="宋体" w:eastAsia="宋体" w:hint="default"/>
          <w:sz w:val="16"/>
          <w:szCs w:val="16"/>
        </w:rPr>
      </w:pPr>
    </w:p>
    <w:p>
      <w:pPr>
        <w:pStyle w:val="BodyText"/>
        <w:spacing w:line="240" w:lineRule="auto"/>
        <w:ind w:left="794" w:right="0"/>
        <w:jc w:val="both"/>
      </w:pPr>
      <w:r>
        <w:rPr>
          <w:spacing w:val="-1"/>
          <w:w w:val="111"/>
        </w:rPr>
        <w:t>201</w:t>
      </w:r>
      <w:r>
        <w:rPr>
          <w:w w:val="111"/>
        </w:rPr>
        <w:t>7</w:t>
      </w:r>
      <w:r>
        <w:rPr>
          <w:spacing w:val="-45"/>
        </w:rPr>
        <w:t> </w:t>
      </w:r>
      <w:r>
        <w:rPr/>
        <w:t>年</w:t>
      </w:r>
      <w:r>
        <w:rPr>
          <w:spacing w:val="-45"/>
        </w:rPr>
        <w:t> </w:t>
      </w:r>
      <w:r>
        <w:rPr>
          <w:spacing w:val="-1"/>
          <w:w w:val="111"/>
        </w:rPr>
        <w:t>1</w:t>
      </w:r>
      <w:r>
        <w:rPr>
          <w:w w:val="111"/>
        </w:rPr>
        <w:t>2</w:t>
      </w:r>
      <w:r>
        <w:rPr>
          <w:spacing w:val="-45"/>
        </w:rPr>
        <w:t> </w:t>
      </w:r>
      <w:r>
        <w:rPr/>
        <w:t>月，联通红筹公司自联通集团</w:t>
      </w:r>
      <w:r>
        <w:rPr>
          <w:spacing w:val="-45"/>
        </w:rPr>
        <w:t> </w:t>
      </w:r>
      <w:r>
        <w:rPr>
          <w:w w:val="132"/>
        </w:rPr>
        <w:t>B</w:t>
      </w:r>
      <w:r>
        <w:rPr>
          <w:w w:val="121"/>
        </w:rPr>
        <w:t>V</w:t>
      </w:r>
      <w:r>
        <w:rPr>
          <w:w w:val="55"/>
        </w:rPr>
        <w:t>I</w:t>
      </w:r>
      <w:r>
        <w:rPr>
          <w:spacing w:val="-45"/>
        </w:rPr>
        <w:t> </w:t>
      </w:r>
      <w:r>
        <w:rPr/>
        <w:t>公司借入贷款港币</w:t>
      </w:r>
      <w:r>
        <w:rPr>
          <w:spacing w:val="-45"/>
        </w:rPr>
        <w:t> </w:t>
      </w:r>
      <w:r>
        <w:rPr>
          <w:spacing w:val="-1"/>
          <w:w w:val="111"/>
        </w:rPr>
        <w:t>5</w:t>
      </w:r>
      <w:r>
        <w:rPr>
          <w:w w:val="55"/>
        </w:rPr>
        <w:t>.</w:t>
      </w:r>
      <w:r>
        <w:rPr>
          <w:spacing w:val="-1"/>
          <w:w w:val="111"/>
        </w:rPr>
        <w:t>2</w:t>
      </w:r>
      <w:r>
        <w:rPr>
          <w:w w:val="111"/>
        </w:rPr>
        <w:t>0</w:t>
      </w:r>
      <w:r>
        <w:rPr>
          <w:spacing w:val="-45"/>
        </w:rPr>
        <w:t> </w:t>
      </w:r>
      <w:r>
        <w:rPr/>
        <w:t>亿元，借款期限为</w:t>
      </w:r>
      <w:r>
        <w:rPr>
          <w:spacing w:val="-45"/>
        </w:rPr>
        <w:t> </w:t>
      </w:r>
      <w:r>
        <w:rPr>
          <w:w w:val="111"/>
        </w:rPr>
        <w:t>1</w:t>
      </w:r>
      <w:r>
        <w:rPr>
          <w:spacing w:val="-45"/>
        </w:rPr>
        <w:t> </w:t>
      </w:r>
      <w:r>
        <w:rPr/>
        <w:t>年，借款利率为香港银</w:t>
      </w:r>
    </w:p>
    <w:p>
      <w:pPr>
        <w:pStyle w:val="BodyText"/>
        <w:spacing w:line="240" w:lineRule="auto" w:before="44"/>
        <w:ind w:left="794" w:right="0"/>
        <w:jc w:val="both"/>
      </w:pPr>
      <w:r>
        <w:rPr>
          <w:w w:val="105"/>
        </w:rPr>
        <w:t>行同业拆借利率上浮</w:t>
      </w:r>
      <w:r>
        <w:rPr>
          <w:spacing w:val="-68"/>
          <w:w w:val="105"/>
        </w:rPr>
        <w:t> </w:t>
      </w:r>
      <w:r>
        <w:rPr>
          <w:w w:val="105"/>
        </w:rPr>
        <w:t>1.2%，该借款已于</w:t>
      </w:r>
      <w:r>
        <w:rPr>
          <w:spacing w:val="-68"/>
          <w:w w:val="105"/>
        </w:rPr>
        <w:t> </w:t>
      </w:r>
      <w:r>
        <w:rPr>
          <w:w w:val="105"/>
        </w:rPr>
        <w:t>2018</w:t>
      </w:r>
      <w:r>
        <w:rPr>
          <w:spacing w:val="-68"/>
          <w:w w:val="105"/>
        </w:rPr>
        <w:t> </w:t>
      </w:r>
      <w:r>
        <w:rPr>
          <w:w w:val="105"/>
        </w:rPr>
        <w:t>年</w:t>
      </w:r>
      <w:r>
        <w:rPr>
          <w:spacing w:val="-68"/>
          <w:w w:val="105"/>
        </w:rPr>
        <w:t> </w:t>
      </w:r>
      <w:r>
        <w:rPr>
          <w:w w:val="105"/>
        </w:rPr>
        <w:t>12</w:t>
      </w:r>
      <w:r>
        <w:rPr>
          <w:spacing w:val="-68"/>
          <w:w w:val="105"/>
        </w:rPr>
        <w:t> </w:t>
      </w:r>
      <w:r>
        <w:rPr>
          <w:w w:val="105"/>
        </w:rPr>
        <w:t>月</w:t>
      </w:r>
      <w:r>
        <w:rPr>
          <w:spacing w:val="-68"/>
          <w:w w:val="105"/>
        </w:rPr>
        <w:t> </w:t>
      </w:r>
      <w:r>
        <w:rPr>
          <w:w w:val="105"/>
        </w:rPr>
        <w:t>21</w:t>
      </w:r>
      <w:r>
        <w:rPr>
          <w:spacing w:val="-68"/>
          <w:w w:val="105"/>
        </w:rPr>
        <w:t> </w:t>
      </w:r>
      <w:r>
        <w:rPr>
          <w:w w:val="105"/>
        </w:rPr>
        <w:t>日到期并偿还。</w:t>
      </w:r>
    </w:p>
    <w:p>
      <w:pPr>
        <w:spacing w:line="240" w:lineRule="auto" w:before="5"/>
        <w:rPr>
          <w:rFonts w:ascii="宋体" w:hAnsi="宋体" w:cs="宋体" w:eastAsia="宋体" w:hint="default"/>
          <w:sz w:val="16"/>
          <w:szCs w:val="16"/>
        </w:rPr>
      </w:pPr>
    </w:p>
    <w:p>
      <w:pPr>
        <w:pStyle w:val="BodyText"/>
        <w:spacing w:line="240" w:lineRule="auto"/>
        <w:ind w:left="794" w:right="0"/>
        <w:jc w:val="both"/>
      </w:pPr>
      <w:r>
        <w:rPr>
          <w:spacing w:val="-1"/>
          <w:w w:val="111"/>
        </w:rPr>
        <w:t>201</w:t>
      </w:r>
      <w:r>
        <w:rPr>
          <w:w w:val="111"/>
        </w:rPr>
        <w:t>8</w:t>
      </w:r>
      <w:r>
        <w:rPr>
          <w:spacing w:val="-45"/>
        </w:rPr>
        <w:t> </w:t>
      </w:r>
      <w:r>
        <w:rPr/>
        <w:t>年</w:t>
      </w:r>
      <w:r>
        <w:rPr>
          <w:spacing w:val="-45"/>
        </w:rPr>
        <w:t> </w:t>
      </w:r>
      <w:r>
        <w:rPr>
          <w:spacing w:val="-1"/>
          <w:w w:val="111"/>
        </w:rPr>
        <w:t>1</w:t>
      </w:r>
      <w:r>
        <w:rPr>
          <w:w w:val="111"/>
        </w:rPr>
        <w:t>2</w:t>
      </w:r>
      <w:r>
        <w:rPr>
          <w:spacing w:val="-45"/>
        </w:rPr>
        <w:t> </w:t>
      </w:r>
      <w:r>
        <w:rPr/>
        <w:t>月，联通红筹公司自联通集团</w:t>
      </w:r>
      <w:r>
        <w:rPr>
          <w:spacing w:val="-45"/>
        </w:rPr>
        <w:t> </w:t>
      </w:r>
      <w:r>
        <w:rPr>
          <w:w w:val="132"/>
        </w:rPr>
        <w:t>B</w:t>
      </w:r>
      <w:r>
        <w:rPr>
          <w:w w:val="121"/>
        </w:rPr>
        <w:t>V</w:t>
      </w:r>
      <w:r>
        <w:rPr>
          <w:w w:val="55"/>
        </w:rPr>
        <w:t>I</w:t>
      </w:r>
      <w:r>
        <w:rPr>
          <w:spacing w:val="-45"/>
        </w:rPr>
        <w:t> </w:t>
      </w:r>
      <w:r>
        <w:rPr/>
        <w:t>公司借入贷款港币</w:t>
      </w:r>
      <w:r>
        <w:rPr>
          <w:spacing w:val="-45"/>
        </w:rPr>
        <w:t> </w:t>
      </w:r>
      <w:r>
        <w:rPr>
          <w:spacing w:val="-1"/>
          <w:w w:val="111"/>
        </w:rPr>
        <w:t>0</w:t>
      </w:r>
      <w:r>
        <w:rPr>
          <w:w w:val="55"/>
        </w:rPr>
        <w:t>.</w:t>
      </w:r>
      <w:r>
        <w:rPr>
          <w:spacing w:val="-1"/>
          <w:w w:val="111"/>
        </w:rPr>
        <w:t>0</w:t>
      </w:r>
      <w:r>
        <w:rPr>
          <w:w w:val="111"/>
        </w:rPr>
        <w:t>2</w:t>
      </w:r>
      <w:r>
        <w:rPr>
          <w:spacing w:val="-45"/>
        </w:rPr>
        <w:t> </w:t>
      </w:r>
      <w:r>
        <w:rPr/>
        <w:t>亿元，借款利率为香港银行同业拆借利率上</w:t>
      </w:r>
    </w:p>
    <w:p>
      <w:pPr>
        <w:pStyle w:val="BodyText"/>
        <w:spacing w:line="285" w:lineRule="auto" w:before="44"/>
        <w:ind w:left="794" w:right="87"/>
        <w:jc w:val="left"/>
      </w:pPr>
      <w:r>
        <w:rPr/>
        <w:t>浮</w:t>
      </w:r>
      <w:r>
        <w:rPr>
          <w:spacing w:val="-53"/>
        </w:rPr>
        <w:t> </w:t>
      </w:r>
      <w:r>
        <w:rPr>
          <w:spacing w:val="2"/>
          <w:w w:val="106"/>
        </w:rPr>
        <w:t>1.11%；借入贷款人民币</w:t>
      </w:r>
      <w:r>
        <w:rPr>
          <w:spacing w:val="-59"/>
          <w:w w:val="106"/>
        </w:rPr>
        <w:t> </w:t>
      </w:r>
      <w:r>
        <w:rPr>
          <w:spacing w:val="-1"/>
          <w:w w:val="97"/>
        </w:rPr>
        <w:t>0.46</w:t>
      </w:r>
      <w:r>
        <w:rPr>
          <w:spacing w:val="-50"/>
          <w:w w:val="97"/>
        </w:rPr>
        <w:t> </w:t>
      </w:r>
      <w:r>
        <w:rPr>
          <w:spacing w:val="4"/>
        </w:rPr>
        <w:t>亿元，借款利率为固定利率</w:t>
      </w:r>
      <w:r>
        <w:rPr>
          <w:spacing w:val="-53"/>
        </w:rPr>
        <w:t> </w:t>
      </w:r>
      <w:r>
        <w:rPr>
          <w:spacing w:val="2"/>
          <w:w w:val="106"/>
        </w:rPr>
        <w:t>4.77%。该两笔借款期限为</w:t>
      </w:r>
      <w:r>
        <w:rPr>
          <w:spacing w:val="-59"/>
          <w:w w:val="106"/>
        </w:rPr>
        <w:t> </w:t>
      </w:r>
      <w:r>
        <w:rPr>
          <w:w w:val="111"/>
        </w:rPr>
        <w:t>1</w:t>
      </w:r>
      <w:r>
        <w:rPr>
          <w:spacing w:val="-63"/>
          <w:w w:val="111"/>
        </w:rPr>
        <w:t> </w:t>
      </w:r>
      <w:r>
        <w:rPr>
          <w:spacing w:val="2"/>
        </w:rPr>
        <w:t>年，将于</w:t>
      </w:r>
      <w:r>
        <w:rPr>
          <w:spacing w:val="-53"/>
        </w:rPr>
        <w:t> </w:t>
      </w:r>
      <w:r>
        <w:rPr>
          <w:spacing w:val="-1"/>
          <w:w w:val="111"/>
        </w:rPr>
        <w:t>2019</w:t>
      </w:r>
      <w:r>
        <w:rPr>
          <w:spacing w:val="-63"/>
          <w:w w:val="111"/>
        </w:rPr>
        <w:t> </w:t>
      </w:r>
      <w:r>
        <w:rPr/>
        <w:t>年</w:t>
      </w:r>
      <w:r>
        <w:rPr>
          <w:spacing w:val="-53"/>
        </w:rPr>
        <w:t> </w:t>
      </w:r>
      <w:r>
        <w:rPr>
          <w:spacing w:val="-1"/>
          <w:w w:val="111"/>
        </w:rPr>
        <w:t>12</w:t>
      </w:r>
      <w:r>
        <w:rPr>
          <w:w w:val="111"/>
        </w:rPr>
        <w:t> </w:t>
      </w:r>
      <w:r>
        <w:rPr>
          <w:w w:val="105"/>
        </w:rPr>
        <w:t>月到期。</w:t>
      </w:r>
    </w:p>
    <w:p>
      <w:pPr>
        <w:spacing w:line="240" w:lineRule="auto" w:before="10"/>
        <w:rPr>
          <w:rFonts w:ascii="宋体" w:hAnsi="宋体" w:cs="宋体" w:eastAsia="宋体" w:hint="default"/>
          <w:sz w:val="13"/>
          <w:szCs w:val="13"/>
        </w:rPr>
      </w:pPr>
    </w:p>
    <w:p>
      <w:pPr>
        <w:pStyle w:val="BodyText"/>
        <w:spacing w:line="240" w:lineRule="auto"/>
        <w:ind w:left="453" w:right="87"/>
        <w:jc w:val="left"/>
      </w:pPr>
      <w:r>
        <w:rPr>
          <w:w w:val="55"/>
        </w:rPr>
        <w:t>(</w:t>
      </w:r>
      <w:r>
        <w:rPr>
          <w:spacing w:val="-1"/>
          <w:w w:val="111"/>
        </w:rPr>
        <w:t>15</w:t>
      </w:r>
      <w:r>
        <w:rPr>
          <w:w w:val="55"/>
        </w:rPr>
        <w:t>)</w:t>
      </w:r>
      <w:r>
        <w:rPr>
          <w:spacing w:val="-50"/>
        </w:rPr>
        <w:t> </w:t>
      </w:r>
      <w:r>
        <w:rPr>
          <w:spacing w:val="-1"/>
          <w:w w:val="111"/>
        </w:rPr>
        <w:t>201</w:t>
      </w:r>
      <w:r>
        <w:rPr>
          <w:w w:val="111"/>
        </w:rPr>
        <w:t>7</w:t>
      </w:r>
      <w:r>
        <w:rPr>
          <w:spacing w:val="-45"/>
        </w:rPr>
        <w:t> </w:t>
      </w:r>
      <w:r>
        <w:rPr/>
        <w:t>年</w:t>
      </w:r>
      <w:r>
        <w:rPr>
          <w:spacing w:val="-45"/>
        </w:rPr>
        <w:t> </w:t>
      </w:r>
      <w:r>
        <w:rPr>
          <w:w w:val="111"/>
        </w:rPr>
        <w:t>4</w:t>
      </w:r>
      <w:r>
        <w:rPr>
          <w:spacing w:val="-45"/>
        </w:rPr>
        <w:t> </w:t>
      </w:r>
      <w:r>
        <w:rPr/>
        <w:t>月</w:t>
      </w:r>
      <w:r>
        <w:rPr>
          <w:spacing w:val="2"/>
        </w:rPr>
        <w:t>，联通运营公司通过财务公司与智慧足迹签订了委托贷款合</w:t>
      </w:r>
      <w:r>
        <w:rPr/>
        <w:t>同</w:t>
      </w:r>
      <w:r>
        <w:rPr>
          <w:spacing w:val="2"/>
        </w:rPr>
        <w:t>，贷款额度人民</w:t>
      </w:r>
      <w:r>
        <w:rPr/>
        <w:t>币</w:t>
      </w:r>
      <w:r>
        <w:rPr>
          <w:spacing w:val="-45"/>
        </w:rPr>
        <w:t> </w:t>
      </w:r>
      <w:r>
        <w:rPr>
          <w:w w:val="111"/>
        </w:rPr>
        <w:t>1</w:t>
      </w:r>
      <w:r>
        <w:rPr>
          <w:spacing w:val="-45"/>
        </w:rPr>
        <w:t> </w:t>
      </w:r>
      <w:r>
        <w:rPr>
          <w:spacing w:val="2"/>
        </w:rPr>
        <w:t>亿</w:t>
      </w:r>
      <w:r>
        <w:rPr/>
        <w:t>元</w:t>
      </w:r>
      <w:r>
        <w:rPr>
          <w:spacing w:val="2"/>
        </w:rPr>
        <w:t>。</w:t>
      </w:r>
      <w:r>
        <w:rPr/>
        <w:t>于</w:t>
      </w:r>
      <w:r>
        <w:rPr>
          <w:spacing w:val="-45"/>
        </w:rPr>
        <w:t> </w:t>
      </w:r>
      <w:r>
        <w:rPr>
          <w:spacing w:val="-1"/>
          <w:w w:val="111"/>
        </w:rPr>
        <w:t>201</w:t>
      </w:r>
      <w:r>
        <w:rPr>
          <w:w w:val="111"/>
        </w:rPr>
        <w:t>7</w:t>
      </w:r>
      <w:r>
        <w:rPr>
          <w:spacing w:val="-45"/>
        </w:rPr>
        <w:t> </w:t>
      </w:r>
      <w:r>
        <w:rPr/>
        <w:t>年</w:t>
      </w:r>
    </w:p>
    <w:p>
      <w:pPr>
        <w:pStyle w:val="BodyText"/>
        <w:spacing w:line="240" w:lineRule="auto" w:before="44"/>
        <w:ind w:left="794" w:right="0"/>
        <w:jc w:val="both"/>
      </w:pPr>
      <w:r>
        <w:rPr>
          <w:w w:val="111"/>
        </w:rPr>
        <w:t>4</w:t>
      </w:r>
      <w:r>
        <w:rPr>
          <w:spacing w:val="-45"/>
        </w:rPr>
        <w:t> </w:t>
      </w:r>
      <w:r>
        <w:rPr>
          <w:spacing w:val="1"/>
        </w:rPr>
        <w:t>月</w:t>
      </w:r>
      <w:r>
        <w:rPr/>
        <w:t>及</w:t>
      </w:r>
      <w:r>
        <w:rPr>
          <w:spacing w:val="-45"/>
        </w:rPr>
        <w:t> </w:t>
      </w:r>
      <w:r>
        <w:rPr>
          <w:spacing w:val="-1"/>
          <w:w w:val="111"/>
        </w:rPr>
        <w:t>1</w:t>
      </w:r>
      <w:r>
        <w:rPr>
          <w:w w:val="111"/>
        </w:rPr>
        <w:t>0</w:t>
      </w:r>
      <w:r>
        <w:rPr>
          <w:spacing w:val="-45"/>
        </w:rPr>
        <w:t> </w:t>
      </w:r>
      <w:r>
        <w:rPr/>
        <w:t>月</w:t>
      </w:r>
      <w:r>
        <w:rPr>
          <w:spacing w:val="1"/>
        </w:rPr>
        <w:t>，联通运营公司共借入委托贷款人民</w:t>
      </w:r>
      <w:r>
        <w:rPr/>
        <w:t>币</w:t>
      </w:r>
      <w:r>
        <w:rPr>
          <w:spacing w:val="-45"/>
        </w:rPr>
        <w:t> </w:t>
      </w:r>
      <w:r>
        <w:rPr>
          <w:w w:val="111"/>
        </w:rPr>
        <w:t>1</w:t>
      </w:r>
      <w:r>
        <w:rPr>
          <w:spacing w:val="-45"/>
        </w:rPr>
        <w:t> </w:t>
      </w:r>
      <w:r>
        <w:rPr>
          <w:spacing w:val="1"/>
        </w:rPr>
        <w:t>亿</w:t>
      </w:r>
      <w:r>
        <w:rPr/>
        <w:t>元</w:t>
      </w:r>
      <w:r>
        <w:rPr>
          <w:spacing w:val="1"/>
        </w:rPr>
        <w:t>，贷款利率为固定利</w:t>
      </w:r>
      <w:r>
        <w:rPr/>
        <w:t>率</w:t>
      </w:r>
      <w:r>
        <w:rPr>
          <w:spacing w:val="-45"/>
        </w:rPr>
        <w:t> </w:t>
      </w:r>
      <w:r>
        <w:rPr>
          <w:spacing w:val="-1"/>
          <w:w w:val="111"/>
        </w:rPr>
        <w:t>3</w:t>
      </w:r>
      <w:r>
        <w:rPr>
          <w:w w:val="55"/>
        </w:rPr>
        <w:t>.</w:t>
      </w:r>
      <w:r>
        <w:rPr>
          <w:spacing w:val="-1"/>
          <w:w w:val="111"/>
        </w:rPr>
        <w:t>92</w:t>
      </w:r>
      <w:r>
        <w:rPr>
          <w:w w:val="200"/>
        </w:rPr>
        <w:t>%</w:t>
      </w:r>
      <w:r>
        <w:rPr>
          <w:spacing w:val="1"/>
        </w:rPr>
        <w:t>。该借款</w:t>
      </w:r>
      <w:r>
        <w:rPr/>
        <w:t>于</w:t>
      </w:r>
      <w:r>
        <w:rPr>
          <w:spacing w:val="-45"/>
        </w:rPr>
        <w:t> </w:t>
      </w:r>
      <w:r>
        <w:rPr>
          <w:spacing w:val="-1"/>
          <w:w w:val="111"/>
        </w:rPr>
        <w:t>201</w:t>
      </w:r>
      <w:r>
        <w:rPr>
          <w:w w:val="111"/>
        </w:rPr>
        <w:t>7</w:t>
      </w:r>
      <w:r>
        <w:rPr>
          <w:spacing w:val="-45"/>
        </w:rPr>
        <w:t> </w:t>
      </w:r>
      <w:r>
        <w:rPr>
          <w:spacing w:val="1"/>
        </w:rPr>
        <w:t>年共偿</w:t>
      </w:r>
      <w:r>
        <w:rPr/>
      </w:r>
    </w:p>
    <w:p>
      <w:pPr>
        <w:pStyle w:val="BodyText"/>
        <w:spacing w:line="240" w:lineRule="auto" w:before="44"/>
        <w:ind w:left="794" w:right="0"/>
        <w:jc w:val="both"/>
      </w:pPr>
      <w:r>
        <w:rPr/>
        <w:t>还人民币</w:t>
      </w:r>
      <w:r>
        <w:rPr>
          <w:spacing w:val="-37"/>
        </w:rPr>
        <w:t> </w:t>
      </w:r>
      <w:r>
        <w:rPr/>
        <w:t>6,000</w:t>
      </w:r>
      <w:r>
        <w:rPr>
          <w:spacing w:val="-38"/>
        </w:rPr>
        <w:t> </w:t>
      </w:r>
      <w:r>
        <w:rPr/>
        <w:t>万元，剩余部分于</w:t>
      </w:r>
      <w:r>
        <w:rPr>
          <w:spacing w:val="-37"/>
        </w:rPr>
        <w:t> </w:t>
      </w:r>
      <w:r>
        <w:rPr/>
        <w:t>2018</w:t>
      </w:r>
      <w:r>
        <w:rPr>
          <w:spacing w:val="-38"/>
        </w:rPr>
        <w:t> </w:t>
      </w:r>
      <w:r>
        <w:rPr/>
        <w:t>年</w:t>
      </w:r>
      <w:r>
        <w:rPr>
          <w:spacing w:val="-37"/>
        </w:rPr>
        <w:t> </w:t>
      </w:r>
      <w:r>
        <w:rPr/>
        <w:t>3</w:t>
      </w:r>
      <w:r>
        <w:rPr>
          <w:spacing w:val="-38"/>
        </w:rPr>
        <w:t> </w:t>
      </w:r>
      <w:r>
        <w:rPr/>
        <w:t>月及</w:t>
      </w:r>
      <w:r>
        <w:rPr>
          <w:spacing w:val="-37"/>
        </w:rPr>
        <w:t> </w:t>
      </w:r>
      <w:r>
        <w:rPr/>
        <w:t>10</w:t>
      </w:r>
      <w:r>
        <w:rPr>
          <w:spacing w:val="-38"/>
        </w:rPr>
        <w:t> </w:t>
      </w:r>
      <w:r>
        <w:rPr/>
        <w:t>月全部偿还。</w:t>
      </w:r>
    </w:p>
    <w:p>
      <w:pPr>
        <w:spacing w:after="0" w:line="240" w:lineRule="auto"/>
        <w:jc w:val="both"/>
        <w:sectPr>
          <w:footerReference w:type="even" r:id="rId356"/>
          <w:footerReference w:type="default" r:id="rId357"/>
          <w:pgSz w:w="11910" w:h="16160"/>
          <w:pgMar w:footer="320" w:header="1200" w:top="2120" w:bottom="520" w:left="680" w:right="1280"/>
        </w:sectPr>
      </w:pPr>
    </w:p>
    <w:p>
      <w:pPr>
        <w:spacing w:line="240" w:lineRule="auto" w:before="7"/>
        <w:rPr>
          <w:rFonts w:ascii="宋体" w:hAnsi="宋体" w:cs="宋体" w:eastAsia="宋体" w:hint="default"/>
          <w:sz w:val="14"/>
          <w:szCs w:val="14"/>
        </w:rPr>
      </w:pPr>
    </w:p>
    <w:p>
      <w:pPr>
        <w:pStyle w:val="BodyText"/>
        <w:spacing w:line="285" w:lineRule="auto" w:before="31"/>
        <w:ind w:left="794" w:right="145" w:hanging="341"/>
        <w:jc w:val="both"/>
      </w:pPr>
      <w:r>
        <w:rPr>
          <w:spacing w:val="-1"/>
          <w:w w:val="83"/>
        </w:rPr>
        <w:t>(16)</w:t>
      </w:r>
      <w:r>
        <w:rPr>
          <w:w w:val="83"/>
        </w:rPr>
        <w:t> </w:t>
      </w:r>
      <w:r>
        <w:rPr>
          <w:spacing w:val="2"/>
        </w:rPr>
        <w:t>数据及互联网业务收入主要为联通运营公司向其他关联法人提供通信、互联网等业务产生的收入。综合服务支出</w:t>
      </w:r>
      <w:r>
        <w:rPr>
          <w:spacing w:val="-81"/>
        </w:rPr>
        <w:t> </w:t>
      </w:r>
      <w:r>
        <w:rPr>
          <w:spacing w:val="-81"/>
        </w:rPr>
      </w:r>
      <w:r>
        <w:rPr/>
        <w:t>主要为其他关联法人向联通运营公司提供维保等服务产生的支出。物资采购支出主要为联通运营公司向其他关联</w:t>
      </w:r>
      <w:r>
        <w:rPr>
          <w:spacing w:val="2"/>
        </w:rPr>
        <w:t> </w:t>
      </w:r>
      <w:r>
        <w:rPr/>
        <w:t>法人采购终端等通讯物资的支出。</w:t>
      </w:r>
    </w:p>
    <w:p>
      <w:pPr>
        <w:spacing w:line="240" w:lineRule="auto" w:before="10"/>
        <w:rPr>
          <w:rFonts w:ascii="宋体" w:hAnsi="宋体" w:cs="宋体" w:eastAsia="宋体" w:hint="default"/>
          <w:sz w:val="13"/>
          <w:szCs w:val="13"/>
        </w:rPr>
      </w:pPr>
    </w:p>
    <w:p>
      <w:pPr>
        <w:pStyle w:val="BodyText"/>
        <w:spacing w:line="240" w:lineRule="auto"/>
        <w:ind w:left="794" w:right="0"/>
        <w:jc w:val="left"/>
      </w:pPr>
      <w:r>
        <w:rPr/>
        <w:t>以上服务价格为一般市场价格。</w:t>
      </w:r>
    </w:p>
    <w:p>
      <w:pPr>
        <w:spacing w:line="240" w:lineRule="auto" w:before="5"/>
        <w:rPr>
          <w:rFonts w:ascii="宋体" w:hAnsi="宋体" w:cs="宋体" w:eastAsia="宋体" w:hint="default"/>
          <w:sz w:val="16"/>
          <w:szCs w:val="16"/>
        </w:rPr>
      </w:pPr>
    </w:p>
    <w:p>
      <w:pPr>
        <w:pStyle w:val="BodyText"/>
        <w:spacing w:line="240" w:lineRule="auto"/>
        <w:ind w:right="0"/>
        <w:jc w:val="left"/>
      </w:pPr>
      <w:r>
        <w:rPr>
          <w:w w:val="95"/>
        </w:rPr>
        <w:t>(17) 本集团成立企业年金基金，2018  年本集团向其供款额参见附注五</w:t>
      </w:r>
      <w:r>
        <w:rPr>
          <w:spacing w:val="34"/>
          <w:w w:val="95"/>
        </w:rPr>
        <w:t> </w:t>
      </w:r>
      <w:r>
        <w:rPr>
          <w:w w:val="95"/>
        </w:rPr>
        <w:t>(20)(c)。中国人寿为账户受托人。</w:t>
      </w:r>
      <w:r>
        <w:rPr/>
      </w:r>
    </w:p>
    <w:p>
      <w:pPr>
        <w:spacing w:line="240" w:lineRule="auto" w:before="5"/>
        <w:rPr>
          <w:rFonts w:ascii="宋体" w:hAnsi="宋体" w:cs="宋体" w:eastAsia="宋体" w:hint="default"/>
          <w:sz w:val="16"/>
          <w:szCs w:val="16"/>
        </w:rPr>
      </w:pPr>
    </w:p>
    <w:p>
      <w:pPr>
        <w:pStyle w:val="BodyText"/>
        <w:spacing w:line="285" w:lineRule="auto"/>
        <w:ind w:left="794" w:right="148" w:hanging="341"/>
        <w:jc w:val="both"/>
      </w:pPr>
      <w:r>
        <w:rPr>
          <w:spacing w:val="-1"/>
          <w:w w:val="83"/>
        </w:rPr>
        <w:t>(18)</w:t>
      </w:r>
      <w:r>
        <w:rPr>
          <w:w w:val="83"/>
        </w:rPr>
        <w:t> </w:t>
      </w:r>
      <w:r>
        <w:rPr>
          <w:spacing w:val="2"/>
        </w:rPr>
        <w:t>联通集团为联通商标的注册持有人。商标上带有联通标识，均已在中国国家商标局登记。根据联通集团和联通运</w:t>
      </w:r>
      <w:r>
        <w:rPr>
          <w:spacing w:val="-84"/>
        </w:rPr>
        <w:t> </w:t>
      </w:r>
      <w:r>
        <w:rPr>
          <w:spacing w:val="-84"/>
        </w:rPr>
      </w:r>
      <w:r>
        <w:rPr/>
        <w:t>营公司之间的独家中国商标使用协议，本集团被授予有权以免交商标使用费及可延期的方式来使用这些商标。</w:t>
      </w:r>
    </w:p>
    <w:p>
      <w:pPr>
        <w:spacing w:line="240" w:lineRule="auto" w:before="10"/>
        <w:rPr>
          <w:rFonts w:ascii="宋体" w:hAnsi="宋体" w:cs="宋体" w:eastAsia="宋体" w:hint="default"/>
          <w:sz w:val="13"/>
          <w:szCs w:val="13"/>
        </w:rPr>
      </w:pPr>
    </w:p>
    <w:p>
      <w:pPr>
        <w:pStyle w:val="BodyText"/>
        <w:spacing w:line="240" w:lineRule="auto"/>
        <w:ind w:right="0"/>
        <w:jc w:val="left"/>
      </w:pPr>
      <w:r>
        <w:rPr>
          <w:w w:val="95"/>
        </w:rPr>
        <w:t>(19)</w:t>
      </w:r>
      <w:r>
        <w:rPr>
          <w:spacing w:val="-16"/>
          <w:w w:val="95"/>
        </w:rPr>
        <w:t> </w:t>
      </w:r>
      <w:r>
        <w:rPr>
          <w:w w:val="95"/>
        </w:rPr>
        <w:t>关键管理人员报酬</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643"/>
        <w:gridCol w:w="2327"/>
        <w:gridCol w:w="2327"/>
      </w:tblGrid>
      <w:tr>
        <w:trPr>
          <w:trHeight w:val="378" w:hRule="exact"/>
        </w:trPr>
        <w:tc>
          <w:tcPr>
            <w:tcW w:w="464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13" w:right="0"/>
              <w:jc w:val="left"/>
              <w:rPr>
                <w:rFonts w:ascii="宋体" w:hAnsi="宋体" w:cs="宋体" w:eastAsia="宋体" w:hint="default"/>
                <w:sz w:val="16"/>
                <w:szCs w:val="16"/>
              </w:rPr>
            </w:pPr>
            <w:r>
              <w:rPr>
                <w:rFonts w:ascii="宋体" w:hAnsi="宋体" w:cs="宋体" w:eastAsia="宋体" w:hint="default"/>
                <w:sz w:val="16"/>
                <w:szCs w:val="16"/>
              </w:rPr>
              <w:t>（单位：人民币万元）</w:t>
            </w:r>
          </w:p>
        </w:tc>
        <w:tc>
          <w:tcPr>
            <w:tcW w:w="2327"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327"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483" w:hRule="exact"/>
        </w:trPr>
        <w:tc>
          <w:tcPr>
            <w:tcW w:w="4643" w:type="dxa"/>
            <w:tcBorders>
              <w:top w:val="single" w:sz="16" w:space="0" w:color="9F8958"/>
              <w:left w:val="nil" w:sz="6" w:space="0" w:color="auto"/>
              <w:bottom w:val="single" w:sz="16" w:space="0" w:color="9F8958"/>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sz w:val="16"/>
                <w:szCs w:val="16"/>
              </w:rPr>
              <w:t>关键管理人员报酬</w:t>
            </w:r>
          </w:p>
        </w:tc>
        <w:tc>
          <w:tcPr>
            <w:tcW w:w="2327"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92"/>
              <w:ind w:right="111"/>
              <w:jc w:val="right"/>
              <w:rPr>
                <w:rFonts w:ascii="宋体" w:hAnsi="宋体" w:cs="宋体" w:eastAsia="宋体" w:hint="default"/>
                <w:sz w:val="16"/>
                <w:szCs w:val="16"/>
              </w:rPr>
            </w:pPr>
            <w:r>
              <w:rPr>
                <w:rFonts w:ascii="宋体"/>
                <w:sz w:val="16"/>
              </w:rPr>
              <w:t>719.26</w:t>
            </w:r>
          </w:p>
        </w:tc>
        <w:tc>
          <w:tcPr>
            <w:tcW w:w="2327" w:type="dxa"/>
            <w:tcBorders>
              <w:top w:val="single" w:sz="16" w:space="0" w:color="9F8958"/>
              <w:left w:val="nil" w:sz="6" w:space="0" w:color="auto"/>
              <w:bottom w:val="single" w:sz="16" w:space="0" w:color="9F8958"/>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sz w:val="16"/>
              </w:rPr>
              <w:t>667.13</w:t>
            </w:r>
          </w:p>
        </w:tc>
      </w:tr>
    </w:tbl>
    <w:p>
      <w:pPr>
        <w:spacing w:line="240" w:lineRule="auto" w:before="2"/>
        <w:rPr>
          <w:rFonts w:ascii="宋体" w:hAnsi="宋体" w:cs="宋体" w:eastAsia="宋体" w:hint="default"/>
          <w:sz w:val="9"/>
          <w:szCs w:val="9"/>
        </w:rPr>
      </w:pPr>
    </w:p>
    <w:p>
      <w:pPr>
        <w:pStyle w:val="BodyText"/>
        <w:spacing w:line="285" w:lineRule="auto" w:before="31"/>
        <w:ind w:right="150"/>
        <w:jc w:val="left"/>
      </w:pPr>
      <w:r>
        <w:rPr/>
        <w:t>另外，除以上交易外本集团按市场一般价格向若干关联方提供数据及互联网应用等服务，2018</w:t>
      </w:r>
      <w:r>
        <w:rPr>
          <w:spacing w:val="-27"/>
        </w:rPr>
        <w:t> </w:t>
      </w:r>
      <w:r>
        <w:rPr/>
        <w:t>年合计金额不超过人民</w:t>
      </w:r>
      <w:r>
        <w:rPr>
          <w:spacing w:val="-73"/>
        </w:rPr>
        <w:t> </w:t>
      </w:r>
      <w:r>
        <w:rPr>
          <w:spacing w:val="-73"/>
        </w:rPr>
      </w:r>
      <w:r>
        <w:rPr/>
        <w:t>币</w:t>
      </w:r>
      <w:r>
        <w:rPr>
          <w:spacing w:val="-56"/>
        </w:rPr>
        <w:t> </w:t>
      </w:r>
      <w:r>
        <w:rPr/>
        <w:t>1.1</w:t>
      </w:r>
      <w:r>
        <w:rPr>
          <w:spacing w:val="-57"/>
        </w:rPr>
        <w:t> </w:t>
      </w:r>
      <w:r>
        <w:rPr/>
        <w:t>亿元。</w:t>
      </w:r>
    </w:p>
    <w:p>
      <w:pPr>
        <w:spacing w:line="240" w:lineRule="auto" w:before="10"/>
        <w:rPr>
          <w:rFonts w:ascii="宋体" w:hAnsi="宋体" w:cs="宋体" w:eastAsia="宋体" w:hint="default"/>
          <w:sz w:val="13"/>
          <w:szCs w:val="13"/>
        </w:rPr>
      </w:pPr>
    </w:p>
    <w:p>
      <w:pPr>
        <w:pStyle w:val="BodyText"/>
        <w:spacing w:line="240" w:lineRule="auto"/>
        <w:ind w:left="113" w:right="0"/>
        <w:jc w:val="left"/>
      </w:pPr>
      <w:r>
        <w:rPr/>
        <w:t>6、</w:t>
      </w:r>
      <w:r>
        <w:rPr>
          <w:spacing w:val="-21"/>
        </w:rPr>
        <w:t> </w:t>
      </w:r>
      <w:r>
        <w:rPr/>
        <w:t>关联方应收、应付款项余额</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1993"/>
        <w:gridCol w:w="2648"/>
        <w:gridCol w:w="2321"/>
        <w:gridCol w:w="2321"/>
      </w:tblGrid>
      <w:tr>
        <w:trPr>
          <w:trHeight w:val="350" w:hRule="exact"/>
        </w:trPr>
        <w:tc>
          <w:tcPr>
            <w:tcW w:w="4642" w:type="dxa"/>
            <w:gridSpan w:val="2"/>
            <w:tcBorders>
              <w:top w:val="nil" w:sz="6" w:space="0" w:color="auto"/>
              <w:left w:val="nil" w:sz="6" w:space="0" w:color="auto"/>
              <w:bottom w:val="single" w:sz="16" w:space="0" w:color="9F8958"/>
              <w:right w:val="nil" w:sz="6" w:space="0" w:color="auto"/>
            </w:tcBorders>
          </w:tcPr>
          <w:p>
            <w:pP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1"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19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应收票据及应收账款</w:t>
            </w:r>
          </w:p>
        </w:tc>
        <w:tc>
          <w:tcPr>
            <w:tcW w:w="264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440" w:right="0"/>
              <w:jc w:val="left"/>
              <w:rPr>
                <w:rFonts w:ascii="宋体" w:hAnsi="宋体" w:cs="宋体" w:eastAsia="宋体" w:hint="default"/>
                <w:sz w:val="16"/>
                <w:szCs w:val="16"/>
              </w:rPr>
            </w:pPr>
            <w:r>
              <w:rPr>
                <w:rFonts w:ascii="宋体" w:hAnsi="宋体" w:cs="宋体" w:eastAsia="宋体" w:hint="default"/>
                <w:sz w:val="16"/>
                <w:szCs w:val="16"/>
              </w:rPr>
              <w:t>联通集团及其子公司</w:t>
            </w:r>
          </w:p>
        </w:tc>
        <w:tc>
          <w:tcPr>
            <w:tcW w:w="232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77,317,391</w:t>
            </w:r>
            <w:r>
              <w:rPr>
                <w:rFonts w:ascii="宋体"/>
                <w:sz w:val="16"/>
              </w:rPr>
            </w:r>
          </w:p>
        </w:tc>
        <w:tc>
          <w:tcPr>
            <w:tcW w:w="232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46,836,093</w:t>
            </w:r>
            <w:r>
              <w:rPr>
                <w:rFonts w:ascii="宋体"/>
                <w:sz w:val="16"/>
              </w:rPr>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铁塔公司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33,128,502</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53,666,921</w:t>
            </w:r>
            <w:r>
              <w:rPr>
                <w:rFonts w:ascii="宋体"/>
                <w:sz w:val="16"/>
              </w:rPr>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其他合营和联营企业</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3,750,000</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3,750,000</w:t>
            </w:r>
            <w:r>
              <w:rPr>
                <w:rFonts w:ascii="宋体"/>
                <w:sz w:val="16"/>
              </w:rPr>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其他关联法人</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100,391,567</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21,246,601</w:t>
            </w:r>
            <w:r>
              <w:rPr>
                <w:rFonts w:ascii="宋体"/>
                <w:sz w:val="16"/>
              </w:rPr>
            </w:r>
          </w:p>
        </w:tc>
      </w:tr>
      <w:tr>
        <w:trPr>
          <w:trHeight w:val="340"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214,587,460</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125,499,615</w:t>
            </w:r>
          </w:p>
        </w:tc>
      </w:tr>
      <w:tr>
        <w:trPr>
          <w:trHeight w:val="34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预付款项</w:t>
            </w:r>
          </w:p>
        </w:tc>
        <w:tc>
          <w:tcPr>
            <w:tcW w:w="2648" w:type="dxa"/>
            <w:tcBorders>
              <w:top w:val="nil" w:sz="6" w:space="0" w:color="auto"/>
              <w:left w:val="nil" w:sz="6" w:space="0" w:color="auto"/>
              <w:bottom w:val="nil" w:sz="6" w:space="0" w:color="auto"/>
              <w:right w:val="nil" w:sz="6" w:space="0" w:color="auto"/>
            </w:tcBorders>
          </w:tcPr>
          <w:p>
            <w:pPr>
              <w:pStyle w:val="TableParagraph"/>
              <w:spacing w:line="240" w:lineRule="auto" w:before="62"/>
              <w:ind w:left="440" w:right="0"/>
              <w:jc w:val="left"/>
              <w:rPr>
                <w:rFonts w:ascii="宋体" w:hAnsi="宋体" w:cs="宋体" w:eastAsia="宋体" w:hint="default"/>
                <w:sz w:val="16"/>
                <w:szCs w:val="16"/>
              </w:rPr>
            </w:pPr>
            <w:r>
              <w:rPr>
                <w:rFonts w:ascii="宋体" w:hAnsi="宋体" w:cs="宋体" w:eastAsia="宋体" w:hint="default"/>
                <w:sz w:val="16"/>
                <w:szCs w:val="16"/>
              </w:rPr>
              <w:t>联通集团及其子公司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5,001,105</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5,202,151</w:t>
            </w:r>
            <w:r>
              <w:rPr>
                <w:rFonts w:ascii="宋体"/>
                <w:sz w:val="16"/>
              </w:rPr>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铁塔公司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1,482,688</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1,576,999</w:t>
            </w:r>
            <w:r>
              <w:rPr>
                <w:rFonts w:ascii="宋体"/>
                <w:sz w:val="16"/>
              </w:rPr>
            </w:r>
          </w:p>
        </w:tc>
      </w:tr>
      <w:tr>
        <w:trPr>
          <w:trHeight w:val="340"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6,483,793</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6,779,150</w:t>
            </w:r>
            <w:r>
              <w:rPr>
                <w:rFonts w:ascii="宋体"/>
                <w:sz w:val="16"/>
              </w:rPr>
            </w:r>
          </w:p>
        </w:tc>
      </w:tr>
      <w:tr>
        <w:trPr>
          <w:trHeight w:val="34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2" w:right="0"/>
              <w:jc w:val="left"/>
              <w:rPr>
                <w:rFonts w:ascii="宋体" w:hAnsi="宋体" w:cs="宋体" w:eastAsia="宋体" w:hint="default"/>
                <w:sz w:val="16"/>
                <w:szCs w:val="16"/>
              </w:rPr>
            </w:pPr>
            <w:r>
              <w:rPr>
                <w:rFonts w:ascii="宋体" w:hAnsi="宋体" w:cs="宋体" w:eastAsia="宋体" w:hint="default"/>
                <w:sz w:val="16"/>
                <w:szCs w:val="16"/>
              </w:rPr>
              <w:t>其他应收款</w:t>
            </w:r>
          </w:p>
        </w:tc>
        <w:tc>
          <w:tcPr>
            <w:tcW w:w="2648" w:type="dxa"/>
            <w:tcBorders>
              <w:top w:val="nil" w:sz="6" w:space="0" w:color="auto"/>
              <w:left w:val="nil" w:sz="6" w:space="0" w:color="auto"/>
              <w:bottom w:val="nil" w:sz="6" w:space="0" w:color="auto"/>
              <w:right w:val="nil" w:sz="6" w:space="0" w:color="auto"/>
            </w:tcBorders>
          </w:tcPr>
          <w:p>
            <w:pPr>
              <w:pStyle w:val="TableParagraph"/>
              <w:spacing w:line="240" w:lineRule="auto" w:before="62"/>
              <w:ind w:left="440" w:right="0"/>
              <w:jc w:val="left"/>
              <w:rPr>
                <w:rFonts w:ascii="宋体" w:hAnsi="宋体" w:cs="宋体" w:eastAsia="宋体" w:hint="default"/>
                <w:sz w:val="16"/>
                <w:szCs w:val="16"/>
              </w:rPr>
            </w:pPr>
            <w:r>
              <w:rPr>
                <w:rFonts w:ascii="宋体" w:hAnsi="宋体" w:cs="宋体" w:eastAsia="宋体" w:hint="default"/>
                <w:sz w:val="16"/>
                <w:szCs w:val="16"/>
              </w:rPr>
              <w:t>联通集团及其子公司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43,665,511</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40,552,967</w:t>
            </w:r>
            <w:r>
              <w:rPr>
                <w:rFonts w:ascii="宋体"/>
                <w:sz w:val="16"/>
              </w:rPr>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铁塔公司（注</w:t>
            </w:r>
            <w:r>
              <w:rPr>
                <w:rFonts w:ascii="宋体" w:hAnsi="宋体" w:cs="宋体" w:eastAsia="宋体" w:hint="default"/>
                <w:spacing w:val="-32"/>
                <w:sz w:val="16"/>
                <w:szCs w:val="16"/>
              </w:rPr>
              <w:t> </w:t>
            </w:r>
            <w:r>
              <w:rPr>
                <w:rFonts w:ascii="宋体" w:hAnsi="宋体" w:cs="宋体" w:eastAsia="宋体" w:hint="default"/>
                <w:sz w:val="16"/>
                <w:szCs w:val="16"/>
              </w:rPr>
              <w:t>4）</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825,312,435</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3,166,171,610</w:t>
            </w:r>
            <w:r>
              <w:rPr>
                <w:rFonts w:ascii="宋体"/>
                <w:sz w:val="16"/>
              </w:rPr>
            </w:r>
          </w:p>
        </w:tc>
      </w:tr>
      <w:tr>
        <w:trPr>
          <w:trHeight w:val="340"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868,977,946</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3,206,724,577</w:t>
            </w:r>
            <w:r>
              <w:rPr>
                <w:rFonts w:ascii="宋体"/>
                <w:sz w:val="16"/>
              </w:rPr>
            </w:r>
          </w:p>
        </w:tc>
      </w:tr>
      <w:tr>
        <w:trPr>
          <w:trHeight w:val="407"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2" w:right="0"/>
              <w:jc w:val="left"/>
              <w:rPr>
                <w:rFonts w:ascii="宋体" w:hAnsi="宋体" w:cs="宋体" w:eastAsia="宋体" w:hint="default"/>
                <w:sz w:val="16"/>
                <w:szCs w:val="16"/>
              </w:rPr>
            </w:pPr>
            <w:r>
              <w:rPr>
                <w:rFonts w:ascii="宋体" w:hAnsi="宋体" w:cs="宋体" w:eastAsia="宋体" w:hint="default"/>
                <w:sz w:val="16"/>
                <w:szCs w:val="16"/>
              </w:rPr>
              <w:t>其他流动资产</w:t>
            </w:r>
          </w:p>
        </w:tc>
        <w:tc>
          <w:tcPr>
            <w:tcW w:w="2648" w:type="dxa"/>
            <w:tcBorders>
              <w:top w:val="nil" w:sz="6" w:space="0" w:color="auto"/>
              <w:left w:val="nil" w:sz="6" w:space="0" w:color="auto"/>
              <w:bottom w:val="nil" w:sz="6" w:space="0" w:color="auto"/>
              <w:right w:val="nil" w:sz="6" w:space="0" w:color="auto"/>
            </w:tcBorders>
          </w:tcPr>
          <w:p>
            <w:pPr>
              <w:pStyle w:val="TableParagraph"/>
              <w:spacing w:line="240" w:lineRule="auto" w:before="62"/>
              <w:ind w:left="440" w:right="0"/>
              <w:jc w:val="left"/>
              <w:rPr>
                <w:rFonts w:ascii="宋体" w:hAnsi="宋体" w:cs="宋体" w:eastAsia="宋体" w:hint="default"/>
                <w:sz w:val="16"/>
                <w:szCs w:val="16"/>
              </w:rPr>
            </w:pPr>
            <w:r>
              <w:rPr>
                <w:rFonts w:ascii="宋体" w:hAnsi="宋体" w:cs="宋体" w:eastAsia="宋体" w:hint="default"/>
                <w:sz w:val="16"/>
                <w:szCs w:val="16"/>
              </w:rPr>
              <w:t>联通集团（注</w:t>
            </w:r>
            <w:r>
              <w:rPr>
                <w:rFonts w:ascii="宋体" w:hAnsi="宋体" w:cs="宋体" w:eastAsia="宋体" w:hint="default"/>
                <w:spacing w:val="-32"/>
                <w:sz w:val="16"/>
                <w:szCs w:val="16"/>
              </w:rPr>
              <w:t> </w:t>
            </w:r>
            <w:r>
              <w:rPr>
                <w:rFonts w:ascii="宋体" w:hAnsi="宋体" w:cs="宋体" w:eastAsia="宋体" w:hint="default"/>
                <w:sz w:val="16"/>
                <w:szCs w:val="16"/>
              </w:rPr>
              <w:t>6）</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7,404,000,000</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sz w:val="16"/>
              </w:rPr>
              <w:t>200,000,000</w:t>
            </w:r>
          </w:p>
        </w:tc>
      </w:tr>
      <w:tr>
        <w:trPr>
          <w:trHeight w:val="340" w:hRule="exact"/>
        </w:trPr>
        <w:tc>
          <w:tcPr>
            <w:tcW w:w="19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2" w:right="0"/>
              <w:jc w:val="left"/>
              <w:rPr>
                <w:rFonts w:ascii="宋体" w:hAnsi="宋体" w:cs="宋体" w:eastAsia="宋体" w:hint="default"/>
                <w:sz w:val="16"/>
                <w:szCs w:val="16"/>
              </w:rPr>
            </w:pPr>
            <w:r>
              <w:rPr>
                <w:rFonts w:ascii="宋体" w:hAnsi="宋体" w:cs="宋体" w:eastAsia="宋体" w:hint="default"/>
                <w:sz w:val="16"/>
                <w:szCs w:val="16"/>
              </w:rPr>
              <w:t>应付票据及应付账款</w:t>
            </w:r>
          </w:p>
        </w:tc>
        <w:tc>
          <w:tcPr>
            <w:tcW w:w="2648" w:type="dxa"/>
            <w:tcBorders>
              <w:top w:val="nil" w:sz="6" w:space="0" w:color="auto"/>
              <w:left w:val="nil" w:sz="6" w:space="0" w:color="auto"/>
              <w:bottom w:val="nil" w:sz="6" w:space="0" w:color="auto"/>
              <w:right w:val="nil" w:sz="6" w:space="0" w:color="auto"/>
            </w:tcBorders>
          </w:tcPr>
          <w:p>
            <w:pPr>
              <w:pStyle w:val="TableParagraph"/>
              <w:spacing w:line="240" w:lineRule="auto" w:before="62"/>
              <w:ind w:left="440" w:right="0"/>
              <w:jc w:val="left"/>
              <w:rPr>
                <w:rFonts w:ascii="宋体" w:hAnsi="宋体" w:cs="宋体" w:eastAsia="宋体" w:hint="default"/>
                <w:sz w:val="16"/>
                <w:szCs w:val="16"/>
              </w:rPr>
            </w:pPr>
            <w:r>
              <w:rPr>
                <w:rFonts w:ascii="宋体" w:hAnsi="宋体" w:cs="宋体" w:eastAsia="宋体" w:hint="default"/>
                <w:sz w:val="16"/>
                <w:szCs w:val="16"/>
              </w:rPr>
              <w:t>联通集团及其子公司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2,390,364,020</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3,118,805,909</w:t>
            </w:r>
            <w:r>
              <w:rPr>
                <w:rFonts w:ascii="宋体"/>
                <w:sz w:val="16"/>
              </w:rPr>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铁塔公司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2,635,388,525</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2,479,669,139</w:t>
            </w:r>
            <w:r>
              <w:rPr>
                <w:rFonts w:ascii="宋体"/>
                <w:sz w:val="16"/>
              </w:rPr>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其他合营和联营企业</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9,407,196</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55,200</w:t>
            </w:r>
          </w:p>
        </w:tc>
      </w:tr>
      <w:tr>
        <w:trPr>
          <w:trHeight w:val="273" w:hRule="exact"/>
        </w:trPr>
        <w:tc>
          <w:tcPr>
            <w:tcW w:w="1993" w:type="dxa"/>
            <w:tcBorders>
              <w:top w:val="nil" w:sz="6" w:space="0" w:color="auto"/>
              <w:left w:val="nil" w:sz="6" w:space="0" w:color="auto"/>
              <w:bottom w:val="nil" w:sz="6" w:space="0" w:color="auto"/>
              <w:right w:val="nil" w:sz="6" w:space="0" w:color="auto"/>
            </w:tcBorders>
          </w:tcPr>
          <w:p>
            <w:pPr/>
          </w:p>
        </w:tc>
        <w:tc>
          <w:tcPr>
            <w:tcW w:w="2648" w:type="dxa"/>
            <w:tcBorders>
              <w:top w:val="nil" w:sz="6" w:space="0" w:color="auto"/>
              <w:left w:val="nil" w:sz="6" w:space="0" w:color="auto"/>
              <w:bottom w:val="nil" w:sz="6" w:space="0" w:color="auto"/>
              <w:right w:val="nil" w:sz="6" w:space="0" w:color="auto"/>
            </w:tcBorders>
          </w:tcPr>
          <w:p>
            <w:pPr>
              <w:pStyle w:val="TableParagraph"/>
              <w:spacing w:line="205" w:lineRule="exact"/>
              <w:ind w:left="440" w:right="0"/>
              <w:jc w:val="left"/>
              <w:rPr>
                <w:rFonts w:ascii="宋体" w:hAnsi="宋体" w:cs="宋体" w:eastAsia="宋体" w:hint="default"/>
                <w:sz w:val="16"/>
                <w:szCs w:val="16"/>
              </w:rPr>
            </w:pPr>
            <w:r>
              <w:rPr>
                <w:rFonts w:ascii="宋体" w:hAnsi="宋体" w:cs="宋体" w:eastAsia="宋体" w:hint="default"/>
                <w:sz w:val="16"/>
                <w:szCs w:val="16"/>
              </w:rPr>
              <w:t>其他关联法人</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z w:val="16"/>
              </w:rPr>
              <w:t>106,249,590</w:t>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30,496,836</w:t>
            </w:r>
            <w:r>
              <w:rPr>
                <w:rFonts w:ascii="宋体"/>
                <w:sz w:val="16"/>
              </w:rPr>
            </w:r>
          </w:p>
        </w:tc>
      </w:tr>
      <w:tr>
        <w:trPr>
          <w:trHeight w:val="338" w:hRule="exact"/>
        </w:trPr>
        <w:tc>
          <w:tcPr>
            <w:tcW w:w="1993" w:type="dxa"/>
            <w:tcBorders>
              <w:top w:val="nil" w:sz="6" w:space="0" w:color="auto"/>
              <w:left w:val="nil" w:sz="6" w:space="0" w:color="auto"/>
              <w:bottom w:val="single" w:sz="16" w:space="0" w:color="9F8958"/>
              <w:right w:val="nil" w:sz="6" w:space="0" w:color="auto"/>
            </w:tcBorders>
          </w:tcPr>
          <w:p>
            <w:pPr/>
          </w:p>
        </w:tc>
        <w:tc>
          <w:tcPr>
            <w:tcW w:w="2648" w:type="dxa"/>
            <w:tcBorders>
              <w:top w:val="nil" w:sz="6" w:space="0" w:color="auto"/>
              <w:left w:val="nil" w:sz="6" w:space="0" w:color="auto"/>
              <w:bottom w:val="single" w:sz="16" w:space="0" w:color="9F8958"/>
              <w:right w:val="nil" w:sz="6" w:space="0" w:color="auto"/>
            </w:tcBorders>
          </w:tcPr>
          <w:p>
            <w:pP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5,141,409,331</w:t>
            </w:r>
            <w:r>
              <w:rPr>
                <w:rFonts w:ascii="宋体"/>
                <w:sz w:val="16"/>
              </w:rPr>
            </w:r>
          </w:p>
        </w:tc>
        <w:tc>
          <w:tcPr>
            <w:tcW w:w="2321"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5,629,027,084</w:t>
            </w:r>
            <w:r>
              <w:rPr>
                <w:rFonts w:ascii="宋体"/>
                <w:sz w:val="16"/>
              </w:rPr>
            </w:r>
          </w:p>
        </w:tc>
      </w:tr>
    </w:tbl>
    <w:p>
      <w:pPr>
        <w:spacing w:after="0" w:line="205" w:lineRule="exact"/>
        <w:jc w:val="right"/>
        <w:rPr>
          <w:rFonts w:ascii="宋体" w:hAnsi="宋体" w:cs="宋体" w:eastAsia="宋体" w:hint="default"/>
          <w:sz w:val="16"/>
          <w:szCs w:val="16"/>
        </w:rPr>
        <w:sectPr>
          <w:pgSz w:w="11910" w:h="16160"/>
          <w:pgMar w:header="2796" w:footer="298" w:top="344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十、关联方关系及其交易（续）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125"/>
        <w:jc w:val="left"/>
      </w:pPr>
      <w:r>
        <w:rPr/>
        <w:t>6、</w:t>
      </w:r>
      <w:r>
        <w:rPr>
          <w:spacing w:val="-21"/>
        </w:rPr>
        <w:t> </w:t>
      </w:r>
      <w:r>
        <w:rPr/>
        <w:t>关联方应收、应付款项余额（续）</w:t>
      </w:r>
    </w:p>
    <w:p>
      <w:pPr>
        <w:spacing w:line="240" w:lineRule="auto" w:before="4"/>
        <w:rPr>
          <w:rFonts w:ascii="宋体" w:hAnsi="宋体" w:cs="宋体" w:eastAsia="宋体" w:hint="default"/>
          <w:sz w:val="17"/>
          <w:szCs w:val="17"/>
        </w:rPr>
      </w:pPr>
    </w:p>
    <w:tbl>
      <w:tblPr>
        <w:tblW w:w="0" w:type="auto"/>
        <w:jc w:val="left"/>
        <w:tblInd w:w="433" w:type="dxa"/>
        <w:tblLayout w:type="fixed"/>
        <w:tblCellMar>
          <w:top w:w="0" w:type="dxa"/>
          <w:left w:w="0" w:type="dxa"/>
          <w:bottom w:w="0" w:type="dxa"/>
          <w:right w:w="0" w:type="dxa"/>
        </w:tblCellMar>
        <w:tblLook w:val="01E0"/>
      </w:tblPr>
      <w:tblGrid>
        <w:gridCol w:w="1449"/>
        <w:gridCol w:w="3193"/>
        <w:gridCol w:w="2321"/>
        <w:gridCol w:w="2321"/>
      </w:tblGrid>
      <w:tr>
        <w:trPr>
          <w:trHeight w:val="350" w:hRule="exact"/>
        </w:trPr>
        <w:tc>
          <w:tcPr>
            <w:tcW w:w="4642" w:type="dxa"/>
            <w:gridSpan w:val="2"/>
            <w:tcBorders>
              <w:top w:val="nil" w:sz="6" w:space="0" w:color="auto"/>
              <w:left w:val="nil" w:sz="6" w:space="0" w:color="auto"/>
              <w:bottom w:val="single" w:sz="16" w:space="0" w:color="9F8958"/>
              <w:right w:val="nil" w:sz="6" w:space="0" w:color="auto"/>
            </w:tcBorders>
          </w:tcPr>
          <w:p>
            <w:pP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321"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144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其他应付款</w:t>
            </w:r>
          </w:p>
        </w:tc>
        <w:tc>
          <w:tcPr>
            <w:tcW w:w="31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535" w:right="0"/>
              <w:jc w:val="left"/>
              <w:rPr>
                <w:rFonts w:ascii="宋体" w:hAnsi="宋体" w:cs="宋体" w:eastAsia="宋体" w:hint="default"/>
                <w:sz w:val="16"/>
                <w:szCs w:val="16"/>
              </w:rPr>
            </w:pPr>
            <w:r>
              <w:rPr>
                <w:rFonts w:ascii="宋体" w:hAnsi="宋体" w:cs="宋体" w:eastAsia="宋体" w:hint="default"/>
                <w:sz w:val="16"/>
                <w:szCs w:val="16"/>
              </w:rPr>
              <w:t>联通集团及其子公司（注</w:t>
            </w:r>
            <w:r>
              <w:rPr>
                <w:rFonts w:ascii="宋体" w:hAnsi="宋体" w:cs="宋体" w:eastAsia="宋体" w:hint="default"/>
                <w:spacing w:val="-32"/>
                <w:sz w:val="16"/>
                <w:szCs w:val="16"/>
              </w:rPr>
              <w:t> </w:t>
            </w:r>
            <w:r>
              <w:rPr>
                <w:rFonts w:ascii="宋体" w:hAnsi="宋体" w:cs="宋体" w:eastAsia="宋体" w:hint="default"/>
                <w:sz w:val="16"/>
                <w:szCs w:val="16"/>
              </w:rPr>
              <w:t>5）</w:t>
            </w:r>
          </w:p>
        </w:tc>
        <w:tc>
          <w:tcPr>
            <w:tcW w:w="232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4,583,470,519</w:t>
            </w:r>
            <w:r>
              <w:rPr>
                <w:rFonts w:ascii="宋体"/>
                <w:sz w:val="16"/>
              </w:rPr>
            </w:r>
          </w:p>
        </w:tc>
        <w:tc>
          <w:tcPr>
            <w:tcW w:w="2321"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2,335,125,543</w:t>
            </w:r>
            <w:r>
              <w:rPr>
                <w:rFonts w:ascii="宋体"/>
                <w:sz w:val="16"/>
              </w:rPr>
            </w:r>
          </w:p>
        </w:tc>
      </w:tr>
      <w:tr>
        <w:trPr>
          <w:trHeight w:val="273" w:hRule="exact"/>
        </w:trPr>
        <w:tc>
          <w:tcPr>
            <w:tcW w:w="1449"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05" w:lineRule="exact"/>
              <w:ind w:left="535" w:right="0"/>
              <w:jc w:val="left"/>
              <w:rPr>
                <w:rFonts w:ascii="宋体" w:hAnsi="宋体" w:cs="宋体" w:eastAsia="宋体" w:hint="default"/>
                <w:sz w:val="16"/>
                <w:szCs w:val="16"/>
              </w:rPr>
            </w:pPr>
            <w:r>
              <w:rPr>
                <w:rFonts w:ascii="宋体" w:hAnsi="宋体" w:cs="宋体" w:eastAsia="宋体" w:hint="default"/>
                <w:sz w:val="16"/>
                <w:szCs w:val="16"/>
              </w:rPr>
              <w:t>铁塔公司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93,212,780</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395,218,583</w:t>
            </w:r>
          </w:p>
        </w:tc>
      </w:tr>
      <w:tr>
        <w:trPr>
          <w:trHeight w:val="273" w:hRule="exact"/>
        </w:trPr>
        <w:tc>
          <w:tcPr>
            <w:tcW w:w="1449"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05" w:lineRule="exact"/>
              <w:ind w:left="535" w:right="0"/>
              <w:jc w:val="left"/>
              <w:rPr>
                <w:rFonts w:ascii="宋体" w:hAnsi="宋体" w:cs="宋体" w:eastAsia="宋体" w:hint="default"/>
                <w:sz w:val="16"/>
                <w:szCs w:val="16"/>
              </w:rPr>
            </w:pPr>
            <w:r>
              <w:rPr>
                <w:rFonts w:ascii="宋体" w:hAnsi="宋体" w:cs="宋体" w:eastAsia="宋体" w:hint="default"/>
                <w:sz w:val="16"/>
                <w:szCs w:val="16"/>
              </w:rPr>
              <w:t>其他合营和联营企业（注</w:t>
            </w:r>
            <w:r>
              <w:rPr>
                <w:rFonts w:ascii="宋体" w:hAnsi="宋体" w:cs="宋体" w:eastAsia="宋体" w:hint="default"/>
                <w:spacing w:val="-32"/>
                <w:sz w:val="16"/>
                <w:szCs w:val="16"/>
              </w:rPr>
              <w:t> </w:t>
            </w:r>
            <w:r>
              <w:rPr>
                <w:rFonts w:ascii="宋体" w:hAnsi="宋体" w:cs="宋体" w:eastAsia="宋体" w:hint="default"/>
                <w:sz w:val="16"/>
                <w:szCs w:val="16"/>
              </w:rPr>
              <w:t>5）</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30,424,838</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12,405,549</w:t>
            </w:r>
            <w:r>
              <w:rPr>
                <w:rFonts w:ascii="宋体"/>
                <w:sz w:val="16"/>
              </w:rPr>
            </w:r>
          </w:p>
        </w:tc>
      </w:tr>
      <w:tr>
        <w:trPr>
          <w:trHeight w:val="273" w:hRule="exact"/>
        </w:trPr>
        <w:tc>
          <w:tcPr>
            <w:tcW w:w="1449"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05" w:lineRule="exact"/>
              <w:ind w:left="535" w:right="0"/>
              <w:jc w:val="left"/>
              <w:rPr>
                <w:rFonts w:ascii="宋体" w:hAnsi="宋体" w:cs="宋体" w:eastAsia="宋体" w:hint="default"/>
                <w:sz w:val="16"/>
                <w:szCs w:val="16"/>
              </w:rPr>
            </w:pPr>
            <w:r>
              <w:rPr>
                <w:rFonts w:ascii="宋体" w:hAnsi="宋体" w:cs="宋体" w:eastAsia="宋体" w:hint="default"/>
                <w:sz w:val="16"/>
                <w:szCs w:val="16"/>
              </w:rPr>
              <w:t>其他关联法人</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6,039,128</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340" w:hRule="exact"/>
        </w:trPr>
        <w:tc>
          <w:tcPr>
            <w:tcW w:w="1449"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4,713,147,265</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2,742,749,675</w:t>
            </w:r>
            <w:r>
              <w:rPr>
                <w:rFonts w:ascii="宋体"/>
                <w:sz w:val="16"/>
              </w:rPr>
            </w:r>
          </w:p>
        </w:tc>
      </w:tr>
      <w:tr>
        <w:trPr>
          <w:trHeight w:val="407" w:hRule="exact"/>
        </w:trPr>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长期应付款</w:t>
            </w: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35" w:right="0"/>
              <w:jc w:val="left"/>
              <w:rPr>
                <w:rFonts w:ascii="宋体" w:hAnsi="宋体" w:cs="宋体" w:eastAsia="宋体" w:hint="default"/>
                <w:sz w:val="16"/>
                <w:szCs w:val="16"/>
              </w:rPr>
            </w:pPr>
            <w:r>
              <w:rPr>
                <w:rFonts w:ascii="宋体" w:hAnsi="宋体" w:cs="宋体" w:eastAsia="宋体" w:hint="default"/>
                <w:sz w:val="16"/>
                <w:szCs w:val="16"/>
              </w:rPr>
              <w:t>联通集团及其子公司（注</w:t>
            </w:r>
            <w:r>
              <w:rPr>
                <w:rFonts w:ascii="宋体" w:hAnsi="宋体" w:cs="宋体" w:eastAsia="宋体" w:hint="default"/>
                <w:spacing w:val="-32"/>
                <w:sz w:val="16"/>
                <w:szCs w:val="16"/>
              </w:rPr>
              <w:t> </w:t>
            </w:r>
            <w:r>
              <w:rPr>
                <w:rFonts w:ascii="宋体" w:hAnsi="宋体" w:cs="宋体" w:eastAsia="宋体" w:hint="default"/>
                <w:sz w:val="16"/>
                <w:szCs w:val="16"/>
              </w:rPr>
              <w:t>1）</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sz w:val="16"/>
              </w:rPr>
              <w:t>240,033,088</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sz w:val="16"/>
              </w:rPr>
              <w:t>692,329,755</w:t>
            </w:r>
          </w:p>
        </w:tc>
      </w:tr>
      <w:tr>
        <w:trPr>
          <w:trHeight w:val="340" w:hRule="exact"/>
        </w:trPr>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短期借款</w:t>
            </w: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35" w:right="0"/>
              <w:jc w:val="left"/>
              <w:rPr>
                <w:rFonts w:ascii="宋体" w:hAnsi="宋体" w:cs="宋体" w:eastAsia="宋体" w:hint="default"/>
                <w:sz w:val="16"/>
                <w:szCs w:val="16"/>
              </w:rPr>
            </w:pPr>
            <w:r>
              <w:rPr>
                <w:rFonts w:ascii="宋体" w:hAnsi="宋体" w:cs="宋体" w:eastAsia="宋体" w:hint="default"/>
                <w:sz w:val="16"/>
                <w:szCs w:val="16"/>
              </w:rPr>
              <w:t>联通集团及其子公司（注</w:t>
            </w:r>
            <w:r>
              <w:rPr>
                <w:rFonts w:ascii="宋体" w:hAnsi="宋体" w:cs="宋体" w:eastAsia="宋体" w:hint="default"/>
                <w:spacing w:val="-32"/>
                <w:sz w:val="16"/>
                <w:szCs w:val="16"/>
              </w:rPr>
              <w:t> </w:t>
            </w:r>
            <w:r>
              <w:rPr>
                <w:rFonts w:ascii="宋体" w:hAnsi="宋体" w:cs="宋体" w:eastAsia="宋体" w:hint="default"/>
                <w:sz w:val="16"/>
                <w:szCs w:val="16"/>
              </w:rPr>
              <w:t>2）</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47,752,400</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1,778,927,184</w:t>
            </w:r>
            <w:r>
              <w:rPr>
                <w:rFonts w:ascii="宋体"/>
                <w:sz w:val="16"/>
              </w:rPr>
            </w:r>
          </w:p>
        </w:tc>
      </w:tr>
      <w:tr>
        <w:trPr>
          <w:trHeight w:val="273" w:hRule="exact"/>
        </w:trPr>
        <w:tc>
          <w:tcPr>
            <w:tcW w:w="1449"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05" w:lineRule="exact"/>
              <w:ind w:left="535" w:right="0"/>
              <w:jc w:val="left"/>
              <w:rPr>
                <w:rFonts w:ascii="宋体" w:hAnsi="宋体" w:cs="宋体" w:eastAsia="宋体" w:hint="default"/>
                <w:sz w:val="16"/>
                <w:szCs w:val="16"/>
              </w:rPr>
            </w:pPr>
            <w:r>
              <w:rPr>
                <w:rFonts w:ascii="宋体" w:hAnsi="宋体" w:cs="宋体" w:eastAsia="宋体" w:hint="default"/>
                <w:sz w:val="16"/>
                <w:szCs w:val="16"/>
              </w:rPr>
              <w:t>其他合营和联营企业（注</w:t>
            </w:r>
            <w:r>
              <w:rPr>
                <w:rFonts w:ascii="宋体" w:hAnsi="宋体" w:cs="宋体" w:eastAsia="宋体" w:hint="default"/>
                <w:spacing w:val="-32"/>
                <w:sz w:val="16"/>
                <w:szCs w:val="16"/>
              </w:rPr>
              <w:t> </w:t>
            </w:r>
            <w:r>
              <w:rPr>
                <w:rFonts w:ascii="宋体" w:hAnsi="宋体" w:cs="宋体" w:eastAsia="宋体" w:hint="default"/>
                <w:sz w:val="16"/>
                <w:szCs w:val="16"/>
              </w:rPr>
              <w:t>3）</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40,000,000</w:t>
            </w:r>
            <w:r>
              <w:rPr>
                <w:rFonts w:ascii="宋体"/>
                <w:sz w:val="16"/>
              </w:rPr>
            </w:r>
          </w:p>
        </w:tc>
      </w:tr>
      <w:tr>
        <w:trPr>
          <w:trHeight w:val="340" w:hRule="exact"/>
        </w:trPr>
        <w:tc>
          <w:tcPr>
            <w:tcW w:w="1449"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47,752,400</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1,818,927,184</w:t>
            </w:r>
            <w:r>
              <w:rPr>
                <w:rFonts w:ascii="宋体"/>
                <w:sz w:val="16"/>
              </w:rPr>
            </w:r>
          </w:p>
        </w:tc>
      </w:tr>
      <w:tr>
        <w:trPr>
          <w:trHeight w:val="340" w:hRule="exact"/>
        </w:trPr>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合同负债</w:t>
            </w:r>
          </w:p>
        </w:tc>
        <w:tc>
          <w:tcPr>
            <w:tcW w:w="31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535" w:right="0"/>
              <w:jc w:val="left"/>
              <w:rPr>
                <w:rFonts w:ascii="宋体" w:hAnsi="宋体" w:cs="宋体" w:eastAsia="宋体" w:hint="default"/>
                <w:sz w:val="16"/>
                <w:szCs w:val="16"/>
              </w:rPr>
            </w:pPr>
            <w:r>
              <w:rPr>
                <w:rFonts w:ascii="宋体" w:hAnsi="宋体" w:cs="宋体" w:eastAsia="宋体" w:hint="default"/>
                <w:sz w:val="16"/>
                <w:szCs w:val="16"/>
              </w:rPr>
              <w:t>联通集团及其子公司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sz w:val="16"/>
              </w:rPr>
              <w:t>157,465</w:t>
            </w:r>
          </w:p>
        </w:tc>
        <w:tc>
          <w:tcPr>
            <w:tcW w:w="2321"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1449" w:type="dxa"/>
            <w:tcBorders>
              <w:top w:val="nil" w:sz="6" w:space="0" w:color="auto"/>
              <w:left w:val="nil" w:sz="6" w:space="0" w:color="auto"/>
              <w:bottom w:val="nil" w:sz="6" w:space="0" w:color="auto"/>
              <w:right w:val="nil" w:sz="6" w:space="0" w:color="auto"/>
            </w:tcBorders>
          </w:tcPr>
          <w:p>
            <w:pPr/>
          </w:p>
        </w:tc>
        <w:tc>
          <w:tcPr>
            <w:tcW w:w="3193" w:type="dxa"/>
            <w:tcBorders>
              <w:top w:val="nil" w:sz="6" w:space="0" w:color="auto"/>
              <w:left w:val="nil" w:sz="6" w:space="0" w:color="auto"/>
              <w:bottom w:val="nil" w:sz="6" w:space="0" w:color="auto"/>
              <w:right w:val="nil" w:sz="6" w:space="0" w:color="auto"/>
            </w:tcBorders>
          </w:tcPr>
          <w:p>
            <w:pPr>
              <w:pStyle w:val="TableParagraph"/>
              <w:spacing w:line="205" w:lineRule="exact"/>
              <w:ind w:left="535" w:right="0"/>
              <w:jc w:val="left"/>
              <w:rPr>
                <w:rFonts w:ascii="宋体" w:hAnsi="宋体" w:cs="宋体" w:eastAsia="宋体" w:hint="default"/>
                <w:sz w:val="16"/>
                <w:szCs w:val="16"/>
              </w:rPr>
            </w:pPr>
            <w:r>
              <w:rPr>
                <w:rFonts w:ascii="宋体" w:hAnsi="宋体" w:cs="宋体" w:eastAsia="宋体" w:hint="default"/>
                <w:sz w:val="16"/>
                <w:szCs w:val="16"/>
              </w:rPr>
              <w:t>铁塔公司</w:t>
            </w:r>
          </w:p>
        </w:tc>
        <w:tc>
          <w:tcPr>
            <w:tcW w:w="2321"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1,748,044</w:t>
            </w:r>
            <w:r>
              <w:rPr>
                <w:rFonts w:ascii="宋体"/>
                <w:sz w:val="16"/>
              </w:rPr>
            </w:r>
          </w:p>
        </w:tc>
        <w:tc>
          <w:tcPr>
            <w:tcW w:w="2321"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444,451</w:t>
            </w:r>
          </w:p>
        </w:tc>
      </w:tr>
      <w:tr>
        <w:trPr>
          <w:trHeight w:val="338" w:hRule="exact"/>
        </w:trPr>
        <w:tc>
          <w:tcPr>
            <w:tcW w:w="1449" w:type="dxa"/>
            <w:tcBorders>
              <w:top w:val="nil" w:sz="6" w:space="0" w:color="auto"/>
              <w:left w:val="nil" w:sz="6" w:space="0" w:color="auto"/>
              <w:bottom w:val="single" w:sz="16" w:space="0" w:color="9F8958"/>
              <w:right w:val="nil" w:sz="6" w:space="0" w:color="auto"/>
            </w:tcBorders>
          </w:tcPr>
          <w:p>
            <w:pPr/>
          </w:p>
        </w:tc>
        <w:tc>
          <w:tcPr>
            <w:tcW w:w="3193" w:type="dxa"/>
            <w:tcBorders>
              <w:top w:val="nil" w:sz="6" w:space="0" w:color="auto"/>
              <w:left w:val="nil" w:sz="6" w:space="0" w:color="auto"/>
              <w:bottom w:val="single" w:sz="16" w:space="0" w:color="9F8958"/>
              <w:right w:val="nil" w:sz="6" w:space="0" w:color="auto"/>
            </w:tcBorders>
          </w:tcPr>
          <w:p>
            <w:pPr/>
          </w:p>
        </w:tc>
        <w:tc>
          <w:tcPr>
            <w:tcW w:w="232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1,905,509</w:t>
            </w:r>
            <w:r>
              <w:rPr>
                <w:rFonts w:ascii="宋体"/>
                <w:sz w:val="16"/>
              </w:rPr>
            </w:r>
          </w:p>
        </w:tc>
        <w:tc>
          <w:tcPr>
            <w:tcW w:w="2321" w:type="dxa"/>
            <w:tcBorders>
              <w:top w:val="nil" w:sz="6" w:space="0" w:color="auto"/>
              <w:left w:val="nil" w:sz="6" w:space="0" w:color="auto"/>
              <w:bottom w:val="single" w:sz="16" w:space="0" w:color="9F8958"/>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444,451</w:t>
            </w:r>
          </w:p>
        </w:tc>
      </w:tr>
    </w:tbl>
    <w:p>
      <w:pPr>
        <w:spacing w:line="240" w:lineRule="auto" w:before="1"/>
        <w:rPr>
          <w:rFonts w:ascii="宋体" w:hAnsi="宋体" w:cs="宋体" w:eastAsia="宋体" w:hint="default"/>
          <w:sz w:val="15"/>
          <w:szCs w:val="15"/>
        </w:rPr>
      </w:pPr>
    </w:p>
    <w:p>
      <w:pPr>
        <w:pStyle w:val="BodyText"/>
        <w:spacing w:line="240" w:lineRule="auto" w:before="31"/>
        <w:ind w:left="453" w:right="125"/>
        <w:jc w:val="left"/>
      </w:pPr>
      <w:r>
        <w:rPr>
          <w:w w:val="105"/>
        </w:rPr>
        <w:t>注</w:t>
      </w:r>
      <w:r>
        <w:rPr>
          <w:spacing w:val="-68"/>
          <w:w w:val="105"/>
        </w:rPr>
        <w:t> </w:t>
      </w:r>
      <w:r>
        <w:rPr>
          <w:w w:val="105"/>
        </w:rPr>
        <w:t>1：于</w:t>
      </w:r>
      <w:r>
        <w:rPr>
          <w:spacing w:val="-68"/>
          <w:w w:val="105"/>
        </w:rPr>
        <w:t> </w:t>
      </w:r>
      <w:r>
        <w:rPr>
          <w:w w:val="105"/>
        </w:rPr>
        <w:t>2018</w:t>
      </w:r>
      <w:r>
        <w:rPr>
          <w:spacing w:val="-68"/>
          <w:w w:val="105"/>
        </w:rPr>
        <w:t> </w:t>
      </w:r>
      <w:r>
        <w:rPr>
          <w:w w:val="105"/>
        </w:rPr>
        <w:t>年</w:t>
      </w:r>
      <w:r>
        <w:rPr>
          <w:spacing w:val="-68"/>
          <w:w w:val="105"/>
        </w:rPr>
        <w:t> </w:t>
      </w:r>
      <w:r>
        <w:rPr>
          <w:w w:val="105"/>
        </w:rPr>
        <w:t>12</w:t>
      </w:r>
      <w:r>
        <w:rPr>
          <w:spacing w:val="-68"/>
          <w:w w:val="105"/>
        </w:rPr>
        <w:t> </w:t>
      </w:r>
      <w:r>
        <w:rPr>
          <w:w w:val="105"/>
        </w:rPr>
        <w:t>月</w:t>
      </w:r>
      <w:r>
        <w:rPr>
          <w:spacing w:val="-68"/>
          <w:w w:val="105"/>
        </w:rPr>
        <w:t> </w:t>
      </w:r>
      <w:r>
        <w:rPr>
          <w:w w:val="105"/>
        </w:rPr>
        <w:t>31</w:t>
      </w:r>
      <w:r>
        <w:rPr>
          <w:spacing w:val="-68"/>
          <w:w w:val="105"/>
        </w:rPr>
        <w:t> </w:t>
      </w:r>
      <w:r>
        <w:rPr>
          <w:spacing w:val="2"/>
          <w:w w:val="105"/>
        </w:rPr>
        <w:t>日及</w:t>
      </w:r>
      <w:r>
        <w:rPr>
          <w:spacing w:val="-68"/>
          <w:w w:val="105"/>
        </w:rPr>
        <w:t> </w:t>
      </w:r>
      <w:r>
        <w:rPr>
          <w:w w:val="105"/>
        </w:rPr>
        <w:t>2017</w:t>
      </w:r>
      <w:r>
        <w:rPr>
          <w:spacing w:val="-68"/>
          <w:w w:val="105"/>
        </w:rPr>
        <w:t> </w:t>
      </w:r>
      <w:r>
        <w:rPr>
          <w:w w:val="105"/>
        </w:rPr>
        <w:t>年</w:t>
      </w:r>
      <w:r>
        <w:rPr>
          <w:spacing w:val="-68"/>
          <w:w w:val="105"/>
        </w:rPr>
        <w:t> </w:t>
      </w:r>
      <w:r>
        <w:rPr>
          <w:w w:val="105"/>
        </w:rPr>
        <w:t>12</w:t>
      </w:r>
      <w:r>
        <w:rPr>
          <w:spacing w:val="-68"/>
          <w:w w:val="105"/>
        </w:rPr>
        <w:t> </w:t>
      </w:r>
      <w:r>
        <w:rPr>
          <w:w w:val="105"/>
        </w:rPr>
        <w:t>月</w:t>
      </w:r>
      <w:r>
        <w:rPr>
          <w:spacing w:val="-68"/>
          <w:w w:val="105"/>
        </w:rPr>
        <w:t> </w:t>
      </w:r>
      <w:r>
        <w:rPr>
          <w:w w:val="105"/>
        </w:rPr>
        <w:t>31</w:t>
      </w:r>
      <w:r>
        <w:rPr>
          <w:spacing w:val="-68"/>
          <w:w w:val="105"/>
        </w:rPr>
        <w:t> </w:t>
      </w:r>
      <w:r>
        <w:rPr>
          <w:spacing w:val="4"/>
          <w:w w:val="105"/>
        </w:rPr>
        <w:t>日，长期应付款余额为应付融资租赁款，其中一年内到期的部分分</w:t>
      </w:r>
    </w:p>
    <w:p>
      <w:pPr>
        <w:pStyle w:val="BodyText"/>
        <w:spacing w:line="240" w:lineRule="auto" w:before="44"/>
        <w:ind w:left="964" w:right="125"/>
        <w:jc w:val="left"/>
      </w:pPr>
      <w:r>
        <w:rPr/>
        <w:t>别为人民币</w:t>
      </w:r>
      <w:r>
        <w:rPr>
          <w:spacing w:val="-51"/>
        </w:rPr>
        <w:t> </w:t>
      </w:r>
      <w:r>
        <w:rPr/>
        <w:t>2.34</w:t>
      </w:r>
      <w:r>
        <w:rPr>
          <w:spacing w:val="-52"/>
        </w:rPr>
        <w:t> </w:t>
      </w:r>
      <w:r>
        <w:rPr/>
        <w:t>亿元及人民币</w:t>
      </w:r>
      <w:r>
        <w:rPr>
          <w:spacing w:val="-51"/>
        </w:rPr>
        <w:t> </w:t>
      </w:r>
      <w:r>
        <w:rPr/>
        <w:t>4.61</w:t>
      </w:r>
      <w:r>
        <w:rPr>
          <w:spacing w:val="-52"/>
        </w:rPr>
        <w:t> </w:t>
      </w:r>
      <w:r>
        <w:rPr/>
        <w:t>亿元。</w:t>
      </w:r>
    </w:p>
    <w:p>
      <w:pPr>
        <w:spacing w:line="240" w:lineRule="auto" w:before="5"/>
        <w:rPr>
          <w:rFonts w:ascii="宋体" w:hAnsi="宋体" w:cs="宋体" w:eastAsia="宋体" w:hint="default"/>
          <w:sz w:val="16"/>
          <w:szCs w:val="16"/>
        </w:rPr>
      </w:pPr>
    </w:p>
    <w:p>
      <w:pPr>
        <w:pStyle w:val="BodyText"/>
        <w:spacing w:line="240" w:lineRule="auto"/>
        <w:ind w:left="453" w:right="0"/>
        <w:jc w:val="left"/>
      </w:pPr>
      <w:r>
        <w:rPr/>
        <w:t>注</w:t>
      </w:r>
      <w:r>
        <w:rPr>
          <w:spacing w:val="-45"/>
        </w:rPr>
        <w:t> </w:t>
      </w:r>
      <w:r>
        <w:rPr>
          <w:spacing w:val="-1"/>
          <w:w w:val="111"/>
        </w:rPr>
        <w:t>2</w:t>
      </w:r>
      <w:r>
        <w:rPr>
          <w:spacing w:val="5"/>
        </w:rPr>
        <w:t>：</w:t>
      </w:r>
      <w:r>
        <w:rPr>
          <w:spacing w:val="-1"/>
          <w:w w:val="111"/>
        </w:rPr>
        <w:t>201</w:t>
      </w:r>
      <w:r>
        <w:rPr>
          <w:w w:val="111"/>
        </w:rPr>
        <w:t>7</w:t>
      </w:r>
      <w:r>
        <w:rPr>
          <w:spacing w:val="-45"/>
        </w:rPr>
        <w:t> </w:t>
      </w:r>
      <w:r>
        <w:rPr/>
        <w:t>年</w:t>
      </w:r>
      <w:r>
        <w:rPr>
          <w:spacing w:val="-45"/>
        </w:rPr>
        <w:t> </w:t>
      </w:r>
      <w:r>
        <w:rPr>
          <w:w w:val="111"/>
        </w:rPr>
        <w:t>2</w:t>
      </w:r>
      <w:r>
        <w:rPr>
          <w:spacing w:val="-45"/>
        </w:rPr>
        <w:t> </w:t>
      </w:r>
      <w:r>
        <w:rPr/>
        <w:t>月</w:t>
      </w:r>
      <w:r>
        <w:rPr>
          <w:spacing w:val="1"/>
        </w:rPr>
        <w:t>，联通运营公司通过财务公司自联通集团借入委托贷款人民</w:t>
      </w:r>
      <w:r>
        <w:rPr/>
        <w:t>币</w:t>
      </w:r>
      <w:r>
        <w:rPr>
          <w:spacing w:val="-45"/>
        </w:rPr>
        <w:t> </w:t>
      </w:r>
      <w:r>
        <w:rPr>
          <w:spacing w:val="-1"/>
          <w:w w:val="111"/>
        </w:rPr>
        <w:t>13</w:t>
      </w:r>
      <w:r>
        <w:rPr>
          <w:w w:val="55"/>
        </w:rPr>
        <w:t>.</w:t>
      </w:r>
      <w:r>
        <w:rPr>
          <w:spacing w:val="-1"/>
          <w:w w:val="111"/>
        </w:rPr>
        <w:t>4</w:t>
      </w:r>
      <w:r>
        <w:rPr>
          <w:w w:val="111"/>
        </w:rPr>
        <w:t>4</w:t>
      </w:r>
      <w:r>
        <w:rPr>
          <w:spacing w:val="-45"/>
        </w:rPr>
        <w:t> </w:t>
      </w:r>
      <w:r>
        <w:rPr>
          <w:spacing w:val="1"/>
        </w:rPr>
        <w:t>亿</w:t>
      </w:r>
      <w:r>
        <w:rPr/>
        <w:t>元</w:t>
      </w:r>
      <w:r>
        <w:rPr>
          <w:spacing w:val="1"/>
        </w:rPr>
        <w:t>，借款期限</w:t>
      </w:r>
      <w:r>
        <w:rPr/>
        <w:t>为</w:t>
      </w:r>
      <w:r>
        <w:rPr>
          <w:spacing w:val="-45"/>
        </w:rPr>
        <w:t> </w:t>
      </w:r>
      <w:r>
        <w:rPr>
          <w:w w:val="111"/>
        </w:rPr>
        <w:t>1</w:t>
      </w:r>
      <w:r>
        <w:rPr>
          <w:spacing w:val="-45"/>
        </w:rPr>
        <w:t> </w:t>
      </w:r>
      <w:r>
        <w:rPr/>
        <w:t>年</w:t>
      </w:r>
      <w:r>
        <w:rPr>
          <w:spacing w:val="1"/>
        </w:rPr>
        <w:t>，借款</w:t>
      </w:r>
      <w:r>
        <w:rPr/>
      </w:r>
    </w:p>
    <w:p>
      <w:pPr>
        <w:pStyle w:val="BodyText"/>
        <w:spacing w:line="240" w:lineRule="auto" w:before="44"/>
        <w:ind w:left="964" w:right="125"/>
        <w:jc w:val="left"/>
      </w:pPr>
      <w:r>
        <w:rPr>
          <w:w w:val="105"/>
        </w:rPr>
        <w:t>利率为固定利率</w:t>
      </w:r>
      <w:r>
        <w:rPr>
          <w:spacing w:val="-71"/>
          <w:w w:val="105"/>
        </w:rPr>
        <w:t> </w:t>
      </w:r>
      <w:r>
        <w:rPr>
          <w:w w:val="105"/>
        </w:rPr>
        <w:t>3.92%，该借款已于</w:t>
      </w:r>
      <w:r>
        <w:rPr>
          <w:spacing w:val="-72"/>
          <w:w w:val="105"/>
        </w:rPr>
        <w:t> </w:t>
      </w:r>
      <w:r>
        <w:rPr>
          <w:w w:val="105"/>
        </w:rPr>
        <w:t>2018</w:t>
      </w:r>
      <w:r>
        <w:rPr>
          <w:spacing w:val="-72"/>
          <w:w w:val="105"/>
        </w:rPr>
        <w:t> </w:t>
      </w:r>
      <w:r>
        <w:rPr>
          <w:w w:val="105"/>
        </w:rPr>
        <w:t>年</w:t>
      </w:r>
      <w:r>
        <w:rPr>
          <w:spacing w:val="-71"/>
          <w:w w:val="105"/>
        </w:rPr>
        <w:t> </w:t>
      </w:r>
      <w:r>
        <w:rPr>
          <w:w w:val="105"/>
        </w:rPr>
        <w:t>2</w:t>
      </w:r>
      <w:r>
        <w:rPr>
          <w:spacing w:val="-72"/>
          <w:w w:val="105"/>
        </w:rPr>
        <w:t> </w:t>
      </w:r>
      <w:r>
        <w:rPr>
          <w:w w:val="105"/>
        </w:rPr>
        <w:t>月到期并偿还。</w:t>
      </w:r>
    </w:p>
    <w:p>
      <w:pPr>
        <w:spacing w:line="240" w:lineRule="auto" w:before="5"/>
        <w:rPr>
          <w:rFonts w:ascii="宋体" w:hAnsi="宋体" w:cs="宋体" w:eastAsia="宋体" w:hint="default"/>
          <w:sz w:val="16"/>
          <w:szCs w:val="16"/>
        </w:rPr>
      </w:pPr>
    </w:p>
    <w:p>
      <w:pPr>
        <w:pStyle w:val="BodyText"/>
        <w:spacing w:line="240" w:lineRule="auto"/>
        <w:ind w:left="964" w:right="0"/>
        <w:jc w:val="left"/>
      </w:pPr>
      <w:r>
        <w:rPr>
          <w:spacing w:val="-1"/>
          <w:w w:val="111"/>
        </w:rPr>
        <w:t>201</w:t>
      </w:r>
      <w:r>
        <w:rPr>
          <w:w w:val="111"/>
        </w:rPr>
        <w:t>8</w:t>
      </w:r>
      <w:r>
        <w:rPr>
          <w:spacing w:val="-45"/>
        </w:rPr>
        <w:t> </w:t>
      </w:r>
      <w:r>
        <w:rPr/>
        <w:t>年</w:t>
      </w:r>
      <w:r>
        <w:rPr>
          <w:spacing w:val="-45"/>
        </w:rPr>
        <w:t> </w:t>
      </w:r>
      <w:r>
        <w:rPr>
          <w:spacing w:val="-1"/>
          <w:w w:val="111"/>
        </w:rPr>
        <w:t>1</w:t>
      </w:r>
      <w:r>
        <w:rPr>
          <w:w w:val="111"/>
        </w:rPr>
        <w:t>2</w:t>
      </w:r>
      <w:r>
        <w:rPr>
          <w:spacing w:val="-45"/>
        </w:rPr>
        <w:t> </w:t>
      </w:r>
      <w:r>
        <w:rPr/>
        <w:t>月</w:t>
      </w:r>
      <w:r>
        <w:rPr>
          <w:spacing w:val="1"/>
        </w:rPr>
        <w:t>，联通红筹公司自联通集</w:t>
      </w:r>
      <w:r>
        <w:rPr/>
        <w:t>团</w:t>
      </w:r>
      <w:r>
        <w:rPr>
          <w:spacing w:val="-45"/>
        </w:rPr>
        <w:t> </w:t>
      </w:r>
      <w:r>
        <w:rPr>
          <w:w w:val="132"/>
        </w:rPr>
        <w:t>B</w:t>
      </w:r>
      <w:r>
        <w:rPr>
          <w:w w:val="121"/>
        </w:rPr>
        <w:t>V</w:t>
      </w:r>
      <w:r>
        <w:rPr>
          <w:w w:val="55"/>
        </w:rPr>
        <w:t>I</w:t>
      </w:r>
      <w:r>
        <w:rPr>
          <w:spacing w:val="-45"/>
        </w:rPr>
        <w:t> </w:t>
      </w:r>
      <w:r>
        <w:rPr>
          <w:spacing w:val="1"/>
        </w:rPr>
        <w:t>公司借入贷款港</w:t>
      </w:r>
      <w:r>
        <w:rPr/>
        <w:t>币</w:t>
      </w:r>
      <w:r>
        <w:rPr>
          <w:spacing w:val="-45"/>
        </w:rPr>
        <w:t> </w:t>
      </w:r>
      <w:r>
        <w:rPr>
          <w:spacing w:val="-1"/>
          <w:w w:val="111"/>
        </w:rPr>
        <w:t>0</w:t>
      </w:r>
      <w:r>
        <w:rPr>
          <w:w w:val="55"/>
        </w:rPr>
        <w:t>.</w:t>
      </w:r>
      <w:r>
        <w:rPr>
          <w:spacing w:val="-1"/>
          <w:w w:val="111"/>
        </w:rPr>
        <w:t>0</w:t>
      </w:r>
      <w:r>
        <w:rPr>
          <w:w w:val="111"/>
        </w:rPr>
        <w:t>2</w:t>
      </w:r>
      <w:r>
        <w:rPr>
          <w:spacing w:val="-45"/>
        </w:rPr>
        <w:t> </w:t>
      </w:r>
      <w:r>
        <w:rPr>
          <w:spacing w:val="1"/>
        </w:rPr>
        <w:t>亿</w:t>
      </w:r>
      <w:r>
        <w:rPr/>
        <w:t>元</w:t>
      </w:r>
      <w:r>
        <w:rPr>
          <w:spacing w:val="1"/>
        </w:rPr>
        <w:t>，借款利率为香港银行同业拆借利率</w:t>
      </w:r>
      <w:r>
        <w:rPr/>
      </w:r>
    </w:p>
    <w:p>
      <w:pPr>
        <w:pStyle w:val="BodyText"/>
        <w:spacing w:line="240" w:lineRule="auto" w:before="44"/>
        <w:ind w:left="964" w:right="0"/>
        <w:jc w:val="left"/>
      </w:pPr>
      <w:r>
        <w:rPr>
          <w:spacing w:val="1"/>
        </w:rPr>
        <w:t>上</w:t>
      </w:r>
      <w:r>
        <w:rPr/>
        <w:t>浮</w:t>
      </w:r>
      <w:r>
        <w:rPr>
          <w:spacing w:val="-45"/>
        </w:rPr>
        <w:t> </w:t>
      </w:r>
      <w:r>
        <w:rPr>
          <w:spacing w:val="-1"/>
          <w:w w:val="111"/>
        </w:rPr>
        <w:t>1</w:t>
      </w:r>
      <w:r>
        <w:rPr>
          <w:w w:val="55"/>
        </w:rPr>
        <w:t>.</w:t>
      </w:r>
      <w:r>
        <w:rPr>
          <w:spacing w:val="-1"/>
          <w:w w:val="111"/>
        </w:rPr>
        <w:t>11</w:t>
      </w:r>
      <w:r>
        <w:rPr>
          <w:w w:val="200"/>
        </w:rPr>
        <w:t>%</w:t>
      </w:r>
      <w:r>
        <w:rPr>
          <w:spacing w:val="1"/>
        </w:rPr>
        <w:t>；借入贷款人民</w:t>
      </w:r>
      <w:r>
        <w:rPr/>
        <w:t>币</w:t>
      </w:r>
      <w:r>
        <w:rPr>
          <w:spacing w:val="-45"/>
        </w:rPr>
        <w:t> </w:t>
      </w:r>
      <w:r>
        <w:rPr>
          <w:spacing w:val="-1"/>
          <w:w w:val="111"/>
        </w:rPr>
        <w:t>0</w:t>
      </w:r>
      <w:r>
        <w:rPr>
          <w:w w:val="55"/>
        </w:rPr>
        <w:t>.</w:t>
      </w:r>
      <w:r>
        <w:rPr>
          <w:spacing w:val="-1"/>
          <w:w w:val="111"/>
        </w:rPr>
        <w:t>4</w:t>
      </w:r>
      <w:r>
        <w:rPr>
          <w:w w:val="111"/>
        </w:rPr>
        <w:t>6</w:t>
      </w:r>
      <w:r>
        <w:rPr>
          <w:spacing w:val="-45"/>
        </w:rPr>
        <w:t> </w:t>
      </w:r>
      <w:r>
        <w:rPr>
          <w:spacing w:val="1"/>
        </w:rPr>
        <w:t>亿</w:t>
      </w:r>
      <w:r>
        <w:rPr/>
        <w:t>元</w:t>
      </w:r>
      <w:r>
        <w:rPr>
          <w:spacing w:val="1"/>
        </w:rPr>
        <w:t>，借款利率为固定利</w:t>
      </w:r>
      <w:r>
        <w:rPr/>
        <w:t>率</w:t>
      </w:r>
      <w:r>
        <w:rPr>
          <w:spacing w:val="-45"/>
        </w:rPr>
        <w:t> </w:t>
      </w:r>
      <w:r>
        <w:rPr>
          <w:spacing w:val="-1"/>
          <w:w w:val="111"/>
        </w:rPr>
        <w:t>4</w:t>
      </w:r>
      <w:r>
        <w:rPr>
          <w:w w:val="55"/>
        </w:rPr>
        <w:t>.</w:t>
      </w:r>
      <w:r>
        <w:rPr>
          <w:spacing w:val="-1"/>
          <w:w w:val="111"/>
        </w:rPr>
        <w:t>77</w:t>
      </w:r>
      <w:r>
        <w:rPr>
          <w:w w:val="200"/>
        </w:rPr>
        <w:t>%</w:t>
      </w:r>
      <w:r>
        <w:rPr>
          <w:spacing w:val="1"/>
        </w:rPr>
        <w:t>。该两笔借款期限</w:t>
      </w:r>
      <w:r>
        <w:rPr/>
        <w:t>为</w:t>
      </w:r>
      <w:r>
        <w:rPr>
          <w:spacing w:val="-45"/>
        </w:rPr>
        <w:t> </w:t>
      </w:r>
      <w:r>
        <w:rPr>
          <w:w w:val="111"/>
        </w:rPr>
        <w:t>1</w:t>
      </w:r>
      <w:r>
        <w:rPr>
          <w:spacing w:val="-45"/>
        </w:rPr>
        <w:t> </w:t>
      </w:r>
      <w:r>
        <w:rPr/>
        <w:t>年</w:t>
      </w:r>
      <w:r>
        <w:rPr>
          <w:spacing w:val="1"/>
        </w:rPr>
        <w:t>，将</w:t>
      </w:r>
      <w:r>
        <w:rPr/>
        <w:t>于</w:t>
      </w:r>
      <w:r>
        <w:rPr>
          <w:spacing w:val="-45"/>
        </w:rPr>
        <w:t> </w:t>
      </w:r>
      <w:r>
        <w:rPr>
          <w:spacing w:val="-1"/>
          <w:w w:val="111"/>
        </w:rPr>
        <w:t>201</w:t>
      </w:r>
      <w:r>
        <w:rPr>
          <w:w w:val="111"/>
        </w:rPr>
        <w:t>9</w:t>
      </w:r>
      <w:r>
        <w:rPr>
          <w:spacing w:val="-45"/>
        </w:rPr>
        <w:t> </w:t>
      </w:r>
      <w:r>
        <w:rPr/>
        <w:t>年</w:t>
      </w:r>
    </w:p>
    <w:p>
      <w:pPr>
        <w:pStyle w:val="BodyText"/>
        <w:spacing w:line="240" w:lineRule="auto" w:before="44"/>
        <w:ind w:left="964" w:right="125"/>
        <w:jc w:val="left"/>
      </w:pPr>
      <w:r>
        <w:rPr/>
        <w:t>12</w:t>
      </w:r>
      <w:r>
        <w:rPr>
          <w:spacing w:val="-37"/>
        </w:rPr>
        <w:t> </w:t>
      </w:r>
      <w:r>
        <w:rPr/>
        <w:t>月到期。于</w:t>
      </w:r>
      <w:r>
        <w:rPr>
          <w:spacing w:val="-36"/>
        </w:rPr>
        <w:t> </w:t>
      </w:r>
      <w:r>
        <w:rPr/>
        <w:t>2018</w:t>
      </w:r>
      <w:r>
        <w:rPr>
          <w:spacing w:val="-37"/>
        </w:rPr>
        <w:t> </w:t>
      </w:r>
      <w:r>
        <w:rPr/>
        <w:t>年</w:t>
      </w:r>
      <w:r>
        <w:rPr>
          <w:spacing w:val="-36"/>
        </w:rPr>
        <w:t> </w:t>
      </w:r>
      <w:r>
        <w:rPr/>
        <w:t>12</w:t>
      </w:r>
      <w:r>
        <w:rPr>
          <w:spacing w:val="-37"/>
        </w:rPr>
        <w:t> </w:t>
      </w:r>
      <w:r>
        <w:rPr/>
        <w:t>月</w:t>
      </w:r>
      <w:r>
        <w:rPr>
          <w:spacing w:val="-36"/>
        </w:rPr>
        <w:t> </w:t>
      </w:r>
      <w:r>
        <w:rPr/>
        <w:t>31</w:t>
      </w:r>
      <w:r>
        <w:rPr>
          <w:spacing w:val="-37"/>
        </w:rPr>
        <w:t> </w:t>
      </w:r>
      <w:r>
        <w:rPr/>
        <w:t>日，以上借款等值人民币共计</w:t>
      </w:r>
      <w:r>
        <w:rPr>
          <w:spacing w:val="-36"/>
        </w:rPr>
        <w:t> </w:t>
      </w:r>
      <w:r>
        <w:rPr/>
        <w:t>0.48</w:t>
      </w:r>
      <w:r>
        <w:rPr>
          <w:spacing w:val="-37"/>
        </w:rPr>
        <w:t> </w:t>
      </w:r>
      <w:r>
        <w:rPr/>
        <w:t>亿元。</w:t>
      </w:r>
    </w:p>
    <w:p>
      <w:pPr>
        <w:spacing w:line="240" w:lineRule="auto" w:before="5"/>
        <w:rPr>
          <w:rFonts w:ascii="宋体" w:hAnsi="宋体" w:cs="宋体" w:eastAsia="宋体" w:hint="default"/>
          <w:sz w:val="16"/>
          <w:szCs w:val="16"/>
        </w:rPr>
      </w:pPr>
    </w:p>
    <w:p>
      <w:pPr>
        <w:pStyle w:val="BodyText"/>
        <w:spacing w:line="240" w:lineRule="auto"/>
        <w:ind w:left="453" w:right="0"/>
        <w:jc w:val="left"/>
      </w:pPr>
      <w:r>
        <w:rPr/>
        <w:t>注</w:t>
      </w:r>
      <w:r>
        <w:rPr>
          <w:spacing w:val="-30"/>
        </w:rPr>
        <w:t> </w:t>
      </w:r>
      <w:r>
        <w:rPr/>
        <w:t>3：2017</w:t>
      </w:r>
      <w:r>
        <w:rPr>
          <w:spacing w:val="-30"/>
        </w:rPr>
        <w:t> </w:t>
      </w:r>
      <w:r>
        <w:rPr/>
        <w:t>年</w:t>
      </w:r>
      <w:r>
        <w:rPr>
          <w:spacing w:val="-30"/>
        </w:rPr>
        <w:t> </w:t>
      </w:r>
      <w:r>
        <w:rPr/>
        <w:t>4</w:t>
      </w:r>
      <w:r>
        <w:rPr>
          <w:spacing w:val="-30"/>
        </w:rPr>
        <w:t> </w:t>
      </w:r>
      <w:r>
        <w:rPr/>
        <w:t>月及</w:t>
      </w:r>
      <w:r>
        <w:rPr>
          <w:spacing w:val="-30"/>
        </w:rPr>
        <w:t> </w:t>
      </w:r>
      <w:r>
        <w:rPr/>
        <w:t>10</w:t>
      </w:r>
      <w:r>
        <w:rPr>
          <w:spacing w:val="-30"/>
        </w:rPr>
        <w:t> </w:t>
      </w:r>
      <w:r>
        <w:rPr>
          <w:spacing w:val="2"/>
        </w:rPr>
        <w:t>月，联通运营公司通过财务公司自智慧足迹共借入委托贷款人民币</w:t>
      </w:r>
      <w:r>
        <w:rPr>
          <w:spacing w:val="-30"/>
        </w:rPr>
        <w:t> </w:t>
      </w:r>
      <w:r>
        <w:rPr/>
        <w:t>1</w:t>
      </w:r>
      <w:r>
        <w:rPr>
          <w:spacing w:val="-30"/>
        </w:rPr>
        <w:t> </w:t>
      </w:r>
      <w:r>
        <w:rPr>
          <w:spacing w:val="2"/>
        </w:rPr>
        <w:t>亿元，借款利率为固定</w:t>
      </w:r>
      <w:r>
        <w:rPr/>
      </w:r>
    </w:p>
    <w:p>
      <w:pPr>
        <w:pStyle w:val="BodyText"/>
        <w:spacing w:line="240" w:lineRule="auto" w:before="44"/>
        <w:ind w:left="964" w:right="125"/>
        <w:jc w:val="left"/>
      </w:pPr>
      <w:r>
        <w:rPr>
          <w:w w:val="105"/>
        </w:rPr>
        <w:t>利率</w:t>
      </w:r>
      <w:r>
        <w:rPr>
          <w:spacing w:val="-67"/>
          <w:w w:val="105"/>
        </w:rPr>
        <w:t> </w:t>
      </w:r>
      <w:r>
        <w:rPr>
          <w:w w:val="105"/>
        </w:rPr>
        <w:t>3.92%，该借款于</w:t>
      </w:r>
      <w:r>
        <w:rPr>
          <w:spacing w:val="-68"/>
          <w:w w:val="105"/>
        </w:rPr>
        <w:t> </w:t>
      </w:r>
      <w:r>
        <w:rPr>
          <w:w w:val="105"/>
        </w:rPr>
        <w:t>2017</w:t>
      </w:r>
      <w:r>
        <w:rPr>
          <w:spacing w:val="-68"/>
          <w:w w:val="105"/>
        </w:rPr>
        <w:t> </w:t>
      </w:r>
      <w:r>
        <w:rPr>
          <w:w w:val="105"/>
        </w:rPr>
        <w:t>年共偿还人民币</w:t>
      </w:r>
      <w:r>
        <w:rPr>
          <w:spacing w:val="-67"/>
          <w:w w:val="105"/>
        </w:rPr>
        <w:t> </w:t>
      </w:r>
      <w:r>
        <w:rPr>
          <w:w w:val="105"/>
        </w:rPr>
        <w:t>6,000</w:t>
      </w:r>
      <w:r>
        <w:rPr>
          <w:spacing w:val="-68"/>
          <w:w w:val="105"/>
        </w:rPr>
        <w:t> </w:t>
      </w:r>
      <w:r>
        <w:rPr>
          <w:w w:val="105"/>
        </w:rPr>
        <w:t>万元，剩余部分于</w:t>
      </w:r>
      <w:r>
        <w:rPr>
          <w:spacing w:val="-67"/>
          <w:w w:val="105"/>
        </w:rPr>
        <w:t> </w:t>
      </w:r>
      <w:r>
        <w:rPr>
          <w:w w:val="105"/>
        </w:rPr>
        <w:t>2018</w:t>
      </w:r>
      <w:r>
        <w:rPr>
          <w:spacing w:val="-68"/>
          <w:w w:val="105"/>
        </w:rPr>
        <w:t> </w:t>
      </w:r>
      <w:r>
        <w:rPr>
          <w:w w:val="105"/>
        </w:rPr>
        <w:t>年</w:t>
      </w:r>
      <w:r>
        <w:rPr>
          <w:spacing w:val="-67"/>
          <w:w w:val="105"/>
        </w:rPr>
        <w:t> </w:t>
      </w:r>
      <w:r>
        <w:rPr>
          <w:w w:val="105"/>
        </w:rPr>
        <w:t>3</w:t>
      </w:r>
      <w:r>
        <w:rPr>
          <w:spacing w:val="-68"/>
          <w:w w:val="105"/>
        </w:rPr>
        <w:t> </w:t>
      </w:r>
      <w:r>
        <w:rPr>
          <w:w w:val="105"/>
        </w:rPr>
        <w:t>月及</w:t>
      </w:r>
      <w:r>
        <w:rPr>
          <w:spacing w:val="-67"/>
          <w:w w:val="105"/>
        </w:rPr>
        <w:t> </w:t>
      </w:r>
      <w:r>
        <w:rPr>
          <w:w w:val="105"/>
        </w:rPr>
        <w:t>10</w:t>
      </w:r>
      <w:r>
        <w:rPr>
          <w:spacing w:val="-68"/>
          <w:w w:val="105"/>
        </w:rPr>
        <w:t> </w:t>
      </w:r>
      <w:r>
        <w:rPr>
          <w:w w:val="105"/>
        </w:rPr>
        <w:t>月全部偿还。</w:t>
      </w:r>
    </w:p>
    <w:p>
      <w:pPr>
        <w:spacing w:line="240" w:lineRule="auto" w:before="5"/>
        <w:rPr>
          <w:rFonts w:ascii="宋体" w:hAnsi="宋体" w:cs="宋体" w:eastAsia="宋体" w:hint="default"/>
          <w:sz w:val="16"/>
          <w:szCs w:val="16"/>
        </w:rPr>
      </w:pPr>
    </w:p>
    <w:p>
      <w:pPr>
        <w:pStyle w:val="BodyText"/>
        <w:spacing w:line="240" w:lineRule="auto"/>
        <w:ind w:left="453" w:right="0"/>
        <w:jc w:val="left"/>
      </w:pPr>
      <w:r>
        <w:rPr/>
        <w:t>注</w:t>
      </w:r>
      <w:r>
        <w:rPr>
          <w:spacing w:val="-45"/>
        </w:rPr>
        <w:t> </w:t>
      </w:r>
      <w:r>
        <w:rPr>
          <w:spacing w:val="-1"/>
          <w:w w:val="111"/>
        </w:rPr>
        <w:t>4</w:t>
      </w:r>
      <w:r>
        <w:rPr>
          <w:spacing w:val="5"/>
        </w:rPr>
        <w:t>：</w:t>
      </w:r>
      <w:r>
        <w:rPr/>
        <w:t>于</w:t>
      </w:r>
      <w:r>
        <w:rPr>
          <w:spacing w:val="-45"/>
        </w:rPr>
        <w:t> </w:t>
      </w:r>
      <w:r>
        <w:rPr>
          <w:spacing w:val="-1"/>
          <w:w w:val="111"/>
        </w:rPr>
        <w:t>201</w:t>
      </w:r>
      <w:r>
        <w:rPr>
          <w:w w:val="111"/>
        </w:rPr>
        <w:t>8</w:t>
      </w:r>
      <w:r>
        <w:rPr>
          <w:spacing w:val="-45"/>
        </w:rPr>
        <w:t> </w:t>
      </w:r>
      <w:r>
        <w:rPr/>
        <w:t>年</w:t>
      </w:r>
      <w:r>
        <w:rPr>
          <w:spacing w:val="-45"/>
        </w:rPr>
        <w:t> </w:t>
      </w:r>
      <w:r>
        <w:rPr>
          <w:spacing w:val="-1"/>
          <w:w w:val="111"/>
        </w:rPr>
        <w:t>1</w:t>
      </w:r>
      <w:r>
        <w:rPr>
          <w:w w:val="111"/>
        </w:rPr>
        <w:t>2</w:t>
      </w:r>
      <w:r>
        <w:rPr>
          <w:spacing w:val="-45"/>
        </w:rPr>
        <w:t> </w:t>
      </w:r>
      <w:r>
        <w:rPr/>
        <w:t>月</w:t>
      </w:r>
      <w:r>
        <w:rPr>
          <w:spacing w:val="-45"/>
        </w:rPr>
        <w:t> </w:t>
      </w:r>
      <w:r>
        <w:rPr>
          <w:spacing w:val="-1"/>
          <w:w w:val="111"/>
        </w:rPr>
        <w:t>3</w:t>
      </w:r>
      <w:r>
        <w:rPr>
          <w:w w:val="111"/>
        </w:rPr>
        <w:t>1</w:t>
      </w:r>
      <w:r>
        <w:rPr>
          <w:spacing w:val="-45"/>
        </w:rPr>
        <w:t> </w:t>
      </w:r>
      <w:r>
        <w:rPr/>
        <w:t>日</w:t>
      </w:r>
      <w:r>
        <w:rPr>
          <w:spacing w:val="2"/>
        </w:rPr>
        <w:t>，应收铁塔公司款项主要包括铁塔公司尚未支付的交易相关增值税人民</w:t>
      </w:r>
      <w:r>
        <w:rPr/>
        <w:t>币</w:t>
      </w:r>
      <w:r>
        <w:rPr>
          <w:spacing w:val="-45"/>
        </w:rPr>
        <w:t> </w:t>
      </w:r>
      <w:r>
        <w:rPr>
          <w:spacing w:val="-1"/>
          <w:w w:val="111"/>
        </w:rPr>
        <w:t>3</w:t>
      </w:r>
      <w:r>
        <w:rPr>
          <w:w w:val="55"/>
        </w:rPr>
        <w:t>.</w:t>
      </w:r>
      <w:r>
        <w:rPr>
          <w:spacing w:val="-1"/>
          <w:w w:val="111"/>
        </w:rPr>
        <w:t>8</w:t>
      </w:r>
      <w:r>
        <w:rPr>
          <w:w w:val="111"/>
        </w:rPr>
        <w:t>2</w:t>
      </w:r>
      <w:r>
        <w:rPr>
          <w:spacing w:val="-45"/>
        </w:rPr>
        <w:t> </w:t>
      </w:r>
      <w:r>
        <w:rPr>
          <w:spacing w:val="2"/>
        </w:rPr>
        <w:t>亿元及应</w:t>
      </w:r>
      <w:r>
        <w:rPr/>
      </w:r>
    </w:p>
    <w:p>
      <w:pPr>
        <w:pStyle w:val="BodyText"/>
        <w:spacing w:line="240" w:lineRule="auto" w:before="44"/>
        <w:ind w:left="964" w:right="125"/>
        <w:jc w:val="left"/>
      </w:pPr>
      <w:r>
        <w:rPr/>
        <w:t>收利息余额为人民币</w:t>
      </w:r>
      <w:r>
        <w:rPr>
          <w:spacing w:val="-51"/>
        </w:rPr>
        <w:t> </w:t>
      </w:r>
      <w:r>
        <w:rPr/>
        <w:t>2.95</w:t>
      </w:r>
      <w:r>
        <w:rPr>
          <w:spacing w:val="-52"/>
        </w:rPr>
        <w:t> </w:t>
      </w:r>
      <w:r>
        <w:rPr/>
        <w:t>亿元。</w:t>
      </w:r>
    </w:p>
    <w:p>
      <w:pPr>
        <w:spacing w:line="240" w:lineRule="auto" w:before="5"/>
        <w:rPr>
          <w:rFonts w:ascii="宋体" w:hAnsi="宋体" w:cs="宋体" w:eastAsia="宋体" w:hint="default"/>
          <w:sz w:val="16"/>
          <w:szCs w:val="16"/>
        </w:rPr>
      </w:pPr>
    </w:p>
    <w:p>
      <w:pPr>
        <w:pStyle w:val="BodyText"/>
        <w:spacing w:line="285" w:lineRule="auto"/>
        <w:ind w:left="964" w:right="122" w:hanging="511"/>
        <w:jc w:val="left"/>
      </w:pPr>
      <w:r>
        <w:rPr/>
        <w:t>注</w:t>
      </w:r>
      <w:r>
        <w:rPr>
          <w:spacing w:val="-36"/>
        </w:rPr>
        <w:t> </w:t>
      </w:r>
      <w:r>
        <w:rPr/>
        <w:t>5：于</w:t>
      </w:r>
      <w:r>
        <w:rPr>
          <w:spacing w:val="-38"/>
        </w:rPr>
        <w:t> </w:t>
      </w:r>
      <w:r>
        <w:rPr/>
        <w:t>2018</w:t>
      </w:r>
      <w:r>
        <w:rPr>
          <w:spacing w:val="-38"/>
        </w:rPr>
        <w:t> </w:t>
      </w:r>
      <w:r>
        <w:rPr/>
        <w:t>年</w:t>
      </w:r>
      <w:r>
        <w:rPr>
          <w:spacing w:val="-38"/>
        </w:rPr>
        <w:t> </w:t>
      </w:r>
      <w:r>
        <w:rPr/>
        <w:t>12</w:t>
      </w:r>
      <w:r>
        <w:rPr>
          <w:spacing w:val="-38"/>
        </w:rPr>
        <w:t> </w:t>
      </w:r>
      <w:r>
        <w:rPr/>
        <w:t>月</w:t>
      </w:r>
      <w:r>
        <w:rPr>
          <w:spacing w:val="-38"/>
        </w:rPr>
        <w:t> </w:t>
      </w:r>
      <w:r>
        <w:rPr/>
        <w:t>31</w:t>
      </w:r>
      <w:r>
        <w:rPr>
          <w:spacing w:val="-38"/>
        </w:rPr>
        <w:t> </w:t>
      </w:r>
      <w:r>
        <w:rPr/>
        <w:t>日，对联通集团及其子公司的其他应付款主要为财务公司吸收存款余额人民币</w:t>
      </w:r>
      <w:r>
        <w:rPr>
          <w:spacing w:val="-38"/>
        </w:rPr>
        <w:t> </w:t>
      </w:r>
      <w:r>
        <w:rPr/>
        <w:t>43.57</w:t>
      </w:r>
      <w:r>
        <w:rPr>
          <w:spacing w:val="-38"/>
        </w:rPr>
        <w:t> </w:t>
      </w:r>
      <w:r>
        <w:rPr/>
        <w:t>亿元，</w:t>
      </w:r>
      <w:r>
        <w:rPr>
          <w:spacing w:val="-88"/>
        </w:rPr>
        <w:t> </w:t>
      </w:r>
      <w:r>
        <w:rPr>
          <w:spacing w:val="-88"/>
        </w:rPr>
      </w:r>
      <w:r>
        <w:rPr>
          <w:w w:val="105"/>
        </w:rPr>
        <w:t>年利率范围为</w:t>
      </w:r>
      <w:r>
        <w:rPr>
          <w:spacing w:val="25"/>
          <w:w w:val="105"/>
        </w:rPr>
        <w:t> </w:t>
      </w:r>
      <w:r>
        <w:rPr>
          <w:w w:val="105"/>
        </w:rPr>
        <w:t>0.42%-2.75%。</w:t>
      </w:r>
      <w:r>
        <w:rPr/>
      </w:r>
    </w:p>
    <w:p>
      <w:pPr>
        <w:spacing w:line="240" w:lineRule="auto" w:before="10"/>
        <w:rPr>
          <w:rFonts w:ascii="宋体" w:hAnsi="宋体" w:cs="宋体" w:eastAsia="宋体" w:hint="default"/>
          <w:sz w:val="13"/>
          <w:szCs w:val="13"/>
        </w:rPr>
      </w:pPr>
    </w:p>
    <w:p>
      <w:pPr>
        <w:pStyle w:val="BodyText"/>
        <w:spacing w:line="240" w:lineRule="auto"/>
        <w:ind w:left="964" w:right="0"/>
        <w:jc w:val="left"/>
      </w:pPr>
      <w:r>
        <w:rPr>
          <w:w w:val="105"/>
        </w:rPr>
        <w:t>于</w:t>
      </w:r>
      <w:r>
        <w:rPr>
          <w:spacing w:val="-74"/>
          <w:w w:val="105"/>
        </w:rPr>
        <w:t> </w:t>
      </w:r>
      <w:r>
        <w:rPr>
          <w:w w:val="105"/>
        </w:rPr>
        <w:t>2018</w:t>
      </w:r>
      <w:r>
        <w:rPr>
          <w:spacing w:val="-74"/>
          <w:w w:val="105"/>
        </w:rPr>
        <w:t> </w:t>
      </w:r>
      <w:r>
        <w:rPr>
          <w:w w:val="105"/>
        </w:rPr>
        <w:t>年</w:t>
      </w:r>
      <w:r>
        <w:rPr>
          <w:spacing w:val="-74"/>
          <w:w w:val="105"/>
        </w:rPr>
        <w:t> </w:t>
      </w:r>
      <w:r>
        <w:rPr>
          <w:w w:val="105"/>
        </w:rPr>
        <w:t>12</w:t>
      </w:r>
      <w:r>
        <w:rPr>
          <w:spacing w:val="-74"/>
          <w:w w:val="105"/>
        </w:rPr>
        <w:t> </w:t>
      </w:r>
      <w:r>
        <w:rPr>
          <w:w w:val="105"/>
        </w:rPr>
        <w:t>月</w:t>
      </w:r>
      <w:r>
        <w:rPr>
          <w:spacing w:val="-74"/>
          <w:w w:val="105"/>
        </w:rPr>
        <w:t> </w:t>
      </w:r>
      <w:r>
        <w:rPr>
          <w:w w:val="105"/>
        </w:rPr>
        <w:t>31</w:t>
      </w:r>
      <w:r>
        <w:rPr>
          <w:spacing w:val="-74"/>
          <w:w w:val="105"/>
        </w:rPr>
        <w:t> </w:t>
      </w:r>
      <w:r>
        <w:rPr>
          <w:w w:val="105"/>
        </w:rPr>
        <w:t>日，财务公司自智慧足迹吸收存款余额为人民币</w:t>
      </w:r>
      <w:r>
        <w:rPr>
          <w:spacing w:val="-74"/>
          <w:w w:val="105"/>
        </w:rPr>
        <w:t> </w:t>
      </w:r>
      <w:r>
        <w:rPr>
          <w:w w:val="105"/>
        </w:rPr>
        <w:t>0.30</w:t>
      </w:r>
      <w:r>
        <w:rPr>
          <w:spacing w:val="-74"/>
          <w:w w:val="105"/>
        </w:rPr>
        <w:t> </w:t>
      </w:r>
      <w:r>
        <w:rPr>
          <w:w w:val="105"/>
        </w:rPr>
        <w:t>亿元，年利率范围为</w:t>
      </w:r>
      <w:r>
        <w:rPr>
          <w:spacing w:val="-74"/>
          <w:w w:val="105"/>
        </w:rPr>
        <w:t> </w:t>
      </w:r>
      <w:r>
        <w:rPr>
          <w:w w:val="105"/>
        </w:rPr>
        <w:t>0.42%-1.48%。</w:t>
      </w:r>
      <w:r>
        <w:rPr/>
      </w:r>
    </w:p>
    <w:p>
      <w:pPr>
        <w:spacing w:line="240" w:lineRule="auto" w:before="5"/>
        <w:rPr>
          <w:rFonts w:ascii="宋体" w:hAnsi="宋体" w:cs="宋体" w:eastAsia="宋体" w:hint="default"/>
          <w:sz w:val="16"/>
          <w:szCs w:val="16"/>
        </w:rPr>
      </w:pPr>
    </w:p>
    <w:p>
      <w:pPr>
        <w:pStyle w:val="BodyText"/>
        <w:spacing w:line="285" w:lineRule="auto"/>
        <w:ind w:left="964" w:right="125" w:hanging="511"/>
        <w:jc w:val="left"/>
      </w:pPr>
      <w:r>
        <w:rPr/>
        <w:t>注</w:t>
      </w:r>
      <w:r>
        <w:rPr>
          <w:spacing w:val="-43"/>
        </w:rPr>
        <w:t> </w:t>
      </w:r>
      <w:r>
        <w:rPr>
          <w:spacing w:val="1"/>
          <w:w w:val="103"/>
        </w:rPr>
        <w:t>6：于</w:t>
      </w:r>
      <w:r>
        <w:rPr>
          <w:spacing w:val="-45"/>
          <w:w w:val="103"/>
        </w:rPr>
        <w:t> </w:t>
      </w:r>
      <w:r>
        <w:rPr>
          <w:spacing w:val="-1"/>
          <w:w w:val="111"/>
        </w:rPr>
        <w:t>2018</w:t>
      </w:r>
      <w:r>
        <w:rPr>
          <w:spacing w:val="-52"/>
          <w:w w:val="111"/>
        </w:rPr>
        <w:t> </w:t>
      </w:r>
      <w:r>
        <w:rPr/>
        <w:t>年</w:t>
      </w:r>
      <w:r>
        <w:rPr>
          <w:spacing w:val="-42"/>
        </w:rPr>
        <w:t> </w:t>
      </w:r>
      <w:r>
        <w:rPr>
          <w:spacing w:val="-1"/>
          <w:w w:val="111"/>
        </w:rPr>
        <w:t>12</w:t>
      </w:r>
      <w:r>
        <w:rPr>
          <w:spacing w:val="-52"/>
          <w:w w:val="111"/>
        </w:rPr>
        <w:t> </w:t>
      </w:r>
      <w:r>
        <w:rPr/>
        <w:t>月</w:t>
      </w:r>
      <w:r>
        <w:rPr>
          <w:spacing w:val="-42"/>
        </w:rPr>
        <w:t> </w:t>
      </w:r>
      <w:r>
        <w:rPr>
          <w:spacing w:val="-1"/>
          <w:w w:val="111"/>
        </w:rPr>
        <w:t>31</w:t>
      </w:r>
      <w:r>
        <w:rPr>
          <w:spacing w:val="-52"/>
          <w:w w:val="111"/>
        </w:rPr>
        <w:t> </w:t>
      </w:r>
      <w:r>
        <w:rPr>
          <w:spacing w:val="3"/>
        </w:rPr>
        <w:t>日，财务公司向联通集团发放贷款余额人民币</w:t>
      </w:r>
      <w:r>
        <w:rPr>
          <w:spacing w:val="-42"/>
        </w:rPr>
        <w:t> </w:t>
      </w:r>
      <w:r>
        <w:rPr>
          <w:spacing w:val="-1"/>
          <w:w w:val="99"/>
        </w:rPr>
        <w:t>74.04</w:t>
      </w:r>
      <w:r>
        <w:rPr>
          <w:spacing w:val="-42"/>
          <w:w w:val="99"/>
        </w:rPr>
        <w:t> </w:t>
      </w:r>
      <w:r>
        <w:rPr>
          <w:spacing w:val="3"/>
        </w:rPr>
        <w:t>亿元，借款利率以起息日当日中国人</w:t>
      </w:r>
      <w:r>
        <w:rPr>
          <w:spacing w:val="-88"/>
        </w:rPr>
        <w:t> </w:t>
      </w:r>
      <w:r>
        <w:rPr>
          <w:spacing w:val="-88"/>
        </w:rPr>
      </w:r>
      <w:r>
        <w:rPr/>
        <w:t>民银行公布施行的同期同档次贷款利率的 90％至</w:t>
      </w:r>
      <w:r>
        <w:rPr>
          <w:spacing w:val="-42"/>
        </w:rPr>
        <w:t> </w:t>
      </w:r>
      <w:r>
        <w:rPr/>
        <w:t>110％浮动利率计息。</w:t>
      </w:r>
    </w:p>
    <w:p>
      <w:pPr>
        <w:spacing w:line="240" w:lineRule="auto" w:before="10"/>
        <w:rPr>
          <w:rFonts w:ascii="宋体" w:hAnsi="宋体" w:cs="宋体" w:eastAsia="宋体" w:hint="default"/>
          <w:sz w:val="13"/>
          <w:szCs w:val="13"/>
        </w:rPr>
      </w:pPr>
    </w:p>
    <w:p>
      <w:pPr>
        <w:pStyle w:val="BodyText"/>
        <w:spacing w:line="285" w:lineRule="auto"/>
        <w:ind w:left="964" w:right="125" w:hanging="511"/>
        <w:jc w:val="left"/>
      </w:pPr>
      <w:r>
        <w:rPr/>
        <w:t>注 7 </w:t>
      </w:r>
      <w:r>
        <w:rPr>
          <w:spacing w:val="2"/>
        </w:rPr>
        <w:t>除上述款项以外，其他应收、应付关联公司余额均为无抵押、不计息、即期偿付或于有关合同条款规定的期限</w:t>
      </w:r>
      <w:r>
        <w:rPr>
          <w:spacing w:val="-85"/>
        </w:rPr>
        <w:t> </w:t>
      </w:r>
      <w:r>
        <w:rPr>
          <w:spacing w:val="-85"/>
        </w:rPr>
      </w:r>
      <w:r>
        <w:rPr/>
        <w:t>内支付或收取，并在如附注十（5）所述的与关联公司的正常经营交易中产生。</w:t>
      </w:r>
    </w:p>
    <w:p>
      <w:pPr>
        <w:spacing w:after="0" w:line="285" w:lineRule="auto"/>
        <w:jc w:val="left"/>
        <w:sectPr>
          <w:footerReference w:type="even" r:id="rId358"/>
          <w:footerReference w:type="default" r:id="rId359"/>
          <w:pgSz w:w="11910" w:h="16160"/>
          <w:pgMar w:footer="320" w:header="1200" w:top="2120" w:bottom="520" w:left="680" w:right="1340"/>
          <w:pgNumType w:start="202"/>
        </w:sectPr>
      </w:pPr>
    </w:p>
    <w:p>
      <w:pPr>
        <w:spacing w:line="240" w:lineRule="auto" w:before="3"/>
        <w:rPr>
          <w:rFonts w:ascii="宋体" w:hAnsi="宋体" w:cs="宋体" w:eastAsia="宋体" w:hint="default"/>
          <w:sz w:val="14"/>
          <w:szCs w:val="14"/>
        </w:rPr>
      </w:pPr>
    </w:p>
    <w:p>
      <w:pPr>
        <w:pStyle w:val="BodyText"/>
        <w:spacing w:line="240" w:lineRule="auto" w:before="31"/>
        <w:ind w:left="114" w:right="0"/>
        <w:jc w:val="left"/>
      </w:pPr>
      <w:r>
        <w:rPr/>
        <w:t>7、</w:t>
      </w:r>
      <w:r>
        <w:rPr>
          <w:spacing w:val="-21"/>
        </w:rPr>
        <w:t> </w:t>
      </w:r>
      <w:r>
        <w:rPr/>
        <w:t>关联方承诺</w:t>
      </w:r>
    </w:p>
    <w:p>
      <w:pPr>
        <w:spacing w:line="240" w:lineRule="auto" w:before="12"/>
        <w:rPr>
          <w:rFonts w:ascii="宋体" w:hAnsi="宋体" w:cs="宋体" w:eastAsia="宋体" w:hint="default"/>
          <w:sz w:val="17"/>
          <w:szCs w:val="17"/>
        </w:rPr>
      </w:pPr>
    </w:p>
    <w:p>
      <w:pPr>
        <w:pStyle w:val="BodyText"/>
        <w:spacing w:line="285" w:lineRule="auto"/>
        <w:ind w:right="0"/>
        <w:jc w:val="left"/>
      </w:pPr>
      <w:r>
        <w:rPr/>
        <w:t>根据已签订的不可撤销的经营性租赁合同和其他承诺，本集团与关联方之间的未来最低应支付租金和其他承诺付款额</w:t>
      </w:r>
      <w:r>
        <w:rPr>
          <w:spacing w:val="9"/>
        </w:rPr>
        <w:t> </w:t>
      </w:r>
      <w:r>
        <w:rPr>
          <w:spacing w:val="9"/>
        </w:rPr>
      </w:r>
      <w:r>
        <w:rPr/>
        <w:t>汇总如下：</w:t>
      </w:r>
    </w:p>
    <w:p>
      <w:pPr>
        <w:spacing w:line="240" w:lineRule="auto" w:before="9"/>
        <w:rPr>
          <w:rFonts w:ascii="宋体" w:hAnsi="宋体" w:cs="宋体" w:eastAsia="宋体" w:hint="default"/>
          <w:sz w:val="14"/>
          <w:szCs w:val="14"/>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13" w:right="0"/>
              <w:jc w:val="left"/>
              <w:rPr>
                <w:rFonts w:ascii="宋体" w:hAnsi="宋体" w:cs="宋体" w:eastAsia="宋体" w:hint="default"/>
                <w:sz w:val="16"/>
                <w:szCs w:val="16"/>
              </w:rPr>
            </w:pPr>
            <w:r>
              <w:rPr>
                <w:rFonts w:ascii="宋体" w:hAnsi="宋体" w:cs="宋体" w:eastAsia="宋体" w:hint="default"/>
                <w:sz w:val="16"/>
                <w:szCs w:val="16"/>
              </w:rPr>
              <w:t>租赁支出</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联通集团及其子公司</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1,095,652,543</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1,060,105,772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联营企业</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45,725,543,186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34,796,670,916</w:t>
            </w:r>
            <w:r>
              <w:rPr>
                <w:rFonts w:ascii="宋体"/>
                <w:sz w:val="16"/>
              </w:rPr>
            </w:r>
          </w:p>
        </w:tc>
      </w:tr>
      <w:tr>
        <w:trPr>
          <w:trHeight w:val="338"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46,821,195,729</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35,856,776,688</w:t>
            </w:r>
            <w:r>
              <w:rPr>
                <w:rFonts w:ascii="宋体"/>
                <w:sz w:val="16"/>
              </w:rPr>
            </w:r>
          </w:p>
        </w:tc>
      </w:tr>
    </w:tbl>
    <w:p>
      <w:pPr>
        <w:spacing w:after="0" w:line="205" w:lineRule="exact"/>
        <w:jc w:val="right"/>
        <w:rPr>
          <w:rFonts w:ascii="宋体" w:hAnsi="宋体" w:cs="宋体" w:eastAsia="宋体" w:hint="default"/>
          <w:sz w:val="16"/>
          <w:szCs w:val="16"/>
        </w:rPr>
        <w:sectPr>
          <w:headerReference w:type="default" r:id="rId360"/>
          <w:headerReference w:type="even" r:id="rId361"/>
          <w:pgSz w:w="11910" w:h="16160"/>
          <w:pgMar w:header="2776" w:footer="298" w:top="296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十一、承诺及或有事项</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1、</w:t>
      </w:r>
      <w:r>
        <w:rPr>
          <w:spacing w:val="-32"/>
        </w:rPr>
        <w:t> </w:t>
      </w:r>
      <w:r>
        <w:rPr/>
        <w:t>重要承诺事项</w:t>
      </w:r>
    </w:p>
    <w:p>
      <w:pPr>
        <w:spacing w:line="240" w:lineRule="auto" w:before="12"/>
        <w:rPr>
          <w:rFonts w:ascii="宋体" w:hAnsi="宋体" w:cs="宋体" w:eastAsia="宋体" w:hint="default"/>
          <w:sz w:val="17"/>
          <w:szCs w:val="17"/>
        </w:rPr>
      </w:pPr>
    </w:p>
    <w:p>
      <w:pPr>
        <w:pStyle w:val="BodyText"/>
        <w:spacing w:line="240" w:lineRule="auto"/>
        <w:ind w:left="113" w:right="0"/>
        <w:jc w:val="left"/>
      </w:pPr>
      <w:r>
        <w:rPr/>
        <w:t>(a)</w:t>
      </w:r>
      <w:r>
        <w:rPr>
          <w:spacing w:val="-21"/>
        </w:rPr>
        <w:t> </w:t>
      </w:r>
      <w:r>
        <w:rPr/>
        <w:t>资本性支出承诺事项</w:t>
      </w:r>
    </w:p>
    <w:p>
      <w:pPr>
        <w:spacing w:line="240" w:lineRule="auto" w:before="12"/>
        <w:rPr>
          <w:rFonts w:ascii="宋体" w:hAnsi="宋体" w:cs="宋体" w:eastAsia="宋体" w:hint="default"/>
          <w:sz w:val="17"/>
          <w:szCs w:val="17"/>
        </w:rPr>
      </w:pPr>
    </w:p>
    <w:p>
      <w:pPr>
        <w:pStyle w:val="BodyText"/>
        <w:spacing w:line="285" w:lineRule="auto"/>
        <w:ind w:left="453" w:right="0"/>
        <w:jc w:val="left"/>
      </w:pPr>
      <w:r>
        <w:rPr/>
        <w:t>本集团的资本性支出承诺主要是关于电信网络建设方面的资本支出。以下为本集团于资产负债表日，已签约而尚不必</w:t>
      </w:r>
      <w:r>
        <w:rPr>
          <w:spacing w:val="7"/>
        </w:rPr>
        <w:t> </w:t>
      </w:r>
      <w:r>
        <w:rPr>
          <w:spacing w:val="7"/>
        </w:rPr>
      </w:r>
      <w:r>
        <w:rPr/>
        <w:t>在资产负债表上列示的资本性支出及其他承诺：</w:t>
      </w:r>
    </w:p>
    <w:p>
      <w:pPr>
        <w:spacing w:line="240" w:lineRule="auto" w:before="9"/>
        <w:rPr>
          <w:rFonts w:ascii="宋体" w:hAnsi="宋体" w:cs="宋体" w:eastAsia="宋体" w:hint="default"/>
          <w:sz w:val="14"/>
          <w:szCs w:val="14"/>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房屋、建筑物及机器设备</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18,381,377,506</w:t>
            </w:r>
            <w:r>
              <w:rPr>
                <w:rFonts w:ascii="宋体"/>
                <w:sz w:val="16"/>
              </w:rPr>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13,084,194,399</w:t>
            </w:r>
            <w:r>
              <w:rPr>
                <w:rFonts w:ascii="宋体"/>
                <w:sz w:val="16"/>
              </w:rPr>
            </w:r>
          </w:p>
        </w:tc>
      </w:tr>
    </w:tbl>
    <w:p>
      <w:pPr>
        <w:spacing w:line="240" w:lineRule="auto" w:before="1"/>
        <w:rPr>
          <w:rFonts w:ascii="宋体" w:hAnsi="宋体" w:cs="宋体" w:eastAsia="宋体" w:hint="default"/>
          <w:sz w:val="15"/>
          <w:szCs w:val="15"/>
        </w:rPr>
      </w:pPr>
    </w:p>
    <w:p>
      <w:pPr>
        <w:pStyle w:val="BodyText"/>
        <w:spacing w:line="480" w:lineRule="auto" w:before="31"/>
        <w:ind w:left="453" w:right="432" w:hanging="341"/>
        <w:jc w:val="left"/>
      </w:pPr>
      <w:r>
        <w:rPr/>
        <w:t>(b)</w:t>
      </w:r>
      <w:r>
        <w:rPr>
          <w:spacing w:val="48"/>
        </w:rPr>
        <w:t> </w:t>
      </w:r>
      <w:r>
        <w:rPr/>
        <w:t>经营租赁及其他承诺事项</w:t>
      </w:r>
      <w:r>
        <w:rPr/>
        <w:t> 根据已签订的不可撤销的经营性租赁合同和其他承诺，本集团未来最低应支付租金及其他承诺付款金额汇总如下：</w:t>
      </w:r>
    </w:p>
    <w:p>
      <w:pPr>
        <w:spacing w:line="240" w:lineRule="auto" w:before="7"/>
        <w:rPr>
          <w:rFonts w:ascii="宋体" w:hAnsi="宋体" w:cs="宋体" w:eastAsia="宋体" w:hint="default"/>
          <w:sz w:val="3"/>
          <w:szCs w:val="3"/>
        </w:rPr>
      </w:pPr>
    </w:p>
    <w:tbl>
      <w:tblPr>
        <w:tblW w:w="0" w:type="auto"/>
        <w:jc w:val="left"/>
        <w:tblInd w:w="43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w w:val="105"/>
                <w:sz w:val="16"/>
                <w:szCs w:val="16"/>
              </w:rPr>
              <w:t>1</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年以内</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12,824,808,017</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19,130,582,848</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pacing w:val="28"/>
                <w:w w:val="105"/>
                <w:sz w:val="16"/>
                <w:szCs w:val="16"/>
              </w:rPr>
              <w:t>1到2年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13,517,860,243</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15,741,517,352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pacing w:val="28"/>
                <w:w w:val="105"/>
                <w:sz w:val="16"/>
                <w:szCs w:val="16"/>
              </w:rPr>
              <w:t>2到3年</w:t>
            </w:r>
            <w:r>
              <w:rPr>
                <w:rFonts w:ascii="宋体" w:hAnsi="宋体" w:cs="宋体" w:eastAsia="宋体" w:hint="default"/>
                <w:spacing w:val="-40"/>
                <w:sz w:val="16"/>
                <w:szCs w:val="16"/>
              </w:rPr>
              <w:t> </w:t>
            </w:r>
            <w:r>
              <w:rPr>
                <w:rFonts w:ascii="宋体" w:hAnsi="宋体" w:cs="宋体" w:eastAsia="宋体" w:hint="default"/>
                <w:sz w:val="16"/>
                <w:szCs w:val="16"/>
              </w:rPr>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12,780,849,755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10,552,967,011</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w w:val="105"/>
                <w:sz w:val="16"/>
                <w:szCs w:val="16"/>
              </w:rPr>
              <w:t>3</w:t>
            </w:r>
            <w:r>
              <w:rPr>
                <w:rFonts w:ascii="宋体" w:hAnsi="宋体" w:cs="宋体" w:eastAsia="宋体" w:hint="default"/>
                <w:spacing w:val="-65"/>
                <w:w w:val="105"/>
                <w:sz w:val="16"/>
                <w:szCs w:val="16"/>
              </w:rPr>
              <w:t> </w:t>
            </w:r>
            <w:r>
              <w:rPr>
                <w:rFonts w:ascii="宋体" w:hAnsi="宋体" w:cs="宋体" w:eastAsia="宋体" w:hint="default"/>
                <w:w w:val="105"/>
                <w:sz w:val="16"/>
                <w:szCs w:val="16"/>
              </w:rPr>
              <w:t>年以上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5"/>
                <w:sz w:val="16"/>
              </w:rPr>
              <w:t>15,627,377,547</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4,263,978,565</w:t>
            </w:r>
            <w:r>
              <w:rPr>
                <w:rFonts w:ascii="宋体"/>
                <w:sz w:val="16"/>
              </w:rPr>
            </w:r>
          </w:p>
        </w:tc>
      </w:tr>
      <w:tr>
        <w:trPr>
          <w:trHeight w:val="405"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54,750,895,562</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49,689,045,776</w:t>
            </w:r>
            <w:r>
              <w:rPr>
                <w:rFonts w:ascii="宋体"/>
                <w:sz w:val="16"/>
              </w:rPr>
            </w:r>
          </w:p>
        </w:tc>
      </w:tr>
    </w:tbl>
    <w:p>
      <w:pPr>
        <w:spacing w:line="240" w:lineRule="auto" w:before="1"/>
        <w:rPr>
          <w:rFonts w:ascii="宋体" w:hAnsi="宋体" w:cs="宋体" w:eastAsia="宋体" w:hint="default"/>
          <w:sz w:val="15"/>
          <w:szCs w:val="15"/>
        </w:rPr>
      </w:pPr>
    </w:p>
    <w:p>
      <w:pPr>
        <w:pStyle w:val="BodyText"/>
        <w:spacing w:line="458" w:lineRule="auto" w:before="31"/>
        <w:ind w:left="113" w:right="6552" w:firstLine="340"/>
        <w:jc w:val="left"/>
      </w:pPr>
      <w:r>
        <w:rPr/>
        <w:t>注释：该承诺中不含可变租金部分。 2、</w:t>
      </w:r>
      <w:r>
        <w:rPr>
          <w:spacing w:val="-21"/>
        </w:rPr>
        <w:t> </w:t>
      </w:r>
      <w:r>
        <w:rPr/>
        <w:t>或有事项</w:t>
      </w:r>
    </w:p>
    <w:p>
      <w:pPr>
        <w:pStyle w:val="BodyText"/>
        <w:spacing w:line="240" w:lineRule="auto" w:before="71"/>
        <w:ind w:left="453" w:right="0"/>
        <w:jc w:val="left"/>
      </w:pPr>
      <w:r>
        <w:rPr>
          <w:w w:val="105"/>
        </w:rPr>
        <w:t>于</w:t>
      </w:r>
      <w:r>
        <w:rPr>
          <w:spacing w:val="-68"/>
          <w:w w:val="105"/>
        </w:rPr>
        <w:t> </w:t>
      </w:r>
      <w:r>
        <w:rPr>
          <w:w w:val="105"/>
        </w:rPr>
        <w:t>2018</w:t>
      </w:r>
      <w:r>
        <w:rPr>
          <w:spacing w:val="-69"/>
          <w:w w:val="105"/>
        </w:rPr>
        <w:t> </w:t>
      </w:r>
      <w:r>
        <w:rPr>
          <w:w w:val="105"/>
        </w:rPr>
        <w:t>年</w:t>
      </w:r>
      <w:r>
        <w:rPr>
          <w:spacing w:val="-68"/>
          <w:w w:val="105"/>
        </w:rPr>
        <w:t> </w:t>
      </w:r>
      <w:r>
        <w:rPr>
          <w:w w:val="105"/>
        </w:rPr>
        <w:t>12</w:t>
      </w:r>
      <w:r>
        <w:rPr>
          <w:spacing w:val="-69"/>
          <w:w w:val="105"/>
        </w:rPr>
        <w:t> </w:t>
      </w:r>
      <w:r>
        <w:rPr>
          <w:w w:val="105"/>
        </w:rPr>
        <w:t>月</w:t>
      </w:r>
      <w:r>
        <w:rPr>
          <w:spacing w:val="-68"/>
          <w:w w:val="105"/>
        </w:rPr>
        <w:t> </w:t>
      </w:r>
      <w:r>
        <w:rPr>
          <w:w w:val="105"/>
        </w:rPr>
        <w:t>31</w:t>
      </w:r>
      <w:r>
        <w:rPr>
          <w:spacing w:val="-69"/>
          <w:w w:val="105"/>
        </w:rPr>
        <w:t> </w:t>
      </w:r>
      <w:r>
        <w:rPr>
          <w:w w:val="105"/>
        </w:rPr>
        <w:t>日，本集团没有重大或有事项。</w:t>
      </w:r>
    </w:p>
    <w:p>
      <w:pPr>
        <w:spacing w:after="0" w:line="240" w:lineRule="auto"/>
        <w:jc w:val="left"/>
        <w:sectPr>
          <w:pgSz w:w="11910" w:h="16160"/>
          <w:pgMar w:header="1200" w:footer="320" w:top="2120" w:bottom="520" w:left="6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87"/>
        <w:jc w:val="left"/>
        <w:rPr>
          <w:rFonts w:ascii="宋体" w:hAnsi="宋体" w:cs="宋体" w:eastAsia="宋体" w:hint="default"/>
        </w:rPr>
      </w:pPr>
      <w:r>
        <w:rPr>
          <w:rFonts w:ascii="宋体" w:hAnsi="宋体" w:cs="宋体" w:eastAsia="宋体" w:hint="default"/>
          <w:color w:val="9F8958"/>
        </w:rPr>
        <w:t>十二、股份支付</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87"/>
        <w:jc w:val="left"/>
      </w:pPr>
      <w:r>
        <w:rPr/>
        <w:t>1、</w:t>
      </w:r>
      <w:r>
        <w:rPr>
          <w:spacing w:val="-21"/>
        </w:rPr>
        <w:t> </w:t>
      </w:r>
      <w:r>
        <w:rPr/>
        <w:t>股份支付总体情况</w:t>
      </w:r>
    </w:p>
    <w:p>
      <w:pPr>
        <w:spacing w:line="240" w:lineRule="auto" w:before="10"/>
        <w:rPr>
          <w:rFonts w:ascii="宋体" w:hAnsi="宋体" w:cs="宋体" w:eastAsia="宋体" w:hint="default"/>
          <w:sz w:val="14"/>
          <w:szCs w:val="14"/>
        </w:rPr>
      </w:pPr>
    </w:p>
    <w:p>
      <w:pPr>
        <w:spacing w:before="41"/>
        <w:ind w:left="0" w:right="305" w:firstLine="0"/>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070;height:2" coordorigin="3044,20" coordsize="1070,2">
              <v:shape style="position:absolute;left:3044;top:20;width:1070;height:2" coordorigin="3044,20" coordsize="1070,0" path="m3044,20l4113,20e" filled="false" stroked="true" strokeweight="2pt" strokecolor="#9f8958">
                <v:path arrowok="t"/>
              </v:shape>
            </v:group>
            <v:group style="position:absolute;left:4113;top:20;width:2603;height:2" coordorigin="4113,20" coordsize="2603,2">
              <v:shape style="position:absolute;left:4113;top:20;width:2603;height:2" coordorigin="4113,20" coordsize="2603,0" path="m4113,20l6715,20e" filled="false" stroked="true" strokeweight="2pt" strokecolor="#9f8958">
                <v:path arrowok="t"/>
              </v:shape>
            </v:group>
            <v:group style="position:absolute;left:6715;top:20;width:2603;height:2" coordorigin="6715,20" coordsize="2603,2">
              <v:shape style="position:absolute;left:6715;top:20;width:2603;height:2" coordorigin="6715,20" coordsize="2603,0" path="m6715,20l9318,20e" filled="false" stroked="true" strokeweight="2pt" strokecolor="#9f8958">
                <v:path arrowok="t"/>
              </v:shape>
            </v:group>
          </v:group>
        </w:pict>
      </w:r>
      <w:r>
        <w:rPr>
          <w:rFonts w:ascii="宋体" w:hAnsi="宋体" w:cs="宋体" w:eastAsia="宋体" w:hint="default"/>
          <w:position w:val="0"/>
          <w:sz w:val="4"/>
          <w:szCs w:val="4"/>
        </w:rPr>
      </w:r>
    </w:p>
    <w:p>
      <w:pPr>
        <w:tabs>
          <w:tab w:pos="8750" w:val="left" w:leader="none"/>
        </w:tabs>
        <w:spacing w:before="64"/>
        <w:ind w:left="567" w:right="87" w:firstLine="0"/>
        <w:jc w:val="left"/>
        <w:rPr>
          <w:rFonts w:ascii="宋体" w:hAnsi="宋体" w:cs="宋体" w:eastAsia="宋体" w:hint="default"/>
          <w:sz w:val="16"/>
          <w:szCs w:val="16"/>
        </w:rPr>
      </w:pPr>
      <w:r>
        <w:rPr>
          <w:rFonts w:ascii="宋体" w:hAnsi="宋体" w:cs="宋体" w:eastAsia="宋体" w:hint="default"/>
          <w:sz w:val="16"/>
          <w:szCs w:val="16"/>
        </w:rPr>
        <w:t>本年授予的各项权益工具总额</w:t>
        <w:tab/>
        <w:t>793,861,000</w:t>
      </w:r>
    </w:p>
    <w:p>
      <w:pPr>
        <w:tabs>
          <w:tab w:pos="9533" w:val="left" w:leader="none"/>
        </w:tabs>
        <w:spacing w:before="64"/>
        <w:ind w:left="567" w:right="87" w:firstLine="0"/>
        <w:jc w:val="left"/>
        <w:rPr>
          <w:rFonts w:ascii="宋体" w:hAnsi="宋体" w:cs="宋体" w:eastAsia="宋体" w:hint="default"/>
          <w:sz w:val="16"/>
          <w:szCs w:val="16"/>
        </w:rPr>
      </w:pPr>
      <w:r>
        <w:rPr>
          <w:rFonts w:ascii="宋体" w:hAnsi="宋体" w:cs="宋体" w:eastAsia="宋体" w:hint="default"/>
          <w:sz w:val="16"/>
          <w:szCs w:val="16"/>
        </w:rPr>
        <w:t>本年行权的各项权益工具总额</w:t>
        <w:tab/>
      </w:r>
      <w:r>
        <w:rPr>
          <w:rFonts w:ascii="宋体" w:hAnsi="宋体" w:cs="宋体" w:eastAsia="宋体" w:hint="default"/>
          <w:w w:val="115"/>
          <w:sz w:val="16"/>
          <w:szCs w:val="16"/>
        </w:rPr>
        <w:t>-</w:t>
      </w:r>
      <w:r>
        <w:rPr>
          <w:rFonts w:ascii="宋体" w:hAnsi="宋体" w:cs="宋体" w:eastAsia="宋体" w:hint="default"/>
          <w:sz w:val="16"/>
          <w:szCs w:val="16"/>
        </w:rPr>
      </w:r>
    </w:p>
    <w:p>
      <w:pPr>
        <w:tabs>
          <w:tab w:pos="9533" w:val="left" w:leader="none"/>
        </w:tabs>
        <w:spacing w:before="64"/>
        <w:ind w:left="567" w:right="87" w:firstLine="0"/>
        <w:jc w:val="left"/>
        <w:rPr>
          <w:rFonts w:ascii="宋体" w:hAnsi="宋体" w:cs="宋体" w:eastAsia="宋体" w:hint="default"/>
          <w:sz w:val="16"/>
          <w:szCs w:val="16"/>
        </w:rPr>
      </w:pPr>
      <w:r>
        <w:rPr>
          <w:rFonts w:ascii="宋体" w:hAnsi="宋体" w:cs="宋体" w:eastAsia="宋体" w:hint="default"/>
          <w:sz w:val="16"/>
          <w:szCs w:val="16"/>
        </w:rPr>
        <w:t>本年失效的各项权益工具总额</w:t>
        <w:tab/>
      </w:r>
      <w:r>
        <w:rPr>
          <w:rFonts w:ascii="宋体" w:hAnsi="宋体" w:cs="宋体" w:eastAsia="宋体" w:hint="default"/>
          <w:w w:val="115"/>
          <w:sz w:val="16"/>
          <w:szCs w:val="16"/>
        </w:rPr>
        <w:t>-</w:t>
      </w:r>
      <w:r>
        <w:rPr>
          <w:rFonts w:ascii="宋体" w:hAnsi="宋体" w:cs="宋体" w:eastAsia="宋体" w:hint="default"/>
          <w:sz w:val="16"/>
          <w:szCs w:val="16"/>
        </w:rPr>
      </w: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9pt;height:2pt;mso-position-horizontal-relative:char;mso-position-vertical-relative:line" coordorigin="0,0" coordsize="9338,40">
            <v:group style="position:absolute;left:20;top:20;width:3024;height:2" coordorigin="20,20" coordsize="3024,2">
              <v:shape style="position:absolute;left:20;top:20;width:3024;height:2" coordorigin="20,20" coordsize="3024,0" path="m20,20l3044,20e" filled="false" stroked="true" strokeweight="2pt" strokecolor="#9f8958">
                <v:path arrowok="t"/>
              </v:shape>
            </v:group>
            <v:group style="position:absolute;left:3044;top:20;width:1070;height:2" coordorigin="3044,20" coordsize="1070,2">
              <v:shape style="position:absolute;left:3044;top:20;width:1070;height:2" coordorigin="3044,20" coordsize="1070,0" path="m3044,20l4113,20e" filled="false" stroked="true" strokeweight="2pt" strokecolor="#9f8958">
                <v:path arrowok="t"/>
              </v:shape>
            </v:group>
            <v:group style="position:absolute;left:4113;top:20;width:2603;height:2" coordorigin="4113,20" coordsize="2603,2">
              <v:shape style="position:absolute;left:4113;top:20;width:2603;height:2" coordorigin="4113,20" coordsize="2603,0" path="m4113,20l6715,20e" filled="false" stroked="true" strokeweight="2pt" strokecolor="#9f8958">
                <v:path arrowok="t"/>
              </v:shape>
            </v:group>
            <v:group style="position:absolute;left:6715;top:20;width:2603;height:2" coordorigin="6715,20" coordsize="2603,2">
              <v:shape style="position:absolute;left:6715;top:20;width:2603;height:2" coordorigin="6715,20" coordsize="2603,0" path="m6715,20l931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240" w:lineRule="auto" w:before="31"/>
        <w:ind w:right="87"/>
        <w:jc w:val="left"/>
      </w:pPr>
      <w:r>
        <w:rPr/>
        <w:t>本年发生的股份支付费用如下：</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1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427"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以权益结算的股份支付</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613,920,000</w:t>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114" w:right="87"/>
        <w:jc w:val="left"/>
      </w:pPr>
      <w:r>
        <w:rPr/>
        <w:t>2、</w:t>
      </w:r>
      <w:r>
        <w:rPr>
          <w:spacing w:val="-21"/>
        </w:rPr>
        <w:t> </w:t>
      </w:r>
      <w:r>
        <w:rPr/>
        <w:t>以权益结算的股份支付情况</w:t>
      </w:r>
    </w:p>
    <w:p>
      <w:pPr>
        <w:spacing w:line="240" w:lineRule="auto" w:before="12"/>
        <w:rPr>
          <w:rFonts w:ascii="宋体" w:hAnsi="宋体" w:cs="宋体" w:eastAsia="宋体" w:hint="default"/>
          <w:sz w:val="17"/>
          <w:szCs w:val="17"/>
        </w:rPr>
      </w:pPr>
    </w:p>
    <w:p>
      <w:pPr>
        <w:pStyle w:val="BodyText"/>
        <w:spacing w:line="240" w:lineRule="auto"/>
        <w:ind w:right="0"/>
        <w:jc w:val="both"/>
      </w:pPr>
      <w:r>
        <w:rPr/>
        <w:t>于</w:t>
      </w:r>
      <w:r>
        <w:rPr>
          <w:spacing w:val="-28"/>
        </w:rPr>
        <w:t> </w:t>
      </w:r>
      <w:r>
        <w:rPr/>
        <w:t>2014</w:t>
      </w:r>
      <w:r>
        <w:rPr>
          <w:spacing w:val="-28"/>
        </w:rPr>
        <w:t> </w:t>
      </w:r>
      <w:r>
        <w:rPr/>
        <w:t>年</w:t>
      </w:r>
      <w:r>
        <w:rPr>
          <w:spacing w:val="-28"/>
        </w:rPr>
        <w:t> </w:t>
      </w:r>
      <w:r>
        <w:rPr/>
        <w:t>4</w:t>
      </w:r>
      <w:r>
        <w:rPr>
          <w:spacing w:val="-28"/>
        </w:rPr>
        <w:t> </w:t>
      </w:r>
      <w:r>
        <w:rPr/>
        <w:t>月</w:t>
      </w:r>
      <w:r>
        <w:rPr>
          <w:spacing w:val="-28"/>
        </w:rPr>
        <w:t> </w:t>
      </w:r>
      <w:r>
        <w:rPr/>
        <w:t>16</w:t>
      </w:r>
      <w:r>
        <w:rPr>
          <w:spacing w:val="-28"/>
        </w:rPr>
        <w:t> </w:t>
      </w:r>
      <w:r>
        <w:rPr/>
        <w:t>日，联通红筹公司采纳了一份新的股份期权计划（“二零一四股份期权计划”），向符合资格的联</w:t>
      </w:r>
    </w:p>
    <w:p>
      <w:pPr>
        <w:pStyle w:val="BodyText"/>
        <w:spacing w:line="240" w:lineRule="auto" w:before="44"/>
        <w:ind w:right="0"/>
        <w:jc w:val="both"/>
      </w:pPr>
      <w:r>
        <w:rPr/>
        <w:t>通红筹公司及其子公司的员工授予股份期权。二零一四股份期权计划自</w:t>
      </w:r>
      <w:r>
        <w:rPr>
          <w:spacing w:val="-28"/>
        </w:rPr>
        <w:t> </w:t>
      </w:r>
      <w:r>
        <w:rPr/>
        <w:t>2014</w:t>
      </w:r>
      <w:r>
        <w:rPr>
          <w:spacing w:val="-28"/>
        </w:rPr>
        <w:t> </w:t>
      </w:r>
      <w:r>
        <w:rPr/>
        <w:t>年</w:t>
      </w:r>
      <w:r>
        <w:rPr>
          <w:spacing w:val="-28"/>
        </w:rPr>
        <w:t> </w:t>
      </w:r>
      <w:r>
        <w:rPr/>
        <w:t>4</w:t>
      </w:r>
      <w:r>
        <w:rPr>
          <w:spacing w:val="-28"/>
        </w:rPr>
        <w:t> </w:t>
      </w:r>
      <w:r>
        <w:rPr/>
        <w:t>月</w:t>
      </w:r>
      <w:r>
        <w:rPr>
          <w:spacing w:val="-28"/>
        </w:rPr>
        <w:t> </w:t>
      </w:r>
      <w:r>
        <w:rPr/>
        <w:t>22</w:t>
      </w:r>
      <w:r>
        <w:rPr>
          <w:spacing w:val="-28"/>
        </w:rPr>
        <w:t> </w:t>
      </w:r>
      <w:r>
        <w:rPr/>
        <w:t>日起生效，为期十年，并将于</w:t>
      </w:r>
    </w:p>
    <w:p>
      <w:pPr>
        <w:pStyle w:val="BodyText"/>
        <w:spacing w:line="240" w:lineRule="auto" w:before="44"/>
        <w:ind w:right="0"/>
        <w:jc w:val="both"/>
      </w:pPr>
      <w:r>
        <w:rPr/>
        <w:t>2024</w:t>
      </w:r>
      <w:r>
        <w:rPr>
          <w:spacing w:val="-33"/>
        </w:rPr>
        <w:t> </w:t>
      </w:r>
      <w:r>
        <w:rPr/>
        <w:t>年</w:t>
      </w:r>
      <w:r>
        <w:rPr>
          <w:spacing w:val="-31"/>
        </w:rPr>
        <w:t> </w:t>
      </w:r>
      <w:r>
        <w:rPr/>
        <w:t>4</w:t>
      </w:r>
      <w:r>
        <w:rPr>
          <w:spacing w:val="-33"/>
        </w:rPr>
        <w:t> </w:t>
      </w:r>
      <w:r>
        <w:rPr/>
        <w:t>月</w:t>
      </w:r>
      <w:r>
        <w:rPr>
          <w:spacing w:val="-31"/>
        </w:rPr>
        <w:t> </w:t>
      </w:r>
      <w:r>
        <w:rPr/>
        <w:t>22</w:t>
      </w:r>
      <w:r>
        <w:rPr>
          <w:spacing w:val="-33"/>
        </w:rPr>
        <w:t> </w:t>
      </w:r>
      <w:r>
        <w:rPr/>
        <w:t>日期满。自采纳二零一四股份期权计划后，并无授出任何股份期权。</w:t>
      </w:r>
    </w:p>
    <w:p>
      <w:pPr>
        <w:spacing w:line="240" w:lineRule="auto" w:before="5"/>
        <w:rPr>
          <w:rFonts w:ascii="宋体" w:hAnsi="宋体" w:cs="宋体" w:eastAsia="宋体" w:hint="default"/>
          <w:sz w:val="16"/>
          <w:szCs w:val="16"/>
        </w:rPr>
      </w:pPr>
    </w:p>
    <w:p>
      <w:pPr>
        <w:pStyle w:val="BodyText"/>
        <w:spacing w:line="285" w:lineRule="auto"/>
        <w:ind w:right="185"/>
        <w:jc w:val="both"/>
      </w:pPr>
      <w:r>
        <w:rPr>
          <w:w w:val="105"/>
        </w:rPr>
        <w:t>根据</w:t>
      </w:r>
      <w:r>
        <w:rPr>
          <w:spacing w:val="-67"/>
          <w:w w:val="105"/>
        </w:rPr>
        <w:t> </w:t>
      </w:r>
      <w:r>
        <w:rPr>
          <w:w w:val="105"/>
        </w:rPr>
        <w:t>2018</w:t>
      </w:r>
      <w:r>
        <w:rPr>
          <w:spacing w:val="-67"/>
          <w:w w:val="105"/>
        </w:rPr>
        <w:t> </w:t>
      </w:r>
      <w:r>
        <w:rPr>
          <w:w w:val="105"/>
        </w:rPr>
        <w:t>年</w:t>
      </w:r>
      <w:r>
        <w:rPr>
          <w:spacing w:val="-67"/>
          <w:w w:val="105"/>
        </w:rPr>
        <w:t> </w:t>
      </w:r>
      <w:r>
        <w:rPr>
          <w:w w:val="105"/>
        </w:rPr>
        <w:t>2</w:t>
      </w:r>
      <w:r>
        <w:rPr>
          <w:spacing w:val="-67"/>
          <w:w w:val="105"/>
        </w:rPr>
        <w:t> </w:t>
      </w:r>
      <w:r>
        <w:rPr>
          <w:w w:val="105"/>
        </w:rPr>
        <w:t>月</w:t>
      </w:r>
      <w:r>
        <w:rPr>
          <w:spacing w:val="-67"/>
          <w:w w:val="105"/>
        </w:rPr>
        <w:t> </w:t>
      </w:r>
      <w:r>
        <w:rPr>
          <w:w w:val="105"/>
        </w:rPr>
        <w:t>28</w:t>
      </w:r>
      <w:r>
        <w:rPr>
          <w:spacing w:val="-67"/>
          <w:w w:val="105"/>
        </w:rPr>
        <w:t> </w:t>
      </w:r>
      <w:r>
        <w:rPr>
          <w:w w:val="105"/>
        </w:rPr>
        <w:t>日召开的</w:t>
      </w:r>
      <w:r>
        <w:rPr>
          <w:spacing w:val="-67"/>
          <w:w w:val="105"/>
        </w:rPr>
        <w:t> </w:t>
      </w:r>
      <w:r>
        <w:rPr>
          <w:w w:val="105"/>
        </w:rPr>
        <w:t>2018</w:t>
      </w:r>
      <w:r>
        <w:rPr>
          <w:spacing w:val="-67"/>
          <w:w w:val="105"/>
        </w:rPr>
        <w:t> </w:t>
      </w:r>
      <w:r>
        <w:rPr>
          <w:w w:val="105"/>
        </w:rPr>
        <w:t>年第二次临时股东大会批准及授权，本公司于</w:t>
      </w:r>
      <w:r>
        <w:rPr>
          <w:spacing w:val="-67"/>
          <w:w w:val="105"/>
        </w:rPr>
        <w:t> </w:t>
      </w:r>
      <w:r>
        <w:rPr>
          <w:w w:val="105"/>
        </w:rPr>
        <w:t>2018</w:t>
      </w:r>
      <w:r>
        <w:rPr>
          <w:spacing w:val="-67"/>
          <w:w w:val="105"/>
        </w:rPr>
        <w:t> </w:t>
      </w:r>
      <w:r>
        <w:rPr>
          <w:w w:val="105"/>
        </w:rPr>
        <w:t>年</w:t>
      </w:r>
      <w:r>
        <w:rPr>
          <w:spacing w:val="-67"/>
          <w:w w:val="105"/>
        </w:rPr>
        <w:t> </w:t>
      </w:r>
      <w:r>
        <w:rPr>
          <w:w w:val="105"/>
        </w:rPr>
        <w:t>3</w:t>
      </w:r>
      <w:r>
        <w:rPr>
          <w:spacing w:val="-67"/>
          <w:w w:val="105"/>
        </w:rPr>
        <w:t> </w:t>
      </w:r>
      <w:r>
        <w:rPr>
          <w:w w:val="105"/>
        </w:rPr>
        <w:t>月</w:t>
      </w:r>
      <w:r>
        <w:rPr>
          <w:spacing w:val="-67"/>
          <w:w w:val="105"/>
        </w:rPr>
        <w:t> </w:t>
      </w:r>
      <w:r>
        <w:rPr>
          <w:w w:val="105"/>
        </w:rPr>
        <w:t>15</w:t>
      </w:r>
      <w:r>
        <w:rPr>
          <w:spacing w:val="-67"/>
          <w:w w:val="105"/>
        </w:rPr>
        <w:t> </w:t>
      </w:r>
      <w:r>
        <w:rPr>
          <w:w w:val="105"/>
        </w:rPr>
        <w:t>日召开第六届董事</w:t>
      </w:r>
      <w:r>
        <w:rPr/>
        <w:t> 会第二次会议，审议批准实施限制性股票激励计划。该限制性股票激励计划授予的限制性股票来源为本公司向激励对</w:t>
      </w:r>
      <w:r>
        <w:rPr>
          <w:spacing w:val="7"/>
        </w:rPr>
        <w:t> </w:t>
      </w:r>
      <w:r>
        <w:rPr>
          <w:spacing w:val="7"/>
        </w:rPr>
      </w:r>
      <w:r>
        <w:rPr/>
        <w:t>象定向发行的</w:t>
      </w:r>
      <w:r>
        <w:rPr>
          <w:spacing w:val="-43"/>
        </w:rPr>
        <w:t> </w:t>
      </w:r>
      <w:r>
        <w:rPr/>
        <w:t>A</w:t>
      </w:r>
      <w:r>
        <w:rPr>
          <w:spacing w:val="-43"/>
        </w:rPr>
        <w:t> </w:t>
      </w:r>
      <w:r>
        <w:rPr/>
        <w:t>股普通股股票，首次授予的授予日为</w:t>
      </w:r>
      <w:r>
        <w:rPr>
          <w:spacing w:val="-43"/>
        </w:rPr>
        <w:t> </w:t>
      </w:r>
      <w:r>
        <w:rPr/>
        <w:t>2018</w:t>
      </w:r>
      <w:r>
        <w:rPr>
          <w:spacing w:val="-44"/>
        </w:rPr>
        <w:t> </w:t>
      </w:r>
      <w:r>
        <w:rPr/>
        <w:t>年</w:t>
      </w:r>
      <w:r>
        <w:rPr>
          <w:spacing w:val="-43"/>
        </w:rPr>
        <w:t> </w:t>
      </w:r>
      <w:r>
        <w:rPr/>
        <w:t>3</w:t>
      </w:r>
      <w:r>
        <w:rPr>
          <w:spacing w:val="-44"/>
        </w:rPr>
        <w:t> </w:t>
      </w:r>
      <w:r>
        <w:rPr/>
        <w:t>月</w:t>
      </w:r>
      <w:r>
        <w:rPr>
          <w:spacing w:val="-43"/>
        </w:rPr>
        <w:t> </w:t>
      </w:r>
      <w:r>
        <w:rPr/>
        <w:t>21</w:t>
      </w:r>
      <w:r>
        <w:rPr>
          <w:spacing w:val="-44"/>
        </w:rPr>
        <w:t> </w:t>
      </w:r>
      <w:r>
        <w:rPr/>
        <w:t>日，激励对象的认购价格为人民币</w:t>
      </w:r>
      <w:r>
        <w:rPr>
          <w:spacing w:val="-43"/>
        </w:rPr>
        <w:t> </w:t>
      </w:r>
      <w:r>
        <w:rPr/>
        <w:t>3.79</w:t>
      </w:r>
      <w:r>
        <w:rPr>
          <w:spacing w:val="-44"/>
        </w:rPr>
        <w:t> </w:t>
      </w:r>
      <w:r>
        <w:rPr/>
        <w:t>元</w:t>
      </w:r>
      <w:r>
        <w:rPr>
          <w:spacing w:val="-43"/>
        </w:rPr>
        <w:t> </w:t>
      </w:r>
      <w:r>
        <w:rPr>
          <w:w w:val="95"/>
        </w:rPr>
        <w:t>/</w:t>
      </w:r>
      <w:r>
        <w:rPr>
          <w:spacing w:val="-38"/>
          <w:w w:val="95"/>
        </w:rPr>
        <w:t> </w:t>
      </w:r>
      <w:r>
        <w:rPr/>
        <w:t>股。</w:t>
      </w:r>
    </w:p>
    <w:p>
      <w:pPr>
        <w:pStyle w:val="BodyText"/>
        <w:spacing w:line="240" w:lineRule="auto" w:before="10"/>
        <w:ind w:right="0"/>
        <w:jc w:val="both"/>
      </w:pPr>
      <w:r>
        <w:rPr/>
        <w:t>于</w:t>
      </w:r>
      <w:r>
        <w:rPr>
          <w:spacing w:val="-36"/>
        </w:rPr>
        <w:t> </w:t>
      </w:r>
      <w:r>
        <w:rPr/>
        <w:t>2018</w:t>
      </w:r>
      <w:r>
        <w:rPr>
          <w:spacing w:val="-38"/>
        </w:rPr>
        <w:t> </w:t>
      </w:r>
      <w:r>
        <w:rPr/>
        <w:t>年</w:t>
      </w:r>
      <w:r>
        <w:rPr>
          <w:spacing w:val="-36"/>
        </w:rPr>
        <w:t> </w:t>
      </w:r>
      <w:r>
        <w:rPr/>
        <w:t>4</w:t>
      </w:r>
      <w:r>
        <w:rPr>
          <w:spacing w:val="-36"/>
        </w:rPr>
        <w:t> </w:t>
      </w:r>
      <w:r>
        <w:rPr/>
        <w:t>月</w:t>
      </w:r>
      <w:r>
        <w:rPr>
          <w:spacing w:val="-36"/>
        </w:rPr>
        <w:t> </w:t>
      </w:r>
      <w:r>
        <w:rPr/>
        <w:t>9</w:t>
      </w:r>
      <w:r>
        <w:rPr>
          <w:spacing w:val="-36"/>
        </w:rPr>
        <w:t> </w:t>
      </w:r>
      <w:r>
        <w:rPr/>
        <w:t>日，首次授予工作已实施完成，实际授予人数为</w:t>
      </w:r>
      <w:r>
        <w:rPr>
          <w:spacing w:val="-36"/>
        </w:rPr>
        <w:t> </w:t>
      </w:r>
      <w:r>
        <w:rPr/>
        <w:t>7,752</w:t>
      </w:r>
      <w:r>
        <w:rPr>
          <w:spacing w:val="-38"/>
        </w:rPr>
        <w:t> </w:t>
      </w:r>
      <w:r>
        <w:rPr/>
        <w:t>人，授予数量为</w:t>
      </w:r>
      <w:r>
        <w:rPr>
          <w:spacing w:val="-36"/>
        </w:rPr>
        <w:t> </w:t>
      </w:r>
      <w:r>
        <w:rPr/>
        <w:t>793,861,000</w:t>
      </w:r>
      <w:r>
        <w:rPr>
          <w:spacing w:val="-38"/>
        </w:rPr>
        <w:t> </w:t>
      </w:r>
      <w:r>
        <w:rPr/>
        <w:t>股。于</w:t>
      </w:r>
      <w:r>
        <w:rPr>
          <w:spacing w:val="-36"/>
        </w:rPr>
        <w:t> </w:t>
      </w:r>
      <w:r>
        <w:rPr/>
        <w:t>2019</w:t>
      </w:r>
      <w:r>
        <w:rPr>
          <w:spacing w:val="-38"/>
        </w:rPr>
        <w:t> </w:t>
      </w:r>
      <w:r>
        <w:rPr/>
        <w:t>年</w:t>
      </w:r>
    </w:p>
    <w:p>
      <w:pPr>
        <w:pStyle w:val="BodyText"/>
        <w:spacing w:line="285" w:lineRule="auto" w:before="44"/>
        <w:ind w:right="185"/>
        <w:jc w:val="both"/>
      </w:pPr>
      <w:r>
        <w:rPr>
          <w:w w:val="111"/>
        </w:rPr>
        <w:t>2</w:t>
      </w:r>
      <w:r>
        <w:rPr>
          <w:spacing w:val="-51"/>
          <w:w w:val="111"/>
        </w:rPr>
        <w:t> </w:t>
      </w:r>
      <w:r>
        <w:rPr/>
        <w:t>月</w:t>
      </w:r>
      <w:r>
        <w:rPr>
          <w:spacing w:val="-41"/>
        </w:rPr>
        <w:t> </w:t>
      </w:r>
      <w:r>
        <w:rPr>
          <w:w w:val="111"/>
        </w:rPr>
        <w:t>1</w:t>
      </w:r>
      <w:r>
        <w:rPr>
          <w:spacing w:val="-51"/>
          <w:w w:val="111"/>
        </w:rPr>
        <w:t> </w:t>
      </w:r>
      <w:r>
        <w:rPr>
          <w:spacing w:val="1"/>
        </w:rPr>
        <w:t>日，向</w:t>
      </w:r>
      <w:r>
        <w:rPr>
          <w:spacing w:val="-41"/>
        </w:rPr>
        <w:t> </w:t>
      </w:r>
      <w:r>
        <w:rPr>
          <w:spacing w:val="-1"/>
          <w:w w:val="111"/>
        </w:rPr>
        <w:t>198</w:t>
      </w:r>
      <w:r>
        <w:rPr>
          <w:spacing w:val="-51"/>
          <w:w w:val="111"/>
        </w:rPr>
        <w:t> </w:t>
      </w:r>
      <w:r>
        <w:rPr>
          <w:spacing w:val="2"/>
        </w:rPr>
        <w:t>名公司核心管理人才及专业人才授予了</w:t>
      </w:r>
      <w:r>
        <w:rPr>
          <w:spacing w:val="-41"/>
        </w:rPr>
        <w:t> </w:t>
      </w:r>
      <w:r>
        <w:rPr>
          <w:spacing w:val="-1"/>
          <w:w w:val="95"/>
        </w:rPr>
        <w:t>1,356.3</w:t>
      </w:r>
      <w:r>
        <w:rPr>
          <w:spacing w:val="-37"/>
          <w:w w:val="95"/>
        </w:rPr>
        <w:t> </w:t>
      </w:r>
      <w:r>
        <w:rPr>
          <w:spacing w:val="2"/>
        </w:rPr>
        <w:t>万股预留限制性人民币普通股股票，授予价格为人</w:t>
      </w:r>
      <w:r>
        <w:rPr>
          <w:spacing w:val="-85"/>
        </w:rPr>
        <w:t> </w:t>
      </w:r>
      <w:r>
        <w:rPr>
          <w:spacing w:val="-85"/>
        </w:rPr>
      </w:r>
      <w:r>
        <w:rPr/>
        <w:t>民币</w:t>
      </w:r>
      <w:r>
        <w:rPr>
          <w:spacing w:val="-57"/>
        </w:rPr>
        <w:t> </w:t>
      </w:r>
      <w:r>
        <w:rPr/>
        <w:t>3.79</w:t>
      </w:r>
      <w:r>
        <w:rPr>
          <w:spacing w:val="-58"/>
        </w:rPr>
        <w:t> </w:t>
      </w:r>
      <w:r>
        <w:rPr/>
        <w:t>元</w:t>
      </w:r>
      <w:r>
        <w:rPr>
          <w:spacing w:val="-57"/>
        </w:rPr>
        <w:t> </w:t>
      </w:r>
      <w:r>
        <w:rPr>
          <w:w w:val="95"/>
        </w:rPr>
        <w:t>/</w:t>
      </w:r>
      <w:r>
        <w:rPr>
          <w:spacing w:val="-53"/>
          <w:w w:val="95"/>
        </w:rPr>
        <w:t> </w:t>
      </w:r>
      <w:r>
        <w:rPr/>
        <w:t>股。</w:t>
      </w:r>
    </w:p>
    <w:p>
      <w:pPr>
        <w:spacing w:line="240" w:lineRule="auto" w:before="10"/>
        <w:rPr>
          <w:rFonts w:ascii="宋体" w:hAnsi="宋体" w:cs="宋体" w:eastAsia="宋体" w:hint="default"/>
          <w:sz w:val="13"/>
          <w:szCs w:val="13"/>
        </w:rPr>
      </w:pPr>
    </w:p>
    <w:p>
      <w:pPr>
        <w:pStyle w:val="BodyText"/>
        <w:spacing w:line="240" w:lineRule="auto"/>
        <w:ind w:right="0"/>
        <w:jc w:val="both"/>
      </w:pPr>
      <w:r>
        <w:rPr/>
        <w:t>根据限制性股票激励计划首期授予方案（草案修订稿）的规定，限制性股票自登记完成之日起 24</w:t>
      </w:r>
      <w:r>
        <w:rPr>
          <w:spacing w:val="-72"/>
        </w:rPr>
        <w:t> </w:t>
      </w:r>
      <w:r>
        <w:rPr/>
        <w:t>个月内为限售期。在</w:t>
      </w:r>
    </w:p>
    <w:p>
      <w:pPr>
        <w:pStyle w:val="BodyText"/>
        <w:spacing w:line="285" w:lineRule="auto" w:before="44"/>
        <w:ind w:right="190"/>
        <w:jc w:val="both"/>
      </w:pPr>
      <w:r>
        <w:rPr/>
        <w:t>限售期内，限制性股票予以限售，不得转让、不得用于担保或偿还债务；自登记完成之日起满 24</w:t>
      </w:r>
      <w:r>
        <w:rPr>
          <w:spacing w:val="-67"/>
        </w:rPr>
        <w:t> </w:t>
      </w:r>
      <w:r>
        <w:rPr/>
        <w:t>个月后分三期解锁，</w:t>
      </w:r>
      <w:r>
        <w:rPr/>
        <w:t> </w:t>
      </w:r>
      <w:r>
        <w:rPr>
          <w:spacing w:val="2"/>
          <w:w w:val="105"/>
        </w:rPr>
        <w:t>每期解锁的比例分别为</w:t>
      </w:r>
      <w:r>
        <w:rPr>
          <w:spacing w:val="-55"/>
          <w:w w:val="105"/>
        </w:rPr>
        <w:t> </w:t>
      </w:r>
      <w:r>
        <w:rPr>
          <w:w w:val="105"/>
        </w:rPr>
        <w:t>40%、30%</w:t>
      </w:r>
      <w:r>
        <w:rPr>
          <w:spacing w:val="-55"/>
          <w:w w:val="105"/>
        </w:rPr>
        <w:t> </w:t>
      </w:r>
      <w:r>
        <w:rPr>
          <w:w w:val="105"/>
        </w:rPr>
        <w:t>和</w:t>
      </w:r>
      <w:r>
        <w:rPr>
          <w:spacing w:val="-55"/>
          <w:w w:val="105"/>
        </w:rPr>
        <w:t> </w:t>
      </w:r>
      <w:r>
        <w:rPr>
          <w:spacing w:val="2"/>
          <w:w w:val="105"/>
        </w:rPr>
        <w:t>30%，对应的解锁日自授予日起约为</w:t>
      </w:r>
      <w:r>
        <w:rPr>
          <w:spacing w:val="-55"/>
          <w:w w:val="105"/>
        </w:rPr>
        <w:t> </w:t>
      </w:r>
      <w:r>
        <w:rPr>
          <w:w w:val="105"/>
        </w:rPr>
        <w:t>2</w:t>
      </w:r>
      <w:r>
        <w:rPr>
          <w:spacing w:val="-55"/>
          <w:w w:val="105"/>
        </w:rPr>
        <w:t> </w:t>
      </w:r>
      <w:r>
        <w:rPr>
          <w:w w:val="105"/>
        </w:rPr>
        <w:t>年、3</w:t>
      </w:r>
      <w:r>
        <w:rPr>
          <w:spacing w:val="-55"/>
          <w:w w:val="105"/>
        </w:rPr>
        <w:t> </w:t>
      </w:r>
      <w:r>
        <w:rPr>
          <w:w w:val="105"/>
        </w:rPr>
        <w:t>年和</w:t>
      </w:r>
      <w:r>
        <w:rPr>
          <w:spacing w:val="-55"/>
          <w:w w:val="105"/>
        </w:rPr>
        <w:t> </w:t>
      </w:r>
      <w:r>
        <w:rPr>
          <w:w w:val="105"/>
        </w:rPr>
        <w:t>4</w:t>
      </w:r>
      <w:r>
        <w:rPr>
          <w:spacing w:val="-55"/>
          <w:w w:val="105"/>
        </w:rPr>
        <w:t> </w:t>
      </w:r>
      <w:r>
        <w:rPr>
          <w:spacing w:val="2"/>
          <w:w w:val="105"/>
        </w:rPr>
        <w:t>年。实际可解锁数量应与</w:t>
      </w:r>
      <w:r>
        <w:rPr>
          <w:spacing w:val="3"/>
        </w:rPr>
        <w:t> </w:t>
      </w:r>
      <w:r>
        <w:rPr>
          <w:w w:val="105"/>
        </w:rPr>
        <w:t>上一年度绩效评价结果挂钩。</w:t>
      </w:r>
    </w:p>
    <w:p>
      <w:pPr>
        <w:spacing w:line="240" w:lineRule="auto" w:before="10"/>
        <w:rPr>
          <w:rFonts w:ascii="宋体" w:hAnsi="宋体" w:cs="宋体" w:eastAsia="宋体" w:hint="default"/>
          <w:sz w:val="13"/>
          <w:szCs w:val="13"/>
        </w:rPr>
      </w:pPr>
    </w:p>
    <w:p>
      <w:pPr>
        <w:pStyle w:val="BodyText"/>
        <w:spacing w:line="285" w:lineRule="auto"/>
        <w:ind w:right="185"/>
        <w:jc w:val="both"/>
      </w:pPr>
      <w:r>
        <w:rPr/>
        <w:t>上述限制性股票在本公司业绩满足相应条件时，依据激励对象所在单位的经营业绩和激励对象价值贡献确定解锁当年</w:t>
      </w:r>
      <w:r>
        <w:rPr>
          <w:spacing w:val="9"/>
        </w:rPr>
        <w:t> </w:t>
      </w:r>
      <w:r>
        <w:rPr>
          <w:spacing w:val="9"/>
        </w:rPr>
      </w:r>
      <w:r>
        <w:rPr/>
        <w:t>业绩贡献匹配档次，据此差异化确定当期解锁例。其中，公司业绩条件包括主营业务收入、利润总额等。若达到当期</w:t>
      </w:r>
      <w:r>
        <w:rPr>
          <w:spacing w:val="1"/>
        </w:rPr>
        <w:t> </w:t>
      </w:r>
      <w:r>
        <w:rPr>
          <w:spacing w:val="1"/>
        </w:rPr>
      </w:r>
      <w:r>
        <w:rPr/>
        <w:t>限制性股票的解锁条件，激励对象可以对其当期通过本计划解锁的限制性股票依法转让（激励对象是董事和高级管理</w:t>
      </w:r>
      <w:r>
        <w:rPr>
          <w:spacing w:val="7"/>
        </w:rPr>
        <w:t> </w:t>
      </w:r>
      <w:r>
        <w:rPr>
          <w:spacing w:val="7"/>
        </w:rPr>
      </w:r>
      <w:r>
        <w:rPr/>
        <w:t>人员的，转让股份还应符合《公司法》相关规定）；若未达到本计划规定的限制性股票解锁条件，激励对象当期不得</w:t>
      </w:r>
      <w:r>
        <w:rPr>
          <w:spacing w:val="1"/>
        </w:rPr>
        <w:t> </w:t>
      </w:r>
      <w:r>
        <w:rPr>
          <w:spacing w:val="1"/>
        </w:rPr>
      </w:r>
      <w:r>
        <w:rPr/>
        <w:t>解锁限制性股票，由公司按照激励对象的授予价格调整已发放现金股利等事项后的价格进行回购。</w:t>
      </w:r>
    </w:p>
    <w:p>
      <w:pPr>
        <w:spacing w:line="240" w:lineRule="auto" w:before="10"/>
        <w:rPr>
          <w:rFonts w:ascii="宋体" w:hAnsi="宋体" w:cs="宋体" w:eastAsia="宋体" w:hint="default"/>
          <w:sz w:val="13"/>
          <w:szCs w:val="13"/>
        </w:rPr>
      </w:pPr>
    </w:p>
    <w:p>
      <w:pPr>
        <w:pStyle w:val="BodyText"/>
        <w:spacing w:line="285" w:lineRule="auto"/>
        <w:ind w:right="101"/>
        <w:jc w:val="both"/>
      </w:pPr>
      <w:r>
        <w:rPr/>
        <w:t>该限制性股票激励计划所涉及的激励对象为本公司子公司联通运营公司员工，本公司为结算企业，联通运营公司为接</w:t>
      </w:r>
      <w:r>
        <w:rPr>
          <w:spacing w:val="7"/>
        </w:rPr>
        <w:t> </w:t>
      </w:r>
      <w:r>
        <w:rPr>
          <w:spacing w:val="7"/>
        </w:rPr>
      </w:r>
      <w:r>
        <w:rPr>
          <w:spacing w:val="-3"/>
        </w:rPr>
        <w:t>受服务企业。因此，本公司按照授予日权益工具的公允价值确认为对联通运营公司的长期股权投资，同时确认资本公积。</w:t>
      </w:r>
    </w:p>
    <w:p>
      <w:pPr>
        <w:spacing w:line="240" w:lineRule="auto" w:before="10"/>
        <w:rPr>
          <w:rFonts w:ascii="宋体" w:hAnsi="宋体" w:cs="宋体" w:eastAsia="宋体" w:hint="default"/>
          <w:sz w:val="13"/>
          <w:szCs w:val="13"/>
        </w:rPr>
      </w:pPr>
    </w:p>
    <w:p>
      <w:pPr>
        <w:pStyle w:val="BodyText"/>
        <w:spacing w:line="240" w:lineRule="auto"/>
        <w:ind w:right="0"/>
        <w:jc w:val="both"/>
      </w:pPr>
      <w:r>
        <w:rPr>
          <w:spacing w:val="3"/>
        </w:rPr>
        <w:t>截</w:t>
      </w:r>
      <w:r>
        <w:rPr/>
        <w:t>至</w:t>
      </w:r>
      <w:r>
        <w:rPr>
          <w:spacing w:val="-45"/>
        </w:rPr>
        <w:t> </w:t>
      </w:r>
      <w:r>
        <w:rPr>
          <w:spacing w:val="-1"/>
          <w:w w:val="111"/>
        </w:rPr>
        <w:t>201</w:t>
      </w:r>
      <w:r>
        <w:rPr>
          <w:w w:val="111"/>
        </w:rPr>
        <w:t>8</w:t>
      </w:r>
      <w:r>
        <w:rPr>
          <w:spacing w:val="-45"/>
        </w:rPr>
        <w:t> </w:t>
      </w:r>
      <w:r>
        <w:rPr/>
        <w:t>年</w:t>
      </w:r>
      <w:r>
        <w:rPr>
          <w:spacing w:val="-45"/>
        </w:rPr>
        <w:t> </w:t>
      </w:r>
      <w:r>
        <w:rPr>
          <w:spacing w:val="-1"/>
          <w:w w:val="111"/>
        </w:rPr>
        <w:t>1</w:t>
      </w:r>
      <w:r>
        <w:rPr>
          <w:w w:val="111"/>
        </w:rPr>
        <w:t>2</w:t>
      </w:r>
      <w:r>
        <w:rPr>
          <w:spacing w:val="-45"/>
        </w:rPr>
        <w:t> </w:t>
      </w:r>
      <w:r>
        <w:rPr/>
        <w:t>月</w:t>
      </w:r>
      <w:r>
        <w:rPr>
          <w:spacing w:val="-45"/>
        </w:rPr>
        <w:t> </w:t>
      </w:r>
      <w:r>
        <w:rPr>
          <w:spacing w:val="-1"/>
          <w:w w:val="111"/>
        </w:rPr>
        <w:t>3</w:t>
      </w:r>
      <w:r>
        <w:rPr>
          <w:w w:val="111"/>
        </w:rPr>
        <w:t>1</w:t>
      </w:r>
      <w:r>
        <w:rPr>
          <w:spacing w:val="-45"/>
        </w:rPr>
        <w:t> </w:t>
      </w:r>
      <w:r>
        <w:rPr/>
        <w:t>日</w:t>
      </w:r>
      <w:r>
        <w:rPr>
          <w:spacing w:val="3"/>
        </w:rPr>
        <w:t>，资本公积中确认以权益结算的股份支付的累计金额为人民</w:t>
      </w:r>
      <w:r>
        <w:rPr/>
        <w:t>币</w:t>
      </w:r>
      <w:r>
        <w:rPr>
          <w:spacing w:val="-45"/>
        </w:rPr>
        <w:t> </w:t>
      </w:r>
      <w:r>
        <w:rPr>
          <w:spacing w:val="-1"/>
          <w:w w:val="111"/>
        </w:rPr>
        <w:t>613</w:t>
      </w:r>
      <w:r>
        <w:rPr>
          <w:w w:val="55"/>
        </w:rPr>
        <w:t>,</w:t>
      </w:r>
      <w:r>
        <w:rPr>
          <w:spacing w:val="-1"/>
          <w:w w:val="111"/>
        </w:rPr>
        <w:t>920</w:t>
      </w:r>
      <w:r>
        <w:rPr>
          <w:w w:val="55"/>
        </w:rPr>
        <w:t>,</w:t>
      </w:r>
      <w:r>
        <w:rPr>
          <w:spacing w:val="-1"/>
          <w:w w:val="111"/>
        </w:rPr>
        <w:t>00</w:t>
      </w:r>
      <w:r>
        <w:rPr>
          <w:w w:val="111"/>
        </w:rPr>
        <w:t>0</w:t>
      </w:r>
      <w:r>
        <w:rPr>
          <w:spacing w:val="-45"/>
        </w:rPr>
        <w:t> </w:t>
      </w:r>
      <w:r>
        <w:rPr/>
        <w:t>元</w:t>
      </w:r>
      <w:r>
        <w:rPr>
          <w:spacing w:val="3"/>
        </w:rPr>
        <w:t>。本年以权益</w:t>
      </w:r>
      <w:r>
        <w:rPr/>
      </w:r>
    </w:p>
    <w:p>
      <w:pPr>
        <w:pStyle w:val="BodyText"/>
        <w:spacing w:line="240" w:lineRule="auto" w:before="44"/>
        <w:ind w:right="0"/>
        <w:jc w:val="both"/>
      </w:pPr>
      <w:r>
        <w:rPr/>
        <w:t>结算的股份支付确认的费用总额为人民币</w:t>
      </w:r>
      <w:r>
        <w:rPr>
          <w:spacing w:val="-41"/>
        </w:rPr>
        <w:t> </w:t>
      </w:r>
      <w:r>
        <w:rPr/>
        <w:t>613,920,000</w:t>
      </w:r>
      <w:r>
        <w:rPr>
          <w:spacing w:val="-42"/>
        </w:rPr>
        <w:t> </w:t>
      </w:r>
      <w:r>
        <w:rPr/>
        <w:t>元。</w:t>
      </w:r>
    </w:p>
    <w:p>
      <w:pPr>
        <w:spacing w:after="0" w:line="240" w:lineRule="auto"/>
        <w:jc w:val="both"/>
        <w:sectPr>
          <w:headerReference w:type="default" r:id="rId362"/>
          <w:footerReference w:type="default" r:id="rId363"/>
          <w:footerReference w:type="even" r:id="rId364"/>
          <w:pgSz w:w="11910" w:h="16160"/>
          <w:pgMar w:header="0" w:footer="298" w:top="1520" w:bottom="480" w:left="1360" w:right="600"/>
          <w:pgNumType w:start="205"/>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rPr>
        <w:t>十二、股份支付（续）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3" w:right="87"/>
        <w:jc w:val="left"/>
      </w:pPr>
      <w:r>
        <w:rPr/>
        <w:t>2、</w:t>
      </w:r>
      <w:r>
        <w:rPr>
          <w:spacing w:val="-21"/>
        </w:rPr>
        <w:t> </w:t>
      </w:r>
      <w:r>
        <w:rPr/>
        <w:t>以权益结算的股份支付情况（续）</w:t>
      </w:r>
    </w:p>
    <w:p>
      <w:pPr>
        <w:spacing w:line="240" w:lineRule="auto" w:before="12"/>
        <w:rPr>
          <w:rFonts w:ascii="宋体" w:hAnsi="宋体" w:cs="宋体" w:eastAsia="宋体" w:hint="default"/>
          <w:sz w:val="17"/>
          <w:szCs w:val="17"/>
        </w:rPr>
      </w:pPr>
    </w:p>
    <w:p>
      <w:pPr>
        <w:pStyle w:val="BodyText"/>
        <w:spacing w:line="240" w:lineRule="auto"/>
        <w:ind w:left="113" w:right="87"/>
        <w:jc w:val="left"/>
      </w:pPr>
      <w:r>
        <w:rPr/>
        <w:t>(a)</w:t>
      </w:r>
      <w:r>
        <w:rPr>
          <w:spacing w:val="-21"/>
        </w:rPr>
        <w:t> </w:t>
      </w:r>
      <w:r>
        <w:rPr/>
        <w:t>授予日权益工具公允价值的确定方法如下：</w:t>
      </w:r>
    </w:p>
    <w:p>
      <w:pPr>
        <w:spacing w:line="240" w:lineRule="auto" w:before="12"/>
        <w:rPr>
          <w:rFonts w:ascii="宋体" w:hAnsi="宋体" w:cs="宋体" w:eastAsia="宋体" w:hint="default"/>
          <w:sz w:val="17"/>
          <w:szCs w:val="17"/>
        </w:rPr>
      </w:pPr>
    </w:p>
    <w:p>
      <w:pPr>
        <w:pStyle w:val="BodyText"/>
        <w:spacing w:line="458" w:lineRule="auto"/>
        <w:ind w:left="113" w:right="1514" w:firstLine="340"/>
        <w:jc w:val="left"/>
      </w:pPr>
      <w:r>
        <w:rPr/>
        <w:t>本集团根据授予日股票公允价值与认购价格的差额人民币</w:t>
      </w:r>
      <w:r>
        <w:rPr>
          <w:spacing w:val="-57"/>
        </w:rPr>
        <w:t> </w:t>
      </w:r>
      <w:r>
        <w:rPr/>
        <w:t>2.34</w:t>
      </w:r>
      <w:r>
        <w:rPr>
          <w:spacing w:val="-57"/>
        </w:rPr>
        <w:t> </w:t>
      </w:r>
      <w:r>
        <w:rPr/>
        <w:t>元</w:t>
      </w:r>
      <w:r>
        <w:rPr>
          <w:spacing w:val="-57"/>
        </w:rPr>
        <w:t> </w:t>
      </w:r>
      <w:r>
        <w:rPr>
          <w:w w:val="95"/>
        </w:rPr>
        <w:t>/</w:t>
      </w:r>
      <w:r>
        <w:rPr>
          <w:spacing w:val="-52"/>
          <w:w w:val="95"/>
        </w:rPr>
        <w:t> </w:t>
      </w:r>
      <w:r>
        <w:rPr/>
        <w:t>股确定授予日权益工具公允价值。</w:t>
      </w:r>
      <w:r>
        <w:rPr/>
        <w:t> (b)</w:t>
      </w:r>
      <w:r>
        <w:rPr>
          <w:spacing w:val="-21"/>
        </w:rPr>
        <w:t> </w:t>
      </w:r>
      <w:r>
        <w:rPr/>
        <w:t>对可行权权益工具数量的确定依据：</w:t>
      </w:r>
    </w:p>
    <w:p>
      <w:pPr>
        <w:pStyle w:val="BodyText"/>
        <w:spacing w:line="285" w:lineRule="auto" w:before="71"/>
        <w:ind w:left="453" w:right="186"/>
        <w:jc w:val="both"/>
      </w:pPr>
      <w:r>
        <w:rPr/>
        <w:t>本集团在等待期内每个资产负债表日，根据最新取得的可行权职工人数变动、业绩指标完成情况等后续信息做出最佳</w:t>
      </w:r>
      <w:r>
        <w:rPr>
          <w:spacing w:val="7"/>
        </w:rPr>
        <w:t> </w:t>
      </w:r>
      <w:r>
        <w:rPr>
          <w:spacing w:val="7"/>
        </w:rPr>
      </w:r>
      <w:r>
        <w:rPr/>
        <w:t>估计，修正预计可行权的权益工具数量。在可行权日，最终预计可行权权益工具的数量与实际可行权权益工具的数量</w:t>
      </w:r>
      <w:r>
        <w:rPr>
          <w:spacing w:val="5"/>
        </w:rPr>
        <w:t> </w:t>
      </w:r>
      <w:r>
        <w:rPr>
          <w:spacing w:val="5"/>
        </w:rPr>
      </w:r>
      <w:r>
        <w:rPr/>
        <w:t>一致。</w:t>
      </w:r>
    </w:p>
    <w:p>
      <w:pPr>
        <w:spacing w:line="240" w:lineRule="auto" w:before="10"/>
        <w:rPr>
          <w:rFonts w:ascii="宋体" w:hAnsi="宋体" w:cs="宋体" w:eastAsia="宋体" w:hint="default"/>
          <w:sz w:val="13"/>
          <w:szCs w:val="13"/>
        </w:rPr>
      </w:pPr>
    </w:p>
    <w:p>
      <w:pPr>
        <w:pStyle w:val="BodyText"/>
        <w:spacing w:line="240" w:lineRule="auto"/>
        <w:ind w:left="113" w:right="87"/>
        <w:jc w:val="left"/>
      </w:pPr>
      <w:r>
        <w:rPr/>
        <w:t>3、</w:t>
      </w:r>
      <w:r>
        <w:rPr>
          <w:spacing w:val="-21"/>
        </w:rPr>
        <w:t> </w:t>
      </w:r>
      <w:r>
        <w:rPr/>
        <w:t>以股份支付换取服务</w:t>
      </w:r>
    </w:p>
    <w:p>
      <w:pPr>
        <w:spacing w:line="240" w:lineRule="auto" w:before="12"/>
        <w:rPr>
          <w:rFonts w:ascii="宋体" w:hAnsi="宋体" w:cs="宋体" w:eastAsia="宋体" w:hint="default"/>
          <w:sz w:val="17"/>
          <w:szCs w:val="17"/>
        </w:rPr>
      </w:pPr>
    </w:p>
    <w:p>
      <w:pPr>
        <w:pStyle w:val="BodyText"/>
        <w:spacing w:line="240" w:lineRule="auto"/>
        <w:ind w:left="453" w:right="0"/>
        <w:jc w:val="both"/>
      </w:pPr>
      <w:r>
        <w:rPr/>
        <w:t>于</w:t>
      </w:r>
      <w:r>
        <w:rPr>
          <w:spacing w:val="-33"/>
        </w:rPr>
        <w:t> </w:t>
      </w:r>
      <w:r>
        <w:rPr/>
        <w:t>2018</w:t>
      </w:r>
      <w:r>
        <w:rPr>
          <w:spacing w:val="-35"/>
        </w:rPr>
        <w:t> </w:t>
      </w:r>
      <w:r>
        <w:rPr/>
        <w:t>年度，本集团以股份支付换取的职工服务总额为人民币</w:t>
      </w:r>
      <w:r>
        <w:rPr>
          <w:spacing w:val="-33"/>
        </w:rPr>
        <w:t> </w:t>
      </w:r>
      <w:r>
        <w:rPr/>
        <w:t>613,920,000</w:t>
      </w:r>
      <w:r>
        <w:rPr>
          <w:spacing w:val="-35"/>
        </w:rPr>
        <w:t> </w:t>
      </w:r>
      <w:r>
        <w:rPr/>
        <w:t>元。</w:t>
      </w:r>
    </w:p>
    <w:p>
      <w:pPr>
        <w:spacing w:line="240" w:lineRule="auto" w:before="0"/>
        <w:rPr>
          <w:rFonts w:ascii="宋体" w:hAnsi="宋体" w:cs="宋体" w:eastAsia="宋体" w:hint="default"/>
          <w:sz w:val="18"/>
          <w:szCs w:val="18"/>
        </w:rPr>
      </w:pPr>
    </w:p>
    <w:p>
      <w:pPr>
        <w:pStyle w:val="BodyText"/>
        <w:spacing w:line="240" w:lineRule="auto" w:before="149"/>
        <w:ind w:left="113" w:right="87"/>
        <w:jc w:val="left"/>
        <w:rPr>
          <w:rFonts w:ascii="宋体" w:hAnsi="宋体" w:cs="宋体" w:eastAsia="宋体" w:hint="default"/>
        </w:rPr>
      </w:pPr>
      <w:r>
        <w:rPr>
          <w:rFonts w:ascii="宋体" w:hAnsi="宋体" w:cs="宋体" w:eastAsia="宋体" w:hint="default"/>
          <w:color w:val="9F8958"/>
        </w:rPr>
        <w:t>十三、资产负债表日后事项</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453" w:right="0"/>
        <w:jc w:val="both"/>
      </w:pPr>
      <w:r>
        <w:rPr/>
        <w:t>根据</w:t>
      </w:r>
      <w:r>
        <w:rPr>
          <w:spacing w:val="-28"/>
        </w:rPr>
        <w:t> </w:t>
      </w:r>
      <w:r>
        <w:rPr/>
        <w:t>2019</w:t>
      </w:r>
      <w:r>
        <w:rPr>
          <w:spacing w:val="-28"/>
        </w:rPr>
        <w:t> </w:t>
      </w:r>
      <w:r>
        <w:rPr/>
        <w:t>年</w:t>
      </w:r>
      <w:r>
        <w:rPr>
          <w:spacing w:val="-28"/>
        </w:rPr>
        <w:t> </w:t>
      </w:r>
      <w:r>
        <w:rPr/>
        <w:t>3</w:t>
      </w:r>
      <w:r>
        <w:rPr>
          <w:spacing w:val="-28"/>
        </w:rPr>
        <w:t> </w:t>
      </w:r>
      <w:r>
        <w:rPr/>
        <w:t>月</w:t>
      </w:r>
      <w:r>
        <w:rPr>
          <w:spacing w:val="-28"/>
        </w:rPr>
        <w:t> </w:t>
      </w:r>
      <w:r>
        <w:rPr/>
        <w:t>13</w:t>
      </w:r>
      <w:r>
        <w:rPr>
          <w:spacing w:val="-28"/>
        </w:rPr>
        <w:t> </w:t>
      </w:r>
      <w:r>
        <w:rPr/>
        <w:t>日董事会决议，董事会提议以本公司对现金红利实施公告中确定的股权登记日收市后在册的股份</w:t>
      </w:r>
    </w:p>
    <w:p>
      <w:pPr>
        <w:pStyle w:val="BodyText"/>
        <w:spacing w:line="285" w:lineRule="auto" w:before="44"/>
        <w:ind w:left="453" w:right="190"/>
        <w:jc w:val="both"/>
      </w:pPr>
      <w:r>
        <w:rPr/>
        <w:t>数为基准向全体股东派发每股股利人民币</w:t>
      </w:r>
      <w:r>
        <w:rPr>
          <w:spacing w:val="-45"/>
        </w:rPr>
        <w:t> </w:t>
      </w:r>
      <w:r>
        <w:rPr>
          <w:spacing w:val="-1"/>
          <w:w w:val="101"/>
        </w:rPr>
        <w:t>0.0533</w:t>
      </w:r>
      <w:r>
        <w:rPr>
          <w:spacing w:val="-46"/>
          <w:w w:val="101"/>
        </w:rPr>
        <w:t> </w:t>
      </w:r>
      <w:r>
        <w:rPr/>
        <w:t>元（含税），合计约人民币</w:t>
      </w:r>
      <w:r>
        <w:rPr>
          <w:spacing w:val="-45"/>
        </w:rPr>
        <w:t> </w:t>
      </w:r>
      <w:r>
        <w:rPr>
          <w:spacing w:val="-1"/>
          <w:w w:val="99"/>
        </w:rPr>
        <w:t>16.55</w:t>
      </w:r>
      <w:r>
        <w:rPr>
          <w:spacing w:val="-45"/>
          <w:w w:val="99"/>
        </w:rPr>
        <w:t> </w:t>
      </w:r>
      <w:r>
        <w:rPr/>
        <w:t>亿元（含税）。该股利分配预案尚</w:t>
      </w:r>
      <w:r>
        <w:rPr/>
        <w:t> 未经本公司股东大会批准，故未在本财务报表中确认为负债。</w:t>
      </w:r>
    </w:p>
    <w:p>
      <w:pPr>
        <w:spacing w:line="240" w:lineRule="auto" w:before="10"/>
        <w:rPr>
          <w:rFonts w:ascii="宋体" w:hAnsi="宋体" w:cs="宋体" w:eastAsia="宋体" w:hint="default"/>
          <w:sz w:val="26"/>
          <w:szCs w:val="26"/>
        </w:rPr>
      </w:pPr>
    </w:p>
    <w:p>
      <w:pPr>
        <w:pStyle w:val="BodyText"/>
        <w:spacing w:line="240" w:lineRule="auto"/>
        <w:ind w:left="113" w:right="87"/>
        <w:jc w:val="left"/>
        <w:rPr>
          <w:rFonts w:ascii="宋体" w:hAnsi="宋体" w:cs="宋体" w:eastAsia="宋体" w:hint="default"/>
        </w:rPr>
      </w:pPr>
      <w:r>
        <w:rPr>
          <w:rFonts w:ascii="宋体" w:hAnsi="宋体" w:cs="宋体" w:eastAsia="宋体" w:hint="default"/>
          <w:color w:val="9F8958"/>
        </w:rPr>
        <w:t>十四、分部信息</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453" w:right="101"/>
        <w:jc w:val="both"/>
      </w:pPr>
      <w:r>
        <w:rPr/>
        <w:t>本公司的执行董事已被认定为主要经营决策者。经营分部以主要经营决策者定期审阅用以分配资源及评估分部表现的</w:t>
      </w:r>
      <w:r>
        <w:rPr>
          <w:spacing w:val="9"/>
        </w:rPr>
        <w:t> </w:t>
      </w:r>
      <w:r>
        <w:rPr>
          <w:spacing w:val="9"/>
        </w:rPr>
      </w:r>
      <w:r>
        <w:rPr/>
        <w:t>内部财务报告为基础进行辨别。</w:t>
      </w:r>
    </w:p>
    <w:p>
      <w:pPr>
        <w:spacing w:line="240" w:lineRule="auto" w:before="10"/>
        <w:rPr>
          <w:rFonts w:ascii="宋体" w:hAnsi="宋体" w:cs="宋体" w:eastAsia="宋体" w:hint="default"/>
          <w:sz w:val="13"/>
          <w:szCs w:val="13"/>
        </w:rPr>
      </w:pPr>
    </w:p>
    <w:p>
      <w:pPr>
        <w:pStyle w:val="BodyText"/>
        <w:spacing w:line="285" w:lineRule="auto"/>
        <w:ind w:left="453" w:right="101"/>
        <w:jc w:val="both"/>
      </w:pPr>
      <w:r>
        <w:rPr>
          <w:spacing w:val="-3"/>
        </w:rPr>
        <w:t>主要经营决策者根据内部管理职能分配资源，将本集团视为一个整体而非以业务之种类或地区角度进行业绩评估。因此，</w:t>
      </w:r>
      <w:r>
        <w:rPr>
          <w:spacing w:val="-85"/>
        </w:rPr>
        <w:t> </w:t>
      </w:r>
      <w:r>
        <w:rPr>
          <w:spacing w:val="-85"/>
        </w:rPr>
      </w:r>
      <w:r>
        <w:rPr/>
        <w:t>本集团只有一个经营分部，且无需列示分部资料。</w:t>
      </w:r>
    </w:p>
    <w:p>
      <w:pPr>
        <w:spacing w:line="240" w:lineRule="auto" w:before="10"/>
        <w:rPr>
          <w:rFonts w:ascii="宋体" w:hAnsi="宋体" w:cs="宋体" w:eastAsia="宋体" w:hint="default"/>
          <w:sz w:val="13"/>
          <w:szCs w:val="13"/>
        </w:rPr>
      </w:pPr>
    </w:p>
    <w:p>
      <w:pPr>
        <w:pStyle w:val="BodyText"/>
        <w:spacing w:line="285" w:lineRule="auto"/>
        <w:ind w:left="453" w:right="188"/>
        <w:jc w:val="both"/>
      </w:pPr>
      <w:r>
        <w:rPr/>
        <w:t>本集团主要在中国大陆经营，所以没有列示地区资料。在所有列报期间，本集团均没有从单一用户取得占本集团收入</w:t>
      </w:r>
      <w:r>
        <w:rPr>
          <w:spacing w:val="5"/>
        </w:rPr>
        <w:t> </w:t>
      </w:r>
      <w:r>
        <w:rPr>
          <w:spacing w:val="5"/>
        </w:rPr>
      </w:r>
      <w:r>
        <w:rPr>
          <w:w w:val="105"/>
        </w:rPr>
        <w:t>总额的</w:t>
      </w:r>
      <w:r>
        <w:rPr>
          <w:spacing w:val="-47"/>
          <w:w w:val="105"/>
        </w:rPr>
        <w:t> </w:t>
      </w:r>
      <w:r>
        <w:rPr>
          <w:w w:val="105"/>
        </w:rPr>
        <w:t>10%</w:t>
      </w:r>
      <w:r>
        <w:rPr>
          <w:spacing w:val="-48"/>
          <w:w w:val="105"/>
        </w:rPr>
        <w:t> </w:t>
      </w:r>
      <w:r>
        <w:rPr>
          <w:w w:val="105"/>
        </w:rPr>
        <w:t>或以上的收入。</w:t>
      </w:r>
    </w:p>
    <w:p>
      <w:pPr>
        <w:spacing w:after="0" w:line="285" w:lineRule="auto"/>
        <w:jc w:val="both"/>
        <w:sectPr>
          <w:headerReference w:type="even" r:id="rId365"/>
          <w:pgSz w:w="11910" w:h="16160"/>
          <w:pgMar w:header="1200" w:footer="320" w:top="2120" w:bottom="520" w:left="680" w:right="12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87"/>
        <w:jc w:val="left"/>
        <w:rPr>
          <w:rFonts w:ascii="宋体" w:hAnsi="宋体" w:cs="宋体" w:eastAsia="宋体" w:hint="default"/>
        </w:rPr>
      </w:pPr>
      <w:r>
        <w:rPr>
          <w:rFonts w:ascii="宋体" w:hAnsi="宋体" w:cs="宋体" w:eastAsia="宋体" w:hint="default"/>
          <w:color w:val="9F8958"/>
        </w:rPr>
        <w:t>十五、本公司个别财务报表主要项目注释</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87"/>
        <w:jc w:val="left"/>
      </w:pPr>
      <w:r>
        <w:rPr/>
        <w:t>1、</w:t>
      </w:r>
      <w:r>
        <w:rPr>
          <w:spacing w:val="-21"/>
        </w:rPr>
        <w:t> </w:t>
      </w:r>
      <w:r>
        <w:rPr/>
        <w:t>货币资金</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银行存款</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266,645,224</w:t>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183,142,610</w:t>
            </w:r>
          </w:p>
        </w:tc>
      </w:tr>
    </w:tbl>
    <w:p>
      <w:pPr>
        <w:spacing w:line="240" w:lineRule="auto" w:before="1"/>
        <w:rPr>
          <w:rFonts w:ascii="宋体" w:hAnsi="宋体" w:cs="宋体" w:eastAsia="宋体" w:hint="default"/>
          <w:sz w:val="15"/>
          <w:szCs w:val="15"/>
        </w:rPr>
      </w:pPr>
    </w:p>
    <w:p>
      <w:pPr>
        <w:pStyle w:val="BodyText"/>
        <w:spacing w:line="240" w:lineRule="auto" w:before="31"/>
        <w:ind w:left="114" w:right="87"/>
        <w:jc w:val="left"/>
      </w:pPr>
      <w:r>
        <w:rPr/>
        <w:t>2、</w:t>
      </w:r>
      <w:r>
        <w:rPr>
          <w:spacing w:val="-21"/>
        </w:rPr>
        <w:t> </w:t>
      </w:r>
      <w:r>
        <w:rPr/>
        <w:t>其他应收款</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应收股利</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917,780,560</w:t>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sz w:val="16"/>
              </w:rPr>
              <w:t>917,780,560</w:t>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应收利息</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95"/>
                <w:sz w:val="16"/>
              </w:rPr>
              <w:t>2,904,119</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59,604</w:t>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95"/>
                <w:sz w:val="16"/>
              </w:rPr>
              <w:t>10,620,000</w:t>
            </w:r>
            <w:r>
              <w:rPr>
                <w:rFonts w:ascii="宋体"/>
                <w:sz w:val="16"/>
              </w:rPr>
            </w:r>
          </w:p>
        </w:tc>
      </w:tr>
      <w:tr>
        <w:trPr>
          <w:trHeight w:val="405"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sz w:val="16"/>
              </w:rPr>
              <w:t>920,684,679</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sz w:val="16"/>
              </w:rPr>
              <w:t>928,460,164</w:t>
            </w:r>
          </w:p>
        </w:tc>
      </w:tr>
    </w:tbl>
    <w:p>
      <w:pPr>
        <w:spacing w:line="240" w:lineRule="auto" w:before="1"/>
        <w:rPr>
          <w:rFonts w:ascii="宋体" w:hAnsi="宋体" w:cs="宋体" w:eastAsia="宋体" w:hint="default"/>
          <w:sz w:val="15"/>
          <w:szCs w:val="15"/>
        </w:rPr>
      </w:pPr>
    </w:p>
    <w:p>
      <w:pPr>
        <w:pStyle w:val="BodyText"/>
        <w:spacing w:line="240" w:lineRule="auto" w:before="31"/>
        <w:ind w:right="87"/>
        <w:jc w:val="left"/>
      </w:pPr>
      <w:r>
        <w:rPr/>
        <w:t>于</w:t>
      </w:r>
      <w:r>
        <w:rPr>
          <w:spacing w:val="-45"/>
        </w:rPr>
        <w:t> </w:t>
      </w:r>
      <w:r>
        <w:rPr>
          <w:spacing w:val="-1"/>
          <w:w w:val="111"/>
        </w:rPr>
        <w:t>201</w:t>
      </w:r>
      <w:r>
        <w:rPr>
          <w:w w:val="111"/>
        </w:rPr>
        <w:t>8</w:t>
      </w:r>
      <w:r>
        <w:rPr>
          <w:spacing w:val="-45"/>
        </w:rPr>
        <w:t> </w:t>
      </w:r>
      <w:r>
        <w:rPr/>
        <w:t>年</w:t>
      </w:r>
      <w:r>
        <w:rPr>
          <w:spacing w:val="-45"/>
        </w:rPr>
        <w:t> </w:t>
      </w:r>
      <w:r>
        <w:rPr>
          <w:spacing w:val="-1"/>
          <w:w w:val="111"/>
        </w:rPr>
        <w:t>1</w:t>
      </w:r>
      <w:r>
        <w:rPr>
          <w:w w:val="111"/>
        </w:rPr>
        <w:t>2</w:t>
      </w:r>
      <w:r>
        <w:rPr>
          <w:spacing w:val="-45"/>
        </w:rPr>
        <w:t> </w:t>
      </w:r>
      <w:r>
        <w:rPr/>
        <w:t>月</w:t>
      </w:r>
      <w:r>
        <w:rPr>
          <w:spacing w:val="-45"/>
        </w:rPr>
        <w:t> </w:t>
      </w:r>
      <w:r>
        <w:rPr>
          <w:spacing w:val="-1"/>
          <w:w w:val="111"/>
        </w:rPr>
        <w:t>3</w:t>
      </w:r>
      <w:r>
        <w:rPr>
          <w:w w:val="111"/>
        </w:rPr>
        <w:t>1</w:t>
      </w:r>
      <w:r>
        <w:rPr>
          <w:spacing w:val="-45"/>
        </w:rPr>
        <w:t> </w:t>
      </w:r>
      <w:r>
        <w:rPr/>
        <w:t>日</w:t>
      </w:r>
      <w:r>
        <w:rPr>
          <w:spacing w:val="2"/>
        </w:rPr>
        <w:t>，本公司其他应收款余额中有人民</w:t>
      </w:r>
      <w:r>
        <w:rPr/>
        <w:t>币</w:t>
      </w:r>
      <w:r>
        <w:rPr>
          <w:spacing w:val="-45"/>
        </w:rPr>
        <w:t> </w:t>
      </w:r>
      <w:r>
        <w:rPr>
          <w:spacing w:val="-1"/>
          <w:w w:val="111"/>
        </w:rPr>
        <w:t>9</w:t>
      </w:r>
      <w:r>
        <w:rPr>
          <w:w w:val="55"/>
        </w:rPr>
        <w:t>.</w:t>
      </w:r>
      <w:r>
        <w:rPr>
          <w:spacing w:val="-1"/>
          <w:w w:val="111"/>
        </w:rPr>
        <w:t>1</w:t>
      </w:r>
      <w:r>
        <w:rPr>
          <w:w w:val="111"/>
        </w:rPr>
        <w:t>8</w:t>
      </w:r>
      <w:r>
        <w:rPr>
          <w:spacing w:val="-45"/>
        </w:rPr>
        <w:t> </w:t>
      </w:r>
      <w:r>
        <w:rPr>
          <w:spacing w:val="2"/>
        </w:rPr>
        <w:t>亿元</w:t>
      </w:r>
      <w:r>
        <w:rPr/>
        <w:t>为</w:t>
      </w:r>
      <w:r>
        <w:rPr>
          <w:spacing w:val="-45"/>
        </w:rPr>
        <w:t> </w:t>
      </w:r>
      <w:r>
        <w:rPr>
          <w:w w:val="111"/>
        </w:rPr>
        <w:t>1</w:t>
      </w:r>
      <w:r>
        <w:rPr>
          <w:spacing w:val="-45"/>
        </w:rPr>
        <w:t> </w:t>
      </w:r>
      <w:r>
        <w:rPr>
          <w:spacing w:val="2"/>
        </w:rPr>
        <w:t>年以上应收股</w:t>
      </w:r>
      <w:r>
        <w:rPr/>
        <w:t>利</w:t>
      </w:r>
      <w:r>
        <w:rPr>
          <w:spacing w:val="2"/>
        </w:rPr>
        <w:t>，为本公司子公司联</w:t>
      </w:r>
      <w:r>
        <w:rPr/>
        <w:t>通</w:t>
      </w:r>
      <w:r>
        <w:rPr>
          <w:spacing w:val="-45"/>
        </w:rPr>
        <w:t> </w:t>
      </w:r>
      <w:r>
        <w:rPr>
          <w:w w:val="132"/>
        </w:rPr>
        <w:t>B</w:t>
      </w:r>
      <w:r>
        <w:rPr>
          <w:w w:val="121"/>
        </w:rPr>
        <w:t>V</w:t>
      </w:r>
      <w:r>
        <w:rPr>
          <w:w w:val="55"/>
        </w:rPr>
        <w:t>I</w:t>
      </w:r>
      <w:r>
        <w:rPr/>
      </w:r>
    </w:p>
    <w:p>
      <w:pPr>
        <w:pStyle w:val="BodyText"/>
        <w:spacing w:line="458" w:lineRule="auto" w:before="44"/>
        <w:ind w:left="113" w:right="2507" w:firstLine="340"/>
        <w:jc w:val="left"/>
      </w:pPr>
      <w:r>
        <w:rPr/>
        <w:t>公司未支付的 2013</w:t>
      </w:r>
      <w:r>
        <w:rPr>
          <w:spacing w:val="-55"/>
        </w:rPr>
        <w:t> </w:t>
      </w:r>
      <w:r>
        <w:rPr/>
        <w:t>年度及以前年度现金股利。本公司认为该等应收股利并无回收风险。</w:t>
      </w:r>
      <w:r>
        <w:rPr/>
        <w:t> 3、</w:t>
      </w:r>
      <w:r>
        <w:rPr>
          <w:spacing w:val="-21"/>
        </w:rPr>
        <w:t> </w:t>
      </w:r>
      <w:r>
        <w:rPr/>
        <w:t>长期股权投资</w:t>
      </w:r>
    </w:p>
    <w:p>
      <w:pPr>
        <w:pStyle w:val="BodyText"/>
        <w:spacing w:line="240" w:lineRule="auto" w:before="71"/>
        <w:ind w:right="87"/>
        <w:jc w:val="left"/>
      </w:pPr>
      <w:r>
        <w:rPr>
          <w:w w:val="105"/>
        </w:rPr>
        <w:t>于</w:t>
      </w:r>
      <w:r>
        <w:rPr>
          <w:spacing w:val="-72"/>
          <w:w w:val="105"/>
        </w:rPr>
        <w:t> </w:t>
      </w:r>
      <w:r>
        <w:rPr>
          <w:w w:val="105"/>
        </w:rPr>
        <w:t>2018</w:t>
      </w:r>
      <w:r>
        <w:rPr>
          <w:spacing w:val="-72"/>
          <w:w w:val="105"/>
        </w:rPr>
        <w:t> </w:t>
      </w:r>
      <w:r>
        <w:rPr>
          <w:w w:val="105"/>
        </w:rPr>
        <w:t>年</w:t>
      </w:r>
      <w:r>
        <w:rPr>
          <w:spacing w:val="-72"/>
          <w:w w:val="105"/>
        </w:rPr>
        <w:t> </w:t>
      </w:r>
      <w:r>
        <w:rPr>
          <w:w w:val="105"/>
        </w:rPr>
        <w:t>12</w:t>
      </w:r>
      <w:r>
        <w:rPr>
          <w:spacing w:val="-72"/>
          <w:w w:val="105"/>
        </w:rPr>
        <w:t> </w:t>
      </w:r>
      <w:r>
        <w:rPr>
          <w:w w:val="105"/>
        </w:rPr>
        <w:t>月</w:t>
      </w:r>
      <w:r>
        <w:rPr>
          <w:spacing w:val="-72"/>
          <w:w w:val="105"/>
        </w:rPr>
        <w:t> </w:t>
      </w:r>
      <w:r>
        <w:rPr>
          <w:w w:val="105"/>
        </w:rPr>
        <w:t>31</w:t>
      </w:r>
      <w:r>
        <w:rPr>
          <w:spacing w:val="-72"/>
          <w:w w:val="105"/>
        </w:rPr>
        <w:t> </w:t>
      </w:r>
      <w:r>
        <w:rPr>
          <w:w w:val="105"/>
        </w:rPr>
        <w:t>日，本公司长期股权投资明细如下：</w:t>
      </w:r>
    </w:p>
    <w:p>
      <w:pPr>
        <w:spacing w:line="240" w:lineRule="auto" w:before="10"/>
        <w:rPr>
          <w:rFonts w:ascii="宋体" w:hAnsi="宋体" w:cs="宋体" w:eastAsia="宋体" w:hint="default"/>
          <w:sz w:val="14"/>
          <w:szCs w:val="14"/>
        </w:rPr>
      </w:pPr>
    </w:p>
    <w:tbl>
      <w:tblPr>
        <w:tblW w:w="0" w:type="auto"/>
        <w:jc w:val="left"/>
        <w:tblInd w:w="454" w:type="dxa"/>
        <w:tblLayout w:type="fixed"/>
        <w:tblCellMar>
          <w:top w:w="0" w:type="dxa"/>
          <w:left w:w="0" w:type="dxa"/>
          <w:bottom w:w="0" w:type="dxa"/>
          <w:right w:w="0" w:type="dxa"/>
        </w:tblCellMar>
        <w:tblLook w:val="01E0"/>
      </w:tblPr>
      <w:tblGrid>
        <w:gridCol w:w="1403"/>
        <w:gridCol w:w="855"/>
        <w:gridCol w:w="1754"/>
        <w:gridCol w:w="2006"/>
        <w:gridCol w:w="1575"/>
        <w:gridCol w:w="1704"/>
      </w:tblGrid>
      <w:tr>
        <w:trPr>
          <w:trHeight w:val="384" w:hRule="exact"/>
        </w:trPr>
        <w:tc>
          <w:tcPr>
            <w:tcW w:w="1403" w:type="dxa"/>
            <w:tcBorders>
              <w:top w:val="nil" w:sz="6" w:space="0" w:color="auto"/>
              <w:left w:val="nil" w:sz="6" w:space="0" w:color="auto"/>
              <w:bottom w:val="single" w:sz="16" w:space="0" w:color="9F8958"/>
              <w:right w:val="nil" w:sz="6" w:space="0" w:color="auto"/>
            </w:tcBorders>
          </w:tcPr>
          <w:p>
            <w:pPr/>
          </w:p>
        </w:tc>
        <w:tc>
          <w:tcPr>
            <w:tcW w:w="855"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left="330" w:right="0"/>
              <w:jc w:val="left"/>
              <w:rPr>
                <w:rFonts w:ascii="宋体" w:hAnsi="宋体" w:cs="宋体" w:eastAsia="宋体" w:hint="default"/>
                <w:sz w:val="16"/>
                <w:szCs w:val="16"/>
              </w:rPr>
            </w:pPr>
            <w:r>
              <w:rPr>
                <w:rFonts w:ascii="宋体" w:hAnsi="宋体" w:cs="宋体" w:eastAsia="宋体" w:hint="default"/>
                <w:sz w:val="16"/>
                <w:szCs w:val="16"/>
              </w:rPr>
              <w:t>注</w:t>
            </w:r>
          </w:p>
        </w:tc>
        <w:tc>
          <w:tcPr>
            <w:tcW w:w="1754"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98"/>
              <w:jc w:val="right"/>
              <w:rPr>
                <w:rFonts w:ascii="宋体" w:hAnsi="宋体" w:cs="宋体" w:eastAsia="宋体" w:hint="default"/>
                <w:sz w:val="16"/>
                <w:szCs w:val="16"/>
              </w:rPr>
            </w:pPr>
            <w:r>
              <w:rPr>
                <w:rFonts w:ascii="宋体" w:hAnsi="宋体" w:cs="宋体" w:eastAsia="宋体" w:hint="default"/>
                <w:sz w:val="16"/>
                <w:szCs w:val="16"/>
              </w:rPr>
              <w:t>初始投资成本</w:t>
            </w:r>
          </w:p>
        </w:tc>
        <w:tc>
          <w:tcPr>
            <w:tcW w:w="2006"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413"/>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575"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98"/>
              <w:jc w:val="right"/>
              <w:rPr>
                <w:rFonts w:ascii="宋体" w:hAnsi="宋体" w:cs="宋体" w:eastAsia="宋体" w:hint="default"/>
                <w:sz w:val="16"/>
                <w:szCs w:val="16"/>
              </w:rPr>
            </w:pPr>
            <w:r>
              <w:rPr>
                <w:rFonts w:ascii="宋体" w:hAnsi="宋体" w:cs="宋体" w:eastAsia="宋体" w:hint="default"/>
                <w:sz w:val="16"/>
                <w:szCs w:val="16"/>
              </w:rPr>
              <w:t>本年增减变动</w:t>
            </w:r>
          </w:p>
        </w:tc>
        <w:tc>
          <w:tcPr>
            <w:tcW w:w="1704"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140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36"/>
                <w:sz w:val="16"/>
                <w:szCs w:val="16"/>
              </w:rPr>
              <w:t> </w:t>
            </w:r>
            <w:r>
              <w:rPr>
                <w:rFonts w:ascii="宋体" w:hAnsi="宋体" w:cs="宋体" w:eastAsia="宋体" w:hint="default"/>
                <w:sz w:val="16"/>
                <w:szCs w:val="16"/>
              </w:rPr>
              <w:t>BVI</w:t>
            </w:r>
            <w:r>
              <w:rPr>
                <w:rFonts w:ascii="宋体" w:hAnsi="宋体" w:cs="宋体" w:eastAsia="宋体" w:hint="default"/>
                <w:spacing w:val="-36"/>
                <w:sz w:val="16"/>
                <w:szCs w:val="16"/>
              </w:rPr>
              <w:t> </w:t>
            </w:r>
            <w:r>
              <w:rPr>
                <w:rFonts w:ascii="宋体" w:hAnsi="宋体" w:cs="宋体" w:eastAsia="宋体" w:hint="default"/>
                <w:sz w:val="16"/>
                <w:szCs w:val="16"/>
              </w:rPr>
              <w:t>公司</w:t>
            </w:r>
          </w:p>
        </w:tc>
        <w:tc>
          <w:tcPr>
            <w:tcW w:w="85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326" w:right="0"/>
              <w:jc w:val="left"/>
              <w:rPr>
                <w:rFonts w:ascii="宋体" w:hAnsi="宋体" w:cs="宋体" w:eastAsia="宋体" w:hint="default"/>
                <w:sz w:val="16"/>
                <w:szCs w:val="16"/>
              </w:rPr>
            </w:pPr>
            <w:r>
              <w:rPr>
                <w:rFonts w:ascii="宋体"/>
                <w:w w:val="80"/>
                <w:sz w:val="16"/>
              </w:rPr>
              <w:t>(a)</w:t>
            </w:r>
            <w:r>
              <w:rPr>
                <w:rFonts w:ascii="宋体"/>
                <w:sz w:val="16"/>
              </w:rPr>
            </w:r>
          </w:p>
        </w:tc>
        <w:tc>
          <w:tcPr>
            <w:tcW w:w="175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99"/>
              <w:jc w:val="right"/>
              <w:rPr>
                <w:rFonts w:ascii="宋体" w:hAnsi="宋体" w:cs="宋体" w:eastAsia="宋体" w:hint="default"/>
                <w:sz w:val="16"/>
                <w:szCs w:val="16"/>
              </w:rPr>
            </w:pPr>
            <w:r>
              <w:rPr>
                <w:rFonts w:ascii="宋体"/>
                <w:w w:val="95"/>
                <w:sz w:val="16"/>
              </w:rPr>
              <w:t>100,072,258,479</w:t>
            </w:r>
            <w:r>
              <w:rPr>
                <w:rFonts w:ascii="宋体"/>
                <w:sz w:val="16"/>
              </w:rPr>
            </w:r>
          </w:p>
        </w:tc>
        <w:tc>
          <w:tcPr>
            <w:tcW w:w="2006"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412"/>
              <w:jc w:val="right"/>
              <w:rPr>
                <w:rFonts w:ascii="宋体" w:hAnsi="宋体" w:cs="宋体" w:eastAsia="宋体" w:hint="default"/>
                <w:sz w:val="16"/>
                <w:szCs w:val="16"/>
              </w:rPr>
            </w:pPr>
            <w:r>
              <w:rPr>
                <w:rFonts w:ascii="宋体"/>
                <w:w w:val="95"/>
                <w:sz w:val="16"/>
              </w:rPr>
              <w:t>100,072,258,479</w:t>
            </w:r>
            <w:r>
              <w:rPr>
                <w:rFonts w:ascii="宋体"/>
                <w:sz w:val="16"/>
              </w:rPr>
            </w:r>
          </w:p>
        </w:tc>
        <w:tc>
          <w:tcPr>
            <w:tcW w:w="157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98"/>
              <w:jc w:val="right"/>
              <w:rPr>
                <w:rFonts w:ascii="宋体" w:hAnsi="宋体" w:cs="宋体" w:eastAsia="宋体" w:hint="default"/>
                <w:sz w:val="16"/>
                <w:szCs w:val="16"/>
              </w:rPr>
            </w:pPr>
            <w:r>
              <w:rPr>
                <w:rFonts w:ascii="宋体"/>
                <w:w w:val="131"/>
                <w:sz w:val="16"/>
              </w:rPr>
              <w:t>-</w:t>
            </w:r>
            <w:r>
              <w:rPr>
                <w:rFonts w:ascii="宋体"/>
                <w:sz w:val="16"/>
              </w:rPr>
            </w:r>
          </w:p>
        </w:tc>
        <w:tc>
          <w:tcPr>
            <w:tcW w:w="170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100,072,258,479</w:t>
            </w:r>
            <w:r>
              <w:rPr>
                <w:rFonts w:ascii="宋体"/>
                <w:sz w:val="16"/>
              </w:rPr>
            </w:r>
          </w:p>
        </w:tc>
      </w:tr>
      <w:tr>
        <w:trPr>
          <w:trHeight w:val="340" w:hRule="exact"/>
        </w:trPr>
        <w:tc>
          <w:tcPr>
            <w:tcW w:w="140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联通运营公司</w:t>
            </w:r>
          </w:p>
        </w:tc>
        <w:tc>
          <w:tcPr>
            <w:tcW w:w="855" w:type="dxa"/>
            <w:tcBorders>
              <w:top w:val="nil" w:sz="6" w:space="0" w:color="auto"/>
              <w:left w:val="nil" w:sz="6" w:space="0" w:color="auto"/>
              <w:bottom w:val="nil" w:sz="6" w:space="0" w:color="auto"/>
              <w:right w:val="nil" w:sz="6" w:space="0" w:color="auto"/>
            </w:tcBorders>
          </w:tcPr>
          <w:p>
            <w:pPr>
              <w:pStyle w:val="TableParagraph"/>
              <w:spacing w:line="205" w:lineRule="exact"/>
              <w:ind w:left="321" w:right="0"/>
              <w:jc w:val="left"/>
              <w:rPr>
                <w:rFonts w:ascii="宋体" w:hAnsi="宋体" w:cs="宋体" w:eastAsia="宋体" w:hint="default"/>
                <w:sz w:val="16"/>
                <w:szCs w:val="16"/>
              </w:rPr>
            </w:pPr>
            <w:r>
              <w:rPr>
                <w:rFonts w:ascii="宋体"/>
                <w:w w:val="85"/>
                <w:sz w:val="16"/>
              </w:rPr>
              <w:t>(b)</w:t>
            </w:r>
            <w:r>
              <w:rPr>
                <w:rFonts w:ascii="宋体"/>
                <w:sz w:val="16"/>
              </w:rPr>
            </w:r>
          </w:p>
        </w:tc>
        <w:tc>
          <w:tcPr>
            <w:tcW w:w="1754" w:type="dxa"/>
            <w:tcBorders>
              <w:top w:val="nil" w:sz="6" w:space="0" w:color="auto"/>
              <w:left w:val="nil" w:sz="6" w:space="0" w:color="auto"/>
              <w:bottom w:val="nil" w:sz="6" w:space="0" w:color="auto"/>
              <w:right w:val="nil" w:sz="6" w:space="0" w:color="auto"/>
            </w:tcBorders>
          </w:tcPr>
          <w:p>
            <w:pPr>
              <w:pStyle w:val="TableParagraph"/>
              <w:spacing w:line="205" w:lineRule="exact"/>
              <w:ind w:right="198"/>
              <w:jc w:val="right"/>
              <w:rPr>
                <w:rFonts w:ascii="宋体" w:hAnsi="宋体" w:cs="宋体" w:eastAsia="宋体" w:hint="default"/>
                <w:sz w:val="16"/>
                <w:szCs w:val="16"/>
              </w:rPr>
            </w:pPr>
            <w:r>
              <w:rPr>
                <w:rFonts w:ascii="宋体"/>
                <w:sz w:val="16"/>
              </w:rPr>
              <w:t>613,920,000</w:t>
            </w:r>
          </w:p>
        </w:tc>
        <w:tc>
          <w:tcPr>
            <w:tcW w:w="2006" w:type="dxa"/>
            <w:tcBorders>
              <w:top w:val="nil" w:sz="6" w:space="0" w:color="auto"/>
              <w:left w:val="nil" w:sz="6" w:space="0" w:color="auto"/>
              <w:bottom w:val="nil" w:sz="6" w:space="0" w:color="auto"/>
              <w:right w:val="nil" w:sz="6" w:space="0" w:color="auto"/>
            </w:tcBorders>
          </w:tcPr>
          <w:p>
            <w:pPr>
              <w:pStyle w:val="TableParagraph"/>
              <w:spacing w:line="205" w:lineRule="exact"/>
              <w:ind w:right="413"/>
              <w:jc w:val="right"/>
              <w:rPr>
                <w:rFonts w:ascii="宋体" w:hAnsi="宋体" w:cs="宋体" w:eastAsia="宋体" w:hint="default"/>
                <w:sz w:val="16"/>
                <w:szCs w:val="16"/>
              </w:rPr>
            </w:pPr>
            <w:r>
              <w:rPr>
                <w:rFonts w:ascii="宋体"/>
                <w:w w:val="131"/>
                <w:sz w:val="16"/>
              </w:rPr>
              <w:t>-</w:t>
            </w:r>
            <w:r>
              <w:rPr>
                <w:rFonts w:ascii="宋体"/>
                <w:sz w:val="16"/>
              </w:rPr>
            </w:r>
          </w:p>
        </w:tc>
        <w:tc>
          <w:tcPr>
            <w:tcW w:w="1575" w:type="dxa"/>
            <w:tcBorders>
              <w:top w:val="nil" w:sz="6" w:space="0" w:color="auto"/>
              <w:left w:val="nil" w:sz="6" w:space="0" w:color="auto"/>
              <w:bottom w:val="nil" w:sz="6" w:space="0" w:color="auto"/>
              <w:right w:val="nil" w:sz="6" w:space="0" w:color="auto"/>
            </w:tcBorders>
          </w:tcPr>
          <w:p>
            <w:pPr>
              <w:pStyle w:val="TableParagraph"/>
              <w:spacing w:line="205" w:lineRule="exact"/>
              <w:ind w:right="199"/>
              <w:jc w:val="right"/>
              <w:rPr>
                <w:rFonts w:ascii="宋体" w:hAnsi="宋体" w:cs="宋体" w:eastAsia="宋体" w:hint="default"/>
                <w:sz w:val="16"/>
                <w:szCs w:val="16"/>
              </w:rPr>
            </w:pPr>
            <w:r>
              <w:rPr>
                <w:rFonts w:ascii="宋体"/>
                <w:sz w:val="16"/>
              </w:rPr>
              <w:t>613,920,000</w:t>
            </w:r>
          </w:p>
        </w:tc>
        <w:tc>
          <w:tcPr>
            <w:tcW w:w="1704"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sz w:val="16"/>
              </w:rPr>
              <w:t>613,920,000</w:t>
            </w:r>
          </w:p>
        </w:tc>
      </w:tr>
      <w:tr>
        <w:trPr>
          <w:trHeight w:val="405" w:hRule="exact"/>
        </w:trPr>
        <w:tc>
          <w:tcPr>
            <w:tcW w:w="140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855" w:type="dxa"/>
            <w:tcBorders>
              <w:top w:val="nil" w:sz="6" w:space="0" w:color="auto"/>
              <w:left w:val="nil" w:sz="6" w:space="0" w:color="auto"/>
              <w:bottom w:val="single" w:sz="16" w:space="0" w:color="9F8958"/>
              <w:right w:val="nil" w:sz="6" w:space="0" w:color="auto"/>
            </w:tcBorders>
          </w:tcPr>
          <w:p>
            <w:pPr/>
          </w:p>
        </w:tc>
        <w:tc>
          <w:tcPr>
            <w:tcW w:w="1754"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99"/>
              <w:jc w:val="right"/>
              <w:rPr>
                <w:rFonts w:ascii="宋体" w:hAnsi="宋体" w:cs="宋体" w:eastAsia="宋体" w:hint="default"/>
                <w:sz w:val="16"/>
                <w:szCs w:val="16"/>
              </w:rPr>
            </w:pPr>
            <w:r>
              <w:rPr>
                <w:rFonts w:ascii="宋体"/>
                <w:w w:val="95"/>
                <w:sz w:val="16"/>
              </w:rPr>
              <w:t>100,686,178,479</w:t>
            </w:r>
            <w:r>
              <w:rPr>
                <w:rFonts w:ascii="宋体"/>
                <w:sz w:val="16"/>
              </w:rPr>
            </w:r>
          </w:p>
        </w:tc>
        <w:tc>
          <w:tcPr>
            <w:tcW w:w="2006"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412"/>
              <w:jc w:val="right"/>
              <w:rPr>
                <w:rFonts w:ascii="宋体" w:hAnsi="宋体" w:cs="宋体" w:eastAsia="宋体" w:hint="default"/>
                <w:sz w:val="16"/>
                <w:szCs w:val="16"/>
              </w:rPr>
            </w:pPr>
            <w:r>
              <w:rPr>
                <w:rFonts w:ascii="宋体"/>
                <w:w w:val="95"/>
                <w:sz w:val="16"/>
              </w:rPr>
              <w:t>100,072,258,479</w:t>
            </w:r>
            <w:r>
              <w:rPr>
                <w:rFonts w:ascii="宋体"/>
                <w:sz w:val="16"/>
              </w:rPr>
            </w:r>
          </w:p>
        </w:tc>
        <w:tc>
          <w:tcPr>
            <w:tcW w:w="1575"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99"/>
              <w:jc w:val="right"/>
              <w:rPr>
                <w:rFonts w:ascii="宋体" w:hAnsi="宋体" w:cs="宋体" w:eastAsia="宋体" w:hint="default"/>
                <w:sz w:val="16"/>
                <w:szCs w:val="16"/>
              </w:rPr>
            </w:pPr>
            <w:r>
              <w:rPr>
                <w:rFonts w:ascii="宋体"/>
                <w:sz w:val="16"/>
              </w:rPr>
              <w:t>613,920,000</w:t>
            </w:r>
          </w:p>
        </w:tc>
        <w:tc>
          <w:tcPr>
            <w:tcW w:w="1704"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100,686,178,479</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113" w:right="87"/>
        <w:jc w:val="left"/>
      </w:pPr>
      <w:r>
        <w:rPr/>
        <w:t>(a)</w:t>
      </w:r>
      <w:r>
        <w:rPr>
          <w:spacing w:val="15"/>
        </w:rPr>
        <w:t> </w:t>
      </w:r>
      <w:r>
        <w:rPr/>
        <w:t>联通</w:t>
      </w:r>
      <w:r>
        <w:rPr>
          <w:spacing w:val="-59"/>
        </w:rPr>
        <w:t> </w:t>
      </w:r>
      <w:r>
        <w:rPr/>
        <w:t>BVI</w:t>
      </w:r>
      <w:r>
        <w:rPr>
          <w:spacing w:val="-59"/>
        </w:rPr>
        <w:t> </w:t>
      </w:r>
      <w:r>
        <w:rPr/>
        <w:t>公司</w:t>
      </w:r>
    </w:p>
    <w:p>
      <w:pPr>
        <w:spacing w:line="240" w:lineRule="auto" w:before="12"/>
        <w:rPr>
          <w:rFonts w:ascii="宋体" w:hAnsi="宋体" w:cs="宋体" w:eastAsia="宋体" w:hint="default"/>
          <w:sz w:val="17"/>
          <w:szCs w:val="17"/>
        </w:rPr>
      </w:pPr>
    </w:p>
    <w:p>
      <w:pPr>
        <w:pStyle w:val="BodyText"/>
        <w:spacing w:line="240" w:lineRule="auto"/>
        <w:ind w:right="87"/>
        <w:jc w:val="left"/>
      </w:pPr>
      <w:r>
        <w:rPr/>
        <w:t>本公司持有联通</w:t>
      </w:r>
      <w:r>
        <w:rPr>
          <w:spacing w:val="-28"/>
        </w:rPr>
        <w:t> </w:t>
      </w:r>
      <w:r>
        <w:rPr/>
        <w:t>BVI</w:t>
      </w:r>
      <w:r>
        <w:rPr>
          <w:spacing w:val="-28"/>
        </w:rPr>
        <w:t> </w:t>
      </w:r>
      <w:r>
        <w:rPr/>
        <w:t>公司</w:t>
      </w:r>
      <w:r>
        <w:rPr>
          <w:spacing w:val="-28"/>
        </w:rPr>
        <w:t> </w:t>
      </w:r>
      <w:r>
        <w:rPr/>
        <w:t>82.10%</w:t>
      </w:r>
      <w:r>
        <w:rPr>
          <w:spacing w:val="-29"/>
        </w:rPr>
        <w:t> </w:t>
      </w:r>
      <w:r>
        <w:rPr/>
        <w:t>股份，并通过联通</w:t>
      </w:r>
      <w:r>
        <w:rPr>
          <w:spacing w:val="-28"/>
        </w:rPr>
        <w:t> </w:t>
      </w:r>
      <w:r>
        <w:rPr/>
        <w:t>BVI</w:t>
      </w:r>
      <w:r>
        <w:rPr>
          <w:spacing w:val="-28"/>
        </w:rPr>
        <w:t> </w:t>
      </w:r>
      <w:r>
        <w:rPr/>
        <w:t>公司间接拥有对联通红筹公司及其子公司的投资。</w:t>
      </w:r>
    </w:p>
    <w:p>
      <w:pPr>
        <w:spacing w:line="240" w:lineRule="auto" w:before="10"/>
        <w:rPr>
          <w:rFonts w:ascii="宋体" w:hAnsi="宋体" w:cs="宋体" w:eastAsia="宋体" w:hint="default"/>
          <w:sz w:val="14"/>
          <w:szCs w:val="14"/>
        </w:rPr>
      </w:pPr>
    </w:p>
    <w:p>
      <w:pPr>
        <w:spacing w:after="0" w:line="240" w:lineRule="auto"/>
        <w:rPr>
          <w:rFonts w:ascii="宋体" w:hAnsi="宋体" w:cs="宋体" w:eastAsia="宋体" w:hint="default"/>
          <w:sz w:val="14"/>
          <w:szCs w:val="14"/>
        </w:rPr>
        <w:sectPr>
          <w:headerReference w:type="default" r:id="rId366"/>
          <w:pgSz w:w="11910" w:h="16160"/>
          <w:pgMar w:header="0" w:footer="298" w:top="1520" w:bottom="480" w:left="1360" w:right="600"/>
        </w:sectPr>
      </w:pPr>
    </w:p>
    <w:p>
      <w:pPr>
        <w:spacing w:line="205" w:lineRule="exact" w:before="41"/>
        <w:ind w:left="0" w:right="0" w:firstLine="0"/>
        <w:jc w:val="right"/>
        <w:rPr>
          <w:rFonts w:ascii="宋体" w:hAnsi="宋体" w:cs="宋体" w:eastAsia="宋体" w:hint="default"/>
          <w:sz w:val="16"/>
          <w:szCs w:val="16"/>
        </w:rPr>
      </w:pPr>
      <w:r>
        <w:rPr>
          <w:rFonts w:ascii="宋体" w:hAnsi="宋体" w:cs="宋体" w:eastAsia="宋体" w:hint="default"/>
          <w:sz w:val="16"/>
          <w:szCs w:val="16"/>
        </w:rPr>
        <w:t>核算方法  持股比例 (%)  表决权比例 (%)</w:t>
      </w:r>
      <w:r>
        <w:rPr>
          <w:rFonts w:ascii="宋体" w:hAnsi="宋体" w:cs="宋体" w:eastAsia="宋体" w:hint="default"/>
          <w:spacing w:val="37"/>
          <w:sz w:val="16"/>
          <w:szCs w:val="16"/>
        </w:rPr>
        <w:t> </w:t>
      </w:r>
      <w:r>
        <w:rPr>
          <w:rFonts w:ascii="宋体" w:hAnsi="宋体" w:cs="宋体" w:eastAsia="宋体" w:hint="default"/>
          <w:sz w:val="16"/>
          <w:szCs w:val="16"/>
        </w:rPr>
        <w:t>持股比例与表决权</w:t>
      </w:r>
    </w:p>
    <w:p>
      <w:pPr>
        <w:spacing w:line="205" w:lineRule="exact" w:before="0"/>
        <w:ind w:left="0" w:right="0" w:firstLine="0"/>
        <w:jc w:val="right"/>
        <w:rPr>
          <w:rFonts w:ascii="宋体" w:hAnsi="宋体" w:cs="宋体" w:eastAsia="宋体" w:hint="default"/>
          <w:sz w:val="16"/>
          <w:szCs w:val="16"/>
        </w:rPr>
      </w:pPr>
      <w:r>
        <w:rPr>
          <w:rFonts w:ascii="宋体" w:hAnsi="宋体" w:cs="宋体" w:eastAsia="宋体" w:hint="default"/>
          <w:sz w:val="16"/>
          <w:szCs w:val="16"/>
        </w:rPr>
        <w:t>比例不一致的说明</w:t>
      </w:r>
    </w:p>
    <w:p>
      <w:pPr>
        <w:tabs>
          <w:tab w:pos="2311" w:val="left" w:leader="none"/>
        </w:tabs>
        <w:spacing w:line="205" w:lineRule="exact" w:before="41"/>
        <w:ind w:left="0" w:right="262" w:firstLine="0"/>
        <w:jc w:val="right"/>
        <w:rPr>
          <w:rFonts w:ascii="宋体" w:hAnsi="宋体" w:cs="宋体" w:eastAsia="宋体" w:hint="default"/>
          <w:sz w:val="16"/>
          <w:szCs w:val="16"/>
        </w:rPr>
      </w:pPr>
      <w:r>
        <w:rPr/>
        <w:br w:type="column"/>
      </w:r>
      <w:r>
        <w:rPr>
          <w:rFonts w:ascii="宋体" w:hAnsi="宋体" w:cs="宋体" w:eastAsia="宋体" w:hint="default"/>
          <w:sz w:val="16"/>
          <w:szCs w:val="16"/>
        </w:rPr>
        <w:t>减值准备 </w:t>
      </w:r>
      <w:r>
        <w:rPr>
          <w:rFonts w:ascii="宋体" w:hAnsi="宋体" w:cs="宋体" w:eastAsia="宋体" w:hint="default"/>
          <w:spacing w:val="31"/>
          <w:sz w:val="16"/>
          <w:szCs w:val="16"/>
        </w:rPr>
        <w:t> </w:t>
      </w:r>
      <w:r>
        <w:rPr>
          <w:rFonts w:ascii="宋体" w:hAnsi="宋体" w:cs="宋体" w:eastAsia="宋体" w:hint="default"/>
          <w:sz w:val="16"/>
          <w:szCs w:val="16"/>
        </w:rPr>
        <w:t>本年计提减值准备</w:t>
        <w:tab/>
      </w:r>
      <w:r>
        <w:rPr>
          <w:rFonts w:ascii="宋体" w:hAnsi="宋体" w:cs="宋体" w:eastAsia="宋体" w:hint="default"/>
          <w:w w:val="95"/>
          <w:sz w:val="16"/>
          <w:szCs w:val="16"/>
        </w:rPr>
        <w:t>本年宣告分派</w:t>
      </w:r>
    </w:p>
    <w:p>
      <w:pPr>
        <w:spacing w:line="205" w:lineRule="exact" w:before="0"/>
        <w:ind w:left="0" w:right="262" w:firstLine="0"/>
        <w:jc w:val="right"/>
        <w:rPr>
          <w:rFonts w:ascii="宋体" w:hAnsi="宋体" w:cs="宋体" w:eastAsia="宋体" w:hint="default"/>
          <w:sz w:val="16"/>
          <w:szCs w:val="16"/>
        </w:rPr>
      </w:pPr>
      <w:r>
        <w:rPr>
          <w:rFonts w:ascii="宋体" w:hAnsi="宋体" w:cs="宋体" w:eastAsia="宋体" w:hint="default"/>
          <w:sz w:val="16"/>
          <w:szCs w:val="16"/>
        </w:rPr>
        <w:t>的现金股利</w:t>
      </w:r>
    </w:p>
    <w:p>
      <w:pPr>
        <w:spacing w:after="0" w:line="205" w:lineRule="exact"/>
        <w:jc w:val="right"/>
        <w:rPr>
          <w:rFonts w:ascii="宋体" w:hAnsi="宋体" w:cs="宋体" w:eastAsia="宋体" w:hint="default"/>
          <w:sz w:val="16"/>
          <w:szCs w:val="16"/>
        </w:rPr>
        <w:sectPr>
          <w:type w:val="continuous"/>
          <w:pgSz w:w="11910" w:h="16160"/>
          <w:pgMar w:top="1520" w:bottom="280" w:left="1360" w:right="600"/>
          <w:cols w:num="2" w:equalWidth="0">
            <w:col w:w="6200" w:space="40"/>
            <w:col w:w="3710"/>
          </w:cols>
        </w:sectPr>
      </w:pP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2pt;height:2pt;mso-position-horizontal-relative:char;mso-position-vertical-relative:line" coordorigin="0,0" coordsize="9324,40">
            <v:group style="position:absolute;left:20;top:20;width:1153;height:2" coordorigin="20,20" coordsize="1153,2">
              <v:shape style="position:absolute;left:20;top:20;width:1153;height:2" coordorigin="20,20" coordsize="1153,0" path="m20,20l1173,20e" filled="false" stroked="true" strokeweight="2pt" strokecolor="#9f8958">
                <v:path arrowok="t"/>
              </v:shape>
            </v:group>
            <v:group style="position:absolute;left:1173;top:20;width:851;height:2" coordorigin="1173,20" coordsize="851,2">
              <v:shape style="position:absolute;left:1173;top:20;width:851;height:2" coordorigin="1173,20" coordsize="851,0" path="m1173,20l2023,20e" filled="false" stroked="true" strokeweight="2pt" strokecolor="#9f8958">
                <v:path arrowok="t"/>
              </v:shape>
            </v:group>
            <v:group style="position:absolute;left:2023;top:20;width:1115;height:2" coordorigin="2023,20" coordsize="1115,2">
              <v:shape style="position:absolute;left:2023;top:20;width:1115;height:2" coordorigin="2023,20" coordsize="1115,0" path="m2023,20l3138,20e" filled="false" stroked="true" strokeweight="2pt" strokecolor="#9f8958">
                <v:path arrowok="t"/>
              </v:shape>
            </v:group>
            <v:group style="position:absolute;left:3138;top:20;width:1248;height:2" coordorigin="3138,20" coordsize="1248,2">
              <v:shape style="position:absolute;left:3138;top:20;width:1248;height:2" coordorigin="3138,20" coordsize="1248,0" path="m3138,20l4385,20e" filled="false" stroked="true" strokeweight="2pt" strokecolor="#9f8958">
                <v:path arrowok="t"/>
              </v:shape>
            </v:group>
            <v:group style="position:absolute;left:4385;top:20;width:1437;height:2" coordorigin="4385,20" coordsize="1437,2">
              <v:shape style="position:absolute;left:4385;top:20;width:1437;height:2" coordorigin="4385,20" coordsize="1437,0" path="m4385,20l5822,20e" filled="false" stroked="true" strokeweight="2pt" strokecolor="#9f8958">
                <v:path arrowok="t"/>
              </v:shape>
            </v:group>
            <v:group style="position:absolute;left:5822;top:20;width:850;height:2" coordorigin="5822,20" coordsize="850,2">
              <v:shape style="position:absolute;left:5822;top:20;width:850;height:2" coordorigin="5822,20" coordsize="850,0" path="m5822,20l6672,20e" filled="false" stroked="true" strokeweight="2pt" strokecolor="#9f8958">
                <v:path arrowok="t"/>
              </v:shape>
            </v:group>
            <v:group style="position:absolute;left:6672;top:20;width:1472;height:2" coordorigin="6672,20" coordsize="1472,2">
              <v:shape style="position:absolute;left:6672;top:20;width:1472;height:2" coordorigin="6672,20" coordsize="1472,0" path="m6672,20l8143,20e" filled="false" stroked="true" strokeweight="2pt" strokecolor="#9f8958">
                <v:path arrowok="t"/>
              </v:shape>
            </v:group>
            <v:group style="position:absolute;left:8143;top:20;width:1161;height:2" coordorigin="8143,20" coordsize="1161,2">
              <v:shape style="position:absolute;left:8143;top:20;width:1161;height:2" coordorigin="8143,20" coordsize="1161,0" path="m8143,20l9303,20e" filled="false" stroked="true" strokeweight="2pt" strokecolor="#9f8958">
                <v:path arrowok="t"/>
              </v:shape>
            </v:group>
          </v:group>
        </w:pict>
      </w:r>
      <w:r>
        <w:rPr>
          <w:rFonts w:ascii="宋体" w:hAnsi="宋体" w:cs="宋体" w:eastAsia="宋体" w:hint="default"/>
          <w:position w:val="0"/>
          <w:sz w:val="4"/>
          <w:szCs w:val="4"/>
        </w:rPr>
      </w:r>
    </w:p>
    <w:p>
      <w:pPr>
        <w:tabs>
          <w:tab w:pos="1920" w:val="left" w:leader="none"/>
          <w:tab w:pos="3116" w:val="left" w:leader="none"/>
          <w:tab w:pos="4363" w:val="left" w:leader="none"/>
          <w:tab w:pos="5719" w:val="left" w:leader="none"/>
          <w:tab w:pos="6944" w:val="left" w:leader="none"/>
          <w:tab w:pos="8415" w:val="left" w:leader="none"/>
          <w:tab w:pos="8793" w:val="left" w:leader="none"/>
        </w:tabs>
        <w:spacing w:before="64"/>
        <w:ind w:left="510" w:right="87" w:firstLine="0"/>
        <w:jc w:val="left"/>
        <w:rPr>
          <w:rFonts w:ascii="宋体" w:hAnsi="宋体" w:cs="宋体" w:eastAsia="宋体" w:hint="default"/>
          <w:sz w:val="16"/>
          <w:szCs w:val="16"/>
        </w:rPr>
      </w:pPr>
      <w:r>
        <w:rPr>
          <w:rFonts w:ascii="宋体" w:hAnsi="宋体" w:cs="宋体" w:eastAsia="宋体" w:hint="default"/>
          <w:w w:val="105"/>
          <w:sz w:val="16"/>
          <w:szCs w:val="16"/>
        </w:rPr>
        <w:t>联通</w:t>
      </w:r>
      <w:r>
        <w:rPr>
          <w:rFonts w:ascii="宋体" w:hAnsi="宋体" w:cs="宋体" w:eastAsia="宋体" w:hint="default"/>
          <w:spacing w:val="-62"/>
          <w:w w:val="105"/>
          <w:sz w:val="16"/>
          <w:szCs w:val="16"/>
        </w:rPr>
        <w:t> </w:t>
      </w:r>
      <w:r>
        <w:rPr>
          <w:rFonts w:ascii="宋体" w:hAnsi="宋体" w:cs="宋体" w:eastAsia="宋体" w:hint="default"/>
          <w:w w:val="105"/>
          <w:sz w:val="16"/>
          <w:szCs w:val="16"/>
        </w:rPr>
        <w:t>BVI</w:t>
      </w:r>
      <w:r>
        <w:rPr>
          <w:rFonts w:ascii="宋体" w:hAnsi="宋体" w:cs="宋体" w:eastAsia="宋体" w:hint="default"/>
          <w:spacing w:val="-62"/>
          <w:w w:val="105"/>
          <w:sz w:val="16"/>
          <w:szCs w:val="16"/>
        </w:rPr>
        <w:t> </w:t>
      </w:r>
      <w:r>
        <w:rPr>
          <w:rFonts w:ascii="宋体" w:hAnsi="宋体" w:cs="宋体" w:eastAsia="宋体" w:hint="default"/>
          <w:w w:val="105"/>
          <w:sz w:val="16"/>
          <w:szCs w:val="16"/>
        </w:rPr>
        <w:t>公司</w:t>
        <w:tab/>
      </w:r>
      <w:r>
        <w:rPr>
          <w:rFonts w:ascii="宋体" w:hAnsi="宋体" w:cs="宋体" w:eastAsia="宋体" w:hint="default"/>
          <w:sz w:val="16"/>
          <w:szCs w:val="16"/>
        </w:rPr>
        <w:t>成本法</w:t>
        <w:tab/>
      </w:r>
      <w:r>
        <w:rPr>
          <w:rFonts w:ascii="宋体" w:hAnsi="宋体" w:cs="宋体" w:eastAsia="宋体" w:hint="default"/>
          <w:w w:val="95"/>
          <w:sz w:val="16"/>
          <w:szCs w:val="16"/>
        </w:rPr>
        <w:t>82.10</w:t>
        <w:tab/>
        <w:t>82.10</w:t>
        <w:tab/>
      </w:r>
      <w:r>
        <w:rPr>
          <w:rFonts w:ascii="宋体" w:hAnsi="宋体" w:cs="宋体" w:eastAsia="宋体" w:hint="default"/>
          <w:sz w:val="16"/>
          <w:szCs w:val="16"/>
        </w:rPr>
        <w:t>不适用</w:t>
        <w:tab/>
      </w:r>
      <w:r>
        <w:rPr>
          <w:rFonts w:ascii="宋体" w:hAnsi="宋体" w:cs="宋体" w:eastAsia="宋体" w:hint="default"/>
          <w:w w:val="105"/>
          <w:sz w:val="16"/>
          <w:szCs w:val="16"/>
        </w:rPr>
        <w:t>-</w:t>
        <w:tab/>
        <w:t>-</w:t>
        <w:tab/>
        <w:t>851,543,588</w:t>
      </w:r>
    </w:p>
    <w:p>
      <w:pPr>
        <w:spacing w:line="240" w:lineRule="auto" w:before="9"/>
        <w:rPr>
          <w:rFonts w:ascii="宋体" w:hAnsi="宋体" w:cs="宋体" w:eastAsia="宋体" w:hint="default"/>
          <w:sz w:val="8"/>
          <w:szCs w:val="8"/>
        </w:rPr>
      </w:pPr>
    </w:p>
    <w:p>
      <w:pPr>
        <w:spacing w:line="40" w:lineRule="exact"/>
        <w:ind w:left="43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66.2pt;height:2pt;mso-position-horizontal-relative:char;mso-position-vertical-relative:line" coordorigin="0,0" coordsize="9324,40">
            <v:group style="position:absolute;left:20;top:20;width:1153;height:2" coordorigin="20,20" coordsize="1153,2">
              <v:shape style="position:absolute;left:20;top:20;width:1153;height:2" coordorigin="20,20" coordsize="1153,0" path="m20,20l1173,20e" filled="false" stroked="true" strokeweight="2pt" strokecolor="#9f8958">
                <v:path arrowok="t"/>
              </v:shape>
            </v:group>
            <v:group style="position:absolute;left:1173;top:20;width:851;height:2" coordorigin="1173,20" coordsize="851,2">
              <v:shape style="position:absolute;left:1173;top:20;width:851;height:2" coordorigin="1173,20" coordsize="851,0" path="m1173,20l2023,20e" filled="false" stroked="true" strokeweight="2pt" strokecolor="#9f8958">
                <v:path arrowok="t"/>
              </v:shape>
            </v:group>
            <v:group style="position:absolute;left:2023;top:20;width:1115;height:2" coordorigin="2023,20" coordsize="1115,2">
              <v:shape style="position:absolute;left:2023;top:20;width:1115;height:2" coordorigin="2023,20" coordsize="1115,0" path="m2023,20l3138,20e" filled="false" stroked="true" strokeweight="2pt" strokecolor="#9f8958">
                <v:path arrowok="t"/>
              </v:shape>
            </v:group>
            <v:group style="position:absolute;left:3138;top:20;width:1248;height:2" coordorigin="3138,20" coordsize="1248,2">
              <v:shape style="position:absolute;left:3138;top:20;width:1248;height:2" coordorigin="3138,20" coordsize="1248,0" path="m3138,20l4385,20e" filled="false" stroked="true" strokeweight="2pt" strokecolor="#9f8958">
                <v:path arrowok="t"/>
              </v:shape>
            </v:group>
            <v:group style="position:absolute;left:4385;top:20;width:1437;height:2" coordorigin="4385,20" coordsize="1437,2">
              <v:shape style="position:absolute;left:4385;top:20;width:1437;height:2" coordorigin="4385,20" coordsize="1437,0" path="m4385,20l5822,20e" filled="false" stroked="true" strokeweight="2pt" strokecolor="#9f8958">
                <v:path arrowok="t"/>
              </v:shape>
            </v:group>
            <v:group style="position:absolute;left:5822;top:20;width:850;height:2" coordorigin="5822,20" coordsize="850,2">
              <v:shape style="position:absolute;left:5822;top:20;width:850;height:2" coordorigin="5822,20" coordsize="850,0" path="m5822,20l6672,20e" filled="false" stroked="true" strokeweight="2pt" strokecolor="#9f8958">
                <v:path arrowok="t"/>
              </v:shape>
            </v:group>
            <v:group style="position:absolute;left:6672;top:20;width:1472;height:2" coordorigin="6672,20" coordsize="1472,2">
              <v:shape style="position:absolute;left:6672;top:20;width:1472;height:2" coordorigin="6672,20" coordsize="1472,0" path="m6672,20l8143,20e" filled="false" stroked="true" strokeweight="2pt" strokecolor="#9f8958">
                <v:path arrowok="t"/>
              </v:shape>
            </v:group>
            <v:group style="position:absolute;left:8143;top:20;width:1161;height:2" coordorigin="8143,20" coordsize="1161,2">
              <v:shape style="position:absolute;left:8143;top:20;width:1161;height:2" coordorigin="8143,20" coordsize="1161,0" path="m8143,20l9303,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1"/>
        <w:rPr>
          <w:rFonts w:ascii="宋体" w:hAnsi="宋体" w:cs="宋体" w:eastAsia="宋体" w:hint="default"/>
          <w:sz w:val="15"/>
          <w:szCs w:val="15"/>
        </w:rPr>
      </w:pPr>
    </w:p>
    <w:p>
      <w:pPr>
        <w:pStyle w:val="BodyText"/>
        <w:spacing w:line="240" w:lineRule="auto" w:before="31"/>
        <w:ind w:left="114" w:right="87"/>
        <w:jc w:val="left"/>
      </w:pPr>
      <w:r>
        <w:rPr/>
        <w:t>(b)</w:t>
      </w:r>
      <w:r>
        <w:rPr>
          <w:spacing w:val="-21"/>
        </w:rPr>
        <w:t> </w:t>
      </w:r>
      <w:r>
        <w:rPr/>
        <w:t>联通运营公司</w:t>
      </w:r>
    </w:p>
    <w:p>
      <w:pPr>
        <w:spacing w:line="240" w:lineRule="auto" w:before="12"/>
        <w:rPr>
          <w:rFonts w:ascii="宋体" w:hAnsi="宋体" w:cs="宋体" w:eastAsia="宋体" w:hint="default"/>
          <w:sz w:val="17"/>
          <w:szCs w:val="17"/>
        </w:rPr>
      </w:pPr>
    </w:p>
    <w:p>
      <w:pPr>
        <w:pStyle w:val="BodyText"/>
        <w:spacing w:line="285" w:lineRule="auto"/>
        <w:ind w:right="94"/>
        <w:jc w:val="left"/>
      </w:pPr>
      <w:r>
        <w:rPr>
          <w:spacing w:val="-6"/>
        </w:rPr>
        <w:t>如附注十二所述，本公司于</w:t>
      </w:r>
      <w:r>
        <w:rPr>
          <w:spacing w:val="-38"/>
        </w:rPr>
        <w:t> </w:t>
      </w:r>
      <w:r>
        <w:rPr/>
        <w:t>2018</w:t>
      </w:r>
      <w:r>
        <w:rPr>
          <w:spacing w:val="-38"/>
        </w:rPr>
        <w:t> </w:t>
      </w:r>
      <w:r>
        <w:rPr>
          <w:spacing w:val="-5"/>
        </w:rPr>
        <w:t>年实施限制性股票激励计划，本公司为结算企业，联通运营公司为接受服务企业。因此，</w:t>
      </w:r>
      <w:r>
        <w:rPr>
          <w:spacing w:val="-83"/>
        </w:rPr>
        <w:t> </w:t>
      </w:r>
      <w:r>
        <w:rPr>
          <w:spacing w:val="-83"/>
        </w:rPr>
      </w:r>
      <w:r>
        <w:rPr/>
        <w:t>本公司按照授予日权益工具的公允价值确认为对联通运营公司的长期股权投资，同时确认资本公积。</w:t>
      </w:r>
    </w:p>
    <w:p>
      <w:pPr>
        <w:spacing w:after="0" w:line="285" w:lineRule="auto"/>
        <w:jc w:val="left"/>
        <w:sectPr>
          <w:type w:val="continuous"/>
          <w:pgSz w:w="11910" w:h="16160"/>
          <w:pgMar w:top="1520" w:bottom="2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53" w:right="87"/>
        <w:jc w:val="left"/>
        <w:rPr>
          <w:rFonts w:ascii="宋体" w:hAnsi="宋体" w:cs="宋体" w:eastAsia="宋体" w:hint="default"/>
        </w:rPr>
      </w:pPr>
      <w:r>
        <w:rPr>
          <w:rFonts w:ascii="宋体" w:hAnsi="宋体" w:cs="宋体" w:eastAsia="宋体" w:hint="default"/>
          <w:color w:val="9F8958"/>
        </w:rPr>
        <w:t>十五、本公司个别财务报表主要项目注释（续）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53" w:right="87"/>
        <w:jc w:val="left"/>
      </w:pPr>
      <w:r>
        <w:rPr/>
        <w:t>4、</w:t>
      </w:r>
      <w:r>
        <w:rPr>
          <w:spacing w:val="-21"/>
        </w:rPr>
        <w:t> </w:t>
      </w:r>
      <w:r>
        <w:rPr/>
        <w:t>其他非流动资产</w:t>
      </w:r>
    </w:p>
    <w:p>
      <w:pPr>
        <w:spacing w:line="240" w:lineRule="auto" w:before="4"/>
        <w:rPr>
          <w:rFonts w:ascii="宋体" w:hAnsi="宋体" w:cs="宋体" w:eastAsia="宋体" w:hint="default"/>
          <w:sz w:val="17"/>
          <w:szCs w:val="17"/>
        </w:rPr>
      </w:pPr>
    </w:p>
    <w:tbl>
      <w:tblPr>
        <w:tblW w:w="0" w:type="auto"/>
        <w:jc w:val="left"/>
        <w:tblInd w:w="473"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委托贷款</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3,042,122,315</w:t>
            </w:r>
            <w:r>
              <w:rPr>
                <w:rFonts w:ascii="宋体"/>
                <w:sz w:val="16"/>
              </w:rPr>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11"/>
                <w:sz w:val="16"/>
              </w:rPr>
              <w:t>0</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left="493" w:right="87"/>
        <w:jc w:val="left"/>
      </w:pPr>
      <w:r>
        <w:rPr>
          <w:spacing w:val="-1"/>
          <w:w w:val="111"/>
        </w:rPr>
        <w:t>201</w:t>
      </w:r>
      <w:r>
        <w:rPr>
          <w:w w:val="111"/>
        </w:rPr>
        <w:t>8</w:t>
      </w:r>
      <w:r>
        <w:rPr>
          <w:spacing w:val="-45"/>
        </w:rPr>
        <w:t> </w:t>
      </w:r>
      <w:r>
        <w:rPr/>
        <w:t>年</w:t>
      </w:r>
      <w:r>
        <w:rPr>
          <w:spacing w:val="-45"/>
        </w:rPr>
        <w:t> </w:t>
      </w:r>
      <w:r>
        <w:rPr>
          <w:spacing w:val="-1"/>
          <w:w w:val="111"/>
        </w:rPr>
        <w:t>1</w:t>
      </w:r>
      <w:r>
        <w:rPr>
          <w:w w:val="111"/>
        </w:rPr>
        <w:t>2</w:t>
      </w:r>
      <w:r>
        <w:rPr>
          <w:spacing w:val="-45"/>
        </w:rPr>
        <w:t> </w:t>
      </w:r>
      <w:r>
        <w:rPr/>
        <w:t>月</w:t>
      </w:r>
      <w:r>
        <w:rPr>
          <w:spacing w:val="2"/>
        </w:rPr>
        <w:t>，本公司通过财务公司与联通运营公司签订了委托贷款合</w:t>
      </w:r>
      <w:r>
        <w:rPr/>
        <w:t>同</w:t>
      </w:r>
      <w:r>
        <w:rPr>
          <w:spacing w:val="2"/>
        </w:rPr>
        <w:t>，贷款额度为人民</w:t>
      </w:r>
      <w:r>
        <w:rPr/>
        <w:t>币</w:t>
      </w:r>
      <w:r>
        <w:rPr>
          <w:spacing w:val="-45"/>
        </w:rPr>
        <w:t> </w:t>
      </w:r>
      <w:r>
        <w:rPr>
          <w:spacing w:val="-1"/>
          <w:w w:val="111"/>
        </w:rPr>
        <w:t>35</w:t>
      </w:r>
      <w:r>
        <w:rPr>
          <w:w w:val="55"/>
        </w:rPr>
        <w:t>.</w:t>
      </w:r>
      <w:r>
        <w:rPr>
          <w:spacing w:val="-1"/>
          <w:w w:val="111"/>
        </w:rPr>
        <w:t>0</w:t>
      </w:r>
      <w:r>
        <w:rPr>
          <w:w w:val="111"/>
        </w:rPr>
        <w:t>0</w:t>
      </w:r>
      <w:r>
        <w:rPr>
          <w:spacing w:val="-45"/>
        </w:rPr>
        <w:t> </w:t>
      </w:r>
      <w:r>
        <w:rPr>
          <w:spacing w:val="2"/>
        </w:rPr>
        <w:t>亿</w:t>
      </w:r>
      <w:r>
        <w:rPr/>
        <w:t>元</w:t>
      </w:r>
      <w:r>
        <w:rPr>
          <w:spacing w:val="2"/>
        </w:rPr>
        <w:t>，借款期限</w:t>
      </w:r>
      <w:r>
        <w:rPr/>
      </w:r>
    </w:p>
    <w:p>
      <w:pPr>
        <w:pStyle w:val="BodyText"/>
        <w:spacing w:line="240" w:lineRule="auto" w:before="44"/>
        <w:ind w:left="493" w:right="87"/>
        <w:jc w:val="left"/>
      </w:pPr>
      <w:r>
        <w:rPr/>
        <w:t>为五年，借款利率为固定利率</w:t>
      </w:r>
      <w:r>
        <w:rPr>
          <w:spacing w:val="-27"/>
        </w:rPr>
        <w:t> </w:t>
      </w:r>
      <w:r>
        <w:rPr/>
        <w:t>4.275%。于</w:t>
      </w:r>
      <w:r>
        <w:rPr>
          <w:spacing w:val="-28"/>
        </w:rPr>
        <w:t> </w:t>
      </w:r>
      <w:r>
        <w:rPr/>
        <w:t>2018</w:t>
      </w:r>
      <w:r>
        <w:rPr>
          <w:spacing w:val="-28"/>
        </w:rPr>
        <w:t> </w:t>
      </w:r>
      <w:r>
        <w:rPr/>
        <w:t>年</w:t>
      </w:r>
      <w:r>
        <w:rPr>
          <w:spacing w:val="-27"/>
        </w:rPr>
        <w:t> </w:t>
      </w:r>
      <w:r>
        <w:rPr/>
        <w:t>12</w:t>
      </w:r>
      <w:r>
        <w:rPr>
          <w:spacing w:val="-28"/>
        </w:rPr>
        <w:t> </w:t>
      </w:r>
      <w:r>
        <w:rPr/>
        <w:t>月</w:t>
      </w:r>
      <w:r>
        <w:rPr>
          <w:spacing w:val="-27"/>
        </w:rPr>
        <w:t> </w:t>
      </w:r>
      <w:r>
        <w:rPr/>
        <w:t>31</w:t>
      </w:r>
      <w:r>
        <w:rPr>
          <w:spacing w:val="-28"/>
        </w:rPr>
        <w:t> </w:t>
      </w:r>
      <w:r>
        <w:rPr/>
        <w:t>日，联通运营公司共借入委托贷款人民币</w:t>
      </w:r>
      <w:r>
        <w:rPr>
          <w:spacing w:val="-27"/>
        </w:rPr>
        <w:t> </w:t>
      </w:r>
      <w:r>
        <w:rPr/>
        <w:t>30.42</w:t>
      </w:r>
      <w:r>
        <w:rPr>
          <w:spacing w:val="-28"/>
        </w:rPr>
        <w:t> </w:t>
      </w:r>
      <w:r>
        <w:rPr/>
        <w:t>亿元。</w:t>
      </w:r>
    </w:p>
    <w:p>
      <w:pPr>
        <w:spacing w:line="240" w:lineRule="auto" w:before="0"/>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1963"/>
        <w:gridCol w:w="2676"/>
        <w:gridCol w:w="1902"/>
        <w:gridCol w:w="1255"/>
        <w:gridCol w:w="1876"/>
      </w:tblGrid>
      <w:tr>
        <w:trPr>
          <w:trHeight w:val="843" w:hRule="exact"/>
        </w:trPr>
        <w:tc>
          <w:tcPr>
            <w:tcW w:w="1963"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5、</w:t>
            </w:r>
            <w:r>
              <w:rPr>
                <w:rFonts w:ascii="宋体" w:hAnsi="宋体" w:cs="宋体" w:eastAsia="宋体" w:hint="default"/>
                <w:spacing w:val="-21"/>
                <w:sz w:val="18"/>
                <w:szCs w:val="18"/>
              </w:rPr>
              <w:t> </w:t>
            </w:r>
            <w:r>
              <w:rPr>
                <w:rFonts w:ascii="宋体" w:hAnsi="宋体" w:cs="宋体" w:eastAsia="宋体" w:hint="default"/>
                <w:sz w:val="18"/>
                <w:szCs w:val="18"/>
              </w:rPr>
              <w:t>股本</w:t>
            </w:r>
          </w:p>
        </w:tc>
        <w:tc>
          <w:tcPr>
            <w:tcW w:w="2676"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449"/>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902"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562"/>
              <w:jc w:val="right"/>
              <w:rPr>
                <w:rFonts w:ascii="宋体" w:hAnsi="宋体" w:cs="宋体" w:eastAsia="宋体" w:hint="default"/>
                <w:sz w:val="16"/>
                <w:szCs w:val="16"/>
              </w:rPr>
            </w:pPr>
            <w:r>
              <w:rPr>
                <w:rFonts w:ascii="宋体" w:hAnsi="宋体" w:cs="宋体" w:eastAsia="宋体" w:hint="default"/>
                <w:sz w:val="16"/>
                <w:szCs w:val="16"/>
              </w:rPr>
              <w:t>发行新股</w:t>
            </w:r>
          </w:p>
        </w:tc>
        <w:tc>
          <w:tcPr>
            <w:tcW w:w="1255"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70"/>
              <w:jc w:val="right"/>
              <w:rPr>
                <w:rFonts w:ascii="宋体" w:hAnsi="宋体" w:cs="宋体" w:eastAsia="宋体" w:hint="default"/>
                <w:sz w:val="16"/>
                <w:szCs w:val="16"/>
              </w:rPr>
            </w:pPr>
            <w:r>
              <w:rPr>
                <w:rFonts w:ascii="宋体" w:hAnsi="宋体" w:cs="宋体" w:eastAsia="宋体" w:hint="default"/>
                <w:sz w:val="16"/>
                <w:szCs w:val="16"/>
              </w:rPr>
              <w:t>其他</w:t>
            </w:r>
          </w:p>
        </w:tc>
        <w:tc>
          <w:tcPr>
            <w:tcW w:w="1876"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196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股份总数</w:t>
            </w:r>
          </w:p>
        </w:tc>
        <w:tc>
          <w:tcPr>
            <w:tcW w:w="2676"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449"/>
              <w:jc w:val="right"/>
              <w:rPr>
                <w:rFonts w:ascii="宋体" w:hAnsi="宋体" w:cs="宋体" w:eastAsia="宋体" w:hint="default"/>
                <w:sz w:val="16"/>
                <w:szCs w:val="16"/>
              </w:rPr>
            </w:pPr>
            <w:r>
              <w:rPr>
                <w:rFonts w:ascii="宋体"/>
                <w:w w:val="95"/>
                <w:sz w:val="16"/>
              </w:rPr>
              <w:t>30,233,950,687</w:t>
            </w:r>
            <w:r>
              <w:rPr>
                <w:rFonts w:ascii="宋体"/>
                <w:sz w:val="16"/>
              </w:rPr>
            </w:r>
          </w:p>
        </w:tc>
        <w:tc>
          <w:tcPr>
            <w:tcW w:w="19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560"/>
              <w:jc w:val="right"/>
              <w:rPr>
                <w:rFonts w:ascii="宋体" w:hAnsi="宋体" w:cs="宋体" w:eastAsia="宋体" w:hint="default"/>
                <w:sz w:val="16"/>
                <w:szCs w:val="16"/>
              </w:rPr>
            </w:pPr>
            <w:r>
              <w:rPr>
                <w:rFonts w:ascii="宋体"/>
                <w:sz w:val="16"/>
              </w:rPr>
              <w:t>793,861,000</w:t>
            </w:r>
          </w:p>
        </w:tc>
        <w:tc>
          <w:tcPr>
            <w:tcW w:w="1255"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370"/>
              <w:jc w:val="right"/>
              <w:rPr>
                <w:rFonts w:ascii="宋体" w:hAnsi="宋体" w:cs="宋体" w:eastAsia="宋体" w:hint="default"/>
                <w:sz w:val="16"/>
                <w:szCs w:val="16"/>
              </w:rPr>
            </w:pPr>
            <w:r>
              <w:rPr>
                <w:rFonts w:ascii="宋体"/>
                <w:w w:val="111"/>
                <w:sz w:val="16"/>
              </w:rPr>
              <w:t>0</w:t>
            </w:r>
            <w:r>
              <w:rPr>
                <w:rFonts w:ascii="宋体"/>
                <w:sz w:val="16"/>
              </w:rPr>
            </w:r>
          </w:p>
        </w:tc>
        <w:tc>
          <w:tcPr>
            <w:tcW w:w="1876"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31,027,811,687</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493" w:right="87"/>
        <w:jc w:val="left"/>
      </w:pPr>
      <w:r>
        <w:rPr>
          <w:spacing w:val="16"/>
        </w:rPr>
        <w:t>如附注</w:t>
      </w:r>
      <w:r>
        <w:rPr/>
        <w:t>五</w:t>
      </w:r>
      <w:r>
        <w:rPr>
          <w:spacing w:val="-41"/>
        </w:rPr>
        <w:t> </w:t>
      </w:r>
      <w:r>
        <w:rPr>
          <w:w w:val="55"/>
        </w:rPr>
        <w:t>(</w:t>
      </w:r>
      <w:r>
        <w:rPr>
          <w:spacing w:val="-1"/>
          <w:w w:val="111"/>
        </w:rPr>
        <w:t>30</w:t>
      </w:r>
      <w:r>
        <w:rPr>
          <w:w w:val="55"/>
        </w:rPr>
        <w:t>)</w:t>
      </w:r>
      <w:r>
        <w:rPr>
          <w:spacing w:val="-41"/>
        </w:rPr>
        <w:t> </w:t>
      </w:r>
      <w:r>
        <w:rPr>
          <w:spacing w:val="16"/>
        </w:rPr>
        <w:t>及附注十二所</w:t>
      </w:r>
      <w:r>
        <w:rPr/>
        <w:t>述</w:t>
      </w:r>
      <w:r>
        <w:rPr>
          <w:spacing w:val="16"/>
        </w:rPr>
        <w:t>，本公司</w:t>
      </w:r>
      <w:r>
        <w:rPr/>
        <w:t>于</w:t>
      </w:r>
      <w:r>
        <w:rPr>
          <w:spacing w:val="-41"/>
        </w:rPr>
        <w:t> </w:t>
      </w:r>
      <w:r>
        <w:rPr>
          <w:spacing w:val="-1"/>
          <w:w w:val="111"/>
        </w:rPr>
        <w:t>201</w:t>
      </w:r>
      <w:r>
        <w:rPr>
          <w:w w:val="111"/>
        </w:rPr>
        <w:t>8</w:t>
      </w:r>
      <w:r>
        <w:rPr>
          <w:spacing w:val="-41"/>
        </w:rPr>
        <w:t> </w:t>
      </w:r>
      <w:r>
        <w:rPr>
          <w:spacing w:val="16"/>
        </w:rPr>
        <w:t>年向限制性股票激励计划激励对象定向发行人民币普通股股</w:t>
      </w:r>
      <w:r>
        <w:rPr/>
        <w:t>票</w:t>
      </w:r>
      <w:r>
        <w:rPr>
          <w:spacing w:val="-74"/>
        </w:rPr>
        <w:t> </w:t>
      </w:r>
      <w:r>
        <w:rPr/>
      </w:r>
    </w:p>
    <w:p>
      <w:pPr>
        <w:pStyle w:val="BodyText"/>
        <w:spacing w:line="240" w:lineRule="auto" w:before="44"/>
        <w:ind w:left="493" w:right="87"/>
        <w:jc w:val="left"/>
      </w:pPr>
      <w:r>
        <w:rPr/>
        <w:t>793,861,000</w:t>
      </w:r>
      <w:r>
        <w:rPr>
          <w:spacing w:val="-38"/>
        </w:rPr>
        <w:t> </w:t>
      </w:r>
      <w:r>
        <w:rPr/>
        <w:t>股。</w:t>
      </w:r>
    </w:p>
    <w:p>
      <w:pPr>
        <w:spacing w:line="240" w:lineRule="auto" w:before="5"/>
        <w:rPr>
          <w:rFonts w:ascii="宋体" w:hAnsi="宋体" w:cs="宋体" w:eastAsia="宋体" w:hint="default"/>
          <w:sz w:val="16"/>
          <w:szCs w:val="16"/>
        </w:rPr>
      </w:pPr>
    </w:p>
    <w:p>
      <w:pPr>
        <w:pStyle w:val="BodyText"/>
        <w:spacing w:line="240" w:lineRule="auto"/>
        <w:ind w:left="153" w:right="87"/>
        <w:jc w:val="left"/>
      </w:pPr>
      <w:r>
        <w:rPr/>
        <w:t>6、</w:t>
      </w:r>
      <w:r>
        <w:rPr>
          <w:spacing w:val="-21"/>
        </w:rPr>
        <w:t> </w:t>
      </w:r>
      <w:r>
        <w:rPr/>
        <w:t>资本公积</w:t>
      </w:r>
    </w:p>
    <w:p>
      <w:pPr>
        <w:spacing w:line="240" w:lineRule="auto" w:before="10"/>
        <w:rPr>
          <w:rFonts w:ascii="宋体" w:hAnsi="宋体" w:cs="宋体" w:eastAsia="宋体" w:hint="default"/>
          <w:sz w:val="14"/>
          <w:szCs w:val="14"/>
        </w:rPr>
      </w:pPr>
    </w:p>
    <w:tbl>
      <w:tblPr>
        <w:tblW w:w="0" w:type="auto"/>
        <w:jc w:val="left"/>
        <w:tblInd w:w="493" w:type="dxa"/>
        <w:tblLayout w:type="fixed"/>
        <w:tblCellMar>
          <w:top w:w="0" w:type="dxa"/>
          <w:left w:w="0" w:type="dxa"/>
          <w:bottom w:w="0" w:type="dxa"/>
          <w:right w:w="0" w:type="dxa"/>
        </w:tblCellMar>
        <w:tblLook w:val="01E0"/>
      </w:tblPr>
      <w:tblGrid>
        <w:gridCol w:w="2068"/>
        <w:gridCol w:w="1274"/>
        <w:gridCol w:w="1859"/>
        <w:gridCol w:w="1357"/>
        <w:gridCol w:w="1014"/>
        <w:gridCol w:w="1725"/>
      </w:tblGrid>
      <w:tr>
        <w:trPr>
          <w:trHeight w:val="384" w:hRule="exact"/>
        </w:trPr>
        <w:tc>
          <w:tcPr>
            <w:tcW w:w="2068"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left="113" w:right="0"/>
              <w:jc w:val="left"/>
              <w:rPr>
                <w:rFonts w:ascii="宋体" w:hAnsi="宋体" w:cs="宋体" w:eastAsia="宋体" w:hint="default"/>
                <w:sz w:val="16"/>
                <w:szCs w:val="16"/>
              </w:rPr>
            </w:pPr>
            <w:r>
              <w:rPr>
                <w:rFonts w:ascii="宋体" w:hAnsi="宋体" w:cs="宋体" w:eastAsia="宋体" w:hint="default"/>
                <w:sz w:val="16"/>
                <w:szCs w:val="16"/>
              </w:rPr>
              <w:t>项目</w:t>
            </w:r>
          </w:p>
        </w:tc>
        <w:tc>
          <w:tcPr>
            <w:tcW w:w="1274"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left="69" w:right="0"/>
              <w:jc w:val="center"/>
              <w:rPr>
                <w:rFonts w:ascii="宋体" w:hAnsi="宋体" w:cs="宋体" w:eastAsia="宋体" w:hint="default"/>
                <w:sz w:val="16"/>
                <w:szCs w:val="16"/>
              </w:rPr>
            </w:pPr>
            <w:r>
              <w:rPr>
                <w:rFonts w:ascii="宋体" w:hAnsi="宋体" w:cs="宋体" w:eastAsia="宋体" w:hint="default"/>
                <w:sz w:val="16"/>
                <w:szCs w:val="16"/>
              </w:rPr>
              <w:t>注释</w:t>
            </w:r>
          </w:p>
        </w:tc>
        <w:tc>
          <w:tcPr>
            <w:tcW w:w="1859"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82"/>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357"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50"/>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014"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219"/>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725" w:type="dxa"/>
            <w:tcBorders>
              <w:top w:val="nil" w:sz="6" w:space="0" w:color="auto"/>
              <w:left w:val="nil" w:sz="6" w:space="0" w:color="auto"/>
              <w:bottom w:val="single" w:sz="16" w:space="0" w:color="9F8958"/>
              <w:right w:val="nil" w:sz="6" w:space="0" w:color="auto"/>
            </w:tcBorders>
          </w:tcPr>
          <w:p>
            <w:pPr>
              <w:pStyle w:val="TableParagraph"/>
              <w:spacing w:line="240" w:lineRule="auto" w:before="41"/>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362" w:hRule="exact"/>
        </w:trPr>
        <w:tc>
          <w:tcPr>
            <w:tcW w:w="2068"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发起人出资溢价</w:t>
            </w:r>
          </w:p>
        </w:tc>
        <w:tc>
          <w:tcPr>
            <w:tcW w:w="1274" w:type="dxa"/>
            <w:tcBorders>
              <w:top w:val="single" w:sz="16" w:space="0" w:color="9F8958"/>
              <w:left w:val="nil" w:sz="6" w:space="0" w:color="auto"/>
              <w:bottom w:val="nil" w:sz="6" w:space="0" w:color="auto"/>
              <w:right w:val="nil" w:sz="6" w:space="0" w:color="auto"/>
            </w:tcBorders>
          </w:tcPr>
          <w:p>
            <w:pPr/>
          </w:p>
        </w:tc>
        <w:tc>
          <w:tcPr>
            <w:tcW w:w="1859"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82"/>
              <w:jc w:val="right"/>
              <w:rPr>
                <w:rFonts w:ascii="宋体" w:hAnsi="宋体" w:cs="宋体" w:eastAsia="宋体" w:hint="default"/>
                <w:sz w:val="16"/>
                <w:szCs w:val="16"/>
              </w:rPr>
            </w:pPr>
            <w:r>
              <w:rPr>
                <w:rFonts w:ascii="宋体"/>
                <w:w w:val="95"/>
                <w:sz w:val="16"/>
              </w:rPr>
              <w:t>7,913,551,905</w:t>
            </w:r>
            <w:r>
              <w:rPr>
                <w:rFonts w:ascii="宋体"/>
                <w:sz w:val="16"/>
              </w:rPr>
            </w:r>
          </w:p>
        </w:tc>
        <w:tc>
          <w:tcPr>
            <w:tcW w:w="1357"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50"/>
              <w:jc w:val="right"/>
              <w:rPr>
                <w:rFonts w:ascii="宋体" w:hAnsi="宋体" w:cs="宋体" w:eastAsia="宋体" w:hint="default"/>
                <w:sz w:val="16"/>
                <w:szCs w:val="16"/>
              </w:rPr>
            </w:pPr>
            <w:r>
              <w:rPr>
                <w:rFonts w:ascii="宋体"/>
                <w:w w:val="131"/>
                <w:sz w:val="16"/>
              </w:rPr>
              <w:t>-</w:t>
            </w:r>
            <w:r>
              <w:rPr>
                <w:rFonts w:ascii="宋体"/>
                <w:sz w:val="16"/>
              </w:rPr>
            </w:r>
          </w:p>
        </w:tc>
        <w:tc>
          <w:tcPr>
            <w:tcW w:w="1014"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219"/>
              <w:jc w:val="right"/>
              <w:rPr>
                <w:rFonts w:ascii="宋体" w:hAnsi="宋体" w:cs="宋体" w:eastAsia="宋体" w:hint="default"/>
                <w:sz w:val="16"/>
                <w:szCs w:val="16"/>
              </w:rPr>
            </w:pPr>
            <w:r>
              <w:rPr>
                <w:rFonts w:ascii="宋体"/>
                <w:w w:val="131"/>
                <w:sz w:val="16"/>
              </w:rPr>
              <w:t>-</w:t>
            </w:r>
            <w:r>
              <w:rPr>
                <w:rFonts w:ascii="宋体"/>
                <w:sz w:val="16"/>
              </w:rPr>
            </w:r>
          </w:p>
        </w:tc>
        <w:tc>
          <w:tcPr>
            <w:tcW w:w="1725"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0"/>
              <w:jc w:val="right"/>
              <w:rPr>
                <w:rFonts w:ascii="宋体" w:hAnsi="宋体" w:cs="宋体" w:eastAsia="宋体" w:hint="default"/>
                <w:sz w:val="16"/>
                <w:szCs w:val="16"/>
              </w:rPr>
            </w:pPr>
            <w:r>
              <w:rPr>
                <w:rFonts w:ascii="宋体"/>
                <w:w w:val="95"/>
                <w:sz w:val="16"/>
              </w:rPr>
              <w:t>7,913,551,905</w:t>
            </w:r>
            <w:r>
              <w:rPr>
                <w:rFonts w:ascii="宋体"/>
                <w:sz w:val="16"/>
              </w:rPr>
            </w:r>
          </w:p>
        </w:tc>
      </w:tr>
      <w:tr>
        <w:trPr>
          <w:trHeight w:val="273"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人民币普通股发行溢价</w:t>
            </w:r>
          </w:p>
        </w:tc>
        <w:tc>
          <w:tcPr>
            <w:tcW w:w="1274" w:type="dxa"/>
            <w:tcBorders>
              <w:top w:val="nil" w:sz="6" w:space="0" w:color="auto"/>
              <w:left w:val="nil" w:sz="6" w:space="0" w:color="auto"/>
              <w:bottom w:val="nil" w:sz="6" w:space="0" w:color="auto"/>
              <w:right w:val="nil" w:sz="6" w:space="0" w:color="auto"/>
            </w:tcBorders>
          </w:tcPr>
          <w:p>
            <w:pPr>
              <w:pStyle w:val="TableParagraph"/>
              <w:spacing w:line="205" w:lineRule="exact"/>
              <w:ind w:left="69" w:right="0"/>
              <w:jc w:val="center"/>
              <w:rPr>
                <w:rFonts w:ascii="宋体" w:hAnsi="宋体" w:cs="宋体" w:eastAsia="宋体" w:hint="default"/>
                <w:sz w:val="16"/>
                <w:szCs w:val="16"/>
              </w:rPr>
            </w:pPr>
            <w:r>
              <w:rPr>
                <w:rFonts w:ascii="宋体" w:hAnsi="宋体" w:cs="宋体" w:eastAsia="宋体" w:hint="default"/>
                <w:w w:val="85"/>
                <w:sz w:val="16"/>
                <w:szCs w:val="16"/>
              </w:rPr>
              <w:t>五</w:t>
            </w:r>
            <w:r>
              <w:rPr>
                <w:rFonts w:ascii="宋体" w:hAnsi="宋体" w:cs="宋体" w:eastAsia="宋体" w:hint="default"/>
                <w:spacing w:val="-46"/>
                <w:w w:val="85"/>
                <w:sz w:val="16"/>
                <w:szCs w:val="16"/>
              </w:rPr>
              <w:t> </w:t>
            </w:r>
            <w:r>
              <w:rPr>
                <w:rFonts w:ascii="宋体" w:hAnsi="宋体" w:cs="宋体" w:eastAsia="宋体" w:hint="default"/>
                <w:w w:val="85"/>
                <w:sz w:val="16"/>
                <w:szCs w:val="16"/>
              </w:rPr>
              <w:t>(31)(a)</w:t>
            </w:r>
            <w:r>
              <w:rPr>
                <w:rFonts w:ascii="宋体" w:hAnsi="宋体" w:cs="宋体" w:eastAsia="宋体" w:hint="default"/>
                <w:sz w:val="16"/>
                <w:szCs w:val="16"/>
              </w:rPr>
            </w:r>
          </w:p>
        </w:tc>
        <w:tc>
          <w:tcPr>
            <w:tcW w:w="1859" w:type="dxa"/>
            <w:tcBorders>
              <w:top w:val="nil" w:sz="6" w:space="0" w:color="auto"/>
              <w:left w:val="nil" w:sz="6" w:space="0" w:color="auto"/>
              <w:bottom w:val="nil" w:sz="6" w:space="0" w:color="auto"/>
              <w:right w:val="nil" w:sz="6" w:space="0" w:color="auto"/>
            </w:tcBorders>
          </w:tcPr>
          <w:p>
            <w:pPr>
              <w:pStyle w:val="TableParagraph"/>
              <w:spacing w:line="205" w:lineRule="exact"/>
              <w:ind w:right="183"/>
              <w:jc w:val="right"/>
              <w:rPr>
                <w:rFonts w:ascii="宋体" w:hAnsi="宋体" w:cs="宋体" w:eastAsia="宋体" w:hint="default"/>
                <w:sz w:val="16"/>
                <w:szCs w:val="16"/>
              </w:rPr>
            </w:pPr>
            <w:r>
              <w:rPr>
                <w:rFonts w:ascii="宋体"/>
                <w:w w:val="95"/>
                <w:sz w:val="16"/>
              </w:rPr>
              <w:t>61,706,266,598</w:t>
            </w:r>
            <w:r>
              <w:rPr>
                <w:rFonts w:ascii="宋体"/>
                <w:sz w:val="16"/>
              </w:rPr>
            </w:r>
          </w:p>
        </w:tc>
        <w:tc>
          <w:tcPr>
            <w:tcW w:w="1357" w:type="dxa"/>
            <w:tcBorders>
              <w:top w:val="nil" w:sz="6" w:space="0" w:color="auto"/>
              <w:left w:val="nil" w:sz="6" w:space="0" w:color="auto"/>
              <w:bottom w:val="nil" w:sz="6" w:space="0" w:color="auto"/>
              <w:right w:val="nil" w:sz="6" w:space="0" w:color="auto"/>
            </w:tcBorders>
          </w:tcPr>
          <w:p>
            <w:pPr>
              <w:pStyle w:val="TableParagraph"/>
              <w:spacing w:line="205" w:lineRule="exact"/>
              <w:ind w:right="150"/>
              <w:jc w:val="right"/>
              <w:rPr>
                <w:rFonts w:ascii="宋体" w:hAnsi="宋体" w:cs="宋体" w:eastAsia="宋体" w:hint="default"/>
                <w:sz w:val="16"/>
                <w:szCs w:val="16"/>
              </w:rPr>
            </w:pPr>
            <w:r>
              <w:rPr>
                <w:rFonts w:ascii="宋体"/>
                <w:w w:val="95"/>
                <w:sz w:val="16"/>
              </w:rPr>
              <w:t>2,214,872,190</w:t>
            </w:r>
            <w:r>
              <w:rPr>
                <w:rFonts w:ascii="宋体"/>
                <w:sz w:val="16"/>
              </w:rPr>
            </w:r>
          </w:p>
        </w:tc>
        <w:tc>
          <w:tcPr>
            <w:tcW w:w="1014" w:type="dxa"/>
            <w:tcBorders>
              <w:top w:val="nil" w:sz="6" w:space="0" w:color="auto"/>
              <w:left w:val="nil" w:sz="6" w:space="0" w:color="auto"/>
              <w:bottom w:val="nil" w:sz="6" w:space="0" w:color="auto"/>
              <w:right w:val="nil" w:sz="6" w:space="0" w:color="auto"/>
            </w:tcBorders>
          </w:tcPr>
          <w:p>
            <w:pPr>
              <w:pStyle w:val="TableParagraph"/>
              <w:spacing w:line="205" w:lineRule="exact"/>
              <w:ind w:right="219"/>
              <w:jc w:val="right"/>
              <w:rPr>
                <w:rFonts w:ascii="宋体" w:hAnsi="宋体" w:cs="宋体" w:eastAsia="宋体" w:hint="default"/>
                <w:sz w:val="16"/>
                <w:szCs w:val="16"/>
              </w:rPr>
            </w:pPr>
            <w:r>
              <w:rPr>
                <w:rFonts w:ascii="宋体"/>
                <w:w w:val="131"/>
                <w:sz w:val="16"/>
              </w:rPr>
              <w:t>-</w:t>
            </w:r>
            <w:r>
              <w:rPr>
                <w:rFonts w:ascii="宋体"/>
                <w:sz w:val="16"/>
              </w:rPr>
            </w: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5"/>
                <w:sz w:val="16"/>
              </w:rPr>
              <w:t>63,921,138,788</w:t>
            </w:r>
            <w:r>
              <w:rPr>
                <w:rFonts w:ascii="宋体"/>
                <w:sz w:val="16"/>
              </w:rPr>
            </w:r>
          </w:p>
        </w:tc>
      </w:tr>
      <w:tr>
        <w:trPr>
          <w:trHeight w:val="340" w:hRule="exact"/>
        </w:trPr>
        <w:tc>
          <w:tcPr>
            <w:tcW w:w="2068"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股份支付</w:t>
            </w:r>
          </w:p>
        </w:tc>
        <w:tc>
          <w:tcPr>
            <w:tcW w:w="1274" w:type="dxa"/>
            <w:tcBorders>
              <w:top w:val="nil" w:sz="6" w:space="0" w:color="auto"/>
              <w:left w:val="nil" w:sz="6" w:space="0" w:color="auto"/>
              <w:bottom w:val="nil" w:sz="6" w:space="0" w:color="auto"/>
              <w:right w:val="nil" w:sz="6" w:space="0" w:color="auto"/>
            </w:tcBorders>
          </w:tcPr>
          <w:p>
            <w:pPr>
              <w:pStyle w:val="TableParagraph"/>
              <w:spacing w:line="205" w:lineRule="exact"/>
              <w:ind w:left="69" w:right="0"/>
              <w:jc w:val="center"/>
              <w:rPr>
                <w:rFonts w:ascii="宋体" w:hAnsi="宋体" w:cs="宋体" w:eastAsia="宋体" w:hint="default"/>
                <w:sz w:val="16"/>
                <w:szCs w:val="16"/>
              </w:rPr>
            </w:pPr>
            <w:r>
              <w:rPr>
                <w:rFonts w:ascii="宋体" w:hAnsi="宋体" w:cs="宋体" w:eastAsia="宋体" w:hint="default"/>
                <w:w w:val="80"/>
                <w:sz w:val="16"/>
                <w:szCs w:val="16"/>
              </w:rPr>
              <w:t>五</w:t>
            </w:r>
            <w:r>
              <w:rPr>
                <w:rFonts w:ascii="宋体" w:hAnsi="宋体" w:cs="宋体" w:eastAsia="宋体" w:hint="default"/>
                <w:spacing w:val="-51"/>
                <w:w w:val="80"/>
                <w:sz w:val="16"/>
                <w:szCs w:val="16"/>
              </w:rPr>
              <w:t> </w:t>
            </w:r>
            <w:r>
              <w:rPr>
                <w:rFonts w:ascii="宋体" w:hAnsi="宋体" w:cs="宋体" w:eastAsia="宋体" w:hint="default"/>
                <w:w w:val="80"/>
                <w:sz w:val="16"/>
                <w:szCs w:val="16"/>
              </w:rPr>
              <w:t>(31)(j)</w:t>
            </w:r>
            <w:r>
              <w:rPr>
                <w:rFonts w:ascii="宋体" w:hAnsi="宋体" w:cs="宋体" w:eastAsia="宋体" w:hint="default"/>
                <w:sz w:val="16"/>
                <w:szCs w:val="16"/>
              </w:rPr>
            </w:r>
          </w:p>
        </w:tc>
        <w:tc>
          <w:tcPr>
            <w:tcW w:w="1859" w:type="dxa"/>
            <w:tcBorders>
              <w:top w:val="nil" w:sz="6" w:space="0" w:color="auto"/>
              <w:left w:val="nil" w:sz="6" w:space="0" w:color="auto"/>
              <w:bottom w:val="nil" w:sz="6" w:space="0" w:color="auto"/>
              <w:right w:val="nil" w:sz="6" w:space="0" w:color="auto"/>
            </w:tcBorders>
          </w:tcPr>
          <w:p>
            <w:pPr>
              <w:pStyle w:val="TableParagraph"/>
              <w:spacing w:line="205" w:lineRule="exact"/>
              <w:ind w:right="182"/>
              <w:jc w:val="right"/>
              <w:rPr>
                <w:rFonts w:ascii="宋体" w:hAnsi="宋体" w:cs="宋体" w:eastAsia="宋体" w:hint="default"/>
                <w:sz w:val="16"/>
                <w:szCs w:val="16"/>
              </w:rPr>
            </w:pPr>
            <w:r>
              <w:rPr>
                <w:rFonts w:ascii="宋体"/>
                <w:w w:val="131"/>
                <w:sz w:val="16"/>
              </w:rPr>
              <w:t>-</w:t>
            </w:r>
            <w:r>
              <w:rPr>
                <w:rFonts w:ascii="宋体"/>
                <w:sz w:val="16"/>
              </w:rPr>
            </w:r>
          </w:p>
        </w:tc>
        <w:tc>
          <w:tcPr>
            <w:tcW w:w="1357" w:type="dxa"/>
            <w:tcBorders>
              <w:top w:val="nil" w:sz="6" w:space="0" w:color="auto"/>
              <w:left w:val="nil" w:sz="6" w:space="0" w:color="auto"/>
              <w:bottom w:val="nil" w:sz="6" w:space="0" w:color="auto"/>
              <w:right w:val="nil" w:sz="6" w:space="0" w:color="auto"/>
            </w:tcBorders>
          </w:tcPr>
          <w:p>
            <w:pPr>
              <w:pStyle w:val="TableParagraph"/>
              <w:spacing w:line="205" w:lineRule="exact"/>
              <w:ind w:right="150"/>
              <w:jc w:val="right"/>
              <w:rPr>
                <w:rFonts w:ascii="宋体" w:hAnsi="宋体" w:cs="宋体" w:eastAsia="宋体" w:hint="default"/>
                <w:sz w:val="16"/>
                <w:szCs w:val="16"/>
              </w:rPr>
            </w:pPr>
            <w:r>
              <w:rPr>
                <w:rFonts w:ascii="宋体"/>
                <w:sz w:val="16"/>
              </w:rPr>
              <w:t>613,920,000</w:t>
            </w:r>
          </w:p>
        </w:tc>
        <w:tc>
          <w:tcPr>
            <w:tcW w:w="1014" w:type="dxa"/>
            <w:tcBorders>
              <w:top w:val="nil" w:sz="6" w:space="0" w:color="auto"/>
              <w:left w:val="nil" w:sz="6" w:space="0" w:color="auto"/>
              <w:bottom w:val="nil" w:sz="6" w:space="0" w:color="auto"/>
              <w:right w:val="nil" w:sz="6" w:space="0" w:color="auto"/>
            </w:tcBorders>
          </w:tcPr>
          <w:p>
            <w:pPr>
              <w:pStyle w:val="TableParagraph"/>
              <w:spacing w:line="205" w:lineRule="exact"/>
              <w:ind w:right="219"/>
              <w:jc w:val="right"/>
              <w:rPr>
                <w:rFonts w:ascii="宋体" w:hAnsi="宋体" w:cs="宋体" w:eastAsia="宋体" w:hint="default"/>
                <w:sz w:val="16"/>
                <w:szCs w:val="16"/>
              </w:rPr>
            </w:pPr>
            <w:r>
              <w:rPr>
                <w:rFonts w:ascii="宋体"/>
                <w:w w:val="131"/>
                <w:sz w:val="16"/>
              </w:rPr>
              <w:t>-</w:t>
            </w:r>
            <w:r>
              <w:rPr>
                <w:rFonts w:ascii="宋体"/>
                <w:sz w:val="16"/>
              </w:rPr>
            </w:r>
          </w:p>
        </w:tc>
        <w:tc>
          <w:tcPr>
            <w:tcW w:w="1725"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613,920,000</w:t>
            </w:r>
          </w:p>
        </w:tc>
      </w:tr>
      <w:tr>
        <w:trPr>
          <w:trHeight w:val="405" w:hRule="exact"/>
        </w:trPr>
        <w:tc>
          <w:tcPr>
            <w:tcW w:w="2068"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1274" w:type="dxa"/>
            <w:tcBorders>
              <w:top w:val="nil" w:sz="6" w:space="0" w:color="auto"/>
              <w:left w:val="nil" w:sz="6" w:space="0" w:color="auto"/>
              <w:bottom w:val="single" w:sz="16" w:space="0" w:color="9F8958"/>
              <w:right w:val="nil" w:sz="6" w:space="0" w:color="auto"/>
            </w:tcBorders>
          </w:tcPr>
          <w:p>
            <w:pPr/>
          </w:p>
        </w:tc>
        <w:tc>
          <w:tcPr>
            <w:tcW w:w="1859"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83"/>
              <w:jc w:val="right"/>
              <w:rPr>
                <w:rFonts w:ascii="宋体" w:hAnsi="宋体" w:cs="宋体" w:eastAsia="宋体" w:hint="default"/>
                <w:sz w:val="16"/>
                <w:szCs w:val="16"/>
              </w:rPr>
            </w:pPr>
            <w:r>
              <w:rPr>
                <w:rFonts w:ascii="宋体"/>
                <w:w w:val="95"/>
                <w:sz w:val="16"/>
              </w:rPr>
              <w:t>69,619,818,503</w:t>
            </w:r>
            <w:r>
              <w:rPr>
                <w:rFonts w:ascii="宋体"/>
                <w:sz w:val="16"/>
              </w:rPr>
            </w:r>
          </w:p>
        </w:tc>
        <w:tc>
          <w:tcPr>
            <w:tcW w:w="1357"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50"/>
              <w:jc w:val="right"/>
              <w:rPr>
                <w:rFonts w:ascii="宋体" w:hAnsi="宋体" w:cs="宋体" w:eastAsia="宋体" w:hint="default"/>
                <w:sz w:val="16"/>
                <w:szCs w:val="16"/>
              </w:rPr>
            </w:pPr>
            <w:r>
              <w:rPr>
                <w:rFonts w:ascii="宋体"/>
                <w:w w:val="95"/>
                <w:sz w:val="16"/>
              </w:rPr>
              <w:t>2,828,792,190</w:t>
            </w:r>
            <w:r>
              <w:rPr>
                <w:rFonts w:ascii="宋体"/>
                <w:sz w:val="16"/>
              </w:rPr>
            </w:r>
          </w:p>
        </w:tc>
        <w:tc>
          <w:tcPr>
            <w:tcW w:w="1014"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219"/>
              <w:jc w:val="right"/>
              <w:rPr>
                <w:rFonts w:ascii="宋体" w:hAnsi="宋体" w:cs="宋体" w:eastAsia="宋体" w:hint="default"/>
                <w:sz w:val="16"/>
                <w:szCs w:val="16"/>
              </w:rPr>
            </w:pPr>
            <w:r>
              <w:rPr>
                <w:rFonts w:ascii="宋体"/>
                <w:w w:val="131"/>
                <w:sz w:val="16"/>
              </w:rPr>
              <w:t>-</w:t>
            </w:r>
            <w:r>
              <w:rPr>
                <w:rFonts w:ascii="宋体"/>
                <w:sz w:val="16"/>
              </w:rPr>
            </w:r>
          </w:p>
        </w:tc>
        <w:tc>
          <w:tcPr>
            <w:tcW w:w="1725"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0"/>
              <w:jc w:val="right"/>
              <w:rPr>
                <w:rFonts w:ascii="宋体" w:hAnsi="宋体" w:cs="宋体" w:eastAsia="宋体" w:hint="default"/>
                <w:sz w:val="16"/>
                <w:szCs w:val="16"/>
              </w:rPr>
            </w:pPr>
            <w:r>
              <w:rPr>
                <w:rFonts w:ascii="宋体"/>
                <w:w w:val="95"/>
                <w:sz w:val="16"/>
              </w:rPr>
              <w:t>72,448,610,693</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493" w:right="87"/>
        <w:jc w:val="left"/>
      </w:pPr>
      <w:r>
        <w:rPr>
          <w:spacing w:val="3"/>
        </w:rPr>
        <w:t>如附注</w:t>
      </w:r>
      <w:r>
        <w:rPr/>
        <w:t>五</w:t>
      </w:r>
      <w:r>
        <w:rPr>
          <w:spacing w:val="-45"/>
        </w:rPr>
        <w:t> </w:t>
      </w:r>
      <w:r>
        <w:rPr>
          <w:w w:val="55"/>
        </w:rPr>
        <w:t>(</w:t>
      </w:r>
      <w:r>
        <w:rPr>
          <w:spacing w:val="-1"/>
          <w:w w:val="111"/>
        </w:rPr>
        <w:t>31</w:t>
      </w:r>
      <w:r>
        <w:rPr>
          <w:w w:val="55"/>
        </w:rPr>
        <w:t>)</w:t>
      </w:r>
      <w:r>
        <w:rPr>
          <w:spacing w:val="-45"/>
        </w:rPr>
        <w:t> </w:t>
      </w:r>
      <w:r>
        <w:rPr>
          <w:spacing w:val="3"/>
        </w:rPr>
        <w:t>及附注十二所</w:t>
      </w:r>
      <w:r>
        <w:rPr/>
        <w:t>述</w:t>
      </w:r>
      <w:r>
        <w:rPr>
          <w:spacing w:val="3"/>
        </w:rPr>
        <w:t>，本公司</w:t>
      </w:r>
      <w:r>
        <w:rPr/>
        <w:t>将</w:t>
      </w:r>
      <w:r>
        <w:rPr>
          <w:spacing w:val="-45"/>
        </w:rPr>
        <w:t> </w:t>
      </w:r>
      <w:r>
        <w:rPr>
          <w:spacing w:val="-1"/>
          <w:w w:val="111"/>
        </w:rPr>
        <w:t>201</w:t>
      </w:r>
      <w:r>
        <w:rPr>
          <w:w w:val="111"/>
        </w:rPr>
        <w:t>8</w:t>
      </w:r>
      <w:r>
        <w:rPr>
          <w:spacing w:val="-45"/>
        </w:rPr>
        <w:t> </w:t>
      </w:r>
      <w:r>
        <w:rPr>
          <w:spacing w:val="3"/>
        </w:rPr>
        <w:t>年向限制性股票激励计划激励对象定向发行人民币普通股股票的溢价</w:t>
      </w:r>
      <w:r>
        <w:rPr/>
      </w:r>
    </w:p>
    <w:p>
      <w:pPr>
        <w:pStyle w:val="BodyText"/>
        <w:spacing w:line="240" w:lineRule="auto" w:before="44"/>
        <w:ind w:left="493" w:right="87"/>
        <w:jc w:val="left"/>
      </w:pPr>
      <w:r>
        <w:rPr/>
        <w:t>人民币</w:t>
      </w:r>
      <w:r>
        <w:rPr>
          <w:spacing w:val="-48"/>
        </w:rPr>
        <w:t> </w:t>
      </w:r>
      <w:r>
        <w:rPr/>
        <w:t>22.15</w:t>
      </w:r>
      <w:r>
        <w:rPr>
          <w:spacing w:val="-49"/>
        </w:rPr>
        <w:t> </w:t>
      </w:r>
      <w:r>
        <w:rPr/>
        <w:t>亿元及当期通过股份支付获取的服务人民币</w:t>
      </w:r>
      <w:r>
        <w:rPr>
          <w:spacing w:val="-48"/>
        </w:rPr>
        <w:t> </w:t>
      </w:r>
      <w:r>
        <w:rPr/>
        <w:t>6.14</w:t>
      </w:r>
      <w:r>
        <w:rPr>
          <w:spacing w:val="-49"/>
        </w:rPr>
        <w:t> </w:t>
      </w:r>
      <w:r>
        <w:rPr/>
        <w:t>亿元计入资本公积。</w:t>
      </w:r>
    </w:p>
    <w:p>
      <w:pPr>
        <w:spacing w:line="240" w:lineRule="auto" w:before="0"/>
        <w:rPr>
          <w:rFonts w:ascii="宋体" w:hAnsi="宋体" w:cs="宋体" w:eastAsia="宋体" w:hint="default"/>
          <w:sz w:val="14"/>
          <w:szCs w:val="14"/>
        </w:rPr>
      </w:pPr>
    </w:p>
    <w:tbl>
      <w:tblPr>
        <w:tblW w:w="0" w:type="auto"/>
        <w:jc w:val="left"/>
        <w:tblInd w:w="118" w:type="dxa"/>
        <w:tblLayout w:type="fixed"/>
        <w:tblCellMar>
          <w:top w:w="0" w:type="dxa"/>
          <w:left w:w="0" w:type="dxa"/>
          <w:bottom w:w="0" w:type="dxa"/>
          <w:right w:w="0" w:type="dxa"/>
        </w:tblCellMar>
        <w:tblLook w:val="01E0"/>
      </w:tblPr>
      <w:tblGrid>
        <w:gridCol w:w="2262"/>
        <w:gridCol w:w="2207"/>
        <w:gridCol w:w="1834"/>
        <w:gridCol w:w="1542"/>
        <w:gridCol w:w="1829"/>
      </w:tblGrid>
      <w:tr>
        <w:trPr>
          <w:trHeight w:val="843" w:hRule="exact"/>
        </w:trPr>
        <w:tc>
          <w:tcPr>
            <w:tcW w:w="2262" w:type="dxa"/>
            <w:tcBorders>
              <w:top w:val="nil" w:sz="6" w:space="0" w:color="auto"/>
              <w:left w:val="nil" w:sz="6" w:space="0" w:color="auto"/>
              <w:bottom w:val="single" w:sz="16" w:space="0" w:color="9F8958"/>
              <w:right w:val="nil" w:sz="6" w:space="0" w:color="auto"/>
            </w:tcBorders>
          </w:tcPr>
          <w:p>
            <w:pPr>
              <w:pStyle w:val="TableParagraph"/>
              <w:spacing w:line="240" w:lineRule="auto" w:before="31"/>
              <w:ind w:left="35" w:right="0"/>
              <w:jc w:val="left"/>
              <w:rPr>
                <w:rFonts w:ascii="宋体" w:hAnsi="宋体" w:cs="宋体" w:eastAsia="宋体" w:hint="default"/>
                <w:sz w:val="18"/>
                <w:szCs w:val="18"/>
              </w:rPr>
            </w:pPr>
            <w:r>
              <w:rPr>
                <w:rFonts w:ascii="宋体" w:hAnsi="宋体" w:cs="宋体" w:eastAsia="宋体" w:hint="default"/>
                <w:sz w:val="18"/>
                <w:szCs w:val="18"/>
              </w:rPr>
              <w:t>7、</w:t>
            </w:r>
            <w:r>
              <w:rPr>
                <w:rFonts w:ascii="宋体" w:hAnsi="宋体" w:cs="宋体" w:eastAsia="宋体" w:hint="default"/>
                <w:spacing w:val="-21"/>
                <w:sz w:val="18"/>
                <w:szCs w:val="18"/>
              </w:rPr>
              <w:t> </w:t>
            </w:r>
            <w:r>
              <w:rPr>
                <w:rFonts w:ascii="宋体" w:hAnsi="宋体" w:cs="宋体" w:eastAsia="宋体" w:hint="default"/>
                <w:sz w:val="18"/>
                <w:szCs w:val="18"/>
              </w:rPr>
              <w:t>库存股</w:t>
            </w:r>
          </w:p>
        </w:tc>
        <w:tc>
          <w:tcPr>
            <w:tcW w:w="2207"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48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c>
          <w:tcPr>
            <w:tcW w:w="1834"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27"/>
              <w:jc w:val="right"/>
              <w:rPr>
                <w:rFonts w:ascii="宋体" w:hAnsi="宋体" w:cs="宋体" w:eastAsia="宋体" w:hint="default"/>
                <w:sz w:val="16"/>
                <w:szCs w:val="16"/>
              </w:rPr>
            </w:pPr>
            <w:r>
              <w:rPr>
                <w:rFonts w:ascii="宋体" w:hAnsi="宋体" w:cs="宋体" w:eastAsia="宋体" w:hint="default"/>
                <w:sz w:val="16"/>
                <w:szCs w:val="16"/>
              </w:rPr>
              <w:t>本年增加</w:t>
            </w:r>
          </w:p>
        </w:tc>
        <w:tc>
          <w:tcPr>
            <w:tcW w:w="1542"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323"/>
              <w:jc w:val="right"/>
              <w:rPr>
                <w:rFonts w:ascii="宋体" w:hAnsi="宋体" w:cs="宋体" w:eastAsia="宋体" w:hint="default"/>
                <w:sz w:val="16"/>
                <w:szCs w:val="16"/>
              </w:rPr>
            </w:pPr>
            <w:r>
              <w:rPr>
                <w:rFonts w:ascii="宋体" w:hAnsi="宋体" w:cs="宋体" w:eastAsia="宋体" w:hint="default"/>
                <w:sz w:val="16"/>
                <w:szCs w:val="16"/>
              </w:rPr>
              <w:t>本年减少</w:t>
            </w:r>
          </w:p>
        </w:tc>
        <w:tc>
          <w:tcPr>
            <w:tcW w:w="1829" w:type="dxa"/>
            <w:tcBorders>
              <w:top w:val="nil" w:sz="6" w:space="0" w:color="auto"/>
              <w:left w:val="nil" w:sz="6" w:space="0" w:color="auto"/>
              <w:bottom w:val="single" w:sz="16" w:space="0" w:color="9F8958"/>
              <w:right w:val="nil" w:sz="6" w:space="0" w:color="auto"/>
            </w:tcBorders>
          </w:tcPr>
          <w:p>
            <w:pPr>
              <w:pStyle w:val="TableParagraph"/>
              <w:spacing w:line="240" w:lineRule="auto"/>
              <w:ind w:right="0"/>
              <w:jc w:val="left"/>
              <w:rPr>
                <w:rFonts w:ascii="宋体" w:hAnsi="宋体" w:cs="宋体" w:eastAsia="宋体" w:hint="default"/>
                <w:sz w:val="16"/>
                <w:szCs w:val="16"/>
              </w:rPr>
            </w:pPr>
          </w:p>
          <w:p>
            <w:pPr>
              <w:pStyle w:val="TableParagraph"/>
              <w:spacing w:line="240" w:lineRule="auto" w:before="3"/>
              <w:ind w:right="0"/>
              <w:jc w:val="left"/>
              <w:rPr>
                <w:rFonts w:ascii="宋体" w:hAnsi="宋体" w:cs="宋体" w:eastAsia="宋体" w:hint="default"/>
                <w:sz w:val="22"/>
                <w:szCs w:val="22"/>
              </w:rPr>
            </w:pPr>
          </w:p>
          <w:p>
            <w:pPr>
              <w:pStyle w:val="TableParagraph"/>
              <w:spacing w:line="240" w:lineRule="auto"/>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58"/>
                <w:w w:val="110"/>
                <w:sz w:val="16"/>
                <w:szCs w:val="16"/>
              </w:rPr>
              <w:t> </w:t>
            </w:r>
            <w:r>
              <w:rPr>
                <w:rFonts w:ascii="宋体" w:hAnsi="宋体" w:cs="宋体" w:eastAsia="宋体" w:hint="default"/>
                <w:w w:val="110"/>
                <w:sz w:val="16"/>
                <w:szCs w:val="16"/>
              </w:rPr>
              <w:t>年</w:t>
            </w:r>
            <w:r>
              <w:rPr>
                <w:rFonts w:ascii="宋体" w:hAnsi="宋体" w:cs="宋体" w:eastAsia="宋体" w:hint="default"/>
                <w:spacing w:val="-57"/>
                <w:w w:val="110"/>
                <w:sz w:val="16"/>
                <w:szCs w:val="16"/>
              </w:rPr>
              <w:t> </w:t>
            </w:r>
            <w:r>
              <w:rPr>
                <w:rFonts w:ascii="宋体" w:hAnsi="宋体" w:cs="宋体" w:eastAsia="宋体" w:hint="default"/>
                <w:w w:val="110"/>
                <w:sz w:val="16"/>
                <w:szCs w:val="16"/>
              </w:rPr>
              <w:t>12</w:t>
            </w:r>
            <w:r>
              <w:rPr>
                <w:rFonts w:ascii="宋体" w:hAnsi="宋体" w:cs="宋体" w:eastAsia="宋体" w:hint="default"/>
                <w:spacing w:val="-58"/>
                <w:w w:val="110"/>
                <w:sz w:val="16"/>
                <w:szCs w:val="16"/>
              </w:rPr>
              <w:t> </w:t>
            </w:r>
            <w:r>
              <w:rPr>
                <w:rFonts w:ascii="宋体" w:hAnsi="宋体" w:cs="宋体" w:eastAsia="宋体" w:hint="default"/>
                <w:w w:val="110"/>
                <w:sz w:val="16"/>
                <w:szCs w:val="16"/>
              </w:rPr>
              <w:t>月</w:t>
            </w:r>
            <w:r>
              <w:rPr>
                <w:rFonts w:ascii="宋体" w:hAnsi="宋体" w:cs="宋体" w:eastAsia="宋体" w:hint="default"/>
                <w:spacing w:val="-57"/>
                <w:w w:val="110"/>
                <w:sz w:val="16"/>
                <w:szCs w:val="16"/>
              </w:rPr>
              <w:t> </w:t>
            </w:r>
            <w:r>
              <w:rPr>
                <w:rFonts w:ascii="宋体" w:hAnsi="宋体" w:cs="宋体" w:eastAsia="宋体" w:hint="default"/>
                <w:w w:val="110"/>
                <w:sz w:val="16"/>
                <w:szCs w:val="16"/>
              </w:rPr>
              <w:t>31</w:t>
            </w:r>
            <w:r>
              <w:rPr>
                <w:rFonts w:ascii="宋体" w:hAnsi="宋体" w:cs="宋体" w:eastAsia="宋体" w:hint="default"/>
                <w:spacing w:val="-58"/>
                <w:w w:val="110"/>
                <w:sz w:val="16"/>
                <w:szCs w:val="16"/>
              </w:rPr>
              <w:t> </w:t>
            </w:r>
            <w:r>
              <w:rPr>
                <w:rFonts w:ascii="宋体" w:hAnsi="宋体" w:cs="宋体" w:eastAsia="宋体" w:hint="default"/>
                <w:w w:val="110"/>
                <w:sz w:val="16"/>
                <w:szCs w:val="16"/>
              </w:rPr>
              <w:t>日</w:t>
            </w:r>
          </w:p>
        </w:tc>
      </w:tr>
      <w:tr>
        <w:trPr>
          <w:trHeight w:val="427" w:hRule="exact"/>
        </w:trPr>
        <w:tc>
          <w:tcPr>
            <w:tcW w:w="226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488" w:right="0"/>
              <w:jc w:val="left"/>
              <w:rPr>
                <w:rFonts w:ascii="宋体" w:hAnsi="宋体" w:cs="宋体" w:eastAsia="宋体" w:hint="default"/>
                <w:sz w:val="16"/>
                <w:szCs w:val="16"/>
              </w:rPr>
            </w:pPr>
            <w:r>
              <w:rPr>
                <w:rFonts w:ascii="宋体" w:hAnsi="宋体" w:cs="宋体" w:eastAsia="宋体" w:hint="default"/>
                <w:sz w:val="16"/>
                <w:szCs w:val="16"/>
              </w:rPr>
              <w:t>限制性股票回购义务</w:t>
            </w:r>
          </w:p>
        </w:tc>
        <w:tc>
          <w:tcPr>
            <w:tcW w:w="2207"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481"/>
              <w:jc w:val="right"/>
              <w:rPr>
                <w:rFonts w:ascii="宋体" w:hAnsi="宋体" w:cs="宋体" w:eastAsia="宋体" w:hint="default"/>
                <w:sz w:val="16"/>
                <w:szCs w:val="16"/>
              </w:rPr>
            </w:pPr>
            <w:r>
              <w:rPr>
                <w:rFonts w:ascii="宋体"/>
                <w:w w:val="131"/>
                <w:sz w:val="16"/>
              </w:rPr>
              <w:t>-</w:t>
            </w:r>
            <w:r>
              <w:rPr>
                <w:rFonts w:ascii="宋体"/>
                <w:sz w:val="16"/>
              </w:rPr>
            </w:r>
          </w:p>
        </w:tc>
        <w:tc>
          <w:tcPr>
            <w:tcW w:w="1834"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327"/>
              <w:jc w:val="right"/>
              <w:rPr>
                <w:rFonts w:ascii="宋体" w:hAnsi="宋体" w:cs="宋体" w:eastAsia="宋体" w:hint="default"/>
                <w:sz w:val="16"/>
                <w:szCs w:val="16"/>
              </w:rPr>
            </w:pPr>
            <w:r>
              <w:rPr>
                <w:rFonts w:ascii="宋体"/>
                <w:w w:val="95"/>
                <w:sz w:val="16"/>
              </w:rPr>
              <w:t>3,008,733,190</w:t>
            </w:r>
            <w:r>
              <w:rPr>
                <w:rFonts w:ascii="宋体"/>
                <w:sz w:val="16"/>
              </w:rPr>
            </w:r>
          </w:p>
        </w:tc>
        <w:tc>
          <w:tcPr>
            <w:tcW w:w="154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323"/>
              <w:jc w:val="right"/>
              <w:rPr>
                <w:rFonts w:ascii="宋体" w:hAnsi="宋体" w:cs="宋体" w:eastAsia="宋体" w:hint="default"/>
                <w:sz w:val="16"/>
                <w:szCs w:val="16"/>
              </w:rPr>
            </w:pPr>
            <w:r>
              <w:rPr>
                <w:rFonts w:ascii="宋体"/>
                <w:w w:val="90"/>
                <w:sz w:val="16"/>
              </w:rPr>
              <w:t>(15,718,448)</w:t>
            </w:r>
            <w:r>
              <w:rPr>
                <w:rFonts w:ascii="宋体"/>
                <w:sz w:val="16"/>
              </w:rPr>
            </w:r>
          </w:p>
        </w:tc>
        <w:tc>
          <w:tcPr>
            <w:tcW w:w="1829"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2,993,014,742</w:t>
            </w:r>
            <w:r>
              <w:rPr>
                <w:rFonts w:ascii="宋体"/>
                <w:sz w:val="16"/>
              </w:rPr>
            </w:r>
          </w:p>
        </w:tc>
      </w:tr>
    </w:tbl>
    <w:p>
      <w:pPr>
        <w:spacing w:line="240" w:lineRule="auto" w:before="7"/>
        <w:rPr>
          <w:rFonts w:ascii="宋体" w:hAnsi="宋体" w:cs="宋体" w:eastAsia="宋体" w:hint="default"/>
          <w:sz w:val="13"/>
          <w:szCs w:val="13"/>
        </w:rPr>
      </w:pPr>
    </w:p>
    <w:p>
      <w:pPr>
        <w:pStyle w:val="BodyText"/>
        <w:spacing w:line="240" w:lineRule="auto" w:before="31"/>
        <w:ind w:left="493" w:right="87"/>
        <w:jc w:val="left"/>
      </w:pPr>
      <w:r>
        <w:rPr>
          <w:spacing w:val="3"/>
        </w:rPr>
        <w:t>如附注</w:t>
      </w:r>
      <w:r>
        <w:rPr/>
        <w:t>五</w:t>
      </w:r>
      <w:r>
        <w:rPr>
          <w:spacing w:val="-45"/>
        </w:rPr>
        <w:t> </w:t>
      </w:r>
      <w:r>
        <w:rPr>
          <w:w w:val="55"/>
        </w:rPr>
        <w:t>(</w:t>
      </w:r>
      <w:r>
        <w:rPr>
          <w:spacing w:val="-1"/>
          <w:w w:val="111"/>
        </w:rPr>
        <w:t>34</w:t>
      </w:r>
      <w:r>
        <w:rPr>
          <w:w w:val="55"/>
        </w:rPr>
        <w:t>)</w:t>
      </w:r>
      <w:r>
        <w:rPr>
          <w:spacing w:val="-45"/>
        </w:rPr>
        <w:t> </w:t>
      </w:r>
      <w:r>
        <w:rPr>
          <w:spacing w:val="3"/>
        </w:rPr>
        <w:t>及附注十二所</w:t>
      </w:r>
      <w:r>
        <w:rPr/>
        <w:t>述</w:t>
      </w:r>
      <w:r>
        <w:rPr>
          <w:spacing w:val="3"/>
        </w:rPr>
        <w:t>，本公司</w:t>
      </w:r>
      <w:r>
        <w:rPr/>
        <w:t>于</w:t>
      </w:r>
      <w:r>
        <w:rPr>
          <w:spacing w:val="-45"/>
        </w:rPr>
        <w:t> </w:t>
      </w:r>
      <w:r>
        <w:rPr>
          <w:spacing w:val="-1"/>
          <w:w w:val="111"/>
        </w:rPr>
        <w:t>201</w:t>
      </w:r>
      <w:r>
        <w:rPr>
          <w:w w:val="111"/>
        </w:rPr>
        <w:t>8</w:t>
      </w:r>
      <w:r>
        <w:rPr>
          <w:spacing w:val="-45"/>
        </w:rPr>
        <w:t> </w:t>
      </w:r>
      <w:r>
        <w:rPr>
          <w:spacing w:val="3"/>
        </w:rPr>
        <w:t>年实施限制性股票激励计</w:t>
      </w:r>
      <w:r>
        <w:rPr/>
        <w:t>划</w:t>
      </w:r>
      <w:r>
        <w:rPr>
          <w:spacing w:val="3"/>
        </w:rPr>
        <w:t>，就回购义务确认相应负债和库存股人民</w:t>
      </w:r>
      <w:r>
        <w:rPr/>
      </w:r>
    </w:p>
    <w:p>
      <w:pPr>
        <w:pStyle w:val="BodyText"/>
        <w:spacing w:line="240" w:lineRule="auto" w:before="44"/>
        <w:ind w:left="493" w:right="87"/>
        <w:jc w:val="left"/>
      </w:pPr>
      <w:r>
        <w:rPr/>
        <w:t>币</w:t>
      </w:r>
      <w:r>
        <w:rPr>
          <w:spacing w:val="-46"/>
        </w:rPr>
        <w:t> </w:t>
      </w:r>
      <w:r>
        <w:rPr/>
        <w:t>30.09</w:t>
      </w:r>
      <w:r>
        <w:rPr>
          <w:spacing w:val="-47"/>
        </w:rPr>
        <w:t> </w:t>
      </w:r>
      <w:r>
        <w:rPr/>
        <w:t>亿元。</w:t>
      </w:r>
    </w:p>
    <w:p>
      <w:pPr>
        <w:spacing w:after="0" w:line="240" w:lineRule="auto"/>
        <w:jc w:val="left"/>
        <w:sectPr>
          <w:headerReference w:type="even" r:id="rId367"/>
          <w:footerReference w:type="even" r:id="rId368"/>
          <w:footerReference w:type="default" r:id="rId369"/>
          <w:pgSz w:w="11910" w:h="16160"/>
          <w:pgMar w:header="1200" w:footer="320" w:top="2120" w:bottom="520" w:left="640" w:right="1320"/>
          <w:pgNumType w:start="208"/>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0"/>
        <w:jc w:val="left"/>
        <w:rPr>
          <w:rFonts w:ascii="宋体" w:hAnsi="宋体" w:cs="宋体" w:eastAsia="宋体" w:hint="default"/>
        </w:rPr>
      </w:pPr>
      <w:r>
        <w:rPr>
          <w:rFonts w:ascii="宋体" w:hAnsi="宋体" w:cs="宋体" w:eastAsia="宋体" w:hint="default"/>
          <w:color w:val="9F8958"/>
        </w:rPr>
        <w:t>十五、本公司个别财务报表主要项目注释（续）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0"/>
        <w:jc w:val="left"/>
      </w:pPr>
      <w:r>
        <w:rPr/>
        <w:t>8、</w:t>
      </w:r>
      <w:r>
        <w:rPr>
          <w:spacing w:val="-21"/>
        </w:rPr>
        <w:t> </w:t>
      </w:r>
      <w:r>
        <w:rPr/>
        <w:t>投资收益</w:t>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427" w:hRule="exact"/>
        </w:trPr>
        <w:tc>
          <w:tcPr>
            <w:tcW w:w="4093"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投资收益</w:t>
            </w:r>
          </w:p>
        </w:tc>
        <w:tc>
          <w:tcPr>
            <w:tcW w:w="2602" w:type="dxa"/>
            <w:tcBorders>
              <w:top w:val="single" w:sz="16" w:space="0" w:color="9F8958"/>
              <w:left w:val="nil" w:sz="6" w:space="0" w:color="auto"/>
              <w:bottom w:val="single" w:sz="16" w:space="0" w:color="9F8958"/>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sz w:val="16"/>
              </w:rPr>
              <w:t>699,083,224</w:t>
            </w:r>
          </w:p>
        </w:tc>
        <w:tc>
          <w:tcPr>
            <w:tcW w:w="2602" w:type="dxa"/>
            <w:tcBorders>
              <w:top w:val="single" w:sz="16" w:space="0" w:color="9F8958"/>
              <w:left w:val="nil" w:sz="6" w:space="0" w:color="auto"/>
              <w:bottom w:val="single" w:sz="16" w:space="0" w:color="9F8958"/>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131"/>
                <w:sz w:val="16"/>
              </w:rPr>
              <w:t>-</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right="0"/>
        <w:jc w:val="left"/>
      </w:pPr>
      <w:r>
        <w:rPr>
          <w:spacing w:val="-1"/>
          <w:w w:val="111"/>
        </w:rPr>
        <w:t>201</w:t>
      </w:r>
      <w:r>
        <w:rPr>
          <w:w w:val="111"/>
        </w:rPr>
        <w:t>8</w:t>
      </w:r>
      <w:r>
        <w:rPr>
          <w:spacing w:val="-45"/>
        </w:rPr>
        <w:t> </w:t>
      </w:r>
      <w:r>
        <w:rPr>
          <w:spacing w:val="2"/>
        </w:rPr>
        <w:t>年</w:t>
      </w:r>
      <w:r>
        <w:rPr/>
        <w:t>度</w:t>
      </w:r>
      <w:r>
        <w:rPr>
          <w:spacing w:val="2"/>
        </w:rPr>
        <w:t>，本公司子公司联</w:t>
      </w:r>
      <w:r>
        <w:rPr/>
        <w:t>通</w:t>
      </w:r>
      <w:r>
        <w:rPr>
          <w:spacing w:val="-45"/>
        </w:rPr>
        <w:t> </w:t>
      </w:r>
      <w:r>
        <w:rPr>
          <w:w w:val="132"/>
        </w:rPr>
        <w:t>B</w:t>
      </w:r>
      <w:r>
        <w:rPr>
          <w:w w:val="121"/>
        </w:rPr>
        <w:t>V</w:t>
      </w:r>
      <w:r>
        <w:rPr>
          <w:w w:val="55"/>
        </w:rPr>
        <w:t>I</w:t>
      </w:r>
      <w:r>
        <w:rPr>
          <w:spacing w:val="-45"/>
        </w:rPr>
        <w:t> </w:t>
      </w:r>
      <w:r>
        <w:rPr>
          <w:spacing w:val="2"/>
        </w:rPr>
        <w:t>公司派</w:t>
      </w:r>
      <w:r>
        <w:rPr/>
        <w:t>发</w:t>
      </w:r>
      <w:r>
        <w:rPr>
          <w:spacing w:val="-45"/>
        </w:rPr>
        <w:t> </w:t>
      </w:r>
      <w:r>
        <w:rPr>
          <w:spacing w:val="-1"/>
          <w:w w:val="111"/>
        </w:rPr>
        <w:t>201</w:t>
      </w:r>
      <w:r>
        <w:rPr>
          <w:w w:val="111"/>
        </w:rPr>
        <w:t>7</w:t>
      </w:r>
      <w:r>
        <w:rPr>
          <w:spacing w:val="-45"/>
        </w:rPr>
        <w:t> </w:t>
      </w:r>
      <w:r>
        <w:rPr>
          <w:spacing w:val="2"/>
        </w:rPr>
        <w:t>年度现金股利中归属于本公司的约人民</w:t>
      </w:r>
      <w:r>
        <w:rPr/>
        <w:t>币</w:t>
      </w:r>
      <w:r>
        <w:rPr>
          <w:spacing w:val="-45"/>
        </w:rPr>
        <w:t> </w:t>
      </w:r>
      <w:r>
        <w:rPr>
          <w:spacing w:val="-1"/>
          <w:w w:val="111"/>
        </w:rPr>
        <w:t>6</w:t>
      </w:r>
      <w:r>
        <w:rPr>
          <w:w w:val="55"/>
        </w:rPr>
        <w:t>.</w:t>
      </w:r>
      <w:r>
        <w:rPr>
          <w:spacing w:val="-1"/>
          <w:w w:val="111"/>
        </w:rPr>
        <w:t>9</w:t>
      </w:r>
      <w:r>
        <w:rPr>
          <w:w w:val="111"/>
        </w:rPr>
        <w:t>9</w:t>
      </w:r>
      <w:r>
        <w:rPr>
          <w:spacing w:val="-45"/>
        </w:rPr>
        <w:t> </w:t>
      </w:r>
      <w:r>
        <w:rPr>
          <w:spacing w:val="2"/>
        </w:rPr>
        <w:t>亿</w:t>
      </w:r>
      <w:r>
        <w:rPr/>
        <w:t>元（</w:t>
      </w:r>
      <w:r>
        <w:rPr>
          <w:spacing w:val="-1"/>
          <w:w w:val="111"/>
        </w:rPr>
        <w:t>201</w:t>
      </w:r>
      <w:r>
        <w:rPr>
          <w:w w:val="111"/>
        </w:rPr>
        <w:t>7</w:t>
      </w:r>
      <w:r>
        <w:rPr>
          <w:spacing w:val="-45"/>
        </w:rPr>
        <w:t> </w:t>
      </w:r>
      <w:r>
        <w:rPr/>
        <w:t>年</w:t>
      </w:r>
      <w:r>
        <w:rPr>
          <w:spacing w:val="2"/>
        </w:rPr>
        <w:t>：人</w:t>
      </w:r>
      <w:r>
        <w:rPr/>
      </w:r>
    </w:p>
    <w:p>
      <w:pPr>
        <w:pStyle w:val="BodyText"/>
        <w:spacing w:line="458" w:lineRule="auto" w:before="44"/>
        <w:ind w:right="6191"/>
        <w:jc w:val="left"/>
      </w:pPr>
      <w:r>
        <w:rPr/>
        <w:t>民币</w:t>
      </w:r>
      <w:r>
        <w:rPr>
          <w:spacing w:val="-45"/>
        </w:rPr>
        <w:t> </w:t>
      </w:r>
      <w:r>
        <w:rPr/>
        <w:t>0</w:t>
      </w:r>
      <w:r>
        <w:rPr>
          <w:spacing w:val="-46"/>
        </w:rPr>
        <w:t> </w:t>
      </w:r>
      <w:r>
        <w:rPr/>
        <w:t>元）。</w:t>
      </w:r>
      <w:r>
        <w:rPr>
          <w:spacing w:val="-81"/>
        </w:rPr>
        <w:t> </w:t>
      </w:r>
      <w:r>
        <w:rPr>
          <w:spacing w:val="-81"/>
        </w:rPr>
      </w:r>
      <w:r>
        <w:rPr/>
        <w:t>本公司不存在投资收益汇回的重大限制。</w:t>
      </w:r>
    </w:p>
    <w:p>
      <w:pPr>
        <w:spacing w:line="240" w:lineRule="auto" w:before="11"/>
        <w:rPr>
          <w:rFonts w:ascii="宋体" w:hAnsi="宋体" w:cs="宋体" w:eastAsia="宋体" w:hint="default"/>
          <w:sz w:val="16"/>
          <w:szCs w:val="16"/>
        </w:rPr>
      </w:pPr>
    </w:p>
    <w:p>
      <w:pPr>
        <w:pStyle w:val="BodyText"/>
        <w:spacing w:line="240" w:lineRule="auto"/>
        <w:ind w:left="113" w:right="0"/>
        <w:jc w:val="left"/>
        <w:rPr>
          <w:rFonts w:ascii="宋体" w:hAnsi="宋体" w:cs="宋体" w:eastAsia="宋体" w:hint="default"/>
        </w:rPr>
      </w:pPr>
      <w:r>
        <w:rPr>
          <w:rFonts w:ascii="宋体" w:hAnsi="宋体" w:cs="宋体" w:eastAsia="宋体" w:hint="default"/>
          <w:color w:val="9F8958"/>
        </w:rPr>
        <w:t>十六、非经常性损益明细表</w:t>
      </w:r>
      <w:r>
        <w:rPr>
          <w:rFonts w:ascii="宋体" w:hAnsi="宋体" w:cs="宋体" w:eastAsia="宋体" w:hint="default"/>
        </w:rPr>
      </w:r>
    </w:p>
    <w:p>
      <w:pPr>
        <w:spacing w:line="240" w:lineRule="auto" w:before="4"/>
        <w:rPr>
          <w:rFonts w:ascii="宋体" w:hAnsi="宋体" w:cs="宋体" w:eastAsia="宋体" w:hint="default"/>
          <w:sz w:val="17"/>
          <w:szCs w:val="17"/>
        </w:rPr>
      </w:pPr>
    </w:p>
    <w:tbl>
      <w:tblPr>
        <w:tblW w:w="0" w:type="auto"/>
        <w:jc w:val="left"/>
        <w:tblInd w:w="434" w:type="dxa"/>
        <w:tblLayout w:type="fixed"/>
        <w:tblCellMar>
          <w:top w:w="0" w:type="dxa"/>
          <w:left w:w="0" w:type="dxa"/>
          <w:bottom w:w="0" w:type="dxa"/>
          <w:right w:w="0" w:type="dxa"/>
        </w:tblCellMar>
        <w:tblLook w:val="01E0"/>
      </w:tblPr>
      <w:tblGrid>
        <w:gridCol w:w="4093"/>
        <w:gridCol w:w="2602"/>
        <w:gridCol w:w="2602"/>
      </w:tblGrid>
      <w:tr>
        <w:trPr>
          <w:trHeight w:val="350"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left="113" w:right="0"/>
              <w:jc w:val="left"/>
              <w:rPr>
                <w:rFonts w:ascii="宋体" w:hAnsi="宋体" w:cs="宋体" w:eastAsia="宋体" w:hint="default"/>
                <w:sz w:val="16"/>
                <w:szCs w:val="16"/>
              </w:rPr>
            </w:pPr>
            <w:r>
              <w:rPr>
                <w:rFonts w:ascii="宋体" w:hAnsi="宋体" w:cs="宋体" w:eastAsia="宋体" w:hint="default"/>
                <w:sz w:val="16"/>
                <w:szCs w:val="16"/>
              </w:rPr>
              <w:t>（单位：人民币百万元）</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362" w:hRule="exact"/>
        </w:trPr>
        <w:tc>
          <w:tcPr>
            <w:tcW w:w="4093"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left="113" w:right="0"/>
              <w:jc w:val="left"/>
              <w:rPr>
                <w:rFonts w:ascii="宋体" w:hAnsi="宋体" w:cs="宋体" w:eastAsia="宋体" w:hint="default"/>
                <w:sz w:val="16"/>
                <w:szCs w:val="16"/>
              </w:rPr>
            </w:pPr>
            <w:r>
              <w:rPr>
                <w:rFonts w:ascii="宋体" w:hAnsi="宋体" w:cs="宋体" w:eastAsia="宋体" w:hint="default"/>
                <w:sz w:val="16"/>
                <w:szCs w:val="16"/>
              </w:rPr>
              <w:t>－营业外收入</w:t>
            </w:r>
          </w:p>
        </w:tc>
        <w:tc>
          <w:tcPr>
            <w:tcW w:w="2602"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64"/>
              <w:ind w:right="111"/>
              <w:jc w:val="right"/>
              <w:rPr>
                <w:rFonts w:ascii="宋体" w:hAnsi="宋体" w:cs="宋体" w:eastAsia="宋体" w:hint="default"/>
                <w:sz w:val="16"/>
                <w:szCs w:val="16"/>
              </w:rPr>
            </w:pPr>
            <w:r>
              <w:rPr>
                <w:rFonts w:ascii="宋体"/>
                <w:w w:val="110"/>
                <w:sz w:val="16"/>
              </w:rPr>
              <w:t>746</w:t>
            </w:r>
            <w:r>
              <w:rPr>
                <w:rFonts w:ascii="宋体"/>
                <w:sz w:val="16"/>
              </w:rPr>
            </w:r>
          </w:p>
        </w:tc>
        <w:tc>
          <w:tcPr>
            <w:tcW w:w="2602" w:type="dxa"/>
            <w:tcBorders>
              <w:top w:val="single" w:sz="16" w:space="0" w:color="9F8958"/>
              <w:left w:val="nil" w:sz="6" w:space="0" w:color="auto"/>
              <w:bottom w:val="nil" w:sz="6" w:space="0" w:color="auto"/>
              <w:right w:val="nil" w:sz="6" w:space="0" w:color="auto"/>
            </w:tcBorders>
          </w:tcPr>
          <w:p>
            <w:pPr>
              <w:pStyle w:val="TableParagraph"/>
              <w:spacing w:line="240" w:lineRule="auto" w:before="64"/>
              <w:ind w:right="111"/>
              <w:jc w:val="right"/>
              <w:rPr>
                <w:rFonts w:ascii="宋体" w:hAnsi="宋体" w:cs="宋体" w:eastAsia="宋体" w:hint="default"/>
                <w:sz w:val="16"/>
                <w:szCs w:val="16"/>
              </w:rPr>
            </w:pPr>
            <w:r>
              <w:rPr>
                <w:rFonts w:ascii="宋体"/>
                <w:w w:val="95"/>
                <w:sz w:val="16"/>
              </w:rPr>
              <w:t>1,047</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283" w:right="0"/>
              <w:jc w:val="left"/>
              <w:rPr>
                <w:rFonts w:ascii="宋体" w:hAnsi="宋体" w:cs="宋体" w:eastAsia="宋体" w:hint="default"/>
                <w:sz w:val="16"/>
                <w:szCs w:val="16"/>
              </w:rPr>
            </w:pPr>
            <w:r>
              <w:rPr>
                <w:rFonts w:ascii="宋体" w:hAnsi="宋体" w:cs="宋体" w:eastAsia="宋体" w:hint="default"/>
                <w:sz w:val="16"/>
                <w:szCs w:val="16"/>
              </w:rPr>
              <w:t>其中：计入当期损益的政府补助</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spacing w:val="-1"/>
                <w:w w:val="110"/>
                <w:sz w:val="16"/>
              </w:rPr>
              <w:t>72</w:t>
            </w:r>
            <w:r>
              <w:rPr>
                <w:rFonts w:ascii="宋体"/>
                <w:spacing w:val="-1"/>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57</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766" w:right="0"/>
              <w:jc w:val="left"/>
              <w:rPr>
                <w:rFonts w:ascii="宋体" w:hAnsi="宋体" w:cs="宋体" w:eastAsia="宋体" w:hint="default"/>
                <w:sz w:val="16"/>
                <w:szCs w:val="16"/>
              </w:rPr>
            </w:pPr>
            <w:r>
              <w:rPr>
                <w:rFonts w:ascii="宋体" w:hAnsi="宋体" w:cs="宋体" w:eastAsia="宋体" w:hint="default"/>
                <w:sz w:val="16"/>
                <w:szCs w:val="16"/>
              </w:rPr>
              <w:t>其他营业外收入</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674</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990</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－营业外支出</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85"/>
                <w:sz w:val="16"/>
              </w:rPr>
              <w:t>(592)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85"/>
                <w:sz w:val="16"/>
              </w:rPr>
              <w:t>(182)</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－资产处置损失</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85"/>
                <w:sz w:val="16"/>
              </w:rPr>
              <w:t>(3,972)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85"/>
                <w:sz w:val="16"/>
              </w:rPr>
              <w:t>(3,489)</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－铁塔上市投资收益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682</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－其他收益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185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196</w:t>
            </w:r>
            <w:r>
              <w:rPr>
                <w:rFonts w:ascii="宋体"/>
                <w:sz w:val="16"/>
              </w:rPr>
            </w:r>
          </w:p>
        </w:tc>
      </w:tr>
      <w:tr>
        <w:trPr>
          <w:trHeight w:val="273"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－处置交易性金融资产取得的投资收益</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10"/>
                <w:sz w:val="16"/>
              </w:rPr>
              <w:t>50</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10"/>
                <w:sz w:val="16"/>
              </w:rPr>
              <w:t>28</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85"/>
                <w:sz w:val="16"/>
              </w:rPr>
              <w:t>(2,901)</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85"/>
                <w:sz w:val="16"/>
              </w:rPr>
              <w:t>(2,400)</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－所得税影响数</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110"/>
                <w:sz w:val="16"/>
              </w:rPr>
              <w:t>746</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110"/>
                <w:sz w:val="16"/>
              </w:rPr>
              <w:t>601</w:t>
            </w:r>
            <w:r>
              <w:rPr>
                <w:rFonts w:ascii="宋体"/>
                <w:sz w:val="16"/>
              </w:rPr>
            </w:r>
          </w:p>
        </w:tc>
      </w:tr>
      <w:tr>
        <w:trPr>
          <w:trHeight w:val="340"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05" w:lineRule="exact"/>
              <w:ind w:left="113" w:right="0"/>
              <w:jc w:val="left"/>
              <w:rPr>
                <w:rFonts w:ascii="宋体" w:hAnsi="宋体" w:cs="宋体" w:eastAsia="宋体" w:hint="default"/>
                <w:sz w:val="16"/>
                <w:szCs w:val="16"/>
              </w:rPr>
            </w:pPr>
            <w:r>
              <w:rPr>
                <w:rFonts w:ascii="宋体" w:hAnsi="宋体" w:cs="宋体" w:eastAsia="宋体" w:hint="default"/>
                <w:sz w:val="16"/>
                <w:szCs w:val="16"/>
              </w:rPr>
              <w:t>小计</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85"/>
                <w:sz w:val="16"/>
              </w:rPr>
              <w:t>(2,155)</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85"/>
                <w:sz w:val="16"/>
              </w:rPr>
              <w:t>(1,799)</w:t>
            </w:r>
            <w:r>
              <w:rPr>
                <w:rFonts w:ascii="宋体"/>
                <w:sz w:val="16"/>
              </w:rPr>
            </w:r>
          </w:p>
        </w:tc>
      </w:tr>
      <w:tr>
        <w:trPr>
          <w:trHeight w:val="407" w:hRule="exact"/>
        </w:trPr>
        <w:tc>
          <w:tcPr>
            <w:tcW w:w="4093"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－少数股东损益的影响</w:t>
            </w:r>
          </w:p>
        </w:tc>
        <w:tc>
          <w:tcPr>
            <w:tcW w:w="2602"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1,208</w:t>
            </w:r>
            <w:r>
              <w:rPr>
                <w:rFonts w:ascii="宋体"/>
                <w:sz w:val="16"/>
              </w:rPr>
            </w:r>
          </w:p>
        </w:tc>
        <w:tc>
          <w:tcPr>
            <w:tcW w:w="2602" w:type="dxa"/>
            <w:tcBorders>
              <w:top w:val="nil" w:sz="6" w:space="0" w:color="auto"/>
              <w:left w:val="nil" w:sz="6" w:space="0" w:color="auto"/>
              <w:bottom w:val="nil" w:sz="6" w:space="0" w:color="auto"/>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95"/>
                <w:sz w:val="16"/>
              </w:rPr>
              <w:t>1,232</w:t>
            </w:r>
            <w:r>
              <w:rPr>
                <w:rFonts w:ascii="宋体"/>
                <w:sz w:val="16"/>
              </w:rPr>
            </w:r>
          </w:p>
        </w:tc>
      </w:tr>
      <w:tr>
        <w:trPr>
          <w:trHeight w:val="405" w:hRule="exact"/>
        </w:trPr>
        <w:tc>
          <w:tcPr>
            <w:tcW w:w="4093"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left="113" w:right="0"/>
              <w:jc w:val="left"/>
              <w:rPr>
                <w:rFonts w:ascii="宋体" w:hAnsi="宋体" w:cs="宋体" w:eastAsia="宋体" w:hint="default"/>
                <w:sz w:val="16"/>
                <w:szCs w:val="16"/>
              </w:rPr>
            </w:pPr>
            <w:r>
              <w:rPr>
                <w:rFonts w:ascii="宋体" w:hAnsi="宋体" w:cs="宋体" w:eastAsia="宋体" w:hint="default"/>
                <w:sz w:val="16"/>
                <w:szCs w:val="16"/>
              </w:rPr>
              <w:t>合计</w:t>
            </w:r>
          </w:p>
        </w:tc>
        <w:tc>
          <w:tcPr>
            <w:tcW w:w="2602"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62"/>
              <w:ind w:right="111"/>
              <w:jc w:val="right"/>
              <w:rPr>
                <w:rFonts w:ascii="宋体" w:hAnsi="宋体" w:cs="宋体" w:eastAsia="宋体" w:hint="default"/>
                <w:sz w:val="16"/>
                <w:szCs w:val="16"/>
              </w:rPr>
            </w:pPr>
            <w:r>
              <w:rPr>
                <w:rFonts w:ascii="宋体"/>
                <w:w w:val="85"/>
                <w:sz w:val="16"/>
              </w:rPr>
              <w:t>(947)</w:t>
            </w:r>
            <w:r>
              <w:rPr>
                <w:rFonts w:ascii="宋体"/>
                <w:sz w:val="16"/>
              </w:rPr>
            </w:r>
          </w:p>
        </w:tc>
        <w:tc>
          <w:tcPr>
            <w:tcW w:w="2602" w:type="dxa"/>
            <w:tcBorders>
              <w:top w:val="nil" w:sz="6" w:space="0" w:color="auto"/>
              <w:left w:val="nil" w:sz="6" w:space="0" w:color="auto"/>
              <w:bottom w:val="single" w:sz="16" w:space="0" w:color="9F8958"/>
              <w:right w:val="nil" w:sz="6" w:space="0" w:color="auto"/>
            </w:tcBorders>
          </w:tcPr>
          <w:p>
            <w:pPr>
              <w:pStyle w:val="TableParagraph"/>
              <w:spacing w:line="240" w:lineRule="auto" w:before="62"/>
              <w:ind w:right="111"/>
              <w:jc w:val="right"/>
              <w:rPr>
                <w:rFonts w:ascii="宋体" w:hAnsi="宋体" w:cs="宋体" w:eastAsia="宋体" w:hint="default"/>
                <w:sz w:val="16"/>
                <w:szCs w:val="16"/>
              </w:rPr>
            </w:pPr>
            <w:r>
              <w:rPr>
                <w:rFonts w:ascii="宋体"/>
                <w:w w:val="85"/>
                <w:sz w:val="16"/>
              </w:rPr>
              <w:t>(567)</w:t>
            </w:r>
            <w:r>
              <w:rPr>
                <w:rFonts w:ascii="宋体"/>
                <w:sz w:val="16"/>
              </w:rPr>
            </w:r>
          </w:p>
        </w:tc>
      </w:tr>
    </w:tbl>
    <w:p>
      <w:pPr>
        <w:spacing w:line="240" w:lineRule="auto" w:before="1"/>
        <w:rPr>
          <w:rFonts w:ascii="宋体" w:hAnsi="宋体" w:cs="宋体" w:eastAsia="宋体" w:hint="default"/>
          <w:sz w:val="15"/>
          <w:szCs w:val="15"/>
        </w:rPr>
      </w:pPr>
    </w:p>
    <w:p>
      <w:pPr>
        <w:pStyle w:val="BodyText"/>
        <w:spacing w:line="240" w:lineRule="auto" w:before="31"/>
        <w:ind w:right="0"/>
        <w:jc w:val="both"/>
      </w:pPr>
      <w:r>
        <w:rPr/>
        <w:t>非经常性损益明细表编制基础</w:t>
      </w:r>
    </w:p>
    <w:p>
      <w:pPr>
        <w:spacing w:line="240" w:lineRule="auto" w:before="5"/>
        <w:rPr>
          <w:rFonts w:ascii="宋体" w:hAnsi="宋体" w:cs="宋体" w:eastAsia="宋体" w:hint="default"/>
          <w:sz w:val="16"/>
          <w:szCs w:val="16"/>
        </w:rPr>
      </w:pPr>
    </w:p>
    <w:p>
      <w:pPr>
        <w:pStyle w:val="BodyText"/>
        <w:spacing w:line="285" w:lineRule="auto"/>
        <w:ind w:right="148"/>
        <w:jc w:val="both"/>
      </w:pPr>
      <w:r>
        <w:rPr>
          <w:spacing w:val="1"/>
        </w:rPr>
        <w:t>根据《公开发行证券的公司信息披露解释性公告第</w:t>
      </w:r>
      <w:r>
        <w:rPr>
          <w:spacing w:val="-30"/>
        </w:rPr>
        <w:t> </w:t>
      </w:r>
      <w:r>
        <w:rPr>
          <w:w w:val="111"/>
        </w:rPr>
        <w:t>1</w:t>
      </w:r>
      <w:r>
        <w:rPr>
          <w:spacing w:val="-40"/>
          <w:w w:val="111"/>
        </w:rPr>
        <w:t> </w:t>
      </w:r>
      <w:r>
        <w:rPr>
          <w:spacing w:val="1"/>
        </w:rPr>
        <w:t>号—非经常性损益</w:t>
      </w:r>
      <w:r>
        <w:rPr>
          <w:spacing w:val="-30"/>
        </w:rPr>
        <w:t> </w:t>
      </w:r>
      <w:r>
        <w:rPr>
          <w:spacing w:val="1"/>
          <w:w w:val="98"/>
        </w:rPr>
        <w:t>[2008]》的规定，非经常性损益是指与公司正</w:t>
      </w:r>
      <w:r>
        <w:rPr>
          <w:spacing w:val="-77"/>
          <w:w w:val="98"/>
        </w:rPr>
        <w:t> </w:t>
      </w:r>
      <w:r>
        <w:rPr>
          <w:spacing w:val="-77"/>
          <w:w w:val="98"/>
        </w:rPr>
      </w:r>
      <w:r>
        <w:rPr/>
        <w:t>常经营业务无直接关系，以及虽与正常经营业务相关，但由于其性质特殊和偶发性，影响报表使用人对公司经营业绩</w:t>
      </w:r>
      <w:r>
        <w:rPr>
          <w:spacing w:val="5"/>
        </w:rPr>
        <w:t> </w:t>
      </w:r>
      <w:r>
        <w:rPr>
          <w:spacing w:val="5"/>
        </w:rPr>
      </w:r>
      <w:r>
        <w:rPr/>
        <w:t>和盈利作出正确判断的各项交易和事项产生的损益。</w:t>
      </w:r>
    </w:p>
    <w:p>
      <w:pPr>
        <w:spacing w:after="0" w:line="285" w:lineRule="auto"/>
        <w:jc w:val="both"/>
        <w:sectPr>
          <w:headerReference w:type="default" r:id="rId370"/>
          <w:pgSz w:w="11910" w:h="16160"/>
          <w:pgMar w:header="0" w:footer="298" w:top="1520" w:bottom="480" w:left="1360" w:right="64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0"/>
        <w:jc w:val="left"/>
        <w:rPr>
          <w:rFonts w:ascii="宋体" w:hAnsi="宋体" w:cs="宋体" w:eastAsia="宋体" w:hint="default"/>
        </w:rPr>
      </w:pPr>
      <w:r>
        <w:rPr>
          <w:rFonts w:ascii="宋体" w:hAnsi="宋体" w:cs="宋体" w:eastAsia="宋体" w:hint="default"/>
          <w:color w:val="9F8958"/>
        </w:rPr>
        <w:t>十七、计算净资产收益率及每股收益</w:t>
      </w:r>
      <w:r>
        <w:rPr>
          <w:rFonts w:ascii="宋体" w:hAnsi="宋体" w:cs="宋体" w:eastAsia="宋体" w:hint="default"/>
        </w:rPr>
      </w:r>
    </w:p>
    <w:p>
      <w:pPr>
        <w:spacing w:line="240" w:lineRule="auto" w:before="10"/>
        <w:rPr>
          <w:rFonts w:ascii="宋体" w:hAnsi="宋体" w:cs="宋体" w:eastAsia="宋体" w:hint="default"/>
          <w:sz w:val="14"/>
          <w:szCs w:val="14"/>
        </w:rPr>
      </w:pPr>
    </w:p>
    <w:p>
      <w:pPr>
        <w:spacing w:line="206" w:lineRule="exact" w:before="41"/>
        <w:ind w:left="0" w:right="2128" w:firstLine="0"/>
        <w:jc w:val="right"/>
        <w:rPr>
          <w:rFonts w:ascii="宋体" w:hAnsi="宋体" w:cs="宋体" w:eastAsia="宋体" w:hint="default"/>
          <w:sz w:val="16"/>
          <w:szCs w:val="16"/>
        </w:rPr>
      </w:pPr>
      <w:r>
        <w:rPr>
          <w:rFonts w:ascii="宋体" w:hAnsi="宋体" w:cs="宋体" w:eastAsia="宋体" w:hint="default"/>
          <w:sz w:val="16"/>
          <w:szCs w:val="16"/>
        </w:rPr>
        <w:t>每股收益</w:t>
      </w:r>
    </w:p>
    <w:p>
      <w:pPr>
        <w:spacing w:line="206" w:lineRule="exact" w:before="0"/>
        <w:ind w:left="3159" w:right="0" w:firstLine="0"/>
        <w:jc w:val="left"/>
        <w:rPr>
          <w:rFonts w:ascii="宋体" w:hAnsi="宋体" w:cs="宋体" w:eastAsia="宋体" w:hint="default"/>
          <w:sz w:val="16"/>
          <w:szCs w:val="16"/>
        </w:rPr>
      </w:pPr>
      <w:r>
        <w:rPr/>
        <w:pict>
          <v:group style="position:absolute;margin-left:291.968506pt;margin-top:6.44337pt;width:229.6pt;height:.1pt;mso-position-horizontal-relative:page;mso-position-vertical-relative:paragraph;z-index:11200" coordorigin="5839,129" coordsize="4592,2">
            <v:shape style="position:absolute;left:5839;top:129;width:4592;height:2" coordorigin="5839,129" coordsize="4592,0" path="m5839,129l10431,129e" filled="false" stroked="true" strokeweight=".75pt" strokecolor="#000000">
              <v:path arrowok="t"/>
            </v:shape>
            <w10:wrap type="none"/>
          </v:group>
        </w:pict>
      </w:r>
      <w:r>
        <w:rPr>
          <w:rFonts w:ascii="宋体" w:hAnsi="宋体" w:cs="宋体" w:eastAsia="宋体" w:hint="default"/>
          <w:sz w:val="16"/>
          <w:szCs w:val="16"/>
        </w:rPr>
        <w:t>加权平均净资产收益率</w:t>
      </w:r>
      <w:r>
        <w:rPr>
          <w:rFonts w:ascii="宋体" w:hAnsi="宋体" w:cs="宋体" w:eastAsia="宋体" w:hint="default"/>
          <w:spacing w:val="-34"/>
          <w:sz w:val="16"/>
          <w:szCs w:val="16"/>
        </w:rPr>
        <w:t> </w:t>
      </w:r>
      <w:r>
        <w:rPr>
          <w:rFonts w:ascii="宋体" w:hAnsi="宋体" w:cs="宋体" w:eastAsia="宋体" w:hint="default"/>
          <w:sz w:val="16"/>
          <w:szCs w:val="16"/>
        </w:rPr>
        <w:t>(%)</w:t>
      </w:r>
    </w:p>
    <w:p>
      <w:pPr>
        <w:tabs>
          <w:tab w:pos="6262" w:val="left" w:leader="none"/>
          <w:tab w:pos="8677" w:val="left" w:leader="none"/>
        </w:tabs>
        <w:spacing w:line="203" w:lineRule="exact" w:before="0"/>
        <w:ind w:left="567" w:right="0" w:firstLine="0"/>
        <w:jc w:val="left"/>
        <w:rPr>
          <w:rFonts w:ascii="宋体" w:hAnsi="宋体" w:cs="宋体" w:eastAsia="宋体" w:hint="default"/>
          <w:sz w:val="16"/>
          <w:szCs w:val="16"/>
        </w:rPr>
      </w:pPr>
      <w:r>
        <w:rPr>
          <w:rFonts w:ascii="宋体" w:hAnsi="宋体" w:cs="宋体" w:eastAsia="宋体" w:hint="default"/>
          <w:sz w:val="16"/>
          <w:szCs w:val="16"/>
        </w:rPr>
        <w:t>报告期利润</w:t>
        <w:tab/>
        <w:t>基本每股收益</w:t>
        <w:tab/>
        <w:t>稀释每股收益</w:t>
      </w:r>
    </w:p>
    <w:p>
      <w:pPr>
        <w:spacing w:line="240" w:lineRule="auto" w:before="1"/>
        <w:rPr>
          <w:rFonts w:ascii="宋体" w:hAnsi="宋体" w:cs="宋体" w:eastAsia="宋体" w:hint="default"/>
          <w:sz w:val="9"/>
          <w:szCs w:val="9"/>
        </w:rPr>
      </w:pPr>
    </w:p>
    <w:p>
      <w:pPr>
        <w:spacing w:line="20" w:lineRule="exact"/>
        <w:ind w:left="2623" w:right="0" w:firstLine="0"/>
        <w:rPr>
          <w:rFonts w:ascii="宋体" w:hAnsi="宋体" w:cs="宋体" w:eastAsia="宋体" w:hint="default"/>
          <w:sz w:val="2"/>
          <w:szCs w:val="2"/>
        </w:rPr>
      </w:pPr>
      <w:r>
        <w:rPr>
          <w:rFonts w:ascii="宋体" w:hAnsi="宋体" w:cs="宋体" w:eastAsia="宋体" w:hint="default"/>
          <w:sz w:val="2"/>
          <w:szCs w:val="2"/>
        </w:rPr>
        <w:pict>
          <v:group style="width:356.8pt;height:.75pt;mso-position-horizontal-relative:char;mso-position-vertical-relative:line" coordorigin="0,0" coordsize="7136,15">
            <v:group style="position:absolute;left:8;top:8;width:2529;height:2" coordorigin="8,8" coordsize="2529,2">
              <v:shape style="position:absolute;left:8;top:8;width:2529;height:2" coordorigin="8,8" coordsize="2529,0" path="m8,8l2536,8e" filled="false" stroked="true" strokeweight=".75pt" strokecolor="#000000">
                <v:path arrowok="t"/>
              </v:shape>
            </v:group>
            <v:group style="position:absolute;left:2536;top:8;width:2177;height:2" coordorigin="2536,8" coordsize="2177,2">
              <v:shape style="position:absolute;left:2536;top:8;width:2177;height:2" coordorigin="2536,8" coordsize="2177,0" path="m2536,8l4713,8e" filled="false" stroked="true" strokeweight=".75pt" strokecolor="#000000">
                <v:path arrowok="t"/>
              </v:shape>
            </v:group>
            <v:group style="position:absolute;left:4713;top:8;width:2415;height:2" coordorigin="4713,8" coordsize="2415,2">
              <v:shape style="position:absolute;left:4713;top:8;width:2415;height:2" coordorigin="4713,8" coordsize="2415,0" path="m4713,8l7128,8e" filled="false" stroked="true" strokeweight=".75pt" strokecolor="#000000">
                <v:path arrowok="t"/>
              </v:shape>
            </v:group>
          </v:group>
        </w:pict>
      </w:r>
      <w:r>
        <w:rPr>
          <w:rFonts w:ascii="宋体" w:hAnsi="宋体" w:cs="宋体" w:eastAsia="宋体" w:hint="default"/>
          <w:sz w:val="2"/>
          <w:szCs w:val="2"/>
        </w:rPr>
      </w:r>
    </w:p>
    <w:p>
      <w:pPr>
        <w:spacing w:line="240" w:lineRule="auto" w:before="12"/>
        <w:rPr>
          <w:rFonts w:ascii="宋体" w:hAnsi="宋体" w:cs="宋体" w:eastAsia="宋体" w:hint="default"/>
          <w:sz w:val="3"/>
          <w:szCs w:val="3"/>
        </w:rPr>
      </w:pPr>
    </w:p>
    <w:tbl>
      <w:tblPr>
        <w:tblW w:w="0" w:type="auto"/>
        <w:jc w:val="left"/>
        <w:tblInd w:w="433" w:type="dxa"/>
        <w:tblLayout w:type="fixed"/>
        <w:tblCellMar>
          <w:top w:w="0" w:type="dxa"/>
          <w:left w:w="0" w:type="dxa"/>
          <w:bottom w:w="0" w:type="dxa"/>
          <w:right w:w="0" w:type="dxa"/>
        </w:tblCellMar>
        <w:tblLook w:val="01E0"/>
      </w:tblPr>
      <w:tblGrid>
        <w:gridCol w:w="2177"/>
        <w:gridCol w:w="1111"/>
        <w:gridCol w:w="1417"/>
        <w:gridCol w:w="1077"/>
        <w:gridCol w:w="1100"/>
        <w:gridCol w:w="1089"/>
        <w:gridCol w:w="1326"/>
      </w:tblGrid>
      <w:tr>
        <w:trPr>
          <w:trHeight w:val="350" w:hRule="exact"/>
        </w:trPr>
        <w:tc>
          <w:tcPr>
            <w:tcW w:w="2177" w:type="dxa"/>
            <w:tcBorders>
              <w:top w:val="nil" w:sz="6" w:space="0" w:color="auto"/>
              <w:left w:val="nil" w:sz="6" w:space="0" w:color="auto"/>
              <w:bottom w:val="single" w:sz="16" w:space="0" w:color="9F8958"/>
              <w:right w:val="nil" w:sz="6" w:space="0" w:color="auto"/>
            </w:tcBorders>
          </w:tcPr>
          <w:p>
            <w:pPr/>
          </w:p>
        </w:tc>
        <w:tc>
          <w:tcPr>
            <w:tcW w:w="111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417"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077"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100"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08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1326"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562" w:hRule="exact"/>
        </w:trPr>
        <w:tc>
          <w:tcPr>
            <w:tcW w:w="2177" w:type="dxa"/>
            <w:tcBorders>
              <w:top w:val="single" w:sz="16" w:space="0" w:color="9F8958"/>
              <w:left w:val="nil" w:sz="6" w:space="0" w:color="auto"/>
              <w:bottom w:val="nil" w:sz="6" w:space="0" w:color="auto"/>
              <w:right w:val="nil" w:sz="6" w:space="0" w:color="auto"/>
            </w:tcBorders>
          </w:tcPr>
          <w:p>
            <w:pPr>
              <w:pStyle w:val="TableParagraph"/>
              <w:spacing w:line="200" w:lineRule="exact" w:before="91"/>
              <w:ind w:left="113" w:right="141"/>
              <w:jc w:val="left"/>
              <w:rPr>
                <w:rFonts w:ascii="宋体" w:hAnsi="宋体" w:cs="宋体" w:eastAsia="宋体" w:hint="default"/>
                <w:sz w:val="16"/>
                <w:szCs w:val="16"/>
              </w:rPr>
            </w:pPr>
            <w:r>
              <w:rPr>
                <w:rFonts w:ascii="宋体" w:hAnsi="宋体" w:cs="宋体" w:eastAsia="宋体" w:hint="default"/>
                <w:sz w:val="16"/>
                <w:szCs w:val="16"/>
              </w:rPr>
              <w:t>归属于母公司普通股股东的 净利润</w:t>
            </w:r>
          </w:p>
        </w:tc>
        <w:tc>
          <w:tcPr>
            <w:tcW w:w="1111"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w w:val="95"/>
                <w:sz w:val="16"/>
              </w:rPr>
              <w:t>2.86</w:t>
            </w:r>
            <w:r>
              <w:rPr>
                <w:rFonts w:ascii="宋体"/>
                <w:sz w:val="16"/>
              </w:rPr>
            </w:r>
          </w:p>
        </w:tc>
        <w:tc>
          <w:tcPr>
            <w:tcW w:w="1417"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w w:val="95"/>
                <w:sz w:val="16"/>
              </w:rPr>
              <w:t>0.49</w:t>
            </w:r>
            <w:r>
              <w:rPr>
                <w:rFonts w:ascii="宋体"/>
                <w:sz w:val="16"/>
              </w:rPr>
            </w:r>
          </w:p>
        </w:tc>
        <w:tc>
          <w:tcPr>
            <w:tcW w:w="1077"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sz w:val="16"/>
              </w:rPr>
              <w:t>0.1321</w:t>
            </w:r>
          </w:p>
        </w:tc>
        <w:tc>
          <w:tcPr>
            <w:tcW w:w="1100"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sz w:val="16"/>
              </w:rPr>
              <w:t>0.0188</w:t>
            </w:r>
          </w:p>
        </w:tc>
        <w:tc>
          <w:tcPr>
            <w:tcW w:w="1089"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sz w:val="16"/>
              </w:rPr>
              <w:t>0.1321</w:t>
            </w:r>
          </w:p>
        </w:tc>
        <w:tc>
          <w:tcPr>
            <w:tcW w:w="1326" w:type="dxa"/>
            <w:tcBorders>
              <w:top w:val="single" w:sz="16" w:space="0" w:color="9F8958"/>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right="111"/>
              <w:jc w:val="right"/>
              <w:rPr>
                <w:rFonts w:ascii="宋体" w:hAnsi="宋体" w:cs="宋体" w:eastAsia="宋体" w:hint="default"/>
                <w:sz w:val="16"/>
                <w:szCs w:val="16"/>
              </w:rPr>
            </w:pPr>
            <w:r>
              <w:rPr>
                <w:rFonts w:ascii="宋体"/>
                <w:sz w:val="16"/>
              </w:rPr>
              <w:t>0.0188</w:t>
            </w:r>
          </w:p>
        </w:tc>
      </w:tr>
      <w:tr>
        <w:trPr>
          <w:trHeight w:val="538" w:hRule="exact"/>
        </w:trPr>
        <w:tc>
          <w:tcPr>
            <w:tcW w:w="2177" w:type="dxa"/>
            <w:tcBorders>
              <w:top w:val="nil" w:sz="6" w:space="0" w:color="auto"/>
              <w:left w:val="nil" w:sz="6" w:space="0" w:color="auto"/>
              <w:bottom w:val="single" w:sz="16" w:space="0" w:color="9F8958"/>
              <w:right w:val="nil" w:sz="6" w:space="0" w:color="auto"/>
            </w:tcBorders>
          </w:tcPr>
          <w:p>
            <w:pPr>
              <w:pStyle w:val="TableParagraph"/>
              <w:spacing w:line="200" w:lineRule="exact" w:before="22"/>
              <w:ind w:left="113" w:right="141"/>
              <w:jc w:val="left"/>
              <w:rPr>
                <w:rFonts w:ascii="宋体" w:hAnsi="宋体" w:cs="宋体" w:eastAsia="宋体" w:hint="default"/>
                <w:sz w:val="16"/>
                <w:szCs w:val="16"/>
              </w:rPr>
            </w:pPr>
            <w:r>
              <w:rPr>
                <w:rFonts w:ascii="宋体" w:hAnsi="宋体" w:cs="宋体" w:eastAsia="宋体" w:hint="default"/>
                <w:sz w:val="16"/>
                <w:szCs w:val="16"/>
              </w:rPr>
              <w:t>扣除非经常性损益后归属于 母公司普通股股东的净利润</w:t>
            </w:r>
          </w:p>
        </w:tc>
        <w:tc>
          <w:tcPr>
            <w:tcW w:w="1111"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3.52</w:t>
            </w:r>
            <w:r>
              <w:rPr>
                <w:rFonts w:ascii="宋体"/>
                <w:sz w:val="16"/>
              </w:rPr>
            </w:r>
          </w:p>
        </w:tc>
        <w:tc>
          <w:tcPr>
            <w:tcW w:w="1417" w:type="dxa"/>
            <w:tcBorders>
              <w:top w:val="nil" w:sz="6" w:space="0" w:color="auto"/>
              <w:left w:val="nil" w:sz="6" w:space="0" w:color="auto"/>
              <w:bottom w:val="single" w:sz="16" w:space="0" w:color="9F8958"/>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w w:val="95"/>
                <w:sz w:val="16"/>
              </w:rPr>
              <w:t>1.13</w:t>
            </w:r>
            <w:r>
              <w:rPr>
                <w:rFonts w:ascii="宋体"/>
                <w:sz w:val="16"/>
              </w:rPr>
            </w:r>
          </w:p>
        </w:tc>
        <w:tc>
          <w:tcPr>
            <w:tcW w:w="1077"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95"/>
              <w:ind w:right="111"/>
              <w:jc w:val="right"/>
              <w:rPr>
                <w:rFonts w:ascii="宋体" w:hAnsi="宋体" w:cs="宋体" w:eastAsia="宋体" w:hint="default"/>
                <w:sz w:val="16"/>
                <w:szCs w:val="16"/>
              </w:rPr>
            </w:pPr>
            <w:r>
              <w:rPr>
                <w:rFonts w:ascii="宋体"/>
                <w:sz w:val="16"/>
              </w:rPr>
              <w:t>0.1628</w:t>
            </w:r>
          </w:p>
        </w:tc>
        <w:tc>
          <w:tcPr>
            <w:tcW w:w="1100" w:type="dxa"/>
            <w:tcBorders>
              <w:top w:val="nil" w:sz="6" w:space="0" w:color="auto"/>
              <w:left w:val="nil" w:sz="6" w:space="0" w:color="auto"/>
              <w:bottom w:val="single" w:sz="16" w:space="0" w:color="9F8958"/>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sz w:val="16"/>
              </w:rPr>
              <w:t>0.0437</w:t>
            </w:r>
          </w:p>
        </w:tc>
        <w:tc>
          <w:tcPr>
            <w:tcW w:w="1089"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95"/>
              <w:ind w:right="111"/>
              <w:jc w:val="right"/>
              <w:rPr>
                <w:rFonts w:ascii="宋体" w:hAnsi="宋体" w:cs="宋体" w:eastAsia="宋体" w:hint="default"/>
                <w:sz w:val="16"/>
                <w:szCs w:val="16"/>
              </w:rPr>
            </w:pPr>
            <w:r>
              <w:rPr>
                <w:rFonts w:ascii="宋体"/>
                <w:sz w:val="16"/>
              </w:rPr>
              <w:t>0.1628</w:t>
            </w:r>
          </w:p>
        </w:tc>
        <w:tc>
          <w:tcPr>
            <w:tcW w:w="1326" w:type="dxa"/>
            <w:tcBorders>
              <w:top w:val="nil" w:sz="6" w:space="0" w:color="auto"/>
              <w:left w:val="nil" w:sz="6" w:space="0" w:color="auto"/>
              <w:bottom w:val="single" w:sz="16" w:space="0" w:color="9F8958"/>
              <w:right w:val="nil" w:sz="6" w:space="0" w:color="auto"/>
            </w:tcBorders>
          </w:tcPr>
          <w:p>
            <w:pPr>
              <w:pStyle w:val="TableParagraph"/>
              <w:spacing w:line="240" w:lineRule="auto" w:before="95"/>
              <w:ind w:right="111"/>
              <w:jc w:val="right"/>
              <w:rPr>
                <w:rFonts w:ascii="宋体" w:hAnsi="宋体" w:cs="宋体" w:eastAsia="宋体" w:hint="default"/>
                <w:sz w:val="16"/>
                <w:szCs w:val="16"/>
              </w:rPr>
            </w:pPr>
            <w:r>
              <w:rPr>
                <w:rFonts w:ascii="宋体"/>
                <w:sz w:val="16"/>
              </w:rPr>
              <w:t>0.0437</w:t>
            </w:r>
          </w:p>
        </w:tc>
      </w:tr>
    </w:tbl>
    <w:p>
      <w:pPr>
        <w:spacing w:line="240" w:lineRule="auto" w:before="1"/>
        <w:rPr>
          <w:rFonts w:ascii="宋体" w:hAnsi="宋体" w:cs="宋体" w:eastAsia="宋体" w:hint="default"/>
          <w:sz w:val="15"/>
          <w:szCs w:val="15"/>
        </w:rPr>
      </w:pPr>
    </w:p>
    <w:p>
      <w:pPr>
        <w:pStyle w:val="BodyText"/>
        <w:spacing w:line="240" w:lineRule="auto" w:before="31"/>
        <w:ind w:left="453" w:right="0"/>
        <w:jc w:val="both"/>
      </w:pPr>
      <w:r>
        <w:rPr/>
        <w:t>上述财务指标的计算方法：</w:t>
      </w:r>
    </w:p>
    <w:p>
      <w:pPr>
        <w:spacing w:line="240" w:lineRule="auto" w:before="5"/>
        <w:rPr>
          <w:rFonts w:ascii="宋体" w:hAnsi="宋体" w:cs="宋体" w:eastAsia="宋体" w:hint="default"/>
          <w:sz w:val="16"/>
          <w:szCs w:val="16"/>
        </w:rPr>
      </w:pPr>
    </w:p>
    <w:p>
      <w:pPr>
        <w:pStyle w:val="BodyText"/>
        <w:spacing w:line="240" w:lineRule="auto"/>
        <w:ind w:left="113" w:right="0"/>
        <w:jc w:val="left"/>
      </w:pPr>
      <w:r>
        <w:rPr/>
        <w:t>(a)</w:t>
      </w:r>
      <w:r>
        <w:rPr>
          <w:spacing w:val="21"/>
        </w:rPr>
        <w:t> </w:t>
      </w:r>
      <w:r>
        <w:rPr/>
        <w:t>加权平均净资产收益率</w:t>
      </w:r>
      <w:r>
        <w:rPr>
          <w:spacing w:val="-57"/>
        </w:rPr>
        <w:t> </w:t>
      </w:r>
      <w:r>
        <w:rPr/>
        <w:t>(ROE)</w:t>
      </w:r>
      <w:r>
        <w:rPr>
          <w:spacing w:val="-57"/>
        </w:rPr>
        <w:t> </w:t>
      </w:r>
      <w:r>
        <w:rPr/>
        <w:t>的计算公式如下：</w:t>
      </w:r>
    </w:p>
    <w:p>
      <w:pPr>
        <w:spacing w:line="240" w:lineRule="auto" w:before="12"/>
        <w:rPr>
          <w:rFonts w:ascii="宋体" w:hAnsi="宋体" w:cs="宋体" w:eastAsia="宋体" w:hint="default"/>
          <w:sz w:val="17"/>
          <w:szCs w:val="17"/>
        </w:rPr>
      </w:pPr>
    </w:p>
    <w:p>
      <w:pPr>
        <w:pStyle w:val="BodyText"/>
        <w:spacing w:line="240" w:lineRule="auto"/>
        <w:ind w:left="98" w:right="1567"/>
        <w:jc w:val="center"/>
      </w:pPr>
      <w:r>
        <w:rPr>
          <w:w w:val="121"/>
        </w:rPr>
        <w:t>P</w:t>
      </w:r>
      <w:r>
        <w:rPr/>
      </w:r>
    </w:p>
    <w:p>
      <w:pPr>
        <w:pStyle w:val="BodyText"/>
        <w:spacing w:line="240" w:lineRule="auto" w:before="44"/>
        <w:ind w:left="1553" w:right="0"/>
        <w:jc w:val="left"/>
      </w:pPr>
      <w:r>
        <w:rPr/>
        <w:t>ROE=</w:t>
      </w:r>
      <w:r>
        <w:rPr>
          <w:spacing w:val="86"/>
        </w:rPr>
        <w:t> </w:t>
      </w:r>
      <w:r>
        <w:rPr/>
        <w:t>—————————————————————————</w:t>
      </w:r>
    </w:p>
    <w:p>
      <w:pPr>
        <w:pStyle w:val="BodyText"/>
        <w:spacing w:line="240" w:lineRule="auto" w:before="44"/>
        <w:ind w:left="98" w:right="1372"/>
        <w:jc w:val="center"/>
      </w:pPr>
      <w:r>
        <w:rPr>
          <w:w w:val="115"/>
        </w:rPr>
        <w:t>E0+NP÷2+Ei×Mi÷M0-Ej×Mj÷M0±Ek×Mk÷M0</w:t>
      </w:r>
      <w:r>
        <w:rPr/>
      </w:r>
    </w:p>
    <w:p>
      <w:pPr>
        <w:spacing w:line="240" w:lineRule="auto" w:before="5"/>
        <w:rPr>
          <w:rFonts w:ascii="宋体" w:hAnsi="宋体" w:cs="宋体" w:eastAsia="宋体" w:hint="default"/>
          <w:sz w:val="16"/>
          <w:szCs w:val="16"/>
        </w:rPr>
      </w:pPr>
    </w:p>
    <w:p>
      <w:pPr>
        <w:pStyle w:val="BodyText"/>
        <w:spacing w:line="285" w:lineRule="auto"/>
        <w:ind w:left="453" w:right="107"/>
        <w:jc w:val="both"/>
      </w:pPr>
      <w:r>
        <w:rPr/>
        <w:t>其中：P 分别对应于归属于母公司普通股股东的净利润、扣除非经常性损益后归属于母公司普通股股东的净利润；NP</w:t>
      </w:r>
      <w:r>
        <w:rPr>
          <w:spacing w:val="-14"/>
        </w:rPr>
        <w:t> </w:t>
      </w:r>
      <w:r>
        <w:rPr>
          <w:spacing w:val="-14"/>
        </w:rPr>
      </w:r>
      <w:r>
        <w:rPr>
          <w:w w:val="101"/>
        </w:rPr>
        <w:t>为归属于母公司普通股股东的净利润；E0</w:t>
      </w:r>
      <w:r>
        <w:rPr>
          <w:spacing w:val="-47"/>
          <w:w w:val="101"/>
        </w:rPr>
        <w:t> </w:t>
      </w:r>
      <w:r>
        <w:rPr>
          <w:w w:val="98"/>
        </w:rPr>
        <w:t>为归属于母公司普通股股东的年初净资产；Ei</w:t>
      </w:r>
      <w:r>
        <w:rPr>
          <w:spacing w:val="-44"/>
          <w:w w:val="98"/>
        </w:rPr>
        <w:t> </w:t>
      </w:r>
      <w:r>
        <w:rPr/>
        <w:t>为报告期发行新股或债转股等</w:t>
      </w:r>
      <w:r>
        <w:rPr/>
        <w:t> </w:t>
      </w:r>
      <w:r>
        <w:rPr>
          <w:spacing w:val="-6"/>
        </w:rPr>
        <w:t>新增的、归属于母公司普通股股东的净资产；Ej</w:t>
      </w:r>
      <w:r>
        <w:rPr>
          <w:spacing w:val="-63"/>
        </w:rPr>
        <w:t> </w:t>
      </w:r>
      <w:r>
        <w:rPr>
          <w:spacing w:val="-3"/>
        </w:rPr>
        <w:t>为报告期回购或现金分红等减少的、归属于母公司普通股股东的净资产；</w:t>
      </w:r>
      <w:r>
        <w:rPr/>
        <w:t> </w:t>
      </w:r>
      <w:r>
        <w:rPr>
          <w:w w:val="149"/>
        </w:rPr>
        <w:t>M0</w:t>
      </w:r>
      <w:r>
        <w:rPr>
          <w:spacing w:val="-101"/>
          <w:w w:val="149"/>
        </w:rPr>
        <w:t> </w:t>
      </w:r>
      <w:r>
        <w:rPr>
          <w:w w:val="103"/>
        </w:rPr>
        <w:t>为报告期月份数；Mi</w:t>
      </w:r>
      <w:r>
        <w:rPr>
          <w:spacing w:val="-59"/>
          <w:w w:val="103"/>
        </w:rPr>
        <w:t> </w:t>
      </w:r>
      <w:r>
        <w:rPr>
          <w:w w:val="101"/>
        </w:rPr>
        <w:t>为新增净资产下一月份起至报告期年末的月份数；Mj</w:t>
      </w:r>
      <w:r>
        <w:rPr>
          <w:spacing w:val="-58"/>
          <w:w w:val="101"/>
        </w:rPr>
        <w:t> </w:t>
      </w:r>
      <w:r>
        <w:rPr/>
        <w:t>为减少净资产下一月份起至报告期年末</w:t>
      </w:r>
      <w:r>
        <w:rPr/>
        <w:t> 的月份数；Ek 为因其他交易或事项引起的净资产增减变动；Mk 为发生其他净资产增减变动下一月份起至报告期年末</w:t>
      </w:r>
      <w:r>
        <w:rPr>
          <w:spacing w:val="6"/>
        </w:rPr>
        <w:t> </w:t>
      </w:r>
      <w:r>
        <w:rPr>
          <w:spacing w:val="6"/>
        </w:rPr>
      </w:r>
      <w:r>
        <w:rPr>
          <w:w w:val="105"/>
        </w:rPr>
        <w:t>的月份数。</w:t>
      </w:r>
    </w:p>
    <w:p>
      <w:pPr>
        <w:spacing w:line="240" w:lineRule="auto" w:before="10"/>
        <w:rPr>
          <w:rFonts w:ascii="宋体" w:hAnsi="宋体" w:cs="宋体" w:eastAsia="宋体" w:hint="default"/>
          <w:sz w:val="13"/>
          <w:szCs w:val="13"/>
        </w:rPr>
      </w:pPr>
    </w:p>
    <w:p>
      <w:pPr>
        <w:pStyle w:val="BodyText"/>
        <w:spacing w:line="240" w:lineRule="auto"/>
        <w:ind w:left="113" w:right="0"/>
        <w:jc w:val="left"/>
      </w:pPr>
      <w:r>
        <w:rPr/>
        <w:t>(b)</w:t>
      </w:r>
      <w:r>
        <w:rPr>
          <w:spacing w:val="-6"/>
        </w:rPr>
        <w:t> </w:t>
      </w:r>
      <w:r>
        <w:rPr/>
        <w:t>基本每股收益</w:t>
      </w:r>
      <w:r>
        <w:rPr>
          <w:spacing w:val="-63"/>
        </w:rPr>
        <w:t> </w:t>
      </w:r>
      <w:r>
        <w:rPr/>
        <w:t>(EPS)</w:t>
      </w:r>
      <w:r>
        <w:rPr>
          <w:spacing w:val="-63"/>
        </w:rPr>
        <w:t> </w:t>
      </w:r>
      <w:r>
        <w:rPr/>
        <w:t>可参照如下公式计算：</w:t>
      </w:r>
    </w:p>
    <w:p>
      <w:pPr>
        <w:spacing w:line="240" w:lineRule="auto" w:before="12"/>
        <w:rPr>
          <w:rFonts w:ascii="宋体" w:hAnsi="宋体" w:cs="宋体" w:eastAsia="宋体" w:hint="default"/>
          <w:sz w:val="17"/>
          <w:szCs w:val="17"/>
        </w:rPr>
      </w:pPr>
    </w:p>
    <w:p>
      <w:pPr>
        <w:pStyle w:val="BodyText"/>
        <w:spacing w:line="240" w:lineRule="auto"/>
        <w:ind w:left="98" w:right="1567"/>
        <w:jc w:val="center"/>
      </w:pPr>
      <w:r>
        <w:rPr>
          <w:w w:val="121"/>
        </w:rPr>
        <w:t>P</w:t>
      </w:r>
      <w:r>
        <w:rPr/>
      </w:r>
    </w:p>
    <w:p>
      <w:pPr>
        <w:pStyle w:val="BodyText"/>
        <w:spacing w:line="240" w:lineRule="auto" w:before="44"/>
        <w:ind w:left="1553" w:right="0"/>
        <w:jc w:val="left"/>
      </w:pPr>
      <w:r>
        <w:rPr/>
        <w:t>EPS=</w:t>
      </w:r>
      <w:r>
        <w:rPr>
          <w:spacing w:val="45"/>
        </w:rPr>
        <w:t> </w:t>
      </w:r>
      <w:r>
        <w:rPr/>
        <w:t>—————————————————————————</w:t>
      </w:r>
    </w:p>
    <w:p>
      <w:pPr>
        <w:pStyle w:val="BodyText"/>
        <w:spacing w:line="240" w:lineRule="auto" w:before="44"/>
        <w:ind w:left="98" w:right="1635"/>
        <w:jc w:val="center"/>
      </w:pPr>
      <w:r>
        <w:rPr>
          <w:w w:val="115"/>
        </w:rPr>
        <w:t>S0+S1+Si×Mi÷M0-Sj×Mj÷M0-Sk</w:t>
      </w:r>
      <w:r>
        <w:rPr/>
      </w:r>
    </w:p>
    <w:p>
      <w:pPr>
        <w:spacing w:line="240" w:lineRule="auto" w:before="5"/>
        <w:rPr>
          <w:rFonts w:ascii="宋体" w:hAnsi="宋体" w:cs="宋体" w:eastAsia="宋体" w:hint="default"/>
          <w:sz w:val="16"/>
          <w:szCs w:val="16"/>
        </w:rPr>
      </w:pPr>
    </w:p>
    <w:p>
      <w:pPr>
        <w:pStyle w:val="BodyText"/>
        <w:spacing w:line="285" w:lineRule="auto"/>
        <w:ind w:left="453" w:right="107"/>
        <w:jc w:val="both"/>
      </w:pPr>
      <w:r>
        <w:rPr/>
        <w:t>其中：P</w:t>
      </w:r>
      <w:r>
        <w:rPr>
          <w:spacing w:val="-25"/>
        </w:rPr>
        <w:t> </w:t>
      </w:r>
      <w:r>
        <w:rPr>
          <w:spacing w:val="2"/>
        </w:rPr>
        <w:t>为归属于母公司普通股股东的净利润或扣除非经常性损益后归属于母公司普通股股东的净利润；S</w:t>
      </w:r>
      <w:r>
        <w:rPr>
          <w:spacing w:val="-25"/>
        </w:rPr>
        <w:t> </w:t>
      </w:r>
      <w:r>
        <w:rPr>
          <w:spacing w:val="3"/>
        </w:rPr>
        <w:t>为发行在</w:t>
      </w:r>
      <w:r>
        <w:rPr>
          <w:spacing w:val="-54"/>
        </w:rPr>
        <w:t> </w:t>
      </w:r>
      <w:r>
        <w:rPr>
          <w:spacing w:val="-54"/>
        </w:rPr>
      </w:r>
      <w:r>
        <w:rPr>
          <w:spacing w:val="2"/>
          <w:w w:val="102"/>
        </w:rPr>
        <w:t>外的普通股加权平均数；S0</w:t>
      </w:r>
      <w:r>
        <w:rPr>
          <w:spacing w:val="-47"/>
          <w:w w:val="102"/>
        </w:rPr>
        <w:t> </w:t>
      </w:r>
      <w:r>
        <w:rPr>
          <w:spacing w:val="1"/>
          <w:w w:val="103"/>
        </w:rPr>
        <w:t>为年初股份总数；S1</w:t>
      </w:r>
      <w:r>
        <w:rPr>
          <w:spacing w:val="-47"/>
          <w:w w:val="103"/>
        </w:rPr>
        <w:t> </w:t>
      </w:r>
      <w:r>
        <w:rPr>
          <w:spacing w:val="2"/>
          <w:w w:val="98"/>
        </w:rPr>
        <w:t>为报告期因公积金转增股本或股票股利分配等增加股份数；Si</w:t>
      </w:r>
      <w:r>
        <w:rPr>
          <w:spacing w:val="-43"/>
          <w:w w:val="98"/>
        </w:rPr>
        <w:t> </w:t>
      </w:r>
      <w:r>
        <w:rPr>
          <w:spacing w:val="3"/>
        </w:rPr>
        <w:t>为报</w:t>
      </w:r>
      <w:r>
        <w:rPr>
          <w:spacing w:val="3"/>
        </w:rPr>
        <w:t> </w:t>
      </w:r>
      <w:r>
        <w:rPr>
          <w:spacing w:val="-1"/>
        </w:rPr>
        <w:t>告期因发行新股或债转股等增加股份数；Sj</w:t>
      </w:r>
      <w:r>
        <w:rPr>
          <w:spacing w:val="-17"/>
        </w:rPr>
        <w:t> </w:t>
      </w:r>
      <w:r>
        <w:rPr>
          <w:spacing w:val="-1"/>
        </w:rPr>
        <w:t>为报告期因回购等减少股份数；Sk</w:t>
      </w:r>
      <w:r>
        <w:rPr>
          <w:spacing w:val="-17"/>
        </w:rPr>
        <w:t> </w:t>
      </w:r>
      <w:r>
        <w:rPr>
          <w:spacing w:val="-2"/>
        </w:rPr>
        <w:t>为报告期缩股数；M0</w:t>
      </w:r>
      <w:r>
        <w:rPr>
          <w:spacing w:val="-17"/>
        </w:rPr>
        <w:t> </w:t>
      </w:r>
      <w:r>
        <w:rPr>
          <w:spacing w:val="-1"/>
        </w:rPr>
        <w:t>为报告期月份数；</w:t>
      </w:r>
      <w:r>
        <w:rPr>
          <w:spacing w:val="-85"/>
        </w:rPr>
        <w:t> </w:t>
      </w:r>
      <w:r>
        <w:rPr>
          <w:spacing w:val="-85"/>
        </w:rPr>
      </w:r>
      <w:r>
        <w:rPr/>
        <w:t>Mi 为增加股份下一月份起至报告期年末的月份数；Mj</w:t>
      </w:r>
      <w:r>
        <w:rPr>
          <w:spacing w:val="-33"/>
        </w:rPr>
        <w:t> </w:t>
      </w:r>
      <w:r>
        <w:rPr/>
        <w:t>为减少股份下一月份起至报告期年末的月份数。</w:t>
      </w:r>
    </w:p>
    <w:p>
      <w:pPr>
        <w:spacing w:after="0" w:line="285" w:lineRule="auto"/>
        <w:jc w:val="both"/>
        <w:sectPr>
          <w:headerReference w:type="even" r:id="rId371"/>
          <w:footerReference w:type="even" r:id="rId372"/>
          <w:footerReference w:type="default" r:id="rId373"/>
          <w:pgSz w:w="11910" w:h="16160"/>
          <w:pgMar w:header="1200" w:footer="320" w:top="2120" w:bottom="520" w:left="680" w:right="132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95"/>
        <w:jc w:val="left"/>
        <w:rPr>
          <w:rFonts w:ascii="宋体" w:hAnsi="宋体" w:cs="宋体" w:eastAsia="宋体" w:hint="default"/>
        </w:rPr>
      </w:pPr>
      <w:r>
        <w:rPr>
          <w:rFonts w:ascii="宋体" w:hAnsi="宋体" w:cs="宋体" w:eastAsia="宋体" w:hint="default"/>
          <w:color w:val="9F8958"/>
        </w:rPr>
        <w:t>十七、计算净资产收益率及每股收益（续）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left="114" w:right="95"/>
        <w:jc w:val="left"/>
      </w:pPr>
      <w:r>
        <w:rPr/>
        <w:t>(c)</w:t>
      </w:r>
      <w:r>
        <w:rPr>
          <w:spacing w:val="-21"/>
        </w:rPr>
        <w:t> </w:t>
      </w:r>
      <w:r>
        <w:rPr/>
        <w:t>稀释每股收益的计算公式参照如下如下公式计算：</w:t>
      </w:r>
    </w:p>
    <w:p>
      <w:pPr>
        <w:spacing w:line="240" w:lineRule="auto" w:before="12"/>
        <w:rPr>
          <w:rFonts w:ascii="宋体" w:hAnsi="宋体" w:cs="宋体" w:eastAsia="宋体" w:hint="default"/>
          <w:sz w:val="17"/>
          <w:szCs w:val="17"/>
        </w:rPr>
      </w:pPr>
    </w:p>
    <w:p>
      <w:pPr>
        <w:pStyle w:val="BodyText"/>
        <w:spacing w:line="285" w:lineRule="auto"/>
        <w:ind w:right="105"/>
        <w:jc w:val="both"/>
      </w:pPr>
      <w:r>
        <w:rPr/>
        <w:t>母公司存在稀释性潜在普通股的，应当分别调整归属于普通股股东的报告期净利润和发行在外普通股加权平均数，并</w:t>
      </w:r>
      <w:r>
        <w:rPr>
          <w:spacing w:val="7"/>
        </w:rPr>
        <w:t> </w:t>
      </w:r>
      <w:r>
        <w:rPr>
          <w:spacing w:val="7"/>
        </w:rPr>
      </w:r>
      <w:r>
        <w:rPr/>
        <w:t>据以计算稀释每股收益。在发行可转换债券、股份期权、认证股权等稀释性潜在普通股情况下，稀释每股收益可参照</w:t>
      </w:r>
      <w:r>
        <w:rPr>
          <w:spacing w:val="3"/>
        </w:rPr>
        <w:t> </w:t>
      </w:r>
      <w:r>
        <w:rPr>
          <w:spacing w:val="3"/>
        </w:rPr>
      </w:r>
      <w:r>
        <w:rPr/>
        <w:t>如下公式计算：</w:t>
      </w:r>
    </w:p>
    <w:p>
      <w:pPr>
        <w:spacing w:line="240" w:lineRule="auto" w:before="10"/>
        <w:rPr>
          <w:rFonts w:ascii="宋体" w:hAnsi="宋体" w:cs="宋体" w:eastAsia="宋体" w:hint="default"/>
          <w:sz w:val="13"/>
          <w:szCs w:val="13"/>
        </w:rPr>
      </w:pPr>
    </w:p>
    <w:p>
      <w:pPr>
        <w:pStyle w:val="BodyText"/>
        <w:spacing w:line="240" w:lineRule="auto"/>
        <w:ind w:right="0"/>
        <w:jc w:val="both"/>
      </w:pPr>
      <w:r>
        <w:rPr>
          <w:spacing w:val="5"/>
        </w:rPr>
        <w:t>稀释每股收</w:t>
      </w:r>
      <w:r>
        <w:rPr/>
        <w:t>益</w:t>
      </w:r>
      <w:r>
        <w:rPr>
          <w:spacing w:val="-44"/>
        </w:rPr>
        <w:t> </w:t>
      </w:r>
      <w:r>
        <w:rPr>
          <w:w w:val="131"/>
        </w:rPr>
        <w:t>=</w:t>
      </w:r>
      <w:r>
        <w:rPr>
          <w:w w:val="55"/>
        </w:rPr>
        <w:t>[</w:t>
      </w:r>
      <w:r>
        <w:rPr>
          <w:w w:val="121"/>
        </w:rPr>
        <w:t>P</w:t>
      </w:r>
      <w:r>
        <w:rPr>
          <w:w w:val="131"/>
        </w:rPr>
        <w:t>+</w:t>
      </w:r>
      <w:r>
        <w:rPr>
          <w:w w:val="55"/>
        </w:rPr>
        <w:t>(</w:t>
      </w:r>
      <w:r>
        <w:rPr>
          <w:spacing w:val="-44"/>
        </w:rPr>
        <w:t> </w:t>
      </w:r>
      <w:r>
        <w:rPr>
          <w:spacing w:val="5"/>
        </w:rPr>
        <w:t>已确认未费用的稀释性潜在普通股利息转换费</w:t>
      </w:r>
      <w:r>
        <w:rPr/>
        <w:t>用</w:t>
      </w:r>
      <w:r>
        <w:rPr>
          <w:spacing w:val="-44"/>
        </w:rPr>
        <w:t> </w:t>
      </w:r>
      <w:r>
        <w:rPr>
          <w:w w:val="55"/>
        </w:rPr>
        <w:t>)</w:t>
      </w:r>
      <w:r>
        <w:rPr>
          <w:spacing w:val="-24"/>
        </w:rPr>
        <w:t> </w:t>
      </w:r>
      <w:r>
        <w:rPr/>
        <w:t>×（</w:t>
      </w:r>
      <w:r>
        <w:rPr>
          <w:spacing w:val="-1"/>
          <w:w w:val="111"/>
        </w:rPr>
        <w:t>1</w:t>
      </w:r>
      <w:r>
        <w:rPr>
          <w:w w:val="131"/>
        </w:rPr>
        <w:t>-</w:t>
      </w:r>
      <w:r>
        <w:rPr>
          <w:spacing w:val="-44"/>
        </w:rPr>
        <w:t> </w:t>
      </w:r>
      <w:r>
        <w:rPr>
          <w:spacing w:val="5"/>
        </w:rPr>
        <w:t>所得税</w:t>
      </w:r>
      <w:r>
        <w:rPr>
          <w:spacing w:val="3"/>
        </w:rPr>
        <w:t>率</w:t>
      </w:r>
      <w:r>
        <w:rPr/>
        <w:t>）</w:t>
      </w:r>
      <w:r>
        <w:rPr>
          <w:w w:val="55"/>
        </w:rPr>
        <w:t>]/</w:t>
      </w:r>
      <w:r>
        <w:rPr/>
        <w:t>（</w:t>
      </w:r>
      <w:r>
        <w:rPr>
          <w:w w:val="121"/>
        </w:rPr>
        <w:t>S</w:t>
      </w:r>
      <w:r>
        <w:rPr>
          <w:spacing w:val="-1"/>
          <w:w w:val="111"/>
        </w:rPr>
        <w:t>0</w:t>
      </w:r>
      <w:r>
        <w:rPr>
          <w:w w:val="131"/>
        </w:rPr>
        <w:t>+</w:t>
      </w:r>
      <w:r>
        <w:rPr>
          <w:w w:val="121"/>
        </w:rPr>
        <w:t>S</w:t>
      </w:r>
      <w:r>
        <w:rPr>
          <w:spacing w:val="-1"/>
          <w:w w:val="111"/>
        </w:rPr>
        <w:t>1</w:t>
      </w:r>
      <w:r>
        <w:rPr>
          <w:w w:val="131"/>
        </w:rPr>
        <w:t>+</w:t>
      </w:r>
      <w:r>
        <w:rPr>
          <w:w w:val="121"/>
        </w:rPr>
        <w:t>S</w:t>
      </w:r>
      <w:r>
        <w:rPr>
          <w:spacing w:val="-1"/>
          <w:w w:val="43"/>
        </w:rPr>
        <w:t>i</w:t>
      </w:r>
      <w:r>
        <w:rPr/>
        <w:t>×</w:t>
      </w:r>
      <w:r>
        <w:rPr>
          <w:w w:val="188"/>
        </w:rPr>
        <w:t>M</w:t>
      </w:r>
      <w:r>
        <w:rPr>
          <w:spacing w:val="-1"/>
          <w:w w:val="43"/>
        </w:rPr>
        <w:t>i</w:t>
      </w:r>
      <w:r>
        <w:rPr/>
        <w:t>÷</w:t>
      </w:r>
      <w:r>
        <w:rPr>
          <w:w w:val="188"/>
        </w:rPr>
        <w:t>M</w:t>
      </w:r>
      <w:r>
        <w:rPr>
          <w:spacing w:val="-1"/>
          <w:w w:val="111"/>
        </w:rPr>
        <w:t>0</w:t>
      </w:r>
      <w:r>
        <w:rPr>
          <w:w w:val="131"/>
        </w:rPr>
        <w:t>-</w:t>
      </w:r>
      <w:r>
        <w:rPr/>
      </w:r>
    </w:p>
    <w:p>
      <w:pPr>
        <w:pStyle w:val="BodyText"/>
        <w:spacing w:line="240" w:lineRule="auto" w:before="44"/>
        <w:ind w:right="0"/>
        <w:jc w:val="both"/>
      </w:pPr>
      <w:r>
        <w:rPr/>
        <w:t>Sj×Mj÷M0-Sk+ </w:t>
      </w:r>
      <w:r>
        <w:rPr>
          <w:spacing w:val="27"/>
        </w:rPr>
        <w:t> </w:t>
      </w:r>
      <w:r>
        <w:rPr/>
        <w:t>认股权证、股份期权、可转换债券等增加的普通股加权平均数）</w:t>
      </w:r>
    </w:p>
    <w:p>
      <w:pPr>
        <w:spacing w:line="240" w:lineRule="auto" w:before="5"/>
        <w:rPr>
          <w:rFonts w:ascii="宋体" w:hAnsi="宋体" w:cs="宋体" w:eastAsia="宋体" w:hint="default"/>
          <w:sz w:val="16"/>
          <w:szCs w:val="16"/>
        </w:rPr>
      </w:pPr>
    </w:p>
    <w:p>
      <w:pPr>
        <w:pStyle w:val="BodyText"/>
        <w:spacing w:line="285" w:lineRule="auto"/>
        <w:ind w:right="105"/>
        <w:jc w:val="both"/>
      </w:pPr>
      <w:r>
        <w:rPr/>
        <w:t>其中，</w:t>
      </w:r>
      <w:r>
        <w:rPr>
          <w:spacing w:val="4"/>
        </w:rPr>
        <w:t> </w:t>
      </w:r>
      <w:r>
        <w:rPr/>
        <w:t>P</w:t>
      </w:r>
      <w:r>
        <w:rPr>
          <w:spacing w:val="-26"/>
        </w:rPr>
        <w:t> </w:t>
      </w:r>
      <w:r>
        <w:rPr/>
        <w:t>为归属于母公司普通股股东的净利润或扣除非经常性损益后归属于母公司普通股股东的净利润。母公司在计</w:t>
      </w:r>
      <w:r>
        <w:rPr>
          <w:spacing w:val="-72"/>
        </w:rPr>
        <w:t> </w:t>
      </w:r>
      <w:r>
        <w:rPr>
          <w:spacing w:val="-72"/>
        </w:rPr>
      </w:r>
      <w:r>
        <w:rPr/>
        <w:t>算稀释每股收益时，应考虑所有稀释性潜在普通股的影响，直至稀释每股收益达到最小。对于子公司发行能够转换成</w:t>
      </w:r>
      <w:r>
        <w:rPr>
          <w:spacing w:val="5"/>
        </w:rPr>
        <w:t> </w:t>
      </w:r>
      <w:r>
        <w:rPr>
          <w:spacing w:val="5"/>
        </w:rPr>
      </w:r>
      <w:r>
        <w:rPr/>
        <w:t>其普通股的稀释性潜在普通股，不仅应当包括在其稀释每股收益的计算中，而且还应当包括在合并稀释每股收益的计</w:t>
      </w:r>
      <w:r>
        <w:rPr>
          <w:spacing w:val="7"/>
        </w:rPr>
        <w:t> </w:t>
      </w:r>
      <w:r>
        <w:rPr>
          <w:spacing w:val="7"/>
        </w:rPr>
      </w:r>
      <w:r>
        <w:rPr/>
        <w:t>算中。</w:t>
      </w:r>
    </w:p>
    <w:p>
      <w:pPr>
        <w:spacing w:line="240" w:lineRule="auto" w:before="10"/>
        <w:rPr>
          <w:rFonts w:ascii="宋体" w:hAnsi="宋体" w:cs="宋体" w:eastAsia="宋体" w:hint="default"/>
          <w:sz w:val="26"/>
          <w:szCs w:val="26"/>
        </w:rPr>
      </w:pPr>
    </w:p>
    <w:p>
      <w:pPr>
        <w:pStyle w:val="BodyText"/>
        <w:spacing w:line="240" w:lineRule="auto"/>
        <w:ind w:left="114" w:right="95"/>
        <w:jc w:val="left"/>
        <w:rPr>
          <w:rFonts w:ascii="宋体" w:hAnsi="宋体" w:cs="宋体" w:eastAsia="宋体" w:hint="default"/>
        </w:rPr>
      </w:pPr>
      <w:r>
        <w:rPr>
          <w:rFonts w:ascii="宋体" w:hAnsi="宋体" w:cs="宋体" w:eastAsia="宋体" w:hint="default"/>
          <w:color w:val="9F8958"/>
        </w:rPr>
        <w:t>十八、比较数字</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right="0"/>
        <w:jc w:val="both"/>
      </w:pPr>
      <w:r>
        <w:rPr>
          <w:w w:val="95"/>
        </w:rPr>
        <w:t>为方便作出相应的比较，本集团对财务报表中个别项目的比较数字进行了重新分类。参见注释三   </w:t>
      </w:r>
      <w:r>
        <w:rPr>
          <w:spacing w:val="5"/>
          <w:w w:val="95"/>
        </w:rPr>
        <w:t> </w:t>
      </w:r>
      <w:r>
        <w:rPr>
          <w:w w:val="95"/>
        </w:rPr>
        <w:t>33(b)(3)。</w:t>
      </w:r>
      <w:r>
        <w:rPr/>
      </w:r>
    </w:p>
    <w:p>
      <w:pPr>
        <w:spacing w:after="0" w:line="240" w:lineRule="auto"/>
        <w:jc w:val="both"/>
        <w:sectPr>
          <w:headerReference w:type="default" r:id="rId374"/>
          <w:pgSz w:w="11910" w:h="16160"/>
          <w:pgMar w:header="0" w:footer="298" w:top="1520" w:bottom="480" w:left="1360" w:right="68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125"/>
        <w:jc w:val="left"/>
        <w:rPr>
          <w:rFonts w:ascii="宋体" w:hAnsi="宋体" w:cs="宋体" w:eastAsia="宋体" w:hint="default"/>
        </w:rPr>
      </w:pPr>
      <w:r>
        <w:rPr>
          <w:rFonts w:ascii="宋体" w:hAnsi="宋体" w:cs="宋体" w:eastAsia="宋体" w:hint="default"/>
          <w:color w:val="9F8958"/>
        </w:rPr>
        <w:t>一、财务报表差异调节表</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85" w:lineRule="auto"/>
        <w:ind w:left="453" w:right="129"/>
        <w:jc w:val="both"/>
      </w:pPr>
      <w:r>
        <w:rPr/>
        <w:t>鉴于本公司的特殊架构，即通过联通</w:t>
      </w:r>
      <w:r>
        <w:rPr>
          <w:spacing w:val="-74"/>
        </w:rPr>
        <w:t> </w:t>
      </w:r>
      <w:r>
        <w:rPr/>
        <w:t>BVI</w:t>
      </w:r>
      <w:r>
        <w:rPr>
          <w:spacing w:val="-74"/>
        </w:rPr>
        <w:t> </w:t>
      </w:r>
      <w:r>
        <w:rPr/>
        <w:t>公司间接持有联通红筹公司的股权，联通红筹公司为在香港注册的有限公司。</w:t>
      </w:r>
      <w:r>
        <w:rPr/>
        <w:t> </w:t>
      </w:r>
      <w:r>
        <w:rPr>
          <w:spacing w:val="3"/>
        </w:rPr>
        <w:t>联通红筹公司按照国际</w:t>
      </w:r>
      <w:r>
        <w:rPr>
          <w:spacing w:val="-37"/>
        </w:rPr>
        <w:t> </w:t>
      </w:r>
      <w:r>
        <w:rPr>
          <w:w w:val="95"/>
        </w:rPr>
        <w:t>/</w:t>
      </w:r>
      <w:r>
        <w:rPr>
          <w:spacing w:val="-32"/>
          <w:w w:val="95"/>
        </w:rPr>
        <w:t> </w:t>
      </w:r>
      <w:r>
        <w:rPr>
          <w:spacing w:val="3"/>
        </w:rPr>
        <w:t>香港财务报告准则编制了截至</w:t>
      </w:r>
      <w:r>
        <w:rPr>
          <w:spacing w:val="-37"/>
        </w:rPr>
        <w:t> </w:t>
      </w:r>
      <w:r>
        <w:rPr/>
        <w:t>2018</w:t>
      </w:r>
      <w:r>
        <w:rPr>
          <w:spacing w:val="-37"/>
        </w:rPr>
        <w:t> </w:t>
      </w:r>
      <w:r>
        <w:rPr/>
        <w:t>年</w:t>
      </w:r>
      <w:r>
        <w:rPr>
          <w:spacing w:val="-37"/>
        </w:rPr>
        <w:t> </w:t>
      </w:r>
      <w:r>
        <w:rPr/>
        <w:t>12</w:t>
      </w:r>
      <w:r>
        <w:rPr>
          <w:spacing w:val="-37"/>
        </w:rPr>
        <w:t> </w:t>
      </w:r>
      <w:r>
        <w:rPr/>
        <w:t>月</w:t>
      </w:r>
      <w:r>
        <w:rPr>
          <w:spacing w:val="-37"/>
        </w:rPr>
        <w:t> </w:t>
      </w:r>
      <w:r>
        <w:rPr/>
        <w:t>31</w:t>
      </w:r>
      <w:r>
        <w:rPr>
          <w:spacing w:val="-37"/>
        </w:rPr>
        <w:t> </w:t>
      </w:r>
      <w:r>
        <w:rPr>
          <w:spacing w:val="3"/>
        </w:rPr>
        <w:t>日止年度财务报告，并已经毕马威会计师事</w:t>
      </w:r>
      <w:r>
        <w:rPr>
          <w:spacing w:val="-87"/>
        </w:rPr>
        <w:t> </w:t>
      </w:r>
      <w:r>
        <w:rPr>
          <w:spacing w:val="-87"/>
        </w:rPr>
      </w:r>
      <w:r>
        <w:rPr/>
        <w:t>务所审计，本集团按照中华人民共和国财政部颁布的企业会计准则（“中国会计准则”）的规定编制合并财务报表，</w:t>
      </w:r>
      <w:r>
        <w:rPr>
          <w:spacing w:val="-2"/>
        </w:rPr>
        <w:t> </w:t>
      </w:r>
      <w:r>
        <w:rPr>
          <w:spacing w:val="-2"/>
        </w:rPr>
      </w:r>
      <w:r>
        <w:rPr>
          <w:spacing w:val="2"/>
        </w:rPr>
        <w:t>在适用中国会计准则前境内外会计准则仍存在差异。自</w:t>
      </w:r>
      <w:r>
        <w:rPr>
          <w:spacing w:val="-24"/>
        </w:rPr>
        <w:t> </w:t>
      </w:r>
      <w:r>
        <w:rPr/>
        <w:t>2007</w:t>
      </w:r>
      <w:r>
        <w:rPr>
          <w:spacing w:val="-24"/>
        </w:rPr>
        <w:t> </w:t>
      </w:r>
      <w:r>
        <w:rPr>
          <w:spacing w:val="2"/>
        </w:rPr>
        <w:t>年采用中国会计准则后，无新增重大会计准则差异。该</w:t>
      </w:r>
      <w:r>
        <w:rPr>
          <w:spacing w:val="-65"/>
        </w:rPr>
        <w:t> </w:t>
      </w:r>
      <w:r>
        <w:rPr>
          <w:spacing w:val="-65"/>
        </w:rPr>
      </w:r>
      <w:r>
        <w:rPr/>
        <w:t>等准则差异对本集团净利润和净资产的影响列示如下：</w:t>
      </w:r>
    </w:p>
    <w:p>
      <w:pPr>
        <w:spacing w:line="240" w:lineRule="auto" w:before="8"/>
        <w:rPr>
          <w:rFonts w:ascii="宋体" w:hAnsi="宋体" w:cs="宋体" w:eastAsia="宋体" w:hint="default"/>
          <w:sz w:val="9"/>
          <w:szCs w:val="9"/>
        </w:rPr>
      </w:pPr>
    </w:p>
    <w:p>
      <w:pPr>
        <w:spacing w:after="0" w:line="240" w:lineRule="auto"/>
        <w:rPr>
          <w:rFonts w:ascii="宋体" w:hAnsi="宋体" w:cs="宋体" w:eastAsia="宋体" w:hint="default"/>
          <w:sz w:val="9"/>
          <w:szCs w:val="9"/>
        </w:rPr>
        <w:sectPr>
          <w:headerReference w:type="even" r:id="rId375"/>
          <w:footerReference w:type="even" r:id="rId376"/>
          <w:footerReference w:type="default" r:id="rId377"/>
          <w:pgSz w:w="11910" w:h="16160"/>
          <w:pgMar w:header="1200" w:footer="321" w:top="2120" w:bottom="520" w:left="680" w:right="1340"/>
          <w:pgNumType w:start="212"/>
        </w:sectPr>
      </w:pPr>
    </w:p>
    <w:p>
      <w:pPr>
        <w:tabs>
          <w:tab w:pos="5827" w:val="left" w:leader="none"/>
        </w:tabs>
        <w:spacing w:before="134"/>
        <w:ind w:left="567" w:right="-20" w:firstLine="0"/>
        <w:jc w:val="left"/>
        <w:rPr>
          <w:rFonts w:ascii="宋体" w:hAnsi="宋体" w:cs="宋体" w:eastAsia="宋体" w:hint="default"/>
          <w:sz w:val="16"/>
          <w:szCs w:val="16"/>
        </w:rPr>
      </w:pPr>
      <w:r>
        <w:rPr>
          <w:rFonts w:ascii="宋体" w:hAnsi="宋体" w:cs="宋体" w:eastAsia="宋体" w:hint="default"/>
          <w:sz w:val="16"/>
          <w:szCs w:val="16"/>
        </w:rPr>
        <w:t>项目</w:t>
        <w:tab/>
        <w:t>注</w:t>
      </w:r>
    </w:p>
    <w:p>
      <w:pPr>
        <w:tabs>
          <w:tab w:pos="2375" w:val="left" w:leader="none"/>
        </w:tabs>
        <w:spacing w:before="41"/>
        <w:ind w:left="567" w:right="0" w:firstLine="0"/>
        <w:jc w:val="left"/>
        <w:rPr>
          <w:rFonts w:ascii="宋体" w:hAnsi="宋体" w:cs="宋体" w:eastAsia="宋体" w:hint="default"/>
          <w:sz w:val="16"/>
          <w:szCs w:val="16"/>
        </w:rPr>
      </w:pPr>
      <w:r>
        <w:rPr/>
        <w:br w:type="column"/>
      </w:r>
      <w:r>
        <w:rPr>
          <w:rFonts w:ascii="宋体" w:hAnsi="宋体" w:cs="宋体" w:eastAsia="宋体" w:hint="default"/>
          <w:sz w:val="16"/>
          <w:szCs w:val="16"/>
        </w:rPr>
        <w:t>净利润</w:t>
        <w:tab/>
        <w:t>净资产</w:t>
      </w:r>
    </w:p>
    <w:p>
      <w:pPr>
        <w:spacing w:after="0"/>
        <w:jc w:val="left"/>
        <w:rPr>
          <w:rFonts w:ascii="宋体" w:hAnsi="宋体" w:cs="宋体" w:eastAsia="宋体" w:hint="default"/>
          <w:sz w:val="16"/>
          <w:szCs w:val="16"/>
        </w:rPr>
        <w:sectPr>
          <w:type w:val="continuous"/>
          <w:pgSz w:w="11910" w:h="16160"/>
          <w:pgMar w:top="1520" w:bottom="280" w:left="680" w:right="1340"/>
          <w:cols w:num="2" w:equalWidth="0">
            <w:col w:w="5988" w:space="161"/>
            <w:col w:w="3741"/>
          </w:cols>
        </w:sectPr>
      </w:pPr>
    </w:p>
    <w:p>
      <w:pPr>
        <w:spacing w:line="20" w:lineRule="exact"/>
        <w:ind w:left="6106" w:right="0" w:firstLine="0"/>
        <w:rPr>
          <w:rFonts w:ascii="宋体" w:hAnsi="宋体" w:cs="宋体" w:eastAsia="宋体" w:hint="default"/>
          <w:sz w:val="2"/>
          <w:szCs w:val="2"/>
        </w:rPr>
      </w:pPr>
      <w:r>
        <w:rPr>
          <w:rFonts w:ascii="宋体" w:hAnsi="宋体" w:cs="宋体" w:eastAsia="宋体" w:hint="default"/>
          <w:sz w:val="2"/>
          <w:szCs w:val="2"/>
        </w:rPr>
        <w:pict>
          <v:group style="width:181.35pt;height:.5pt;mso-position-horizontal-relative:char;mso-position-vertical-relative:line" coordorigin="0,0" coordsize="3627,10">
            <v:group style="position:absolute;left:5;top:5;width:1690;height:2" coordorigin="5,5" coordsize="1690,2">
              <v:shape style="position:absolute;left:5;top:5;width:1690;height:2" coordorigin="5,5" coordsize="1690,0" path="m5,5l1694,5e" filled="false" stroked="true" strokeweight=".5pt" strokecolor="#000000">
                <v:path arrowok="t"/>
              </v:shape>
            </v:group>
            <v:group style="position:absolute;left:1694;top:5;width:1928;height:2" coordorigin="1694,5" coordsize="1928,2">
              <v:shape style="position:absolute;left:1694;top:5;width:1928;height:2" coordorigin="1694,5" coordsize="1928,0" path="m1694,5l3622,5e" filled="false" stroked="true" strokeweight=".5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2"/>
          <w:szCs w:val="2"/>
        </w:rPr>
      </w:pPr>
    </w:p>
    <w:tbl>
      <w:tblPr>
        <w:tblW w:w="0" w:type="auto"/>
        <w:jc w:val="left"/>
        <w:tblInd w:w="433" w:type="dxa"/>
        <w:tblLayout w:type="fixed"/>
        <w:tblCellMar>
          <w:top w:w="0" w:type="dxa"/>
          <w:left w:w="0" w:type="dxa"/>
          <w:bottom w:w="0" w:type="dxa"/>
          <w:right w:w="0" w:type="dxa"/>
        </w:tblCellMar>
        <w:tblLook w:val="01E0"/>
      </w:tblPr>
      <w:tblGrid>
        <w:gridCol w:w="5658"/>
        <w:gridCol w:w="828"/>
        <w:gridCol w:w="862"/>
        <w:gridCol w:w="964"/>
        <w:gridCol w:w="964"/>
      </w:tblGrid>
      <w:tr>
        <w:trPr>
          <w:trHeight w:val="378" w:hRule="exact"/>
        </w:trPr>
        <w:tc>
          <w:tcPr>
            <w:tcW w:w="5658" w:type="dxa"/>
            <w:tcBorders>
              <w:top w:val="nil" w:sz="6" w:space="0" w:color="auto"/>
              <w:left w:val="nil" w:sz="6" w:space="0" w:color="auto"/>
              <w:bottom w:val="single" w:sz="16" w:space="0" w:color="9F8958"/>
              <w:right w:val="nil" w:sz="6" w:space="0" w:color="auto"/>
            </w:tcBorders>
          </w:tcPr>
          <w:p>
            <w:pPr>
              <w:pStyle w:val="TableParagraph"/>
              <w:tabs>
                <w:tab w:pos="5373" w:val="left" w:leader="none"/>
              </w:tabs>
              <w:spacing w:line="156" w:lineRule="exact"/>
              <w:ind w:left="113" w:right="0"/>
              <w:jc w:val="left"/>
              <w:rPr>
                <w:rFonts w:ascii="宋体" w:hAnsi="宋体" w:cs="宋体" w:eastAsia="宋体" w:hint="default"/>
                <w:sz w:val="16"/>
                <w:szCs w:val="16"/>
              </w:rPr>
            </w:pPr>
            <w:r>
              <w:rPr>
                <w:rFonts w:ascii="宋体" w:hAnsi="宋体" w:cs="宋体" w:eastAsia="宋体" w:hint="default"/>
                <w:sz w:val="16"/>
                <w:szCs w:val="16"/>
              </w:rPr>
              <w:t>（单位：人民币百万元）</w:t>
              <w:tab/>
              <w:t>释</w:t>
            </w:r>
          </w:p>
        </w:tc>
        <w:tc>
          <w:tcPr>
            <w:tcW w:w="82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862"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96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2018</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c>
          <w:tcPr>
            <w:tcW w:w="964" w:type="dxa"/>
            <w:tcBorders>
              <w:top w:val="nil" w:sz="6" w:space="0" w:color="auto"/>
              <w:left w:val="nil" w:sz="6" w:space="0" w:color="auto"/>
              <w:bottom w:val="single" w:sz="16" w:space="0" w:color="9F8958"/>
              <w:right w:val="nil" w:sz="6" w:space="0" w:color="auto"/>
            </w:tcBorders>
          </w:tcPr>
          <w:p>
            <w:pPr>
              <w:pStyle w:val="TableParagraph"/>
              <w:spacing w:line="240" w:lineRule="auto" w:before="7"/>
              <w:ind w:right="111"/>
              <w:jc w:val="right"/>
              <w:rPr>
                <w:rFonts w:ascii="宋体" w:hAnsi="宋体" w:cs="宋体" w:eastAsia="宋体" w:hint="default"/>
                <w:sz w:val="16"/>
                <w:szCs w:val="16"/>
              </w:rPr>
            </w:pPr>
            <w:r>
              <w:rPr>
                <w:rFonts w:ascii="宋体" w:hAnsi="宋体" w:cs="宋体" w:eastAsia="宋体" w:hint="default"/>
                <w:w w:val="110"/>
                <w:sz w:val="16"/>
                <w:szCs w:val="16"/>
              </w:rPr>
              <w:t>2017</w:t>
            </w:r>
            <w:r>
              <w:rPr>
                <w:rFonts w:ascii="宋体" w:hAnsi="宋体" w:cs="宋体" w:eastAsia="宋体" w:hint="default"/>
                <w:spacing w:val="-62"/>
                <w:w w:val="110"/>
                <w:sz w:val="16"/>
                <w:szCs w:val="16"/>
              </w:rPr>
              <w:t> </w:t>
            </w:r>
            <w:r>
              <w:rPr>
                <w:rFonts w:ascii="宋体" w:hAnsi="宋体" w:cs="宋体" w:eastAsia="宋体" w:hint="default"/>
                <w:w w:val="110"/>
                <w:sz w:val="16"/>
                <w:szCs w:val="16"/>
              </w:rPr>
              <w:t>年</w:t>
            </w:r>
          </w:p>
        </w:tc>
      </w:tr>
      <w:tr>
        <w:trPr>
          <w:trHeight w:val="447" w:hRule="exact"/>
        </w:trPr>
        <w:tc>
          <w:tcPr>
            <w:tcW w:w="5658"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left="113" w:right="0"/>
              <w:jc w:val="left"/>
              <w:rPr>
                <w:rFonts w:ascii="宋体" w:hAnsi="宋体" w:cs="宋体" w:eastAsia="宋体" w:hint="default"/>
                <w:sz w:val="16"/>
                <w:szCs w:val="16"/>
              </w:rPr>
            </w:pPr>
            <w:r>
              <w:rPr>
                <w:rFonts w:ascii="宋体" w:hAnsi="宋体" w:cs="宋体" w:eastAsia="宋体" w:hint="default"/>
                <w:sz w:val="16"/>
                <w:szCs w:val="16"/>
              </w:rPr>
              <w:t>本集团中国会计准则下的净利润</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净资产</w:t>
            </w:r>
          </w:p>
        </w:tc>
        <w:tc>
          <w:tcPr>
            <w:tcW w:w="828"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92"/>
              <w:ind w:right="111"/>
              <w:jc w:val="right"/>
              <w:rPr>
                <w:rFonts w:ascii="宋体" w:hAnsi="宋体" w:cs="宋体" w:eastAsia="宋体" w:hint="default"/>
                <w:sz w:val="16"/>
                <w:szCs w:val="16"/>
              </w:rPr>
            </w:pPr>
            <w:r>
              <w:rPr>
                <w:rFonts w:ascii="宋体"/>
                <w:w w:val="95"/>
                <w:sz w:val="16"/>
              </w:rPr>
              <w:t>9,301</w:t>
            </w:r>
            <w:r>
              <w:rPr>
                <w:rFonts w:ascii="宋体"/>
                <w:sz w:val="16"/>
              </w:rPr>
            </w:r>
          </w:p>
        </w:tc>
        <w:tc>
          <w:tcPr>
            <w:tcW w:w="862"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w w:val="95"/>
                <w:sz w:val="16"/>
              </w:rPr>
              <w:t>1,684</w:t>
            </w:r>
            <w:r>
              <w:rPr>
                <w:rFonts w:ascii="宋体"/>
                <w:sz w:val="16"/>
              </w:rPr>
            </w:r>
          </w:p>
        </w:tc>
        <w:tc>
          <w:tcPr>
            <w:tcW w:w="964" w:type="dxa"/>
            <w:tcBorders>
              <w:top w:val="single" w:sz="16" w:space="0" w:color="9F8958"/>
              <w:left w:val="nil" w:sz="6" w:space="0" w:color="auto"/>
              <w:bottom w:val="nil" w:sz="6" w:space="0" w:color="auto"/>
              <w:right w:val="nil" w:sz="6" w:space="0" w:color="auto"/>
            </w:tcBorders>
            <w:shd w:val="clear" w:color="auto" w:fill="ECE7DD"/>
          </w:tcPr>
          <w:p>
            <w:pPr>
              <w:pStyle w:val="TableParagraph"/>
              <w:spacing w:line="240" w:lineRule="auto" w:before="92"/>
              <w:ind w:right="111"/>
              <w:jc w:val="right"/>
              <w:rPr>
                <w:rFonts w:ascii="宋体" w:hAnsi="宋体" w:cs="宋体" w:eastAsia="宋体" w:hint="default"/>
                <w:sz w:val="16"/>
                <w:szCs w:val="16"/>
              </w:rPr>
            </w:pPr>
            <w:r>
              <w:rPr>
                <w:rFonts w:ascii="宋体"/>
                <w:sz w:val="16"/>
              </w:rPr>
              <w:t>316,940</w:t>
            </w:r>
          </w:p>
        </w:tc>
        <w:tc>
          <w:tcPr>
            <w:tcW w:w="964" w:type="dxa"/>
            <w:tcBorders>
              <w:top w:val="single" w:sz="16" w:space="0" w:color="9F8958"/>
              <w:left w:val="nil" w:sz="6" w:space="0" w:color="auto"/>
              <w:bottom w:val="nil" w:sz="6" w:space="0" w:color="auto"/>
              <w:right w:val="nil" w:sz="6" w:space="0" w:color="auto"/>
            </w:tcBorders>
          </w:tcPr>
          <w:p>
            <w:pPr>
              <w:pStyle w:val="TableParagraph"/>
              <w:spacing w:line="240" w:lineRule="auto" w:before="92"/>
              <w:ind w:right="111"/>
              <w:jc w:val="right"/>
              <w:rPr>
                <w:rFonts w:ascii="宋体" w:hAnsi="宋体" w:cs="宋体" w:eastAsia="宋体" w:hint="default"/>
                <w:sz w:val="16"/>
                <w:szCs w:val="16"/>
              </w:rPr>
            </w:pPr>
            <w:r>
              <w:rPr>
                <w:rFonts w:ascii="宋体"/>
                <w:sz w:val="16"/>
              </w:rPr>
              <w:t>307,018</w:t>
            </w:r>
          </w:p>
        </w:tc>
      </w:tr>
      <w:tr>
        <w:trPr>
          <w:trHeight w:val="330"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3" w:right="0"/>
              <w:jc w:val="left"/>
              <w:rPr>
                <w:rFonts w:ascii="宋体" w:hAnsi="宋体" w:cs="宋体" w:eastAsia="宋体" w:hint="default"/>
                <w:sz w:val="16"/>
                <w:szCs w:val="16"/>
              </w:rPr>
            </w:pPr>
            <w:r>
              <w:rPr>
                <w:rFonts w:ascii="宋体" w:hAnsi="宋体" w:cs="宋体" w:eastAsia="宋体" w:hint="default"/>
                <w:sz w:val="16"/>
                <w:szCs w:val="16"/>
              </w:rPr>
              <w:t>加：本公司及联通</w:t>
            </w:r>
            <w:r>
              <w:rPr>
                <w:rFonts w:ascii="宋体" w:hAnsi="宋体" w:cs="宋体" w:eastAsia="宋体" w:hint="default"/>
                <w:spacing w:val="-36"/>
                <w:sz w:val="16"/>
                <w:szCs w:val="16"/>
              </w:rPr>
              <w:t> </w:t>
            </w:r>
            <w:r>
              <w:rPr>
                <w:rFonts w:ascii="宋体" w:hAnsi="宋体" w:cs="宋体" w:eastAsia="宋体" w:hint="default"/>
                <w:sz w:val="16"/>
                <w:szCs w:val="16"/>
              </w:rPr>
              <w:t>BVI</w:t>
            </w:r>
            <w:r>
              <w:rPr>
                <w:rFonts w:ascii="宋体" w:hAnsi="宋体" w:cs="宋体" w:eastAsia="宋体" w:hint="default"/>
                <w:spacing w:val="-36"/>
                <w:sz w:val="16"/>
                <w:szCs w:val="16"/>
              </w:rPr>
              <w:t> </w:t>
            </w:r>
            <w:r>
              <w:rPr>
                <w:rFonts w:ascii="宋体" w:hAnsi="宋体" w:cs="宋体" w:eastAsia="宋体" w:hint="default"/>
                <w:sz w:val="16"/>
                <w:szCs w:val="16"/>
              </w:rPr>
              <w:t>公司发生的（累计发生的）费用及所得税</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11"/>
              <w:jc w:val="right"/>
              <w:rPr>
                <w:rFonts w:ascii="宋体" w:hAnsi="宋体" w:cs="宋体" w:eastAsia="宋体" w:hint="default"/>
                <w:sz w:val="16"/>
                <w:szCs w:val="16"/>
              </w:rPr>
            </w:pPr>
            <w:r>
              <w:rPr>
                <w:rFonts w:ascii="宋体"/>
                <w:w w:val="80"/>
                <w:sz w:val="16"/>
              </w:rPr>
              <w:t>(37)</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1"/>
              <w:jc w:val="right"/>
              <w:rPr>
                <w:rFonts w:ascii="宋体" w:hAnsi="宋体" w:cs="宋体" w:eastAsia="宋体" w:hint="default"/>
                <w:sz w:val="16"/>
                <w:szCs w:val="16"/>
              </w:rPr>
            </w:pPr>
            <w:r>
              <w:rPr>
                <w:rFonts w:ascii="宋体"/>
                <w:w w:val="110"/>
                <w:sz w:val="16"/>
              </w:rPr>
              <w:t>11</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11"/>
              <w:jc w:val="right"/>
              <w:rPr>
                <w:rFonts w:ascii="宋体" w:hAnsi="宋体" w:cs="宋体" w:eastAsia="宋体" w:hint="default"/>
                <w:sz w:val="16"/>
                <w:szCs w:val="16"/>
              </w:rPr>
            </w:pPr>
            <w:r>
              <w:rPr>
                <w:rFonts w:ascii="宋体"/>
                <w:w w:val="110"/>
                <w:sz w:val="16"/>
              </w:rPr>
              <w:t>181</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1"/>
              <w:jc w:val="right"/>
              <w:rPr>
                <w:rFonts w:ascii="宋体" w:hAnsi="宋体" w:cs="宋体" w:eastAsia="宋体" w:hint="default"/>
                <w:sz w:val="16"/>
                <w:szCs w:val="16"/>
              </w:rPr>
            </w:pPr>
            <w:r>
              <w:rPr>
                <w:rFonts w:ascii="宋体"/>
                <w:w w:val="110"/>
                <w:sz w:val="16"/>
              </w:rPr>
              <w:t>218</w:t>
            </w:r>
            <w:r>
              <w:rPr>
                <w:rFonts w:ascii="宋体"/>
                <w:sz w:val="16"/>
              </w:rPr>
            </w:r>
          </w:p>
        </w:tc>
      </w:tr>
      <w:tr>
        <w:trPr>
          <w:trHeight w:val="330"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05" w:lineRule="exact"/>
              <w:ind w:left="425" w:right="0"/>
              <w:jc w:val="left"/>
              <w:rPr>
                <w:rFonts w:ascii="宋体" w:hAnsi="宋体" w:cs="宋体" w:eastAsia="宋体" w:hint="default"/>
                <w:sz w:val="16"/>
                <w:szCs w:val="16"/>
              </w:rPr>
            </w:pPr>
            <w:r>
              <w:rPr>
                <w:rFonts w:ascii="宋体" w:hAnsi="宋体" w:cs="宋体" w:eastAsia="宋体" w:hint="default"/>
                <w:sz w:val="16"/>
                <w:szCs w:val="16"/>
              </w:rPr>
              <w:t>本公司宣派股利</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sz w:val="16"/>
              </w:rPr>
              <w:t>14,861</w:t>
            </w:r>
          </w:p>
        </w:tc>
        <w:tc>
          <w:tcPr>
            <w:tcW w:w="96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sz w:val="16"/>
              </w:rPr>
              <w:t>14,247</w:t>
            </w:r>
          </w:p>
        </w:tc>
      </w:tr>
      <w:tr>
        <w:trPr>
          <w:trHeight w:val="330"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3" w:right="0"/>
              <w:jc w:val="left"/>
              <w:rPr>
                <w:rFonts w:ascii="宋体" w:hAnsi="宋体" w:cs="宋体" w:eastAsia="宋体" w:hint="default"/>
                <w:sz w:val="16"/>
                <w:szCs w:val="16"/>
              </w:rPr>
            </w:pPr>
            <w:r>
              <w:rPr>
                <w:rFonts w:ascii="宋体" w:hAnsi="宋体" w:cs="宋体" w:eastAsia="宋体" w:hint="default"/>
                <w:sz w:val="16"/>
                <w:szCs w:val="16"/>
              </w:rPr>
              <w:t>减：本公司其他四家发起单位注资</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11"/>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1"/>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11"/>
              <w:jc w:val="right"/>
              <w:rPr>
                <w:rFonts w:ascii="宋体" w:hAnsi="宋体" w:cs="宋体" w:eastAsia="宋体" w:hint="default"/>
                <w:sz w:val="16"/>
                <w:szCs w:val="16"/>
              </w:rPr>
            </w:pPr>
            <w:r>
              <w:rPr>
                <w:rFonts w:ascii="宋体"/>
                <w:w w:val="70"/>
                <w:sz w:val="16"/>
              </w:rPr>
              <w:t>(4)</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1"/>
              <w:jc w:val="right"/>
              <w:rPr>
                <w:rFonts w:ascii="宋体" w:hAnsi="宋体" w:cs="宋体" w:eastAsia="宋体" w:hint="default"/>
                <w:sz w:val="16"/>
                <w:szCs w:val="16"/>
              </w:rPr>
            </w:pPr>
            <w:r>
              <w:rPr>
                <w:rFonts w:ascii="宋体"/>
                <w:w w:val="70"/>
                <w:sz w:val="16"/>
              </w:rPr>
              <w:t>(4)</w:t>
            </w:r>
            <w:r>
              <w:rPr>
                <w:rFonts w:ascii="宋体"/>
                <w:sz w:val="16"/>
              </w:rPr>
            </w:r>
          </w:p>
        </w:tc>
      </w:tr>
      <w:tr>
        <w:trPr>
          <w:trHeight w:val="273"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05" w:lineRule="exact"/>
              <w:ind w:left="425" w:right="0"/>
              <w:jc w:val="left"/>
              <w:rPr>
                <w:rFonts w:ascii="宋体" w:hAnsi="宋体" w:cs="宋体" w:eastAsia="宋体" w:hint="default"/>
                <w:sz w:val="16"/>
                <w:szCs w:val="16"/>
              </w:rPr>
            </w:pPr>
            <w:r>
              <w:rPr>
                <w:rFonts w:ascii="宋体" w:hAnsi="宋体" w:cs="宋体" w:eastAsia="宋体" w:hint="default"/>
                <w:sz w:val="16"/>
                <w:szCs w:val="16"/>
              </w:rPr>
              <w:t>申购资金于冻结期间的利息收入</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111"/>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2"/>
              <w:jc w:val="right"/>
              <w:rPr>
                <w:rFonts w:ascii="宋体" w:hAnsi="宋体" w:cs="宋体" w:eastAsia="宋体" w:hint="default"/>
                <w:sz w:val="16"/>
                <w:szCs w:val="16"/>
              </w:rPr>
            </w:pPr>
            <w:r>
              <w:rPr>
                <w:rFonts w:ascii="宋体"/>
                <w:w w:val="80"/>
                <w:sz w:val="16"/>
              </w:rPr>
              <w:t>(20)</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80"/>
                <w:sz w:val="16"/>
              </w:rPr>
              <w:t>(20)</w:t>
            </w:r>
            <w:r>
              <w:rPr>
                <w:rFonts w:ascii="宋体"/>
                <w:sz w:val="16"/>
              </w:rPr>
            </w:r>
          </w:p>
        </w:tc>
      </w:tr>
      <w:tr>
        <w:trPr>
          <w:trHeight w:val="273"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05" w:lineRule="exact"/>
              <w:ind w:left="425"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36"/>
                <w:sz w:val="16"/>
                <w:szCs w:val="16"/>
              </w:rPr>
              <w:t> </w:t>
            </w:r>
            <w:r>
              <w:rPr>
                <w:rFonts w:ascii="宋体" w:hAnsi="宋体" w:cs="宋体" w:eastAsia="宋体" w:hint="default"/>
                <w:sz w:val="16"/>
                <w:szCs w:val="16"/>
              </w:rPr>
              <w:t>BVI</w:t>
            </w:r>
            <w:r>
              <w:rPr>
                <w:rFonts w:ascii="宋体" w:hAnsi="宋体" w:cs="宋体" w:eastAsia="宋体" w:hint="default"/>
                <w:spacing w:val="-36"/>
                <w:sz w:val="16"/>
                <w:szCs w:val="16"/>
              </w:rPr>
              <w:t> </w:t>
            </w:r>
            <w:r>
              <w:rPr>
                <w:rFonts w:ascii="宋体" w:hAnsi="宋体" w:cs="宋体" w:eastAsia="宋体" w:hint="default"/>
                <w:sz w:val="16"/>
                <w:szCs w:val="16"/>
              </w:rPr>
              <w:t>公司宣派股利</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90"/>
                <w:sz w:val="16"/>
              </w:rPr>
              <w:t>(16,247)</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90"/>
                <w:sz w:val="16"/>
              </w:rPr>
              <w:t>(15,520)</w:t>
            </w:r>
            <w:r>
              <w:rPr>
                <w:rFonts w:ascii="宋体"/>
                <w:sz w:val="16"/>
              </w:rPr>
            </w:r>
          </w:p>
        </w:tc>
      </w:tr>
      <w:tr>
        <w:trPr>
          <w:trHeight w:val="273"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05" w:lineRule="exact"/>
              <w:ind w:left="425" w:right="0"/>
              <w:jc w:val="left"/>
              <w:rPr>
                <w:rFonts w:ascii="宋体" w:hAnsi="宋体" w:cs="宋体" w:eastAsia="宋体" w:hint="default"/>
                <w:sz w:val="16"/>
                <w:szCs w:val="16"/>
              </w:rPr>
            </w:pPr>
            <w:r>
              <w:rPr>
                <w:rFonts w:ascii="宋体" w:hAnsi="宋体" w:cs="宋体" w:eastAsia="宋体" w:hint="default"/>
                <w:sz w:val="16"/>
                <w:szCs w:val="16"/>
              </w:rPr>
              <w:t>联通</w:t>
            </w:r>
            <w:r>
              <w:rPr>
                <w:rFonts w:ascii="宋体" w:hAnsi="宋体" w:cs="宋体" w:eastAsia="宋体" w:hint="default"/>
                <w:spacing w:val="-36"/>
                <w:sz w:val="16"/>
                <w:szCs w:val="16"/>
              </w:rPr>
              <w:t> </w:t>
            </w:r>
            <w:r>
              <w:rPr>
                <w:rFonts w:ascii="宋体" w:hAnsi="宋体" w:cs="宋体" w:eastAsia="宋体" w:hint="default"/>
                <w:sz w:val="16"/>
                <w:szCs w:val="16"/>
              </w:rPr>
              <w:t>BVI</w:t>
            </w:r>
            <w:r>
              <w:rPr>
                <w:rFonts w:ascii="宋体" w:hAnsi="宋体" w:cs="宋体" w:eastAsia="宋体" w:hint="default"/>
                <w:spacing w:val="-36"/>
                <w:sz w:val="16"/>
                <w:szCs w:val="16"/>
              </w:rPr>
              <w:t> </w:t>
            </w:r>
            <w:r>
              <w:rPr>
                <w:rFonts w:ascii="宋体" w:hAnsi="宋体" w:cs="宋体" w:eastAsia="宋体" w:hint="default"/>
                <w:sz w:val="16"/>
                <w:szCs w:val="16"/>
              </w:rPr>
              <w:t>公司留存的联通红筹公司宣派的股利</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80"/>
                <w:sz w:val="16"/>
              </w:rPr>
              <w:t>(26)</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80"/>
                <w:sz w:val="16"/>
              </w:rPr>
              <w:t>(26)</w:t>
            </w:r>
            <w:r>
              <w:rPr>
                <w:rFonts w:ascii="宋体"/>
                <w:sz w:val="16"/>
              </w:rPr>
            </w:r>
          </w:p>
        </w:tc>
      </w:tr>
      <w:tr>
        <w:trPr>
          <w:trHeight w:val="330"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05" w:lineRule="exact"/>
              <w:ind w:left="425" w:right="0"/>
              <w:jc w:val="left"/>
              <w:rPr>
                <w:rFonts w:ascii="宋体" w:hAnsi="宋体" w:cs="宋体" w:eastAsia="宋体" w:hint="default"/>
                <w:sz w:val="16"/>
                <w:szCs w:val="16"/>
              </w:rPr>
            </w:pPr>
            <w:r>
              <w:rPr>
                <w:rFonts w:ascii="宋体" w:hAnsi="宋体" w:cs="宋体" w:eastAsia="宋体" w:hint="default"/>
                <w:sz w:val="16"/>
                <w:szCs w:val="16"/>
              </w:rPr>
              <w:t>股东投入资本差异</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80"/>
                <w:sz w:val="16"/>
              </w:rPr>
              <w:t>(12)</w:t>
            </w:r>
            <w:r>
              <w:rPr>
                <w:rFonts w:ascii="宋体"/>
                <w:sz w:val="16"/>
              </w:rPr>
            </w:r>
          </w:p>
        </w:tc>
      </w:tr>
      <w:tr>
        <w:trPr>
          <w:trHeight w:val="387"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4" w:right="0"/>
              <w:jc w:val="left"/>
              <w:rPr>
                <w:rFonts w:ascii="宋体" w:hAnsi="宋体" w:cs="宋体" w:eastAsia="宋体" w:hint="default"/>
                <w:sz w:val="16"/>
                <w:szCs w:val="16"/>
              </w:rPr>
            </w:pPr>
            <w:r>
              <w:rPr>
                <w:rFonts w:ascii="宋体" w:hAnsi="宋体" w:cs="宋体" w:eastAsia="宋体" w:hint="default"/>
                <w:sz w:val="16"/>
                <w:szCs w:val="16"/>
              </w:rPr>
              <w:t>联通红筹公司中国会计准则下的净利润</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净资产</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10"/>
              <w:jc w:val="right"/>
              <w:rPr>
                <w:rFonts w:ascii="宋体" w:hAnsi="宋体" w:cs="宋体" w:eastAsia="宋体" w:hint="default"/>
                <w:sz w:val="16"/>
                <w:szCs w:val="16"/>
              </w:rPr>
            </w:pPr>
            <w:r>
              <w:rPr>
                <w:rFonts w:ascii="宋体"/>
                <w:w w:val="95"/>
                <w:sz w:val="16"/>
              </w:rPr>
              <w:t>9,264</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0"/>
              <w:jc w:val="right"/>
              <w:rPr>
                <w:rFonts w:ascii="宋体" w:hAnsi="宋体" w:cs="宋体" w:eastAsia="宋体" w:hint="default"/>
                <w:sz w:val="16"/>
                <w:szCs w:val="16"/>
              </w:rPr>
            </w:pPr>
            <w:r>
              <w:rPr>
                <w:rFonts w:ascii="宋体"/>
                <w:w w:val="95"/>
                <w:sz w:val="16"/>
              </w:rPr>
              <w:t>1,695</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10"/>
              <w:jc w:val="right"/>
              <w:rPr>
                <w:rFonts w:ascii="宋体" w:hAnsi="宋体" w:cs="宋体" w:eastAsia="宋体" w:hint="default"/>
                <w:sz w:val="16"/>
                <w:szCs w:val="16"/>
              </w:rPr>
            </w:pPr>
            <w:r>
              <w:rPr>
                <w:rFonts w:ascii="宋体"/>
                <w:sz w:val="16"/>
              </w:rPr>
              <w:t>315,685</w:t>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10"/>
              <w:jc w:val="right"/>
              <w:rPr>
                <w:rFonts w:ascii="宋体" w:hAnsi="宋体" w:cs="宋体" w:eastAsia="宋体" w:hint="default"/>
                <w:sz w:val="16"/>
                <w:szCs w:val="16"/>
              </w:rPr>
            </w:pPr>
            <w:r>
              <w:rPr>
                <w:rFonts w:ascii="宋体"/>
                <w:sz w:val="16"/>
              </w:rPr>
              <w:t>305,901</w:t>
            </w:r>
          </w:p>
        </w:tc>
      </w:tr>
      <w:tr>
        <w:trPr>
          <w:trHeight w:val="330"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4" w:right="0"/>
              <w:jc w:val="left"/>
              <w:rPr>
                <w:rFonts w:ascii="宋体" w:hAnsi="宋体" w:cs="宋体" w:eastAsia="宋体" w:hint="default"/>
                <w:sz w:val="16"/>
                <w:szCs w:val="16"/>
              </w:rPr>
            </w:pPr>
            <w:r>
              <w:rPr>
                <w:rFonts w:ascii="宋体" w:hAnsi="宋体" w:cs="宋体" w:eastAsia="宋体" w:hint="default"/>
                <w:sz w:val="16"/>
                <w:szCs w:val="16"/>
              </w:rPr>
              <w:t>国际</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香港财务报告准则调整增加（减少）：</w:t>
            </w:r>
          </w:p>
        </w:tc>
        <w:tc>
          <w:tcPr>
            <w:tcW w:w="828" w:type="dxa"/>
            <w:tcBorders>
              <w:top w:val="nil" w:sz="6" w:space="0" w:color="auto"/>
              <w:left w:val="nil" w:sz="6" w:space="0" w:color="auto"/>
              <w:bottom w:val="nil" w:sz="6" w:space="0" w:color="auto"/>
              <w:right w:val="nil" w:sz="6" w:space="0" w:color="auto"/>
            </w:tcBorders>
            <w:shd w:val="clear" w:color="auto" w:fill="ECE7DD"/>
          </w:tcPr>
          <w:p>
            <w:pPr/>
          </w:p>
        </w:tc>
        <w:tc>
          <w:tcPr>
            <w:tcW w:w="862"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shd w:val="clear" w:color="auto" w:fill="ECE7DD"/>
          </w:tcPr>
          <w:p>
            <w:pPr/>
          </w:p>
        </w:tc>
        <w:tc>
          <w:tcPr>
            <w:tcW w:w="964" w:type="dxa"/>
            <w:tcBorders>
              <w:top w:val="nil" w:sz="6" w:space="0" w:color="auto"/>
              <w:left w:val="nil" w:sz="6" w:space="0" w:color="auto"/>
              <w:bottom w:val="nil" w:sz="6" w:space="0" w:color="auto"/>
              <w:right w:val="nil" w:sz="6" w:space="0" w:color="auto"/>
            </w:tcBorders>
          </w:tcPr>
          <w:p>
            <w:pPr/>
          </w:p>
        </w:tc>
      </w:tr>
      <w:tr>
        <w:trPr>
          <w:trHeight w:val="473"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150" w:lineRule="exact"/>
              <w:ind w:left="284"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16"/>
                <w:sz w:val="16"/>
                <w:szCs w:val="16"/>
              </w:rPr>
              <w:t> </w:t>
            </w:r>
            <w:r>
              <w:rPr>
                <w:rFonts w:ascii="宋体" w:hAnsi="宋体" w:cs="宋体" w:eastAsia="宋体" w:hint="default"/>
                <w:sz w:val="16"/>
                <w:szCs w:val="16"/>
              </w:rPr>
              <w:t>调整以前年度原中国会计准则下因土地的评估对折旧及摊销的税后</w:t>
            </w:r>
          </w:p>
          <w:p>
            <w:pPr>
              <w:pStyle w:val="TableParagraph"/>
              <w:tabs>
                <w:tab w:pos="5365" w:val="left" w:leader="none"/>
              </w:tabs>
              <w:spacing w:line="255" w:lineRule="exact"/>
              <w:ind w:left="454" w:right="0"/>
              <w:jc w:val="left"/>
              <w:rPr>
                <w:rFonts w:ascii="宋体" w:hAnsi="宋体" w:cs="宋体" w:eastAsia="宋体" w:hint="default"/>
                <w:sz w:val="16"/>
                <w:szCs w:val="16"/>
              </w:rPr>
            </w:pPr>
            <w:r>
              <w:rPr>
                <w:rFonts w:ascii="宋体" w:hAnsi="宋体" w:cs="宋体" w:eastAsia="宋体" w:hint="default"/>
                <w:position w:val="-9"/>
                <w:sz w:val="16"/>
                <w:szCs w:val="16"/>
              </w:rPr>
              <w:t>影响</w:t>
              <w:tab/>
            </w:r>
            <w:r>
              <w:rPr>
                <w:rFonts w:ascii="宋体" w:hAnsi="宋体" w:cs="宋体" w:eastAsia="宋体" w:hint="default"/>
                <w:sz w:val="16"/>
                <w:szCs w:val="16"/>
              </w:rPr>
              <w:t>(1)</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110"/>
                <w:sz w:val="16"/>
              </w:rPr>
              <w:t>154</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110"/>
                <w:sz w:val="16"/>
              </w:rPr>
              <w:t>155</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85"/>
                <w:sz w:val="16"/>
              </w:rPr>
              <w:t>(4,223)</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85"/>
                <w:sz w:val="16"/>
              </w:rPr>
              <w:t>(4,377)</w:t>
            </w:r>
            <w:r>
              <w:rPr>
                <w:rFonts w:ascii="宋体"/>
                <w:sz w:val="16"/>
              </w:rPr>
            </w:r>
          </w:p>
        </w:tc>
      </w:tr>
      <w:tr>
        <w:trPr>
          <w:trHeight w:val="237"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5"/>
                <w:sz w:val="16"/>
                <w:szCs w:val="16"/>
              </w:rPr>
              <w:t> </w:t>
            </w:r>
            <w:r>
              <w:rPr>
                <w:rFonts w:ascii="宋体" w:hAnsi="宋体" w:cs="宋体" w:eastAsia="宋体" w:hint="default"/>
                <w:spacing w:val="-4"/>
                <w:sz w:val="16"/>
                <w:szCs w:val="16"/>
              </w:rPr>
              <w:t>因以前年度收购联通新世纪</w:t>
            </w:r>
            <w:r>
              <w:rPr>
                <w:rFonts w:ascii="宋体" w:hAnsi="宋体" w:cs="宋体" w:eastAsia="宋体" w:hint="default"/>
                <w:spacing w:val="-35"/>
                <w:sz w:val="16"/>
                <w:szCs w:val="16"/>
              </w:rPr>
              <w:t> </w:t>
            </w:r>
            <w:r>
              <w:rPr>
                <w:rFonts w:ascii="宋体" w:hAnsi="宋体" w:cs="宋体" w:eastAsia="宋体" w:hint="default"/>
                <w:spacing w:val="-3"/>
                <w:sz w:val="16"/>
                <w:szCs w:val="16"/>
              </w:rPr>
              <w:t>BVI</w:t>
            </w:r>
            <w:r>
              <w:rPr>
                <w:rFonts w:ascii="宋体" w:hAnsi="宋体" w:cs="宋体" w:eastAsia="宋体" w:hint="default"/>
                <w:spacing w:val="-35"/>
                <w:sz w:val="16"/>
                <w:szCs w:val="16"/>
              </w:rPr>
              <w:t> </w:t>
            </w:r>
            <w:r>
              <w:rPr>
                <w:rFonts w:ascii="宋体" w:hAnsi="宋体" w:cs="宋体" w:eastAsia="宋体" w:hint="default"/>
                <w:spacing w:val="-4"/>
                <w:sz w:val="16"/>
                <w:szCs w:val="16"/>
              </w:rPr>
              <w:t>和联通新世界</w:t>
            </w:r>
            <w:r>
              <w:rPr>
                <w:rFonts w:ascii="宋体" w:hAnsi="宋体" w:cs="宋体" w:eastAsia="宋体" w:hint="default"/>
                <w:spacing w:val="-35"/>
                <w:sz w:val="16"/>
                <w:szCs w:val="16"/>
              </w:rPr>
              <w:t> </w:t>
            </w:r>
            <w:r>
              <w:rPr>
                <w:rFonts w:ascii="宋体" w:hAnsi="宋体" w:cs="宋体" w:eastAsia="宋体" w:hint="default"/>
                <w:spacing w:val="-3"/>
                <w:sz w:val="16"/>
                <w:szCs w:val="16"/>
              </w:rPr>
              <w:t>BVI</w:t>
            </w:r>
            <w:r>
              <w:rPr>
                <w:rFonts w:ascii="宋体" w:hAnsi="宋体" w:cs="宋体" w:eastAsia="宋体" w:hint="default"/>
                <w:spacing w:val="-35"/>
                <w:sz w:val="16"/>
                <w:szCs w:val="16"/>
              </w:rPr>
              <w:t> </w:t>
            </w:r>
            <w:r>
              <w:rPr>
                <w:rFonts w:ascii="宋体" w:hAnsi="宋体" w:cs="宋体" w:eastAsia="宋体" w:hint="default"/>
                <w:spacing w:val="-4"/>
                <w:sz w:val="16"/>
                <w:szCs w:val="16"/>
              </w:rPr>
              <w:t>产生的股权投资差</w:t>
            </w:r>
            <w:r>
              <w:rPr>
                <w:rFonts w:ascii="宋体" w:hAnsi="宋体" w:cs="宋体" w:eastAsia="宋体" w:hint="default"/>
                <w:sz w:val="16"/>
                <w:szCs w:val="16"/>
              </w:rPr>
            </w:r>
          </w:p>
        </w:tc>
        <w:tc>
          <w:tcPr>
            <w:tcW w:w="828" w:type="dxa"/>
            <w:tcBorders>
              <w:top w:val="nil" w:sz="6" w:space="0" w:color="auto"/>
              <w:left w:val="nil" w:sz="6" w:space="0" w:color="auto"/>
              <w:bottom w:val="nil" w:sz="6" w:space="0" w:color="auto"/>
              <w:right w:val="nil" w:sz="6" w:space="0" w:color="auto"/>
            </w:tcBorders>
            <w:shd w:val="clear" w:color="auto" w:fill="ECE7DD"/>
          </w:tcPr>
          <w:p>
            <w:pPr/>
          </w:p>
        </w:tc>
        <w:tc>
          <w:tcPr>
            <w:tcW w:w="862"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shd w:val="clear" w:color="auto" w:fill="ECE7DD"/>
          </w:tcPr>
          <w:p>
            <w:pPr/>
          </w:p>
        </w:tc>
        <w:tc>
          <w:tcPr>
            <w:tcW w:w="964" w:type="dxa"/>
            <w:tcBorders>
              <w:top w:val="nil" w:sz="6" w:space="0" w:color="auto"/>
              <w:left w:val="nil" w:sz="6" w:space="0" w:color="auto"/>
              <w:bottom w:val="nil" w:sz="6" w:space="0" w:color="auto"/>
              <w:right w:val="nil" w:sz="6" w:space="0" w:color="auto"/>
            </w:tcBorders>
          </w:tcPr>
          <w:p>
            <w:pPr/>
          </w:p>
        </w:tc>
      </w:tr>
      <w:tr>
        <w:trPr>
          <w:trHeight w:val="200" w:hRule="exact"/>
        </w:trPr>
        <w:tc>
          <w:tcPr>
            <w:tcW w:w="5658" w:type="dxa"/>
            <w:tcBorders>
              <w:top w:val="nil" w:sz="6" w:space="0" w:color="auto"/>
              <w:left w:val="nil" w:sz="6" w:space="0" w:color="auto"/>
              <w:bottom w:val="nil" w:sz="6" w:space="0" w:color="auto"/>
              <w:right w:val="nil" w:sz="6" w:space="0" w:color="auto"/>
            </w:tcBorders>
          </w:tcPr>
          <w:p>
            <w:pPr>
              <w:pStyle w:val="TableParagraph"/>
              <w:tabs>
                <w:tab w:pos="5365" w:val="left" w:leader="none"/>
              </w:tabs>
              <w:spacing w:line="168" w:lineRule="exact"/>
              <w:ind w:left="454" w:right="0"/>
              <w:jc w:val="left"/>
              <w:rPr>
                <w:rFonts w:ascii="宋体" w:hAnsi="宋体" w:cs="宋体" w:eastAsia="宋体" w:hint="default"/>
                <w:sz w:val="16"/>
                <w:szCs w:val="16"/>
              </w:rPr>
            </w:pPr>
            <w:r>
              <w:rPr>
                <w:rFonts w:ascii="宋体" w:hAnsi="宋体" w:cs="宋体" w:eastAsia="宋体" w:hint="default"/>
                <w:spacing w:val="-4"/>
                <w:sz w:val="16"/>
                <w:szCs w:val="16"/>
              </w:rPr>
              <w:t>额、商誉及收购费用在中国会计准则与国际</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pacing w:val="-4"/>
                <w:sz w:val="16"/>
                <w:szCs w:val="16"/>
              </w:rPr>
              <w:t>香港财务报告准则下存</w:t>
              <w:tab/>
            </w:r>
            <w:r>
              <w:rPr>
                <w:rFonts w:ascii="宋体" w:hAnsi="宋体" w:cs="宋体" w:eastAsia="宋体" w:hint="default"/>
                <w:sz w:val="16"/>
                <w:szCs w:val="16"/>
              </w:rPr>
              <w:t>(2)</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168"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168"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168" w:lineRule="exact"/>
              <w:ind w:right="110"/>
              <w:jc w:val="right"/>
              <w:rPr>
                <w:rFonts w:ascii="宋体" w:hAnsi="宋体" w:cs="宋体" w:eastAsia="宋体" w:hint="default"/>
                <w:sz w:val="16"/>
                <w:szCs w:val="16"/>
              </w:rPr>
            </w:pPr>
            <w:r>
              <w:rPr>
                <w:rFonts w:ascii="宋体"/>
                <w:w w:val="95"/>
                <w:sz w:val="16"/>
              </w:rPr>
              <w:t>2,598</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168" w:lineRule="exact"/>
              <w:ind w:right="110"/>
              <w:jc w:val="right"/>
              <w:rPr>
                <w:rFonts w:ascii="宋体" w:hAnsi="宋体" w:cs="宋体" w:eastAsia="宋体" w:hint="default"/>
                <w:sz w:val="16"/>
                <w:szCs w:val="16"/>
              </w:rPr>
            </w:pPr>
            <w:r>
              <w:rPr>
                <w:rFonts w:ascii="宋体"/>
                <w:w w:val="95"/>
                <w:sz w:val="16"/>
              </w:rPr>
              <w:t>2,598</w:t>
            </w:r>
            <w:r>
              <w:rPr>
                <w:rFonts w:ascii="宋体"/>
                <w:sz w:val="16"/>
              </w:rPr>
            </w:r>
          </w:p>
        </w:tc>
      </w:tr>
      <w:tr>
        <w:trPr>
          <w:trHeight w:val="237"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168" w:lineRule="exact"/>
              <w:ind w:left="454" w:right="0"/>
              <w:jc w:val="left"/>
              <w:rPr>
                <w:rFonts w:ascii="宋体" w:hAnsi="宋体" w:cs="宋体" w:eastAsia="宋体" w:hint="default"/>
                <w:sz w:val="16"/>
                <w:szCs w:val="16"/>
              </w:rPr>
            </w:pPr>
            <w:r>
              <w:rPr>
                <w:rFonts w:ascii="宋体" w:hAnsi="宋体" w:cs="宋体" w:eastAsia="宋体" w:hint="default"/>
                <w:spacing w:val="-4"/>
                <w:sz w:val="16"/>
                <w:szCs w:val="16"/>
              </w:rPr>
              <w:t>在差异</w:t>
            </w:r>
            <w:r>
              <w:rPr>
                <w:rFonts w:ascii="宋体" w:hAnsi="宋体" w:cs="宋体" w:eastAsia="宋体" w:hint="default"/>
                <w:sz w:val="16"/>
                <w:szCs w:val="16"/>
              </w:rPr>
            </w:r>
          </w:p>
        </w:tc>
        <w:tc>
          <w:tcPr>
            <w:tcW w:w="828" w:type="dxa"/>
            <w:tcBorders>
              <w:top w:val="nil" w:sz="6" w:space="0" w:color="auto"/>
              <w:left w:val="nil" w:sz="6" w:space="0" w:color="auto"/>
              <w:bottom w:val="nil" w:sz="6" w:space="0" w:color="auto"/>
              <w:right w:val="nil" w:sz="6" w:space="0" w:color="auto"/>
            </w:tcBorders>
            <w:shd w:val="clear" w:color="auto" w:fill="ECE7DD"/>
          </w:tcPr>
          <w:p>
            <w:pPr/>
          </w:p>
        </w:tc>
        <w:tc>
          <w:tcPr>
            <w:tcW w:w="862" w:type="dxa"/>
            <w:tcBorders>
              <w:top w:val="nil" w:sz="6" w:space="0" w:color="auto"/>
              <w:left w:val="nil" w:sz="6" w:space="0" w:color="auto"/>
              <w:bottom w:val="nil" w:sz="6" w:space="0" w:color="auto"/>
              <w:right w:val="nil" w:sz="6" w:space="0" w:color="auto"/>
            </w:tcBorders>
          </w:tcPr>
          <w:p>
            <w:pPr/>
          </w:p>
        </w:tc>
        <w:tc>
          <w:tcPr>
            <w:tcW w:w="964" w:type="dxa"/>
            <w:tcBorders>
              <w:top w:val="nil" w:sz="6" w:space="0" w:color="auto"/>
              <w:left w:val="nil" w:sz="6" w:space="0" w:color="auto"/>
              <w:bottom w:val="nil" w:sz="6" w:space="0" w:color="auto"/>
              <w:right w:val="nil" w:sz="6" w:space="0" w:color="auto"/>
            </w:tcBorders>
            <w:shd w:val="clear" w:color="auto" w:fill="ECE7DD"/>
          </w:tcPr>
          <w:p>
            <w:pPr/>
          </w:p>
        </w:tc>
        <w:tc>
          <w:tcPr>
            <w:tcW w:w="964" w:type="dxa"/>
            <w:tcBorders>
              <w:top w:val="nil" w:sz="6" w:space="0" w:color="auto"/>
              <w:left w:val="nil" w:sz="6" w:space="0" w:color="auto"/>
              <w:bottom w:val="nil" w:sz="6" w:space="0" w:color="auto"/>
              <w:right w:val="nil" w:sz="6" w:space="0" w:color="auto"/>
            </w:tcBorders>
          </w:tcPr>
          <w:p>
            <w:pPr/>
          </w:p>
        </w:tc>
      </w:tr>
      <w:tr>
        <w:trPr>
          <w:trHeight w:val="473" w:hRule="exact"/>
        </w:trPr>
        <w:tc>
          <w:tcPr>
            <w:tcW w:w="5658" w:type="dxa"/>
            <w:tcBorders>
              <w:top w:val="nil" w:sz="6" w:space="0" w:color="auto"/>
              <w:left w:val="nil" w:sz="6" w:space="0" w:color="auto"/>
              <w:bottom w:val="nil" w:sz="6" w:space="0" w:color="auto"/>
              <w:right w:val="nil" w:sz="6" w:space="0" w:color="auto"/>
            </w:tcBorders>
          </w:tcPr>
          <w:p>
            <w:pPr>
              <w:pStyle w:val="TableParagraph"/>
              <w:tabs>
                <w:tab w:pos="5366" w:val="left" w:leader="none"/>
              </w:tabs>
              <w:spacing w:line="115" w:lineRule="auto" w:before="92"/>
              <w:ind w:left="454" w:right="112" w:hanging="171"/>
              <w:jc w:val="left"/>
              <w:rPr>
                <w:rFonts w:ascii="宋体" w:hAnsi="宋体" w:cs="宋体" w:eastAsia="宋体" w:hint="default"/>
                <w:sz w:val="16"/>
                <w:szCs w:val="16"/>
              </w:rPr>
            </w:pPr>
            <w:r>
              <w:rPr>
                <w:rFonts w:ascii="宋体" w:hAnsi="宋体" w:cs="宋体" w:eastAsia="宋体" w:hint="default"/>
                <w:sz w:val="16"/>
                <w:szCs w:val="16"/>
              </w:rPr>
              <w:t>-</w:t>
            </w:r>
            <w:r>
              <w:rPr>
                <w:rFonts w:ascii="宋体" w:hAnsi="宋体" w:cs="宋体" w:eastAsia="宋体" w:hint="default"/>
                <w:spacing w:val="-39"/>
                <w:sz w:val="16"/>
                <w:szCs w:val="16"/>
              </w:rPr>
              <w:t> </w:t>
            </w:r>
            <w:r>
              <w:rPr>
                <w:rFonts w:ascii="宋体" w:hAnsi="宋体" w:cs="宋体" w:eastAsia="宋体" w:hint="default"/>
                <w:sz w:val="16"/>
                <w:szCs w:val="16"/>
              </w:rPr>
              <w:t>因持有的联营企业股权比例被动稀释而产生的长期股权投资账面价</w:t>
            </w:r>
            <w:r>
              <w:rPr>
                <w:rFonts w:ascii="宋体" w:hAnsi="宋体" w:cs="宋体" w:eastAsia="宋体" w:hint="default"/>
                <w:spacing w:val="-57"/>
                <w:sz w:val="16"/>
                <w:szCs w:val="16"/>
              </w:rPr>
              <w:t> </w:t>
            </w:r>
            <w:r>
              <w:rPr>
                <w:rFonts w:ascii="宋体" w:hAnsi="宋体" w:cs="宋体" w:eastAsia="宋体" w:hint="default"/>
                <w:spacing w:val="-57"/>
                <w:sz w:val="16"/>
                <w:szCs w:val="16"/>
              </w:rPr>
            </w:r>
            <w:r>
              <w:rPr>
                <w:rFonts w:ascii="宋体" w:hAnsi="宋体" w:cs="宋体" w:eastAsia="宋体" w:hint="default"/>
                <w:sz w:val="16"/>
                <w:szCs w:val="16"/>
              </w:rPr>
              <w:t>值变动在不同准则下的差异</w:t>
              <w:tab/>
            </w:r>
            <w:r>
              <w:rPr>
                <w:rFonts w:ascii="宋体" w:hAnsi="宋体" w:cs="宋体" w:eastAsia="宋体" w:hint="default"/>
                <w:w w:val="70"/>
                <w:position w:val="10"/>
                <w:sz w:val="16"/>
                <w:szCs w:val="16"/>
              </w:rPr>
              <w:t>(3)</w:t>
            </w:r>
            <w:r>
              <w:rPr>
                <w:rFonts w:ascii="宋体" w:hAnsi="宋体" w:cs="宋体" w:eastAsia="宋体" w:hint="default"/>
                <w:sz w:val="16"/>
                <w:szCs w:val="16"/>
              </w:rPr>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110"/>
                <w:sz w:val="16"/>
              </w:rPr>
              <w:t>839</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95"/>
              <w:ind w:right="110"/>
              <w:jc w:val="right"/>
              <w:rPr>
                <w:rFonts w:ascii="宋体" w:hAnsi="宋体" w:cs="宋体" w:eastAsia="宋体" w:hint="default"/>
                <w:sz w:val="16"/>
                <w:szCs w:val="16"/>
              </w:rPr>
            </w:pPr>
            <w:r>
              <w:rPr>
                <w:rFonts w:ascii="宋体"/>
                <w:w w:val="131"/>
                <w:sz w:val="16"/>
              </w:rPr>
              <w:t>-</w:t>
            </w:r>
            <w:r>
              <w:rPr>
                <w:rFonts w:ascii="宋体"/>
                <w:sz w:val="16"/>
              </w:rPr>
            </w:r>
          </w:p>
        </w:tc>
      </w:tr>
      <w:tr>
        <w:trPr>
          <w:trHeight w:val="330"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05" w:lineRule="exact"/>
              <w:ind w:left="284" w:right="0"/>
              <w:jc w:val="left"/>
              <w:rPr>
                <w:rFonts w:ascii="宋体" w:hAnsi="宋体" w:cs="宋体" w:eastAsia="宋体" w:hint="default"/>
                <w:sz w:val="16"/>
                <w:szCs w:val="16"/>
              </w:rPr>
            </w:pPr>
            <w:r>
              <w:rPr>
                <w:rFonts w:ascii="宋体" w:hAnsi="宋体" w:cs="宋体" w:eastAsia="宋体" w:hint="default"/>
                <w:w w:val="110"/>
                <w:sz w:val="16"/>
                <w:szCs w:val="16"/>
              </w:rPr>
              <w:t>-</w:t>
            </w:r>
            <w:r>
              <w:rPr>
                <w:rFonts w:ascii="宋体" w:hAnsi="宋体" w:cs="宋体" w:eastAsia="宋体" w:hint="default"/>
                <w:spacing w:val="-64"/>
                <w:w w:val="110"/>
                <w:sz w:val="16"/>
                <w:szCs w:val="16"/>
              </w:rPr>
              <w:t> </w:t>
            </w:r>
            <w:r>
              <w:rPr>
                <w:rFonts w:ascii="宋体" w:hAnsi="宋体" w:cs="宋体" w:eastAsia="宋体" w:hint="default"/>
                <w:w w:val="110"/>
                <w:sz w:val="16"/>
                <w:szCs w:val="16"/>
              </w:rPr>
              <w:t>其他</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05" w:lineRule="exact"/>
              <w:ind w:right="110"/>
              <w:jc w:val="right"/>
              <w:rPr>
                <w:rFonts w:ascii="宋体" w:hAnsi="宋体" w:cs="宋体" w:eastAsia="宋体" w:hint="default"/>
                <w:sz w:val="16"/>
                <w:szCs w:val="16"/>
              </w:rPr>
            </w:pPr>
            <w:r>
              <w:rPr>
                <w:rFonts w:ascii="宋体"/>
                <w:w w:val="131"/>
                <w:sz w:val="16"/>
              </w:rPr>
              <w:t>-</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05" w:lineRule="exact"/>
              <w:ind w:right="109"/>
              <w:jc w:val="right"/>
              <w:rPr>
                <w:rFonts w:ascii="宋体" w:hAnsi="宋体" w:cs="宋体" w:eastAsia="宋体" w:hint="default"/>
                <w:sz w:val="16"/>
                <w:szCs w:val="16"/>
              </w:rPr>
            </w:pPr>
            <w:r>
              <w:rPr>
                <w:rFonts w:ascii="宋体"/>
                <w:w w:val="110"/>
                <w:sz w:val="16"/>
              </w:rPr>
              <w:t>225</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05" w:lineRule="exact"/>
              <w:ind w:right="109"/>
              <w:jc w:val="right"/>
              <w:rPr>
                <w:rFonts w:ascii="宋体" w:hAnsi="宋体" w:cs="宋体" w:eastAsia="宋体" w:hint="default"/>
                <w:sz w:val="16"/>
                <w:szCs w:val="16"/>
              </w:rPr>
            </w:pPr>
            <w:r>
              <w:rPr>
                <w:rFonts w:ascii="宋体"/>
                <w:w w:val="110"/>
                <w:sz w:val="16"/>
              </w:rPr>
              <w:t>225</w:t>
            </w:r>
            <w:r>
              <w:rPr>
                <w:rFonts w:ascii="宋体"/>
                <w:sz w:val="16"/>
              </w:rPr>
            </w:r>
          </w:p>
        </w:tc>
      </w:tr>
      <w:tr>
        <w:trPr>
          <w:trHeight w:val="387" w:hRule="exact"/>
        </w:trPr>
        <w:tc>
          <w:tcPr>
            <w:tcW w:w="5658" w:type="dxa"/>
            <w:tcBorders>
              <w:top w:val="nil" w:sz="6" w:space="0" w:color="auto"/>
              <w:left w:val="nil" w:sz="6" w:space="0" w:color="auto"/>
              <w:bottom w:val="nil" w:sz="6" w:space="0" w:color="auto"/>
              <w:right w:val="nil" w:sz="6" w:space="0" w:color="auto"/>
            </w:tcBorders>
          </w:tcPr>
          <w:p>
            <w:pPr>
              <w:pStyle w:val="TableParagraph"/>
              <w:spacing w:line="240" w:lineRule="auto" w:before="52"/>
              <w:ind w:left="114" w:right="0"/>
              <w:jc w:val="left"/>
              <w:rPr>
                <w:rFonts w:ascii="宋体" w:hAnsi="宋体" w:cs="宋体" w:eastAsia="宋体" w:hint="default"/>
                <w:sz w:val="16"/>
                <w:szCs w:val="16"/>
              </w:rPr>
            </w:pPr>
            <w:r>
              <w:rPr>
                <w:rFonts w:ascii="宋体" w:hAnsi="宋体" w:cs="宋体" w:eastAsia="宋体" w:hint="default"/>
                <w:sz w:val="16"/>
                <w:szCs w:val="16"/>
              </w:rPr>
              <w:t>调整小计</w:t>
            </w:r>
          </w:p>
        </w:tc>
        <w:tc>
          <w:tcPr>
            <w:tcW w:w="828"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09"/>
              <w:jc w:val="right"/>
              <w:rPr>
                <w:rFonts w:ascii="宋体" w:hAnsi="宋体" w:cs="宋体" w:eastAsia="宋体" w:hint="default"/>
                <w:sz w:val="16"/>
                <w:szCs w:val="16"/>
              </w:rPr>
            </w:pPr>
            <w:r>
              <w:rPr>
                <w:rFonts w:ascii="宋体"/>
                <w:w w:val="110"/>
                <w:sz w:val="16"/>
              </w:rPr>
              <w:t>993</w:t>
            </w:r>
            <w:r>
              <w:rPr>
                <w:rFonts w:ascii="宋体"/>
                <w:sz w:val="16"/>
              </w:rPr>
            </w:r>
          </w:p>
        </w:tc>
        <w:tc>
          <w:tcPr>
            <w:tcW w:w="862"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9"/>
              <w:jc w:val="right"/>
              <w:rPr>
                <w:rFonts w:ascii="宋体" w:hAnsi="宋体" w:cs="宋体" w:eastAsia="宋体" w:hint="default"/>
                <w:sz w:val="16"/>
                <w:szCs w:val="16"/>
              </w:rPr>
            </w:pPr>
            <w:r>
              <w:rPr>
                <w:rFonts w:ascii="宋体"/>
                <w:w w:val="110"/>
                <w:sz w:val="16"/>
              </w:rPr>
              <w:t>155</w:t>
            </w:r>
            <w:r>
              <w:rPr>
                <w:rFonts w:ascii="宋体"/>
                <w:sz w:val="16"/>
              </w:rPr>
            </w:r>
          </w:p>
        </w:tc>
        <w:tc>
          <w:tcPr>
            <w:tcW w:w="964" w:type="dxa"/>
            <w:tcBorders>
              <w:top w:val="nil" w:sz="6" w:space="0" w:color="auto"/>
              <w:left w:val="nil" w:sz="6" w:space="0" w:color="auto"/>
              <w:bottom w:val="nil" w:sz="6" w:space="0" w:color="auto"/>
              <w:right w:val="nil" w:sz="6" w:space="0" w:color="auto"/>
            </w:tcBorders>
            <w:shd w:val="clear" w:color="auto" w:fill="ECE7DD"/>
          </w:tcPr>
          <w:p>
            <w:pPr>
              <w:pStyle w:val="TableParagraph"/>
              <w:spacing w:line="240" w:lineRule="auto" w:before="52"/>
              <w:ind w:right="109"/>
              <w:jc w:val="right"/>
              <w:rPr>
                <w:rFonts w:ascii="宋体" w:hAnsi="宋体" w:cs="宋体" w:eastAsia="宋体" w:hint="default"/>
                <w:sz w:val="16"/>
                <w:szCs w:val="16"/>
              </w:rPr>
            </w:pPr>
            <w:r>
              <w:rPr>
                <w:rFonts w:ascii="宋体"/>
                <w:w w:val="85"/>
                <w:sz w:val="16"/>
              </w:rPr>
              <w:t>(1,400)</w:t>
            </w:r>
            <w:r>
              <w:rPr>
                <w:rFonts w:ascii="宋体"/>
                <w:sz w:val="16"/>
              </w:rPr>
            </w:r>
          </w:p>
        </w:tc>
        <w:tc>
          <w:tcPr>
            <w:tcW w:w="964" w:type="dxa"/>
            <w:tcBorders>
              <w:top w:val="nil" w:sz="6" w:space="0" w:color="auto"/>
              <w:left w:val="nil" w:sz="6" w:space="0" w:color="auto"/>
              <w:bottom w:val="nil" w:sz="6" w:space="0" w:color="auto"/>
              <w:right w:val="nil" w:sz="6" w:space="0" w:color="auto"/>
            </w:tcBorders>
          </w:tcPr>
          <w:p>
            <w:pPr>
              <w:pStyle w:val="TableParagraph"/>
              <w:spacing w:line="240" w:lineRule="auto" w:before="52"/>
              <w:ind w:right="109"/>
              <w:jc w:val="right"/>
              <w:rPr>
                <w:rFonts w:ascii="宋体" w:hAnsi="宋体" w:cs="宋体" w:eastAsia="宋体" w:hint="default"/>
                <w:sz w:val="16"/>
                <w:szCs w:val="16"/>
              </w:rPr>
            </w:pPr>
            <w:r>
              <w:rPr>
                <w:rFonts w:ascii="宋体"/>
                <w:w w:val="85"/>
                <w:sz w:val="16"/>
              </w:rPr>
              <w:t>(1,554)</w:t>
            </w:r>
            <w:r>
              <w:rPr>
                <w:rFonts w:ascii="宋体"/>
                <w:sz w:val="16"/>
              </w:rPr>
            </w:r>
          </w:p>
        </w:tc>
      </w:tr>
      <w:tr>
        <w:trPr>
          <w:trHeight w:val="423" w:hRule="exact"/>
        </w:trPr>
        <w:tc>
          <w:tcPr>
            <w:tcW w:w="5658" w:type="dxa"/>
            <w:tcBorders>
              <w:top w:val="nil" w:sz="6" w:space="0" w:color="auto"/>
              <w:left w:val="nil" w:sz="6" w:space="0" w:color="auto"/>
              <w:bottom w:val="single" w:sz="16" w:space="0" w:color="9F8958"/>
              <w:right w:val="nil" w:sz="6" w:space="0" w:color="auto"/>
            </w:tcBorders>
          </w:tcPr>
          <w:p>
            <w:pPr>
              <w:pStyle w:val="TableParagraph"/>
              <w:spacing w:line="240" w:lineRule="auto" w:before="52"/>
              <w:ind w:left="114" w:right="0"/>
              <w:jc w:val="left"/>
              <w:rPr>
                <w:rFonts w:ascii="宋体" w:hAnsi="宋体" w:cs="宋体" w:eastAsia="宋体" w:hint="default"/>
                <w:sz w:val="16"/>
                <w:szCs w:val="16"/>
              </w:rPr>
            </w:pPr>
            <w:r>
              <w:rPr>
                <w:rFonts w:ascii="宋体" w:hAnsi="宋体" w:cs="宋体" w:eastAsia="宋体" w:hint="default"/>
                <w:sz w:val="16"/>
                <w:szCs w:val="16"/>
              </w:rPr>
              <w:t>联通红筹公司国际</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香港财务报告准则下净利润</w:t>
            </w:r>
            <w:r>
              <w:rPr>
                <w:rFonts w:ascii="宋体" w:hAnsi="宋体" w:cs="宋体" w:eastAsia="宋体" w:hint="default"/>
                <w:spacing w:val="-56"/>
                <w:sz w:val="16"/>
                <w:szCs w:val="16"/>
              </w:rPr>
              <w:t> </w:t>
            </w:r>
            <w:r>
              <w:rPr>
                <w:rFonts w:ascii="宋体" w:hAnsi="宋体" w:cs="宋体" w:eastAsia="宋体" w:hint="default"/>
                <w:w w:val="95"/>
                <w:sz w:val="16"/>
                <w:szCs w:val="16"/>
              </w:rPr>
              <w:t>/</w:t>
            </w:r>
            <w:r>
              <w:rPr>
                <w:rFonts w:ascii="宋体" w:hAnsi="宋体" w:cs="宋体" w:eastAsia="宋体" w:hint="default"/>
                <w:spacing w:val="-52"/>
                <w:w w:val="95"/>
                <w:sz w:val="16"/>
                <w:szCs w:val="16"/>
              </w:rPr>
              <w:t> </w:t>
            </w:r>
            <w:r>
              <w:rPr>
                <w:rFonts w:ascii="宋体" w:hAnsi="宋体" w:cs="宋体" w:eastAsia="宋体" w:hint="default"/>
                <w:sz w:val="16"/>
                <w:szCs w:val="16"/>
              </w:rPr>
              <w:t>净资产</w:t>
            </w:r>
          </w:p>
        </w:tc>
        <w:tc>
          <w:tcPr>
            <w:tcW w:w="828"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52"/>
              <w:ind w:right="109"/>
              <w:jc w:val="right"/>
              <w:rPr>
                <w:rFonts w:ascii="宋体" w:hAnsi="宋体" w:cs="宋体" w:eastAsia="宋体" w:hint="default"/>
                <w:sz w:val="16"/>
                <w:szCs w:val="16"/>
              </w:rPr>
            </w:pPr>
            <w:r>
              <w:rPr>
                <w:rFonts w:ascii="宋体"/>
                <w:sz w:val="16"/>
              </w:rPr>
              <w:t>10,257</w:t>
            </w:r>
          </w:p>
        </w:tc>
        <w:tc>
          <w:tcPr>
            <w:tcW w:w="862" w:type="dxa"/>
            <w:tcBorders>
              <w:top w:val="nil" w:sz="6" w:space="0" w:color="auto"/>
              <w:left w:val="nil" w:sz="6" w:space="0" w:color="auto"/>
              <w:bottom w:val="single" w:sz="16" w:space="0" w:color="9F8958"/>
              <w:right w:val="nil" w:sz="6" w:space="0" w:color="auto"/>
            </w:tcBorders>
          </w:tcPr>
          <w:p>
            <w:pPr>
              <w:pStyle w:val="TableParagraph"/>
              <w:spacing w:line="240" w:lineRule="auto" w:before="52"/>
              <w:ind w:right="109"/>
              <w:jc w:val="right"/>
              <w:rPr>
                <w:rFonts w:ascii="宋体" w:hAnsi="宋体" w:cs="宋体" w:eastAsia="宋体" w:hint="default"/>
                <w:sz w:val="16"/>
                <w:szCs w:val="16"/>
              </w:rPr>
            </w:pPr>
            <w:r>
              <w:rPr>
                <w:rFonts w:ascii="宋体"/>
                <w:w w:val="95"/>
                <w:sz w:val="16"/>
              </w:rPr>
              <w:t>1,850</w:t>
            </w:r>
            <w:r>
              <w:rPr>
                <w:rFonts w:ascii="宋体"/>
                <w:sz w:val="16"/>
              </w:rPr>
            </w:r>
          </w:p>
        </w:tc>
        <w:tc>
          <w:tcPr>
            <w:tcW w:w="964" w:type="dxa"/>
            <w:tcBorders>
              <w:top w:val="nil" w:sz="6" w:space="0" w:color="auto"/>
              <w:left w:val="nil" w:sz="6" w:space="0" w:color="auto"/>
              <w:bottom w:val="single" w:sz="16" w:space="0" w:color="9F8958"/>
              <w:right w:val="nil" w:sz="6" w:space="0" w:color="auto"/>
            </w:tcBorders>
            <w:shd w:val="clear" w:color="auto" w:fill="ECE7DD"/>
          </w:tcPr>
          <w:p>
            <w:pPr>
              <w:pStyle w:val="TableParagraph"/>
              <w:spacing w:line="240" w:lineRule="auto" w:before="52"/>
              <w:ind w:right="109"/>
              <w:jc w:val="right"/>
              <w:rPr>
                <w:rFonts w:ascii="宋体" w:hAnsi="宋体" w:cs="宋体" w:eastAsia="宋体" w:hint="default"/>
                <w:sz w:val="16"/>
                <w:szCs w:val="16"/>
              </w:rPr>
            </w:pPr>
            <w:r>
              <w:rPr>
                <w:rFonts w:ascii="宋体"/>
                <w:sz w:val="16"/>
              </w:rPr>
              <w:t>314,285</w:t>
            </w:r>
          </w:p>
        </w:tc>
        <w:tc>
          <w:tcPr>
            <w:tcW w:w="964" w:type="dxa"/>
            <w:tcBorders>
              <w:top w:val="nil" w:sz="6" w:space="0" w:color="auto"/>
              <w:left w:val="nil" w:sz="6" w:space="0" w:color="auto"/>
              <w:bottom w:val="single" w:sz="16" w:space="0" w:color="9F8958"/>
              <w:right w:val="nil" w:sz="6" w:space="0" w:color="auto"/>
            </w:tcBorders>
          </w:tcPr>
          <w:p>
            <w:pPr>
              <w:pStyle w:val="TableParagraph"/>
              <w:spacing w:line="240" w:lineRule="auto" w:before="52"/>
              <w:ind w:right="109"/>
              <w:jc w:val="right"/>
              <w:rPr>
                <w:rFonts w:ascii="宋体" w:hAnsi="宋体" w:cs="宋体" w:eastAsia="宋体" w:hint="default"/>
                <w:sz w:val="16"/>
                <w:szCs w:val="16"/>
              </w:rPr>
            </w:pPr>
            <w:r>
              <w:rPr>
                <w:rFonts w:ascii="宋体"/>
                <w:sz w:val="16"/>
              </w:rPr>
              <w:t>304,347</w:t>
            </w:r>
          </w:p>
        </w:tc>
      </w:tr>
    </w:tbl>
    <w:p>
      <w:pPr>
        <w:spacing w:line="240" w:lineRule="auto" w:before="2"/>
        <w:rPr>
          <w:rFonts w:ascii="宋体" w:hAnsi="宋体" w:cs="宋体" w:eastAsia="宋体" w:hint="default"/>
          <w:sz w:val="9"/>
          <w:szCs w:val="9"/>
        </w:rPr>
      </w:pPr>
    </w:p>
    <w:p>
      <w:pPr>
        <w:pStyle w:val="BodyText"/>
        <w:spacing w:line="240" w:lineRule="auto" w:before="31"/>
        <w:ind w:left="453" w:right="125"/>
        <w:jc w:val="left"/>
      </w:pPr>
      <w:r>
        <w:rPr/>
        <w:t>财务报表差异调节表项目注释说明：</w:t>
      </w:r>
    </w:p>
    <w:p>
      <w:pPr>
        <w:spacing w:line="240" w:lineRule="auto" w:before="5"/>
        <w:rPr>
          <w:rFonts w:ascii="宋体" w:hAnsi="宋体" w:cs="宋体" w:eastAsia="宋体" w:hint="default"/>
          <w:sz w:val="16"/>
          <w:szCs w:val="16"/>
        </w:rPr>
      </w:pPr>
    </w:p>
    <w:p>
      <w:pPr>
        <w:pStyle w:val="BodyText"/>
        <w:spacing w:line="240" w:lineRule="auto"/>
        <w:ind w:left="453" w:right="125"/>
        <w:jc w:val="left"/>
      </w:pPr>
      <w:r>
        <w:rPr/>
        <w:t>注</w:t>
      </w:r>
      <w:r>
        <w:rPr>
          <w:spacing w:val="-36"/>
        </w:rPr>
        <w:t> </w:t>
      </w:r>
      <w:r>
        <w:rPr/>
        <w:t>1：因土地的评估对折旧及摊销的影响</w:t>
      </w:r>
    </w:p>
    <w:p>
      <w:pPr>
        <w:spacing w:line="240" w:lineRule="auto" w:before="5"/>
        <w:rPr>
          <w:rFonts w:ascii="宋体" w:hAnsi="宋体" w:cs="宋体" w:eastAsia="宋体" w:hint="default"/>
          <w:sz w:val="16"/>
          <w:szCs w:val="16"/>
        </w:rPr>
      </w:pPr>
    </w:p>
    <w:p>
      <w:pPr>
        <w:pStyle w:val="BodyText"/>
        <w:spacing w:line="285" w:lineRule="auto"/>
        <w:ind w:left="964" w:right="127"/>
        <w:jc w:val="both"/>
      </w:pPr>
      <w:r>
        <w:rPr>
          <w:spacing w:val="2"/>
        </w:rPr>
        <w:t>在中国会计准则下，本集团所持有的土地在本集团改制重组上市以及后续同一控制下的企业合并收购过程中以</w:t>
      </w:r>
      <w:r>
        <w:rPr>
          <w:spacing w:val="-46"/>
        </w:rPr>
        <w:t> </w:t>
      </w:r>
      <w:r>
        <w:rPr>
          <w:spacing w:val="-46"/>
        </w:rPr>
      </w:r>
      <w:r>
        <w:rPr/>
        <w:t>评估后价值入账并计提折旧及摊销。在国际</w:t>
      </w:r>
      <w:r>
        <w:rPr>
          <w:spacing w:val="-60"/>
        </w:rPr>
        <w:t> </w:t>
      </w:r>
      <w:r>
        <w:rPr>
          <w:w w:val="95"/>
        </w:rPr>
        <w:t>/</w:t>
      </w:r>
      <w:r>
        <w:rPr>
          <w:spacing w:val="-56"/>
          <w:w w:val="95"/>
        </w:rPr>
        <w:t> </w:t>
      </w:r>
      <w:r>
        <w:rPr/>
        <w:t>香港财务报告准则下，对于土地一直以历史成本确认并计提折旧，</w:t>
      </w:r>
      <w:r>
        <w:rPr/>
        <w:t> 由此产生准则差异。该准则差异亦考虑递延所得税的影响。</w:t>
      </w:r>
    </w:p>
    <w:p>
      <w:pPr>
        <w:spacing w:after="0" w:line="285" w:lineRule="auto"/>
        <w:jc w:val="both"/>
        <w:sectPr>
          <w:type w:val="continuous"/>
          <w:pgSz w:w="11910" w:h="16160"/>
          <w:pgMar w:top="1520" w:bottom="280" w:left="680" w:right="13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8"/>
          <w:szCs w:val="28"/>
        </w:rPr>
      </w:pPr>
    </w:p>
    <w:p>
      <w:pPr>
        <w:pStyle w:val="BodyText"/>
        <w:spacing w:line="240" w:lineRule="auto" w:before="26"/>
        <w:ind w:left="114" w:right="87"/>
        <w:jc w:val="left"/>
        <w:rPr>
          <w:rFonts w:ascii="宋体" w:hAnsi="宋体" w:cs="宋体" w:eastAsia="宋体" w:hint="default"/>
        </w:rPr>
      </w:pPr>
      <w:r>
        <w:rPr>
          <w:rFonts w:ascii="宋体" w:hAnsi="宋体" w:cs="宋体" w:eastAsia="宋体" w:hint="default"/>
          <w:color w:val="9F8958"/>
        </w:rPr>
        <w:t>一、财务报表差异调节表（续）</w:t>
      </w:r>
      <w:r>
        <w:rPr>
          <w:rFonts w:ascii="宋体" w:hAnsi="宋体" w:cs="宋体" w:eastAsia="宋体" w:hint="default"/>
        </w:rPr>
      </w:r>
    </w:p>
    <w:p>
      <w:pPr>
        <w:spacing w:line="240" w:lineRule="auto" w:before="12"/>
        <w:rPr>
          <w:rFonts w:ascii="宋体" w:hAnsi="宋体" w:cs="宋体" w:eastAsia="宋体" w:hint="default"/>
          <w:sz w:val="17"/>
          <w:szCs w:val="17"/>
        </w:rPr>
      </w:pPr>
    </w:p>
    <w:p>
      <w:pPr>
        <w:pStyle w:val="BodyText"/>
        <w:spacing w:line="240" w:lineRule="auto"/>
        <w:ind w:right="87"/>
        <w:jc w:val="left"/>
      </w:pPr>
      <w:r>
        <w:rPr/>
        <w:t>财务报表差异调节表项目注释说明（续）：</w:t>
      </w:r>
    </w:p>
    <w:p>
      <w:pPr>
        <w:spacing w:line="240" w:lineRule="auto" w:before="12"/>
        <w:rPr>
          <w:rFonts w:ascii="宋体" w:hAnsi="宋体" w:cs="宋体" w:eastAsia="宋体" w:hint="default"/>
          <w:sz w:val="17"/>
          <w:szCs w:val="17"/>
        </w:rPr>
      </w:pPr>
    </w:p>
    <w:p>
      <w:pPr>
        <w:pStyle w:val="BodyText"/>
        <w:spacing w:line="240" w:lineRule="auto"/>
        <w:ind w:right="87"/>
        <w:jc w:val="left"/>
      </w:pPr>
      <w:r>
        <w:rPr/>
        <w:t>注</w:t>
      </w:r>
      <w:r>
        <w:rPr>
          <w:spacing w:val="-40"/>
        </w:rPr>
        <w:t> </w:t>
      </w:r>
      <w:r>
        <w:rPr/>
        <w:t>2：因以前年度收购联通新世纪</w:t>
      </w:r>
      <w:r>
        <w:rPr>
          <w:spacing w:val="-41"/>
        </w:rPr>
        <w:t> </w:t>
      </w:r>
      <w:r>
        <w:rPr/>
        <w:t>BVI</w:t>
      </w:r>
      <w:r>
        <w:rPr>
          <w:spacing w:val="-40"/>
        </w:rPr>
        <w:t> </w:t>
      </w:r>
      <w:r>
        <w:rPr/>
        <w:t>和联通新世界</w:t>
      </w:r>
      <w:r>
        <w:rPr>
          <w:spacing w:val="-40"/>
        </w:rPr>
        <w:t> </w:t>
      </w:r>
      <w:r>
        <w:rPr/>
        <w:t>BVI</w:t>
      </w:r>
      <w:r>
        <w:rPr>
          <w:spacing w:val="-40"/>
        </w:rPr>
        <w:t> </w:t>
      </w:r>
      <w:r>
        <w:rPr/>
        <w:t>产生的股权投资差额、商誉及收购费用在不同准则下的差异</w:t>
      </w:r>
    </w:p>
    <w:p>
      <w:pPr>
        <w:spacing w:line="240" w:lineRule="auto" w:before="5"/>
        <w:rPr>
          <w:rFonts w:ascii="宋体" w:hAnsi="宋体" w:cs="宋体" w:eastAsia="宋体" w:hint="default"/>
          <w:sz w:val="16"/>
          <w:szCs w:val="16"/>
        </w:rPr>
      </w:pPr>
    </w:p>
    <w:p>
      <w:pPr>
        <w:pStyle w:val="BodyText"/>
        <w:spacing w:line="285" w:lineRule="auto"/>
        <w:ind w:left="964" w:right="90"/>
        <w:jc w:val="left"/>
      </w:pPr>
      <w:r>
        <w:rPr>
          <w:spacing w:val="4"/>
        </w:rPr>
        <w:t>本公司分别于</w:t>
      </w:r>
      <w:r>
        <w:rPr>
          <w:spacing w:val="-43"/>
        </w:rPr>
        <w:t> </w:t>
      </w:r>
      <w:r>
        <w:rPr>
          <w:spacing w:val="-1"/>
          <w:w w:val="111"/>
        </w:rPr>
        <w:t>2002</w:t>
      </w:r>
      <w:r>
        <w:rPr>
          <w:spacing w:val="-53"/>
          <w:w w:val="111"/>
        </w:rPr>
        <w:t> </w:t>
      </w:r>
      <w:r>
        <w:rPr/>
        <w:t>年</w:t>
      </w:r>
      <w:r>
        <w:rPr>
          <w:spacing w:val="-43"/>
        </w:rPr>
        <w:t> </w:t>
      </w:r>
      <w:r>
        <w:rPr>
          <w:spacing w:val="-1"/>
          <w:w w:val="111"/>
        </w:rPr>
        <w:t>12</w:t>
      </w:r>
      <w:r>
        <w:rPr>
          <w:spacing w:val="-53"/>
          <w:w w:val="111"/>
        </w:rPr>
        <w:t> </w:t>
      </w:r>
      <w:r>
        <w:rPr/>
        <w:t>月</w:t>
      </w:r>
      <w:r>
        <w:rPr>
          <w:spacing w:val="-43"/>
        </w:rPr>
        <w:t> </w:t>
      </w:r>
      <w:r>
        <w:rPr>
          <w:spacing w:val="-1"/>
          <w:w w:val="111"/>
        </w:rPr>
        <w:t>31</w:t>
      </w:r>
      <w:r>
        <w:rPr>
          <w:spacing w:val="-53"/>
          <w:w w:val="111"/>
        </w:rPr>
        <w:t> </w:t>
      </w:r>
      <w:r>
        <w:rPr>
          <w:spacing w:val="2"/>
        </w:rPr>
        <w:t>日和</w:t>
      </w:r>
      <w:r>
        <w:rPr>
          <w:spacing w:val="-43"/>
        </w:rPr>
        <w:t> </w:t>
      </w:r>
      <w:r>
        <w:rPr>
          <w:spacing w:val="-1"/>
          <w:w w:val="111"/>
        </w:rPr>
        <w:t>2003</w:t>
      </w:r>
      <w:r>
        <w:rPr>
          <w:spacing w:val="-53"/>
          <w:w w:val="111"/>
        </w:rPr>
        <w:t> </w:t>
      </w:r>
      <w:r>
        <w:rPr/>
        <w:t>年</w:t>
      </w:r>
      <w:r>
        <w:rPr>
          <w:spacing w:val="-43"/>
        </w:rPr>
        <w:t> </w:t>
      </w:r>
      <w:r>
        <w:rPr>
          <w:spacing w:val="-1"/>
          <w:w w:val="111"/>
        </w:rPr>
        <w:t>12</w:t>
      </w:r>
      <w:r>
        <w:rPr>
          <w:spacing w:val="-53"/>
          <w:w w:val="111"/>
        </w:rPr>
        <w:t> </w:t>
      </w:r>
      <w:r>
        <w:rPr/>
        <w:t>月</w:t>
      </w:r>
      <w:r>
        <w:rPr>
          <w:spacing w:val="-43"/>
        </w:rPr>
        <w:t> </w:t>
      </w:r>
      <w:r>
        <w:rPr>
          <w:spacing w:val="-1"/>
          <w:w w:val="111"/>
        </w:rPr>
        <w:t>31</w:t>
      </w:r>
      <w:r>
        <w:rPr>
          <w:spacing w:val="-53"/>
          <w:w w:val="111"/>
        </w:rPr>
        <w:t> </w:t>
      </w:r>
      <w:r>
        <w:rPr>
          <w:spacing w:val="4"/>
        </w:rPr>
        <w:t>日间接通过联通红筹公司收购了联通新世纪</w:t>
      </w:r>
      <w:r>
        <w:rPr>
          <w:spacing w:val="-43"/>
        </w:rPr>
        <w:t> </w:t>
      </w:r>
      <w:r>
        <w:rPr>
          <w:w w:val="103"/>
        </w:rPr>
        <w:t>BVI</w:t>
      </w:r>
      <w:r>
        <w:rPr>
          <w:spacing w:val="-46"/>
          <w:w w:val="103"/>
        </w:rPr>
        <w:t> </w:t>
      </w:r>
      <w:r>
        <w:rPr>
          <w:spacing w:val="5"/>
        </w:rPr>
        <w:t>和联通</w:t>
      </w:r>
      <w:r>
        <w:rPr>
          <w:spacing w:val="-87"/>
        </w:rPr>
        <w:t> </w:t>
      </w:r>
      <w:r>
        <w:rPr>
          <w:spacing w:val="-87"/>
        </w:rPr>
      </w:r>
      <w:r>
        <w:rPr>
          <w:spacing w:val="2"/>
        </w:rPr>
        <w:t>新世界</w:t>
      </w:r>
      <w:r>
        <w:rPr>
          <w:spacing w:val="-37"/>
        </w:rPr>
        <w:t> </w:t>
      </w:r>
      <w:r>
        <w:rPr>
          <w:w w:val="103"/>
        </w:rPr>
        <w:t>BVI</w:t>
      </w:r>
      <w:r>
        <w:rPr>
          <w:spacing w:val="-40"/>
          <w:w w:val="103"/>
        </w:rPr>
        <w:t> </w:t>
      </w:r>
      <w:r>
        <w:rPr>
          <w:spacing w:val="2"/>
        </w:rPr>
        <w:t>的全部股权。在中国会计准则下，收购价与收购生效日被收购公司账面净资产值之间的差额确认为</w:t>
      </w:r>
      <w:r>
        <w:rPr>
          <w:spacing w:val="-71"/>
        </w:rPr>
        <w:t> </w:t>
      </w:r>
      <w:r>
        <w:rPr>
          <w:spacing w:val="-71"/>
        </w:rPr>
      </w:r>
      <w:r>
        <w:rPr>
          <w:spacing w:val="-3"/>
        </w:rPr>
        <w:t>长期股权投资差额，并于</w:t>
      </w:r>
      <w:r>
        <w:rPr>
          <w:spacing w:val="-46"/>
        </w:rPr>
        <w:t> </w:t>
      </w:r>
      <w:r>
        <w:rPr/>
        <w:t>2007</w:t>
      </w:r>
      <w:r>
        <w:rPr>
          <w:spacing w:val="-46"/>
        </w:rPr>
        <w:t> </w:t>
      </w:r>
      <w:r>
        <w:rPr/>
        <w:t>年</w:t>
      </w:r>
      <w:r>
        <w:rPr>
          <w:spacing w:val="-46"/>
        </w:rPr>
        <w:t> </w:t>
      </w:r>
      <w:r>
        <w:rPr/>
        <w:t>1</w:t>
      </w:r>
      <w:r>
        <w:rPr>
          <w:spacing w:val="-46"/>
        </w:rPr>
        <w:t> </w:t>
      </w:r>
      <w:r>
        <w:rPr/>
        <w:t>月</w:t>
      </w:r>
      <w:r>
        <w:rPr>
          <w:spacing w:val="-46"/>
        </w:rPr>
        <w:t> </w:t>
      </w:r>
      <w:r>
        <w:rPr/>
        <w:t>1</w:t>
      </w:r>
      <w:r>
        <w:rPr>
          <w:spacing w:val="-46"/>
        </w:rPr>
        <w:t> </w:t>
      </w:r>
      <w:r>
        <w:rPr/>
        <w:t>日将尚未摊销的长期股权投资差额调整留存收益，减少本集团的净资产。</w:t>
      </w:r>
      <w:r>
        <w:rPr/>
        <w:t> 而在国际</w:t>
      </w:r>
      <w:r>
        <w:rPr>
          <w:spacing w:val="-54"/>
        </w:rPr>
        <w:t> </w:t>
      </w:r>
      <w:r>
        <w:rPr>
          <w:w w:val="95"/>
        </w:rPr>
        <w:t>/</w:t>
      </w:r>
      <w:r>
        <w:rPr>
          <w:spacing w:val="-49"/>
          <w:w w:val="95"/>
        </w:rPr>
        <w:t> </w:t>
      </w:r>
      <w:r>
        <w:rPr/>
        <w:t>香港财务报告准则下，收购价与收购生效日被收购公司资产及负债的公允价值之间的差额确认为商誉</w:t>
      </w:r>
      <w:r>
        <w:rPr/>
        <w:t> 记入资产且不进行摊销，而是每年或当有减值迹象时进行减值测试。</w:t>
      </w:r>
    </w:p>
    <w:p>
      <w:pPr>
        <w:spacing w:line="240" w:lineRule="auto" w:before="10"/>
        <w:rPr>
          <w:rFonts w:ascii="宋体" w:hAnsi="宋体" w:cs="宋体" w:eastAsia="宋体" w:hint="default"/>
          <w:sz w:val="13"/>
          <w:szCs w:val="13"/>
        </w:rPr>
      </w:pPr>
    </w:p>
    <w:p>
      <w:pPr>
        <w:pStyle w:val="BodyText"/>
        <w:spacing w:line="285" w:lineRule="auto"/>
        <w:ind w:left="964" w:right="188"/>
        <w:jc w:val="both"/>
      </w:pPr>
      <w:r>
        <w:rPr/>
        <w:t>除收购价外，本集团支付与上述收购直接相关的其他费用分别约人民币</w:t>
      </w:r>
      <w:r>
        <w:rPr>
          <w:spacing w:val="-37"/>
        </w:rPr>
        <w:t> </w:t>
      </w:r>
      <w:r>
        <w:rPr>
          <w:spacing w:val="-1"/>
          <w:w w:val="97"/>
        </w:rPr>
        <w:t>1.09</w:t>
      </w:r>
      <w:r>
        <w:rPr>
          <w:spacing w:val="-34"/>
          <w:w w:val="97"/>
        </w:rPr>
        <w:t> </w:t>
      </w:r>
      <w:r>
        <w:rPr/>
        <w:t>亿元和</w:t>
      </w:r>
      <w:r>
        <w:rPr>
          <w:spacing w:val="-37"/>
        </w:rPr>
        <w:t> </w:t>
      </w:r>
      <w:r>
        <w:rPr>
          <w:spacing w:val="-1"/>
          <w:w w:val="99"/>
        </w:rPr>
        <w:t>4,938</w:t>
      </w:r>
      <w:r>
        <w:rPr>
          <w:spacing w:val="-37"/>
          <w:w w:val="99"/>
        </w:rPr>
        <w:t> </w:t>
      </w:r>
      <w:r>
        <w:rPr/>
        <w:t>万元。在中国会计准</w:t>
      </w:r>
      <w:r>
        <w:rPr>
          <w:spacing w:val="-82"/>
        </w:rPr>
        <w:t> </w:t>
      </w:r>
      <w:r>
        <w:rPr>
          <w:spacing w:val="-82"/>
        </w:rPr>
      </w:r>
      <w:r>
        <w:rPr/>
        <w:t>则下，发生的交易费用作为期间费用，于发生之时计入损益。于国际</w:t>
      </w:r>
      <w:r>
        <w:rPr>
          <w:spacing w:val="-60"/>
        </w:rPr>
        <w:t> </w:t>
      </w:r>
      <w:r>
        <w:rPr>
          <w:w w:val="95"/>
        </w:rPr>
        <w:t>/</w:t>
      </w:r>
      <w:r>
        <w:rPr>
          <w:spacing w:val="-56"/>
          <w:w w:val="95"/>
        </w:rPr>
        <w:t> </w:t>
      </w:r>
      <w:r>
        <w:rPr/>
        <w:t>香港财务报告准则下，该等费用作为收购</w:t>
      </w:r>
      <w:r>
        <w:rPr/>
        <w:t> 成本的一部分，随同收购成本一并予以资本化并于合并时计入商誉。</w:t>
      </w:r>
    </w:p>
    <w:p>
      <w:pPr>
        <w:spacing w:line="240" w:lineRule="auto" w:before="10"/>
        <w:rPr>
          <w:rFonts w:ascii="宋体" w:hAnsi="宋体" w:cs="宋体" w:eastAsia="宋体" w:hint="default"/>
          <w:sz w:val="13"/>
          <w:szCs w:val="13"/>
        </w:rPr>
      </w:pPr>
    </w:p>
    <w:p>
      <w:pPr>
        <w:pStyle w:val="BodyText"/>
        <w:spacing w:line="240" w:lineRule="auto"/>
        <w:ind w:right="87"/>
        <w:jc w:val="left"/>
      </w:pPr>
      <w:r>
        <w:rPr/>
        <w:t>注</w:t>
      </w:r>
      <w:r>
        <w:rPr>
          <w:spacing w:val="-36"/>
        </w:rPr>
        <w:t> </w:t>
      </w:r>
      <w:r>
        <w:rPr/>
        <w:t>3：因持有的联营企业股权比例被动稀释而产生的长期股权投资账面价值变动在不同准则下的差异</w:t>
      </w:r>
    </w:p>
    <w:p>
      <w:pPr>
        <w:spacing w:line="240" w:lineRule="auto" w:before="5"/>
        <w:rPr>
          <w:rFonts w:ascii="宋体" w:hAnsi="宋体" w:cs="宋体" w:eastAsia="宋体" w:hint="default"/>
          <w:sz w:val="16"/>
          <w:szCs w:val="16"/>
        </w:rPr>
      </w:pPr>
    </w:p>
    <w:p>
      <w:pPr>
        <w:pStyle w:val="BodyText"/>
        <w:spacing w:line="285" w:lineRule="auto"/>
        <w:ind w:left="964" w:right="185"/>
        <w:jc w:val="both"/>
      </w:pPr>
      <w:r>
        <w:rPr/>
        <w:t>于</w:t>
      </w:r>
      <w:r>
        <w:rPr>
          <w:spacing w:val="-32"/>
        </w:rPr>
        <w:t> </w:t>
      </w:r>
      <w:r>
        <w:rPr/>
        <w:t>2018</w:t>
      </w:r>
      <w:r>
        <w:rPr>
          <w:spacing w:val="-32"/>
        </w:rPr>
        <w:t> </w:t>
      </w:r>
      <w:r>
        <w:rPr/>
        <w:t>年，本集团持有的对中国铁塔等联营企业的投资，因被投资企业上市公开募股或其他投资者新增投资而</w:t>
      </w:r>
      <w:r>
        <w:rPr>
          <w:spacing w:val="-80"/>
        </w:rPr>
        <w:t> </w:t>
      </w:r>
      <w:r>
        <w:rPr>
          <w:spacing w:val="-80"/>
        </w:rPr>
      </w:r>
      <w:r>
        <w:rPr>
          <w:spacing w:val="2"/>
        </w:rPr>
        <w:t>导致长期股权投资的账面价值发生变动。在中国会计准则下，投资方对于被投资单位除净损益、其他综合收益</w:t>
      </w:r>
      <w:r>
        <w:rPr>
          <w:spacing w:val="-52"/>
        </w:rPr>
        <w:t> </w:t>
      </w:r>
      <w:r>
        <w:rPr>
          <w:spacing w:val="-52"/>
        </w:rPr>
      </w:r>
      <w:r>
        <w:rPr/>
        <w:t>和利润分配以外所有者权益的其他变动，应当调整长期股权投资的账面价值并计入所有者权益。而在国际</w:t>
      </w:r>
      <w:r>
        <w:rPr>
          <w:spacing w:val="-60"/>
        </w:rPr>
        <w:t> </w:t>
      </w:r>
      <w:r>
        <w:rPr>
          <w:w w:val="95"/>
        </w:rPr>
        <w:t>/</w:t>
      </w:r>
      <w:r>
        <w:rPr>
          <w:spacing w:val="-55"/>
          <w:w w:val="95"/>
        </w:rPr>
        <w:t> </w:t>
      </w:r>
      <w:r>
        <w:rPr/>
        <w:t>香港</w:t>
      </w:r>
      <w:r>
        <w:rPr/>
        <w:t> </w:t>
      </w:r>
      <w:r>
        <w:rPr>
          <w:spacing w:val="2"/>
        </w:rPr>
        <w:t>财务报告准则下，上述被动稀释产生的对联营企业长期股权投资账面价值的变动应当确认为投资收益，计入当</w:t>
      </w:r>
      <w:r>
        <w:rPr>
          <w:spacing w:val="-49"/>
        </w:rPr>
        <w:t> </w:t>
      </w:r>
      <w:r>
        <w:rPr>
          <w:spacing w:val="-49"/>
        </w:rPr>
      </w:r>
      <w:r>
        <w:rPr/>
        <w:t>期损益。</w:t>
      </w:r>
    </w:p>
    <w:p>
      <w:pPr>
        <w:spacing w:after="0" w:line="285" w:lineRule="auto"/>
        <w:jc w:val="both"/>
        <w:sectPr>
          <w:headerReference w:type="default" r:id="rId378"/>
          <w:pgSz w:w="11910" w:h="16160"/>
          <w:pgMar w:header="0" w:footer="298" w:top="1520" w:bottom="480" w:left="1360" w:right="600"/>
        </w:sect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3"/>
          <w:szCs w:val="23"/>
        </w:rPr>
      </w:pPr>
    </w:p>
    <w:p>
      <w:pPr>
        <w:pStyle w:val="BodyText"/>
        <w:spacing w:line="240" w:lineRule="auto" w:before="26"/>
        <w:ind w:left="113" w:right="87"/>
        <w:jc w:val="left"/>
        <w:rPr>
          <w:rFonts w:ascii="宋体" w:hAnsi="宋体" w:cs="宋体" w:eastAsia="宋体" w:hint="default"/>
        </w:rPr>
      </w:pPr>
      <w:r>
        <w:rPr>
          <w:rFonts w:ascii="宋体" w:hAnsi="宋体" w:cs="宋体" w:eastAsia="宋体" w:hint="default"/>
          <w:color w:val="9F8958"/>
          <w:w w:val="105"/>
        </w:rPr>
        <w:t>二、截至</w:t>
      </w:r>
      <w:r>
        <w:rPr>
          <w:rFonts w:ascii="宋体" w:hAnsi="宋体" w:cs="宋体" w:eastAsia="宋体" w:hint="default"/>
          <w:color w:val="9F8958"/>
          <w:spacing w:val="-69"/>
          <w:w w:val="105"/>
        </w:rPr>
        <w:t> </w:t>
      </w:r>
      <w:r>
        <w:rPr>
          <w:rFonts w:ascii="宋体" w:hAnsi="宋体" w:cs="宋体" w:eastAsia="宋体" w:hint="default"/>
          <w:color w:val="9F8958"/>
          <w:w w:val="105"/>
        </w:rPr>
        <w:t>2018</w:t>
      </w:r>
      <w:r>
        <w:rPr>
          <w:rFonts w:ascii="宋体" w:hAnsi="宋体" w:cs="宋体" w:eastAsia="宋体" w:hint="default"/>
          <w:color w:val="9F8958"/>
          <w:spacing w:val="-69"/>
          <w:w w:val="105"/>
        </w:rPr>
        <w:t> </w:t>
      </w:r>
      <w:r>
        <w:rPr>
          <w:rFonts w:ascii="宋体" w:hAnsi="宋体" w:cs="宋体" w:eastAsia="宋体" w:hint="default"/>
          <w:color w:val="9F8958"/>
          <w:w w:val="105"/>
        </w:rPr>
        <w:t>年</w:t>
      </w:r>
      <w:r>
        <w:rPr>
          <w:rFonts w:ascii="宋体" w:hAnsi="宋体" w:cs="宋体" w:eastAsia="宋体" w:hint="default"/>
          <w:color w:val="9F8958"/>
          <w:spacing w:val="-69"/>
          <w:w w:val="105"/>
        </w:rPr>
        <w:t> </w:t>
      </w:r>
      <w:r>
        <w:rPr>
          <w:rFonts w:ascii="宋体" w:hAnsi="宋体" w:cs="宋体" w:eastAsia="宋体" w:hint="default"/>
          <w:color w:val="9F8958"/>
          <w:w w:val="105"/>
        </w:rPr>
        <w:t>12</w:t>
      </w:r>
      <w:r>
        <w:rPr>
          <w:rFonts w:ascii="宋体" w:hAnsi="宋体" w:cs="宋体" w:eastAsia="宋体" w:hint="default"/>
          <w:color w:val="9F8958"/>
          <w:spacing w:val="-69"/>
          <w:w w:val="105"/>
        </w:rPr>
        <w:t> </w:t>
      </w:r>
      <w:r>
        <w:rPr>
          <w:rFonts w:ascii="宋体" w:hAnsi="宋体" w:cs="宋体" w:eastAsia="宋体" w:hint="default"/>
          <w:color w:val="9F8958"/>
          <w:w w:val="105"/>
        </w:rPr>
        <w:t>月</w:t>
      </w:r>
      <w:r>
        <w:rPr>
          <w:rFonts w:ascii="宋体" w:hAnsi="宋体" w:cs="宋体" w:eastAsia="宋体" w:hint="default"/>
          <w:color w:val="9F8958"/>
          <w:spacing w:val="-69"/>
          <w:w w:val="105"/>
        </w:rPr>
        <w:t> </w:t>
      </w:r>
      <w:r>
        <w:rPr>
          <w:rFonts w:ascii="宋体" w:hAnsi="宋体" w:cs="宋体" w:eastAsia="宋体" w:hint="default"/>
          <w:color w:val="9F8958"/>
          <w:w w:val="105"/>
        </w:rPr>
        <w:t>31</w:t>
      </w:r>
      <w:r>
        <w:rPr>
          <w:rFonts w:ascii="宋体" w:hAnsi="宋体" w:cs="宋体" w:eastAsia="宋体" w:hint="default"/>
          <w:color w:val="9F8958"/>
          <w:spacing w:val="-69"/>
          <w:w w:val="105"/>
        </w:rPr>
        <w:t> </w:t>
      </w:r>
      <w:r>
        <w:rPr>
          <w:rFonts w:ascii="宋体" w:hAnsi="宋体" w:cs="宋体" w:eastAsia="宋体" w:hint="default"/>
          <w:color w:val="9F8958"/>
          <w:w w:val="105"/>
        </w:rPr>
        <w:t>日已颁布但尚未生效的准则修订及可能的影响</w:t>
      </w:r>
      <w:r>
        <w:rPr>
          <w:rFonts w:ascii="宋体" w:hAnsi="宋体" w:cs="宋体" w:eastAsia="宋体" w:hint="default"/>
          <w:w w:val="105"/>
        </w:rPr>
      </w:r>
    </w:p>
    <w:p>
      <w:pPr>
        <w:spacing w:line="240" w:lineRule="auto" w:before="12"/>
        <w:rPr>
          <w:rFonts w:ascii="宋体" w:hAnsi="宋体" w:cs="宋体" w:eastAsia="宋体" w:hint="default"/>
          <w:sz w:val="17"/>
          <w:szCs w:val="17"/>
        </w:rPr>
      </w:pPr>
    </w:p>
    <w:p>
      <w:pPr>
        <w:pStyle w:val="BodyText"/>
        <w:spacing w:line="240" w:lineRule="auto"/>
        <w:ind w:left="453" w:right="0"/>
        <w:jc w:val="both"/>
      </w:pPr>
      <w:r>
        <w:rPr>
          <w:spacing w:val="4"/>
        </w:rPr>
        <w:t>截至本财务报表报出日，财政部已颁布《企业会计准则第 </w:t>
      </w:r>
      <w:r>
        <w:rPr/>
        <w:t>21</w:t>
      </w:r>
      <w:r>
        <w:rPr>
          <w:spacing w:val="-62"/>
        </w:rPr>
        <w:t> </w:t>
      </w:r>
      <w:r>
        <w:rPr>
          <w:spacing w:val="3"/>
        </w:rPr>
        <w:t>号——租赁（修订）》（以下简称“新租赁准则”），</w:t>
      </w:r>
    </w:p>
    <w:p>
      <w:pPr>
        <w:pStyle w:val="BodyText"/>
        <w:spacing w:line="240" w:lineRule="auto" w:before="44"/>
        <w:ind w:left="453" w:right="0"/>
        <w:jc w:val="both"/>
      </w:pPr>
      <w:r>
        <w:rPr/>
        <w:t>修订的新租赁准则在截至</w:t>
      </w:r>
      <w:r>
        <w:rPr>
          <w:spacing w:val="-32"/>
        </w:rPr>
        <w:t> </w:t>
      </w:r>
      <w:r>
        <w:rPr/>
        <w:t>2018</w:t>
      </w:r>
      <w:r>
        <w:rPr>
          <w:spacing w:val="-32"/>
        </w:rPr>
        <w:t> </w:t>
      </w:r>
      <w:r>
        <w:rPr/>
        <w:t>年</w:t>
      </w:r>
      <w:r>
        <w:rPr>
          <w:spacing w:val="-32"/>
        </w:rPr>
        <w:t> </w:t>
      </w:r>
      <w:r>
        <w:rPr/>
        <w:t>12</w:t>
      </w:r>
      <w:r>
        <w:rPr>
          <w:spacing w:val="-32"/>
        </w:rPr>
        <w:t> </w:t>
      </w:r>
      <w:r>
        <w:rPr/>
        <w:t>月</w:t>
      </w:r>
      <w:r>
        <w:rPr>
          <w:spacing w:val="-32"/>
        </w:rPr>
        <w:t> </w:t>
      </w:r>
      <w:r>
        <w:rPr/>
        <w:t>31</w:t>
      </w:r>
      <w:r>
        <w:rPr>
          <w:spacing w:val="-32"/>
        </w:rPr>
        <w:t> </w:t>
      </w:r>
      <w:r>
        <w:rPr/>
        <w:t>日止年度尚未生效，亦未在本财务报表提早采用。本集团计划于</w:t>
      </w:r>
      <w:r>
        <w:rPr>
          <w:spacing w:val="-32"/>
        </w:rPr>
        <w:t> </w:t>
      </w:r>
      <w:r>
        <w:rPr/>
        <w:t>2019</w:t>
      </w:r>
      <w:r>
        <w:rPr>
          <w:spacing w:val="-32"/>
        </w:rPr>
        <w:t> </w:t>
      </w:r>
      <w:r>
        <w:rPr/>
        <w:t>年</w:t>
      </w:r>
      <w:r>
        <w:rPr>
          <w:spacing w:val="-32"/>
        </w:rPr>
        <w:t> </w:t>
      </w:r>
      <w:r>
        <w:rPr/>
        <w:t>1</w:t>
      </w:r>
    </w:p>
    <w:p>
      <w:pPr>
        <w:pStyle w:val="BodyText"/>
        <w:spacing w:line="240" w:lineRule="auto" w:before="44"/>
        <w:ind w:left="453" w:right="0"/>
        <w:jc w:val="both"/>
      </w:pPr>
      <w:r>
        <w:rPr/>
        <w:t>月</w:t>
      </w:r>
      <w:r>
        <w:rPr>
          <w:spacing w:val="-40"/>
        </w:rPr>
        <w:t> </w:t>
      </w:r>
      <w:r>
        <w:rPr/>
        <w:t>1</w:t>
      </w:r>
      <w:r>
        <w:rPr>
          <w:spacing w:val="-42"/>
        </w:rPr>
        <w:t> </w:t>
      </w:r>
      <w:r>
        <w:rPr/>
        <w:t>日执行新租赁准则。</w:t>
      </w:r>
    </w:p>
    <w:p>
      <w:pPr>
        <w:spacing w:line="240" w:lineRule="auto" w:before="5"/>
        <w:rPr>
          <w:rFonts w:ascii="宋体" w:hAnsi="宋体" w:cs="宋体" w:eastAsia="宋体" w:hint="default"/>
          <w:sz w:val="16"/>
          <w:szCs w:val="16"/>
        </w:rPr>
      </w:pPr>
    </w:p>
    <w:p>
      <w:pPr>
        <w:pStyle w:val="BodyText"/>
        <w:spacing w:line="285" w:lineRule="auto"/>
        <w:ind w:left="453" w:right="186"/>
        <w:jc w:val="both"/>
      </w:pPr>
      <w:r>
        <w:rPr/>
        <w:t>本集团正在评估相关准则修订对首次采用期间预期产生的影响，并在下文提供了关于新租赁准则的信息，该准则可能</w:t>
      </w:r>
      <w:r>
        <w:rPr>
          <w:spacing w:val="7"/>
        </w:rPr>
        <w:t> </w:t>
      </w:r>
      <w:r>
        <w:rPr>
          <w:spacing w:val="7"/>
        </w:rPr>
      </w:r>
      <w:r>
        <w:rPr/>
        <w:t>对本集团的合并财务报表产生重大影响。由于截至目前已完成的评估是根据本集团的现有资料开展，因此首次采用上</w:t>
      </w:r>
      <w:r>
        <w:rPr>
          <w:spacing w:val="7"/>
        </w:rPr>
        <w:t> </w:t>
      </w:r>
      <w:r>
        <w:rPr>
          <w:spacing w:val="7"/>
        </w:rPr>
      </w:r>
      <w:r>
        <w:rPr/>
        <w:t>述准则修订的实际影响可能会有所不同。在本集团出具截至</w:t>
      </w:r>
      <w:r>
        <w:rPr>
          <w:spacing w:val="-29"/>
        </w:rPr>
        <w:t> </w:t>
      </w:r>
      <w:r>
        <w:rPr/>
        <w:t>2019</w:t>
      </w:r>
      <w:r>
        <w:rPr>
          <w:spacing w:val="-29"/>
        </w:rPr>
        <w:t> </w:t>
      </w:r>
      <w:r>
        <w:rPr/>
        <w:t>年</w:t>
      </w:r>
      <w:r>
        <w:rPr>
          <w:spacing w:val="-29"/>
        </w:rPr>
        <w:t> </w:t>
      </w:r>
      <w:r>
        <w:rPr/>
        <w:t>6</w:t>
      </w:r>
      <w:r>
        <w:rPr>
          <w:spacing w:val="-29"/>
        </w:rPr>
        <w:t> </w:t>
      </w:r>
      <w:r>
        <w:rPr/>
        <w:t>月</w:t>
      </w:r>
      <w:r>
        <w:rPr>
          <w:spacing w:val="-29"/>
        </w:rPr>
        <w:t> </w:t>
      </w:r>
      <w:r>
        <w:rPr/>
        <w:t>30</w:t>
      </w:r>
      <w:r>
        <w:rPr>
          <w:spacing w:val="-29"/>
        </w:rPr>
        <w:t> </w:t>
      </w:r>
      <w:r>
        <w:rPr/>
        <w:t>日止六个月的中期财务报告前，可能会识</w:t>
      </w:r>
      <w:r>
        <w:rPr>
          <w:spacing w:val="-81"/>
        </w:rPr>
        <w:t> </w:t>
      </w:r>
      <w:r>
        <w:rPr>
          <w:spacing w:val="-81"/>
        </w:rPr>
      </w:r>
      <w:r>
        <w:rPr/>
        <w:t>别出进一步的影响，亦可能会变更其会计政策的选择，直至首次采用上述准则修订。有关预期影响的讨论详见下文。</w:t>
      </w:r>
    </w:p>
    <w:p>
      <w:pPr>
        <w:spacing w:line="240" w:lineRule="auto" w:before="10"/>
        <w:rPr>
          <w:rFonts w:ascii="宋体" w:hAnsi="宋体" w:cs="宋体" w:eastAsia="宋体" w:hint="default"/>
          <w:sz w:val="13"/>
          <w:szCs w:val="13"/>
        </w:rPr>
      </w:pPr>
    </w:p>
    <w:p>
      <w:pPr>
        <w:pStyle w:val="BodyText"/>
        <w:spacing w:line="240" w:lineRule="auto"/>
        <w:ind w:left="113" w:right="87"/>
        <w:jc w:val="left"/>
      </w:pPr>
      <w:r>
        <w:rPr/>
        <w:t>(a)</w:t>
      </w:r>
      <w:r>
        <w:rPr>
          <w:spacing w:val="-21"/>
        </w:rPr>
        <w:t> </w:t>
      </w:r>
      <w:r>
        <w:rPr/>
        <w:t>新租赁准则</w:t>
      </w:r>
    </w:p>
    <w:p>
      <w:pPr>
        <w:spacing w:line="240" w:lineRule="auto" w:before="12"/>
        <w:rPr>
          <w:rFonts w:ascii="宋体" w:hAnsi="宋体" w:cs="宋体" w:eastAsia="宋体" w:hint="default"/>
          <w:sz w:val="17"/>
          <w:szCs w:val="17"/>
        </w:rPr>
      </w:pPr>
    </w:p>
    <w:p>
      <w:pPr>
        <w:pStyle w:val="BodyText"/>
        <w:spacing w:line="285" w:lineRule="auto"/>
        <w:ind w:left="453" w:right="101"/>
        <w:jc w:val="both"/>
      </w:pPr>
      <w:r>
        <w:rPr>
          <w:spacing w:val="-3"/>
        </w:rPr>
        <w:t>目前，本集团将租赁分为融资租赁和经营租赁，并根据租赁分类作出不同的会计处理。本集团在某些租赁中作为出租人，</w:t>
      </w:r>
      <w:r>
        <w:rPr>
          <w:spacing w:val="-84"/>
        </w:rPr>
        <w:t> </w:t>
      </w:r>
      <w:r>
        <w:rPr>
          <w:spacing w:val="-84"/>
        </w:rPr>
      </w:r>
      <w:r>
        <w:rPr/>
        <w:t>在其他租赁中作为承租人。</w:t>
      </w:r>
    </w:p>
    <w:p>
      <w:pPr>
        <w:spacing w:line="240" w:lineRule="auto" w:before="10"/>
        <w:rPr>
          <w:rFonts w:ascii="宋体" w:hAnsi="宋体" w:cs="宋体" w:eastAsia="宋体" w:hint="default"/>
          <w:sz w:val="13"/>
          <w:szCs w:val="13"/>
        </w:rPr>
      </w:pPr>
    </w:p>
    <w:p>
      <w:pPr>
        <w:pStyle w:val="BodyText"/>
        <w:spacing w:line="285" w:lineRule="auto"/>
        <w:ind w:left="453" w:right="186"/>
        <w:jc w:val="both"/>
      </w:pPr>
      <w:r>
        <w:rPr/>
        <w:t>本集团经评估后认为，对于本集团作为出租人的租赁，新租赁准则预计不会对本集团在租赁中权利和义务的会计处理</w:t>
      </w:r>
      <w:r>
        <w:rPr>
          <w:spacing w:val="7"/>
        </w:rPr>
        <w:t> </w:t>
      </w:r>
      <w:r>
        <w:rPr>
          <w:spacing w:val="7"/>
        </w:rPr>
      </w:r>
      <w:r>
        <w:rPr/>
        <w:t>造成重大影响。但是，对于本集团作为承租人的租赁，一旦采用新租赁准则，则不再区分融资租赁和经营租赁。本集</w:t>
      </w:r>
      <w:r>
        <w:rPr>
          <w:spacing w:val="1"/>
        </w:rPr>
        <w:t> </w:t>
      </w:r>
      <w:r>
        <w:rPr>
          <w:spacing w:val="1"/>
        </w:rPr>
      </w:r>
      <w:r>
        <w:rPr/>
        <w:t>团将按照与当前承租人融资租赁会计相类似的方式对所有租赁进行会计处理，即：在租赁期开始日，根据本集团所选</w:t>
      </w:r>
      <w:r>
        <w:rPr>
          <w:spacing w:val="5"/>
        </w:rPr>
        <w:t> </w:t>
      </w:r>
      <w:r>
        <w:rPr>
          <w:spacing w:val="5"/>
        </w:rPr>
      </w:r>
      <w:r>
        <w:rPr/>
        <w:t>用的简化处理方法，按照尚未支付的租赁付款额的现值确认和计量一项租赁负债，并确认相应的使用权资产。对相关</w:t>
      </w:r>
      <w:r>
        <w:rPr>
          <w:spacing w:val="5"/>
        </w:rPr>
        <w:t> </w:t>
      </w:r>
      <w:r>
        <w:rPr>
          <w:spacing w:val="5"/>
        </w:rPr>
      </w:r>
      <w:r>
        <w:rPr/>
        <w:t>资产和负债进行初始确认后，本集团将确认租赁负债未偿还余额所产生的利息费用以及使用权资产的折旧费用，而不</w:t>
      </w:r>
      <w:r>
        <w:rPr>
          <w:spacing w:val="7"/>
        </w:rPr>
        <w:t> </w:t>
      </w:r>
      <w:r>
        <w:rPr>
          <w:spacing w:val="7"/>
        </w:rPr>
      </w:r>
      <w:r>
        <w:rPr/>
        <w:t>是按照目前的会计政策，在租赁期内按照系统合理的方法确认经营租赁所产生的租赁费用。作为一种简化处理方法，</w:t>
      </w:r>
      <w:r>
        <w:rPr>
          <w:spacing w:val="3"/>
        </w:rPr>
        <w:t> </w:t>
      </w:r>
      <w:r>
        <w:rPr>
          <w:spacing w:val="3"/>
        </w:rPr>
      </w:r>
      <w:r>
        <w:rPr/>
        <w:t>本集团可以选择不将上述会计处理模式应用于短期租赁（即在租赁期开始日，租赁期不超过</w:t>
      </w:r>
      <w:r>
        <w:rPr>
          <w:spacing w:val="-38"/>
        </w:rPr>
        <w:t> </w:t>
      </w:r>
      <w:r>
        <w:rPr/>
        <w:t>12</w:t>
      </w:r>
      <w:r>
        <w:rPr>
          <w:spacing w:val="-38"/>
        </w:rPr>
        <w:t> </w:t>
      </w:r>
      <w:r>
        <w:rPr/>
        <w:t>个月的租赁）和低价值</w:t>
      </w:r>
      <w:r>
        <w:rPr>
          <w:spacing w:val="-87"/>
        </w:rPr>
        <w:t> </w:t>
      </w:r>
      <w:r>
        <w:rPr>
          <w:spacing w:val="-87"/>
        </w:rPr>
      </w:r>
      <w:r>
        <w:rPr/>
        <w:t>资产租赁；在这种情况下，租赁费用将继续在租赁期内按照系统合理的方法予以确认。</w:t>
      </w:r>
    </w:p>
    <w:p>
      <w:pPr>
        <w:spacing w:line="240" w:lineRule="auto" w:before="10"/>
        <w:rPr>
          <w:rFonts w:ascii="宋体" w:hAnsi="宋体" w:cs="宋体" w:eastAsia="宋体" w:hint="default"/>
          <w:sz w:val="13"/>
          <w:szCs w:val="13"/>
        </w:rPr>
      </w:pPr>
    </w:p>
    <w:p>
      <w:pPr>
        <w:pStyle w:val="BodyText"/>
        <w:spacing w:line="285" w:lineRule="auto"/>
        <w:ind w:left="453" w:right="101"/>
        <w:jc w:val="both"/>
      </w:pPr>
      <w:r>
        <w:rPr/>
        <w:t>新租赁准则将主要影响本集团对于当前被分类为经营租赁且本集团作为承租人的租赁相关的会计处理。新的会计处理</w:t>
      </w:r>
      <w:r>
        <w:rPr>
          <w:spacing w:val="9"/>
        </w:rPr>
        <w:t> </w:t>
      </w:r>
      <w:r>
        <w:rPr>
          <w:spacing w:val="9"/>
        </w:rPr>
      </w:r>
      <w:r>
        <w:rPr/>
        <w:t>模式预计会使本集团的资产和负债同时增加，并影响租赁期内费用在利润表中的确认时点。</w:t>
      </w:r>
    </w:p>
    <w:p>
      <w:pPr>
        <w:spacing w:line="240" w:lineRule="auto" w:before="10"/>
        <w:rPr>
          <w:rFonts w:ascii="宋体" w:hAnsi="宋体" w:cs="宋体" w:eastAsia="宋体" w:hint="default"/>
          <w:sz w:val="13"/>
          <w:szCs w:val="13"/>
        </w:rPr>
      </w:pPr>
    </w:p>
    <w:p>
      <w:pPr>
        <w:pStyle w:val="BodyText"/>
        <w:spacing w:line="285" w:lineRule="auto"/>
        <w:ind w:left="453" w:right="101"/>
        <w:jc w:val="both"/>
      </w:pPr>
      <w:r>
        <w:rPr>
          <w:spacing w:val="-3"/>
        </w:rPr>
        <w:t>本集团计划采用新租赁准则允许的简化处理方法，沿用之前就现有合同安排是否为租赁或者包含租赁所作的评估。因此，</w:t>
      </w:r>
      <w:r>
        <w:rPr>
          <w:spacing w:val="-85"/>
        </w:rPr>
        <w:t> </w:t>
      </w:r>
      <w:r>
        <w:rPr>
          <w:spacing w:val="-85"/>
        </w:rPr>
      </w:r>
      <w:r>
        <w:rPr>
          <w:spacing w:val="-3"/>
        </w:rPr>
        <w:t>本集团将仅对首次执行日及之后日期签订的合同应用新租赁准则中新的租赁定义。此外，本集团计划选用简化处理方法，</w:t>
      </w:r>
      <w:r>
        <w:rPr>
          <w:spacing w:val="-85"/>
        </w:rPr>
        <w:t> </w:t>
      </w:r>
      <w:r>
        <w:rPr>
          <w:spacing w:val="-85"/>
        </w:rPr>
      </w:r>
      <w:r>
        <w:rPr/>
        <w:t>不对短期租赁和低价值资产租赁采用新的会计处理模式。</w:t>
      </w:r>
    </w:p>
    <w:p>
      <w:pPr>
        <w:spacing w:line="240" w:lineRule="auto" w:before="10"/>
        <w:rPr>
          <w:rFonts w:ascii="宋体" w:hAnsi="宋体" w:cs="宋体" w:eastAsia="宋体" w:hint="default"/>
          <w:sz w:val="13"/>
          <w:szCs w:val="13"/>
        </w:rPr>
      </w:pPr>
    </w:p>
    <w:p>
      <w:pPr>
        <w:pStyle w:val="BodyText"/>
        <w:spacing w:line="285" w:lineRule="auto"/>
        <w:ind w:left="453" w:right="186"/>
        <w:jc w:val="both"/>
      </w:pPr>
      <w:r>
        <w:rPr/>
        <w:t>本集团计划根据首次执行新租赁准则的累积影响数，调整首次执行新租赁准则当年年初留存收益及财务报表其他相关</w:t>
      </w:r>
      <w:r>
        <w:rPr>
          <w:spacing w:val="9"/>
        </w:rPr>
        <w:t> </w:t>
      </w:r>
      <w:r>
        <w:rPr>
          <w:spacing w:val="9"/>
        </w:rPr>
      </w:r>
      <w:r>
        <w:rPr>
          <w:spacing w:val="2"/>
          <w:w w:val="97"/>
        </w:rPr>
        <w:t>项目金额，对可比期间信息不予调整。如附注十一（1）(b)</w:t>
      </w:r>
      <w:r>
        <w:rPr>
          <w:spacing w:val="-31"/>
          <w:w w:val="97"/>
        </w:rPr>
        <w:t> </w:t>
      </w:r>
      <w:r>
        <w:rPr>
          <w:spacing w:val="2"/>
        </w:rPr>
        <w:t>所述，截至</w:t>
      </w:r>
      <w:r>
        <w:rPr>
          <w:spacing w:val="-33"/>
        </w:rPr>
        <w:t> </w:t>
      </w:r>
      <w:r>
        <w:rPr>
          <w:spacing w:val="-1"/>
          <w:w w:val="111"/>
        </w:rPr>
        <w:t>2018</w:t>
      </w:r>
      <w:r>
        <w:rPr>
          <w:spacing w:val="-43"/>
          <w:w w:val="111"/>
        </w:rPr>
        <w:t> </w:t>
      </w:r>
      <w:r>
        <w:rPr/>
        <w:t>年</w:t>
      </w:r>
      <w:r>
        <w:rPr>
          <w:spacing w:val="-33"/>
        </w:rPr>
        <w:t> </w:t>
      </w:r>
      <w:r>
        <w:rPr>
          <w:spacing w:val="-1"/>
          <w:w w:val="111"/>
        </w:rPr>
        <w:t>12</w:t>
      </w:r>
      <w:r>
        <w:rPr>
          <w:spacing w:val="-43"/>
          <w:w w:val="111"/>
        </w:rPr>
        <w:t> </w:t>
      </w:r>
      <w:r>
        <w:rPr/>
        <w:t>月</w:t>
      </w:r>
      <w:r>
        <w:rPr>
          <w:spacing w:val="-33"/>
        </w:rPr>
        <w:t> </w:t>
      </w:r>
      <w:r>
        <w:rPr>
          <w:spacing w:val="-1"/>
          <w:w w:val="111"/>
        </w:rPr>
        <w:t>31</w:t>
      </w:r>
      <w:r>
        <w:rPr>
          <w:spacing w:val="-43"/>
          <w:w w:val="111"/>
        </w:rPr>
        <w:t> </w:t>
      </w:r>
      <w:r>
        <w:rPr>
          <w:spacing w:val="3"/>
        </w:rPr>
        <w:t>日，本集团未来最低应支付</w:t>
      </w:r>
      <w:r>
        <w:rPr/>
      </w:r>
    </w:p>
    <w:p>
      <w:pPr>
        <w:pStyle w:val="BodyText"/>
        <w:spacing w:line="240" w:lineRule="auto" w:before="10"/>
        <w:ind w:left="453" w:right="0"/>
        <w:jc w:val="both"/>
      </w:pPr>
      <w:r>
        <w:rPr/>
        <w:t>租金及其他承诺付款金额为人民币</w:t>
      </w:r>
      <w:r>
        <w:rPr>
          <w:spacing w:val="-45"/>
        </w:rPr>
        <w:t> </w:t>
      </w:r>
      <w:r>
        <w:rPr>
          <w:spacing w:val="-1"/>
          <w:w w:val="111"/>
        </w:rPr>
        <w:t>547</w:t>
      </w:r>
      <w:r>
        <w:rPr>
          <w:w w:val="55"/>
        </w:rPr>
        <w:t>.</w:t>
      </w:r>
      <w:r>
        <w:rPr>
          <w:spacing w:val="-1"/>
          <w:w w:val="111"/>
        </w:rPr>
        <w:t>5</w:t>
      </w:r>
      <w:r>
        <w:rPr>
          <w:w w:val="111"/>
        </w:rPr>
        <w:t>1</w:t>
      </w:r>
      <w:r>
        <w:rPr>
          <w:spacing w:val="-45"/>
        </w:rPr>
        <w:t> </w:t>
      </w:r>
      <w:r>
        <w:rPr/>
        <w:t>亿元。自新租赁准则首次采用之日起，考虑折现因素的影响，本集团预计于</w:t>
      </w:r>
    </w:p>
    <w:p>
      <w:pPr>
        <w:pStyle w:val="BodyText"/>
        <w:spacing w:line="240" w:lineRule="auto" w:before="44"/>
        <w:ind w:left="453" w:right="0"/>
        <w:jc w:val="both"/>
      </w:pPr>
      <w:r>
        <w:rPr/>
        <w:t>2019</w:t>
      </w:r>
      <w:r>
        <w:rPr>
          <w:spacing w:val="-35"/>
        </w:rPr>
        <w:t> </w:t>
      </w:r>
      <w:r>
        <w:rPr/>
        <w:t>年</w:t>
      </w:r>
      <w:r>
        <w:rPr>
          <w:spacing w:val="-33"/>
        </w:rPr>
        <w:t> </w:t>
      </w:r>
      <w:r>
        <w:rPr/>
        <w:t>1</w:t>
      </w:r>
      <w:r>
        <w:rPr>
          <w:spacing w:val="-35"/>
        </w:rPr>
        <w:t> </w:t>
      </w:r>
      <w:r>
        <w:rPr/>
        <w:t>月</w:t>
      </w:r>
      <w:r>
        <w:rPr>
          <w:spacing w:val="-33"/>
        </w:rPr>
        <w:t> </w:t>
      </w:r>
      <w:r>
        <w:rPr/>
        <w:t>1</w:t>
      </w:r>
      <w:r>
        <w:rPr>
          <w:spacing w:val="-35"/>
        </w:rPr>
        <w:t> </w:t>
      </w:r>
      <w:r>
        <w:rPr/>
        <w:t>日将部分租赁承诺事项确认为租赁负债及相应的使用权资产。</w:t>
      </w:r>
    </w:p>
    <w:p>
      <w:pPr>
        <w:spacing w:after="0" w:line="240" w:lineRule="auto"/>
        <w:jc w:val="both"/>
        <w:sectPr>
          <w:headerReference w:type="even" r:id="rId379"/>
          <w:footerReference w:type="even" r:id="rId380"/>
          <w:footerReference w:type="default" r:id="rId381"/>
          <w:pgSz w:w="11910" w:h="16160"/>
          <w:pgMar w:header="1200" w:footer="321" w:top="2120" w:bottom="520" w:left="680" w:right="1280"/>
          <w:pgNumType w:start="214"/>
        </w:sectPr>
      </w:pPr>
    </w:p>
    <w:p>
      <w:pPr>
        <w:pStyle w:val="Heading3"/>
        <w:spacing w:line="487" w:lineRule="exact"/>
        <w:ind w:left="134" w:right="0"/>
        <w:jc w:val="left"/>
        <w:rPr>
          <w:rFonts w:ascii="宋体" w:hAnsi="宋体" w:cs="宋体" w:eastAsia="宋体" w:hint="default"/>
        </w:rPr>
      </w:pPr>
      <w:r>
        <w:rPr>
          <w:rFonts w:ascii="宋体" w:hAnsi="宋体" w:cs="宋体" w:eastAsia="宋体" w:hint="default"/>
          <w:color w:val="9F8958"/>
        </w:rPr>
        <w:t>备查文件目录</w:t>
      </w:r>
      <w:r>
        <w:rPr>
          <w:rFonts w:ascii="宋体" w:hAnsi="宋体" w:cs="宋体" w:eastAsia="宋体" w:hint="default"/>
        </w:rPr>
      </w:r>
    </w:p>
    <w:p>
      <w:pPr>
        <w:spacing w:before="103"/>
        <w:ind w:left="134" w:right="0" w:firstLine="0"/>
        <w:jc w:val="left"/>
        <w:rPr>
          <w:rFonts w:ascii="宋体" w:hAnsi="宋体" w:cs="宋体" w:eastAsia="宋体" w:hint="default"/>
          <w:sz w:val="16"/>
          <w:szCs w:val="16"/>
        </w:rPr>
      </w:pPr>
      <w:r>
        <w:rPr>
          <w:rFonts w:ascii="宋体" w:hAnsi="宋体" w:cs="宋体" w:eastAsia="宋体" w:hint="default"/>
          <w:sz w:val="16"/>
          <w:szCs w:val="16"/>
        </w:rPr>
        <w:t>（除特别注明外，金额单位为人民币元）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2"/>
          <w:szCs w:val="12"/>
        </w:rPr>
      </w:pPr>
    </w:p>
    <w:p>
      <w:pPr>
        <w:spacing w:line="40" w:lineRule="exact"/>
        <w:ind w:left="11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83.9pt;height:2pt;mso-position-horizontal-relative:char;mso-position-vertical-relative:line" coordorigin="0,0" coordsize="9678,40">
            <v:group style="position:absolute;left:20;top:20;width:2586;height:2" coordorigin="20,20" coordsize="2586,2">
              <v:shape style="position:absolute;left:20;top:20;width:2586;height:2" coordorigin="20,20" coordsize="2586,0" path="m20,20l2605,20e" filled="false" stroked="true" strokeweight="2pt" strokecolor="#9f8958">
                <v:path arrowok="t"/>
              </v:shape>
            </v:group>
            <v:group style="position:absolute;left:2605;top:20;width:7053;height:2" coordorigin="2605,20" coordsize="7053,2">
              <v:shape style="position:absolute;left:2605;top:20;width:7053;height:2" coordorigin="2605,20" coordsize="7053,0" path="m2605,20l9658,20e" filled="false" stroked="true" strokeweight="2pt" strokecolor="#9f8958">
                <v:path arrowok="t"/>
              </v:shape>
            </v:group>
          </v:group>
        </w:pict>
      </w:r>
      <w:r>
        <w:rPr>
          <w:rFonts w:ascii="宋体" w:hAnsi="宋体" w:cs="宋体" w:eastAsia="宋体" w:hint="default"/>
          <w:position w:val="0"/>
          <w:sz w:val="4"/>
          <w:szCs w:val="4"/>
        </w:rPr>
      </w:r>
    </w:p>
    <w:p>
      <w:pPr>
        <w:tabs>
          <w:tab w:pos="2832" w:val="left" w:leader="none"/>
        </w:tabs>
        <w:spacing w:line="314" w:lineRule="auto" w:before="92"/>
        <w:ind w:left="247" w:right="1472" w:firstLine="0"/>
        <w:jc w:val="left"/>
        <w:rPr>
          <w:rFonts w:ascii="宋体" w:hAnsi="宋体" w:cs="宋体" w:eastAsia="宋体" w:hint="default"/>
          <w:sz w:val="16"/>
          <w:szCs w:val="16"/>
        </w:rPr>
      </w:pPr>
      <w:r>
        <w:rPr>
          <w:rFonts w:ascii="宋体" w:hAnsi="宋体" w:cs="宋体" w:eastAsia="宋体" w:hint="default"/>
          <w:sz w:val="16"/>
          <w:szCs w:val="16"/>
        </w:rPr>
        <w:t>备查文件目录</w:t>
        <w:tab/>
        <w:t>载有法定代表人、主管会计工作负责人、会计机构负责人签名并盖章的会计报表 备查文件目录</w:t>
        <w:tab/>
        <w:t>载有会计师事务所盖章、注册会计师签名并盖章的审计报告原件</w:t>
      </w:r>
    </w:p>
    <w:p>
      <w:pPr>
        <w:tabs>
          <w:tab w:pos="2832" w:val="left" w:leader="none"/>
        </w:tabs>
        <w:spacing w:line="314" w:lineRule="auto" w:before="14"/>
        <w:ind w:left="247" w:right="1472" w:firstLine="0"/>
        <w:jc w:val="left"/>
        <w:rPr>
          <w:rFonts w:ascii="宋体" w:hAnsi="宋体" w:cs="宋体" w:eastAsia="宋体" w:hint="default"/>
          <w:sz w:val="16"/>
          <w:szCs w:val="16"/>
        </w:rPr>
      </w:pPr>
      <w:r>
        <w:rPr>
          <w:rFonts w:ascii="宋体" w:hAnsi="宋体" w:cs="宋体" w:eastAsia="宋体" w:hint="default"/>
          <w:sz w:val="16"/>
          <w:szCs w:val="16"/>
        </w:rPr>
        <w:t>备查文件目录</w:t>
        <w:tab/>
        <w:t>报告期内在中国证监会指定报纸上公开披露的所有公司文件的正本及公告的原稿 备查文件目录</w:t>
        <w:tab/>
        <w:t>联通红筹公司 2018</w:t>
      </w:r>
      <w:r>
        <w:rPr>
          <w:rFonts w:ascii="宋体" w:hAnsi="宋体" w:cs="宋体" w:eastAsia="宋体" w:hint="default"/>
          <w:spacing w:val="-46"/>
          <w:sz w:val="16"/>
          <w:szCs w:val="16"/>
        </w:rPr>
        <w:t> </w:t>
      </w:r>
      <w:r>
        <w:rPr>
          <w:rFonts w:ascii="宋体" w:hAnsi="宋体" w:cs="宋体" w:eastAsia="宋体" w:hint="default"/>
          <w:sz w:val="16"/>
          <w:szCs w:val="16"/>
        </w:rPr>
        <w:t>年度业绩公告</w:t>
      </w:r>
    </w:p>
    <w:p>
      <w:pPr>
        <w:spacing w:line="240" w:lineRule="auto" w:before="0"/>
        <w:rPr>
          <w:rFonts w:ascii="宋体" w:hAnsi="宋体" w:cs="宋体" w:eastAsia="宋体" w:hint="default"/>
          <w:sz w:val="7"/>
          <w:szCs w:val="7"/>
        </w:rPr>
      </w:pPr>
    </w:p>
    <w:p>
      <w:pPr>
        <w:spacing w:line="40" w:lineRule="exact"/>
        <w:ind w:left="114" w:right="0" w:firstLine="0"/>
        <w:rPr>
          <w:rFonts w:ascii="宋体" w:hAnsi="宋体" w:cs="宋体" w:eastAsia="宋体" w:hint="default"/>
          <w:sz w:val="4"/>
          <w:szCs w:val="4"/>
        </w:rPr>
      </w:pPr>
      <w:r>
        <w:rPr>
          <w:rFonts w:ascii="宋体" w:hAnsi="宋体" w:cs="宋体" w:eastAsia="宋体" w:hint="default"/>
          <w:position w:val="0"/>
          <w:sz w:val="4"/>
          <w:szCs w:val="4"/>
        </w:rPr>
        <w:pict>
          <v:group style="width:483.9pt;height:2pt;mso-position-horizontal-relative:char;mso-position-vertical-relative:line" coordorigin="0,0" coordsize="9678,40">
            <v:group style="position:absolute;left:20;top:20;width:2586;height:2" coordorigin="20,20" coordsize="2586,2">
              <v:shape style="position:absolute;left:20;top:20;width:2586;height:2" coordorigin="20,20" coordsize="2586,0" path="m20,20l2605,20e" filled="false" stroked="true" strokeweight="2pt" strokecolor="#9f8958">
                <v:path arrowok="t"/>
              </v:shape>
            </v:group>
            <v:group style="position:absolute;left:2605;top:20;width:7053;height:2" coordorigin="2605,20" coordsize="7053,2">
              <v:shape style="position:absolute;left:2605;top:20;width:7053;height:2" coordorigin="2605,20" coordsize="7053,0" path="m2605,20l9658,20e" filled="false" stroked="true" strokeweight="2pt" strokecolor="#9f8958">
                <v:path arrowok="t"/>
              </v:shape>
            </v:group>
          </v:group>
        </w:pict>
      </w:r>
      <w:r>
        <w:rPr>
          <w:rFonts w:ascii="宋体" w:hAnsi="宋体" w:cs="宋体" w:eastAsia="宋体" w:hint="default"/>
          <w:position w:val="0"/>
          <w:sz w:val="4"/>
          <w:szCs w:val="4"/>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5"/>
          <w:szCs w:val="15"/>
        </w:rPr>
      </w:pPr>
    </w:p>
    <w:p>
      <w:pPr>
        <w:pStyle w:val="BodyText"/>
        <w:spacing w:line="480" w:lineRule="auto"/>
        <w:ind w:left="6507" w:right="115" w:firstLine="2003"/>
        <w:jc w:val="left"/>
      </w:pPr>
      <w:r>
        <w:rPr/>
        <w:t>董事长：王晓初 </w:t>
      </w:r>
      <w:r>
        <w:rPr>
          <w:w w:val="105"/>
        </w:rPr>
        <w:t>董事会批准报送日期：2019</w:t>
      </w:r>
      <w:r>
        <w:rPr>
          <w:spacing w:val="-67"/>
          <w:w w:val="105"/>
        </w:rPr>
        <w:t> </w:t>
      </w:r>
      <w:r>
        <w:rPr>
          <w:w w:val="105"/>
        </w:rPr>
        <w:t>年</w:t>
      </w:r>
      <w:r>
        <w:rPr>
          <w:spacing w:val="-66"/>
          <w:w w:val="105"/>
        </w:rPr>
        <w:t> </w:t>
      </w:r>
      <w:r>
        <w:rPr>
          <w:w w:val="105"/>
        </w:rPr>
        <w:t>3</w:t>
      </w:r>
      <w:r>
        <w:rPr>
          <w:spacing w:val="-67"/>
          <w:w w:val="105"/>
        </w:rPr>
        <w:t> </w:t>
      </w:r>
      <w:r>
        <w:rPr>
          <w:w w:val="105"/>
        </w:rPr>
        <w:t>月</w:t>
      </w:r>
      <w:r>
        <w:rPr>
          <w:spacing w:val="-66"/>
          <w:w w:val="105"/>
        </w:rPr>
        <w:t> </w:t>
      </w:r>
      <w:r>
        <w:rPr>
          <w:w w:val="105"/>
        </w:rPr>
        <w:t>13</w:t>
      </w:r>
      <w:r>
        <w:rPr>
          <w:spacing w:val="-67"/>
          <w:w w:val="105"/>
        </w:rPr>
        <w:t> </w:t>
      </w:r>
      <w:r>
        <w:rPr>
          <w:w w:val="105"/>
        </w:rPr>
        <w:t>日</w:t>
      </w:r>
    </w:p>
    <w:sectPr>
      <w:headerReference w:type="default" r:id="rId382"/>
      <w:pgSz w:w="11910" w:h="16160"/>
      <w:pgMar w:header="0" w:footer="298" w:top="1100" w:bottom="480" w:left="1340" w:right="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华文细黑">
    <w:altName w:val="华文细黑"/>
    <w:charset w:val="86"/>
    <w:family w:val="auto"/>
    <w:pitch w:val="variable"/>
  </w:font>
  <w:font w:name="Georgia">
    <w:altName w:val="Georgia"/>
    <w:charset w:val="0"/>
    <w:family w:val="roman"/>
    <w:pitch w:val="variable"/>
  </w:font>
  <w:font w:name="Impact">
    <w:altName w:val="Impact"/>
    <w:charset w:val="0"/>
    <w:family w:val="swiss"/>
    <w:pitch w:val="variable"/>
  </w:font>
  <w:font w:name="Arial">
    <w:altName w:val="Arial"/>
    <w:charset w:val="0"/>
    <w:family w:val="swiss"/>
    <w:pitch w:val="variable"/>
  </w:font>
  <w:font w:name="Microsoft JhengHei">
    <w:altName w:val="Microsoft JhengHei"/>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50801pt;margin-top:780.845032pt;width:6.45pt;height:10pt;mso-position-horizontal-relative:page;mso-position-vertical-relative:page;z-index:-96889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4</w:t>
                </w:r>
                <w:r>
                  <w:rPr>
                    <w:rFonts w:ascii="Arial"/>
                    <w:sz w:val="16"/>
                  </w:rPr>
                </w:r>
              </w:p>
            </w:txbxContent>
          </v:textbox>
          <w10:wrap type="none"/>
        </v:shape>
      </w:pict>
    </w:r>
    <w:r>
      <w:rPr/>
      <w:pict>
        <v:shape style="position:absolute;margin-left:335.633698pt;margin-top:782.020996pt;width:49.2pt;height:10pt;mso-position-horizontal-relative:page;mso-position-vertical-relative:page;z-index:-96887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2"/>
                    <w:sz w:val="16"/>
                    <w:szCs w:val="16"/>
                  </w:rPr>
                  <w:t>董事长致辞</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884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0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246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123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244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241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0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224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129</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222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220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0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217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130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215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212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0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6208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131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205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203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0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200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132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98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196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0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188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133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186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184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0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181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134</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79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176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0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174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140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72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169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0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61672"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141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164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162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0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160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142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5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155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152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143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150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148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145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150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43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140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6138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151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136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133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131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152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28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126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124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153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121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119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1168"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160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14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112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6109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161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107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104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102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162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100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097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095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163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092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090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0832"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170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080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078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88171pt;margin-top:781.991394pt;width:12.9pt;height:10.050pt;mso-position-horizontal-relative:page;mso-position-vertical-relative:page;z-index:-96841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15</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839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105.85pt;height:10pt;mso-position-horizontal-relative:page;mso-position-vertical-relative:page;z-index:-96836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公司简介和主要财务指标</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6076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171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073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071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068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172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066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064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061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173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059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056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0328"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180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030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028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6025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181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023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020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018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182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016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013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011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183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008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006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5989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189</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987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984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5982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190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980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977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5968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191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965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963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5960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192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958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956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5953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193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951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948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5946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194</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944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941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5939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195</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936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934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5932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196</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929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927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5915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198</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912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910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5908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199</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905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903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59008"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200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898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896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5893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201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891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888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5886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202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884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881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829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17</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827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105.85pt;height:10pt;mso-position-horizontal-relative:page;mso-position-vertical-relative:page;z-index:-96824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公司简介和主要财务指标</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5879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203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876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874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5867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205</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864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862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5860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206</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85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855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5848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208</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845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843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5840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209</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838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836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58312"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210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5828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826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688171pt;margin-top:781.991394pt;width:14.5pt;height:10pt;mso-position-horizontal-relative:page;mso-position-vertical-relative:page;z-index:-95824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pacing w:val="-6"/>
                    <w:sz w:val="16"/>
                  </w:rPr>
                  <w:t>211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821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819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8001pt;margin-top:780.84729pt;width:17.350pt;height:10pt;mso-position-horizontal-relative:page;mso-position-vertical-relative:page;z-index:-95814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212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45.07370pt;margin-top:782.020996pt;width:39.8pt;height:10pt;mso-position-horizontal-relative:page;mso-position-vertical-relative:page;z-index:-95812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补充资料</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809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58072"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213</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5804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39.8pt;height:10pt;mso-position-horizontal-relative:page;mso-position-vertical-relative:page;z-index:-95802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补充资料</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8001pt;margin-top:780.84729pt;width:17.350pt;height:10pt;mso-position-horizontal-relative:page;mso-position-vertical-relative:page;z-index:-95797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214</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45.07370pt;margin-top:782.020996pt;width:39.8pt;height:10pt;mso-position-horizontal-relative:page;mso-position-vertical-relative:page;z-index:-95795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补充资料</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5792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5790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215</w:t>
                </w:r>
                <w:r>
                  <w:rPr>
                    <w:rFonts w:ascii="Arial"/>
                    <w:sz w:val="16"/>
                  </w:rPr>
                </w:r>
              </w:p>
            </w:txbxContent>
          </v:textbox>
          <w10:wrap type="none"/>
        </v:shape>
      </w:pict>
    </w:r>
    <w:r>
      <w:rPr/>
      <w:pict>
        <v:shape style="position:absolute;margin-left:73.408203pt;margin-top:782.499573pt;width:68.850pt;height:10pt;mso-position-horizontal-relative:page;mso-position-vertical-relative:page;z-index:-95788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5785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备查文件目录</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5.692078pt;margin-top:781.994934pt;width:10.9pt;height:10pt;mso-position-horizontal-relative:page;mso-position-vertical-relative:page;z-index:-96822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19</w:t>
                </w:r>
                <w:r>
                  <w:rPr>
                    <w:rFonts w:ascii="Arial"/>
                    <w:sz w:val="16"/>
                  </w:rPr>
                </w:r>
              </w:p>
            </w:txbxContent>
          </v:textbox>
          <w10:wrap type="none"/>
        </v:shape>
      </w:pict>
    </w:r>
    <w:r>
      <w:rPr/>
      <w:pict>
        <v:shape style="position:absolute;margin-left:73.412102pt;margin-top:782.503052pt;width:68.850pt;height:10pt;mso-position-horizontal-relative:page;mso-position-vertical-relative:page;z-index:-96820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81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公司业务概要</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5.692078pt;margin-top:781.994934pt;width:10.9pt;height:10pt;mso-position-horizontal-relative:page;mso-position-vertical-relative:page;z-index:-96810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21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808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805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公司业务概要</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0.13739pt;margin-top:781.997009pt;width:6.45pt;height:10pt;mso-position-horizontal-relative:page;mso-position-vertical-relative:page;z-index:-96882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5</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880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49.2pt;height:10pt;mso-position-horizontal-relative:page;mso-position-vertical-relative:page;z-index:-9687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2"/>
                    <w:sz w:val="16"/>
                    <w:szCs w:val="16"/>
                  </w:rPr>
                  <w:t>董事长致辞</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8001pt;margin-top:780.84729pt;width:6.45pt;height:10pt;mso-position-horizontal-relative:page;mso-position-vertical-relative:page;z-index:-968752"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6</w:t>
                </w:r>
                <w:r>
                  <w:rPr>
                    <w:rFonts w:ascii="Arial"/>
                    <w:sz w:val="16"/>
                  </w:rPr>
                </w:r>
              </w:p>
            </w:txbxContent>
          </v:textbox>
          <w10:wrap type="none"/>
        </v:shape>
      </w:pict>
    </w:r>
    <w:r>
      <w:rPr/>
      <w:pict>
        <v:shape style="position:absolute;margin-left:363.953705pt;margin-top:782.020996pt;width:20.9pt;height:10pt;mso-position-horizontal-relative:page;mso-position-vertical-relative:page;z-index:-96872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14"/>
                    <w:sz w:val="16"/>
                    <w:szCs w:val="16"/>
                  </w:rPr>
                  <w:t>释义</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870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721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41</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719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39.8pt;height:10pt;mso-position-horizontal-relative:page;mso-position-vertical-relative:page;z-index:-96716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重要事项</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50.141418pt;margin-top:781.994934pt;width:6.45pt;height:10pt;mso-position-horizontal-relative:page;mso-position-vertical-relative:page;z-index:-96868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7</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865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20.9pt;height:10pt;mso-position-horizontal-relative:page;mso-position-vertical-relative:page;z-index:-96863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14"/>
                    <w:sz w:val="16"/>
                    <w:szCs w:val="16"/>
                  </w:rPr>
                  <w:t>释义</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707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43</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704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39.8pt;height:10pt;mso-position-horizontal-relative:page;mso-position-vertical-relative:page;z-index:-96702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重要事项</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697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45</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695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39.8pt;height:10pt;mso-position-horizontal-relative:page;mso-position-vertical-relative:page;z-index:-96692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重要事项</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2.190033pt;margin-top:720.977539pt;width:187.6pt;height:86.9pt;mso-position-horizontal-relative:page;mso-position-vertical-relative:page;z-index:-966784" coordorigin="1644,14420" coordsize="3752,1738">
          <v:group style="position:absolute;left:1980;top:15263;width:3415;height:895" coordorigin="1980,15263" coordsize="3415,895">
            <v:shape style="position:absolute;left:1980;top:15263;width:3415;height:895" coordorigin="1980,15263" coordsize="3415,895" path="m5039,16157l1980,16157,2337,15263,5395,15263,5039,16157xe" filled="true" fillcolor="#8e9090" stroked="false">
              <v:path arrowok="t"/>
              <v:fill type="solid"/>
            </v:shape>
          </v:group>
          <v:group style="position:absolute;left:1644;top:14420;width:3752;height:1738" coordorigin="1644,14420" coordsize="3752,1738">
            <v:shape style="position:absolute;left:1644;top:14420;width:3752;height:1738" coordorigin="1644,14420" coordsize="3752,1738" path="m4702,16157l1644,16157,2337,14420,5395,14420,4702,16157xe" filled="true" fillcolor="#d7000f" stroked="false">
              <v:path arrowok="t"/>
              <v:fill type="solid"/>
            </v:shape>
          </v:group>
          <w10:wrap type="none"/>
        </v:group>
      </w:pict>
    </w:r>
    <w:r>
      <w:rPr/>
      <w:pict>
        <v:shape style="position:absolute;margin-left:39.748001pt;margin-top:780.84729pt;width:10.9pt;height:10pt;mso-position-horizontal-relative:page;mso-position-vertical-relative:page;z-index:-96676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48</w:t>
                </w:r>
                <w:r>
                  <w:rPr>
                    <w:rFonts w:ascii="Arial"/>
                    <w:sz w:val="16"/>
                  </w:rPr>
                </w:r>
              </w:p>
            </w:txbxContent>
          </v:textbox>
          <w10:wrap type="none"/>
        </v:shape>
      </w:pict>
    </w:r>
    <w:r>
      <w:rPr/>
      <w:pict>
        <v:shape style="position:absolute;margin-left:269.553711pt;margin-top:782.020996pt;width:115.3pt;height:10pt;mso-position-horizontal-relative:page;mso-position-vertical-relative:page;z-index:-96673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普通股股份变动及股东情况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671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5.692078pt;margin-top:781.994934pt;width:10.9pt;height:10pt;mso-position-horizontal-relative:page;mso-position-vertical-relative:page;z-index:-966688"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49</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666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9395pt;margin-top:782.727295pt;width:115.3pt;height:10pt;mso-position-horizontal-relative:page;mso-position-vertical-relative:page;z-index:-96664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普通股股份变动及股东情况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2.190033pt;margin-top:720.977539pt;width:187.6pt;height:86.9pt;mso-position-horizontal-relative:page;mso-position-vertical-relative:page;z-index:-966616" coordorigin="1644,14420" coordsize="3752,1738">
          <v:group style="position:absolute;left:1980;top:15263;width:3415;height:895" coordorigin="1980,15263" coordsize="3415,895">
            <v:shape style="position:absolute;left:1980;top:15263;width:3415;height:895" coordorigin="1980,15263" coordsize="3415,895" path="m5039,16157l1980,16157,2337,15263,5395,15263,5039,16157xe" filled="true" fillcolor="#8e9090" stroked="false">
              <v:path arrowok="t"/>
              <v:fill type="solid"/>
            </v:shape>
          </v:group>
          <v:group style="position:absolute;left:1644;top:14420;width:3752;height:1738" coordorigin="1644,14420" coordsize="3752,1738">
            <v:shape style="position:absolute;left:1644;top:14420;width:3752;height:1738" coordorigin="1644,14420" coordsize="3752,1738" path="m4702,16157l1644,16157,2337,14420,5395,14420,4702,16157xe" filled="true" fillcolor="#d7000f" stroked="false">
              <v:path arrowok="t"/>
              <v:fill type="solid"/>
            </v:shape>
          </v:group>
          <w10:wrap type="none"/>
        </v:group>
      </w:pict>
    </w:r>
    <w:r>
      <w:rPr/>
      <w:pict>
        <v:shape style="position:absolute;margin-left:39.748001pt;margin-top:780.84729pt;width:10.9pt;height:10pt;mso-position-horizontal-relative:page;mso-position-vertical-relative:page;z-index:-966592"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50</w:t>
                </w:r>
                <w:r>
                  <w:rPr>
                    <w:rFonts w:ascii="Arial"/>
                    <w:sz w:val="16"/>
                  </w:rPr>
                </w:r>
              </w:p>
            </w:txbxContent>
          </v:textbox>
          <w10:wrap type="none"/>
        </v:shape>
      </w:pict>
    </w:r>
    <w:r>
      <w:rPr/>
      <w:pict>
        <v:shape style="position:absolute;margin-left:269.553711pt;margin-top:782.020996pt;width:115.3pt;height:10pt;mso-position-horizontal-relative:page;mso-position-vertical-relative:page;z-index:-96656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普通股股份变动及股东情况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654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5.692078pt;margin-top:781.994934pt;width:10.9pt;height:10pt;mso-position-horizontal-relative:page;mso-position-vertical-relative:page;z-index:-96652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51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649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9395pt;margin-top:782.727295pt;width:115.3pt;height:10pt;mso-position-horizontal-relative:page;mso-position-vertical-relative:page;z-index:-96647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普通股股份变动及股东情况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2.190033pt;margin-top:720.977539pt;width:187.6pt;height:86.9pt;mso-position-horizontal-relative:page;mso-position-vertical-relative:page;z-index:-966424" coordorigin="1644,14420" coordsize="3752,1738">
          <v:group style="position:absolute;left:1980;top:15263;width:3415;height:895" coordorigin="1980,15263" coordsize="3415,895">
            <v:shape style="position:absolute;left:1980;top:15263;width:3415;height:895" coordorigin="1980,15263" coordsize="3415,895" path="m5039,16157l1980,16157,2337,15263,5395,15263,5039,16157xe" filled="true" fillcolor="#8e9090" stroked="false">
              <v:path arrowok="t"/>
              <v:fill type="solid"/>
            </v:shape>
          </v:group>
          <v:group style="position:absolute;left:1644;top:14420;width:3752;height:1738" coordorigin="1644,14420" coordsize="3752,1738">
            <v:shape style="position:absolute;left:1644;top:14420;width:3752;height:1738" coordorigin="1644,14420" coordsize="3752,1738" path="m4702,16157l1644,16157,2337,14420,5395,14420,4702,16157xe" filled="true" fillcolor="#d7000f" stroked="false">
              <v:path arrowok="t"/>
              <v:fill type="solid"/>
            </v:shape>
          </v:group>
          <w10:wrap type="none"/>
        </v:group>
      </w:pict>
    </w:r>
    <w:r>
      <w:rPr/>
      <w:pict>
        <v:shape style="position:absolute;margin-left:39.748001pt;margin-top:780.84729pt;width:10.9pt;height:10pt;mso-position-horizontal-relative:page;mso-position-vertical-relative:page;z-index:-96640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52</w:t>
                </w:r>
                <w:r>
                  <w:rPr>
                    <w:rFonts w:ascii="Arial"/>
                    <w:sz w:val="16"/>
                  </w:rPr>
                </w:r>
              </w:p>
            </w:txbxContent>
          </v:textbox>
          <w10:wrap type="none"/>
        </v:shape>
      </w:pict>
    </w:r>
    <w:r>
      <w:rPr/>
      <w:pict>
        <v:shape style="position:absolute;margin-left:269.553711pt;margin-top:782.020996pt;width:115.3pt;height:10pt;mso-position-horizontal-relative:page;mso-position-vertical-relative:page;z-index:-9663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普通股股份变动及股东情况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635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5.692078pt;margin-top:781.994934pt;width:10.9pt;height:10pt;mso-position-horizontal-relative:page;mso-position-vertical-relative:page;z-index:-966328"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53</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630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9395pt;margin-top:782.727295pt;width:115.3pt;height:10pt;mso-position-horizontal-relative:page;mso-position-vertical-relative:page;z-index:-96628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普通股股份变动及股东情况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00007pt;margin-top:627.43457pt;width:34.75pt;height:129.3pt;mso-position-horizontal-relative:page;mso-position-vertical-relative:page;z-index:-966160" coordorigin="0,12549" coordsize="695,2586">
          <v:group style="position:absolute;left:0;top:13393;width:695;height:1742" coordorigin="0,13393" coordsize="695,1742">
            <v:shape style="position:absolute;left:0;top:13393;width:695;height:1742" coordorigin="0,13393" coordsize="695,1742" path="m0,15134l0,13393,694,13393,0,15134xe" filled="true" fillcolor="#8e9090" stroked="false">
              <v:path arrowok="t"/>
              <v:fill type="solid"/>
            </v:shape>
          </v:group>
          <v:group style="position:absolute;left:0;top:12549;width:695;height:1742" coordorigin="0,12549" coordsize="695,1742">
            <v:shape style="position:absolute;left:0;top:12549;width:695;height:1742" coordorigin="0,12549" coordsize="695,1742" path="m0,14290l0,12549,694,12549,0,14290xe" filled="true" fillcolor="#d7000f" stroked="false">
              <v:path arrowok="t"/>
              <v:fill type="solid"/>
            </v:shape>
          </v:group>
          <w10:wrap type="none"/>
        </v:group>
      </w:pict>
    </w:r>
    <w:r>
      <w:rPr/>
      <w:pict>
        <v:shape style="position:absolute;margin-left:38.748001pt;margin-top:780.84729pt;width:12.9pt;height:10pt;mso-position-horizontal-relative:page;mso-position-vertical-relative:page;z-index:-96613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56</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222.353699pt;margin-top:782.020996pt;width:162.5pt;height:10pt;mso-position-horizontal-relative:page;mso-position-vertical-relative:page;z-index:-96611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608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606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57</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604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162.5pt;height:10pt;mso-position-horizontal-relative:page;mso-position-vertical-relative:page;z-index:-96601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5.377899pt;margin-top:751.334595pt;width:209pt;height:11pt;mso-position-horizontal-relative:page;mso-position-vertical-relative:page;z-index:-965992" type="#_x0000_t202" filled="false" stroked="false">
          <v:textbox inset="0,0,0,0">
            <w:txbxContent>
              <w:p>
                <w:pPr>
                  <w:pStyle w:val="BodyText"/>
                  <w:spacing w:line="187" w:lineRule="exact"/>
                  <w:ind w:left="20" w:right="0"/>
                  <w:jc w:val="left"/>
                  <w:rPr>
                    <w:rFonts w:ascii="宋体" w:hAnsi="宋体" w:cs="宋体" w:eastAsia="宋体" w:hint="default"/>
                  </w:rPr>
                </w:pPr>
                <w:r>
                  <w:rPr>
                    <w:rFonts w:ascii="宋体" w:hAnsi="宋体" w:cs="宋体" w:eastAsia="宋体" w:hint="default"/>
                  </w:rPr>
                  <w:t>俊先生长期在电信行业工作，具有丰富的管理经验。</w:t>
                </w:r>
              </w:p>
            </w:txbxContent>
          </v:textbox>
          <w10:wrap type="none"/>
        </v:shape>
      </w:pict>
    </w:r>
    <w:r>
      <w:rPr/>
      <w:pict>
        <v:shape style="position:absolute;margin-left:39.748001pt;margin-top:780.84729pt;width:10.9pt;height:10pt;mso-position-horizontal-relative:page;mso-position-vertical-relative:page;z-index:-965968"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60</w:t>
                </w:r>
                <w:r>
                  <w:rPr>
                    <w:rFonts w:ascii="Arial"/>
                    <w:sz w:val="16"/>
                  </w:rPr>
                </w:r>
              </w:p>
            </w:txbxContent>
          </v:textbox>
          <w10:wrap type="none"/>
        </v:shape>
      </w:pict>
    </w:r>
    <w:r>
      <w:rPr/>
      <w:pict>
        <v:shape style="position:absolute;margin-left:222.353699pt;margin-top:782.020996pt;width:162.5pt;height:10pt;mso-position-horizontal-relative:page;mso-position-vertical-relative:page;z-index:-96594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592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5.692078pt;margin-top:781.994934pt;width:10.9pt;height:10pt;mso-position-horizontal-relative:page;mso-position-vertical-relative:page;z-index:-96589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61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587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162.5pt;height:10pt;mso-position-horizontal-relative:page;mso-position-vertical-relative:page;z-index:-96584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5.377899pt;margin-top:740.669067pt;width:207pt;height:11pt;mso-position-horizontal-relative:page;mso-position-vertical-relative:page;z-index:-965728" type="#_x0000_t202" filled="false" stroked="false">
          <v:textbox inset="0,0,0,0">
            <w:txbxContent>
              <w:p>
                <w:pPr>
                  <w:pStyle w:val="BodyText"/>
                  <w:spacing w:line="187" w:lineRule="exact"/>
                  <w:ind w:left="20" w:right="0"/>
                  <w:jc w:val="left"/>
                  <w:rPr>
                    <w:rFonts w:ascii="宋体" w:hAnsi="宋体" w:cs="宋体" w:eastAsia="宋体" w:hint="default"/>
                  </w:rPr>
                </w:pPr>
                <w:r>
                  <w:rPr>
                    <w:rFonts w:ascii="宋体" w:hAnsi="宋体" w:cs="宋体" w:eastAsia="宋体" w:hint="default"/>
                  </w:rPr>
                  <w:t>独立董事，自</w:t>
                </w:r>
                <w:r>
                  <w:rPr>
                    <w:rFonts w:ascii="宋体" w:hAnsi="宋体" w:cs="宋体" w:eastAsia="宋体" w:hint="default"/>
                    <w:spacing w:val="-33"/>
                  </w:rPr>
                  <w:t> </w:t>
                </w:r>
                <w:r>
                  <w:rPr>
                    <w:rFonts w:ascii="宋体" w:hAnsi="宋体" w:cs="宋体" w:eastAsia="宋体" w:hint="default"/>
                  </w:rPr>
                  <w:t>2018</w:t>
                </w:r>
                <w:r>
                  <w:rPr>
                    <w:rFonts w:ascii="宋体" w:hAnsi="宋体" w:cs="宋体" w:eastAsia="宋体" w:hint="default"/>
                    <w:spacing w:val="-34"/>
                  </w:rPr>
                  <w:t> </w:t>
                </w:r>
                <w:r>
                  <w:rPr>
                    <w:rFonts w:ascii="宋体" w:hAnsi="宋体" w:cs="宋体" w:eastAsia="宋体" w:hint="default"/>
                  </w:rPr>
                  <w:t>年</w:t>
                </w:r>
                <w:r>
                  <w:rPr>
                    <w:rFonts w:ascii="宋体" w:hAnsi="宋体" w:cs="宋体" w:eastAsia="宋体" w:hint="default"/>
                    <w:spacing w:val="-33"/>
                  </w:rPr>
                  <w:t> </w:t>
                </w:r>
                <w:r>
                  <w:rPr>
                    <w:rFonts w:ascii="宋体" w:hAnsi="宋体" w:cs="宋体" w:eastAsia="宋体" w:hint="default"/>
                  </w:rPr>
                  <w:t>2</w:t>
                </w:r>
                <w:r>
                  <w:rPr>
                    <w:rFonts w:ascii="宋体" w:hAnsi="宋体" w:cs="宋体" w:eastAsia="宋体" w:hint="default"/>
                    <w:spacing w:val="-34"/>
                  </w:rPr>
                  <w:t> </w:t>
                </w:r>
                <w:r>
                  <w:rPr>
                    <w:rFonts w:ascii="宋体" w:hAnsi="宋体" w:cs="宋体" w:eastAsia="宋体" w:hint="default"/>
                  </w:rPr>
                  <w:t>月因公司董事会换届离任。</w:t>
                </w:r>
              </w:p>
            </w:txbxContent>
          </v:textbox>
          <w10:wrap type="none"/>
        </v:shape>
      </w:pict>
    </w:r>
    <w:r>
      <w:rPr/>
      <w:pict>
        <v:shape style="position:absolute;margin-left:38.748001pt;margin-top:780.84729pt;width:12.9pt;height:10pt;mso-position-horizontal-relative:page;mso-position-vertical-relative:page;z-index:-96570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62</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222.353699pt;margin-top:782.020996pt;width:162.5pt;height:10pt;mso-position-horizontal-relative:page;mso-position-vertical-relative:page;z-index:-96568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565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563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63</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560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162.5pt;height:10pt;mso-position-horizontal-relative:page;mso-position-vertical-relative:page;z-index:-96558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8001pt;margin-top:780.84729pt;width:12.9pt;height:10pt;mso-position-horizontal-relative:page;mso-position-vertical-relative:page;z-index:-96556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64</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222.353699pt;margin-top:782.020996pt;width:162.5pt;height:10pt;mso-position-horizontal-relative:page;mso-position-vertical-relative:page;z-index:-96553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551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548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65</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546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162.5pt;height:10pt;mso-position-horizontal-relative:page;mso-position-vertical-relative:page;z-index:-96544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00007pt;margin-top:627.43457pt;width:34.75pt;height:129.3pt;mso-position-horizontal-relative:page;mso-position-vertical-relative:page;z-index:-965104" coordorigin="0,12549" coordsize="695,2586">
          <v:group style="position:absolute;left:0;top:13393;width:695;height:1742" coordorigin="0,13393" coordsize="695,1742">
            <v:shape style="position:absolute;left:0;top:13393;width:695;height:1742" coordorigin="0,13393" coordsize="695,1742" path="m0,15134l0,13393,694,13393,0,15134xe" filled="true" fillcolor="#8e9090" stroked="false">
              <v:path arrowok="t"/>
              <v:fill type="solid"/>
            </v:shape>
          </v:group>
          <v:group style="position:absolute;left:0;top:12549;width:695;height:1742" coordorigin="0,12549" coordsize="695,1742">
            <v:shape style="position:absolute;left:0;top:12549;width:695;height:1742" coordorigin="0,12549" coordsize="695,1742" path="m0,14290l0,12549,694,12549,0,14290xe" filled="true" fillcolor="#d7000f" stroked="false">
              <v:path arrowok="t"/>
              <v:fill type="solid"/>
            </v:shape>
          </v:group>
          <w10:wrap type="none"/>
        </v:group>
      </w:pict>
    </w:r>
    <w:r>
      <w:rPr/>
      <w:pict>
        <v:shape style="position:absolute;margin-left:39.748001pt;margin-top:780.84729pt;width:10.9pt;height:10pt;mso-position-horizontal-relative:page;mso-position-vertical-relative:page;z-index:-96508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70</w:t>
                </w:r>
                <w:r>
                  <w:rPr>
                    <w:rFonts w:ascii="Arial"/>
                    <w:sz w:val="16"/>
                  </w:rPr>
                </w:r>
              </w:p>
            </w:txbxContent>
          </v:textbox>
          <w10:wrap type="none"/>
        </v:shape>
      </w:pict>
    </w:r>
    <w:r>
      <w:rPr/>
      <w:pict>
        <v:shape style="position:absolute;margin-left:222.353699pt;margin-top:782.020996pt;width:162.5pt;height:10pt;mso-position-horizontal-relative:page;mso-position-vertical-relative:page;z-index:-96505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503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5.692078pt;margin-top:781.994934pt;width:10.9pt;height:10pt;mso-position-horizontal-relative:page;mso-position-vertical-relative:page;z-index:-965008"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C8758"/>
                    <w:sz w:val="16"/>
                  </w:rPr>
                  <w:t>71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498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162.5pt;height:10pt;mso-position-horizontal-relative:page;mso-position-vertical-relative:page;z-index:-96496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6"/>
                    <w:sz w:val="16"/>
                    <w:szCs w:val="16"/>
                  </w:rPr>
                  <w:t>董事、监事、高级管理人员和员工情况</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181.241806pt;margin-top:722.834534pt;width:414.05pt;height:85.05pt;mso-position-horizontal-relative:page;mso-position-vertical-relative:page;z-index:-964864" coordorigin="3625,14457" coordsize="8281,1701">
          <v:shape style="position:absolute;left:3625;top:14457;width:8281;height:1701" coordorigin="3625,14457" coordsize="8281,1701" path="m11906,16157l3625,16157,4303,14457,11906,14457,11906,16157xe" filled="true" fillcolor="#d7000f" stroked="false">
            <v:path arrowok="t"/>
            <v:fill type="solid"/>
          </v:shape>
          <w10:wrap type="none"/>
        </v:group>
      </w:pict>
    </w:r>
    <w:r>
      <w:rPr/>
      <w:pict>
        <v:group style="position:absolute;margin-left:-.477999pt;margin-top:691.654907pt;width:119.55pt;height:9.4pt;mso-position-horizontal-relative:page;mso-position-vertical-relative:page;z-index:-964840" coordorigin="-10,13833" coordsize="2391,188">
          <v:shape style="position:absolute;left:2193;top:13833;width:188;height:188" type="#_x0000_t75" stroked="false">
            <v:imagedata r:id="rId1" o:title=""/>
          </v:shape>
          <v:group style="position:absolute;left:0;top:13927;width:2264;height:2" coordorigin="0,13927" coordsize="2264,2">
            <v:shape style="position:absolute;left:0;top:13927;width:2264;height:2" coordorigin="0,13927" coordsize="2264,0" path="m2264,13927l0,13927e" filled="false" stroked="true" strokeweight=".956pt" strokecolor="#9c8758">
              <v:path arrowok="t"/>
            </v:shape>
          </v:group>
          <w10:wrap type="none"/>
        </v:group>
      </w:pict>
    </w:r>
    <w:r>
      <w:rPr/>
      <w:pict>
        <v:group style="position:absolute;margin-left:-.477996pt;margin-top:668.97522pt;width:251.1pt;height:9.4pt;mso-position-horizontal-relative:page;mso-position-vertical-relative:page;z-index:-964816" coordorigin="-10,13380" coordsize="5022,188">
          <v:shape style="position:absolute;left:4824;top:13380;width:188;height:188" type="#_x0000_t75" stroked="false">
            <v:imagedata r:id="rId2" o:title=""/>
          </v:shape>
          <v:group style="position:absolute;left:0;top:13473;width:4895;height:2" coordorigin="0,13473" coordsize="4895,2">
            <v:shape style="position:absolute;left:0;top:13473;width:4895;height:2" coordorigin="0,13473" coordsize="4895,0" path="m4895,13473l0,13473e" filled="false" stroked="true" strokeweight=".956pt" strokecolor="#8e9090">
              <v:path arrowok="t"/>
            </v:shape>
          </v:group>
          <w10:wrap type="none"/>
        </v:group>
      </w:pict>
    </w:r>
    <w:r>
      <w:rPr/>
      <w:pict>
        <v:shape style="position:absolute;margin-left:38.748001pt;margin-top:780.84729pt;width:12.9pt;height:10pt;mso-position-horizontal-relative:page;mso-position-vertical-relative:page;z-index:-96479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74</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345.07370pt;margin-top:782.020996pt;width:39.8pt;height:10pt;mso-position-horizontal-relative:page;mso-position-vertical-relative:page;z-index:-96476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公司治理</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474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4"/>
                    <w:sz w:val="16"/>
                    <w:szCs w:val="16"/>
                  </w:rPr>
                  <w:t>中国联合网络通信股份有限公司</w:t>
                </w:r>
                <w:r>
                  <w:rPr>
                    <w:rFonts w:ascii="宋体" w:hAnsi="宋体" w:cs="宋体" w:eastAsia="宋体" w:hint="default"/>
                    <w:color w:val="9C8758"/>
                    <w:spacing w:val="-64"/>
                    <w:sz w:val="16"/>
                    <w:szCs w:val="16"/>
                  </w:rPr>
                  <w:t> </w:t>
                </w:r>
                <w:r>
                  <w:rPr>
                    <w:rFonts w:ascii="宋体" w:hAnsi="宋体" w:cs="宋体" w:eastAsia="宋体" w:hint="default"/>
                    <w:sz w:val="16"/>
                    <w:szCs w:val="16"/>
                  </w:rPr>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00002pt;margin-top:722.834534pt;width:504.6pt;height:85.05pt;mso-position-horizontal-relative:page;mso-position-vertical-relative:page;z-index:-964720" coordorigin="0,14457" coordsize="10092,1701">
          <v:group style="position:absolute;left:0;top:14457;width:9180;height:1701" coordorigin="0,14457" coordsize="9180,1701">
            <v:shape style="position:absolute;left:0;top:14457;width:9180;height:1701" coordorigin="0,14457" coordsize="9180,1701" path="m8502,16157l0,16157,0,14457,9180,14457,8502,16157xe" filled="true" fillcolor="#d7000f" stroked="false">
              <v:path arrowok="t"/>
              <v:fill type="solid"/>
            </v:shape>
            <v:shape style="position:absolute;left:9904;top:14797;width:188;height:188" type="#_x0000_t75" stroked="false">
              <v:imagedata r:id="rId1" o:title=""/>
            </v:shape>
          </v:group>
          <v:group style="position:absolute;left:7483;top:14891;width:2491;height:2" coordorigin="7483,14891" coordsize="2491,2">
            <v:shape style="position:absolute;left:7483;top:14891;width:2491;height:2" coordorigin="7483,14891" coordsize="2491,0" path="m9974,14891l7483,14891e" filled="false" stroked="true" strokeweight=".956pt" strokecolor="#d7000f">
              <v:path arrowok="t"/>
            </v:shape>
          </v:group>
          <w10:wrap type="none"/>
        </v:group>
      </w:pict>
    </w:r>
    <w:r>
      <w:rPr/>
      <w:pict>
        <v:shape style="position:absolute;margin-left:544.692078pt;margin-top:781.994934pt;width:12.9pt;height:10pt;mso-position-horizontal-relative:page;mso-position-vertical-relative:page;z-index:-96469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C8758"/>
                    <w:sz w:val="16"/>
                  </w:rPr>
                </w:r>
                <w:r>
                  <w:rPr/>
                  <w:fldChar w:fldCharType="begin"/>
                </w:r>
                <w:r>
                  <w:rPr>
                    <w:rFonts w:ascii="Arial"/>
                    <w:b/>
                    <w:color w:val="9C8758"/>
                    <w:sz w:val="16"/>
                  </w:rPr>
                  <w:instrText> PAGE </w:instrText>
                </w:r>
                <w:r>
                  <w:rPr/>
                  <w:fldChar w:fldCharType="separate"/>
                </w:r>
                <w:r>
                  <w:rPr/>
                  <w:t>75</w:t>
                </w:r>
                <w:r>
                  <w:rPr/>
                  <w:fldChar w:fldCharType="end"/>
                </w:r>
                <w:r>
                  <w:rPr>
                    <w:rFonts w:ascii="Arial"/>
                    <w:b/>
                    <w:color w:val="9C87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467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C8758"/>
                    <w:spacing w:val="18"/>
                    <w:w w:val="115"/>
                    <w:sz w:val="16"/>
                    <w:szCs w:val="16"/>
                  </w:rPr>
                  <w:t>2018</w:t>
                </w:r>
                <w:r>
                  <w:rPr>
                    <w:rFonts w:ascii="宋体" w:hAnsi="宋体" w:cs="宋体" w:eastAsia="宋体" w:hint="default"/>
                    <w:color w:val="9C8758"/>
                    <w:spacing w:val="-61"/>
                    <w:w w:val="115"/>
                    <w:sz w:val="16"/>
                    <w:szCs w:val="16"/>
                  </w:rPr>
                  <w:t> </w:t>
                </w:r>
                <w:r>
                  <w:rPr>
                    <w:rFonts w:ascii="宋体" w:hAnsi="宋体" w:cs="宋体" w:eastAsia="宋体" w:hint="default"/>
                    <w:color w:val="9C8758"/>
                    <w:spacing w:val="24"/>
                    <w:w w:val="115"/>
                    <w:sz w:val="16"/>
                    <w:szCs w:val="16"/>
                  </w:rPr>
                  <w:t>年度报告</w:t>
                </w:r>
                <w:r>
                  <w:rPr>
                    <w:rFonts w:ascii="宋体" w:hAnsi="宋体" w:cs="宋体" w:eastAsia="宋体" w:hint="default"/>
                    <w:color w:val="9C87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9395pt;margin-top:782.727295pt;width:39.8pt;height:10pt;mso-position-horizontal-relative:page;mso-position-vertical-relative:page;z-index:-96464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公司治理</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6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7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8001pt;margin-top:780.84729pt;width:12.9pt;height:10pt;mso-position-horizontal-relative:page;mso-position-vertical-relative:page;z-index:-96460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45.07370pt;margin-top:782.020996pt;width:39.8pt;height:10pt;mso-position-horizontal-relative:page;mso-position-vertical-relative:page;z-index:-9645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审计报告</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455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7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452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450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39.8pt;height:10pt;mso-position-horizontal-relative:page;mso-position-vertical-relative:page;z-index:-96448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审计报告</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7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8001pt;margin-top:780.84729pt;width:12.9pt;height:10pt;mso-position-horizontal-relative:page;mso-position-vertical-relative:page;z-index:-96443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84</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45.07370pt;margin-top:782.020996pt;width:39.8pt;height:10pt;mso-position-horizontal-relative:page;mso-position-vertical-relative:page;z-index:-96440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审计报告</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438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7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436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85</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433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39.8pt;height:10pt;mso-position-horizontal-relative:page;mso-position-vertical-relative:page;z-index:-96431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审计报告</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7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8001pt;margin-top:780.84729pt;width:12.9pt;height:10pt;mso-position-horizontal-relative:page;mso-position-vertical-relative:page;z-index:-96426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86</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45.07370pt;margin-top:782.020996pt;width:39.8pt;height:10pt;mso-position-horizontal-relative:page;mso-position-vertical-relative:page;z-index:-96424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1"/>
                    <w:sz w:val="16"/>
                    <w:szCs w:val="16"/>
                  </w:rPr>
                  <w:t>审计报告</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4216"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7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419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87</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4168"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68.1pt;height:10pt;mso-position-horizontal-relative:page;mso-position-vertical-relative:page;z-index:-96414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4"/>
                    <w:sz w:val="16"/>
                    <w:szCs w:val="16"/>
                  </w:rPr>
                  <w:t>合并资产负债表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7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8001pt;margin-top:780.84729pt;width:12.9pt;height:10pt;mso-position-horizontal-relative:page;mso-position-vertical-relative:page;z-index:-96412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88</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288.437012pt;margin-top:782.020813pt;width:96.4pt;height:10pt;mso-position-horizontal-relative:page;mso-position-vertical-relative:page;z-index:-96409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5"/>
                    <w:sz w:val="16"/>
                    <w:szCs w:val="16"/>
                  </w:rPr>
                  <w:t>合并资产负债表（续）</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407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7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92078pt;margin-top:781.994934pt;width:12.9pt;height:10pt;mso-position-horizontal-relative:page;mso-position-vertical-relative:page;z-index:-96404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89</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402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4802pt;margin-top:782.732788pt;width:68.1pt;height:10pt;mso-position-horizontal-relative:page;mso-position-vertical-relative:page;z-index:-96400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4"/>
                    <w:sz w:val="16"/>
                    <w:szCs w:val="16"/>
                  </w:rPr>
                  <w:t>公司资产负债表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7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8001pt;margin-top:780.84729pt;width:10.9pt;height:10pt;mso-position-horizontal-relative:page;mso-position-vertical-relative:page;z-index:-96397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90</w:t>
                </w:r>
                <w:r>
                  <w:rPr>
                    <w:rFonts w:ascii="Arial"/>
                    <w:sz w:val="16"/>
                  </w:rPr>
                </w:r>
              </w:p>
            </w:txbxContent>
          </v:textbox>
          <w10:wrap type="none"/>
        </v:shape>
      </w:pict>
    </w:r>
    <w:r>
      <w:rPr/>
      <w:pict>
        <v:shape style="position:absolute;margin-left:354.516998pt;margin-top:782.732788pt;width:30.35pt;height:10pt;mso-position-horizontal-relative:page;mso-position-vertical-relative:page;z-index:-96395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18"/>
                    <w:sz w:val="16"/>
                    <w:szCs w:val="16"/>
                  </w:rPr>
                  <w:t>利润表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392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53.484802pt;margin-top:782.020813pt;width:58.65pt;height:10pt;mso-position-horizontal-relative:page;mso-position-vertical-relative:page;z-index:-96390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利润表（续）</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545.692078pt;margin-top:781.994934pt;width:10.9pt;height:10pt;mso-position-horizontal-relative:page;mso-position-vertical-relative:page;z-index:-96388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91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385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p>
</w:ftr>
</file>

<file path=word/footer8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8001pt;margin-top:780.84729pt;width:10.9pt;height:10pt;mso-position-horizontal-relative:page;mso-position-vertical-relative:page;z-index:-963832"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92</w:t>
                </w:r>
                <w:r>
                  <w:rPr>
                    <w:rFonts w:ascii="Arial"/>
                    <w:sz w:val="16"/>
                  </w:rPr>
                </w:r>
              </w:p>
            </w:txbxContent>
          </v:textbox>
          <w10:wrap type="none"/>
        </v:shape>
      </w:pict>
    </w:r>
    <w:r>
      <w:rPr/>
      <w:pict>
        <v:shape style="position:absolute;margin-left:335.633698pt;margin-top:782.732788pt;width:49.2pt;height:10pt;mso-position-horizontal-relative:page;mso-position-vertical-relative:page;z-index:-96380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2"/>
                    <w:sz w:val="16"/>
                    <w:szCs w:val="16"/>
                  </w:rPr>
                  <w:t>现金流量表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378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8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8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8001pt;margin-top:780.84729pt;width:10.9pt;height:10pt;mso-position-horizontal-relative:page;mso-position-vertical-relative:page;z-index:-96376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94</w:t>
                </w:r>
                <w:r>
                  <w:rPr>
                    <w:rFonts w:ascii="Arial"/>
                    <w:sz w:val="16"/>
                  </w:rPr>
                </w:r>
              </w:p>
            </w:txbxContent>
          </v:textbox>
          <w10:wrap type="none"/>
        </v:shape>
      </w:pict>
    </w:r>
    <w:r>
      <w:rPr/>
      <w:pict>
        <v:shape style="position:absolute;margin-left:316.756989pt;margin-top:782.732788pt;width:68.1pt;height:10pt;mso-position-horizontal-relative:page;mso-position-vertical-relative:page;z-index:-96373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4"/>
                    <w:sz w:val="16"/>
                    <w:szCs w:val="16"/>
                  </w:rPr>
                  <w:t>股东权益变动表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371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8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88171pt;margin-top:781.991394pt;width:12.9pt;height:10pt;mso-position-horizontal-relative:page;mso-position-vertical-relative:page;z-index:-96368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95</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366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364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8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2.9pt;height:10pt;mso-position-horizontal-relative:page;mso-position-vertical-relative:page;z-index:-96359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96</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356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354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8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88171pt;margin-top:781.991394pt;width:12.9pt;height:10pt;mso-position-horizontal-relative:page;mso-position-vertical-relative:page;z-index:-96352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97</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349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347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8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2.9pt;height:10pt;mso-position-horizontal-relative:page;mso-position-vertical-relative:page;z-index:-96340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98</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33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335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8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4.688171pt;margin-top:781.991394pt;width:12.9pt;height:10pt;mso-position-horizontal-relative:page;mso-position-vertical-relative:page;z-index:-96332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99</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330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328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8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325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100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323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320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9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1.240173pt;margin-top:781.991394pt;width:15.35pt;height:10pt;mso-position-horizontal-relative:page;mso-position-vertical-relative:page;z-index:-963184"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101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316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313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9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311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102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308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306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9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3040"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103</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3016"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299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9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6.95pt;height:10pt;mso-position-horizontal-relative:page;mso-position-vertical-relative:page;z-index:-96296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110</w:t>
                </w:r>
                <w:r>
                  <w:rPr/>
                  <w:fldChar w:fldCharType="end"/>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2944"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2920"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9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2.128174pt;margin-top:781.991394pt;width:14.05pt;height:10pt;mso-position-horizontal-relative:page;mso-position-vertical-relative:page;z-index:-962896"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pacing w:val="-9"/>
                    <w:sz w:val="16"/>
                  </w:rPr>
                  <w:t>111</w:t>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2872"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284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9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688171pt;margin-top:781.991394pt;width:16.95pt;height:10pt;mso-position-horizontal-relative:page;mso-position-vertical-relative:page;z-index:-962824"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113</w:t>
                </w:r>
                <w:r>
                  <w:rPr/>
                  <w:fldChar w:fldCharType="end"/>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2800"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277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9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6.95pt;height:10pt;mso-position-horizontal-relative:page;mso-position-vertical-relative:page;z-index:-962752"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114</w:t>
                </w:r>
                <w:r>
                  <w:rPr/>
                  <w:fldChar w:fldCharType="end"/>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2728"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2704"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9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9.745701pt;margin-top:780.850708pt;width:15.35pt;height:10pt;mso-position-horizontal-relative:page;mso-position-vertical-relative:page;z-index:-962680" type="#_x0000_t202" filled="false" stroked="false">
          <v:textbox inset="0,0,0,0">
            <w:txbxContent>
              <w:p>
                <w:pPr>
                  <w:spacing w:line="184" w:lineRule="exact" w:before="0"/>
                  <w:ind w:left="20" w:right="0" w:firstLine="0"/>
                  <w:jc w:val="left"/>
                  <w:rPr>
                    <w:rFonts w:ascii="Arial" w:hAnsi="Arial" w:cs="Arial" w:eastAsia="Arial" w:hint="default"/>
                    <w:sz w:val="16"/>
                    <w:szCs w:val="16"/>
                  </w:rPr>
                </w:pPr>
                <w:r>
                  <w:rPr>
                    <w:rFonts w:ascii="Arial"/>
                    <w:b/>
                    <w:color w:val="9F8958"/>
                    <w:sz w:val="16"/>
                  </w:rPr>
                  <w:t>120</w:t>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2656"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2632"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footer9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40.240173pt;margin-top:781.991394pt;width:17.350pt;height:10pt;mso-position-horizontal-relative:page;mso-position-vertical-relative:page;z-index:-962608"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121</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73.409401pt;margin-top:782.505127pt;width:68.850pt;height:10pt;mso-position-horizontal-relative:page;mso-position-vertical-relative:page;z-index:-962584" type="#_x0000_t202" filled="false" stroked="false">
          <v:textbox inset="0,0,0,0">
            <w:txbxContent>
              <w:p>
                <w:pPr>
                  <w:spacing w:line="164"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8"/>
                    <w:w w:val="115"/>
                    <w:sz w:val="16"/>
                    <w:szCs w:val="16"/>
                  </w:rPr>
                  <w:t>2018</w:t>
                </w:r>
                <w:r>
                  <w:rPr>
                    <w:rFonts w:ascii="宋体" w:hAnsi="宋体" w:cs="宋体" w:eastAsia="宋体" w:hint="default"/>
                    <w:color w:val="9F8958"/>
                    <w:spacing w:val="-61"/>
                    <w:w w:val="115"/>
                    <w:sz w:val="16"/>
                    <w:szCs w:val="16"/>
                  </w:rPr>
                  <w:t> </w:t>
                </w:r>
                <w:r>
                  <w:rPr>
                    <w:rFonts w:ascii="宋体" w:hAnsi="宋体" w:cs="宋体" w:eastAsia="宋体" w:hint="default"/>
                    <w:color w:val="9F8958"/>
                    <w:spacing w:val="24"/>
                    <w:w w:val="115"/>
                    <w:sz w:val="16"/>
                    <w:szCs w:val="16"/>
                  </w:rPr>
                  <w:t>年度报告</w:t>
                </w:r>
                <w:r>
                  <w:rPr>
                    <w:rFonts w:ascii="宋体" w:hAnsi="宋体" w:cs="宋体" w:eastAsia="宋体" w:hint="default"/>
                    <w:color w:val="9F8958"/>
                    <w:spacing w:val="-48"/>
                    <w:w w:val="115"/>
                    <w:sz w:val="16"/>
                    <w:szCs w:val="16"/>
                  </w:rPr>
                  <w:t> </w:t>
                </w:r>
                <w:r>
                  <w:rPr>
                    <w:rFonts w:ascii="宋体" w:hAnsi="宋体" w:cs="宋体" w:eastAsia="宋体" w:hint="default"/>
                    <w:w w:val="115"/>
                    <w:sz w:val="16"/>
                    <w:szCs w:val="16"/>
                  </w:rPr>
                </w:r>
              </w:p>
            </w:txbxContent>
          </v:textbox>
          <w10:wrap type="none"/>
        </v:shape>
      </w:pict>
    </w:r>
    <w:r>
      <w:rPr/>
      <w:pict>
        <v:shape style="position:absolute;margin-left:153.488205pt;margin-top:782.729736pt;width:58.65pt;height:10pt;mso-position-horizontal-relative:page;mso-position-vertical-relative:page;z-index:-962560"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p>
</w:ftr>
</file>

<file path=word/footer9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745701pt;margin-top:780.850708pt;width:17.350pt;height:10pt;mso-position-horizontal-relative:page;mso-position-vertical-relative:page;z-index:-962536" type="#_x0000_t202" filled="false" stroked="false">
          <v:textbox inset="0,0,0,0">
            <w:txbxContent>
              <w:p>
                <w:pPr>
                  <w:spacing w:line="184" w:lineRule="exact" w:before="0"/>
                  <w:ind w:left="40" w:right="0" w:firstLine="0"/>
                  <w:jc w:val="left"/>
                  <w:rPr>
                    <w:rFonts w:ascii="Arial" w:hAnsi="Arial" w:cs="Arial" w:eastAsia="Arial" w:hint="default"/>
                    <w:sz w:val="16"/>
                    <w:szCs w:val="16"/>
                  </w:rPr>
                </w:pPr>
                <w:r>
                  <w:rPr>
                    <w:rFonts w:ascii="Arial"/>
                    <w:b/>
                    <w:color w:val="9F8958"/>
                    <w:sz w:val="16"/>
                  </w:rPr>
                </w:r>
                <w:r>
                  <w:rPr/>
                  <w:fldChar w:fldCharType="begin"/>
                </w:r>
                <w:r>
                  <w:rPr>
                    <w:rFonts w:ascii="Arial"/>
                    <w:b/>
                    <w:color w:val="9F8958"/>
                    <w:sz w:val="16"/>
                  </w:rPr>
                  <w:instrText> PAGE </w:instrText>
                </w:r>
                <w:r>
                  <w:rPr/>
                  <w:fldChar w:fldCharType="separate"/>
                </w:r>
                <w:r>
                  <w:rPr/>
                  <w:t>122</w:t>
                </w:r>
                <w:r>
                  <w:rPr/>
                  <w:fldChar w:fldCharType="end"/>
                </w:r>
                <w:r>
                  <w:rPr>
                    <w:rFonts w:ascii="Arial"/>
                    <w:b/>
                    <w:color w:val="9F8958"/>
                    <w:spacing w:val="-1"/>
                    <w:sz w:val="16"/>
                  </w:rPr>
                </w:r>
                <w:r>
                  <w:rPr>
                    <w:rFonts w:ascii="Arial"/>
                    <w:sz w:val="16"/>
                  </w:rPr>
                </w:r>
              </w:p>
            </w:txbxContent>
          </v:textbox>
          <w10:wrap type="none"/>
        </v:shape>
      </w:pict>
    </w:r>
    <w:r>
      <w:rPr/>
      <w:pict>
        <v:shape style="position:absolute;margin-left:326.193695pt;margin-top:782.020996pt;width:58.65pt;height:10pt;mso-position-horizontal-relative:page;mso-position-vertical-relative:page;z-index:-962512" type="#_x0000_t202" filled="false" stroked="false">
          <v:textbox inset="0,0,0,0">
            <w:txbxContent>
              <w:p>
                <w:pPr>
                  <w:spacing w:line="167" w:lineRule="exact" w:before="0"/>
                  <w:ind w:left="20" w:right="0" w:firstLine="0"/>
                  <w:jc w:val="left"/>
                  <w:rPr>
                    <w:rFonts w:ascii="宋体" w:hAnsi="宋体" w:cs="宋体" w:eastAsia="宋体" w:hint="default"/>
                    <w:sz w:val="16"/>
                    <w:szCs w:val="16"/>
                  </w:rPr>
                </w:pPr>
                <w:r>
                  <w:rPr>
                    <w:rFonts w:ascii="宋体" w:hAnsi="宋体" w:cs="宋体" w:eastAsia="宋体" w:hint="default"/>
                    <w:color w:val="595757"/>
                    <w:spacing w:val="23"/>
                    <w:sz w:val="16"/>
                    <w:szCs w:val="16"/>
                  </w:rPr>
                  <w:t>财务报表附注</w:t>
                </w:r>
                <w:r>
                  <w:rPr>
                    <w:rFonts w:ascii="宋体" w:hAnsi="宋体" w:cs="宋体" w:eastAsia="宋体" w:hint="default"/>
                    <w:color w:val="595757"/>
                    <w:spacing w:val="-52"/>
                    <w:sz w:val="16"/>
                    <w:szCs w:val="16"/>
                  </w:rPr>
                  <w:t> </w:t>
                </w:r>
                <w:r>
                  <w:rPr>
                    <w:rFonts w:ascii="宋体" w:hAnsi="宋体" w:cs="宋体" w:eastAsia="宋体" w:hint="default"/>
                    <w:sz w:val="16"/>
                    <w:szCs w:val="16"/>
                  </w:rPr>
                </w:r>
              </w:p>
            </w:txbxContent>
          </v:textbox>
          <w10:wrap type="none"/>
        </v:shape>
      </w:pict>
    </w:r>
    <w:r>
      <w:rPr/>
      <w:pict>
        <v:shape style="position:absolute;margin-left:398.174805pt;margin-top:782.458191pt;width:125.2pt;height:10pt;mso-position-horizontal-relative:page;mso-position-vertical-relative:page;z-index:-962488" type="#_x0000_t202" filled="false" stroked="false">
          <v:textbox inset="0,0,0,0">
            <w:txbxContent>
              <w:p>
                <w:pPr>
                  <w:spacing w:line="165" w:lineRule="exact" w:before="0"/>
                  <w:ind w:left="20" w:right="0" w:firstLine="0"/>
                  <w:jc w:val="left"/>
                  <w:rPr>
                    <w:rFonts w:ascii="宋体" w:hAnsi="宋体" w:cs="宋体" w:eastAsia="宋体" w:hint="default"/>
                    <w:sz w:val="16"/>
                    <w:szCs w:val="16"/>
                  </w:rPr>
                </w:pPr>
                <w:r>
                  <w:rPr>
                    <w:rFonts w:ascii="宋体" w:hAnsi="宋体" w:cs="宋体" w:eastAsia="宋体" w:hint="default"/>
                    <w:color w:val="9F8958"/>
                    <w:spacing w:val="14"/>
                    <w:sz w:val="16"/>
                    <w:szCs w:val="16"/>
                  </w:rPr>
                  <w:t>中国联合网络通信股份有限公司</w:t>
                </w:r>
                <w:r>
                  <w:rPr>
                    <w:rFonts w:ascii="宋体" w:hAnsi="宋体" w:cs="宋体" w:eastAsia="宋体" w:hint="default"/>
                    <w:color w:val="9F8958"/>
                    <w:spacing w:val="-64"/>
                    <w:sz w:val="16"/>
                    <w:szCs w:val="16"/>
                  </w:rPr>
                  <w:t> </w:t>
                </w:r>
                <w:r>
                  <w:rPr>
                    <w:rFonts w:ascii="宋体" w:hAnsi="宋体" w:cs="宋体" w:eastAsia="宋体" w:hint="default"/>
                    <w:sz w:val="16"/>
                    <w:szCs w:val="16"/>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00001pt;margin-top:-.750004pt;width:596.050pt;height:203.4pt;mso-position-horizontal-relative:page;mso-position-vertical-relative:page;z-index:-968608" coordorigin="0,-15" coordsize="11921,4068">
          <v:group style="position:absolute;left:0;top:2545;width:2660;height:1508" coordorigin="0,2545" coordsize="2660,1508">
            <v:shape style="position:absolute;left:0;top:2545;width:2660;height:1508" coordorigin="0,2545" coordsize="2660,1508" path="m2660,2545l0,2545,0,4052,2660,2545xe" filled="true" fillcolor="#9b8758" stroked="false">
              <v:path arrowok="t"/>
              <v:fill type="solid"/>
            </v:shape>
          </v:group>
          <v:group style="position:absolute;left:2675;top:2536;width:2;height:9" coordorigin="2675,2536" coordsize="2,9">
            <v:shape style="position:absolute;left:2675;top:2536;width:2;height:9" coordorigin="2675,2536" coordsize="1,9" path="m2675,2536l2675,2545e" filled="false" stroked="true" strokeweight="1.5pt" strokecolor="#8c8f90">
              <v:path arrowok="t"/>
            </v:shape>
          </v:group>
          <v:group style="position:absolute;left:2663;top:2543;width:3;height:2" coordorigin="2663,2543" coordsize="3,2">
            <v:shape style="position:absolute;left:2663;top:2543;width:3;height:2" coordorigin="2663,2543" coordsize="3,2" path="m2663,2543l2665,2545e" filled="false" stroked="true" strokeweight="1pt" strokecolor="#8c8f90">
              <v:path arrowok="t"/>
            </v:shape>
          </v:group>
          <v:group style="position:absolute;left:2665;top:2542;width:2;height:4" coordorigin="2665,2542" coordsize="2,4">
            <v:shape style="position:absolute;left:2665;top:2542;width:2;height:4" coordorigin="2665,2542" coordsize="1,4" path="m2665,2542l2665,2545e" filled="false" stroked="true" strokeweight=".5pt" strokecolor="#8c8f90">
              <v:path arrowok="t"/>
            </v:shape>
          </v:group>
          <v:group style="position:absolute;left:2660;top:2544;width:2;height:2" coordorigin="2660,2544" coordsize="2,2">
            <v:shape style="position:absolute;left:2660;top:2544;width:2;height:2" coordorigin="2660,2544" coordsize="1,1" path="m2661,2544l2660,2545e" filled="false" stroked="true" strokeweight="1pt" strokecolor="#9b8758">
              <v:path arrowok="t"/>
            </v:shape>
          </v:group>
          <v:group style="position:absolute;left:2673;top:2537;width:2;height:8" coordorigin="2673,2537" coordsize="2,8">
            <v:shape style="position:absolute;left:2673;top:2537;width:2;height:8" coordorigin="2673,2537" coordsize="1,8" path="m2674,2537l2673,2545e" filled="false" stroked="true" strokeweight="1.5pt" strokecolor="#8c8f90">
              <v:path arrowok="t"/>
            </v:shape>
          </v:group>
          <v:group style="position:absolute;left:2680;top:2533;width:2;height:12" coordorigin="2680,2533" coordsize="2,12">
            <v:shape style="position:absolute;left:2680;top:2533;width:2;height:12" coordorigin="2680,2533" coordsize="1,12" path="m2680,2533l2680,2545e" filled="false" stroked="true" strokeweight="1.5pt" strokecolor="#9b8758">
              <v:path arrowok="t"/>
            </v:shape>
          </v:group>
          <v:group style="position:absolute;left:2727;top:2507;width:24;height:39" coordorigin="2727,2507" coordsize="24,39">
            <v:shape style="position:absolute;left:2727;top:2507;width:24;height:39" coordorigin="2727,2507" coordsize="24,39" path="m2727,2507l2750,2545e" filled="false" stroked="true" strokeweight=".5pt" strokecolor="#8c8f90">
              <v:path arrowok="t"/>
            </v:shape>
          </v:group>
          <v:group style="position:absolute;left:2715;top:2514;width:13;height:32" coordorigin="2715,2514" coordsize="13,32">
            <v:shape style="position:absolute;left:2715;top:2514;width:13;height:32" coordorigin="2715,2514" coordsize="13,32" path="m2715,2514l2727,2545e" filled="false" stroked="true" strokeweight=".25pt" strokecolor="#9b8758">
              <v:path arrowok="t"/>
            </v:shape>
          </v:group>
          <v:group style="position:absolute;left:2726;top:2507;width:23;height:38" coordorigin="2726,2507" coordsize="23,38">
            <v:shape style="position:absolute;left:2726;top:2507;width:23;height:38" coordorigin="2726,2507" coordsize="23,38" path="m2726,2507l2748,2545e" filled="false" stroked="true" strokeweight="1.5pt" strokecolor="#9b8758">
              <v:path arrowok="t"/>
            </v:shape>
            <v:shape style="position:absolute;left:2753;top:2459;width:305;height:101" type="#_x0000_t75" stroked="false">
              <v:imagedata r:id="rId1" o:title=""/>
            </v:shape>
          </v:group>
          <v:group style="position:absolute;left:2905;top:2406;width:6350;height:139" coordorigin="2905,2406" coordsize="6350,139">
            <v:shape style="position:absolute;left:2905;top:2406;width:6350;height:139" coordorigin="2905,2406" coordsize="6350,139" path="m2905,2406l9254,2545e" filled="false" stroked="true" strokeweight=".5pt" strokecolor="#8c8f90">
              <v:path arrowok="t"/>
            </v:shape>
          </v:group>
          <v:group style="position:absolute;left:3491;top:0;width:4616;height:2074" coordorigin="3491,0" coordsize="4616,2074">
            <v:shape style="position:absolute;left:3491;top:0;width:4616;height:2074" coordorigin="3491,0" coordsize="4616,2074" path="m8107,0l3491,2074e" filled="false" stroked="true" strokeweight=".5pt" strokecolor="#9b8758">
              <v:path arrowok="t"/>
            </v:shape>
          </v:group>
          <v:group style="position:absolute;left:3347;top:0;width:5088;height:2156" coordorigin="3347,0" coordsize="5088,2156">
            <v:shape style="position:absolute;left:3347;top:0;width:5088;height:2156" coordorigin="3347,0" coordsize="5088,2156" path="m8434,0l3347,2155e" filled="false" stroked="true" strokeweight=".5pt" strokecolor="#8c8f90">
              <v:path arrowok="t"/>
            </v:shape>
          </v:group>
          <v:group style="position:absolute;left:2971;top:261;width:8935;height:2108" coordorigin="2971,261" coordsize="8935,2108">
            <v:shape style="position:absolute;left:2971;top:261;width:8935;height:2108" coordorigin="2971,261" coordsize="8935,2108" path="m11905,261l2971,2368e" filled="false" stroked="true" strokeweight=".25pt" strokecolor="#8c8f90">
              <v:path arrowok="t"/>
            </v:shape>
          </v:group>
          <v:group style="position:absolute;left:6356;top:0;width:833;height:451" coordorigin="6356,0" coordsize="833,451">
            <v:shape style="position:absolute;left:6356;top:0;width:833;height:451" coordorigin="6356,0" coordsize="833,451" path="m7188,0l6356,450e" filled="false" stroked="true" strokeweight="1pt" strokecolor="#8c8f90">
              <v:path arrowok="t"/>
            </v:shape>
          </v:group>
          <v:group style="position:absolute;left:3936;top:0;width:3711;height:1822" coordorigin="3936,0" coordsize="3711,1822">
            <v:shape style="position:absolute;left:3936;top:0;width:3711;height:1822" coordorigin="3936,0" coordsize="3711,1822" path="m7646,0l3936,1822e" filled="false" stroked="true" strokeweight="1.5pt" strokecolor="#8c8f90">
              <v:path arrowok="t"/>
            </v:shape>
          </v:group>
          <v:group style="position:absolute;left:6598;top:0;width:616;height:313" coordorigin="6598,0" coordsize="616,313">
            <v:shape style="position:absolute;left:6598;top:0;width:616;height:313" coordorigin="6598,0" coordsize="616,313" path="m7214,0l6598,313e" filled="false" stroked="true" strokeweight=".5pt" strokecolor="#9b8758">
              <v:path arrowok="t"/>
            </v:shape>
          </v:group>
          <v:group style="position:absolute;left:2864;top:2071;width:9042;height:359" coordorigin="2864,2071" coordsize="9042,359">
            <v:shape style="position:absolute;left:2864;top:2071;width:9042;height:359" coordorigin="2864,2071" coordsize="9042,359" path="m2864,2429l11906,2071e" filled="false" stroked="true" strokeweight="1.5pt" strokecolor="#8c8f90">
              <v:path arrowok="t"/>
            </v:shape>
          </v:group>
          <v:group style="position:absolute;left:2772;top:2481;width:124;height:64" coordorigin="2772,2481" coordsize="124,64">
            <v:shape style="position:absolute;left:2772;top:2481;width:124;height:64" coordorigin="2772,2481" coordsize="124,64" path="m2772,2481l2895,2545e" filled="false" stroked="true" strokeweight="1pt" strokecolor="#9b8758">
              <v:path arrowok="t"/>
            </v:shape>
          </v:group>
          <v:group style="position:absolute;left:2815;top:2457;width:559;height:89" coordorigin="2815,2457" coordsize="559,89">
            <v:shape style="position:absolute;left:2815;top:2457;width:559;height:89" coordorigin="2815,2457" coordsize="559,89" path="m2815,2457l3374,2545e" filled="false" stroked="true" strokeweight="1pt" strokecolor="#8c8f90">
              <v:path arrowok="t"/>
            </v:shape>
          </v:group>
          <v:group style="position:absolute;left:2799;top:2466;width:311;height:80" coordorigin="2799,2466" coordsize="311,80">
            <v:shape style="position:absolute;left:2799;top:2466;width:311;height:80" coordorigin="2799,2466" coordsize="311,80" path="m2799,2466l3110,2545e" filled="false" stroked="true" strokeweight="1.5pt" strokecolor="#8c8f90">
              <v:path arrowok="t"/>
            </v:shape>
          </v:group>
          <v:group style="position:absolute;left:2809;top:2460;width:442;height:85" coordorigin="2809,2460" coordsize="442,85">
            <v:shape style="position:absolute;left:2809;top:2460;width:442;height:85" coordorigin="2809,2460" coordsize="442,85" path="m2809,2460l3250,2545e" filled="false" stroked="true" strokeweight="1.5pt" strokecolor="#8c8f90">
              <v:path arrowok="t"/>
            </v:shape>
          </v:group>
          <v:group style="position:absolute;left:2978;top:189;width:8928;height:2176" coordorigin="2978,189" coordsize="8928,2176">
            <v:shape style="position:absolute;left:2978;top:189;width:8928;height:2176" coordorigin="2978,189" coordsize="8928,2176" path="m2978,2365l11906,189e" filled="false" stroked="true" strokeweight="1pt" strokecolor="#8c8f90">
              <v:path arrowok="t"/>
            </v:shape>
          </v:group>
          <v:group style="position:absolute;left:2905;top:1164;width:9001;height:1242" coordorigin="2905,1164" coordsize="9001,1242">
            <v:shape style="position:absolute;left:2905;top:1164;width:9001;height:1242" coordorigin="2905,1164" coordsize="9001,1242" path="m2905,2406l11906,1164e" filled="false" stroked="true" strokeweight="1.5pt" strokecolor="#8c8f90">
              <v:path arrowok="t"/>
            </v:shape>
          </v:group>
          <v:group style="position:absolute;left:2730;top:2505;width:86;height:40" coordorigin="2730,2505" coordsize="86,40">
            <v:shape style="position:absolute;left:2730;top:2505;width:86;height:40" coordorigin="2730,2505" coordsize="86,40" path="m2816,2545l2730,2505e" filled="false" stroked="true" strokeweight=".5pt" strokecolor="#9b8758">
              <v:path arrowok="t"/>
            </v:shape>
          </v:group>
          <v:group style="position:absolute;left:2783;top:2475;width:179;height:70" coordorigin="2783,2475" coordsize="179,70">
            <v:shape style="position:absolute;left:2783;top:2475;width:179;height:70" coordorigin="2783,2475" coordsize="179,70" path="m2961,2545l2783,2475e" filled="false" stroked="true" strokeweight=".5pt" strokecolor="#9b8758">
              <v:path arrowok="t"/>
            </v:shape>
          </v:group>
          <v:group style="position:absolute;left:2764;top:2486;width:97;height:60" coordorigin="2764,2486" coordsize="97,60">
            <v:shape style="position:absolute;left:2764;top:2486;width:97;height:60" coordorigin="2764,2486" coordsize="97,60" path="m2861,2545l2764,2486e" filled="false" stroked="true" strokeweight=".25pt" strokecolor="#8c8f90">
              <v:path arrowok="t"/>
            </v:shape>
          </v:group>
          <v:group style="position:absolute;left:2758;top:2489;width:78;height:56" coordorigin="2758,2489" coordsize="78,56">
            <v:shape style="position:absolute;left:2758;top:2489;width:78;height:56" coordorigin="2758,2489" coordsize="78,56" path="m2835,2545l2758,2489e" filled="false" stroked="true" strokeweight=".25pt" strokecolor="#8c8f90">
              <v:path arrowok="t"/>
            </v:shape>
          </v:group>
          <v:group style="position:absolute;left:2759;top:2489;width:81;height:57" coordorigin="2759,2489" coordsize="81,57">
            <v:shape style="position:absolute;left:2759;top:2489;width:81;height:57" coordorigin="2759,2489" coordsize="81,57" path="m2759,2489l2839,2545e" filled="false" stroked="true" strokeweight="1pt" strokecolor="#9b8758">
              <v:path arrowok="t"/>
            </v:shape>
          </v:group>
          <v:group style="position:absolute;left:2748;top:2494;width:56;height:51" coordorigin="2748,2494" coordsize="56,51">
            <v:shape style="position:absolute;left:2748;top:2494;width:56;height:51" coordorigin="2748,2494" coordsize="56,51" path="m2748,2494l2804,2545e" filled="false" stroked="true" strokeweight="1.5pt" strokecolor="#8c8f90">
              <v:path arrowok="t"/>
            </v:shape>
          </v:group>
          <v:group style="position:absolute;left:2716;top:2513;width:14;height:33" coordorigin="2716,2513" coordsize="14,33">
            <v:shape style="position:absolute;left:2716;top:2513;width:14;height:33" coordorigin="2716,2513" coordsize="14,33" path="m2716,2513l2730,2545e" filled="false" stroked="true" strokeweight="1.5pt" strokecolor="#9b8758">
              <v:path arrowok="t"/>
            </v:shape>
          </v:group>
          <v:group style="position:absolute;left:2728;top:2506;width:25;height:39" coordorigin="2728,2506" coordsize="25,39">
            <v:shape style="position:absolute;left:2728;top:2506;width:25;height:39" coordorigin="2728,2506" coordsize="25,39" path="m2728,2506l2753,2545e" filled="false" stroked="true" strokeweight="1pt" strokecolor="#9b8758">
              <v:path arrowok="t"/>
            </v:shape>
          </v:group>
          <v:group style="position:absolute;left:2721;top:2510;width:18;height:35" coordorigin="2721,2510" coordsize="18,35">
            <v:shape style="position:absolute;left:2721;top:2510;width:18;height:35" coordorigin="2721,2510" coordsize="18,35" path="m2721,2510l2738,2545e" filled="false" stroked="true" strokeweight="1.5pt" strokecolor="#8c8f90">
              <v:path arrowok="t"/>
            </v:shape>
          </v:group>
          <v:group style="position:absolute;left:2753;top:2492;width:66;height:53" coordorigin="2753,2492" coordsize="66,53">
            <v:shape style="position:absolute;left:2753;top:2492;width:66;height:53" coordorigin="2753,2492" coordsize="66,53" path="m2753,2492l2818,2545e" filled="false" stroked="true" strokeweight="1pt" strokecolor="#9b8758">
              <v:path arrowok="t"/>
            </v:shape>
          </v:group>
          <v:group style="position:absolute;left:2761;top:2487;width:88;height:58" coordorigin="2761,2487" coordsize="88,58">
            <v:shape style="position:absolute;left:2761;top:2487;width:88;height:58" coordorigin="2761,2487" coordsize="88,58" path="m2761,2487l2849,2545e" filled="false" stroked="true" strokeweight="1pt" strokecolor="#9b8758">
              <v:path arrowok="t"/>
            </v:shape>
          </v:group>
          <v:group style="position:absolute;left:2745;top:2497;width:49;height:49" coordorigin="2745,2497" coordsize="49,49">
            <v:shape style="position:absolute;left:2745;top:2497;width:49;height:49" coordorigin="2745,2497" coordsize="49,49" path="m2745,2497l2793,2545e" filled="false" stroked="true" strokeweight="1.5pt" strokecolor="#9b8758">
              <v:path arrowok="t"/>
            </v:shape>
          </v:group>
          <v:group style="position:absolute;left:2766;top:2485;width:102;height:61" coordorigin="2766,2485" coordsize="102,61">
            <v:shape style="position:absolute;left:2766;top:2485;width:102;height:61" coordorigin="2766,2485" coordsize="102,61" path="m2766,2485l2868,2545e" filled="false" stroked="true" strokeweight="1pt" strokecolor="#9b8758">
              <v:path arrowok="t"/>
            </v:shape>
          </v:group>
          <v:group style="position:absolute;left:2743;top:2498;width:46;height:48" coordorigin="2743,2498" coordsize="46,48">
            <v:shape style="position:absolute;left:2743;top:2498;width:46;height:48" coordorigin="2743,2498" coordsize="46,48" path="m2743,2498l2788,2545e" filled="false" stroked="true" strokeweight="1pt" strokecolor="#8c8f90">
              <v:path arrowok="t"/>
            </v:shape>
          </v:group>
          <v:group style="position:absolute;left:2747;top:2495;width:54;height:50" coordorigin="2747,2495" coordsize="54,50">
            <v:shape style="position:absolute;left:2747;top:2495;width:54;height:50" coordorigin="2747,2495" coordsize="54,50" path="m2747,2495l2801,2545e" filled="false" stroked="true" strokeweight="1pt" strokecolor="#8c8f90">
              <v:path arrowok="t"/>
            </v:shape>
          </v:group>
          <v:group style="position:absolute;left:2796;top:2468;width:275;height:78" coordorigin="2796,2468" coordsize="275,78">
            <v:shape style="position:absolute;left:2796;top:2468;width:275;height:78" coordorigin="2796,2468" coordsize="275,78" path="m2796,2468l3070,2545e" filled="false" stroked="true" strokeweight=".5pt" strokecolor="#9b8758">
              <v:path arrowok="t"/>
            </v:shape>
          </v:group>
          <v:group style="position:absolute;left:2756;top:2490;width:74;height:55" coordorigin="2756,2490" coordsize="74,55">
            <v:shape style="position:absolute;left:2756;top:2490;width:74;height:55" coordorigin="2756,2490" coordsize="74,55" path="m2756,2490l2830,2545e" filled="false" stroked="true" strokeweight="1.5pt" strokecolor="#9b8758">
              <v:path arrowok="t"/>
            </v:shape>
          </v:group>
          <v:group style="position:absolute;left:2678;top:2538;width:10;height:2" coordorigin="2678,2538" coordsize="10,2">
            <v:shape style="position:absolute;left:2678;top:2538;width:10;height:2" coordorigin="2678,2538" coordsize="10,0" path="m2678,2538l2688,2538e" filled="false" stroked="true" strokeweight=".669609pt" strokecolor="#9b8758">
              <v:path arrowok="t"/>
            </v:shape>
          </v:group>
          <v:group style="position:absolute;left:2666;top:2541;width:2;height:4" coordorigin="2666,2541" coordsize="2,4">
            <v:shape style="position:absolute;left:2666;top:2541;width:2;height:4" coordorigin="2666,2541" coordsize="1,4" path="m2666,2545l2667,2541e" filled="false" stroked="true" strokeweight=".25pt" strokecolor="#9b8758">
              <v:path arrowok="t"/>
            </v:shape>
          </v:group>
          <v:group style="position:absolute;left:2667;top:2540;width:2;height:5" coordorigin="2667,2540" coordsize="2,5">
            <v:shape style="position:absolute;left:2667;top:2540;width:2;height:5" coordorigin="2667,2540" coordsize="1,5" path="m2668,2540l2667,2545e" filled="false" stroked="true" strokeweight="1pt" strokecolor="#9b8758">
              <v:path arrowok="t"/>
            </v:shape>
          </v:group>
          <v:group style="position:absolute;left:2718;top:2512;width:15;height:33" coordorigin="2718,2512" coordsize="15,33">
            <v:shape style="position:absolute;left:2718;top:2512;width:15;height:33" coordorigin="2718,2512" coordsize="15,33" path="m2718,2512l2733,2545e" filled="false" stroked="true" strokeweight=".5pt" strokecolor="#8c8f90">
              <v:path arrowok="t"/>
            </v:shape>
          </v:group>
          <v:group style="position:absolute;left:2713;top:2514;width:12;height:31" coordorigin="2713,2514" coordsize="12,31">
            <v:shape style="position:absolute;left:2713;top:2514;width:12;height:31" coordorigin="2713,2514" coordsize="12,31" path="m2713,2514l2725,2545e" filled="false" stroked="true" strokeweight=".5pt" strokecolor="#9b8758">
              <v:path arrowok="t"/>
            </v:shape>
          </v:group>
          <v:group style="position:absolute;left:2739;top:2500;width:40;height:46" coordorigin="2739,2500" coordsize="40,46">
            <v:shape style="position:absolute;left:2739;top:2500;width:40;height:46" coordorigin="2739,2500" coordsize="40,46" path="m2739,2500l2779,2545e" filled="false" stroked="true" strokeweight=".25pt" strokecolor="#8c8f90">
              <v:path arrowok="t"/>
            </v:shape>
          </v:group>
          <v:group style="position:absolute;left:2699;top:2522;width:5;height:23" coordorigin="2699,2522" coordsize="5,23">
            <v:shape style="position:absolute;left:2699;top:2522;width:5;height:23" coordorigin="2699,2522" coordsize="5,23" path="m2699,2522l2704,2545e" filled="false" stroked="true" strokeweight="1.0pt" strokecolor="#9b8758">
              <v:path arrowok="t"/>
            </v:shape>
          </v:group>
          <v:group style="position:absolute;left:2719;top:2511;width:16;height:34" coordorigin="2719,2511" coordsize="16,34">
            <v:shape style="position:absolute;left:2719;top:2511;width:16;height:34" coordorigin="2719,2511" coordsize="16,34" path="m2719,2511l2735,2545e" filled="false" stroked="true" strokeweight="1pt" strokecolor="#9b8758">
              <v:path arrowok="t"/>
            </v:shape>
          </v:group>
          <v:group style="position:absolute;left:2696;top:2524;width:3;height:21" coordorigin="2696,2524" coordsize="3,21">
            <v:shape style="position:absolute;left:2696;top:2524;width:3;height:21" coordorigin="2696,2524" coordsize="3,21" path="m2696,2524l2699,2545e" filled="false" stroked="true" strokeweight="1.5pt" strokecolor="#8c8f90">
              <v:path arrowok="t"/>
            </v:shape>
          </v:group>
          <v:group style="position:absolute;left:2712;top:2515;width:11;height:30" coordorigin="2712,2515" coordsize="11,30">
            <v:shape style="position:absolute;left:2712;top:2515;width:11;height:30" coordorigin="2712,2515" coordsize="11,30" path="m2712,2515l2722,2545e" filled="false" stroked="true" strokeweight="1.5pt" strokecolor="#9b8758">
              <v:path arrowok="t"/>
            </v:shape>
          </v:group>
          <v:group style="position:absolute;left:2705;top:2519;width:7;height:26" coordorigin="2705,2519" coordsize="7,26">
            <v:shape style="position:absolute;left:2705;top:2519;width:7;height:26" coordorigin="2705,2519" coordsize="7,26" path="m2705,2519l2712,2545e" filled="false" stroked="true" strokeweight=".5pt" strokecolor="#9b8758">
              <v:path arrowok="t"/>
            </v:shape>
          </v:group>
          <v:group style="position:absolute;left:2690;top:2528;width:2;height:17" coordorigin="2690,2528" coordsize="2,17">
            <v:shape style="position:absolute;left:2690;top:2528;width:2;height:17" coordorigin="2690,2528" coordsize="2,17" path="m2690,2528l2691,2545e" filled="false" stroked="true" strokeweight=".25pt" strokecolor="#8c8f90">
              <v:path arrowok="t"/>
            </v:shape>
          </v:group>
          <v:group style="position:absolute;left:2702;top:2521;width:6;height:25" coordorigin="2702,2521" coordsize="6,25">
            <v:shape style="position:absolute;left:2702;top:2521;width:6;height:25" coordorigin="2702,2521" coordsize="6,25" path="m2702,2521l2707,2545e" filled="false" stroked="true" strokeweight="1pt" strokecolor="#8c8f90">
              <v:path arrowok="t"/>
            </v:shape>
          </v:group>
          <v:group style="position:absolute;left:2709;top:2517;width:9;height:28" coordorigin="2709,2517" coordsize="9,28">
            <v:shape style="position:absolute;left:2709;top:2517;width:9;height:28" coordorigin="2709,2517" coordsize="9,28" path="m2709,2517l2718,2545e" filled="false" stroked="true" strokeweight="1.5pt" strokecolor="#9b8758">
              <v:path arrowok="t"/>
            </v:shape>
          </v:group>
          <v:group style="position:absolute;left:3143;top:0;width:6306;height:2271" coordorigin="3143,0" coordsize="6306,2271">
            <v:shape style="position:absolute;left:3143;top:0;width:6306;height:2271" coordorigin="3143,0" coordsize="6306,2271" path="m9449,0l3143,2271e" filled="false" stroked="true" strokeweight=".25pt" strokecolor="#8c8f90">
              <v:path arrowok="t"/>
            </v:shape>
          </v:group>
          <v:group style="position:absolute;left:3291;top:0;width:8284;height:2187" coordorigin="3291,0" coordsize="8284,2187">
            <v:shape style="position:absolute;left:3291;top:0;width:8284;height:2187" coordorigin="3291,0" coordsize="8284,2187" path="m11575,0l3291,2187e" filled="false" stroked="true" strokeweight=".25pt" strokecolor="#8c8f90">
              <v:path arrowok="t"/>
            </v:shape>
          </v:group>
          <v:group style="position:absolute;left:3265;top:0;width:5459;height:2202" coordorigin="3265,0" coordsize="5459,2202">
            <v:shape style="position:absolute;left:3265;top:0;width:5459;height:2202" coordorigin="3265,0" coordsize="5459,2202" path="m8723,0l3265,2202e" filled="false" stroked="true" strokeweight="1.0pt" strokecolor="#9b8758">
              <v:path arrowok="t"/>
            </v:shape>
          </v:group>
          <v:group style="position:absolute;left:3026;top:0;width:8085;height:2338" coordorigin="3026,0" coordsize="8085,2338">
            <v:shape style="position:absolute;left:3026;top:0;width:8085;height:2338" coordorigin="3026,0" coordsize="8085,2338" path="m11110,0l3026,2337e" filled="false" stroked="true" strokeweight="1.5pt" strokecolor="#8c8f90">
              <v:path arrowok="t"/>
            </v:shape>
          </v:group>
          <v:group style="position:absolute;left:3184;top:0;width:5963;height:2248" coordorigin="3184,0" coordsize="5963,2248">
            <v:shape style="position:absolute;left:3184;top:0;width:5963;height:2248" coordorigin="3184,0" coordsize="5963,2248" path="m9146,0l3184,2248e" filled="false" stroked="true" strokeweight="1.5pt" strokecolor="#8c8f90">
              <v:path arrowok="t"/>
            </v:shape>
          </v:group>
          <v:group style="position:absolute;left:3055;top:0;width:7451;height:2321" coordorigin="3055,0" coordsize="7451,2321">
            <v:shape style="position:absolute;left:3055;top:0;width:7451;height:2321" coordorigin="3055,0" coordsize="7451,2321" path="m10506,0l3055,2320e" filled="false" stroked="true" strokeweight=".5pt" strokecolor="#9b8758">
              <v:path arrowok="t"/>
            </v:shape>
          </v:group>
          <v:group style="position:absolute;left:2915;top:999;width:8991;height:1402" coordorigin="2915,999" coordsize="8991,1402">
            <v:shape style="position:absolute;left:2915;top:999;width:8991;height:1402" coordorigin="2915,999" coordsize="8991,1402" path="m11906,999l2915,2400e" filled="false" stroked="true" strokeweight=".25pt" strokecolor="#9b8758">
              <v:path arrowok="t"/>
            </v:shape>
          </v:group>
          <v:group style="position:absolute;left:3084;top:0;width:6993;height:2305" coordorigin="3084,0" coordsize="6993,2305">
            <v:shape style="position:absolute;left:3084;top:0;width:6993;height:2305" coordorigin="3084,0" coordsize="6993,2305" path="m10076,0l3084,2304e" filled="false" stroked="true" strokeweight="1pt" strokecolor="#8c8f90">
              <v:path arrowok="t"/>
            </v:shape>
          </v:group>
          <v:group style="position:absolute;left:2957;top:409;width:8949;height:1967" coordorigin="2957,409" coordsize="8949,1967">
            <v:shape style="position:absolute;left:2957;top:409;width:8949;height:1967" coordorigin="2957,409" coordsize="8949,1967" path="m11906,409l2957,2376e" filled="false" stroked="true" strokeweight="1.5pt" strokecolor="#8c8f90">
              <v:path arrowok="t"/>
            </v:shape>
          </v:group>
          <v:group style="position:absolute;left:2896;top:1329;width:9010;height:1083" coordorigin="2896,1329" coordsize="9010,1083">
            <v:shape style="position:absolute;left:2896;top:1329;width:9010;height:1083" coordorigin="2896,1329" coordsize="9010,1083" path="m11906,1329l2896,2411e" filled="false" stroked="true" strokeweight=".5pt" strokecolor="#9b8758">
              <v:path arrowok="t"/>
            </v:shape>
          </v:group>
          <v:group style="position:absolute;left:2884;top:1579;width:9022;height:839" coordorigin="2884,1579" coordsize="9022,839">
            <v:shape style="position:absolute;left:2884;top:1579;width:9022;height:839" coordorigin="2884,1579" coordsize="9022,839" path="m11905,1579l2884,2418e" filled="false" stroked="true" strokeweight="1pt" strokecolor="#9b8758">
              <v:path arrowok="t"/>
            </v:shape>
          </v:group>
          <v:group style="position:absolute;left:2859;top:2211;width:9047;height:222" coordorigin="2859,2211" coordsize="9047,222">
            <v:shape style="position:absolute;left:2859;top:2211;width:9047;height:222" coordorigin="2859,2211" coordsize="9047,222" path="m2859,2432l11905,2211e" filled="false" stroked="true" strokeweight="1pt" strokecolor="#8c8f90">
              <v:path arrowok="t"/>
            </v:shape>
          </v:group>
          <v:group style="position:absolute;left:2833;top:2446;width:1430;height:99" coordorigin="2833,2446" coordsize="1430,99">
            <v:shape style="position:absolute;left:2833;top:2446;width:1430;height:99" coordorigin="2833,2446" coordsize="1430,99" path="m2833,2446l4263,2545e" filled="false" stroked="true" strokeweight="1.5pt" strokecolor="#8c8f90">
              <v:path arrowok="t"/>
            </v:shape>
          </v:group>
          <v:group style="position:absolute;left:2840;top:2443;width:2491;height:103" coordorigin="2840,2443" coordsize="2491,103">
            <v:shape style="position:absolute;left:2840;top:2443;width:2491;height:103" coordorigin="2840,2443" coordsize="2491,103" path="m2840,2443l5331,2545e" filled="false" stroked="true" strokeweight="1.0pt" strokecolor="#9b8758">
              <v:path arrowok="t"/>
            </v:shape>
          </v:group>
          <v:group style="position:absolute;left:2852;top:2419;width:9054;height:17" coordorigin="2852,2419" coordsize="9054,17">
            <v:shape style="position:absolute;left:2852;top:2419;width:9054;height:17" coordorigin="2852,2419" coordsize="9054,17" path="m2852,2436l11906,2419e" filled="false" stroked="true" strokeweight="1pt" strokecolor="#9b8758">
              <v:path arrowok="t"/>
            </v:shape>
          </v:group>
          <v:group style="position:absolute;left:2817;top:2455;width:621;height:90" coordorigin="2817,2455" coordsize="621,90">
            <v:shape style="position:absolute;left:2817;top:2455;width:621;height:90" coordorigin="2817,2455" coordsize="621,90" path="m2817,2455l3438,2545e" filled="false" stroked="true" strokeweight="1.5pt" strokecolor="#8c8f90">
              <v:path arrowok="t"/>
            </v:shape>
          </v:group>
          <v:group style="position:absolute;left:2871;top:1883;width:9035;height:542" coordorigin="2871,1883" coordsize="9035,542">
            <v:shape style="position:absolute;left:2871;top:1883;width:9035;height:542" coordorigin="2871,1883" coordsize="9035,542" path="m11905,1883l2871,2425e" filled="false" stroked="true" strokeweight=".25pt" strokecolor="#9b8758">
              <v:path arrowok="t"/>
            </v:shape>
          </v:group>
          <v:group style="position:absolute;left:2929;top:779;width:8977;height:1614" coordorigin="2929,779" coordsize="8977,1614">
            <v:shape style="position:absolute;left:2929;top:779;width:8977;height:1614" coordorigin="2929,779" coordsize="8977,1614" path="m11906,779l2929,2392e" filled="false" stroked="true" strokeweight=".5pt" strokecolor="#8c8f90">
              <v:path arrowok="t"/>
            </v:shape>
          </v:group>
          <v:group style="position:absolute;left:2778;top:2478;width:311;height:68" coordorigin="2778,2478" coordsize="311,68">
            <v:shape style="position:absolute;left:2778;top:2478;width:311;height:68" coordorigin="2778,2478" coordsize="311,68" path="m3088,2545l2778,2478e" filled="false" stroked="true" strokeweight="1.0pt" strokecolor="#9b8758">
              <v:path arrowok="t"/>
            </v:shape>
          </v:group>
          <v:group style="position:absolute;left:2938;top:658;width:8968;height:1730" coordorigin="2938,658" coordsize="8968,1730">
            <v:shape style="position:absolute;left:2938;top:658;width:8968;height:1730" coordorigin="2938,658" coordsize="8968,1730" path="m11906,658l2938,2387e" filled="false" stroked="true" strokeweight="1.5pt" strokecolor="#9b8758">
              <v:path arrowok="t"/>
            </v:shape>
          </v:group>
          <v:group style="position:absolute;left:2730;top:2505;width:28;height:41" coordorigin="2730,2505" coordsize="28,41">
            <v:shape style="position:absolute;left:2730;top:2505;width:28;height:41" coordorigin="2730,2505" coordsize="28,41" path="m2730,2505l2757,2545e" filled="false" stroked="true" strokeweight=".25pt" strokecolor="#8c8f90">
              <v:path arrowok="t"/>
            </v:shape>
          </v:group>
          <v:group style="position:absolute;left:2688;top:2529;width:2;height:17" coordorigin="2688,2529" coordsize="2,17">
            <v:shape style="position:absolute;left:2688;top:2529;width:2;height:17" coordorigin="2688,2529" coordsize="1,17" path="m2689,2545l2688,2529e" filled="false" stroked="true" strokeweight="1pt" strokecolor="#9b8758">
              <v:path arrowok="t"/>
            </v:shape>
          </v:group>
          <v:group style="position:absolute;left:2736;top:2501;width:35;height:44" coordorigin="2736,2501" coordsize="35,44">
            <v:shape style="position:absolute;left:2736;top:2501;width:35;height:44" coordorigin="2736,2501" coordsize="35,44" path="m2771,2545l2736,2501e" filled="false" stroked="true" strokeweight="1.5pt" strokecolor="#8c8f90">
              <v:path arrowok="t"/>
            </v:shape>
          </v:group>
          <v:group style="position:absolute;left:2734;top:2502;width:33;height:43" coordorigin="2734,2502" coordsize="33,43">
            <v:shape style="position:absolute;left:2734;top:2502;width:33;height:43" coordorigin="2734,2502" coordsize="33,43" path="m2767,2545l2734,2502e" filled="false" stroked="true" strokeweight="1pt" strokecolor="#9b8758">
              <v:path arrowok="t"/>
            </v:shape>
          </v:group>
          <v:group style="position:absolute;left:2722;top:2509;width:19;height:36" coordorigin="2722,2509" coordsize="19,36">
            <v:shape style="position:absolute;left:2722;top:2509;width:19;height:36" coordorigin="2722,2509" coordsize="19,36" path="m2722,2509l2741,2545e" filled="false" stroked="true" strokeweight=".25pt" strokecolor="#9b8758">
              <v:path arrowok="t"/>
            </v:shape>
          </v:group>
          <v:group style="position:absolute;left:2671;top:2538;width:2;height:7" coordorigin="2671,2538" coordsize="2,7">
            <v:shape style="position:absolute;left:2671;top:2538;width:2;height:7" coordorigin="2671,2538" coordsize="1,7" path="m2671,2545l2671,2538e" filled="false" stroked="true" strokeweight="1pt" strokecolor="#9b8758">
              <v:path arrowok="t"/>
            </v:shape>
          </v:group>
          <v:group style="position:absolute;left:2720;top:2511;width:17;height:34" coordorigin="2720,2511" coordsize="17,34">
            <v:shape style="position:absolute;left:2720;top:2511;width:17;height:34" coordorigin="2720,2511" coordsize="17,34" path="m2736,2545l2720,2511e" filled="false" stroked="true" strokeweight="1pt" strokecolor="#9b8758">
              <v:path arrowok="t"/>
            </v:shape>
          </v:group>
          <v:group style="position:absolute;left:2710;top:2516;width:10;height:29" coordorigin="2710,2516" coordsize="10,29">
            <v:shape style="position:absolute;left:2710;top:2516;width:10;height:29" coordorigin="2710,2516" coordsize="10,29" path="m2720,2545l2710,2516e" filled="false" stroked="true" strokeweight="1.0pt" strokecolor="#9b8758">
              <v:path arrowok="t"/>
            </v:shape>
          </v:group>
          <v:group style="position:absolute;left:2708;top:2517;width:9;height:28" coordorigin="2708,2517" coordsize="9,28">
            <v:shape style="position:absolute;left:2708;top:2517;width:9;height:28" coordorigin="2708,2517" coordsize="9,28" path="m2716,2545l2708,2517e" filled="false" stroked="true" strokeweight="1pt" strokecolor="#8c8f90">
              <v:path arrowok="t"/>
            </v:shape>
          </v:group>
          <v:group style="position:absolute;left:2693;top:2526;width:3;height:20" coordorigin="2693,2526" coordsize="3,20">
            <v:shape style="position:absolute;left:2693;top:2526;width:3;height:20" coordorigin="2693,2526" coordsize="3,20" path="m2696,2545l2693,2526e" filled="false" stroked="true" strokeweight="1pt" strokecolor="#9b8758">
              <v:path arrowok="t"/>
            </v:shape>
          </v:group>
          <v:group style="position:absolute;left:2731;top:2504;width:28;height:41" coordorigin="2731,2504" coordsize="28,41">
            <v:shape style="position:absolute;left:2731;top:2504;width:28;height:41" coordorigin="2731,2504" coordsize="28,41" path="m2759,2545l2731,2504e" filled="false" stroked="true" strokeweight="1.5pt" strokecolor="#9b8758">
              <v:path arrowok="t"/>
            </v:shape>
          </v:group>
          <w10:wrap type="none"/>
        </v:group>
      </w:pict>
    </w:r>
    <w:r>
      <w:rPr/>
      <w:pict>
        <v:shape style="position:absolute;margin-left:38.685001pt;margin-top:73.988235pt;width:114pt;height:37.2pt;mso-position-horizontal-relative:page;mso-position-vertical-relative:page;z-index:-968584"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公司简介</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和主要财务指标</w:t>
                </w:r>
                <w:r>
                  <w:rPr>
                    <w:rFonts w:ascii="宋体" w:hAnsi="宋体" w:cs="宋体" w:eastAsia="宋体" w:hint="default"/>
                    <w:sz w:val="32"/>
                    <w:szCs w:val="32"/>
                  </w:rPr>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19pt;height:11pt;mso-position-horizontal-relative:page;mso-position-vertical-relative:page;z-index:-959728"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八、金融工具及其风险（续）</w:t>
                </w:r>
                <w:r>
                  <w:rPr>
                    <w:rFonts w:ascii="宋体" w:hAnsi="宋体" w:cs="宋体" w:eastAsia="宋体" w:hint="default"/>
                  </w:rPr>
                </w:r>
              </w:p>
            </w:txbxContent>
          </v:textbox>
          <w10:wrap type="none"/>
        </v:shape>
      </w:pict>
    </w:r>
    <w:r>
      <w:rPr/>
      <w:pict>
        <v:shape style="position:absolute;margin-left:72.700798pt;margin-top:162.075180pt;width:100.05pt;height:11pt;mso-position-horizontal-relative:page;mso-position-vertical-relative:page;z-index:-959704" type="#_x0000_t202" filled="false" stroked="false">
          <v:textbox inset="0,0,0,0">
            <w:txbxContent>
              <w:p>
                <w:pPr>
                  <w:pStyle w:val="BodyText"/>
                  <w:spacing w:line="187" w:lineRule="exact"/>
                  <w:ind w:left="20" w:right="0"/>
                  <w:jc w:val="left"/>
                </w:pPr>
                <w:r>
                  <w:rPr/>
                  <w:t>1、</w:t>
                </w:r>
                <w:r>
                  <w:rPr>
                    <w:spacing w:val="-21"/>
                  </w:rPr>
                  <w:t> </w:t>
                </w:r>
                <w:r>
                  <w:rPr/>
                  <w:t>金融风险因素（续）</w:t>
                </w:r>
              </w:p>
            </w:txbxContent>
          </v:textbox>
          <w10:wrap type="none"/>
        </v:shape>
      </w:pict>
    </w:r>
  </w:p>
</w:hdr>
</file>

<file path=word/header10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9248"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0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9224"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0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28pt;height:11pt;mso-position-horizontal-relative:page;mso-position-vertical-relative:page;z-index:-959200"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十、关联方关系及其交易（续）</w:t>
                </w:r>
                <w:r>
                  <w:rPr>
                    <w:rFonts w:ascii="宋体" w:hAnsi="宋体" w:cs="宋体" w:eastAsia="宋体" w:hint="default"/>
                  </w:rPr>
                </w:r>
              </w:p>
            </w:txbxContent>
          </v:textbox>
          <w10:wrap type="none"/>
        </v:shape>
      </w:pict>
    </w:r>
    <w:r>
      <w:rPr/>
      <w:pict>
        <v:shape style="position:absolute;margin-left:72.700798pt;margin-top:162.075180pt;width:97pt;height:11pt;mso-position-horizontal-relative:page;mso-position-vertical-relative:page;z-index:-959176" type="#_x0000_t202" filled="false" stroked="false">
          <v:textbox inset="0,0,0,0">
            <w:txbxContent>
              <w:p>
                <w:pPr>
                  <w:pStyle w:val="BodyText"/>
                  <w:spacing w:line="187" w:lineRule="exact"/>
                  <w:ind w:left="20" w:right="0"/>
                  <w:jc w:val="left"/>
                </w:pPr>
                <w:r>
                  <w:rPr/>
                  <w:t>5、重大关联交易（续）</w:t>
                </w:r>
              </w:p>
            </w:txbxContent>
          </v:textbox>
          <w10:wrap type="none"/>
        </v:shape>
      </w:pict>
    </w:r>
  </w:p>
</w:hdr>
</file>

<file path=word/header10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28pt;height:11pt;mso-position-horizontal-relative:page;mso-position-vertical-relative:page;z-index:-958720"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十、关联方关系及其交易（续）</w:t>
                </w:r>
                <w:r>
                  <w:rPr>
                    <w:rFonts w:ascii="宋体" w:hAnsi="宋体" w:cs="宋体" w:eastAsia="宋体" w:hint="default"/>
                  </w:rPr>
                </w:r>
              </w:p>
            </w:txbxContent>
          </v:textbox>
          <w10:wrap type="none"/>
        </v:shape>
      </w:pict>
    </w:r>
  </w:p>
</w:hdr>
</file>

<file path=word/header10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8696"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0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0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8528"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8504"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8336"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8168"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补充资料</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8000"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补充资料</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1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8.161194pt;margin-top:-.500003pt;width:97.7pt;height:100.35pt;mso-position-horizontal-relative:page;mso-position-vertical-relative:page;z-index:-968032" coordorigin="8363,-10" coordsize="1954,2007">
          <v:group style="position:absolute;left:8480;top:0;width:1827;height:1883" coordorigin="8480,0" coordsize="1827,1883">
            <v:shape style="position:absolute;left:8480;top:0;width:1827;height:1883" coordorigin="8480,0" coordsize="1827,1883" path="m8480,1883l10306,0e" filled="false" stroked="true" strokeweight="1pt" strokecolor="#d7000f">
              <v:path arrowok="t"/>
            </v:shape>
            <v:shape style="position:absolute;left:8363;top:1729;width:268;height:268" type="#_x0000_t75" stroked="false">
              <v:imagedata r:id="rId1" o:title=""/>
            </v:shape>
          </v:group>
          <w10:wrap type="none"/>
        </v:group>
      </w:pict>
    </w:r>
    <w:r>
      <w:rPr/>
      <w:pict>
        <v:group style="position:absolute;margin-left:163.954498pt;margin-top:.000023pt;width:151.75pt;height:38.3pt;mso-position-horizontal-relative:page;mso-position-vertical-relative:page;z-index:-968008" coordorigin="3279,0" coordsize="3035,766">
          <v:shape style="position:absolute;left:3279;top:0;width:3035;height:766" coordorigin="3279,0" coordsize="3035,766" path="m5603,765l3279,765,3989,0,6313,0,5603,765xe" filled="true" fillcolor="#9c8758" stroked="false">
            <v:path arrowok="t"/>
            <v:fill type="solid"/>
          </v:shape>
          <w10:wrap type="none"/>
        </v:group>
      </w:pict>
    </w:r>
    <w:r>
      <w:rPr/>
      <w:pict>
        <v:group style="position:absolute;margin-left:541.468384pt;margin-top:11.134134pt;width:54.35pt;height:55.85pt;mso-position-horizontal-relative:page;mso-position-vertical-relative:page;z-index:-967984" coordorigin="10829,223" coordsize="1087,1117">
          <v:shape style="position:absolute;left:10829;top:999;width:340;height:340" type="#_x0000_t75" stroked="false">
            <v:imagedata r:id="rId2" o:title=""/>
          </v:shape>
          <v:group style="position:absolute;left:10985;top:233;width:921;height:951" coordorigin="10985,233" coordsize="921,951">
            <v:shape style="position:absolute;left:10985;top:233;width:921;height:951" coordorigin="10985,233" coordsize="921,951" path="m10985,1183l11906,233e" filled="false" stroked="true" strokeweight="1pt" strokecolor="#9c8758">
              <v:path arrowok="t"/>
            </v:shape>
          </v:group>
          <w10:wrap type="none"/>
        </v:group>
      </w:pict>
    </w:r>
    <w:r>
      <w:rPr/>
      <w:pict>
        <v:shape style="position:absolute;margin-left:42.937pt;margin-top:82.492142pt;width:82pt;height:37.2pt;mso-position-horizontal-relative:page;mso-position-vertical-relative:page;z-index:-967960"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经营情况</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讨论与分析</w:t>
                </w:r>
                <w:r>
                  <w:rPr>
                    <w:rFonts w:ascii="宋体" w:hAnsi="宋体" w:cs="宋体" w:eastAsia="宋体" w:hint="default"/>
                    <w:sz w:val="32"/>
                    <w:szCs w:val="32"/>
                  </w:rPr>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8.161194pt;margin-top:-.500003pt;width:97.7pt;height:100.35pt;mso-position-horizontal-relative:page;mso-position-vertical-relative:page;z-index:-967936" coordorigin="8363,-10" coordsize="1954,2007">
          <v:group style="position:absolute;left:8480;top:0;width:1827;height:1883" coordorigin="8480,0" coordsize="1827,1883">
            <v:shape style="position:absolute;left:8480;top:0;width:1827;height:1883" coordorigin="8480,0" coordsize="1827,1883" path="m8480,1883l10306,0e" filled="false" stroked="true" strokeweight="1pt" strokecolor="#d7000f">
              <v:path arrowok="t"/>
            </v:shape>
            <v:shape style="position:absolute;left:8363;top:1729;width:268;height:268" type="#_x0000_t75" stroked="false">
              <v:imagedata r:id="rId1" o:title=""/>
            </v:shape>
          </v:group>
          <w10:wrap type="none"/>
        </v:group>
      </w:pict>
    </w:r>
    <w:r>
      <w:rPr/>
      <w:pict>
        <v:group style="position:absolute;margin-left:163.954498pt;margin-top:.000023pt;width:151.75pt;height:38.3pt;mso-position-horizontal-relative:page;mso-position-vertical-relative:page;z-index:-967912" coordorigin="3279,0" coordsize="3035,766">
          <v:shape style="position:absolute;left:3279;top:0;width:3035;height:766" coordorigin="3279,0" coordsize="3035,766" path="m5603,765l3279,765,3989,0,6313,0,5603,765xe" filled="true" fillcolor="#9c8758" stroked="false">
            <v:path arrowok="t"/>
            <v:fill type="solid"/>
          </v:shape>
          <w10:wrap type="none"/>
        </v:group>
      </w:pict>
    </w:r>
    <w:r>
      <w:rPr/>
      <w:pict>
        <v:group style="position:absolute;margin-left:541.468384pt;margin-top:11.134134pt;width:54.35pt;height:55.85pt;mso-position-horizontal-relative:page;mso-position-vertical-relative:page;z-index:-967888" coordorigin="10829,223" coordsize="1087,1117">
          <v:shape style="position:absolute;left:10829;top:999;width:340;height:340" type="#_x0000_t75" stroked="false">
            <v:imagedata r:id="rId2" o:title=""/>
          </v:shape>
          <v:group style="position:absolute;left:10985;top:233;width:921;height:951" coordorigin="10985,233" coordsize="921,951">
            <v:shape style="position:absolute;left:10985;top:233;width:921;height:951" coordorigin="10985,233" coordsize="921,951" path="m10985,1183l11906,233e" filled="false" stroked="true" strokeweight="1pt" strokecolor="#9c8758">
              <v:path arrowok="t"/>
            </v:shape>
          </v:group>
          <w10:wrap type="none"/>
        </v:group>
      </w:pict>
    </w:r>
    <w:r>
      <w:rPr/>
      <w:pict>
        <v:shape style="position:absolute;margin-left:42.937pt;margin-top:82.492142pt;width:82pt;height:37.2pt;mso-position-horizontal-relative:page;mso-position-vertical-relative:page;z-index:-967864"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经营情况</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讨论与分析</w:t>
                </w:r>
                <w:r>
                  <w:rPr>
                    <w:rFonts w:ascii="宋体" w:hAnsi="宋体" w:cs="宋体" w:eastAsia="宋体" w:hint="default"/>
                    <w:sz w:val="32"/>
                    <w:szCs w:val="32"/>
                  </w:rPr>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8.161194pt;margin-top:-.500003pt;width:97.7pt;height:100.35pt;mso-position-horizontal-relative:page;mso-position-vertical-relative:page;z-index:-967840" coordorigin="8363,-10" coordsize="1954,2007">
          <v:group style="position:absolute;left:8480;top:0;width:1827;height:1883" coordorigin="8480,0" coordsize="1827,1883">
            <v:shape style="position:absolute;left:8480;top:0;width:1827;height:1883" coordorigin="8480,0" coordsize="1827,1883" path="m8480,1883l10306,0e" filled="false" stroked="true" strokeweight="1pt" strokecolor="#d7000f">
              <v:path arrowok="t"/>
            </v:shape>
            <v:shape style="position:absolute;left:8363;top:1729;width:268;height:268" type="#_x0000_t75" stroked="false">
              <v:imagedata r:id="rId1" o:title=""/>
            </v:shape>
          </v:group>
          <w10:wrap type="none"/>
        </v:group>
      </w:pict>
    </w:r>
    <w:r>
      <w:rPr/>
      <w:pict>
        <v:group style="position:absolute;margin-left:163.954498pt;margin-top:.000023pt;width:151.75pt;height:38.3pt;mso-position-horizontal-relative:page;mso-position-vertical-relative:page;z-index:-967816" coordorigin="3279,0" coordsize="3035,766">
          <v:shape style="position:absolute;left:3279;top:0;width:3035;height:766" coordorigin="3279,0" coordsize="3035,766" path="m5603,765l3279,765,3989,0,6313,0,5603,765xe" filled="true" fillcolor="#9c8758" stroked="false">
            <v:path arrowok="t"/>
            <v:fill type="solid"/>
          </v:shape>
          <w10:wrap type="none"/>
        </v:group>
      </w:pict>
    </w:r>
    <w:r>
      <w:rPr/>
      <w:pict>
        <v:group style="position:absolute;margin-left:541.468384pt;margin-top:11.134134pt;width:54.35pt;height:55.85pt;mso-position-horizontal-relative:page;mso-position-vertical-relative:page;z-index:-967792" coordorigin="10829,223" coordsize="1087,1117">
          <v:shape style="position:absolute;left:10829;top:999;width:340;height:340" type="#_x0000_t75" stroked="false">
            <v:imagedata r:id="rId2" o:title=""/>
          </v:shape>
          <v:group style="position:absolute;left:10985;top:233;width:921;height:951" coordorigin="10985,233" coordsize="921,951">
            <v:shape style="position:absolute;left:10985;top:233;width:921;height:951" coordorigin="10985,233" coordsize="921,951" path="m10985,1183l11906,233e" filled="false" stroked="true" strokeweight="1pt" strokecolor="#9c8758">
              <v:path arrowok="t"/>
            </v:shape>
          </v:group>
          <w10:wrap type="none"/>
        </v:group>
      </w:pict>
    </w:r>
    <w:r>
      <w:rPr/>
      <w:pict>
        <v:shape style="position:absolute;margin-left:42.937pt;margin-top:82.492142pt;width:82pt;height:37.2pt;mso-position-horizontal-relative:page;mso-position-vertical-relative:page;z-index:-967768"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经营情况</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讨论与分析</w:t>
                </w:r>
                <w:r>
                  <w:rPr>
                    <w:rFonts w:ascii="宋体" w:hAnsi="宋体" w:cs="宋体" w:eastAsia="宋体" w:hint="default"/>
                    <w:sz w:val="32"/>
                    <w:szCs w:val="32"/>
                  </w:rPr>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8.161194pt;margin-top:-.500003pt;width:97.7pt;height:100.35pt;mso-position-horizontal-relative:page;mso-position-vertical-relative:page;z-index:-967744" coordorigin="8363,-10" coordsize="1954,2007">
          <v:group style="position:absolute;left:8480;top:0;width:1827;height:1883" coordorigin="8480,0" coordsize="1827,1883">
            <v:shape style="position:absolute;left:8480;top:0;width:1827;height:1883" coordorigin="8480,0" coordsize="1827,1883" path="m8480,1883l10306,0e" filled="false" stroked="true" strokeweight="1pt" strokecolor="#d7000f">
              <v:path arrowok="t"/>
            </v:shape>
            <v:shape style="position:absolute;left:8363;top:1729;width:268;height:268" type="#_x0000_t75" stroked="false">
              <v:imagedata r:id="rId1" o:title=""/>
            </v:shape>
          </v:group>
          <w10:wrap type="none"/>
        </v:group>
      </w:pict>
    </w:r>
    <w:r>
      <w:rPr/>
      <w:pict>
        <v:group style="position:absolute;margin-left:163.954498pt;margin-top:.000023pt;width:151.75pt;height:38.3pt;mso-position-horizontal-relative:page;mso-position-vertical-relative:page;z-index:-967720" coordorigin="3279,0" coordsize="3035,766">
          <v:shape style="position:absolute;left:3279;top:0;width:3035;height:766" coordorigin="3279,0" coordsize="3035,766" path="m5603,765l3279,765,3989,0,6313,0,5603,765xe" filled="true" fillcolor="#9c8758" stroked="false">
            <v:path arrowok="t"/>
            <v:fill type="solid"/>
          </v:shape>
          <w10:wrap type="none"/>
        </v:group>
      </w:pict>
    </w:r>
    <w:r>
      <w:rPr/>
      <w:pict>
        <v:group style="position:absolute;margin-left:541.468384pt;margin-top:11.134134pt;width:54.35pt;height:55.85pt;mso-position-horizontal-relative:page;mso-position-vertical-relative:page;z-index:-967696" coordorigin="10829,223" coordsize="1087,1117">
          <v:shape style="position:absolute;left:10829;top:999;width:340;height:340" type="#_x0000_t75" stroked="false">
            <v:imagedata r:id="rId2" o:title=""/>
          </v:shape>
          <v:group style="position:absolute;left:10985;top:233;width:921;height:951" coordorigin="10985,233" coordsize="921,951">
            <v:shape style="position:absolute;left:10985;top:233;width:921;height:951" coordorigin="10985,233" coordsize="921,951" path="m10985,1183l11906,233e" filled="false" stroked="true" strokeweight="1pt" strokecolor="#9c8758">
              <v:path arrowok="t"/>
            </v:shape>
          </v:group>
          <w10:wrap type="none"/>
        </v:group>
      </w:pict>
    </w:r>
    <w:r>
      <w:rPr/>
      <w:pict>
        <v:shape style="position:absolute;margin-left:42.937pt;margin-top:82.492142pt;width:82pt;height:37.2pt;mso-position-horizontal-relative:page;mso-position-vertical-relative:page;z-index:-967672"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经营情况</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讨论与分析</w:t>
                </w:r>
                <w:r>
                  <w:rPr>
                    <w:rFonts w:ascii="宋体" w:hAnsi="宋体" w:cs="宋体" w:eastAsia="宋体" w:hint="default"/>
                    <w:sz w:val="32"/>
                    <w:szCs w:val="32"/>
                  </w:rPr>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50021pt;margin-top:-.74999pt;width:596.8pt;height:111.8pt;mso-position-horizontal-relative:page;mso-position-vertical-relative:page;z-index:-968560" coordorigin="-15,-15" coordsize="11936,2236">
          <v:group style="position:absolute;left:0;top:0;width:1108;height:262" coordorigin="0,0" coordsize="1108,262">
            <v:shape style="position:absolute;left:0;top:0;width:1108;height:262" coordorigin="0,0" coordsize="1108,262" path="m1108,0l0,261e" filled="false" stroked="true" strokeweight=".25pt" strokecolor="#8c8f90">
              <v:path arrowok="t"/>
            </v:shape>
          </v:group>
          <v:group style="position:absolute;left:0;top:0;width:775;height:189" coordorigin="0,0" coordsize="775,189">
            <v:shape style="position:absolute;left:0;top:0;width:775;height:189" coordorigin="0,0" coordsize="775,189" path="m0,189l774,0e" filled="false" stroked="true" strokeweight="1.0pt" strokecolor="#8c8f90">
              <v:path arrowok="t"/>
            </v:shape>
          </v:group>
          <v:group style="position:absolute;left:0;top:268;width:6501;height:897" coordorigin="0,268" coordsize="6501,897">
            <v:shape style="position:absolute;left:0;top:268;width:6501;height:897" coordorigin="0,268" coordsize="6501,897" path="m0,1164l6500,268e" filled="false" stroked="true" strokeweight="1.5pt" strokecolor="#8c8f90">
              <v:path arrowok="t"/>
            </v:shape>
          </v:group>
          <v:group style="position:absolute;left:0;top:0;width:6409;height:999" coordorigin="0,0" coordsize="6409,999">
            <v:shape style="position:absolute;left:0;top:0;width:6409;height:999" coordorigin="0,0" coordsize="6409,999" path="m6409,0l0,999e" filled="false" stroked="true" strokeweight=".25pt" strokecolor="#9b8758">
              <v:path arrowok="t"/>
            </v:shape>
          </v:group>
          <v:group style="position:absolute;left:0;top:0;width:1863;height:410" coordorigin="0,0" coordsize="1863,410">
            <v:shape style="position:absolute;left:0;top:0;width:1863;height:410" coordorigin="0,0" coordsize="1863,410" path="m1863,0l0,409e" filled="false" stroked="true" strokeweight="1.5pt" strokecolor="#8c8f90">
              <v:path arrowok="t"/>
            </v:shape>
          </v:group>
          <v:group style="position:absolute;left:0;top:0;width:11063;height:1329" coordorigin="0,0" coordsize="11063,1329">
            <v:shape style="position:absolute;left:0;top:0;width:11063;height:1329" coordorigin="0,0" coordsize="11063,1329" path="m11062,0l0,1329e" filled="false" stroked="true" strokeweight=".5pt" strokecolor="#9b8758">
              <v:path arrowok="t"/>
            </v:shape>
          </v:group>
          <v:group style="position:absolute;left:0;top:1155;width:4564;height:425" coordorigin="0,1155" coordsize="4564,425">
            <v:shape style="position:absolute;left:0;top:1155;width:4564;height:425" coordorigin="0,1155" coordsize="4564,425" path="m4564,1155l0,1579e" filled="false" stroked="true" strokeweight="1pt" strokecolor="#9b8758">
              <v:path arrowok="t"/>
            </v:shape>
          </v:group>
          <v:group style="position:absolute;left:6332;top:473;width:5574;height:518" coordorigin="6332,473" coordsize="5574,518">
            <v:shape style="position:absolute;left:6332;top:473;width:5574;height:518" coordorigin="6332,473" coordsize="5574,518" path="m11906,473l6332,991e" filled="false" stroked="true" strokeweight="1pt" strokecolor="#8c8f90">
              <v:path arrowok="t"/>
            </v:shape>
          </v:group>
          <v:group style="position:absolute;left:10880;top:1599;width:1026;height:41" coordorigin="10880,1599" coordsize="1026,41">
            <v:shape style="position:absolute;left:10880;top:1599;width:1026;height:41" coordorigin="10880,1599" coordsize="1026,41" path="m10880,1640l11906,1599e" filled="false" stroked="true" strokeweight="1.5pt" strokecolor="#9b8758">
              <v:path arrowok="t"/>
            </v:shape>
          </v:group>
          <v:group style="position:absolute;left:0;top:1741;width:8323;height:330" coordorigin="0,1741" coordsize="8323,330">
            <v:shape style="position:absolute;left:0;top:1741;width:8323;height:330" coordorigin="0,1741" coordsize="8323,330" path="m0,2071l8322,1741e" filled="false" stroked="true" strokeweight="1.5pt" strokecolor="#8c8f90">
              <v:path arrowok="t"/>
            </v:shape>
          </v:group>
          <v:group style="position:absolute;left:0;top:1964;width:10090;height:247" coordorigin="0,1964" coordsize="10090,247">
            <v:shape style="position:absolute;left:0;top:1964;width:10090;height:247" coordorigin="0,1964" coordsize="10090,247" path="m0,2211l10089,1964e" filled="false" stroked="true" strokeweight="1pt" strokecolor="#8c8f90">
              <v:path arrowok="t"/>
            </v:shape>
          </v:group>
          <v:group style="position:absolute;left:11544;top:1875;width:362;height:9" coordorigin="11544,1875" coordsize="362,9">
            <v:shape style="position:absolute;left:11544;top:1875;width:362;height:9" coordorigin="11544,1875" coordsize="362,9" path="m11544,1884l11906,1875e" filled="false" stroked="true" strokeweight="1pt" strokecolor="#8c8f90">
              <v:path arrowok="t"/>
            </v:shape>
          </v:group>
          <v:group style="position:absolute;left:0;top:1169;width:11906;height:714" coordorigin="0,1169" coordsize="11906,714">
            <v:shape style="position:absolute;left:0;top:1169;width:11906;height:714" coordorigin="0,1169" coordsize="11906,714" path="m11906,1169l0,1883e" filled="false" stroked="true" strokeweight=".25pt" strokecolor="#9b8758">
              <v:path arrowok="t"/>
            </v:shape>
          </v:group>
          <v:group style="position:absolute;left:0;top:0;width:4334;height:779" coordorigin="0,0" coordsize="4334,779">
            <v:shape style="position:absolute;left:0;top:0;width:4334;height:779" coordorigin="0,0" coordsize="4334,779" path="m4334,0l0,779e" filled="false" stroked="true" strokeweight=".5pt" strokecolor="#8c8f90">
              <v:path arrowok="t"/>
            </v:shape>
          </v:group>
          <v:group style="position:absolute;left:0;top:0;width:3414;height:659" coordorigin="0,0" coordsize="3414,659">
            <v:shape style="position:absolute;left:0;top:0;width:3414;height:659" coordorigin="0,0" coordsize="3414,659" path="m3413,0l0,658e" filled="false" stroked="true" strokeweight="1.5pt" strokecolor="#9b8758">
              <v:path arrowok="t"/>
            </v:shape>
          </v:group>
          <w10:wrap type="none"/>
        </v:group>
      </w:pict>
    </w:r>
    <w:r>
      <w:rPr/>
      <w:pict>
        <v:group style="position:absolute;margin-left:.000043pt;margin-top:119.893105pt;width:595.3pt;height:1.1pt;mso-position-horizontal-relative:page;mso-position-vertical-relative:page;z-index:-968536" coordorigin="0,2398" coordsize="11906,22">
          <v:shape style="position:absolute;left:0;top:2398;width:11906;height:22" coordorigin="0,2398" coordsize="11906,22" path="m0,2419l11906,2398e" filled="false" stroked="true" strokeweight="1pt" strokecolor="#9b8758">
            <v:path arrowok="t"/>
          </v:shape>
          <w10:wrap type="none"/>
        </v:group>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8.161194pt;margin-top:-.500003pt;width:97.7pt;height:100.35pt;mso-position-horizontal-relative:page;mso-position-vertical-relative:page;z-index:-967648" coordorigin="8363,-10" coordsize="1954,2007">
          <v:group style="position:absolute;left:8480;top:0;width:1827;height:1883" coordorigin="8480,0" coordsize="1827,1883">
            <v:shape style="position:absolute;left:8480;top:0;width:1827;height:1883" coordorigin="8480,0" coordsize="1827,1883" path="m8480,1883l10306,0e" filled="false" stroked="true" strokeweight="1pt" strokecolor="#d7000f">
              <v:path arrowok="t"/>
            </v:shape>
            <v:shape style="position:absolute;left:8363;top:1729;width:268;height:268" type="#_x0000_t75" stroked="false">
              <v:imagedata r:id="rId1" o:title=""/>
            </v:shape>
          </v:group>
          <w10:wrap type="none"/>
        </v:group>
      </w:pict>
    </w:r>
    <w:r>
      <w:rPr/>
      <w:pict>
        <v:group style="position:absolute;margin-left:163.954498pt;margin-top:.000023pt;width:151.75pt;height:38.3pt;mso-position-horizontal-relative:page;mso-position-vertical-relative:page;z-index:-967624" coordorigin="3279,0" coordsize="3035,766">
          <v:shape style="position:absolute;left:3279;top:0;width:3035;height:766" coordorigin="3279,0" coordsize="3035,766" path="m5603,765l3279,765,3989,0,6313,0,5603,765xe" filled="true" fillcolor="#9c8758" stroked="false">
            <v:path arrowok="t"/>
            <v:fill type="solid"/>
          </v:shape>
          <w10:wrap type="none"/>
        </v:group>
      </w:pict>
    </w:r>
    <w:r>
      <w:rPr/>
      <w:pict>
        <v:group style="position:absolute;margin-left:541.468384pt;margin-top:11.134134pt;width:54.35pt;height:55.85pt;mso-position-horizontal-relative:page;mso-position-vertical-relative:page;z-index:-967600" coordorigin="10829,223" coordsize="1087,1117">
          <v:shape style="position:absolute;left:10829;top:999;width:340;height:340" type="#_x0000_t75" stroked="false">
            <v:imagedata r:id="rId2" o:title=""/>
          </v:shape>
          <v:group style="position:absolute;left:10985;top:233;width:921;height:951" coordorigin="10985,233" coordsize="921,951">
            <v:shape style="position:absolute;left:10985;top:233;width:921;height:951" coordorigin="10985,233" coordsize="921,951" path="m10985,1183l11906,233e" filled="false" stroked="true" strokeweight="1pt" strokecolor="#9c8758">
              <v:path arrowok="t"/>
            </v:shape>
          </v:group>
          <w10:wrap type="none"/>
        </v:group>
      </w:pict>
    </w:r>
    <w:r>
      <w:rPr/>
      <w:pict>
        <v:shape style="position:absolute;margin-left:42.937pt;margin-top:82.492142pt;width:82pt;height:37.2pt;mso-position-horizontal-relative:page;mso-position-vertical-relative:page;z-index:-967576"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经营情况</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讨论与分析</w:t>
                </w:r>
                <w:r>
                  <w:rPr>
                    <w:rFonts w:ascii="宋体" w:hAnsi="宋体" w:cs="宋体" w:eastAsia="宋体" w:hint="default"/>
                    <w:sz w:val="32"/>
                    <w:szCs w:val="32"/>
                  </w:rPr>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8.161194pt;margin-top:-.500003pt;width:97.7pt;height:100.35pt;mso-position-horizontal-relative:page;mso-position-vertical-relative:page;z-index:-967552" coordorigin="8363,-10" coordsize="1954,2007">
          <v:group style="position:absolute;left:8480;top:0;width:1827;height:1883" coordorigin="8480,0" coordsize="1827,1883">
            <v:shape style="position:absolute;left:8480;top:0;width:1827;height:1883" coordorigin="8480,0" coordsize="1827,1883" path="m8480,1883l10306,0e" filled="false" stroked="true" strokeweight="1pt" strokecolor="#d7000f">
              <v:path arrowok="t"/>
            </v:shape>
            <v:shape style="position:absolute;left:8363;top:1729;width:268;height:268" type="#_x0000_t75" stroked="false">
              <v:imagedata r:id="rId1" o:title=""/>
            </v:shape>
          </v:group>
          <w10:wrap type="none"/>
        </v:group>
      </w:pict>
    </w:r>
    <w:r>
      <w:rPr/>
      <w:pict>
        <v:group style="position:absolute;margin-left:163.954498pt;margin-top:.000023pt;width:151.75pt;height:38.3pt;mso-position-horizontal-relative:page;mso-position-vertical-relative:page;z-index:-967528" coordorigin="3279,0" coordsize="3035,766">
          <v:shape style="position:absolute;left:3279;top:0;width:3035;height:766" coordorigin="3279,0" coordsize="3035,766" path="m5603,765l3279,765,3989,0,6313,0,5603,765xe" filled="true" fillcolor="#9c8758" stroked="false">
            <v:path arrowok="t"/>
            <v:fill type="solid"/>
          </v:shape>
          <w10:wrap type="none"/>
        </v:group>
      </w:pict>
    </w:r>
    <w:r>
      <w:rPr/>
      <w:pict>
        <v:group style="position:absolute;margin-left:541.468384pt;margin-top:11.134134pt;width:54.35pt;height:55.85pt;mso-position-horizontal-relative:page;mso-position-vertical-relative:page;z-index:-967504" coordorigin="10829,223" coordsize="1087,1117">
          <v:shape style="position:absolute;left:10829;top:999;width:340;height:340" type="#_x0000_t75" stroked="false">
            <v:imagedata r:id="rId2" o:title=""/>
          </v:shape>
          <v:group style="position:absolute;left:10985;top:233;width:921;height:951" coordorigin="10985,233" coordsize="921,951">
            <v:shape style="position:absolute;left:10985;top:233;width:921;height:951" coordorigin="10985,233" coordsize="921,951" path="m10985,1183l11906,233e" filled="false" stroked="true" strokeweight="1pt" strokecolor="#9c8758">
              <v:path arrowok="t"/>
            </v:shape>
          </v:group>
          <w10:wrap type="none"/>
        </v:group>
      </w:pict>
    </w:r>
    <w:r>
      <w:rPr/>
      <w:pict>
        <v:shape style="position:absolute;margin-left:42.937pt;margin-top:82.492142pt;width:82pt;height:37.2pt;mso-position-horizontal-relative:page;mso-position-vertical-relative:page;z-index:-967480"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经营情况</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讨论与分析</w:t>
                </w:r>
                <w:r>
                  <w:rPr>
                    <w:rFonts w:ascii="宋体" w:hAnsi="宋体" w:cs="宋体" w:eastAsia="宋体" w:hint="default"/>
                    <w:sz w:val="32"/>
                    <w:szCs w:val="32"/>
                  </w:rPr>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18.161194pt;margin-top:-.500003pt;width:97.7pt;height:100.35pt;mso-position-horizontal-relative:page;mso-position-vertical-relative:page;z-index:-967456" coordorigin="8363,-10" coordsize="1954,2007">
          <v:group style="position:absolute;left:8480;top:0;width:1827;height:1883" coordorigin="8480,0" coordsize="1827,1883">
            <v:shape style="position:absolute;left:8480;top:0;width:1827;height:1883" coordorigin="8480,0" coordsize="1827,1883" path="m8480,1883l10306,0e" filled="false" stroked="true" strokeweight="1pt" strokecolor="#d7000f">
              <v:path arrowok="t"/>
            </v:shape>
            <v:shape style="position:absolute;left:8363;top:1729;width:268;height:268" type="#_x0000_t75" stroked="false">
              <v:imagedata r:id="rId1" o:title=""/>
            </v:shape>
          </v:group>
          <w10:wrap type="none"/>
        </v:group>
      </w:pict>
    </w:r>
    <w:r>
      <w:rPr/>
      <w:pict>
        <v:group style="position:absolute;margin-left:163.954498pt;margin-top:.000023pt;width:151.75pt;height:38.3pt;mso-position-horizontal-relative:page;mso-position-vertical-relative:page;z-index:-967432" coordorigin="3279,0" coordsize="3035,766">
          <v:shape style="position:absolute;left:3279;top:0;width:3035;height:766" coordorigin="3279,0" coordsize="3035,766" path="m5603,765l3279,765,3989,0,6313,0,5603,765xe" filled="true" fillcolor="#9c8758" stroked="false">
            <v:path arrowok="t"/>
            <v:fill type="solid"/>
          </v:shape>
          <w10:wrap type="none"/>
        </v:group>
      </w:pict>
    </w:r>
    <w:r>
      <w:rPr/>
      <w:pict>
        <v:group style="position:absolute;margin-left:541.468384pt;margin-top:11.134134pt;width:54.35pt;height:55.85pt;mso-position-horizontal-relative:page;mso-position-vertical-relative:page;z-index:-967408" coordorigin="10829,223" coordsize="1087,1117">
          <v:shape style="position:absolute;left:10829;top:999;width:340;height:340" type="#_x0000_t75" stroked="false">
            <v:imagedata r:id="rId2" o:title=""/>
          </v:shape>
          <v:group style="position:absolute;left:10985;top:233;width:921;height:951" coordorigin="10985,233" coordsize="921,951">
            <v:shape style="position:absolute;left:10985;top:233;width:921;height:951" coordorigin="10985,233" coordsize="921,951" path="m10985,1183l11906,233e" filled="false" stroked="true" strokeweight="1pt" strokecolor="#9c8758">
              <v:path arrowok="t"/>
            </v:shape>
          </v:group>
          <w10:wrap type="none"/>
        </v:group>
      </w:pict>
    </w:r>
    <w:r>
      <w:rPr/>
      <w:pict>
        <v:shape style="position:absolute;margin-left:42.937pt;margin-top:82.492142pt;width:82pt;height:37.2pt;mso-position-horizontal-relative:page;mso-position-vertical-relative:page;z-index:-967384"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经营情况</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讨论与分析</w:t>
                </w:r>
                <w:r>
                  <w:rPr>
                    <w:rFonts w:ascii="宋体" w:hAnsi="宋体" w:cs="宋体" w:eastAsia="宋体" w:hint="default"/>
                    <w:sz w:val="32"/>
                    <w:szCs w:val="32"/>
                  </w:rPr>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2.515732pt;margin-top:.000031pt;width:252.3pt;height:53.9pt;mso-position-horizontal-relative:page;mso-position-vertical-relative:page;z-index:-967360" coordorigin="850,0" coordsize="5046,1078">
          <v:group style="position:absolute;left:850;top:0;width:2724;height:1078" coordorigin="850,0" coordsize="2724,1078">
            <v:shape style="position:absolute;left:850;top:0;width:2724;height:1078" coordorigin="850,0" coordsize="2724,1078" path="m3144,1078l850,1078,1280,0,3573,0,3144,1078xe" filled="true" fillcolor="#d7000f" stroked="false">
              <v:path arrowok="t"/>
              <v:fill type="solid"/>
            </v:shape>
            <v:shape style="position:absolute;left:5708;top:586;width:188;height:188" type="#_x0000_t75" stroked="false">
              <v:imagedata r:id="rId1" o:title=""/>
            </v:shape>
          </v:group>
          <v:group style="position:absolute;left:2835;top:680;width:2945;height:2" coordorigin="2835,680" coordsize="2945,2">
            <v:shape style="position:absolute;left:2835;top:680;width:2945;height:2" coordorigin="2835,680" coordsize="2945,0" path="m5779,680l2835,680e" filled="false" stroked="true" strokeweight=".956pt" strokecolor="#d7000f">
              <v:path arrowok="t"/>
            </v:shape>
          </v:group>
          <w10:wrap type="none"/>
        </v:group>
      </w:pict>
    </w:r>
    <w:r>
      <w:rPr/>
      <w:pict>
        <v:shape style="position:absolute;margin-left:41.519699pt;margin-top:93.830742pt;width:66pt;height:18pt;mso-position-horizontal-relative:page;mso-position-vertical-relative:page;z-index:-967336" type="#_x0000_t202" filled="false" stroked="false">
          <v:textbox inset="0,0,0,0">
            <w:txbxContent>
              <w:p>
                <w:pPr>
                  <w:spacing w:line="314"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重要事项</w:t>
                </w:r>
                <w:r>
                  <w:rPr>
                    <w:rFonts w:ascii="宋体" w:hAnsi="宋体" w:cs="宋体" w:eastAsia="宋体" w:hint="default"/>
                    <w:sz w:val="32"/>
                    <w:szCs w:val="32"/>
                  </w:rPr>
                </w:r>
              </w:p>
            </w:txbxContent>
          </v:textbox>
          <w10:wrap type="none"/>
        </v:shape>
      </w:pic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9.212997pt;margin-top:-.000002pt;width:496.1pt;height:132.550pt;mso-position-horizontal-relative:page;mso-position-vertical-relative:page;z-index:-967312" coordorigin="1984,0" coordsize="9922,2651">
          <v:group style="position:absolute;left:3778;top:0;width:8128;height:2651" coordorigin="3778,0" coordsize="8128,2651">
            <v:shape style="position:absolute;left:3778;top:0;width:8128;height:2651" coordorigin="3778,0" coordsize="8128,2651" path="m11906,2650l3778,2650,4835,0,11906,0,11906,2650xe" filled="true" fillcolor="#8e9090" stroked="false">
              <v:path arrowok="t"/>
              <v:fill type="solid"/>
            </v:shape>
          </v:group>
          <v:group style="position:absolute;left:3082;top:0;width:7184;height:2188" coordorigin="3082,0" coordsize="7184,2188">
            <v:shape style="position:absolute;left:3082;top:0;width:7184;height:2188" coordorigin="3082,0" coordsize="7184,2188" path="m9393,2187l3082,2187,3954,0,10265,0,9393,2187xe" filled="true" fillcolor="#d7000f" stroked="false">
              <v:path arrowok="t"/>
              <v:fill type="solid"/>
            </v:shape>
            <v:shape style="position:absolute;left:1984;top:1876;width:188;height:188" type="#_x0000_t75" stroked="false">
              <v:imagedata r:id="rId1" o:title=""/>
            </v:shape>
          </v:group>
          <v:group style="position:absolute;left:2102;top:1970;width:2945;height:2" coordorigin="2102,1970" coordsize="2945,2">
            <v:shape style="position:absolute;left:2102;top:1970;width:2945;height:2" coordorigin="2102,1970" coordsize="2945,0" path="m2102,1970l5046,1970e" filled="false" stroked="true" strokeweight=".956pt" strokecolor="#d7000f">
              <v:path arrowok="t"/>
            </v:shape>
          </v:group>
          <w10:wrap type="none"/>
        </v:group>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50021pt;margin-top:-.74999pt;width:596.8pt;height:111.8pt;mso-position-horizontal-relative:page;mso-position-vertical-relative:page;z-index:-968512" coordorigin="-15,-15" coordsize="11936,2236">
          <v:group style="position:absolute;left:0;top:0;width:1108;height:262" coordorigin="0,0" coordsize="1108,262">
            <v:shape style="position:absolute;left:0;top:0;width:1108;height:262" coordorigin="0,0" coordsize="1108,262" path="m1108,0l0,261e" filled="false" stroked="true" strokeweight=".25pt" strokecolor="#8c8f90">
              <v:path arrowok="t"/>
            </v:shape>
          </v:group>
          <v:group style="position:absolute;left:0;top:0;width:775;height:189" coordorigin="0,0" coordsize="775,189">
            <v:shape style="position:absolute;left:0;top:0;width:775;height:189" coordorigin="0,0" coordsize="775,189" path="m0,189l774,0e" filled="false" stroked="true" strokeweight="1.0pt" strokecolor="#8c8f90">
              <v:path arrowok="t"/>
            </v:shape>
          </v:group>
          <v:group style="position:absolute;left:0;top:268;width:6501;height:897" coordorigin="0,268" coordsize="6501,897">
            <v:shape style="position:absolute;left:0;top:268;width:6501;height:897" coordorigin="0,268" coordsize="6501,897" path="m0,1164l6500,268e" filled="false" stroked="true" strokeweight="1.5pt" strokecolor="#8c8f90">
              <v:path arrowok="t"/>
            </v:shape>
          </v:group>
          <v:group style="position:absolute;left:0;top:0;width:6409;height:999" coordorigin="0,0" coordsize="6409,999">
            <v:shape style="position:absolute;left:0;top:0;width:6409;height:999" coordorigin="0,0" coordsize="6409,999" path="m6409,0l0,999e" filled="false" stroked="true" strokeweight=".25pt" strokecolor="#9b8758">
              <v:path arrowok="t"/>
            </v:shape>
          </v:group>
          <v:group style="position:absolute;left:0;top:0;width:1863;height:410" coordorigin="0,0" coordsize="1863,410">
            <v:shape style="position:absolute;left:0;top:0;width:1863;height:410" coordorigin="0,0" coordsize="1863,410" path="m1863,0l0,409e" filled="false" stroked="true" strokeweight="1.5pt" strokecolor="#8c8f90">
              <v:path arrowok="t"/>
            </v:shape>
          </v:group>
          <v:group style="position:absolute;left:0;top:0;width:11063;height:1329" coordorigin="0,0" coordsize="11063,1329">
            <v:shape style="position:absolute;left:0;top:0;width:11063;height:1329" coordorigin="0,0" coordsize="11063,1329" path="m11062,0l0,1329e" filled="false" stroked="true" strokeweight=".5pt" strokecolor="#9b8758">
              <v:path arrowok="t"/>
            </v:shape>
          </v:group>
          <v:group style="position:absolute;left:0;top:1155;width:4564;height:425" coordorigin="0,1155" coordsize="4564,425">
            <v:shape style="position:absolute;left:0;top:1155;width:4564;height:425" coordorigin="0,1155" coordsize="4564,425" path="m4564,1155l0,1579e" filled="false" stroked="true" strokeweight="1pt" strokecolor="#9b8758">
              <v:path arrowok="t"/>
            </v:shape>
          </v:group>
          <v:group style="position:absolute;left:6332;top:473;width:5574;height:518" coordorigin="6332,473" coordsize="5574,518">
            <v:shape style="position:absolute;left:6332;top:473;width:5574;height:518" coordorigin="6332,473" coordsize="5574,518" path="m11906,473l6332,991e" filled="false" stroked="true" strokeweight="1pt" strokecolor="#8c8f90">
              <v:path arrowok="t"/>
            </v:shape>
          </v:group>
          <v:group style="position:absolute;left:10880;top:1599;width:1026;height:41" coordorigin="10880,1599" coordsize="1026,41">
            <v:shape style="position:absolute;left:10880;top:1599;width:1026;height:41" coordorigin="10880,1599" coordsize="1026,41" path="m10880,1640l11906,1599e" filled="false" stroked="true" strokeweight="1.5pt" strokecolor="#9b8758">
              <v:path arrowok="t"/>
            </v:shape>
          </v:group>
          <v:group style="position:absolute;left:0;top:1741;width:8323;height:330" coordorigin="0,1741" coordsize="8323,330">
            <v:shape style="position:absolute;left:0;top:1741;width:8323;height:330" coordorigin="0,1741" coordsize="8323,330" path="m0,2071l8322,1741e" filled="false" stroked="true" strokeweight="1.5pt" strokecolor="#8c8f90">
              <v:path arrowok="t"/>
            </v:shape>
          </v:group>
          <v:group style="position:absolute;left:0;top:1964;width:10090;height:247" coordorigin="0,1964" coordsize="10090,247">
            <v:shape style="position:absolute;left:0;top:1964;width:10090;height:247" coordorigin="0,1964" coordsize="10090,247" path="m0,2211l10089,1964e" filled="false" stroked="true" strokeweight="1pt" strokecolor="#8c8f90">
              <v:path arrowok="t"/>
            </v:shape>
          </v:group>
          <v:group style="position:absolute;left:11544;top:1875;width:362;height:9" coordorigin="11544,1875" coordsize="362,9">
            <v:shape style="position:absolute;left:11544;top:1875;width:362;height:9" coordorigin="11544,1875" coordsize="362,9" path="m11544,1884l11906,1875e" filled="false" stroked="true" strokeweight="1pt" strokecolor="#8c8f90">
              <v:path arrowok="t"/>
            </v:shape>
          </v:group>
          <v:group style="position:absolute;left:0;top:1169;width:11906;height:714" coordorigin="0,1169" coordsize="11906,714">
            <v:shape style="position:absolute;left:0;top:1169;width:11906;height:714" coordorigin="0,1169" coordsize="11906,714" path="m11906,1169l0,1883e" filled="false" stroked="true" strokeweight=".25pt" strokecolor="#9b8758">
              <v:path arrowok="t"/>
            </v:shape>
          </v:group>
          <v:group style="position:absolute;left:0;top:0;width:4334;height:779" coordorigin="0,0" coordsize="4334,779">
            <v:shape style="position:absolute;left:0;top:0;width:4334;height:779" coordorigin="0,0" coordsize="4334,779" path="m4334,0l0,779e" filled="false" stroked="true" strokeweight=".5pt" strokecolor="#8c8f90">
              <v:path arrowok="t"/>
            </v:shape>
          </v:group>
          <v:group style="position:absolute;left:0;top:0;width:3414;height:659" coordorigin="0,0" coordsize="3414,659">
            <v:shape style="position:absolute;left:0;top:0;width:3414;height:659" coordorigin="0,0" coordsize="3414,659" path="m3413,0l0,658e" filled="false" stroked="true" strokeweight="1.5pt" strokecolor="#9b8758">
              <v:path arrowok="t"/>
            </v:shape>
          </v:group>
          <w10:wrap type="none"/>
        </v:group>
      </w:pict>
    </w:r>
    <w:r>
      <w:rPr/>
      <w:pict>
        <v:group style="position:absolute;margin-left:.000043pt;margin-top:119.893105pt;width:595.3pt;height:1.1pt;mso-position-horizontal-relative:page;mso-position-vertical-relative:page;z-index:-968488" coordorigin="0,2398" coordsize="11906,22">
          <v:shape style="position:absolute;left:0;top:2398;width:11906;height:22" coordorigin="0,2398" coordsize="11906,22" path="m0,2419l11906,2398e" filled="false" stroked="true" strokeweight="1pt" strokecolor="#9b8758">
            <v:path arrowok="t"/>
          </v:shape>
          <w10:wrap type="none"/>
        </v:group>
      </w:pict>
    </w: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9.212997pt;margin-top:-.000002pt;width:496.1pt;height:132.550pt;mso-position-horizontal-relative:page;mso-position-vertical-relative:page;z-index:-967288" coordorigin="1984,0" coordsize="9922,2651">
          <v:group style="position:absolute;left:3778;top:0;width:8128;height:2651" coordorigin="3778,0" coordsize="8128,2651">
            <v:shape style="position:absolute;left:3778;top:0;width:8128;height:2651" coordorigin="3778,0" coordsize="8128,2651" path="m11906,2650l3778,2650,4835,0,11906,0,11906,2650xe" filled="true" fillcolor="#8e9090" stroked="false">
              <v:path arrowok="t"/>
              <v:fill type="solid"/>
            </v:shape>
          </v:group>
          <v:group style="position:absolute;left:3082;top:0;width:7184;height:2188" coordorigin="3082,0" coordsize="7184,2188">
            <v:shape style="position:absolute;left:3082;top:0;width:7184;height:2188" coordorigin="3082,0" coordsize="7184,2188" path="m9393,2187l3082,2187,3954,0,10265,0,9393,2187xe" filled="true" fillcolor="#d7000f" stroked="false">
              <v:path arrowok="t"/>
              <v:fill type="solid"/>
            </v:shape>
            <v:shape style="position:absolute;left:1984;top:1876;width:188;height:188" type="#_x0000_t75" stroked="false">
              <v:imagedata r:id="rId1" o:title=""/>
            </v:shape>
          </v:group>
          <v:group style="position:absolute;left:2102;top:1970;width:2945;height:2" coordorigin="2102,1970" coordsize="2945,2">
            <v:shape style="position:absolute;left:2102;top:1970;width:2945;height:2" coordorigin="2102,1970" coordsize="2945,0" path="m2102,1970l5046,1970e" filled="false" stroked="true" strokeweight=".956pt" strokecolor="#d7000f">
              <v:path arrowok="t"/>
            </v:shape>
          </v:group>
          <w10:wrap type="none"/>
        </v:group>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2.515732pt;margin-top:.000031pt;width:252.3pt;height:53.9pt;mso-position-horizontal-relative:page;mso-position-vertical-relative:page;z-index:-967264" coordorigin="850,0" coordsize="5046,1078">
          <v:group style="position:absolute;left:850;top:0;width:2724;height:1078" coordorigin="850,0" coordsize="2724,1078">
            <v:shape style="position:absolute;left:850;top:0;width:2724;height:1078" coordorigin="850,0" coordsize="2724,1078" path="m3144,1078l850,1078,1280,0,3573,0,3144,1078xe" filled="true" fillcolor="#d7000f" stroked="false">
              <v:path arrowok="t"/>
              <v:fill type="solid"/>
            </v:shape>
            <v:shape style="position:absolute;left:5708;top:586;width:188;height:188" type="#_x0000_t75" stroked="false">
              <v:imagedata r:id="rId1" o:title=""/>
            </v:shape>
          </v:group>
          <v:group style="position:absolute;left:2835;top:680;width:2945;height:2" coordorigin="2835,680" coordsize="2945,2">
            <v:shape style="position:absolute;left:2835;top:680;width:2945;height:2" coordorigin="2835,680" coordsize="2945,0" path="m5779,680l2835,680e" filled="false" stroked="true" strokeweight=".956pt" strokecolor="#d7000f">
              <v:path arrowok="t"/>
            </v:shape>
          </v:group>
          <w10:wrap type="none"/>
        </v:group>
      </w:pict>
    </w:r>
    <w:r>
      <w:rPr/>
      <w:pict>
        <v:shape style="position:absolute;margin-left:41.519699pt;margin-top:93.830742pt;width:66pt;height:18pt;mso-position-horizontal-relative:page;mso-position-vertical-relative:page;z-index:-967240" type="#_x0000_t202" filled="false" stroked="false">
          <v:textbox inset="0,0,0,0">
            <w:txbxContent>
              <w:p>
                <w:pPr>
                  <w:spacing w:line="314"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重要事项</w:t>
                </w:r>
                <w:r>
                  <w:rPr>
                    <w:rFonts w:ascii="宋体" w:hAnsi="宋体" w:cs="宋体" w:eastAsia="宋体" w:hint="default"/>
                    <w:sz w:val="32"/>
                    <w:szCs w:val="32"/>
                  </w:rPr>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9.212997pt;margin-top:-.000002pt;width:496.1pt;height:132.550pt;mso-position-horizontal-relative:page;mso-position-vertical-relative:page;z-index:-967144" coordorigin="1984,0" coordsize="9922,2651">
          <v:group style="position:absolute;left:3778;top:0;width:8128;height:2651" coordorigin="3778,0" coordsize="8128,2651">
            <v:shape style="position:absolute;left:3778;top:0;width:8128;height:2651" coordorigin="3778,0" coordsize="8128,2651" path="m11906,2650l3778,2650,4835,0,11906,0,11906,2650xe" filled="true" fillcolor="#8e9090" stroked="false">
              <v:path arrowok="t"/>
              <v:fill type="solid"/>
            </v:shape>
          </v:group>
          <v:group style="position:absolute;left:3082;top:0;width:7184;height:2188" coordorigin="3082,0" coordsize="7184,2188">
            <v:shape style="position:absolute;left:3082;top:0;width:7184;height:2188" coordorigin="3082,0" coordsize="7184,2188" path="m9393,2187l3082,2187,3954,0,10265,0,9393,2187xe" filled="true" fillcolor="#d7000f" stroked="false">
              <v:path arrowok="t"/>
              <v:fill type="solid"/>
            </v:shape>
            <v:shape style="position:absolute;left:1984;top:1876;width:188;height:188" type="#_x0000_t75" stroked="false">
              <v:imagedata r:id="rId1" o:title=""/>
            </v:shape>
          </v:group>
          <v:group style="position:absolute;left:2102;top:1970;width:2945;height:2" coordorigin="2102,1970" coordsize="2945,2">
            <v:shape style="position:absolute;left:2102;top:1970;width:2945;height:2" coordorigin="2102,1970" coordsize="2945,0" path="m2102,1970l5046,1970e" filled="false" stroked="true" strokeweight=".956pt" strokecolor="#d7000f">
              <v:path arrowok="t"/>
            </v:shape>
          </v:group>
          <w10:wrap type="none"/>
        </v:group>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2.515732pt;margin-top:.000031pt;width:252.3pt;height:53.9pt;mso-position-horizontal-relative:page;mso-position-vertical-relative:page;z-index:-967120" coordorigin="850,0" coordsize="5046,1078">
          <v:group style="position:absolute;left:850;top:0;width:2724;height:1078" coordorigin="850,0" coordsize="2724,1078">
            <v:shape style="position:absolute;left:850;top:0;width:2724;height:1078" coordorigin="850,0" coordsize="2724,1078" path="m3144,1078l850,1078,1280,0,3573,0,3144,1078xe" filled="true" fillcolor="#d7000f" stroked="false">
              <v:path arrowok="t"/>
              <v:fill type="solid"/>
            </v:shape>
            <v:shape style="position:absolute;left:5708;top:586;width:188;height:188" type="#_x0000_t75" stroked="false">
              <v:imagedata r:id="rId1" o:title=""/>
            </v:shape>
          </v:group>
          <v:group style="position:absolute;left:2835;top:680;width:2945;height:2" coordorigin="2835,680" coordsize="2945,2">
            <v:shape style="position:absolute;left:2835;top:680;width:2945;height:2" coordorigin="2835,680" coordsize="2945,0" path="m5779,680l2835,680e" filled="false" stroked="true" strokeweight=".956pt" strokecolor="#d7000f">
              <v:path arrowok="t"/>
            </v:shape>
          </v:group>
          <w10:wrap type="none"/>
        </v:group>
      </w:pict>
    </w:r>
    <w:r>
      <w:rPr/>
      <w:pict>
        <v:shape style="position:absolute;margin-left:41.519699pt;margin-top:93.830742pt;width:66pt;height:18pt;mso-position-horizontal-relative:page;mso-position-vertical-relative:page;z-index:-967096" type="#_x0000_t202" filled="false" stroked="false">
          <v:textbox inset="0,0,0,0">
            <w:txbxContent>
              <w:p>
                <w:pPr>
                  <w:spacing w:line="314"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重要事项</w:t>
                </w:r>
                <w:r>
                  <w:rPr>
                    <w:rFonts w:ascii="宋体" w:hAnsi="宋体" w:cs="宋体" w:eastAsia="宋体" w:hint="default"/>
                    <w:sz w:val="32"/>
                    <w:szCs w:val="32"/>
                  </w:rPr>
                </w:r>
              </w:p>
            </w:txbxContent>
          </v:textbox>
          <w10:wrap type="none"/>
        </v:shape>
      </w:pic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99.212997pt;margin-top:-.000002pt;width:496.1pt;height:132.550pt;mso-position-horizontal-relative:page;mso-position-vertical-relative:page;z-index:-967000" coordorigin="1984,0" coordsize="9922,2651">
          <v:group style="position:absolute;left:3778;top:0;width:8128;height:2651" coordorigin="3778,0" coordsize="8128,2651">
            <v:shape style="position:absolute;left:3778;top:0;width:8128;height:2651" coordorigin="3778,0" coordsize="8128,2651" path="m11906,2650l3778,2650,4835,0,11906,0,11906,2650xe" filled="true" fillcolor="#8e9090" stroked="false">
              <v:path arrowok="t"/>
              <v:fill type="solid"/>
            </v:shape>
          </v:group>
          <v:group style="position:absolute;left:3082;top:0;width:7184;height:2188" coordorigin="3082,0" coordsize="7184,2188">
            <v:shape style="position:absolute;left:3082;top:0;width:7184;height:2188" coordorigin="3082,0" coordsize="7184,2188" path="m9393,2187l3082,2187,3954,0,10265,0,9393,2187xe" filled="true" fillcolor="#d7000f" stroked="false">
              <v:path arrowok="t"/>
              <v:fill type="solid"/>
            </v:shape>
            <v:shape style="position:absolute;left:1984;top:1876;width:188;height:188" type="#_x0000_t75" stroked="false">
              <v:imagedata r:id="rId1" o:title=""/>
            </v:shape>
          </v:group>
          <v:group style="position:absolute;left:2102;top:1970;width:2945;height:2" coordorigin="2102,1970" coordsize="2945,2">
            <v:shape style="position:absolute;left:2102;top:1970;width:2945;height:2" coordorigin="2102,1970" coordsize="2945,0" path="m2102,1970l5046,1970e" filled="false" stroked="true" strokeweight=".956pt" strokecolor="#d7000f">
              <v:path arrowok="t"/>
            </v:shape>
          </v:group>
          <w10:wrap type="none"/>
        </v:group>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75.590912pt;margin-top:.000002pt;width:219.7pt;height:77.1pt;mso-position-horizontal-relative:page;mso-position-vertical-relative:page;z-index:-966904" coordorigin="7512,0" coordsize="4394,1542">
          <v:shape style="position:absolute;left:7512;top:1247;width:188;height:188" type="#_x0000_t75" stroked="false">
            <v:imagedata r:id="rId1" o:title=""/>
          </v:shape>
          <v:group style="position:absolute;left:7629;top:1341;width:2831;height:2" coordorigin="7629,1341" coordsize="2831,2">
            <v:shape style="position:absolute;left:7629;top:1341;width:2831;height:2" coordorigin="7629,1341" coordsize="2831,0" path="m7629,1341l10460,1341e" filled="false" stroked="true" strokeweight=".956pt" strokecolor="#9c8758">
              <v:path arrowok="t"/>
            </v:shape>
          </v:group>
          <v:group style="position:absolute;left:10006;top:0;width:1900;height:522" coordorigin="10006,0" coordsize="1900,522">
            <v:shape style="position:absolute;left:10006;top:0;width:1900;height:522" coordorigin="10006,0" coordsize="1900,522" path="m11906,521l10006,521,10214,0,11906,0,11906,521xe" filled="true" fillcolor="#9c8758" stroked="false">
              <v:path arrowok="t"/>
              <v:fill type="solid"/>
            </v:shape>
          </v:group>
          <v:group style="position:absolute;left:9950;top:0;width:1956;height:1542" coordorigin="9950,0" coordsize="1956,1542">
            <v:shape style="position:absolute;left:9950;top:0;width:1956;height:1542" coordorigin="9950,0" coordsize="1956,1542" path="m11906,1542l9950,1542,10564,0,11906,0,11906,1542xe" filled="true" fillcolor="#8e9090" stroked="false">
              <v:path arrowok="t"/>
              <v:fill type="solid"/>
            </v:shape>
          </v:group>
          <w10:wrap type="none"/>
        </v:group>
      </w:pict>
    </w:r>
    <w:r>
      <w:rPr/>
      <w:pict>
        <v:shape style="position:absolute;margin-left:41.519699pt;margin-top:75.40554pt;width:146pt;height:37.2pt;mso-position-horizontal-relative:page;mso-position-vertical-relative:page;z-index:-966880"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普通股</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股份变动及股东情况</w:t>
                </w:r>
                <w:r>
                  <w:rPr>
                    <w:rFonts w:ascii="宋体" w:hAnsi="宋体" w:cs="宋体" w:eastAsia="宋体" w:hint="default"/>
                    <w:sz w:val="32"/>
                    <w:szCs w:val="32"/>
                  </w:rPr>
                </w:r>
              </w:p>
            </w:txbxContent>
          </v:textbox>
          <w10:wrap type="none"/>
        </v:shape>
      </w:pict>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00024pt;margin-top:.000002pt;width:284.9pt;height:77.1pt;mso-position-horizontal-relative:page;mso-position-vertical-relative:page;z-index:-966856" coordorigin="0,0" coordsize="5698,1542">
          <v:shape style="position:absolute;left:5510;top:907;width:188;height:188" type="#_x0000_t75" stroked="false">
            <v:imagedata r:id="rId1" o:title=""/>
          </v:shape>
          <v:group style="position:absolute;left:2636;top:1001;width:2945;height:2" coordorigin="2636,1001" coordsize="2945,2">
            <v:shape style="position:absolute;left:2636;top:1001;width:2945;height:2" coordorigin="2636,1001" coordsize="2945,0" path="m5580,1001l2636,1001e" filled="false" stroked="true" strokeweight=".956pt" strokecolor="#d7000f">
              <v:path arrowok="t"/>
            </v:shape>
          </v:group>
          <v:group style="position:absolute;left:0;top:0;width:3722;height:522" coordorigin="0,0" coordsize="3722,522">
            <v:shape style="position:absolute;left:0;top:0;width:3722;height:522" coordorigin="0,0" coordsize="3722,522" path="m3514,521l0,521,0,0,3722,0,3514,521xe" filled="true" fillcolor="#9c8758" stroked="false">
              <v:path arrowok="t"/>
              <v:fill type="solid"/>
            </v:shape>
          </v:group>
          <v:group style="position:absolute;left:0;top:0;width:4072;height:1542" coordorigin="0,0" coordsize="4072,1542">
            <v:shape style="position:absolute;left:0;top:0;width:4072;height:1542" coordorigin="0,0" coordsize="4072,1542" path="m3457,1542l0,1542,0,0,4072,0,3457,1542xe" filled="true" fillcolor="#8e9090" stroked="false">
              <v:path arrowok="t"/>
              <v:fill type="solid"/>
            </v:shape>
          </v:group>
          <w10:wrap type="none"/>
        </v:group>
      </w:pict>
    </w:r>
    <w:r>
      <w:rPr/>
      <w:pict>
        <v:group style="position:absolute;margin-left:353.843872pt;margin-top:.000031pt;width:129.4pt;height:36.9pt;mso-position-horizontal-relative:page;mso-position-vertical-relative:page;z-index:-966832" coordorigin="7077,0" coordsize="2588,738">
          <v:shape style="position:absolute;left:7077;top:0;width:2588;height:738" coordorigin="7077,0" coordsize="2588,738" path="m9370,737l7077,737,7371,0,9664,0,9370,737xe" filled="true" fillcolor="#d7000f" stroked="false">
            <v:path arrowok="t"/>
            <v:fill type="solid"/>
          </v:shape>
          <w10:wrap type="none"/>
        </v:group>
      </w:pict>
    </w:r>
    <w:r>
      <w:rPr/>
      <w:pict>
        <v:group style="position:absolute;margin-left:456.378296pt;margin-top:75.116226pt;width:139.4pt;height:9.4pt;mso-position-horizontal-relative:page;mso-position-vertical-relative:page;z-index:-966808" coordorigin="9128,1502" coordsize="2788,188">
          <v:shape style="position:absolute;left:9128;top:1502;width:188;height:188" type="#_x0000_t75" stroked="false">
            <v:imagedata r:id="rId2" o:title=""/>
          </v:shape>
          <v:group style="position:absolute;left:9245;top:1596;width:2661;height:2" coordorigin="9245,1596" coordsize="2661,2">
            <v:shape style="position:absolute;left:9245;top:1596;width:2661;height:2" coordorigin="9245,1596" coordsize="2661,0" path="m9245,1596l11906,1596e" filled="false" stroked="true" strokeweight=".956pt" strokecolor="#9c8758">
              <v:path arrowok="t"/>
            </v:shape>
          </v:group>
          <w10:wrap type="none"/>
        </v:group>
      </w:pict>
    </w: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519699pt;margin-top:75.40554pt;width:146pt;height:37.2pt;mso-position-horizontal-relative:page;mso-position-vertical-relative:page;z-index:-966448"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普通股</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股份变动及股东情况</w:t>
                </w:r>
                <w:r>
                  <w:rPr>
                    <w:rFonts w:ascii="宋体" w:hAnsi="宋体" w:cs="宋体" w:eastAsia="宋体" w:hint="default"/>
                    <w:sz w:val="32"/>
                    <w:szCs w:val="32"/>
                  </w:rPr>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00001pt;margin-top:-.750004pt;width:596.050pt;height:203.4pt;mso-position-horizontal-relative:page;mso-position-vertical-relative:page;z-index:-968464" coordorigin="0,-15" coordsize="11921,4068">
          <v:group style="position:absolute;left:0;top:2545;width:2660;height:1508" coordorigin="0,2545" coordsize="2660,1508">
            <v:shape style="position:absolute;left:0;top:2545;width:2660;height:1508" coordorigin="0,2545" coordsize="2660,1508" path="m2660,2545l0,2545,0,4052,2660,2545xe" filled="true" fillcolor="#9b8758" stroked="false">
              <v:path arrowok="t"/>
              <v:fill type="solid"/>
            </v:shape>
          </v:group>
          <v:group style="position:absolute;left:2675;top:2536;width:2;height:9" coordorigin="2675,2536" coordsize="2,9">
            <v:shape style="position:absolute;left:2675;top:2536;width:2;height:9" coordorigin="2675,2536" coordsize="1,9" path="m2675,2536l2675,2545e" filled="false" stroked="true" strokeweight="1.5pt" strokecolor="#8c8f90">
              <v:path arrowok="t"/>
            </v:shape>
          </v:group>
          <v:group style="position:absolute;left:2663;top:2543;width:3;height:2" coordorigin="2663,2543" coordsize="3,2">
            <v:shape style="position:absolute;left:2663;top:2543;width:3;height:2" coordorigin="2663,2543" coordsize="3,2" path="m2663,2543l2665,2545e" filled="false" stroked="true" strokeweight="1pt" strokecolor="#8c8f90">
              <v:path arrowok="t"/>
            </v:shape>
          </v:group>
          <v:group style="position:absolute;left:2665;top:2542;width:2;height:4" coordorigin="2665,2542" coordsize="2,4">
            <v:shape style="position:absolute;left:2665;top:2542;width:2;height:4" coordorigin="2665,2542" coordsize="1,4" path="m2665,2542l2665,2545e" filled="false" stroked="true" strokeweight=".5pt" strokecolor="#8c8f90">
              <v:path arrowok="t"/>
            </v:shape>
          </v:group>
          <v:group style="position:absolute;left:2660;top:2544;width:2;height:2" coordorigin="2660,2544" coordsize="2,2">
            <v:shape style="position:absolute;left:2660;top:2544;width:2;height:2" coordorigin="2660,2544" coordsize="1,1" path="m2661,2544l2660,2545e" filled="false" stroked="true" strokeweight="1pt" strokecolor="#9b8758">
              <v:path arrowok="t"/>
            </v:shape>
          </v:group>
          <v:group style="position:absolute;left:2673;top:2537;width:2;height:8" coordorigin="2673,2537" coordsize="2,8">
            <v:shape style="position:absolute;left:2673;top:2537;width:2;height:8" coordorigin="2673,2537" coordsize="1,8" path="m2674,2537l2673,2545e" filled="false" stroked="true" strokeweight="1.5pt" strokecolor="#8c8f90">
              <v:path arrowok="t"/>
            </v:shape>
          </v:group>
          <v:group style="position:absolute;left:2680;top:2533;width:2;height:12" coordorigin="2680,2533" coordsize="2,12">
            <v:shape style="position:absolute;left:2680;top:2533;width:2;height:12" coordorigin="2680,2533" coordsize="1,12" path="m2680,2533l2680,2545e" filled="false" stroked="true" strokeweight="1.5pt" strokecolor="#9b8758">
              <v:path arrowok="t"/>
            </v:shape>
          </v:group>
          <v:group style="position:absolute;left:2727;top:2507;width:24;height:39" coordorigin="2727,2507" coordsize="24,39">
            <v:shape style="position:absolute;left:2727;top:2507;width:24;height:39" coordorigin="2727,2507" coordsize="24,39" path="m2727,2507l2750,2545e" filled="false" stroked="true" strokeweight=".5pt" strokecolor="#8c8f90">
              <v:path arrowok="t"/>
            </v:shape>
          </v:group>
          <v:group style="position:absolute;left:2715;top:2514;width:13;height:32" coordorigin="2715,2514" coordsize="13,32">
            <v:shape style="position:absolute;left:2715;top:2514;width:13;height:32" coordorigin="2715,2514" coordsize="13,32" path="m2715,2514l2727,2545e" filled="false" stroked="true" strokeweight=".25pt" strokecolor="#9b8758">
              <v:path arrowok="t"/>
            </v:shape>
          </v:group>
          <v:group style="position:absolute;left:2726;top:2507;width:23;height:38" coordorigin="2726,2507" coordsize="23,38">
            <v:shape style="position:absolute;left:2726;top:2507;width:23;height:38" coordorigin="2726,2507" coordsize="23,38" path="m2726,2507l2748,2545e" filled="false" stroked="true" strokeweight="1.5pt" strokecolor="#9b8758">
              <v:path arrowok="t"/>
            </v:shape>
            <v:shape style="position:absolute;left:2753;top:2459;width:305;height:101" type="#_x0000_t75" stroked="false">
              <v:imagedata r:id="rId1" o:title=""/>
            </v:shape>
          </v:group>
          <v:group style="position:absolute;left:2905;top:2406;width:6350;height:139" coordorigin="2905,2406" coordsize="6350,139">
            <v:shape style="position:absolute;left:2905;top:2406;width:6350;height:139" coordorigin="2905,2406" coordsize="6350,139" path="m2905,2406l9254,2545e" filled="false" stroked="true" strokeweight=".5pt" strokecolor="#8c8f90">
              <v:path arrowok="t"/>
            </v:shape>
          </v:group>
          <v:group style="position:absolute;left:3491;top:0;width:4616;height:2074" coordorigin="3491,0" coordsize="4616,2074">
            <v:shape style="position:absolute;left:3491;top:0;width:4616;height:2074" coordorigin="3491,0" coordsize="4616,2074" path="m8107,0l3491,2074e" filled="false" stroked="true" strokeweight=".5pt" strokecolor="#9b8758">
              <v:path arrowok="t"/>
            </v:shape>
          </v:group>
          <v:group style="position:absolute;left:3347;top:0;width:5088;height:2156" coordorigin="3347,0" coordsize="5088,2156">
            <v:shape style="position:absolute;left:3347;top:0;width:5088;height:2156" coordorigin="3347,0" coordsize="5088,2156" path="m8434,0l3347,2155e" filled="false" stroked="true" strokeweight=".5pt" strokecolor="#8c8f90">
              <v:path arrowok="t"/>
            </v:shape>
          </v:group>
          <v:group style="position:absolute;left:2971;top:261;width:8935;height:2108" coordorigin="2971,261" coordsize="8935,2108">
            <v:shape style="position:absolute;left:2971;top:261;width:8935;height:2108" coordorigin="2971,261" coordsize="8935,2108" path="m11905,261l2971,2368e" filled="false" stroked="true" strokeweight=".25pt" strokecolor="#8c8f90">
              <v:path arrowok="t"/>
            </v:shape>
          </v:group>
          <v:group style="position:absolute;left:6356;top:0;width:833;height:451" coordorigin="6356,0" coordsize="833,451">
            <v:shape style="position:absolute;left:6356;top:0;width:833;height:451" coordorigin="6356,0" coordsize="833,451" path="m7188,0l6356,450e" filled="false" stroked="true" strokeweight="1pt" strokecolor="#8c8f90">
              <v:path arrowok="t"/>
            </v:shape>
          </v:group>
          <v:group style="position:absolute;left:3936;top:0;width:3711;height:1822" coordorigin="3936,0" coordsize="3711,1822">
            <v:shape style="position:absolute;left:3936;top:0;width:3711;height:1822" coordorigin="3936,0" coordsize="3711,1822" path="m7646,0l3936,1822e" filled="false" stroked="true" strokeweight="1.5pt" strokecolor="#8c8f90">
              <v:path arrowok="t"/>
            </v:shape>
          </v:group>
          <v:group style="position:absolute;left:6598;top:0;width:616;height:313" coordorigin="6598,0" coordsize="616,313">
            <v:shape style="position:absolute;left:6598;top:0;width:616;height:313" coordorigin="6598,0" coordsize="616,313" path="m7214,0l6598,313e" filled="false" stroked="true" strokeweight=".5pt" strokecolor="#9b8758">
              <v:path arrowok="t"/>
            </v:shape>
          </v:group>
          <v:group style="position:absolute;left:2864;top:2071;width:9042;height:359" coordorigin="2864,2071" coordsize="9042,359">
            <v:shape style="position:absolute;left:2864;top:2071;width:9042;height:359" coordorigin="2864,2071" coordsize="9042,359" path="m2864,2429l11906,2071e" filled="false" stroked="true" strokeweight="1.5pt" strokecolor="#8c8f90">
              <v:path arrowok="t"/>
            </v:shape>
          </v:group>
          <v:group style="position:absolute;left:2772;top:2481;width:124;height:64" coordorigin="2772,2481" coordsize="124,64">
            <v:shape style="position:absolute;left:2772;top:2481;width:124;height:64" coordorigin="2772,2481" coordsize="124,64" path="m2772,2481l2895,2545e" filled="false" stroked="true" strokeweight="1pt" strokecolor="#9b8758">
              <v:path arrowok="t"/>
            </v:shape>
          </v:group>
          <v:group style="position:absolute;left:2815;top:2457;width:559;height:89" coordorigin="2815,2457" coordsize="559,89">
            <v:shape style="position:absolute;left:2815;top:2457;width:559;height:89" coordorigin="2815,2457" coordsize="559,89" path="m2815,2457l3374,2545e" filled="false" stroked="true" strokeweight="1pt" strokecolor="#8c8f90">
              <v:path arrowok="t"/>
            </v:shape>
          </v:group>
          <v:group style="position:absolute;left:2799;top:2466;width:311;height:80" coordorigin="2799,2466" coordsize="311,80">
            <v:shape style="position:absolute;left:2799;top:2466;width:311;height:80" coordorigin="2799,2466" coordsize="311,80" path="m2799,2466l3110,2545e" filled="false" stroked="true" strokeweight="1.5pt" strokecolor="#8c8f90">
              <v:path arrowok="t"/>
            </v:shape>
          </v:group>
          <v:group style="position:absolute;left:2809;top:2460;width:442;height:85" coordorigin="2809,2460" coordsize="442,85">
            <v:shape style="position:absolute;left:2809;top:2460;width:442;height:85" coordorigin="2809,2460" coordsize="442,85" path="m2809,2460l3250,2545e" filled="false" stroked="true" strokeweight="1.5pt" strokecolor="#8c8f90">
              <v:path arrowok="t"/>
            </v:shape>
          </v:group>
          <v:group style="position:absolute;left:2978;top:189;width:8928;height:2176" coordorigin="2978,189" coordsize="8928,2176">
            <v:shape style="position:absolute;left:2978;top:189;width:8928;height:2176" coordorigin="2978,189" coordsize="8928,2176" path="m2978,2365l11906,189e" filled="false" stroked="true" strokeweight="1pt" strokecolor="#8c8f90">
              <v:path arrowok="t"/>
            </v:shape>
          </v:group>
          <v:group style="position:absolute;left:2905;top:1164;width:9001;height:1242" coordorigin="2905,1164" coordsize="9001,1242">
            <v:shape style="position:absolute;left:2905;top:1164;width:9001;height:1242" coordorigin="2905,1164" coordsize="9001,1242" path="m2905,2406l11906,1164e" filled="false" stroked="true" strokeweight="1.5pt" strokecolor="#8c8f90">
              <v:path arrowok="t"/>
            </v:shape>
          </v:group>
          <v:group style="position:absolute;left:2730;top:2505;width:86;height:40" coordorigin="2730,2505" coordsize="86,40">
            <v:shape style="position:absolute;left:2730;top:2505;width:86;height:40" coordorigin="2730,2505" coordsize="86,40" path="m2816,2545l2730,2505e" filled="false" stroked="true" strokeweight=".5pt" strokecolor="#9b8758">
              <v:path arrowok="t"/>
            </v:shape>
          </v:group>
          <v:group style="position:absolute;left:2783;top:2475;width:179;height:70" coordorigin="2783,2475" coordsize="179,70">
            <v:shape style="position:absolute;left:2783;top:2475;width:179;height:70" coordorigin="2783,2475" coordsize="179,70" path="m2961,2545l2783,2475e" filled="false" stroked="true" strokeweight=".5pt" strokecolor="#9b8758">
              <v:path arrowok="t"/>
            </v:shape>
          </v:group>
          <v:group style="position:absolute;left:2764;top:2486;width:97;height:60" coordorigin="2764,2486" coordsize="97,60">
            <v:shape style="position:absolute;left:2764;top:2486;width:97;height:60" coordorigin="2764,2486" coordsize="97,60" path="m2861,2545l2764,2486e" filled="false" stroked="true" strokeweight=".25pt" strokecolor="#8c8f90">
              <v:path arrowok="t"/>
            </v:shape>
          </v:group>
          <v:group style="position:absolute;left:2758;top:2489;width:78;height:56" coordorigin="2758,2489" coordsize="78,56">
            <v:shape style="position:absolute;left:2758;top:2489;width:78;height:56" coordorigin="2758,2489" coordsize="78,56" path="m2835,2545l2758,2489e" filled="false" stroked="true" strokeweight=".25pt" strokecolor="#8c8f90">
              <v:path arrowok="t"/>
            </v:shape>
          </v:group>
          <v:group style="position:absolute;left:2759;top:2489;width:81;height:57" coordorigin="2759,2489" coordsize="81,57">
            <v:shape style="position:absolute;left:2759;top:2489;width:81;height:57" coordorigin="2759,2489" coordsize="81,57" path="m2759,2489l2839,2545e" filled="false" stroked="true" strokeweight="1pt" strokecolor="#9b8758">
              <v:path arrowok="t"/>
            </v:shape>
          </v:group>
          <v:group style="position:absolute;left:2748;top:2494;width:56;height:51" coordorigin="2748,2494" coordsize="56,51">
            <v:shape style="position:absolute;left:2748;top:2494;width:56;height:51" coordorigin="2748,2494" coordsize="56,51" path="m2748,2494l2804,2545e" filled="false" stroked="true" strokeweight="1.5pt" strokecolor="#8c8f90">
              <v:path arrowok="t"/>
            </v:shape>
          </v:group>
          <v:group style="position:absolute;left:2716;top:2513;width:14;height:33" coordorigin="2716,2513" coordsize="14,33">
            <v:shape style="position:absolute;left:2716;top:2513;width:14;height:33" coordorigin="2716,2513" coordsize="14,33" path="m2716,2513l2730,2545e" filled="false" stroked="true" strokeweight="1.5pt" strokecolor="#9b8758">
              <v:path arrowok="t"/>
            </v:shape>
          </v:group>
          <v:group style="position:absolute;left:2728;top:2506;width:25;height:39" coordorigin="2728,2506" coordsize="25,39">
            <v:shape style="position:absolute;left:2728;top:2506;width:25;height:39" coordorigin="2728,2506" coordsize="25,39" path="m2728,2506l2753,2545e" filled="false" stroked="true" strokeweight="1pt" strokecolor="#9b8758">
              <v:path arrowok="t"/>
            </v:shape>
          </v:group>
          <v:group style="position:absolute;left:2721;top:2510;width:18;height:35" coordorigin="2721,2510" coordsize="18,35">
            <v:shape style="position:absolute;left:2721;top:2510;width:18;height:35" coordorigin="2721,2510" coordsize="18,35" path="m2721,2510l2738,2545e" filled="false" stroked="true" strokeweight="1.5pt" strokecolor="#8c8f90">
              <v:path arrowok="t"/>
            </v:shape>
          </v:group>
          <v:group style="position:absolute;left:2753;top:2492;width:66;height:53" coordorigin="2753,2492" coordsize="66,53">
            <v:shape style="position:absolute;left:2753;top:2492;width:66;height:53" coordorigin="2753,2492" coordsize="66,53" path="m2753,2492l2818,2545e" filled="false" stroked="true" strokeweight="1pt" strokecolor="#9b8758">
              <v:path arrowok="t"/>
            </v:shape>
          </v:group>
          <v:group style="position:absolute;left:2761;top:2487;width:88;height:58" coordorigin="2761,2487" coordsize="88,58">
            <v:shape style="position:absolute;left:2761;top:2487;width:88;height:58" coordorigin="2761,2487" coordsize="88,58" path="m2761,2487l2849,2545e" filled="false" stroked="true" strokeweight="1pt" strokecolor="#9b8758">
              <v:path arrowok="t"/>
            </v:shape>
          </v:group>
          <v:group style="position:absolute;left:2745;top:2497;width:49;height:49" coordorigin="2745,2497" coordsize="49,49">
            <v:shape style="position:absolute;left:2745;top:2497;width:49;height:49" coordorigin="2745,2497" coordsize="49,49" path="m2745,2497l2793,2545e" filled="false" stroked="true" strokeweight="1.5pt" strokecolor="#9b8758">
              <v:path arrowok="t"/>
            </v:shape>
          </v:group>
          <v:group style="position:absolute;left:2766;top:2485;width:102;height:61" coordorigin="2766,2485" coordsize="102,61">
            <v:shape style="position:absolute;left:2766;top:2485;width:102;height:61" coordorigin="2766,2485" coordsize="102,61" path="m2766,2485l2868,2545e" filled="false" stroked="true" strokeweight="1pt" strokecolor="#9b8758">
              <v:path arrowok="t"/>
            </v:shape>
          </v:group>
          <v:group style="position:absolute;left:2743;top:2498;width:46;height:48" coordorigin="2743,2498" coordsize="46,48">
            <v:shape style="position:absolute;left:2743;top:2498;width:46;height:48" coordorigin="2743,2498" coordsize="46,48" path="m2743,2498l2788,2545e" filled="false" stroked="true" strokeweight="1pt" strokecolor="#8c8f90">
              <v:path arrowok="t"/>
            </v:shape>
          </v:group>
          <v:group style="position:absolute;left:2747;top:2495;width:54;height:50" coordorigin="2747,2495" coordsize="54,50">
            <v:shape style="position:absolute;left:2747;top:2495;width:54;height:50" coordorigin="2747,2495" coordsize="54,50" path="m2747,2495l2801,2545e" filled="false" stroked="true" strokeweight="1pt" strokecolor="#8c8f90">
              <v:path arrowok="t"/>
            </v:shape>
          </v:group>
          <v:group style="position:absolute;left:2796;top:2468;width:275;height:78" coordorigin="2796,2468" coordsize="275,78">
            <v:shape style="position:absolute;left:2796;top:2468;width:275;height:78" coordorigin="2796,2468" coordsize="275,78" path="m2796,2468l3070,2545e" filled="false" stroked="true" strokeweight=".5pt" strokecolor="#9b8758">
              <v:path arrowok="t"/>
            </v:shape>
          </v:group>
          <v:group style="position:absolute;left:2756;top:2490;width:74;height:55" coordorigin="2756,2490" coordsize="74,55">
            <v:shape style="position:absolute;left:2756;top:2490;width:74;height:55" coordorigin="2756,2490" coordsize="74,55" path="m2756,2490l2830,2545e" filled="false" stroked="true" strokeweight="1.5pt" strokecolor="#9b8758">
              <v:path arrowok="t"/>
            </v:shape>
          </v:group>
          <v:group style="position:absolute;left:2678;top:2538;width:10;height:2" coordorigin="2678,2538" coordsize="10,2">
            <v:shape style="position:absolute;left:2678;top:2538;width:10;height:2" coordorigin="2678,2538" coordsize="10,0" path="m2678,2538l2688,2538e" filled="false" stroked="true" strokeweight=".669609pt" strokecolor="#9b8758">
              <v:path arrowok="t"/>
            </v:shape>
          </v:group>
          <v:group style="position:absolute;left:2666;top:2541;width:2;height:4" coordorigin="2666,2541" coordsize="2,4">
            <v:shape style="position:absolute;left:2666;top:2541;width:2;height:4" coordorigin="2666,2541" coordsize="1,4" path="m2666,2545l2667,2541e" filled="false" stroked="true" strokeweight=".25pt" strokecolor="#9b8758">
              <v:path arrowok="t"/>
            </v:shape>
          </v:group>
          <v:group style="position:absolute;left:2667;top:2540;width:2;height:5" coordorigin="2667,2540" coordsize="2,5">
            <v:shape style="position:absolute;left:2667;top:2540;width:2;height:5" coordorigin="2667,2540" coordsize="1,5" path="m2668,2540l2667,2545e" filled="false" stroked="true" strokeweight="1pt" strokecolor="#9b8758">
              <v:path arrowok="t"/>
            </v:shape>
          </v:group>
          <v:group style="position:absolute;left:2718;top:2512;width:15;height:33" coordorigin="2718,2512" coordsize="15,33">
            <v:shape style="position:absolute;left:2718;top:2512;width:15;height:33" coordorigin="2718,2512" coordsize="15,33" path="m2718,2512l2733,2545e" filled="false" stroked="true" strokeweight=".5pt" strokecolor="#8c8f90">
              <v:path arrowok="t"/>
            </v:shape>
          </v:group>
          <v:group style="position:absolute;left:2713;top:2514;width:12;height:31" coordorigin="2713,2514" coordsize="12,31">
            <v:shape style="position:absolute;left:2713;top:2514;width:12;height:31" coordorigin="2713,2514" coordsize="12,31" path="m2713,2514l2725,2545e" filled="false" stroked="true" strokeweight=".5pt" strokecolor="#9b8758">
              <v:path arrowok="t"/>
            </v:shape>
          </v:group>
          <v:group style="position:absolute;left:2739;top:2500;width:40;height:46" coordorigin="2739,2500" coordsize="40,46">
            <v:shape style="position:absolute;left:2739;top:2500;width:40;height:46" coordorigin="2739,2500" coordsize="40,46" path="m2739,2500l2779,2545e" filled="false" stroked="true" strokeweight=".25pt" strokecolor="#8c8f90">
              <v:path arrowok="t"/>
            </v:shape>
          </v:group>
          <v:group style="position:absolute;left:2699;top:2522;width:5;height:23" coordorigin="2699,2522" coordsize="5,23">
            <v:shape style="position:absolute;left:2699;top:2522;width:5;height:23" coordorigin="2699,2522" coordsize="5,23" path="m2699,2522l2704,2545e" filled="false" stroked="true" strokeweight="1.0pt" strokecolor="#9b8758">
              <v:path arrowok="t"/>
            </v:shape>
          </v:group>
          <v:group style="position:absolute;left:2719;top:2511;width:16;height:34" coordorigin="2719,2511" coordsize="16,34">
            <v:shape style="position:absolute;left:2719;top:2511;width:16;height:34" coordorigin="2719,2511" coordsize="16,34" path="m2719,2511l2735,2545e" filled="false" stroked="true" strokeweight="1pt" strokecolor="#9b8758">
              <v:path arrowok="t"/>
            </v:shape>
          </v:group>
          <v:group style="position:absolute;left:2696;top:2524;width:3;height:21" coordorigin="2696,2524" coordsize="3,21">
            <v:shape style="position:absolute;left:2696;top:2524;width:3;height:21" coordorigin="2696,2524" coordsize="3,21" path="m2696,2524l2699,2545e" filled="false" stroked="true" strokeweight="1.5pt" strokecolor="#8c8f90">
              <v:path arrowok="t"/>
            </v:shape>
          </v:group>
          <v:group style="position:absolute;left:2712;top:2515;width:11;height:30" coordorigin="2712,2515" coordsize="11,30">
            <v:shape style="position:absolute;left:2712;top:2515;width:11;height:30" coordorigin="2712,2515" coordsize="11,30" path="m2712,2515l2722,2545e" filled="false" stroked="true" strokeweight="1.5pt" strokecolor="#9b8758">
              <v:path arrowok="t"/>
            </v:shape>
          </v:group>
          <v:group style="position:absolute;left:2705;top:2519;width:7;height:26" coordorigin="2705,2519" coordsize="7,26">
            <v:shape style="position:absolute;left:2705;top:2519;width:7;height:26" coordorigin="2705,2519" coordsize="7,26" path="m2705,2519l2712,2545e" filled="false" stroked="true" strokeweight=".5pt" strokecolor="#9b8758">
              <v:path arrowok="t"/>
            </v:shape>
          </v:group>
          <v:group style="position:absolute;left:2690;top:2528;width:2;height:17" coordorigin="2690,2528" coordsize="2,17">
            <v:shape style="position:absolute;left:2690;top:2528;width:2;height:17" coordorigin="2690,2528" coordsize="2,17" path="m2690,2528l2691,2545e" filled="false" stroked="true" strokeweight=".25pt" strokecolor="#8c8f90">
              <v:path arrowok="t"/>
            </v:shape>
          </v:group>
          <v:group style="position:absolute;left:2702;top:2521;width:6;height:25" coordorigin="2702,2521" coordsize="6,25">
            <v:shape style="position:absolute;left:2702;top:2521;width:6;height:25" coordorigin="2702,2521" coordsize="6,25" path="m2702,2521l2707,2545e" filled="false" stroked="true" strokeweight="1pt" strokecolor="#8c8f90">
              <v:path arrowok="t"/>
            </v:shape>
          </v:group>
          <v:group style="position:absolute;left:2709;top:2517;width:9;height:28" coordorigin="2709,2517" coordsize="9,28">
            <v:shape style="position:absolute;left:2709;top:2517;width:9;height:28" coordorigin="2709,2517" coordsize="9,28" path="m2709,2517l2718,2545e" filled="false" stroked="true" strokeweight="1.5pt" strokecolor="#9b8758">
              <v:path arrowok="t"/>
            </v:shape>
          </v:group>
          <v:group style="position:absolute;left:3143;top:0;width:6306;height:2271" coordorigin="3143,0" coordsize="6306,2271">
            <v:shape style="position:absolute;left:3143;top:0;width:6306;height:2271" coordorigin="3143,0" coordsize="6306,2271" path="m9449,0l3143,2271e" filled="false" stroked="true" strokeweight=".25pt" strokecolor="#8c8f90">
              <v:path arrowok="t"/>
            </v:shape>
          </v:group>
          <v:group style="position:absolute;left:3291;top:0;width:8284;height:2187" coordorigin="3291,0" coordsize="8284,2187">
            <v:shape style="position:absolute;left:3291;top:0;width:8284;height:2187" coordorigin="3291,0" coordsize="8284,2187" path="m11575,0l3291,2187e" filled="false" stroked="true" strokeweight=".25pt" strokecolor="#8c8f90">
              <v:path arrowok="t"/>
            </v:shape>
          </v:group>
          <v:group style="position:absolute;left:3265;top:0;width:5459;height:2202" coordorigin="3265,0" coordsize="5459,2202">
            <v:shape style="position:absolute;left:3265;top:0;width:5459;height:2202" coordorigin="3265,0" coordsize="5459,2202" path="m8723,0l3265,2202e" filled="false" stroked="true" strokeweight="1.0pt" strokecolor="#9b8758">
              <v:path arrowok="t"/>
            </v:shape>
          </v:group>
          <v:group style="position:absolute;left:3026;top:0;width:8085;height:2338" coordorigin="3026,0" coordsize="8085,2338">
            <v:shape style="position:absolute;left:3026;top:0;width:8085;height:2338" coordorigin="3026,0" coordsize="8085,2338" path="m11110,0l3026,2337e" filled="false" stroked="true" strokeweight="1.5pt" strokecolor="#8c8f90">
              <v:path arrowok="t"/>
            </v:shape>
          </v:group>
          <v:group style="position:absolute;left:3184;top:0;width:5963;height:2248" coordorigin="3184,0" coordsize="5963,2248">
            <v:shape style="position:absolute;left:3184;top:0;width:5963;height:2248" coordorigin="3184,0" coordsize="5963,2248" path="m9146,0l3184,2248e" filled="false" stroked="true" strokeweight="1.5pt" strokecolor="#8c8f90">
              <v:path arrowok="t"/>
            </v:shape>
          </v:group>
          <v:group style="position:absolute;left:3055;top:0;width:7451;height:2321" coordorigin="3055,0" coordsize="7451,2321">
            <v:shape style="position:absolute;left:3055;top:0;width:7451;height:2321" coordorigin="3055,0" coordsize="7451,2321" path="m10506,0l3055,2320e" filled="false" stroked="true" strokeweight=".5pt" strokecolor="#9b8758">
              <v:path arrowok="t"/>
            </v:shape>
          </v:group>
          <v:group style="position:absolute;left:2915;top:999;width:8991;height:1402" coordorigin="2915,999" coordsize="8991,1402">
            <v:shape style="position:absolute;left:2915;top:999;width:8991;height:1402" coordorigin="2915,999" coordsize="8991,1402" path="m11906,999l2915,2400e" filled="false" stroked="true" strokeweight=".25pt" strokecolor="#9b8758">
              <v:path arrowok="t"/>
            </v:shape>
          </v:group>
          <v:group style="position:absolute;left:3084;top:0;width:6993;height:2305" coordorigin="3084,0" coordsize="6993,2305">
            <v:shape style="position:absolute;left:3084;top:0;width:6993;height:2305" coordorigin="3084,0" coordsize="6993,2305" path="m10076,0l3084,2304e" filled="false" stroked="true" strokeweight="1pt" strokecolor="#8c8f90">
              <v:path arrowok="t"/>
            </v:shape>
          </v:group>
          <v:group style="position:absolute;left:2957;top:409;width:8949;height:1967" coordorigin="2957,409" coordsize="8949,1967">
            <v:shape style="position:absolute;left:2957;top:409;width:8949;height:1967" coordorigin="2957,409" coordsize="8949,1967" path="m11906,409l2957,2376e" filled="false" stroked="true" strokeweight="1.5pt" strokecolor="#8c8f90">
              <v:path arrowok="t"/>
            </v:shape>
          </v:group>
          <v:group style="position:absolute;left:2896;top:1329;width:9010;height:1083" coordorigin="2896,1329" coordsize="9010,1083">
            <v:shape style="position:absolute;left:2896;top:1329;width:9010;height:1083" coordorigin="2896,1329" coordsize="9010,1083" path="m11906,1329l2896,2411e" filled="false" stroked="true" strokeweight=".5pt" strokecolor="#9b8758">
              <v:path arrowok="t"/>
            </v:shape>
          </v:group>
          <v:group style="position:absolute;left:2884;top:1579;width:9022;height:839" coordorigin="2884,1579" coordsize="9022,839">
            <v:shape style="position:absolute;left:2884;top:1579;width:9022;height:839" coordorigin="2884,1579" coordsize="9022,839" path="m11905,1579l2884,2418e" filled="false" stroked="true" strokeweight="1pt" strokecolor="#9b8758">
              <v:path arrowok="t"/>
            </v:shape>
          </v:group>
          <v:group style="position:absolute;left:2859;top:2211;width:9047;height:222" coordorigin="2859,2211" coordsize="9047,222">
            <v:shape style="position:absolute;left:2859;top:2211;width:9047;height:222" coordorigin="2859,2211" coordsize="9047,222" path="m2859,2432l11905,2211e" filled="false" stroked="true" strokeweight="1pt" strokecolor="#8c8f90">
              <v:path arrowok="t"/>
            </v:shape>
          </v:group>
          <v:group style="position:absolute;left:2833;top:2446;width:1430;height:99" coordorigin="2833,2446" coordsize="1430,99">
            <v:shape style="position:absolute;left:2833;top:2446;width:1430;height:99" coordorigin="2833,2446" coordsize="1430,99" path="m2833,2446l4263,2545e" filled="false" stroked="true" strokeweight="1.5pt" strokecolor="#8c8f90">
              <v:path arrowok="t"/>
            </v:shape>
          </v:group>
          <v:group style="position:absolute;left:2840;top:2443;width:2491;height:103" coordorigin="2840,2443" coordsize="2491,103">
            <v:shape style="position:absolute;left:2840;top:2443;width:2491;height:103" coordorigin="2840,2443" coordsize="2491,103" path="m2840,2443l5331,2545e" filled="false" stroked="true" strokeweight="1.0pt" strokecolor="#9b8758">
              <v:path arrowok="t"/>
            </v:shape>
          </v:group>
          <v:group style="position:absolute;left:2852;top:2419;width:9054;height:17" coordorigin="2852,2419" coordsize="9054,17">
            <v:shape style="position:absolute;left:2852;top:2419;width:9054;height:17" coordorigin="2852,2419" coordsize="9054,17" path="m2852,2436l11906,2419e" filled="false" stroked="true" strokeweight="1pt" strokecolor="#9b8758">
              <v:path arrowok="t"/>
            </v:shape>
          </v:group>
          <v:group style="position:absolute;left:2817;top:2455;width:621;height:90" coordorigin="2817,2455" coordsize="621,90">
            <v:shape style="position:absolute;left:2817;top:2455;width:621;height:90" coordorigin="2817,2455" coordsize="621,90" path="m2817,2455l3438,2545e" filled="false" stroked="true" strokeweight="1.5pt" strokecolor="#8c8f90">
              <v:path arrowok="t"/>
            </v:shape>
          </v:group>
          <v:group style="position:absolute;left:2871;top:1883;width:9035;height:542" coordorigin="2871,1883" coordsize="9035,542">
            <v:shape style="position:absolute;left:2871;top:1883;width:9035;height:542" coordorigin="2871,1883" coordsize="9035,542" path="m11905,1883l2871,2425e" filled="false" stroked="true" strokeweight=".25pt" strokecolor="#9b8758">
              <v:path arrowok="t"/>
            </v:shape>
          </v:group>
          <v:group style="position:absolute;left:2929;top:779;width:8977;height:1614" coordorigin="2929,779" coordsize="8977,1614">
            <v:shape style="position:absolute;left:2929;top:779;width:8977;height:1614" coordorigin="2929,779" coordsize="8977,1614" path="m11906,779l2929,2392e" filled="false" stroked="true" strokeweight=".5pt" strokecolor="#8c8f90">
              <v:path arrowok="t"/>
            </v:shape>
          </v:group>
          <v:group style="position:absolute;left:2778;top:2478;width:311;height:68" coordorigin="2778,2478" coordsize="311,68">
            <v:shape style="position:absolute;left:2778;top:2478;width:311;height:68" coordorigin="2778,2478" coordsize="311,68" path="m3088,2545l2778,2478e" filled="false" stroked="true" strokeweight="1.0pt" strokecolor="#9b8758">
              <v:path arrowok="t"/>
            </v:shape>
          </v:group>
          <v:group style="position:absolute;left:2938;top:658;width:8968;height:1730" coordorigin="2938,658" coordsize="8968,1730">
            <v:shape style="position:absolute;left:2938;top:658;width:8968;height:1730" coordorigin="2938,658" coordsize="8968,1730" path="m11906,658l2938,2387e" filled="false" stroked="true" strokeweight="1.5pt" strokecolor="#9b8758">
              <v:path arrowok="t"/>
            </v:shape>
          </v:group>
          <v:group style="position:absolute;left:2730;top:2505;width:28;height:41" coordorigin="2730,2505" coordsize="28,41">
            <v:shape style="position:absolute;left:2730;top:2505;width:28;height:41" coordorigin="2730,2505" coordsize="28,41" path="m2730,2505l2757,2545e" filled="false" stroked="true" strokeweight=".25pt" strokecolor="#8c8f90">
              <v:path arrowok="t"/>
            </v:shape>
          </v:group>
          <v:group style="position:absolute;left:2688;top:2529;width:2;height:17" coordorigin="2688,2529" coordsize="2,17">
            <v:shape style="position:absolute;left:2688;top:2529;width:2;height:17" coordorigin="2688,2529" coordsize="1,17" path="m2689,2545l2688,2529e" filled="false" stroked="true" strokeweight="1pt" strokecolor="#9b8758">
              <v:path arrowok="t"/>
            </v:shape>
          </v:group>
          <v:group style="position:absolute;left:2736;top:2501;width:35;height:44" coordorigin="2736,2501" coordsize="35,44">
            <v:shape style="position:absolute;left:2736;top:2501;width:35;height:44" coordorigin="2736,2501" coordsize="35,44" path="m2771,2545l2736,2501e" filled="false" stroked="true" strokeweight="1.5pt" strokecolor="#8c8f90">
              <v:path arrowok="t"/>
            </v:shape>
          </v:group>
          <v:group style="position:absolute;left:2734;top:2502;width:33;height:43" coordorigin="2734,2502" coordsize="33,43">
            <v:shape style="position:absolute;left:2734;top:2502;width:33;height:43" coordorigin="2734,2502" coordsize="33,43" path="m2767,2545l2734,2502e" filled="false" stroked="true" strokeweight="1pt" strokecolor="#9b8758">
              <v:path arrowok="t"/>
            </v:shape>
          </v:group>
          <v:group style="position:absolute;left:2722;top:2509;width:19;height:36" coordorigin="2722,2509" coordsize="19,36">
            <v:shape style="position:absolute;left:2722;top:2509;width:19;height:36" coordorigin="2722,2509" coordsize="19,36" path="m2722,2509l2741,2545e" filled="false" stroked="true" strokeweight=".25pt" strokecolor="#9b8758">
              <v:path arrowok="t"/>
            </v:shape>
          </v:group>
          <v:group style="position:absolute;left:2671;top:2538;width:2;height:7" coordorigin="2671,2538" coordsize="2,7">
            <v:shape style="position:absolute;left:2671;top:2538;width:2;height:7" coordorigin="2671,2538" coordsize="1,7" path="m2671,2545l2671,2538e" filled="false" stroked="true" strokeweight="1pt" strokecolor="#9b8758">
              <v:path arrowok="t"/>
            </v:shape>
          </v:group>
          <v:group style="position:absolute;left:2720;top:2511;width:17;height:34" coordorigin="2720,2511" coordsize="17,34">
            <v:shape style="position:absolute;left:2720;top:2511;width:17;height:34" coordorigin="2720,2511" coordsize="17,34" path="m2736,2545l2720,2511e" filled="false" stroked="true" strokeweight="1pt" strokecolor="#9b8758">
              <v:path arrowok="t"/>
            </v:shape>
          </v:group>
          <v:group style="position:absolute;left:2710;top:2516;width:10;height:29" coordorigin="2710,2516" coordsize="10,29">
            <v:shape style="position:absolute;left:2710;top:2516;width:10;height:29" coordorigin="2710,2516" coordsize="10,29" path="m2720,2545l2710,2516e" filled="false" stroked="true" strokeweight="1.0pt" strokecolor="#9b8758">
              <v:path arrowok="t"/>
            </v:shape>
          </v:group>
          <v:group style="position:absolute;left:2708;top:2517;width:9;height:28" coordorigin="2708,2517" coordsize="9,28">
            <v:shape style="position:absolute;left:2708;top:2517;width:9;height:28" coordorigin="2708,2517" coordsize="9,28" path="m2716,2545l2708,2517e" filled="false" stroked="true" strokeweight="1pt" strokecolor="#8c8f90">
              <v:path arrowok="t"/>
            </v:shape>
          </v:group>
          <v:group style="position:absolute;left:2693;top:2526;width:3;height:20" coordorigin="2693,2526" coordsize="3,20">
            <v:shape style="position:absolute;left:2693;top:2526;width:3;height:20" coordorigin="2693,2526" coordsize="3,20" path="m2696,2545l2693,2526e" filled="false" stroked="true" strokeweight="1pt" strokecolor="#9b8758">
              <v:path arrowok="t"/>
            </v:shape>
          </v:group>
          <v:group style="position:absolute;left:2731;top:2504;width:28;height:41" coordorigin="2731,2504" coordsize="28,41">
            <v:shape style="position:absolute;left:2731;top:2504;width:28;height:41" coordorigin="2731,2504" coordsize="28,41" path="m2759,2545l2731,2504e" filled="false" stroked="true" strokeweight="1.5pt" strokecolor="#9b8758">
              <v:path arrowok="t"/>
            </v:shape>
          </v:group>
          <w10:wrap type="none"/>
        </v:group>
      </w:pict>
    </w:r>
    <w:r>
      <w:rPr/>
      <w:pict>
        <v:shape style="position:absolute;margin-left:38.685001pt;margin-top:73.988235pt;width:109.55pt;height:37.2pt;mso-position-horizontal-relative:page;mso-position-vertical-relative:page;z-index:-968440"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公司简介</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pacing w:val="-13"/>
                    <w:sz w:val="32"/>
                    <w:szCs w:val="32"/>
                  </w:rPr>
                  <w:t>和主要财务指标</w:t>
                </w:r>
                <w:r>
                  <w:rPr>
                    <w:rFonts w:ascii="宋体" w:hAnsi="宋体" w:cs="宋体" w:eastAsia="宋体" w:hint="default"/>
                    <w:sz w:val="32"/>
                    <w:szCs w:val="32"/>
                  </w:rPr>
                </w:r>
              </w:p>
            </w:txbxContent>
          </v:textbox>
          <w10:wrap type="none"/>
        </v:shape>
      </w:pict>
    </w: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2.515732pt;margin-top:.000031pt;width:136.2pt;height:53.9pt;mso-position-horizontal-relative:page;mso-position-vertical-relative:page;z-index:-966256" coordorigin="850,0" coordsize="2724,1078">
          <v:shape style="position:absolute;left:850;top:0;width:2724;height:1078" coordorigin="850,0" coordsize="2724,1078" path="m3144,1078l850,1078,1280,0,3573,0,3144,1078xe" filled="true" fillcolor="#d7000f" stroked="false">
            <v:path arrowok="t"/>
            <v:fill type="solid"/>
          </v:shape>
          <w10:wrap type="none"/>
        </v:group>
      </w:pict>
    </w:r>
    <w:r>
      <w:rPr/>
      <w:pict>
        <v:group style="position:absolute;margin-left:463.464905pt;margin-top:.000045pt;width:132.3pt;height:103.95pt;mso-position-horizontal-relative:page;mso-position-vertical-relative:page;z-index:-966232" coordorigin="9269,0" coordsize="2646,2079">
          <v:group style="position:absolute;left:10681;top:0;width:1225;height:2079" coordorigin="10681,0" coordsize="1225,2079">
            <v:shape style="position:absolute;left:10681;top:0;width:1225;height:2079" coordorigin="10681,0" coordsize="1225,2079" path="m11906,2078l10681,2078,11509,0,11906,0,11906,2078xe" filled="true" fillcolor="#8e9090" stroked="false">
              <v:path arrowok="t"/>
              <v:fill type="solid"/>
            </v:shape>
          </v:group>
          <v:group style="position:absolute;left:10681;top:0;width:1225;height:1235" coordorigin="10681,0" coordsize="1225,1235">
            <v:shape style="position:absolute;left:10681;top:0;width:1225;height:1235" coordorigin="10681,0" coordsize="1225,1235" path="m11906,1234l10681,1234,11173,0,11906,0,11906,1234xe" filled="true" fillcolor="#d7000f" stroked="false">
              <v:path arrowok="t"/>
              <v:fill type="solid"/>
            </v:shape>
            <v:shape style="position:absolute;left:9269;top:1558;width:188;height:188" type="#_x0000_t75" stroked="false">
              <v:imagedata r:id="rId1" o:title=""/>
            </v:shape>
          </v:group>
          <v:group style="position:absolute;left:9387;top:1652;width:2519;height:2" coordorigin="9387,1652" coordsize="2519,2">
            <v:shape style="position:absolute;left:9387;top:1652;width:2519;height:2" coordorigin="9387,1652" coordsize="2519,0" path="m9387,1652l11906,1652e" filled="false" stroked="true" strokeweight=".956pt" strokecolor="#8e9090">
              <v:path arrowok="t"/>
            </v:shape>
          </v:group>
          <w10:wrap type="none"/>
        </v:group>
      </w:pict>
    </w:r>
    <w:r>
      <w:rPr/>
      <w:pict>
        <v:shape style="position:absolute;margin-left:41.519699pt;margin-top:75.40554pt;width:178pt;height:37.2pt;mso-position-horizontal-relative:page;mso-position-vertical-relative:page;z-index:-966208"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董事、监事、</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高级管理人员和员工情况</w:t>
                </w:r>
                <w:r>
                  <w:rPr>
                    <w:rFonts w:ascii="宋体" w:hAnsi="宋体" w:cs="宋体" w:eastAsia="宋体" w:hint="default"/>
                    <w:sz w:val="32"/>
                    <w:szCs w:val="32"/>
                  </w:rPr>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77997pt;margin-top:.000045pt;width:133.6pt;height:103.95pt;mso-position-horizontal-relative:page;mso-position-vertical-relative:page;z-index:-966184" coordorigin="-10,0" coordsize="2672,2079">
          <v:group style="position:absolute;left:0;top:0;width:2663;height:2079" coordorigin="0,0" coordsize="2663,2079">
            <v:shape style="position:absolute;left:0;top:0;width:2663;height:2079" coordorigin="0,0" coordsize="2663,2079" path="m1834,2078l0,2078,0,0,2662,0,1834,2078xe" filled="true" fillcolor="#8e9090" stroked="false">
              <v:path arrowok="t"/>
              <v:fill type="solid"/>
            </v:shape>
          </v:group>
          <v:group style="position:absolute;left:0;top:0;width:2326;height:1235" coordorigin="0,0" coordsize="2326,1235">
            <v:shape style="position:absolute;left:0;top:0;width:2326;height:1235" coordorigin="0,0" coordsize="2326,1235" path="m1834,1234l0,1234,0,0,2326,0,1834,1234xe" filled="true" fillcolor="#d7000f" stroked="false">
              <v:path arrowok="t"/>
              <v:fill type="solid"/>
            </v:shape>
          </v:group>
          <v:group style="position:absolute;left:0;top:1652;width:1719;height:2" coordorigin="0,1652" coordsize="1719,2">
            <v:shape style="position:absolute;left:0;top:1652;width:1719;height:2" coordorigin="0,1652" coordsize="1719,0" path="m0,1652l1719,1652e" filled="false" stroked="true" strokeweight=".956pt" strokecolor="#8e9090">
              <v:path arrowok="t"/>
            </v:shape>
          </v:group>
          <w10:wrap type="none"/>
        </v:group>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77997pt;margin-top:.000045pt;width:133.6pt;height:103.95pt;mso-position-horizontal-relative:page;mso-position-vertical-relative:page;z-index:-965824" coordorigin="-10,0" coordsize="2672,2079">
          <v:group style="position:absolute;left:0;top:0;width:2663;height:2079" coordorigin="0,0" coordsize="2663,2079">
            <v:shape style="position:absolute;left:0;top:0;width:2663;height:2079" coordorigin="0,0" coordsize="2663,2079" path="m1834,2078l0,2078,0,0,2662,0,1834,2078xe" filled="true" fillcolor="#8e9090" stroked="false">
              <v:path arrowok="t"/>
              <v:fill type="solid"/>
            </v:shape>
          </v:group>
          <v:group style="position:absolute;left:0;top:0;width:2326;height:1235" coordorigin="0,0" coordsize="2326,1235">
            <v:shape style="position:absolute;left:0;top:0;width:2326;height:1235" coordorigin="0,0" coordsize="2326,1235" path="m1834,1234l0,1234,0,0,2326,0,1834,1234xe" filled="true" fillcolor="#d7000f" stroked="false">
              <v:path arrowok="t"/>
              <v:fill type="solid"/>
            </v:shape>
          </v:group>
          <v:group style="position:absolute;left:0;top:1652;width:1719;height:2" coordorigin="0,1652" coordsize="1719,2">
            <v:shape style="position:absolute;left:0;top:1652;width:1719;height:2" coordorigin="0,1652" coordsize="1719,0" path="m0,1652l1719,1652e" filled="false" stroked="true" strokeweight=".956pt" strokecolor="#8e9090">
              <v:path arrowok="t"/>
            </v:shape>
          </v:group>
          <w10:wrap type="none"/>
        </v:group>
      </w:pic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2.515732pt;margin-top:.000031pt;width:136.2pt;height:53.9pt;mso-position-horizontal-relative:page;mso-position-vertical-relative:page;z-index:-965800" coordorigin="850,0" coordsize="2724,1078">
          <v:shape style="position:absolute;left:850;top:0;width:2724;height:1078" coordorigin="850,0" coordsize="2724,1078" path="m3144,1078l850,1078,1280,0,3573,0,3144,1078xe" filled="true" fillcolor="#d7000f" stroked="false">
            <v:path arrowok="t"/>
            <v:fill type="solid"/>
          </v:shape>
          <w10:wrap type="none"/>
        </v:group>
      </w:pict>
    </w:r>
    <w:r>
      <w:rPr/>
      <w:pict>
        <v:group style="position:absolute;margin-left:463.464905pt;margin-top:.000045pt;width:132.3pt;height:103.95pt;mso-position-horizontal-relative:page;mso-position-vertical-relative:page;z-index:-965776" coordorigin="9269,0" coordsize="2646,2079">
          <v:group style="position:absolute;left:10681;top:0;width:1225;height:2079" coordorigin="10681,0" coordsize="1225,2079">
            <v:shape style="position:absolute;left:10681;top:0;width:1225;height:2079" coordorigin="10681,0" coordsize="1225,2079" path="m11906,2078l10681,2078,11509,0,11906,0,11906,2078xe" filled="true" fillcolor="#8e9090" stroked="false">
              <v:path arrowok="t"/>
              <v:fill type="solid"/>
            </v:shape>
          </v:group>
          <v:group style="position:absolute;left:10681;top:0;width:1225;height:1235" coordorigin="10681,0" coordsize="1225,1235">
            <v:shape style="position:absolute;left:10681;top:0;width:1225;height:1235" coordorigin="10681,0" coordsize="1225,1235" path="m11906,1234l10681,1234,11173,0,11906,0,11906,1234xe" filled="true" fillcolor="#d7000f" stroked="false">
              <v:path arrowok="t"/>
              <v:fill type="solid"/>
            </v:shape>
            <v:shape style="position:absolute;left:9269;top:1558;width:188;height:188" type="#_x0000_t75" stroked="false">
              <v:imagedata r:id="rId1" o:title=""/>
            </v:shape>
          </v:group>
          <v:group style="position:absolute;left:9387;top:1652;width:2519;height:2" coordorigin="9387,1652" coordsize="2519,2">
            <v:shape style="position:absolute;left:9387;top:1652;width:2519;height:2" coordorigin="9387,1652" coordsize="2519,0" path="m9387,1652l11906,1652e" filled="false" stroked="true" strokeweight=".956pt" strokecolor="#8e9090">
              <v:path arrowok="t"/>
            </v:shape>
          </v:group>
          <w10:wrap type="none"/>
        </v:group>
      </w:pict>
    </w:r>
    <w:r>
      <w:rPr/>
      <w:pict>
        <v:shape style="position:absolute;margin-left:41.519699pt;margin-top:75.40554pt;width:178pt;height:37.2pt;mso-position-horizontal-relative:page;mso-position-vertical-relative:page;z-index:-965752"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董事、监事、</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高级管理人员和员工情况</w:t>
                </w:r>
                <w:r>
                  <w:rPr>
                    <w:rFonts w:ascii="宋体" w:hAnsi="宋体" w:cs="宋体" w:eastAsia="宋体" w:hint="default"/>
                    <w:sz w:val="32"/>
                    <w:szCs w:val="32"/>
                  </w:rPr>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2.515732pt;margin-top:.000031pt;width:136.2pt;height:53.9pt;mso-position-horizontal-relative:page;mso-position-vertical-relative:page;z-index:-965416" coordorigin="850,0" coordsize="2724,1078">
          <v:shape style="position:absolute;left:850;top:0;width:2724;height:1078" coordorigin="850,0" coordsize="2724,1078" path="m3144,1078l850,1078,1280,0,3573,0,3144,1078xe" filled="true" fillcolor="#d7000f" stroked="false">
            <v:path arrowok="t"/>
            <v:fill type="solid"/>
          </v:shape>
          <w10:wrap type="none"/>
        </v:group>
      </w:pict>
    </w:r>
    <w:r>
      <w:rPr/>
      <w:pict>
        <v:group style="position:absolute;margin-left:463.464905pt;margin-top:.000045pt;width:132.3pt;height:103.95pt;mso-position-horizontal-relative:page;mso-position-vertical-relative:page;z-index:-965392" coordorigin="9269,0" coordsize="2646,2079">
          <v:group style="position:absolute;left:10681;top:0;width:1225;height:2079" coordorigin="10681,0" coordsize="1225,2079">
            <v:shape style="position:absolute;left:10681;top:0;width:1225;height:2079" coordorigin="10681,0" coordsize="1225,2079" path="m11906,2078l10681,2078,11509,0,11906,0,11906,2078xe" filled="true" fillcolor="#8e9090" stroked="false">
              <v:path arrowok="t"/>
              <v:fill type="solid"/>
            </v:shape>
          </v:group>
          <v:group style="position:absolute;left:10681;top:0;width:1225;height:1235" coordorigin="10681,0" coordsize="1225,1235">
            <v:shape style="position:absolute;left:10681;top:0;width:1225;height:1235" coordorigin="10681,0" coordsize="1225,1235" path="m11906,1234l10681,1234,11173,0,11906,0,11906,1234xe" filled="true" fillcolor="#d7000f" stroked="false">
              <v:path arrowok="t"/>
              <v:fill type="solid"/>
            </v:shape>
            <v:shape style="position:absolute;left:9269;top:1558;width:188;height:188" type="#_x0000_t75" stroked="false">
              <v:imagedata r:id="rId1" o:title=""/>
            </v:shape>
          </v:group>
          <v:group style="position:absolute;left:9387;top:1652;width:2519;height:2" coordorigin="9387,1652" coordsize="2519,2">
            <v:shape style="position:absolute;left:9387;top:1652;width:2519;height:2" coordorigin="9387,1652" coordsize="2519,0" path="m9387,1652l11906,1652e" filled="false" stroked="true" strokeweight=".956pt" strokecolor="#8e9090">
              <v:path arrowok="t"/>
            </v:shape>
          </v:group>
          <w10:wrap type="none"/>
        </v:group>
      </w:pict>
    </w:r>
    <w:r>
      <w:rPr/>
      <w:pict>
        <v:group style="position:absolute;margin-left:59.5275pt;margin-top:174.740128pt;width:53.9pt;height:.1pt;mso-position-horizontal-relative:page;mso-position-vertical-relative:page;z-index:-965368" coordorigin="1191,3495" coordsize="1078,2">
          <v:shape style="position:absolute;left:1191;top:3495;width:1078;height:2" coordorigin="1191,3495" coordsize="1078,0" path="m1191,3495l2268,3495e" filled="false" stroked="true" strokeweight="2pt" strokecolor="#9c8758">
            <v:path arrowok="t"/>
          </v:shape>
          <w10:wrap type="none"/>
        </v:group>
      </w:pict>
    </w:r>
    <w:r>
      <w:rPr/>
      <w:pict>
        <v:shape style="position:absolute;margin-left:41.519699pt;margin-top:75.40554pt;width:178pt;height:37.2pt;mso-position-horizontal-relative:page;mso-position-vertical-relative:page;z-index:-965344"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董事、监事、</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高级管理人员和员工情况</w:t>
                </w:r>
                <w:r>
                  <w:rPr>
                    <w:rFonts w:ascii="宋体" w:hAnsi="宋体" w:cs="宋体" w:eastAsia="宋体" w:hint="default"/>
                    <w:sz w:val="32"/>
                    <w:szCs w:val="32"/>
                  </w:rPr>
                </w:r>
              </w:p>
            </w:txbxContent>
          </v:textbox>
          <w10:wrap type="none"/>
        </v:shape>
      </w:pict>
    </w:r>
    <w:r>
      <w:rPr/>
      <w:pict>
        <v:shape style="position:absolute;margin-left:61.456699pt;margin-top:160.557037pt;width:50pt;height:10pt;mso-position-horizontal-relative:page;mso-position-vertical-relative:page;z-index:-965320" type="#_x0000_t202" filled="false" stroked="false">
          <v:textbox inset="0,0,0,0">
            <w:txbxContent>
              <w:p>
                <w:pPr>
                  <w:spacing w:line="170"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任职人员姓名</w:t>
                </w:r>
              </w:p>
            </w:txbxContent>
          </v:textbox>
          <w10:wrap type="none"/>
        </v:shape>
      </w:pict>
    </w:r>
    <w:r>
      <w:rPr/>
      <w:pict>
        <v:shape style="position:absolute;margin-left:181.080704pt;margin-top:160.557037pt;width:50pt;height:10pt;mso-position-horizontal-relative:page;mso-position-vertical-relative:page;z-index:-965296" type="#_x0000_t202" filled="false" stroked="false">
          <v:textbox inset="0,0,0,0">
            <w:txbxContent>
              <w:p>
                <w:pPr>
                  <w:spacing w:line="170"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其他单位名称</w:t>
                </w:r>
              </w:p>
            </w:txbxContent>
          </v:textbox>
          <w10:wrap type="none"/>
        </v:shape>
      </w:pict>
    </w:r>
    <w:r>
      <w:rPr/>
      <w:pict>
        <v:shape style="position:absolute;margin-left:313.616699pt;margin-top:160.557037pt;width:82pt;height:10pt;mso-position-horizontal-relative:page;mso-position-vertical-relative:page;z-index:-965272" type="#_x0000_t202" filled="false" stroked="false">
          <v:textbox inset="0,0,0,0">
            <w:txbxContent>
              <w:p>
                <w:pPr>
                  <w:spacing w:line="170"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在其他单位担任的职务</w:t>
                </w:r>
              </w:p>
            </w:txbxContent>
          </v:textbox>
          <w10:wrap type="none"/>
        </v:shape>
      </w:pict>
    </w:r>
    <w:r>
      <w:rPr/>
      <w:pict>
        <v:shape style="position:absolute;margin-left:417.960693pt;margin-top:160.557037pt;width:104.65pt;height:10pt;mso-position-horizontal-relative:page;mso-position-vertical-relative:page;z-index:-965248" type="#_x0000_t202" filled="false" stroked="false">
          <v:textbox inset="0,0,0,0">
            <w:txbxContent>
              <w:p>
                <w:pPr>
                  <w:spacing w:line="170" w:lineRule="exact" w:before="0"/>
                  <w:ind w:left="20" w:right="0" w:firstLine="0"/>
                  <w:jc w:val="left"/>
                  <w:rPr>
                    <w:rFonts w:ascii="宋体" w:hAnsi="宋体" w:cs="宋体" w:eastAsia="宋体" w:hint="default"/>
                    <w:sz w:val="16"/>
                    <w:szCs w:val="16"/>
                  </w:rPr>
                </w:pPr>
                <w:r>
                  <w:rPr>
                    <w:rFonts w:ascii="宋体" w:hAnsi="宋体" w:cs="宋体" w:eastAsia="宋体" w:hint="default"/>
                    <w:sz w:val="16"/>
                    <w:szCs w:val="16"/>
                  </w:rPr>
                  <w:t>任期起始日期</w:t>
                </w:r>
                <w:r>
                  <w:rPr>
                    <w:rFonts w:ascii="宋体" w:hAnsi="宋体" w:cs="宋体" w:eastAsia="宋体" w:hint="default"/>
                    <w:spacing w:val="52"/>
                    <w:sz w:val="16"/>
                    <w:szCs w:val="16"/>
                  </w:rPr>
                  <w:t> </w:t>
                </w:r>
                <w:r>
                  <w:rPr>
                    <w:rFonts w:ascii="宋体" w:hAnsi="宋体" w:cs="宋体" w:eastAsia="宋体" w:hint="default"/>
                    <w:sz w:val="16"/>
                    <w:szCs w:val="16"/>
                  </w:rPr>
                  <w:t>任期终止日期</w:t>
                </w:r>
              </w:p>
            </w:txbxContent>
          </v:textbox>
          <w10:wrap type="none"/>
        </v:shape>
      </w:pict>
    </w: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77997pt;margin-top:.000045pt;width:133.6pt;height:103.95pt;mso-position-horizontal-relative:page;mso-position-vertical-relative:page;z-index:-965224" coordorigin="-10,0" coordsize="2672,2079">
          <v:group style="position:absolute;left:0;top:0;width:2663;height:2079" coordorigin="0,0" coordsize="2663,2079">
            <v:shape style="position:absolute;left:0;top:0;width:2663;height:2079" coordorigin="0,0" coordsize="2663,2079" path="m1834,2078l0,2078,0,0,2662,0,1834,2078xe" filled="true" fillcolor="#8e9090" stroked="false">
              <v:path arrowok="t"/>
              <v:fill type="solid"/>
            </v:shape>
          </v:group>
          <v:group style="position:absolute;left:0;top:0;width:2326;height:1235" coordorigin="0,0" coordsize="2326,1235">
            <v:shape style="position:absolute;left:0;top:0;width:2326;height:1235" coordorigin="0,0" coordsize="2326,1235" path="m1834,1234l0,1234,0,0,2326,0,1834,1234xe" filled="true" fillcolor="#d7000f" stroked="false">
              <v:path arrowok="t"/>
              <v:fill type="solid"/>
            </v:shape>
          </v:group>
          <v:group style="position:absolute;left:0;top:1652;width:1719;height:2" coordorigin="0,1652" coordsize="1719,2">
            <v:shape style="position:absolute;left:0;top:1652;width:1719;height:2" coordorigin="0,1652" coordsize="1719,0" path="m0,1652l1719,1652e" filled="false" stroked="true" strokeweight=".956pt" strokecolor="#8e9090">
              <v:path arrowok="t"/>
            </v:shape>
          </v:group>
          <w10:wrap type="none"/>
        </v:group>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2.515732pt;margin-top:.000031pt;width:136.2pt;height:53.9pt;mso-position-horizontal-relative:page;mso-position-vertical-relative:page;z-index:-965200" coordorigin="850,0" coordsize="2724,1078">
          <v:shape style="position:absolute;left:850;top:0;width:2724;height:1078" coordorigin="850,0" coordsize="2724,1078" path="m3144,1078l850,1078,1280,0,3573,0,3144,1078xe" filled="true" fillcolor="#d7000f" stroked="false">
            <v:path arrowok="t"/>
            <v:fill type="solid"/>
          </v:shape>
          <w10:wrap type="none"/>
        </v:group>
      </w:pict>
    </w:r>
    <w:r>
      <w:rPr/>
      <w:pict>
        <v:group style="position:absolute;margin-left:463.464905pt;margin-top:.000045pt;width:132.3pt;height:103.95pt;mso-position-horizontal-relative:page;mso-position-vertical-relative:page;z-index:-965176" coordorigin="9269,0" coordsize="2646,2079">
          <v:group style="position:absolute;left:10681;top:0;width:1225;height:2079" coordorigin="10681,0" coordsize="1225,2079">
            <v:shape style="position:absolute;left:10681;top:0;width:1225;height:2079" coordorigin="10681,0" coordsize="1225,2079" path="m11906,2078l10681,2078,11509,0,11906,0,11906,2078xe" filled="true" fillcolor="#8e9090" stroked="false">
              <v:path arrowok="t"/>
              <v:fill type="solid"/>
            </v:shape>
          </v:group>
          <v:group style="position:absolute;left:10681;top:0;width:1225;height:1235" coordorigin="10681,0" coordsize="1225,1235">
            <v:shape style="position:absolute;left:10681;top:0;width:1225;height:1235" coordorigin="10681,0" coordsize="1225,1235" path="m11906,1234l10681,1234,11173,0,11906,0,11906,1234xe" filled="true" fillcolor="#d7000f" stroked="false">
              <v:path arrowok="t"/>
              <v:fill type="solid"/>
            </v:shape>
            <v:shape style="position:absolute;left:9269;top:1558;width:188;height:188" type="#_x0000_t75" stroked="false">
              <v:imagedata r:id="rId1" o:title=""/>
            </v:shape>
          </v:group>
          <v:group style="position:absolute;left:9387;top:1652;width:2519;height:2" coordorigin="9387,1652" coordsize="2519,2">
            <v:shape style="position:absolute;left:9387;top:1652;width:2519;height:2" coordorigin="9387,1652" coordsize="2519,0" path="m9387,1652l11906,1652e" filled="false" stroked="true" strokeweight=".956pt" strokecolor="#8e9090">
              <v:path arrowok="t"/>
            </v:shape>
          </v:group>
          <w10:wrap type="none"/>
        </v:group>
      </w:pict>
    </w:r>
    <w:r>
      <w:rPr/>
      <w:pict>
        <v:shape style="position:absolute;margin-left:41.519699pt;margin-top:75.40554pt;width:178pt;height:37.2pt;mso-position-horizontal-relative:page;mso-position-vertical-relative:page;z-index:-965152" type="#_x0000_t202" filled="false" stroked="false">
          <v:textbox inset="0,0,0,0">
            <w:txbxContent>
              <w:p>
                <w:pPr>
                  <w:spacing w:line="297"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董事、监事、</w:t>
                </w:r>
                <w:r>
                  <w:rPr>
                    <w:rFonts w:ascii="宋体" w:hAnsi="宋体" w:cs="宋体" w:eastAsia="宋体" w:hint="default"/>
                    <w:sz w:val="32"/>
                    <w:szCs w:val="32"/>
                  </w:rPr>
                </w:r>
              </w:p>
              <w:p>
                <w:pPr>
                  <w:spacing w:line="401"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高级管理人员和员工情况</w:t>
                </w:r>
                <w:r>
                  <w:rPr>
                    <w:rFonts w:ascii="宋体" w:hAnsi="宋体" w:cs="宋体" w:eastAsia="宋体" w:hint="default"/>
                    <w:sz w:val="32"/>
                    <w:szCs w:val="32"/>
                  </w:rPr>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50021pt;margin-top:-.74999pt;width:596.8pt;height:111.8pt;mso-position-horizontal-relative:page;mso-position-vertical-relative:page;z-index:-968344" coordorigin="-15,-15" coordsize="11936,2236">
          <v:group style="position:absolute;left:0;top:0;width:1108;height:262" coordorigin="0,0" coordsize="1108,262">
            <v:shape style="position:absolute;left:0;top:0;width:1108;height:262" coordorigin="0,0" coordsize="1108,262" path="m1108,0l0,261e" filled="false" stroked="true" strokeweight=".25pt" strokecolor="#8c8f90">
              <v:path arrowok="t"/>
            </v:shape>
          </v:group>
          <v:group style="position:absolute;left:0;top:0;width:775;height:189" coordorigin="0,0" coordsize="775,189">
            <v:shape style="position:absolute;left:0;top:0;width:775;height:189" coordorigin="0,0" coordsize="775,189" path="m0,189l774,0e" filled="false" stroked="true" strokeweight="1.0pt" strokecolor="#8c8f90">
              <v:path arrowok="t"/>
            </v:shape>
          </v:group>
          <v:group style="position:absolute;left:0;top:268;width:6501;height:897" coordorigin="0,268" coordsize="6501,897">
            <v:shape style="position:absolute;left:0;top:268;width:6501;height:897" coordorigin="0,268" coordsize="6501,897" path="m0,1164l6500,268e" filled="false" stroked="true" strokeweight="1.5pt" strokecolor="#8c8f90">
              <v:path arrowok="t"/>
            </v:shape>
          </v:group>
          <v:group style="position:absolute;left:0;top:0;width:6409;height:999" coordorigin="0,0" coordsize="6409,999">
            <v:shape style="position:absolute;left:0;top:0;width:6409;height:999" coordorigin="0,0" coordsize="6409,999" path="m6409,0l0,999e" filled="false" stroked="true" strokeweight=".25pt" strokecolor="#9b8758">
              <v:path arrowok="t"/>
            </v:shape>
          </v:group>
          <v:group style="position:absolute;left:0;top:0;width:1863;height:410" coordorigin="0,0" coordsize="1863,410">
            <v:shape style="position:absolute;left:0;top:0;width:1863;height:410" coordorigin="0,0" coordsize="1863,410" path="m1863,0l0,409e" filled="false" stroked="true" strokeweight="1.5pt" strokecolor="#8c8f90">
              <v:path arrowok="t"/>
            </v:shape>
          </v:group>
          <v:group style="position:absolute;left:0;top:0;width:11063;height:1329" coordorigin="0,0" coordsize="11063,1329">
            <v:shape style="position:absolute;left:0;top:0;width:11063;height:1329" coordorigin="0,0" coordsize="11063,1329" path="m11062,0l0,1329e" filled="false" stroked="true" strokeweight=".5pt" strokecolor="#9b8758">
              <v:path arrowok="t"/>
            </v:shape>
          </v:group>
          <v:group style="position:absolute;left:0;top:1155;width:4564;height:425" coordorigin="0,1155" coordsize="4564,425">
            <v:shape style="position:absolute;left:0;top:1155;width:4564;height:425" coordorigin="0,1155" coordsize="4564,425" path="m4564,1155l0,1579e" filled="false" stroked="true" strokeweight="1pt" strokecolor="#9b8758">
              <v:path arrowok="t"/>
            </v:shape>
          </v:group>
          <v:group style="position:absolute;left:6332;top:473;width:5574;height:518" coordorigin="6332,473" coordsize="5574,518">
            <v:shape style="position:absolute;left:6332;top:473;width:5574;height:518" coordorigin="6332,473" coordsize="5574,518" path="m11906,473l6332,991e" filled="false" stroked="true" strokeweight="1pt" strokecolor="#8c8f90">
              <v:path arrowok="t"/>
            </v:shape>
          </v:group>
          <v:group style="position:absolute;left:10880;top:1599;width:1026;height:41" coordorigin="10880,1599" coordsize="1026,41">
            <v:shape style="position:absolute;left:10880;top:1599;width:1026;height:41" coordorigin="10880,1599" coordsize="1026,41" path="m10880,1640l11906,1599e" filled="false" stroked="true" strokeweight="1.5pt" strokecolor="#9b8758">
              <v:path arrowok="t"/>
            </v:shape>
          </v:group>
          <v:group style="position:absolute;left:0;top:1741;width:8323;height:330" coordorigin="0,1741" coordsize="8323,330">
            <v:shape style="position:absolute;left:0;top:1741;width:8323;height:330" coordorigin="0,1741" coordsize="8323,330" path="m0,2071l8322,1741e" filled="false" stroked="true" strokeweight="1.5pt" strokecolor="#8c8f90">
              <v:path arrowok="t"/>
            </v:shape>
          </v:group>
          <v:group style="position:absolute;left:0;top:1964;width:10090;height:247" coordorigin="0,1964" coordsize="10090,247">
            <v:shape style="position:absolute;left:0;top:1964;width:10090;height:247" coordorigin="0,1964" coordsize="10090,247" path="m0,2211l10089,1964e" filled="false" stroked="true" strokeweight="1pt" strokecolor="#8c8f90">
              <v:path arrowok="t"/>
            </v:shape>
          </v:group>
          <v:group style="position:absolute;left:11544;top:1875;width:362;height:9" coordorigin="11544,1875" coordsize="362,9">
            <v:shape style="position:absolute;left:11544;top:1875;width:362;height:9" coordorigin="11544,1875" coordsize="362,9" path="m11544,1884l11906,1875e" filled="false" stroked="true" strokeweight="1pt" strokecolor="#8c8f90">
              <v:path arrowok="t"/>
            </v:shape>
          </v:group>
          <v:group style="position:absolute;left:0;top:1169;width:11906;height:714" coordorigin="0,1169" coordsize="11906,714">
            <v:shape style="position:absolute;left:0;top:1169;width:11906;height:714" coordorigin="0,1169" coordsize="11906,714" path="m11906,1169l0,1883e" filled="false" stroked="true" strokeweight=".25pt" strokecolor="#9b8758">
              <v:path arrowok="t"/>
            </v:shape>
          </v:group>
          <v:group style="position:absolute;left:0;top:0;width:4334;height:779" coordorigin="0,0" coordsize="4334,779">
            <v:shape style="position:absolute;left:0;top:0;width:4334;height:779" coordorigin="0,0" coordsize="4334,779" path="m4334,0l0,779e" filled="false" stroked="true" strokeweight=".5pt" strokecolor="#8c8f90">
              <v:path arrowok="t"/>
            </v:shape>
          </v:group>
          <v:group style="position:absolute;left:0;top:0;width:3414;height:659" coordorigin="0,0" coordsize="3414,659">
            <v:shape style="position:absolute;left:0;top:0;width:3414;height:659" coordorigin="0,0" coordsize="3414,659" path="m3413,0l0,658e" filled="false" stroked="true" strokeweight="1.5pt" strokecolor="#9b8758">
              <v:path arrowok="t"/>
            </v:shape>
          </v:group>
          <w10:wrap type="none"/>
        </v:group>
      </w:pict>
    </w:r>
    <w:r>
      <w:rPr/>
      <w:pict>
        <v:group style="position:absolute;margin-left:.000043pt;margin-top:119.893105pt;width:595.3pt;height:1.1pt;mso-position-horizontal-relative:page;mso-position-vertical-relative:page;z-index:-968320" coordorigin="0,2398" coordsize="11906,22">
          <v:shape style="position:absolute;left:0;top:2398;width:11906;height:22" coordorigin="0,2398" coordsize="11906,22" path="m0,2419l11906,2398e" filled="false" stroked="true" strokeweight="1pt" strokecolor="#9b8758">
            <v:path arrowok="t"/>
          </v:shape>
          <w10:wrap type="none"/>
        </v:group>
      </w:pict>
    </w: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477997pt;margin-top:.000045pt;width:133.6pt;height:103.95pt;mso-position-horizontal-relative:page;mso-position-vertical-relative:page;z-index:-965128" coordorigin="-10,0" coordsize="2672,2079">
          <v:group style="position:absolute;left:0;top:0;width:2663;height:2079" coordorigin="0,0" coordsize="2663,2079">
            <v:shape style="position:absolute;left:0;top:0;width:2663;height:2079" coordorigin="0,0" coordsize="2663,2079" path="m1834,2078l0,2078,0,0,2662,0,1834,2078xe" filled="true" fillcolor="#8e9090" stroked="false">
              <v:path arrowok="t"/>
              <v:fill type="solid"/>
            </v:shape>
          </v:group>
          <v:group style="position:absolute;left:0;top:0;width:2326;height:1235" coordorigin="0,0" coordsize="2326,1235">
            <v:shape style="position:absolute;left:0;top:0;width:2326;height:1235" coordorigin="0,0" coordsize="2326,1235" path="m1834,1234l0,1234,0,0,2326,0,1834,1234xe" filled="true" fillcolor="#d7000f" stroked="false">
              <v:path arrowok="t"/>
              <v:fill type="solid"/>
            </v:shape>
          </v:group>
          <v:group style="position:absolute;left:0;top:1652;width:1719;height:2" coordorigin="0,1652" coordsize="1719,2">
            <v:shape style="position:absolute;left:0;top:1652;width:1719;height:2" coordorigin="0,1652" coordsize="1719,0" path="m0,1652l1719,1652e" filled="false" stroked="true" strokeweight=".956pt" strokecolor="#8e9090">
              <v:path arrowok="t"/>
            </v:shape>
          </v:group>
          <w10:wrap type="none"/>
        </v:group>
      </w:pict>
    </w: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374.173615pt;margin-top:.000003pt;width:221.15pt;height:73.7pt;mso-position-horizontal-relative:page;mso-position-vertical-relative:page;z-index:-964936" coordorigin="7483,0" coordsize="4423,1474">
          <v:shape style="position:absolute;left:7483;top:493;width:188;height:188" type="#_x0000_t75" stroked="false">
            <v:imagedata r:id="rId1" o:title=""/>
          </v:shape>
          <v:group style="position:absolute;left:7601;top:586;width:2945;height:2" coordorigin="7601,586" coordsize="2945,2">
            <v:shape style="position:absolute;left:7601;top:586;width:2945;height:2" coordorigin="7601,586" coordsize="2945,0" path="m7601,586l10545,586e" filled="false" stroked="true" strokeweight=".956pt" strokecolor="#d7000f">
              <v:path arrowok="t"/>
            </v:shape>
          </v:group>
          <v:group style="position:absolute;left:9472;top:0;width:2434;height:1474" coordorigin="9472,0" coordsize="2434,1474">
            <v:shape style="position:absolute;left:9472;top:0;width:2434;height:1474" coordorigin="9472,0" coordsize="2434,1474" path="m11906,1474l9472,1474,10060,0,11906,0,11906,1474xe" filled="true" fillcolor="#d7000f" stroked="false">
              <v:path arrowok="t"/>
              <v:fill type="solid"/>
            </v:shape>
          </v:group>
          <w10:wrap type="none"/>
        </v:group>
      </w:pict>
    </w:r>
    <w:r>
      <w:rPr/>
      <w:pict>
        <v:shape style="position:absolute;margin-left:41.519699pt;margin-top:95.248039pt;width:66pt;height:18pt;mso-position-horizontal-relative:page;mso-position-vertical-relative:page;z-index:-964912" type="#_x0000_t202" filled="false" stroked="false">
          <v:textbox inset="0,0,0,0">
            <w:txbxContent>
              <w:p>
                <w:pPr>
                  <w:spacing w:line="314" w:lineRule="exact" w:before="0"/>
                  <w:ind w:left="20" w:right="0" w:firstLine="0"/>
                  <w:jc w:val="left"/>
                  <w:rPr>
                    <w:rFonts w:ascii="宋体" w:hAnsi="宋体" w:cs="宋体" w:eastAsia="宋体" w:hint="default"/>
                    <w:sz w:val="32"/>
                    <w:szCs w:val="32"/>
                  </w:rPr>
                </w:pPr>
                <w:r>
                  <w:rPr>
                    <w:rFonts w:ascii="宋体" w:hAnsi="宋体" w:cs="宋体" w:eastAsia="宋体" w:hint="default"/>
                    <w:color w:val="D7000F"/>
                    <w:sz w:val="32"/>
                    <w:szCs w:val="32"/>
                  </w:rPr>
                  <w:t>公司治理</w:t>
                </w:r>
                <w:r>
                  <w:rPr>
                    <w:rFonts w:ascii="宋体" w:hAnsi="宋体" w:cs="宋体" w:eastAsia="宋体" w:hint="default"/>
                    <w:sz w:val="32"/>
                    <w:szCs w:val="32"/>
                  </w:rPr>
                </w:r>
              </w:p>
            </w:txbxContent>
          </v:textbox>
          <w10:wrap type="none"/>
        </v:shape>
      </w:pict>
    </w: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0pt;margin-top:.000003pt;width:595.3pt;height:73.7pt;mso-position-horizontal-relative:page;mso-position-vertical-relative:page;z-index:-964888" coordorigin="0,0" coordsize="11906,1474">
          <v:shape style="position:absolute;left:0;top:0;width:11906;height:1474" coordorigin="0,0" coordsize="11906,1474" path="m11906,1474l0,1474,0,0,11906,0,11906,1474xe" filled="true" fillcolor="#d7000f" stroked="false">
            <v:path arrowok="t"/>
            <v:fill type="solid"/>
          </v:shape>
          <w10:wrap type="none"/>
        </v:group>
      </w:pic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90pt;height:24pt;mso-position-horizontal-relative:page;mso-position-vertical-relative:page;z-index:-964624"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审计报告</w:t>
                </w:r>
                <w:r>
                  <w:rPr>
                    <w:rFonts w:ascii="宋体" w:hAnsi="宋体" w:cs="宋体" w:eastAsia="宋体" w:hint="default"/>
                    <w:sz w:val="44"/>
                    <w:szCs w:val="44"/>
                  </w:rPr>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90pt;height:24pt;mso-position-horizontal-relative:page;mso-position-vertical-relative:page;z-index:-964456"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审计报告</w:t>
                </w:r>
                <w:r>
                  <w:rPr>
                    <w:rFonts w:ascii="宋体" w:hAnsi="宋体" w:cs="宋体" w:eastAsia="宋体" w:hint="default"/>
                    <w:sz w:val="44"/>
                    <w:szCs w:val="44"/>
                  </w:rPr>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90pt;height:24pt;mso-position-horizontal-relative:page;mso-position-vertical-relative:page;z-index:-964288"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审计报告</w:t>
                </w:r>
                <w:r>
                  <w:rPr>
                    <w:rFonts w:ascii="宋体" w:hAnsi="宋体" w:cs="宋体" w:eastAsia="宋体" w:hint="default"/>
                    <w:sz w:val="44"/>
                    <w:szCs w:val="44"/>
                  </w:rPr>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3616"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3448"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46pt;height:11pt;mso-position-horizontal-relative:page;mso-position-vertical-relative:page;z-index:-963424"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txbxContent>
          </v:textbox>
          <w10:wrap type="none"/>
        </v:shape>
      </w:pict>
    </w: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4095pt;margin-top:138.784851pt;width:146pt;height:11pt;mso-position-horizontal-relative:page;mso-position-vertical-relative:page;z-index:-962392"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txbxContent>
          </v:textbox>
          <w10:wrap type="none"/>
        </v:shape>
      </w:pict>
    </w:r>
    <w:r>
      <w:rPr/>
      <w:pict>
        <v:shape style="position:absolute;margin-left:73.4095pt;margin-top:162.075180pt;width:102pt;height:11pt;mso-position-horizontal-relative:page;mso-position-vertical-relative:page;z-index:-962368" type="#_x0000_t202" filled="false" stroked="false">
          <v:textbox inset="0,0,0,0">
            <w:txbxContent>
              <w:p>
                <w:pPr>
                  <w:pStyle w:val="BodyText"/>
                  <w:spacing w:line="187" w:lineRule="exact"/>
                  <w:ind w:left="20" w:right="0"/>
                  <w:jc w:val="left"/>
                </w:pPr>
                <w:r>
                  <w:rPr/>
                  <w:t>33、会计政策变更（续）</w:t>
                </w:r>
              </w:p>
            </w:txbxContent>
          </v:textbox>
          <w10:wrap type="none"/>
        </v:shape>
      </w:pict>
    </w:r>
    <w:r>
      <w:rPr/>
      <w:pict>
        <v:shape style="position:absolute;margin-left:73.4095pt;margin-top:185.583176pt;width:104.5pt;height:11pt;mso-position-horizontal-relative:page;mso-position-vertical-relative:page;z-index:-962344" type="#_x0000_t202" filled="false" stroked="false">
          <v:textbox inset="0,0,0,0">
            <w:txbxContent>
              <w:p>
                <w:pPr>
                  <w:pStyle w:val="BodyText"/>
                  <w:spacing w:line="187" w:lineRule="exact"/>
                  <w:ind w:left="20" w:right="0"/>
                  <w:jc w:val="left"/>
                </w:pPr>
                <w:r>
                  <w:rPr>
                    <w:w w:val="95"/>
                  </w:rPr>
                  <w:t>(b)</w:t>
                </w:r>
                <w:r>
                  <w:rPr>
                    <w:spacing w:val="-4"/>
                    <w:w w:val="95"/>
                  </w:rPr>
                  <w:t> </w:t>
                </w:r>
                <w:r>
                  <w:rPr>
                    <w:w w:val="95"/>
                  </w:rPr>
                  <w:t>变更的主要影响（续）</w:t>
                </w:r>
              </w:p>
            </w:txbxContent>
          </v:textbox>
          <w10:wrap type="none"/>
        </v:shape>
      </w:pict>
    </w: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2320"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4095pt;margin-top:138.784851pt;width:146pt;height:11pt;mso-position-horizontal-relative:page;mso-position-vertical-relative:page;z-index:-962296"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三、重要会计政策和会计估计（续）</w:t>
                </w:r>
                <w:r>
                  <w:rPr>
                    <w:rFonts w:ascii="宋体" w:hAnsi="宋体" w:cs="宋体" w:eastAsia="宋体" w:hint="default"/>
                  </w:rPr>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2272"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2104"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1936"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37pt;height:11pt;mso-position-horizontal-relative:page;mso-position-vertical-relative:page;z-index:-961912"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txbxContent>
          </v:textbox>
          <w10:wrap type="none"/>
        </v:shape>
      </w:pict>
    </w:r>
  </w:p>
</w:hdr>
</file>

<file path=word/header8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37pt;height:11pt;mso-position-horizontal-relative:page;mso-position-vertical-relative:page;z-index:-960880"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txbxContent>
          </v:textbox>
          <w10:wrap type="none"/>
        </v:shape>
      </w:pict>
    </w:r>
  </w:p>
</w:hdr>
</file>

<file path=word/header8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0856"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8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37pt;height:11pt;mso-position-horizontal-relative:page;mso-position-vertical-relative:page;z-index:-960544"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txbxContent>
          </v:textbox>
          <w10:wrap type="none"/>
        </v:shape>
      </w:pict>
    </w:r>
    <w:r>
      <w:rPr/>
      <w:pict>
        <v:shape style="position:absolute;margin-left:72.700798pt;margin-top:162.075180pt;width:75pt;height:11pt;mso-position-horizontal-relative:page;mso-position-vertical-relative:page;z-index:-960520" type="#_x0000_t202" filled="false" stroked="false">
          <v:textbox inset="0,0,0,0">
            <w:txbxContent>
              <w:p>
                <w:pPr>
                  <w:pStyle w:val="BodyText"/>
                  <w:spacing w:line="187" w:lineRule="exact"/>
                  <w:ind w:left="20" w:right="0"/>
                  <w:jc w:val="left"/>
                </w:pPr>
                <w:r>
                  <w:rPr/>
                  <w:t>48、所得税（续）</w:t>
                </w:r>
              </w:p>
            </w:txbxContent>
          </v:textbox>
          <w10:wrap type="none"/>
        </v:shape>
      </w:pict>
    </w:r>
  </w:p>
</w:hdr>
</file>

<file path=word/header8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0496"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50021pt;margin-top:-.74999pt;width:596.8pt;height:111.8pt;mso-position-horizontal-relative:page;mso-position-vertical-relative:page;z-index:-968152" coordorigin="-15,-15" coordsize="11936,2236">
          <v:group style="position:absolute;left:0;top:0;width:1108;height:262" coordorigin="0,0" coordsize="1108,262">
            <v:shape style="position:absolute;left:0;top:0;width:1108;height:262" coordorigin="0,0" coordsize="1108,262" path="m1108,0l0,261e" filled="false" stroked="true" strokeweight=".25pt" strokecolor="#8c8f90">
              <v:path arrowok="t"/>
            </v:shape>
          </v:group>
          <v:group style="position:absolute;left:0;top:0;width:775;height:189" coordorigin="0,0" coordsize="775,189">
            <v:shape style="position:absolute;left:0;top:0;width:775;height:189" coordorigin="0,0" coordsize="775,189" path="m0,189l774,0e" filled="false" stroked="true" strokeweight="1.0pt" strokecolor="#8c8f90">
              <v:path arrowok="t"/>
            </v:shape>
          </v:group>
          <v:group style="position:absolute;left:0;top:268;width:6501;height:897" coordorigin="0,268" coordsize="6501,897">
            <v:shape style="position:absolute;left:0;top:268;width:6501;height:897" coordorigin="0,268" coordsize="6501,897" path="m0,1164l6500,268e" filled="false" stroked="true" strokeweight="1.5pt" strokecolor="#8c8f90">
              <v:path arrowok="t"/>
            </v:shape>
          </v:group>
          <v:group style="position:absolute;left:0;top:0;width:6409;height:999" coordorigin="0,0" coordsize="6409,999">
            <v:shape style="position:absolute;left:0;top:0;width:6409;height:999" coordorigin="0,0" coordsize="6409,999" path="m6409,0l0,999e" filled="false" stroked="true" strokeweight=".25pt" strokecolor="#9b8758">
              <v:path arrowok="t"/>
            </v:shape>
          </v:group>
          <v:group style="position:absolute;left:0;top:0;width:1863;height:410" coordorigin="0,0" coordsize="1863,410">
            <v:shape style="position:absolute;left:0;top:0;width:1863;height:410" coordorigin="0,0" coordsize="1863,410" path="m1863,0l0,409e" filled="false" stroked="true" strokeweight="1.5pt" strokecolor="#8c8f90">
              <v:path arrowok="t"/>
            </v:shape>
          </v:group>
          <v:group style="position:absolute;left:0;top:0;width:11063;height:1329" coordorigin="0,0" coordsize="11063,1329">
            <v:shape style="position:absolute;left:0;top:0;width:11063;height:1329" coordorigin="0,0" coordsize="11063,1329" path="m11062,0l0,1329e" filled="false" stroked="true" strokeweight=".5pt" strokecolor="#9b8758">
              <v:path arrowok="t"/>
            </v:shape>
          </v:group>
          <v:group style="position:absolute;left:0;top:1155;width:4564;height:425" coordorigin="0,1155" coordsize="4564,425">
            <v:shape style="position:absolute;left:0;top:1155;width:4564;height:425" coordorigin="0,1155" coordsize="4564,425" path="m4564,1155l0,1579e" filled="false" stroked="true" strokeweight="1pt" strokecolor="#9b8758">
              <v:path arrowok="t"/>
            </v:shape>
          </v:group>
          <v:group style="position:absolute;left:6332;top:473;width:5574;height:518" coordorigin="6332,473" coordsize="5574,518">
            <v:shape style="position:absolute;left:6332;top:473;width:5574;height:518" coordorigin="6332,473" coordsize="5574,518" path="m11906,473l6332,991e" filled="false" stroked="true" strokeweight="1pt" strokecolor="#8c8f90">
              <v:path arrowok="t"/>
            </v:shape>
          </v:group>
          <v:group style="position:absolute;left:10880;top:1599;width:1026;height:41" coordorigin="10880,1599" coordsize="1026,41">
            <v:shape style="position:absolute;left:10880;top:1599;width:1026;height:41" coordorigin="10880,1599" coordsize="1026,41" path="m10880,1640l11906,1599e" filled="false" stroked="true" strokeweight="1.5pt" strokecolor="#9b8758">
              <v:path arrowok="t"/>
            </v:shape>
          </v:group>
          <v:group style="position:absolute;left:0;top:1741;width:8323;height:330" coordorigin="0,1741" coordsize="8323,330">
            <v:shape style="position:absolute;left:0;top:1741;width:8323;height:330" coordorigin="0,1741" coordsize="8323,330" path="m0,2071l8322,1741e" filled="false" stroked="true" strokeweight="1.5pt" strokecolor="#8c8f90">
              <v:path arrowok="t"/>
            </v:shape>
          </v:group>
          <v:group style="position:absolute;left:0;top:1964;width:10090;height:247" coordorigin="0,1964" coordsize="10090,247">
            <v:shape style="position:absolute;left:0;top:1964;width:10090;height:247" coordorigin="0,1964" coordsize="10090,247" path="m0,2211l10089,1964e" filled="false" stroked="true" strokeweight="1pt" strokecolor="#8c8f90">
              <v:path arrowok="t"/>
            </v:shape>
          </v:group>
          <v:group style="position:absolute;left:11544;top:1875;width:362;height:9" coordorigin="11544,1875" coordsize="362,9">
            <v:shape style="position:absolute;left:11544;top:1875;width:362;height:9" coordorigin="11544,1875" coordsize="362,9" path="m11544,1884l11906,1875e" filled="false" stroked="true" strokeweight="1pt" strokecolor="#8c8f90">
              <v:path arrowok="t"/>
            </v:shape>
          </v:group>
          <v:group style="position:absolute;left:0;top:1169;width:11906;height:714" coordorigin="0,1169" coordsize="11906,714">
            <v:shape style="position:absolute;left:0;top:1169;width:11906;height:714" coordorigin="0,1169" coordsize="11906,714" path="m11906,1169l0,1883e" filled="false" stroked="true" strokeweight=".25pt" strokecolor="#9b8758">
              <v:path arrowok="t"/>
            </v:shape>
          </v:group>
          <v:group style="position:absolute;left:0;top:0;width:4334;height:779" coordorigin="0,0" coordsize="4334,779">
            <v:shape style="position:absolute;left:0;top:0;width:4334;height:779" coordorigin="0,0" coordsize="4334,779" path="m4334,0l0,779e" filled="false" stroked="true" strokeweight=".5pt" strokecolor="#8c8f90">
              <v:path arrowok="t"/>
            </v:shape>
          </v:group>
          <v:group style="position:absolute;left:0;top:0;width:3414;height:659" coordorigin="0,0" coordsize="3414,659">
            <v:shape style="position:absolute;left:0;top:0;width:3414;height:659" coordorigin="0,0" coordsize="3414,659" path="m3413,0l0,658e" filled="false" stroked="true" strokeweight="1.5pt" strokecolor="#9b8758">
              <v:path arrowok="t"/>
            </v:shape>
          </v:group>
          <w10:wrap type="none"/>
        </v:group>
      </w:pict>
    </w:r>
    <w:r>
      <w:rPr/>
      <w:pict>
        <v:group style="position:absolute;margin-left:.000043pt;margin-top:119.893105pt;width:595.3pt;height:1.1pt;mso-position-horizontal-relative:page;mso-position-vertical-relative:page;z-index:-968128" coordorigin="0,2398" coordsize="11906,22">
          <v:shape style="position:absolute;left:0;top:2398;width:11906;height:22" coordorigin="0,2398" coordsize="11906,22" path="m0,2419l11906,2398e" filled="false" stroked="true" strokeweight="1pt" strokecolor="#9b8758">
            <v:path arrowok="t"/>
          </v:shape>
          <w10:wrap type="none"/>
        </v:group>
      </w:pict>
    </w:r>
  </w:p>
</w:hdr>
</file>

<file path=word/header9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37pt;height:11pt;mso-position-horizontal-relative:page;mso-position-vertical-relative:page;z-index:-960472"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txbxContent>
          </v:textbox>
          <w10:wrap type="none"/>
        </v:shape>
      </w:pict>
    </w:r>
    <w:r>
      <w:rPr/>
      <w:pict>
        <v:shape style="position:absolute;margin-left:72.700798pt;margin-top:162.075180pt;width:75pt;height:11pt;mso-position-horizontal-relative:page;mso-position-vertical-relative:page;z-index:-960448" type="#_x0000_t202" filled="false" stroked="false">
          <v:textbox inset="0,0,0,0">
            <w:txbxContent>
              <w:p>
                <w:pPr>
                  <w:pStyle w:val="BodyText"/>
                  <w:spacing w:line="187" w:lineRule="exact"/>
                  <w:ind w:left="20" w:right="0"/>
                  <w:jc w:val="left"/>
                </w:pPr>
                <w:r>
                  <w:rPr/>
                  <w:t>48、所得税（续）</w:t>
                </w:r>
              </w:p>
            </w:txbxContent>
          </v:textbox>
          <w10:wrap type="none"/>
        </v:shape>
      </w:pict>
    </w:r>
    <w:r>
      <w:rPr/>
      <w:pict>
        <v:shape style="position:absolute;margin-left:72.700798pt;margin-top:185.583176pt;width:289.05pt;height:11pt;mso-position-horizontal-relative:page;mso-position-vertical-relative:page;z-index:-960424" type="#_x0000_t202" filled="false" stroked="false">
          <v:textbox inset="0,0,0,0">
            <w:txbxContent>
              <w:p>
                <w:pPr>
                  <w:pStyle w:val="BodyText"/>
                  <w:spacing w:line="187" w:lineRule="exact"/>
                  <w:ind w:left="20" w:right="0"/>
                  <w:jc w:val="left"/>
                </w:pPr>
                <w:r>
                  <w:rPr/>
                  <w:t>(c)</w:t>
                </w:r>
                <w:r>
                  <w:rPr>
                    <w:spacing w:val="-21"/>
                  </w:rPr>
                  <w:t> </w:t>
                </w:r>
                <w:r>
                  <w:rPr/>
                  <w:t>递延所得税资产及负债包括以下暂时性差异对所得税的影响（续）：</w:t>
                </w:r>
              </w:p>
            </w:txbxContent>
          </v:textbox>
          <w10:wrap type="none"/>
        </v:shape>
      </w:pict>
    </w:r>
  </w:p>
</w:hdr>
</file>

<file path=word/header9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0400"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9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37pt;height:11pt;mso-position-horizontal-relative:page;mso-position-vertical-relative:page;z-index:-960376"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五、合并财务报表项目附注（续）</w:t>
                </w:r>
                <w:r>
                  <w:rPr>
                    <w:rFonts w:ascii="宋体" w:hAnsi="宋体" w:cs="宋体" w:eastAsia="宋体" w:hint="default"/>
                  </w:rPr>
                </w:r>
              </w:p>
            </w:txbxContent>
          </v:textbox>
          <w10:wrap type="none"/>
        </v:shape>
      </w:pict>
    </w:r>
  </w:p>
</w:hdr>
</file>

<file path=word/header9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60352"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9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744pt;width:128pt;height:11pt;mso-position-horizontal-relative:page;mso-position-vertical-relative:page;z-index:-960040"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七、在其他主体中的权益（续）</w:t>
                </w:r>
                <w:r>
                  <w:rPr>
                    <w:rFonts w:ascii="宋体" w:hAnsi="宋体" w:cs="宋体" w:eastAsia="宋体" w:hint="default"/>
                  </w:rPr>
                </w:r>
              </w:p>
            </w:txbxContent>
          </v:textbox>
          <w10:wrap type="none"/>
        </v:shape>
      </w:pict>
    </w:r>
    <w:r>
      <w:rPr/>
      <w:pict>
        <v:shape style="position:absolute;margin-left:72.700798pt;margin-top:162.075073pt;width:118.05pt;height:11pt;mso-position-horizontal-relative:page;mso-position-vertical-relative:page;z-index:-960016" type="#_x0000_t202" filled="false" stroked="false">
          <v:textbox inset="0,0,0,0">
            <w:txbxContent>
              <w:p>
                <w:pPr>
                  <w:pStyle w:val="BodyText"/>
                  <w:spacing w:line="187" w:lineRule="exact"/>
                  <w:ind w:left="20" w:right="0"/>
                  <w:jc w:val="left"/>
                </w:pPr>
                <w:r>
                  <w:rPr/>
                  <w:t>1、</w:t>
                </w:r>
                <w:r>
                  <w:rPr>
                    <w:spacing w:val="-21"/>
                  </w:rPr>
                  <w:t> </w:t>
                </w:r>
                <w:r>
                  <w:rPr/>
                  <w:t>在子公司中的权益（续）</w:t>
                </w:r>
              </w:p>
            </w:txbxContent>
          </v:textbox>
          <w10:wrap type="none"/>
        </v:shape>
      </w:pict>
    </w:r>
    <w:r>
      <w:rPr/>
      <w:pict>
        <v:shape style="position:absolute;margin-left:72.700798pt;margin-top:185.583084pt;width:109.05pt;height:11pt;mso-position-horizontal-relative:page;mso-position-vertical-relative:page;z-index:-959992" type="#_x0000_t202" filled="false" stroked="false">
          <v:textbox inset="0,0,0,0">
            <w:txbxContent>
              <w:p>
                <w:pPr>
                  <w:pStyle w:val="BodyText"/>
                  <w:spacing w:line="187" w:lineRule="exact"/>
                  <w:ind w:left="20" w:right="0"/>
                  <w:jc w:val="left"/>
                </w:pPr>
                <w:r>
                  <w:rPr/>
                  <w:t>(a)</w:t>
                </w:r>
                <w:r>
                  <w:rPr>
                    <w:spacing w:val="-21"/>
                  </w:rPr>
                  <w:t> </w:t>
                </w:r>
                <w:r>
                  <w:rPr/>
                  <w:t>企业集团的构成（续）</w:t>
                </w:r>
              </w:p>
            </w:txbxContent>
          </v:textbox>
          <w10:wrap type="none"/>
        </v:shape>
      </w:pict>
    </w:r>
  </w:p>
</w:hdr>
</file>

<file path=word/header9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9968"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9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700798pt;margin-top:138.784851pt;width:128pt;height:11pt;mso-position-horizontal-relative:page;mso-position-vertical-relative:page;z-index:-959944" type="#_x0000_t202" filled="false" stroked="false">
          <v:textbox inset="0,0,0,0">
            <w:txbxContent>
              <w:p>
                <w:pPr>
                  <w:pStyle w:val="BodyText"/>
                  <w:spacing w:line="182" w:lineRule="exact"/>
                  <w:ind w:left="20" w:right="0"/>
                  <w:jc w:val="left"/>
                  <w:rPr>
                    <w:rFonts w:ascii="宋体" w:hAnsi="宋体" w:cs="宋体" w:eastAsia="宋体" w:hint="default"/>
                  </w:rPr>
                </w:pPr>
                <w:r>
                  <w:rPr>
                    <w:rFonts w:ascii="宋体" w:hAnsi="宋体" w:cs="宋体" w:eastAsia="宋体" w:hint="default"/>
                    <w:color w:val="9F8958"/>
                  </w:rPr>
                  <w:t>七、在其他主体中的权益（续）</w:t>
                </w:r>
                <w:r>
                  <w:rPr>
                    <w:rFonts w:ascii="宋体" w:hAnsi="宋体" w:cs="宋体" w:eastAsia="宋体" w:hint="default"/>
                  </w:rPr>
                </w:r>
              </w:p>
            </w:txbxContent>
          </v:textbox>
          <w10:wrap type="none"/>
        </v:shape>
      </w:pict>
    </w:r>
  </w:p>
</w:hdr>
</file>

<file path=word/header9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9920"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header9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8.685001pt;margin-top:58.990669pt;width:146pt;height:48.1pt;mso-position-horizontal-relative:page;mso-position-vertical-relative:page;z-index:-959752" type="#_x0000_t202" filled="false" stroked="false">
          <v:textbox inset="0,0,0,0">
            <w:txbxContent>
              <w:p>
                <w:pPr>
                  <w:spacing w:line="425" w:lineRule="exact" w:before="0"/>
                  <w:ind w:left="20" w:right="0" w:firstLine="0"/>
                  <w:jc w:val="left"/>
                  <w:rPr>
                    <w:rFonts w:ascii="宋体" w:hAnsi="宋体" w:cs="宋体" w:eastAsia="宋体" w:hint="default"/>
                    <w:sz w:val="44"/>
                    <w:szCs w:val="44"/>
                  </w:rPr>
                </w:pPr>
                <w:r>
                  <w:rPr>
                    <w:rFonts w:ascii="宋体" w:hAnsi="宋体" w:cs="宋体" w:eastAsia="宋体" w:hint="default"/>
                    <w:color w:val="9F8958"/>
                    <w:sz w:val="44"/>
                    <w:szCs w:val="44"/>
                  </w:rPr>
                  <w:t>财务报表附注</w:t>
                </w:r>
                <w:r>
                  <w:rPr>
                    <w:rFonts w:ascii="宋体" w:hAnsi="宋体" w:cs="宋体" w:eastAsia="宋体" w:hint="default"/>
                    <w:sz w:val="44"/>
                    <w:szCs w:val="44"/>
                  </w:rPr>
                </w:r>
              </w:p>
              <w:p>
                <w:pPr>
                  <w:spacing w:line="209" w:lineRule="exact" w:before="98"/>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2018</w:t>
                </w:r>
                <w:r>
                  <w:rPr>
                    <w:rFonts w:ascii="华文细黑" w:hAnsi="华文细黑" w:cs="华文细黑" w:eastAsia="华文细黑" w:hint="default"/>
                    <w:spacing w:val="-1"/>
                    <w:sz w:val="16"/>
                    <w:szCs w:val="16"/>
                  </w:rPr>
                  <w:t> </w:t>
                </w:r>
                <w:r>
                  <w:rPr>
                    <w:rFonts w:ascii="华文细黑" w:hAnsi="华文细黑" w:cs="华文细黑" w:eastAsia="华文细黑" w:hint="default"/>
                    <w:sz w:val="16"/>
                    <w:szCs w:val="16"/>
                  </w:rPr>
                  <w:t>年度</w:t>
                </w:r>
              </w:p>
              <w:p>
                <w:pPr>
                  <w:spacing w:line="209" w:lineRule="exact" w:before="0"/>
                  <w:ind w:left="20" w:right="0" w:firstLine="0"/>
                  <w:jc w:val="left"/>
                  <w:rPr>
                    <w:rFonts w:ascii="华文细黑" w:hAnsi="华文细黑" w:cs="华文细黑" w:eastAsia="华文细黑" w:hint="default"/>
                    <w:sz w:val="16"/>
                    <w:szCs w:val="16"/>
                  </w:rPr>
                </w:pPr>
                <w:r>
                  <w:rPr>
                    <w:rFonts w:ascii="华文细黑" w:hAnsi="华文细黑" w:cs="华文细黑" w:eastAsia="华文细黑" w:hint="default"/>
                    <w:sz w:val="16"/>
                    <w:szCs w:val="16"/>
                  </w:rPr>
                  <w:t>（除特别注明外，金额单位为人民币元）</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454"/>
    </w:pPr>
    <w:rPr>
      <w:rFonts w:ascii="宋体" w:hAnsi="宋体" w:eastAsia="宋体"/>
      <w:sz w:val="18"/>
      <w:szCs w:val="18"/>
    </w:rPr>
  </w:style>
  <w:style w:styleId="Heading1" w:type="paragraph">
    <w:name w:val="Heading 1"/>
    <w:basedOn w:val="Normal"/>
    <w:uiPriority w:val="1"/>
    <w:qFormat/>
    <w:pPr>
      <w:ind w:left="850"/>
      <w:outlineLvl w:val="1"/>
    </w:pPr>
    <w:rPr>
      <w:rFonts w:ascii="宋体" w:hAnsi="宋体" w:eastAsia="宋体"/>
      <w:sz w:val="96"/>
      <w:szCs w:val="96"/>
    </w:rPr>
  </w:style>
  <w:style w:styleId="Heading2" w:type="paragraph">
    <w:name w:val="Heading 2"/>
    <w:basedOn w:val="Normal"/>
    <w:uiPriority w:val="1"/>
    <w:qFormat/>
    <w:pPr>
      <w:ind w:left="369"/>
      <w:outlineLvl w:val="2"/>
    </w:pPr>
    <w:rPr>
      <w:rFonts w:ascii="宋体" w:hAnsi="宋体" w:eastAsia="宋体"/>
      <w:sz w:val="71"/>
      <w:szCs w:val="71"/>
    </w:rPr>
  </w:style>
  <w:style w:styleId="Heading3" w:type="paragraph">
    <w:name w:val="Heading 3"/>
    <w:basedOn w:val="Normal"/>
    <w:uiPriority w:val="1"/>
    <w:qFormat/>
    <w:pPr>
      <w:ind w:left="20"/>
      <w:outlineLvl w:val="3"/>
    </w:pPr>
    <w:rPr>
      <w:rFonts w:ascii="宋体" w:hAnsi="宋体" w:eastAsia="宋体"/>
      <w:sz w:val="44"/>
      <w:szCs w:val="44"/>
    </w:rPr>
  </w:style>
  <w:style w:styleId="Heading4" w:type="paragraph">
    <w:name w:val="Heading 4"/>
    <w:basedOn w:val="Normal"/>
    <w:uiPriority w:val="1"/>
    <w:qFormat/>
    <w:pPr>
      <w:ind w:left="117"/>
      <w:outlineLvl w:val="4"/>
    </w:pPr>
    <w:rPr>
      <w:rFonts w:ascii="宋体" w:hAnsi="宋体" w:eastAsia="宋体"/>
      <w:sz w:val="40"/>
      <w:szCs w:val="40"/>
    </w:rPr>
  </w:style>
  <w:style w:styleId="Heading5" w:type="paragraph">
    <w:name w:val="Heading 5"/>
    <w:basedOn w:val="Normal"/>
    <w:uiPriority w:val="1"/>
    <w:qFormat/>
    <w:pPr>
      <w:ind w:left="369"/>
      <w:outlineLvl w:val="5"/>
    </w:pPr>
    <w:rPr>
      <w:rFonts w:ascii="宋体" w:hAnsi="宋体" w:eastAsia="宋体"/>
      <w:sz w:val="37"/>
      <w:szCs w:val="37"/>
    </w:rPr>
  </w:style>
  <w:style w:styleId="Heading6" w:type="paragraph">
    <w:name w:val="Heading 6"/>
    <w:basedOn w:val="Normal"/>
    <w:uiPriority w:val="1"/>
    <w:qFormat/>
    <w:pPr>
      <w:ind w:left="20"/>
      <w:outlineLvl w:val="6"/>
    </w:pPr>
    <w:rPr>
      <w:rFonts w:ascii="宋体" w:hAnsi="宋体" w:eastAsia="宋体"/>
      <w:sz w:val="32"/>
      <w:szCs w:val="32"/>
    </w:rPr>
  </w:style>
  <w:style w:styleId="Heading7" w:type="paragraph">
    <w:name w:val="Heading 7"/>
    <w:basedOn w:val="Normal"/>
    <w:uiPriority w:val="1"/>
    <w:qFormat/>
    <w:pPr>
      <w:spacing w:before="61"/>
      <w:outlineLvl w:val="7"/>
    </w:pPr>
    <w:rPr>
      <w:rFonts w:ascii="宋体" w:hAnsi="宋体" w:eastAsia="宋体"/>
      <w:sz w:val="28"/>
      <w:szCs w:val="28"/>
    </w:rPr>
  </w:style>
  <w:style w:styleId="Heading8" w:type="paragraph">
    <w:name w:val="Heading 8"/>
    <w:basedOn w:val="Normal"/>
    <w:uiPriority w:val="1"/>
    <w:qFormat/>
    <w:pPr>
      <w:spacing w:before="18"/>
      <w:ind w:left="1757"/>
      <w:outlineLvl w:val="8"/>
    </w:pPr>
    <w:rPr>
      <w:rFonts w:ascii="宋体" w:hAnsi="宋体" w:eastAsia="宋体"/>
      <w:sz w:val="22"/>
      <w:szCs w:val="22"/>
    </w:rPr>
  </w:style>
  <w:style w:styleId="Heading9" w:type="paragraph">
    <w:name w:val="Heading 9"/>
    <w:basedOn w:val="Normal"/>
    <w:uiPriority w:val="1"/>
    <w:qFormat/>
    <w:pPr>
      <w:ind w:left="100"/>
      <w:outlineLvl w:val="9"/>
    </w:pPr>
    <w:rPr>
      <w:rFonts w:ascii="华文细黑" w:hAnsi="华文细黑" w:eastAsia="华文细黑"/>
      <w:sz w:val="20"/>
      <w:szCs w:val="20"/>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footer" Target="footer3.xml"/><Relationship Id="rId34" Type="http://schemas.openxmlformats.org/officeDocument/2006/relationships/footer" Target="footer4.xml"/><Relationship Id="rId35" Type="http://schemas.openxmlformats.org/officeDocument/2006/relationships/image" Target="media/image27.png"/><Relationship Id="rId36" Type="http://schemas.openxmlformats.org/officeDocument/2006/relationships/footer" Target="footer5.xml"/><Relationship Id="rId37" Type="http://schemas.openxmlformats.org/officeDocument/2006/relationships/image" Target="media/image28.png"/><Relationship Id="rId38" Type="http://schemas.openxmlformats.org/officeDocument/2006/relationships/footer" Target="footer6.xml"/><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footer" Target="footer7.xml"/><Relationship Id="rId44" Type="http://schemas.openxmlformats.org/officeDocument/2006/relationships/footer" Target="footer8.xml"/><Relationship Id="rId45" Type="http://schemas.openxmlformats.org/officeDocument/2006/relationships/footer" Target="footer9.xml"/><Relationship Id="rId46" Type="http://schemas.openxmlformats.org/officeDocument/2006/relationships/footer" Target="footer10.xml"/><Relationship Id="rId47" Type="http://schemas.openxmlformats.org/officeDocument/2006/relationships/hyperlink" Target="mailto:dongmi@chinaunicom.cn" TargetMode="External"/><Relationship Id="rId48" Type="http://schemas.openxmlformats.org/officeDocument/2006/relationships/hyperlink" Target="mailto:ir@chinaunicom.cn" TargetMode="External"/><Relationship Id="rId49" Type="http://schemas.openxmlformats.org/officeDocument/2006/relationships/header" Target="header1.xml"/><Relationship Id="rId50" Type="http://schemas.openxmlformats.org/officeDocument/2006/relationships/header" Target="header2.xml"/><Relationship Id="rId51" Type="http://schemas.openxmlformats.org/officeDocument/2006/relationships/footer" Target="footer11.xml"/><Relationship Id="rId52" Type="http://schemas.openxmlformats.org/officeDocument/2006/relationships/hyperlink" Target="http://www.chinaunicom-a.com/" TargetMode="External"/><Relationship Id="rId53" Type="http://schemas.openxmlformats.org/officeDocument/2006/relationships/header" Target="header3.xml"/><Relationship Id="rId54" Type="http://schemas.openxmlformats.org/officeDocument/2006/relationships/header" Target="header4.xml"/><Relationship Id="rId55" Type="http://schemas.openxmlformats.org/officeDocument/2006/relationships/footer" Target="footer12.xml"/><Relationship Id="rId56" Type="http://schemas.openxmlformats.org/officeDocument/2006/relationships/footer" Target="footer13.xml"/><Relationship Id="rId57" Type="http://schemas.openxmlformats.org/officeDocument/2006/relationships/image" Target="media/image33.png"/><Relationship Id="rId58" Type="http://schemas.openxmlformats.org/officeDocument/2006/relationships/image" Target="media/image34.png"/><Relationship Id="rId59" Type="http://schemas.openxmlformats.org/officeDocument/2006/relationships/image" Target="media/image35.png"/><Relationship Id="rId60" Type="http://schemas.openxmlformats.org/officeDocument/2006/relationships/image" Target="media/image36.png"/><Relationship Id="rId61" Type="http://schemas.openxmlformats.org/officeDocument/2006/relationships/image" Target="media/image37.png"/><Relationship Id="rId62" Type="http://schemas.openxmlformats.org/officeDocument/2006/relationships/header" Target="header5.xml"/><Relationship Id="rId63" Type="http://schemas.openxmlformats.org/officeDocument/2006/relationships/footer" Target="footer14.xml"/><Relationship Id="rId64" Type="http://schemas.openxmlformats.org/officeDocument/2006/relationships/header" Target="header6.xml"/><Relationship Id="rId65" Type="http://schemas.openxmlformats.org/officeDocument/2006/relationships/footer" Target="footer15.xml"/><Relationship Id="rId66" Type="http://schemas.openxmlformats.org/officeDocument/2006/relationships/header" Target="header7.xml"/><Relationship Id="rId67" Type="http://schemas.openxmlformats.org/officeDocument/2006/relationships/footer" Target="footer16.xml"/><Relationship Id="rId68" Type="http://schemas.openxmlformats.org/officeDocument/2006/relationships/image" Target="media/image38.png"/><Relationship Id="rId69" Type="http://schemas.openxmlformats.org/officeDocument/2006/relationships/header" Target="header8.xml"/><Relationship Id="rId70" Type="http://schemas.openxmlformats.org/officeDocument/2006/relationships/footer" Target="footer17.xml"/><Relationship Id="rId71" Type="http://schemas.openxmlformats.org/officeDocument/2006/relationships/image" Target="media/image39.png"/><Relationship Id="rId72" Type="http://schemas.openxmlformats.org/officeDocument/2006/relationships/image" Target="media/image40.png"/><Relationship Id="rId73" Type="http://schemas.openxmlformats.org/officeDocument/2006/relationships/header" Target="header9.xml"/><Relationship Id="rId74" Type="http://schemas.openxmlformats.org/officeDocument/2006/relationships/footer" Target="footer18.xml"/><Relationship Id="rId75" Type="http://schemas.openxmlformats.org/officeDocument/2006/relationships/image" Target="media/image41.png"/><Relationship Id="rId76" Type="http://schemas.openxmlformats.org/officeDocument/2006/relationships/image" Target="media/image42.png"/><Relationship Id="rId77" Type="http://schemas.openxmlformats.org/officeDocument/2006/relationships/image" Target="media/image43.png"/><Relationship Id="rId78" Type="http://schemas.openxmlformats.org/officeDocument/2006/relationships/image" Target="media/image44.jpeg"/><Relationship Id="rId79" Type="http://schemas.openxmlformats.org/officeDocument/2006/relationships/header" Target="header10.xml"/><Relationship Id="rId80" Type="http://schemas.openxmlformats.org/officeDocument/2006/relationships/footer" Target="footer19.xml"/><Relationship Id="rId81" Type="http://schemas.openxmlformats.org/officeDocument/2006/relationships/header" Target="header11.xml"/><Relationship Id="rId82" Type="http://schemas.openxmlformats.org/officeDocument/2006/relationships/footer" Target="footer20.xml"/><Relationship Id="rId83" Type="http://schemas.openxmlformats.org/officeDocument/2006/relationships/header" Target="header12.xml"/><Relationship Id="rId84" Type="http://schemas.openxmlformats.org/officeDocument/2006/relationships/footer" Target="footer21.xml"/><Relationship Id="rId85" Type="http://schemas.openxmlformats.org/officeDocument/2006/relationships/image" Target="media/image46.png"/><Relationship Id="rId86" Type="http://schemas.openxmlformats.org/officeDocument/2006/relationships/image" Target="media/image47.png"/><Relationship Id="rId87" Type="http://schemas.openxmlformats.org/officeDocument/2006/relationships/image" Target="media/image48.png"/><Relationship Id="rId88" Type="http://schemas.openxmlformats.org/officeDocument/2006/relationships/image" Target="media/image49.png"/><Relationship Id="rId89" Type="http://schemas.openxmlformats.org/officeDocument/2006/relationships/image" Target="media/image50.png"/><Relationship Id="rId90" Type="http://schemas.openxmlformats.org/officeDocument/2006/relationships/image" Target="media/image51.png"/><Relationship Id="rId91" Type="http://schemas.openxmlformats.org/officeDocument/2006/relationships/image" Target="media/image52.png"/><Relationship Id="rId92" Type="http://schemas.openxmlformats.org/officeDocument/2006/relationships/header" Target="header13.xml"/><Relationship Id="rId93" Type="http://schemas.openxmlformats.org/officeDocument/2006/relationships/footer" Target="footer22.xml"/><Relationship Id="rId94" Type="http://schemas.openxmlformats.org/officeDocument/2006/relationships/image" Target="media/image53.png"/><Relationship Id="rId95" Type="http://schemas.openxmlformats.org/officeDocument/2006/relationships/image" Target="media/image54.png"/><Relationship Id="rId96" Type="http://schemas.openxmlformats.org/officeDocument/2006/relationships/image" Target="media/image55.png"/><Relationship Id="rId97" Type="http://schemas.openxmlformats.org/officeDocument/2006/relationships/image" Target="media/image56.png"/><Relationship Id="rId98" Type="http://schemas.openxmlformats.org/officeDocument/2006/relationships/image" Target="media/image57.png"/><Relationship Id="rId99" Type="http://schemas.openxmlformats.org/officeDocument/2006/relationships/header" Target="header14.xml"/><Relationship Id="rId100" Type="http://schemas.openxmlformats.org/officeDocument/2006/relationships/footer" Target="footer23.xml"/><Relationship Id="rId101" Type="http://schemas.openxmlformats.org/officeDocument/2006/relationships/header" Target="header15.xml"/><Relationship Id="rId102" Type="http://schemas.openxmlformats.org/officeDocument/2006/relationships/footer" Target="footer24.xml"/><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60.png"/><Relationship Id="rId106" Type="http://schemas.openxmlformats.org/officeDocument/2006/relationships/image" Target="media/image61.png"/><Relationship Id="rId107" Type="http://schemas.openxmlformats.org/officeDocument/2006/relationships/image" Target="media/image62.png"/><Relationship Id="rId108" Type="http://schemas.openxmlformats.org/officeDocument/2006/relationships/image" Target="media/image63.png"/><Relationship Id="rId109" Type="http://schemas.openxmlformats.org/officeDocument/2006/relationships/image" Target="media/image64.png"/><Relationship Id="rId110" Type="http://schemas.openxmlformats.org/officeDocument/2006/relationships/image" Target="media/image65.png"/><Relationship Id="rId111" Type="http://schemas.openxmlformats.org/officeDocument/2006/relationships/image" Target="media/image66.png"/><Relationship Id="rId112" Type="http://schemas.openxmlformats.org/officeDocument/2006/relationships/image" Target="media/image67.png"/><Relationship Id="rId113" Type="http://schemas.openxmlformats.org/officeDocument/2006/relationships/image" Target="media/image68.png"/><Relationship Id="rId114" Type="http://schemas.openxmlformats.org/officeDocument/2006/relationships/image" Target="media/image69.png"/><Relationship Id="rId115" Type="http://schemas.openxmlformats.org/officeDocument/2006/relationships/image" Target="media/image70.png"/><Relationship Id="rId116" Type="http://schemas.openxmlformats.org/officeDocument/2006/relationships/image" Target="media/image71.png"/><Relationship Id="rId117" Type="http://schemas.openxmlformats.org/officeDocument/2006/relationships/image" Target="media/image72.png"/><Relationship Id="rId118" Type="http://schemas.openxmlformats.org/officeDocument/2006/relationships/image" Target="media/image73.png"/><Relationship Id="rId119" Type="http://schemas.openxmlformats.org/officeDocument/2006/relationships/image" Target="media/image74.png"/><Relationship Id="rId120" Type="http://schemas.openxmlformats.org/officeDocument/2006/relationships/image" Target="media/image75.png"/><Relationship Id="rId121" Type="http://schemas.openxmlformats.org/officeDocument/2006/relationships/header" Target="header16.xml"/><Relationship Id="rId122" Type="http://schemas.openxmlformats.org/officeDocument/2006/relationships/footer" Target="footer25.xml"/><Relationship Id="rId123" Type="http://schemas.openxmlformats.org/officeDocument/2006/relationships/header" Target="header17.xml"/><Relationship Id="rId124" Type="http://schemas.openxmlformats.org/officeDocument/2006/relationships/footer" Target="footer26.xml"/><Relationship Id="rId125" Type="http://schemas.openxmlformats.org/officeDocument/2006/relationships/header" Target="header18.xml"/><Relationship Id="rId126" Type="http://schemas.openxmlformats.org/officeDocument/2006/relationships/footer" Target="footer27.xml"/><Relationship Id="rId127" Type="http://schemas.openxmlformats.org/officeDocument/2006/relationships/header" Target="header19.xml"/><Relationship Id="rId128" Type="http://schemas.openxmlformats.org/officeDocument/2006/relationships/footer" Target="footer28.xml"/><Relationship Id="rId129" Type="http://schemas.openxmlformats.org/officeDocument/2006/relationships/header" Target="header20.xml"/><Relationship Id="rId130" Type="http://schemas.openxmlformats.org/officeDocument/2006/relationships/footer" Target="footer29.xml"/><Relationship Id="rId131" Type="http://schemas.openxmlformats.org/officeDocument/2006/relationships/header" Target="header21.xml"/><Relationship Id="rId132" Type="http://schemas.openxmlformats.org/officeDocument/2006/relationships/footer" Target="footer30.xml"/><Relationship Id="rId133" Type="http://schemas.openxmlformats.org/officeDocument/2006/relationships/header" Target="header22.xml"/><Relationship Id="rId134" Type="http://schemas.openxmlformats.org/officeDocument/2006/relationships/footer" Target="footer31.xml"/><Relationship Id="rId135" Type="http://schemas.openxmlformats.org/officeDocument/2006/relationships/header" Target="header23.xml"/><Relationship Id="rId136" Type="http://schemas.openxmlformats.org/officeDocument/2006/relationships/footer" Target="footer32.xml"/><Relationship Id="rId137" Type="http://schemas.openxmlformats.org/officeDocument/2006/relationships/header" Target="header24.xml"/><Relationship Id="rId138" Type="http://schemas.openxmlformats.org/officeDocument/2006/relationships/footer" Target="footer33.xml"/><Relationship Id="rId139" Type="http://schemas.openxmlformats.org/officeDocument/2006/relationships/header" Target="header25.xml"/><Relationship Id="rId140" Type="http://schemas.openxmlformats.org/officeDocument/2006/relationships/footer" Target="footer34.xml"/><Relationship Id="rId141" Type="http://schemas.openxmlformats.org/officeDocument/2006/relationships/header" Target="header26.xml"/><Relationship Id="rId142" Type="http://schemas.openxmlformats.org/officeDocument/2006/relationships/footer" Target="footer35.xml"/><Relationship Id="rId143" Type="http://schemas.openxmlformats.org/officeDocument/2006/relationships/image" Target="media/image76.png"/><Relationship Id="rId144" Type="http://schemas.openxmlformats.org/officeDocument/2006/relationships/header" Target="header27.xml"/><Relationship Id="rId145" Type="http://schemas.openxmlformats.org/officeDocument/2006/relationships/footer" Target="footer36.xml"/><Relationship Id="rId146" Type="http://schemas.openxmlformats.org/officeDocument/2006/relationships/header" Target="header28.xml"/><Relationship Id="rId147" Type="http://schemas.openxmlformats.org/officeDocument/2006/relationships/header" Target="header29.xml"/><Relationship Id="rId148" Type="http://schemas.openxmlformats.org/officeDocument/2006/relationships/footer" Target="footer37.xml"/><Relationship Id="rId149" Type="http://schemas.openxmlformats.org/officeDocument/2006/relationships/header" Target="header30.xml"/><Relationship Id="rId150" Type="http://schemas.openxmlformats.org/officeDocument/2006/relationships/header" Target="header31.xml"/><Relationship Id="rId151" Type="http://schemas.openxmlformats.org/officeDocument/2006/relationships/footer" Target="footer38.xml"/><Relationship Id="rId152" Type="http://schemas.openxmlformats.org/officeDocument/2006/relationships/footer" Target="footer39.xml"/><Relationship Id="rId153" Type="http://schemas.openxmlformats.org/officeDocument/2006/relationships/header" Target="header32.xml"/><Relationship Id="rId154" Type="http://schemas.openxmlformats.org/officeDocument/2006/relationships/header" Target="header33.xml"/><Relationship Id="rId155" Type="http://schemas.openxmlformats.org/officeDocument/2006/relationships/footer" Target="footer40.xml"/><Relationship Id="rId156" Type="http://schemas.openxmlformats.org/officeDocument/2006/relationships/footer" Target="footer41.xml"/><Relationship Id="rId157" Type="http://schemas.openxmlformats.org/officeDocument/2006/relationships/header" Target="header34.xml"/><Relationship Id="rId158" Type="http://schemas.openxmlformats.org/officeDocument/2006/relationships/footer" Target="footer42.xml"/><Relationship Id="rId159" Type="http://schemas.openxmlformats.org/officeDocument/2006/relationships/hyperlink" Target="http://www.sse.com.cn/" TargetMode="External"/><Relationship Id="rId160" Type="http://schemas.openxmlformats.org/officeDocument/2006/relationships/header" Target="header35.xml"/><Relationship Id="rId161" Type="http://schemas.openxmlformats.org/officeDocument/2006/relationships/footer" Target="footer43.xml"/><Relationship Id="rId162" Type="http://schemas.openxmlformats.org/officeDocument/2006/relationships/image" Target="media/image77.png"/><Relationship Id="rId163" Type="http://schemas.openxmlformats.org/officeDocument/2006/relationships/header" Target="header36.xml"/><Relationship Id="rId164" Type="http://schemas.openxmlformats.org/officeDocument/2006/relationships/footer" Target="footer44.xml"/><Relationship Id="rId165" Type="http://schemas.openxmlformats.org/officeDocument/2006/relationships/header" Target="header37.xml"/><Relationship Id="rId166" Type="http://schemas.openxmlformats.org/officeDocument/2006/relationships/header" Target="header38.xml"/><Relationship Id="rId167" Type="http://schemas.openxmlformats.org/officeDocument/2006/relationships/footer" Target="footer45.xml"/><Relationship Id="rId168" Type="http://schemas.openxmlformats.org/officeDocument/2006/relationships/footer" Target="footer46.xml"/><Relationship Id="rId169" Type="http://schemas.openxmlformats.org/officeDocument/2006/relationships/footer" Target="footer47.xml"/><Relationship Id="rId170" Type="http://schemas.openxmlformats.org/officeDocument/2006/relationships/footer" Target="footer48.xml"/><Relationship Id="rId171" Type="http://schemas.openxmlformats.org/officeDocument/2006/relationships/image" Target="media/image80.jpeg"/><Relationship Id="rId172" Type="http://schemas.openxmlformats.org/officeDocument/2006/relationships/header" Target="header39.xml"/><Relationship Id="rId173" Type="http://schemas.openxmlformats.org/officeDocument/2006/relationships/footer" Target="footer49.xml"/><Relationship Id="rId174" Type="http://schemas.openxmlformats.org/officeDocument/2006/relationships/footer" Target="footer50.xml"/><Relationship Id="rId175" Type="http://schemas.openxmlformats.org/officeDocument/2006/relationships/image" Target="media/image81.png"/><Relationship Id="rId176" Type="http://schemas.openxmlformats.org/officeDocument/2006/relationships/header" Target="header40.xml"/><Relationship Id="rId177" Type="http://schemas.openxmlformats.org/officeDocument/2006/relationships/image" Target="media/image82.png"/><Relationship Id="rId178" Type="http://schemas.openxmlformats.org/officeDocument/2006/relationships/header" Target="header41.xml"/><Relationship Id="rId179" Type="http://schemas.openxmlformats.org/officeDocument/2006/relationships/footer" Target="footer51.xml"/><Relationship Id="rId180" Type="http://schemas.openxmlformats.org/officeDocument/2006/relationships/image" Target="media/image83.png"/><Relationship Id="rId181" Type="http://schemas.openxmlformats.org/officeDocument/2006/relationships/header" Target="header42.xml"/><Relationship Id="rId182" Type="http://schemas.openxmlformats.org/officeDocument/2006/relationships/footer" Target="footer52.xml"/><Relationship Id="rId183" Type="http://schemas.openxmlformats.org/officeDocument/2006/relationships/image" Target="media/image84.png"/><Relationship Id="rId184" Type="http://schemas.openxmlformats.org/officeDocument/2006/relationships/image" Target="media/image85.png"/><Relationship Id="rId185" Type="http://schemas.openxmlformats.org/officeDocument/2006/relationships/image" Target="media/image86.png"/><Relationship Id="rId186" Type="http://schemas.openxmlformats.org/officeDocument/2006/relationships/image" Target="media/image87.png"/><Relationship Id="rId187" Type="http://schemas.openxmlformats.org/officeDocument/2006/relationships/header" Target="header43.xml"/><Relationship Id="rId188" Type="http://schemas.openxmlformats.org/officeDocument/2006/relationships/header" Target="header44.xml"/><Relationship Id="rId189" Type="http://schemas.openxmlformats.org/officeDocument/2006/relationships/footer" Target="footer53.xml"/><Relationship Id="rId190" Type="http://schemas.openxmlformats.org/officeDocument/2006/relationships/footer" Target="footer54.xml"/><Relationship Id="rId191" Type="http://schemas.openxmlformats.org/officeDocument/2006/relationships/footer" Target="footer55.xml"/><Relationship Id="rId192" Type="http://schemas.openxmlformats.org/officeDocument/2006/relationships/footer" Target="footer56.xml"/><Relationship Id="rId193" Type="http://schemas.openxmlformats.org/officeDocument/2006/relationships/header" Target="header45.xml"/><Relationship Id="rId194" Type="http://schemas.openxmlformats.org/officeDocument/2006/relationships/header" Target="header46.xml"/><Relationship Id="rId195" Type="http://schemas.openxmlformats.org/officeDocument/2006/relationships/footer" Target="footer57.xml"/><Relationship Id="rId196" Type="http://schemas.openxmlformats.org/officeDocument/2006/relationships/footer" Target="footer58.xml"/><Relationship Id="rId197" Type="http://schemas.openxmlformats.org/officeDocument/2006/relationships/footer" Target="footer59.xml"/><Relationship Id="rId198" Type="http://schemas.openxmlformats.org/officeDocument/2006/relationships/footer" Target="footer60.xml"/><Relationship Id="rId199" Type="http://schemas.openxmlformats.org/officeDocument/2006/relationships/image" Target="media/image88.png"/><Relationship Id="rId200" Type="http://schemas.openxmlformats.org/officeDocument/2006/relationships/image" Target="media/image89.png"/><Relationship Id="rId201" Type="http://schemas.openxmlformats.org/officeDocument/2006/relationships/image" Target="media/image90.png"/><Relationship Id="rId202" Type="http://schemas.openxmlformats.org/officeDocument/2006/relationships/image" Target="media/image91.png"/><Relationship Id="rId203" Type="http://schemas.openxmlformats.org/officeDocument/2006/relationships/image" Target="media/image92.png"/><Relationship Id="rId204" Type="http://schemas.openxmlformats.org/officeDocument/2006/relationships/header" Target="header47.xml"/><Relationship Id="rId205" Type="http://schemas.openxmlformats.org/officeDocument/2006/relationships/header" Target="header48.xml"/><Relationship Id="rId206" Type="http://schemas.openxmlformats.org/officeDocument/2006/relationships/image" Target="media/image93.png"/><Relationship Id="rId207" Type="http://schemas.openxmlformats.org/officeDocument/2006/relationships/image" Target="media/image94.png"/><Relationship Id="rId208" Type="http://schemas.openxmlformats.org/officeDocument/2006/relationships/image" Target="media/image95.png"/><Relationship Id="rId209" Type="http://schemas.openxmlformats.org/officeDocument/2006/relationships/image" Target="media/image96.png"/><Relationship Id="rId210" Type="http://schemas.openxmlformats.org/officeDocument/2006/relationships/header" Target="header49.xml"/><Relationship Id="rId211" Type="http://schemas.openxmlformats.org/officeDocument/2006/relationships/header" Target="header50.xml"/><Relationship Id="rId212" Type="http://schemas.openxmlformats.org/officeDocument/2006/relationships/footer" Target="footer61.xml"/><Relationship Id="rId213" Type="http://schemas.openxmlformats.org/officeDocument/2006/relationships/footer" Target="footer62.xml"/><Relationship Id="rId214" Type="http://schemas.openxmlformats.org/officeDocument/2006/relationships/header" Target="header51.xml"/><Relationship Id="rId215" Type="http://schemas.openxmlformats.org/officeDocument/2006/relationships/footer" Target="footer63.xml"/><Relationship Id="rId216" Type="http://schemas.openxmlformats.org/officeDocument/2006/relationships/image" Target="media/image97.png"/><Relationship Id="rId217" Type="http://schemas.openxmlformats.org/officeDocument/2006/relationships/header" Target="header52.xml"/><Relationship Id="rId218" Type="http://schemas.openxmlformats.org/officeDocument/2006/relationships/footer" Target="footer64.xml"/><Relationship Id="rId219" Type="http://schemas.openxmlformats.org/officeDocument/2006/relationships/image" Target="media/image98.png"/><Relationship Id="rId220" Type="http://schemas.openxmlformats.org/officeDocument/2006/relationships/hyperlink" Target="http://www.chinaunicom-a.com.cn/" TargetMode="External"/><Relationship Id="rId221" Type="http://schemas.openxmlformats.org/officeDocument/2006/relationships/image" Target="media/image99.png"/><Relationship Id="rId222" Type="http://schemas.openxmlformats.org/officeDocument/2006/relationships/image" Target="media/image100.png"/><Relationship Id="rId223" Type="http://schemas.openxmlformats.org/officeDocument/2006/relationships/header" Target="header53.xml"/><Relationship Id="rId224" Type="http://schemas.openxmlformats.org/officeDocument/2006/relationships/header" Target="header54.xml"/><Relationship Id="rId225" Type="http://schemas.openxmlformats.org/officeDocument/2006/relationships/footer" Target="footer65.xml"/><Relationship Id="rId226" Type="http://schemas.openxmlformats.org/officeDocument/2006/relationships/footer" Target="footer66.xml"/><Relationship Id="rId227" Type="http://schemas.openxmlformats.org/officeDocument/2006/relationships/image" Target="media/image102.jpeg"/><Relationship Id="rId228" Type="http://schemas.openxmlformats.org/officeDocument/2006/relationships/hyperlink" Target="http://www/" TargetMode="External"/><Relationship Id="rId229" Type="http://schemas.openxmlformats.org/officeDocument/2006/relationships/header" Target="header55.xml"/><Relationship Id="rId230" Type="http://schemas.openxmlformats.org/officeDocument/2006/relationships/footer" Target="footer67.xml"/><Relationship Id="rId231" Type="http://schemas.openxmlformats.org/officeDocument/2006/relationships/image" Target="media/image103.png"/><Relationship Id="rId232" Type="http://schemas.openxmlformats.org/officeDocument/2006/relationships/image" Target="media/image104.png"/><Relationship Id="rId233" Type="http://schemas.openxmlformats.org/officeDocument/2006/relationships/header" Target="header56.xml"/><Relationship Id="rId234" Type="http://schemas.openxmlformats.org/officeDocument/2006/relationships/footer" Target="footer68.xml"/><Relationship Id="rId235" Type="http://schemas.openxmlformats.org/officeDocument/2006/relationships/image" Target="media/image105.png"/><Relationship Id="rId236" Type="http://schemas.openxmlformats.org/officeDocument/2006/relationships/image" Target="media/image106.png"/><Relationship Id="rId237" Type="http://schemas.openxmlformats.org/officeDocument/2006/relationships/header" Target="header57.xml"/><Relationship Id="rId238" Type="http://schemas.openxmlformats.org/officeDocument/2006/relationships/footer" Target="footer69.xml"/><Relationship Id="rId239" Type="http://schemas.openxmlformats.org/officeDocument/2006/relationships/image" Target="media/image107.png"/><Relationship Id="rId240" Type="http://schemas.openxmlformats.org/officeDocument/2006/relationships/image" Target="media/image108.png"/><Relationship Id="rId241" Type="http://schemas.openxmlformats.org/officeDocument/2006/relationships/header" Target="header58.xml"/><Relationship Id="rId242" Type="http://schemas.openxmlformats.org/officeDocument/2006/relationships/footer" Target="footer70.xml"/><Relationship Id="rId243" Type="http://schemas.openxmlformats.org/officeDocument/2006/relationships/header" Target="header59.xml"/><Relationship Id="rId244" Type="http://schemas.openxmlformats.org/officeDocument/2006/relationships/footer" Target="footer71.xml"/><Relationship Id="rId245" Type="http://schemas.openxmlformats.org/officeDocument/2006/relationships/footer" Target="footer72.xml"/><Relationship Id="rId246" Type="http://schemas.openxmlformats.org/officeDocument/2006/relationships/header" Target="header60.xml"/><Relationship Id="rId247" Type="http://schemas.openxmlformats.org/officeDocument/2006/relationships/header" Target="header61.xml"/><Relationship Id="rId248" Type="http://schemas.openxmlformats.org/officeDocument/2006/relationships/footer" Target="footer73.xml"/><Relationship Id="rId249" Type="http://schemas.openxmlformats.org/officeDocument/2006/relationships/footer" Target="footer74.xml"/><Relationship Id="rId250" Type="http://schemas.openxmlformats.org/officeDocument/2006/relationships/header" Target="header62.xml"/><Relationship Id="rId251" Type="http://schemas.openxmlformats.org/officeDocument/2006/relationships/header" Target="header63.xml"/><Relationship Id="rId252" Type="http://schemas.openxmlformats.org/officeDocument/2006/relationships/footer" Target="footer75.xml"/><Relationship Id="rId253" Type="http://schemas.openxmlformats.org/officeDocument/2006/relationships/footer" Target="footer76.xml"/><Relationship Id="rId254" Type="http://schemas.openxmlformats.org/officeDocument/2006/relationships/header" Target="header64.xml"/><Relationship Id="rId255" Type="http://schemas.openxmlformats.org/officeDocument/2006/relationships/header" Target="header65.xml"/><Relationship Id="rId256" Type="http://schemas.openxmlformats.org/officeDocument/2006/relationships/footer" Target="footer77.xml"/><Relationship Id="rId257" Type="http://schemas.openxmlformats.org/officeDocument/2006/relationships/footer" Target="footer78.xml"/><Relationship Id="rId258" Type="http://schemas.openxmlformats.org/officeDocument/2006/relationships/header" Target="header66.xml"/><Relationship Id="rId259" Type="http://schemas.openxmlformats.org/officeDocument/2006/relationships/header" Target="header67.xml"/><Relationship Id="rId260" Type="http://schemas.openxmlformats.org/officeDocument/2006/relationships/footer" Target="footer79.xml"/><Relationship Id="rId261" Type="http://schemas.openxmlformats.org/officeDocument/2006/relationships/footer" Target="footer80.xml"/><Relationship Id="rId262" Type="http://schemas.openxmlformats.org/officeDocument/2006/relationships/header" Target="header68.xml"/><Relationship Id="rId263" Type="http://schemas.openxmlformats.org/officeDocument/2006/relationships/header" Target="header69.xml"/><Relationship Id="rId264" Type="http://schemas.openxmlformats.org/officeDocument/2006/relationships/footer" Target="footer81.xml"/><Relationship Id="rId265" Type="http://schemas.openxmlformats.org/officeDocument/2006/relationships/header" Target="header70.xml"/><Relationship Id="rId266" Type="http://schemas.openxmlformats.org/officeDocument/2006/relationships/footer" Target="footer82.xml"/><Relationship Id="rId267" Type="http://schemas.openxmlformats.org/officeDocument/2006/relationships/header" Target="header71.xml"/><Relationship Id="rId268" Type="http://schemas.openxmlformats.org/officeDocument/2006/relationships/footer" Target="footer83.xml"/><Relationship Id="rId269" Type="http://schemas.openxmlformats.org/officeDocument/2006/relationships/footer" Target="footer84.xml"/><Relationship Id="rId270" Type="http://schemas.openxmlformats.org/officeDocument/2006/relationships/header" Target="header72.xml"/><Relationship Id="rId271" Type="http://schemas.openxmlformats.org/officeDocument/2006/relationships/header" Target="header73.xml"/><Relationship Id="rId272" Type="http://schemas.openxmlformats.org/officeDocument/2006/relationships/footer" Target="footer85.xml"/><Relationship Id="rId273" Type="http://schemas.openxmlformats.org/officeDocument/2006/relationships/footer" Target="footer86.xml"/><Relationship Id="rId274" Type="http://schemas.openxmlformats.org/officeDocument/2006/relationships/header" Target="header74.xml"/><Relationship Id="rId275" Type="http://schemas.openxmlformats.org/officeDocument/2006/relationships/header" Target="header75.xml"/><Relationship Id="rId276" Type="http://schemas.openxmlformats.org/officeDocument/2006/relationships/header" Target="header76.xml"/><Relationship Id="rId277" Type="http://schemas.openxmlformats.org/officeDocument/2006/relationships/footer" Target="footer87.xml"/><Relationship Id="rId278" Type="http://schemas.openxmlformats.org/officeDocument/2006/relationships/footer" Target="footer88.xml"/><Relationship Id="rId279" Type="http://schemas.openxmlformats.org/officeDocument/2006/relationships/footer" Target="footer89.xml"/><Relationship Id="rId280" Type="http://schemas.openxmlformats.org/officeDocument/2006/relationships/footer" Target="footer90.xml"/><Relationship Id="rId281" Type="http://schemas.openxmlformats.org/officeDocument/2006/relationships/footer" Target="footer91.xml"/><Relationship Id="rId282" Type="http://schemas.openxmlformats.org/officeDocument/2006/relationships/footer" Target="footer92.xml"/><Relationship Id="rId283" Type="http://schemas.openxmlformats.org/officeDocument/2006/relationships/footer" Target="footer93.xml"/><Relationship Id="rId284" Type="http://schemas.openxmlformats.org/officeDocument/2006/relationships/footer" Target="footer94.xml"/><Relationship Id="rId285" Type="http://schemas.openxmlformats.org/officeDocument/2006/relationships/footer" Target="footer95.xml"/><Relationship Id="rId286" Type="http://schemas.openxmlformats.org/officeDocument/2006/relationships/footer" Target="footer96.xml"/><Relationship Id="rId287" Type="http://schemas.openxmlformats.org/officeDocument/2006/relationships/footer" Target="footer97.xml"/><Relationship Id="rId288" Type="http://schemas.openxmlformats.org/officeDocument/2006/relationships/footer" Target="footer98.xml"/><Relationship Id="rId289" Type="http://schemas.openxmlformats.org/officeDocument/2006/relationships/footer" Target="footer99.xml"/><Relationship Id="rId290" Type="http://schemas.openxmlformats.org/officeDocument/2006/relationships/footer" Target="footer100.xml"/><Relationship Id="rId291" Type="http://schemas.openxmlformats.org/officeDocument/2006/relationships/header" Target="header77.xml"/><Relationship Id="rId292" Type="http://schemas.openxmlformats.org/officeDocument/2006/relationships/header" Target="header78.xml"/><Relationship Id="rId293" Type="http://schemas.openxmlformats.org/officeDocument/2006/relationships/header" Target="header79.xml"/><Relationship Id="rId294" Type="http://schemas.openxmlformats.org/officeDocument/2006/relationships/header" Target="header80.xml"/><Relationship Id="rId295" Type="http://schemas.openxmlformats.org/officeDocument/2006/relationships/header" Target="header81.xml"/><Relationship Id="rId296" Type="http://schemas.openxmlformats.org/officeDocument/2006/relationships/footer" Target="footer101.xml"/><Relationship Id="rId297" Type="http://schemas.openxmlformats.org/officeDocument/2006/relationships/footer" Target="footer102.xml"/><Relationship Id="rId298" Type="http://schemas.openxmlformats.org/officeDocument/2006/relationships/header" Target="header82.xml"/><Relationship Id="rId299" Type="http://schemas.openxmlformats.org/officeDocument/2006/relationships/header" Target="header83.xml"/><Relationship Id="rId300" Type="http://schemas.openxmlformats.org/officeDocument/2006/relationships/footer" Target="footer103.xml"/><Relationship Id="rId301" Type="http://schemas.openxmlformats.org/officeDocument/2006/relationships/footer" Target="footer104.xml"/><Relationship Id="rId302" Type="http://schemas.openxmlformats.org/officeDocument/2006/relationships/header" Target="header84.xml"/><Relationship Id="rId303" Type="http://schemas.openxmlformats.org/officeDocument/2006/relationships/header" Target="header85.xml"/><Relationship Id="rId304" Type="http://schemas.openxmlformats.org/officeDocument/2006/relationships/footer" Target="footer105.xml"/><Relationship Id="rId305" Type="http://schemas.openxmlformats.org/officeDocument/2006/relationships/footer" Target="footer106.xml"/><Relationship Id="rId306" Type="http://schemas.openxmlformats.org/officeDocument/2006/relationships/footer" Target="footer107.xml"/><Relationship Id="rId307" Type="http://schemas.openxmlformats.org/officeDocument/2006/relationships/footer" Target="footer108.xml"/><Relationship Id="rId308" Type="http://schemas.openxmlformats.org/officeDocument/2006/relationships/footer" Target="footer109.xml"/><Relationship Id="rId309" Type="http://schemas.openxmlformats.org/officeDocument/2006/relationships/footer" Target="footer110.xml"/><Relationship Id="rId310" Type="http://schemas.openxmlformats.org/officeDocument/2006/relationships/footer" Target="footer111.xml"/><Relationship Id="rId311" Type="http://schemas.openxmlformats.org/officeDocument/2006/relationships/footer" Target="footer112.xml"/><Relationship Id="rId312" Type="http://schemas.openxmlformats.org/officeDocument/2006/relationships/footer" Target="footer113.xml"/><Relationship Id="rId313" Type="http://schemas.openxmlformats.org/officeDocument/2006/relationships/footer" Target="footer114.xml"/><Relationship Id="rId314" Type="http://schemas.openxmlformats.org/officeDocument/2006/relationships/footer" Target="footer115.xml"/><Relationship Id="rId315" Type="http://schemas.openxmlformats.org/officeDocument/2006/relationships/footer" Target="footer116.xml"/><Relationship Id="rId316" Type="http://schemas.openxmlformats.org/officeDocument/2006/relationships/footer" Target="footer117.xml"/><Relationship Id="rId317" Type="http://schemas.openxmlformats.org/officeDocument/2006/relationships/footer" Target="footer118.xml"/><Relationship Id="rId318" Type="http://schemas.openxmlformats.org/officeDocument/2006/relationships/header" Target="header86.xml"/><Relationship Id="rId319" Type="http://schemas.openxmlformats.org/officeDocument/2006/relationships/header" Target="header87.xml"/><Relationship Id="rId320" Type="http://schemas.openxmlformats.org/officeDocument/2006/relationships/footer" Target="footer119.xml"/><Relationship Id="rId321" Type="http://schemas.openxmlformats.org/officeDocument/2006/relationships/footer" Target="footer120.xml"/><Relationship Id="rId322" Type="http://schemas.openxmlformats.org/officeDocument/2006/relationships/footer" Target="footer121.xml"/><Relationship Id="rId323" Type="http://schemas.openxmlformats.org/officeDocument/2006/relationships/footer" Target="footer122.xml"/><Relationship Id="rId324" Type="http://schemas.openxmlformats.org/officeDocument/2006/relationships/header" Target="header88.xml"/><Relationship Id="rId325" Type="http://schemas.openxmlformats.org/officeDocument/2006/relationships/header" Target="header89.xml"/><Relationship Id="rId326" Type="http://schemas.openxmlformats.org/officeDocument/2006/relationships/header" Target="header90.xml"/><Relationship Id="rId327" Type="http://schemas.openxmlformats.org/officeDocument/2006/relationships/header" Target="header91.xml"/><Relationship Id="rId328" Type="http://schemas.openxmlformats.org/officeDocument/2006/relationships/header" Target="header92.xml"/><Relationship Id="rId329" Type="http://schemas.openxmlformats.org/officeDocument/2006/relationships/header" Target="header93.xml"/><Relationship Id="rId330" Type="http://schemas.openxmlformats.org/officeDocument/2006/relationships/footer" Target="footer123.xml"/><Relationship Id="rId331" Type="http://schemas.openxmlformats.org/officeDocument/2006/relationships/footer" Target="footer124.xml"/><Relationship Id="rId332" Type="http://schemas.openxmlformats.org/officeDocument/2006/relationships/footer" Target="footer125.xml"/><Relationship Id="rId333" Type="http://schemas.openxmlformats.org/officeDocument/2006/relationships/footer" Target="footer126.xml"/><Relationship Id="rId334" Type="http://schemas.openxmlformats.org/officeDocument/2006/relationships/header" Target="header94.xml"/><Relationship Id="rId335" Type="http://schemas.openxmlformats.org/officeDocument/2006/relationships/header" Target="header95.xml"/><Relationship Id="rId336" Type="http://schemas.openxmlformats.org/officeDocument/2006/relationships/header" Target="header96.xml"/><Relationship Id="rId337" Type="http://schemas.openxmlformats.org/officeDocument/2006/relationships/header" Target="header97.xml"/><Relationship Id="rId338" Type="http://schemas.openxmlformats.org/officeDocument/2006/relationships/header" Target="header98.xml"/><Relationship Id="rId339" Type="http://schemas.openxmlformats.org/officeDocument/2006/relationships/footer" Target="footer127.xml"/><Relationship Id="rId340" Type="http://schemas.openxmlformats.org/officeDocument/2006/relationships/footer" Target="footer128.xml"/><Relationship Id="rId341" Type="http://schemas.openxmlformats.org/officeDocument/2006/relationships/header" Target="header99.xml"/><Relationship Id="rId342" Type="http://schemas.openxmlformats.org/officeDocument/2006/relationships/header" Target="header100.xml"/><Relationship Id="rId343" Type="http://schemas.openxmlformats.org/officeDocument/2006/relationships/footer" Target="footer129.xml"/><Relationship Id="rId344" Type="http://schemas.openxmlformats.org/officeDocument/2006/relationships/footer" Target="footer130.xml"/><Relationship Id="rId345" Type="http://schemas.openxmlformats.org/officeDocument/2006/relationships/footer" Target="footer131.xml"/><Relationship Id="rId346" Type="http://schemas.openxmlformats.org/officeDocument/2006/relationships/footer" Target="footer132.xml"/><Relationship Id="rId347" Type="http://schemas.openxmlformats.org/officeDocument/2006/relationships/header" Target="header101.xml"/><Relationship Id="rId348" Type="http://schemas.openxmlformats.org/officeDocument/2006/relationships/footer" Target="footer133.xml"/><Relationship Id="rId349" Type="http://schemas.openxmlformats.org/officeDocument/2006/relationships/footer" Target="footer134.xml"/><Relationship Id="rId350" Type="http://schemas.openxmlformats.org/officeDocument/2006/relationships/header" Target="header102.xml"/><Relationship Id="rId351" Type="http://schemas.openxmlformats.org/officeDocument/2006/relationships/header" Target="header103.xml"/><Relationship Id="rId352" Type="http://schemas.openxmlformats.org/officeDocument/2006/relationships/header" Target="header104.xml"/><Relationship Id="rId353" Type="http://schemas.openxmlformats.org/officeDocument/2006/relationships/header" Target="header105.xml"/><Relationship Id="rId354" Type="http://schemas.openxmlformats.org/officeDocument/2006/relationships/footer" Target="footer135.xml"/><Relationship Id="rId355" Type="http://schemas.openxmlformats.org/officeDocument/2006/relationships/footer" Target="footer136.xml"/><Relationship Id="rId356" Type="http://schemas.openxmlformats.org/officeDocument/2006/relationships/footer" Target="footer137.xml"/><Relationship Id="rId357" Type="http://schemas.openxmlformats.org/officeDocument/2006/relationships/footer" Target="footer138.xml"/><Relationship Id="rId358" Type="http://schemas.openxmlformats.org/officeDocument/2006/relationships/footer" Target="footer139.xml"/><Relationship Id="rId359" Type="http://schemas.openxmlformats.org/officeDocument/2006/relationships/footer" Target="footer140.xml"/><Relationship Id="rId360" Type="http://schemas.openxmlformats.org/officeDocument/2006/relationships/header" Target="header106.xml"/><Relationship Id="rId361" Type="http://schemas.openxmlformats.org/officeDocument/2006/relationships/header" Target="header107.xml"/><Relationship Id="rId362" Type="http://schemas.openxmlformats.org/officeDocument/2006/relationships/header" Target="header108.xml"/><Relationship Id="rId363" Type="http://schemas.openxmlformats.org/officeDocument/2006/relationships/footer" Target="footer141.xml"/><Relationship Id="rId364" Type="http://schemas.openxmlformats.org/officeDocument/2006/relationships/footer" Target="footer142.xml"/><Relationship Id="rId365" Type="http://schemas.openxmlformats.org/officeDocument/2006/relationships/header" Target="header109.xml"/><Relationship Id="rId366" Type="http://schemas.openxmlformats.org/officeDocument/2006/relationships/header" Target="header110.xml"/><Relationship Id="rId367" Type="http://schemas.openxmlformats.org/officeDocument/2006/relationships/header" Target="header111.xml"/><Relationship Id="rId368" Type="http://schemas.openxmlformats.org/officeDocument/2006/relationships/footer" Target="footer143.xml"/><Relationship Id="rId369" Type="http://schemas.openxmlformats.org/officeDocument/2006/relationships/footer" Target="footer144.xml"/><Relationship Id="rId370" Type="http://schemas.openxmlformats.org/officeDocument/2006/relationships/header" Target="header112.xml"/><Relationship Id="rId371" Type="http://schemas.openxmlformats.org/officeDocument/2006/relationships/header" Target="header113.xml"/><Relationship Id="rId372" Type="http://schemas.openxmlformats.org/officeDocument/2006/relationships/footer" Target="footer145.xml"/><Relationship Id="rId373" Type="http://schemas.openxmlformats.org/officeDocument/2006/relationships/footer" Target="footer146.xml"/><Relationship Id="rId374" Type="http://schemas.openxmlformats.org/officeDocument/2006/relationships/header" Target="header114.xml"/><Relationship Id="rId375" Type="http://schemas.openxmlformats.org/officeDocument/2006/relationships/header" Target="header115.xml"/><Relationship Id="rId376" Type="http://schemas.openxmlformats.org/officeDocument/2006/relationships/footer" Target="footer147.xml"/><Relationship Id="rId377" Type="http://schemas.openxmlformats.org/officeDocument/2006/relationships/footer" Target="footer148.xml"/><Relationship Id="rId378" Type="http://schemas.openxmlformats.org/officeDocument/2006/relationships/header" Target="header116.xml"/><Relationship Id="rId379" Type="http://schemas.openxmlformats.org/officeDocument/2006/relationships/header" Target="header117.xml"/><Relationship Id="rId380" Type="http://schemas.openxmlformats.org/officeDocument/2006/relationships/footer" Target="footer149.xml"/><Relationship Id="rId381" Type="http://schemas.openxmlformats.org/officeDocument/2006/relationships/footer" Target="footer150.xml"/><Relationship Id="rId382" Type="http://schemas.openxmlformats.org/officeDocument/2006/relationships/header" Target="header118.xml"/></Relationships>

</file>

<file path=word/_rels/footer65.xml.rels><?xml version="1.0" encoding="UTF-8" standalone="yes"?>
<Relationships xmlns="http://schemas.openxmlformats.org/package/2006/relationships"><Relationship Id="rId1" Type="http://schemas.openxmlformats.org/officeDocument/2006/relationships/image" Target="media/image82.png"/><Relationship Id="rId2" Type="http://schemas.openxmlformats.org/officeDocument/2006/relationships/image" Target="media/image100.png"/></Relationships>

</file>

<file path=word/_rels/footer66.xml.rels><?xml version="1.0" encoding="UTF-8" standalone="yes"?>
<Relationships xmlns="http://schemas.openxmlformats.org/package/2006/relationships"><Relationship Id="rId1" Type="http://schemas.openxmlformats.org/officeDocument/2006/relationships/image" Target="media/image101.pn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_rels/header12.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s>

</file>

<file path=word/_rels/header14.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s>

</file>

<file path=word/_rels/header16.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s>

</file>

<file path=word/_rels/header18.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s>

</file>

<file path=word/_rels/header20.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s>

</file>

<file path=word/_rels/header22.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s>

</file>

<file path=word/_rels/header24.xml.rels><?xml version="1.0" encoding="UTF-8" standalone="yes"?>
<Relationships xmlns="http://schemas.openxmlformats.org/package/2006/relationships"><Relationship Id="rId1" Type="http://schemas.openxmlformats.org/officeDocument/2006/relationships/image" Target="media/image45.png"/><Relationship Id="rId2" Type="http://schemas.openxmlformats.org/officeDocument/2006/relationships/image" Target="media/image46.png"/></Relationships>

</file>

<file path=word/_rels/header28.xml.rels><?xml version="1.0" encoding="UTF-8" standalone="yes"?>
<Relationships xmlns="http://schemas.openxmlformats.org/package/2006/relationships"><Relationship Id="rId1" Type="http://schemas.openxmlformats.org/officeDocument/2006/relationships/image" Target="media/image76.png"/></Relationships>

</file>

<file path=word/_rels/header29.xml.rels><?xml version="1.0" encoding="UTF-8" standalone="yes"?>
<Relationships xmlns="http://schemas.openxmlformats.org/package/2006/relationships"><Relationship Id="rId1" Type="http://schemas.openxmlformats.org/officeDocument/2006/relationships/image" Target="media/image76.png"/></Relationships>

</file>

<file path=word/_rels/header30.xml.rels><?xml version="1.0" encoding="UTF-8" standalone="yes"?>
<Relationships xmlns="http://schemas.openxmlformats.org/package/2006/relationships"><Relationship Id="rId1" Type="http://schemas.openxmlformats.org/officeDocument/2006/relationships/image" Target="media/image76.png"/></Relationships>

</file>

<file path=word/_rels/header31.xml.rels><?xml version="1.0" encoding="UTF-8" standalone="yes"?>
<Relationships xmlns="http://schemas.openxmlformats.org/package/2006/relationships"><Relationship Id="rId1" Type="http://schemas.openxmlformats.org/officeDocument/2006/relationships/image" Target="media/image76.png"/></Relationships>

</file>

<file path=word/_rels/header32.xml.rels><?xml version="1.0" encoding="UTF-8" standalone="yes"?>
<Relationships xmlns="http://schemas.openxmlformats.org/package/2006/relationships"><Relationship Id="rId1" Type="http://schemas.openxmlformats.org/officeDocument/2006/relationships/image" Target="media/image76.png"/></Relationships>

</file>

<file path=word/_rels/header33.xml.rels><?xml version="1.0" encoding="UTF-8" standalone="yes"?>
<Relationships xmlns="http://schemas.openxmlformats.org/package/2006/relationships"><Relationship Id="rId1" Type="http://schemas.openxmlformats.org/officeDocument/2006/relationships/image" Target="media/image76.png"/></Relationships>

</file>

<file path=word/_rels/header34.xml.rels><?xml version="1.0" encoding="UTF-8" standalone="yes"?>
<Relationships xmlns="http://schemas.openxmlformats.org/package/2006/relationships"><Relationship Id="rId1" Type="http://schemas.openxmlformats.org/officeDocument/2006/relationships/image" Target="media/image76.png"/></Relationships>

</file>

<file path=word/_rels/header37.xml.rels><?xml version="1.0" encoding="UTF-8" standalone="yes"?>
<Relationships xmlns="http://schemas.openxmlformats.org/package/2006/relationships"><Relationship Id="rId1" Type="http://schemas.openxmlformats.org/officeDocument/2006/relationships/image" Target="media/image78.png"/></Relationships>

</file>

<file path=word/_rels/header38.xml.rels><?xml version="1.0" encoding="UTF-8" standalone="yes"?>
<Relationships xmlns="http://schemas.openxmlformats.org/package/2006/relationships"><Relationship Id="rId1" Type="http://schemas.openxmlformats.org/officeDocument/2006/relationships/image" Target="media/image76.png"/><Relationship Id="rId2" Type="http://schemas.openxmlformats.org/officeDocument/2006/relationships/image" Target="media/image79.png"/></Relationships>

</file>

<file path=word/_rels/header4.xml.rels><?xml version="1.0" encoding="UTF-8" standalone="yes"?>
<Relationships xmlns="http://schemas.openxmlformats.org/package/2006/relationships"><Relationship Id="rId1" Type="http://schemas.openxmlformats.org/officeDocument/2006/relationships/image" Target="media/image27.png"/></Relationships>

</file>

<file path=word/_rels/header43.xml.rels><?xml version="1.0" encoding="UTF-8" standalone="yes"?>
<Relationships xmlns="http://schemas.openxmlformats.org/package/2006/relationships"><Relationship Id="rId1" Type="http://schemas.openxmlformats.org/officeDocument/2006/relationships/image" Target="media/image42.png"/></Relationships>

</file>

<file path=word/_rels/header46.xml.rels><?xml version="1.0" encoding="UTF-8" standalone="yes"?>
<Relationships xmlns="http://schemas.openxmlformats.org/package/2006/relationships"><Relationship Id="rId1" Type="http://schemas.openxmlformats.org/officeDocument/2006/relationships/image" Target="media/image42.png"/></Relationships>

</file>

<file path=word/_rels/header47.xml.rels><?xml version="1.0" encoding="UTF-8" standalone="yes"?>
<Relationships xmlns="http://schemas.openxmlformats.org/package/2006/relationships"><Relationship Id="rId1" Type="http://schemas.openxmlformats.org/officeDocument/2006/relationships/image" Target="media/image42.png"/></Relationships>

</file>

<file path=word/_rels/header49.xml.rels><?xml version="1.0" encoding="UTF-8" standalone="yes"?>
<Relationships xmlns="http://schemas.openxmlformats.org/package/2006/relationships"><Relationship Id="rId1" Type="http://schemas.openxmlformats.org/officeDocument/2006/relationships/image" Target="media/image42.png"/></Relationships>

</file>

<file path=word/_rels/header53.xml.rels><?xml version="1.0" encoding="UTF-8" standalone="yes"?>
<Relationships xmlns="http://schemas.openxmlformats.org/package/2006/relationships"><Relationship Id="rId1" Type="http://schemas.openxmlformats.org/officeDocument/2006/relationships/image" Target="media/image8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2020-05-05T05:23:34Z</dcterms:created>
  <dcterms:modified xsi:type="dcterms:W3CDTF">2020-05-05T05:23:34Z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2019-04-28T00:00:00Z</vt:filetime>
  </property>
  <property fmtid="{D5CDD505-2E9C-101B-9397-08002B2CF9AE}" pid="3" name="Creator">
    <vt:lpwstr>Adobe InDesign CS6 (Windows)</vt:lpwstr>
  </property>
  <property fmtid="{D5CDD505-2E9C-101B-9397-08002B2CF9AE}" pid="4" name="LastSaved">
    <vt:filetime>2020-05-04T00:00:00Z</vt:filetime>
  </property>
</Properties>
</file>